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2CF3A">
      <w:pPr>
        <w:spacing w:before="120" w:beforeLines="50" w:after="120" w:afterLines="50"/>
        <w:rPr>
          <w:rFonts w:hint="eastAsia"/>
          <w:bCs/>
          <w:szCs w:val="21"/>
        </w:rPr>
      </w:pPr>
      <w:bookmarkStart w:id="460" w:name="_GoBack"/>
      <w:bookmarkEnd w:id="460"/>
      <w:r>
        <w:rPr>
          <w:rFonts w:hint="eastAsia"/>
          <w:bCs/>
          <w:szCs w:val="21"/>
        </w:rPr>
        <w:t>公司代码：</w:t>
      </w:r>
      <w:sdt>
        <w:sdtPr>
          <w:rPr>
            <w:rFonts w:hint="eastAsia"/>
            <w:bCs/>
            <w:szCs w:val="21"/>
          </w:rPr>
          <w:alias w:val="公司代码"/>
          <w:tag w:val="_GBC_704b7b03ea3f4a93b8d4655a09b2ff61"/>
          <w:id w:val="-288743581"/>
          <w:placeholder>
            <w:docPart w:val="GBC22222222222222222222222222222"/>
          </w:placeholder>
        </w:sdtPr>
        <w:sdtEndPr>
          <w:rPr>
            <w:rFonts w:hint="eastAsia"/>
            <w:bCs/>
            <w:szCs w:val="21"/>
          </w:rPr>
        </w:sdtEndPr>
        <w:sdtContent>
          <w:r>
            <w:rPr>
              <w:rFonts w:hint="eastAsia"/>
              <w:bCs/>
              <w:szCs w:val="21"/>
            </w:rPr>
            <w:t>601718</w:t>
          </w:r>
        </w:sdtContent>
      </w:sdt>
      <w:r>
        <w:rPr>
          <w:rFonts w:hint="eastAsia"/>
          <w:bCs/>
          <w:szCs w:val="21"/>
        </w:rPr>
        <w:t xml:space="preserve">                                           公司简称：</w:t>
      </w:r>
      <w:sdt>
        <w:sdtPr>
          <w:rPr>
            <w:rFonts w:hint="eastAsia"/>
            <w:bCs/>
            <w:szCs w:val="21"/>
          </w:rPr>
          <w:alias w:val="公司简称"/>
          <w:tag w:val="_GBC_0384ae715a1e4b4894a29e4d27f5bef4"/>
          <w:id w:val="1525521653"/>
          <w:placeholder>
            <w:docPart w:val="GBC22222222222222222222222222222"/>
          </w:placeholder>
        </w:sdtPr>
        <w:sdtEndPr>
          <w:rPr>
            <w:rFonts w:hint="eastAsia"/>
            <w:bCs/>
            <w:szCs w:val="21"/>
          </w:rPr>
        </w:sdtEndPr>
        <w:sdtContent>
          <w:r>
            <w:rPr>
              <w:rFonts w:hint="eastAsia"/>
              <w:bCs/>
              <w:szCs w:val="21"/>
            </w:rPr>
            <w:t>际华集团</w:t>
          </w:r>
        </w:sdtContent>
      </w:sdt>
    </w:p>
    <w:p w14:paraId="1AF4DD4F">
      <w:pPr>
        <w:rPr>
          <w:rFonts w:hint="eastAsia"/>
        </w:rPr>
      </w:pPr>
    </w:p>
    <w:p w14:paraId="3EDACF21">
      <w:pPr>
        <w:rPr>
          <w:rFonts w:hint="eastAsia"/>
        </w:rPr>
      </w:pPr>
    </w:p>
    <w:p w14:paraId="6B48FE00">
      <w:pPr>
        <w:rPr>
          <w:rFonts w:hint="eastAsia"/>
        </w:rPr>
      </w:pPr>
    </w:p>
    <w:p w14:paraId="6A453E1C">
      <w:pPr>
        <w:rPr>
          <w:rFonts w:hint="eastAsia"/>
        </w:rPr>
      </w:pPr>
    </w:p>
    <w:p w14:paraId="7D6C989A">
      <w:pPr>
        <w:rPr>
          <w:rFonts w:hint="eastAsia"/>
        </w:rPr>
      </w:pPr>
    </w:p>
    <w:p w14:paraId="4A274361">
      <w:pPr>
        <w:rPr>
          <w:rFonts w:hint="eastAsia"/>
        </w:rPr>
      </w:pPr>
    </w:p>
    <w:p w14:paraId="5F50CEC2">
      <w:pPr>
        <w:rPr>
          <w:rFonts w:hint="eastAsia"/>
          <w:b/>
          <w:bCs/>
          <w:szCs w:val="21"/>
        </w:rPr>
      </w:pPr>
    </w:p>
    <w:p w14:paraId="3A18BF3F">
      <w:pPr>
        <w:rPr>
          <w:rFonts w:hint="eastAsia"/>
          <w:b/>
          <w:bCs/>
          <w:szCs w:val="21"/>
        </w:rPr>
      </w:pPr>
    </w:p>
    <w:p w14:paraId="626D9466">
      <w:pPr>
        <w:jc w:val="center"/>
        <w:rPr>
          <w:rFonts w:hint="eastAsia" w:ascii="黑体" w:hAnsi="黑体" w:eastAsia="黑体"/>
          <w:b/>
          <w:bCs/>
          <w:color w:val="FF0000"/>
          <w:sz w:val="44"/>
          <w:szCs w:val="44"/>
        </w:rPr>
      </w:pPr>
      <w:sdt>
        <w:sdtPr>
          <w:rPr>
            <w:rFonts w:hint="eastAsia" w:ascii="黑体" w:hAnsi="黑体" w:eastAsia="黑体"/>
            <w:b/>
            <w:bCs/>
            <w:color w:val="FF0000"/>
            <w:sz w:val="44"/>
            <w:szCs w:val="44"/>
          </w:rPr>
          <w:alias w:val="公司法定中文名称"/>
          <w:tag w:val="_GBC_47adbfeb6fae494fb72f2a2b2c73d969"/>
          <w:id w:val="-1140496006"/>
          <w:placeholder>
            <w:docPart w:val="GBC22222222222222222222222222222"/>
          </w:placeholder>
          <w:dataBinding w:prefixMappings="xmlns:clcid-cgi='clcid-cgi'" w:xpath="/*/clcid-cgi:GongSiFaDingZhongWenMingCheng[not(@periodRef)]" w:storeItemID="{89EBAB94-44A0-46A2-B712-30D997D04A6D}"/>
          <w:text/>
        </w:sdtPr>
        <w:sdtEndPr>
          <w:rPr>
            <w:rFonts w:hint="eastAsia" w:ascii="黑体" w:hAnsi="黑体" w:eastAsia="黑体"/>
            <w:b/>
            <w:bCs/>
            <w:color w:val="FF0000"/>
            <w:sz w:val="44"/>
            <w:szCs w:val="44"/>
          </w:rPr>
        </w:sdtEndPr>
        <w:sdtContent>
          <w:r>
            <w:rPr>
              <w:rFonts w:hint="eastAsia" w:ascii="黑体" w:hAnsi="黑体" w:eastAsia="黑体"/>
              <w:b/>
              <w:bCs/>
              <w:color w:val="FF0000"/>
              <w:sz w:val="44"/>
              <w:szCs w:val="44"/>
            </w:rPr>
            <w:t>际华集团股份有限公司</w:t>
          </w:r>
        </w:sdtContent>
      </w:sdt>
    </w:p>
    <w:p w14:paraId="20E2F5F5">
      <w:pPr>
        <w:jc w:val="center"/>
        <w:rPr>
          <w:rFonts w:hint="eastAsia" w:ascii="黑体" w:hAnsi="黑体" w:eastAsia="黑体"/>
          <w:b/>
          <w:bCs/>
          <w:color w:val="FF0000"/>
          <w:sz w:val="44"/>
          <w:szCs w:val="44"/>
        </w:rPr>
      </w:pPr>
      <w:r>
        <w:rPr>
          <w:rFonts w:ascii="黑体" w:hAnsi="黑体" w:eastAsia="黑体"/>
          <w:b/>
          <w:bCs/>
          <w:color w:val="FF0000"/>
          <w:sz w:val="44"/>
          <w:szCs w:val="44"/>
        </w:rPr>
        <w:t>2024</w:t>
      </w:r>
      <w:r>
        <w:rPr>
          <w:rFonts w:hint="eastAsia" w:ascii="黑体" w:hAnsi="黑体" w:eastAsia="黑体"/>
          <w:b/>
          <w:bCs/>
          <w:color w:val="FF0000"/>
          <w:sz w:val="44"/>
          <w:szCs w:val="44"/>
        </w:rPr>
        <w:t>年年度报告</w:t>
      </w:r>
    </w:p>
    <w:p w14:paraId="3E0276DF">
      <w:pPr>
        <w:rPr>
          <w:rFonts w:hint="eastAsia"/>
        </w:rPr>
      </w:pPr>
    </w:p>
    <w:p w14:paraId="7F970BB2">
      <w:pPr>
        <w:rPr>
          <w:rFonts w:hint="eastAsia"/>
        </w:rPr>
      </w:pPr>
    </w:p>
    <w:p w14:paraId="60A89ED4">
      <w:pPr>
        <w:rPr>
          <w:rFonts w:hint="eastAsia"/>
        </w:rPr>
      </w:pPr>
    </w:p>
    <w:p w14:paraId="3FE20BE6">
      <w:pPr>
        <w:rPr>
          <w:rFonts w:hint="eastAsia"/>
        </w:rPr>
      </w:pPr>
    </w:p>
    <w:p w14:paraId="5DEF4B13">
      <w:pPr>
        <w:rPr>
          <w:rFonts w:hint="eastAsia"/>
        </w:rPr>
      </w:pPr>
    </w:p>
    <w:p w14:paraId="401FED8C">
      <w:pPr>
        <w:rPr>
          <w:rFonts w:hint="eastAsia"/>
        </w:rPr>
      </w:pPr>
    </w:p>
    <w:p w14:paraId="23E8DEF1">
      <w:pPr>
        <w:rPr>
          <w:rFonts w:hint="eastAsia"/>
        </w:rPr>
      </w:pPr>
    </w:p>
    <w:p w14:paraId="37BD772D">
      <w:pPr>
        <w:rPr>
          <w:rFonts w:hint="eastAsia"/>
        </w:rPr>
      </w:pPr>
    </w:p>
    <w:p w14:paraId="4FD53DE6">
      <w:pPr>
        <w:rPr>
          <w:rFonts w:hint="eastAsia" w:ascii="黑体" w:hAnsi="黑体" w:eastAsia="黑体"/>
          <w:b/>
          <w:bCs/>
          <w:color w:val="FF0000"/>
          <w:sz w:val="44"/>
          <w:szCs w:val="44"/>
        </w:rPr>
        <w:sectPr>
          <w:headerReference r:id="rId3" w:type="default"/>
          <w:footerReference r:id="rId4" w:type="default"/>
          <w:pgSz w:w="11906" w:h="16838"/>
          <w:pgMar w:top="1525" w:right="1276" w:bottom="1440" w:left="1797" w:header="855" w:footer="992" w:gutter="0"/>
          <w:cols w:space="425" w:num="1"/>
          <w:docGrid w:linePitch="312" w:charSpace="0"/>
        </w:sectPr>
      </w:pPr>
    </w:p>
    <w:p w14:paraId="42B48BB4">
      <w:pPr>
        <w:rPr>
          <w:rFonts w:hint="eastAsia"/>
        </w:rPr>
      </w:pPr>
    </w:p>
    <w:sdt>
      <w:sdtPr>
        <w:tag w:val="_PLD_429fee330a4a46d2822ec08d94ecdb3f"/>
        <w:id w:val="983888841"/>
      </w:sdtPr>
      <w:sdtContent>
        <w:p w14:paraId="2360487E">
          <w:pPr>
            <w:pStyle w:val="33"/>
            <w:spacing w:after="280" w:afterAutospacing="0"/>
            <w:jc w:val="center"/>
            <w:rPr>
              <w:rFonts w:hint="eastAsia" w:ascii="黑体" w:eastAsia="黑体"/>
              <w:b/>
              <w:bCs/>
              <w:sz w:val="28"/>
              <w:szCs w:val="28"/>
            </w:rPr>
          </w:pPr>
          <w:bookmarkStart w:id="0" w:name="_Toc387656034"/>
          <w:r>
            <w:rPr>
              <w:rFonts w:hint="eastAsia" w:ascii="黑体" w:eastAsia="黑体"/>
              <w:b/>
              <w:bCs/>
              <w:sz w:val="28"/>
              <w:szCs w:val="28"/>
            </w:rPr>
            <w:t>重要提示</w:t>
          </w:r>
        </w:p>
      </w:sdtContent>
    </w:sdt>
    <w:bookmarkEnd w:id="0"/>
    <w:sdt>
      <w:sdtPr>
        <w:rPr>
          <w:rFonts w:hint="eastAsia" w:ascii="宋体" w:hAnsi="宋体" w:cs="宋体"/>
          <w:b w:val="0"/>
          <w:bCs w:val="0"/>
          <w:kern w:val="0"/>
          <w:szCs w:val="24"/>
        </w:rPr>
        <w:alias w:val="选项模块:董事会及董事声明"/>
        <w:tag w:val="_SEC_7d2cef92505949c6b5bd6a9bd88e1b07"/>
        <w:id w:val="1015036372"/>
        <w:placeholder>
          <w:docPart w:val="GBC22222222222222222222222222222"/>
        </w:placeholder>
      </w:sdtPr>
      <w:sdtEndPr>
        <w:rPr>
          <w:rFonts w:hint="default" w:ascii="宋体" w:hAnsi="宋体" w:cs="宋体"/>
          <w:b w:val="0"/>
          <w:bCs w:val="0"/>
          <w:kern w:val="0"/>
          <w:szCs w:val="24"/>
        </w:rPr>
      </w:sdtEndPr>
      <w:sdtContent>
        <w:sdt>
          <w:sdtPr>
            <w:rPr>
              <w:rFonts w:hint="eastAsia" w:ascii="宋体" w:hAnsi="宋体" w:cs="宋体"/>
              <w:b w:val="0"/>
              <w:bCs w:val="0"/>
              <w:kern w:val="0"/>
              <w:szCs w:val="24"/>
            </w:rPr>
            <w:alias w:val="董事会及董事声明"/>
            <w:tag w:val="_GBC_7a4abe6548364d7e8583e54b6ff64105"/>
            <w:id w:val="-800001150"/>
            <w:placeholder>
              <w:docPart w:val="GBC22222222222222222222222222222"/>
            </w:placeholder>
          </w:sdtPr>
          <w:sdtEndPr>
            <w:rPr>
              <w:rFonts w:hint="eastAsia" w:ascii="Arial" w:hAnsi="Arial" w:cs="Times New Roman"/>
              <w:b/>
              <w:bCs/>
              <w:kern w:val="2"/>
              <w:szCs w:val="21"/>
            </w:rPr>
          </w:sdtEndPr>
          <w:sdtContent>
            <w:p w14:paraId="62DA446E">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本公司董事会、监事会及董事、监事、高级管理人员保证年度报告内容的真实</w:t>
              </w:r>
              <w:r>
                <w:rPr>
                  <w:rFonts w:hint="eastAsia" w:ascii="Times New Roman" w:hAnsi="宋体" w:cs="宋体"/>
                  <w:bCs w:val="0"/>
                </w:rPr>
                <w:t>性</w:t>
              </w:r>
              <w:r>
                <w:rPr>
                  <w:rFonts w:ascii="Times New Roman" w:hAnsi="宋体" w:cs="宋体"/>
                  <w:bCs w:val="0"/>
                </w:rPr>
                <w:t>、准确</w:t>
              </w:r>
              <w:r>
                <w:rPr>
                  <w:rFonts w:hint="eastAsia" w:ascii="Times New Roman" w:hAnsi="宋体" w:cs="宋体"/>
                  <w:bCs w:val="0"/>
                </w:rPr>
                <w:t>性</w:t>
              </w:r>
              <w:r>
                <w:rPr>
                  <w:rFonts w:ascii="Times New Roman" w:hAnsi="宋体" w:cs="宋体"/>
                  <w:bCs w:val="0"/>
                </w:rPr>
                <w:t>、完整</w:t>
              </w:r>
              <w:r>
                <w:rPr>
                  <w:rFonts w:hint="eastAsia" w:ascii="Times New Roman" w:hAnsi="宋体" w:cs="宋体"/>
                  <w:bCs w:val="0"/>
                </w:rPr>
                <w:t>性</w:t>
              </w:r>
              <w:r>
                <w:rPr>
                  <w:rFonts w:ascii="Times New Roman" w:hAnsi="宋体" w:cs="宋体"/>
                  <w:bCs w:val="0"/>
                </w:rPr>
                <w:t>，不存在虚假记载、误导性陈述或重大遗漏，并承担个别和连带的法律责任。</w:t>
              </w:r>
            </w:p>
          </w:sdtContent>
        </w:sdt>
        <w:p w14:paraId="6A800FA4">
          <w:pPr>
            <w:rPr>
              <w:rFonts w:hint="eastAsia"/>
            </w:rPr>
          </w:pPr>
        </w:p>
      </w:sdtContent>
    </w:sdt>
    <w:sdt>
      <w:sdtPr>
        <w:rPr>
          <w:rFonts w:hint="eastAsia" w:ascii="Calibri" w:hAnsi="Calibri" w:cs="宋体"/>
          <w:b w:val="0"/>
          <w:bCs w:val="0"/>
          <w:kern w:val="0"/>
          <w:sz w:val="24"/>
          <w:szCs w:val="22"/>
        </w:rPr>
        <w:alias w:val="选项模块:公司全体董事出席董事会会议。"/>
        <w:tag w:val="_SEC_22f2821f4b8f443f90d5135b8aaff83a"/>
        <w:id w:val="-702168760"/>
        <w:placeholder>
          <w:docPart w:val="GBC22222222222222222222222222222"/>
        </w:placeholder>
      </w:sdtPr>
      <w:sdtEndPr>
        <w:rPr>
          <w:rFonts w:hint="default" w:ascii="宋体" w:hAnsi="宋体" w:cs="宋体"/>
          <w:b w:val="0"/>
          <w:bCs w:val="0"/>
          <w:kern w:val="0"/>
          <w:sz w:val="21"/>
          <w:szCs w:val="21"/>
        </w:rPr>
      </w:sdtEndPr>
      <w:sdtContent>
        <w:p w14:paraId="4DE5050E">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公司全体董事出席董事会会议。</w:t>
          </w:r>
        </w:p>
        <w:p w14:paraId="65FFDB4D">
          <w:pPr>
            <w:rPr>
              <w:rFonts w:hint="eastAsia"/>
              <w:szCs w:val="21"/>
            </w:rPr>
          </w:pPr>
        </w:p>
      </w:sdtContent>
    </w:sdt>
    <w:sdt>
      <w:sdtPr>
        <w:rPr>
          <w:rFonts w:hint="eastAsia" w:ascii="Calibri" w:hAnsi="Calibri" w:cs="宋体"/>
          <w:b w:val="0"/>
          <w:bCs w:val="0"/>
          <w:kern w:val="0"/>
          <w:sz w:val="24"/>
          <w:szCs w:val="24"/>
        </w:rPr>
        <w:alias w:val="选项模块:事务所为本公司出具了标准无保留意见的审计报告。"/>
        <w:tag w:val="_SEC_40fba4905c084fec81ccf5c248050f25"/>
        <w:id w:val="-1063174574"/>
        <w:placeholder>
          <w:docPart w:val="GBC22222222222222222222222222222"/>
        </w:placeholder>
      </w:sdtPr>
      <w:sdtEndPr>
        <w:rPr>
          <w:rFonts w:hint="default" w:ascii="宋体" w:hAnsi="宋体" w:cs="宋体"/>
          <w:b w:val="0"/>
          <w:bCs w:val="0"/>
          <w:kern w:val="0"/>
          <w:sz w:val="21"/>
          <w:szCs w:val="24"/>
        </w:rPr>
      </w:sdtEndPr>
      <w:sdtContent>
        <w:p w14:paraId="238D046C">
          <w:pPr>
            <w:pStyle w:val="69"/>
            <w:numPr>
              <w:ilvl w:val="0"/>
              <w:numId w:val="1"/>
            </w:numPr>
            <w:tabs>
              <w:tab w:val="left" w:pos="434"/>
            </w:tabs>
            <w:spacing w:before="0"/>
            <w:rPr>
              <w:rFonts w:hint="eastAsia" w:ascii="Times New Roman" w:hAnsi="宋体" w:cs="宋体"/>
              <w:bCs w:val="0"/>
            </w:rPr>
          </w:pPr>
          <w:sdt>
            <w:sdtPr>
              <w:rPr>
                <w:rFonts w:hint="eastAsia" w:ascii="宋体" w:hAnsi="宋体"/>
              </w:rPr>
              <w:alias w:val="公司聘请的境内会计师事务所名称"/>
              <w:tag w:val="_GBC_ad504284986e4ab994733d7125ba1c33"/>
              <w:id w:val="1104615147"/>
              <w:placeholder>
                <w:docPart w:val="GBC22222222222222222222222222222"/>
              </w:placeholder>
            </w:sdtPr>
            <w:sdtEndPr>
              <w:rPr>
                <w:rFonts w:hint="eastAsia" w:ascii="宋体" w:hAnsi="宋体"/>
              </w:rPr>
            </w:sdtEndPr>
            <w:sdtContent>
              <w:r>
                <w:rPr>
                  <w:rFonts w:ascii="Times New Roman" w:hAnsi="宋体" w:cs="宋体"/>
                  <w:bCs w:val="0"/>
                </w:rPr>
                <w:t>天健会计师事务所（特殊普通合伙）</w:t>
              </w:r>
            </w:sdtContent>
          </w:sdt>
          <w:r>
            <w:rPr>
              <w:rFonts w:ascii="Times New Roman" w:hAnsi="宋体" w:cs="宋体"/>
              <w:bCs w:val="0"/>
            </w:rPr>
            <w:t>为本公司出具了</w:t>
          </w:r>
          <w:sdt>
            <w:sdtPr>
              <w:rPr>
                <w:rFonts w:hint="eastAsia" w:ascii="宋体" w:hAnsi="宋体"/>
              </w:rPr>
              <w:alias w:val="会计师事务所审计意见类型"/>
              <w:tag w:val="_GBC_fc66ac35f9514436909a413223854389"/>
              <w:id w:val="1965697264"/>
              <w:placeholder>
                <w:docPart w:val="GBC22222222222222222222222222222"/>
              </w:placeholder>
            </w:sdtPr>
            <w:sdtEndPr>
              <w:rPr>
                <w:rFonts w:hint="eastAsia" w:ascii="宋体" w:hAnsi="宋体"/>
              </w:rPr>
            </w:sdtEndPr>
            <w:sdtContent>
              <w:r>
                <w:rPr>
                  <w:rFonts w:ascii="Times New Roman" w:hAnsi="宋体" w:cs="宋体"/>
                  <w:bCs w:val="0"/>
                </w:rPr>
                <w:t>标准无保留意见</w:t>
              </w:r>
            </w:sdtContent>
          </w:sdt>
          <w:r>
            <w:rPr>
              <w:rFonts w:ascii="Times New Roman" w:hAnsi="宋体" w:cs="宋体"/>
              <w:bCs w:val="0"/>
            </w:rPr>
            <w:t>的审计报告。</w:t>
          </w:r>
        </w:p>
        <w:p w14:paraId="73EF68D7">
          <w:pPr>
            <w:rPr>
              <w:rFonts w:hint="eastAsia"/>
              <w:szCs w:val="21"/>
            </w:rPr>
          </w:pPr>
        </w:p>
      </w:sdtContent>
    </w:sdt>
    <w:p w14:paraId="4295F67E">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公司负责人</w:t>
      </w:r>
      <w:sdt>
        <w:sdtPr>
          <w:rPr>
            <w:rFonts w:ascii="宋体" w:hAnsi="宋体"/>
          </w:rPr>
          <w:alias w:val="公司负责人姓名"/>
          <w:tag w:val="_GBC_ba0728eaa9a342098d20addcde59ed31"/>
          <w:id w:val="339434097"/>
          <w:placeholder>
            <w:docPart w:val="GBC22222222222222222222222222222"/>
          </w:placeholder>
          <w:dataBinding w:prefixMappings="xmlns:clcid-mr='clcid-mr'" w:xpath="/*/clcid-mr:GongSiFuZeRenXingMing[not(@periodRef)]" w:storeItemID="{89EBAB94-44A0-46A2-B712-30D997D04A6D}"/>
          <w:text/>
        </w:sdtPr>
        <w:sdtEndPr>
          <w:rPr>
            <w:rFonts w:ascii="宋体" w:hAnsi="宋体"/>
          </w:rPr>
        </w:sdtEndPr>
        <w:sdtContent>
          <w:r>
            <w:rPr>
              <w:rFonts w:ascii="Times New Roman" w:hAnsi="宋体" w:cs="宋体"/>
              <w:bCs w:val="0"/>
            </w:rPr>
            <w:t>夏前军</w:t>
          </w:r>
        </w:sdtContent>
      </w:sdt>
      <w:r>
        <w:rPr>
          <w:rFonts w:ascii="Times New Roman" w:hAnsi="宋体" w:cs="宋体"/>
          <w:bCs w:val="0"/>
        </w:rPr>
        <w:t>、主管会计工作负责人</w:t>
      </w:r>
      <w:sdt>
        <w:sdtPr>
          <w:rPr>
            <w:rFonts w:ascii="宋体" w:hAnsi="宋体"/>
          </w:rPr>
          <w:alias w:val="主管会计工作负责人姓名"/>
          <w:tag w:val="_GBC_9ac791ae357946e68402505d2aa6b3b9"/>
          <w:id w:val="-237257931"/>
          <w:placeholder>
            <w:docPart w:val="GBC22222222222222222222222222222"/>
          </w:placeholder>
          <w:dataBinding w:prefixMappings="xmlns:clcid-mr='clcid-mr'" w:xpath="/*/clcid-mr:ZhuGuanKuaiJiGongZuoFuZeRenXingMing[not(@periodRef)]" w:storeItemID="{89EBAB94-44A0-46A2-B712-30D997D04A6D}"/>
          <w:text/>
        </w:sdtPr>
        <w:sdtEndPr>
          <w:rPr>
            <w:rFonts w:ascii="宋体" w:hAnsi="宋体"/>
          </w:rPr>
        </w:sdtEndPr>
        <w:sdtContent>
          <w:r>
            <w:rPr>
              <w:rFonts w:ascii="Times New Roman" w:hAnsi="宋体" w:cs="宋体"/>
              <w:bCs w:val="0"/>
            </w:rPr>
            <w:t>刘改平</w:t>
          </w:r>
        </w:sdtContent>
      </w:sdt>
      <w:r>
        <w:rPr>
          <w:rFonts w:ascii="Times New Roman" w:hAnsi="宋体" w:cs="宋体"/>
          <w:bCs w:val="0"/>
        </w:rPr>
        <w:t>及会计机构负责人（会计主管人员）</w:t>
      </w:r>
      <w:sdt>
        <w:sdtPr>
          <w:rPr>
            <w:rFonts w:ascii="宋体" w:hAnsi="宋体"/>
          </w:rPr>
          <w:alias w:val="会计机构负责人姓名"/>
          <w:tag w:val="_GBC_c6edcd184788428d9dc08d896d5d98a9"/>
          <w:id w:val="1074866116"/>
          <w:placeholder>
            <w:docPart w:val="GBC22222222222222222222222222222"/>
          </w:placeholder>
          <w:dataBinding w:prefixMappings="xmlns:clcid-mr='clcid-mr'" w:xpath="/*/clcid-mr:KuaiJiJiGouFuZeRenXingMing[not(@periodRef)]" w:storeItemID="{89EBAB94-44A0-46A2-B712-30D997D04A6D}"/>
          <w:text/>
        </w:sdtPr>
        <w:sdtEndPr>
          <w:rPr>
            <w:rFonts w:ascii="宋体" w:hAnsi="宋体"/>
          </w:rPr>
        </w:sdtEndPr>
        <w:sdtContent>
          <w:r>
            <w:rPr>
              <w:rFonts w:ascii="Times New Roman" w:hAnsi="宋体" w:cs="宋体"/>
              <w:bCs w:val="0"/>
            </w:rPr>
            <w:t>冯晓</w:t>
          </w:r>
        </w:sdtContent>
      </w:sdt>
      <w:r>
        <w:rPr>
          <w:rFonts w:ascii="Times New Roman" w:hAnsi="宋体" w:cs="宋体"/>
          <w:bCs w:val="0"/>
        </w:rPr>
        <w:t>声明：保证年度报告中财务报告的真实、准确、完整。</w:t>
      </w:r>
    </w:p>
    <w:p w14:paraId="0E1E1951">
      <w:pPr>
        <w:rPr>
          <w:rFonts w:hint="eastAsia"/>
        </w:rPr>
      </w:pPr>
    </w:p>
    <w:p w14:paraId="33BDEE3A">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董事会决议通过的本报告期利润分配预案或公积金转增股本预案</w:t>
      </w:r>
    </w:p>
    <w:sdt>
      <w:sdtPr>
        <w:rPr>
          <w:rFonts w:hint="eastAsia"/>
          <w:szCs w:val="21"/>
          <w:highlight w:val="yellow"/>
        </w:rPr>
        <w:alias w:val="经董事会审议的报告期利润分配预案或公积金转增股本预案"/>
        <w:tag w:val="_GBC_87fdd30c16df49cc824b47e55e4be6d9"/>
        <w:id w:val="-836297505"/>
        <w:placeholder>
          <w:docPart w:val="GBC22222222222222222222222222222"/>
        </w:placeholder>
      </w:sdtPr>
      <w:sdtEndPr>
        <w:rPr>
          <w:rFonts w:hint="eastAsia"/>
          <w:szCs w:val="21"/>
          <w:highlight w:val="none"/>
        </w:rPr>
      </w:sdtEndPr>
      <w:sdtContent>
        <w:p w14:paraId="79169BE1">
          <w:pPr>
            <w:kinsoku w:val="0"/>
            <w:autoSpaceDE w:val="0"/>
            <w:autoSpaceDN w:val="0"/>
            <w:adjustRightInd w:val="0"/>
            <w:snapToGrid w:val="0"/>
            <w:spacing w:line="360" w:lineRule="exact"/>
            <w:ind w:firstLine="420" w:firstLineChars="200"/>
            <w:rPr>
              <w:rFonts w:hint="eastAsia"/>
              <w:szCs w:val="21"/>
            </w:rPr>
          </w:pPr>
          <w:r>
            <w:rPr>
              <w:rFonts w:hint="eastAsia"/>
              <w:szCs w:val="21"/>
            </w:rPr>
            <w:t>经天健会计师事务所审计确认，2024年度际华集团（母公司）实现净利润（当年实现可供分配净利润）人民币202,249.22元，提取10%法定盈余公积20,224.92元，加上年初未分配利润167,759,321.90元，减去2023年已分配支付的现金股利人民币131,748,882.12元，累计可供分配利润36,192,464.08元，合并报表归母净利润-4,228,257,792.02元。</w:t>
          </w:r>
        </w:p>
        <w:p w14:paraId="1868EA95">
          <w:pPr>
            <w:autoSpaceDE w:val="0"/>
            <w:autoSpaceDN w:val="0"/>
            <w:adjustRightInd w:val="0"/>
            <w:snapToGrid w:val="0"/>
            <w:spacing w:line="360" w:lineRule="exact"/>
            <w:ind w:firstLine="420" w:firstLineChars="200"/>
            <w:rPr>
              <w:rFonts w:hint="eastAsia"/>
              <w:szCs w:val="21"/>
            </w:rPr>
          </w:pPr>
          <w:r>
            <w:rPr>
              <w:rFonts w:hint="eastAsia"/>
              <w:szCs w:val="21"/>
            </w:rPr>
            <w:t>根据中国证监会《上市公司监管指引第3号—上市公司现金分红》等相关法律法规及《公司章程》的规定，鉴于际华集团合并归母净利润出现亏损，考虑到公司的实际情况，为兼顾公司的长远利益、全体股东的整体利益及公司的长期稳定可持续发展，公司2024年度拟不进行利润分配。</w:t>
          </w:r>
        </w:p>
      </w:sdtContent>
    </w:sdt>
    <w:p w14:paraId="0BFC22DC">
      <w:pPr>
        <w:kinsoku w:val="0"/>
        <w:overflowPunct w:val="0"/>
        <w:autoSpaceDE w:val="0"/>
        <w:autoSpaceDN w:val="0"/>
        <w:adjustRightInd w:val="0"/>
        <w:snapToGrid w:val="0"/>
        <w:spacing w:line="360" w:lineRule="exact"/>
        <w:rPr>
          <w:rFonts w:hint="eastAsia"/>
        </w:rPr>
      </w:pPr>
    </w:p>
    <w:p w14:paraId="62D20565">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前瞻性陈述的风险声明</w:t>
      </w:r>
    </w:p>
    <w:sdt>
      <w:sdtPr>
        <w:alias w:val="是否适用：前瞻性陈述的风险声明[双击切换]"/>
        <w:tag w:val="_GBC_5e5553f9f96e47e8b5eded9c0e6a26c0"/>
        <w:id w:val="-515388300"/>
        <w:placeholder>
          <w:docPart w:val="GBC22222222222222222222222222222"/>
        </w:placeholder>
      </w:sdtPr>
      <w:sdtContent>
        <w:p w14:paraId="2E25EBB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480618191"/>
        <w:placeholder>
          <w:docPart w:val="GBC22222222222222222222222222222"/>
        </w:placeholder>
      </w:sdtPr>
      <w:sdtEndPr>
        <w:rPr>
          <w:rFonts w:hint="eastAsia"/>
          <w:szCs w:val="21"/>
        </w:rPr>
      </w:sdtEndPr>
      <w:sdtContent>
        <w:p w14:paraId="7FD117F5">
          <w:pPr>
            <w:kinsoku w:val="0"/>
            <w:overflowPunct w:val="0"/>
            <w:autoSpaceDE w:val="0"/>
            <w:autoSpaceDN w:val="0"/>
            <w:adjustRightInd w:val="0"/>
            <w:snapToGrid w:val="0"/>
            <w:spacing w:line="360" w:lineRule="exact"/>
            <w:rPr>
              <w:rFonts w:hint="eastAsia"/>
              <w:szCs w:val="21"/>
            </w:rPr>
          </w:pPr>
          <w:r>
            <w:rPr>
              <w:rFonts w:hint="eastAsia"/>
              <w:szCs w:val="21"/>
            </w:rPr>
            <w:t>本报告中所涉及的未来计划、发展战略等前瞻性描述不构成公司对投资者的实质承诺，敬请投资者注意投资风险。</w:t>
          </w:r>
        </w:p>
      </w:sdtContent>
    </w:sdt>
    <w:p w14:paraId="13910698">
      <w:pPr>
        <w:kinsoku w:val="0"/>
        <w:overflowPunct w:val="0"/>
        <w:autoSpaceDE w:val="0"/>
        <w:autoSpaceDN w:val="0"/>
        <w:adjustRightInd w:val="0"/>
        <w:snapToGrid w:val="0"/>
        <w:spacing w:line="360" w:lineRule="exact"/>
        <w:rPr>
          <w:rFonts w:hint="eastAsia"/>
          <w:szCs w:val="21"/>
        </w:rPr>
      </w:pPr>
    </w:p>
    <w:p w14:paraId="3DB6C0F9">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是否存在被控股股东及其他关联方非经营性占用资金情况</w:t>
      </w:r>
    </w:p>
    <w:sdt>
      <w:sdtPr>
        <w:rPr>
          <w:rFonts w:hint="eastAsia" w:ascii="Arial" w:hAnsi="Arial"/>
          <w:bCs/>
          <w:szCs w:val="21"/>
        </w:rPr>
        <w:alias w:val="本公司是否存在大股东占用资金情况"/>
        <w:tag w:val="_GBC_a9b8d3170fbb4d50a645223c117f8b30"/>
        <w:id w:val="-108655902"/>
        <w:placeholder>
          <w:docPart w:val="GBC22222222222222222222222222222"/>
        </w:placeholder>
        <w:comboBox>
          <w:listItem w:displayText="是" w:value="true"/>
          <w:listItem w:displayText="否" w:value="false"/>
        </w:comboBox>
      </w:sdtPr>
      <w:sdtEndPr>
        <w:rPr>
          <w:rFonts w:hint="eastAsia" w:ascii="Arial" w:hAnsi="Arial"/>
          <w:bCs/>
          <w:szCs w:val="21"/>
        </w:rPr>
      </w:sdtEndPr>
      <w:sdtContent>
        <w:p w14:paraId="2715DC70">
          <w:pPr>
            <w:kinsoku w:val="0"/>
            <w:overflowPunct w:val="0"/>
            <w:autoSpaceDE w:val="0"/>
            <w:autoSpaceDN w:val="0"/>
            <w:adjustRightInd w:val="0"/>
            <w:snapToGrid w:val="0"/>
            <w:spacing w:line="360" w:lineRule="exact"/>
            <w:rPr>
              <w:rFonts w:ascii="Arial" w:hAnsi="Arial"/>
              <w:bCs/>
              <w:szCs w:val="21"/>
            </w:rPr>
          </w:pPr>
          <w:r>
            <w:rPr>
              <w:rFonts w:hint="eastAsia" w:ascii="Arial" w:hAnsi="Arial"/>
              <w:bCs/>
              <w:szCs w:val="21"/>
            </w:rPr>
            <w:t>否</w:t>
          </w:r>
        </w:p>
      </w:sdtContent>
    </w:sdt>
    <w:p w14:paraId="0CB66F36">
      <w:pPr>
        <w:kinsoku w:val="0"/>
        <w:overflowPunct w:val="0"/>
        <w:autoSpaceDE w:val="0"/>
        <w:autoSpaceDN w:val="0"/>
        <w:adjustRightInd w:val="0"/>
        <w:snapToGrid w:val="0"/>
        <w:spacing w:line="360" w:lineRule="exact"/>
        <w:rPr>
          <w:rFonts w:ascii="Arial" w:hAnsi="Arial"/>
          <w:bCs/>
          <w:szCs w:val="21"/>
        </w:rPr>
      </w:pPr>
    </w:p>
    <w:p w14:paraId="4DD518C6">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是否存在违反规定决策程序对外提供担保的情况</w:t>
      </w:r>
    </w:p>
    <w:sdt>
      <w:sdtPr>
        <w:rPr>
          <w:rFonts w:hint="eastAsia"/>
          <w:szCs w:val="21"/>
        </w:rPr>
        <w:alias w:val="本公司是否存在违反规定决策程序对外提供担保的情况"/>
        <w:tag w:val="_GBC_aef7ac6bbdf043bc8051c4f9fb55e5ea"/>
        <w:id w:val="-846867271"/>
        <w:placeholder>
          <w:docPart w:val="GBC22222222222222222222222222222"/>
        </w:placeholder>
        <w:comboBox>
          <w:listItem w:displayText="是" w:value="true"/>
          <w:listItem w:displayText="否" w:value="false"/>
        </w:comboBox>
      </w:sdtPr>
      <w:sdtEndPr>
        <w:rPr>
          <w:rFonts w:hint="eastAsia"/>
          <w:szCs w:val="21"/>
        </w:rPr>
      </w:sdtEndPr>
      <w:sdtContent>
        <w:p w14:paraId="03243994">
          <w:pPr>
            <w:rPr>
              <w:rFonts w:hint="eastAsia"/>
              <w:szCs w:val="21"/>
            </w:rPr>
          </w:pPr>
          <w:r>
            <w:rPr>
              <w:rFonts w:hint="eastAsia"/>
              <w:szCs w:val="21"/>
            </w:rPr>
            <w:t>否</w:t>
          </w:r>
        </w:p>
      </w:sdtContent>
    </w:sdt>
    <w:p w14:paraId="1FC1877C">
      <w:pPr>
        <w:rPr>
          <w:rFonts w:hint="eastAsia"/>
        </w:rPr>
      </w:pPr>
    </w:p>
    <w:p w14:paraId="5E7753AC">
      <w:pPr>
        <w:pStyle w:val="69"/>
        <w:numPr>
          <w:ilvl w:val="0"/>
          <w:numId w:val="1"/>
        </w:numPr>
        <w:tabs>
          <w:tab w:val="left" w:pos="434"/>
        </w:tabs>
        <w:spacing w:before="0"/>
        <w:rPr>
          <w:rFonts w:hint="eastAsia" w:ascii="Times New Roman" w:hAnsi="宋体" w:cs="宋体"/>
          <w:bCs w:val="0"/>
        </w:rPr>
      </w:pPr>
      <w:bookmarkStart w:id="1" w:name="_Hlk61881950"/>
      <w:r>
        <w:rPr>
          <w:rFonts w:ascii="Times New Roman" w:hAnsi="宋体" w:cs="宋体"/>
          <w:bCs w:val="0"/>
        </w:rPr>
        <w:t>是否存在半数以上董事无法保证公司所披露年度报告的真实性、准确性和完整性</w:t>
      </w:r>
      <w:bookmarkEnd w:id="1"/>
    </w:p>
    <w:sdt>
      <w:sdtPr>
        <w:rPr>
          <w:rFonts w:hint="eastAsia"/>
        </w:rPr>
        <w:alias w:val="是否存在半数以上董事无法保证公司所披露年度报告的真实性、准确性和完整性"/>
        <w:tag w:val="_GBC_abc43c78fabf487d8ee599f7fe1628a3"/>
        <w:id w:val="605315561"/>
        <w:placeholder>
          <w:docPart w:val="GBC22222222222222222222222222222"/>
        </w:placeholder>
        <w:comboBox>
          <w:listItem w:displayText="是" w:value="是"/>
          <w:listItem w:displayText="否" w:value="否"/>
        </w:comboBox>
      </w:sdtPr>
      <w:sdtEndPr>
        <w:rPr>
          <w:rFonts w:hint="eastAsia"/>
        </w:rPr>
      </w:sdtEndPr>
      <w:sdtContent>
        <w:p w14:paraId="69285B29">
          <w:pPr>
            <w:rPr>
              <w:rFonts w:hint="eastAsia"/>
              <w:szCs w:val="21"/>
            </w:rPr>
          </w:pPr>
          <w:r>
            <w:rPr>
              <w:rFonts w:hint="eastAsia"/>
            </w:rPr>
            <w:t>否</w:t>
          </w:r>
        </w:p>
      </w:sdtContent>
    </w:sdt>
    <w:p w14:paraId="4C3E2A0E">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重大风险提示</w:t>
      </w:r>
    </w:p>
    <w:sdt>
      <w:sdtPr>
        <w:alias w:val="重大风险提示"/>
        <w:tag w:val="_GBC_43a6b8847e0241f1af5326af848c7cec"/>
        <w:id w:val="1939632995"/>
        <w:placeholder>
          <w:docPart w:val="GBC22222222222222222222222222222"/>
        </w:placeholder>
      </w:sdtPr>
      <w:sdtContent>
        <w:p w14:paraId="07E04616">
          <w:pPr>
            <w:ind w:firstLine="420" w:firstLineChars="200"/>
            <w:rPr>
              <w:rFonts w:hint="eastAsia"/>
            </w:rPr>
          </w:pPr>
          <w:r>
            <w:rPr>
              <w:rFonts w:hint="eastAsia"/>
            </w:rPr>
            <w:t>公司有关风险因素内容与对策措施已在本报告中“第三节管理层讨论与分析”之“六、公司关于公司未来发展的讨论与分析”之“(四)可能面对的风险”部分予以详细描述，敬请查阅相关内容。</w:t>
          </w:r>
        </w:p>
      </w:sdtContent>
    </w:sdt>
    <w:p w14:paraId="41ED7C27">
      <w:pPr>
        <w:rPr>
          <w:rFonts w:hint="eastAsia"/>
        </w:rPr>
      </w:pPr>
    </w:p>
    <w:p w14:paraId="4EC0CCEB">
      <w:pPr>
        <w:pStyle w:val="69"/>
        <w:numPr>
          <w:ilvl w:val="0"/>
          <w:numId w:val="1"/>
        </w:numPr>
        <w:tabs>
          <w:tab w:val="left" w:pos="434"/>
        </w:tabs>
        <w:spacing w:before="0"/>
        <w:rPr>
          <w:rFonts w:hint="eastAsia" w:ascii="Times New Roman" w:hAnsi="宋体" w:cs="宋体"/>
          <w:bCs w:val="0"/>
        </w:rPr>
      </w:pPr>
      <w:r>
        <w:rPr>
          <w:rFonts w:ascii="Times New Roman" w:hAnsi="宋体" w:cs="宋体"/>
          <w:bCs w:val="0"/>
        </w:rPr>
        <w:t>其他</w:t>
      </w:r>
    </w:p>
    <w:sdt>
      <w:sdtPr>
        <w:alias w:val="是否适用：其他重要提示[双击切换]"/>
        <w:tag w:val="_GBC_0eafa210a73340628544c13dacbc7643"/>
        <w:id w:val="-202023703"/>
        <w:placeholder>
          <w:docPart w:val="GBC22222222222222222222222222222"/>
        </w:placeholder>
      </w:sdtPr>
      <w:sdtContent>
        <w:p w14:paraId="7DAB86AF">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85AD9FE">
      <w:pPr>
        <w:rPr>
          <w:rFonts w:hint="eastAsia"/>
          <w:szCs w:val="21"/>
        </w:rPr>
      </w:pPr>
    </w:p>
    <w:p w14:paraId="1069A6D7">
      <w:pPr>
        <w:rPr>
          <w:rFonts w:hint="eastAsia"/>
          <w:szCs w:val="21"/>
        </w:rPr>
      </w:pPr>
      <w:r>
        <w:rPr>
          <w:szCs w:val="21"/>
        </w:rPr>
        <w:br w:type="page"/>
      </w:r>
    </w:p>
    <w:p w14:paraId="4032371C">
      <w:pPr>
        <w:spacing w:line="480" w:lineRule="auto"/>
        <w:jc w:val="center"/>
        <w:rPr>
          <w:rFonts w:hint="eastAsia"/>
          <w:b/>
          <w:sz w:val="28"/>
          <w:szCs w:val="28"/>
        </w:rPr>
      </w:pPr>
      <w:r>
        <w:rPr>
          <w:rFonts w:hint="eastAsia"/>
          <w:b/>
          <w:sz w:val="28"/>
          <w:szCs w:val="28"/>
        </w:rPr>
        <w:t>目录</w:t>
      </w:r>
    </w:p>
    <w:p w14:paraId="6178FF11">
      <w:pPr>
        <w:pStyle w:val="86"/>
        <w:rPr>
          <w:rFonts w:asciiTheme="minorHAnsi" w:hAnsiTheme="minorHAnsi" w:eastAsiaTheme="minorEastAsia" w:cstheme="minorBidi"/>
          <w:b/>
          <w:bCs/>
          <w:szCs w:val="22"/>
          <w14:ligatures w14:val="standardContextual"/>
        </w:rPr>
      </w:pPr>
      <w:r>
        <w:rPr>
          <w:b/>
          <w:bCs/>
        </w:rPr>
        <w:fldChar w:fldCharType="begin"/>
      </w:r>
      <w:r>
        <w:rPr>
          <w:b/>
          <w:bCs/>
        </w:rPr>
        <w:instrText xml:space="preserve"> TOC \o "1-1" \h \z \u </w:instrText>
      </w:r>
      <w:r>
        <w:rPr>
          <w:b/>
          <w:bCs/>
        </w:rPr>
        <w:fldChar w:fldCharType="separate"/>
      </w:r>
      <w:r>
        <w:fldChar w:fldCharType="begin"/>
      </w:r>
      <w:r>
        <w:instrText xml:space="preserve"> HYPERLINK \l "_Toc184741574" </w:instrText>
      </w:r>
      <w:r>
        <w:fldChar w:fldCharType="separate"/>
      </w:r>
      <w:r>
        <w:rPr>
          <w:rStyle w:val="97"/>
          <w:rFonts w:hint="eastAsia"/>
          <w:b/>
          <w:bCs/>
          <w:color w:val="auto"/>
          <w:u w:val="none"/>
        </w:rPr>
        <w:t>第一节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释义</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_Toc184741574 \h</w:instrText>
      </w:r>
      <w:r>
        <w:rPr>
          <w:rFonts w:hint="eastAsia"/>
          <w:b/>
          <w:bCs/>
        </w:rPr>
        <w:instrText xml:space="preserve"> </w:instrText>
      </w:r>
      <w:r>
        <w:rPr>
          <w:rFonts w:hint="eastAsia"/>
          <w:b/>
          <w:bCs/>
        </w:rPr>
        <w:fldChar w:fldCharType="separate"/>
      </w:r>
      <w:r>
        <w:rPr>
          <w:b/>
          <w:bCs/>
        </w:rPr>
        <w:t>5</w:t>
      </w:r>
      <w:r>
        <w:rPr>
          <w:rFonts w:hint="eastAsia"/>
          <w:b/>
          <w:bCs/>
        </w:rPr>
        <w:fldChar w:fldCharType="end"/>
      </w:r>
      <w:r>
        <w:rPr>
          <w:rFonts w:hint="eastAsia"/>
          <w:b/>
          <w:bCs/>
        </w:rPr>
        <w:fldChar w:fldCharType="end"/>
      </w:r>
    </w:p>
    <w:p w14:paraId="79DE1D78">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"_Toc184741575" </w:instrText>
      </w:r>
      <w:r>
        <w:fldChar w:fldCharType="separate"/>
      </w:r>
      <w:r>
        <w:rPr>
          <w:rStyle w:val="97"/>
          <w:rFonts w:hint="eastAsia"/>
          <w:b/>
          <w:bCs/>
          <w:color w:val="auto"/>
          <w:u w:val="none"/>
        </w:rPr>
        <w:t>第二节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公司简介和主要财务指标</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_Toc184741575 \h</w:instrText>
      </w:r>
      <w:r>
        <w:rPr>
          <w:rFonts w:hint="eastAsia"/>
          <w:b/>
          <w:bCs/>
        </w:rPr>
        <w:instrText xml:space="preserve"> </w:instrText>
      </w:r>
      <w:r>
        <w:rPr>
          <w:rFonts w:hint="eastAsia"/>
          <w:b/>
          <w:bCs/>
        </w:rPr>
        <w:fldChar w:fldCharType="separate"/>
      </w:r>
      <w:r>
        <w:rPr>
          <w:b/>
          <w:bCs/>
        </w:rPr>
        <w:t>5</w:t>
      </w:r>
      <w:r>
        <w:rPr>
          <w:rFonts w:hint="eastAsia"/>
          <w:b/>
          <w:bCs/>
        </w:rPr>
        <w:fldChar w:fldCharType="end"/>
      </w:r>
      <w:r>
        <w:rPr>
          <w:rFonts w:hint="eastAsia"/>
          <w:b/>
          <w:bCs/>
        </w:rPr>
        <w:fldChar w:fldCharType="end"/>
      </w:r>
    </w:p>
    <w:p w14:paraId="591D6CD1">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"_Toc184741576" </w:instrText>
      </w:r>
      <w:r>
        <w:fldChar w:fldCharType="separate"/>
      </w:r>
      <w:r>
        <w:rPr>
          <w:rStyle w:val="97"/>
          <w:rFonts w:hint="eastAsia"/>
          <w:b/>
          <w:bCs/>
          <w:color w:val="auto"/>
          <w:u w:val="none"/>
        </w:rPr>
        <w:t>第三节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管理层讨论与分析</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_Toc184741576 \h</w:instrText>
      </w:r>
      <w:r>
        <w:rPr>
          <w:rFonts w:hint="eastAsia"/>
          <w:b/>
          <w:bCs/>
        </w:rPr>
        <w:instrText xml:space="preserve"> </w:instrText>
      </w:r>
      <w:r>
        <w:rPr>
          <w:rFonts w:hint="eastAsia"/>
          <w:b/>
          <w:bCs/>
        </w:rPr>
        <w:fldChar w:fldCharType="separate"/>
      </w:r>
      <w:r>
        <w:rPr>
          <w:b/>
          <w:bCs/>
        </w:rPr>
        <w:t>9</w:t>
      </w:r>
      <w:r>
        <w:rPr>
          <w:rFonts w:hint="eastAsia"/>
          <w:b/>
          <w:bCs/>
        </w:rPr>
        <w:fldChar w:fldCharType="end"/>
      </w:r>
      <w:r>
        <w:rPr>
          <w:rFonts w:hint="eastAsia"/>
          <w:b/>
          <w:bCs/>
        </w:rPr>
        <w:fldChar w:fldCharType="end"/>
      </w:r>
    </w:p>
    <w:p w14:paraId="58E4813D">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"_Toc184741577" </w:instrText>
      </w:r>
      <w:r>
        <w:fldChar w:fldCharType="separate"/>
      </w:r>
      <w:r>
        <w:rPr>
          <w:rStyle w:val="97"/>
          <w:rFonts w:hint="eastAsia"/>
          <w:b/>
          <w:bCs/>
          <w:color w:val="auto"/>
          <w:u w:val="none"/>
        </w:rPr>
        <w:t>第四节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公司治理</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_Toc184741577 \h</w:instrText>
      </w:r>
      <w:r>
        <w:rPr>
          <w:rFonts w:hint="eastAsia"/>
          <w:b/>
          <w:bCs/>
        </w:rPr>
        <w:instrText xml:space="preserve"> </w:instrText>
      </w:r>
      <w:r>
        <w:rPr>
          <w:rFonts w:hint="eastAsia"/>
          <w:b/>
          <w:bCs/>
        </w:rPr>
        <w:fldChar w:fldCharType="separate"/>
      </w:r>
      <w:r>
        <w:rPr>
          <w:b/>
          <w:bCs/>
        </w:rPr>
        <w:t>22</w:t>
      </w:r>
      <w:r>
        <w:rPr>
          <w:rFonts w:hint="eastAsia"/>
          <w:b/>
          <w:bCs/>
        </w:rPr>
        <w:fldChar w:fldCharType="end"/>
      </w:r>
      <w:r>
        <w:rPr>
          <w:rFonts w:hint="eastAsia"/>
          <w:b/>
          <w:bCs/>
        </w:rPr>
        <w:fldChar w:fldCharType="end"/>
      </w:r>
    </w:p>
    <w:p w14:paraId="513EEFE7">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"_Toc184741578" </w:instrText>
      </w:r>
      <w:r>
        <w:fldChar w:fldCharType="separate"/>
      </w:r>
      <w:r>
        <w:rPr>
          <w:rStyle w:val="97"/>
          <w:rFonts w:hint="eastAsia"/>
          <w:b/>
          <w:bCs/>
          <w:color w:val="auto"/>
          <w:u w:val="none"/>
        </w:rPr>
        <w:t>第五节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环境与社会责任</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_Toc184741578 \h</w:instrText>
      </w:r>
      <w:r>
        <w:rPr>
          <w:rFonts w:hint="eastAsia"/>
          <w:b/>
          <w:bCs/>
        </w:rPr>
        <w:instrText xml:space="preserve"> </w:instrText>
      </w:r>
      <w:r>
        <w:rPr>
          <w:rFonts w:hint="eastAsia"/>
          <w:b/>
          <w:bCs/>
        </w:rPr>
        <w:fldChar w:fldCharType="separate"/>
      </w:r>
      <w:r>
        <w:rPr>
          <w:b/>
          <w:bCs/>
        </w:rPr>
        <w:t>47</w:t>
      </w:r>
      <w:r>
        <w:rPr>
          <w:rFonts w:hint="eastAsia"/>
          <w:b/>
          <w:bCs/>
        </w:rPr>
        <w:fldChar w:fldCharType="end"/>
      </w:r>
      <w:r>
        <w:rPr>
          <w:rFonts w:hint="eastAsia"/>
          <w:b/>
          <w:bCs/>
        </w:rPr>
        <w:fldChar w:fldCharType="end"/>
      </w:r>
    </w:p>
    <w:p w14:paraId="76865C96">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"_Toc184741579" </w:instrText>
      </w:r>
      <w:r>
        <w:fldChar w:fldCharType="separate"/>
      </w:r>
      <w:r>
        <w:rPr>
          <w:rStyle w:val="97"/>
          <w:rFonts w:hint="eastAsia"/>
          <w:b/>
          <w:bCs/>
          <w:color w:val="auto"/>
          <w:u w:val="none"/>
        </w:rPr>
        <w:t>第六节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重要事项</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_Toc184741579 \h</w:instrText>
      </w:r>
      <w:r>
        <w:rPr>
          <w:rFonts w:hint="eastAsia"/>
          <w:b/>
          <w:bCs/>
        </w:rPr>
        <w:instrText xml:space="preserve"> </w:instrText>
      </w:r>
      <w:r>
        <w:rPr>
          <w:rFonts w:hint="eastAsia"/>
          <w:b/>
          <w:bCs/>
        </w:rPr>
        <w:fldChar w:fldCharType="separate"/>
      </w:r>
      <w:r>
        <w:rPr>
          <w:b/>
          <w:bCs/>
        </w:rPr>
        <w:t>54</w:t>
      </w:r>
      <w:r>
        <w:rPr>
          <w:rFonts w:hint="eastAsia"/>
          <w:b/>
          <w:bCs/>
        </w:rPr>
        <w:fldChar w:fldCharType="end"/>
      </w:r>
      <w:r>
        <w:rPr>
          <w:rFonts w:hint="eastAsia"/>
          <w:b/>
          <w:bCs/>
        </w:rPr>
        <w:fldChar w:fldCharType="end"/>
      </w:r>
    </w:p>
    <w:p w14:paraId="1B9AE75F">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"_Toc184741580" </w:instrText>
      </w:r>
      <w:r>
        <w:fldChar w:fldCharType="separate"/>
      </w:r>
      <w:r>
        <w:rPr>
          <w:rStyle w:val="97"/>
          <w:rFonts w:hint="eastAsia"/>
          <w:b/>
          <w:bCs/>
          <w:color w:val="auto"/>
          <w:u w:val="none"/>
        </w:rPr>
        <w:t>第七节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股份变动及股东情况</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_Toc184741580 \h</w:instrText>
      </w:r>
      <w:r>
        <w:rPr>
          <w:rFonts w:hint="eastAsia"/>
          <w:b/>
          <w:bCs/>
        </w:rPr>
        <w:instrText xml:space="preserve"> </w:instrText>
      </w:r>
      <w:r>
        <w:rPr>
          <w:rFonts w:hint="eastAsia"/>
          <w:b/>
          <w:bCs/>
        </w:rPr>
        <w:fldChar w:fldCharType="separate"/>
      </w:r>
      <w:r>
        <w:rPr>
          <w:b/>
          <w:bCs/>
        </w:rPr>
        <w:t>75</w:t>
      </w:r>
      <w:r>
        <w:rPr>
          <w:rFonts w:hint="eastAsia"/>
          <w:b/>
          <w:bCs/>
        </w:rPr>
        <w:fldChar w:fldCharType="end"/>
      </w:r>
      <w:r>
        <w:rPr>
          <w:rFonts w:hint="eastAsia"/>
          <w:b/>
          <w:bCs/>
        </w:rPr>
        <w:fldChar w:fldCharType="end"/>
      </w:r>
    </w:p>
    <w:p w14:paraId="20AAEB2D">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"_Toc184741581" </w:instrText>
      </w:r>
      <w:r>
        <w:fldChar w:fldCharType="separate"/>
      </w:r>
      <w:r>
        <w:rPr>
          <w:rStyle w:val="97"/>
          <w:rFonts w:hint="eastAsia"/>
          <w:b/>
          <w:bCs/>
          <w:color w:val="auto"/>
          <w:u w:val="none"/>
        </w:rPr>
        <w:t>第八节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优先股相关情况</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_Toc184741581 \h</w:instrText>
      </w:r>
      <w:r>
        <w:rPr>
          <w:rFonts w:hint="eastAsia"/>
          <w:b/>
          <w:bCs/>
        </w:rPr>
        <w:instrText xml:space="preserve"> </w:instrText>
      </w:r>
      <w:r>
        <w:rPr>
          <w:rFonts w:hint="eastAsia"/>
          <w:b/>
          <w:bCs/>
        </w:rPr>
        <w:fldChar w:fldCharType="separate"/>
      </w:r>
      <w:r>
        <w:rPr>
          <w:b/>
          <w:bCs/>
        </w:rPr>
        <w:t>82</w:t>
      </w:r>
      <w:r>
        <w:rPr>
          <w:rFonts w:hint="eastAsia"/>
          <w:b/>
          <w:bCs/>
        </w:rPr>
        <w:fldChar w:fldCharType="end"/>
      </w:r>
      <w:r>
        <w:rPr>
          <w:rFonts w:hint="eastAsia"/>
          <w:b/>
          <w:bCs/>
        </w:rPr>
        <w:fldChar w:fldCharType="end"/>
      </w:r>
    </w:p>
    <w:p w14:paraId="580CD1A5">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"_Toc184741582" </w:instrText>
      </w:r>
      <w:r>
        <w:fldChar w:fldCharType="separate"/>
      </w:r>
      <w:r>
        <w:rPr>
          <w:rStyle w:val="97"/>
          <w:rFonts w:hint="eastAsia"/>
          <w:b/>
          <w:bCs/>
          <w:color w:val="auto"/>
          <w:u w:val="none"/>
        </w:rPr>
        <w:t>第九节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债券相关情况</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_Toc184741582 \h</w:instrText>
      </w:r>
      <w:r>
        <w:rPr>
          <w:rFonts w:hint="eastAsia"/>
          <w:b/>
          <w:bCs/>
        </w:rPr>
        <w:instrText xml:space="preserve"> </w:instrText>
      </w:r>
      <w:r>
        <w:rPr>
          <w:rFonts w:hint="eastAsia"/>
          <w:b/>
          <w:bCs/>
        </w:rPr>
        <w:fldChar w:fldCharType="separate"/>
      </w:r>
      <w:r>
        <w:rPr>
          <w:b/>
          <w:bCs/>
        </w:rPr>
        <w:t>83</w:t>
      </w:r>
      <w:r>
        <w:rPr>
          <w:rFonts w:hint="eastAsia"/>
          <w:b/>
          <w:bCs/>
        </w:rPr>
        <w:fldChar w:fldCharType="end"/>
      </w:r>
      <w:r>
        <w:rPr>
          <w:rFonts w:hint="eastAsia"/>
          <w:b/>
          <w:bCs/>
        </w:rPr>
        <w:fldChar w:fldCharType="end"/>
      </w:r>
    </w:p>
    <w:p w14:paraId="7ED39EE6">
      <w:pPr>
        <w:pStyle w:val="86"/>
        <w:rPr>
          <w:rFonts w:asciiTheme="minorHAnsi" w:hAnsiTheme="minorHAnsi" w:eastAsiaTheme="minorEastAsia" w:cstheme="minorBidi"/>
          <w:b/>
          <w:bCs/>
          <w:szCs w:val="22"/>
          <w14:ligatures w14:val="standardContextual"/>
        </w:rPr>
      </w:pPr>
      <w:r>
        <w:fldChar w:fldCharType="begin"/>
      </w:r>
      <w:r>
        <w:instrText xml:space="preserve"> HYPERLINK \l "_Toc184741583" </w:instrText>
      </w:r>
      <w:r>
        <w:fldChar w:fldCharType="separate"/>
      </w:r>
      <w:r>
        <w:rPr>
          <w:rStyle w:val="97"/>
          <w:rFonts w:hint="eastAsia"/>
          <w:b/>
          <w:bCs/>
          <w:color w:val="auto"/>
          <w:u w:val="none"/>
        </w:rPr>
        <w:t>第十节</w:t>
      </w:r>
      <w:r>
        <w:rPr>
          <w:rFonts w:hint="eastAsia" w:asciiTheme="minorHAnsi" w:hAnsiTheme="minorHAnsi" w:eastAsiaTheme="minorEastAsia" w:cstheme="minorBidi"/>
          <w:b/>
          <w:bCs/>
          <w:szCs w:val="22"/>
          <w14:ligatures w14:val="standardContextual"/>
        </w:rPr>
        <w:tab/>
      </w:r>
      <w:r>
        <w:rPr>
          <w:rStyle w:val="97"/>
          <w:rFonts w:hint="eastAsia"/>
          <w:b/>
          <w:bCs/>
          <w:color w:val="auto"/>
          <w:u w:val="none"/>
        </w:rPr>
        <w:t>财务报告</w:t>
      </w:r>
      <w:r>
        <w:rPr>
          <w:rFonts w:hint="eastAsia"/>
          <w:b/>
          <w:bCs/>
        </w:rPr>
        <w:tab/>
      </w:r>
      <w:r>
        <w:rPr>
          <w:rFonts w:hint="eastAsia"/>
          <w:b/>
          <w:bCs/>
        </w:rPr>
        <w:fldChar w:fldCharType="begin"/>
      </w:r>
      <w:r>
        <w:rPr>
          <w:rFonts w:hint="eastAsia"/>
          <w:b/>
          <w:bCs/>
        </w:rPr>
        <w:instrText xml:space="preserve"> </w:instrText>
      </w:r>
      <w:r>
        <w:rPr>
          <w:b/>
          <w:bCs/>
        </w:rPr>
        <w:instrText xml:space="preserve">PAGEREF _Toc184741583 \h</w:instrText>
      </w:r>
      <w:r>
        <w:rPr>
          <w:rFonts w:hint="eastAsia"/>
          <w:b/>
          <w:bCs/>
        </w:rPr>
        <w:instrText xml:space="preserve"> </w:instrText>
      </w:r>
      <w:r>
        <w:rPr>
          <w:rFonts w:hint="eastAsia"/>
          <w:b/>
          <w:bCs/>
        </w:rPr>
        <w:fldChar w:fldCharType="separate"/>
      </w:r>
      <w:r>
        <w:rPr>
          <w:b/>
          <w:bCs/>
        </w:rPr>
        <w:t>93</w:t>
      </w:r>
      <w:r>
        <w:rPr>
          <w:rFonts w:hint="eastAsia"/>
          <w:b/>
          <w:bCs/>
        </w:rPr>
        <w:fldChar w:fldCharType="end"/>
      </w:r>
      <w:r>
        <w:rPr>
          <w:rFonts w:hint="eastAsia"/>
          <w:b/>
          <w:bCs/>
        </w:rPr>
        <w:fldChar w:fldCharType="end"/>
      </w:r>
    </w:p>
    <w:p w14:paraId="1783D658">
      <w:pPr>
        <w:rPr>
          <w:rFonts w:hint="eastAsia"/>
        </w:rPr>
      </w:pPr>
      <w:r>
        <w:rPr>
          <w:b/>
          <w:bCs/>
        </w:rPr>
        <w:fldChar w:fldCharType="end"/>
      </w:r>
      <w:bookmarkStart w:id="2" w:name="_Toc436392761"/>
      <w:bookmarkStart w:id="3" w:name="_Toc437440708"/>
    </w:p>
    <w:p w14:paraId="37C299F4">
      <w:pPr>
        <w:spacing w:line="360" w:lineRule="exact"/>
        <w:ind w:right="5"/>
        <w:rPr>
          <w:rFonts w:hint="eastAsia"/>
          <w:b/>
          <w:bCs/>
          <w:sz w:val="24"/>
        </w:rPr>
      </w:pPr>
      <w:bookmarkStart w:id="4" w:name="_Hlk90893687"/>
      <w:bookmarkStart w:id="5" w:name="_Hlk90888086"/>
      <w:bookmarkStart w:id="6" w:name="_Hlk90891770"/>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294"/>
        <w:gridCol w:w="6599"/>
      </w:tblGrid>
      <w:sdt>
        <w:sdtPr>
          <w:alias w:val="备查文件情况"/>
          <w:tag w:val="_TUP_bb3c6eba15bb4f89aaabf5b28bea5766"/>
          <w:id w:val="936255430"/>
          <w:placeholder>
            <w:docPart w:val="1F89E5A0F97D4DC3802BD059C5604955"/>
          </w:placeholder>
        </w:sdtPr>
        <w:sdtContent>
          <w:tr w14:paraId="1A42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90" w:type="pct"/>
                <w:vMerge w:val="restart"/>
                <w:tcBorders>
                  <w:top w:val="single" w:color="auto" w:sz="4" w:space="0"/>
                  <w:left w:val="single" w:color="auto" w:sz="4" w:space="0"/>
                  <w:bottom w:val="single" w:color="auto" w:sz="4" w:space="0"/>
                  <w:right w:val="single" w:color="auto" w:sz="4" w:space="0"/>
                </w:tcBorders>
                <w:vAlign w:val="center"/>
              </w:tcPr>
              <w:sdt>
                <w:sdtPr>
                  <w:tag w:val="_PLD_a77548a64feb4f70a4cecbb587219734"/>
                  <w:id w:val="-1284112732"/>
                </w:sdtPr>
                <w:sdtContent>
                  <w:p w14:paraId="3F98F105">
                    <w:pPr>
                      <w:autoSpaceDE w:val="0"/>
                      <w:autoSpaceDN w:val="0"/>
                      <w:adjustRightInd w:val="0"/>
                      <w:jc w:val="center"/>
                      <w:rPr>
                        <w:rFonts w:hint="eastAsia"/>
                      </w:rPr>
                    </w:pPr>
                    <w:r>
                      <w:t>备查文件目录</w:t>
                    </w:r>
                  </w:p>
                </w:sdtContent>
              </w:sdt>
            </w:tc>
            <w:tc>
              <w:tcPr>
                <w:tcW w:w="3710" w:type="pct"/>
                <w:tcBorders>
                  <w:top w:val="single" w:color="auto" w:sz="4" w:space="0"/>
                  <w:left w:val="single" w:color="auto" w:sz="4" w:space="0"/>
                  <w:bottom w:val="single" w:color="auto" w:sz="4" w:space="0"/>
                  <w:right w:val="single" w:color="auto" w:sz="4" w:space="0"/>
                </w:tcBorders>
              </w:tcPr>
              <w:p w14:paraId="69631C50">
                <w:pPr>
                  <w:autoSpaceDE w:val="0"/>
                  <w:autoSpaceDN w:val="0"/>
                  <w:adjustRightInd w:val="0"/>
                  <w:rPr>
                    <w:rFonts w:hint="eastAsia"/>
                  </w:rPr>
                </w:pPr>
                <w:r>
                  <w:rPr>
                    <w:rFonts w:hint="eastAsia"/>
                  </w:rPr>
                  <w:t>载有公司负责人、主管会计工作负责人、会计机构负责人（会计主管人员）签名并盖章的财务报表</w:t>
                </w:r>
                <w:r>
                  <w:cr/>
                </w:r>
              </w:p>
            </w:tc>
          </w:tr>
        </w:sdtContent>
      </w:sdt>
      <w:tr w14:paraId="6520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14:paraId="759AD9DE">
            <w:pPr>
              <w:rPr>
                <w:rFonts w:hint="eastAsia"/>
              </w:rPr>
            </w:pPr>
          </w:p>
        </w:tc>
        <w:tc>
          <w:tcPr>
            <w:tcW w:w="3710" w:type="pct"/>
            <w:tcBorders>
              <w:top w:val="single" w:color="auto" w:sz="4" w:space="0"/>
              <w:left w:val="single" w:color="auto" w:sz="4" w:space="0"/>
              <w:bottom w:val="single" w:color="auto" w:sz="4" w:space="0"/>
              <w:right w:val="single" w:color="auto" w:sz="4" w:space="0"/>
            </w:tcBorders>
          </w:tcPr>
          <w:p w14:paraId="50A500E6">
            <w:pPr>
              <w:autoSpaceDE w:val="0"/>
              <w:autoSpaceDN w:val="0"/>
              <w:adjustRightInd w:val="0"/>
              <w:rPr>
                <w:rFonts w:hint="eastAsia"/>
              </w:rPr>
            </w:pPr>
            <w:r>
              <w:rPr>
                <w:rFonts w:hint="eastAsia"/>
              </w:rPr>
              <w:t>载有会计师事务所盖章、注册会计师签名并盖章的公司</w:t>
            </w:r>
            <w:r>
              <w:t>2024年度审计报告原件</w:t>
            </w:r>
          </w:p>
        </w:tc>
      </w:tr>
      <w:tr w14:paraId="6425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14:paraId="259FCD31">
            <w:pPr>
              <w:rPr>
                <w:rFonts w:hint="eastAsia"/>
              </w:rPr>
            </w:pPr>
          </w:p>
        </w:tc>
        <w:tc>
          <w:tcPr>
            <w:tcW w:w="3710" w:type="pct"/>
            <w:tcBorders>
              <w:top w:val="single" w:color="auto" w:sz="4" w:space="0"/>
              <w:left w:val="single" w:color="auto" w:sz="4" w:space="0"/>
              <w:bottom w:val="single" w:color="auto" w:sz="4" w:space="0"/>
              <w:right w:val="single" w:color="auto" w:sz="4" w:space="0"/>
            </w:tcBorders>
          </w:tcPr>
          <w:p w14:paraId="7E8F8D1D">
            <w:pPr>
              <w:autoSpaceDE w:val="0"/>
              <w:autoSpaceDN w:val="0"/>
              <w:adjustRightInd w:val="0"/>
              <w:rPr>
                <w:rFonts w:hint="eastAsia"/>
              </w:rPr>
            </w:pPr>
            <w:r>
              <w:rPr>
                <w:rFonts w:hint="eastAsia"/>
              </w:rPr>
              <w:t>报告期内在上交所和证监会指定信息披露媒体上披露过的所有公司文件的正本及公告的原稿　</w:t>
            </w:r>
          </w:p>
        </w:tc>
      </w:tr>
    </w:tbl>
    <w:p w14:paraId="1199A2B9">
      <w:pPr>
        <w:spacing w:line="360" w:lineRule="exact"/>
        <w:jc w:val="right"/>
        <w:rPr>
          <w:rFonts w:hint="eastAsia"/>
        </w:rPr>
      </w:pPr>
    </w:p>
    <w:bookmarkEnd w:id="4"/>
    <w:bookmarkEnd w:id="5"/>
    <w:p w14:paraId="4E0440EA">
      <w:pPr>
        <w:rPr>
          <w:rFonts w:hint="eastAsia"/>
        </w:rPr>
      </w:pPr>
    </w:p>
    <w:p w14:paraId="143B2335">
      <w:pPr>
        <w:rPr>
          <w:rFonts w:hint="eastAsia"/>
        </w:rPr>
      </w:pPr>
    </w:p>
    <w:bookmarkEnd w:id="6"/>
    <w:p w14:paraId="3BC265B2">
      <w:pPr>
        <w:rPr>
          <w:rFonts w:hint="eastAsia"/>
        </w:rPr>
        <w:sectPr>
          <w:pgSz w:w="11906" w:h="16838"/>
          <w:pgMar w:top="1440" w:right="1797" w:bottom="1525" w:left="1276" w:header="855" w:footer="992" w:gutter="0"/>
          <w:cols w:space="425" w:num="1"/>
          <w:docGrid w:linePitch="312" w:charSpace="0"/>
        </w:sectPr>
      </w:pPr>
    </w:p>
    <w:p w14:paraId="416523C2">
      <w:pPr>
        <w:pStyle w:val="2"/>
        <w:numPr>
          <w:ilvl w:val="0"/>
          <w:numId w:val="2"/>
        </w:numPr>
      </w:pPr>
      <w:bookmarkStart w:id="7" w:name="_Toc184741574"/>
      <w:r>
        <w:rPr>
          <w:rFonts w:hint="eastAsia"/>
        </w:rPr>
        <w:t>释义</w:t>
      </w:r>
    </w:p>
    <w:bookmarkEnd w:id="2"/>
    <w:bookmarkEnd w:id="3"/>
    <w:bookmarkEnd w:id="7"/>
    <w:p w14:paraId="60199CCC">
      <w:pPr>
        <w:pStyle w:val="3"/>
        <w:numPr>
          <w:ilvl w:val="0"/>
          <w:numId w:val="3"/>
        </w:numPr>
        <w:tabs>
          <w:tab w:val="left" w:pos="588"/>
        </w:tabs>
        <w:ind w:left="369" w:hanging="369" w:hangingChars="175"/>
      </w:pPr>
      <w:r>
        <w:t>释义</w:t>
      </w:r>
    </w:p>
    <w:p w14:paraId="51A11759">
      <w:pPr>
        <w:rPr>
          <w:rFonts w:hint="eastAsia"/>
          <w:szCs w:val="21"/>
        </w:rPr>
      </w:pPr>
      <w:r>
        <w:rPr>
          <w:szCs w:val="21"/>
        </w:rPr>
        <w:t>在本报告书中，除非文义另有所指，下列词语具有如下含义：</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851"/>
        <w:gridCol w:w="5000"/>
      </w:tblGrid>
      <w:tr w14:paraId="0718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f37a984a1d34209a94aac58652eb6b9"/>
            <w:id w:val="1000934539"/>
          </w:sdtPr>
          <w:sdtContent>
            <w:tc>
              <w:tcPr>
                <w:tcW w:w="8823" w:type="dxa"/>
                <w:gridSpan w:val="3"/>
              </w:tcPr>
              <w:p w14:paraId="2C0997FC">
                <w:pPr>
                  <w:widowControl w:val="0"/>
                  <w:jc w:val="both"/>
                  <w:rPr>
                    <w:rFonts w:hint="eastAsia"/>
                    <w:szCs w:val="21"/>
                  </w:rPr>
                </w:pPr>
                <w:r>
                  <w:rPr>
                    <w:szCs w:val="21"/>
                  </w:rPr>
                  <w:t>常用词语释义</w:t>
                </w:r>
              </w:p>
            </w:tc>
          </w:sdtContent>
        </w:sdt>
      </w:tr>
      <w:tr w14:paraId="449C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4FEF09B9">
            <w:pPr>
              <w:widowControl w:val="0"/>
              <w:jc w:val="both"/>
              <w:rPr>
                <w:rFonts w:hint="eastAsia"/>
                <w:szCs w:val="21"/>
              </w:rPr>
            </w:pPr>
            <w:r>
              <w:t>证监会</w:t>
            </w:r>
          </w:p>
        </w:tc>
        <w:tc>
          <w:tcPr>
            <w:tcW w:w="851" w:type="dxa"/>
          </w:tcPr>
          <w:p w14:paraId="2054E623">
            <w:pPr>
              <w:widowControl w:val="0"/>
              <w:jc w:val="center"/>
              <w:rPr>
                <w:rFonts w:hint="eastAsia"/>
                <w:szCs w:val="21"/>
                <w:highlight w:val="lightGray"/>
              </w:rPr>
            </w:pPr>
            <w:r>
              <w:rPr>
                <w:rFonts w:hint="eastAsia"/>
                <w:szCs w:val="21"/>
              </w:rPr>
              <w:t>指</w:t>
            </w:r>
          </w:p>
        </w:tc>
        <w:tc>
          <w:tcPr>
            <w:tcW w:w="5000" w:type="dxa"/>
          </w:tcPr>
          <w:p w14:paraId="740D7DB7">
            <w:pPr>
              <w:widowControl w:val="0"/>
              <w:jc w:val="both"/>
              <w:rPr>
                <w:rFonts w:hint="eastAsia"/>
                <w:szCs w:val="21"/>
              </w:rPr>
            </w:pPr>
            <w:r>
              <w:rPr>
                <w:rFonts w:hint="eastAsia"/>
                <w:szCs w:val="21"/>
              </w:rPr>
              <w:t>中国证券监督管理委员会</w:t>
            </w:r>
          </w:p>
        </w:tc>
      </w:tr>
      <w:tr w14:paraId="786B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4E8DBA07">
            <w:pPr>
              <w:widowControl w:val="0"/>
              <w:jc w:val="both"/>
              <w:rPr>
                <w:rFonts w:hint="eastAsia"/>
                <w:szCs w:val="21"/>
              </w:rPr>
            </w:pPr>
            <w:r>
              <w:t>上交所</w:t>
            </w:r>
          </w:p>
        </w:tc>
        <w:tc>
          <w:tcPr>
            <w:tcW w:w="851" w:type="dxa"/>
          </w:tcPr>
          <w:p w14:paraId="2E268DBD">
            <w:pPr>
              <w:widowControl w:val="0"/>
              <w:jc w:val="center"/>
              <w:rPr>
                <w:rFonts w:hint="eastAsia"/>
                <w:szCs w:val="21"/>
              </w:rPr>
            </w:pPr>
            <w:r>
              <w:rPr>
                <w:rFonts w:hint="eastAsia"/>
                <w:szCs w:val="21"/>
              </w:rPr>
              <w:t>指</w:t>
            </w:r>
          </w:p>
        </w:tc>
        <w:tc>
          <w:tcPr>
            <w:tcW w:w="5000" w:type="dxa"/>
          </w:tcPr>
          <w:p w14:paraId="1818546B">
            <w:pPr>
              <w:widowControl w:val="0"/>
              <w:jc w:val="both"/>
              <w:rPr>
                <w:rFonts w:hint="eastAsia"/>
              </w:rPr>
            </w:pPr>
            <w:r>
              <w:rPr>
                <w:rFonts w:hint="eastAsia"/>
                <w:szCs w:val="21"/>
              </w:rPr>
              <w:t>上海证券交易所</w:t>
            </w:r>
          </w:p>
        </w:tc>
      </w:tr>
      <w:tr w14:paraId="06AE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47B56F4D">
            <w:pPr>
              <w:widowControl w:val="0"/>
              <w:jc w:val="both"/>
              <w:rPr>
                <w:rFonts w:hint="eastAsia"/>
                <w:szCs w:val="21"/>
              </w:rPr>
            </w:pPr>
            <w:r>
              <w:t>公司，本公司，际华集团，际华股份，际华轻工</w:t>
            </w:r>
          </w:p>
        </w:tc>
        <w:tc>
          <w:tcPr>
            <w:tcW w:w="851" w:type="dxa"/>
          </w:tcPr>
          <w:p w14:paraId="167BC8F2">
            <w:pPr>
              <w:widowControl w:val="0"/>
              <w:jc w:val="center"/>
              <w:rPr>
                <w:rFonts w:hint="eastAsia"/>
                <w:szCs w:val="21"/>
              </w:rPr>
            </w:pPr>
            <w:r>
              <w:rPr>
                <w:rFonts w:hint="eastAsia"/>
                <w:szCs w:val="21"/>
              </w:rPr>
              <w:t>指</w:t>
            </w:r>
          </w:p>
        </w:tc>
        <w:tc>
          <w:tcPr>
            <w:tcW w:w="5000" w:type="dxa"/>
          </w:tcPr>
          <w:p w14:paraId="25D8BBF0">
            <w:pPr>
              <w:widowControl w:val="0"/>
              <w:jc w:val="both"/>
              <w:rPr>
                <w:rFonts w:hint="eastAsia"/>
              </w:rPr>
            </w:pPr>
            <w:r>
              <w:rPr>
                <w:rFonts w:hint="eastAsia"/>
                <w:szCs w:val="21"/>
              </w:rPr>
              <w:t>际华集团股份有限公司</w:t>
            </w:r>
          </w:p>
        </w:tc>
      </w:tr>
      <w:tr w14:paraId="7621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78FE1EBB">
            <w:pPr>
              <w:widowControl w:val="0"/>
              <w:jc w:val="both"/>
              <w:rPr>
                <w:rFonts w:hint="eastAsia"/>
                <w:szCs w:val="21"/>
              </w:rPr>
            </w:pPr>
            <w:r>
              <w:rPr>
                <w:rFonts w:hint="eastAsia"/>
              </w:rPr>
              <w:t>天健</w:t>
            </w:r>
            <w:r>
              <w:t>会计师事务所</w:t>
            </w:r>
          </w:p>
        </w:tc>
        <w:tc>
          <w:tcPr>
            <w:tcW w:w="851" w:type="dxa"/>
          </w:tcPr>
          <w:p w14:paraId="47EDD5CF">
            <w:pPr>
              <w:widowControl w:val="0"/>
              <w:jc w:val="center"/>
              <w:rPr>
                <w:rFonts w:hint="eastAsia"/>
                <w:szCs w:val="21"/>
              </w:rPr>
            </w:pPr>
            <w:r>
              <w:rPr>
                <w:rFonts w:hint="eastAsia"/>
                <w:szCs w:val="21"/>
              </w:rPr>
              <w:t>指</w:t>
            </w:r>
          </w:p>
        </w:tc>
        <w:tc>
          <w:tcPr>
            <w:tcW w:w="5000" w:type="dxa"/>
          </w:tcPr>
          <w:p w14:paraId="0A303301">
            <w:pPr>
              <w:widowControl w:val="0"/>
              <w:jc w:val="both"/>
              <w:rPr>
                <w:rFonts w:hint="eastAsia"/>
              </w:rPr>
            </w:pPr>
            <w:r>
              <w:rPr>
                <w:rFonts w:hint="eastAsia"/>
                <w:szCs w:val="21"/>
              </w:rPr>
              <w:t>天健会计师事务所（特殊普通合伙）</w:t>
            </w:r>
          </w:p>
        </w:tc>
      </w:tr>
      <w:tr w14:paraId="653B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7A983DBF">
            <w:pPr>
              <w:widowControl w:val="0"/>
              <w:jc w:val="both"/>
              <w:rPr>
                <w:rFonts w:hint="eastAsia"/>
                <w:szCs w:val="21"/>
              </w:rPr>
            </w:pPr>
            <w:r>
              <w:t>新兴际华，新兴际华集团，控股股东</w:t>
            </w:r>
          </w:p>
        </w:tc>
        <w:tc>
          <w:tcPr>
            <w:tcW w:w="851" w:type="dxa"/>
          </w:tcPr>
          <w:p w14:paraId="3D85C897">
            <w:pPr>
              <w:widowControl w:val="0"/>
              <w:jc w:val="center"/>
              <w:rPr>
                <w:rFonts w:hint="eastAsia"/>
                <w:szCs w:val="21"/>
              </w:rPr>
            </w:pPr>
            <w:r>
              <w:rPr>
                <w:rFonts w:hint="eastAsia"/>
                <w:szCs w:val="21"/>
              </w:rPr>
              <w:t>指</w:t>
            </w:r>
          </w:p>
        </w:tc>
        <w:tc>
          <w:tcPr>
            <w:tcW w:w="5000" w:type="dxa"/>
          </w:tcPr>
          <w:p w14:paraId="506D1A9A">
            <w:pPr>
              <w:widowControl w:val="0"/>
              <w:jc w:val="both"/>
              <w:rPr>
                <w:rFonts w:ascii="Times New Roman" w:hAnsi="Times New Roman"/>
                <w:szCs w:val="21"/>
              </w:rPr>
            </w:pPr>
            <w:r>
              <w:rPr>
                <w:rFonts w:hint="eastAsia"/>
                <w:szCs w:val="21"/>
              </w:rPr>
              <w:t>新兴际华集团有限公司</w:t>
            </w:r>
          </w:p>
          <w:p w14:paraId="04A2664F">
            <w:pPr>
              <w:widowControl w:val="0"/>
              <w:jc w:val="both"/>
              <w:rPr>
                <w:rFonts w:hint="eastAsia"/>
              </w:rPr>
            </w:pPr>
          </w:p>
        </w:tc>
      </w:tr>
      <w:tr w14:paraId="2464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37EE232E">
            <w:pPr>
              <w:widowControl w:val="0"/>
              <w:jc w:val="both"/>
              <w:rPr>
                <w:rFonts w:hint="eastAsia"/>
                <w:szCs w:val="21"/>
              </w:rPr>
            </w:pPr>
            <w:r>
              <w:t>新兴铸管</w:t>
            </w:r>
          </w:p>
        </w:tc>
        <w:tc>
          <w:tcPr>
            <w:tcW w:w="851" w:type="dxa"/>
          </w:tcPr>
          <w:p w14:paraId="45C8642B">
            <w:pPr>
              <w:widowControl w:val="0"/>
              <w:jc w:val="center"/>
              <w:rPr>
                <w:rFonts w:hint="eastAsia"/>
                <w:szCs w:val="21"/>
              </w:rPr>
            </w:pPr>
            <w:r>
              <w:rPr>
                <w:rFonts w:hint="eastAsia"/>
                <w:szCs w:val="21"/>
              </w:rPr>
              <w:t>指</w:t>
            </w:r>
          </w:p>
        </w:tc>
        <w:tc>
          <w:tcPr>
            <w:tcW w:w="5000" w:type="dxa"/>
          </w:tcPr>
          <w:p w14:paraId="33B791E6">
            <w:pPr>
              <w:widowControl w:val="0"/>
              <w:jc w:val="both"/>
              <w:rPr>
                <w:rFonts w:hint="eastAsia"/>
              </w:rPr>
            </w:pPr>
            <w:r>
              <w:rPr>
                <w:rFonts w:hint="eastAsia"/>
                <w:szCs w:val="21"/>
              </w:rPr>
              <w:t>新兴铸管股份有限公司</w:t>
            </w:r>
          </w:p>
        </w:tc>
      </w:tr>
      <w:tr w14:paraId="3F5B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50FC0050">
            <w:pPr>
              <w:widowControl w:val="0"/>
              <w:jc w:val="both"/>
              <w:rPr>
                <w:rFonts w:hint="eastAsia"/>
                <w:szCs w:val="21"/>
              </w:rPr>
            </w:pPr>
            <w:r>
              <w:t>新兴发展</w:t>
            </w:r>
          </w:p>
        </w:tc>
        <w:tc>
          <w:tcPr>
            <w:tcW w:w="851" w:type="dxa"/>
          </w:tcPr>
          <w:p w14:paraId="6EA4D434">
            <w:pPr>
              <w:widowControl w:val="0"/>
              <w:jc w:val="center"/>
              <w:rPr>
                <w:rFonts w:hint="eastAsia"/>
                <w:szCs w:val="21"/>
              </w:rPr>
            </w:pPr>
            <w:r>
              <w:rPr>
                <w:rFonts w:hint="eastAsia"/>
                <w:szCs w:val="21"/>
              </w:rPr>
              <w:t>指</w:t>
            </w:r>
          </w:p>
        </w:tc>
        <w:tc>
          <w:tcPr>
            <w:tcW w:w="5000" w:type="dxa"/>
          </w:tcPr>
          <w:p w14:paraId="446DB23F">
            <w:pPr>
              <w:widowControl w:val="0"/>
              <w:jc w:val="both"/>
              <w:rPr>
                <w:rFonts w:hint="eastAsia"/>
              </w:rPr>
            </w:pPr>
            <w:r>
              <w:rPr>
                <w:rFonts w:hint="eastAsia"/>
                <w:szCs w:val="21"/>
              </w:rPr>
              <w:t>新兴发展集团有限公司</w:t>
            </w:r>
          </w:p>
        </w:tc>
      </w:tr>
      <w:tr w14:paraId="60E1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44F95E8E">
            <w:pPr>
              <w:widowControl w:val="0"/>
              <w:jc w:val="both"/>
              <w:rPr>
                <w:rFonts w:hint="eastAsia"/>
                <w:szCs w:val="21"/>
              </w:rPr>
            </w:pPr>
            <w:r>
              <w:t>国资委</w:t>
            </w:r>
          </w:p>
        </w:tc>
        <w:tc>
          <w:tcPr>
            <w:tcW w:w="851" w:type="dxa"/>
          </w:tcPr>
          <w:p w14:paraId="2DAD3CC9">
            <w:pPr>
              <w:widowControl w:val="0"/>
              <w:jc w:val="center"/>
              <w:rPr>
                <w:rFonts w:hint="eastAsia"/>
                <w:szCs w:val="21"/>
              </w:rPr>
            </w:pPr>
            <w:r>
              <w:rPr>
                <w:rFonts w:hint="eastAsia"/>
                <w:szCs w:val="21"/>
              </w:rPr>
              <w:t>指</w:t>
            </w:r>
          </w:p>
        </w:tc>
        <w:tc>
          <w:tcPr>
            <w:tcW w:w="5000" w:type="dxa"/>
          </w:tcPr>
          <w:p w14:paraId="6A01C4A2">
            <w:pPr>
              <w:widowControl w:val="0"/>
              <w:jc w:val="both"/>
              <w:rPr>
                <w:rFonts w:hint="eastAsia"/>
              </w:rPr>
            </w:pPr>
            <w:r>
              <w:rPr>
                <w:rFonts w:hint="eastAsia"/>
                <w:szCs w:val="21"/>
              </w:rPr>
              <w:t>国务院国有资产监督管理委员会</w:t>
            </w:r>
          </w:p>
        </w:tc>
      </w:tr>
      <w:tr w14:paraId="1DE5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40DF4BF0">
            <w:pPr>
              <w:widowControl w:val="0"/>
              <w:jc w:val="both"/>
              <w:rPr>
                <w:rFonts w:hint="eastAsia"/>
                <w:szCs w:val="21"/>
              </w:rPr>
            </w:pPr>
            <w:r>
              <w:t>军队</w:t>
            </w:r>
          </w:p>
        </w:tc>
        <w:tc>
          <w:tcPr>
            <w:tcW w:w="851" w:type="dxa"/>
          </w:tcPr>
          <w:p w14:paraId="5171034A">
            <w:pPr>
              <w:widowControl w:val="0"/>
              <w:jc w:val="center"/>
              <w:rPr>
                <w:rFonts w:hint="eastAsia"/>
                <w:szCs w:val="21"/>
              </w:rPr>
            </w:pPr>
            <w:r>
              <w:rPr>
                <w:rFonts w:hint="eastAsia"/>
                <w:szCs w:val="21"/>
              </w:rPr>
              <w:t>指</w:t>
            </w:r>
          </w:p>
        </w:tc>
        <w:tc>
          <w:tcPr>
            <w:tcW w:w="5000" w:type="dxa"/>
          </w:tcPr>
          <w:p w14:paraId="77980432">
            <w:pPr>
              <w:widowControl w:val="0"/>
              <w:jc w:val="both"/>
              <w:rPr>
                <w:rFonts w:hint="eastAsia"/>
              </w:rPr>
            </w:pPr>
            <w:r>
              <w:rPr>
                <w:rFonts w:hint="eastAsia"/>
                <w:szCs w:val="21"/>
              </w:rPr>
              <w:t>中国人民解放军</w:t>
            </w:r>
          </w:p>
        </w:tc>
      </w:tr>
      <w:tr w14:paraId="2C0A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1AFFC158">
            <w:pPr>
              <w:widowControl w:val="0"/>
              <w:jc w:val="both"/>
              <w:rPr>
                <w:rFonts w:hint="eastAsia"/>
                <w:szCs w:val="21"/>
              </w:rPr>
            </w:pPr>
            <w:r>
              <w:t>武警部队</w:t>
            </w:r>
          </w:p>
        </w:tc>
        <w:tc>
          <w:tcPr>
            <w:tcW w:w="851" w:type="dxa"/>
          </w:tcPr>
          <w:p w14:paraId="60A9108D">
            <w:pPr>
              <w:widowControl w:val="0"/>
              <w:jc w:val="center"/>
              <w:rPr>
                <w:rFonts w:hint="eastAsia"/>
                <w:szCs w:val="21"/>
              </w:rPr>
            </w:pPr>
            <w:r>
              <w:rPr>
                <w:rFonts w:hint="eastAsia"/>
                <w:szCs w:val="21"/>
              </w:rPr>
              <w:t>指</w:t>
            </w:r>
          </w:p>
        </w:tc>
        <w:tc>
          <w:tcPr>
            <w:tcW w:w="5000" w:type="dxa"/>
          </w:tcPr>
          <w:p w14:paraId="50ECEB48">
            <w:pPr>
              <w:widowControl w:val="0"/>
              <w:jc w:val="both"/>
              <w:rPr>
                <w:rFonts w:hint="eastAsia"/>
              </w:rPr>
            </w:pPr>
            <w:r>
              <w:rPr>
                <w:rFonts w:hint="eastAsia"/>
                <w:szCs w:val="21"/>
              </w:rPr>
              <w:t>中国人民武装警察部队</w:t>
            </w:r>
          </w:p>
        </w:tc>
      </w:tr>
      <w:tr w14:paraId="741A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3CE0A96C">
            <w:pPr>
              <w:widowControl w:val="0"/>
              <w:jc w:val="both"/>
              <w:rPr>
                <w:rFonts w:hint="eastAsia"/>
                <w:szCs w:val="21"/>
              </w:rPr>
            </w:pPr>
            <w:r>
              <w:t>军品，军需品</w:t>
            </w:r>
          </w:p>
        </w:tc>
        <w:tc>
          <w:tcPr>
            <w:tcW w:w="851" w:type="dxa"/>
          </w:tcPr>
          <w:p w14:paraId="11D06A1B">
            <w:pPr>
              <w:widowControl w:val="0"/>
              <w:jc w:val="center"/>
              <w:rPr>
                <w:rFonts w:hint="eastAsia"/>
                <w:szCs w:val="21"/>
              </w:rPr>
            </w:pPr>
          </w:p>
          <w:p w14:paraId="0383476F">
            <w:pPr>
              <w:widowControl w:val="0"/>
              <w:jc w:val="center"/>
              <w:rPr>
                <w:rFonts w:hint="eastAsia"/>
                <w:szCs w:val="21"/>
              </w:rPr>
            </w:pPr>
            <w:r>
              <w:rPr>
                <w:rFonts w:hint="eastAsia"/>
                <w:szCs w:val="21"/>
              </w:rPr>
              <w:t>指</w:t>
            </w:r>
          </w:p>
        </w:tc>
        <w:tc>
          <w:tcPr>
            <w:tcW w:w="5000" w:type="dxa"/>
          </w:tcPr>
          <w:p w14:paraId="5E581496">
            <w:pPr>
              <w:widowControl w:val="0"/>
              <w:jc w:val="both"/>
              <w:rPr>
                <w:rFonts w:hint="eastAsia"/>
              </w:rPr>
            </w:pPr>
            <w:r>
              <w:rPr>
                <w:rFonts w:hint="eastAsia"/>
                <w:szCs w:val="21"/>
              </w:rPr>
              <w:t>为军队、武警部队提供的各类军需被装、装备产品的总称</w:t>
            </w:r>
          </w:p>
        </w:tc>
      </w:tr>
      <w:tr w14:paraId="08CF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3C5B3AA7">
            <w:pPr>
              <w:widowControl w:val="0"/>
              <w:jc w:val="both"/>
              <w:rPr>
                <w:rFonts w:hint="eastAsia"/>
                <w:szCs w:val="21"/>
              </w:rPr>
            </w:pPr>
            <w:r>
              <w:t>民品</w:t>
            </w:r>
          </w:p>
        </w:tc>
        <w:tc>
          <w:tcPr>
            <w:tcW w:w="851" w:type="dxa"/>
          </w:tcPr>
          <w:p w14:paraId="12E5F6B5">
            <w:pPr>
              <w:widowControl w:val="0"/>
              <w:jc w:val="center"/>
              <w:rPr>
                <w:rFonts w:hint="eastAsia"/>
                <w:szCs w:val="21"/>
              </w:rPr>
            </w:pPr>
            <w:r>
              <w:rPr>
                <w:rFonts w:hint="eastAsia"/>
                <w:szCs w:val="21"/>
              </w:rPr>
              <w:t>指</w:t>
            </w:r>
          </w:p>
        </w:tc>
        <w:tc>
          <w:tcPr>
            <w:tcW w:w="5000" w:type="dxa"/>
          </w:tcPr>
          <w:p w14:paraId="1B362FA9">
            <w:pPr>
              <w:widowControl w:val="0"/>
              <w:jc w:val="both"/>
              <w:rPr>
                <w:rFonts w:hint="eastAsia"/>
              </w:rPr>
            </w:pPr>
            <w:r>
              <w:rPr>
                <w:rFonts w:hint="eastAsia"/>
                <w:szCs w:val="21"/>
              </w:rPr>
              <w:t>除军品之外的其他产品</w:t>
            </w:r>
          </w:p>
        </w:tc>
      </w:tr>
      <w:tr w14:paraId="5B65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0BF8137F">
            <w:pPr>
              <w:widowControl w:val="0"/>
              <w:jc w:val="both"/>
              <w:rPr>
                <w:rFonts w:hint="eastAsia"/>
                <w:szCs w:val="21"/>
              </w:rPr>
            </w:pPr>
            <w:r>
              <w:t>上海证券交易所网站</w:t>
            </w:r>
          </w:p>
        </w:tc>
        <w:tc>
          <w:tcPr>
            <w:tcW w:w="851" w:type="dxa"/>
          </w:tcPr>
          <w:p w14:paraId="4710B57F">
            <w:pPr>
              <w:widowControl w:val="0"/>
              <w:jc w:val="center"/>
              <w:rPr>
                <w:rFonts w:hint="eastAsia"/>
                <w:szCs w:val="21"/>
                <w:highlight w:val="lightGray"/>
              </w:rPr>
            </w:pPr>
            <w:r>
              <w:rPr>
                <w:rFonts w:hint="eastAsia"/>
                <w:szCs w:val="21"/>
              </w:rPr>
              <w:t>指</w:t>
            </w:r>
          </w:p>
        </w:tc>
        <w:tc>
          <w:tcPr>
            <w:tcW w:w="5000" w:type="dxa"/>
          </w:tcPr>
          <w:p w14:paraId="670F921D">
            <w:pPr>
              <w:widowControl w:val="0"/>
              <w:jc w:val="both"/>
              <w:rPr>
                <w:rFonts w:hint="eastAsia"/>
                <w:szCs w:val="21"/>
              </w:rPr>
            </w:pPr>
            <w:r>
              <w:rPr>
                <w:rFonts w:hint="eastAsia"/>
                <w:szCs w:val="21"/>
              </w:rPr>
              <w:t>http://www.sse.com.cn</w:t>
            </w:r>
          </w:p>
        </w:tc>
      </w:tr>
      <w:tr w14:paraId="6090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5B1103C3">
            <w:pPr>
              <w:widowControl w:val="0"/>
              <w:jc w:val="both"/>
              <w:rPr>
                <w:rFonts w:hint="eastAsia"/>
                <w:szCs w:val="21"/>
              </w:rPr>
            </w:pPr>
            <w:r>
              <w:t>公司章程</w:t>
            </w:r>
          </w:p>
        </w:tc>
        <w:tc>
          <w:tcPr>
            <w:tcW w:w="851" w:type="dxa"/>
          </w:tcPr>
          <w:p w14:paraId="36CA3CDD">
            <w:pPr>
              <w:widowControl w:val="0"/>
              <w:jc w:val="center"/>
              <w:rPr>
                <w:rFonts w:hint="eastAsia"/>
                <w:szCs w:val="21"/>
              </w:rPr>
            </w:pPr>
            <w:r>
              <w:rPr>
                <w:rFonts w:hint="eastAsia"/>
                <w:szCs w:val="21"/>
              </w:rPr>
              <w:t>指</w:t>
            </w:r>
          </w:p>
        </w:tc>
        <w:tc>
          <w:tcPr>
            <w:tcW w:w="5000" w:type="dxa"/>
          </w:tcPr>
          <w:p w14:paraId="078DA8C7">
            <w:pPr>
              <w:widowControl w:val="0"/>
              <w:jc w:val="both"/>
              <w:rPr>
                <w:rFonts w:hint="eastAsia"/>
              </w:rPr>
            </w:pPr>
            <w:r>
              <w:rPr>
                <w:rFonts w:hint="eastAsia"/>
                <w:szCs w:val="21"/>
              </w:rPr>
              <w:t>际华集团股份有限公司章程</w:t>
            </w:r>
          </w:p>
        </w:tc>
      </w:tr>
      <w:tr w14:paraId="2B94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276A2FE9">
            <w:pPr>
              <w:widowControl w:val="0"/>
              <w:jc w:val="both"/>
              <w:rPr>
                <w:rFonts w:hint="eastAsia"/>
                <w:szCs w:val="21"/>
              </w:rPr>
            </w:pPr>
            <w:r>
              <w:t>报告期</w:t>
            </w:r>
          </w:p>
        </w:tc>
        <w:tc>
          <w:tcPr>
            <w:tcW w:w="851" w:type="dxa"/>
          </w:tcPr>
          <w:p w14:paraId="2FBCB637">
            <w:pPr>
              <w:widowControl w:val="0"/>
              <w:jc w:val="center"/>
              <w:rPr>
                <w:rFonts w:hint="eastAsia"/>
                <w:szCs w:val="21"/>
              </w:rPr>
            </w:pPr>
            <w:r>
              <w:rPr>
                <w:rFonts w:hint="eastAsia"/>
                <w:szCs w:val="21"/>
              </w:rPr>
              <w:t>指</w:t>
            </w:r>
          </w:p>
        </w:tc>
        <w:tc>
          <w:tcPr>
            <w:tcW w:w="5000" w:type="dxa"/>
          </w:tcPr>
          <w:p w14:paraId="75A73B23">
            <w:pPr>
              <w:widowControl w:val="0"/>
              <w:jc w:val="both"/>
              <w:rPr>
                <w:rFonts w:hint="eastAsia"/>
              </w:rPr>
            </w:pPr>
            <w:r>
              <w:rPr>
                <w:rFonts w:hint="eastAsia"/>
                <w:szCs w:val="21"/>
              </w:rPr>
              <w:t>202</w:t>
            </w:r>
            <w:r>
              <w:rPr>
                <w:szCs w:val="21"/>
              </w:rPr>
              <w:t>4</w:t>
            </w:r>
            <w:r>
              <w:rPr>
                <w:rFonts w:hint="eastAsia"/>
                <w:szCs w:val="21"/>
              </w:rPr>
              <w:t>年1月1日至202</w:t>
            </w:r>
            <w:r>
              <w:rPr>
                <w:szCs w:val="21"/>
              </w:rPr>
              <w:t>4</w:t>
            </w:r>
            <w:r>
              <w:rPr>
                <w:rFonts w:hint="eastAsia"/>
                <w:szCs w:val="21"/>
              </w:rPr>
              <w:t>年12月31日</w:t>
            </w:r>
          </w:p>
        </w:tc>
      </w:tr>
      <w:tr w14:paraId="1313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tcPr>
          <w:p w14:paraId="000F3713">
            <w:pPr>
              <w:widowControl w:val="0"/>
              <w:jc w:val="both"/>
              <w:rPr>
                <w:rFonts w:hint="eastAsia"/>
                <w:szCs w:val="21"/>
              </w:rPr>
            </w:pPr>
            <w:r>
              <w:t>所属企业</w:t>
            </w:r>
          </w:p>
        </w:tc>
        <w:tc>
          <w:tcPr>
            <w:tcW w:w="851" w:type="dxa"/>
          </w:tcPr>
          <w:p w14:paraId="62C076F8">
            <w:pPr>
              <w:widowControl w:val="0"/>
              <w:jc w:val="center"/>
              <w:rPr>
                <w:rFonts w:hint="eastAsia"/>
                <w:szCs w:val="21"/>
              </w:rPr>
            </w:pPr>
            <w:r>
              <w:rPr>
                <w:rFonts w:hint="eastAsia"/>
                <w:szCs w:val="21"/>
              </w:rPr>
              <w:t>指</w:t>
            </w:r>
          </w:p>
        </w:tc>
        <w:tc>
          <w:tcPr>
            <w:tcW w:w="5000" w:type="dxa"/>
          </w:tcPr>
          <w:p w14:paraId="0CA0E23D">
            <w:pPr>
              <w:widowControl w:val="0"/>
              <w:jc w:val="both"/>
              <w:rPr>
                <w:rFonts w:hint="eastAsia"/>
              </w:rPr>
            </w:pPr>
            <w:r>
              <w:rPr>
                <w:rFonts w:hint="eastAsia"/>
                <w:szCs w:val="21"/>
              </w:rPr>
              <w:t>纳入本公司合并财务报表范围的子公司</w:t>
            </w:r>
          </w:p>
        </w:tc>
      </w:tr>
    </w:tbl>
    <w:p w14:paraId="7E69348C">
      <w:pPr>
        <w:rPr>
          <w:rFonts w:hint="eastAsia"/>
        </w:rPr>
      </w:pPr>
    </w:p>
    <w:p w14:paraId="2511E62F">
      <w:pPr>
        <w:pStyle w:val="2"/>
        <w:numPr>
          <w:ilvl w:val="0"/>
          <w:numId w:val="2"/>
        </w:numPr>
      </w:pPr>
      <w:bookmarkStart w:id="8" w:name="_Toc407111355"/>
      <w:bookmarkStart w:id="9" w:name="_Toc436392762"/>
      <w:bookmarkStart w:id="10" w:name="_Toc437440709"/>
      <w:bookmarkStart w:id="11" w:name="_Toc184741575"/>
      <w:r>
        <w:rPr>
          <w:rFonts w:hint="eastAsia"/>
        </w:rPr>
        <w:t>公司简介</w:t>
      </w:r>
      <w:bookmarkEnd w:id="8"/>
      <w:bookmarkEnd w:id="9"/>
      <w:r>
        <w:rPr>
          <w:rFonts w:hint="eastAsia"/>
        </w:rPr>
        <w:t>和主要财务指标</w:t>
      </w:r>
    </w:p>
    <w:bookmarkEnd w:id="10"/>
    <w:bookmarkEnd w:id="11"/>
    <w:p w14:paraId="3AB84E59">
      <w:pPr>
        <w:pStyle w:val="3"/>
        <w:numPr>
          <w:ilvl w:val="1"/>
          <w:numId w:val="4"/>
        </w:numPr>
        <w:ind w:left="498" w:hanging="498" w:hangingChars="236"/>
        <w:rPr>
          <w:u w:val="single"/>
        </w:rPr>
      </w:pPr>
      <w:bookmarkStart w:id="12" w:name="_Toc342051041"/>
      <w:bookmarkStart w:id="13" w:name="_Toc342565881"/>
      <w:r>
        <w:rPr>
          <w:rFonts w:hint="eastAsia"/>
        </w:rPr>
        <w:t>公司信息</w:t>
      </w:r>
      <w:bookmarkEnd w:id="12"/>
      <w:bookmarkEnd w:id="13"/>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14:paraId="7AF36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76a4e08611bc46959c5497248a51b877"/>
            <w:id w:val="1967768743"/>
          </w:sdtPr>
          <w:sdtContent>
            <w:tc>
              <w:tcPr>
                <w:tcW w:w="2169" w:type="pct"/>
                <w:tcBorders>
                  <w:top w:val="single" w:color="auto" w:sz="4" w:space="0"/>
                  <w:bottom w:val="single" w:color="auto" w:sz="4" w:space="0"/>
                  <w:right w:val="single" w:color="auto" w:sz="4" w:space="0"/>
                </w:tcBorders>
                <w:shd w:val="clear" w:color="auto" w:fill="auto"/>
              </w:tcPr>
              <w:p w14:paraId="4BA28BCA">
                <w:pPr>
                  <w:kinsoku w:val="0"/>
                  <w:overflowPunct w:val="0"/>
                  <w:autoSpaceDE w:val="0"/>
                  <w:autoSpaceDN w:val="0"/>
                  <w:adjustRightInd w:val="0"/>
                  <w:snapToGrid w:val="0"/>
                  <w:rPr>
                    <w:rFonts w:hint="eastAsia"/>
                    <w:szCs w:val="21"/>
                  </w:rPr>
                </w:pPr>
                <w:r>
                  <w:rPr>
                    <w:rFonts w:hint="eastAsia"/>
                    <w:szCs w:val="21"/>
                  </w:rPr>
                  <w:t>公司的中文名称</w:t>
                </w:r>
              </w:p>
            </w:tc>
          </w:sdtContent>
        </w:sdt>
        <w:sdt>
          <w:sdtPr>
            <w:rPr>
              <w:rFonts w:hint="eastAsia"/>
              <w:szCs w:val="21"/>
            </w:rPr>
            <w:alias w:val="公司法定中文名称"/>
            <w:tag w:val="_GBC_7adfc39908d049d2970c391497a360e4"/>
            <w:id w:val="-1484547015"/>
            <w:dataBinding w:prefixMappings="xmlns:clcid-cgi='clcid-cgi'" w:xpath="/*/clcid-cgi:GongSiFaDingZhongWenMingCheng[not(@periodRef)]" w:storeItemID="{89EBAB94-44A0-46A2-B712-30D997D04A6D}"/>
            <w:text/>
          </w:sdtPr>
          <w:sdtEndPr>
            <w:rPr>
              <w:rFonts w:hint="eastAsia"/>
              <w:szCs w:val="21"/>
            </w:rPr>
          </w:sdtEndPr>
          <w:sdtContent>
            <w:tc>
              <w:tcPr>
                <w:tcW w:w="2830" w:type="pct"/>
                <w:tcBorders>
                  <w:top w:val="single" w:color="auto" w:sz="4" w:space="0"/>
                  <w:left w:val="single" w:color="auto" w:sz="4" w:space="0"/>
                  <w:bottom w:val="single" w:color="auto" w:sz="4" w:space="0"/>
                </w:tcBorders>
              </w:tcPr>
              <w:p w14:paraId="35D9ADF5">
                <w:pPr>
                  <w:kinsoku w:val="0"/>
                  <w:overflowPunct w:val="0"/>
                  <w:autoSpaceDE w:val="0"/>
                  <w:autoSpaceDN w:val="0"/>
                  <w:adjustRightInd w:val="0"/>
                  <w:snapToGrid w:val="0"/>
                  <w:rPr>
                    <w:rFonts w:hint="eastAsia"/>
                    <w:color w:val="FFC000"/>
                    <w:szCs w:val="21"/>
                  </w:rPr>
                </w:pPr>
                <w:r>
                  <w:rPr>
                    <w:rFonts w:hint="eastAsia"/>
                    <w:szCs w:val="21"/>
                  </w:rPr>
                  <w:t>际华集团股份有限公司</w:t>
                </w:r>
              </w:p>
            </w:tc>
          </w:sdtContent>
        </w:sdt>
      </w:tr>
      <w:tr w14:paraId="513AF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66CBB9AA">
            <w:pPr>
              <w:kinsoku w:val="0"/>
              <w:overflowPunct w:val="0"/>
              <w:autoSpaceDE w:val="0"/>
              <w:autoSpaceDN w:val="0"/>
              <w:adjustRightInd w:val="0"/>
              <w:snapToGrid w:val="0"/>
              <w:rPr>
                <w:rFonts w:hint="eastAsia"/>
                <w:szCs w:val="21"/>
              </w:rPr>
            </w:pPr>
            <w:r>
              <w:rPr>
                <w:rFonts w:hint="eastAsia"/>
                <w:szCs w:val="21"/>
              </w:rPr>
              <w:t>公司的中文简称</w:t>
            </w:r>
          </w:p>
        </w:tc>
        <w:tc>
          <w:tcPr>
            <w:tcW w:w="2830" w:type="pct"/>
            <w:tcBorders>
              <w:top w:val="single" w:color="auto" w:sz="4" w:space="0"/>
              <w:left w:val="single" w:color="auto" w:sz="4" w:space="0"/>
              <w:bottom w:val="single" w:color="auto" w:sz="4" w:space="0"/>
            </w:tcBorders>
          </w:tcPr>
          <w:p w14:paraId="309EA55F">
            <w:pPr>
              <w:kinsoku w:val="0"/>
              <w:overflowPunct w:val="0"/>
              <w:autoSpaceDE w:val="0"/>
              <w:autoSpaceDN w:val="0"/>
              <w:adjustRightInd w:val="0"/>
              <w:snapToGrid w:val="0"/>
              <w:rPr>
                <w:rFonts w:hint="eastAsia"/>
                <w:szCs w:val="21"/>
              </w:rPr>
            </w:pPr>
            <w:r>
              <w:t>际华集团</w:t>
            </w:r>
          </w:p>
        </w:tc>
      </w:tr>
      <w:tr w14:paraId="439A7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5DEC9804">
            <w:pPr>
              <w:kinsoku w:val="0"/>
              <w:overflowPunct w:val="0"/>
              <w:autoSpaceDE w:val="0"/>
              <w:autoSpaceDN w:val="0"/>
              <w:adjustRightInd w:val="0"/>
              <w:snapToGrid w:val="0"/>
              <w:rPr>
                <w:rFonts w:hint="eastAsia"/>
                <w:szCs w:val="21"/>
              </w:rPr>
            </w:pPr>
            <w:r>
              <w:rPr>
                <w:szCs w:val="21"/>
              </w:rPr>
              <w:t>公司的外文名称</w:t>
            </w:r>
          </w:p>
        </w:tc>
        <w:tc>
          <w:tcPr>
            <w:tcW w:w="2830" w:type="pct"/>
            <w:tcBorders>
              <w:top w:val="single" w:color="auto" w:sz="4" w:space="0"/>
              <w:left w:val="single" w:color="auto" w:sz="4" w:space="0"/>
              <w:bottom w:val="single" w:color="auto" w:sz="4" w:space="0"/>
            </w:tcBorders>
          </w:tcPr>
          <w:p w14:paraId="5890BC73">
            <w:pPr>
              <w:kinsoku w:val="0"/>
              <w:overflowPunct w:val="0"/>
              <w:autoSpaceDE w:val="0"/>
              <w:autoSpaceDN w:val="0"/>
              <w:adjustRightInd w:val="0"/>
              <w:snapToGrid w:val="0"/>
              <w:rPr>
                <w:rFonts w:hint="eastAsia"/>
                <w:szCs w:val="21"/>
              </w:rPr>
            </w:pPr>
            <w:r>
              <w:t>JihuaGroupCorporationLimited</w:t>
            </w:r>
          </w:p>
        </w:tc>
      </w:tr>
      <w:tr w14:paraId="281BF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16D322BA">
            <w:pPr>
              <w:kinsoku w:val="0"/>
              <w:overflowPunct w:val="0"/>
              <w:autoSpaceDE w:val="0"/>
              <w:autoSpaceDN w:val="0"/>
              <w:adjustRightInd w:val="0"/>
              <w:snapToGrid w:val="0"/>
              <w:rPr>
                <w:rFonts w:hint="eastAsia"/>
                <w:szCs w:val="21"/>
              </w:rPr>
            </w:pPr>
            <w:r>
              <w:rPr>
                <w:szCs w:val="21"/>
              </w:rPr>
              <w:t>公司的外文名称缩写</w:t>
            </w:r>
          </w:p>
        </w:tc>
        <w:tc>
          <w:tcPr>
            <w:tcW w:w="2830" w:type="pct"/>
            <w:tcBorders>
              <w:top w:val="single" w:color="auto" w:sz="4" w:space="0"/>
              <w:left w:val="single" w:color="auto" w:sz="4" w:space="0"/>
              <w:bottom w:val="single" w:color="auto" w:sz="4" w:space="0"/>
            </w:tcBorders>
          </w:tcPr>
          <w:p w14:paraId="3CE7EA80">
            <w:pPr>
              <w:kinsoku w:val="0"/>
              <w:overflowPunct w:val="0"/>
              <w:autoSpaceDE w:val="0"/>
              <w:autoSpaceDN w:val="0"/>
              <w:adjustRightInd w:val="0"/>
              <w:snapToGrid w:val="0"/>
              <w:rPr>
                <w:rFonts w:hint="eastAsia"/>
                <w:szCs w:val="21"/>
              </w:rPr>
            </w:pPr>
            <w:r>
              <w:t>JihuaGroup</w:t>
            </w:r>
          </w:p>
        </w:tc>
      </w:tr>
      <w:tr w14:paraId="10300E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54897703">
            <w:pPr>
              <w:kinsoku w:val="0"/>
              <w:overflowPunct w:val="0"/>
              <w:autoSpaceDE w:val="0"/>
              <w:autoSpaceDN w:val="0"/>
              <w:adjustRightInd w:val="0"/>
              <w:snapToGrid w:val="0"/>
              <w:rPr>
                <w:rFonts w:hint="eastAsia"/>
                <w:szCs w:val="21"/>
              </w:rPr>
            </w:pPr>
            <w:r>
              <w:rPr>
                <w:szCs w:val="21"/>
              </w:rPr>
              <w:t>公司的法定代表人</w:t>
            </w:r>
          </w:p>
        </w:tc>
        <w:tc>
          <w:tcPr>
            <w:tcW w:w="2830" w:type="pct"/>
            <w:tcBorders>
              <w:top w:val="single" w:color="auto" w:sz="4" w:space="0"/>
              <w:left w:val="single" w:color="auto" w:sz="4" w:space="0"/>
              <w:bottom w:val="single" w:color="auto" w:sz="4" w:space="0"/>
            </w:tcBorders>
          </w:tcPr>
          <w:p w14:paraId="38A795F1">
            <w:pPr>
              <w:kinsoku w:val="0"/>
              <w:overflowPunct w:val="0"/>
              <w:autoSpaceDE w:val="0"/>
              <w:autoSpaceDN w:val="0"/>
              <w:adjustRightInd w:val="0"/>
              <w:snapToGrid w:val="0"/>
              <w:rPr>
                <w:rFonts w:hint="eastAsia"/>
                <w:szCs w:val="21"/>
              </w:rPr>
            </w:pPr>
            <w:r>
              <w:rPr>
                <w:rFonts w:hint="eastAsia"/>
                <w:szCs w:val="21"/>
              </w:rPr>
              <w:t>夏前军</w:t>
            </w:r>
          </w:p>
        </w:tc>
      </w:tr>
    </w:tbl>
    <w:p w14:paraId="1EBA564C">
      <w:pPr>
        <w:rPr>
          <w:rFonts w:hint="eastAsia"/>
        </w:rPr>
      </w:pPr>
    </w:p>
    <w:p w14:paraId="6D8D692A">
      <w:pPr>
        <w:pStyle w:val="3"/>
        <w:numPr>
          <w:ilvl w:val="1"/>
          <w:numId w:val="4"/>
        </w:numPr>
        <w:ind w:left="498" w:hanging="498" w:hangingChars="236"/>
        <w:rPr>
          <w:u w:val="single"/>
        </w:rPr>
      </w:pPr>
      <w:r>
        <w:rPr>
          <w:rFonts w:hint="eastAsia"/>
        </w:rPr>
        <w:t>联系人和联系方式</w:t>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1857"/>
        <w:gridCol w:w="3422"/>
        <w:gridCol w:w="3614"/>
      </w:tblGrid>
      <w:tr w14:paraId="78A0E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65085C01">
            <w:pPr>
              <w:kinsoku w:val="0"/>
              <w:overflowPunct w:val="0"/>
              <w:autoSpaceDE w:val="0"/>
              <w:autoSpaceDN w:val="0"/>
              <w:adjustRightInd w:val="0"/>
              <w:snapToGrid w:val="0"/>
              <w:rPr>
                <w:rFonts w:hint="eastAsia"/>
                <w:szCs w:val="21"/>
              </w:rPr>
            </w:pPr>
            <w:bookmarkStart w:id="14" w:name="_Toc342565882"/>
            <w:bookmarkEnd w:id="14"/>
            <w:bookmarkStart w:id="15" w:name="_Toc342051042"/>
            <w:bookmarkEnd w:id="15"/>
            <w:bookmarkStart w:id="16" w:name="_Hlk186115833"/>
            <w:bookmarkStart w:id="17" w:name="_Hlk186115772"/>
            <w:bookmarkStart w:id="18" w:name="_Hlk186112521"/>
          </w:p>
        </w:tc>
        <w:tc>
          <w:tcPr>
            <w:tcW w:w="1923" w:type="pct"/>
            <w:tcBorders>
              <w:top w:val="single" w:color="auto" w:sz="4" w:space="0"/>
              <w:left w:val="single" w:color="auto" w:sz="4" w:space="0"/>
              <w:bottom w:val="single" w:color="auto" w:sz="4" w:space="0"/>
              <w:right w:val="single" w:color="auto" w:sz="4" w:space="0"/>
            </w:tcBorders>
            <w:shd w:val="clear" w:color="auto" w:fill="auto"/>
          </w:tcPr>
          <w:p w14:paraId="0CBE7400">
            <w:pPr>
              <w:pStyle w:val="15"/>
              <w:kinsoku w:val="0"/>
              <w:overflowPunct w:val="0"/>
              <w:autoSpaceDE w:val="0"/>
              <w:autoSpaceDN w:val="0"/>
              <w:adjustRightInd w:val="0"/>
              <w:snapToGrid w:val="0"/>
              <w:jc w:val="center"/>
              <w:rPr>
                <w:rFonts w:hint="eastAsia" w:ascii="宋体" w:hAnsi="宋体"/>
                <w:color w:val="008000"/>
              </w:rPr>
            </w:pPr>
            <w:sdt>
              <w:sdtPr>
                <w:tag w:val="_PLD_2c78c38f6b284d4589a2a9ae76ce4059"/>
                <w:id w:val="-2000498260"/>
              </w:sdtPr>
              <w:sdtContent>
                <w:r>
                  <w:rPr>
                    <w:rFonts w:hint="eastAsia" w:ascii="宋体" w:hAnsi="宋体" w:cs="宋体"/>
                  </w:rPr>
                  <w:t>董事会秘书</w:t>
                </w:r>
              </w:sdtContent>
            </w:sdt>
          </w:p>
        </w:tc>
        <w:sdt>
          <w:sdtPr>
            <w:tag w:val="_PLD_8425474fc03f4f31a663ee46b4c6fa3a"/>
            <w:id w:val="583035355"/>
          </w:sdtPr>
          <w:sdtContent>
            <w:tc>
              <w:tcPr>
                <w:tcW w:w="2031" w:type="pct"/>
                <w:tcBorders>
                  <w:top w:val="single" w:color="auto" w:sz="4" w:space="0"/>
                  <w:left w:val="single" w:color="auto" w:sz="4" w:space="0"/>
                  <w:bottom w:val="single" w:color="auto" w:sz="4" w:space="0"/>
                </w:tcBorders>
                <w:shd w:val="clear" w:color="auto" w:fill="auto"/>
              </w:tcPr>
              <w:p w14:paraId="0174CB1E">
                <w:pPr>
                  <w:pStyle w:val="15"/>
                  <w:kinsoku w:val="0"/>
                  <w:overflowPunct w:val="0"/>
                  <w:autoSpaceDE w:val="0"/>
                  <w:autoSpaceDN w:val="0"/>
                  <w:adjustRightInd w:val="0"/>
                  <w:snapToGrid w:val="0"/>
                  <w:jc w:val="center"/>
                  <w:rPr>
                    <w:rFonts w:hint="eastAsia" w:ascii="宋体" w:hAnsi="宋体" w:cs="宋体"/>
                  </w:rPr>
                </w:pPr>
                <w:r>
                  <w:rPr>
                    <w:rFonts w:hint="eastAsia" w:ascii="宋体" w:hAnsi="宋体" w:cs="宋体"/>
                  </w:rPr>
                  <w:t>证券事务代表</w:t>
                </w:r>
              </w:p>
            </w:tc>
          </w:sdtContent>
        </w:sdt>
      </w:tr>
      <w:tr w14:paraId="20239C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504A8DB4">
            <w:pPr>
              <w:kinsoku w:val="0"/>
              <w:overflowPunct w:val="0"/>
              <w:autoSpaceDE w:val="0"/>
              <w:autoSpaceDN w:val="0"/>
              <w:adjustRightInd w:val="0"/>
              <w:snapToGrid w:val="0"/>
              <w:rPr>
                <w:rFonts w:hint="eastAsia"/>
                <w:szCs w:val="21"/>
              </w:rPr>
            </w:pPr>
            <w:r>
              <w:rPr>
                <w:rFonts w:hint="eastAsia"/>
                <w:szCs w:val="21"/>
              </w:rPr>
              <w:t>姓名</w:t>
            </w:r>
          </w:p>
        </w:tc>
        <w:tc>
          <w:tcPr>
            <w:tcW w:w="1923" w:type="pct"/>
            <w:tcBorders>
              <w:top w:val="single" w:color="auto" w:sz="4" w:space="0"/>
              <w:left w:val="single" w:color="auto" w:sz="4" w:space="0"/>
              <w:bottom w:val="single" w:color="auto" w:sz="4" w:space="0"/>
              <w:right w:val="single" w:color="auto" w:sz="4" w:space="0"/>
            </w:tcBorders>
            <w:vAlign w:val="center"/>
          </w:tcPr>
          <w:p w14:paraId="572B1B10">
            <w:pPr>
              <w:kinsoku w:val="0"/>
              <w:overflowPunct w:val="0"/>
              <w:autoSpaceDE w:val="0"/>
              <w:autoSpaceDN w:val="0"/>
              <w:adjustRightInd w:val="0"/>
              <w:snapToGrid w:val="0"/>
              <w:jc w:val="center"/>
              <w:rPr>
                <w:rFonts w:hint="eastAsia"/>
                <w:szCs w:val="21"/>
              </w:rPr>
            </w:pPr>
            <w:r>
              <w:rPr>
                <w:rFonts w:hint="eastAsia"/>
              </w:rPr>
              <w:t>冯晓</w:t>
            </w:r>
          </w:p>
        </w:tc>
        <w:tc>
          <w:tcPr>
            <w:tcW w:w="2031" w:type="pct"/>
            <w:tcBorders>
              <w:top w:val="single" w:color="auto" w:sz="4" w:space="0"/>
              <w:left w:val="single" w:color="auto" w:sz="4" w:space="0"/>
              <w:bottom w:val="single" w:color="auto" w:sz="4" w:space="0"/>
            </w:tcBorders>
          </w:tcPr>
          <w:p w14:paraId="2BBA2B80">
            <w:pPr>
              <w:kinsoku w:val="0"/>
              <w:overflowPunct w:val="0"/>
              <w:autoSpaceDE w:val="0"/>
              <w:autoSpaceDN w:val="0"/>
              <w:adjustRightInd w:val="0"/>
              <w:snapToGrid w:val="0"/>
              <w:jc w:val="center"/>
              <w:rPr>
                <w:rFonts w:hint="eastAsia"/>
                <w:szCs w:val="21"/>
              </w:rPr>
            </w:pPr>
            <w:r>
              <w:rPr>
                <w:rFonts w:hint="eastAsia"/>
                <w:szCs w:val="21"/>
              </w:rPr>
              <w:t>李丹</w:t>
            </w:r>
          </w:p>
        </w:tc>
      </w:tr>
      <w:tr w14:paraId="39AAC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113998E7">
            <w:pPr>
              <w:kinsoku w:val="0"/>
              <w:overflowPunct w:val="0"/>
              <w:autoSpaceDE w:val="0"/>
              <w:autoSpaceDN w:val="0"/>
              <w:adjustRightInd w:val="0"/>
              <w:snapToGrid w:val="0"/>
              <w:rPr>
                <w:rFonts w:hint="eastAsia"/>
                <w:szCs w:val="21"/>
              </w:rPr>
            </w:pPr>
            <w:r>
              <w:rPr>
                <w:rFonts w:hint="eastAsia"/>
                <w:szCs w:val="21"/>
              </w:rPr>
              <w:t>联系地址</w:t>
            </w:r>
          </w:p>
        </w:tc>
        <w:tc>
          <w:tcPr>
            <w:tcW w:w="1923" w:type="pct"/>
            <w:tcBorders>
              <w:top w:val="single" w:color="auto" w:sz="4" w:space="0"/>
              <w:left w:val="single" w:color="auto" w:sz="4" w:space="0"/>
              <w:bottom w:val="single" w:color="auto" w:sz="4" w:space="0"/>
              <w:right w:val="single" w:color="auto" w:sz="4" w:space="0"/>
            </w:tcBorders>
            <w:vAlign w:val="center"/>
          </w:tcPr>
          <w:p w14:paraId="69AB9AED">
            <w:pPr>
              <w:kinsoku w:val="0"/>
              <w:overflowPunct w:val="0"/>
              <w:autoSpaceDE w:val="0"/>
              <w:autoSpaceDN w:val="0"/>
              <w:adjustRightInd w:val="0"/>
              <w:snapToGrid w:val="0"/>
              <w:jc w:val="center"/>
              <w:rPr>
                <w:rFonts w:hint="eastAsia"/>
                <w:szCs w:val="21"/>
              </w:rPr>
            </w:pPr>
            <w:r>
              <w:rPr>
                <w:rFonts w:hint="eastAsia"/>
              </w:rPr>
              <w:t>北京市大兴区广茂大街</w:t>
            </w:r>
            <w:r>
              <w:t>44号院2号楼</w:t>
            </w:r>
          </w:p>
        </w:tc>
        <w:tc>
          <w:tcPr>
            <w:tcW w:w="2031" w:type="pct"/>
            <w:tcBorders>
              <w:top w:val="single" w:color="auto" w:sz="4" w:space="0"/>
              <w:left w:val="single" w:color="auto" w:sz="4" w:space="0"/>
              <w:bottom w:val="single" w:color="auto" w:sz="4" w:space="0"/>
            </w:tcBorders>
            <w:vAlign w:val="center"/>
          </w:tcPr>
          <w:p w14:paraId="77635B19">
            <w:pPr>
              <w:kinsoku w:val="0"/>
              <w:overflowPunct w:val="0"/>
              <w:autoSpaceDE w:val="0"/>
              <w:autoSpaceDN w:val="0"/>
              <w:adjustRightInd w:val="0"/>
              <w:snapToGrid w:val="0"/>
              <w:jc w:val="center"/>
              <w:rPr>
                <w:rFonts w:hint="eastAsia"/>
                <w:szCs w:val="21"/>
              </w:rPr>
            </w:pPr>
            <w:r>
              <w:rPr>
                <w:rFonts w:hint="eastAsia"/>
              </w:rPr>
              <w:t>北京市大兴区广茂大街</w:t>
            </w:r>
            <w:r>
              <w:t>44号院2号楼</w:t>
            </w:r>
          </w:p>
        </w:tc>
      </w:tr>
      <w:tr w14:paraId="3EF277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67DE2218">
            <w:pPr>
              <w:kinsoku w:val="0"/>
              <w:overflowPunct w:val="0"/>
              <w:autoSpaceDE w:val="0"/>
              <w:autoSpaceDN w:val="0"/>
              <w:adjustRightInd w:val="0"/>
              <w:snapToGrid w:val="0"/>
              <w:rPr>
                <w:rFonts w:hint="eastAsia"/>
                <w:szCs w:val="21"/>
              </w:rPr>
            </w:pPr>
            <w:r>
              <w:rPr>
                <w:szCs w:val="21"/>
              </w:rPr>
              <w:t>电话</w:t>
            </w:r>
          </w:p>
        </w:tc>
        <w:tc>
          <w:tcPr>
            <w:tcW w:w="1923" w:type="pct"/>
            <w:tcBorders>
              <w:top w:val="single" w:color="auto" w:sz="4" w:space="0"/>
              <w:left w:val="single" w:color="auto" w:sz="4" w:space="0"/>
              <w:bottom w:val="single" w:color="auto" w:sz="4" w:space="0"/>
              <w:right w:val="single" w:color="auto" w:sz="4" w:space="0"/>
            </w:tcBorders>
            <w:vAlign w:val="center"/>
          </w:tcPr>
          <w:p w14:paraId="4FCED95F">
            <w:pPr>
              <w:kinsoku w:val="0"/>
              <w:overflowPunct w:val="0"/>
              <w:autoSpaceDE w:val="0"/>
              <w:autoSpaceDN w:val="0"/>
              <w:adjustRightInd w:val="0"/>
              <w:snapToGrid w:val="0"/>
              <w:jc w:val="center"/>
              <w:rPr>
                <w:rFonts w:hint="eastAsia"/>
                <w:szCs w:val="21"/>
              </w:rPr>
            </w:pPr>
            <w:r>
              <w:t>010-87601718</w:t>
            </w:r>
          </w:p>
        </w:tc>
        <w:tc>
          <w:tcPr>
            <w:tcW w:w="2031" w:type="pct"/>
            <w:tcBorders>
              <w:top w:val="single" w:color="auto" w:sz="4" w:space="0"/>
              <w:left w:val="single" w:color="auto" w:sz="4" w:space="0"/>
              <w:bottom w:val="single" w:color="auto" w:sz="4" w:space="0"/>
            </w:tcBorders>
            <w:vAlign w:val="center"/>
          </w:tcPr>
          <w:p w14:paraId="4D75E581">
            <w:pPr>
              <w:kinsoku w:val="0"/>
              <w:overflowPunct w:val="0"/>
              <w:autoSpaceDE w:val="0"/>
              <w:autoSpaceDN w:val="0"/>
              <w:adjustRightInd w:val="0"/>
              <w:snapToGrid w:val="0"/>
              <w:jc w:val="center"/>
              <w:rPr>
                <w:rFonts w:hint="eastAsia"/>
                <w:szCs w:val="21"/>
              </w:rPr>
            </w:pPr>
            <w:r>
              <w:t>010-87601718</w:t>
            </w:r>
          </w:p>
        </w:tc>
      </w:tr>
      <w:tr w14:paraId="6E664C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76DD8510">
            <w:pPr>
              <w:kinsoku w:val="0"/>
              <w:overflowPunct w:val="0"/>
              <w:autoSpaceDE w:val="0"/>
              <w:autoSpaceDN w:val="0"/>
              <w:adjustRightInd w:val="0"/>
              <w:snapToGrid w:val="0"/>
              <w:rPr>
                <w:rFonts w:hint="eastAsia"/>
                <w:szCs w:val="21"/>
              </w:rPr>
            </w:pPr>
            <w:r>
              <w:rPr>
                <w:szCs w:val="21"/>
              </w:rPr>
              <w:t>传真</w:t>
            </w:r>
          </w:p>
        </w:tc>
        <w:tc>
          <w:tcPr>
            <w:tcW w:w="1923" w:type="pct"/>
            <w:tcBorders>
              <w:top w:val="single" w:color="auto" w:sz="4" w:space="0"/>
              <w:left w:val="single" w:color="auto" w:sz="4" w:space="0"/>
              <w:bottom w:val="single" w:color="auto" w:sz="4" w:space="0"/>
              <w:right w:val="single" w:color="auto" w:sz="4" w:space="0"/>
            </w:tcBorders>
            <w:vAlign w:val="center"/>
          </w:tcPr>
          <w:p w14:paraId="2B46B48B">
            <w:pPr>
              <w:kinsoku w:val="0"/>
              <w:overflowPunct w:val="0"/>
              <w:autoSpaceDE w:val="0"/>
              <w:autoSpaceDN w:val="0"/>
              <w:adjustRightInd w:val="0"/>
              <w:snapToGrid w:val="0"/>
              <w:jc w:val="center"/>
              <w:rPr>
                <w:rFonts w:hint="eastAsia"/>
                <w:szCs w:val="21"/>
              </w:rPr>
            </w:pPr>
            <w:r>
              <w:t>010-87601718</w:t>
            </w:r>
          </w:p>
        </w:tc>
        <w:tc>
          <w:tcPr>
            <w:tcW w:w="2031" w:type="pct"/>
            <w:tcBorders>
              <w:top w:val="single" w:color="auto" w:sz="4" w:space="0"/>
              <w:left w:val="single" w:color="auto" w:sz="4" w:space="0"/>
              <w:bottom w:val="single" w:color="auto" w:sz="4" w:space="0"/>
            </w:tcBorders>
            <w:vAlign w:val="center"/>
          </w:tcPr>
          <w:p w14:paraId="52890A8B">
            <w:pPr>
              <w:kinsoku w:val="0"/>
              <w:overflowPunct w:val="0"/>
              <w:autoSpaceDE w:val="0"/>
              <w:autoSpaceDN w:val="0"/>
              <w:adjustRightInd w:val="0"/>
              <w:snapToGrid w:val="0"/>
              <w:jc w:val="center"/>
              <w:rPr>
                <w:rFonts w:hint="eastAsia"/>
                <w:szCs w:val="21"/>
              </w:rPr>
            </w:pPr>
            <w:r>
              <w:t>010-87601718</w:t>
            </w:r>
          </w:p>
        </w:tc>
      </w:tr>
      <w:tr w14:paraId="40E852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044" w:type="pct"/>
            <w:tcBorders>
              <w:top w:val="single" w:color="auto" w:sz="4" w:space="0"/>
              <w:bottom w:val="single" w:color="auto" w:sz="4" w:space="0"/>
              <w:right w:val="single" w:color="auto" w:sz="4" w:space="0"/>
            </w:tcBorders>
            <w:shd w:val="clear" w:color="auto" w:fill="auto"/>
          </w:tcPr>
          <w:p w14:paraId="658C6BC4">
            <w:pPr>
              <w:kinsoku w:val="0"/>
              <w:overflowPunct w:val="0"/>
              <w:autoSpaceDE w:val="0"/>
              <w:autoSpaceDN w:val="0"/>
              <w:adjustRightInd w:val="0"/>
              <w:snapToGrid w:val="0"/>
              <w:rPr>
                <w:rFonts w:hint="eastAsia"/>
                <w:szCs w:val="21"/>
              </w:rPr>
            </w:pPr>
            <w:r>
              <w:rPr>
                <w:szCs w:val="21"/>
              </w:rPr>
              <w:t>电子信箱</w:t>
            </w:r>
          </w:p>
        </w:tc>
        <w:tc>
          <w:tcPr>
            <w:tcW w:w="1923" w:type="pct"/>
            <w:tcBorders>
              <w:top w:val="single" w:color="auto" w:sz="4" w:space="0"/>
              <w:left w:val="single" w:color="auto" w:sz="4" w:space="0"/>
              <w:bottom w:val="single" w:color="auto" w:sz="4" w:space="0"/>
              <w:right w:val="single" w:color="auto" w:sz="4" w:space="0"/>
            </w:tcBorders>
            <w:vAlign w:val="center"/>
          </w:tcPr>
          <w:p w14:paraId="570F3244">
            <w:pPr>
              <w:kinsoku w:val="0"/>
              <w:overflowPunct w:val="0"/>
              <w:autoSpaceDE w:val="0"/>
              <w:autoSpaceDN w:val="0"/>
              <w:adjustRightInd w:val="0"/>
              <w:snapToGrid w:val="0"/>
              <w:jc w:val="center"/>
              <w:rPr>
                <w:rFonts w:hint="eastAsia"/>
                <w:szCs w:val="21"/>
              </w:rPr>
            </w:pPr>
            <w:r>
              <w:t>ir@jihuachina.com</w:t>
            </w:r>
          </w:p>
        </w:tc>
        <w:tc>
          <w:tcPr>
            <w:tcW w:w="2031" w:type="pct"/>
            <w:tcBorders>
              <w:top w:val="single" w:color="auto" w:sz="4" w:space="0"/>
              <w:left w:val="single" w:color="auto" w:sz="4" w:space="0"/>
              <w:bottom w:val="single" w:color="auto" w:sz="4" w:space="0"/>
            </w:tcBorders>
            <w:vAlign w:val="center"/>
          </w:tcPr>
          <w:p w14:paraId="7D084267">
            <w:pPr>
              <w:kinsoku w:val="0"/>
              <w:overflowPunct w:val="0"/>
              <w:autoSpaceDE w:val="0"/>
              <w:autoSpaceDN w:val="0"/>
              <w:adjustRightInd w:val="0"/>
              <w:snapToGrid w:val="0"/>
              <w:jc w:val="center"/>
              <w:rPr>
                <w:rFonts w:hint="eastAsia"/>
                <w:szCs w:val="21"/>
              </w:rPr>
            </w:pPr>
            <w:r>
              <w:t>ir@jihuachina.com</w:t>
            </w:r>
          </w:p>
        </w:tc>
      </w:tr>
    </w:tbl>
    <w:p w14:paraId="2BA7F2DC">
      <w:pPr>
        <w:rPr>
          <w:rFonts w:hint="eastAsia"/>
        </w:rPr>
      </w:pPr>
    </w:p>
    <w:bookmarkEnd w:id="16"/>
    <w:bookmarkEnd w:id="17"/>
    <w:bookmarkEnd w:id="18"/>
    <w:p w14:paraId="651CAFB2">
      <w:pPr>
        <w:pStyle w:val="3"/>
        <w:numPr>
          <w:ilvl w:val="1"/>
          <w:numId w:val="4"/>
        </w:numPr>
        <w:ind w:left="498" w:hanging="498" w:hangingChars="236"/>
        <w:rPr>
          <w:u w:val="single"/>
        </w:rPr>
      </w:pPr>
      <w:r>
        <w:rPr>
          <w:rFonts w:hint="eastAsia"/>
        </w:rPr>
        <w:t>基本情况简介</w:t>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14:paraId="1527CD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65800154c9f246eeaabfb6d49f89b105"/>
            <w:id w:val="1302888291"/>
          </w:sdtPr>
          <w:sdtContent>
            <w:tc>
              <w:tcPr>
                <w:tcW w:w="2169" w:type="pct"/>
                <w:tcBorders>
                  <w:top w:val="single" w:color="auto" w:sz="4" w:space="0"/>
                  <w:bottom w:val="single" w:color="auto" w:sz="4" w:space="0"/>
                  <w:right w:val="single" w:color="auto" w:sz="4" w:space="0"/>
                </w:tcBorders>
                <w:shd w:val="clear" w:color="auto" w:fill="auto"/>
              </w:tcPr>
              <w:p w14:paraId="188D2E56">
                <w:pPr>
                  <w:kinsoku w:val="0"/>
                  <w:overflowPunct w:val="0"/>
                  <w:autoSpaceDE w:val="0"/>
                  <w:autoSpaceDN w:val="0"/>
                  <w:adjustRightInd w:val="0"/>
                  <w:snapToGrid w:val="0"/>
                  <w:rPr>
                    <w:rFonts w:hint="eastAsia"/>
                    <w:szCs w:val="21"/>
                  </w:rPr>
                </w:pPr>
                <w:r>
                  <w:rPr>
                    <w:szCs w:val="21"/>
                  </w:rPr>
                  <w:t>公司注册地址</w:t>
                </w:r>
              </w:p>
            </w:tc>
          </w:sdtContent>
        </w:sdt>
        <w:tc>
          <w:tcPr>
            <w:tcW w:w="5035" w:type="dxa"/>
            <w:tcBorders>
              <w:top w:val="single" w:color="auto" w:sz="4" w:space="0"/>
              <w:left w:val="single" w:color="auto" w:sz="4" w:space="0"/>
              <w:bottom w:val="single" w:color="auto" w:sz="4" w:space="0"/>
            </w:tcBorders>
          </w:tcPr>
          <w:sdt>
            <w:sdtPr>
              <w:rPr>
                <w:szCs w:val="21"/>
              </w:rPr>
              <w:alias w:val="公司注册地址"/>
              <w:tag w:val="_GBC_89833c4f8593417f8d5751e5d0001721"/>
              <w:id w:val="1695192158"/>
            </w:sdtPr>
            <w:sdtEndPr>
              <w:rPr>
                <w:szCs w:val="21"/>
              </w:rPr>
            </w:sdtEndPr>
            <w:sdtContent>
              <w:p w14:paraId="7B375794">
                <w:pPr>
                  <w:kinsoku w:val="0"/>
                  <w:overflowPunct w:val="0"/>
                  <w:autoSpaceDE w:val="0"/>
                  <w:autoSpaceDN w:val="0"/>
                  <w:adjustRightInd w:val="0"/>
                  <w:snapToGrid w:val="0"/>
                  <w:rPr>
                    <w:rFonts w:hint="eastAsia"/>
                    <w:szCs w:val="21"/>
                  </w:rPr>
                </w:pPr>
                <w:r>
                  <w:rPr>
                    <w:szCs w:val="21"/>
                  </w:rPr>
                  <w:t>北京市大兴区广茂大街</w:t>
                </w:r>
                <w:r>
                  <w:rPr>
                    <w:rFonts w:hint="eastAsia"/>
                    <w:szCs w:val="21"/>
                  </w:rPr>
                  <w:t>4</w:t>
                </w:r>
                <w:r>
                  <w:rPr>
                    <w:szCs w:val="21"/>
                  </w:rPr>
                  <w:t>4号院</w:t>
                </w:r>
                <w:r>
                  <w:rPr>
                    <w:rFonts w:hint="eastAsia"/>
                    <w:szCs w:val="21"/>
                  </w:rPr>
                  <w:t>2号楼</w:t>
                </w:r>
              </w:p>
            </w:sdtContent>
          </w:sdt>
        </w:tc>
      </w:tr>
      <w:tr w14:paraId="5AB85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330D9B91">
            <w:pPr>
              <w:kinsoku w:val="0"/>
              <w:overflowPunct w:val="0"/>
              <w:autoSpaceDE w:val="0"/>
              <w:autoSpaceDN w:val="0"/>
              <w:adjustRightInd w:val="0"/>
              <w:snapToGrid w:val="0"/>
              <w:rPr>
                <w:rFonts w:hint="eastAsia"/>
              </w:rPr>
            </w:pPr>
            <w:r>
              <w:rPr>
                <w:rFonts w:hint="eastAsia"/>
              </w:rPr>
              <w:t>公司注册地址的历史变更情况</w:t>
            </w:r>
          </w:p>
        </w:tc>
        <w:tc>
          <w:tcPr>
            <w:tcW w:w="5035" w:type="dxa"/>
            <w:tcBorders>
              <w:top w:val="single" w:color="auto" w:sz="4" w:space="0"/>
              <w:left w:val="single" w:color="auto" w:sz="4" w:space="0"/>
              <w:bottom w:val="single" w:color="auto" w:sz="4" w:space="0"/>
            </w:tcBorders>
          </w:tcPr>
          <w:p w14:paraId="2C15C878">
            <w:pPr>
              <w:kinsoku w:val="0"/>
              <w:overflowPunct w:val="0"/>
              <w:autoSpaceDE w:val="0"/>
              <w:autoSpaceDN w:val="0"/>
              <w:adjustRightInd w:val="0"/>
              <w:snapToGrid w:val="0"/>
              <w:rPr>
                <w:rFonts w:hint="eastAsia"/>
                <w:szCs w:val="21"/>
              </w:rPr>
            </w:pPr>
            <w:r>
              <w:rPr>
                <w:rFonts w:hint="eastAsia"/>
                <w:szCs w:val="21"/>
              </w:rPr>
              <w:t>2</w:t>
            </w:r>
            <w:r>
              <w:rPr>
                <w:szCs w:val="21"/>
              </w:rPr>
              <w:t>02</w:t>
            </w:r>
            <w:r>
              <w:rPr>
                <w:rFonts w:hint="eastAsia"/>
                <w:szCs w:val="21"/>
              </w:rPr>
              <w:t>2</w:t>
            </w:r>
            <w:r>
              <w:rPr>
                <w:szCs w:val="21"/>
              </w:rPr>
              <w:t>年</w:t>
            </w:r>
            <w:r>
              <w:rPr>
                <w:rFonts w:hint="eastAsia"/>
                <w:szCs w:val="21"/>
              </w:rPr>
              <w:t>11月17日，公司注册地址由“北京市丰台区南四环西路1</w:t>
            </w:r>
            <w:r>
              <w:rPr>
                <w:szCs w:val="21"/>
              </w:rPr>
              <w:t>88号十五区</w:t>
            </w:r>
            <w:r>
              <w:rPr>
                <w:rFonts w:hint="eastAsia"/>
                <w:szCs w:val="21"/>
              </w:rPr>
              <w:t>6号楼”变更为“北京市大兴区广茂大街4</w:t>
            </w:r>
            <w:r>
              <w:rPr>
                <w:szCs w:val="21"/>
              </w:rPr>
              <w:t>4号院</w:t>
            </w:r>
            <w:r>
              <w:rPr>
                <w:rFonts w:hint="eastAsia"/>
                <w:szCs w:val="21"/>
              </w:rPr>
              <w:t>2号楼”。</w:t>
            </w:r>
          </w:p>
        </w:tc>
      </w:tr>
      <w:tr w14:paraId="266D7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6E2D50FC">
            <w:pPr>
              <w:kinsoku w:val="0"/>
              <w:overflowPunct w:val="0"/>
              <w:autoSpaceDE w:val="0"/>
              <w:autoSpaceDN w:val="0"/>
              <w:adjustRightInd w:val="0"/>
              <w:snapToGrid w:val="0"/>
              <w:rPr>
                <w:rFonts w:hint="eastAsia"/>
                <w:szCs w:val="21"/>
              </w:rPr>
            </w:pPr>
            <w:r>
              <w:rPr>
                <w:szCs w:val="21"/>
              </w:rPr>
              <w:t>公司办公地址</w:t>
            </w:r>
          </w:p>
        </w:tc>
        <w:tc>
          <w:tcPr>
            <w:tcW w:w="5035" w:type="dxa"/>
            <w:tcBorders>
              <w:top w:val="single" w:color="auto" w:sz="4" w:space="0"/>
              <w:left w:val="single" w:color="auto" w:sz="4" w:space="0"/>
              <w:bottom w:val="single" w:color="auto" w:sz="4" w:space="0"/>
            </w:tcBorders>
            <w:vAlign w:val="center"/>
          </w:tcPr>
          <w:p w14:paraId="5B88B3FA">
            <w:pPr>
              <w:kinsoku w:val="0"/>
              <w:overflowPunct w:val="0"/>
              <w:autoSpaceDE w:val="0"/>
              <w:autoSpaceDN w:val="0"/>
              <w:adjustRightInd w:val="0"/>
              <w:snapToGrid w:val="0"/>
              <w:rPr>
                <w:rFonts w:hint="eastAsia"/>
                <w:szCs w:val="21"/>
              </w:rPr>
            </w:pPr>
            <w:r>
              <w:rPr>
                <w:rFonts w:hint="eastAsia"/>
              </w:rPr>
              <w:t>北京市大兴区广茂大街</w:t>
            </w:r>
            <w:r>
              <w:t>44号院2号楼</w:t>
            </w:r>
          </w:p>
        </w:tc>
      </w:tr>
      <w:tr w14:paraId="49230A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503B0CDA">
            <w:pPr>
              <w:kinsoku w:val="0"/>
              <w:overflowPunct w:val="0"/>
              <w:autoSpaceDE w:val="0"/>
              <w:autoSpaceDN w:val="0"/>
              <w:adjustRightInd w:val="0"/>
              <w:snapToGrid w:val="0"/>
              <w:rPr>
                <w:rFonts w:hint="eastAsia"/>
                <w:szCs w:val="21"/>
              </w:rPr>
            </w:pPr>
            <w:r>
              <w:rPr>
                <w:szCs w:val="21"/>
              </w:rPr>
              <w:t>公司办公地址的邮政编码</w:t>
            </w:r>
          </w:p>
        </w:tc>
        <w:tc>
          <w:tcPr>
            <w:tcW w:w="5035" w:type="dxa"/>
            <w:tcBorders>
              <w:top w:val="single" w:color="auto" w:sz="4" w:space="0"/>
              <w:left w:val="single" w:color="auto" w:sz="4" w:space="0"/>
              <w:bottom w:val="single" w:color="auto" w:sz="4" w:space="0"/>
            </w:tcBorders>
            <w:vAlign w:val="center"/>
          </w:tcPr>
          <w:p w14:paraId="0468F246">
            <w:pPr>
              <w:kinsoku w:val="0"/>
              <w:overflowPunct w:val="0"/>
              <w:autoSpaceDE w:val="0"/>
              <w:autoSpaceDN w:val="0"/>
              <w:adjustRightInd w:val="0"/>
              <w:snapToGrid w:val="0"/>
              <w:rPr>
                <w:rFonts w:hint="eastAsia"/>
                <w:szCs w:val="21"/>
              </w:rPr>
            </w:pPr>
            <w:r>
              <w:t>102627</w:t>
            </w:r>
          </w:p>
        </w:tc>
      </w:tr>
      <w:tr w14:paraId="5EA024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604B04CB">
            <w:pPr>
              <w:kinsoku w:val="0"/>
              <w:overflowPunct w:val="0"/>
              <w:autoSpaceDE w:val="0"/>
              <w:autoSpaceDN w:val="0"/>
              <w:adjustRightInd w:val="0"/>
              <w:snapToGrid w:val="0"/>
              <w:rPr>
                <w:rFonts w:hint="eastAsia"/>
                <w:szCs w:val="21"/>
              </w:rPr>
            </w:pPr>
            <w:r>
              <w:rPr>
                <w:szCs w:val="21"/>
              </w:rPr>
              <w:t>公司网址</w:t>
            </w:r>
          </w:p>
        </w:tc>
        <w:tc>
          <w:tcPr>
            <w:tcW w:w="5035" w:type="dxa"/>
            <w:tcBorders>
              <w:top w:val="single" w:color="auto" w:sz="4" w:space="0"/>
              <w:left w:val="single" w:color="auto" w:sz="4" w:space="0"/>
              <w:bottom w:val="single" w:color="auto" w:sz="4" w:space="0"/>
            </w:tcBorders>
            <w:vAlign w:val="center"/>
          </w:tcPr>
          <w:p w14:paraId="3903B76A">
            <w:pPr>
              <w:kinsoku w:val="0"/>
              <w:overflowPunct w:val="0"/>
              <w:autoSpaceDE w:val="0"/>
              <w:autoSpaceDN w:val="0"/>
              <w:adjustRightInd w:val="0"/>
              <w:snapToGrid w:val="0"/>
              <w:rPr>
                <w:rFonts w:hint="eastAsia"/>
                <w:szCs w:val="21"/>
              </w:rPr>
            </w:pPr>
            <w:r>
              <w:t>http://www.jihuachina.com</w:t>
            </w:r>
          </w:p>
        </w:tc>
      </w:tr>
      <w:tr w14:paraId="7991C6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shd w:val="clear" w:color="auto" w:fill="auto"/>
          </w:tcPr>
          <w:p w14:paraId="40B502D1">
            <w:pPr>
              <w:kinsoku w:val="0"/>
              <w:overflowPunct w:val="0"/>
              <w:autoSpaceDE w:val="0"/>
              <w:autoSpaceDN w:val="0"/>
              <w:adjustRightInd w:val="0"/>
              <w:snapToGrid w:val="0"/>
              <w:rPr>
                <w:rFonts w:hint="eastAsia"/>
                <w:szCs w:val="21"/>
              </w:rPr>
            </w:pPr>
            <w:r>
              <w:rPr>
                <w:szCs w:val="21"/>
              </w:rPr>
              <w:t>电子信箱</w:t>
            </w:r>
          </w:p>
        </w:tc>
        <w:tc>
          <w:tcPr>
            <w:tcW w:w="5035" w:type="dxa"/>
            <w:tcBorders>
              <w:top w:val="single" w:color="auto" w:sz="4" w:space="0"/>
              <w:left w:val="single" w:color="auto" w:sz="4" w:space="0"/>
              <w:bottom w:val="single" w:color="auto" w:sz="4" w:space="0"/>
            </w:tcBorders>
            <w:vAlign w:val="center"/>
          </w:tcPr>
          <w:p w14:paraId="7B39F5A5">
            <w:pPr>
              <w:kinsoku w:val="0"/>
              <w:overflowPunct w:val="0"/>
              <w:autoSpaceDE w:val="0"/>
              <w:autoSpaceDN w:val="0"/>
              <w:adjustRightInd w:val="0"/>
              <w:snapToGrid w:val="0"/>
              <w:rPr>
                <w:rFonts w:hint="eastAsia"/>
                <w:szCs w:val="21"/>
              </w:rPr>
            </w:pPr>
            <w:r>
              <w:t>ir@jihuachina.com</w:t>
            </w:r>
          </w:p>
        </w:tc>
      </w:tr>
    </w:tbl>
    <w:p w14:paraId="687758BC">
      <w:pPr>
        <w:rPr>
          <w:rFonts w:hint="eastAsia"/>
        </w:rPr>
      </w:pPr>
    </w:p>
    <w:p w14:paraId="4594033B">
      <w:pPr>
        <w:pStyle w:val="3"/>
        <w:numPr>
          <w:ilvl w:val="1"/>
          <w:numId w:val="4"/>
        </w:numPr>
        <w:ind w:left="498" w:hanging="498" w:hangingChars="236"/>
        <w:rPr>
          <w:u w:val="single"/>
        </w:rPr>
      </w:pPr>
      <w:r>
        <w:rPr>
          <w:rFonts w:hint="eastAsia"/>
        </w:rPr>
        <w:t>信息披露及备置地点</w:t>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4141"/>
        <w:gridCol w:w="4752"/>
      </w:tblGrid>
      <w:tr w14:paraId="4BBAD8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bbba55a3ebda46da946a09caf15c63b6"/>
            <w:id w:val="816688486"/>
          </w:sdtPr>
          <w:sdtContent>
            <w:tc>
              <w:tcPr>
                <w:tcW w:w="2328" w:type="pct"/>
                <w:tcBorders>
                  <w:top w:val="single" w:color="auto" w:sz="4" w:space="0"/>
                  <w:bottom w:val="single" w:color="auto" w:sz="4" w:space="0"/>
                  <w:right w:val="single" w:color="auto" w:sz="4" w:space="0"/>
                </w:tcBorders>
                <w:shd w:val="clear" w:color="auto" w:fill="auto"/>
              </w:tcPr>
              <w:p w14:paraId="5A4CCD97">
                <w:pPr>
                  <w:kinsoku w:val="0"/>
                  <w:overflowPunct w:val="0"/>
                  <w:autoSpaceDE w:val="0"/>
                  <w:autoSpaceDN w:val="0"/>
                  <w:adjustRightInd w:val="0"/>
                  <w:snapToGrid w:val="0"/>
                  <w:rPr>
                    <w:rFonts w:hint="eastAsia"/>
                    <w:szCs w:val="21"/>
                  </w:rPr>
                </w:pPr>
                <w:r>
                  <w:rPr>
                    <w:szCs w:val="21"/>
                  </w:rPr>
                  <w:t>公司</w:t>
                </w:r>
                <w:r>
                  <w:rPr>
                    <w:rFonts w:hint="eastAsia"/>
                    <w:szCs w:val="21"/>
                  </w:rPr>
                  <w:t>披露年度报告的媒体</w:t>
                </w:r>
                <w:r>
                  <w:rPr>
                    <w:szCs w:val="21"/>
                  </w:rPr>
                  <w:t>名称</w:t>
                </w:r>
                <w:r>
                  <w:rPr>
                    <w:rFonts w:hint="eastAsia"/>
                    <w:szCs w:val="21"/>
                  </w:rPr>
                  <w:t>及网址</w:t>
                </w:r>
              </w:p>
            </w:tc>
          </w:sdtContent>
        </w:sdt>
        <w:tc>
          <w:tcPr>
            <w:tcW w:w="4752" w:type="dxa"/>
            <w:tcBorders>
              <w:top w:val="single" w:color="auto" w:sz="4" w:space="0"/>
              <w:left w:val="single" w:color="auto" w:sz="4" w:space="0"/>
              <w:bottom w:val="single" w:color="auto" w:sz="4" w:space="0"/>
            </w:tcBorders>
          </w:tcPr>
          <w:sdt>
            <w:sdtPr>
              <w:rPr>
                <w:szCs w:val="21"/>
              </w:rPr>
              <w:alias w:val="公司选定的信息披露报纸名称"/>
              <w:tag w:val="_GBC_001b00e5e370415c93177612f89840ec"/>
              <w:id w:val="1992978886"/>
            </w:sdtPr>
            <w:sdtEndPr>
              <w:rPr>
                <w:szCs w:val="21"/>
              </w:rPr>
            </w:sdtEndPr>
            <w:sdtContent>
              <w:p w14:paraId="4F780DEB">
                <w:pPr>
                  <w:kinsoku w:val="0"/>
                  <w:overflowPunct w:val="0"/>
                  <w:autoSpaceDE w:val="0"/>
                  <w:autoSpaceDN w:val="0"/>
                  <w:adjustRightInd w:val="0"/>
                  <w:snapToGrid w:val="0"/>
                  <w:rPr>
                    <w:rFonts w:hint="eastAsia"/>
                    <w:szCs w:val="21"/>
                  </w:rPr>
                </w:pPr>
                <w:r>
                  <w:rPr>
                    <w:rFonts w:hint="eastAsia"/>
                    <w:szCs w:val="21"/>
                  </w:rPr>
                  <w:t>中国</w:t>
                </w:r>
                <w:r>
                  <w:rPr>
                    <w:szCs w:val="21"/>
                  </w:rPr>
                  <w:t>证券报</w:t>
                </w:r>
              </w:p>
            </w:sdtContent>
          </w:sdt>
        </w:tc>
      </w:tr>
      <w:tr w14:paraId="537554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328" w:type="pct"/>
            <w:tcBorders>
              <w:top w:val="single" w:color="auto" w:sz="4" w:space="0"/>
              <w:bottom w:val="single" w:color="auto" w:sz="4" w:space="0"/>
              <w:right w:val="single" w:color="auto" w:sz="4" w:space="0"/>
            </w:tcBorders>
            <w:shd w:val="clear" w:color="auto" w:fill="auto"/>
          </w:tcPr>
          <w:p w14:paraId="5A00135D">
            <w:pPr>
              <w:kinsoku w:val="0"/>
              <w:overflowPunct w:val="0"/>
              <w:autoSpaceDE w:val="0"/>
              <w:autoSpaceDN w:val="0"/>
              <w:adjustRightInd w:val="0"/>
              <w:snapToGrid w:val="0"/>
              <w:rPr>
                <w:rFonts w:hint="eastAsia"/>
                <w:szCs w:val="21"/>
              </w:rPr>
            </w:pPr>
            <w:r>
              <w:rPr>
                <w:rFonts w:hint="eastAsia"/>
                <w:szCs w:val="21"/>
              </w:rPr>
              <w:t>公司披露年度报告的证券交易所</w:t>
            </w:r>
            <w:r>
              <w:rPr>
                <w:szCs w:val="21"/>
              </w:rPr>
              <w:t>网址</w:t>
            </w:r>
          </w:p>
        </w:tc>
        <w:tc>
          <w:tcPr>
            <w:tcW w:w="4752" w:type="dxa"/>
            <w:tcBorders>
              <w:top w:val="single" w:color="auto" w:sz="4" w:space="0"/>
              <w:left w:val="single" w:color="auto" w:sz="4" w:space="0"/>
              <w:bottom w:val="single" w:color="auto" w:sz="4" w:space="0"/>
            </w:tcBorders>
          </w:tcPr>
          <w:p w14:paraId="4FF3B50B">
            <w:pPr>
              <w:kinsoku w:val="0"/>
              <w:overflowPunct w:val="0"/>
              <w:autoSpaceDE w:val="0"/>
              <w:autoSpaceDN w:val="0"/>
              <w:adjustRightInd w:val="0"/>
              <w:snapToGrid w:val="0"/>
              <w:rPr>
                <w:rFonts w:hint="eastAsia"/>
                <w:szCs w:val="21"/>
              </w:rPr>
            </w:pPr>
            <w:r>
              <w:rPr>
                <w:szCs w:val="21"/>
              </w:rPr>
              <w:t>http://www.sse.com.cn</w:t>
            </w:r>
          </w:p>
        </w:tc>
      </w:tr>
      <w:tr w14:paraId="5D6984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21" w:hRule="atLeast"/>
        </w:trPr>
        <w:tc>
          <w:tcPr>
            <w:tcW w:w="2328" w:type="pct"/>
            <w:tcBorders>
              <w:top w:val="single" w:color="auto" w:sz="4" w:space="0"/>
              <w:bottom w:val="single" w:color="auto" w:sz="4" w:space="0"/>
              <w:right w:val="single" w:color="auto" w:sz="4" w:space="0"/>
            </w:tcBorders>
            <w:shd w:val="clear" w:color="auto" w:fill="auto"/>
          </w:tcPr>
          <w:p w14:paraId="572AC20C">
            <w:pPr>
              <w:kinsoku w:val="0"/>
              <w:overflowPunct w:val="0"/>
              <w:autoSpaceDE w:val="0"/>
              <w:autoSpaceDN w:val="0"/>
              <w:adjustRightInd w:val="0"/>
              <w:snapToGrid w:val="0"/>
              <w:rPr>
                <w:rFonts w:hint="eastAsia"/>
                <w:szCs w:val="21"/>
              </w:rPr>
            </w:pPr>
            <w:r>
              <w:rPr>
                <w:szCs w:val="21"/>
              </w:rPr>
              <w:t>公司年度报告备置地点</w:t>
            </w:r>
          </w:p>
        </w:tc>
        <w:tc>
          <w:tcPr>
            <w:tcW w:w="4752" w:type="dxa"/>
            <w:tcBorders>
              <w:top w:val="single" w:color="auto" w:sz="4" w:space="0"/>
              <w:left w:val="single" w:color="auto" w:sz="4" w:space="0"/>
              <w:bottom w:val="single" w:color="auto" w:sz="4" w:space="0"/>
            </w:tcBorders>
          </w:tcPr>
          <w:p w14:paraId="1E632AB1">
            <w:pPr>
              <w:kinsoku w:val="0"/>
              <w:overflowPunct w:val="0"/>
              <w:autoSpaceDE w:val="0"/>
              <w:autoSpaceDN w:val="0"/>
              <w:adjustRightInd w:val="0"/>
              <w:snapToGrid w:val="0"/>
              <w:rPr>
                <w:rFonts w:hint="eastAsia"/>
                <w:szCs w:val="21"/>
              </w:rPr>
            </w:pPr>
            <w:r>
              <w:rPr>
                <w:rFonts w:hint="eastAsia"/>
                <w:szCs w:val="21"/>
              </w:rPr>
              <w:t>公司董事会办公室</w:t>
            </w:r>
          </w:p>
        </w:tc>
      </w:tr>
    </w:tbl>
    <w:p w14:paraId="33FD649C">
      <w:pPr>
        <w:rPr>
          <w:rFonts w:hint="eastAsia"/>
        </w:rPr>
      </w:pPr>
    </w:p>
    <w:p w14:paraId="1B0990FC">
      <w:pPr>
        <w:pStyle w:val="3"/>
        <w:numPr>
          <w:ilvl w:val="1"/>
          <w:numId w:val="4"/>
        </w:numPr>
        <w:ind w:left="498" w:hanging="498" w:hangingChars="236"/>
        <w:rPr>
          <w:u w:val="single"/>
        </w:rPr>
      </w:pPr>
      <w:bookmarkStart w:id="19" w:name="_Toc342051045"/>
      <w:bookmarkStart w:id="20" w:name="_Toc342565885"/>
      <w:r>
        <w:rPr>
          <w:rFonts w:hint="eastAsia"/>
        </w:rPr>
        <w:t>公司股票简况</w:t>
      </w:r>
      <w:bookmarkEnd w:id="19"/>
      <w:bookmarkEnd w:id="20"/>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2220"/>
        <w:gridCol w:w="2221"/>
        <w:gridCol w:w="2226"/>
        <w:gridCol w:w="2226"/>
      </w:tblGrid>
      <w:tr w14:paraId="5F15B8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8c7d8e96d5f4491aa9e7c3c601503603"/>
            <w:id w:val="119271314"/>
          </w:sdtPr>
          <w:sdtContent>
            <w:tc>
              <w:tcPr>
                <w:tcW w:w="1249" w:type="pct"/>
                <w:tcBorders>
                  <w:top w:val="single" w:color="auto" w:sz="4" w:space="0"/>
                  <w:bottom w:val="single" w:color="auto" w:sz="4" w:space="0"/>
                  <w:right w:val="single" w:color="auto" w:sz="4" w:space="0"/>
                </w:tcBorders>
                <w:shd w:val="clear" w:color="auto" w:fill="auto"/>
              </w:tcPr>
              <w:p w14:paraId="590BE4FE">
                <w:pPr>
                  <w:kinsoku w:val="0"/>
                  <w:overflowPunct w:val="0"/>
                  <w:autoSpaceDE w:val="0"/>
                  <w:autoSpaceDN w:val="0"/>
                  <w:adjustRightInd w:val="0"/>
                  <w:snapToGrid w:val="0"/>
                  <w:jc w:val="center"/>
                  <w:rPr>
                    <w:rFonts w:hint="eastAsia"/>
                    <w:szCs w:val="21"/>
                  </w:rPr>
                </w:pPr>
                <w:r>
                  <w:rPr>
                    <w:rFonts w:hint="eastAsia"/>
                    <w:szCs w:val="21"/>
                  </w:rPr>
                  <w:t>股票种类</w:t>
                </w:r>
              </w:p>
            </w:tc>
          </w:sdtContent>
        </w:sdt>
        <w:sdt>
          <w:sdtPr>
            <w:tag w:val="_PLD_b56a72f5279041b38925f5228f2089f6"/>
            <w:id w:val="667594237"/>
          </w:sdtPr>
          <w:sdtContent>
            <w:tc>
              <w:tcPr>
                <w:tcW w:w="1249" w:type="pct"/>
                <w:tcBorders>
                  <w:top w:val="single" w:color="auto" w:sz="4" w:space="0"/>
                  <w:left w:val="single" w:color="auto" w:sz="4" w:space="0"/>
                  <w:bottom w:val="single" w:color="auto" w:sz="4" w:space="0"/>
                  <w:right w:val="single" w:color="auto" w:sz="4" w:space="0"/>
                </w:tcBorders>
                <w:shd w:val="clear" w:color="auto" w:fill="auto"/>
              </w:tcPr>
              <w:p w14:paraId="385CCF1F">
                <w:pPr>
                  <w:kinsoku w:val="0"/>
                  <w:overflowPunct w:val="0"/>
                  <w:autoSpaceDE w:val="0"/>
                  <w:autoSpaceDN w:val="0"/>
                  <w:adjustRightInd w:val="0"/>
                  <w:snapToGrid w:val="0"/>
                  <w:jc w:val="center"/>
                  <w:rPr>
                    <w:rFonts w:hint="eastAsia"/>
                    <w:szCs w:val="21"/>
                  </w:rPr>
                </w:pPr>
                <w:r>
                  <w:rPr>
                    <w:rFonts w:hint="eastAsia"/>
                    <w:szCs w:val="21"/>
                  </w:rPr>
                  <w:t>股票上市交易所</w:t>
                </w:r>
              </w:p>
            </w:tc>
          </w:sdtContent>
        </w:sdt>
        <w:sdt>
          <w:sdtPr>
            <w:tag w:val="_PLD_6dd4e584e21c4367b3dfe6f7f5c64696"/>
            <w:id w:val="513430137"/>
          </w:sdtPr>
          <w:sdtContent>
            <w:tc>
              <w:tcPr>
                <w:tcW w:w="1251" w:type="pct"/>
                <w:tcBorders>
                  <w:top w:val="single" w:color="auto" w:sz="4" w:space="0"/>
                  <w:left w:val="single" w:color="auto" w:sz="4" w:space="0"/>
                  <w:bottom w:val="single" w:color="auto" w:sz="4" w:space="0"/>
                  <w:right w:val="single" w:color="auto" w:sz="4" w:space="0"/>
                </w:tcBorders>
                <w:shd w:val="clear" w:color="auto" w:fill="auto"/>
              </w:tcPr>
              <w:p w14:paraId="5B82B2D9">
                <w:pPr>
                  <w:kinsoku w:val="0"/>
                  <w:overflowPunct w:val="0"/>
                  <w:autoSpaceDE w:val="0"/>
                  <w:autoSpaceDN w:val="0"/>
                  <w:adjustRightInd w:val="0"/>
                  <w:snapToGrid w:val="0"/>
                  <w:jc w:val="center"/>
                  <w:rPr>
                    <w:rFonts w:hint="eastAsia"/>
                    <w:szCs w:val="21"/>
                  </w:rPr>
                </w:pPr>
                <w:r>
                  <w:rPr>
                    <w:rFonts w:hint="eastAsia"/>
                    <w:szCs w:val="21"/>
                  </w:rPr>
                  <w:t>股票简称</w:t>
                </w:r>
              </w:p>
            </w:tc>
          </w:sdtContent>
        </w:sdt>
        <w:sdt>
          <w:sdtPr>
            <w:tag w:val="_PLD_e6f819a9bdc4409c94aa103da8c19dc3"/>
            <w:id w:val="747151659"/>
          </w:sdtPr>
          <w:sdtContent>
            <w:tc>
              <w:tcPr>
                <w:tcW w:w="1251" w:type="pct"/>
                <w:tcBorders>
                  <w:top w:val="single" w:color="auto" w:sz="4" w:space="0"/>
                  <w:left w:val="single" w:color="auto" w:sz="4" w:space="0"/>
                  <w:bottom w:val="single" w:color="auto" w:sz="4" w:space="0"/>
                  <w:right w:val="single" w:color="auto" w:sz="4" w:space="0"/>
                </w:tcBorders>
                <w:shd w:val="clear" w:color="auto" w:fill="auto"/>
              </w:tcPr>
              <w:p w14:paraId="40141FD3">
                <w:pPr>
                  <w:kinsoku w:val="0"/>
                  <w:overflowPunct w:val="0"/>
                  <w:autoSpaceDE w:val="0"/>
                  <w:autoSpaceDN w:val="0"/>
                  <w:adjustRightInd w:val="0"/>
                  <w:snapToGrid w:val="0"/>
                  <w:jc w:val="center"/>
                  <w:rPr>
                    <w:rFonts w:hint="eastAsia"/>
                    <w:szCs w:val="21"/>
                  </w:rPr>
                </w:pPr>
                <w:r>
                  <w:rPr>
                    <w:rFonts w:hint="eastAsia"/>
                    <w:szCs w:val="21"/>
                  </w:rPr>
                  <w:t>股票代码</w:t>
                </w:r>
              </w:p>
            </w:tc>
          </w:sdtContent>
        </w:sdt>
      </w:tr>
      <w:tr w14:paraId="563B9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249" w:type="pct"/>
            <w:tcBorders>
              <w:top w:val="single" w:color="auto" w:sz="4" w:space="0"/>
              <w:bottom w:val="single" w:color="auto" w:sz="4" w:space="0"/>
              <w:right w:val="single" w:color="auto" w:sz="4" w:space="0"/>
            </w:tcBorders>
            <w:shd w:val="clear" w:color="auto" w:fill="auto"/>
          </w:tcPr>
          <w:p w14:paraId="5F482822">
            <w:pPr>
              <w:kinsoku w:val="0"/>
              <w:overflowPunct w:val="0"/>
              <w:autoSpaceDE w:val="0"/>
              <w:autoSpaceDN w:val="0"/>
              <w:adjustRightInd w:val="0"/>
              <w:snapToGrid w:val="0"/>
              <w:jc w:val="center"/>
              <w:rPr>
                <w:rFonts w:hint="eastAsia"/>
                <w:szCs w:val="21"/>
              </w:rPr>
            </w:pPr>
            <w:r>
              <w:t>A股</w:t>
            </w:r>
          </w:p>
        </w:tc>
        <w:tc>
          <w:tcPr>
            <w:tcW w:w="1249" w:type="pct"/>
            <w:tcBorders>
              <w:top w:val="single" w:color="auto" w:sz="4" w:space="0"/>
              <w:left w:val="single" w:color="auto" w:sz="4" w:space="0"/>
              <w:bottom w:val="single" w:color="auto" w:sz="4" w:space="0"/>
              <w:right w:val="single" w:color="auto" w:sz="4" w:space="0"/>
            </w:tcBorders>
            <w:shd w:val="clear" w:color="auto" w:fill="auto"/>
          </w:tcPr>
          <w:p w14:paraId="6E38959D">
            <w:pPr>
              <w:kinsoku w:val="0"/>
              <w:overflowPunct w:val="0"/>
              <w:autoSpaceDE w:val="0"/>
              <w:autoSpaceDN w:val="0"/>
              <w:adjustRightInd w:val="0"/>
              <w:snapToGrid w:val="0"/>
              <w:jc w:val="center"/>
              <w:rPr>
                <w:rFonts w:hint="eastAsia"/>
                <w:szCs w:val="21"/>
              </w:rPr>
            </w:pPr>
            <w:r>
              <w:t>上海证券交易所</w:t>
            </w:r>
          </w:p>
        </w:tc>
        <w:tc>
          <w:tcPr>
            <w:tcW w:w="1251" w:type="pct"/>
            <w:tcBorders>
              <w:top w:val="single" w:color="auto" w:sz="4" w:space="0"/>
              <w:left w:val="single" w:color="auto" w:sz="4" w:space="0"/>
              <w:bottom w:val="single" w:color="auto" w:sz="4" w:space="0"/>
              <w:right w:val="single" w:color="auto" w:sz="4" w:space="0"/>
            </w:tcBorders>
            <w:shd w:val="clear" w:color="auto" w:fill="auto"/>
          </w:tcPr>
          <w:p w14:paraId="0BD08C25">
            <w:pPr>
              <w:kinsoku w:val="0"/>
              <w:overflowPunct w:val="0"/>
              <w:autoSpaceDE w:val="0"/>
              <w:autoSpaceDN w:val="0"/>
              <w:adjustRightInd w:val="0"/>
              <w:snapToGrid w:val="0"/>
              <w:jc w:val="center"/>
              <w:rPr>
                <w:rFonts w:hint="eastAsia"/>
                <w:szCs w:val="21"/>
              </w:rPr>
            </w:pPr>
            <w:r>
              <w:t>际华集团</w:t>
            </w:r>
          </w:p>
        </w:tc>
        <w:tc>
          <w:tcPr>
            <w:tcW w:w="1251" w:type="pct"/>
            <w:tcBorders>
              <w:top w:val="single" w:color="auto" w:sz="4" w:space="0"/>
              <w:left w:val="single" w:color="auto" w:sz="4" w:space="0"/>
              <w:bottom w:val="single" w:color="auto" w:sz="4" w:space="0"/>
              <w:right w:val="single" w:color="auto" w:sz="4" w:space="0"/>
            </w:tcBorders>
            <w:shd w:val="clear" w:color="auto" w:fill="auto"/>
          </w:tcPr>
          <w:p w14:paraId="5A9D0E54">
            <w:pPr>
              <w:kinsoku w:val="0"/>
              <w:overflowPunct w:val="0"/>
              <w:autoSpaceDE w:val="0"/>
              <w:autoSpaceDN w:val="0"/>
              <w:adjustRightInd w:val="0"/>
              <w:snapToGrid w:val="0"/>
              <w:jc w:val="center"/>
              <w:rPr>
                <w:rFonts w:hint="eastAsia"/>
                <w:szCs w:val="21"/>
              </w:rPr>
            </w:pPr>
            <w:r>
              <w:t>601718</w:t>
            </w:r>
          </w:p>
        </w:tc>
      </w:tr>
    </w:tbl>
    <w:p w14:paraId="462DB0C1">
      <w:pPr>
        <w:rPr>
          <w:rFonts w:hint="eastAsia"/>
          <w:color w:val="0070C0"/>
        </w:rPr>
      </w:pPr>
    </w:p>
    <w:p w14:paraId="61E2B820">
      <w:pPr>
        <w:pStyle w:val="3"/>
        <w:numPr>
          <w:ilvl w:val="1"/>
          <w:numId w:val="4"/>
        </w:numPr>
        <w:ind w:left="498" w:hanging="498" w:hangingChars="236"/>
        <w:rPr>
          <w:u w:val="single"/>
        </w:rPr>
      </w:pPr>
      <w:r>
        <w:rPr>
          <w:rFonts w:hint="eastAsia"/>
        </w:rPr>
        <w:t>其他相关资料</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4"/>
        <w:gridCol w:w="1841"/>
        <w:gridCol w:w="4524"/>
      </w:tblGrid>
      <w:tr w14:paraId="1A58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sdt>
          <w:sdtPr>
            <w:tag w:val="_PLD_e6bf57c678134e2ab9f21f313ee3de3c"/>
            <w:id w:val="1479644031"/>
          </w:sdtPr>
          <w:sdtContent>
            <w:tc>
              <w:tcPr>
                <w:tcW w:w="1483" w:type="pct"/>
                <w:vMerge w:val="restart"/>
                <w:vAlign w:val="center"/>
              </w:tcPr>
              <w:p w14:paraId="51BE7F90">
                <w:pPr>
                  <w:widowControl w:val="0"/>
                  <w:jc w:val="both"/>
                  <w:rPr>
                    <w:rFonts w:hint="eastAsia"/>
                    <w:szCs w:val="21"/>
                  </w:rPr>
                </w:pPr>
                <w:r>
                  <w:rPr>
                    <w:rFonts w:hint="eastAsia"/>
                    <w:szCs w:val="21"/>
                  </w:rPr>
                  <w:t>公司聘请的会计师事务所（境内）</w:t>
                </w:r>
              </w:p>
            </w:tc>
          </w:sdtContent>
        </w:sdt>
        <w:sdt>
          <w:sdtPr>
            <w:tag w:val="_PLD_8ca47cc04c324c599365d04f46dbfb0f"/>
            <w:id w:val="-621921122"/>
          </w:sdtPr>
          <w:sdtContent>
            <w:tc>
              <w:tcPr>
                <w:tcW w:w="1017" w:type="pct"/>
                <w:vAlign w:val="center"/>
              </w:tcPr>
              <w:p w14:paraId="14308C49">
                <w:pPr>
                  <w:widowControl w:val="0"/>
                  <w:jc w:val="both"/>
                  <w:rPr>
                    <w:rFonts w:hint="eastAsia"/>
                    <w:szCs w:val="21"/>
                  </w:rPr>
                </w:pPr>
                <w:r>
                  <w:rPr>
                    <w:rFonts w:hint="eastAsia"/>
                    <w:szCs w:val="21"/>
                  </w:rPr>
                  <w:t>名称</w:t>
                </w:r>
              </w:p>
            </w:tc>
          </w:sdtContent>
        </w:sdt>
        <w:tc>
          <w:tcPr>
            <w:tcW w:w="2499" w:type="pct"/>
          </w:tcPr>
          <w:sdt>
            <w:sdtPr>
              <w:rPr>
                <w:rFonts w:hint="eastAsia" w:ascii="Times New Roman" w:hAnsi="Times New Roman"/>
                <w:szCs w:val="21"/>
              </w:rPr>
              <w:alias w:val="公司聘请的境内会计师事务所明细-名称"/>
              <w:tag w:val="_GBC_5e101497eaf44ba79cb610647f4aa3d5"/>
              <w:id w:val="-1010824090"/>
            </w:sdtPr>
            <w:sdtEndPr>
              <w:rPr>
                <w:rFonts w:hint="eastAsia" w:ascii="Times New Roman" w:hAnsi="Times New Roman"/>
                <w:szCs w:val="21"/>
              </w:rPr>
            </w:sdtEndPr>
            <w:sdtContent>
              <w:p w14:paraId="25827F3F">
                <w:pPr>
                  <w:widowControl w:val="0"/>
                  <w:jc w:val="both"/>
                  <w:rPr>
                    <w:rFonts w:ascii="Times New Roman" w:hAnsi="Times New Roman"/>
                    <w:szCs w:val="21"/>
                  </w:rPr>
                </w:pPr>
                <w:r>
                  <w:rPr>
                    <w:rFonts w:hint="eastAsia"/>
                    <w:szCs w:val="21"/>
                  </w:rPr>
                  <w:t>天健会计师事务所（特殊普通合伙）</w:t>
                </w:r>
              </w:p>
            </w:sdtContent>
          </w:sdt>
        </w:tc>
      </w:tr>
      <w:tr w14:paraId="577F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83" w:type="pct"/>
            <w:vMerge w:val="continue"/>
            <w:vAlign w:val="center"/>
          </w:tcPr>
          <w:p w14:paraId="4D4B2C2E">
            <w:pPr>
              <w:widowControl w:val="0"/>
              <w:jc w:val="both"/>
              <w:rPr>
                <w:rFonts w:hint="eastAsia"/>
                <w:szCs w:val="21"/>
              </w:rPr>
            </w:pPr>
          </w:p>
        </w:tc>
        <w:tc>
          <w:tcPr>
            <w:tcW w:w="1017" w:type="pct"/>
            <w:vAlign w:val="center"/>
          </w:tcPr>
          <w:p w14:paraId="57EAD18D">
            <w:pPr>
              <w:widowControl w:val="0"/>
              <w:jc w:val="both"/>
              <w:rPr>
                <w:rFonts w:hint="eastAsia"/>
                <w:szCs w:val="21"/>
              </w:rPr>
            </w:pPr>
            <w:r>
              <w:rPr>
                <w:rFonts w:hint="eastAsia"/>
                <w:szCs w:val="21"/>
              </w:rPr>
              <w:t>办公地址</w:t>
            </w:r>
          </w:p>
        </w:tc>
        <w:tc>
          <w:tcPr>
            <w:tcW w:w="2499" w:type="pct"/>
          </w:tcPr>
          <w:p w14:paraId="6675FD30">
            <w:pPr>
              <w:widowControl w:val="0"/>
              <w:jc w:val="both"/>
              <w:rPr>
                <w:rFonts w:hint="eastAsia"/>
                <w:szCs w:val="21"/>
              </w:rPr>
            </w:pPr>
            <w:r>
              <w:rPr>
                <w:rFonts w:hint="eastAsia"/>
              </w:rPr>
              <w:t>浙江省杭州市西湖区灵隐街道西溪路128号</w:t>
            </w:r>
          </w:p>
        </w:tc>
      </w:tr>
      <w:tr w14:paraId="5A75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483" w:type="pct"/>
            <w:vMerge w:val="continue"/>
            <w:vAlign w:val="center"/>
          </w:tcPr>
          <w:p w14:paraId="423C369B">
            <w:pPr>
              <w:widowControl w:val="0"/>
              <w:jc w:val="both"/>
              <w:rPr>
                <w:rFonts w:hint="eastAsia"/>
                <w:szCs w:val="21"/>
              </w:rPr>
            </w:pPr>
          </w:p>
        </w:tc>
        <w:tc>
          <w:tcPr>
            <w:tcW w:w="1017" w:type="pct"/>
            <w:vAlign w:val="center"/>
          </w:tcPr>
          <w:p w14:paraId="1B079D18">
            <w:pPr>
              <w:widowControl w:val="0"/>
              <w:jc w:val="both"/>
              <w:rPr>
                <w:rFonts w:hint="eastAsia"/>
                <w:szCs w:val="21"/>
              </w:rPr>
            </w:pPr>
            <w:r>
              <w:rPr>
                <w:rFonts w:hint="eastAsia"/>
                <w:szCs w:val="21"/>
              </w:rPr>
              <w:t>签字会计师姓名</w:t>
            </w:r>
          </w:p>
        </w:tc>
        <w:tc>
          <w:tcPr>
            <w:tcW w:w="2499" w:type="pct"/>
          </w:tcPr>
          <w:p w14:paraId="0E2271D2">
            <w:pPr>
              <w:widowControl w:val="0"/>
              <w:jc w:val="both"/>
              <w:rPr>
                <w:rFonts w:hint="eastAsia"/>
                <w:szCs w:val="21"/>
              </w:rPr>
            </w:pPr>
            <w:r>
              <w:rPr>
                <w:rFonts w:hint="eastAsia"/>
              </w:rPr>
              <w:t>曹博、王景波</w:t>
            </w:r>
          </w:p>
        </w:tc>
      </w:tr>
      <w:tr w14:paraId="4C49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483" w:type="pct"/>
            <w:vMerge w:val="restart"/>
            <w:vAlign w:val="center"/>
          </w:tcPr>
          <w:p w14:paraId="5F0F5D5D">
            <w:pPr>
              <w:widowControl w:val="0"/>
              <w:jc w:val="both"/>
              <w:rPr>
                <w:rFonts w:hint="eastAsia"/>
                <w:szCs w:val="21"/>
              </w:rPr>
            </w:pPr>
            <w:r>
              <w:rPr>
                <w:rFonts w:hint="eastAsia"/>
                <w:szCs w:val="21"/>
              </w:rPr>
              <w:t>报告期内履行持续督导职责的保荐机构</w:t>
            </w:r>
          </w:p>
        </w:tc>
        <w:tc>
          <w:tcPr>
            <w:tcW w:w="1017" w:type="pct"/>
            <w:vAlign w:val="center"/>
          </w:tcPr>
          <w:p w14:paraId="6B7DA308">
            <w:pPr>
              <w:widowControl w:val="0"/>
              <w:jc w:val="both"/>
              <w:rPr>
                <w:rFonts w:hint="eastAsia"/>
                <w:szCs w:val="21"/>
              </w:rPr>
            </w:pPr>
            <w:r>
              <w:rPr>
                <w:rFonts w:hint="eastAsia"/>
                <w:szCs w:val="21"/>
              </w:rPr>
              <w:t>名称</w:t>
            </w:r>
          </w:p>
        </w:tc>
        <w:tc>
          <w:tcPr>
            <w:tcW w:w="2499" w:type="pct"/>
            <w:vAlign w:val="center"/>
          </w:tcPr>
          <w:p w14:paraId="4DE45979">
            <w:pPr>
              <w:widowControl w:val="0"/>
              <w:jc w:val="both"/>
              <w:rPr>
                <w:rFonts w:hint="eastAsia"/>
                <w:szCs w:val="21"/>
              </w:rPr>
            </w:pPr>
            <w:r>
              <w:rPr>
                <w:rFonts w:hint="eastAsia"/>
                <w:szCs w:val="21"/>
              </w:rPr>
              <w:t>瑞银证券有限责任公司</w:t>
            </w:r>
          </w:p>
        </w:tc>
      </w:tr>
      <w:tr w14:paraId="30B9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483" w:type="pct"/>
            <w:vMerge w:val="continue"/>
            <w:vAlign w:val="center"/>
          </w:tcPr>
          <w:p w14:paraId="36599501">
            <w:pPr>
              <w:widowControl w:val="0"/>
              <w:jc w:val="both"/>
              <w:rPr>
                <w:rFonts w:hint="eastAsia"/>
                <w:szCs w:val="21"/>
              </w:rPr>
            </w:pPr>
          </w:p>
        </w:tc>
        <w:tc>
          <w:tcPr>
            <w:tcW w:w="1017" w:type="pct"/>
            <w:vAlign w:val="center"/>
          </w:tcPr>
          <w:p w14:paraId="25B60B07">
            <w:pPr>
              <w:widowControl w:val="0"/>
              <w:jc w:val="both"/>
              <w:rPr>
                <w:rFonts w:hint="eastAsia"/>
                <w:szCs w:val="21"/>
              </w:rPr>
            </w:pPr>
            <w:r>
              <w:rPr>
                <w:rFonts w:hint="eastAsia"/>
                <w:szCs w:val="21"/>
              </w:rPr>
              <w:t>办公地址</w:t>
            </w:r>
          </w:p>
        </w:tc>
        <w:tc>
          <w:tcPr>
            <w:tcW w:w="2499" w:type="pct"/>
            <w:vAlign w:val="center"/>
          </w:tcPr>
          <w:p w14:paraId="53D1BFD8">
            <w:pPr>
              <w:widowControl w:val="0"/>
              <w:jc w:val="left"/>
              <w:rPr>
                <w:rFonts w:hint="eastAsia"/>
                <w:szCs w:val="21"/>
              </w:rPr>
            </w:pPr>
            <w:r>
              <w:rPr>
                <w:rFonts w:hint="eastAsia"/>
                <w:szCs w:val="21"/>
              </w:rPr>
              <w:t>北京市西城区金融大街7号英蓝国际金融中心12层F1201-F1210、F1211B-F1215A、F1231-F1232单元、15层F1519-F1521、F1523-F1531单元</w:t>
            </w:r>
          </w:p>
        </w:tc>
      </w:tr>
      <w:tr w14:paraId="359C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83" w:type="pct"/>
            <w:vMerge w:val="continue"/>
            <w:vAlign w:val="center"/>
          </w:tcPr>
          <w:p w14:paraId="5A4BC598">
            <w:pPr>
              <w:widowControl w:val="0"/>
              <w:jc w:val="both"/>
              <w:rPr>
                <w:rFonts w:hint="eastAsia"/>
                <w:szCs w:val="21"/>
              </w:rPr>
            </w:pPr>
          </w:p>
        </w:tc>
        <w:tc>
          <w:tcPr>
            <w:tcW w:w="1017" w:type="pct"/>
            <w:vAlign w:val="center"/>
          </w:tcPr>
          <w:p w14:paraId="27E850EE">
            <w:pPr>
              <w:widowControl w:val="0"/>
              <w:jc w:val="both"/>
              <w:rPr>
                <w:rFonts w:hint="eastAsia"/>
                <w:szCs w:val="21"/>
              </w:rPr>
            </w:pPr>
            <w:r>
              <w:rPr>
                <w:rFonts w:hint="eastAsia"/>
                <w:szCs w:val="21"/>
              </w:rPr>
              <w:t>签字的保荐代表人姓名</w:t>
            </w:r>
          </w:p>
        </w:tc>
        <w:tc>
          <w:tcPr>
            <w:tcW w:w="2499" w:type="pct"/>
            <w:vAlign w:val="center"/>
          </w:tcPr>
          <w:p w14:paraId="167585D7">
            <w:pPr>
              <w:widowControl w:val="0"/>
              <w:jc w:val="both"/>
              <w:rPr>
                <w:rFonts w:hint="eastAsia"/>
                <w:szCs w:val="21"/>
              </w:rPr>
            </w:pPr>
            <w:r>
              <w:rPr>
                <w:rFonts w:hint="eastAsia"/>
                <w:szCs w:val="21"/>
              </w:rPr>
              <w:t>项伊南、蔡志伟</w:t>
            </w:r>
          </w:p>
        </w:tc>
      </w:tr>
      <w:tr w14:paraId="455C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483" w:type="pct"/>
            <w:vMerge w:val="continue"/>
            <w:vAlign w:val="center"/>
          </w:tcPr>
          <w:p w14:paraId="4A00016F">
            <w:pPr>
              <w:widowControl w:val="0"/>
              <w:jc w:val="both"/>
              <w:rPr>
                <w:rFonts w:hint="eastAsia"/>
                <w:szCs w:val="21"/>
              </w:rPr>
            </w:pPr>
          </w:p>
        </w:tc>
        <w:tc>
          <w:tcPr>
            <w:tcW w:w="1017" w:type="pct"/>
            <w:vAlign w:val="center"/>
          </w:tcPr>
          <w:p w14:paraId="7D43D1F7">
            <w:pPr>
              <w:widowControl w:val="0"/>
              <w:jc w:val="both"/>
              <w:rPr>
                <w:rFonts w:hint="eastAsia"/>
                <w:szCs w:val="21"/>
              </w:rPr>
            </w:pPr>
            <w:r>
              <w:rPr>
                <w:rFonts w:hint="eastAsia"/>
                <w:szCs w:val="21"/>
              </w:rPr>
              <w:t>持续督导的期间</w:t>
            </w:r>
          </w:p>
        </w:tc>
        <w:tc>
          <w:tcPr>
            <w:tcW w:w="2499" w:type="pct"/>
            <w:vAlign w:val="center"/>
          </w:tcPr>
          <w:p w14:paraId="2DDAFE59">
            <w:pPr>
              <w:widowControl w:val="0"/>
              <w:jc w:val="both"/>
              <w:rPr>
                <w:rFonts w:hint="eastAsia"/>
                <w:szCs w:val="21"/>
              </w:rPr>
            </w:pPr>
            <w:r>
              <w:rPr>
                <w:rFonts w:hint="eastAsia"/>
                <w:szCs w:val="21"/>
              </w:rPr>
              <w:t>至募集资金使用完毕</w:t>
            </w:r>
          </w:p>
        </w:tc>
      </w:tr>
    </w:tbl>
    <w:p w14:paraId="032EF5B3">
      <w:pPr>
        <w:rPr>
          <w:rFonts w:hint="eastAsia"/>
        </w:rPr>
      </w:pPr>
    </w:p>
    <w:p w14:paraId="3B949058">
      <w:pPr>
        <w:pStyle w:val="3"/>
        <w:numPr>
          <w:ilvl w:val="1"/>
          <w:numId w:val="4"/>
        </w:numPr>
        <w:ind w:left="498" w:hanging="498" w:hangingChars="236"/>
        <w:rPr>
          <w:u w:val="single"/>
        </w:rPr>
      </w:pPr>
      <w:bookmarkStart w:id="21" w:name="_Toc342056397"/>
      <w:bookmarkStart w:id="22" w:name="_Toc342565889"/>
      <w:r>
        <w:rPr>
          <w:rFonts w:hint="eastAsia"/>
        </w:rPr>
        <w:t>近三年主要会计数据和财务指标</w:t>
      </w:r>
      <w:bookmarkEnd w:id="21"/>
      <w:bookmarkEnd w:id="22"/>
    </w:p>
    <w:p w14:paraId="38311443">
      <w:pPr>
        <w:pStyle w:val="4"/>
        <w:numPr>
          <w:ilvl w:val="1"/>
          <w:numId w:val="5"/>
        </w:numPr>
      </w:pPr>
      <w:r>
        <w:rPr>
          <w:rFonts w:hint="eastAsia"/>
        </w:rPr>
        <w:t>主要会计数据</w:t>
      </w:r>
    </w:p>
    <w:p w14:paraId="4DE31958">
      <w:pPr>
        <w:jc w:val="right"/>
        <w:rPr>
          <w:rFonts w:hint="eastAsia"/>
          <w:szCs w:val="21"/>
        </w:rPr>
      </w:pPr>
      <w:r>
        <w:rPr>
          <w:rFonts w:hint="eastAsia"/>
          <w:szCs w:val="21"/>
        </w:rPr>
        <w:t>单位：</w:t>
      </w:r>
      <w:sdt>
        <w:sdtPr>
          <w:rPr>
            <w:rFonts w:hint="eastAsia"/>
            <w:szCs w:val="21"/>
          </w:rPr>
          <w:alias w:val="单位：报告期末公司前三年主要会计数据和财务指标"/>
          <w:tag w:val="_GBC_831bf622af014dd988d7abf34a230ded"/>
          <w:id w:val="-5686524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10809585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6"/>
        <w:gridCol w:w="1784"/>
        <w:gridCol w:w="1696"/>
        <w:gridCol w:w="1117"/>
        <w:gridCol w:w="1696"/>
      </w:tblGrid>
      <w:tr w14:paraId="2D80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sdt>
          <w:sdtPr>
            <w:tag w:val="_PLD_11b4c598f0e64f3480d144156bedd8c8"/>
            <w:id w:val="1862391110"/>
          </w:sdtPr>
          <w:sdtContent>
            <w:tc>
              <w:tcPr>
                <w:tcW w:w="1523" w:type="pct"/>
                <w:vAlign w:val="center"/>
              </w:tcPr>
              <w:p w14:paraId="1C5017FE">
                <w:pPr>
                  <w:widowControl w:val="0"/>
                  <w:kinsoku w:val="0"/>
                  <w:overflowPunct w:val="0"/>
                  <w:autoSpaceDE w:val="0"/>
                  <w:autoSpaceDN w:val="0"/>
                  <w:adjustRightInd w:val="0"/>
                  <w:snapToGrid w:val="0"/>
                  <w:jc w:val="center"/>
                  <w:rPr>
                    <w:rFonts w:hint="eastAsia"/>
                    <w:szCs w:val="21"/>
                  </w:rPr>
                </w:pPr>
                <w:r>
                  <w:rPr>
                    <w:rFonts w:hint="eastAsia"/>
                    <w:szCs w:val="21"/>
                  </w:rPr>
                  <w:t>主要会计数据</w:t>
                </w:r>
              </w:p>
            </w:tc>
          </w:sdtContent>
        </w:sdt>
        <w:sdt>
          <w:sdtPr>
            <w:tag w:val="_PLD_b13b04da4c2a41028c11512814762a3d"/>
            <w:id w:val="1496687063"/>
          </w:sdtPr>
          <w:sdtContent>
            <w:tc>
              <w:tcPr>
                <w:tcW w:w="986" w:type="pct"/>
                <w:vAlign w:val="center"/>
              </w:tcPr>
              <w:p w14:paraId="47B528A4">
                <w:pPr>
                  <w:widowControl w:val="0"/>
                  <w:kinsoku w:val="0"/>
                  <w:overflowPunct w:val="0"/>
                  <w:autoSpaceDE w:val="0"/>
                  <w:autoSpaceDN w:val="0"/>
                  <w:adjustRightInd w:val="0"/>
                  <w:snapToGrid w:val="0"/>
                  <w:jc w:val="center"/>
                  <w:rPr>
                    <w:rFonts w:hint="eastAsia"/>
                    <w:szCs w:val="21"/>
                  </w:rPr>
                </w:pPr>
                <w:r>
                  <w:rPr>
                    <w:rFonts w:hint="eastAsia"/>
                    <w:szCs w:val="21"/>
                  </w:rPr>
                  <w:t>2024年</w:t>
                </w:r>
              </w:p>
            </w:tc>
          </w:sdtContent>
        </w:sdt>
        <w:sdt>
          <w:sdtPr>
            <w:tag w:val="_PLD_0269ed04fa784ad3a61b37ff6ea4e755"/>
            <w:id w:val="176081375"/>
          </w:sdtPr>
          <w:sdtContent>
            <w:tc>
              <w:tcPr>
                <w:tcW w:w="937" w:type="pct"/>
                <w:vAlign w:val="center"/>
              </w:tcPr>
              <w:p w14:paraId="0BE4EC5B">
                <w:pPr>
                  <w:widowControl w:val="0"/>
                  <w:kinsoku w:val="0"/>
                  <w:overflowPunct w:val="0"/>
                  <w:autoSpaceDE w:val="0"/>
                  <w:autoSpaceDN w:val="0"/>
                  <w:adjustRightInd w:val="0"/>
                  <w:snapToGrid w:val="0"/>
                  <w:jc w:val="center"/>
                  <w:rPr>
                    <w:rFonts w:hint="eastAsia"/>
                    <w:szCs w:val="21"/>
                  </w:rPr>
                </w:pPr>
                <w:r>
                  <w:rPr>
                    <w:rFonts w:hint="eastAsia"/>
                    <w:szCs w:val="21"/>
                  </w:rPr>
                  <w:t>2023年</w:t>
                </w:r>
              </w:p>
            </w:tc>
          </w:sdtContent>
        </w:sdt>
        <w:sdt>
          <w:sdtPr>
            <w:tag w:val="_PLD_04887d69202349c58f450c785cfaef93"/>
            <w:id w:val="-536658008"/>
          </w:sdtPr>
          <w:sdtContent>
            <w:tc>
              <w:tcPr>
                <w:tcW w:w="617" w:type="pct"/>
                <w:vAlign w:val="center"/>
              </w:tcPr>
              <w:p w14:paraId="684C0B30">
                <w:pPr>
                  <w:widowControl w:val="0"/>
                  <w:kinsoku w:val="0"/>
                  <w:overflowPunct w:val="0"/>
                  <w:autoSpaceDE w:val="0"/>
                  <w:autoSpaceDN w:val="0"/>
                  <w:adjustRightInd w:val="0"/>
                  <w:snapToGrid w:val="0"/>
                  <w:jc w:val="center"/>
                  <w:rPr>
                    <w:rFonts w:hint="eastAsia"/>
                    <w:szCs w:val="21"/>
                  </w:rPr>
                </w:pPr>
                <w:r>
                  <w:rPr>
                    <w:rFonts w:hint="eastAsia"/>
                    <w:szCs w:val="21"/>
                  </w:rPr>
                  <w:t>本期比上年同期增减</w:t>
                </w:r>
                <w:r>
                  <w:rPr>
                    <w:szCs w:val="21"/>
                  </w:rPr>
                  <w:t>(%)</w:t>
                </w:r>
              </w:p>
            </w:tc>
          </w:sdtContent>
        </w:sdt>
        <w:sdt>
          <w:sdtPr>
            <w:tag w:val="_PLD_cf8d3caaf1bc4b2eb15a4b6e1b823368"/>
            <w:id w:val="1866946062"/>
          </w:sdtPr>
          <w:sdtContent>
            <w:tc>
              <w:tcPr>
                <w:tcW w:w="937" w:type="pct"/>
                <w:vAlign w:val="center"/>
              </w:tcPr>
              <w:p w14:paraId="4856301D">
                <w:pPr>
                  <w:widowControl w:val="0"/>
                  <w:kinsoku w:val="0"/>
                  <w:overflowPunct w:val="0"/>
                  <w:autoSpaceDE w:val="0"/>
                  <w:autoSpaceDN w:val="0"/>
                  <w:adjustRightInd w:val="0"/>
                  <w:snapToGrid w:val="0"/>
                  <w:jc w:val="center"/>
                  <w:rPr>
                    <w:rFonts w:hint="eastAsia"/>
                    <w:szCs w:val="21"/>
                  </w:rPr>
                </w:pPr>
                <w:r>
                  <w:rPr>
                    <w:rFonts w:hint="eastAsia"/>
                    <w:szCs w:val="21"/>
                  </w:rPr>
                  <w:t>2022年</w:t>
                </w:r>
              </w:p>
            </w:tc>
          </w:sdtContent>
        </w:sdt>
      </w:tr>
      <w:tr w14:paraId="6A99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3DD8EC68">
            <w:pPr>
              <w:widowControl w:val="0"/>
              <w:kinsoku w:val="0"/>
              <w:overflowPunct w:val="0"/>
              <w:autoSpaceDE w:val="0"/>
              <w:autoSpaceDN w:val="0"/>
              <w:adjustRightInd w:val="0"/>
              <w:snapToGrid w:val="0"/>
              <w:jc w:val="both"/>
              <w:rPr>
                <w:rFonts w:hint="eastAsia"/>
                <w:szCs w:val="21"/>
              </w:rPr>
            </w:pPr>
            <w:r>
              <w:rPr>
                <w:rFonts w:hint="eastAsia"/>
                <w:szCs w:val="21"/>
              </w:rPr>
              <w:t>营业收入</w:t>
            </w:r>
          </w:p>
        </w:tc>
        <w:tc>
          <w:tcPr>
            <w:tcW w:w="986" w:type="pct"/>
            <w:vAlign w:val="center"/>
          </w:tcPr>
          <w:p w14:paraId="45F21D62">
            <w:pPr>
              <w:widowControl w:val="0"/>
              <w:kinsoku w:val="0"/>
              <w:overflowPunct w:val="0"/>
              <w:autoSpaceDE w:val="0"/>
              <w:autoSpaceDN w:val="0"/>
              <w:adjustRightInd w:val="0"/>
              <w:snapToGrid w:val="0"/>
              <w:jc w:val="right"/>
              <w:rPr>
                <w:rFonts w:ascii="Arial Narrow" w:hAnsi="Arial Narrow"/>
                <w:szCs w:val="21"/>
                <w:highlight w:val="cyan"/>
              </w:rPr>
            </w:pPr>
            <w:r>
              <w:rPr>
                <w:rFonts w:ascii="Arial Narrow" w:hAnsi="Arial Narrow" w:eastAsia="等线"/>
                <w:color w:val="000000"/>
                <w:szCs w:val="21"/>
              </w:rPr>
              <w:t xml:space="preserve">9,886,097,757.33 </w:t>
            </w:r>
          </w:p>
        </w:tc>
        <w:tc>
          <w:tcPr>
            <w:tcW w:w="937" w:type="pct"/>
            <w:vAlign w:val="center"/>
          </w:tcPr>
          <w:p w14:paraId="745E1D01">
            <w:pPr>
              <w:widowControl w:val="0"/>
              <w:kinsoku w:val="0"/>
              <w:overflowPunct w:val="0"/>
              <w:autoSpaceDE w:val="0"/>
              <w:autoSpaceDN w:val="0"/>
              <w:adjustRightInd w:val="0"/>
              <w:snapToGrid w:val="0"/>
              <w:jc w:val="right"/>
              <w:rPr>
                <w:rFonts w:ascii="Arial Narrow" w:hAnsi="Arial Narrow"/>
                <w:bCs/>
                <w:szCs w:val="21"/>
              </w:rPr>
            </w:pPr>
            <w:r>
              <w:rPr>
                <w:rFonts w:ascii="Arial Narrow" w:hAnsi="Arial Narrow" w:eastAsia="等线"/>
                <w:color w:val="000000"/>
                <w:szCs w:val="21"/>
              </w:rPr>
              <w:t xml:space="preserve">11,560,688,799.90 </w:t>
            </w:r>
          </w:p>
        </w:tc>
        <w:tc>
          <w:tcPr>
            <w:tcW w:w="617" w:type="pct"/>
            <w:vAlign w:val="center"/>
          </w:tcPr>
          <w:p w14:paraId="598B987D">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-14.49 </w:t>
            </w:r>
          </w:p>
        </w:tc>
        <w:tc>
          <w:tcPr>
            <w:tcW w:w="937" w:type="pct"/>
            <w:vAlign w:val="center"/>
          </w:tcPr>
          <w:p w14:paraId="5B65C741">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15,435,799,586.79 </w:t>
            </w:r>
          </w:p>
        </w:tc>
      </w:tr>
      <w:tr w14:paraId="2EBA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2E09DCDF">
            <w:pPr>
              <w:widowControl w:val="0"/>
              <w:kinsoku w:val="0"/>
              <w:overflowPunct w:val="0"/>
              <w:autoSpaceDE w:val="0"/>
              <w:autoSpaceDN w:val="0"/>
              <w:adjustRightInd w:val="0"/>
              <w:snapToGrid w:val="0"/>
              <w:jc w:val="both"/>
              <w:rPr>
                <w:rFonts w:hint="eastAsia"/>
              </w:rPr>
            </w:pPr>
            <w:r>
              <w:rPr>
                <w:rFonts w:hint="eastAsia"/>
              </w:rPr>
              <w:t>扣除</w:t>
            </w:r>
            <w:r>
              <w:t>与主营业务无关的业务收入和不具备商业实质的收入后的营业收入</w:t>
            </w:r>
          </w:p>
        </w:tc>
        <w:tc>
          <w:tcPr>
            <w:tcW w:w="986" w:type="pct"/>
            <w:vAlign w:val="center"/>
          </w:tcPr>
          <w:p w14:paraId="4B6B2DA1">
            <w:pPr>
              <w:widowControl w:val="0"/>
              <w:kinsoku w:val="0"/>
              <w:overflowPunct w:val="0"/>
              <w:autoSpaceDE w:val="0"/>
              <w:autoSpaceDN w:val="0"/>
              <w:adjustRightInd w:val="0"/>
              <w:snapToGrid w:val="0"/>
              <w:jc w:val="right"/>
              <w:rPr>
                <w:rFonts w:ascii="Arial Narrow" w:hAnsi="Arial Narrow"/>
                <w:szCs w:val="21"/>
                <w:highlight w:val="cyan"/>
              </w:rPr>
            </w:pPr>
            <w:r>
              <w:rPr>
                <w:rFonts w:ascii="Arial Narrow" w:hAnsi="Arial Narrow" w:eastAsia="等线"/>
                <w:color w:val="000000"/>
                <w:szCs w:val="21"/>
              </w:rPr>
              <w:t xml:space="preserve">9,601,856,291.91 </w:t>
            </w:r>
          </w:p>
        </w:tc>
        <w:tc>
          <w:tcPr>
            <w:tcW w:w="937" w:type="pct"/>
            <w:vAlign w:val="center"/>
          </w:tcPr>
          <w:p w14:paraId="69C2526D">
            <w:pPr>
              <w:widowControl w:val="0"/>
              <w:kinsoku w:val="0"/>
              <w:overflowPunct w:val="0"/>
              <w:autoSpaceDE w:val="0"/>
              <w:autoSpaceDN w:val="0"/>
              <w:adjustRightInd w:val="0"/>
              <w:snapToGrid w:val="0"/>
              <w:jc w:val="right"/>
              <w:rPr>
                <w:rFonts w:ascii="Arial Narrow" w:hAnsi="Arial Narrow"/>
                <w:bCs/>
                <w:szCs w:val="21"/>
              </w:rPr>
            </w:pPr>
            <w:r>
              <w:rPr>
                <w:rFonts w:ascii="Arial Narrow" w:hAnsi="Arial Narrow" w:eastAsia="等线"/>
                <w:color w:val="000000"/>
                <w:szCs w:val="21"/>
              </w:rPr>
              <w:t xml:space="preserve">11,252,768,328.85 </w:t>
            </w:r>
          </w:p>
        </w:tc>
        <w:tc>
          <w:tcPr>
            <w:tcW w:w="617" w:type="pct"/>
            <w:vAlign w:val="center"/>
          </w:tcPr>
          <w:p w14:paraId="5EE110BD">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-14.67 </w:t>
            </w:r>
          </w:p>
        </w:tc>
        <w:tc>
          <w:tcPr>
            <w:tcW w:w="937" w:type="pct"/>
            <w:vAlign w:val="center"/>
          </w:tcPr>
          <w:p w14:paraId="7B4C0723">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15,223,559,009.31 </w:t>
            </w:r>
          </w:p>
        </w:tc>
      </w:tr>
      <w:tr w14:paraId="4CC9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4C7709D9">
            <w:pPr>
              <w:widowControl w:val="0"/>
              <w:kinsoku w:val="0"/>
              <w:overflowPunct w:val="0"/>
              <w:autoSpaceDE w:val="0"/>
              <w:autoSpaceDN w:val="0"/>
              <w:adjustRightInd w:val="0"/>
              <w:snapToGrid w:val="0"/>
              <w:jc w:val="both"/>
              <w:rPr>
                <w:rFonts w:hint="eastAsia"/>
                <w:szCs w:val="21"/>
              </w:rPr>
            </w:pPr>
            <w:r>
              <w:rPr>
                <w:rFonts w:hint="eastAsia"/>
                <w:szCs w:val="21"/>
              </w:rPr>
              <w:t>归属于上市公司股东的净利润</w:t>
            </w:r>
          </w:p>
        </w:tc>
        <w:tc>
          <w:tcPr>
            <w:tcW w:w="986" w:type="pct"/>
            <w:vAlign w:val="center"/>
          </w:tcPr>
          <w:p w14:paraId="0DC1A6E5">
            <w:pPr>
              <w:widowControl w:val="0"/>
              <w:kinsoku w:val="0"/>
              <w:overflowPunct w:val="0"/>
              <w:autoSpaceDE w:val="0"/>
              <w:autoSpaceDN w:val="0"/>
              <w:adjustRightInd w:val="0"/>
              <w:snapToGrid w:val="0"/>
              <w:jc w:val="right"/>
              <w:rPr>
                <w:rFonts w:ascii="Arial Narrow" w:hAnsi="Arial Narrow"/>
                <w:szCs w:val="21"/>
                <w:highlight w:val="cyan"/>
              </w:rPr>
            </w:pPr>
            <w:r>
              <w:rPr>
                <w:rFonts w:ascii="Arial Narrow" w:hAnsi="Arial Narrow" w:eastAsia="等线"/>
                <w:color w:val="000000"/>
                <w:szCs w:val="21"/>
              </w:rPr>
              <w:t xml:space="preserve">-4,228,257,792.02 </w:t>
            </w:r>
          </w:p>
        </w:tc>
        <w:tc>
          <w:tcPr>
            <w:tcW w:w="937" w:type="pct"/>
            <w:vAlign w:val="center"/>
          </w:tcPr>
          <w:p w14:paraId="592C6998">
            <w:pPr>
              <w:widowControl w:val="0"/>
              <w:kinsoku w:val="0"/>
              <w:overflowPunct w:val="0"/>
              <w:autoSpaceDE w:val="0"/>
              <w:autoSpaceDN w:val="0"/>
              <w:adjustRightInd w:val="0"/>
              <w:snapToGrid w:val="0"/>
              <w:jc w:val="right"/>
              <w:rPr>
                <w:rFonts w:ascii="Arial Narrow" w:hAnsi="Arial Narrow"/>
                <w:bCs/>
                <w:szCs w:val="21"/>
              </w:rPr>
            </w:pPr>
            <w:r>
              <w:rPr>
                <w:rFonts w:ascii="Arial Narrow" w:hAnsi="Arial Narrow" w:eastAsia="等线"/>
                <w:color w:val="000000"/>
                <w:szCs w:val="21"/>
              </w:rPr>
              <w:t xml:space="preserve">182,339,091.93 </w:t>
            </w:r>
          </w:p>
        </w:tc>
        <w:tc>
          <w:tcPr>
            <w:tcW w:w="617" w:type="pct"/>
            <w:vAlign w:val="center"/>
          </w:tcPr>
          <w:p w14:paraId="17DBD439">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-2,418.90 </w:t>
            </w:r>
          </w:p>
        </w:tc>
        <w:tc>
          <w:tcPr>
            <w:tcW w:w="937" w:type="pct"/>
            <w:vAlign w:val="center"/>
          </w:tcPr>
          <w:p w14:paraId="676946AD">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221,402,026.26 </w:t>
            </w:r>
          </w:p>
        </w:tc>
      </w:tr>
      <w:tr w14:paraId="072B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61E80837">
            <w:pPr>
              <w:widowControl w:val="0"/>
              <w:kinsoku w:val="0"/>
              <w:overflowPunct w:val="0"/>
              <w:autoSpaceDE w:val="0"/>
              <w:autoSpaceDN w:val="0"/>
              <w:adjustRightInd w:val="0"/>
              <w:snapToGrid w:val="0"/>
              <w:jc w:val="both"/>
              <w:rPr>
                <w:rFonts w:hint="eastAsia"/>
                <w:szCs w:val="21"/>
              </w:rPr>
            </w:pPr>
            <w:r>
              <w:rPr>
                <w:rFonts w:hint="eastAsia"/>
                <w:szCs w:val="21"/>
              </w:rPr>
              <w:t>归属于上市公司股东的扣除非经常性损益的净利润</w:t>
            </w:r>
          </w:p>
        </w:tc>
        <w:tc>
          <w:tcPr>
            <w:tcW w:w="986" w:type="pct"/>
            <w:vAlign w:val="center"/>
          </w:tcPr>
          <w:p w14:paraId="1D900AB0">
            <w:pPr>
              <w:widowControl w:val="0"/>
              <w:kinsoku w:val="0"/>
              <w:overflowPunct w:val="0"/>
              <w:autoSpaceDE w:val="0"/>
              <w:autoSpaceDN w:val="0"/>
              <w:adjustRightInd w:val="0"/>
              <w:snapToGrid w:val="0"/>
              <w:jc w:val="right"/>
              <w:rPr>
                <w:rFonts w:ascii="Arial Narrow" w:hAnsi="Arial Narrow"/>
                <w:szCs w:val="21"/>
                <w:highlight w:val="cyan"/>
              </w:rPr>
            </w:pPr>
            <w:r>
              <w:rPr>
                <w:rFonts w:ascii="Arial Narrow" w:hAnsi="Arial Narrow" w:eastAsia="等线"/>
                <w:color w:val="000000"/>
                <w:szCs w:val="21"/>
              </w:rPr>
              <w:t xml:space="preserve">-3,972,488,324.99 </w:t>
            </w:r>
          </w:p>
        </w:tc>
        <w:tc>
          <w:tcPr>
            <w:tcW w:w="937" w:type="pct"/>
            <w:vAlign w:val="center"/>
          </w:tcPr>
          <w:p w14:paraId="39F6BA36">
            <w:pPr>
              <w:widowControl w:val="0"/>
              <w:kinsoku w:val="0"/>
              <w:overflowPunct w:val="0"/>
              <w:autoSpaceDE w:val="0"/>
              <w:autoSpaceDN w:val="0"/>
              <w:adjustRightInd w:val="0"/>
              <w:snapToGrid w:val="0"/>
              <w:jc w:val="right"/>
              <w:rPr>
                <w:rFonts w:ascii="Arial Narrow" w:hAnsi="Arial Narrow"/>
                <w:bCs/>
                <w:szCs w:val="21"/>
              </w:rPr>
            </w:pPr>
            <w:r>
              <w:rPr>
                <w:rFonts w:ascii="Arial Narrow" w:hAnsi="Arial Narrow" w:eastAsia="等线"/>
                <w:color w:val="000000"/>
                <w:szCs w:val="21"/>
              </w:rPr>
              <w:t xml:space="preserve">-18,204,577.32 </w:t>
            </w:r>
          </w:p>
        </w:tc>
        <w:tc>
          <w:tcPr>
            <w:tcW w:w="617" w:type="pct"/>
            <w:vAlign w:val="center"/>
          </w:tcPr>
          <w:p w14:paraId="49526CE7">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color w:val="000000"/>
                <w:szCs w:val="21"/>
              </w:rPr>
              <w:t>不适用</w:t>
            </w:r>
          </w:p>
        </w:tc>
        <w:tc>
          <w:tcPr>
            <w:tcW w:w="937" w:type="pct"/>
            <w:vAlign w:val="center"/>
          </w:tcPr>
          <w:p w14:paraId="7A28B819">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-55,313,098.21 </w:t>
            </w:r>
          </w:p>
        </w:tc>
      </w:tr>
      <w:tr w14:paraId="634C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3031E7DB">
            <w:pPr>
              <w:widowControl w:val="0"/>
              <w:kinsoku w:val="0"/>
              <w:overflowPunct w:val="0"/>
              <w:autoSpaceDE w:val="0"/>
              <w:autoSpaceDN w:val="0"/>
              <w:adjustRightInd w:val="0"/>
              <w:snapToGrid w:val="0"/>
              <w:jc w:val="both"/>
              <w:rPr>
                <w:rFonts w:hint="eastAsia"/>
                <w:szCs w:val="21"/>
                <w:highlight w:val="magenta"/>
              </w:rPr>
            </w:pPr>
            <w:r>
              <w:rPr>
                <w:rFonts w:hint="eastAsia"/>
                <w:szCs w:val="21"/>
              </w:rPr>
              <w:t>经营活动产生的现金流量净额</w:t>
            </w:r>
          </w:p>
        </w:tc>
        <w:tc>
          <w:tcPr>
            <w:tcW w:w="986" w:type="pct"/>
            <w:vAlign w:val="center"/>
          </w:tcPr>
          <w:p w14:paraId="05987A27">
            <w:pPr>
              <w:widowControl w:val="0"/>
              <w:kinsoku w:val="0"/>
              <w:overflowPunct w:val="0"/>
              <w:autoSpaceDE w:val="0"/>
              <w:autoSpaceDN w:val="0"/>
              <w:adjustRightInd w:val="0"/>
              <w:snapToGrid w:val="0"/>
              <w:jc w:val="right"/>
              <w:rPr>
                <w:rFonts w:ascii="Arial Narrow" w:hAnsi="Arial Narrow"/>
                <w:szCs w:val="21"/>
                <w:highlight w:val="cyan"/>
              </w:rPr>
            </w:pPr>
            <w:r>
              <w:rPr>
                <w:rFonts w:ascii="Arial Narrow" w:hAnsi="Arial Narrow" w:eastAsia="等线"/>
                <w:color w:val="000000"/>
                <w:szCs w:val="21"/>
              </w:rPr>
              <w:t xml:space="preserve">115,548,699.94 </w:t>
            </w:r>
          </w:p>
        </w:tc>
        <w:tc>
          <w:tcPr>
            <w:tcW w:w="937" w:type="pct"/>
            <w:vAlign w:val="center"/>
          </w:tcPr>
          <w:p w14:paraId="4592E97B">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1,118,062,002.40 </w:t>
            </w:r>
          </w:p>
        </w:tc>
        <w:tc>
          <w:tcPr>
            <w:tcW w:w="617" w:type="pct"/>
            <w:vAlign w:val="center"/>
          </w:tcPr>
          <w:p w14:paraId="3014002E">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-89.67 </w:t>
            </w:r>
          </w:p>
        </w:tc>
        <w:tc>
          <w:tcPr>
            <w:tcW w:w="937" w:type="pct"/>
            <w:vAlign w:val="center"/>
          </w:tcPr>
          <w:p w14:paraId="0A57BF27">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-312,098,686.27 </w:t>
            </w:r>
          </w:p>
        </w:tc>
      </w:tr>
      <w:tr w14:paraId="0DC8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523" w:type="pct"/>
            <w:vAlign w:val="center"/>
          </w:tcPr>
          <w:p w14:paraId="3FE514C2">
            <w:pPr>
              <w:widowControl w:val="0"/>
              <w:kinsoku w:val="0"/>
              <w:overflowPunct w:val="0"/>
              <w:autoSpaceDE w:val="0"/>
              <w:autoSpaceDN w:val="0"/>
              <w:adjustRightInd w:val="0"/>
              <w:snapToGrid w:val="0"/>
              <w:jc w:val="both"/>
              <w:rPr>
                <w:rFonts w:hint="eastAsia"/>
                <w:szCs w:val="21"/>
              </w:rPr>
            </w:pPr>
          </w:p>
        </w:tc>
        <w:sdt>
          <w:sdtPr>
            <w:tag w:val="_PLD_8b9fbdc9e2634c6292801d605b122b71"/>
            <w:id w:val="-1626845951"/>
          </w:sdtPr>
          <w:sdtContent>
            <w:tc>
              <w:tcPr>
                <w:tcW w:w="986" w:type="pct"/>
                <w:vAlign w:val="center"/>
              </w:tcPr>
              <w:p w14:paraId="525A2513">
                <w:pPr>
                  <w:widowControl w:val="0"/>
                  <w:kinsoku w:val="0"/>
                  <w:overflowPunct w:val="0"/>
                  <w:autoSpaceDE w:val="0"/>
                  <w:autoSpaceDN w:val="0"/>
                  <w:adjustRightInd w:val="0"/>
                  <w:snapToGrid w:val="0"/>
                  <w:jc w:val="center"/>
                  <w:rPr>
                    <w:rFonts w:hint="eastAsia"/>
                    <w:szCs w:val="21"/>
                  </w:rPr>
                </w:pPr>
                <w:r>
                  <w:rPr>
                    <w:rFonts w:hint="eastAsia"/>
                    <w:szCs w:val="21"/>
                  </w:rPr>
                  <w:t>2024年</w:t>
                </w:r>
                <w:r>
                  <w:rPr>
                    <w:szCs w:val="21"/>
                  </w:rPr>
                  <w:t>末</w:t>
                </w:r>
              </w:p>
            </w:tc>
          </w:sdtContent>
        </w:sdt>
        <w:sdt>
          <w:sdtPr>
            <w:tag w:val="_PLD_81e66f862753453685ceebbc3f216adb"/>
            <w:id w:val="2009556945"/>
          </w:sdtPr>
          <w:sdtContent>
            <w:tc>
              <w:tcPr>
                <w:tcW w:w="937" w:type="pct"/>
                <w:vAlign w:val="center"/>
              </w:tcPr>
              <w:p w14:paraId="674D387F">
                <w:pPr>
                  <w:widowControl w:val="0"/>
                  <w:kinsoku w:val="0"/>
                  <w:overflowPunct w:val="0"/>
                  <w:autoSpaceDE w:val="0"/>
                  <w:autoSpaceDN w:val="0"/>
                  <w:adjustRightInd w:val="0"/>
                  <w:snapToGrid w:val="0"/>
                  <w:jc w:val="center"/>
                  <w:rPr>
                    <w:rFonts w:hint="eastAsia"/>
                    <w:szCs w:val="21"/>
                  </w:rPr>
                </w:pPr>
                <w:r>
                  <w:rPr>
                    <w:rFonts w:hint="eastAsia"/>
                    <w:szCs w:val="21"/>
                  </w:rPr>
                  <w:t>2023年</w:t>
                </w:r>
                <w:r>
                  <w:rPr>
                    <w:szCs w:val="21"/>
                  </w:rPr>
                  <w:t>末</w:t>
                </w:r>
              </w:p>
            </w:tc>
          </w:sdtContent>
        </w:sdt>
        <w:sdt>
          <w:sdtPr>
            <w:tag w:val="_PLD_eccdaa2d1ee940be88fdba6d8a4ef55d"/>
            <w:id w:val="68242063"/>
          </w:sdtPr>
          <w:sdtContent>
            <w:tc>
              <w:tcPr>
                <w:tcW w:w="617" w:type="pct"/>
                <w:vAlign w:val="center"/>
              </w:tcPr>
              <w:p w14:paraId="187D3DE0">
                <w:pPr>
                  <w:widowControl w:val="0"/>
                  <w:kinsoku w:val="0"/>
                  <w:overflowPunct w:val="0"/>
                  <w:autoSpaceDE w:val="0"/>
                  <w:autoSpaceDN w:val="0"/>
                  <w:adjustRightInd w:val="0"/>
                  <w:snapToGrid w:val="0"/>
                  <w:jc w:val="center"/>
                  <w:rPr>
                    <w:rFonts w:hint="eastAsia"/>
                    <w:szCs w:val="21"/>
                  </w:rPr>
                </w:pPr>
                <w:r>
                  <w:rPr>
                    <w:szCs w:val="21"/>
                  </w:rPr>
                  <w:t>本期末比上年同期末增减（</w:t>
                </w:r>
                <w:r>
                  <w:rPr>
                    <w:rFonts w:hint="eastAsia"/>
                    <w:szCs w:val="21"/>
                  </w:rPr>
                  <w:t>%</w:t>
                </w:r>
                <w:r>
                  <w:rPr>
                    <w:szCs w:val="21"/>
                  </w:rPr>
                  <w:t>）</w:t>
                </w:r>
              </w:p>
            </w:tc>
          </w:sdtContent>
        </w:sdt>
        <w:sdt>
          <w:sdtPr>
            <w:tag w:val="_PLD_3af4b93afaec4509befbcf4b19db9883"/>
            <w:id w:val="-1388489812"/>
          </w:sdtPr>
          <w:sdtContent>
            <w:tc>
              <w:tcPr>
                <w:tcW w:w="937" w:type="pct"/>
                <w:vAlign w:val="center"/>
              </w:tcPr>
              <w:p w14:paraId="17BB76C5">
                <w:pPr>
                  <w:widowControl w:val="0"/>
                  <w:kinsoku w:val="0"/>
                  <w:overflowPunct w:val="0"/>
                  <w:autoSpaceDE w:val="0"/>
                  <w:autoSpaceDN w:val="0"/>
                  <w:adjustRightInd w:val="0"/>
                  <w:snapToGrid w:val="0"/>
                  <w:jc w:val="center"/>
                  <w:rPr>
                    <w:rFonts w:hint="eastAsia"/>
                    <w:szCs w:val="21"/>
                  </w:rPr>
                </w:pPr>
                <w:r>
                  <w:rPr>
                    <w:rFonts w:hint="eastAsia"/>
                    <w:szCs w:val="21"/>
                  </w:rPr>
                  <w:t>2022年末</w:t>
                </w:r>
              </w:p>
            </w:tc>
          </w:sdtContent>
        </w:sdt>
      </w:tr>
      <w:tr w14:paraId="5E7F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5278F807">
            <w:pPr>
              <w:widowControl w:val="0"/>
              <w:kinsoku w:val="0"/>
              <w:overflowPunct w:val="0"/>
              <w:autoSpaceDE w:val="0"/>
              <w:autoSpaceDN w:val="0"/>
              <w:adjustRightInd w:val="0"/>
              <w:snapToGrid w:val="0"/>
              <w:jc w:val="both"/>
              <w:rPr>
                <w:rFonts w:hint="eastAsia"/>
                <w:szCs w:val="21"/>
              </w:rPr>
            </w:pPr>
            <w:r>
              <w:rPr>
                <w:rFonts w:hint="eastAsia"/>
                <w:szCs w:val="21"/>
              </w:rPr>
              <w:t>归属于上市公司股东的净资产</w:t>
            </w:r>
          </w:p>
        </w:tc>
        <w:tc>
          <w:tcPr>
            <w:tcW w:w="986" w:type="pct"/>
            <w:vAlign w:val="center"/>
          </w:tcPr>
          <w:p w14:paraId="05CFF8FE">
            <w:pPr>
              <w:widowControl w:val="0"/>
              <w:kinsoku w:val="0"/>
              <w:overflowPunct w:val="0"/>
              <w:autoSpaceDE w:val="0"/>
              <w:autoSpaceDN w:val="0"/>
              <w:adjustRightInd w:val="0"/>
              <w:snapToGrid w:val="0"/>
              <w:jc w:val="right"/>
              <w:rPr>
                <w:rFonts w:hint="eastAsia"/>
                <w:szCs w:val="21"/>
                <w:highlight w:val="cyan"/>
              </w:rPr>
            </w:pPr>
            <w:r>
              <w:rPr>
                <w:rFonts w:ascii="Arial Narrow" w:hAnsi="Arial Narrow" w:eastAsia="等线"/>
                <w:color w:val="000000"/>
                <w:szCs w:val="21"/>
              </w:rPr>
              <w:t xml:space="preserve">12,613,688,608.06 </w:t>
            </w:r>
          </w:p>
        </w:tc>
        <w:tc>
          <w:tcPr>
            <w:tcW w:w="937" w:type="pct"/>
            <w:vAlign w:val="center"/>
          </w:tcPr>
          <w:p w14:paraId="168FD096">
            <w:pPr>
              <w:widowControl w:val="0"/>
              <w:kinsoku w:val="0"/>
              <w:overflowPunct w:val="0"/>
              <w:autoSpaceDE w:val="0"/>
              <w:autoSpaceDN w:val="0"/>
              <w:adjustRightInd w:val="0"/>
              <w:snapToGrid w:val="0"/>
              <w:jc w:val="right"/>
              <w:rPr>
                <w:rFonts w:hint="eastAsia"/>
                <w:bCs/>
                <w:szCs w:val="21"/>
              </w:rPr>
            </w:pPr>
            <w:r>
              <w:rPr>
                <w:rFonts w:ascii="Arial Narrow" w:hAnsi="Arial Narrow" w:eastAsia="等线"/>
                <w:color w:val="000000"/>
                <w:szCs w:val="21"/>
              </w:rPr>
              <w:t xml:space="preserve">17,104,014,570.78 </w:t>
            </w:r>
          </w:p>
        </w:tc>
        <w:tc>
          <w:tcPr>
            <w:tcW w:w="617" w:type="pct"/>
            <w:vAlign w:val="center"/>
          </w:tcPr>
          <w:p w14:paraId="2641D9B1">
            <w:pPr>
              <w:widowControl w:val="0"/>
              <w:kinsoku w:val="0"/>
              <w:overflowPunct w:val="0"/>
              <w:autoSpaceDE w:val="0"/>
              <w:autoSpaceDN w:val="0"/>
              <w:adjustRightInd w:val="0"/>
              <w:snapToGrid w:val="0"/>
              <w:jc w:val="right"/>
              <w:rPr>
                <w:rFonts w:hint="eastAsia"/>
                <w:szCs w:val="21"/>
              </w:rPr>
            </w:pPr>
            <w:r>
              <w:rPr>
                <w:rFonts w:ascii="Arial Narrow" w:hAnsi="Arial Narrow" w:eastAsia="等线"/>
                <w:color w:val="000000"/>
                <w:szCs w:val="21"/>
              </w:rPr>
              <w:t xml:space="preserve">-26.25 </w:t>
            </w:r>
          </w:p>
        </w:tc>
        <w:tc>
          <w:tcPr>
            <w:tcW w:w="937" w:type="pct"/>
            <w:vAlign w:val="center"/>
          </w:tcPr>
          <w:p w14:paraId="474934EA">
            <w:pPr>
              <w:widowControl w:val="0"/>
              <w:kinsoku w:val="0"/>
              <w:overflowPunct w:val="0"/>
              <w:autoSpaceDE w:val="0"/>
              <w:autoSpaceDN w:val="0"/>
              <w:adjustRightInd w:val="0"/>
              <w:snapToGrid w:val="0"/>
              <w:jc w:val="right"/>
              <w:rPr>
                <w:rFonts w:hint="eastAsia"/>
                <w:szCs w:val="21"/>
              </w:rPr>
            </w:pPr>
            <w:r>
              <w:rPr>
                <w:rFonts w:ascii="Arial Narrow" w:hAnsi="Arial Narrow" w:eastAsia="等线"/>
                <w:color w:val="000000"/>
                <w:szCs w:val="21"/>
              </w:rPr>
              <w:t xml:space="preserve">17,030,479,889.99 </w:t>
            </w:r>
          </w:p>
        </w:tc>
      </w:tr>
      <w:tr w14:paraId="3F28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23" w:type="pct"/>
            <w:vAlign w:val="center"/>
          </w:tcPr>
          <w:p w14:paraId="69939C77">
            <w:pPr>
              <w:widowControl w:val="0"/>
              <w:kinsoku w:val="0"/>
              <w:overflowPunct w:val="0"/>
              <w:autoSpaceDE w:val="0"/>
              <w:autoSpaceDN w:val="0"/>
              <w:adjustRightInd w:val="0"/>
              <w:snapToGrid w:val="0"/>
              <w:jc w:val="both"/>
              <w:rPr>
                <w:rFonts w:hint="eastAsia"/>
                <w:szCs w:val="21"/>
              </w:rPr>
            </w:pPr>
            <w:r>
              <w:rPr>
                <w:rFonts w:hint="eastAsia"/>
                <w:szCs w:val="21"/>
              </w:rPr>
              <w:t>总资产</w:t>
            </w:r>
          </w:p>
        </w:tc>
        <w:tc>
          <w:tcPr>
            <w:tcW w:w="986" w:type="pct"/>
            <w:vAlign w:val="center"/>
          </w:tcPr>
          <w:p w14:paraId="5EE674B2">
            <w:pPr>
              <w:widowControl w:val="0"/>
              <w:kinsoku w:val="0"/>
              <w:overflowPunct w:val="0"/>
              <w:autoSpaceDE w:val="0"/>
              <w:autoSpaceDN w:val="0"/>
              <w:adjustRightInd w:val="0"/>
              <w:snapToGrid w:val="0"/>
              <w:jc w:val="right"/>
              <w:rPr>
                <w:rFonts w:hint="eastAsia"/>
                <w:szCs w:val="21"/>
                <w:highlight w:val="cyan"/>
              </w:rPr>
            </w:pPr>
            <w:r>
              <w:rPr>
                <w:rFonts w:ascii="Arial Narrow" w:hAnsi="Arial Narrow" w:eastAsia="等线"/>
                <w:color w:val="000000"/>
                <w:szCs w:val="21"/>
              </w:rPr>
              <w:t xml:space="preserve">21,172,865,094.07 </w:t>
            </w:r>
          </w:p>
        </w:tc>
        <w:tc>
          <w:tcPr>
            <w:tcW w:w="937" w:type="pct"/>
            <w:vAlign w:val="center"/>
          </w:tcPr>
          <w:p w14:paraId="4A17A6FB">
            <w:pPr>
              <w:widowControl w:val="0"/>
              <w:kinsoku w:val="0"/>
              <w:overflowPunct w:val="0"/>
              <w:autoSpaceDE w:val="0"/>
              <w:autoSpaceDN w:val="0"/>
              <w:adjustRightInd w:val="0"/>
              <w:snapToGrid w:val="0"/>
              <w:jc w:val="right"/>
              <w:rPr>
                <w:rFonts w:hint="eastAsia"/>
                <w:bCs/>
                <w:szCs w:val="21"/>
              </w:rPr>
            </w:pPr>
            <w:r>
              <w:rPr>
                <w:rFonts w:ascii="Arial Narrow" w:hAnsi="Arial Narrow" w:eastAsia="等线"/>
                <w:color w:val="000000"/>
                <w:szCs w:val="21"/>
              </w:rPr>
              <w:t xml:space="preserve">26,435,041,272.53 </w:t>
            </w:r>
          </w:p>
        </w:tc>
        <w:tc>
          <w:tcPr>
            <w:tcW w:w="617" w:type="pct"/>
            <w:vAlign w:val="center"/>
          </w:tcPr>
          <w:p w14:paraId="086DCE9E">
            <w:pPr>
              <w:widowControl w:val="0"/>
              <w:kinsoku w:val="0"/>
              <w:overflowPunct w:val="0"/>
              <w:autoSpaceDE w:val="0"/>
              <w:autoSpaceDN w:val="0"/>
              <w:adjustRightInd w:val="0"/>
              <w:snapToGrid w:val="0"/>
              <w:jc w:val="right"/>
              <w:rPr>
                <w:rFonts w:hint="eastAsia"/>
                <w:szCs w:val="21"/>
              </w:rPr>
            </w:pPr>
            <w:r>
              <w:rPr>
                <w:rFonts w:ascii="Arial Narrow" w:hAnsi="Arial Narrow" w:eastAsia="等线"/>
                <w:color w:val="000000"/>
                <w:szCs w:val="21"/>
              </w:rPr>
              <w:t xml:space="preserve">-19.91 </w:t>
            </w:r>
          </w:p>
        </w:tc>
        <w:tc>
          <w:tcPr>
            <w:tcW w:w="937" w:type="pct"/>
            <w:vAlign w:val="center"/>
          </w:tcPr>
          <w:p w14:paraId="779C384B">
            <w:pPr>
              <w:widowControl w:val="0"/>
              <w:kinsoku w:val="0"/>
              <w:overflowPunct w:val="0"/>
              <w:autoSpaceDE w:val="0"/>
              <w:autoSpaceDN w:val="0"/>
              <w:adjustRightInd w:val="0"/>
              <w:snapToGrid w:val="0"/>
              <w:jc w:val="right"/>
              <w:rPr>
                <w:rFonts w:hint="eastAsia"/>
                <w:szCs w:val="21"/>
              </w:rPr>
            </w:pPr>
            <w:r>
              <w:rPr>
                <w:rFonts w:ascii="Arial Narrow" w:hAnsi="Arial Narrow" w:eastAsia="等线"/>
                <w:color w:val="000000"/>
                <w:szCs w:val="21"/>
              </w:rPr>
              <w:t xml:space="preserve">27,674,861,167.41 </w:t>
            </w:r>
          </w:p>
        </w:tc>
      </w:tr>
    </w:tbl>
    <w:p w14:paraId="08C06EF2">
      <w:pPr>
        <w:rPr>
          <w:rFonts w:hint="eastAsia"/>
        </w:rPr>
      </w:pPr>
    </w:p>
    <w:p w14:paraId="2B5C0382">
      <w:pPr>
        <w:rPr>
          <w:rFonts w:hint="eastAsia"/>
        </w:rPr>
      </w:pPr>
    </w:p>
    <w:p w14:paraId="28C00B60">
      <w:pPr>
        <w:pStyle w:val="4"/>
        <w:numPr>
          <w:ilvl w:val="1"/>
          <w:numId w:val="5"/>
        </w:numPr>
      </w:pPr>
      <w:bookmarkStart w:id="23" w:name="_Hlk61879983"/>
      <w:bookmarkEnd w:id="23"/>
      <w:bookmarkStart w:id="24" w:name="_Hlk61879976"/>
      <w:bookmarkEnd w:id="24"/>
      <w:bookmarkStart w:id="25" w:name="_Hlk61879994"/>
      <w:bookmarkEnd w:id="25"/>
      <w:r>
        <w:rPr>
          <w:rFonts w:hint="eastAsia"/>
        </w:rPr>
        <w:t>主要财务指标</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4"/>
        <w:gridCol w:w="1453"/>
        <w:gridCol w:w="1325"/>
        <w:gridCol w:w="2020"/>
        <w:gridCol w:w="1057"/>
      </w:tblGrid>
      <w:tr w14:paraId="4A9E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5c59cd3e5544374a4bd7ceda5f62092"/>
            <w:id w:val="1087583355"/>
          </w:sdtPr>
          <w:sdtContent>
            <w:tc>
              <w:tcPr>
                <w:tcW w:w="1765" w:type="pct"/>
                <w:vAlign w:val="center"/>
              </w:tcPr>
              <w:p w14:paraId="6A812CBA">
                <w:pPr>
                  <w:widowControl w:val="0"/>
                  <w:kinsoku w:val="0"/>
                  <w:overflowPunct w:val="0"/>
                  <w:autoSpaceDE w:val="0"/>
                  <w:autoSpaceDN w:val="0"/>
                  <w:adjustRightInd w:val="0"/>
                  <w:snapToGrid w:val="0"/>
                  <w:jc w:val="center"/>
                  <w:rPr>
                    <w:rFonts w:hint="eastAsia"/>
                    <w:szCs w:val="21"/>
                  </w:rPr>
                </w:pPr>
                <w:r>
                  <w:rPr>
                    <w:szCs w:val="21"/>
                  </w:rPr>
                  <w:t>主要财务指标</w:t>
                </w:r>
              </w:p>
            </w:tc>
          </w:sdtContent>
        </w:sdt>
        <w:sdt>
          <w:sdtPr>
            <w:tag w:val="_PLD_1a1e4f34f77949538a9c656b241499b6"/>
            <w:id w:val="-1695455434"/>
          </w:sdtPr>
          <w:sdtContent>
            <w:tc>
              <w:tcPr>
                <w:tcW w:w="803" w:type="pct"/>
                <w:vAlign w:val="center"/>
              </w:tcPr>
              <w:p w14:paraId="789DC704">
                <w:pPr>
                  <w:widowControl w:val="0"/>
                  <w:kinsoku w:val="0"/>
                  <w:overflowPunct w:val="0"/>
                  <w:autoSpaceDE w:val="0"/>
                  <w:autoSpaceDN w:val="0"/>
                  <w:adjustRightInd w:val="0"/>
                  <w:snapToGrid w:val="0"/>
                  <w:jc w:val="center"/>
                  <w:rPr>
                    <w:rFonts w:hint="eastAsia"/>
                    <w:szCs w:val="21"/>
                  </w:rPr>
                </w:pPr>
                <w:r>
                  <w:rPr>
                    <w:rFonts w:hint="eastAsia"/>
                    <w:szCs w:val="21"/>
                  </w:rPr>
                  <w:t>2024年</w:t>
                </w:r>
              </w:p>
            </w:tc>
          </w:sdtContent>
        </w:sdt>
        <w:sdt>
          <w:sdtPr>
            <w:tag w:val="_PLD_9310148e9c2c4e968f8a8cf7147fc9a7"/>
            <w:id w:val="-848636556"/>
          </w:sdtPr>
          <w:sdtContent>
            <w:tc>
              <w:tcPr>
                <w:tcW w:w="732" w:type="pct"/>
                <w:vAlign w:val="center"/>
              </w:tcPr>
              <w:p w14:paraId="57E8D06C">
                <w:pPr>
                  <w:widowControl w:val="0"/>
                  <w:kinsoku w:val="0"/>
                  <w:overflowPunct w:val="0"/>
                  <w:autoSpaceDE w:val="0"/>
                  <w:autoSpaceDN w:val="0"/>
                  <w:adjustRightInd w:val="0"/>
                  <w:snapToGrid w:val="0"/>
                  <w:jc w:val="center"/>
                  <w:rPr>
                    <w:rFonts w:hint="eastAsia"/>
                    <w:szCs w:val="21"/>
                  </w:rPr>
                </w:pPr>
                <w:r>
                  <w:rPr>
                    <w:rFonts w:hint="eastAsia"/>
                    <w:szCs w:val="21"/>
                  </w:rPr>
                  <w:t>2023年</w:t>
                </w:r>
              </w:p>
            </w:tc>
          </w:sdtContent>
        </w:sdt>
        <w:sdt>
          <w:sdtPr>
            <w:tag w:val="_PLD_5901f5518cb6434888ae838febb8af68"/>
            <w:id w:val="916436568"/>
          </w:sdtPr>
          <w:sdtContent>
            <w:tc>
              <w:tcPr>
                <w:tcW w:w="1116" w:type="pct"/>
                <w:vAlign w:val="center"/>
              </w:tcPr>
              <w:p w14:paraId="1990B5B3">
                <w:pPr>
                  <w:widowControl w:val="0"/>
                  <w:kinsoku w:val="0"/>
                  <w:overflowPunct w:val="0"/>
                  <w:autoSpaceDE w:val="0"/>
                  <w:autoSpaceDN w:val="0"/>
                  <w:adjustRightInd w:val="0"/>
                  <w:snapToGrid w:val="0"/>
                  <w:jc w:val="center"/>
                  <w:rPr>
                    <w:rFonts w:hint="eastAsia"/>
                    <w:szCs w:val="21"/>
                  </w:rPr>
                </w:pPr>
                <w:r>
                  <w:rPr>
                    <w:szCs w:val="21"/>
                  </w:rPr>
                  <w:t>本期比上年同期增减(%)</w:t>
                </w:r>
              </w:p>
            </w:tc>
          </w:sdtContent>
        </w:sdt>
        <w:sdt>
          <w:sdtPr>
            <w:tag w:val="_PLD_437266ed462e4dd1873b86621495169c"/>
            <w:id w:val="-1268463668"/>
          </w:sdtPr>
          <w:sdtContent>
            <w:tc>
              <w:tcPr>
                <w:tcW w:w="584" w:type="pct"/>
                <w:vAlign w:val="center"/>
              </w:tcPr>
              <w:p w14:paraId="5F974E2C">
                <w:pPr>
                  <w:widowControl w:val="0"/>
                  <w:kinsoku w:val="0"/>
                  <w:overflowPunct w:val="0"/>
                  <w:autoSpaceDE w:val="0"/>
                  <w:autoSpaceDN w:val="0"/>
                  <w:adjustRightInd w:val="0"/>
                  <w:snapToGrid w:val="0"/>
                  <w:jc w:val="center"/>
                  <w:rPr>
                    <w:rFonts w:hint="eastAsia"/>
                    <w:szCs w:val="21"/>
                  </w:rPr>
                </w:pPr>
                <w:r>
                  <w:rPr>
                    <w:rFonts w:hint="eastAsia"/>
                    <w:szCs w:val="21"/>
                  </w:rPr>
                  <w:t>2022年</w:t>
                </w:r>
              </w:p>
            </w:tc>
          </w:sdtContent>
        </w:sdt>
      </w:tr>
      <w:tr w14:paraId="625C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481FBE6E">
            <w:pPr>
              <w:widowControl w:val="0"/>
              <w:kinsoku w:val="0"/>
              <w:overflowPunct w:val="0"/>
              <w:autoSpaceDE w:val="0"/>
              <w:autoSpaceDN w:val="0"/>
              <w:adjustRightInd w:val="0"/>
              <w:snapToGrid w:val="0"/>
              <w:jc w:val="both"/>
              <w:rPr>
                <w:rFonts w:hint="eastAsia"/>
                <w:szCs w:val="21"/>
              </w:rPr>
            </w:pPr>
            <w:r>
              <w:rPr>
                <w:szCs w:val="21"/>
              </w:rPr>
              <w:t>基本每股收益（元／股）</w:t>
            </w:r>
          </w:p>
        </w:tc>
        <w:tc>
          <w:tcPr>
            <w:tcW w:w="803" w:type="pct"/>
            <w:vAlign w:val="center"/>
          </w:tcPr>
          <w:p w14:paraId="04D94B2B">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-0.96 </w:t>
            </w:r>
          </w:p>
        </w:tc>
        <w:tc>
          <w:tcPr>
            <w:tcW w:w="732" w:type="pct"/>
            <w:vAlign w:val="center"/>
          </w:tcPr>
          <w:p w14:paraId="1F2575DB">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0.04 </w:t>
            </w:r>
          </w:p>
        </w:tc>
        <w:tc>
          <w:tcPr>
            <w:tcW w:w="1116" w:type="pct"/>
            <w:vAlign w:val="center"/>
          </w:tcPr>
          <w:p w14:paraId="7B27261A">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-2,500.00 </w:t>
            </w:r>
          </w:p>
        </w:tc>
        <w:tc>
          <w:tcPr>
            <w:tcW w:w="584" w:type="pct"/>
            <w:vAlign w:val="center"/>
          </w:tcPr>
          <w:p w14:paraId="27EDA197">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0.05 </w:t>
            </w:r>
          </w:p>
        </w:tc>
      </w:tr>
      <w:tr w14:paraId="304A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23AE384E">
            <w:pPr>
              <w:widowControl w:val="0"/>
              <w:kinsoku w:val="0"/>
              <w:overflowPunct w:val="0"/>
              <w:autoSpaceDE w:val="0"/>
              <w:autoSpaceDN w:val="0"/>
              <w:adjustRightInd w:val="0"/>
              <w:snapToGrid w:val="0"/>
              <w:jc w:val="both"/>
              <w:rPr>
                <w:rFonts w:hint="eastAsia"/>
                <w:szCs w:val="21"/>
              </w:rPr>
            </w:pPr>
            <w:r>
              <w:rPr>
                <w:szCs w:val="21"/>
              </w:rPr>
              <w:t>稀释每股收益（元／股）</w:t>
            </w:r>
          </w:p>
        </w:tc>
        <w:tc>
          <w:tcPr>
            <w:tcW w:w="803" w:type="pct"/>
            <w:vAlign w:val="center"/>
          </w:tcPr>
          <w:p w14:paraId="6DB2C0C1">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-0.96 </w:t>
            </w:r>
          </w:p>
        </w:tc>
        <w:tc>
          <w:tcPr>
            <w:tcW w:w="732" w:type="pct"/>
            <w:vAlign w:val="center"/>
          </w:tcPr>
          <w:p w14:paraId="7D99A3B2">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0.04 </w:t>
            </w:r>
          </w:p>
        </w:tc>
        <w:tc>
          <w:tcPr>
            <w:tcW w:w="1116" w:type="pct"/>
            <w:vAlign w:val="center"/>
          </w:tcPr>
          <w:p w14:paraId="0A29DFF9">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-2,500.00 </w:t>
            </w:r>
          </w:p>
        </w:tc>
        <w:tc>
          <w:tcPr>
            <w:tcW w:w="584" w:type="pct"/>
            <w:vAlign w:val="center"/>
          </w:tcPr>
          <w:p w14:paraId="03821420">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0.05 </w:t>
            </w:r>
          </w:p>
        </w:tc>
      </w:tr>
      <w:tr w14:paraId="1D05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3DC43E49">
            <w:pPr>
              <w:widowControl w:val="0"/>
              <w:kinsoku w:val="0"/>
              <w:overflowPunct w:val="0"/>
              <w:autoSpaceDE w:val="0"/>
              <w:autoSpaceDN w:val="0"/>
              <w:adjustRightInd w:val="0"/>
              <w:snapToGrid w:val="0"/>
              <w:jc w:val="both"/>
              <w:rPr>
                <w:rFonts w:hint="eastAsia"/>
                <w:szCs w:val="21"/>
              </w:rPr>
            </w:pPr>
            <w:r>
              <w:rPr>
                <w:szCs w:val="21"/>
              </w:rPr>
              <w:t>扣除非经常性损益后的基本每股收益（元／股）</w:t>
            </w:r>
          </w:p>
        </w:tc>
        <w:tc>
          <w:tcPr>
            <w:tcW w:w="803" w:type="pct"/>
            <w:vAlign w:val="center"/>
          </w:tcPr>
          <w:p w14:paraId="2C9639F5">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-0.90 </w:t>
            </w:r>
          </w:p>
        </w:tc>
        <w:tc>
          <w:tcPr>
            <w:tcW w:w="732" w:type="pct"/>
            <w:vAlign w:val="center"/>
          </w:tcPr>
          <w:p w14:paraId="1A3A31C4">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-0.004 </w:t>
            </w:r>
          </w:p>
        </w:tc>
        <w:tc>
          <w:tcPr>
            <w:tcW w:w="1116" w:type="pct"/>
            <w:vAlign w:val="center"/>
          </w:tcPr>
          <w:p w14:paraId="4593E3CD">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color w:val="000000"/>
                <w:szCs w:val="21"/>
              </w:rPr>
              <w:t>不适用</w:t>
            </w:r>
          </w:p>
        </w:tc>
        <w:tc>
          <w:tcPr>
            <w:tcW w:w="584" w:type="pct"/>
            <w:vAlign w:val="center"/>
          </w:tcPr>
          <w:p w14:paraId="559700C5">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-0.01 </w:t>
            </w:r>
          </w:p>
        </w:tc>
      </w:tr>
      <w:tr w14:paraId="7B17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729FC526">
            <w:pPr>
              <w:widowControl w:val="0"/>
              <w:kinsoku w:val="0"/>
              <w:overflowPunct w:val="0"/>
              <w:autoSpaceDE w:val="0"/>
              <w:autoSpaceDN w:val="0"/>
              <w:adjustRightInd w:val="0"/>
              <w:snapToGrid w:val="0"/>
              <w:jc w:val="both"/>
              <w:rPr>
                <w:rFonts w:hint="eastAsia"/>
                <w:szCs w:val="21"/>
              </w:rPr>
            </w:pPr>
            <w:r>
              <w:rPr>
                <w:szCs w:val="21"/>
              </w:rPr>
              <w:t>加权平均净资产收益率（%）</w:t>
            </w:r>
          </w:p>
        </w:tc>
        <w:tc>
          <w:tcPr>
            <w:tcW w:w="803" w:type="pct"/>
            <w:vAlign w:val="center"/>
          </w:tcPr>
          <w:p w14:paraId="765B330B">
            <w:pPr>
              <w:widowControl w:val="0"/>
              <w:kinsoku w:val="0"/>
              <w:overflowPunct w:val="0"/>
              <w:autoSpaceDE w:val="0"/>
              <w:autoSpaceDN w:val="0"/>
              <w:adjustRightInd w:val="0"/>
              <w:snapToGrid w:val="0"/>
              <w:jc w:val="right"/>
              <w:rPr>
                <w:rFonts w:ascii="Arial Narrow" w:hAnsi="Arial Narrow"/>
                <w:szCs w:val="21"/>
                <w:highlight w:val="green"/>
              </w:rPr>
            </w:pPr>
            <w:r>
              <w:rPr>
                <w:rFonts w:ascii="Arial Narrow" w:hAnsi="Arial Narrow" w:eastAsia="等线"/>
                <w:color w:val="000000"/>
                <w:szCs w:val="21"/>
              </w:rPr>
              <w:t xml:space="preserve">-28.46 </w:t>
            </w:r>
          </w:p>
        </w:tc>
        <w:tc>
          <w:tcPr>
            <w:tcW w:w="732" w:type="pct"/>
            <w:vAlign w:val="center"/>
          </w:tcPr>
          <w:p w14:paraId="23C23119">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1.07 </w:t>
            </w:r>
          </w:p>
        </w:tc>
        <w:tc>
          <w:tcPr>
            <w:tcW w:w="1116" w:type="pct"/>
            <w:vAlign w:val="center"/>
          </w:tcPr>
          <w:p w14:paraId="6BE2488C">
            <w:pPr>
              <w:widowControl w:val="0"/>
              <w:kinsoku w:val="0"/>
              <w:overflowPunct w:val="0"/>
              <w:autoSpaceDE w:val="0"/>
              <w:autoSpaceDN w:val="0"/>
              <w:adjustRightInd w:val="0"/>
              <w:snapToGrid w:val="0"/>
              <w:jc w:val="center"/>
              <w:rPr>
                <w:rFonts w:ascii="Arial Narrow" w:hAnsi="Arial Narrow"/>
                <w:szCs w:val="21"/>
                <w:highlight w:val="cyan"/>
              </w:rPr>
            </w:pPr>
            <w:r>
              <w:rPr>
                <w:rFonts w:ascii="Arial Narrow" w:hAnsi="Arial Narrow"/>
                <w:color w:val="000000"/>
                <w:szCs w:val="21"/>
              </w:rPr>
              <w:t>减少29.53个百分点</w:t>
            </w:r>
          </w:p>
        </w:tc>
        <w:tc>
          <w:tcPr>
            <w:tcW w:w="584" w:type="pct"/>
            <w:vAlign w:val="center"/>
          </w:tcPr>
          <w:p w14:paraId="6306131A">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1.31 </w:t>
            </w:r>
          </w:p>
        </w:tc>
      </w:tr>
      <w:tr w14:paraId="05A3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5" w:type="pct"/>
            <w:vAlign w:val="center"/>
          </w:tcPr>
          <w:p w14:paraId="55E88977">
            <w:pPr>
              <w:widowControl w:val="0"/>
              <w:kinsoku w:val="0"/>
              <w:overflowPunct w:val="0"/>
              <w:autoSpaceDE w:val="0"/>
              <w:autoSpaceDN w:val="0"/>
              <w:adjustRightInd w:val="0"/>
              <w:snapToGrid w:val="0"/>
              <w:jc w:val="both"/>
              <w:rPr>
                <w:rFonts w:hint="eastAsia"/>
                <w:szCs w:val="21"/>
              </w:rPr>
            </w:pPr>
            <w:r>
              <w:rPr>
                <w:szCs w:val="21"/>
              </w:rPr>
              <w:t>扣除非经常性损益后的加权平均净资产收益率（%）</w:t>
            </w:r>
          </w:p>
        </w:tc>
        <w:tc>
          <w:tcPr>
            <w:tcW w:w="803" w:type="pct"/>
            <w:vAlign w:val="center"/>
          </w:tcPr>
          <w:p w14:paraId="54EE83A7">
            <w:pPr>
              <w:widowControl w:val="0"/>
              <w:kinsoku w:val="0"/>
              <w:overflowPunct w:val="0"/>
              <w:autoSpaceDE w:val="0"/>
              <w:autoSpaceDN w:val="0"/>
              <w:adjustRightInd w:val="0"/>
              <w:snapToGrid w:val="0"/>
              <w:jc w:val="right"/>
              <w:rPr>
                <w:rFonts w:ascii="Arial Narrow" w:hAnsi="Arial Narrow"/>
                <w:szCs w:val="21"/>
                <w:highlight w:val="green"/>
              </w:rPr>
            </w:pPr>
            <w:r>
              <w:rPr>
                <w:rFonts w:ascii="Arial Narrow" w:hAnsi="Arial Narrow" w:eastAsia="等线"/>
                <w:color w:val="000000"/>
                <w:szCs w:val="21"/>
              </w:rPr>
              <w:t xml:space="preserve">-26.73 </w:t>
            </w:r>
          </w:p>
        </w:tc>
        <w:tc>
          <w:tcPr>
            <w:tcW w:w="732" w:type="pct"/>
            <w:vAlign w:val="center"/>
          </w:tcPr>
          <w:p w14:paraId="5D3D8D4F">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-0.11 </w:t>
            </w:r>
          </w:p>
        </w:tc>
        <w:tc>
          <w:tcPr>
            <w:tcW w:w="1116" w:type="pct"/>
            <w:vAlign w:val="center"/>
          </w:tcPr>
          <w:p w14:paraId="1D630244">
            <w:pPr>
              <w:widowControl w:val="0"/>
              <w:kinsoku w:val="0"/>
              <w:overflowPunct w:val="0"/>
              <w:autoSpaceDE w:val="0"/>
              <w:autoSpaceDN w:val="0"/>
              <w:adjustRightInd w:val="0"/>
              <w:snapToGrid w:val="0"/>
              <w:jc w:val="center"/>
              <w:rPr>
                <w:rFonts w:ascii="Arial Narrow" w:hAnsi="Arial Narrow"/>
                <w:szCs w:val="21"/>
                <w:highlight w:val="cyan"/>
              </w:rPr>
            </w:pPr>
            <w:r>
              <w:rPr>
                <w:rFonts w:ascii="Arial Narrow" w:hAnsi="Arial Narrow"/>
                <w:color w:val="000000"/>
                <w:szCs w:val="21"/>
              </w:rPr>
              <w:t>减少26.62个百分点</w:t>
            </w:r>
          </w:p>
        </w:tc>
        <w:tc>
          <w:tcPr>
            <w:tcW w:w="584" w:type="pct"/>
            <w:vAlign w:val="center"/>
          </w:tcPr>
          <w:p w14:paraId="7A5ABA20">
            <w:pPr>
              <w:widowControl w:val="0"/>
              <w:kinsoku w:val="0"/>
              <w:overflowPunct w:val="0"/>
              <w:autoSpaceDE w:val="0"/>
              <w:autoSpaceDN w:val="0"/>
              <w:adjustRightInd w:val="0"/>
              <w:snapToGrid w:val="0"/>
              <w:jc w:val="right"/>
              <w:rPr>
                <w:rFonts w:ascii="Arial Narrow" w:hAnsi="Arial Narrow"/>
                <w:szCs w:val="21"/>
              </w:rPr>
            </w:pPr>
            <w:r>
              <w:rPr>
                <w:rFonts w:ascii="Arial Narrow" w:hAnsi="Arial Narrow" w:eastAsia="等线"/>
                <w:color w:val="000000"/>
                <w:szCs w:val="21"/>
              </w:rPr>
              <w:t xml:space="preserve">-0.32 </w:t>
            </w:r>
          </w:p>
        </w:tc>
      </w:tr>
    </w:tbl>
    <w:p w14:paraId="05BFDF4E">
      <w:pPr>
        <w:rPr>
          <w:rFonts w:hint="eastAsia"/>
        </w:rPr>
      </w:pPr>
    </w:p>
    <w:p w14:paraId="628FB355">
      <w:pPr>
        <w:rPr>
          <w:rFonts w:hint="eastAsia"/>
          <w:szCs w:val="21"/>
        </w:rPr>
      </w:pPr>
      <w:bookmarkStart w:id="26" w:name="_Hlk25325424"/>
      <w:bookmarkEnd w:id="26"/>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089744536"/>
        <w:placeholder>
          <w:docPart w:val="GBC22222222222222222222222222222"/>
        </w:placeholder>
      </w:sdtPr>
      <w:sdtEndPr>
        <w:rPr>
          <w:szCs w:val="21"/>
        </w:rPr>
      </w:sdtEndPr>
      <w:sdtContent>
        <w:p w14:paraId="494A6FA4">
          <w:pPr>
            <w:rPr>
              <w:rFonts w:hint="eastAsia"/>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7A9C716">
      <w:pPr>
        <w:rPr>
          <w:rFonts w:hint="eastAsia"/>
        </w:rPr>
      </w:pPr>
    </w:p>
    <w:p w14:paraId="57476F08">
      <w:pPr>
        <w:pStyle w:val="3"/>
        <w:numPr>
          <w:ilvl w:val="1"/>
          <w:numId w:val="4"/>
        </w:numPr>
        <w:ind w:left="498" w:hanging="498" w:hangingChars="236"/>
        <w:rPr>
          <w:u w:val="single"/>
        </w:rPr>
      </w:pPr>
      <w:r>
        <w:rPr>
          <w:rFonts w:hint="eastAsia"/>
        </w:rPr>
        <w:t>境内外会计准则下会计数据差异</w:t>
      </w:r>
    </w:p>
    <w:p w14:paraId="1C8A77BD">
      <w:pPr>
        <w:pStyle w:val="4"/>
        <w:numPr>
          <w:ilvl w:val="0"/>
          <w:numId w:val="6"/>
        </w:numPr>
        <w:ind w:left="0" w:firstLine="0"/>
        <w:rPr>
          <w:szCs w:val="21"/>
        </w:rPr>
      </w:pPr>
      <w:r>
        <w:rPr>
          <w:rFonts w:hint="eastAsia"/>
          <w:szCs w:val="21"/>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1107877418"/>
        <w:placeholder>
          <w:docPart w:val="GBC22222222222222222222222222222"/>
        </w:placeholder>
      </w:sdtPr>
      <w:sdtEndPr>
        <w:rPr>
          <w:szCs w:val="21"/>
        </w:rPr>
      </w:sdtEndPr>
      <w:sdtContent>
        <w:p w14:paraId="3687DE50">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A450530">
      <w:pPr>
        <w:rPr>
          <w:rFonts w:hint="eastAsia"/>
        </w:rPr>
      </w:pPr>
    </w:p>
    <w:p w14:paraId="15686A9F">
      <w:pPr>
        <w:pStyle w:val="4"/>
        <w:numPr>
          <w:ilvl w:val="0"/>
          <w:numId w:val="6"/>
        </w:numPr>
        <w:ind w:left="0" w:firstLine="0"/>
        <w:rPr>
          <w:szCs w:val="21"/>
        </w:rPr>
      </w:pPr>
      <w:r>
        <w:rPr>
          <w:rFonts w:hint="eastAsia"/>
          <w:szCs w:val="21"/>
        </w:rPr>
        <w:t>同时按照境外会计准则与按中国会计准则披露的财务报告中净利润和归属于上市公司股东的净资产差异情况</w:t>
      </w:r>
    </w:p>
    <w:sdt>
      <w:sdtPr>
        <w:alias w:val="是否适用：同时按照境外会计准则与按中国会计准则披露的财务报告中净利润和净资产差异情况[双击切换]"/>
        <w:tag w:val="_GBC_a97367c44d2842a1bfb53d78727711bb"/>
        <w:id w:val="1672301128"/>
        <w:placeholder>
          <w:docPart w:val="GBC22222222222222222222222222222"/>
        </w:placeholder>
      </w:sdtPr>
      <w:sdtEndPr>
        <w:rPr>
          <w:szCs w:val="21"/>
        </w:rPr>
      </w:sdtEndPr>
      <w:sdtContent>
        <w:p w14:paraId="6AA4E3B4">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70137E3">
      <w:pPr>
        <w:rPr>
          <w:rFonts w:hint="eastAsia"/>
        </w:rPr>
      </w:pPr>
    </w:p>
    <w:p w14:paraId="52C051A6">
      <w:pPr>
        <w:pStyle w:val="4"/>
        <w:numPr>
          <w:ilvl w:val="0"/>
          <w:numId w:val="6"/>
        </w:numPr>
        <w:ind w:left="0" w:firstLine="0"/>
        <w:rPr>
          <w:szCs w:val="21"/>
        </w:rPr>
      </w:pPr>
      <w:r>
        <w:rPr>
          <w:rFonts w:hint="eastAsia"/>
          <w:szCs w:val="21"/>
        </w:rPr>
        <w:t>境内外会计准则差异的说明：</w:t>
      </w:r>
    </w:p>
    <w:sdt>
      <w:sdtPr>
        <w:alias w:val="是否适用：境内外会计准则差异的说明[双击切换]"/>
        <w:tag w:val="_GBC_fb9a5edc484f49ab948423fc0bade519"/>
        <w:id w:val="157581328"/>
        <w:placeholder>
          <w:docPart w:val="GBC22222222222222222222222222222"/>
        </w:placeholder>
      </w:sdtPr>
      <w:sdtContent>
        <w:p w14:paraId="73DC575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710CAD3">
      <w:pPr>
        <w:rPr>
          <w:rFonts w:hint="eastAsia"/>
        </w:rPr>
      </w:pPr>
    </w:p>
    <w:p w14:paraId="0A41EF7A">
      <w:pPr>
        <w:pStyle w:val="3"/>
        <w:numPr>
          <w:ilvl w:val="1"/>
          <w:numId w:val="4"/>
        </w:numPr>
        <w:ind w:left="498" w:hanging="498" w:hangingChars="236"/>
        <w:rPr>
          <w:u w:val="single"/>
        </w:rPr>
      </w:pPr>
      <w:r>
        <w:rPr>
          <w:rFonts w:hint="eastAsia"/>
        </w:rPr>
        <w:t>2024年分季度主要财务数据</w:t>
      </w:r>
    </w:p>
    <w:p w14:paraId="18DDF131">
      <w:pPr>
        <w:jc w:val="right"/>
        <w:rPr>
          <w:rFonts w:hint="eastAsia"/>
          <w:szCs w:val="21"/>
        </w:rPr>
      </w:pPr>
      <w:r>
        <w:rPr>
          <w:rFonts w:hint="eastAsia"/>
          <w:szCs w:val="21"/>
        </w:rPr>
        <w:t>单位：</w:t>
      </w:r>
      <w:sdt>
        <w:sdtPr>
          <w:rPr>
            <w:rFonts w:hint="eastAsia"/>
            <w:szCs w:val="21"/>
          </w:rPr>
          <w:alias w:val="单位：分季度主要财务数据"/>
          <w:tag w:val="_GBC_c7bf8a69799342519e2da375e77f8d89"/>
          <w:id w:val="8327271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215228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0"/>
        <w:gridCol w:w="1817"/>
        <w:gridCol w:w="1597"/>
        <w:gridCol w:w="1597"/>
        <w:gridCol w:w="1658"/>
      </w:tblGrid>
      <w:tr w14:paraId="797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15" w:type="pct"/>
            <w:vAlign w:val="center"/>
          </w:tcPr>
          <w:p w14:paraId="157AA8D7">
            <w:pPr>
              <w:widowControl w:val="0"/>
              <w:jc w:val="center"/>
              <w:rPr>
                <w:rFonts w:hint="eastAsia"/>
              </w:rPr>
            </w:pPr>
          </w:p>
        </w:tc>
        <w:sdt>
          <w:sdtPr>
            <w:tag w:val="_PLD_2d7ae3b1c4bd43a98e284f10d0bdc51f"/>
            <w:id w:val="-24719238"/>
          </w:sdtPr>
          <w:sdtContent>
            <w:tc>
              <w:tcPr>
                <w:tcW w:w="1004" w:type="pct"/>
                <w:vAlign w:val="center"/>
              </w:tcPr>
              <w:p w14:paraId="1DABF0E3">
                <w:pPr>
                  <w:widowControl w:val="0"/>
                  <w:jc w:val="center"/>
                  <w:rPr>
                    <w:rFonts w:hint="eastAsia"/>
                  </w:rPr>
                </w:pPr>
                <w:r>
                  <w:rPr>
                    <w:rFonts w:hint="eastAsia"/>
                  </w:rPr>
                  <w:t>第一季度</w:t>
                </w:r>
              </w:p>
              <w:p w14:paraId="6844F174">
                <w:pPr>
                  <w:widowControl w:val="0"/>
                  <w:jc w:val="center"/>
                  <w:rPr>
                    <w:rFonts w:hint="eastAsia"/>
                  </w:rPr>
                </w:pPr>
                <w:r>
                  <w:rPr>
                    <w:rFonts w:hint="eastAsia"/>
                  </w:rPr>
                  <w:t>（1-3月份）</w:t>
                </w:r>
              </w:p>
            </w:tc>
          </w:sdtContent>
        </w:sdt>
        <w:sdt>
          <w:sdtPr>
            <w:tag w:val="_PLD_07258d0e3e7e4393960c3400b24cda70"/>
            <w:id w:val="1239442273"/>
          </w:sdtPr>
          <w:sdtContent>
            <w:tc>
              <w:tcPr>
                <w:tcW w:w="882" w:type="pct"/>
                <w:vAlign w:val="center"/>
              </w:tcPr>
              <w:p w14:paraId="37EFE9CD">
                <w:pPr>
                  <w:widowControl w:val="0"/>
                  <w:jc w:val="center"/>
                  <w:rPr>
                    <w:rFonts w:hint="eastAsia"/>
                  </w:rPr>
                </w:pPr>
                <w:r>
                  <w:rPr>
                    <w:rFonts w:hint="eastAsia"/>
                  </w:rPr>
                  <w:t>第二季度</w:t>
                </w:r>
              </w:p>
              <w:p w14:paraId="09E91E37">
                <w:pPr>
                  <w:widowControl w:val="0"/>
                  <w:jc w:val="center"/>
                  <w:rPr>
                    <w:rFonts w:hint="eastAsia"/>
                  </w:rPr>
                </w:pPr>
                <w:r>
                  <w:rPr>
                    <w:rFonts w:hint="eastAsia"/>
                  </w:rPr>
                  <w:t>（4-6月份）</w:t>
                </w:r>
              </w:p>
            </w:tc>
          </w:sdtContent>
        </w:sdt>
        <w:sdt>
          <w:sdtPr>
            <w:tag w:val="_PLD_f34790307d174eceaa953001c5186096"/>
            <w:id w:val="-562328979"/>
          </w:sdtPr>
          <w:sdtContent>
            <w:tc>
              <w:tcPr>
                <w:tcW w:w="882" w:type="pct"/>
                <w:vAlign w:val="center"/>
              </w:tcPr>
              <w:p w14:paraId="4F38D50F">
                <w:pPr>
                  <w:widowControl w:val="0"/>
                  <w:jc w:val="center"/>
                  <w:rPr>
                    <w:rFonts w:hint="eastAsia"/>
                  </w:rPr>
                </w:pPr>
                <w:r>
                  <w:rPr>
                    <w:rFonts w:hint="eastAsia"/>
                  </w:rPr>
                  <w:t>第三季度</w:t>
                </w:r>
              </w:p>
              <w:p w14:paraId="52527950">
                <w:pPr>
                  <w:widowControl w:val="0"/>
                  <w:jc w:val="center"/>
                  <w:rPr>
                    <w:rFonts w:hint="eastAsia"/>
                  </w:rPr>
                </w:pPr>
                <w:r>
                  <w:rPr>
                    <w:rFonts w:hint="eastAsia"/>
                  </w:rPr>
                  <w:t>（7-9月份）</w:t>
                </w:r>
              </w:p>
            </w:tc>
          </w:sdtContent>
        </w:sdt>
        <w:sdt>
          <w:sdtPr>
            <w:tag w:val="_PLD_18cc80c8863d4859a79676f49ef83412"/>
            <w:id w:val="-715037578"/>
          </w:sdtPr>
          <w:sdtContent>
            <w:tc>
              <w:tcPr>
                <w:tcW w:w="916" w:type="pct"/>
                <w:vAlign w:val="center"/>
              </w:tcPr>
              <w:p w14:paraId="4104DC3C">
                <w:pPr>
                  <w:widowControl w:val="0"/>
                  <w:jc w:val="center"/>
                  <w:rPr>
                    <w:rFonts w:hint="eastAsia"/>
                  </w:rPr>
                </w:pPr>
                <w:r>
                  <w:rPr>
                    <w:rFonts w:hint="eastAsia"/>
                  </w:rPr>
                  <w:t>第四季度</w:t>
                </w:r>
              </w:p>
              <w:p w14:paraId="7281D265">
                <w:pPr>
                  <w:widowControl w:val="0"/>
                  <w:jc w:val="center"/>
                  <w:rPr>
                    <w:rFonts w:hint="eastAsia"/>
                  </w:rPr>
                </w:pPr>
                <w:r>
                  <w:rPr>
                    <w:rFonts w:hint="eastAsia"/>
                  </w:rPr>
                  <w:t>（10-12月份）</w:t>
                </w:r>
              </w:p>
            </w:tc>
          </w:sdtContent>
        </w:sdt>
      </w:tr>
      <w:tr w14:paraId="488B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5" w:type="pct"/>
          </w:tcPr>
          <w:p w14:paraId="0CF2FB65">
            <w:pPr>
              <w:widowControl w:val="0"/>
              <w:jc w:val="both"/>
              <w:rPr>
                <w:rFonts w:hint="eastAsia"/>
              </w:rPr>
            </w:pPr>
            <w:r>
              <w:rPr>
                <w:rFonts w:hint="eastAsia"/>
                <w:szCs w:val="21"/>
              </w:rPr>
              <w:t>营业收入</w:t>
            </w:r>
          </w:p>
        </w:tc>
        <w:tc>
          <w:tcPr>
            <w:tcW w:w="1004" w:type="pct"/>
            <w:vAlign w:val="center"/>
          </w:tcPr>
          <w:p w14:paraId="60A2FDAC">
            <w:pPr>
              <w:widowControl w:val="0"/>
              <w:jc w:val="right"/>
              <w:rPr>
                <w:rFonts w:ascii="Arial Narrow" w:hAnsi="Arial Narrow"/>
              </w:rPr>
            </w:pPr>
            <w:r>
              <w:rPr>
                <w:rFonts w:ascii="Arial Narrow" w:hAnsi="Arial Narrow" w:eastAsia="等线"/>
                <w:color w:val="000000"/>
                <w:szCs w:val="21"/>
              </w:rPr>
              <w:t xml:space="preserve">2,604,050,812.22 </w:t>
            </w:r>
          </w:p>
        </w:tc>
        <w:tc>
          <w:tcPr>
            <w:tcW w:w="882" w:type="pct"/>
            <w:vAlign w:val="center"/>
          </w:tcPr>
          <w:p w14:paraId="67EAA139">
            <w:pPr>
              <w:widowControl w:val="0"/>
              <w:jc w:val="right"/>
              <w:rPr>
                <w:rFonts w:ascii="Arial Narrow" w:hAnsi="Arial Narrow"/>
              </w:rPr>
            </w:pPr>
            <w:r>
              <w:rPr>
                <w:rFonts w:ascii="Arial Narrow" w:hAnsi="Arial Narrow" w:eastAsia="等线"/>
                <w:color w:val="000000"/>
                <w:szCs w:val="21"/>
              </w:rPr>
              <w:t xml:space="preserve">2,600,178,572.54 </w:t>
            </w:r>
          </w:p>
        </w:tc>
        <w:tc>
          <w:tcPr>
            <w:tcW w:w="882" w:type="pct"/>
            <w:vAlign w:val="center"/>
          </w:tcPr>
          <w:p w14:paraId="2F37FD92">
            <w:pPr>
              <w:widowControl w:val="0"/>
              <w:jc w:val="right"/>
              <w:rPr>
                <w:rFonts w:ascii="Arial Narrow" w:hAnsi="Arial Narrow"/>
              </w:rPr>
            </w:pPr>
            <w:r>
              <w:rPr>
                <w:rFonts w:ascii="Arial Narrow" w:hAnsi="Arial Narrow" w:eastAsia="等线"/>
                <w:color w:val="000000"/>
                <w:szCs w:val="21"/>
              </w:rPr>
              <w:t xml:space="preserve">2,039,935,124.41 </w:t>
            </w:r>
          </w:p>
        </w:tc>
        <w:tc>
          <w:tcPr>
            <w:tcW w:w="916" w:type="pct"/>
            <w:vAlign w:val="center"/>
          </w:tcPr>
          <w:p w14:paraId="1207992B">
            <w:pPr>
              <w:widowControl w:val="0"/>
              <w:jc w:val="right"/>
              <w:rPr>
                <w:rFonts w:ascii="Arial Narrow" w:hAnsi="Arial Narrow"/>
              </w:rPr>
            </w:pPr>
            <w:r>
              <w:rPr>
                <w:rFonts w:ascii="Arial Narrow" w:hAnsi="Arial Narrow" w:eastAsia="等线"/>
                <w:color w:val="000000"/>
                <w:szCs w:val="21"/>
              </w:rPr>
              <w:t xml:space="preserve">2,641,933,248.16 </w:t>
            </w:r>
          </w:p>
        </w:tc>
      </w:tr>
      <w:tr w14:paraId="3BE1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5" w:type="pct"/>
          </w:tcPr>
          <w:p w14:paraId="325B2F2C">
            <w:pPr>
              <w:widowControl w:val="0"/>
              <w:jc w:val="both"/>
              <w:rPr>
                <w:rFonts w:hint="eastAsia"/>
              </w:rPr>
            </w:pPr>
            <w:r>
              <w:rPr>
                <w:rFonts w:hint="eastAsia"/>
                <w:szCs w:val="21"/>
              </w:rPr>
              <w:t>归属于上市公司股东的净利润</w:t>
            </w:r>
          </w:p>
        </w:tc>
        <w:tc>
          <w:tcPr>
            <w:tcW w:w="1004" w:type="pct"/>
            <w:vAlign w:val="center"/>
          </w:tcPr>
          <w:p w14:paraId="6F2D69FF">
            <w:pPr>
              <w:widowControl w:val="0"/>
              <w:jc w:val="right"/>
              <w:rPr>
                <w:rFonts w:ascii="Arial Narrow" w:hAnsi="Arial Narrow"/>
              </w:rPr>
            </w:pPr>
            <w:r>
              <w:rPr>
                <w:rFonts w:ascii="Arial Narrow" w:hAnsi="Arial Narrow" w:eastAsia="等线"/>
                <w:color w:val="000000"/>
                <w:szCs w:val="21"/>
              </w:rPr>
              <w:t xml:space="preserve">-26,395,575.09 </w:t>
            </w:r>
          </w:p>
        </w:tc>
        <w:tc>
          <w:tcPr>
            <w:tcW w:w="882" w:type="pct"/>
            <w:vAlign w:val="center"/>
          </w:tcPr>
          <w:p w14:paraId="3C4852A0">
            <w:pPr>
              <w:widowControl w:val="0"/>
              <w:jc w:val="right"/>
              <w:rPr>
                <w:rFonts w:ascii="Arial Narrow" w:hAnsi="Arial Narrow"/>
              </w:rPr>
            </w:pPr>
            <w:r>
              <w:rPr>
                <w:rFonts w:ascii="Arial Narrow" w:hAnsi="Arial Narrow" w:eastAsia="等线"/>
                <w:color w:val="000000"/>
                <w:szCs w:val="21"/>
              </w:rPr>
              <w:t xml:space="preserve">7,567,184.24 </w:t>
            </w:r>
          </w:p>
        </w:tc>
        <w:tc>
          <w:tcPr>
            <w:tcW w:w="882" w:type="pct"/>
            <w:vAlign w:val="center"/>
          </w:tcPr>
          <w:p w14:paraId="3D9688AF">
            <w:pPr>
              <w:widowControl w:val="0"/>
              <w:jc w:val="right"/>
              <w:rPr>
                <w:rFonts w:ascii="Arial Narrow" w:hAnsi="Arial Narrow"/>
              </w:rPr>
            </w:pPr>
            <w:r>
              <w:rPr>
                <w:rFonts w:ascii="Arial Narrow" w:hAnsi="Arial Narrow" w:eastAsia="等线"/>
                <w:color w:val="000000"/>
                <w:szCs w:val="21"/>
              </w:rPr>
              <w:t xml:space="preserve">-25,358,042.98 </w:t>
            </w:r>
          </w:p>
        </w:tc>
        <w:tc>
          <w:tcPr>
            <w:tcW w:w="916" w:type="pct"/>
            <w:vAlign w:val="center"/>
          </w:tcPr>
          <w:p w14:paraId="53068321">
            <w:pPr>
              <w:widowControl w:val="0"/>
              <w:jc w:val="right"/>
              <w:rPr>
                <w:rFonts w:ascii="Arial Narrow" w:hAnsi="Arial Narrow"/>
              </w:rPr>
            </w:pPr>
            <w:r>
              <w:rPr>
                <w:rFonts w:ascii="Arial Narrow" w:hAnsi="Arial Narrow" w:eastAsia="等线"/>
                <w:color w:val="000000"/>
                <w:szCs w:val="21"/>
              </w:rPr>
              <w:t xml:space="preserve">-4,184,071,358.19 </w:t>
            </w:r>
          </w:p>
        </w:tc>
      </w:tr>
      <w:tr w14:paraId="0BDC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5" w:type="pct"/>
          </w:tcPr>
          <w:p w14:paraId="53734FD6">
            <w:pPr>
              <w:widowControl w:val="0"/>
              <w:jc w:val="both"/>
              <w:rPr>
                <w:rFonts w:hint="eastAsia"/>
              </w:rPr>
            </w:pPr>
            <w:r>
              <w:rPr>
                <w:rFonts w:hint="eastAsia"/>
                <w:szCs w:val="21"/>
              </w:rPr>
              <w:t>归属于上市公司股东的扣除非经常性损益后的净利润</w:t>
            </w:r>
          </w:p>
        </w:tc>
        <w:tc>
          <w:tcPr>
            <w:tcW w:w="1004" w:type="pct"/>
            <w:vAlign w:val="center"/>
          </w:tcPr>
          <w:p w14:paraId="09CAB98F">
            <w:pPr>
              <w:widowControl w:val="0"/>
              <w:jc w:val="right"/>
              <w:rPr>
                <w:rFonts w:ascii="Arial Narrow" w:hAnsi="Arial Narrow"/>
              </w:rPr>
            </w:pPr>
            <w:r>
              <w:rPr>
                <w:rFonts w:ascii="Arial Narrow" w:hAnsi="Arial Narrow" w:eastAsia="等线"/>
                <w:color w:val="000000"/>
                <w:szCs w:val="21"/>
              </w:rPr>
              <w:t xml:space="preserve">-4,880,629.77 </w:t>
            </w:r>
          </w:p>
        </w:tc>
        <w:tc>
          <w:tcPr>
            <w:tcW w:w="882" w:type="pct"/>
            <w:vAlign w:val="center"/>
          </w:tcPr>
          <w:p w14:paraId="413D5D3E">
            <w:pPr>
              <w:widowControl w:val="0"/>
              <w:jc w:val="right"/>
              <w:rPr>
                <w:rFonts w:ascii="Arial Narrow" w:hAnsi="Arial Narrow"/>
              </w:rPr>
            </w:pPr>
            <w:r>
              <w:rPr>
                <w:rFonts w:ascii="Arial Narrow" w:hAnsi="Arial Narrow" w:eastAsia="等线"/>
                <w:color w:val="000000"/>
                <w:szCs w:val="21"/>
              </w:rPr>
              <w:t xml:space="preserve">-3,835,131.74 </w:t>
            </w:r>
          </w:p>
        </w:tc>
        <w:tc>
          <w:tcPr>
            <w:tcW w:w="882" w:type="pct"/>
            <w:vAlign w:val="center"/>
          </w:tcPr>
          <w:p w14:paraId="6A2EF980">
            <w:pPr>
              <w:widowControl w:val="0"/>
              <w:jc w:val="right"/>
              <w:rPr>
                <w:rFonts w:ascii="Arial Narrow" w:hAnsi="Arial Narrow"/>
              </w:rPr>
            </w:pPr>
            <w:r>
              <w:rPr>
                <w:rFonts w:ascii="Arial Narrow" w:hAnsi="Arial Narrow" w:eastAsia="等线"/>
                <w:color w:val="000000"/>
                <w:szCs w:val="21"/>
              </w:rPr>
              <w:t xml:space="preserve">-40,413,742.52 </w:t>
            </w:r>
          </w:p>
        </w:tc>
        <w:tc>
          <w:tcPr>
            <w:tcW w:w="916" w:type="pct"/>
            <w:vAlign w:val="center"/>
          </w:tcPr>
          <w:p w14:paraId="27268582">
            <w:pPr>
              <w:widowControl w:val="0"/>
              <w:jc w:val="right"/>
              <w:rPr>
                <w:rFonts w:ascii="Arial Narrow" w:hAnsi="Arial Narrow"/>
              </w:rPr>
            </w:pPr>
            <w:r>
              <w:rPr>
                <w:rFonts w:ascii="Arial Narrow" w:hAnsi="Arial Narrow" w:eastAsia="等线"/>
                <w:color w:val="000000"/>
                <w:szCs w:val="21"/>
              </w:rPr>
              <w:t xml:space="preserve">-3,923,358,820.96 </w:t>
            </w:r>
          </w:p>
        </w:tc>
      </w:tr>
      <w:tr w14:paraId="00F2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5" w:type="pct"/>
          </w:tcPr>
          <w:p w14:paraId="287A4744">
            <w:pPr>
              <w:widowControl w:val="0"/>
              <w:jc w:val="both"/>
              <w:rPr>
                <w:rFonts w:hint="eastAsia"/>
              </w:rPr>
            </w:pPr>
            <w:r>
              <w:rPr>
                <w:rFonts w:hint="eastAsia"/>
                <w:szCs w:val="21"/>
              </w:rPr>
              <w:t>经营活动产生的现金流量净额</w:t>
            </w:r>
          </w:p>
        </w:tc>
        <w:tc>
          <w:tcPr>
            <w:tcW w:w="1004" w:type="pct"/>
            <w:vAlign w:val="center"/>
          </w:tcPr>
          <w:p w14:paraId="760CCC66">
            <w:pPr>
              <w:widowControl w:val="0"/>
              <w:jc w:val="right"/>
              <w:rPr>
                <w:rFonts w:ascii="Arial Narrow" w:hAnsi="Arial Narrow"/>
              </w:rPr>
            </w:pPr>
            <w:r>
              <w:rPr>
                <w:rFonts w:ascii="Arial Narrow" w:hAnsi="Arial Narrow" w:eastAsia="等线"/>
                <w:color w:val="000000"/>
                <w:szCs w:val="21"/>
              </w:rPr>
              <w:t xml:space="preserve">-1,228,079,896.58 </w:t>
            </w:r>
          </w:p>
        </w:tc>
        <w:tc>
          <w:tcPr>
            <w:tcW w:w="882" w:type="pct"/>
            <w:vAlign w:val="center"/>
          </w:tcPr>
          <w:p w14:paraId="640A56F2">
            <w:pPr>
              <w:widowControl w:val="0"/>
              <w:jc w:val="right"/>
              <w:rPr>
                <w:rFonts w:ascii="Arial Narrow" w:hAnsi="Arial Narrow"/>
              </w:rPr>
            </w:pPr>
            <w:r>
              <w:rPr>
                <w:rFonts w:ascii="Arial Narrow" w:hAnsi="Arial Narrow" w:eastAsia="等线"/>
                <w:color w:val="000000"/>
                <w:szCs w:val="21"/>
              </w:rPr>
              <w:t xml:space="preserve">-390,276,860.19 </w:t>
            </w:r>
          </w:p>
        </w:tc>
        <w:tc>
          <w:tcPr>
            <w:tcW w:w="882" w:type="pct"/>
            <w:vAlign w:val="center"/>
          </w:tcPr>
          <w:p w14:paraId="7BB65F59">
            <w:pPr>
              <w:widowControl w:val="0"/>
              <w:jc w:val="right"/>
              <w:rPr>
                <w:rFonts w:ascii="Arial Narrow" w:hAnsi="Arial Narrow"/>
              </w:rPr>
            </w:pPr>
            <w:r>
              <w:rPr>
                <w:rFonts w:ascii="Arial Narrow" w:hAnsi="Arial Narrow" w:eastAsia="等线"/>
                <w:color w:val="000000"/>
                <w:szCs w:val="21"/>
              </w:rPr>
              <w:t xml:space="preserve">366,408,779.78 </w:t>
            </w:r>
          </w:p>
        </w:tc>
        <w:tc>
          <w:tcPr>
            <w:tcW w:w="916" w:type="pct"/>
            <w:vAlign w:val="center"/>
          </w:tcPr>
          <w:p w14:paraId="1E74C694">
            <w:pPr>
              <w:widowControl w:val="0"/>
              <w:jc w:val="right"/>
              <w:rPr>
                <w:rFonts w:ascii="Arial Narrow" w:hAnsi="Arial Narrow"/>
              </w:rPr>
            </w:pPr>
            <w:r>
              <w:rPr>
                <w:rFonts w:ascii="Arial Narrow" w:hAnsi="Arial Narrow" w:eastAsia="等线"/>
                <w:color w:val="000000"/>
                <w:szCs w:val="21"/>
              </w:rPr>
              <w:t xml:space="preserve">1,367,496,676.93 </w:t>
            </w:r>
          </w:p>
        </w:tc>
      </w:tr>
    </w:tbl>
    <w:p w14:paraId="02D397D9">
      <w:pPr>
        <w:rPr>
          <w:rFonts w:hint="eastAsia"/>
        </w:rPr>
      </w:pPr>
    </w:p>
    <w:p w14:paraId="0A7513C3">
      <w:pPr>
        <w:rPr>
          <w:rFonts w:ascii="Calibri" w:hAnsi="Calibri" w:cs="Times New Roman"/>
          <w:bCs/>
          <w:kern w:val="2"/>
          <w:szCs w:val="32"/>
        </w:rPr>
      </w:pPr>
      <w:r>
        <w:rPr>
          <w:rFonts w:hint="eastAsia" w:ascii="Calibri" w:hAnsi="Calibri" w:cs="Times New Roman"/>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1277838065"/>
        <w:placeholder>
          <w:docPart w:val="GBC22222222222222222222222222222"/>
        </w:placeholder>
      </w:sdtPr>
      <w:sdtEndPr>
        <w:rPr>
          <w:szCs w:val="21"/>
        </w:rPr>
      </w:sdtEndPr>
      <w:sdtContent>
        <w:p w14:paraId="0552A96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F399741">
      <w:pPr>
        <w:rPr>
          <w:rFonts w:hint="eastAsia"/>
        </w:rPr>
      </w:pPr>
    </w:p>
    <w:p w14:paraId="6F6C7359">
      <w:pPr>
        <w:pStyle w:val="3"/>
        <w:numPr>
          <w:ilvl w:val="1"/>
          <w:numId w:val="4"/>
        </w:numPr>
        <w:ind w:left="498" w:hanging="498" w:hangingChars="236"/>
        <w:rPr>
          <w:u w:val="single"/>
        </w:rPr>
      </w:pPr>
      <w:bookmarkStart w:id="27" w:name="_Hlk24640273"/>
      <w:bookmarkStart w:id="28" w:name="_Hlk152579713"/>
      <w:r>
        <w:rPr>
          <w:rFonts w:hint="eastAsia"/>
        </w:rPr>
        <w:t>非经常性损益项目和金额</w:t>
      </w:r>
    </w:p>
    <w:sdt>
      <w:sdtPr>
        <w:rPr>
          <w:szCs w:val="21"/>
        </w:rPr>
        <w:alias w:val="是否适用：扣除非经常性损益项目和金额[双击切换]"/>
        <w:tag w:val="_GBC_d311c3479a4945ceb1266734910915b6"/>
        <w:id w:val="1620578317"/>
        <w:placeholder>
          <w:docPart w:val="GBC22222222222222222222222222222"/>
        </w:placeholder>
      </w:sdtPr>
      <w:sdtEndPr>
        <w:rPr>
          <w:szCs w:val="21"/>
        </w:rPr>
      </w:sdtEndPr>
      <w:sdtContent>
        <w:p w14:paraId="365304C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9EB9A0B">
      <w:pPr>
        <w:jc w:val="right"/>
        <w:rPr>
          <w:rFonts w:hint="eastAsia"/>
          <w:szCs w:val="21"/>
        </w:rPr>
      </w:pPr>
      <w:r>
        <w:rPr>
          <w:rFonts w:hint="eastAsia"/>
          <w:szCs w:val="21"/>
        </w:rPr>
        <w:t>单位：</w:t>
      </w:r>
      <w:sdt>
        <w:sdtPr>
          <w:rPr>
            <w:rFonts w:hint="eastAsia"/>
            <w:szCs w:val="21"/>
          </w:rPr>
          <w:alias w:val="单位：扣除非经常性损益项目和金额"/>
          <w:tag w:val="_GBC_120471c8e4434d7bbf8c91141121ab39"/>
          <w:id w:val="260583183"/>
          <w:placeholder>
            <w:docPart w:val="GBC22222222222222222222222222222"/>
          </w:placeholder>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lang w:eastAsia="zh-CN"/>
            </w:rPr>
            <w:t>元</w:t>
          </w:r>
        </w:sdtContent>
      </w:sdt>
      <w:r>
        <w:rPr>
          <w:rFonts w:hint="eastAsia"/>
          <w:szCs w:val="21"/>
        </w:rPr>
        <w:t xml:space="preserve">  币种：</w:t>
      </w:r>
      <w:sdt>
        <w:sdtPr>
          <w:rPr>
            <w:rFonts w:hint="eastAsia"/>
            <w:szCs w:val="21"/>
          </w:rPr>
          <w:alias w:val="币种：扣除非经常性损益项目和金额"/>
          <w:tag w:val="_GBC_8d756f42e06c4610a2149f35e1d51a62"/>
          <w:id w:val="-1443838589"/>
          <w:placeholder>
            <w:docPart w:val="GBC22222222222222222222222222222"/>
          </w:placeholder>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lang w:eastAsia="zh-CN"/>
            </w:rPr>
            <w:t>人民币</w:t>
          </w:r>
        </w:sdtContent>
      </w:sdt>
    </w:p>
    <w:bookmarkEnd w:id="27"/>
    <w:bookmarkEnd w:id="28"/>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2"/>
        <w:gridCol w:w="1600"/>
        <w:gridCol w:w="1497"/>
        <w:gridCol w:w="1450"/>
      </w:tblGrid>
      <w:tr w14:paraId="0F76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51a5b1d22614c45b1fbba1d8acc3cbb"/>
            <w:id w:val="-1998488025"/>
          </w:sdtPr>
          <w:sdtContent>
            <w:tc>
              <w:tcPr>
                <w:tcW w:w="2488" w:type="pct"/>
                <w:vAlign w:val="center"/>
              </w:tcPr>
              <w:p w14:paraId="6F03B893">
                <w:pPr>
                  <w:pStyle w:val="44"/>
                  <w:ind w:firstLine="0" w:firstLineChars="0"/>
                  <w:jc w:val="center"/>
                  <w:rPr>
                    <w:rFonts w:hint="eastAsia" w:ascii="宋体" w:hAnsi="宋体"/>
                    <w:szCs w:val="21"/>
                  </w:rPr>
                </w:pPr>
                <w:bookmarkStart w:id="29" w:name="_Hlk89096484"/>
                <w:bookmarkStart w:id="30" w:name="_Hlk41379873"/>
                <w:r>
                  <w:rPr>
                    <w:rFonts w:hint="eastAsia" w:ascii="宋体" w:hAnsi="宋体"/>
                    <w:szCs w:val="21"/>
                  </w:rPr>
                  <w:t>非经常性损益项目</w:t>
                </w:r>
              </w:p>
            </w:tc>
          </w:sdtContent>
        </w:sdt>
        <w:sdt>
          <w:sdtPr>
            <w:tag w:val="_PLD_75a853b22038430db055de446a19d683"/>
            <w:id w:val="-276408712"/>
          </w:sdtPr>
          <w:sdtContent>
            <w:tc>
              <w:tcPr>
                <w:tcW w:w="884" w:type="pct"/>
                <w:vAlign w:val="center"/>
              </w:tcPr>
              <w:p w14:paraId="7CCCD8A2">
                <w:pPr>
                  <w:pStyle w:val="44"/>
                  <w:ind w:firstLine="0" w:firstLineChars="0"/>
                  <w:jc w:val="center"/>
                  <w:rPr>
                    <w:rFonts w:hint="eastAsia" w:ascii="宋体" w:hAnsi="宋体"/>
                    <w:szCs w:val="21"/>
                  </w:rPr>
                </w:pPr>
                <w:r>
                  <w:rPr>
                    <w:rFonts w:hint="eastAsia" w:ascii="宋体" w:hAnsi="宋体"/>
                    <w:szCs w:val="21"/>
                  </w:rPr>
                  <w:t>2024年金额</w:t>
                </w:r>
              </w:p>
            </w:tc>
          </w:sdtContent>
        </w:sdt>
        <w:sdt>
          <w:sdtPr>
            <w:tag w:val="_PLD_7178520950424696adfe1eb7e010035c"/>
            <w:id w:val="749772660"/>
          </w:sdtPr>
          <w:sdtContent>
            <w:tc>
              <w:tcPr>
                <w:tcW w:w="827" w:type="pct"/>
                <w:vAlign w:val="center"/>
              </w:tcPr>
              <w:p w14:paraId="599FBB28">
                <w:pPr>
                  <w:pStyle w:val="44"/>
                  <w:ind w:firstLine="0" w:firstLineChars="0"/>
                  <w:jc w:val="center"/>
                  <w:rPr>
                    <w:rFonts w:hint="eastAsia" w:ascii="宋体" w:hAnsi="宋体"/>
                    <w:szCs w:val="21"/>
                  </w:rPr>
                </w:pPr>
                <w:r>
                  <w:rPr>
                    <w:rFonts w:hint="eastAsia" w:ascii="宋体" w:hAnsi="宋体"/>
                    <w:szCs w:val="21"/>
                  </w:rPr>
                  <w:t>2023年金额</w:t>
                </w:r>
              </w:p>
            </w:tc>
          </w:sdtContent>
        </w:sdt>
        <w:sdt>
          <w:sdtPr>
            <w:tag w:val="_PLD_870e9453ef9d4928968c60216a29f211"/>
            <w:id w:val="-1826503543"/>
          </w:sdtPr>
          <w:sdtContent>
            <w:tc>
              <w:tcPr>
                <w:tcW w:w="801" w:type="pct"/>
                <w:vAlign w:val="center"/>
              </w:tcPr>
              <w:p w14:paraId="5FDBD48E">
                <w:pPr>
                  <w:pStyle w:val="44"/>
                  <w:ind w:firstLine="0" w:firstLineChars="0"/>
                  <w:jc w:val="center"/>
                  <w:rPr>
                    <w:rFonts w:hint="eastAsia" w:ascii="宋体" w:hAnsi="宋体"/>
                    <w:szCs w:val="21"/>
                  </w:rPr>
                </w:pPr>
                <w:r>
                  <w:rPr>
                    <w:rFonts w:hint="eastAsia" w:ascii="宋体" w:hAnsi="宋体"/>
                    <w:szCs w:val="21"/>
                  </w:rPr>
                  <w:t>2022年金额</w:t>
                </w:r>
              </w:p>
            </w:tc>
          </w:sdtContent>
        </w:sdt>
      </w:tr>
      <w:tr w14:paraId="00E8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46DF0638">
            <w:pPr>
              <w:pStyle w:val="44"/>
              <w:ind w:firstLine="0" w:firstLineChars="0"/>
              <w:jc w:val="left"/>
              <w:rPr>
                <w:szCs w:val="21"/>
              </w:rPr>
            </w:pPr>
            <w:r>
              <w:rPr>
                <w:szCs w:val="21"/>
              </w:rPr>
              <w:t>非流动</w:t>
            </w:r>
            <w:r>
              <w:rPr>
                <w:rFonts w:hint="eastAsia"/>
                <w:szCs w:val="21"/>
              </w:rPr>
              <w:t>性</w:t>
            </w:r>
            <w:r>
              <w:rPr>
                <w:szCs w:val="21"/>
              </w:rPr>
              <w:t>资产处置损益</w:t>
            </w:r>
            <w:r>
              <w:rPr>
                <w:rFonts w:hint="eastAsia"/>
                <w:szCs w:val="21"/>
              </w:rPr>
              <w:t>，包括已计提资产减值准备的冲销部分</w:t>
            </w:r>
          </w:p>
        </w:tc>
        <w:tc>
          <w:tcPr>
            <w:tcW w:w="884" w:type="pct"/>
            <w:vAlign w:val="center"/>
          </w:tcPr>
          <w:p w14:paraId="74FE7C24">
            <w:pPr>
              <w:widowControl w:val="0"/>
              <w:jc w:val="right"/>
              <w:rPr>
                <w:rFonts w:hint="eastAsia"/>
                <w:szCs w:val="21"/>
              </w:rPr>
            </w:pPr>
            <w:r>
              <w:rPr>
                <w:rFonts w:ascii="Arial Narrow" w:hAnsi="Arial Narrow" w:eastAsia="等线"/>
                <w:color w:val="000000"/>
                <w:szCs w:val="21"/>
              </w:rPr>
              <w:t xml:space="preserve">347,104.71 </w:t>
            </w:r>
          </w:p>
        </w:tc>
        <w:tc>
          <w:tcPr>
            <w:tcW w:w="827" w:type="pct"/>
            <w:vAlign w:val="center"/>
          </w:tcPr>
          <w:p w14:paraId="61ED5D33">
            <w:pPr>
              <w:widowControl w:val="0"/>
              <w:jc w:val="right"/>
              <w:rPr>
                <w:rFonts w:hint="eastAsia"/>
                <w:szCs w:val="21"/>
              </w:rPr>
            </w:pPr>
            <w:r>
              <w:rPr>
                <w:rFonts w:ascii="Arial Narrow" w:hAnsi="Arial Narrow" w:eastAsia="等线"/>
                <w:color w:val="000000"/>
                <w:szCs w:val="21"/>
              </w:rPr>
              <w:t xml:space="preserve">86,087,245.91 </w:t>
            </w:r>
          </w:p>
        </w:tc>
        <w:tc>
          <w:tcPr>
            <w:tcW w:w="801" w:type="pct"/>
            <w:vAlign w:val="center"/>
          </w:tcPr>
          <w:p w14:paraId="6A1D4B8F">
            <w:pPr>
              <w:widowControl w:val="0"/>
              <w:jc w:val="right"/>
              <w:rPr>
                <w:rFonts w:hint="eastAsia"/>
                <w:szCs w:val="21"/>
              </w:rPr>
            </w:pPr>
            <w:r>
              <w:rPr>
                <w:rFonts w:ascii="Arial Narrow" w:hAnsi="Arial Narrow" w:eastAsia="等线"/>
                <w:color w:val="000000"/>
                <w:szCs w:val="21"/>
              </w:rPr>
              <w:t xml:space="preserve">34,721,045.95 </w:t>
            </w:r>
          </w:p>
        </w:tc>
      </w:tr>
      <w:tr w14:paraId="1167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790B258D">
            <w:pPr>
              <w:pStyle w:val="44"/>
              <w:ind w:firstLine="0" w:firstLineChars="0"/>
              <w:jc w:val="left"/>
              <w:rPr>
                <w:szCs w:val="21"/>
              </w:rPr>
            </w:pPr>
            <w:r>
              <w:rPr>
                <w:szCs w:val="21"/>
              </w:rPr>
              <w:t>计入当期损益的政府补助</w:t>
            </w:r>
            <w:r>
              <w:rPr>
                <w:rFonts w:hint="eastAsia"/>
                <w:szCs w:val="21"/>
              </w:rPr>
              <w:t>，但与公司正常经营业务密切相关、符合国家政策规定、按照确定的标准享有、对公司损益产生持续影响的政府补助除外</w:t>
            </w:r>
          </w:p>
        </w:tc>
        <w:tc>
          <w:tcPr>
            <w:tcW w:w="884" w:type="pct"/>
            <w:vAlign w:val="center"/>
          </w:tcPr>
          <w:p w14:paraId="3BAC9BCB">
            <w:pPr>
              <w:widowControl w:val="0"/>
              <w:jc w:val="right"/>
              <w:rPr>
                <w:rFonts w:hint="eastAsia"/>
                <w:szCs w:val="21"/>
                <w:highlight w:val="cyan"/>
              </w:rPr>
            </w:pPr>
            <w:r>
              <w:rPr>
                <w:rFonts w:ascii="Arial Narrow" w:hAnsi="Arial Narrow" w:eastAsia="等线"/>
                <w:color w:val="000000"/>
                <w:szCs w:val="21"/>
              </w:rPr>
              <w:t xml:space="preserve">15,241,686.54 </w:t>
            </w:r>
          </w:p>
        </w:tc>
        <w:tc>
          <w:tcPr>
            <w:tcW w:w="827" w:type="pct"/>
            <w:vAlign w:val="center"/>
          </w:tcPr>
          <w:p w14:paraId="67E18CA4">
            <w:pPr>
              <w:widowControl w:val="0"/>
              <w:jc w:val="right"/>
              <w:rPr>
                <w:rFonts w:hint="eastAsia"/>
                <w:szCs w:val="21"/>
              </w:rPr>
            </w:pPr>
            <w:r>
              <w:rPr>
                <w:rFonts w:ascii="Arial Narrow" w:hAnsi="Arial Narrow" w:eastAsia="等线"/>
                <w:color w:val="000000"/>
                <w:szCs w:val="21"/>
              </w:rPr>
              <w:t xml:space="preserve">85,377,458.38 </w:t>
            </w:r>
          </w:p>
        </w:tc>
        <w:tc>
          <w:tcPr>
            <w:tcW w:w="801" w:type="pct"/>
            <w:vAlign w:val="center"/>
          </w:tcPr>
          <w:p w14:paraId="52DD5DDF">
            <w:pPr>
              <w:widowControl w:val="0"/>
              <w:jc w:val="right"/>
              <w:rPr>
                <w:rFonts w:hint="eastAsia"/>
                <w:szCs w:val="21"/>
              </w:rPr>
            </w:pPr>
            <w:r>
              <w:rPr>
                <w:rFonts w:ascii="Arial Narrow" w:hAnsi="Arial Narrow" w:eastAsia="等线"/>
                <w:color w:val="000000"/>
                <w:szCs w:val="21"/>
              </w:rPr>
              <w:t xml:space="preserve">103,461,868.87 </w:t>
            </w:r>
          </w:p>
        </w:tc>
      </w:tr>
      <w:tr w14:paraId="38CE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3BB31D0A">
            <w:pPr>
              <w:pStyle w:val="44"/>
              <w:ind w:firstLine="0" w:firstLineChars="0"/>
              <w:jc w:val="left"/>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884" w:type="pct"/>
            <w:vAlign w:val="center"/>
          </w:tcPr>
          <w:p w14:paraId="616DCA0B">
            <w:pPr>
              <w:widowControl w:val="0"/>
              <w:jc w:val="right"/>
              <w:rPr>
                <w:rFonts w:hint="eastAsia"/>
                <w:szCs w:val="21"/>
              </w:rPr>
            </w:pPr>
          </w:p>
        </w:tc>
        <w:tc>
          <w:tcPr>
            <w:tcW w:w="827" w:type="pct"/>
            <w:vAlign w:val="center"/>
          </w:tcPr>
          <w:p w14:paraId="4BECF7CA">
            <w:pPr>
              <w:widowControl w:val="0"/>
              <w:jc w:val="right"/>
              <w:rPr>
                <w:rFonts w:hint="eastAsia"/>
                <w:szCs w:val="21"/>
              </w:rPr>
            </w:pPr>
            <w:r>
              <w:rPr>
                <w:rFonts w:ascii="Arial Narrow" w:hAnsi="Arial Narrow" w:eastAsia="等线"/>
                <w:color w:val="000000"/>
                <w:szCs w:val="21"/>
              </w:rPr>
              <w:t xml:space="preserve">4,870,927.58 </w:t>
            </w:r>
          </w:p>
        </w:tc>
        <w:tc>
          <w:tcPr>
            <w:tcW w:w="801" w:type="pct"/>
            <w:vAlign w:val="center"/>
          </w:tcPr>
          <w:p w14:paraId="5CEADA85">
            <w:pPr>
              <w:widowControl w:val="0"/>
              <w:jc w:val="right"/>
              <w:rPr>
                <w:rFonts w:hint="eastAsia"/>
                <w:szCs w:val="21"/>
              </w:rPr>
            </w:pPr>
            <w:r>
              <w:rPr>
                <w:rFonts w:ascii="Arial Narrow" w:hAnsi="Arial Narrow" w:eastAsia="等线"/>
                <w:color w:val="000000"/>
                <w:szCs w:val="21"/>
              </w:rPr>
              <w:t xml:space="preserve">54,674,512.45 </w:t>
            </w:r>
          </w:p>
        </w:tc>
      </w:tr>
      <w:tr w14:paraId="5061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555EAA10">
            <w:pPr>
              <w:pStyle w:val="44"/>
              <w:ind w:firstLine="0" w:firstLineChars="0"/>
              <w:jc w:val="left"/>
            </w:pPr>
            <w:r>
              <w:rPr>
                <w:rFonts w:hint="eastAsia"/>
              </w:rPr>
              <w:t>单独进行减值测试的应收款项减值准备转回</w:t>
            </w:r>
          </w:p>
        </w:tc>
        <w:tc>
          <w:tcPr>
            <w:tcW w:w="884" w:type="pct"/>
            <w:vAlign w:val="center"/>
          </w:tcPr>
          <w:p w14:paraId="2BAF173C">
            <w:pPr>
              <w:widowControl w:val="0"/>
              <w:jc w:val="right"/>
              <w:rPr>
                <w:rFonts w:hint="eastAsia"/>
                <w:szCs w:val="21"/>
              </w:rPr>
            </w:pPr>
            <w:r>
              <w:rPr>
                <w:rFonts w:ascii="Arial Narrow" w:hAnsi="Arial Narrow" w:eastAsia="等线"/>
                <w:color w:val="000000"/>
                <w:szCs w:val="21"/>
              </w:rPr>
              <w:t xml:space="preserve">2,607,444.66 </w:t>
            </w:r>
          </w:p>
        </w:tc>
        <w:tc>
          <w:tcPr>
            <w:tcW w:w="827" w:type="pct"/>
            <w:vAlign w:val="center"/>
          </w:tcPr>
          <w:p w14:paraId="771B1017">
            <w:pPr>
              <w:widowControl w:val="0"/>
              <w:jc w:val="right"/>
              <w:rPr>
                <w:rFonts w:hint="eastAsia"/>
                <w:szCs w:val="21"/>
              </w:rPr>
            </w:pPr>
            <w:r>
              <w:rPr>
                <w:rFonts w:ascii="Arial Narrow" w:hAnsi="Arial Narrow" w:eastAsia="等线"/>
                <w:color w:val="000000"/>
                <w:szCs w:val="21"/>
              </w:rPr>
              <w:t xml:space="preserve">4,671,787.41 </w:t>
            </w:r>
          </w:p>
        </w:tc>
        <w:tc>
          <w:tcPr>
            <w:tcW w:w="801" w:type="pct"/>
            <w:vAlign w:val="center"/>
          </w:tcPr>
          <w:p w14:paraId="64454481">
            <w:pPr>
              <w:widowControl w:val="0"/>
              <w:jc w:val="right"/>
              <w:rPr>
                <w:rFonts w:hint="eastAsia"/>
                <w:szCs w:val="21"/>
              </w:rPr>
            </w:pPr>
            <w:r>
              <w:rPr>
                <w:rFonts w:ascii="Arial Narrow" w:hAnsi="Arial Narrow" w:eastAsia="等线"/>
                <w:color w:val="000000"/>
                <w:szCs w:val="21"/>
              </w:rPr>
              <w:t xml:space="preserve">33,785,280.34 </w:t>
            </w:r>
          </w:p>
        </w:tc>
      </w:tr>
      <w:tr w14:paraId="7DC2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245932BC">
            <w:pPr>
              <w:pStyle w:val="44"/>
              <w:ind w:firstLine="0" w:firstLineChars="0"/>
              <w:jc w:val="left"/>
              <w:rPr>
                <w:szCs w:val="21"/>
              </w:rPr>
            </w:pPr>
            <w:r>
              <w:rPr>
                <w:szCs w:val="21"/>
              </w:rPr>
              <w:t>债务重组损益</w:t>
            </w:r>
          </w:p>
        </w:tc>
        <w:tc>
          <w:tcPr>
            <w:tcW w:w="884" w:type="pct"/>
            <w:vAlign w:val="center"/>
          </w:tcPr>
          <w:p w14:paraId="0CFC1085">
            <w:pPr>
              <w:widowControl w:val="0"/>
              <w:jc w:val="right"/>
              <w:rPr>
                <w:rFonts w:hint="eastAsia"/>
                <w:szCs w:val="21"/>
              </w:rPr>
            </w:pPr>
          </w:p>
        </w:tc>
        <w:tc>
          <w:tcPr>
            <w:tcW w:w="827" w:type="pct"/>
            <w:vAlign w:val="center"/>
          </w:tcPr>
          <w:p w14:paraId="3D1276F6">
            <w:pPr>
              <w:widowControl w:val="0"/>
              <w:jc w:val="right"/>
              <w:rPr>
                <w:rFonts w:hint="eastAsia"/>
                <w:szCs w:val="21"/>
              </w:rPr>
            </w:pPr>
          </w:p>
        </w:tc>
        <w:tc>
          <w:tcPr>
            <w:tcW w:w="801" w:type="pct"/>
            <w:vAlign w:val="center"/>
          </w:tcPr>
          <w:p w14:paraId="086AA180">
            <w:pPr>
              <w:widowControl w:val="0"/>
              <w:jc w:val="right"/>
              <w:rPr>
                <w:rFonts w:hint="eastAsia"/>
                <w:szCs w:val="21"/>
              </w:rPr>
            </w:pPr>
            <w:r>
              <w:rPr>
                <w:rFonts w:ascii="Arial Narrow" w:hAnsi="Arial Narrow" w:eastAsia="等线"/>
                <w:color w:val="000000"/>
                <w:szCs w:val="21"/>
              </w:rPr>
              <w:t xml:space="preserve">10,606,558.33 </w:t>
            </w:r>
          </w:p>
        </w:tc>
      </w:tr>
      <w:tr w14:paraId="5142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488" w:type="pct"/>
          </w:tcPr>
          <w:p w14:paraId="0FBF5A61">
            <w:pPr>
              <w:pStyle w:val="44"/>
              <w:ind w:firstLine="0" w:firstLineChars="0"/>
              <w:jc w:val="left"/>
              <w:rPr>
                <w:szCs w:val="21"/>
              </w:rPr>
            </w:pPr>
            <w:r>
              <w:rPr>
                <w:szCs w:val="21"/>
              </w:rPr>
              <w:t>与公司正常经营业务无关的或有事项产生的损益</w:t>
            </w:r>
          </w:p>
        </w:tc>
        <w:tc>
          <w:tcPr>
            <w:tcW w:w="884" w:type="pct"/>
            <w:vAlign w:val="center"/>
          </w:tcPr>
          <w:p w14:paraId="3AFAE8A5">
            <w:pPr>
              <w:widowControl w:val="0"/>
              <w:jc w:val="right"/>
              <w:rPr>
                <w:rFonts w:hint="eastAsia"/>
                <w:szCs w:val="21"/>
              </w:rPr>
            </w:pPr>
            <w:r>
              <w:rPr>
                <w:rFonts w:ascii="Arial Narrow" w:hAnsi="Arial Narrow" w:eastAsia="等线"/>
                <w:color w:val="000000"/>
                <w:szCs w:val="21"/>
              </w:rPr>
              <w:t xml:space="preserve">-200,000,000.00 </w:t>
            </w:r>
          </w:p>
        </w:tc>
        <w:tc>
          <w:tcPr>
            <w:tcW w:w="827" w:type="pct"/>
            <w:vAlign w:val="center"/>
          </w:tcPr>
          <w:p w14:paraId="46BBDEA1">
            <w:pPr>
              <w:widowControl w:val="0"/>
              <w:jc w:val="right"/>
              <w:rPr>
                <w:rFonts w:hint="eastAsia"/>
                <w:szCs w:val="21"/>
              </w:rPr>
            </w:pPr>
          </w:p>
        </w:tc>
        <w:tc>
          <w:tcPr>
            <w:tcW w:w="801" w:type="pct"/>
            <w:vAlign w:val="center"/>
          </w:tcPr>
          <w:p w14:paraId="3058946A">
            <w:pPr>
              <w:widowControl w:val="0"/>
              <w:jc w:val="right"/>
              <w:rPr>
                <w:rFonts w:hint="eastAsia"/>
                <w:szCs w:val="21"/>
              </w:rPr>
            </w:pPr>
          </w:p>
        </w:tc>
      </w:tr>
      <w:tr w14:paraId="1605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2D3F29BA">
            <w:pPr>
              <w:pStyle w:val="44"/>
              <w:ind w:firstLine="0" w:firstLineChars="0"/>
              <w:jc w:val="left"/>
              <w:rPr>
                <w:szCs w:val="21"/>
              </w:rPr>
            </w:pPr>
            <w:r>
              <w:rPr>
                <w:szCs w:val="21"/>
              </w:rPr>
              <w:t>除上述各项之外的其他营业外收入和支出</w:t>
            </w:r>
          </w:p>
        </w:tc>
        <w:tc>
          <w:tcPr>
            <w:tcW w:w="884" w:type="pct"/>
            <w:vAlign w:val="center"/>
          </w:tcPr>
          <w:p w14:paraId="6B3096C4">
            <w:pPr>
              <w:widowControl w:val="0"/>
              <w:jc w:val="right"/>
              <w:rPr>
                <w:rFonts w:hint="eastAsia"/>
                <w:szCs w:val="21"/>
                <w:highlight w:val="cyan"/>
              </w:rPr>
            </w:pPr>
            <w:r>
              <w:rPr>
                <w:rFonts w:ascii="Arial Narrow" w:hAnsi="Arial Narrow" w:eastAsia="等线"/>
                <w:color w:val="000000"/>
                <w:szCs w:val="21"/>
              </w:rPr>
              <w:t xml:space="preserve">-104,713,120.30 </w:t>
            </w:r>
          </w:p>
        </w:tc>
        <w:tc>
          <w:tcPr>
            <w:tcW w:w="827" w:type="pct"/>
            <w:vAlign w:val="center"/>
          </w:tcPr>
          <w:p w14:paraId="4214C102">
            <w:pPr>
              <w:widowControl w:val="0"/>
              <w:jc w:val="right"/>
              <w:rPr>
                <w:rFonts w:hint="eastAsia"/>
                <w:szCs w:val="21"/>
              </w:rPr>
            </w:pPr>
            <w:r>
              <w:rPr>
                <w:rFonts w:ascii="Arial Narrow" w:hAnsi="Arial Narrow" w:eastAsia="等线"/>
                <w:color w:val="000000"/>
                <w:szCs w:val="21"/>
              </w:rPr>
              <w:t xml:space="preserve">1,099,145.83 </w:t>
            </w:r>
          </w:p>
        </w:tc>
        <w:tc>
          <w:tcPr>
            <w:tcW w:w="801" w:type="pct"/>
            <w:vAlign w:val="center"/>
          </w:tcPr>
          <w:p w14:paraId="313D4178">
            <w:pPr>
              <w:widowControl w:val="0"/>
              <w:jc w:val="right"/>
              <w:rPr>
                <w:rFonts w:hint="eastAsia"/>
                <w:szCs w:val="21"/>
              </w:rPr>
            </w:pPr>
            <w:r>
              <w:rPr>
                <w:rFonts w:ascii="Arial Narrow" w:hAnsi="Arial Narrow" w:eastAsia="等线"/>
                <w:color w:val="000000"/>
                <w:szCs w:val="21"/>
              </w:rPr>
              <w:t xml:space="preserve">-25,589,812.43 </w:t>
            </w:r>
          </w:p>
        </w:tc>
      </w:tr>
      <w:tr w14:paraId="71C4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684C11C8">
            <w:pPr>
              <w:pStyle w:val="44"/>
              <w:ind w:firstLine="0" w:firstLineChars="0"/>
              <w:jc w:val="left"/>
              <w:rPr>
                <w:szCs w:val="21"/>
              </w:rPr>
            </w:pPr>
            <w:r>
              <w:rPr>
                <w:szCs w:val="21"/>
              </w:rPr>
              <w:t>其他符合非经常性损益定义的损益项目</w:t>
            </w:r>
          </w:p>
        </w:tc>
        <w:tc>
          <w:tcPr>
            <w:tcW w:w="884" w:type="pct"/>
            <w:vAlign w:val="center"/>
          </w:tcPr>
          <w:p w14:paraId="49530FC1">
            <w:pPr>
              <w:widowControl w:val="0"/>
              <w:jc w:val="right"/>
              <w:rPr>
                <w:rFonts w:hint="eastAsia"/>
                <w:szCs w:val="21"/>
                <w:highlight w:val="cyan"/>
              </w:rPr>
            </w:pPr>
            <w:r>
              <w:rPr>
                <w:rFonts w:ascii="Arial Narrow" w:hAnsi="Arial Narrow" w:eastAsia="等线"/>
                <w:color w:val="000000"/>
                <w:szCs w:val="21"/>
              </w:rPr>
              <w:t xml:space="preserve">408,466.94 </w:t>
            </w:r>
          </w:p>
        </w:tc>
        <w:tc>
          <w:tcPr>
            <w:tcW w:w="827" w:type="pct"/>
            <w:vAlign w:val="center"/>
          </w:tcPr>
          <w:p w14:paraId="129040BF">
            <w:pPr>
              <w:widowControl w:val="0"/>
              <w:jc w:val="right"/>
              <w:rPr>
                <w:rFonts w:hint="eastAsia"/>
                <w:szCs w:val="21"/>
              </w:rPr>
            </w:pPr>
            <w:r>
              <w:rPr>
                <w:rFonts w:ascii="Arial Narrow" w:hAnsi="Arial Narrow" w:eastAsia="等线"/>
                <w:color w:val="000000"/>
                <w:szCs w:val="21"/>
              </w:rPr>
              <w:t xml:space="preserve">262,837.31 </w:t>
            </w:r>
          </w:p>
        </w:tc>
        <w:tc>
          <w:tcPr>
            <w:tcW w:w="801" w:type="pct"/>
            <w:vAlign w:val="center"/>
          </w:tcPr>
          <w:p w14:paraId="4310ACDD">
            <w:pPr>
              <w:widowControl w:val="0"/>
              <w:jc w:val="right"/>
              <w:rPr>
                <w:rFonts w:hint="eastAsia"/>
                <w:szCs w:val="21"/>
              </w:rPr>
            </w:pPr>
            <w:r>
              <w:rPr>
                <w:rFonts w:ascii="Arial Narrow" w:hAnsi="Arial Narrow" w:eastAsia="等线"/>
                <w:color w:val="000000"/>
                <w:szCs w:val="21"/>
              </w:rPr>
              <w:t xml:space="preserve">139,507.80 </w:t>
            </w:r>
          </w:p>
        </w:tc>
      </w:tr>
      <w:tr w14:paraId="6DBC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17998D75">
            <w:pPr>
              <w:pStyle w:val="44"/>
              <w:ind w:firstLine="0" w:firstLineChars="0"/>
              <w:jc w:val="left"/>
              <w:rPr>
                <w:szCs w:val="21"/>
              </w:rPr>
            </w:pPr>
            <w:r>
              <w:rPr>
                <w:rFonts w:hint="eastAsia"/>
              </w:rPr>
              <w:t>减：</w:t>
            </w:r>
            <w:r>
              <w:rPr>
                <w:szCs w:val="21"/>
              </w:rPr>
              <w:t>所得税影响额</w:t>
            </w:r>
          </w:p>
        </w:tc>
        <w:tc>
          <w:tcPr>
            <w:tcW w:w="884" w:type="pct"/>
            <w:vAlign w:val="center"/>
          </w:tcPr>
          <w:p w14:paraId="78D47846">
            <w:pPr>
              <w:widowControl w:val="0"/>
              <w:jc w:val="right"/>
              <w:rPr>
                <w:rFonts w:hint="eastAsia"/>
                <w:szCs w:val="21"/>
                <w:highlight w:val="cyan"/>
              </w:rPr>
            </w:pPr>
            <w:r>
              <w:rPr>
                <w:rFonts w:ascii="Arial Narrow" w:hAnsi="Arial Narrow" w:eastAsia="等线"/>
                <w:color w:val="000000"/>
                <w:szCs w:val="21"/>
              </w:rPr>
              <w:t xml:space="preserve">1,755,764.43 </w:t>
            </w:r>
          </w:p>
        </w:tc>
        <w:tc>
          <w:tcPr>
            <w:tcW w:w="827" w:type="pct"/>
            <w:vAlign w:val="center"/>
          </w:tcPr>
          <w:p w14:paraId="0A170D2B">
            <w:pPr>
              <w:widowControl w:val="0"/>
              <w:jc w:val="right"/>
              <w:rPr>
                <w:rFonts w:hint="eastAsia"/>
                <w:szCs w:val="21"/>
              </w:rPr>
            </w:pPr>
            <w:r>
              <w:rPr>
                <w:rFonts w:ascii="Arial Narrow" w:hAnsi="Arial Narrow" w:eastAsia="等线"/>
                <w:color w:val="000000"/>
                <w:szCs w:val="21"/>
              </w:rPr>
              <w:t xml:space="preserve">-18,810,678.09 </w:t>
            </w:r>
          </w:p>
        </w:tc>
        <w:tc>
          <w:tcPr>
            <w:tcW w:w="801" w:type="pct"/>
            <w:vAlign w:val="center"/>
          </w:tcPr>
          <w:p w14:paraId="3160E84A">
            <w:pPr>
              <w:widowControl w:val="0"/>
              <w:jc w:val="right"/>
              <w:rPr>
                <w:rFonts w:hint="eastAsia"/>
                <w:szCs w:val="21"/>
              </w:rPr>
            </w:pPr>
            <w:r>
              <w:rPr>
                <w:rFonts w:ascii="Arial Narrow" w:hAnsi="Arial Narrow" w:eastAsia="等线"/>
                <w:color w:val="000000"/>
                <w:szCs w:val="21"/>
              </w:rPr>
              <w:t xml:space="preserve">-66,883,785.88 </w:t>
            </w:r>
          </w:p>
        </w:tc>
      </w:tr>
      <w:tr w14:paraId="680C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tcPr>
          <w:p w14:paraId="65EAA4A2">
            <w:pPr>
              <w:pStyle w:val="44"/>
              <w:jc w:val="left"/>
              <w:rPr>
                <w:szCs w:val="21"/>
              </w:rPr>
            </w:pPr>
            <w:r>
              <w:rPr>
                <w:szCs w:val="21"/>
              </w:rPr>
              <w:t>少数股东权益影响额</w:t>
            </w:r>
            <w:r>
              <w:rPr>
                <w:rFonts w:hint="eastAsia"/>
                <w:szCs w:val="21"/>
              </w:rPr>
              <w:t>（税后）</w:t>
            </w:r>
          </w:p>
        </w:tc>
        <w:tc>
          <w:tcPr>
            <w:tcW w:w="884" w:type="pct"/>
            <w:vAlign w:val="center"/>
          </w:tcPr>
          <w:p w14:paraId="75BAB5BD">
            <w:pPr>
              <w:widowControl w:val="0"/>
              <w:jc w:val="right"/>
              <w:rPr>
                <w:rFonts w:hint="eastAsia"/>
                <w:szCs w:val="21"/>
                <w:highlight w:val="cyan"/>
              </w:rPr>
            </w:pPr>
            <w:r>
              <w:rPr>
                <w:rFonts w:ascii="Arial Narrow" w:hAnsi="Arial Narrow" w:eastAsia="等线"/>
                <w:color w:val="000000"/>
                <w:szCs w:val="21"/>
              </w:rPr>
              <w:t xml:space="preserve">-32,094,714.85 </w:t>
            </w:r>
          </w:p>
        </w:tc>
        <w:tc>
          <w:tcPr>
            <w:tcW w:w="827" w:type="pct"/>
            <w:vAlign w:val="center"/>
          </w:tcPr>
          <w:p w14:paraId="16DAFA2A">
            <w:pPr>
              <w:widowControl w:val="0"/>
              <w:jc w:val="right"/>
              <w:rPr>
                <w:rFonts w:hint="eastAsia"/>
                <w:szCs w:val="21"/>
              </w:rPr>
            </w:pPr>
            <w:r>
              <w:rPr>
                <w:rFonts w:ascii="Arial Narrow" w:hAnsi="Arial Narrow" w:eastAsia="等线"/>
                <w:color w:val="000000"/>
                <w:szCs w:val="21"/>
              </w:rPr>
              <w:t xml:space="preserve">636,411.26 </w:t>
            </w:r>
          </w:p>
        </w:tc>
        <w:tc>
          <w:tcPr>
            <w:tcW w:w="801" w:type="pct"/>
            <w:vAlign w:val="center"/>
          </w:tcPr>
          <w:p w14:paraId="69BBE350">
            <w:pPr>
              <w:widowControl w:val="0"/>
              <w:jc w:val="right"/>
              <w:rPr>
                <w:rFonts w:hint="eastAsia"/>
                <w:szCs w:val="21"/>
              </w:rPr>
            </w:pPr>
            <w:r>
              <w:rPr>
                <w:rFonts w:ascii="Arial Narrow" w:hAnsi="Arial Narrow" w:eastAsia="等线"/>
                <w:color w:val="000000"/>
                <w:szCs w:val="21"/>
              </w:rPr>
              <w:t xml:space="preserve">1,967,622.72 </w:t>
            </w:r>
          </w:p>
        </w:tc>
      </w:tr>
      <w:tr w14:paraId="1689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pct"/>
            <w:vAlign w:val="center"/>
          </w:tcPr>
          <w:p w14:paraId="3FE0D15E">
            <w:pPr>
              <w:pStyle w:val="44"/>
              <w:ind w:firstLine="0" w:firstLineChars="0"/>
              <w:jc w:val="center"/>
              <w:rPr>
                <w:szCs w:val="21"/>
              </w:rPr>
            </w:pPr>
            <w:r>
              <w:rPr>
                <w:szCs w:val="21"/>
              </w:rPr>
              <w:t>合计</w:t>
            </w:r>
          </w:p>
        </w:tc>
        <w:tc>
          <w:tcPr>
            <w:tcW w:w="884" w:type="pct"/>
            <w:vAlign w:val="center"/>
          </w:tcPr>
          <w:p w14:paraId="2ECCE18F">
            <w:pPr>
              <w:widowControl w:val="0"/>
              <w:jc w:val="right"/>
              <w:rPr>
                <w:rFonts w:hint="eastAsia"/>
                <w:szCs w:val="21"/>
                <w:highlight w:val="cyan"/>
              </w:rPr>
            </w:pPr>
            <w:r>
              <w:rPr>
                <w:rFonts w:ascii="Arial Narrow" w:hAnsi="Arial Narrow" w:eastAsia="等线"/>
                <w:color w:val="000000"/>
                <w:szCs w:val="21"/>
              </w:rPr>
              <w:t xml:space="preserve">-255,769,467.03 </w:t>
            </w:r>
          </w:p>
        </w:tc>
        <w:tc>
          <w:tcPr>
            <w:tcW w:w="827" w:type="pct"/>
            <w:vAlign w:val="center"/>
          </w:tcPr>
          <w:p w14:paraId="04F5FFB2">
            <w:pPr>
              <w:widowControl w:val="0"/>
              <w:jc w:val="right"/>
              <w:rPr>
                <w:rFonts w:hint="eastAsia"/>
                <w:szCs w:val="21"/>
              </w:rPr>
            </w:pPr>
            <w:r>
              <w:rPr>
                <w:rFonts w:ascii="Arial Narrow" w:hAnsi="Arial Narrow" w:eastAsia="等线"/>
                <w:color w:val="000000"/>
                <w:szCs w:val="21"/>
              </w:rPr>
              <w:t xml:space="preserve">200,543,669.25 </w:t>
            </w:r>
          </w:p>
        </w:tc>
        <w:tc>
          <w:tcPr>
            <w:tcW w:w="801" w:type="pct"/>
            <w:vAlign w:val="center"/>
          </w:tcPr>
          <w:p w14:paraId="6C5F13D9">
            <w:pPr>
              <w:widowControl w:val="0"/>
              <w:jc w:val="right"/>
              <w:rPr>
                <w:rFonts w:hint="eastAsia"/>
                <w:szCs w:val="21"/>
              </w:rPr>
            </w:pPr>
            <w:r>
              <w:rPr>
                <w:rFonts w:ascii="Arial Narrow" w:hAnsi="Arial Narrow" w:eastAsia="等线"/>
                <w:color w:val="000000"/>
                <w:szCs w:val="21"/>
              </w:rPr>
              <w:t xml:space="preserve">276,715,124.47 </w:t>
            </w:r>
          </w:p>
        </w:tc>
      </w:tr>
    </w:tbl>
    <w:p w14:paraId="2CF1D5D5">
      <w:pPr>
        <w:rPr>
          <w:rFonts w:hint="eastAsia"/>
        </w:rPr>
      </w:pPr>
    </w:p>
    <w:p w14:paraId="75157D51">
      <w:pPr>
        <w:pStyle w:val="20"/>
        <w:adjustRightInd w:val="0"/>
        <w:snapToGrid w:val="0"/>
        <w:spacing w:line="200" w:lineRule="atLeast"/>
        <w:rPr>
          <w:rFonts w:hint="eastAsia" w:hAnsi="宋体"/>
          <w:kern w:val="0"/>
          <w:szCs w:val="21"/>
        </w:rPr>
      </w:pPr>
      <w:r>
        <w:rPr>
          <w:rFonts w:hint="eastAsia" w:hAnsi="宋体" w:cs="宋体"/>
          <w:kern w:val="0"/>
          <w:szCs w:val="21"/>
        </w:rPr>
        <w:t>对公司</w:t>
      </w:r>
      <w:r>
        <w:rPr>
          <w:rFonts w:hint="eastAsia"/>
          <w:szCs w:val="21"/>
        </w:rPr>
        <w:t>将《公开发行证券的公司信息披露解释性公告第</w:t>
      </w:r>
      <w:r>
        <w:rPr>
          <w:szCs w:val="21"/>
        </w:rPr>
        <w:t>1号——非经常性损益》未列举的项目认定为非经常性损益项目且金额重大的，以及将《公开发行证券的公司信息披露解释性公告第1号——非经常性损益》中列举的非经常性损益项目界定为经常性损益的项目，</w:t>
      </w:r>
      <w:r>
        <w:rPr>
          <w:rFonts w:hAnsi="宋体" w:cs="宋体"/>
          <w:kern w:val="0"/>
          <w:szCs w:val="21"/>
        </w:rPr>
        <w:t>应说明原因。</w:t>
      </w:r>
    </w:p>
    <w:sdt>
      <w:sdtPr>
        <w:alias w:val="是否适用：将非经常性损益项目界定为经常性损益项目[双击切换]"/>
        <w:tag w:val="_GBC_a4930715ddcb47d484e7fbd516fb3ac1"/>
        <w:id w:val="410508565"/>
        <w:placeholder>
          <w:docPart w:val="GBC22222222222222222222222222222"/>
        </w:placeholder>
      </w:sdtPr>
      <w:sdtContent>
        <w:p w14:paraId="60E3F6D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82D777E">
      <w:pPr>
        <w:rPr>
          <w:rFonts w:hint="eastAsia"/>
        </w:rPr>
      </w:pPr>
    </w:p>
    <w:bookmarkEnd w:id="29"/>
    <w:bookmarkEnd w:id="30"/>
    <w:p w14:paraId="248179E9">
      <w:pPr>
        <w:pStyle w:val="3"/>
        <w:numPr>
          <w:ilvl w:val="1"/>
          <w:numId w:val="4"/>
        </w:numPr>
        <w:ind w:left="498" w:hanging="498" w:hangingChars="236"/>
        <w:rPr>
          <w:u w:val="single"/>
        </w:rPr>
      </w:pPr>
      <w:r>
        <w:rPr>
          <w:rFonts w:hint="eastAsia"/>
        </w:rPr>
        <w:t>采用公允价值计量的项目</w:t>
      </w:r>
    </w:p>
    <w:sdt>
      <w:sdtPr>
        <w:alias w:val="是否适用：采用公允价值计量的项目[双击切换]"/>
        <w:tag w:val="_GBC_e89d76d7486246e0ac1d3db15e4df008"/>
        <w:id w:val="-415714211"/>
        <w:placeholder>
          <w:docPart w:val="GBC22222222222222222222222222222"/>
        </w:placeholder>
      </w:sdtPr>
      <w:sdtContent>
        <w:p w14:paraId="193E1F5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F45264B">
      <w:pPr>
        <w:wordWrap w:val="0"/>
        <w:jc w:val="right"/>
        <w:rPr>
          <w:rFonts w:hint="eastAsia" w:asciiTheme="minorEastAsia" w:hAnsiTheme="minorEastAsia" w:eastAsiaTheme="minorEastAsia"/>
          <w:szCs w:val="21"/>
        </w:rPr>
      </w:pPr>
      <w:r>
        <w:rPr>
          <w:rFonts w:hint="eastAsia" w:asciiTheme="minorEastAsia" w:hAnsiTheme="minorEastAsia" w:eastAsiaTheme="minorEastAsia"/>
          <w:szCs w:val="21"/>
        </w:rPr>
        <w:t>单位：</w:t>
      </w:r>
      <w:sdt>
        <w:sdtPr>
          <w:rPr>
            <w:rFonts w:hint="eastAsia" w:asciiTheme="minorEastAsia" w:hAnsiTheme="minorEastAsia" w:eastAsiaTheme="minorEastAsia"/>
            <w:szCs w:val="21"/>
          </w:rPr>
          <w:alias w:val="单位：采用公允价值计量的项目"/>
          <w:tag w:val="_GBC_3db790decc6f48c79df9bb825ea34c80"/>
          <w:id w:val="-13708322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Theme="minorEastAsia" w:hAnsiTheme="minorEastAsia" w:eastAsiaTheme="minorEastAsia"/>
            <w:szCs w:val="21"/>
          </w:rPr>
        </w:sdtEndPr>
        <w:sdtContent>
          <w:r>
            <w:rPr>
              <w:rFonts w:hint="eastAsia" w:asciiTheme="minorEastAsia" w:hAnsiTheme="minorEastAsia" w:eastAsiaTheme="minorEastAsia"/>
              <w:szCs w:val="21"/>
            </w:rPr>
            <w:t>元</w:t>
          </w:r>
        </w:sdtContent>
      </w:sdt>
      <w:r>
        <w:rPr>
          <w:rFonts w:hint="eastAsia" w:asciiTheme="minorEastAsia" w:hAnsiTheme="minorEastAsia" w:eastAsiaTheme="minorEastAsia"/>
          <w:szCs w:val="21"/>
        </w:rPr>
        <w:t xml:space="preserve">  币种：</w:t>
      </w:r>
      <w:sdt>
        <w:sdtPr>
          <w:rPr>
            <w:rFonts w:hint="eastAsia" w:asciiTheme="minorEastAsia" w:hAnsiTheme="minorEastAsia" w:eastAsiaTheme="minorEastAsia"/>
            <w:szCs w:val="21"/>
          </w:rPr>
          <w:alias w:val="币种：采用公允价值计量的项目"/>
          <w:tag w:val="_GBC_6f16a5f9084343f1b7cf46e770d31080"/>
          <w:id w:val="8045107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Theme="minorEastAsia" w:hAnsiTheme="minorEastAsia" w:eastAsiaTheme="minorEastAsia"/>
            <w:szCs w:val="21"/>
          </w:rPr>
        </w:sdtEndPr>
        <w:sdtContent>
          <w:r>
            <w:rPr>
              <w:rFonts w:hint="eastAsia" w:asciiTheme="minorEastAsia" w:hAnsiTheme="minorEastAsia" w:eastAsiaTheme="minorEastAsia"/>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1701"/>
        <w:gridCol w:w="1710"/>
        <w:gridCol w:w="1696"/>
        <w:gridCol w:w="1993"/>
      </w:tblGrid>
      <w:tr w14:paraId="23E0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blHeader/>
        </w:trPr>
        <w:sdt>
          <w:sdtPr>
            <w:tag w:val="_PLD_7afb41bb6f11412490d2cf97e6a8af4a"/>
            <w:id w:val="-1337448964"/>
          </w:sdtPr>
          <w:sdtContent>
            <w:tc>
              <w:tcPr>
                <w:tcW w:w="1077" w:type="pct"/>
                <w:vAlign w:val="center"/>
              </w:tcPr>
              <w:p w14:paraId="1ADAF559">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项目名称</w:t>
                </w:r>
              </w:p>
            </w:tc>
          </w:sdtContent>
        </w:sdt>
        <w:sdt>
          <w:sdtPr>
            <w:tag w:val="_PLD_da0df6228e264965b54ebbf01610457e"/>
            <w:id w:val="2139676368"/>
          </w:sdtPr>
          <w:sdtContent>
            <w:tc>
              <w:tcPr>
                <w:tcW w:w="940" w:type="pct"/>
                <w:vAlign w:val="center"/>
              </w:tcPr>
              <w:p w14:paraId="5D031299">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期初余额</w:t>
                </w:r>
              </w:p>
            </w:tc>
          </w:sdtContent>
        </w:sdt>
        <w:sdt>
          <w:sdtPr>
            <w:tag w:val="_PLD_32f24a9a3da24799945b9be672e1778c"/>
            <w:id w:val="1204207089"/>
          </w:sdtPr>
          <w:sdtContent>
            <w:tc>
              <w:tcPr>
                <w:tcW w:w="945" w:type="pct"/>
                <w:vAlign w:val="center"/>
              </w:tcPr>
              <w:p w14:paraId="59ED6B6B">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期末余额</w:t>
                </w:r>
              </w:p>
            </w:tc>
          </w:sdtContent>
        </w:sdt>
        <w:sdt>
          <w:sdtPr>
            <w:tag w:val="_PLD_e96c7ea54e9845adafdee1a3e4d1777a"/>
            <w:id w:val="703130889"/>
          </w:sdtPr>
          <w:sdtContent>
            <w:tc>
              <w:tcPr>
                <w:tcW w:w="937" w:type="pct"/>
                <w:vAlign w:val="center"/>
              </w:tcPr>
              <w:p w14:paraId="043EE109">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当期变动</w:t>
                </w:r>
              </w:p>
            </w:tc>
          </w:sdtContent>
        </w:sdt>
        <w:sdt>
          <w:sdtPr>
            <w:tag w:val="_PLD_1472a884c9f543dba7a82865e73f1536"/>
            <w:id w:val="-694234360"/>
          </w:sdtPr>
          <w:sdtContent>
            <w:tc>
              <w:tcPr>
                <w:tcW w:w="1101" w:type="pct"/>
                <w:vAlign w:val="center"/>
              </w:tcPr>
              <w:p w14:paraId="5A6907E2">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对当期利润的</w:t>
                </w:r>
              </w:p>
              <w:p w14:paraId="7B4BBEBA">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影响金额</w:t>
                </w:r>
              </w:p>
            </w:tc>
          </w:sdtContent>
        </w:sdt>
      </w:tr>
      <w:tr w14:paraId="7F4F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77" w:type="pct"/>
            <w:vAlign w:val="bottom"/>
          </w:tcPr>
          <w:p w14:paraId="065A28FD">
            <w:pPr>
              <w:widowControl w:val="0"/>
              <w:jc w:val="both"/>
              <w:rPr>
                <w:rFonts w:hint="eastAsia" w:asciiTheme="minorEastAsia" w:hAnsiTheme="minorEastAsia" w:eastAsiaTheme="minorEastAsia"/>
                <w:szCs w:val="21"/>
              </w:rPr>
            </w:pPr>
            <w:r>
              <w:rPr>
                <w:rFonts w:hint="eastAsia"/>
                <w:color w:val="000000"/>
                <w:szCs w:val="21"/>
              </w:rPr>
              <w:t>交易性金融资产</w:t>
            </w:r>
          </w:p>
        </w:tc>
        <w:tc>
          <w:tcPr>
            <w:tcW w:w="940" w:type="pct"/>
            <w:vAlign w:val="bottom"/>
          </w:tcPr>
          <w:p w14:paraId="4BE33665">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630,009.80 </w:t>
            </w:r>
          </w:p>
        </w:tc>
        <w:tc>
          <w:tcPr>
            <w:tcW w:w="945" w:type="pct"/>
            <w:vAlign w:val="bottom"/>
          </w:tcPr>
          <w:p w14:paraId="66AA9B47">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630,009.80 </w:t>
            </w:r>
          </w:p>
        </w:tc>
        <w:tc>
          <w:tcPr>
            <w:tcW w:w="937" w:type="pct"/>
            <w:vAlign w:val="bottom"/>
          </w:tcPr>
          <w:p w14:paraId="3A13E3C9">
            <w:pPr>
              <w:widowControl w:val="0"/>
              <w:jc w:val="right"/>
              <w:rPr>
                <w:rFonts w:hint="eastAsia" w:asciiTheme="minorEastAsia" w:hAnsiTheme="minorEastAsia" w:eastAsiaTheme="minorEastAsia"/>
                <w:szCs w:val="21"/>
              </w:rPr>
            </w:pPr>
          </w:p>
        </w:tc>
        <w:tc>
          <w:tcPr>
            <w:tcW w:w="1101" w:type="pct"/>
            <w:vAlign w:val="bottom"/>
          </w:tcPr>
          <w:p w14:paraId="28166C90">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210.00 </w:t>
            </w:r>
          </w:p>
        </w:tc>
      </w:tr>
      <w:tr w14:paraId="201D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77" w:type="pct"/>
            <w:vAlign w:val="bottom"/>
          </w:tcPr>
          <w:p w14:paraId="618E9737">
            <w:pPr>
              <w:widowControl w:val="0"/>
              <w:jc w:val="both"/>
              <w:rPr>
                <w:rFonts w:hint="eastAsia" w:asciiTheme="minorEastAsia" w:hAnsiTheme="minorEastAsia" w:eastAsiaTheme="minorEastAsia"/>
                <w:szCs w:val="21"/>
              </w:rPr>
            </w:pPr>
            <w:r>
              <w:rPr>
                <w:rFonts w:hint="eastAsia"/>
                <w:color w:val="000000"/>
                <w:szCs w:val="21"/>
              </w:rPr>
              <w:t>其他权益工具投资</w:t>
            </w:r>
          </w:p>
        </w:tc>
        <w:tc>
          <w:tcPr>
            <w:tcW w:w="940" w:type="pct"/>
            <w:vAlign w:val="bottom"/>
          </w:tcPr>
          <w:p w14:paraId="364BF1D9">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631,717,159.26 </w:t>
            </w:r>
          </w:p>
        </w:tc>
        <w:tc>
          <w:tcPr>
            <w:tcW w:w="945" w:type="pct"/>
            <w:vAlign w:val="bottom"/>
          </w:tcPr>
          <w:p w14:paraId="1A89D5A5">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519,981,620.71 </w:t>
            </w:r>
          </w:p>
        </w:tc>
        <w:tc>
          <w:tcPr>
            <w:tcW w:w="937" w:type="pct"/>
            <w:vAlign w:val="bottom"/>
          </w:tcPr>
          <w:p w14:paraId="34D5DD2E">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-111,735,538.55 </w:t>
            </w:r>
          </w:p>
        </w:tc>
        <w:tc>
          <w:tcPr>
            <w:tcW w:w="1101" w:type="pct"/>
            <w:vAlign w:val="bottom"/>
          </w:tcPr>
          <w:p w14:paraId="0B92F712">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7,252,620.35 </w:t>
            </w:r>
          </w:p>
        </w:tc>
      </w:tr>
      <w:tr w14:paraId="5A3B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77" w:type="pct"/>
            <w:vAlign w:val="bottom"/>
          </w:tcPr>
          <w:p w14:paraId="2D11996C">
            <w:pPr>
              <w:widowControl w:val="0"/>
              <w:jc w:val="both"/>
              <w:rPr>
                <w:rFonts w:hint="eastAsia" w:asciiTheme="minorEastAsia" w:hAnsiTheme="minorEastAsia" w:eastAsiaTheme="minorEastAsia"/>
                <w:szCs w:val="21"/>
              </w:rPr>
            </w:pPr>
            <w:r>
              <w:rPr>
                <w:rFonts w:hint="eastAsia"/>
                <w:color w:val="000000"/>
                <w:szCs w:val="21"/>
              </w:rPr>
              <w:t>应收款项融资</w:t>
            </w:r>
          </w:p>
        </w:tc>
        <w:tc>
          <w:tcPr>
            <w:tcW w:w="940" w:type="pct"/>
            <w:vAlign w:val="bottom"/>
          </w:tcPr>
          <w:p w14:paraId="1737820E">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31,461,490.81 </w:t>
            </w:r>
          </w:p>
        </w:tc>
        <w:tc>
          <w:tcPr>
            <w:tcW w:w="945" w:type="pct"/>
            <w:vAlign w:val="bottom"/>
          </w:tcPr>
          <w:p w14:paraId="478500F1">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20,627,331.54 </w:t>
            </w:r>
          </w:p>
        </w:tc>
        <w:tc>
          <w:tcPr>
            <w:tcW w:w="937" w:type="pct"/>
            <w:vAlign w:val="bottom"/>
          </w:tcPr>
          <w:p w14:paraId="5481FDAF">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-10,834,159.27 </w:t>
            </w:r>
          </w:p>
        </w:tc>
        <w:tc>
          <w:tcPr>
            <w:tcW w:w="1101" w:type="pct"/>
            <w:vAlign w:val="bottom"/>
          </w:tcPr>
          <w:p w14:paraId="19EDFE24">
            <w:pPr>
              <w:widowControl w:val="0"/>
              <w:jc w:val="right"/>
              <w:rPr>
                <w:rFonts w:hint="eastAsia" w:asciiTheme="minorEastAsia" w:hAnsiTheme="minorEastAsia" w:eastAsiaTheme="minorEastAsia"/>
                <w:szCs w:val="21"/>
              </w:rPr>
            </w:pPr>
          </w:p>
        </w:tc>
      </w:tr>
      <w:tr w14:paraId="58C3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1077" w:type="pct"/>
            <w:tcBorders>
              <w:bottom w:val="single" w:color="auto" w:sz="4" w:space="0"/>
            </w:tcBorders>
            <w:vAlign w:val="center"/>
          </w:tcPr>
          <w:p w14:paraId="32738196">
            <w:pPr>
              <w:widowControl w:val="0"/>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940" w:type="pct"/>
            <w:vAlign w:val="bottom"/>
          </w:tcPr>
          <w:p w14:paraId="143F2E56">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663,808,659.87 </w:t>
            </w:r>
          </w:p>
        </w:tc>
        <w:tc>
          <w:tcPr>
            <w:tcW w:w="945" w:type="pct"/>
            <w:vAlign w:val="bottom"/>
          </w:tcPr>
          <w:p w14:paraId="56E160B9">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541,238,962.05 </w:t>
            </w:r>
          </w:p>
        </w:tc>
        <w:tc>
          <w:tcPr>
            <w:tcW w:w="937" w:type="pct"/>
            <w:vAlign w:val="bottom"/>
          </w:tcPr>
          <w:p w14:paraId="1F487DFD">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-122,569,697.82 </w:t>
            </w:r>
          </w:p>
        </w:tc>
        <w:tc>
          <w:tcPr>
            <w:tcW w:w="1101" w:type="pct"/>
            <w:vAlign w:val="bottom"/>
          </w:tcPr>
          <w:p w14:paraId="3B161226">
            <w:pPr>
              <w:widowControl w:val="0"/>
              <w:jc w:val="right"/>
              <w:rPr>
                <w:rFonts w:hint="eastAsia" w:asciiTheme="minorEastAsia" w:hAnsiTheme="minorEastAsia" w:eastAsiaTheme="minorEastAsia"/>
                <w:szCs w:val="21"/>
              </w:rPr>
            </w:pPr>
            <w:r>
              <w:rPr>
                <w:rFonts w:ascii="Arial Narrow" w:hAnsi="Arial Narrow" w:eastAsia="等线"/>
                <w:color w:val="000000"/>
                <w:szCs w:val="21"/>
              </w:rPr>
              <w:t xml:space="preserve">7,252,830.35 </w:t>
            </w:r>
          </w:p>
        </w:tc>
      </w:tr>
    </w:tbl>
    <w:p w14:paraId="50E29870">
      <w:pPr>
        <w:rPr>
          <w:rFonts w:hint="eastAsia"/>
        </w:rPr>
      </w:pPr>
    </w:p>
    <w:p w14:paraId="1FFEE35F">
      <w:pPr>
        <w:pStyle w:val="3"/>
        <w:numPr>
          <w:ilvl w:val="1"/>
          <w:numId w:val="4"/>
        </w:numPr>
        <w:ind w:left="498" w:hanging="498" w:hangingChars="236"/>
        <w:rPr>
          <w:u w:val="single"/>
        </w:rPr>
      </w:pPr>
      <w:r>
        <w:rPr>
          <w:rFonts w:hint="eastAsia"/>
        </w:rPr>
        <w:t>其他</w:t>
      </w:r>
    </w:p>
    <w:sdt>
      <w:sdtPr>
        <w:alias w:val="是否适用：公司简介和主要财务指标其他说明[双击切换]"/>
        <w:tag w:val="_GBC_ac20c9ad49eb470dba71a763f930572f"/>
        <w:id w:val="1355307336"/>
        <w:placeholder>
          <w:docPart w:val="GBC22222222222222222222222222222"/>
        </w:placeholder>
      </w:sdtPr>
      <w:sdtContent>
        <w:p w14:paraId="1E719AF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EFA7299">
      <w:pPr>
        <w:rPr>
          <w:rFonts w:hint="eastAsia"/>
        </w:rPr>
      </w:pPr>
    </w:p>
    <w:p w14:paraId="0752F02B">
      <w:pPr>
        <w:pStyle w:val="2"/>
        <w:numPr>
          <w:ilvl w:val="0"/>
          <w:numId w:val="2"/>
        </w:numPr>
      </w:pPr>
      <w:bookmarkStart w:id="31" w:name="_Toc184741576"/>
      <w:r>
        <w:rPr>
          <w:rFonts w:hint="eastAsia"/>
        </w:rPr>
        <w:t>管理层讨论与分析</w:t>
      </w:r>
    </w:p>
    <w:bookmarkEnd w:id="31"/>
    <w:p w14:paraId="13D44D75">
      <w:pPr>
        <w:rPr>
          <w:rFonts w:hint="eastAsia"/>
        </w:rPr>
      </w:pPr>
    </w:p>
    <w:p w14:paraId="52AC3EF2">
      <w:pPr>
        <w:pStyle w:val="3"/>
        <w:numPr>
          <w:ilvl w:val="0"/>
          <w:numId w:val="7"/>
        </w:numPr>
        <w:ind w:left="369" w:hanging="369" w:hangingChars="175"/>
      </w:pPr>
      <w:r>
        <w:rPr>
          <w:rFonts w:hint="eastAsia"/>
        </w:rPr>
        <w:t>经营情况</w:t>
      </w:r>
      <w:r>
        <w:t>讨论与分析</w:t>
      </w:r>
    </w:p>
    <w:sdt>
      <w:sdtPr>
        <w:rPr>
          <w:rFonts w:hint="eastAsia" w:asciiTheme="minorEastAsia" w:hAnsiTheme="minorEastAsia" w:eastAsiaTheme="minorEastAsia"/>
        </w:rPr>
        <w:alias w:val="管理层讨论与分析"/>
        <w:tag w:val="_GBC_75862f3cb18e486fb20eb44dbcc462a9"/>
        <w:id w:val="-1237010749"/>
        <w:placeholder>
          <w:docPart w:val="GBC22222222222222222222222222222"/>
        </w:placeholder>
      </w:sdtPr>
      <w:sdtEndPr>
        <w:rPr>
          <w:rFonts w:hint="eastAsia" w:asciiTheme="minorEastAsia" w:hAnsiTheme="minorEastAsia" w:eastAsiaTheme="minorEastAsia"/>
        </w:rPr>
      </w:sdtEndPr>
      <w:sdtContent>
        <w:p w14:paraId="7C503C6D">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（一）总体经营情况</w:t>
          </w:r>
        </w:p>
        <w:p w14:paraId="2D2B20FA">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 xml:space="preserve"> 报告期内，公司实现营业收入98.86亿元，同比下降14.49%。公司营业收入下降主要由于：受主要客户招投标项目推迟及订单量减少、产品标准要求变化、部分子公司审价等因素影响，对短期整体收入造成一定影响。报告期内，尽管公司整体收入有所下滑，但公司围绕战略性新兴产业，在高强尼龙、玄武岩纤维、防水透湿膜等新材料成果转化以及单兵产品、野营装备、消防装备等新产品开发方面加快布局，全力推动传统产业转型升级和战新产业部署落地。</w:t>
          </w:r>
        </w:p>
        <w:p w14:paraId="6A9CE891">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报告期内，公司归属于上市公司股东的净利润为-42.28亿元。除受上述收入下降的影响外，公司亏损主要还受以下因素影响：（1）公司为更好地完成“保军、应急、为民”战略使命，聚焦主业，进一步提升主业核心竞争力，提高经营效率，对受房地产市场下行影响的低效无效资产计提减值准备；（2）受客户需求结构调整，新材料新技术的应用推广加速，新产品研发迭代升级，行业竞争加剧，对发生减值损失的存货计提减值准备；（3）公司对涉诉形成的抵押资产贬值或无法执行，以及回款不及预期的应收款项计提减值。</w:t>
          </w:r>
        </w:p>
        <w:p w14:paraId="2092E309">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（二）调整产业布局</w:t>
          </w:r>
        </w:p>
        <w:p w14:paraId="3E1C9A60">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 xml:space="preserve">报告期内，公司充分发挥产业功能优势，聚焦服务国家重大战略、区域协调发展战略和区域重大战略，大力发展战新产业，积极主动作为，调整产业布局，推动转型升级。  </w:t>
          </w:r>
        </w:p>
        <w:p w14:paraId="6A5B2100">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一是推进高度专业化的结构性调整。根据公司服装、皮鞋、纺印、橡胶产业特点，实施专业化运作模式，聚焦营销、研发和生产的高度集中、统一管理、发挥合力，协同效应有效体现。</w:t>
          </w:r>
        </w:p>
        <w:p w14:paraId="450DEBD2">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二是全力推进产业转型升级。公司围绕战略性新兴产业，在高强尼龙66纤维等功能性防护性面料科研中试线、单兵产品、野营装备、消防装备等方面加快布局。大力推进产线智能化改造，服装分公司西服、衬衣智能生产线和皮鞋分公司数智化指挥中心加快推进，智能化印染生产线奠基开工。</w:t>
          </w:r>
        </w:p>
        <w:p w14:paraId="421CA391">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三是强化采购、供应链、支付的统一管理。坚持向管理要效益、向集约化要效益，成立皮鞋采购分中心、纺印采购分中心、服装采购分中心。</w:t>
          </w:r>
        </w:p>
        <w:p w14:paraId="5FBBC811">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四是优化资源配置，聚焦核心业务。公司剥离非优质资产和低效业务，减少潜在经营风险和财务负担，专注于自身核心竞争力的提升，从而实现可持续发展。</w:t>
          </w:r>
        </w:p>
        <w:p w14:paraId="41F71E93">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（三）重塑研发体系</w:t>
          </w:r>
        </w:p>
        <w:p w14:paraId="405CC48B">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报告期内，公司加大科技投入和转化力度，提高企业核心竞争力和核心功能。</w:t>
          </w:r>
        </w:p>
        <w:p w14:paraId="41ECEBDA">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一是研发体系升级。“1+4+N”科技创新体系不断完善，完成了公司主业的技术谱系和产品谱系的系统梳理，形成职业装、纺织印染、皮革皮鞋、装具装备、橡胶制品5个专业技术领域、19个子领域的技术产品谱系图，为下一步技术产品研发提供了重要支撑。功能性防护性面料、职业装等项目在三级研发体系实现了上下贯通。打造设计师特色研发体系，挂牌9个设计师命名的工作室，以一流设计力赋能际华集团产品创新。</w:t>
          </w:r>
        </w:p>
        <w:p w14:paraId="3920DE7E">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二是加大科研成果产业化。公司聚焦防水透湿功能膜、PE UD无纬布、高强尼龙66细旦纤维、热能服、冲锋衣等材料/产品开展产业协同。纺织印染分公司中试线市场转化开局良好，高强尼龙、玄武岩纤维、防水透湿膜等新材料实现成果转化。</w:t>
          </w:r>
        </w:p>
        <w:p w14:paraId="3D044883">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三是加快重点项目攻关。聚焦市场需求和关键核心技术，加大资源投入力度，开发了膜类、阻燃防护、尼龙等核心产品，在功能膜复合技术、特种长丝织造技术、功能后整理技术等方面取得了积极进展。其中玄武岩无损复构纱的皮肤友好型消防灭火服研制与评价项目已完成验收，实现灭火服防护700℃以上完全不燃；五型救火消防员防护装备在原材料国产化、装备轻量化及高性能化、产品配套性和舒适性等方面实现了创新,产品实现工程化；抗结冰型灭火防护服产品首次实现中央财政资金支持类项目研究成果即时转化落地，成功打造研发引领高技术成果转化新模式；防弹陶瓷应用开发项目采用新工艺制作，用于直升机装甲的碳化硼陶瓷板。</w:t>
          </w:r>
        </w:p>
        <w:p w14:paraId="685EA107">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（四）市场订单拓展</w:t>
          </w:r>
        </w:p>
        <w:p w14:paraId="41D45643">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报告期内，公司积极发挥资源整合优势，在主业领域紧盯重点大客户需求，强化内部协同，不断增强主业客户黏性，完成军需被装保障任务。锚定重点项目，深挖民品市场潜力。国铁项目充分发挥两级营销体系联动优势，两批次合计中标5.97亿元。</w:t>
          </w:r>
        </w:p>
        <w:p w14:paraId="09FE11B3">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（五）安全环保工作</w:t>
          </w:r>
        </w:p>
        <w:p w14:paraId="1B017869">
          <w:pPr>
            <w:ind w:firstLine="420" w:firstLineChars="200"/>
            <w:jc w:val="both"/>
            <w:rPr>
              <w:rFonts w:hint="eastAsia" w:asciiTheme="minorEastAsia" w:hAnsiTheme="minorEastAsia" w:eastAsiaTheme="minorEastAsia"/>
            </w:rPr>
          </w:pPr>
          <w:r>
            <w:rPr>
              <w:rFonts w:hint="eastAsia" w:asciiTheme="minorEastAsia" w:hAnsiTheme="minorEastAsia" w:eastAsiaTheme="minorEastAsia"/>
            </w:rPr>
            <w:t>报告期内，公司落实集团公司“标准更高、保障更强”安全管理工作要求，强化企业安全生产管理，率先在7555公司上线火情火点智能监控预警与应急处置系统，2024年，公司未发生工亡事故、重大火灾事故、特大交通安全事故、公共安全事件及其他重大生产安全事故。报告期内，公司认真贯彻落实国家环境保护、节能减排的方针和政策，万元产值综合能耗为0.06吨标煤/万元，与去年基本持平。公司及下属各企业未发生突发环境事件，未发生处罚100万元以上的环境违法违规事件。</w:t>
          </w:r>
        </w:p>
      </w:sdtContent>
    </w:sdt>
    <w:p w14:paraId="22750779">
      <w:pPr>
        <w:rPr>
          <w:rFonts w:hint="eastAsia" w:asciiTheme="minorEastAsia" w:hAnsiTheme="minorEastAsia" w:eastAsiaTheme="minorEastAsia"/>
        </w:rPr>
      </w:pPr>
    </w:p>
    <w:p w14:paraId="7EAC70B0">
      <w:pPr>
        <w:pStyle w:val="3"/>
        <w:numPr>
          <w:ilvl w:val="0"/>
          <w:numId w:val="7"/>
        </w:numPr>
        <w:ind w:left="369" w:hanging="369" w:hangingChars="175"/>
      </w:pPr>
      <w:r>
        <w:rPr>
          <w:rFonts w:hint="eastAsia"/>
        </w:rPr>
        <w:t>报告期内公司所处行业情况</w:t>
      </w:r>
    </w:p>
    <w:sdt>
      <w:sdtPr>
        <w:rPr>
          <w:rFonts w:hint="eastAsia"/>
        </w:rPr>
        <w:alias w:val="报告期内公司所处行业情况 "/>
        <w:tag w:val="_GBC_62343dd2540e4e58bef438888246bd32"/>
        <w:id w:val="-1062410119"/>
        <w:placeholder>
          <w:docPart w:val="GBC22222222222222222222222222222"/>
        </w:placeholder>
      </w:sdtPr>
      <w:sdtEndPr>
        <w:rPr>
          <w:rFonts w:hint="eastAsia"/>
        </w:rPr>
      </w:sdtEndPr>
      <w:sdtContent>
        <w:p w14:paraId="4E4E0B4B">
          <w:pPr>
            <w:ind w:firstLine="369"/>
            <w:rPr>
              <w:rFonts w:hint="eastAsia"/>
            </w:rPr>
          </w:pPr>
          <w:r>
            <w:rPr>
              <w:rFonts w:hint="eastAsia"/>
            </w:rPr>
            <w:t>2024年，全球经济总体保持平稳，但增速较低。国际货币基金组织（IMF）在最新一期《世界经济展望报告》中指出，2024年的全球经济增速为3.2%，2025年预测值为3.3%，与2023年基本持平。在地缘冲突、贸易和投资保护主义抬头、政策不确定性上升的环境下，全球经济前景面临下行风险。 2024年是实现“十四五”规划目标任务的关键一年，面对外部压力加大、内部困难增多的复杂形势，国家扎实推动高质量发展，扩大国内需求，推动科技创新和产业创新融合发展，经济运行总体平稳、稳中有进。根据国家统计局数据，2024年全国国内生产总值首次突破130万亿元，比上年增长 5.0%。</w:t>
          </w:r>
        </w:p>
        <w:p w14:paraId="23141078">
          <w:pPr>
            <w:ind w:firstLine="369"/>
            <w:rPr>
              <w:rFonts w:hint="eastAsia"/>
            </w:rPr>
          </w:pPr>
          <w:r>
            <w:rPr>
              <w:rFonts w:hint="eastAsia"/>
            </w:rPr>
            <w:t>报告期内，中国纺织服装行业在政策引导和市场驱动下呈现稳健发展态势。根据国家统计局数据，2024年全国规模以上工业企业纺织服装、服饰业营业收入12,699.20亿元，同比上升2.8%；利润总额623.80亿元，同比上升1.5%。纺织服装行业发展呈现三大特征：一是数字化转型加速；二是绿色发展成为共识；三是细分市场表现亮眼，运动休闲服饰、职业装、医用防护等领域增速均超行业平均水平。</w:t>
          </w:r>
        </w:p>
        <w:p w14:paraId="53C8855D">
          <w:pPr>
            <w:ind w:firstLine="369"/>
            <w:rPr>
              <w:rFonts w:hint="eastAsia"/>
            </w:rPr>
          </w:pPr>
          <w:r>
            <w:rPr>
              <w:rFonts w:hint="eastAsia"/>
            </w:rPr>
            <w:t>2022年以来，我国相继发布《促进绿色消费实施方案》《“十四五”市场监管现代化规划》等多项政策，均提出推动纺织服装行业绿色化发展，加大再生纤维制品的宣传和推广力度，鼓励推行绿色衣着消费，在生产中提高循环再利用化学纤维等绿色纤维的使用比例，提供更多符合绿色低碳要求的服装。同时工信部等九部门联合印发《纺织工业提质升级实施方案（2023—2025年）》，鼓励行业协会、高校、科研院所等机构加强平台建设、技术交流、人才培训等方面工作，鼓励行业协会等机构搭建行业交流展示平台，加强对纺织专业人才工作的支持力度。</w:t>
          </w:r>
        </w:p>
        <w:p w14:paraId="25DEF960">
          <w:pPr>
            <w:ind w:firstLine="369"/>
            <w:rPr>
              <w:rFonts w:hint="eastAsia"/>
            </w:rPr>
          </w:pPr>
          <w:r>
            <w:rPr>
              <w:rFonts w:hint="eastAsia"/>
            </w:rPr>
            <w:t>2024年中国纺织服装行业在政策支持与市场需求双重推动下保持平稳增长。规模以上企业营收与利润实现同比提升，行业结构持续优化，呈现出技术升级与可持续发展并重的特点。数字化转型成效显著，智能制造投入增加，推动生产效率提升；绿色低碳转型步伐加快，环境友好型产品市场占比稳步提高。与此同时，运动休闲、职业装等细分领域展现出强劲增长潜力，成为行业重要驱动力。政策层面，国家通过专项实施方案、人才支持和采购标准升级等组合措施，引导产业向高端化、智能化、绿色化方向发展。军用被装等政府采购标准的提升则为高技术产品拓展了市场空间，整体形成有利于行业高质量发展的政策环境。</w:t>
          </w:r>
        </w:p>
      </w:sdtContent>
    </w:sdt>
    <w:p w14:paraId="7611B1A3">
      <w:pPr>
        <w:rPr>
          <w:rFonts w:hint="eastAsia"/>
        </w:rPr>
      </w:pPr>
    </w:p>
    <w:p w14:paraId="1FD8AB49">
      <w:pPr>
        <w:pStyle w:val="3"/>
        <w:numPr>
          <w:ilvl w:val="0"/>
          <w:numId w:val="7"/>
        </w:numPr>
        <w:ind w:left="369" w:hanging="369" w:hangingChars="175"/>
      </w:pPr>
      <w:r>
        <w:rPr>
          <w:rFonts w:hint="eastAsia"/>
        </w:rPr>
        <w:t>报告期内公司从事的业务情况</w:t>
      </w:r>
    </w:p>
    <w:sdt>
      <w:sdtPr>
        <w:alias w:val="报告期内公司从事的业务情况 "/>
        <w:tag w:val="_GBC_5c2ed6623d994f569eb07915af842807"/>
        <w:id w:val="-872618401"/>
        <w:placeholder>
          <w:docPart w:val="GBC22222222222222222222222222222"/>
        </w:placeholder>
      </w:sdtPr>
      <w:sdtContent>
        <w:p w14:paraId="562FC6BE">
          <w:pPr>
            <w:ind w:firstLine="420" w:firstLineChars="200"/>
            <w:rPr>
              <w:rFonts w:hint="eastAsia"/>
            </w:rPr>
          </w:pPr>
          <w:r>
            <w:rPr>
              <w:rFonts w:hint="eastAsia"/>
            </w:rPr>
            <w:t>公司的产品主要面向军品市场和民品市场，主要客户为中国军队、武警部队，国家统一着装部门，央企、大中型企业以及个人消费者。根据公司“十四五”规划和各业务板块对公司收入、利润的贡献程度，职业装、职业鞋靴、纺织印染、防护装具及装备业务是公司目前的核心业务。</w:t>
          </w:r>
        </w:p>
        <w:p w14:paraId="01E83BD9">
          <w:pPr>
            <w:ind w:firstLine="420" w:firstLineChars="200"/>
            <w:rPr>
              <w:rFonts w:hint="eastAsia"/>
            </w:rPr>
          </w:pPr>
          <w:r>
            <w:rPr>
              <w:rFonts w:hint="eastAsia"/>
            </w:rPr>
            <w:t>（一）职业装</w:t>
          </w:r>
        </w:p>
        <w:p w14:paraId="454C989F">
          <w:pPr>
            <w:ind w:firstLine="420" w:firstLineChars="200"/>
            <w:rPr>
              <w:rFonts w:hint="eastAsia"/>
            </w:rPr>
          </w:pPr>
          <w:r>
            <w:rPr>
              <w:rFonts w:hint="eastAsia"/>
            </w:rPr>
            <w:t>公司部分子公司从事职业装的研发、生产和销售，主要产品包括军服类、行业制服类、职业工装、品牌服装及特种功能性服装和配套产品。</w:t>
          </w:r>
        </w:p>
        <w:p w14:paraId="2687ECB9">
          <w:pPr>
            <w:ind w:firstLine="420" w:firstLineChars="200"/>
            <w:rPr>
              <w:rFonts w:hint="eastAsia"/>
            </w:rPr>
          </w:pPr>
          <w:r>
            <w:rPr>
              <w:rFonts w:hint="eastAsia"/>
            </w:rPr>
            <w:t>（二）职业鞋靴</w:t>
          </w:r>
        </w:p>
        <w:p w14:paraId="47914156">
          <w:pPr>
            <w:ind w:firstLine="420" w:firstLineChars="200"/>
            <w:rPr>
              <w:rFonts w:hint="eastAsia"/>
            </w:rPr>
          </w:pPr>
          <w:r>
            <w:rPr>
              <w:rFonts w:hint="eastAsia"/>
            </w:rPr>
            <w:t>公司部分子公司从事职业鞋靴的研发、生产和销售，主要产品包括皮鞋、皮革、毛皮、服装革、两用毛革及其制品，防护功能性鞋、军用胶鞋、橡胶大底等。</w:t>
          </w:r>
        </w:p>
        <w:p w14:paraId="2A8448B3">
          <w:pPr>
            <w:ind w:firstLine="420" w:firstLineChars="200"/>
            <w:rPr>
              <w:rFonts w:hint="eastAsia"/>
            </w:rPr>
          </w:pPr>
          <w:r>
            <w:rPr>
              <w:rFonts w:hint="eastAsia"/>
            </w:rPr>
            <w:t>（三）纺织印染</w:t>
          </w:r>
        </w:p>
        <w:p w14:paraId="2FE5C74E">
          <w:pPr>
            <w:ind w:firstLine="420" w:firstLineChars="200"/>
            <w:rPr>
              <w:rFonts w:hint="eastAsia"/>
            </w:rPr>
          </w:pPr>
          <w:r>
            <w:rPr>
              <w:rFonts w:hint="eastAsia"/>
            </w:rPr>
            <w:t>公司部分子公司从事纺织印染产品的研发、生产和销售，主要产品包括棉纱、棉线、棉布、染色布、针织面料、针织成衣、服饰产品、家纺制品等。</w:t>
          </w:r>
        </w:p>
        <w:p w14:paraId="1D1BD1BB">
          <w:pPr>
            <w:ind w:firstLine="420" w:firstLineChars="200"/>
            <w:rPr>
              <w:rFonts w:hint="eastAsia"/>
            </w:rPr>
          </w:pPr>
          <w:r>
            <w:rPr>
              <w:rFonts w:hint="eastAsia"/>
            </w:rPr>
            <w:t>（四）防护装具及装备</w:t>
          </w:r>
        </w:p>
        <w:p w14:paraId="4F49B6F8">
          <w:pPr>
            <w:ind w:firstLine="420" w:firstLineChars="200"/>
            <w:rPr>
              <w:rFonts w:hint="eastAsia"/>
            </w:rPr>
          </w:pPr>
          <w:r>
            <w:rPr>
              <w:rFonts w:hint="eastAsia"/>
            </w:rPr>
            <w:t>公司部分子公司从事功能性防护装具及装备、环保滤材等产品的研发、生产和销售，其中防护装备主要产品包括防弹衣、防弹头盔、防弹插板、防弹护具及其他功能器件等；功能性装具主要产品包括帐篷、携行具等；环保滤材主要产品包括</w:t>
          </w:r>
          <w:r>
            <w:t>PPS、P84、PTFE复合、NOMEX、ZMS系列、玻璃纤维滤料等。</w:t>
          </w:r>
        </w:p>
        <w:p w14:paraId="59FD1F3C">
          <w:pPr>
            <w:ind w:firstLine="420" w:firstLineChars="200"/>
            <w:rPr>
              <w:rFonts w:hint="eastAsia"/>
            </w:rPr>
          </w:pPr>
          <w:r>
            <w:rPr>
              <w:rFonts w:hint="eastAsia"/>
            </w:rPr>
            <w:t>（五）商贸物流业务</w:t>
          </w:r>
        </w:p>
        <w:p w14:paraId="5EA42426">
          <w:pPr>
            <w:ind w:firstLine="420" w:firstLineChars="200"/>
            <w:rPr>
              <w:rFonts w:hint="eastAsia"/>
            </w:rPr>
          </w:pPr>
          <w:r>
            <w:rPr>
              <w:rFonts w:hint="eastAsia"/>
            </w:rPr>
            <w:t>公司主要开展以军需品出口为主的国际贸易。公司子公司新兴际华国际贸易有限公司具有军需品出口资质，主要从事服装、鞋靴、面料、装具等产品的贸易业务。</w:t>
          </w:r>
        </w:p>
      </w:sdtContent>
    </w:sdt>
    <w:p w14:paraId="5A0BC076">
      <w:pPr>
        <w:rPr>
          <w:rFonts w:hint="eastAsia"/>
        </w:rPr>
      </w:pPr>
    </w:p>
    <w:p w14:paraId="0FE355F9">
      <w:pPr>
        <w:pStyle w:val="3"/>
        <w:numPr>
          <w:ilvl w:val="0"/>
          <w:numId w:val="7"/>
        </w:numPr>
        <w:ind w:left="369" w:hanging="369" w:hangingChars="175"/>
      </w:pPr>
      <w:r>
        <w:rPr>
          <w:rFonts w:hint="eastAsia"/>
        </w:rPr>
        <w:t>报告期内核心竞争力分析</w:t>
      </w:r>
    </w:p>
    <w:sdt>
      <w:sdtPr>
        <w:alias w:val="是否适用：报告期内核心竞争力分析[双击切换]"/>
        <w:tag w:val="_GBC_a03591f0f7444c9b8f5c55d6f75c3136"/>
        <w:id w:val="719019714"/>
        <w:placeholder>
          <w:docPart w:val="GBC22222222222222222222222222222"/>
        </w:placeholder>
      </w:sdtPr>
      <w:sdtContent>
        <w:p w14:paraId="1F65E28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956a57b53cd74344a32f2309bcc5f344"/>
        <w:id w:val="-2044431866"/>
        <w:placeholder>
          <w:docPart w:val="GBC22222222222222222222222222222"/>
        </w:placeholder>
      </w:sdtPr>
      <w:sdtEndPr>
        <w:rPr>
          <w:rFonts w:hint="eastAsia"/>
        </w:rPr>
      </w:sdtEndPr>
      <w:sdtContent>
        <w:p w14:paraId="16B623DB">
          <w:pPr>
            <w:ind w:firstLine="420" w:firstLineChars="200"/>
            <w:rPr>
              <w:rFonts w:hint="eastAsia"/>
            </w:rPr>
          </w:pPr>
          <w:r>
            <w:rPr>
              <w:rFonts w:hint="eastAsia"/>
            </w:rPr>
            <w:t>（一）领先的行业市场地位</w:t>
          </w:r>
        </w:p>
        <w:p w14:paraId="648A48EC">
          <w:pPr>
            <w:ind w:firstLine="420" w:firstLineChars="200"/>
            <w:rPr>
              <w:rFonts w:hint="eastAsia"/>
            </w:rPr>
          </w:pPr>
          <w:r>
            <w:rPr>
              <w:rFonts w:hint="eastAsia"/>
            </w:rPr>
            <w:t>公司是中国军队、武警部队军需品采购的主要供应商，是中国军需品、职业装、职业鞋靴的重要研发和生产基地，在军需品（包括服装、鞋、帽、配饰等）市场具有较大的影响力；公司是国家统一着装部门和单位以及其他职业装着装单位的主要供应商，在消防、公安、司法、检察院、法院、工商、税务、铁路、交通等国家统一着装部门制服市场占有较大市场份额；公司拥有军需品出口资质，具有全产品系列的综合出口保障能力。</w:t>
          </w:r>
        </w:p>
        <w:p w14:paraId="281C60B3">
          <w:pPr>
            <w:ind w:firstLine="420" w:firstLineChars="200"/>
            <w:rPr>
              <w:rFonts w:hint="eastAsia"/>
            </w:rPr>
          </w:pPr>
          <w:r>
            <w:rPr>
              <w:rFonts w:hint="eastAsia"/>
            </w:rPr>
            <w:t>（二）良好的产业协同能力</w:t>
          </w:r>
        </w:p>
        <w:p w14:paraId="63B67A22">
          <w:pPr>
            <w:ind w:firstLine="420" w:firstLineChars="200"/>
            <w:rPr>
              <w:rFonts w:hint="eastAsia"/>
            </w:rPr>
          </w:pPr>
          <w:r>
            <w:rPr>
              <w:rFonts w:hint="eastAsia"/>
            </w:rPr>
            <w:t xml:space="preserve">公司拥有纺纱、织布、印染、制衣、服饰、防护装具的完整产业链，具备从研发设计、生产制造，到销售、服务的协同优势。公司所属企业分布在全国23个省、自治区和直辖市，区位优势明显，在产品研发、原料供应、生产组织和销售渠道方面具有良好产业协同能力。 </w:t>
          </w:r>
        </w:p>
        <w:p w14:paraId="6A7852A6">
          <w:pPr>
            <w:ind w:firstLine="420" w:firstLineChars="200"/>
            <w:rPr>
              <w:rFonts w:hint="eastAsia"/>
            </w:rPr>
          </w:pPr>
          <w:r>
            <w:rPr>
              <w:rFonts w:hint="eastAsia"/>
            </w:rPr>
            <w:t>（三）较强的研发创新能力</w:t>
          </w:r>
        </w:p>
        <w:p w14:paraId="2507A484">
          <w:pPr>
            <w:ind w:firstLine="420" w:firstLineChars="200"/>
            <w:rPr>
              <w:rFonts w:hint="eastAsia"/>
            </w:rPr>
          </w:pPr>
          <w:r>
            <w:rPr>
              <w:rFonts w:hint="eastAsia"/>
            </w:rPr>
            <w:t>公司“1+4+N”的上下协同、高效联动的研发创新体系不断完善，聚焦市场需求，加大资源投入，核心关键技术取得积极进展，公司主业技术谱系和产品谱系初步形成。公司打造了设计师特色研发体系，挂牌9个设计师工作室，以一流设计力赋能公司产品创新。目前共拥有2个国家级企业技术中心、 3个国家级工业设计中心、1个博士后科研工作站，1个博士后科研流动站协作研发中心、21个省级企业技术中心、6个省级工程技术研究中心、2个省级工程研究中心、8个省级工业设计中心、2个省级重点实验室、2家省级产业技术研究院。</w:t>
          </w:r>
        </w:p>
        <w:p w14:paraId="313F193F">
          <w:pPr>
            <w:ind w:firstLine="420" w:firstLineChars="200"/>
            <w:rPr>
              <w:rFonts w:hint="eastAsia"/>
            </w:rPr>
          </w:pPr>
          <w:r>
            <w:rPr>
              <w:rFonts w:hint="eastAsia"/>
            </w:rPr>
            <w:t>（四）优良的行业品牌形象</w:t>
          </w:r>
        </w:p>
        <w:p w14:paraId="7F5360DA">
          <w:pPr>
            <w:ind w:firstLine="420" w:firstLineChars="200"/>
            <w:rPr>
              <w:rFonts w:hint="eastAsia"/>
            </w:rPr>
          </w:pPr>
          <w:r>
            <w:rPr>
              <w:rFonts w:hint="eastAsia"/>
            </w:rPr>
            <w:t>公司建立了以“际华”品牌作为母品牌的多元化业务母子品牌架构体系,“际华”品牌在中国500最具价值品牌中位列243位。公司是中国军队、武警部队军需品采购的主要供应商，际华品牌在国内军需品市场具有强大的影响力，在国际军需品市场享有盛誉。依托在军需品市场的影响力和产品品质，公司在民用职业服饰市场的影响力也在不断提升，在统一着装部门制服市场及央企、大中型企业工装、行业制服、劳保配装市场份额不断扩大。公司积极践行“保军、应急、为民”使命宗旨，发挥了服务国防、保障军需、应急救援的主力军作用，在历次阅兵等重大保障、抗震防洪救灾等急难险重任务中彰显了央企“国家队”的重要地位，提升了行业地位和品牌形象。</w:t>
          </w:r>
        </w:p>
      </w:sdtContent>
    </w:sdt>
    <w:p w14:paraId="3CB78075">
      <w:pPr>
        <w:rPr>
          <w:rFonts w:hint="eastAsia" w:asciiTheme="minorEastAsia" w:hAnsiTheme="minorEastAsia" w:eastAsiaTheme="minorEastAsia"/>
        </w:rPr>
      </w:pPr>
    </w:p>
    <w:p w14:paraId="768ED957">
      <w:pPr>
        <w:pStyle w:val="3"/>
        <w:numPr>
          <w:ilvl w:val="0"/>
          <w:numId w:val="7"/>
        </w:numPr>
        <w:ind w:left="369" w:hanging="369" w:hangingChars="175"/>
      </w:pPr>
      <w:r>
        <w:rPr>
          <w:rFonts w:hint="eastAsia"/>
        </w:rPr>
        <w:t>报告期内主要经营情况</w:t>
      </w:r>
    </w:p>
    <w:sdt>
      <w:sdtPr>
        <w:rPr>
          <w:rFonts w:hint="eastAsia"/>
        </w:rPr>
        <w:alias w:val="报告期内主要经营情况"/>
        <w:tag w:val="_GBC_655a1c6ffd2a454085e53e5538e3b2ef"/>
        <w:id w:val="1919441115"/>
        <w:placeholder>
          <w:docPart w:val="GBC22222222222222222222222222222"/>
        </w:placeholder>
      </w:sdtPr>
      <w:sdtEndPr>
        <w:rPr>
          <w:rFonts w:hint="eastAsia"/>
        </w:rPr>
      </w:sdtEndPr>
      <w:sdtContent>
        <w:p w14:paraId="6134C3D5">
          <w:pPr>
            <w:ind w:firstLine="420" w:firstLineChars="200"/>
            <w:rPr>
              <w:rFonts w:hint="eastAsia"/>
            </w:rPr>
          </w:pPr>
          <w:r>
            <w:rPr>
              <w:rFonts w:hint="eastAsia"/>
            </w:rPr>
            <w:t>2024年，公司实现营业收入98.86亿元，同比下降14.49%；实现归属于上市公司股东的净利润-42.28亿元，同比下降2,418.90%。2024年末资产总额211.73亿元，同比下降19.91%。</w:t>
          </w:r>
        </w:p>
      </w:sdtContent>
    </w:sdt>
    <w:p w14:paraId="4049AB81">
      <w:pPr>
        <w:rPr>
          <w:rFonts w:hint="eastAsia"/>
        </w:rPr>
      </w:pPr>
    </w:p>
    <w:p w14:paraId="3F499977">
      <w:pPr>
        <w:pStyle w:val="4"/>
        <w:numPr>
          <w:ilvl w:val="0"/>
          <w:numId w:val="8"/>
        </w:numPr>
        <w:ind w:left="0" w:firstLine="0"/>
        <w:rPr>
          <w:szCs w:val="21"/>
        </w:rPr>
      </w:pPr>
      <w:bookmarkStart w:id="32" w:name="_Toc342565895"/>
      <w:bookmarkStart w:id="33" w:name="_Toc342559738"/>
      <w:r>
        <w:rPr>
          <w:rFonts w:hint="eastAsia"/>
          <w:szCs w:val="21"/>
        </w:rPr>
        <w:t>主营业务分析</w:t>
      </w:r>
      <w:bookmarkEnd w:id="32"/>
      <w:bookmarkEnd w:id="33"/>
    </w:p>
    <w:p w14:paraId="059131A4">
      <w:pPr>
        <w:pStyle w:val="5"/>
        <w:numPr>
          <w:ilvl w:val="0"/>
          <w:numId w:val="9"/>
        </w:numPr>
        <w:rPr>
          <w:rFonts w:hint="eastAsia"/>
        </w:rPr>
      </w:pPr>
      <w:r>
        <w:t>利润表及现金流量表相关科目变动分析表</w:t>
      </w:r>
    </w:p>
    <w:p w14:paraId="2E2A1807">
      <w:pPr>
        <w:pStyle w:val="44"/>
        <w:ind w:left="360" w:firstLine="0" w:firstLineChars="0"/>
        <w:jc w:val="right"/>
        <w:rPr>
          <w:rFonts w:hint="eastAsia" w:ascii="宋体" w:hAnsi="宋体"/>
        </w:rPr>
      </w:pPr>
      <w:bookmarkStart w:id="34" w:name="_Hlk89098131"/>
      <w:bookmarkStart w:id="35" w:name="_Hlk10208083"/>
      <w:r>
        <w:rPr>
          <w:rFonts w:hint="eastAsia" w:ascii="宋体" w:hAnsi="宋体"/>
          <w:szCs w:val="21"/>
        </w:rPr>
        <w:t>单位</w:t>
      </w:r>
      <w:r>
        <w:rPr>
          <w:rFonts w:ascii="宋体" w:hAnsi="宋体"/>
          <w:szCs w:val="21"/>
        </w:rPr>
        <w:t>：</w:t>
      </w:r>
      <w:sdt>
        <w:sdtPr>
          <w:rPr>
            <w:rFonts w:ascii="宋体" w:hAnsi="宋体"/>
            <w:szCs w:val="21"/>
          </w:rPr>
          <w:alias w:val="单位：利润表及现金流量表相关科目变动分析表"/>
          <w:tag w:val="_GBC_a5fffb3a862348719225255f65c5850b"/>
          <w:id w:val="7984143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宋体" w:hAnsi="宋体"/>
            <w:szCs w:val="21"/>
          </w:rPr>
        </w:sdtEndPr>
        <w:sdtContent>
          <w:r>
            <w:rPr>
              <w:rFonts w:ascii="宋体" w:hAnsi="宋体"/>
              <w:szCs w:val="21"/>
            </w:rPr>
            <w:t>元</w:t>
          </w:r>
        </w:sdtContent>
      </w:sdt>
      <w:r>
        <w:rPr>
          <w:rFonts w:hint="eastAsia" w:ascii="宋体" w:hAnsi="宋体"/>
          <w:szCs w:val="21"/>
        </w:rPr>
        <w:t xml:space="preserve">  币种</w:t>
      </w:r>
      <w:r>
        <w:rPr>
          <w:rFonts w:ascii="宋体" w:hAnsi="宋体"/>
          <w:szCs w:val="21"/>
        </w:rPr>
        <w:t>：</w:t>
      </w:r>
      <w:sdt>
        <w:sdtPr>
          <w:rPr>
            <w:rFonts w:ascii="宋体" w:hAnsi="宋体"/>
            <w:szCs w:val="21"/>
          </w:rPr>
          <w:alias w:val="币种：利润表及现金流量表相关科目变动分析表"/>
          <w:tag w:val="_GBC_4dcf9e4b2ba546cd926a1de5fc18f92f"/>
          <w:id w:val="12740529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宋体" w:hAnsi="宋体"/>
            <w:szCs w:val="21"/>
          </w:rPr>
        </w:sdtEndPr>
        <w:sdtContent>
          <w:r>
            <w:rPr>
              <w:rFonts w:ascii="宋体" w:hAnsi="宋体"/>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9"/>
        <w:gridCol w:w="1987"/>
        <w:gridCol w:w="1987"/>
        <w:gridCol w:w="1986"/>
      </w:tblGrid>
      <w:tr w14:paraId="2DBA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184eafc8be3478d9fc8a544274385f7"/>
            <w:id w:val="-1384406847"/>
          </w:sdtPr>
          <w:sdtContent>
            <w:tc>
              <w:tcPr>
                <w:tcW w:w="1707" w:type="pct"/>
                <w:vAlign w:val="center"/>
              </w:tcPr>
              <w:p w14:paraId="1FE887E8">
                <w:pPr>
                  <w:pStyle w:val="44"/>
                  <w:ind w:firstLine="0" w:firstLineChars="0"/>
                  <w:jc w:val="center"/>
                  <w:rPr>
                    <w:rFonts w:hint="eastAsia" w:ascii="宋体" w:hAnsi="宋体"/>
                    <w:szCs w:val="21"/>
                  </w:rPr>
                </w:pPr>
                <w:bookmarkStart w:id="36" w:name="_Hlk10208057"/>
                <w:r>
                  <w:rPr>
                    <w:rFonts w:hint="eastAsia" w:ascii="宋体" w:hAnsi="宋体"/>
                    <w:szCs w:val="21"/>
                  </w:rPr>
                  <w:t>科目</w:t>
                </w:r>
              </w:p>
            </w:tc>
          </w:sdtContent>
        </w:sdt>
        <w:sdt>
          <w:sdtPr>
            <w:tag w:val="_PLD_c49cd176da60479fbcfeedd35cc9f509"/>
            <w:id w:val="1889134583"/>
          </w:sdtPr>
          <w:sdtContent>
            <w:tc>
              <w:tcPr>
                <w:tcW w:w="1098" w:type="pct"/>
                <w:vAlign w:val="center"/>
              </w:tcPr>
              <w:p w14:paraId="36B28E12">
                <w:pPr>
                  <w:pStyle w:val="44"/>
                  <w:ind w:firstLine="0" w:firstLineChars="0"/>
                  <w:jc w:val="center"/>
                  <w:rPr>
                    <w:rFonts w:hint="eastAsia" w:ascii="宋体" w:hAnsi="宋体"/>
                    <w:szCs w:val="21"/>
                  </w:rPr>
                </w:pPr>
                <w:r>
                  <w:rPr>
                    <w:rFonts w:hint="eastAsia" w:ascii="宋体" w:hAnsi="宋体"/>
                    <w:szCs w:val="21"/>
                  </w:rPr>
                  <w:t>本期数</w:t>
                </w:r>
              </w:p>
            </w:tc>
          </w:sdtContent>
        </w:sdt>
        <w:sdt>
          <w:sdtPr>
            <w:tag w:val="_PLD_0b6df7534554463db9f304bbe9b6a71e"/>
            <w:id w:val="1644241122"/>
          </w:sdtPr>
          <w:sdtContent>
            <w:tc>
              <w:tcPr>
                <w:tcW w:w="1098" w:type="pct"/>
                <w:vAlign w:val="center"/>
              </w:tcPr>
              <w:p w14:paraId="7B012A9E">
                <w:pPr>
                  <w:pStyle w:val="44"/>
                  <w:ind w:firstLine="0" w:firstLineChars="0"/>
                  <w:jc w:val="center"/>
                  <w:rPr>
                    <w:rFonts w:hint="eastAsia" w:ascii="宋体" w:hAnsi="宋体"/>
                    <w:szCs w:val="21"/>
                  </w:rPr>
                </w:pPr>
                <w:r>
                  <w:rPr>
                    <w:rFonts w:hint="eastAsia" w:ascii="宋体" w:hAnsi="宋体"/>
                    <w:szCs w:val="21"/>
                  </w:rPr>
                  <w:t>上年同期数</w:t>
                </w:r>
              </w:p>
            </w:tc>
          </w:sdtContent>
        </w:sdt>
        <w:sdt>
          <w:sdtPr>
            <w:tag w:val="_PLD_a903eeff1728490ba821c9389249303c"/>
            <w:id w:val="-961577783"/>
          </w:sdtPr>
          <w:sdtContent>
            <w:tc>
              <w:tcPr>
                <w:tcW w:w="1098" w:type="pct"/>
                <w:vAlign w:val="center"/>
              </w:tcPr>
              <w:p w14:paraId="76CCE6AE">
                <w:pPr>
                  <w:pStyle w:val="44"/>
                  <w:ind w:firstLine="0" w:firstLineChars="0"/>
                  <w:jc w:val="center"/>
                  <w:rPr>
                    <w:rFonts w:hint="eastAsia" w:ascii="宋体" w:hAnsi="宋体"/>
                    <w:szCs w:val="21"/>
                  </w:rPr>
                </w:pPr>
                <w:r>
                  <w:rPr>
                    <w:rFonts w:hint="eastAsia" w:ascii="宋体" w:hAnsi="宋体"/>
                    <w:szCs w:val="21"/>
                  </w:rPr>
                  <w:t>变动比例（%）</w:t>
                </w:r>
              </w:p>
            </w:tc>
          </w:sdtContent>
        </w:sdt>
      </w:tr>
      <w:tr w14:paraId="2810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6CCC25DF">
            <w:pPr>
              <w:pStyle w:val="44"/>
              <w:ind w:firstLine="0" w:firstLineChars="0"/>
              <w:rPr>
                <w:rFonts w:hint="eastAsia" w:ascii="宋体" w:hAnsi="宋体"/>
                <w:szCs w:val="21"/>
              </w:rPr>
            </w:pPr>
            <w:r>
              <w:rPr>
                <w:rFonts w:hint="eastAsia" w:ascii="宋体" w:hAnsi="宋体"/>
                <w:szCs w:val="21"/>
              </w:rPr>
              <w:t>营业收入</w:t>
            </w:r>
          </w:p>
        </w:tc>
        <w:tc>
          <w:tcPr>
            <w:tcW w:w="1098" w:type="pct"/>
            <w:vAlign w:val="bottom"/>
          </w:tcPr>
          <w:p w14:paraId="6ED5D159">
            <w:pPr>
              <w:pStyle w:val="44"/>
              <w:ind w:firstLine="0" w:firstLineChars="0"/>
              <w:jc w:val="right"/>
              <w:rPr>
                <w:rFonts w:hint="eastAsia" w:ascii="宋体" w:hAnsi="宋体"/>
                <w:szCs w:val="21"/>
              </w:rPr>
            </w:pPr>
            <w:r>
              <w:rPr>
                <w:rFonts w:ascii="Arial Narrow" w:hAnsi="Arial Narrow" w:eastAsia="等线"/>
                <w:color w:val="000000"/>
                <w:szCs w:val="21"/>
              </w:rPr>
              <w:t xml:space="preserve">9,886,097,757.33 </w:t>
            </w:r>
          </w:p>
        </w:tc>
        <w:tc>
          <w:tcPr>
            <w:tcW w:w="1098" w:type="pct"/>
            <w:vAlign w:val="bottom"/>
          </w:tcPr>
          <w:p w14:paraId="1BCD2E8F">
            <w:pPr>
              <w:pStyle w:val="44"/>
              <w:ind w:firstLine="0" w:firstLineChars="0"/>
              <w:jc w:val="right"/>
              <w:rPr>
                <w:rFonts w:hint="eastAsia" w:ascii="宋体" w:hAnsi="宋体"/>
                <w:szCs w:val="21"/>
              </w:rPr>
            </w:pPr>
            <w:r>
              <w:rPr>
                <w:rFonts w:ascii="Arial Narrow" w:hAnsi="Arial Narrow" w:eastAsia="等线"/>
                <w:color w:val="000000"/>
                <w:szCs w:val="21"/>
              </w:rPr>
              <w:t xml:space="preserve">11,560,688,799.90 </w:t>
            </w:r>
          </w:p>
        </w:tc>
        <w:tc>
          <w:tcPr>
            <w:tcW w:w="1098" w:type="pct"/>
            <w:vAlign w:val="bottom"/>
          </w:tcPr>
          <w:p w14:paraId="297FD4BB">
            <w:pPr>
              <w:pStyle w:val="44"/>
              <w:ind w:firstLine="0" w:firstLineChars="0"/>
              <w:jc w:val="right"/>
              <w:rPr>
                <w:rFonts w:hint="eastAsia" w:ascii="宋体" w:hAnsi="宋体"/>
                <w:szCs w:val="21"/>
              </w:rPr>
            </w:pPr>
            <w:r>
              <w:rPr>
                <w:rFonts w:ascii="Arial Narrow" w:hAnsi="Arial Narrow" w:eastAsia="等线"/>
                <w:color w:val="000000"/>
                <w:szCs w:val="21"/>
              </w:rPr>
              <w:t xml:space="preserve">-14.49 </w:t>
            </w:r>
          </w:p>
        </w:tc>
      </w:tr>
      <w:tr w14:paraId="110D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26AC4665">
            <w:pPr>
              <w:pStyle w:val="44"/>
              <w:ind w:firstLine="0" w:firstLineChars="0"/>
              <w:rPr>
                <w:rFonts w:hint="eastAsia" w:ascii="宋体" w:hAnsi="宋体"/>
                <w:szCs w:val="21"/>
              </w:rPr>
            </w:pPr>
            <w:r>
              <w:rPr>
                <w:rFonts w:ascii="宋体" w:hAnsi="宋体"/>
                <w:szCs w:val="21"/>
              </w:rPr>
              <w:t>营业成本</w:t>
            </w:r>
          </w:p>
        </w:tc>
        <w:tc>
          <w:tcPr>
            <w:tcW w:w="1098" w:type="pct"/>
            <w:vAlign w:val="bottom"/>
          </w:tcPr>
          <w:p w14:paraId="3A15516E">
            <w:pPr>
              <w:pStyle w:val="44"/>
              <w:ind w:firstLine="0" w:firstLineChars="0"/>
              <w:jc w:val="right"/>
              <w:rPr>
                <w:rFonts w:hint="eastAsia" w:ascii="宋体" w:hAnsi="宋体"/>
                <w:szCs w:val="21"/>
              </w:rPr>
            </w:pPr>
            <w:r>
              <w:rPr>
                <w:rFonts w:ascii="Arial Narrow" w:hAnsi="Arial Narrow" w:eastAsia="等线"/>
                <w:color w:val="000000"/>
                <w:szCs w:val="21"/>
              </w:rPr>
              <w:t xml:space="preserve">9,206,181,408.27 </w:t>
            </w:r>
          </w:p>
        </w:tc>
        <w:tc>
          <w:tcPr>
            <w:tcW w:w="1098" w:type="pct"/>
            <w:vAlign w:val="bottom"/>
          </w:tcPr>
          <w:p w14:paraId="5EE1C067">
            <w:pPr>
              <w:pStyle w:val="44"/>
              <w:ind w:firstLine="0" w:firstLineChars="0"/>
              <w:jc w:val="right"/>
              <w:rPr>
                <w:rFonts w:hint="eastAsia" w:ascii="宋体" w:hAnsi="宋体"/>
                <w:szCs w:val="21"/>
              </w:rPr>
            </w:pPr>
            <w:r>
              <w:rPr>
                <w:rFonts w:ascii="Arial Narrow" w:hAnsi="Arial Narrow" w:eastAsia="等线"/>
                <w:color w:val="000000"/>
                <w:szCs w:val="21"/>
              </w:rPr>
              <w:t xml:space="preserve">9,943,617,331.77 </w:t>
            </w:r>
          </w:p>
        </w:tc>
        <w:tc>
          <w:tcPr>
            <w:tcW w:w="1098" w:type="pct"/>
            <w:vAlign w:val="bottom"/>
          </w:tcPr>
          <w:p w14:paraId="159F0849">
            <w:pPr>
              <w:pStyle w:val="44"/>
              <w:ind w:firstLine="0" w:firstLineChars="0"/>
              <w:jc w:val="right"/>
              <w:rPr>
                <w:rFonts w:hint="eastAsia" w:ascii="宋体" w:hAnsi="宋体"/>
                <w:szCs w:val="21"/>
              </w:rPr>
            </w:pPr>
            <w:r>
              <w:rPr>
                <w:rFonts w:ascii="Arial Narrow" w:hAnsi="Arial Narrow" w:eastAsia="等线"/>
                <w:color w:val="000000"/>
                <w:szCs w:val="21"/>
              </w:rPr>
              <w:t xml:space="preserve">-7.42 </w:t>
            </w:r>
          </w:p>
        </w:tc>
      </w:tr>
      <w:tr w14:paraId="271C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52332B1D">
            <w:pPr>
              <w:pStyle w:val="44"/>
              <w:ind w:firstLine="0" w:firstLineChars="0"/>
              <w:rPr>
                <w:rFonts w:hint="eastAsia" w:ascii="宋体" w:hAnsi="宋体"/>
                <w:szCs w:val="21"/>
              </w:rPr>
            </w:pPr>
            <w:r>
              <w:rPr>
                <w:rFonts w:ascii="宋体" w:hAnsi="宋体"/>
                <w:szCs w:val="21"/>
              </w:rPr>
              <w:t>销售费用</w:t>
            </w:r>
          </w:p>
        </w:tc>
        <w:tc>
          <w:tcPr>
            <w:tcW w:w="1098" w:type="pct"/>
            <w:vAlign w:val="bottom"/>
          </w:tcPr>
          <w:p w14:paraId="1009E742">
            <w:pPr>
              <w:pStyle w:val="44"/>
              <w:ind w:firstLine="0" w:firstLineChars="0"/>
              <w:jc w:val="right"/>
              <w:rPr>
                <w:rFonts w:hint="eastAsia" w:ascii="宋体" w:hAnsi="宋体"/>
                <w:szCs w:val="21"/>
              </w:rPr>
            </w:pPr>
            <w:r>
              <w:rPr>
                <w:rFonts w:ascii="Arial Narrow" w:hAnsi="Arial Narrow" w:eastAsia="等线"/>
                <w:color w:val="000000"/>
                <w:szCs w:val="21"/>
              </w:rPr>
              <w:t xml:space="preserve">457,864,974.69 </w:t>
            </w:r>
          </w:p>
        </w:tc>
        <w:tc>
          <w:tcPr>
            <w:tcW w:w="1098" w:type="pct"/>
            <w:vAlign w:val="bottom"/>
          </w:tcPr>
          <w:p w14:paraId="66F97BC8">
            <w:pPr>
              <w:pStyle w:val="44"/>
              <w:ind w:firstLine="0" w:firstLineChars="0"/>
              <w:jc w:val="right"/>
              <w:rPr>
                <w:rFonts w:hint="eastAsia" w:ascii="宋体" w:hAnsi="宋体"/>
                <w:szCs w:val="21"/>
              </w:rPr>
            </w:pPr>
            <w:r>
              <w:rPr>
                <w:rFonts w:ascii="Arial Narrow" w:hAnsi="Arial Narrow" w:eastAsia="等线"/>
                <w:color w:val="000000"/>
                <w:szCs w:val="21"/>
              </w:rPr>
              <w:t xml:space="preserve">363,673,477.93 </w:t>
            </w:r>
          </w:p>
        </w:tc>
        <w:tc>
          <w:tcPr>
            <w:tcW w:w="1098" w:type="pct"/>
            <w:vAlign w:val="bottom"/>
          </w:tcPr>
          <w:p w14:paraId="0C0E9953">
            <w:pPr>
              <w:pStyle w:val="44"/>
              <w:ind w:firstLine="0" w:firstLineChars="0"/>
              <w:jc w:val="right"/>
              <w:rPr>
                <w:rFonts w:hint="eastAsia" w:ascii="宋体" w:hAnsi="宋体"/>
                <w:szCs w:val="21"/>
              </w:rPr>
            </w:pPr>
            <w:r>
              <w:rPr>
                <w:rFonts w:ascii="Arial Narrow" w:hAnsi="Arial Narrow" w:eastAsia="等线"/>
                <w:color w:val="000000"/>
                <w:szCs w:val="21"/>
              </w:rPr>
              <w:t xml:space="preserve">25.90 </w:t>
            </w:r>
          </w:p>
        </w:tc>
      </w:tr>
      <w:tr w14:paraId="0136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170B85D3">
            <w:pPr>
              <w:pStyle w:val="44"/>
              <w:ind w:firstLine="0" w:firstLineChars="0"/>
              <w:rPr>
                <w:rFonts w:hint="eastAsia" w:ascii="宋体" w:hAnsi="宋体"/>
                <w:szCs w:val="21"/>
              </w:rPr>
            </w:pPr>
            <w:r>
              <w:rPr>
                <w:rFonts w:ascii="宋体" w:hAnsi="宋体"/>
                <w:szCs w:val="21"/>
              </w:rPr>
              <w:t>管理费用</w:t>
            </w:r>
          </w:p>
        </w:tc>
        <w:tc>
          <w:tcPr>
            <w:tcW w:w="1098" w:type="pct"/>
            <w:vAlign w:val="bottom"/>
          </w:tcPr>
          <w:p w14:paraId="30199B90">
            <w:pPr>
              <w:pStyle w:val="44"/>
              <w:ind w:firstLine="0" w:firstLineChars="0"/>
              <w:jc w:val="right"/>
              <w:rPr>
                <w:rFonts w:hint="eastAsia" w:ascii="宋体" w:hAnsi="宋体"/>
                <w:szCs w:val="21"/>
              </w:rPr>
            </w:pPr>
            <w:r>
              <w:rPr>
                <w:rFonts w:ascii="Arial Narrow" w:hAnsi="Arial Narrow" w:eastAsia="等线"/>
                <w:color w:val="000000"/>
                <w:szCs w:val="21"/>
              </w:rPr>
              <w:t xml:space="preserve">976,107,086.54 </w:t>
            </w:r>
          </w:p>
        </w:tc>
        <w:tc>
          <w:tcPr>
            <w:tcW w:w="1098" w:type="pct"/>
            <w:vAlign w:val="bottom"/>
          </w:tcPr>
          <w:p w14:paraId="6171A7B8">
            <w:pPr>
              <w:pStyle w:val="44"/>
              <w:ind w:firstLine="0" w:firstLineChars="0"/>
              <w:jc w:val="right"/>
              <w:rPr>
                <w:rFonts w:hint="eastAsia" w:ascii="宋体" w:hAnsi="宋体"/>
                <w:szCs w:val="21"/>
              </w:rPr>
            </w:pPr>
            <w:r>
              <w:rPr>
                <w:rFonts w:ascii="Arial Narrow" w:hAnsi="Arial Narrow" w:eastAsia="等线"/>
                <w:color w:val="000000"/>
                <w:szCs w:val="21"/>
              </w:rPr>
              <w:t xml:space="preserve">686,297,644.55 </w:t>
            </w:r>
          </w:p>
        </w:tc>
        <w:tc>
          <w:tcPr>
            <w:tcW w:w="1098" w:type="pct"/>
            <w:vAlign w:val="bottom"/>
          </w:tcPr>
          <w:p w14:paraId="603C37D3">
            <w:pPr>
              <w:pStyle w:val="44"/>
              <w:ind w:firstLine="0" w:firstLineChars="0"/>
              <w:jc w:val="right"/>
              <w:rPr>
                <w:rFonts w:hint="eastAsia" w:ascii="宋体" w:hAnsi="宋体"/>
                <w:szCs w:val="21"/>
              </w:rPr>
            </w:pPr>
            <w:r>
              <w:rPr>
                <w:rFonts w:ascii="Arial Narrow" w:hAnsi="Arial Narrow" w:eastAsia="等线"/>
                <w:color w:val="000000"/>
                <w:szCs w:val="21"/>
              </w:rPr>
              <w:t xml:space="preserve">42.23 </w:t>
            </w:r>
          </w:p>
        </w:tc>
      </w:tr>
      <w:tr w14:paraId="07D7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250FCB5F">
            <w:pPr>
              <w:pStyle w:val="44"/>
              <w:ind w:firstLine="0" w:firstLineChars="0"/>
              <w:rPr>
                <w:rFonts w:hint="eastAsia" w:ascii="宋体" w:hAnsi="宋体"/>
                <w:szCs w:val="21"/>
              </w:rPr>
            </w:pPr>
            <w:r>
              <w:rPr>
                <w:rFonts w:ascii="宋体" w:hAnsi="宋体"/>
                <w:szCs w:val="21"/>
              </w:rPr>
              <w:t>财务费用</w:t>
            </w:r>
          </w:p>
        </w:tc>
        <w:tc>
          <w:tcPr>
            <w:tcW w:w="1098" w:type="pct"/>
            <w:vAlign w:val="bottom"/>
          </w:tcPr>
          <w:p w14:paraId="69F9D101">
            <w:pPr>
              <w:pStyle w:val="44"/>
              <w:ind w:firstLine="0" w:firstLineChars="0"/>
              <w:jc w:val="right"/>
              <w:rPr>
                <w:rFonts w:hint="eastAsia" w:ascii="宋体" w:hAnsi="宋体"/>
                <w:szCs w:val="21"/>
              </w:rPr>
            </w:pPr>
            <w:r>
              <w:rPr>
                <w:rFonts w:ascii="Arial Narrow" w:hAnsi="Arial Narrow" w:eastAsia="等线"/>
                <w:color w:val="000000"/>
                <w:szCs w:val="21"/>
              </w:rPr>
              <w:t xml:space="preserve">-28,613,120.86 </w:t>
            </w:r>
          </w:p>
        </w:tc>
        <w:tc>
          <w:tcPr>
            <w:tcW w:w="1098" w:type="pct"/>
            <w:vAlign w:val="bottom"/>
          </w:tcPr>
          <w:p w14:paraId="2FD4025F">
            <w:pPr>
              <w:pStyle w:val="44"/>
              <w:ind w:firstLine="0" w:firstLineChars="0"/>
              <w:jc w:val="right"/>
              <w:rPr>
                <w:rFonts w:hint="eastAsia" w:ascii="宋体" w:hAnsi="宋体"/>
                <w:szCs w:val="21"/>
              </w:rPr>
            </w:pPr>
            <w:r>
              <w:rPr>
                <w:rFonts w:ascii="Arial Narrow" w:hAnsi="Arial Narrow" w:eastAsia="等线"/>
                <w:color w:val="000000"/>
                <w:szCs w:val="21"/>
              </w:rPr>
              <w:t xml:space="preserve">-41,288,393.21 </w:t>
            </w:r>
          </w:p>
        </w:tc>
        <w:tc>
          <w:tcPr>
            <w:tcW w:w="1098" w:type="pct"/>
            <w:vAlign w:val="bottom"/>
          </w:tcPr>
          <w:p w14:paraId="736BC0FD">
            <w:pPr>
              <w:pStyle w:val="44"/>
              <w:ind w:firstLine="0" w:firstLineChars="0"/>
              <w:jc w:val="right"/>
              <w:rPr>
                <w:rFonts w:hint="eastAsia" w:ascii="宋体" w:hAnsi="宋体"/>
                <w:szCs w:val="21"/>
              </w:rPr>
            </w:pPr>
            <w:r>
              <w:rPr>
                <w:rFonts w:hint="eastAsia"/>
                <w:color w:val="000000"/>
                <w:szCs w:val="21"/>
              </w:rPr>
              <w:t>不适用</w:t>
            </w:r>
          </w:p>
        </w:tc>
      </w:tr>
      <w:tr w14:paraId="7868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7510CA06">
            <w:pPr>
              <w:pStyle w:val="44"/>
              <w:ind w:firstLine="0" w:firstLineChars="0"/>
              <w:rPr>
                <w:rFonts w:hint="eastAsia" w:ascii="宋体" w:hAnsi="宋体"/>
                <w:szCs w:val="21"/>
              </w:rPr>
            </w:pPr>
            <w:r>
              <w:rPr>
                <w:rFonts w:hint="eastAsia" w:ascii="宋体" w:hAnsi="宋体"/>
                <w:szCs w:val="21"/>
              </w:rPr>
              <w:t>研发费用</w:t>
            </w:r>
          </w:p>
        </w:tc>
        <w:tc>
          <w:tcPr>
            <w:tcW w:w="1098" w:type="pct"/>
            <w:vAlign w:val="bottom"/>
          </w:tcPr>
          <w:p w14:paraId="202343AA">
            <w:pPr>
              <w:pStyle w:val="44"/>
              <w:ind w:firstLine="0" w:firstLineChars="0"/>
              <w:jc w:val="right"/>
              <w:rPr>
                <w:rFonts w:hint="eastAsia" w:ascii="宋体" w:hAnsi="宋体"/>
                <w:szCs w:val="21"/>
              </w:rPr>
            </w:pPr>
            <w:r>
              <w:rPr>
                <w:rFonts w:ascii="Arial Narrow" w:hAnsi="Arial Narrow" w:eastAsia="等线"/>
                <w:color w:val="000000"/>
                <w:szCs w:val="21"/>
              </w:rPr>
              <w:t xml:space="preserve">337,042,737.59 </w:t>
            </w:r>
          </w:p>
        </w:tc>
        <w:tc>
          <w:tcPr>
            <w:tcW w:w="1098" w:type="pct"/>
            <w:vAlign w:val="bottom"/>
          </w:tcPr>
          <w:p w14:paraId="03E7916D">
            <w:pPr>
              <w:pStyle w:val="44"/>
              <w:ind w:firstLine="0" w:firstLineChars="0"/>
              <w:jc w:val="right"/>
              <w:rPr>
                <w:rFonts w:hint="eastAsia" w:ascii="宋体" w:hAnsi="宋体"/>
                <w:szCs w:val="21"/>
              </w:rPr>
            </w:pPr>
            <w:r>
              <w:rPr>
                <w:rFonts w:ascii="Arial Narrow" w:hAnsi="Arial Narrow" w:eastAsia="等线"/>
                <w:color w:val="000000"/>
                <w:szCs w:val="21"/>
              </w:rPr>
              <w:t xml:space="preserve">377,513,443.67 </w:t>
            </w:r>
          </w:p>
        </w:tc>
        <w:tc>
          <w:tcPr>
            <w:tcW w:w="1098" w:type="pct"/>
            <w:vAlign w:val="bottom"/>
          </w:tcPr>
          <w:p w14:paraId="65C2ACB5">
            <w:pPr>
              <w:pStyle w:val="44"/>
              <w:ind w:firstLine="0" w:firstLineChars="0"/>
              <w:jc w:val="right"/>
              <w:rPr>
                <w:rFonts w:hint="eastAsia" w:ascii="宋体" w:hAnsi="宋体"/>
                <w:szCs w:val="21"/>
              </w:rPr>
            </w:pPr>
            <w:r>
              <w:rPr>
                <w:rFonts w:ascii="Arial Narrow" w:hAnsi="Arial Narrow" w:eastAsia="等线"/>
                <w:color w:val="000000"/>
                <w:szCs w:val="21"/>
              </w:rPr>
              <w:t xml:space="preserve">-10.72 </w:t>
            </w:r>
          </w:p>
        </w:tc>
      </w:tr>
      <w:tr w14:paraId="7283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5AECD475">
            <w:pPr>
              <w:pStyle w:val="44"/>
              <w:ind w:firstLine="0" w:firstLineChars="0"/>
              <w:rPr>
                <w:rFonts w:hint="eastAsia" w:ascii="宋体" w:hAnsi="宋体"/>
                <w:szCs w:val="21"/>
              </w:rPr>
            </w:pPr>
            <w:r>
              <w:rPr>
                <w:rFonts w:ascii="宋体" w:hAnsi="宋体"/>
                <w:szCs w:val="21"/>
              </w:rPr>
              <w:t>经营活动产生的现金流量净额</w:t>
            </w:r>
          </w:p>
        </w:tc>
        <w:tc>
          <w:tcPr>
            <w:tcW w:w="1098" w:type="pct"/>
            <w:vAlign w:val="bottom"/>
          </w:tcPr>
          <w:p w14:paraId="4A9F78A0">
            <w:pPr>
              <w:pStyle w:val="44"/>
              <w:ind w:firstLine="0" w:firstLineChars="0"/>
              <w:jc w:val="right"/>
              <w:rPr>
                <w:rFonts w:hint="eastAsia" w:ascii="宋体" w:hAnsi="宋体"/>
                <w:szCs w:val="21"/>
              </w:rPr>
            </w:pPr>
            <w:r>
              <w:rPr>
                <w:rFonts w:ascii="Arial Narrow" w:hAnsi="Arial Narrow" w:eastAsia="等线"/>
                <w:color w:val="000000"/>
                <w:szCs w:val="21"/>
              </w:rPr>
              <w:t xml:space="preserve">115,548,699.94 </w:t>
            </w:r>
          </w:p>
        </w:tc>
        <w:tc>
          <w:tcPr>
            <w:tcW w:w="1098" w:type="pct"/>
            <w:vAlign w:val="bottom"/>
          </w:tcPr>
          <w:p w14:paraId="62E37015">
            <w:pPr>
              <w:pStyle w:val="44"/>
              <w:ind w:firstLine="0" w:firstLineChars="0"/>
              <w:jc w:val="right"/>
              <w:rPr>
                <w:rFonts w:hint="eastAsia" w:ascii="宋体" w:hAnsi="宋体"/>
                <w:szCs w:val="21"/>
              </w:rPr>
            </w:pPr>
            <w:r>
              <w:rPr>
                <w:rFonts w:ascii="Arial Narrow" w:hAnsi="Arial Narrow" w:eastAsia="等线"/>
                <w:color w:val="000000"/>
                <w:szCs w:val="21"/>
              </w:rPr>
              <w:t xml:space="preserve">1,118,062,002.40 </w:t>
            </w:r>
          </w:p>
        </w:tc>
        <w:tc>
          <w:tcPr>
            <w:tcW w:w="1098" w:type="pct"/>
            <w:vAlign w:val="bottom"/>
          </w:tcPr>
          <w:p w14:paraId="4A4FCD4A">
            <w:pPr>
              <w:pStyle w:val="44"/>
              <w:ind w:firstLine="0" w:firstLineChars="0"/>
              <w:jc w:val="right"/>
              <w:rPr>
                <w:rFonts w:hint="eastAsia" w:ascii="宋体" w:hAnsi="宋体"/>
                <w:szCs w:val="21"/>
              </w:rPr>
            </w:pPr>
            <w:r>
              <w:rPr>
                <w:rFonts w:ascii="Arial Narrow" w:hAnsi="Arial Narrow" w:eastAsia="等线"/>
                <w:color w:val="000000"/>
                <w:szCs w:val="21"/>
              </w:rPr>
              <w:t xml:space="preserve">-89.67 </w:t>
            </w:r>
          </w:p>
        </w:tc>
      </w:tr>
      <w:tr w14:paraId="5319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36F18A94">
            <w:pPr>
              <w:pStyle w:val="44"/>
              <w:ind w:firstLine="0" w:firstLineChars="0"/>
              <w:rPr>
                <w:rFonts w:hint="eastAsia" w:ascii="宋体" w:hAnsi="宋体"/>
                <w:szCs w:val="21"/>
              </w:rPr>
            </w:pPr>
            <w:r>
              <w:rPr>
                <w:rFonts w:ascii="宋体" w:hAnsi="宋体"/>
                <w:szCs w:val="21"/>
              </w:rPr>
              <w:t>投资活动产生的现金流量净额</w:t>
            </w:r>
          </w:p>
        </w:tc>
        <w:tc>
          <w:tcPr>
            <w:tcW w:w="1098" w:type="pct"/>
            <w:vAlign w:val="bottom"/>
          </w:tcPr>
          <w:p w14:paraId="6B5E19B8">
            <w:pPr>
              <w:pStyle w:val="44"/>
              <w:ind w:firstLine="0" w:firstLineChars="0"/>
              <w:jc w:val="right"/>
              <w:rPr>
                <w:rFonts w:hint="eastAsia" w:ascii="宋体" w:hAnsi="宋体"/>
                <w:szCs w:val="21"/>
              </w:rPr>
            </w:pPr>
            <w:r>
              <w:rPr>
                <w:rFonts w:ascii="Arial Narrow" w:hAnsi="Arial Narrow" w:eastAsia="等线"/>
                <w:color w:val="000000"/>
                <w:szCs w:val="21"/>
              </w:rPr>
              <w:t xml:space="preserve">-643,367,820.26 </w:t>
            </w:r>
          </w:p>
        </w:tc>
        <w:tc>
          <w:tcPr>
            <w:tcW w:w="1098" w:type="pct"/>
            <w:vAlign w:val="bottom"/>
          </w:tcPr>
          <w:p w14:paraId="140D8C67">
            <w:pPr>
              <w:pStyle w:val="44"/>
              <w:ind w:firstLine="0" w:firstLineChars="0"/>
              <w:jc w:val="right"/>
              <w:rPr>
                <w:rFonts w:hint="eastAsia" w:ascii="宋体" w:hAnsi="宋体"/>
                <w:szCs w:val="21"/>
              </w:rPr>
            </w:pPr>
            <w:r>
              <w:rPr>
                <w:rFonts w:ascii="Arial Narrow" w:hAnsi="Arial Narrow" w:eastAsia="等线"/>
                <w:color w:val="000000"/>
                <w:szCs w:val="21"/>
              </w:rPr>
              <w:t xml:space="preserve">-619,873,902.10 </w:t>
            </w:r>
          </w:p>
        </w:tc>
        <w:tc>
          <w:tcPr>
            <w:tcW w:w="1098" w:type="pct"/>
            <w:vAlign w:val="bottom"/>
          </w:tcPr>
          <w:p w14:paraId="66CFF5E6">
            <w:pPr>
              <w:pStyle w:val="44"/>
              <w:ind w:firstLine="0" w:firstLineChars="0"/>
              <w:jc w:val="right"/>
              <w:rPr>
                <w:rFonts w:hint="eastAsia" w:ascii="宋体" w:hAnsi="宋体"/>
                <w:szCs w:val="21"/>
              </w:rPr>
            </w:pPr>
            <w:r>
              <w:rPr>
                <w:rFonts w:hint="eastAsia"/>
                <w:color w:val="000000"/>
                <w:szCs w:val="21"/>
              </w:rPr>
              <w:t>不适用</w:t>
            </w:r>
          </w:p>
        </w:tc>
      </w:tr>
      <w:tr w14:paraId="6C7B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14:paraId="132C1CCC">
            <w:pPr>
              <w:pStyle w:val="44"/>
              <w:ind w:firstLine="0" w:firstLineChars="0"/>
              <w:rPr>
                <w:rFonts w:hint="eastAsia" w:ascii="宋体" w:hAnsi="宋体"/>
                <w:szCs w:val="21"/>
              </w:rPr>
            </w:pPr>
            <w:r>
              <w:rPr>
                <w:rFonts w:ascii="宋体" w:hAnsi="宋体"/>
                <w:szCs w:val="21"/>
              </w:rPr>
              <w:t>筹资活动产生的现金流量净额</w:t>
            </w:r>
          </w:p>
        </w:tc>
        <w:tc>
          <w:tcPr>
            <w:tcW w:w="1098" w:type="pct"/>
            <w:vAlign w:val="bottom"/>
          </w:tcPr>
          <w:p w14:paraId="1E5985BE">
            <w:pPr>
              <w:pStyle w:val="44"/>
              <w:ind w:firstLine="0" w:firstLineChars="0"/>
              <w:jc w:val="right"/>
              <w:rPr>
                <w:rFonts w:hint="eastAsia" w:ascii="宋体" w:hAnsi="宋体"/>
                <w:szCs w:val="21"/>
              </w:rPr>
            </w:pPr>
            <w:r>
              <w:rPr>
                <w:rFonts w:ascii="Arial Narrow" w:hAnsi="Arial Narrow" w:eastAsia="等线"/>
                <w:color w:val="000000"/>
                <w:szCs w:val="21"/>
              </w:rPr>
              <w:t xml:space="preserve">-603,402,482.96 </w:t>
            </w:r>
          </w:p>
        </w:tc>
        <w:tc>
          <w:tcPr>
            <w:tcW w:w="1098" w:type="pct"/>
            <w:vAlign w:val="bottom"/>
          </w:tcPr>
          <w:p w14:paraId="6B6C965F">
            <w:pPr>
              <w:pStyle w:val="44"/>
              <w:ind w:firstLine="0" w:firstLineChars="0"/>
              <w:jc w:val="right"/>
              <w:rPr>
                <w:rFonts w:hint="eastAsia" w:ascii="宋体" w:hAnsi="宋体"/>
                <w:szCs w:val="21"/>
              </w:rPr>
            </w:pPr>
            <w:r>
              <w:rPr>
                <w:rFonts w:ascii="Arial Narrow" w:hAnsi="Arial Narrow" w:eastAsia="等线"/>
                <w:color w:val="000000"/>
                <w:szCs w:val="21"/>
              </w:rPr>
              <w:t xml:space="preserve">830,455,349.57 </w:t>
            </w:r>
          </w:p>
        </w:tc>
        <w:tc>
          <w:tcPr>
            <w:tcW w:w="1098" w:type="pct"/>
            <w:vAlign w:val="bottom"/>
          </w:tcPr>
          <w:p w14:paraId="3FD1BE3C">
            <w:pPr>
              <w:pStyle w:val="44"/>
              <w:ind w:firstLine="0" w:firstLineChars="0"/>
              <w:jc w:val="right"/>
              <w:rPr>
                <w:rFonts w:hint="eastAsia" w:ascii="宋体" w:hAnsi="宋体"/>
                <w:szCs w:val="21"/>
              </w:rPr>
            </w:pPr>
            <w:r>
              <w:rPr>
                <w:rFonts w:ascii="Arial Narrow" w:hAnsi="Arial Narrow" w:eastAsia="等线"/>
                <w:color w:val="000000"/>
                <w:szCs w:val="21"/>
              </w:rPr>
              <w:t xml:space="preserve">-172.66 </w:t>
            </w:r>
          </w:p>
        </w:tc>
      </w:tr>
      <w:bookmarkEnd w:id="36"/>
    </w:tbl>
    <w:p w14:paraId="676FBB29">
      <w:pPr>
        <w:pStyle w:val="44"/>
        <w:ind w:firstLine="0" w:firstLineChars="0"/>
        <w:jc w:val="left"/>
        <w:rPr>
          <w:rFonts w:hint="eastAsia" w:ascii="宋体" w:hAnsi="宋体"/>
        </w:rPr>
      </w:pPr>
      <w:r>
        <w:rPr>
          <w:rFonts w:hint="eastAsia" w:ascii="宋体" w:hAnsi="宋体"/>
        </w:rPr>
        <w:t>营业收入变动原因说明：主要系特定客户传统产品订单减少，新研产品尚未形成采购订单，导致营业收入同比降低所致</w:t>
      </w:r>
      <w:sdt>
        <w:sdtPr>
          <w:rPr>
            <w:rFonts w:hint="eastAsia" w:ascii="宋体" w:hAnsi="宋体"/>
          </w:rPr>
          <w:alias w:val="营业收入变动原因说明"/>
          <w:tag w:val="_GBC_02f544181db247728469e929886776a1"/>
          <w:id w:val="-1769612334"/>
          <w:placeholder>
            <w:docPart w:val="GBC22222222222222222222222222222"/>
          </w:placeholder>
        </w:sdtPr>
        <w:sdtEndPr>
          <w:rPr>
            <w:rFonts w:hint="default" w:ascii="宋体" w:hAnsi="宋体"/>
            <w:szCs w:val="21"/>
            <w:highlight w:val="yellow"/>
          </w:rPr>
        </w:sdtEndPr>
        <w:sdtContent>
          <w:r>
            <w:rPr>
              <w:rFonts w:hint="eastAsia" w:ascii="宋体" w:hAnsi="宋体"/>
              <w:szCs w:val="21"/>
            </w:rPr>
            <w:t>。</w:t>
          </w:r>
        </w:sdtContent>
      </w:sdt>
    </w:p>
    <w:p w14:paraId="446BF7ED">
      <w:pPr>
        <w:pStyle w:val="44"/>
        <w:ind w:firstLine="0" w:firstLineChars="0"/>
        <w:jc w:val="left"/>
        <w:rPr>
          <w:rFonts w:hint="eastAsia" w:ascii="宋体" w:hAnsi="宋体"/>
        </w:rPr>
      </w:pPr>
      <w:r>
        <w:rPr>
          <w:rFonts w:hint="eastAsia" w:ascii="宋体" w:hAnsi="宋体"/>
        </w:rPr>
        <w:t>营业成本变动原因说明：</w:t>
      </w:r>
      <w:sdt>
        <w:sdtPr>
          <w:rPr>
            <w:rFonts w:hint="eastAsia" w:ascii="宋体" w:hAnsi="宋体"/>
          </w:rPr>
          <w:alias w:val="营业成本变动原因说明"/>
          <w:tag w:val="_GBC_cc56ae4655044c7092acfc9c59da077d"/>
          <w:id w:val="1697424112"/>
          <w:placeholder>
            <w:docPart w:val="GBC22222222222222222222222222222"/>
          </w:placeholder>
        </w:sdtPr>
        <w:sdtEndPr>
          <w:rPr>
            <w:rFonts w:hint="eastAsia" w:ascii="宋体" w:hAnsi="宋体"/>
          </w:rPr>
        </w:sdtEndPr>
        <w:sdtContent>
          <w:r>
            <w:rPr>
              <w:rFonts w:hint="eastAsia" w:ascii="宋体" w:hAnsi="宋体"/>
            </w:rPr>
            <w:t>主要系营业收入规模减少影响。</w:t>
          </w:r>
        </w:sdtContent>
      </w:sdt>
    </w:p>
    <w:p w14:paraId="7D130561">
      <w:pPr>
        <w:pStyle w:val="44"/>
        <w:ind w:firstLine="0" w:firstLineChars="0"/>
        <w:jc w:val="left"/>
        <w:rPr>
          <w:rFonts w:hint="eastAsia" w:ascii="宋体" w:hAnsi="宋体"/>
        </w:rPr>
      </w:pPr>
      <w:r>
        <w:rPr>
          <w:rFonts w:hint="eastAsia" w:ascii="宋体" w:hAnsi="宋体"/>
        </w:rPr>
        <w:t>销售费用变动原因说明：</w:t>
      </w:r>
      <w:sdt>
        <w:sdtPr>
          <w:rPr>
            <w:rFonts w:hint="eastAsia" w:ascii="宋体" w:hAnsi="宋体"/>
          </w:rPr>
          <w:alias w:val="销售费用变动原因说明"/>
          <w:tag w:val="_GBC_c5a5f680c2ee494fb0392b5c43f82ada"/>
          <w:id w:val="976649337"/>
          <w:placeholder>
            <w:docPart w:val="GBC22222222222222222222222222222"/>
          </w:placeholder>
        </w:sdtPr>
        <w:sdtEndPr>
          <w:rPr>
            <w:rFonts w:hint="eastAsia" w:ascii="宋体" w:hAnsi="宋体"/>
          </w:rPr>
        </w:sdtEndPr>
        <w:sdtContent>
          <w:r>
            <w:rPr>
              <w:rFonts w:hint="eastAsia" w:ascii="宋体" w:hAnsi="宋体"/>
            </w:rPr>
            <w:t>主要系公司本年开展新业态的拓展布局，持续加大市场开拓力度，改革销售激励政策等，其中召开服装发布会，多种方式加大宣传力度，使得职工薪酬、广告宣传费、咨询费、招投标费用、展览费及业务经费等费用同比增加所致。</w:t>
          </w:r>
        </w:sdtContent>
      </w:sdt>
    </w:p>
    <w:p w14:paraId="5DC2429D">
      <w:pPr>
        <w:pStyle w:val="44"/>
        <w:ind w:firstLine="0" w:firstLineChars="0"/>
        <w:jc w:val="left"/>
        <w:rPr>
          <w:rFonts w:hint="eastAsia" w:ascii="宋体" w:hAnsi="宋体"/>
        </w:rPr>
      </w:pPr>
      <w:r>
        <w:rPr>
          <w:rFonts w:hint="eastAsia" w:ascii="宋体" w:hAnsi="宋体"/>
        </w:rPr>
        <w:t>管理费用变动原因说明：</w:t>
      </w:r>
      <w:sdt>
        <w:sdtPr>
          <w:rPr>
            <w:rFonts w:hint="eastAsia" w:ascii="宋体" w:hAnsi="宋体"/>
          </w:rPr>
          <w:alias w:val="管理费用变动原因说明"/>
          <w:tag w:val="_GBC_706b1fc7f80c45629d6554f783797e4f"/>
          <w:id w:val="-1903755758"/>
          <w:placeholder>
            <w:docPart w:val="GBC22222222222222222222222222222"/>
          </w:placeholder>
        </w:sdtPr>
        <w:sdtEndPr>
          <w:rPr>
            <w:rFonts w:hint="eastAsia" w:ascii="宋体" w:hAnsi="宋体"/>
          </w:rPr>
        </w:sdtEndPr>
        <w:sdtContent>
          <w:r>
            <w:rPr>
              <w:rFonts w:hint="eastAsia" w:ascii="宋体" w:hAnsi="宋体"/>
            </w:rPr>
            <w:t>主要系公司依照属地环保等要求计提土壤污染治理费用、维修费、整理费及服务费，咨询费和诉讼费等费用同比增加所致。</w:t>
          </w:r>
        </w:sdtContent>
      </w:sdt>
    </w:p>
    <w:p w14:paraId="00825BED">
      <w:pPr>
        <w:pStyle w:val="44"/>
        <w:ind w:firstLine="0" w:firstLineChars="0"/>
        <w:jc w:val="left"/>
        <w:rPr>
          <w:rFonts w:hint="eastAsia" w:ascii="宋体" w:hAnsi="宋体"/>
        </w:rPr>
      </w:pPr>
      <w:r>
        <w:rPr>
          <w:rFonts w:hint="eastAsia" w:ascii="宋体" w:hAnsi="宋体"/>
        </w:rPr>
        <w:t>财务费用变动原因说明：</w:t>
      </w:r>
      <w:sdt>
        <w:sdtPr>
          <w:rPr>
            <w:rFonts w:hint="eastAsia" w:ascii="宋体" w:hAnsi="宋体"/>
          </w:rPr>
          <w:alias w:val="财务费用变动原因说明"/>
          <w:tag w:val="_GBC_ae0e447440184dbb94565c35b97d07a6"/>
          <w:id w:val="1659508048"/>
          <w:placeholder>
            <w:docPart w:val="GBC22222222222222222222222222222"/>
          </w:placeholder>
        </w:sdtPr>
        <w:sdtEndPr>
          <w:rPr>
            <w:rFonts w:hint="eastAsia" w:ascii="宋体" w:hAnsi="宋体"/>
          </w:rPr>
        </w:sdtEndPr>
        <w:sdtContent>
          <w:r>
            <w:rPr>
              <w:rFonts w:hint="eastAsia" w:ascii="宋体" w:hAnsi="宋体"/>
            </w:rPr>
            <w:t>主要系公司存款规模下降以及存款利率下滑导致利息收入同比降低所致。</w:t>
          </w:r>
        </w:sdtContent>
      </w:sdt>
    </w:p>
    <w:p w14:paraId="240D533D">
      <w:pPr>
        <w:pStyle w:val="44"/>
        <w:ind w:firstLine="0" w:firstLineChars="0"/>
        <w:jc w:val="left"/>
        <w:rPr>
          <w:rFonts w:hint="eastAsia" w:ascii="宋体" w:hAnsi="宋体"/>
        </w:rPr>
      </w:pPr>
      <w:r>
        <w:rPr>
          <w:rFonts w:hint="eastAsia" w:ascii="宋体" w:hAnsi="宋体"/>
        </w:rPr>
        <w:t>研发费用变动原因说明</w:t>
      </w:r>
      <w:r>
        <w:rPr>
          <w:rFonts w:ascii="宋体" w:hAnsi="宋体"/>
        </w:rPr>
        <w:t>：</w:t>
      </w:r>
      <w:sdt>
        <w:sdtPr>
          <w:rPr>
            <w:rFonts w:ascii="宋体" w:hAnsi="宋体"/>
          </w:rPr>
          <w:alias w:val="研发费用变动原因说明"/>
          <w:tag w:val="_GBC_310391efac0f4742813d80035c784df4"/>
          <w:id w:val="-182747631"/>
          <w:placeholder>
            <w:docPart w:val="GBC22222222222222222222222222222"/>
          </w:placeholder>
        </w:sdtPr>
        <w:sdtEndPr>
          <w:rPr>
            <w:rFonts w:ascii="宋体" w:hAnsi="宋体"/>
          </w:rPr>
        </w:sdtEndPr>
        <w:sdtContent>
          <w:r>
            <w:rPr>
              <w:rFonts w:hint="eastAsia" w:ascii="宋体" w:hAnsi="宋体"/>
            </w:rPr>
            <w:t>主要系公司加强统一研发管控，压缩低效重复研发所致。</w:t>
          </w:r>
        </w:sdtContent>
      </w:sdt>
    </w:p>
    <w:p w14:paraId="2E3F1138">
      <w:pPr>
        <w:pStyle w:val="44"/>
        <w:ind w:firstLine="0" w:firstLineChars="0"/>
        <w:jc w:val="left"/>
        <w:rPr>
          <w:rFonts w:hint="eastAsia" w:ascii="宋体" w:hAnsi="宋体"/>
        </w:rPr>
      </w:pPr>
      <w:r>
        <w:rPr>
          <w:rFonts w:ascii="宋体" w:hAnsi="宋体"/>
          <w:szCs w:val="21"/>
        </w:rPr>
        <w:t>经营活动产生的现金流量净额</w:t>
      </w:r>
      <w:r>
        <w:rPr>
          <w:rFonts w:hint="eastAsia" w:ascii="宋体" w:hAnsi="宋体"/>
          <w:szCs w:val="21"/>
        </w:rPr>
        <w:t>变动原因说明：</w:t>
      </w:r>
      <w:sdt>
        <w:sdtPr>
          <w:rPr>
            <w:rFonts w:hint="eastAsia" w:ascii="宋体" w:hAnsi="宋体"/>
            <w:szCs w:val="21"/>
          </w:rPr>
          <w:alias w:val="经营活动产生的现金流量净额变动原因说明"/>
          <w:tag w:val="_GBC_5968661d4f024738ae5c039168b68a45"/>
          <w:id w:val="-1689595494"/>
          <w:placeholder>
            <w:docPart w:val="GBC22222222222222222222222222222"/>
          </w:placeholder>
        </w:sdtPr>
        <w:sdtEndPr>
          <w:rPr>
            <w:rFonts w:hint="eastAsia" w:ascii="宋体" w:hAnsi="宋体"/>
            <w:szCs w:val="21"/>
          </w:rPr>
        </w:sdtEndPr>
        <w:sdtContent>
          <w:r>
            <w:rPr>
              <w:rFonts w:hint="eastAsia" w:ascii="宋体" w:hAnsi="宋体"/>
              <w:szCs w:val="21"/>
            </w:rPr>
            <w:t>主要系销售商品、提供劳务收到的现金同比下滑。</w:t>
          </w:r>
        </w:sdtContent>
      </w:sdt>
    </w:p>
    <w:p w14:paraId="27D5A2E4">
      <w:pPr>
        <w:pStyle w:val="44"/>
        <w:ind w:firstLine="0" w:firstLineChars="0"/>
        <w:jc w:val="left"/>
        <w:rPr>
          <w:rFonts w:hint="eastAsia" w:ascii="宋体" w:hAnsi="宋体"/>
        </w:rPr>
      </w:pPr>
      <w:r>
        <w:rPr>
          <w:rFonts w:ascii="宋体" w:hAnsi="宋体"/>
          <w:szCs w:val="21"/>
        </w:rPr>
        <w:t>筹资活动产生的现金流量净额</w:t>
      </w:r>
      <w:r>
        <w:rPr>
          <w:rFonts w:hint="eastAsia" w:ascii="宋体" w:hAnsi="宋体"/>
          <w:szCs w:val="21"/>
        </w:rPr>
        <w:t>变动原因说明：</w:t>
      </w:r>
      <w:sdt>
        <w:sdtPr>
          <w:rPr>
            <w:rFonts w:hint="eastAsia" w:ascii="宋体" w:hAnsi="宋体"/>
            <w:szCs w:val="21"/>
          </w:rPr>
          <w:alias w:val="筹资活动产生的现金流量净额变动原因说明"/>
          <w:tag w:val="_GBC_69e60bcce703432885fa32dfc7a0a266"/>
          <w:id w:val="-553465705"/>
          <w:placeholder>
            <w:docPart w:val="GBC22222222222222222222222222222"/>
          </w:placeholder>
        </w:sdtPr>
        <w:sdtEndPr>
          <w:rPr>
            <w:rFonts w:hint="eastAsia" w:ascii="宋体" w:hAnsi="宋体"/>
            <w:szCs w:val="21"/>
          </w:rPr>
        </w:sdtEndPr>
        <w:sdtContent>
          <w:r>
            <w:rPr>
              <w:rFonts w:hint="eastAsia" w:ascii="宋体" w:hAnsi="宋体"/>
              <w:szCs w:val="21"/>
            </w:rPr>
            <w:t>主要系上年同期公司收回原子公司大额借款资金导致筹资活动现金流大幅增加，本年无此项资金流入所致。</w:t>
          </w:r>
        </w:sdtContent>
      </w:sdt>
    </w:p>
    <w:bookmarkEnd w:id="34"/>
    <w:bookmarkEnd w:id="35"/>
    <w:p w14:paraId="749EC2B5">
      <w:pPr>
        <w:rPr>
          <w:rFonts w:hint="eastAsia"/>
        </w:rPr>
      </w:pPr>
    </w:p>
    <w:p w14:paraId="09A0861B">
      <w:pPr>
        <w:rPr>
          <w:rFonts w:hint="eastAsia"/>
        </w:rPr>
      </w:pPr>
      <w:bookmarkStart w:id="37" w:name="_Hlk89098827"/>
      <w:r>
        <w:rPr>
          <w:rFonts w:hint="eastAsia"/>
        </w:rPr>
        <w:t>本期</w:t>
      </w:r>
      <w:r>
        <w:t>公司</w:t>
      </w:r>
      <w:r>
        <w:rPr>
          <w:rFonts w:hint="eastAsia"/>
        </w:rPr>
        <w:t>业务类型、</w:t>
      </w:r>
      <w:r>
        <w:t>利润构成或利润来源发生重大变动的详细说明</w:t>
      </w:r>
    </w:p>
    <w:sdt>
      <w:sdtPr>
        <w:alias w:val="是否适用：公司利润构成或利润来源发生重大变动的详细说明[双击切换]"/>
        <w:tag w:val="_GBC_f76226f4a75345f0b64ffa67d16a3159"/>
        <w:id w:val="1965625816"/>
        <w:placeholder>
          <w:docPart w:val="GBC22222222222222222222222222222"/>
        </w:placeholder>
      </w:sdtPr>
      <w:sdtContent>
        <w:p w14:paraId="768471F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2147395">
      <w:pPr>
        <w:rPr>
          <w:rFonts w:hint="eastAsia"/>
        </w:rPr>
      </w:pPr>
    </w:p>
    <w:p w14:paraId="6177ADC3">
      <w:pPr>
        <w:rPr>
          <w:rFonts w:hint="eastAsia"/>
        </w:rPr>
      </w:pPr>
    </w:p>
    <w:bookmarkEnd w:id="37"/>
    <w:p w14:paraId="75A30227">
      <w:pPr>
        <w:pStyle w:val="5"/>
        <w:numPr>
          <w:ilvl w:val="0"/>
          <w:numId w:val="9"/>
        </w:numPr>
        <w:rPr>
          <w:rFonts w:hint="eastAsia"/>
        </w:rPr>
      </w:pPr>
      <w:r>
        <w:rPr>
          <w:rFonts w:hint="eastAsia"/>
        </w:rPr>
        <w:t>收入和成本分析</w:t>
      </w:r>
    </w:p>
    <w:sdt>
      <w:sdtPr>
        <w:alias w:val="是否适用：收入和成本分析[双击切换]"/>
        <w:tag w:val="_GBC_c1a771ff956341da84dd26322335800f"/>
        <w:id w:val="664204213"/>
        <w:placeholder>
          <w:docPart w:val="GBC22222222222222222222222222222"/>
        </w:placeholder>
      </w:sdtPr>
      <w:sdtContent>
        <w:p w14:paraId="09968902">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收入和成本分析情况说明"/>
        <w:tag w:val="_GBC_131edb1aaeab4cb388abf65651cf901e"/>
        <w:id w:val="-486869265"/>
        <w:placeholder>
          <w:docPart w:val="GBC22222222222222222222222222222"/>
        </w:placeholder>
      </w:sdtPr>
      <w:sdtEndPr>
        <w:rPr>
          <w:rFonts w:hint="eastAsia"/>
          <w:highlight w:val="yellow"/>
        </w:rPr>
      </w:sdtEndPr>
      <w:sdtContent>
        <w:p w14:paraId="6F12C87F">
          <w:pPr>
            <w:tabs>
              <w:tab w:val="left" w:pos="851"/>
            </w:tabs>
            <w:ind w:firstLine="420" w:firstLineChars="200"/>
            <w:rPr>
              <w:rFonts w:hint="eastAsia"/>
            </w:rPr>
          </w:pPr>
          <w:r>
            <w:rPr>
              <w:rFonts w:hint="eastAsia"/>
            </w:rPr>
            <w:t>报告期，公司实现营业收入98.86亿元，同比降低14.49%，各产品收入和成本变动情况如下。</w:t>
          </w:r>
        </w:p>
      </w:sdtContent>
    </w:sdt>
    <w:p w14:paraId="3EA2A7DF">
      <w:pPr>
        <w:tabs>
          <w:tab w:val="left" w:pos="851"/>
        </w:tabs>
        <w:rPr>
          <w:rFonts w:hint="eastAsia"/>
        </w:rPr>
      </w:pPr>
    </w:p>
    <w:p w14:paraId="71533135">
      <w:pPr>
        <w:tabs>
          <w:tab w:val="left" w:pos="851"/>
        </w:tabs>
        <w:rPr>
          <w:rFonts w:hint="eastAsia"/>
        </w:rPr>
      </w:pPr>
    </w:p>
    <w:p w14:paraId="010EFA0C">
      <w:pPr>
        <w:pStyle w:val="6"/>
        <w:numPr>
          <w:ilvl w:val="0"/>
          <w:numId w:val="10"/>
        </w:numPr>
        <w:tabs>
          <w:tab w:val="left" w:pos="567"/>
        </w:tabs>
        <w:ind w:leftChars="0"/>
      </w:pPr>
      <w:bookmarkStart w:id="38" w:name="_Toc340829716"/>
      <w:bookmarkStart w:id="39" w:name="_Toc342565904"/>
      <w:bookmarkStart w:id="40" w:name="_Toc342559756"/>
      <w:bookmarkStart w:id="41" w:name="_Hlk89876312"/>
      <w:r>
        <w:t>主营业务</w:t>
      </w:r>
      <w:r>
        <w:rPr>
          <w:rFonts w:hint="eastAsia"/>
        </w:rPr>
        <w:t>分</w:t>
      </w:r>
      <w:r>
        <w:t>行业</w:t>
      </w:r>
      <w:r>
        <w:rPr>
          <w:rFonts w:hint="eastAsia"/>
        </w:rPr>
        <w:t>、分</w:t>
      </w:r>
      <w:r>
        <w:t>产品</w:t>
      </w:r>
      <w:r>
        <w:rPr>
          <w:rFonts w:hint="eastAsia"/>
        </w:rPr>
        <w:t>、分地区、分销售模式情况</w:t>
      </w:r>
      <w:bookmarkEnd w:id="38"/>
      <w:bookmarkEnd w:id="39"/>
      <w:bookmarkEnd w:id="40"/>
    </w:p>
    <w:p w14:paraId="369B3E48">
      <w:pPr>
        <w:jc w:val="right"/>
        <w:rPr>
          <w:rFonts w:hint="eastAsia"/>
          <w:szCs w:val="21"/>
        </w:rPr>
      </w:pPr>
      <w:r>
        <w:rPr>
          <w:rFonts w:hint="eastAsia"/>
          <w:szCs w:val="21"/>
        </w:rPr>
        <w:t>单位：</w:t>
      </w:r>
      <w:sdt>
        <w:sdtPr>
          <w:rPr>
            <w:szCs w:val="21"/>
          </w:rPr>
          <w:alias w:val="单位：主营业务分行业、分产品情况表"/>
          <w:tag w:val="_GBC_f77c8e6b92b44adf9014b95a44af704b"/>
          <w:id w:val="-14920952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rFonts w:hint="eastAsia"/>
          <w:szCs w:val="21"/>
        </w:rPr>
        <w:t xml:space="preserve">  币种：</w:t>
      </w:r>
      <w:sdt>
        <w:sdtPr>
          <w:rPr>
            <w:szCs w:val="21"/>
          </w:rPr>
          <w:alias w:val="币种：主营业务分行业、分产品情况表"/>
          <w:tag w:val="_GBC_3341f58078504155bf0c18cadb3b7f9d"/>
          <w:id w:val="-18062305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1596"/>
        <w:gridCol w:w="1602"/>
        <w:gridCol w:w="760"/>
        <w:gridCol w:w="1008"/>
        <w:gridCol w:w="1008"/>
        <w:gridCol w:w="1050"/>
      </w:tblGrid>
      <w:tr w14:paraId="3012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5033a4d190942bd99650d59a8d741f9"/>
            <w:id w:val="-877775398"/>
          </w:sdtPr>
          <w:sdtContent>
            <w:tc>
              <w:tcPr>
                <w:tcW w:w="5000" w:type="pct"/>
                <w:gridSpan w:val="7"/>
                <w:vAlign w:val="center"/>
              </w:tcPr>
              <w:p w14:paraId="7CB1122A">
                <w:pPr>
                  <w:widowControl w:val="0"/>
                  <w:jc w:val="center"/>
                  <w:rPr>
                    <w:rFonts w:hint="eastAsia"/>
                    <w:szCs w:val="21"/>
                  </w:rPr>
                </w:pPr>
                <w:r>
                  <w:rPr>
                    <w:rFonts w:hint="eastAsia"/>
                    <w:szCs w:val="21"/>
                  </w:rPr>
                  <w:t>主营业务分行业情况</w:t>
                </w:r>
              </w:p>
            </w:tc>
          </w:sdtContent>
        </w:sdt>
      </w:tr>
      <w:tr w14:paraId="2551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b888f46a9d64f09b94dccfab854ad45"/>
            <w:id w:val="1229186269"/>
          </w:sdtPr>
          <w:sdtContent>
            <w:tc>
              <w:tcPr>
                <w:tcW w:w="1119" w:type="pct"/>
                <w:vAlign w:val="center"/>
              </w:tcPr>
              <w:p w14:paraId="5F710C25">
                <w:pPr>
                  <w:widowControl w:val="0"/>
                  <w:jc w:val="center"/>
                  <w:rPr>
                    <w:rFonts w:hint="eastAsia"/>
                    <w:szCs w:val="21"/>
                  </w:rPr>
                </w:pPr>
                <w:r>
                  <w:rPr>
                    <w:szCs w:val="21"/>
                  </w:rPr>
                  <w:t>分行业</w:t>
                </w:r>
              </w:p>
            </w:tc>
          </w:sdtContent>
        </w:sdt>
        <w:sdt>
          <w:sdtPr>
            <w:tag w:val="_PLD_7fe8bd490c23482eac6c726b40c3125c"/>
            <w:id w:val="1487660811"/>
          </w:sdtPr>
          <w:sdtContent>
            <w:tc>
              <w:tcPr>
                <w:tcW w:w="882" w:type="pct"/>
                <w:vAlign w:val="center"/>
              </w:tcPr>
              <w:p w14:paraId="0EEBCE3F">
                <w:pPr>
                  <w:widowControl w:val="0"/>
                  <w:jc w:val="center"/>
                  <w:rPr>
                    <w:rFonts w:hint="eastAsia"/>
                    <w:szCs w:val="21"/>
                  </w:rPr>
                </w:pPr>
                <w:r>
                  <w:rPr>
                    <w:szCs w:val="21"/>
                  </w:rPr>
                  <w:t>营业收入</w:t>
                </w:r>
              </w:p>
            </w:tc>
          </w:sdtContent>
        </w:sdt>
        <w:sdt>
          <w:sdtPr>
            <w:tag w:val="_PLD_43ea5bcd646542838f56af8b6a2863cb"/>
            <w:id w:val="47273904"/>
          </w:sdtPr>
          <w:sdtContent>
            <w:tc>
              <w:tcPr>
                <w:tcW w:w="885" w:type="pct"/>
                <w:vAlign w:val="center"/>
              </w:tcPr>
              <w:p w14:paraId="07540275">
                <w:pPr>
                  <w:widowControl w:val="0"/>
                  <w:jc w:val="center"/>
                  <w:rPr>
                    <w:rFonts w:hint="eastAsia"/>
                    <w:szCs w:val="21"/>
                  </w:rPr>
                </w:pPr>
                <w:r>
                  <w:rPr>
                    <w:szCs w:val="21"/>
                  </w:rPr>
                  <w:t>营业成本</w:t>
                </w:r>
              </w:p>
            </w:tc>
          </w:sdtContent>
        </w:sdt>
        <w:sdt>
          <w:sdtPr>
            <w:tag w:val="_PLD_2beea8e29ca14ce68ca930225f6b78ba"/>
            <w:id w:val="1135525072"/>
          </w:sdtPr>
          <w:sdtContent>
            <w:tc>
              <w:tcPr>
                <w:tcW w:w="420" w:type="pct"/>
                <w:vAlign w:val="center"/>
              </w:tcPr>
              <w:p w14:paraId="3CEF057E">
                <w:pPr>
                  <w:widowControl w:val="0"/>
                  <w:jc w:val="center"/>
                  <w:rPr>
                    <w:rFonts w:hint="eastAsia"/>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844862730"/>
          </w:sdtPr>
          <w:sdtContent>
            <w:tc>
              <w:tcPr>
                <w:tcW w:w="557" w:type="pct"/>
                <w:vAlign w:val="center"/>
              </w:tcPr>
              <w:p w14:paraId="38B27516">
                <w:pPr>
                  <w:widowControl w:val="0"/>
                  <w:jc w:val="center"/>
                  <w:rPr>
                    <w:rFonts w:hint="eastAsia"/>
                    <w:szCs w:val="21"/>
                  </w:rPr>
                </w:pPr>
                <w:r>
                  <w:rPr>
                    <w:szCs w:val="21"/>
                  </w:rPr>
                  <w:t>营业收入比上年增减（</w:t>
                </w:r>
                <w:r>
                  <w:rPr>
                    <w:rFonts w:hint="eastAsia"/>
                    <w:szCs w:val="21"/>
                  </w:rPr>
                  <w:t>%</w:t>
                </w:r>
                <w:r>
                  <w:rPr>
                    <w:szCs w:val="21"/>
                  </w:rPr>
                  <w:t>）</w:t>
                </w:r>
              </w:p>
            </w:tc>
          </w:sdtContent>
        </w:sdt>
        <w:sdt>
          <w:sdtPr>
            <w:tag w:val="_PLD_c02171812b4a4964854b289e6b6282d1"/>
            <w:id w:val="-956868320"/>
          </w:sdtPr>
          <w:sdtContent>
            <w:tc>
              <w:tcPr>
                <w:tcW w:w="557" w:type="pct"/>
                <w:vAlign w:val="center"/>
              </w:tcPr>
              <w:p w14:paraId="31429D51">
                <w:pPr>
                  <w:widowControl w:val="0"/>
                  <w:jc w:val="center"/>
                  <w:rPr>
                    <w:rFonts w:hint="eastAsia"/>
                    <w:szCs w:val="21"/>
                  </w:rPr>
                </w:pPr>
                <w:r>
                  <w:rPr>
                    <w:szCs w:val="21"/>
                  </w:rPr>
                  <w:t>营业成本比上年增减（</w:t>
                </w:r>
                <w:r>
                  <w:rPr>
                    <w:rFonts w:hint="eastAsia"/>
                    <w:szCs w:val="21"/>
                  </w:rPr>
                  <w:t>%</w:t>
                </w:r>
                <w:r>
                  <w:rPr>
                    <w:szCs w:val="21"/>
                  </w:rPr>
                  <w:t>）</w:t>
                </w:r>
              </w:p>
            </w:tc>
          </w:sdtContent>
        </w:sdt>
        <w:sdt>
          <w:sdtPr>
            <w:tag w:val="_PLD_6ec6853f40254c1e8badc94bd41729ab"/>
            <w:id w:val="2047945064"/>
          </w:sdtPr>
          <w:sdtContent>
            <w:tc>
              <w:tcPr>
                <w:tcW w:w="580" w:type="pct"/>
                <w:vAlign w:val="center"/>
              </w:tcPr>
              <w:p w14:paraId="6399FB79">
                <w:pPr>
                  <w:widowControl w:val="0"/>
                  <w:jc w:val="center"/>
                  <w:rPr>
                    <w:rFonts w:hint="eastAsia"/>
                    <w:szCs w:val="21"/>
                  </w:rPr>
                </w:pPr>
                <w:r>
                  <w:rPr>
                    <w:rFonts w:hint="eastAsia"/>
                    <w:szCs w:val="21"/>
                  </w:rPr>
                  <w:t>毛利率</w:t>
                </w:r>
                <w:r>
                  <w:rPr>
                    <w:szCs w:val="21"/>
                  </w:rPr>
                  <w:t>比上年增减（</w:t>
                </w:r>
                <w:r>
                  <w:rPr>
                    <w:rFonts w:hint="eastAsia"/>
                    <w:szCs w:val="21"/>
                  </w:rPr>
                  <w:t>%</w:t>
                </w:r>
                <w:r>
                  <w:rPr>
                    <w:szCs w:val="21"/>
                  </w:rPr>
                  <w:t>）</w:t>
                </w:r>
              </w:p>
            </w:tc>
          </w:sdtContent>
        </w:sdt>
      </w:tr>
      <w:tr w14:paraId="2933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39841C02">
            <w:pPr>
              <w:pStyle w:val="44"/>
              <w:ind w:firstLine="0" w:firstLineChars="0"/>
              <w:jc w:val="left"/>
              <w:rPr>
                <w:rFonts w:hint="eastAsia" w:ascii="宋体" w:hAnsi="宋体" w:cs="宋体"/>
                <w:kern w:val="0"/>
                <w:szCs w:val="21"/>
              </w:rPr>
            </w:pPr>
            <w:r>
              <w:rPr>
                <w:rFonts w:hint="eastAsia"/>
                <w:color w:val="000000"/>
                <w:szCs w:val="21"/>
              </w:rPr>
              <w:t>制造业</w:t>
            </w:r>
          </w:p>
        </w:tc>
        <w:tc>
          <w:tcPr>
            <w:tcW w:w="882" w:type="pct"/>
            <w:vAlign w:val="center"/>
          </w:tcPr>
          <w:p w14:paraId="1C335DBB">
            <w:pPr>
              <w:widowControl w:val="0"/>
              <w:jc w:val="right"/>
              <w:rPr>
                <w:rFonts w:hint="eastAsia"/>
                <w:szCs w:val="21"/>
              </w:rPr>
            </w:pPr>
            <w:r>
              <w:rPr>
                <w:rFonts w:ascii="Arial Narrow" w:hAnsi="Arial Narrow" w:eastAsia="等线"/>
                <w:color w:val="000000"/>
                <w:szCs w:val="21"/>
              </w:rPr>
              <w:t xml:space="preserve">9,636,290,351.30 </w:t>
            </w:r>
          </w:p>
        </w:tc>
        <w:tc>
          <w:tcPr>
            <w:tcW w:w="885" w:type="pct"/>
            <w:vAlign w:val="center"/>
          </w:tcPr>
          <w:p w14:paraId="799FA313">
            <w:pPr>
              <w:widowControl w:val="0"/>
              <w:jc w:val="right"/>
              <w:rPr>
                <w:rFonts w:hint="eastAsia"/>
                <w:szCs w:val="21"/>
              </w:rPr>
            </w:pPr>
            <w:r>
              <w:rPr>
                <w:rFonts w:ascii="Arial Narrow" w:hAnsi="Arial Narrow" w:eastAsia="等线"/>
                <w:color w:val="000000"/>
                <w:szCs w:val="21"/>
              </w:rPr>
              <w:t xml:space="preserve">9,021,468,840.81 </w:t>
            </w:r>
          </w:p>
        </w:tc>
        <w:tc>
          <w:tcPr>
            <w:tcW w:w="420" w:type="pct"/>
            <w:vAlign w:val="center"/>
          </w:tcPr>
          <w:p w14:paraId="7C400F6D">
            <w:pPr>
              <w:widowControl w:val="0"/>
              <w:jc w:val="right"/>
              <w:rPr>
                <w:rFonts w:hint="eastAsia"/>
                <w:szCs w:val="21"/>
              </w:rPr>
            </w:pPr>
            <w:r>
              <w:rPr>
                <w:rFonts w:ascii="Arial Narrow" w:hAnsi="Arial Narrow" w:eastAsia="等线"/>
                <w:color w:val="000000"/>
                <w:szCs w:val="21"/>
              </w:rPr>
              <w:t xml:space="preserve">6.38 </w:t>
            </w:r>
          </w:p>
        </w:tc>
        <w:tc>
          <w:tcPr>
            <w:tcW w:w="557" w:type="pct"/>
            <w:vAlign w:val="center"/>
          </w:tcPr>
          <w:p w14:paraId="409CCECB">
            <w:pPr>
              <w:widowControl w:val="0"/>
              <w:jc w:val="right"/>
              <w:rPr>
                <w:rFonts w:hint="eastAsia"/>
                <w:szCs w:val="21"/>
              </w:rPr>
            </w:pPr>
            <w:r>
              <w:rPr>
                <w:rFonts w:ascii="Arial Narrow" w:hAnsi="Arial Narrow" w:eastAsia="等线"/>
                <w:color w:val="000000"/>
                <w:szCs w:val="21"/>
              </w:rPr>
              <w:t xml:space="preserve">-13.21 </w:t>
            </w:r>
          </w:p>
        </w:tc>
        <w:tc>
          <w:tcPr>
            <w:tcW w:w="557" w:type="pct"/>
            <w:vAlign w:val="center"/>
          </w:tcPr>
          <w:p w14:paraId="5AB627DF">
            <w:pPr>
              <w:widowControl w:val="0"/>
              <w:jc w:val="right"/>
              <w:rPr>
                <w:rFonts w:hint="eastAsia"/>
                <w:szCs w:val="21"/>
              </w:rPr>
            </w:pPr>
            <w:r>
              <w:rPr>
                <w:rFonts w:ascii="Arial Narrow" w:hAnsi="Arial Narrow" w:eastAsia="等线"/>
                <w:color w:val="000000"/>
                <w:szCs w:val="21"/>
              </w:rPr>
              <w:t xml:space="preserve">-6.80 </w:t>
            </w:r>
          </w:p>
        </w:tc>
        <w:tc>
          <w:tcPr>
            <w:tcW w:w="580" w:type="pct"/>
            <w:vAlign w:val="center"/>
          </w:tcPr>
          <w:p w14:paraId="192485F5">
            <w:pPr>
              <w:widowControl w:val="0"/>
              <w:jc w:val="right"/>
              <w:rPr>
                <w:rFonts w:hint="eastAsia"/>
                <w:szCs w:val="21"/>
              </w:rPr>
            </w:pPr>
            <w:r>
              <w:rPr>
                <w:rFonts w:ascii="Arial Narrow" w:hAnsi="Arial Narrow" w:eastAsia="等线"/>
                <w:color w:val="000000"/>
                <w:szCs w:val="21"/>
              </w:rPr>
              <w:t xml:space="preserve">-6.44 </w:t>
            </w:r>
          </w:p>
        </w:tc>
      </w:tr>
      <w:tr w14:paraId="7D6D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00CE49DE">
            <w:pPr>
              <w:pStyle w:val="44"/>
              <w:ind w:firstLine="0" w:firstLineChars="0"/>
              <w:jc w:val="left"/>
              <w:rPr>
                <w:rFonts w:hint="eastAsia" w:ascii="宋体" w:hAnsi="宋体" w:cs="宋体"/>
                <w:kern w:val="0"/>
                <w:szCs w:val="21"/>
              </w:rPr>
            </w:pPr>
            <w:r>
              <w:rPr>
                <w:rFonts w:hint="eastAsia"/>
                <w:color w:val="000000"/>
                <w:szCs w:val="21"/>
              </w:rPr>
              <w:t>贸易及其他</w:t>
            </w:r>
          </w:p>
        </w:tc>
        <w:tc>
          <w:tcPr>
            <w:tcW w:w="882" w:type="pct"/>
            <w:vAlign w:val="center"/>
          </w:tcPr>
          <w:p w14:paraId="04F473C3">
            <w:pPr>
              <w:widowControl w:val="0"/>
              <w:jc w:val="right"/>
              <w:rPr>
                <w:rFonts w:hint="eastAsia"/>
                <w:szCs w:val="21"/>
              </w:rPr>
            </w:pPr>
            <w:r>
              <w:rPr>
                <w:rFonts w:ascii="Arial Narrow" w:hAnsi="Arial Narrow" w:eastAsia="等线"/>
                <w:color w:val="000000"/>
                <w:szCs w:val="21"/>
              </w:rPr>
              <w:t xml:space="preserve">453,711,753.99 </w:t>
            </w:r>
          </w:p>
        </w:tc>
        <w:tc>
          <w:tcPr>
            <w:tcW w:w="885" w:type="pct"/>
            <w:vAlign w:val="center"/>
          </w:tcPr>
          <w:p w14:paraId="3109B677">
            <w:pPr>
              <w:widowControl w:val="0"/>
              <w:jc w:val="right"/>
              <w:rPr>
                <w:rFonts w:hint="eastAsia"/>
                <w:szCs w:val="21"/>
              </w:rPr>
            </w:pPr>
            <w:r>
              <w:rPr>
                <w:rFonts w:ascii="Arial Narrow" w:hAnsi="Arial Narrow" w:eastAsia="等线"/>
                <w:color w:val="000000"/>
                <w:szCs w:val="21"/>
              </w:rPr>
              <w:t xml:space="preserve">391,758,801.71 </w:t>
            </w:r>
          </w:p>
        </w:tc>
        <w:tc>
          <w:tcPr>
            <w:tcW w:w="420" w:type="pct"/>
            <w:vAlign w:val="center"/>
          </w:tcPr>
          <w:p w14:paraId="5CA9C229">
            <w:pPr>
              <w:widowControl w:val="0"/>
              <w:jc w:val="right"/>
              <w:rPr>
                <w:rFonts w:hint="eastAsia"/>
                <w:szCs w:val="21"/>
              </w:rPr>
            </w:pPr>
            <w:r>
              <w:rPr>
                <w:rFonts w:ascii="Arial Narrow" w:hAnsi="Arial Narrow" w:eastAsia="等线"/>
                <w:color w:val="000000"/>
                <w:szCs w:val="21"/>
              </w:rPr>
              <w:t xml:space="preserve">13.65 </w:t>
            </w:r>
          </w:p>
        </w:tc>
        <w:tc>
          <w:tcPr>
            <w:tcW w:w="557" w:type="pct"/>
            <w:vAlign w:val="center"/>
          </w:tcPr>
          <w:p w14:paraId="778A9205">
            <w:pPr>
              <w:widowControl w:val="0"/>
              <w:jc w:val="right"/>
              <w:rPr>
                <w:rFonts w:hint="eastAsia"/>
                <w:szCs w:val="21"/>
              </w:rPr>
            </w:pPr>
            <w:r>
              <w:rPr>
                <w:rFonts w:ascii="Arial Narrow" w:hAnsi="Arial Narrow" w:eastAsia="等线"/>
                <w:color w:val="000000"/>
                <w:szCs w:val="21"/>
              </w:rPr>
              <w:t xml:space="preserve">-48.20 </w:t>
            </w:r>
          </w:p>
        </w:tc>
        <w:tc>
          <w:tcPr>
            <w:tcW w:w="557" w:type="pct"/>
            <w:vAlign w:val="center"/>
          </w:tcPr>
          <w:p w14:paraId="1A10BA5D">
            <w:pPr>
              <w:widowControl w:val="0"/>
              <w:jc w:val="right"/>
              <w:rPr>
                <w:rFonts w:hint="eastAsia"/>
                <w:szCs w:val="21"/>
              </w:rPr>
            </w:pPr>
            <w:r>
              <w:rPr>
                <w:rFonts w:ascii="Arial Narrow" w:hAnsi="Arial Narrow" w:eastAsia="等线"/>
                <w:color w:val="000000"/>
                <w:szCs w:val="21"/>
              </w:rPr>
              <w:t xml:space="preserve">-50.64 </w:t>
            </w:r>
          </w:p>
        </w:tc>
        <w:tc>
          <w:tcPr>
            <w:tcW w:w="580" w:type="pct"/>
            <w:vAlign w:val="center"/>
          </w:tcPr>
          <w:p w14:paraId="0ECA2EAC">
            <w:pPr>
              <w:widowControl w:val="0"/>
              <w:jc w:val="right"/>
              <w:rPr>
                <w:rFonts w:hint="eastAsia"/>
                <w:szCs w:val="21"/>
              </w:rPr>
            </w:pPr>
            <w:r>
              <w:rPr>
                <w:rFonts w:ascii="Arial Narrow" w:hAnsi="Arial Narrow" w:eastAsia="等线"/>
                <w:color w:val="000000"/>
                <w:szCs w:val="21"/>
              </w:rPr>
              <w:t xml:space="preserve">4.27 </w:t>
            </w:r>
          </w:p>
        </w:tc>
      </w:tr>
      <w:tr w14:paraId="193D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50770AB7">
            <w:pPr>
              <w:pStyle w:val="44"/>
              <w:ind w:firstLine="0" w:firstLineChars="0"/>
              <w:jc w:val="left"/>
              <w:rPr>
                <w:rFonts w:hint="eastAsia" w:ascii="宋体" w:hAnsi="宋体" w:cs="宋体"/>
                <w:kern w:val="0"/>
                <w:szCs w:val="21"/>
              </w:rPr>
            </w:pPr>
            <w:r>
              <w:rPr>
                <w:rFonts w:hint="eastAsia"/>
                <w:color w:val="000000"/>
                <w:szCs w:val="21"/>
              </w:rPr>
              <w:t>减：内部抵销数</w:t>
            </w:r>
          </w:p>
        </w:tc>
        <w:tc>
          <w:tcPr>
            <w:tcW w:w="882" w:type="pct"/>
            <w:vAlign w:val="center"/>
          </w:tcPr>
          <w:p w14:paraId="01E2E6D3">
            <w:pPr>
              <w:widowControl w:val="0"/>
              <w:jc w:val="right"/>
              <w:rPr>
                <w:rFonts w:hint="eastAsia"/>
                <w:szCs w:val="21"/>
              </w:rPr>
            </w:pPr>
            <w:r>
              <w:rPr>
                <w:rFonts w:ascii="Arial Narrow" w:hAnsi="Arial Narrow" w:eastAsia="等线"/>
                <w:color w:val="000000"/>
                <w:szCs w:val="21"/>
              </w:rPr>
              <w:t xml:space="preserve">488,145,813.38 </w:t>
            </w:r>
          </w:p>
        </w:tc>
        <w:tc>
          <w:tcPr>
            <w:tcW w:w="885" w:type="pct"/>
            <w:vAlign w:val="center"/>
          </w:tcPr>
          <w:p w14:paraId="78BDE60B">
            <w:pPr>
              <w:widowControl w:val="0"/>
              <w:jc w:val="right"/>
              <w:rPr>
                <w:rFonts w:hint="eastAsia"/>
                <w:szCs w:val="21"/>
              </w:rPr>
            </w:pPr>
            <w:r>
              <w:rPr>
                <w:rFonts w:ascii="Arial Narrow" w:hAnsi="Arial Narrow" w:eastAsia="等线"/>
                <w:color w:val="000000"/>
                <w:szCs w:val="21"/>
              </w:rPr>
              <w:t xml:space="preserve">485,135,942.93 </w:t>
            </w:r>
          </w:p>
        </w:tc>
        <w:tc>
          <w:tcPr>
            <w:tcW w:w="420" w:type="pct"/>
            <w:vAlign w:val="center"/>
          </w:tcPr>
          <w:p w14:paraId="282F3973">
            <w:pPr>
              <w:widowControl w:val="0"/>
              <w:jc w:val="right"/>
              <w:rPr>
                <w:rFonts w:hint="eastAsia"/>
                <w:szCs w:val="21"/>
              </w:rPr>
            </w:pPr>
          </w:p>
        </w:tc>
        <w:tc>
          <w:tcPr>
            <w:tcW w:w="557" w:type="pct"/>
            <w:vAlign w:val="center"/>
          </w:tcPr>
          <w:p w14:paraId="36BBA826">
            <w:pPr>
              <w:widowControl w:val="0"/>
              <w:jc w:val="right"/>
              <w:rPr>
                <w:rFonts w:hint="eastAsia"/>
                <w:szCs w:val="21"/>
              </w:rPr>
            </w:pPr>
          </w:p>
        </w:tc>
        <w:tc>
          <w:tcPr>
            <w:tcW w:w="557" w:type="pct"/>
            <w:vAlign w:val="center"/>
          </w:tcPr>
          <w:p w14:paraId="582E9C8F">
            <w:pPr>
              <w:widowControl w:val="0"/>
              <w:jc w:val="right"/>
              <w:rPr>
                <w:rFonts w:hint="eastAsia"/>
                <w:szCs w:val="21"/>
              </w:rPr>
            </w:pPr>
          </w:p>
        </w:tc>
        <w:tc>
          <w:tcPr>
            <w:tcW w:w="580" w:type="pct"/>
            <w:vAlign w:val="center"/>
          </w:tcPr>
          <w:p w14:paraId="0F39033A">
            <w:pPr>
              <w:widowControl w:val="0"/>
              <w:jc w:val="right"/>
              <w:rPr>
                <w:rFonts w:hint="eastAsia"/>
                <w:szCs w:val="21"/>
              </w:rPr>
            </w:pPr>
          </w:p>
        </w:tc>
      </w:tr>
      <w:tr w14:paraId="1E14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42CE56C9">
            <w:pPr>
              <w:pStyle w:val="44"/>
              <w:ind w:firstLine="0" w:firstLineChars="0"/>
              <w:jc w:val="left"/>
              <w:rPr>
                <w:rFonts w:hint="eastAsia" w:ascii="宋体" w:hAnsi="宋体" w:cs="宋体"/>
                <w:kern w:val="0"/>
                <w:szCs w:val="21"/>
              </w:rPr>
            </w:pPr>
            <w:r>
              <w:rPr>
                <w:rFonts w:hint="eastAsia"/>
                <w:color w:val="000000"/>
                <w:szCs w:val="21"/>
              </w:rPr>
              <w:t>合计</w:t>
            </w:r>
          </w:p>
        </w:tc>
        <w:tc>
          <w:tcPr>
            <w:tcW w:w="882" w:type="pct"/>
            <w:vAlign w:val="center"/>
          </w:tcPr>
          <w:p w14:paraId="00E426AE">
            <w:pPr>
              <w:widowControl w:val="0"/>
              <w:jc w:val="right"/>
              <w:rPr>
                <w:rFonts w:hint="eastAsia"/>
                <w:szCs w:val="21"/>
              </w:rPr>
            </w:pPr>
            <w:r>
              <w:rPr>
                <w:rFonts w:ascii="Arial Narrow" w:hAnsi="Arial Narrow" w:eastAsia="等线"/>
                <w:color w:val="000000"/>
                <w:szCs w:val="21"/>
              </w:rPr>
              <w:t xml:space="preserve">9,601,856,291.91 </w:t>
            </w:r>
          </w:p>
        </w:tc>
        <w:tc>
          <w:tcPr>
            <w:tcW w:w="885" w:type="pct"/>
            <w:vAlign w:val="center"/>
          </w:tcPr>
          <w:p w14:paraId="4BAC8387">
            <w:pPr>
              <w:widowControl w:val="0"/>
              <w:jc w:val="right"/>
              <w:rPr>
                <w:rFonts w:hint="eastAsia"/>
                <w:szCs w:val="21"/>
              </w:rPr>
            </w:pPr>
            <w:r>
              <w:rPr>
                <w:rFonts w:ascii="Arial Narrow" w:hAnsi="Arial Narrow" w:eastAsia="等线"/>
                <w:color w:val="000000"/>
                <w:szCs w:val="21"/>
              </w:rPr>
              <w:t xml:space="preserve">8,928,091,699.59 </w:t>
            </w:r>
          </w:p>
        </w:tc>
        <w:tc>
          <w:tcPr>
            <w:tcW w:w="420" w:type="pct"/>
            <w:vAlign w:val="center"/>
          </w:tcPr>
          <w:p w14:paraId="343EB33A">
            <w:pPr>
              <w:widowControl w:val="0"/>
              <w:jc w:val="right"/>
              <w:rPr>
                <w:rFonts w:hint="eastAsia"/>
                <w:szCs w:val="21"/>
              </w:rPr>
            </w:pPr>
            <w:r>
              <w:rPr>
                <w:rFonts w:ascii="Arial Narrow" w:hAnsi="Arial Narrow" w:eastAsia="等线"/>
                <w:color w:val="000000"/>
                <w:szCs w:val="21"/>
              </w:rPr>
              <w:t xml:space="preserve">7.02 </w:t>
            </w:r>
          </w:p>
        </w:tc>
        <w:tc>
          <w:tcPr>
            <w:tcW w:w="557" w:type="pct"/>
            <w:vAlign w:val="center"/>
          </w:tcPr>
          <w:p w14:paraId="646E8D90">
            <w:pPr>
              <w:widowControl w:val="0"/>
              <w:jc w:val="right"/>
              <w:rPr>
                <w:rFonts w:hint="eastAsia"/>
                <w:szCs w:val="21"/>
              </w:rPr>
            </w:pPr>
            <w:r>
              <w:rPr>
                <w:rFonts w:ascii="Arial Narrow" w:hAnsi="Arial Narrow" w:eastAsia="等线"/>
                <w:color w:val="000000"/>
                <w:szCs w:val="21"/>
              </w:rPr>
              <w:t xml:space="preserve">-14.67 </w:t>
            </w:r>
          </w:p>
        </w:tc>
        <w:tc>
          <w:tcPr>
            <w:tcW w:w="557" w:type="pct"/>
            <w:vAlign w:val="center"/>
          </w:tcPr>
          <w:p w14:paraId="0039B0D2">
            <w:pPr>
              <w:widowControl w:val="0"/>
              <w:jc w:val="right"/>
              <w:rPr>
                <w:rFonts w:hint="eastAsia"/>
                <w:szCs w:val="21"/>
              </w:rPr>
            </w:pPr>
            <w:r>
              <w:rPr>
                <w:rFonts w:ascii="Arial Narrow" w:hAnsi="Arial Narrow" w:eastAsia="等线"/>
                <w:color w:val="000000"/>
                <w:szCs w:val="21"/>
              </w:rPr>
              <w:t xml:space="preserve">-8.39 </w:t>
            </w:r>
          </w:p>
        </w:tc>
        <w:tc>
          <w:tcPr>
            <w:tcW w:w="580" w:type="pct"/>
            <w:vAlign w:val="center"/>
          </w:tcPr>
          <w:p w14:paraId="40412428">
            <w:pPr>
              <w:widowControl w:val="0"/>
              <w:jc w:val="right"/>
              <w:rPr>
                <w:rFonts w:hint="eastAsia"/>
                <w:szCs w:val="21"/>
              </w:rPr>
            </w:pPr>
            <w:r>
              <w:rPr>
                <w:rFonts w:ascii="Arial Narrow" w:hAnsi="Arial Narrow" w:eastAsia="等线"/>
                <w:color w:val="000000"/>
                <w:szCs w:val="21"/>
              </w:rPr>
              <w:t xml:space="preserve">-6.37 </w:t>
            </w:r>
          </w:p>
        </w:tc>
      </w:tr>
      <w:tr w14:paraId="7B3A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9258193d94b4f5fa47e482cd615784f"/>
            <w:id w:val="-879786931"/>
          </w:sdtPr>
          <w:sdtContent>
            <w:tc>
              <w:tcPr>
                <w:tcW w:w="5000" w:type="pct"/>
                <w:gridSpan w:val="7"/>
                <w:vAlign w:val="center"/>
              </w:tcPr>
              <w:p w14:paraId="247D6FE8">
                <w:pPr>
                  <w:widowControl w:val="0"/>
                  <w:jc w:val="center"/>
                  <w:rPr>
                    <w:rFonts w:hint="eastAsia"/>
                    <w:szCs w:val="21"/>
                  </w:rPr>
                </w:pPr>
                <w:r>
                  <w:rPr>
                    <w:rFonts w:hint="eastAsia"/>
                    <w:szCs w:val="21"/>
                  </w:rPr>
                  <w:t>主营业务分产品情况</w:t>
                </w:r>
              </w:p>
            </w:tc>
          </w:sdtContent>
        </w:sdt>
      </w:tr>
      <w:tr w14:paraId="009E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d72749a5d4248359cb1b92e381ef722"/>
            <w:id w:val="-689680798"/>
          </w:sdtPr>
          <w:sdtContent>
            <w:tc>
              <w:tcPr>
                <w:tcW w:w="1119" w:type="pct"/>
                <w:vAlign w:val="center"/>
              </w:tcPr>
              <w:p w14:paraId="1D557A0D">
                <w:pPr>
                  <w:pStyle w:val="44"/>
                  <w:ind w:firstLine="0" w:firstLineChars="0"/>
                  <w:jc w:val="center"/>
                  <w:rPr>
                    <w:szCs w:val="21"/>
                  </w:rPr>
                </w:pPr>
                <w:r>
                  <w:rPr>
                    <w:rFonts w:hint="eastAsia"/>
                    <w:szCs w:val="21"/>
                  </w:rPr>
                  <w:t>分产品</w:t>
                </w:r>
              </w:p>
            </w:tc>
          </w:sdtContent>
        </w:sdt>
        <w:sdt>
          <w:sdtPr>
            <w:tag w:val="_PLD_5e318ae25ee540258ffd6821c201e0af"/>
            <w:id w:val="1512953087"/>
          </w:sdtPr>
          <w:sdtContent>
            <w:tc>
              <w:tcPr>
                <w:tcW w:w="882" w:type="pct"/>
                <w:vAlign w:val="center"/>
              </w:tcPr>
              <w:p w14:paraId="733805FB">
                <w:pPr>
                  <w:widowControl w:val="0"/>
                  <w:jc w:val="center"/>
                  <w:rPr>
                    <w:rFonts w:hint="eastAsia"/>
                    <w:szCs w:val="21"/>
                  </w:rPr>
                </w:pPr>
                <w:r>
                  <w:rPr>
                    <w:rFonts w:hint="eastAsia"/>
                    <w:szCs w:val="21"/>
                  </w:rPr>
                  <w:t>营业收入</w:t>
                </w:r>
              </w:p>
            </w:tc>
          </w:sdtContent>
        </w:sdt>
        <w:sdt>
          <w:sdtPr>
            <w:tag w:val="_PLD_d7023b8e0b18494eaae569b7bcd4781f"/>
            <w:id w:val="-1346855819"/>
          </w:sdtPr>
          <w:sdtContent>
            <w:tc>
              <w:tcPr>
                <w:tcW w:w="885" w:type="pct"/>
                <w:vAlign w:val="center"/>
              </w:tcPr>
              <w:p w14:paraId="474A7667">
                <w:pPr>
                  <w:widowControl w:val="0"/>
                  <w:jc w:val="center"/>
                  <w:rPr>
                    <w:rFonts w:hint="eastAsia"/>
                    <w:szCs w:val="21"/>
                  </w:rPr>
                </w:pPr>
                <w:r>
                  <w:rPr>
                    <w:rFonts w:hint="eastAsia"/>
                    <w:szCs w:val="21"/>
                  </w:rPr>
                  <w:t>营业成本</w:t>
                </w:r>
              </w:p>
            </w:tc>
          </w:sdtContent>
        </w:sdt>
        <w:sdt>
          <w:sdtPr>
            <w:tag w:val="_PLD_c7e7c31f672744488b53ec34a4e0abde"/>
            <w:id w:val="-1476289999"/>
          </w:sdtPr>
          <w:sdtContent>
            <w:tc>
              <w:tcPr>
                <w:tcW w:w="420" w:type="pct"/>
                <w:vAlign w:val="center"/>
              </w:tcPr>
              <w:p w14:paraId="0EAD2FF4">
                <w:pPr>
                  <w:widowControl w:val="0"/>
                  <w:jc w:val="center"/>
                  <w:rPr>
                    <w:rFonts w:hint="eastAsia"/>
                    <w:szCs w:val="21"/>
                  </w:rPr>
                </w:pPr>
                <w:r>
                  <w:rPr>
                    <w:rFonts w:hint="eastAsia"/>
                    <w:szCs w:val="21"/>
                  </w:rPr>
                  <w:t>毛利率（%）</w:t>
                </w:r>
              </w:p>
            </w:tc>
          </w:sdtContent>
        </w:sdt>
        <w:sdt>
          <w:sdtPr>
            <w:tag w:val="_PLD_0ca65e94b76d4933977b3fe13864caf2"/>
            <w:id w:val="-1753890076"/>
          </w:sdtPr>
          <w:sdtContent>
            <w:tc>
              <w:tcPr>
                <w:tcW w:w="557" w:type="pct"/>
                <w:vAlign w:val="center"/>
              </w:tcPr>
              <w:p w14:paraId="251551A6">
                <w:pPr>
                  <w:widowControl w:val="0"/>
                  <w:jc w:val="center"/>
                  <w:rPr>
                    <w:rFonts w:hint="eastAsia"/>
                    <w:szCs w:val="21"/>
                  </w:rPr>
                </w:pPr>
                <w:r>
                  <w:rPr>
                    <w:rFonts w:hint="eastAsia"/>
                    <w:szCs w:val="21"/>
                  </w:rPr>
                  <w:t>营业收入比上年增减（%）</w:t>
                </w:r>
              </w:p>
            </w:tc>
          </w:sdtContent>
        </w:sdt>
        <w:sdt>
          <w:sdtPr>
            <w:tag w:val="_PLD_0fcddf8af1ce40e3bbe0b8e78c8c2496"/>
            <w:id w:val="96541119"/>
          </w:sdtPr>
          <w:sdtContent>
            <w:tc>
              <w:tcPr>
                <w:tcW w:w="557" w:type="pct"/>
                <w:vAlign w:val="center"/>
              </w:tcPr>
              <w:p w14:paraId="3DEA1503">
                <w:pPr>
                  <w:widowControl w:val="0"/>
                  <w:jc w:val="center"/>
                  <w:rPr>
                    <w:rFonts w:hint="eastAsia"/>
                    <w:szCs w:val="21"/>
                  </w:rPr>
                </w:pPr>
                <w:r>
                  <w:rPr>
                    <w:rFonts w:hint="eastAsia"/>
                    <w:szCs w:val="21"/>
                  </w:rPr>
                  <w:t>营业成本比上年增减（%）</w:t>
                </w:r>
              </w:p>
            </w:tc>
          </w:sdtContent>
        </w:sdt>
        <w:sdt>
          <w:sdtPr>
            <w:tag w:val="_PLD_fd695ef26ff948df8cd16c66ef5ffea9"/>
            <w:id w:val="1351068003"/>
          </w:sdtPr>
          <w:sdtContent>
            <w:tc>
              <w:tcPr>
                <w:tcW w:w="580" w:type="pct"/>
                <w:vAlign w:val="center"/>
              </w:tcPr>
              <w:p w14:paraId="5834E769">
                <w:pPr>
                  <w:widowControl w:val="0"/>
                  <w:jc w:val="center"/>
                  <w:rPr>
                    <w:rFonts w:hint="eastAsia"/>
                    <w:szCs w:val="21"/>
                  </w:rPr>
                </w:pPr>
                <w:r>
                  <w:rPr>
                    <w:rFonts w:hint="eastAsia"/>
                    <w:szCs w:val="21"/>
                  </w:rPr>
                  <w:t>毛利率</w:t>
                </w:r>
                <w:r>
                  <w:rPr>
                    <w:szCs w:val="21"/>
                  </w:rPr>
                  <w:t>比上年增减（</w:t>
                </w:r>
                <w:r>
                  <w:rPr>
                    <w:rFonts w:hint="eastAsia"/>
                    <w:szCs w:val="21"/>
                  </w:rPr>
                  <w:t>%</w:t>
                </w:r>
                <w:r>
                  <w:rPr>
                    <w:szCs w:val="21"/>
                  </w:rPr>
                  <w:t>）</w:t>
                </w:r>
              </w:p>
            </w:tc>
          </w:sdtContent>
        </w:sdt>
      </w:tr>
      <w:tr w14:paraId="5AA7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5BB01641">
            <w:pPr>
              <w:pStyle w:val="44"/>
              <w:ind w:firstLine="0" w:firstLineChars="0"/>
              <w:jc w:val="left"/>
              <w:rPr>
                <w:rFonts w:hint="eastAsia" w:ascii="宋体" w:hAnsi="宋体" w:cs="宋体"/>
                <w:kern w:val="0"/>
                <w:szCs w:val="21"/>
              </w:rPr>
            </w:pPr>
            <w:r>
              <w:rPr>
                <w:rFonts w:hint="eastAsia"/>
                <w:color w:val="000000"/>
                <w:szCs w:val="21"/>
              </w:rPr>
              <w:t>军需品</w:t>
            </w:r>
          </w:p>
        </w:tc>
        <w:tc>
          <w:tcPr>
            <w:tcW w:w="882" w:type="pct"/>
            <w:vAlign w:val="center"/>
          </w:tcPr>
          <w:p w14:paraId="0D528F9D">
            <w:pPr>
              <w:widowControl w:val="0"/>
              <w:jc w:val="right"/>
              <w:rPr>
                <w:rFonts w:hint="eastAsia"/>
                <w:szCs w:val="21"/>
              </w:rPr>
            </w:pPr>
            <w:r>
              <w:rPr>
                <w:rFonts w:ascii="Arial Narrow" w:hAnsi="Arial Narrow" w:eastAsia="等线"/>
                <w:color w:val="000000"/>
                <w:szCs w:val="21"/>
              </w:rPr>
              <w:t xml:space="preserve">3,867,312,267.99 </w:t>
            </w:r>
          </w:p>
        </w:tc>
        <w:tc>
          <w:tcPr>
            <w:tcW w:w="885" w:type="pct"/>
            <w:vAlign w:val="center"/>
          </w:tcPr>
          <w:p w14:paraId="335C2A5D">
            <w:pPr>
              <w:widowControl w:val="0"/>
              <w:jc w:val="right"/>
              <w:rPr>
                <w:rFonts w:hint="eastAsia"/>
                <w:szCs w:val="21"/>
              </w:rPr>
            </w:pPr>
            <w:r>
              <w:rPr>
                <w:rFonts w:ascii="Arial Narrow" w:hAnsi="Arial Narrow" w:eastAsia="等线"/>
                <w:color w:val="000000"/>
                <w:szCs w:val="21"/>
              </w:rPr>
              <w:t xml:space="preserve">3,624,382,281.21 </w:t>
            </w:r>
          </w:p>
        </w:tc>
        <w:tc>
          <w:tcPr>
            <w:tcW w:w="420" w:type="pct"/>
            <w:vAlign w:val="center"/>
          </w:tcPr>
          <w:p w14:paraId="71D211B1">
            <w:pPr>
              <w:widowControl w:val="0"/>
              <w:jc w:val="right"/>
              <w:rPr>
                <w:rFonts w:hint="eastAsia"/>
                <w:szCs w:val="21"/>
              </w:rPr>
            </w:pPr>
            <w:r>
              <w:rPr>
                <w:rFonts w:ascii="Arial Narrow" w:hAnsi="Arial Narrow" w:eastAsia="等线"/>
                <w:color w:val="000000"/>
                <w:szCs w:val="21"/>
              </w:rPr>
              <w:t xml:space="preserve">6.28 </w:t>
            </w:r>
          </w:p>
        </w:tc>
        <w:tc>
          <w:tcPr>
            <w:tcW w:w="557" w:type="pct"/>
            <w:vAlign w:val="center"/>
          </w:tcPr>
          <w:p w14:paraId="22FDA053">
            <w:pPr>
              <w:widowControl w:val="0"/>
              <w:jc w:val="right"/>
              <w:rPr>
                <w:rFonts w:hint="eastAsia"/>
                <w:szCs w:val="21"/>
              </w:rPr>
            </w:pPr>
            <w:r>
              <w:rPr>
                <w:rFonts w:ascii="Arial Narrow" w:hAnsi="Arial Narrow" w:eastAsia="等线"/>
                <w:color w:val="000000"/>
                <w:szCs w:val="21"/>
              </w:rPr>
              <w:t xml:space="preserve">-29.72 </w:t>
            </w:r>
          </w:p>
        </w:tc>
        <w:tc>
          <w:tcPr>
            <w:tcW w:w="557" w:type="pct"/>
            <w:vAlign w:val="center"/>
          </w:tcPr>
          <w:p w14:paraId="76FC4EB7">
            <w:pPr>
              <w:widowControl w:val="0"/>
              <w:jc w:val="right"/>
              <w:rPr>
                <w:rFonts w:hint="eastAsia"/>
                <w:szCs w:val="21"/>
              </w:rPr>
            </w:pPr>
            <w:r>
              <w:rPr>
                <w:rFonts w:ascii="Arial Narrow" w:hAnsi="Arial Narrow" w:eastAsia="等线"/>
                <w:color w:val="000000"/>
                <w:szCs w:val="21"/>
              </w:rPr>
              <w:t xml:space="preserve">-23.75 </w:t>
            </w:r>
          </w:p>
        </w:tc>
        <w:tc>
          <w:tcPr>
            <w:tcW w:w="580" w:type="pct"/>
            <w:vAlign w:val="center"/>
          </w:tcPr>
          <w:p w14:paraId="4864B605">
            <w:pPr>
              <w:widowControl w:val="0"/>
              <w:jc w:val="right"/>
              <w:rPr>
                <w:rFonts w:hint="eastAsia"/>
                <w:szCs w:val="21"/>
              </w:rPr>
            </w:pPr>
            <w:r>
              <w:rPr>
                <w:rFonts w:ascii="Arial Narrow" w:hAnsi="Arial Narrow" w:eastAsia="等线"/>
                <w:color w:val="000000"/>
                <w:szCs w:val="21"/>
              </w:rPr>
              <w:t xml:space="preserve">-7.34 </w:t>
            </w:r>
          </w:p>
        </w:tc>
      </w:tr>
      <w:tr w14:paraId="01C2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03F61410">
            <w:pPr>
              <w:pStyle w:val="44"/>
              <w:ind w:firstLine="0" w:firstLineChars="0"/>
              <w:jc w:val="left"/>
              <w:rPr>
                <w:rFonts w:hint="eastAsia" w:ascii="宋体" w:hAnsi="宋体" w:cs="宋体"/>
                <w:kern w:val="0"/>
                <w:szCs w:val="21"/>
              </w:rPr>
            </w:pPr>
            <w:r>
              <w:rPr>
                <w:rFonts w:hint="eastAsia"/>
                <w:color w:val="000000"/>
                <w:szCs w:val="21"/>
              </w:rPr>
              <w:t>民品</w:t>
            </w:r>
          </w:p>
        </w:tc>
        <w:tc>
          <w:tcPr>
            <w:tcW w:w="882" w:type="pct"/>
            <w:vAlign w:val="center"/>
          </w:tcPr>
          <w:p w14:paraId="126C5161">
            <w:pPr>
              <w:widowControl w:val="0"/>
              <w:jc w:val="right"/>
              <w:rPr>
                <w:rFonts w:hint="eastAsia"/>
                <w:szCs w:val="21"/>
              </w:rPr>
            </w:pPr>
            <w:r>
              <w:rPr>
                <w:rFonts w:ascii="Arial Narrow" w:hAnsi="Arial Narrow" w:eastAsia="等线"/>
                <w:color w:val="000000"/>
                <w:szCs w:val="21"/>
              </w:rPr>
              <w:t xml:space="preserve">5,768,978,083.31 </w:t>
            </w:r>
          </w:p>
        </w:tc>
        <w:tc>
          <w:tcPr>
            <w:tcW w:w="885" w:type="pct"/>
            <w:vAlign w:val="center"/>
          </w:tcPr>
          <w:p w14:paraId="607AA61E">
            <w:pPr>
              <w:widowControl w:val="0"/>
              <w:jc w:val="right"/>
              <w:rPr>
                <w:rFonts w:hint="eastAsia"/>
                <w:szCs w:val="21"/>
              </w:rPr>
            </w:pPr>
            <w:r>
              <w:rPr>
                <w:rFonts w:ascii="Arial Narrow" w:hAnsi="Arial Narrow" w:eastAsia="等线"/>
                <w:color w:val="000000"/>
                <w:szCs w:val="21"/>
              </w:rPr>
              <w:t xml:space="preserve">5,397,086,559.60 </w:t>
            </w:r>
          </w:p>
        </w:tc>
        <w:tc>
          <w:tcPr>
            <w:tcW w:w="420" w:type="pct"/>
            <w:vAlign w:val="center"/>
          </w:tcPr>
          <w:p w14:paraId="5C43A95C">
            <w:pPr>
              <w:widowControl w:val="0"/>
              <w:jc w:val="right"/>
              <w:rPr>
                <w:rFonts w:hint="eastAsia"/>
                <w:szCs w:val="21"/>
              </w:rPr>
            </w:pPr>
            <w:r>
              <w:rPr>
                <w:rFonts w:ascii="Arial Narrow" w:hAnsi="Arial Narrow" w:eastAsia="等线"/>
                <w:color w:val="000000"/>
                <w:szCs w:val="21"/>
              </w:rPr>
              <w:t xml:space="preserve">6.45 </w:t>
            </w:r>
          </w:p>
        </w:tc>
        <w:tc>
          <w:tcPr>
            <w:tcW w:w="557" w:type="pct"/>
            <w:vAlign w:val="center"/>
          </w:tcPr>
          <w:p w14:paraId="2AC50DCF">
            <w:pPr>
              <w:widowControl w:val="0"/>
              <w:jc w:val="right"/>
              <w:rPr>
                <w:rFonts w:hint="eastAsia"/>
                <w:szCs w:val="21"/>
              </w:rPr>
            </w:pPr>
            <w:r>
              <w:rPr>
                <w:rFonts w:ascii="Arial Narrow" w:hAnsi="Arial Narrow" w:eastAsia="等线"/>
                <w:color w:val="000000"/>
                <w:szCs w:val="21"/>
              </w:rPr>
              <w:t xml:space="preserve">3.00 </w:t>
            </w:r>
          </w:p>
        </w:tc>
        <w:tc>
          <w:tcPr>
            <w:tcW w:w="557" w:type="pct"/>
            <w:vAlign w:val="center"/>
          </w:tcPr>
          <w:p w14:paraId="64AF7A71">
            <w:pPr>
              <w:widowControl w:val="0"/>
              <w:jc w:val="right"/>
              <w:rPr>
                <w:rFonts w:hint="eastAsia"/>
                <w:szCs w:val="21"/>
              </w:rPr>
            </w:pPr>
            <w:r>
              <w:rPr>
                <w:rFonts w:ascii="Arial Narrow" w:hAnsi="Arial Narrow" w:eastAsia="等线"/>
                <w:color w:val="000000"/>
                <w:szCs w:val="21"/>
              </w:rPr>
              <w:t xml:space="preserve">9.55 </w:t>
            </w:r>
          </w:p>
        </w:tc>
        <w:tc>
          <w:tcPr>
            <w:tcW w:w="580" w:type="pct"/>
            <w:vAlign w:val="center"/>
          </w:tcPr>
          <w:p w14:paraId="3AF91C64">
            <w:pPr>
              <w:widowControl w:val="0"/>
              <w:jc w:val="right"/>
              <w:rPr>
                <w:rFonts w:hint="eastAsia"/>
                <w:szCs w:val="21"/>
              </w:rPr>
            </w:pPr>
            <w:r>
              <w:rPr>
                <w:rFonts w:ascii="Arial Narrow" w:hAnsi="Arial Narrow" w:eastAsia="等线"/>
                <w:color w:val="000000"/>
                <w:szCs w:val="21"/>
              </w:rPr>
              <w:t xml:space="preserve">-5.59 </w:t>
            </w:r>
          </w:p>
        </w:tc>
      </w:tr>
      <w:tr w14:paraId="71BD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6C3EBF9A">
            <w:pPr>
              <w:pStyle w:val="44"/>
              <w:ind w:firstLine="0" w:firstLineChars="0"/>
              <w:jc w:val="left"/>
              <w:rPr>
                <w:rFonts w:hint="eastAsia" w:ascii="宋体" w:hAnsi="宋体" w:cs="宋体"/>
                <w:kern w:val="0"/>
                <w:szCs w:val="21"/>
              </w:rPr>
            </w:pPr>
            <w:r>
              <w:rPr>
                <w:rFonts w:hint="eastAsia"/>
                <w:color w:val="000000"/>
                <w:szCs w:val="21"/>
              </w:rPr>
              <w:t>贸易及其他</w:t>
            </w:r>
          </w:p>
        </w:tc>
        <w:tc>
          <w:tcPr>
            <w:tcW w:w="882" w:type="pct"/>
            <w:vAlign w:val="center"/>
          </w:tcPr>
          <w:p w14:paraId="3E495A9A">
            <w:pPr>
              <w:widowControl w:val="0"/>
              <w:jc w:val="right"/>
              <w:rPr>
                <w:rFonts w:hint="eastAsia"/>
                <w:szCs w:val="21"/>
              </w:rPr>
            </w:pPr>
            <w:r>
              <w:rPr>
                <w:rFonts w:ascii="Arial Narrow" w:hAnsi="Arial Narrow" w:eastAsia="等线"/>
                <w:color w:val="000000"/>
                <w:szCs w:val="21"/>
              </w:rPr>
              <w:t xml:space="preserve">453,711,753.99 </w:t>
            </w:r>
          </w:p>
        </w:tc>
        <w:tc>
          <w:tcPr>
            <w:tcW w:w="885" w:type="pct"/>
            <w:vAlign w:val="center"/>
          </w:tcPr>
          <w:p w14:paraId="1F258FE7">
            <w:pPr>
              <w:widowControl w:val="0"/>
              <w:jc w:val="right"/>
              <w:rPr>
                <w:rFonts w:hint="eastAsia"/>
                <w:szCs w:val="21"/>
              </w:rPr>
            </w:pPr>
            <w:r>
              <w:rPr>
                <w:rFonts w:ascii="Arial Narrow" w:hAnsi="Arial Narrow" w:eastAsia="等线"/>
                <w:color w:val="000000"/>
                <w:szCs w:val="21"/>
              </w:rPr>
              <w:t xml:space="preserve">391,758,801.71 </w:t>
            </w:r>
          </w:p>
        </w:tc>
        <w:tc>
          <w:tcPr>
            <w:tcW w:w="420" w:type="pct"/>
            <w:vAlign w:val="center"/>
          </w:tcPr>
          <w:p w14:paraId="7F0E4F1B">
            <w:pPr>
              <w:widowControl w:val="0"/>
              <w:jc w:val="right"/>
              <w:rPr>
                <w:rFonts w:hint="eastAsia"/>
                <w:szCs w:val="21"/>
              </w:rPr>
            </w:pPr>
            <w:r>
              <w:rPr>
                <w:rFonts w:ascii="Arial Narrow" w:hAnsi="Arial Narrow" w:eastAsia="等线"/>
                <w:color w:val="000000"/>
                <w:szCs w:val="21"/>
              </w:rPr>
              <w:t xml:space="preserve">13.65 </w:t>
            </w:r>
          </w:p>
        </w:tc>
        <w:tc>
          <w:tcPr>
            <w:tcW w:w="557" w:type="pct"/>
            <w:vAlign w:val="center"/>
          </w:tcPr>
          <w:p w14:paraId="62FDB5DE">
            <w:pPr>
              <w:widowControl w:val="0"/>
              <w:jc w:val="right"/>
              <w:rPr>
                <w:rFonts w:hint="eastAsia"/>
                <w:szCs w:val="21"/>
              </w:rPr>
            </w:pPr>
            <w:r>
              <w:rPr>
                <w:rFonts w:ascii="Arial Narrow" w:hAnsi="Arial Narrow" w:eastAsia="等线"/>
                <w:color w:val="000000"/>
                <w:szCs w:val="21"/>
              </w:rPr>
              <w:t xml:space="preserve">-48.20 </w:t>
            </w:r>
          </w:p>
        </w:tc>
        <w:tc>
          <w:tcPr>
            <w:tcW w:w="557" w:type="pct"/>
            <w:vAlign w:val="center"/>
          </w:tcPr>
          <w:p w14:paraId="3A36F79D">
            <w:pPr>
              <w:widowControl w:val="0"/>
              <w:jc w:val="right"/>
              <w:rPr>
                <w:rFonts w:hint="eastAsia"/>
                <w:szCs w:val="21"/>
              </w:rPr>
            </w:pPr>
            <w:r>
              <w:rPr>
                <w:rFonts w:ascii="Arial Narrow" w:hAnsi="Arial Narrow" w:eastAsia="等线"/>
                <w:color w:val="000000"/>
                <w:szCs w:val="21"/>
              </w:rPr>
              <w:t xml:space="preserve">-50.64 </w:t>
            </w:r>
          </w:p>
        </w:tc>
        <w:tc>
          <w:tcPr>
            <w:tcW w:w="580" w:type="pct"/>
            <w:vAlign w:val="center"/>
          </w:tcPr>
          <w:p w14:paraId="69C62670">
            <w:pPr>
              <w:widowControl w:val="0"/>
              <w:jc w:val="right"/>
              <w:rPr>
                <w:rFonts w:hint="eastAsia"/>
                <w:szCs w:val="21"/>
              </w:rPr>
            </w:pPr>
            <w:r>
              <w:rPr>
                <w:rFonts w:ascii="Arial Narrow" w:hAnsi="Arial Narrow" w:eastAsia="等线"/>
                <w:color w:val="000000"/>
                <w:szCs w:val="21"/>
              </w:rPr>
              <w:t xml:space="preserve">4.27 </w:t>
            </w:r>
          </w:p>
        </w:tc>
      </w:tr>
      <w:tr w14:paraId="4446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2E25AC0B">
            <w:pPr>
              <w:pStyle w:val="44"/>
              <w:ind w:firstLine="0" w:firstLineChars="0"/>
              <w:jc w:val="left"/>
              <w:rPr>
                <w:rFonts w:hint="eastAsia" w:ascii="宋体" w:hAnsi="宋体" w:cs="宋体"/>
                <w:kern w:val="0"/>
                <w:szCs w:val="21"/>
              </w:rPr>
            </w:pPr>
            <w:r>
              <w:rPr>
                <w:rFonts w:hint="eastAsia"/>
                <w:color w:val="000000"/>
                <w:szCs w:val="21"/>
              </w:rPr>
              <w:t>减：内部抵销数</w:t>
            </w:r>
          </w:p>
        </w:tc>
        <w:tc>
          <w:tcPr>
            <w:tcW w:w="882" w:type="pct"/>
            <w:vAlign w:val="center"/>
          </w:tcPr>
          <w:p w14:paraId="7645E534">
            <w:pPr>
              <w:widowControl w:val="0"/>
              <w:jc w:val="right"/>
              <w:rPr>
                <w:rFonts w:hint="eastAsia"/>
                <w:szCs w:val="21"/>
              </w:rPr>
            </w:pPr>
            <w:r>
              <w:rPr>
                <w:rFonts w:ascii="Arial Narrow" w:hAnsi="Arial Narrow" w:eastAsia="等线"/>
                <w:color w:val="000000"/>
                <w:szCs w:val="21"/>
              </w:rPr>
              <w:t xml:space="preserve">488,145,813.38 </w:t>
            </w:r>
          </w:p>
        </w:tc>
        <w:tc>
          <w:tcPr>
            <w:tcW w:w="885" w:type="pct"/>
            <w:vAlign w:val="center"/>
          </w:tcPr>
          <w:p w14:paraId="7276F978">
            <w:pPr>
              <w:widowControl w:val="0"/>
              <w:jc w:val="right"/>
              <w:rPr>
                <w:rFonts w:hint="eastAsia"/>
                <w:szCs w:val="21"/>
              </w:rPr>
            </w:pPr>
            <w:r>
              <w:rPr>
                <w:rFonts w:ascii="Arial Narrow" w:hAnsi="Arial Narrow" w:eastAsia="等线"/>
                <w:color w:val="000000"/>
                <w:szCs w:val="21"/>
              </w:rPr>
              <w:t xml:space="preserve">485,135,942.93 </w:t>
            </w:r>
          </w:p>
        </w:tc>
        <w:tc>
          <w:tcPr>
            <w:tcW w:w="420" w:type="pct"/>
            <w:vAlign w:val="center"/>
          </w:tcPr>
          <w:p w14:paraId="594D5AEA">
            <w:pPr>
              <w:widowControl w:val="0"/>
              <w:jc w:val="right"/>
              <w:rPr>
                <w:rFonts w:hint="eastAsia"/>
                <w:szCs w:val="21"/>
              </w:rPr>
            </w:pPr>
          </w:p>
        </w:tc>
        <w:tc>
          <w:tcPr>
            <w:tcW w:w="557" w:type="pct"/>
            <w:vAlign w:val="center"/>
          </w:tcPr>
          <w:p w14:paraId="07A5B9A0">
            <w:pPr>
              <w:widowControl w:val="0"/>
              <w:jc w:val="right"/>
              <w:rPr>
                <w:rFonts w:hint="eastAsia"/>
                <w:szCs w:val="21"/>
              </w:rPr>
            </w:pPr>
          </w:p>
        </w:tc>
        <w:tc>
          <w:tcPr>
            <w:tcW w:w="557" w:type="pct"/>
            <w:vAlign w:val="center"/>
          </w:tcPr>
          <w:p w14:paraId="7BCED0D7">
            <w:pPr>
              <w:widowControl w:val="0"/>
              <w:jc w:val="right"/>
              <w:rPr>
                <w:rFonts w:hint="eastAsia"/>
                <w:szCs w:val="21"/>
              </w:rPr>
            </w:pPr>
          </w:p>
        </w:tc>
        <w:tc>
          <w:tcPr>
            <w:tcW w:w="580" w:type="pct"/>
            <w:vAlign w:val="center"/>
          </w:tcPr>
          <w:p w14:paraId="482EBE44">
            <w:pPr>
              <w:widowControl w:val="0"/>
              <w:jc w:val="right"/>
              <w:rPr>
                <w:rFonts w:hint="eastAsia"/>
                <w:szCs w:val="21"/>
              </w:rPr>
            </w:pPr>
          </w:p>
        </w:tc>
      </w:tr>
      <w:tr w14:paraId="67CC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bottom"/>
          </w:tcPr>
          <w:p w14:paraId="6FC7737E">
            <w:pPr>
              <w:pStyle w:val="44"/>
              <w:ind w:firstLine="0" w:firstLineChars="0"/>
              <w:jc w:val="left"/>
              <w:rPr>
                <w:rFonts w:hint="eastAsia" w:ascii="宋体" w:hAnsi="宋体" w:cs="宋体"/>
                <w:kern w:val="0"/>
                <w:szCs w:val="21"/>
              </w:rPr>
            </w:pPr>
            <w:r>
              <w:rPr>
                <w:rFonts w:hint="eastAsia"/>
                <w:color w:val="000000"/>
                <w:szCs w:val="21"/>
              </w:rPr>
              <w:t>合计</w:t>
            </w:r>
          </w:p>
        </w:tc>
        <w:tc>
          <w:tcPr>
            <w:tcW w:w="882" w:type="pct"/>
            <w:vAlign w:val="center"/>
          </w:tcPr>
          <w:p w14:paraId="51A6A288">
            <w:pPr>
              <w:widowControl w:val="0"/>
              <w:jc w:val="right"/>
              <w:rPr>
                <w:rFonts w:hint="eastAsia"/>
                <w:szCs w:val="21"/>
              </w:rPr>
            </w:pPr>
            <w:r>
              <w:rPr>
                <w:rFonts w:ascii="Arial Narrow" w:hAnsi="Arial Narrow" w:eastAsia="等线"/>
                <w:color w:val="000000"/>
                <w:szCs w:val="21"/>
              </w:rPr>
              <w:t xml:space="preserve">9,601,856,291.91 </w:t>
            </w:r>
          </w:p>
        </w:tc>
        <w:tc>
          <w:tcPr>
            <w:tcW w:w="885" w:type="pct"/>
            <w:vAlign w:val="center"/>
          </w:tcPr>
          <w:p w14:paraId="00B61BB1">
            <w:pPr>
              <w:widowControl w:val="0"/>
              <w:jc w:val="right"/>
              <w:rPr>
                <w:rFonts w:hint="eastAsia"/>
                <w:szCs w:val="21"/>
              </w:rPr>
            </w:pPr>
            <w:r>
              <w:rPr>
                <w:rFonts w:ascii="Arial Narrow" w:hAnsi="Arial Narrow" w:eastAsia="等线"/>
                <w:color w:val="000000"/>
                <w:szCs w:val="21"/>
              </w:rPr>
              <w:t xml:space="preserve">8,928,091,699.59 </w:t>
            </w:r>
          </w:p>
        </w:tc>
        <w:tc>
          <w:tcPr>
            <w:tcW w:w="420" w:type="pct"/>
            <w:vAlign w:val="center"/>
          </w:tcPr>
          <w:p w14:paraId="6551186F">
            <w:pPr>
              <w:widowControl w:val="0"/>
              <w:jc w:val="right"/>
              <w:rPr>
                <w:rFonts w:hint="eastAsia"/>
                <w:szCs w:val="21"/>
              </w:rPr>
            </w:pPr>
            <w:r>
              <w:rPr>
                <w:rFonts w:ascii="Arial Narrow" w:hAnsi="Arial Narrow" w:eastAsia="等线"/>
                <w:color w:val="000000"/>
                <w:szCs w:val="21"/>
              </w:rPr>
              <w:t xml:space="preserve">7.02 </w:t>
            </w:r>
          </w:p>
        </w:tc>
        <w:tc>
          <w:tcPr>
            <w:tcW w:w="557" w:type="pct"/>
            <w:vAlign w:val="center"/>
          </w:tcPr>
          <w:p w14:paraId="732350EF">
            <w:pPr>
              <w:widowControl w:val="0"/>
              <w:jc w:val="right"/>
              <w:rPr>
                <w:rFonts w:hint="eastAsia"/>
                <w:szCs w:val="21"/>
              </w:rPr>
            </w:pPr>
            <w:r>
              <w:rPr>
                <w:rFonts w:ascii="Arial Narrow" w:hAnsi="Arial Narrow" w:eastAsia="等线"/>
                <w:color w:val="000000"/>
                <w:szCs w:val="21"/>
              </w:rPr>
              <w:t xml:space="preserve">-14.67 </w:t>
            </w:r>
          </w:p>
        </w:tc>
        <w:tc>
          <w:tcPr>
            <w:tcW w:w="557" w:type="pct"/>
            <w:vAlign w:val="center"/>
          </w:tcPr>
          <w:p w14:paraId="2CE4DABC">
            <w:pPr>
              <w:widowControl w:val="0"/>
              <w:jc w:val="right"/>
              <w:rPr>
                <w:rFonts w:hint="eastAsia"/>
                <w:szCs w:val="21"/>
              </w:rPr>
            </w:pPr>
            <w:r>
              <w:rPr>
                <w:rFonts w:ascii="Arial Narrow" w:hAnsi="Arial Narrow" w:eastAsia="等线"/>
                <w:color w:val="000000"/>
                <w:szCs w:val="21"/>
              </w:rPr>
              <w:t xml:space="preserve">-8.39 </w:t>
            </w:r>
          </w:p>
        </w:tc>
        <w:tc>
          <w:tcPr>
            <w:tcW w:w="580" w:type="pct"/>
            <w:vAlign w:val="center"/>
          </w:tcPr>
          <w:p w14:paraId="62A82627">
            <w:pPr>
              <w:widowControl w:val="0"/>
              <w:jc w:val="right"/>
              <w:rPr>
                <w:rFonts w:hint="eastAsia"/>
                <w:szCs w:val="21"/>
              </w:rPr>
            </w:pPr>
            <w:r>
              <w:rPr>
                <w:rFonts w:ascii="Arial Narrow" w:hAnsi="Arial Narrow" w:eastAsia="等线"/>
                <w:color w:val="000000"/>
                <w:szCs w:val="21"/>
              </w:rPr>
              <w:t xml:space="preserve">-6.37 </w:t>
            </w:r>
          </w:p>
        </w:tc>
      </w:tr>
      <w:tr w14:paraId="009F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e4b98c3f70c495d9eb9797ce0f7b5f6"/>
            <w:id w:val="-1928879479"/>
          </w:sdtPr>
          <w:sdtContent>
            <w:tc>
              <w:tcPr>
                <w:tcW w:w="5000" w:type="pct"/>
                <w:gridSpan w:val="7"/>
              </w:tcPr>
              <w:p w14:paraId="2C743199">
                <w:pPr>
                  <w:widowControl w:val="0"/>
                  <w:jc w:val="center"/>
                  <w:rPr>
                    <w:rFonts w:hint="eastAsia"/>
                    <w:szCs w:val="21"/>
                  </w:rPr>
                </w:pPr>
                <w:r>
                  <w:rPr>
                    <w:rFonts w:hint="eastAsia"/>
                    <w:szCs w:val="21"/>
                  </w:rPr>
                  <w:t>主营业务分地区情况</w:t>
                </w:r>
              </w:p>
            </w:tc>
          </w:sdtContent>
        </w:sdt>
      </w:tr>
      <w:tr w14:paraId="1ED3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8d8ea3d867f4a97a5a66d059c2a507e"/>
            <w:id w:val="-909458822"/>
          </w:sdtPr>
          <w:sdtContent>
            <w:tc>
              <w:tcPr>
                <w:tcW w:w="1119" w:type="pct"/>
                <w:vAlign w:val="center"/>
              </w:tcPr>
              <w:p w14:paraId="01564FB8">
                <w:pPr>
                  <w:widowControl w:val="0"/>
                  <w:jc w:val="center"/>
                  <w:rPr>
                    <w:rFonts w:hint="eastAsia"/>
                    <w:szCs w:val="21"/>
                  </w:rPr>
                </w:pPr>
                <w:r>
                  <w:rPr>
                    <w:rFonts w:hint="eastAsia"/>
                    <w:szCs w:val="21"/>
                  </w:rPr>
                  <w:t>分地区</w:t>
                </w:r>
              </w:p>
            </w:tc>
          </w:sdtContent>
        </w:sdt>
        <w:sdt>
          <w:sdtPr>
            <w:tag w:val="_PLD_d960c947c6424e2a87acbd6f4d534b0a"/>
            <w:id w:val="363635983"/>
          </w:sdtPr>
          <w:sdtContent>
            <w:tc>
              <w:tcPr>
                <w:tcW w:w="882" w:type="pct"/>
                <w:vAlign w:val="center"/>
              </w:tcPr>
              <w:p w14:paraId="673CE7DC">
                <w:pPr>
                  <w:widowControl w:val="0"/>
                  <w:jc w:val="center"/>
                  <w:rPr>
                    <w:rFonts w:hint="eastAsia"/>
                    <w:szCs w:val="21"/>
                  </w:rPr>
                </w:pPr>
                <w:r>
                  <w:rPr>
                    <w:rFonts w:hint="eastAsia"/>
                    <w:szCs w:val="21"/>
                  </w:rPr>
                  <w:t>营业收入</w:t>
                </w:r>
              </w:p>
            </w:tc>
          </w:sdtContent>
        </w:sdt>
        <w:sdt>
          <w:sdtPr>
            <w:tag w:val="_PLD_0cab657ed1664cda8d161069df0d4ffe"/>
            <w:id w:val="-1843005182"/>
          </w:sdtPr>
          <w:sdtContent>
            <w:tc>
              <w:tcPr>
                <w:tcW w:w="885" w:type="pct"/>
                <w:vAlign w:val="center"/>
              </w:tcPr>
              <w:p w14:paraId="2697DA18">
                <w:pPr>
                  <w:widowControl w:val="0"/>
                  <w:jc w:val="center"/>
                  <w:rPr>
                    <w:rFonts w:hint="eastAsia"/>
                    <w:szCs w:val="21"/>
                  </w:rPr>
                </w:pPr>
                <w:r>
                  <w:rPr>
                    <w:rFonts w:hint="eastAsia"/>
                    <w:szCs w:val="21"/>
                  </w:rPr>
                  <w:t>营业成本</w:t>
                </w:r>
              </w:p>
            </w:tc>
          </w:sdtContent>
        </w:sdt>
        <w:sdt>
          <w:sdtPr>
            <w:tag w:val="_PLD_de52f565c0c94f5f8930a8d275890566"/>
            <w:id w:val="553121584"/>
          </w:sdtPr>
          <w:sdtContent>
            <w:tc>
              <w:tcPr>
                <w:tcW w:w="420" w:type="pct"/>
                <w:vAlign w:val="center"/>
              </w:tcPr>
              <w:p w14:paraId="2A969CEB">
                <w:pPr>
                  <w:widowControl w:val="0"/>
                  <w:jc w:val="center"/>
                  <w:rPr>
                    <w:rFonts w:hint="eastAsia"/>
                    <w:szCs w:val="21"/>
                  </w:rPr>
                </w:pPr>
                <w:r>
                  <w:rPr>
                    <w:rFonts w:hint="eastAsia"/>
                    <w:szCs w:val="21"/>
                  </w:rPr>
                  <w:t>毛利率（%）</w:t>
                </w:r>
              </w:p>
            </w:tc>
          </w:sdtContent>
        </w:sdt>
        <w:sdt>
          <w:sdtPr>
            <w:tag w:val="_PLD_66acbff90fbb46ac8fc6c5840a2a1352"/>
            <w:id w:val="1833639890"/>
          </w:sdtPr>
          <w:sdtContent>
            <w:tc>
              <w:tcPr>
                <w:tcW w:w="557" w:type="pct"/>
                <w:vAlign w:val="center"/>
              </w:tcPr>
              <w:p w14:paraId="6F0EA0CF">
                <w:pPr>
                  <w:widowControl w:val="0"/>
                  <w:jc w:val="center"/>
                  <w:rPr>
                    <w:rFonts w:hint="eastAsia"/>
                    <w:szCs w:val="21"/>
                  </w:rPr>
                </w:pPr>
                <w:r>
                  <w:rPr>
                    <w:rFonts w:hint="eastAsia"/>
                    <w:szCs w:val="21"/>
                  </w:rPr>
                  <w:t>营业收入比上年增减（%）</w:t>
                </w:r>
              </w:p>
            </w:tc>
          </w:sdtContent>
        </w:sdt>
        <w:sdt>
          <w:sdtPr>
            <w:tag w:val="_PLD_24222e0fb06f4b87bb8e6a25bfc923a9"/>
            <w:id w:val="222888328"/>
          </w:sdtPr>
          <w:sdtContent>
            <w:tc>
              <w:tcPr>
                <w:tcW w:w="557" w:type="pct"/>
                <w:vAlign w:val="center"/>
              </w:tcPr>
              <w:p w14:paraId="1F3C234E">
                <w:pPr>
                  <w:widowControl w:val="0"/>
                  <w:jc w:val="center"/>
                  <w:rPr>
                    <w:rFonts w:hint="eastAsia"/>
                    <w:szCs w:val="21"/>
                  </w:rPr>
                </w:pPr>
                <w:r>
                  <w:rPr>
                    <w:rFonts w:hint="eastAsia"/>
                    <w:szCs w:val="21"/>
                  </w:rPr>
                  <w:t>营业成本比上年增减（%）</w:t>
                </w:r>
              </w:p>
            </w:tc>
          </w:sdtContent>
        </w:sdt>
        <w:sdt>
          <w:sdtPr>
            <w:tag w:val="_PLD_055160da443c4e4a8c520dbbde5baec3"/>
            <w:id w:val="204610449"/>
          </w:sdtPr>
          <w:sdtContent>
            <w:tc>
              <w:tcPr>
                <w:tcW w:w="580" w:type="pct"/>
                <w:vAlign w:val="center"/>
              </w:tcPr>
              <w:p w14:paraId="612335C9">
                <w:pPr>
                  <w:widowControl w:val="0"/>
                  <w:jc w:val="center"/>
                  <w:rPr>
                    <w:rFonts w:hint="eastAsia"/>
                    <w:szCs w:val="21"/>
                  </w:rPr>
                </w:pPr>
                <w:r>
                  <w:rPr>
                    <w:rFonts w:hint="eastAsia"/>
                    <w:szCs w:val="21"/>
                  </w:rPr>
                  <w:t>毛利率</w:t>
                </w:r>
                <w:r>
                  <w:rPr>
                    <w:szCs w:val="21"/>
                  </w:rPr>
                  <w:t>比上年增减（</w:t>
                </w:r>
                <w:r>
                  <w:rPr>
                    <w:rFonts w:hint="eastAsia"/>
                    <w:szCs w:val="21"/>
                  </w:rPr>
                  <w:t>%</w:t>
                </w:r>
                <w:r>
                  <w:rPr>
                    <w:szCs w:val="21"/>
                  </w:rPr>
                  <w:t>）</w:t>
                </w:r>
              </w:p>
            </w:tc>
          </w:sdtContent>
        </w:sdt>
      </w:tr>
      <w:tr w14:paraId="627E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center"/>
          </w:tcPr>
          <w:p w14:paraId="296512D4">
            <w:pPr>
              <w:pStyle w:val="44"/>
              <w:ind w:firstLine="0" w:firstLineChars="0"/>
              <w:jc w:val="center"/>
              <w:rPr>
                <w:rFonts w:hint="eastAsia" w:ascii="宋体" w:hAnsi="宋体" w:cs="宋体"/>
                <w:kern w:val="0"/>
                <w:szCs w:val="21"/>
              </w:rPr>
            </w:pPr>
            <w:r>
              <w:rPr>
                <w:rFonts w:hint="eastAsia"/>
                <w:color w:val="000000"/>
                <w:szCs w:val="21"/>
              </w:rPr>
              <w:t>境内</w:t>
            </w:r>
          </w:p>
        </w:tc>
        <w:tc>
          <w:tcPr>
            <w:tcW w:w="882" w:type="pct"/>
            <w:vAlign w:val="bottom"/>
          </w:tcPr>
          <w:p w14:paraId="25900AA9">
            <w:pPr>
              <w:widowControl w:val="0"/>
              <w:jc w:val="right"/>
              <w:rPr>
                <w:rFonts w:hint="eastAsia"/>
                <w:szCs w:val="21"/>
              </w:rPr>
            </w:pPr>
            <w:r>
              <w:rPr>
                <w:rFonts w:ascii="Arial Narrow" w:hAnsi="Arial Narrow" w:eastAsia="等线"/>
                <w:color w:val="000000"/>
                <w:szCs w:val="21"/>
              </w:rPr>
              <w:t xml:space="preserve">9,014,561,687.98 </w:t>
            </w:r>
          </w:p>
        </w:tc>
        <w:tc>
          <w:tcPr>
            <w:tcW w:w="885" w:type="pct"/>
            <w:vAlign w:val="bottom"/>
          </w:tcPr>
          <w:p w14:paraId="21F5BF5A">
            <w:pPr>
              <w:widowControl w:val="0"/>
              <w:jc w:val="right"/>
              <w:rPr>
                <w:rFonts w:hint="eastAsia"/>
                <w:szCs w:val="21"/>
              </w:rPr>
            </w:pPr>
            <w:r>
              <w:rPr>
                <w:rFonts w:ascii="Arial Narrow" w:hAnsi="Arial Narrow" w:eastAsia="等线"/>
                <w:color w:val="000000"/>
                <w:szCs w:val="21"/>
              </w:rPr>
              <w:t xml:space="preserve">8,339,301,872.49 </w:t>
            </w:r>
          </w:p>
        </w:tc>
        <w:tc>
          <w:tcPr>
            <w:tcW w:w="420" w:type="pct"/>
            <w:vAlign w:val="bottom"/>
          </w:tcPr>
          <w:p w14:paraId="6BBA9DE2">
            <w:pPr>
              <w:widowControl w:val="0"/>
              <w:jc w:val="right"/>
              <w:rPr>
                <w:rFonts w:hint="eastAsia"/>
                <w:szCs w:val="21"/>
              </w:rPr>
            </w:pPr>
            <w:r>
              <w:rPr>
                <w:rFonts w:ascii="Arial Narrow" w:hAnsi="Arial Narrow" w:eastAsia="等线"/>
                <w:color w:val="000000"/>
                <w:szCs w:val="21"/>
              </w:rPr>
              <w:t xml:space="preserve">7.49 </w:t>
            </w:r>
          </w:p>
        </w:tc>
        <w:tc>
          <w:tcPr>
            <w:tcW w:w="557" w:type="pct"/>
            <w:vAlign w:val="bottom"/>
          </w:tcPr>
          <w:p w14:paraId="7147DE29">
            <w:pPr>
              <w:widowControl w:val="0"/>
              <w:jc w:val="right"/>
              <w:rPr>
                <w:rFonts w:hint="eastAsia"/>
                <w:szCs w:val="21"/>
              </w:rPr>
            </w:pPr>
            <w:r>
              <w:rPr>
                <w:rFonts w:ascii="Arial Narrow" w:hAnsi="Arial Narrow" w:eastAsia="等线"/>
                <w:color w:val="000000"/>
                <w:szCs w:val="21"/>
              </w:rPr>
              <w:t xml:space="preserve">-11.70 </w:t>
            </w:r>
          </w:p>
        </w:tc>
        <w:tc>
          <w:tcPr>
            <w:tcW w:w="557" w:type="pct"/>
            <w:vAlign w:val="bottom"/>
          </w:tcPr>
          <w:p w14:paraId="6D22BCDC">
            <w:pPr>
              <w:widowControl w:val="0"/>
              <w:jc w:val="right"/>
              <w:rPr>
                <w:rFonts w:hint="eastAsia"/>
                <w:szCs w:val="21"/>
              </w:rPr>
            </w:pPr>
            <w:r>
              <w:rPr>
                <w:rFonts w:ascii="Arial Narrow" w:hAnsi="Arial Narrow" w:eastAsia="等线"/>
                <w:color w:val="000000"/>
                <w:szCs w:val="21"/>
              </w:rPr>
              <w:t xml:space="preserve">-4.95 </w:t>
            </w:r>
          </w:p>
        </w:tc>
        <w:tc>
          <w:tcPr>
            <w:tcW w:w="580" w:type="pct"/>
            <w:vAlign w:val="bottom"/>
          </w:tcPr>
          <w:p w14:paraId="68B42866">
            <w:pPr>
              <w:widowControl w:val="0"/>
              <w:jc w:val="right"/>
              <w:rPr>
                <w:rFonts w:hint="eastAsia"/>
                <w:szCs w:val="21"/>
              </w:rPr>
            </w:pPr>
            <w:r>
              <w:rPr>
                <w:rFonts w:ascii="Arial Narrow" w:hAnsi="Arial Narrow" w:eastAsia="等线"/>
                <w:color w:val="000000"/>
                <w:szCs w:val="21"/>
              </w:rPr>
              <w:t xml:space="preserve">-6.57 </w:t>
            </w:r>
          </w:p>
        </w:tc>
      </w:tr>
      <w:tr w14:paraId="2DBC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center"/>
          </w:tcPr>
          <w:p w14:paraId="0FD3C222">
            <w:pPr>
              <w:pStyle w:val="44"/>
              <w:ind w:firstLine="0" w:firstLineChars="0"/>
              <w:jc w:val="center"/>
              <w:rPr>
                <w:rFonts w:hint="eastAsia" w:ascii="宋体" w:hAnsi="宋体" w:cs="宋体"/>
                <w:kern w:val="0"/>
                <w:szCs w:val="21"/>
              </w:rPr>
            </w:pPr>
            <w:r>
              <w:rPr>
                <w:rFonts w:hint="eastAsia"/>
                <w:color w:val="000000"/>
                <w:szCs w:val="21"/>
              </w:rPr>
              <w:t>境外</w:t>
            </w:r>
          </w:p>
        </w:tc>
        <w:tc>
          <w:tcPr>
            <w:tcW w:w="882" w:type="pct"/>
            <w:vAlign w:val="bottom"/>
          </w:tcPr>
          <w:p w14:paraId="49CB55B6">
            <w:pPr>
              <w:widowControl w:val="0"/>
              <w:jc w:val="right"/>
              <w:rPr>
                <w:rFonts w:hint="eastAsia"/>
                <w:szCs w:val="21"/>
              </w:rPr>
            </w:pPr>
            <w:r>
              <w:rPr>
                <w:rFonts w:ascii="Arial Narrow" w:hAnsi="Arial Narrow" w:eastAsia="等线"/>
                <w:color w:val="000000"/>
                <w:szCs w:val="21"/>
              </w:rPr>
              <w:t xml:space="preserve">587,294,603.93 </w:t>
            </w:r>
          </w:p>
        </w:tc>
        <w:tc>
          <w:tcPr>
            <w:tcW w:w="885" w:type="pct"/>
            <w:vAlign w:val="bottom"/>
          </w:tcPr>
          <w:p w14:paraId="18A40C46">
            <w:pPr>
              <w:widowControl w:val="0"/>
              <w:jc w:val="right"/>
              <w:rPr>
                <w:rFonts w:hint="eastAsia"/>
                <w:szCs w:val="21"/>
              </w:rPr>
            </w:pPr>
            <w:r>
              <w:rPr>
                <w:rFonts w:ascii="Arial Narrow" w:hAnsi="Arial Narrow" w:eastAsia="等线"/>
                <w:color w:val="000000"/>
                <w:szCs w:val="21"/>
              </w:rPr>
              <w:t xml:space="preserve">588,789,827.10 </w:t>
            </w:r>
          </w:p>
        </w:tc>
        <w:tc>
          <w:tcPr>
            <w:tcW w:w="420" w:type="pct"/>
            <w:vAlign w:val="bottom"/>
          </w:tcPr>
          <w:p w14:paraId="68779525">
            <w:pPr>
              <w:widowControl w:val="0"/>
              <w:jc w:val="right"/>
              <w:rPr>
                <w:rFonts w:hint="eastAsia"/>
                <w:szCs w:val="21"/>
              </w:rPr>
            </w:pPr>
            <w:r>
              <w:rPr>
                <w:rFonts w:ascii="Arial Narrow" w:hAnsi="Arial Narrow" w:eastAsia="等线"/>
                <w:color w:val="000000"/>
                <w:szCs w:val="21"/>
              </w:rPr>
              <w:t xml:space="preserve">-0.25 </w:t>
            </w:r>
          </w:p>
        </w:tc>
        <w:tc>
          <w:tcPr>
            <w:tcW w:w="557" w:type="pct"/>
            <w:vAlign w:val="bottom"/>
          </w:tcPr>
          <w:p w14:paraId="4EA1A3BA">
            <w:pPr>
              <w:widowControl w:val="0"/>
              <w:jc w:val="right"/>
              <w:rPr>
                <w:rFonts w:hint="eastAsia"/>
                <w:szCs w:val="21"/>
              </w:rPr>
            </w:pPr>
            <w:r>
              <w:rPr>
                <w:rFonts w:ascii="Arial Narrow" w:hAnsi="Arial Narrow" w:eastAsia="等线"/>
                <w:color w:val="000000"/>
                <w:szCs w:val="21"/>
              </w:rPr>
              <w:t xml:space="preserve">-43.75 </w:t>
            </w:r>
          </w:p>
        </w:tc>
        <w:tc>
          <w:tcPr>
            <w:tcW w:w="557" w:type="pct"/>
            <w:vAlign w:val="bottom"/>
          </w:tcPr>
          <w:p w14:paraId="2A12F701">
            <w:pPr>
              <w:widowControl w:val="0"/>
              <w:jc w:val="right"/>
              <w:rPr>
                <w:rFonts w:hint="eastAsia"/>
                <w:szCs w:val="21"/>
              </w:rPr>
            </w:pPr>
            <w:r>
              <w:rPr>
                <w:rFonts w:ascii="Arial Narrow" w:hAnsi="Arial Narrow" w:eastAsia="等线"/>
                <w:color w:val="000000"/>
                <w:szCs w:val="21"/>
              </w:rPr>
              <w:t xml:space="preserve">-39.44 </w:t>
            </w:r>
          </w:p>
        </w:tc>
        <w:tc>
          <w:tcPr>
            <w:tcW w:w="580" w:type="pct"/>
            <w:vAlign w:val="bottom"/>
          </w:tcPr>
          <w:p w14:paraId="349AB270">
            <w:pPr>
              <w:widowControl w:val="0"/>
              <w:jc w:val="right"/>
              <w:rPr>
                <w:rFonts w:hint="eastAsia"/>
                <w:szCs w:val="21"/>
              </w:rPr>
            </w:pPr>
            <w:r>
              <w:rPr>
                <w:rFonts w:ascii="Arial Narrow" w:hAnsi="Arial Narrow" w:eastAsia="等线"/>
                <w:color w:val="000000"/>
                <w:szCs w:val="21"/>
              </w:rPr>
              <w:t xml:space="preserve">-7.14 </w:t>
            </w:r>
          </w:p>
        </w:tc>
      </w:tr>
      <w:tr w14:paraId="40A5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center"/>
          </w:tcPr>
          <w:p w14:paraId="33C77E53">
            <w:pPr>
              <w:pStyle w:val="44"/>
              <w:ind w:firstLine="0" w:firstLineChars="0"/>
              <w:jc w:val="center"/>
              <w:rPr>
                <w:rFonts w:hint="eastAsia" w:ascii="宋体" w:hAnsi="宋体" w:cs="宋体"/>
                <w:kern w:val="0"/>
                <w:szCs w:val="21"/>
              </w:rPr>
            </w:pPr>
            <w:r>
              <w:rPr>
                <w:rFonts w:hint="eastAsia"/>
                <w:color w:val="000000"/>
                <w:szCs w:val="21"/>
              </w:rPr>
              <w:t>合计</w:t>
            </w:r>
          </w:p>
        </w:tc>
        <w:tc>
          <w:tcPr>
            <w:tcW w:w="882" w:type="pct"/>
            <w:vAlign w:val="bottom"/>
          </w:tcPr>
          <w:p w14:paraId="07460F19">
            <w:pPr>
              <w:widowControl w:val="0"/>
              <w:jc w:val="right"/>
              <w:rPr>
                <w:rFonts w:hint="eastAsia"/>
                <w:szCs w:val="21"/>
              </w:rPr>
            </w:pPr>
            <w:r>
              <w:rPr>
                <w:rFonts w:ascii="Arial Narrow" w:hAnsi="Arial Narrow" w:eastAsia="等线"/>
                <w:color w:val="000000"/>
                <w:szCs w:val="21"/>
              </w:rPr>
              <w:t xml:space="preserve">9,601,856,291.91 </w:t>
            </w:r>
          </w:p>
        </w:tc>
        <w:tc>
          <w:tcPr>
            <w:tcW w:w="885" w:type="pct"/>
            <w:vAlign w:val="bottom"/>
          </w:tcPr>
          <w:p w14:paraId="25BDD680">
            <w:pPr>
              <w:widowControl w:val="0"/>
              <w:jc w:val="right"/>
              <w:rPr>
                <w:rFonts w:hint="eastAsia"/>
                <w:szCs w:val="21"/>
              </w:rPr>
            </w:pPr>
            <w:r>
              <w:rPr>
                <w:rFonts w:ascii="Arial Narrow" w:hAnsi="Arial Narrow" w:eastAsia="等线"/>
                <w:color w:val="000000"/>
                <w:szCs w:val="21"/>
              </w:rPr>
              <w:t xml:space="preserve">8,928,091,699.59 </w:t>
            </w:r>
          </w:p>
        </w:tc>
        <w:tc>
          <w:tcPr>
            <w:tcW w:w="420" w:type="pct"/>
            <w:vAlign w:val="bottom"/>
          </w:tcPr>
          <w:p w14:paraId="7EDAAA9D">
            <w:pPr>
              <w:widowControl w:val="0"/>
              <w:jc w:val="right"/>
              <w:rPr>
                <w:rFonts w:hint="eastAsia"/>
                <w:szCs w:val="21"/>
              </w:rPr>
            </w:pPr>
            <w:r>
              <w:rPr>
                <w:rFonts w:ascii="Arial Narrow" w:hAnsi="Arial Narrow" w:eastAsia="等线"/>
                <w:color w:val="000000"/>
                <w:szCs w:val="21"/>
              </w:rPr>
              <w:t xml:space="preserve">7.02 </w:t>
            </w:r>
          </w:p>
        </w:tc>
        <w:tc>
          <w:tcPr>
            <w:tcW w:w="557" w:type="pct"/>
            <w:vAlign w:val="bottom"/>
          </w:tcPr>
          <w:p w14:paraId="25D03921">
            <w:pPr>
              <w:widowControl w:val="0"/>
              <w:jc w:val="right"/>
              <w:rPr>
                <w:rFonts w:hint="eastAsia"/>
                <w:szCs w:val="21"/>
              </w:rPr>
            </w:pPr>
            <w:r>
              <w:rPr>
                <w:rFonts w:ascii="Arial Narrow" w:hAnsi="Arial Narrow" w:eastAsia="等线"/>
                <w:color w:val="000000"/>
                <w:szCs w:val="21"/>
              </w:rPr>
              <w:t xml:space="preserve">-14.67 </w:t>
            </w:r>
          </w:p>
        </w:tc>
        <w:tc>
          <w:tcPr>
            <w:tcW w:w="557" w:type="pct"/>
            <w:vAlign w:val="bottom"/>
          </w:tcPr>
          <w:p w14:paraId="402C76A3">
            <w:pPr>
              <w:widowControl w:val="0"/>
              <w:jc w:val="right"/>
              <w:rPr>
                <w:rFonts w:hint="eastAsia"/>
                <w:szCs w:val="21"/>
              </w:rPr>
            </w:pPr>
            <w:r>
              <w:rPr>
                <w:rFonts w:ascii="Arial Narrow" w:hAnsi="Arial Narrow" w:eastAsia="等线"/>
                <w:color w:val="000000"/>
                <w:szCs w:val="21"/>
              </w:rPr>
              <w:t xml:space="preserve">-8.39 </w:t>
            </w:r>
          </w:p>
        </w:tc>
        <w:tc>
          <w:tcPr>
            <w:tcW w:w="580" w:type="pct"/>
            <w:vAlign w:val="bottom"/>
          </w:tcPr>
          <w:p w14:paraId="04D02848">
            <w:pPr>
              <w:widowControl w:val="0"/>
              <w:jc w:val="right"/>
              <w:rPr>
                <w:rFonts w:hint="eastAsia"/>
                <w:szCs w:val="21"/>
              </w:rPr>
            </w:pPr>
            <w:r>
              <w:rPr>
                <w:rFonts w:ascii="Arial Narrow" w:hAnsi="Arial Narrow" w:eastAsia="等线"/>
                <w:color w:val="000000"/>
                <w:szCs w:val="21"/>
              </w:rPr>
              <w:t xml:space="preserve">-6.37 </w:t>
            </w:r>
          </w:p>
        </w:tc>
      </w:tr>
    </w:tbl>
    <w:p w14:paraId="042988AB">
      <w:pPr>
        <w:rPr>
          <w:rFonts w:hint="eastAsia"/>
          <w:szCs w:val="21"/>
        </w:rPr>
      </w:pPr>
      <w:r>
        <w:rPr>
          <w:szCs w:val="21"/>
        </w:rPr>
        <w:t>主营业务分行业</w:t>
      </w:r>
      <w:r>
        <w:rPr>
          <w:rFonts w:hint="eastAsia"/>
          <w:szCs w:val="21"/>
        </w:rPr>
        <w:t>、</w:t>
      </w:r>
      <w:r>
        <w:rPr>
          <w:szCs w:val="21"/>
        </w:rPr>
        <w:t>分产品、分地区</w:t>
      </w:r>
      <w:r>
        <w:rPr>
          <w:rFonts w:hint="eastAsia"/>
          <w:szCs w:val="21"/>
        </w:rPr>
        <w:t>、分销售模式</w:t>
      </w:r>
      <w:r>
        <w:rPr>
          <w:szCs w:val="21"/>
        </w:rPr>
        <w:t>情况的说明</w:t>
      </w:r>
    </w:p>
    <w:sdt>
      <w:sdtPr>
        <w:rPr>
          <w:rFonts w:hint="eastAsia"/>
          <w:szCs w:val="21"/>
        </w:rPr>
        <w:alias w:val="主营业务分行业和分产品情况的说明"/>
        <w:tag w:val="_GBC_81b87428f4384bf2959419c3aea2dad2"/>
        <w:id w:val="-413555036"/>
        <w:placeholder>
          <w:docPart w:val="GBC22222222222222222222222222222"/>
        </w:placeholder>
      </w:sdtPr>
      <w:sdtEndPr>
        <w:rPr>
          <w:rFonts w:hint="eastAsia"/>
          <w:szCs w:val="21"/>
        </w:rPr>
      </w:sdtEndPr>
      <w:sdtContent>
        <w:p w14:paraId="486CAA83">
          <w:pPr>
            <w:rPr>
              <w:rFonts w:hint="eastAsia"/>
              <w:szCs w:val="21"/>
            </w:rPr>
          </w:pPr>
          <w:r>
            <w:rPr>
              <w:rFonts w:hint="eastAsia"/>
              <w:szCs w:val="21"/>
            </w:rPr>
            <w:t>无</w:t>
          </w:r>
        </w:p>
      </w:sdtContent>
    </w:sdt>
    <w:bookmarkEnd w:id="41"/>
    <w:p w14:paraId="0BD64BBE">
      <w:pPr>
        <w:rPr>
          <w:rFonts w:hint="eastAsia"/>
        </w:rPr>
      </w:pPr>
    </w:p>
    <w:p w14:paraId="4AD22BB4">
      <w:pPr>
        <w:pStyle w:val="6"/>
        <w:numPr>
          <w:ilvl w:val="0"/>
          <w:numId w:val="10"/>
        </w:numPr>
        <w:tabs>
          <w:tab w:val="left" w:pos="567"/>
        </w:tabs>
        <w:ind w:leftChars="0"/>
      </w:pPr>
      <w:r>
        <w:rPr>
          <w:rFonts w:hint="eastAsia" w:ascii="宋体" w:hAnsi="宋体" w:cs="宋体"/>
          <w:kern w:val="0"/>
          <w:szCs w:val="24"/>
        </w:rPr>
        <w:t>产销量情况</w:t>
      </w:r>
      <w:r>
        <w:rPr>
          <w:rFonts w:ascii="宋体" w:hAnsi="宋体" w:cs="宋体"/>
          <w:kern w:val="0"/>
          <w:szCs w:val="24"/>
        </w:rPr>
        <w:t>分析表</w:t>
      </w:r>
    </w:p>
    <w:sdt>
      <w:sdtPr>
        <w:alias w:val="是否适用：产销量情况分析表[双击切换]"/>
        <w:tag w:val="_GBC_6ff51c492b3040799712ea51f78bdcc0"/>
        <w:id w:val="1224180999"/>
      </w:sdtPr>
      <w:sdtContent>
        <w:p w14:paraId="7BE3653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146"/>
        <w:gridCol w:w="1046"/>
        <w:gridCol w:w="1046"/>
        <w:gridCol w:w="1048"/>
        <w:gridCol w:w="1113"/>
        <w:gridCol w:w="1113"/>
        <w:gridCol w:w="1108"/>
      </w:tblGrid>
      <w:tr w14:paraId="22E9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59e79e9293847dfb1bd7816b6ad48e6"/>
            <w:id w:val="-1329213437"/>
          </w:sdtPr>
          <w:sdtContent>
            <w:tc>
              <w:tcPr>
                <w:tcW w:w="790" w:type="pct"/>
                <w:vAlign w:val="center"/>
              </w:tcPr>
              <w:p w14:paraId="5DADE99B">
                <w:pPr>
                  <w:widowControl w:val="0"/>
                  <w:jc w:val="center"/>
                  <w:rPr>
                    <w:rFonts w:hint="eastAsia"/>
                    <w:szCs w:val="21"/>
                  </w:rPr>
                </w:pPr>
                <w:r>
                  <w:rPr>
                    <w:rFonts w:hint="eastAsia"/>
                    <w:szCs w:val="21"/>
                  </w:rPr>
                  <w:t>主要产品</w:t>
                </w:r>
              </w:p>
            </w:tc>
          </w:sdtContent>
        </w:sdt>
        <w:tc>
          <w:tcPr>
            <w:tcW w:w="633" w:type="pct"/>
            <w:vAlign w:val="center"/>
          </w:tcPr>
          <w:sdt>
            <w:sdtPr>
              <w:tag w:val="_PLD_6d13c84fd3694535a3f1b6bcdd58d107"/>
              <w:id w:val="1647779864"/>
            </w:sdtPr>
            <w:sdtContent>
              <w:p w14:paraId="73E7D338">
                <w:pPr>
                  <w:widowControl w:val="0"/>
                  <w:jc w:val="center"/>
                  <w:rPr>
                    <w:rFonts w:hint="eastAsia"/>
                  </w:rPr>
                </w:pPr>
                <w:r>
                  <w:rPr>
                    <w:rFonts w:hint="eastAsia"/>
                  </w:rPr>
                  <w:t>单位</w:t>
                </w:r>
              </w:p>
            </w:sdtContent>
          </w:sdt>
        </w:tc>
        <w:sdt>
          <w:sdtPr>
            <w:tag w:val="_PLD_3645c9ae184248f6bd2dda9de0540406"/>
            <w:id w:val="-1784106808"/>
          </w:sdtPr>
          <w:sdtContent>
            <w:tc>
              <w:tcPr>
                <w:tcW w:w="578" w:type="pct"/>
                <w:vAlign w:val="center"/>
              </w:tcPr>
              <w:p w14:paraId="1F9F0B79">
                <w:pPr>
                  <w:widowControl w:val="0"/>
                  <w:jc w:val="center"/>
                  <w:rPr>
                    <w:rFonts w:hint="eastAsia"/>
                    <w:szCs w:val="21"/>
                  </w:rPr>
                </w:pPr>
                <w:r>
                  <w:rPr>
                    <w:rFonts w:hint="eastAsia"/>
                    <w:szCs w:val="21"/>
                  </w:rPr>
                  <w:t>生产量</w:t>
                </w:r>
              </w:p>
            </w:tc>
          </w:sdtContent>
        </w:sdt>
        <w:sdt>
          <w:sdtPr>
            <w:tag w:val="_PLD_b4bd7da564c3452cb40ff15542829b7a"/>
            <w:id w:val="1076933831"/>
          </w:sdtPr>
          <w:sdtContent>
            <w:tc>
              <w:tcPr>
                <w:tcW w:w="578" w:type="pct"/>
                <w:vAlign w:val="center"/>
              </w:tcPr>
              <w:p w14:paraId="3387EBD0">
                <w:pPr>
                  <w:widowControl w:val="0"/>
                  <w:jc w:val="center"/>
                  <w:rPr>
                    <w:rFonts w:hint="eastAsia"/>
                    <w:szCs w:val="21"/>
                  </w:rPr>
                </w:pPr>
                <w:r>
                  <w:rPr>
                    <w:rFonts w:hint="eastAsia"/>
                    <w:szCs w:val="21"/>
                  </w:rPr>
                  <w:t>销售量</w:t>
                </w:r>
              </w:p>
            </w:tc>
          </w:sdtContent>
        </w:sdt>
        <w:sdt>
          <w:sdtPr>
            <w:tag w:val="_PLD_4f74a09ae16245a3a6e2c536c1266361"/>
            <w:id w:val="-1471123414"/>
          </w:sdtPr>
          <w:sdtContent>
            <w:tc>
              <w:tcPr>
                <w:tcW w:w="579" w:type="pct"/>
                <w:vAlign w:val="center"/>
              </w:tcPr>
              <w:p w14:paraId="006E4FA7">
                <w:pPr>
                  <w:widowControl w:val="0"/>
                  <w:jc w:val="center"/>
                  <w:rPr>
                    <w:rFonts w:hint="eastAsia"/>
                    <w:szCs w:val="21"/>
                  </w:rPr>
                </w:pPr>
                <w:r>
                  <w:rPr>
                    <w:rFonts w:hint="eastAsia"/>
                    <w:szCs w:val="21"/>
                  </w:rPr>
                  <w:t>库存量</w:t>
                </w:r>
              </w:p>
            </w:tc>
          </w:sdtContent>
        </w:sdt>
        <w:sdt>
          <w:sdtPr>
            <w:tag w:val="_PLD_21bd7a4d992742feb4b83db592f976fd"/>
            <w:id w:val="1664118531"/>
          </w:sdtPr>
          <w:sdtContent>
            <w:tc>
              <w:tcPr>
                <w:tcW w:w="615" w:type="pct"/>
                <w:vAlign w:val="center"/>
              </w:tcPr>
              <w:p w14:paraId="22F258EA">
                <w:pPr>
                  <w:widowControl w:val="0"/>
                  <w:jc w:val="center"/>
                  <w:rPr>
                    <w:rFonts w:hint="eastAsia"/>
                    <w:szCs w:val="21"/>
                  </w:rPr>
                </w:pPr>
                <w:r>
                  <w:rPr>
                    <w:rFonts w:hint="eastAsia"/>
                    <w:szCs w:val="21"/>
                  </w:rPr>
                  <w:t>生产量比上年增减（%）</w:t>
                </w:r>
              </w:p>
            </w:tc>
          </w:sdtContent>
        </w:sdt>
        <w:sdt>
          <w:sdtPr>
            <w:tag w:val="_PLD_37e055a5474a4aac989b4e3a88756935"/>
            <w:id w:val="379066544"/>
          </w:sdtPr>
          <w:sdtContent>
            <w:tc>
              <w:tcPr>
                <w:tcW w:w="615" w:type="pct"/>
                <w:vAlign w:val="center"/>
              </w:tcPr>
              <w:p w14:paraId="4649D908">
                <w:pPr>
                  <w:widowControl w:val="0"/>
                  <w:jc w:val="center"/>
                  <w:rPr>
                    <w:rFonts w:hint="eastAsia"/>
                    <w:szCs w:val="21"/>
                  </w:rPr>
                </w:pPr>
                <w:r>
                  <w:rPr>
                    <w:rFonts w:hint="eastAsia"/>
                    <w:szCs w:val="21"/>
                  </w:rPr>
                  <w:t>销售量比上年增减（%）</w:t>
                </w:r>
              </w:p>
            </w:tc>
          </w:sdtContent>
        </w:sdt>
        <w:sdt>
          <w:sdtPr>
            <w:tag w:val="_PLD_d03cdf85475e4722ae39e10ea525eee5"/>
            <w:id w:val="1568071136"/>
          </w:sdtPr>
          <w:sdtContent>
            <w:tc>
              <w:tcPr>
                <w:tcW w:w="613" w:type="pct"/>
                <w:vAlign w:val="center"/>
              </w:tcPr>
              <w:p w14:paraId="1A17ECF3">
                <w:pPr>
                  <w:widowControl w:val="0"/>
                  <w:jc w:val="center"/>
                  <w:rPr>
                    <w:rFonts w:hint="eastAsia"/>
                    <w:szCs w:val="21"/>
                  </w:rPr>
                </w:pPr>
                <w:r>
                  <w:rPr>
                    <w:rFonts w:hint="eastAsia"/>
                    <w:szCs w:val="21"/>
                  </w:rPr>
                  <w:t>库存量比上年增减（%）</w:t>
                </w:r>
              </w:p>
            </w:tc>
          </w:sdtContent>
        </w:sdt>
      </w:tr>
      <w:tr w14:paraId="572B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02E0156F">
            <w:pPr>
              <w:widowControl w:val="0"/>
              <w:jc w:val="center"/>
              <w:rPr>
                <w:rFonts w:hint="eastAsia"/>
                <w:szCs w:val="21"/>
              </w:rPr>
            </w:pPr>
            <w:r>
              <w:rPr>
                <w:rFonts w:hint="eastAsia"/>
              </w:rPr>
              <w:t>服装类</w:t>
            </w:r>
          </w:p>
        </w:tc>
        <w:tc>
          <w:tcPr>
            <w:tcW w:w="633" w:type="pct"/>
            <w:vAlign w:val="center"/>
          </w:tcPr>
          <w:p w14:paraId="69A2E796">
            <w:pPr>
              <w:widowControl w:val="0"/>
              <w:jc w:val="center"/>
              <w:rPr>
                <w:rFonts w:hint="eastAsia"/>
                <w:szCs w:val="21"/>
              </w:rPr>
            </w:pPr>
            <w:r>
              <w:rPr>
                <w:rFonts w:hint="eastAsia"/>
              </w:rPr>
              <w:t>万套件条</w:t>
            </w:r>
          </w:p>
        </w:tc>
        <w:tc>
          <w:tcPr>
            <w:tcW w:w="578" w:type="pct"/>
            <w:vAlign w:val="center"/>
          </w:tcPr>
          <w:p w14:paraId="299B6267">
            <w:pPr>
              <w:widowControl w:val="0"/>
              <w:jc w:val="right"/>
              <w:rPr>
                <w:rFonts w:ascii="Arial Narrow" w:hAnsi="Arial Narrow"/>
                <w:szCs w:val="21"/>
              </w:rPr>
            </w:pPr>
            <w:r>
              <w:rPr>
                <w:rFonts w:ascii="Arial Narrow" w:hAnsi="Arial Narrow"/>
              </w:rPr>
              <w:t>6,508.45</w:t>
            </w:r>
          </w:p>
        </w:tc>
        <w:tc>
          <w:tcPr>
            <w:tcW w:w="578" w:type="pct"/>
            <w:vAlign w:val="center"/>
          </w:tcPr>
          <w:p w14:paraId="491ACC07">
            <w:pPr>
              <w:widowControl w:val="0"/>
              <w:jc w:val="right"/>
              <w:rPr>
                <w:rFonts w:ascii="Arial Narrow" w:hAnsi="Arial Narrow"/>
                <w:szCs w:val="21"/>
              </w:rPr>
            </w:pPr>
            <w:r>
              <w:rPr>
                <w:rFonts w:ascii="Arial Narrow" w:hAnsi="Arial Narrow"/>
              </w:rPr>
              <w:t>6,817.00</w:t>
            </w:r>
          </w:p>
        </w:tc>
        <w:tc>
          <w:tcPr>
            <w:tcW w:w="579" w:type="pct"/>
            <w:vAlign w:val="center"/>
          </w:tcPr>
          <w:p w14:paraId="241214BE">
            <w:pPr>
              <w:widowControl w:val="0"/>
              <w:jc w:val="right"/>
              <w:rPr>
                <w:rFonts w:ascii="Arial Narrow" w:hAnsi="Arial Narrow"/>
                <w:szCs w:val="21"/>
              </w:rPr>
            </w:pPr>
            <w:r>
              <w:rPr>
                <w:rFonts w:ascii="Arial Narrow" w:hAnsi="Arial Narrow"/>
              </w:rPr>
              <w:t>758.33</w:t>
            </w:r>
          </w:p>
        </w:tc>
        <w:tc>
          <w:tcPr>
            <w:tcW w:w="615" w:type="pct"/>
            <w:vAlign w:val="center"/>
          </w:tcPr>
          <w:p w14:paraId="64B27B96">
            <w:pPr>
              <w:widowControl w:val="0"/>
              <w:jc w:val="right"/>
              <w:rPr>
                <w:rFonts w:ascii="Arial Narrow" w:hAnsi="Arial Narrow"/>
                <w:szCs w:val="21"/>
              </w:rPr>
            </w:pPr>
            <w:r>
              <w:rPr>
                <w:rFonts w:ascii="Arial Narrow" w:hAnsi="Arial Narrow"/>
              </w:rPr>
              <w:t>-11.54</w:t>
            </w:r>
          </w:p>
        </w:tc>
        <w:tc>
          <w:tcPr>
            <w:tcW w:w="615" w:type="pct"/>
            <w:vAlign w:val="center"/>
          </w:tcPr>
          <w:p w14:paraId="2E3C1D08">
            <w:pPr>
              <w:widowControl w:val="0"/>
              <w:jc w:val="right"/>
              <w:rPr>
                <w:rFonts w:ascii="Arial Narrow" w:hAnsi="Arial Narrow"/>
                <w:szCs w:val="21"/>
              </w:rPr>
            </w:pPr>
            <w:r>
              <w:rPr>
                <w:rFonts w:ascii="Arial Narrow" w:hAnsi="Arial Narrow"/>
              </w:rPr>
              <w:t>-5.60</w:t>
            </w:r>
          </w:p>
        </w:tc>
        <w:tc>
          <w:tcPr>
            <w:tcW w:w="613" w:type="pct"/>
            <w:vAlign w:val="center"/>
          </w:tcPr>
          <w:p w14:paraId="53329931">
            <w:pPr>
              <w:widowControl w:val="0"/>
              <w:jc w:val="right"/>
              <w:rPr>
                <w:rFonts w:ascii="Arial Narrow" w:hAnsi="Arial Narrow"/>
                <w:szCs w:val="21"/>
              </w:rPr>
            </w:pPr>
            <w:r>
              <w:rPr>
                <w:rFonts w:ascii="Arial Narrow" w:hAnsi="Arial Narrow"/>
              </w:rPr>
              <w:t>-28.92</w:t>
            </w:r>
          </w:p>
        </w:tc>
      </w:tr>
      <w:tr w14:paraId="468F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464229CF">
            <w:pPr>
              <w:widowControl w:val="0"/>
              <w:jc w:val="center"/>
              <w:rPr>
                <w:rFonts w:hint="eastAsia"/>
                <w:szCs w:val="21"/>
              </w:rPr>
            </w:pPr>
            <w:r>
              <w:rPr>
                <w:rFonts w:hint="eastAsia"/>
              </w:rPr>
              <w:t>棉布类</w:t>
            </w:r>
          </w:p>
        </w:tc>
        <w:tc>
          <w:tcPr>
            <w:tcW w:w="633" w:type="pct"/>
            <w:vAlign w:val="center"/>
          </w:tcPr>
          <w:p w14:paraId="734AC9A8">
            <w:pPr>
              <w:widowControl w:val="0"/>
              <w:jc w:val="center"/>
              <w:rPr>
                <w:rFonts w:hint="eastAsia"/>
                <w:szCs w:val="21"/>
              </w:rPr>
            </w:pPr>
            <w:r>
              <w:rPr>
                <w:rFonts w:hint="eastAsia"/>
              </w:rPr>
              <w:t>万米</w:t>
            </w:r>
          </w:p>
        </w:tc>
        <w:tc>
          <w:tcPr>
            <w:tcW w:w="578" w:type="pct"/>
            <w:vAlign w:val="center"/>
          </w:tcPr>
          <w:p w14:paraId="17271B9C">
            <w:pPr>
              <w:widowControl w:val="0"/>
              <w:jc w:val="right"/>
              <w:rPr>
                <w:rFonts w:ascii="Arial Narrow" w:hAnsi="Arial Narrow"/>
                <w:szCs w:val="21"/>
              </w:rPr>
            </w:pPr>
            <w:r>
              <w:rPr>
                <w:rFonts w:ascii="Arial Narrow" w:hAnsi="Arial Narrow"/>
              </w:rPr>
              <w:t>6,063.72</w:t>
            </w:r>
          </w:p>
        </w:tc>
        <w:tc>
          <w:tcPr>
            <w:tcW w:w="578" w:type="pct"/>
            <w:vAlign w:val="center"/>
          </w:tcPr>
          <w:p w14:paraId="525AE099">
            <w:pPr>
              <w:widowControl w:val="0"/>
              <w:jc w:val="right"/>
              <w:rPr>
                <w:rFonts w:ascii="Arial Narrow" w:hAnsi="Arial Narrow"/>
                <w:szCs w:val="21"/>
              </w:rPr>
            </w:pPr>
            <w:r>
              <w:rPr>
                <w:rFonts w:ascii="Arial Narrow" w:hAnsi="Arial Narrow"/>
              </w:rPr>
              <w:t>6,009.62</w:t>
            </w:r>
          </w:p>
        </w:tc>
        <w:tc>
          <w:tcPr>
            <w:tcW w:w="579" w:type="pct"/>
            <w:vAlign w:val="center"/>
          </w:tcPr>
          <w:p w14:paraId="03673EE1">
            <w:pPr>
              <w:widowControl w:val="0"/>
              <w:jc w:val="right"/>
              <w:rPr>
                <w:rFonts w:ascii="Arial Narrow" w:hAnsi="Arial Narrow"/>
                <w:szCs w:val="21"/>
              </w:rPr>
            </w:pPr>
            <w:r>
              <w:rPr>
                <w:rFonts w:ascii="Arial Narrow" w:hAnsi="Arial Narrow"/>
              </w:rPr>
              <w:t>640.18</w:t>
            </w:r>
          </w:p>
        </w:tc>
        <w:tc>
          <w:tcPr>
            <w:tcW w:w="615" w:type="pct"/>
            <w:vAlign w:val="center"/>
          </w:tcPr>
          <w:p w14:paraId="2AE3E36E">
            <w:pPr>
              <w:widowControl w:val="0"/>
              <w:jc w:val="right"/>
              <w:rPr>
                <w:rFonts w:ascii="Arial Narrow" w:hAnsi="Arial Narrow"/>
                <w:szCs w:val="21"/>
              </w:rPr>
            </w:pPr>
            <w:r>
              <w:rPr>
                <w:rFonts w:ascii="Arial Narrow" w:hAnsi="Arial Narrow"/>
              </w:rPr>
              <w:t>10.57</w:t>
            </w:r>
          </w:p>
        </w:tc>
        <w:tc>
          <w:tcPr>
            <w:tcW w:w="615" w:type="pct"/>
            <w:vAlign w:val="center"/>
          </w:tcPr>
          <w:p w14:paraId="0398B474">
            <w:pPr>
              <w:widowControl w:val="0"/>
              <w:jc w:val="right"/>
              <w:rPr>
                <w:rFonts w:ascii="Arial Narrow" w:hAnsi="Arial Narrow"/>
                <w:szCs w:val="21"/>
              </w:rPr>
            </w:pPr>
            <w:r>
              <w:rPr>
                <w:rFonts w:ascii="Arial Narrow" w:hAnsi="Arial Narrow"/>
              </w:rPr>
              <w:t>3.14</w:t>
            </w:r>
          </w:p>
        </w:tc>
        <w:tc>
          <w:tcPr>
            <w:tcW w:w="613" w:type="pct"/>
            <w:vAlign w:val="center"/>
          </w:tcPr>
          <w:p w14:paraId="144F702E">
            <w:pPr>
              <w:widowControl w:val="0"/>
              <w:jc w:val="right"/>
              <w:rPr>
                <w:rFonts w:ascii="Arial Narrow" w:hAnsi="Arial Narrow"/>
                <w:szCs w:val="21"/>
              </w:rPr>
            </w:pPr>
            <w:r>
              <w:rPr>
                <w:rFonts w:ascii="Arial Narrow" w:hAnsi="Arial Narrow"/>
              </w:rPr>
              <w:t>9.23</w:t>
            </w:r>
          </w:p>
        </w:tc>
      </w:tr>
      <w:tr w14:paraId="4355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013E91B6">
            <w:pPr>
              <w:widowControl w:val="0"/>
              <w:jc w:val="center"/>
              <w:rPr>
                <w:rFonts w:hint="eastAsia"/>
                <w:szCs w:val="21"/>
              </w:rPr>
            </w:pPr>
            <w:r>
              <w:rPr>
                <w:rFonts w:hint="eastAsia"/>
              </w:rPr>
              <w:t>棉纱类</w:t>
            </w:r>
          </w:p>
        </w:tc>
        <w:tc>
          <w:tcPr>
            <w:tcW w:w="633" w:type="pct"/>
            <w:vAlign w:val="center"/>
          </w:tcPr>
          <w:p w14:paraId="58689223">
            <w:pPr>
              <w:widowControl w:val="0"/>
              <w:jc w:val="center"/>
              <w:rPr>
                <w:rFonts w:hint="eastAsia"/>
                <w:szCs w:val="21"/>
              </w:rPr>
            </w:pPr>
            <w:r>
              <w:rPr>
                <w:rFonts w:hint="eastAsia"/>
              </w:rPr>
              <w:t>吨</w:t>
            </w:r>
          </w:p>
        </w:tc>
        <w:tc>
          <w:tcPr>
            <w:tcW w:w="578" w:type="pct"/>
            <w:vAlign w:val="center"/>
          </w:tcPr>
          <w:p w14:paraId="3EBB2A33">
            <w:pPr>
              <w:widowControl w:val="0"/>
              <w:jc w:val="right"/>
              <w:rPr>
                <w:rFonts w:ascii="Arial Narrow" w:hAnsi="Arial Narrow"/>
                <w:szCs w:val="21"/>
              </w:rPr>
            </w:pPr>
            <w:r>
              <w:rPr>
                <w:rFonts w:ascii="Arial Narrow" w:hAnsi="Arial Narrow"/>
              </w:rPr>
              <w:t>9,443.65</w:t>
            </w:r>
          </w:p>
        </w:tc>
        <w:tc>
          <w:tcPr>
            <w:tcW w:w="578" w:type="pct"/>
            <w:vAlign w:val="center"/>
          </w:tcPr>
          <w:p w14:paraId="2D4EB188">
            <w:pPr>
              <w:widowControl w:val="0"/>
              <w:jc w:val="right"/>
              <w:rPr>
                <w:rFonts w:ascii="Arial Narrow" w:hAnsi="Arial Narrow"/>
                <w:szCs w:val="21"/>
              </w:rPr>
            </w:pPr>
            <w:r>
              <w:rPr>
                <w:rFonts w:ascii="Arial Narrow" w:hAnsi="Arial Narrow"/>
              </w:rPr>
              <w:t>9,576.09</w:t>
            </w:r>
          </w:p>
        </w:tc>
        <w:tc>
          <w:tcPr>
            <w:tcW w:w="579" w:type="pct"/>
            <w:vAlign w:val="center"/>
          </w:tcPr>
          <w:p w14:paraId="3EFD816D">
            <w:pPr>
              <w:widowControl w:val="0"/>
              <w:jc w:val="right"/>
              <w:rPr>
                <w:rFonts w:ascii="Arial Narrow" w:hAnsi="Arial Narrow"/>
                <w:szCs w:val="21"/>
              </w:rPr>
            </w:pPr>
            <w:r>
              <w:rPr>
                <w:rFonts w:ascii="Arial Narrow" w:hAnsi="Arial Narrow"/>
              </w:rPr>
              <w:t>671.90</w:t>
            </w:r>
          </w:p>
        </w:tc>
        <w:tc>
          <w:tcPr>
            <w:tcW w:w="615" w:type="pct"/>
            <w:vAlign w:val="center"/>
          </w:tcPr>
          <w:p w14:paraId="1E5B1654">
            <w:pPr>
              <w:widowControl w:val="0"/>
              <w:jc w:val="right"/>
              <w:rPr>
                <w:rFonts w:ascii="Arial Narrow" w:hAnsi="Arial Narrow"/>
                <w:szCs w:val="21"/>
              </w:rPr>
            </w:pPr>
            <w:r>
              <w:rPr>
                <w:rFonts w:ascii="Arial Narrow" w:hAnsi="Arial Narrow"/>
              </w:rPr>
              <w:t>-27.45</w:t>
            </w:r>
          </w:p>
        </w:tc>
        <w:tc>
          <w:tcPr>
            <w:tcW w:w="615" w:type="pct"/>
            <w:vAlign w:val="center"/>
          </w:tcPr>
          <w:p w14:paraId="2774654A">
            <w:pPr>
              <w:widowControl w:val="0"/>
              <w:jc w:val="right"/>
              <w:rPr>
                <w:rFonts w:ascii="Arial Narrow" w:hAnsi="Arial Narrow"/>
                <w:szCs w:val="21"/>
              </w:rPr>
            </w:pPr>
            <w:r>
              <w:rPr>
                <w:rFonts w:ascii="Arial Narrow" w:hAnsi="Arial Narrow"/>
              </w:rPr>
              <w:t>-28.05</w:t>
            </w:r>
          </w:p>
        </w:tc>
        <w:tc>
          <w:tcPr>
            <w:tcW w:w="613" w:type="pct"/>
            <w:vAlign w:val="center"/>
          </w:tcPr>
          <w:p w14:paraId="375E9A61">
            <w:pPr>
              <w:widowControl w:val="0"/>
              <w:jc w:val="right"/>
              <w:rPr>
                <w:rFonts w:ascii="Arial Narrow" w:hAnsi="Arial Narrow"/>
                <w:szCs w:val="21"/>
              </w:rPr>
            </w:pPr>
            <w:r>
              <w:rPr>
                <w:rFonts w:ascii="Arial Narrow" w:hAnsi="Arial Narrow"/>
              </w:rPr>
              <w:t>-16.47</w:t>
            </w:r>
          </w:p>
        </w:tc>
      </w:tr>
      <w:tr w14:paraId="2926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3B9992D8">
            <w:pPr>
              <w:widowControl w:val="0"/>
              <w:jc w:val="center"/>
              <w:rPr>
                <w:rFonts w:hint="eastAsia"/>
                <w:szCs w:val="21"/>
              </w:rPr>
            </w:pPr>
            <w:r>
              <w:rPr>
                <w:rFonts w:hint="eastAsia"/>
              </w:rPr>
              <w:t>皮鞋类</w:t>
            </w:r>
          </w:p>
        </w:tc>
        <w:tc>
          <w:tcPr>
            <w:tcW w:w="633" w:type="pct"/>
            <w:vAlign w:val="center"/>
          </w:tcPr>
          <w:p w14:paraId="0DA33859">
            <w:pPr>
              <w:widowControl w:val="0"/>
              <w:jc w:val="center"/>
              <w:rPr>
                <w:rFonts w:hint="eastAsia"/>
                <w:szCs w:val="21"/>
              </w:rPr>
            </w:pPr>
            <w:r>
              <w:rPr>
                <w:rFonts w:hint="eastAsia"/>
              </w:rPr>
              <w:t>万双</w:t>
            </w:r>
          </w:p>
        </w:tc>
        <w:tc>
          <w:tcPr>
            <w:tcW w:w="578" w:type="pct"/>
            <w:vAlign w:val="center"/>
          </w:tcPr>
          <w:p w14:paraId="49B55392">
            <w:pPr>
              <w:widowControl w:val="0"/>
              <w:jc w:val="right"/>
              <w:rPr>
                <w:rFonts w:ascii="Arial Narrow" w:hAnsi="Arial Narrow"/>
                <w:szCs w:val="21"/>
              </w:rPr>
            </w:pPr>
            <w:r>
              <w:rPr>
                <w:rFonts w:ascii="Arial Narrow" w:hAnsi="Arial Narrow"/>
              </w:rPr>
              <w:t>1,267.77</w:t>
            </w:r>
          </w:p>
        </w:tc>
        <w:tc>
          <w:tcPr>
            <w:tcW w:w="578" w:type="pct"/>
            <w:vAlign w:val="center"/>
          </w:tcPr>
          <w:p w14:paraId="4C53EC71">
            <w:pPr>
              <w:widowControl w:val="0"/>
              <w:jc w:val="right"/>
              <w:rPr>
                <w:rFonts w:ascii="Arial Narrow" w:hAnsi="Arial Narrow"/>
                <w:szCs w:val="21"/>
              </w:rPr>
            </w:pPr>
            <w:r>
              <w:rPr>
                <w:rFonts w:ascii="Arial Narrow" w:hAnsi="Arial Narrow"/>
              </w:rPr>
              <w:t>1,213.84</w:t>
            </w:r>
          </w:p>
        </w:tc>
        <w:tc>
          <w:tcPr>
            <w:tcW w:w="579" w:type="pct"/>
            <w:vAlign w:val="center"/>
          </w:tcPr>
          <w:p w14:paraId="4AA2942D">
            <w:pPr>
              <w:widowControl w:val="0"/>
              <w:jc w:val="right"/>
              <w:rPr>
                <w:rFonts w:ascii="Arial Narrow" w:hAnsi="Arial Narrow"/>
                <w:szCs w:val="21"/>
              </w:rPr>
            </w:pPr>
            <w:r>
              <w:rPr>
                <w:rFonts w:ascii="Arial Narrow" w:hAnsi="Arial Narrow"/>
              </w:rPr>
              <w:t>218.49</w:t>
            </w:r>
          </w:p>
        </w:tc>
        <w:tc>
          <w:tcPr>
            <w:tcW w:w="615" w:type="pct"/>
            <w:vAlign w:val="center"/>
          </w:tcPr>
          <w:p w14:paraId="5A1B561E">
            <w:pPr>
              <w:widowControl w:val="0"/>
              <w:jc w:val="right"/>
              <w:rPr>
                <w:rFonts w:ascii="Arial Narrow" w:hAnsi="Arial Narrow"/>
                <w:szCs w:val="21"/>
              </w:rPr>
            </w:pPr>
            <w:r>
              <w:rPr>
                <w:rFonts w:ascii="Arial Narrow" w:hAnsi="Arial Narrow"/>
              </w:rPr>
              <w:t>-3.80</w:t>
            </w:r>
          </w:p>
        </w:tc>
        <w:tc>
          <w:tcPr>
            <w:tcW w:w="615" w:type="pct"/>
            <w:vAlign w:val="center"/>
          </w:tcPr>
          <w:p w14:paraId="65C39995">
            <w:pPr>
              <w:widowControl w:val="0"/>
              <w:jc w:val="right"/>
              <w:rPr>
                <w:rFonts w:ascii="Arial Narrow" w:hAnsi="Arial Narrow"/>
                <w:szCs w:val="21"/>
              </w:rPr>
            </w:pPr>
            <w:r>
              <w:rPr>
                <w:rFonts w:ascii="Arial Narrow" w:hAnsi="Arial Narrow"/>
              </w:rPr>
              <w:t>-16.35</w:t>
            </w:r>
          </w:p>
        </w:tc>
        <w:tc>
          <w:tcPr>
            <w:tcW w:w="613" w:type="pct"/>
            <w:vAlign w:val="center"/>
          </w:tcPr>
          <w:p w14:paraId="1BE7DD6C">
            <w:pPr>
              <w:widowControl w:val="0"/>
              <w:jc w:val="right"/>
              <w:rPr>
                <w:rFonts w:ascii="Arial Narrow" w:hAnsi="Arial Narrow"/>
                <w:szCs w:val="21"/>
              </w:rPr>
            </w:pPr>
            <w:r>
              <w:rPr>
                <w:rFonts w:ascii="Arial Narrow" w:hAnsi="Arial Narrow"/>
              </w:rPr>
              <w:t>32.77</w:t>
            </w:r>
          </w:p>
        </w:tc>
      </w:tr>
      <w:tr w14:paraId="65D1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37DDBCFF">
            <w:pPr>
              <w:widowControl w:val="0"/>
              <w:jc w:val="center"/>
              <w:rPr>
                <w:rFonts w:hint="eastAsia"/>
                <w:szCs w:val="21"/>
              </w:rPr>
            </w:pPr>
            <w:r>
              <w:rPr>
                <w:rFonts w:hint="eastAsia"/>
              </w:rPr>
              <w:t>胶布鞋类</w:t>
            </w:r>
          </w:p>
        </w:tc>
        <w:tc>
          <w:tcPr>
            <w:tcW w:w="633" w:type="pct"/>
            <w:vAlign w:val="center"/>
          </w:tcPr>
          <w:p w14:paraId="50A86205">
            <w:pPr>
              <w:widowControl w:val="0"/>
              <w:jc w:val="center"/>
              <w:rPr>
                <w:rFonts w:hint="eastAsia"/>
                <w:szCs w:val="21"/>
              </w:rPr>
            </w:pPr>
            <w:r>
              <w:rPr>
                <w:rFonts w:hint="eastAsia"/>
              </w:rPr>
              <w:t>万双</w:t>
            </w:r>
          </w:p>
        </w:tc>
        <w:tc>
          <w:tcPr>
            <w:tcW w:w="578" w:type="pct"/>
            <w:vAlign w:val="center"/>
          </w:tcPr>
          <w:p w14:paraId="66C53C6C">
            <w:pPr>
              <w:widowControl w:val="0"/>
              <w:jc w:val="right"/>
              <w:rPr>
                <w:rFonts w:ascii="Arial Narrow" w:hAnsi="Arial Narrow"/>
                <w:szCs w:val="21"/>
              </w:rPr>
            </w:pPr>
            <w:r>
              <w:rPr>
                <w:rFonts w:ascii="Arial Narrow" w:hAnsi="Arial Narrow"/>
              </w:rPr>
              <w:t>4,147.88</w:t>
            </w:r>
          </w:p>
        </w:tc>
        <w:tc>
          <w:tcPr>
            <w:tcW w:w="578" w:type="pct"/>
            <w:vAlign w:val="center"/>
          </w:tcPr>
          <w:p w14:paraId="37ABD693">
            <w:pPr>
              <w:widowControl w:val="0"/>
              <w:jc w:val="right"/>
              <w:rPr>
                <w:rFonts w:ascii="Arial Narrow" w:hAnsi="Arial Narrow"/>
                <w:szCs w:val="21"/>
              </w:rPr>
            </w:pPr>
            <w:r>
              <w:rPr>
                <w:rFonts w:ascii="Arial Narrow" w:hAnsi="Arial Narrow"/>
              </w:rPr>
              <w:t>4,352.37</w:t>
            </w:r>
          </w:p>
        </w:tc>
        <w:tc>
          <w:tcPr>
            <w:tcW w:w="579" w:type="pct"/>
            <w:vAlign w:val="center"/>
          </w:tcPr>
          <w:p w14:paraId="565388FD">
            <w:pPr>
              <w:widowControl w:val="0"/>
              <w:jc w:val="right"/>
              <w:rPr>
                <w:rFonts w:ascii="Arial Narrow" w:hAnsi="Arial Narrow"/>
                <w:szCs w:val="21"/>
              </w:rPr>
            </w:pPr>
            <w:r>
              <w:rPr>
                <w:rFonts w:ascii="Arial Narrow" w:hAnsi="Arial Narrow"/>
              </w:rPr>
              <w:t>699.50</w:t>
            </w:r>
          </w:p>
        </w:tc>
        <w:tc>
          <w:tcPr>
            <w:tcW w:w="615" w:type="pct"/>
            <w:vAlign w:val="center"/>
          </w:tcPr>
          <w:p w14:paraId="5DBB259B">
            <w:pPr>
              <w:widowControl w:val="0"/>
              <w:jc w:val="right"/>
              <w:rPr>
                <w:rFonts w:ascii="Arial Narrow" w:hAnsi="Arial Narrow"/>
                <w:szCs w:val="21"/>
              </w:rPr>
            </w:pPr>
            <w:r>
              <w:rPr>
                <w:rFonts w:ascii="Arial Narrow" w:hAnsi="Arial Narrow"/>
              </w:rPr>
              <w:t>-21.45</w:t>
            </w:r>
          </w:p>
        </w:tc>
        <w:tc>
          <w:tcPr>
            <w:tcW w:w="615" w:type="pct"/>
            <w:vAlign w:val="center"/>
          </w:tcPr>
          <w:p w14:paraId="6F9E8106">
            <w:pPr>
              <w:widowControl w:val="0"/>
              <w:jc w:val="right"/>
              <w:rPr>
                <w:rFonts w:ascii="Arial Narrow" w:hAnsi="Arial Narrow"/>
                <w:szCs w:val="21"/>
              </w:rPr>
            </w:pPr>
            <w:r>
              <w:rPr>
                <w:rFonts w:ascii="Arial Narrow" w:hAnsi="Arial Narrow"/>
              </w:rPr>
              <w:t>-19.70</w:t>
            </w:r>
          </w:p>
        </w:tc>
        <w:tc>
          <w:tcPr>
            <w:tcW w:w="613" w:type="pct"/>
            <w:vAlign w:val="center"/>
          </w:tcPr>
          <w:p w14:paraId="2EC8BB97">
            <w:pPr>
              <w:widowControl w:val="0"/>
              <w:jc w:val="right"/>
              <w:rPr>
                <w:rFonts w:ascii="Arial Narrow" w:hAnsi="Arial Narrow"/>
                <w:szCs w:val="21"/>
              </w:rPr>
            </w:pPr>
            <w:r>
              <w:rPr>
                <w:rFonts w:ascii="Arial Narrow" w:hAnsi="Arial Narrow"/>
              </w:rPr>
              <w:t>-22.62</w:t>
            </w:r>
          </w:p>
        </w:tc>
      </w:tr>
      <w:tr w14:paraId="65A1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2D3B2A10">
            <w:pPr>
              <w:widowControl w:val="0"/>
              <w:jc w:val="center"/>
              <w:rPr>
                <w:rFonts w:hint="eastAsia"/>
                <w:szCs w:val="21"/>
              </w:rPr>
            </w:pPr>
            <w:r>
              <w:rPr>
                <w:rFonts w:hint="eastAsia"/>
              </w:rPr>
              <w:t>家纺印染类</w:t>
            </w:r>
          </w:p>
        </w:tc>
        <w:tc>
          <w:tcPr>
            <w:tcW w:w="633" w:type="pct"/>
            <w:vAlign w:val="center"/>
          </w:tcPr>
          <w:p w14:paraId="51C97151">
            <w:pPr>
              <w:widowControl w:val="0"/>
              <w:jc w:val="center"/>
              <w:rPr>
                <w:rFonts w:hint="eastAsia"/>
                <w:szCs w:val="21"/>
              </w:rPr>
            </w:pPr>
            <w:r>
              <w:rPr>
                <w:rFonts w:hint="eastAsia"/>
              </w:rPr>
              <w:t>万床米</w:t>
            </w:r>
          </w:p>
        </w:tc>
        <w:tc>
          <w:tcPr>
            <w:tcW w:w="578" w:type="pct"/>
            <w:vAlign w:val="center"/>
          </w:tcPr>
          <w:p w14:paraId="380D1189">
            <w:pPr>
              <w:widowControl w:val="0"/>
              <w:jc w:val="right"/>
              <w:rPr>
                <w:rFonts w:ascii="Arial Narrow" w:hAnsi="Arial Narrow"/>
                <w:szCs w:val="21"/>
              </w:rPr>
            </w:pPr>
            <w:r>
              <w:rPr>
                <w:rFonts w:ascii="Arial Narrow" w:hAnsi="Arial Narrow"/>
              </w:rPr>
              <w:t>3,929.72</w:t>
            </w:r>
          </w:p>
        </w:tc>
        <w:tc>
          <w:tcPr>
            <w:tcW w:w="578" w:type="pct"/>
            <w:vAlign w:val="center"/>
          </w:tcPr>
          <w:p w14:paraId="686677D4">
            <w:pPr>
              <w:widowControl w:val="0"/>
              <w:jc w:val="right"/>
              <w:rPr>
                <w:rFonts w:ascii="Arial Narrow" w:hAnsi="Arial Narrow"/>
                <w:szCs w:val="21"/>
              </w:rPr>
            </w:pPr>
            <w:r>
              <w:rPr>
                <w:rFonts w:ascii="Arial Narrow" w:hAnsi="Arial Narrow"/>
              </w:rPr>
              <w:t>4,047.39</w:t>
            </w:r>
          </w:p>
        </w:tc>
        <w:tc>
          <w:tcPr>
            <w:tcW w:w="579" w:type="pct"/>
            <w:vAlign w:val="center"/>
          </w:tcPr>
          <w:p w14:paraId="3E0FEFA9">
            <w:pPr>
              <w:widowControl w:val="0"/>
              <w:jc w:val="right"/>
              <w:rPr>
                <w:rFonts w:ascii="Arial Narrow" w:hAnsi="Arial Narrow"/>
                <w:szCs w:val="21"/>
              </w:rPr>
            </w:pPr>
            <w:r>
              <w:rPr>
                <w:rFonts w:ascii="Arial Narrow" w:hAnsi="Arial Narrow"/>
              </w:rPr>
              <w:t>351.65</w:t>
            </w:r>
          </w:p>
        </w:tc>
        <w:tc>
          <w:tcPr>
            <w:tcW w:w="615" w:type="pct"/>
            <w:vAlign w:val="center"/>
          </w:tcPr>
          <w:p w14:paraId="0469F29A">
            <w:pPr>
              <w:widowControl w:val="0"/>
              <w:jc w:val="right"/>
              <w:rPr>
                <w:rFonts w:ascii="Arial Narrow" w:hAnsi="Arial Narrow"/>
                <w:szCs w:val="21"/>
              </w:rPr>
            </w:pPr>
            <w:r>
              <w:rPr>
                <w:rFonts w:ascii="Arial Narrow" w:hAnsi="Arial Narrow"/>
              </w:rPr>
              <w:t>6.82</w:t>
            </w:r>
          </w:p>
        </w:tc>
        <w:tc>
          <w:tcPr>
            <w:tcW w:w="615" w:type="pct"/>
            <w:vAlign w:val="center"/>
          </w:tcPr>
          <w:p w14:paraId="6F8CA701">
            <w:pPr>
              <w:widowControl w:val="0"/>
              <w:jc w:val="right"/>
              <w:rPr>
                <w:rFonts w:ascii="Arial Narrow" w:hAnsi="Arial Narrow"/>
                <w:szCs w:val="21"/>
              </w:rPr>
            </w:pPr>
            <w:r>
              <w:rPr>
                <w:rFonts w:ascii="Arial Narrow" w:hAnsi="Arial Narrow"/>
              </w:rPr>
              <w:t>8.79</w:t>
            </w:r>
          </w:p>
        </w:tc>
        <w:tc>
          <w:tcPr>
            <w:tcW w:w="613" w:type="pct"/>
            <w:vAlign w:val="center"/>
          </w:tcPr>
          <w:p w14:paraId="01EFBFE3">
            <w:pPr>
              <w:widowControl w:val="0"/>
              <w:jc w:val="right"/>
              <w:rPr>
                <w:rFonts w:ascii="Arial Narrow" w:hAnsi="Arial Narrow"/>
                <w:szCs w:val="21"/>
              </w:rPr>
            </w:pPr>
            <w:r>
              <w:rPr>
                <w:rFonts w:ascii="Arial Narrow" w:hAnsi="Arial Narrow"/>
              </w:rPr>
              <w:t>-25.07</w:t>
            </w:r>
          </w:p>
        </w:tc>
      </w:tr>
      <w:tr w14:paraId="6557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90" w:type="pct"/>
            <w:vAlign w:val="center"/>
          </w:tcPr>
          <w:p w14:paraId="70206665">
            <w:pPr>
              <w:widowControl w:val="0"/>
              <w:jc w:val="center"/>
              <w:rPr>
                <w:rFonts w:hint="eastAsia"/>
                <w:szCs w:val="21"/>
              </w:rPr>
            </w:pPr>
            <w:r>
              <w:rPr>
                <w:rFonts w:hint="eastAsia"/>
              </w:rPr>
              <w:t>装具装备类</w:t>
            </w:r>
          </w:p>
        </w:tc>
        <w:tc>
          <w:tcPr>
            <w:tcW w:w="633" w:type="pct"/>
            <w:vAlign w:val="center"/>
          </w:tcPr>
          <w:p w14:paraId="26052C7A">
            <w:pPr>
              <w:widowControl w:val="0"/>
              <w:jc w:val="center"/>
              <w:rPr>
                <w:rFonts w:hint="eastAsia"/>
                <w:szCs w:val="21"/>
              </w:rPr>
            </w:pPr>
            <w:r>
              <w:rPr>
                <w:rFonts w:hint="eastAsia"/>
              </w:rPr>
              <w:t>万套件</w:t>
            </w:r>
          </w:p>
        </w:tc>
        <w:tc>
          <w:tcPr>
            <w:tcW w:w="578" w:type="pct"/>
            <w:vAlign w:val="center"/>
          </w:tcPr>
          <w:p w14:paraId="2F87FA7F">
            <w:pPr>
              <w:widowControl w:val="0"/>
              <w:jc w:val="right"/>
              <w:rPr>
                <w:rFonts w:ascii="Arial Narrow" w:hAnsi="Arial Narrow"/>
                <w:szCs w:val="21"/>
              </w:rPr>
            </w:pPr>
            <w:r>
              <w:rPr>
                <w:rFonts w:ascii="Arial Narrow" w:hAnsi="Arial Narrow"/>
              </w:rPr>
              <w:t>745.17</w:t>
            </w:r>
          </w:p>
        </w:tc>
        <w:tc>
          <w:tcPr>
            <w:tcW w:w="578" w:type="pct"/>
            <w:vAlign w:val="center"/>
          </w:tcPr>
          <w:p w14:paraId="0EA19A21">
            <w:pPr>
              <w:widowControl w:val="0"/>
              <w:jc w:val="right"/>
              <w:rPr>
                <w:rFonts w:ascii="Arial Narrow" w:hAnsi="Arial Narrow"/>
                <w:szCs w:val="21"/>
              </w:rPr>
            </w:pPr>
            <w:r>
              <w:rPr>
                <w:rFonts w:ascii="Arial Narrow" w:hAnsi="Arial Narrow"/>
              </w:rPr>
              <w:t>737.40</w:t>
            </w:r>
          </w:p>
        </w:tc>
        <w:tc>
          <w:tcPr>
            <w:tcW w:w="579" w:type="pct"/>
            <w:vAlign w:val="center"/>
          </w:tcPr>
          <w:p w14:paraId="68A29C1B">
            <w:pPr>
              <w:widowControl w:val="0"/>
              <w:jc w:val="right"/>
              <w:rPr>
                <w:rFonts w:ascii="Arial Narrow" w:hAnsi="Arial Narrow"/>
                <w:szCs w:val="21"/>
              </w:rPr>
            </w:pPr>
            <w:r>
              <w:rPr>
                <w:rFonts w:ascii="Arial Narrow" w:hAnsi="Arial Narrow"/>
              </w:rPr>
              <w:t>50.92</w:t>
            </w:r>
          </w:p>
        </w:tc>
        <w:tc>
          <w:tcPr>
            <w:tcW w:w="615" w:type="pct"/>
            <w:vAlign w:val="center"/>
          </w:tcPr>
          <w:p w14:paraId="414BB9E2">
            <w:pPr>
              <w:widowControl w:val="0"/>
              <w:jc w:val="right"/>
              <w:rPr>
                <w:rFonts w:ascii="Arial Narrow" w:hAnsi="Arial Narrow"/>
                <w:szCs w:val="21"/>
              </w:rPr>
            </w:pPr>
            <w:r>
              <w:rPr>
                <w:rFonts w:ascii="Arial Narrow" w:hAnsi="Arial Narrow"/>
              </w:rPr>
              <w:t>-1.88</w:t>
            </w:r>
          </w:p>
        </w:tc>
        <w:tc>
          <w:tcPr>
            <w:tcW w:w="615" w:type="pct"/>
            <w:vAlign w:val="center"/>
          </w:tcPr>
          <w:p w14:paraId="1126F988">
            <w:pPr>
              <w:widowControl w:val="0"/>
              <w:jc w:val="right"/>
              <w:rPr>
                <w:rFonts w:ascii="Arial Narrow" w:hAnsi="Arial Narrow"/>
                <w:szCs w:val="21"/>
              </w:rPr>
            </w:pPr>
            <w:r>
              <w:rPr>
                <w:rFonts w:ascii="Arial Narrow" w:hAnsi="Arial Narrow"/>
              </w:rPr>
              <w:t>-4.65</w:t>
            </w:r>
          </w:p>
        </w:tc>
        <w:tc>
          <w:tcPr>
            <w:tcW w:w="613" w:type="pct"/>
            <w:vAlign w:val="center"/>
          </w:tcPr>
          <w:p w14:paraId="1F3F9580">
            <w:pPr>
              <w:widowControl w:val="0"/>
              <w:jc w:val="right"/>
              <w:rPr>
                <w:rFonts w:ascii="Arial Narrow" w:hAnsi="Arial Narrow"/>
                <w:szCs w:val="21"/>
              </w:rPr>
            </w:pPr>
            <w:r>
              <w:rPr>
                <w:rFonts w:ascii="Arial Narrow" w:hAnsi="Arial Narrow"/>
              </w:rPr>
              <w:t>18.03</w:t>
            </w:r>
          </w:p>
        </w:tc>
      </w:tr>
    </w:tbl>
    <w:p w14:paraId="55C3C65F">
      <w:pPr>
        <w:rPr>
          <w:rFonts w:hint="eastAsia"/>
          <w:szCs w:val="21"/>
        </w:rPr>
      </w:pPr>
    </w:p>
    <w:p w14:paraId="529E0C71">
      <w:pPr>
        <w:rPr>
          <w:rFonts w:hint="eastAsia"/>
          <w:szCs w:val="21"/>
        </w:rPr>
      </w:pPr>
      <w:r>
        <w:rPr>
          <w:rFonts w:hint="eastAsia"/>
          <w:szCs w:val="21"/>
        </w:rPr>
        <w:t>产销量情况说明</w:t>
      </w:r>
    </w:p>
    <w:sdt>
      <w:sdtPr>
        <w:rPr>
          <w:rFonts w:hint="eastAsia"/>
          <w:szCs w:val="21"/>
        </w:rPr>
        <w:alias w:val="产销量情况说明"/>
        <w:tag w:val="_GBC_1aea839efa9940859168bf3f05061254"/>
        <w:id w:val="1461073831"/>
      </w:sdtPr>
      <w:sdtEndPr>
        <w:rPr>
          <w:rFonts w:hint="eastAsia"/>
          <w:szCs w:val="21"/>
        </w:rPr>
      </w:sdtEndPr>
      <w:sdtContent>
        <w:p w14:paraId="14503467">
          <w:pPr>
            <w:rPr>
              <w:rFonts w:hint="eastAsia"/>
              <w:szCs w:val="21"/>
            </w:rPr>
          </w:pPr>
          <w:r>
            <w:rPr>
              <w:rFonts w:hint="eastAsia"/>
              <w:szCs w:val="21"/>
            </w:rPr>
            <w:t>皮鞋类库存量增长幅度较大主要原因是部分订单交期在2025年初，2024年末处于生产储备期。</w:t>
          </w:r>
        </w:p>
      </w:sdtContent>
    </w:sdt>
    <w:p w14:paraId="5AAD234E">
      <w:pPr>
        <w:rPr>
          <w:rFonts w:hint="eastAsia"/>
        </w:rPr>
      </w:pPr>
    </w:p>
    <w:p w14:paraId="1A2D17DA">
      <w:pPr>
        <w:rPr>
          <w:rFonts w:hint="eastAsia"/>
        </w:rPr>
      </w:pPr>
    </w:p>
    <w:p w14:paraId="366B6346">
      <w:pPr>
        <w:pStyle w:val="6"/>
        <w:numPr>
          <w:ilvl w:val="0"/>
          <w:numId w:val="10"/>
        </w:numPr>
        <w:tabs>
          <w:tab w:val="left" w:pos="567"/>
        </w:tabs>
        <w:ind w:leftChars="0"/>
      </w:pPr>
      <w:bookmarkStart w:id="42" w:name="_Hlk89876471"/>
      <w:r>
        <w:rPr>
          <w:rFonts w:hint="eastAsia" w:ascii="宋体" w:hAnsi="宋体" w:cs="宋体"/>
          <w:kern w:val="0"/>
          <w:szCs w:val="24"/>
        </w:rPr>
        <w:t>重大采购合同、重大销售合同的履行情况</w:t>
      </w:r>
    </w:p>
    <w:sdt>
      <w:sdtPr>
        <w:rPr>
          <w:rFonts w:hint="eastAsia"/>
        </w:rPr>
        <w:alias w:val="是否适用：重大采购合同、重大销售合同的履行情况 [双击切换]"/>
        <w:tag w:val="_GBC_7db64bb10282470b9d1599cd986236d4"/>
        <w:id w:val="1218863578"/>
        <w:placeholder>
          <w:docPart w:val="GBC22222222222222222222222222222"/>
        </w:placeholder>
      </w:sdtPr>
      <w:sdtEndPr>
        <w:rPr>
          <w:rFonts w:hint="eastAsia"/>
        </w:rPr>
      </w:sdtEndPr>
      <w:sdtContent>
        <w:p w14:paraId="50CC486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86F1508">
      <w:pPr>
        <w:rPr>
          <w:rFonts w:hint="eastAsia"/>
        </w:rPr>
      </w:pPr>
    </w:p>
    <w:p w14:paraId="73A5ABF8">
      <w:pPr>
        <w:rPr>
          <w:rFonts w:hint="eastAsia"/>
        </w:rPr>
      </w:pPr>
    </w:p>
    <w:bookmarkEnd w:id="42"/>
    <w:p w14:paraId="7CE48076">
      <w:pPr>
        <w:pStyle w:val="6"/>
        <w:numPr>
          <w:ilvl w:val="0"/>
          <w:numId w:val="10"/>
        </w:numPr>
        <w:tabs>
          <w:tab w:val="left" w:pos="567"/>
        </w:tabs>
        <w:ind w:leftChars="0"/>
      </w:pPr>
      <w:r>
        <w:rPr>
          <w:rFonts w:ascii="宋体" w:hAnsi="宋体" w:cs="宋体"/>
          <w:kern w:val="0"/>
          <w:szCs w:val="24"/>
        </w:rPr>
        <w:t>成本分析表</w:t>
      </w:r>
    </w:p>
    <w:p w14:paraId="65212B65">
      <w:pPr>
        <w:pStyle w:val="44"/>
        <w:ind w:firstLine="0" w:firstLineChars="0"/>
        <w:jc w:val="right"/>
        <w:rPr>
          <w:szCs w:val="21"/>
        </w:rPr>
      </w:pPr>
      <w:r>
        <w:rPr>
          <w:rFonts w:hint="eastAsia"/>
          <w:szCs w:val="21"/>
        </w:rPr>
        <w:t>单位：</w:t>
      </w:r>
      <w:sdt>
        <w:sdtPr>
          <w:rPr>
            <w:rFonts w:hint="eastAsia"/>
            <w:szCs w:val="21"/>
          </w:rPr>
          <w:alias w:val="单位：成本分析表"/>
          <w:tag w:val="_GBC_b04622a3125b4989a822b6e63bf483c3"/>
          <w:id w:val="18357315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0"/>
        <w:gridCol w:w="1558"/>
        <w:gridCol w:w="1263"/>
        <w:gridCol w:w="1100"/>
        <w:gridCol w:w="1263"/>
        <w:gridCol w:w="1214"/>
        <w:gridCol w:w="1201"/>
      </w:tblGrid>
      <w:tr w14:paraId="7C9E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sdt>
          <w:sdtPr>
            <w:tag w:val="_PLD_23eca1a24a6a46819aede5056d21b4e0"/>
            <w:id w:val="488291439"/>
          </w:sdtPr>
          <w:sdtContent>
            <w:tc>
              <w:tcPr>
                <w:tcW w:w="5000" w:type="pct"/>
                <w:gridSpan w:val="7"/>
                <w:vAlign w:val="center"/>
              </w:tcPr>
              <w:p w14:paraId="6F8C8385">
                <w:pPr>
                  <w:widowControl w:val="0"/>
                  <w:jc w:val="center"/>
                  <w:rPr>
                    <w:rFonts w:hint="eastAsia"/>
                    <w:szCs w:val="21"/>
                  </w:rPr>
                </w:pPr>
                <w:bookmarkStart w:id="43" w:name="_Hlk89876513"/>
                <w:r>
                  <w:rPr>
                    <w:szCs w:val="21"/>
                  </w:rPr>
                  <w:t>分行业情况</w:t>
                </w:r>
              </w:p>
            </w:tc>
          </w:sdtContent>
        </w:sdt>
      </w:tr>
      <w:tr w14:paraId="7B9C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sdt>
          <w:sdtPr>
            <w:tag w:val="_PLD_6ed773a4437a4fe9b33abca9c4813940"/>
            <w:id w:val="1659654752"/>
          </w:sdtPr>
          <w:sdtContent>
            <w:tc>
              <w:tcPr>
                <w:tcW w:w="801" w:type="pct"/>
                <w:vAlign w:val="center"/>
              </w:tcPr>
              <w:p w14:paraId="66FF61E0">
                <w:pPr>
                  <w:widowControl w:val="0"/>
                  <w:jc w:val="center"/>
                  <w:rPr>
                    <w:rFonts w:hint="eastAsia"/>
                    <w:szCs w:val="21"/>
                  </w:rPr>
                </w:pPr>
                <w:r>
                  <w:rPr>
                    <w:szCs w:val="21"/>
                  </w:rPr>
                  <w:t>分行业</w:t>
                </w:r>
              </w:p>
            </w:tc>
          </w:sdtContent>
        </w:sdt>
        <w:sdt>
          <w:sdtPr>
            <w:tag w:val="_PLD_11eb33bcb20d4489a1b9fff2216d0a84"/>
            <w:id w:val="2067754963"/>
          </w:sdtPr>
          <w:sdtContent>
            <w:tc>
              <w:tcPr>
                <w:tcW w:w="861" w:type="pct"/>
                <w:vAlign w:val="center"/>
              </w:tcPr>
              <w:p w14:paraId="6E5AAD75">
                <w:pPr>
                  <w:widowControl w:val="0"/>
                  <w:jc w:val="center"/>
                  <w:rPr>
                    <w:rFonts w:hint="eastAsia"/>
                    <w:szCs w:val="21"/>
                  </w:rPr>
                </w:pPr>
                <w:r>
                  <w:rPr>
                    <w:szCs w:val="21"/>
                  </w:rPr>
                  <w:t>成本构成项目</w:t>
                </w:r>
              </w:p>
            </w:tc>
          </w:sdtContent>
        </w:sdt>
        <w:sdt>
          <w:sdtPr>
            <w:tag w:val="_PLD_25c03477e66a432199f6493c38aaca71"/>
            <w:id w:val="1442101152"/>
          </w:sdtPr>
          <w:sdtContent>
            <w:tc>
              <w:tcPr>
                <w:tcW w:w="698" w:type="pct"/>
                <w:vAlign w:val="center"/>
              </w:tcPr>
              <w:p w14:paraId="27BD4E9A">
                <w:pPr>
                  <w:widowControl w:val="0"/>
                  <w:jc w:val="center"/>
                  <w:rPr>
                    <w:rFonts w:hint="eastAsia"/>
                    <w:szCs w:val="21"/>
                  </w:rPr>
                </w:pPr>
                <w:r>
                  <w:rPr>
                    <w:szCs w:val="21"/>
                  </w:rPr>
                  <w:t>本期金额</w:t>
                </w:r>
              </w:p>
            </w:tc>
          </w:sdtContent>
        </w:sdt>
        <w:sdt>
          <w:sdtPr>
            <w:tag w:val="_PLD_29b86b13ed1449cfb64b8547d9ed08a7"/>
            <w:id w:val="-511994108"/>
          </w:sdtPr>
          <w:sdtContent>
            <w:tc>
              <w:tcPr>
                <w:tcW w:w="608" w:type="pct"/>
                <w:vAlign w:val="center"/>
              </w:tcPr>
              <w:p w14:paraId="247D2F68">
                <w:pPr>
                  <w:widowControl w:val="0"/>
                  <w:jc w:val="center"/>
                  <w:rPr>
                    <w:rFonts w:hint="eastAsia"/>
                    <w:szCs w:val="21"/>
                  </w:rPr>
                </w:pPr>
                <w:r>
                  <w:rPr>
                    <w:szCs w:val="21"/>
                  </w:rPr>
                  <w:t>本期占总成本比例(</w:t>
                </w:r>
                <w:r>
                  <w:rPr>
                    <w:rFonts w:hint="eastAsia"/>
                    <w:szCs w:val="21"/>
                  </w:rPr>
                  <w:t>%</w:t>
                </w:r>
                <w:r>
                  <w:rPr>
                    <w:szCs w:val="21"/>
                  </w:rPr>
                  <w:t>)</w:t>
                </w:r>
              </w:p>
            </w:tc>
          </w:sdtContent>
        </w:sdt>
        <w:sdt>
          <w:sdtPr>
            <w:tag w:val="_PLD_5ff02c2ae2d941d5bb2ed5b1e6bfa8e6"/>
            <w:id w:val="-640807207"/>
          </w:sdtPr>
          <w:sdtContent>
            <w:tc>
              <w:tcPr>
                <w:tcW w:w="698" w:type="pct"/>
                <w:vAlign w:val="center"/>
              </w:tcPr>
              <w:p w14:paraId="71906ADE">
                <w:pPr>
                  <w:widowControl w:val="0"/>
                  <w:jc w:val="center"/>
                  <w:rPr>
                    <w:rFonts w:hint="eastAsia"/>
                    <w:szCs w:val="21"/>
                  </w:rPr>
                </w:pPr>
                <w:r>
                  <w:rPr>
                    <w:szCs w:val="21"/>
                  </w:rPr>
                  <w:t>上年同期金额</w:t>
                </w:r>
              </w:p>
            </w:tc>
          </w:sdtContent>
        </w:sdt>
        <w:sdt>
          <w:sdtPr>
            <w:tag w:val="_PLD_517f7979a01748fba12b11d5561fdcdd"/>
            <w:id w:val="-193925741"/>
          </w:sdtPr>
          <w:sdtContent>
            <w:tc>
              <w:tcPr>
                <w:tcW w:w="671" w:type="pct"/>
                <w:vAlign w:val="center"/>
              </w:tcPr>
              <w:p w14:paraId="4C60A86E">
                <w:pPr>
                  <w:widowControl w:val="0"/>
                  <w:jc w:val="center"/>
                  <w:rPr>
                    <w:rFonts w:hint="eastAsia"/>
                    <w:szCs w:val="21"/>
                  </w:rPr>
                </w:pPr>
                <w:r>
                  <w:rPr>
                    <w:szCs w:val="21"/>
                  </w:rPr>
                  <w:t>上年同期占总成本比例(</w:t>
                </w:r>
                <w:r>
                  <w:rPr>
                    <w:rFonts w:hint="eastAsia"/>
                    <w:szCs w:val="21"/>
                  </w:rPr>
                  <w:t>%</w:t>
                </w:r>
                <w:r>
                  <w:rPr>
                    <w:szCs w:val="21"/>
                  </w:rPr>
                  <w:t>)</w:t>
                </w:r>
              </w:p>
            </w:tc>
          </w:sdtContent>
        </w:sdt>
        <w:sdt>
          <w:sdtPr>
            <w:tag w:val="_PLD_51133d067ddc4eeda00133d4c26d206f"/>
            <w:id w:val="-2013752249"/>
          </w:sdtPr>
          <w:sdtContent>
            <w:tc>
              <w:tcPr>
                <w:tcW w:w="663" w:type="pct"/>
                <w:vAlign w:val="center"/>
              </w:tcPr>
              <w:p w14:paraId="332A5F73">
                <w:pPr>
                  <w:widowControl w:val="0"/>
                  <w:jc w:val="center"/>
                  <w:rPr>
                    <w:rFonts w:hint="eastAsia"/>
                    <w:szCs w:val="21"/>
                  </w:rPr>
                </w:pPr>
                <w:r>
                  <w:rPr>
                    <w:szCs w:val="21"/>
                  </w:rPr>
                  <w:t>本期金额较上年同期变动比例(</w:t>
                </w:r>
                <w:r>
                  <w:rPr>
                    <w:rFonts w:hint="eastAsia"/>
                    <w:szCs w:val="21"/>
                  </w:rPr>
                  <w:t>%</w:t>
                </w:r>
                <w:r>
                  <w:rPr>
                    <w:szCs w:val="21"/>
                  </w:rPr>
                  <w:t>)</w:t>
                </w:r>
              </w:p>
            </w:tc>
          </w:sdtContent>
        </w:sdt>
      </w:tr>
      <w:tr w14:paraId="6807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01" w:type="pct"/>
            <w:vAlign w:val="center"/>
          </w:tcPr>
          <w:p w14:paraId="4058A56D">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制造业</w:t>
            </w:r>
          </w:p>
        </w:tc>
        <w:tc>
          <w:tcPr>
            <w:tcW w:w="861" w:type="pct"/>
            <w:vAlign w:val="center"/>
          </w:tcPr>
          <w:p w14:paraId="23CF1D24">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直接材料、直接人工、制造费用、燃料与动力</w:t>
            </w:r>
          </w:p>
        </w:tc>
        <w:tc>
          <w:tcPr>
            <w:tcW w:w="698" w:type="pct"/>
            <w:vAlign w:val="center"/>
          </w:tcPr>
          <w:p w14:paraId="5B9DC00C">
            <w:pPr>
              <w:widowControl w:val="0"/>
              <w:jc w:val="right"/>
              <w:rPr>
                <w:rFonts w:hint="eastAsia"/>
                <w:szCs w:val="21"/>
              </w:rPr>
            </w:pPr>
            <w:r>
              <w:rPr>
                <w:rFonts w:ascii="Arial Narrow" w:hAnsi="Arial Narrow" w:eastAsia="等线"/>
                <w:color w:val="000000"/>
                <w:szCs w:val="21"/>
              </w:rPr>
              <w:t xml:space="preserve">902,146.88 </w:t>
            </w:r>
          </w:p>
        </w:tc>
        <w:tc>
          <w:tcPr>
            <w:tcW w:w="608" w:type="pct"/>
            <w:vAlign w:val="center"/>
          </w:tcPr>
          <w:p w14:paraId="4DDD819F">
            <w:pPr>
              <w:widowControl w:val="0"/>
              <w:jc w:val="right"/>
              <w:rPr>
                <w:rFonts w:hint="eastAsia"/>
                <w:szCs w:val="21"/>
              </w:rPr>
            </w:pPr>
            <w:r>
              <w:rPr>
                <w:rFonts w:ascii="Arial Narrow" w:hAnsi="Arial Narrow" w:eastAsia="等线"/>
                <w:color w:val="000000"/>
                <w:szCs w:val="21"/>
              </w:rPr>
              <w:t xml:space="preserve">95.84 </w:t>
            </w:r>
          </w:p>
        </w:tc>
        <w:tc>
          <w:tcPr>
            <w:tcW w:w="698" w:type="pct"/>
            <w:vAlign w:val="center"/>
          </w:tcPr>
          <w:p w14:paraId="45C294DE">
            <w:pPr>
              <w:widowControl w:val="0"/>
              <w:jc w:val="right"/>
              <w:rPr>
                <w:rFonts w:hint="eastAsia"/>
                <w:szCs w:val="21"/>
              </w:rPr>
            </w:pPr>
            <w:r>
              <w:rPr>
                <w:rFonts w:ascii="Arial Narrow" w:hAnsi="Arial Narrow" w:eastAsia="等线"/>
                <w:color w:val="000000"/>
                <w:szCs w:val="21"/>
              </w:rPr>
              <w:t xml:space="preserve">967,964.98 </w:t>
            </w:r>
          </w:p>
        </w:tc>
        <w:tc>
          <w:tcPr>
            <w:tcW w:w="671" w:type="pct"/>
            <w:vAlign w:val="center"/>
          </w:tcPr>
          <w:p w14:paraId="54D5D5E6">
            <w:pPr>
              <w:widowControl w:val="0"/>
              <w:jc w:val="right"/>
              <w:rPr>
                <w:rFonts w:hint="eastAsia"/>
                <w:szCs w:val="21"/>
              </w:rPr>
            </w:pPr>
            <w:r>
              <w:rPr>
                <w:rFonts w:ascii="Arial Narrow" w:hAnsi="Arial Narrow" w:eastAsia="等线"/>
                <w:color w:val="000000"/>
                <w:szCs w:val="21"/>
              </w:rPr>
              <w:t xml:space="preserve">92.42 </w:t>
            </w:r>
          </w:p>
        </w:tc>
        <w:tc>
          <w:tcPr>
            <w:tcW w:w="663" w:type="pct"/>
            <w:vAlign w:val="center"/>
          </w:tcPr>
          <w:p w14:paraId="2A7BBCCF">
            <w:pPr>
              <w:widowControl w:val="0"/>
              <w:jc w:val="right"/>
              <w:rPr>
                <w:rFonts w:hint="eastAsia"/>
                <w:szCs w:val="21"/>
              </w:rPr>
            </w:pPr>
            <w:r>
              <w:rPr>
                <w:rFonts w:ascii="Arial Narrow" w:hAnsi="Arial Narrow" w:eastAsia="等线"/>
                <w:color w:val="000000"/>
                <w:szCs w:val="21"/>
              </w:rPr>
              <w:t xml:space="preserve">-6.80 </w:t>
            </w:r>
          </w:p>
        </w:tc>
      </w:tr>
      <w:tr w14:paraId="1245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01" w:type="pct"/>
            <w:vAlign w:val="center"/>
          </w:tcPr>
          <w:p w14:paraId="763EADF9">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贸易及其他</w:t>
            </w:r>
          </w:p>
        </w:tc>
        <w:tc>
          <w:tcPr>
            <w:tcW w:w="861" w:type="pct"/>
            <w:vAlign w:val="center"/>
          </w:tcPr>
          <w:p w14:paraId="5DA52BC1">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外购商品等</w:t>
            </w:r>
          </w:p>
        </w:tc>
        <w:tc>
          <w:tcPr>
            <w:tcW w:w="698" w:type="pct"/>
            <w:vAlign w:val="center"/>
          </w:tcPr>
          <w:p w14:paraId="248C8686">
            <w:pPr>
              <w:widowControl w:val="0"/>
              <w:jc w:val="right"/>
              <w:rPr>
                <w:rFonts w:hint="eastAsia"/>
                <w:szCs w:val="21"/>
              </w:rPr>
            </w:pPr>
            <w:r>
              <w:rPr>
                <w:rFonts w:ascii="Arial Narrow" w:hAnsi="Arial Narrow" w:eastAsia="等线"/>
                <w:color w:val="000000"/>
                <w:szCs w:val="21"/>
              </w:rPr>
              <w:t xml:space="preserve">39,175.88 </w:t>
            </w:r>
          </w:p>
        </w:tc>
        <w:tc>
          <w:tcPr>
            <w:tcW w:w="608" w:type="pct"/>
            <w:vAlign w:val="center"/>
          </w:tcPr>
          <w:p w14:paraId="3E117C60">
            <w:pPr>
              <w:widowControl w:val="0"/>
              <w:jc w:val="right"/>
              <w:rPr>
                <w:rFonts w:hint="eastAsia"/>
                <w:szCs w:val="21"/>
              </w:rPr>
            </w:pPr>
            <w:r>
              <w:rPr>
                <w:rFonts w:ascii="Arial Narrow" w:hAnsi="Arial Narrow" w:eastAsia="等线"/>
                <w:color w:val="000000"/>
                <w:szCs w:val="21"/>
              </w:rPr>
              <w:t xml:space="preserve">4.16 </w:t>
            </w:r>
          </w:p>
        </w:tc>
        <w:tc>
          <w:tcPr>
            <w:tcW w:w="698" w:type="pct"/>
            <w:vAlign w:val="center"/>
          </w:tcPr>
          <w:p w14:paraId="3FDD4378">
            <w:pPr>
              <w:widowControl w:val="0"/>
              <w:jc w:val="right"/>
              <w:rPr>
                <w:rFonts w:hint="eastAsia"/>
                <w:szCs w:val="21"/>
              </w:rPr>
            </w:pPr>
            <w:r>
              <w:rPr>
                <w:rFonts w:ascii="Arial Narrow" w:hAnsi="Arial Narrow" w:eastAsia="等线"/>
                <w:color w:val="000000"/>
                <w:szCs w:val="21"/>
              </w:rPr>
              <w:t xml:space="preserve">79,364.35 </w:t>
            </w:r>
          </w:p>
        </w:tc>
        <w:tc>
          <w:tcPr>
            <w:tcW w:w="671" w:type="pct"/>
            <w:vAlign w:val="center"/>
          </w:tcPr>
          <w:p w14:paraId="26722F35">
            <w:pPr>
              <w:widowControl w:val="0"/>
              <w:jc w:val="right"/>
              <w:rPr>
                <w:rFonts w:hint="eastAsia"/>
                <w:szCs w:val="21"/>
              </w:rPr>
            </w:pPr>
            <w:r>
              <w:rPr>
                <w:rFonts w:ascii="Arial Narrow" w:hAnsi="Arial Narrow" w:eastAsia="等线"/>
                <w:color w:val="000000"/>
                <w:szCs w:val="21"/>
              </w:rPr>
              <w:t xml:space="preserve">7.58 </w:t>
            </w:r>
          </w:p>
        </w:tc>
        <w:tc>
          <w:tcPr>
            <w:tcW w:w="663" w:type="pct"/>
            <w:vAlign w:val="center"/>
          </w:tcPr>
          <w:p w14:paraId="0589CB37">
            <w:pPr>
              <w:widowControl w:val="0"/>
              <w:jc w:val="right"/>
              <w:rPr>
                <w:rFonts w:hint="eastAsia"/>
                <w:szCs w:val="21"/>
              </w:rPr>
            </w:pPr>
            <w:r>
              <w:rPr>
                <w:rFonts w:ascii="Arial Narrow" w:hAnsi="Arial Narrow" w:eastAsia="等线"/>
                <w:color w:val="000000"/>
                <w:szCs w:val="21"/>
              </w:rPr>
              <w:t xml:space="preserve">-50.64 </w:t>
            </w:r>
          </w:p>
        </w:tc>
      </w:tr>
      <w:tr w14:paraId="66F8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01" w:type="pct"/>
            <w:vAlign w:val="center"/>
          </w:tcPr>
          <w:p w14:paraId="16A36946">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抵销</w:t>
            </w:r>
            <w:r>
              <w:rPr>
                <w:rFonts w:asciiTheme="minorEastAsia" w:hAnsiTheme="minorEastAsia" w:eastAsiaTheme="minorEastAsia"/>
                <w:color w:val="000000"/>
                <w:szCs w:val="21"/>
              </w:rPr>
              <w:t>数</w:t>
            </w:r>
          </w:p>
        </w:tc>
        <w:tc>
          <w:tcPr>
            <w:tcW w:w="861" w:type="pct"/>
            <w:vAlign w:val="center"/>
          </w:tcPr>
          <w:p w14:paraId="160A5EFA">
            <w:pPr>
              <w:widowControl w:val="0"/>
              <w:jc w:val="center"/>
              <w:rPr>
                <w:rFonts w:hint="eastAsia" w:asciiTheme="minorEastAsia" w:hAnsiTheme="minorEastAsia" w:eastAsiaTheme="minorEastAsia"/>
                <w:szCs w:val="21"/>
              </w:rPr>
            </w:pPr>
          </w:p>
        </w:tc>
        <w:tc>
          <w:tcPr>
            <w:tcW w:w="698" w:type="pct"/>
            <w:vAlign w:val="center"/>
          </w:tcPr>
          <w:p w14:paraId="26EA474E">
            <w:pPr>
              <w:widowControl w:val="0"/>
              <w:jc w:val="right"/>
              <w:rPr>
                <w:rFonts w:hint="eastAsia"/>
                <w:szCs w:val="21"/>
              </w:rPr>
            </w:pPr>
            <w:r>
              <w:rPr>
                <w:rFonts w:ascii="Arial Narrow" w:hAnsi="Arial Narrow" w:eastAsia="等线"/>
                <w:color w:val="000000"/>
                <w:szCs w:val="21"/>
              </w:rPr>
              <w:t xml:space="preserve">48,513.59 </w:t>
            </w:r>
          </w:p>
        </w:tc>
        <w:tc>
          <w:tcPr>
            <w:tcW w:w="608" w:type="pct"/>
            <w:vAlign w:val="center"/>
          </w:tcPr>
          <w:p w14:paraId="04BE54CE">
            <w:pPr>
              <w:widowControl w:val="0"/>
              <w:jc w:val="right"/>
              <w:rPr>
                <w:rFonts w:hint="eastAsia"/>
                <w:szCs w:val="21"/>
              </w:rPr>
            </w:pPr>
          </w:p>
        </w:tc>
        <w:tc>
          <w:tcPr>
            <w:tcW w:w="698" w:type="pct"/>
            <w:vAlign w:val="center"/>
          </w:tcPr>
          <w:p w14:paraId="14C811AB">
            <w:pPr>
              <w:widowControl w:val="0"/>
              <w:jc w:val="right"/>
              <w:rPr>
                <w:rFonts w:hint="eastAsia"/>
                <w:szCs w:val="21"/>
              </w:rPr>
            </w:pPr>
            <w:r>
              <w:rPr>
                <w:rFonts w:ascii="Arial Narrow" w:hAnsi="Arial Narrow" w:eastAsia="等线"/>
                <w:color w:val="000000"/>
                <w:szCs w:val="21"/>
              </w:rPr>
              <w:t xml:space="preserve">72,746.36 </w:t>
            </w:r>
          </w:p>
        </w:tc>
        <w:tc>
          <w:tcPr>
            <w:tcW w:w="671" w:type="pct"/>
            <w:vAlign w:val="center"/>
          </w:tcPr>
          <w:p w14:paraId="5A5A94C0">
            <w:pPr>
              <w:widowControl w:val="0"/>
              <w:jc w:val="right"/>
              <w:rPr>
                <w:rFonts w:hint="eastAsia"/>
                <w:szCs w:val="21"/>
              </w:rPr>
            </w:pPr>
          </w:p>
        </w:tc>
        <w:tc>
          <w:tcPr>
            <w:tcW w:w="663" w:type="pct"/>
            <w:vAlign w:val="center"/>
          </w:tcPr>
          <w:p w14:paraId="60097C77">
            <w:pPr>
              <w:widowControl w:val="0"/>
              <w:jc w:val="right"/>
              <w:rPr>
                <w:rFonts w:hint="eastAsia"/>
                <w:szCs w:val="21"/>
              </w:rPr>
            </w:pPr>
          </w:p>
        </w:tc>
      </w:tr>
      <w:tr w14:paraId="4540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01" w:type="pct"/>
            <w:vAlign w:val="center"/>
          </w:tcPr>
          <w:p w14:paraId="6FB48D21">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合计</w:t>
            </w:r>
          </w:p>
        </w:tc>
        <w:tc>
          <w:tcPr>
            <w:tcW w:w="861" w:type="pct"/>
            <w:vAlign w:val="center"/>
          </w:tcPr>
          <w:p w14:paraId="7C9728DD">
            <w:pPr>
              <w:widowControl w:val="0"/>
              <w:jc w:val="center"/>
              <w:rPr>
                <w:rFonts w:hint="eastAsia" w:asciiTheme="minorEastAsia" w:hAnsiTheme="minorEastAsia" w:eastAsiaTheme="minorEastAsia"/>
                <w:szCs w:val="21"/>
              </w:rPr>
            </w:pPr>
          </w:p>
        </w:tc>
        <w:tc>
          <w:tcPr>
            <w:tcW w:w="698" w:type="pct"/>
            <w:vAlign w:val="center"/>
          </w:tcPr>
          <w:p w14:paraId="4E07AC7B">
            <w:pPr>
              <w:widowControl w:val="0"/>
              <w:jc w:val="right"/>
              <w:rPr>
                <w:rFonts w:hint="eastAsia"/>
                <w:szCs w:val="21"/>
              </w:rPr>
            </w:pPr>
            <w:r>
              <w:rPr>
                <w:rFonts w:ascii="Arial Narrow" w:hAnsi="Arial Narrow" w:eastAsia="等线"/>
                <w:color w:val="000000"/>
                <w:szCs w:val="21"/>
              </w:rPr>
              <w:t xml:space="preserve">892,809.17 </w:t>
            </w:r>
          </w:p>
        </w:tc>
        <w:tc>
          <w:tcPr>
            <w:tcW w:w="608" w:type="pct"/>
            <w:vAlign w:val="center"/>
          </w:tcPr>
          <w:p w14:paraId="1770D0D0">
            <w:pPr>
              <w:widowControl w:val="0"/>
              <w:jc w:val="right"/>
              <w:rPr>
                <w:rFonts w:hint="eastAsia"/>
                <w:szCs w:val="21"/>
              </w:rPr>
            </w:pPr>
          </w:p>
        </w:tc>
        <w:tc>
          <w:tcPr>
            <w:tcW w:w="698" w:type="pct"/>
            <w:vAlign w:val="center"/>
          </w:tcPr>
          <w:p w14:paraId="5E078524">
            <w:pPr>
              <w:widowControl w:val="0"/>
              <w:jc w:val="right"/>
              <w:rPr>
                <w:rFonts w:hint="eastAsia"/>
                <w:szCs w:val="21"/>
              </w:rPr>
            </w:pPr>
            <w:r>
              <w:rPr>
                <w:rFonts w:ascii="Arial Narrow" w:hAnsi="Arial Narrow" w:eastAsia="等线"/>
                <w:color w:val="000000"/>
                <w:szCs w:val="21"/>
              </w:rPr>
              <w:t xml:space="preserve">974,582.97 </w:t>
            </w:r>
          </w:p>
        </w:tc>
        <w:tc>
          <w:tcPr>
            <w:tcW w:w="671" w:type="pct"/>
            <w:vAlign w:val="center"/>
          </w:tcPr>
          <w:p w14:paraId="618B9E27">
            <w:pPr>
              <w:widowControl w:val="0"/>
              <w:jc w:val="right"/>
              <w:rPr>
                <w:rFonts w:hint="eastAsia"/>
                <w:szCs w:val="21"/>
              </w:rPr>
            </w:pPr>
          </w:p>
        </w:tc>
        <w:tc>
          <w:tcPr>
            <w:tcW w:w="663" w:type="pct"/>
            <w:vAlign w:val="center"/>
          </w:tcPr>
          <w:p w14:paraId="443F2379">
            <w:pPr>
              <w:widowControl w:val="0"/>
              <w:jc w:val="right"/>
              <w:rPr>
                <w:rFonts w:hint="eastAsia"/>
                <w:szCs w:val="21"/>
              </w:rPr>
            </w:pPr>
          </w:p>
        </w:tc>
      </w:tr>
    </w:tbl>
    <w:p w14:paraId="5BAB29B7">
      <w:pPr>
        <w:rPr>
          <w:rFonts w:hint="eastAsia"/>
        </w:rPr>
      </w:pPr>
    </w:p>
    <w:p w14:paraId="774A9829">
      <w:pPr>
        <w:rPr>
          <w:rFonts w:hint="eastAsia"/>
          <w:szCs w:val="21"/>
        </w:rPr>
      </w:pPr>
      <w:r>
        <w:t>公司报告期内业务、产品或服务发生重大变化或调整有关情况</w:t>
      </w:r>
    </w:p>
    <w:sdt>
      <w:sdtPr>
        <w:alias w:val="是否适用：公司报告期内业务、产品或服务发生重大变化或调整有关情况  [双击切换]"/>
        <w:tag w:val="_GBC_f5a966f2eb244fd68a4bc2176691f92b"/>
        <w:id w:val="-1580900043"/>
        <w:placeholder>
          <w:docPart w:val="GBC22222222222222222222222222222"/>
        </w:placeholder>
      </w:sdtPr>
      <w:sdtContent>
        <w:p w14:paraId="6C54F98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2F517EB">
      <w:pPr>
        <w:rPr>
          <w:rFonts w:hint="eastAsia"/>
          <w:szCs w:val="21"/>
        </w:rPr>
      </w:pPr>
    </w:p>
    <w:bookmarkEnd w:id="43"/>
    <w:p w14:paraId="5FA359A0">
      <w:pPr>
        <w:pStyle w:val="6"/>
        <w:numPr>
          <w:ilvl w:val="0"/>
          <w:numId w:val="10"/>
        </w:numPr>
        <w:tabs>
          <w:tab w:val="left" w:pos="567"/>
        </w:tabs>
        <w:ind w:leftChars="0"/>
      </w:pPr>
      <w:r>
        <w:rPr>
          <w:rFonts w:ascii="宋体" w:hAnsi="宋体" w:cs="宋体"/>
          <w:kern w:val="0"/>
          <w:szCs w:val="24"/>
        </w:rPr>
        <w:t>主要销售客户及主要供应商情况</w:t>
      </w:r>
    </w:p>
    <w:p w14:paraId="18B2455D">
      <w:pPr>
        <w:autoSpaceDE w:val="0"/>
        <w:autoSpaceDN w:val="0"/>
        <w:adjustRightInd w:val="0"/>
        <w:rPr>
          <w:rFonts w:hint="eastAsia"/>
          <w:b/>
          <w:szCs w:val="22"/>
          <w:lang w:val="zh-CN"/>
        </w:rPr>
      </w:pPr>
      <w:r>
        <w:rPr>
          <w:rFonts w:hint="eastAsia"/>
          <w:b/>
          <w:szCs w:val="21"/>
        </w:rPr>
        <w:t>A.</w:t>
      </w:r>
      <w:r>
        <w:rPr>
          <w:rFonts w:hint="eastAsia"/>
          <w:b/>
          <w:lang w:val="zh-CN"/>
        </w:rPr>
        <w:t>公司主要销售客户情况</w:t>
      </w:r>
    </w:p>
    <w:sdt>
      <w:sdtPr>
        <w:rPr>
          <w:szCs w:val="21"/>
          <w:highlight w:val="yellow"/>
        </w:rPr>
        <w:alias w:val="是否适用：主要销售客户情况[双击切换]"/>
        <w:tag w:val="_GBC_a2403594b48a40da9560c8bc71e01f56"/>
        <w:id w:val="-1042368677"/>
        <w:placeholder>
          <w:docPart w:val="GBC22222222222222222222222222222"/>
        </w:placeholder>
      </w:sdtPr>
      <w:sdtEndPr>
        <w:rPr>
          <w:szCs w:val="21"/>
          <w:highlight w:val="none"/>
        </w:rPr>
      </w:sdtEndPr>
      <w:sdtContent>
        <w:p w14:paraId="0A1BCC64">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77CD65E">
      <w:pPr>
        <w:rPr>
          <w:rFonts w:hint="eastAsia"/>
          <w:szCs w:val="21"/>
        </w:rPr>
      </w:pPr>
      <w:r>
        <w:rPr>
          <w:rFonts w:hint="eastAsia"/>
          <w:szCs w:val="21"/>
        </w:rPr>
        <w:t>前五名客户销售额</w:t>
      </w:r>
      <w:sdt>
        <w:sdtPr>
          <w:rPr>
            <w:rFonts w:hint="eastAsia"/>
            <w:szCs w:val="21"/>
          </w:rPr>
          <w:alias w:val="前五名客户销售额"/>
          <w:tag w:val="_GBC_e497000fdfbc4e548555b7f8ddf9780c"/>
          <w:id w:val="1951818675"/>
          <w:placeholder>
            <w:docPart w:val="GBC22222222222222222222222222222"/>
          </w:placeholder>
        </w:sdtPr>
        <w:sdtEndPr>
          <w:rPr>
            <w:rFonts w:hint="eastAsia"/>
            <w:szCs w:val="21"/>
          </w:rPr>
        </w:sdtEndPr>
        <w:sdtContent>
          <w:r>
            <w:rPr>
              <w:rFonts w:hint="eastAsia"/>
              <w:szCs w:val="21"/>
            </w:rPr>
            <w:t>399,405.50</w:t>
          </w:r>
        </w:sdtContent>
      </w:sdt>
      <w:sdt>
        <w:sdtPr>
          <w:rPr>
            <w:rFonts w:hint="eastAsia"/>
            <w:szCs w:val="21"/>
          </w:rPr>
          <w:alias w:val="单位：前五名客户销售额"/>
          <w:tag w:val="_GBC_4bd6620b209a4bae8dc3404e8b89ea35"/>
          <w:id w:val="6306786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519819092"/>
          <w:placeholder>
            <w:docPart w:val="GBC22222222222222222222222222222"/>
          </w:placeholder>
        </w:sdtPr>
        <w:sdtEndPr>
          <w:rPr>
            <w:szCs w:val="21"/>
          </w:rPr>
        </w:sdtEndPr>
        <w:sdtContent>
          <w:r>
            <w:rPr>
              <w:rFonts w:hint="eastAsia"/>
              <w:szCs w:val="21"/>
            </w:rPr>
            <w:t>40.40%</w:t>
          </w:r>
        </w:sdtContent>
      </w:sdt>
      <w:r>
        <w:rPr>
          <w:szCs w:val="21"/>
        </w:rPr>
        <w:t>；其中前五名客户销售额中关联方销售额</w:t>
      </w:r>
      <w:sdt>
        <w:sdtPr>
          <w:rPr>
            <w:szCs w:val="21"/>
          </w:rPr>
          <w:alias w:val="前五名客户销售额中关联方销售额"/>
          <w:tag w:val="_GBC_bfa0971257a44f65996f01cfb0497b07"/>
          <w:id w:val="1029604562"/>
          <w:placeholder>
            <w:docPart w:val="GBC22222222222222222222222222222"/>
          </w:placeholder>
        </w:sdtPr>
        <w:sdtEndPr>
          <w:rPr>
            <w:szCs w:val="21"/>
          </w:rPr>
        </w:sdtEndPr>
        <w:sdtContent>
          <w:r>
            <w:rPr>
              <w:rFonts w:hint="eastAsia"/>
              <w:szCs w:val="21"/>
            </w:rPr>
            <w:t>0</w:t>
          </w:r>
        </w:sdtContent>
      </w:sdt>
      <w:sdt>
        <w:sdtPr>
          <w:rPr>
            <w:szCs w:val="21"/>
          </w:rPr>
          <w:alias w:val="单位：前五名客户销售额中关联方销售额"/>
          <w:tag w:val="_GBC_f3c03afc93a5429f9fa45fc25f9018ab"/>
          <w:id w:val="-9325940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万元</w:t>
          </w:r>
        </w:sdtContent>
      </w:sdt>
      <w:r>
        <w:rPr>
          <w:szCs w:val="21"/>
        </w:rPr>
        <w:t>，占年度销售总额</w:t>
      </w:r>
      <w:sdt>
        <w:sdtPr>
          <w:rPr>
            <w:szCs w:val="21"/>
          </w:rPr>
          <w:alias w:val="前五名客户销售额中关联方销售额占年度销售总额比例"/>
          <w:tag w:val="_GBC_a84a9f2fd5cd467fa7226eab846a8fd4"/>
          <w:id w:val="1972093754"/>
          <w:placeholder>
            <w:docPart w:val="GBC22222222222222222222222222222"/>
          </w:placeholder>
        </w:sdtPr>
        <w:sdtEndPr>
          <w:rPr>
            <w:szCs w:val="21"/>
          </w:rPr>
        </w:sdtEndPr>
        <w:sdtContent>
          <w:r>
            <w:rPr>
              <w:rFonts w:hint="eastAsia"/>
              <w:szCs w:val="21"/>
            </w:rPr>
            <w:t>0%</w:t>
          </w:r>
        </w:sdtContent>
      </w:sdt>
      <w:r>
        <w:rPr>
          <w:szCs w:val="21"/>
        </w:rPr>
        <w:t xml:space="preserve"> 。</w:t>
      </w:r>
    </w:p>
    <w:p w14:paraId="3B38BD46">
      <w:pPr>
        <w:rPr>
          <w:rFonts w:hint="eastAsia"/>
          <w:szCs w:val="21"/>
        </w:rPr>
      </w:pPr>
    </w:p>
    <w:p w14:paraId="0AC1FA34">
      <w:pPr>
        <w:rPr>
          <w:rFonts w:hint="eastAsia"/>
        </w:rPr>
      </w:pPr>
      <w:r>
        <w:rPr>
          <w:rFonts w:hint="eastAsia"/>
        </w:rPr>
        <w:t>报告期内向单个客户的销售比例超过总额的</w:t>
      </w:r>
      <w:r>
        <w:t>50%、前</w:t>
      </w:r>
      <w:r>
        <w:rPr>
          <w:rFonts w:hint="eastAsia"/>
        </w:rPr>
        <w:t>5</w:t>
      </w:r>
      <w:r>
        <w:t>名客户中存在新增客户的或严重依赖于少数客户的情形</w:t>
      </w:r>
    </w:p>
    <w:sdt>
      <w:sdtPr>
        <w:alias w:val="是否适用：前5名销售客户中存在新增客户的或严重依赖于少数客户的情形表[双击切换]"/>
        <w:tag w:val="_GBC_9335bc17e9fb4b00a212f4c3a2cf1884"/>
        <w:id w:val="-529185213"/>
        <w:placeholder>
          <w:docPart w:val="GBC22222222222222222222222222222"/>
        </w:placeholder>
      </w:sdtPr>
      <w:sdtContent>
        <w:p w14:paraId="3788414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F1A0E9B">
      <w:pPr>
        <w:rPr>
          <w:rFonts w:hint="eastAsia"/>
          <w:szCs w:val="21"/>
          <w:highlight w:val="yellow"/>
        </w:rPr>
      </w:pPr>
    </w:p>
    <w:p w14:paraId="013BFC69">
      <w:pPr>
        <w:rPr>
          <w:rFonts w:hint="eastAsia"/>
          <w:szCs w:val="21"/>
        </w:rPr>
      </w:pPr>
      <w:r>
        <w:rPr>
          <w:rFonts w:hint="eastAsia"/>
          <w:b/>
          <w:szCs w:val="21"/>
        </w:rPr>
        <w:t>B.</w:t>
      </w:r>
      <w:r>
        <w:rPr>
          <w:rFonts w:hint="eastAsia"/>
          <w:b/>
          <w:lang w:val="zh-CN"/>
        </w:rPr>
        <w:t>公司主要供应商情况</w:t>
      </w:r>
    </w:p>
    <w:sdt>
      <w:sdtPr>
        <w:rPr>
          <w:szCs w:val="21"/>
          <w:highlight w:val="yellow"/>
        </w:rPr>
        <w:alias w:val="是否适用：主要供应商情况[双击切换]"/>
        <w:tag w:val="_GBC_fea16361481c4fe3babe7fcb670d973f"/>
        <w:id w:val="-801614178"/>
        <w:lock w:val="contentLocked"/>
        <w:placeholder>
          <w:docPart w:val="GBC22222222222222222222222222222"/>
        </w:placeholder>
      </w:sdtPr>
      <w:sdtEndPr>
        <w:rPr>
          <w:szCs w:val="21"/>
          <w:highlight w:val="none"/>
        </w:rPr>
      </w:sdtEndPr>
      <w:sdtContent>
        <w:p w14:paraId="754EF88C">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A1F9BC">
      <w:pPr>
        <w:rPr>
          <w:rFonts w:hint="eastAsia"/>
        </w:rPr>
      </w:pPr>
      <w:r>
        <w:rPr>
          <w:rFonts w:hint="eastAsia"/>
          <w:szCs w:val="21"/>
        </w:rPr>
        <w:t>前五名供应商采购额</w:t>
      </w:r>
      <w:sdt>
        <w:sdtPr>
          <w:rPr>
            <w:rFonts w:hint="eastAsia"/>
            <w:szCs w:val="21"/>
          </w:rPr>
          <w:alias w:val="前五名供应商采购额"/>
          <w:tag w:val="_GBC_4552254972a04ec6983b359a0f18d4bf"/>
          <w:id w:val="920449237"/>
          <w:placeholder>
            <w:docPart w:val="GBC22222222222222222222222222222"/>
          </w:placeholder>
        </w:sdtPr>
        <w:sdtEndPr>
          <w:rPr>
            <w:rFonts w:hint="eastAsia"/>
            <w:szCs w:val="21"/>
          </w:rPr>
        </w:sdtEndPr>
        <w:sdtContent>
          <w:r>
            <w:rPr>
              <w:rFonts w:hint="eastAsia"/>
              <w:szCs w:val="21"/>
            </w:rPr>
            <w:t>47,153.48</w:t>
          </w:r>
        </w:sdtContent>
      </w:sdt>
      <w:sdt>
        <w:sdtPr>
          <w:rPr>
            <w:rFonts w:hint="eastAsia"/>
            <w:szCs w:val="21"/>
          </w:rPr>
          <w:alias w:val="单位：前五名供应商采购额"/>
          <w:tag w:val="_GBC_418fcbdb1c1a4643afb7cce014bdeca2"/>
          <w:id w:val="-20738051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1516678237"/>
          <w:placeholder>
            <w:docPart w:val="GBC22222222222222222222222222222"/>
          </w:placeholder>
        </w:sdtPr>
        <w:sdtEndPr>
          <w:rPr>
            <w:szCs w:val="21"/>
          </w:rPr>
        </w:sdtEndPr>
        <w:sdtContent>
          <w:r>
            <w:rPr>
              <w:rFonts w:hint="eastAsia"/>
              <w:szCs w:val="21"/>
            </w:rPr>
            <w:t>5.13%</w:t>
          </w:r>
        </w:sdtContent>
      </w:sdt>
      <w:r>
        <w:rPr>
          <w:szCs w:val="21"/>
        </w:rPr>
        <w:t>；其中前五名供应商采购额中关联方采购额</w:t>
      </w:r>
      <w:sdt>
        <w:sdtPr>
          <w:rPr>
            <w:szCs w:val="21"/>
          </w:rPr>
          <w:alias w:val="前五名供应商采购额中关联方采购额"/>
          <w:tag w:val="_GBC_b4791060802442e186017fdd5f31805a"/>
          <w:id w:val="-658391526"/>
          <w:placeholder>
            <w:docPart w:val="GBC22222222222222222222222222222"/>
          </w:placeholder>
        </w:sdtPr>
        <w:sdtEndPr>
          <w:rPr>
            <w:szCs w:val="21"/>
          </w:rPr>
        </w:sdtEndPr>
        <w:sdtContent>
          <w:r>
            <w:rPr>
              <w:rFonts w:hint="eastAsia"/>
              <w:szCs w:val="21"/>
            </w:rPr>
            <w:t>0</w:t>
          </w:r>
        </w:sdtContent>
      </w:sdt>
      <w:sdt>
        <w:sdtPr>
          <w:rPr>
            <w:szCs w:val="21"/>
          </w:rPr>
          <w:alias w:val="单位：前五名供应商采购额中关联方采购额"/>
          <w:tag w:val="_GBC_bac6c3f63a9a4b0db685f5ee8e883818"/>
          <w:id w:val="12594119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393472744"/>
          <w:placeholder>
            <w:docPart w:val="GBC22222222222222222222222222222"/>
          </w:placeholder>
        </w:sdtPr>
        <w:sdtEndPr>
          <w:rPr>
            <w:szCs w:val="21"/>
          </w:rPr>
        </w:sdtEndPr>
        <w:sdtContent>
          <w:r>
            <w:rPr>
              <w:rFonts w:hint="eastAsia"/>
              <w:szCs w:val="21"/>
            </w:rPr>
            <w:t>0%</w:t>
          </w:r>
        </w:sdtContent>
      </w:sdt>
      <w:r>
        <w:rPr>
          <w:rFonts w:hint="eastAsia"/>
        </w:rPr>
        <w:t>。</w:t>
      </w:r>
    </w:p>
    <w:p w14:paraId="6DF695CF">
      <w:pPr>
        <w:rPr>
          <w:rFonts w:hint="eastAsia"/>
          <w:szCs w:val="21"/>
        </w:rPr>
      </w:pPr>
    </w:p>
    <w:p w14:paraId="27DE116C">
      <w:pPr>
        <w:rPr>
          <w:rFonts w:hint="eastAsia"/>
        </w:rPr>
      </w:pPr>
      <w:r>
        <w:t>报告期内向单个供应商的采购比例超过总额的50%、前5名供应商中存在新增供应商的或严重依赖于少数供应商的情形</w:t>
      </w:r>
    </w:p>
    <w:sdt>
      <w:sdtPr>
        <w:alias w:val="是否适用：前5名供应商中存在新增供应商的或严重依赖于少数供应商的情形表[双击切换]"/>
        <w:tag w:val="_GBC_1e4a3af63f0f41888dc455d8c1a979a8"/>
        <w:id w:val="911432938"/>
        <w:placeholder>
          <w:docPart w:val="GBC22222222222222222222222222222"/>
        </w:placeholder>
      </w:sdtPr>
      <w:sdtContent>
        <w:p w14:paraId="7B3760F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C755A2E">
      <w:pPr>
        <w:rPr>
          <w:rFonts w:hint="eastAsia"/>
          <w:szCs w:val="21"/>
        </w:rPr>
      </w:pPr>
    </w:p>
    <w:p w14:paraId="168F4E3B">
      <w:pPr>
        <w:rPr>
          <w:rFonts w:hint="eastAsia"/>
          <w:szCs w:val="21"/>
        </w:rPr>
      </w:pPr>
      <w:bookmarkStart w:id="44" w:name="_Hlk184741846"/>
      <w:r>
        <w:rPr>
          <w:rFonts w:hint="eastAsia"/>
          <w:szCs w:val="21"/>
        </w:rPr>
        <w:t>其他说明：</w:t>
      </w:r>
    </w:p>
    <w:sdt>
      <w:sdtPr>
        <w:rPr>
          <w:szCs w:val="21"/>
        </w:rPr>
        <w:alias w:val="主要销售客户及主要供应商情况其他说明"/>
        <w:tag w:val="_GBC_671f841429ed4c5aaa013b86ad58b88f"/>
        <w:id w:val="-1014381082"/>
        <w:placeholder>
          <w:docPart w:val="GBC22222222222222222222222222222"/>
        </w:placeholder>
      </w:sdtPr>
      <w:sdtEndPr>
        <w:rPr>
          <w:szCs w:val="21"/>
        </w:rPr>
      </w:sdtEndPr>
      <w:sdtContent>
        <w:p w14:paraId="12B8DBF8">
          <w:pPr>
            <w:rPr>
              <w:rFonts w:hint="eastAsia"/>
              <w:szCs w:val="21"/>
            </w:rPr>
          </w:pPr>
          <w:r>
            <w:rPr>
              <w:rFonts w:hint="eastAsia"/>
              <w:szCs w:val="21"/>
            </w:rPr>
            <w:t>无</w:t>
          </w:r>
        </w:p>
      </w:sdtContent>
    </w:sdt>
    <w:p w14:paraId="58DB64DA">
      <w:pPr>
        <w:rPr>
          <w:rFonts w:hint="eastAsia"/>
          <w:szCs w:val="21"/>
        </w:rPr>
      </w:pPr>
    </w:p>
    <w:p w14:paraId="51C161F0">
      <w:pPr>
        <w:rPr>
          <w:rFonts w:hint="eastAsia"/>
          <w:szCs w:val="21"/>
        </w:rPr>
      </w:pPr>
    </w:p>
    <w:bookmarkEnd w:id="44"/>
    <w:p w14:paraId="73B8DC07">
      <w:pPr>
        <w:pStyle w:val="5"/>
        <w:numPr>
          <w:ilvl w:val="0"/>
          <w:numId w:val="9"/>
        </w:numPr>
        <w:rPr>
          <w:rFonts w:hint="eastAsia"/>
        </w:rPr>
      </w:pPr>
      <w:r>
        <w:rPr>
          <w:rFonts w:hint="eastAsia"/>
        </w:rPr>
        <w:t>费用</w:t>
      </w:r>
    </w:p>
    <w:sdt>
      <w:sdtPr>
        <w:alias w:val="是否适用：费用[双击切换]"/>
        <w:tag w:val="_GBC_fa9cd5e43a8f426c8b793a737190d8db"/>
        <w:id w:val="1990514491"/>
        <w:placeholder>
          <w:docPart w:val="GBC22222222222222222222222222222"/>
        </w:placeholder>
      </w:sdtPr>
      <w:sdtContent>
        <w:p w14:paraId="15DDFAC5">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费用情况说明"/>
        <w:tag w:val="_GBC_02a46af1e8d349d8b753768e17da35a1"/>
        <w:id w:val="-272709054"/>
        <w:placeholder>
          <w:docPart w:val="GBC22222222222222222222222222222"/>
        </w:placeholder>
      </w:sdtPr>
      <w:sdtEndPr>
        <w:rPr>
          <w:rFonts w:hint="eastAsia"/>
          <w:szCs w:val="21"/>
        </w:rPr>
      </w:sdtEndPr>
      <w:sdtContent>
        <w:p w14:paraId="3C13AE0A">
          <w:pPr>
            <w:jc w:val="right"/>
            <w:rPr>
              <w:rFonts w:hint="eastAsia"/>
              <w:szCs w:val="21"/>
            </w:rPr>
          </w:pPr>
          <w:r>
            <w:rPr>
              <w:rFonts w:hint="eastAsia"/>
              <w:szCs w:val="21"/>
            </w:rPr>
            <w:t>单位：</w:t>
          </w:r>
          <w:sdt>
            <w:sdtPr>
              <w:rPr>
                <w:szCs w:val="21"/>
              </w:rPr>
              <w:alias w:val="单位：前5名供应商中存在新增供应商的或严重依赖于少数供应商的情形表"/>
              <w:tag w:val="_GBC_036521f9552a4945b789f303a5ebc076"/>
              <w:id w:val="1240909251"/>
              <w:placeholder>
                <w:docPart w:val="F927A263154F4254987FDCDABBD41E6C"/>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szCs w:val="21"/>
              </w:rPr>
              <w:alias w:val="币种：前5名供应商中存在新增供应商的或严重依赖于少数供应商的情形表"/>
              <w:tag w:val="_GBC_4f8542d2517f47e5bd8480fca623c3f2"/>
              <w:id w:val="705139871"/>
              <w:placeholder>
                <w:docPart w:val="F927A263154F4254987FDCDABBD41E6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14:paraId="422A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5E6D3343">
                <w:pPr>
                  <w:widowControl w:val="0"/>
                  <w:jc w:val="center"/>
                  <w:rPr>
                    <w:rFonts w:hint="eastAsia"/>
                    <w:szCs w:val="21"/>
                  </w:rPr>
                </w:pPr>
                <w:r>
                  <w:rPr>
                    <w:rFonts w:hint="eastAsia"/>
                    <w:color w:val="000000"/>
                    <w:szCs w:val="21"/>
                  </w:rPr>
                  <w:t>费用名称</w:t>
                </w:r>
              </w:p>
            </w:tc>
            <w:tc>
              <w:tcPr>
                <w:tcW w:w="2206" w:type="dxa"/>
                <w:vAlign w:val="center"/>
              </w:tcPr>
              <w:p w14:paraId="1E546796">
                <w:pPr>
                  <w:widowControl w:val="0"/>
                  <w:jc w:val="center"/>
                  <w:rPr>
                    <w:rFonts w:hint="eastAsia"/>
                    <w:szCs w:val="21"/>
                  </w:rPr>
                </w:pPr>
                <w:r>
                  <w:rPr>
                    <w:rFonts w:hint="eastAsia"/>
                    <w:color w:val="000000"/>
                    <w:szCs w:val="21"/>
                  </w:rPr>
                  <w:t>本年金额</w:t>
                </w:r>
              </w:p>
            </w:tc>
            <w:tc>
              <w:tcPr>
                <w:tcW w:w="2206" w:type="dxa"/>
                <w:vAlign w:val="center"/>
              </w:tcPr>
              <w:p w14:paraId="27169B98">
                <w:pPr>
                  <w:widowControl w:val="0"/>
                  <w:jc w:val="center"/>
                  <w:rPr>
                    <w:rFonts w:hint="eastAsia"/>
                    <w:szCs w:val="21"/>
                  </w:rPr>
                </w:pPr>
                <w:r>
                  <w:rPr>
                    <w:rFonts w:hint="eastAsia"/>
                    <w:color w:val="000000"/>
                    <w:szCs w:val="21"/>
                  </w:rPr>
                  <w:t>上期金额</w:t>
                </w:r>
              </w:p>
            </w:tc>
            <w:tc>
              <w:tcPr>
                <w:tcW w:w="2206" w:type="dxa"/>
                <w:vAlign w:val="center"/>
              </w:tcPr>
              <w:p w14:paraId="295BCF3E">
                <w:pPr>
                  <w:widowControl w:val="0"/>
                  <w:jc w:val="center"/>
                  <w:rPr>
                    <w:rFonts w:hint="eastAsia"/>
                    <w:szCs w:val="21"/>
                  </w:rPr>
                </w:pPr>
                <w:r>
                  <w:rPr>
                    <w:rStyle w:val="136"/>
                  </w:rPr>
                  <w:t>变动比例（%）</w:t>
                </w:r>
              </w:p>
            </w:tc>
          </w:tr>
          <w:tr w14:paraId="7F23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68F6EF8A">
                <w:pPr>
                  <w:widowControl w:val="0"/>
                  <w:jc w:val="center"/>
                  <w:rPr>
                    <w:rFonts w:hint="eastAsia"/>
                    <w:szCs w:val="21"/>
                  </w:rPr>
                </w:pPr>
                <w:r>
                  <w:rPr>
                    <w:rFonts w:hint="eastAsia"/>
                    <w:color w:val="000000"/>
                    <w:szCs w:val="21"/>
                  </w:rPr>
                  <w:t>销售费用</w:t>
                </w:r>
              </w:p>
            </w:tc>
            <w:tc>
              <w:tcPr>
                <w:tcW w:w="2206" w:type="dxa"/>
                <w:vAlign w:val="bottom"/>
              </w:tcPr>
              <w:p w14:paraId="64506B14">
                <w:pPr>
                  <w:widowControl w:val="0"/>
                  <w:jc w:val="right"/>
                  <w:rPr>
                    <w:rFonts w:hint="eastAsia"/>
                    <w:szCs w:val="21"/>
                  </w:rPr>
                </w:pPr>
                <w:r>
                  <w:rPr>
                    <w:rFonts w:ascii="Arial Narrow" w:hAnsi="Arial Narrow" w:eastAsia="等线"/>
                    <w:color w:val="000000"/>
                    <w:szCs w:val="21"/>
                  </w:rPr>
                  <w:t xml:space="preserve">457,864,974.69 </w:t>
                </w:r>
              </w:p>
            </w:tc>
            <w:tc>
              <w:tcPr>
                <w:tcW w:w="2206" w:type="dxa"/>
                <w:vAlign w:val="bottom"/>
              </w:tcPr>
              <w:p w14:paraId="7C28D852">
                <w:pPr>
                  <w:widowControl w:val="0"/>
                  <w:jc w:val="right"/>
                  <w:rPr>
                    <w:rFonts w:hint="eastAsia"/>
                    <w:szCs w:val="21"/>
                  </w:rPr>
                </w:pPr>
                <w:r>
                  <w:rPr>
                    <w:rFonts w:ascii="Arial Narrow" w:hAnsi="Arial Narrow" w:eastAsia="等线"/>
                    <w:color w:val="000000"/>
                    <w:szCs w:val="21"/>
                  </w:rPr>
                  <w:t xml:space="preserve">363,673,477.93 </w:t>
                </w:r>
              </w:p>
            </w:tc>
            <w:tc>
              <w:tcPr>
                <w:tcW w:w="2206" w:type="dxa"/>
                <w:vAlign w:val="bottom"/>
              </w:tcPr>
              <w:p w14:paraId="45FFBDDF">
                <w:pPr>
                  <w:widowControl w:val="0"/>
                  <w:jc w:val="right"/>
                  <w:rPr>
                    <w:rFonts w:hint="eastAsia"/>
                    <w:szCs w:val="21"/>
                  </w:rPr>
                </w:pPr>
                <w:r>
                  <w:rPr>
                    <w:rFonts w:ascii="Arial Narrow" w:hAnsi="Arial Narrow" w:eastAsia="等线"/>
                    <w:color w:val="000000"/>
                    <w:szCs w:val="21"/>
                  </w:rPr>
                  <w:t xml:space="preserve">25.90 </w:t>
                </w:r>
              </w:p>
            </w:tc>
          </w:tr>
          <w:tr w14:paraId="1584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1F3DA352">
                <w:pPr>
                  <w:widowControl w:val="0"/>
                  <w:jc w:val="center"/>
                  <w:rPr>
                    <w:rFonts w:hint="eastAsia"/>
                    <w:szCs w:val="21"/>
                  </w:rPr>
                </w:pPr>
                <w:r>
                  <w:rPr>
                    <w:rFonts w:hint="eastAsia"/>
                    <w:color w:val="000000"/>
                    <w:szCs w:val="21"/>
                  </w:rPr>
                  <w:t>管理费用</w:t>
                </w:r>
              </w:p>
            </w:tc>
            <w:tc>
              <w:tcPr>
                <w:tcW w:w="2206" w:type="dxa"/>
                <w:vAlign w:val="bottom"/>
              </w:tcPr>
              <w:p w14:paraId="1AAF3A90">
                <w:pPr>
                  <w:widowControl w:val="0"/>
                  <w:jc w:val="right"/>
                  <w:rPr>
                    <w:rFonts w:hint="eastAsia"/>
                    <w:szCs w:val="21"/>
                  </w:rPr>
                </w:pPr>
                <w:r>
                  <w:rPr>
                    <w:rFonts w:ascii="Arial Narrow" w:hAnsi="Arial Narrow" w:eastAsia="等线"/>
                    <w:color w:val="000000"/>
                    <w:szCs w:val="21"/>
                  </w:rPr>
                  <w:t xml:space="preserve">976,107,086.54 </w:t>
                </w:r>
              </w:p>
            </w:tc>
            <w:tc>
              <w:tcPr>
                <w:tcW w:w="2206" w:type="dxa"/>
                <w:vAlign w:val="bottom"/>
              </w:tcPr>
              <w:p w14:paraId="4F665B83">
                <w:pPr>
                  <w:widowControl w:val="0"/>
                  <w:jc w:val="right"/>
                  <w:rPr>
                    <w:rFonts w:hint="eastAsia"/>
                    <w:szCs w:val="21"/>
                  </w:rPr>
                </w:pPr>
                <w:r>
                  <w:rPr>
                    <w:rFonts w:ascii="Arial Narrow" w:hAnsi="Arial Narrow" w:eastAsia="等线"/>
                    <w:color w:val="000000"/>
                    <w:szCs w:val="21"/>
                  </w:rPr>
                  <w:t xml:space="preserve">686,297,644.55 </w:t>
                </w:r>
              </w:p>
            </w:tc>
            <w:tc>
              <w:tcPr>
                <w:tcW w:w="2206" w:type="dxa"/>
                <w:vAlign w:val="bottom"/>
              </w:tcPr>
              <w:p w14:paraId="24D18915">
                <w:pPr>
                  <w:widowControl w:val="0"/>
                  <w:jc w:val="right"/>
                  <w:rPr>
                    <w:rFonts w:hint="eastAsia"/>
                    <w:szCs w:val="21"/>
                  </w:rPr>
                </w:pPr>
                <w:r>
                  <w:rPr>
                    <w:rFonts w:ascii="Arial Narrow" w:hAnsi="Arial Narrow" w:eastAsia="等线"/>
                    <w:color w:val="000000"/>
                    <w:szCs w:val="21"/>
                  </w:rPr>
                  <w:t xml:space="preserve">42.23 </w:t>
                </w:r>
              </w:p>
            </w:tc>
          </w:tr>
          <w:tr w14:paraId="7073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1EAC0136">
                <w:pPr>
                  <w:widowControl w:val="0"/>
                  <w:jc w:val="center"/>
                  <w:rPr>
                    <w:rFonts w:hint="eastAsia"/>
                    <w:szCs w:val="21"/>
                  </w:rPr>
                </w:pPr>
                <w:r>
                  <w:rPr>
                    <w:rFonts w:hint="eastAsia"/>
                    <w:color w:val="000000"/>
                    <w:szCs w:val="21"/>
                  </w:rPr>
                  <w:t>研发费用</w:t>
                </w:r>
              </w:p>
            </w:tc>
            <w:tc>
              <w:tcPr>
                <w:tcW w:w="2206" w:type="dxa"/>
                <w:vAlign w:val="bottom"/>
              </w:tcPr>
              <w:p w14:paraId="47B73C19">
                <w:pPr>
                  <w:widowControl w:val="0"/>
                  <w:jc w:val="right"/>
                  <w:rPr>
                    <w:rFonts w:hint="eastAsia"/>
                    <w:szCs w:val="21"/>
                  </w:rPr>
                </w:pPr>
                <w:r>
                  <w:rPr>
                    <w:rFonts w:ascii="Arial Narrow" w:hAnsi="Arial Narrow" w:eastAsia="等线"/>
                    <w:color w:val="000000"/>
                    <w:szCs w:val="21"/>
                  </w:rPr>
                  <w:t xml:space="preserve">337,042,737.59 </w:t>
                </w:r>
              </w:p>
            </w:tc>
            <w:tc>
              <w:tcPr>
                <w:tcW w:w="2206" w:type="dxa"/>
                <w:vAlign w:val="bottom"/>
              </w:tcPr>
              <w:p w14:paraId="5B896FDC">
                <w:pPr>
                  <w:widowControl w:val="0"/>
                  <w:jc w:val="right"/>
                  <w:rPr>
                    <w:rFonts w:hint="eastAsia"/>
                    <w:szCs w:val="21"/>
                  </w:rPr>
                </w:pPr>
                <w:r>
                  <w:rPr>
                    <w:rFonts w:ascii="Arial Narrow" w:hAnsi="Arial Narrow" w:eastAsia="等线"/>
                    <w:color w:val="000000"/>
                    <w:szCs w:val="21"/>
                  </w:rPr>
                  <w:t xml:space="preserve">377,513,443.67 </w:t>
                </w:r>
              </w:p>
            </w:tc>
            <w:tc>
              <w:tcPr>
                <w:tcW w:w="2206" w:type="dxa"/>
                <w:vAlign w:val="bottom"/>
              </w:tcPr>
              <w:p w14:paraId="42953086">
                <w:pPr>
                  <w:widowControl w:val="0"/>
                  <w:jc w:val="right"/>
                  <w:rPr>
                    <w:rFonts w:hint="eastAsia"/>
                    <w:szCs w:val="21"/>
                  </w:rPr>
                </w:pPr>
                <w:r>
                  <w:rPr>
                    <w:rFonts w:ascii="Arial Narrow" w:hAnsi="Arial Narrow" w:eastAsia="等线"/>
                    <w:color w:val="000000"/>
                    <w:szCs w:val="21"/>
                  </w:rPr>
                  <w:t xml:space="preserve">-10.72 </w:t>
                </w:r>
              </w:p>
            </w:tc>
          </w:tr>
          <w:tr w14:paraId="59E3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16BE51D1">
                <w:pPr>
                  <w:widowControl w:val="0"/>
                  <w:jc w:val="center"/>
                  <w:rPr>
                    <w:rFonts w:hint="eastAsia"/>
                    <w:szCs w:val="21"/>
                  </w:rPr>
                </w:pPr>
                <w:r>
                  <w:rPr>
                    <w:rFonts w:hint="eastAsia"/>
                    <w:color w:val="000000"/>
                    <w:szCs w:val="21"/>
                  </w:rPr>
                  <w:t>财务费用</w:t>
                </w:r>
              </w:p>
            </w:tc>
            <w:tc>
              <w:tcPr>
                <w:tcW w:w="2206" w:type="dxa"/>
                <w:vAlign w:val="bottom"/>
              </w:tcPr>
              <w:p w14:paraId="1E557B65">
                <w:pPr>
                  <w:widowControl w:val="0"/>
                  <w:jc w:val="right"/>
                  <w:rPr>
                    <w:rFonts w:hint="eastAsia"/>
                    <w:szCs w:val="21"/>
                  </w:rPr>
                </w:pPr>
                <w:r>
                  <w:rPr>
                    <w:rFonts w:ascii="Arial Narrow" w:hAnsi="Arial Narrow" w:eastAsia="等线"/>
                    <w:color w:val="000000"/>
                    <w:szCs w:val="21"/>
                  </w:rPr>
                  <w:t xml:space="preserve">-28,613,120.86 </w:t>
                </w:r>
              </w:p>
            </w:tc>
            <w:tc>
              <w:tcPr>
                <w:tcW w:w="2206" w:type="dxa"/>
                <w:vAlign w:val="bottom"/>
              </w:tcPr>
              <w:p w14:paraId="506B9B92">
                <w:pPr>
                  <w:widowControl w:val="0"/>
                  <w:jc w:val="right"/>
                  <w:rPr>
                    <w:rFonts w:hint="eastAsia"/>
                    <w:szCs w:val="21"/>
                  </w:rPr>
                </w:pPr>
                <w:r>
                  <w:rPr>
                    <w:rFonts w:ascii="Arial Narrow" w:hAnsi="Arial Narrow" w:eastAsia="等线"/>
                    <w:color w:val="000000"/>
                    <w:szCs w:val="21"/>
                  </w:rPr>
                  <w:t xml:space="preserve">-41,288,393.21 </w:t>
                </w:r>
              </w:p>
            </w:tc>
            <w:tc>
              <w:tcPr>
                <w:tcW w:w="2206" w:type="dxa"/>
                <w:vAlign w:val="bottom"/>
              </w:tcPr>
              <w:p w14:paraId="4B3C0DA0">
                <w:pPr>
                  <w:widowControl w:val="0"/>
                  <w:jc w:val="right"/>
                  <w:rPr>
                    <w:rFonts w:hint="eastAsia"/>
                    <w:szCs w:val="21"/>
                  </w:rPr>
                </w:pPr>
                <w:r>
                  <w:rPr>
                    <w:rFonts w:hint="eastAsia"/>
                    <w:color w:val="000000"/>
                    <w:szCs w:val="21"/>
                  </w:rPr>
                  <w:t>不适用</w:t>
                </w:r>
              </w:p>
            </w:tc>
          </w:tr>
          <w:tr w14:paraId="44A9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14:paraId="08E31A12">
                <w:pPr>
                  <w:widowControl w:val="0"/>
                  <w:jc w:val="center"/>
                  <w:rPr>
                    <w:rFonts w:hint="eastAsia"/>
                    <w:szCs w:val="21"/>
                  </w:rPr>
                </w:pPr>
                <w:r>
                  <w:rPr>
                    <w:rFonts w:hint="eastAsia"/>
                    <w:color w:val="000000"/>
                    <w:szCs w:val="21"/>
                  </w:rPr>
                  <w:t>合计</w:t>
                </w:r>
              </w:p>
            </w:tc>
            <w:tc>
              <w:tcPr>
                <w:tcW w:w="2206" w:type="dxa"/>
                <w:vAlign w:val="bottom"/>
              </w:tcPr>
              <w:p w14:paraId="0B6BDF23">
                <w:pPr>
                  <w:widowControl w:val="0"/>
                  <w:jc w:val="right"/>
                  <w:rPr>
                    <w:rFonts w:hint="eastAsia"/>
                    <w:szCs w:val="21"/>
                  </w:rPr>
                </w:pPr>
                <w:r>
                  <w:rPr>
                    <w:rFonts w:ascii="Arial Narrow" w:hAnsi="Arial Narrow" w:eastAsia="等线"/>
                    <w:color w:val="000000"/>
                    <w:szCs w:val="21"/>
                  </w:rPr>
                  <w:t xml:space="preserve">1,742,401,677.96 </w:t>
                </w:r>
              </w:p>
            </w:tc>
            <w:tc>
              <w:tcPr>
                <w:tcW w:w="2206" w:type="dxa"/>
                <w:vAlign w:val="bottom"/>
              </w:tcPr>
              <w:p w14:paraId="445BF6D7">
                <w:pPr>
                  <w:widowControl w:val="0"/>
                  <w:jc w:val="right"/>
                  <w:rPr>
                    <w:rFonts w:hint="eastAsia"/>
                    <w:szCs w:val="21"/>
                  </w:rPr>
                </w:pPr>
                <w:r>
                  <w:rPr>
                    <w:rFonts w:ascii="Arial Narrow" w:hAnsi="Arial Narrow" w:eastAsia="等线"/>
                    <w:color w:val="000000"/>
                    <w:szCs w:val="21"/>
                  </w:rPr>
                  <w:t xml:space="preserve">1,386,196,172.94 </w:t>
                </w:r>
              </w:p>
            </w:tc>
            <w:tc>
              <w:tcPr>
                <w:tcW w:w="2206" w:type="dxa"/>
                <w:vAlign w:val="bottom"/>
              </w:tcPr>
              <w:p w14:paraId="171967A1">
                <w:pPr>
                  <w:widowControl w:val="0"/>
                  <w:jc w:val="right"/>
                  <w:rPr>
                    <w:rFonts w:hint="eastAsia"/>
                    <w:szCs w:val="21"/>
                  </w:rPr>
                </w:pPr>
                <w:r>
                  <w:rPr>
                    <w:rFonts w:ascii="Arial Narrow" w:hAnsi="Arial Narrow" w:eastAsia="等线"/>
                    <w:color w:val="000000"/>
                    <w:szCs w:val="21"/>
                  </w:rPr>
                  <w:t xml:space="preserve">25.70 </w:t>
                </w:r>
              </w:p>
            </w:tc>
          </w:tr>
        </w:tbl>
        <w:p w14:paraId="7FEA25B7">
          <w:pPr>
            <w:rPr>
              <w:rFonts w:hint="eastAsia"/>
              <w:szCs w:val="21"/>
            </w:rPr>
          </w:pPr>
        </w:p>
      </w:sdtContent>
    </w:sdt>
    <w:p w14:paraId="54B5C8A1">
      <w:pPr>
        <w:pStyle w:val="5"/>
        <w:numPr>
          <w:ilvl w:val="0"/>
          <w:numId w:val="9"/>
        </w:numPr>
        <w:rPr>
          <w:rFonts w:hint="eastAsia"/>
        </w:rPr>
      </w:pPr>
      <w:r>
        <w:rPr>
          <w:rFonts w:hint="eastAsia"/>
        </w:rPr>
        <w:t>研发投入</w:t>
      </w:r>
    </w:p>
    <w:p w14:paraId="5CDE98BC">
      <w:pPr>
        <w:pStyle w:val="44"/>
        <w:numPr>
          <w:ilvl w:val="0"/>
          <w:numId w:val="11"/>
        </w:numPr>
        <w:spacing w:before="60" w:after="60"/>
        <w:ind w:firstLineChars="0"/>
        <w:rPr>
          <w:szCs w:val="21"/>
        </w:rPr>
      </w:pPr>
      <w:r>
        <w:rPr>
          <w:szCs w:val="21"/>
        </w:rPr>
        <w:t>研发</w:t>
      </w:r>
      <w:r>
        <w:rPr>
          <w:rFonts w:hint="eastAsia"/>
          <w:szCs w:val="21"/>
        </w:rPr>
        <w:t>投入</w:t>
      </w:r>
      <w:r>
        <w:rPr>
          <w:szCs w:val="21"/>
        </w:rPr>
        <w:t>情况表</w:t>
      </w:r>
    </w:p>
    <w:sdt>
      <w:sdtPr>
        <w:rPr>
          <w:rFonts w:hint="eastAsia"/>
          <w:szCs w:val="21"/>
        </w:rPr>
        <w:alias w:val="是否适用：研发投入情况表[双击切换]"/>
        <w:tag w:val="_GBC_b745f9cad6de412690fcb0f363f3eadb"/>
        <w:id w:val="-1458408718"/>
        <w:placeholder>
          <w:docPart w:val="GBC22222222222222222222222222222"/>
        </w:placeholder>
      </w:sdtPr>
      <w:sdtEndPr>
        <w:rPr>
          <w:rFonts w:hint="eastAsia"/>
          <w:szCs w:val="21"/>
        </w:rPr>
      </w:sdtEndPr>
      <w:sdtContent>
        <w:p w14:paraId="629652B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BF112D3">
      <w:pPr>
        <w:jc w:val="right"/>
        <w:rPr>
          <w:rFonts w:hint="eastAsia"/>
          <w:szCs w:val="21"/>
        </w:rPr>
      </w:pPr>
      <w:r>
        <w:rPr>
          <w:rFonts w:hint="eastAsia"/>
          <w:szCs w:val="21"/>
        </w:rPr>
        <w:t>单位：</w:t>
      </w:r>
      <w:sdt>
        <w:sdtPr>
          <w:rPr>
            <w:rFonts w:hint="eastAsia"/>
            <w:szCs w:val="21"/>
          </w:rPr>
          <w:alias w:val="单位：研发投入"/>
          <w:tag w:val="_GBC_74cd81424a3c41dd9b3b9f335eae8c21"/>
          <w:id w:val="-1263217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5"/>
        <w:gridCol w:w="5254"/>
      </w:tblGrid>
      <w:tr w14:paraId="4CA4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sdt>
          <w:sdtPr>
            <w:tag w:val="_PLD_34e4faf6ae244cfbac1fd41757cfe96b"/>
            <w:id w:val="-861125221"/>
          </w:sdtPr>
          <w:sdtContent>
            <w:tc>
              <w:tcPr>
                <w:tcW w:w="2097" w:type="pct"/>
              </w:tcPr>
              <w:p w14:paraId="2A6BED4A">
                <w:pPr>
                  <w:widowControl w:val="0"/>
                  <w:jc w:val="both"/>
                  <w:rPr>
                    <w:rFonts w:hint="eastAsia"/>
                    <w:szCs w:val="21"/>
                  </w:rPr>
                </w:pPr>
                <w:r>
                  <w:rPr>
                    <w:szCs w:val="21"/>
                  </w:rPr>
                  <w:t>本期费用化研发</w:t>
                </w:r>
                <w:r>
                  <w:rPr>
                    <w:rFonts w:hint="eastAsia"/>
                    <w:szCs w:val="21"/>
                  </w:rPr>
                  <w:t>投入</w:t>
                </w:r>
              </w:p>
            </w:tc>
          </w:sdtContent>
        </w:sdt>
        <w:tc>
          <w:tcPr>
            <w:tcW w:w="2903" w:type="pct"/>
            <w:vAlign w:val="bottom"/>
          </w:tcPr>
          <w:p w14:paraId="097AF20C">
            <w:pPr>
              <w:widowControl w:val="0"/>
              <w:jc w:val="right"/>
              <w:rPr>
                <w:rFonts w:ascii="Arial Narrow" w:hAnsi="Arial Narrow"/>
                <w:szCs w:val="21"/>
              </w:rPr>
            </w:pPr>
            <w:r>
              <w:rPr>
                <w:rFonts w:ascii="Arial Narrow" w:hAnsi="Arial Narrow" w:eastAsia="等线"/>
                <w:color w:val="000000"/>
                <w:szCs w:val="21"/>
              </w:rPr>
              <w:t xml:space="preserve">337,042,737.59 </w:t>
            </w:r>
          </w:p>
        </w:tc>
      </w:tr>
      <w:tr w14:paraId="1BC6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097" w:type="pct"/>
          </w:tcPr>
          <w:p w14:paraId="5CB90EAD">
            <w:pPr>
              <w:widowControl w:val="0"/>
              <w:jc w:val="both"/>
              <w:rPr>
                <w:rFonts w:hint="eastAsia"/>
                <w:szCs w:val="21"/>
              </w:rPr>
            </w:pPr>
            <w:r>
              <w:rPr>
                <w:szCs w:val="21"/>
              </w:rPr>
              <w:t>本期资本化研发</w:t>
            </w:r>
            <w:r>
              <w:rPr>
                <w:rFonts w:hint="eastAsia"/>
                <w:szCs w:val="21"/>
              </w:rPr>
              <w:t>投入</w:t>
            </w:r>
          </w:p>
        </w:tc>
        <w:tc>
          <w:tcPr>
            <w:tcW w:w="2903" w:type="pct"/>
            <w:vAlign w:val="bottom"/>
          </w:tcPr>
          <w:p w14:paraId="4274F424">
            <w:pPr>
              <w:widowControl w:val="0"/>
              <w:jc w:val="right"/>
              <w:rPr>
                <w:rFonts w:ascii="Arial Narrow" w:hAnsi="Arial Narrow"/>
                <w:szCs w:val="21"/>
              </w:rPr>
            </w:pPr>
            <w:r>
              <w:rPr>
                <w:rFonts w:ascii="Arial Narrow" w:hAnsi="Arial Narrow"/>
                <w:szCs w:val="21"/>
              </w:rPr>
              <w:t>0</w:t>
            </w:r>
          </w:p>
        </w:tc>
      </w:tr>
      <w:tr w14:paraId="6F2E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2097" w:type="pct"/>
          </w:tcPr>
          <w:p w14:paraId="35EB3AD7">
            <w:pPr>
              <w:widowControl w:val="0"/>
              <w:jc w:val="both"/>
              <w:rPr>
                <w:rFonts w:hint="eastAsia"/>
                <w:szCs w:val="21"/>
              </w:rPr>
            </w:pPr>
            <w:r>
              <w:rPr>
                <w:szCs w:val="21"/>
              </w:rPr>
              <w:t>研发</w:t>
            </w:r>
            <w:r>
              <w:rPr>
                <w:rFonts w:hint="eastAsia"/>
                <w:szCs w:val="21"/>
              </w:rPr>
              <w:t>投入</w:t>
            </w:r>
            <w:r>
              <w:rPr>
                <w:szCs w:val="21"/>
              </w:rPr>
              <w:t>合计</w:t>
            </w:r>
          </w:p>
        </w:tc>
        <w:tc>
          <w:tcPr>
            <w:tcW w:w="2903" w:type="pct"/>
            <w:vAlign w:val="bottom"/>
          </w:tcPr>
          <w:p w14:paraId="1C3D1A82">
            <w:pPr>
              <w:widowControl w:val="0"/>
              <w:jc w:val="right"/>
              <w:rPr>
                <w:rFonts w:ascii="Arial Narrow" w:hAnsi="Arial Narrow"/>
                <w:szCs w:val="21"/>
              </w:rPr>
            </w:pPr>
            <w:r>
              <w:rPr>
                <w:rFonts w:ascii="Arial Narrow" w:hAnsi="Arial Narrow" w:eastAsia="等线"/>
                <w:color w:val="000000"/>
                <w:szCs w:val="21"/>
              </w:rPr>
              <w:t xml:space="preserve">337,042,737.59 </w:t>
            </w:r>
          </w:p>
        </w:tc>
      </w:tr>
      <w:tr w14:paraId="2BCD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097" w:type="pct"/>
          </w:tcPr>
          <w:p w14:paraId="6A4551A8">
            <w:pPr>
              <w:widowControl w:val="0"/>
              <w:jc w:val="both"/>
              <w:rPr>
                <w:rFonts w:hint="eastAsia"/>
                <w:szCs w:val="21"/>
              </w:rPr>
            </w:pPr>
            <w:r>
              <w:rPr>
                <w:szCs w:val="21"/>
              </w:rPr>
              <w:t>研发</w:t>
            </w:r>
            <w:r>
              <w:rPr>
                <w:rFonts w:hint="eastAsia"/>
                <w:szCs w:val="21"/>
              </w:rPr>
              <w:t>投入</w:t>
            </w:r>
            <w:r>
              <w:rPr>
                <w:szCs w:val="21"/>
              </w:rPr>
              <w:t>总额占营业收入比例（%）</w:t>
            </w:r>
          </w:p>
        </w:tc>
        <w:tc>
          <w:tcPr>
            <w:tcW w:w="2903" w:type="pct"/>
            <w:vAlign w:val="bottom"/>
          </w:tcPr>
          <w:p w14:paraId="005A85DB">
            <w:pPr>
              <w:widowControl w:val="0"/>
              <w:jc w:val="right"/>
              <w:rPr>
                <w:rFonts w:ascii="Arial Narrow" w:hAnsi="Arial Narrow"/>
                <w:szCs w:val="21"/>
              </w:rPr>
            </w:pPr>
            <w:r>
              <w:rPr>
                <w:rFonts w:ascii="Arial Narrow" w:hAnsi="Arial Narrow" w:eastAsia="等线"/>
                <w:color w:val="000000"/>
                <w:szCs w:val="21"/>
              </w:rPr>
              <w:t xml:space="preserve">3.41 </w:t>
            </w:r>
          </w:p>
        </w:tc>
      </w:tr>
      <w:tr w14:paraId="5B1D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097" w:type="pct"/>
          </w:tcPr>
          <w:p w14:paraId="14C96FBA">
            <w:pPr>
              <w:widowControl w:val="0"/>
              <w:jc w:val="both"/>
              <w:rPr>
                <w:rFonts w:hint="eastAsia"/>
                <w:szCs w:val="21"/>
              </w:rPr>
            </w:pPr>
            <w:r>
              <w:rPr>
                <w:rFonts w:hint="eastAsia"/>
                <w:szCs w:val="21"/>
              </w:rPr>
              <w:t>研发投入资本化的比重</w:t>
            </w:r>
            <w:r>
              <w:rPr>
                <w:szCs w:val="21"/>
              </w:rPr>
              <w:t>（%）</w:t>
            </w:r>
          </w:p>
        </w:tc>
        <w:tc>
          <w:tcPr>
            <w:tcW w:w="2903" w:type="pct"/>
            <w:vAlign w:val="bottom"/>
          </w:tcPr>
          <w:p w14:paraId="0ECFF602">
            <w:pPr>
              <w:widowControl w:val="0"/>
              <w:jc w:val="right"/>
              <w:rPr>
                <w:rFonts w:ascii="Arial Narrow" w:hAnsi="Arial Narrow"/>
                <w:bCs/>
                <w:szCs w:val="21"/>
              </w:rPr>
            </w:pPr>
            <w:r>
              <w:rPr>
                <w:rFonts w:ascii="Arial Narrow" w:hAnsi="Arial Narrow"/>
                <w:bCs/>
                <w:szCs w:val="21"/>
              </w:rPr>
              <w:t>0</w:t>
            </w:r>
          </w:p>
        </w:tc>
      </w:tr>
    </w:tbl>
    <w:p w14:paraId="13712303">
      <w:pPr>
        <w:rPr>
          <w:rFonts w:hint="eastAsia"/>
        </w:rPr>
      </w:pPr>
    </w:p>
    <w:p w14:paraId="7658D505">
      <w:pPr>
        <w:pStyle w:val="44"/>
        <w:numPr>
          <w:ilvl w:val="0"/>
          <w:numId w:val="11"/>
        </w:numPr>
        <w:spacing w:before="60" w:after="60"/>
        <w:ind w:firstLineChars="0"/>
        <w:rPr>
          <w:szCs w:val="21"/>
        </w:rPr>
      </w:pPr>
      <w:bookmarkStart w:id="45" w:name="_Hlk89876622"/>
      <w:r>
        <w:rPr>
          <w:szCs w:val="21"/>
        </w:rPr>
        <w:t>研发人员情况表</w:t>
      </w:r>
    </w:p>
    <w:sdt>
      <w:sdtPr>
        <w:rPr>
          <w:rFonts w:hint="eastAsia"/>
        </w:rPr>
        <w:alias w:val="是否适用：研发人员情况[双击切换]"/>
        <w:tag w:val="_GBC_ef3f376f125b4e219be789ed3078c140"/>
        <w:id w:val="-1907526464"/>
        <w:placeholder>
          <w:docPart w:val="GBC22222222222222222222222222222"/>
        </w:placeholder>
      </w:sdtPr>
      <w:sdtEndPr>
        <w:rPr>
          <w:rFonts w:hint="eastAsia"/>
        </w:rPr>
      </w:sdtEndPr>
      <w:sdtContent>
        <w:p w14:paraId="48F12417">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6602692F">
      <w:pPr>
        <w:rPr>
          <w:rFonts w:hint="eastAsia"/>
        </w:rPr>
      </w:pPr>
    </w:p>
    <w:tbl>
      <w:tblPr>
        <w:tblStyle w:val="37"/>
        <w:tblW w:w="5000" w:type="pct"/>
        <w:jc w:val="center"/>
        <w:tblLayout w:type="autofit"/>
        <w:tblCellMar>
          <w:top w:w="0" w:type="dxa"/>
          <w:left w:w="108" w:type="dxa"/>
          <w:bottom w:w="0" w:type="dxa"/>
          <w:right w:w="108" w:type="dxa"/>
        </w:tblCellMar>
      </w:tblPr>
      <w:tblGrid>
        <w:gridCol w:w="5744"/>
        <w:gridCol w:w="3305"/>
      </w:tblGrid>
      <w:tr w14:paraId="5C5BC4E8">
        <w:tblPrEx>
          <w:tblCellMar>
            <w:top w:w="0" w:type="dxa"/>
            <w:left w:w="108" w:type="dxa"/>
            <w:bottom w:w="0" w:type="dxa"/>
            <w:right w:w="108" w:type="dxa"/>
          </w:tblCellMar>
        </w:tblPrEx>
        <w:trPr>
          <w:trHeight w:val="270" w:hRule="atLeast"/>
          <w:jc w:val="center"/>
        </w:trPr>
        <w:sdt>
          <w:sdtPr>
            <w:tag w:val="_PLD_13cec8f1a3504661b1b570efe7519fa3"/>
            <w:id w:val="895471873"/>
          </w:sdtPr>
          <w:sdtContent>
            <w:tc>
              <w:tcPr>
                <w:tcW w:w="3174" w:type="pct"/>
                <w:tcBorders>
                  <w:top w:val="single" w:color="auto" w:sz="4" w:space="0"/>
                  <w:left w:val="single" w:color="auto" w:sz="4" w:space="0"/>
                  <w:bottom w:val="single" w:color="auto" w:sz="4" w:space="0"/>
                  <w:right w:val="single" w:color="auto" w:sz="4" w:space="0"/>
                </w:tcBorders>
                <w:shd w:val="clear" w:color="auto" w:fill="auto"/>
                <w:vAlign w:val="center"/>
              </w:tcPr>
              <w:p w14:paraId="058A2052">
                <w:pPr>
                  <w:rPr>
                    <w:rFonts w:hint="eastAsia"/>
                    <w:szCs w:val="21"/>
                  </w:rPr>
                </w:pPr>
                <w:r>
                  <w:rPr>
                    <w:rFonts w:hint="eastAsia"/>
                    <w:szCs w:val="21"/>
                  </w:rPr>
                  <w:t>公司研发人员的数量</w:t>
                </w:r>
              </w:p>
            </w:tc>
          </w:sdtContent>
        </w:sdt>
        <w:sdt>
          <w:sdtPr>
            <w:rPr>
              <w:rFonts w:ascii="Arial Narrow" w:hAnsi="Arial Narrow"/>
            </w:rPr>
            <w:alias w:val="公司研发人员的数量"/>
            <w:tag w:val="_GBC_a84a5cadb95b4b7595981b8f24d727c8"/>
            <w:id w:val="2130424662"/>
          </w:sdtPr>
          <w:sdtEndPr>
            <w:rPr>
              <w:rFonts w:ascii="Arial Narrow" w:hAnsi="Arial Narrow"/>
            </w:rPr>
          </w:sdtEndPr>
          <w:sdtContent>
            <w:tc>
              <w:tcPr>
                <w:tcW w:w="1826" w:type="pct"/>
                <w:tcBorders>
                  <w:top w:val="single" w:color="auto" w:sz="4" w:space="0"/>
                  <w:left w:val="nil"/>
                  <w:bottom w:val="single" w:color="auto" w:sz="4" w:space="0"/>
                  <w:right w:val="single" w:color="auto" w:sz="4" w:space="0"/>
                </w:tcBorders>
                <w:shd w:val="clear" w:color="auto" w:fill="auto"/>
                <w:vAlign w:val="center"/>
              </w:tcPr>
              <w:p w14:paraId="1F06A103">
                <w:pPr>
                  <w:jc w:val="right"/>
                  <w:rPr>
                    <w:rFonts w:ascii="Arial Narrow" w:hAnsi="Arial Narrow"/>
                  </w:rPr>
                </w:pPr>
                <w:r>
                  <w:rPr>
                    <w:rFonts w:ascii="Arial Narrow" w:hAnsi="Arial Narrow"/>
                  </w:rPr>
                  <w:t>652</w:t>
                </w:r>
              </w:p>
            </w:tc>
          </w:sdtContent>
        </w:sdt>
      </w:tr>
      <w:tr w14:paraId="13EB1FAB">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479DE9CC">
            <w:pPr>
              <w:rPr>
                <w:rFonts w:hint="eastAsia"/>
                <w:szCs w:val="21"/>
              </w:rPr>
            </w:pPr>
            <w:r>
              <w:rPr>
                <w:rFonts w:hint="eastAsia"/>
                <w:szCs w:val="21"/>
              </w:rPr>
              <w:t>研发人员数量占公司总人数的比例（%）</w:t>
            </w:r>
          </w:p>
        </w:tc>
        <w:tc>
          <w:tcPr>
            <w:tcW w:w="1826" w:type="pct"/>
            <w:tcBorders>
              <w:top w:val="nil"/>
              <w:left w:val="nil"/>
              <w:bottom w:val="single" w:color="auto" w:sz="4" w:space="0"/>
              <w:right w:val="single" w:color="auto" w:sz="4" w:space="0"/>
            </w:tcBorders>
            <w:shd w:val="clear" w:color="auto" w:fill="auto"/>
            <w:vAlign w:val="center"/>
          </w:tcPr>
          <w:p w14:paraId="101F1812">
            <w:pPr>
              <w:jc w:val="right"/>
              <w:rPr>
                <w:rFonts w:ascii="Arial Narrow" w:hAnsi="Arial Narrow"/>
              </w:rPr>
            </w:pPr>
            <w:r>
              <w:rPr>
                <w:rFonts w:ascii="Arial Narrow" w:hAnsi="Arial Narrow"/>
              </w:rPr>
              <w:t>4.71</w:t>
            </w:r>
          </w:p>
        </w:tc>
      </w:tr>
      <w:tr w14:paraId="01A12B9D">
        <w:tblPrEx>
          <w:tblCellMar>
            <w:top w:w="0" w:type="dxa"/>
            <w:left w:w="108" w:type="dxa"/>
            <w:bottom w:w="0" w:type="dxa"/>
            <w:right w:w="108" w:type="dxa"/>
          </w:tblCellMar>
        </w:tblPrEx>
        <w:trPr>
          <w:trHeight w:val="270" w:hRule="atLeast"/>
          <w:jc w:val="center"/>
        </w:trPr>
        <w:sdt>
          <w:sdtPr>
            <w:rPr>
              <w:rFonts w:ascii="Arial Narrow" w:hAnsi="Arial Narrow"/>
            </w:rPr>
            <w:tag w:val="_PLD_b048dc379aae455a86f744476f1bb4a1"/>
            <w:id w:val="1455060197"/>
          </w:sdtPr>
          <w:sdtEndPr>
            <w:rPr>
              <w:rFonts w:ascii="Arial Narrow" w:hAnsi="Arial Narrow"/>
            </w:rPr>
          </w:sdtEndPr>
          <w:sdtContent>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2A8E48">
                <w:pPr>
                  <w:jc w:val="center"/>
                  <w:rPr>
                    <w:rFonts w:ascii="Arial Narrow" w:hAnsi="Arial Narrow"/>
                    <w:szCs w:val="21"/>
                  </w:rPr>
                </w:pPr>
                <w:r>
                  <w:rPr>
                    <w:rFonts w:ascii="Arial Narrow" w:hAnsi="Arial Narrow"/>
                    <w:szCs w:val="21"/>
                  </w:rPr>
                  <w:t>研发人员学历结构</w:t>
                </w:r>
              </w:p>
            </w:tc>
          </w:sdtContent>
        </w:sdt>
      </w:tr>
      <w:tr w14:paraId="1B937A27">
        <w:tblPrEx>
          <w:tblCellMar>
            <w:top w:w="0" w:type="dxa"/>
            <w:left w:w="108" w:type="dxa"/>
            <w:bottom w:w="0" w:type="dxa"/>
            <w:right w:w="108" w:type="dxa"/>
          </w:tblCellMar>
        </w:tblPrEx>
        <w:trPr>
          <w:trHeight w:val="270" w:hRule="atLeast"/>
          <w:jc w:val="center"/>
        </w:trPr>
        <w:sdt>
          <w:sdtPr>
            <w:tag w:val="_PLD_f770501e43654648a563d2a86970204f"/>
            <w:id w:val="-504667842"/>
          </w:sdtPr>
          <w:sdtContent>
            <w:tc>
              <w:tcPr>
                <w:tcW w:w="3174" w:type="pct"/>
                <w:tcBorders>
                  <w:top w:val="nil"/>
                  <w:left w:val="single" w:color="auto" w:sz="4" w:space="0"/>
                  <w:bottom w:val="single" w:color="auto" w:sz="4" w:space="0"/>
                  <w:right w:val="single" w:color="auto" w:sz="4" w:space="0"/>
                </w:tcBorders>
                <w:shd w:val="clear" w:color="auto" w:fill="auto"/>
                <w:vAlign w:val="center"/>
              </w:tcPr>
              <w:p w14:paraId="1F12D624">
                <w:pPr>
                  <w:rPr>
                    <w:rFonts w:hint="eastAsia"/>
                    <w:szCs w:val="21"/>
                  </w:rPr>
                </w:pPr>
                <w:r>
                  <w:rPr>
                    <w:rFonts w:hint="eastAsia"/>
                    <w:szCs w:val="21"/>
                  </w:rPr>
                  <w:t>学历结构类别</w:t>
                </w:r>
              </w:p>
            </w:tc>
          </w:sdtContent>
        </w:sdt>
        <w:tc>
          <w:tcPr>
            <w:tcW w:w="1826" w:type="pct"/>
            <w:tcBorders>
              <w:top w:val="nil"/>
              <w:left w:val="nil"/>
              <w:bottom w:val="single" w:color="auto" w:sz="4" w:space="0"/>
              <w:right w:val="single" w:color="auto" w:sz="4" w:space="0"/>
            </w:tcBorders>
            <w:shd w:val="clear" w:color="auto" w:fill="auto"/>
            <w:noWrap/>
            <w:vAlign w:val="center"/>
          </w:tcPr>
          <w:p w14:paraId="30ADEE15">
            <w:pPr>
              <w:jc w:val="center"/>
              <w:rPr>
                <w:rFonts w:ascii="Arial Narrow" w:hAnsi="Arial Narrow"/>
                <w:szCs w:val="21"/>
              </w:rPr>
            </w:pPr>
            <w:r>
              <w:rPr>
                <w:rFonts w:ascii="Arial Narrow" w:hAnsi="Arial Narrow"/>
                <w:szCs w:val="21"/>
              </w:rPr>
              <w:t>学历结构人数</w:t>
            </w:r>
          </w:p>
        </w:tc>
      </w:tr>
      <w:tr w14:paraId="13DDDB9F">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03C1F630">
            <w:pPr>
              <w:rPr>
                <w:rFonts w:hint="eastAsia"/>
                <w:szCs w:val="21"/>
              </w:rPr>
            </w:pPr>
            <w:r>
              <w:rPr>
                <w:rFonts w:hint="eastAsia"/>
                <w:szCs w:val="21"/>
              </w:rPr>
              <w:t>博士研究生</w:t>
            </w:r>
          </w:p>
        </w:tc>
        <w:tc>
          <w:tcPr>
            <w:tcW w:w="1826" w:type="pct"/>
            <w:tcBorders>
              <w:top w:val="nil"/>
              <w:left w:val="nil"/>
              <w:bottom w:val="single" w:color="auto" w:sz="4" w:space="0"/>
              <w:right w:val="single" w:color="auto" w:sz="4" w:space="0"/>
            </w:tcBorders>
            <w:shd w:val="clear" w:color="auto" w:fill="auto"/>
            <w:noWrap/>
            <w:vAlign w:val="center"/>
          </w:tcPr>
          <w:p w14:paraId="430E3A42">
            <w:pPr>
              <w:jc w:val="right"/>
              <w:rPr>
                <w:rFonts w:ascii="Arial Narrow" w:hAnsi="Arial Narrow"/>
              </w:rPr>
            </w:pPr>
            <w:r>
              <w:rPr>
                <w:rFonts w:ascii="Arial Narrow" w:hAnsi="Arial Narrow"/>
              </w:rPr>
              <w:t>4</w:t>
            </w:r>
          </w:p>
        </w:tc>
      </w:tr>
      <w:tr w14:paraId="17B71F91">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413F1244">
            <w:pPr>
              <w:rPr>
                <w:rFonts w:hint="eastAsia"/>
                <w:szCs w:val="21"/>
              </w:rPr>
            </w:pPr>
            <w:r>
              <w:rPr>
                <w:rFonts w:hint="eastAsia"/>
                <w:szCs w:val="21"/>
              </w:rPr>
              <w:t>硕士研究生</w:t>
            </w:r>
          </w:p>
        </w:tc>
        <w:tc>
          <w:tcPr>
            <w:tcW w:w="1826" w:type="pct"/>
            <w:tcBorders>
              <w:top w:val="nil"/>
              <w:left w:val="nil"/>
              <w:bottom w:val="single" w:color="auto" w:sz="4" w:space="0"/>
              <w:right w:val="single" w:color="auto" w:sz="4" w:space="0"/>
            </w:tcBorders>
            <w:shd w:val="clear" w:color="auto" w:fill="auto"/>
            <w:noWrap/>
            <w:vAlign w:val="center"/>
          </w:tcPr>
          <w:p w14:paraId="2BAC9AB0">
            <w:pPr>
              <w:jc w:val="right"/>
              <w:rPr>
                <w:rFonts w:ascii="Arial Narrow" w:hAnsi="Arial Narrow"/>
              </w:rPr>
            </w:pPr>
            <w:r>
              <w:rPr>
                <w:rFonts w:ascii="Arial Narrow" w:hAnsi="Arial Narrow"/>
              </w:rPr>
              <w:t>47</w:t>
            </w:r>
          </w:p>
        </w:tc>
      </w:tr>
      <w:tr w14:paraId="36627D70">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6742B80B">
            <w:pPr>
              <w:rPr>
                <w:rFonts w:hint="eastAsia"/>
                <w:szCs w:val="21"/>
              </w:rPr>
            </w:pPr>
            <w:r>
              <w:rPr>
                <w:rFonts w:hint="eastAsia"/>
                <w:szCs w:val="21"/>
              </w:rPr>
              <w:t>本科</w:t>
            </w:r>
          </w:p>
        </w:tc>
        <w:tc>
          <w:tcPr>
            <w:tcW w:w="1826" w:type="pct"/>
            <w:tcBorders>
              <w:top w:val="nil"/>
              <w:left w:val="nil"/>
              <w:bottom w:val="single" w:color="auto" w:sz="4" w:space="0"/>
              <w:right w:val="single" w:color="auto" w:sz="4" w:space="0"/>
            </w:tcBorders>
            <w:shd w:val="clear" w:color="auto" w:fill="auto"/>
            <w:noWrap/>
            <w:vAlign w:val="center"/>
          </w:tcPr>
          <w:p w14:paraId="059B6AF2">
            <w:pPr>
              <w:jc w:val="right"/>
              <w:rPr>
                <w:rFonts w:ascii="Arial Narrow" w:hAnsi="Arial Narrow"/>
              </w:rPr>
            </w:pPr>
            <w:r>
              <w:rPr>
                <w:rFonts w:ascii="Arial Narrow" w:hAnsi="Arial Narrow"/>
              </w:rPr>
              <w:t>270</w:t>
            </w:r>
          </w:p>
        </w:tc>
      </w:tr>
      <w:tr w14:paraId="4474A594">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7B72FC03">
            <w:pPr>
              <w:rPr>
                <w:rFonts w:hint="eastAsia"/>
                <w:szCs w:val="21"/>
              </w:rPr>
            </w:pPr>
            <w:r>
              <w:rPr>
                <w:rFonts w:hint="eastAsia"/>
                <w:szCs w:val="21"/>
              </w:rPr>
              <w:t>专科</w:t>
            </w:r>
          </w:p>
        </w:tc>
        <w:tc>
          <w:tcPr>
            <w:tcW w:w="1826" w:type="pct"/>
            <w:tcBorders>
              <w:top w:val="nil"/>
              <w:left w:val="nil"/>
              <w:bottom w:val="single" w:color="auto" w:sz="4" w:space="0"/>
              <w:right w:val="single" w:color="auto" w:sz="4" w:space="0"/>
            </w:tcBorders>
            <w:shd w:val="clear" w:color="auto" w:fill="auto"/>
            <w:noWrap/>
            <w:vAlign w:val="center"/>
          </w:tcPr>
          <w:p w14:paraId="053B067D">
            <w:pPr>
              <w:jc w:val="right"/>
              <w:rPr>
                <w:rFonts w:ascii="Arial Narrow" w:hAnsi="Arial Narrow"/>
              </w:rPr>
            </w:pPr>
            <w:r>
              <w:rPr>
                <w:rFonts w:ascii="Arial Narrow" w:hAnsi="Arial Narrow"/>
              </w:rPr>
              <w:t>178</w:t>
            </w:r>
          </w:p>
        </w:tc>
      </w:tr>
      <w:tr w14:paraId="38B2FB8E">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4A00F322">
            <w:pPr>
              <w:rPr>
                <w:rFonts w:hint="eastAsia"/>
                <w:szCs w:val="21"/>
              </w:rPr>
            </w:pPr>
            <w:r>
              <w:rPr>
                <w:rFonts w:hint="eastAsia"/>
                <w:szCs w:val="21"/>
              </w:rPr>
              <w:t>高中及以下</w:t>
            </w:r>
          </w:p>
        </w:tc>
        <w:tc>
          <w:tcPr>
            <w:tcW w:w="1826" w:type="pct"/>
            <w:tcBorders>
              <w:top w:val="nil"/>
              <w:left w:val="nil"/>
              <w:bottom w:val="single" w:color="auto" w:sz="4" w:space="0"/>
              <w:right w:val="single" w:color="auto" w:sz="4" w:space="0"/>
            </w:tcBorders>
            <w:shd w:val="clear" w:color="auto" w:fill="auto"/>
            <w:noWrap/>
            <w:vAlign w:val="center"/>
          </w:tcPr>
          <w:p w14:paraId="217C4D6C">
            <w:pPr>
              <w:jc w:val="right"/>
              <w:rPr>
                <w:rFonts w:ascii="Arial Narrow" w:hAnsi="Arial Narrow"/>
              </w:rPr>
            </w:pPr>
            <w:r>
              <w:rPr>
                <w:rFonts w:ascii="Arial Narrow" w:hAnsi="Arial Narrow"/>
              </w:rPr>
              <w:t>153</w:t>
            </w:r>
          </w:p>
        </w:tc>
      </w:tr>
      <w:tr w14:paraId="7428384D">
        <w:tblPrEx>
          <w:tblCellMar>
            <w:top w:w="0" w:type="dxa"/>
            <w:left w:w="108" w:type="dxa"/>
            <w:bottom w:w="0" w:type="dxa"/>
            <w:right w:w="108" w:type="dxa"/>
          </w:tblCellMar>
        </w:tblPrEx>
        <w:trPr>
          <w:trHeight w:val="270" w:hRule="atLeast"/>
          <w:jc w:val="center"/>
        </w:trPr>
        <w:sdt>
          <w:sdtPr>
            <w:rPr>
              <w:rFonts w:ascii="Arial Narrow" w:hAnsi="Arial Narrow"/>
            </w:rPr>
            <w:tag w:val="_PLD_10352dc928264c50aa8776e0ae8ec569"/>
            <w:id w:val="-506678782"/>
          </w:sdtPr>
          <w:sdtEndPr>
            <w:rPr>
              <w:rFonts w:ascii="Arial Narrow" w:hAnsi="Arial Narrow"/>
            </w:rPr>
          </w:sdtEndPr>
          <w:sdtContent>
            <w:tc>
              <w:tcPr>
                <w:tcW w:w="5000" w:type="pct"/>
                <w:gridSpan w:val="2"/>
                <w:tcBorders>
                  <w:top w:val="nil"/>
                  <w:left w:val="single" w:color="auto" w:sz="4" w:space="0"/>
                  <w:bottom w:val="single" w:color="auto" w:sz="4" w:space="0"/>
                  <w:right w:val="single" w:color="auto" w:sz="4" w:space="0"/>
                </w:tcBorders>
                <w:shd w:val="clear" w:color="auto" w:fill="auto"/>
                <w:vAlign w:val="center"/>
              </w:tcPr>
              <w:p w14:paraId="45694FD3">
                <w:pPr>
                  <w:jc w:val="center"/>
                  <w:rPr>
                    <w:rFonts w:ascii="Arial Narrow" w:hAnsi="Arial Narrow"/>
                    <w:szCs w:val="21"/>
                  </w:rPr>
                </w:pPr>
                <w:r>
                  <w:rPr>
                    <w:rFonts w:ascii="Arial Narrow" w:hAnsi="Arial Narrow"/>
                    <w:szCs w:val="21"/>
                  </w:rPr>
                  <w:t>研发人员年龄结构</w:t>
                </w:r>
              </w:p>
            </w:tc>
          </w:sdtContent>
        </w:sdt>
      </w:tr>
      <w:tr w14:paraId="71C6F79A">
        <w:tblPrEx>
          <w:tblCellMar>
            <w:top w:w="0" w:type="dxa"/>
            <w:left w:w="108" w:type="dxa"/>
            <w:bottom w:w="0" w:type="dxa"/>
            <w:right w:w="108" w:type="dxa"/>
          </w:tblCellMar>
        </w:tblPrEx>
        <w:trPr>
          <w:trHeight w:val="270" w:hRule="atLeast"/>
          <w:jc w:val="center"/>
        </w:trPr>
        <w:sdt>
          <w:sdtPr>
            <w:tag w:val="_PLD_b9dd411387bd4ae4b04fe660cc0aac1b"/>
            <w:id w:val="1713303668"/>
          </w:sdtPr>
          <w:sdtContent>
            <w:tc>
              <w:tcPr>
                <w:tcW w:w="3174" w:type="pct"/>
                <w:tcBorders>
                  <w:top w:val="nil"/>
                  <w:left w:val="single" w:color="auto" w:sz="4" w:space="0"/>
                  <w:bottom w:val="single" w:color="auto" w:sz="4" w:space="0"/>
                  <w:right w:val="single" w:color="auto" w:sz="4" w:space="0"/>
                </w:tcBorders>
                <w:shd w:val="clear" w:color="auto" w:fill="auto"/>
                <w:vAlign w:val="center"/>
              </w:tcPr>
              <w:p w14:paraId="4604DC55">
                <w:pPr>
                  <w:rPr>
                    <w:rFonts w:hint="eastAsia"/>
                    <w:szCs w:val="21"/>
                  </w:rPr>
                </w:pPr>
                <w:r>
                  <w:rPr>
                    <w:rFonts w:hint="eastAsia"/>
                    <w:szCs w:val="21"/>
                  </w:rPr>
                  <w:t>年龄结构类别</w:t>
                </w:r>
              </w:p>
            </w:tc>
          </w:sdtContent>
        </w:sdt>
        <w:tc>
          <w:tcPr>
            <w:tcW w:w="1826" w:type="pct"/>
            <w:tcBorders>
              <w:top w:val="nil"/>
              <w:left w:val="nil"/>
              <w:bottom w:val="single" w:color="auto" w:sz="4" w:space="0"/>
              <w:right w:val="single" w:color="auto" w:sz="4" w:space="0"/>
            </w:tcBorders>
            <w:shd w:val="clear" w:color="auto" w:fill="auto"/>
            <w:noWrap/>
            <w:vAlign w:val="center"/>
          </w:tcPr>
          <w:p w14:paraId="4385742F">
            <w:pPr>
              <w:jc w:val="center"/>
              <w:rPr>
                <w:rFonts w:ascii="Arial Narrow" w:hAnsi="Arial Narrow"/>
                <w:szCs w:val="21"/>
              </w:rPr>
            </w:pPr>
            <w:r>
              <w:rPr>
                <w:rFonts w:ascii="Arial Narrow" w:hAnsi="Arial Narrow"/>
                <w:szCs w:val="21"/>
              </w:rPr>
              <w:t>年龄结构人数</w:t>
            </w:r>
          </w:p>
        </w:tc>
      </w:tr>
      <w:tr w14:paraId="650BB946">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7915C88D">
            <w:pPr>
              <w:rPr>
                <w:rFonts w:hint="eastAsia"/>
                <w:szCs w:val="21"/>
              </w:rPr>
            </w:pPr>
            <w:r>
              <w:rPr>
                <w:rFonts w:hint="eastAsia"/>
                <w:szCs w:val="21"/>
              </w:rPr>
              <w:t>30岁以下（不含30岁）</w:t>
            </w:r>
          </w:p>
        </w:tc>
        <w:tc>
          <w:tcPr>
            <w:tcW w:w="1826" w:type="pct"/>
            <w:tcBorders>
              <w:top w:val="nil"/>
              <w:left w:val="nil"/>
              <w:bottom w:val="single" w:color="auto" w:sz="4" w:space="0"/>
              <w:right w:val="single" w:color="auto" w:sz="4" w:space="0"/>
            </w:tcBorders>
            <w:shd w:val="clear" w:color="auto" w:fill="auto"/>
            <w:noWrap/>
            <w:vAlign w:val="center"/>
          </w:tcPr>
          <w:p w14:paraId="53BBC1EE">
            <w:pPr>
              <w:jc w:val="right"/>
              <w:rPr>
                <w:rFonts w:ascii="Arial Narrow" w:hAnsi="Arial Narrow"/>
                <w:szCs w:val="21"/>
              </w:rPr>
            </w:pPr>
            <w:r>
              <w:rPr>
                <w:rFonts w:ascii="Arial Narrow" w:hAnsi="Arial Narrow"/>
              </w:rPr>
              <w:t>201</w:t>
            </w:r>
          </w:p>
        </w:tc>
      </w:tr>
      <w:tr w14:paraId="1346CAFE">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0DCFAF43">
            <w:pPr>
              <w:rPr>
                <w:rFonts w:hint="eastAsia"/>
                <w:szCs w:val="21"/>
              </w:rPr>
            </w:pPr>
            <w:r>
              <w:rPr>
                <w:rFonts w:hint="eastAsia"/>
                <w:szCs w:val="21"/>
              </w:rPr>
              <w:t>30-40岁（含30岁，不含40岁）</w:t>
            </w:r>
          </w:p>
        </w:tc>
        <w:tc>
          <w:tcPr>
            <w:tcW w:w="1826" w:type="pct"/>
            <w:tcBorders>
              <w:top w:val="nil"/>
              <w:left w:val="nil"/>
              <w:bottom w:val="single" w:color="auto" w:sz="4" w:space="0"/>
              <w:right w:val="single" w:color="auto" w:sz="4" w:space="0"/>
            </w:tcBorders>
            <w:shd w:val="clear" w:color="auto" w:fill="auto"/>
            <w:noWrap/>
            <w:vAlign w:val="center"/>
          </w:tcPr>
          <w:p w14:paraId="73836857">
            <w:pPr>
              <w:jc w:val="right"/>
              <w:rPr>
                <w:rFonts w:ascii="Arial Narrow" w:hAnsi="Arial Narrow"/>
                <w:szCs w:val="21"/>
              </w:rPr>
            </w:pPr>
            <w:r>
              <w:rPr>
                <w:rFonts w:ascii="Arial Narrow" w:hAnsi="Arial Narrow"/>
              </w:rPr>
              <w:t>120</w:t>
            </w:r>
          </w:p>
        </w:tc>
      </w:tr>
      <w:tr w14:paraId="7FF58A30">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1DE62FA4">
            <w:pPr>
              <w:rPr>
                <w:rFonts w:hint="eastAsia"/>
                <w:szCs w:val="21"/>
              </w:rPr>
            </w:pPr>
            <w:r>
              <w:rPr>
                <w:rFonts w:hint="eastAsia"/>
                <w:szCs w:val="21"/>
              </w:rPr>
              <w:t>40-50岁（含40岁，不含50岁）</w:t>
            </w:r>
          </w:p>
        </w:tc>
        <w:tc>
          <w:tcPr>
            <w:tcW w:w="1826" w:type="pct"/>
            <w:tcBorders>
              <w:top w:val="nil"/>
              <w:left w:val="nil"/>
              <w:bottom w:val="single" w:color="auto" w:sz="4" w:space="0"/>
              <w:right w:val="single" w:color="auto" w:sz="4" w:space="0"/>
            </w:tcBorders>
            <w:shd w:val="clear" w:color="auto" w:fill="auto"/>
            <w:noWrap/>
            <w:vAlign w:val="center"/>
          </w:tcPr>
          <w:p w14:paraId="22BE775A">
            <w:pPr>
              <w:jc w:val="right"/>
              <w:rPr>
                <w:rFonts w:ascii="Arial Narrow" w:hAnsi="Arial Narrow"/>
                <w:szCs w:val="21"/>
              </w:rPr>
            </w:pPr>
            <w:r>
              <w:rPr>
                <w:rFonts w:ascii="Arial Narrow" w:hAnsi="Arial Narrow"/>
              </w:rPr>
              <w:t>221</w:t>
            </w:r>
          </w:p>
        </w:tc>
      </w:tr>
      <w:tr w14:paraId="4C606768">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09C3531E">
            <w:pPr>
              <w:rPr>
                <w:rFonts w:hint="eastAsia"/>
                <w:szCs w:val="21"/>
              </w:rPr>
            </w:pPr>
            <w:r>
              <w:rPr>
                <w:rFonts w:hint="eastAsia"/>
                <w:szCs w:val="21"/>
              </w:rPr>
              <w:t>50-60岁（含50岁，不含60岁）</w:t>
            </w:r>
          </w:p>
        </w:tc>
        <w:tc>
          <w:tcPr>
            <w:tcW w:w="1826" w:type="pct"/>
            <w:tcBorders>
              <w:top w:val="nil"/>
              <w:left w:val="nil"/>
              <w:bottom w:val="single" w:color="auto" w:sz="4" w:space="0"/>
              <w:right w:val="single" w:color="auto" w:sz="4" w:space="0"/>
            </w:tcBorders>
            <w:shd w:val="clear" w:color="auto" w:fill="auto"/>
            <w:noWrap/>
            <w:vAlign w:val="center"/>
          </w:tcPr>
          <w:p w14:paraId="25586D28">
            <w:pPr>
              <w:jc w:val="right"/>
              <w:rPr>
                <w:rFonts w:ascii="Arial Narrow" w:hAnsi="Arial Narrow"/>
                <w:szCs w:val="21"/>
              </w:rPr>
            </w:pPr>
            <w:r>
              <w:rPr>
                <w:rFonts w:ascii="Arial Narrow" w:hAnsi="Arial Narrow"/>
              </w:rPr>
              <w:t>110</w:t>
            </w:r>
          </w:p>
        </w:tc>
      </w:tr>
      <w:tr w14:paraId="5B48FF7D">
        <w:tblPrEx>
          <w:tblCellMar>
            <w:top w:w="0" w:type="dxa"/>
            <w:left w:w="108" w:type="dxa"/>
            <w:bottom w:w="0" w:type="dxa"/>
            <w:right w:w="108" w:type="dxa"/>
          </w:tblCellMar>
        </w:tblPrEx>
        <w:trPr>
          <w:trHeight w:val="270" w:hRule="atLeast"/>
          <w:jc w:val="center"/>
        </w:trPr>
        <w:tc>
          <w:tcPr>
            <w:tcW w:w="3174" w:type="pct"/>
            <w:tcBorders>
              <w:top w:val="nil"/>
              <w:left w:val="single" w:color="auto" w:sz="4" w:space="0"/>
              <w:bottom w:val="single" w:color="auto" w:sz="4" w:space="0"/>
              <w:right w:val="single" w:color="auto" w:sz="4" w:space="0"/>
            </w:tcBorders>
            <w:shd w:val="clear" w:color="auto" w:fill="auto"/>
            <w:vAlign w:val="center"/>
          </w:tcPr>
          <w:p w14:paraId="296BCC63">
            <w:pPr>
              <w:rPr>
                <w:rFonts w:hint="eastAsia"/>
                <w:szCs w:val="21"/>
              </w:rPr>
            </w:pPr>
            <w:r>
              <w:rPr>
                <w:rFonts w:hint="eastAsia"/>
                <w:szCs w:val="21"/>
              </w:rPr>
              <w:t>60岁及以上</w:t>
            </w:r>
          </w:p>
        </w:tc>
        <w:tc>
          <w:tcPr>
            <w:tcW w:w="1826" w:type="pct"/>
            <w:tcBorders>
              <w:top w:val="nil"/>
              <w:left w:val="nil"/>
              <w:bottom w:val="single" w:color="auto" w:sz="4" w:space="0"/>
              <w:right w:val="single" w:color="auto" w:sz="4" w:space="0"/>
            </w:tcBorders>
            <w:shd w:val="clear" w:color="auto" w:fill="auto"/>
            <w:noWrap/>
            <w:vAlign w:val="center"/>
          </w:tcPr>
          <w:p w14:paraId="278CB002">
            <w:pPr>
              <w:jc w:val="right"/>
              <w:rPr>
                <w:rFonts w:ascii="Arial Narrow" w:hAnsi="Arial Narrow"/>
                <w:szCs w:val="21"/>
              </w:rPr>
            </w:pPr>
            <w:r>
              <w:rPr>
                <w:rFonts w:ascii="Arial Narrow" w:hAnsi="Arial Narrow"/>
              </w:rPr>
              <w:t>0</w:t>
            </w:r>
          </w:p>
        </w:tc>
      </w:tr>
    </w:tbl>
    <w:p w14:paraId="1A7E322F">
      <w:pPr>
        <w:rPr>
          <w:rFonts w:hint="eastAsia"/>
        </w:rPr>
      </w:pPr>
    </w:p>
    <w:bookmarkEnd w:id="45"/>
    <w:p w14:paraId="7657EB65">
      <w:pPr>
        <w:pStyle w:val="44"/>
        <w:numPr>
          <w:ilvl w:val="0"/>
          <w:numId w:val="11"/>
        </w:numPr>
        <w:spacing w:before="60" w:after="60"/>
        <w:ind w:firstLineChars="0"/>
        <w:rPr>
          <w:szCs w:val="21"/>
        </w:rPr>
      </w:pPr>
      <w:r>
        <w:rPr>
          <w:szCs w:val="21"/>
        </w:rPr>
        <w:t>情况说明</w:t>
      </w:r>
    </w:p>
    <w:sdt>
      <w:sdtPr>
        <w:rPr>
          <w:szCs w:val="21"/>
        </w:rPr>
        <w:alias w:val="是否适用：研发投入情况说明[双击切换]"/>
        <w:tag w:val="_GBC_b983f5c63407411d82434ca6547deae8"/>
        <w:id w:val="180092116"/>
        <w:placeholder>
          <w:docPart w:val="GBC22222222222222222222222222222"/>
        </w:placeholder>
      </w:sdtPr>
      <w:sdtEndPr>
        <w:rPr>
          <w:szCs w:val="21"/>
        </w:rPr>
      </w:sdtEndPr>
      <w:sdtContent>
        <w:p w14:paraId="25EE75FB">
          <w:pPr>
            <w:spacing w:before="60" w:after="60"/>
            <w:rPr>
              <w:rFonts w:hint="eastAsia"/>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830F46D">
      <w:pPr>
        <w:rPr>
          <w:rFonts w:hint="eastAsia"/>
          <w:szCs w:val="21"/>
        </w:rPr>
      </w:pPr>
    </w:p>
    <w:p w14:paraId="191DD610">
      <w:pPr>
        <w:pStyle w:val="44"/>
        <w:numPr>
          <w:ilvl w:val="0"/>
          <w:numId w:val="11"/>
        </w:numPr>
        <w:spacing w:before="60" w:after="60"/>
        <w:ind w:firstLineChars="0"/>
        <w:rPr>
          <w:szCs w:val="21"/>
        </w:rPr>
      </w:pPr>
      <w:bookmarkStart w:id="46" w:name="_Hlk89876701"/>
      <w:r>
        <w:rPr>
          <w:szCs w:val="21"/>
        </w:rPr>
        <w:t>研发人员构成发生重大变化的原因及对公司未来发展的影响</w:t>
      </w:r>
    </w:p>
    <w:p w14:paraId="28A9DCD6">
      <w:pPr>
        <w:spacing w:before="60" w:after="60"/>
        <w:rPr>
          <w:rFonts w:hint="eastAsia"/>
          <w:szCs w:val="21"/>
        </w:rPr>
      </w:pPr>
      <w:sdt>
        <w:sdtPr>
          <w:rPr>
            <w:szCs w:val="21"/>
          </w:rPr>
          <w:alias w:val="是否适用：研发人员构成发生重大变化的原因及对公司未来发展的影响 [双击切换]"/>
          <w:tag w:val="_GBC_03b44883afff4742a08c198d082c26b3"/>
          <w:id w:val="-1272230893"/>
          <w:placeholder>
            <w:docPart w:val="GBC22222222222222222222222222222"/>
          </w:placeholder>
        </w:sdtPr>
        <w:sdtEndPr>
          <w:rPr>
            <w:szCs w:val="21"/>
          </w:rPr>
        </w:sdtEndPr>
        <w:sdtContent>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sdtContent>
      </w:sdt>
    </w:p>
    <w:p w14:paraId="1789B9FD">
      <w:pPr>
        <w:rPr>
          <w:rFonts w:hint="eastAsia"/>
          <w:szCs w:val="21"/>
        </w:rPr>
      </w:pPr>
    </w:p>
    <w:bookmarkEnd w:id="46"/>
    <w:p w14:paraId="19B0D3E3">
      <w:pPr>
        <w:pStyle w:val="5"/>
        <w:numPr>
          <w:ilvl w:val="0"/>
          <w:numId w:val="9"/>
        </w:numPr>
        <w:rPr>
          <w:rFonts w:hint="eastAsia"/>
        </w:rPr>
      </w:pPr>
      <w:r>
        <w:rPr>
          <w:rFonts w:hint="eastAsia"/>
        </w:rPr>
        <w:t>现金流</w:t>
      </w:r>
    </w:p>
    <w:sdt>
      <w:sdtPr>
        <w:alias w:val="是否适用：现金流[双击切换]"/>
        <w:tag w:val="_GBC_3340f2fc4f854cc1882e18412cf992f6"/>
        <w:id w:val="-668873691"/>
        <w:placeholder>
          <w:docPart w:val="GBC22222222222222222222222222222"/>
        </w:placeholder>
      </w:sdtPr>
      <w:sdtContent>
        <w:p w14:paraId="115A196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23449110"/>
        <w:placeholder>
          <w:docPart w:val="GBC22222222222222222222222222222"/>
        </w:placeholder>
      </w:sdtPr>
      <w:sdtEndPr>
        <w:rPr>
          <w:rFonts w:hint="eastAsia"/>
          <w:szCs w:val="21"/>
        </w:rPr>
      </w:sdtEndPr>
      <w:sdtContent>
        <w:sdt>
          <w:sdtPr>
            <w:rPr>
              <w:rFonts w:hint="eastAsia"/>
              <w:szCs w:val="21"/>
            </w:rPr>
            <w:alias w:val="费用情况说明"/>
            <w:tag w:val="_GBC_02a46af1e8d349d8b753768e17da35a1"/>
            <w:id w:val="594515557"/>
            <w:placeholder>
              <w:docPart w:val="975213E0C4AD457DAC730034EB07B110"/>
            </w:placeholder>
          </w:sdtPr>
          <w:sdtEndPr>
            <w:rPr>
              <w:rFonts w:hint="eastAsia"/>
              <w:szCs w:val="21"/>
            </w:rPr>
          </w:sdtEndPr>
          <w:sdtContent>
            <w:p w14:paraId="768C125F">
              <w:pPr>
                <w:jc w:val="right"/>
                <w:rPr>
                  <w:rFonts w:hint="eastAsia"/>
                  <w:szCs w:val="21"/>
                </w:rPr>
              </w:pPr>
              <w:r>
                <w:rPr>
                  <w:rFonts w:hint="eastAsia"/>
                  <w:szCs w:val="21"/>
                </w:rPr>
                <w:t>单位：</w:t>
              </w:r>
              <w:sdt>
                <w:sdtPr>
                  <w:rPr>
                    <w:szCs w:val="21"/>
                  </w:rPr>
                  <w:alias w:val="单位：前5名供应商中存在新增供应商的或严重依赖于少数供应商的情形表"/>
                  <w:tag w:val="_GBC_036521f9552a4945b789f303a5ebc076"/>
                  <w:id w:val="577560581"/>
                  <w:placeholder>
                    <w:docPart w:val="50FD4D273E9742A39E360C3E87EE7763"/>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szCs w:val="21"/>
                  </w:rPr>
                  <w:alias w:val="币种：前5名供应商中存在新增供应商的或严重依赖于少数供应商的情形表"/>
                  <w:tag w:val="_GBC_4f8542d2517f47e5bd8480fca623c3f2"/>
                  <w:id w:val="-1708167995"/>
                  <w:placeholder>
                    <w:docPart w:val="50FD4D273E9742A39E360C3E87EE776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1761"/>
                <w:gridCol w:w="1761"/>
                <w:gridCol w:w="1762"/>
              </w:tblGrid>
              <w:tr w14:paraId="642A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14:paraId="76A9AC09">
                    <w:pPr>
                      <w:widowControl w:val="0"/>
                      <w:jc w:val="center"/>
                      <w:rPr>
                        <w:rFonts w:hint="eastAsia"/>
                        <w:szCs w:val="21"/>
                      </w:rPr>
                    </w:pPr>
                    <w:bookmarkStart w:id="47" w:name="_Hlk195279800"/>
                    <w:r>
                      <w:rPr>
                        <w:rFonts w:hint="eastAsia"/>
                        <w:color w:val="000000"/>
                        <w:szCs w:val="21"/>
                      </w:rPr>
                      <w:t>费用名称</w:t>
                    </w:r>
                  </w:p>
                </w:tc>
                <w:tc>
                  <w:tcPr>
                    <w:tcW w:w="1761" w:type="dxa"/>
                    <w:vAlign w:val="center"/>
                  </w:tcPr>
                  <w:p w14:paraId="6639DA44">
                    <w:pPr>
                      <w:widowControl w:val="0"/>
                      <w:jc w:val="center"/>
                      <w:rPr>
                        <w:rFonts w:hint="eastAsia"/>
                        <w:szCs w:val="21"/>
                      </w:rPr>
                    </w:pPr>
                    <w:r>
                      <w:rPr>
                        <w:rFonts w:hint="eastAsia"/>
                        <w:color w:val="000000"/>
                        <w:szCs w:val="21"/>
                      </w:rPr>
                      <w:t>本年金额</w:t>
                    </w:r>
                  </w:p>
                </w:tc>
                <w:tc>
                  <w:tcPr>
                    <w:tcW w:w="1761" w:type="dxa"/>
                    <w:vAlign w:val="center"/>
                  </w:tcPr>
                  <w:p w14:paraId="54774C6D">
                    <w:pPr>
                      <w:widowControl w:val="0"/>
                      <w:jc w:val="center"/>
                      <w:rPr>
                        <w:rFonts w:hint="eastAsia"/>
                        <w:szCs w:val="21"/>
                      </w:rPr>
                    </w:pPr>
                    <w:r>
                      <w:rPr>
                        <w:rFonts w:hint="eastAsia"/>
                        <w:color w:val="000000"/>
                        <w:szCs w:val="21"/>
                      </w:rPr>
                      <w:t>上期金额</w:t>
                    </w:r>
                  </w:p>
                </w:tc>
                <w:tc>
                  <w:tcPr>
                    <w:tcW w:w="1762" w:type="dxa"/>
                    <w:vAlign w:val="center"/>
                  </w:tcPr>
                  <w:p w14:paraId="7FBBD6BF">
                    <w:pPr>
                      <w:widowControl w:val="0"/>
                      <w:jc w:val="center"/>
                      <w:rPr>
                        <w:rFonts w:hint="eastAsia"/>
                        <w:szCs w:val="21"/>
                      </w:rPr>
                    </w:pPr>
                    <w:r>
                      <w:rPr>
                        <w:rStyle w:val="136"/>
                      </w:rPr>
                      <w:t>变动比例（%）</w:t>
                    </w:r>
                  </w:p>
                </w:tc>
              </w:tr>
              <w:tr w14:paraId="4B85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49916D60">
                    <w:pPr>
                      <w:widowControl w:val="0"/>
                      <w:jc w:val="center"/>
                      <w:rPr>
                        <w:rFonts w:hint="eastAsia"/>
                        <w:szCs w:val="21"/>
                      </w:rPr>
                    </w:pPr>
                    <w:r>
                      <w:rPr>
                        <w:rFonts w:hint="eastAsia"/>
                        <w:color w:val="000000"/>
                        <w:szCs w:val="21"/>
                      </w:rPr>
                      <w:t>经营活动产生的现金流量净额</w:t>
                    </w:r>
                  </w:p>
                </w:tc>
                <w:tc>
                  <w:tcPr>
                    <w:tcW w:w="1761" w:type="dxa"/>
                  </w:tcPr>
                  <w:p w14:paraId="6B1DE346">
                    <w:pPr>
                      <w:widowControl w:val="0"/>
                      <w:jc w:val="right"/>
                      <w:rPr>
                        <w:rFonts w:hint="eastAsia"/>
                        <w:szCs w:val="21"/>
                      </w:rPr>
                    </w:pPr>
                    <w:r>
                      <w:rPr>
                        <w:rFonts w:ascii="Arial Narrow" w:hAnsi="Arial Narrow" w:eastAsia="等线"/>
                        <w:color w:val="000000"/>
                        <w:szCs w:val="21"/>
                      </w:rPr>
                      <w:t>115,548,699.94</w:t>
                    </w:r>
                  </w:p>
                </w:tc>
                <w:tc>
                  <w:tcPr>
                    <w:tcW w:w="1761" w:type="dxa"/>
                  </w:tcPr>
                  <w:p w14:paraId="74A4E7BE">
                    <w:pPr>
                      <w:widowControl w:val="0"/>
                      <w:jc w:val="right"/>
                      <w:rPr>
                        <w:rFonts w:hint="eastAsia"/>
                        <w:szCs w:val="21"/>
                      </w:rPr>
                    </w:pPr>
                    <w:r>
                      <w:rPr>
                        <w:rFonts w:ascii="Arial Narrow" w:hAnsi="Arial Narrow" w:eastAsia="等线"/>
                        <w:color w:val="000000"/>
                        <w:szCs w:val="21"/>
                      </w:rPr>
                      <w:t>1,118,062,002.40</w:t>
                    </w:r>
                  </w:p>
                </w:tc>
                <w:tc>
                  <w:tcPr>
                    <w:tcW w:w="1762" w:type="dxa"/>
                    <w:vAlign w:val="bottom"/>
                  </w:tcPr>
                  <w:p w14:paraId="755B52D7">
                    <w:pPr>
                      <w:widowControl w:val="0"/>
                      <w:jc w:val="right"/>
                      <w:rPr>
                        <w:rFonts w:hint="eastAsia"/>
                        <w:szCs w:val="21"/>
                      </w:rPr>
                    </w:pPr>
                    <w:r>
                      <w:rPr>
                        <w:rFonts w:ascii="Arial Narrow" w:hAnsi="Arial Narrow" w:eastAsia="等线"/>
                        <w:color w:val="000000"/>
                        <w:szCs w:val="21"/>
                      </w:rPr>
                      <w:t xml:space="preserve">-89.67 </w:t>
                    </w:r>
                  </w:p>
                </w:tc>
              </w:tr>
              <w:tr w14:paraId="4E16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6D0DF9B9">
                    <w:pPr>
                      <w:widowControl w:val="0"/>
                      <w:jc w:val="center"/>
                      <w:rPr>
                        <w:rFonts w:hint="eastAsia"/>
                        <w:szCs w:val="21"/>
                      </w:rPr>
                    </w:pPr>
                    <w:r>
                      <w:rPr>
                        <w:rFonts w:hint="eastAsia"/>
                        <w:color w:val="000000"/>
                        <w:szCs w:val="21"/>
                      </w:rPr>
                      <w:t>投资活动产生的现金流量净额</w:t>
                    </w:r>
                  </w:p>
                </w:tc>
                <w:tc>
                  <w:tcPr>
                    <w:tcW w:w="1761" w:type="dxa"/>
                  </w:tcPr>
                  <w:p w14:paraId="4C321B74">
                    <w:pPr>
                      <w:widowControl w:val="0"/>
                      <w:jc w:val="right"/>
                      <w:rPr>
                        <w:rFonts w:hint="eastAsia"/>
                        <w:szCs w:val="21"/>
                      </w:rPr>
                    </w:pPr>
                    <w:r>
                      <w:rPr>
                        <w:rFonts w:ascii="Arial Narrow" w:hAnsi="Arial Narrow" w:eastAsia="等线"/>
                        <w:color w:val="000000"/>
                        <w:szCs w:val="21"/>
                      </w:rPr>
                      <w:t>-643,367,820.26</w:t>
                    </w:r>
                  </w:p>
                </w:tc>
                <w:tc>
                  <w:tcPr>
                    <w:tcW w:w="1761" w:type="dxa"/>
                  </w:tcPr>
                  <w:p w14:paraId="395404B0">
                    <w:pPr>
                      <w:widowControl w:val="0"/>
                      <w:jc w:val="right"/>
                      <w:rPr>
                        <w:rFonts w:hint="eastAsia"/>
                        <w:szCs w:val="21"/>
                      </w:rPr>
                    </w:pPr>
                    <w:r>
                      <w:rPr>
                        <w:rFonts w:ascii="Arial Narrow" w:hAnsi="Arial Narrow" w:eastAsia="等线"/>
                        <w:color w:val="000000"/>
                        <w:szCs w:val="21"/>
                      </w:rPr>
                      <w:t>-619,873,902.10</w:t>
                    </w:r>
                  </w:p>
                </w:tc>
                <w:tc>
                  <w:tcPr>
                    <w:tcW w:w="1762" w:type="dxa"/>
                  </w:tcPr>
                  <w:p w14:paraId="67449BB7">
                    <w:pPr>
                      <w:widowControl w:val="0"/>
                      <w:jc w:val="right"/>
                      <w:rPr>
                        <w:rFonts w:hint="eastAsia"/>
                        <w:szCs w:val="21"/>
                      </w:rPr>
                    </w:pPr>
                    <w:r>
                      <w:rPr>
                        <w:rFonts w:hint="eastAsia"/>
                        <w:color w:val="000000"/>
                        <w:szCs w:val="21"/>
                      </w:rPr>
                      <w:t>不适用</w:t>
                    </w:r>
                  </w:p>
                </w:tc>
              </w:tr>
              <w:tr w14:paraId="0C99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593C3978">
                    <w:pPr>
                      <w:widowControl w:val="0"/>
                      <w:jc w:val="center"/>
                      <w:rPr>
                        <w:rFonts w:hint="eastAsia"/>
                        <w:szCs w:val="21"/>
                      </w:rPr>
                    </w:pPr>
                    <w:r>
                      <w:rPr>
                        <w:rFonts w:hint="eastAsia"/>
                        <w:color w:val="000000"/>
                        <w:szCs w:val="21"/>
                      </w:rPr>
                      <w:t>筹资活动产生的现金流量净额</w:t>
                    </w:r>
                  </w:p>
                </w:tc>
                <w:tc>
                  <w:tcPr>
                    <w:tcW w:w="1761" w:type="dxa"/>
                  </w:tcPr>
                  <w:p w14:paraId="7675979E">
                    <w:pPr>
                      <w:widowControl w:val="0"/>
                      <w:jc w:val="right"/>
                      <w:rPr>
                        <w:rFonts w:hint="eastAsia"/>
                        <w:szCs w:val="21"/>
                      </w:rPr>
                    </w:pPr>
                    <w:r>
                      <w:rPr>
                        <w:rFonts w:ascii="Arial Narrow" w:hAnsi="Arial Narrow" w:eastAsia="等线"/>
                        <w:color w:val="000000"/>
                        <w:szCs w:val="21"/>
                      </w:rPr>
                      <w:t>-603,402,482.96</w:t>
                    </w:r>
                  </w:p>
                </w:tc>
                <w:tc>
                  <w:tcPr>
                    <w:tcW w:w="1761" w:type="dxa"/>
                  </w:tcPr>
                  <w:p w14:paraId="18467F3D">
                    <w:pPr>
                      <w:widowControl w:val="0"/>
                      <w:jc w:val="right"/>
                      <w:rPr>
                        <w:rFonts w:hint="eastAsia"/>
                        <w:szCs w:val="21"/>
                      </w:rPr>
                    </w:pPr>
                    <w:r>
                      <w:rPr>
                        <w:rFonts w:ascii="Arial Narrow" w:hAnsi="Arial Narrow" w:eastAsia="等线"/>
                        <w:color w:val="000000"/>
                        <w:szCs w:val="21"/>
                      </w:rPr>
                      <w:t>830,455,349.57</w:t>
                    </w:r>
                  </w:p>
                </w:tc>
                <w:tc>
                  <w:tcPr>
                    <w:tcW w:w="1762" w:type="dxa"/>
                    <w:vAlign w:val="bottom"/>
                  </w:tcPr>
                  <w:p w14:paraId="638BFDEE">
                    <w:pPr>
                      <w:widowControl w:val="0"/>
                      <w:jc w:val="right"/>
                      <w:rPr>
                        <w:rFonts w:hint="eastAsia"/>
                        <w:szCs w:val="21"/>
                      </w:rPr>
                    </w:pPr>
                    <w:r>
                      <w:rPr>
                        <w:rFonts w:ascii="Arial Narrow" w:hAnsi="Arial Narrow" w:eastAsia="等线"/>
                        <w:color w:val="000000"/>
                        <w:szCs w:val="21"/>
                      </w:rPr>
                      <w:t xml:space="preserve">-172.66 </w:t>
                    </w:r>
                  </w:p>
                </w:tc>
              </w:tr>
            </w:tbl>
            <w:p w14:paraId="488DF397">
              <w:pPr>
                <w:rPr>
                  <w:rFonts w:hint="eastAsia"/>
                  <w:szCs w:val="21"/>
                </w:rPr>
              </w:pPr>
            </w:p>
          </w:sdtContent>
        </w:sdt>
      </w:sdtContent>
    </w:sdt>
    <w:bookmarkEnd w:id="47"/>
    <w:p w14:paraId="4AD6A8C9">
      <w:pPr>
        <w:pStyle w:val="4"/>
        <w:numPr>
          <w:ilvl w:val="0"/>
          <w:numId w:val="8"/>
        </w:numPr>
        <w:ind w:left="0" w:firstLine="0"/>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222948223"/>
        <w:placeholder>
          <w:docPart w:val="GBC22222222222222222222222222222"/>
        </w:placeholder>
      </w:sdtPr>
      <w:sdtEndPr>
        <w:rPr>
          <w:szCs w:val="21"/>
        </w:rPr>
      </w:sdtEndPr>
      <w:sdtContent>
        <w:p w14:paraId="28160701">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主营业务来源分析"/>
        <w:tag w:val="_GBC_8eea8520059143628468ae89d6811756"/>
        <w:id w:val="1947654472"/>
        <w:placeholder>
          <w:docPart w:val="GBC22222222222222222222222222222"/>
        </w:placeholder>
      </w:sdtPr>
      <w:sdtEndPr>
        <w:rPr>
          <w:rFonts w:hint="eastAsia"/>
          <w:szCs w:val="21"/>
          <w:highlight w:val="yellow"/>
        </w:rPr>
      </w:sdtEndPr>
      <w:sdtContent>
        <w:p w14:paraId="7FAA5A49">
          <w:pPr>
            <w:jc w:val="right"/>
            <w:rPr>
              <w:rFonts w:hint="eastAsia"/>
              <w:szCs w:val="21"/>
            </w:rPr>
          </w:pPr>
          <w:r>
            <w:rPr>
              <w:rFonts w:hint="eastAsia"/>
              <w:szCs w:val="21"/>
            </w:rPr>
            <w:t>单位：</w:t>
          </w:r>
          <w:sdt>
            <w:sdtPr>
              <w:rPr>
                <w:szCs w:val="21"/>
              </w:rPr>
              <w:alias w:val="单位：前5名供应商中存在新增供应商的或严重依赖于少数供应商的情形表"/>
              <w:tag w:val="_GBC_036521f9552a4945b789f303a5ebc076"/>
              <w:id w:val="-1022473091"/>
              <w:placeholder>
                <w:docPart w:val="99E0C20BE92747AF954F7D9DBBB114A3"/>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szCs w:val="21"/>
              </w:rPr>
              <w:alias w:val="币种：前5名供应商中存在新增供应商的或严重依赖于少数供应商的情形表"/>
              <w:tag w:val="_GBC_4f8542d2517f47e5bd8480fca623c3f2"/>
              <w:id w:val="-1346859543"/>
              <w:placeholder>
                <w:docPart w:val="99E0C20BE92747AF954F7D9DBBB114A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p w14:paraId="33D8B5BF">
          <w:pPr>
            <w:rPr>
              <w:rFonts w:hint="eastAsia"/>
              <w:szCs w:val="21"/>
              <w:highlight w:val="yellow"/>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633"/>
            <w:gridCol w:w="1560"/>
            <w:gridCol w:w="1134"/>
            <w:gridCol w:w="2732"/>
          </w:tblGrid>
          <w:tr w14:paraId="05B7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38BD5B11">
                <w:pPr>
                  <w:widowControl w:val="0"/>
                  <w:jc w:val="center"/>
                  <w:rPr>
                    <w:rFonts w:hint="eastAsia"/>
                    <w:szCs w:val="21"/>
                  </w:rPr>
                </w:pPr>
                <w:r>
                  <w:rPr>
                    <w:rFonts w:hint="eastAsia"/>
                    <w:color w:val="000000"/>
                    <w:szCs w:val="21"/>
                  </w:rPr>
                  <w:t>项目名称</w:t>
                </w:r>
              </w:p>
            </w:tc>
            <w:tc>
              <w:tcPr>
                <w:tcW w:w="1633" w:type="dxa"/>
                <w:vAlign w:val="center"/>
              </w:tcPr>
              <w:p w14:paraId="535B7803">
                <w:pPr>
                  <w:widowControl w:val="0"/>
                  <w:jc w:val="center"/>
                  <w:rPr>
                    <w:rFonts w:hint="eastAsia"/>
                    <w:szCs w:val="21"/>
                  </w:rPr>
                </w:pPr>
                <w:r>
                  <w:rPr>
                    <w:rFonts w:hint="eastAsia"/>
                    <w:color w:val="000000"/>
                    <w:szCs w:val="21"/>
                  </w:rPr>
                  <w:t>本期金额</w:t>
                </w:r>
              </w:p>
            </w:tc>
            <w:tc>
              <w:tcPr>
                <w:tcW w:w="1560" w:type="dxa"/>
                <w:vAlign w:val="center"/>
              </w:tcPr>
              <w:p w14:paraId="7717E6F3">
                <w:pPr>
                  <w:widowControl w:val="0"/>
                  <w:jc w:val="center"/>
                  <w:rPr>
                    <w:rFonts w:hint="eastAsia"/>
                    <w:szCs w:val="21"/>
                  </w:rPr>
                </w:pPr>
                <w:r>
                  <w:rPr>
                    <w:rFonts w:hint="eastAsia"/>
                    <w:color w:val="000000"/>
                    <w:szCs w:val="21"/>
                  </w:rPr>
                  <w:t>上期金额</w:t>
                </w:r>
              </w:p>
            </w:tc>
            <w:tc>
              <w:tcPr>
                <w:tcW w:w="1134" w:type="dxa"/>
                <w:vAlign w:val="center"/>
              </w:tcPr>
              <w:p w14:paraId="6B03ECA4">
                <w:pPr>
                  <w:widowControl w:val="0"/>
                  <w:jc w:val="center"/>
                  <w:rPr>
                    <w:rFonts w:hint="eastAsia"/>
                    <w:szCs w:val="21"/>
                  </w:rPr>
                </w:pPr>
                <w:r>
                  <w:rPr>
                    <w:rFonts w:hint="eastAsia"/>
                    <w:color w:val="000000"/>
                    <w:szCs w:val="21"/>
                  </w:rPr>
                  <w:t>同比增减（%）</w:t>
                </w:r>
              </w:p>
            </w:tc>
            <w:tc>
              <w:tcPr>
                <w:tcW w:w="2732" w:type="dxa"/>
                <w:vAlign w:val="center"/>
              </w:tcPr>
              <w:p w14:paraId="109A2CDE">
                <w:pPr>
                  <w:widowControl w:val="0"/>
                  <w:jc w:val="center"/>
                  <w:rPr>
                    <w:rFonts w:hint="eastAsia"/>
                    <w:szCs w:val="21"/>
                  </w:rPr>
                </w:pPr>
                <w:r>
                  <w:rPr>
                    <w:rFonts w:hint="eastAsia"/>
                    <w:color w:val="000000"/>
                    <w:szCs w:val="21"/>
                  </w:rPr>
                  <w:t>变动原因</w:t>
                </w:r>
              </w:p>
            </w:tc>
          </w:tr>
          <w:tr w14:paraId="1D0F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7DF1F7B9">
                <w:pPr>
                  <w:widowControl w:val="0"/>
                  <w:jc w:val="center"/>
                  <w:rPr>
                    <w:rFonts w:hint="eastAsia"/>
                    <w:szCs w:val="21"/>
                  </w:rPr>
                </w:pPr>
                <w:r>
                  <w:rPr>
                    <w:rFonts w:hint="eastAsia"/>
                    <w:color w:val="000000"/>
                    <w:szCs w:val="21"/>
                  </w:rPr>
                  <w:t>其他收益</w:t>
                </w:r>
              </w:p>
            </w:tc>
            <w:tc>
              <w:tcPr>
                <w:tcW w:w="1633" w:type="dxa"/>
                <w:vAlign w:val="center"/>
              </w:tcPr>
              <w:p w14:paraId="46B975E8">
                <w:pPr>
                  <w:widowControl w:val="0"/>
                  <w:jc w:val="right"/>
                  <w:rPr>
                    <w:rFonts w:hint="eastAsia"/>
                    <w:szCs w:val="21"/>
                  </w:rPr>
                </w:pPr>
                <w:r>
                  <w:rPr>
                    <w:rFonts w:ascii="Arial Narrow" w:hAnsi="Arial Narrow" w:eastAsia="等线"/>
                    <w:color w:val="000000"/>
                    <w:szCs w:val="21"/>
                  </w:rPr>
                  <w:t>59,716,686.71</w:t>
                </w:r>
              </w:p>
            </w:tc>
            <w:tc>
              <w:tcPr>
                <w:tcW w:w="1560" w:type="dxa"/>
                <w:vAlign w:val="center"/>
              </w:tcPr>
              <w:p w14:paraId="53ED2F4E">
                <w:pPr>
                  <w:widowControl w:val="0"/>
                  <w:jc w:val="right"/>
                  <w:rPr>
                    <w:rFonts w:hint="eastAsia"/>
                    <w:szCs w:val="21"/>
                  </w:rPr>
                </w:pPr>
                <w:r>
                  <w:rPr>
                    <w:rFonts w:ascii="Arial Narrow" w:hAnsi="Arial Narrow" w:eastAsia="等线"/>
                    <w:color w:val="000000"/>
                    <w:szCs w:val="21"/>
                  </w:rPr>
                  <w:t>104,332,472.53</w:t>
                </w:r>
              </w:p>
            </w:tc>
            <w:tc>
              <w:tcPr>
                <w:tcW w:w="1134" w:type="dxa"/>
                <w:vAlign w:val="center"/>
              </w:tcPr>
              <w:p w14:paraId="4D3C9E00">
                <w:pPr>
                  <w:widowControl w:val="0"/>
                  <w:jc w:val="right"/>
                  <w:rPr>
                    <w:rFonts w:hint="eastAsia"/>
                    <w:szCs w:val="21"/>
                  </w:rPr>
                </w:pPr>
                <w:r>
                  <w:rPr>
                    <w:rFonts w:ascii="Arial Narrow" w:hAnsi="Arial Narrow" w:eastAsia="等线"/>
                    <w:color w:val="000000"/>
                    <w:szCs w:val="21"/>
                  </w:rPr>
                  <w:t>-42.76</w:t>
                </w:r>
              </w:p>
            </w:tc>
            <w:tc>
              <w:tcPr>
                <w:tcW w:w="2732" w:type="dxa"/>
                <w:vAlign w:val="center"/>
              </w:tcPr>
              <w:p w14:paraId="29863799">
                <w:pPr>
                  <w:widowControl w:val="0"/>
                  <w:jc w:val="both"/>
                  <w:rPr>
                    <w:rFonts w:hint="eastAsia"/>
                    <w:szCs w:val="21"/>
                  </w:rPr>
                </w:pPr>
                <w:r>
                  <w:rPr>
                    <w:rFonts w:hint="eastAsia"/>
                    <w:color w:val="000000"/>
                    <w:szCs w:val="21"/>
                  </w:rPr>
                  <w:t>主要系本报告期收到的政府补助资金同比降低所致</w:t>
                </w:r>
              </w:p>
            </w:tc>
          </w:tr>
          <w:tr w14:paraId="5003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7F85E7B5">
                <w:pPr>
                  <w:widowControl w:val="0"/>
                  <w:jc w:val="center"/>
                  <w:rPr>
                    <w:rFonts w:hint="eastAsia"/>
                    <w:szCs w:val="21"/>
                  </w:rPr>
                </w:pPr>
                <w:r>
                  <w:rPr>
                    <w:rFonts w:hint="eastAsia"/>
                    <w:color w:val="000000"/>
                    <w:szCs w:val="21"/>
                  </w:rPr>
                  <w:t>投资收益</w:t>
                </w:r>
              </w:p>
            </w:tc>
            <w:tc>
              <w:tcPr>
                <w:tcW w:w="1633" w:type="dxa"/>
                <w:vAlign w:val="center"/>
              </w:tcPr>
              <w:p w14:paraId="4F16FC7F">
                <w:pPr>
                  <w:widowControl w:val="0"/>
                  <w:jc w:val="right"/>
                  <w:rPr>
                    <w:rFonts w:hint="eastAsia"/>
                    <w:szCs w:val="21"/>
                  </w:rPr>
                </w:pPr>
                <w:r>
                  <w:rPr>
                    <w:rFonts w:ascii="Arial Narrow" w:hAnsi="Arial Narrow" w:eastAsia="等线"/>
                    <w:color w:val="000000"/>
                    <w:szCs w:val="21"/>
                  </w:rPr>
                  <w:t>-29,945,486.06</w:t>
                </w:r>
              </w:p>
            </w:tc>
            <w:tc>
              <w:tcPr>
                <w:tcW w:w="1560" w:type="dxa"/>
                <w:vAlign w:val="center"/>
              </w:tcPr>
              <w:p w14:paraId="3FE163C9">
                <w:pPr>
                  <w:widowControl w:val="0"/>
                  <w:jc w:val="right"/>
                  <w:rPr>
                    <w:rFonts w:hint="eastAsia"/>
                    <w:szCs w:val="21"/>
                  </w:rPr>
                </w:pPr>
                <w:r>
                  <w:rPr>
                    <w:rFonts w:ascii="Arial Narrow" w:hAnsi="Arial Narrow" w:eastAsia="等线"/>
                    <w:color w:val="000000"/>
                    <w:szCs w:val="21"/>
                  </w:rPr>
                  <w:t>83,174,547.48</w:t>
                </w:r>
              </w:p>
            </w:tc>
            <w:tc>
              <w:tcPr>
                <w:tcW w:w="1134" w:type="dxa"/>
                <w:vAlign w:val="center"/>
              </w:tcPr>
              <w:p w14:paraId="44BDF315">
                <w:pPr>
                  <w:widowControl w:val="0"/>
                  <w:jc w:val="right"/>
                  <w:rPr>
                    <w:rFonts w:hint="eastAsia"/>
                    <w:szCs w:val="21"/>
                  </w:rPr>
                </w:pPr>
                <w:r>
                  <w:rPr>
                    <w:rFonts w:ascii="Arial Narrow" w:hAnsi="Arial Narrow" w:eastAsia="等线"/>
                    <w:color w:val="000000"/>
                    <w:szCs w:val="21"/>
                  </w:rPr>
                  <w:t>-136.00</w:t>
                </w:r>
              </w:p>
            </w:tc>
            <w:tc>
              <w:tcPr>
                <w:tcW w:w="2732" w:type="dxa"/>
                <w:vAlign w:val="center"/>
              </w:tcPr>
              <w:p w14:paraId="46233708">
                <w:pPr>
                  <w:widowControl w:val="0"/>
                  <w:jc w:val="both"/>
                  <w:rPr>
                    <w:rFonts w:hint="eastAsia"/>
                    <w:szCs w:val="21"/>
                  </w:rPr>
                </w:pPr>
                <w:r>
                  <w:rPr>
                    <w:rFonts w:hint="eastAsia"/>
                    <w:color w:val="000000"/>
                    <w:szCs w:val="21"/>
                  </w:rPr>
                  <w:t>主要系上年处置子公司股权形成较大投资收益，本报告期无此项收益所致</w:t>
                </w:r>
              </w:p>
            </w:tc>
          </w:tr>
          <w:tr w14:paraId="1A59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3AA66B8A">
                <w:pPr>
                  <w:widowControl w:val="0"/>
                  <w:jc w:val="center"/>
                  <w:rPr>
                    <w:rFonts w:hint="eastAsia"/>
                    <w:szCs w:val="21"/>
                  </w:rPr>
                </w:pPr>
                <w:r>
                  <w:rPr>
                    <w:rFonts w:hint="eastAsia"/>
                    <w:color w:val="000000"/>
                    <w:szCs w:val="21"/>
                  </w:rPr>
                  <w:t>信用减值损失</w:t>
                </w:r>
              </w:p>
            </w:tc>
            <w:tc>
              <w:tcPr>
                <w:tcW w:w="1633" w:type="dxa"/>
                <w:vAlign w:val="center"/>
              </w:tcPr>
              <w:p w14:paraId="1D787356">
                <w:pPr>
                  <w:widowControl w:val="0"/>
                  <w:jc w:val="right"/>
                  <w:rPr>
                    <w:rFonts w:hint="eastAsia"/>
                    <w:szCs w:val="21"/>
                  </w:rPr>
                </w:pPr>
                <w:r>
                  <w:rPr>
                    <w:rFonts w:ascii="Arial Narrow" w:hAnsi="Arial Narrow" w:eastAsia="等线"/>
                    <w:color w:val="000000"/>
                    <w:szCs w:val="21"/>
                  </w:rPr>
                  <w:t>-510,425,913.77</w:t>
                </w:r>
              </w:p>
            </w:tc>
            <w:tc>
              <w:tcPr>
                <w:tcW w:w="1560" w:type="dxa"/>
                <w:vAlign w:val="center"/>
              </w:tcPr>
              <w:p w14:paraId="30ED7ACB">
                <w:pPr>
                  <w:widowControl w:val="0"/>
                  <w:jc w:val="right"/>
                  <w:rPr>
                    <w:rFonts w:hint="eastAsia"/>
                    <w:szCs w:val="21"/>
                  </w:rPr>
                </w:pPr>
                <w:r>
                  <w:rPr>
                    <w:rFonts w:ascii="Arial Narrow" w:hAnsi="Arial Narrow" w:eastAsia="等线"/>
                    <w:color w:val="000000"/>
                    <w:szCs w:val="21"/>
                  </w:rPr>
                  <w:t>-49,890,951.87</w:t>
                </w:r>
              </w:p>
            </w:tc>
            <w:tc>
              <w:tcPr>
                <w:tcW w:w="1134" w:type="dxa"/>
                <w:vAlign w:val="center"/>
              </w:tcPr>
              <w:p w14:paraId="218C7B57">
                <w:pPr>
                  <w:widowControl w:val="0"/>
                  <w:jc w:val="right"/>
                  <w:rPr>
                    <w:rFonts w:hint="eastAsia"/>
                    <w:szCs w:val="21"/>
                    <w:highlight w:val="green"/>
                  </w:rPr>
                </w:pPr>
                <w:r>
                  <w:rPr>
                    <w:rFonts w:hint="eastAsia"/>
                    <w:color w:val="000000"/>
                    <w:szCs w:val="21"/>
                  </w:rPr>
                  <w:t>不适用</w:t>
                </w:r>
              </w:p>
            </w:tc>
            <w:tc>
              <w:tcPr>
                <w:tcW w:w="2732" w:type="dxa"/>
                <w:vAlign w:val="center"/>
              </w:tcPr>
              <w:p w14:paraId="256477EC">
                <w:pPr>
                  <w:widowControl w:val="0"/>
                  <w:jc w:val="both"/>
                  <w:rPr>
                    <w:rFonts w:hint="eastAsia"/>
                    <w:szCs w:val="21"/>
                  </w:rPr>
                </w:pPr>
                <w:r>
                  <w:rPr>
                    <w:rFonts w:hint="eastAsia"/>
                    <w:color w:val="000000"/>
                    <w:szCs w:val="21"/>
                  </w:rPr>
                  <w:t>主要系计提应收款项减值损失所致</w:t>
                </w:r>
              </w:p>
            </w:tc>
          </w:tr>
          <w:tr w14:paraId="2A4C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71994516">
                <w:pPr>
                  <w:widowControl w:val="0"/>
                  <w:jc w:val="center"/>
                  <w:rPr>
                    <w:rFonts w:hint="eastAsia"/>
                    <w:szCs w:val="21"/>
                  </w:rPr>
                </w:pPr>
                <w:r>
                  <w:rPr>
                    <w:rFonts w:hint="eastAsia"/>
                    <w:color w:val="000000"/>
                    <w:szCs w:val="21"/>
                  </w:rPr>
                  <w:t>资产减值损失</w:t>
                </w:r>
              </w:p>
            </w:tc>
            <w:tc>
              <w:tcPr>
                <w:tcW w:w="1633" w:type="dxa"/>
                <w:vAlign w:val="center"/>
              </w:tcPr>
              <w:p w14:paraId="1FFC400D">
                <w:pPr>
                  <w:widowControl w:val="0"/>
                  <w:jc w:val="right"/>
                  <w:rPr>
                    <w:rFonts w:hint="eastAsia"/>
                    <w:szCs w:val="21"/>
                  </w:rPr>
                </w:pPr>
                <w:r>
                  <w:rPr>
                    <w:rFonts w:ascii="Arial Narrow" w:hAnsi="Arial Narrow" w:eastAsia="等线"/>
                    <w:color w:val="000000"/>
                    <w:szCs w:val="21"/>
                  </w:rPr>
                  <w:t>-2,555,212,159.44</w:t>
                </w:r>
              </w:p>
            </w:tc>
            <w:tc>
              <w:tcPr>
                <w:tcW w:w="1560" w:type="dxa"/>
                <w:vAlign w:val="center"/>
              </w:tcPr>
              <w:p w14:paraId="2B31EB4C">
                <w:pPr>
                  <w:widowControl w:val="0"/>
                  <w:jc w:val="right"/>
                  <w:rPr>
                    <w:rFonts w:hint="eastAsia"/>
                    <w:szCs w:val="21"/>
                  </w:rPr>
                </w:pPr>
                <w:r>
                  <w:rPr>
                    <w:rFonts w:ascii="Arial Narrow" w:hAnsi="Arial Narrow" w:eastAsia="等线"/>
                    <w:color w:val="000000"/>
                    <w:szCs w:val="21"/>
                  </w:rPr>
                  <w:t>-50,840,461.69</w:t>
                </w:r>
              </w:p>
            </w:tc>
            <w:tc>
              <w:tcPr>
                <w:tcW w:w="1134" w:type="dxa"/>
                <w:vAlign w:val="center"/>
              </w:tcPr>
              <w:p w14:paraId="351C7B68">
                <w:pPr>
                  <w:widowControl w:val="0"/>
                  <w:jc w:val="right"/>
                  <w:rPr>
                    <w:rFonts w:hint="eastAsia"/>
                    <w:szCs w:val="21"/>
                    <w:highlight w:val="green"/>
                  </w:rPr>
                </w:pPr>
                <w:r>
                  <w:rPr>
                    <w:rFonts w:hint="eastAsia"/>
                    <w:color w:val="000000"/>
                    <w:szCs w:val="21"/>
                  </w:rPr>
                  <w:t>不适用</w:t>
                </w:r>
              </w:p>
            </w:tc>
            <w:tc>
              <w:tcPr>
                <w:tcW w:w="2732" w:type="dxa"/>
                <w:vAlign w:val="center"/>
              </w:tcPr>
              <w:p w14:paraId="20B7127C">
                <w:pPr>
                  <w:widowControl w:val="0"/>
                  <w:jc w:val="both"/>
                  <w:rPr>
                    <w:rFonts w:hint="eastAsia"/>
                    <w:szCs w:val="21"/>
                  </w:rPr>
                </w:pPr>
                <w:r>
                  <w:rPr>
                    <w:rFonts w:hint="eastAsia"/>
                    <w:color w:val="000000"/>
                    <w:szCs w:val="21"/>
                  </w:rPr>
                  <w:t>主要系报告期计提际华园减值损失和存货减值损失所致</w:t>
                </w:r>
              </w:p>
            </w:tc>
          </w:tr>
          <w:tr w14:paraId="2928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4" w:type="dxa"/>
                <w:vAlign w:val="center"/>
              </w:tcPr>
              <w:p w14:paraId="1607788D">
                <w:pPr>
                  <w:widowControl w:val="0"/>
                  <w:jc w:val="center"/>
                  <w:rPr>
                    <w:rFonts w:hint="eastAsia"/>
                    <w:szCs w:val="21"/>
                  </w:rPr>
                </w:pPr>
                <w:r>
                  <w:rPr>
                    <w:rFonts w:hint="eastAsia"/>
                    <w:color w:val="000000"/>
                    <w:szCs w:val="21"/>
                  </w:rPr>
                  <w:t>营业外支出</w:t>
                </w:r>
              </w:p>
            </w:tc>
            <w:tc>
              <w:tcPr>
                <w:tcW w:w="1633" w:type="dxa"/>
                <w:vAlign w:val="center"/>
              </w:tcPr>
              <w:p w14:paraId="37A882BA">
                <w:pPr>
                  <w:widowControl w:val="0"/>
                  <w:jc w:val="right"/>
                  <w:rPr>
                    <w:rFonts w:hint="eastAsia"/>
                    <w:szCs w:val="21"/>
                  </w:rPr>
                </w:pPr>
                <w:r>
                  <w:rPr>
                    <w:rFonts w:ascii="Arial Narrow" w:hAnsi="Arial Narrow" w:eastAsia="等线"/>
                    <w:color w:val="000000"/>
                    <w:szCs w:val="21"/>
                  </w:rPr>
                  <w:t>120,595,443.46</w:t>
                </w:r>
              </w:p>
            </w:tc>
            <w:tc>
              <w:tcPr>
                <w:tcW w:w="1560" w:type="dxa"/>
                <w:vAlign w:val="center"/>
              </w:tcPr>
              <w:p w14:paraId="56ABFAAD">
                <w:pPr>
                  <w:widowControl w:val="0"/>
                  <w:jc w:val="right"/>
                  <w:rPr>
                    <w:rFonts w:hint="eastAsia"/>
                    <w:szCs w:val="21"/>
                  </w:rPr>
                </w:pPr>
                <w:r>
                  <w:rPr>
                    <w:rFonts w:ascii="Arial Narrow" w:hAnsi="Arial Narrow" w:eastAsia="等线"/>
                    <w:color w:val="000000"/>
                    <w:szCs w:val="21"/>
                  </w:rPr>
                  <w:t>17,204,656.92</w:t>
                </w:r>
              </w:p>
            </w:tc>
            <w:tc>
              <w:tcPr>
                <w:tcW w:w="1134" w:type="dxa"/>
                <w:vAlign w:val="center"/>
              </w:tcPr>
              <w:p w14:paraId="1EBCA846">
                <w:pPr>
                  <w:widowControl w:val="0"/>
                  <w:jc w:val="right"/>
                  <w:rPr>
                    <w:rFonts w:hint="eastAsia"/>
                    <w:szCs w:val="21"/>
                  </w:rPr>
                </w:pPr>
                <w:r>
                  <w:rPr>
                    <w:rFonts w:ascii="Arial Narrow" w:hAnsi="Arial Narrow" w:eastAsia="等线"/>
                    <w:color w:val="000000"/>
                    <w:szCs w:val="21"/>
                  </w:rPr>
                  <w:t>600.95</w:t>
                </w:r>
              </w:p>
            </w:tc>
            <w:tc>
              <w:tcPr>
                <w:tcW w:w="2732" w:type="dxa"/>
                <w:vAlign w:val="center"/>
              </w:tcPr>
              <w:p w14:paraId="46904EB6">
                <w:pPr>
                  <w:widowControl w:val="0"/>
                  <w:jc w:val="both"/>
                  <w:rPr>
                    <w:rFonts w:hint="eastAsia"/>
                    <w:szCs w:val="21"/>
                  </w:rPr>
                </w:pPr>
                <w:r>
                  <w:rPr>
                    <w:rFonts w:hint="eastAsia"/>
                    <w:color w:val="000000"/>
                    <w:szCs w:val="21"/>
                  </w:rPr>
                  <w:t>主要系报告期子公司诉讼败诉形成损失所致</w:t>
                </w:r>
              </w:p>
            </w:tc>
          </w:tr>
        </w:tbl>
        <w:p w14:paraId="70177EFD">
          <w:pPr>
            <w:rPr>
              <w:rFonts w:hint="eastAsia"/>
              <w:szCs w:val="21"/>
            </w:rPr>
          </w:pPr>
        </w:p>
      </w:sdtContent>
    </w:sdt>
    <w:p w14:paraId="630CD099">
      <w:pPr>
        <w:pStyle w:val="4"/>
        <w:numPr>
          <w:ilvl w:val="0"/>
          <w:numId w:val="8"/>
        </w:numPr>
        <w:ind w:left="0" w:firstLine="0"/>
        <w:rPr>
          <w:szCs w:val="21"/>
        </w:rPr>
      </w:pPr>
      <w:r>
        <w:rPr>
          <w:rFonts w:hint="eastAsia"/>
          <w:szCs w:val="21"/>
        </w:rPr>
        <w:t>资产、负债情况分析</w:t>
      </w:r>
    </w:p>
    <w:p w14:paraId="7DAB626F">
      <w:pPr>
        <w:rPr>
          <w:rFonts w:hint="eastAsia"/>
        </w:rPr>
      </w:pPr>
      <w:sdt>
        <w:sdtPr>
          <w:rPr>
            <w:rFonts w:hint="eastAsia"/>
          </w:rPr>
          <w:alias w:val="是否适用：资产、负债情况分析[双击切换]"/>
          <w:tag w:val="_GBC_73f72b786f764d01bef1bb70d2d6e5c6"/>
          <w:id w:val="110716746"/>
          <w:lock w:val="contentLocked"/>
          <w:placeholder>
            <w:docPart w:val="GBC22222222222222222222222222222"/>
          </w:placeholder>
        </w:sdtPr>
        <w:sdtEndPr>
          <w:rPr>
            <w:rFonts w:hint="eastAsia"/>
          </w:rPr>
        </w:sdtEndPr>
        <w:sdtContent>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sdtContent>
      </w:sdt>
    </w:p>
    <w:p w14:paraId="32EC28E5">
      <w:pPr>
        <w:pStyle w:val="5"/>
        <w:numPr>
          <w:ilvl w:val="0"/>
          <w:numId w:val="12"/>
        </w:numPr>
        <w:rPr>
          <w:rFonts w:hint="eastAsia"/>
        </w:rPr>
      </w:pPr>
      <w:r>
        <w:t>资产</w:t>
      </w:r>
      <w:r>
        <w:rPr>
          <w:rFonts w:hint="eastAsia"/>
        </w:rPr>
        <w:t>及</w:t>
      </w:r>
      <w:r>
        <w:t>负债</w:t>
      </w:r>
      <w:r>
        <w:rPr>
          <w:rFonts w:hint="eastAsia"/>
          <w:szCs w:val="21"/>
        </w:rPr>
        <w:t>状</w:t>
      </w:r>
      <w:r>
        <w:rPr>
          <w:szCs w:val="21"/>
        </w:rPr>
        <w:t>况</w:t>
      </w:r>
    </w:p>
    <w:p w14:paraId="28E9BAAD">
      <w:pPr>
        <w:jc w:val="right"/>
        <w:rPr>
          <w:rFonts w:hint="eastAsia"/>
          <w:szCs w:val="21"/>
        </w:rPr>
      </w:pPr>
      <w:r>
        <w:rPr>
          <w:rFonts w:hint="eastAsia"/>
          <w:szCs w:val="21"/>
        </w:rPr>
        <w:t>单位：</w:t>
      </w:r>
      <w:sdt>
        <w:sdtPr>
          <w:rPr>
            <w:rFonts w:hint="eastAsia"/>
            <w:szCs w:val="21"/>
          </w:rPr>
          <w:alias w:val="单位：资产负债状况分析"/>
          <w:tag w:val="_GBC_f016c1cffd884dd784e4fb134fd0d4df"/>
          <w:id w:val="-21312368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p>
    <w:tbl>
      <w:tblPr>
        <w:tblStyle w:val="38"/>
        <w:tblW w:w="530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1601"/>
        <w:gridCol w:w="1017"/>
        <w:gridCol w:w="1599"/>
        <w:gridCol w:w="1017"/>
        <w:gridCol w:w="1019"/>
        <w:gridCol w:w="2034"/>
      </w:tblGrid>
      <w:tr w14:paraId="462A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blHeader/>
        </w:trPr>
        <w:sdt>
          <w:sdtPr>
            <w:tag w:val="_PLD_8f1f37d9a09f4bf3a8f4c407297e58ed"/>
            <w:id w:val="420450504"/>
          </w:sdtPr>
          <w:sdtContent>
            <w:tc>
              <w:tcPr>
                <w:tcW w:w="682" w:type="pct"/>
                <w:vAlign w:val="center"/>
              </w:tcPr>
              <w:p w14:paraId="29AB3E63">
                <w:pPr>
                  <w:widowControl w:val="0"/>
                  <w:jc w:val="center"/>
                  <w:rPr>
                    <w:rFonts w:hint="eastAsia"/>
                    <w:szCs w:val="21"/>
                  </w:rPr>
                </w:pPr>
                <w:r>
                  <w:rPr>
                    <w:szCs w:val="21"/>
                  </w:rPr>
                  <w:t>项目名称</w:t>
                </w:r>
              </w:p>
            </w:tc>
          </w:sdtContent>
        </w:sdt>
        <w:sdt>
          <w:sdtPr>
            <w:tag w:val="_PLD_a4c00a3d0d0a42e28bc6a14dd6d26320"/>
            <w:id w:val="-1395274974"/>
          </w:sdtPr>
          <w:sdtContent>
            <w:tc>
              <w:tcPr>
                <w:tcW w:w="834" w:type="pct"/>
                <w:vAlign w:val="center"/>
              </w:tcPr>
              <w:p w14:paraId="29853701">
                <w:pPr>
                  <w:widowControl w:val="0"/>
                  <w:jc w:val="center"/>
                  <w:rPr>
                    <w:rFonts w:hint="eastAsia"/>
                    <w:szCs w:val="21"/>
                  </w:rPr>
                </w:pPr>
                <w:r>
                  <w:rPr>
                    <w:szCs w:val="21"/>
                  </w:rPr>
                  <w:t>本期期末数</w:t>
                </w:r>
              </w:p>
            </w:tc>
          </w:sdtContent>
        </w:sdt>
        <w:sdt>
          <w:sdtPr>
            <w:tag w:val="_PLD_17de20223ad64b528b824744807b0036"/>
            <w:id w:val="1066840283"/>
          </w:sdtPr>
          <w:sdtContent>
            <w:tc>
              <w:tcPr>
                <w:tcW w:w="530" w:type="pct"/>
                <w:vAlign w:val="center"/>
              </w:tcPr>
              <w:p w14:paraId="769BEF70">
                <w:pPr>
                  <w:widowControl w:val="0"/>
                  <w:jc w:val="center"/>
                  <w:rPr>
                    <w:rFonts w:hint="eastAsia"/>
                    <w:szCs w:val="21"/>
                  </w:rPr>
                </w:pPr>
                <w:r>
                  <w:rPr>
                    <w:szCs w:val="21"/>
                  </w:rPr>
                  <w:t>本期期末数占总资产的比例（%）</w:t>
                </w:r>
              </w:p>
            </w:tc>
          </w:sdtContent>
        </w:sdt>
        <w:sdt>
          <w:sdtPr>
            <w:tag w:val="_PLD_d1b9e9483c3a41358f877758b5adb0fb"/>
            <w:id w:val="655040647"/>
          </w:sdtPr>
          <w:sdtContent>
            <w:tc>
              <w:tcPr>
                <w:tcW w:w="833" w:type="pct"/>
                <w:vAlign w:val="center"/>
              </w:tcPr>
              <w:p w14:paraId="573D7FDE">
                <w:pPr>
                  <w:widowControl w:val="0"/>
                  <w:jc w:val="center"/>
                  <w:rPr>
                    <w:rFonts w:hint="eastAsia"/>
                    <w:szCs w:val="21"/>
                  </w:rPr>
                </w:pPr>
                <w:r>
                  <w:rPr>
                    <w:szCs w:val="21"/>
                  </w:rPr>
                  <w:t>上期期末数</w:t>
                </w:r>
              </w:p>
            </w:tc>
          </w:sdtContent>
        </w:sdt>
        <w:sdt>
          <w:sdtPr>
            <w:tag w:val="_PLD_3a8a8577e1a84f26856a900f7202f9a8"/>
            <w:id w:val="936635583"/>
          </w:sdtPr>
          <w:sdtContent>
            <w:tc>
              <w:tcPr>
                <w:tcW w:w="530" w:type="pct"/>
                <w:vAlign w:val="center"/>
              </w:tcPr>
              <w:p w14:paraId="6D5F3BF1">
                <w:pPr>
                  <w:widowControl w:val="0"/>
                  <w:jc w:val="center"/>
                  <w:rPr>
                    <w:rFonts w:hint="eastAsia"/>
                    <w:szCs w:val="21"/>
                  </w:rPr>
                </w:pPr>
                <w:r>
                  <w:rPr>
                    <w:szCs w:val="21"/>
                  </w:rPr>
                  <w:t>上期期末数占总资产的比例（%）</w:t>
                </w:r>
              </w:p>
            </w:tc>
          </w:sdtContent>
        </w:sdt>
        <w:sdt>
          <w:sdtPr>
            <w:tag w:val="_PLD_8af1894621b84d44aec1deba51e3a7da"/>
            <w:id w:val="-653518982"/>
          </w:sdtPr>
          <w:sdtContent>
            <w:tc>
              <w:tcPr>
                <w:tcW w:w="531" w:type="pct"/>
                <w:vAlign w:val="center"/>
              </w:tcPr>
              <w:p w14:paraId="798B73A6">
                <w:pPr>
                  <w:widowControl w:val="0"/>
                  <w:jc w:val="center"/>
                  <w:rPr>
                    <w:rFonts w:hint="eastAsia"/>
                    <w:szCs w:val="21"/>
                  </w:rPr>
                </w:pPr>
                <w:r>
                  <w:rPr>
                    <w:szCs w:val="21"/>
                  </w:rPr>
                  <w:t>本期期末金额较上期期末变动比例（%）</w:t>
                </w:r>
              </w:p>
            </w:tc>
          </w:sdtContent>
        </w:sdt>
        <w:sdt>
          <w:sdtPr>
            <w:tag w:val="_PLD_495436d1d45e4a9391194459a895631e"/>
            <w:id w:val="53290931"/>
          </w:sdtPr>
          <w:sdtContent>
            <w:tc>
              <w:tcPr>
                <w:tcW w:w="1060" w:type="pct"/>
                <w:vAlign w:val="center"/>
              </w:tcPr>
              <w:p w14:paraId="75E0A51B">
                <w:pPr>
                  <w:widowControl w:val="0"/>
                  <w:jc w:val="center"/>
                  <w:rPr>
                    <w:rFonts w:hint="eastAsia"/>
                    <w:szCs w:val="21"/>
                  </w:rPr>
                </w:pPr>
                <w:r>
                  <w:rPr>
                    <w:szCs w:val="21"/>
                  </w:rPr>
                  <w:t>情况说明</w:t>
                </w:r>
              </w:p>
            </w:tc>
          </w:sdtContent>
        </w:sdt>
      </w:tr>
      <w:tr w14:paraId="0B05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74257976">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应收款项融资</w:t>
            </w:r>
          </w:p>
        </w:tc>
        <w:tc>
          <w:tcPr>
            <w:tcW w:w="834" w:type="pct"/>
            <w:vAlign w:val="center"/>
          </w:tcPr>
          <w:p w14:paraId="5CB18843">
            <w:pPr>
              <w:widowControl w:val="0"/>
              <w:jc w:val="right"/>
              <w:rPr>
                <w:rFonts w:ascii="Arial Narrow" w:hAnsi="Arial Narrow" w:eastAsiaTheme="minorEastAsia"/>
                <w:szCs w:val="21"/>
              </w:rPr>
            </w:pPr>
            <w:r>
              <w:rPr>
                <w:rFonts w:ascii="Arial Narrow" w:hAnsi="Arial Narrow" w:eastAsiaTheme="minorEastAsia"/>
                <w:color w:val="000000"/>
                <w:szCs w:val="21"/>
              </w:rPr>
              <w:t>20,627,331.54</w:t>
            </w:r>
          </w:p>
        </w:tc>
        <w:tc>
          <w:tcPr>
            <w:tcW w:w="530" w:type="pct"/>
            <w:vAlign w:val="center"/>
          </w:tcPr>
          <w:p w14:paraId="21C54C55">
            <w:pPr>
              <w:widowControl w:val="0"/>
              <w:jc w:val="right"/>
              <w:rPr>
                <w:rFonts w:ascii="Arial Narrow" w:hAnsi="Arial Narrow" w:eastAsiaTheme="minorEastAsia"/>
                <w:szCs w:val="21"/>
              </w:rPr>
            </w:pPr>
            <w:r>
              <w:rPr>
                <w:rFonts w:ascii="Arial Narrow" w:hAnsi="Arial Narrow" w:eastAsiaTheme="minorEastAsia"/>
                <w:color w:val="000000"/>
                <w:szCs w:val="21"/>
              </w:rPr>
              <w:t>0.10</w:t>
            </w:r>
          </w:p>
        </w:tc>
        <w:tc>
          <w:tcPr>
            <w:tcW w:w="833" w:type="pct"/>
            <w:vAlign w:val="center"/>
          </w:tcPr>
          <w:p w14:paraId="290E1220">
            <w:pPr>
              <w:widowControl w:val="0"/>
              <w:jc w:val="right"/>
              <w:rPr>
                <w:rFonts w:ascii="Arial Narrow" w:hAnsi="Arial Narrow" w:eastAsiaTheme="minorEastAsia"/>
                <w:szCs w:val="21"/>
              </w:rPr>
            </w:pPr>
            <w:r>
              <w:rPr>
                <w:rFonts w:ascii="Arial Narrow" w:hAnsi="Arial Narrow" w:eastAsiaTheme="minorEastAsia"/>
                <w:color w:val="000000"/>
                <w:szCs w:val="21"/>
              </w:rPr>
              <w:t>31,461,490.81</w:t>
            </w:r>
          </w:p>
        </w:tc>
        <w:tc>
          <w:tcPr>
            <w:tcW w:w="530" w:type="pct"/>
            <w:vAlign w:val="center"/>
          </w:tcPr>
          <w:p w14:paraId="1BDA26C6">
            <w:pPr>
              <w:widowControl w:val="0"/>
              <w:jc w:val="right"/>
              <w:rPr>
                <w:rFonts w:ascii="Arial Narrow" w:hAnsi="Arial Narrow" w:eastAsiaTheme="minorEastAsia"/>
                <w:szCs w:val="21"/>
              </w:rPr>
            </w:pPr>
            <w:r>
              <w:rPr>
                <w:rFonts w:ascii="Arial Narrow" w:hAnsi="Arial Narrow" w:eastAsiaTheme="minorEastAsia"/>
                <w:color w:val="000000"/>
                <w:szCs w:val="21"/>
              </w:rPr>
              <w:t>0.12</w:t>
            </w:r>
          </w:p>
        </w:tc>
        <w:tc>
          <w:tcPr>
            <w:tcW w:w="531" w:type="pct"/>
            <w:vAlign w:val="center"/>
          </w:tcPr>
          <w:p w14:paraId="1B0E48E8">
            <w:pPr>
              <w:widowControl w:val="0"/>
              <w:jc w:val="right"/>
              <w:rPr>
                <w:rFonts w:ascii="Arial Narrow" w:hAnsi="Arial Narrow" w:eastAsiaTheme="minorEastAsia"/>
                <w:szCs w:val="21"/>
              </w:rPr>
            </w:pPr>
            <w:r>
              <w:rPr>
                <w:rFonts w:ascii="Arial Narrow" w:hAnsi="Arial Narrow" w:eastAsiaTheme="minorEastAsia"/>
                <w:color w:val="000000"/>
                <w:szCs w:val="21"/>
              </w:rPr>
              <w:t>-34.44</w:t>
            </w:r>
          </w:p>
        </w:tc>
        <w:tc>
          <w:tcPr>
            <w:tcW w:w="1060" w:type="pct"/>
          </w:tcPr>
          <w:p w14:paraId="0E0FB0FE">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主要系银行承兑汇票到期兑付或背书转让所致</w:t>
            </w:r>
          </w:p>
        </w:tc>
      </w:tr>
      <w:tr w14:paraId="53F0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19403DDE">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预付款项</w:t>
            </w:r>
          </w:p>
        </w:tc>
        <w:tc>
          <w:tcPr>
            <w:tcW w:w="834" w:type="pct"/>
            <w:vAlign w:val="center"/>
          </w:tcPr>
          <w:p w14:paraId="50922D69">
            <w:pPr>
              <w:widowControl w:val="0"/>
              <w:jc w:val="right"/>
              <w:rPr>
                <w:rFonts w:ascii="Arial Narrow" w:hAnsi="Arial Narrow" w:eastAsiaTheme="minorEastAsia"/>
                <w:szCs w:val="21"/>
              </w:rPr>
            </w:pPr>
            <w:r>
              <w:rPr>
                <w:rFonts w:ascii="Arial Narrow" w:hAnsi="Arial Narrow" w:eastAsiaTheme="minorEastAsia"/>
                <w:color w:val="000000"/>
                <w:szCs w:val="21"/>
              </w:rPr>
              <w:t>146,724,980.87</w:t>
            </w:r>
          </w:p>
        </w:tc>
        <w:tc>
          <w:tcPr>
            <w:tcW w:w="530" w:type="pct"/>
            <w:vAlign w:val="center"/>
          </w:tcPr>
          <w:p w14:paraId="12E50517">
            <w:pPr>
              <w:widowControl w:val="0"/>
              <w:jc w:val="right"/>
              <w:rPr>
                <w:rFonts w:ascii="Arial Narrow" w:hAnsi="Arial Narrow" w:eastAsiaTheme="minorEastAsia"/>
                <w:szCs w:val="21"/>
              </w:rPr>
            </w:pPr>
            <w:r>
              <w:rPr>
                <w:rFonts w:ascii="Arial Narrow" w:hAnsi="Arial Narrow" w:eastAsiaTheme="minorEastAsia"/>
                <w:color w:val="000000"/>
                <w:szCs w:val="21"/>
              </w:rPr>
              <w:t>0.69</w:t>
            </w:r>
          </w:p>
        </w:tc>
        <w:tc>
          <w:tcPr>
            <w:tcW w:w="833" w:type="pct"/>
            <w:vAlign w:val="center"/>
          </w:tcPr>
          <w:p w14:paraId="77010511">
            <w:pPr>
              <w:widowControl w:val="0"/>
              <w:jc w:val="right"/>
              <w:rPr>
                <w:rFonts w:ascii="Arial Narrow" w:hAnsi="Arial Narrow" w:eastAsiaTheme="minorEastAsia"/>
                <w:szCs w:val="21"/>
              </w:rPr>
            </w:pPr>
            <w:r>
              <w:rPr>
                <w:rFonts w:ascii="Arial Narrow" w:hAnsi="Arial Narrow" w:eastAsiaTheme="minorEastAsia"/>
                <w:color w:val="000000"/>
                <w:szCs w:val="21"/>
              </w:rPr>
              <w:t>220,582,419.27</w:t>
            </w:r>
          </w:p>
        </w:tc>
        <w:tc>
          <w:tcPr>
            <w:tcW w:w="530" w:type="pct"/>
            <w:vAlign w:val="center"/>
          </w:tcPr>
          <w:p w14:paraId="7D2C427A">
            <w:pPr>
              <w:widowControl w:val="0"/>
              <w:jc w:val="right"/>
              <w:rPr>
                <w:rFonts w:ascii="Arial Narrow" w:hAnsi="Arial Narrow" w:eastAsiaTheme="minorEastAsia"/>
                <w:szCs w:val="21"/>
              </w:rPr>
            </w:pPr>
            <w:r>
              <w:rPr>
                <w:rFonts w:ascii="Arial Narrow" w:hAnsi="Arial Narrow" w:eastAsiaTheme="minorEastAsia"/>
                <w:color w:val="000000"/>
                <w:szCs w:val="21"/>
              </w:rPr>
              <w:t>0.83</w:t>
            </w:r>
          </w:p>
        </w:tc>
        <w:tc>
          <w:tcPr>
            <w:tcW w:w="531" w:type="pct"/>
            <w:vAlign w:val="center"/>
          </w:tcPr>
          <w:p w14:paraId="25FF3257">
            <w:pPr>
              <w:widowControl w:val="0"/>
              <w:jc w:val="right"/>
              <w:rPr>
                <w:rFonts w:ascii="Arial Narrow" w:hAnsi="Arial Narrow" w:eastAsiaTheme="minorEastAsia"/>
                <w:szCs w:val="21"/>
              </w:rPr>
            </w:pPr>
            <w:r>
              <w:rPr>
                <w:rFonts w:ascii="Arial Narrow" w:hAnsi="Arial Narrow" w:eastAsiaTheme="minorEastAsia"/>
                <w:color w:val="000000"/>
                <w:szCs w:val="21"/>
              </w:rPr>
              <w:t>-33.48</w:t>
            </w:r>
          </w:p>
        </w:tc>
        <w:tc>
          <w:tcPr>
            <w:tcW w:w="1060" w:type="pct"/>
          </w:tcPr>
          <w:p w14:paraId="4A3AFC5C">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主要系公司预付材料款、货款同比减少所致</w:t>
            </w:r>
          </w:p>
        </w:tc>
      </w:tr>
      <w:tr w14:paraId="1756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0C31FEB7">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其他应收款</w:t>
            </w:r>
          </w:p>
        </w:tc>
        <w:tc>
          <w:tcPr>
            <w:tcW w:w="834" w:type="pct"/>
            <w:vAlign w:val="center"/>
          </w:tcPr>
          <w:p w14:paraId="750579E2">
            <w:pPr>
              <w:widowControl w:val="0"/>
              <w:jc w:val="right"/>
              <w:rPr>
                <w:rFonts w:ascii="Arial Narrow" w:hAnsi="Arial Narrow" w:eastAsiaTheme="minorEastAsia"/>
                <w:szCs w:val="21"/>
              </w:rPr>
            </w:pPr>
            <w:r>
              <w:rPr>
                <w:rFonts w:ascii="Arial Narrow" w:hAnsi="Arial Narrow" w:eastAsiaTheme="minorEastAsia"/>
                <w:color w:val="000000"/>
                <w:szCs w:val="21"/>
              </w:rPr>
              <w:t>644,572,849.98</w:t>
            </w:r>
          </w:p>
        </w:tc>
        <w:tc>
          <w:tcPr>
            <w:tcW w:w="530" w:type="pct"/>
            <w:vAlign w:val="center"/>
          </w:tcPr>
          <w:p w14:paraId="6E21D746">
            <w:pPr>
              <w:widowControl w:val="0"/>
              <w:jc w:val="right"/>
              <w:rPr>
                <w:rFonts w:ascii="Arial Narrow" w:hAnsi="Arial Narrow" w:eastAsiaTheme="minorEastAsia"/>
                <w:szCs w:val="21"/>
              </w:rPr>
            </w:pPr>
            <w:r>
              <w:rPr>
                <w:rFonts w:ascii="Arial Narrow" w:hAnsi="Arial Narrow" w:eastAsiaTheme="minorEastAsia"/>
                <w:color w:val="000000"/>
                <w:szCs w:val="21"/>
              </w:rPr>
              <w:t>3.04</w:t>
            </w:r>
          </w:p>
        </w:tc>
        <w:tc>
          <w:tcPr>
            <w:tcW w:w="833" w:type="pct"/>
            <w:vAlign w:val="center"/>
          </w:tcPr>
          <w:p w14:paraId="234C8228">
            <w:pPr>
              <w:widowControl w:val="0"/>
              <w:jc w:val="right"/>
              <w:rPr>
                <w:rFonts w:ascii="Arial Narrow" w:hAnsi="Arial Narrow" w:eastAsiaTheme="minorEastAsia"/>
                <w:szCs w:val="21"/>
              </w:rPr>
            </w:pPr>
            <w:r>
              <w:rPr>
                <w:rFonts w:ascii="Arial Narrow" w:hAnsi="Arial Narrow" w:eastAsiaTheme="minorEastAsia"/>
                <w:color w:val="000000"/>
                <w:szCs w:val="21"/>
              </w:rPr>
              <w:t>1,276,952,038.37</w:t>
            </w:r>
          </w:p>
        </w:tc>
        <w:tc>
          <w:tcPr>
            <w:tcW w:w="530" w:type="pct"/>
            <w:vAlign w:val="center"/>
          </w:tcPr>
          <w:p w14:paraId="4929F765">
            <w:pPr>
              <w:widowControl w:val="0"/>
              <w:jc w:val="right"/>
              <w:rPr>
                <w:rFonts w:ascii="Arial Narrow" w:hAnsi="Arial Narrow" w:eastAsiaTheme="minorEastAsia"/>
                <w:szCs w:val="21"/>
              </w:rPr>
            </w:pPr>
            <w:r>
              <w:rPr>
                <w:rFonts w:ascii="Arial Narrow" w:hAnsi="Arial Narrow" w:eastAsiaTheme="minorEastAsia"/>
                <w:color w:val="000000"/>
                <w:szCs w:val="21"/>
              </w:rPr>
              <w:t>4.83</w:t>
            </w:r>
          </w:p>
        </w:tc>
        <w:tc>
          <w:tcPr>
            <w:tcW w:w="531" w:type="pct"/>
            <w:vAlign w:val="center"/>
          </w:tcPr>
          <w:p w14:paraId="6A04C6BD">
            <w:pPr>
              <w:widowControl w:val="0"/>
              <w:jc w:val="right"/>
              <w:rPr>
                <w:rFonts w:ascii="Arial Narrow" w:hAnsi="Arial Narrow" w:eastAsiaTheme="minorEastAsia"/>
                <w:szCs w:val="21"/>
              </w:rPr>
            </w:pPr>
            <w:r>
              <w:rPr>
                <w:rFonts w:ascii="Arial Narrow" w:hAnsi="Arial Narrow" w:eastAsiaTheme="minorEastAsia"/>
                <w:color w:val="000000"/>
                <w:szCs w:val="21"/>
              </w:rPr>
              <w:t>-49.52</w:t>
            </w:r>
          </w:p>
        </w:tc>
        <w:tc>
          <w:tcPr>
            <w:tcW w:w="1060" w:type="pct"/>
          </w:tcPr>
          <w:p w14:paraId="544933D3">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主要系公司本期计提减值准备及根据回款年限重分类长期应收款所致</w:t>
            </w:r>
          </w:p>
        </w:tc>
      </w:tr>
      <w:tr w14:paraId="7A20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22DD2DFD">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存货</w:t>
            </w:r>
          </w:p>
        </w:tc>
        <w:tc>
          <w:tcPr>
            <w:tcW w:w="834" w:type="pct"/>
            <w:vAlign w:val="center"/>
          </w:tcPr>
          <w:p w14:paraId="1A3A08E5">
            <w:pPr>
              <w:widowControl w:val="0"/>
              <w:jc w:val="right"/>
              <w:rPr>
                <w:rFonts w:ascii="Arial Narrow" w:hAnsi="Arial Narrow" w:eastAsiaTheme="minorEastAsia"/>
                <w:szCs w:val="21"/>
              </w:rPr>
            </w:pPr>
            <w:r>
              <w:rPr>
                <w:rFonts w:ascii="Arial Narrow" w:hAnsi="Arial Narrow" w:eastAsiaTheme="minorEastAsia"/>
                <w:color w:val="000000"/>
                <w:szCs w:val="21"/>
              </w:rPr>
              <w:t>2,623,357,182.30</w:t>
            </w:r>
          </w:p>
        </w:tc>
        <w:tc>
          <w:tcPr>
            <w:tcW w:w="530" w:type="pct"/>
            <w:vAlign w:val="center"/>
          </w:tcPr>
          <w:p w14:paraId="3F7405B2">
            <w:pPr>
              <w:widowControl w:val="0"/>
              <w:jc w:val="right"/>
              <w:rPr>
                <w:rFonts w:ascii="Arial Narrow" w:hAnsi="Arial Narrow" w:eastAsiaTheme="minorEastAsia"/>
                <w:szCs w:val="21"/>
              </w:rPr>
            </w:pPr>
            <w:r>
              <w:rPr>
                <w:rFonts w:ascii="Arial Narrow" w:hAnsi="Arial Narrow" w:eastAsiaTheme="minorEastAsia"/>
                <w:color w:val="000000"/>
                <w:szCs w:val="21"/>
              </w:rPr>
              <w:t>12.39</w:t>
            </w:r>
          </w:p>
        </w:tc>
        <w:tc>
          <w:tcPr>
            <w:tcW w:w="833" w:type="pct"/>
            <w:vAlign w:val="center"/>
          </w:tcPr>
          <w:p w14:paraId="610B4299">
            <w:pPr>
              <w:widowControl w:val="0"/>
              <w:jc w:val="right"/>
              <w:rPr>
                <w:rFonts w:ascii="Arial Narrow" w:hAnsi="Arial Narrow" w:eastAsiaTheme="minorEastAsia"/>
                <w:szCs w:val="21"/>
              </w:rPr>
            </w:pPr>
            <w:r>
              <w:rPr>
                <w:rFonts w:ascii="Arial Narrow" w:hAnsi="Arial Narrow" w:eastAsiaTheme="minorEastAsia"/>
                <w:color w:val="000000"/>
                <w:szCs w:val="21"/>
              </w:rPr>
              <w:t>4,133,652,350.69</w:t>
            </w:r>
          </w:p>
        </w:tc>
        <w:tc>
          <w:tcPr>
            <w:tcW w:w="530" w:type="pct"/>
            <w:vAlign w:val="center"/>
          </w:tcPr>
          <w:p w14:paraId="0806C59F">
            <w:pPr>
              <w:widowControl w:val="0"/>
              <w:jc w:val="right"/>
              <w:rPr>
                <w:rFonts w:ascii="Arial Narrow" w:hAnsi="Arial Narrow" w:eastAsiaTheme="minorEastAsia"/>
                <w:szCs w:val="21"/>
              </w:rPr>
            </w:pPr>
            <w:r>
              <w:rPr>
                <w:rFonts w:ascii="Arial Narrow" w:hAnsi="Arial Narrow" w:eastAsiaTheme="minorEastAsia"/>
                <w:color w:val="000000"/>
                <w:szCs w:val="21"/>
              </w:rPr>
              <w:t>15.64</w:t>
            </w:r>
          </w:p>
        </w:tc>
        <w:tc>
          <w:tcPr>
            <w:tcW w:w="531" w:type="pct"/>
            <w:vAlign w:val="center"/>
          </w:tcPr>
          <w:p w14:paraId="06D816AB">
            <w:pPr>
              <w:widowControl w:val="0"/>
              <w:jc w:val="right"/>
              <w:rPr>
                <w:rFonts w:ascii="Arial Narrow" w:hAnsi="Arial Narrow" w:eastAsiaTheme="minorEastAsia"/>
                <w:szCs w:val="21"/>
              </w:rPr>
            </w:pPr>
            <w:r>
              <w:rPr>
                <w:rFonts w:ascii="Arial Narrow" w:hAnsi="Arial Narrow" w:eastAsiaTheme="minorEastAsia"/>
                <w:color w:val="000000"/>
                <w:szCs w:val="21"/>
              </w:rPr>
              <w:t>-36.54</w:t>
            </w:r>
          </w:p>
        </w:tc>
        <w:tc>
          <w:tcPr>
            <w:tcW w:w="1060" w:type="pct"/>
          </w:tcPr>
          <w:p w14:paraId="2AEA508D">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主要系本报告期加快产品出库及计提减值影响所致</w:t>
            </w:r>
          </w:p>
        </w:tc>
      </w:tr>
      <w:tr w14:paraId="1A80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2BB0DC2E">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长期股权投资</w:t>
            </w:r>
          </w:p>
        </w:tc>
        <w:tc>
          <w:tcPr>
            <w:tcW w:w="834" w:type="pct"/>
            <w:vAlign w:val="center"/>
          </w:tcPr>
          <w:p w14:paraId="3AFB9C04">
            <w:pPr>
              <w:widowControl w:val="0"/>
              <w:jc w:val="right"/>
              <w:rPr>
                <w:rFonts w:ascii="Arial Narrow" w:hAnsi="Arial Narrow" w:eastAsiaTheme="minorEastAsia"/>
                <w:szCs w:val="21"/>
              </w:rPr>
            </w:pPr>
            <w:r>
              <w:rPr>
                <w:rFonts w:ascii="Arial Narrow" w:hAnsi="Arial Narrow" w:eastAsiaTheme="minorEastAsia"/>
                <w:color w:val="000000"/>
                <w:szCs w:val="21"/>
              </w:rPr>
              <w:t>48,009,657.16</w:t>
            </w:r>
          </w:p>
        </w:tc>
        <w:tc>
          <w:tcPr>
            <w:tcW w:w="530" w:type="pct"/>
            <w:vAlign w:val="center"/>
          </w:tcPr>
          <w:p w14:paraId="619D0DFB">
            <w:pPr>
              <w:widowControl w:val="0"/>
              <w:jc w:val="right"/>
              <w:rPr>
                <w:rFonts w:ascii="Arial Narrow" w:hAnsi="Arial Narrow" w:eastAsiaTheme="minorEastAsia"/>
                <w:szCs w:val="21"/>
              </w:rPr>
            </w:pPr>
            <w:r>
              <w:rPr>
                <w:rFonts w:ascii="Arial Narrow" w:hAnsi="Arial Narrow" w:eastAsiaTheme="minorEastAsia"/>
                <w:color w:val="000000"/>
                <w:szCs w:val="21"/>
              </w:rPr>
              <w:t>0.23</w:t>
            </w:r>
          </w:p>
        </w:tc>
        <w:tc>
          <w:tcPr>
            <w:tcW w:w="833" w:type="pct"/>
            <w:vAlign w:val="center"/>
          </w:tcPr>
          <w:p w14:paraId="612E4FCA">
            <w:pPr>
              <w:widowControl w:val="0"/>
              <w:jc w:val="right"/>
              <w:rPr>
                <w:rFonts w:ascii="Arial Narrow" w:hAnsi="Arial Narrow" w:eastAsiaTheme="minorEastAsia"/>
                <w:szCs w:val="21"/>
              </w:rPr>
            </w:pPr>
            <w:r>
              <w:rPr>
                <w:rFonts w:ascii="Arial Narrow" w:hAnsi="Arial Narrow" w:eastAsiaTheme="minorEastAsia"/>
                <w:color w:val="000000"/>
                <w:szCs w:val="21"/>
              </w:rPr>
              <w:t>92,929,557.14</w:t>
            </w:r>
          </w:p>
        </w:tc>
        <w:tc>
          <w:tcPr>
            <w:tcW w:w="530" w:type="pct"/>
            <w:vAlign w:val="center"/>
          </w:tcPr>
          <w:p w14:paraId="48B7F104">
            <w:pPr>
              <w:widowControl w:val="0"/>
              <w:jc w:val="right"/>
              <w:rPr>
                <w:rFonts w:ascii="Arial Narrow" w:hAnsi="Arial Narrow" w:eastAsiaTheme="minorEastAsia"/>
                <w:szCs w:val="21"/>
              </w:rPr>
            </w:pPr>
            <w:r>
              <w:rPr>
                <w:rFonts w:ascii="Arial Narrow" w:hAnsi="Arial Narrow" w:eastAsiaTheme="minorEastAsia"/>
                <w:color w:val="000000"/>
                <w:szCs w:val="21"/>
              </w:rPr>
              <w:t>0.35</w:t>
            </w:r>
          </w:p>
        </w:tc>
        <w:tc>
          <w:tcPr>
            <w:tcW w:w="531" w:type="pct"/>
            <w:vAlign w:val="center"/>
          </w:tcPr>
          <w:p w14:paraId="53A6113A">
            <w:pPr>
              <w:widowControl w:val="0"/>
              <w:jc w:val="right"/>
              <w:rPr>
                <w:rFonts w:ascii="Arial Narrow" w:hAnsi="Arial Narrow" w:eastAsiaTheme="minorEastAsia"/>
                <w:szCs w:val="21"/>
              </w:rPr>
            </w:pPr>
            <w:r>
              <w:rPr>
                <w:rFonts w:ascii="Arial Narrow" w:hAnsi="Arial Narrow" w:eastAsiaTheme="minorEastAsia"/>
                <w:color w:val="000000"/>
                <w:szCs w:val="21"/>
              </w:rPr>
              <w:t>-48.34</w:t>
            </w:r>
          </w:p>
        </w:tc>
        <w:tc>
          <w:tcPr>
            <w:tcW w:w="1060" w:type="pct"/>
          </w:tcPr>
          <w:p w14:paraId="24EFB1B1">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主要系部分参股企业经营亏损所致</w:t>
            </w:r>
          </w:p>
        </w:tc>
      </w:tr>
      <w:tr w14:paraId="7BD6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4F83376D">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在建工程</w:t>
            </w:r>
          </w:p>
        </w:tc>
        <w:tc>
          <w:tcPr>
            <w:tcW w:w="834" w:type="pct"/>
            <w:vAlign w:val="center"/>
          </w:tcPr>
          <w:p w14:paraId="77F239DE">
            <w:pPr>
              <w:widowControl w:val="0"/>
              <w:jc w:val="right"/>
              <w:rPr>
                <w:rFonts w:ascii="Arial Narrow" w:hAnsi="Arial Narrow" w:eastAsiaTheme="minorEastAsia"/>
                <w:szCs w:val="21"/>
              </w:rPr>
            </w:pPr>
            <w:r>
              <w:rPr>
                <w:rFonts w:ascii="Arial Narrow" w:hAnsi="Arial Narrow" w:eastAsiaTheme="minorEastAsia"/>
                <w:color w:val="000000"/>
                <w:szCs w:val="21"/>
              </w:rPr>
              <w:t>275,601,526.58</w:t>
            </w:r>
          </w:p>
        </w:tc>
        <w:tc>
          <w:tcPr>
            <w:tcW w:w="530" w:type="pct"/>
            <w:vAlign w:val="center"/>
          </w:tcPr>
          <w:p w14:paraId="22A301B8">
            <w:pPr>
              <w:widowControl w:val="0"/>
              <w:jc w:val="right"/>
              <w:rPr>
                <w:rFonts w:ascii="Arial Narrow" w:hAnsi="Arial Narrow" w:eastAsiaTheme="minorEastAsia"/>
                <w:szCs w:val="21"/>
              </w:rPr>
            </w:pPr>
            <w:r>
              <w:rPr>
                <w:rFonts w:ascii="Arial Narrow" w:hAnsi="Arial Narrow" w:eastAsiaTheme="minorEastAsia"/>
                <w:color w:val="000000"/>
                <w:szCs w:val="21"/>
              </w:rPr>
              <w:t>1.30</w:t>
            </w:r>
          </w:p>
        </w:tc>
        <w:tc>
          <w:tcPr>
            <w:tcW w:w="833" w:type="pct"/>
            <w:vAlign w:val="center"/>
          </w:tcPr>
          <w:p w14:paraId="6285C449">
            <w:pPr>
              <w:widowControl w:val="0"/>
              <w:jc w:val="right"/>
              <w:rPr>
                <w:rFonts w:ascii="Arial Narrow" w:hAnsi="Arial Narrow" w:eastAsiaTheme="minorEastAsia"/>
                <w:szCs w:val="21"/>
              </w:rPr>
            </w:pPr>
            <w:r>
              <w:rPr>
                <w:rFonts w:ascii="Arial Narrow" w:hAnsi="Arial Narrow" w:eastAsiaTheme="minorEastAsia"/>
                <w:color w:val="000000"/>
                <w:szCs w:val="21"/>
              </w:rPr>
              <w:t>1,427,687,716.18</w:t>
            </w:r>
          </w:p>
        </w:tc>
        <w:tc>
          <w:tcPr>
            <w:tcW w:w="530" w:type="pct"/>
            <w:vAlign w:val="center"/>
          </w:tcPr>
          <w:p w14:paraId="40C8198F">
            <w:pPr>
              <w:widowControl w:val="0"/>
              <w:jc w:val="right"/>
              <w:rPr>
                <w:rFonts w:ascii="Arial Narrow" w:hAnsi="Arial Narrow" w:eastAsiaTheme="minorEastAsia"/>
                <w:szCs w:val="21"/>
              </w:rPr>
            </w:pPr>
            <w:r>
              <w:rPr>
                <w:rFonts w:ascii="Arial Narrow" w:hAnsi="Arial Narrow" w:eastAsiaTheme="minorEastAsia"/>
                <w:color w:val="000000"/>
                <w:szCs w:val="21"/>
              </w:rPr>
              <w:t>5.40</w:t>
            </w:r>
          </w:p>
        </w:tc>
        <w:tc>
          <w:tcPr>
            <w:tcW w:w="531" w:type="pct"/>
            <w:vAlign w:val="center"/>
          </w:tcPr>
          <w:p w14:paraId="57895226">
            <w:pPr>
              <w:widowControl w:val="0"/>
              <w:jc w:val="right"/>
              <w:rPr>
                <w:rFonts w:ascii="Arial Narrow" w:hAnsi="Arial Narrow" w:eastAsiaTheme="minorEastAsia"/>
                <w:szCs w:val="21"/>
              </w:rPr>
            </w:pPr>
            <w:r>
              <w:rPr>
                <w:rFonts w:ascii="Arial Narrow" w:hAnsi="Arial Narrow" w:eastAsiaTheme="minorEastAsia"/>
                <w:color w:val="000000"/>
                <w:szCs w:val="21"/>
              </w:rPr>
              <w:t>-80.70</w:t>
            </w:r>
          </w:p>
        </w:tc>
        <w:tc>
          <w:tcPr>
            <w:tcW w:w="1060" w:type="pct"/>
          </w:tcPr>
          <w:p w14:paraId="4A21556B">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 xml:space="preserve">主要系部分项目竣工转入固定资产及部分项目计提减值影响所致 </w:t>
            </w:r>
          </w:p>
        </w:tc>
      </w:tr>
      <w:tr w14:paraId="7FFC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2F484F25">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使用权资产</w:t>
            </w:r>
          </w:p>
        </w:tc>
        <w:tc>
          <w:tcPr>
            <w:tcW w:w="834" w:type="pct"/>
            <w:vAlign w:val="center"/>
          </w:tcPr>
          <w:p w14:paraId="0410FEBC">
            <w:pPr>
              <w:widowControl w:val="0"/>
              <w:jc w:val="right"/>
              <w:rPr>
                <w:rFonts w:ascii="Arial Narrow" w:hAnsi="Arial Narrow" w:eastAsiaTheme="minorEastAsia"/>
                <w:szCs w:val="21"/>
              </w:rPr>
            </w:pPr>
            <w:r>
              <w:rPr>
                <w:rFonts w:ascii="Arial Narrow" w:hAnsi="Arial Narrow" w:eastAsiaTheme="minorEastAsia"/>
                <w:color w:val="000000"/>
                <w:szCs w:val="21"/>
              </w:rPr>
              <w:t>10,670,711.29</w:t>
            </w:r>
          </w:p>
        </w:tc>
        <w:tc>
          <w:tcPr>
            <w:tcW w:w="530" w:type="pct"/>
            <w:vAlign w:val="center"/>
          </w:tcPr>
          <w:p w14:paraId="1B091FEE">
            <w:pPr>
              <w:widowControl w:val="0"/>
              <w:jc w:val="right"/>
              <w:rPr>
                <w:rFonts w:ascii="Arial Narrow" w:hAnsi="Arial Narrow" w:eastAsiaTheme="minorEastAsia"/>
                <w:szCs w:val="21"/>
              </w:rPr>
            </w:pPr>
            <w:r>
              <w:rPr>
                <w:rFonts w:ascii="Arial Narrow" w:hAnsi="Arial Narrow" w:eastAsiaTheme="minorEastAsia"/>
                <w:color w:val="000000"/>
                <w:szCs w:val="21"/>
              </w:rPr>
              <w:t>0.05</w:t>
            </w:r>
          </w:p>
        </w:tc>
        <w:tc>
          <w:tcPr>
            <w:tcW w:w="833" w:type="pct"/>
            <w:vAlign w:val="center"/>
          </w:tcPr>
          <w:p w14:paraId="481AB8B0">
            <w:pPr>
              <w:widowControl w:val="0"/>
              <w:jc w:val="right"/>
              <w:rPr>
                <w:rFonts w:ascii="Arial Narrow" w:hAnsi="Arial Narrow" w:eastAsiaTheme="minorEastAsia"/>
                <w:szCs w:val="21"/>
              </w:rPr>
            </w:pPr>
            <w:r>
              <w:rPr>
                <w:rFonts w:ascii="Arial Narrow" w:hAnsi="Arial Narrow" w:eastAsiaTheme="minorEastAsia"/>
                <w:color w:val="000000"/>
                <w:szCs w:val="21"/>
              </w:rPr>
              <w:t>17,630,043.91</w:t>
            </w:r>
          </w:p>
        </w:tc>
        <w:tc>
          <w:tcPr>
            <w:tcW w:w="530" w:type="pct"/>
            <w:vAlign w:val="center"/>
          </w:tcPr>
          <w:p w14:paraId="442C1FDD">
            <w:pPr>
              <w:widowControl w:val="0"/>
              <w:jc w:val="right"/>
              <w:rPr>
                <w:rFonts w:ascii="Arial Narrow" w:hAnsi="Arial Narrow" w:eastAsiaTheme="minorEastAsia"/>
                <w:szCs w:val="21"/>
              </w:rPr>
            </w:pPr>
            <w:r>
              <w:rPr>
                <w:rFonts w:ascii="Arial Narrow" w:hAnsi="Arial Narrow" w:eastAsiaTheme="minorEastAsia"/>
                <w:color w:val="000000"/>
                <w:szCs w:val="21"/>
              </w:rPr>
              <w:t>0.07</w:t>
            </w:r>
          </w:p>
        </w:tc>
        <w:tc>
          <w:tcPr>
            <w:tcW w:w="531" w:type="pct"/>
            <w:vAlign w:val="center"/>
          </w:tcPr>
          <w:p w14:paraId="6BCF38A6">
            <w:pPr>
              <w:widowControl w:val="0"/>
              <w:jc w:val="right"/>
              <w:rPr>
                <w:rFonts w:ascii="Arial Narrow" w:hAnsi="Arial Narrow" w:eastAsiaTheme="minorEastAsia"/>
                <w:szCs w:val="21"/>
              </w:rPr>
            </w:pPr>
            <w:r>
              <w:rPr>
                <w:rFonts w:ascii="Arial Narrow" w:hAnsi="Arial Narrow" w:eastAsiaTheme="minorEastAsia"/>
                <w:color w:val="000000"/>
                <w:szCs w:val="21"/>
              </w:rPr>
              <w:t>-39.47</w:t>
            </w:r>
          </w:p>
        </w:tc>
        <w:tc>
          <w:tcPr>
            <w:tcW w:w="1060" w:type="pct"/>
          </w:tcPr>
          <w:p w14:paraId="07BD3092">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主要系公司本报告期内使用权资产计提折旧及租赁到期所致</w:t>
            </w:r>
          </w:p>
        </w:tc>
      </w:tr>
      <w:tr w14:paraId="1AC6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23FA507E">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递延所得税资产</w:t>
            </w:r>
          </w:p>
        </w:tc>
        <w:tc>
          <w:tcPr>
            <w:tcW w:w="834" w:type="pct"/>
            <w:vAlign w:val="center"/>
          </w:tcPr>
          <w:p w14:paraId="54EEB163">
            <w:pPr>
              <w:widowControl w:val="0"/>
              <w:jc w:val="right"/>
              <w:rPr>
                <w:rFonts w:ascii="Arial Narrow" w:hAnsi="Arial Narrow" w:eastAsiaTheme="minorEastAsia"/>
                <w:szCs w:val="21"/>
              </w:rPr>
            </w:pPr>
            <w:r>
              <w:rPr>
                <w:rFonts w:ascii="Arial Narrow" w:hAnsi="Arial Narrow" w:eastAsiaTheme="minorEastAsia"/>
                <w:color w:val="000000"/>
                <w:szCs w:val="21"/>
              </w:rPr>
              <w:t>301,467,777.49</w:t>
            </w:r>
          </w:p>
        </w:tc>
        <w:tc>
          <w:tcPr>
            <w:tcW w:w="530" w:type="pct"/>
            <w:vAlign w:val="center"/>
          </w:tcPr>
          <w:p w14:paraId="641804F8">
            <w:pPr>
              <w:widowControl w:val="0"/>
              <w:jc w:val="right"/>
              <w:rPr>
                <w:rFonts w:ascii="Arial Narrow" w:hAnsi="Arial Narrow" w:eastAsiaTheme="minorEastAsia"/>
                <w:szCs w:val="21"/>
              </w:rPr>
            </w:pPr>
            <w:r>
              <w:rPr>
                <w:rFonts w:ascii="Arial Narrow" w:hAnsi="Arial Narrow" w:eastAsiaTheme="minorEastAsia"/>
                <w:color w:val="000000"/>
                <w:szCs w:val="21"/>
              </w:rPr>
              <w:t>1.42</w:t>
            </w:r>
          </w:p>
        </w:tc>
        <w:tc>
          <w:tcPr>
            <w:tcW w:w="833" w:type="pct"/>
            <w:vAlign w:val="center"/>
          </w:tcPr>
          <w:p w14:paraId="08838E6A">
            <w:pPr>
              <w:widowControl w:val="0"/>
              <w:jc w:val="right"/>
              <w:rPr>
                <w:rFonts w:ascii="Arial Narrow" w:hAnsi="Arial Narrow" w:eastAsiaTheme="minorEastAsia"/>
                <w:szCs w:val="21"/>
              </w:rPr>
            </w:pPr>
            <w:r>
              <w:rPr>
                <w:rFonts w:ascii="Arial Narrow" w:hAnsi="Arial Narrow" w:eastAsiaTheme="minorEastAsia"/>
                <w:color w:val="000000"/>
                <w:szCs w:val="21"/>
              </w:rPr>
              <w:t>217,027,529.43</w:t>
            </w:r>
          </w:p>
        </w:tc>
        <w:tc>
          <w:tcPr>
            <w:tcW w:w="530" w:type="pct"/>
            <w:vAlign w:val="center"/>
          </w:tcPr>
          <w:p w14:paraId="39FB36B3">
            <w:pPr>
              <w:widowControl w:val="0"/>
              <w:jc w:val="right"/>
              <w:rPr>
                <w:rFonts w:ascii="Arial Narrow" w:hAnsi="Arial Narrow" w:eastAsiaTheme="minorEastAsia"/>
                <w:szCs w:val="21"/>
              </w:rPr>
            </w:pPr>
            <w:r>
              <w:rPr>
                <w:rFonts w:ascii="Arial Narrow" w:hAnsi="Arial Narrow" w:eastAsiaTheme="minorEastAsia"/>
                <w:color w:val="000000"/>
                <w:szCs w:val="21"/>
              </w:rPr>
              <w:t>0.82</w:t>
            </w:r>
          </w:p>
        </w:tc>
        <w:tc>
          <w:tcPr>
            <w:tcW w:w="531" w:type="pct"/>
            <w:vAlign w:val="center"/>
          </w:tcPr>
          <w:p w14:paraId="756E41B9">
            <w:pPr>
              <w:widowControl w:val="0"/>
              <w:jc w:val="right"/>
              <w:rPr>
                <w:rFonts w:ascii="Arial Narrow" w:hAnsi="Arial Narrow" w:eastAsiaTheme="minorEastAsia"/>
                <w:szCs w:val="21"/>
              </w:rPr>
            </w:pPr>
            <w:r>
              <w:rPr>
                <w:rFonts w:ascii="Arial Narrow" w:hAnsi="Arial Narrow" w:eastAsiaTheme="minorEastAsia"/>
                <w:color w:val="000000"/>
                <w:szCs w:val="21"/>
              </w:rPr>
              <w:t>38.91</w:t>
            </w:r>
          </w:p>
        </w:tc>
        <w:tc>
          <w:tcPr>
            <w:tcW w:w="1060" w:type="pct"/>
          </w:tcPr>
          <w:p w14:paraId="21DC481A">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主要系公司计提资产减值准备及可抵扣亏损确认递延所得税资产增加所致</w:t>
            </w:r>
          </w:p>
        </w:tc>
      </w:tr>
      <w:tr w14:paraId="6301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0115C4C6">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应付职工薪酬</w:t>
            </w:r>
          </w:p>
        </w:tc>
        <w:tc>
          <w:tcPr>
            <w:tcW w:w="834" w:type="pct"/>
            <w:vAlign w:val="center"/>
          </w:tcPr>
          <w:p w14:paraId="3B2A9B46">
            <w:pPr>
              <w:widowControl w:val="0"/>
              <w:jc w:val="right"/>
              <w:rPr>
                <w:rFonts w:ascii="Arial Narrow" w:hAnsi="Arial Narrow" w:eastAsiaTheme="minorEastAsia"/>
                <w:szCs w:val="21"/>
              </w:rPr>
            </w:pPr>
            <w:r>
              <w:rPr>
                <w:rFonts w:ascii="Arial Narrow" w:hAnsi="Arial Narrow" w:eastAsiaTheme="minorEastAsia"/>
                <w:color w:val="000000"/>
                <w:szCs w:val="21"/>
              </w:rPr>
              <w:t>296,149,933.94</w:t>
            </w:r>
          </w:p>
        </w:tc>
        <w:tc>
          <w:tcPr>
            <w:tcW w:w="530" w:type="pct"/>
            <w:vAlign w:val="center"/>
          </w:tcPr>
          <w:p w14:paraId="6C93A0DF">
            <w:pPr>
              <w:widowControl w:val="0"/>
              <w:jc w:val="right"/>
              <w:rPr>
                <w:rFonts w:ascii="Arial Narrow" w:hAnsi="Arial Narrow" w:eastAsiaTheme="minorEastAsia"/>
                <w:szCs w:val="21"/>
              </w:rPr>
            </w:pPr>
            <w:r>
              <w:rPr>
                <w:rFonts w:ascii="Arial Narrow" w:hAnsi="Arial Narrow" w:eastAsiaTheme="minorEastAsia"/>
                <w:color w:val="000000"/>
                <w:szCs w:val="21"/>
              </w:rPr>
              <w:t>1.40</w:t>
            </w:r>
          </w:p>
        </w:tc>
        <w:tc>
          <w:tcPr>
            <w:tcW w:w="833" w:type="pct"/>
            <w:vAlign w:val="center"/>
          </w:tcPr>
          <w:p w14:paraId="768F8B83">
            <w:pPr>
              <w:widowControl w:val="0"/>
              <w:jc w:val="right"/>
              <w:rPr>
                <w:rFonts w:ascii="Arial Narrow" w:hAnsi="Arial Narrow" w:eastAsiaTheme="minorEastAsia"/>
                <w:szCs w:val="21"/>
              </w:rPr>
            </w:pPr>
            <w:r>
              <w:rPr>
                <w:rFonts w:ascii="Arial Narrow" w:hAnsi="Arial Narrow" w:eastAsiaTheme="minorEastAsia"/>
                <w:color w:val="000000"/>
                <w:szCs w:val="21"/>
              </w:rPr>
              <w:t>186,255,922.23</w:t>
            </w:r>
          </w:p>
        </w:tc>
        <w:tc>
          <w:tcPr>
            <w:tcW w:w="530" w:type="pct"/>
            <w:vAlign w:val="center"/>
          </w:tcPr>
          <w:p w14:paraId="7BE80E35">
            <w:pPr>
              <w:widowControl w:val="0"/>
              <w:jc w:val="right"/>
              <w:rPr>
                <w:rFonts w:ascii="Arial Narrow" w:hAnsi="Arial Narrow" w:eastAsiaTheme="minorEastAsia"/>
                <w:szCs w:val="21"/>
              </w:rPr>
            </w:pPr>
            <w:r>
              <w:rPr>
                <w:rFonts w:ascii="Arial Narrow" w:hAnsi="Arial Narrow" w:eastAsiaTheme="minorEastAsia"/>
                <w:color w:val="000000"/>
                <w:szCs w:val="21"/>
              </w:rPr>
              <w:t>0.70</w:t>
            </w:r>
          </w:p>
        </w:tc>
        <w:tc>
          <w:tcPr>
            <w:tcW w:w="531" w:type="pct"/>
            <w:vAlign w:val="center"/>
          </w:tcPr>
          <w:p w14:paraId="1075FD92">
            <w:pPr>
              <w:widowControl w:val="0"/>
              <w:jc w:val="right"/>
              <w:rPr>
                <w:rFonts w:ascii="Arial Narrow" w:hAnsi="Arial Narrow" w:eastAsiaTheme="minorEastAsia"/>
                <w:szCs w:val="21"/>
              </w:rPr>
            </w:pPr>
            <w:r>
              <w:rPr>
                <w:rFonts w:ascii="Arial Narrow" w:hAnsi="Arial Narrow" w:eastAsiaTheme="minorEastAsia"/>
                <w:color w:val="000000"/>
                <w:szCs w:val="21"/>
              </w:rPr>
              <w:t>59.00</w:t>
            </w:r>
          </w:p>
        </w:tc>
        <w:tc>
          <w:tcPr>
            <w:tcW w:w="1060" w:type="pct"/>
          </w:tcPr>
          <w:p w14:paraId="198D7653">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主要系公司本报告期职工工资及附加费应付金额增加所致</w:t>
            </w:r>
          </w:p>
        </w:tc>
      </w:tr>
      <w:tr w14:paraId="6F6A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3A5C2B5E">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一年内到期的非流动负债</w:t>
            </w:r>
          </w:p>
        </w:tc>
        <w:tc>
          <w:tcPr>
            <w:tcW w:w="834" w:type="pct"/>
            <w:vAlign w:val="center"/>
          </w:tcPr>
          <w:p w14:paraId="7CF8829F">
            <w:pPr>
              <w:widowControl w:val="0"/>
              <w:jc w:val="right"/>
              <w:rPr>
                <w:rFonts w:ascii="Arial Narrow" w:hAnsi="Arial Narrow" w:eastAsiaTheme="minorEastAsia"/>
                <w:szCs w:val="21"/>
              </w:rPr>
            </w:pPr>
            <w:r>
              <w:rPr>
                <w:rFonts w:ascii="Arial Narrow" w:hAnsi="Arial Narrow" w:eastAsiaTheme="minorEastAsia"/>
                <w:color w:val="000000"/>
                <w:szCs w:val="21"/>
              </w:rPr>
              <w:t>54,024,318.29</w:t>
            </w:r>
          </w:p>
        </w:tc>
        <w:tc>
          <w:tcPr>
            <w:tcW w:w="530" w:type="pct"/>
            <w:vAlign w:val="center"/>
          </w:tcPr>
          <w:p w14:paraId="64B806EB">
            <w:pPr>
              <w:widowControl w:val="0"/>
              <w:jc w:val="right"/>
              <w:rPr>
                <w:rFonts w:ascii="Arial Narrow" w:hAnsi="Arial Narrow" w:eastAsiaTheme="minorEastAsia"/>
                <w:szCs w:val="21"/>
              </w:rPr>
            </w:pPr>
            <w:r>
              <w:rPr>
                <w:rFonts w:ascii="Arial Narrow" w:hAnsi="Arial Narrow" w:eastAsiaTheme="minorEastAsia"/>
                <w:color w:val="000000"/>
                <w:szCs w:val="21"/>
              </w:rPr>
              <w:t>0.26</w:t>
            </w:r>
          </w:p>
        </w:tc>
        <w:tc>
          <w:tcPr>
            <w:tcW w:w="833" w:type="pct"/>
            <w:vAlign w:val="center"/>
          </w:tcPr>
          <w:p w14:paraId="02EE5AA3">
            <w:pPr>
              <w:widowControl w:val="0"/>
              <w:jc w:val="right"/>
              <w:rPr>
                <w:rFonts w:ascii="Arial Narrow" w:hAnsi="Arial Narrow" w:eastAsiaTheme="minorEastAsia"/>
                <w:szCs w:val="21"/>
              </w:rPr>
            </w:pPr>
            <w:r>
              <w:rPr>
                <w:rFonts w:ascii="Arial Narrow" w:hAnsi="Arial Narrow" w:eastAsiaTheme="minorEastAsia"/>
                <w:color w:val="000000"/>
                <w:szCs w:val="21"/>
              </w:rPr>
              <w:t>170,996,135.24</w:t>
            </w:r>
          </w:p>
        </w:tc>
        <w:tc>
          <w:tcPr>
            <w:tcW w:w="530" w:type="pct"/>
            <w:vAlign w:val="center"/>
          </w:tcPr>
          <w:p w14:paraId="0D17DCF6">
            <w:pPr>
              <w:widowControl w:val="0"/>
              <w:jc w:val="right"/>
              <w:rPr>
                <w:rFonts w:ascii="Arial Narrow" w:hAnsi="Arial Narrow" w:eastAsiaTheme="minorEastAsia"/>
                <w:szCs w:val="21"/>
              </w:rPr>
            </w:pPr>
            <w:r>
              <w:rPr>
                <w:rFonts w:ascii="Arial Narrow" w:hAnsi="Arial Narrow" w:eastAsiaTheme="minorEastAsia"/>
                <w:color w:val="000000"/>
                <w:szCs w:val="21"/>
              </w:rPr>
              <w:t>0.65</w:t>
            </w:r>
          </w:p>
        </w:tc>
        <w:tc>
          <w:tcPr>
            <w:tcW w:w="531" w:type="pct"/>
            <w:vAlign w:val="center"/>
          </w:tcPr>
          <w:p w14:paraId="67847041">
            <w:pPr>
              <w:widowControl w:val="0"/>
              <w:jc w:val="right"/>
              <w:rPr>
                <w:rFonts w:ascii="Arial Narrow" w:hAnsi="Arial Narrow" w:eastAsiaTheme="minorEastAsia"/>
                <w:szCs w:val="21"/>
              </w:rPr>
            </w:pPr>
            <w:r>
              <w:rPr>
                <w:rFonts w:ascii="Arial Narrow" w:hAnsi="Arial Narrow" w:eastAsiaTheme="minorEastAsia"/>
                <w:color w:val="000000"/>
                <w:szCs w:val="21"/>
              </w:rPr>
              <w:t>-68.41</w:t>
            </w:r>
          </w:p>
        </w:tc>
        <w:tc>
          <w:tcPr>
            <w:tcW w:w="1060" w:type="pct"/>
          </w:tcPr>
          <w:p w14:paraId="5ED368DC">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主要系公司本报告期按时偿付到期借款所致</w:t>
            </w:r>
          </w:p>
        </w:tc>
      </w:tr>
      <w:tr w14:paraId="1EF8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70F0D317">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其他流动负债</w:t>
            </w:r>
          </w:p>
        </w:tc>
        <w:tc>
          <w:tcPr>
            <w:tcW w:w="834" w:type="pct"/>
            <w:vAlign w:val="center"/>
          </w:tcPr>
          <w:p w14:paraId="61DEFBE2">
            <w:pPr>
              <w:widowControl w:val="0"/>
              <w:jc w:val="right"/>
              <w:rPr>
                <w:rFonts w:ascii="Arial Narrow" w:hAnsi="Arial Narrow" w:eastAsiaTheme="minorEastAsia"/>
                <w:szCs w:val="21"/>
              </w:rPr>
            </w:pPr>
            <w:r>
              <w:rPr>
                <w:rFonts w:ascii="Arial Narrow" w:hAnsi="Arial Narrow" w:eastAsiaTheme="minorEastAsia"/>
                <w:color w:val="000000"/>
                <w:szCs w:val="21"/>
              </w:rPr>
              <w:t>306,873,185.28</w:t>
            </w:r>
          </w:p>
        </w:tc>
        <w:tc>
          <w:tcPr>
            <w:tcW w:w="530" w:type="pct"/>
            <w:vAlign w:val="center"/>
          </w:tcPr>
          <w:p w14:paraId="427207E9">
            <w:pPr>
              <w:widowControl w:val="0"/>
              <w:jc w:val="right"/>
              <w:rPr>
                <w:rFonts w:ascii="Arial Narrow" w:hAnsi="Arial Narrow" w:eastAsiaTheme="minorEastAsia"/>
                <w:szCs w:val="21"/>
              </w:rPr>
            </w:pPr>
            <w:r>
              <w:rPr>
                <w:rFonts w:ascii="Arial Narrow" w:hAnsi="Arial Narrow" w:eastAsiaTheme="minorEastAsia"/>
                <w:color w:val="000000"/>
                <w:szCs w:val="21"/>
              </w:rPr>
              <w:t>1.45</w:t>
            </w:r>
          </w:p>
        </w:tc>
        <w:tc>
          <w:tcPr>
            <w:tcW w:w="833" w:type="pct"/>
            <w:vAlign w:val="center"/>
          </w:tcPr>
          <w:p w14:paraId="2BA64452">
            <w:pPr>
              <w:widowControl w:val="0"/>
              <w:jc w:val="right"/>
              <w:rPr>
                <w:rFonts w:ascii="Arial Narrow" w:hAnsi="Arial Narrow" w:eastAsiaTheme="minorEastAsia"/>
                <w:szCs w:val="21"/>
              </w:rPr>
            </w:pPr>
            <w:r>
              <w:rPr>
                <w:rFonts w:ascii="Arial Narrow" w:hAnsi="Arial Narrow" w:eastAsiaTheme="minorEastAsia"/>
                <w:color w:val="000000"/>
                <w:szCs w:val="21"/>
              </w:rPr>
              <w:t>147,901,045.46</w:t>
            </w:r>
          </w:p>
        </w:tc>
        <w:tc>
          <w:tcPr>
            <w:tcW w:w="530" w:type="pct"/>
            <w:vAlign w:val="center"/>
          </w:tcPr>
          <w:p w14:paraId="2497CCFE">
            <w:pPr>
              <w:widowControl w:val="0"/>
              <w:jc w:val="right"/>
              <w:rPr>
                <w:rFonts w:ascii="Arial Narrow" w:hAnsi="Arial Narrow" w:eastAsiaTheme="minorEastAsia"/>
                <w:szCs w:val="21"/>
              </w:rPr>
            </w:pPr>
            <w:r>
              <w:rPr>
                <w:rFonts w:ascii="Arial Narrow" w:hAnsi="Arial Narrow" w:eastAsiaTheme="minorEastAsia"/>
                <w:color w:val="000000"/>
                <w:szCs w:val="21"/>
              </w:rPr>
              <w:t>0.56</w:t>
            </w:r>
          </w:p>
        </w:tc>
        <w:tc>
          <w:tcPr>
            <w:tcW w:w="531" w:type="pct"/>
            <w:vAlign w:val="center"/>
          </w:tcPr>
          <w:p w14:paraId="6E9FDF86">
            <w:pPr>
              <w:widowControl w:val="0"/>
              <w:jc w:val="right"/>
              <w:rPr>
                <w:rFonts w:ascii="Arial Narrow" w:hAnsi="Arial Narrow" w:eastAsiaTheme="minorEastAsia"/>
                <w:szCs w:val="21"/>
              </w:rPr>
            </w:pPr>
            <w:r>
              <w:rPr>
                <w:rFonts w:ascii="Arial Narrow" w:hAnsi="Arial Narrow" w:eastAsiaTheme="minorEastAsia"/>
                <w:color w:val="000000"/>
                <w:szCs w:val="21"/>
              </w:rPr>
              <w:t>107.49</w:t>
            </w:r>
          </w:p>
        </w:tc>
        <w:tc>
          <w:tcPr>
            <w:tcW w:w="1060" w:type="pct"/>
          </w:tcPr>
          <w:p w14:paraId="064EFAD0">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主要系公司本期增加股东借款所致</w:t>
            </w:r>
          </w:p>
        </w:tc>
      </w:tr>
      <w:tr w14:paraId="5F1A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7A16AF63">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长期借款</w:t>
            </w:r>
          </w:p>
        </w:tc>
        <w:tc>
          <w:tcPr>
            <w:tcW w:w="834" w:type="pct"/>
            <w:vAlign w:val="center"/>
          </w:tcPr>
          <w:p w14:paraId="53535469">
            <w:pPr>
              <w:widowControl w:val="0"/>
              <w:jc w:val="right"/>
              <w:rPr>
                <w:rFonts w:ascii="Arial Narrow" w:hAnsi="Arial Narrow" w:eastAsiaTheme="minorEastAsia"/>
                <w:szCs w:val="21"/>
              </w:rPr>
            </w:pPr>
            <w:r>
              <w:rPr>
                <w:rFonts w:ascii="Arial Narrow" w:hAnsi="Arial Narrow" w:eastAsiaTheme="minorEastAsia"/>
                <w:color w:val="000000"/>
                <w:szCs w:val="21"/>
              </w:rPr>
              <w:t>497,317,783.34</w:t>
            </w:r>
          </w:p>
        </w:tc>
        <w:tc>
          <w:tcPr>
            <w:tcW w:w="530" w:type="pct"/>
            <w:vAlign w:val="center"/>
          </w:tcPr>
          <w:p w14:paraId="3EDA2C44">
            <w:pPr>
              <w:widowControl w:val="0"/>
              <w:jc w:val="right"/>
              <w:rPr>
                <w:rFonts w:ascii="Arial Narrow" w:hAnsi="Arial Narrow" w:eastAsiaTheme="minorEastAsia"/>
                <w:szCs w:val="21"/>
              </w:rPr>
            </w:pPr>
            <w:r>
              <w:rPr>
                <w:rFonts w:ascii="Arial Narrow" w:hAnsi="Arial Narrow" w:eastAsiaTheme="minorEastAsia"/>
                <w:color w:val="000000"/>
                <w:szCs w:val="21"/>
              </w:rPr>
              <w:t>2.35</w:t>
            </w:r>
          </w:p>
        </w:tc>
        <w:tc>
          <w:tcPr>
            <w:tcW w:w="833" w:type="pct"/>
            <w:vAlign w:val="center"/>
          </w:tcPr>
          <w:p w14:paraId="52E10AAA">
            <w:pPr>
              <w:widowControl w:val="0"/>
              <w:jc w:val="right"/>
              <w:rPr>
                <w:rFonts w:ascii="Arial Narrow" w:hAnsi="Arial Narrow" w:eastAsiaTheme="minorEastAsia"/>
                <w:szCs w:val="21"/>
              </w:rPr>
            </w:pPr>
            <w:r>
              <w:rPr>
                <w:rFonts w:ascii="Arial Narrow" w:hAnsi="Arial Narrow" w:eastAsiaTheme="minorEastAsia"/>
                <w:color w:val="000000"/>
                <w:szCs w:val="21"/>
              </w:rPr>
              <w:t>1,025,630,855.65</w:t>
            </w:r>
          </w:p>
        </w:tc>
        <w:tc>
          <w:tcPr>
            <w:tcW w:w="530" w:type="pct"/>
            <w:vAlign w:val="center"/>
          </w:tcPr>
          <w:p w14:paraId="1E62ED0F">
            <w:pPr>
              <w:widowControl w:val="0"/>
              <w:jc w:val="right"/>
              <w:rPr>
                <w:rFonts w:ascii="Arial Narrow" w:hAnsi="Arial Narrow" w:eastAsiaTheme="minorEastAsia"/>
                <w:szCs w:val="21"/>
              </w:rPr>
            </w:pPr>
            <w:r>
              <w:rPr>
                <w:rFonts w:ascii="Arial Narrow" w:hAnsi="Arial Narrow" w:eastAsiaTheme="minorEastAsia"/>
                <w:color w:val="000000"/>
                <w:szCs w:val="21"/>
              </w:rPr>
              <w:t>3.88</w:t>
            </w:r>
          </w:p>
        </w:tc>
        <w:tc>
          <w:tcPr>
            <w:tcW w:w="531" w:type="pct"/>
            <w:vAlign w:val="center"/>
          </w:tcPr>
          <w:p w14:paraId="542D0EFF">
            <w:pPr>
              <w:widowControl w:val="0"/>
              <w:jc w:val="right"/>
              <w:rPr>
                <w:rFonts w:ascii="Arial Narrow" w:hAnsi="Arial Narrow" w:eastAsiaTheme="minorEastAsia"/>
                <w:szCs w:val="21"/>
              </w:rPr>
            </w:pPr>
            <w:r>
              <w:rPr>
                <w:rFonts w:ascii="Arial Narrow" w:hAnsi="Arial Narrow" w:eastAsiaTheme="minorEastAsia"/>
                <w:color w:val="000000"/>
                <w:szCs w:val="21"/>
              </w:rPr>
              <w:t>-51.51</w:t>
            </w:r>
          </w:p>
        </w:tc>
        <w:tc>
          <w:tcPr>
            <w:tcW w:w="1060" w:type="pct"/>
          </w:tcPr>
          <w:p w14:paraId="5FA52F77">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主要系公司本报告期主动偿还外部借款所致</w:t>
            </w:r>
          </w:p>
        </w:tc>
      </w:tr>
      <w:tr w14:paraId="6C60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82" w:type="pct"/>
            <w:vAlign w:val="center"/>
          </w:tcPr>
          <w:p w14:paraId="23EF778B">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预计负债</w:t>
            </w:r>
          </w:p>
        </w:tc>
        <w:tc>
          <w:tcPr>
            <w:tcW w:w="834" w:type="pct"/>
            <w:vAlign w:val="center"/>
          </w:tcPr>
          <w:p w14:paraId="34C9E451">
            <w:pPr>
              <w:widowControl w:val="0"/>
              <w:jc w:val="right"/>
              <w:rPr>
                <w:rFonts w:ascii="Arial Narrow" w:hAnsi="Arial Narrow" w:eastAsiaTheme="minorEastAsia"/>
                <w:szCs w:val="21"/>
              </w:rPr>
            </w:pPr>
            <w:r>
              <w:rPr>
                <w:rFonts w:ascii="Arial Narrow" w:hAnsi="Arial Narrow" w:eastAsiaTheme="minorEastAsia"/>
                <w:color w:val="000000"/>
                <w:szCs w:val="21"/>
              </w:rPr>
              <w:t>200,000,000.00</w:t>
            </w:r>
          </w:p>
        </w:tc>
        <w:tc>
          <w:tcPr>
            <w:tcW w:w="530" w:type="pct"/>
            <w:vAlign w:val="center"/>
          </w:tcPr>
          <w:p w14:paraId="4048C294">
            <w:pPr>
              <w:widowControl w:val="0"/>
              <w:jc w:val="right"/>
              <w:rPr>
                <w:rFonts w:ascii="Arial Narrow" w:hAnsi="Arial Narrow" w:eastAsiaTheme="minorEastAsia"/>
                <w:szCs w:val="21"/>
              </w:rPr>
            </w:pPr>
            <w:r>
              <w:rPr>
                <w:rFonts w:ascii="Arial Narrow" w:hAnsi="Arial Narrow" w:eastAsiaTheme="minorEastAsia"/>
                <w:color w:val="000000"/>
                <w:szCs w:val="21"/>
              </w:rPr>
              <w:t>0.94</w:t>
            </w:r>
          </w:p>
        </w:tc>
        <w:tc>
          <w:tcPr>
            <w:tcW w:w="833" w:type="pct"/>
            <w:vAlign w:val="center"/>
          </w:tcPr>
          <w:p w14:paraId="425D88B9">
            <w:pPr>
              <w:widowControl w:val="0"/>
              <w:jc w:val="right"/>
              <w:rPr>
                <w:rFonts w:ascii="Arial Narrow" w:hAnsi="Arial Narrow" w:eastAsiaTheme="minorEastAsia"/>
                <w:szCs w:val="21"/>
              </w:rPr>
            </w:pPr>
            <w:r>
              <w:rPr>
                <w:rFonts w:ascii="Arial Narrow" w:hAnsi="Arial Narrow" w:eastAsiaTheme="minorEastAsia"/>
                <w:color w:val="000000"/>
                <w:szCs w:val="21"/>
              </w:rPr>
              <w:t>36,800,000.00</w:t>
            </w:r>
          </w:p>
        </w:tc>
        <w:tc>
          <w:tcPr>
            <w:tcW w:w="530" w:type="pct"/>
            <w:vAlign w:val="center"/>
          </w:tcPr>
          <w:p w14:paraId="1952FCB2">
            <w:pPr>
              <w:widowControl w:val="0"/>
              <w:jc w:val="right"/>
              <w:rPr>
                <w:rFonts w:ascii="Arial Narrow" w:hAnsi="Arial Narrow" w:eastAsiaTheme="minorEastAsia"/>
                <w:szCs w:val="21"/>
              </w:rPr>
            </w:pPr>
            <w:r>
              <w:rPr>
                <w:rFonts w:ascii="Arial Narrow" w:hAnsi="Arial Narrow" w:eastAsiaTheme="minorEastAsia"/>
                <w:color w:val="000000"/>
                <w:szCs w:val="21"/>
              </w:rPr>
              <w:t>0.14</w:t>
            </w:r>
          </w:p>
        </w:tc>
        <w:tc>
          <w:tcPr>
            <w:tcW w:w="531" w:type="pct"/>
            <w:vAlign w:val="center"/>
          </w:tcPr>
          <w:p w14:paraId="1FB50A30">
            <w:pPr>
              <w:widowControl w:val="0"/>
              <w:jc w:val="right"/>
              <w:rPr>
                <w:rFonts w:ascii="Arial Narrow" w:hAnsi="Arial Narrow" w:eastAsiaTheme="minorEastAsia"/>
                <w:szCs w:val="21"/>
              </w:rPr>
            </w:pPr>
            <w:r>
              <w:rPr>
                <w:rFonts w:ascii="Arial Narrow" w:hAnsi="Arial Narrow" w:eastAsiaTheme="minorEastAsia"/>
                <w:color w:val="000000"/>
                <w:szCs w:val="21"/>
              </w:rPr>
              <w:t>443.48</w:t>
            </w:r>
          </w:p>
        </w:tc>
        <w:tc>
          <w:tcPr>
            <w:tcW w:w="1060" w:type="pct"/>
          </w:tcPr>
          <w:p w14:paraId="7F549EE3">
            <w:pPr>
              <w:widowControl w:val="0"/>
              <w:jc w:val="both"/>
              <w:rPr>
                <w:rFonts w:hint="eastAsia" w:asciiTheme="minorEastAsia" w:hAnsiTheme="minorEastAsia" w:eastAsiaTheme="minorEastAsia"/>
                <w:szCs w:val="21"/>
              </w:rPr>
            </w:pPr>
            <w:r>
              <w:rPr>
                <w:rFonts w:hint="eastAsia" w:asciiTheme="minorEastAsia" w:hAnsiTheme="minorEastAsia" w:eastAsiaTheme="minorEastAsia"/>
                <w:szCs w:val="21"/>
              </w:rPr>
              <w:t>主要系公司按照当地环保部门要求计提土壤污染治理费用所致</w:t>
            </w:r>
          </w:p>
        </w:tc>
      </w:tr>
    </w:tbl>
    <w:p w14:paraId="496799C3">
      <w:pPr>
        <w:rPr>
          <w:rFonts w:hint="eastAsia"/>
          <w:szCs w:val="21"/>
        </w:rPr>
      </w:pPr>
      <w:r>
        <w:rPr>
          <w:rFonts w:hint="eastAsia"/>
          <w:szCs w:val="21"/>
        </w:rPr>
        <w:t>其他说明：</w:t>
      </w:r>
    </w:p>
    <w:sdt>
      <w:sdtPr>
        <w:rPr>
          <w:rFonts w:hint="eastAsia"/>
          <w:szCs w:val="21"/>
        </w:rPr>
        <w:alias w:val="资产及负债状况的其他说明"/>
        <w:tag w:val="_GBC_3aee54264edd4bb08807d2335eb33f43"/>
        <w:id w:val="1383516752"/>
        <w:placeholder>
          <w:docPart w:val="GBC22222222222222222222222222222"/>
        </w:placeholder>
      </w:sdtPr>
      <w:sdtEndPr>
        <w:rPr>
          <w:rFonts w:hint="eastAsia"/>
          <w:szCs w:val="21"/>
        </w:rPr>
      </w:sdtEndPr>
      <w:sdtContent>
        <w:p w14:paraId="2682AEE0">
          <w:pPr>
            <w:rPr>
              <w:rFonts w:hint="eastAsia"/>
              <w:szCs w:val="21"/>
            </w:rPr>
          </w:pPr>
          <w:r>
            <w:rPr>
              <w:rFonts w:hint="eastAsia"/>
              <w:szCs w:val="21"/>
            </w:rPr>
            <w:t>无</w:t>
          </w:r>
        </w:p>
      </w:sdtContent>
    </w:sdt>
    <w:p w14:paraId="7E7B8377">
      <w:pPr>
        <w:pStyle w:val="5"/>
        <w:numPr>
          <w:ilvl w:val="0"/>
          <w:numId w:val="12"/>
        </w:numPr>
        <w:rPr>
          <w:rFonts w:hint="eastAsia"/>
        </w:rPr>
      </w:pPr>
      <w:bookmarkStart w:id="48" w:name="_Hlk89877438"/>
      <w:r>
        <w:rPr>
          <w:rFonts w:hint="eastAsia" w:ascii="宋体" w:hAnsi="宋体" w:eastAsia="宋体" w:cs="宋体"/>
          <w:kern w:val="0"/>
          <w:szCs w:val="21"/>
        </w:rPr>
        <w:t>境外资产情况</w:t>
      </w:r>
    </w:p>
    <w:sdt>
      <w:sdtPr>
        <w:rPr>
          <w:rFonts w:hint="eastAsia"/>
          <w:szCs w:val="21"/>
        </w:rPr>
        <w:alias w:val="是否适用：境外资产情况 [双击切换]"/>
        <w:tag w:val="_GBC_7c019689b55740839a263ecc68721e10"/>
        <w:id w:val="-999802438"/>
        <w:lock w:val="contentLocked"/>
        <w:placeholder>
          <w:docPart w:val="GBC22222222222222222222222222222"/>
        </w:placeholder>
      </w:sdtPr>
      <w:sdtEndPr>
        <w:rPr>
          <w:rFonts w:hint="eastAsia"/>
          <w:szCs w:val="21"/>
        </w:rPr>
      </w:sdtEndPr>
      <w:sdtContent>
        <w:p w14:paraId="636F5FFE">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2C2858A">
      <w:pPr>
        <w:pStyle w:val="6"/>
        <w:numPr>
          <w:ilvl w:val="0"/>
          <w:numId w:val="13"/>
        </w:numPr>
        <w:ind w:leftChars="0"/>
        <w:rPr>
          <w:rFonts w:hint="eastAsia" w:ascii="宋体" w:hAnsi="宋体"/>
          <w:szCs w:val="21"/>
        </w:rPr>
      </w:pPr>
      <w:bookmarkStart w:id="49" w:name="_Hlk74646369"/>
      <w:bookmarkStart w:id="50" w:name="_Hlk89175643"/>
      <w:r>
        <w:rPr>
          <w:rFonts w:hint="eastAsia" w:ascii="宋体" w:hAnsi="宋体"/>
          <w:szCs w:val="21"/>
        </w:rPr>
        <w:t>资产规模</w:t>
      </w:r>
    </w:p>
    <w:p w14:paraId="3B89D90C">
      <w:pPr>
        <w:rPr>
          <w:rFonts w:hint="eastAsia"/>
          <w:szCs w:val="21"/>
        </w:rPr>
      </w:pPr>
      <w:r>
        <w:rPr>
          <w:rFonts w:hint="eastAsia"/>
          <w:szCs w:val="21"/>
        </w:rPr>
        <w:t>其中：境外资产</w:t>
      </w:r>
      <w:sdt>
        <w:sdtPr>
          <w:rPr>
            <w:rFonts w:hint="eastAsia"/>
            <w:szCs w:val="21"/>
          </w:rPr>
          <w:alias w:val="报告期内公司境外资产变化"/>
          <w:tag w:val="_GBC_cbb65327857a4a80a4f343e0bf736822"/>
          <w:id w:val="-533574502"/>
          <w:placeholder>
            <w:docPart w:val="GBC22222222222222222222222222222"/>
          </w:placeholder>
        </w:sdtPr>
        <w:sdtEndPr>
          <w:rPr>
            <w:rFonts w:hint="eastAsia"/>
            <w:szCs w:val="24"/>
          </w:rPr>
        </w:sdtEndPr>
        <w:sdtContent>
          <w:r>
            <w:rPr>
              <w:rFonts w:hint="eastAsia"/>
              <w:szCs w:val="21"/>
            </w:rPr>
            <w:t>43,615,519.54</w:t>
          </w:r>
        </w:sdtContent>
      </w:sdt>
      <w:r>
        <w:rPr>
          <w:rFonts w:hint="eastAsia"/>
          <w:szCs w:val="21"/>
        </w:rPr>
        <w:t>（单位：</w:t>
      </w:r>
      <w:sdt>
        <w:sdtPr>
          <w:rPr>
            <w:rFonts w:hint="eastAsia"/>
            <w:szCs w:val="21"/>
          </w:rPr>
          <w:alias w:val="单位：报告期内公司境外资产变化"/>
          <w:tag w:val="_GBC_269723869c544fd5af5f26c6edeeb598"/>
          <w:id w:val="-1414248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报告期内公司境外资产变化"/>
          <w:tag w:val="_GBC_a1adc6e0671d485da640bb0d68ad82d0"/>
          <w:id w:val="17231685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5480c4d77db342bdbf4d43b6611f0966"/>
          <w:id w:val="-775481196"/>
          <w:placeholder>
            <w:docPart w:val="GBC22222222222222222222222222222"/>
          </w:placeholder>
        </w:sdtPr>
        <w:sdtEndPr>
          <w:rPr>
            <w:rFonts w:hint="eastAsia"/>
            <w:szCs w:val="24"/>
          </w:rPr>
        </w:sdtEndPr>
        <w:sdtContent>
          <w:r>
            <w:rPr>
              <w:rFonts w:hint="eastAsia"/>
              <w:szCs w:val="21"/>
            </w:rPr>
            <w:t>0.21</w:t>
          </w:r>
        </w:sdtContent>
      </w:sdt>
      <w:r>
        <w:rPr>
          <w:szCs w:val="21"/>
        </w:rPr>
        <w:t>%</w:t>
      </w:r>
      <w:r>
        <w:rPr>
          <w:rFonts w:hint="eastAsia"/>
          <w:szCs w:val="21"/>
        </w:rPr>
        <w:t>。</w:t>
      </w:r>
    </w:p>
    <w:p w14:paraId="32587A00">
      <w:pPr>
        <w:rPr>
          <w:rFonts w:hint="eastAsia"/>
          <w:szCs w:val="21"/>
        </w:rPr>
      </w:pPr>
    </w:p>
    <w:bookmarkEnd w:id="49"/>
    <w:bookmarkEnd w:id="50"/>
    <w:p w14:paraId="074D2746">
      <w:pPr>
        <w:pStyle w:val="6"/>
        <w:numPr>
          <w:ilvl w:val="0"/>
          <w:numId w:val="13"/>
        </w:numPr>
        <w:ind w:leftChars="0"/>
        <w:rPr>
          <w:rFonts w:hint="eastAsia" w:ascii="宋体" w:hAnsi="宋体"/>
          <w:szCs w:val="21"/>
        </w:rPr>
      </w:pPr>
      <w:bookmarkStart w:id="51" w:name="_Hlk89176028"/>
      <w:r>
        <w:rPr>
          <w:rFonts w:hint="eastAsia" w:ascii="宋体" w:hAnsi="宋体"/>
          <w:szCs w:val="21"/>
        </w:rPr>
        <w:t>境外资产占比较高的相关说明</w:t>
      </w:r>
    </w:p>
    <w:sdt>
      <w:sdtPr>
        <w:rPr>
          <w:rFonts w:hint="eastAsia"/>
          <w:szCs w:val="21"/>
        </w:rPr>
        <w:alias w:val="是否适用：境外资产占比较高的相关说明  [双击切换]"/>
        <w:tag w:val="_GBC_2dd8a14582494b7fb2da678323726771"/>
        <w:id w:val="796034812"/>
        <w:placeholder>
          <w:docPart w:val="GBC22222222222222222222222222222"/>
        </w:placeholder>
      </w:sdtPr>
      <w:sdtEndPr>
        <w:rPr>
          <w:rFonts w:hint="eastAsia"/>
          <w:szCs w:val="21"/>
        </w:rPr>
      </w:sdtEndPr>
      <w:sdtContent>
        <w:p w14:paraId="0B95669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A6D2F70">
      <w:pPr>
        <w:rPr>
          <w:rFonts w:hint="eastAsia"/>
          <w:szCs w:val="21"/>
        </w:rPr>
      </w:pPr>
    </w:p>
    <w:bookmarkEnd w:id="48"/>
    <w:bookmarkEnd w:id="51"/>
    <w:p w14:paraId="7D8E7CCF">
      <w:pPr>
        <w:pStyle w:val="5"/>
        <w:numPr>
          <w:ilvl w:val="0"/>
          <w:numId w:val="12"/>
        </w:numPr>
        <w:rPr>
          <w:rFonts w:hint="eastAsia"/>
        </w:rPr>
      </w:pPr>
      <w:r>
        <w:t>截至报告期末主要资产受限情</w:t>
      </w:r>
      <w:r>
        <w:rPr>
          <w:rFonts w:hint="eastAsia"/>
        </w:rPr>
        <w:t>况</w:t>
      </w:r>
    </w:p>
    <w:sdt>
      <w:sdtPr>
        <w:rPr>
          <w:rFonts w:hint="eastAsia"/>
          <w:szCs w:val="21"/>
        </w:rPr>
        <w:alias w:val="是否适用：主要资产受限情况[双击切换]"/>
        <w:tag w:val="_GBC_01311ee451194f52a953344cf249b1b9"/>
        <w:id w:val="-1021238610"/>
        <w:placeholder>
          <w:docPart w:val="GBC22222222222222222222222222222"/>
        </w:placeholder>
      </w:sdtPr>
      <w:sdtEndPr>
        <w:rPr>
          <w:rFonts w:hint="eastAsia"/>
          <w:szCs w:val="21"/>
        </w:rPr>
      </w:sdtEndPr>
      <w:sdtContent>
        <w:p w14:paraId="5E5700FE">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733029843"/>
        <w:placeholder>
          <w:docPart w:val="GBC22222222222222222222222222222"/>
        </w:placeholder>
      </w:sdtPr>
      <w:sdtEndPr>
        <w:rPr>
          <w:szCs w:val="21"/>
        </w:rPr>
      </w:sdtEndPr>
      <w:sdtContent>
        <w:p w14:paraId="5904C036">
          <w:pPr>
            <w:jc w:val="right"/>
            <w:rPr>
              <w:rFonts w:hint="eastAsia"/>
              <w:szCs w:val="21"/>
            </w:rPr>
          </w:pPr>
          <w:r>
            <w:rPr>
              <w:rFonts w:hint="eastAsia"/>
              <w:szCs w:val="21"/>
            </w:rPr>
            <w:t>单位：</w:t>
          </w:r>
          <w:sdt>
            <w:sdtPr>
              <w:rPr>
                <w:szCs w:val="21"/>
              </w:rPr>
              <w:alias w:val="单位：前5名供应商中存在新增供应商的或严重依赖于少数供应商的情形表"/>
              <w:tag w:val="_GBC_036521f9552a4945b789f303a5ebc076"/>
              <w:id w:val="-1074044388"/>
              <w:placeholder>
                <w:docPart w:val="EB2D8C1E657A403EBB1629AE3A09C481"/>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szCs w:val="21"/>
              </w:rPr>
              <w:alias w:val="币种：前5名供应商中存在新增供应商的或严重依赖于少数供应商的情形表"/>
              <w:tag w:val="_GBC_4f8542d2517f47e5bd8480fca623c3f2"/>
              <w:id w:val="793945692"/>
              <w:placeholder>
                <w:docPart w:val="EB2D8C1E657A403EBB1629AE3A09C48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2268"/>
            <w:gridCol w:w="2449"/>
          </w:tblGrid>
          <w:tr w14:paraId="1AB7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6CFF7D1B">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项目</w:t>
                </w:r>
              </w:p>
            </w:tc>
            <w:tc>
              <w:tcPr>
                <w:tcW w:w="2268" w:type="dxa"/>
              </w:tcPr>
              <w:p w14:paraId="206F66C7">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期末账面价值</w:t>
                </w:r>
              </w:p>
            </w:tc>
            <w:tc>
              <w:tcPr>
                <w:tcW w:w="2449" w:type="dxa"/>
              </w:tcPr>
              <w:p w14:paraId="6CC69E68">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受限原因</w:t>
                </w:r>
              </w:p>
            </w:tc>
          </w:tr>
          <w:tr w14:paraId="0356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CE0C007">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货币资金</w:t>
                </w:r>
              </w:p>
            </w:tc>
            <w:tc>
              <w:tcPr>
                <w:tcW w:w="2268" w:type="dxa"/>
              </w:tcPr>
              <w:p w14:paraId="7533833D">
                <w:pPr>
                  <w:widowControl w:val="0"/>
                  <w:jc w:val="right"/>
                  <w:rPr>
                    <w:rFonts w:ascii="Arial Narrow" w:hAnsi="Arial Narrow" w:eastAsiaTheme="minorEastAsia"/>
                    <w:szCs w:val="21"/>
                  </w:rPr>
                </w:pPr>
                <w:r>
                  <w:rPr>
                    <w:rFonts w:ascii="Arial Narrow" w:hAnsi="Arial Narrow" w:eastAsiaTheme="minorEastAsia"/>
                    <w:color w:val="000000"/>
                    <w:szCs w:val="21"/>
                  </w:rPr>
                  <w:t>240,657,438.64</w:t>
                </w:r>
              </w:p>
            </w:tc>
            <w:tc>
              <w:tcPr>
                <w:tcW w:w="2449" w:type="dxa"/>
                <w:vAlign w:val="center"/>
              </w:tcPr>
              <w:p w14:paraId="543EABED">
                <w:pPr>
                  <w:widowControl w:val="0"/>
                  <w:jc w:val="center"/>
                  <w:rPr>
                    <w:rFonts w:hint="eastAsia" w:asciiTheme="minorEastAsia" w:hAnsiTheme="minorEastAsia" w:eastAsiaTheme="minorEastAsia"/>
                    <w:szCs w:val="21"/>
                  </w:rPr>
                </w:pPr>
                <w:r>
                  <w:rPr>
                    <w:rStyle w:val="137"/>
                    <w:rFonts w:hint="default" w:asciiTheme="minorEastAsia" w:hAnsiTheme="minorEastAsia" w:eastAsiaTheme="minorEastAsia"/>
                  </w:rPr>
                  <w:t>详见附注七、</w:t>
                </w:r>
                <w:r>
                  <w:rPr>
                    <w:rStyle w:val="136"/>
                    <w:rFonts w:asciiTheme="minorEastAsia" w:hAnsiTheme="minorEastAsia" w:eastAsiaTheme="minorEastAsia"/>
                  </w:rPr>
                  <w:t>1</w:t>
                </w:r>
              </w:p>
            </w:tc>
          </w:tr>
          <w:tr w14:paraId="2794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2A25FC4A">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固定资产</w:t>
                </w:r>
              </w:p>
            </w:tc>
            <w:tc>
              <w:tcPr>
                <w:tcW w:w="2268" w:type="dxa"/>
              </w:tcPr>
              <w:p w14:paraId="0E4C6C8A">
                <w:pPr>
                  <w:widowControl w:val="0"/>
                  <w:jc w:val="right"/>
                  <w:rPr>
                    <w:rFonts w:ascii="Arial Narrow" w:hAnsi="Arial Narrow" w:eastAsiaTheme="minorEastAsia"/>
                    <w:szCs w:val="21"/>
                  </w:rPr>
                </w:pPr>
                <w:r>
                  <w:rPr>
                    <w:rFonts w:ascii="Arial Narrow" w:hAnsi="Arial Narrow" w:eastAsiaTheme="minorEastAsia"/>
                    <w:color w:val="000000"/>
                    <w:szCs w:val="21"/>
                  </w:rPr>
                  <w:t>45,125,579.75</w:t>
                </w:r>
              </w:p>
            </w:tc>
            <w:tc>
              <w:tcPr>
                <w:tcW w:w="2449" w:type="dxa"/>
                <w:vAlign w:val="center"/>
              </w:tcPr>
              <w:p w14:paraId="24ECB2D1">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抵押借款</w:t>
                </w:r>
              </w:p>
            </w:tc>
          </w:tr>
          <w:tr w14:paraId="153C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0F33876B">
                <w:pPr>
                  <w:widowControl w:val="0"/>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无形资产</w:t>
                </w:r>
              </w:p>
            </w:tc>
            <w:tc>
              <w:tcPr>
                <w:tcW w:w="2268" w:type="dxa"/>
              </w:tcPr>
              <w:p w14:paraId="46DED908">
                <w:pPr>
                  <w:widowControl w:val="0"/>
                  <w:jc w:val="right"/>
                  <w:rPr>
                    <w:rFonts w:ascii="Arial Narrow" w:hAnsi="Arial Narrow" w:eastAsiaTheme="minorEastAsia"/>
                    <w:szCs w:val="21"/>
                  </w:rPr>
                </w:pPr>
                <w:r>
                  <w:rPr>
                    <w:rFonts w:ascii="Arial Narrow" w:hAnsi="Arial Narrow" w:eastAsiaTheme="minorEastAsia"/>
                    <w:color w:val="000000"/>
                    <w:szCs w:val="21"/>
                  </w:rPr>
                  <w:t>5,361,437.36</w:t>
                </w:r>
              </w:p>
            </w:tc>
            <w:tc>
              <w:tcPr>
                <w:tcW w:w="2449" w:type="dxa"/>
                <w:vAlign w:val="center"/>
              </w:tcPr>
              <w:p w14:paraId="6E38D47B">
                <w:pPr>
                  <w:widowControl w:val="0"/>
                  <w:jc w:val="center"/>
                  <w:rPr>
                    <w:rFonts w:hint="eastAsia" w:asciiTheme="minorEastAsia" w:hAnsiTheme="minorEastAsia" w:eastAsiaTheme="minorEastAsia"/>
                    <w:szCs w:val="21"/>
                  </w:rPr>
                </w:pPr>
                <w:r>
                  <w:rPr>
                    <w:rFonts w:asciiTheme="minorEastAsia" w:hAnsiTheme="minorEastAsia" w:eastAsiaTheme="minorEastAsia"/>
                    <w:color w:val="000000"/>
                    <w:szCs w:val="21"/>
                  </w:rPr>
                  <w:t>抵押借款</w:t>
                </w:r>
              </w:p>
            </w:tc>
          </w:tr>
          <w:tr w14:paraId="54AF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43991A43">
                <w:pPr>
                  <w:widowControl w:val="0"/>
                  <w:jc w:val="center"/>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合计</w:t>
                </w:r>
              </w:p>
            </w:tc>
            <w:tc>
              <w:tcPr>
                <w:tcW w:w="2268" w:type="dxa"/>
              </w:tcPr>
              <w:p w14:paraId="63915295">
                <w:pPr>
                  <w:widowControl w:val="0"/>
                  <w:jc w:val="right"/>
                  <w:rPr>
                    <w:rFonts w:ascii="Arial Narrow" w:hAnsi="Arial Narrow" w:eastAsiaTheme="minorEastAsia"/>
                    <w:szCs w:val="21"/>
                  </w:rPr>
                </w:pPr>
                <w:r>
                  <w:rPr>
                    <w:rFonts w:ascii="Arial Narrow" w:hAnsi="Arial Narrow" w:eastAsiaTheme="minorEastAsia"/>
                    <w:color w:val="000000"/>
                    <w:szCs w:val="21"/>
                  </w:rPr>
                  <w:t>291,144,455.75</w:t>
                </w:r>
              </w:p>
            </w:tc>
            <w:tc>
              <w:tcPr>
                <w:tcW w:w="2449" w:type="dxa"/>
                <w:vAlign w:val="center"/>
              </w:tcPr>
              <w:p w14:paraId="5919FA97">
                <w:pPr>
                  <w:widowControl w:val="0"/>
                  <w:jc w:val="center"/>
                  <w:rPr>
                    <w:rFonts w:hint="eastAsia" w:asciiTheme="minorEastAsia" w:hAnsiTheme="minorEastAsia" w:eastAsiaTheme="minorEastAsia"/>
                    <w:color w:val="000000"/>
                    <w:szCs w:val="21"/>
                  </w:rPr>
                </w:pPr>
              </w:p>
            </w:tc>
          </w:tr>
        </w:tbl>
        <w:p w14:paraId="4ACDEA69">
          <w:pPr>
            <w:rPr>
              <w:rFonts w:hint="eastAsia"/>
              <w:szCs w:val="21"/>
            </w:rPr>
          </w:pPr>
        </w:p>
      </w:sdtContent>
    </w:sdt>
    <w:p w14:paraId="58A6ABB0">
      <w:pPr>
        <w:rPr>
          <w:rFonts w:hint="eastAsia"/>
          <w:szCs w:val="21"/>
        </w:rPr>
      </w:pPr>
    </w:p>
    <w:p w14:paraId="0D156E36">
      <w:pPr>
        <w:pStyle w:val="5"/>
        <w:numPr>
          <w:ilvl w:val="0"/>
          <w:numId w:val="12"/>
        </w:numPr>
        <w:rPr>
          <w:rFonts w:hint="eastAsia"/>
        </w:rPr>
      </w:pPr>
      <w:r>
        <w:t>其他说明</w:t>
      </w:r>
    </w:p>
    <w:sdt>
      <w:sdtPr>
        <w:rPr>
          <w:rFonts w:hint="eastAsia"/>
          <w:szCs w:val="21"/>
        </w:rPr>
        <w:alias w:val="是否适用：资产及负债状况的其他说明[双击切换]"/>
        <w:tag w:val="_GBC_364e24c8cf1a4469ba88a4ae16e0417f"/>
        <w:id w:val="-805928334"/>
        <w:placeholder>
          <w:docPart w:val="GBC22222222222222222222222222222"/>
        </w:placeholder>
      </w:sdtPr>
      <w:sdtEndPr>
        <w:rPr>
          <w:rFonts w:hint="eastAsia"/>
          <w:szCs w:val="21"/>
        </w:rPr>
      </w:sdtEndPr>
      <w:sdtContent>
        <w:p w14:paraId="304578D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43A097A">
      <w:pPr>
        <w:rPr>
          <w:rFonts w:hint="eastAsia"/>
          <w:szCs w:val="21"/>
        </w:rPr>
      </w:pPr>
    </w:p>
    <w:p w14:paraId="2FF8A7FE">
      <w:pPr>
        <w:pStyle w:val="4"/>
        <w:numPr>
          <w:ilvl w:val="0"/>
          <w:numId w:val="8"/>
        </w:numPr>
        <w:ind w:left="0" w:firstLine="0"/>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180967673"/>
        <w:placeholder>
          <w:docPart w:val="GBC22222222222222222222222222222"/>
        </w:placeholder>
      </w:sdtPr>
      <w:sdtEndPr>
        <w:rPr>
          <w:rFonts w:hint="eastAsia"/>
          <w:szCs w:val="21"/>
        </w:rPr>
      </w:sdtEndPr>
      <w:sdtContent>
        <w:p w14:paraId="5E29355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25F7FC1">
      <w:pPr>
        <w:rPr>
          <w:rFonts w:hint="eastAsia"/>
          <w:szCs w:val="21"/>
        </w:rPr>
      </w:pPr>
    </w:p>
    <w:p w14:paraId="58FCAB10">
      <w:pPr>
        <w:pStyle w:val="71"/>
        <w:ind w:left="360" w:hanging="360"/>
        <w:rPr>
          <w:rFonts w:hint="eastAsia"/>
        </w:rPr>
      </w:pPr>
      <w:r>
        <w:rPr>
          <w:rFonts w:hint="eastAsia"/>
        </w:rPr>
        <w:t>服装行业经营性信息分析</w:t>
      </w:r>
    </w:p>
    <w:p w14:paraId="0C896D63">
      <w:pPr>
        <w:pStyle w:val="6"/>
        <w:numPr>
          <w:ilvl w:val="0"/>
          <w:numId w:val="14"/>
        </w:numPr>
        <w:ind w:leftChars="0"/>
      </w:pPr>
      <w:r>
        <w:rPr>
          <w:rFonts w:hint="eastAsia"/>
        </w:rPr>
        <w:t>报告期内实体门店情况</w:t>
      </w:r>
    </w:p>
    <w:sdt>
      <w:sdtPr>
        <w:rPr>
          <w:rFonts w:hint="eastAsia"/>
          <w:szCs w:val="21"/>
        </w:rPr>
        <w:alias w:val="是否适用：报告期内实体门店情况[双击切换]"/>
        <w:tag w:val="_GBC_8eb77050ef734bffaf91d56e5c9a7cad"/>
        <w:id w:val="-1098868414"/>
        <w:placeholder>
          <w:docPart w:val="GBC22222222222222222222222222222"/>
        </w:placeholder>
      </w:sdtPr>
      <w:sdtEndPr>
        <w:rPr>
          <w:rFonts w:hint="eastAsia"/>
          <w:szCs w:val="21"/>
        </w:rPr>
      </w:sdtEndPr>
      <w:sdtContent>
        <w:p w14:paraId="5DD3401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20463BF">
      <w:pPr>
        <w:rPr>
          <w:rFonts w:hint="eastAsia" w:cs="Times New Roman"/>
          <w:b/>
          <w:bCs/>
          <w:kern w:val="2"/>
          <w:szCs w:val="21"/>
        </w:rPr>
      </w:pPr>
    </w:p>
    <w:p w14:paraId="0C4DCD6E">
      <w:pPr>
        <w:pStyle w:val="6"/>
        <w:numPr>
          <w:ilvl w:val="0"/>
          <w:numId w:val="14"/>
        </w:numPr>
        <w:ind w:leftChars="0"/>
      </w:pPr>
      <w:r>
        <w:rPr>
          <w:rFonts w:hint="eastAsia"/>
        </w:rPr>
        <w:t>报告期内各品牌的盈利情况</w:t>
      </w:r>
    </w:p>
    <w:sdt>
      <w:sdtPr>
        <w:rPr>
          <w:rFonts w:hint="eastAsia"/>
          <w:szCs w:val="21"/>
        </w:rPr>
        <w:alias w:val="是否适用：报告期内各品牌的盈利情况[双击切换]"/>
        <w:tag w:val="_GBC_85165186bcad4740b1eb6de44dd22fdb"/>
        <w:id w:val="-942692878"/>
        <w:placeholder>
          <w:docPart w:val="GBC22222222222222222222222222222"/>
        </w:placeholder>
      </w:sdtPr>
      <w:sdtEndPr>
        <w:rPr>
          <w:rFonts w:hint="eastAsia"/>
          <w:szCs w:val="21"/>
        </w:rPr>
      </w:sdtEndPr>
      <w:sdtContent>
        <w:p w14:paraId="6A96E8C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25C2B20">
      <w:pPr>
        <w:rPr>
          <w:rFonts w:hint="eastAsia" w:cs="Times New Roman"/>
          <w:b/>
          <w:bCs/>
          <w:kern w:val="2"/>
          <w:szCs w:val="21"/>
        </w:rPr>
      </w:pPr>
    </w:p>
    <w:p w14:paraId="3A6E15BB">
      <w:pPr>
        <w:pStyle w:val="6"/>
        <w:numPr>
          <w:ilvl w:val="0"/>
          <w:numId w:val="14"/>
        </w:numPr>
        <w:ind w:leftChars="0"/>
      </w:pPr>
      <w:r>
        <w:rPr>
          <w:rFonts w:hint="eastAsia"/>
        </w:rPr>
        <w:t>报告期内直营店和加盟店的盈利情况</w:t>
      </w:r>
    </w:p>
    <w:sdt>
      <w:sdtPr>
        <w:rPr>
          <w:szCs w:val="21"/>
        </w:rPr>
        <w:alias w:val="是否适用：报告期内直营店和加盟店的盈利情况[双击切换]"/>
        <w:tag w:val="_GBC_2f6f095e806c413d9f45a5236e8604c7"/>
        <w:id w:val="-2000410761"/>
        <w:placeholder>
          <w:docPart w:val="GBC22222222222222222222222222222"/>
        </w:placeholder>
      </w:sdtPr>
      <w:sdtEndPr>
        <w:rPr>
          <w:szCs w:val="21"/>
        </w:rPr>
      </w:sdtEndPr>
      <w:sdtContent>
        <w:p w14:paraId="6109E846">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AFABABE">
      <w:pPr>
        <w:rPr>
          <w:rFonts w:hint="eastAsia" w:cs="Times New Roman"/>
          <w:b/>
          <w:bCs/>
          <w:kern w:val="2"/>
          <w:szCs w:val="21"/>
        </w:rPr>
      </w:pPr>
    </w:p>
    <w:p w14:paraId="5420A32A">
      <w:pPr>
        <w:pStyle w:val="6"/>
        <w:numPr>
          <w:ilvl w:val="0"/>
          <w:numId w:val="14"/>
        </w:numPr>
        <w:ind w:leftChars="0"/>
      </w:pPr>
      <w:r>
        <w:rPr>
          <w:rFonts w:hint="eastAsia"/>
        </w:rPr>
        <w:t>报告期内线上、线下销售渠道的盈利情况</w:t>
      </w:r>
    </w:p>
    <w:sdt>
      <w:sdtPr>
        <w:rPr>
          <w:szCs w:val="21"/>
        </w:rPr>
        <w:alias w:val="是否适用：报告期内线上、线下销售渠道的盈利情况[双击切换]"/>
        <w:tag w:val="_GBC_8773b26da9ef4754bfffc8df26abdab9"/>
        <w:id w:val="-421728992"/>
        <w:placeholder>
          <w:docPart w:val="GBC22222222222222222222222222222"/>
        </w:placeholder>
      </w:sdtPr>
      <w:sdtEndPr>
        <w:rPr>
          <w:szCs w:val="21"/>
        </w:rPr>
      </w:sdtEndPr>
      <w:sdtContent>
        <w:p w14:paraId="582897F8">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308081B">
      <w:pPr>
        <w:rPr>
          <w:rFonts w:hint="eastAsia" w:cs="Times New Roman"/>
          <w:b/>
          <w:bCs/>
          <w:kern w:val="2"/>
          <w:szCs w:val="21"/>
        </w:rPr>
      </w:pPr>
    </w:p>
    <w:p w14:paraId="285AF1BE">
      <w:pPr>
        <w:pStyle w:val="6"/>
        <w:numPr>
          <w:ilvl w:val="0"/>
          <w:numId w:val="14"/>
        </w:numPr>
        <w:ind w:leftChars="0"/>
      </w:pPr>
      <w:r>
        <w:rPr>
          <w:rFonts w:hint="eastAsia"/>
        </w:rPr>
        <w:t>报告期内各地区的盈利情况</w:t>
      </w:r>
    </w:p>
    <w:sdt>
      <w:sdtPr>
        <w:rPr>
          <w:rFonts w:hint="eastAsia"/>
          <w:szCs w:val="21"/>
        </w:rPr>
        <w:alias w:val="是否适用：报告期内各地区的盈利情况[双击切换]"/>
        <w:tag w:val="_GBC_4dc81f9599ed48c89aa2693076bf2593"/>
        <w:id w:val="-1161465000"/>
        <w:placeholder>
          <w:docPart w:val="GBC22222222222222222222222222222"/>
        </w:placeholder>
      </w:sdtPr>
      <w:sdtEndPr>
        <w:rPr>
          <w:rFonts w:hint="eastAsia"/>
          <w:szCs w:val="21"/>
        </w:rPr>
      </w:sdtEndPr>
      <w:sdtContent>
        <w:p w14:paraId="6E55A9B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34D7737">
      <w:pPr>
        <w:rPr>
          <w:rFonts w:hint="eastAsia"/>
        </w:rPr>
      </w:pPr>
    </w:p>
    <w:p w14:paraId="297163BE">
      <w:pPr>
        <w:pStyle w:val="6"/>
        <w:numPr>
          <w:ilvl w:val="0"/>
          <w:numId w:val="14"/>
        </w:numPr>
        <w:ind w:leftChars="0"/>
      </w:pPr>
      <w:r>
        <w:rPr>
          <w:rFonts w:hint="eastAsia"/>
        </w:rPr>
        <w:t>其他说明</w:t>
      </w:r>
    </w:p>
    <w:p w14:paraId="7E0C33C1">
      <w:pPr>
        <w:rPr>
          <w:rFonts w:hint="eastAsia"/>
          <w:szCs w:val="21"/>
        </w:rPr>
      </w:pPr>
      <w:sdt>
        <w:sdtPr>
          <w:rPr>
            <w:rFonts w:hint="eastAsia"/>
            <w:szCs w:val="21"/>
          </w:rPr>
          <w:alias w:val="是否适用：服装行业经营性信息分析其他情况说明[双击切换]"/>
          <w:tag w:val="_GBC_2ee21191840e4ea9a38dfed64c1f5316"/>
          <w:id w:val="1323704222"/>
          <w:placeholder>
            <w:docPart w:val="GBC22222222222222222222222222222"/>
          </w:placeholder>
        </w:sdtPr>
        <w:sdtEndPr>
          <w:rPr>
            <w:rFonts w:hint="eastAsia"/>
            <w:szCs w:val="21"/>
          </w:rPr>
        </w:sdtEndPr>
        <w:sdtContent>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sdt>
      <w:sdtPr>
        <w:rPr>
          <w:szCs w:val="21"/>
        </w:rPr>
        <w:alias w:val="服装行业经营性信息分析其他情况说明"/>
        <w:tag w:val="_GBC_3c18e020684f4643bd4c7fa781bbbac2"/>
        <w:id w:val="870109153"/>
        <w:placeholder>
          <w:docPart w:val="GBC22222222222222222222222222222"/>
        </w:placeholder>
      </w:sdtPr>
      <w:sdtEndPr>
        <w:rPr>
          <w:rFonts w:hint="eastAsia"/>
          <w:szCs w:val="21"/>
        </w:rPr>
      </w:sdtEndPr>
      <w:sdtContent>
        <w:p w14:paraId="71ECBF8E">
          <w:pPr>
            <w:ind w:firstLine="420" w:firstLineChars="200"/>
            <w:rPr>
              <w:rFonts w:hint="eastAsia"/>
              <w:szCs w:val="21"/>
            </w:rPr>
          </w:pPr>
          <w:r>
            <w:rPr>
              <w:rFonts w:hint="eastAsia"/>
              <w:szCs w:val="21"/>
            </w:rPr>
            <w:t xml:space="preserve">关于纺织服装行业的有关情况分析以及本公司主要业务所处细分市场的有关分析详见本报告第三节“管理层讨论与分析”之“二、报告期内公司所处行业情况”和“三、报告期内公司从事的业务情况”以及“六、关于公司未来发展的讨论与分析”。 </w:t>
          </w:r>
        </w:p>
        <w:p w14:paraId="352A7B1C">
          <w:pPr>
            <w:ind w:firstLine="420" w:firstLineChars="200"/>
            <w:rPr>
              <w:rFonts w:hint="eastAsia"/>
              <w:szCs w:val="21"/>
            </w:rPr>
          </w:pPr>
          <w:r>
            <w:rPr>
              <w:rFonts w:hint="eastAsia"/>
              <w:szCs w:val="21"/>
            </w:rPr>
            <w:t>公司现有纺织服装业务，包括职业装、职业鞋靴、纺织印染等产品主要面向军队、政府、企业客户市场，经营模式以招投标为主，品牌C端零售和电商目前占比不高，不适用“服装行业经营性信息分析”。</w:t>
          </w:r>
        </w:p>
      </w:sdtContent>
    </w:sdt>
    <w:p w14:paraId="249238A2">
      <w:pPr>
        <w:pStyle w:val="123"/>
      </w:pPr>
      <w:bookmarkStart w:id="52" w:name="_Hlk41835872"/>
      <w:bookmarkEnd w:id="52"/>
      <w:bookmarkStart w:id="53" w:name="_Hlk41835841"/>
      <w:bookmarkEnd w:id="53"/>
      <w:bookmarkStart w:id="54" w:name="_Hlk41836274"/>
      <w:bookmarkEnd w:id="54"/>
    </w:p>
    <w:p w14:paraId="18936E34">
      <w:pPr>
        <w:pStyle w:val="49"/>
        <w:snapToGrid w:val="0"/>
        <w:spacing w:before="60" w:after="60"/>
        <w:ind w:firstLine="0" w:firstLineChars="0"/>
        <w:sectPr>
          <w:pgSz w:w="11906" w:h="16838"/>
          <w:pgMar w:top="1525" w:right="1276" w:bottom="1440" w:left="1797" w:header="855" w:footer="992" w:gutter="0"/>
          <w:cols w:space="425" w:num="1"/>
          <w:docGrid w:linePitch="312" w:charSpace="0"/>
        </w:sectPr>
      </w:pPr>
      <w:bookmarkStart w:id="55" w:name="_Hlk533666971"/>
      <w:bookmarkEnd w:id="55"/>
      <w:bookmarkStart w:id="56" w:name="_Hlk533434947"/>
      <w:bookmarkEnd w:id="56"/>
      <w:bookmarkStart w:id="57" w:name="_Hlk533435074"/>
      <w:bookmarkEnd w:id="57"/>
      <w:bookmarkStart w:id="58" w:name="_Hlk533666837"/>
      <w:bookmarkEnd w:id="58"/>
      <w:bookmarkStart w:id="59" w:name="_Hlk533435176"/>
      <w:bookmarkEnd w:id="59"/>
      <w:bookmarkStart w:id="60" w:name="_Hlk533435130"/>
      <w:bookmarkEnd w:id="60"/>
      <w:bookmarkStart w:id="61" w:name="_Hlk533435027"/>
      <w:bookmarkEnd w:id="61"/>
      <w:bookmarkStart w:id="62" w:name="_Hlk533433706"/>
      <w:bookmarkEnd w:id="62"/>
      <w:bookmarkStart w:id="63" w:name="_Hlk533435467"/>
      <w:bookmarkEnd w:id="63"/>
      <w:bookmarkStart w:id="64" w:name="_Hlk533435360"/>
      <w:bookmarkEnd w:id="64"/>
      <w:bookmarkStart w:id="65" w:name="_Hlk533667031"/>
      <w:bookmarkEnd w:id="65"/>
      <w:bookmarkStart w:id="66" w:name="_Hlk533436182"/>
      <w:bookmarkEnd w:id="66"/>
    </w:p>
    <w:p w14:paraId="6AF78213">
      <w:pPr>
        <w:pStyle w:val="4"/>
        <w:numPr>
          <w:ilvl w:val="0"/>
          <w:numId w:val="8"/>
        </w:numPr>
        <w:ind w:left="0" w:firstLine="0"/>
        <w:rPr>
          <w:szCs w:val="21"/>
        </w:rPr>
      </w:pPr>
      <w:r>
        <w:rPr>
          <w:rFonts w:hint="eastAsia"/>
          <w:szCs w:val="21"/>
        </w:rPr>
        <w:t>投资状况分析</w:t>
      </w:r>
    </w:p>
    <w:p w14:paraId="34461428">
      <w:pPr>
        <w:rPr>
          <w:rFonts w:hint="eastAsia"/>
          <w:b/>
          <w:bCs/>
        </w:rPr>
      </w:pPr>
      <w:r>
        <w:rPr>
          <w:b/>
          <w:bCs/>
        </w:rPr>
        <w:t>对外股权投资总体分析</w:t>
      </w:r>
    </w:p>
    <w:sdt>
      <w:sdtPr>
        <w:rPr>
          <w:szCs w:val="21"/>
        </w:rPr>
        <w:alias w:val="是否适用：对外股权投资总体分析[双击切换]"/>
        <w:tag w:val="_GBC_cfb706fadf2c47bbbaf1bf90c054ccaf"/>
        <w:id w:val="-1556536708"/>
        <w:placeholder>
          <w:docPart w:val="GBC22222222222222222222222222222"/>
        </w:placeholder>
      </w:sdtPr>
      <w:sdtEndPr>
        <w:rPr>
          <w:szCs w:val="21"/>
        </w:rPr>
      </w:sdtEndPr>
      <w:sdtContent>
        <w:p w14:paraId="7F8002BE">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对外股权投资总体分析"/>
        <w:tag w:val="_GBC_fe6d59343f314ea694416d2e9d0fcf01"/>
        <w:id w:val="1150474023"/>
        <w:placeholder>
          <w:docPart w:val="GBC22222222222222222222222222222"/>
        </w:placeholder>
      </w:sdtPr>
      <w:sdtEndPr>
        <w:rPr>
          <w:szCs w:val="21"/>
        </w:rPr>
      </w:sdtEndPr>
      <w:sdtContent>
        <w:p w14:paraId="52B307DB">
          <w:pPr>
            <w:ind w:firstLine="420" w:firstLineChars="200"/>
            <w:rPr>
              <w:rFonts w:hint="eastAsia"/>
              <w:szCs w:val="21"/>
            </w:rPr>
          </w:pPr>
          <w:r>
            <w:rPr>
              <w:rFonts w:hint="eastAsia"/>
              <w:szCs w:val="21"/>
            </w:rPr>
            <w:t>报告期末，长期股权投资账面价值4,800.97万元，较年初9,292.96万元，减少4,491.99万元，降幅48.34%。报告期内，</w:t>
          </w:r>
          <w:bookmarkStart w:id="67" w:name="OLE_LINK11"/>
          <w:r>
            <w:rPr>
              <w:rFonts w:hint="eastAsia"/>
              <w:szCs w:val="21"/>
            </w:rPr>
            <w:t>按照权益法核算确认投资收益</w:t>
          </w:r>
          <w:bookmarkEnd w:id="67"/>
          <w:r>
            <w:rPr>
              <w:rFonts w:hint="eastAsia"/>
              <w:szCs w:val="21"/>
            </w:rPr>
            <w:t xml:space="preserve">-3,719.83万元。 </w:t>
          </w:r>
        </w:p>
        <w:p w14:paraId="174C27A9">
          <w:pPr>
            <w:ind w:firstLine="420" w:firstLineChars="200"/>
            <w:rPr>
              <w:rFonts w:hint="eastAsia"/>
              <w:szCs w:val="21"/>
            </w:rPr>
          </w:pPr>
          <w:r>
            <w:rPr>
              <w:rFonts w:hint="eastAsia"/>
              <w:szCs w:val="21"/>
            </w:rPr>
            <w:t xml:space="preserve">交易性金融资产账面价值63.00万元，较年初63.00万元未发生变化。 </w:t>
          </w:r>
        </w:p>
        <w:p w14:paraId="6CF62669">
          <w:pPr>
            <w:ind w:firstLine="420" w:firstLineChars="200"/>
            <w:rPr>
              <w:rFonts w:hint="eastAsia"/>
              <w:szCs w:val="21"/>
            </w:rPr>
          </w:pPr>
          <w:r>
            <w:rPr>
              <w:rFonts w:hint="eastAsia"/>
              <w:szCs w:val="21"/>
            </w:rPr>
            <w:t>其他权益工具投资账面价值51,998.16万元，较年初63,171.72万元，降低11,173.56万元，降幅17.69%。</w:t>
          </w:r>
        </w:p>
      </w:sdtContent>
    </w:sdt>
    <w:p w14:paraId="3A2C7FDC">
      <w:pPr>
        <w:rPr>
          <w:rFonts w:hint="eastAsia" w:asciiTheme="minorEastAsia" w:hAnsiTheme="minorEastAsia" w:eastAsiaTheme="minorEastAsia"/>
          <w:szCs w:val="21"/>
        </w:rPr>
      </w:pPr>
    </w:p>
    <w:p w14:paraId="5831DC2F">
      <w:pPr>
        <w:pStyle w:val="71"/>
        <w:numPr>
          <w:ilvl w:val="0"/>
          <w:numId w:val="15"/>
        </w:numPr>
        <w:rPr>
          <w:rFonts w:hint="eastAsia"/>
        </w:rPr>
      </w:pPr>
      <w:r>
        <w:rPr>
          <w:rFonts w:hint="eastAsia"/>
        </w:rPr>
        <w:t>重大的股权投资</w:t>
      </w:r>
    </w:p>
    <w:sdt>
      <w:sdtPr>
        <w:rPr>
          <w:rFonts w:hint="eastAsia"/>
        </w:rPr>
        <w:alias w:val="是否适用：重大的股权投资[双击切换]"/>
        <w:tag w:val="_GBC_b20506918d854c13b13a3b89dd84c7d3"/>
        <w:id w:val="1354607741"/>
        <w:placeholder>
          <w:docPart w:val="GBC22222222222222222222222222222"/>
        </w:placeholder>
      </w:sdtPr>
      <w:sdtEndPr>
        <w:rPr>
          <w:rFonts w:hint="eastAsia"/>
        </w:rPr>
      </w:sdtEndPr>
      <w:sdtContent>
        <w:p w14:paraId="0F90143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E3B44C8">
      <w:pPr>
        <w:rPr>
          <w:rFonts w:hint="eastAsia"/>
        </w:rPr>
      </w:pPr>
    </w:p>
    <w:p w14:paraId="2563D33A">
      <w:pPr>
        <w:pStyle w:val="71"/>
        <w:numPr>
          <w:ilvl w:val="0"/>
          <w:numId w:val="15"/>
        </w:numPr>
        <w:rPr>
          <w:rFonts w:hint="eastAsia"/>
        </w:rPr>
      </w:pPr>
      <w:r>
        <w:rPr>
          <w:rFonts w:hint="eastAsia"/>
        </w:rPr>
        <w:t>重大的非股权投资</w:t>
      </w:r>
    </w:p>
    <w:sdt>
      <w:sdtPr>
        <w:rPr>
          <w:rFonts w:hint="eastAsia"/>
        </w:rPr>
        <w:alias w:val="是否适用：重大的非股权投资[双击切换]"/>
        <w:tag w:val="_GBC_fbd46075a5b9414d9e28cd2404e5d47c"/>
        <w:id w:val="-1407758349"/>
        <w:placeholder>
          <w:docPart w:val="GBC22222222222222222222222222222"/>
        </w:placeholder>
      </w:sdtPr>
      <w:sdtEndPr>
        <w:rPr>
          <w:rFonts w:hint="eastAsia"/>
        </w:rPr>
      </w:sdtEndPr>
      <w:sdtContent>
        <w:p w14:paraId="1DACA01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285F511">
      <w:pPr>
        <w:rPr>
          <w:rFonts w:hint="eastAsia"/>
        </w:rPr>
      </w:pPr>
    </w:p>
    <w:p w14:paraId="68173077">
      <w:pPr>
        <w:pStyle w:val="71"/>
        <w:numPr>
          <w:ilvl w:val="0"/>
          <w:numId w:val="15"/>
        </w:numPr>
        <w:rPr>
          <w:rFonts w:hint="eastAsia"/>
        </w:rPr>
      </w:pPr>
      <w:bookmarkStart w:id="68" w:name="_Hlk40532846"/>
      <w:r>
        <w:rPr>
          <w:rFonts w:hint="eastAsia"/>
        </w:rPr>
        <w:t>以公允价值计量的金融资产</w:t>
      </w:r>
    </w:p>
    <w:sdt>
      <w:sdtPr>
        <w:rPr>
          <w:rFonts w:hint="eastAsia"/>
          <w:szCs w:val="21"/>
        </w:rPr>
        <w:alias w:val="是否适用：以公允价值计量的金融资产[双击切换]"/>
        <w:tag w:val="_GBC_27fa42d1c8fd489d9e8648bed00ddd53"/>
        <w:id w:val="2090033682"/>
        <w:placeholder>
          <w:docPart w:val="GBC22222222222222222222222222222"/>
        </w:placeholder>
      </w:sdtPr>
      <w:sdtEndPr>
        <w:rPr>
          <w:rFonts w:hint="eastAsia"/>
          <w:szCs w:val="21"/>
        </w:rPr>
      </w:sdtEndPr>
      <w:sdtContent>
        <w:p w14:paraId="5CAB3446">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F01599E">
      <w:pPr>
        <w:pStyle w:val="49"/>
        <w:wordWrap w:val="0"/>
        <w:ind w:left="360" w:firstLine="0" w:firstLineChars="0"/>
        <w:jc w:val="right"/>
      </w:pPr>
      <w:r>
        <w:rPr>
          <w:rFonts w:hint="eastAsia"/>
        </w:rPr>
        <w:t>单位：</w:t>
      </w:r>
      <w:sdt>
        <w:sdtPr>
          <w:rPr>
            <w:rFonts w:hint="eastAsia"/>
          </w:rPr>
          <w:alias w:val="单位：以公允价值计量的金融资产"/>
          <w:tag w:val="_GBC_b2e3ce23c85c488ab3fa1ba1294ef546"/>
          <w:id w:val="-176606694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以公允价值计量的金融资产"/>
          <w:tag w:val="_GBC_77ed3303d22c48dc98ae781142db662c"/>
          <w:id w:val="15865771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bookmarkEnd w:id="68"/>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1876"/>
        <w:gridCol w:w="1877"/>
        <w:gridCol w:w="1877"/>
        <w:gridCol w:w="1877"/>
      </w:tblGrid>
      <w:tr w14:paraId="6697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c54b9fd583d4e649fc12d33a6f94086"/>
            <w:id w:val="1973785836"/>
          </w:sdtPr>
          <w:sdtContent>
            <w:tc>
              <w:tcPr>
                <w:tcW w:w="1316" w:type="dxa"/>
                <w:shd w:val="clear" w:color="auto" w:fill="auto"/>
                <w:vAlign w:val="center"/>
              </w:tcPr>
              <w:p w14:paraId="5F61FEAA">
                <w:pPr>
                  <w:jc w:val="center"/>
                  <w:rPr>
                    <w:rFonts w:hint="eastAsia"/>
                  </w:rPr>
                </w:pPr>
                <w:r>
                  <w:rPr>
                    <w:rFonts w:hint="eastAsia" w:cs="Times New Roman"/>
                    <w:szCs w:val="22"/>
                  </w:rPr>
                  <w:t>资产类别</w:t>
                </w:r>
              </w:p>
            </w:tc>
          </w:sdtContent>
        </w:sdt>
        <w:sdt>
          <w:sdtPr>
            <w:tag w:val="_PLD_4b84ad0ddc154021b1b8d9a6bffa6c39"/>
            <w:id w:val="2000921476"/>
          </w:sdtPr>
          <w:sdtContent>
            <w:tc>
              <w:tcPr>
                <w:tcW w:w="1876" w:type="dxa"/>
                <w:shd w:val="clear" w:color="auto" w:fill="auto"/>
                <w:vAlign w:val="center"/>
              </w:tcPr>
              <w:p w14:paraId="4D7398B2">
                <w:pPr>
                  <w:jc w:val="center"/>
                  <w:rPr>
                    <w:rFonts w:hint="eastAsia"/>
                  </w:rPr>
                </w:pPr>
                <w:r>
                  <w:rPr>
                    <w:rFonts w:hint="eastAsia"/>
                  </w:rPr>
                  <w:t>期初数</w:t>
                </w:r>
              </w:p>
            </w:tc>
          </w:sdtContent>
        </w:sdt>
        <w:sdt>
          <w:sdtPr>
            <w:tag w:val="_PLD_81fc9fd2b35c49e2bfd3b55b8724ae1d"/>
            <w:id w:val="179935253"/>
          </w:sdtPr>
          <w:sdtContent>
            <w:tc>
              <w:tcPr>
                <w:tcW w:w="1877" w:type="dxa"/>
                <w:shd w:val="clear" w:color="auto" w:fill="auto"/>
                <w:vAlign w:val="center"/>
              </w:tcPr>
              <w:p w14:paraId="66B5D5CE">
                <w:pPr>
                  <w:jc w:val="center"/>
                  <w:rPr>
                    <w:rFonts w:hint="eastAsia"/>
                  </w:rPr>
                </w:pPr>
                <w:r>
                  <w:rPr>
                    <w:rFonts w:hint="eastAsia"/>
                  </w:rPr>
                  <w:t>计入权益的累计公允价值变动</w:t>
                </w:r>
              </w:p>
            </w:tc>
          </w:sdtContent>
        </w:sdt>
        <w:sdt>
          <w:sdtPr>
            <w:tag w:val="_PLD_ba0671fda1cb4d8c8d3c1e5b16cc6e5a"/>
            <w:id w:val="526299861"/>
          </w:sdtPr>
          <w:sdtContent>
            <w:tc>
              <w:tcPr>
                <w:tcW w:w="1877" w:type="dxa"/>
                <w:shd w:val="clear" w:color="auto" w:fill="auto"/>
                <w:vAlign w:val="center"/>
              </w:tcPr>
              <w:p w14:paraId="68D82450">
                <w:pPr>
                  <w:jc w:val="center"/>
                  <w:rPr>
                    <w:rFonts w:hint="eastAsia"/>
                  </w:rPr>
                </w:pPr>
                <w:r>
                  <w:rPr>
                    <w:rFonts w:hint="eastAsia"/>
                  </w:rPr>
                  <w:t>本期出售/赎回金额</w:t>
                </w:r>
              </w:p>
            </w:tc>
          </w:sdtContent>
        </w:sdt>
        <w:sdt>
          <w:sdtPr>
            <w:tag w:val="_PLD_816d427a273240d9af67db4a5feee586"/>
            <w:id w:val="-2119748827"/>
          </w:sdtPr>
          <w:sdtContent>
            <w:tc>
              <w:tcPr>
                <w:tcW w:w="1877" w:type="dxa"/>
                <w:shd w:val="clear" w:color="auto" w:fill="auto"/>
                <w:vAlign w:val="center"/>
              </w:tcPr>
              <w:p w14:paraId="46F60128">
                <w:pPr>
                  <w:jc w:val="center"/>
                  <w:rPr>
                    <w:rFonts w:hint="eastAsia"/>
                  </w:rPr>
                </w:pPr>
                <w:r>
                  <w:rPr>
                    <w:rFonts w:hint="eastAsia"/>
                  </w:rPr>
                  <w:t>期末数</w:t>
                </w:r>
              </w:p>
            </w:tc>
          </w:sdtContent>
        </w:sdt>
      </w:tr>
      <w:tr w14:paraId="1749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6" w:type="dxa"/>
            <w:shd w:val="clear" w:color="auto" w:fill="auto"/>
          </w:tcPr>
          <w:p w14:paraId="506060C5">
            <w:pPr>
              <w:jc w:val="both"/>
              <w:rPr>
                <w:rFonts w:hint="eastAsia"/>
              </w:rPr>
            </w:pPr>
            <w:r>
              <w:rPr>
                <w:rFonts w:hint="eastAsia"/>
                <w:color w:val="000000"/>
                <w:szCs w:val="21"/>
              </w:rPr>
              <w:t>股票</w:t>
            </w:r>
          </w:p>
        </w:tc>
        <w:tc>
          <w:tcPr>
            <w:tcW w:w="1876" w:type="dxa"/>
            <w:shd w:val="clear" w:color="auto" w:fill="auto"/>
            <w:vAlign w:val="bottom"/>
          </w:tcPr>
          <w:p w14:paraId="1C6D5656">
            <w:pPr>
              <w:jc w:val="right"/>
              <w:rPr>
                <w:rFonts w:hint="eastAsia"/>
              </w:rPr>
            </w:pPr>
            <w:r>
              <w:rPr>
                <w:rFonts w:ascii="Arial Narrow" w:hAnsi="Arial Narrow" w:eastAsia="等线"/>
                <w:color w:val="000000"/>
                <w:szCs w:val="22"/>
              </w:rPr>
              <w:t xml:space="preserve">150,171.18 </w:t>
            </w:r>
          </w:p>
        </w:tc>
        <w:tc>
          <w:tcPr>
            <w:tcW w:w="1877" w:type="dxa"/>
            <w:shd w:val="clear" w:color="auto" w:fill="auto"/>
            <w:vAlign w:val="bottom"/>
          </w:tcPr>
          <w:p w14:paraId="2995E2E2">
            <w:pPr>
              <w:jc w:val="right"/>
              <w:rPr>
                <w:rFonts w:hint="eastAsia"/>
              </w:rPr>
            </w:pPr>
            <w:r>
              <w:rPr>
                <w:rFonts w:ascii="Arial Narrow" w:hAnsi="Arial Narrow" w:eastAsia="等线"/>
                <w:color w:val="000000"/>
                <w:szCs w:val="22"/>
              </w:rPr>
              <w:t xml:space="preserve">-37,663.40 </w:t>
            </w:r>
          </w:p>
        </w:tc>
        <w:tc>
          <w:tcPr>
            <w:tcW w:w="1877" w:type="dxa"/>
            <w:shd w:val="clear" w:color="auto" w:fill="auto"/>
            <w:vAlign w:val="bottom"/>
          </w:tcPr>
          <w:p w14:paraId="762DB012">
            <w:pPr>
              <w:jc w:val="right"/>
              <w:rPr>
                <w:rFonts w:hint="eastAsia"/>
              </w:rPr>
            </w:pPr>
            <w:r>
              <w:rPr>
                <w:rFonts w:ascii="Arial Narrow" w:hAnsi="Arial Narrow" w:eastAsia="等线"/>
                <w:color w:val="000000"/>
                <w:szCs w:val="22"/>
              </w:rPr>
              <w:t xml:space="preserve">112,507.78 </w:t>
            </w:r>
          </w:p>
        </w:tc>
        <w:tc>
          <w:tcPr>
            <w:tcW w:w="1877" w:type="dxa"/>
            <w:shd w:val="clear" w:color="auto" w:fill="auto"/>
            <w:vAlign w:val="bottom"/>
          </w:tcPr>
          <w:p w14:paraId="51C896AD">
            <w:pPr>
              <w:jc w:val="right"/>
              <w:rPr>
                <w:rFonts w:hint="eastAsia"/>
              </w:rPr>
            </w:pPr>
          </w:p>
        </w:tc>
      </w:tr>
      <w:tr w14:paraId="0EAA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6" w:type="dxa"/>
            <w:shd w:val="clear" w:color="auto" w:fill="auto"/>
          </w:tcPr>
          <w:p w14:paraId="7401C165">
            <w:pPr>
              <w:jc w:val="both"/>
              <w:rPr>
                <w:rFonts w:hint="eastAsia"/>
              </w:rPr>
            </w:pPr>
            <w:r>
              <w:rPr>
                <w:rFonts w:hint="eastAsia"/>
                <w:color w:val="000000"/>
                <w:szCs w:val="21"/>
              </w:rPr>
              <w:t>信托</w:t>
            </w:r>
          </w:p>
        </w:tc>
        <w:tc>
          <w:tcPr>
            <w:tcW w:w="1876" w:type="dxa"/>
            <w:shd w:val="clear" w:color="auto" w:fill="auto"/>
            <w:vAlign w:val="bottom"/>
          </w:tcPr>
          <w:p w14:paraId="02653C73">
            <w:pPr>
              <w:jc w:val="right"/>
              <w:rPr>
                <w:rFonts w:hint="eastAsia"/>
              </w:rPr>
            </w:pPr>
            <w:r>
              <w:rPr>
                <w:rFonts w:ascii="Arial Narrow" w:hAnsi="Arial Narrow" w:eastAsia="等线"/>
                <w:color w:val="000000"/>
                <w:szCs w:val="22"/>
              </w:rPr>
              <w:t xml:space="preserve">630,009.80 </w:t>
            </w:r>
          </w:p>
        </w:tc>
        <w:tc>
          <w:tcPr>
            <w:tcW w:w="1877" w:type="dxa"/>
            <w:shd w:val="clear" w:color="auto" w:fill="auto"/>
            <w:vAlign w:val="bottom"/>
          </w:tcPr>
          <w:p w14:paraId="00CCCBE4">
            <w:pPr>
              <w:jc w:val="right"/>
              <w:rPr>
                <w:rFonts w:hint="eastAsia"/>
              </w:rPr>
            </w:pPr>
          </w:p>
        </w:tc>
        <w:tc>
          <w:tcPr>
            <w:tcW w:w="1877" w:type="dxa"/>
            <w:shd w:val="clear" w:color="auto" w:fill="auto"/>
            <w:vAlign w:val="bottom"/>
          </w:tcPr>
          <w:p w14:paraId="4BB6A194">
            <w:pPr>
              <w:jc w:val="right"/>
              <w:rPr>
                <w:rFonts w:hint="eastAsia"/>
              </w:rPr>
            </w:pPr>
          </w:p>
        </w:tc>
        <w:tc>
          <w:tcPr>
            <w:tcW w:w="1877" w:type="dxa"/>
            <w:shd w:val="clear" w:color="auto" w:fill="auto"/>
            <w:vAlign w:val="bottom"/>
          </w:tcPr>
          <w:p w14:paraId="38617AA2">
            <w:pPr>
              <w:jc w:val="right"/>
              <w:rPr>
                <w:rFonts w:hint="eastAsia"/>
              </w:rPr>
            </w:pPr>
            <w:r>
              <w:rPr>
                <w:rFonts w:ascii="Arial Narrow" w:hAnsi="Arial Narrow" w:eastAsia="等线"/>
                <w:color w:val="000000"/>
                <w:szCs w:val="22"/>
              </w:rPr>
              <w:t xml:space="preserve">630,009.80 </w:t>
            </w:r>
          </w:p>
        </w:tc>
      </w:tr>
      <w:tr w14:paraId="7011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6" w:type="dxa"/>
            <w:shd w:val="clear" w:color="auto" w:fill="auto"/>
          </w:tcPr>
          <w:p w14:paraId="3CBF594F">
            <w:pPr>
              <w:jc w:val="both"/>
              <w:rPr>
                <w:rFonts w:hint="eastAsia"/>
              </w:rPr>
            </w:pPr>
            <w:r>
              <w:rPr>
                <w:rFonts w:hint="eastAsia"/>
                <w:color w:val="000000"/>
                <w:szCs w:val="21"/>
              </w:rPr>
              <w:t>其他</w:t>
            </w:r>
          </w:p>
        </w:tc>
        <w:tc>
          <w:tcPr>
            <w:tcW w:w="1876" w:type="dxa"/>
            <w:shd w:val="clear" w:color="auto" w:fill="auto"/>
            <w:vAlign w:val="bottom"/>
          </w:tcPr>
          <w:p w14:paraId="13D1FD86">
            <w:pPr>
              <w:jc w:val="right"/>
              <w:rPr>
                <w:rFonts w:hint="eastAsia"/>
              </w:rPr>
            </w:pPr>
            <w:r>
              <w:rPr>
                <w:rFonts w:ascii="Arial Narrow" w:hAnsi="Arial Narrow" w:eastAsia="等线"/>
                <w:color w:val="000000"/>
                <w:szCs w:val="22"/>
              </w:rPr>
              <w:t xml:space="preserve">631,566,988.08 </w:t>
            </w:r>
          </w:p>
        </w:tc>
        <w:tc>
          <w:tcPr>
            <w:tcW w:w="1877" w:type="dxa"/>
            <w:shd w:val="clear" w:color="auto" w:fill="auto"/>
            <w:vAlign w:val="bottom"/>
          </w:tcPr>
          <w:p w14:paraId="79F7BEA4">
            <w:pPr>
              <w:jc w:val="right"/>
              <w:rPr>
                <w:rFonts w:hint="eastAsia"/>
              </w:rPr>
            </w:pPr>
            <w:r>
              <w:rPr>
                <w:rFonts w:ascii="Arial Narrow" w:hAnsi="Arial Narrow" w:eastAsia="等线"/>
                <w:color w:val="000000"/>
                <w:szCs w:val="22"/>
              </w:rPr>
              <w:t xml:space="preserve">-111,585,367.37 </w:t>
            </w:r>
          </w:p>
        </w:tc>
        <w:tc>
          <w:tcPr>
            <w:tcW w:w="1877" w:type="dxa"/>
            <w:shd w:val="clear" w:color="auto" w:fill="auto"/>
            <w:vAlign w:val="bottom"/>
          </w:tcPr>
          <w:p w14:paraId="305985ED">
            <w:pPr>
              <w:jc w:val="right"/>
              <w:rPr>
                <w:rFonts w:hint="eastAsia"/>
              </w:rPr>
            </w:pPr>
          </w:p>
        </w:tc>
        <w:tc>
          <w:tcPr>
            <w:tcW w:w="1877" w:type="dxa"/>
            <w:shd w:val="clear" w:color="auto" w:fill="auto"/>
            <w:vAlign w:val="bottom"/>
          </w:tcPr>
          <w:p w14:paraId="7573A1BF">
            <w:pPr>
              <w:jc w:val="right"/>
              <w:rPr>
                <w:rFonts w:hint="eastAsia"/>
              </w:rPr>
            </w:pPr>
            <w:r>
              <w:rPr>
                <w:rFonts w:ascii="Arial Narrow" w:hAnsi="Arial Narrow" w:eastAsia="等线"/>
                <w:color w:val="000000"/>
                <w:szCs w:val="22"/>
              </w:rPr>
              <w:t xml:space="preserve">519,981,620.71 </w:t>
            </w:r>
          </w:p>
        </w:tc>
      </w:tr>
      <w:tr w14:paraId="1410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6" w:type="dxa"/>
            <w:shd w:val="clear" w:color="auto" w:fill="auto"/>
          </w:tcPr>
          <w:p w14:paraId="5A774AB4">
            <w:pPr>
              <w:jc w:val="center"/>
              <w:rPr>
                <w:rFonts w:hint="eastAsia"/>
              </w:rPr>
            </w:pPr>
            <w:r>
              <w:t>合计</w:t>
            </w:r>
          </w:p>
        </w:tc>
        <w:tc>
          <w:tcPr>
            <w:tcW w:w="1876" w:type="dxa"/>
            <w:shd w:val="clear" w:color="auto" w:fill="auto"/>
            <w:vAlign w:val="bottom"/>
          </w:tcPr>
          <w:p w14:paraId="2D79C26B">
            <w:pPr>
              <w:jc w:val="right"/>
              <w:rPr>
                <w:rFonts w:hint="eastAsia"/>
              </w:rPr>
            </w:pPr>
            <w:r>
              <w:rPr>
                <w:rFonts w:ascii="Arial Narrow" w:hAnsi="Arial Narrow" w:eastAsia="等线"/>
                <w:color w:val="000000"/>
                <w:szCs w:val="22"/>
              </w:rPr>
              <w:t xml:space="preserve">632,347,169.06 </w:t>
            </w:r>
          </w:p>
        </w:tc>
        <w:tc>
          <w:tcPr>
            <w:tcW w:w="1877" w:type="dxa"/>
            <w:shd w:val="clear" w:color="auto" w:fill="auto"/>
            <w:vAlign w:val="bottom"/>
          </w:tcPr>
          <w:p w14:paraId="33245358">
            <w:pPr>
              <w:jc w:val="right"/>
              <w:rPr>
                <w:rFonts w:hint="eastAsia"/>
              </w:rPr>
            </w:pPr>
            <w:r>
              <w:rPr>
                <w:rFonts w:ascii="Arial Narrow" w:hAnsi="Arial Narrow" w:eastAsia="等线"/>
                <w:color w:val="000000"/>
                <w:szCs w:val="22"/>
              </w:rPr>
              <w:t xml:space="preserve">-111,623,030.77 </w:t>
            </w:r>
          </w:p>
        </w:tc>
        <w:tc>
          <w:tcPr>
            <w:tcW w:w="1877" w:type="dxa"/>
            <w:shd w:val="clear" w:color="auto" w:fill="auto"/>
            <w:vAlign w:val="bottom"/>
          </w:tcPr>
          <w:p w14:paraId="139E33F5">
            <w:pPr>
              <w:jc w:val="right"/>
              <w:rPr>
                <w:rFonts w:hint="eastAsia"/>
              </w:rPr>
            </w:pPr>
            <w:r>
              <w:rPr>
                <w:rFonts w:ascii="Arial Narrow" w:hAnsi="Arial Narrow" w:eastAsia="等线"/>
                <w:color w:val="000000"/>
                <w:szCs w:val="22"/>
              </w:rPr>
              <w:t xml:space="preserve">112,507.78 </w:t>
            </w:r>
          </w:p>
        </w:tc>
        <w:tc>
          <w:tcPr>
            <w:tcW w:w="1877" w:type="dxa"/>
            <w:shd w:val="clear" w:color="auto" w:fill="auto"/>
            <w:vAlign w:val="bottom"/>
          </w:tcPr>
          <w:p w14:paraId="373C0171">
            <w:pPr>
              <w:jc w:val="right"/>
              <w:rPr>
                <w:rFonts w:hint="eastAsia"/>
              </w:rPr>
            </w:pPr>
            <w:r>
              <w:rPr>
                <w:rFonts w:ascii="Arial Narrow" w:hAnsi="Arial Narrow" w:eastAsia="等线"/>
                <w:color w:val="000000"/>
                <w:szCs w:val="22"/>
              </w:rPr>
              <w:t xml:space="preserve">520,611,630.51 </w:t>
            </w:r>
          </w:p>
        </w:tc>
      </w:tr>
    </w:tbl>
    <w:p w14:paraId="47881029">
      <w:pPr>
        <w:rPr>
          <w:rFonts w:hint="eastAsia"/>
        </w:rPr>
      </w:pPr>
    </w:p>
    <w:p w14:paraId="31BF7382">
      <w:pPr>
        <w:rPr>
          <w:rFonts w:hint="eastAsia"/>
          <w:szCs w:val="21"/>
        </w:rPr>
      </w:pPr>
      <w:r>
        <w:rPr>
          <w:rFonts w:hint="eastAsia"/>
          <w:szCs w:val="21"/>
        </w:rPr>
        <w:t>证券投资情况</w:t>
      </w:r>
    </w:p>
    <w:sdt>
      <w:sdtPr>
        <w:rPr>
          <w:szCs w:val="21"/>
        </w:rPr>
        <w:alias w:val="是否适用：证券投资情况[双击切换]"/>
        <w:tag w:val="_GBC_7d04680e71454924aa49897089c6ec88"/>
        <w:id w:val="1487969350"/>
        <w:placeholder>
          <w:docPart w:val="GBC22222222222222222222222222222"/>
        </w:placeholder>
      </w:sdtPr>
      <w:sdtEndPr>
        <w:rPr>
          <w:szCs w:val="21"/>
        </w:rPr>
      </w:sdtEndPr>
      <w:sdtContent>
        <w:p w14:paraId="0F450FE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241BB22">
      <w:pPr>
        <w:rPr>
          <w:rFonts w:hint="eastAsia"/>
          <w:szCs w:val="21"/>
        </w:rPr>
      </w:pPr>
      <w:bookmarkStart w:id="69" w:name="_Hlk40533881"/>
    </w:p>
    <w:bookmarkEnd w:id="69"/>
    <w:p w14:paraId="6780BA88">
      <w:pPr>
        <w:rPr>
          <w:rFonts w:hint="eastAsia"/>
        </w:rPr>
      </w:pPr>
      <w:bookmarkStart w:id="70" w:name="_Hlk151135120"/>
      <w:r>
        <w:rPr>
          <w:rFonts w:hint="eastAsia"/>
        </w:rPr>
        <w:t>证券投资情况的说明</w:t>
      </w:r>
    </w:p>
    <w:sdt>
      <w:sdtPr>
        <w:alias w:val="是否适用：证券投资情况的说明[双击切换]"/>
        <w:tag w:val="_GBC_846a2917c37545bbb004e11b14dfefbc"/>
        <w:id w:val="-2018682425"/>
        <w:placeholder>
          <w:docPart w:val="GBC22222222222222222222222222222"/>
        </w:placeholder>
      </w:sdtPr>
      <w:sdtContent>
        <w:p w14:paraId="7B0C1C0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A9B23AA">
      <w:pPr>
        <w:rPr>
          <w:rFonts w:hint="eastAsia"/>
        </w:rPr>
      </w:pPr>
    </w:p>
    <w:bookmarkEnd w:id="70"/>
    <w:p w14:paraId="4CB3E761">
      <w:pPr>
        <w:rPr>
          <w:rFonts w:hint="eastAsia"/>
          <w:szCs w:val="21"/>
        </w:rPr>
      </w:pPr>
      <w:bookmarkStart w:id="71" w:name="_Hlk40534809"/>
      <w:r>
        <w:rPr>
          <w:rFonts w:hint="eastAsia"/>
          <w:szCs w:val="21"/>
        </w:rPr>
        <w:t>私募基金投资情况</w:t>
      </w:r>
    </w:p>
    <w:sdt>
      <w:sdtPr>
        <w:rPr>
          <w:szCs w:val="21"/>
        </w:rPr>
        <w:alias w:val="是否适用：私募基金投资情况[双击切换]"/>
        <w:tag w:val="_GBC_6e916a873a4e4af3a90d6fc81d187ac8"/>
        <w:id w:val="2017346261"/>
        <w:placeholder>
          <w:docPart w:val="GBC22222222222222222222222222222"/>
        </w:placeholder>
      </w:sdtPr>
      <w:sdtEndPr>
        <w:rPr>
          <w:szCs w:val="21"/>
        </w:rPr>
      </w:sdtEndPr>
      <w:sdtContent>
        <w:p w14:paraId="6AE46B6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7F8B949">
      <w:pPr>
        <w:rPr>
          <w:rFonts w:hint="eastAsia"/>
          <w:szCs w:val="21"/>
        </w:rPr>
      </w:pPr>
    </w:p>
    <w:bookmarkEnd w:id="71"/>
    <w:p w14:paraId="7BE91D54">
      <w:pPr>
        <w:rPr>
          <w:rFonts w:hint="eastAsia"/>
          <w:szCs w:val="21"/>
        </w:rPr>
      </w:pPr>
      <w:r>
        <w:rPr>
          <w:rFonts w:hint="eastAsia"/>
          <w:szCs w:val="21"/>
        </w:rPr>
        <w:t>衍生品投资情况</w:t>
      </w:r>
    </w:p>
    <w:sdt>
      <w:sdtPr>
        <w:rPr>
          <w:rFonts w:hint="eastAsia"/>
          <w:szCs w:val="21"/>
        </w:rPr>
        <w:alias w:val="是否适用：衍生品投资情况  [双击切换]"/>
        <w:tag w:val="_GBC_0155f13d04cb48bc8f6a2a16edfe26b3"/>
        <w:id w:val="822020100"/>
        <w:placeholder>
          <w:docPart w:val="GBC22222222222222222222222222222"/>
        </w:placeholder>
      </w:sdtPr>
      <w:sdtEndPr>
        <w:rPr>
          <w:rFonts w:hint="eastAsia"/>
          <w:szCs w:val="21"/>
        </w:rPr>
      </w:sdtEndPr>
      <w:sdtContent>
        <w:p w14:paraId="39170A5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0CC7179">
      <w:pPr>
        <w:rPr>
          <w:rFonts w:hint="eastAsia"/>
          <w:szCs w:val="21"/>
        </w:rPr>
      </w:pPr>
      <w:bookmarkStart w:id="72" w:name="_Hlk155617745"/>
      <w:bookmarkStart w:id="73" w:name="_Hlk94111679"/>
    </w:p>
    <w:bookmarkEnd w:id="72"/>
    <w:p w14:paraId="1A08EC04">
      <w:pPr>
        <w:pStyle w:val="71"/>
        <w:numPr>
          <w:ilvl w:val="0"/>
          <w:numId w:val="15"/>
        </w:numPr>
        <w:rPr>
          <w:rFonts w:hint="eastAsia"/>
        </w:rPr>
      </w:pPr>
      <w:r>
        <w:rPr>
          <w:rFonts w:hint="eastAsia"/>
        </w:rPr>
        <w:t>报告期内重大资产重组整合的具体进展情况</w:t>
      </w:r>
    </w:p>
    <w:sdt>
      <w:sdtPr>
        <w:alias w:val="是否适用：报告期内重大资产重组整合的具体进展情况[双击切换]"/>
        <w:tag w:val="_GBC_c52695d1957b4fa89b0b7326da1f5a10"/>
        <w:id w:val="-574206047"/>
        <w:placeholder>
          <w:docPart w:val="GBC22222222222222222222222222222"/>
        </w:placeholder>
      </w:sdtPr>
      <w:sdtContent>
        <w:p w14:paraId="6353107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1EB5359">
      <w:pPr>
        <w:rPr>
          <w:rFonts w:hint="eastAsia"/>
        </w:rPr>
      </w:pPr>
    </w:p>
    <w:p w14:paraId="5BE946D6">
      <w:pPr>
        <w:rPr>
          <w:rFonts w:hint="eastAsia"/>
        </w:rPr>
      </w:pPr>
    </w:p>
    <w:bookmarkEnd w:id="73"/>
    <w:p w14:paraId="65042047">
      <w:pPr>
        <w:pStyle w:val="4"/>
        <w:numPr>
          <w:ilvl w:val="0"/>
          <w:numId w:val="8"/>
        </w:numPr>
        <w:ind w:left="0" w:firstLine="0"/>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506323209"/>
        <w:placeholder>
          <w:docPart w:val="GBC22222222222222222222222222222"/>
        </w:placeholder>
      </w:sdtPr>
      <w:sdtEndPr>
        <w:rPr>
          <w:rFonts w:hint="eastAsia"/>
          <w:szCs w:val="21"/>
        </w:rPr>
      </w:sdtEndPr>
      <w:sdtContent>
        <w:p w14:paraId="73FF6AF5">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8B738FC">
      <w:pPr>
        <w:rPr>
          <w:rFonts w:hint="eastAsia"/>
          <w:szCs w:val="21"/>
        </w:rPr>
      </w:pPr>
    </w:p>
    <w:p w14:paraId="1811D851">
      <w:pPr>
        <w:pStyle w:val="4"/>
        <w:numPr>
          <w:ilvl w:val="0"/>
          <w:numId w:val="8"/>
        </w:numPr>
        <w:ind w:left="0" w:firstLine="0"/>
        <w:rPr>
          <w:szCs w:val="21"/>
        </w:rPr>
      </w:pPr>
      <w:r>
        <w:rPr>
          <w:rFonts w:hint="eastAsia"/>
          <w:szCs w:val="21"/>
        </w:rPr>
        <w:t>主要控股参股公司分析</w:t>
      </w:r>
    </w:p>
    <w:sdt>
      <w:sdtPr>
        <w:rPr>
          <w:rFonts w:hint="eastAsia"/>
          <w:szCs w:val="21"/>
        </w:rPr>
        <w:alias w:val="是否适用：主要控股参股公司分析[双击切换]"/>
        <w:tag w:val="_GBC_aec86f2481734c53a2a2b022c83d4449"/>
        <w:id w:val="-1652757121"/>
        <w:placeholder>
          <w:docPart w:val="GBC22222222222222222222222222222"/>
        </w:placeholder>
      </w:sdtPr>
      <w:sdtEndPr>
        <w:rPr>
          <w:rFonts w:hint="eastAsia"/>
          <w:szCs w:val="21"/>
        </w:rPr>
      </w:sdtEndPr>
      <w:sdtContent>
        <w:p w14:paraId="3B2BCFF0">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AD4EE3A">
      <w:pPr>
        <w:rPr>
          <w:rFonts w:hint="eastAsia"/>
          <w:szCs w:val="21"/>
        </w:rPr>
      </w:pPr>
    </w:p>
    <w:p w14:paraId="75C3D7D8">
      <w:pPr>
        <w:pStyle w:val="4"/>
        <w:numPr>
          <w:ilvl w:val="0"/>
          <w:numId w:val="8"/>
        </w:numPr>
        <w:ind w:left="0" w:firstLine="0"/>
        <w:rPr>
          <w:szCs w:val="21"/>
        </w:rPr>
      </w:pPr>
      <w:r>
        <w:rPr>
          <w:rFonts w:hint="eastAsia"/>
          <w:szCs w:val="21"/>
        </w:rPr>
        <w:t>公司控制的结构化主体情况</w:t>
      </w:r>
    </w:p>
    <w:sdt>
      <w:sdtPr>
        <w:rPr>
          <w:rFonts w:hint="eastAsia"/>
          <w:szCs w:val="21"/>
        </w:rPr>
        <w:alias w:val="是否适用：公司控制的结构化主体情况[双击切换]"/>
        <w:tag w:val="_GBC_844e5a5ece8c488e933f7fbfd0650339"/>
        <w:id w:val="-1893490632"/>
        <w:placeholder>
          <w:docPart w:val="GBC22222222222222222222222222222"/>
        </w:placeholder>
      </w:sdtPr>
      <w:sdtEndPr>
        <w:rPr>
          <w:rFonts w:hint="eastAsia"/>
          <w:szCs w:val="21"/>
        </w:rPr>
      </w:sdtEndPr>
      <w:sdtContent>
        <w:p w14:paraId="606C58D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799795D">
      <w:pPr>
        <w:rPr>
          <w:rFonts w:hint="eastAsia"/>
          <w:szCs w:val="21"/>
        </w:rPr>
      </w:pPr>
    </w:p>
    <w:p w14:paraId="15D1BA48">
      <w:pPr>
        <w:pStyle w:val="3"/>
        <w:numPr>
          <w:ilvl w:val="0"/>
          <w:numId w:val="7"/>
        </w:numPr>
        <w:ind w:left="369" w:hanging="369" w:hangingChars="175"/>
      </w:pPr>
      <w:r>
        <w:rPr>
          <w:rFonts w:hint="eastAsia"/>
        </w:rPr>
        <w:t>公司关于公司未来发展的讨论与分析</w:t>
      </w:r>
    </w:p>
    <w:p w14:paraId="29E4194D">
      <w:pPr>
        <w:pStyle w:val="4"/>
        <w:numPr>
          <w:ilvl w:val="3"/>
          <w:numId w:val="16"/>
        </w:numPr>
        <w:rPr>
          <w:szCs w:val="21"/>
        </w:rPr>
      </w:pPr>
      <w:r>
        <w:rPr>
          <w:szCs w:val="21"/>
        </w:rPr>
        <w:t>行业格局和趋势</w:t>
      </w:r>
    </w:p>
    <w:sdt>
      <w:sdtPr>
        <w:rPr>
          <w:rFonts w:hint="eastAsia"/>
          <w:szCs w:val="21"/>
        </w:rPr>
        <w:alias w:val="是否适用：行业格局和趋势[双击切换]"/>
        <w:tag w:val="_GBC_da53e2a4423f4116b5d03ba76b630af9"/>
        <w:id w:val="-194389946"/>
        <w:placeholder>
          <w:docPart w:val="GBC22222222222222222222222222222"/>
        </w:placeholder>
      </w:sdtPr>
      <w:sdtEndPr>
        <w:rPr>
          <w:rFonts w:hint="eastAsia"/>
          <w:szCs w:val="21"/>
        </w:rPr>
      </w:sdtEndPr>
      <w:sdtContent>
        <w:p w14:paraId="2EAB5AD7">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509404910"/>
        <w:placeholder>
          <w:docPart w:val="GBC22222222222222222222222222222"/>
        </w:placeholder>
      </w:sdtPr>
      <w:sdtEndPr>
        <w:rPr>
          <w:rFonts w:hint="eastAsia"/>
          <w:szCs w:val="21"/>
        </w:rPr>
      </w:sdtEndPr>
      <w:sdtContent>
        <w:p w14:paraId="4DE004E1">
          <w:pPr>
            <w:ind w:firstLine="420" w:firstLineChars="200"/>
            <w:rPr>
              <w:rFonts w:hint="eastAsia"/>
              <w:szCs w:val="21"/>
            </w:rPr>
          </w:pPr>
          <w:r>
            <w:rPr>
              <w:rFonts w:hint="eastAsia"/>
              <w:szCs w:val="21"/>
            </w:rPr>
            <w:t>1.需求多级倒逼产业升级</w:t>
          </w:r>
        </w:p>
        <w:p w14:paraId="262815B1">
          <w:pPr>
            <w:ind w:firstLine="420" w:firstLineChars="200"/>
            <w:rPr>
              <w:rFonts w:hint="eastAsia"/>
              <w:szCs w:val="21"/>
            </w:rPr>
          </w:pPr>
          <w:r>
            <w:rPr>
              <w:rFonts w:hint="eastAsia"/>
              <w:szCs w:val="21"/>
            </w:rPr>
            <w:t>个性化私人定制的服装产品对大众消费者的吸引力持续增强，消费者对个性化、定制合体的服装产品的需求进一步提升，我国定制服装行业空间得以打开，个性化定制在现代技术发展下得以孕育成长为新兴行业，一方面，在需求端可满足消费者加快变化、更为个性化的消费需求，消费者直接对生产者参与产品的设计，能够将个人诉求精确、快速传达至厂家，降低中间环节带来的价格加成，产品性价比增强，客户满意度大幅提升；另一方面，在供给端个性化定制以新的模式和技术可以有效解决传统服装行业已形成库存的痛点，以销定产，满足消费者的个性化要求，不仅可以减少企业库存风险和资金占用，还通过精准销售提供了增值服务，提高运营效率。这种企业与消费者共赢的经营模式有助于全行业降低库存，减少低价策略引发的无序竞争，是服装行业的发展趋势所在。</w:t>
          </w:r>
        </w:p>
        <w:p w14:paraId="6AD4EBA2">
          <w:pPr>
            <w:ind w:firstLine="420" w:firstLineChars="200"/>
            <w:rPr>
              <w:rFonts w:hint="eastAsia"/>
              <w:szCs w:val="21"/>
            </w:rPr>
          </w:pPr>
          <w:r>
            <w:rPr>
              <w:rFonts w:hint="eastAsia"/>
              <w:szCs w:val="21"/>
            </w:rPr>
            <w:t>2.新材料引领产业发展</w:t>
          </w:r>
        </w:p>
        <w:p w14:paraId="056098DF">
          <w:pPr>
            <w:ind w:firstLine="420" w:firstLineChars="200"/>
            <w:rPr>
              <w:rFonts w:hint="eastAsia"/>
              <w:szCs w:val="21"/>
            </w:rPr>
          </w:pPr>
          <w:r>
            <w:rPr>
              <w:rFonts w:hint="eastAsia"/>
              <w:szCs w:val="21"/>
            </w:rPr>
            <w:t>随着消费者对功能性、防护性、舒适性要求的不断提高，功能性纺织材料逐渐成为纺织服装行业迈向高端制造的战略竞争关键，是改造和提升传统产业发展质量，促进国防现代化和增强综合国力的先导产业和经济基石。全球高性能纤维及复合材料正朝着制造技术先进化、低成本化、材料高性能化、多功能化和应用扩大化的方向发展。国家大力支持发展新质生产力，促进传统产业转型升级和战新产业发展，行业端面临重要转型机遇期。</w:t>
          </w:r>
        </w:p>
        <w:p w14:paraId="65D54F98">
          <w:pPr>
            <w:ind w:firstLine="420" w:firstLineChars="200"/>
            <w:rPr>
              <w:rFonts w:hint="eastAsia"/>
              <w:szCs w:val="21"/>
            </w:rPr>
          </w:pPr>
          <w:r>
            <w:rPr>
              <w:rFonts w:hint="eastAsia"/>
              <w:szCs w:val="21"/>
            </w:rPr>
            <w:t>3.产业转移趋势明显</w:t>
          </w:r>
        </w:p>
        <w:p w14:paraId="435B56FB">
          <w:pPr>
            <w:ind w:firstLine="420" w:firstLineChars="200"/>
            <w:rPr>
              <w:rFonts w:hint="eastAsia"/>
              <w:szCs w:val="21"/>
            </w:rPr>
          </w:pPr>
          <w:r>
            <w:rPr>
              <w:rFonts w:hint="eastAsia"/>
              <w:szCs w:val="21"/>
            </w:rPr>
            <w:t>2024年9月，《中共中央国务院关于实施就业优先战略促进高质量充分就业的意见》提出深入实施区域协调发展战略、区域重大战略，“引导资金、技术、劳动密集型产业从东部向中西部、从中心城市向腹地有序转移”。纺织服装产业集群原来集中在东部沿海经济发达地区，以长三角、珠三角、海西地区和环渤海三角洲为主，特别是江苏、浙江、福建、山东和广东五省，凭借着用工成本的优势、产业政策的吸引，产业逐渐向中西部地区、东北地区以及新疆地区转移成为趋势。</w:t>
          </w:r>
        </w:p>
        <w:p w14:paraId="2224B014">
          <w:pPr>
            <w:ind w:firstLine="420" w:firstLineChars="200"/>
            <w:rPr>
              <w:rFonts w:hint="eastAsia"/>
              <w:szCs w:val="21"/>
            </w:rPr>
          </w:pPr>
          <w:r>
            <w:rPr>
              <w:rFonts w:hint="eastAsia"/>
              <w:szCs w:val="21"/>
            </w:rPr>
            <w:t>4.应急市场空间广阔</w:t>
          </w:r>
        </w:p>
        <w:p w14:paraId="64014A61">
          <w:pPr>
            <w:ind w:firstLine="420" w:firstLineChars="200"/>
            <w:rPr>
              <w:rFonts w:hint="eastAsia"/>
              <w:szCs w:val="21"/>
            </w:rPr>
          </w:pPr>
          <w:r>
            <w:rPr>
              <w:rFonts w:hint="eastAsia"/>
              <w:szCs w:val="21"/>
            </w:rPr>
            <w:t>应急市场主要围绕风险监测预警产品、安全防护防控产品、应急处置救援产品、应急教育培训体验等领域。目前整体行业水平较低，存在规模小、分布散的特点，缺乏龙头企业。国家出台多项应急产业支持政策，应急全产业链年产值已超万亿元。预计未来几年年复合增长率达12%，2029年应急产业规模预计达到4.1万亿元。2024年国家发行特别国债用于提升地方抗震救灾能力，市场空间巨大。</w:t>
          </w:r>
        </w:p>
      </w:sdtContent>
    </w:sdt>
    <w:p w14:paraId="208F5723">
      <w:pPr>
        <w:rPr>
          <w:rFonts w:hint="eastAsia"/>
          <w:szCs w:val="21"/>
        </w:rPr>
      </w:pPr>
    </w:p>
    <w:p w14:paraId="360EA2C5">
      <w:pPr>
        <w:pStyle w:val="4"/>
        <w:numPr>
          <w:ilvl w:val="3"/>
          <w:numId w:val="16"/>
        </w:numPr>
        <w:rPr>
          <w:szCs w:val="21"/>
        </w:rPr>
      </w:pPr>
      <w:r>
        <w:rPr>
          <w:szCs w:val="21"/>
        </w:rPr>
        <w:t>公司发展战略</w:t>
      </w:r>
    </w:p>
    <w:sdt>
      <w:sdtPr>
        <w:rPr>
          <w:rFonts w:hint="eastAsia"/>
          <w:szCs w:val="21"/>
        </w:rPr>
        <w:alias w:val="是否适用：公司发展战略[双击切换]"/>
        <w:tag w:val="_GBC_5cdf4718a6044c1fbf76e22df729f9b7"/>
        <w:id w:val="-290134777"/>
        <w:placeholder>
          <w:docPart w:val="GBC22222222222222222222222222222"/>
        </w:placeholder>
      </w:sdtPr>
      <w:sdtEndPr>
        <w:rPr>
          <w:rFonts w:hint="eastAsia"/>
          <w:szCs w:val="21"/>
        </w:rPr>
      </w:sdtEndPr>
      <w:sdtContent>
        <w:p w14:paraId="6A873D39">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172408670"/>
        <w:placeholder>
          <w:docPart w:val="GBC22222222222222222222222222222"/>
        </w:placeholder>
      </w:sdtPr>
      <w:sdtEndPr>
        <w:rPr>
          <w:rFonts w:hint="eastAsia"/>
          <w:szCs w:val="21"/>
        </w:rPr>
      </w:sdtEndPr>
      <w:sdtContent>
        <w:p w14:paraId="7060972A">
          <w:pPr>
            <w:ind w:firstLine="420" w:firstLineChars="200"/>
            <w:rPr>
              <w:rFonts w:hint="eastAsia"/>
              <w:szCs w:val="21"/>
            </w:rPr>
          </w:pPr>
          <w:r>
            <w:rPr>
              <w:rFonts w:hint="eastAsia"/>
              <w:szCs w:val="21"/>
            </w:rPr>
            <w:t>公司坚持“1235”总体发展战略，坚持“1”个定位：打造具有鲜明军民融合特色，具备军警保障、应急防护核心能力的一流轻工军民保障体系营造者。抓住“2”个关键：科技兴企和品牌强企，围绕服务国家战略、聚焦主业主责，推动优势资源向关键领域集中。布局“3”大业务，打造443业务结构：巩固军警被装、行配工装、纺织印染及职业鞋靴4个基础业务；拓展军需装备、应急防护、特种新材料及橡胶制品4个战略业务；布局电商零售、海外和配套服务3个新业态。实现“5”个升级——全面推进全系统流程再造，从而实现产业、产品、管理、装备、服务升级。</w:t>
          </w:r>
        </w:p>
        <w:p w14:paraId="24017FF5">
          <w:pPr>
            <w:ind w:firstLine="420" w:firstLineChars="200"/>
            <w:rPr>
              <w:rFonts w:hint="eastAsia"/>
              <w:szCs w:val="21"/>
            </w:rPr>
          </w:pPr>
          <w:r>
            <w:rPr>
              <w:rFonts w:hint="eastAsia"/>
              <w:szCs w:val="21"/>
            </w:rPr>
            <w:t>牢固践行“保军、应急、为民”的使命担当，将公司打造成为军队一体化军需物资装备保障的核心供应商，国家安全应急物资装备现代化建设的领军企业，功能性防护性材料的引领者和中国最具竞争力的职业装引领者。</w:t>
          </w:r>
        </w:p>
      </w:sdtContent>
    </w:sdt>
    <w:p w14:paraId="689694F8">
      <w:pPr>
        <w:rPr>
          <w:rFonts w:hint="eastAsia"/>
          <w:szCs w:val="21"/>
        </w:rPr>
      </w:pPr>
    </w:p>
    <w:p w14:paraId="73DDEC6C">
      <w:pPr>
        <w:pStyle w:val="4"/>
        <w:numPr>
          <w:ilvl w:val="3"/>
          <w:numId w:val="16"/>
        </w:numPr>
        <w:rPr>
          <w:szCs w:val="21"/>
        </w:rPr>
      </w:pPr>
      <w:r>
        <w:rPr>
          <w:szCs w:val="21"/>
        </w:rPr>
        <w:t>经营计划</w:t>
      </w:r>
    </w:p>
    <w:sdt>
      <w:sdtPr>
        <w:rPr>
          <w:rFonts w:hint="eastAsia"/>
          <w:szCs w:val="21"/>
        </w:rPr>
        <w:alias w:val="是否适用：经营计划[双击切换]"/>
        <w:tag w:val="_GBC_871dbf3fc5a0422cadcc3452003278de"/>
        <w:id w:val="2106229318"/>
        <w:placeholder>
          <w:docPart w:val="GBC22222222222222222222222222222"/>
        </w:placeholder>
      </w:sdtPr>
      <w:sdtEndPr>
        <w:rPr>
          <w:rFonts w:hint="eastAsia"/>
          <w:szCs w:val="21"/>
        </w:rPr>
      </w:sdtEndPr>
      <w:sdtContent>
        <w:p w14:paraId="23C3CE8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93604631"/>
        <w:placeholder>
          <w:docPart w:val="GBC22222222222222222222222222222"/>
        </w:placeholder>
      </w:sdtPr>
      <w:sdtEndPr>
        <w:rPr>
          <w:rFonts w:hint="eastAsia"/>
          <w:szCs w:val="21"/>
        </w:rPr>
      </w:sdtEndPr>
      <w:sdtContent>
        <w:p w14:paraId="6FB6982D">
          <w:pPr>
            <w:ind w:firstLine="420" w:firstLineChars="200"/>
            <w:rPr>
              <w:rFonts w:hint="eastAsia"/>
              <w:szCs w:val="21"/>
            </w:rPr>
          </w:pPr>
          <w:r>
            <w:rPr>
              <w:rFonts w:hint="eastAsia"/>
              <w:szCs w:val="21"/>
            </w:rPr>
            <w:t>2025年是公司“十四五”收官之年，也是公司深化改革创新的关键之年。在地缘冲突、贸易和投资保护主义抬头、政策不确定性上升的环境下，我们将秉承着稳增长、调结构、促创新、强能力、提质效的工作思路，进一步解放思想、凝心聚力，扎实做好以下几个方面工作，确保全年目标任务完成。</w:t>
          </w:r>
        </w:p>
        <w:p w14:paraId="4AF8DB6D">
          <w:pPr>
            <w:ind w:firstLine="420" w:firstLineChars="200"/>
            <w:rPr>
              <w:rFonts w:hint="eastAsia"/>
              <w:szCs w:val="21"/>
            </w:rPr>
          </w:pPr>
          <w:r>
            <w:rPr>
              <w:rFonts w:hint="eastAsia"/>
              <w:szCs w:val="21"/>
            </w:rPr>
            <w:t>稳增长，就是要在巩固核心供应商地位的基础上，稳步推进增量市场开发，实现传统业务、战新业务、新业态业务市场订单的稳中有升，以充足的市场订单为年度经营指标完成夯实基础。</w:t>
          </w:r>
        </w:p>
        <w:p w14:paraId="4806BFC9">
          <w:pPr>
            <w:ind w:firstLine="420" w:firstLineChars="200"/>
            <w:rPr>
              <w:rFonts w:hint="eastAsia"/>
              <w:szCs w:val="21"/>
            </w:rPr>
          </w:pPr>
          <w:r>
            <w:rPr>
              <w:rFonts w:hint="eastAsia"/>
              <w:szCs w:val="21"/>
            </w:rPr>
            <w:t>调结构，就是要在确保订单基本盘稳定的基础上，以高定、线上、专项工装等新业态为切入点，加大战新产业投入，加大品牌运营投入，推动B端C端联动。</w:t>
          </w:r>
        </w:p>
        <w:p w14:paraId="45F85E08">
          <w:pPr>
            <w:ind w:firstLine="420" w:firstLineChars="200"/>
            <w:rPr>
              <w:rFonts w:hint="eastAsia"/>
              <w:szCs w:val="21"/>
            </w:rPr>
          </w:pPr>
          <w:r>
            <w:rPr>
              <w:rFonts w:hint="eastAsia"/>
              <w:szCs w:val="21"/>
            </w:rPr>
            <w:t>促创新，就是加大科技投入和成果转化，提升各企业智能化、集约化、柔性化生产水平，打造产品设计研发、加工生产、检验检测、技术标准、售后服务的系统供应商。</w:t>
          </w:r>
        </w:p>
        <w:p w14:paraId="2D33212D">
          <w:pPr>
            <w:ind w:firstLine="420" w:firstLineChars="200"/>
            <w:rPr>
              <w:rFonts w:hint="eastAsia"/>
              <w:szCs w:val="21"/>
            </w:rPr>
          </w:pPr>
          <w:r>
            <w:rPr>
              <w:rFonts w:hint="eastAsia"/>
              <w:szCs w:val="21"/>
            </w:rPr>
            <w:t>提质效，就是要扎实推进提质增效、降本压费专项行动，扎实开展供应链管理、制造费用压减、亏损企业治理；妥善做好物业资产盘活提升，全面提升公司经营质量效益和盈利水平。</w:t>
          </w:r>
        </w:p>
      </w:sdtContent>
    </w:sdt>
    <w:p w14:paraId="1D8C8D79">
      <w:pPr>
        <w:rPr>
          <w:rFonts w:hint="eastAsia"/>
          <w:szCs w:val="21"/>
        </w:rPr>
      </w:pPr>
    </w:p>
    <w:p w14:paraId="341C116E">
      <w:pPr>
        <w:pStyle w:val="4"/>
        <w:numPr>
          <w:ilvl w:val="3"/>
          <w:numId w:val="16"/>
        </w:numPr>
        <w:rPr>
          <w:szCs w:val="21"/>
        </w:rPr>
      </w:pPr>
      <w:r>
        <w:rPr>
          <w:szCs w:val="21"/>
        </w:rPr>
        <w:t>可能面对的风险</w:t>
      </w:r>
    </w:p>
    <w:sdt>
      <w:sdtPr>
        <w:rPr>
          <w:rFonts w:hint="eastAsia"/>
          <w:szCs w:val="21"/>
        </w:rPr>
        <w:alias w:val="是否适用：可能面对的风险[双击切换]"/>
        <w:tag w:val="_GBC_1b74f2e1039c4fe9acc819e860071020"/>
        <w:id w:val="391856862"/>
        <w:placeholder>
          <w:docPart w:val="GBC22222222222222222222222222222"/>
        </w:placeholder>
      </w:sdtPr>
      <w:sdtEndPr>
        <w:rPr>
          <w:rFonts w:hint="eastAsia"/>
          <w:szCs w:val="21"/>
        </w:rPr>
      </w:sdtEndPr>
      <w:sdtContent>
        <w:p w14:paraId="33D584D3">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2117902385"/>
        <w:placeholder>
          <w:docPart w:val="GBC22222222222222222222222222222"/>
        </w:placeholder>
      </w:sdtPr>
      <w:sdtEndPr>
        <w:rPr>
          <w:rFonts w:hint="eastAsia"/>
          <w:szCs w:val="21"/>
        </w:rPr>
      </w:sdtEndPr>
      <w:sdtContent>
        <w:p w14:paraId="480CAD26">
          <w:pPr>
            <w:ind w:firstLine="420" w:firstLineChars="200"/>
            <w:rPr>
              <w:rFonts w:hint="eastAsia"/>
              <w:szCs w:val="21"/>
            </w:rPr>
          </w:pPr>
          <w:r>
            <w:rPr>
              <w:rFonts w:hint="eastAsia"/>
              <w:szCs w:val="21"/>
            </w:rPr>
            <w:t>1.宏观环境变化</w:t>
          </w:r>
        </w:p>
        <w:p w14:paraId="295B6F96">
          <w:pPr>
            <w:ind w:firstLine="420" w:firstLineChars="200"/>
            <w:rPr>
              <w:rFonts w:hint="eastAsia"/>
              <w:szCs w:val="21"/>
            </w:rPr>
          </w:pPr>
          <w:r>
            <w:rPr>
              <w:rFonts w:hint="eastAsia"/>
              <w:szCs w:val="21"/>
            </w:rPr>
            <w:t>全球经济依然处于不稳定的状态，贸易保护主义逐渐抬头、货币政策调整、以及国际战争等多重因素叠加，消费需求走弱成为行业普遍面临的问题。从国内来看，随着经济增长放缓和居民收入增长预期下降，消费者的消费意愿普遍低迷，对纺织品的需求大幅下降。由于费用的刚性，传统制造业中小企业关停严重；多数企业盈利水平未回归至2021年水平。从国际来看，纺织品的出口疲软，全球需求走弱和供大于求的矛盾突出，使得纺织业企业订单量大幅下降。同时，能源价格的上涨和物流成本的增加也推高了企业的生产成本，使得纺织业企业的盈利能力大幅下降。轻工制造业面临着成本上涨、需求收缩、竞争加剧等风险。随着中国居民消费转型升级的特征越来越明显，纺织服装行 业面临转型升级的挑战。</w:t>
          </w:r>
        </w:p>
        <w:p w14:paraId="33D48CBC">
          <w:pPr>
            <w:ind w:firstLine="420" w:firstLineChars="200"/>
            <w:rPr>
              <w:rFonts w:hint="eastAsia"/>
              <w:szCs w:val="21"/>
            </w:rPr>
          </w:pPr>
          <w:r>
            <w:rPr>
              <w:rFonts w:hint="eastAsia"/>
              <w:szCs w:val="21"/>
            </w:rPr>
            <w:t>2.政策及市场风险</w:t>
          </w:r>
        </w:p>
        <w:p w14:paraId="045B4A07">
          <w:pPr>
            <w:ind w:firstLine="420" w:firstLineChars="200"/>
            <w:rPr>
              <w:rFonts w:hint="eastAsia"/>
              <w:szCs w:val="21"/>
            </w:rPr>
          </w:pPr>
          <w:r>
            <w:rPr>
              <w:rFonts w:hint="eastAsia"/>
              <w:szCs w:val="21"/>
            </w:rPr>
            <w:t>公司所面对的军需品市场和行配工装市场受到国家政策和行业规划的影响，相关政策的变化会影响行业的发展空间及市场环境，也会直接影响相关单位的招标采购需求，进而对公司的订单承揽带来影响。在军需品市场，军队被装采购政策和供应模式的变化会进一步影响军需品的市场空间和竞争格局，进而对公司的生产经营带来影响。在行配工装、应急保障市场，因市场容量巨大，近年来随着参与供应商数量的不断增加，竞争也愈发激烈。公司将持续加大科技创新和新产品研发力度，不断提升产品质量，进一步加大服务及品牌投入，不断提高客户粘性，扩大军需应急、行配工装、高定领域的市场份额。</w:t>
          </w:r>
        </w:p>
      </w:sdtContent>
    </w:sdt>
    <w:p w14:paraId="3D33A76A">
      <w:pPr>
        <w:rPr>
          <w:rFonts w:hint="eastAsia"/>
          <w:szCs w:val="21"/>
        </w:rPr>
      </w:pPr>
    </w:p>
    <w:p w14:paraId="01AA622E">
      <w:pPr>
        <w:pStyle w:val="4"/>
        <w:numPr>
          <w:ilvl w:val="3"/>
          <w:numId w:val="16"/>
        </w:numPr>
        <w:rPr>
          <w:szCs w:val="21"/>
        </w:rPr>
      </w:pPr>
      <w:r>
        <w:rPr>
          <w:szCs w:val="21"/>
        </w:rPr>
        <w:t>其他</w:t>
      </w:r>
    </w:p>
    <w:sdt>
      <w:sdtPr>
        <w:rPr>
          <w:rFonts w:hint="eastAsia"/>
          <w:szCs w:val="21"/>
        </w:rPr>
        <w:alias w:val="是否适用：公司其他未来发展的讨论和分析[双击切换]"/>
        <w:tag w:val="_GBC_aad5c59ba9344d37bc5cc7a8eba5f048"/>
        <w:id w:val="-753817659"/>
        <w:placeholder>
          <w:docPart w:val="GBC22222222222222222222222222222"/>
        </w:placeholder>
      </w:sdtPr>
      <w:sdtEndPr>
        <w:rPr>
          <w:rFonts w:hint="eastAsia"/>
          <w:szCs w:val="21"/>
        </w:rPr>
      </w:sdtEndPr>
      <w:sdtContent>
        <w:p w14:paraId="1258DC4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6084157">
      <w:pPr>
        <w:rPr>
          <w:rFonts w:hint="eastAsia"/>
          <w:szCs w:val="21"/>
        </w:rPr>
      </w:pPr>
    </w:p>
    <w:p w14:paraId="35BFAFB5">
      <w:pPr>
        <w:pStyle w:val="3"/>
        <w:numPr>
          <w:ilvl w:val="0"/>
          <w:numId w:val="7"/>
        </w:numPr>
        <w:ind w:left="369" w:hanging="369" w:hangingChars="175"/>
      </w:pPr>
      <w:r>
        <w:rPr>
          <w:rFonts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914150185"/>
        <w:placeholder>
          <w:docPart w:val="GBC22222222222222222222222222222"/>
        </w:placeholder>
      </w:sdtPr>
      <w:sdtEndPr>
        <w:rPr>
          <w:rFonts w:hint="eastAsia"/>
        </w:rPr>
      </w:sdtEndPr>
      <w:sdtContent>
        <w:p w14:paraId="2E138EC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F586E16">
      <w:pPr>
        <w:rPr>
          <w:rFonts w:hint="eastAsia"/>
          <w:szCs w:val="21"/>
        </w:rPr>
      </w:pPr>
    </w:p>
    <w:p w14:paraId="3E841204">
      <w:pPr>
        <w:pStyle w:val="2"/>
        <w:numPr>
          <w:ilvl w:val="0"/>
          <w:numId w:val="2"/>
        </w:numPr>
      </w:pPr>
      <w:bookmarkStart w:id="74" w:name="_Toc409437610"/>
      <w:bookmarkStart w:id="75" w:name="_Toc184741577"/>
      <w:bookmarkStart w:id="76" w:name="_Toc437440716"/>
      <w:r>
        <w:rPr>
          <w:rFonts w:hint="eastAsia"/>
        </w:rPr>
        <w:t>公司治理</w:t>
      </w:r>
    </w:p>
    <w:bookmarkEnd w:id="74"/>
    <w:bookmarkEnd w:id="75"/>
    <w:bookmarkEnd w:id="76"/>
    <w:p w14:paraId="72FD786F">
      <w:pPr>
        <w:pStyle w:val="3"/>
        <w:numPr>
          <w:ilvl w:val="0"/>
          <w:numId w:val="17"/>
        </w:numPr>
      </w:pPr>
      <w:r>
        <w:t>公司治理相关情况说明</w:t>
      </w:r>
    </w:p>
    <w:sdt>
      <w:sdtPr>
        <w:rPr>
          <w:rFonts w:hint="eastAsia"/>
          <w:szCs w:val="21"/>
        </w:rPr>
        <w:alias w:val="是否适用：公司治理相关情况说明[双击切换]"/>
        <w:tag w:val="_GBC_fcded3e74c5842408b5da723b3a757fa"/>
        <w:id w:val="108943557"/>
        <w:placeholder>
          <w:docPart w:val="GBC22222222222222222222222222222"/>
        </w:placeholder>
      </w:sdtPr>
      <w:sdtEndPr>
        <w:rPr>
          <w:rFonts w:hint="eastAsia"/>
          <w:szCs w:val="21"/>
        </w:rPr>
      </w:sdtEndPr>
      <w:sdtContent>
        <w:p w14:paraId="0102245A">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582304954"/>
        <w:placeholder>
          <w:docPart w:val="GBC22222222222222222222222222222"/>
        </w:placeholder>
      </w:sdtPr>
      <w:sdtEndPr>
        <w:rPr>
          <w:szCs w:val="21"/>
        </w:rPr>
      </w:sdtEndPr>
      <w:sdtContent>
        <w:sdt>
          <w:sdtPr>
            <w:rPr>
              <w:szCs w:val="21"/>
            </w:rPr>
            <w:alias w:val="公司治理相关情况说明"/>
            <w:tag w:val="_GBC_b4d29a30dc2b4ea6b942196a3b52c2d0"/>
            <w:id w:val="-1051375507"/>
            <w:placeholder>
              <w:docPart w:val="{11f33f1f-3ef2-4ca7-9ca5-6fbcd034efa7}"/>
            </w:placeholder>
          </w:sdtPr>
          <w:sdtEndPr>
            <w:rPr>
              <w:szCs w:val="21"/>
            </w:rPr>
          </w:sdtEndPr>
          <w:sdtContent>
            <w:p w14:paraId="4A394512">
              <w:pPr>
                <w:ind w:firstLine="420" w:firstLineChars="200"/>
                <w:rPr>
                  <w:rFonts w:hint="eastAsia"/>
                  <w:szCs w:val="21"/>
                </w:rPr>
              </w:pPr>
              <w:r>
                <w:rPr>
                  <w:rFonts w:hint="eastAsia"/>
                  <w:szCs w:val="21"/>
                </w:rPr>
                <w:t>公司严格按照《公司法》《证券法》《上市公司治理准则》《上海证券交易所股票上市规则》及相关法律、法规的要求，不断完善法人治理结构和内部管理机制，建立健全内控体系，积极开展投资者管理工作，持续提高信息披露水平，公司运行规范高效。</w:t>
              </w:r>
            </w:p>
            <w:p w14:paraId="121B9C1C">
              <w:pPr>
                <w:ind w:firstLine="420" w:firstLineChars="200"/>
                <w:rPr>
                  <w:rFonts w:hint="eastAsia"/>
                  <w:szCs w:val="21"/>
                </w:rPr>
              </w:pPr>
              <w:r>
                <w:rPr>
                  <w:rFonts w:hint="eastAsia"/>
                  <w:szCs w:val="21"/>
                </w:rPr>
                <w:t>1.关于股东和股东大会：公司严格按照相关法律法规、《公司章程》及《股东大会议事规则》的有关规定组织和召开股东大会，充分尊重投资者的知情权和重大决策参与权、表决权等权利，聘请律师对股东大会的召开出具法律意见。报告期内召开股东大会三次，不存在先实施后审议的情况。在股东大会召开过程中，公司通过上海证券交易所交易系统、互联网投票系统为全体股东提供网络投票方式参与股东大会表决，股东能够充分发表意见、行使权利，其权益得到了有效保障。</w:t>
              </w:r>
            </w:p>
            <w:p w14:paraId="48409193">
              <w:pPr>
                <w:ind w:firstLine="420" w:firstLineChars="200"/>
                <w:rPr>
                  <w:rFonts w:hint="eastAsia"/>
                  <w:szCs w:val="21"/>
                </w:rPr>
              </w:pPr>
              <w:r>
                <w:rPr>
                  <w:rFonts w:hint="eastAsia"/>
                  <w:szCs w:val="21"/>
                </w:rPr>
                <w:t>2.关于控股股东与实际控制人：公司控股股东和实际控制人行为规范，通过股东大会行使出资人权利，未超越权限范围干预公司的决策和经营活动。公司与控股股东在人员、资产、财务、机构和业务方面做到五独立。公司董事会、监事会和经理层能够独立运作，公司具有独立完整的业务及自主经营能力。报告期内公司没有为控股股东及其关联企业提供担保，亦不存在控股股东非经营性占用公司资金的行为。</w:t>
              </w:r>
            </w:p>
            <w:p w14:paraId="701D7F1A">
              <w:pPr>
                <w:ind w:firstLine="420" w:firstLineChars="200"/>
                <w:rPr>
                  <w:rFonts w:hint="eastAsia"/>
                  <w:szCs w:val="21"/>
                </w:rPr>
              </w:pPr>
              <w:r>
                <w:rPr>
                  <w:rFonts w:hint="eastAsia"/>
                  <w:szCs w:val="21"/>
                </w:rPr>
                <w:t>3.关于董事与董事会：公司董事会由八名董事组成，包括三名独立董事，独立董事人数不低于董事会人数的三分之一。各董事的任职资格及任免程序均符合法律、法规及《公司章程》的规定，董事人数和人员构成符合法律、法规要求。公司所有董事能够按照《公司章程》、《董事会议事规则》、《独立董事管理制度》等要求，本着实现公司和全体股东最大利益的宗旨，忠实、诚信、勤勉地行使权利和履行义务，审慎决策，切实保护公司和投资者利益。董事会下设的战略与ESG、提名、审计与风险管理、薪酬与考核四个专门委员会，各委员会在主席的组织下，按照各自议事规则行使职权。</w:t>
              </w:r>
            </w:p>
            <w:p w14:paraId="36A20C52">
              <w:pPr>
                <w:ind w:firstLine="420" w:firstLineChars="200"/>
                <w:rPr>
                  <w:rFonts w:hint="eastAsia"/>
                  <w:szCs w:val="21"/>
                </w:rPr>
              </w:pPr>
              <w:r>
                <w:rPr>
                  <w:rFonts w:hint="eastAsia"/>
                  <w:szCs w:val="21"/>
                </w:rPr>
                <w:t>4.关于监事与监事会：公司监事会共由三名监事组成，其中职工监事一名。监事的任职资格及任免程序均符合法律、法规及《公司章程》的规定，监事会人数和人员构成符合法律、法规的要求。职工监事由公司机关职工代表大会选举产生。公司制定有《监事会议事规则》，监事会的召集、通知、召开程序及授权委托等均符合法律、法规和《公司章程》、《监事会议事规则》的相关规定。各位监事能够严格按照法律法规以及公司章程的规定认真履行职责，能够本着为股东负责的态度，对公司财务和公司董事及高级管理人员履行职责的合法合规性进行监督。</w:t>
              </w:r>
            </w:p>
            <w:p w14:paraId="01BF73A5">
              <w:pPr>
                <w:ind w:firstLine="420" w:firstLineChars="200"/>
                <w:rPr>
                  <w:rFonts w:hint="eastAsia"/>
                  <w:szCs w:val="21"/>
                </w:rPr>
              </w:pPr>
              <w:r>
                <w:rPr>
                  <w:rFonts w:hint="eastAsia"/>
                  <w:szCs w:val="21"/>
                </w:rPr>
                <w:t>5.关于高级管理人员：公司高级管理人员共5人，其中总经理1名，总会计师1名，副总经理1名，总法律顾问1名，董事会秘书1名。各位高级管理人员任职资格和任免程序符合法律、法规和《公司章程》的有关规定。公司制定有《总经理工作规则》、《董事会秘书工作规则》，公司经理层在日常经营管理中严格执行股东大会和董事会的决定，诚实守信、勤勉尽责。公司高级管理人员主要通过出席总经理办公会议行使个人职责，对公司经营管理事项提出建议，或形成经营管理层的意见。</w:t>
              </w:r>
            </w:p>
            <w:p w14:paraId="28C429DB">
              <w:pPr>
                <w:ind w:firstLine="420" w:firstLineChars="200"/>
                <w:rPr>
                  <w:rFonts w:hint="eastAsia"/>
                  <w:szCs w:val="21"/>
                </w:rPr>
              </w:pPr>
              <w:r>
                <w:rPr>
                  <w:rFonts w:hint="eastAsia"/>
                  <w:szCs w:val="21"/>
                </w:rPr>
                <w:t>6.关于信息披露：公司董事长是信息披露的第一负责人，董事会秘书负责信息披露工作的具体事宜。公司设有专门机构并配备相应人员，依法依规在上海证券交易所网履行信息披露义务，并指定《中国证券报》、《上海证券报》、《证券时报》为公司信息披露报刊。</w:t>
              </w:r>
            </w:p>
          </w:sdtContent>
        </w:sdt>
      </w:sdtContent>
    </w:sdt>
    <w:p w14:paraId="088670C9">
      <w:pPr>
        <w:rPr>
          <w:rFonts w:hint="eastAsia"/>
          <w:szCs w:val="21"/>
        </w:rPr>
      </w:pPr>
    </w:p>
    <w:p w14:paraId="28A1784F">
      <w:pPr>
        <w:rPr>
          <w:rFonts w:hint="eastAsia"/>
          <w:szCs w:val="21"/>
        </w:rPr>
      </w:pPr>
      <w:r>
        <w:rPr>
          <w:szCs w:val="21"/>
        </w:rPr>
        <w:t>公司治理</w:t>
      </w:r>
      <w:r>
        <w:rPr>
          <w:rFonts w:hint="eastAsia"/>
          <w:szCs w:val="21"/>
        </w:rPr>
        <w:t>与法律、行政法规和中国证监会关于上市公司治理的规定</w:t>
      </w:r>
      <w:r>
        <w:rPr>
          <w:szCs w:val="21"/>
        </w:rPr>
        <w:t>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682741405"/>
        <w:placeholder>
          <w:docPart w:val="GBC22222222222222222222222222222"/>
        </w:placeholder>
      </w:sdtPr>
      <w:sdtEndPr>
        <w:rPr>
          <w:szCs w:val="21"/>
        </w:rPr>
      </w:sdtEndPr>
      <w:sdtContent>
        <w:p w14:paraId="55912565">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C548476">
      <w:pPr>
        <w:rPr>
          <w:rFonts w:hint="eastAsia"/>
        </w:rPr>
      </w:pPr>
    </w:p>
    <w:p w14:paraId="116A6482">
      <w:pPr>
        <w:pStyle w:val="3"/>
        <w:numPr>
          <w:ilvl w:val="0"/>
          <w:numId w:val="17"/>
        </w:numPr>
      </w:pPr>
      <w:r>
        <w:rPr>
          <w:rFonts w:hint="eastAsia"/>
        </w:rPr>
        <w:t>公司</w:t>
      </w:r>
      <w:r>
        <w:t>控股股东、实际控制人</w:t>
      </w:r>
      <w:r>
        <w:rPr>
          <w:rFonts w:hint="eastAsia"/>
        </w:rPr>
        <w:t>在保证公司</w:t>
      </w:r>
      <w:r>
        <w:t>资产、人员、财务、机构、业务等方面独立性的具体措施，以及</w:t>
      </w:r>
      <w:r>
        <w:rPr>
          <w:rFonts w:hint="eastAsia"/>
        </w:rPr>
        <w:t>影响公司独立性而采取的解决方案、工作进度及后续工作计划</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2247158"/>
        <w:placeholder>
          <w:docPart w:val="GBC22222222222222222222222222222"/>
        </w:placeholder>
      </w:sdtPr>
      <w:sdtEndPr>
        <w:rPr>
          <w:rFonts w:hint="eastAsia"/>
          <w:szCs w:val="21"/>
        </w:rPr>
      </w:sdtEndPr>
      <w:sdtContent>
        <w:p w14:paraId="399E8733">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1B57D4E">
      <w:pPr>
        <w:rPr>
          <w:rFonts w:hint="eastAsia"/>
          <w:szCs w:val="21"/>
        </w:rPr>
      </w:pPr>
    </w:p>
    <w:p w14:paraId="7A94E1A3">
      <w:pPr>
        <w:ind w:firstLine="420" w:firstLineChars="200"/>
        <w:rPr>
          <w:rFonts w:hint="eastAsia"/>
          <w:szCs w:val="21"/>
        </w:rPr>
      </w:pPr>
      <w:r>
        <w:t>控</w:t>
      </w:r>
      <w:r>
        <w:rPr>
          <w:rFonts w:hint="eastAsia"/>
        </w:rPr>
        <w:t>股股东、实际控制人及其控制的其他单位从事与公司相同或者相近业务的情况，以及同业竞争或者同业竞争情况发生较大变化对公司的影响、已采取的解决措施、解决进展以及后续解决计划</w:t>
      </w:r>
    </w:p>
    <w:sdt>
      <w:sdtPr>
        <w:rPr>
          <w:rFonts w:hint="eastAsia"/>
          <w:szCs w:val="21"/>
        </w:rPr>
        <w:alias w:val="是否适用：存在同业竞争的，公司相应的解决措施、工作进度及后续工作计划[双击切换]"/>
        <w:tag w:val="_GBC_1883b6583caa4429822c73ae5e75f9f4"/>
        <w:id w:val="-343712733"/>
        <w:placeholder>
          <w:docPart w:val="GBC22222222222222222222222222222"/>
        </w:placeholder>
      </w:sdtPr>
      <w:sdtEndPr>
        <w:rPr>
          <w:rFonts w:hint="eastAsia"/>
          <w:szCs w:val="21"/>
        </w:rPr>
      </w:sdtEndPr>
      <w:sdtContent>
        <w:p w14:paraId="3CA13548">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F85E9CB">
      <w:pPr>
        <w:rPr>
          <w:rFonts w:hint="eastAsia"/>
          <w:szCs w:val="21"/>
        </w:rPr>
      </w:pPr>
    </w:p>
    <w:p w14:paraId="1F66D409">
      <w:pPr>
        <w:pStyle w:val="3"/>
        <w:numPr>
          <w:ilvl w:val="0"/>
          <w:numId w:val="17"/>
        </w:numPr>
      </w:pPr>
      <w:r>
        <w:t>股东大会情况简介</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1307"/>
        <w:gridCol w:w="1993"/>
        <w:gridCol w:w="1363"/>
        <w:gridCol w:w="2642"/>
      </w:tblGrid>
      <w:tr w14:paraId="0C01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blHeader/>
        </w:trPr>
        <w:sdt>
          <w:sdtPr>
            <w:tag w:val="_PLD_ca305564151a412a8452996542c336c8"/>
            <w:id w:val="-6286228"/>
          </w:sdtPr>
          <w:sdtContent>
            <w:tc>
              <w:tcPr>
                <w:tcW w:w="963" w:type="pct"/>
                <w:vAlign w:val="center"/>
              </w:tcPr>
              <w:p w14:paraId="46E11517">
                <w:pPr>
                  <w:widowControl w:val="0"/>
                  <w:jc w:val="center"/>
                  <w:rPr>
                    <w:rFonts w:hint="eastAsia"/>
                    <w:szCs w:val="21"/>
                  </w:rPr>
                </w:pPr>
                <w:r>
                  <w:rPr>
                    <w:szCs w:val="21"/>
                  </w:rPr>
                  <w:t>会议届次</w:t>
                </w:r>
              </w:p>
            </w:tc>
          </w:sdtContent>
        </w:sdt>
        <w:sdt>
          <w:sdtPr>
            <w:tag w:val="_PLD_339c8451b8064684a85c81b08813156b"/>
            <w:id w:val="-1217506640"/>
          </w:sdtPr>
          <w:sdtContent>
            <w:tc>
              <w:tcPr>
                <w:tcW w:w="722" w:type="pct"/>
                <w:vAlign w:val="center"/>
              </w:tcPr>
              <w:p w14:paraId="43F2F98F">
                <w:pPr>
                  <w:widowControl w:val="0"/>
                  <w:jc w:val="center"/>
                  <w:rPr>
                    <w:rFonts w:hint="eastAsia"/>
                    <w:szCs w:val="21"/>
                  </w:rPr>
                </w:pPr>
                <w:r>
                  <w:rPr>
                    <w:szCs w:val="21"/>
                  </w:rPr>
                  <w:t>召开日期</w:t>
                </w:r>
              </w:p>
            </w:tc>
          </w:sdtContent>
        </w:sdt>
        <w:sdt>
          <w:sdtPr>
            <w:tag w:val="_PLD_7b97e84dc8f648a0b4bd3bbd757797d1"/>
            <w:id w:val="-1948851611"/>
          </w:sdtPr>
          <w:sdtContent>
            <w:tc>
              <w:tcPr>
                <w:tcW w:w="1100" w:type="pct"/>
                <w:vAlign w:val="center"/>
              </w:tcPr>
              <w:p w14:paraId="5B5CB37F">
                <w:pPr>
                  <w:widowControl w:val="0"/>
                  <w:jc w:val="center"/>
                  <w:rPr>
                    <w:rFonts w:hint="eastAsia"/>
                    <w:szCs w:val="21"/>
                  </w:rPr>
                </w:pPr>
                <w:r>
                  <w:rPr>
                    <w:szCs w:val="21"/>
                  </w:rPr>
                  <w:t>决议刊登的指定网站的查询索引</w:t>
                </w:r>
              </w:p>
            </w:tc>
          </w:sdtContent>
        </w:sdt>
        <w:sdt>
          <w:sdtPr>
            <w:tag w:val="_PLD_e175ad3c6edc4dc8a87f046a04fe2d07"/>
            <w:id w:val="-1322201014"/>
          </w:sdtPr>
          <w:sdtContent>
            <w:tc>
              <w:tcPr>
                <w:tcW w:w="753" w:type="pct"/>
                <w:vAlign w:val="center"/>
              </w:tcPr>
              <w:p w14:paraId="0E5EF318">
                <w:pPr>
                  <w:widowControl w:val="0"/>
                  <w:jc w:val="center"/>
                  <w:rPr>
                    <w:rFonts w:hint="eastAsia"/>
                    <w:szCs w:val="21"/>
                  </w:rPr>
                </w:pPr>
                <w:r>
                  <w:rPr>
                    <w:szCs w:val="21"/>
                  </w:rPr>
                  <w:t>决议刊登的披露日期</w:t>
                </w:r>
              </w:p>
            </w:tc>
          </w:sdtContent>
        </w:sdt>
        <w:sdt>
          <w:sdtPr>
            <w:tag w:val="_PLD_23fd9aa41f9444b4a6b91c96589bb344"/>
            <w:id w:val="477347938"/>
          </w:sdtPr>
          <w:sdtContent>
            <w:tc>
              <w:tcPr>
                <w:tcW w:w="1459" w:type="pct"/>
                <w:vAlign w:val="center"/>
              </w:tcPr>
              <w:p w14:paraId="6BA09F08">
                <w:pPr>
                  <w:widowControl w:val="0"/>
                  <w:jc w:val="center"/>
                  <w:rPr>
                    <w:rFonts w:hint="eastAsia"/>
                  </w:rPr>
                </w:pPr>
                <w:r>
                  <w:rPr>
                    <w:rFonts w:hint="eastAsia"/>
                  </w:rPr>
                  <w:t>会议决议</w:t>
                </w:r>
              </w:p>
            </w:tc>
          </w:sdtContent>
        </w:sdt>
      </w:tr>
      <w:tr w14:paraId="2A35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963" w:type="pct"/>
            <w:vAlign w:val="center"/>
          </w:tcPr>
          <w:p w14:paraId="3F5763DB">
            <w:pPr>
              <w:widowControl w:val="0"/>
              <w:jc w:val="center"/>
              <w:rPr>
                <w:rFonts w:hint="eastAsia"/>
                <w:szCs w:val="21"/>
              </w:rPr>
            </w:pPr>
            <w:r>
              <w:rPr>
                <w:rFonts w:hint="eastAsia" w:asciiTheme="minorEastAsia" w:hAnsiTheme="minorEastAsia" w:eastAsiaTheme="minorEastAsia" w:cstheme="minorEastAsia"/>
                <w:szCs w:val="21"/>
              </w:rPr>
              <w:t>2024年第一次临时股东大会</w:t>
            </w:r>
          </w:p>
        </w:tc>
        <w:tc>
          <w:tcPr>
            <w:tcW w:w="722" w:type="pct"/>
            <w:vAlign w:val="center"/>
          </w:tcPr>
          <w:p w14:paraId="169EAB9E">
            <w:pPr>
              <w:widowControl w:val="0"/>
              <w:jc w:val="center"/>
              <w:rPr>
                <w:rFonts w:hint="eastAsia"/>
                <w:szCs w:val="21"/>
              </w:rPr>
            </w:pPr>
            <w:r>
              <w:rPr>
                <w:rFonts w:hint="eastAsia" w:asciiTheme="minorEastAsia" w:hAnsiTheme="minorEastAsia" w:eastAsiaTheme="minorEastAsia" w:cstheme="minorEastAsia"/>
                <w:szCs w:val="21"/>
              </w:rPr>
              <w:t>2024年2月7日</w:t>
            </w:r>
          </w:p>
        </w:tc>
        <w:tc>
          <w:tcPr>
            <w:tcW w:w="1100" w:type="pct"/>
            <w:vAlign w:val="center"/>
          </w:tcPr>
          <w:p w14:paraId="602A84D1">
            <w:pPr>
              <w:widowControl w:val="0"/>
              <w:jc w:val="center"/>
              <w:rPr>
                <w:rFonts w:hint="eastAsia"/>
                <w:szCs w:val="21"/>
              </w:rPr>
            </w:pPr>
            <w:r>
              <w:rPr>
                <w:rFonts w:hint="eastAsia"/>
                <w:szCs w:val="21"/>
              </w:rPr>
              <w:t>上海证券交易所网站</w:t>
            </w:r>
            <w:r>
              <w:rPr>
                <w:szCs w:val="21"/>
              </w:rPr>
              <w:t>http://www.sse.com.cn</w:t>
            </w:r>
          </w:p>
        </w:tc>
        <w:tc>
          <w:tcPr>
            <w:tcW w:w="753" w:type="pct"/>
            <w:vAlign w:val="center"/>
          </w:tcPr>
          <w:p w14:paraId="5A363D83">
            <w:pPr>
              <w:widowControl w:val="0"/>
              <w:jc w:val="center"/>
              <w:rPr>
                <w:rFonts w:hint="eastAsia"/>
                <w:szCs w:val="21"/>
              </w:rPr>
            </w:pPr>
            <w:r>
              <w:rPr>
                <w:rFonts w:hint="eastAsia" w:asciiTheme="minorEastAsia" w:hAnsiTheme="minorEastAsia" w:eastAsiaTheme="minorEastAsia" w:cstheme="minorEastAsia"/>
                <w:szCs w:val="21"/>
              </w:rPr>
              <w:t>2024年2月8日</w:t>
            </w:r>
          </w:p>
        </w:tc>
        <w:tc>
          <w:tcPr>
            <w:tcW w:w="1459" w:type="pct"/>
          </w:tcPr>
          <w:p w14:paraId="6DE2A088">
            <w:pPr>
              <w:widowControl w:val="0"/>
              <w:jc w:val="both"/>
              <w:rPr>
                <w:rFonts w:hint="eastAsia"/>
                <w:szCs w:val="21"/>
              </w:rPr>
            </w:pPr>
            <w:r>
              <w:rPr>
                <w:rFonts w:hint="eastAsia" w:asciiTheme="minorEastAsia" w:hAnsiTheme="minorEastAsia" w:eastAsiaTheme="minorEastAsia" w:cstheme="minorEastAsia"/>
                <w:szCs w:val="21"/>
              </w:rPr>
              <w:t>审议关于《续聘大华会计师事务所为公司2023年度财务审计机构和内控审计机构》的议案</w:t>
            </w:r>
          </w:p>
        </w:tc>
      </w:tr>
      <w:tr w14:paraId="29D6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963" w:type="pct"/>
            <w:vAlign w:val="center"/>
          </w:tcPr>
          <w:p w14:paraId="5DF15B13">
            <w:pPr>
              <w:widowControl w:val="0"/>
              <w:jc w:val="center"/>
              <w:rPr>
                <w:rFonts w:hint="eastAsia"/>
                <w:szCs w:val="21"/>
              </w:rPr>
            </w:pPr>
            <w:r>
              <w:rPr>
                <w:rFonts w:hint="eastAsia" w:asciiTheme="minorEastAsia" w:hAnsiTheme="minorEastAsia" w:eastAsiaTheme="minorEastAsia" w:cstheme="minorEastAsia"/>
                <w:szCs w:val="21"/>
              </w:rPr>
              <w:t>2024年度股东大会</w:t>
            </w:r>
          </w:p>
        </w:tc>
        <w:tc>
          <w:tcPr>
            <w:tcW w:w="722" w:type="pct"/>
            <w:vAlign w:val="center"/>
          </w:tcPr>
          <w:p w14:paraId="0F3FD6F3">
            <w:pPr>
              <w:widowControl w:val="0"/>
              <w:jc w:val="center"/>
              <w:rPr>
                <w:rFonts w:hint="eastAsia"/>
                <w:szCs w:val="21"/>
              </w:rPr>
            </w:pPr>
            <w:r>
              <w:rPr>
                <w:rFonts w:hint="eastAsia" w:asciiTheme="minorEastAsia" w:hAnsiTheme="minorEastAsia" w:eastAsiaTheme="minorEastAsia" w:cstheme="minorEastAsia"/>
                <w:szCs w:val="21"/>
              </w:rPr>
              <w:t>2024年6月14日</w:t>
            </w:r>
          </w:p>
        </w:tc>
        <w:tc>
          <w:tcPr>
            <w:tcW w:w="1100" w:type="pct"/>
            <w:vAlign w:val="center"/>
          </w:tcPr>
          <w:p w14:paraId="1F25E319">
            <w:pPr>
              <w:widowControl w:val="0"/>
              <w:jc w:val="center"/>
              <w:rPr>
                <w:rFonts w:hint="eastAsia"/>
                <w:szCs w:val="21"/>
              </w:rPr>
            </w:pPr>
            <w:r>
              <w:rPr>
                <w:rFonts w:hint="eastAsia"/>
                <w:szCs w:val="21"/>
              </w:rPr>
              <w:t>上海证券交易所网站</w:t>
            </w:r>
            <w:r>
              <w:rPr>
                <w:szCs w:val="21"/>
              </w:rPr>
              <w:t>http://www.sse.com.cn</w:t>
            </w:r>
          </w:p>
        </w:tc>
        <w:tc>
          <w:tcPr>
            <w:tcW w:w="753" w:type="pct"/>
            <w:vAlign w:val="center"/>
          </w:tcPr>
          <w:p w14:paraId="0B86001D">
            <w:pPr>
              <w:widowControl w:val="0"/>
              <w:jc w:val="center"/>
              <w:rPr>
                <w:rFonts w:hint="eastAsia"/>
                <w:szCs w:val="21"/>
              </w:rPr>
            </w:pPr>
            <w:r>
              <w:rPr>
                <w:rFonts w:hint="eastAsia" w:asciiTheme="minorEastAsia" w:hAnsiTheme="minorEastAsia" w:eastAsiaTheme="minorEastAsia" w:cstheme="minorEastAsia"/>
                <w:szCs w:val="21"/>
              </w:rPr>
              <w:t>2024年6月15日</w:t>
            </w:r>
          </w:p>
        </w:tc>
        <w:tc>
          <w:tcPr>
            <w:tcW w:w="1459" w:type="pct"/>
          </w:tcPr>
          <w:p w14:paraId="2EBF1DB2">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1.审议关于《2023年度董事会工作报告》的议案</w:t>
            </w:r>
          </w:p>
          <w:p w14:paraId="74E3023D">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2.审议关于《2023年度监事会工作报告》的议案</w:t>
            </w:r>
          </w:p>
          <w:p w14:paraId="43D9D06D">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3.审议关于《2023年度财务决算报告》的议案</w:t>
            </w:r>
          </w:p>
          <w:p w14:paraId="161DBF97">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4.审议关于《2023年年度报告及摘要》的议案</w:t>
            </w:r>
          </w:p>
          <w:p w14:paraId="0E4BBD1B">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5.审议关于《2023年度利润分配预案》的议案</w:t>
            </w:r>
          </w:p>
          <w:p w14:paraId="0AA25F99">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6.审议关于《2023年度日常关联交易实际发生额及 2024年度日常关联交易预计发生额》的议案</w:t>
            </w:r>
          </w:p>
          <w:p w14:paraId="123A1932">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7.审议关于修订《公司章程》的议案</w:t>
            </w:r>
          </w:p>
          <w:p w14:paraId="59E557DF">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8.审议关于修订《董事会议事规则》的议案</w:t>
            </w:r>
          </w:p>
          <w:p w14:paraId="4E68F581">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9.审议关于修订《独立董事报酬发放暂行办法》的议案</w:t>
            </w:r>
          </w:p>
          <w:p w14:paraId="2B9F3A7E">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10.审议关于《选举公司第六届董事会非独立董事》的议案</w:t>
            </w:r>
          </w:p>
          <w:p w14:paraId="1693CB71">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11.审议关于《选举公司第六届董事会独立董事》的议案</w:t>
            </w:r>
          </w:p>
          <w:p w14:paraId="3EF07575">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12.关于《选举公司第六届监事会非职工代表监事》的议案</w:t>
            </w:r>
          </w:p>
        </w:tc>
      </w:tr>
      <w:tr w14:paraId="44C0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963" w:type="pct"/>
            <w:vAlign w:val="center"/>
          </w:tcPr>
          <w:p w14:paraId="3474D1CA">
            <w:pPr>
              <w:widowControl w:val="0"/>
              <w:jc w:val="center"/>
              <w:rPr>
                <w:rFonts w:hint="eastAsia"/>
                <w:szCs w:val="21"/>
              </w:rPr>
            </w:pPr>
            <w:r>
              <w:rPr>
                <w:rFonts w:hint="eastAsia" w:asciiTheme="minorEastAsia" w:hAnsiTheme="minorEastAsia" w:eastAsiaTheme="minorEastAsia" w:cstheme="minorEastAsia"/>
                <w:szCs w:val="21"/>
              </w:rPr>
              <w:t>2024年第二次临时股东大会</w:t>
            </w:r>
          </w:p>
        </w:tc>
        <w:tc>
          <w:tcPr>
            <w:tcW w:w="722" w:type="pct"/>
            <w:vAlign w:val="center"/>
          </w:tcPr>
          <w:p w14:paraId="00A0F12D">
            <w:pPr>
              <w:widowControl w:val="0"/>
              <w:jc w:val="center"/>
              <w:rPr>
                <w:rFonts w:hint="eastAsia"/>
                <w:szCs w:val="21"/>
              </w:rPr>
            </w:pPr>
            <w:r>
              <w:rPr>
                <w:rFonts w:hint="eastAsia" w:asciiTheme="minorEastAsia" w:hAnsiTheme="minorEastAsia" w:eastAsiaTheme="minorEastAsia" w:cstheme="minorEastAsia"/>
                <w:szCs w:val="21"/>
              </w:rPr>
              <w:t>2024年12月23日</w:t>
            </w:r>
          </w:p>
        </w:tc>
        <w:tc>
          <w:tcPr>
            <w:tcW w:w="1100" w:type="pct"/>
            <w:vAlign w:val="center"/>
          </w:tcPr>
          <w:p w14:paraId="39510711">
            <w:pPr>
              <w:widowControl w:val="0"/>
              <w:jc w:val="center"/>
              <w:rPr>
                <w:rFonts w:hint="eastAsia"/>
                <w:szCs w:val="21"/>
              </w:rPr>
            </w:pPr>
            <w:r>
              <w:rPr>
                <w:rFonts w:hint="eastAsia"/>
                <w:szCs w:val="21"/>
              </w:rPr>
              <w:t>上海证券交易所网站</w:t>
            </w:r>
            <w:r>
              <w:rPr>
                <w:szCs w:val="21"/>
              </w:rPr>
              <w:t>http://www.sse.com.cn</w:t>
            </w:r>
          </w:p>
        </w:tc>
        <w:tc>
          <w:tcPr>
            <w:tcW w:w="753" w:type="pct"/>
            <w:vAlign w:val="center"/>
          </w:tcPr>
          <w:p w14:paraId="7488E819">
            <w:pPr>
              <w:widowControl w:val="0"/>
              <w:jc w:val="center"/>
              <w:rPr>
                <w:rFonts w:hint="eastAsia"/>
                <w:szCs w:val="21"/>
              </w:rPr>
            </w:pPr>
            <w:r>
              <w:rPr>
                <w:rFonts w:hint="eastAsia" w:asciiTheme="minorEastAsia" w:hAnsiTheme="minorEastAsia" w:eastAsiaTheme="minorEastAsia" w:cstheme="minorEastAsia"/>
                <w:szCs w:val="21"/>
              </w:rPr>
              <w:t>2024年12月24日</w:t>
            </w:r>
          </w:p>
        </w:tc>
        <w:tc>
          <w:tcPr>
            <w:tcW w:w="1459" w:type="pct"/>
          </w:tcPr>
          <w:p w14:paraId="433CF2FB">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审议关于《聘任天健会计师事务所为公司2024  年度财务审计机构和内控审计机构》的议案</w:t>
            </w:r>
          </w:p>
          <w:p w14:paraId="7A76E608">
            <w:pPr>
              <w:widowControl/>
              <w:numPr>
                <w:ilvl w:val="0"/>
                <w:numId w:val="18"/>
              </w:num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审议关于《变更部分募集资金投资项目》的议案</w:t>
            </w:r>
          </w:p>
          <w:p w14:paraId="1442503E">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审议关于《以集中竞价交易方式回购股份的预案》的议案-回购股份的目的</w:t>
            </w:r>
          </w:p>
          <w:p w14:paraId="4F0D11D2">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审议关于《以集中竞价交易方式回购股份的预案》的议案-拟回购股份的种类</w:t>
            </w:r>
          </w:p>
          <w:p w14:paraId="43718114">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审议关于《以集中竞价交易方式回购股份的预案》的议案-回购股份的方式</w:t>
            </w:r>
          </w:p>
          <w:p w14:paraId="7471A34B">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审议关于《以集中竞价交易方式回购股份的预案》的议案-回购股份的实施期限</w:t>
            </w:r>
          </w:p>
          <w:p w14:paraId="46927BF1">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审议关于《以集中竞价交易方式回购股份的预案》的议案-拟回购股份的用途、数量、占公司总股本的比例、资金总额</w:t>
            </w:r>
          </w:p>
          <w:p w14:paraId="7CA9A497">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审议关于《以集中竞价交易方式回购股份的预案》的议案-回购股份的价格或价格区间、定价原则</w:t>
            </w:r>
          </w:p>
          <w:p w14:paraId="131C1F1B">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审议关于《以集中竞价交易方式回购股份的预案》的议案-回购股份的资金来源</w:t>
            </w:r>
          </w:p>
          <w:p w14:paraId="38E2182A">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审议关于《以集中竞价交易方式回购股份的预案》的议案-办理本次回购股份事宜的具体授权</w:t>
            </w:r>
          </w:p>
          <w:p w14:paraId="54C5D66D">
            <w:pPr>
              <w:widowControl w:val="0"/>
              <w:numPr>
                <w:ilvl w:val="0"/>
                <w:numId w:val="18"/>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审议关于《补选公司第六届董事会非独立董事》的议案</w:t>
            </w:r>
          </w:p>
        </w:tc>
      </w:tr>
    </w:tbl>
    <w:p w14:paraId="1596CA3D">
      <w:pPr>
        <w:rPr>
          <w:rFonts w:hint="eastAsia"/>
        </w:rPr>
      </w:pPr>
    </w:p>
    <w:p w14:paraId="54D9330B">
      <w:pPr>
        <w:rPr>
          <w:rFonts w:hint="eastAsia"/>
          <w:bCs/>
        </w:rPr>
      </w:pPr>
      <w:bookmarkStart w:id="77" w:name="_Hlk89178901"/>
      <w:bookmarkStart w:id="78" w:name="_Hlk41294309"/>
      <w:r>
        <w:rPr>
          <w:rFonts w:hint="eastAsia"/>
          <w:bCs/>
        </w:rPr>
        <w:t>表决权恢复的优先股股东请求召开临时股东大会</w:t>
      </w:r>
    </w:p>
    <w:sdt>
      <w:sdtPr>
        <w:alias w:val="是否适用：表决权恢复的优先股股东请求召开临时股东大会[双击切换]"/>
        <w:tag w:val="_GBC_daa6d818841c4c078ecf082b84efd616"/>
        <w:id w:val="-435448617"/>
        <w:placeholder>
          <w:docPart w:val="GBC22222222222222222222222222222"/>
        </w:placeholder>
      </w:sdtPr>
      <w:sdtContent>
        <w:p w14:paraId="2B87FF4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77"/>
    <w:bookmarkEnd w:id="78"/>
    <w:p w14:paraId="1B58BE7A">
      <w:pPr>
        <w:rPr>
          <w:rFonts w:hint="eastAsia"/>
          <w:szCs w:val="21"/>
        </w:rPr>
      </w:pPr>
    </w:p>
    <w:p w14:paraId="369021F1">
      <w:pPr>
        <w:rPr>
          <w:rFonts w:hint="eastAsia"/>
          <w:szCs w:val="21"/>
        </w:rPr>
      </w:pPr>
      <w:r>
        <w:rPr>
          <w:szCs w:val="21"/>
        </w:rPr>
        <w:t>股东大会情况说明</w:t>
      </w:r>
    </w:p>
    <w:sdt>
      <w:sdtPr>
        <w:rPr>
          <w:szCs w:val="21"/>
        </w:rPr>
        <w:alias w:val="是否适用：股东大会情况说明[双击切换]"/>
        <w:tag w:val="_GBC_417d33555ab14709b5640c8830ff5a67"/>
        <w:id w:val="1604154275"/>
        <w:placeholder>
          <w:docPart w:val="GBC22222222222222222222222222222"/>
        </w:placeholder>
      </w:sdtPr>
      <w:sdtEndPr>
        <w:rPr>
          <w:szCs w:val="21"/>
        </w:rPr>
      </w:sdtEndPr>
      <w:sdtContent>
        <w:p w14:paraId="5272E94D">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D6D0525">
      <w:pPr>
        <w:rPr>
          <w:rFonts w:hint="eastAsia"/>
          <w:szCs w:val="21"/>
        </w:rPr>
      </w:pPr>
    </w:p>
    <w:p w14:paraId="7A6B0B91">
      <w:pPr>
        <w:rPr>
          <w:rFonts w:hint="eastAsia"/>
          <w:szCs w:val="21"/>
        </w:rPr>
        <w:sectPr>
          <w:pgSz w:w="11906" w:h="16838"/>
          <w:pgMar w:top="1525" w:right="1276" w:bottom="1440" w:left="1797" w:header="855" w:footer="992" w:gutter="0"/>
          <w:cols w:space="425" w:num="1"/>
          <w:docGrid w:linePitch="312" w:charSpace="0"/>
        </w:sectPr>
      </w:pPr>
    </w:p>
    <w:p w14:paraId="77A7C38A">
      <w:pPr>
        <w:pStyle w:val="3"/>
        <w:numPr>
          <w:ilvl w:val="0"/>
          <w:numId w:val="17"/>
        </w:numPr>
      </w:pPr>
      <w:r>
        <w:t>董事、监事和高级管理人员的情况</w:t>
      </w:r>
    </w:p>
    <w:p w14:paraId="7A058DB9">
      <w:pPr>
        <w:pStyle w:val="4"/>
        <w:numPr>
          <w:ilvl w:val="0"/>
          <w:numId w:val="19"/>
        </w:numPr>
        <w:ind w:left="0" w:firstLine="0"/>
      </w:pPr>
      <w:r>
        <w:rPr>
          <w:rFonts w:hint="eastAsia"/>
        </w:rPr>
        <w:t xml:space="preserve"> </w:t>
      </w:r>
      <w:r>
        <w:t>现任及报告期内离任董事</w:t>
      </w:r>
      <w:r>
        <w:rPr>
          <w:rFonts w:hint="eastAsia"/>
        </w:rPr>
        <w:t>、监事和</w:t>
      </w:r>
      <w:r>
        <w:t>高级管理人员持股变动及报酬情况</w:t>
      </w:r>
    </w:p>
    <w:sdt>
      <w:sdtPr>
        <w:alias w:val="是否适用：董事、监事和高级管理人员持股变动[双击切换]"/>
        <w:tag w:val="_GBC_336639f5f1254c87a3d81a366e432afd"/>
        <w:id w:val="-1906908552"/>
        <w:lock w:val="contentLocked"/>
        <w:placeholder>
          <w:docPart w:val="GBC22222222222222222222222222222"/>
        </w:placeholder>
      </w:sdtPr>
      <w:sdtContent>
        <w:p w14:paraId="421AF781">
          <w:pPr>
            <w:rPr>
              <w:rFonts w:hint="eastAsia"/>
            </w:rPr>
          </w:pPr>
          <w:bookmarkStart w:id="79" w:name="_Hlk89179934"/>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69F5A3">
      <w:pPr>
        <w:jc w:val="right"/>
        <w:rPr>
          <w:rFonts w:hint="eastAsia"/>
          <w:szCs w:val="21"/>
        </w:rPr>
      </w:pPr>
      <w:bookmarkStart w:id="80" w:name="_Hlk155082088"/>
      <w:r>
        <w:rPr>
          <w:rFonts w:hint="eastAsia"/>
          <w:szCs w:val="21"/>
        </w:rPr>
        <w:t>单位：</w:t>
      </w:r>
      <w:sdt>
        <w:sdtPr>
          <w:rPr>
            <w:rFonts w:hint="eastAsia"/>
            <w:szCs w:val="21"/>
          </w:rPr>
          <w:alias w:val="单位：董事、监事、高级管理人员基本情况"/>
          <w:tag w:val="_GBC_3851936d51d842bf9f2c82131d0787cc"/>
          <w:id w:val="286479597"/>
          <w:comboBox>
            <w:listItem w:displayText="股" w:value="1"/>
            <w:listItem w:displayText="千股" w:value="1000"/>
            <w:listItem w:displayText="万股" w:value="10000"/>
            <w:listItem w:displayText="百万股" w:value="1000000"/>
            <w:listItem w:displayText="亿股" w:value="100000000"/>
          </w:comboBox>
        </w:sdtPr>
        <w:sdtEndPr>
          <w:rPr>
            <w:rFonts w:hint="eastAsia"/>
            <w:szCs w:val="21"/>
          </w:rPr>
        </w:sdtEndPr>
        <w:sdtContent>
          <w:r>
            <w:rPr>
              <w:rFonts w:hint="eastAsia"/>
              <w:szCs w:val="21"/>
            </w:rPr>
            <w:t>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1916"/>
        <w:gridCol w:w="569"/>
        <w:gridCol w:w="572"/>
        <w:gridCol w:w="1527"/>
        <w:gridCol w:w="1429"/>
        <w:gridCol w:w="859"/>
        <w:gridCol w:w="1167"/>
        <w:gridCol w:w="1082"/>
        <w:gridCol w:w="1730"/>
        <w:gridCol w:w="938"/>
        <w:gridCol w:w="1195"/>
      </w:tblGrid>
      <w:tr w14:paraId="0B31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blHeader/>
        </w:trPr>
        <w:sdt>
          <w:sdtPr>
            <w:tag w:val="_PLD_3e935958e5b542f38f53ca8a2618690d"/>
            <w:id w:val="1863550348"/>
          </w:sdtPr>
          <w:sdtContent>
            <w:tc>
              <w:tcPr>
                <w:tcW w:w="392" w:type="pct"/>
                <w:vAlign w:val="center"/>
              </w:tcPr>
              <w:p w14:paraId="6E013971">
                <w:pPr>
                  <w:widowControl w:val="0"/>
                  <w:jc w:val="center"/>
                  <w:rPr>
                    <w:rFonts w:hint="eastAsia"/>
                    <w:szCs w:val="21"/>
                  </w:rPr>
                </w:pPr>
                <w:r>
                  <w:rPr>
                    <w:szCs w:val="21"/>
                  </w:rPr>
                  <w:t>姓名</w:t>
                </w:r>
              </w:p>
            </w:tc>
          </w:sdtContent>
        </w:sdt>
        <w:sdt>
          <w:sdtPr>
            <w:tag w:val="_PLD_5ecaa59058dd4312acb6ebb4d88eb6c8"/>
            <w:id w:val="-1488315137"/>
          </w:sdtPr>
          <w:sdtContent>
            <w:tc>
              <w:tcPr>
                <w:tcW w:w="680" w:type="pct"/>
                <w:vAlign w:val="center"/>
              </w:tcPr>
              <w:p w14:paraId="40058BFA">
                <w:pPr>
                  <w:widowControl w:val="0"/>
                  <w:jc w:val="center"/>
                  <w:rPr>
                    <w:rFonts w:hint="eastAsia"/>
                    <w:szCs w:val="21"/>
                  </w:rPr>
                </w:pPr>
                <w:r>
                  <w:rPr>
                    <w:szCs w:val="21"/>
                  </w:rPr>
                  <w:t>职务</w:t>
                </w:r>
              </w:p>
            </w:tc>
          </w:sdtContent>
        </w:sdt>
        <w:sdt>
          <w:sdtPr>
            <w:tag w:val="_PLD_f907f9c5cdf94b2ba9e217c0aaaf2c60"/>
            <w:id w:val="-1443300686"/>
          </w:sdtPr>
          <w:sdtContent>
            <w:tc>
              <w:tcPr>
                <w:tcW w:w="202" w:type="pct"/>
                <w:vAlign w:val="center"/>
              </w:tcPr>
              <w:p w14:paraId="2FD7CD43">
                <w:pPr>
                  <w:widowControl w:val="0"/>
                  <w:jc w:val="center"/>
                  <w:rPr>
                    <w:rFonts w:hint="eastAsia"/>
                    <w:szCs w:val="21"/>
                  </w:rPr>
                </w:pPr>
                <w:r>
                  <w:rPr>
                    <w:szCs w:val="21"/>
                  </w:rPr>
                  <w:t>性别</w:t>
                </w:r>
              </w:p>
            </w:tc>
          </w:sdtContent>
        </w:sdt>
        <w:sdt>
          <w:sdtPr>
            <w:tag w:val="_PLD_9b2689bca35f4a3ebc7adf135b295bd6"/>
            <w:id w:val="-326979606"/>
          </w:sdtPr>
          <w:sdtContent>
            <w:tc>
              <w:tcPr>
                <w:tcW w:w="203" w:type="pct"/>
                <w:vAlign w:val="center"/>
              </w:tcPr>
              <w:p w14:paraId="04EA5C35">
                <w:pPr>
                  <w:widowControl w:val="0"/>
                  <w:jc w:val="center"/>
                  <w:rPr>
                    <w:rFonts w:hint="eastAsia"/>
                    <w:szCs w:val="21"/>
                  </w:rPr>
                </w:pPr>
                <w:r>
                  <w:rPr>
                    <w:szCs w:val="21"/>
                  </w:rPr>
                  <w:t>年龄</w:t>
                </w:r>
              </w:p>
            </w:tc>
          </w:sdtContent>
        </w:sdt>
        <w:sdt>
          <w:sdtPr>
            <w:tag w:val="_PLD_3844eb481c79444fba199a9d3c3b8bf7"/>
            <w:id w:val="-135422416"/>
          </w:sdtPr>
          <w:sdtContent>
            <w:tc>
              <w:tcPr>
                <w:tcW w:w="542" w:type="pct"/>
                <w:vAlign w:val="center"/>
              </w:tcPr>
              <w:p w14:paraId="2DE02111">
                <w:pPr>
                  <w:widowControl w:val="0"/>
                  <w:jc w:val="center"/>
                  <w:rPr>
                    <w:rFonts w:hint="eastAsia"/>
                    <w:szCs w:val="21"/>
                  </w:rPr>
                </w:pPr>
                <w:r>
                  <w:rPr>
                    <w:szCs w:val="21"/>
                  </w:rPr>
                  <w:t>任期起始日期</w:t>
                </w:r>
              </w:p>
            </w:tc>
          </w:sdtContent>
        </w:sdt>
        <w:sdt>
          <w:sdtPr>
            <w:tag w:val="_PLD_94806df607544b4b97b389da94daaf66"/>
            <w:id w:val="28230528"/>
          </w:sdtPr>
          <w:sdtContent>
            <w:tc>
              <w:tcPr>
                <w:tcW w:w="507" w:type="pct"/>
                <w:vAlign w:val="center"/>
              </w:tcPr>
              <w:p w14:paraId="0A614B6A">
                <w:pPr>
                  <w:widowControl w:val="0"/>
                  <w:jc w:val="center"/>
                  <w:rPr>
                    <w:rFonts w:hint="eastAsia"/>
                    <w:szCs w:val="21"/>
                  </w:rPr>
                </w:pPr>
                <w:r>
                  <w:rPr>
                    <w:szCs w:val="21"/>
                  </w:rPr>
                  <w:t>任期终止日期</w:t>
                </w:r>
              </w:p>
            </w:tc>
          </w:sdtContent>
        </w:sdt>
        <w:sdt>
          <w:sdtPr>
            <w:tag w:val="_PLD_5e35d588fd7f4cb3af49fcbd9e313ac2"/>
            <w:id w:val="1853986305"/>
          </w:sdtPr>
          <w:sdtContent>
            <w:tc>
              <w:tcPr>
                <w:tcW w:w="305" w:type="pct"/>
                <w:vAlign w:val="center"/>
              </w:tcPr>
              <w:p w14:paraId="5196EADD">
                <w:pPr>
                  <w:widowControl w:val="0"/>
                  <w:jc w:val="center"/>
                  <w:rPr>
                    <w:rFonts w:hint="eastAsia"/>
                    <w:szCs w:val="21"/>
                  </w:rPr>
                </w:pPr>
                <w:r>
                  <w:rPr>
                    <w:szCs w:val="21"/>
                  </w:rPr>
                  <w:t>年初持股数</w:t>
                </w:r>
              </w:p>
            </w:tc>
          </w:sdtContent>
        </w:sdt>
        <w:sdt>
          <w:sdtPr>
            <w:tag w:val="_PLD_af0cabd7e3f44b95b26464bc652333c2"/>
            <w:id w:val="286483606"/>
          </w:sdtPr>
          <w:sdtContent>
            <w:tc>
              <w:tcPr>
                <w:tcW w:w="414" w:type="pct"/>
                <w:vAlign w:val="center"/>
              </w:tcPr>
              <w:p w14:paraId="25BCF375">
                <w:pPr>
                  <w:widowControl w:val="0"/>
                  <w:jc w:val="center"/>
                  <w:rPr>
                    <w:rFonts w:hint="eastAsia"/>
                    <w:szCs w:val="21"/>
                  </w:rPr>
                </w:pPr>
                <w:r>
                  <w:rPr>
                    <w:szCs w:val="21"/>
                  </w:rPr>
                  <w:t>年末持股数</w:t>
                </w:r>
              </w:p>
            </w:tc>
          </w:sdtContent>
        </w:sdt>
        <w:sdt>
          <w:sdtPr>
            <w:tag w:val="_PLD_0b9453da77b34ba68718efe69463399a"/>
            <w:id w:val="550348097"/>
          </w:sdtPr>
          <w:sdtContent>
            <w:tc>
              <w:tcPr>
                <w:tcW w:w="384" w:type="pct"/>
                <w:vAlign w:val="center"/>
              </w:tcPr>
              <w:p w14:paraId="5CD49ACE">
                <w:pPr>
                  <w:widowControl w:val="0"/>
                  <w:jc w:val="center"/>
                  <w:rPr>
                    <w:rFonts w:hint="eastAsia"/>
                    <w:szCs w:val="21"/>
                  </w:rPr>
                </w:pPr>
                <w:r>
                  <w:rPr>
                    <w:szCs w:val="21"/>
                  </w:rPr>
                  <w:t>年度内股份增减变动量</w:t>
                </w:r>
              </w:p>
            </w:tc>
          </w:sdtContent>
        </w:sdt>
        <w:sdt>
          <w:sdtPr>
            <w:tag w:val="_PLD_32c045d1529e42b7999b1f0c6b6e43a6"/>
            <w:id w:val="213553211"/>
          </w:sdtPr>
          <w:sdtContent>
            <w:tc>
              <w:tcPr>
                <w:tcW w:w="614" w:type="pct"/>
                <w:vAlign w:val="center"/>
              </w:tcPr>
              <w:p w14:paraId="6343BFBA">
                <w:pPr>
                  <w:widowControl w:val="0"/>
                  <w:jc w:val="center"/>
                  <w:rPr>
                    <w:rFonts w:hint="eastAsia"/>
                    <w:szCs w:val="21"/>
                  </w:rPr>
                </w:pPr>
                <w:r>
                  <w:rPr>
                    <w:szCs w:val="21"/>
                  </w:rPr>
                  <w:t>增减变动原因</w:t>
                </w:r>
              </w:p>
            </w:tc>
          </w:sdtContent>
        </w:sdt>
        <w:sdt>
          <w:sdtPr>
            <w:tag w:val="_PLD_47ee572944fa4c8098ef9eeca67d2eb2"/>
            <w:id w:val="-1971507793"/>
          </w:sdtPr>
          <w:sdtContent>
            <w:tc>
              <w:tcPr>
                <w:tcW w:w="333" w:type="pct"/>
                <w:vAlign w:val="center"/>
              </w:tcPr>
              <w:p w14:paraId="391F3C2E">
                <w:pPr>
                  <w:widowControl w:val="0"/>
                  <w:jc w:val="center"/>
                  <w:rPr>
                    <w:rFonts w:hint="eastAsia"/>
                  </w:rPr>
                </w:pPr>
                <w:r>
                  <w:rPr>
                    <w:rFonts w:hint="eastAsia"/>
                  </w:rPr>
                  <w:t>报告期内从公司获得的税前报酬总额（</w:t>
                </w:r>
                <w:sdt>
                  <w:sdtPr>
                    <w:rPr>
                      <w:rFonts w:hint="eastAsia"/>
                    </w:rPr>
                    <w:alias w:val="单位：报告期内从公司获得的税前报酬总额"/>
                    <w:tag w:val="_GBC_84bf98b6209e4e62813239bd0860e78d"/>
                    <w:id w:val="-1933587956"/>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sdtContent>
        </w:sdt>
        <w:sdt>
          <w:sdtPr>
            <w:tag w:val="_PLD_efdfb631398b46bfa3656e39fd8c5fca"/>
            <w:id w:val="-777718244"/>
          </w:sdtPr>
          <w:sdtContent>
            <w:tc>
              <w:tcPr>
                <w:tcW w:w="424" w:type="pct"/>
                <w:vAlign w:val="center"/>
              </w:tcPr>
              <w:p w14:paraId="7E5482FB">
                <w:pPr>
                  <w:widowControl w:val="0"/>
                  <w:jc w:val="center"/>
                  <w:rPr>
                    <w:rFonts w:hint="eastAsia"/>
                  </w:rPr>
                </w:pPr>
                <w:r>
                  <w:rPr>
                    <w:rFonts w:hint="eastAsia"/>
                    <w:szCs w:val="21"/>
                  </w:rPr>
                  <w:t>是否在公司关联方获取报酬</w:t>
                </w:r>
              </w:p>
            </w:tc>
          </w:sdtContent>
        </w:sdt>
      </w:tr>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193966647"/>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22F7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restart"/>
                <w:vAlign w:val="center"/>
              </w:tcPr>
              <w:p w14:paraId="0EEAA7B4">
                <w:pPr>
                  <w:widowControl w:val="0"/>
                  <w:jc w:val="center"/>
                  <w:rPr>
                    <w:rFonts w:hint="eastAsia"/>
                    <w:szCs w:val="21"/>
                  </w:rPr>
                </w:pPr>
                <w:r>
                  <w:rPr>
                    <w:rFonts w:hint="eastAsia"/>
                  </w:rPr>
                  <w:t>夏前军</w:t>
                </w:r>
              </w:p>
            </w:tc>
            <w:sdt>
              <w:sdtPr>
                <w:rPr>
                  <w:szCs w:val="21"/>
                </w:rPr>
                <w:alias w:val="董事、监事、高级管理人员职务"/>
                <w:tag w:val="_GBC_560cf517d58e4c18969f11c03b6316c9"/>
                <w:id w:val="-27256802"/>
                <w:text/>
              </w:sdtPr>
              <w:sdtEndPr>
                <w:rPr>
                  <w:szCs w:val="21"/>
                </w:rPr>
              </w:sdtEndPr>
              <w:sdtContent>
                <w:tc>
                  <w:tcPr>
                    <w:tcW w:w="680" w:type="pct"/>
                    <w:vAlign w:val="center"/>
                  </w:tcPr>
                  <w:p w14:paraId="5B3053BE">
                    <w:pPr>
                      <w:widowControl w:val="0"/>
                      <w:jc w:val="center"/>
                      <w:rPr>
                        <w:rFonts w:hint="eastAsia"/>
                        <w:szCs w:val="21"/>
                      </w:rPr>
                    </w:pPr>
                    <w:r>
                      <w:rPr>
                        <w:szCs w:val="21"/>
                      </w:rPr>
                      <w:t>董事</w:t>
                    </w:r>
                  </w:p>
                </w:tc>
              </w:sdtContent>
            </w:sdt>
            <w:tc>
              <w:tcPr>
                <w:tcW w:w="202" w:type="pct"/>
                <w:vMerge w:val="restart"/>
                <w:vAlign w:val="center"/>
              </w:tcPr>
              <w:p w14:paraId="6809986E">
                <w:pPr>
                  <w:widowControl w:val="0"/>
                  <w:jc w:val="both"/>
                  <w:rPr>
                    <w:rFonts w:hint="eastAsia"/>
                    <w:szCs w:val="21"/>
                  </w:rPr>
                </w:pPr>
                <w:r>
                  <w:rPr>
                    <w:rFonts w:hint="eastAsia"/>
                  </w:rPr>
                  <w:t>男</w:t>
                </w:r>
              </w:p>
            </w:tc>
            <w:tc>
              <w:tcPr>
                <w:tcW w:w="203" w:type="pct"/>
                <w:vMerge w:val="restart"/>
                <w:vAlign w:val="center"/>
              </w:tcPr>
              <w:p w14:paraId="5329B031">
                <w:pPr>
                  <w:widowControl w:val="0"/>
                  <w:jc w:val="both"/>
                  <w:rPr>
                    <w:rFonts w:hint="eastAsia"/>
                    <w:szCs w:val="21"/>
                  </w:rPr>
                </w:pPr>
                <w:r>
                  <w:rPr>
                    <w:rFonts w:hint="eastAsia"/>
                  </w:rPr>
                  <w:t>56</w:t>
                </w:r>
              </w:p>
            </w:tc>
            <w:tc>
              <w:tcPr>
                <w:tcW w:w="542" w:type="pct"/>
                <w:vAlign w:val="center"/>
              </w:tcPr>
              <w:p w14:paraId="015927CA">
                <w:pPr>
                  <w:widowControl w:val="0"/>
                  <w:jc w:val="center"/>
                  <w:rPr>
                    <w:rFonts w:hint="eastAsia"/>
                    <w:szCs w:val="21"/>
                  </w:rPr>
                </w:pPr>
                <w:r>
                  <w:rPr>
                    <w:rFonts w:hint="eastAsia"/>
                  </w:rPr>
                  <w:t>2022-06-28</w:t>
                </w:r>
              </w:p>
            </w:tc>
            <w:tc>
              <w:tcPr>
                <w:tcW w:w="507" w:type="pct"/>
                <w:vAlign w:val="center"/>
              </w:tcPr>
              <w:p w14:paraId="545817A5">
                <w:pPr>
                  <w:widowControl w:val="0"/>
                  <w:jc w:val="center"/>
                  <w:rPr>
                    <w:rFonts w:hint="eastAsia"/>
                    <w:szCs w:val="21"/>
                  </w:rPr>
                </w:pPr>
                <w:r>
                  <w:rPr>
                    <w:rFonts w:hint="eastAsia"/>
                  </w:rPr>
                  <w:t>2027-06-14</w:t>
                </w:r>
              </w:p>
            </w:tc>
            <w:tc>
              <w:tcPr>
                <w:tcW w:w="305" w:type="pct"/>
                <w:vMerge w:val="restart"/>
                <w:vAlign w:val="center"/>
              </w:tcPr>
              <w:p w14:paraId="528FF5AD">
                <w:pPr>
                  <w:widowControl w:val="0"/>
                  <w:jc w:val="right"/>
                  <w:rPr>
                    <w:rFonts w:ascii="Arial Narrow" w:hAnsi="Arial Narrow"/>
                    <w:szCs w:val="21"/>
                  </w:rPr>
                </w:pPr>
                <w:r>
                  <w:rPr>
                    <w:rFonts w:ascii="Arial Narrow" w:hAnsi="Arial Narrow"/>
                  </w:rPr>
                  <w:t>0</w:t>
                </w:r>
              </w:p>
            </w:tc>
            <w:tc>
              <w:tcPr>
                <w:tcW w:w="414" w:type="pct"/>
                <w:vMerge w:val="restart"/>
                <w:vAlign w:val="center"/>
              </w:tcPr>
              <w:p w14:paraId="77D0BFE4">
                <w:pPr>
                  <w:widowControl w:val="0"/>
                  <w:jc w:val="right"/>
                  <w:rPr>
                    <w:rFonts w:ascii="Arial Narrow" w:hAnsi="Arial Narrow"/>
                    <w:szCs w:val="21"/>
                  </w:rPr>
                </w:pPr>
                <w:r>
                  <w:rPr>
                    <w:rFonts w:ascii="Arial Narrow" w:hAnsi="Arial Narrow"/>
                  </w:rPr>
                  <w:t>50,000</w:t>
                </w:r>
              </w:p>
            </w:tc>
            <w:tc>
              <w:tcPr>
                <w:tcW w:w="384" w:type="pct"/>
                <w:vMerge w:val="restart"/>
                <w:vAlign w:val="center"/>
              </w:tcPr>
              <w:p w14:paraId="1E5E8A10">
                <w:pPr>
                  <w:widowControl w:val="0"/>
                  <w:jc w:val="right"/>
                  <w:rPr>
                    <w:rFonts w:ascii="Arial Narrow" w:hAnsi="Arial Narrow"/>
                    <w:szCs w:val="21"/>
                  </w:rPr>
                </w:pPr>
                <w:r>
                  <w:rPr>
                    <w:rFonts w:ascii="Arial Narrow" w:hAnsi="Arial Narrow"/>
                  </w:rPr>
                  <w:t>50,000</w:t>
                </w:r>
              </w:p>
            </w:tc>
            <w:tc>
              <w:tcPr>
                <w:tcW w:w="614" w:type="pct"/>
                <w:vMerge w:val="restart"/>
                <w:vAlign w:val="center"/>
              </w:tcPr>
              <w:p w14:paraId="2BE34195">
                <w:pPr>
                  <w:widowControl w:val="0"/>
                  <w:jc w:val="center"/>
                  <w:rPr>
                    <w:rFonts w:hint="eastAsia"/>
                    <w:szCs w:val="21"/>
                  </w:rPr>
                </w:pPr>
                <w:r>
                  <w:rPr>
                    <w:rFonts w:hint="eastAsia"/>
                  </w:rPr>
                  <w:t>股份增持计划</w:t>
                </w:r>
              </w:p>
            </w:tc>
            <w:tc>
              <w:tcPr>
                <w:tcW w:w="333" w:type="pct"/>
                <w:vMerge w:val="restart"/>
                <w:vAlign w:val="center"/>
              </w:tcPr>
              <w:p w14:paraId="4857CCB1">
                <w:pPr>
                  <w:widowControl w:val="0"/>
                  <w:jc w:val="right"/>
                  <w:rPr>
                    <w:rFonts w:ascii="Arial Narrow" w:hAnsi="Arial Narrow"/>
                    <w:szCs w:val="21"/>
                  </w:rPr>
                </w:pPr>
                <w:r>
                  <w:rPr>
                    <w:rStyle w:val="138"/>
                    <w:rFonts w:ascii="Arial Narrow" w:hAnsi="Arial Narrow"/>
                  </w:rPr>
                  <w:t>86.94</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2041422598"/>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Merge w:val="restart"/>
                    <w:vAlign w:val="center"/>
                  </w:tcPr>
                  <w:p w14:paraId="6B547ACA">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hint="eastAsia"/>
            <w:szCs w:val="21"/>
          </w:rPr>
          <w:alias w:val="董事、监事、高级管理人员基本情况"/>
          <w:tag w:val="_TUP_7890760e7fef44f4bcc994fe788f22ef"/>
          <w:id w:val="-662245956"/>
          <w:placeholder>
            <w:docPart w:val="1936DB4E3FF344D09964060C78AF357C"/>
          </w:placeholder>
        </w:sdtPr>
        <w:sdtEndPr>
          <w:rPr>
            <w:rFonts w:hint="default" w:asciiTheme="minorHAnsi" w:hAnsiTheme="minorHAnsi" w:eastAsiaTheme="minorEastAsia" w:cstheme="minorBidi"/>
            <w:kern w:val="2"/>
            <w:szCs w:val="21"/>
            <w14:ligatures w14:val="standardContextual"/>
          </w:rPr>
        </w:sdtEndPr>
        <w:sdtContent>
          <w:tr w14:paraId="3E87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continue"/>
                <w:vAlign w:val="center"/>
              </w:tcPr>
              <w:p w14:paraId="0CB9271C">
                <w:pPr>
                  <w:widowControl w:val="0"/>
                  <w:jc w:val="center"/>
                  <w:rPr>
                    <w:rFonts w:hint="eastAsia"/>
                    <w:szCs w:val="21"/>
                  </w:rPr>
                </w:pPr>
              </w:p>
            </w:tc>
            <w:sdt>
              <w:sdtPr>
                <w:rPr>
                  <w:rFonts w:hint="eastAsia"/>
                  <w:szCs w:val="21"/>
                </w:rPr>
                <w:alias w:val="董事、监事、高级管理人员职务"/>
                <w:tag w:val="_GBC_560cf517d58e4c18969f11c03b6316c9"/>
                <w:id w:val="-1348091139"/>
                <w:text/>
              </w:sdtPr>
              <w:sdtEndPr>
                <w:rPr>
                  <w:rFonts w:hint="default"/>
                  <w:szCs w:val="21"/>
                </w:rPr>
              </w:sdtEndPr>
              <w:sdtContent>
                <w:tc>
                  <w:tcPr>
                    <w:tcW w:w="680" w:type="pct"/>
                    <w:vAlign w:val="center"/>
                  </w:tcPr>
                  <w:p w14:paraId="361E24A8">
                    <w:pPr>
                      <w:widowControl w:val="0"/>
                      <w:jc w:val="center"/>
                      <w:rPr>
                        <w:rFonts w:hint="eastAsia"/>
                        <w:szCs w:val="21"/>
                      </w:rPr>
                    </w:pPr>
                    <w:r>
                      <w:rPr>
                        <w:szCs w:val="21"/>
                      </w:rPr>
                      <w:t>董事长</w:t>
                    </w:r>
                  </w:p>
                </w:tc>
              </w:sdtContent>
            </w:sdt>
            <w:tc>
              <w:tcPr>
                <w:tcW w:w="202" w:type="pct"/>
                <w:vMerge w:val="continue"/>
                <w:vAlign w:val="center"/>
              </w:tcPr>
              <w:p w14:paraId="3D70FF72">
                <w:pPr>
                  <w:widowControl w:val="0"/>
                  <w:jc w:val="both"/>
                  <w:rPr>
                    <w:rFonts w:hint="eastAsia"/>
                    <w:szCs w:val="21"/>
                  </w:rPr>
                </w:pPr>
              </w:p>
            </w:tc>
            <w:tc>
              <w:tcPr>
                <w:tcW w:w="203" w:type="pct"/>
                <w:vMerge w:val="continue"/>
                <w:vAlign w:val="center"/>
              </w:tcPr>
              <w:p w14:paraId="33049E05">
                <w:pPr>
                  <w:widowControl w:val="0"/>
                  <w:jc w:val="both"/>
                  <w:rPr>
                    <w:rFonts w:hint="eastAsia"/>
                    <w:szCs w:val="21"/>
                  </w:rPr>
                </w:pPr>
              </w:p>
            </w:tc>
            <w:tc>
              <w:tcPr>
                <w:tcW w:w="542" w:type="pct"/>
                <w:vAlign w:val="center"/>
              </w:tcPr>
              <w:p w14:paraId="532EE4FB">
                <w:pPr>
                  <w:widowControl w:val="0"/>
                  <w:jc w:val="center"/>
                  <w:rPr>
                    <w:rFonts w:hint="eastAsia"/>
                    <w:szCs w:val="21"/>
                  </w:rPr>
                </w:pPr>
                <w:r>
                  <w:rPr>
                    <w:rFonts w:hint="eastAsia"/>
                  </w:rPr>
                  <w:t>2023-03-30</w:t>
                </w:r>
              </w:p>
            </w:tc>
            <w:tc>
              <w:tcPr>
                <w:tcW w:w="507" w:type="pct"/>
                <w:vAlign w:val="center"/>
              </w:tcPr>
              <w:p w14:paraId="49134FBE">
                <w:pPr>
                  <w:widowControl w:val="0"/>
                  <w:jc w:val="center"/>
                  <w:rPr>
                    <w:rFonts w:hint="eastAsia"/>
                    <w:szCs w:val="21"/>
                  </w:rPr>
                </w:pPr>
                <w:r>
                  <w:rPr>
                    <w:rFonts w:hint="eastAsia"/>
                  </w:rPr>
                  <w:t>2027-06-14</w:t>
                </w:r>
              </w:p>
            </w:tc>
            <w:tc>
              <w:tcPr>
                <w:tcW w:w="305" w:type="pct"/>
                <w:vMerge w:val="continue"/>
                <w:vAlign w:val="center"/>
              </w:tcPr>
              <w:p w14:paraId="04E70EB5">
                <w:pPr>
                  <w:widowControl w:val="0"/>
                  <w:jc w:val="right"/>
                  <w:rPr>
                    <w:rFonts w:ascii="Arial Narrow" w:hAnsi="Arial Narrow"/>
                    <w:szCs w:val="21"/>
                  </w:rPr>
                </w:pPr>
              </w:p>
            </w:tc>
            <w:tc>
              <w:tcPr>
                <w:tcW w:w="414" w:type="pct"/>
                <w:vMerge w:val="continue"/>
                <w:vAlign w:val="center"/>
              </w:tcPr>
              <w:p w14:paraId="2F2BF1B3">
                <w:pPr>
                  <w:widowControl w:val="0"/>
                  <w:jc w:val="right"/>
                  <w:rPr>
                    <w:rFonts w:ascii="Arial Narrow" w:hAnsi="Arial Narrow"/>
                    <w:szCs w:val="21"/>
                  </w:rPr>
                </w:pPr>
              </w:p>
            </w:tc>
            <w:tc>
              <w:tcPr>
                <w:tcW w:w="384" w:type="pct"/>
                <w:vMerge w:val="continue"/>
                <w:vAlign w:val="center"/>
              </w:tcPr>
              <w:p w14:paraId="43E41F7E">
                <w:pPr>
                  <w:widowControl w:val="0"/>
                  <w:jc w:val="right"/>
                  <w:rPr>
                    <w:rFonts w:ascii="Arial Narrow" w:hAnsi="Arial Narrow"/>
                    <w:szCs w:val="21"/>
                  </w:rPr>
                </w:pPr>
              </w:p>
            </w:tc>
            <w:tc>
              <w:tcPr>
                <w:tcW w:w="614" w:type="pct"/>
                <w:vMerge w:val="continue"/>
                <w:vAlign w:val="center"/>
              </w:tcPr>
              <w:p w14:paraId="2198F8D8">
                <w:pPr>
                  <w:widowControl w:val="0"/>
                  <w:jc w:val="center"/>
                  <w:rPr>
                    <w:rFonts w:hint="eastAsia"/>
                    <w:szCs w:val="21"/>
                  </w:rPr>
                </w:pPr>
              </w:p>
            </w:tc>
            <w:tc>
              <w:tcPr>
                <w:tcW w:w="333" w:type="pct"/>
                <w:vMerge w:val="continue"/>
                <w:vAlign w:val="center"/>
              </w:tcPr>
              <w:p w14:paraId="048F48AB">
                <w:pPr>
                  <w:widowControl w:val="0"/>
                  <w:jc w:val="right"/>
                  <w:rPr>
                    <w:rFonts w:ascii="Arial Narrow" w:hAnsi="Arial Narrow"/>
                    <w:szCs w:val="21"/>
                  </w:rPr>
                </w:pPr>
              </w:p>
            </w:tc>
            <w:tc>
              <w:tcPr>
                <w:tcW w:w="424" w:type="pct"/>
                <w:vMerge w:val="continue"/>
                <w:vAlign w:val="center"/>
              </w:tcPr>
              <w:p w14:paraId="07E38591">
                <w:pPr>
                  <w:widowControl w:val="0"/>
                  <w:jc w:val="center"/>
                  <w:rPr>
                    <w:rFonts w:asciiTheme="minorHAnsi" w:hAnsiTheme="minorHAnsi" w:eastAsiaTheme="minorEastAsia" w:cstheme="minorBidi"/>
                    <w:kern w:val="2"/>
                    <w:szCs w:val="21"/>
                    <w14:ligatures w14:val="standardContextual"/>
                  </w:rPr>
                </w:pPr>
              </w:p>
            </w:tc>
          </w:tr>
        </w:sdtContent>
      </w:sdt>
      <w:sdt>
        <w:sdtPr>
          <w:rPr>
            <w:rFonts w:hint="eastAsia"/>
            <w:szCs w:val="21"/>
          </w:rPr>
          <w:alias w:val="董事、监事、高级管理人员基本情况"/>
          <w:tag w:val="_TUP_7890760e7fef44f4bcc994fe788f22ef"/>
          <w:id w:val="1425686409"/>
          <w:placeholder>
            <w:docPart w:val="1936DB4E3FF344D09964060C78AF357C"/>
          </w:placeholder>
        </w:sdtPr>
        <w:sdtEndPr>
          <w:rPr>
            <w:rFonts w:hint="default" w:asciiTheme="minorHAnsi" w:hAnsiTheme="minorHAnsi" w:eastAsiaTheme="minorEastAsia" w:cstheme="minorBidi"/>
            <w:kern w:val="2"/>
            <w:szCs w:val="21"/>
            <w14:ligatures w14:val="standardContextual"/>
          </w:rPr>
        </w:sdtEndPr>
        <w:sdtContent>
          <w:tr w14:paraId="0F84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continue"/>
                <w:vAlign w:val="center"/>
              </w:tcPr>
              <w:p w14:paraId="786C9075">
                <w:pPr>
                  <w:widowControl w:val="0"/>
                  <w:jc w:val="center"/>
                  <w:rPr>
                    <w:rFonts w:hint="eastAsia"/>
                    <w:szCs w:val="21"/>
                  </w:rPr>
                </w:pPr>
              </w:p>
            </w:tc>
            <w:sdt>
              <w:sdtPr>
                <w:rPr>
                  <w:rFonts w:hint="eastAsia"/>
                  <w:szCs w:val="21"/>
                </w:rPr>
                <w:alias w:val="董事、监事、高级管理人员职务"/>
                <w:tag w:val="_GBC_560cf517d58e4c18969f11c03b6316c9"/>
                <w:id w:val="-1137026538"/>
                <w:text/>
              </w:sdtPr>
              <w:sdtEndPr>
                <w:rPr>
                  <w:rFonts w:hint="default"/>
                  <w:szCs w:val="21"/>
                </w:rPr>
              </w:sdtEndPr>
              <w:sdtContent>
                <w:tc>
                  <w:tcPr>
                    <w:tcW w:w="680" w:type="pct"/>
                    <w:vAlign w:val="center"/>
                  </w:tcPr>
                  <w:p w14:paraId="77EED88E">
                    <w:pPr>
                      <w:widowControl w:val="0"/>
                      <w:jc w:val="center"/>
                      <w:rPr>
                        <w:rFonts w:hint="eastAsia"/>
                        <w:szCs w:val="21"/>
                      </w:rPr>
                    </w:pPr>
                    <w:r>
                      <w:rPr>
                        <w:szCs w:val="21"/>
                      </w:rPr>
                      <w:t>总经理</w:t>
                    </w:r>
                  </w:p>
                </w:tc>
              </w:sdtContent>
            </w:sdt>
            <w:tc>
              <w:tcPr>
                <w:tcW w:w="202" w:type="pct"/>
                <w:vMerge w:val="continue"/>
                <w:vAlign w:val="center"/>
              </w:tcPr>
              <w:p w14:paraId="20F6A9C3">
                <w:pPr>
                  <w:widowControl w:val="0"/>
                  <w:jc w:val="both"/>
                  <w:rPr>
                    <w:rFonts w:hint="eastAsia"/>
                    <w:szCs w:val="21"/>
                  </w:rPr>
                </w:pPr>
              </w:p>
            </w:tc>
            <w:tc>
              <w:tcPr>
                <w:tcW w:w="203" w:type="pct"/>
                <w:vMerge w:val="continue"/>
                <w:vAlign w:val="center"/>
              </w:tcPr>
              <w:p w14:paraId="31DB6027">
                <w:pPr>
                  <w:widowControl w:val="0"/>
                  <w:jc w:val="both"/>
                  <w:rPr>
                    <w:rFonts w:hint="eastAsia"/>
                    <w:szCs w:val="21"/>
                  </w:rPr>
                </w:pPr>
              </w:p>
            </w:tc>
            <w:tc>
              <w:tcPr>
                <w:tcW w:w="542" w:type="pct"/>
                <w:vAlign w:val="center"/>
              </w:tcPr>
              <w:p w14:paraId="4804887E">
                <w:pPr>
                  <w:widowControl w:val="0"/>
                  <w:jc w:val="center"/>
                  <w:rPr>
                    <w:rFonts w:hint="eastAsia"/>
                    <w:szCs w:val="21"/>
                  </w:rPr>
                </w:pPr>
                <w:r>
                  <w:rPr>
                    <w:rFonts w:hint="eastAsia"/>
                  </w:rPr>
                  <w:t>2021-10-30</w:t>
                </w:r>
              </w:p>
            </w:tc>
            <w:tc>
              <w:tcPr>
                <w:tcW w:w="507" w:type="pct"/>
                <w:vAlign w:val="center"/>
              </w:tcPr>
              <w:p w14:paraId="70F518D2">
                <w:pPr>
                  <w:widowControl w:val="0"/>
                  <w:jc w:val="center"/>
                  <w:rPr>
                    <w:rFonts w:hint="eastAsia"/>
                    <w:szCs w:val="21"/>
                  </w:rPr>
                </w:pPr>
                <w:r>
                  <w:rPr>
                    <w:rFonts w:hint="eastAsia"/>
                  </w:rPr>
                  <w:t>2024-07-22</w:t>
                </w:r>
              </w:p>
            </w:tc>
            <w:tc>
              <w:tcPr>
                <w:tcW w:w="305" w:type="pct"/>
                <w:vMerge w:val="continue"/>
                <w:vAlign w:val="center"/>
              </w:tcPr>
              <w:p w14:paraId="05C62255">
                <w:pPr>
                  <w:widowControl w:val="0"/>
                  <w:jc w:val="right"/>
                  <w:rPr>
                    <w:rFonts w:ascii="Arial Narrow" w:hAnsi="Arial Narrow"/>
                    <w:szCs w:val="21"/>
                  </w:rPr>
                </w:pPr>
              </w:p>
            </w:tc>
            <w:tc>
              <w:tcPr>
                <w:tcW w:w="414" w:type="pct"/>
                <w:vMerge w:val="continue"/>
                <w:vAlign w:val="center"/>
              </w:tcPr>
              <w:p w14:paraId="1D1FDC0A">
                <w:pPr>
                  <w:widowControl w:val="0"/>
                  <w:jc w:val="right"/>
                  <w:rPr>
                    <w:rFonts w:ascii="Arial Narrow" w:hAnsi="Arial Narrow"/>
                    <w:szCs w:val="21"/>
                  </w:rPr>
                </w:pPr>
              </w:p>
            </w:tc>
            <w:tc>
              <w:tcPr>
                <w:tcW w:w="384" w:type="pct"/>
                <w:vMerge w:val="continue"/>
                <w:vAlign w:val="center"/>
              </w:tcPr>
              <w:p w14:paraId="6A493835">
                <w:pPr>
                  <w:widowControl w:val="0"/>
                  <w:jc w:val="right"/>
                  <w:rPr>
                    <w:rFonts w:ascii="Arial Narrow" w:hAnsi="Arial Narrow"/>
                    <w:szCs w:val="21"/>
                  </w:rPr>
                </w:pPr>
              </w:p>
            </w:tc>
            <w:tc>
              <w:tcPr>
                <w:tcW w:w="614" w:type="pct"/>
                <w:vMerge w:val="continue"/>
                <w:vAlign w:val="center"/>
              </w:tcPr>
              <w:p w14:paraId="15FE3B86">
                <w:pPr>
                  <w:widowControl w:val="0"/>
                  <w:jc w:val="center"/>
                  <w:rPr>
                    <w:rFonts w:hint="eastAsia"/>
                    <w:szCs w:val="21"/>
                  </w:rPr>
                </w:pPr>
              </w:p>
            </w:tc>
            <w:tc>
              <w:tcPr>
                <w:tcW w:w="333" w:type="pct"/>
                <w:vMerge w:val="continue"/>
                <w:vAlign w:val="center"/>
              </w:tcPr>
              <w:p w14:paraId="553E373B">
                <w:pPr>
                  <w:widowControl w:val="0"/>
                  <w:jc w:val="right"/>
                  <w:rPr>
                    <w:rFonts w:ascii="Arial Narrow" w:hAnsi="Arial Narrow"/>
                    <w:szCs w:val="21"/>
                  </w:rPr>
                </w:pPr>
              </w:p>
            </w:tc>
            <w:tc>
              <w:tcPr>
                <w:tcW w:w="424" w:type="pct"/>
                <w:vMerge w:val="continue"/>
                <w:vAlign w:val="center"/>
              </w:tcPr>
              <w:p w14:paraId="4ED9AB13">
                <w:pPr>
                  <w:widowControl w:val="0"/>
                  <w:jc w:val="center"/>
                  <w:rPr>
                    <w:rFonts w:asciiTheme="minorHAnsi" w:hAnsiTheme="minorHAnsi" w:eastAsiaTheme="minorEastAsia" w:cstheme="minorBidi"/>
                    <w:kern w:val="2"/>
                    <w:szCs w:val="21"/>
                    <w14:ligatures w14:val="standardContextual"/>
                  </w:rPr>
                </w:pPr>
              </w:p>
            </w:tc>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2074426539"/>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3B3A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restart"/>
                <w:vAlign w:val="center"/>
              </w:tcPr>
              <w:p w14:paraId="74BFDF95">
                <w:pPr>
                  <w:widowControl w:val="0"/>
                  <w:jc w:val="center"/>
                  <w:rPr>
                    <w:rFonts w:hint="eastAsia"/>
                    <w:szCs w:val="21"/>
                  </w:rPr>
                </w:pPr>
                <w:r>
                  <w:rPr>
                    <w:rFonts w:hint="eastAsia"/>
                  </w:rPr>
                  <w:t>王学柱</w:t>
                </w:r>
              </w:p>
            </w:tc>
            <w:sdt>
              <w:sdtPr>
                <w:rPr>
                  <w:szCs w:val="21"/>
                </w:rPr>
                <w:alias w:val="董事、监事、高级管理人员职务"/>
                <w:tag w:val="_GBC_560cf517d58e4c18969f11c03b6316c9"/>
                <w:id w:val="-1345239704"/>
                <w:text/>
              </w:sdtPr>
              <w:sdtEndPr>
                <w:rPr>
                  <w:szCs w:val="21"/>
                </w:rPr>
              </w:sdtEndPr>
              <w:sdtContent>
                <w:tc>
                  <w:tcPr>
                    <w:tcW w:w="680" w:type="pct"/>
                    <w:vAlign w:val="center"/>
                  </w:tcPr>
                  <w:p w14:paraId="7FF145B8">
                    <w:pPr>
                      <w:widowControl w:val="0"/>
                      <w:jc w:val="center"/>
                      <w:rPr>
                        <w:rFonts w:hint="eastAsia"/>
                        <w:szCs w:val="21"/>
                      </w:rPr>
                    </w:pPr>
                    <w:r>
                      <w:rPr>
                        <w:szCs w:val="21"/>
                      </w:rPr>
                      <w:t>董事</w:t>
                    </w:r>
                  </w:p>
                </w:tc>
              </w:sdtContent>
            </w:sdt>
            <w:tc>
              <w:tcPr>
                <w:tcW w:w="202" w:type="pct"/>
                <w:vMerge w:val="restart"/>
                <w:vAlign w:val="center"/>
              </w:tcPr>
              <w:p w14:paraId="660CA7F1">
                <w:pPr>
                  <w:widowControl w:val="0"/>
                  <w:jc w:val="both"/>
                  <w:rPr>
                    <w:rFonts w:hint="eastAsia"/>
                    <w:szCs w:val="21"/>
                  </w:rPr>
                </w:pPr>
                <w:r>
                  <w:rPr>
                    <w:rFonts w:hint="eastAsia"/>
                  </w:rPr>
                  <w:t>男</w:t>
                </w:r>
              </w:p>
            </w:tc>
            <w:tc>
              <w:tcPr>
                <w:tcW w:w="203" w:type="pct"/>
                <w:vMerge w:val="restart"/>
                <w:vAlign w:val="center"/>
              </w:tcPr>
              <w:p w14:paraId="0E93AB62">
                <w:pPr>
                  <w:widowControl w:val="0"/>
                  <w:jc w:val="both"/>
                  <w:rPr>
                    <w:rFonts w:hint="eastAsia"/>
                    <w:szCs w:val="21"/>
                  </w:rPr>
                </w:pPr>
                <w:r>
                  <w:rPr>
                    <w:rFonts w:hint="eastAsia"/>
                  </w:rPr>
                  <w:t>53</w:t>
                </w:r>
              </w:p>
            </w:tc>
            <w:tc>
              <w:tcPr>
                <w:tcW w:w="542" w:type="pct"/>
                <w:vAlign w:val="center"/>
              </w:tcPr>
              <w:p w14:paraId="5222987B">
                <w:pPr>
                  <w:widowControl w:val="0"/>
                  <w:jc w:val="center"/>
                  <w:rPr>
                    <w:rFonts w:hint="eastAsia"/>
                    <w:szCs w:val="21"/>
                  </w:rPr>
                </w:pPr>
                <w:r>
                  <w:rPr>
                    <w:rFonts w:hint="eastAsia"/>
                  </w:rPr>
                  <w:t>2024-12-23</w:t>
                </w:r>
              </w:p>
            </w:tc>
            <w:tc>
              <w:tcPr>
                <w:tcW w:w="507" w:type="pct"/>
                <w:vAlign w:val="center"/>
              </w:tcPr>
              <w:p w14:paraId="14408446">
                <w:pPr>
                  <w:widowControl w:val="0"/>
                  <w:jc w:val="center"/>
                  <w:rPr>
                    <w:rFonts w:hint="eastAsia"/>
                    <w:szCs w:val="21"/>
                  </w:rPr>
                </w:pPr>
                <w:r>
                  <w:rPr>
                    <w:rFonts w:hint="eastAsia"/>
                  </w:rPr>
                  <w:t>2027-06-14</w:t>
                </w:r>
              </w:p>
            </w:tc>
            <w:tc>
              <w:tcPr>
                <w:tcW w:w="305" w:type="pct"/>
                <w:vMerge w:val="restart"/>
                <w:vAlign w:val="center"/>
              </w:tcPr>
              <w:p w14:paraId="0A1F1FE4">
                <w:pPr>
                  <w:widowControl w:val="0"/>
                  <w:jc w:val="right"/>
                  <w:rPr>
                    <w:rFonts w:ascii="Arial Narrow" w:hAnsi="Arial Narrow"/>
                    <w:szCs w:val="21"/>
                  </w:rPr>
                </w:pPr>
                <w:r>
                  <w:rPr>
                    <w:rFonts w:ascii="Arial Narrow" w:hAnsi="Arial Narrow"/>
                  </w:rPr>
                  <w:t>0</w:t>
                </w:r>
              </w:p>
            </w:tc>
            <w:tc>
              <w:tcPr>
                <w:tcW w:w="414" w:type="pct"/>
                <w:vMerge w:val="restart"/>
                <w:vAlign w:val="center"/>
              </w:tcPr>
              <w:p w14:paraId="6717129E">
                <w:pPr>
                  <w:widowControl w:val="0"/>
                  <w:jc w:val="right"/>
                  <w:rPr>
                    <w:rFonts w:ascii="Arial Narrow" w:hAnsi="Arial Narrow"/>
                    <w:szCs w:val="21"/>
                  </w:rPr>
                </w:pPr>
                <w:r>
                  <w:rPr>
                    <w:rFonts w:ascii="Arial Narrow" w:hAnsi="Arial Narrow"/>
                  </w:rPr>
                  <w:t>0</w:t>
                </w:r>
              </w:p>
            </w:tc>
            <w:tc>
              <w:tcPr>
                <w:tcW w:w="384" w:type="pct"/>
                <w:vMerge w:val="restart"/>
                <w:vAlign w:val="center"/>
              </w:tcPr>
              <w:p w14:paraId="7B32185A">
                <w:pPr>
                  <w:widowControl w:val="0"/>
                  <w:jc w:val="right"/>
                  <w:rPr>
                    <w:rFonts w:ascii="Arial Narrow" w:hAnsi="Arial Narrow"/>
                    <w:szCs w:val="21"/>
                  </w:rPr>
                </w:pPr>
                <w:r>
                  <w:rPr>
                    <w:rFonts w:ascii="Arial Narrow" w:hAnsi="Arial Narrow"/>
                  </w:rPr>
                  <w:t>0</w:t>
                </w:r>
              </w:p>
            </w:tc>
            <w:tc>
              <w:tcPr>
                <w:tcW w:w="614" w:type="pct"/>
                <w:vMerge w:val="restart"/>
                <w:vAlign w:val="center"/>
              </w:tcPr>
              <w:p w14:paraId="4BDD368C">
                <w:pPr>
                  <w:widowControl w:val="0"/>
                  <w:jc w:val="center"/>
                  <w:rPr>
                    <w:rFonts w:hint="eastAsia"/>
                    <w:szCs w:val="21"/>
                  </w:rPr>
                </w:pPr>
                <w:r>
                  <w:rPr>
                    <w:rFonts w:hint="eastAsia"/>
                  </w:rPr>
                  <w:t>/</w:t>
                </w:r>
              </w:p>
            </w:tc>
            <w:tc>
              <w:tcPr>
                <w:tcW w:w="333" w:type="pct"/>
                <w:vMerge w:val="restart"/>
                <w:vAlign w:val="center"/>
              </w:tcPr>
              <w:p w14:paraId="00826A76">
                <w:pPr>
                  <w:widowControl w:val="0"/>
                  <w:jc w:val="right"/>
                  <w:rPr>
                    <w:rFonts w:ascii="Arial Narrow" w:hAnsi="Arial Narrow"/>
                    <w:szCs w:val="21"/>
                  </w:rPr>
                </w:pPr>
                <w:r>
                  <w:rPr>
                    <w:rStyle w:val="138"/>
                    <w:rFonts w:ascii="Arial Narrow" w:hAnsi="Arial Narrow"/>
                  </w:rPr>
                  <w:t>18.43</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324675119"/>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Merge w:val="restart"/>
                    <w:vAlign w:val="center"/>
                  </w:tcPr>
                  <w:p w14:paraId="263ADCED">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hint="eastAsia"/>
            <w:szCs w:val="21"/>
          </w:rPr>
          <w:alias w:val="董事、监事、高级管理人员基本情况"/>
          <w:tag w:val="_TUP_7890760e7fef44f4bcc994fe788f22ef"/>
          <w:id w:val="183720445"/>
          <w:placeholder>
            <w:docPart w:val="1936DB4E3FF344D09964060C78AF357C"/>
          </w:placeholder>
        </w:sdtPr>
        <w:sdtEndPr>
          <w:rPr>
            <w:rFonts w:hint="default" w:asciiTheme="minorHAnsi" w:hAnsiTheme="minorHAnsi" w:eastAsiaTheme="minorEastAsia" w:cstheme="minorBidi"/>
            <w:kern w:val="2"/>
            <w:szCs w:val="21"/>
            <w14:ligatures w14:val="standardContextual"/>
          </w:rPr>
        </w:sdtEndPr>
        <w:sdtContent>
          <w:tr w14:paraId="3BFF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continue"/>
                <w:vAlign w:val="center"/>
              </w:tcPr>
              <w:p w14:paraId="4513E64B">
                <w:pPr>
                  <w:widowControl w:val="0"/>
                  <w:jc w:val="center"/>
                  <w:rPr>
                    <w:rFonts w:hint="eastAsia"/>
                    <w:szCs w:val="21"/>
                  </w:rPr>
                </w:pPr>
              </w:p>
            </w:tc>
            <w:sdt>
              <w:sdtPr>
                <w:rPr>
                  <w:rFonts w:hint="eastAsia"/>
                  <w:szCs w:val="21"/>
                </w:rPr>
                <w:alias w:val="董事、监事、高级管理人员职务"/>
                <w:tag w:val="_GBC_560cf517d58e4c18969f11c03b6316c9"/>
                <w:id w:val="-360891613"/>
                <w:text/>
              </w:sdtPr>
              <w:sdtEndPr>
                <w:rPr>
                  <w:rFonts w:hint="default"/>
                  <w:szCs w:val="21"/>
                </w:rPr>
              </w:sdtEndPr>
              <w:sdtContent>
                <w:tc>
                  <w:tcPr>
                    <w:tcW w:w="680" w:type="pct"/>
                    <w:vAlign w:val="center"/>
                  </w:tcPr>
                  <w:p w14:paraId="2776A95C">
                    <w:pPr>
                      <w:widowControl w:val="0"/>
                      <w:jc w:val="center"/>
                      <w:rPr>
                        <w:rFonts w:hint="eastAsia"/>
                        <w:szCs w:val="21"/>
                      </w:rPr>
                    </w:pPr>
                    <w:r>
                      <w:rPr>
                        <w:szCs w:val="21"/>
                      </w:rPr>
                      <w:t>总经理</w:t>
                    </w:r>
                  </w:p>
                </w:tc>
              </w:sdtContent>
            </w:sdt>
            <w:tc>
              <w:tcPr>
                <w:tcW w:w="202" w:type="pct"/>
                <w:vMerge w:val="continue"/>
                <w:vAlign w:val="center"/>
              </w:tcPr>
              <w:p w14:paraId="0E4BE74C">
                <w:pPr>
                  <w:widowControl w:val="0"/>
                  <w:jc w:val="both"/>
                  <w:rPr>
                    <w:rFonts w:hint="eastAsia"/>
                    <w:szCs w:val="21"/>
                  </w:rPr>
                </w:pPr>
              </w:p>
            </w:tc>
            <w:tc>
              <w:tcPr>
                <w:tcW w:w="203" w:type="pct"/>
                <w:vMerge w:val="continue"/>
                <w:vAlign w:val="center"/>
              </w:tcPr>
              <w:p w14:paraId="10F4FCEB">
                <w:pPr>
                  <w:widowControl w:val="0"/>
                  <w:jc w:val="both"/>
                  <w:rPr>
                    <w:rFonts w:hint="eastAsia"/>
                    <w:szCs w:val="21"/>
                  </w:rPr>
                </w:pPr>
              </w:p>
            </w:tc>
            <w:tc>
              <w:tcPr>
                <w:tcW w:w="542" w:type="pct"/>
                <w:vAlign w:val="center"/>
              </w:tcPr>
              <w:p w14:paraId="21978097">
                <w:pPr>
                  <w:widowControl w:val="0"/>
                  <w:jc w:val="center"/>
                  <w:rPr>
                    <w:rFonts w:hint="eastAsia"/>
                    <w:szCs w:val="21"/>
                  </w:rPr>
                </w:pPr>
                <w:r>
                  <w:rPr>
                    <w:rFonts w:hint="eastAsia"/>
                  </w:rPr>
                  <w:t>2024-07-22</w:t>
                </w:r>
              </w:p>
            </w:tc>
            <w:tc>
              <w:tcPr>
                <w:tcW w:w="507" w:type="pct"/>
                <w:vAlign w:val="center"/>
              </w:tcPr>
              <w:p w14:paraId="4C2CE3B1">
                <w:pPr>
                  <w:widowControl w:val="0"/>
                  <w:jc w:val="center"/>
                  <w:rPr>
                    <w:rFonts w:hint="eastAsia"/>
                    <w:szCs w:val="21"/>
                  </w:rPr>
                </w:pPr>
                <w:r>
                  <w:rPr>
                    <w:rFonts w:hint="eastAsia"/>
                  </w:rPr>
                  <w:t>2027-06-14</w:t>
                </w:r>
              </w:p>
            </w:tc>
            <w:tc>
              <w:tcPr>
                <w:tcW w:w="305" w:type="pct"/>
                <w:vMerge w:val="continue"/>
                <w:vAlign w:val="center"/>
              </w:tcPr>
              <w:p w14:paraId="7127D809">
                <w:pPr>
                  <w:widowControl w:val="0"/>
                  <w:jc w:val="right"/>
                  <w:rPr>
                    <w:rFonts w:ascii="Arial Narrow" w:hAnsi="Arial Narrow"/>
                    <w:szCs w:val="21"/>
                  </w:rPr>
                </w:pPr>
              </w:p>
            </w:tc>
            <w:tc>
              <w:tcPr>
                <w:tcW w:w="414" w:type="pct"/>
                <w:vMerge w:val="continue"/>
                <w:vAlign w:val="center"/>
              </w:tcPr>
              <w:p w14:paraId="2097D033">
                <w:pPr>
                  <w:widowControl w:val="0"/>
                  <w:jc w:val="right"/>
                  <w:rPr>
                    <w:rFonts w:ascii="Arial Narrow" w:hAnsi="Arial Narrow"/>
                    <w:szCs w:val="21"/>
                  </w:rPr>
                </w:pPr>
              </w:p>
            </w:tc>
            <w:tc>
              <w:tcPr>
                <w:tcW w:w="384" w:type="pct"/>
                <w:vMerge w:val="continue"/>
                <w:vAlign w:val="center"/>
              </w:tcPr>
              <w:p w14:paraId="7B1B02F9">
                <w:pPr>
                  <w:widowControl w:val="0"/>
                  <w:jc w:val="right"/>
                  <w:rPr>
                    <w:rFonts w:ascii="Arial Narrow" w:hAnsi="Arial Narrow"/>
                    <w:szCs w:val="21"/>
                  </w:rPr>
                </w:pPr>
              </w:p>
            </w:tc>
            <w:tc>
              <w:tcPr>
                <w:tcW w:w="614" w:type="pct"/>
                <w:vMerge w:val="continue"/>
                <w:vAlign w:val="center"/>
              </w:tcPr>
              <w:p w14:paraId="564E117A">
                <w:pPr>
                  <w:widowControl w:val="0"/>
                  <w:jc w:val="center"/>
                  <w:rPr>
                    <w:rFonts w:hint="eastAsia"/>
                    <w:szCs w:val="21"/>
                  </w:rPr>
                </w:pPr>
              </w:p>
            </w:tc>
            <w:tc>
              <w:tcPr>
                <w:tcW w:w="333" w:type="pct"/>
                <w:vMerge w:val="continue"/>
                <w:vAlign w:val="center"/>
              </w:tcPr>
              <w:p w14:paraId="0C015B73">
                <w:pPr>
                  <w:widowControl w:val="0"/>
                  <w:jc w:val="right"/>
                  <w:rPr>
                    <w:rFonts w:ascii="Arial Narrow" w:hAnsi="Arial Narrow"/>
                    <w:szCs w:val="21"/>
                  </w:rPr>
                </w:pPr>
              </w:p>
            </w:tc>
            <w:tc>
              <w:tcPr>
                <w:tcW w:w="424" w:type="pct"/>
                <w:vMerge w:val="continue"/>
                <w:vAlign w:val="center"/>
              </w:tcPr>
              <w:p w14:paraId="2B1E145C">
                <w:pPr>
                  <w:widowControl w:val="0"/>
                  <w:jc w:val="center"/>
                  <w:rPr>
                    <w:rFonts w:asciiTheme="minorHAnsi" w:hAnsiTheme="minorHAnsi" w:eastAsiaTheme="minorEastAsia" w:cstheme="minorBidi"/>
                    <w:kern w:val="2"/>
                    <w:szCs w:val="21"/>
                    <w14:ligatures w14:val="standardContextual"/>
                  </w:rPr>
                </w:pPr>
              </w:p>
            </w:tc>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281411611"/>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161A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5FBA30A7">
                <w:pPr>
                  <w:widowControl w:val="0"/>
                  <w:jc w:val="center"/>
                  <w:rPr>
                    <w:rFonts w:hint="eastAsia"/>
                    <w:szCs w:val="21"/>
                  </w:rPr>
                </w:pPr>
                <w:r>
                  <w:rPr>
                    <w:rFonts w:hint="eastAsia"/>
                  </w:rPr>
                  <w:t>陈向东</w:t>
                </w:r>
              </w:p>
            </w:tc>
            <w:sdt>
              <w:sdtPr>
                <w:rPr>
                  <w:szCs w:val="21"/>
                </w:rPr>
                <w:alias w:val="董事、监事、高级管理人员职务"/>
                <w:tag w:val="_GBC_560cf517d58e4c18969f11c03b6316c9"/>
                <w:id w:val="-1596696562"/>
                <w:text/>
              </w:sdtPr>
              <w:sdtEndPr>
                <w:rPr>
                  <w:szCs w:val="21"/>
                </w:rPr>
              </w:sdtEndPr>
              <w:sdtContent>
                <w:tc>
                  <w:tcPr>
                    <w:tcW w:w="680" w:type="pct"/>
                    <w:vAlign w:val="center"/>
                  </w:tcPr>
                  <w:p w14:paraId="04E966B1">
                    <w:pPr>
                      <w:widowControl w:val="0"/>
                      <w:jc w:val="center"/>
                      <w:rPr>
                        <w:rFonts w:hint="eastAsia"/>
                        <w:szCs w:val="21"/>
                      </w:rPr>
                    </w:pPr>
                    <w:r>
                      <w:rPr>
                        <w:szCs w:val="21"/>
                      </w:rPr>
                      <w:t>董事</w:t>
                    </w:r>
                  </w:p>
                </w:tc>
              </w:sdtContent>
            </w:sdt>
            <w:tc>
              <w:tcPr>
                <w:tcW w:w="202" w:type="pct"/>
                <w:vAlign w:val="center"/>
              </w:tcPr>
              <w:p w14:paraId="0915369F">
                <w:pPr>
                  <w:widowControl w:val="0"/>
                  <w:jc w:val="both"/>
                  <w:rPr>
                    <w:rFonts w:hint="eastAsia"/>
                    <w:szCs w:val="21"/>
                  </w:rPr>
                </w:pPr>
                <w:r>
                  <w:rPr>
                    <w:rFonts w:hint="eastAsia"/>
                  </w:rPr>
                  <w:t>男</w:t>
                </w:r>
              </w:p>
            </w:tc>
            <w:tc>
              <w:tcPr>
                <w:tcW w:w="203" w:type="pct"/>
                <w:vAlign w:val="center"/>
              </w:tcPr>
              <w:p w14:paraId="0DDD2C95">
                <w:pPr>
                  <w:widowControl w:val="0"/>
                  <w:jc w:val="both"/>
                  <w:rPr>
                    <w:rFonts w:hint="eastAsia"/>
                    <w:szCs w:val="21"/>
                  </w:rPr>
                </w:pPr>
                <w:r>
                  <w:rPr>
                    <w:rFonts w:hint="eastAsia"/>
                  </w:rPr>
                  <w:t>66</w:t>
                </w:r>
              </w:p>
            </w:tc>
            <w:tc>
              <w:tcPr>
                <w:tcW w:w="542" w:type="pct"/>
                <w:vAlign w:val="center"/>
              </w:tcPr>
              <w:p w14:paraId="79041A28">
                <w:pPr>
                  <w:widowControl w:val="0"/>
                  <w:jc w:val="center"/>
                  <w:rPr>
                    <w:rFonts w:hint="eastAsia"/>
                    <w:szCs w:val="21"/>
                  </w:rPr>
                </w:pPr>
                <w:r>
                  <w:rPr>
                    <w:rFonts w:hint="eastAsia"/>
                  </w:rPr>
                  <w:t>2021-01-21</w:t>
                </w:r>
              </w:p>
            </w:tc>
            <w:tc>
              <w:tcPr>
                <w:tcW w:w="507" w:type="pct"/>
                <w:vAlign w:val="center"/>
              </w:tcPr>
              <w:p w14:paraId="2D6C5C0E">
                <w:pPr>
                  <w:widowControl w:val="0"/>
                  <w:jc w:val="center"/>
                  <w:rPr>
                    <w:rFonts w:hint="eastAsia"/>
                    <w:szCs w:val="21"/>
                  </w:rPr>
                </w:pPr>
                <w:r>
                  <w:rPr>
                    <w:rFonts w:hint="eastAsia"/>
                  </w:rPr>
                  <w:t>2027-06-14</w:t>
                </w:r>
              </w:p>
            </w:tc>
            <w:tc>
              <w:tcPr>
                <w:tcW w:w="305" w:type="pct"/>
                <w:vAlign w:val="center"/>
              </w:tcPr>
              <w:p w14:paraId="311451BD">
                <w:pPr>
                  <w:widowControl w:val="0"/>
                  <w:jc w:val="right"/>
                  <w:rPr>
                    <w:rFonts w:ascii="Arial Narrow" w:hAnsi="Arial Narrow"/>
                    <w:szCs w:val="21"/>
                  </w:rPr>
                </w:pPr>
                <w:r>
                  <w:rPr>
                    <w:rFonts w:ascii="Arial Narrow" w:hAnsi="Arial Narrow"/>
                  </w:rPr>
                  <w:t>10,000</w:t>
                </w:r>
              </w:p>
            </w:tc>
            <w:tc>
              <w:tcPr>
                <w:tcW w:w="414" w:type="pct"/>
                <w:vAlign w:val="center"/>
              </w:tcPr>
              <w:p w14:paraId="73909287">
                <w:pPr>
                  <w:widowControl w:val="0"/>
                  <w:jc w:val="right"/>
                  <w:rPr>
                    <w:rFonts w:ascii="Arial Narrow" w:hAnsi="Arial Narrow"/>
                    <w:szCs w:val="21"/>
                  </w:rPr>
                </w:pPr>
                <w:r>
                  <w:rPr>
                    <w:rFonts w:ascii="Arial Narrow" w:hAnsi="Arial Narrow"/>
                  </w:rPr>
                  <w:t>10,000</w:t>
                </w:r>
              </w:p>
            </w:tc>
            <w:tc>
              <w:tcPr>
                <w:tcW w:w="384" w:type="pct"/>
                <w:vAlign w:val="center"/>
              </w:tcPr>
              <w:p w14:paraId="0C524134">
                <w:pPr>
                  <w:widowControl w:val="0"/>
                  <w:jc w:val="right"/>
                  <w:rPr>
                    <w:rFonts w:ascii="Arial Narrow" w:hAnsi="Arial Narrow"/>
                    <w:szCs w:val="21"/>
                  </w:rPr>
                </w:pPr>
                <w:r>
                  <w:rPr>
                    <w:rFonts w:ascii="Arial Narrow" w:hAnsi="Arial Narrow"/>
                  </w:rPr>
                  <w:t>0</w:t>
                </w:r>
              </w:p>
            </w:tc>
            <w:tc>
              <w:tcPr>
                <w:tcW w:w="614" w:type="pct"/>
                <w:vAlign w:val="center"/>
              </w:tcPr>
              <w:p w14:paraId="4A9C1A9E">
                <w:pPr>
                  <w:widowControl w:val="0"/>
                  <w:jc w:val="center"/>
                  <w:rPr>
                    <w:rFonts w:hint="eastAsia"/>
                    <w:szCs w:val="21"/>
                  </w:rPr>
                </w:pPr>
                <w:r>
                  <w:rPr>
                    <w:rFonts w:hint="eastAsia"/>
                  </w:rPr>
                  <w:t>/</w:t>
                </w:r>
              </w:p>
            </w:tc>
            <w:tc>
              <w:tcPr>
                <w:tcW w:w="333" w:type="pct"/>
                <w:vAlign w:val="center"/>
              </w:tcPr>
              <w:p w14:paraId="61B5F81D">
                <w:pPr>
                  <w:widowControl w:val="0"/>
                  <w:jc w:val="right"/>
                  <w:rPr>
                    <w:rFonts w:ascii="Arial Narrow" w:hAnsi="Arial Narrow"/>
                    <w:szCs w:val="21"/>
                  </w:rPr>
                </w:pPr>
                <w:r>
                  <w:rPr>
                    <w:rStyle w:val="138"/>
                    <w:rFonts w:ascii="Arial Narrow" w:hAnsi="Arial Narrow"/>
                  </w:rPr>
                  <w:t>0</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1512645587"/>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1CFC4CC6">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391571003"/>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048B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01410EC1">
                <w:pPr>
                  <w:widowControl w:val="0"/>
                  <w:jc w:val="center"/>
                  <w:rPr>
                    <w:rFonts w:hint="eastAsia"/>
                    <w:szCs w:val="21"/>
                  </w:rPr>
                </w:pPr>
                <w:r>
                  <w:rPr>
                    <w:rFonts w:hint="eastAsia"/>
                  </w:rPr>
                  <w:t>杨金龙</w:t>
                </w:r>
              </w:p>
            </w:tc>
            <w:sdt>
              <w:sdtPr>
                <w:rPr>
                  <w:szCs w:val="21"/>
                </w:rPr>
                <w:alias w:val="董事、监事、高级管理人员职务"/>
                <w:tag w:val="_GBC_560cf517d58e4c18969f11c03b6316c9"/>
                <w:id w:val="-579753194"/>
                <w:text/>
              </w:sdtPr>
              <w:sdtEndPr>
                <w:rPr>
                  <w:szCs w:val="21"/>
                </w:rPr>
              </w:sdtEndPr>
              <w:sdtContent>
                <w:tc>
                  <w:tcPr>
                    <w:tcW w:w="680" w:type="pct"/>
                    <w:vAlign w:val="center"/>
                  </w:tcPr>
                  <w:p w14:paraId="37DFB5F7">
                    <w:pPr>
                      <w:widowControl w:val="0"/>
                      <w:jc w:val="center"/>
                      <w:rPr>
                        <w:rFonts w:hint="eastAsia"/>
                        <w:szCs w:val="21"/>
                      </w:rPr>
                    </w:pPr>
                    <w:r>
                      <w:rPr>
                        <w:szCs w:val="21"/>
                      </w:rPr>
                      <w:t>董事</w:t>
                    </w:r>
                  </w:p>
                </w:tc>
              </w:sdtContent>
            </w:sdt>
            <w:tc>
              <w:tcPr>
                <w:tcW w:w="202" w:type="pct"/>
                <w:vAlign w:val="center"/>
              </w:tcPr>
              <w:p w14:paraId="1C5492E2">
                <w:pPr>
                  <w:widowControl w:val="0"/>
                  <w:jc w:val="both"/>
                  <w:rPr>
                    <w:rFonts w:hint="eastAsia"/>
                    <w:szCs w:val="21"/>
                  </w:rPr>
                </w:pPr>
                <w:r>
                  <w:rPr>
                    <w:rFonts w:hint="eastAsia"/>
                  </w:rPr>
                  <w:t>男</w:t>
                </w:r>
              </w:p>
            </w:tc>
            <w:tc>
              <w:tcPr>
                <w:tcW w:w="203" w:type="pct"/>
                <w:vAlign w:val="center"/>
              </w:tcPr>
              <w:p w14:paraId="7393B859">
                <w:pPr>
                  <w:widowControl w:val="0"/>
                  <w:jc w:val="both"/>
                  <w:rPr>
                    <w:rFonts w:hint="eastAsia"/>
                    <w:szCs w:val="21"/>
                  </w:rPr>
                </w:pPr>
                <w:r>
                  <w:rPr>
                    <w:rFonts w:hint="eastAsia"/>
                  </w:rPr>
                  <w:t>59</w:t>
                </w:r>
              </w:p>
            </w:tc>
            <w:tc>
              <w:tcPr>
                <w:tcW w:w="542" w:type="pct"/>
                <w:vAlign w:val="center"/>
              </w:tcPr>
              <w:p w14:paraId="05141CC8">
                <w:pPr>
                  <w:widowControl w:val="0"/>
                  <w:jc w:val="center"/>
                  <w:rPr>
                    <w:rFonts w:hint="eastAsia"/>
                    <w:szCs w:val="21"/>
                  </w:rPr>
                </w:pPr>
                <w:r>
                  <w:rPr>
                    <w:rFonts w:hint="eastAsia"/>
                  </w:rPr>
                  <w:t>2024-06-14</w:t>
                </w:r>
              </w:p>
            </w:tc>
            <w:tc>
              <w:tcPr>
                <w:tcW w:w="507" w:type="pct"/>
                <w:vAlign w:val="center"/>
              </w:tcPr>
              <w:p w14:paraId="6FA0CE3D">
                <w:pPr>
                  <w:widowControl w:val="0"/>
                  <w:jc w:val="center"/>
                  <w:rPr>
                    <w:rFonts w:hint="eastAsia"/>
                    <w:szCs w:val="21"/>
                  </w:rPr>
                </w:pPr>
                <w:r>
                  <w:rPr>
                    <w:rFonts w:hint="eastAsia"/>
                  </w:rPr>
                  <w:t>2027-06-14</w:t>
                </w:r>
              </w:p>
            </w:tc>
            <w:tc>
              <w:tcPr>
                <w:tcW w:w="305" w:type="pct"/>
                <w:vAlign w:val="center"/>
              </w:tcPr>
              <w:p w14:paraId="0714F319">
                <w:pPr>
                  <w:widowControl w:val="0"/>
                  <w:jc w:val="right"/>
                  <w:rPr>
                    <w:rFonts w:ascii="Arial Narrow" w:hAnsi="Arial Narrow"/>
                    <w:szCs w:val="21"/>
                  </w:rPr>
                </w:pPr>
                <w:r>
                  <w:rPr>
                    <w:rFonts w:ascii="Arial Narrow" w:hAnsi="Arial Narrow"/>
                  </w:rPr>
                  <w:t>0</w:t>
                </w:r>
              </w:p>
            </w:tc>
            <w:tc>
              <w:tcPr>
                <w:tcW w:w="414" w:type="pct"/>
                <w:vAlign w:val="center"/>
              </w:tcPr>
              <w:p w14:paraId="49BEC027">
                <w:pPr>
                  <w:widowControl w:val="0"/>
                  <w:jc w:val="right"/>
                  <w:rPr>
                    <w:rFonts w:ascii="Arial Narrow" w:hAnsi="Arial Narrow"/>
                    <w:szCs w:val="21"/>
                  </w:rPr>
                </w:pPr>
                <w:r>
                  <w:rPr>
                    <w:rFonts w:ascii="Arial Narrow" w:hAnsi="Arial Narrow"/>
                  </w:rPr>
                  <w:t>0</w:t>
                </w:r>
              </w:p>
            </w:tc>
            <w:tc>
              <w:tcPr>
                <w:tcW w:w="384" w:type="pct"/>
                <w:vAlign w:val="center"/>
              </w:tcPr>
              <w:p w14:paraId="35DE693E">
                <w:pPr>
                  <w:widowControl w:val="0"/>
                  <w:jc w:val="right"/>
                  <w:rPr>
                    <w:rFonts w:ascii="Arial Narrow" w:hAnsi="Arial Narrow"/>
                    <w:szCs w:val="21"/>
                  </w:rPr>
                </w:pPr>
                <w:r>
                  <w:rPr>
                    <w:rFonts w:ascii="Arial Narrow" w:hAnsi="Arial Narrow"/>
                  </w:rPr>
                  <w:t>0</w:t>
                </w:r>
              </w:p>
            </w:tc>
            <w:tc>
              <w:tcPr>
                <w:tcW w:w="614" w:type="pct"/>
                <w:vAlign w:val="center"/>
              </w:tcPr>
              <w:p w14:paraId="30783788">
                <w:pPr>
                  <w:widowControl w:val="0"/>
                  <w:jc w:val="center"/>
                  <w:rPr>
                    <w:rFonts w:hint="eastAsia"/>
                    <w:szCs w:val="21"/>
                  </w:rPr>
                </w:pPr>
                <w:r>
                  <w:rPr>
                    <w:rFonts w:hint="eastAsia"/>
                  </w:rPr>
                  <w:t>/</w:t>
                </w:r>
              </w:p>
            </w:tc>
            <w:tc>
              <w:tcPr>
                <w:tcW w:w="333" w:type="pct"/>
                <w:vAlign w:val="center"/>
              </w:tcPr>
              <w:p w14:paraId="0EF7253D">
                <w:pPr>
                  <w:widowControl w:val="0"/>
                  <w:jc w:val="right"/>
                  <w:rPr>
                    <w:rFonts w:ascii="Arial Narrow" w:hAnsi="Arial Narrow"/>
                    <w:szCs w:val="21"/>
                  </w:rPr>
                </w:pPr>
                <w:r>
                  <w:rPr>
                    <w:rStyle w:val="138"/>
                    <w:rFonts w:ascii="Arial Narrow" w:hAnsi="Arial Narrow"/>
                  </w:rPr>
                  <w:t>0</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983703825"/>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3A5C5DEB">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270970465"/>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1645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restart"/>
                <w:vAlign w:val="center"/>
              </w:tcPr>
              <w:p w14:paraId="00A464CF">
                <w:pPr>
                  <w:widowControl w:val="0"/>
                  <w:jc w:val="center"/>
                  <w:rPr>
                    <w:rFonts w:hint="eastAsia"/>
                    <w:szCs w:val="21"/>
                  </w:rPr>
                </w:pPr>
                <w:r>
                  <w:rPr>
                    <w:rFonts w:hint="eastAsia"/>
                  </w:rPr>
                  <w:t>韩月芬</w:t>
                </w:r>
              </w:p>
            </w:tc>
            <w:sdt>
              <w:sdtPr>
                <w:rPr>
                  <w:szCs w:val="21"/>
                </w:rPr>
                <w:alias w:val="董事、监事、高级管理人员职务"/>
                <w:tag w:val="_GBC_560cf517d58e4c18969f11c03b6316c9"/>
                <w:id w:val="-437444333"/>
                <w:text/>
              </w:sdtPr>
              <w:sdtEndPr>
                <w:rPr>
                  <w:szCs w:val="21"/>
                </w:rPr>
              </w:sdtEndPr>
              <w:sdtContent>
                <w:tc>
                  <w:tcPr>
                    <w:tcW w:w="680" w:type="pct"/>
                    <w:vAlign w:val="center"/>
                  </w:tcPr>
                  <w:p w14:paraId="3DBBF85F">
                    <w:pPr>
                      <w:widowControl w:val="0"/>
                      <w:jc w:val="center"/>
                      <w:rPr>
                        <w:rFonts w:hint="eastAsia"/>
                        <w:szCs w:val="21"/>
                      </w:rPr>
                    </w:pPr>
                    <w:r>
                      <w:rPr>
                        <w:szCs w:val="21"/>
                      </w:rPr>
                      <w:t>董事</w:t>
                    </w:r>
                  </w:p>
                </w:tc>
              </w:sdtContent>
            </w:sdt>
            <w:tc>
              <w:tcPr>
                <w:tcW w:w="202" w:type="pct"/>
                <w:vMerge w:val="restart"/>
                <w:vAlign w:val="center"/>
              </w:tcPr>
              <w:p w14:paraId="6F341D91">
                <w:pPr>
                  <w:widowControl w:val="0"/>
                  <w:jc w:val="both"/>
                  <w:rPr>
                    <w:rFonts w:hint="eastAsia"/>
                    <w:szCs w:val="21"/>
                  </w:rPr>
                </w:pPr>
                <w:r>
                  <w:rPr>
                    <w:rFonts w:hint="eastAsia"/>
                  </w:rPr>
                  <w:t>女</w:t>
                </w:r>
              </w:p>
            </w:tc>
            <w:tc>
              <w:tcPr>
                <w:tcW w:w="203" w:type="pct"/>
                <w:vMerge w:val="restart"/>
                <w:vAlign w:val="center"/>
              </w:tcPr>
              <w:p w14:paraId="3D5F2CCD">
                <w:pPr>
                  <w:widowControl w:val="0"/>
                  <w:jc w:val="both"/>
                  <w:rPr>
                    <w:rFonts w:hint="eastAsia"/>
                    <w:szCs w:val="21"/>
                  </w:rPr>
                </w:pPr>
                <w:r>
                  <w:rPr>
                    <w:rFonts w:hint="eastAsia"/>
                  </w:rPr>
                  <w:t>45</w:t>
                </w:r>
              </w:p>
            </w:tc>
            <w:tc>
              <w:tcPr>
                <w:tcW w:w="542" w:type="pct"/>
                <w:vAlign w:val="center"/>
              </w:tcPr>
              <w:p w14:paraId="07468852">
                <w:pPr>
                  <w:widowControl w:val="0"/>
                  <w:jc w:val="center"/>
                  <w:rPr>
                    <w:rFonts w:hint="eastAsia"/>
                    <w:szCs w:val="21"/>
                  </w:rPr>
                </w:pPr>
                <w:r>
                  <w:rPr>
                    <w:rFonts w:hint="eastAsia"/>
                  </w:rPr>
                  <w:t>2024-12-23</w:t>
                </w:r>
              </w:p>
            </w:tc>
            <w:tc>
              <w:tcPr>
                <w:tcW w:w="507" w:type="pct"/>
                <w:vAlign w:val="center"/>
              </w:tcPr>
              <w:p w14:paraId="37E86F15">
                <w:pPr>
                  <w:widowControl w:val="0"/>
                  <w:jc w:val="center"/>
                  <w:rPr>
                    <w:rFonts w:hint="eastAsia"/>
                    <w:szCs w:val="21"/>
                  </w:rPr>
                </w:pPr>
                <w:r>
                  <w:rPr>
                    <w:rFonts w:hint="eastAsia"/>
                  </w:rPr>
                  <w:t>2027-06-14</w:t>
                </w:r>
              </w:p>
            </w:tc>
            <w:tc>
              <w:tcPr>
                <w:tcW w:w="305" w:type="pct"/>
                <w:vMerge w:val="restart"/>
                <w:vAlign w:val="center"/>
              </w:tcPr>
              <w:p w14:paraId="6AFA426E">
                <w:pPr>
                  <w:widowControl w:val="0"/>
                  <w:jc w:val="right"/>
                  <w:rPr>
                    <w:rFonts w:ascii="Arial Narrow" w:hAnsi="Arial Narrow"/>
                    <w:szCs w:val="21"/>
                  </w:rPr>
                </w:pPr>
                <w:r>
                  <w:rPr>
                    <w:rFonts w:ascii="Arial Narrow" w:hAnsi="Arial Narrow"/>
                  </w:rPr>
                  <w:t>0</w:t>
                </w:r>
              </w:p>
            </w:tc>
            <w:tc>
              <w:tcPr>
                <w:tcW w:w="414" w:type="pct"/>
                <w:vMerge w:val="restart"/>
                <w:vAlign w:val="center"/>
              </w:tcPr>
              <w:p w14:paraId="1DD372F2">
                <w:pPr>
                  <w:widowControl w:val="0"/>
                  <w:jc w:val="right"/>
                  <w:rPr>
                    <w:rFonts w:ascii="Arial Narrow" w:hAnsi="Arial Narrow"/>
                    <w:szCs w:val="21"/>
                  </w:rPr>
                </w:pPr>
                <w:r>
                  <w:rPr>
                    <w:rFonts w:ascii="Arial Narrow" w:hAnsi="Arial Narrow"/>
                  </w:rPr>
                  <w:t>60,000</w:t>
                </w:r>
              </w:p>
            </w:tc>
            <w:tc>
              <w:tcPr>
                <w:tcW w:w="384" w:type="pct"/>
                <w:vMerge w:val="restart"/>
                <w:vAlign w:val="center"/>
              </w:tcPr>
              <w:p w14:paraId="53ED607D">
                <w:pPr>
                  <w:widowControl w:val="0"/>
                  <w:jc w:val="right"/>
                  <w:rPr>
                    <w:rFonts w:ascii="Arial Narrow" w:hAnsi="Arial Narrow"/>
                    <w:szCs w:val="21"/>
                  </w:rPr>
                </w:pPr>
                <w:r>
                  <w:rPr>
                    <w:rFonts w:ascii="Arial Narrow" w:hAnsi="Arial Narrow"/>
                  </w:rPr>
                  <w:t>60,000</w:t>
                </w:r>
              </w:p>
            </w:tc>
            <w:tc>
              <w:tcPr>
                <w:tcW w:w="614" w:type="pct"/>
                <w:vMerge w:val="restart"/>
                <w:vAlign w:val="center"/>
              </w:tcPr>
              <w:p w14:paraId="549B8C8D">
                <w:pPr>
                  <w:widowControl w:val="0"/>
                  <w:jc w:val="center"/>
                  <w:rPr>
                    <w:rFonts w:hint="eastAsia"/>
                    <w:szCs w:val="21"/>
                  </w:rPr>
                </w:pPr>
                <w:r>
                  <w:rPr>
                    <w:rFonts w:hint="eastAsia"/>
                  </w:rPr>
                  <w:t>股份增持计划</w:t>
                </w:r>
              </w:p>
            </w:tc>
            <w:tc>
              <w:tcPr>
                <w:tcW w:w="333" w:type="pct"/>
                <w:vMerge w:val="restart"/>
                <w:vAlign w:val="center"/>
              </w:tcPr>
              <w:p w14:paraId="6E6BE1B3">
                <w:pPr>
                  <w:widowControl w:val="0"/>
                  <w:jc w:val="right"/>
                  <w:rPr>
                    <w:rFonts w:ascii="Arial Narrow" w:hAnsi="Arial Narrow"/>
                    <w:szCs w:val="21"/>
                  </w:rPr>
                </w:pPr>
                <w:r>
                  <w:rPr>
                    <w:rStyle w:val="138"/>
                    <w:rFonts w:ascii="Arial Narrow" w:hAnsi="Arial Narrow"/>
                  </w:rPr>
                  <w:t>78.27</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481584866"/>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Merge w:val="restart"/>
                    <w:vAlign w:val="center"/>
                  </w:tcPr>
                  <w:p w14:paraId="3BBE801F">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hint="eastAsia"/>
            <w:szCs w:val="21"/>
          </w:rPr>
          <w:alias w:val="董事、监事、高级管理人员基本情况"/>
          <w:tag w:val="_TUP_7890760e7fef44f4bcc994fe788f22ef"/>
          <w:id w:val="-395891070"/>
          <w:placeholder>
            <w:docPart w:val="1936DB4E3FF344D09964060C78AF357C"/>
          </w:placeholder>
        </w:sdtPr>
        <w:sdtEndPr>
          <w:rPr>
            <w:rFonts w:hint="default" w:asciiTheme="minorHAnsi" w:hAnsiTheme="minorHAnsi" w:eastAsiaTheme="minorEastAsia" w:cstheme="minorBidi"/>
            <w:kern w:val="2"/>
            <w:szCs w:val="21"/>
            <w14:ligatures w14:val="standardContextual"/>
          </w:rPr>
        </w:sdtEndPr>
        <w:sdtContent>
          <w:tr w14:paraId="2CCE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continue"/>
                <w:vAlign w:val="center"/>
              </w:tcPr>
              <w:p w14:paraId="14D16BB5">
                <w:pPr>
                  <w:widowControl w:val="0"/>
                  <w:jc w:val="center"/>
                  <w:rPr>
                    <w:rFonts w:hint="eastAsia"/>
                    <w:szCs w:val="21"/>
                  </w:rPr>
                </w:pPr>
              </w:p>
            </w:tc>
            <w:sdt>
              <w:sdtPr>
                <w:rPr>
                  <w:rFonts w:hint="eastAsia"/>
                  <w:szCs w:val="21"/>
                </w:rPr>
                <w:alias w:val="董事、监事、高级管理人员职务"/>
                <w:tag w:val="_GBC_560cf517d58e4c18969f11c03b6316c9"/>
                <w:id w:val="-2011446770"/>
                <w:text/>
              </w:sdtPr>
              <w:sdtEndPr>
                <w:rPr>
                  <w:rFonts w:hint="default"/>
                  <w:szCs w:val="21"/>
                </w:rPr>
              </w:sdtEndPr>
              <w:sdtContent>
                <w:tc>
                  <w:tcPr>
                    <w:tcW w:w="680" w:type="pct"/>
                    <w:vAlign w:val="center"/>
                  </w:tcPr>
                  <w:p w14:paraId="411DC928">
                    <w:pPr>
                      <w:widowControl w:val="0"/>
                      <w:jc w:val="center"/>
                      <w:rPr>
                        <w:rFonts w:hint="eastAsia"/>
                        <w:szCs w:val="21"/>
                      </w:rPr>
                    </w:pPr>
                    <w:r>
                      <w:rPr>
                        <w:szCs w:val="21"/>
                      </w:rPr>
                      <w:t>副总经理</w:t>
                    </w:r>
                  </w:p>
                </w:tc>
              </w:sdtContent>
            </w:sdt>
            <w:tc>
              <w:tcPr>
                <w:tcW w:w="202" w:type="pct"/>
                <w:vMerge w:val="continue"/>
                <w:vAlign w:val="center"/>
              </w:tcPr>
              <w:p w14:paraId="2EBAEB88">
                <w:pPr>
                  <w:widowControl w:val="0"/>
                  <w:jc w:val="both"/>
                  <w:rPr>
                    <w:rFonts w:hint="eastAsia"/>
                    <w:szCs w:val="21"/>
                  </w:rPr>
                </w:pPr>
              </w:p>
            </w:tc>
            <w:tc>
              <w:tcPr>
                <w:tcW w:w="203" w:type="pct"/>
                <w:vMerge w:val="continue"/>
                <w:vAlign w:val="center"/>
              </w:tcPr>
              <w:p w14:paraId="53EA9EBD">
                <w:pPr>
                  <w:widowControl w:val="0"/>
                  <w:jc w:val="both"/>
                  <w:rPr>
                    <w:rFonts w:hint="eastAsia"/>
                    <w:szCs w:val="21"/>
                  </w:rPr>
                </w:pPr>
              </w:p>
            </w:tc>
            <w:tc>
              <w:tcPr>
                <w:tcW w:w="542" w:type="pct"/>
                <w:vAlign w:val="center"/>
              </w:tcPr>
              <w:p w14:paraId="6AD8ACCC">
                <w:pPr>
                  <w:widowControl w:val="0"/>
                  <w:jc w:val="center"/>
                  <w:rPr>
                    <w:rFonts w:hint="eastAsia"/>
                    <w:szCs w:val="21"/>
                  </w:rPr>
                </w:pPr>
                <w:r>
                  <w:rPr>
                    <w:rFonts w:hint="eastAsia"/>
                  </w:rPr>
                  <w:t>2023-03-30</w:t>
                </w:r>
              </w:p>
            </w:tc>
            <w:tc>
              <w:tcPr>
                <w:tcW w:w="507" w:type="pct"/>
                <w:vAlign w:val="center"/>
              </w:tcPr>
              <w:p w14:paraId="1569FCC8">
                <w:pPr>
                  <w:widowControl w:val="0"/>
                  <w:jc w:val="center"/>
                  <w:rPr>
                    <w:rFonts w:hint="eastAsia"/>
                    <w:szCs w:val="21"/>
                  </w:rPr>
                </w:pPr>
                <w:r>
                  <w:rPr>
                    <w:rFonts w:hint="eastAsia"/>
                  </w:rPr>
                  <w:t>2024-07-15</w:t>
                </w:r>
              </w:p>
            </w:tc>
            <w:tc>
              <w:tcPr>
                <w:tcW w:w="305" w:type="pct"/>
                <w:vMerge w:val="continue"/>
                <w:vAlign w:val="center"/>
              </w:tcPr>
              <w:p w14:paraId="1E134313">
                <w:pPr>
                  <w:widowControl w:val="0"/>
                  <w:jc w:val="right"/>
                  <w:rPr>
                    <w:rFonts w:ascii="Arial Narrow" w:hAnsi="Arial Narrow"/>
                    <w:szCs w:val="21"/>
                  </w:rPr>
                </w:pPr>
              </w:p>
            </w:tc>
            <w:tc>
              <w:tcPr>
                <w:tcW w:w="414" w:type="pct"/>
                <w:vMerge w:val="continue"/>
                <w:vAlign w:val="center"/>
              </w:tcPr>
              <w:p w14:paraId="6400EF24">
                <w:pPr>
                  <w:widowControl w:val="0"/>
                  <w:jc w:val="right"/>
                  <w:rPr>
                    <w:rFonts w:ascii="Arial Narrow" w:hAnsi="Arial Narrow"/>
                    <w:szCs w:val="21"/>
                  </w:rPr>
                </w:pPr>
              </w:p>
            </w:tc>
            <w:tc>
              <w:tcPr>
                <w:tcW w:w="384" w:type="pct"/>
                <w:vMerge w:val="continue"/>
                <w:vAlign w:val="center"/>
              </w:tcPr>
              <w:p w14:paraId="12E31D9C">
                <w:pPr>
                  <w:widowControl w:val="0"/>
                  <w:jc w:val="right"/>
                  <w:rPr>
                    <w:rFonts w:ascii="Arial Narrow" w:hAnsi="Arial Narrow"/>
                    <w:szCs w:val="21"/>
                  </w:rPr>
                </w:pPr>
              </w:p>
            </w:tc>
            <w:tc>
              <w:tcPr>
                <w:tcW w:w="614" w:type="pct"/>
                <w:vMerge w:val="continue"/>
                <w:vAlign w:val="center"/>
              </w:tcPr>
              <w:p w14:paraId="2DF3A1DF">
                <w:pPr>
                  <w:widowControl w:val="0"/>
                  <w:jc w:val="center"/>
                  <w:rPr>
                    <w:rFonts w:hint="eastAsia"/>
                    <w:szCs w:val="21"/>
                  </w:rPr>
                </w:pPr>
              </w:p>
            </w:tc>
            <w:tc>
              <w:tcPr>
                <w:tcW w:w="333" w:type="pct"/>
                <w:vMerge w:val="continue"/>
                <w:vAlign w:val="center"/>
              </w:tcPr>
              <w:p w14:paraId="7695A453">
                <w:pPr>
                  <w:widowControl w:val="0"/>
                  <w:jc w:val="right"/>
                  <w:rPr>
                    <w:rFonts w:ascii="Arial Narrow" w:hAnsi="Arial Narrow"/>
                    <w:szCs w:val="21"/>
                  </w:rPr>
                </w:pPr>
              </w:p>
            </w:tc>
            <w:tc>
              <w:tcPr>
                <w:tcW w:w="424" w:type="pct"/>
                <w:vMerge w:val="continue"/>
                <w:vAlign w:val="center"/>
              </w:tcPr>
              <w:p w14:paraId="65CE0CD2">
                <w:pPr>
                  <w:widowControl w:val="0"/>
                  <w:jc w:val="center"/>
                  <w:rPr>
                    <w:rFonts w:asciiTheme="minorHAnsi" w:hAnsiTheme="minorHAnsi" w:eastAsiaTheme="minorEastAsia" w:cstheme="minorBidi"/>
                    <w:kern w:val="2"/>
                    <w:szCs w:val="21"/>
                    <w14:ligatures w14:val="standardContextual"/>
                  </w:rPr>
                </w:pPr>
              </w:p>
            </w:tc>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546334165"/>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0CDF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11C6E4F9">
                <w:pPr>
                  <w:widowControl w:val="0"/>
                  <w:jc w:val="center"/>
                  <w:rPr>
                    <w:rFonts w:hint="eastAsia"/>
                    <w:szCs w:val="21"/>
                  </w:rPr>
                </w:pPr>
                <w:r>
                  <w:rPr>
                    <w:rFonts w:hint="eastAsia"/>
                  </w:rPr>
                  <w:t>张继德</w:t>
                </w:r>
              </w:p>
            </w:tc>
            <w:sdt>
              <w:sdtPr>
                <w:rPr>
                  <w:szCs w:val="21"/>
                </w:rPr>
                <w:alias w:val="董事、监事、高级管理人员职务"/>
                <w:tag w:val="_GBC_560cf517d58e4c18969f11c03b6316c9"/>
                <w:id w:val="1973785955"/>
                <w:text/>
              </w:sdtPr>
              <w:sdtEndPr>
                <w:rPr>
                  <w:szCs w:val="21"/>
                </w:rPr>
              </w:sdtEndPr>
              <w:sdtContent>
                <w:tc>
                  <w:tcPr>
                    <w:tcW w:w="680" w:type="pct"/>
                    <w:vAlign w:val="center"/>
                  </w:tcPr>
                  <w:p w14:paraId="164AD04B">
                    <w:pPr>
                      <w:widowControl w:val="0"/>
                      <w:jc w:val="center"/>
                      <w:rPr>
                        <w:rFonts w:hint="eastAsia"/>
                        <w:szCs w:val="21"/>
                      </w:rPr>
                    </w:pPr>
                    <w:r>
                      <w:rPr>
                        <w:szCs w:val="21"/>
                      </w:rPr>
                      <w:t>独立董事</w:t>
                    </w:r>
                  </w:p>
                </w:tc>
              </w:sdtContent>
            </w:sdt>
            <w:tc>
              <w:tcPr>
                <w:tcW w:w="202" w:type="pct"/>
                <w:vAlign w:val="center"/>
              </w:tcPr>
              <w:p w14:paraId="4F258AB0">
                <w:pPr>
                  <w:widowControl w:val="0"/>
                  <w:jc w:val="both"/>
                  <w:rPr>
                    <w:rFonts w:hint="eastAsia"/>
                    <w:szCs w:val="21"/>
                  </w:rPr>
                </w:pPr>
                <w:r>
                  <w:rPr>
                    <w:rFonts w:hint="eastAsia"/>
                  </w:rPr>
                  <w:t>男</w:t>
                </w:r>
              </w:p>
            </w:tc>
            <w:tc>
              <w:tcPr>
                <w:tcW w:w="203" w:type="pct"/>
                <w:vAlign w:val="center"/>
              </w:tcPr>
              <w:p w14:paraId="6E4659AD">
                <w:pPr>
                  <w:widowControl w:val="0"/>
                  <w:jc w:val="both"/>
                  <w:rPr>
                    <w:rFonts w:hint="eastAsia"/>
                    <w:szCs w:val="21"/>
                  </w:rPr>
                </w:pPr>
                <w:r>
                  <w:rPr>
                    <w:rFonts w:hint="eastAsia"/>
                  </w:rPr>
                  <w:t>56</w:t>
                </w:r>
              </w:p>
            </w:tc>
            <w:tc>
              <w:tcPr>
                <w:tcW w:w="542" w:type="pct"/>
                <w:vAlign w:val="center"/>
              </w:tcPr>
              <w:p w14:paraId="1BEB3697">
                <w:pPr>
                  <w:widowControl w:val="0"/>
                  <w:jc w:val="center"/>
                  <w:rPr>
                    <w:rFonts w:hint="eastAsia"/>
                    <w:szCs w:val="21"/>
                  </w:rPr>
                </w:pPr>
                <w:r>
                  <w:rPr>
                    <w:rFonts w:hint="eastAsia"/>
                  </w:rPr>
                  <w:t>2021-01-21</w:t>
                </w:r>
              </w:p>
            </w:tc>
            <w:tc>
              <w:tcPr>
                <w:tcW w:w="507" w:type="pct"/>
                <w:vAlign w:val="center"/>
              </w:tcPr>
              <w:p w14:paraId="2999F255">
                <w:pPr>
                  <w:widowControl w:val="0"/>
                  <w:jc w:val="center"/>
                  <w:rPr>
                    <w:rFonts w:hint="eastAsia"/>
                    <w:szCs w:val="21"/>
                  </w:rPr>
                </w:pPr>
                <w:r>
                  <w:rPr>
                    <w:rFonts w:hint="eastAsia"/>
                  </w:rPr>
                  <w:t>2027-06-14</w:t>
                </w:r>
              </w:p>
            </w:tc>
            <w:tc>
              <w:tcPr>
                <w:tcW w:w="305" w:type="pct"/>
                <w:vAlign w:val="center"/>
              </w:tcPr>
              <w:p w14:paraId="11F2788E">
                <w:pPr>
                  <w:widowControl w:val="0"/>
                  <w:jc w:val="right"/>
                  <w:rPr>
                    <w:rFonts w:ascii="Arial Narrow" w:hAnsi="Arial Narrow"/>
                    <w:szCs w:val="21"/>
                  </w:rPr>
                </w:pPr>
                <w:r>
                  <w:rPr>
                    <w:rFonts w:ascii="Arial Narrow" w:hAnsi="Arial Narrow"/>
                  </w:rPr>
                  <w:t>0</w:t>
                </w:r>
              </w:p>
            </w:tc>
            <w:tc>
              <w:tcPr>
                <w:tcW w:w="414" w:type="pct"/>
                <w:vAlign w:val="center"/>
              </w:tcPr>
              <w:p w14:paraId="1E07929D">
                <w:pPr>
                  <w:widowControl w:val="0"/>
                  <w:jc w:val="right"/>
                  <w:rPr>
                    <w:rFonts w:ascii="Arial Narrow" w:hAnsi="Arial Narrow"/>
                    <w:szCs w:val="21"/>
                  </w:rPr>
                </w:pPr>
                <w:r>
                  <w:rPr>
                    <w:rFonts w:ascii="Arial Narrow" w:hAnsi="Arial Narrow"/>
                  </w:rPr>
                  <w:t>0</w:t>
                </w:r>
              </w:p>
            </w:tc>
            <w:tc>
              <w:tcPr>
                <w:tcW w:w="384" w:type="pct"/>
                <w:vAlign w:val="center"/>
              </w:tcPr>
              <w:p w14:paraId="23905F43">
                <w:pPr>
                  <w:widowControl w:val="0"/>
                  <w:jc w:val="right"/>
                  <w:rPr>
                    <w:rFonts w:ascii="Arial Narrow" w:hAnsi="Arial Narrow"/>
                    <w:szCs w:val="21"/>
                  </w:rPr>
                </w:pPr>
                <w:r>
                  <w:rPr>
                    <w:rFonts w:ascii="Arial Narrow" w:hAnsi="Arial Narrow"/>
                  </w:rPr>
                  <w:t>0</w:t>
                </w:r>
              </w:p>
            </w:tc>
            <w:tc>
              <w:tcPr>
                <w:tcW w:w="614" w:type="pct"/>
                <w:vAlign w:val="center"/>
              </w:tcPr>
              <w:p w14:paraId="74A35917">
                <w:pPr>
                  <w:widowControl w:val="0"/>
                  <w:jc w:val="center"/>
                  <w:rPr>
                    <w:rFonts w:hint="eastAsia"/>
                    <w:szCs w:val="21"/>
                  </w:rPr>
                </w:pPr>
                <w:r>
                  <w:rPr>
                    <w:rFonts w:hint="eastAsia"/>
                  </w:rPr>
                  <w:t>/</w:t>
                </w:r>
              </w:p>
            </w:tc>
            <w:tc>
              <w:tcPr>
                <w:tcW w:w="333" w:type="pct"/>
                <w:vAlign w:val="center"/>
              </w:tcPr>
              <w:p w14:paraId="399DB9B2">
                <w:pPr>
                  <w:widowControl w:val="0"/>
                  <w:jc w:val="right"/>
                  <w:rPr>
                    <w:rFonts w:ascii="Arial Narrow" w:hAnsi="Arial Narrow"/>
                    <w:szCs w:val="21"/>
                  </w:rPr>
                </w:pPr>
                <w:r>
                  <w:rPr>
                    <w:rStyle w:val="138"/>
                    <w:rFonts w:ascii="Arial Narrow" w:hAnsi="Arial Narrow"/>
                  </w:rPr>
                  <w:t>12</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1282376684"/>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72E9C2B2">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286460131"/>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3CE4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636DB7D0">
                <w:pPr>
                  <w:widowControl w:val="0"/>
                  <w:jc w:val="center"/>
                  <w:rPr>
                    <w:rFonts w:hint="eastAsia"/>
                    <w:szCs w:val="21"/>
                  </w:rPr>
                </w:pPr>
                <w:r>
                  <w:rPr>
                    <w:rFonts w:hint="eastAsia"/>
                  </w:rPr>
                  <w:t>李华</w:t>
                </w:r>
              </w:p>
            </w:tc>
            <w:sdt>
              <w:sdtPr>
                <w:rPr>
                  <w:szCs w:val="21"/>
                </w:rPr>
                <w:alias w:val="董事、监事、高级管理人员职务"/>
                <w:tag w:val="_GBC_560cf517d58e4c18969f11c03b6316c9"/>
                <w:id w:val="1116176754"/>
                <w:text/>
              </w:sdtPr>
              <w:sdtEndPr>
                <w:rPr>
                  <w:szCs w:val="21"/>
                </w:rPr>
              </w:sdtEndPr>
              <w:sdtContent>
                <w:tc>
                  <w:tcPr>
                    <w:tcW w:w="680" w:type="pct"/>
                    <w:vAlign w:val="center"/>
                  </w:tcPr>
                  <w:p w14:paraId="03318055">
                    <w:pPr>
                      <w:widowControl w:val="0"/>
                      <w:jc w:val="center"/>
                      <w:rPr>
                        <w:rFonts w:hint="eastAsia"/>
                        <w:szCs w:val="21"/>
                      </w:rPr>
                    </w:pPr>
                    <w:r>
                      <w:rPr>
                        <w:szCs w:val="21"/>
                      </w:rPr>
                      <w:t>独立董事</w:t>
                    </w:r>
                  </w:p>
                </w:tc>
              </w:sdtContent>
            </w:sdt>
            <w:tc>
              <w:tcPr>
                <w:tcW w:w="202" w:type="pct"/>
                <w:vAlign w:val="center"/>
              </w:tcPr>
              <w:p w14:paraId="1D14E139">
                <w:pPr>
                  <w:widowControl w:val="0"/>
                  <w:jc w:val="both"/>
                  <w:rPr>
                    <w:rFonts w:hint="eastAsia"/>
                    <w:szCs w:val="21"/>
                  </w:rPr>
                </w:pPr>
                <w:r>
                  <w:rPr>
                    <w:rFonts w:hint="eastAsia"/>
                  </w:rPr>
                  <w:t>女</w:t>
                </w:r>
              </w:p>
            </w:tc>
            <w:tc>
              <w:tcPr>
                <w:tcW w:w="203" w:type="pct"/>
                <w:vAlign w:val="center"/>
              </w:tcPr>
              <w:p w14:paraId="4510FEDB">
                <w:pPr>
                  <w:widowControl w:val="0"/>
                  <w:jc w:val="both"/>
                  <w:rPr>
                    <w:rFonts w:hint="eastAsia"/>
                    <w:szCs w:val="21"/>
                  </w:rPr>
                </w:pPr>
                <w:r>
                  <w:rPr>
                    <w:rFonts w:hint="eastAsia"/>
                  </w:rPr>
                  <w:t>54</w:t>
                </w:r>
              </w:p>
            </w:tc>
            <w:tc>
              <w:tcPr>
                <w:tcW w:w="542" w:type="pct"/>
                <w:vAlign w:val="center"/>
              </w:tcPr>
              <w:p w14:paraId="380DFC6A">
                <w:pPr>
                  <w:widowControl w:val="0"/>
                  <w:jc w:val="center"/>
                  <w:rPr>
                    <w:rFonts w:hint="eastAsia"/>
                    <w:szCs w:val="21"/>
                  </w:rPr>
                </w:pPr>
                <w:r>
                  <w:rPr>
                    <w:rFonts w:hint="eastAsia"/>
                  </w:rPr>
                  <w:t>2024-06-14</w:t>
                </w:r>
              </w:p>
            </w:tc>
            <w:tc>
              <w:tcPr>
                <w:tcW w:w="507" w:type="pct"/>
                <w:vAlign w:val="center"/>
              </w:tcPr>
              <w:p w14:paraId="0B9934B8">
                <w:pPr>
                  <w:widowControl w:val="0"/>
                  <w:jc w:val="center"/>
                  <w:rPr>
                    <w:rFonts w:hint="eastAsia"/>
                    <w:szCs w:val="21"/>
                  </w:rPr>
                </w:pPr>
                <w:r>
                  <w:rPr>
                    <w:rFonts w:hint="eastAsia"/>
                  </w:rPr>
                  <w:t>2027-06-14</w:t>
                </w:r>
              </w:p>
            </w:tc>
            <w:tc>
              <w:tcPr>
                <w:tcW w:w="305" w:type="pct"/>
                <w:vAlign w:val="center"/>
              </w:tcPr>
              <w:p w14:paraId="0F8831E4">
                <w:pPr>
                  <w:widowControl w:val="0"/>
                  <w:jc w:val="right"/>
                  <w:rPr>
                    <w:rFonts w:ascii="Arial Narrow" w:hAnsi="Arial Narrow"/>
                    <w:szCs w:val="21"/>
                  </w:rPr>
                </w:pPr>
                <w:r>
                  <w:rPr>
                    <w:rFonts w:ascii="Arial Narrow" w:hAnsi="Arial Narrow"/>
                  </w:rPr>
                  <w:t>0</w:t>
                </w:r>
              </w:p>
            </w:tc>
            <w:tc>
              <w:tcPr>
                <w:tcW w:w="414" w:type="pct"/>
                <w:vAlign w:val="center"/>
              </w:tcPr>
              <w:p w14:paraId="76EEB065">
                <w:pPr>
                  <w:widowControl w:val="0"/>
                  <w:jc w:val="right"/>
                  <w:rPr>
                    <w:rFonts w:ascii="Arial Narrow" w:hAnsi="Arial Narrow"/>
                    <w:szCs w:val="21"/>
                  </w:rPr>
                </w:pPr>
                <w:r>
                  <w:rPr>
                    <w:rFonts w:ascii="Arial Narrow" w:hAnsi="Arial Narrow"/>
                  </w:rPr>
                  <w:t>0</w:t>
                </w:r>
              </w:p>
            </w:tc>
            <w:tc>
              <w:tcPr>
                <w:tcW w:w="384" w:type="pct"/>
                <w:vAlign w:val="center"/>
              </w:tcPr>
              <w:p w14:paraId="3DF21837">
                <w:pPr>
                  <w:widowControl w:val="0"/>
                  <w:jc w:val="right"/>
                  <w:rPr>
                    <w:rFonts w:ascii="Arial Narrow" w:hAnsi="Arial Narrow"/>
                    <w:szCs w:val="21"/>
                  </w:rPr>
                </w:pPr>
                <w:r>
                  <w:rPr>
                    <w:rFonts w:ascii="Arial Narrow" w:hAnsi="Arial Narrow"/>
                  </w:rPr>
                  <w:t>0</w:t>
                </w:r>
              </w:p>
            </w:tc>
            <w:tc>
              <w:tcPr>
                <w:tcW w:w="614" w:type="pct"/>
                <w:vAlign w:val="center"/>
              </w:tcPr>
              <w:p w14:paraId="0B97C3D6">
                <w:pPr>
                  <w:widowControl w:val="0"/>
                  <w:jc w:val="center"/>
                  <w:rPr>
                    <w:rFonts w:hint="eastAsia"/>
                    <w:szCs w:val="21"/>
                  </w:rPr>
                </w:pPr>
                <w:r>
                  <w:rPr>
                    <w:rFonts w:hint="eastAsia"/>
                  </w:rPr>
                  <w:t>/</w:t>
                </w:r>
              </w:p>
            </w:tc>
            <w:tc>
              <w:tcPr>
                <w:tcW w:w="333" w:type="pct"/>
                <w:vAlign w:val="center"/>
              </w:tcPr>
              <w:p w14:paraId="584091A7">
                <w:pPr>
                  <w:widowControl w:val="0"/>
                  <w:jc w:val="right"/>
                  <w:rPr>
                    <w:rFonts w:ascii="Arial Narrow" w:hAnsi="Arial Narrow"/>
                    <w:szCs w:val="21"/>
                  </w:rPr>
                </w:pPr>
                <w:r>
                  <w:rPr>
                    <w:rStyle w:val="138"/>
                    <w:rFonts w:ascii="Arial Narrow" w:hAnsi="Arial Narrow"/>
                  </w:rPr>
                  <w:t>6.5</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1351137654"/>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40209440">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356499759"/>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4D3F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1A9BDC1B">
                <w:pPr>
                  <w:widowControl w:val="0"/>
                  <w:jc w:val="center"/>
                  <w:rPr>
                    <w:rFonts w:hint="eastAsia"/>
                    <w:szCs w:val="21"/>
                  </w:rPr>
                </w:pPr>
                <w:r>
                  <w:rPr>
                    <w:rFonts w:hint="eastAsia"/>
                  </w:rPr>
                  <w:t>温养东</w:t>
                </w:r>
              </w:p>
            </w:tc>
            <w:sdt>
              <w:sdtPr>
                <w:rPr>
                  <w:szCs w:val="21"/>
                </w:rPr>
                <w:alias w:val="董事、监事、高级管理人员职务"/>
                <w:tag w:val="_GBC_560cf517d58e4c18969f11c03b6316c9"/>
                <w:id w:val="-987544877"/>
                <w:text/>
              </w:sdtPr>
              <w:sdtEndPr>
                <w:rPr>
                  <w:szCs w:val="21"/>
                </w:rPr>
              </w:sdtEndPr>
              <w:sdtContent>
                <w:tc>
                  <w:tcPr>
                    <w:tcW w:w="680" w:type="pct"/>
                    <w:vAlign w:val="center"/>
                  </w:tcPr>
                  <w:p w14:paraId="6857C163">
                    <w:pPr>
                      <w:widowControl w:val="0"/>
                      <w:jc w:val="center"/>
                      <w:rPr>
                        <w:rFonts w:hint="eastAsia"/>
                        <w:szCs w:val="21"/>
                      </w:rPr>
                    </w:pPr>
                    <w:r>
                      <w:rPr>
                        <w:szCs w:val="21"/>
                      </w:rPr>
                      <w:t>独立董事</w:t>
                    </w:r>
                  </w:p>
                </w:tc>
              </w:sdtContent>
            </w:sdt>
            <w:tc>
              <w:tcPr>
                <w:tcW w:w="202" w:type="pct"/>
                <w:vAlign w:val="center"/>
              </w:tcPr>
              <w:p w14:paraId="09A2DB0B">
                <w:pPr>
                  <w:widowControl w:val="0"/>
                  <w:jc w:val="both"/>
                  <w:rPr>
                    <w:rFonts w:hint="eastAsia"/>
                    <w:szCs w:val="21"/>
                  </w:rPr>
                </w:pPr>
                <w:r>
                  <w:rPr>
                    <w:rFonts w:hint="eastAsia"/>
                  </w:rPr>
                  <w:t>男</w:t>
                </w:r>
              </w:p>
            </w:tc>
            <w:tc>
              <w:tcPr>
                <w:tcW w:w="203" w:type="pct"/>
                <w:vAlign w:val="center"/>
              </w:tcPr>
              <w:p w14:paraId="47B9F3F0">
                <w:pPr>
                  <w:widowControl w:val="0"/>
                  <w:jc w:val="both"/>
                  <w:rPr>
                    <w:rFonts w:hint="eastAsia"/>
                    <w:szCs w:val="21"/>
                  </w:rPr>
                </w:pPr>
                <w:r>
                  <w:rPr>
                    <w:rFonts w:hint="eastAsia"/>
                  </w:rPr>
                  <w:t>45</w:t>
                </w:r>
              </w:p>
            </w:tc>
            <w:tc>
              <w:tcPr>
                <w:tcW w:w="542" w:type="pct"/>
                <w:vAlign w:val="center"/>
              </w:tcPr>
              <w:p w14:paraId="43D007D8">
                <w:pPr>
                  <w:widowControl w:val="0"/>
                  <w:jc w:val="center"/>
                  <w:rPr>
                    <w:rFonts w:hint="eastAsia"/>
                    <w:szCs w:val="21"/>
                  </w:rPr>
                </w:pPr>
                <w:r>
                  <w:rPr>
                    <w:rFonts w:hint="eastAsia"/>
                  </w:rPr>
                  <w:t>2024-06-14</w:t>
                </w:r>
              </w:p>
            </w:tc>
            <w:tc>
              <w:tcPr>
                <w:tcW w:w="507" w:type="pct"/>
                <w:vAlign w:val="center"/>
              </w:tcPr>
              <w:p w14:paraId="1EC9B227">
                <w:pPr>
                  <w:widowControl w:val="0"/>
                  <w:jc w:val="center"/>
                  <w:rPr>
                    <w:rFonts w:hint="eastAsia"/>
                    <w:szCs w:val="21"/>
                  </w:rPr>
                </w:pPr>
                <w:r>
                  <w:rPr>
                    <w:rFonts w:hint="eastAsia"/>
                  </w:rPr>
                  <w:t>2027-06-14</w:t>
                </w:r>
              </w:p>
            </w:tc>
            <w:tc>
              <w:tcPr>
                <w:tcW w:w="305" w:type="pct"/>
                <w:vAlign w:val="center"/>
              </w:tcPr>
              <w:p w14:paraId="3AC43CFD">
                <w:pPr>
                  <w:widowControl w:val="0"/>
                  <w:jc w:val="right"/>
                  <w:rPr>
                    <w:rFonts w:ascii="Arial Narrow" w:hAnsi="Arial Narrow"/>
                    <w:szCs w:val="21"/>
                  </w:rPr>
                </w:pPr>
                <w:r>
                  <w:rPr>
                    <w:rFonts w:ascii="Arial Narrow" w:hAnsi="Arial Narrow"/>
                  </w:rPr>
                  <w:t>0</w:t>
                </w:r>
              </w:p>
            </w:tc>
            <w:tc>
              <w:tcPr>
                <w:tcW w:w="414" w:type="pct"/>
                <w:vAlign w:val="center"/>
              </w:tcPr>
              <w:p w14:paraId="15647FF1">
                <w:pPr>
                  <w:widowControl w:val="0"/>
                  <w:jc w:val="right"/>
                  <w:rPr>
                    <w:rFonts w:ascii="Arial Narrow" w:hAnsi="Arial Narrow"/>
                    <w:szCs w:val="21"/>
                  </w:rPr>
                </w:pPr>
                <w:r>
                  <w:rPr>
                    <w:rFonts w:ascii="Arial Narrow" w:hAnsi="Arial Narrow"/>
                  </w:rPr>
                  <w:t>0</w:t>
                </w:r>
              </w:p>
            </w:tc>
            <w:tc>
              <w:tcPr>
                <w:tcW w:w="384" w:type="pct"/>
                <w:vAlign w:val="center"/>
              </w:tcPr>
              <w:p w14:paraId="4B8D05B6">
                <w:pPr>
                  <w:widowControl w:val="0"/>
                  <w:jc w:val="right"/>
                  <w:rPr>
                    <w:rFonts w:ascii="Arial Narrow" w:hAnsi="Arial Narrow"/>
                    <w:szCs w:val="21"/>
                  </w:rPr>
                </w:pPr>
                <w:r>
                  <w:rPr>
                    <w:rFonts w:ascii="Arial Narrow" w:hAnsi="Arial Narrow"/>
                  </w:rPr>
                  <w:t>0</w:t>
                </w:r>
              </w:p>
            </w:tc>
            <w:tc>
              <w:tcPr>
                <w:tcW w:w="614" w:type="pct"/>
                <w:vAlign w:val="center"/>
              </w:tcPr>
              <w:p w14:paraId="7C20E3B1">
                <w:pPr>
                  <w:widowControl w:val="0"/>
                  <w:jc w:val="center"/>
                  <w:rPr>
                    <w:rFonts w:hint="eastAsia"/>
                    <w:szCs w:val="21"/>
                  </w:rPr>
                </w:pPr>
                <w:r>
                  <w:rPr>
                    <w:rFonts w:hint="eastAsia"/>
                  </w:rPr>
                  <w:t>/</w:t>
                </w:r>
              </w:p>
            </w:tc>
            <w:tc>
              <w:tcPr>
                <w:tcW w:w="333" w:type="pct"/>
                <w:vAlign w:val="center"/>
              </w:tcPr>
              <w:p w14:paraId="14CBEF92">
                <w:pPr>
                  <w:widowControl w:val="0"/>
                  <w:jc w:val="right"/>
                  <w:rPr>
                    <w:rFonts w:ascii="Arial Narrow" w:hAnsi="Arial Narrow"/>
                    <w:szCs w:val="21"/>
                  </w:rPr>
                </w:pPr>
                <w:r>
                  <w:rPr>
                    <w:rStyle w:val="138"/>
                    <w:rFonts w:ascii="Arial Narrow" w:hAnsi="Arial Narrow"/>
                  </w:rPr>
                  <w:t>6.5</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325359771"/>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6EB267AA">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969861178"/>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19BF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225D1B4C">
                <w:pPr>
                  <w:widowControl w:val="0"/>
                  <w:jc w:val="center"/>
                  <w:rPr>
                    <w:rFonts w:hint="eastAsia"/>
                    <w:szCs w:val="21"/>
                  </w:rPr>
                </w:pPr>
                <w:r>
                  <w:rPr>
                    <w:rFonts w:hint="eastAsia"/>
                  </w:rPr>
                  <w:t>阴玥</w:t>
                </w:r>
              </w:p>
            </w:tc>
            <w:sdt>
              <w:sdtPr>
                <w:rPr>
                  <w:szCs w:val="21"/>
                </w:rPr>
                <w:alias w:val="董事、监事、高级管理人员职务"/>
                <w:tag w:val="_GBC_560cf517d58e4c18969f11c03b6316c9"/>
                <w:id w:val="847755797"/>
                <w:text/>
              </w:sdtPr>
              <w:sdtEndPr>
                <w:rPr>
                  <w:szCs w:val="21"/>
                </w:rPr>
              </w:sdtEndPr>
              <w:sdtContent>
                <w:tc>
                  <w:tcPr>
                    <w:tcW w:w="680" w:type="pct"/>
                    <w:vAlign w:val="center"/>
                  </w:tcPr>
                  <w:p w14:paraId="68ED0195">
                    <w:pPr>
                      <w:widowControl w:val="0"/>
                      <w:jc w:val="center"/>
                      <w:rPr>
                        <w:rFonts w:hint="eastAsia"/>
                        <w:szCs w:val="21"/>
                      </w:rPr>
                    </w:pPr>
                    <w:r>
                      <w:rPr>
                        <w:szCs w:val="21"/>
                      </w:rPr>
                      <w:t>监事会主席</w:t>
                    </w:r>
                  </w:p>
                </w:tc>
              </w:sdtContent>
            </w:sdt>
            <w:tc>
              <w:tcPr>
                <w:tcW w:w="202" w:type="pct"/>
                <w:vAlign w:val="center"/>
              </w:tcPr>
              <w:p w14:paraId="67629C33">
                <w:pPr>
                  <w:widowControl w:val="0"/>
                  <w:jc w:val="both"/>
                  <w:rPr>
                    <w:rFonts w:hint="eastAsia"/>
                    <w:szCs w:val="21"/>
                  </w:rPr>
                </w:pPr>
                <w:r>
                  <w:rPr>
                    <w:rFonts w:hint="eastAsia"/>
                  </w:rPr>
                  <w:t>女</w:t>
                </w:r>
              </w:p>
            </w:tc>
            <w:tc>
              <w:tcPr>
                <w:tcW w:w="203" w:type="pct"/>
                <w:vAlign w:val="center"/>
              </w:tcPr>
              <w:p w14:paraId="4D0F4005">
                <w:pPr>
                  <w:widowControl w:val="0"/>
                  <w:jc w:val="both"/>
                  <w:rPr>
                    <w:rFonts w:hint="eastAsia"/>
                    <w:szCs w:val="21"/>
                  </w:rPr>
                </w:pPr>
                <w:r>
                  <w:rPr>
                    <w:rFonts w:hint="eastAsia"/>
                  </w:rPr>
                  <w:t>50</w:t>
                </w:r>
              </w:p>
            </w:tc>
            <w:tc>
              <w:tcPr>
                <w:tcW w:w="542" w:type="pct"/>
                <w:vAlign w:val="center"/>
              </w:tcPr>
              <w:p w14:paraId="5D17E472">
                <w:pPr>
                  <w:widowControl w:val="0"/>
                  <w:jc w:val="center"/>
                  <w:rPr>
                    <w:rFonts w:hint="eastAsia"/>
                    <w:szCs w:val="21"/>
                  </w:rPr>
                </w:pPr>
                <w:r>
                  <w:rPr>
                    <w:rFonts w:hint="eastAsia"/>
                  </w:rPr>
                  <w:t>2024-06-14</w:t>
                </w:r>
              </w:p>
            </w:tc>
            <w:tc>
              <w:tcPr>
                <w:tcW w:w="507" w:type="pct"/>
                <w:vAlign w:val="center"/>
              </w:tcPr>
              <w:p w14:paraId="78A3C114">
                <w:pPr>
                  <w:widowControl w:val="0"/>
                  <w:jc w:val="center"/>
                  <w:rPr>
                    <w:rFonts w:hint="eastAsia"/>
                    <w:szCs w:val="21"/>
                  </w:rPr>
                </w:pPr>
                <w:r>
                  <w:rPr>
                    <w:rFonts w:hint="eastAsia"/>
                  </w:rPr>
                  <w:t>2027-06-14</w:t>
                </w:r>
              </w:p>
            </w:tc>
            <w:tc>
              <w:tcPr>
                <w:tcW w:w="305" w:type="pct"/>
                <w:vAlign w:val="center"/>
              </w:tcPr>
              <w:p w14:paraId="3D330A09">
                <w:pPr>
                  <w:widowControl w:val="0"/>
                  <w:jc w:val="right"/>
                  <w:rPr>
                    <w:rFonts w:ascii="Arial Narrow" w:hAnsi="Arial Narrow"/>
                    <w:szCs w:val="21"/>
                  </w:rPr>
                </w:pPr>
                <w:r>
                  <w:rPr>
                    <w:rFonts w:ascii="Arial Narrow" w:hAnsi="Arial Narrow"/>
                  </w:rPr>
                  <w:t>0</w:t>
                </w:r>
              </w:p>
            </w:tc>
            <w:tc>
              <w:tcPr>
                <w:tcW w:w="414" w:type="pct"/>
                <w:vAlign w:val="center"/>
              </w:tcPr>
              <w:p w14:paraId="6A14D927">
                <w:pPr>
                  <w:widowControl w:val="0"/>
                  <w:jc w:val="right"/>
                  <w:rPr>
                    <w:rFonts w:ascii="Arial Narrow" w:hAnsi="Arial Narrow"/>
                    <w:szCs w:val="21"/>
                  </w:rPr>
                </w:pPr>
                <w:r>
                  <w:rPr>
                    <w:rFonts w:ascii="Arial Narrow" w:hAnsi="Arial Narrow"/>
                  </w:rPr>
                  <w:t>0</w:t>
                </w:r>
              </w:p>
            </w:tc>
            <w:tc>
              <w:tcPr>
                <w:tcW w:w="384" w:type="pct"/>
                <w:vAlign w:val="center"/>
              </w:tcPr>
              <w:p w14:paraId="3CDB9DDC">
                <w:pPr>
                  <w:widowControl w:val="0"/>
                  <w:jc w:val="right"/>
                  <w:rPr>
                    <w:rFonts w:ascii="Arial Narrow" w:hAnsi="Arial Narrow"/>
                    <w:szCs w:val="21"/>
                  </w:rPr>
                </w:pPr>
                <w:r>
                  <w:rPr>
                    <w:rFonts w:ascii="Arial Narrow" w:hAnsi="Arial Narrow"/>
                  </w:rPr>
                  <w:t>0</w:t>
                </w:r>
              </w:p>
            </w:tc>
            <w:tc>
              <w:tcPr>
                <w:tcW w:w="614" w:type="pct"/>
                <w:vAlign w:val="center"/>
              </w:tcPr>
              <w:p w14:paraId="5043E1F4">
                <w:pPr>
                  <w:widowControl w:val="0"/>
                  <w:jc w:val="center"/>
                  <w:rPr>
                    <w:rFonts w:hint="eastAsia"/>
                    <w:szCs w:val="21"/>
                  </w:rPr>
                </w:pPr>
                <w:r>
                  <w:rPr>
                    <w:rFonts w:hint="eastAsia"/>
                  </w:rPr>
                  <w:t>/</w:t>
                </w:r>
              </w:p>
            </w:tc>
            <w:tc>
              <w:tcPr>
                <w:tcW w:w="333" w:type="pct"/>
                <w:vAlign w:val="center"/>
              </w:tcPr>
              <w:p w14:paraId="57403018">
                <w:pPr>
                  <w:widowControl w:val="0"/>
                  <w:jc w:val="right"/>
                  <w:rPr>
                    <w:rFonts w:ascii="Arial Narrow" w:hAnsi="Arial Narrow"/>
                    <w:szCs w:val="21"/>
                  </w:rPr>
                </w:pPr>
                <w:r>
                  <w:rPr>
                    <w:rStyle w:val="138"/>
                    <w:rFonts w:ascii="Arial Narrow" w:hAnsi="Arial Narrow"/>
                  </w:rPr>
                  <w:t>51.18</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423000867"/>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5481FC7B">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696835473"/>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636E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72EF2051">
                <w:pPr>
                  <w:widowControl w:val="0"/>
                  <w:jc w:val="center"/>
                  <w:rPr>
                    <w:rFonts w:hint="eastAsia"/>
                    <w:szCs w:val="21"/>
                  </w:rPr>
                </w:pPr>
                <w:r>
                  <w:rPr>
                    <w:rFonts w:hint="eastAsia"/>
                  </w:rPr>
                  <w:t>陈晓林</w:t>
                </w:r>
              </w:p>
            </w:tc>
            <w:sdt>
              <w:sdtPr>
                <w:rPr>
                  <w:szCs w:val="21"/>
                </w:rPr>
                <w:alias w:val="董事、监事、高级管理人员职务"/>
                <w:tag w:val="_GBC_560cf517d58e4c18969f11c03b6316c9"/>
                <w:id w:val="1586415905"/>
                <w:text/>
              </w:sdtPr>
              <w:sdtEndPr>
                <w:rPr>
                  <w:szCs w:val="21"/>
                </w:rPr>
              </w:sdtEndPr>
              <w:sdtContent>
                <w:tc>
                  <w:tcPr>
                    <w:tcW w:w="680" w:type="pct"/>
                    <w:vAlign w:val="center"/>
                  </w:tcPr>
                  <w:p w14:paraId="5AB7C68D">
                    <w:pPr>
                      <w:widowControl w:val="0"/>
                      <w:jc w:val="center"/>
                      <w:rPr>
                        <w:rFonts w:hint="eastAsia"/>
                        <w:szCs w:val="21"/>
                      </w:rPr>
                    </w:pPr>
                    <w:r>
                      <w:rPr>
                        <w:szCs w:val="21"/>
                      </w:rPr>
                      <w:t>职工监事</w:t>
                    </w:r>
                  </w:p>
                </w:tc>
              </w:sdtContent>
            </w:sdt>
            <w:tc>
              <w:tcPr>
                <w:tcW w:w="202" w:type="pct"/>
                <w:vAlign w:val="center"/>
              </w:tcPr>
              <w:p w14:paraId="5748E444">
                <w:pPr>
                  <w:widowControl w:val="0"/>
                  <w:jc w:val="both"/>
                  <w:rPr>
                    <w:rFonts w:hint="eastAsia"/>
                    <w:szCs w:val="21"/>
                  </w:rPr>
                </w:pPr>
                <w:r>
                  <w:rPr>
                    <w:rFonts w:hint="eastAsia"/>
                  </w:rPr>
                  <w:t>男</w:t>
                </w:r>
              </w:p>
            </w:tc>
            <w:tc>
              <w:tcPr>
                <w:tcW w:w="203" w:type="pct"/>
                <w:vAlign w:val="center"/>
              </w:tcPr>
              <w:p w14:paraId="2269E4C3">
                <w:pPr>
                  <w:widowControl w:val="0"/>
                  <w:jc w:val="both"/>
                  <w:rPr>
                    <w:rFonts w:hint="eastAsia"/>
                    <w:szCs w:val="21"/>
                  </w:rPr>
                </w:pPr>
                <w:r>
                  <w:rPr>
                    <w:rFonts w:hint="eastAsia"/>
                  </w:rPr>
                  <w:t>53</w:t>
                </w:r>
              </w:p>
            </w:tc>
            <w:tc>
              <w:tcPr>
                <w:tcW w:w="542" w:type="pct"/>
                <w:vAlign w:val="center"/>
              </w:tcPr>
              <w:p w14:paraId="5379E16F">
                <w:pPr>
                  <w:widowControl w:val="0"/>
                  <w:jc w:val="center"/>
                  <w:rPr>
                    <w:rFonts w:hint="eastAsia"/>
                    <w:szCs w:val="21"/>
                  </w:rPr>
                </w:pPr>
                <w:r>
                  <w:rPr>
                    <w:rFonts w:hint="eastAsia"/>
                  </w:rPr>
                  <w:t>2024-06-14</w:t>
                </w:r>
              </w:p>
            </w:tc>
            <w:tc>
              <w:tcPr>
                <w:tcW w:w="507" w:type="pct"/>
                <w:vAlign w:val="center"/>
              </w:tcPr>
              <w:p w14:paraId="05CA3BF1">
                <w:pPr>
                  <w:widowControl w:val="0"/>
                  <w:jc w:val="center"/>
                  <w:rPr>
                    <w:rFonts w:hint="eastAsia"/>
                    <w:szCs w:val="21"/>
                  </w:rPr>
                </w:pPr>
                <w:r>
                  <w:rPr>
                    <w:rFonts w:hint="eastAsia"/>
                  </w:rPr>
                  <w:t>2027-06-14</w:t>
                </w:r>
              </w:p>
            </w:tc>
            <w:tc>
              <w:tcPr>
                <w:tcW w:w="305" w:type="pct"/>
                <w:vAlign w:val="center"/>
              </w:tcPr>
              <w:p w14:paraId="3A6A2D25">
                <w:pPr>
                  <w:widowControl w:val="0"/>
                  <w:jc w:val="right"/>
                  <w:rPr>
                    <w:rFonts w:ascii="Arial Narrow" w:hAnsi="Arial Narrow"/>
                    <w:szCs w:val="21"/>
                  </w:rPr>
                </w:pPr>
                <w:r>
                  <w:rPr>
                    <w:rFonts w:ascii="Arial Narrow" w:hAnsi="Arial Narrow"/>
                  </w:rPr>
                  <w:t>0</w:t>
                </w:r>
              </w:p>
            </w:tc>
            <w:tc>
              <w:tcPr>
                <w:tcW w:w="414" w:type="pct"/>
                <w:vAlign w:val="center"/>
              </w:tcPr>
              <w:p w14:paraId="1652BECF">
                <w:pPr>
                  <w:widowControl w:val="0"/>
                  <w:jc w:val="right"/>
                  <w:rPr>
                    <w:rFonts w:ascii="Arial Narrow" w:hAnsi="Arial Narrow"/>
                    <w:szCs w:val="21"/>
                  </w:rPr>
                </w:pPr>
                <w:r>
                  <w:rPr>
                    <w:rFonts w:ascii="Arial Narrow" w:hAnsi="Arial Narrow"/>
                  </w:rPr>
                  <w:t>0</w:t>
                </w:r>
              </w:p>
            </w:tc>
            <w:tc>
              <w:tcPr>
                <w:tcW w:w="384" w:type="pct"/>
                <w:vAlign w:val="center"/>
              </w:tcPr>
              <w:p w14:paraId="7F6EC0EB">
                <w:pPr>
                  <w:widowControl w:val="0"/>
                  <w:jc w:val="right"/>
                  <w:rPr>
                    <w:rFonts w:ascii="Arial Narrow" w:hAnsi="Arial Narrow"/>
                    <w:szCs w:val="21"/>
                  </w:rPr>
                </w:pPr>
                <w:r>
                  <w:rPr>
                    <w:rFonts w:ascii="Arial Narrow" w:hAnsi="Arial Narrow"/>
                  </w:rPr>
                  <w:t>0</w:t>
                </w:r>
              </w:p>
            </w:tc>
            <w:tc>
              <w:tcPr>
                <w:tcW w:w="614" w:type="pct"/>
                <w:vAlign w:val="center"/>
              </w:tcPr>
              <w:p w14:paraId="56EC00A3">
                <w:pPr>
                  <w:widowControl w:val="0"/>
                  <w:jc w:val="center"/>
                  <w:rPr>
                    <w:rFonts w:hint="eastAsia"/>
                    <w:szCs w:val="21"/>
                  </w:rPr>
                </w:pPr>
                <w:r>
                  <w:rPr>
                    <w:rFonts w:hint="eastAsia"/>
                  </w:rPr>
                  <w:t>/</w:t>
                </w:r>
              </w:p>
            </w:tc>
            <w:tc>
              <w:tcPr>
                <w:tcW w:w="333" w:type="pct"/>
                <w:vAlign w:val="center"/>
              </w:tcPr>
              <w:p w14:paraId="36E1646D">
                <w:pPr>
                  <w:widowControl w:val="0"/>
                  <w:jc w:val="right"/>
                  <w:rPr>
                    <w:rFonts w:ascii="Arial Narrow" w:hAnsi="Arial Narrow"/>
                    <w:szCs w:val="21"/>
                  </w:rPr>
                </w:pPr>
                <w:r>
                  <w:rPr>
                    <w:rStyle w:val="138"/>
                    <w:rFonts w:ascii="Arial Narrow" w:hAnsi="Arial Narrow"/>
                  </w:rPr>
                  <w:t>50.23</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1862467538"/>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7FD6830F">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833522560"/>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09E6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2D7B5E6F">
                <w:pPr>
                  <w:widowControl w:val="0"/>
                  <w:jc w:val="center"/>
                  <w:rPr>
                    <w:rFonts w:hint="eastAsia"/>
                    <w:szCs w:val="21"/>
                  </w:rPr>
                </w:pPr>
                <w:r>
                  <w:rPr>
                    <w:rFonts w:hint="eastAsia"/>
                  </w:rPr>
                  <w:t>侯锦瑞</w:t>
                </w:r>
              </w:p>
            </w:tc>
            <w:sdt>
              <w:sdtPr>
                <w:rPr>
                  <w:szCs w:val="21"/>
                </w:rPr>
                <w:alias w:val="董事、监事、高级管理人员职务"/>
                <w:tag w:val="_GBC_560cf517d58e4c18969f11c03b6316c9"/>
                <w:id w:val="-528493542"/>
                <w:text/>
              </w:sdtPr>
              <w:sdtEndPr>
                <w:rPr>
                  <w:szCs w:val="21"/>
                </w:rPr>
              </w:sdtEndPr>
              <w:sdtContent>
                <w:tc>
                  <w:tcPr>
                    <w:tcW w:w="680" w:type="pct"/>
                    <w:vAlign w:val="center"/>
                  </w:tcPr>
                  <w:p w14:paraId="70E29BA4">
                    <w:pPr>
                      <w:widowControl w:val="0"/>
                      <w:jc w:val="center"/>
                      <w:rPr>
                        <w:rFonts w:hint="eastAsia"/>
                        <w:szCs w:val="21"/>
                      </w:rPr>
                    </w:pPr>
                    <w:r>
                      <w:rPr>
                        <w:szCs w:val="21"/>
                      </w:rPr>
                      <w:t>监事</w:t>
                    </w:r>
                  </w:p>
                </w:tc>
              </w:sdtContent>
            </w:sdt>
            <w:tc>
              <w:tcPr>
                <w:tcW w:w="202" w:type="pct"/>
                <w:vAlign w:val="center"/>
              </w:tcPr>
              <w:p w14:paraId="4079E22E">
                <w:pPr>
                  <w:widowControl w:val="0"/>
                  <w:jc w:val="both"/>
                  <w:rPr>
                    <w:rFonts w:hint="eastAsia"/>
                    <w:szCs w:val="21"/>
                  </w:rPr>
                </w:pPr>
                <w:r>
                  <w:rPr>
                    <w:rFonts w:hint="eastAsia"/>
                  </w:rPr>
                  <w:t>男</w:t>
                </w:r>
              </w:p>
            </w:tc>
            <w:tc>
              <w:tcPr>
                <w:tcW w:w="203" w:type="pct"/>
                <w:vAlign w:val="center"/>
              </w:tcPr>
              <w:p w14:paraId="1EE6E571">
                <w:pPr>
                  <w:widowControl w:val="0"/>
                  <w:jc w:val="both"/>
                  <w:rPr>
                    <w:rFonts w:hint="eastAsia"/>
                    <w:szCs w:val="21"/>
                  </w:rPr>
                </w:pPr>
                <w:r>
                  <w:rPr>
                    <w:rFonts w:hint="eastAsia"/>
                  </w:rPr>
                  <w:t>37</w:t>
                </w:r>
              </w:p>
            </w:tc>
            <w:tc>
              <w:tcPr>
                <w:tcW w:w="542" w:type="pct"/>
                <w:vAlign w:val="center"/>
              </w:tcPr>
              <w:p w14:paraId="1AFCD4A7">
                <w:pPr>
                  <w:widowControl w:val="0"/>
                  <w:jc w:val="center"/>
                  <w:rPr>
                    <w:rFonts w:hint="eastAsia"/>
                    <w:szCs w:val="21"/>
                  </w:rPr>
                </w:pPr>
                <w:r>
                  <w:rPr>
                    <w:rFonts w:hint="eastAsia"/>
                  </w:rPr>
                  <w:t>2024-06-14</w:t>
                </w:r>
              </w:p>
            </w:tc>
            <w:tc>
              <w:tcPr>
                <w:tcW w:w="507" w:type="pct"/>
                <w:vAlign w:val="center"/>
              </w:tcPr>
              <w:p w14:paraId="7076D1C6">
                <w:pPr>
                  <w:widowControl w:val="0"/>
                  <w:jc w:val="center"/>
                  <w:rPr>
                    <w:rFonts w:hint="eastAsia"/>
                    <w:szCs w:val="21"/>
                  </w:rPr>
                </w:pPr>
                <w:r>
                  <w:rPr>
                    <w:rFonts w:hint="eastAsia"/>
                  </w:rPr>
                  <w:t>2027-06-14</w:t>
                </w:r>
              </w:p>
            </w:tc>
            <w:tc>
              <w:tcPr>
                <w:tcW w:w="305" w:type="pct"/>
                <w:vAlign w:val="center"/>
              </w:tcPr>
              <w:p w14:paraId="195A813C">
                <w:pPr>
                  <w:widowControl w:val="0"/>
                  <w:jc w:val="right"/>
                  <w:rPr>
                    <w:rFonts w:ascii="Arial Narrow" w:hAnsi="Arial Narrow"/>
                    <w:szCs w:val="21"/>
                  </w:rPr>
                </w:pPr>
                <w:r>
                  <w:rPr>
                    <w:rFonts w:ascii="Arial Narrow" w:hAnsi="Arial Narrow"/>
                  </w:rPr>
                  <w:t>0</w:t>
                </w:r>
              </w:p>
            </w:tc>
            <w:tc>
              <w:tcPr>
                <w:tcW w:w="414" w:type="pct"/>
                <w:vAlign w:val="center"/>
              </w:tcPr>
              <w:p w14:paraId="401C8847">
                <w:pPr>
                  <w:widowControl w:val="0"/>
                  <w:jc w:val="right"/>
                  <w:rPr>
                    <w:rFonts w:ascii="Arial Narrow" w:hAnsi="Arial Narrow"/>
                    <w:szCs w:val="21"/>
                  </w:rPr>
                </w:pPr>
                <w:r>
                  <w:rPr>
                    <w:rFonts w:ascii="Arial Narrow" w:hAnsi="Arial Narrow"/>
                  </w:rPr>
                  <w:t>0</w:t>
                </w:r>
              </w:p>
            </w:tc>
            <w:tc>
              <w:tcPr>
                <w:tcW w:w="384" w:type="pct"/>
                <w:vAlign w:val="center"/>
              </w:tcPr>
              <w:p w14:paraId="21A4EF73">
                <w:pPr>
                  <w:widowControl w:val="0"/>
                  <w:jc w:val="right"/>
                  <w:rPr>
                    <w:rFonts w:ascii="Arial Narrow" w:hAnsi="Arial Narrow"/>
                    <w:szCs w:val="21"/>
                  </w:rPr>
                </w:pPr>
                <w:r>
                  <w:rPr>
                    <w:rFonts w:ascii="Arial Narrow" w:hAnsi="Arial Narrow"/>
                  </w:rPr>
                  <w:t>0</w:t>
                </w:r>
              </w:p>
            </w:tc>
            <w:tc>
              <w:tcPr>
                <w:tcW w:w="614" w:type="pct"/>
                <w:vAlign w:val="center"/>
              </w:tcPr>
              <w:p w14:paraId="4F82D895">
                <w:pPr>
                  <w:widowControl w:val="0"/>
                  <w:jc w:val="center"/>
                  <w:rPr>
                    <w:rFonts w:hint="eastAsia"/>
                    <w:szCs w:val="21"/>
                  </w:rPr>
                </w:pPr>
                <w:r>
                  <w:rPr>
                    <w:rFonts w:hint="eastAsia"/>
                  </w:rPr>
                  <w:t>/</w:t>
                </w:r>
              </w:p>
            </w:tc>
            <w:tc>
              <w:tcPr>
                <w:tcW w:w="333" w:type="pct"/>
                <w:vAlign w:val="center"/>
              </w:tcPr>
              <w:p w14:paraId="69BBA2BE">
                <w:pPr>
                  <w:widowControl w:val="0"/>
                  <w:jc w:val="right"/>
                  <w:rPr>
                    <w:rFonts w:ascii="Arial Narrow" w:hAnsi="Arial Narrow"/>
                    <w:szCs w:val="21"/>
                  </w:rPr>
                </w:pPr>
                <w:r>
                  <w:rPr>
                    <w:rStyle w:val="138"/>
                    <w:rFonts w:ascii="Arial Narrow" w:hAnsi="Arial Narrow"/>
                  </w:rPr>
                  <w:t>0</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1370798110"/>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5E5F5253">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370452477"/>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3972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5E17C0B9">
                <w:pPr>
                  <w:widowControl w:val="0"/>
                  <w:jc w:val="center"/>
                  <w:rPr>
                    <w:rFonts w:hint="eastAsia"/>
                    <w:szCs w:val="21"/>
                  </w:rPr>
                </w:pPr>
                <w:r>
                  <w:rPr>
                    <w:rFonts w:hint="eastAsia"/>
                  </w:rPr>
                  <w:t>刘改平</w:t>
                </w:r>
              </w:p>
            </w:tc>
            <w:sdt>
              <w:sdtPr>
                <w:rPr>
                  <w:szCs w:val="21"/>
                </w:rPr>
                <w:alias w:val="董事、监事、高级管理人员职务"/>
                <w:tag w:val="_GBC_560cf517d58e4c18969f11c03b6316c9"/>
                <w:id w:val="-1517379701"/>
                <w:text/>
              </w:sdtPr>
              <w:sdtEndPr>
                <w:rPr>
                  <w:szCs w:val="21"/>
                </w:rPr>
              </w:sdtEndPr>
              <w:sdtContent>
                <w:tc>
                  <w:tcPr>
                    <w:tcW w:w="680" w:type="pct"/>
                    <w:vAlign w:val="center"/>
                  </w:tcPr>
                  <w:p w14:paraId="5049694D">
                    <w:pPr>
                      <w:widowControl w:val="0"/>
                      <w:jc w:val="center"/>
                      <w:rPr>
                        <w:rFonts w:hint="eastAsia"/>
                        <w:szCs w:val="21"/>
                      </w:rPr>
                    </w:pPr>
                    <w:r>
                      <w:rPr>
                        <w:szCs w:val="21"/>
                      </w:rPr>
                      <w:t>总会计师</w:t>
                    </w:r>
                  </w:p>
                </w:tc>
              </w:sdtContent>
            </w:sdt>
            <w:tc>
              <w:tcPr>
                <w:tcW w:w="202" w:type="pct"/>
                <w:vAlign w:val="center"/>
              </w:tcPr>
              <w:p w14:paraId="2B597E9F">
                <w:pPr>
                  <w:widowControl w:val="0"/>
                  <w:jc w:val="both"/>
                  <w:rPr>
                    <w:rFonts w:hint="eastAsia"/>
                    <w:szCs w:val="21"/>
                  </w:rPr>
                </w:pPr>
                <w:r>
                  <w:rPr>
                    <w:rFonts w:hint="eastAsia"/>
                  </w:rPr>
                  <w:t>女</w:t>
                </w:r>
              </w:p>
            </w:tc>
            <w:tc>
              <w:tcPr>
                <w:tcW w:w="203" w:type="pct"/>
                <w:vAlign w:val="center"/>
              </w:tcPr>
              <w:p w14:paraId="235B76D3">
                <w:pPr>
                  <w:widowControl w:val="0"/>
                  <w:jc w:val="both"/>
                  <w:rPr>
                    <w:rFonts w:hint="eastAsia"/>
                    <w:szCs w:val="21"/>
                  </w:rPr>
                </w:pPr>
                <w:r>
                  <w:rPr>
                    <w:rFonts w:hint="eastAsia"/>
                  </w:rPr>
                  <w:t>49</w:t>
                </w:r>
              </w:p>
            </w:tc>
            <w:tc>
              <w:tcPr>
                <w:tcW w:w="542" w:type="pct"/>
                <w:vAlign w:val="center"/>
              </w:tcPr>
              <w:p w14:paraId="06EA470F">
                <w:pPr>
                  <w:widowControl w:val="0"/>
                  <w:jc w:val="center"/>
                  <w:rPr>
                    <w:rFonts w:hint="eastAsia"/>
                    <w:szCs w:val="21"/>
                  </w:rPr>
                </w:pPr>
                <w:r>
                  <w:rPr>
                    <w:rFonts w:hint="eastAsia"/>
                  </w:rPr>
                  <w:t>2021-06-30</w:t>
                </w:r>
              </w:p>
            </w:tc>
            <w:tc>
              <w:tcPr>
                <w:tcW w:w="507" w:type="pct"/>
                <w:vAlign w:val="center"/>
              </w:tcPr>
              <w:p w14:paraId="64B4CC16">
                <w:pPr>
                  <w:widowControl w:val="0"/>
                  <w:jc w:val="center"/>
                  <w:rPr>
                    <w:rFonts w:hint="eastAsia"/>
                    <w:szCs w:val="21"/>
                  </w:rPr>
                </w:pPr>
                <w:r>
                  <w:rPr>
                    <w:rFonts w:hint="eastAsia"/>
                  </w:rPr>
                  <w:t>2027-06-14</w:t>
                </w:r>
              </w:p>
            </w:tc>
            <w:tc>
              <w:tcPr>
                <w:tcW w:w="305" w:type="pct"/>
                <w:vAlign w:val="center"/>
              </w:tcPr>
              <w:p w14:paraId="07064655">
                <w:pPr>
                  <w:widowControl w:val="0"/>
                  <w:jc w:val="right"/>
                  <w:rPr>
                    <w:rFonts w:ascii="Arial Narrow" w:hAnsi="Arial Narrow"/>
                    <w:szCs w:val="21"/>
                  </w:rPr>
                </w:pPr>
                <w:r>
                  <w:rPr>
                    <w:rFonts w:ascii="Arial Narrow" w:hAnsi="Arial Narrow"/>
                  </w:rPr>
                  <w:t>30,000</w:t>
                </w:r>
              </w:p>
            </w:tc>
            <w:tc>
              <w:tcPr>
                <w:tcW w:w="414" w:type="pct"/>
                <w:vAlign w:val="center"/>
              </w:tcPr>
              <w:p w14:paraId="16C4D24B">
                <w:pPr>
                  <w:widowControl w:val="0"/>
                  <w:jc w:val="right"/>
                  <w:rPr>
                    <w:rFonts w:ascii="Arial Narrow" w:hAnsi="Arial Narrow"/>
                    <w:szCs w:val="21"/>
                  </w:rPr>
                </w:pPr>
                <w:r>
                  <w:rPr>
                    <w:rFonts w:ascii="Arial Narrow" w:hAnsi="Arial Narrow"/>
                  </w:rPr>
                  <w:t>60,000</w:t>
                </w:r>
              </w:p>
            </w:tc>
            <w:tc>
              <w:tcPr>
                <w:tcW w:w="384" w:type="pct"/>
                <w:vAlign w:val="center"/>
              </w:tcPr>
              <w:p w14:paraId="17C44F8E">
                <w:pPr>
                  <w:widowControl w:val="0"/>
                  <w:jc w:val="right"/>
                  <w:rPr>
                    <w:rFonts w:ascii="Arial Narrow" w:hAnsi="Arial Narrow"/>
                    <w:szCs w:val="21"/>
                  </w:rPr>
                </w:pPr>
                <w:r>
                  <w:rPr>
                    <w:rFonts w:ascii="Arial Narrow" w:hAnsi="Arial Narrow"/>
                  </w:rPr>
                  <w:t>30,000</w:t>
                </w:r>
              </w:p>
            </w:tc>
            <w:tc>
              <w:tcPr>
                <w:tcW w:w="614" w:type="pct"/>
                <w:vAlign w:val="center"/>
              </w:tcPr>
              <w:p w14:paraId="612CB8ED">
                <w:pPr>
                  <w:widowControl w:val="0"/>
                  <w:jc w:val="center"/>
                  <w:rPr>
                    <w:rFonts w:hint="eastAsia"/>
                    <w:szCs w:val="21"/>
                  </w:rPr>
                </w:pPr>
                <w:r>
                  <w:rPr>
                    <w:rFonts w:hint="eastAsia"/>
                  </w:rPr>
                  <w:t>股份增持计划</w:t>
                </w:r>
              </w:p>
            </w:tc>
            <w:tc>
              <w:tcPr>
                <w:tcW w:w="333" w:type="pct"/>
                <w:vAlign w:val="center"/>
              </w:tcPr>
              <w:p w14:paraId="0BBF3ABC">
                <w:pPr>
                  <w:widowControl w:val="0"/>
                  <w:jc w:val="right"/>
                  <w:rPr>
                    <w:rFonts w:ascii="Arial Narrow" w:hAnsi="Arial Narrow"/>
                    <w:szCs w:val="21"/>
                  </w:rPr>
                </w:pPr>
                <w:r>
                  <w:rPr>
                    <w:rStyle w:val="138"/>
                    <w:rFonts w:ascii="Arial Narrow" w:hAnsi="Arial Narrow"/>
                  </w:rPr>
                  <w:t>78.59</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87814084"/>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423D0195">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11865586"/>
          <w:placeholder>
            <w:docPart w:val="1936DB4E3FF344D09964060C78AF357C"/>
          </w:placeholder>
        </w:sdtPr>
        <w:sdtEndPr>
          <w:rPr>
            <w:rFonts w:asciiTheme="minorHAnsi" w:hAnsiTheme="minorHAnsi" w:eastAsiaTheme="minorEastAsia" w:cstheme="minorBidi"/>
            <w:kern w:val="2"/>
            <w:szCs w:val="21"/>
            <w14:ligatures w14:val="standardContextual"/>
          </w:rPr>
        </w:sdtEndPr>
        <w:sdtContent>
          <w:tr w14:paraId="2930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 w:hRule="atLeast"/>
            </w:trPr>
            <w:tc>
              <w:tcPr>
                <w:tcW w:w="392" w:type="pct"/>
                <w:vAlign w:val="center"/>
              </w:tcPr>
              <w:p w14:paraId="7AF0D643">
                <w:pPr>
                  <w:widowControl w:val="0"/>
                  <w:jc w:val="center"/>
                  <w:rPr>
                    <w:rFonts w:hint="eastAsia"/>
                    <w:szCs w:val="21"/>
                  </w:rPr>
                </w:pPr>
                <w:r>
                  <w:rPr>
                    <w:rFonts w:hint="eastAsia"/>
                  </w:rPr>
                  <w:t>王明增</w:t>
                </w:r>
              </w:p>
            </w:tc>
            <w:sdt>
              <w:sdtPr>
                <w:rPr>
                  <w:szCs w:val="21"/>
                </w:rPr>
                <w:alias w:val="董事、监事、高级管理人员职务"/>
                <w:tag w:val="_GBC_560cf517d58e4c18969f11c03b6316c9"/>
                <w:id w:val="1677693930"/>
                <w:text/>
              </w:sdtPr>
              <w:sdtEndPr>
                <w:rPr>
                  <w:szCs w:val="21"/>
                </w:rPr>
              </w:sdtEndPr>
              <w:sdtContent>
                <w:tc>
                  <w:tcPr>
                    <w:tcW w:w="680" w:type="pct"/>
                    <w:vAlign w:val="center"/>
                  </w:tcPr>
                  <w:p w14:paraId="0458BF41">
                    <w:pPr>
                      <w:widowControl w:val="0"/>
                      <w:jc w:val="center"/>
                      <w:rPr>
                        <w:rFonts w:hint="eastAsia"/>
                        <w:szCs w:val="21"/>
                      </w:rPr>
                    </w:pPr>
                    <w:r>
                      <w:rPr>
                        <w:szCs w:val="21"/>
                      </w:rPr>
                      <w:t>副总经理</w:t>
                    </w:r>
                  </w:p>
                </w:tc>
              </w:sdtContent>
            </w:sdt>
            <w:tc>
              <w:tcPr>
                <w:tcW w:w="202" w:type="pct"/>
                <w:vAlign w:val="center"/>
              </w:tcPr>
              <w:p w14:paraId="5BADDE47">
                <w:pPr>
                  <w:widowControl w:val="0"/>
                  <w:jc w:val="both"/>
                  <w:rPr>
                    <w:rFonts w:hint="eastAsia"/>
                    <w:szCs w:val="21"/>
                  </w:rPr>
                </w:pPr>
                <w:r>
                  <w:rPr>
                    <w:rFonts w:hint="eastAsia"/>
                  </w:rPr>
                  <w:t>男</w:t>
                </w:r>
              </w:p>
            </w:tc>
            <w:tc>
              <w:tcPr>
                <w:tcW w:w="203" w:type="pct"/>
                <w:vAlign w:val="center"/>
              </w:tcPr>
              <w:p w14:paraId="38353671">
                <w:pPr>
                  <w:widowControl w:val="0"/>
                  <w:jc w:val="both"/>
                  <w:rPr>
                    <w:rFonts w:hint="eastAsia"/>
                    <w:szCs w:val="21"/>
                  </w:rPr>
                </w:pPr>
                <w:r>
                  <w:rPr>
                    <w:rFonts w:hint="eastAsia"/>
                  </w:rPr>
                  <w:t>53</w:t>
                </w:r>
              </w:p>
            </w:tc>
            <w:tc>
              <w:tcPr>
                <w:tcW w:w="542" w:type="pct"/>
                <w:vAlign w:val="center"/>
              </w:tcPr>
              <w:p w14:paraId="6C764F0F">
                <w:pPr>
                  <w:widowControl w:val="0"/>
                  <w:jc w:val="center"/>
                  <w:rPr>
                    <w:rFonts w:hint="eastAsia"/>
                    <w:szCs w:val="21"/>
                  </w:rPr>
                </w:pPr>
                <w:r>
                  <w:rPr>
                    <w:rFonts w:hint="eastAsia"/>
                  </w:rPr>
                  <w:t>2022-10-27</w:t>
                </w:r>
              </w:p>
            </w:tc>
            <w:tc>
              <w:tcPr>
                <w:tcW w:w="507" w:type="pct"/>
                <w:vAlign w:val="center"/>
              </w:tcPr>
              <w:p w14:paraId="11C3F3A1">
                <w:pPr>
                  <w:widowControl w:val="0"/>
                  <w:jc w:val="center"/>
                  <w:rPr>
                    <w:rFonts w:hint="eastAsia"/>
                    <w:szCs w:val="21"/>
                  </w:rPr>
                </w:pPr>
                <w:r>
                  <w:rPr>
                    <w:rFonts w:hint="eastAsia"/>
                  </w:rPr>
                  <w:t>2027-06-14</w:t>
                </w:r>
              </w:p>
            </w:tc>
            <w:tc>
              <w:tcPr>
                <w:tcW w:w="305" w:type="pct"/>
                <w:vAlign w:val="center"/>
              </w:tcPr>
              <w:p w14:paraId="256620A9">
                <w:pPr>
                  <w:widowControl w:val="0"/>
                  <w:jc w:val="right"/>
                  <w:rPr>
                    <w:rFonts w:ascii="Arial Narrow" w:hAnsi="Arial Narrow"/>
                    <w:szCs w:val="21"/>
                  </w:rPr>
                </w:pPr>
                <w:r>
                  <w:rPr>
                    <w:rFonts w:ascii="Arial Narrow" w:hAnsi="Arial Narrow"/>
                  </w:rPr>
                  <w:t>0</w:t>
                </w:r>
              </w:p>
            </w:tc>
            <w:tc>
              <w:tcPr>
                <w:tcW w:w="414" w:type="pct"/>
                <w:vAlign w:val="center"/>
              </w:tcPr>
              <w:p w14:paraId="59FFBD93">
                <w:pPr>
                  <w:widowControl w:val="0"/>
                  <w:jc w:val="right"/>
                  <w:rPr>
                    <w:rFonts w:ascii="Arial Narrow" w:hAnsi="Arial Narrow"/>
                    <w:szCs w:val="21"/>
                  </w:rPr>
                </w:pPr>
                <w:r>
                  <w:rPr>
                    <w:rFonts w:ascii="Arial Narrow" w:hAnsi="Arial Narrow"/>
                  </w:rPr>
                  <w:t>50,000</w:t>
                </w:r>
              </w:p>
            </w:tc>
            <w:tc>
              <w:tcPr>
                <w:tcW w:w="384" w:type="pct"/>
                <w:vAlign w:val="center"/>
              </w:tcPr>
              <w:p w14:paraId="4318837F">
                <w:pPr>
                  <w:widowControl w:val="0"/>
                  <w:jc w:val="right"/>
                  <w:rPr>
                    <w:rFonts w:ascii="Arial Narrow" w:hAnsi="Arial Narrow"/>
                    <w:szCs w:val="21"/>
                  </w:rPr>
                </w:pPr>
                <w:r>
                  <w:rPr>
                    <w:rFonts w:ascii="Arial Narrow" w:hAnsi="Arial Narrow"/>
                  </w:rPr>
                  <w:t>50,000</w:t>
                </w:r>
              </w:p>
            </w:tc>
            <w:tc>
              <w:tcPr>
                <w:tcW w:w="614" w:type="pct"/>
                <w:vAlign w:val="center"/>
              </w:tcPr>
              <w:p w14:paraId="1E7989D6">
                <w:pPr>
                  <w:widowControl w:val="0"/>
                  <w:jc w:val="center"/>
                  <w:rPr>
                    <w:rFonts w:hint="eastAsia"/>
                    <w:szCs w:val="21"/>
                  </w:rPr>
                </w:pPr>
                <w:r>
                  <w:rPr>
                    <w:rFonts w:hint="eastAsia"/>
                  </w:rPr>
                  <w:t>股份增持计划</w:t>
                </w:r>
              </w:p>
            </w:tc>
            <w:tc>
              <w:tcPr>
                <w:tcW w:w="333" w:type="pct"/>
                <w:vAlign w:val="center"/>
              </w:tcPr>
              <w:p w14:paraId="37A9A365">
                <w:pPr>
                  <w:widowControl w:val="0"/>
                  <w:jc w:val="right"/>
                  <w:rPr>
                    <w:rFonts w:ascii="Arial Narrow" w:hAnsi="Arial Narrow"/>
                    <w:szCs w:val="21"/>
                  </w:rPr>
                </w:pPr>
                <w:r>
                  <w:rPr>
                    <w:rStyle w:val="138"/>
                    <w:rFonts w:ascii="Arial Narrow" w:hAnsi="Arial Narrow"/>
                  </w:rPr>
                  <w:t>78.59</w:t>
                </w:r>
              </w:p>
            </w:tc>
            <w:sdt>
              <w:sdtPr>
                <w:rPr>
                  <w:rFonts w:asciiTheme="minorHAnsi" w:hAnsiTheme="minorHAnsi" w:eastAsiaTheme="minorEastAsia" w:cstheme="minorBidi"/>
                  <w:kern w:val="2"/>
                  <w:szCs w:val="21"/>
                  <w14:ligatures w14:val="standardContextual"/>
                </w:rPr>
                <w:alias w:val="董事、监事、高级管理人员是否在公司关联方获取报酬"/>
                <w:tag w:val="_GBC_ca79c4e139754ecd84ca3e60eb23b31d"/>
                <w:id w:val="-743025056"/>
                <w:comboBox>
                  <w:listItem w:displayText="是" w:value="是"/>
                  <w:listItem w:displayText="否" w:value="否"/>
                </w:comboBox>
              </w:sdtPr>
              <w:sdtEndPr>
                <w:rPr>
                  <w:rFonts w:asciiTheme="minorHAnsi" w:hAnsiTheme="minorHAnsi" w:eastAsiaTheme="minorEastAsia" w:cstheme="minorBidi"/>
                  <w:kern w:val="2"/>
                  <w:szCs w:val="21"/>
                  <w14:ligatures w14:val="standardContextual"/>
                </w:rPr>
              </w:sdtEndPr>
              <w:sdtContent>
                <w:tc>
                  <w:tcPr>
                    <w:tcW w:w="424" w:type="pct"/>
                    <w:vAlign w:val="center"/>
                  </w:tcPr>
                  <w:p w14:paraId="01EE2C91">
                    <w:pPr>
                      <w:widowControl w:val="0"/>
                      <w:jc w:val="center"/>
                      <w:rPr>
                        <w:rFonts w:asciiTheme="minorHAnsi" w:hAnsiTheme="minorHAnsi" w:eastAsiaTheme="minorEastAsia" w:cstheme="minorBidi"/>
                        <w:kern w:val="2"/>
                        <w:szCs w:val="21"/>
                        <w14:ligatures w14:val="standardContextual"/>
                      </w:rPr>
                    </w:pPr>
                    <w:r>
                      <w:rPr>
                        <w:rFonts w:asciiTheme="minorHAnsi" w:hAnsiTheme="minorHAnsi" w:eastAsiaTheme="minorEastAsia" w:cstheme="minorBidi"/>
                        <w:kern w:val="2"/>
                        <w:szCs w:val="21"/>
                        <w14:ligatures w14:val="standardContextual"/>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052658397"/>
          <w:placeholder>
            <w:docPart w:val="1936DB4E3FF344D09964060C78AF357C"/>
          </w:placeholder>
        </w:sdtPr>
        <w:sdtEndPr>
          <w:rPr>
            <w:rFonts w:ascii="Arial Narrow" w:hAnsi="Arial Narrow" w:eastAsia="宋体" w:cs="宋体"/>
            <w:kern w:val="0"/>
            <w:szCs w:val="24"/>
            <w14:ligatures w14:val="none"/>
          </w:rPr>
        </w:sdtEndPr>
        <w:sdtContent>
          <w:tr w14:paraId="2671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restart"/>
                <w:vAlign w:val="center"/>
              </w:tcPr>
              <w:p w14:paraId="40C9F2D3">
                <w:pPr>
                  <w:widowControl w:val="0"/>
                  <w:jc w:val="center"/>
                  <w:rPr>
                    <w:rFonts w:hint="eastAsia"/>
                    <w:szCs w:val="21"/>
                  </w:rPr>
                </w:pPr>
                <w:r>
                  <w:rPr>
                    <w:rFonts w:hint="eastAsia"/>
                  </w:rPr>
                  <w:t>曾伟良</w:t>
                </w:r>
              </w:p>
            </w:tc>
            <w:sdt>
              <w:sdtPr>
                <w:rPr>
                  <w:szCs w:val="21"/>
                </w:rPr>
                <w:alias w:val="董事、监事、高级管理人员职务"/>
                <w:tag w:val="_GBC_560cf517d58e4c18969f11c03b6316c9"/>
                <w:id w:val="861949359"/>
                <w:text/>
              </w:sdtPr>
              <w:sdtEndPr>
                <w:rPr>
                  <w:szCs w:val="21"/>
                </w:rPr>
              </w:sdtEndPr>
              <w:sdtContent>
                <w:tc>
                  <w:tcPr>
                    <w:tcW w:w="680" w:type="pct"/>
                    <w:vAlign w:val="center"/>
                  </w:tcPr>
                  <w:p w14:paraId="1E757168">
                    <w:pPr>
                      <w:widowControl w:val="0"/>
                      <w:jc w:val="center"/>
                      <w:rPr>
                        <w:rFonts w:hint="eastAsia"/>
                        <w:szCs w:val="21"/>
                      </w:rPr>
                    </w:pPr>
                    <w:r>
                      <w:rPr>
                        <w:szCs w:val="21"/>
                      </w:rPr>
                      <w:t>总法律顾问</w:t>
                    </w:r>
                  </w:p>
                </w:tc>
              </w:sdtContent>
            </w:sdt>
            <w:tc>
              <w:tcPr>
                <w:tcW w:w="202" w:type="pct"/>
                <w:vMerge w:val="restart"/>
                <w:vAlign w:val="center"/>
              </w:tcPr>
              <w:p w14:paraId="1A8C53B6">
                <w:pPr>
                  <w:widowControl w:val="0"/>
                  <w:jc w:val="both"/>
                  <w:rPr>
                    <w:rFonts w:hint="eastAsia"/>
                    <w:szCs w:val="21"/>
                  </w:rPr>
                </w:pPr>
                <w:r>
                  <w:rPr>
                    <w:rFonts w:hint="eastAsia"/>
                  </w:rPr>
                  <w:t>男</w:t>
                </w:r>
              </w:p>
            </w:tc>
            <w:tc>
              <w:tcPr>
                <w:tcW w:w="203" w:type="pct"/>
                <w:vMerge w:val="restart"/>
                <w:vAlign w:val="center"/>
              </w:tcPr>
              <w:p w14:paraId="1474380C">
                <w:pPr>
                  <w:widowControl w:val="0"/>
                  <w:jc w:val="both"/>
                  <w:rPr>
                    <w:rFonts w:hint="eastAsia"/>
                    <w:szCs w:val="21"/>
                  </w:rPr>
                </w:pPr>
                <w:r>
                  <w:rPr>
                    <w:rFonts w:hint="eastAsia"/>
                  </w:rPr>
                  <w:t>50</w:t>
                </w:r>
              </w:p>
            </w:tc>
            <w:tc>
              <w:tcPr>
                <w:tcW w:w="542" w:type="pct"/>
                <w:vAlign w:val="center"/>
              </w:tcPr>
              <w:p w14:paraId="4996F069">
                <w:pPr>
                  <w:widowControl w:val="0"/>
                  <w:jc w:val="both"/>
                  <w:rPr>
                    <w:rFonts w:hint="eastAsia"/>
                    <w:szCs w:val="21"/>
                  </w:rPr>
                </w:pPr>
                <w:r>
                  <w:rPr>
                    <w:rFonts w:hint="eastAsia"/>
                  </w:rPr>
                  <w:t>2023-03-30</w:t>
                </w:r>
              </w:p>
            </w:tc>
            <w:tc>
              <w:tcPr>
                <w:tcW w:w="507" w:type="pct"/>
                <w:vAlign w:val="center"/>
              </w:tcPr>
              <w:p w14:paraId="3E91D3FF">
                <w:pPr>
                  <w:widowControl w:val="0"/>
                  <w:jc w:val="both"/>
                  <w:rPr>
                    <w:rFonts w:hint="eastAsia"/>
                    <w:szCs w:val="21"/>
                  </w:rPr>
                </w:pPr>
                <w:r>
                  <w:rPr>
                    <w:rFonts w:hint="eastAsia"/>
                  </w:rPr>
                  <w:t>2027-06-14</w:t>
                </w:r>
              </w:p>
            </w:tc>
            <w:tc>
              <w:tcPr>
                <w:tcW w:w="305" w:type="pct"/>
                <w:vMerge w:val="restart"/>
                <w:vAlign w:val="center"/>
              </w:tcPr>
              <w:p w14:paraId="7B7EAE08">
                <w:pPr>
                  <w:widowControl w:val="0"/>
                  <w:jc w:val="right"/>
                  <w:rPr>
                    <w:rFonts w:hint="eastAsia"/>
                    <w:szCs w:val="21"/>
                  </w:rPr>
                </w:pPr>
                <w:r>
                  <w:rPr>
                    <w:rFonts w:hint="eastAsia"/>
                  </w:rPr>
                  <w:t>0</w:t>
                </w:r>
              </w:p>
            </w:tc>
            <w:tc>
              <w:tcPr>
                <w:tcW w:w="414" w:type="pct"/>
                <w:vMerge w:val="restart"/>
                <w:vAlign w:val="center"/>
              </w:tcPr>
              <w:p w14:paraId="45E7654A">
                <w:pPr>
                  <w:widowControl w:val="0"/>
                  <w:jc w:val="right"/>
                  <w:rPr>
                    <w:rFonts w:ascii="Arial Narrow" w:hAnsi="Arial Narrow"/>
                  </w:rPr>
                </w:pPr>
                <w:r>
                  <w:rPr>
                    <w:rFonts w:hint="eastAsia" w:ascii="Arial Narrow" w:hAnsi="Arial Narrow"/>
                  </w:rPr>
                  <w:t>50,000</w:t>
                </w:r>
              </w:p>
            </w:tc>
            <w:tc>
              <w:tcPr>
                <w:tcW w:w="384" w:type="pct"/>
                <w:vMerge w:val="restart"/>
                <w:vAlign w:val="center"/>
              </w:tcPr>
              <w:p w14:paraId="59258F70">
                <w:pPr>
                  <w:widowControl w:val="0"/>
                  <w:jc w:val="right"/>
                  <w:rPr>
                    <w:rFonts w:ascii="Arial Narrow" w:hAnsi="Arial Narrow"/>
                  </w:rPr>
                </w:pPr>
                <w:r>
                  <w:rPr>
                    <w:rFonts w:hint="eastAsia" w:ascii="Arial Narrow" w:hAnsi="Arial Narrow"/>
                  </w:rPr>
                  <w:t>50,000</w:t>
                </w:r>
              </w:p>
            </w:tc>
            <w:tc>
              <w:tcPr>
                <w:tcW w:w="614" w:type="pct"/>
                <w:vMerge w:val="restart"/>
                <w:vAlign w:val="center"/>
              </w:tcPr>
              <w:p w14:paraId="10FCA770">
                <w:pPr>
                  <w:widowControl w:val="0"/>
                  <w:jc w:val="both"/>
                  <w:rPr>
                    <w:rFonts w:ascii="Arial Narrow" w:hAnsi="Arial Narrow"/>
                  </w:rPr>
                </w:pPr>
                <w:r>
                  <w:rPr>
                    <w:rFonts w:hint="eastAsia" w:ascii="Arial Narrow" w:hAnsi="Arial Narrow"/>
                  </w:rPr>
                  <w:t>股份增持计划</w:t>
                </w:r>
              </w:p>
            </w:tc>
            <w:tc>
              <w:tcPr>
                <w:tcW w:w="333" w:type="pct"/>
                <w:vMerge w:val="restart"/>
                <w:vAlign w:val="center"/>
              </w:tcPr>
              <w:p w14:paraId="47B02ECE">
                <w:pPr>
                  <w:widowControl w:val="0"/>
                  <w:jc w:val="right"/>
                  <w:rPr>
                    <w:rFonts w:ascii="Arial Narrow" w:hAnsi="Arial Narrow"/>
                  </w:rPr>
                </w:pPr>
                <w:r>
                  <w:rPr>
                    <w:rFonts w:hint="eastAsia" w:ascii="Arial Narrow" w:hAnsi="Arial Narrow"/>
                  </w:rPr>
                  <w:t>49.11</w:t>
                </w:r>
              </w:p>
            </w:tc>
            <w:sdt>
              <w:sdtPr>
                <w:rPr>
                  <w:rFonts w:ascii="Arial Narrow" w:hAnsi="Arial Narrow"/>
                </w:rPr>
                <w:alias w:val="董事、监事、高级管理人员是否在公司关联方获取报酬"/>
                <w:tag w:val="_GBC_ca79c4e139754ecd84ca3e60eb23b31d"/>
                <w:id w:val="-1871833147"/>
                <w:comboBox>
                  <w:listItem w:displayText="是" w:value="是"/>
                  <w:listItem w:displayText="否" w:value="否"/>
                </w:comboBox>
              </w:sdtPr>
              <w:sdtEndPr>
                <w:rPr>
                  <w:rFonts w:ascii="Arial Narrow" w:hAnsi="Arial Narrow"/>
                </w:rPr>
              </w:sdtEndPr>
              <w:sdtContent>
                <w:tc>
                  <w:tcPr>
                    <w:tcW w:w="424" w:type="pct"/>
                    <w:vMerge w:val="restart"/>
                    <w:vAlign w:val="center"/>
                  </w:tcPr>
                  <w:p w14:paraId="4D007ABD">
                    <w:pPr>
                      <w:widowControl w:val="0"/>
                      <w:jc w:val="center"/>
                      <w:rPr>
                        <w:rFonts w:ascii="Arial Narrow" w:hAnsi="Arial Narrow"/>
                      </w:rPr>
                    </w:pPr>
                    <w:r>
                      <w:rPr>
                        <w:rFonts w:ascii="Arial Narrow" w:hAnsi="Arial Narrow"/>
                      </w:rPr>
                      <w:t>否</w:t>
                    </w:r>
                  </w:p>
                </w:tc>
              </w:sdtContent>
            </w:sdt>
          </w:tr>
        </w:sdtContent>
      </w:sdt>
      <w:sdt>
        <w:sdtPr>
          <w:rPr>
            <w:rFonts w:hint="eastAsia"/>
            <w:szCs w:val="21"/>
          </w:rPr>
          <w:alias w:val="董事、监事、高级管理人员基本情况"/>
          <w:tag w:val="_TUP_7890760e7fef44f4bcc994fe788f22ef"/>
          <w:id w:val="-1967034524"/>
          <w:placeholder>
            <w:docPart w:val="1936DB4E3FF344D09964060C78AF357C"/>
          </w:placeholder>
        </w:sdtPr>
        <w:sdtEndPr>
          <w:rPr>
            <w:rFonts w:hint="default" w:asciiTheme="minorHAnsi" w:hAnsiTheme="minorHAnsi" w:eastAsiaTheme="minorEastAsia" w:cstheme="minorBidi"/>
            <w:kern w:val="2"/>
            <w:szCs w:val="21"/>
            <w14:ligatures w14:val="standardContextual"/>
          </w:rPr>
        </w:sdtEndPr>
        <w:sdtContent>
          <w:tr w14:paraId="3A64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Merge w:val="continue"/>
                <w:vAlign w:val="center"/>
              </w:tcPr>
              <w:p w14:paraId="6B3CC41A">
                <w:pPr>
                  <w:widowControl w:val="0"/>
                  <w:jc w:val="center"/>
                  <w:rPr>
                    <w:rFonts w:hint="eastAsia"/>
                    <w:szCs w:val="21"/>
                  </w:rPr>
                </w:pPr>
              </w:p>
            </w:tc>
            <w:sdt>
              <w:sdtPr>
                <w:rPr>
                  <w:rFonts w:hint="eastAsia"/>
                  <w:szCs w:val="21"/>
                </w:rPr>
                <w:alias w:val="董事、监事、高级管理人员职务"/>
                <w:tag w:val="_GBC_560cf517d58e4c18969f11c03b6316c9"/>
                <w:id w:val="1563527520"/>
                <w:text/>
              </w:sdtPr>
              <w:sdtEndPr>
                <w:rPr>
                  <w:rFonts w:hint="default"/>
                  <w:szCs w:val="21"/>
                </w:rPr>
              </w:sdtEndPr>
              <w:sdtContent>
                <w:tc>
                  <w:tcPr>
                    <w:tcW w:w="680" w:type="pct"/>
                    <w:vAlign w:val="center"/>
                  </w:tcPr>
                  <w:p w14:paraId="153BFDA1">
                    <w:pPr>
                      <w:widowControl w:val="0"/>
                      <w:jc w:val="center"/>
                      <w:rPr>
                        <w:rFonts w:hint="eastAsia"/>
                        <w:szCs w:val="21"/>
                      </w:rPr>
                    </w:pPr>
                    <w:r>
                      <w:rPr>
                        <w:szCs w:val="21"/>
                      </w:rPr>
                      <w:t>董事会秘书（代行）</w:t>
                    </w:r>
                  </w:p>
                </w:tc>
              </w:sdtContent>
            </w:sdt>
            <w:tc>
              <w:tcPr>
                <w:tcW w:w="202" w:type="pct"/>
                <w:vMerge w:val="continue"/>
                <w:vAlign w:val="center"/>
              </w:tcPr>
              <w:p w14:paraId="397DB76C">
                <w:pPr>
                  <w:widowControl w:val="0"/>
                  <w:jc w:val="both"/>
                  <w:rPr>
                    <w:rFonts w:hint="eastAsia"/>
                    <w:szCs w:val="21"/>
                  </w:rPr>
                </w:pPr>
              </w:p>
            </w:tc>
            <w:tc>
              <w:tcPr>
                <w:tcW w:w="203" w:type="pct"/>
                <w:vMerge w:val="continue"/>
                <w:vAlign w:val="center"/>
              </w:tcPr>
              <w:p w14:paraId="26F26AF9">
                <w:pPr>
                  <w:widowControl w:val="0"/>
                  <w:jc w:val="both"/>
                  <w:rPr>
                    <w:rFonts w:hint="eastAsia"/>
                    <w:szCs w:val="21"/>
                  </w:rPr>
                </w:pPr>
              </w:p>
            </w:tc>
            <w:tc>
              <w:tcPr>
                <w:tcW w:w="542" w:type="pct"/>
                <w:vAlign w:val="center"/>
              </w:tcPr>
              <w:p w14:paraId="3CFEA9E6">
                <w:pPr>
                  <w:widowControl w:val="0"/>
                  <w:jc w:val="both"/>
                  <w:rPr>
                    <w:rFonts w:hint="eastAsia"/>
                    <w:szCs w:val="21"/>
                  </w:rPr>
                </w:pPr>
                <w:r>
                  <w:rPr>
                    <w:rFonts w:hint="eastAsia"/>
                  </w:rPr>
                  <w:t>2024-03-26</w:t>
                </w:r>
              </w:p>
            </w:tc>
            <w:tc>
              <w:tcPr>
                <w:tcW w:w="507" w:type="pct"/>
                <w:vAlign w:val="center"/>
              </w:tcPr>
              <w:p w14:paraId="10C8B56C">
                <w:pPr>
                  <w:widowControl w:val="0"/>
                  <w:jc w:val="both"/>
                  <w:rPr>
                    <w:rFonts w:hint="eastAsia"/>
                    <w:szCs w:val="21"/>
                  </w:rPr>
                </w:pPr>
                <w:r>
                  <w:rPr>
                    <w:rFonts w:hint="eastAsia"/>
                  </w:rPr>
                  <w:t>2024-06-14</w:t>
                </w:r>
              </w:p>
            </w:tc>
            <w:tc>
              <w:tcPr>
                <w:tcW w:w="305" w:type="pct"/>
                <w:vMerge w:val="continue"/>
                <w:vAlign w:val="center"/>
              </w:tcPr>
              <w:p w14:paraId="7EE4B40A">
                <w:pPr>
                  <w:widowControl w:val="0"/>
                  <w:jc w:val="right"/>
                  <w:rPr>
                    <w:rFonts w:hint="eastAsia"/>
                    <w:szCs w:val="21"/>
                  </w:rPr>
                </w:pPr>
              </w:p>
            </w:tc>
            <w:tc>
              <w:tcPr>
                <w:tcW w:w="414" w:type="pct"/>
                <w:vMerge w:val="continue"/>
                <w:vAlign w:val="center"/>
              </w:tcPr>
              <w:p w14:paraId="26DBF299">
                <w:pPr>
                  <w:widowControl w:val="0"/>
                  <w:jc w:val="right"/>
                  <w:rPr>
                    <w:rFonts w:ascii="Arial Narrow" w:hAnsi="Arial Narrow"/>
                  </w:rPr>
                </w:pPr>
              </w:p>
            </w:tc>
            <w:tc>
              <w:tcPr>
                <w:tcW w:w="384" w:type="pct"/>
                <w:vMerge w:val="continue"/>
                <w:vAlign w:val="center"/>
              </w:tcPr>
              <w:p w14:paraId="5EF6A0EF">
                <w:pPr>
                  <w:widowControl w:val="0"/>
                  <w:jc w:val="right"/>
                  <w:rPr>
                    <w:rFonts w:ascii="Arial Narrow" w:hAnsi="Arial Narrow"/>
                  </w:rPr>
                </w:pPr>
              </w:p>
            </w:tc>
            <w:tc>
              <w:tcPr>
                <w:tcW w:w="614" w:type="pct"/>
                <w:vMerge w:val="continue"/>
                <w:vAlign w:val="center"/>
              </w:tcPr>
              <w:p w14:paraId="3688EA5C">
                <w:pPr>
                  <w:widowControl w:val="0"/>
                  <w:jc w:val="both"/>
                  <w:rPr>
                    <w:rFonts w:ascii="Arial Narrow" w:hAnsi="Arial Narrow"/>
                  </w:rPr>
                </w:pPr>
              </w:p>
            </w:tc>
            <w:tc>
              <w:tcPr>
                <w:tcW w:w="333" w:type="pct"/>
                <w:vMerge w:val="continue"/>
                <w:vAlign w:val="center"/>
              </w:tcPr>
              <w:p w14:paraId="3D9396BA">
                <w:pPr>
                  <w:widowControl w:val="0"/>
                  <w:jc w:val="right"/>
                  <w:rPr>
                    <w:rFonts w:ascii="Arial Narrow" w:hAnsi="Arial Narrow"/>
                  </w:rPr>
                </w:pPr>
              </w:p>
            </w:tc>
            <w:tc>
              <w:tcPr>
                <w:tcW w:w="424" w:type="pct"/>
                <w:vMerge w:val="continue"/>
                <w:vAlign w:val="center"/>
              </w:tcPr>
              <w:p w14:paraId="620A2619">
                <w:pPr>
                  <w:widowControl w:val="0"/>
                  <w:jc w:val="center"/>
                  <w:rPr>
                    <w:rFonts w:ascii="Arial Narrow" w:hAnsi="Arial Narrow"/>
                  </w:rPr>
                </w:pPr>
              </w:p>
            </w:tc>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511490639"/>
          <w:placeholder>
            <w:docPart w:val="1936DB4E3FF344D09964060C78AF357C"/>
          </w:placeholder>
        </w:sdtPr>
        <w:sdtEndPr>
          <w:rPr>
            <w:rFonts w:ascii="Arial Narrow" w:hAnsi="Arial Narrow" w:eastAsia="宋体" w:cs="宋体"/>
            <w:kern w:val="0"/>
            <w:szCs w:val="24"/>
            <w14:ligatures w14:val="none"/>
          </w:rPr>
        </w:sdtEndPr>
        <w:sdtContent>
          <w:tr w14:paraId="7D30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3D900693">
                <w:pPr>
                  <w:widowControl w:val="0"/>
                  <w:jc w:val="center"/>
                  <w:rPr>
                    <w:rFonts w:hint="eastAsia"/>
                    <w:szCs w:val="21"/>
                  </w:rPr>
                </w:pPr>
                <w:r>
                  <w:rPr>
                    <w:rFonts w:hint="eastAsia"/>
                  </w:rPr>
                  <w:t>冯晓</w:t>
                </w:r>
              </w:p>
            </w:tc>
            <w:sdt>
              <w:sdtPr>
                <w:rPr>
                  <w:szCs w:val="21"/>
                </w:rPr>
                <w:alias w:val="董事、监事、高级管理人员职务"/>
                <w:tag w:val="_GBC_560cf517d58e4c18969f11c03b6316c9"/>
                <w:id w:val="-1445763501"/>
                <w:text/>
              </w:sdtPr>
              <w:sdtEndPr>
                <w:rPr>
                  <w:szCs w:val="21"/>
                </w:rPr>
              </w:sdtEndPr>
              <w:sdtContent>
                <w:tc>
                  <w:tcPr>
                    <w:tcW w:w="680" w:type="pct"/>
                    <w:vAlign w:val="center"/>
                  </w:tcPr>
                  <w:p w14:paraId="5958F9D0">
                    <w:pPr>
                      <w:widowControl w:val="0"/>
                      <w:jc w:val="center"/>
                      <w:rPr>
                        <w:rFonts w:hint="eastAsia"/>
                        <w:szCs w:val="21"/>
                      </w:rPr>
                    </w:pPr>
                    <w:r>
                      <w:rPr>
                        <w:szCs w:val="21"/>
                      </w:rPr>
                      <w:t>董事会秘书</w:t>
                    </w:r>
                  </w:p>
                </w:tc>
              </w:sdtContent>
            </w:sdt>
            <w:tc>
              <w:tcPr>
                <w:tcW w:w="202" w:type="pct"/>
                <w:vAlign w:val="center"/>
              </w:tcPr>
              <w:p w14:paraId="4574742F">
                <w:pPr>
                  <w:widowControl w:val="0"/>
                  <w:jc w:val="both"/>
                  <w:rPr>
                    <w:rFonts w:hint="eastAsia"/>
                    <w:szCs w:val="21"/>
                  </w:rPr>
                </w:pPr>
                <w:r>
                  <w:rPr>
                    <w:rFonts w:hint="eastAsia"/>
                  </w:rPr>
                  <w:t>男</w:t>
                </w:r>
              </w:p>
            </w:tc>
            <w:tc>
              <w:tcPr>
                <w:tcW w:w="203" w:type="pct"/>
                <w:vAlign w:val="center"/>
              </w:tcPr>
              <w:p w14:paraId="1F99FDD3">
                <w:pPr>
                  <w:widowControl w:val="0"/>
                  <w:jc w:val="both"/>
                  <w:rPr>
                    <w:rFonts w:hint="eastAsia"/>
                    <w:szCs w:val="21"/>
                  </w:rPr>
                </w:pPr>
                <w:r>
                  <w:rPr>
                    <w:rFonts w:hint="eastAsia"/>
                  </w:rPr>
                  <w:t>39</w:t>
                </w:r>
              </w:p>
            </w:tc>
            <w:tc>
              <w:tcPr>
                <w:tcW w:w="542" w:type="pct"/>
                <w:vAlign w:val="center"/>
              </w:tcPr>
              <w:p w14:paraId="71AB5DD1">
                <w:pPr>
                  <w:widowControl w:val="0"/>
                  <w:jc w:val="both"/>
                  <w:rPr>
                    <w:rFonts w:hint="eastAsia"/>
                    <w:szCs w:val="21"/>
                  </w:rPr>
                </w:pPr>
                <w:r>
                  <w:rPr>
                    <w:rFonts w:hint="eastAsia"/>
                  </w:rPr>
                  <w:t>2024-06-14</w:t>
                </w:r>
              </w:p>
            </w:tc>
            <w:tc>
              <w:tcPr>
                <w:tcW w:w="507" w:type="pct"/>
                <w:vAlign w:val="center"/>
              </w:tcPr>
              <w:p w14:paraId="563B16C8">
                <w:pPr>
                  <w:widowControl w:val="0"/>
                  <w:jc w:val="both"/>
                  <w:rPr>
                    <w:rFonts w:hint="eastAsia"/>
                    <w:szCs w:val="21"/>
                  </w:rPr>
                </w:pPr>
                <w:r>
                  <w:rPr>
                    <w:rFonts w:hint="eastAsia"/>
                  </w:rPr>
                  <w:t>2027-06-14</w:t>
                </w:r>
              </w:p>
            </w:tc>
            <w:tc>
              <w:tcPr>
                <w:tcW w:w="305" w:type="pct"/>
                <w:vAlign w:val="center"/>
              </w:tcPr>
              <w:p w14:paraId="33E5DA3D">
                <w:pPr>
                  <w:widowControl w:val="0"/>
                  <w:jc w:val="right"/>
                  <w:rPr>
                    <w:rFonts w:hint="eastAsia"/>
                    <w:szCs w:val="21"/>
                  </w:rPr>
                </w:pPr>
                <w:r>
                  <w:rPr>
                    <w:rFonts w:hint="eastAsia"/>
                  </w:rPr>
                  <w:t>0</w:t>
                </w:r>
              </w:p>
            </w:tc>
            <w:tc>
              <w:tcPr>
                <w:tcW w:w="414" w:type="pct"/>
                <w:vAlign w:val="center"/>
              </w:tcPr>
              <w:p w14:paraId="13F21900">
                <w:pPr>
                  <w:widowControl w:val="0"/>
                  <w:jc w:val="right"/>
                  <w:rPr>
                    <w:rFonts w:ascii="Arial Narrow" w:hAnsi="Arial Narrow"/>
                  </w:rPr>
                </w:pPr>
                <w:r>
                  <w:rPr>
                    <w:rFonts w:hint="eastAsia" w:ascii="Arial Narrow" w:hAnsi="Arial Narrow"/>
                  </w:rPr>
                  <w:t>0</w:t>
                </w:r>
              </w:p>
            </w:tc>
            <w:tc>
              <w:tcPr>
                <w:tcW w:w="384" w:type="pct"/>
                <w:vAlign w:val="center"/>
              </w:tcPr>
              <w:p w14:paraId="49B5C960">
                <w:pPr>
                  <w:widowControl w:val="0"/>
                  <w:jc w:val="right"/>
                  <w:rPr>
                    <w:rFonts w:ascii="Arial Narrow" w:hAnsi="Arial Narrow"/>
                  </w:rPr>
                </w:pPr>
                <w:r>
                  <w:rPr>
                    <w:rFonts w:hint="eastAsia" w:ascii="Arial Narrow" w:hAnsi="Arial Narrow"/>
                  </w:rPr>
                  <w:t>0</w:t>
                </w:r>
              </w:p>
            </w:tc>
            <w:tc>
              <w:tcPr>
                <w:tcW w:w="614" w:type="pct"/>
                <w:vAlign w:val="center"/>
              </w:tcPr>
              <w:p w14:paraId="5DFB4070">
                <w:pPr>
                  <w:widowControl w:val="0"/>
                  <w:jc w:val="both"/>
                  <w:rPr>
                    <w:rFonts w:ascii="Arial Narrow" w:hAnsi="Arial Narrow"/>
                  </w:rPr>
                </w:pPr>
                <w:r>
                  <w:rPr>
                    <w:rFonts w:hint="eastAsia" w:ascii="Arial Narrow" w:hAnsi="Arial Narrow"/>
                  </w:rPr>
                  <w:t>/</w:t>
                </w:r>
              </w:p>
            </w:tc>
            <w:tc>
              <w:tcPr>
                <w:tcW w:w="333" w:type="pct"/>
                <w:vAlign w:val="center"/>
              </w:tcPr>
              <w:p w14:paraId="0AE3FD5B">
                <w:pPr>
                  <w:widowControl w:val="0"/>
                  <w:jc w:val="right"/>
                  <w:rPr>
                    <w:rFonts w:ascii="Arial Narrow" w:hAnsi="Arial Narrow"/>
                  </w:rPr>
                </w:pPr>
                <w:r>
                  <w:rPr>
                    <w:rFonts w:hint="eastAsia" w:ascii="Arial Narrow" w:hAnsi="Arial Narrow"/>
                  </w:rPr>
                  <w:t>54.13</w:t>
                </w:r>
              </w:p>
            </w:tc>
            <w:sdt>
              <w:sdtPr>
                <w:rPr>
                  <w:rFonts w:ascii="Arial Narrow" w:hAnsi="Arial Narrow"/>
                </w:rPr>
                <w:alias w:val="董事、监事、高级管理人员是否在公司关联方获取报酬"/>
                <w:tag w:val="_GBC_ca79c4e139754ecd84ca3e60eb23b31d"/>
                <w:id w:val="-387876603"/>
                <w:comboBox>
                  <w:listItem w:displayText="是" w:value="是"/>
                  <w:listItem w:displayText="否" w:value="否"/>
                </w:comboBox>
              </w:sdtPr>
              <w:sdtEndPr>
                <w:rPr>
                  <w:rFonts w:ascii="Arial Narrow" w:hAnsi="Arial Narrow"/>
                </w:rPr>
              </w:sdtEndPr>
              <w:sdtContent>
                <w:tc>
                  <w:tcPr>
                    <w:tcW w:w="424" w:type="pct"/>
                    <w:vAlign w:val="center"/>
                  </w:tcPr>
                  <w:p w14:paraId="677B386A">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2136750690"/>
          <w:placeholder>
            <w:docPart w:val="1936DB4E3FF344D09964060C78AF357C"/>
          </w:placeholder>
        </w:sdtPr>
        <w:sdtEndPr>
          <w:rPr>
            <w:rFonts w:ascii="Arial Narrow" w:hAnsi="Arial Narrow" w:eastAsia="宋体" w:cs="宋体"/>
            <w:kern w:val="0"/>
            <w:szCs w:val="24"/>
            <w14:ligatures w14:val="none"/>
          </w:rPr>
        </w:sdtEndPr>
        <w:sdtContent>
          <w:tr w14:paraId="1AA8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3B9748D4">
                <w:pPr>
                  <w:widowControl w:val="0"/>
                  <w:jc w:val="center"/>
                  <w:rPr>
                    <w:rFonts w:hint="eastAsia"/>
                    <w:szCs w:val="21"/>
                  </w:rPr>
                </w:pPr>
                <w:r>
                  <w:rPr>
                    <w:rFonts w:hint="eastAsia"/>
                  </w:rPr>
                  <w:t>杨大军（离任）</w:t>
                </w:r>
              </w:p>
            </w:tc>
            <w:sdt>
              <w:sdtPr>
                <w:rPr>
                  <w:szCs w:val="21"/>
                </w:rPr>
                <w:alias w:val="董事、监事、高级管理人员职务"/>
                <w:tag w:val="_GBC_560cf517d58e4c18969f11c03b6316c9"/>
                <w:id w:val="-1019772940"/>
                <w:text/>
              </w:sdtPr>
              <w:sdtEndPr>
                <w:rPr>
                  <w:szCs w:val="21"/>
                </w:rPr>
              </w:sdtEndPr>
              <w:sdtContent>
                <w:tc>
                  <w:tcPr>
                    <w:tcW w:w="680" w:type="pct"/>
                    <w:vAlign w:val="center"/>
                  </w:tcPr>
                  <w:p w14:paraId="35D1BE2A">
                    <w:pPr>
                      <w:widowControl w:val="0"/>
                      <w:jc w:val="center"/>
                      <w:rPr>
                        <w:rFonts w:hint="eastAsia"/>
                        <w:szCs w:val="21"/>
                      </w:rPr>
                    </w:pPr>
                    <w:r>
                      <w:rPr>
                        <w:szCs w:val="21"/>
                      </w:rPr>
                      <w:t>董事</w:t>
                    </w:r>
                  </w:p>
                </w:tc>
              </w:sdtContent>
            </w:sdt>
            <w:tc>
              <w:tcPr>
                <w:tcW w:w="202" w:type="pct"/>
                <w:vAlign w:val="center"/>
              </w:tcPr>
              <w:p w14:paraId="4A79203B">
                <w:pPr>
                  <w:widowControl w:val="0"/>
                  <w:jc w:val="both"/>
                  <w:rPr>
                    <w:rFonts w:hint="eastAsia"/>
                    <w:szCs w:val="21"/>
                  </w:rPr>
                </w:pPr>
                <w:r>
                  <w:rPr>
                    <w:rFonts w:hint="eastAsia"/>
                  </w:rPr>
                  <w:t>男</w:t>
                </w:r>
              </w:p>
            </w:tc>
            <w:tc>
              <w:tcPr>
                <w:tcW w:w="203" w:type="pct"/>
                <w:vAlign w:val="center"/>
              </w:tcPr>
              <w:p w14:paraId="23D66282">
                <w:pPr>
                  <w:widowControl w:val="0"/>
                  <w:jc w:val="both"/>
                  <w:rPr>
                    <w:rFonts w:hint="eastAsia"/>
                    <w:szCs w:val="21"/>
                  </w:rPr>
                </w:pPr>
                <w:r>
                  <w:rPr>
                    <w:rFonts w:hint="eastAsia"/>
                  </w:rPr>
                  <w:t>57</w:t>
                </w:r>
              </w:p>
            </w:tc>
            <w:tc>
              <w:tcPr>
                <w:tcW w:w="542" w:type="pct"/>
                <w:vAlign w:val="center"/>
              </w:tcPr>
              <w:p w14:paraId="728DDE5B">
                <w:pPr>
                  <w:widowControl w:val="0"/>
                  <w:jc w:val="both"/>
                  <w:rPr>
                    <w:rFonts w:hint="eastAsia"/>
                    <w:szCs w:val="21"/>
                  </w:rPr>
                </w:pPr>
                <w:r>
                  <w:rPr>
                    <w:rFonts w:hint="eastAsia"/>
                  </w:rPr>
                  <w:t>2021-01-21</w:t>
                </w:r>
              </w:p>
            </w:tc>
            <w:tc>
              <w:tcPr>
                <w:tcW w:w="507" w:type="pct"/>
                <w:vAlign w:val="center"/>
              </w:tcPr>
              <w:p w14:paraId="47982DB0">
                <w:pPr>
                  <w:widowControl w:val="0"/>
                  <w:jc w:val="both"/>
                  <w:rPr>
                    <w:rFonts w:hint="eastAsia"/>
                    <w:szCs w:val="21"/>
                  </w:rPr>
                </w:pPr>
                <w:r>
                  <w:rPr>
                    <w:rFonts w:hint="eastAsia"/>
                  </w:rPr>
                  <w:t>2024-06-14</w:t>
                </w:r>
              </w:p>
            </w:tc>
            <w:tc>
              <w:tcPr>
                <w:tcW w:w="305" w:type="pct"/>
                <w:vAlign w:val="center"/>
              </w:tcPr>
              <w:p w14:paraId="341D90AE">
                <w:pPr>
                  <w:widowControl w:val="0"/>
                  <w:jc w:val="right"/>
                  <w:rPr>
                    <w:rFonts w:hint="eastAsia"/>
                    <w:szCs w:val="21"/>
                  </w:rPr>
                </w:pPr>
                <w:r>
                  <w:rPr>
                    <w:rFonts w:hint="eastAsia"/>
                  </w:rPr>
                  <w:t>0</w:t>
                </w:r>
              </w:p>
            </w:tc>
            <w:tc>
              <w:tcPr>
                <w:tcW w:w="414" w:type="pct"/>
                <w:vAlign w:val="center"/>
              </w:tcPr>
              <w:p w14:paraId="6D443195">
                <w:pPr>
                  <w:widowControl w:val="0"/>
                  <w:jc w:val="right"/>
                  <w:rPr>
                    <w:rFonts w:ascii="Arial Narrow" w:hAnsi="Arial Narrow"/>
                  </w:rPr>
                </w:pPr>
                <w:r>
                  <w:rPr>
                    <w:rFonts w:hint="eastAsia" w:ascii="Arial Narrow" w:hAnsi="Arial Narrow"/>
                  </w:rPr>
                  <w:t>0</w:t>
                </w:r>
              </w:p>
            </w:tc>
            <w:tc>
              <w:tcPr>
                <w:tcW w:w="384" w:type="pct"/>
                <w:vAlign w:val="center"/>
              </w:tcPr>
              <w:p w14:paraId="6C2F212E">
                <w:pPr>
                  <w:widowControl w:val="0"/>
                  <w:jc w:val="right"/>
                  <w:rPr>
                    <w:rFonts w:ascii="Arial Narrow" w:hAnsi="Arial Narrow"/>
                  </w:rPr>
                </w:pPr>
                <w:r>
                  <w:rPr>
                    <w:rFonts w:hint="eastAsia" w:ascii="Arial Narrow" w:hAnsi="Arial Narrow"/>
                  </w:rPr>
                  <w:t>0</w:t>
                </w:r>
              </w:p>
            </w:tc>
            <w:tc>
              <w:tcPr>
                <w:tcW w:w="614" w:type="pct"/>
                <w:vAlign w:val="center"/>
              </w:tcPr>
              <w:p w14:paraId="6718CBE2">
                <w:pPr>
                  <w:widowControl w:val="0"/>
                  <w:jc w:val="both"/>
                  <w:rPr>
                    <w:rFonts w:ascii="Arial Narrow" w:hAnsi="Arial Narrow"/>
                  </w:rPr>
                </w:pPr>
                <w:r>
                  <w:rPr>
                    <w:rFonts w:hint="eastAsia" w:ascii="Arial Narrow" w:hAnsi="Arial Narrow"/>
                  </w:rPr>
                  <w:t>/</w:t>
                </w:r>
              </w:p>
            </w:tc>
            <w:tc>
              <w:tcPr>
                <w:tcW w:w="333" w:type="pct"/>
                <w:vAlign w:val="center"/>
              </w:tcPr>
              <w:p w14:paraId="3D5285C7">
                <w:pPr>
                  <w:widowControl w:val="0"/>
                  <w:jc w:val="right"/>
                  <w:rPr>
                    <w:rFonts w:ascii="Arial Narrow" w:hAnsi="Arial Narrow"/>
                  </w:rPr>
                </w:pPr>
                <w:r>
                  <w:rPr>
                    <w:rFonts w:hint="eastAsia" w:ascii="Arial Narrow" w:hAnsi="Arial Narrow"/>
                  </w:rPr>
                  <w:t>0</w:t>
                </w:r>
              </w:p>
            </w:tc>
            <w:sdt>
              <w:sdtPr>
                <w:rPr>
                  <w:rFonts w:ascii="Arial Narrow" w:hAnsi="Arial Narrow"/>
                </w:rPr>
                <w:alias w:val="董事、监事、高级管理人员是否在公司关联方获取报酬"/>
                <w:tag w:val="_GBC_ca79c4e139754ecd84ca3e60eb23b31d"/>
                <w:id w:val="24758936"/>
                <w:comboBox>
                  <w:listItem w:displayText="是" w:value="是"/>
                  <w:listItem w:displayText="否" w:value="否"/>
                </w:comboBox>
              </w:sdtPr>
              <w:sdtEndPr>
                <w:rPr>
                  <w:rFonts w:ascii="Arial Narrow" w:hAnsi="Arial Narrow"/>
                </w:rPr>
              </w:sdtEndPr>
              <w:sdtContent>
                <w:tc>
                  <w:tcPr>
                    <w:tcW w:w="424" w:type="pct"/>
                    <w:vAlign w:val="center"/>
                  </w:tcPr>
                  <w:p w14:paraId="21E2F39E">
                    <w:pPr>
                      <w:widowControl w:val="0"/>
                      <w:jc w:val="center"/>
                      <w:rPr>
                        <w:rFonts w:ascii="Arial Narrow" w:hAnsi="Arial Narrow"/>
                      </w:rPr>
                    </w:pPr>
                    <w:r>
                      <w:rPr>
                        <w:rFonts w:ascii="Arial Narrow" w:hAnsi="Arial Narrow"/>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324117066"/>
          <w:placeholder>
            <w:docPart w:val="1936DB4E3FF344D09964060C78AF357C"/>
          </w:placeholder>
        </w:sdtPr>
        <w:sdtEndPr>
          <w:rPr>
            <w:rFonts w:ascii="Arial Narrow" w:hAnsi="Arial Narrow" w:eastAsia="宋体" w:cs="宋体"/>
            <w:kern w:val="0"/>
            <w:szCs w:val="24"/>
            <w14:ligatures w14:val="none"/>
          </w:rPr>
        </w:sdtEndPr>
        <w:sdtContent>
          <w:tr w14:paraId="75E5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575EDE74">
                <w:pPr>
                  <w:widowControl w:val="0"/>
                  <w:jc w:val="center"/>
                  <w:rPr>
                    <w:rFonts w:hint="eastAsia"/>
                    <w:szCs w:val="21"/>
                  </w:rPr>
                </w:pPr>
                <w:r>
                  <w:rPr>
                    <w:rFonts w:hint="eastAsia"/>
                  </w:rPr>
                  <w:t>史俊龙（离任）</w:t>
                </w:r>
              </w:p>
            </w:tc>
            <w:sdt>
              <w:sdtPr>
                <w:rPr>
                  <w:szCs w:val="21"/>
                </w:rPr>
                <w:alias w:val="董事、监事、高级管理人员职务"/>
                <w:tag w:val="_GBC_560cf517d58e4c18969f11c03b6316c9"/>
                <w:id w:val="586890393"/>
                <w:text/>
              </w:sdtPr>
              <w:sdtEndPr>
                <w:rPr>
                  <w:szCs w:val="21"/>
                </w:rPr>
              </w:sdtEndPr>
              <w:sdtContent>
                <w:tc>
                  <w:tcPr>
                    <w:tcW w:w="680" w:type="pct"/>
                    <w:vAlign w:val="center"/>
                  </w:tcPr>
                  <w:p w14:paraId="6D88F383">
                    <w:pPr>
                      <w:widowControl w:val="0"/>
                      <w:jc w:val="center"/>
                      <w:rPr>
                        <w:rFonts w:hint="eastAsia"/>
                        <w:szCs w:val="21"/>
                      </w:rPr>
                    </w:pPr>
                    <w:r>
                      <w:rPr>
                        <w:szCs w:val="21"/>
                      </w:rPr>
                      <w:t>董事</w:t>
                    </w:r>
                  </w:p>
                </w:tc>
              </w:sdtContent>
            </w:sdt>
            <w:tc>
              <w:tcPr>
                <w:tcW w:w="202" w:type="pct"/>
                <w:vAlign w:val="center"/>
              </w:tcPr>
              <w:p w14:paraId="39F2CD98">
                <w:pPr>
                  <w:widowControl w:val="0"/>
                  <w:jc w:val="both"/>
                  <w:rPr>
                    <w:rFonts w:hint="eastAsia"/>
                    <w:szCs w:val="21"/>
                  </w:rPr>
                </w:pPr>
                <w:r>
                  <w:rPr>
                    <w:rFonts w:hint="eastAsia"/>
                  </w:rPr>
                  <w:t>男</w:t>
                </w:r>
              </w:p>
            </w:tc>
            <w:tc>
              <w:tcPr>
                <w:tcW w:w="203" w:type="pct"/>
                <w:vAlign w:val="center"/>
              </w:tcPr>
              <w:p w14:paraId="32C6145D">
                <w:pPr>
                  <w:widowControl w:val="0"/>
                  <w:jc w:val="both"/>
                  <w:rPr>
                    <w:rFonts w:hint="eastAsia"/>
                    <w:szCs w:val="21"/>
                  </w:rPr>
                </w:pPr>
                <w:r>
                  <w:rPr>
                    <w:rFonts w:hint="eastAsia"/>
                  </w:rPr>
                  <w:t>59</w:t>
                </w:r>
              </w:p>
            </w:tc>
            <w:tc>
              <w:tcPr>
                <w:tcW w:w="542" w:type="pct"/>
                <w:vAlign w:val="center"/>
              </w:tcPr>
              <w:p w14:paraId="74080CF2">
                <w:pPr>
                  <w:widowControl w:val="0"/>
                  <w:jc w:val="both"/>
                  <w:rPr>
                    <w:rFonts w:hint="eastAsia"/>
                    <w:szCs w:val="21"/>
                  </w:rPr>
                </w:pPr>
                <w:r>
                  <w:rPr>
                    <w:rFonts w:hint="eastAsia"/>
                  </w:rPr>
                  <w:t>2021-01-21</w:t>
                </w:r>
              </w:p>
            </w:tc>
            <w:tc>
              <w:tcPr>
                <w:tcW w:w="507" w:type="pct"/>
                <w:vAlign w:val="center"/>
              </w:tcPr>
              <w:p w14:paraId="73E5A5F5">
                <w:pPr>
                  <w:widowControl w:val="0"/>
                  <w:jc w:val="both"/>
                  <w:rPr>
                    <w:rFonts w:hint="eastAsia"/>
                    <w:szCs w:val="21"/>
                  </w:rPr>
                </w:pPr>
                <w:r>
                  <w:rPr>
                    <w:rFonts w:hint="eastAsia"/>
                  </w:rPr>
                  <w:t>2024-06-14</w:t>
                </w:r>
              </w:p>
            </w:tc>
            <w:tc>
              <w:tcPr>
                <w:tcW w:w="305" w:type="pct"/>
                <w:vAlign w:val="center"/>
              </w:tcPr>
              <w:p w14:paraId="4C1CA68F">
                <w:pPr>
                  <w:widowControl w:val="0"/>
                  <w:jc w:val="right"/>
                  <w:rPr>
                    <w:rFonts w:hint="eastAsia"/>
                    <w:szCs w:val="21"/>
                  </w:rPr>
                </w:pPr>
                <w:r>
                  <w:rPr>
                    <w:rFonts w:hint="eastAsia"/>
                  </w:rPr>
                  <w:t>0</w:t>
                </w:r>
              </w:p>
            </w:tc>
            <w:tc>
              <w:tcPr>
                <w:tcW w:w="414" w:type="pct"/>
                <w:vAlign w:val="center"/>
              </w:tcPr>
              <w:p w14:paraId="022E8DDA">
                <w:pPr>
                  <w:widowControl w:val="0"/>
                  <w:jc w:val="right"/>
                  <w:rPr>
                    <w:rFonts w:ascii="Arial Narrow" w:hAnsi="Arial Narrow"/>
                  </w:rPr>
                </w:pPr>
                <w:r>
                  <w:rPr>
                    <w:rFonts w:hint="eastAsia" w:ascii="Arial Narrow" w:hAnsi="Arial Narrow"/>
                  </w:rPr>
                  <w:t>0</w:t>
                </w:r>
              </w:p>
            </w:tc>
            <w:tc>
              <w:tcPr>
                <w:tcW w:w="384" w:type="pct"/>
                <w:vAlign w:val="center"/>
              </w:tcPr>
              <w:p w14:paraId="4F0485C3">
                <w:pPr>
                  <w:widowControl w:val="0"/>
                  <w:jc w:val="right"/>
                  <w:rPr>
                    <w:rFonts w:ascii="Arial Narrow" w:hAnsi="Arial Narrow"/>
                  </w:rPr>
                </w:pPr>
                <w:r>
                  <w:rPr>
                    <w:rFonts w:hint="eastAsia" w:ascii="Arial Narrow" w:hAnsi="Arial Narrow"/>
                  </w:rPr>
                  <w:t>0</w:t>
                </w:r>
              </w:p>
            </w:tc>
            <w:tc>
              <w:tcPr>
                <w:tcW w:w="614" w:type="pct"/>
                <w:vAlign w:val="center"/>
              </w:tcPr>
              <w:p w14:paraId="7B8C7210">
                <w:pPr>
                  <w:widowControl w:val="0"/>
                  <w:jc w:val="both"/>
                  <w:rPr>
                    <w:rFonts w:ascii="Arial Narrow" w:hAnsi="Arial Narrow"/>
                  </w:rPr>
                </w:pPr>
                <w:r>
                  <w:rPr>
                    <w:rFonts w:hint="eastAsia" w:ascii="Arial Narrow" w:hAnsi="Arial Narrow"/>
                  </w:rPr>
                  <w:t>/</w:t>
                </w:r>
              </w:p>
            </w:tc>
            <w:tc>
              <w:tcPr>
                <w:tcW w:w="333" w:type="pct"/>
                <w:vAlign w:val="center"/>
              </w:tcPr>
              <w:p w14:paraId="5600DA0E">
                <w:pPr>
                  <w:widowControl w:val="0"/>
                  <w:jc w:val="right"/>
                  <w:rPr>
                    <w:rFonts w:ascii="Arial Narrow" w:hAnsi="Arial Narrow"/>
                  </w:rPr>
                </w:pPr>
                <w:r>
                  <w:rPr>
                    <w:rFonts w:hint="eastAsia" w:ascii="Arial Narrow" w:hAnsi="Arial Narrow"/>
                  </w:rPr>
                  <w:t>0</w:t>
                </w:r>
              </w:p>
            </w:tc>
            <w:sdt>
              <w:sdtPr>
                <w:rPr>
                  <w:rFonts w:ascii="Arial Narrow" w:hAnsi="Arial Narrow"/>
                </w:rPr>
                <w:alias w:val="董事、监事、高级管理人员是否在公司关联方获取报酬"/>
                <w:tag w:val="_GBC_ca79c4e139754ecd84ca3e60eb23b31d"/>
                <w:id w:val="359944501"/>
                <w:comboBox>
                  <w:listItem w:displayText="是" w:value="是"/>
                  <w:listItem w:displayText="否" w:value="否"/>
                </w:comboBox>
              </w:sdtPr>
              <w:sdtEndPr>
                <w:rPr>
                  <w:rFonts w:ascii="Arial Narrow" w:hAnsi="Arial Narrow"/>
                </w:rPr>
              </w:sdtEndPr>
              <w:sdtContent>
                <w:tc>
                  <w:tcPr>
                    <w:tcW w:w="424" w:type="pct"/>
                    <w:vAlign w:val="center"/>
                  </w:tcPr>
                  <w:p w14:paraId="79BA29DE">
                    <w:pPr>
                      <w:widowControl w:val="0"/>
                      <w:jc w:val="center"/>
                      <w:rPr>
                        <w:rFonts w:ascii="Arial Narrow" w:hAnsi="Arial Narrow"/>
                      </w:rPr>
                    </w:pPr>
                    <w:r>
                      <w:rPr>
                        <w:rFonts w:ascii="Arial Narrow" w:hAnsi="Arial Narrow"/>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2046426155"/>
          <w:placeholder>
            <w:docPart w:val="1936DB4E3FF344D09964060C78AF357C"/>
          </w:placeholder>
        </w:sdtPr>
        <w:sdtEndPr>
          <w:rPr>
            <w:rFonts w:ascii="Arial Narrow" w:hAnsi="Arial Narrow" w:eastAsia="宋体" w:cs="宋体"/>
            <w:kern w:val="0"/>
            <w:szCs w:val="24"/>
            <w14:ligatures w14:val="none"/>
          </w:rPr>
        </w:sdtEndPr>
        <w:sdtContent>
          <w:tr w14:paraId="572E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7238D0BD">
                <w:pPr>
                  <w:widowControl w:val="0"/>
                  <w:jc w:val="center"/>
                  <w:rPr>
                    <w:rFonts w:hint="eastAsia"/>
                    <w:szCs w:val="21"/>
                  </w:rPr>
                </w:pPr>
                <w:r>
                  <w:rPr>
                    <w:rFonts w:hint="eastAsia"/>
                  </w:rPr>
                  <w:t>徐坚（离任）</w:t>
                </w:r>
              </w:p>
            </w:tc>
            <w:sdt>
              <w:sdtPr>
                <w:rPr>
                  <w:szCs w:val="21"/>
                </w:rPr>
                <w:alias w:val="董事、监事、高级管理人员职务"/>
                <w:tag w:val="_GBC_560cf517d58e4c18969f11c03b6316c9"/>
                <w:id w:val="129748305"/>
                <w:text/>
              </w:sdtPr>
              <w:sdtEndPr>
                <w:rPr>
                  <w:szCs w:val="21"/>
                </w:rPr>
              </w:sdtEndPr>
              <w:sdtContent>
                <w:tc>
                  <w:tcPr>
                    <w:tcW w:w="680" w:type="pct"/>
                    <w:vAlign w:val="center"/>
                  </w:tcPr>
                  <w:p w14:paraId="08ACC9B1">
                    <w:pPr>
                      <w:widowControl w:val="0"/>
                      <w:jc w:val="center"/>
                      <w:rPr>
                        <w:rFonts w:hint="eastAsia"/>
                        <w:szCs w:val="21"/>
                      </w:rPr>
                    </w:pPr>
                    <w:r>
                      <w:rPr>
                        <w:szCs w:val="21"/>
                      </w:rPr>
                      <w:t>独立董事</w:t>
                    </w:r>
                  </w:p>
                </w:tc>
              </w:sdtContent>
            </w:sdt>
            <w:tc>
              <w:tcPr>
                <w:tcW w:w="202" w:type="pct"/>
                <w:vAlign w:val="center"/>
              </w:tcPr>
              <w:p w14:paraId="67C2357C">
                <w:pPr>
                  <w:widowControl w:val="0"/>
                  <w:jc w:val="both"/>
                  <w:rPr>
                    <w:rFonts w:hint="eastAsia"/>
                    <w:szCs w:val="21"/>
                  </w:rPr>
                </w:pPr>
                <w:r>
                  <w:rPr>
                    <w:rFonts w:hint="eastAsia"/>
                  </w:rPr>
                  <w:t>男</w:t>
                </w:r>
              </w:p>
            </w:tc>
            <w:tc>
              <w:tcPr>
                <w:tcW w:w="203" w:type="pct"/>
                <w:vAlign w:val="center"/>
              </w:tcPr>
              <w:p w14:paraId="208ABA01">
                <w:pPr>
                  <w:widowControl w:val="0"/>
                  <w:jc w:val="both"/>
                  <w:rPr>
                    <w:rFonts w:hint="eastAsia"/>
                    <w:szCs w:val="21"/>
                  </w:rPr>
                </w:pPr>
                <w:r>
                  <w:rPr>
                    <w:rFonts w:hint="eastAsia"/>
                  </w:rPr>
                  <w:t>64</w:t>
                </w:r>
              </w:p>
            </w:tc>
            <w:tc>
              <w:tcPr>
                <w:tcW w:w="542" w:type="pct"/>
                <w:vAlign w:val="center"/>
              </w:tcPr>
              <w:p w14:paraId="050E77AE">
                <w:pPr>
                  <w:widowControl w:val="0"/>
                  <w:jc w:val="both"/>
                  <w:rPr>
                    <w:rFonts w:hint="eastAsia"/>
                    <w:szCs w:val="21"/>
                  </w:rPr>
                </w:pPr>
                <w:r>
                  <w:rPr>
                    <w:rFonts w:hint="eastAsia"/>
                  </w:rPr>
                  <w:t>2021-01-21</w:t>
                </w:r>
              </w:p>
            </w:tc>
            <w:tc>
              <w:tcPr>
                <w:tcW w:w="507" w:type="pct"/>
                <w:vAlign w:val="center"/>
              </w:tcPr>
              <w:p w14:paraId="17121459">
                <w:pPr>
                  <w:widowControl w:val="0"/>
                  <w:jc w:val="both"/>
                  <w:rPr>
                    <w:rFonts w:hint="eastAsia"/>
                    <w:szCs w:val="21"/>
                  </w:rPr>
                </w:pPr>
                <w:r>
                  <w:rPr>
                    <w:rFonts w:hint="eastAsia"/>
                  </w:rPr>
                  <w:t>2024-06-14</w:t>
                </w:r>
              </w:p>
            </w:tc>
            <w:tc>
              <w:tcPr>
                <w:tcW w:w="305" w:type="pct"/>
                <w:vAlign w:val="center"/>
              </w:tcPr>
              <w:p w14:paraId="2BA34E69">
                <w:pPr>
                  <w:widowControl w:val="0"/>
                  <w:jc w:val="right"/>
                  <w:rPr>
                    <w:rFonts w:hint="eastAsia"/>
                    <w:szCs w:val="21"/>
                  </w:rPr>
                </w:pPr>
                <w:r>
                  <w:rPr>
                    <w:rFonts w:hint="eastAsia"/>
                  </w:rPr>
                  <w:t>0</w:t>
                </w:r>
              </w:p>
            </w:tc>
            <w:tc>
              <w:tcPr>
                <w:tcW w:w="414" w:type="pct"/>
                <w:vAlign w:val="center"/>
              </w:tcPr>
              <w:p w14:paraId="3303CED6">
                <w:pPr>
                  <w:widowControl w:val="0"/>
                  <w:jc w:val="right"/>
                  <w:rPr>
                    <w:rFonts w:ascii="Arial Narrow" w:hAnsi="Arial Narrow"/>
                  </w:rPr>
                </w:pPr>
                <w:r>
                  <w:rPr>
                    <w:rFonts w:hint="eastAsia" w:ascii="Arial Narrow" w:hAnsi="Arial Narrow"/>
                  </w:rPr>
                  <w:t>0</w:t>
                </w:r>
              </w:p>
            </w:tc>
            <w:tc>
              <w:tcPr>
                <w:tcW w:w="384" w:type="pct"/>
                <w:vAlign w:val="center"/>
              </w:tcPr>
              <w:p w14:paraId="3422C687">
                <w:pPr>
                  <w:widowControl w:val="0"/>
                  <w:jc w:val="right"/>
                  <w:rPr>
                    <w:rFonts w:ascii="Arial Narrow" w:hAnsi="Arial Narrow"/>
                  </w:rPr>
                </w:pPr>
                <w:r>
                  <w:rPr>
                    <w:rFonts w:hint="eastAsia" w:ascii="Arial Narrow" w:hAnsi="Arial Narrow"/>
                  </w:rPr>
                  <w:t>0</w:t>
                </w:r>
              </w:p>
            </w:tc>
            <w:tc>
              <w:tcPr>
                <w:tcW w:w="614" w:type="pct"/>
                <w:vAlign w:val="center"/>
              </w:tcPr>
              <w:p w14:paraId="3526FA44">
                <w:pPr>
                  <w:widowControl w:val="0"/>
                  <w:jc w:val="both"/>
                  <w:rPr>
                    <w:rFonts w:ascii="Arial Narrow" w:hAnsi="Arial Narrow"/>
                  </w:rPr>
                </w:pPr>
                <w:r>
                  <w:rPr>
                    <w:rFonts w:hint="eastAsia" w:ascii="Arial Narrow" w:hAnsi="Arial Narrow"/>
                  </w:rPr>
                  <w:t>/</w:t>
                </w:r>
              </w:p>
            </w:tc>
            <w:tc>
              <w:tcPr>
                <w:tcW w:w="333" w:type="pct"/>
                <w:vAlign w:val="center"/>
              </w:tcPr>
              <w:p w14:paraId="335BD8A6">
                <w:pPr>
                  <w:widowControl w:val="0"/>
                  <w:jc w:val="right"/>
                  <w:rPr>
                    <w:rFonts w:ascii="Arial Narrow" w:hAnsi="Arial Narrow"/>
                  </w:rPr>
                </w:pPr>
                <w:r>
                  <w:rPr>
                    <w:rFonts w:hint="eastAsia" w:ascii="Arial Narrow" w:hAnsi="Arial Narrow"/>
                  </w:rPr>
                  <w:t>5.5</w:t>
                </w:r>
              </w:p>
            </w:tc>
            <w:sdt>
              <w:sdtPr>
                <w:rPr>
                  <w:rFonts w:ascii="Arial Narrow" w:hAnsi="Arial Narrow"/>
                </w:rPr>
                <w:alias w:val="董事、监事、高级管理人员是否在公司关联方获取报酬"/>
                <w:tag w:val="_GBC_ca79c4e139754ecd84ca3e60eb23b31d"/>
                <w:id w:val="83341307"/>
                <w:comboBox>
                  <w:listItem w:displayText="是" w:value="是"/>
                  <w:listItem w:displayText="否" w:value="否"/>
                </w:comboBox>
              </w:sdtPr>
              <w:sdtEndPr>
                <w:rPr>
                  <w:rFonts w:ascii="Arial Narrow" w:hAnsi="Arial Narrow"/>
                </w:rPr>
              </w:sdtEndPr>
              <w:sdtContent>
                <w:tc>
                  <w:tcPr>
                    <w:tcW w:w="424" w:type="pct"/>
                    <w:vAlign w:val="center"/>
                  </w:tcPr>
                  <w:p w14:paraId="659318E4">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202019383"/>
          <w:placeholder>
            <w:docPart w:val="1936DB4E3FF344D09964060C78AF357C"/>
          </w:placeholder>
        </w:sdtPr>
        <w:sdtEndPr>
          <w:rPr>
            <w:rFonts w:ascii="Arial Narrow" w:hAnsi="Arial Narrow" w:eastAsia="宋体" w:cs="宋体"/>
            <w:kern w:val="0"/>
            <w:szCs w:val="24"/>
            <w14:ligatures w14:val="none"/>
          </w:rPr>
        </w:sdtEndPr>
        <w:sdtContent>
          <w:tr w14:paraId="4600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3A55D7C6">
                <w:pPr>
                  <w:widowControl w:val="0"/>
                  <w:jc w:val="center"/>
                  <w:rPr>
                    <w:rFonts w:hint="eastAsia"/>
                    <w:szCs w:val="21"/>
                  </w:rPr>
                </w:pPr>
                <w:r>
                  <w:rPr>
                    <w:rFonts w:hint="eastAsia"/>
                  </w:rPr>
                  <w:t>卢业虎（离任）</w:t>
                </w:r>
              </w:p>
            </w:tc>
            <w:sdt>
              <w:sdtPr>
                <w:rPr>
                  <w:szCs w:val="21"/>
                </w:rPr>
                <w:alias w:val="董事、监事、高级管理人员职务"/>
                <w:tag w:val="_GBC_560cf517d58e4c18969f11c03b6316c9"/>
                <w:id w:val="1175609651"/>
                <w:text/>
              </w:sdtPr>
              <w:sdtEndPr>
                <w:rPr>
                  <w:szCs w:val="21"/>
                </w:rPr>
              </w:sdtEndPr>
              <w:sdtContent>
                <w:tc>
                  <w:tcPr>
                    <w:tcW w:w="680" w:type="pct"/>
                    <w:vAlign w:val="center"/>
                  </w:tcPr>
                  <w:p w14:paraId="0A4389FE">
                    <w:pPr>
                      <w:widowControl w:val="0"/>
                      <w:jc w:val="center"/>
                      <w:rPr>
                        <w:rFonts w:hint="eastAsia"/>
                        <w:szCs w:val="21"/>
                      </w:rPr>
                    </w:pPr>
                    <w:r>
                      <w:rPr>
                        <w:szCs w:val="21"/>
                      </w:rPr>
                      <w:t>独立董事</w:t>
                    </w:r>
                  </w:p>
                </w:tc>
              </w:sdtContent>
            </w:sdt>
            <w:tc>
              <w:tcPr>
                <w:tcW w:w="202" w:type="pct"/>
                <w:vAlign w:val="center"/>
              </w:tcPr>
              <w:p w14:paraId="5C119E8D">
                <w:pPr>
                  <w:widowControl w:val="0"/>
                  <w:jc w:val="both"/>
                  <w:rPr>
                    <w:rFonts w:hint="eastAsia"/>
                    <w:szCs w:val="21"/>
                  </w:rPr>
                </w:pPr>
                <w:r>
                  <w:rPr>
                    <w:rFonts w:hint="eastAsia"/>
                  </w:rPr>
                  <w:t>男</w:t>
                </w:r>
              </w:p>
            </w:tc>
            <w:tc>
              <w:tcPr>
                <w:tcW w:w="203" w:type="pct"/>
                <w:vAlign w:val="center"/>
              </w:tcPr>
              <w:p w14:paraId="2AFC79CA">
                <w:pPr>
                  <w:widowControl w:val="0"/>
                  <w:jc w:val="both"/>
                  <w:rPr>
                    <w:rFonts w:hint="eastAsia"/>
                    <w:szCs w:val="21"/>
                  </w:rPr>
                </w:pPr>
                <w:r>
                  <w:rPr>
                    <w:rFonts w:hint="eastAsia"/>
                  </w:rPr>
                  <w:t>39</w:t>
                </w:r>
              </w:p>
            </w:tc>
            <w:tc>
              <w:tcPr>
                <w:tcW w:w="542" w:type="pct"/>
                <w:vAlign w:val="center"/>
              </w:tcPr>
              <w:p w14:paraId="32D909CF">
                <w:pPr>
                  <w:widowControl w:val="0"/>
                  <w:jc w:val="both"/>
                  <w:rPr>
                    <w:rFonts w:hint="eastAsia"/>
                    <w:szCs w:val="21"/>
                  </w:rPr>
                </w:pPr>
                <w:r>
                  <w:rPr>
                    <w:rFonts w:hint="eastAsia"/>
                  </w:rPr>
                  <w:t>2021-01-21</w:t>
                </w:r>
              </w:p>
            </w:tc>
            <w:tc>
              <w:tcPr>
                <w:tcW w:w="507" w:type="pct"/>
                <w:vAlign w:val="center"/>
              </w:tcPr>
              <w:p w14:paraId="4B5A125B">
                <w:pPr>
                  <w:widowControl w:val="0"/>
                  <w:jc w:val="both"/>
                  <w:rPr>
                    <w:rFonts w:hint="eastAsia"/>
                    <w:szCs w:val="21"/>
                  </w:rPr>
                </w:pPr>
                <w:r>
                  <w:rPr>
                    <w:rFonts w:hint="eastAsia"/>
                  </w:rPr>
                  <w:t>2024-06-14</w:t>
                </w:r>
              </w:p>
            </w:tc>
            <w:tc>
              <w:tcPr>
                <w:tcW w:w="305" w:type="pct"/>
                <w:vAlign w:val="center"/>
              </w:tcPr>
              <w:p w14:paraId="597F03D3">
                <w:pPr>
                  <w:widowControl w:val="0"/>
                  <w:jc w:val="right"/>
                  <w:rPr>
                    <w:rFonts w:hint="eastAsia"/>
                    <w:szCs w:val="21"/>
                  </w:rPr>
                </w:pPr>
                <w:r>
                  <w:rPr>
                    <w:rFonts w:hint="eastAsia"/>
                  </w:rPr>
                  <w:t>0</w:t>
                </w:r>
              </w:p>
            </w:tc>
            <w:tc>
              <w:tcPr>
                <w:tcW w:w="414" w:type="pct"/>
                <w:vAlign w:val="center"/>
              </w:tcPr>
              <w:p w14:paraId="78C29C87">
                <w:pPr>
                  <w:widowControl w:val="0"/>
                  <w:jc w:val="right"/>
                  <w:rPr>
                    <w:rFonts w:ascii="Arial Narrow" w:hAnsi="Arial Narrow"/>
                  </w:rPr>
                </w:pPr>
                <w:r>
                  <w:rPr>
                    <w:rFonts w:hint="eastAsia" w:ascii="Arial Narrow" w:hAnsi="Arial Narrow"/>
                  </w:rPr>
                  <w:t>0</w:t>
                </w:r>
              </w:p>
            </w:tc>
            <w:tc>
              <w:tcPr>
                <w:tcW w:w="384" w:type="pct"/>
                <w:vAlign w:val="center"/>
              </w:tcPr>
              <w:p w14:paraId="5CFBCFF1">
                <w:pPr>
                  <w:widowControl w:val="0"/>
                  <w:jc w:val="right"/>
                  <w:rPr>
                    <w:rFonts w:ascii="Arial Narrow" w:hAnsi="Arial Narrow"/>
                  </w:rPr>
                </w:pPr>
                <w:r>
                  <w:rPr>
                    <w:rFonts w:hint="eastAsia" w:ascii="Arial Narrow" w:hAnsi="Arial Narrow"/>
                  </w:rPr>
                  <w:t>0</w:t>
                </w:r>
              </w:p>
            </w:tc>
            <w:tc>
              <w:tcPr>
                <w:tcW w:w="614" w:type="pct"/>
                <w:vAlign w:val="center"/>
              </w:tcPr>
              <w:p w14:paraId="436535C7">
                <w:pPr>
                  <w:widowControl w:val="0"/>
                  <w:jc w:val="both"/>
                  <w:rPr>
                    <w:rFonts w:ascii="Arial Narrow" w:hAnsi="Arial Narrow"/>
                  </w:rPr>
                </w:pPr>
                <w:r>
                  <w:rPr>
                    <w:rFonts w:hint="eastAsia" w:ascii="Arial Narrow" w:hAnsi="Arial Narrow"/>
                  </w:rPr>
                  <w:t>/</w:t>
                </w:r>
              </w:p>
            </w:tc>
            <w:tc>
              <w:tcPr>
                <w:tcW w:w="333" w:type="pct"/>
                <w:vAlign w:val="center"/>
              </w:tcPr>
              <w:p w14:paraId="1CCCFC58">
                <w:pPr>
                  <w:widowControl w:val="0"/>
                  <w:jc w:val="right"/>
                  <w:rPr>
                    <w:rFonts w:ascii="Arial Narrow" w:hAnsi="Arial Narrow"/>
                  </w:rPr>
                </w:pPr>
                <w:r>
                  <w:rPr>
                    <w:rFonts w:hint="eastAsia" w:ascii="Arial Narrow" w:hAnsi="Arial Narrow"/>
                  </w:rPr>
                  <w:t>5.5</w:t>
                </w:r>
              </w:p>
            </w:tc>
            <w:sdt>
              <w:sdtPr>
                <w:rPr>
                  <w:rFonts w:ascii="Arial Narrow" w:hAnsi="Arial Narrow"/>
                </w:rPr>
                <w:alias w:val="董事、监事、高级管理人员是否在公司关联方获取报酬"/>
                <w:tag w:val="_GBC_ca79c4e139754ecd84ca3e60eb23b31d"/>
                <w:id w:val="1048339952"/>
                <w:comboBox>
                  <w:listItem w:displayText="是" w:value="是"/>
                  <w:listItem w:displayText="否" w:value="否"/>
                </w:comboBox>
              </w:sdtPr>
              <w:sdtEndPr>
                <w:rPr>
                  <w:rFonts w:ascii="Arial Narrow" w:hAnsi="Arial Narrow"/>
                </w:rPr>
              </w:sdtEndPr>
              <w:sdtContent>
                <w:tc>
                  <w:tcPr>
                    <w:tcW w:w="424" w:type="pct"/>
                    <w:vAlign w:val="center"/>
                  </w:tcPr>
                  <w:p w14:paraId="7EF988C4">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2047096516"/>
          <w:placeholder>
            <w:docPart w:val="1936DB4E3FF344D09964060C78AF357C"/>
          </w:placeholder>
        </w:sdtPr>
        <w:sdtEndPr>
          <w:rPr>
            <w:rFonts w:ascii="Arial Narrow" w:hAnsi="Arial Narrow" w:eastAsia="宋体" w:cs="宋体"/>
            <w:kern w:val="0"/>
            <w:szCs w:val="24"/>
            <w14:ligatures w14:val="none"/>
          </w:rPr>
        </w:sdtEndPr>
        <w:sdtContent>
          <w:tr w14:paraId="0A64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27FA066D">
                <w:pPr>
                  <w:widowControl w:val="0"/>
                  <w:jc w:val="center"/>
                  <w:rPr>
                    <w:rFonts w:hint="eastAsia"/>
                    <w:szCs w:val="21"/>
                  </w:rPr>
                </w:pPr>
                <w:r>
                  <w:rPr>
                    <w:rFonts w:hint="eastAsia"/>
                  </w:rPr>
                  <w:t>黄孟魁（离任）</w:t>
                </w:r>
              </w:p>
            </w:tc>
            <w:sdt>
              <w:sdtPr>
                <w:rPr>
                  <w:szCs w:val="21"/>
                </w:rPr>
                <w:alias w:val="董事、监事、高级管理人员职务"/>
                <w:tag w:val="_GBC_560cf517d58e4c18969f11c03b6316c9"/>
                <w:id w:val="204997357"/>
                <w:text/>
              </w:sdtPr>
              <w:sdtEndPr>
                <w:rPr>
                  <w:szCs w:val="21"/>
                </w:rPr>
              </w:sdtEndPr>
              <w:sdtContent>
                <w:tc>
                  <w:tcPr>
                    <w:tcW w:w="680" w:type="pct"/>
                    <w:vAlign w:val="center"/>
                  </w:tcPr>
                  <w:p w14:paraId="3DD55D5D">
                    <w:pPr>
                      <w:widowControl w:val="0"/>
                      <w:jc w:val="center"/>
                      <w:rPr>
                        <w:rFonts w:hint="eastAsia"/>
                        <w:szCs w:val="21"/>
                      </w:rPr>
                    </w:pPr>
                    <w:r>
                      <w:rPr>
                        <w:szCs w:val="21"/>
                      </w:rPr>
                      <w:t>监事会主席</w:t>
                    </w:r>
                  </w:p>
                </w:tc>
              </w:sdtContent>
            </w:sdt>
            <w:tc>
              <w:tcPr>
                <w:tcW w:w="202" w:type="pct"/>
                <w:vAlign w:val="center"/>
              </w:tcPr>
              <w:p w14:paraId="3D6B837D">
                <w:pPr>
                  <w:widowControl w:val="0"/>
                  <w:jc w:val="both"/>
                  <w:rPr>
                    <w:rFonts w:hint="eastAsia"/>
                    <w:szCs w:val="21"/>
                  </w:rPr>
                </w:pPr>
                <w:r>
                  <w:rPr>
                    <w:rFonts w:hint="eastAsia"/>
                  </w:rPr>
                  <w:t>男</w:t>
                </w:r>
              </w:p>
            </w:tc>
            <w:tc>
              <w:tcPr>
                <w:tcW w:w="203" w:type="pct"/>
                <w:vAlign w:val="center"/>
              </w:tcPr>
              <w:p w14:paraId="60A02FEB">
                <w:pPr>
                  <w:widowControl w:val="0"/>
                  <w:jc w:val="both"/>
                  <w:rPr>
                    <w:rFonts w:hint="eastAsia"/>
                    <w:szCs w:val="21"/>
                  </w:rPr>
                </w:pPr>
                <w:r>
                  <w:rPr>
                    <w:rFonts w:hint="eastAsia"/>
                  </w:rPr>
                  <w:t>61</w:t>
                </w:r>
              </w:p>
            </w:tc>
            <w:tc>
              <w:tcPr>
                <w:tcW w:w="542" w:type="pct"/>
                <w:vAlign w:val="center"/>
              </w:tcPr>
              <w:p w14:paraId="7C5B3E95">
                <w:pPr>
                  <w:widowControl w:val="0"/>
                  <w:jc w:val="both"/>
                  <w:rPr>
                    <w:rFonts w:hint="eastAsia"/>
                    <w:szCs w:val="21"/>
                  </w:rPr>
                </w:pPr>
                <w:r>
                  <w:rPr>
                    <w:rFonts w:hint="eastAsia"/>
                  </w:rPr>
                  <w:t>2021-01-21</w:t>
                </w:r>
              </w:p>
            </w:tc>
            <w:tc>
              <w:tcPr>
                <w:tcW w:w="507" w:type="pct"/>
                <w:vAlign w:val="center"/>
              </w:tcPr>
              <w:p w14:paraId="537CCFC4">
                <w:pPr>
                  <w:widowControl w:val="0"/>
                  <w:jc w:val="both"/>
                  <w:rPr>
                    <w:rFonts w:hint="eastAsia"/>
                    <w:szCs w:val="21"/>
                  </w:rPr>
                </w:pPr>
                <w:r>
                  <w:rPr>
                    <w:rFonts w:hint="eastAsia"/>
                  </w:rPr>
                  <w:t>2024-06-14</w:t>
                </w:r>
              </w:p>
            </w:tc>
            <w:tc>
              <w:tcPr>
                <w:tcW w:w="305" w:type="pct"/>
                <w:vAlign w:val="center"/>
              </w:tcPr>
              <w:p w14:paraId="763B72EF">
                <w:pPr>
                  <w:widowControl w:val="0"/>
                  <w:jc w:val="right"/>
                  <w:rPr>
                    <w:rFonts w:hint="eastAsia"/>
                    <w:szCs w:val="21"/>
                  </w:rPr>
                </w:pPr>
                <w:r>
                  <w:rPr>
                    <w:rFonts w:hint="eastAsia"/>
                  </w:rPr>
                  <w:t>0</w:t>
                </w:r>
              </w:p>
            </w:tc>
            <w:tc>
              <w:tcPr>
                <w:tcW w:w="414" w:type="pct"/>
                <w:vAlign w:val="center"/>
              </w:tcPr>
              <w:p w14:paraId="61B527C5">
                <w:pPr>
                  <w:widowControl w:val="0"/>
                  <w:jc w:val="right"/>
                  <w:rPr>
                    <w:rFonts w:ascii="Arial Narrow" w:hAnsi="Arial Narrow"/>
                  </w:rPr>
                </w:pPr>
                <w:r>
                  <w:rPr>
                    <w:rFonts w:hint="eastAsia" w:ascii="Arial Narrow" w:hAnsi="Arial Narrow"/>
                  </w:rPr>
                  <w:t>0</w:t>
                </w:r>
              </w:p>
            </w:tc>
            <w:tc>
              <w:tcPr>
                <w:tcW w:w="384" w:type="pct"/>
                <w:vAlign w:val="center"/>
              </w:tcPr>
              <w:p w14:paraId="7DC38E99">
                <w:pPr>
                  <w:widowControl w:val="0"/>
                  <w:jc w:val="right"/>
                  <w:rPr>
                    <w:rFonts w:ascii="Arial Narrow" w:hAnsi="Arial Narrow"/>
                  </w:rPr>
                </w:pPr>
                <w:r>
                  <w:rPr>
                    <w:rFonts w:hint="eastAsia" w:ascii="Arial Narrow" w:hAnsi="Arial Narrow"/>
                  </w:rPr>
                  <w:t>0</w:t>
                </w:r>
              </w:p>
            </w:tc>
            <w:tc>
              <w:tcPr>
                <w:tcW w:w="614" w:type="pct"/>
                <w:vAlign w:val="center"/>
              </w:tcPr>
              <w:p w14:paraId="52428236">
                <w:pPr>
                  <w:widowControl w:val="0"/>
                  <w:jc w:val="both"/>
                  <w:rPr>
                    <w:rFonts w:ascii="Arial Narrow" w:hAnsi="Arial Narrow"/>
                  </w:rPr>
                </w:pPr>
                <w:r>
                  <w:rPr>
                    <w:rFonts w:hint="eastAsia" w:ascii="Arial Narrow" w:hAnsi="Arial Narrow"/>
                  </w:rPr>
                  <w:t>/</w:t>
                </w:r>
              </w:p>
            </w:tc>
            <w:tc>
              <w:tcPr>
                <w:tcW w:w="333" w:type="pct"/>
                <w:vAlign w:val="center"/>
              </w:tcPr>
              <w:p w14:paraId="5C8A2A8E">
                <w:pPr>
                  <w:widowControl w:val="0"/>
                  <w:jc w:val="right"/>
                  <w:rPr>
                    <w:rFonts w:ascii="Arial Narrow" w:hAnsi="Arial Narrow"/>
                  </w:rPr>
                </w:pPr>
                <w:r>
                  <w:rPr>
                    <w:rFonts w:hint="eastAsia" w:ascii="Arial Narrow" w:hAnsi="Arial Narrow"/>
                  </w:rPr>
                  <w:t>0</w:t>
                </w:r>
              </w:p>
            </w:tc>
            <w:sdt>
              <w:sdtPr>
                <w:rPr>
                  <w:rFonts w:ascii="Arial Narrow" w:hAnsi="Arial Narrow"/>
                </w:rPr>
                <w:alias w:val="董事、监事、高级管理人员是否在公司关联方获取报酬"/>
                <w:tag w:val="_GBC_ca79c4e139754ecd84ca3e60eb23b31d"/>
                <w:id w:val="-2107114112"/>
                <w:comboBox>
                  <w:listItem w:displayText="是" w:value="是"/>
                  <w:listItem w:displayText="否" w:value="否"/>
                </w:comboBox>
              </w:sdtPr>
              <w:sdtEndPr>
                <w:rPr>
                  <w:rFonts w:ascii="Arial Narrow" w:hAnsi="Arial Narrow"/>
                </w:rPr>
              </w:sdtEndPr>
              <w:sdtContent>
                <w:tc>
                  <w:tcPr>
                    <w:tcW w:w="424" w:type="pct"/>
                    <w:vAlign w:val="center"/>
                  </w:tcPr>
                  <w:p w14:paraId="3B8F7ABA">
                    <w:pPr>
                      <w:widowControl w:val="0"/>
                      <w:jc w:val="center"/>
                      <w:rPr>
                        <w:rFonts w:ascii="Arial Narrow" w:hAnsi="Arial Narrow"/>
                      </w:rPr>
                    </w:pPr>
                    <w:r>
                      <w:rPr>
                        <w:rFonts w:ascii="Arial Narrow" w:hAnsi="Arial Narrow"/>
                      </w:rPr>
                      <w:t>是</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866196287"/>
          <w:placeholder>
            <w:docPart w:val="1936DB4E3FF344D09964060C78AF357C"/>
          </w:placeholder>
        </w:sdtPr>
        <w:sdtEndPr>
          <w:rPr>
            <w:rFonts w:ascii="Arial Narrow" w:hAnsi="Arial Narrow" w:eastAsia="宋体" w:cs="宋体"/>
            <w:kern w:val="0"/>
            <w:szCs w:val="24"/>
            <w14:ligatures w14:val="none"/>
          </w:rPr>
        </w:sdtEndPr>
        <w:sdtContent>
          <w:tr w14:paraId="2378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3CAEBA74">
                <w:pPr>
                  <w:widowControl w:val="0"/>
                  <w:jc w:val="center"/>
                  <w:rPr>
                    <w:rFonts w:hint="eastAsia"/>
                    <w:szCs w:val="21"/>
                  </w:rPr>
                </w:pPr>
                <w:r>
                  <w:rPr>
                    <w:rFonts w:hint="eastAsia"/>
                  </w:rPr>
                  <w:t>刘海权（离任）</w:t>
                </w:r>
              </w:p>
            </w:tc>
            <w:sdt>
              <w:sdtPr>
                <w:rPr>
                  <w:szCs w:val="21"/>
                </w:rPr>
                <w:alias w:val="董事、监事、高级管理人员职务"/>
                <w:tag w:val="_GBC_560cf517d58e4c18969f11c03b6316c9"/>
                <w:id w:val="1475873630"/>
                <w:text/>
              </w:sdtPr>
              <w:sdtEndPr>
                <w:rPr>
                  <w:szCs w:val="21"/>
                </w:rPr>
              </w:sdtEndPr>
              <w:sdtContent>
                <w:tc>
                  <w:tcPr>
                    <w:tcW w:w="680" w:type="pct"/>
                    <w:vAlign w:val="center"/>
                  </w:tcPr>
                  <w:p w14:paraId="1633C3CB">
                    <w:pPr>
                      <w:widowControl w:val="0"/>
                      <w:jc w:val="center"/>
                      <w:rPr>
                        <w:rFonts w:hint="eastAsia"/>
                        <w:szCs w:val="21"/>
                      </w:rPr>
                    </w:pPr>
                    <w:r>
                      <w:rPr>
                        <w:szCs w:val="21"/>
                      </w:rPr>
                      <w:t>职工监事</w:t>
                    </w:r>
                  </w:p>
                </w:tc>
              </w:sdtContent>
            </w:sdt>
            <w:tc>
              <w:tcPr>
                <w:tcW w:w="202" w:type="pct"/>
                <w:vAlign w:val="center"/>
              </w:tcPr>
              <w:p w14:paraId="5AEAF971">
                <w:pPr>
                  <w:widowControl w:val="0"/>
                  <w:jc w:val="both"/>
                  <w:rPr>
                    <w:rFonts w:hint="eastAsia"/>
                    <w:szCs w:val="21"/>
                  </w:rPr>
                </w:pPr>
                <w:r>
                  <w:rPr>
                    <w:rFonts w:hint="eastAsia"/>
                  </w:rPr>
                  <w:t>男</w:t>
                </w:r>
              </w:p>
            </w:tc>
            <w:tc>
              <w:tcPr>
                <w:tcW w:w="203" w:type="pct"/>
                <w:vAlign w:val="center"/>
              </w:tcPr>
              <w:p w14:paraId="037054D2">
                <w:pPr>
                  <w:widowControl w:val="0"/>
                  <w:jc w:val="both"/>
                  <w:rPr>
                    <w:rFonts w:hint="eastAsia"/>
                    <w:szCs w:val="21"/>
                  </w:rPr>
                </w:pPr>
                <w:r>
                  <w:rPr>
                    <w:rFonts w:hint="eastAsia"/>
                  </w:rPr>
                  <w:t>60</w:t>
                </w:r>
              </w:p>
            </w:tc>
            <w:tc>
              <w:tcPr>
                <w:tcW w:w="542" w:type="pct"/>
                <w:vAlign w:val="center"/>
              </w:tcPr>
              <w:p w14:paraId="0772BDEE">
                <w:pPr>
                  <w:widowControl w:val="0"/>
                  <w:jc w:val="both"/>
                  <w:rPr>
                    <w:rFonts w:hint="eastAsia"/>
                    <w:szCs w:val="21"/>
                  </w:rPr>
                </w:pPr>
                <w:r>
                  <w:rPr>
                    <w:rFonts w:hint="eastAsia"/>
                  </w:rPr>
                  <w:t>2021-01-21</w:t>
                </w:r>
              </w:p>
            </w:tc>
            <w:tc>
              <w:tcPr>
                <w:tcW w:w="507" w:type="pct"/>
                <w:vAlign w:val="center"/>
              </w:tcPr>
              <w:p w14:paraId="57ED0B6E">
                <w:pPr>
                  <w:widowControl w:val="0"/>
                  <w:jc w:val="both"/>
                  <w:rPr>
                    <w:rFonts w:hint="eastAsia"/>
                    <w:szCs w:val="21"/>
                  </w:rPr>
                </w:pPr>
                <w:r>
                  <w:rPr>
                    <w:rFonts w:hint="eastAsia"/>
                  </w:rPr>
                  <w:t>2024-06-14</w:t>
                </w:r>
              </w:p>
            </w:tc>
            <w:tc>
              <w:tcPr>
                <w:tcW w:w="305" w:type="pct"/>
                <w:vAlign w:val="center"/>
              </w:tcPr>
              <w:p w14:paraId="3BDC6F1A">
                <w:pPr>
                  <w:widowControl w:val="0"/>
                  <w:jc w:val="right"/>
                  <w:rPr>
                    <w:rFonts w:hint="eastAsia"/>
                    <w:szCs w:val="21"/>
                  </w:rPr>
                </w:pPr>
                <w:r>
                  <w:rPr>
                    <w:rFonts w:hint="eastAsia"/>
                  </w:rPr>
                  <w:t>0</w:t>
                </w:r>
              </w:p>
            </w:tc>
            <w:tc>
              <w:tcPr>
                <w:tcW w:w="414" w:type="pct"/>
                <w:vAlign w:val="center"/>
              </w:tcPr>
              <w:p w14:paraId="129F00C1">
                <w:pPr>
                  <w:widowControl w:val="0"/>
                  <w:jc w:val="right"/>
                  <w:rPr>
                    <w:rFonts w:ascii="Arial Narrow" w:hAnsi="Arial Narrow"/>
                  </w:rPr>
                </w:pPr>
                <w:r>
                  <w:rPr>
                    <w:rFonts w:hint="eastAsia" w:ascii="Arial Narrow" w:hAnsi="Arial Narrow"/>
                  </w:rPr>
                  <w:t>0</w:t>
                </w:r>
              </w:p>
            </w:tc>
            <w:tc>
              <w:tcPr>
                <w:tcW w:w="384" w:type="pct"/>
                <w:vAlign w:val="center"/>
              </w:tcPr>
              <w:p w14:paraId="78ECAA73">
                <w:pPr>
                  <w:widowControl w:val="0"/>
                  <w:jc w:val="right"/>
                  <w:rPr>
                    <w:rFonts w:ascii="Arial Narrow" w:hAnsi="Arial Narrow"/>
                  </w:rPr>
                </w:pPr>
                <w:r>
                  <w:rPr>
                    <w:rFonts w:hint="eastAsia" w:ascii="Arial Narrow" w:hAnsi="Arial Narrow"/>
                  </w:rPr>
                  <w:t>0</w:t>
                </w:r>
              </w:p>
            </w:tc>
            <w:tc>
              <w:tcPr>
                <w:tcW w:w="614" w:type="pct"/>
                <w:vAlign w:val="center"/>
              </w:tcPr>
              <w:p w14:paraId="2A5402C7">
                <w:pPr>
                  <w:widowControl w:val="0"/>
                  <w:jc w:val="both"/>
                  <w:rPr>
                    <w:rFonts w:ascii="Arial Narrow" w:hAnsi="Arial Narrow"/>
                  </w:rPr>
                </w:pPr>
                <w:r>
                  <w:rPr>
                    <w:rFonts w:hint="eastAsia" w:ascii="Arial Narrow" w:hAnsi="Arial Narrow"/>
                  </w:rPr>
                  <w:t>/</w:t>
                </w:r>
              </w:p>
            </w:tc>
            <w:tc>
              <w:tcPr>
                <w:tcW w:w="333" w:type="pct"/>
                <w:vAlign w:val="center"/>
              </w:tcPr>
              <w:p w14:paraId="73FB4FA7">
                <w:pPr>
                  <w:widowControl w:val="0"/>
                  <w:jc w:val="right"/>
                  <w:rPr>
                    <w:rFonts w:ascii="Arial Narrow" w:hAnsi="Arial Narrow"/>
                  </w:rPr>
                </w:pPr>
                <w:r>
                  <w:rPr>
                    <w:rFonts w:hint="eastAsia" w:ascii="Arial Narrow" w:hAnsi="Arial Narrow"/>
                  </w:rPr>
                  <w:t>33.69</w:t>
                </w:r>
              </w:p>
            </w:tc>
            <w:sdt>
              <w:sdtPr>
                <w:rPr>
                  <w:rFonts w:ascii="Arial Narrow" w:hAnsi="Arial Narrow"/>
                </w:rPr>
                <w:alias w:val="董事、监事、高级管理人员是否在公司关联方获取报酬"/>
                <w:tag w:val="_GBC_ca79c4e139754ecd84ca3e60eb23b31d"/>
                <w:id w:val="1620340686"/>
                <w:comboBox>
                  <w:listItem w:displayText="是" w:value="是"/>
                  <w:listItem w:displayText="否" w:value="否"/>
                </w:comboBox>
              </w:sdtPr>
              <w:sdtEndPr>
                <w:rPr>
                  <w:rFonts w:ascii="Arial Narrow" w:hAnsi="Arial Narrow"/>
                </w:rPr>
              </w:sdtEndPr>
              <w:sdtContent>
                <w:tc>
                  <w:tcPr>
                    <w:tcW w:w="424" w:type="pct"/>
                    <w:vAlign w:val="center"/>
                  </w:tcPr>
                  <w:p w14:paraId="0B2B9ED3">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903756709"/>
          <w:placeholder>
            <w:docPart w:val="1936DB4E3FF344D09964060C78AF357C"/>
          </w:placeholder>
        </w:sdtPr>
        <w:sdtEndPr>
          <w:rPr>
            <w:rFonts w:ascii="Arial Narrow" w:hAnsi="Arial Narrow" w:eastAsia="宋体" w:cs="宋体"/>
            <w:kern w:val="0"/>
            <w:szCs w:val="24"/>
            <w14:ligatures w14:val="none"/>
          </w:rPr>
        </w:sdtEndPr>
        <w:sdtContent>
          <w:tr w14:paraId="6B84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6A7E8D2C">
                <w:pPr>
                  <w:widowControl w:val="0"/>
                  <w:jc w:val="center"/>
                  <w:rPr>
                    <w:rFonts w:hint="eastAsia"/>
                    <w:szCs w:val="21"/>
                  </w:rPr>
                </w:pPr>
                <w:r>
                  <w:rPr>
                    <w:rFonts w:hint="eastAsia"/>
                  </w:rPr>
                  <w:t>滕连越（离任）</w:t>
                </w:r>
              </w:p>
            </w:tc>
            <w:sdt>
              <w:sdtPr>
                <w:rPr>
                  <w:szCs w:val="21"/>
                </w:rPr>
                <w:alias w:val="董事、监事、高级管理人员职务"/>
                <w:tag w:val="_GBC_560cf517d58e4c18969f11c03b6316c9"/>
                <w:id w:val="1105078757"/>
                <w:text/>
              </w:sdtPr>
              <w:sdtEndPr>
                <w:rPr>
                  <w:szCs w:val="21"/>
                </w:rPr>
              </w:sdtEndPr>
              <w:sdtContent>
                <w:tc>
                  <w:tcPr>
                    <w:tcW w:w="680" w:type="pct"/>
                    <w:vAlign w:val="center"/>
                  </w:tcPr>
                  <w:p w14:paraId="13FACF8B">
                    <w:pPr>
                      <w:widowControl w:val="0"/>
                      <w:jc w:val="center"/>
                      <w:rPr>
                        <w:rFonts w:hint="eastAsia"/>
                        <w:szCs w:val="21"/>
                      </w:rPr>
                    </w:pPr>
                    <w:r>
                      <w:rPr>
                        <w:szCs w:val="21"/>
                      </w:rPr>
                      <w:t>监事</w:t>
                    </w:r>
                  </w:p>
                </w:tc>
              </w:sdtContent>
            </w:sdt>
            <w:tc>
              <w:tcPr>
                <w:tcW w:w="202" w:type="pct"/>
                <w:vAlign w:val="center"/>
              </w:tcPr>
              <w:p w14:paraId="17F8B2F5">
                <w:pPr>
                  <w:widowControl w:val="0"/>
                  <w:jc w:val="both"/>
                  <w:rPr>
                    <w:rFonts w:hint="eastAsia"/>
                    <w:szCs w:val="21"/>
                  </w:rPr>
                </w:pPr>
                <w:r>
                  <w:rPr>
                    <w:rFonts w:hint="eastAsia"/>
                  </w:rPr>
                  <w:t>男</w:t>
                </w:r>
              </w:p>
            </w:tc>
            <w:tc>
              <w:tcPr>
                <w:tcW w:w="203" w:type="pct"/>
                <w:vAlign w:val="center"/>
              </w:tcPr>
              <w:p w14:paraId="3AF621F8">
                <w:pPr>
                  <w:widowControl w:val="0"/>
                  <w:jc w:val="both"/>
                  <w:rPr>
                    <w:rFonts w:hint="eastAsia"/>
                    <w:szCs w:val="21"/>
                  </w:rPr>
                </w:pPr>
                <w:r>
                  <w:rPr>
                    <w:rFonts w:hint="eastAsia"/>
                  </w:rPr>
                  <w:t>56</w:t>
                </w:r>
              </w:p>
            </w:tc>
            <w:tc>
              <w:tcPr>
                <w:tcW w:w="542" w:type="pct"/>
                <w:vAlign w:val="center"/>
              </w:tcPr>
              <w:p w14:paraId="0F81ED14">
                <w:pPr>
                  <w:widowControl w:val="0"/>
                  <w:jc w:val="both"/>
                  <w:rPr>
                    <w:rFonts w:hint="eastAsia"/>
                    <w:szCs w:val="21"/>
                  </w:rPr>
                </w:pPr>
                <w:r>
                  <w:rPr>
                    <w:rFonts w:hint="eastAsia"/>
                  </w:rPr>
                  <w:t>2021-01-21</w:t>
                </w:r>
              </w:p>
            </w:tc>
            <w:tc>
              <w:tcPr>
                <w:tcW w:w="507" w:type="pct"/>
                <w:vAlign w:val="center"/>
              </w:tcPr>
              <w:p w14:paraId="0670E4C5">
                <w:pPr>
                  <w:widowControl w:val="0"/>
                  <w:jc w:val="both"/>
                  <w:rPr>
                    <w:rFonts w:hint="eastAsia"/>
                    <w:szCs w:val="21"/>
                  </w:rPr>
                </w:pPr>
                <w:r>
                  <w:rPr>
                    <w:rFonts w:hint="eastAsia"/>
                  </w:rPr>
                  <w:t>2024-06-14</w:t>
                </w:r>
              </w:p>
            </w:tc>
            <w:tc>
              <w:tcPr>
                <w:tcW w:w="305" w:type="pct"/>
                <w:vAlign w:val="center"/>
              </w:tcPr>
              <w:p w14:paraId="34051E80">
                <w:pPr>
                  <w:widowControl w:val="0"/>
                  <w:jc w:val="right"/>
                  <w:rPr>
                    <w:rFonts w:hint="eastAsia"/>
                    <w:szCs w:val="21"/>
                  </w:rPr>
                </w:pPr>
                <w:r>
                  <w:rPr>
                    <w:rFonts w:hint="eastAsia"/>
                  </w:rPr>
                  <w:t>0</w:t>
                </w:r>
              </w:p>
            </w:tc>
            <w:tc>
              <w:tcPr>
                <w:tcW w:w="414" w:type="pct"/>
                <w:vAlign w:val="center"/>
              </w:tcPr>
              <w:p w14:paraId="436FF289">
                <w:pPr>
                  <w:widowControl w:val="0"/>
                  <w:jc w:val="right"/>
                  <w:rPr>
                    <w:rFonts w:ascii="Arial Narrow" w:hAnsi="Arial Narrow"/>
                  </w:rPr>
                </w:pPr>
                <w:r>
                  <w:rPr>
                    <w:rFonts w:hint="eastAsia" w:ascii="Arial Narrow" w:hAnsi="Arial Narrow"/>
                  </w:rPr>
                  <w:t>0</w:t>
                </w:r>
              </w:p>
            </w:tc>
            <w:tc>
              <w:tcPr>
                <w:tcW w:w="384" w:type="pct"/>
                <w:vAlign w:val="center"/>
              </w:tcPr>
              <w:p w14:paraId="38B84A09">
                <w:pPr>
                  <w:widowControl w:val="0"/>
                  <w:jc w:val="right"/>
                  <w:rPr>
                    <w:rFonts w:ascii="Arial Narrow" w:hAnsi="Arial Narrow"/>
                  </w:rPr>
                </w:pPr>
                <w:r>
                  <w:rPr>
                    <w:rFonts w:hint="eastAsia" w:ascii="Arial Narrow" w:hAnsi="Arial Narrow"/>
                  </w:rPr>
                  <w:t>0</w:t>
                </w:r>
              </w:p>
            </w:tc>
            <w:tc>
              <w:tcPr>
                <w:tcW w:w="614" w:type="pct"/>
                <w:vAlign w:val="center"/>
              </w:tcPr>
              <w:p w14:paraId="10FD1410">
                <w:pPr>
                  <w:widowControl w:val="0"/>
                  <w:jc w:val="both"/>
                  <w:rPr>
                    <w:rFonts w:ascii="Arial Narrow" w:hAnsi="Arial Narrow"/>
                  </w:rPr>
                </w:pPr>
                <w:r>
                  <w:rPr>
                    <w:rFonts w:hint="eastAsia" w:ascii="Arial Narrow" w:hAnsi="Arial Narrow"/>
                  </w:rPr>
                  <w:t>/</w:t>
                </w:r>
              </w:p>
            </w:tc>
            <w:tc>
              <w:tcPr>
                <w:tcW w:w="333" w:type="pct"/>
                <w:vAlign w:val="center"/>
              </w:tcPr>
              <w:p w14:paraId="57F766A7">
                <w:pPr>
                  <w:widowControl w:val="0"/>
                  <w:jc w:val="right"/>
                  <w:rPr>
                    <w:rFonts w:ascii="Arial Narrow" w:hAnsi="Arial Narrow"/>
                  </w:rPr>
                </w:pPr>
                <w:r>
                  <w:rPr>
                    <w:rFonts w:hint="eastAsia" w:ascii="Arial Narrow" w:hAnsi="Arial Narrow"/>
                  </w:rPr>
                  <w:t>39.2</w:t>
                </w:r>
              </w:p>
            </w:tc>
            <w:sdt>
              <w:sdtPr>
                <w:rPr>
                  <w:rFonts w:ascii="Arial Narrow" w:hAnsi="Arial Narrow"/>
                </w:rPr>
                <w:alias w:val="董事、监事、高级管理人员是否在公司关联方获取报酬"/>
                <w:tag w:val="_GBC_ca79c4e139754ecd84ca3e60eb23b31d"/>
                <w:id w:val="-1870994070"/>
                <w:comboBox>
                  <w:listItem w:displayText="是" w:value="是"/>
                  <w:listItem w:displayText="否" w:value="否"/>
                </w:comboBox>
              </w:sdtPr>
              <w:sdtEndPr>
                <w:rPr>
                  <w:rFonts w:ascii="Arial Narrow" w:hAnsi="Arial Narrow"/>
                </w:rPr>
              </w:sdtEndPr>
              <w:sdtContent>
                <w:tc>
                  <w:tcPr>
                    <w:tcW w:w="424" w:type="pct"/>
                    <w:vAlign w:val="center"/>
                  </w:tcPr>
                  <w:p w14:paraId="492A0164">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267740159"/>
          <w:placeholder>
            <w:docPart w:val="1936DB4E3FF344D09964060C78AF357C"/>
          </w:placeholder>
        </w:sdtPr>
        <w:sdtEndPr>
          <w:rPr>
            <w:rFonts w:ascii="Arial Narrow" w:hAnsi="Arial Narrow" w:eastAsia="宋体" w:cs="宋体"/>
            <w:kern w:val="0"/>
            <w:szCs w:val="24"/>
            <w14:ligatures w14:val="none"/>
          </w:rPr>
        </w:sdtEndPr>
        <w:sdtContent>
          <w:tr w14:paraId="5074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47250764">
                <w:pPr>
                  <w:widowControl w:val="0"/>
                  <w:jc w:val="center"/>
                  <w:rPr>
                    <w:rFonts w:hint="eastAsia"/>
                    <w:szCs w:val="21"/>
                  </w:rPr>
                </w:pPr>
                <w:r>
                  <w:rPr>
                    <w:rFonts w:hint="eastAsia"/>
                  </w:rPr>
                  <w:t>刘长城（离任）</w:t>
                </w:r>
              </w:p>
            </w:tc>
            <w:sdt>
              <w:sdtPr>
                <w:rPr>
                  <w:szCs w:val="21"/>
                </w:rPr>
                <w:alias w:val="董事、监事、高级管理人员职务"/>
                <w:tag w:val="_GBC_560cf517d58e4c18969f11c03b6316c9"/>
                <w:id w:val="-737170638"/>
                <w:text/>
              </w:sdtPr>
              <w:sdtEndPr>
                <w:rPr>
                  <w:szCs w:val="21"/>
                </w:rPr>
              </w:sdtEndPr>
              <w:sdtContent>
                <w:tc>
                  <w:tcPr>
                    <w:tcW w:w="680" w:type="pct"/>
                    <w:vAlign w:val="center"/>
                  </w:tcPr>
                  <w:p w14:paraId="7299674F">
                    <w:pPr>
                      <w:widowControl w:val="0"/>
                      <w:jc w:val="center"/>
                      <w:rPr>
                        <w:rFonts w:hint="eastAsia"/>
                        <w:szCs w:val="21"/>
                      </w:rPr>
                    </w:pPr>
                    <w:r>
                      <w:rPr>
                        <w:szCs w:val="21"/>
                      </w:rPr>
                      <w:t>副总经理</w:t>
                    </w:r>
                  </w:p>
                </w:tc>
              </w:sdtContent>
            </w:sdt>
            <w:tc>
              <w:tcPr>
                <w:tcW w:w="202" w:type="pct"/>
                <w:vAlign w:val="center"/>
              </w:tcPr>
              <w:p w14:paraId="021D35B1">
                <w:pPr>
                  <w:widowControl w:val="0"/>
                  <w:jc w:val="both"/>
                  <w:rPr>
                    <w:rFonts w:hint="eastAsia"/>
                    <w:szCs w:val="21"/>
                  </w:rPr>
                </w:pPr>
                <w:r>
                  <w:rPr>
                    <w:rFonts w:hint="eastAsia"/>
                  </w:rPr>
                  <w:t>男</w:t>
                </w:r>
              </w:p>
            </w:tc>
            <w:tc>
              <w:tcPr>
                <w:tcW w:w="203" w:type="pct"/>
                <w:vAlign w:val="center"/>
              </w:tcPr>
              <w:p w14:paraId="35A181AC">
                <w:pPr>
                  <w:widowControl w:val="0"/>
                  <w:jc w:val="both"/>
                  <w:rPr>
                    <w:rFonts w:hint="eastAsia"/>
                    <w:szCs w:val="21"/>
                  </w:rPr>
                </w:pPr>
                <w:r>
                  <w:rPr>
                    <w:rFonts w:hint="eastAsia"/>
                  </w:rPr>
                  <w:t>50</w:t>
                </w:r>
              </w:p>
            </w:tc>
            <w:tc>
              <w:tcPr>
                <w:tcW w:w="542" w:type="pct"/>
                <w:vAlign w:val="center"/>
              </w:tcPr>
              <w:p w14:paraId="0FF86A13">
                <w:pPr>
                  <w:widowControl w:val="0"/>
                  <w:jc w:val="both"/>
                  <w:rPr>
                    <w:rFonts w:hint="eastAsia"/>
                    <w:szCs w:val="21"/>
                  </w:rPr>
                </w:pPr>
                <w:r>
                  <w:rPr>
                    <w:rFonts w:hint="eastAsia"/>
                  </w:rPr>
                  <w:t>2023-03-30</w:t>
                </w:r>
              </w:p>
            </w:tc>
            <w:tc>
              <w:tcPr>
                <w:tcW w:w="507" w:type="pct"/>
                <w:vAlign w:val="center"/>
              </w:tcPr>
              <w:p w14:paraId="480A0310">
                <w:pPr>
                  <w:widowControl w:val="0"/>
                  <w:jc w:val="both"/>
                  <w:rPr>
                    <w:rFonts w:hint="eastAsia"/>
                    <w:szCs w:val="21"/>
                  </w:rPr>
                </w:pPr>
                <w:r>
                  <w:rPr>
                    <w:rFonts w:hint="eastAsia"/>
                  </w:rPr>
                  <w:t>2024-07-15</w:t>
                </w:r>
              </w:p>
            </w:tc>
            <w:tc>
              <w:tcPr>
                <w:tcW w:w="305" w:type="pct"/>
                <w:vAlign w:val="center"/>
              </w:tcPr>
              <w:p w14:paraId="43246470">
                <w:pPr>
                  <w:widowControl w:val="0"/>
                  <w:jc w:val="right"/>
                  <w:rPr>
                    <w:rFonts w:hint="eastAsia"/>
                    <w:szCs w:val="21"/>
                  </w:rPr>
                </w:pPr>
                <w:r>
                  <w:rPr>
                    <w:rFonts w:hint="eastAsia"/>
                  </w:rPr>
                  <w:t>0</w:t>
                </w:r>
              </w:p>
            </w:tc>
            <w:tc>
              <w:tcPr>
                <w:tcW w:w="414" w:type="pct"/>
                <w:vAlign w:val="center"/>
              </w:tcPr>
              <w:p w14:paraId="662DFE8B">
                <w:pPr>
                  <w:widowControl w:val="0"/>
                  <w:jc w:val="right"/>
                  <w:rPr>
                    <w:rFonts w:ascii="Arial Narrow" w:hAnsi="Arial Narrow"/>
                  </w:rPr>
                </w:pPr>
                <w:r>
                  <w:rPr>
                    <w:rFonts w:hint="eastAsia" w:ascii="Arial Narrow" w:hAnsi="Arial Narrow"/>
                  </w:rPr>
                  <w:t>52,800</w:t>
                </w:r>
              </w:p>
            </w:tc>
            <w:tc>
              <w:tcPr>
                <w:tcW w:w="384" w:type="pct"/>
                <w:vAlign w:val="center"/>
              </w:tcPr>
              <w:p w14:paraId="0D8AFCE1">
                <w:pPr>
                  <w:widowControl w:val="0"/>
                  <w:jc w:val="right"/>
                  <w:rPr>
                    <w:rFonts w:ascii="Arial Narrow" w:hAnsi="Arial Narrow"/>
                  </w:rPr>
                </w:pPr>
                <w:r>
                  <w:rPr>
                    <w:rFonts w:hint="eastAsia" w:ascii="Arial Narrow" w:hAnsi="Arial Narrow"/>
                  </w:rPr>
                  <w:t>52,800</w:t>
                </w:r>
              </w:p>
            </w:tc>
            <w:tc>
              <w:tcPr>
                <w:tcW w:w="614" w:type="pct"/>
                <w:vAlign w:val="center"/>
              </w:tcPr>
              <w:p w14:paraId="28140A2C">
                <w:pPr>
                  <w:widowControl w:val="0"/>
                  <w:jc w:val="both"/>
                  <w:rPr>
                    <w:rFonts w:ascii="Arial Narrow" w:hAnsi="Arial Narrow"/>
                  </w:rPr>
                </w:pPr>
                <w:r>
                  <w:rPr>
                    <w:rFonts w:hint="eastAsia" w:ascii="Arial Narrow" w:hAnsi="Arial Narrow"/>
                  </w:rPr>
                  <w:t>股份增持计划</w:t>
                </w:r>
              </w:p>
            </w:tc>
            <w:tc>
              <w:tcPr>
                <w:tcW w:w="333" w:type="pct"/>
                <w:vAlign w:val="center"/>
              </w:tcPr>
              <w:p w14:paraId="23D709EF">
                <w:pPr>
                  <w:widowControl w:val="0"/>
                  <w:jc w:val="right"/>
                  <w:rPr>
                    <w:rFonts w:ascii="Arial Narrow" w:hAnsi="Arial Narrow"/>
                  </w:rPr>
                </w:pPr>
                <w:r>
                  <w:rPr>
                    <w:rFonts w:hint="eastAsia" w:ascii="Arial Narrow" w:hAnsi="Arial Narrow"/>
                  </w:rPr>
                  <w:t>53.34</w:t>
                </w:r>
              </w:p>
            </w:tc>
            <w:sdt>
              <w:sdtPr>
                <w:rPr>
                  <w:rFonts w:ascii="Arial Narrow" w:hAnsi="Arial Narrow"/>
                </w:rPr>
                <w:alias w:val="董事、监事、高级管理人员是否在公司关联方获取报酬"/>
                <w:tag w:val="_GBC_ca79c4e139754ecd84ca3e60eb23b31d"/>
                <w:id w:val="-60479992"/>
                <w:comboBox>
                  <w:listItem w:displayText="是" w:value="是"/>
                  <w:listItem w:displayText="否" w:value="否"/>
                </w:comboBox>
              </w:sdtPr>
              <w:sdtEndPr>
                <w:rPr>
                  <w:rFonts w:ascii="Arial Narrow" w:hAnsi="Arial Narrow"/>
                </w:rPr>
              </w:sdtEndPr>
              <w:sdtContent>
                <w:tc>
                  <w:tcPr>
                    <w:tcW w:w="424" w:type="pct"/>
                    <w:vAlign w:val="center"/>
                  </w:tcPr>
                  <w:p w14:paraId="0BA4E866">
                    <w:pPr>
                      <w:widowControl w:val="0"/>
                      <w:jc w:val="center"/>
                      <w:rPr>
                        <w:rFonts w:ascii="Arial Narrow" w:hAnsi="Arial Narrow"/>
                      </w:rPr>
                    </w:pPr>
                    <w:r>
                      <w:rPr>
                        <w:rFonts w:ascii="Arial Narrow" w:hAnsi="Arial Narrow"/>
                      </w:rPr>
                      <w:t>否</w:t>
                    </w:r>
                  </w:p>
                </w:tc>
              </w:sdtContent>
            </w:sdt>
          </w:tr>
        </w:sdtContent>
      </w:sdt>
      <w:sdt>
        <w:sdtPr>
          <w:rPr>
            <w:rFonts w:asciiTheme="minorHAnsi" w:hAnsiTheme="minorHAnsi" w:eastAsiaTheme="minorEastAsia" w:cstheme="minorBidi"/>
            <w:kern w:val="2"/>
            <w:szCs w:val="21"/>
            <w14:ligatures w14:val="standardContextual"/>
          </w:rPr>
          <w:alias w:val="董事、监事、高级管理人员基本情况"/>
          <w:tag w:val="_TUP_7890760e7fef44f4bcc994fe788f22ef"/>
          <w:id w:val="1237591545"/>
          <w:placeholder>
            <w:docPart w:val="1936DB4E3FF344D09964060C78AF357C"/>
          </w:placeholder>
        </w:sdtPr>
        <w:sdtEndPr>
          <w:rPr>
            <w:rFonts w:ascii="Arial Narrow" w:hAnsi="Arial Narrow" w:eastAsia="宋体" w:cs="宋体"/>
            <w:kern w:val="0"/>
            <w:szCs w:val="24"/>
            <w14:ligatures w14:val="none"/>
          </w:rPr>
        </w:sdtEndPr>
        <w:sdtContent>
          <w:tr w14:paraId="42FD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92" w:type="pct"/>
                <w:vAlign w:val="center"/>
              </w:tcPr>
              <w:p w14:paraId="186D1BF5">
                <w:pPr>
                  <w:widowControl w:val="0"/>
                  <w:jc w:val="center"/>
                  <w:rPr>
                    <w:rFonts w:hint="eastAsia"/>
                    <w:szCs w:val="21"/>
                  </w:rPr>
                </w:pPr>
                <w:r>
                  <w:rPr>
                    <w:rFonts w:hint="eastAsia"/>
                  </w:rPr>
                  <w:t>邱卫兵（离任）</w:t>
                </w:r>
              </w:p>
            </w:tc>
            <w:sdt>
              <w:sdtPr>
                <w:rPr>
                  <w:szCs w:val="21"/>
                </w:rPr>
                <w:alias w:val="董事、监事、高级管理人员职务"/>
                <w:tag w:val="_GBC_560cf517d58e4c18969f11c03b6316c9"/>
                <w:id w:val="-403143596"/>
                <w:text/>
              </w:sdtPr>
              <w:sdtEndPr>
                <w:rPr>
                  <w:szCs w:val="21"/>
                </w:rPr>
              </w:sdtEndPr>
              <w:sdtContent>
                <w:tc>
                  <w:tcPr>
                    <w:tcW w:w="680" w:type="pct"/>
                    <w:vAlign w:val="center"/>
                  </w:tcPr>
                  <w:p w14:paraId="2CD65641">
                    <w:pPr>
                      <w:widowControl w:val="0"/>
                      <w:jc w:val="center"/>
                      <w:rPr>
                        <w:rFonts w:hint="eastAsia"/>
                        <w:szCs w:val="21"/>
                      </w:rPr>
                    </w:pPr>
                    <w:r>
                      <w:rPr>
                        <w:szCs w:val="21"/>
                      </w:rPr>
                      <w:t>原党委副书记、董事、董事会秘书</w:t>
                    </w:r>
                  </w:p>
                </w:tc>
              </w:sdtContent>
            </w:sdt>
            <w:tc>
              <w:tcPr>
                <w:tcW w:w="202" w:type="pct"/>
                <w:vAlign w:val="center"/>
              </w:tcPr>
              <w:p w14:paraId="35B7C3B2">
                <w:pPr>
                  <w:widowControl w:val="0"/>
                  <w:jc w:val="both"/>
                  <w:rPr>
                    <w:rFonts w:hint="eastAsia"/>
                    <w:szCs w:val="21"/>
                  </w:rPr>
                </w:pPr>
                <w:r>
                  <w:rPr>
                    <w:rFonts w:hint="eastAsia"/>
                  </w:rPr>
                  <w:t>男</w:t>
                </w:r>
              </w:p>
            </w:tc>
            <w:tc>
              <w:tcPr>
                <w:tcW w:w="203" w:type="pct"/>
                <w:vAlign w:val="center"/>
              </w:tcPr>
              <w:p w14:paraId="65DB5376">
                <w:pPr>
                  <w:widowControl w:val="0"/>
                  <w:jc w:val="both"/>
                  <w:rPr>
                    <w:rFonts w:hint="eastAsia"/>
                    <w:szCs w:val="21"/>
                  </w:rPr>
                </w:pPr>
                <w:r>
                  <w:rPr>
                    <w:rFonts w:hint="eastAsia"/>
                  </w:rPr>
                  <w:t>53</w:t>
                </w:r>
              </w:p>
            </w:tc>
            <w:tc>
              <w:tcPr>
                <w:tcW w:w="542" w:type="pct"/>
                <w:vAlign w:val="center"/>
              </w:tcPr>
              <w:p w14:paraId="2A1DC0DE">
                <w:pPr>
                  <w:widowControl w:val="0"/>
                  <w:jc w:val="both"/>
                  <w:rPr>
                    <w:rFonts w:hint="eastAsia"/>
                    <w:szCs w:val="21"/>
                  </w:rPr>
                </w:pPr>
                <w:r>
                  <w:rPr>
                    <w:rFonts w:hint="eastAsia"/>
                  </w:rPr>
                  <w:t>2023-01-16</w:t>
                </w:r>
              </w:p>
            </w:tc>
            <w:tc>
              <w:tcPr>
                <w:tcW w:w="507" w:type="pct"/>
                <w:vAlign w:val="center"/>
              </w:tcPr>
              <w:p w14:paraId="527CC6CF">
                <w:pPr>
                  <w:widowControl w:val="0"/>
                  <w:jc w:val="both"/>
                  <w:rPr>
                    <w:rFonts w:hint="eastAsia"/>
                    <w:szCs w:val="21"/>
                  </w:rPr>
                </w:pPr>
                <w:r>
                  <w:rPr>
                    <w:rFonts w:hint="eastAsia"/>
                  </w:rPr>
                  <w:t>2024-03-26</w:t>
                </w:r>
              </w:p>
            </w:tc>
            <w:tc>
              <w:tcPr>
                <w:tcW w:w="305" w:type="pct"/>
                <w:vAlign w:val="center"/>
              </w:tcPr>
              <w:p w14:paraId="17E3DBF4">
                <w:pPr>
                  <w:widowControl w:val="0"/>
                  <w:jc w:val="right"/>
                  <w:rPr>
                    <w:rFonts w:ascii="Arial Narrow" w:hAnsi="Arial Narrow"/>
                    <w:szCs w:val="21"/>
                  </w:rPr>
                </w:pPr>
                <w:r>
                  <w:rPr>
                    <w:rFonts w:ascii="Arial Narrow" w:hAnsi="Arial Narrow"/>
                  </w:rPr>
                  <w:t>40,000</w:t>
                </w:r>
              </w:p>
            </w:tc>
            <w:tc>
              <w:tcPr>
                <w:tcW w:w="414" w:type="pct"/>
                <w:vAlign w:val="center"/>
              </w:tcPr>
              <w:p w14:paraId="1B79D092">
                <w:pPr>
                  <w:widowControl w:val="0"/>
                  <w:jc w:val="right"/>
                  <w:rPr>
                    <w:rFonts w:ascii="Arial Narrow" w:hAnsi="Arial Narrow"/>
                  </w:rPr>
                </w:pPr>
                <w:r>
                  <w:rPr>
                    <w:rFonts w:ascii="Arial Narrow" w:hAnsi="Arial Narrow"/>
                  </w:rPr>
                  <w:t>44,100</w:t>
                </w:r>
              </w:p>
            </w:tc>
            <w:tc>
              <w:tcPr>
                <w:tcW w:w="384" w:type="pct"/>
                <w:vAlign w:val="center"/>
              </w:tcPr>
              <w:p w14:paraId="2B433BF8">
                <w:pPr>
                  <w:widowControl w:val="0"/>
                  <w:jc w:val="right"/>
                  <w:rPr>
                    <w:rFonts w:ascii="Arial Narrow" w:hAnsi="Arial Narrow"/>
                  </w:rPr>
                </w:pPr>
                <w:r>
                  <w:rPr>
                    <w:rFonts w:ascii="Arial Narrow" w:hAnsi="Arial Narrow"/>
                  </w:rPr>
                  <w:t>4,100</w:t>
                </w:r>
              </w:p>
            </w:tc>
            <w:tc>
              <w:tcPr>
                <w:tcW w:w="614" w:type="pct"/>
                <w:vAlign w:val="center"/>
              </w:tcPr>
              <w:p w14:paraId="4D606525">
                <w:pPr>
                  <w:widowControl w:val="0"/>
                  <w:jc w:val="both"/>
                  <w:rPr>
                    <w:rFonts w:ascii="Arial Narrow" w:hAnsi="Arial Narrow"/>
                  </w:rPr>
                </w:pPr>
                <w:r>
                  <w:rPr>
                    <w:rFonts w:hint="eastAsia" w:ascii="Arial Narrow" w:hAnsi="Arial Narrow"/>
                  </w:rPr>
                  <w:t>股份增持计划</w:t>
                </w:r>
              </w:p>
            </w:tc>
            <w:tc>
              <w:tcPr>
                <w:tcW w:w="333" w:type="pct"/>
                <w:vAlign w:val="center"/>
              </w:tcPr>
              <w:p w14:paraId="0615244C">
                <w:pPr>
                  <w:widowControl w:val="0"/>
                  <w:jc w:val="right"/>
                  <w:rPr>
                    <w:rFonts w:ascii="Arial Narrow" w:hAnsi="Arial Narrow"/>
                  </w:rPr>
                </w:pPr>
                <w:r>
                  <w:rPr>
                    <w:rFonts w:hint="eastAsia" w:ascii="Arial Narrow" w:hAnsi="Arial Narrow"/>
                  </w:rPr>
                  <w:t>43.97</w:t>
                </w:r>
              </w:p>
            </w:tc>
            <w:sdt>
              <w:sdtPr>
                <w:rPr>
                  <w:rFonts w:ascii="Arial Narrow" w:hAnsi="Arial Narrow"/>
                </w:rPr>
                <w:alias w:val="董事、监事、高级管理人员是否在公司关联方获取报酬"/>
                <w:tag w:val="_GBC_ca79c4e139754ecd84ca3e60eb23b31d"/>
                <w:id w:val="-575433300"/>
                <w:comboBox>
                  <w:listItem w:displayText="是" w:value="是"/>
                  <w:listItem w:displayText="否" w:value="否"/>
                </w:comboBox>
              </w:sdtPr>
              <w:sdtEndPr>
                <w:rPr>
                  <w:rFonts w:ascii="Arial Narrow" w:hAnsi="Arial Narrow"/>
                </w:rPr>
              </w:sdtEndPr>
              <w:sdtContent>
                <w:tc>
                  <w:tcPr>
                    <w:tcW w:w="424" w:type="pct"/>
                    <w:vAlign w:val="center"/>
                  </w:tcPr>
                  <w:p w14:paraId="741E21A4">
                    <w:pPr>
                      <w:widowControl w:val="0"/>
                      <w:jc w:val="center"/>
                      <w:rPr>
                        <w:rFonts w:ascii="Arial Narrow" w:hAnsi="Arial Narrow"/>
                      </w:rPr>
                    </w:pPr>
                    <w:r>
                      <w:rPr>
                        <w:rFonts w:ascii="Arial Narrow" w:hAnsi="Arial Narrow"/>
                      </w:rPr>
                      <w:t>否</w:t>
                    </w:r>
                  </w:p>
                </w:tc>
              </w:sdtContent>
            </w:sdt>
          </w:tr>
        </w:sdtContent>
      </w:sdt>
      <w:tr w14:paraId="5FA7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sdt>
          <w:sdtPr>
            <w:tag w:val="_PLD_ec35e2b055c74eb6bc4d2c4ece7ee884"/>
            <w:id w:val="304827838"/>
          </w:sdtPr>
          <w:sdtContent>
            <w:tc>
              <w:tcPr>
                <w:tcW w:w="392" w:type="pct"/>
                <w:tcBorders>
                  <w:bottom w:val="single" w:color="auto" w:sz="4" w:space="0"/>
                </w:tcBorders>
                <w:vAlign w:val="center"/>
              </w:tcPr>
              <w:p w14:paraId="141580ED">
                <w:pPr>
                  <w:widowControl w:val="0"/>
                  <w:jc w:val="center"/>
                  <w:rPr>
                    <w:rFonts w:hint="eastAsia"/>
                    <w:szCs w:val="21"/>
                  </w:rPr>
                </w:pPr>
                <w:r>
                  <w:rPr>
                    <w:rFonts w:hint="eastAsia"/>
                    <w:szCs w:val="21"/>
                  </w:rPr>
                  <w:t>合计</w:t>
                </w:r>
              </w:p>
            </w:tc>
          </w:sdtContent>
        </w:sdt>
        <w:tc>
          <w:tcPr>
            <w:tcW w:w="680" w:type="pct"/>
            <w:tcBorders>
              <w:bottom w:val="single" w:color="auto" w:sz="4" w:space="0"/>
            </w:tcBorders>
          </w:tcPr>
          <w:p w14:paraId="17FFC97C">
            <w:pPr>
              <w:widowControl w:val="0"/>
              <w:jc w:val="center"/>
              <w:rPr>
                <w:rFonts w:hint="eastAsia"/>
                <w:szCs w:val="21"/>
              </w:rPr>
            </w:pPr>
            <w:r>
              <w:rPr>
                <w:rFonts w:hint="eastAsia"/>
                <w:szCs w:val="21"/>
              </w:rPr>
              <w:t>/</w:t>
            </w:r>
          </w:p>
        </w:tc>
        <w:tc>
          <w:tcPr>
            <w:tcW w:w="202" w:type="pct"/>
            <w:tcBorders>
              <w:bottom w:val="single" w:color="auto" w:sz="4" w:space="0"/>
            </w:tcBorders>
          </w:tcPr>
          <w:p w14:paraId="4AE1552A">
            <w:pPr>
              <w:widowControl w:val="0"/>
              <w:jc w:val="center"/>
              <w:rPr>
                <w:rFonts w:hint="eastAsia"/>
                <w:szCs w:val="21"/>
              </w:rPr>
            </w:pPr>
            <w:r>
              <w:rPr>
                <w:rFonts w:hint="eastAsia"/>
                <w:szCs w:val="21"/>
              </w:rPr>
              <w:t>/</w:t>
            </w:r>
          </w:p>
        </w:tc>
        <w:tc>
          <w:tcPr>
            <w:tcW w:w="203" w:type="pct"/>
            <w:tcBorders>
              <w:bottom w:val="single" w:color="auto" w:sz="4" w:space="0"/>
            </w:tcBorders>
          </w:tcPr>
          <w:p w14:paraId="418D1229">
            <w:pPr>
              <w:widowControl w:val="0"/>
              <w:jc w:val="center"/>
              <w:rPr>
                <w:rFonts w:hint="eastAsia"/>
                <w:szCs w:val="21"/>
              </w:rPr>
            </w:pPr>
            <w:r>
              <w:rPr>
                <w:rFonts w:hint="eastAsia"/>
                <w:szCs w:val="21"/>
              </w:rPr>
              <w:t>/</w:t>
            </w:r>
          </w:p>
        </w:tc>
        <w:tc>
          <w:tcPr>
            <w:tcW w:w="542" w:type="pct"/>
            <w:tcBorders>
              <w:bottom w:val="single" w:color="auto" w:sz="4" w:space="0"/>
            </w:tcBorders>
          </w:tcPr>
          <w:p w14:paraId="5BFE89EE">
            <w:pPr>
              <w:widowControl w:val="0"/>
              <w:jc w:val="center"/>
              <w:rPr>
                <w:rFonts w:hint="eastAsia"/>
                <w:szCs w:val="21"/>
              </w:rPr>
            </w:pPr>
            <w:r>
              <w:rPr>
                <w:rFonts w:hint="eastAsia"/>
                <w:szCs w:val="21"/>
              </w:rPr>
              <w:t>/</w:t>
            </w:r>
          </w:p>
        </w:tc>
        <w:tc>
          <w:tcPr>
            <w:tcW w:w="507" w:type="pct"/>
            <w:tcBorders>
              <w:bottom w:val="single" w:color="auto" w:sz="4" w:space="0"/>
            </w:tcBorders>
          </w:tcPr>
          <w:p w14:paraId="4EFE63E6">
            <w:pPr>
              <w:widowControl w:val="0"/>
              <w:jc w:val="center"/>
              <w:rPr>
                <w:rFonts w:hint="eastAsia"/>
                <w:szCs w:val="21"/>
              </w:rPr>
            </w:pPr>
            <w:r>
              <w:rPr>
                <w:rFonts w:hint="eastAsia"/>
                <w:szCs w:val="21"/>
              </w:rPr>
              <w:t>/</w:t>
            </w:r>
          </w:p>
        </w:tc>
        <w:tc>
          <w:tcPr>
            <w:tcW w:w="305" w:type="pct"/>
            <w:tcBorders>
              <w:bottom w:val="single" w:color="auto" w:sz="4" w:space="0"/>
            </w:tcBorders>
          </w:tcPr>
          <w:p w14:paraId="104B52BD">
            <w:pPr>
              <w:widowControl w:val="0"/>
              <w:jc w:val="right"/>
              <w:rPr>
                <w:rFonts w:ascii="Arial Narrow" w:hAnsi="Arial Narrow"/>
                <w:szCs w:val="21"/>
              </w:rPr>
            </w:pPr>
            <w:r>
              <w:rPr>
                <w:rFonts w:ascii="Arial Narrow" w:hAnsi="Arial Narrow"/>
                <w:szCs w:val="21"/>
              </w:rPr>
              <w:t>80,000</w:t>
            </w:r>
          </w:p>
        </w:tc>
        <w:tc>
          <w:tcPr>
            <w:tcW w:w="414" w:type="pct"/>
            <w:tcBorders>
              <w:bottom w:val="single" w:color="auto" w:sz="4" w:space="0"/>
            </w:tcBorders>
          </w:tcPr>
          <w:p w14:paraId="34B1CA84">
            <w:pPr>
              <w:widowControl w:val="0"/>
              <w:jc w:val="right"/>
              <w:rPr>
                <w:rFonts w:ascii="Arial Narrow" w:hAnsi="Arial Narrow"/>
                <w:szCs w:val="21"/>
              </w:rPr>
            </w:pPr>
            <w:r>
              <w:rPr>
                <w:rFonts w:ascii="Arial Narrow" w:hAnsi="Arial Narrow"/>
                <w:szCs w:val="21"/>
              </w:rPr>
              <w:t>536,900</w:t>
            </w:r>
          </w:p>
        </w:tc>
        <w:tc>
          <w:tcPr>
            <w:tcW w:w="384" w:type="pct"/>
            <w:tcBorders>
              <w:bottom w:val="single" w:color="auto" w:sz="4" w:space="0"/>
            </w:tcBorders>
          </w:tcPr>
          <w:p w14:paraId="23B30A17">
            <w:pPr>
              <w:widowControl w:val="0"/>
              <w:jc w:val="right"/>
              <w:rPr>
                <w:rFonts w:ascii="Arial Narrow" w:hAnsi="Arial Narrow"/>
                <w:szCs w:val="21"/>
              </w:rPr>
            </w:pPr>
            <w:r>
              <w:rPr>
                <w:rFonts w:ascii="Arial Narrow" w:hAnsi="Arial Narrow"/>
                <w:szCs w:val="21"/>
              </w:rPr>
              <w:t>296,900</w:t>
            </w:r>
          </w:p>
        </w:tc>
        <w:tc>
          <w:tcPr>
            <w:tcW w:w="614" w:type="pct"/>
            <w:tcBorders>
              <w:bottom w:val="single" w:color="auto" w:sz="4" w:space="0"/>
            </w:tcBorders>
          </w:tcPr>
          <w:p w14:paraId="2696C98E">
            <w:pPr>
              <w:widowControl w:val="0"/>
              <w:jc w:val="center"/>
              <w:rPr>
                <w:rFonts w:hint="eastAsia"/>
                <w:szCs w:val="21"/>
              </w:rPr>
            </w:pPr>
            <w:r>
              <w:rPr>
                <w:rFonts w:hint="eastAsia"/>
                <w:szCs w:val="21"/>
              </w:rPr>
              <w:t>/</w:t>
            </w:r>
          </w:p>
        </w:tc>
        <w:tc>
          <w:tcPr>
            <w:tcW w:w="333" w:type="pct"/>
            <w:tcBorders>
              <w:bottom w:val="single" w:color="auto" w:sz="4" w:space="0"/>
            </w:tcBorders>
          </w:tcPr>
          <w:p w14:paraId="01BF2515">
            <w:pPr>
              <w:widowControl w:val="0"/>
              <w:jc w:val="right"/>
              <w:rPr>
                <w:rFonts w:hint="eastAsia"/>
                <w:szCs w:val="21"/>
              </w:rPr>
            </w:pPr>
          </w:p>
        </w:tc>
        <w:tc>
          <w:tcPr>
            <w:tcW w:w="424" w:type="pct"/>
            <w:tcBorders>
              <w:bottom w:val="single" w:color="auto" w:sz="4" w:space="0"/>
            </w:tcBorders>
          </w:tcPr>
          <w:p w14:paraId="1CFE379A">
            <w:pPr>
              <w:widowControl w:val="0"/>
              <w:jc w:val="both"/>
              <w:rPr>
                <w:rFonts w:hint="eastAsia"/>
                <w:szCs w:val="21"/>
              </w:rPr>
            </w:pPr>
            <w:r>
              <w:rPr>
                <w:szCs w:val="21"/>
              </w:rPr>
              <w:t>/</w:t>
            </w:r>
          </w:p>
        </w:tc>
      </w:tr>
    </w:tbl>
    <w:p w14:paraId="2E558D27">
      <w:pPr>
        <w:rPr>
          <w:rFonts w:hint="eastAsia"/>
          <w:sz w:val="15"/>
          <w:szCs w:val="15"/>
        </w:rPr>
      </w:pPr>
      <w:r>
        <w:rPr>
          <w:rFonts w:hint="eastAsia"/>
          <w:sz w:val="15"/>
          <w:szCs w:val="15"/>
        </w:rPr>
        <w:t>注：公司于2024年1月18日收到公司党委书记、董事长、总经理夏前军先生；党委副书记、董事、董事会秘书邱卫兵先生；纪委书记王昌辉先生；总会计师刘改平女士；副总经理王明增先生、韩月芬女士、刘长城先生；总法律顾问曾伟良先生的通知，基于对公司未来发展的坚定信心以及对公司股票长期投资价值的认可，同时为了维护广大股东的利益，提升投资者的信心，计划自2024年1月19日起6个月内通过上海证券交易所交易系统以集中竞价交易方式增持公司股份。合计计划增持股份数量不低于33万股、不超过73万股。截至2024年7月18日，上述董事、高管及核心管理人员已合计增持本公司股份36.16万股，占公司总股本的0.0082%，增持计划实施完毕。具体内容详见公司于2024年7月19日在上海证券交易所网站披露的《际华集团关于部分董事、高管及核心管理人员增持计划实施完成的公告》（公告编号:临2024-037）。</w:t>
      </w:r>
    </w:p>
    <w:p w14:paraId="50D8A8C0">
      <w:pPr>
        <w:rPr>
          <w:rFonts w:hint="eastAsia"/>
          <w:szCs w:val="21"/>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2705"/>
      </w:tblGrid>
      <w:tr w14:paraId="2A30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1525b90cb0c248978acb54a7f361f6a2"/>
            <w:id w:val="1731262654"/>
          </w:sdtPr>
          <w:sdtContent>
            <w:tc>
              <w:tcPr>
                <w:tcW w:w="1384" w:type="dxa"/>
                <w:vAlign w:val="center"/>
              </w:tcPr>
              <w:p w14:paraId="22CEBBAC">
                <w:pPr>
                  <w:widowControl w:val="0"/>
                  <w:jc w:val="center"/>
                  <w:rPr>
                    <w:rFonts w:hint="eastAsia"/>
                    <w:szCs w:val="21"/>
                  </w:rPr>
                </w:pPr>
                <w:r>
                  <w:rPr>
                    <w:rFonts w:hint="eastAsia"/>
                    <w:szCs w:val="21"/>
                  </w:rPr>
                  <w:t>姓名</w:t>
                </w:r>
              </w:p>
            </w:tc>
          </w:sdtContent>
        </w:sdt>
        <w:sdt>
          <w:sdtPr>
            <w:tag w:val="_PLD_61b466aae87d4dac813a38c2c8e6a492"/>
            <w:id w:val="-143890921"/>
          </w:sdtPr>
          <w:sdtContent>
            <w:tc>
              <w:tcPr>
                <w:tcW w:w="12705" w:type="dxa"/>
                <w:vAlign w:val="center"/>
              </w:tcPr>
              <w:p w14:paraId="70027ADE">
                <w:pPr>
                  <w:widowControl w:val="0"/>
                  <w:jc w:val="center"/>
                  <w:rPr>
                    <w:rFonts w:hint="eastAsia"/>
                    <w:szCs w:val="21"/>
                  </w:rPr>
                </w:pPr>
                <w:r>
                  <w:rPr>
                    <w:szCs w:val="21"/>
                  </w:rPr>
                  <w:t>主要工作经历</w:t>
                </w:r>
              </w:p>
            </w:tc>
          </w:sdtContent>
        </w:sdt>
      </w:tr>
      <w:tr w14:paraId="52B6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07D6FF8">
            <w:pPr>
              <w:widowControl w:val="0"/>
              <w:jc w:val="center"/>
              <w:rPr>
                <w:rFonts w:hint="eastAsia"/>
                <w:szCs w:val="21"/>
              </w:rPr>
            </w:pPr>
            <w:r>
              <w:t>夏前军</w:t>
            </w:r>
          </w:p>
        </w:tc>
        <w:tc>
          <w:tcPr>
            <w:tcW w:w="12705" w:type="dxa"/>
          </w:tcPr>
          <w:p w14:paraId="073D38BE">
            <w:pPr>
              <w:widowControl w:val="0"/>
              <w:jc w:val="both"/>
              <w:rPr>
                <w:rFonts w:hint="eastAsia"/>
                <w:szCs w:val="21"/>
              </w:rPr>
            </w:pPr>
            <w:r>
              <w:t>1969年出生，中国国籍，无境外居留权。硕士研究生学历，正高级工程师。1991年参加工作，历任中国人民解放军第三五二一工厂技术员，鞋材公司经理，分厂厂长，副厂长；南京际华三五二一特种装备有限公司董事、党委副书记、总经理，党委书记、董事长；南京际华三五二一环保科技有限公司执行董事；际华集团股份有限公司总经理助理。现任际华集团股份有限公司党委书记、董事</w:t>
            </w:r>
            <w:r>
              <w:rPr>
                <w:rFonts w:hint="eastAsia"/>
              </w:rPr>
              <w:t>长</w:t>
            </w:r>
            <w:r>
              <w:t>，新兴际华科技集团有限公司董事。</w:t>
            </w:r>
          </w:p>
        </w:tc>
      </w:tr>
      <w:tr w14:paraId="058F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CA48F97">
            <w:pPr>
              <w:widowControl w:val="0"/>
              <w:jc w:val="center"/>
              <w:rPr>
                <w:rFonts w:hint="eastAsia"/>
              </w:rPr>
            </w:pPr>
            <w:r>
              <w:rPr>
                <w:rFonts w:hint="eastAsia"/>
              </w:rPr>
              <w:t>王学柱</w:t>
            </w:r>
          </w:p>
        </w:tc>
        <w:tc>
          <w:tcPr>
            <w:tcW w:w="12705" w:type="dxa"/>
          </w:tcPr>
          <w:p w14:paraId="1025648E">
            <w:pPr>
              <w:widowControl w:val="0"/>
              <w:jc w:val="both"/>
              <w:rPr>
                <w:rFonts w:hint="eastAsia"/>
              </w:rPr>
            </w:pPr>
            <w:r>
              <w:rPr>
                <w:rFonts w:hint="eastAsia"/>
              </w:rPr>
              <w:t>1972年出生,中国国籍,无境外居留权,硕士研究生学历,高级工程师。1994年参加工作,历任2672工厂轧钢分厂轧钢工、作业长、副段长;新兴铸管股份有限公司轧钢分厂厂长助理、总工程师、副厂长、轧钢部部长、党总支书记、总经理助理兼生产部部长、副总经理;新兴铸管(新疆)资源发展有限公司总经理;新兴铸管股份有限公司副总经理、党委常委兼武安工业区总经理、芜湖新兴铸管责任有限公司总经理;新兴际华集团有限公司产业运行部(网信办公室、安全环保部)部长;现任际华集团股份有限公司董事、总经理、党委副书记。</w:t>
            </w:r>
          </w:p>
        </w:tc>
      </w:tr>
      <w:tr w14:paraId="749E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973A0F8">
            <w:pPr>
              <w:widowControl w:val="0"/>
              <w:jc w:val="center"/>
              <w:rPr>
                <w:rFonts w:hint="eastAsia"/>
              </w:rPr>
            </w:pPr>
            <w:r>
              <w:rPr>
                <w:rFonts w:hint="eastAsia"/>
              </w:rPr>
              <w:t>韩月芬</w:t>
            </w:r>
          </w:p>
        </w:tc>
        <w:tc>
          <w:tcPr>
            <w:tcW w:w="12705" w:type="dxa"/>
          </w:tcPr>
          <w:p w14:paraId="13F33758">
            <w:pPr>
              <w:widowControl w:val="0"/>
              <w:jc w:val="both"/>
              <w:rPr>
                <w:rFonts w:hint="eastAsia"/>
              </w:rPr>
            </w:pPr>
            <w:r>
              <w:rPr>
                <w:rFonts w:hint="eastAsia"/>
              </w:rPr>
              <w:t>1980年出生,中共党员,中国国籍,无境外居留权,硕士研究生学历,高级工程师。2003年参加工作,历任北京宝佳制衣有限公司生产部经理助理、副总经理助理；中国人民解放军第三五零二工厂六分厂技术员、副厂长;际华三五零二职业装有限公司技术检验部副部长、部长助理、职业装研究院副院长、总经理助理、副总经理；际华连锁商务有限公司副总经理;际华三五零二职业装有限公司党委副书记、党委书记、执行董事;际华集团股份有限公司副总经理；现任际华集团股份有限公司董事、党委副书记。</w:t>
            </w:r>
          </w:p>
        </w:tc>
      </w:tr>
      <w:tr w14:paraId="4F63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0CD15836">
            <w:pPr>
              <w:widowControl w:val="0"/>
              <w:jc w:val="center"/>
              <w:rPr>
                <w:rFonts w:hint="eastAsia"/>
                <w:szCs w:val="21"/>
              </w:rPr>
            </w:pPr>
            <w:r>
              <w:t>陈向东</w:t>
            </w:r>
          </w:p>
        </w:tc>
        <w:tc>
          <w:tcPr>
            <w:tcW w:w="12705" w:type="dxa"/>
          </w:tcPr>
          <w:p w14:paraId="5631CBC9">
            <w:pPr>
              <w:widowControl w:val="0"/>
              <w:jc w:val="both"/>
              <w:rPr>
                <w:rFonts w:hint="eastAsia"/>
                <w:szCs w:val="21"/>
              </w:rPr>
            </w:pPr>
            <w:r>
              <w:t>1959年出生，中国国籍，无境外居留权。哈尔滨工业大学管理工程系工业管理工程专业，硕士研究生学历，高级经济师。1976年参加工作，历任中国包装总公司总经济师、副总经理、党组成员；中国印刷集团公司副总经理、总经理、党委书记；中国国新控股有限责任公司党委副书记、纪委书记、工会主席、职工董事；中国工艺集团有限公司董事长、总经理、党委副书记；中国保利集团有限公司党委副书记、副总经理；现任际华集团股份有限公司董事。</w:t>
            </w:r>
          </w:p>
        </w:tc>
      </w:tr>
      <w:tr w14:paraId="3454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EBF6E09">
            <w:pPr>
              <w:widowControl w:val="0"/>
              <w:jc w:val="center"/>
              <w:rPr>
                <w:rFonts w:hint="eastAsia"/>
              </w:rPr>
            </w:pPr>
            <w:r>
              <w:rPr>
                <w:rFonts w:hint="eastAsia"/>
              </w:rPr>
              <w:t>杨金龙</w:t>
            </w:r>
          </w:p>
        </w:tc>
        <w:tc>
          <w:tcPr>
            <w:tcW w:w="12705" w:type="dxa"/>
          </w:tcPr>
          <w:p w14:paraId="50ED2297">
            <w:pPr>
              <w:widowControl w:val="0"/>
              <w:jc w:val="both"/>
              <w:rPr>
                <w:rFonts w:hint="eastAsia"/>
              </w:rPr>
            </w:pPr>
            <w:r>
              <w:rPr>
                <w:rFonts w:hint="eastAsia"/>
              </w:rPr>
              <w:t>1966年出生，中国国籍,无境外居留权,工学博士、博士后。历任清华大学新型陶瓷材料全国重点实验室（原新型陶瓷与精细工艺国家重点实验室）常务副主任；清华大学学科办公室副主任；河北工程大学副校长（兼职）；现任清华大学材料学院和新型陶瓷材料全国重点实验室教授,博士生导师，际华集团股份有限公司董事。</w:t>
            </w:r>
          </w:p>
        </w:tc>
      </w:tr>
      <w:tr w14:paraId="2E53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559835F">
            <w:pPr>
              <w:widowControl w:val="0"/>
              <w:jc w:val="center"/>
              <w:rPr>
                <w:rFonts w:hint="eastAsia"/>
              </w:rPr>
            </w:pPr>
            <w:r>
              <w:t>张继德</w:t>
            </w:r>
          </w:p>
        </w:tc>
        <w:tc>
          <w:tcPr>
            <w:tcW w:w="12705" w:type="dxa"/>
          </w:tcPr>
          <w:p w14:paraId="4611A782">
            <w:pPr>
              <w:widowControl w:val="0"/>
              <w:jc w:val="both"/>
              <w:rPr>
                <w:rFonts w:hint="eastAsia"/>
              </w:rPr>
            </w:pPr>
            <w:r>
              <w:t>1969年出生，中国国籍，无境外居留权。管理学博士、博士后，具备上交所独立董事资格。现任职于北京工商大学教授</w:t>
            </w:r>
            <w:r>
              <w:rPr>
                <w:rFonts w:hint="eastAsia"/>
              </w:rPr>
              <w:t>、</w:t>
            </w:r>
            <w:r>
              <w:t>博士生导师，专门从事企业内部控制、公司治理、基于信息化的企业财务管理等领域的教学和科研工作。全国会计领军人才；中国十佳最受欢迎商学院名师；北京市优秀共产党员；</w:t>
            </w:r>
            <w:r>
              <w:rPr>
                <w:rFonts w:hint="eastAsia"/>
              </w:rPr>
              <w:t>中国企业财务管理协会副秘书长、专家委员会副主任委员、特聘副会长；《财务管理研究》编委会副主任；《中国会计研究与教育》编委；中国资金管理智库（CMTTC）协同单位首席专家；教育部战略委员会理事；金蝶国际软件集团签约专家；中国总会计师协会培训委员会委员兼职教授；中国会计学会专业委员会高级会员；中央电视台证券咨询频道《公告质询》栏目长期评论员</w:t>
            </w:r>
            <w:r>
              <w:t>。</w:t>
            </w:r>
            <w:r>
              <w:rPr>
                <w:rFonts w:hint="eastAsia"/>
              </w:rPr>
              <w:t>现</w:t>
            </w:r>
            <w:r>
              <w:t>任内蒙古北方重型汽车股份有</w:t>
            </w:r>
            <w:r>
              <w:rPr>
                <w:rFonts w:hint="eastAsia"/>
              </w:rPr>
              <w:t>限</w:t>
            </w:r>
            <w:r>
              <w:t>公司</w:t>
            </w:r>
            <w:r>
              <w:rPr>
                <w:rFonts w:hint="eastAsia"/>
              </w:rPr>
              <w:t>、唐山三友化工股份有限公司</w:t>
            </w:r>
            <w:r>
              <w:t>、际华集团股份有限公司独立董事。</w:t>
            </w:r>
          </w:p>
        </w:tc>
      </w:tr>
      <w:tr w14:paraId="34C0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562D710">
            <w:pPr>
              <w:widowControl w:val="0"/>
              <w:jc w:val="center"/>
              <w:rPr>
                <w:rFonts w:hint="eastAsia"/>
              </w:rPr>
            </w:pPr>
            <w:r>
              <w:rPr>
                <w:rFonts w:hint="eastAsia"/>
              </w:rPr>
              <w:t>李华</w:t>
            </w:r>
          </w:p>
        </w:tc>
        <w:tc>
          <w:tcPr>
            <w:tcW w:w="12705" w:type="dxa"/>
          </w:tcPr>
          <w:p w14:paraId="1BE17E8B">
            <w:pPr>
              <w:widowControl w:val="0"/>
              <w:jc w:val="both"/>
              <w:rPr>
                <w:rFonts w:hint="eastAsia"/>
              </w:rPr>
            </w:pPr>
            <w:r>
              <w:rPr>
                <w:rFonts w:hint="eastAsia"/>
              </w:rPr>
              <w:t>1971年出生,中国国籍,无境外居留权,清华大学工商管理硕士,历任明诚律师事务所律师,北京市亿嘉律师事务所律师、合伙人;兼任中国人民大学法学院法律硕士专业学位研究生实务导师、山东理工大学盈科国际律师学院副院长、鲁东大学盈科法学院理事与特聘教授、中华全国律师协会服务收费指导委员会副主任、最高人民检察院第六检察厅与第七检察厅民事行政检察专家咨询网专家、最高人民法院诉讼服务志愿专家律师、法治日报律师专家库成员。现任北京市盈科律师事务所创始合伙人律师、副主任、盈科全国业务指导委员会主任、际华集团股份有限公司独立董事。</w:t>
            </w:r>
          </w:p>
        </w:tc>
      </w:tr>
      <w:tr w14:paraId="461B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550B269F">
            <w:pPr>
              <w:widowControl w:val="0"/>
              <w:jc w:val="center"/>
              <w:rPr>
                <w:rFonts w:hint="eastAsia"/>
              </w:rPr>
            </w:pPr>
            <w:r>
              <w:rPr>
                <w:rFonts w:hint="eastAsia"/>
              </w:rPr>
              <w:t>温养东</w:t>
            </w:r>
          </w:p>
        </w:tc>
        <w:tc>
          <w:tcPr>
            <w:tcW w:w="12705" w:type="dxa"/>
          </w:tcPr>
          <w:p w14:paraId="27D589FD">
            <w:pPr>
              <w:widowControl w:val="0"/>
              <w:jc w:val="both"/>
              <w:rPr>
                <w:rFonts w:hint="eastAsia"/>
              </w:rPr>
            </w:pPr>
            <w:r>
              <w:rPr>
                <w:rFonts w:hint="eastAsia"/>
              </w:rPr>
              <w:t>1980年5月出生,中国国籍,无境外居留权,北京大学光华管理学院金融硕士。2005年参加工作,历任中关村证券股份有限公司战略发展部业务经理、中信证券股份有限公司投资银行部高级经理、国寿投资保险资产管理有限公司处长和北京中拓创富投资管理中心(有限合伙)副总裁。现任北京养元投资管理有限公司执行董事、际华集团股份有限公司独立董事。</w:t>
            </w:r>
          </w:p>
        </w:tc>
      </w:tr>
      <w:tr w14:paraId="6E22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768B5CC">
            <w:pPr>
              <w:widowControl w:val="0"/>
              <w:jc w:val="center"/>
              <w:rPr>
                <w:rFonts w:hint="eastAsia"/>
              </w:rPr>
            </w:pPr>
            <w:r>
              <w:t>杨大军</w:t>
            </w:r>
          </w:p>
          <w:p w14:paraId="77131C89">
            <w:pPr>
              <w:widowControl w:val="0"/>
              <w:jc w:val="center"/>
              <w:rPr>
                <w:rFonts w:hint="eastAsia"/>
                <w:szCs w:val="21"/>
              </w:rPr>
            </w:pPr>
            <w:r>
              <w:rPr>
                <w:rFonts w:hint="eastAsia"/>
              </w:rPr>
              <w:t>（离任）</w:t>
            </w:r>
          </w:p>
        </w:tc>
        <w:tc>
          <w:tcPr>
            <w:tcW w:w="12705" w:type="dxa"/>
          </w:tcPr>
          <w:p w14:paraId="333AB446">
            <w:pPr>
              <w:widowControl w:val="0"/>
              <w:jc w:val="both"/>
              <w:rPr>
                <w:rFonts w:hint="eastAsia"/>
                <w:szCs w:val="21"/>
              </w:rPr>
            </w:pPr>
            <w:r>
              <w:t>1968年出生，中国国籍，无境外居留权。对外经济贸易大学工商管理硕士。全球时尚产业著名投资人和品牌战略专家，9年国际知名品牌经营管理经验，16年中国服饰企业专业管理咨询服务，8年全球跨境股权并购经验。现任优他国际品牌投资管理有限公司CEO，优他汇国际品牌咨询（北京）有限公司执行董事、总经理，中国服装协会专家委员会委员，中国纺织规划研究会副主任委员，法国上市公司SMCPSA独立董事，海宁中国皮革城股份有限公司（002344.SZ）独立董事。</w:t>
            </w:r>
          </w:p>
        </w:tc>
      </w:tr>
      <w:tr w14:paraId="77E4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2AE37D0">
            <w:pPr>
              <w:widowControl w:val="0"/>
              <w:jc w:val="center"/>
              <w:rPr>
                <w:rFonts w:hint="eastAsia"/>
              </w:rPr>
            </w:pPr>
            <w:r>
              <w:t>史俊龙</w:t>
            </w:r>
          </w:p>
          <w:p w14:paraId="309FF251">
            <w:pPr>
              <w:widowControl w:val="0"/>
              <w:jc w:val="center"/>
              <w:rPr>
                <w:rFonts w:hint="eastAsia"/>
              </w:rPr>
            </w:pPr>
            <w:r>
              <w:rPr>
                <w:rFonts w:hint="eastAsia"/>
              </w:rPr>
              <w:t>（离任）</w:t>
            </w:r>
          </w:p>
        </w:tc>
        <w:tc>
          <w:tcPr>
            <w:tcW w:w="12705" w:type="dxa"/>
          </w:tcPr>
          <w:p w14:paraId="031FD968">
            <w:pPr>
              <w:widowControl w:val="0"/>
              <w:jc w:val="both"/>
              <w:rPr>
                <w:rFonts w:hint="eastAsia"/>
                <w:szCs w:val="21"/>
              </w:rPr>
            </w:pPr>
            <w:r>
              <w:t>1966年出生，中国国籍，无境外居留权。硕士研究生学历，高级工程师。1991年参加工作，历任新兴铸管（集团）有限责任公司厦门新兴铸管贸易公司总经理、上海贸易公司总经理；桃江新兴管件有限责任公司副总经理；新兴铸管股份有限公司郑州销售分公司总经理；新兴铸管股份有限公司贸易总公司副总经理、贸易管理部部长、副总工程师兼生产部部长；中新联进出口有限公司总经理、执行董事、党总支书记；新兴发展集团有限公司董事、党委书记</w:t>
            </w:r>
            <w:r>
              <w:rPr>
                <w:rFonts w:hint="eastAsia"/>
              </w:rPr>
              <w:t>；新兴铸管股份有限公司监事</w:t>
            </w:r>
            <w:r>
              <w:t>。现任新兴际华集团有限公司专职派出董事。</w:t>
            </w:r>
          </w:p>
        </w:tc>
      </w:tr>
      <w:tr w14:paraId="7EC4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0677CF7F">
            <w:pPr>
              <w:widowControl w:val="0"/>
              <w:jc w:val="center"/>
              <w:rPr>
                <w:rFonts w:hint="eastAsia"/>
              </w:rPr>
            </w:pPr>
            <w:r>
              <w:t>徐坚</w:t>
            </w:r>
          </w:p>
          <w:p w14:paraId="3D60017F">
            <w:pPr>
              <w:widowControl w:val="0"/>
              <w:jc w:val="center"/>
              <w:rPr>
                <w:rFonts w:hint="eastAsia"/>
              </w:rPr>
            </w:pPr>
            <w:r>
              <w:rPr>
                <w:rFonts w:hint="eastAsia"/>
              </w:rPr>
              <w:t>（离任）</w:t>
            </w:r>
          </w:p>
        </w:tc>
        <w:tc>
          <w:tcPr>
            <w:tcW w:w="12705" w:type="dxa"/>
          </w:tcPr>
          <w:p w14:paraId="27262E1E">
            <w:pPr>
              <w:widowControl w:val="0"/>
              <w:jc w:val="both"/>
              <w:rPr>
                <w:rFonts w:hint="eastAsia"/>
                <w:szCs w:val="21"/>
              </w:rPr>
            </w:pPr>
            <w:r>
              <w:rPr>
                <w:rFonts w:hint="eastAsia"/>
              </w:rPr>
              <w:t>男，1961年出生，中国国籍，无境外居留权。四川大学高分子材料专业，博士研究生，具备上交所独立董事资格。历任北京化工学院讲师；中国科学院化学研究所博士后、副研究员、研究员，中国科学院大学教授。曾任十五、十一五、十二五国家863计划新材料领域专家或者专家组组长；十三五国家重点科技计划材料基因专家组专家；中国材料研究学会副理事长、中国复合材料学会副理事长、北京化学会副秘书长、国际标准化组织ISO/TC202国际主席。2002年国务院特殊津贴获得者,2004年当选首批新世纪百千万人才工程国家级人才,2005年国家杰出青年基金,2016年全国优秀科技工作者。现任深圳大学讲席教授；国家新材料产业发展专家咨询委员会专家；国家战略性新兴产业专家咨询委员会专家。兼任北京高盟新材料股份有限公司独立董事、深圳市信维通信股份有限公司独立董事，曾任公司第五届董事会独立董事，现已届满离任。</w:t>
            </w:r>
          </w:p>
        </w:tc>
      </w:tr>
      <w:tr w14:paraId="580F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1FD7FC4">
            <w:pPr>
              <w:widowControl w:val="0"/>
              <w:jc w:val="center"/>
              <w:rPr>
                <w:rFonts w:hint="eastAsia"/>
              </w:rPr>
            </w:pPr>
            <w:r>
              <w:t>卢业虎</w:t>
            </w:r>
          </w:p>
          <w:p w14:paraId="351B48DD">
            <w:pPr>
              <w:widowControl w:val="0"/>
              <w:jc w:val="center"/>
              <w:rPr>
                <w:rFonts w:hint="eastAsia"/>
              </w:rPr>
            </w:pPr>
            <w:r>
              <w:rPr>
                <w:rFonts w:hint="eastAsia"/>
              </w:rPr>
              <w:t>（离任）</w:t>
            </w:r>
          </w:p>
        </w:tc>
        <w:tc>
          <w:tcPr>
            <w:tcW w:w="12705" w:type="dxa"/>
          </w:tcPr>
          <w:p w14:paraId="72C704C6">
            <w:pPr>
              <w:widowControl w:val="0"/>
              <w:jc w:val="both"/>
              <w:rPr>
                <w:rFonts w:hint="eastAsia"/>
                <w:szCs w:val="21"/>
              </w:rPr>
            </w:pPr>
            <w:r>
              <w:t>1986年出生，中国国籍，无境外居留权。服装设计与工程专业博士，具备上交所独立董事资格。现任苏州大学纺织与服装工程学院服装设计与工程系主任、教授、博士生导师。兼任ISO TC133注册专家、全国家用纺织品标准化技术委员会委员、全国服装标准化技术委员会委员与智能服装工作组成员、中国纺织工程学会标准化技术委员会委员、中国服装协会标准化技术委员会委员、应急救援装备产业技术创新战略联盟专家、中国纺织工业企业管理协会专家委员会委员、中国服装协会产业专家委员会委员。曾任公司第五届董事会独立董事，现已届满离任</w:t>
            </w:r>
            <w:r>
              <w:rPr>
                <w:rFonts w:hint="eastAsia"/>
              </w:rPr>
              <w:t>。</w:t>
            </w:r>
          </w:p>
        </w:tc>
      </w:tr>
      <w:tr w14:paraId="01C5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545F6BFB">
            <w:pPr>
              <w:widowControl w:val="0"/>
              <w:jc w:val="center"/>
              <w:rPr>
                <w:rFonts w:hint="eastAsia"/>
              </w:rPr>
            </w:pPr>
            <w:r>
              <w:rPr>
                <w:rFonts w:hint="eastAsia"/>
              </w:rPr>
              <w:t>阴玥</w:t>
            </w:r>
          </w:p>
        </w:tc>
        <w:tc>
          <w:tcPr>
            <w:tcW w:w="12705" w:type="dxa"/>
          </w:tcPr>
          <w:p w14:paraId="6BBE6215">
            <w:pPr>
              <w:widowControl w:val="0"/>
              <w:jc w:val="both"/>
              <w:rPr>
                <w:rFonts w:hint="eastAsia"/>
              </w:rPr>
            </w:pPr>
            <w:r>
              <w:rPr>
                <w:rFonts w:hint="eastAsia"/>
              </w:rPr>
              <w:t>1975年出生,中国国籍,无境外居留权,硕士研究生学历,经济师。1997年7月参加工作,历任中石油辽河油田钻采工艺研究院科研人员;北京晨光昌盛投资担保有限公司综合评审部副总经理;中国人民人寿保险股份有限公司北京市分公司财务部主管、中国人民人寿保险股份有限公司投资部经理;现任际华集团股份有限公司监事会主席、工会主席、总经理助理。</w:t>
            </w:r>
          </w:p>
        </w:tc>
      </w:tr>
      <w:tr w14:paraId="1882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A8B1E0F">
            <w:pPr>
              <w:widowControl w:val="0"/>
              <w:jc w:val="center"/>
              <w:rPr>
                <w:rFonts w:hint="eastAsia"/>
              </w:rPr>
            </w:pPr>
            <w:r>
              <w:rPr>
                <w:rFonts w:hint="eastAsia"/>
              </w:rPr>
              <w:t>陈晓林</w:t>
            </w:r>
          </w:p>
        </w:tc>
        <w:tc>
          <w:tcPr>
            <w:tcW w:w="12705" w:type="dxa"/>
          </w:tcPr>
          <w:p w14:paraId="660CEA3C">
            <w:pPr>
              <w:widowControl w:val="0"/>
              <w:jc w:val="both"/>
              <w:rPr>
                <w:rFonts w:hint="eastAsia"/>
              </w:rPr>
            </w:pPr>
            <w:r>
              <w:rPr>
                <w:rFonts w:hint="eastAsia"/>
              </w:rPr>
              <w:t>1972年出生,中国国籍,无境外居留权,硕士。1994年7月参加工作,历任团、师组织干事,武警总部后勤部财务部预算处长、副部长,军需部副部长,物资供应局副局长,际华集团股份有限公司研究院院长、系统工程中心总经理。现任际华集团股份有限公司职工监事、总经理助理、纪委副书记、综合监督室主任、机关纪委书记。</w:t>
            </w:r>
          </w:p>
        </w:tc>
      </w:tr>
      <w:tr w14:paraId="57DF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0E0DCFE">
            <w:pPr>
              <w:widowControl w:val="0"/>
              <w:jc w:val="center"/>
              <w:rPr>
                <w:rFonts w:hint="eastAsia"/>
              </w:rPr>
            </w:pPr>
            <w:r>
              <w:rPr>
                <w:rFonts w:hint="eastAsia"/>
              </w:rPr>
              <w:t>侯锦瑞</w:t>
            </w:r>
          </w:p>
        </w:tc>
        <w:tc>
          <w:tcPr>
            <w:tcW w:w="12705" w:type="dxa"/>
          </w:tcPr>
          <w:p w14:paraId="7D8AFB80">
            <w:pPr>
              <w:widowControl w:val="0"/>
              <w:jc w:val="both"/>
              <w:rPr>
                <w:rFonts w:hint="eastAsia"/>
              </w:rPr>
            </w:pPr>
            <w:r>
              <w:rPr>
                <w:rFonts w:hint="eastAsia"/>
              </w:rPr>
              <w:t>1988年出生,中国国籍,无境外居留权,研究生学历,审计师。历任新兴铸管股份有限公司武安工业区动控部空分工、企业管理部内控主任师、审计处处长;新兴际华集团有限公司审计风险部经理。现任新兴际华集团有限公司审计风险部风控处副处长、际华集团股份有限公司监事。</w:t>
            </w:r>
          </w:p>
        </w:tc>
      </w:tr>
      <w:tr w14:paraId="164A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BD339E7">
            <w:pPr>
              <w:widowControl w:val="0"/>
              <w:jc w:val="center"/>
              <w:rPr>
                <w:rFonts w:hint="eastAsia"/>
              </w:rPr>
            </w:pPr>
            <w:r>
              <w:t>黄孟魁</w:t>
            </w:r>
          </w:p>
          <w:p w14:paraId="65559ECC">
            <w:pPr>
              <w:widowControl w:val="0"/>
              <w:jc w:val="center"/>
              <w:rPr>
                <w:rFonts w:hint="eastAsia"/>
              </w:rPr>
            </w:pPr>
            <w:r>
              <w:rPr>
                <w:rFonts w:hint="eastAsia"/>
              </w:rPr>
              <w:t>（离任）</w:t>
            </w:r>
          </w:p>
        </w:tc>
        <w:tc>
          <w:tcPr>
            <w:tcW w:w="12705" w:type="dxa"/>
          </w:tcPr>
          <w:p w14:paraId="20B9E31C">
            <w:pPr>
              <w:widowControl w:val="0"/>
              <w:jc w:val="both"/>
              <w:rPr>
                <w:rFonts w:hint="eastAsia"/>
                <w:szCs w:val="21"/>
              </w:rPr>
            </w:pPr>
            <w:r>
              <w:t>1964年出生，中国国籍，无境外居留权。研究生学历，高级工程师。历任中国人民解放军2672工厂技术员、技术科长、轧钢分厂副厂长、厂长；新兴铸管股份有限公司副总经济师、</w:t>
            </w:r>
            <w:r>
              <w:rPr>
                <w:rFonts w:hint="eastAsia"/>
              </w:rPr>
              <w:t>董事、</w:t>
            </w:r>
            <w:r>
              <w:t>副总经理；新兴发展集团有限公司副总经理、董事、董事长、党委书记</w:t>
            </w:r>
            <w:r>
              <w:rPr>
                <w:rFonts w:hint="eastAsia"/>
              </w:rPr>
              <w:t>；际华集团股份有限公司监事会主席；</w:t>
            </w:r>
            <w:r>
              <w:t>新兴际华集团有限公司党委委员、专职派出董事。</w:t>
            </w:r>
          </w:p>
        </w:tc>
      </w:tr>
      <w:tr w14:paraId="4935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00484A1">
            <w:pPr>
              <w:widowControl w:val="0"/>
              <w:jc w:val="center"/>
              <w:rPr>
                <w:rFonts w:hint="eastAsia"/>
              </w:rPr>
            </w:pPr>
            <w:r>
              <w:t>刘海权</w:t>
            </w:r>
          </w:p>
          <w:p w14:paraId="0860EBC9">
            <w:pPr>
              <w:widowControl w:val="0"/>
              <w:jc w:val="center"/>
              <w:rPr>
                <w:rFonts w:hint="eastAsia"/>
              </w:rPr>
            </w:pPr>
            <w:r>
              <w:rPr>
                <w:rFonts w:hint="eastAsia"/>
              </w:rPr>
              <w:t>（离任）</w:t>
            </w:r>
          </w:p>
        </w:tc>
        <w:tc>
          <w:tcPr>
            <w:tcW w:w="12705" w:type="dxa"/>
          </w:tcPr>
          <w:p w14:paraId="09422297">
            <w:pPr>
              <w:widowControl w:val="0"/>
              <w:jc w:val="both"/>
              <w:rPr>
                <w:rFonts w:hint="eastAsia"/>
                <w:szCs w:val="21"/>
              </w:rPr>
            </w:pPr>
            <w:r>
              <w:t>1965年出生，中国国籍，无境外居留权。硕士研究生学历，经济师。1986年7月参加工作，历任中国人民解放军第三五四四工厂、中国新兴制革制鞋工业公司、中国新兴（集团）总公司、总后军需生产管理部综合计划局、新兴铸管集团有限公司职员；际华轻工集团有限公司企业管理部部长；际华集团股份有限公司经济运行部部长、总经理助理；际华连锁商务有限公司董事、执行董事</w:t>
            </w:r>
            <w:r>
              <w:rPr>
                <w:rFonts w:hint="eastAsia"/>
              </w:rPr>
              <w:t>；</w:t>
            </w:r>
            <w:r>
              <w:t>际华集团股份有限公司职工监事、</w:t>
            </w:r>
            <w:r>
              <w:rPr>
                <w:rFonts w:hint="eastAsia"/>
              </w:rPr>
              <w:t>工会主席、</w:t>
            </w:r>
            <w:r>
              <w:t>信访办公室主任、巡察办公室主任。</w:t>
            </w:r>
          </w:p>
        </w:tc>
      </w:tr>
      <w:tr w14:paraId="27D1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95CDC59">
            <w:pPr>
              <w:widowControl w:val="0"/>
              <w:jc w:val="center"/>
              <w:rPr>
                <w:rFonts w:hint="eastAsia"/>
              </w:rPr>
            </w:pPr>
            <w:r>
              <w:t>滕连越</w:t>
            </w:r>
          </w:p>
          <w:p w14:paraId="6A7E12BA">
            <w:pPr>
              <w:widowControl w:val="0"/>
              <w:jc w:val="center"/>
              <w:rPr>
                <w:rFonts w:hint="eastAsia"/>
              </w:rPr>
            </w:pPr>
            <w:r>
              <w:rPr>
                <w:rFonts w:hint="eastAsia"/>
              </w:rPr>
              <w:t>（离任）</w:t>
            </w:r>
          </w:p>
        </w:tc>
        <w:tc>
          <w:tcPr>
            <w:tcW w:w="12705" w:type="dxa"/>
          </w:tcPr>
          <w:p w14:paraId="01A165F5">
            <w:pPr>
              <w:widowControl w:val="0"/>
              <w:jc w:val="both"/>
              <w:rPr>
                <w:rFonts w:hint="eastAsia"/>
                <w:szCs w:val="21"/>
              </w:rPr>
            </w:pPr>
            <w:r>
              <w:t>1969年出生，中国国籍，无境外居留权。大学本科学历，政工师。1994年参加工作，历任石家庄三五一四工厂宣传干事、企业管理部副部长、规划发展部部长；际华三五一四制革制鞋有限公司副总经理、党委副书记、纪委书记；际华集团股份有限公司党委工作部部长、人力资源部部长</w:t>
            </w:r>
            <w:r>
              <w:rPr>
                <w:rFonts w:hint="eastAsia"/>
              </w:rPr>
              <w:t>；际华集团股份有限公司监事。现任际华集团股份有限公司机关党委书记、际华三五二二装具饰品有限公司党委书记、执行董事、法定代表人。</w:t>
            </w:r>
          </w:p>
        </w:tc>
      </w:tr>
      <w:tr w14:paraId="4218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95AAEEA">
            <w:pPr>
              <w:widowControl w:val="0"/>
              <w:jc w:val="center"/>
              <w:rPr>
                <w:rFonts w:hint="eastAsia"/>
                <w:szCs w:val="21"/>
              </w:rPr>
            </w:pPr>
            <w:r>
              <w:t>刘改平</w:t>
            </w:r>
          </w:p>
        </w:tc>
        <w:tc>
          <w:tcPr>
            <w:tcW w:w="12705" w:type="dxa"/>
          </w:tcPr>
          <w:p w14:paraId="46F50DA1">
            <w:pPr>
              <w:widowControl w:val="0"/>
              <w:jc w:val="both"/>
              <w:rPr>
                <w:rFonts w:hint="eastAsia"/>
                <w:szCs w:val="21"/>
              </w:rPr>
            </w:pPr>
            <w:r>
              <w:t>1976年出生，中国国籍，无境外居留权。大学本科学历，高级会计师、注册会计师。历任中国北车集团济南机车车辆厂会计；济南轨道交通装备有限公司多经企业集团、同力钢构公司综合财务部副部长、财务部长；中国北车集团财务有限公司（后更名为“中车财务有限公司”）计划财务部部长、副总会计师、审计稽核部部长、职工董事，际华集团股份有限公司副总经理。现任际华集团股份有限公司</w:t>
            </w:r>
            <w:r>
              <w:rPr>
                <w:rFonts w:hint="eastAsia"/>
              </w:rPr>
              <w:t>党委常委、</w:t>
            </w:r>
            <w:r>
              <w:t>总会计师；际华海外投资有限公司董事。</w:t>
            </w:r>
          </w:p>
        </w:tc>
      </w:tr>
      <w:tr w14:paraId="32CC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6E57343">
            <w:pPr>
              <w:widowControl w:val="0"/>
              <w:jc w:val="center"/>
              <w:rPr>
                <w:rFonts w:hint="eastAsia"/>
              </w:rPr>
            </w:pPr>
            <w:r>
              <w:t>邱卫兵</w:t>
            </w:r>
          </w:p>
          <w:p w14:paraId="6B839BE4">
            <w:pPr>
              <w:widowControl w:val="0"/>
              <w:jc w:val="center"/>
              <w:rPr>
                <w:rFonts w:hint="eastAsia"/>
                <w:szCs w:val="21"/>
              </w:rPr>
            </w:pPr>
            <w:r>
              <w:rPr>
                <w:rFonts w:hint="eastAsia"/>
              </w:rPr>
              <w:t>（离任）</w:t>
            </w:r>
          </w:p>
        </w:tc>
        <w:tc>
          <w:tcPr>
            <w:tcW w:w="12705" w:type="dxa"/>
          </w:tcPr>
          <w:p w14:paraId="33006FC4">
            <w:pPr>
              <w:widowControl w:val="0"/>
              <w:jc w:val="both"/>
              <w:rPr>
                <w:rFonts w:hint="eastAsia"/>
                <w:szCs w:val="21"/>
              </w:rPr>
            </w:pPr>
            <w:r>
              <w:t>1971年出生，中国国籍，无境外居留权。硕士研究生学历，MBA，正高级工程师。1990年7月参加工作，历任中国人民解放军第三五四二工厂技术员、清钢车间副主任、前纺车间主任；襄樊三五四二纺织总厂设备安技处处长、厂长助理、副厂长；际华三五四二纺织有限公司常务副总经理、总经理、董事、执行董事；际华三五零九纺织有限公司执行董事、总经理；</w:t>
            </w:r>
            <w:r>
              <w:rPr>
                <w:rFonts w:hint="eastAsia"/>
              </w:rPr>
              <w:t>际华集团股份有限公司副总经理、党委副书记、董事、</w:t>
            </w:r>
            <w:r>
              <w:t>董事会秘书。</w:t>
            </w:r>
          </w:p>
        </w:tc>
      </w:tr>
      <w:tr w14:paraId="7456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B9B59E0">
            <w:pPr>
              <w:widowControl w:val="0"/>
              <w:jc w:val="center"/>
              <w:rPr>
                <w:rFonts w:hint="eastAsia"/>
                <w:szCs w:val="21"/>
              </w:rPr>
            </w:pPr>
            <w:r>
              <w:t>王明增</w:t>
            </w:r>
          </w:p>
        </w:tc>
        <w:tc>
          <w:tcPr>
            <w:tcW w:w="12705" w:type="dxa"/>
          </w:tcPr>
          <w:p w14:paraId="41D3C5C2">
            <w:pPr>
              <w:widowControl w:val="0"/>
              <w:jc w:val="both"/>
              <w:rPr>
                <w:rFonts w:hint="eastAsia"/>
                <w:szCs w:val="21"/>
              </w:rPr>
            </w:pPr>
            <w:r>
              <w:rPr>
                <w:rFonts w:hint="eastAsia"/>
              </w:rPr>
              <w:t>1</w:t>
            </w:r>
            <w:r>
              <w:t>972年出生，中国</w:t>
            </w:r>
            <w:r>
              <w:rPr>
                <w:rFonts w:hint="eastAsia"/>
              </w:rPr>
              <w:t>国籍</w:t>
            </w:r>
            <w:r>
              <w:t>，无境外居留权。大学本科学历，高级工程师。</w:t>
            </w:r>
            <w:r>
              <w:rPr>
                <w:rFonts w:hint="eastAsia"/>
              </w:rPr>
              <w:t>1</w:t>
            </w:r>
            <w:r>
              <w:t>995年参加工作，历任中国人民解放军第三五零二工厂车间材料员、计划统计员；际华三五零二职业装有限公司销售公司营销员、西北区域经理、副总经理、总经理；际华集团股份有限公司市场部部长、总经理助理，兼任新疆际华七五五五职业装</w:t>
            </w:r>
            <w:r>
              <w:rPr>
                <w:rFonts w:hint="eastAsia"/>
              </w:rPr>
              <w:t>有限</w:t>
            </w:r>
            <w:r>
              <w:t>公司执行董事</w:t>
            </w:r>
            <w:r>
              <w:rPr>
                <w:rFonts w:hint="eastAsia"/>
              </w:rPr>
              <w:t>；</w:t>
            </w:r>
            <w:r>
              <w:t>际华集团股份</w:t>
            </w:r>
            <w:r>
              <w:rPr>
                <w:rFonts w:hint="eastAsia"/>
              </w:rPr>
              <w:t>有限公司营销中心总经理</w:t>
            </w:r>
            <w:r>
              <w:t>。现任际华集团股份</w:t>
            </w:r>
            <w:r>
              <w:rPr>
                <w:rFonts w:hint="eastAsia"/>
              </w:rPr>
              <w:t>有限公司党委常委、副总经理。</w:t>
            </w:r>
          </w:p>
        </w:tc>
      </w:tr>
      <w:tr w14:paraId="601F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6658ED7">
            <w:pPr>
              <w:widowControl w:val="0"/>
              <w:jc w:val="center"/>
              <w:rPr>
                <w:rFonts w:hint="eastAsia"/>
                <w:szCs w:val="21"/>
              </w:rPr>
            </w:pPr>
            <w:r>
              <w:rPr>
                <w:rFonts w:hint="eastAsia"/>
                <w:szCs w:val="21"/>
              </w:rPr>
              <w:t>刘长城</w:t>
            </w:r>
          </w:p>
          <w:p w14:paraId="71258D91">
            <w:pPr>
              <w:widowControl w:val="0"/>
              <w:jc w:val="center"/>
              <w:rPr>
                <w:rFonts w:hint="eastAsia"/>
                <w:szCs w:val="21"/>
              </w:rPr>
            </w:pPr>
            <w:r>
              <w:rPr>
                <w:rFonts w:hint="eastAsia"/>
                <w:szCs w:val="21"/>
              </w:rPr>
              <w:t>（离任）</w:t>
            </w:r>
          </w:p>
        </w:tc>
        <w:tc>
          <w:tcPr>
            <w:tcW w:w="12705" w:type="dxa"/>
          </w:tcPr>
          <w:p w14:paraId="48B4EE1C">
            <w:pPr>
              <w:widowControl w:val="0"/>
              <w:jc w:val="both"/>
              <w:rPr>
                <w:rFonts w:hint="eastAsia"/>
                <w:szCs w:val="21"/>
              </w:rPr>
            </w:pPr>
            <w:r>
              <w:rPr>
                <w:rFonts w:hint="eastAsia"/>
                <w:szCs w:val="21"/>
              </w:rPr>
              <w:t>1975年出生，中国国籍，无境外居留权。硕士研究生学历，高级经济师，中共党员。1998年参加工作，历任中国人民解放军第三五四二工厂供销公司销售员、采购员、经营贸易部无锡销售公司经理;襄樊三五四二纺织总厂销售处副主管、主管;际华三五四二纺织有限公司副总经理、董事、总经理、执行董事，兼任NTMAJOCCHI有限公司董事长、湖北际华罟业有限公司董事长、湖北际华新四五印染有限公司执行董事;际华三五四三针织服饰有限公司党委书记、执行董事；际华三五四二纺织有限公司、际华三五零九纺织有限公司党委书记、执行董事；际华集团股份有限公司党委常委、副总经理。</w:t>
            </w:r>
          </w:p>
        </w:tc>
      </w:tr>
      <w:tr w14:paraId="5706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2AC0BB2">
            <w:pPr>
              <w:widowControl w:val="0"/>
              <w:jc w:val="center"/>
              <w:rPr>
                <w:rFonts w:hint="eastAsia"/>
                <w:szCs w:val="21"/>
              </w:rPr>
            </w:pPr>
            <w:r>
              <w:rPr>
                <w:rFonts w:hint="eastAsia"/>
                <w:szCs w:val="21"/>
              </w:rPr>
              <w:t>曾伟良</w:t>
            </w:r>
          </w:p>
        </w:tc>
        <w:tc>
          <w:tcPr>
            <w:tcW w:w="12705" w:type="dxa"/>
          </w:tcPr>
          <w:p w14:paraId="0D497B2B">
            <w:pPr>
              <w:widowControl w:val="0"/>
              <w:jc w:val="both"/>
              <w:rPr>
                <w:rFonts w:hint="eastAsia"/>
                <w:szCs w:val="21"/>
              </w:rPr>
            </w:pPr>
            <w:r>
              <w:rPr>
                <w:rFonts w:hint="eastAsia"/>
                <w:szCs w:val="21"/>
              </w:rPr>
              <w:t>1975年出生，中国国籍，无境外居留权。中南财经政法大学法学专业，本科学历，具备法律职业资格证书。2000年7月参加工作，历任际华三五四二纺织有限公司法律事务部法律干事，经贸部、企业管理部法律顾问，审计风险管理部管理员，企业管理部、审计风险管理部副部长，企业管理部、审计风险管理部、法律事务部、品牌管理部部长，行政总监，总经理助理兼行政总监、执行董事办公室秘书，副总经理兼任湖北际华詈业有限公司副总经理；际华新四五印染有限公司纪委书记，际华三五四二纺织有限公司、际华三五零九纺织有限公司纪委书记；际华集团股份有限公司副总法律顾问、董事会秘书（代行）；现任际华集团股份有限公司总法律顾问、首席合规官、法务中心主任，</w:t>
            </w:r>
            <w:r>
              <w:t>际华橡胶工业有限公司董事</w:t>
            </w:r>
            <w:r>
              <w:rPr>
                <w:rFonts w:hint="eastAsia"/>
                <w:szCs w:val="21"/>
              </w:rPr>
              <w:t>。</w:t>
            </w:r>
          </w:p>
        </w:tc>
      </w:tr>
      <w:tr w14:paraId="03FD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A688740">
            <w:pPr>
              <w:widowControl w:val="0"/>
              <w:jc w:val="center"/>
              <w:rPr>
                <w:rFonts w:hint="eastAsia"/>
                <w:szCs w:val="21"/>
              </w:rPr>
            </w:pPr>
            <w:r>
              <w:rPr>
                <w:rFonts w:hint="eastAsia"/>
                <w:szCs w:val="21"/>
              </w:rPr>
              <w:t>冯晓</w:t>
            </w:r>
          </w:p>
        </w:tc>
        <w:tc>
          <w:tcPr>
            <w:tcW w:w="12705" w:type="dxa"/>
          </w:tcPr>
          <w:p w14:paraId="57196323">
            <w:pPr>
              <w:widowControl w:val="0"/>
              <w:jc w:val="both"/>
              <w:rPr>
                <w:rFonts w:hint="eastAsia"/>
                <w:szCs w:val="21"/>
              </w:rPr>
            </w:pPr>
            <w:r>
              <w:rPr>
                <w:rFonts w:hint="eastAsia"/>
                <w:szCs w:val="21"/>
              </w:rPr>
              <w:t>1986年出生,中国国籍,无境外居留权,硕士研究生学历,注册会计师。2013年7月参加工作,历任际华集团股份有限公司资产财务部资产经理、高级资产经理,资产财务部副部长兼任际华连锁商务有限公司监事、新兴际华国际贸易有限公司监事、际华(邢台)投资有限公司监事、际华海外投资有限公司监事、际华集团(香港)威斯塔科技有限公司监事、际华三五二二装具饰品有限公司副总经理(分管财务);现任际华集团股份有限公司董事会秘书、资产财务部部长。</w:t>
            </w:r>
          </w:p>
        </w:tc>
      </w:tr>
    </w:tbl>
    <w:p w14:paraId="20053858">
      <w:pPr>
        <w:rPr>
          <w:rFonts w:hint="eastAsia"/>
          <w:szCs w:val="21"/>
        </w:rPr>
      </w:pPr>
    </w:p>
    <w:bookmarkEnd w:id="80"/>
    <w:p w14:paraId="034F4C88">
      <w:pPr>
        <w:rPr>
          <w:rFonts w:hint="eastAsia"/>
          <w:szCs w:val="21"/>
        </w:rPr>
      </w:pPr>
      <w:r>
        <w:rPr>
          <w:szCs w:val="21"/>
        </w:rPr>
        <w:t>其它情况说明</w:t>
      </w:r>
    </w:p>
    <w:sdt>
      <w:sdtPr>
        <w:rPr>
          <w:szCs w:val="21"/>
        </w:rPr>
        <w:alias w:val="是否适用：董事、监事 和高级管理人员持股变动及报酬情况其他情况说明[双击切换]"/>
        <w:tag w:val="_GBC_9b04f21816b544bc9606e29c2556c9ba"/>
        <w:id w:val="1901020477"/>
        <w:placeholder>
          <w:docPart w:val="GBC22222222222222222222222222222"/>
        </w:placeholder>
      </w:sdtPr>
      <w:sdtEndPr>
        <w:rPr>
          <w:szCs w:val="21"/>
        </w:rPr>
      </w:sdtEndPr>
      <w:sdtContent>
        <w:p w14:paraId="1437B89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8B1B275">
      <w:pPr>
        <w:rPr>
          <w:rFonts w:hint="eastAsia"/>
          <w:szCs w:val="21"/>
        </w:rPr>
      </w:pPr>
    </w:p>
    <w:bookmarkEnd w:id="79"/>
    <w:p w14:paraId="1417FA10">
      <w:pPr>
        <w:rPr>
          <w:rFonts w:hint="eastAsia"/>
          <w:szCs w:val="21"/>
        </w:rPr>
      </w:pPr>
    </w:p>
    <w:p w14:paraId="76E0FD31">
      <w:pPr>
        <w:rPr>
          <w:rFonts w:hint="eastAsia"/>
          <w:szCs w:val="21"/>
        </w:rPr>
        <w:sectPr>
          <w:pgSz w:w="16838" w:h="11906" w:orient="landscape"/>
          <w:pgMar w:top="1797" w:right="1525" w:bottom="1276" w:left="1440" w:header="855" w:footer="992" w:gutter="0"/>
          <w:cols w:space="425" w:num="1"/>
          <w:docGrid w:linePitch="312" w:charSpace="0"/>
        </w:sectPr>
      </w:pPr>
    </w:p>
    <w:p w14:paraId="305E48A6">
      <w:pPr>
        <w:pStyle w:val="4"/>
        <w:numPr>
          <w:ilvl w:val="0"/>
          <w:numId w:val="19"/>
        </w:numPr>
        <w:ind w:left="0" w:firstLine="0"/>
      </w:pPr>
      <w:r>
        <w:rPr>
          <w:rFonts w:hint="eastAsia"/>
        </w:rPr>
        <w:t>现任及报告期内离任董事、监事和高级管理人员的任职情况</w:t>
      </w:r>
    </w:p>
    <w:p w14:paraId="2C15C7EC">
      <w:pPr>
        <w:pStyle w:val="5"/>
        <w:numPr>
          <w:ilvl w:val="0"/>
          <w:numId w:val="20"/>
        </w:numPr>
        <w:rPr>
          <w:rFonts w:hint="eastAsia"/>
        </w:rPr>
      </w:pPr>
      <w:r>
        <w:t>在股东单位任职情况</w:t>
      </w:r>
    </w:p>
    <w:sdt>
      <w:sdtPr>
        <w:rPr>
          <w:szCs w:val="21"/>
        </w:rPr>
        <w:alias w:val="是否适用：在股东单位任职情况[双击切换]"/>
        <w:tag w:val="_GBC_c450b54d9ea443cf85cc614c8528526b"/>
        <w:id w:val="-1753728632"/>
        <w:placeholder>
          <w:docPart w:val="GBC22222222222222222222222222222"/>
        </w:placeholder>
      </w:sdtPr>
      <w:sdtEndPr>
        <w:rPr>
          <w:szCs w:val="21"/>
        </w:rPr>
      </w:sdtEndPr>
      <w:sdtContent>
        <w:p w14:paraId="5AA36460">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2156"/>
        <w:gridCol w:w="1804"/>
        <w:gridCol w:w="1579"/>
        <w:gridCol w:w="1598"/>
      </w:tblGrid>
      <w:tr w14:paraId="1896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sdt>
          <w:sdtPr>
            <w:tag w:val="_PLD_11f45a37b8cb4cfd8d25787f0979b6e9"/>
            <w:id w:val="1521362441"/>
          </w:sdtPr>
          <w:sdtContent>
            <w:tc>
              <w:tcPr>
                <w:tcW w:w="1686" w:type="dxa"/>
                <w:vAlign w:val="center"/>
              </w:tcPr>
              <w:p w14:paraId="494EA731">
                <w:pPr>
                  <w:widowControl w:val="0"/>
                  <w:jc w:val="center"/>
                  <w:rPr>
                    <w:rFonts w:hint="eastAsia"/>
                    <w:szCs w:val="21"/>
                  </w:rPr>
                </w:pPr>
                <w:r>
                  <w:rPr>
                    <w:szCs w:val="21"/>
                  </w:rPr>
                  <w:t>任职人员姓名</w:t>
                </w:r>
              </w:p>
            </w:tc>
          </w:sdtContent>
        </w:sdt>
        <w:sdt>
          <w:sdtPr>
            <w:tag w:val="_PLD_174ff645994f420ea5626aa7d6f5ddb5"/>
            <w:id w:val="-1993170616"/>
          </w:sdtPr>
          <w:sdtContent>
            <w:tc>
              <w:tcPr>
                <w:tcW w:w="2156" w:type="dxa"/>
                <w:vAlign w:val="center"/>
              </w:tcPr>
              <w:p w14:paraId="6970E75A">
                <w:pPr>
                  <w:widowControl w:val="0"/>
                  <w:jc w:val="center"/>
                  <w:rPr>
                    <w:rFonts w:hint="eastAsia"/>
                    <w:szCs w:val="21"/>
                  </w:rPr>
                </w:pPr>
                <w:r>
                  <w:rPr>
                    <w:szCs w:val="21"/>
                  </w:rPr>
                  <w:t>股东单位名称</w:t>
                </w:r>
              </w:p>
            </w:tc>
          </w:sdtContent>
        </w:sdt>
        <w:sdt>
          <w:sdtPr>
            <w:tag w:val="_PLD_c5b9ccac06314dc19400d1f75f51ed76"/>
            <w:id w:val="-1721199316"/>
          </w:sdtPr>
          <w:sdtContent>
            <w:tc>
              <w:tcPr>
                <w:tcW w:w="1804" w:type="dxa"/>
                <w:vAlign w:val="center"/>
              </w:tcPr>
              <w:p w14:paraId="2B685EC2">
                <w:pPr>
                  <w:widowControl w:val="0"/>
                  <w:jc w:val="center"/>
                  <w:rPr>
                    <w:rFonts w:hint="eastAsia"/>
                    <w:szCs w:val="21"/>
                  </w:rPr>
                </w:pPr>
                <w:r>
                  <w:rPr>
                    <w:szCs w:val="21"/>
                  </w:rPr>
                  <w:t>在股东单位担任的职务</w:t>
                </w:r>
              </w:p>
            </w:tc>
          </w:sdtContent>
        </w:sdt>
        <w:sdt>
          <w:sdtPr>
            <w:tag w:val="_PLD_6d359bac7e194427adef03e3d072f875"/>
            <w:id w:val="424768608"/>
          </w:sdtPr>
          <w:sdtContent>
            <w:tc>
              <w:tcPr>
                <w:tcW w:w="1579" w:type="dxa"/>
                <w:vAlign w:val="center"/>
              </w:tcPr>
              <w:p w14:paraId="5E080401">
                <w:pPr>
                  <w:widowControl w:val="0"/>
                  <w:jc w:val="center"/>
                  <w:rPr>
                    <w:rFonts w:hint="eastAsia"/>
                    <w:szCs w:val="21"/>
                  </w:rPr>
                </w:pPr>
                <w:r>
                  <w:rPr>
                    <w:szCs w:val="21"/>
                  </w:rPr>
                  <w:t>任期起始日期</w:t>
                </w:r>
              </w:p>
            </w:tc>
          </w:sdtContent>
        </w:sdt>
        <w:sdt>
          <w:sdtPr>
            <w:tag w:val="_PLD_ba28085d64d240089bfcbff8c64cf230"/>
            <w:id w:val="-817341195"/>
          </w:sdtPr>
          <w:sdtContent>
            <w:tc>
              <w:tcPr>
                <w:tcW w:w="1598" w:type="dxa"/>
                <w:vAlign w:val="center"/>
              </w:tcPr>
              <w:p w14:paraId="748E77CC">
                <w:pPr>
                  <w:widowControl w:val="0"/>
                  <w:jc w:val="center"/>
                  <w:rPr>
                    <w:rFonts w:hint="eastAsia"/>
                    <w:szCs w:val="21"/>
                  </w:rPr>
                </w:pPr>
                <w:r>
                  <w:rPr>
                    <w:szCs w:val="21"/>
                  </w:rPr>
                  <w:t>任期终止日期</w:t>
                </w:r>
              </w:p>
            </w:tc>
          </w:sdtContent>
        </w:sdt>
      </w:tr>
      <w:tr w14:paraId="7138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686" w:type="dxa"/>
            <w:vAlign w:val="center"/>
          </w:tcPr>
          <w:p w14:paraId="6978089A">
            <w:pPr>
              <w:widowControl w:val="0"/>
              <w:jc w:val="center"/>
              <w:rPr>
                <w:rFonts w:hint="eastAsia"/>
                <w:szCs w:val="21"/>
              </w:rPr>
            </w:pPr>
            <w:r>
              <w:t>夏前军</w:t>
            </w:r>
          </w:p>
        </w:tc>
        <w:tc>
          <w:tcPr>
            <w:tcW w:w="2156" w:type="dxa"/>
            <w:vAlign w:val="center"/>
          </w:tcPr>
          <w:p w14:paraId="3CEEEA17">
            <w:pPr>
              <w:widowControl w:val="0"/>
              <w:jc w:val="center"/>
              <w:rPr>
                <w:rFonts w:hint="eastAsia"/>
                <w:szCs w:val="21"/>
              </w:rPr>
            </w:pPr>
            <w:r>
              <w:t>新兴际华科技集团有限公司</w:t>
            </w:r>
          </w:p>
        </w:tc>
        <w:tc>
          <w:tcPr>
            <w:tcW w:w="1804" w:type="dxa"/>
            <w:vAlign w:val="center"/>
          </w:tcPr>
          <w:p w14:paraId="34974EA5">
            <w:pPr>
              <w:widowControl w:val="0"/>
              <w:jc w:val="center"/>
              <w:rPr>
                <w:rFonts w:hint="eastAsia"/>
                <w:szCs w:val="21"/>
              </w:rPr>
            </w:pPr>
            <w:r>
              <w:t>董事</w:t>
            </w:r>
          </w:p>
        </w:tc>
        <w:tc>
          <w:tcPr>
            <w:tcW w:w="1579" w:type="dxa"/>
            <w:vAlign w:val="center"/>
          </w:tcPr>
          <w:p w14:paraId="2BB0E510">
            <w:pPr>
              <w:widowControl w:val="0"/>
              <w:jc w:val="center"/>
              <w:rPr>
                <w:rFonts w:hint="eastAsia"/>
                <w:szCs w:val="21"/>
              </w:rPr>
            </w:pPr>
            <w:r>
              <w:t>2022/11</w:t>
            </w:r>
          </w:p>
        </w:tc>
        <w:tc>
          <w:tcPr>
            <w:tcW w:w="1598" w:type="dxa"/>
            <w:vAlign w:val="center"/>
          </w:tcPr>
          <w:p w14:paraId="3C50577A">
            <w:pPr>
              <w:widowControl w:val="0"/>
              <w:jc w:val="center"/>
              <w:rPr>
                <w:rFonts w:hint="eastAsia"/>
                <w:szCs w:val="21"/>
              </w:rPr>
            </w:pPr>
            <w:r>
              <w:t>/</w:t>
            </w:r>
          </w:p>
        </w:tc>
      </w:tr>
      <w:tr w14:paraId="33DA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686" w:type="dxa"/>
            <w:vAlign w:val="center"/>
          </w:tcPr>
          <w:p w14:paraId="27564FBC">
            <w:pPr>
              <w:widowControl w:val="0"/>
              <w:jc w:val="center"/>
              <w:rPr>
                <w:rFonts w:hint="eastAsia"/>
                <w:szCs w:val="21"/>
              </w:rPr>
            </w:pPr>
            <w:r>
              <w:rPr>
                <w:rFonts w:hint="eastAsia"/>
              </w:rPr>
              <w:t>邱卫兵</w:t>
            </w:r>
          </w:p>
        </w:tc>
        <w:tc>
          <w:tcPr>
            <w:tcW w:w="2156" w:type="dxa"/>
            <w:vAlign w:val="center"/>
          </w:tcPr>
          <w:p w14:paraId="353DA2CF">
            <w:pPr>
              <w:widowControl w:val="0"/>
              <w:jc w:val="center"/>
              <w:rPr>
                <w:rFonts w:hint="eastAsia"/>
                <w:szCs w:val="21"/>
              </w:rPr>
            </w:pPr>
            <w:r>
              <w:rPr>
                <w:rFonts w:hint="eastAsia"/>
              </w:rPr>
              <w:t>新兴际华资产经营管理有限公司</w:t>
            </w:r>
          </w:p>
        </w:tc>
        <w:tc>
          <w:tcPr>
            <w:tcW w:w="1804" w:type="dxa"/>
            <w:vAlign w:val="center"/>
          </w:tcPr>
          <w:p w14:paraId="189BABEE">
            <w:pPr>
              <w:widowControl w:val="0"/>
              <w:jc w:val="center"/>
              <w:rPr>
                <w:rFonts w:hint="eastAsia"/>
                <w:szCs w:val="21"/>
              </w:rPr>
            </w:pPr>
            <w:r>
              <w:rPr>
                <w:rFonts w:hint="eastAsia"/>
              </w:rPr>
              <w:t>党委副书记、纪委书记</w:t>
            </w:r>
          </w:p>
        </w:tc>
        <w:tc>
          <w:tcPr>
            <w:tcW w:w="1579" w:type="dxa"/>
            <w:vAlign w:val="center"/>
          </w:tcPr>
          <w:p w14:paraId="271F7CF0">
            <w:pPr>
              <w:widowControl w:val="0"/>
              <w:jc w:val="center"/>
              <w:rPr>
                <w:rFonts w:hint="eastAsia"/>
                <w:szCs w:val="21"/>
              </w:rPr>
            </w:pPr>
            <w:r>
              <w:rPr>
                <w:rFonts w:hint="eastAsia"/>
              </w:rPr>
              <w:t>2024/3</w:t>
            </w:r>
          </w:p>
        </w:tc>
        <w:tc>
          <w:tcPr>
            <w:tcW w:w="1598" w:type="dxa"/>
            <w:vAlign w:val="center"/>
          </w:tcPr>
          <w:p w14:paraId="7E08D4DB">
            <w:pPr>
              <w:widowControl w:val="0"/>
              <w:jc w:val="center"/>
              <w:rPr>
                <w:rFonts w:hint="eastAsia"/>
                <w:szCs w:val="21"/>
              </w:rPr>
            </w:pPr>
            <w:r>
              <w:rPr>
                <w:rFonts w:hint="eastAsia"/>
              </w:rPr>
              <w:t>/</w:t>
            </w:r>
          </w:p>
        </w:tc>
      </w:tr>
      <w:tr w14:paraId="621E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686" w:type="dxa"/>
            <w:vAlign w:val="center"/>
          </w:tcPr>
          <w:p w14:paraId="6D362C5C">
            <w:pPr>
              <w:widowControl w:val="0"/>
              <w:jc w:val="center"/>
              <w:rPr>
                <w:rFonts w:hint="eastAsia"/>
                <w:szCs w:val="21"/>
              </w:rPr>
            </w:pPr>
            <w:r>
              <w:rPr>
                <w:rFonts w:hint="eastAsia"/>
              </w:rPr>
              <w:t>侯锦瑞</w:t>
            </w:r>
          </w:p>
        </w:tc>
        <w:tc>
          <w:tcPr>
            <w:tcW w:w="2156" w:type="dxa"/>
            <w:vAlign w:val="center"/>
          </w:tcPr>
          <w:p w14:paraId="5250BE81">
            <w:pPr>
              <w:widowControl w:val="0"/>
              <w:jc w:val="center"/>
              <w:rPr>
                <w:rFonts w:hint="eastAsia"/>
                <w:szCs w:val="21"/>
              </w:rPr>
            </w:pPr>
            <w:r>
              <w:t>新兴际华集团有限公司</w:t>
            </w:r>
          </w:p>
        </w:tc>
        <w:tc>
          <w:tcPr>
            <w:tcW w:w="1804" w:type="dxa"/>
            <w:vAlign w:val="center"/>
          </w:tcPr>
          <w:p w14:paraId="7EA94914">
            <w:pPr>
              <w:widowControl w:val="0"/>
              <w:jc w:val="center"/>
              <w:rPr>
                <w:rFonts w:hint="eastAsia"/>
                <w:szCs w:val="21"/>
              </w:rPr>
            </w:pPr>
            <w:r>
              <w:rPr>
                <w:rFonts w:hint="eastAsia"/>
              </w:rPr>
              <w:t>审计风险部风控处副处长</w:t>
            </w:r>
          </w:p>
        </w:tc>
        <w:tc>
          <w:tcPr>
            <w:tcW w:w="1579" w:type="dxa"/>
            <w:vAlign w:val="center"/>
          </w:tcPr>
          <w:p w14:paraId="3F658BE3">
            <w:pPr>
              <w:widowControl w:val="0"/>
              <w:jc w:val="center"/>
              <w:rPr>
                <w:rFonts w:hint="eastAsia"/>
                <w:szCs w:val="21"/>
              </w:rPr>
            </w:pPr>
            <w:r>
              <w:rPr>
                <w:rFonts w:hint="eastAsia"/>
                <w:szCs w:val="21"/>
              </w:rPr>
              <w:t>2023/10</w:t>
            </w:r>
          </w:p>
        </w:tc>
        <w:tc>
          <w:tcPr>
            <w:tcW w:w="1598" w:type="dxa"/>
            <w:vAlign w:val="center"/>
          </w:tcPr>
          <w:p w14:paraId="35B4549D">
            <w:pPr>
              <w:widowControl w:val="0"/>
              <w:jc w:val="center"/>
              <w:rPr>
                <w:rFonts w:hint="eastAsia"/>
                <w:szCs w:val="21"/>
              </w:rPr>
            </w:pPr>
            <w:r>
              <w:t>/</w:t>
            </w:r>
          </w:p>
        </w:tc>
      </w:tr>
      <w:tr w14:paraId="2925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686" w:type="dxa"/>
            <w:vAlign w:val="center"/>
          </w:tcPr>
          <w:p w14:paraId="780A240E">
            <w:pPr>
              <w:widowControl w:val="0"/>
              <w:jc w:val="center"/>
              <w:rPr>
                <w:rFonts w:hint="eastAsia"/>
              </w:rPr>
            </w:pPr>
            <w:r>
              <w:rPr>
                <w:rFonts w:hint="eastAsia"/>
              </w:rPr>
              <w:t>刘长城</w:t>
            </w:r>
          </w:p>
        </w:tc>
        <w:tc>
          <w:tcPr>
            <w:tcW w:w="2156" w:type="dxa"/>
            <w:vAlign w:val="center"/>
          </w:tcPr>
          <w:p w14:paraId="3816263F">
            <w:pPr>
              <w:widowControl w:val="0"/>
              <w:jc w:val="center"/>
              <w:rPr>
                <w:rFonts w:hint="eastAsia"/>
              </w:rPr>
            </w:pPr>
            <w:r>
              <w:rPr>
                <w:rFonts w:hint="eastAsia"/>
              </w:rPr>
              <w:t>新兴际华集团有限公司</w:t>
            </w:r>
          </w:p>
        </w:tc>
        <w:tc>
          <w:tcPr>
            <w:tcW w:w="1804" w:type="dxa"/>
            <w:vAlign w:val="center"/>
          </w:tcPr>
          <w:p w14:paraId="44C60DC9">
            <w:pPr>
              <w:widowControl w:val="0"/>
              <w:jc w:val="center"/>
              <w:rPr>
                <w:rFonts w:hint="eastAsia"/>
              </w:rPr>
            </w:pPr>
            <w:r>
              <w:rPr>
                <w:rFonts w:hint="eastAsia"/>
              </w:rPr>
              <w:t>产业运行部部长</w:t>
            </w:r>
          </w:p>
        </w:tc>
        <w:tc>
          <w:tcPr>
            <w:tcW w:w="1579" w:type="dxa"/>
            <w:vAlign w:val="center"/>
          </w:tcPr>
          <w:p w14:paraId="7D0BBC1F">
            <w:pPr>
              <w:widowControl w:val="0"/>
              <w:jc w:val="center"/>
              <w:rPr>
                <w:rFonts w:hint="eastAsia"/>
                <w:szCs w:val="21"/>
              </w:rPr>
            </w:pPr>
            <w:r>
              <w:rPr>
                <w:rFonts w:hint="eastAsia"/>
                <w:szCs w:val="21"/>
              </w:rPr>
              <w:t>2024/7</w:t>
            </w:r>
          </w:p>
        </w:tc>
        <w:tc>
          <w:tcPr>
            <w:tcW w:w="1598" w:type="dxa"/>
            <w:vAlign w:val="center"/>
          </w:tcPr>
          <w:p w14:paraId="463CE4E0">
            <w:pPr>
              <w:widowControl w:val="0"/>
              <w:jc w:val="center"/>
              <w:rPr>
                <w:rFonts w:hint="eastAsia"/>
              </w:rPr>
            </w:pPr>
            <w:r>
              <w:rPr>
                <w:rFonts w:hint="eastAsia"/>
              </w:rPr>
              <w:t>/</w:t>
            </w:r>
          </w:p>
        </w:tc>
      </w:tr>
      <w:tr w14:paraId="7F06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686" w:type="dxa"/>
            <w:vAlign w:val="center"/>
          </w:tcPr>
          <w:p w14:paraId="2617756A">
            <w:pPr>
              <w:widowControl w:val="0"/>
              <w:jc w:val="center"/>
              <w:rPr>
                <w:rFonts w:hint="eastAsia"/>
              </w:rPr>
            </w:pPr>
            <w:r>
              <w:rPr>
                <w:rFonts w:hint="eastAsia"/>
              </w:rPr>
              <w:t>史俊龙</w:t>
            </w:r>
          </w:p>
        </w:tc>
        <w:tc>
          <w:tcPr>
            <w:tcW w:w="2156" w:type="dxa"/>
            <w:vAlign w:val="center"/>
          </w:tcPr>
          <w:p w14:paraId="6D00309B">
            <w:pPr>
              <w:widowControl w:val="0"/>
              <w:jc w:val="center"/>
              <w:rPr>
                <w:rFonts w:hint="eastAsia"/>
              </w:rPr>
            </w:pPr>
            <w:r>
              <w:rPr>
                <w:rFonts w:hint="eastAsia"/>
              </w:rPr>
              <w:t>新兴际华集团有限公司</w:t>
            </w:r>
          </w:p>
        </w:tc>
        <w:tc>
          <w:tcPr>
            <w:tcW w:w="1804" w:type="dxa"/>
            <w:vAlign w:val="center"/>
          </w:tcPr>
          <w:p w14:paraId="3B55A6FD">
            <w:pPr>
              <w:widowControl w:val="0"/>
              <w:jc w:val="center"/>
              <w:rPr>
                <w:rFonts w:hint="eastAsia"/>
              </w:rPr>
            </w:pPr>
            <w:r>
              <w:rPr>
                <w:rFonts w:hint="eastAsia"/>
              </w:rPr>
              <w:t>专职派出董事</w:t>
            </w:r>
          </w:p>
        </w:tc>
        <w:tc>
          <w:tcPr>
            <w:tcW w:w="1579" w:type="dxa"/>
            <w:vAlign w:val="center"/>
          </w:tcPr>
          <w:p w14:paraId="5FF41B57">
            <w:pPr>
              <w:widowControl w:val="0"/>
              <w:jc w:val="center"/>
              <w:rPr>
                <w:rFonts w:hint="eastAsia"/>
                <w:szCs w:val="21"/>
              </w:rPr>
            </w:pPr>
            <w:r>
              <w:rPr>
                <w:rFonts w:hint="eastAsia"/>
                <w:szCs w:val="21"/>
              </w:rPr>
              <w:t>2020/8</w:t>
            </w:r>
          </w:p>
        </w:tc>
        <w:tc>
          <w:tcPr>
            <w:tcW w:w="1598" w:type="dxa"/>
            <w:vAlign w:val="center"/>
          </w:tcPr>
          <w:p w14:paraId="32C9B3DF">
            <w:pPr>
              <w:widowControl w:val="0"/>
              <w:jc w:val="center"/>
              <w:rPr>
                <w:rFonts w:hint="eastAsia"/>
              </w:rPr>
            </w:pPr>
            <w:r>
              <w:rPr>
                <w:rFonts w:hint="eastAsia"/>
              </w:rPr>
              <w:t>/</w:t>
            </w:r>
          </w:p>
        </w:tc>
      </w:tr>
      <w:tr w14:paraId="29FD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686" w:type="dxa"/>
            <w:vAlign w:val="center"/>
          </w:tcPr>
          <w:p w14:paraId="549E69CC">
            <w:pPr>
              <w:widowControl w:val="0"/>
              <w:jc w:val="center"/>
              <w:rPr>
                <w:rFonts w:hint="eastAsia"/>
                <w:szCs w:val="21"/>
              </w:rPr>
            </w:pPr>
            <w:r>
              <w:rPr>
                <w:szCs w:val="21"/>
              </w:rPr>
              <w:t>在股东单位任职情况的说明</w:t>
            </w:r>
          </w:p>
        </w:tc>
        <w:tc>
          <w:tcPr>
            <w:tcW w:w="7137" w:type="dxa"/>
            <w:gridSpan w:val="4"/>
            <w:vAlign w:val="center"/>
          </w:tcPr>
          <w:p w14:paraId="5C4DA69A">
            <w:pPr>
              <w:widowControl w:val="0"/>
              <w:jc w:val="center"/>
              <w:rPr>
                <w:rFonts w:hint="eastAsia"/>
                <w:szCs w:val="21"/>
              </w:rPr>
            </w:pPr>
            <w:r>
              <w:rPr>
                <w:rFonts w:hint="eastAsia"/>
                <w:szCs w:val="21"/>
              </w:rPr>
              <w:t>新兴际华科技集团有限公司、</w:t>
            </w:r>
            <w:r>
              <w:rPr>
                <w:rFonts w:hint="eastAsia"/>
              </w:rPr>
              <w:t>新兴际华资产经营管理有限公司</w:t>
            </w:r>
            <w:r>
              <w:rPr>
                <w:rFonts w:hint="eastAsia"/>
                <w:szCs w:val="21"/>
              </w:rPr>
              <w:t>为</w:t>
            </w:r>
            <w:r>
              <w:rPr>
                <w:szCs w:val="21"/>
              </w:rPr>
              <w:t>公司</w:t>
            </w:r>
            <w:r>
              <w:rPr>
                <w:rFonts w:hint="eastAsia"/>
                <w:szCs w:val="21"/>
              </w:rPr>
              <w:t>控股</w:t>
            </w:r>
            <w:r>
              <w:rPr>
                <w:szCs w:val="21"/>
              </w:rPr>
              <w:t>股东</w:t>
            </w:r>
            <w:r>
              <w:rPr>
                <w:rFonts w:hint="eastAsia"/>
                <w:szCs w:val="21"/>
              </w:rPr>
              <w:t>新兴际华集团有限公司之关联公司</w:t>
            </w:r>
            <w:r>
              <w:rPr>
                <w:szCs w:val="21"/>
              </w:rPr>
              <w:t>。</w:t>
            </w:r>
          </w:p>
        </w:tc>
      </w:tr>
    </w:tbl>
    <w:p w14:paraId="74894D11">
      <w:pPr>
        <w:rPr>
          <w:rFonts w:hint="eastAsia"/>
          <w:szCs w:val="21"/>
        </w:rPr>
      </w:pPr>
    </w:p>
    <w:p w14:paraId="525E72F2">
      <w:pPr>
        <w:pStyle w:val="5"/>
        <w:numPr>
          <w:ilvl w:val="0"/>
          <w:numId w:val="20"/>
        </w:numPr>
        <w:rPr>
          <w:rFonts w:hint="eastAsia"/>
        </w:rPr>
      </w:pPr>
      <w:r>
        <w:rPr>
          <w:rFonts w:ascii="宋体" w:hAnsi="宋体" w:cs="宋体"/>
          <w:kern w:val="0"/>
          <w:szCs w:val="24"/>
        </w:rPr>
        <w:t>在其他单位任职情况</w:t>
      </w:r>
    </w:p>
    <w:sdt>
      <w:sdtPr>
        <w:rPr>
          <w:szCs w:val="21"/>
        </w:rPr>
        <w:alias w:val="是否适用：在其他单位任职情况[双击切换]"/>
        <w:tag w:val="_GBC_31c17de709bb42fdb7ba137e843fe054"/>
        <w:id w:val="-2101469952"/>
        <w:placeholder>
          <w:docPart w:val="GBC22222222222222222222222222222"/>
        </w:placeholder>
      </w:sdtPr>
      <w:sdtEndPr>
        <w:rPr>
          <w:szCs w:val="21"/>
        </w:rPr>
      </w:sdtEndPr>
      <w:sdtContent>
        <w:p w14:paraId="0C6C8BCD">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2067"/>
        <w:gridCol w:w="1842"/>
        <w:gridCol w:w="1560"/>
        <w:gridCol w:w="1598"/>
      </w:tblGrid>
      <w:tr w14:paraId="059C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sdt>
          <w:sdtPr>
            <w:tag w:val="_PLD_84cb4ce7fc4643b1be607267619a4b88"/>
            <w:id w:val="-601187482"/>
          </w:sdtPr>
          <w:sdtContent>
            <w:tc>
              <w:tcPr>
                <w:tcW w:w="1756" w:type="dxa"/>
                <w:vAlign w:val="center"/>
              </w:tcPr>
              <w:p w14:paraId="184DA373">
                <w:pPr>
                  <w:widowControl w:val="0"/>
                  <w:jc w:val="center"/>
                  <w:rPr>
                    <w:rFonts w:hint="eastAsia"/>
                    <w:szCs w:val="21"/>
                  </w:rPr>
                </w:pPr>
                <w:r>
                  <w:rPr>
                    <w:szCs w:val="21"/>
                  </w:rPr>
                  <w:t>任职人员姓名</w:t>
                </w:r>
              </w:p>
            </w:tc>
          </w:sdtContent>
        </w:sdt>
        <w:sdt>
          <w:sdtPr>
            <w:tag w:val="_PLD_9c5aac001d5a4c2eb3cc0bf1e1f66afe"/>
            <w:id w:val="128597271"/>
          </w:sdtPr>
          <w:sdtContent>
            <w:tc>
              <w:tcPr>
                <w:tcW w:w="2067" w:type="dxa"/>
                <w:vAlign w:val="center"/>
              </w:tcPr>
              <w:p w14:paraId="758438D5">
                <w:pPr>
                  <w:widowControl w:val="0"/>
                  <w:jc w:val="center"/>
                  <w:rPr>
                    <w:rFonts w:hint="eastAsia"/>
                    <w:szCs w:val="21"/>
                  </w:rPr>
                </w:pPr>
                <w:r>
                  <w:rPr>
                    <w:szCs w:val="21"/>
                  </w:rPr>
                  <w:t>其他单位名称</w:t>
                </w:r>
              </w:p>
            </w:tc>
          </w:sdtContent>
        </w:sdt>
        <w:sdt>
          <w:sdtPr>
            <w:tag w:val="_PLD_a3a2822cc76542afbd1a58b94268af1d"/>
            <w:id w:val="-123004151"/>
          </w:sdtPr>
          <w:sdtContent>
            <w:tc>
              <w:tcPr>
                <w:tcW w:w="1842" w:type="dxa"/>
                <w:vAlign w:val="center"/>
              </w:tcPr>
              <w:p w14:paraId="6C853D36">
                <w:pPr>
                  <w:widowControl w:val="0"/>
                  <w:jc w:val="center"/>
                  <w:rPr>
                    <w:rFonts w:hint="eastAsia"/>
                    <w:szCs w:val="21"/>
                  </w:rPr>
                </w:pPr>
                <w:r>
                  <w:rPr>
                    <w:szCs w:val="21"/>
                  </w:rPr>
                  <w:t>在其他单位担任的职务</w:t>
                </w:r>
              </w:p>
            </w:tc>
          </w:sdtContent>
        </w:sdt>
        <w:sdt>
          <w:sdtPr>
            <w:tag w:val="_PLD_1afbd86b2e47420ca2c5a75f01567f2a"/>
            <w:id w:val="1691796673"/>
          </w:sdtPr>
          <w:sdtContent>
            <w:tc>
              <w:tcPr>
                <w:tcW w:w="1560" w:type="dxa"/>
                <w:vAlign w:val="center"/>
              </w:tcPr>
              <w:p w14:paraId="4E8A27F1">
                <w:pPr>
                  <w:widowControl w:val="0"/>
                  <w:jc w:val="center"/>
                  <w:rPr>
                    <w:rFonts w:hint="eastAsia"/>
                    <w:szCs w:val="21"/>
                  </w:rPr>
                </w:pPr>
                <w:r>
                  <w:rPr>
                    <w:szCs w:val="21"/>
                  </w:rPr>
                  <w:t>任期起始日期</w:t>
                </w:r>
              </w:p>
            </w:tc>
          </w:sdtContent>
        </w:sdt>
        <w:tc>
          <w:tcPr>
            <w:tcW w:w="1598" w:type="dxa"/>
            <w:vAlign w:val="center"/>
          </w:tcPr>
          <w:p w14:paraId="252B34F9">
            <w:pPr>
              <w:widowControl w:val="0"/>
              <w:jc w:val="center"/>
              <w:rPr>
                <w:rFonts w:hint="eastAsia"/>
                <w:szCs w:val="21"/>
              </w:rPr>
            </w:pPr>
            <w:sdt>
              <w:sdtPr>
                <w:tag w:val="_PLD_677dde6ffbf24692a6c508831a24eef8"/>
                <w:id w:val="-2036340618"/>
              </w:sdtPr>
              <w:sdtContent>
                <w:r>
                  <w:rPr>
                    <w:szCs w:val="21"/>
                  </w:rPr>
                  <w:t>任期终止日期</w:t>
                </w:r>
              </w:sdtContent>
            </w:sdt>
          </w:p>
        </w:tc>
      </w:tr>
      <w:tr w14:paraId="118C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Merge w:val="restart"/>
            <w:vAlign w:val="center"/>
          </w:tcPr>
          <w:p w14:paraId="4DE8F646">
            <w:pPr>
              <w:widowControl w:val="0"/>
              <w:jc w:val="center"/>
              <w:rPr>
                <w:rFonts w:hint="eastAsia"/>
                <w:szCs w:val="21"/>
              </w:rPr>
            </w:pPr>
            <w:r>
              <w:rPr>
                <w:rFonts w:hint="eastAsia" w:asciiTheme="minorHAnsi" w:hAnsiTheme="minorHAnsi" w:eastAsiaTheme="minorEastAsia" w:cstheme="minorBidi"/>
                <w:kern w:val="2"/>
                <w:szCs w:val="21"/>
              </w:rPr>
              <w:t>张继德</w:t>
            </w:r>
          </w:p>
        </w:tc>
        <w:tc>
          <w:tcPr>
            <w:tcW w:w="2067" w:type="dxa"/>
            <w:vAlign w:val="center"/>
          </w:tcPr>
          <w:p w14:paraId="7D3CB9D6">
            <w:pPr>
              <w:widowControl w:val="0"/>
              <w:jc w:val="center"/>
              <w:rPr>
                <w:rFonts w:hint="eastAsia"/>
                <w:szCs w:val="21"/>
              </w:rPr>
            </w:pPr>
            <w:r>
              <w:rPr>
                <w:rFonts w:hint="eastAsia"/>
              </w:rPr>
              <w:t>北京</w:t>
            </w:r>
            <w:r>
              <w:t>工商大学</w:t>
            </w:r>
          </w:p>
        </w:tc>
        <w:tc>
          <w:tcPr>
            <w:tcW w:w="1842" w:type="dxa"/>
            <w:vAlign w:val="center"/>
          </w:tcPr>
          <w:p w14:paraId="1DB241DA">
            <w:pPr>
              <w:widowControl w:val="0"/>
              <w:jc w:val="center"/>
              <w:rPr>
                <w:rFonts w:hint="eastAsia"/>
                <w:szCs w:val="21"/>
              </w:rPr>
            </w:pPr>
            <w:r>
              <w:t>教授</w:t>
            </w:r>
          </w:p>
        </w:tc>
        <w:tc>
          <w:tcPr>
            <w:tcW w:w="1560" w:type="dxa"/>
            <w:vAlign w:val="center"/>
          </w:tcPr>
          <w:p w14:paraId="5A950C74">
            <w:pPr>
              <w:widowControl w:val="0"/>
              <w:jc w:val="center"/>
              <w:rPr>
                <w:rFonts w:hint="eastAsia"/>
                <w:szCs w:val="21"/>
              </w:rPr>
            </w:pPr>
            <w:r>
              <w:t>2008/7</w:t>
            </w:r>
          </w:p>
        </w:tc>
        <w:tc>
          <w:tcPr>
            <w:tcW w:w="1598" w:type="dxa"/>
            <w:vAlign w:val="center"/>
          </w:tcPr>
          <w:p w14:paraId="230BAA30">
            <w:pPr>
              <w:widowControl w:val="0"/>
              <w:jc w:val="center"/>
              <w:rPr>
                <w:rFonts w:hint="eastAsia"/>
                <w:szCs w:val="21"/>
              </w:rPr>
            </w:pPr>
            <w:r>
              <w:t>/</w:t>
            </w:r>
          </w:p>
        </w:tc>
      </w:tr>
      <w:tr w14:paraId="3E2B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Merge w:val="continue"/>
            <w:vAlign w:val="center"/>
          </w:tcPr>
          <w:p w14:paraId="613EB361">
            <w:pPr>
              <w:widowControl w:val="0"/>
              <w:jc w:val="center"/>
              <w:rPr>
                <w:rFonts w:hint="eastAsia"/>
                <w:szCs w:val="21"/>
              </w:rPr>
            </w:pPr>
          </w:p>
        </w:tc>
        <w:tc>
          <w:tcPr>
            <w:tcW w:w="2067" w:type="dxa"/>
            <w:shd w:val="clear" w:color="auto" w:fill="auto"/>
            <w:vAlign w:val="center"/>
          </w:tcPr>
          <w:p w14:paraId="3D746CC6">
            <w:pPr>
              <w:widowControl w:val="0"/>
              <w:jc w:val="center"/>
              <w:rPr>
                <w:rFonts w:hint="eastAsia"/>
                <w:szCs w:val="21"/>
              </w:rPr>
            </w:pPr>
            <w:r>
              <w:rPr>
                <w:rFonts w:hint="eastAsia"/>
              </w:rPr>
              <w:t>唐山三友化工股份有限公司</w:t>
            </w:r>
          </w:p>
        </w:tc>
        <w:tc>
          <w:tcPr>
            <w:tcW w:w="1842" w:type="dxa"/>
            <w:vAlign w:val="center"/>
          </w:tcPr>
          <w:p w14:paraId="367DCE48">
            <w:pPr>
              <w:widowControl w:val="0"/>
              <w:jc w:val="center"/>
              <w:rPr>
                <w:rFonts w:hint="eastAsia"/>
                <w:szCs w:val="21"/>
              </w:rPr>
            </w:pPr>
            <w:r>
              <w:t>独立董事</w:t>
            </w:r>
          </w:p>
        </w:tc>
        <w:tc>
          <w:tcPr>
            <w:tcW w:w="1560" w:type="dxa"/>
            <w:vAlign w:val="center"/>
          </w:tcPr>
          <w:p w14:paraId="135F7EA5">
            <w:pPr>
              <w:widowControl w:val="0"/>
              <w:jc w:val="center"/>
              <w:rPr>
                <w:rFonts w:hint="eastAsia"/>
                <w:szCs w:val="21"/>
              </w:rPr>
            </w:pPr>
            <w:r>
              <w:rPr>
                <w:rFonts w:hint="eastAsia"/>
              </w:rPr>
              <w:t>2024/2</w:t>
            </w:r>
          </w:p>
        </w:tc>
        <w:tc>
          <w:tcPr>
            <w:tcW w:w="1598" w:type="dxa"/>
            <w:vAlign w:val="center"/>
          </w:tcPr>
          <w:p w14:paraId="518A354A">
            <w:pPr>
              <w:widowControl w:val="0"/>
              <w:jc w:val="center"/>
              <w:rPr>
                <w:rFonts w:hint="eastAsia"/>
                <w:szCs w:val="21"/>
              </w:rPr>
            </w:pPr>
            <w:r>
              <w:rPr>
                <w:rFonts w:hint="eastAsia"/>
              </w:rPr>
              <w:t>2027/2</w:t>
            </w:r>
          </w:p>
        </w:tc>
      </w:tr>
      <w:tr w14:paraId="5D2C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Merge w:val="continue"/>
            <w:vAlign w:val="center"/>
          </w:tcPr>
          <w:p w14:paraId="1C024228">
            <w:pPr>
              <w:widowControl w:val="0"/>
              <w:jc w:val="center"/>
              <w:rPr>
                <w:rFonts w:hint="eastAsia"/>
                <w:szCs w:val="21"/>
              </w:rPr>
            </w:pPr>
          </w:p>
        </w:tc>
        <w:tc>
          <w:tcPr>
            <w:tcW w:w="2067" w:type="dxa"/>
            <w:vAlign w:val="center"/>
          </w:tcPr>
          <w:p w14:paraId="1DB0A9C3">
            <w:pPr>
              <w:widowControl w:val="0"/>
              <w:jc w:val="center"/>
              <w:rPr>
                <w:rFonts w:hint="eastAsia"/>
                <w:szCs w:val="21"/>
              </w:rPr>
            </w:pPr>
            <w:r>
              <w:t>内蒙古北方重型汽车股份有</w:t>
            </w:r>
            <w:r>
              <w:rPr>
                <w:rFonts w:hint="eastAsia"/>
              </w:rPr>
              <w:t>限</w:t>
            </w:r>
            <w:r>
              <w:t>公司</w:t>
            </w:r>
          </w:p>
        </w:tc>
        <w:tc>
          <w:tcPr>
            <w:tcW w:w="1842" w:type="dxa"/>
            <w:vAlign w:val="center"/>
          </w:tcPr>
          <w:p w14:paraId="1D6D5E48">
            <w:pPr>
              <w:widowControl w:val="0"/>
              <w:jc w:val="center"/>
              <w:rPr>
                <w:rFonts w:hint="eastAsia"/>
                <w:szCs w:val="21"/>
              </w:rPr>
            </w:pPr>
            <w:r>
              <w:t>独立董事</w:t>
            </w:r>
          </w:p>
        </w:tc>
        <w:tc>
          <w:tcPr>
            <w:tcW w:w="1560" w:type="dxa"/>
            <w:vAlign w:val="center"/>
          </w:tcPr>
          <w:p w14:paraId="07C6ABBA">
            <w:pPr>
              <w:widowControl w:val="0"/>
              <w:jc w:val="center"/>
              <w:rPr>
                <w:rFonts w:hint="eastAsia"/>
                <w:szCs w:val="21"/>
              </w:rPr>
            </w:pPr>
            <w:r>
              <w:t>202</w:t>
            </w:r>
            <w:r>
              <w:rPr>
                <w:rFonts w:hint="eastAsia"/>
              </w:rPr>
              <w:t>2</w:t>
            </w:r>
            <w:r>
              <w:t>/</w:t>
            </w:r>
            <w:r>
              <w:rPr>
                <w:rFonts w:hint="eastAsia"/>
              </w:rPr>
              <w:t>5</w:t>
            </w:r>
          </w:p>
        </w:tc>
        <w:tc>
          <w:tcPr>
            <w:tcW w:w="1598" w:type="dxa"/>
            <w:vAlign w:val="center"/>
          </w:tcPr>
          <w:p w14:paraId="6BB6C18E">
            <w:pPr>
              <w:widowControl w:val="0"/>
              <w:jc w:val="center"/>
              <w:rPr>
                <w:rFonts w:hint="eastAsia"/>
                <w:szCs w:val="21"/>
              </w:rPr>
            </w:pPr>
            <w:r>
              <w:t>202</w:t>
            </w:r>
            <w:r>
              <w:rPr>
                <w:rFonts w:hint="eastAsia"/>
              </w:rPr>
              <w:t>5</w:t>
            </w:r>
            <w:r>
              <w:t>/6</w:t>
            </w:r>
          </w:p>
        </w:tc>
      </w:tr>
      <w:tr w14:paraId="7CF1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Align w:val="center"/>
          </w:tcPr>
          <w:p w14:paraId="079CD3BE">
            <w:pPr>
              <w:widowControl w:val="0"/>
              <w:jc w:val="center"/>
              <w:rPr>
                <w:rFonts w:hint="eastAsia"/>
                <w:szCs w:val="21"/>
              </w:rPr>
            </w:pPr>
            <w:r>
              <w:rPr>
                <w:rFonts w:hint="eastAsia"/>
                <w:szCs w:val="21"/>
              </w:rPr>
              <w:t>李华</w:t>
            </w:r>
          </w:p>
        </w:tc>
        <w:tc>
          <w:tcPr>
            <w:tcW w:w="2067" w:type="dxa"/>
            <w:vAlign w:val="center"/>
          </w:tcPr>
          <w:p w14:paraId="2673CFAE">
            <w:pPr>
              <w:widowControl w:val="0"/>
              <w:jc w:val="center"/>
              <w:rPr>
                <w:rFonts w:hint="eastAsia"/>
                <w:szCs w:val="21"/>
              </w:rPr>
            </w:pPr>
            <w:r>
              <w:rPr>
                <w:rFonts w:hint="eastAsia"/>
              </w:rPr>
              <w:t>北京市盈科律师事务所</w:t>
            </w:r>
          </w:p>
        </w:tc>
        <w:tc>
          <w:tcPr>
            <w:tcW w:w="1842" w:type="dxa"/>
            <w:vAlign w:val="center"/>
          </w:tcPr>
          <w:p w14:paraId="43F30DC4">
            <w:pPr>
              <w:widowControl w:val="0"/>
              <w:jc w:val="center"/>
              <w:rPr>
                <w:rFonts w:hint="eastAsia"/>
                <w:szCs w:val="21"/>
              </w:rPr>
            </w:pPr>
            <w:r>
              <w:rPr>
                <w:rFonts w:hint="eastAsia"/>
              </w:rPr>
              <w:t>创始合伙人律师、副主任</w:t>
            </w:r>
          </w:p>
        </w:tc>
        <w:tc>
          <w:tcPr>
            <w:tcW w:w="1560" w:type="dxa"/>
            <w:vAlign w:val="center"/>
          </w:tcPr>
          <w:p w14:paraId="5E6403F3">
            <w:pPr>
              <w:widowControl w:val="0"/>
              <w:jc w:val="center"/>
              <w:rPr>
                <w:rFonts w:hint="eastAsia"/>
                <w:szCs w:val="21"/>
              </w:rPr>
            </w:pPr>
            <w:r>
              <w:rPr>
                <w:rFonts w:hint="eastAsia"/>
                <w:szCs w:val="21"/>
              </w:rPr>
              <w:t>2007/6</w:t>
            </w:r>
          </w:p>
        </w:tc>
        <w:tc>
          <w:tcPr>
            <w:tcW w:w="1598" w:type="dxa"/>
            <w:vAlign w:val="center"/>
          </w:tcPr>
          <w:p w14:paraId="3DF862C2">
            <w:pPr>
              <w:widowControl w:val="0"/>
              <w:jc w:val="center"/>
              <w:rPr>
                <w:rFonts w:hint="eastAsia"/>
                <w:szCs w:val="21"/>
              </w:rPr>
            </w:pPr>
            <w:r>
              <w:rPr>
                <w:rFonts w:hint="eastAsia"/>
                <w:szCs w:val="21"/>
              </w:rPr>
              <w:t>/</w:t>
            </w:r>
          </w:p>
        </w:tc>
      </w:tr>
      <w:tr w14:paraId="5F4D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Align w:val="center"/>
          </w:tcPr>
          <w:p w14:paraId="5A896E46">
            <w:pPr>
              <w:widowControl w:val="0"/>
              <w:jc w:val="center"/>
              <w:rPr>
                <w:rFonts w:hint="eastAsia"/>
                <w:szCs w:val="21"/>
              </w:rPr>
            </w:pPr>
            <w:r>
              <w:rPr>
                <w:rFonts w:hint="eastAsia"/>
                <w:szCs w:val="21"/>
              </w:rPr>
              <w:t>温养东</w:t>
            </w:r>
          </w:p>
        </w:tc>
        <w:tc>
          <w:tcPr>
            <w:tcW w:w="2067" w:type="dxa"/>
            <w:vAlign w:val="center"/>
          </w:tcPr>
          <w:p w14:paraId="655867F1">
            <w:pPr>
              <w:widowControl w:val="0"/>
              <w:jc w:val="center"/>
              <w:rPr>
                <w:rFonts w:hint="eastAsia"/>
                <w:szCs w:val="21"/>
              </w:rPr>
            </w:pPr>
            <w:r>
              <w:rPr>
                <w:rFonts w:hint="eastAsia"/>
              </w:rPr>
              <w:t>北京养元投资管理有限公司</w:t>
            </w:r>
          </w:p>
        </w:tc>
        <w:tc>
          <w:tcPr>
            <w:tcW w:w="1842" w:type="dxa"/>
            <w:vAlign w:val="center"/>
          </w:tcPr>
          <w:p w14:paraId="0B9873B4">
            <w:pPr>
              <w:widowControl w:val="0"/>
              <w:jc w:val="center"/>
              <w:rPr>
                <w:rFonts w:hint="eastAsia"/>
                <w:szCs w:val="21"/>
              </w:rPr>
            </w:pPr>
            <w:r>
              <w:rPr>
                <w:rFonts w:hint="eastAsia"/>
                <w:szCs w:val="21"/>
              </w:rPr>
              <w:t>执行董事</w:t>
            </w:r>
          </w:p>
        </w:tc>
        <w:tc>
          <w:tcPr>
            <w:tcW w:w="1560" w:type="dxa"/>
            <w:vAlign w:val="center"/>
          </w:tcPr>
          <w:p w14:paraId="729B6A1F">
            <w:pPr>
              <w:widowControl w:val="0"/>
              <w:jc w:val="center"/>
              <w:rPr>
                <w:rFonts w:hint="eastAsia"/>
                <w:szCs w:val="21"/>
              </w:rPr>
            </w:pPr>
            <w:r>
              <w:rPr>
                <w:rFonts w:hint="eastAsia"/>
                <w:szCs w:val="21"/>
              </w:rPr>
              <w:t>2016/9</w:t>
            </w:r>
          </w:p>
        </w:tc>
        <w:tc>
          <w:tcPr>
            <w:tcW w:w="1598" w:type="dxa"/>
            <w:vAlign w:val="center"/>
          </w:tcPr>
          <w:p w14:paraId="4F432E22">
            <w:pPr>
              <w:widowControl w:val="0"/>
              <w:jc w:val="center"/>
              <w:rPr>
                <w:rFonts w:hint="eastAsia"/>
                <w:szCs w:val="21"/>
              </w:rPr>
            </w:pPr>
            <w:r>
              <w:rPr>
                <w:rFonts w:hint="eastAsia"/>
                <w:szCs w:val="21"/>
              </w:rPr>
              <w:t>/</w:t>
            </w:r>
          </w:p>
        </w:tc>
      </w:tr>
      <w:tr w14:paraId="7696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756" w:type="dxa"/>
            <w:vAlign w:val="center"/>
          </w:tcPr>
          <w:p w14:paraId="40F53494">
            <w:pPr>
              <w:widowControl w:val="0"/>
              <w:jc w:val="center"/>
              <w:rPr>
                <w:rFonts w:hint="eastAsia"/>
                <w:szCs w:val="21"/>
              </w:rPr>
            </w:pPr>
            <w:r>
              <w:rPr>
                <w:rFonts w:hint="eastAsia"/>
                <w:szCs w:val="21"/>
              </w:rPr>
              <w:t>杨金龙</w:t>
            </w:r>
          </w:p>
        </w:tc>
        <w:tc>
          <w:tcPr>
            <w:tcW w:w="2067" w:type="dxa"/>
            <w:vAlign w:val="center"/>
          </w:tcPr>
          <w:p w14:paraId="19EEDAF9">
            <w:pPr>
              <w:widowControl w:val="0"/>
              <w:jc w:val="center"/>
              <w:rPr>
                <w:rFonts w:hint="eastAsia"/>
                <w:szCs w:val="21"/>
              </w:rPr>
            </w:pPr>
            <w:r>
              <w:rPr>
                <w:rFonts w:hint="eastAsia"/>
              </w:rPr>
              <w:t>清华大学</w:t>
            </w:r>
          </w:p>
        </w:tc>
        <w:tc>
          <w:tcPr>
            <w:tcW w:w="1842" w:type="dxa"/>
            <w:vAlign w:val="center"/>
          </w:tcPr>
          <w:p w14:paraId="7B5347B0">
            <w:pPr>
              <w:widowControl w:val="0"/>
              <w:jc w:val="center"/>
              <w:rPr>
                <w:rFonts w:hint="eastAsia"/>
                <w:szCs w:val="21"/>
              </w:rPr>
            </w:pPr>
            <w:r>
              <w:rPr>
                <w:rFonts w:hint="eastAsia"/>
                <w:szCs w:val="21"/>
              </w:rPr>
              <w:t>教授</w:t>
            </w:r>
          </w:p>
        </w:tc>
        <w:tc>
          <w:tcPr>
            <w:tcW w:w="1560" w:type="dxa"/>
            <w:vAlign w:val="center"/>
          </w:tcPr>
          <w:p w14:paraId="44F224D9">
            <w:pPr>
              <w:widowControl w:val="0"/>
              <w:jc w:val="center"/>
              <w:rPr>
                <w:rFonts w:hint="eastAsia"/>
                <w:szCs w:val="21"/>
              </w:rPr>
            </w:pPr>
            <w:r>
              <w:rPr>
                <w:rFonts w:hint="eastAsia"/>
                <w:szCs w:val="21"/>
              </w:rPr>
              <w:t>1996/7</w:t>
            </w:r>
          </w:p>
        </w:tc>
        <w:tc>
          <w:tcPr>
            <w:tcW w:w="1598" w:type="dxa"/>
            <w:vAlign w:val="center"/>
          </w:tcPr>
          <w:p w14:paraId="187C60B1">
            <w:pPr>
              <w:widowControl w:val="0"/>
              <w:jc w:val="center"/>
              <w:rPr>
                <w:rFonts w:hint="eastAsia"/>
                <w:szCs w:val="21"/>
              </w:rPr>
            </w:pPr>
            <w:r>
              <w:rPr>
                <w:rFonts w:hint="eastAsia"/>
                <w:szCs w:val="21"/>
              </w:rPr>
              <w:t>/</w:t>
            </w:r>
          </w:p>
        </w:tc>
      </w:tr>
      <w:tr w14:paraId="44CA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756" w:type="dxa"/>
          </w:tcPr>
          <w:p w14:paraId="78844C29">
            <w:pPr>
              <w:widowControl w:val="0"/>
              <w:jc w:val="both"/>
              <w:rPr>
                <w:rFonts w:hint="eastAsia"/>
                <w:szCs w:val="21"/>
              </w:rPr>
            </w:pPr>
            <w:r>
              <w:rPr>
                <w:rFonts w:hint="eastAsia"/>
                <w:szCs w:val="21"/>
              </w:rPr>
              <w:t>在其他单位任职情况的说明</w:t>
            </w:r>
          </w:p>
        </w:tc>
        <w:tc>
          <w:tcPr>
            <w:tcW w:w="7067" w:type="dxa"/>
            <w:gridSpan w:val="4"/>
          </w:tcPr>
          <w:p w14:paraId="066AA860">
            <w:pPr>
              <w:widowControl w:val="0"/>
              <w:jc w:val="both"/>
              <w:rPr>
                <w:rFonts w:hint="eastAsia"/>
                <w:szCs w:val="21"/>
              </w:rPr>
            </w:pPr>
          </w:p>
        </w:tc>
      </w:tr>
    </w:tbl>
    <w:p w14:paraId="181AFE75">
      <w:pPr>
        <w:rPr>
          <w:rFonts w:hint="eastAsia"/>
        </w:rPr>
      </w:pPr>
    </w:p>
    <w:p w14:paraId="39A4935C">
      <w:pPr>
        <w:pStyle w:val="4"/>
        <w:numPr>
          <w:ilvl w:val="0"/>
          <w:numId w:val="19"/>
        </w:numPr>
        <w:ind w:left="0" w:firstLine="0"/>
      </w:pPr>
      <w:r>
        <w:rPr>
          <w:rFonts w:hint="eastAsia"/>
        </w:rPr>
        <w:t>董事、监事、高级管理人员报酬情况</w:t>
      </w:r>
    </w:p>
    <w:sdt>
      <w:sdtPr>
        <w:alias w:val="是否适用：董事、监事、高级管理人员报酬情况[双击切换]"/>
        <w:tag w:val="_GBC_670a12b9c1e34498888f2aafd9509848"/>
        <w:id w:val="1612012319"/>
      </w:sdtPr>
      <w:sdtContent>
        <w:p w14:paraId="79B5F92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6177"/>
      </w:tblGrid>
      <w:tr w14:paraId="1807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sdt>
          <w:sdtPr>
            <w:tag w:val="_PLD_9e63d19b4bb64b9f8ebbe91d33a629c4"/>
            <w:id w:val="-95405251"/>
          </w:sdtPr>
          <w:sdtContent>
            <w:tc>
              <w:tcPr>
                <w:tcW w:w="4361" w:type="dxa"/>
                <w:vAlign w:val="center"/>
              </w:tcPr>
              <w:p w14:paraId="55251B7F">
                <w:pPr>
                  <w:widowControl w:val="0"/>
                  <w:jc w:val="both"/>
                  <w:rPr>
                    <w:rFonts w:hint="eastAsia"/>
                    <w:szCs w:val="21"/>
                  </w:rPr>
                </w:pPr>
                <w:r>
                  <w:rPr>
                    <w:szCs w:val="21"/>
                  </w:rPr>
                  <w:t>董事、监事、高级管理人员报酬的决策程序</w:t>
                </w:r>
              </w:p>
            </w:tc>
          </w:sdtContent>
        </w:sdt>
        <w:sdt>
          <w:sdtPr>
            <w:rPr>
              <w:rFonts w:hint="eastAsia"/>
              <w:szCs w:val="21"/>
            </w:rPr>
            <w:alias w:val="董事、监事、高级管理人员报酬的决策程序"/>
            <w:tag w:val="_GBC_bf64cad6b5d7435388a8e69e2c05dea2"/>
            <w:id w:val="-400985514"/>
          </w:sdtPr>
          <w:sdtEndPr>
            <w:rPr>
              <w:rFonts w:hint="eastAsia"/>
              <w:szCs w:val="21"/>
            </w:rPr>
          </w:sdtEndPr>
          <w:sdtContent>
            <w:tc>
              <w:tcPr>
                <w:tcW w:w="9728" w:type="dxa"/>
                <w:vAlign w:val="center"/>
              </w:tcPr>
              <w:p w14:paraId="0B9CC390">
                <w:pPr>
                  <w:widowControl w:val="0"/>
                  <w:jc w:val="both"/>
                  <w:rPr>
                    <w:rFonts w:hint="eastAsia"/>
                    <w:szCs w:val="21"/>
                  </w:rPr>
                </w:pPr>
                <w:r>
                  <w:rPr>
                    <w:rFonts w:hint="eastAsia"/>
                    <w:szCs w:val="21"/>
                  </w:rPr>
                  <w:t>董事、监事报酬由股东大会决策，高级管理人员报酬由董事会决策。根据《际华集团股份有限公司经营班子成员业绩考核办法》及公司年度经营业绩目标，公司董事会下设的薪酬与考核委员会对高级管理人员报酬方案进行研究，由董事会审议确定。</w:t>
                </w:r>
              </w:p>
            </w:tc>
          </w:sdtContent>
        </w:sdt>
      </w:tr>
      <w:tr w14:paraId="1E86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4361" w:type="dxa"/>
            <w:vAlign w:val="center"/>
          </w:tcPr>
          <w:p w14:paraId="6340A80C">
            <w:pPr>
              <w:widowControl w:val="0"/>
              <w:jc w:val="both"/>
              <w:rPr>
                <w:rFonts w:hint="eastAsia"/>
              </w:rPr>
            </w:pPr>
            <w:r>
              <w:rPr>
                <w:rFonts w:hint="eastAsia"/>
              </w:rPr>
              <w:t>董事在董事会讨论本人薪酬事项时是否回避</w:t>
            </w:r>
          </w:p>
        </w:tc>
        <w:sdt>
          <w:sdtPr>
            <w:rPr>
              <w:szCs w:val="21"/>
            </w:rPr>
            <w:alias w:val="董事在董事会讨论本人薪酬事项时是否回避"/>
            <w:tag w:val="_GBC_5e64defbd18444939e9dface4daa0619"/>
            <w:id w:val="-1237239132"/>
            <w:comboBox>
              <w:listItem w:displayText="是" w:value="是"/>
              <w:listItem w:displayText="否" w:value="否"/>
            </w:comboBox>
          </w:sdtPr>
          <w:sdtEndPr>
            <w:rPr>
              <w:szCs w:val="21"/>
            </w:rPr>
          </w:sdtEndPr>
          <w:sdtContent>
            <w:tc>
              <w:tcPr>
                <w:tcW w:w="9728" w:type="dxa"/>
                <w:vAlign w:val="center"/>
              </w:tcPr>
              <w:p w14:paraId="427BB2C5">
                <w:pPr>
                  <w:widowControl w:val="0"/>
                  <w:jc w:val="both"/>
                  <w:rPr>
                    <w:rFonts w:hint="eastAsia"/>
                    <w:szCs w:val="21"/>
                  </w:rPr>
                </w:pPr>
                <w:r>
                  <w:rPr>
                    <w:szCs w:val="21"/>
                  </w:rPr>
                  <w:t>是</w:t>
                </w:r>
              </w:p>
            </w:tc>
          </w:sdtContent>
        </w:sdt>
      </w:tr>
      <w:tr w14:paraId="6697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4361" w:type="dxa"/>
            <w:vAlign w:val="center"/>
          </w:tcPr>
          <w:p w14:paraId="16603540">
            <w:pPr>
              <w:widowControl w:val="0"/>
              <w:jc w:val="both"/>
              <w:rPr>
                <w:rFonts w:hint="eastAsia"/>
              </w:rPr>
            </w:pPr>
            <w:r>
              <w:rPr>
                <w:rFonts w:hint="eastAsia"/>
                <w:szCs w:val="21"/>
              </w:rPr>
              <w:t>薪酬与考核委员会或独立董事专门会议关于董事、监事、高级管理人员报酬事项发表建议的具体情况</w:t>
            </w:r>
          </w:p>
        </w:tc>
        <w:tc>
          <w:tcPr>
            <w:tcW w:w="9728" w:type="dxa"/>
            <w:vAlign w:val="center"/>
          </w:tcPr>
          <w:p w14:paraId="03E796F8">
            <w:pPr>
              <w:widowControl w:val="0"/>
              <w:jc w:val="both"/>
              <w:rPr>
                <w:rFonts w:hint="eastAsia"/>
                <w:szCs w:val="21"/>
              </w:rPr>
            </w:pPr>
            <w:r>
              <w:rPr>
                <w:rFonts w:hint="eastAsia"/>
              </w:rPr>
              <w:t>同意董事、高管薪酬考核兑现方案提交第六届董事会第十次会议审议。</w:t>
            </w:r>
          </w:p>
        </w:tc>
      </w:tr>
      <w:tr w14:paraId="2013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361" w:type="dxa"/>
            <w:vAlign w:val="center"/>
          </w:tcPr>
          <w:p w14:paraId="57D19F83">
            <w:pPr>
              <w:widowControl w:val="0"/>
              <w:jc w:val="both"/>
              <w:rPr>
                <w:rFonts w:hint="eastAsia"/>
                <w:szCs w:val="21"/>
              </w:rPr>
            </w:pPr>
            <w:r>
              <w:rPr>
                <w:szCs w:val="21"/>
              </w:rPr>
              <w:t>董事、监事、高级管理人员报酬确定依据</w:t>
            </w:r>
          </w:p>
        </w:tc>
        <w:tc>
          <w:tcPr>
            <w:tcW w:w="9728" w:type="dxa"/>
            <w:vAlign w:val="center"/>
          </w:tcPr>
          <w:p w14:paraId="1FE144A6">
            <w:pPr>
              <w:widowControl w:val="0"/>
              <w:jc w:val="both"/>
              <w:rPr>
                <w:rFonts w:hint="eastAsia"/>
                <w:szCs w:val="21"/>
              </w:rPr>
            </w:pPr>
            <w:r>
              <w:rPr>
                <w:rFonts w:hint="eastAsia"/>
                <w:szCs w:val="21"/>
              </w:rPr>
              <w:t>经股东大会聘用的会计师事务所审计的《2024年度财务报告》，《际华集团股份有限公司总经理、副总经理、总会计师经营业绩考核责任书》以及《际华集团股份有限公司经营班子成员业绩考核办法》。</w:t>
            </w:r>
          </w:p>
        </w:tc>
      </w:tr>
      <w:tr w14:paraId="423C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361" w:type="dxa"/>
            <w:vAlign w:val="center"/>
          </w:tcPr>
          <w:p w14:paraId="23AC1C2B">
            <w:pPr>
              <w:widowControl w:val="0"/>
              <w:jc w:val="both"/>
              <w:rPr>
                <w:rFonts w:hint="eastAsia"/>
                <w:szCs w:val="21"/>
              </w:rPr>
            </w:pPr>
            <w:r>
              <w:rPr>
                <w:szCs w:val="21"/>
              </w:rPr>
              <w:t>董事、监事和高级管理人员报酬的</w:t>
            </w:r>
            <w:r>
              <w:rPr>
                <w:rFonts w:hint="eastAsia"/>
                <w:szCs w:val="21"/>
              </w:rPr>
              <w:t>实际支付</w:t>
            </w:r>
            <w:r>
              <w:rPr>
                <w:szCs w:val="21"/>
              </w:rPr>
              <w:t>情况</w:t>
            </w:r>
          </w:p>
        </w:tc>
        <w:tc>
          <w:tcPr>
            <w:tcW w:w="9728" w:type="dxa"/>
            <w:vAlign w:val="center"/>
          </w:tcPr>
          <w:p w14:paraId="1CC16495">
            <w:pPr>
              <w:widowControl w:val="0"/>
              <w:jc w:val="both"/>
              <w:rPr>
                <w:rFonts w:hint="eastAsia"/>
                <w:szCs w:val="21"/>
              </w:rPr>
            </w:pPr>
            <w:r>
              <w:rPr>
                <w:rFonts w:hint="eastAsia"/>
                <w:szCs w:val="21"/>
              </w:rPr>
              <w:t>董监高个人报酬详见董事、监事和高级管理人员持股变动及报酬情况表。</w:t>
            </w:r>
          </w:p>
        </w:tc>
      </w:tr>
      <w:tr w14:paraId="24C3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4361" w:type="dxa"/>
            <w:vAlign w:val="center"/>
          </w:tcPr>
          <w:p w14:paraId="20A73A14">
            <w:pPr>
              <w:widowControl w:val="0"/>
              <w:jc w:val="both"/>
              <w:rPr>
                <w:rFonts w:hint="eastAsia"/>
                <w:szCs w:val="21"/>
              </w:rPr>
            </w:pPr>
            <w:r>
              <w:rPr>
                <w:szCs w:val="21"/>
              </w:rPr>
              <w:t>报告期末全体董事、监事和高级管理人员实际获得的报酬合计</w:t>
            </w:r>
          </w:p>
        </w:tc>
        <w:tc>
          <w:tcPr>
            <w:tcW w:w="9728" w:type="dxa"/>
            <w:vAlign w:val="center"/>
          </w:tcPr>
          <w:p w14:paraId="4A6BCDCF">
            <w:pPr>
              <w:widowControl w:val="0"/>
              <w:jc w:val="both"/>
              <w:rPr>
                <w:rFonts w:hint="eastAsia"/>
                <w:szCs w:val="21"/>
              </w:rPr>
            </w:pPr>
            <w:r>
              <w:rPr>
                <w:rFonts w:hint="eastAsia"/>
                <w:szCs w:val="21"/>
              </w:rPr>
              <w:t>报告期内，董事、监事和高级管理人员年度报酬总额为751.67万元。</w:t>
            </w:r>
          </w:p>
        </w:tc>
      </w:tr>
    </w:tbl>
    <w:p w14:paraId="73BC58D2">
      <w:pPr>
        <w:rPr>
          <w:rFonts w:hint="eastAsia"/>
        </w:rPr>
      </w:pPr>
    </w:p>
    <w:p w14:paraId="273E2B8A">
      <w:pPr>
        <w:pStyle w:val="4"/>
        <w:numPr>
          <w:ilvl w:val="0"/>
          <w:numId w:val="19"/>
        </w:numPr>
        <w:ind w:left="0" w:firstLine="0"/>
      </w:pPr>
      <w:r>
        <w:rPr>
          <w:rFonts w:hint="eastAsia"/>
        </w:rPr>
        <w:t>公司董事、监事、高级管理人员变动情况</w:t>
      </w:r>
    </w:p>
    <w:sdt>
      <w:sdtPr>
        <w:alias w:val="是否适用：公司董事、监事、高级管理人员变动情况[双击切换]"/>
        <w:tag w:val="_GBC_a00df019796e4666a1adff20d55baa46"/>
        <w:id w:val="-295681031"/>
        <w:placeholder>
          <w:docPart w:val="GBC22222222222222222222222222222"/>
        </w:placeholder>
      </w:sdtPr>
      <w:sdtContent>
        <w:p w14:paraId="17192075">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0"/>
        <w:gridCol w:w="2327"/>
        <w:gridCol w:w="2240"/>
        <w:gridCol w:w="2242"/>
      </w:tblGrid>
      <w:tr w14:paraId="53C1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sdt>
          <w:sdtPr>
            <w:tag w:val="_PLD_10c0965136c84bf6abfceaef8557ae99"/>
            <w:id w:val="-109446954"/>
          </w:sdtPr>
          <w:sdtContent>
            <w:tc>
              <w:tcPr>
                <w:tcW w:w="3522" w:type="dxa"/>
                <w:vAlign w:val="center"/>
              </w:tcPr>
              <w:p w14:paraId="39FEDB62">
                <w:pPr>
                  <w:widowControl w:val="0"/>
                  <w:jc w:val="center"/>
                  <w:rPr>
                    <w:rFonts w:hint="eastAsia"/>
                    <w:szCs w:val="21"/>
                  </w:rPr>
                </w:pPr>
                <w:r>
                  <w:rPr>
                    <w:szCs w:val="21"/>
                  </w:rPr>
                  <w:t>姓名</w:t>
                </w:r>
              </w:p>
            </w:tc>
          </w:sdtContent>
        </w:sdt>
        <w:sdt>
          <w:sdtPr>
            <w:tag w:val="_PLD_b53cc0c0661e4cffa4f7fa4f6423187d"/>
            <w:id w:val="-1854490393"/>
          </w:sdtPr>
          <w:sdtContent>
            <w:tc>
              <w:tcPr>
                <w:tcW w:w="3522" w:type="dxa"/>
                <w:vAlign w:val="center"/>
              </w:tcPr>
              <w:p w14:paraId="0132FEE5">
                <w:pPr>
                  <w:widowControl w:val="0"/>
                  <w:jc w:val="center"/>
                  <w:rPr>
                    <w:rFonts w:hint="eastAsia"/>
                    <w:szCs w:val="21"/>
                  </w:rPr>
                </w:pPr>
                <w:r>
                  <w:rPr>
                    <w:szCs w:val="21"/>
                  </w:rPr>
                  <w:t>担任的职务</w:t>
                </w:r>
              </w:p>
            </w:tc>
          </w:sdtContent>
        </w:sdt>
        <w:sdt>
          <w:sdtPr>
            <w:tag w:val="_PLD_012859f523ec430da1dfc6a86c6dde35"/>
            <w:id w:val="1711616735"/>
          </w:sdtPr>
          <w:sdtContent>
            <w:tc>
              <w:tcPr>
                <w:tcW w:w="3522" w:type="dxa"/>
                <w:vAlign w:val="center"/>
              </w:tcPr>
              <w:p w14:paraId="1C6944D3">
                <w:pPr>
                  <w:widowControl w:val="0"/>
                  <w:jc w:val="center"/>
                  <w:rPr>
                    <w:rFonts w:hint="eastAsia"/>
                    <w:szCs w:val="21"/>
                  </w:rPr>
                </w:pPr>
                <w:r>
                  <w:rPr>
                    <w:szCs w:val="21"/>
                  </w:rPr>
                  <w:t>变动情形</w:t>
                </w:r>
              </w:p>
            </w:tc>
          </w:sdtContent>
        </w:sdt>
        <w:sdt>
          <w:sdtPr>
            <w:tag w:val="_PLD_bf76757c55de435a9638407bd56b5199"/>
            <w:id w:val="-157314992"/>
          </w:sdtPr>
          <w:sdtContent>
            <w:tc>
              <w:tcPr>
                <w:tcW w:w="3523" w:type="dxa"/>
                <w:vAlign w:val="center"/>
              </w:tcPr>
              <w:p w14:paraId="0D821DE3">
                <w:pPr>
                  <w:widowControl w:val="0"/>
                  <w:jc w:val="center"/>
                  <w:rPr>
                    <w:rFonts w:hint="eastAsia"/>
                    <w:szCs w:val="21"/>
                  </w:rPr>
                </w:pPr>
                <w:r>
                  <w:rPr>
                    <w:szCs w:val="21"/>
                  </w:rPr>
                  <w:t>变动原因</w:t>
                </w:r>
              </w:p>
            </w:tc>
          </w:sdtContent>
        </w:sdt>
      </w:tr>
      <w:tr w14:paraId="2E05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522" w:type="dxa"/>
          </w:tcPr>
          <w:p w14:paraId="35FB1546">
            <w:pPr>
              <w:widowControl w:val="0"/>
              <w:jc w:val="both"/>
              <w:rPr>
                <w:rFonts w:hint="eastAsia"/>
                <w:szCs w:val="21"/>
              </w:rPr>
            </w:pPr>
            <w:r>
              <w:rPr>
                <w:rFonts w:hint="eastAsia"/>
                <w:szCs w:val="21"/>
              </w:rPr>
              <w:t>夏前军</w:t>
            </w:r>
          </w:p>
        </w:tc>
        <w:tc>
          <w:tcPr>
            <w:tcW w:w="3522" w:type="dxa"/>
          </w:tcPr>
          <w:p w14:paraId="7C6BF0B3">
            <w:pPr>
              <w:widowControl w:val="0"/>
              <w:jc w:val="both"/>
              <w:rPr>
                <w:rFonts w:hint="eastAsia"/>
                <w:szCs w:val="21"/>
              </w:rPr>
            </w:pPr>
            <w:r>
              <w:rPr>
                <w:rFonts w:hint="eastAsia"/>
                <w:szCs w:val="21"/>
              </w:rPr>
              <w:t>总经理</w:t>
            </w:r>
          </w:p>
        </w:tc>
        <w:tc>
          <w:tcPr>
            <w:tcW w:w="3522" w:type="dxa"/>
          </w:tcPr>
          <w:p w14:paraId="53FDEDCD">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4F98A52B">
            <w:pPr>
              <w:widowControl w:val="0"/>
              <w:jc w:val="both"/>
              <w:rPr>
                <w:rFonts w:hint="eastAsia"/>
                <w:szCs w:val="21"/>
              </w:rPr>
            </w:pPr>
            <w:r>
              <w:rPr>
                <w:rFonts w:hint="eastAsia"/>
                <w:szCs w:val="21"/>
              </w:rPr>
              <w:t>职务调整</w:t>
            </w:r>
          </w:p>
        </w:tc>
      </w:tr>
      <w:tr w14:paraId="50D7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3522" w:type="dxa"/>
          </w:tcPr>
          <w:p w14:paraId="194F33A8">
            <w:pPr>
              <w:widowControl w:val="0"/>
              <w:jc w:val="both"/>
              <w:rPr>
                <w:rFonts w:hint="eastAsia"/>
                <w:szCs w:val="21"/>
              </w:rPr>
            </w:pPr>
            <w:r>
              <w:rPr>
                <w:rFonts w:hint="eastAsia"/>
                <w:szCs w:val="21"/>
              </w:rPr>
              <w:t>王学柱</w:t>
            </w:r>
          </w:p>
        </w:tc>
        <w:tc>
          <w:tcPr>
            <w:tcW w:w="3522" w:type="dxa"/>
          </w:tcPr>
          <w:p w14:paraId="0E7D638A">
            <w:pPr>
              <w:widowControl w:val="0"/>
              <w:jc w:val="both"/>
              <w:rPr>
                <w:rFonts w:hint="eastAsia"/>
                <w:szCs w:val="21"/>
              </w:rPr>
            </w:pPr>
            <w:r>
              <w:rPr>
                <w:rFonts w:hint="eastAsia"/>
                <w:szCs w:val="21"/>
              </w:rPr>
              <w:t>董事、总经理</w:t>
            </w:r>
          </w:p>
        </w:tc>
        <w:tc>
          <w:tcPr>
            <w:tcW w:w="3522" w:type="dxa"/>
          </w:tcPr>
          <w:p w14:paraId="7B605EC0">
            <w:pPr>
              <w:widowControl w:val="0"/>
              <w:jc w:val="both"/>
              <w:rPr>
                <w:rFonts w:hint="eastAsia"/>
                <w:szCs w:val="21"/>
              </w:rPr>
            </w:pPr>
            <w:r>
              <w:rPr>
                <w:rFonts w:hint="eastAsia" w:ascii="Times New Roman" w:hAnsi="Times New Roman"/>
                <w:szCs w:val="21"/>
              </w:rPr>
              <w:t>选举</w:t>
            </w:r>
          </w:p>
        </w:tc>
        <w:tc>
          <w:tcPr>
            <w:tcW w:w="3523" w:type="dxa"/>
          </w:tcPr>
          <w:p w14:paraId="3B1FDFBD">
            <w:pPr>
              <w:widowControl w:val="0"/>
              <w:jc w:val="both"/>
              <w:rPr>
                <w:rFonts w:hint="eastAsia"/>
                <w:szCs w:val="21"/>
              </w:rPr>
            </w:pPr>
            <w:r>
              <w:rPr>
                <w:rFonts w:hint="eastAsia" w:ascii="Times New Roman" w:hAnsi="Times New Roman"/>
                <w:szCs w:val="21"/>
              </w:rPr>
              <w:t>股东大会选举</w:t>
            </w:r>
          </w:p>
        </w:tc>
      </w:tr>
      <w:tr w14:paraId="777B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B4E8746">
            <w:pPr>
              <w:widowControl w:val="0"/>
              <w:jc w:val="both"/>
              <w:rPr>
                <w:rFonts w:hint="eastAsia"/>
                <w:szCs w:val="21"/>
              </w:rPr>
            </w:pPr>
            <w:r>
              <w:rPr>
                <w:rFonts w:hint="eastAsia"/>
                <w:szCs w:val="21"/>
              </w:rPr>
              <w:t>韩月芬</w:t>
            </w:r>
          </w:p>
        </w:tc>
        <w:tc>
          <w:tcPr>
            <w:tcW w:w="3522" w:type="dxa"/>
          </w:tcPr>
          <w:p w14:paraId="3EA86651">
            <w:pPr>
              <w:widowControl w:val="0"/>
              <w:jc w:val="both"/>
              <w:rPr>
                <w:rFonts w:hint="eastAsia"/>
                <w:szCs w:val="21"/>
              </w:rPr>
            </w:pPr>
            <w:r>
              <w:rPr>
                <w:rFonts w:hint="eastAsia"/>
                <w:szCs w:val="21"/>
              </w:rPr>
              <w:t>董事</w:t>
            </w:r>
          </w:p>
        </w:tc>
        <w:tc>
          <w:tcPr>
            <w:tcW w:w="3522" w:type="dxa"/>
          </w:tcPr>
          <w:p w14:paraId="5D69FBD4">
            <w:pPr>
              <w:widowControl w:val="0"/>
              <w:jc w:val="both"/>
              <w:rPr>
                <w:rFonts w:hint="eastAsia"/>
                <w:szCs w:val="21"/>
              </w:rPr>
            </w:pPr>
            <w:r>
              <w:rPr>
                <w:rFonts w:hint="eastAsia" w:ascii="Times New Roman" w:hAnsi="Times New Roman"/>
                <w:szCs w:val="21"/>
              </w:rPr>
              <w:t>选举</w:t>
            </w:r>
          </w:p>
        </w:tc>
        <w:tc>
          <w:tcPr>
            <w:tcW w:w="3523" w:type="dxa"/>
          </w:tcPr>
          <w:p w14:paraId="45EEDC04">
            <w:pPr>
              <w:widowControl w:val="0"/>
              <w:jc w:val="both"/>
              <w:rPr>
                <w:rFonts w:hint="eastAsia"/>
                <w:szCs w:val="21"/>
              </w:rPr>
            </w:pPr>
            <w:r>
              <w:rPr>
                <w:rFonts w:hint="eastAsia" w:ascii="Times New Roman" w:hAnsi="Times New Roman"/>
                <w:szCs w:val="21"/>
              </w:rPr>
              <w:t>股东大会选举</w:t>
            </w:r>
          </w:p>
        </w:tc>
      </w:tr>
      <w:tr w14:paraId="6318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53B00A28">
            <w:pPr>
              <w:widowControl w:val="0"/>
              <w:jc w:val="both"/>
              <w:rPr>
                <w:rFonts w:hint="eastAsia"/>
                <w:szCs w:val="21"/>
              </w:rPr>
            </w:pPr>
            <w:r>
              <w:rPr>
                <w:rFonts w:hint="eastAsia"/>
                <w:szCs w:val="21"/>
              </w:rPr>
              <w:t>韩月芬</w:t>
            </w:r>
          </w:p>
        </w:tc>
        <w:tc>
          <w:tcPr>
            <w:tcW w:w="3522" w:type="dxa"/>
          </w:tcPr>
          <w:p w14:paraId="23828F5A">
            <w:pPr>
              <w:widowControl w:val="0"/>
              <w:jc w:val="both"/>
              <w:rPr>
                <w:rFonts w:hint="eastAsia"/>
                <w:szCs w:val="21"/>
              </w:rPr>
            </w:pPr>
            <w:r>
              <w:rPr>
                <w:rFonts w:hint="eastAsia"/>
                <w:szCs w:val="21"/>
              </w:rPr>
              <w:t>副总经理</w:t>
            </w:r>
          </w:p>
        </w:tc>
        <w:tc>
          <w:tcPr>
            <w:tcW w:w="3522" w:type="dxa"/>
          </w:tcPr>
          <w:p w14:paraId="62C23BF8">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508395D9">
            <w:pPr>
              <w:widowControl w:val="0"/>
              <w:jc w:val="both"/>
              <w:rPr>
                <w:rFonts w:hint="eastAsia"/>
                <w:szCs w:val="21"/>
              </w:rPr>
            </w:pPr>
            <w:r>
              <w:rPr>
                <w:rFonts w:hint="eastAsia"/>
                <w:szCs w:val="21"/>
              </w:rPr>
              <w:t>职务调整</w:t>
            </w:r>
          </w:p>
        </w:tc>
      </w:tr>
      <w:tr w14:paraId="0BFC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4061FE93">
            <w:pPr>
              <w:widowControl w:val="0"/>
              <w:jc w:val="both"/>
              <w:rPr>
                <w:rFonts w:hint="eastAsia"/>
                <w:szCs w:val="21"/>
              </w:rPr>
            </w:pPr>
            <w:r>
              <w:rPr>
                <w:rFonts w:hint="eastAsia"/>
                <w:szCs w:val="21"/>
              </w:rPr>
              <w:t>邱卫兵</w:t>
            </w:r>
          </w:p>
        </w:tc>
        <w:tc>
          <w:tcPr>
            <w:tcW w:w="3522" w:type="dxa"/>
          </w:tcPr>
          <w:p w14:paraId="0A7030C3">
            <w:pPr>
              <w:widowControl w:val="0"/>
              <w:jc w:val="both"/>
              <w:rPr>
                <w:rFonts w:hint="eastAsia"/>
                <w:szCs w:val="21"/>
              </w:rPr>
            </w:pPr>
            <w:r>
              <w:rPr>
                <w:rFonts w:hint="eastAsia"/>
                <w:szCs w:val="21"/>
              </w:rPr>
              <w:t>董事、董事会秘书</w:t>
            </w:r>
          </w:p>
        </w:tc>
        <w:tc>
          <w:tcPr>
            <w:tcW w:w="3522" w:type="dxa"/>
          </w:tcPr>
          <w:p w14:paraId="0D0B56C6">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070CAAAC">
            <w:pPr>
              <w:widowControl w:val="0"/>
              <w:jc w:val="both"/>
              <w:rPr>
                <w:rFonts w:hint="eastAsia"/>
                <w:szCs w:val="21"/>
              </w:rPr>
            </w:pPr>
            <w:r>
              <w:rPr>
                <w:rFonts w:hint="eastAsia"/>
                <w:szCs w:val="21"/>
              </w:rPr>
              <w:t>工作调动</w:t>
            </w:r>
          </w:p>
        </w:tc>
      </w:tr>
      <w:tr w14:paraId="5C53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639222D">
            <w:pPr>
              <w:widowControl w:val="0"/>
              <w:jc w:val="both"/>
              <w:rPr>
                <w:rFonts w:hint="eastAsia"/>
                <w:szCs w:val="21"/>
              </w:rPr>
            </w:pPr>
            <w:r>
              <w:rPr>
                <w:rFonts w:hint="eastAsia"/>
                <w:szCs w:val="21"/>
              </w:rPr>
              <w:t>杨金龙</w:t>
            </w:r>
          </w:p>
        </w:tc>
        <w:tc>
          <w:tcPr>
            <w:tcW w:w="3522" w:type="dxa"/>
          </w:tcPr>
          <w:p w14:paraId="38E10286">
            <w:pPr>
              <w:widowControl w:val="0"/>
              <w:jc w:val="both"/>
              <w:rPr>
                <w:rFonts w:hint="eastAsia"/>
                <w:szCs w:val="21"/>
              </w:rPr>
            </w:pPr>
            <w:r>
              <w:rPr>
                <w:rFonts w:hint="eastAsia"/>
                <w:szCs w:val="21"/>
              </w:rPr>
              <w:t>董事</w:t>
            </w:r>
          </w:p>
        </w:tc>
        <w:tc>
          <w:tcPr>
            <w:tcW w:w="3522" w:type="dxa"/>
          </w:tcPr>
          <w:p w14:paraId="2B2A90EB">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1B0650BA">
            <w:pPr>
              <w:widowControl w:val="0"/>
              <w:jc w:val="both"/>
              <w:rPr>
                <w:rFonts w:hint="eastAsia"/>
                <w:szCs w:val="21"/>
              </w:rPr>
            </w:pPr>
            <w:r>
              <w:rPr>
                <w:rFonts w:hint="eastAsia"/>
                <w:szCs w:val="21"/>
              </w:rPr>
              <w:t>换届选举</w:t>
            </w:r>
          </w:p>
        </w:tc>
      </w:tr>
      <w:tr w14:paraId="41A7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1462BE54">
            <w:pPr>
              <w:widowControl w:val="0"/>
              <w:jc w:val="both"/>
              <w:rPr>
                <w:rFonts w:hint="eastAsia"/>
                <w:szCs w:val="21"/>
              </w:rPr>
            </w:pPr>
            <w:r>
              <w:rPr>
                <w:rFonts w:hint="eastAsia"/>
                <w:szCs w:val="21"/>
              </w:rPr>
              <w:t>李华</w:t>
            </w:r>
          </w:p>
        </w:tc>
        <w:tc>
          <w:tcPr>
            <w:tcW w:w="3522" w:type="dxa"/>
          </w:tcPr>
          <w:p w14:paraId="2B2C650C">
            <w:pPr>
              <w:widowControl w:val="0"/>
              <w:jc w:val="both"/>
              <w:rPr>
                <w:rFonts w:hint="eastAsia"/>
                <w:szCs w:val="21"/>
              </w:rPr>
            </w:pPr>
            <w:r>
              <w:rPr>
                <w:rFonts w:hint="eastAsia"/>
                <w:szCs w:val="21"/>
              </w:rPr>
              <w:t>独立董事</w:t>
            </w:r>
          </w:p>
        </w:tc>
        <w:tc>
          <w:tcPr>
            <w:tcW w:w="3522" w:type="dxa"/>
          </w:tcPr>
          <w:p w14:paraId="612D509A">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227A1C95">
            <w:pPr>
              <w:widowControl w:val="0"/>
              <w:jc w:val="both"/>
              <w:rPr>
                <w:rFonts w:hint="eastAsia"/>
                <w:szCs w:val="21"/>
              </w:rPr>
            </w:pPr>
            <w:r>
              <w:rPr>
                <w:rFonts w:hint="eastAsia"/>
                <w:szCs w:val="21"/>
              </w:rPr>
              <w:t>换届选举</w:t>
            </w:r>
          </w:p>
        </w:tc>
      </w:tr>
      <w:tr w14:paraId="47AD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48FD35C1">
            <w:pPr>
              <w:widowControl w:val="0"/>
              <w:jc w:val="both"/>
              <w:rPr>
                <w:rFonts w:hint="eastAsia"/>
                <w:szCs w:val="21"/>
              </w:rPr>
            </w:pPr>
            <w:r>
              <w:rPr>
                <w:rFonts w:hint="eastAsia"/>
                <w:szCs w:val="21"/>
              </w:rPr>
              <w:t>温养东</w:t>
            </w:r>
          </w:p>
        </w:tc>
        <w:tc>
          <w:tcPr>
            <w:tcW w:w="3522" w:type="dxa"/>
          </w:tcPr>
          <w:p w14:paraId="3503FBDD">
            <w:pPr>
              <w:widowControl w:val="0"/>
              <w:jc w:val="both"/>
              <w:rPr>
                <w:rFonts w:hint="eastAsia"/>
                <w:szCs w:val="21"/>
              </w:rPr>
            </w:pPr>
            <w:r>
              <w:rPr>
                <w:rFonts w:hint="eastAsia"/>
                <w:szCs w:val="21"/>
              </w:rPr>
              <w:t>独立董事</w:t>
            </w:r>
          </w:p>
        </w:tc>
        <w:tc>
          <w:tcPr>
            <w:tcW w:w="3522" w:type="dxa"/>
          </w:tcPr>
          <w:p w14:paraId="74E22373">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2276EEA3">
            <w:pPr>
              <w:widowControl w:val="0"/>
              <w:jc w:val="both"/>
              <w:rPr>
                <w:rFonts w:hint="eastAsia"/>
                <w:szCs w:val="21"/>
              </w:rPr>
            </w:pPr>
            <w:r>
              <w:rPr>
                <w:rFonts w:hint="eastAsia"/>
                <w:szCs w:val="21"/>
              </w:rPr>
              <w:t>换届选举</w:t>
            </w:r>
          </w:p>
        </w:tc>
      </w:tr>
      <w:tr w14:paraId="433C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AF08528">
            <w:pPr>
              <w:widowControl w:val="0"/>
              <w:jc w:val="both"/>
              <w:rPr>
                <w:rFonts w:hint="eastAsia"/>
                <w:szCs w:val="21"/>
              </w:rPr>
            </w:pPr>
            <w:r>
              <w:rPr>
                <w:rFonts w:hint="eastAsia"/>
                <w:szCs w:val="21"/>
              </w:rPr>
              <w:t>徐坚</w:t>
            </w:r>
          </w:p>
        </w:tc>
        <w:tc>
          <w:tcPr>
            <w:tcW w:w="3522" w:type="dxa"/>
          </w:tcPr>
          <w:p w14:paraId="283150A2">
            <w:pPr>
              <w:widowControl w:val="0"/>
              <w:jc w:val="both"/>
              <w:rPr>
                <w:rFonts w:hint="eastAsia"/>
                <w:szCs w:val="21"/>
              </w:rPr>
            </w:pPr>
            <w:r>
              <w:rPr>
                <w:rFonts w:hint="eastAsia"/>
                <w:szCs w:val="21"/>
              </w:rPr>
              <w:t>独立董事</w:t>
            </w:r>
          </w:p>
        </w:tc>
        <w:tc>
          <w:tcPr>
            <w:tcW w:w="3522" w:type="dxa"/>
          </w:tcPr>
          <w:p w14:paraId="06EF2F7F">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20FDCA0B">
            <w:pPr>
              <w:widowControl w:val="0"/>
              <w:jc w:val="both"/>
              <w:rPr>
                <w:rFonts w:hint="eastAsia"/>
                <w:szCs w:val="21"/>
              </w:rPr>
            </w:pPr>
            <w:r>
              <w:rPr>
                <w:rFonts w:hint="eastAsia"/>
                <w:szCs w:val="21"/>
              </w:rPr>
              <w:t>任期届满</w:t>
            </w:r>
          </w:p>
        </w:tc>
      </w:tr>
      <w:tr w14:paraId="3C1A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522" w:type="dxa"/>
          </w:tcPr>
          <w:p w14:paraId="100173D1">
            <w:pPr>
              <w:widowControl w:val="0"/>
              <w:jc w:val="both"/>
              <w:rPr>
                <w:rFonts w:hint="eastAsia"/>
                <w:szCs w:val="21"/>
              </w:rPr>
            </w:pPr>
            <w:r>
              <w:rPr>
                <w:rFonts w:hint="eastAsia"/>
                <w:szCs w:val="21"/>
              </w:rPr>
              <w:t>卢业虎</w:t>
            </w:r>
          </w:p>
        </w:tc>
        <w:tc>
          <w:tcPr>
            <w:tcW w:w="3522" w:type="dxa"/>
          </w:tcPr>
          <w:p w14:paraId="22C4D04D">
            <w:pPr>
              <w:widowControl w:val="0"/>
              <w:jc w:val="both"/>
              <w:rPr>
                <w:rFonts w:hint="eastAsia"/>
                <w:szCs w:val="21"/>
              </w:rPr>
            </w:pPr>
            <w:r>
              <w:rPr>
                <w:rFonts w:hint="eastAsia"/>
                <w:szCs w:val="21"/>
              </w:rPr>
              <w:t>独立董事</w:t>
            </w:r>
          </w:p>
        </w:tc>
        <w:tc>
          <w:tcPr>
            <w:tcW w:w="3522" w:type="dxa"/>
          </w:tcPr>
          <w:p w14:paraId="7377D65D">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5767970F">
            <w:pPr>
              <w:widowControl w:val="0"/>
              <w:jc w:val="both"/>
              <w:rPr>
                <w:rFonts w:hint="eastAsia"/>
                <w:szCs w:val="21"/>
              </w:rPr>
            </w:pPr>
            <w:r>
              <w:rPr>
                <w:rFonts w:hint="eastAsia"/>
                <w:szCs w:val="21"/>
              </w:rPr>
              <w:t>任期届满</w:t>
            </w:r>
          </w:p>
        </w:tc>
      </w:tr>
      <w:tr w14:paraId="0AA0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724B3ED8">
            <w:pPr>
              <w:widowControl w:val="0"/>
              <w:jc w:val="both"/>
              <w:rPr>
                <w:rFonts w:hint="eastAsia"/>
                <w:szCs w:val="21"/>
              </w:rPr>
            </w:pPr>
            <w:r>
              <w:rPr>
                <w:rFonts w:hint="eastAsia"/>
                <w:szCs w:val="21"/>
              </w:rPr>
              <w:t>阴玥</w:t>
            </w:r>
          </w:p>
        </w:tc>
        <w:tc>
          <w:tcPr>
            <w:tcW w:w="3522" w:type="dxa"/>
          </w:tcPr>
          <w:p w14:paraId="4BB6D563">
            <w:pPr>
              <w:widowControl w:val="0"/>
              <w:jc w:val="both"/>
              <w:rPr>
                <w:rFonts w:hint="eastAsia"/>
                <w:szCs w:val="21"/>
              </w:rPr>
            </w:pPr>
            <w:r>
              <w:rPr>
                <w:rFonts w:hint="eastAsia"/>
                <w:szCs w:val="21"/>
              </w:rPr>
              <w:t>监事会主席</w:t>
            </w:r>
          </w:p>
        </w:tc>
        <w:tc>
          <w:tcPr>
            <w:tcW w:w="3522" w:type="dxa"/>
          </w:tcPr>
          <w:p w14:paraId="4025069D">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677B9218">
            <w:pPr>
              <w:widowControl w:val="0"/>
              <w:jc w:val="both"/>
              <w:rPr>
                <w:rFonts w:hint="eastAsia"/>
                <w:szCs w:val="21"/>
              </w:rPr>
            </w:pPr>
            <w:r>
              <w:rPr>
                <w:rFonts w:hint="eastAsia"/>
                <w:szCs w:val="21"/>
              </w:rPr>
              <w:t>换届选举</w:t>
            </w:r>
          </w:p>
        </w:tc>
      </w:tr>
      <w:tr w14:paraId="11D6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4D46E40C">
            <w:pPr>
              <w:widowControl w:val="0"/>
              <w:jc w:val="both"/>
              <w:rPr>
                <w:rFonts w:hint="eastAsia"/>
                <w:szCs w:val="21"/>
              </w:rPr>
            </w:pPr>
            <w:r>
              <w:rPr>
                <w:rFonts w:hint="eastAsia"/>
                <w:szCs w:val="21"/>
              </w:rPr>
              <w:t>陈晓林</w:t>
            </w:r>
          </w:p>
        </w:tc>
        <w:tc>
          <w:tcPr>
            <w:tcW w:w="3522" w:type="dxa"/>
          </w:tcPr>
          <w:p w14:paraId="33A77EB2">
            <w:pPr>
              <w:widowControl w:val="0"/>
              <w:jc w:val="both"/>
              <w:rPr>
                <w:rFonts w:hint="eastAsia"/>
                <w:szCs w:val="21"/>
              </w:rPr>
            </w:pPr>
            <w:r>
              <w:rPr>
                <w:rFonts w:hint="eastAsia"/>
                <w:szCs w:val="21"/>
              </w:rPr>
              <w:t>职工监事</w:t>
            </w:r>
          </w:p>
        </w:tc>
        <w:tc>
          <w:tcPr>
            <w:tcW w:w="3522" w:type="dxa"/>
          </w:tcPr>
          <w:p w14:paraId="3BB44071">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0D18F75C">
            <w:pPr>
              <w:widowControl w:val="0"/>
              <w:jc w:val="both"/>
              <w:rPr>
                <w:rFonts w:hint="eastAsia"/>
                <w:szCs w:val="21"/>
              </w:rPr>
            </w:pPr>
            <w:r>
              <w:rPr>
                <w:rFonts w:hint="eastAsia"/>
                <w:szCs w:val="21"/>
              </w:rPr>
              <w:t>换届选举</w:t>
            </w:r>
          </w:p>
        </w:tc>
      </w:tr>
      <w:tr w14:paraId="17FA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3CC1179">
            <w:pPr>
              <w:widowControl w:val="0"/>
              <w:jc w:val="both"/>
              <w:rPr>
                <w:rFonts w:hint="eastAsia"/>
                <w:szCs w:val="21"/>
              </w:rPr>
            </w:pPr>
            <w:r>
              <w:rPr>
                <w:rFonts w:hint="eastAsia"/>
                <w:szCs w:val="21"/>
              </w:rPr>
              <w:t>侯锦瑞</w:t>
            </w:r>
          </w:p>
        </w:tc>
        <w:tc>
          <w:tcPr>
            <w:tcW w:w="3522" w:type="dxa"/>
          </w:tcPr>
          <w:p w14:paraId="26C7389C">
            <w:pPr>
              <w:widowControl w:val="0"/>
              <w:jc w:val="both"/>
              <w:rPr>
                <w:rFonts w:hint="eastAsia"/>
                <w:szCs w:val="21"/>
              </w:rPr>
            </w:pPr>
            <w:r>
              <w:rPr>
                <w:rFonts w:hint="eastAsia"/>
                <w:szCs w:val="21"/>
              </w:rPr>
              <w:t>监事</w:t>
            </w:r>
          </w:p>
        </w:tc>
        <w:tc>
          <w:tcPr>
            <w:tcW w:w="3522" w:type="dxa"/>
          </w:tcPr>
          <w:p w14:paraId="43D3707E">
            <w:pPr>
              <w:widowControl w:val="0"/>
              <w:jc w:val="both"/>
              <w:rPr>
                <w:rFonts w:ascii="Times New Roman" w:hAnsi="Times New Roman"/>
                <w:szCs w:val="21"/>
              </w:rPr>
            </w:pPr>
            <w:r>
              <w:rPr>
                <w:rFonts w:hint="eastAsia" w:ascii="Times New Roman" w:hAnsi="Times New Roman"/>
                <w:szCs w:val="21"/>
              </w:rPr>
              <w:t>选举</w:t>
            </w:r>
          </w:p>
        </w:tc>
        <w:tc>
          <w:tcPr>
            <w:tcW w:w="3523" w:type="dxa"/>
          </w:tcPr>
          <w:p w14:paraId="218F77FA">
            <w:pPr>
              <w:widowControl w:val="0"/>
              <w:jc w:val="both"/>
              <w:rPr>
                <w:rFonts w:hint="eastAsia"/>
                <w:szCs w:val="21"/>
              </w:rPr>
            </w:pPr>
            <w:r>
              <w:rPr>
                <w:rFonts w:hint="eastAsia"/>
                <w:szCs w:val="21"/>
              </w:rPr>
              <w:t>换届选举</w:t>
            </w:r>
          </w:p>
        </w:tc>
      </w:tr>
      <w:tr w14:paraId="555C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0068341B">
            <w:pPr>
              <w:widowControl w:val="0"/>
              <w:jc w:val="both"/>
              <w:rPr>
                <w:rFonts w:hint="eastAsia"/>
                <w:szCs w:val="21"/>
              </w:rPr>
            </w:pPr>
            <w:r>
              <w:rPr>
                <w:rFonts w:hint="eastAsia"/>
                <w:szCs w:val="21"/>
              </w:rPr>
              <w:t>黄孟魁</w:t>
            </w:r>
          </w:p>
        </w:tc>
        <w:tc>
          <w:tcPr>
            <w:tcW w:w="3522" w:type="dxa"/>
          </w:tcPr>
          <w:p w14:paraId="38A3AF20">
            <w:pPr>
              <w:widowControl w:val="0"/>
              <w:jc w:val="both"/>
              <w:rPr>
                <w:rFonts w:hint="eastAsia"/>
                <w:szCs w:val="21"/>
              </w:rPr>
            </w:pPr>
            <w:r>
              <w:rPr>
                <w:rFonts w:hint="eastAsia"/>
                <w:szCs w:val="21"/>
              </w:rPr>
              <w:t>监事会主席</w:t>
            </w:r>
          </w:p>
        </w:tc>
        <w:tc>
          <w:tcPr>
            <w:tcW w:w="3522" w:type="dxa"/>
          </w:tcPr>
          <w:p w14:paraId="7A8224C2">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6DC90F4C">
            <w:pPr>
              <w:widowControl w:val="0"/>
              <w:jc w:val="both"/>
              <w:rPr>
                <w:rFonts w:hint="eastAsia"/>
                <w:szCs w:val="21"/>
              </w:rPr>
            </w:pPr>
            <w:r>
              <w:rPr>
                <w:rFonts w:hint="eastAsia"/>
                <w:szCs w:val="21"/>
              </w:rPr>
              <w:t>任期届满</w:t>
            </w:r>
          </w:p>
        </w:tc>
      </w:tr>
      <w:tr w14:paraId="6208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656338C">
            <w:pPr>
              <w:widowControl w:val="0"/>
              <w:jc w:val="both"/>
              <w:rPr>
                <w:rFonts w:hint="eastAsia"/>
                <w:szCs w:val="21"/>
              </w:rPr>
            </w:pPr>
            <w:r>
              <w:rPr>
                <w:rFonts w:hint="eastAsia"/>
                <w:szCs w:val="21"/>
              </w:rPr>
              <w:t>滕连越</w:t>
            </w:r>
          </w:p>
        </w:tc>
        <w:tc>
          <w:tcPr>
            <w:tcW w:w="3522" w:type="dxa"/>
          </w:tcPr>
          <w:p w14:paraId="14047780">
            <w:pPr>
              <w:widowControl w:val="0"/>
              <w:jc w:val="both"/>
              <w:rPr>
                <w:rFonts w:hint="eastAsia"/>
                <w:szCs w:val="21"/>
              </w:rPr>
            </w:pPr>
            <w:r>
              <w:rPr>
                <w:rFonts w:hint="eastAsia"/>
                <w:szCs w:val="21"/>
              </w:rPr>
              <w:t>监事</w:t>
            </w:r>
          </w:p>
        </w:tc>
        <w:tc>
          <w:tcPr>
            <w:tcW w:w="3522" w:type="dxa"/>
          </w:tcPr>
          <w:p w14:paraId="0A6923B9">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7E8C28D9">
            <w:pPr>
              <w:widowControl w:val="0"/>
              <w:jc w:val="both"/>
              <w:rPr>
                <w:rFonts w:hint="eastAsia"/>
                <w:szCs w:val="21"/>
              </w:rPr>
            </w:pPr>
            <w:r>
              <w:rPr>
                <w:rFonts w:hint="eastAsia"/>
                <w:szCs w:val="21"/>
              </w:rPr>
              <w:t>任期届满</w:t>
            </w:r>
          </w:p>
        </w:tc>
      </w:tr>
      <w:tr w14:paraId="7231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BC04ECE">
            <w:pPr>
              <w:widowControl w:val="0"/>
              <w:jc w:val="both"/>
              <w:rPr>
                <w:rFonts w:hint="eastAsia"/>
                <w:szCs w:val="21"/>
              </w:rPr>
            </w:pPr>
            <w:r>
              <w:rPr>
                <w:rFonts w:hint="eastAsia"/>
                <w:szCs w:val="21"/>
              </w:rPr>
              <w:t>刘海权</w:t>
            </w:r>
          </w:p>
        </w:tc>
        <w:tc>
          <w:tcPr>
            <w:tcW w:w="3522" w:type="dxa"/>
          </w:tcPr>
          <w:p w14:paraId="4B9C23E1">
            <w:pPr>
              <w:widowControl w:val="0"/>
              <w:jc w:val="both"/>
              <w:rPr>
                <w:rFonts w:hint="eastAsia"/>
                <w:szCs w:val="21"/>
              </w:rPr>
            </w:pPr>
            <w:r>
              <w:rPr>
                <w:rFonts w:hint="eastAsia"/>
                <w:szCs w:val="21"/>
              </w:rPr>
              <w:t>职工监事</w:t>
            </w:r>
          </w:p>
        </w:tc>
        <w:tc>
          <w:tcPr>
            <w:tcW w:w="3522" w:type="dxa"/>
          </w:tcPr>
          <w:p w14:paraId="40195012">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26219A82">
            <w:pPr>
              <w:widowControl w:val="0"/>
              <w:jc w:val="both"/>
              <w:rPr>
                <w:rFonts w:hint="eastAsia"/>
                <w:szCs w:val="21"/>
              </w:rPr>
            </w:pPr>
            <w:r>
              <w:rPr>
                <w:rFonts w:hint="eastAsia"/>
                <w:szCs w:val="21"/>
              </w:rPr>
              <w:t>任期届满</w:t>
            </w:r>
          </w:p>
        </w:tc>
      </w:tr>
      <w:tr w14:paraId="398E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632A9AC4">
            <w:pPr>
              <w:widowControl w:val="0"/>
              <w:jc w:val="both"/>
              <w:rPr>
                <w:rFonts w:hint="eastAsia"/>
                <w:szCs w:val="21"/>
              </w:rPr>
            </w:pPr>
            <w:r>
              <w:rPr>
                <w:rFonts w:hint="eastAsia"/>
                <w:szCs w:val="21"/>
              </w:rPr>
              <w:t>刘长城</w:t>
            </w:r>
          </w:p>
        </w:tc>
        <w:tc>
          <w:tcPr>
            <w:tcW w:w="3522" w:type="dxa"/>
          </w:tcPr>
          <w:p w14:paraId="74803C6C">
            <w:pPr>
              <w:widowControl w:val="0"/>
              <w:jc w:val="both"/>
              <w:rPr>
                <w:rFonts w:hint="eastAsia"/>
                <w:szCs w:val="21"/>
              </w:rPr>
            </w:pPr>
            <w:r>
              <w:rPr>
                <w:rFonts w:hint="eastAsia"/>
                <w:szCs w:val="21"/>
              </w:rPr>
              <w:t>副总经理</w:t>
            </w:r>
          </w:p>
        </w:tc>
        <w:tc>
          <w:tcPr>
            <w:tcW w:w="3522" w:type="dxa"/>
          </w:tcPr>
          <w:p w14:paraId="769AF8A9">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32426E4C">
            <w:pPr>
              <w:widowControl w:val="0"/>
              <w:jc w:val="both"/>
              <w:rPr>
                <w:rFonts w:hint="eastAsia"/>
                <w:szCs w:val="21"/>
              </w:rPr>
            </w:pPr>
            <w:r>
              <w:rPr>
                <w:rFonts w:hint="eastAsia"/>
                <w:szCs w:val="21"/>
              </w:rPr>
              <w:t>工作调动</w:t>
            </w:r>
          </w:p>
        </w:tc>
      </w:tr>
      <w:tr w14:paraId="758A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1B7BC0F1">
            <w:pPr>
              <w:widowControl w:val="0"/>
              <w:jc w:val="both"/>
              <w:rPr>
                <w:rFonts w:hint="eastAsia"/>
                <w:szCs w:val="21"/>
              </w:rPr>
            </w:pPr>
            <w:r>
              <w:rPr>
                <w:rFonts w:hint="eastAsia"/>
                <w:szCs w:val="21"/>
              </w:rPr>
              <w:t>曾伟良</w:t>
            </w:r>
          </w:p>
        </w:tc>
        <w:tc>
          <w:tcPr>
            <w:tcW w:w="3522" w:type="dxa"/>
          </w:tcPr>
          <w:p w14:paraId="75A58EC7">
            <w:pPr>
              <w:widowControl w:val="0"/>
              <w:jc w:val="both"/>
              <w:rPr>
                <w:rFonts w:hint="eastAsia"/>
                <w:szCs w:val="21"/>
              </w:rPr>
            </w:pPr>
            <w:r>
              <w:rPr>
                <w:rFonts w:hint="eastAsia"/>
                <w:szCs w:val="21"/>
              </w:rPr>
              <w:t>董事会秘书（代行）</w:t>
            </w:r>
          </w:p>
        </w:tc>
        <w:tc>
          <w:tcPr>
            <w:tcW w:w="3522" w:type="dxa"/>
          </w:tcPr>
          <w:p w14:paraId="6B634F18">
            <w:pPr>
              <w:widowControl w:val="0"/>
              <w:jc w:val="both"/>
              <w:rPr>
                <w:rFonts w:ascii="Times New Roman" w:hAnsi="Times New Roman"/>
                <w:szCs w:val="21"/>
              </w:rPr>
            </w:pPr>
            <w:r>
              <w:rPr>
                <w:rFonts w:hint="eastAsia" w:ascii="Times New Roman" w:hAnsi="Times New Roman"/>
                <w:szCs w:val="21"/>
              </w:rPr>
              <w:t>离任</w:t>
            </w:r>
          </w:p>
        </w:tc>
        <w:tc>
          <w:tcPr>
            <w:tcW w:w="3523" w:type="dxa"/>
          </w:tcPr>
          <w:p w14:paraId="5BDE2DA6">
            <w:pPr>
              <w:widowControl w:val="0"/>
              <w:jc w:val="both"/>
              <w:rPr>
                <w:rFonts w:hint="eastAsia"/>
                <w:szCs w:val="21"/>
              </w:rPr>
            </w:pPr>
            <w:r>
              <w:rPr>
                <w:rFonts w:hint="eastAsia"/>
                <w:szCs w:val="21"/>
              </w:rPr>
              <w:t>职务调整</w:t>
            </w:r>
          </w:p>
        </w:tc>
      </w:tr>
      <w:tr w14:paraId="5613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3522" w:type="dxa"/>
          </w:tcPr>
          <w:p w14:paraId="4F632936">
            <w:pPr>
              <w:widowControl w:val="0"/>
              <w:jc w:val="both"/>
              <w:rPr>
                <w:rFonts w:hint="eastAsia"/>
                <w:szCs w:val="21"/>
              </w:rPr>
            </w:pPr>
            <w:r>
              <w:rPr>
                <w:rFonts w:hint="eastAsia"/>
                <w:szCs w:val="21"/>
              </w:rPr>
              <w:t>冯晓</w:t>
            </w:r>
          </w:p>
        </w:tc>
        <w:tc>
          <w:tcPr>
            <w:tcW w:w="3522" w:type="dxa"/>
          </w:tcPr>
          <w:p w14:paraId="2A30EF56">
            <w:pPr>
              <w:widowControl w:val="0"/>
              <w:jc w:val="both"/>
              <w:rPr>
                <w:rFonts w:hint="eastAsia"/>
                <w:szCs w:val="21"/>
              </w:rPr>
            </w:pPr>
            <w:r>
              <w:rPr>
                <w:rFonts w:hint="eastAsia"/>
                <w:szCs w:val="21"/>
              </w:rPr>
              <w:t>董事会秘书</w:t>
            </w:r>
          </w:p>
        </w:tc>
        <w:tc>
          <w:tcPr>
            <w:tcW w:w="3522" w:type="dxa"/>
          </w:tcPr>
          <w:p w14:paraId="325A6D3E">
            <w:pPr>
              <w:widowControl w:val="0"/>
              <w:jc w:val="both"/>
              <w:rPr>
                <w:rFonts w:ascii="Times New Roman" w:hAnsi="Times New Roman"/>
                <w:szCs w:val="21"/>
              </w:rPr>
            </w:pPr>
            <w:r>
              <w:rPr>
                <w:rFonts w:hint="eastAsia" w:ascii="Times New Roman" w:hAnsi="Times New Roman"/>
                <w:szCs w:val="21"/>
              </w:rPr>
              <w:t>聘任</w:t>
            </w:r>
          </w:p>
        </w:tc>
        <w:tc>
          <w:tcPr>
            <w:tcW w:w="3523" w:type="dxa"/>
          </w:tcPr>
          <w:p w14:paraId="521DA370">
            <w:pPr>
              <w:widowControl w:val="0"/>
              <w:jc w:val="both"/>
              <w:rPr>
                <w:rFonts w:hint="eastAsia"/>
                <w:szCs w:val="21"/>
              </w:rPr>
            </w:pPr>
            <w:r>
              <w:rPr>
                <w:rFonts w:hint="eastAsia"/>
                <w:szCs w:val="21"/>
              </w:rPr>
              <w:t>董事会聘任</w:t>
            </w:r>
          </w:p>
        </w:tc>
      </w:tr>
    </w:tbl>
    <w:p w14:paraId="5233C5B9">
      <w:pPr>
        <w:rPr>
          <w:rFonts w:hint="eastAsia"/>
        </w:rPr>
      </w:pPr>
    </w:p>
    <w:p w14:paraId="27353043">
      <w:pPr>
        <w:pStyle w:val="4"/>
        <w:numPr>
          <w:ilvl w:val="0"/>
          <w:numId w:val="19"/>
        </w:numPr>
        <w:ind w:left="0" w:firstLine="0"/>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598861783"/>
        <w:placeholder>
          <w:docPart w:val="GBC22222222222222222222222222222"/>
        </w:placeholder>
      </w:sdtPr>
      <w:sdtEndPr>
        <w:rPr>
          <w:szCs w:val="21"/>
        </w:rPr>
      </w:sdtEndPr>
      <w:sdtContent>
        <w:p w14:paraId="3E893CF4">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DDB60E2">
      <w:pPr>
        <w:ind w:firstLine="420"/>
        <w:rPr>
          <w:rFonts w:hint="eastAsia"/>
        </w:rPr>
      </w:pPr>
      <w:r>
        <w:t>2024年1</w:t>
      </w:r>
      <w:r>
        <w:rPr>
          <w:rFonts w:hint="eastAsia"/>
        </w:rPr>
        <w:t>1月</w:t>
      </w:r>
      <w:r>
        <w:t>，上海证券交易所下发《纪律处分决定书》[2024]208号，对公司及时任董事长吴同兴、时任董事长、总经理夏前军、时任总会计师刘改平</w:t>
      </w:r>
      <w:r>
        <w:rPr>
          <w:rFonts w:hint="eastAsia"/>
        </w:rPr>
        <w:t>、</w:t>
      </w:r>
      <w:r>
        <w:t>时任董事会秘书邱卫兵予以通报批评。</w:t>
      </w:r>
    </w:p>
    <w:p w14:paraId="6420B1A4">
      <w:pPr>
        <w:pStyle w:val="4"/>
        <w:numPr>
          <w:ilvl w:val="0"/>
          <w:numId w:val="19"/>
        </w:numPr>
        <w:ind w:left="0" w:firstLine="0"/>
      </w:pPr>
      <w:bookmarkStart w:id="81" w:name="_Hlk89182759"/>
      <w:r>
        <w:rPr>
          <w:rFonts w:hint="eastAsia"/>
        </w:rPr>
        <w:t>其他</w:t>
      </w:r>
    </w:p>
    <w:sdt>
      <w:sdtPr>
        <w:rPr>
          <w:rFonts w:hint="eastAsia"/>
          <w:bCs/>
          <w:szCs w:val="21"/>
        </w:rPr>
        <w:alias w:val="是否适用：其他董事、监事、高级管理人员情况说明[双击切换]"/>
        <w:tag w:val="_GBC_6698e1cba7354d29b0fcdbb38e7287d6"/>
        <w:id w:val="1808045082"/>
        <w:placeholder>
          <w:docPart w:val="GBC22222222222222222222222222222"/>
        </w:placeholder>
      </w:sdtPr>
      <w:sdtEndPr>
        <w:rPr>
          <w:rFonts w:hint="eastAsia"/>
          <w:bCs/>
          <w:szCs w:val="21"/>
        </w:rPr>
      </w:sdtEndPr>
      <w:sdtContent>
        <w:p w14:paraId="554BBE03">
          <w:pPr>
            <w:rPr>
              <w:rFonts w:hint="eastAsia"/>
              <w:bCs/>
              <w:szCs w:val="21"/>
            </w:rPr>
          </w:pPr>
          <w:r>
            <w:rPr>
              <w:bCs/>
              <w:szCs w:val="21"/>
            </w:rPr>
            <w:fldChar w:fldCharType="begin"/>
          </w:r>
          <w:r>
            <w:rPr>
              <w:rFonts w:hint="eastAsia"/>
              <w:bCs/>
              <w:szCs w:val="21"/>
            </w:rPr>
            <w:instrText xml:space="preserve"> MACROBUTTON  SnrToggleCheckbox □适用  </w:instrText>
          </w:r>
          <w:r>
            <w:rPr>
              <w:bCs/>
              <w:szCs w:val="21"/>
            </w:rPr>
            <w:fldChar w:fldCharType="end"/>
          </w:r>
          <w:r>
            <w:rPr>
              <w:bCs/>
              <w:szCs w:val="21"/>
            </w:rPr>
            <w:fldChar w:fldCharType="begin"/>
          </w:r>
          <w:r>
            <w:rPr>
              <w:rFonts w:hint="eastAsia"/>
              <w:bCs/>
              <w:szCs w:val="21"/>
            </w:rPr>
            <w:instrText xml:space="preserve"> MACROBUTTON  SnrToggleCheckbox √不适用 </w:instrText>
          </w:r>
          <w:r>
            <w:rPr>
              <w:bCs/>
              <w:szCs w:val="21"/>
            </w:rPr>
            <w:fldChar w:fldCharType="end"/>
          </w:r>
        </w:p>
      </w:sdtContent>
    </w:sdt>
    <w:p w14:paraId="55C56656">
      <w:pPr>
        <w:rPr>
          <w:rFonts w:hint="eastAsia"/>
          <w:bCs/>
          <w:szCs w:val="21"/>
        </w:rPr>
      </w:pPr>
    </w:p>
    <w:bookmarkEnd w:id="81"/>
    <w:p w14:paraId="10F3C4A4">
      <w:pPr>
        <w:pStyle w:val="3"/>
        <w:numPr>
          <w:ilvl w:val="0"/>
          <w:numId w:val="17"/>
        </w:numPr>
      </w:pPr>
      <w:bookmarkStart w:id="82" w:name="_Hlk89182953"/>
      <w:r>
        <w:t>报告期内召开的董事会有关情况</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1357"/>
        <w:gridCol w:w="5822"/>
      </w:tblGrid>
      <w:tr w14:paraId="392D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blHeader/>
        </w:trPr>
        <w:sdt>
          <w:sdtPr>
            <w:tag w:val="_PLD_419815d8d7794e1c9b7ce587c2f61ac6"/>
            <w:id w:val="-29034189"/>
          </w:sdtPr>
          <w:sdtContent>
            <w:tc>
              <w:tcPr>
                <w:tcW w:w="1033" w:type="pct"/>
                <w:vAlign w:val="center"/>
              </w:tcPr>
              <w:p w14:paraId="72CB816C">
                <w:pPr>
                  <w:widowControl w:val="0"/>
                  <w:jc w:val="center"/>
                  <w:rPr>
                    <w:rFonts w:hint="eastAsia"/>
                    <w:szCs w:val="21"/>
                  </w:rPr>
                </w:pPr>
                <w:r>
                  <w:rPr>
                    <w:szCs w:val="21"/>
                  </w:rPr>
                  <w:t>会议届次</w:t>
                </w:r>
              </w:p>
            </w:tc>
          </w:sdtContent>
        </w:sdt>
        <w:sdt>
          <w:sdtPr>
            <w:tag w:val="_PLD_ab185594a631433a8b0a8263eb8e554f"/>
            <w:id w:val="-1954161500"/>
          </w:sdtPr>
          <w:sdtContent>
            <w:tc>
              <w:tcPr>
                <w:tcW w:w="750" w:type="pct"/>
                <w:vAlign w:val="center"/>
              </w:tcPr>
              <w:p w14:paraId="0430EEC5">
                <w:pPr>
                  <w:widowControl w:val="0"/>
                  <w:jc w:val="center"/>
                  <w:rPr>
                    <w:rFonts w:hint="eastAsia"/>
                    <w:szCs w:val="21"/>
                  </w:rPr>
                </w:pPr>
                <w:r>
                  <w:rPr>
                    <w:szCs w:val="21"/>
                  </w:rPr>
                  <w:t>召开日期</w:t>
                </w:r>
              </w:p>
            </w:tc>
          </w:sdtContent>
        </w:sdt>
        <w:sdt>
          <w:sdtPr>
            <w:tag w:val="_PLD_12539db1b22e4f4592d7456feb9f22a6"/>
            <w:id w:val="-158312835"/>
          </w:sdtPr>
          <w:sdtContent>
            <w:tc>
              <w:tcPr>
                <w:tcW w:w="3217" w:type="pct"/>
                <w:vAlign w:val="center"/>
              </w:tcPr>
              <w:p w14:paraId="6444A9A5">
                <w:pPr>
                  <w:widowControl w:val="0"/>
                  <w:jc w:val="center"/>
                  <w:rPr>
                    <w:rFonts w:hint="eastAsia"/>
                    <w:szCs w:val="21"/>
                  </w:rPr>
                </w:pPr>
                <w:r>
                  <w:rPr>
                    <w:rFonts w:hint="eastAsia"/>
                    <w:szCs w:val="21"/>
                  </w:rPr>
                  <w:t>会议决议</w:t>
                </w:r>
              </w:p>
            </w:tc>
          </w:sdtContent>
        </w:sdt>
      </w:tr>
      <w:tr w14:paraId="6989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11645363">
            <w:pPr>
              <w:widowControl w:val="0"/>
              <w:jc w:val="both"/>
              <w:rPr>
                <w:rFonts w:hint="eastAsia"/>
                <w:szCs w:val="21"/>
              </w:rPr>
            </w:pPr>
            <w:r>
              <w:rPr>
                <w:rFonts w:hint="eastAsia"/>
                <w:szCs w:val="21"/>
              </w:rPr>
              <w:t>第五届董事会第二十三次会议</w:t>
            </w:r>
          </w:p>
        </w:tc>
        <w:tc>
          <w:tcPr>
            <w:tcW w:w="750" w:type="pct"/>
          </w:tcPr>
          <w:p w14:paraId="50DFB037">
            <w:pPr>
              <w:widowControl w:val="0"/>
              <w:jc w:val="both"/>
              <w:rPr>
                <w:rFonts w:hint="eastAsia"/>
                <w:szCs w:val="21"/>
              </w:rPr>
            </w:pPr>
            <w:r>
              <w:rPr>
                <w:rFonts w:hint="eastAsia"/>
                <w:szCs w:val="21"/>
              </w:rPr>
              <w:t>2024年4月12日</w:t>
            </w:r>
          </w:p>
        </w:tc>
        <w:tc>
          <w:tcPr>
            <w:tcW w:w="3217" w:type="pct"/>
          </w:tcPr>
          <w:p w14:paraId="3078111D">
            <w:pPr>
              <w:widowControl w:val="0"/>
              <w:numPr>
                <w:ilvl w:val="0"/>
                <w:numId w:val="21"/>
              </w:numPr>
              <w:jc w:val="both"/>
              <w:rPr>
                <w:rFonts w:hint="eastAsia"/>
                <w:szCs w:val="21"/>
              </w:rPr>
            </w:pPr>
            <w:r>
              <w:rPr>
                <w:rFonts w:hint="eastAsia"/>
                <w:szCs w:val="21"/>
              </w:rPr>
              <w:t>审议通过关于《2023年度董事会工作报告》的议案</w:t>
            </w:r>
          </w:p>
          <w:p w14:paraId="093544EE">
            <w:pPr>
              <w:widowControl w:val="0"/>
              <w:numPr>
                <w:ilvl w:val="0"/>
                <w:numId w:val="21"/>
              </w:numPr>
              <w:jc w:val="both"/>
              <w:rPr>
                <w:rFonts w:hint="eastAsia"/>
                <w:szCs w:val="21"/>
              </w:rPr>
            </w:pPr>
            <w:r>
              <w:rPr>
                <w:rFonts w:hint="eastAsia"/>
                <w:szCs w:val="21"/>
              </w:rPr>
              <w:t>审议通过关于《2023年度总经理工作报告》的议案</w:t>
            </w:r>
          </w:p>
          <w:p w14:paraId="5BA20533">
            <w:pPr>
              <w:widowControl w:val="0"/>
              <w:numPr>
                <w:ilvl w:val="0"/>
                <w:numId w:val="21"/>
              </w:numPr>
              <w:jc w:val="both"/>
              <w:rPr>
                <w:rFonts w:hint="eastAsia"/>
                <w:szCs w:val="21"/>
              </w:rPr>
            </w:pPr>
            <w:r>
              <w:rPr>
                <w:rFonts w:hint="eastAsia"/>
                <w:szCs w:val="21"/>
              </w:rPr>
              <w:t>审议通过关于《2023年度财务决算报告》的议案</w:t>
            </w:r>
          </w:p>
          <w:p w14:paraId="71AE4BD8">
            <w:pPr>
              <w:widowControl w:val="0"/>
              <w:numPr>
                <w:ilvl w:val="0"/>
                <w:numId w:val="21"/>
              </w:numPr>
              <w:jc w:val="both"/>
              <w:rPr>
                <w:rFonts w:hint="eastAsia"/>
                <w:szCs w:val="21"/>
              </w:rPr>
            </w:pPr>
            <w:r>
              <w:rPr>
                <w:rFonts w:hint="eastAsia"/>
                <w:szCs w:val="21"/>
              </w:rPr>
              <w:t>审议通过关于《2023年年度报告及摘要》的议案</w:t>
            </w:r>
          </w:p>
          <w:p w14:paraId="46A080E6">
            <w:pPr>
              <w:widowControl w:val="0"/>
              <w:numPr>
                <w:ilvl w:val="0"/>
                <w:numId w:val="21"/>
              </w:numPr>
              <w:jc w:val="both"/>
              <w:rPr>
                <w:rFonts w:hint="eastAsia"/>
                <w:szCs w:val="21"/>
              </w:rPr>
            </w:pPr>
            <w:r>
              <w:rPr>
                <w:rFonts w:hint="eastAsia"/>
                <w:szCs w:val="21"/>
              </w:rPr>
              <w:t>审议通过关于《2023年度利润分配预案》的议案</w:t>
            </w:r>
          </w:p>
          <w:p w14:paraId="167DD2E5">
            <w:pPr>
              <w:widowControl w:val="0"/>
              <w:numPr>
                <w:ilvl w:val="0"/>
                <w:numId w:val="21"/>
              </w:numPr>
              <w:jc w:val="both"/>
              <w:rPr>
                <w:rFonts w:hint="eastAsia"/>
                <w:szCs w:val="21"/>
              </w:rPr>
            </w:pPr>
            <w:r>
              <w:rPr>
                <w:rFonts w:hint="eastAsia"/>
                <w:szCs w:val="21"/>
              </w:rPr>
              <w:t>审议通过关于《2023年度募集资金存放与实际使用情况的专项报告》的议案</w:t>
            </w:r>
          </w:p>
          <w:p w14:paraId="74105EC6">
            <w:pPr>
              <w:widowControl w:val="0"/>
              <w:numPr>
                <w:ilvl w:val="0"/>
                <w:numId w:val="21"/>
              </w:numPr>
              <w:jc w:val="both"/>
              <w:rPr>
                <w:rFonts w:hint="eastAsia"/>
                <w:szCs w:val="21"/>
              </w:rPr>
            </w:pPr>
            <w:r>
              <w:rPr>
                <w:rFonts w:hint="eastAsia"/>
                <w:szCs w:val="21"/>
              </w:rPr>
              <w:t>审议通过关于《2023年度日常关联交易实际发生额及2024年度日常关联交易预计发生额》的议案</w:t>
            </w:r>
          </w:p>
          <w:p w14:paraId="3310CBFD">
            <w:pPr>
              <w:widowControl w:val="0"/>
              <w:numPr>
                <w:ilvl w:val="0"/>
                <w:numId w:val="21"/>
              </w:numPr>
              <w:jc w:val="both"/>
              <w:rPr>
                <w:rFonts w:hint="eastAsia"/>
                <w:szCs w:val="21"/>
              </w:rPr>
            </w:pPr>
            <w:r>
              <w:rPr>
                <w:rFonts w:hint="eastAsia"/>
                <w:szCs w:val="21"/>
              </w:rPr>
              <w:t>审议通过关于《2023年度内部控制评价报告》的议案</w:t>
            </w:r>
          </w:p>
          <w:p w14:paraId="266E7EB4">
            <w:pPr>
              <w:widowControl w:val="0"/>
              <w:numPr>
                <w:ilvl w:val="0"/>
                <w:numId w:val="21"/>
              </w:numPr>
              <w:jc w:val="both"/>
              <w:rPr>
                <w:rFonts w:hint="eastAsia"/>
                <w:szCs w:val="21"/>
              </w:rPr>
            </w:pPr>
            <w:r>
              <w:rPr>
                <w:rFonts w:hint="eastAsia"/>
                <w:szCs w:val="21"/>
              </w:rPr>
              <w:t>审议通过关于《2023年度内部审计工作报告和2024年度内部审计工作计划》的议案</w:t>
            </w:r>
          </w:p>
          <w:p w14:paraId="77FF9867">
            <w:pPr>
              <w:widowControl w:val="0"/>
              <w:numPr>
                <w:ilvl w:val="0"/>
                <w:numId w:val="21"/>
              </w:numPr>
              <w:jc w:val="both"/>
              <w:rPr>
                <w:rFonts w:hint="eastAsia"/>
                <w:szCs w:val="21"/>
              </w:rPr>
            </w:pPr>
            <w:r>
              <w:rPr>
                <w:rFonts w:hint="eastAsia"/>
                <w:szCs w:val="21"/>
              </w:rPr>
              <w:t>审议通过关于《2023年度合规管理报告》的议案</w:t>
            </w:r>
          </w:p>
          <w:p w14:paraId="23869F88">
            <w:pPr>
              <w:widowControl w:val="0"/>
              <w:numPr>
                <w:ilvl w:val="0"/>
                <w:numId w:val="21"/>
              </w:numPr>
              <w:jc w:val="both"/>
              <w:rPr>
                <w:rFonts w:hint="eastAsia"/>
                <w:szCs w:val="21"/>
              </w:rPr>
            </w:pPr>
            <w:r>
              <w:rPr>
                <w:rFonts w:hint="eastAsia"/>
                <w:szCs w:val="21"/>
              </w:rPr>
              <w:t>审议通过关于《董事会审计与风险管理委员会2023年度履职情况报告》的议案</w:t>
            </w:r>
          </w:p>
          <w:p w14:paraId="7EA2DE79">
            <w:pPr>
              <w:widowControl w:val="0"/>
              <w:numPr>
                <w:ilvl w:val="0"/>
                <w:numId w:val="21"/>
              </w:numPr>
              <w:jc w:val="both"/>
              <w:rPr>
                <w:rFonts w:hint="eastAsia"/>
                <w:szCs w:val="21"/>
              </w:rPr>
            </w:pPr>
            <w:r>
              <w:rPr>
                <w:rFonts w:hint="eastAsia"/>
                <w:szCs w:val="21"/>
              </w:rPr>
              <w:t>审议通过关于《2023年度会计师事务所履职情况评估报告》的议案</w:t>
            </w:r>
          </w:p>
          <w:p w14:paraId="493DBF64">
            <w:pPr>
              <w:widowControl w:val="0"/>
              <w:numPr>
                <w:ilvl w:val="0"/>
                <w:numId w:val="21"/>
              </w:numPr>
              <w:jc w:val="both"/>
              <w:rPr>
                <w:rFonts w:hint="eastAsia"/>
                <w:szCs w:val="21"/>
              </w:rPr>
            </w:pPr>
            <w:r>
              <w:rPr>
                <w:rFonts w:hint="eastAsia"/>
                <w:szCs w:val="21"/>
              </w:rPr>
              <w:t>审议通过关于《董事会审计与风险管理委员会对2023年度会计师事务所履行监督职责情况的报告》的议案</w:t>
            </w:r>
          </w:p>
          <w:p w14:paraId="60E44DD8">
            <w:pPr>
              <w:widowControl w:val="0"/>
              <w:numPr>
                <w:ilvl w:val="0"/>
                <w:numId w:val="21"/>
              </w:numPr>
              <w:jc w:val="both"/>
              <w:rPr>
                <w:rFonts w:hint="eastAsia"/>
                <w:szCs w:val="21"/>
              </w:rPr>
            </w:pPr>
            <w:r>
              <w:rPr>
                <w:rFonts w:hint="eastAsia"/>
                <w:szCs w:val="21"/>
              </w:rPr>
              <w:t>审议通过关于《独立董事2023年度述职报告》的议案</w:t>
            </w:r>
          </w:p>
          <w:p w14:paraId="318B549A">
            <w:pPr>
              <w:widowControl w:val="0"/>
              <w:numPr>
                <w:ilvl w:val="0"/>
                <w:numId w:val="21"/>
              </w:numPr>
              <w:jc w:val="both"/>
              <w:rPr>
                <w:rFonts w:hint="eastAsia"/>
                <w:szCs w:val="21"/>
              </w:rPr>
            </w:pPr>
            <w:r>
              <w:rPr>
                <w:rFonts w:hint="eastAsia"/>
                <w:szCs w:val="21"/>
              </w:rPr>
              <w:t>审议通过关于《董事会对独立董事2023年度独立性自查情况的专项报告》的议案</w:t>
            </w:r>
          </w:p>
          <w:p w14:paraId="49395875">
            <w:pPr>
              <w:widowControl w:val="0"/>
              <w:numPr>
                <w:ilvl w:val="0"/>
                <w:numId w:val="21"/>
              </w:numPr>
              <w:jc w:val="both"/>
              <w:rPr>
                <w:rFonts w:hint="eastAsia"/>
                <w:szCs w:val="21"/>
              </w:rPr>
            </w:pPr>
            <w:r>
              <w:rPr>
                <w:rFonts w:hint="eastAsia"/>
                <w:szCs w:val="21"/>
              </w:rPr>
              <w:t>审议通过关于《2023年度公司高管人员薪酬兑现方案》的议案</w:t>
            </w:r>
          </w:p>
          <w:p w14:paraId="38036968">
            <w:pPr>
              <w:widowControl w:val="0"/>
              <w:numPr>
                <w:ilvl w:val="0"/>
                <w:numId w:val="21"/>
              </w:numPr>
              <w:jc w:val="both"/>
              <w:rPr>
                <w:rFonts w:hint="eastAsia"/>
                <w:szCs w:val="21"/>
              </w:rPr>
            </w:pPr>
            <w:r>
              <w:rPr>
                <w:rFonts w:hint="eastAsia"/>
                <w:szCs w:val="21"/>
              </w:rPr>
              <w:t>审议通过关于《际华集团经理层2024年度经营业绩责任书》的议案</w:t>
            </w:r>
          </w:p>
          <w:p w14:paraId="75EF79A5">
            <w:pPr>
              <w:widowControl w:val="0"/>
              <w:numPr>
                <w:ilvl w:val="0"/>
                <w:numId w:val="21"/>
              </w:numPr>
              <w:jc w:val="both"/>
              <w:rPr>
                <w:rFonts w:hint="eastAsia"/>
                <w:szCs w:val="21"/>
              </w:rPr>
            </w:pPr>
            <w:r>
              <w:rPr>
                <w:rFonts w:hint="eastAsia"/>
                <w:szCs w:val="21"/>
              </w:rPr>
              <w:t>审议通过关于《会计政策变更》的议案</w:t>
            </w:r>
          </w:p>
          <w:p w14:paraId="7F1A97FD">
            <w:pPr>
              <w:widowControl w:val="0"/>
              <w:numPr>
                <w:ilvl w:val="0"/>
                <w:numId w:val="21"/>
              </w:numPr>
              <w:jc w:val="both"/>
              <w:rPr>
                <w:rFonts w:hint="eastAsia"/>
                <w:szCs w:val="21"/>
              </w:rPr>
            </w:pPr>
            <w:r>
              <w:rPr>
                <w:rFonts w:hint="eastAsia"/>
                <w:szCs w:val="21"/>
              </w:rPr>
              <w:t>审议通过关于《2023 年度环境、社会及治理（ESG）报告》的议案</w:t>
            </w:r>
          </w:p>
          <w:p w14:paraId="3A45B83A">
            <w:pPr>
              <w:widowControl w:val="0"/>
              <w:numPr>
                <w:ilvl w:val="0"/>
                <w:numId w:val="21"/>
              </w:numPr>
              <w:jc w:val="both"/>
              <w:rPr>
                <w:rFonts w:hint="eastAsia"/>
                <w:szCs w:val="21"/>
              </w:rPr>
            </w:pPr>
            <w:r>
              <w:rPr>
                <w:rFonts w:hint="eastAsia"/>
                <w:szCs w:val="21"/>
              </w:rPr>
              <w:t>审议通过关于《2024年度投资计划》的议案</w:t>
            </w:r>
          </w:p>
          <w:p w14:paraId="1FB95187">
            <w:pPr>
              <w:widowControl w:val="0"/>
              <w:numPr>
                <w:ilvl w:val="0"/>
                <w:numId w:val="21"/>
              </w:numPr>
              <w:jc w:val="both"/>
              <w:rPr>
                <w:rFonts w:hint="eastAsia"/>
                <w:szCs w:val="21"/>
              </w:rPr>
            </w:pPr>
            <w:r>
              <w:rPr>
                <w:rFonts w:hint="eastAsia"/>
                <w:szCs w:val="21"/>
              </w:rPr>
              <w:t>审议通过关于《2024年度预算方案》的议案</w:t>
            </w:r>
          </w:p>
          <w:p w14:paraId="23797452">
            <w:pPr>
              <w:widowControl w:val="0"/>
              <w:numPr>
                <w:ilvl w:val="0"/>
                <w:numId w:val="21"/>
              </w:numPr>
              <w:jc w:val="both"/>
              <w:rPr>
                <w:rFonts w:hint="eastAsia"/>
                <w:szCs w:val="21"/>
              </w:rPr>
            </w:pPr>
            <w:r>
              <w:rPr>
                <w:rFonts w:hint="eastAsia"/>
                <w:szCs w:val="21"/>
              </w:rPr>
              <w:t>审议通过关于《际华集团与财务公司发生关联交易的风险持续评估报告》的议案</w:t>
            </w:r>
          </w:p>
          <w:p w14:paraId="0570442F">
            <w:pPr>
              <w:widowControl w:val="0"/>
              <w:numPr>
                <w:ilvl w:val="0"/>
                <w:numId w:val="21"/>
              </w:numPr>
              <w:jc w:val="both"/>
              <w:rPr>
                <w:rFonts w:hint="eastAsia"/>
                <w:szCs w:val="21"/>
              </w:rPr>
            </w:pPr>
            <w:r>
              <w:rPr>
                <w:rFonts w:hint="eastAsia"/>
                <w:szCs w:val="21"/>
              </w:rPr>
              <w:t>审议通过关于调整《际华集团股份有限公司“十四五”发展战略与规划》的议案</w:t>
            </w:r>
          </w:p>
          <w:p w14:paraId="3EF4831C">
            <w:pPr>
              <w:widowControl w:val="0"/>
              <w:numPr>
                <w:ilvl w:val="0"/>
                <w:numId w:val="21"/>
              </w:numPr>
              <w:jc w:val="both"/>
              <w:rPr>
                <w:rFonts w:hint="eastAsia"/>
                <w:szCs w:val="21"/>
              </w:rPr>
            </w:pPr>
            <w:r>
              <w:rPr>
                <w:rFonts w:hint="eastAsia"/>
                <w:szCs w:val="21"/>
              </w:rPr>
              <w:t>审议通过关于修订《公司部分制度》的议案</w:t>
            </w:r>
          </w:p>
          <w:p w14:paraId="4556A050">
            <w:pPr>
              <w:widowControl w:val="0"/>
              <w:numPr>
                <w:ilvl w:val="0"/>
                <w:numId w:val="21"/>
              </w:numPr>
              <w:jc w:val="both"/>
              <w:rPr>
                <w:rFonts w:hint="eastAsia"/>
                <w:szCs w:val="21"/>
              </w:rPr>
            </w:pPr>
            <w:r>
              <w:rPr>
                <w:rFonts w:hint="eastAsia"/>
                <w:szCs w:val="21"/>
              </w:rPr>
              <w:t>审议通过关于《计提资产减值准备》的议案</w:t>
            </w:r>
          </w:p>
          <w:p w14:paraId="2751006B">
            <w:pPr>
              <w:widowControl w:val="0"/>
              <w:numPr>
                <w:ilvl w:val="0"/>
                <w:numId w:val="21"/>
              </w:numPr>
              <w:jc w:val="both"/>
              <w:rPr>
                <w:rFonts w:hint="eastAsia"/>
                <w:szCs w:val="21"/>
              </w:rPr>
            </w:pPr>
            <w:r>
              <w:rPr>
                <w:rFonts w:hint="eastAsia"/>
                <w:szCs w:val="21"/>
              </w:rPr>
              <w:t>审议通过关于《择期召开2023年度股东大会》的议案</w:t>
            </w:r>
          </w:p>
        </w:tc>
      </w:tr>
      <w:tr w14:paraId="34A5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68F67B5B">
            <w:pPr>
              <w:widowControl w:val="0"/>
              <w:jc w:val="both"/>
              <w:rPr>
                <w:rFonts w:hint="eastAsia"/>
                <w:szCs w:val="21"/>
              </w:rPr>
            </w:pPr>
            <w:r>
              <w:rPr>
                <w:rFonts w:hint="eastAsia"/>
                <w:szCs w:val="21"/>
              </w:rPr>
              <w:t>第五届董事会第二十四次会议</w:t>
            </w:r>
          </w:p>
        </w:tc>
        <w:tc>
          <w:tcPr>
            <w:tcW w:w="750" w:type="pct"/>
          </w:tcPr>
          <w:p w14:paraId="52E74FDD">
            <w:pPr>
              <w:widowControl w:val="0"/>
              <w:jc w:val="both"/>
              <w:rPr>
                <w:rFonts w:hint="eastAsia"/>
                <w:szCs w:val="21"/>
              </w:rPr>
            </w:pPr>
            <w:r>
              <w:rPr>
                <w:rFonts w:hint="eastAsia"/>
                <w:szCs w:val="21"/>
              </w:rPr>
              <w:t>2024年4月26日</w:t>
            </w:r>
          </w:p>
        </w:tc>
        <w:tc>
          <w:tcPr>
            <w:tcW w:w="3217" w:type="pct"/>
          </w:tcPr>
          <w:p w14:paraId="0EEFAA27">
            <w:pPr>
              <w:widowControl w:val="0"/>
              <w:numPr>
                <w:ilvl w:val="0"/>
                <w:numId w:val="22"/>
              </w:numPr>
              <w:jc w:val="both"/>
              <w:rPr>
                <w:rFonts w:hint="eastAsia"/>
                <w:szCs w:val="21"/>
              </w:rPr>
            </w:pPr>
            <w:r>
              <w:rPr>
                <w:rFonts w:hint="eastAsia"/>
                <w:szCs w:val="21"/>
              </w:rPr>
              <w:t>审议通过关于《购买土地使用权及房产暨关联交易》的议案</w:t>
            </w:r>
          </w:p>
          <w:p w14:paraId="1B5F5DFB">
            <w:pPr>
              <w:widowControl w:val="0"/>
              <w:numPr>
                <w:ilvl w:val="0"/>
                <w:numId w:val="22"/>
              </w:numPr>
              <w:jc w:val="both"/>
              <w:rPr>
                <w:rFonts w:hint="eastAsia"/>
                <w:szCs w:val="21"/>
              </w:rPr>
            </w:pPr>
            <w:r>
              <w:rPr>
                <w:rFonts w:hint="eastAsia"/>
                <w:szCs w:val="21"/>
              </w:rPr>
              <w:t>审议通过关于《2024年第一季度报告》的议案</w:t>
            </w:r>
          </w:p>
        </w:tc>
      </w:tr>
      <w:tr w14:paraId="6191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3F0C8097">
            <w:pPr>
              <w:widowControl w:val="0"/>
              <w:jc w:val="both"/>
              <w:rPr>
                <w:rFonts w:hint="eastAsia"/>
                <w:szCs w:val="21"/>
              </w:rPr>
            </w:pPr>
            <w:r>
              <w:rPr>
                <w:rFonts w:hint="eastAsia"/>
                <w:szCs w:val="21"/>
              </w:rPr>
              <w:t>第五届董事会第二十五次会议</w:t>
            </w:r>
          </w:p>
        </w:tc>
        <w:tc>
          <w:tcPr>
            <w:tcW w:w="750" w:type="pct"/>
          </w:tcPr>
          <w:p w14:paraId="5DADF406">
            <w:pPr>
              <w:widowControl w:val="0"/>
              <w:jc w:val="both"/>
              <w:rPr>
                <w:rFonts w:hint="eastAsia"/>
                <w:szCs w:val="21"/>
              </w:rPr>
            </w:pPr>
            <w:r>
              <w:rPr>
                <w:rFonts w:hint="eastAsia"/>
                <w:szCs w:val="21"/>
              </w:rPr>
              <w:t>2024年5月22日</w:t>
            </w:r>
          </w:p>
        </w:tc>
        <w:tc>
          <w:tcPr>
            <w:tcW w:w="3217" w:type="pct"/>
          </w:tcPr>
          <w:p w14:paraId="75777BD8">
            <w:pPr>
              <w:widowControl w:val="0"/>
              <w:numPr>
                <w:ilvl w:val="0"/>
                <w:numId w:val="23"/>
              </w:numPr>
              <w:jc w:val="both"/>
              <w:rPr>
                <w:rFonts w:hint="eastAsia"/>
                <w:szCs w:val="21"/>
              </w:rPr>
            </w:pPr>
            <w:r>
              <w:rPr>
                <w:rFonts w:hint="eastAsia"/>
                <w:szCs w:val="21"/>
              </w:rPr>
              <w:t>审议通过关于修订《公司章程》的议案</w:t>
            </w:r>
          </w:p>
          <w:p w14:paraId="03D6FC5E">
            <w:pPr>
              <w:widowControl w:val="0"/>
              <w:numPr>
                <w:ilvl w:val="0"/>
                <w:numId w:val="23"/>
              </w:numPr>
              <w:jc w:val="both"/>
              <w:rPr>
                <w:rFonts w:hint="eastAsia"/>
                <w:szCs w:val="21"/>
              </w:rPr>
            </w:pPr>
            <w:r>
              <w:rPr>
                <w:rFonts w:hint="eastAsia"/>
                <w:szCs w:val="21"/>
              </w:rPr>
              <w:t>审议通过关于《公司董事会换届选举方案》的议案</w:t>
            </w:r>
          </w:p>
          <w:p w14:paraId="699C4F07">
            <w:pPr>
              <w:widowControl w:val="0"/>
              <w:numPr>
                <w:ilvl w:val="0"/>
                <w:numId w:val="23"/>
              </w:numPr>
              <w:jc w:val="both"/>
              <w:rPr>
                <w:rFonts w:hint="eastAsia"/>
                <w:szCs w:val="21"/>
              </w:rPr>
            </w:pPr>
            <w:r>
              <w:rPr>
                <w:rFonts w:hint="eastAsia"/>
                <w:szCs w:val="21"/>
              </w:rPr>
              <w:t>审议通过关于《董事会战略委员会调整为董事会战略与ESG委员会》的议案</w:t>
            </w:r>
          </w:p>
          <w:p w14:paraId="2C90B82E">
            <w:pPr>
              <w:widowControl w:val="0"/>
              <w:numPr>
                <w:ilvl w:val="0"/>
                <w:numId w:val="23"/>
              </w:numPr>
              <w:jc w:val="both"/>
              <w:rPr>
                <w:rFonts w:hint="eastAsia"/>
                <w:szCs w:val="21"/>
              </w:rPr>
            </w:pPr>
            <w:r>
              <w:rPr>
                <w:rFonts w:hint="eastAsia"/>
                <w:szCs w:val="21"/>
              </w:rPr>
              <w:t>审议通过关于修订《独立董事管理制度》的议案</w:t>
            </w:r>
          </w:p>
          <w:p w14:paraId="46F6811F">
            <w:pPr>
              <w:widowControl w:val="0"/>
              <w:numPr>
                <w:ilvl w:val="0"/>
                <w:numId w:val="23"/>
              </w:numPr>
              <w:jc w:val="both"/>
              <w:rPr>
                <w:rFonts w:hint="eastAsia"/>
                <w:szCs w:val="21"/>
              </w:rPr>
            </w:pPr>
            <w:r>
              <w:rPr>
                <w:rFonts w:hint="eastAsia"/>
                <w:szCs w:val="21"/>
              </w:rPr>
              <w:t>审议通过关于修订《董事会战略与ESG委员会议事规则》的议案</w:t>
            </w:r>
          </w:p>
          <w:p w14:paraId="79C455E1">
            <w:pPr>
              <w:widowControl w:val="0"/>
              <w:numPr>
                <w:ilvl w:val="0"/>
                <w:numId w:val="23"/>
              </w:numPr>
              <w:jc w:val="both"/>
              <w:rPr>
                <w:rFonts w:hint="eastAsia"/>
                <w:szCs w:val="21"/>
              </w:rPr>
            </w:pPr>
            <w:r>
              <w:rPr>
                <w:rFonts w:hint="eastAsia"/>
                <w:szCs w:val="21"/>
              </w:rPr>
              <w:t>审议通过关于修订《独立董事报酬发放暂行办法》的议案</w:t>
            </w:r>
          </w:p>
          <w:p w14:paraId="7C1F8DD9">
            <w:pPr>
              <w:widowControl w:val="0"/>
              <w:numPr>
                <w:ilvl w:val="0"/>
                <w:numId w:val="23"/>
              </w:numPr>
              <w:jc w:val="both"/>
              <w:rPr>
                <w:rFonts w:hint="eastAsia"/>
                <w:szCs w:val="21"/>
              </w:rPr>
            </w:pPr>
            <w:r>
              <w:rPr>
                <w:rFonts w:hint="eastAsia"/>
                <w:szCs w:val="21"/>
              </w:rPr>
              <w:t>审议通过关于《召开2023年年度股东大会》的议案</w:t>
            </w:r>
          </w:p>
        </w:tc>
      </w:tr>
      <w:tr w14:paraId="4E8A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2EAA373A">
            <w:pPr>
              <w:widowControl w:val="0"/>
              <w:jc w:val="both"/>
              <w:rPr>
                <w:rFonts w:hint="eastAsia"/>
                <w:szCs w:val="21"/>
              </w:rPr>
            </w:pPr>
            <w:r>
              <w:rPr>
                <w:rFonts w:hint="eastAsia"/>
                <w:szCs w:val="21"/>
              </w:rPr>
              <w:t>第五届董事会第二十六次会议</w:t>
            </w:r>
          </w:p>
        </w:tc>
        <w:tc>
          <w:tcPr>
            <w:tcW w:w="750" w:type="pct"/>
          </w:tcPr>
          <w:p w14:paraId="53156C0F">
            <w:pPr>
              <w:widowControl w:val="0"/>
              <w:jc w:val="both"/>
              <w:rPr>
                <w:rFonts w:hint="eastAsia"/>
                <w:szCs w:val="21"/>
              </w:rPr>
            </w:pPr>
            <w:r>
              <w:rPr>
                <w:rFonts w:hint="eastAsia"/>
                <w:szCs w:val="21"/>
              </w:rPr>
              <w:t>2024年6月5日</w:t>
            </w:r>
          </w:p>
        </w:tc>
        <w:tc>
          <w:tcPr>
            <w:tcW w:w="3217" w:type="pct"/>
          </w:tcPr>
          <w:p w14:paraId="77DF59EE">
            <w:pPr>
              <w:widowControl w:val="0"/>
              <w:tabs>
                <w:tab w:val="left" w:pos="312"/>
              </w:tabs>
              <w:jc w:val="both"/>
              <w:rPr>
                <w:rFonts w:hint="eastAsia"/>
                <w:szCs w:val="21"/>
              </w:rPr>
            </w:pPr>
            <w:r>
              <w:rPr>
                <w:rFonts w:hint="eastAsia"/>
                <w:szCs w:val="21"/>
              </w:rPr>
              <w:t>审议通过关于《同意延期召开2023年年度股东大会相关事项》的议案</w:t>
            </w:r>
          </w:p>
        </w:tc>
      </w:tr>
      <w:tr w14:paraId="1BBE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1F69CB33">
            <w:pPr>
              <w:widowControl w:val="0"/>
              <w:jc w:val="both"/>
              <w:rPr>
                <w:rFonts w:hint="eastAsia"/>
                <w:szCs w:val="21"/>
              </w:rPr>
            </w:pPr>
            <w:r>
              <w:rPr>
                <w:rFonts w:hint="eastAsia"/>
                <w:szCs w:val="21"/>
              </w:rPr>
              <w:t>第六届董事会第一次会议</w:t>
            </w:r>
          </w:p>
        </w:tc>
        <w:tc>
          <w:tcPr>
            <w:tcW w:w="750" w:type="pct"/>
          </w:tcPr>
          <w:p w14:paraId="38A5229E">
            <w:pPr>
              <w:widowControl w:val="0"/>
              <w:jc w:val="both"/>
              <w:rPr>
                <w:rFonts w:hint="eastAsia"/>
                <w:szCs w:val="21"/>
              </w:rPr>
            </w:pPr>
            <w:r>
              <w:rPr>
                <w:rFonts w:hint="eastAsia"/>
                <w:szCs w:val="21"/>
              </w:rPr>
              <w:t>2024年6月14日</w:t>
            </w:r>
          </w:p>
        </w:tc>
        <w:tc>
          <w:tcPr>
            <w:tcW w:w="3217" w:type="pct"/>
          </w:tcPr>
          <w:p w14:paraId="322DDEFE">
            <w:pPr>
              <w:widowControl w:val="0"/>
              <w:numPr>
                <w:ilvl w:val="0"/>
                <w:numId w:val="24"/>
              </w:numPr>
              <w:jc w:val="both"/>
              <w:rPr>
                <w:rFonts w:hint="eastAsia"/>
                <w:szCs w:val="21"/>
              </w:rPr>
            </w:pPr>
            <w:r>
              <w:rPr>
                <w:rFonts w:hint="eastAsia"/>
                <w:szCs w:val="21"/>
              </w:rPr>
              <w:t>审议通过关于《选举公司第六届董事会》的议案</w:t>
            </w:r>
          </w:p>
          <w:p w14:paraId="24D076B7">
            <w:pPr>
              <w:widowControl w:val="0"/>
              <w:numPr>
                <w:ilvl w:val="0"/>
                <w:numId w:val="24"/>
              </w:numPr>
              <w:jc w:val="both"/>
              <w:rPr>
                <w:rFonts w:hint="eastAsia"/>
                <w:szCs w:val="21"/>
              </w:rPr>
            </w:pPr>
            <w:r>
              <w:rPr>
                <w:rFonts w:hint="eastAsia"/>
                <w:szCs w:val="21"/>
              </w:rPr>
              <w:t>审议通过关于《选举公司第六届董事会各专门委员会委员》的议案</w:t>
            </w:r>
          </w:p>
          <w:p w14:paraId="6C67060C">
            <w:pPr>
              <w:widowControl w:val="0"/>
              <w:numPr>
                <w:ilvl w:val="0"/>
                <w:numId w:val="24"/>
              </w:numPr>
              <w:jc w:val="both"/>
              <w:rPr>
                <w:rFonts w:hint="eastAsia"/>
                <w:szCs w:val="21"/>
              </w:rPr>
            </w:pPr>
            <w:r>
              <w:rPr>
                <w:rFonts w:hint="eastAsia"/>
                <w:szCs w:val="21"/>
              </w:rPr>
              <w:t>审议通过关于《聘任公司总经理》的议案</w:t>
            </w:r>
          </w:p>
          <w:p w14:paraId="475FE3B5">
            <w:pPr>
              <w:widowControl w:val="0"/>
              <w:numPr>
                <w:ilvl w:val="0"/>
                <w:numId w:val="24"/>
              </w:numPr>
              <w:jc w:val="both"/>
              <w:rPr>
                <w:rFonts w:hint="eastAsia"/>
                <w:szCs w:val="21"/>
              </w:rPr>
            </w:pPr>
            <w:r>
              <w:rPr>
                <w:rFonts w:hint="eastAsia"/>
                <w:szCs w:val="21"/>
              </w:rPr>
              <w:t>审议通过关于《聘任公司副总经理、总会计师、总法律顾问》的议案</w:t>
            </w:r>
          </w:p>
          <w:p w14:paraId="44AF7F94">
            <w:pPr>
              <w:widowControl w:val="0"/>
              <w:numPr>
                <w:ilvl w:val="0"/>
                <w:numId w:val="24"/>
              </w:numPr>
              <w:jc w:val="both"/>
              <w:rPr>
                <w:rFonts w:hint="eastAsia"/>
                <w:szCs w:val="21"/>
              </w:rPr>
            </w:pPr>
            <w:r>
              <w:rPr>
                <w:rFonts w:hint="eastAsia"/>
                <w:szCs w:val="21"/>
              </w:rPr>
              <w:t>审议通过关于《聘任公司董事会秘书、证券事务代表》的议案</w:t>
            </w:r>
          </w:p>
        </w:tc>
      </w:tr>
      <w:tr w14:paraId="339E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6A1EE659">
            <w:pPr>
              <w:widowControl w:val="0"/>
              <w:jc w:val="both"/>
              <w:rPr>
                <w:rFonts w:hint="eastAsia"/>
                <w:szCs w:val="21"/>
              </w:rPr>
            </w:pPr>
            <w:r>
              <w:rPr>
                <w:rFonts w:hint="eastAsia"/>
                <w:szCs w:val="21"/>
              </w:rPr>
              <w:t>第六届董事会第二次会议</w:t>
            </w:r>
          </w:p>
        </w:tc>
        <w:tc>
          <w:tcPr>
            <w:tcW w:w="750" w:type="pct"/>
          </w:tcPr>
          <w:p w14:paraId="3E77D71F">
            <w:pPr>
              <w:widowControl w:val="0"/>
              <w:jc w:val="both"/>
              <w:rPr>
                <w:rFonts w:hint="eastAsia"/>
                <w:szCs w:val="21"/>
              </w:rPr>
            </w:pPr>
            <w:r>
              <w:rPr>
                <w:rFonts w:hint="eastAsia"/>
                <w:szCs w:val="21"/>
              </w:rPr>
              <w:t>2024年7月22日</w:t>
            </w:r>
          </w:p>
        </w:tc>
        <w:tc>
          <w:tcPr>
            <w:tcW w:w="3217" w:type="pct"/>
          </w:tcPr>
          <w:p w14:paraId="1684A498">
            <w:pPr>
              <w:widowControl w:val="0"/>
              <w:numPr>
                <w:ilvl w:val="0"/>
                <w:numId w:val="25"/>
              </w:numPr>
              <w:jc w:val="both"/>
              <w:rPr>
                <w:rFonts w:hint="eastAsia"/>
                <w:szCs w:val="21"/>
              </w:rPr>
            </w:pPr>
            <w:r>
              <w:rPr>
                <w:rFonts w:hint="eastAsia"/>
                <w:szCs w:val="21"/>
              </w:rPr>
              <w:t>审议通过关于《聘任公司总经理》的议案</w:t>
            </w:r>
          </w:p>
          <w:p w14:paraId="79AB1702">
            <w:pPr>
              <w:widowControl w:val="0"/>
              <w:numPr>
                <w:ilvl w:val="0"/>
                <w:numId w:val="25"/>
              </w:numPr>
              <w:jc w:val="both"/>
              <w:rPr>
                <w:rFonts w:hint="eastAsia"/>
                <w:szCs w:val="21"/>
              </w:rPr>
            </w:pPr>
            <w:r>
              <w:rPr>
                <w:rFonts w:hint="eastAsia"/>
                <w:szCs w:val="21"/>
              </w:rPr>
              <w:t>审议通过关于《补选公司第六届董事会非独立董事》的议案</w:t>
            </w:r>
          </w:p>
        </w:tc>
      </w:tr>
      <w:tr w14:paraId="58D0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68526A91">
            <w:pPr>
              <w:widowControl w:val="0"/>
              <w:jc w:val="both"/>
              <w:rPr>
                <w:rFonts w:hint="eastAsia"/>
                <w:szCs w:val="21"/>
              </w:rPr>
            </w:pPr>
            <w:r>
              <w:rPr>
                <w:rFonts w:hint="eastAsia"/>
                <w:szCs w:val="21"/>
              </w:rPr>
              <w:t>第六届董事会第三次会议</w:t>
            </w:r>
          </w:p>
        </w:tc>
        <w:tc>
          <w:tcPr>
            <w:tcW w:w="750" w:type="pct"/>
          </w:tcPr>
          <w:p w14:paraId="3CCF3B74">
            <w:pPr>
              <w:widowControl w:val="0"/>
              <w:jc w:val="both"/>
              <w:rPr>
                <w:rFonts w:hint="eastAsia"/>
                <w:szCs w:val="21"/>
              </w:rPr>
            </w:pPr>
            <w:r>
              <w:rPr>
                <w:rFonts w:hint="eastAsia"/>
                <w:szCs w:val="21"/>
              </w:rPr>
              <w:t>2024年8月23日</w:t>
            </w:r>
          </w:p>
        </w:tc>
        <w:tc>
          <w:tcPr>
            <w:tcW w:w="3217" w:type="pct"/>
          </w:tcPr>
          <w:p w14:paraId="7528B7DD">
            <w:pPr>
              <w:widowControl w:val="0"/>
              <w:numPr>
                <w:ilvl w:val="0"/>
                <w:numId w:val="26"/>
              </w:numPr>
              <w:jc w:val="both"/>
              <w:rPr>
                <w:rFonts w:hint="eastAsia"/>
                <w:szCs w:val="21"/>
              </w:rPr>
            </w:pPr>
            <w:r>
              <w:rPr>
                <w:rFonts w:hint="eastAsia"/>
                <w:szCs w:val="21"/>
              </w:rPr>
              <w:t>审议通过关于《2024年半年度报告及摘要》的议案</w:t>
            </w:r>
          </w:p>
          <w:p w14:paraId="36229A9D">
            <w:pPr>
              <w:widowControl w:val="0"/>
              <w:numPr>
                <w:ilvl w:val="0"/>
                <w:numId w:val="26"/>
              </w:numPr>
              <w:jc w:val="both"/>
              <w:rPr>
                <w:rFonts w:hint="eastAsia"/>
                <w:szCs w:val="21"/>
              </w:rPr>
            </w:pPr>
            <w:r>
              <w:rPr>
                <w:rFonts w:hint="eastAsia"/>
                <w:szCs w:val="21"/>
              </w:rPr>
              <w:t>审议通过关于《2024年上半年募集资金存放与实际使用情况的专项报告》的议案</w:t>
            </w:r>
          </w:p>
          <w:p w14:paraId="6892404A">
            <w:pPr>
              <w:widowControl w:val="0"/>
              <w:numPr>
                <w:ilvl w:val="0"/>
                <w:numId w:val="26"/>
              </w:numPr>
              <w:jc w:val="both"/>
              <w:rPr>
                <w:rFonts w:hint="eastAsia"/>
                <w:szCs w:val="21"/>
              </w:rPr>
            </w:pPr>
            <w:r>
              <w:rPr>
                <w:rFonts w:hint="eastAsia"/>
                <w:szCs w:val="21"/>
              </w:rPr>
              <w:t>审议通过关于《与关联财务公司发生金融业务的风险持续评估报告》的议案</w:t>
            </w:r>
          </w:p>
          <w:p w14:paraId="4DB94D1F">
            <w:pPr>
              <w:widowControl w:val="0"/>
              <w:numPr>
                <w:ilvl w:val="0"/>
                <w:numId w:val="26"/>
              </w:numPr>
              <w:jc w:val="both"/>
              <w:rPr>
                <w:rFonts w:hint="eastAsia"/>
                <w:szCs w:val="21"/>
              </w:rPr>
            </w:pPr>
            <w:r>
              <w:rPr>
                <w:rFonts w:hint="eastAsia"/>
                <w:szCs w:val="21"/>
              </w:rPr>
              <w:t>审议通过关于《年产2500吨特种尼龙66长丝中试线建设项目》的议案</w:t>
            </w:r>
          </w:p>
        </w:tc>
      </w:tr>
      <w:tr w14:paraId="2E54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4E7A27B0">
            <w:pPr>
              <w:widowControl w:val="0"/>
              <w:jc w:val="both"/>
              <w:rPr>
                <w:rFonts w:hint="eastAsia"/>
                <w:szCs w:val="21"/>
              </w:rPr>
            </w:pPr>
            <w:r>
              <w:rPr>
                <w:rFonts w:hint="eastAsia"/>
                <w:szCs w:val="21"/>
              </w:rPr>
              <w:t>第六届董事会第四次会议</w:t>
            </w:r>
          </w:p>
        </w:tc>
        <w:tc>
          <w:tcPr>
            <w:tcW w:w="750" w:type="pct"/>
          </w:tcPr>
          <w:p w14:paraId="3F517410">
            <w:pPr>
              <w:widowControl w:val="0"/>
              <w:jc w:val="both"/>
              <w:rPr>
                <w:rFonts w:hint="eastAsia"/>
                <w:szCs w:val="21"/>
              </w:rPr>
            </w:pPr>
            <w:r>
              <w:rPr>
                <w:rFonts w:hint="eastAsia"/>
                <w:szCs w:val="21"/>
              </w:rPr>
              <w:t>2024年8月27日</w:t>
            </w:r>
          </w:p>
        </w:tc>
        <w:tc>
          <w:tcPr>
            <w:tcW w:w="3217" w:type="pct"/>
          </w:tcPr>
          <w:p w14:paraId="32DE5D95">
            <w:pPr>
              <w:widowControl w:val="0"/>
              <w:numPr>
                <w:ilvl w:val="0"/>
                <w:numId w:val="27"/>
              </w:numPr>
              <w:jc w:val="both"/>
              <w:rPr>
                <w:rFonts w:hint="eastAsia"/>
                <w:szCs w:val="21"/>
              </w:rPr>
            </w:pPr>
            <w:r>
              <w:rPr>
                <w:rFonts w:hint="eastAsia"/>
                <w:szCs w:val="21"/>
              </w:rPr>
              <w:t>审议通过关于《变更部分募集资金投资项目》的议案</w:t>
            </w:r>
          </w:p>
          <w:p w14:paraId="17B8F9D1">
            <w:pPr>
              <w:widowControl w:val="0"/>
              <w:numPr>
                <w:ilvl w:val="0"/>
                <w:numId w:val="27"/>
              </w:numPr>
              <w:jc w:val="both"/>
              <w:rPr>
                <w:rFonts w:hint="eastAsia"/>
                <w:szCs w:val="21"/>
              </w:rPr>
            </w:pPr>
            <w:r>
              <w:rPr>
                <w:rFonts w:hint="eastAsia"/>
                <w:szCs w:val="21"/>
              </w:rPr>
              <w:t>审议通过关于《部分募集资金投资项目延期》的议案</w:t>
            </w:r>
          </w:p>
        </w:tc>
      </w:tr>
      <w:tr w14:paraId="3CBA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7DDF456F">
            <w:pPr>
              <w:widowControl w:val="0"/>
              <w:jc w:val="both"/>
              <w:rPr>
                <w:rFonts w:hint="eastAsia"/>
                <w:szCs w:val="21"/>
              </w:rPr>
            </w:pPr>
            <w:r>
              <w:rPr>
                <w:rFonts w:hint="eastAsia"/>
                <w:szCs w:val="21"/>
              </w:rPr>
              <w:t>第六届董事会第五次会议</w:t>
            </w:r>
          </w:p>
        </w:tc>
        <w:tc>
          <w:tcPr>
            <w:tcW w:w="750" w:type="pct"/>
          </w:tcPr>
          <w:p w14:paraId="7977B625">
            <w:pPr>
              <w:widowControl w:val="0"/>
              <w:jc w:val="both"/>
              <w:rPr>
                <w:rFonts w:hint="eastAsia"/>
                <w:szCs w:val="21"/>
              </w:rPr>
            </w:pPr>
            <w:r>
              <w:rPr>
                <w:rFonts w:hint="eastAsia"/>
                <w:szCs w:val="21"/>
              </w:rPr>
              <w:t>2024年9月13日</w:t>
            </w:r>
          </w:p>
        </w:tc>
        <w:tc>
          <w:tcPr>
            <w:tcW w:w="3217" w:type="pct"/>
          </w:tcPr>
          <w:p w14:paraId="0093AF58">
            <w:pPr>
              <w:widowControl w:val="0"/>
              <w:tabs>
                <w:tab w:val="left" w:pos="312"/>
              </w:tabs>
              <w:jc w:val="both"/>
              <w:rPr>
                <w:rFonts w:hint="eastAsia"/>
                <w:szCs w:val="21"/>
              </w:rPr>
            </w:pPr>
            <w:r>
              <w:rPr>
                <w:rFonts w:hint="eastAsia"/>
                <w:szCs w:val="21"/>
              </w:rPr>
              <w:t>审议通过关于《面料基地项目建设方案》的议案</w:t>
            </w:r>
          </w:p>
        </w:tc>
      </w:tr>
      <w:tr w14:paraId="1DF8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5608DFFC">
            <w:pPr>
              <w:widowControl w:val="0"/>
              <w:jc w:val="both"/>
              <w:rPr>
                <w:rFonts w:hint="eastAsia"/>
                <w:szCs w:val="21"/>
              </w:rPr>
            </w:pPr>
            <w:r>
              <w:rPr>
                <w:rFonts w:hint="eastAsia"/>
                <w:szCs w:val="21"/>
              </w:rPr>
              <w:t>第六届董事会第六次会议</w:t>
            </w:r>
          </w:p>
        </w:tc>
        <w:tc>
          <w:tcPr>
            <w:tcW w:w="750" w:type="pct"/>
          </w:tcPr>
          <w:p w14:paraId="2D85B897">
            <w:pPr>
              <w:widowControl w:val="0"/>
              <w:jc w:val="both"/>
              <w:rPr>
                <w:rFonts w:hint="eastAsia"/>
                <w:szCs w:val="21"/>
              </w:rPr>
            </w:pPr>
            <w:r>
              <w:rPr>
                <w:rFonts w:hint="eastAsia"/>
                <w:szCs w:val="21"/>
              </w:rPr>
              <w:t>2024年10月25日</w:t>
            </w:r>
          </w:p>
        </w:tc>
        <w:tc>
          <w:tcPr>
            <w:tcW w:w="3217" w:type="pct"/>
          </w:tcPr>
          <w:p w14:paraId="76DD2C49">
            <w:pPr>
              <w:widowControl w:val="0"/>
              <w:tabs>
                <w:tab w:val="left" w:pos="312"/>
              </w:tabs>
              <w:jc w:val="both"/>
              <w:rPr>
                <w:rFonts w:hint="eastAsia"/>
                <w:szCs w:val="21"/>
              </w:rPr>
            </w:pPr>
            <w:r>
              <w:rPr>
                <w:rFonts w:hint="eastAsia"/>
                <w:szCs w:val="21"/>
              </w:rPr>
              <w:t>审议通过关于《2024年第三季度报告》的议案</w:t>
            </w:r>
          </w:p>
        </w:tc>
      </w:tr>
      <w:tr w14:paraId="09E6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033" w:type="pct"/>
          </w:tcPr>
          <w:p w14:paraId="70C3D0C8">
            <w:pPr>
              <w:widowControl w:val="0"/>
              <w:jc w:val="both"/>
              <w:rPr>
                <w:rFonts w:hint="eastAsia"/>
                <w:szCs w:val="21"/>
              </w:rPr>
            </w:pPr>
            <w:r>
              <w:rPr>
                <w:rFonts w:hint="eastAsia"/>
                <w:szCs w:val="21"/>
              </w:rPr>
              <w:t>第六届董事会第七次会议</w:t>
            </w:r>
          </w:p>
        </w:tc>
        <w:tc>
          <w:tcPr>
            <w:tcW w:w="750" w:type="pct"/>
          </w:tcPr>
          <w:p w14:paraId="232D6F4F">
            <w:pPr>
              <w:widowControl w:val="0"/>
              <w:jc w:val="both"/>
              <w:rPr>
                <w:rFonts w:hint="eastAsia"/>
                <w:szCs w:val="21"/>
              </w:rPr>
            </w:pPr>
            <w:r>
              <w:rPr>
                <w:rFonts w:hint="eastAsia"/>
                <w:szCs w:val="21"/>
              </w:rPr>
              <w:t>2024年12月6日</w:t>
            </w:r>
          </w:p>
        </w:tc>
        <w:tc>
          <w:tcPr>
            <w:tcW w:w="3217" w:type="pct"/>
          </w:tcPr>
          <w:p w14:paraId="2113FDD9">
            <w:pPr>
              <w:widowControl w:val="0"/>
              <w:numPr>
                <w:ilvl w:val="0"/>
                <w:numId w:val="28"/>
              </w:numPr>
              <w:jc w:val="both"/>
              <w:rPr>
                <w:rFonts w:hint="eastAsia"/>
                <w:szCs w:val="21"/>
              </w:rPr>
            </w:pPr>
            <w:r>
              <w:rPr>
                <w:rFonts w:hint="eastAsia"/>
                <w:szCs w:val="21"/>
              </w:rPr>
              <w:t>审议通过关于《聘任天健会计师事务所为公司2024年度财务审计机构和内控审计机构》的议案</w:t>
            </w:r>
          </w:p>
          <w:p w14:paraId="16FE20A3">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关于《以集中竞价交易方式回购股份的预案》的议案-回购股份的目的</w:t>
            </w:r>
          </w:p>
          <w:p w14:paraId="2E36C689">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关于《以集中竞价交易方式回购股份的预案》的议案-拟回购股份的种类</w:t>
            </w:r>
          </w:p>
          <w:p w14:paraId="066B4DE4">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关于《以集中竞价交易方式回购股份的预案》的议案-回购股份的方式</w:t>
            </w:r>
          </w:p>
          <w:p w14:paraId="5D97C851">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关于《以集中竞价交易方式回购股份的预案》的议案-回购股份的实施期限</w:t>
            </w:r>
          </w:p>
          <w:p w14:paraId="22ECB6E0">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关于《以集中竞价交易方式回购股份的预案》的议案-拟回购股份的用途、数量、占公司总股本的比例、资金总额</w:t>
            </w:r>
          </w:p>
          <w:p w14:paraId="6E3074FB">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关于《以集中竞价交易方式回购股份的预案》的议案-回购股份的价格或价格区间、定价原则</w:t>
            </w:r>
          </w:p>
          <w:p w14:paraId="5404B792">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关于《以集中竞价交易方式回购股份的预案》的议案-回购股份的资金来源</w:t>
            </w:r>
          </w:p>
          <w:p w14:paraId="54033594">
            <w:pPr>
              <w:widowControl w:val="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9.审议</w:t>
            </w:r>
            <w:r>
              <w:rPr>
                <w:rFonts w:hint="eastAsia"/>
                <w:szCs w:val="21"/>
              </w:rPr>
              <w:t>通过</w:t>
            </w:r>
            <w:r>
              <w:rPr>
                <w:rFonts w:hint="eastAsia" w:asciiTheme="minorEastAsia" w:hAnsiTheme="minorEastAsia" w:eastAsiaTheme="minorEastAsia" w:cstheme="minorEastAsia"/>
                <w:szCs w:val="21"/>
              </w:rPr>
              <w:t>关于《以集中竞价交易方式回购股份的预案》的议案-办理本次回购股份事宜的具体授权</w:t>
            </w:r>
          </w:p>
          <w:p w14:paraId="1A2B4AEE">
            <w:pPr>
              <w:widowControl w:val="0"/>
              <w:jc w:val="both"/>
              <w:rPr>
                <w:rFonts w:hint="eastAsia"/>
                <w:szCs w:val="21"/>
              </w:rPr>
            </w:pPr>
            <w:r>
              <w:rPr>
                <w:rFonts w:hint="eastAsia"/>
                <w:szCs w:val="21"/>
              </w:rPr>
              <w:t>10.审议通过关于《际华园2024年托管经营指标》的议案</w:t>
            </w:r>
          </w:p>
        </w:tc>
      </w:tr>
    </w:tbl>
    <w:p w14:paraId="6396D02F">
      <w:pPr>
        <w:rPr>
          <w:rFonts w:hint="eastAsia"/>
          <w:szCs w:val="21"/>
        </w:rPr>
      </w:pPr>
    </w:p>
    <w:bookmarkEnd w:id="82"/>
    <w:p w14:paraId="2BBD74EA">
      <w:pPr>
        <w:pStyle w:val="3"/>
        <w:numPr>
          <w:ilvl w:val="0"/>
          <w:numId w:val="17"/>
        </w:numPr>
      </w:pPr>
      <w:r>
        <w:t>董事履行职责情况</w:t>
      </w:r>
    </w:p>
    <w:p w14:paraId="1E3B06AF">
      <w:pPr>
        <w:pStyle w:val="4"/>
        <w:numPr>
          <w:ilvl w:val="0"/>
          <w:numId w:val="29"/>
        </w:numPr>
      </w:pPr>
      <w:r>
        <w:t>董事参加董事会和股东大会的情况</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823"/>
        <w:gridCol w:w="1072"/>
        <w:gridCol w:w="832"/>
        <w:gridCol w:w="943"/>
        <w:gridCol w:w="883"/>
        <w:gridCol w:w="823"/>
        <w:gridCol w:w="1263"/>
        <w:gridCol w:w="1230"/>
      </w:tblGrid>
      <w:tr w14:paraId="568E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sdt>
          <w:sdtPr>
            <w:tag w:val="_PLD_fdf987702b2e46a4aaa1e3f20787a76c"/>
            <w:id w:val="1197273692"/>
          </w:sdtPr>
          <w:sdtContent>
            <w:tc>
              <w:tcPr>
                <w:tcW w:w="540" w:type="pct"/>
                <w:vMerge w:val="restart"/>
                <w:vAlign w:val="center"/>
              </w:tcPr>
              <w:p w14:paraId="597C1A99">
                <w:pPr>
                  <w:widowControl w:val="0"/>
                  <w:jc w:val="center"/>
                  <w:rPr>
                    <w:rFonts w:hint="eastAsia"/>
                    <w:szCs w:val="21"/>
                  </w:rPr>
                </w:pPr>
                <w:r>
                  <w:rPr>
                    <w:rFonts w:hint="eastAsia"/>
                    <w:szCs w:val="21"/>
                  </w:rPr>
                  <w:t>董事</w:t>
                </w:r>
              </w:p>
              <w:p w14:paraId="0915542D">
                <w:pPr>
                  <w:widowControl w:val="0"/>
                  <w:jc w:val="center"/>
                  <w:rPr>
                    <w:rFonts w:hint="eastAsia"/>
                    <w:szCs w:val="21"/>
                  </w:rPr>
                </w:pPr>
                <w:r>
                  <w:rPr>
                    <w:rFonts w:hint="eastAsia"/>
                    <w:szCs w:val="21"/>
                  </w:rPr>
                  <w:t>姓名</w:t>
                </w:r>
              </w:p>
            </w:tc>
          </w:sdtContent>
        </w:sdt>
        <w:sdt>
          <w:sdtPr>
            <w:tag w:val="_PLD_8c944f740a3a4784938038ab19e3a6ed"/>
            <w:id w:val="415825833"/>
          </w:sdtPr>
          <w:sdtContent>
            <w:tc>
              <w:tcPr>
                <w:tcW w:w="466" w:type="pct"/>
                <w:vMerge w:val="restart"/>
                <w:vAlign w:val="center"/>
              </w:tcPr>
              <w:p w14:paraId="124AE7BD">
                <w:pPr>
                  <w:widowControl w:val="0"/>
                  <w:jc w:val="center"/>
                  <w:rPr>
                    <w:rFonts w:hint="eastAsia"/>
                    <w:szCs w:val="21"/>
                  </w:rPr>
                </w:pPr>
                <w:r>
                  <w:rPr>
                    <w:szCs w:val="21"/>
                  </w:rPr>
                  <w:t>是否独立董事</w:t>
                </w:r>
              </w:p>
            </w:tc>
          </w:sdtContent>
        </w:sdt>
        <w:sdt>
          <w:sdtPr>
            <w:tag w:val="_PLD_41002b55426142459adadb76d790d586"/>
            <w:id w:val="1721173803"/>
          </w:sdtPr>
          <w:sdtContent>
            <w:tc>
              <w:tcPr>
                <w:tcW w:w="3294" w:type="pct"/>
                <w:gridSpan w:val="6"/>
                <w:vAlign w:val="center"/>
              </w:tcPr>
              <w:p w14:paraId="5EA909A3">
                <w:pPr>
                  <w:widowControl w:val="0"/>
                  <w:jc w:val="center"/>
                  <w:rPr>
                    <w:rFonts w:hint="eastAsia"/>
                    <w:szCs w:val="21"/>
                  </w:rPr>
                </w:pPr>
                <w:r>
                  <w:rPr>
                    <w:szCs w:val="21"/>
                  </w:rPr>
                  <w:t>参加董事会情况</w:t>
                </w:r>
              </w:p>
            </w:tc>
          </w:sdtContent>
        </w:sdt>
        <w:sdt>
          <w:sdtPr>
            <w:tag w:val="_PLD_a86ab0ba65874193bf46821cd6a13f4f"/>
            <w:id w:val="1130372703"/>
          </w:sdtPr>
          <w:sdtContent>
            <w:tc>
              <w:tcPr>
                <w:tcW w:w="697" w:type="pct"/>
                <w:vAlign w:val="center"/>
              </w:tcPr>
              <w:p w14:paraId="15E3931A">
                <w:pPr>
                  <w:widowControl w:val="0"/>
                  <w:jc w:val="center"/>
                  <w:rPr>
                    <w:rFonts w:hint="eastAsia"/>
                    <w:szCs w:val="21"/>
                  </w:rPr>
                </w:pPr>
                <w:r>
                  <w:rPr>
                    <w:szCs w:val="21"/>
                  </w:rPr>
                  <w:t>参加股东大会情况</w:t>
                </w:r>
              </w:p>
            </w:tc>
          </w:sdtContent>
        </w:sdt>
      </w:tr>
      <w:tr w14:paraId="67CA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540" w:type="pct"/>
            <w:vMerge w:val="continue"/>
          </w:tcPr>
          <w:p w14:paraId="4630BB97">
            <w:pPr>
              <w:widowControl w:val="0"/>
              <w:jc w:val="center"/>
              <w:rPr>
                <w:rFonts w:hint="eastAsia"/>
                <w:szCs w:val="21"/>
              </w:rPr>
            </w:pPr>
          </w:p>
        </w:tc>
        <w:tc>
          <w:tcPr>
            <w:tcW w:w="466" w:type="pct"/>
            <w:vMerge w:val="continue"/>
          </w:tcPr>
          <w:p w14:paraId="56995AEF">
            <w:pPr>
              <w:widowControl w:val="0"/>
              <w:jc w:val="center"/>
              <w:rPr>
                <w:rFonts w:hint="eastAsia"/>
                <w:szCs w:val="21"/>
              </w:rPr>
            </w:pPr>
          </w:p>
        </w:tc>
        <w:sdt>
          <w:sdtPr>
            <w:tag w:val="_PLD_1be3bc3a3d894e22b017b70a7c691233"/>
            <w:id w:val="1789390693"/>
          </w:sdtPr>
          <w:sdtContent>
            <w:tc>
              <w:tcPr>
                <w:tcW w:w="607" w:type="pct"/>
                <w:vAlign w:val="center"/>
              </w:tcPr>
              <w:p w14:paraId="54425CD0">
                <w:pPr>
                  <w:widowControl w:val="0"/>
                  <w:jc w:val="center"/>
                  <w:rPr>
                    <w:rFonts w:hint="eastAsia"/>
                    <w:szCs w:val="21"/>
                  </w:rPr>
                </w:pPr>
                <w:r>
                  <w:rPr>
                    <w:szCs w:val="21"/>
                  </w:rPr>
                  <w:t>本年应参加董事会次数</w:t>
                </w:r>
              </w:p>
            </w:tc>
          </w:sdtContent>
        </w:sdt>
        <w:sdt>
          <w:sdtPr>
            <w:tag w:val="_PLD_3e45fc9802f241cb8e17735983417e9b"/>
            <w:id w:val="1469402653"/>
          </w:sdtPr>
          <w:sdtContent>
            <w:tc>
              <w:tcPr>
                <w:tcW w:w="471" w:type="pct"/>
                <w:vAlign w:val="center"/>
              </w:tcPr>
              <w:p w14:paraId="10EF772D">
                <w:pPr>
                  <w:widowControl w:val="0"/>
                  <w:jc w:val="center"/>
                  <w:rPr>
                    <w:rFonts w:hint="eastAsia"/>
                    <w:szCs w:val="21"/>
                  </w:rPr>
                </w:pPr>
                <w:r>
                  <w:rPr>
                    <w:szCs w:val="21"/>
                  </w:rPr>
                  <w:t>亲自出席次数</w:t>
                </w:r>
              </w:p>
            </w:tc>
          </w:sdtContent>
        </w:sdt>
        <w:sdt>
          <w:sdtPr>
            <w:tag w:val="_PLD_5b2f1e699fe34def868fe8b765d768ba"/>
            <w:id w:val="332500760"/>
          </w:sdtPr>
          <w:sdtContent>
            <w:tc>
              <w:tcPr>
                <w:tcW w:w="534" w:type="pct"/>
                <w:vAlign w:val="center"/>
              </w:tcPr>
              <w:p w14:paraId="4DBBA422">
                <w:pPr>
                  <w:widowControl w:val="0"/>
                  <w:jc w:val="center"/>
                  <w:rPr>
                    <w:rFonts w:hint="eastAsia"/>
                    <w:szCs w:val="21"/>
                  </w:rPr>
                </w:pPr>
                <w:r>
                  <w:rPr>
                    <w:szCs w:val="21"/>
                  </w:rPr>
                  <w:t>以通讯方式参加次数</w:t>
                </w:r>
              </w:p>
            </w:tc>
          </w:sdtContent>
        </w:sdt>
        <w:sdt>
          <w:sdtPr>
            <w:tag w:val="_PLD_981a0cb863d94703a5482c1ca67d4cb5"/>
            <w:id w:val="-102654801"/>
          </w:sdtPr>
          <w:sdtContent>
            <w:tc>
              <w:tcPr>
                <w:tcW w:w="500" w:type="pct"/>
                <w:vAlign w:val="center"/>
              </w:tcPr>
              <w:p w14:paraId="32947B54">
                <w:pPr>
                  <w:widowControl w:val="0"/>
                  <w:jc w:val="center"/>
                  <w:rPr>
                    <w:rFonts w:hint="eastAsia"/>
                    <w:szCs w:val="21"/>
                  </w:rPr>
                </w:pPr>
                <w:r>
                  <w:rPr>
                    <w:szCs w:val="21"/>
                  </w:rPr>
                  <w:t>委托出席次数</w:t>
                </w:r>
              </w:p>
            </w:tc>
          </w:sdtContent>
        </w:sdt>
        <w:sdt>
          <w:sdtPr>
            <w:tag w:val="_PLD_e955143b8973461bb11aa6e64e6bb542"/>
            <w:id w:val="859784716"/>
          </w:sdtPr>
          <w:sdtContent>
            <w:tc>
              <w:tcPr>
                <w:tcW w:w="466" w:type="pct"/>
                <w:vAlign w:val="center"/>
              </w:tcPr>
              <w:p w14:paraId="054C0A3B">
                <w:pPr>
                  <w:widowControl w:val="0"/>
                  <w:jc w:val="center"/>
                  <w:rPr>
                    <w:rFonts w:hint="eastAsia"/>
                    <w:szCs w:val="21"/>
                  </w:rPr>
                </w:pPr>
                <w:r>
                  <w:rPr>
                    <w:szCs w:val="21"/>
                  </w:rPr>
                  <w:t>缺席</w:t>
                </w:r>
              </w:p>
              <w:p w14:paraId="51311C33">
                <w:pPr>
                  <w:widowControl w:val="0"/>
                  <w:jc w:val="center"/>
                  <w:rPr>
                    <w:rFonts w:hint="eastAsia"/>
                    <w:szCs w:val="21"/>
                  </w:rPr>
                </w:pPr>
                <w:r>
                  <w:rPr>
                    <w:szCs w:val="21"/>
                  </w:rPr>
                  <w:t>次数</w:t>
                </w:r>
              </w:p>
            </w:tc>
          </w:sdtContent>
        </w:sdt>
        <w:sdt>
          <w:sdtPr>
            <w:tag w:val="_PLD_c94de7a455d94af5b8ffe4cc736c4b46"/>
            <w:id w:val="-2094456538"/>
          </w:sdtPr>
          <w:sdtContent>
            <w:tc>
              <w:tcPr>
                <w:tcW w:w="713" w:type="pct"/>
                <w:vAlign w:val="center"/>
              </w:tcPr>
              <w:p w14:paraId="6413B527">
                <w:pPr>
                  <w:widowControl w:val="0"/>
                  <w:jc w:val="center"/>
                  <w:rPr>
                    <w:rFonts w:hint="eastAsia"/>
                    <w:szCs w:val="21"/>
                  </w:rPr>
                </w:pPr>
                <w:r>
                  <w:rPr>
                    <w:szCs w:val="21"/>
                  </w:rPr>
                  <w:t>是否连续两次未亲自参加会议</w:t>
                </w:r>
              </w:p>
            </w:tc>
          </w:sdtContent>
        </w:sdt>
        <w:sdt>
          <w:sdtPr>
            <w:tag w:val="_PLD_7f17c2a5ff9540709fafff9460b0756d"/>
            <w:id w:val="-284200950"/>
          </w:sdtPr>
          <w:sdtContent>
            <w:tc>
              <w:tcPr>
                <w:tcW w:w="697" w:type="pct"/>
                <w:vAlign w:val="center"/>
              </w:tcPr>
              <w:p w14:paraId="63199732">
                <w:pPr>
                  <w:widowControl w:val="0"/>
                  <w:jc w:val="center"/>
                  <w:rPr>
                    <w:rFonts w:hint="eastAsia"/>
                    <w:b/>
                    <w:szCs w:val="21"/>
                  </w:rPr>
                </w:pPr>
                <w:r>
                  <w:rPr>
                    <w:szCs w:val="21"/>
                  </w:rPr>
                  <w:t>出席股东大会的次数</w:t>
                </w:r>
              </w:p>
            </w:tc>
          </w:sdtContent>
        </w:sdt>
      </w:tr>
      <w:tr w14:paraId="17F1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56101CA2">
            <w:pPr>
              <w:widowControl w:val="0"/>
              <w:jc w:val="both"/>
              <w:rPr>
                <w:rFonts w:hint="eastAsia"/>
                <w:szCs w:val="21"/>
              </w:rPr>
            </w:pPr>
            <w:r>
              <w:t>夏前军</w:t>
            </w:r>
          </w:p>
        </w:tc>
        <w:sdt>
          <w:sdtPr>
            <w:rPr>
              <w:rFonts w:hint="eastAsia" w:ascii="Times New Roman" w:hAnsi="Times New Roman"/>
              <w:szCs w:val="21"/>
            </w:rPr>
            <w:alias w:val="董事参加董事会的出席情况明细-是否独立董事"/>
            <w:tag w:val="_GBC_8f65cf2d483747a58ee92c8a36ee6375"/>
            <w:id w:val="2084723428"/>
            <w:comboBox>
              <w:listItem w:displayText="是" w:value="true"/>
              <w:listItem w:displayText="否" w:value="false"/>
            </w:comboBox>
          </w:sdtPr>
          <w:sdtEndPr>
            <w:rPr>
              <w:rFonts w:hint="eastAsia" w:ascii="Times New Roman" w:hAnsi="Times New Roman"/>
              <w:szCs w:val="21"/>
            </w:rPr>
          </w:sdtEndPr>
          <w:sdtContent>
            <w:tc>
              <w:tcPr>
                <w:tcW w:w="466" w:type="pct"/>
                <w:vAlign w:val="center"/>
              </w:tcPr>
              <w:p w14:paraId="43275C93">
                <w:pPr>
                  <w:widowControl w:val="0"/>
                  <w:jc w:val="both"/>
                  <w:rPr>
                    <w:rFonts w:hint="eastAsia"/>
                    <w:szCs w:val="21"/>
                  </w:rPr>
                </w:pPr>
                <w:r>
                  <w:rPr>
                    <w:rFonts w:hint="eastAsia" w:ascii="Times New Roman" w:hAnsi="Times New Roman"/>
                    <w:szCs w:val="21"/>
                  </w:rPr>
                  <w:t>否</w:t>
                </w:r>
              </w:p>
            </w:tc>
          </w:sdtContent>
        </w:sdt>
        <w:tc>
          <w:tcPr>
            <w:tcW w:w="607" w:type="pct"/>
            <w:vAlign w:val="center"/>
          </w:tcPr>
          <w:p w14:paraId="5817588E">
            <w:pPr>
              <w:widowControl w:val="0"/>
              <w:jc w:val="right"/>
              <w:rPr>
                <w:rFonts w:hint="eastAsia"/>
                <w:szCs w:val="21"/>
              </w:rPr>
            </w:pPr>
            <w:r>
              <w:rPr>
                <w:rFonts w:hint="eastAsia"/>
                <w:szCs w:val="21"/>
              </w:rPr>
              <w:t>11</w:t>
            </w:r>
          </w:p>
        </w:tc>
        <w:tc>
          <w:tcPr>
            <w:tcW w:w="471" w:type="pct"/>
            <w:vAlign w:val="center"/>
          </w:tcPr>
          <w:p w14:paraId="12AD21AC">
            <w:pPr>
              <w:widowControl w:val="0"/>
              <w:jc w:val="right"/>
              <w:rPr>
                <w:rFonts w:hint="eastAsia"/>
                <w:szCs w:val="21"/>
              </w:rPr>
            </w:pPr>
            <w:r>
              <w:rPr>
                <w:rFonts w:hint="eastAsia"/>
                <w:szCs w:val="21"/>
              </w:rPr>
              <w:t>11</w:t>
            </w:r>
          </w:p>
        </w:tc>
        <w:tc>
          <w:tcPr>
            <w:tcW w:w="534" w:type="pct"/>
            <w:vAlign w:val="center"/>
          </w:tcPr>
          <w:p w14:paraId="16F16E0C">
            <w:pPr>
              <w:widowControl w:val="0"/>
              <w:jc w:val="right"/>
              <w:rPr>
                <w:rFonts w:hint="eastAsia"/>
                <w:szCs w:val="21"/>
              </w:rPr>
            </w:pPr>
            <w:r>
              <w:rPr>
                <w:rFonts w:hint="eastAsia"/>
                <w:szCs w:val="21"/>
              </w:rPr>
              <w:t>2</w:t>
            </w:r>
          </w:p>
        </w:tc>
        <w:tc>
          <w:tcPr>
            <w:tcW w:w="500" w:type="pct"/>
            <w:vAlign w:val="center"/>
          </w:tcPr>
          <w:p w14:paraId="47177C6E">
            <w:pPr>
              <w:widowControl w:val="0"/>
              <w:wordWrap w:val="0"/>
              <w:jc w:val="right"/>
              <w:rPr>
                <w:rFonts w:hint="eastAsia"/>
                <w:szCs w:val="21"/>
              </w:rPr>
            </w:pPr>
            <w:r>
              <w:rPr>
                <w:rFonts w:hint="eastAsia"/>
                <w:szCs w:val="21"/>
              </w:rPr>
              <w:t>0</w:t>
            </w:r>
          </w:p>
        </w:tc>
        <w:tc>
          <w:tcPr>
            <w:tcW w:w="466" w:type="pct"/>
            <w:vAlign w:val="center"/>
          </w:tcPr>
          <w:p w14:paraId="6B0D5908">
            <w:pPr>
              <w:widowControl w:val="0"/>
              <w:jc w:val="right"/>
              <w:rPr>
                <w:rFonts w:hint="eastAsia"/>
                <w:szCs w:val="21"/>
              </w:rPr>
            </w:pPr>
            <w:r>
              <w:rPr>
                <w:rFonts w:hint="eastAsia"/>
                <w:szCs w:val="21"/>
              </w:rPr>
              <w:t>0</w:t>
            </w:r>
          </w:p>
        </w:tc>
        <w:sdt>
          <w:sdtPr>
            <w:rPr>
              <w:rFonts w:hint="eastAsia" w:ascii="Times New Roman" w:hAnsi="Times New Roman"/>
              <w:szCs w:val="21"/>
            </w:rPr>
            <w:alias w:val="董事参加董事会的出席情况明细-是否连续两次未亲自参加会议"/>
            <w:tag w:val="_GBC_4748dc7c4f9b495f9d97d5c22a5e08e6"/>
            <w:id w:val="807128321"/>
            <w:comboBox>
              <w:listItem w:displayText="是" w:value="true"/>
              <w:listItem w:displayText="否" w:value="false"/>
            </w:comboBox>
          </w:sdtPr>
          <w:sdtEndPr>
            <w:rPr>
              <w:rFonts w:hint="eastAsia" w:ascii="Times New Roman" w:hAnsi="Times New Roman"/>
              <w:szCs w:val="21"/>
            </w:rPr>
          </w:sdtEndPr>
          <w:sdtContent>
            <w:tc>
              <w:tcPr>
                <w:tcW w:w="713" w:type="pct"/>
                <w:vAlign w:val="center"/>
              </w:tcPr>
              <w:p w14:paraId="7A1D7646">
                <w:pPr>
                  <w:widowControl w:val="0"/>
                  <w:jc w:val="right"/>
                  <w:rPr>
                    <w:rFonts w:hint="eastAsia"/>
                    <w:szCs w:val="21"/>
                  </w:rPr>
                </w:pPr>
                <w:r>
                  <w:rPr>
                    <w:rFonts w:hint="eastAsia" w:ascii="Times New Roman" w:hAnsi="Times New Roman"/>
                    <w:szCs w:val="21"/>
                  </w:rPr>
                  <w:t>否</w:t>
                </w:r>
              </w:p>
            </w:tc>
          </w:sdtContent>
        </w:sdt>
        <w:tc>
          <w:tcPr>
            <w:tcW w:w="697" w:type="pct"/>
            <w:vAlign w:val="center"/>
          </w:tcPr>
          <w:p w14:paraId="574F4AB2">
            <w:pPr>
              <w:widowControl w:val="0"/>
              <w:jc w:val="right"/>
              <w:rPr>
                <w:rFonts w:hint="eastAsia"/>
                <w:szCs w:val="21"/>
              </w:rPr>
            </w:pPr>
            <w:r>
              <w:rPr>
                <w:rFonts w:hint="eastAsia"/>
                <w:szCs w:val="21"/>
              </w:rPr>
              <w:t>3</w:t>
            </w:r>
          </w:p>
        </w:tc>
      </w:tr>
      <w:tr w14:paraId="7E1C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pct"/>
          </w:tcPr>
          <w:p w14:paraId="27817DA7">
            <w:pPr>
              <w:widowControl w:val="0"/>
              <w:jc w:val="both"/>
              <w:rPr>
                <w:rFonts w:hint="eastAsia"/>
                <w:szCs w:val="21"/>
              </w:rPr>
            </w:pPr>
            <w:r>
              <w:t>陈向东</w:t>
            </w:r>
          </w:p>
        </w:tc>
        <w:tc>
          <w:tcPr>
            <w:tcW w:w="466" w:type="pct"/>
            <w:vAlign w:val="center"/>
          </w:tcPr>
          <w:p w14:paraId="2DBE31D5">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748A7AC3">
            <w:pPr>
              <w:widowControl w:val="0"/>
              <w:jc w:val="right"/>
              <w:rPr>
                <w:rFonts w:hint="eastAsia"/>
                <w:szCs w:val="21"/>
              </w:rPr>
            </w:pPr>
            <w:r>
              <w:rPr>
                <w:rFonts w:hint="eastAsia"/>
                <w:szCs w:val="21"/>
              </w:rPr>
              <w:t>11</w:t>
            </w:r>
          </w:p>
        </w:tc>
        <w:tc>
          <w:tcPr>
            <w:tcW w:w="471" w:type="pct"/>
            <w:vAlign w:val="center"/>
          </w:tcPr>
          <w:p w14:paraId="7F94887E">
            <w:pPr>
              <w:widowControl w:val="0"/>
              <w:jc w:val="right"/>
              <w:rPr>
                <w:rFonts w:hint="eastAsia"/>
                <w:szCs w:val="21"/>
              </w:rPr>
            </w:pPr>
            <w:r>
              <w:rPr>
                <w:rFonts w:hint="eastAsia"/>
                <w:szCs w:val="21"/>
              </w:rPr>
              <w:t>11</w:t>
            </w:r>
          </w:p>
        </w:tc>
        <w:tc>
          <w:tcPr>
            <w:tcW w:w="534" w:type="pct"/>
            <w:vAlign w:val="center"/>
          </w:tcPr>
          <w:p w14:paraId="00453B25">
            <w:pPr>
              <w:widowControl w:val="0"/>
              <w:jc w:val="right"/>
              <w:rPr>
                <w:rFonts w:hint="eastAsia"/>
                <w:szCs w:val="21"/>
              </w:rPr>
            </w:pPr>
            <w:r>
              <w:rPr>
                <w:rFonts w:hint="eastAsia"/>
                <w:szCs w:val="21"/>
              </w:rPr>
              <w:t>5</w:t>
            </w:r>
          </w:p>
        </w:tc>
        <w:tc>
          <w:tcPr>
            <w:tcW w:w="500" w:type="pct"/>
            <w:vAlign w:val="center"/>
          </w:tcPr>
          <w:p w14:paraId="7AFAA72C">
            <w:pPr>
              <w:widowControl w:val="0"/>
              <w:jc w:val="right"/>
              <w:rPr>
                <w:rFonts w:hint="eastAsia"/>
                <w:szCs w:val="21"/>
              </w:rPr>
            </w:pPr>
            <w:r>
              <w:rPr>
                <w:rFonts w:hint="eastAsia"/>
                <w:szCs w:val="21"/>
              </w:rPr>
              <w:t>0</w:t>
            </w:r>
          </w:p>
        </w:tc>
        <w:tc>
          <w:tcPr>
            <w:tcW w:w="466" w:type="pct"/>
            <w:vAlign w:val="center"/>
          </w:tcPr>
          <w:p w14:paraId="7CEC2DAE">
            <w:pPr>
              <w:widowControl w:val="0"/>
              <w:jc w:val="right"/>
              <w:rPr>
                <w:rFonts w:hint="eastAsia"/>
                <w:szCs w:val="21"/>
              </w:rPr>
            </w:pPr>
            <w:r>
              <w:rPr>
                <w:rFonts w:hint="eastAsia"/>
                <w:szCs w:val="21"/>
              </w:rPr>
              <w:t>0</w:t>
            </w:r>
          </w:p>
        </w:tc>
        <w:tc>
          <w:tcPr>
            <w:tcW w:w="713" w:type="pct"/>
            <w:vAlign w:val="center"/>
          </w:tcPr>
          <w:p w14:paraId="0BA16D9E">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4AF6EE2F">
            <w:pPr>
              <w:widowControl w:val="0"/>
              <w:jc w:val="right"/>
              <w:rPr>
                <w:rFonts w:hint="eastAsia"/>
                <w:szCs w:val="21"/>
              </w:rPr>
            </w:pPr>
            <w:r>
              <w:rPr>
                <w:rFonts w:hint="eastAsia"/>
                <w:szCs w:val="21"/>
              </w:rPr>
              <w:t>3</w:t>
            </w:r>
          </w:p>
        </w:tc>
      </w:tr>
      <w:tr w14:paraId="3C7F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237096CF">
            <w:pPr>
              <w:widowControl w:val="0"/>
              <w:jc w:val="both"/>
              <w:rPr>
                <w:rFonts w:hint="eastAsia"/>
                <w:szCs w:val="21"/>
              </w:rPr>
            </w:pPr>
            <w:r>
              <w:t>杨大军</w:t>
            </w:r>
          </w:p>
        </w:tc>
        <w:tc>
          <w:tcPr>
            <w:tcW w:w="466" w:type="pct"/>
            <w:vAlign w:val="center"/>
          </w:tcPr>
          <w:p w14:paraId="31563D6B">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547F10E1">
            <w:pPr>
              <w:widowControl w:val="0"/>
              <w:jc w:val="right"/>
              <w:rPr>
                <w:rFonts w:hint="eastAsia"/>
                <w:szCs w:val="21"/>
              </w:rPr>
            </w:pPr>
            <w:r>
              <w:rPr>
                <w:rFonts w:hint="eastAsia"/>
                <w:szCs w:val="21"/>
              </w:rPr>
              <w:t>4</w:t>
            </w:r>
          </w:p>
        </w:tc>
        <w:tc>
          <w:tcPr>
            <w:tcW w:w="471" w:type="pct"/>
            <w:vAlign w:val="center"/>
          </w:tcPr>
          <w:p w14:paraId="29B76DDE">
            <w:pPr>
              <w:widowControl w:val="0"/>
              <w:jc w:val="right"/>
              <w:rPr>
                <w:rFonts w:hint="eastAsia"/>
                <w:szCs w:val="21"/>
              </w:rPr>
            </w:pPr>
            <w:r>
              <w:rPr>
                <w:rFonts w:hint="eastAsia"/>
                <w:szCs w:val="21"/>
              </w:rPr>
              <w:t>4</w:t>
            </w:r>
          </w:p>
        </w:tc>
        <w:tc>
          <w:tcPr>
            <w:tcW w:w="534" w:type="pct"/>
            <w:vAlign w:val="center"/>
          </w:tcPr>
          <w:p w14:paraId="7CFEA73A">
            <w:pPr>
              <w:widowControl w:val="0"/>
              <w:jc w:val="right"/>
              <w:rPr>
                <w:rFonts w:hint="eastAsia"/>
                <w:szCs w:val="21"/>
              </w:rPr>
            </w:pPr>
            <w:r>
              <w:rPr>
                <w:rFonts w:hint="eastAsia"/>
                <w:szCs w:val="21"/>
              </w:rPr>
              <w:t>3</w:t>
            </w:r>
          </w:p>
        </w:tc>
        <w:tc>
          <w:tcPr>
            <w:tcW w:w="500" w:type="pct"/>
            <w:vAlign w:val="center"/>
          </w:tcPr>
          <w:p w14:paraId="50624425">
            <w:pPr>
              <w:widowControl w:val="0"/>
              <w:jc w:val="right"/>
              <w:rPr>
                <w:rFonts w:hint="eastAsia"/>
                <w:szCs w:val="21"/>
              </w:rPr>
            </w:pPr>
            <w:r>
              <w:rPr>
                <w:rFonts w:hint="eastAsia"/>
                <w:szCs w:val="21"/>
              </w:rPr>
              <w:t>0</w:t>
            </w:r>
          </w:p>
        </w:tc>
        <w:tc>
          <w:tcPr>
            <w:tcW w:w="466" w:type="pct"/>
            <w:vAlign w:val="center"/>
          </w:tcPr>
          <w:p w14:paraId="64DD24D1">
            <w:pPr>
              <w:widowControl w:val="0"/>
              <w:jc w:val="right"/>
              <w:rPr>
                <w:rFonts w:hint="eastAsia"/>
                <w:szCs w:val="21"/>
              </w:rPr>
            </w:pPr>
            <w:r>
              <w:rPr>
                <w:rFonts w:hint="eastAsia"/>
                <w:szCs w:val="21"/>
              </w:rPr>
              <w:t>0</w:t>
            </w:r>
          </w:p>
        </w:tc>
        <w:tc>
          <w:tcPr>
            <w:tcW w:w="713" w:type="pct"/>
            <w:vAlign w:val="center"/>
          </w:tcPr>
          <w:p w14:paraId="12DA5CEA">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5E2B4191">
            <w:pPr>
              <w:widowControl w:val="0"/>
              <w:jc w:val="right"/>
              <w:rPr>
                <w:rFonts w:hint="eastAsia"/>
                <w:szCs w:val="21"/>
              </w:rPr>
            </w:pPr>
            <w:r>
              <w:rPr>
                <w:rFonts w:hint="eastAsia"/>
                <w:szCs w:val="21"/>
              </w:rPr>
              <w:t>2</w:t>
            </w:r>
          </w:p>
        </w:tc>
      </w:tr>
      <w:tr w14:paraId="70D7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77C3794D">
            <w:pPr>
              <w:widowControl w:val="0"/>
              <w:jc w:val="both"/>
              <w:rPr>
                <w:rFonts w:hint="eastAsia"/>
                <w:szCs w:val="21"/>
              </w:rPr>
            </w:pPr>
            <w:r>
              <w:t>史俊龙</w:t>
            </w:r>
          </w:p>
        </w:tc>
        <w:tc>
          <w:tcPr>
            <w:tcW w:w="466" w:type="pct"/>
            <w:vAlign w:val="center"/>
          </w:tcPr>
          <w:p w14:paraId="21117C41">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36D89810">
            <w:pPr>
              <w:widowControl w:val="0"/>
              <w:jc w:val="right"/>
              <w:rPr>
                <w:rFonts w:hint="eastAsia"/>
                <w:szCs w:val="21"/>
              </w:rPr>
            </w:pPr>
            <w:r>
              <w:rPr>
                <w:rFonts w:hint="eastAsia"/>
                <w:szCs w:val="21"/>
              </w:rPr>
              <w:t>4</w:t>
            </w:r>
          </w:p>
        </w:tc>
        <w:tc>
          <w:tcPr>
            <w:tcW w:w="471" w:type="pct"/>
            <w:vAlign w:val="center"/>
          </w:tcPr>
          <w:p w14:paraId="2E4E7E79">
            <w:pPr>
              <w:widowControl w:val="0"/>
              <w:jc w:val="right"/>
              <w:rPr>
                <w:rFonts w:hint="eastAsia"/>
                <w:szCs w:val="21"/>
              </w:rPr>
            </w:pPr>
            <w:r>
              <w:rPr>
                <w:rFonts w:hint="eastAsia"/>
                <w:szCs w:val="21"/>
              </w:rPr>
              <w:t>4</w:t>
            </w:r>
          </w:p>
        </w:tc>
        <w:tc>
          <w:tcPr>
            <w:tcW w:w="534" w:type="pct"/>
            <w:vAlign w:val="center"/>
          </w:tcPr>
          <w:p w14:paraId="1456A793">
            <w:pPr>
              <w:widowControl w:val="0"/>
              <w:jc w:val="right"/>
              <w:rPr>
                <w:rFonts w:hint="eastAsia"/>
                <w:szCs w:val="21"/>
              </w:rPr>
            </w:pPr>
            <w:r>
              <w:rPr>
                <w:rFonts w:hint="eastAsia"/>
                <w:szCs w:val="21"/>
              </w:rPr>
              <w:t>3</w:t>
            </w:r>
          </w:p>
        </w:tc>
        <w:tc>
          <w:tcPr>
            <w:tcW w:w="500" w:type="pct"/>
            <w:vAlign w:val="center"/>
          </w:tcPr>
          <w:p w14:paraId="5B676E0B">
            <w:pPr>
              <w:widowControl w:val="0"/>
              <w:jc w:val="right"/>
              <w:rPr>
                <w:rFonts w:hint="eastAsia"/>
                <w:szCs w:val="21"/>
              </w:rPr>
            </w:pPr>
            <w:r>
              <w:rPr>
                <w:rFonts w:hint="eastAsia"/>
                <w:szCs w:val="21"/>
              </w:rPr>
              <w:t>0</w:t>
            </w:r>
          </w:p>
        </w:tc>
        <w:tc>
          <w:tcPr>
            <w:tcW w:w="466" w:type="pct"/>
            <w:vAlign w:val="center"/>
          </w:tcPr>
          <w:p w14:paraId="29F58C51">
            <w:pPr>
              <w:widowControl w:val="0"/>
              <w:jc w:val="right"/>
              <w:rPr>
                <w:rFonts w:hint="eastAsia"/>
                <w:szCs w:val="21"/>
              </w:rPr>
            </w:pPr>
            <w:r>
              <w:rPr>
                <w:rFonts w:hint="eastAsia"/>
                <w:szCs w:val="21"/>
              </w:rPr>
              <w:t>0</w:t>
            </w:r>
          </w:p>
        </w:tc>
        <w:tc>
          <w:tcPr>
            <w:tcW w:w="713" w:type="pct"/>
            <w:vAlign w:val="center"/>
          </w:tcPr>
          <w:p w14:paraId="4C14BD9E">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52BB2718">
            <w:pPr>
              <w:widowControl w:val="0"/>
              <w:jc w:val="right"/>
              <w:rPr>
                <w:rFonts w:hint="eastAsia"/>
                <w:szCs w:val="21"/>
              </w:rPr>
            </w:pPr>
            <w:r>
              <w:rPr>
                <w:rFonts w:hint="eastAsia"/>
                <w:szCs w:val="21"/>
              </w:rPr>
              <w:t>2</w:t>
            </w:r>
          </w:p>
        </w:tc>
      </w:tr>
      <w:tr w14:paraId="5549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1E5EFF1C">
            <w:pPr>
              <w:widowControl w:val="0"/>
              <w:jc w:val="both"/>
              <w:rPr>
                <w:rFonts w:hint="eastAsia"/>
                <w:szCs w:val="21"/>
              </w:rPr>
            </w:pPr>
            <w:r>
              <w:rPr>
                <w:rFonts w:hint="eastAsia"/>
                <w:szCs w:val="21"/>
              </w:rPr>
              <w:t>邱卫兵</w:t>
            </w:r>
          </w:p>
        </w:tc>
        <w:tc>
          <w:tcPr>
            <w:tcW w:w="466" w:type="pct"/>
            <w:vAlign w:val="center"/>
          </w:tcPr>
          <w:p w14:paraId="3D6D9C21">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310B785A">
            <w:pPr>
              <w:widowControl w:val="0"/>
              <w:jc w:val="right"/>
              <w:rPr>
                <w:rFonts w:hint="eastAsia"/>
                <w:szCs w:val="21"/>
              </w:rPr>
            </w:pPr>
            <w:r>
              <w:rPr>
                <w:rFonts w:hint="eastAsia"/>
                <w:szCs w:val="21"/>
              </w:rPr>
              <w:t>0</w:t>
            </w:r>
          </w:p>
        </w:tc>
        <w:tc>
          <w:tcPr>
            <w:tcW w:w="471" w:type="pct"/>
            <w:vAlign w:val="center"/>
          </w:tcPr>
          <w:p w14:paraId="2014F0C9">
            <w:pPr>
              <w:widowControl w:val="0"/>
              <w:jc w:val="right"/>
              <w:rPr>
                <w:rFonts w:hint="eastAsia"/>
                <w:szCs w:val="21"/>
              </w:rPr>
            </w:pPr>
            <w:r>
              <w:rPr>
                <w:rFonts w:hint="eastAsia"/>
                <w:szCs w:val="21"/>
              </w:rPr>
              <w:t>0</w:t>
            </w:r>
          </w:p>
        </w:tc>
        <w:tc>
          <w:tcPr>
            <w:tcW w:w="534" w:type="pct"/>
            <w:vAlign w:val="center"/>
          </w:tcPr>
          <w:p w14:paraId="5E660B8F">
            <w:pPr>
              <w:widowControl w:val="0"/>
              <w:jc w:val="right"/>
              <w:rPr>
                <w:rFonts w:hint="eastAsia"/>
                <w:szCs w:val="21"/>
              </w:rPr>
            </w:pPr>
            <w:r>
              <w:rPr>
                <w:rFonts w:hint="eastAsia"/>
                <w:szCs w:val="21"/>
              </w:rPr>
              <w:t>0</w:t>
            </w:r>
          </w:p>
        </w:tc>
        <w:tc>
          <w:tcPr>
            <w:tcW w:w="500" w:type="pct"/>
            <w:vAlign w:val="center"/>
          </w:tcPr>
          <w:p w14:paraId="0BD6642A">
            <w:pPr>
              <w:widowControl w:val="0"/>
              <w:jc w:val="right"/>
              <w:rPr>
                <w:rFonts w:hint="eastAsia"/>
                <w:szCs w:val="21"/>
              </w:rPr>
            </w:pPr>
            <w:r>
              <w:rPr>
                <w:rFonts w:hint="eastAsia"/>
                <w:szCs w:val="21"/>
              </w:rPr>
              <w:t>0</w:t>
            </w:r>
          </w:p>
        </w:tc>
        <w:tc>
          <w:tcPr>
            <w:tcW w:w="466" w:type="pct"/>
            <w:vAlign w:val="center"/>
          </w:tcPr>
          <w:p w14:paraId="3ACD525C">
            <w:pPr>
              <w:widowControl w:val="0"/>
              <w:jc w:val="right"/>
              <w:rPr>
                <w:rFonts w:hint="eastAsia"/>
                <w:szCs w:val="21"/>
              </w:rPr>
            </w:pPr>
            <w:r>
              <w:rPr>
                <w:rFonts w:hint="eastAsia"/>
                <w:szCs w:val="21"/>
              </w:rPr>
              <w:t>0</w:t>
            </w:r>
          </w:p>
        </w:tc>
        <w:tc>
          <w:tcPr>
            <w:tcW w:w="713" w:type="pct"/>
            <w:vAlign w:val="center"/>
          </w:tcPr>
          <w:p w14:paraId="71DD689D">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56033D07">
            <w:pPr>
              <w:widowControl w:val="0"/>
              <w:jc w:val="right"/>
              <w:rPr>
                <w:rFonts w:hint="eastAsia"/>
                <w:szCs w:val="21"/>
              </w:rPr>
            </w:pPr>
            <w:r>
              <w:rPr>
                <w:rFonts w:hint="eastAsia"/>
                <w:szCs w:val="21"/>
              </w:rPr>
              <w:t>1</w:t>
            </w:r>
          </w:p>
        </w:tc>
      </w:tr>
      <w:tr w14:paraId="030B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729A4956">
            <w:pPr>
              <w:widowControl w:val="0"/>
              <w:jc w:val="both"/>
              <w:rPr>
                <w:rFonts w:hint="eastAsia"/>
                <w:szCs w:val="21"/>
              </w:rPr>
            </w:pPr>
            <w:r>
              <w:t>徐坚</w:t>
            </w:r>
          </w:p>
        </w:tc>
        <w:tc>
          <w:tcPr>
            <w:tcW w:w="466" w:type="pct"/>
            <w:vAlign w:val="center"/>
          </w:tcPr>
          <w:p w14:paraId="23FC4E85">
            <w:pPr>
              <w:widowControl w:val="0"/>
              <w:jc w:val="both"/>
              <w:rPr>
                <w:rFonts w:ascii="Times New Roman" w:hAnsi="Times New Roman"/>
                <w:szCs w:val="21"/>
              </w:rPr>
            </w:pPr>
            <w:r>
              <w:rPr>
                <w:rFonts w:hint="eastAsia" w:ascii="Times New Roman" w:hAnsi="Times New Roman"/>
                <w:szCs w:val="21"/>
              </w:rPr>
              <w:t>是</w:t>
            </w:r>
          </w:p>
        </w:tc>
        <w:tc>
          <w:tcPr>
            <w:tcW w:w="607" w:type="pct"/>
            <w:vAlign w:val="center"/>
          </w:tcPr>
          <w:p w14:paraId="215D1BE9">
            <w:pPr>
              <w:widowControl w:val="0"/>
              <w:jc w:val="right"/>
              <w:rPr>
                <w:rFonts w:hint="eastAsia"/>
                <w:szCs w:val="21"/>
              </w:rPr>
            </w:pPr>
            <w:r>
              <w:rPr>
                <w:rFonts w:hint="eastAsia"/>
                <w:szCs w:val="21"/>
              </w:rPr>
              <w:t>4</w:t>
            </w:r>
          </w:p>
        </w:tc>
        <w:tc>
          <w:tcPr>
            <w:tcW w:w="471" w:type="pct"/>
            <w:vAlign w:val="center"/>
          </w:tcPr>
          <w:p w14:paraId="0C047A16">
            <w:pPr>
              <w:widowControl w:val="0"/>
              <w:jc w:val="right"/>
              <w:rPr>
                <w:rFonts w:hint="eastAsia"/>
                <w:szCs w:val="21"/>
              </w:rPr>
            </w:pPr>
            <w:r>
              <w:rPr>
                <w:rFonts w:hint="eastAsia"/>
                <w:szCs w:val="21"/>
              </w:rPr>
              <w:t>4</w:t>
            </w:r>
          </w:p>
        </w:tc>
        <w:tc>
          <w:tcPr>
            <w:tcW w:w="534" w:type="pct"/>
            <w:vAlign w:val="center"/>
          </w:tcPr>
          <w:p w14:paraId="22CC5990">
            <w:pPr>
              <w:widowControl w:val="0"/>
              <w:jc w:val="right"/>
              <w:rPr>
                <w:rFonts w:hint="eastAsia"/>
                <w:szCs w:val="21"/>
              </w:rPr>
            </w:pPr>
            <w:r>
              <w:rPr>
                <w:rFonts w:hint="eastAsia"/>
                <w:szCs w:val="21"/>
              </w:rPr>
              <w:t>4</w:t>
            </w:r>
          </w:p>
        </w:tc>
        <w:tc>
          <w:tcPr>
            <w:tcW w:w="500" w:type="pct"/>
            <w:vAlign w:val="center"/>
          </w:tcPr>
          <w:p w14:paraId="1494AC4D">
            <w:pPr>
              <w:widowControl w:val="0"/>
              <w:jc w:val="right"/>
              <w:rPr>
                <w:rFonts w:hint="eastAsia"/>
                <w:szCs w:val="21"/>
              </w:rPr>
            </w:pPr>
            <w:r>
              <w:rPr>
                <w:rFonts w:hint="eastAsia"/>
                <w:szCs w:val="21"/>
              </w:rPr>
              <w:t>0</w:t>
            </w:r>
          </w:p>
        </w:tc>
        <w:tc>
          <w:tcPr>
            <w:tcW w:w="466" w:type="pct"/>
            <w:vAlign w:val="center"/>
          </w:tcPr>
          <w:p w14:paraId="26A2C849">
            <w:pPr>
              <w:widowControl w:val="0"/>
              <w:jc w:val="right"/>
              <w:rPr>
                <w:rFonts w:hint="eastAsia"/>
                <w:szCs w:val="21"/>
              </w:rPr>
            </w:pPr>
            <w:r>
              <w:rPr>
                <w:rFonts w:hint="eastAsia"/>
                <w:szCs w:val="21"/>
              </w:rPr>
              <w:t>0</w:t>
            </w:r>
          </w:p>
        </w:tc>
        <w:tc>
          <w:tcPr>
            <w:tcW w:w="713" w:type="pct"/>
            <w:vAlign w:val="center"/>
          </w:tcPr>
          <w:p w14:paraId="4DEA68D8">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34C4F585">
            <w:pPr>
              <w:widowControl w:val="0"/>
              <w:jc w:val="right"/>
              <w:rPr>
                <w:rFonts w:hint="eastAsia"/>
                <w:szCs w:val="21"/>
              </w:rPr>
            </w:pPr>
            <w:r>
              <w:rPr>
                <w:rFonts w:hint="eastAsia"/>
                <w:szCs w:val="21"/>
              </w:rPr>
              <w:t>2</w:t>
            </w:r>
          </w:p>
        </w:tc>
      </w:tr>
      <w:tr w14:paraId="3C0A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74118DA5">
            <w:pPr>
              <w:widowControl w:val="0"/>
              <w:jc w:val="both"/>
              <w:rPr>
                <w:rFonts w:hint="eastAsia"/>
                <w:szCs w:val="21"/>
              </w:rPr>
            </w:pPr>
            <w:r>
              <w:t>张继德</w:t>
            </w:r>
          </w:p>
        </w:tc>
        <w:tc>
          <w:tcPr>
            <w:tcW w:w="466" w:type="pct"/>
            <w:vAlign w:val="center"/>
          </w:tcPr>
          <w:p w14:paraId="6073D7F2">
            <w:pPr>
              <w:widowControl w:val="0"/>
              <w:jc w:val="both"/>
              <w:rPr>
                <w:rFonts w:ascii="Times New Roman" w:hAnsi="Times New Roman"/>
                <w:szCs w:val="21"/>
              </w:rPr>
            </w:pPr>
            <w:r>
              <w:rPr>
                <w:rFonts w:hint="eastAsia" w:ascii="Times New Roman" w:hAnsi="Times New Roman"/>
                <w:szCs w:val="21"/>
              </w:rPr>
              <w:t>是</w:t>
            </w:r>
          </w:p>
        </w:tc>
        <w:tc>
          <w:tcPr>
            <w:tcW w:w="607" w:type="pct"/>
            <w:vAlign w:val="center"/>
          </w:tcPr>
          <w:p w14:paraId="57304A23">
            <w:pPr>
              <w:widowControl w:val="0"/>
              <w:jc w:val="right"/>
              <w:rPr>
                <w:rFonts w:hint="eastAsia"/>
                <w:szCs w:val="21"/>
              </w:rPr>
            </w:pPr>
            <w:r>
              <w:rPr>
                <w:rFonts w:hint="eastAsia"/>
                <w:szCs w:val="21"/>
              </w:rPr>
              <w:t>11</w:t>
            </w:r>
          </w:p>
        </w:tc>
        <w:tc>
          <w:tcPr>
            <w:tcW w:w="471" w:type="pct"/>
            <w:vAlign w:val="center"/>
          </w:tcPr>
          <w:p w14:paraId="7298F7C7">
            <w:pPr>
              <w:widowControl w:val="0"/>
              <w:jc w:val="right"/>
              <w:rPr>
                <w:rFonts w:hint="eastAsia"/>
                <w:szCs w:val="21"/>
              </w:rPr>
            </w:pPr>
            <w:r>
              <w:rPr>
                <w:rFonts w:hint="eastAsia"/>
                <w:szCs w:val="21"/>
              </w:rPr>
              <w:t>11</w:t>
            </w:r>
          </w:p>
        </w:tc>
        <w:tc>
          <w:tcPr>
            <w:tcW w:w="534" w:type="pct"/>
            <w:vAlign w:val="center"/>
          </w:tcPr>
          <w:p w14:paraId="7166900A">
            <w:pPr>
              <w:widowControl w:val="0"/>
              <w:jc w:val="right"/>
              <w:rPr>
                <w:rFonts w:hint="eastAsia"/>
                <w:szCs w:val="21"/>
              </w:rPr>
            </w:pPr>
            <w:r>
              <w:rPr>
                <w:rFonts w:hint="eastAsia"/>
                <w:szCs w:val="21"/>
              </w:rPr>
              <w:t>5</w:t>
            </w:r>
          </w:p>
        </w:tc>
        <w:tc>
          <w:tcPr>
            <w:tcW w:w="500" w:type="pct"/>
            <w:vAlign w:val="center"/>
          </w:tcPr>
          <w:p w14:paraId="06B0CE7E">
            <w:pPr>
              <w:widowControl w:val="0"/>
              <w:jc w:val="right"/>
              <w:rPr>
                <w:rFonts w:hint="eastAsia"/>
                <w:szCs w:val="21"/>
              </w:rPr>
            </w:pPr>
            <w:r>
              <w:rPr>
                <w:rFonts w:hint="eastAsia"/>
                <w:szCs w:val="21"/>
              </w:rPr>
              <w:t>0</w:t>
            </w:r>
          </w:p>
        </w:tc>
        <w:tc>
          <w:tcPr>
            <w:tcW w:w="466" w:type="pct"/>
            <w:vAlign w:val="center"/>
          </w:tcPr>
          <w:p w14:paraId="47EE58D1">
            <w:pPr>
              <w:widowControl w:val="0"/>
              <w:jc w:val="right"/>
              <w:rPr>
                <w:rFonts w:hint="eastAsia"/>
                <w:szCs w:val="21"/>
              </w:rPr>
            </w:pPr>
            <w:r>
              <w:rPr>
                <w:rFonts w:hint="eastAsia"/>
                <w:szCs w:val="21"/>
              </w:rPr>
              <w:t>0</w:t>
            </w:r>
          </w:p>
        </w:tc>
        <w:tc>
          <w:tcPr>
            <w:tcW w:w="713" w:type="pct"/>
            <w:vAlign w:val="center"/>
          </w:tcPr>
          <w:p w14:paraId="1DD227BD">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224B4106">
            <w:pPr>
              <w:widowControl w:val="0"/>
              <w:jc w:val="right"/>
              <w:rPr>
                <w:rFonts w:hint="eastAsia"/>
                <w:szCs w:val="21"/>
              </w:rPr>
            </w:pPr>
            <w:r>
              <w:rPr>
                <w:rFonts w:hint="eastAsia"/>
                <w:szCs w:val="21"/>
              </w:rPr>
              <w:t>3</w:t>
            </w:r>
          </w:p>
        </w:tc>
      </w:tr>
      <w:tr w14:paraId="59C4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tcPr>
          <w:p w14:paraId="7091A92C">
            <w:pPr>
              <w:widowControl w:val="0"/>
              <w:jc w:val="both"/>
              <w:rPr>
                <w:rFonts w:hint="eastAsia"/>
                <w:szCs w:val="21"/>
              </w:rPr>
            </w:pPr>
            <w:r>
              <w:t>卢业虎</w:t>
            </w:r>
          </w:p>
        </w:tc>
        <w:tc>
          <w:tcPr>
            <w:tcW w:w="466" w:type="pct"/>
            <w:vAlign w:val="center"/>
          </w:tcPr>
          <w:p w14:paraId="1F13F446">
            <w:pPr>
              <w:widowControl w:val="0"/>
              <w:jc w:val="both"/>
              <w:rPr>
                <w:rFonts w:ascii="Times New Roman" w:hAnsi="Times New Roman"/>
                <w:szCs w:val="21"/>
              </w:rPr>
            </w:pPr>
            <w:r>
              <w:rPr>
                <w:rFonts w:hint="eastAsia" w:ascii="Times New Roman" w:hAnsi="Times New Roman"/>
                <w:szCs w:val="21"/>
              </w:rPr>
              <w:t>是</w:t>
            </w:r>
          </w:p>
        </w:tc>
        <w:tc>
          <w:tcPr>
            <w:tcW w:w="607" w:type="pct"/>
            <w:vAlign w:val="center"/>
          </w:tcPr>
          <w:p w14:paraId="5B8EDB7F">
            <w:pPr>
              <w:widowControl w:val="0"/>
              <w:jc w:val="right"/>
              <w:rPr>
                <w:rFonts w:hint="eastAsia"/>
                <w:szCs w:val="21"/>
              </w:rPr>
            </w:pPr>
            <w:r>
              <w:rPr>
                <w:rFonts w:hint="eastAsia"/>
                <w:szCs w:val="21"/>
              </w:rPr>
              <w:t>4</w:t>
            </w:r>
          </w:p>
        </w:tc>
        <w:tc>
          <w:tcPr>
            <w:tcW w:w="471" w:type="pct"/>
            <w:vAlign w:val="center"/>
          </w:tcPr>
          <w:p w14:paraId="12878E93">
            <w:pPr>
              <w:widowControl w:val="0"/>
              <w:jc w:val="right"/>
              <w:rPr>
                <w:rFonts w:hint="eastAsia"/>
                <w:szCs w:val="21"/>
              </w:rPr>
            </w:pPr>
            <w:r>
              <w:rPr>
                <w:rFonts w:hint="eastAsia"/>
                <w:szCs w:val="21"/>
              </w:rPr>
              <w:t>4</w:t>
            </w:r>
          </w:p>
        </w:tc>
        <w:tc>
          <w:tcPr>
            <w:tcW w:w="534" w:type="pct"/>
            <w:vAlign w:val="center"/>
          </w:tcPr>
          <w:p w14:paraId="75756568">
            <w:pPr>
              <w:widowControl w:val="0"/>
              <w:jc w:val="right"/>
              <w:rPr>
                <w:rFonts w:hint="eastAsia"/>
                <w:szCs w:val="21"/>
              </w:rPr>
            </w:pPr>
            <w:r>
              <w:rPr>
                <w:rFonts w:hint="eastAsia"/>
                <w:szCs w:val="21"/>
              </w:rPr>
              <w:t>3</w:t>
            </w:r>
          </w:p>
        </w:tc>
        <w:tc>
          <w:tcPr>
            <w:tcW w:w="500" w:type="pct"/>
            <w:vAlign w:val="center"/>
          </w:tcPr>
          <w:p w14:paraId="33C035FA">
            <w:pPr>
              <w:widowControl w:val="0"/>
              <w:jc w:val="right"/>
              <w:rPr>
                <w:rFonts w:hint="eastAsia"/>
                <w:szCs w:val="21"/>
              </w:rPr>
            </w:pPr>
            <w:r>
              <w:rPr>
                <w:rFonts w:hint="eastAsia"/>
                <w:szCs w:val="21"/>
              </w:rPr>
              <w:t>0</w:t>
            </w:r>
          </w:p>
        </w:tc>
        <w:tc>
          <w:tcPr>
            <w:tcW w:w="466" w:type="pct"/>
            <w:vAlign w:val="center"/>
          </w:tcPr>
          <w:p w14:paraId="6FE38093">
            <w:pPr>
              <w:widowControl w:val="0"/>
              <w:jc w:val="right"/>
              <w:rPr>
                <w:rFonts w:hint="eastAsia"/>
                <w:szCs w:val="21"/>
              </w:rPr>
            </w:pPr>
            <w:r>
              <w:rPr>
                <w:rFonts w:hint="eastAsia"/>
                <w:szCs w:val="21"/>
              </w:rPr>
              <w:t>0</w:t>
            </w:r>
          </w:p>
        </w:tc>
        <w:tc>
          <w:tcPr>
            <w:tcW w:w="713" w:type="pct"/>
            <w:vAlign w:val="center"/>
          </w:tcPr>
          <w:p w14:paraId="05C86F8E">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756C60A4">
            <w:pPr>
              <w:widowControl w:val="0"/>
              <w:jc w:val="right"/>
              <w:rPr>
                <w:rFonts w:hint="eastAsia"/>
                <w:szCs w:val="21"/>
              </w:rPr>
            </w:pPr>
            <w:r>
              <w:rPr>
                <w:rFonts w:hint="eastAsia"/>
                <w:szCs w:val="21"/>
              </w:rPr>
              <w:t>2</w:t>
            </w:r>
          </w:p>
        </w:tc>
      </w:tr>
      <w:tr w14:paraId="2288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vAlign w:val="center"/>
          </w:tcPr>
          <w:p w14:paraId="5FA63C78">
            <w:pPr>
              <w:widowControl w:val="0"/>
              <w:jc w:val="both"/>
              <w:rPr>
                <w:rFonts w:hint="eastAsia"/>
                <w:szCs w:val="21"/>
              </w:rPr>
            </w:pPr>
            <w:r>
              <w:rPr>
                <w:rFonts w:hint="eastAsia"/>
                <w:szCs w:val="21"/>
              </w:rPr>
              <w:t>王学柱</w:t>
            </w:r>
          </w:p>
        </w:tc>
        <w:tc>
          <w:tcPr>
            <w:tcW w:w="466" w:type="pct"/>
            <w:vAlign w:val="center"/>
          </w:tcPr>
          <w:p w14:paraId="076AB3F2">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2385F10E">
            <w:pPr>
              <w:widowControl w:val="0"/>
              <w:jc w:val="right"/>
              <w:rPr>
                <w:rFonts w:hint="eastAsia"/>
                <w:szCs w:val="21"/>
              </w:rPr>
            </w:pPr>
            <w:r>
              <w:rPr>
                <w:rFonts w:hint="eastAsia"/>
                <w:szCs w:val="21"/>
              </w:rPr>
              <w:t>0</w:t>
            </w:r>
          </w:p>
        </w:tc>
        <w:tc>
          <w:tcPr>
            <w:tcW w:w="471" w:type="pct"/>
            <w:vAlign w:val="center"/>
          </w:tcPr>
          <w:p w14:paraId="647D6B05">
            <w:pPr>
              <w:widowControl w:val="0"/>
              <w:jc w:val="right"/>
              <w:rPr>
                <w:rFonts w:hint="eastAsia"/>
                <w:szCs w:val="21"/>
              </w:rPr>
            </w:pPr>
            <w:r>
              <w:rPr>
                <w:rFonts w:hint="eastAsia"/>
                <w:szCs w:val="21"/>
              </w:rPr>
              <w:t>0</w:t>
            </w:r>
          </w:p>
        </w:tc>
        <w:tc>
          <w:tcPr>
            <w:tcW w:w="534" w:type="pct"/>
            <w:vAlign w:val="center"/>
          </w:tcPr>
          <w:p w14:paraId="3A7F7CDA">
            <w:pPr>
              <w:widowControl w:val="0"/>
              <w:jc w:val="right"/>
              <w:rPr>
                <w:rFonts w:hint="eastAsia"/>
                <w:szCs w:val="21"/>
              </w:rPr>
            </w:pPr>
            <w:r>
              <w:rPr>
                <w:rFonts w:hint="eastAsia"/>
                <w:szCs w:val="21"/>
              </w:rPr>
              <w:t>0</w:t>
            </w:r>
          </w:p>
        </w:tc>
        <w:tc>
          <w:tcPr>
            <w:tcW w:w="500" w:type="pct"/>
            <w:vAlign w:val="center"/>
          </w:tcPr>
          <w:p w14:paraId="47E58F76">
            <w:pPr>
              <w:widowControl w:val="0"/>
              <w:jc w:val="right"/>
              <w:rPr>
                <w:rFonts w:hint="eastAsia"/>
                <w:szCs w:val="21"/>
              </w:rPr>
            </w:pPr>
            <w:r>
              <w:rPr>
                <w:rFonts w:hint="eastAsia"/>
                <w:szCs w:val="21"/>
              </w:rPr>
              <w:t>0</w:t>
            </w:r>
          </w:p>
        </w:tc>
        <w:tc>
          <w:tcPr>
            <w:tcW w:w="466" w:type="pct"/>
            <w:vAlign w:val="center"/>
          </w:tcPr>
          <w:p w14:paraId="4CBD7AA8">
            <w:pPr>
              <w:widowControl w:val="0"/>
              <w:jc w:val="right"/>
              <w:rPr>
                <w:rFonts w:hint="eastAsia"/>
                <w:szCs w:val="21"/>
              </w:rPr>
            </w:pPr>
            <w:r>
              <w:rPr>
                <w:rFonts w:hint="eastAsia"/>
                <w:szCs w:val="21"/>
              </w:rPr>
              <w:t>0</w:t>
            </w:r>
          </w:p>
        </w:tc>
        <w:tc>
          <w:tcPr>
            <w:tcW w:w="713" w:type="pct"/>
            <w:vAlign w:val="center"/>
          </w:tcPr>
          <w:p w14:paraId="1C17623D">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48208485">
            <w:pPr>
              <w:widowControl w:val="0"/>
              <w:jc w:val="right"/>
              <w:rPr>
                <w:rFonts w:hint="eastAsia"/>
                <w:szCs w:val="21"/>
              </w:rPr>
            </w:pPr>
            <w:r>
              <w:rPr>
                <w:rFonts w:hint="eastAsia"/>
                <w:szCs w:val="21"/>
              </w:rPr>
              <w:t>0</w:t>
            </w:r>
          </w:p>
        </w:tc>
      </w:tr>
      <w:tr w14:paraId="2CF1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vAlign w:val="center"/>
          </w:tcPr>
          <w:p w14:paraId="7020594C">
            <w:pPr>
              <w:widowControl w:val="0"/>
              <w:jc w:val="both"/>
              <w:rPr>
                <w:rFonts w:hint="eastAsia"/>
                <w:szCs w:val="21"/>
              </w:rPr>
            </w:pPr>
            <w:r>
              <w:rPr>
                <w:rFonts w:hint="eastAsia"/>
                <w:szCs w:val="21"/>
              </w:rPr>
              <w:t>韩月芬</w:t>
            </w:r>
          </w:p>
        </w:tc>
        <w:tc>
          <w:tcPr>
            <w:tcW w:w="466" w:type="pct"/>
            <w:vAlign w:val="center"/>
          </w:tcPr>
          <w:p w14:paraId="240EBEE2">
            <w:pPr>
              <w:widowControl w:val="0"/>
              <w:jc w:val="both"/>
              <w:rPr>
                <w:rFonts w:ascii="Times New Roman" w:hAnsi="Times New Roman"/>
                <w:szCs w:val="21"/>
              </w:rPr>
            </w:pPr>
            <w:r>
              <w:rPr>
                <w:rFonts w:hint="eastAsia" w:ascii="Times New Roman" w:hAnsi="Times New Roman"/>
                <w:szCs w:val="21"/>
              </w:rPr>
              <w:t>否</w:t>
            </w:r>
          </w:p>
        </w:tc>
        <w:tc>
          <w:tcPr>
            <w:tcW w:w="1099" w:type="dxa"/>
            <w:vAlign w:val="center"/>
          </w:tcPr>
          <w:p w14:paraId="64BDAAC2">
            <w:pPr>
              <w:widowControl w:val="0"/>
              <w:jc w:val="right"/>
              <w:rPr>
                <w:rFonts w:hint="eastAsia"/>
                <w:szCs w:val="21"/>
              </w:rPr>
            </w:pPr>
            <w:r>
              <w:rPr>
                <w:rFonts w:hint="eastAsia"/>
                <w:szCs w:val="21"/>
              </w:rPr>
              <w:t>0</w:t>
            </w:r>
          </w:p>
        </w:tc>
        <w:tc>
          <w:tcPr>
            <w:tcW w:w="853" w:type="dxa"/>
            <w:vAlign w:val="center"/>
          </w:tcPr>
          <w:p w14:paraId="5B4CB954">
            <w:pPr>
              <w:widowControl w:val="0"/>
              <w:jc w:val="right"/>
              <w:rPr>
                <w:rFonts w:hint="eastAsia"/>
                <w:szCs w:val="21"/>
              </w:rPr>
            </w:pPr>
            <w:r>
              <w:rPr>
                <w:rFonts w:hint="eastAsia"/>
                <w:szCs w:val="21"/>
              </w:rPr>
              <w:t>0</w:t>
            </w:r>
          </w:p>
        </w:tc>
        <w:tc>
          <w:tcPr>
            <w:tcW w:w="967" w:type="dxa"/>
            <w:vAlign w:val="center"/>
          </w:tcPr>
          <w:p w14:paraId="296EB817">
            <w:pPr>
              <w:widowControl w:val="0"/>
              <w:jc w:val="right"/>
              <w:rPr>
                <w:rFonts w:hint="eastAsia"/>
                <w:szCs w:val="21"/>
              </w:rPr>
            </w:pPr>
            <w:r>
              <w:rPr>
                <w:rFonts w:hint="eastAsia"/>
                <w:szCs w:val="21"/>
              </w:rPr>
              <w:t>0</w:t>
            </w:r>
          </w:p>
        </w:tc>
        <w:tc>
          <w:tcPr>
            <w:tcW w:w="905" w:type="dxa"/>
            <w:vAlign w:val="center"/>
          </w:tcPr>
          <w:p w14:paraId="17990567">
            <w:pPr>
              <w:widowControl w:val="0"/>
              <w:jc w:val="right"/>
              <w:rPr>
                <w:rFonts w:hint="eastAsia"/>
                <w:szCs w:val="21"/>
              </w:rPr>
            </w:pPr>
            <w:r>
              <w:rPr>
                <w:rFonts w:hint="eastAsia"/>
                <w:szCs w:val="21"/>
              </w:rPr>
              <w:t>0</w:t>
            </w:r>
          </w:p>
        </w:tc>
        <w:tc>
          <w:tcPr>
            <w:tcW w:w="844" w:type="dxa"/>
            <w:vAlign w:val="center"/>
          </w:tcPr>
          <w:p w14:paraId="6470F8FD">
            <w:pPr>
              <w:widowControl w:val="0"/>
              <w:jc w:val="right"/>
              <w:rPr>
                <w:rFonts w:hint="eastAsia"/>
                <w:szCs w:val="21"/>
              </w:rPr>
            </w:pPr>
            <w:r>
              <w:rPr>
                <w:rFonts w:hint="eastAsia"/>
                <w:szCs w:val="21"/>
              </w:rPr>
              <w:t>0</w:t>
            </w:r>
          </w:p>
        </w:tc>
        <w:tc>
          <w:tcPr>
            <w:tcW w:w="1297" w:type="dxa"/>
            <w:vAlign w:val="center"/>
          </w:tcPr>
          <w:p w14:paraId="5D0CE111">
            <w:pPr>
              <w:widowControl w:val="0"/>
              <w:jc w:val="right"/>
              <w:rPr>
                <w:rFonts w:ascii="Times New Roman" w:hAnsi="Times New Roman"/>
                <w:szCs w:val="21"/>
              </w:rPr>
            </w:pPr>
            <w:r>
              <w:rPr>
                <w:rFonts w:hint="eastAsia" w:ascii="Times New Roman" w:hAnsi="Times New Roman"/>
                <w:szCs w:val="21"/>
              </w:rPr>
              <w:t>否</w:t>
            </w:r>
          </w:p>
        </w:tc>
        <w:tc>
          <w:tcPr>
            <w:tcW w:w="1262" w:type="dxa"/>
            <w:vAlign w:val="center"/>
          </w:tcPr>
          <w:p w14:paraId="52233D3D">
            <w:pPr>
              <w:widowControl w:val="0"/>
              <w:jc w:val="right"/>
              <w:rPr>
                <w:rFonts w:hint="eastAsia"/>
                <w:szCs w:val="21"/>
              </w:rPr>
            </w:pPr>
            <w:r>
              <w:rPr>
                <w:rFonts w:hint="eastAsia"/>
                <w:szCs w:val="21"/>
              </w:rPr>
              <w:t>0</w:t>
            </w:r>
          </w:p>
        </w:tc>
      </w:tr>
      <w:tr w14:paraId="1F45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vAlign w:val="center"/>
          </w:tcPr>
          <w:p w14:paraId="3C85C4BF">
            <w:pPr>
              <w:widowControl w:val="0"/>
              <w:jc w:val="both"/>
              <w:rPr>
                <w:rFonts w:hint="eastAsia"/>
                <w:szCs w:val="21"/>
              </w:rPr>
            </w:pPr>
            <w:r>
              <w:rPr>
                <w:rFonts w:hint="eastAsia"/>
                <w:szCs w:val="21"/>
              </w:rPr>
              <w:t>杨金龙</w:t>
            </w:r>
          </w:p>
        </w:tc>
        <w:tc>
          <w:tcPr>
            <w:tcW w:w="466" w:type="pct"/>
            <w:vAlign w:val="center"/>
          </w:tcPr>
          <w:p w14:paraId="72D9B1A5">
            <w:pPr>
              <w:widowControl w:val="0"/>
              <w:jc w:val="both"/>
              <w:rPr>
                <w:rFonts w:ascii="Times New Roman" w:hAnsi="Times New Roman"/>
                <w:szCs w:val="21"/>
              </w:rPr>
            </w:pPr>
            <w:r>
              <w:rPr>
                <w:rFonts w:hint="eastAsia" w:ascii="Times New Roman" w:hAnsi="Times New Roman"/>
                <w:szCs w:val="21"/>
              </w:rPr>
              <w:t>否</w:t>
            </w:r>
          </w:p>
        </w:tc>
        <w:tc>
          <w:tcPr>
            <w:tcW w:w="607" w:type="pct"/>
            <w:vAlign w:val="center"/>
          </w:tcPr>
          <w:p w14:paraId="2480F41D">
            <w:pPr>
              <w:widowControl w:val="0"/>
              <w:jc w:val="right"/>
              <w:rPr>
                <w:rFonts w:hint="eastAsia"/>
                <w:szCs w:val="21"/>
              </w:rPr>
            </w:pPr>
            <w:r>
              <w:rPr>
                <w:rFonts w:hint="eastAsia"/>
                <w:szCs w:val="21"/>
              </w:rPr>
              <w:t>7</w:t>
            </w:r>
          </w:p>
        </w:tc>
        <w:tc>
          <w:tcPr>
            <w:tcW w:w="471" w:type="pct"/>
            <w:vAlign w:val="center"/>
          </w:tcPr>
          <w:p w14:paraId="0221C90B">
            <w:pPr>
              <w:widowControl w:val="0"/>
              <w:jc w:val="right"/>
              <w:rPr>
                <w:rFonts w:hint="eastAsia"/>
                <w:szCs w:val="21"/>
              </w:rPr>
            </w:pPr>
            <w:r>
              <w:rPr>
                <w:rFonts w:hint="eastAsia"/>
                <w:szCs w:val="21"/>
              </w:rPr>
              <w:t>7</w:t>
            </w:r>
          </w:p>
        </w:tc>
        <w:tc>
          <w:tcPr>
            <w:tcW w:w="534" w:type="pct"/>
            <w:vAlign w:val="center"/>
          </w:tcPr>
          <w:p w14:paraId="652A4991">
            <w:pPr>
              <w:widowControl w:val="0"/>
              <w:jc w:val="right"/>
              <w:rPr>
                <w:rFonts w:hint="eastAsia"/>
                <w:szCs w:val="21"/>
              </w:rPr>
            </w:pPr>
            <w:r>
              <w:rPr>
                <w:rFonts w:hint="eastAsia"/>
                <w:szCs w:val="21"/>
              </w:rPr>
              <w:t>5</w:t>
            </w:r>
          </w:p>
        </w:tc>
        <w:tc>
          <w:tcPr>
            <w:tcW w:w="500" w:type="pct"/>
            <w:vAlign w:val="center"/>
          </w:tcPr>
          <w:p w14:paraId="22551DB7">
            <w:pPr>
              <w:widowControl w:val="0"/>
              <w:jc w:val="right"/>
              <w:rPr>
                <w:rFonts w:hint="eastAsia"/>
                <w:szCs w:val="21"/>
              </w:rPr>
            </w:pPr>
            <w:r>
              <w:rPr>
                <w:rFonts w:hint="eastAsia"/>
                <w:szCs w:val="21"/>
              </w:rPr>
              <w:t>0</w:t>
            </w:r>
          </w:p>
        </w:tc>
        <w:tc>
          <w:tcPr>
            <w:tcW w:w="466" w:type="pct"/>
            <w:vAlign w:val="center"/>
          </w:tcPr>
          <w:p w14:paraId="3661BE63">
            <w:pPr>
              <w:widowControl w:val="0"/>
              <w:jc w:val="right"/>
              <w:rPr>
                <w:rFonts w:hint="eastAsia"/>
                <w:szCs w:val="21"/>
              </w:rPr>
            </w:pPr>
            <w:r>
              <w:rPr>
                <w:rFonts w:hint="eastAsia"/>
                <w:szCs w:val="21"/>
              </w:rPr>
              <w:t>0</w:t>
            </w:r>
          </w:p>
        </w:tc>
        <w:tc>
          <w:tcPr>
            <w:tcW w:w="713" w:type="pct"/>
            <w:vAlign w:val="center"/>
          </w:tcPr>
          <w:p w14:paraId="5ED1ABB0">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2CB462F8">
            <w:pPr>
              <w:widowControl w:val="0"/>
              <w:jc w:val="right"/>
              <w:rPr>
                <w:rFonts w:hint="eastAsia"/>
                <w:szCs w:val="21"/>
              </w:rPr>
            </w:pPr>
            <w:r>
              <w:rPr>
                <w:rFonts w:hint="eastAsia"/>
                <w:szCs w:val="21"/>
              </w:rPr>
              <w:t>1</w:t>
            </w:r>
          </w:p>
        </w:tc>
      </w:tr>
      <w:tr w14:paraId="6CA9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vAlign w:val="center"/>
          </w:tcPr>
          <w:p w14:paraId="49DA6D40">
            <w:pPr>
              <w:widowControl w:val="0"/>
              <w:jc w:val="both"/>
              <w:rPr>
                <w:rFonts w:hint="eastAsia"/>
                <w:szCs w:val="21"/>
              </w:rPr>
            </w:pPr>
            <w:r>
              <w:rPr>
                <w:rFonts w:hint="eastAsia"/>
                <w:szCs w:val="21"/>
              </w:rPr>
              <w:t>李华</w:t>
            </w:r>
          </w:p>
        </w:tc>
        <w:tc>
          <w:tcPr>
            <w:tcW w:w="466" w:type="pct"/>
            <w:vAlign w:val="center"/>
          </w:tcPr>
          <w:p w14:paraId="5B9E0B10">
            <w:pPr>
              <w:widowControl w:val="0"/>
              <w:jc w:val="both"/>
              <w:rPr>
                <w:rFonts w:ascii="Times New Roman" w:hAnsi="Times New Roman"/>
                <w:szCs w:val="21"/>
              </w:rPr>
            </w:pPr>
            <w:r>
              <w:rPr>
                <w:rFonts w:hint="eastAsia" w:ascii="Times New Roman" w:hAnsi="Times New Roman"/>
                <w:szCs w:val="21"/>
              </w:rPr>
              <w:t>是</w:t>
            </w:r>
          </w:p>
        </w:tc>
        <w:tc>
          <w:tcPr>
            <w:tcW w:w="607" w:type="pct"/>
            <w:vAlign w:val="center"/>
          </w:tcPr>
          <w:p w14:paraId="591B4458">
            <w:pPr>
              <w:widowControl w:val="0"/>
              <w:jc w:val="right"/>
              <w:rPr>
                <w:rFonts w:hint="eastAsia"/>
                <w:szCs w:val="21"/>
              </w:rPr>
            </w:pPr>
            <w:r>
              <w:rPr>
                <w:rFonts w:hint="eastAsia"/>
                <w:szCs w:val="21"/>
              </w:rPr>
              <w:t>7</w:t>
            </w:r>
          </w:p>
        </w:tc>
        <w:tc>
          <w:tcPr>
            <w:tcW w:w="471" w:type="pct"/>
            <w:vAlign w:val="center"/>
          </w:tcPr>
          <w:p w14:paraId="0619D484">
            <w:pPr>
              <w:widowControl w:val="0"/>
              <w:jc w:val="right"/>
              <w:rPr>
                <w:rFonts w:hint="eastAsia"/>
                <w:szCs w:val="21"/>
              </w:rPr>
            </w:pPr>
            <w:r>
              <w:rPr>
                <w:rFonts w:hint="eastAsia"/>
                <w:szCs w:val="21"/>
              </w:rPr>
              <w:t>7</w:t>
            </w:r>
          </w:p>
        </w:tc>
        <w:tc>
          <w:tcPr>
            <w:tcW w:w="534" w:type="pct"/>
            <w:vAlign w:val="center"/>
          </w:tcPr>
          <w:p w14:paraId="27FA78B0">
            <w:pPr>
              <w:widowControl w:val="0"/>
              <w:jc w:val="right"/>
              <w:rPr>
                <w:rFonts w:hint="eastAsia"/>
                <w:szCs w:val="21"/>
              </w:rPr>
            </w:pPr>
            <w:r>
              <w:rPr>
                <w:rFonts w:hint="eastAsia"/>
                <w:szCs w:val="21"/>
              </w:rPr>
              <w:t>6</w:t>
            </w:r>
          </w:p>
        </w:tc>
        <w:tc>
          <w:tcPr>
            <w:tcW w:w="500" w:type="pct"/>
            <w:vAlign w:val="center"/>
          </w:tcPr>
          <w:p w14:paraId="4EF4BC46">
            <w:pPr>
              <w:widowControl w:val="0"/>
              <w:jc w:val="right"/>
              <w:rPr>
                <w:rFonts w:hint="eastAsia"/>
                <w:szCs w:val="21"/>
              </w:rPr>
            </w:pPr>
            <w:r>
              <w:rPr>
                <w:rFonts w:hint="eastAsia"/>
                <w:szCs w:val="21"/>
              </w:rPr>
              <w:t>0</w:t>
            </w:r>
          </w:p>
        </w:tc>
        <w:tc>
          <w:tcPr>
            <w:tcW w:w="466" w:type="pct"/>
            <w:vAlign w:val="center"/>
          </w:tcPr>
          <w:p w14:paraId="1DE79615">
            <w:pPr>
              <w:widowControl w:val="0"/>
              <w:jc w:val="right"/>
              <w:rPr>
                <w:rFonts w:hint="eastAsia"/>
                <w:szCs w:val="21"/>
              </w:rPr>
            </w:pPr>
            <w:r>
              <w:rPr>
                <w:rFonts w:hint="eastAsia"/>
                <w:szCs w:val="21"/>
              </w:rPr>
              <w:t>0</w:t>
            </w:r>
          </w:p>
        </w:tc>
        <w:tc>
          <w:tcPr>
            <w:tcW w:w="1297" w:type="dxa"/>
            <w:vAlign w:val="center"/>
          </w:tcPr>
          <w:p w14:paraId="58757680">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2D4FE24B">
            <w:pPr>
              <w:widowControl w:val="0"/>
              <w:jc w:val="right"/>
              <w:rPr>
                <w:rFonts w:hint="eastAsia"/>
                <w:szCs w:val="21"/>
              </w:rPr>
            </w:pPr>
            <w:r>
              <w:rPr>
                <w:rFonts w:hint="eastAsia"/>
                <w:szCs w:val="21"/>
              </w:rPr>
              <w:t>1</w:t>
            </w:r>
          </w:p>
        </w:tc>
      </w:tr>
      <w:tr w14:paraId="183E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540" w:type="pct"/>
            <w:vAlign w:val="center"/>
          </w:tcPr>
          <w:p w14:paraId="31AD4C16">
            <w:pPr>
              <w:widowControl w:val="0"/>
              <w:jc w:val="both"/>
              <w:rPr>
                <w:rFonts w:hint="eastAsia"/>
                <w:szCs w:val="21"/>
              </w:rPr>
            </w:pPr>
            <w:r>
              <w:rPr>
                <w:rFonts w:hint="eastAsia"/>
                <w:szCs w:val="21"/>
              </w:rPr>
              <w:t>温养东</w:t>
            </w:r>
          </w:p>
        </w:tc>
        <w:tc>
          <w:tcPr>
            <w:tcW w:w="466" w:type="pct"/>
            <w:vAlign w:val="center"/>
          </w:tcPr>
          <w:p w14:paraId="604CC86C">
            <w:pPr>
              <w:widowControl w:val="0"/>
              <w:jc w:val="both"/>
              <w:rPr>
                <w:rFonts w:ascii="Times New Roman" w:hAnsi="Times New Roman"/>
                <w:szCs w:val="21"/>
              </w:rPr>
            </w:pPr>
            <w:r>
              <w:rPr>
                <w:rFonts w:hint="eastAsia" w:ascii="Times New Roman" w:hAnsi="Times New Roman"/>
                <w:szCs w:val="21"/>
              </w:rPr>
              <w:t>是</w:t>
            </w:r>
          </w:p>
        </w:tc>
        <w:tc>
          <w:tcPr>
            <w:tcW w:w="607" w:type="pct"/>
            <w:vAlign w:val="center"/>
          </w:tcPr>
          <w:p w14:paraId="7CB1CEAB">
            <w:pPr>
              <w:widowControl w:val="0"/>
              <w:jc w:val="right"/>
              <w:rPr>
                <w:rFonts w:hint="eastAsia"/>
                <w:szCs w:val="21"/>
              </w:rPr>
            </w:pPr>
            <w:r>
              <w:rPr>
                <w:rFonts w:hint="eastAsia"/>
                <w:szCs w:val="21"/>
              </w:rPr>
              <w:t>7</w:t>
            </w:r>
          </w:p>
        </w:tc>
        <w:tc>
          <w:tcPr>
            <w:tcW w:w="471" w:type="pct"/>
            <w:vAlign w:val="center"/>
          </w:tcPr>
          <w:p w14:paraId="4C52647D">
            <w:pPr>
              <w:widowControl w:val="0"/>
              <w:jc w:val="right"/>
              <w:rPr>
                <w:rFonts w:hint="eastAsia"/>
                <w:szCs w:val="21"/>
              </w:rPr>
            </w:pPr>
            <w:r>
              <w:rPr>
                <w:rFonts w:hint="eastAsia"/>
                <w:szCs w:val="21"/>
              </w:rPr>
              <w:t>7</w:t>
            </w:r>
          </w:p>
        </w:tc>
        <w:tc>
          <w:tcPr>
            <w:tcW w:w="534" w:type="pct"/>
            <w:vAlign w:val="center"/>
          </w:tcPr>
          <w:p w14:paraId="0FE5FEAF">
            <w:pPr>
              <w:widowControl w:val="0"/>
              <w:jc w:val="right"/>
              <w:rPr>
                <w:rFonts w:hint="eastAsia"/>
                <w:szCs w:val="21"/>
              </w:rPr>
            </w:pPr>
            <w:r>
              <w:rPr>
                <w:rFonts w:hint="eastAsia"/>
                <w:szCs w:val="21"/>
              </w:rPr>
              <w:t>4</w:t>
            </w:r>
          </w:p>
        </w:tc>
        <w:tc>
          <w:tcPr>
            <w:tcW w:w="500" w:type="pct"/>
            <w:vAlign w:val="center"/>
          </w:tcPr>
          <w:p w14:paraId="056828F0">
            <w:pPr>
              <w:widowControl w:val="0"/>
              <w:jc w:val="right"/>
              <w:rPr>
                <w:rFonts w:hint="eastAsia"/>
                <w:szCs w:val="21"/>
              </w:rPr>
            </w:pPr>
            <w:r>
              <w:rPr>
                <w:rFonts w:hint="eastAsia"/>
                <w:szCs w:val="21"/>
              </w:rPr>
              <w:t>0</w:t>
            </w:r>
          </w:p>
        </w:tc>
        <w:tc>
          <w:tcPr>
            <w:tcW w:w="466" w:type="pct"/>
            <w:vAlign w:val="center"/>
          </w:tcPr>
          <w:p w14:paraId="07F73CDB">
            <w:pPr>
              <w:widowControl w:val="0"/>
              <w:jc w:val="right"/>
              <w:rPr>
                <w:rFonts w:hint="eastAsia"/>
                <w:szCs w:val="21"/>
              </w:rPr>
            </w:pPr>
            <w:r>
              <w:rPr>
                <w:rFonts w:hint="eastAsia"/>
                <w:szCs w:val="21"/>
              </w:rPr>
              <w:t>0</w:t>
            </w:r>
          </w:p>
        </w:tc>
        <w:tc>
          <w:tcPr>
            <w:tcW w:w="1297" w:type="dxa"/>
            <w:vAlign w:val="center"/>
          </w:tcPr>
          <w:p w14:paraId="32E663D8">
            <w:pPr>
              <w:widowControl w:val="0"/>
              <w:jc w:val="right"/>
              <w:rPr>
                <w:rFonts w:ascii="Times New Roman" w:hAnsi="Times New Roman"/>
                <w:szCs w:val="21"/>
              </w:rPr>
            </w:pPr>
            <w:r>
              <w:rPr>
                <w:rFonts w:hint="eastAsia" w:ascii="Times New Roman" w:hAnsi="Times New Roman"/>
                <w:szCs w:val="21"/>
              </w:rPr>
              <w:t>否</w:t>
            </w:r>
          </w:p>
        </w:tc>
        <w:tc>
          <w:tcPr>
            <w:tcW w:w="697" w:type="pct"/>
            <w:vAlign w:val="center"/>
          </w:tcPr>
          <w:p w14:paraId="4B91177B">
            <w:pPr>
              <w:widowControl w:val="0"/>
              <w:jc w:val="right"/>
              <w:rPr>
                <w:rFonts w:hint="eastAsia"/>
                <w:szCs w:val="21"/>
              </w:rPr>
            </w:pPr>
            <w:r>
              <w:rPr>
                <w:rFonts w:hint="eastAsia"/>
                <w:szCs w:val="21"/>
              </w:rPr>
              <w:t>1</w:t>
            </w:r>
          </w:p>
        </w:tc>
      </w:tr>
    </w:tbl>
    <w:p w14:paraId="36397BAC">
      <w:pPr>
        <w:rPr>
          <w:rFonts w:hint="eastAsia"/>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39436482"/>
        <w:placeholder>
          <w:docPart w:val="GBC22222222222222222222222222222"/>
        </w:placeholder>
      </w:sdtPr>
      <w:sdtEndPr>
        <w:rPr>
          <w:szCs w:val="21"/>
        </w:rPr>
      </w:sdtEndPr>
      <w:sdtContent>
        <w:p w14:paraId="564A3FA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9792FDA">
      <w:pPr>
        <w:rPr>
          <w:rFonts w:hint="eastAsia"/>
          <w:szCs w:val="21"/>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4"/>
        <w:gridCol w:w="4409"/>
      </w:tblGrid>
      <w:tr w14:paraId="6B79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fc68bf164f04edda97a907df4cc747d"/>
            <w:id w:val="-1954387815"/>
          </w:sdtPr>
          <w:sdtContent>
            <w:tc>
              <w:tcPr>
                <w:tcW w:w="4524" w:type="dxa"/>
              </w:tcPr>
              <w:p w14:paraId="392DA8E5">
                <w:pPr>
                  <w:widowControl w:val="0"/>
                  <w:jc w:val="both"/>
                  <w:rPr>
                    <w:rFonts w:hint="eastAsia"/>
                    <w:szCs w:val="21"/>
                  </w:rPr>
                </w:pPr>
                <w:r>
                  <w:rPr>
                    <w:szCs w:val="21"/>
                  </w:rPr>
                  <w:t>年内召开董事会会议次数</w:t>
                </w:r>
              </w:p>
            </w:tc>
          </w:sdtContent>
        </w:sdt>
        <w:sdt>
          <w:sdtPr>
            <w:rPr>
              <w:rFonts w:hint="eastAsia" w:asciiTheme="minorEastAsia" w:hAnsiTheme="minorEastAsia" w:eastAsiaTheme="minorEastAsia" w:cstheme="minorEastAsia"/>
              <w:szCs w:val="21"/>
            </w:rPr>
            <w:alias w:val="报告期内召开董事会会议次数"/>
            <w:tag w:val="_GBC_cabd294ab90e40d0afb59e61df002667"/>
            <w:id w:val="484130612"/>
          </w:sdtPr>
          <w:sdtEndPr>
            <w:rPr>
              <w:rFonts w:hint="eastAsia" w:ascii="Times New Roman" w:hAnsi="Times New Roman" w:eastAsiaTheme="minorEastAsia" w:cstheme="minorEastAsia"/>
              <w:szCs w:val="21"/>
            </w:rPr>
          </w:sdtEndPr>
          <w:sdtContent>
            <w:tc>
              <w:tcPr>
                <w:tcW w:w="4525" w:type="dxa"/>
              </w:tcPr>
              <w:p w14:paraId="27B525D8">
                <w:pPr>
                  <w:widowControl w:val="0"/>
                  <w:jc w:val="both"/>
                  <w:rPr>
                    <w:rFonts w:hint="eastAsia"/>
                    <w:szCs w:val="21"/>
                  </w:rPr>
                </w:pPr>
                <w:r>
                  <w:rPr>
                    <w:rFonts w:hint="eastAsia" w:asciiTheme="minorEastAsia" w:hAnsiTheme="minorEastAsia" w:eastAsiaTheme="minorEastAsia" w:cstheme="minorEastAsia"/>
                    <w:szCs w:val="21"/>
                  </w:rPr>
                  <w:t>11</w:t>
                </w:r>
              </w:p>
            </w:tc>
          </w:sdtContent>
        </w:sdt>
      </w:tr>
      <w:tr w14:paraId="0939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3455B966">
            <w:pPr>
              <w:widowControl w:val="0"/>
              <w:jc w:val="both"/>
              <w:rPr>
                <w:rFonts w:hint="eastAsia"/>
                <w:szCs w:val="21"/>
              </w:rPr>
            </w:pPr>
            <w:r>
              <w:rPr>
                <w:szCs w:val="21"/>
              </w:rPr>
              <w:t>其中：现场会议次数</w:t>
            </w:r>
          </w:p>
        </w:tc>
        <w:tc>
          <w:tcPr>
            <w:tcW w:w="4525" w:type="dxa"/>
          </w:tcPr>
          <w:p w14:paraId="57B65725">
            <w:pPr>
              <w:widowControl w:val="0"/>
              <w:jc w:val="both"/>
              <w:rPr>
                <w:rFonts w:hint="eastAsia"/>
                <w:szCs w:val="21"/>
              </w:rPr>
            </w:pPr>
            <w:r>
              <w:rPr>
                <w:rFonts w:hint="eastAsia"/>
                <w:szCs w:val="21"/>
              </w:rPr>
              <w:t>0</w:t>
            </w:r>
          </w:p>
        </w:tc>
      </w:tr>
      <w:tr w14:paraId="3E66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10FE7DC5">
            <w:pPr>
              <w:widowControl w:val="0"/>
              <w:jc w:val="both"/>
              <w:rPr>
                <w:rFonts w:hint="eastAsia"/>
                <w:szCs w:val="21"/>
              </w:rPr>
            </w:pPr>
            <w:r>
              <w:rPr>
                <w:szCs w:val="21"/>
              </w:rPr>
              <w:t>通讯方式召开会议次数</w:t>
            </w:r>
          </w:p>
        </w:tc>
        <w:tc>
          <w:tcPr>
            <w:tcW w:w="4525" w:type="dxa"/>
          </w:tcPr>
          <w:p w14:paraId="0E2BB90C">
            <w:pPr>
              <w:widowControl w:val="0"/>
              <w:jc w:val="both"/>
              <w:rPr>
                <w:rFonts w:hint="eastAsia"/>
                <w:szCs w:val="21"/>
              </w:rPr>
            </w:pPr>
            <w:r>
              <w:rPr>
                <w:rFonts w:hint="eastAsia"/>
                <w:szCs w:val="21"/>
              </w:rPr>
              <w:t>1</w:t>
            </w:r>
          </w:p>
        </w:tc>
      </w:tr>
      <w:tr w14:paraId="01E8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085EE2F3">
            <w:pPr>
              <w:widowControl w:val="0"/>
              <w:jc w:val="both"/>
              <w:rPr>
                <w:rFonts w:hint="eastAsia"/>
                <w:szCs w:val="21"/>
              </w:rPr>
            </w:pPr>
            <w:r>
              <w:rPr>
                <w:szCs w:val="21"/>
              </w:rPr>
              <w:t>现场结合通讯方式召开会议次数</w:t>
            </w:r>
          </w:p>
        </w:tc>
        <w:tc>
          <w:tcPr>
            <w:tcW w:w="4525" w:type="dxa"/>
          </w:tcPr>
          <w:p w14:paraId="3B352C11">
            <w:pPr>
              <w:widowControl w:val="0"/>
              <w:jc w:val="both"/>
              <w:rPr>
                <w:rFonts w:hint="eastAsia"/>
                <w:szCs w:val="21"/>
              </w:rPr>
            </w:pPr>
            <w:r>
              <w:rPr>
                <w:rFonts w:hint="eastAsia"/>
                <w:szCs w:val="21"/>
              </w:rPr>
              <w:t>10</w:t>
            </w:r>
          </w:p>
        </w:tc>
      </w:tr>
    </w:tbl>
    <w:p w14:paraId="47DD4977">
      <w:pPr>
        <w:rPr>
          <w:rFonts w:hint="eastAsia"/>
        </w:rPr>
      </w:pPr>
    </w:p>
    <w:p w14:paraId="0F583ABE">
      <w:pPr>
        <w:pStyle w:val="4"/>
        <w:numPr>
          <w:ilvl w:val="0"/>
          <w:numId w:val="29"/>
        </w:numPr>
      </w:pPr>
      <w:r>
        <w:rPr>
          <w:szCs w:val="21"/>
        </w:rPr>
        <w:t>董事对公司有关事项提出异议的情况</w:t>
      </w:r>
    </w:p>
    <w:sdt>
      <w:sdtPr>
        <w:alias w:val="是否适用：独立董事对公司有关事项提出异议的情况[双击切换]"/>
        <w:tag w:val="_GBC_1369df39a53747ff843be7f892cb0cbd"/>
        <w:id w:val="-227075069"/>
        <w:placeholder>
          <w:docPart w:val="GBC22222222222222222222222222222"/>
        </w:placeholder>
      </w:sdtPr>
      <w:sdtContent>
        <w:p w14:paraId="46D253B4">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DE20193">
      <w:pPr>
        <w:rPr>
          <w:rFonts w:hint="eastAsia"/>
          <w:szCs w:val="21"/>
        </w:rPr>
      </w:pPr>
    </w:p>
    <w:p w14:paraId="32632E6F">
      <w:pPr>
        <w:pStyle w:val="4"/>
        <w:numPr>
          <w:ilvl w:val="0"/>
          <w:numId w:val="29"/>
        </w:numPr>
      </w:pPr>
      <w:r>
        <w:rPr>
          <w:szCs w:val="21"/>
        </w:rPr>
        <w:t>其他</w:t>
      </w:r>
    </w:p>
    <w:sdt>
      <w:sdtPr>
        <w:rPr>
          <w:rFonts w:hint="eastAsia"/>
          <w:szCs w:val="21"/>
        </w:rPr>
        <w:alias w:val="是否适用：其他董事履行职责情况说明[双击切换]"/>
        <w:tag w:val="_GBC_ba1a70dda14046559f72c5b524ca1125"/>
        <w:id w:val="-285270869"/>
        <w:placeholder>
          <w:docPart w:val="GBC22222222222222222222222222222"/>
        </w:placeholder>
      </w:sdtPr>
      <w:sdtEndPr>
        <w:rPr>
          <w:rFonts w:hint="eastAsia"/>
          <w:szCs w:val="21"/>
        </w:rPr>
      </w:sdtEndPr>
      <w:sdtContent>
        <w:p w14:paraId="21F91D7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CECEA9F">
      <w:pPr>
        <w:rPr>
          <w:rFonts w:hint="eastAsia"/>
          <w:szCs w:val="21"/>
        </w:rPr>
      </w:pPr>
    </w:p>
    <w:p w14:paraId="57F1C807">
      <w:pPr>
        <w:pStyle w:val="3"/>
        <w:numPr>
          <w:ilvl w:val="0"/>
          <w:numId w:val="17"/>
        </w:numPr>
      </w:pPr>
      <w:r>
        <w:rPr>
          <w:rFonts w:hint="eastAsia"/>
        </w:rPr>
        <w:t>董事会下设专门委员会情况</w:t>
      </w:r>
    </w:p>
    <w:sdt>
      <w:sdtPr>
        <w:rPr>
          <w:rFonts w:hint="eastAsia"/>
          <w:szCs w:val="21"/>
        </w:rPr>
        <w:alias w:val="是否适用：董事会下设专门委员会情况[双击切换]"/>
        <w:tag w:val="_GBC_88389a2d52e44644a2332ba32500fe69"/>
        <w:id w:val="484135199"/>
        <w:lock w:val="contentLocked"/>
        <w:placeholder>
          <w:docPart w:val="GBC22222222222222222222222222222"/>
        </w:placeholder>
      </w:sdtPr>
      <w:sdtEndPr>
        <w:rPr>
          <w:rFonts w:hint="eastAsia"/>
          <w:szCs w:val="21"/>
        </w:rPr>
      </w:sdtEndPr>
      <w:sdtContent>
        <w:p w14:paraId="71938E87">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4CFD704">
      <w:pPr>
        <w:pStyle w:val="4"/>
        <w:numPr>
          <w:ilvl w:val="0"/>
          <w:numId w:val="30"/>
        </w:numPr>
      </w:pPr>
      <w:r>
        <w:rPr>
          <w:rFonts w:hint="eastAsia"/>
        </w:rPr>
        <w:t>董事会下设专门委员会成员情况</w:t>
      </w:r>
    </w:p>
    <w:tbl>
      <w:tblPr>
        <w:tblStyle w:val="37"/>
        <w:tblW w:w="9051" w:type="dxa"/>
        <w:jc w:val="center"/>
        <w:tblLayout w:type="autofit"/>
        <w:tblCellMar>
          <w:top w:w="0" w:type="dxa"/>
          <w:left w:w="108" w:type="dxa"/>
          <w:bottom w:w="0" w:type="dxa"/>
          <w:right w:w="108" w:type="dxa"/>
        </w:tblCellMar>
      </w:tblPr>
      <w:tblGrid>
        <w:gridCol w:w="2586"/>
        <w:gridCol w:w="6465"/>
      </w:tblGrid>
      <w:tr w14:paraId="7296A997">
        <w:tblPrEx>
          <w:tblCellMar>
            <w:top w:w="0" w:type="dxa"/>
            <w:left w:w="108" w:type="dxa"/>
            <w:bottom w:w="0" w:type="dxa"/>
            <w:right w:w="108" w:type="dxa"/>
          </w:tblCellMar>
        </w:tblPrEx>
        <w:trPr>
          <w:trHeight w:val="270" w:hRule="atLeast"/>
          <w:tblHeader/>
          <w:jc w:val="center"/>
        </w:trPr>
        <w:sdt>
          <w:sdtPr>
            <w:tag w:val="_PLD_d469fc77cfdc44b0b043e0b1ab52e604"/>
            <w:id w:val="1898861869"/>
          </w:sdtPr>
          <w:sdtContent>
            <w:tc>
              <w:tcPr>
                <w:tcW w:w="2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88599">
                <w:pPr>
                  <w:jc w:val="center"/>
                  <w:rPr>
                    <w:rFonts w:hint="eastAsia"/>
                    <w:color w:val="000000"/>
                    <w:sz w:val="22"/>
                  </w:rPr>
                </w:pPr>
                <w:r>
                  <w:rPr>
                    <w:rFonts w:hint="eastAsia"/>
                    <w:color w:val="000000"/>
                    <w:sz w:val="22"/>
                  </w:rPr>
                  <w:t>专门委员会类别</w:t>
                </w:r>
              </w:p>
            </w:tc>
          </w:sdtContent>
        </w:sdt>
        <w:sdt>
          <w:sdtPr>
            <w:tag w:val="_PLD_32d037161ea94d0eb907c4e766b75044"/>
            <w:id w:val="-224994540"/>
          </w:sdtPr>
          <w:sdtContent>
            <w:tc>
              <w:tcPr>
                <w:tcW w:w="6465" w:type="dxa"/>
                <w:tcBorders>
                  <w:top w:val="single" w:color="auto" w:sz="4" w:space="0"/>
                  <w:left w:val="nil"/>
                  <w:bottom w:val="single" w:color="auto" w:sz="4" w:space="0"/>
                  <w:right w:val="single" w:color="auto" w:sz="4" w:space="0"/>
                </w:tcBorders>
                <w:shd w:val="clear" w:color="auto" w:fill="auto"/>
                <w:noWrap/>
                <w:vAlign w:val="center"/>
              </w:tcPr>
              <w:p w14:paraId="4EAA33EB">
                <w:pPr>
                  <w:jc w:val="center"/>
                  <w:rPr>
                    <w:rFonts w:hint="eastAsia"/>
                    <w:color w:val="000000"/>
                    <w:sz w:val="22"/>
                  </w:rPr>
                </w:pPr>
                <w:r>
                  <w:rPr>
                    <w:rFonts w:hint="eastAsia"/>
                    <w:color w:val="000000"/>
                    <w:sz w:val="22"/>
                  </w:rPr>
                  <w:t>成员姓名</w:t>
                </w:r>
              </w:p>
            </w:tc>
          </w:sdtContent>
        </w:sdt>
      </w:tr>
      <w:tr w14:paraId="33B8D370">
        <w:tblPrEx>
          <w:tblCellMar>
            <w:top w:w="0" w:type="dxa"/>
            <w:left w:w="108" w:type="dxa"/>
            <w:bottom w:w="0" w:type="dxa"/>
            <w:right w:w="108" w:type="dxa"/>
          </w:tblCellMar>
        </w:tblPrEx>
        <w:trPr>
          <w:trHeight w:val="270" w:hRule="atLeast"/>
          <w:jc w:val="center"/>
        </w:trPr>
        <w:tc>
          <w:tcPr>
            <w:tcW w:w="2586" w:type="dxa"/>
            <w:tcBorders>
              <w:top w:val="nil"/>
              <w:left w:val="single" w:color="auto" w:sz="4" w:space="0"/>
              <w:bottom w:val="single" w:color="auto" w:sz="4" w:space="0"/>
              <w:right w:val="single" w:color="auto" w:sz="4" w:space="0"/>
            </w:tcBorders>
            <w:shd w:val="clear" w:color="auto" w:fill="auto"/>
            <w:noWrap/>
            <w:vAlign w:val="center"/>
          </w:tcPr>
          <w:p w14:paraId="18F5034A">
            <w:pPr>
              <w:rPr>
                <w:rFonts w:hint="eastAsia"/>
                <w:color w:val="000000"/>
                <w:sz w:val="22"/>
              </w:rPr>
            </w:pPr>
            <w:r>
              <w:rPr>
                <w:rFonts w:hint="eastAsia"/>
                <w:color w:val="000000"/>
                <w:sz w:val="22"/>
              </w:rPr>
              <w:t>审计与风险管理委员会</w:t>
            </w:r>
          </w:p>
        </w:tc>
        <w:tc>
          <w:tcPr>
            <w:tcW w:w="6465" w:type="dxa"/>
            <w:tcBorders>
              <w:top w:val="nil"/>
              <w:left w:val="nil"/>
              <w:bottom w:val="single" w:color="auto" w:sz="4" w:space="0"/>
              <w:right w:val="single" w:color="auto" w:sz="4" w:space="0"/>
            </w:tcBorders>
            <w:shd w:val="clear" w:color="auto" w:fill="auto"/>
            <w:noWrap/>
            <w:vAlign w:val="center"/>
          </w:tcPr>
          <w:p w14:paraId="703C1EE4">
            <w:pPr>
              <w:rPr>
                <w:rFonts w:hint="eastAsia"/>
                <w:sz w:val="22"/>
              </w:rPr>
            </w:pPr>
            <w:r>
              <w:rPr>
                <w:rFonts w:hint="eastAsia"/>
                <w:sz w:val="22"/>
              </w:rPr>
              <w:t xml:space="preserve">第五届委员：张继德、徐坚、史俊龙 </w:t>
            </w:r>
          </w:p>
          <w:p w14:paraId="0A8BE40F">
            <w:pPr>
              <w:rPr>
                <w:rFonts w:hint="eastAsia"/>
                <w:sz w:val="22"/>
              </w:rPr>
            </w:pPr>
            <w:r>
              <w:rPr>
                <w:rFonts w:hint="eastAsia"/>
                <w:sz w:val="22"/>
              </w:rPr>
              <w:t>第六届委员：张继德、李华、陈向东</w:t>
            </w:r>
          </w:p>
        </w:tc>
      </w:tr>
      <w:tr w14:paraId="6C519817">
        <w:tblPrEx>
          <w:tblCellMar>
            <w:top w:w="0" w:type="dxa"/>
            <w:left w:w="108" w:type="dxa"/>
            <w:bottom w:w="0" w:type="dxa"/>
            <w:right w:w="108" w:type="dxa"/>
          </w:tblCellMar>
        </w:tblPrEx>
        <w:trPr>
          <w:trHeight w:val="270" w:hRule="atLeast"/>
          <w:jc w:val="center"/>
        </w:trPr>
        <w:tc>
          <w:tcPr>
            <w:tcW w:w="2586" w:type="dxa"/>
            <w:tcBorders>
              <w:top w:val="nil"/>
              <w:left w:val="single" w:color="auto" w:sz="4" w:space="0"/>
              <w:bottom w:val="single" w:color="auto" w:sz="4" w:space="0"/>
              <w:right w:val="single" w:color="auto" w:sz="4" w:space="0"/>
            </w:tcBorders>
            <w:shd w:val="clear" w:color="auto" w:fill="auto"/>
            <w:noWrap/>
            <w:vAlign w:val="center"/>
          </w:tcPr>
          <w:p w14:paraId="54944E2C">
            <w:pPr>
              <w:rPr>
                <w:rFonts w:hint="eastAsia"/>
                <w:color w:val="000000"/>
                <w:sz w:val="22"/>
              </w:rPr>
            </w:pPr>
            <w:r>
              <w:rPr>
                <w:rFonts w:hint="eastAsia"/>
                <w:color w:val="000000"/>
                <w:sz w:val="22"/>
              </w:rPr>
              <w:t>提名委员会</w:t>
            </w:r>
          </w:p>
        </w:tc>
        <w:tc>
          <w:tcPr>
            <w:tcW w:w="6465" w:type="dxa"/>
            <w:tcBorders>
              <w:top w:val="nil"/>
              <w:left w:val="nil"/>
              <w:bottom w:val="single" w:color="auto" w:sz="4" w:space="0"/>
              <w:right w:val="single" w:color="auto" w:sz="4" w:space="0"/>
            </w:tcBorders>
            <w:shd w:val="clear" w:color="auto" w:fill="auto"/>
            <w:noWrap/>
            <w:vAlign w:val="center"/>
          </w:tcPr>
          <w:p w14:paraId="163DF099">
            <w:pPr>
              <w:rPr>
                <w:rFonts w:hint="eastAsia"/>
                <w:sz w:val="22"/>
              </w:rPr>
            </w:pPr>
            <w:r>
              <w:rPr>
                <w:rFonts w:hint="eastAsia"/>
                <w:sz w:val="22"/>
              </w:rPr>
              <w:t>第五届委员：徐坚、卢业虎、夏前军</w:t>
            </w:r>
          </w:p>
          <w:p w14:paraId="5887C9B2">
            <w:pPr>
              <w:rPr>
                <w:rFonts w:hint="eastAsia"/>
                <w:sz w:val="22"/>
              </w:rPr>
            </w:pPr>
            <w:r>
              <w:rPr>
                <w:rFonts w:hint="eastAsia"/>
                <w:sz w:val="22"/>
              </w:rPr>
              <w:t>第六届委员：温养东、张继德、夏前军</w:t>
            </w:r>
          </w:p>
        </w:tc>
      </w:tr>
      <w:tr w14:paraId="5A2F1EED">
        <w:tblPrEx>
          <w:tblCellMar>
            <w:top w:w="0" w:type="dxa"/>
            <w:left w:w="108" w:type="dxa"/>
            <w:bottom w:w="0" w:type="dxa"/>
            <w:right w:w="108" w:type="dxa"/>
          </w:tblCellMar>
        </w:tblPrEx>
        <w:trPr>
          <w:trHeight w:val="270" w:hRule="atLeast"/>
          <w:jc w:val="center"/>
        </w:trPr>
        <w:tc>
          <w:tcPr>
            <w:tcW w:w="2586" w:type="dxa"/>
            <w:tcBorders>
              <w:top w:val="nil"/>
              <w:left w:val="single" w:color="auto" w:sz="4" w:space="0"/>
              <w:bottom w:val="single" w:color="auto" w:sz="4" w:space="0"/>
              <w:right w:val="single" w:color="auto" w:sz="4" w:space="0"/>
            </w:tcBorders>
            <w:shd w:val="clear" w:color="auto" w:fill="auto"/>
            <w:noWrap/>
            <w:vAlign w:val="center"/>
          </w:tcPr>
          <w:p w14:paraId="11448FD0">
            <w:pPr>
              <w:rPr>
                <w:rFonts w:hint="eastAsia"/>
                <w:color w:val="000000"/>
                <w:sz w:val="22"/>
              </w:rPr>
            </w:pPr>
            <w:r>
              <w:rPr>
                <w:rFonts w:hint="eastAsia"/>
                <w:color w:val="000000"/>
                <w:sz w:val="22"/>
              </w:rPr>
              <w:t>薪酬与考核委员会</w:t>
            </w:r>
          </w:p>
        </w:tc>
        <w:tc>
          <w:tcPr>
            <w:tcW w:w="6465" w:type="dxa"/>
            <w:tcBorders>
              <w:top w:val="nil"/>
              <w:left w:val="nil"/>
              <w:bottom w:val="single" w:color="auto" w:sz="4" w:space="0"/>
              <w:right w:val="single" w:color="auto" w:sz="4" w:space="0"/>
            </w:tcBorders>
            <w:shd w:val="clear" w:color="auto" w:fill="auto"/>
            <w:noWrap/>
            <w:vAlign w:val="center"/>
          </w:tcPr>
          <w:p w14:paraId="2E28557F">
            <w:pPr>
              <w:rPr>
                <w:rFonts w:hint="eastAsia"/>
                <w:sz w:val="22"/>
              </w:rPr>
            </w:pPr>
            <w:r>
              <w:rPr>
                <w:rFonts w:hint="eastAsia"/>
                <w:sz w:val="22"/>
              </w:rPr>
              <w:t>第五届委员：卢业虎、张继德、陈向东</w:t>
            </w:r>
          </w:p>
          <w:p w14:paraId="0E4DCFF2">
            <w:pPr>
              <w:rPr>
                <w:rFonts w:hint="eastAsia"/>
                <w:sz w:val="22"/>
              </w:rPr>
            </w:pPr>
            <w:r>
              <w:rPr>
                <w:rFonts w:hint="eastAsia"/>
                <w:sz w:val="22"/>
              </w:rPr>
              <w:t>第六届委员：李华、张继德、陈向东</w:t>
            </w:r>
          </w:p>
        </w:tc>
      </w:tr>
      <w:tr w14:paraId="1A074088">
        <w:tblPrEx>
          <w:tblCellMar>
            <w:top w:w="0" w:type="dxa"/>
            <w:left w:w="108" w:type="dxa"/>
            <w:bottom w:w="0" w:type="dxa"/>
            <w:right w:w="108" w:type="dxa"/>
          </w:tblCellMar>
        </w:tblPrEx>
        <w:trPr>
          <w:trHeight w:val="270" w:hRule="atLeast"/>
          <w:jc w:val="center"/>
        </w:trPr>
        <w:tc>
          <w:tcPr>
            <w:tcW w:w="25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243C9">
            <w:pPr>
              <w:rPr>
                <w:rFonts w:hint="eastAsia"/>
                <w:color w:val="000000"/>
                <w:sz w:val="22"/>
              </w:rPr>
            </w:pPr>
            <w:r>
              <w:rPr>
                <w:rFonts w:hint="eastAsia"/>
                <w:color w:val="000000"/>
                <w:sz w:val="22"/>
              </w:rPr>
              <w:t>战略与ESG委员会</w:t>
            </w:r>
          </w:p>
        </w:tc>
        <w:tc>
          <w:tcPr>
            <w:tcW w:w="6465" w:type="dxa"/>
            <w:tcBorders>
              <w:top w:val="single" w:color="auto" w:sz="4" w:space="0"/>
              <w:left w:val="nil"/>
              <w:bottom w:val="single" w:color="auto" w:sz="4" w:space="0"/>
              <w:right w:val="single" w:color="auto" w:sz="4" w:space="0"/>
            </w:tcBorders>
            <w:shd w:val="clear" w:color="auto" w:fill="auto"/>
            <w:noWrap/>
            <w:vAlign w:val="center"/>
          </w:tcPr>
          <w:p w14:paraId="4FC9DEC0">
            <w:pPr>
              <w:rPr>
                <w:rFonts w:hint="eastAsia"/>
                <w:sz w:val="22"/>
              </w:rPr>
            </w:pPr>
            <w:r>
              <w:rPr>
                <w:rFonts w:hint="eastAsia"/>
                <w:sz w:val="22"/>
              </w:rPr>
              <w:t>第五届委员：夏前军、陈向东、杨大军、徐坚、卢业虎</w:t>
            </w:r>
          </w:p>
          <w:p w14:paraId="23AF601F">
            <w:pPr>
              <w:rPr>
                <w:rFonts w:hint="eastAsia"/>
                <w:sz w:val="22"/>
              </w:rPr>
            </w:pPr>
            <w:r>
              <w:rPr>
                <w:rFonts w:hint="eastAsia"/>
                <w:sz w:val="22"/>
              </w:rPr>
              <w:t>第六届委员：夏前军、陈向东、杨金龙、温养东、李华</w:t>
            </w:r>
          </w:p>
        </w:tc>
      </w:tr>
    </w:tbl>
    <w:p w14:paraId="23436EE2">
      <w:pPr>
        <w:rPr>
          <w:rFonts w:hint="eastAsia"/>
          <w:sz w:val="15"/>
          <w:szCs w:val="15"/>
        </w:rPr>
      </w:pPr>
      <w:r>
        <w:rPr>
          <w:rFonts w:hint="eastAsia"/>
          <w:sz w:val="15"/>
          <w:szCs w:val="15"/>
        </w:rPr>
        <w:t>注：2024年6月14日，公司召开第六届董事会第一次会议，审议通过了关于《选举公司第六届董事会各专门委员会委员》的议案，选举产生了董事会各专门委员会委员及主席（召集人），具体内容详见公司披露的《际华集团关于董事会、监事会完成换届选举暨聘任高级管理人员、董事会秘书、证券事务代表的公告》（公告编号：临2024-034）</w:t>
      </w:r>
    </w:p>
    <w:p w14:paraId="5D6664A4">
      <w:pPr>
        <w:rPr>
          <w:rFonts w:hint="eastAsia"/>
          <w:sz w:val="15"/>
          <w:szCs w:val="15"/>
        </w:rPr>
      </w:pPr>
    </w:p>
    <w:p w14:paraId="6D01A6E5">
      <w:pPr>
        <w:pStyle w:val="4"/>
        <w:numPr>
          <w:ilvl w:val="0"/>
          <w:numId w:val="30"/>
        </w:numPr>
      </w:pPr>
      <w:r>
        <w:rPr>
          <w:rFonts w:hint="eastAsia"/>
        </w:rPr>
        <w:t>报告期内</w:t>
      </w:r>
      <w:sdt>
        <w:sdtPr>
          <w:rPr>
            <w:rFonts w:hint="eastAsia" w:ascii="宋体" w:hAnsi="宋体" w:cs="宋体"/>
            <w:kern w:val="0"/>
            <w:szCs w:val="24"/>
          </w:rPr>
          <w:alias w:val="召开会议的专门委员会类别"/>
          <w:tag w:val="_GBC_adf76ecbe3584f07b573642215a867bd"/>
          <w:id w:val="-276254794"/>
          <w:placeholder>
            <w:docPart w:val="GBC22222222222222222222222222222"/>
          </w:placeholder>
        </w:sdtPr>
        <w:sdtEndPr>
          <w:rPr>
            <w:rFonts w:hint="eastAsia" w:ascii="宋体" w:hAnsi="宋体" w:cs="宋体"/>
            <w:kern w:val="0"/>
            <w:szCs w:val="24"/>
          </w:rPr>
        </w:sdtEndPr>
        <w:sdtContent>
          <w:r>
            <w:rPr>
              <w:rFonts w:hint="eastAsia"/>
            </w:rPr>
            <w:t>审计与风险管理</w:t>
          </w:r>
        </w:sdtContent>
      </w:sdt>
      <w:r>
        <w:rPr>
          <w:rFonts w:hint="eastAsia"/>
        </w:rPr>
        <w:t>委员会召开</w:t>
      </w:r>
      <w:sdt>
        <w:sdtPr>
          <w:rPr>
            <w:rFonts w:hint="eastAsia" w:ascii="宋体" w:hAnsi="宋体" w:cs="宋体"/>
            <w:kern w:val="0"/>
            <w:szCs w:val="24"/>
          </w:rPr>
          <w:alias w:val="报告期内召开专门委员会会议次数"/>
          <w:tag w:val="_GBC_7bf2cd7c3a6a4685ac9c89ee396352a0"/>
          <w:id w:val="811685312"/>
          <w:placeholder>
            <w:docPart w:val="GBC22222222222222222222222222222"/>
          </w:placeholder>
        </w:sdtPr>
        <w:sdtEndPr>
          <w:rPr>
            <w:rFonts w:hint="eastAsia" w:ascii="宋体" w:hAnsi="宋体" w:cs="宋体"/>
            <w:kern w:val="0"/>
            <w:szCs w:val="24"/>
          </w:rPr>
        </w:sdtEndPr>
        <w:sdtContent>
          <w:r>
            <w:rPr>
              <w:rFonts w:hint="eastAsia"/>
            </w:rPr>
            <w:t>7</w:t>
          </w:r>
        </w:sdtContent>
      </w:sdt>
      <w:r>
        <w:rPr>
          <w:rFonts w:hint="eastAsia"/>
        </w:rPr>
        <w:t>次会议</w:t>
      </w:r>
    </w:p>
    <w:tbl>
      <w:tblPr>
        <w:tblStyle w:val="37"/>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2768"/>
        <w:gridCol w:w="3111"/>
        <w:gridCol w:w="1857"/>
      </w:tblGrid>
      <w:tr w14:paraId="472E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81aefc289fbf48b1865138608d8bd14f"/>
            <w:id w:val="-252966090"/>
          </w:sdtPr>
          <w:sdtContent>
            <w:tc>
              <w:tcPr>
                <w:tcW w:w="609" w:type="pct"/>
                <w:shd w:val="clear" w:color="auto" w:fill="auto"/>
                <w:vAlign w:val="center"/>
              </w:tcPr>
              <w:p w14:paraId="736C9460">
                <w:pPr>
                  <w:widowControl w:val="0"/>
                  <w:jc w:val="center"/>
                  <w:rPr>
                    <w:rFonts w:hint="eastAsia"/>
                    <w:szCs w:val="21"/>
                  </w:rPr>
                </w:pPr>
                <w:r>
                  <w:rPr>
                    <w:rFonts w:hint="eastAsia"/>
                    <w:szCs w:val="21"/>
                  </w:rPr>
                  <w:t>召开日期</w:t>
                </w:r>
              </w:p>
            </w:tc>
          </w:sdtContent>
        </w:sdt>
        <w:sdt>
          <w:sdtPr>
            <w:tag w:val="_PLD_9d24b601ec70414eb969daf6b393edc8"/>
            <w:id w:val="1512724766"/>
          </w:sdtPr>
          <w:sdtContent>
            <w:tc>
              <w:tcPr>
                <w:tcW w:w="1570" w:type="pct"/>
                <w:shd w:val="clear" w:color="auto" w:fill="auto"/>
                <w:vAlign w:val="center"/>
              </w:tcPr>
              <w:p w14:paraId="27852A60">
                <w:pPr>
                  <w:widowControl w:val="0"/>
                  <w:jc w:val="center"/>
                  <w:rPr>
                    <w:rFonts w:hint="eastAsia"/>
                    <w:szCs w:val="21"/>
                  </w:rPr>
                </w:pPr>
                <w:r>
                  <w:rPr>
                    <w:rFonts w:hint="eastAsia"/>
                    <w:szCs w:val="21"/>
                  </w:rPr>
                  <w:t>会议内容</w:t>
                </w:r>
              </w:p>
            </w:tc>
          </w:sdtContent>
        </w:sdt>
        <w:sdt>
          <w:sdtPr>
            <w:tag w:val="_PLD_6ea19dadc3684e98a6d98faaf035a9d9"/>
            <w:id w:val="586744414"/>
          </w:sdtPr>
          <w:sdtContent>
            <w:tc>
              <w:tcPr>
                <w:tcW w:w="1765" w:type="pct"/>
                <w:shd w:val="clear" w:color="auto" w:fill="auto"/>
                <w:vAlign w:val="center"/>
              </w:tcPr>
              <w:p w14:paraId="3AB77653">
                <w:pPr>
                  <w:widowControl w:val="0"/>
                  <w:jc w:val="center"/>
                  <w:rPr>
                    <w:rFonts w:hint="eastAsia"/>
                    <w:szCs w:val="21"/>
                  </w:rPr>
                </w:pPr>
                <w:r>
                  <w:rPr>
                    <w:rFonts w:hint="eastAsia"/>
                    <w:szCs w:val="21"/>
                  </w:rPr>
                  <w:t>重要意见和建议</w:t>
                </w:r>
              </w:p>
            </w:tc>
          </w:sdtContent>
        </w:sdt>
        <w:sdt>
          <w:sdtPr>
            <w:tag w:val="_PLD_ef03d3ffb00740008011022cb6a96805"/>
            <w:id w:val="694735763"/>
          </w:sdtPr>
          <w:sdtContent>
            <w:tc>
              <w:tcPr>
                <w:tcW w:w="1054" w:type="pct"/>
                <w:shd w:val="clear" w:color="auto" w:fill="auto"/>
                <w:vAlign w:val="center"/>
              </w:tcPr>
              <w:p w14:paraId="2B4312A3">
                <w:pPr>
                  <w:widowControl w:val="0"/>
                  <w:jc w:val="center"/>
                  <w:rPr>
                    <w:rFonts w:hint="eastAsia"/>
                    <w:szCs w:val="21"/>
                  </w:rPr>
                </w:pPr>
                <w:r>
                  <w:rPr>
                    <w:rFonts w:hint="eastAsia"/>
                    <w:szCs w:val="21"/>
                  </w:rPr>
                  <w:t>其他履行职责情况</w:t>
                </w:r>
              </w:p>
            </w:tc>
          </w:sdtContent>
        </w:sdt>
      </w:tr>
      <w:tr w14:paraId="56E7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6A339676">
            <w:pPr>
              <w:widowControl w:val="0"/>
              <w:jc w:val="both"/>
              <w:rPr>
                <w:rFonts w:hint="eastAsia"/>
                <w:szCs w:val="21"/>
              </w:rPr>
            </w:pPr>
            <w:r>
              <w:rPr>
                <w:rFonts w:hint="eastAsia"/>
                <w:szCs w:val="21"/>
              </w:rPr>
              <w:t>2024年2月4日</w:t>
            </w:r>
          </w:p>
        </w:tc>
        <w:tc>
          <w:tcPr>
            <w:tcW w:w="1570" w:type="pct"/>
            <w:shd w:val="clear" w:color="auto" w:fill="auto"/>
          </w:tcPr>
          <w:p w14:paraId="582029C6">
            <w:pPr>
              <w:widowControl w:val="0"/>
              <w:numPr>
                <w:ilvl w:val="0"/>
                <w:numId w:val="31"/>
              </w:numPr>
              <w:jc w:val="both"/>
              <w:rPr>
                <w:rFonts w:hint="eastAsia"/>
                <w:szCs w:val="21"/>
              </w:rPr>
            </w:pPr>
            <w:r>
              <w:rPr>
                <w:rFonts w:hint="eastAsia"/>
                <w:szCs w:val="21"/>
              </w:rPr>
              <w:t>审阅了《际华集团股份有限公司 2023年度财务报表决算审计工作方案》</w:t>
            </w:r>
          </w:p>
          <w:p w14:paraId="64EF62E6">
            <w:pPr>
              <w:widowControl w:val="0"/>
              <w:numPr>
                <w:ilvl w:val="0"/>
                <w:numId w:val="31"/>
              </w:numPr>
              <w:jc w:val="both"/>
              <w:rPr>
                <w:rFonts w:hint="eastAsia"/>
                <w:szCs w:val="21"/>
              </w:rPr>
            </w:pPr>
            <w:r>
              <w:rPr>
                <w:rFonts w:hint="eastAsia"/>
                <w:szCs w:val="21"/>
              </w:rPr>
              <w:t>听取了资产财务部对《际华集团股份有限公司 2023年度财务报表(预估)》所作的说明</w:t>
            </w:r>
          </w:p>
        </w:tc>
        <w:tc>
          <w:tcPr>
            <w:tcW w:w="1765" w:type="pct"/>
            <w:shd w:val="clear" w:color="auto" w:fill="auto"/>
          </w:tcPr>
          <w:p w14:paraId="4EB206D1">
            <w:pPr>
              <w:widowControl w:val="0"/>
              <w:numPr>
                <w:ilvl w:val="0"/>
                <w:numId w:val="32"/>
              </w:numPr>
              <w:jc w:val="both"/>
              <w:rPr>
                <w:rFonts w:hint="eastAsia"/>
                <w:szCs w:val="21"/>
              </w:rPr>
            </w:pPr>
            <w:r>
              <w:rPr>
                <w:rFonts w:hint="eastAsia"/>
                <w:szCs w:val="21"/>
              </w:rPr>
              <w:t>与会委员一致同意大华会计师事务所从事本年度财报审计和内控审计的时间安排和工作计划。张继德主席要求，首先需要关注2023年会计准则的变化对公司的影响，包括对财务报表、公司经营业绩和财务状况的影响。其次，要重点关注公司重要事项对经营业绩和财务状况的影响程度和范围，及时采取有效措施来应对。同时，也需要密切关注公司重要指标的变化情况，及时进行分析和评估，并及时调整经营策略和措施。</w:t>
            </w:r>
          </w:p>
          <w:p w14:paraId="1EBC6408">
            <w:pPr>
              <w:widowControl w:val="0"/>
              <w:numPr>
                <w:ilvl w:val="0"/>
                <w:numId w:val="32"/>
              </w:numPr>
              <w:jc w:val="both"/>
              <w:rPr>
                <w:rFonts w:hint="eastAsia"/>
                <w:szCs w:val="21"/>
              </w:rPr>
            </w:pPr>
            <w:r>
              <w:rPr>
                <w:rFonts w:hint="eastAsia"/>
                <w:szCs w:val="21"/>
              </w:rPr>
              <w:t>与会委员对《际华集团股份有限公司2023年度财务报表(预估)》出具了书面初步审议意见。张继德主席强调需要持续关注公司的重点事项,并及时作出准确的反应。</w:t>
            </w:r>
          </w:p>
        </w:tc>
        <w:tc>
          <w:tcPr>
            <w:tcW w:w="1054" w:type="pct"/>
            <w:shd w:val="clear" w:color="auto" w:fill="auto"/>
          </w:tcPr>
          <w:p w14:paraId="3C565428">
            <w:pPr>
              <w:widowControl w:val="0"/>
              <w:jc w:val="both"/>
              <w:rPr>
                <w:rFonts w:hint="eastAsia"/>
                <w:szCs w:val="21"/>
              </w:rPr>
            </w:pPr>
            <w:r>
              <w:rPr>
                <w:rFonts w:hint="eastAsia"/>
                <w:szCs w:val="21"/>
              </w:rPr>
              <w:t>无</w:t>
            </w:r>
          </w:p>
        </w:tc>
      </w:tr>
      <w:tr w14:paraId="6327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065F0836">
            <w:pPr>
              <w:widowControl w:val="0"/>
              <w:jc w:val="both"/>
              <w:rPr>
                <w:rFonts w:hint="eastAsia"/>
                <w:szCs w:val="21"/>
              </w:rPr>
            </w:pPr>
            <w:r>
              <w:rPr>
                <w:rFonts w:hint="eastAsia"/>
                <w:szCs w:val="21"/>
              </w:rPr>
              <w:t>2024年4月12日</w:t>
            </w:r>
          </w:p>
        </w:tc>
        <w:tc>
          <w:tcPr>
            <w:tcW w:w="1570" w:type="pct"/>
            <w:shd w:val="clear" w:color="auto" w:fill="auto"/>
          </w:tcPr>
          <w:p w14:paraId="06CAB545">
            <w:pPr>
              <w:widowControl w:val="0"/>
              <w:numPr>
                <w:ilvl w:val="0"/>
                <w:numId w:val="33"/>
              </w:numPr>
              <w:jc w:val="both"/>
              <w:rPr>
                <w:rFonts w:hint="eastAsia"/>
                <w:szCs w:val="21"/>
              </w:rPr>
            </w:pPr>
            <w:r>
              <w:rPr>
                <w:rFonts w:hint="eastAsia"/>
                <w:szCs w:val="21"/>
              </w:rPr>
              <w:t>审议关于《际华集团股份有限公司2023年度财务报表审计报告》的议案</w:t>
            </w:r>
          </w:p>
          <w:p w14:paraId="2998CDA4">
            <w:pPr>
              <w:widowControl w:val="0"/>
              <w:numPr>
                <w:ilvl w:val="0"/>
                <w:numId w:val="33"/>
              </w:numPr>
              <w:jc w:val="both"/>
              <w:rPr>
                <w:rFonts w:hint="eastAsia"/>
                <w:szCs w:val="21"/>
              </w:rPr>
            </w:pPr>
            <w:r>
              <w:rPr>
                <w:rFonts w:hint="eastAsia"/>
                <w:szCs w:val="21"/>
              </w:rPr>
              <w:t>审议关于《际华集团股份有限公司2023年度内部控制审计报告》的议案</w:t>
            </w:r>
          </w:p>
          <w:p w14:paraId="6615E18B">
            <w:pPr>
              <w:widowControl w:val="0"/>
              <w:numPr>
                <w:ilvl w:val="0"/>
                <w:numId w:val="33"/>
              </w:numPr>
              <w:jc w:val="both"/>
              <w:rPr>
                <w:rFonts w:hint="eastAsia"/>
                <w:szCs w:val="21"/>
              </w:rPr>
            </w:pPr>
            <w:r>
              <w:rPr>
                <w:rFonts w:hint="eastAsia"/>
                <w:szCs w:val="21"/>
              </w:rPr>
              <w:t>审议关于《际华集团2023年年度报告及摘要》的议案</w:t>
            </w:r>
          </w:p>
          <w:p w14:paraId="707A90F2">
            <w:pPr>
              <w:widowControl w:val="0"/>
              <w:numPr>
                <w:ilvl w:val="0"/>
                <w:numId w:val="33"/>
              </w:numPr>
              <w:jc w:val="both"/>
              <w:rPr>
                <w:rFonts w:hint="eastAsia"/>
                <w:szCs w:val="21"/>
              </w:rPr>
            </w:pPr>
            <w:r>
              <w:rPr>
                <w:rFonts w:hint="eastAsia"/>
                <w:szCs w:val="21"/>
              </w:rPr>
              <w:t>审议关于《会计政策变更》的议案</w:t>
            </w:r>
          </w:p>
          <w:p w14:paraId="291792FF">
            <w:pPr>
              <w:widowControl w:val="0"/>
              <w:numPr>
                <w:ilvl w:val="0"/>
                <w:numId w:val="33"/>
              </w:numPr>
              <w:jc w:val="both"/>
              <w:rPr>
                <w:rFonts w:hint="eastAsia"/>
                <w:szCs w:val="21"/>
              </w:rPr>
            </w:pPr>
            <w:r>
              <w:rPr>
                <w:rFonts w:hint="eastAsia"/>
                <w:szCs w:val="21"/>
              </w:rPr>
              <w:t>审议关于《计提资产减值准备》的议案</w:t>
            </w:r>
          </w:p>
          <w:p w14:paraId="086EF684">
            <w:pPr>
              <w:widowControl w:val="0"/>
              <w:numPr>
                <w:ilvl w:val="0"/>
                <w:numId w:val="33"/>
              </w:numPr>
              <w:jc w:val="both"/>
              <w:rPr>
                <w:rFonts w:hint="eastAsia"/>
                <w:szCs w:val="21"/>
              </w:rPr>
            </w:pPr>
            <w:r>
              <w:rPr>
                <w:rFonts w:hint="eastAsia"/>
                <w:szCs w:val="21"/>
              </w:rPr>
              <w:t>审议关于《2023年合规管理年度报告》的议案</w:t>
            </w:r>
          </w:p>
          <w:p w14:paraId="23F3CA12">
            <w:pPr>
              <w:widowControl w:val="0"/>
              <w:numPr>
                <w:ilvl w:val="0"/>
                <w:numId w:val="33"/>
              </w:numPr>
              <w:jc w:val="both"/>
              <w:rPr>
                <w:rFonts w:hint="eastAsia"/>
                <w:szCs w:val="21"/>
              </w:rPr>
            </w:pPr>
            <w:r>
              <w:rPr>
                <w:rFonts w:hint="eastAsia"/>
                <w:szCs w:val="21"/>
              </w:rPr>
              <w:t>审议关于《2023年度内部控制评价报告》的议案</w:t>
            </w:r>
          </w:p>
          <w:p w14:paraId="5A9BDD25">
            <w:pPr>
              <w:widowControl w:val="0"/>
              <w:numPr>
                <w:ilvl w:val="0"/>
                <w:numId w:val="33"/>
              </w:numPr>
              <w:jc w:val="both"/>
              <w:rPr>
                <w:rFonts w:hint="eastAsia"/>
                <w:szCs w:val="21"/>
              </w:rPr>
            </w:pPr>
            <w:r>
              <w:rPr>
                <w:rFonts w:hint="eastAsia"/>
                <w:szCs w:val="21"/>
              </w:rPr>
              <w:t>审议关于《2023 年度内部审计工作报告》及《2024 年度内部审计工作计划》的议案</w:t>
            </w:r>
          </w:p>
          <w:p w14:paraId="287FAEA8">
            <w:pPr>
              <w:widowControl w:val="0"/>
              <w:numPr>
                <w:ilvl w:val="0"/>
                <w:numId w:val="33"/>
              </w:numPr>
              <w:jc w:val="both"/>
              <w:rPr>
                <w:rFonts w:hint="eastAsia"/>
                <w:szCs w:val="21"/>
              </w:rPr>
            </w:pPr>
            <w:r>
              <w:rPr>
                <w:rFonts w:hint="eastAsia"/>
                <w:szCs w:val="21"/>
              </w:rPr>
              <w:t>审议关于《2023年度会计师事务所履职情况评估报告》的议案</w:t>
            </w:r>
          </w:p>
          <w:p w14:paraId="455C312E">
            <w:pPr>
              <w:widowControl w:val="0"/>
              <w:numPr>
                <w:ilvl w:val="0"/>
                <w:numId w:val="33"/>
              </w:numPr>
              <w:jc w:val="both"/>
              <w:rPr>
                <w:rFonts w:hint="eastAsia"/>
                <w:szCs w:val="21"/>
              </w:rPr>
            </w:pPr>
            <w:r>
              <w:rPr>
                <w:rFonts w:hint="eastAsia"/>
                <w:szCs w:val="21"/>
              </w:rPr>
              <w:t>审议关于《董事会审计与风险管理委员会对会计师事务所2023年度履行监督职责情况的报告》的议案</w:t>
            </w:r>
          </w:p>
          <w:p w14:paraId="7CD79CDB">
            <w:pPr>
              <w:widowControl w:val="0"/>
              <w:numPr>
                <w:ilvl w:val="0"/>
                <w:numId w:val="33"/>
              </w:numPr>
              <w:jc w:val="both"/>
              <w:rPr>
                <w:rFonts w:hint="eastAsia"/>
                <w:szCs w:val="21"/>
              </w:rPr>
            </w:pPr>
            <w:r>
              <w:rPr>
                <w:rFonts w:hint="eastAsia"/>
                <w:szCs w:val="21"/>
              </w:rPr>
              <w:t>审议关于《董事会审计与风险管理委员会2023年度履职情况报告》的议案</w:t>
            </w:r>
          </w:p>
        </w:tc>
        <w:tc>
          <w:tcPr>
            <w:tcW w:w="1765" w:type="pct"/>
            <w:shd w:val="clear" w:color="auto" w:fill="auto"/>
          </w:tcPr>
          <w:p w14:paraId="76A97404">
            <w:pPr>
              <w:widowControl w:val="0"/>
              <w:numPr>
                <w:ilvl w:val="0"/>
                <w:numId w:val="34"/>
              </w:numPr>
              <w:jc w:val="both"/>
              <w:rPr>
                <w:rFonts w:hint="eastAsia"/>
                <w:szCs w:val="21"/>
              </w:rPr>
            </w:pPr>
            <w:r>
              <w:rPr>
                <w:rFonts w:hint="eastAsia"/>
                <w:szCs w:val="21"/>
              </w:rPr>
              <w:t>会议认为年审注册会计师在年审工作中已严格按照中国注册会计师独立审计准则的规定执行了审计工作，审计时间及人员分配合理、审计程序规范，审计证据充足、专业能力胜任，出具的审计报告客观公正。与会委员同意将依据该报告编制的财务决算报告、年报以及各专项报告提交公司第五届董事会第二十三次会议审议。</w:t>
            </w:r>
          </w:p>
          <w:p w14:paraId="5DD4C466">
            <w:pPr>
              <w:widowControl w:val="0"/>
              <w:numPr>
                <w:ilvl w:val="0"/>
                <w:numId w:val="34"/>
              </w:numPr>
              <w:jc w:val="both"/>
              <w:rPr>
                <w:rFonts w:hint="eastAsia"/>
                <w:szCs w:val="21"/>
              </w:rPr>
            </w:pPr>
            <w:r>
              <w:rPr>
                <w:rFonts w:hint="eastAsia"/>
                <w:szCs w:val="21"/>
              </w:rPr>
              <w:t>会议认为年审注册会计师在内控审计工作中已严格按照《企业内部控制审计指引》的规定执行了内控审计工作，审计时间及人员分配合理、审计程序规范，审计证据充足、专业能力胜任，出具的内控审计报告客观公正。</w:t>
            </w:r>
          </w:p>
          <w:p w14:paraId="467F5C23">
            <w:pPr>
              <w:widowControl w:val="0"/>
              <w:numPr>
                <w:ilvl w:val="0"/>
                <w:numId w:val="34"/>
              </w:numPr>
              <w:jc w:val="both"/>
              <w:rPr>
                <w:rFonts w:hint="eastAsia"/>
                <w:szCs w:val="21"/>
              </w:rPr>
            </w:pPr>
            <w:r>
              <w:rPr>
                <w:rFonts w:hint="eastAsia"/>
                <w:szCs w:val="21"/>
              </w:rPr>
              <w:t>委员们认真审核了公司及子公司的财务报表，认为在公司董事会的科学决策下，际华集团立足发挥经营管理主体定位，不断深入推进流程再造和改革深化，公司各项工作取得积极成效。与会委员同意将际华集团《2023年年度报告及摘要》提交公司第五届董事会第二十三次会议审议。</w:t>
            </w:r>
          </w:p>
          <w:p w14:paraId="1EFE97D0">
            <w:pPr>
              <w:widowControl w:val="0"/>
              <w:numPr>
                <w:ilvl w:val="0"/>
                <w:numId w:val="34"/>
              </w:numPr>
              <w:jc w:val="both"/>
              <w:rPr>
                <w:rFonts w:hint="eastAsia"/>
                <w:szCs w:val="21"/>
              </w:rPr>
            </w:pPr>
            <w:r>
              <w:rPr>
                <w:rFonts w:hint="eastAsia"/>
                <w:szCs w:val="21"/>
              </w:rPr>
              <w:t>委员们认为本次会计政策变更是公司根据财政部相关文件进行的合理变更，不会对公司财务状况、经营成果和现金流量产生重大影响，不存在损害公司及全体股东合法权益的情况，并要求公司要严格按照会计政策合规开展财务管理。与会委员同意将际华集团关于《会计政策变更》的议案提交公司第五届董事会第二十三次会议审议。</w:t>
            </w:r>
          </w:p>
          <w:p w14:paraId="2812CC06">
            <w:pPr>
              <w:widowControl w:val="0"/>
              <w:numPr>
                <w:ilvl w:val="0"/>
                <w:numId w:val="34"/>
              </w:numPr>
              <w:jc w:val="both"/>
              <w:rPr>
                <w:rFonts w:hint="eastAsia"/>
                <w:szCs w:val="21"/>
              </w:rPr>
            </w:pPr>
            <w:r>
              <w:rPr>
                <w:rFonts w:hint="eastAsia"/>
                <w:szCs w:val="21"/>
              </w:rPr>
              <w:t>与会委员认为公司本次计提资产减值准备是基于谨慎性原则，符合《企业会计准则》和公司相关会计政策的规定，能够真实反映公司2023年度资产公允价值和财务状况。与会委员同意将关于《计提资产减值准备》的议案提交公司第五届董事会第二十三次会议审议。</w:t>
            </w:r>
          </w:p>
          <w:p w14:paraId="7429C443">
            <w:pPr>
              <w:widowControl w:val="0"/>
              <w:numPr>
                <w:ilvl w:val="0"/>
                <w:numId w:val="34"/>
              </w:numPr>
              <w:jc w:val="both"/>
              <w:rPr>
                <w:rFonts w:hint="eastAsia"/>
                <w:szCs w:val="21"/>
              </w:rPr>
            </w:pPr>
            <w:r>
              <w:rPr>
                <w:rFonts w:hint="eastAsia"/>
                <w:szCs w:val="21"/>
              </w:rPr>
              <w:t>委员们认为，际华集团不断健全合规管理组织体系及运行机制，加强合规文化建设。与会委员同意将际华集团《2023年合规管理年度报告》提交公司第五届董事会第二十三次会议审议。</w:t>
            </w:r>
          </w:p>
          <w:p w14:paraId="015B467D">
            <w:pPr>
              <w:widowControl w:val="0"/>
              <w:numPr>
                <w:ilvl w:val="0"/>
                <w:numId w:val="34"/>
              </w:numPr>
              <w:jc w:val="both"/>
              <w:rPr>
                <w:rFonts w:hint="eastAsia"/>
                <w:szCs w:val="21"/>
              </w:rPr>
            </w:pPr>
            <w:r>
              <w:rPr>
                <w:rFonts w:hint="eastAsia"/>
                <w:szCs w:val="21"/>
              </w:rPr>
              <w:t>委员们认为，该报告依据中国证监会和财政部联合发布的《公开发行证券的公司信息披露编报规则第21号-年度内部控制评价报告的一般规定》、上海证券交易所颁布的《上市公司内部控制指引》《企业内部控制基本规范》及《企业内部控制评价指引》的相关规定，按照公司内部控制有关制度和评价办法，在内部控制日常监督和专项监督的基础上，对公司2023 年度内部控制方面设计与运行的有效性进行了评价。与会委员同意将此议案提交公司第五届董事会第二十三次会议审议。</w:t>
            </w:r>
          </w:p>
          <w:p w14:paraId="25ABDE89">
            <w:pPr>
              <w:widowControl w:val="0"/>
              <w:numPr>
                <w:ilvl w:val="0"/>
                <w:numId w:val="34"/>
              </w:numPr>
              <w:jc w:val="both"/>
              <w:rPr>
                <w:rFonts w:hint="eastAsia"/>
                <w:szCs w:val="21"/>
              </w:rPr>
            </w:pPr>
            <w:r>
              <w:rPr>
                <w:rFonts w:hint="eastAsia"/>
                <w:szCs w:val="21"/>
              </w:rPr>
              <w:t>委员们认为，公司 2023 年审计工作能够以问题、风险为导向，通过审计工作不断促进公司内控体系建设、规范经营业务行为，稳步开展各项内部审计任务。委员们强调公司2024年审计计划要坚持以防范风险为导向，着力发挥内部审计公司对公司高质量发展的预防参谋作用。与会委员同意将《2023年度内部审计工作报告》及《2024年内部审计工作计划》提交公司第五届董事会第二十三次会议审议。</w:t>
            </w:r>
          </w:p>
          <w:p w14:paraId="4D84FF4B">
            <w:pPr>
              <w:widowControl w:val="0"/>
              <w:numPr>
                <w:ilvl w:val="0"/>
                <w:numId w:val="34"/>
              </w:numPr>
              <w:jc w:val="both"/>
              <w:rPr>
                <w:rFonts w:hint="eastAsia"/>
                <w:szCs w:val="21"/>
              </w:rPr>
            </w:pPr>
            <w:r>
              <w:rPr>
                <w:rFonts w:hint="eastAsia"/>
                <w:szCs w:val="21"/>
              </w:rPr>
              <w:t>与会委员同意将际华集团《关于2023年度会计师事务所履职情况评估报告》提交公司第五届董事会第二十三次会议审议。</w:t>
            </w:r>
          </w:p>
          <w:p w14:paraId="0242B734">
            <w:pPr>
              <w:widowControl w:val="0"/>
              <w:numPr>
                <w:ilvl w:val="0"/>
                <w:numId w:val="34"/>
              </w:numPr>
              <w:jc w:val="both"/>
              <w:rPr>
                <w:rFonts w:hint="eastAsia"/>
                <w:szCs w:val="21"/>
              </w:rPr>
            </w:pPr>
            <w:r>
              <w:rPr>
                <w:rFonts w:hint="eastAsia"/>
                <w:szCs w:val="21"/>
              </w:rPr>
              <w:t>与会委员认为报告客观描述了董事会审计与风险管理委员会与大华公司2023年度财务报告的审计事项进行沟通协商的有关情况，真实反映了董事会审计与风险管理委员会履行监督职责的情况。与会委员同意将《董事会审计与风险管理委员会对会计师事务所2023年度履行监督职责情况的报告》提交公司第五届董事会第二十三次会议审议。</w:t>
            </w:r>
          </w:p>
          <w:p w14:paraId="547B04AE">
            <w:pPr>
              <w:widowControl w:val="0"/>
              <w:numPr>
                <w:ilvl w:val="0"/>
                <w:numId w:val="34"/>
              </w:numPr>
              <w:jc w:val="both"/>
              <w:rPr>
                <w:rFonts w:hint="eastAsia"/>
                <w:szCs w:val="21"/>
              </w:rPr>
            </w:pPr>
            <w:r>
              <w:rPr>
                <w:rFonts w:hint="eastAsia"/>
                <w:szCs w:val="21"/>
              </w:rPr>
              <w:t>与会委员认为报告结构合理，内容详实，准确反映了董事会审计与风险管理委员会2023年度履职情况。与会委员同意将《董事会审计与风险管理委员会2023年度履职情况报告》提交公司第五届董事会第二十三次会议审议。</w:t>
            </w:r>
          </w:p>
        </w:tc>
        <w:tc>
          <w:tcPr>
            <w:tcW w:w="1054" w:type="pct"/>
            <w:shd w:val="clear" w:color="auto" w:fill="auto"/>
          </w:tcPr>
          <w:p w14:paraId="0E6F694C">
            <w:pPr>
              <w:widowControl w:val="0"/>
              <w:jc w:val="both"/>
              <w:rPr>
                <w:rFonts w:hint="eastAsia"/>
                <w:szCs w:val="21"/>
              </w:rPr>
            </w:pPr>
            <w:r>
              <w:rPr>
                <w:rFonts w:hint="eastAsia"/>
                <w:szCs w:val="21"/>
              </w:rPr>
              <w:t>无</w:t>
            </w:r>
          </w:p>
        </w:tc>
      </w:tr>
      <w:tr w14:paraId="6171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75555159">
            <w:pPr>
              <w:widowControl w:val="0"/>
              <w:jc w:val="both"/>
              <w:rPr>
                <w:rFonts w:hint="eastAsia"/>
                <w:szCs w:val="21"/>
              </w:rPr>
            </w:pPr>
            <w:r>
              <w:rPr>
                <w:rFonts w:hint="eastAsia"/>
                <w:szCs w:val="21"/>
              </w:rPr>
              <w:t>2024年4月26日</w:t>
            </w:r>
          </w:p>
        </w:tc>
        <w:tc>
          <w:tcPr>
            <w:tcW w:w="1570" w:type="pct"/>
            <w:shd w:val="clear" w:color="auto" w:fill="auto"/>
          </w:tcPr>
          <w:p w14:paraId="651EBB97">
            <w:pPr>
              <w:widowControl w:val="0"/>
              <w:tabs>
                <w:tab w:val="left" w:pos="312"/>
              </w:tabs>
              <w:jc w:val="both"/>
              <w:rPr>
                <w:rFonts w:hint="eastAsia"/>
                <w:szCs w:val="21"/>
              </w:rPr>
            </w:pPr>
            <w:r>
              <w:rPr>
                <w:rFonts w:hint="eastAsia"/>
                <w:szCs w:val="21"/>
              </w:rPr>
              <w:t>审议际华集团《2024 年第一季度报告》的议案</w:t>
            </w:r>
          </w:p>
          <w:p w14:paraId="670F7E39">
            <w:pPr>
              <w:widowControl w:val="0"/>
              <w:jc w:val="both"/>
              <w:rPr>
                <w:rFonts w:hint="eastAsia"/>
                <w:szCs w:val="21"/>
              </w:rPr>
            </w:pPr>
          </w:p>
        </w:tc>
        <w:tc>
          <w:tcPr>
            <w:tcW w:w="1765" w:type="pct"/>
            <w:shd w:val="clear" w:color="auto" w:fill="auto"/>
          </w:tcPr>
          <w:p w14:paraId="586A3FE6">
            <w:pPr>
              <w:widowControl w:val="0"/>
              <w:jc w:val="both"/>
              <w:rPr>
                <w:rFonts w:hint="eastAsia"/>
                <w:szCs w:val="21"/>
              </w:rPr>
            </w:pPr>
            <w:r>
              <w:rPr>
                <w:rFonts w:hint="eastAsia"/>
                <w:szCs w:val="21"/>
              </w:rPr>
              <w:t>会议认为该报告真实、准确、完整地反映了际华集团在2024 年第一季度的经营状况及财务状况，报告所载资料不存在任何虚假记载、误导性陈述或者重大遗漏，符合中国证监会等有关监管部门的要求。与会委员同意将际华集团《2024年第一季度报告》的议案提交公司第五届董事会第二十四次会议审议。</w:t>
            </w:r>
          </w:p>
        </w:tc>
        <w:tc>
          <w:tcPr>
            <w:tcW w:w="1054" w:type="pct"/>
            <w:shd w:val="clear" w:color="auto" w:fill="auto"/>
          </w:tcPr>
          <w:p w14:paraId="7F2249AB">
            <w:pPr>
              <w:widowControl w:val="0"/>
              <w:jc w:val="both"/>
              <w:rPr>
                <w:rFonts w:hint="eastAsia"/>
                <w:szCs w:val="21"/>
              </w:rPr>
            </w:pPr>
            <w:r>
              <w:rPr>
                <w:rFonts w:hint="eastAsia"/>
                <w:szCs w:val="21"/>
              </w:rPr>
              <w:t>无</w:t>
            </w:r>
          </w:p>
        </w:tc>
      </w:tr>
      <w:tr w14:paraId="0B9A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4ED6BA46">
            <w:pPr>
              <w:widowControl w:val="0"/>
              <w:jc w:val="both"/>
              <w:rPr>
                <w:rFonts w:hint="eastAsia"/>
                <w:szCs w:val="21"/>
              </w:rPr>
            </w:pPr>
            <w:r>
              <w:rPr>
                <w:rFonts w:hint="eastAsia"/>
                <w:szCs w:val="21"/>
              </w:rPr>
              <w:t>2024年8月23日</w:t>
            </w:r>
          </w:p>
        </w:tc>
        <w:tc>
          <w:tcPr>
            <w:tcW w:w="1570" w:type="pct"/>
            <w:shd w:val="clear" w:color="auto" w:fill="auto"/>
          </w:tcPr>
          <w:p w14:paraId="1EB4E2E7">
            <w:pPr>
              <w:widowControl w:val="0"/>
              <w:tabs>
                <w:tab w:val="left" w:pos="312"/>
              </w:tabs>
              <w:jc w:val="both"/>
              <w:rPr>
                <w:rFonts w:hint="eastAsia"/>
                <w:szCs w:val="21"/>
              </w:rPr>
            </w:pPr>
            <w:r>
              <w:rPr>
                <w:rFonts w:hint="eastAsia"/>
                <w:szCs w:val="21"/>
              </w:rPr>
              <w:t>审议际华集团《2024年半年度报告及摘要》的议案</w:t>
            </w:r>
          </w:p>
        </w:tc>
        <w:tc>
          <w:tcPr>
            <w:tcW w:w="1765" w:type="pct"/>
            <w:shd w:val="clear" w:color="auto" w:fill="auto"/>
          </w:tcPr>
          <w:p w14:paraId="1C7178BC">
            <w:pPr>
              <w:widowControl w:val="0"/>
              <w:jc w:val="both"/>
              <w:rPr>
                <w:rFonts w:hint="eastAsia"/>
                <w:szCs w:val="21"/>
              </w:rPr>
            </w:pPr>
            <w:r>
              <w:rPr>
                <w:rFonts w:hint="eastAsia"/>
                <w:szCs w:val="21"/>
              </w:rPr>
              <w:t>委员们要求公司必须详细分析半年度财务数据变动原因，重点关注际华国贸诉讼案件处理进展，切实保障财务数据的真实性与可靠性，并认真研判下半年业务开展方向，强化体制机制改革，进一步提高企业抗风险能力。会议认为该报告真实、准确、完整地反映了际华集团在2024年上半年的经营状况及财务状况，报告所载资料不存在任何虚假记载、误导性陈述或者重大遗漏，符合中国证监会等有关监管部门的要求。同意将际华集团《2024年半年度报告及摘要》的议案提交公司第六届董事会第三次会议审议。</w:t>
            </w:r>
          </w:p>
        </w:tc>
        <w:tc>
          <w:tcPr>
            <w:tcW w:w="1054" w:type="pct"/>
            <w:shd w:val="clear" w:color="auto" w:fill="auto"/>
          </w:tcPr>
          <w:p w14:paraId="2D7C10B7">
            <w:pPr>
              <w:widowControl w:val="0"/>
              <w:jc w:val="both"/>
              <w:rPr>
                <w:rFonts w:hint="eastAsia"/>
                <w:szCs w:val="21"/>
              </w:rPr>
            </w:pPr>
            <w:r>
              <w:rPr>
                <w:rFonts w:hint="eastAsia"/>
                <w:szCs w:val="21"/>
              </w:rPr>
              <w:t>无</w:t>
            </w:r>
          </w:p>
        </w:tc>
      </w:tr>
      <w:tr w14:paraId="5A57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2E185ED6">
            <w:pPr>
              <w:widowControl w:val="0"/>
              <w:jc w:val="both"/>
              <w:rPr>
                <w:rFonts w:hint="eastAsia"/>
                <w:szCs w:val="21"/>
              </w:rPr>
            </w:pPr>
            <w:r>
              <w:rPr>
                <w:rFonts w:hint="eastAsia"/>
                <w:szCs w:val="21"/>
              </w:rPr>
              <w:t>2024年8月27日</w:t>
            </w:r>
          </w:p>
        </w:tc>
        <w:tc>
          <w:tcPr>
            <w:tcW w:w="1570" w:type="pct"/>
            <w:shd w:val="clear" w:color="auto" w:fill="auto"/>
          </w:tcPr>
          <w:p w14:paraId="77FB12DA">
            <w:pPr>
              <w:widowControl w:val="0"/>
              <w:numPr>
                <w:ilvl w:val="0"/>
                <w:numId w:val="35"/>
              </w:numPr>
              <w:jc w:val="both"/>
              <w:rPr>
                <w:rFonts w:hint="eastAsia"/>
                <w:szCs w:val="21"/>
              </w:rPr>
            </w:pPr>
            <w:r>
              <w:rPr>
                <w:rFonts w:hint="eastAsia"/>
                <w:szCs w:val="21"/>
              </w:rPr>
              <w:t>审议关于《部分募集资金投资项目延期》的议案</w:t>
            </w:r>
          </w:p>
          <w:p w14:paraId="760F3099">
            <w:pPr>
              <w:widowControl w:val="0"/>
              <w:numPr>
                <w:ilvl w:val="0"/>
                <w:numId w:val="35"/>
              </w:numPr>
              <w:jc w:val="both"/>
              <w:rPr>
                <w:rFonts w:hint="eastAsia"/>
                <w:szCs w:val="21"/>
              </w:rPr>
            </w:pPr>
            <w:r>
              <w:rPr>
                <w:rFonts w:hint="eastAsia"/>
                <w:szCs w:val="21"/>
              </w:rPr>
              <w:t>审议关于《变更部分募集资金投资项目》的议案</w:t>
            </w:r>
          </w:p>
        </w:tc>
        <w:tc>
          <w:tcPr>
            <w:tcW w:w="1765" w:type="pct"/>
            <w:shd w:val="clear" w:color="auto" w:fill="auto"/>
          </w:tcPr>
          <w:p w14:paraId="3FC86414">
            <w:pPr>
              <w:widowControl w:val="0"/>
              <w:numPr>
                <w:ilvl w:val="0"/>
                <w:numId w:val="36"/>
              </w:numPr>
              <w:jc w:val="both"/>
              <w:rPr>
                <w:rFonts w:hint="eastAsia"/>
                <w:szCs w:val="21"/>
              </w:rPr>
            </w:pPr>
            <w:r>
              <w:rPr>
                <w:rFonts w:hint="eastAsia"/>
                <w:szCs w:val="21"/>
              </w:rPr>
              <w:t>与会委员提示公司要进一步细化梳理延期原因，完善风险评估、监测与预警工作。并要求公司进一步强化对募集资金投资项目的监管力度，推动各项募投资金投资项目合规、有序实施。会议认为此次部分募集资金投资项目延期是公司基于谨慎原则，在充分考虑市场及宏观环境的变化影响的基础上为保障募投项目的实施质量与募集资金的使用效果作出的审慎决定。不会对公司日常生产经营产生重大不利影响，不存在损害中小股东利益的情形。同意将《部分募集资金投资项目延期》的议案提交公司第六届董事会第四次会议审议。</w:t>
            </w:r>
          </w:p>
          <w:p w14:paraId="05B42EE8">
            <w:pPr>
              <w:widowControl w:val="0"/>
              <w:numPr>
                <w:ilvl w:val="0"/>
                <w:numId w:val="36"/>
              </w:numPr>
              <w:jc w:val="both"/>
              <w:rPr>
                <w:rFonts w:hint="eastAsia"/>
                <w:szCs w:val="21"/>
              </w:rPr>
            </w:pPr>
            <w:r>
              <w:rPr>
                <w:rFonts w:hint="eastAsia"/>
                <w:szCs w:val="21"/>
              </w:rPr>
              <w:t>与会委员提出公司应当关注变更项目的投资回收测算，履行合法、合规的审批程序，做好风险评估。并要求公司下一步应当在充分考虑宏观经济环境、行业竞争态势等多方面因素的前提下，着力保障新募投项目顺利开展。会议认为此次变更部分募集资金投资项目是公司结合市场动态变化和公司战略规划，对拟变更后的募投项目实施内容进行了谨慎、充分的可行性研究论证和认真的市场调研符合公司的长期发展目标。同意将《变更部分募集资金投资项目》的议案提交公司第六届董事会第四次会议审议。</w:t>
            </w:r>
          </w:p>
        </w:tc>
        <w:tc>
          <w:tcPr>
            <w:tcW w:w="1054" w:type="pct"/>
            <w:shd w:val="clear" w:color="auto" w:fill="auto"/>
          </w:tcPr>
          <w:p w14:paraId="6C783360">
            <w:pPr>
              <w:widowControl w:val="0"/>
              <w:jc w:val="both"/>
              <w:rPr>
                <w:rFonts w:hint="eastAsia"/>
                <w:szCs w:val="21"/>
              </w:rPr>
            </w:pPr>
            <w:r>
              <w:rPr>
                <w:rFonts w:hint="eastAsia"/>
                <w:szCs w:val="21"/>
              </w:rPr>
              <w:t>无</w:t>
            </w:r>
          </w:p>
        </w:tc>
      </w:tr>
      <w:tr w14:paraId="5C3C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7657BA11">
            <w:pPr>
              <w:widowControl w:val="0"/>
              <w:jc w:val="both"/>
              <w:rPr>
                <w:rFonts w:hint="eastAsia"/>
                <w:szCs w:val="21"/>
              </w:rPr>
            </w:pPr>
            <w:r>
              <w:rPr>
                <w:rFonts w:hint="eastAsia"/>
                <w:szCs w:val="21"/>
              </w:rPr>
              <w:t>2024年10月25日</w:t>
            </w:r>
          </w:p>
        </w:tc>
        <w:tc>
          <w:tcPr>
            <w:tcW w:w="1570" w:type="pct"/>
            <w:shd w:val="clear" w:color="auto" w:fill="auto"/>
          </w:tcPr>
          <w:p w14:paraId="1E8A0F78">
            <w:pPr>
              <w:widowControl w:val="0"/>
              <w:jc w:val="both"/>
              <w:rPr>
                <w:rFonts w:hint="eastAsia"/>
                <w:szCs w:val="21"/>
              </w:rPr>
            </w:pPr>
            <w:r>
              <w:rPr>
                <w:rFonts w:hint="eastAsia"/>
                <w:szCs w:val="21"/>
              </w:rPr>
              <w:t>审议了关于《2024 年第三季度报告》的议案</w:t>
            </w:r>
          </w:p>
        </w:tc>
        <w:tc>
          <w:tcPr>
            <w:tcW w:w="1765" w:type="pct"/>
            <w:shd w:val="clear" w:color="auto" w:fill="auto"/>
          </w:tcPr>
          <w:p w14:paraId="31803AA6">
            <w:pPr>
              <w:widowControl w:val="0"/>
              <w:jc w:val="both"/>
              <w:rPr>
                <w:rFonts w:hint="eastAsia"/>
                <w:szCs w:val="21"/>
              </w:rPr>
            </w:pPr>
            <w:r>
              <w:rPr>
                <w:rFonts w:hint="eastAsia"/>
                <w:szCs w:val="21"/>
              </w:rPr>
              <w:t>与会委员要求公司必须重视财务管理的独立性及合规性，注重风险防控，保障公司可持续发展。会议认为该报告真实、准确、完整地反映了际华集团在2024 年第三季度的经营状况及财务状况，报告所载资料不存在任何虚假记载、误导性陈述或者重大遗漏，符合中国证监会等有关监管部门的要求。与会委员同意将际华集团《2024年第三季度报告》的议案提交公司第六届董事会第六次会议审议。</w:t>
            </w:r>
          </w:p>
        </w:tc>
        <w:tc>
          <w:tcPr>
            <w:tcW w:w="1054" w:type="pct"/>
            <w:shd w:val="clear" w:color="auto" w:fill="auto"/>
          </w:tcPr>
          <w:p w14:paraId="1F56B3CB">
            <w:pPr>
              <w:widowControl w:val="0"/>
              <w:jc w:val="both"/>
              <w:rPr>
                <w:rFonts w:hint="eastAsia"/>
                <w:szCs w:val="21"/>
              </w:rPr>
            </w:pPr>
            <w:r>
              <w:rPr>
                <w:rFonts w:hint="eastAsia"/>
                <w:szCs w:val="21"/>
              </w:rPr>
              <w:t>无</w:t>
            </w:r>
          </w:p>
        </w:tc>
      </w:tr>
      <w:tr w14:paraId="7FCC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shd w:val="clear" w:color="auto" w:fill="auto"/>
          </w:tcPr>
          <w:p w14:paraId="0EE8B876">
            <w:pPr>
              <w:widowControl w:val="0"/>
              <w:jc w:val="both"/>
              <w:rPr>
                <w:rFonts w:hint="eastAsia"/>
                <w:szCs w:val="21"/>
              </w:rPr>
            </w:pPr>
            <w:r>
              <w:rPr>
                <w:rFonts w:hint="eastAsia"/>
                <w:szCs w:val="21"/>
              </w:rPr>
              <w:t>2024年12月6日</w:t>
            </w:r>
          </w:p>
        </w:tc>
        <w:tc>
          <w:tcPr>
            <w:tcW w:w="1570" w:type="pct"/>
            <w:shd w:val="clear" w:color="auto" w:fill="auto"/>
          </w:tcPr>
          <w:p w14:paraId="10F94E6D">
            <w:pPr>
              <w:widowControl w:val="0"/>
              <w:numPr>
                <w:ilvl w:val="0"/>
                <w:numId w:val="37"/>
              </w:numPr>
              <w:jc w:val="both"/>
              <w:rPr>
                <w:rFonts w:hint="eastAsia"/>
                <w:szCs w:val="21"/>
              </w:rPr>
            </w:pPr>
            <w:r>
              <w:rPr>
                <w:rFonts w:hint="eastAsia"/>
                <w:szCs w:val="21"/>
              </w:rPr>
              <w:t>审议关于《聘任天健会计师事务所为公司 2024 年度财务审计机构和内控审计机构》的议案</w:t>
            </w:r>
          </w:p>
          <w:p w14:paraId="474270FB">
            <w:pPr>
              <w:widowControl w:val="0"/>
              <w:numPr>
                <w:ilvl w:val="0"/>
                <w:numId w:val="37"/>
              </w:numPr>
              <w:jc w:val="both"/>
              <w:rPr>
                <w:rFonts w:hint="eastAsia"/>
                <w:szCs w:val="21"/>
              </w:rPr>
            </w:pPr>
            <w:r>
              <w:rPr>
                <w:rFonts w:hint="eastAsia"/>
                <w:szCs w:val="21"/>
              </w:rPr>
              <w:t>审议关于《以集中竞价交易方式回购股份的预案》的议案</w:t>
            </w:r>
          </w:p>
          <w:p w14:paraId="5AF52EAA">
            <w:pPr>
              <w:widowControl w:val="0"/>
              <w:numPr>
                <w:ilvl w:val="0"/>
                <w:numId w:val="37"/>
              </w:numPr>
              <w:jc w:val="both"/>
              <w:rPr>
                <w:rFonts w:hint="eastAsia"/>
                <w:szCs w:val="21"/>
              </w:rPr>
            </w:pPr>
            <w:r>
              <w:rPr>
                <w:rFonts w:hint="eastAsia"/>
                <w:szCs w:val="21"/>
              </w:rPr>
              <w:t>审议关于《2024 年上半年部分重大事件内部控制情况检查报告》的议案</w:t>
            </w:r>
          </w:p>
        </w:tc>
        <w:tc>
          <w:tcPr>
            <w:tcW w:w="1765" w:type="pct"/>
            <w:shd w:val="clear" w:color="auto" w:fill="auto"/>
          </w:tcPr>
          <w:p w14:paraId="0B0C15AA">
            <w:pPr>
              <w:widowControl w:val="0"/>
              <w:numPr>
                <w:ilvl w:val="0"/>
                <w:numId w:val="38"/>
              </w:numPr>
              <w:jc w:val="both"/>
              <w:rPr>
                <w:rFonts w:hint="eastAsia"/>
                <w:szCs w:val="21"/>
              </w:rPr>
            </w:pPr>
            <w:r>
              <w:rPr>
                <w:rFonts w:hint="eastAsia"/>
                <w:szCs w:val="21"/>
              </w:rPr>
              <w:t>委员们对中标单位天健会计师事务所(特殊普通合伙)的专业胜任能力、投资者保护能力、独立性和诚信状况等进行了认真审核和评价，并一致认为天健会计师事务所(特殊普通合伙)具备为上市公司提供审计服务的经验与能力。与会委员同意将际华集团关于《聘任天健会计师事务所为公司2024年度财务审计机构和内控审计机构》的议案提交公司第六届董事会第七次会议审议。</w:t>
            </w:r>
          </w:p>
          <w:p w14:paraId="69A7CF6E">
            <w:pPr>
              <w:widowControl w:val="0"/>
              <w:numPr>
                <w:ilvl w:val="0"/>
                <w:numId w:val="38"/>
              </w:numPr>
              <w:jc w:val="both"/>
              <w:rPr>
                <w:rFonts w:hint="eastAsia"/>
                <w:szCs w:val="21"/>
              </w:rPr>
            </w:pPr>
            <w:r>
              <w:rPr>
                <w:rFonts w:hint="eastAsia"/>
                <w:szCs w:val="21"/>
              </w:rPr>
              <w:t>与会委员强调际华集团要进一步强化上市公司市值管理，依据适用的法律、法规，监管部门的有关规定办理本次股份回购所必须的各项事宜，提高企业合规管理水平。并一致认为本次回购公司股份不会对际华集团经营、财务、研发、债务履行能力及未来发展产生重大不利影响，不存在损害公司及全体股东利益的情形，回购后公司的股权分布情况仍符合上市公司的条件。与会委员同意将际华集团关于《以集中竞价交易方式回购股份的预案》的议案提交公司第六届董事会第七次会议审议。</w:t>
            </w:r>
          </w:p>
          <w:p w14:paraId="65CDA366">
            <w:pPr>
              <w:widowControl w:val="0"/>
              <w:numPr>
                <w:ilvl w:val="0"/>
                <w:numId w:val="38"/>
              </w:numPr>
              <w:jc w:val="both"/>
              <w:rPr>
                <w:rFonts w:hint="eastAsia"/>
                <w:szCs w:val="21"/>
              </w:rPr>
            </w:pPr>
            <w:r>
              <w:rPr>
                <w:rFonts w:hint="eastAsia"/>
                <w:szCs w:val="21"/>
              </w:rPr>
              <w:t>与会委员通过督导公司内部审计部门对重大事件的检查，未发现际华集团及所属企业募集资金使用、提供担保、关联交易、证券投资与衍生品交易、提供财务资助、购买或者出售资产、对外投资等重大事件的实施情况与大额资金往来以及与董事、监事、高级管理人员、控股股东、实际控制人及其关联人资金往来情况中存在违法违规、运作不规范等情形。与会委员同意将际华集团《2024年上半年部分重大事件内部控制情况检查报告》向公司第六届董事会第七次会议报告。</w:t>
            </w:r>
          </w:p>
        </w:tc>
        <w:tc>
          <w:tcPr>
            <w:tcW w:w="1054" w:type="pct"/>
            <w:shd w:val="clear" w:color="auto" w:fill="auto"/>
          </w:tcPr>
          <w:p w14:paraId="1D02643C">
            <w:pPr>
              <w:widowControl w:val="0"/>
              <w:jc w:val="both"/>
              <w:rPr>
                <w:rFonts w:hint="eastAsia"/>
                <w:szCs w:val="21"/>
              </w:rPr>
            </w:pPr>
            <w:r>
              <w:rPr>
                <w:rFonts w:hint="eastAsia"/>
                <w:szCs w:val="21"/>
              </w:rPr>
              <w:t>无</w:t>
            </w:r>
          </w:p>
        </w:tc>
      </w:tr>
    </w:tbl>
    <w:p w14:paraId="55DB4796">
      <w:pPr>
        <w:rPr>
          <w:rFonts w:hint="eastAsia"/>
        </w:rPr>
      </w:pPr>
    </w:p>
    <w:p w14:paraId="58562121">
      <w:pPr>
        <w:pStyle w:val="4"/>
        <w:numPr>
          <w:ilvl w:val="0"/>
          <w:numId w:val="30"/>
        </w:numPr>
      </w:pPr>
      <w:r>
        <w:rPr>
          <w:rFonts w:hint="eastAsia"/>
        </w:rPr>
        <w:t>报告期内</w:t>
      </w:r>
      <w:sdt>
        <w:sdtPr>
          <w:rPr>
            <w:rFonts w:hint="eastAsia" w:ascii="宋体" w:hAnsi="宋体" w:cs="宋体"/>
            <w:kern w:val="0"/>
            <w:szCs w:val="24"/>
          </w:rPr>
          <w:alias w:val="召开会议的专门委员会类别"/>
          <w:tag w:val="_GBC_adf76ecbe3584f07b573642215a867bd"/>
          <w:id w:val="1824776320"/>
          <w:placeholder>
            <w:docPart w:val="{b5296302-6c1e-4e92-8cf7-a18a61c86b0c}"/>
          </w:placeholder>
        </w:sdtPr>
        <w:sdtEndPr>
          <w:rPr>
            <w:rFonts w:hint="eastAsia" w:ascii="宋体" w:hAnsi="宋体" w:cs="宋体"/>
            <w:kern w:val="0"/>
            <w:szCs w:val="24"/>
          </w:rPr>
        </w:sdtEndPr>
        <w:sdtContent>
          <w:r>
            <w:rPr>
              <w:rFonts w:hint="eastAsia"/>
            </w:rPr>
            <w:t>提名</w:t>
          </w:r>
        </w:sdtContent>
      </w:sdt>
      <w:r>
        <w:rPr>
          <w:rFonts w:hint="eastAsia"/>
        </w:rPr>
        <w:t>委员会召开</w:t>
      </w:r>
      <w:sdt>
        <w:sdtPr>
          <w:rPr>
            <w:rFonts w:hint="eastAsia" w:ascii="宋体" w:hAnsi="宋体" w:cs="宋体"/>
            <w:kern w:val="0"/>
            <w:szCs w:val="24"/>
          </w:rPr>
          <w:alias w:val="报告期内召开专门委员会会议次数"/>
          <w:tag w:val="_GBC_7bf2cd7c3a6a4685ac9c89ee396352a0"/>
          <w:id w:val="163453497"/>
          <w:placeholder>
            <w:docPart w:val="{b5296302-6c1e-4e92-8cf7-a18a61c86b0c}"/>
          </w:placeholder>
        </w:sdtPr>
        <w:sdtEndPr>
          <w:rPr>
            <w:rFonts w:hint="eastAsia" w:ascii="宋体" w:hAnsi="宋体" w:cs="宋体"/>
            <w:kern w:val="0"/>
            <w:szCs w:val="24"/>
          </w:rPr>
        </w:sdtEndPr>
        <w:sdtContent>
          <w:r>
            <w:rPr>
              <w:rFonts w:hint="eastAsia"/>
            </w:rPr>
            <w:t>3</w:t>
          </w:r>
        </w:sdtContent>
      </w:sdt>
      <w:r>
        <w:rPr>
          <w:rFonts w:hint="eastAsia"/>
        </w:rPr>
        <w:t>次会议</w:t>
      </w:r>
    </w:p>
    <w:tbl>
      <w:tblPr>
        <w:tblStyle w:val="3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71"/>
        <w:gridCol w:w="2911"/>
        <w:gridCol w:w="2153"/>
      </w:tblGrid>
      <w:tr w14:paraId="7CBC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1aefc289fbf48b1865138608d8bd14f"/>
            <w:id w:val="1268036925"/>
          </w:sdtPr>
          <w:sdtContent>
            <w:tc>
              <w:tcPr>
                <w:tcW w:w="610" w:type="pct"/>
                <w:shd w:val="clear" w:color="auto" w:fill="auto"/>
                <w:vAlign w:val="center"/>
              </w:tcPr>
              <w:p w14:paraId="7B41CE72">
                <w:pPr>
                  <w:widowControl w:val="0"/>
                  <w:jc w:val="center"/>
                  <w:rPr>
                    <w:rFonts w:hint="eastAsia"/>
                    <w:szCs w:val="21"/>
                  </w:rPr>
                </w:pPr>
                <w:r>
                  <w:rPr>
                    <w:rFonts w:hint="eastAsia"/>
                    <w:szCs w:val="21"/>
                  </w:rPr>
                  <w:t>召开日期</w:t>
                </w:r>
              </w:p>
            </w:tc>
          </w:sdtContent>
        </w:sdt>
        <w:sdt>
          <w:sdtPr>
            <w:tag w:val="_PLD_9d24b601ec70414eb969daf6b393edc8"/>
            <w:id w:val="1173602971"/>
          </w:sdtPr>
          <w:sdtContent>
            <w:tc>
              <w:tcPr>
                <w:tcW w:w="1515" w:type="pct"/>
                <w:shd w:val="clear" w:color="auto" w:fill="auto"/>
                <w:vAlign w:val="center"/>
              </w:tcPr>
              <w:p w14:paraId="2699D4FD">
                <w:pPr>
                  <w:widowControl w:val="0"/>
                  <w:jc w:val="center"/>
                  <w:rPr>
                    <w:rFonts w:hint="eastAsia"/>
                    <w:szCs w:val="21"/>
                  </w:rPr>
                </w:pPr>
                <w:r>
                  <w:rPr>
                    <w:rFonts w:hint="eastAsia"/>
                    <w:szCs w:val="21"/>
                  </w:rPr>
                  <w:t>会议内容</w:t>
                </w:r>
              </w:p>
            </w:tc>
          </w:sdtContent>
        </w:sdt>
        <w:sdt>
          <w:sdtPr>
            <w:tag w:val="_PLD_6ea19dadc3684e98a6d98faaf035a9d9"/>
            <w:id w:val="618423992"/>
          </w:sdtPr>
          <w:sdtContent>
            <w:tc>
              <w:tcPr>
                <w:tcW w:w="1651" w:type="pct"/>
                <w:shd w:val="clear" w:color="auto" w:fill="auto"/>
                <w:vAlign w:val="center"/>
              </w:tcPr>
              <w:p w14:paraId="768CC533">
                <w:pPr>
                  <w:widowControl w:val="0"/>
                  <w:jc w:val="center"/>
                  <w:rPr>
                    <w:rFonts w:hint="eastAsia"/>
                    <w:szCs w:val="21"/>
                  </w:rPr>
                </w:pPr>
                <w:r>
                  <w:rPr>
                    <w:rFonts w:hint="eastAsia"/>
                    <w:szCs w:val="21"/>
                  </w:rPr>
                  <w:t>重要意见和建议</w:t>
                </w:r>
              </w:p>
            </w:tc>
          </w:sdtContent>
        </w:sdt>
        <w:sdt>
          <w:sdtPr>
            <w:tag w:val="_PLD_ef03d3ffb00740008011022cb6a96805"/>
            <w:id w:val="-201784316"/>
          </w:sdtPr>
          <w:sdtContent>
            <w:tc>
              <w:tcPr>
                <w:tcW w:w="1222" w:type="pct"/>
                <w:shd w:val="clear" w:color="auto" w:fill="auto"/>
                <w:vAlign w:val="center"/>
              </w:tcPr>
              <w:p w14:paraId="117626D2">
                <w:pPr>
                  <w:widowControl w:val="0"/>
                  <w:jc w:val="center"/>
                  <w:rPr>
                    <w:rFonts w:hint="eastAsia"/>
                    <w:szCs w:val="21"/>
                  </w:rPr>
                </w:pPr>
                <w:r>
                  <w:rPr>
                    <w:rFonts w:hint="eastAsia"/>
                    <w:szCs w:val="21"/>
                  </w:rPr>
                  <w:t>其他履行职责情况</w:t>
                </w:r>
              </w:p>
            </w:tc>
          </w:sdtContent>
        </w:sdt>
      </w:tr>
      <w:tr w14:paraId="33A4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56187B74">
            <w:pPr>
              <w:widowControl w:val="0"/>
              <w:jc w:val="both"/>
              <w:rPr>
                <w:rFonts w:hint="eastAsia"/>
                <w:szCs w:val="21"/>
              </w:rPr>
            </w:pPr>
            <w:r>
              <w:rPr>
                <w:rFonts w:hint="eastAsia"/>
                <w:szCs w:val="21"/>
              </w:rPr>
              <w:t>2024年5月22日</w:t>
            </w:r>
          </w:p>
        </w:tc>
        <w:tc>
          <w:tcPr>
            <w:tcW w:w="1515" w:type="pct"/>
            <w:shd w:val="clear" w:color="auto" w:fill="auto"/>
          </w:tcPr>
          <w:p w14:paraId="0445080E">
            <w:pPr>
              <w:widowControl w:val="0"/>
              <w:jc w:val="both"/>
              <w:rPr>
                <w:rFonts w:hint="eastAsia"/>
                <w:szCs w:val="21"/>
              </w:rPr>
            </w:pPr>
            <w:r>
              <w:rPr>
                <w:rFonts w:hint="eastAsia"/>
                <w:szCs w:val="21"/>
              </w:rPr>
              <w:t>审议公司董事会换届董事提名人选事项</w:t>
            </w:r>
          </w:p>
        </w:tc>
        <w:tc>
          <w:tcPr>
            <w:tcW w:w="1651" w:type="pct"/>
            <w:shd w:val="clear" w:color="auto" w:fill="auto"/>
          </w:tcPr>
          <w:p w14:paraId="6752BEAD">
            <w:pPr>
              <w:widowControl w:val="0"/>
              <w:jc w:val="both"/>
              <w:rPr>
                <w:rFonts w:hint="eastAsia"/>
                <w:szCs w:val="21"/>
              </w:rPr>
            </w:pPr>
            <w:r>
              <w:rPr>
                <w:rFonts w:hint="eastAsia"/>
                <w:szCs w:val="21"/>
              </w:rPr>
              <w:t>会议认为,公司第六届董事会董事被提名人选不存在《公司法》第一百四十七条规定之情形以及被中国证监会确定为市场禁入者、被证券交易所宣布为不适当人选的情况，被提名人员符合有关法律、法规及《公司章程》规定的任职条件，独立董事被提名人具备独立性，符合担任上市公司独立董事的条件。同意提交公司董事会审议。</w:t>
            </w:r>
          </w:p>
        </w:tc>
        <w:tc>
          <w:tcPr>
            <w:tcW w:w="1222" w:type="pct"/>
            <w:shd w:val="clear" w:color="auto" w:fill="auto"/>
          </w:tcPr>
          <w:p w14:paraId="6C69D886">
            <w:pPr>
              <w:widowControl w:val="0"/>
              <w:jc w:val="both"/>
              <w:rPr>
                <w:rFonts w:hint="eastAsia"/>
                <w:szCs w:val="21"/>
              </w:rPr>
            </w:pPr>
            <w:r>
              <w:rPr>
                <w:rFonts w:hint="eastAsia"/>
                <w:szCs w:val="21"/>
              </w:rPr>
              <w:t>无</w:t>
            </w:r>
          </w:p>
        </w:tc>
      </w:tr>
      <w:tr w14:paraId="46B5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47C98DC9">
            <w:pPr>
              <w:widowControl w:val="0"/>
              <w:jc w:val="both"/>
              <w:rPr>
                <w:rFonts w:hint="eastAsia"/>
                <w:szCs w:val="21"/>
              </w:rPr>
            </w:pPr>
            <w:r>
              <w:rPr>
                <w:rFonts w:hint="eastAsia"/>
                <w:szCs w:val="21"/>
              </w:rPr>
              <w:t>2024年6月14日</w:t>
            </w:r>
          </w:p>
        </w:tc>
        <w:tc>
          <w:tcPr>
            <w:tcW w:w="1515" w:type="pct"/>
            <w:shd w:val="clear" w:color="auto" w:fill="auto"/>
          </w:tcPr>
          <w:p w14:paraId="1A513B14">
            <w:pPr>
              <w:widowControl w:val="0"/>
              <w:jc w:val="both"/>
              <w:rPr>
                <w:rFonts w:hint="eastAsia"/>
                <w:szCs w:val="21"/>
              </w:rPr>
            </w:pPr>
            <w:r>
              <w:rPr>
                <w:rFonts w:hint="eastAsia"/>
                <w:szCs w:val="21"/>
              </w:rPr>
              <w:t>审议公司董事会拟聘任总经理、副总经理、总会计师、总法律顾问、董事会秘书事项</w:t>
            </w:r>
          </w:p>
        </w:tc>
        <w:tc>
          <w:tcPr>
            <w:tcW w:w="1651" w:type="pct"/>
            <w:shd w:val="clear" w:color="auto" w:fill="auto"/>
          </w:tcPr>
          <w:p w14:paraId="395426B0">
            <w:pPr>
              <w:widowControl w:val="0"/>
              <w:jc w:val="both"/>
              <w:rPr>
                <w:rFonts w:hint="eastAsia"/>
                <w:szCs w:val="21"/>
              </w:rPr>
            </w:pPr>
            <w:r>
              <w:rPr>
                <w:rFonts w:hint="eastAsia"/>
                <w:szCs w:val="21"/>
              </w:rPr>
              <w:t>会议认为，拟聘任人选具备与其所聘岗位以及行使职权相适应的任职经历、履职能力，其任职资格符合《公司法》等相关法律、法规及《公司章程》的有关规定。同意提交公司董事会审议。</w:t>
            </w:r>
          </w:p>
        </w:tc>
        <w:tc>
          <w:tcPr>
            <w:tcW w:w="1222" w:type="pct"/>
            <w:shd w:val="clear" w:color="auto" w:fill="auto"/>
          </w:tcPr>
          <w:p w14:paraId="6C5CFF28">
            <w:pPr>
              <w:widowControl w:val="0"/>
              <w:jc w:val="both"/>
              <w:rPr>
                <w:rFonts w:hint="eastAsia"/>
                <w:szCs w:val="21"/>
              </w:rPr>
            </w:pPr>
            <w:r>
              <w:rPr>
                <w:rFonts w:hint="eastAsia"/>
                <w:szCs w:val="21"/>
              </w:rPr>
              <w:t>无</w:t>
            </w:r>
          </w:p>
        </w:tc>
      </w:tr>
      <w:tr w14:paraId="31EC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407501C5">
            <w:pPr>
              <w:widowControl w:val="0"/>
              <w:jc w:val="both"/>
              <w:rPr>
                <w:rFonts w:hint="eastAsia"/>
                <w:szCs w:val="21"/>
              </w:rPr>
            </w:pPr>
            <w:r>
              <w:rPr>
                <w:rFonts w:hint="eastAsia"/>
                <w:szCs w:val="21"/>
              </w:rPr>
              <w:t>2024年7月22日</w:t>
            </w:r>
          </w:p>
        </w:tc>
        <w:tc>
          <w:tcPr>
            <w:tcW w:w="1515" w:type="pct"/>
            <w:shd w:val="clear" w:color="auto" w:fill="auto"/>
          </w:tcPr>
          <w:p w14:paraId="63D1B30A">
            <w:pPr>
              <w:widowControl w:val="0"/>
              <w:jc w:val="both"/>
              <w:rPr>
                <w:rFonts w:hint="eastAsia"/>
                <w:szCs w:val="21"/>
              </w:rPr>
            </w:pPr>
            <w:r>
              <w:rPr>
                <w:rFonts w:hint="eastAsia"/>
                <w:szCs w:val="21"/>
              </w:rPr>
              <w:t>审议公司聘任总经理及补选第六届董事会非独立董事人选事项</w:t>
            </w:r>
          </w:p>
        </w:tc>
        <w:tc>
          <w:tcPr>
            <w:tcW w:w="1651" w:type="pct"/>
            <w:shd w:val="clear" w:color="auto" w:fill="auto"/>
          </w:tcPr>
          <w:p w14:paraId="7ECE639E">
            <w:pPr>
              <w:widowControl w:val="0"/>
              <w:jc w:val="both"/>
              <w:rPr>
                <w:rFonts w:hint="eastAsia"/>
                <w:szCs w:val="21"/>
              </w:rPr>
            </w:pPr>
            <w:r>
              <w:rPr>
                <w:rFonts w:hint="eastAsia"/>
                <w:szCs w:val="21"/>
              </w:rPr>
              <w:t>会议认为，王学柱先生具备总经理以及行使职权相适应的任职经历、履职能力，其任职资格符合《公司法》等相关法律、法规及《公司章程》的有关规定。同意提交公司董事会审议。公司董事人选符合有关法律、法规及《公司章程》规定的任职条件，同意提交董事会审议。</w:t>
            </w:r>
          </w:p>
        </w:tc>
        <w:tc>
          <w:tcPr>
            <w:tcW w:w="1222" w:type="pct"/>
            <w:shd w:val="clear" w:color="auto" w:fill="auto"/>
          </w:tcPr>
          <w:p w14:paraId="4ED08E32">
            <w:pPr>
              <w:widowControl w:val="0"/>
              <w:jc w:val="both"/>
              <w:rPr>
                <w:rFonts w:hint="eastAsia"/>
                <w:szCs w:val="21"/>
              </w:rPr>
            </w:pPr>
            <w:r>
              <w:rPr>
                <w:rFonts w:hint="eastAsia"/>
                <w:szCs w:val="21"/>
              </w:rPr>
              <w:t>无</w:t>
            </w:r>
          </w:p>
        </w:tc>
      </w:tr>
    </w:tbl>
    <w:p w14:paraId="69A515FB">
      <w:pPr>
        <w:pStyle w:val="4"/>
        <w:numPr>
          <w:ilvl w:val="0"/>
          <w:numId w:val="30"/>
        </w:numPr>
      </w:pPr>
      <w:r>
        <w:rPr>
          <w:rFonts w:hint="eastAsia"/>
        </w:rPr>
        <w:t>报告期内</w:t>
      </w:r>
      <w:sdt>
        <w:sdtPr>
          <w:rPr>
            <w:rFonts w:hint="eastAsia" w:ascii="宋体" w:hAnsi="宋体" w:cs="宋体"/>
            <w:kern w:val="0"/>
            <w:szCs w:val="24"/>
          </w:rPr>
          <w:alias w:val="召开会议的专门委员会类别"/>
          <w:tag w:val="_GBC_adf76ecbe3584f07b573642215a867bd"/>
          <w:id w:val="1554576728"/>
          <w:placeholder>
            <w:docPart w:val="{cb0ca3d3-a87b-4ed0-ba40-dd0a1405d535}"/>
          </w:placeholder>
        </w:sdtPr>
        <w:sdtEndPr>
          <w:rPr>
            <w:rFonts w:hint="eastAsia" w:ascii="宋体" w:hAnsi="宋体" w:cs="宋体"/>
            <w:kern w:val="0"/>
            <w:szCs w:val="24"/>
          </w:rPr>
        </w:sdtEndPr>
        <w:sdtContent>
          <w:r>
            <w:rPr>
              <w:rFonts w:hint="eastAsia"/>
            </w:rPr>
            <w:t>薪酬与考核</w:t>
          </w:r>
        </w:sdtContent>
      </w:sdt>
      <w:r>
        <w:rPr>
          <w:rFonts w:hint="eastAsia"/>
        </w:rPr>
        <w:t>委员会召开</w:t>
      </w:r>
      <w:sdt>
        <w:sdtPr>
          <w:rPr>
            <w:rFonts w:hint="eastAsia" w:ascii="宋体" w:hAnsi="宋体" w:cs="宋体"/>
            <w:kern w:val="0"/>
            <w:szCs w:val="24"/>
          </w:rPr>
          <w:alias w:val="报告期内召开专门委员会会议次数"/>
          <w:tag w:val="_GBC_7bf2cd7c3a6a4685ac9c89ee396352a0"/>
          <w:id w:val="-1754430172"/>
          <w:placeholder>
            <w:docPart w:val="{cb0ca3d3-a87b-4ed0-ba40-dd0a1405d535}"/>
          </w:placeholder>
        </w:sdtPr>
        <w:sdtEndPr>
          <w:rPr>
            <w:rFonts w:hint="eastAsia" w:ascii="宋体" w:hAnsi="宋体" w:cs="宋体"/>
            <w:kern w:val="0"/>
            <w:szCs w:val="24"/>
          </w:rPr>
        </w:sdtEndPr>
        <w:sdtContent>
          <w:r>
            <w:rPr>
              <w:rFonts w:hint="eastAsia"/>
            </w:rPr>
            <w:t>2</w:t>
          </w:r>
        </w:sdtContent>
      </w:sdt>
      <w:r>
        <w:rPr>
          <w:rFonts w:hint="eastAsia"/>
        </w:rPr>
        <w:t>次会议</w:t>
      </w:r>
    </w:p>
    <w:tbl>
      <w:tblPr>
        <w:tblStyle w:val="3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737"/>
        <w:gridCol w:w="2846"/>
        <w:gridCol w:w="2153"/>
      </w:tblGrid>
      <w:tr w14:paraId="6377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1aefc289fbf48b1865138608d8bd14f"/>
            <w:id w:val="639241609"/>
          </w:sdtPr>
          <w:sdtContent>
            <w:tc>
              <w:tcPr>
                <w:tcW w:w="610" w:type="pct"/>
                <w:shd w:val="clear" w:color="auto" w:fill="auto"/>
                <w:vAlign w:val="center"/>
              </w:tcPr>
              <w:p w14:paraId="7D491B17">
                <w:pPr>
                  <w:widowControl w:val="0"/>
                  <w:jc w:val="center"/>
                  <w:rPr>
                    <w:rFonts w:hint="eastAsia"/>
                    <w:szCs w:val="21"/>
                  </w:rPr>
                </w:pPr>
                <w:r>
                  <w:rPr>
                    <w:rFonts w:hint="eastAsia"/>
                    <w:szCs w:val="21"/>
                  </w:rPr>
                  <w:t>召开日期</w:t>
                </w:r>
              </w:p>
            </w:tc>
          </w:sdtContent>
        </w:sdt>
        <w:sdt>
          <w:sdtPr>
            <w:tag w:val="_PLD_9d24b601ec70414eb969daf6b393edc8"/>
            <w:id w:val="-1787043151"/>
          </w:sdtPr>
          <w:sdtContent>
            <w:tc>
              <w:tcPr>
                <w:tcW w:w="1552" w:type="pct"/>
                <w:shd w:val="clear" w:color="auto" w:fill="auto"/>
                <w:vAlign w:val="center"/>
              </w:tcPr>
              <w:p w14:paraId="78A14A8C">
                <w:pPr>
                  <w:widowControl w:val="0"/>
                  <w:jc w:val="center"/>
                  <w:rPr>
                    <w:rFonts w:hint="eastAsia"/>
                    <w:szCs w:val="21"/>
                  </w:rPr>
                </w:pPr>
                <w:r>
                  <w:rPr>
                    <w:rFonts w:hint="eastAsia"/>
                    <w:szCs w:val="21"/>
                  </w:rPr>
                  <w:t>会议内容</w:t>
                </w:r>
              </w:p>
            </w:tc>
          </w:sdtContent>
        </w:sdt>
        <w:sdt>
          <w:sdtPr>
            <w:tag w:val="_PLD_6ea19dadc3684e98a6d98faaf035a9d9"/>
            <w:id w:val="444970224"/>
          </w:sdtPr>
          <w:sdtContent>
            <w:tc>
              <w:tcPr>
                <w:tcW w:w="1614" w:type="pct"/>
                <w:shd w:val="clear" w:color="auto" w:fill="auto"/>
                <w:vAlign w:val="center"/>
              </w:tcPr>
              <w:p w14:paraId="5EB5CD2D">
                <w:pPr>
                  <w:widowControl w:val="0"/>
                  <w:jc w:val="center"/>
                  <w:rPr>
                    <w:rFonts w:hint="eastAsia"/>
                    <w:szCs w:val="21"/>
                  </w:rPr>
                </w:pPr>
                <w:r>
                  <w:rPr>
                    <w:rFonts w:hint="eastAsia"/>
                    <w:szCs w:val="21"/>
                  </w:rPr>
                  <w:t>重要意见和建议</w:t>
                </w:r>
              </w:p>
            </w:tc>
          </w:sdtContent>
        </w:sdt>
        <w:sdt>
          <w:sdtPr>
            <w:tag w:val="_PLD_ef03d3ffb00740008011022cb6a96805"/>
            <w:id w:val="-1086840272"/>
          </w:sdtPr>
          <w:sdtContent>
            <w:tc>
              <w:tcPr>
                <w:tcW w:w="1222" w:type="pct"/>
                <w:shd w:val="clear" w:color="auto" w:fill="auto"/>
                <w:vAlign w:val="center"/>
              </w:tcPr>
              <w:p w14:paraId="7F8D1BF9">
                <w:pPr>
                  <w:widowControl w:val="0"/>
                  <w:jc w:val="center"/>
                  <w:rPr>
                    <w:rFonts w:hint="eastAsia"/>
                    <w:szCs w:val="21"/>
                  </w:rPr>
                </w:pPr>
                <w:r>
                  <w:rPr>
                    <w:rFonts w:hint="eastAsia"/>
                    <w:szCs w:val="21"/>
                  </w:rPr>
                  <w:t>其他履行职责情况</w:t>
                </w:r>
              </w:p>
            </w:tc>
          </w:sdtContent>
        </w:sdt>
      </w:tr>
      <w:tr w14:paraId="2D9F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6BB30BF7">
            <w:pPr>
              <w:widowControl w:val="0"/>
              <w:jc w:val="both"/>
              <w:rPr>
                <w:rFonts w:hint="eastAsia"/>
                <w:szCs w:val="21"/>
              </w:rPr>
            </w:pPr>
            <w:r>
              <w:rPr>
                <w:rFonts w:hint="eastAsia"/>
                <w:szCs w:val="21"/>
              </w:rPr>
              <w:t>2024年4月12日</w:t>
            </w:r>
          </w:p>
        </w:tc>
        <w:tc>
          <w:tcPr>
            <w:tcW w:w="1552" w:type="pct"/>
            <w:shd w:val="clear" w:color="auto" w:fill="auto"/>
          </w:tcPr>
          <w:p w14:paraId="4EDEEE7A">
            <w:pPr>
              <w:widowControl w:val="0"/>
              <w:numPr>
                <w:ilvl w:val="0"/>
                <w:numId w:val="39"/>
              </w:numPr>
              <w:jc w:val="both"/>
              <w:rPr>
                <w:rFonts w:hint="eastAsia"/>
                <w:szCs w:val="21"/>
              </w:rPr>
            </w:pPr>
            <w:r>
              <w:rPr>
                <w:rFonts w:hint="eastAsia"/>
                <w:szCs w:val="21"/>
              </w:rPr>
              <w:t>审议关于《际华集团经理层 2024年度经营业绩责任书》的议案</w:t>
            </w:r>
          </w:p>
          <w:p w14:paraId="596F9FF3">
            <w:pPr>
              <w:widowControl w:val="0"/>
              <w:numPr>
                <w:ilvl w:val="0"/>
                <w:numId w:val="39"/>
              </w:numPr>
              <w:jc w:val="both"/>
              <w:rPr>
                <w:rFonts w:hint="eastAsia"/>
                <w:szCs w:val="21"/>
              </w:rPr>
            </w:pPr>
            <w:r>
              <w:rPr>
                <w:rFonts w:hint="eastAsia"/>
                <w:szCs w:val="21"/>
              </w:rPr>
              <w:t>审议关于《2023年度公司高管人员薪酬考核兑现方案》的议案</w:t>
            </w:r>
          </w:p>
        </w:tc>
        <w:tc>
          <w:tcPr>
            <w:tcW w:w="1614" w:type="pct"/>
            <w:shd w:val="clear" w:color="auto" w:fill="auto"/>
          </w:tcPr>
          <w:p w14:paraId="2A58211E">
            <w:pPr>
              <w:widowControl w:val="0"/>
              <w:numPr>
                <w:ilvl w:val="0"/>
                <w:numId w:val="40"/>
              </w:numPr>
              <w:jc w:val="both"/>
              <w:rPr>
                <w:rFonts w:hint="eastAsia"/>
                <w:szCs w:val="21"/>
              </w:rPr>
            </w:pPr>
            <w:r>
              <w:rPr>
                <w:rFonts w:hint="eastAsia"/>
                <w:szCs w:val="21"/>
              </w:rPr>
              <w:t>委员会认为，公司2024年度经营业绩责任书体现了公司积极推进差异化考核， 进一步深化收入分配制度改革，切实强化正向激励的导向，对加强薪酬分配机制创新具有积极意义，同意将公司经理层2024年度经营业绩责任书提交第五届董事会第二十三次会议审议。</w:t>
            </w:r>
          </w:p>
          <w:p w14:paraId="11FB4EB3">
            <w:pPr>
              <w:widowControl w:val="0"/>
              <w:numPr>
                <w:ilvl w:val="0"/>
                <w:numId w:val="40"/>
              </w:numPr>
              <w:jc w:val="both"/>
              <w:rPr>
                <w:rFonts w:hint="eastAsia"/>
                <w:szCs w:val="21"/>
              </w:rPr>
            </w:pPr>
            <w:r>
              <w:rPr>
                <w:rFonts w:hint="eastAsia"/>
                <w:szCs w:val="21"/>
              </w:rPr>
              <w:t>委员会认为，2023年公司管理团队聚焦主责主业，克服重重困难，强化担当作为，防范化解风险，为公司变革发展做出了积极努力，同意将 2023年度高管人员薪酬考核兑现方案提交第五届董事会第二十三次会议审议。</w:t>
            </w:r>
          </w:p>
        </w:tc>
        <w:tc>
          <w:tcPr>
            <w:tcW w:w="1222" w:type="pct"/>
            <w:shd w:val="clear" w:color="auto" w:fill="auto"/>
          </w:tcPr>
          <w:p w14:paraId="7106D17C">
            <w:pPr>
              <w:widowControl w:val="0"/>
              <w:jc w:val="both"/>
              <w:rPr>
                <w:rFonts w:hint="eastAsia"/>
                <w:szCs w:val="21"/>
              </w:rPr>
            </w:pPr>
            <w:r>
              <w:rPr>
                <w:rFonts w:hint="eastAsia"/>
                <w:szCs w:val="21"/>
              </w:rPr>
              <w:t>无</w:t>
            </w:r>
          </w:p>
        </w:tc>
      </w:tr>
      <w:tr w14:paraId="7D62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5BD31D4E">
            <w:pPr>
              <w:widowControl w:val="0"/>
              <w:jc w:val="both"/>
              <w:rPr>
                <w:rFonts w:hint="eastAsia"/>
                <w:szCs w:val="21"/>
              </w:rPr>
            </w:pPr>
            <w:r>
              <w:rPr>
                <w:rFonts w:hint="eastAsia"/>
                <w:szCs w:val="21"/>
              </w:rPr>
              <w:t>2024年5月22日</w:t>
            </w:r>
          </w:p>
        </w:tc>
        <w:tc>
          <w:tcPr>
            <w:tcW w:w="1552" w:type="pct"/>
            <w:shd w:val="clear" w:color="auto" w:fill="auto"/>
          </w:tcPr>
          <w:p w14:paraId="4D18242F">
            <w:pPr>
              <w:widowControl w:val="0"/>
              <w:jc w:val="both"/>
              <w:rPr>
                <w:rFonts w:hint="eastAsia"/>
                <w:szCs w:val="21"/>
              </w:rPr>
            </w:pPr>
            <w:r>
              <w:rPr>
                <w:rFonts w:hint="eastAsia"/>
                <w:szCs w:val="21"/>
              </w:rPr>
              <w:t>审议关于《独立董事报酬发放暂行办法》修订</w:t>
            </w:r>
          </w:p>
        </w:tc>
        <w:tc>
          <w:tcPr>
            <w:tcW w:w="1614" w:type="pct"/>
            <w:shd w:val="clear" w:color="auto" w:fill="auto"/>
          </w:tcPr>
          <w:p w14:paraId="3230F9AA">
            <w:pPr>
              <w:widowControl w:val="0"/>
              <w:jc w:val="both"/>
              <w:rPr>
                <w:rFonts w:hint="eastAsia"/>
                <w:szCs w:val="21"/>
              </w:rPr>
            </w:pPr>
            <w:r>
              <w:rPr>
                <w:rFonts w:hint="eastAsia"/>
                <w:szCs w:val="21"/>
              </w:rPr>
              <w:t>会议认为，调整后公司独立董事报酬标准符合上市公司以及公司内部有关要求，同意提交董事会审议。</w:t>
            </w:r>
          </w:p>
        </w:tc>
        <w:tc>
          <w:tcPr>
            <w:tcW w:w="1222" w:type="pct"/>
            <w:shd w:val="clear" w:color="auto" w:fill="auto"/>
          </w:tcPr>
          <w:p w14:paraId="1BE6B964">
            <w:pPr>
              <w:widowControl w:val="0"/>
              <w:jc w:val="both"/>
              <w:rPr>
                <w:rFonts w:hint="eastAsia"/>
                <w:szCs w:val="21"/>
              </w:rPr>
            </w:pPr>
            <w:r>
              <w:rPr>
                <w:rFonts w:hint="eastAsia"/>
                <w:szCs w:val="21"/>
              </w:rPr>
              <w:t>无</w:t>
            </w:r>
          </w:p>
        </w:tc>
      </w:tr>
    </w:tbl>
    <w:p w14:paraId="55720A32">
      <w:pPr>
        <w:rPr>
          <w:rFonts w:hint="eastAsia"/>
        </w:rPr>
      </w:pPr>
    </w:p>
    <w:p w14:paraId="12FE1594">
      <w:pPr>
        <w:pStyle w:val="4"/>
        <w:numPr>
          <w:ilvl w:val="0"/>
          <w:numId w:val="30"/>
        </w:numPr>
      </w:pPr>
      <w:r>
        <w:rPr>
          <w:rFonts w:hint="eastAsia"/>
        </w:rPr>
        <w:t>报告期内</w:t>
      </w:r>
      <w:sdt>
        <w:sdtPr>
          <w:rPr>
            <w:rFonts w:hint="eastAsia" w:ascii="宋体" w:hAnsi="宋体" w:cs="宋体"/>
            <w:kern w:val="0"/>
            <w:szCs w:val="24"/>
          </w:rPr>
          <w:alias w:val="召开会议的专门委员会类别"/>
          <w:tag w:val="_GBC_adf76ecbe3584f07b573642215a867bd"/>
          <w:id w:val="-681282314"/>
          <w:placeholder>
            <w:docPart w:val="{a92b7554-a85d-48b7-ab8d-be078e3b9a55}"/>
          </w:placeholder>
        </w:sdtPr>
        <w:sdtEndPr>
          <w:rPr>
            <w:rFonts w:hint="eastAsia" w:ascii="宋体" w:hAnsi="宋体" w:cs="宋体"/>
            <w:kern w:val="0"/>
            <w:szCs w:val="24"/>
          </w:rPr>
        </w:sdtEndPr>
        <w:sdtContent>
          <w:r>
            <w:rPr>
              <w:rFonts w:hint="eastAsia"/>
            </w:rPr>
            <w:t>战略与ESG</w:t>
          </w:r>
        </w:sdtContent>
      </w:sdt>
      <w:r>
        <w:rPr>
          <w:rFonts w:hint="eastAsia"/>
        </w:rPr>
        <w:t>委员会召开</w:t>
      </w:r>
      <w:sdt>
        <w:sdtPr>
          <w:rPr>
            <w:rFonts w:hint="eastAsia" w:ascii="宋体" w:hAnsi="宋体" w:cs="宋体"/>
            <w:kern w:val="0"/>
            <w:szCs w:val="24"/>
          </w:rPr>
          <w:alias w:val="报告期内召开专门委员会会议次数"/>
          <w:tag w:val="_GBC_7bf2cd7c3a6a4685ac9c89ee396352a0"/>
          <w:id w:val="1560898087"/>
          <w:placeholder>
            <w:docPart w:val="{a92b7554-a85d-48b7-ab8d-be078e3b9a55}"/>
          </w:placeholder>
        </w:sdtPr>
        <w:sdtEndPr>
          <w:rPr>
            <w:rFonts w:hint="eastAsia" w:ascii="宋体" w:hAnsi="宋体" w:cs="宋体"/>
            <w:kern w:val="0"/>
            <w:szCs w:val="24"/>
          </w:rPr>
        </w:sdtEndPr>
        <w:sdtContent>
          <w:r>
            <w:rPr>
              <w:rFonts w:hint="eastAsia"/>
            </w:rPr>
            <w:t>1</w:t>
          </w:r>
        </w:sdtContent>
      </w:sdt>
      <w:r>
        <w:rPr>
          <w:rFonts w:hint="eastAsia"/>
        </w:rPr>
        <w:t>次会议</w:t>
      </w:r>
    </w:p>
    <w:tbl>
      <w:tblPr>
        <w:tblStyle w:val="37"/>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829"/>
        <w:gridCol w:w="2752"/>
        <w:gridCol w:w="2153"/>
      </w:tblGrid>
      <w:tr w14:paraId="36C3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1aefc289fbf48b1865138608d8bd14f"/>
            <w:id w:val="-1534260414"/>
          </w:sdtPr>
          <w:sdtContent>
            <w:tc>
              <w:tcPr>
                <w:tcW w:w="610" w:type="pct"/>
                <w:shd w:val="clear" w:color="auto" w:fill="auto"/>
                <w:vAlign w:val="center"/>
              </w:tcPr>
              <w:p w14:paraId="388E9A72">
                <w:pPr>
                  <w:widowControl w:val="0"/>
                  <w:jc w:val="center"/>
                  <w:rPr>
                    <w:rFonts w:hint="eastAsia"/>
                    <w:szCs w:val="21"/>
                  </w:rPr>
                </w:pPr>
                <w:r>
                  <w:rPr>
                    <w:rFonts w:hint="eastAsia"/>
                    <w:szCs w:val="21"/>
                  </w:rPr>
                  <w:t>召开日期</w:t>
                </w:r>
              </w:p>
            </w:tc>
          </w:sdtContent>
        </w:sdt>
        <w:sdt>
          <w:sdtPr>
            <w:tag w:val="_PLD_9d24b601ec70414eb969daf6b393edc8"/>
            <w:id w:val="1013651794"/>
          </w:sdtPr>
          <w:sdtContent>
            <w:tc>
              <w:tcPr>
                <w:tcW w:w="1605" w:type="pct"/>
                <w:shd w:val="clear" w:color="auto" w:fill="auto"/>
                <w:vAlign w:val="center"/>
              </w:tcPr>
              <w:p w14:paraId="51C7CC6C">
                <w:pPr>
                  <w:widowControl w:val="0"/>
                  <w:jc w:val="center"/>
                  <w:rPr>
                    <w:rFonts w:hint="eastAsia"/>
                    <w:szCs w:val="21"/>
                  </w:rPr>
                </w:pPr>
                <w:r>
                  <w:rPr>
                    <w:rFonts w:hint="eastAsia"/>
                    <w:szCs w:val="21"/>
                  </w:rPr>
                  <w:t>会议内容</w:t>
                </w:r>
              </w:p>
            </w:tc>
          </w:sdtContent>
        </w:sdt>
        <w:sdt>
          <w:sdtPr>
            <w:tag w:val="_PLD_6ea19dadc3684e98a6d98faaf035a9d9"/>
            <w:id w:val="-1474832383"/>
          </w:sdtPr>
          <w:sdtContent>
            <w:tc>
              <w:tcPr>
                <w:tcW w:w="1561" w:type="pct"/>
                <w:shd w:val="clear" w:color="auto" w:fill="auto"/>
                <w:vAlign w:val="center"/>
              </w:tcPr>
              <w:p w14:paraId="78FA303C">
                <w:pPr>
                  <w:widowControl w:val="0"/>
                  <w:jc w:val="center"/>
                  <w:rPr>
                    <w:rFonts w:hint="eastAsia"/>
                    <w:szCs w:val="21"/>
                  </w:rPr>
                </w:pPr>
                <w:r>
                  <w:rPr>
                    <w:rFonts w:hint="eastAsia"/>
                    <w:szCs w:val="21"/>
                  </w:rPr>
                  <w:t>重要意见和建议</w:t>
                </w:r>
              </w:p>
            </w:tc>
          </w:sdtContent>
        </w:sdt>
        <w:sdt>
          <w:sdtPr>
            <w:tag w:val="_PLD_ef03d3ffb00740008011022cb6a96805"/>
            <w:id w:val="350454382"/>
          </w:sdtPr>
          <w:sdtContent>
            <w:tc>
              <w:tcPr>
                <w:tcW w:w="1222" w:type="pct"/>
                <w:shd w:val="clear" w:color="auto" w:fill="auto"/>
                <w:vAlign w:val="center"/>
              </w:tcPr>
              <w:p w14:paraId="3119684E">
                <w:pPr>
                  <w:widowControl w:val="0"/>
                  <w:jc w:val="center"/>
                  <w:rPr>
                    <w:rFonts w:hint="eastAsia"/>
                    <w:szCs w:val="21"/>
                  </w:rPr>
                </w:pPr>
                <w:r>
                  <w:rPr>
                    <w:rFonts w:hint="eastAsia"/>
                    <w:szCs w:val="21"/>
                  </w:rPr>
                  <w:t>其他履行职责情况</w:t>
                </w:r>
              </w:p>
            </w:tc>
          </w:sdtContent>
        </w:sdt>
      </w:tr>
      <w:tr w14:paraId="7332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pct"/>
            <w:shd w:val="clear" w:color="auto" w:fill="auto"/>
          </w:tcPr>
          <w:p w14:paraId="7E1D5B0D">
            <w:pPr>
              <w:widowControl w:val="0"/>
              <w:jc w:val="both"/>
              <w:rPr>
                <w:rFonts w:hint="eastAsia"/>
                <w:szCs w:val="21"/>
              </w:rPr>
            </w:pPr>
            <w:r>
              <w:rPr>
                <w:rFonts w:hint="eastAsia"/>
                <w:szCs w:val="21"/>
              </w:rPr>
              <w:t>2024年4月12日</w:t>
            </w:r>
          </w:p>
        </w:tc>
        <w:tc>
          <w:tcPr>
            <w:tcW w:w="1605" w:type="pct"/>
            <w:shd w:val="clear" w:color="auto" w:fill="auto"/>
          </w:tcPr>
          <w:p w14:paraId="473AFC15">
            <w:pPr>
              <w:widowControl w:val="0"/>
              <w:jc w:val="both"/>
              <w:rPr>
                <w:rFonts w:hint="eastAsia"/>
                <w:szCs w:val="21"/>
              </w:rPr>
            </w:pPr>
            <w:r>
              <w:rPr>
                <w:rFonts w:hint="eastAsia"/>
                <w:szCs w:val="21"/>
              </w:rPr>
              <w:t>审议关于调整《际华集团股份有限公司“十四五”发展战略与规划》的议案</w:t>
            </w:r>
          </w:p>
        </w:tc>
        <w:tc>
          <w:tcPr>
            <w:tcW w:w="1561" w:type="pct"/>
            <w:shd w:val="clear" w:color="auto" w:fill="auto"/>
          </w:tcPr>
          <w:p w14:paraId="3CE57CEF">
            <w:pPr>
              <w:widowControl w:val="0"/>
              <w:jc w:val="both"/>
              <w:rPr>
                <w:rFonts w:hint="eastAsia"/>
                <w:szCs w:val="21"/>
              </w:rPr>
            </w:pPr>
            <w:r>
              <w:rPr>
                <w:rFonts w:hint="eastAsia"/>
                <w:szCs w:val="21"/>
              </w:rPr>
              <w:t>与会委员一致同意际华集团“十四五”发展战略与规划中期调整内容。委员们认为“十四五”规划调整内容严格落实了党的二十大的新目标、新部署、新要求，进一步聚焦建设成为功能性防护性材料的引领者和中国最具竞争力的职业装引领者，充分反映了“十四五”期间内外部环境变化，持续优化公司投资发展路径、深化公司改革创新力度，有助于建设现代化产业体系，利于进一步夯实公司产业基础、发展战略新兴产业。</w:t>
            </w:r>
          </w:p>
        </w:tc>
        <w:tc>
          <w:tcPr>
            <w:tcW w:w="1222" w:type="pct"/>
            <w:shd w:val="clear" w:color="auto" w:fill="auto"/>
          </w:tcPr>
          <w:p w14:paraId="4AF6A55B">
            <w:pPr>
              <w:widowControl w:val="0"/>
              <w:jc w:val="both"/>
              <w:rPr>
                <w:rFonts w:hint="eastAsia"/>
                <w:szCs w:val="21"/>
              </w:rPr>
            </w:pPr>
            <w:r>
              <w:rPr>
                <w:rFonts w:hint="eastAsia"/>
                <w:szCs w:val="21"/>
              </w:rPr>
              <w:t>无</w:t>
            </w:r>
          </w:p>
        </w:tc>
      </w:tr>
    </w:tbl>
    <w:p w14:paraId="6FB1ED9B">
      <w:pPr>
        <w:rPr>
          <w:rFonts w:hint="eastAsia"/>
        </w:rPr>
      </w:pPr>
    </w:p>
    <w:p w14:paraId="17F53E3C">
      <w:pPr>
        <w:pStyle w:val="4"/>
        <w:numPr>
          <w:ilvl w:val="0"/>
          <w:numId w:val="30"/>
        </w:numPr>
      </w:pPr>
      <w:r>
        <w:rPr>
          <w:rFonts w:hint="eastAsia"/>
        </w:rPr>
        <w:t>存在异议事项的具体情况</w:t>
      </w:r>
    </w:p>
    <w:sdt>
      <w:sdtPr>
        <w:rPr>
          <w:rFonts w:hint="eastAsia"/>
          <w:szCs w:val="21"/>
        </w:rPr>
        <w:alias w:val="是否适用：董事会下设专门委员会在报告期内履行职责时所提出的重要意见和建议[双击切换]"/>
        <w:tag w:val="_GBC_f61de8443c9e4bc6b27047ea31f34f46"/>
        <w:id w:val="268980211"/>
        <w:placeholder>
          <w:docPart w:val="GBC22222222222222222222222222222"/>
        </w:placeholder>
      </w:sdtPr>
      <w:sdtEndPr>
        <w:rPr>
          <w:rFonts w:hint="eastAsia"/>
          <w:szCs w:val="21"/>
        </w:rPr>
      </w:sdtEndPr>
      <w:sdtContent>
        <w:p w14:paraId="36613F1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BBD3CA7">
      <w:pPr>
        <w:rPr>
          <w:rFonts w:hint="eastAsia"/>
          <w:szCs w:val="21"/>
        </w:rPr>
      </w:pPr>
    </w:p>
    <w:p w14:paraId="35CCA577">
      <w:pPr>
        <w:pStyle w:val="3"/>
        <w:numPr>
          <w:ilvl w:val="0"/>
          <w:numId w:val="17"/>
        </w:numPr>
      </w:pPr>
      <w:r>
        <w:t>监事会发现公司存在风险的说明</w:t>
      </w:r>
    </w:p>
    <w:sdt>
      <w:sdtPr>
        <w:alias w:val="是否适用：监事会发现公司存在风险的说明[双击切换]"/>
        <w:tag w:val="_GBC_987bc6e795084351a58e9d0bca47f246"/>
        <w:id w:val="1706910995"/>
        <w:placeholder>
          <w:docPart w:val="GBC22222222222222222222222222222"/>
        </w:placeholder>
      </w:sdtPr>
      <w:sdtContent>
        <w:p w14:paraId="06F4950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0071738">
      <w:pPr>
        <w:rPr>
          <w:rFonts w:hint="eastAsia"/>
          <w:szCs w:val="21"/>
        </w:rPr>
      </w:pPr>
      <w:r>
        <w:rPr>
          <w:rFonts w:hint="eastAsia"/>
        </w:rPr>
        <w:t>监事会对报告期内的监督事项</w:t>
      </w:r>
      <w:sdt>
        <w:sdtPr>
          <w:tag w:val="_PLD_66086d7fdf9245bb81102da5ce6dd63d"/>
          <w:id w:val="-527263079"/>
        </w:sdtPr>
        <w:sdtContent>
          <w:r>
            <w:rPr>
              <w:rFonts w:hint="eastAsia"/>
            </w:rPr>
            <w:t>无异议</w:t>
          </w:r>
        </w:sdtContent>
      </w:sdt>
      <w:r>
        <w:rPr>
          <w:rFonts w:hint="eastAsia"/>
        </w:rPr>
        <w:t>。</w:t>
      </w:r>
    </w:p>
    <w:p w14:paraId="5B12B714">
      <w:pPr>
        <w:rPr>
          <w:rFonts w:hint="eastAsia"/>
          <w:szCs w:val="21"/>
        </w:rPr>
      </w:pPr>
    </w:p>
    <w:p w14:paraId="78065E4B">
      <w:pPr>
        <w:rPr>
          <w:rFonts w:hint="eastAsia"/>
        </w:rPr>
      </w:pPr>
    </w:p>
    <w:p w14:paraId="275C4FE5">
      <w:pPr>
        <w:pStyle w:val="3"/>
        <w:numPr>
          <w:ilvl w:val="0"/>
          <w:numId w:val="17"/>
        </w:numPr>
      </w:pPr>
      <w:r>
        <w:rPr>
          <w:rFonts w:hint="eastAsia" w:ascii="宋体" w:hAnsi="宋体" w:cs="宋体"/>
          <w:kern w:val="0"/>
          <w:szCs w:val="24"/>
        </w:rPr>
        <w:t>报告期末</w:t>
      </w:r>
      <w:r>
        <w:rPr>
          <w:rFonts w:ascii="宋体" w:hAnsi="宋体" w:cs="宋体"/>
          <w:kern w:val="0"/>
          <w:szCs w:val="24"/>
        </w:rPr>
        <w:t>母公司和主要子公司的员工情况</w:t>
      </w:r>
    </w:p>
    <w:p w14:paraId="76D35371">
      <w:pPr>
        <w:pStyle w:val="4"/>
        <w:numPr>
          <w:ilvl w:val="0"/>
          <w:numId w:val="41"/>
        </w:numPr>
        <w:rPr>
          <w:szCs w:val="21"/>
        </w:rPr>
      </w:pPr>
      <w:bookmarkStart w:id="83" w:name="_Hlk89184114"/>
      <w:r>
        <w:rPr>
          <w:szCs w:val="21"/>
        </w:rPr>
        <w:t>员工情况</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2F18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sdt>
          <w:sdtPr>
            <w:tag w:val="_PLD_cff5d8823807446facbb16ac3f50949e"/>
            <w:id w:val="-1724748528"/>
          </w:sdtPr>
          <w:sdtContent>
            <w:tc>
              <w:tcPr>
                <w:tcW w:w="2500" w:type="pct"/>
              </w:tcPr>
              <w:p w14:paraId="243513B5">
                <w:pPr>
                  <w:widowControl w:val="0"/>
                  <w:jc w:val="both"/>
                  <w:rPr>
                    <w:rFonts w:hint="eastAsia"/>
                    <w:szCs w:val="21"/>
                  </w:rPr>
                </w:pPr>
                <w:r>
                  <w:rPr>
                    <w:szCs w:val="21"/>
                  </w:rPr>
                  <w:t>母公司在职员工的数量</w:t>
                </w:r>
              </w:p>
            </w:tc>
          </w:sdtContent>
        </w:sdt>
        <w:sdt>
          <w:sdtPr>
            <w:rPr>
              <w:rFonts w:ascii="Arial Narrow" w:hAnsi="Arial Narrow"/>
              <w:szCs w:val="21"/>
            </w:rPr>
            <w:alias w:val="母公司在职员工的数量"/>
            <w:tag w:val="_GBC_abd1eca65c1c4a43937ae4fdd8599b5b"/>
            <w:id w:val="1422682561"/>
          </w:sdtPr>
          <w:sdtEndPr>
            <w:rPr>
              <w:rFonts w:ascii="Arial Narrow" w:hAnsi="Arial Narrow"/>
              <w:szCs w:val="21"/>
            </w:rPr>
          </w:sdtEndPr>
          <w:sdtContent>
            <w:tc>
              <w:tcPr>
                <w:tcW w:w="2500" w:type="pct"/>
              </w:tcPr>
              <w:p w14:paraId="2341D1C2">
                <w:pPr>
                  <w:widowControl w:val="0"/>
                  <w:jc w:val="right"/>
                  <w:rPr>
                    <w:rFonts w:ascii="Arial Narrow" w:hAnsi="Arial Narrow"/>
                    <w:szCs w:val="21"/>
                  </w:rPr>
                </w:pPr>
                <w:r>
                  <w:rPr>
                    <w:rFonts w:ascii="Arial Narrow" w:hAnsi="Arial Narrow"/>
                    <w:szCs w:val="21"/>
                  </w:rPr>
                  <w:t>170</w:t>
                </w:r>
              </w:p>
            </w:tc>
          </w:sdtContent>
        </w:sdt>
      </w:tr>
      <w:tr w14:paraId="6913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2500" w:type="pct"/>
          </w:tcPr>
          <w:p w14:paraId="665035DD">
            <w:pPr>
              <w:widowControl w:val="0"/>
              <w:jc w:val="both"/>
              <w:rPr>
                <w:rFonts w:hint="eastAsia"/>
                <w:szCs w:val="21"/>
              </w:rPr>
            </w:pPr>
            <w:r>
              <w:rPr>
                <w:szCs w:val="21"/>
              </w:rPr>
              <w:t>主要子公司在职员工的数量</w:t>
            </w:r>
          </w:p>
        </w:tc>
        <w:tc>
          <w:tcPr>
            <w:tcW w:w="2500" w:type="pct"/>
          </w:tcPr>
          <w:p w14:paraId="2E2F566C">
            <w:pPr>
              <w:widowControl w:val="0"/>
              <w:jc w:val="right"/>
              <w:rPr>
                <w:rFonts w:ascii="Arial Narrow" w:hAnsi="Arial Narrow"/>
                <w:szCs w:val="21"/>
              </w:rPr>
            </w:pPr>
            <w:r>
              <w:rPr>
                <w:rFonts w:ascii="Arial Narrow" w:hAnsi="Arial Narrow"/>
                <w:szCs w:val="21"/>
              </w:rPr>
              <w:t>13,660</w:t>
            </w:r>
          </w:p>
        </w:tc>
      </w:tr>
      <w:tr w14:paraId="2886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500" w:type="pct"/>
          </w:tcPr>
          <w:p w14:paraId="2280C240">
            <w:pPr>
              <w:widowControl w:val="0"/>
              <w:jc w:val="both"/>
              <w:rPr>
                <w:rFonts w:hint="eastAsia"/>
                <w:szCs w:val="21"/>
              </w:rPr>
            </w:pPr>
            <w:r>
              <w:rPr>
                <w:szCs w:val="21"/>
              </w:rPr>
              <w:t>在职员工的数量合计</w:t>
            </w:r>
          </w:p>
        </w:tc>
        <w:tc>
          <w:tcPr>
            <w:tcW w:w="2500" w:type="pct"/>
          </w:tcPr>
          <w:p w14:paraId="40A8D882">
            <w:pPr>
              <w:widowControl w:val="0"/>
              <w:jc w:val="right"/>
              <w:rPr>
                <w:rFonts w:ascii="Arial Narrow" w:hAnsi="Arial Narrow"/>
                <w:szCs w:val="21"/>
              </w:rPr>
            </w:pPr>
            <w:r>
              <w:rPr>
                <w:rFonts w:ascii="Arial Narrow" w:hAnsi="Arial Narrow"/>
                <w:szCs w:val="21"/>
              </w:rPr>
              <w:t>13,830</w:t>
            </w:r>
          </w:p>
        </w:tc>
      </w:tr>
      <w:tr w14:paraId="0B61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500" w:type="pct"/>
          </w:tcPr>
          <w:p w14:paraId="54F7880C">
            <w:pPr>
              <w:widowControl w:val="0"/>
              <w:jc w:val="both"/>
              <w:rPr>
                <w:rFonts w:hint="eastAsia"/>
                <w:szCs w:val="21"/>
              </w:rPr>
            </w:pPr>
            <w:r>
              <w:rPr>
                <w:szCs w:val="21"/>
              </w:rPr>
              <w:t>母公司及主要子公司需承担费用的离退休职工人数</w:t>
            </w:r>
          </w:p>
        </w:tc>
        <w:tc>
          <w:tcPr>
            <w:tcW w:w="2500" w:type="pct"/>
          </w:tcPr>
          <w:p w14:paraId="372B18C4">
            <w:pPr>
              <w:widowControl w:val="0"/>
              <w:jc w:val="right"/>
              <w:rPr>
                <w:rFonts w:ascii="Arial Narrow" w:hAnsi="Arial Narrow"/>
                <w:szCs w:val="21"/>
              </w:rPr>
            </w:pPr>
            <w:r>
              <w:rPr>
                <w:rFonts w:ascii="Arial Narrow" w:hAnsi="Arial Narrow"/>
                <w:szCs w:val="21"/>
              </w:rPr>
              <w:t>0</w:t>
            </w:r>
          </w:p>
        </w:tc>
      </w:tr>
      <w:tr w14:paraId="762D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sdt>
          <w:sdtPr>
            <w:rPr>
              <w:rFonts w:ascii="Arial Narrow" w:hAnsi="Arial Narrow"/>
            </w:rPr>
            <w:tag w:val="_PLD_f37d0297c6bb44dea272632ad4d910e4"/>
            <w:id w:val="1563374045"/>
          </w:sdtPr>
          <w:sdtEndPr>
            <w:rPr>
              <w:rFonts w:ascii="Arial Narrow" w:hAnsi="Arial Narrow"/>
            </w:rPr>
          </w:sdtEndPr>
          <w:sdtContent>
            <w:tc>
              <w:tcPr>
                <w:tcW w:w="5000" w:type="pct"/>
                <w:gridSpan w:val="2"/>
                <w:vAlign w:val="center"/>
              </w:tcPr>
              <w:p w14:paraId="43F3AC80">
                <w:pPr>
                  <w:widowControl w:val="0"/>
                  <w:jc w:val="center"/>
                  <w:rPr>
                    <w:rFonts w:ascii="Arial Narrow" w:hAnsi="Arial Narrow"/>
                    <w:szCs w:val="21"/>
                  </w:rPr>
                </w:pPr>
                <w:r>
                  <w:rPr>
                    <w:rFonts w:ascii="Arial Narrow" w:hAnsi="Arial Narrow"/>
                    <w:szCs w:val="21"/>
                  </w:rPr>
                  <w:t>专业构成</w:t>
                </w:r>
              </w:p>
            </w:tc>
          </w:sdtContent>
        </w:sdt>
      </w:tr>
      <w:tr w14:paraId="597D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sdt>
          <w:sdtPr>
            <w:tag w:val="_PLD_90bef974c0c14508b11a7e84e6f364c5"/>
            <w:id w:val="1327553846"/>
          </w:sdtPr>
          <w:sdtContent>
            <w:tc>
              <w:tcPr>
                <w:tcW w:w="2500" w:type="pct"/>
              </w:tcPr>
              <w:p w14:paraId="4BA80A5D">
                <w:pPr>
                  <w:widowControl w:val="0"/>
                  <w:jc w:val="center"/>
                  <w:rPr>
                    <w:rFonts w:hint="eastAsia"/>
                    <w:szCs w:val="21"/>
                  </w:rPr>
                </w:pPr>
                <w:r>
                  <w:rPr>
                    <w:szCs w:val="21"/>
                  </w:rPr>
                  <w:t>专业构成类别</w:t>
                </w:r>
              </w:p>
            </w:tc>
          </w:sdtContent>
        </w:sdt>
        <w:sdt>
          <w:sdtPr>
            <w:rPr>
              <w:rFonts w:ascii="Arial Narrow" w:hAnsi="Arial Narrow"/>
            </w:rPr>
            <w:tag w:val="_PLD_a5f175a6b2a94ee7a70936fbe5cbc8da"/>
            <w:id w:val="-1138800870"/>
          </w:sdtPr>
          <w:sdtEndPr>
            <w:rPr>
              <w:rFonts w:ascii="Arial Narrow" w:hAnsi="Arial Narrow"/>
            </w:rPr>
          </w:sdtEndPr>
          <w:sdtContent>
            <w:tc>
              <w:tcPr>
                <w:tcW w:w="2500" w:type="pct"/>
              </w:tcPr>
              <w:p w14:paraId="08A26808">
                <w:pPr>
                  <w:widowControl w:val="0"/>
                  <w:jc w:val="center"/>
                  <w:rPr>
                    <w:rFonts w:ascii="Arial Narrow" w:hAnsi="Arial Narrow"/>
                    <w:szCs w:val="21"/>
                  </w:rPr>
                </w:pPr>
                <w:r>
                  <w:rPr>
                    <w:rFonts w:ascii="Arial Narrow" w:hAnsi="Arial Narrow"/>
                    <w:szCs w:val="21"/>
                  </w:rPr>
                  <w:t>专业构成人数</w:t>
                </w:r>
              </w:p>
            </w:tc>
          </w:sdtContent>
        </w:sdt>
      </w:tr>
      <w:tr w14:paraId="0C13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500" w:type="pct"/>
          </w:tcPr>
          <w:p w14:paraId="45FC52BF">
            <w:pPr>
              <w:widowControl w:val="0"/>
              <w:jc w:val="center"/>
              <w:rPr>
                <w:rFonts w:hint="eastAsia"/>
                <w:szCs w:val="21"/>
              </w:rPr>
            </w:pPr>
            <w:r>
              <w:rPr>
                <w:szCs w:val="21"/>
              </w:rPr>
              <w:t>生产人员</w:t>
            </w:r>
          </w:p>
        </w:tc>
        <w:tc>
          <w:tcPr>
            <w:tcW w:w="2500" w:type="pct"/>
          </w:tcPr>
          <w:p w14:paraId="7BFF4BFD">
            <w:pPr>
              <w:widowControl w:val="0"/>
              <w:jc w:val="right"/>
              <w:rPr>
                <w:rFonts w:ascii="Arial Narrow" w:hAnsi="Arial Narrow"/>
                <w:szCs w:val="21"/>
              </w:rPr>
            </w:pPr>
            <w:r>
              <w:rPr>
                <w:rFonts w:ascii="Arial Narrow" w:hAnsi="Arial Narrow"/>
                <w:szCs w:val="21"/>
              </w:rPr>
              <w:t>8,684</w:t>
            </w:r>
          </w:p>
        </w:tc>
      </w:tr>
      <w:tr w14:paraId="79CF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500" w:type="pct"/>
          </w:tcPr>
          <w:p w14:paraId="56568CB2">
            <w:pPr>
              <w:widowControl w:val="0"/>
              <w:jc w:val="center"/>
              <w:rPr>
                <w:rFonts w:hint="eastAsia"/>
                <w:szCs w:val="21"/>
              </w:rPr>
            </w:pPr>
            <w:r>
              <w:rPr>
                <w:szCs w:val="21"/>
              </w:rPr>
              <w:t>销售人员</w:t>
            </w:r>
          </w:p>
        </w:tc>
        <w:tc>
          <w:tcPr>
            <w:tcW w:w="2500" w:type="pct"/>
          </w:tcPr>
          <w:p w14:paraId="51606354">
            <w:pPr>
              <w:widowControl w:val="0"/>
              <w:jc w:val="right"/>
              <w:rPr>
                <w:rFonts w:ascii="Arial Narrow" w:hAnsi="Arial Narrow"/>
                <w:szCs w:val="21"/>
              </w:rPr>
            </w:pPr>
            <w:r>
              <w:rPr>
                <w:rFonts w:ascii="Arial Narrow" w:hAnsi="Arial Narrow"/>
                <w:szCs w:val="21"/>
              </w:rPr>
              <w:t>755</w:t>
            </w:r>
          </w:p>
        </w:tc>
      </w:tr>
      <w:tr w14:paraId="492F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500" w:type="pct"/>
          </w:tcPr>
          <w:p w14:paraId="2380ADF5">
            <w:pPr>
              <w:widowControl w:val="0"/>
              <w:jc w:val="center"/>
              <w:rPr>
                <w:rFonts w:hint="eastAsia"/>
                <w:szCs w:val="21"/>
              </w:rPr>
            </w:pPr>
            <w:r>
              <w:rPr>
                <w:szCs w:val="21"/>
              </w:rPr>
              <w:t>技术人员</w:t>
            </w:r>
          </w:p>
        </w:tc>
        <w:tc>
          <w:tcPr>
            <w:tcW w:w="2500" w:type="pct"/>
          </w:tcPr>
          <w:p w14:paraId="1A9E625A">
            <w:pPr>
              <w:widowControl w:val="0"/>
              <w:jc w:val="right"/>
              <w:rPr>
                <w:rFonts w:ascii="Arial Narrow" w:hAnsi="Arial Narrow"/>
                <w:szCs w:val="21"/>
              </w:rPr>
            </w:pPr>
            <w:r>
              <w:rPr>
                <w:rFonts w:ascii="Arial Narrow" w:hAnsi="Arial Narrow"/>
                <w:szCs w:val="21"/>
              </w:rPr>
              <w:t>1,700</w:t>
            </w:r>
          </w:p>
        </w:tc>
      </w:tr>
      <w:tr w14:paraId="686A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500" w:type="pct"/>
          </w:tcPr>
          <w:p w14:paraId="4D00C267">
            <w:pPr>
              <w:widowControl w:val="0"/>
              <w:jc w:val="center"/>
              <w:rPr>
                <w:rFonts w:hint="eastAsia"/>
                <w:szCs w:val="21"/>
              </w:rPr>
            </w:pPr>
            <w:r>
              <w:rPr>
                <w:szCs w:val="21"/>
              </w:rPr>
              <w:t>财务人员</w:t>
            </w:r>
          </w:p>
        </w:tc>
        <w:tc>
          <w:tcPr>
            <w:tcW w:w="2500" w:type="pct"/>
          </w:tcPr>
          <w:p w14:paraId="312EB88B">
            <w:pPr>
              <w:widowControl w:val="0"/>
              <w:jc w:val="right"/>
              <w:rPr>
                <w:rFonts w:ascii="Arial Narrow" w:hAnsi="Arial Narrow"/>
                <w:szCs w:val="21"/>
              </w:rPr>
            </w:pPr>
            <w:r>
              <w:rPr>
                <w:rFonts w:ascii="Arial Narrow" w:hAnsi="Arial Narrow"/>
                <w:szCs w:val="21"/>
              </w:rPr>
              <w:t>288</w:t>
            </w:r>
          </w:p>
        </w:tc>
      </w:tr>
      <w:tr w14:paraId="1D78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2500" w:type="pct"/>
          </w:tcPr>
          <w:p w14:paraId="589C6F54">
            <w:pPr>
              <w:widowControl w:val="0"/>
              <w:jc w:val="center"/>
              <w:rPr>
                <w:rFonts w:hint="eastAsia"/>
                <w:szCs w:val="21"/>
              </w:rPr>
            </w:pPr>
            <w:r>
              <w:rPr>
                <w:szCs w:val="21"/>
              </w:rPr>
              <w:t>行政人员</w:t>
            </w:r>
          </w:p>
        </w:tc>
        <w:tc>
          <w:tcPr>
            <w:tcW w:w="2500" w:type="pct"/>
          </w:tcPr>
          <w:p w14:paraId="0467CEE6">
            <w:pPr>
              <w:widowControl w:val="0"/>
              <w:jc w:val="right"/>
              <w:rPr>
                <w:rFonts w:ascii="Arial Narrow" w:hAnsi="Arial Narrow"/>
                <w:szCs w:val="21"/>
              </w:rPr>
            </w:pPr>
            <w:r>
              <w:rPr>
                <w:rFonts w:ascii="Arial Narrow" w:hAnsi="Arial Narrow"/>
                <w:szCs w:val="21"/>
              </w:rPr>
              <w:t>1,243</w:t>
            </w:r>
          </w:p>
        </w:tc>
      </w:tr>
      <w:tr w14:paraId="1645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00" w:type="pct"/>
          </w:tcPr>
          <w:p w14:paraId="44C7D17C">
            <w:pPr>
              <w:widowControl w:val="0"/>
              <w:jc w:val="center"/>
              <w:rPr>
                <w:rFonts w:hint="eastAsia"/>
                <w:szCs w:val="21"/>
              </w:rPr>
            </w:pPr>
            <w:r>
              <w:rPr>
                <w:rFonts w:hint="eastAsia"/>
                <w:szCs w:val="21"/>
              </w:rPr>
              <w:t>其他人员</w:t>
            </w:r>
          </w:p>
        </w:tc>
        <w:tc>
          <w:tcPr>
            <w:tcW w:w="2500" w:type="pct"/>
          </w:tcPr>
          <w:p w14:paraId="40BC639B">
            <w:pPr>
              <w:widowControl w:val="0"/>
              <w:jc w:val="right"/>
              <w:rPr>
                <w:rFonts w:ascii="Arial Narrow" w:hAnsi="Arial Narrow"/>
                <w:szCs w:val="21"/>
              </w:rPr>
            </w:pPr>
            <w:r>
              <w:rPr>
                <w:rFonts w:ascii="Arial Narrow" w:hAnsi="Arial Narrow" w:eastAsiaTheme="minorEastAsia"/>
              </w:rPr>
              <w:t>1,160</w:t>
            </w:r>
          </w:p>
        </w:tc>
      </w:tr>
      <w:tr w14:paraId="261A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2500" w:type="pct"/>
            <w:vAlign w:val="center"/>
          </w:tcPr>
          <w:p w14:paraId="57A6A5AB">
            <w:pPr>
              <w:widowControl w:val="0"/>
              <w:jc w:val="center"/>
              <w:rPr>
                <w:rFonts w:hint="eastAsia"/>
                <w:szCs w:val="21"/>
              </w:rPr>
            </w:pPr>
            <w:r>
              <w:rPr>
                <w:szCs w:val="21"/>
              </w:rPr>
              <w:t>合计</w:t>
            </w:r>
          </w:p>
        </w:tc>
        <w:tc>
          <w:tcPr>
            <w:tcW w:w="2500" w:type="pct"/>
          </w:tcPr>
          <w:p w14:paraId="2F2E8111">
            <w:pPr>
              <w:widowControl w:val="0"/>
              <w:jc w:val="right"/>
              <w:rPr>
                <w:rFonts w:ascii="Arial Narrow" w:hAnsi="Arial Narrow"/>
                <w:szCs w:val="21"/>
              </w:rPr>
            </w:pPr>
            <w:r>
              <w:rPr>
                <w:rFonts w:ascii="Arial Narrow" w:hAnsi="Arial Narrow"/>
                <w:szCs w:val="21"/>
              </w:rPr>
              <w:t>13,830</w:t>
            </w:r>
          </w:p>
        </w:tc>
      </w:tr>
      <w:tr w14:paraId="0357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sdt>
          <w:sdtPr>
            <w:rPr>
              <w:rFonts w:ascii="Arial Narrow" w:hAnsi="Arial Narrow"/>
            </w:rPr>
            <w:tag w:val="_PLD_ea58f2d9c900463a8694fdc78940295e"/>
            <w:id w:val="308295619"/>
          </w:sdtPr>
          <w:sdtEndPr>
            <w:rPr>
              <w:rFonts w:ascii="Arial Narrow" w:hAnsi="Arial Narrow"/>
            </w:rPr>
          </w:sdtEndPr>
          <w:sdtContent>
            <w:tc>
              <w:tcPr>
                <w:tcW w:w="5000" w:type="pct"/>
                <w:gridSpan w:val="2"/>
                <w:vAlign w:val="center"/>
              </w:tcPr>
              <w:p w14:paraId="54EC2BC4">
                <w:pPr>
                  <w:widowControl w:val="0"/>
                  <w:jc w:val="center"/>
                  <w:rPr>
                    <w:rFonts w:ascii="Arial Narrow" w:hAnsi="Arial Narrow"/>
                    <w:szCs w:val="21"/>
                  </w:rPr>
                </w:pPr>
                <w:r>
                  <w:rPr>
                    <w:rFonts w:ascii="Arial Narrow" w:hAnsi="Arial Narrow"/>
                    <w:szCs w:val="21"/>
                  </w:rPr>
                  <w:t>教育程度</w:t>
                </w:r>
              </w:p>
            </w:tc>
          </w:sdtContent>
        </w:sdt>
      </w:tr>
      <w:tr w14:paraId="6CFA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sdt>
          <w:sdtPr>
            <w:tag w:val="_PLD_92fefeded22c454881177d08c5c97d97"/>
            <w:id w:val="-1955700989"/>
          </w:sdtPr>
          <w:sdtContent>
            <w:tc>
              <w:tcPr>
                <w:tcW w:w="2500" w:type="pct"/>
              </w:tcPr>
              <w:p w14:paraId="5F5AC963">
                <w:pPr>
                  <w:widowControl w:val="0"/>
                  <w:jc w:val="center"/>
                  <w:rPr>
                    <w:rFonts w:hint="eastAsia"/>
                    <w:szCs w:val="21"/>
                  </w:rPr>
                </w:pPr>
                <w:r>
                  <w:rPr>
                    <w:szCs w:val="21"/>
                  </w:rPr>
                  <w:t>教育程度类别</w:t>
                </w:r>
              </w:p>
            </w:tc>
          </w:sdtContent>
        </w:sdt>
        <w:sdt>
          <w:sdtPr>
            <w:rPr>
              <w:rFonts w:ascii="Arial Narrow" w:hAnsi="Arial Narrow"/>
            </w:rPr>
            <w:tag w:val="_PLD_2a8ff2c52daa4348bedf7a0e6951a5c6"/>
            <w:id w:val="1353148342"/>
          </w:sdtPr>
          <w:sdtEndPr>
            <w:rPr>
              <w:rFonts w:ascii="Arial Narrow" w:hAnsi="Arial Narrow"/>
            </w:rPr>
          </w:sdtEndPr>
          <w:sdtContent>
            <w:tc>
              <w:tcPr>
                <w:tcW w:w="2500" w:type="pct"/>
              </w:tcPr>
              <w:p w14:paraId="38ECBC26">
                <w:pPr>
                  <w:widowControl w:val="0"/>
                  <w:jc w:val="center"/>
                  <w:rPr>
                    <w:rFonts w:ascii="Arial Narrow" w:hAnsi="Arial Narrow"/>
                    <w:szCs w:val="21"/>
                  </w:rPr>
                </w:pPr>
                <w:r>
                  <w:rPr>
                    <w:rFonts w:ascii="Arial Narrow" w:hAnsi="Arial Narrow"/>
                    <w:szCs w:val="21"/>
                  </w:rPr>
                  <w:t>数量（人）</w:t>
                </w:r>
              </w:p>
            </w:tc>
          </w:sdtContent>
        </w:sdt>
      </w:tr>
      <w:tr w14:paraId="30A8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00" w:type="pct"/>
          </w:tcPr>
          <w:p w14:paraId="6BD121E6">
            <w:pPr>
              <w:widowControl w:val="0"/>
              <w:jc w:val="center"/>
              <w:rPr>
                <w:rFonts w:hint="eastAsia"/>
                <w:szCs w:val="21"/>
              </w:rPr>
            </w:pPr>
            <w:r>
              <w:t>硕士研究生学历及以上</w:t>
            </w:r>
          </w:p>
        </w:tc>
        <w:tc>
          <w:tcPr>
            <w:tcW w:w="2500" w:type="pct"/>
          </w:tcPr>
          <w:p w14:paraId="510E6792">
            <w:pPr>
              <w:widowControl w:val="0"/>
              <w:jc w:val="right"/>
              <w:rPr>
                <w:rFonts w:ascii="Arial Narrow" w:hAnsi="Arial Narrow"/>
                <w:szCs w:val="21"/>
              </w:rPr>
            </w:pPr>
            <w:r>
              <w:rPr>
                <w:rFonts w:ascii="Arial Narrow" w:hAnsi="Arial Narrow" w:eastAsiaTheme="minorEastAsia"/>
              </w:rPr>
              <w:t>209</w:t>
            </w:r>
          </w:p>
        </w:tc>
      </w:tr>
      <w:tr w14:paraId="3C13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00" w:type="pct"/>
          </w:tcPr>
          <w:p w14:paraId="3CB9864F">
            <w:pPr>
              <w:widowControl w:val="0"/>
              <w:jc w:val="center"/>
              <w:rPr>
                <w:rFonts w:hint="eastAsia"/>
                <w:szCs w:val="21"/>
              </w:rPr>
            </w:pPr>
            <w:r>
              <w:t>本科学历</w:t>
            </w:r>
          </w:p>
        </w:tc>
        <w:tc>
          <w:tcPr>
            <w:tcW w:w="2500" w:type="pct"/>
          </w:tcPr>
          <w:p w14:paraId="34625998">
            <w:pPr>
              <w:widowControl w:val="0"/>
              <w:jc w:val="right"/>
              <w:rPr>
                <w:rFonts w:ascii="Arial Narrow" w:hAnsi="Arial Narrow"/>
                <w:szCs w:val="21"/>
              </w:rPr>
            </w:pPr>
            <w:r>
              <w:rPr>
                <w:rFonts w:ascii="Arial Narrow" w:hAnsi="Arial Narrow" w:eastAsiaTheme="minorEastAsia"/>
              </w:rPr>
              <w:t>1,844</w:t>
            </w:r>
          </w:p>
        </w:tc>
      </w:tr>
      <w:tr w14:paraId="4975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00" w:type="pct"/>
          </w:tcPr>
          <w:p w14:paraId="63AB5C71">
            <w:pPr>
              <w:widowControl w:val="0"/>
              <w:jc w:val="center"/>
              <w:rPr>
                <w:rFonts w:hint="eastAsia"/>
                <w:szCs w:val="21"/>
              </w:rPr>
            </w:pPr>
            <w:r>
              <w:t>专科学历及以下</w:t>
            </w:r>
          </w:p>
        </w:tc>
        <w:tc>
          <w:tcPr>
            <w:tcW w:w="2500" w:type="pct"/>
          </w:tcPr>
          <w:p w14:paraId="400636EA">
            <w:pPr>
              <w:widowControl w:val="0"/>
              <w:jc w:val="right"/>
              <w:rPr>
                <w:rFonts w:ascii="Arial Narrow" w:hAnsi="Arial Narrow"/>
                <w:szCs w:val="21"/>
              </w:rPr>
            </w:pPr>
            <w:r>
              <w:rPr>
                <w:rFonts w:ascii="Arial Narrow" w:hAnsi="Arial Narrow" w:eastAsiaTheme="minorEastAsia"/>
              </w:rPr>
              <w:t>11,777</w:t>
            </w:r>
          </w:p>
        </w:tc>
      </w:tr>
      <w:tr w14:paraId="0623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2500" w:type="pct"/>
            <w:tcBorders>
              <w:bottom w:val="single" w:color="auto" w:sz="4" w:space="0"/>
            </w:tcBorders>
            <w:vAlign w:val="center"/>
          </w:tcPr>
          <w:p w14:paraId="3B4992F0">
            <w:pPr>
              <w:widowControl w:val="0"/>
              <w:jc w:val="center"/>
              <w:rPr>
                <w:rFonts w:hint="eastAsia"/>
                <w:szCs w:val="21"/>
              </w:rPr>
            </w:pPr>
            <w:r>
              <w:rPr>
                <w:szCs w:val="21"/>
              </w:rPr>
              <w:t>合计</w:t>
            </w:r>
          </w:p>
        </w:tc>
        <w:tc>
          <w:tcPr>
            <w:tcW w:w="2500" w:type="pct"/>
            <w:tcBorders>
              <w:bottom w:val="single" w:color="auto" w:sz="4" w:space="0"/>
            </w:tcBorders>
          </w:tcPr>
          <w:p w14:paraId="1096D988">
            <w:pPr>
              <w:widowControl w:val="0"/>
              <w:jc w:val="right"/>
              <w:rPr>
                <w:rFonts w:ascii="Arial Narrow" w:hAnsi="Arial Narrow"/>
                <w:szCs w:val="21"/>
              </w:rPr>
            </w:pPr>
            <w:r>
              <w:rPr>
                <w:rFonts w:ascii="Arial Narrow" w:hAnsi="Arial Narrow"/>
                <w:bCs/>
                <w:szCs w:val="21"/>
              </w:rPr>
              <w:t>13,830</w:t>
            </w:r>
          </w:p>
        </w:tc>
      </w:tr>
    </w:tbl>
    <w:p w14:paraId="2BB36A8F">
      <w:pPr>
        <w:rPr>
          <w:rFonts w:hint="eastAsia"/>
          <w:szCs w:val="21"/>
        </w:rPr>
      </w:pPr>
    </w:p>
    <w:bookmarkEnd w:id="83"/>
    <w:p w14:paraId="1D0BB6AF">
      <w:pPr>
        <w:pStyle w:val="4"/>
        <w:numPr>
          <w:ilvl w:val="0"/>
          <w:numId w:val="41"/>
        </w:numPr>
        <w:rPr>
          <w:szCs w:val="21"/>
        </w:rPr>
      </w:pPr>
      <w:r>
        <w:rPr>
          <w:szCs w:val="21"/>
        </w:rPr>
        <w:t>薪酬政策</w:t>
      </w:r>
    </w:p>
    <w:sdt>
      <w:sdtPr>
        <w:rPr>
          <w:rFonts w:hint="eastAsia"/>
          <w:szCs w:val="21"/>
        </w:rPr>
        <w:alias w:val="是否适用：薪酬政策[双击切换]"/>
        <w:tag w:val="_GBC_13404877597d44c38f554884f31b3123"/>
        <w:id w:val="114106621"/>
        <w:placeholder>
          <w:docPart w:val="GBC22222222222222222222222222222"/>
        </w:placeholder>
      </w:sdtPr>
      <w:sdtEndPr>
        <w:rPr>
          <w:rFonts w:hint="eastAsia"/>
          <w:szCs w:val="21"/>
        </w:rPr>
      </w:sdtEndPr>
      <w:sdtContent>
        <w:p w14:paraId="656C1D08">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362447102"/>
        <w:placeholder>
          <w:docPart w:val="GBC22222222222222222222222222222"/>
        </w:placeholder>
      </w:sdtPr>
      <w:sdtEndPr>
        <w:rPr>
          <w:rFonts w:hint="eastAsia"/>
          <w:szCs w:val="21"/>
        </w:rPr>
      </w:sdtEndPr>
      <w:sdtContent>
        <w:p w14:paraId="7FA2A45A">
          <w:pPr>
            <w:ind w:firstLine="420"/>
            <w:rPr>
              <w:rFonts w:hint="eastAsia"/>
              <w:szCs w:val="21"/>
            </w:rPr>
          </w:pPr>
          <w:r>
            <w:rPr>
              <w:rFonts w:hint="eastAsia"/>
              <w:szCs w:val="21"/>
            </w:rPr>
            <w:t>公司的薪酬管理制度按照按劳分配、效益优先、兼顾公平的原则制定，并根据行业特征和企业特点，建立多元化的工资制度和以业绩考核为主导的薪酬分配体系，以充分发挥薪酬激励性为指导思想，形成岗位能上能下、工资能增能减的激励约束机制。员工薪酬与岗位职责、个人技能、劳动绩效紧密结合，合理确定各层级人员薪酬水平，充分激发员工潜能，发挥薪酬分配的杠杆调节作用。公司高级管理人员实行年薪制，个人薪酬与业绩考核结果挂钩，通过年终公开述职评议及个人经营业绩指标完成情况，依据经审计的财务报表，经董事会审批通过后，按照《薪酬管理办法》兑现。</w:t>
          </w:r>
        </w:p>
      </w:sdtContent>
    </w:sdt>
    <w:p w14:paraId="1D8818D8">
      <w:pPr>
        <w:rPr>
          <w:rFonts w:hint="eastAsia"/>
          <w:szCs w:val="21"/>
        </w:rPr>
      </w:pPr>
    </w:p>
    <w:p w14:paraId="092DCB99">
      <w:pPr>
        <w:pStyle w:val="4"/>
        <w:numPr>
          <w:ilvl w:val="0"/>
          <w:numId w:val="41"/>
        </w:numPr>
        <w:rPr>
          <w:szCs w:val="21"/>
        </w:rPr>
      </w:pPr>
      <w:r>
        <w:rPr>
          <w:szCs w:val="21"/>
        </w:rPr>
        <w:t>培训计划</w:t>
      </w:r>
    </w:p>
    <w:sdt>
      <w:sdtPr>
        <w:rPr>
          <w:rFonts w:hint="eastAsia"/>
          <w:szCs w:val="21"/>
        </w:rPr>
        <w:alias w:val="是否适用：培训计划[双击切换]"/>
        <w:tag w:val="_GBC_123cfa2c006d4970ae10b316c2c1f95a"/>
        <w:id w:val="-999876419"/>
        <w:placeholder>
          <w:docPart w:val="GBC22222222222222222222222222222"/>
        </w:placeholder>
      </w:sdtPr>
      <w:sdtEndPr>
        <w:rPr>
          <w:rFonts w:hint="eastAsia"/>
          <w:szCs w:val="21"/>
        </w:rPr>
      </w:sdtEndPr>
      <w:sdtContent>
        <w:p w14:paraId="3CE857BE">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418673709"/>
        <w:placeholder>
          <w:docPart w:val="GBC22222222222222222222222222222"/>
        </w:placeholder>
      </w:sdtPr>
      <w:sdtEndPr>
        <w:rPr>
          <w:rFonts w:hint="eastAsia"/>
          <w:szCs w:val="21"/>
        </w:rPr>
      </w:sdtEndPr>
      <w:sdtContent>
        <w:p w14:paraId="387ADF7A">
          <w:pPr>
            <w:ind w:firstLine="420"/>
            <w:rPr>
              <w:rFonts w:hint="eastAsia"/>
              <w:szCs w:val="21"/>
            </w:rPr>
          </w:pPr>
          <w:r>
            <w:rPr>
              <w:rFonts w:hint="eastAsia"/>
              <w:szCs w:val="21"/>
            </w:rPr>
            <w:t>报告期内，公司完成了适应性短期培训、学历学位教育和挂职锻炼等工作。包括组织人际沟通三要素、新公司法解读、安全消防培训、保密工作培训、财务</w:t>
          </w:r>
          <w:r>
            <w:rPr>
              <w:szCs w:val="21"/>
            </w:rPr>
            <w:t>NCC费控系统培训、业财一体化培训、网络安全宣传培训、上市公司独立董办专项合规培训、境外法律合规风险防范培训、借力工装行动撬动央企市场培训、困境企业投资要点专题培训、宣传思想文化培训、所属企业领导班子轮训等。同时，公司本部组织参加了央企干部研学班、党的二十届三中全会精神集中轮训、总会计师培训班、优秀年轻干部培训班、组织人事部门负责人培训班等专题培训，培训人次达3700人次以上；组织10名青年干部到优势企业挂职锻炼，选拔8名年轻干部开展双向交流挂职；选派3名财务、营销、管理等专业优秀年轻干部到重点企业、定点帮扶地区挂职锻炼，开展1年以上长线培养；安排2名骨干人才到贵阳进行跟岗锻炼，调整总部3名员工进行轮岗，委派36名干部人才开展对口支援任务。通过培训学习、交流挂职、轮岗锻炼，提高了公司员工和各级管理人员的理论修养，拓展了管理思路，提升了岗位业务技能。</w:t>
          </w:r>
        </w:p>
        <w:p w14:paraId="5CDC21C9">
          <w:pPr>
            <w:ind w:firstLine="420"/>
            <w:rPr>
              <w:rFonts w:hint="eastAsia"/>
              <w:szCs w:val="21"/>
            </w:rPr>
          </w:pPr>
          <w:r>
            <w:rPr>
              <w:szCs w:val="21"/>
            </w:rPr>
            <w:t>2025年计划举办优秀青年干部、公司治理信息披露、综合办公系统技能、档案管理系统应用、企业法律合规风险防范、安全管理、成本核算方式及系统操作、市场营销、纪检、党支部书记等专题培训班；加大公司本部、子企业青年骨干人才内部挂职轮岗力度，选拔子企业青年干部到公司本部、内部先进子企业、重点项目等交流挂职，选派公司本部青年人才开展内部轮岗或到子企业挂职锻炼，进一步提升各类人员的素质和能力。</w:t>
          </w:r>
        </w:p>
      </w:sdtContent>
    </w:sdt>
    <w:p w14:paraId="04090D64">
      <w:pPr>
        <w:rPr>
          <w:rFonts w:hint="eastAsia"/>
          <w:szCs w:val="21"/>
        </w:rPr>
      </w:pPr>
    </w:p>
    <w:p w14:paraId="6A5361FC">
      <w:pPr>
        <w:pStyle w:val="4"/>
        <w:numPr>
          <w:ilvl w:val="0"/>
          <w:numId w:val="41"/>
        </w:numPr>
        <w:rPr>
          <w:szCs w:val="21"/>
        </w:rPr>
      </w:pPr>
      <w:bookmarkStart w:id="84" w:name="_Hlk184285495"/>
      <w:r>
        <w:rPr>
          <w:szCs w:val="21"/>
        </w:rPr>
        <w:t>劳务外包情况</w:t>
      </w:r>
    </w:p>
    <w:sdt>
      <w:sdtPr>
        <w:alias w:val="是否适用：劳务外包情况[双击切换]"/>
        <w:tag w:val="_GBC_7647f15955ca4a4f9916c280d684fbc0"/>
        <w:id w:val="-1670404275"/>
        <w:placeholder>
          <w:docPart w:val="GBC22222222222222222222222222222"/>
        </w:placeholder>
      </w:sdtPr>
      <w:sdtContent>
        <w:p w14:paraId="1BE2E447">
          <w:pPr>
            <w:rPr>
              <w:rFonts w:hint="eastAsia"/>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5C4890">
      <w:pPr>
        <w:rPr>
          <w:rFonts w:hint="eastAsia"/>
          <w:szCs w:val="21"/>
        </w:rPr>
      </w:pPr>
    </w:p>
    <w:bookmarkEnd w:id="84"/>
    <w:p w14:paraId="7EB91144">
      <w:pPr>
        <w:pStyle w:val="3"/>
        <w:numPr>
          <w:ilvl w:val="0"/>
          <w:numId w:val="17"/>
        </w:numPr>
      </w:pPr>
      <w:r>
        <w:t>利润分配或资本公积金转增预案</w:t>
      </w:r>
    </w:p>
    <w:p w14:paraId="1CD85ECF">
      <w:pPr>
        <w:pStyle w:val="70"/>
        <w:numPr>
          <w:ilvl w:val="0"/>
          <w:numId w:val="42"/>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45189663"/>
        <w:placeholder>
          <w:docPart w:val="GBC22222222222222222222222222222"/>
        </w:placeholder>
      </w:sdtPr>
      <w:sdtEndPr>
        <w:rPr>
          <w:rFonts w:hint="eastAsia"/>
        </w:rPr>
      </w:sdtEndPr>
      <w:sdtContent>
        <w:p w14:paraId="33B9DD7A">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1213417353"/>
        <w:placeholder>
          <w:docPart w:val="GBC22222222222222222222222222222"/>
        </w:placeholder>
      </w:sdtPr>
      <w:sdtContent>
        <w:p w14:paraId="3B733C91">
          <w:pPr>
            <w:ind w:firstLine="420" w:firstLineChars="200"/>
            <w:rPr>
              <w:rFonts w:hint="eastAsia"/>
            </w:rPr>
          </w:pPr>
          <w:r>
            <w:rPr>
              <w:rFonts w:hint="eastAsia"/>
            </w:rPr>
            <w:t xml:space="preserve">1.现金分红政策的制定 </w:t>
          </w:r>
        </w:p>
        <w:p w14:paraId="7C726696">
          <w:pPr>
            <w:ind w:firstLine="420" w:firstLineChars="200"/>
            <w:rPr>
              <w:rFonts w:hint="eastAsia"/>
            </w:rPr>
          </w:pPr>
          <w:r>
            <w:rPr>
              <w:rFonts w:hint="eastAsia"/>
            </w:rPr>
            <w:t>根据《公司章程》的相关规定，公司在现金分红方面的具体政策有：</w:t>
          </w:r>
        </w:p>
        <w:p w14:paraId="05210E4C">
          <w:pPr>
            <w:ind w:firstLine="420" w:firstLineChars="200"/>
            <w:rPr>
              <w:rFonts w:hint="eastAsia"/>
            </w:rPr>
          </w:pPr>
          <w:r>
            <w:rPr>
              <w:rFonts w:hint="eastAsia"/>
            </w:rPr>
            <w:t xml:space="preserve">(1)公司优先采用现金分红的利润分配方式，具备现金分红条件的应采用现金分红进行利润分配。 </w:t>
          </w:r>
        </w:p>
        <w:p w14:paraId="3C237D98">
          <w:pPr>
            <w:ind w:firstLine="420" w:firstLineChars="200"/>
            <w:rPr>
              <w:rFonts w:hint="eastAsia"/>
            </w:rPr>
          </w:pPr>
          <w:r>
            <w:rPr>
              <w:rFonts w:hint="eastAsia"/>
            </w:rPr>
            <w:t xml:space="preserve">(2)公司当年实现的可供分配利润为正数时,在满足公司正常生产经营的资金需求且足额预留法定公积金的情况下,如无重大投资计划或重大现金支出等特殊情况发生,公司应当采取现金方式分配股利,以现金方式分配的利润不少于当年实现的可分配利润的百分之十；最近三年以现金方式累计分配的利润不少于最近三年实现的年均可分配利润的百分之三十。 </w:t>
          </w:r>
        </w:p>
        <w:p w14:paraId="3895FD2C">
          <w:pPr>
            <w:ind w:firstLine="420" w:firstLineChars="200"/>
            <w:rPr>
              <w:rFonts w:hint="eastAsia"/>
            </w:rPr>
          </w:pPr>
          <w:r>
            <w:rPr>
              <w:rFonts w:hint="eastAsia"/>
            </w:rPr>
            <w:t>(3)公司董事会应当综合考虑所处行业特点、发展阶段、自身经营模式、盈利水平以及是否</w:t>
          </w:r>
        </w:p>
        <w:p w14:paraId="3DF16075">
          <w:pPr>
            <w:ind w:firstLine="420" w:firstLineChars="200"/>
            <w:rPr>
              <w:rFonts w:hint="eastAsia"/>
            </w:rPr>
          </w:pPr>
          <w:r>
            <w:rPr>
              <w:rFonts w:hint="eastAsia"/>
            </w:rPr>
            <w:t xml:space="preserve">有重大资金支出安排等因素，区分下列情形，并按照公司章程规定的程序，提出差异化的现金分红政策： </w:t>
          </w:r>
        </w:p>
        <w:p w14:paraId="6E30BA58">
          <w:pPr>
            <w:ind w:firstLine="420" w:firstLineChars="200"/>
            <w:rPr>
              <w:rFonts w:hint="eastAsia"/>
            </w:rPr>
          </w:pPr>
          <w:r>
            <w:rPr>
              <w:rFonts w:hint="eastAsia"/>
            </w:rPr>
            <w:t xml:space="preserve">①公司发展阶段属成熟期且无重大资金支出安排的，进行利润分配时，现金分红在本次利润分配中所占比例最低应达到80%； </w:t>
          </w:r>
        </w:p>
        <w:p w14:paraId="19CC696D">
          <w:pPr>
            <w:ind w:firstLine="420" w:firstLineChars="200"/>
            <w:rPr>
              <w:rFonts w:hint="eastAsia"/>
            </w:rPr>
          </w:pPr>
          <w:r>
            <w:rPr>
              <w:rFonts w:hint="eastAsia"/>
            </w:rPr>
            <w:t xml:space="preserve">②公司发展阶段属成熟期且有重大资金支出安排的，进行利润分配时，现金分红在本次利润分配中所占比例最低应达到40%； </w:t>
          </w:r>
        </w:p>
        <w:p w14:paraId="455D076E">
          <w:pPr>
            <w:ind w:firstLine="420" w:firstLineChars="200"/>
            <w:rPr>
              <w:rFonts w:hint="eastAsia"/>
            </w:rPr>
          </w:pPr>
          <w:r>
            <w:rPr>
              <w:rFonts w:hint="eastAsia"/>
            </w:rPr>
            <w:t xml:space="preserve">③公司发展阶段属成长期且有重大资金支出安排的，进行利润分配时，现金分红在本次利润分配中所占比例最低应达到20%。 </w:t>
          </w:r>
        </w:p>
        <w:p w14:paraId="1CF2D497">
          <w:pPr>
            <w:ind w:firstLine="420" w:firstLineChars="200"/>
            <w:rPr>
              <w:rFonts w:hint="eastAsia"/>
            </w:rPr>
          </w:pPr>
          <w:r>
            <w:rPr>
              <w:rFonts w:hint="eastAsia"/>
            </w:rPr>
            <w:t xml:space="preserve">2.现金分红政策的执行 </w:t>
          </w:r>
        </w:p>
        <w:p w14:paraId="40B52E11">
          <w:pPr>
            <w:ind w:firstLine="420" w:firstLineChars="200"/>
            <w:rPr>
              <w:rFonts w:hint="eastAsia"/>
            </w:rPr>
          </w:pPr>
          <w:r>
            <w:rPr>
              <w:rFonts w:hint="eastAsia"/>
            </w:rPr>
            <w:t>经天健会计师事务所审计确认，2024年度际华集团（母公司）实现净利润（当年实现可供分配净利润）人民币202,249.22元，提取10%法定盈余公积20,224.92元，加上年初未分配利润167,759,321.90元，减去2023年已分配支付的现金股利人民币131,748,882.12元，累计可供分配利润36,192,464.08元，合并报表归母净利润-4,228,257,792.02元。</w:t>
          </w:r>
        </w:p>
        <w:p w14:paraId="1C17EF7D">
          <w:pPr>
            <w:ind w:firstLine="420" w:firstLineChars="200"/>
            <w:rPr>
              <w:rFonts w:hint="eastAsia"/>
            </w:rPr>
          </w:pPr>
          <w:r>
            <w:rPr>
              <w:rFonts w:hint="eastAsia"/>
            </w:rPr>
            <w:t xml:space="preserve">根据中国证监会《上市公司监管指引第3号—上市公司现金分红》等相关法律法规及《公司章程》的规定，鉴于际华集团合并归母净利润出现亏损，考虑到公司的实际情况，为兼顾公司的长远利益、全体股东的整体利益及公司的长期稳定可持续发展，公司2024年度拟不进行利润分配。 </w:t>
          </w:r>
        </w:p>
        <w:p w14:paraId="5F47A36C">
          <w:pPr>
            <w:ind w:firstLine="420" w:firstLineChars="200"/>
            <w:rPr>
              <w:rFonts w:hint="eastAsia"/>
            </w:rPr>
          </w:pPr>
          <w:r>
            <w:rPr>
              <w:rFonts w:hint="eastAsia"/>
            </w:rPr>
            <w:t>3.报告期内，公司现金分红政策没有调整。</w:t>
          </w:r>
        </w:p>
      </w:sdtContent>
    </w:sdt>
    <w:p w14:paraId="4BD67D74">
      <w:pPr>
        <w:rPr>
          <w:rFonts w:hint="eastAsia"/>
        </w:rPr>
      </w:pPr>
    </w:p>
    <w:p w14:paraId="7E97B9CE">
      <w:pPr>
        <w:pStyle w:val="70"/>
        <w:numPr>
          <w:ilvl w:val="0"/>
          <w:numId w:val="42"/>
        </w:numPr>
      </w:pPr>
      <w:bookmarkStart w:id="85" w:name="_Hlk89446160"/>
      <w:r>
        <w:rPr>
          <w:rFonts w:hint="eastAsia"/>
        </w:rPr>
        <w:t>现金分红政策的专项说明</w:t>
      </w:r>
    </w:p>
    <w:sdt>
      <w:sdtPr>
        <w:alias w:val="是否适用：现金分红政策的专项说明 [双击切换]"/>
        <w:tag w:val="_GBC_715d8b6c04924cf19dcd2347ae32471f"/>
        <w:id w:val="578941317"/>
        <w:placeholder>
          <w:docPart w:val="GBC22222222222222222222222222222"/>
        </w:placeholder>
      </w:sdtPr>
      <w:sdtContent>
        <w:p w14:paraId="1DC01EE8">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8"/>
        <w:gridCol w:w="1945"/>
      </w:tblGrid>
      <w:tr w14:paraId="550C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e5b642d619e47719375899ad34c31f6"/>
            <w:id w:val="-601109640"/>
          </w:sdtPr>
          <w:sdtContent>
            <w:tc>
              <w:tcPr>
                <w:tcW w:w="3898" w:type="pct"/>
              </w:tcPr>
              <w:p w14:paraId="6E6E628D">
                <w:pPr>
                  <w:rPr>
                    <w:rFonts w:hint="eastAsia"/>
                  </w:rPr>
                </w:pPr>
                <w:r>
                  <w:rPr>
                    <w:rFonts w:hint="eastAsia"/>
                  </w:rPr>
                  <w:t>是否符合公司章程的规定或股东大会决议的要求</w:t>
                </w:r>
              </w:p>
            </w:tc>
          </w:sdtContent>
        </w:sdt>
        <w:sdt>
          <w:sdtPr>
            <w:alias w:val="是否符合公司章程的规定或股东大会决议的要求[双击切换]"/>
            <w:tag w:val="_GBC_c4c31977f51f4fa0a4f1f65cff248b5c"/>
            <w:id w:val="499321823"/>
          </w:sdtPr>
          <w:sdtContent>
            <w:tc>
              <w:tcPr>
                <w:tcW w:w="1102" w:type="pct"/>
              </w:tcPr>
              <w:p w14:paraId="1BC7A4E0">
                <w:pPr>
                  <w:jc w:val="center"/>
                  <w:rPr>
                    <w:rFonts w:hint="eastAsia"/>
                  </w:rPr>
                </w:pPr>
                <w:r>
                  <w:fldChar w:fldCharType="begin"/>
                </w:r>
                <w:r>
                  <w:rPr>
                    <w:rFonts w:hint="eastAsia"/>
                  </w:rPr>
                  <w:instrText xml:space="preserve"> MACROBUTTON  SnrToggleCheckbox √是 </w:instrText>
                </w:r>
                <w:r>
                  <w:fldChar w:fldCharType="end"/>
                </w:r>
                <w:r>
                  <w:fldChar w:fldCharType="begin"/>
                </w:r>
                <w:r>
                  <w:rPr>
                    <w:rFonts w:hint="eastAsia"/>
                  </w:rPr>
                  <w:instrText xml:space="preserve"> MACROBUTTON  SnrToggleCheckbox □否 </w:instrText>
                </w:r>
                <w:r>
                  <w:fldChar w:fldCharType="end"/>
                </w:r>
              </w:p>
            </w:tc>
          </w:sdtContent>
        </w:sdt>
      </w:tr>
      <w:tr w14:paraId="4268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8" w:type="pct"/>
          </w:tcPr>
          <w:p w14:paraId="69946D1B">
            <w:pPr>
              <w:rPr>
                <w:rFonts w:hint="eastAsia"/>
              </w:rPr>
            </w:pPr>
            <w:r>
              <w:rPr>
                <w:rFonts w:hint="eastAsia"/>
              </w:rPr>
              <w:t>分红标准和比例是否明确和清晰</w:t>
            </w:r>
          </w:p>
        </w:tc>
        <w:sdt>
          <w:sdtPr>
            <w:alias w:val="分红标准和比例是否明确和清晰[双击切换]"/>
            <w:tag w:val="_GBC_c8bbad0601c544fca3faeac3b11ee218"/>
            <w:id w:val="-1273391980"/>
          </w:sdtPr>
          <w:sdtContent>
            <w:tc>
              <w:tcPr>
                <w:tcW w:w="1102" w:type="pct"/>
              </w:tcPr>
              <w:p w14:paraId="7E2A9379">
                <w:pPr>
                  <w:jc w:val="center"/>
                  <w:rPr>
                    <w:rFonts w:hint="eastAsia"/>
                  </w:rPr>
                </w:pPr>
                <w:r>
                  <w:fldChar w:fldCharType="begin"/>
                </w:r>
                <w:r>
                  <w:rPr>
                    <w:rFonts w:hint="eastAsia"/>
                  </w:rPr>
                  <w:instrText xml:space="preserve"> MACROBUTTON  SnrToggleCheckbox √是 </w:instrText>
                </w:r>
                <w:r>
                  <w:fldChar w:fldCharType="end"/>
                </w:r>
                <w:r>
                  <w:fldChar w:fldCharType="begin"/>
                </w:r>
                <w:r>
                  <w:rPr>
                    <w:rFonts w:hint="eastAsia"/>
                  </w:rPr>
                  <w:instrText xml:space="preserve"> MACROBUTTON  SnrToggleCheckbox □否 </w:instrText>
                </w:r>
                <w:r>
                  <w:fldChar w:fldCharType="end"/>
                </w:r>
              </w:p>
            </w:tc>
          </w:sdtContent>
        </w:sdt>
      </w:tr>
      <w:tr w14:paraId="2464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8" w:type="pct"/>
            <w:tcBorders>
              <w:top w:val="single" w:color="auto" w:sz="4" w:space="0"/>
              <w:left w:val="single" w:color="auto" w:sz="4" w:space="0"/>
              <w:bottom w:val="single" w:color="auto" w:sz="4" w:space="0"/>
              <w:right w:val="single" w:color="auto" w:sz="4" w:space="0"/>
            </w:tcBorders>
          </w:tcPr>
          <w:p w14:paraId="410388D0">
            <w:pPr>
              <w:rPr>
                <w:rFonts w:hint="eastAsia"/>
              </w:rPr>
            </w:pPr>
            <w:r>
              <w:rPr>
                <w:rFonts w:hint="eastAsia"/>
              </w:rPr>
              <w:t>相关的决策程序和机制是否完备</w:t>
            </w:r>
          </w:p>
        </w:tc>
        <w:sdt>
          <w:sdtPr>
            <w:alias w:val="相关的决策程序和机制是否完备[双击切换]"/>
            <w:tag w:val="_GBC_b2d0d75abb6f4f14a51595902d0ad7b9"/>
            <w:id w:val="1223255234"/>
          </w:sdtPr>
          <w:sdtContent>
            <w:tc>
              <w:tcPr>
                <w:tcW w:w="1102" w:type="pct"/>
                <w:tcBorders>
                  <w:top w:val="single" w:color="auto" w:sz="4" w:space="0"/>
                  <w:left w:val="single" w:color="auto" w:sz="4" w:space="0"/>
                  <w:bottom w:val="single" w:color="auto" w:sz="4" w:space="0"/>
                  <w:right w:val="single" w:color="auto" w:sz="4" w:space="0"/>
                </w:tcBorders>
              </w:tcPr>
              <w:p w14:paraId="3FA47D36">
                <w:pPr>
                  <w:jc w:val="center"/>
                  <w:rPr>
                    <w:rFonts w:hint="eastAsia"/>
                  </w:rPr>
                </w:pPr>
                <w:r>
                  <w:fldChar w:fldCharType="begin"/>
                </w:r>
                <w:r>
                  <w:rPr>
                    <w:rFonts w:hint="eastAsia"/>
                  </w:rPr>
                  <w:instrText xml:space="preserve"> MACROBUTTON  SnrToggleCheckbox √是 </w:instrText>
                </w:r>
                <w:r>
                  <w:fldChar w:fldCharType="end"/>
                </w:r>
                <w:r>
                  <w:fldChar w:fldCharType="begin"/>
                </w:r>
                <w:r>
                  <w:rPr>
                    <w:rFonts w:hint="eastAsia"/>
                  </w:rPr>
                  <w:instrText xml:space="preserve"> MACROBUTTON  SnrToggleCheckbox □否 </w:instrText>
                </w:r>
                <w:r>
                  <w:fldChar w:fldCharType="end"/>
                </w:r>
              </w:p>
            </w:tc>
          </w:sdtContent>
        </w:sdt>
      </w:tr>
      <w:tr w14:paraId="3C87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8" w:type="pct"/>
            <w:tcBorders>
              <w:top w:val="single" w:color="auto" w:sz="4" w:space="0"/>
              <w:left w:val="single" w:color="auto" w:sz="4" w:space="0"/>
              <w:bottom w:val="single" w:color="auto" w:sz="4" w:space="0"/>
              <w:right w:val="single" w:color="auto" w:sz="4" w:space="0"/>
            </w:tcBorders>
          </w:tcPr>
          <w:p w14:paraId="3995C4AD">
            <w:pPr>
              <w:rPr>
                <w:rFonts w:hint="eastAsia"/>
              </w:rPr>
            </w:pPr>
            <w:r>
              <w:rPr>
                <w:rFonts w:hint="eastAsia"/>
              </w:rPr>
              <w:t>独立董事是否履职尽责并发挥了应有的作用</w:t>
            </w:r>
          </w:p>
        </w:tc>
        <w:sdt>
          <w:sdtPr>
            <w:alias w:val="独立董事是否履职尽责并发挥了应有的作用[双击切换]"/>
            <w:tag w:val="_GBC_0b8d249fbcc74af893077c4c7eee16ef"/>
            <w:id w:val="-1171798047"/>
          </w:sdtPr>
          <w:sdtContent>
            <w:tc>
              <w:tcPr>
                <w:tcW w:w="1102" w:type="pct"/>
                <w:tcBorders>
                  <w:top w:val="single" w:color="auto" w:sz="4" w:space="0"/>
                  <w:left w:val="single" w:color="auto" w:sz="4" w:space="0"/>
                  <w:bottom w:val="single" w:color="auto" w:sz="4" w:space="0"/>
                  <w:right w:val="single" w:color="auto" w:sz="4" w:space="0"/>
                </w:tcBorders>
              </w:tcPr>
              <w:p w14:paraId="41A6F165">
                <w:pPr>
                  <w:jc w:val="center"/>
                  <w:rPr>
                    <w:rFonts w:hint="eastAsia"/>
                  </w:rPr>
                </w:pPr>
                <w:r>
                  <w:fldChar w:fldCharType="begin"/>
                </w:r>
                <w:r>
                  <w:rPr>
                    <w:rFonts w:hint="eastAsia"/>
                  </w:rPr>
                  <w:instrText xml:space="preserve"> MACROBUTTON  SnrToggleCheckbox √是 </w:instrText>
                </w:r>
                <w:r>
                  <w:fldChar w:fldCharType="end"/>
                </w:r>
                <w:r>
                  <w:fldChar w:fldCharType="begin"/>
                </w:r>
                <w:r>
                  <w:rPr>
                    <w:rFonts w:hint="eastAsia"/>
                  </w:rPr>
                  <w:instrText xml:space="preserve"> MACROBUTTON  SnrToggleCheckbox □否 </w:instrText>
                </w:r>
                <w:r>
                  <w:fldChar w:fldCharType="end"/>
                </w:r>
              </w:p>
            </w:tc>
          </w:sdtContent>
        </w:sdt>
      </w:tr>
      <w:tr w14:paraId="609B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8" w:type="pct"/>
            <w:tcBorders>
              <w:top w:val="single" w:color="auto" w:sz="4" w:space="0"/>
              <w:left w:val="single" w:color="auto" w:sz="4" w:space="0"/>
              <w:bottom w:val="single" w:color="auto" w:sz="4" w:space="0"/>
              <w:right w:val="single" w:color="auto" w:sz="4" w:space="0"/>
            </w:tcBorders>
          </w:tcPr>
          <w:p w14:paraId="3838069F">
            <w:pPr>
              <w:rPr>
                <w:rFonts w:hint="eastAsia"/>
              </w:rPr>
            </w:pPr>
            <w:r>
              <w:rPr>
                <w:rFonts w:hint="eastAsia"/>
              </w:rPr>
              <w:t>中小股东是否有充分表达意见和诉求的机会，其合法权益是否得到了充分保护</w:t>
            </w:r>
          </w:p>
        </w:tc>
        <w:sdt>
          <w:sdtPr>
            <w:alias w:val="中小股东是否有充分表达意见和诉求的机会，其合法权益是否得到了充分保护[双击切换]"/>
            <w:tag w:val="_GBC_827122507d054bfd80b4c5e8d243a91b"/>
            <w:id w:val="1875882293"/>
          </w:sdtPr>
          <w:sdtContent>
            <w:tc>
              <w:tcPr>
                <w:tcW w:w="1102" w:type="pct"/>
                <w:tcBorders>
                  <w:top w:val="single" w:color="auto" w:sz="4" w:space="0"/>
                  <w:left w:val="single" w:color="auto" w:sz="4" w:space="0"/>
                  <w:bottom w:val="single" w:color="auto" w:sz="4" w:space="0"/>
                  <w:right w:val="single" w:color="auto" w:sz="4" w:space="0"/>
                </w:tcBorders>
              </w:tcPr>
              <w:p w14:paraId="5862C7E5">
                <w:pPr>
                  <w:jc w:val="center"/>
                  <w:rPr>
                    <w:rFonts w:hint="eastAsia"/>
                  </w:rPr>
                </w:pPr>
                <w:r>
                  <w:fldChar w:fldCharType="begin"/>
                </w:r>
                <w:r>
                  <w:rPr>
                    <w:rFonts w:hint="eastAsia"/>
                  </w:rPr>
                  <w:instrText xml:space="preserve"> MACROBUTTON  SnrToggleCheckbox √是 </w:instrText>
                </w:r>
                <w:r>
                  <w:fldChar w:fldCharType="end"/>
                </w:r>
                <w:r>
                  <w:fldChar w:fldCharType="begin"/>
                </w:r>
                <w:r>
                  <w:rPr>
                    <w:rFonts w:hint="eastAsia"/>
                  </w:rPr>
                  <w:instrText xml:space="preserve"> MACROBUTTON  SnrToggleCheckbox □否 </w:instrText>
                </w:r>
                <w:r>
                  <w:fldChar w:fldCharType="end"/>
                </w:r>
              </w:p>
            </w:tc>
          </w:sdtContent>
        </w:sdt>
      </w:tr>
    </w:tbl>
    <w:p w14:paraId="4722E18B">
      <w:pPr>
        <w:rPr>
          <w:rFonts w:hint="eastAsia"/>
        </w:rPr>
      </w:pPr>
    </w:p>
    <w:bookmarkEnd w:id="85"/>
    <w:p w14:paraId="20337048">
      <w:pPr>
        <w:pStyle w:val="70"/>
        <w:numPr>
          <w:ilvl w:val="0"/>
          <w:numId w:val="42"/>
        </w:numPr>
      </w:pPr>
      <w:r>
        <w:rPr>
          <w:rFonts w:hint="eastAsia"/>
        </w:rPr>
        <w:t>报告期内盈利且母公司可供股东分配利润为正，但未提出现金利润分配方案预案的，公司应当详细披露原因以及未分配利润的用途和使用计划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410300649"/>
        <w:placeholder>
          <w:docPart w:val="GBC22222222222222222222222222222"/>
        </w:placeholder>
      </w:sdtPr>
      <w:sdtContent>
        <w:p w14:paraId="5110615E">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7318852">
      <w:pPr>
        <w:rPr>
          <w:rFonts w:hint="eastAsia"/>
        </w:rPr>
      </w:pPr>
    </w:p>
    <w:p w14:paraId="66A1D60C">
      <w:pPr>
        <w:pStyle w:val="70"/>
        <w:numPr>
          <w:ilvl w:val="0"/>
          <w:numId w:val="42"/>
        </w:numPr>
      </w:pPr>
      <w:r>
        <w:rPr>
          <w:rFonts w:hint="eastAsia"/>
        </w:rPr>
        <w:t>本报告期利润分配及资本公积金转增股本预案</w:t>
      </w:r>
    </w:p>
    <w:sdt>
      <w:sdtPr>
        <w:alias w:val="是否适用：利润分配及资本公积金转增股本情况[双击切换]"/>
        <w:tag w:val="_GBC_495a4ba42a0f42f09a8ad4b2fade6559"/>
        <w:id w:val="522751474"/>
        <w:placeholder>
          <w:docPart w:val="GBC22222222222222222222222222222"/>
        </w:placeholder>
      </w:sdtPr>
      <w:sdtContent>
        <w:p w14:paraId="261AE38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6CB3208">
      <w:pPr>
        <w:rPr>
          <w:rFonts w:hint="eastAsia"/>
        </w:rPr>
      </w:pPr>
    </w:p>
    <w:p w14:paraId="2DC913CD">
      <w:pPr>
        <w:pStyle w:val="70"/>
        <w:numPr>
          <w:ilvl w:val="0"/>
          <w:numId w:val="42"/>
        </w:numPr>
      </w:pPr>
      <w:bookmarkStart w:id="86" w:name="_Hlk183089680"/>
      <w:r>
        <w:rPr>
          <w:rFonts w:hint="eastAsia"/>
        </w:rPr>
        <w:t>最近三个会计年度现金分红情况</w:t>
      </w:r>
    </w:p>
    <w:sdt>
      <w:sdtPr>
        <w:rPr>
          <w:rFonts w:hint="eastAsia"/>
        </w:rPr>
        <w:alias w:val="是否适用：最近三个会计年度现金分红情况[双击切换]"/>
        <w:tag w:val="_GBC_28e549783f2141f4b4d8c360788bf33d"/>
        <w:id w:val="-879083013"/>
        <w:placeholder>
          <w:docPart w:val="GBC22222222222222222222222222222"/>
        </w:placeholder>
      </w:sdtPr>
      <w:sdtEndPr>
        <w:rPr>
          <w:rFonts w:hint="eastAsia"/>
        </w:rPr>
      </w:sdtEndPr>
      <w:sdtContent>
        <w:p w14:paraId="16096529">
          <w:pPr>
            <w:rPr>
              <w:rFonts w:hint="eastAsia"/>
            </w:rPr>
          </w:pPr>
          <w:r>
            <w:rPr>
              <w:rFonts w:hint="eastAsia"/>
            </w:rPr>
            <w:fldChar w:fldCharType="begin"/>
          </w:r>
          <w:r>
            <w:rPr>
              <w:rFonts w:hint="eastAsia"/>
            </w:rPr>
            <w:instrText xml:space="preserve"> MACROBUTTON  SnrToggleCheckbox √适用 </w:instrText>
          </w:r>
          <w:r>
            <w:rPr>
              <w:rFonts w:hint="eastAsia"/>
            </w:rPr>
            <w:fldChar w:fldCharType="end"/>
          </w:r>
          <w:r>
            <w:rPr>
              <w:rFonts w:hint="eastAsia"/>
            </w:rPr>
            <w:fldChar w:fldCharType="begin"/>
          </w:r>
          <w:r>
            <w:rPr>
              <w:rFonts w:hint="eastAsia"/>
            </w:rPr>
            <w:instrText xml:space="preserve"> MACROBUTTON  SnrToggleCheckbox □不适用 </w:instrText>
          </w:r>
          <w:r>
            <w:rPr>
              <w:rFonts w:hint="eastAsia"/>
            </w:rPr>
            <w:fldChar w:fldCharType="end"/>
          </w:r>
        </w:p>
      </w:sdtContent>
    </w:sdt>
    <w:p w14:paraId="017A8687">
      <w:pPr>
        <w:jc w:val="right"/>
        <w:rPr>
          <w:rFonts w:hint="eastAsia"/>
        </w:rPr>
      </w:pPr>
      <w:r>
        <w:rPr>
          <w:rFonts w:hint="eastAsia"/>
          <w:szCs w:val="21"/>
        </w:rPr>
        <w:t>单位：</w:t>
      </w:r>
      <w:sdt>
        <w:sdtPr>
          <w:rPr>
            <w:rFonts w:hint="eastAsia"/>
            <w:szCs w:val="21"/>
          </w:rPr>
          <w:alias w:val="单位：最近三个会计年度现金分红情况"/>
          <w:tag w:val="_GBC_b8634c7351cc405bb925f28f0a63105b"/>
          <w:id w:val="-192871613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最近三个会计年度现金分红情况"/>
          <w:tag w:val="_GBC_f92d810bf34147c190eacf6f794855d7"/>
          <w:id w:val="15176495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r>
        <w:rPr>
          <w:rFonts w:hint="eastAsia"/>
        </w:rPr>
        <w:t xml:space="preserve"> </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4943"/>
        <w:gridCol w:w="3875"/>
      </w:tblGrid>
      <w:tr w14:paraId="48DD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sdt>
          <w:sdtPr>
            <w:tag w:val="_PLD_f2d866feb6ed4bba8cf4399521757247"/>
            <w:id w:val="157118194"/>
          </w:sdtPr>
          <w:sdtContent>
            <w:tc>
              <w:tcPr>
                <w:tcW w:w="2803" w:type="pct"/>
                <w:vAlign w:val="center"/>
              </w:tcPr>
              <w:p w14:paraId="54879819">
                <w:pPr>
                  <w:rPr>
                    <w:rFonts w:hint="eastAsia"/>
                  </w:rPr>
                </w:pPr>
                <w:r>
                  <w:rPr>
                    <w:rFonts w:hint="eastAsia"/>
                  </w:rPr>
                  <w:t>最近三个会计年度累计现金分红金额（含税）(1)</w:t>
                </w:r>
              </w:p>
            </w:tc>
          </w:sdtContent>
        </w:sdt>
        <w:tc>
          <w:tcPr>
            <w:tcW w:w="2197" w:type="pct"/>
            <w:vAlign w:val="center"/>
          </w:tcPr>
          <w:p w14:paraId="70E2D39E">
            <w:pPr>
              <w:jc w:val="right"/>
              <w:rPr>
                <w:rFonts w:ascii="Arial Narrow" w:hAnsi="Arial Narrow"/>
              </w:rPr>
            </w:pPr>
            <w:r>
              <w:rPr>
                <w:rFonts w:ascii="Arial Narrow" w:hAnsi="Arial Narrow" w:eastAsia="等线"/>
                <w:color w:val="000000"/>
                <w:sz w:val="22"/>
                <w:szCs w:val="22"/>
              </w:rPr>
              <w:t>263,497,764.24</w:t>
            </w:r>
          </w:p>
        </w:tc>
      </w:tr>
      <w:tr w14:paraId="1490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6BDB8285">
            <w:pPr>
              <w:rPr>
                <w:rFonts w:hint="eastAsia"/>
              </w:rPr>
            </w:pPr>
            <w:r>
              <w:rPr>
                <w:rFonts w:hint="eastAsia"/>
              </w:rPr>
              <w:t>最近三个会计年度累计回购并注销金额</w:t>
            </w:r>
            <w:r>
              <w:t>(</w:t>
            </w:r>
            <w:r>
              <w:rPr>
                <w:rFonts w:hint="eastAsia"/>
              </w:rPr>
              <w:t>2</w:t>
            </w:r>
            <w:r>
              <w:t>)</w:t>
            </w:r>
          </w:p>
        </w:tc>
        <w:tc>
          <w:tcPr>
            <w:tcW w:w="2197" w:type="pct"/>
            <w:vAlign w:val="center"/>
          </w:tcPr>
          <w:p w14:paraId="5F2B20A6">
            <w:pPr>
              <w:jc w:val="right"/>
              <w:rPr>
                <w:rFonts w:ascii="Arial Narrow" w:hAnsi="Arial Narrow"/>
              </w:rPr>
            </w:pPr>
            <w:r>
              <w:rPr>
                <w:rFonts w:ascii="Arial Narrow" w:hAnsi="Arial Narrow"/>
              </w:rPr>
              <w:t>0</w:t>
            </w:r>
          </w:p>
        </w:tc>
      </w:tr>
      <w:tr w14:paraId="499E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0500DF86">
            <w:pPr>
              <w:rPr>
                <w:rFonts w:hint="eastAsia"/>
              </w:rPr>
            </w:pPr>
            <w:r>
              <w:rPr>
                <w:rFonts w:hint="eastAsia"/>
              </w:rPr>
              <w:t>最近三个会计年度现金分红和回购并注销累计金额</w:t>
            </w:r>
            <w:r>
              <w:t>(</w:t>
            </w:r>
            <w:r>
              <w:rPr>
                <w:rFonts w:hint="eastAsia"/>
              </w:rPr>
              <w:t>3</w:t>
            </w:r>
            <w:r>
              <w:t>)=(1)+(</w:t>
            </w:r>
            <w:r>
              <w:rPr>
                <w:rFonts w:hint="eastAsia"/>
              </w:rPr>
              <w:t>2</w:t>
            </w:r>
            <w:r>
              <w:t>)</w:t>
            </w:r>
          </w:p>
        </w:tc>
        <w:tc>
          <w:tcPr>
            <w:tcW w:w="2197" w:type="pct"/>
            <w:vAlign w:val="center"/>
          </w:tcPr>
          <w:p w14:paraId="0D8BDCB1">
            <w:pPr>
              <w:jc w:val="right"/>
              <w:rPr>
                <w:rFonts w:ascii="Arial Narrow" w:hAnsi="Arial Narrow"/>
              </w:rPr>
            </w:pPr>
            <w:r>
              <w:rPr>
                <w:rFonts w:ascii="Arial Narrow" w:hAnsi="Arial Narrow" w:eastAsia="等线"/>
                <w:color w:val="000000"/>
                <w:sz w:val="22"/>
                <w:szCs w:val="22"/>
              </w:rPr>
              <w:t>263,497,764.24</w:t>
            </w:r>
          </w:p>
        </w:tc>
      </w:tr>
      <w:tr w14:paraId="3637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54C861B2">
            <w:pPr>
              <w:rPr>
                <w:rFonts w:hint="eastAsia"/>
              </w:rPr>
            </w:pPr>
            <w:r>
              <w:rPr>
                <w:rFonts w:hint="eastAsia"/>
              </w:rPr>
              <w:t>最近三个会计年度年均净利润金额</w:t>
            </w:r>
            <w:r>
              <w:t>(</w:t>
            </w:r>
            <w:r>
              <w:rPr>
                <w:rFonts w:hint="eastAsia"/>
              </w:rPr>
              <w:t>4</w:t>
            </w:r>
            <w:r>
              <w:t>)</w:t>
            </w:r>
          </w:p>
        </w:tc>
        <w:tc>
          <w:tcPr>
            <w:tcW w:w="2197" w:type="pct"/>
            <w:vAlign w:val="center"/>
          </w:tcPr>
          <w:p w14:paraId="2658C2D5">
            <w:pPr>
              <w:jc w:val="right"/>
              <w:rPr>
                <w:rFonts w:ascii="Arial Narrow" w:hAnsi="Arial Narrow"/>
              </w:rPr>
            </w:pPr>
            <w:r>
              <w:rPr>
                <w:rFonts w:ascii="Arial Narrow" w:hAnsi="Arial Narrow" w:eastAsia="等线"/>
                <w:color w:val="000000"/>
                <w:sz w:val="22"/>
                <w:szCs w:val="22"/>
              </w:rPr>
              <w:t>-1,283,331,564.85</w:t>
            </w:r>
          </w:p>
        </w:tc>
      </w:tr>
      <w:tr w14:paraId="326D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7BA19124">
            <w:pPr>
              <w:rPr>
                <w:rFonts w:hint="eastAsia"/>
              </w:rPr>
            </w:pPr>
            <w:r>
              <w:rPr>
                <w:rFonts w:hint="eastAsia"/>
              </w:rPr>
              <w:t>最近三个会计年度现金分红比例（%）</w:t>
            </w:r>
            <w:r>
              <w:t>(5)=(3)/(4)</w:t>
            </w:r>
          </w:p>
        </w:tc>
        <w:tc>
          <w:tcPr>
            <w:tcW w:w="2197" w:type="pct"/>
            <w:vAlign w:val="center"/>
          </w:tcPr>
          <w:p w14:paraId="004A034D">
            <w:pPr>
              <w:jc w:val="right"/>
              <w:rPr>
                <w:rFonts w:ascii="Arial Narrow" w:hAnsi="Arial Narrow"/>
              </w:rPr>
            </w:pPr>
            <w:r>
              <w:rPr>
                <w:rFonts w:ascii="Arial Narrow" w:hAnsi="Arial Narrow"/>
                <w:color w:val="000000"/>
                <w:sz w:val="22"/>
                <w:szCs w:val="22"/>
              </w:rPr>
              <w:t>不适用</w:t>
            </w:r>
          </w:p>
        </w:tc>
      </w:tr>
      <w:tr w14:paraId="2EF4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24343526">
            <w:pPr>
              <w:rPr>
                <w:rFonts w:hint="eastAsia"/>
              </w:rPr>
            </w:pPr>
            <w:r>
              <w:rPr>
                <w:rFonts w:hint="eastAsia"/>
              </w:rPr>
              <w:t>最近一个会计年度</w:t>
            </w:r>
            <w:r>
              <w:t>合并报表</w:t>
            </w:r>
            <w:r>
              <w:rPr>
                <w:rFonts w:hint="eastAsia"/>
              </w:rPr>
              <w:t>中</w:t>
            </w:r>
            <w:r>
              <w:t>归属于上市公司</w:t>
            </w:r>
            <w:r>
              <w:rPr>
                <w:rFonts w:hint="eastAsia"/>
              </w:rPr>
              <w:t>普通股</w:t>
            </w:r>
            <w:r>
              <w:t>股东的净利润</w:t>
            </w:r>
          </w:p>
        </w:tc>
        <w:tc>
          <w:tcPr>
            <w:tcW w:w="2197" w:type="pct"/>
            <w:vAlign w:val="center"/>
          </w:tcPr>
          <w:p w14:paraId="01E7A6BC">
            <w:pPr>
              <w:jc w:val="right"/>
              <w:rPr>
                <w:rFonts w:ascii="Arial Narrow" w:hAnsi="Arial Narrow"/>
              </w:rPr>
            </w:pPr>
            <w:r>
              <w:rPr>
                <w:rFonts w:ascii="Arial Narrow" w:hAnsi="Arial Narrow" w:eastAsia="等线"/>
                <w:color w:val="000000"/>
                <w:sz w:val="22"/>
                <w:szCs w:val="22"/>
              </w:rPr>
              <w:t>-4,228,257,792.02</w:t>
            </w:r>
          </w:p>
        </w:tc>
      </w:tr>
      <w:tr w14:paraId="3A91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40" w:hRule="atLeast"/>
        </w:trPr>
        <w:tc>
          <w:tcPr>
            <w:tcW w:w="2803" w:type="pct"/>
            <w:vAlign w:val="center"/>
          </w:tcPr>
          <w:p w14:paraId="67D7BEC0">
            <w:pPr>
              <w:rPr>
                <w:rFonts w:hint="eastAsia"/>
              </w:rPr>
            </w:pPr>
            <w:r>
              <w:rPr>
                <w:rFonts w:hint="eastAsia"/>
              </w:rPr>
              <w:t>最近一个会计年度母公司报表年度末未分配利润</w:t>
            </w:r>
          </w:p>
        </w:tc>
        <w:tc>
          <w:tcPr>
            <w:tcW w:w="2197" w:type="pct"/>
            <w:vAlign w:val="center"/>
          </w:tcPr>
          <w:p w14:paraId="5ABDB33A">
            <w:pPr>
              <w:jc w:val="right"/>
              <w:rPr>
                <w:rFonts w:ascii="Arial Narrow" w:hAnsi="Arial Narrow"/>
              </w:rPr>
            </w:pPr>
            <w:r>
              <w:rPr>
                <w:rFonts w:ascii="Arial Narrow" w:hAnsi="Arial Narrow" w:eastAsia="等线"/>
                <w:color w:val="000000"/>
                <w:sz w:val="22"/>
                <w:szCs w:val="22"/>
              </w:rPr>
              <w:t>36,192,464.08</w:t>
            </w:r>
          </w:p>
        </w:tc>
      </w:tr>
    </w:tbl>
    <w:p w14:paraId="7CB45388">
      <w:pPr>
        <w:rPr>
          <w:rFonts w:hint="eastAsia"/>
        </w:rPr>
      </w:pPr>
    </w:p>
    <w:bookmarkEnd w:id="86"/>
    <w:p w14:paraId="2CF57474">
      <w:pPr>
        <w:pStyle w:val="3"/>
        <w:numPr>
          <w:ilvl w:val="0"/>
          <w:numId w:val="17"/>
        </w:numPr>
      </w:pPr>
      <w:bookmarkStart w:id="87" w:name="_Toc342565948"/>
      <w:bookmarkStart w:id="88" w:name="_Toc342491956"/>
      <w:r>
        <w:rPr>
          <w:rFonts w:hint="eastAsia"/>
        </w:rPr>
        <w:t>公司股权激励计划、员工持股计划或其他员工激励措施的情况及其影响</w:t>
      </w:r>
      <w:bookmarkEnd w:id="87"/>
      <w:bookmarkEnd w:id="88"/>
    </w:p>
    <w:p w14:paraId="00E47684">
      <w:pPr>
        <w:pStyle w:val="4"/>
        <w:numPr>
          <w:ilvl w:val="1"/>
          <w:numId w:val="43"/>
        </w:numPr>
        <w:rPr>
          <w:kern w:val="44"/>
          <w:szCs w:val="21"/>
        </w:rPr>
      </w:pPr>
      <w:bookmarkStart w:id="89" w:name="_Toc342565949"/>
      <w:bookmarkStart w:id="90" w:name="_Toc342491957"/>
      <w:r>
        <w:rPr>
          <w:rFonts w:hint="eastAsia"/>
          <w:kern w:val="44"/>
          <w:szCs w:val="21"/>
        </w:rPr>
        <w:t>相关激励事项已在临时公告披露且后续实施无进展或变化的</w:t>
      </w:r>
      <w:bookmarkEnd w:id="89"/>
      <w:bookmarkEnd w:id="90"/>
    </w:p>
    <w:sdt>
      <w:sdtPr>
        <w:alias w:val="是否适用：相关激励事项已在临时公告披露且后续实施无进展或变化的[双击切换]"/>
        <w:tag w:val="_GBC_0af9dca2858d42619c57d7878f3a7792"/>
        <w:id w:val="761809346"/>
        <w:placeholder>
          <w:docPart w:val="GBC22222222222222222222222222222"/>
        </w:placeholder>
      </w:sdtPr>
      <w:sdtContent>
        <w:p w14:paraId="57A353E2">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FD5EC35">
      <w:pPr>
        <w:rPr>
          <w:rFonts w:hint="eastAsia"/>
        </w:rPr>
      </w:pPr>
    </w:p>
    <w:p w14:paraId="3CD369CC">
      <w:pPr>
        <w:pStyle w:val="4"/>
        <w:numPr>
          <w:ilvl w:val="1"/>
          <w:numId w:val="43"/>
        </w:numPr>
        <w:rPr>
          <w:kern w:val="44"/>
          <w:szCs w:val="21"/>
        </w:rPr>
      </w:pPr>
      <w:r>
        <w:rPr>
          <w:rFonts w:hint="eastAsia"/>
          <w:kern w:val="44"/>
          <w:szCs w:val="21"/>
        </w:rPr>
        <w:t>临时公告未披露或有后续进展的激励情况</w:t>
      </w:r>
    </w:p>
    <w:p w14:paraId="158E87F6">
      <w:pPr>
        <w:rPr>
          <w:rFonts w:hint="eastAsia"/>
        </w:rPr>
      </w:pPr>
      <w:r>
        <w:rPr>
          <w:rFonts w:hint="eastAsia"/>
        </w:rPr>
        <w:t>股权激励情况</w:t>
      </w:r>
    </w:p>
    <w:p w14:paraId="18029B79">
      <w:pPr>
        <w:rPr>
          <w:rFonts w:hint="eastAsia"/>
        </w:rPr>
      </w:pPr>
      <w:sdt>
        <w:sdtPr>
          <w:alias w:val="是否适用：股权激励情况[双击切换]"/>
          <w:tag w:val="_GBC_002ad948ce1449c2a805bfbb132b2202"/>
          <w:id w:val="-55935615"/>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37131FCA">
      <w:pPr>
        <w:rPr>
          <w:rFonts w:hint="eastAsia"/>
        </w:rPr>
      </w:pPr>
    </w:p>
    <w:p w14:paraId="73B75003">
      <w:pPr>
        <w:rPr>
          <w:rFonts w:hint="eastAsia"/>
          <w:szCs w:val="21"/>
        </w:rPr>
      </w:pPr>
      <w:r>
        <w:rPr>
          <w:rFonts w:hint="eastAsia"/>
          <w:szCs w:val="21"/>
        </w:rPr>
        <w:t>其他说明：</w:t>
      </w:r>
    </w:p>
    <w:sdt>
      <w:sdtPr>
        <w:rPr>
          <w:rFonts w:hint="eastAsia"/>
          <w:szCs w:val="21"/>
        </w:rPr>
        <w:alias w:val="是否适用：股权激励情况的说明[双击切换]"/>
        <w:tag w:val="_GBC_67421581adf34d0f9f06e3042b8d7199"/>
        <w:id w:val="682791225"/>
        <w:placeholder>
          <w:docPart w:val="GBC22222222222222222222222222222"/>
        </w:placeholder>
      </w:sdtPr>
      <w:sdtEndPr>
        <w:rPr>
          <w:rFonts w:hint="eastAsia"/>
          <w:szCs w:val="21"/>
        </w:rPr>
      </w:sdtEndPr>
      <w:sdtContent>
        <w:p w14:paraId="5A8575C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D053D45">
      <w:pPr>
        <w:rPr>
          <w:rFonts w:hint="eastAsia"/>
          <w:szCs w:val="21"/>
        </w:rPr>
      </w:pPr>
    </w:p>
    <w:p w14:paraId="5D0C6D4F">
      <w:pPr>
        <w:rPr>
          <w:rFonts w:hint="eastAsia"/>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1947687086"/>
        <w:placeholder>
          <w:docPart w:val="GBC22222222222222222222222222222"/>
        </w:placeholder>
      </w:sdtPr>
      <w:sdtEndPr>
        <w:rPr>
          <w:rFonts w:hint="eastAsia"/>
          <w:bCs/>
          <w:szCs w:val="21"/>
        </w:rPr>
      </w:sdtEndPr>
      <w:sdtContent>
        <w:p w14:paraId="40CA6975">
          <w:pPr>
            <w:rPr>
              <w:rFonts w:hint="eastAsia"/>
              <w:bCs/>
              <w:szCs w:val="21"/>
            </w:rPr>
          </w:pPr>
          <w:r>
            <w:rPr>
              <w:bCs/>
              <w:szCs w:val="21"/>
            </w:rPr>
            <w:fldChar w:fldCharType="begin"/>
          </w:r>
          <w:r>
            <w:rPr>
              <w:rFonts w:hint="eastAsia"/>
              <w:bCs/>
              <w:szCs w:val="21"/>
            </w:rPr>
            <w:instrText xml:space="preserve"> MACROBUTTON  SnrToggleCheckbox □适用  </w:instrText>
          </w:r>
          <w:r>
            <w:rPr>
              <w:bCs/>
              <w:szCs w:val="21"/>
            </w:rPr>
            <w:fldChar w:fldCharType="end"/>
          </w:r>
          <w:r>
            <w:rPr>
              <w:bCs/>
              <w:szCs w:val="21"/>
            </w:rPr>
            <w:fldChar w:fldCharType="begin"/>
          </w:r>
          <w:r>
            <w:rPr>
              <w:rFonts w:hint="eastAsia"/>
              <w:bCs/>
              <w:szCs w:val="21"/>
            </w:rPr>
            <w:instrText xml:space="preserve"> MACROBUTTON  SnrToggleCheckbox √不适用 </w:instrText>
          </w:r>
          <w:r>
            <w:rPr>
              <w:bCs/>
              <w:szCs w:val="21"/>
            </w:rPr>
            <w:fldChar w:fldCharType="end"/>
          </w:r>
        </w:p>
      </w:sdtContent>
    </w:sdt>
    <w:p w14:paraId="303C8DB7">
      <w:pPr>
        <w:rPr>
          <w:rFonts w:hint="eastAsia"/>
          <w:bCs/>
          <w:szCs w:val="21"/>
        </w:rPr>
      </w:pPr>
    </w:p>
    <w:p w14:paraId="1E1561A6">
      <w:pPr>
        <w:rPr>
          <w:rFonts w:hint="eastAsia"/>
          <w:bCs/>
          <w:szCs w:val="21"/>
        </w:rPr>
      </w:pPr>
      <w:r>
        <w:rPr>
          <w:rFonts w:hint="eastAsia"/>
          <w:bCs/>
          <w:szCs w:val="21"/>
        </w:rPr>
        <w:t>其他激励措施</w:t>
      </w:r>
    </w:p>
    <w:sdt>
      <w:sdtPr>
        <w:rPr>
          <w:szCs w:val="21"/>
        </w:rPr>
        <w:alias w:val="是否适用：其他激励措施[双击切换]"/>
        <w:tag w:val="_GBC_1273f753309d4658962c7982b10fa010"/>
        <w:id w:val="1598054470"/>
        <w:placeholder>
          <w:docPart w:val="GBC22222222222222222222222222222"/>
        </w:placeholder>
      </w:sdtPr>
      <w:sdtEndPr>
        <w:rPr>
          <w:szCs w:val="21"/>
        </w:rPr>
      </w:sdtEndPr>
      <w:sdtContent>
        <w:p w14:paraId="354FF1AD">
          <w:pPr>
            <w:rPr>
              <w:rFonts w:hint="eastAsia"/>
              <w:bCs/>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6F7418E">
      <w:pPr>
        <w:rPr>
          <w:rFonts w:hint="eastAsia"/>
          <w:bCs/>
          <w:szCs w:val="21"/>
        </w:rPr>
      </w:pPr>
    </w:p>
    <w:p w14:paraId="669AB7E7">
      <w:pPr>
        <w:pStyle w:val="4"/>
        <w:numPr>
          <w:ilvl w:val="1"/>
          <w:numId w:val="43"/>
        </w:numPr>
        <w:rPr>
          <w:kern w:val="44"/>
          <w:szCs w:val="21"/>
        </w:rPr>
      </w:pPr>
      <w:bookmarkStart w:id="91" w:name="_Toc342057945"/>
      <w:bookmarkStart w:id="92" w:name="_Toc342566005"/>
      <w:r>
        <w:rPr>
          <w:rFonts w:hint="eastAsia"/>
          <w:kern w:val="44"/>
          <w:szCs w:val="21"/>
        </w:rPr>
        <w:t>董事、高级管理人员报告期内被授予的股权激励情况</w:t>
      </w:r>
      <w:bookmarkEnd w:id="91"/>
      <w:bookmarkEnd w:id="92"/>
    </w:p>
    <w:p w14:paraId="588E1885">
      <w:pPr>
        <w:kinsoku w:val="0"/>
        <w:overflowPunct w:val="0"/>
        <w:autoSpaceDE w:val="0"/>
        <w:autoSpaceDN w:val="0"/>
        <w:adjustRightInd w:val="0"/>
        <w:snapToGrid w:val="0"/>
        <w:rPr>
          <w:rFonts w:hint="eastAsia"/>
          <w:szCs w:val="21"/>
        </w:rPr>
      </w:pPr>
      <w:sdt>
        <w:sdtPr>
          <w:rPr>
            <w:rFonts w:hint="eastAsia"/>
            <w:szCs w:val="21"/>
          </w:rPr>
          <w:alias w:val="是否适用：董事、监事、高级管理人员报告期内被授予的股权激励情况[双击切换]"/>
          <w:tag w:val="_GBC_c2d0a53ac8044ce0b5022c6f5ccdc0a9"/>
          <w:id w:val="-1325502553"/>
          <w:placeholder>
            <w:docPart w:val="GBC22222222222222222222222222222"/>
          </w:placeholder>
        </w:sdtPr>
        <w:sdtEndPr>
          <w:rPr>
            <w:rFonts w:hint="eastAsia"/>
            <w:szCs w:val="21"/>
          </w:rPr>
        </w:sdtEndPr>
        <w:sdtContent>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p w14:paraId="5E4F8CF7">
      <w:pPr>
        <w:rPr>
          <w:rFonts w:hint="eastAsia"/>
        </w:rPr>
      </w:pPr>
      <w:bookmarkStart w:id="93" w:name="_Hlk56780992"/>
    </w:p>
    <w:p w14:paraId="2CDFDA17">
      <w:pPr>
        <w:rPr>
          <w:rFonts w:hint="eastAsia"/>
        </w:rPr>
      </w:pPr>
    </w:p>
    <w:bookmarkEnd w:id="93"/>
    <w:p w14:paraId="22BE6F96">
      <w:pPr>
        <w:pStyle w:val="4"/>
        <w:numPr>
          <w:ilvl w:val="1"/>
          <w:numId w:val="43"/>
        </w:numPr>
        <w:rPr>
          <w:kern w:val="44"/>
          <w:szCs w:val="21"/>
        </w:rPr>
      </w:pPr>
      <w:r>
        <w:rPr>
          <w:rFonts w:hint="eastAsia"/>
          <w:kern w:val="44"/>
          <w:szCs w:val="21"/>
        </w:rP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1115755275"/>
        <w:placeholder>
          <w:docPart w:val="GBC22222222222222222222222222222"/>
        </w:placeholder>
      </w:sdtPr>
      <w:sdtEndPr>
        <w:rPr>
          <w:rFonts w:hint="eastAsia"/>
          <w:szCs w:val="21"/>
        </w:rPr>
      </w:sdtEndPr>
      <w:sdtContent>
        <w:p w14:paraId="7ECB8F0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835449193"/>
        <w:placeholder>
          <w:docPart w:val="GBC22222222222222222222222222222"/>
        </w:placeholder>
      </w:sdtPr>
      <w:sdtEndPr>
        <w:rPr>
          <w:rFonts w:hint="eastAsia"/>
          <w:szCs w:val="21"/>
        </w:rPr>
      </w:sdtEndPr>
      <w:sdtContent>
        <w:p w14:paraId="06300C3E">
          <w:pPr>
            <w:ind w:firstLine="420"/>
            <w:rPr>
              <w:rFonts w:hint="eastAsia"/>
              <w:szCs w:val="21"/>
            </w:rPr>
          </w:pPr>
          <w:r>
            <w:rPr>
              <w:rFonts w:hint="eastAsia"/>
              <w:szCs w:val="21"/>
            </w:rPr>
            <w:t>报告期内，通过“一个责任书、两个合同、两个办法”对公司及子企业高级管理人员实现契约化管理。“两个合同”实现岗位的“能上能下、能进能出”，聘用合同与劳动合同分开，聘用合同明确相关权责及市场化退出办法；“一个责任书、两个办法”规定经营业绩考核目标及薪酬兑现等事项，实现收入的“能高能低、能增能减”。</w:t>
          </w:r>
        </w:p>
        <w:p w14:paraId="623BE373">
          <w:pPr>
            <w:ind w:firstLine="420"/>
            <w:rPr>
              <w:rFonts w:hint="eastAsia"/>
              <w:szCs w:val="21"/>
            </w:rPr>
          </w:pPr>
          <w:r>
            <w:rPr>
              <w:rFonts w:hint="eastAsia"/>
              <w:szCs w:val="21"/>
            </w:rPr>
            <w:t>按照一企一策、分门别类的原则，探索优化公司高级管理人员经营业绩考核办法、子企业高级管理人员薪酬考核办法，建立了“经营绩效+重点工作+专项任务”的考核评价机制，实施分类和差异化考核。按照市场化原则，公司及子企业高级管理人员实行差异化薪酬，与经营业绩相挂钩，建立勇于担当、善于作为的激励机制，对于业绩突出以及改革调整、科技创新等取得成效的子企业，给予经营业绩考核加分奖励；由经营效益较好子企业到艰苦地区、经营困难子企业或新设立兼并子企业交流任职，薪酬给予适当支持，推动形成“高薪-人才-利润”的良性循环，促进公司有质量、有效益的可持续发展。</w:t>
          </w:r>
        </w:p>
      </w:sdtContent>
    </w:sdt>
    <w:p w14:paraId="2E91AB30">
      <w:pPr>
        <w:rPr>
          <w:rFonts w:hint="eastAsia"/>
          <w:szCs w:val="21"/>
        </w:rPr>
      </w:pPr>
    </w:p>
    <w:p w14:paraId="2561264F">
      <w:pPr>
        <w:pStyle w:val="3"/>
        <w:numPr>
          <w:ilvl w:val="0"/>
          <w:numId w:val="17"/>
        </w:numPr>
      </w:pPr>
      <w:r>
        <w:rPr>
          <w:rFonts w:hint="eastAsia"/>
        </w:rPr>
        <w:t>报告期内的内部控制制度建设及实施情况</w:t>
      </w:r>
    </w:p>
    <w:sdt>
      <w:sdtPr>
        <w:rPr>
          <w:szCs w:val="21"/>
        </w:rPr>
        <w:alias w:val="是否适用：报告期内的内部控制制度建设及实施情况[双击切换]"/>
        <w:tag w:val="_GBC_f76747fb26ee47cfb00fc8ad5592b038"/>
        <w:id w:val="-639800881"/>
        <w:placeholder>
          <w:docPart w:val="GBC22222222222222222222222222222"/>
        </w:placeholder>
      </w:sdtPr>
      <w:sdtEndPr>
        <w:rPr>
          <w:szCs w:val="21"/>
        </w:rPr>
      </w:sdtEndPr>
      <w:sdtContent>
        <w:p w14:paraId="04BA3D6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1860509167"/>
        <w:placeholder>
          <w:docPart w:val="GBC22222222222222222222222222222"/>
        </w:placeholder>
      </w:sdtPr>
      <w:sdtEndPr>
        <w:rPr>
          <w:rFonts w:hint="eastAsia"/>
          <w:szCs w:val="21"/>
        </w:rPr>
      </w:sdtEndPr>
      <w:sdtContent>
        <w:p w14:paraId="71BDCD1A">
          <w:pPr>
            <w:rPr>
              <w:rFonts w:hint="eastAsia"/>
              <w:szCs w:val="21"/>
            </w:rPr>
          </w:pPr>
          <w:r>
            <w:rPr>
              <w:rFonts w:hint="eastAsia"/>
              <w:szCs w:val="21"/>
            </w:rPr>
            <w:t>详见公司于2025年4月28日在上海证券交易所披露的《际华集团</w:t>
          </w:r>
          <w:r>
            <w:rPr>
              <w:szCs w:val="21"/>
            </w:rPr>
            <w:t>2024年</w:t>
          </w:r>
          <w:r>
            <w:rPr>
              <w:rFonts w:hint="eastAsia"/>
              <w:szCs w:val="21"/>
            </w:rPr>
            <w:t>内部控制评价报告》。</w:t>
          </w:r>
        </w:p>
      </w:sdtContent>
    </w:sdt>
    <w:p w14:paraId="197262D9">
      <w:pPr>
        <w:rPr>
          <w:rFonts w:hint="eastAsia"/>
          <w:szCs w:val="21"/>
        </w:rPr>
      </w:pPr>
    </w:p>
    <w:p w14:paraId="5446D0CF">
      <w:pPr>
        <w:tabs>
          <w:tab w:val="left" w:pos="2760"/>
        </w:tabs>
        <w:rPr>
          <w:rFonts w:hint="eastAsia"/>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184567352"/>
        <w:placeholder>
          <w:docPart w:val="GBC22222222222222222222222222222"/>
        </w:placeholder>
      </w:sdtPr>
      <w:sdtEndPr>
        <w:rPr>
          <w:szCs w:val="21"/>
        </w:rPr>
      </w:sdtEndPr>
      <w:sdtContent>
        <w:p w14:paraId="2124BA17">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903CB17">
      <w:pPr>
        <w:rPr>
          <w:rFonts w:hint="eastAsia"/>
          <w:szCs w:val="21"/>
        </w:rPr>
      </w:pPr>
    </w:p>
    <w:p w14:paraId="4192F6D0">
      <w:pPr>
        <w:pStyle w:val="3"/>
        <w:numPr>
          <w:ilvl w:val="0"/>
          <w:numId w:val="17"/>
        </w:numPr>
      </w:pPr>
      <w:r>
        <w:rPr>
          <w:rFonts w:hint="eastAsia"/>
        </w:rPr>
        <w:t>报告期内对子公司的管理控制情况</w:t>
      </w:r>
    </w:p>
    <w:sdt>
      <w:sdtPr>
        <w:rPr>
          <w:rFonts w:hint="eastAsia"/>
          <w:szCs w:val="21"/>
        </w:rPr>
        <w:alias w:val="是否适用：报告期内对子公司的管理控制情况[双击切换]"/>
        <w:tag w:val="_GBC_3c41db66329f4aabb0fd91423cfeac3f"/>
        <w:id w:val="565846670"/>
        <w:placeholder>
          <w:docPart w:val="GBC22222222222222222222222222222"/>
        </w:placeholder>
      </w:sdtPr>
      <w:sdtEndPr>
        <w:rPr>
          <w:rFonts w:hint="eastAsia"/>
          <w:szCs w:val="21"/>
        </w:rPr>
      </w:sdtEndPr>
      <w:sdtContent>
        <w:p w14:paraId="0B09BEE0">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对子公司的管理控制情况"/>
        <w:tag w:val="_GBC_c42acb3ad0ff45a1891fd8fa03ee78a2"/>
        <w:id w:val="-394511281"/>
        <w:placeholder>
          <w:docPart w:val="GBC22222222222222222222222222222"/>
        </w:placeholder>
      </w:sdtPr>
      <w:sdtEndPr>
        <w:rPr>
          <w:rFonts w:hint="eastAsia"/>
          <w:szCs w:val="21"/>
        </w:rPr>
      </w:sdtEndPr>
      <w:sdtContent>
        <w:p w14:paraId="0FEC4C6D">
          <w:pPr>
            <w:ind w:firstLine="420"/>
            <w:rPr>
              <w:rFonts w:hint="eastAsia"/>
              <w:szCs w:val="21"/>
            </w:rPr>
          </w:pPr>
          <w:r>
            <w:rPr>
              <w:rFonts w:hint="eastAsia"/>
              <w:szCs w:val="21"/>
            </w:rPr>
            <w:t>公司总部对子公司的管理已经建立了较为全面的制度，公司总部各职能部门对子公司相关业务和部门实行对口管理和指导。针对子公司发生的重大事项，公司制定了三重一大决策事项清单、公司治理权责清单，规定了子公司发生的各类重大事项的审批程序。总部各职能部室针对所管理的具体业务，分别制定各自的管理办法和实施细则，对子公司该类业务事项进行日常的监督和管控。</w:t>
          </w:r>
        </w:p>
      </w:sdtContent>
    </w:sdt>
    <w:p w14:paraId="773CBC26">
      <w:pPr>
        <w:rPr>
          <w:rFonts w:hint="eastAsia"/>
          <w:szCs w:val="21"/>
        </w:rPr>
      </w:pPr>
    </w:p>
    <w:p w14:paraId="700AF3BD">
      <w:pPr>
        <w:pStyle w:val="3"/>
        <w:numPr>
          <w:ilvl w:val="0"/>
          <w:numId w:val="17"/>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120909777"/>
        <w:placeholder>
          <w:docPart w:val="GBC22222222222222222222222222222"/>
        </w:placeholder>
      </w:sdtPr>
      <w:sdtEndPr>
        <w:rPr>
          <w:rFonts w:hint="eastAsia"/>
          <w:szCs w:val="21"/>
        </w:rPr>
      </w:sdtEndPr>
      <w:sdtContent>
        <w:p w14:paraId="75D28B3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792596478"/>
        <w:placeholder>
          <w:docPart w:val="GBC22222222222222222222222222222"/>
        </w:placeholder>
      </w:sdtPr>
      <w:sdtEndPr>
        <w:rPr>
          <w:rFonts w:hint="eastAsia"/>
          <w:szCs w:val="21"/>
        </w:rPr>
      </w:sdtEndPr>
      <w:sdtContent>
        <w:p w14:paraId="5F8F2505">
          <w:pPr>
            <w:rPr>
              <w:rFonts w:hint="eastAsia"/>
              <w:szCs w:val="21"/>
            </w:rPr>
          </w:pPr>
          <w:r>
            <w:rPr>
              <w:rFonts w:hint="eastAsia"/>
              <w:szCs w:val="21"/>
            </w:rPr>
            <w:t>天健会计师事务所出具了《际华集团</w:t>
          </w:r>
          <w:r>
            <w:rPr>
              <w:szCs w:val="21"/>
            </w:rPr>
            <w:t>2024年度内部控制审计报告》，于</w:t>
          </w:r>
          <w:r>
            <w:rPr>
              <w:rFonts w:hint="eastAsia"/>
              <w:szCs w:val="21"/>
            </w:rPr>
            <w:t>2025年4月28日在上海证券交易所网站上披露。</w:t>
          </w:r>
        </w:p>
      </w:sdtContent>
    </w:sdt>
    <w:p w14:paraId="118C0F61">
      <w:pPr>
        <w:rPr>
          <w:rFonts w:hint="eastAsia"/>
          <w:szCs w:val="21"/>
        </w:rPr>
      </w:pPr>
      <w:r>
        <w:rPr>
          <w:szCs w:val="21"/>
        </w:rPr>
        <w:t>是否披露内部控制审计报告：</w:t>
      </w:r>
      <w:sdt>
        <w:sdtPr>
          <w:rPr>
            <w:szCs w:val="21"/>
          </w:rPr>
          <w:alias w:val="审计机构是否对公司内部控制出具核实评价意见"/>
          <w:tag w:val="_GBC_c9f332f7c06944ebbd339ca86944d1e2"/>
          <w:id w:val="-73660860"/>
          <w:placeholder>
            <w:docPart w:val="GBC22222222222222222222222222222"/>
          </w:placeholder>
          <w:comboBox>
            <w:listItem w:displayText="是" w:value="true"/>
            <w:listItem w:displayText="否" w:value="false"/>
          </w:comboBox>
        </w:sdtPr>
        <w:sdtEndPr>
          <w:rPr>
            <w:szCs w:val="21"/>
          </w:rPr>
        </w:sdtEndPr>
        <w:sdtContent>
          <w:r>
            <w:rPr>
              <w:szCs w:val="21"/>
            </w:rPr>
            <w:t>是</w:t>
          </w:r>
        </w:sdtContent>
      </w:sdt>
    </w:p>
    <w:p w14:paraId="4536B88E">
      <w:pPr>
        <w:rPr>
          <w:rFonts w:hint="eastAsia"/>
          <w:lang w:val="zh-CN"/>
        </w:rPr>
      </w:pPr>
      <w:r>
        <w:rPr>
          <w:rFonts w:hint="eastAsia"/>
          <w:lang w:val="zh-CN"/>
        </w:rPr>
        <w:t>内部控制审计报告意见类型：</w:t>
      </w:r>
      <w:sdt>
        <w:sdtPr>
          <w:rPr>
            <w:rFonts w:hint="eastAsia"/>
            <w:lang w:val="zh-CN"/>
          </w:rPr>
          <w:alias w:val="内部控制审计意见类型"/>
          <w:tag w:val="_GBC_70262b41c723466c879c062e5326eee3"/>
          <w:id w:val="-1746947577"/>
          <w:placeholder>
            <w:docPart w:val="GBC22222222222222222222222222222"/>
          </w:placeholder>
          <w:comboBox>
            <w:listItem w:displayText="标准的无保留意见" w:value="标准的无保留意见"/>
            <w:listItem w:displayText="带强调事项段的无保留意见" w:value="带强调事项段的无保留意见"/>
            <w:listItem w:displayText="否定意见" w:value="否定意见"/>
            <w:listItem w:displayText="无法表示意见" w:value="无法表示意见"/>
          </w:comboBox>
        </w:sdtPr>
        <w:sdtEndPr>
          <w:rPr>
            <w:rFonts w:hint="eastAsia"/>
            <w:lang w:val="zh-CN"/>
          </w:rPr>
        </w:sdtEndPr>
        <w:sdtContent>
          <w:r>
            <w:rPr>
              <w:rFonts w:hint="eastAsia"/>
              <w:lang w:val="zh-CN"/>
            </w:rPr>
            <w:t>标准的无保留意见</w:t>
          </w:r>
        </w:sdtContent>
      </w:sdt>
    </w:p>
    <w:p w14:paraId="5F5301E4">
      <w:pPr>
        <w:rPr>
          <w:rFonts w:hint="eastAsia"/>
          <w:szCs w:val="21"/>
        </w:rPr>
      </w:pPr>
    </w:p>
    <w:p w14:paraId="0E7C6DA9">
      <w:pPr>
        <w:pStyle w:val="3"/>
        <w:numPr>
          <w:ilvl w:val="0"/>
          <w:numId w:val="17"/>
        </w:numPr>
      </w:pPr>
      <w:bookmarkStart w:id="94" w:name="_Hlk40625163"/>
      <w:bookmarkStart w:id="95" w:name="_Hlk40625199"/>
      <w:r>
        <w:rPr>
          <w:rFonts w:ascii="宋体" w:hAnsi="宋体" w:cs="宋体"/>
          <w:kern w:val="0"/>
          <w:szCs w:val="24"/>
        </w:rPr>
        <w:t>上市公司治理专项行动自查问题整改情况</w:t>
      </w:r>
    </w:p>
    <w:sdt>
      <w:sdtPr>
        <w:rPr>
          <w:szCs w:val="21"/>
        </w:rPr>
        <w:alias w:val="上市公司治理专项行动自查问题整改情况"/>
        <w:tag w:val="_GBC_05eb1501ffbf4b83acf20965ad06a2e0"/>
        <w:id w:val="-1317026298"/>
        <w:placeholder>
          <w:docPart w:val="GBC22222222222222222222222222222"/>
        </w:placeholder>
      </w:sdtPr>
      <w:sdtEndPr>
        <w:rPr>
          <w:szCs w:val="21"/>
        </w:rPr>
      </w:sdtEndPr>
      <w:sdtContent>
        <w:p w14:paraId="2B2FA9A5">
          <w:pPr>
            <w:rPr>
              <w:rFonts w:hint="eastAsia"/>
              <w:szCs w:val="21"/>
            </w:rPr>
          </w:pPr>
          <w:r>
            <w:rPr>
              <w:rFonts w:hint="eastAsia"/>
              <w:szCs w:val="21"/>
            </w:rPr>
            <w:t xml:space="preserve">      无</w:t>
          </w:r>
        </w:p>
      </w:sdtContent>
    </w:sdt>
    <w:p w14:paraId="5E8BDC62">
      <w:pPr>
        <w:rPr>
          <w:rFonts w:hint="eastAsia"/>
          <w:szCs w:val="21"/>
        </w:rPr>
      </w:pPr>
    </w:p>
    <w:bookmarkEnd w:id="94"/>
    <w:bookmarkEnd w:id="95"/>
    <w:p w14:paraId="36927358">
      <w:pPr>
        <w:pStyle w:val="3"/>
        <w:numPr>
          <w:ilvl w:val="0"/>
          <w:numId w:val="17"/>
        </w:numPr>
      </w:pPr>
      <w:r>
        <w:t>其他</w:t>
      </w:r>
    </w:p>
    <w:sdt>
      <w:sdtPr>
        <w:rPr>
          <w:rFonts w:hint="eastAsia"/>
          <w:szCs w:val="21"/>
        </w:rPr>
        <w:alias w:val="是否适用：其他公司治理情况说明[双击切换]"/>
        <w:tag w:val="_GBC_dc91085943bb4d4ab22a79a9ba7014df"/>
        <w:id w:val="964614714"/>
        <w:placeholder>
          <w:docPart w:val="GBC22222222222222222222222222222"/>
        </w:placeholder>
      </w:sdtPr>
      <w:sdtEndPr>
        <w:rPr>
          <w:rFonts w:hint="eastAsia"/>
          <w:szCs w:val="21"/>
        </w:rPr>
      </w:sdtEndPr>
      <w:sdtContent>
        <w:p w14:paraId="2B5FC558">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4229AA9">
      <w:pPr>
        <w:rPr>
          <w:rFonts w:hint="eastAsia"/>
          <w:szCs w:val="21"/>
        </w:rPr>
      </w:pPr>
    </w:p>
    <w:p w14:paraId="0E940922">
      <w:pPr>
        <w:pStyle w:val="2"/>
        <w:numPr>
          <w:ilvl w:val="0"/>
          <w:numId w:val="2"/>
        </w:numPr>
      </w:pPr>
      <w:bookmarkStart w:id="96" w:name="_Toc184741578"/>
      <w:r>
        <w:rPr>
          <w:rFonts w:hint="eastAsia"/>
        </w:rPr>
        <w:t>环境与社会责任</w:t>
      </w:r>
    </w:p>
    <w:bookmarkEnd w:id="96"/>
    <w:p w14:paraId="09D0593E">
      <w:pPr>
        <w:pStyle w:val="3"/>
        <w:numPr>
          <w:ilvl w:val="0"/>
          <w:numId w:val="44"/>
        </w:numPr>
        <w:tabs>
          <w:tab w:val="left" w:pos="426"/>
        </w:tabs>
        <w:ind w:left="425" w:hanging="425"/>
        <w:jc w:val="left"/>
        <w:rPr>
          <w:rFonts w:hint="eastAsia" w:ascii="宋体" w:hAnsi="宋体"/>
        </w:rPr>
      </w:pPr>
      <w:bookmarkStart w:id="97" w:name="_Hlk89187025"/>
      <w:bookmarkStart w:id="98" w:name="_Hlk89187063"/>
      <w:r>
        <w:rPr>
          <w:rFonts w:hint="eastAsia" w:ascii="宋体" w:hAnsi="宋体"/>
        </w:rPr>
        <w:t>环境</w:t>
      </w:r>
      <w:r>
        <w:rPr>
          <w:rFonts w:ascii="宋体" w:hAnsi="宋体"/>
        </w:rPr>
        <w:t>信息情况</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8"/>
        <w:gridCol w:w="4355"/>
      </w:tblGrid>
      <w:tr w14:paraId="2C5D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57166cc0f74e2181ffc731d0410fde"/>
            <w:id w:val="-370615407"/>
          </w:sdtPr>
          <w:sdtContent>
            <w:tc>
              <w:tcPr>
                <w:tcW w:w="2532" w:type="pct"/>
                <w:shd w:val="clear" w:color="auto" w:fill="auto"/>
              </w:tcPr>
              <w:p w14:paraId="18FC4BF5">
                <w:pPr>
                  <w:widowControl w:val="0"/>
                  <w:jc w:val="both"/>
                  <w:rPr>
                    <w:rFonts w:hint="eastAsia"/>
                  </w:rPr>
                </w:pPr>
                <w:r>
                  <w:rPr>
                    <w:rFonts w:hint="eastAsia"/>
                  </w:rPr>
                  <w:t>是否建立环境保护相关机制</w:t>
                </w:r>
              </w:p>
            </w:tc>
          </w:sdtContent>
        </w:sdt>
        <w:sdt>
          <w:sdtPr>
            <w:rPr>
              <w:rFonts w:hint="eastAsia"/>
            </w:rPr>
            <w:alias w:val="是否建立环境保护相关机制"/>
            <w:tag w:val="_GBC_db4b394c15a64e53bc9eb2ef5d2d583b"/>
            <w:id w:val="-992788293"/>
            <w:comboBox>
              <w:listItem w:displayText="是" w:value="是"/>
              <w:listItem w:displayText="否" w:value="否"/>
            </w:comboBox>
          </w:sdtPr>
          <w:sdtEndPr>
            <w:rPr>
              <w:rFonts w:hint="eastAsia"/>
            </w:rPr>
          </w:sdtEndPr>
          <w:sdtContent>
            <w:tc>
              <w:tcPr>
                <w:tcW w:w="2468" w:type="pct"/>
                <w:shd w:val="clear" w:color="auto" w:fill="auto"/>
              </w:tcPr>
              <w:p w14:paraId="21FAC4D5">
                <w:pPr>
                  <w:widowControl w:val="0"/>
                  <w:jc w:val="center"/>
                  <w:rPr>
                    <w:rFonts w:hint="eastAsia"/>
                  </w:rPr>
                </w:pPr>
                <w:r>
                  <w:rPr>
                    <w:rFonts w:hint="eastAsia"/>
                  </w:rPr>
                  <w:t>是</w:t>
                </w:r>
              </w:p>
            </w:tc>
          </w:sdtContent>
        </w:sdt>
      </w:tr>
      <w:tr w14:paraId="205C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2" w:type="pct"/>
            <w:shd w:val="clear" w:color="auto" w:fill="auto"/>
          </w:tcPr>
          <w:p w14:paraId="26ED678B">
            <w:pPr>
              <w:widowControl w:val="0"/>
              <w:jc w:val="both"/>
              <w:rPr>
                <w:rFonts w:hint="eastAsia"/>
              </w:rPr>
            </w:pPr>
            <w:bookmarkStart w:id="99" w:name="OLE_LINK1"/>
            <w:sdt>
              <w:sdtPr>
                <w:tag w:val="_PLD_cc2834f9480347efb3c6049a723db89d"/>
                <w:id w:val="-1561016926"/>
              </w:sdtPr>
              <w:sdtContent>
                <w:r>
                  <w:rPr>
                    <w:rFonts w:hint="eastAsia"/>
                  </w:rPr>
                  <w:t>报告期内投入环保资金</w:t>
                </w:r>
                <w:bookmarkEnd w:id="99"/>
              </w:sdtContent>
            </w:sdt>
            <w:r>
              <w:rPr>
                <w:rFonts w:hint="eastAsia"/>
              </w:rPr>
              <w:t>（单位：</w:t>
            </w:r>
            <w:sdt>
              <w:sdtPr>
                <w:rPr>
                  <w:rFonts w:hint="eastAsia"/>
                </w:rPr>
                <w:alias w:val="单位：报告期内投入环保资金"/>
                <w:tag w:val="_GBC_23fc355d243f4962992b20f0d6511069"/>
                <w:id w:val="1343972137"/>
                <w:placeholder>
                  <w:docPart w:val="GBC11111111111111111111111111111"/>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2468" w:type="pct"/>
            <w:shd w:val="clear" w:color="auto" w:fill="auto"/>
            <w:vAlign w:val="center"/>
          </w:tcPr>
          <w:p w14:paraId="7CA9FD02">
            <w:pPr>
              <w:widowControl w:val="0"/>
              <w:jc w:val="right"/>
              <w:rPr>
                <w:rFonts w:ascii="Arial Narrow" w:hAnsi="Arial Narrow"/>
              </w:rPr>
            </w:pPr>
            <w:r>
              <w:rPr>
                <w:rFonts w:ascii="Arial Narrow" w:hAnsi="Arial Narrow"/>
              </w:rPr>
              <w:t>1,753.02</w:t>
            </w:r>
          </w:p>
        </w:tc>
      </w:tr>
    </w:tbl>
    <w:p w14:paraId="0D4894BB">
      <w:pPr>
        <w:rPr>
          <w:rFonts w:hint="eastAsia"/>
        </w:rPr>
      </w:pPr>
    </w:p>
    <w:p w14:paraId="347E7DA3">
      <w:pPr>
        <w:pStyle w:val="4"/>
        <w:numPr>
          <w:ilvl w:val="0"/>
          <w:numId w:val="45"/>
        </w:numPr>
        <w:ind w:left="425" w:hanging="425"/>
        <w:rPr>
          <w:rFonts w:hint="eastAsia" w:ascii="宋体" w:hAnsi="宋体"/>
        </w:rPr>
      </w:pPr>
      <w:r>
        <w:rPr>
          <w:rFonts w:ascii="宋体" w:hAnsi="宋体"/>
        </w:rPr>
        <w:t>属于环境保护部门公布的重点排污单位的公司及其</w:t>
      </w:r>
      <w:r>
        <w:rPr>
          <w:rFonts w:hint="eastAsia" w:ascii="宋体" w:hAnsi="宋体"/>
        </w:rPr>
        <w:t>主要</w:t>
      </w:r>
      <w:r>
        <w:rPr>
          <w:rFonts w:ascii="宋体" w:hAnsi="宋体"/>
        </w:rPr>
        <w:t>子公司的环保情况说明</w:t>
      </w:r>
    </w:p>
    <w:sdt>
      <w:sdtPr>
        <w:rPr>
          <w:rFonts w:hint="eastAsia"/>
        </w:rPr>
        <w:alias w:val="是否适用：重点排污单位环保情况[双击切换]"/>
        <w:tag w:val="_GBC_40b93d2f11a54d2c995a8c41cdee40c4"/>
        <w:id w:val="1677459661"/>
        <w:placeholder>
          <w:docPart w:val="GBC22222222222222222222222222222"/>
        </w:placeholder>
      </w:sdtPr>
      <w:sdtEndPr>
        <w:rPr>
          <w:rFonts w:hint="eastAsia"/>
        </w:rPr>
      </w:sdtEndPr>
      <w:sdtContent>
        <w:p w14:paraId="73A6966D">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58E5C6FC">
      <w:pPr>
        <w:pStyle w:val="5"/>
        <w:numPr>
          <w:ilvl w:val="0"/>
          <w:numId w:val="46"/>
        </w:numPr>
        <w:rPr>
          <w:rFonts w:hint="eastAsia" w:ascii="宋体" w:hAnsi="宋体"/>
        </w:rPr>
      </w:pPr>
      <w:r>
        <w:rPr>
          <w:rFonts w:hint="eastAsia" w:ascii="宋体" w:hAnsi="宋体"/>
        </w:rPr>
        <w:t>排污</w:t>
      </w:r>
      <w:r>
        <w:rPr>
          <w:rFonts w:ascii="宋体" w:hAnsi="宋体"/>
        </w:rPr>
        <w:t>信息</w:t>
      </w:r>
    </w:p>
    <w:sdt>
      <w:sdtPr>
        <w:rPr>
          <w:rFonts w:hint="eastAsia" w:ascii="宋体" w:hAnsi="宋体"/>
        </w:rPr>
        <w:alias w:val="是否适用：排污信息[双击切换]"/>
        <w:tag w:val="_GBC_c1cef0b525dc4a0e9630fcb580d743be"/>
        <w:id w:val="55526034"/>
        <w:placeholder>
          <w:docPart w:val="GBC22222222222222222222222222222"/>
        </w:placeholder>
      </w:sdtPr>
      <w:sdtEndPr>
        <w:rPr>
          <w:rFonts w:hint="eastAsia" w:ascii="宋体" w:hAnsi="宋体"/>
        </w:rPr>
      </w:sdtEndPr>
      <w:sdtContent>
        <w:p w14:paraId="020FA743">
          <w:pPr>
            <w:pStyle w:val="44"/>
            <w:ind w:firstLine="0" w:firstLineChars="0"/>
            <w:rPr>
              <w:rFonts w:hint="eastAsia" w:ascii="宋体" w:hAnsi="宋体"/>
            </w:rPr>
          </w:pPr>
          <w:r>
            <w:rPr>
              <w:rFonts w:ascii="宋体" w:hAnsi="宋体"/>
            </w:rPr>
            <w:fldChar w:fldCharType="begin"/>
          </w:r>
          <w:r>
            <w:rPr>
              <w:rFonts w:ascii="宋体" w:hAnsi="宋体"/>
            </w:rPr>
            <w:instrText xml:space="preserve"> </w:instrText>
          </w:r>
          <w:r>
            <w:rPr>
              <w:rFonts w:hint="eastAsia" w:ascii="宋体" w:hAnsi="宋体"/>
            </w:rPr>
            <w:instrText xml:space="preserve">MACROBUTTON  SnrToggleCheckbox √适用</w:instrText>
          </w:r>
          <w:r>
            <w:rPr>
              <w:rFonts w:ascii="宋体" w:hAnsi="宋体"/>
            </w:rPr>
            <w:instrText xml:space="preserve">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rPr>
          <w:rFonts w:hint="eastAsia" w:ascii="Calibri" w:hAnsi="Calibri" w:cs="Times New Roman"/>
          <w:kern w:val="2"/>
          <w:szCs w:val="22"/>
        </w:rPr>
        <w:alias w:val="排污信息"/>
        <w:tag w:val="_GBC_ddafe40d844342a78bc0ed0326232a03"/>
        <w:id w:val="743756369"/>
        <w:placeholder>
          <w:docPart w:val="GBC22222222222222222222222222222"/>
        </w:placeholder>
      </w:sdtPr>
      <w:sdtEndPr>
        <w:rPr>
          <w:rFonts w:hint="eastAsia" w:ascii="Calibri" w:hAnsi="Calibri" w:cs="Times New Roman"/>
          <w:kern w:val="2"/>
          <w:szCs w:val="22"/>
        </w:rPr>
      </w:sdtEndPr>
      <w:sdtContent>
        <w:sdt>
          <w:sdtPr>
            <w:rPr>
              <w:rFonts w:hint="eastAsia" w:ascii="Calibri" w:hAnsi="Calibri" w:cs="Times New Roman"/>
              <w:kern w:val="2"/>
              <w:szCs w:val="22"/>
            </w:rPr>
            <w:alias w:val="排污信息"/>
            <w:tag w:val="_GBC_ddafe40d844342a78bc0ed0326232a03"/>
            <w:id w:val="936411252"/>
            <w:placeholder>
              <w:docPart w:val="D90ECA6ACB224669A71F5E8AF38DCD7E"/>
            </w:placeholder>
          </w:sdtPr>
          <w:sdtEndPr>
            <w:rPr>
              <w:rFonts w:hint="eastAsia" w:ascii="Calibri" w:hAnsi="Calibri" w:cs="Times New Roman"/>
              <w:kern w:val="2"/>
              <w:szCs w:val="22"/>
            </w:rPr>
          </w:sdtEndPr>
          <w:sdtContent>
            <w:p w14:paraId="2D907687">
              <w:pPr>
                <w:widowControl w:val="0"/>
                <w:numPr>
                  <w:ilvl w:val="0"/>
                  <w:numId w:val="47"/>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咸阳际华新三零印染有限公司</w:t>
              </w:r>
            </w:p>
            <w:p w14:paraId="1A1FF3F0">
              <w:pPr>
                <w:widowControl w:val="0"/>
                <w:ind w:firstLine="420" w:firstLineChars="20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公司2024废水排放量377766吨，污染物年度排放量均在总量控制指标范围内，水质排放严格执行《纺织染整工业水污染物排放标准》（GB4287-2012）表2间接排放标准、《纺织染整工业水污染物排放标准》（GB4287-2012）修改单（环境保护部公告2015年第19号）、关于调整《纺织染整工业水污染物排放标准》（GB4287-2012）部分指标执行要求的公告（环保部公告2015第41号）的相关规定以及《污水综合排放标准》（GB8978-1996）中三级标准。详细排放指标见下表：</w:t>
              </w:r>
            </w:p>
            <w:tbl>
              <w:tblPr>
                <w:tblStyle w:val="38"/>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279"/>
                <w:gridCol w:w="645"/>
                <w:gridCol w:w="735"/>
                <w:gridCol w:w="1814"/>
                <w:gridCol w:w="1335"/>
                <w:gridCol w:w="915"/>
                <w:gridCol w:w="1320"/>
                <w:gridCol w:w="648"/>
              </w:tblGrid>
              <w:tr w14:paraId="50DF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56DDEEF7">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污染物名称</w:t>
                    </w:r>
                  </w:p>
                </w:tc>
                <w:tc>
                  <w:tcPr>
                    <w:tcW w:w="1279" w:type="dxa"/>
                    <w:vAlign w:val="center"/>
                  </w:tcPr>
                  <w:p w14:paraId="1B255D17">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排放方式</w:t>
                    </w:r>
                  </w:p>
                </w:tc>
                <w:tc>
                  <w:tcPr>
                    <w:tcW w:w="645" w:type="dxa"/>
                    <w:vAlign w:val="center"/>
                  </w:tcPr>
                  <w:p w14:paraId="0370E94A">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总排放口数量</w:t>
                    </w:r>
                  </w:p>
                </w:tc>
                <w:tc>
                  <w:tcPr>
                    <w:tcW w:w="735" w:type="dxa"/>
                    <w:vAlign w:val="center"/>
                  </w:tcPr>
                  <w:p w14:paraId="1DB27CA0">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排放口分布</w:t>
                    </w:r>
                  </w:p>
                </w:tc>
                <w:tc>
                  <w:tcPr>
                    <w:tcW w:w="1814" w:type="dxa"/>
                    <w:vAlign w:val="center"/>
                  </w:tcPr>
                  <w:p w14:paraId="6363B734">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允许排放浓度</w:t>
                    </w:r>
                  </w:p>
                </w:tc>
                <w:tc>
                  <w:tcPr>
                    <w:tcW w:w="1335" w:type="dxa"/>
                    <w:vAlign w:val="center"/>
                  </w:tcPr>
                  <w:p w14:paraId="03781EC2">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年实际排放总量（吨）</w:t>
                    </w:r>
                  </w:p>
                </w:tc>
                <w:tc>
                  <w:tcPr>
                    <w:tcW w:w="915" w:type="dxa"/>
                    <w:vAlign w:val="center"/>
                  </w:tcPr>
                  <w:p w14:paraId="3240BC4A">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是否超标</w:t>
                    </w:r>
                  </w:p>
                </w:tc>
                <w:tc>
                  <w:tcPr>
                    <w:tcW w:w="1320" w:type="dxa"/>
                    <w:vAlign w:val="center"/>
                  </w:tcPr>
                  <w:p w14:paraId="7884251E">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年度核定排放总量</w:t>
                    </w:r>
                  </w:p>
                </w:tc>
                <w:tc>
                  <w:tcPr>
                    <w:tcW w:w="648" w:type="dxa"/>
                    <w:vAlign w:val="center"/>
                  </w:tcPr>
                  <w:p w14:paraId="0090DF9F">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执行排放标准</w:t>
                    </w:r>
                  </w:p>
                </w:tc>
              </w:tr>
              <w:tr w14:paraId="043A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29CA2337">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COD</w:t>
                    </w:r>
                  </w:p>
                </w:tc>
                <w:tc>
                  <w:tcPr>
                    <w:tcW w:w="1279" w:type="dxa"/>
                    <w:vMerge w:val="restart"/>
                    <w:vAlign w:val="center"/>
                  </w:tcPr>
                  <w:p w14:paraId="4AB5C4DB">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处理达标后连续性排放、流量不稳定、但有周期性规律</w:t>
                    </w:r>
                  </w:p>
                </w:tc>
                <w:tc>
                  <w:tcPr>
                    <w:tcW w:w="645" w:type="dxa"/>
                    <w:vMerge w:val="restart"/>
                    <w:vAlign w:val="center"/>
                  </w:tcPr>
                  <w:p w14:paraId="3A4DD129">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w:t>
                    </w:r>
                  </w:p>
                </w:tc>
                <w:tc>
                  <w:tcPr>
                    <w:tcW w:w="735" w:type="dxa"/>
                    <w:vMerge w:val="restart"/>
                    <w:vAlign w:val="center"/>
                  </w:tcPr>
                  <w:p w14:paraId="565DF64C">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污水站内</w:t>
                    </w:r>
                  </w:p>
                </w:tc>
                <w:tc>
                  <w:tcPr>
                    <w:tcW w:w="1814" w:type="dxa"/>
                    <w:vAlign w:val="center"/>
                  </w:tcPr>
                  <w:p w14:paraId="6DBEAABB">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≦200mg/L</w:t>
                    </w:r>
                  </w:p>
                </w:tc>
                <w:tc>
                  <w:tcPr>
                    <w:tcW w:w="1335" w:type="dxa"/>
                    <w:vAlign w:val="center"/>
                  </w:tcPr>
                  <w:p w14:paraId="46A8C211">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25.729</w:t>
                    </w:r>
                  </w:p>
                </w:tc>
                <w:tc>
                  <w:tcPr>
                    <w:tcW w:w="915" w:type="dxa"/>
                    <w:vAlign w:val="center"/>
                  </w:tcPr>
                  <w:p w14:paraId="5329E303">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否</w:t>
                    </w:r>
                  </w:p>
                </w:tc>
                <w:tc>
                  <w:tcPr>
                    <w:tcW w:w="1320" w:type="dxa"/>
                    <w:vAlign w:val="center"/>
                  </w:tcPr>
                  <w:p w14:paraId="08F6C5F5">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27.07吨</w:t>
                    </w:r>
                  </w:p>
                </w:tc>
                <w:tc>
                  <w:tcPr>
                    <w:tcW w:w="648" w:type="dxa"/>
                    <w:vMerge w:val="restart"/>
                    <w:vAlign w:val="center"/>
                  </w:tcPr>
                  <w:p w14:paraId="7E14EFA3">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见上述内容</w:t>
                    </w:r>
                  </w:p>
                </w:tc>
              </w:tr>
              <w:tr w14:paraId="0ADC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4A4774B9">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氨氮</w:t>
                    </w:r>
                  </w:p>
                </w:tc>
                <w:tc>
                  <w:tcPr>
                    <w:tcW w:w="1279" w:type="dxa"/>
                    <w:vMerge w:val="continue"/>
                    <w:vAlign w:val="center"/>
                  </w:tcPr>
                  <w:p w14:paraId="3255BCF7">
                    <w:pPr>
                      <w:widowControl/>
                      <w:spacing w:line="400" w:lineRule="exact"/>
                      <w:jc w:val="center"/>
                      <w:rPr>
                        <w:rFonts w:hint="eastAsia" w:asciiTheme="minorEastAsia" w:hAnsiTheme="minorEastAsia" w:eastAsiaTheme="minorEastAsia" w:cstheme="minorEastAsia"/>
                        <w:color w:val="000000"/>
                        <w:sz w:val="18"/>
                        <w:szCs w:val="18"/>
                      </w:rPr>
                    </w:pPr>
                  </w:p>
                </w:tc>
                <w:tc>
                  <w:tcPr>
                    <w:tcW w:w="645" w:type="dxa"/>
                    <w:vMerge w:val="continue"/>
                    <w:vAlign w:val="center"/>
                  </w:tcPr>
                  <w:p w14:paraId="1E3F2ED1">
                    <w:pPr>
                      <w:widowControl/>
                      <w:spacing w:line="400" w:lineRule="exact"/>
                      <w:jc w:val="center"/>
                      <w:rPr>
                        <w:rFonts w:hint="eastAsia" w:asciiTheme="minorEastAsia" w:hAnsiTheme="minorEastAsia" w:eastAsiaTheme="minorEastAsia" w:cstheme="minorEastAsia"/>
                        <w:color w:val="000000"/>
                        <w:sz w:val="18"/>
                        <w:szCs w:val="18"/>
                      </w:rPr>
                    </w:pPr>
                  </w:p>
                </w:tc>
                <w:tc>
                  <w:tcPr>
                    <w:tcW w:w="735" w:type="dxa"/>
                    <w:vMerge w:val="continue"/>
                    <w:vAlign w:val="center"/>
                  </w:tcPr>
                  <w:p w14:paraId="78F3CEA8">
                    <w:pPr>
                      <w:widowControl/>
                      <w:spacing w:line="400" w:lineRule="exact"/>
                      <w:jc w:val="center"/>
                      <w:rPr>
                        <w:rFonts w:hint="eastAsia" w:asciiTheme="minorEastAsia" w:hAnsiTheme="minorEastAsia" w:eastAsiaTheme="minorEastAsia" w:cstheme="minorEastAsia"/>
                        <w:color w:val="000000"/>
                        <w:sz w:val="18"/>
                        <w:szCs w:val="18"/>
                      </w:rPr>
                    </w:pPr>
                  </w:p>
                </w:tc>
                <w:tc>
                  <w:tcPr>
                    <w:tcW w:w="1814" w:type="dxa"/>
                    <w:vAlign w:val="center"/>
                  </w:tcPr>
                  <w:p w14:paraId="3C4BEEDB">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≦20mg/L</w:t>
                    </w:r>
                  </w:p>
                </w:tc>
                <w:tc>
                  <w:tcPr>
                    <w:tcW w:w="1335" w:type="dxa"/>
                    <w:vAlign w:val="center"/>
                  </w:tcPr>
                  <w:p w14:paraId="481709B8">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0.167</w:t>
                    </w:r>
                  </w:p>
                </w:tc>
                <w:tc>
                  <w:tcPr>
                    <w:tcW w:w="915" w:type="dxa"/>
                    <w:vAlign w:val="center"/>
                  </w:tcPr>
                  <w:p w14:paraId="36DCC098">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否</w:t>
                    </w:r>
                  </w:p>
                </w:tc>
                <w:tc>
                  <w:tcPr>
                    <w:tcW w:w="1320" w:type="dxa"/>
                    <w:vAlign w:val="center"/>
                  </w:tcPr>
                  <w:p w14:paraId="4DD55E82">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2.707吨</w:t>
                    </w:r>
                  </w:p>
                </w:tc>
                <w:tc>
                  <w:tcPr>
                    <w:tcW w:w="648" w:type="dxa"/>
                    <w:vMerge w:val="continue"/>
                    <w:vAlign w:val="center"/>
                  </w:tcPr>
                  <w:p w14:paraId="0D979286">
                    <w:pPr>
                      <w:widowControl/>
                      <w:spacing w:line="400" w:lineRule="exact"/>
                      <w:jc w:val="center"/>
                      <w:rPr>
                        <w:rFonts w:hint="eastAsia" w:asciiTheme="minorEastAsia" w:hAnsiTheme="minorEastAsia" w:eastAsiaTheme="minorEastAsia" w:cstheme="minorEastAsia"/>
                        <w:color w:val="000000"/>
                        <w:sz w:val="18"/>
                        <w:szCs w:val="18"/>
                      </w:rPr>
                    </w:pPr>
                  </w:p>
                </w:tc>
              </w:tr>
              <w:tr w14:paraId="1F8C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46" w:type="dxa"/>
                    <w:vAlign w:val="center"/>
                  </w:tcPr>
                  <w:p w14:paraId="52663200">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总氮</w:t>
                    </w:r>
                  </w:p>
                </w:tc>
                <w:tc>
                  <w:tcPr>
                    <w:tcW w:w="1279" w:type="dxa"/>
                    <w:vMerge w:val="continue"/>
                    <w:vAlign w:val="center"/>
                  </w:tcPr>
                  <w:p w14:paraId="3598FA66">
                    <w:pPr>
                      <w:widowControl/>
                      <w:spacing w:line="400" w:lineRule="exact"/>
                      <w:jc w:val="center"/>
                      <w:rPr>
                        <w:rFonts w:hint="eastAsia" w:asciiTheme="minorEastAsia" w:hAnsiTheme="minorEastAsia" w:eastAsiaTheme="minorEastAsia" w:cstheme="minorEastAsia"/>
                        <w:color w:val="000000"/>
                        <w:sz w:val="18"/>
                        <w:szCs w:val="18"/>
                      </w:rPr>
                    </w:pPr>
                  </w:p>
                </w:tc>
                <w:tc>
                  <w:tcPr>
                    <w:tcW w:w="645" w:type="dxa"/>
                    <w:vMerge w:val="continue"/>
                    <w:vAlign w:val="center"/>
                  </w:tcPr>
                  <w:p w14:paraId="48CAF112">
                    <w:pPr>
                      <w:widowControl/>
                      <w:spacing w:line="400" w:lineRule="exact"/>
                      <w:jc w:val="center"/>
                      <w:rPr>
                        <w:rFonts w:hint="eastAsia" w:asciiTheme="minorEastAsia" w:hAnsiTheme="minorEastAsia" w:eastAsiaTheme="minorEastAsia" w:cstheme="minorEastAsia"/>
                        <w:color w:val="000000"/>
                        <w:sz w:val="18"/>
                        <w:szCs w:val="18"/>
                      </w:rPr>
                    </w:pPr>
                  </w:p>
                </w:tc>
                <w:tc>
                  <w:tcPr>
                    <w:tcW w:w="735" w:type="dxa"/>
                    <w:vMerge w:val="continue"/>
                    <w:vAlign w:val="center"/>
                  </w:tcPr>
                  <w:p w14:paraId="2C8F2D76">
                    <w:pPr>
                      <w:widowControl/>
                      <w:spacing w:line="400" w:lineRule="exact"/>
                      <w:jc w:val="center"/>
                      <w:rPr>
                        <w:rFonts w:hint="eastAsia" w:asciiTheme="minorEastAsia" w:hAnsiTheme="minorEastAsia" w:eastAsiaTheme="minorEastAsia" w:cstheme="minorEastAsia"/>
                        <w:color w:val="000000"/>
                        <w:sz w:val="18"/>
                        <w:szCs w:val="18"/>
                      </w:rPr>
                    </w:pPr>
                  </w:p>
                </w:tc>
                <w:tc>
                  <w:tcPr>
                    <w:tcW w:w="1814" w:type="dxa"/>
                    <w:vAlign w:val="center"/>
                  </w:tcPr>
                  <w:p w14:paraId="0BCFCD41">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≦30mg/L</w:t>
                    </w:r>
                  </w:p>
                </w:tc>
                <w:tc>
                  <w:tcPr>
                    <w:tcW w:w="1335" w:type="dxa"/>
                    <w:vAlign w:val="center"/>
                  </w:tcPr>
                  <w:p w14:paraId="3E01F1BB">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1.863</w:t>
                    </w:r>
                  </w:p>
                </w:tc>
                <w:tc>
                  <w:tcPr>
                    <w:tcW w:w="915" w:type="dxa"/>
                    <w:vAlign w:val="center"/>
                  </w:tcPr>
                  <w:p w14:paraId="6BA378D5">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否</w:t>
                    </w:r>
                  </w:p>
                </w:tc>
                <w:tc>
                  <w:tcPr>
                    <w:tcW w:w="1320" w:type="dxa"/>
                    <w:vAlign w:val="center"/>
                  </w:tcPr>
                  <w:p w14:paraId="795F84C7">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648" w:type="dxa"/>
                    <w:vMerge w:val="continue"/>
                    <w:vAlign w:val="center"/>
                  </w:tcPr>
                  <w:p w14:paraId="6075BACE">
                    <w:pPr>
                      <w:widowControl/>
                      <w:spacing w:line="400" w:lineRule="exact"/>
                      <w:jc w:val="center"/>
                      <w:rPr>
                        <w:rFonts w:hint="eastAsia" w:asciiTheme="minorEastAsia" w:hAnsiTheme="minorEastAsia" w:eastAsiaTheme="minorEastAsia" w:cstheme="minorEastAsia"/>
                        <w:color w:val="000000"/>
                        <w:sz w:val="18"/>
                        <w:szCs w:val="18"/>
                      </w:rPr>
                    </w:pPr>
                  </w:p>
                </w:tc>
              </w:tr>
              <w:tr w14:paraId="0050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66B48284">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总磷</w:t>
                    </w:r>
                  </w:p>
                </w:tc>
                <w:tc>
                  <w:tcPr>
                    <w:tcW w:w="1279" w:type="dxa"/>
                    <w:vMerge w:val="continue"/>
                    <w:vAlign w:val="center"/>
                  </w:tcPr>
                  <w:p w14:paraId="35FFDE57">
                    <w:pPr>
                      <w:widowControl/>
                      <w:spacing w:line="400" w:lineRule="exact"/>
                      <w:jc w:val="center"/>
                      <w:rPr>
                        <w:rFonts w:hint="eastAsia" w:asciiTheme="minorEastAsia" w:hAnsiTheme="minorEastAsia" w:eastAsiaTheme="minorEastAsia" w:cstheme="minorEastAsia"/>
                        <w:color w:val="000000"/>
                        <w:sz w:val="18"/>
                        <w:szCs w:val="18"/>
                      </w:rPr>
                    </w:pPr>
                  </w:p>
                </w:tc>
                <w:tc>
                  <w:tcPr>
                    <w:tcW w:w="645" w:type="dxa"/>
                    <w:vMerge w:val="continue"/>
                    <w:vAlign w:val="center"/>
                  </w:tcPr>
                  <w:p w14:paraId="34018806">
                    <w:pPr>
                      <w:widowControl/>
                      <w:spacing w:line="400" w:lineRule="exact"/>
                      <w:jc w:val="center"/>
                      <w:rPr>
                        <w:rFonts w:hint="eastAsia" w:asciiTheme="minorEastAsia" w:hAnsiTheme="minorEastAsia" w:eastAsiaTheme="minorEastAsia" w:cstheme="minorEastAsia"/>
                        <w:color w:val="000000"/>
                        <w:sz w:val="18"/>
                        <w:szCs w:val="18"/>
                      </w:rPr>
                    </w:pPr>
                  </w:p>
                </w:tc>
                <w:tc>
                  <w:tcPr>
                    <w:tcW w:w="735" w:type="dxa"/>
                    <w:vMerge w:val="continue"/>
                    <w:vAlign w:val="center"/>
                  </w:tcPr>
                  <w:p w14:paraId="39CC0E8B">
                    <w:pPr>
                      <w:widowControl/>
                      <w:spacing w:line="400" w:lineRule="exact"/>
                      <w:jc w:val="center"/>
                      <w:rPr>
                        <w:rFonts w:hint="eastAsia" w:asciiTheme="minorEastAsia" w:hAnsiTheme="minorEastAsia" w:eastAsiaTheme="minorEastAsia" w:cstheme="minorEastAsia"/>
                        <w:color w:val="000000"/>
                        <w:sz w:val="18"/>
                        <w:szCs w:val="18"/>
                      </w:rPr>
                    </w:pPr>
                  </w:p>
                </w:tc>
                <w:tc>
                  <w:tcPr>
                    <w:tcW w:w="1814" w:type="dxa"/>
                    <w:vAlign w:val="center"/>
                  </w:tcPr>
                  <w:p w14:paraId="6456C575">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≦1.5mg/L</w:t>
                    </w:r>
                  </w:p>
                </w:tc>
                <w:tc>
                  <w:tcPr>
                    <w:tcW w:w="1335" w:type="dxa"/>
                    <w:vAlign w:val="center"/>
                  </w:tcPr>
                  <w:p w14:paraId="6FE206F9">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0.04</w:t>
                    </w:r>
                  </w:p>
                </w:tc>
                <w:tc>
                  <w:tcPr>
                    <w:tcW w:w="915" w:type="dxa"/>
                    <w:vAlign w:val="center"/>
                  </w:tcPr>
                  <w:p w14:paraId="4D3266C2">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否</w:t>
                    </w:r>
                  </w:p>
                </w:tc>
                <w:tc>
                  <w:tcPr>
                    <w:tcW w:w="1320" w:type="dxa"/>
                    <w:vAlign w:val="center"/>
                  </w:tcPr>
                  <w:p w14:paraId="219CF453">
                    <w:pPr>
                      <w:widowControl/>
                      <w:spacing w:line="4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648" w:type="dxa"/>
                    <w:vMerge w:val="continue"/>
                    <w:vAlign w:val="center"/>
                  </w:tcPr>
                  <w:p w14:paraId="1D55D172">
                    <w:pPr>
                      <w:widowControl/>
                      <w:spacing w:line="400" w:lineRule="exact"/>
                      <w:jc w:val="center"/>
                      <w:rPr>
                        <w:rFonts w:hint="eastAsia" w:asciiTheme="minorEastAsia" w:hAnsiTheme="minorEastAsia" w:eastAsiaTheme="minorEastAsia" w:cstheme="minorEastAsia"/>
                        <w:color w:val="000000"/>
                        <w:sz w:val="18"/>
                        <w:szCs w:val="18"/>
                      </w:rPr>
                    </w:pPr>
                  </w:p>
                </w:tc>
              </w:tr>
            </w:tbl>
            <w:p w14:paraId="36B756F6">
              <w:pPr>
                <w:widowControl w:val="0"/>
                <w:numPr>
                  <w:ilvl w:val="0"/>
                  <w:numId w:val="47"/>
                </w:numPr>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际华三五四二纺织有限公司</w:t>
              </w:r>
            </w:p>
            <w:p w14:paraId="328FF44F">
              <w:pPr>
                <w:pStyle w:val="17"/>
              </w:pPr>
              <w:r>
                <w:rPr>
                  <w:rFonts w:hint="eastAsia" w:asciiTheme="minorEastAsia" w:hAnsiTheme="minorEastAsia" w:eastAsiaTheme="minorEastAsia" w:cstheme="minorEastAsia"/>
                  <w:color w:val="000000"/>
                  <w:kern w:val="0"/>
                  <w:lang w:bidi="ar"/>
                </w:rPr>
                <w:t>公司2024年废水排放量为689222.81吨，主要污染物是COD、氨氮，污染物排放情况见下表：</w:t>
              </w:r>
            </w:p>
            <w:tbl>
              <w:tblPr>
                <w:tblStyle w:val="66"/>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176"/>
                <w:gridCol w:w="1107"/>
                <w:gridCol w:w="895"/>
                <w:gridCol w:w="732"/>
                <w:gridCol w:w="705"/>
                <w:gridCol w:w="1369"/>
                <w:gridCol w:w="734"/>
                <w:gridCol w:w="1791"/>
              </w:tblGrid>
              <w:tr w14:paraId="10BF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shd w:val="clear" w:color="auto" w:fill="auto"/>
                    <w:vAlign w:val="center"/>
                  </w:tcPr>
                  <w:p w14:paraId="579C53DD">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污染物名称</w:t>
                    </w:r>
                  </w:p>
                </w:tc>
                <w:tc>
                  <w:tcPr>
                    <w:tcW w:w="1176" w:type="dxa"/>
                    <w:shd w:val="clear" w:color="auto" w:fill="auto"/>
                    <w:vAlign w:val="center"/>
                  </w:tcPr>
                  <w:p w14:paraId="234A24F8">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排放浓度（mg/L）</w:t>
                    </w:r>
                  </w:p>
                </w:tc>
                <w:tc>
                  <w:tcPr>
                    <w:tcW w:w="1107" w:type="dxa"/>
                    <w:shd w:val="clear" w:color="auto" w:fill="auto"/>
                    <w:vAlign w:val="center"/>
                  </w:tcPr>
                  <w:p w14:paraId="6E791635">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排放总量(吨)</w:t>
                    </w:r>
                  </w:p>
                </w:tc>
                <w:tc>
                  <w:tcPr>
                    <w:tcW w:w="895" w:type="dxa"/>
                    <w:shd w:val="clear" w:color="auto" w:fill="auto"/>
                    <w:vAlign w:val="center"/>
                  </w:tcPr>
                  <w:p w14:paraId="3655E079">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核定排放总量</w:t>
                    </w:r>
                  </w:p>
                </w:tc>
                <w:tc>
                  <w:tcPr>
                    <w:tcW w:w="732" w:type="dxa"/>
                    <w:shd w:val="clear" w:color="auto" w:fill="auto"/>
                    <w:vAlign w:val="center"/>
                  </w:tcPr>
                  <w:p w14:paraId="1791471E">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排放方式</w:t>
                    </w:r>
                  </w:p>
                </w:tc>
                <w:tc>
                  <w:tcPr>
                    <w:tcW w:w="705" w:type="dxa"/>
                    <w:shd w:val="clear" w:color="auto" w:fill="auto"/>
                    <w:vAlign w:val="center"/>
                  </w:tcPr>
                  <w:p w14:paraId="3B62167A">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排放口数量</w:t>
                    </w:r>
                  </w:p>
                </w:tc>
                <w:tc>
                  <w:tcPr>
                    <w:tcW w:w="1369" w:type="dxa"/>
                    <w:shd w:val="clear" w:color="auto" w:fill="auto"/>
                    <w:vAlign w:val="center"/>
                  </w:tcPr>
                  <w:p w14:paraId="3D051239">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执行的污染物排放标准</w:t>
                    </w:r>
                  </w:p>
                </w:tc>
                <w:tc>
                  <w:tcPr>
                    <w:tcW w:w="734" w:type="dxa"/>
                    <w:shd w:val="clear" w:color="auto" w:fill="auto"/>
                    <w:vAlign w:val="center"/>
                  </w:tcPr>
                  <w:p w14:paraId="0698EEA0">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超标排放情况</w:t>
                    </w:r>
                  </w:p>
                </w:tc>
                <w:tc>
                  <w:tcPr>
                    <w:tcW w:w="1791" w:type="dxa"/>
                    <w:shd w:val="clear" w:color="auto" w:fill="auto"/>
                    <w:vAlign w:val="center"/>
                  </w:tcPr>
                  <w:p w14:paraId="34072267">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sz w:val="18"/>
                        <w:szCs w:val="18"/>
                      </w:rPr>
                      <w:t>执行排放标准</w:t>
                    </w:r>
                  </w:p>
                </w:tc>
              </w:tr>
              <w:tr w14:paraId="6928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78" w:type="dxa"/>
                    <w:shd w:val="clear" w:color="auto" w:fill="auto"/>
                    <w:vAlign w:val="center"/>
                  </w:tcPr>
                  <w:p w14:paraId="2237948A">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COD</w:t>
                    </w:r>
                  </w:p>
                </w:tc>
                <w:tc>
                  <w:tcPr>
                    <w:tcW w:w="1176" w:type="dxa"/>
                    <w:shd w:val="clear" w:color="auto" w:fill="auto"/>
                    <w:vAlign w:val="center"/>
                  </w:tcPr>
                  <w:p w14:paraId="494A3A5D">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50</w:t>
                    </w:r>
                  </w:p>
                </w:tc>
                <w:tc>
                  <w:tcPr>
                    <w:tcW w:w="1107" w:type="dxa"/>
                    <w:shd w:val="clear" w:color="auto" w:fill="auto"/>
                    <w:vAlign w:val="center"/>
                  </w:tcPr>
                  <w:p w14:paraId="3FADDF85">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19.5109</w:t>
                    </w:r>
                  </w:p>
                </w:tc>
                <w:tc>
                  <w:tcPr>
                    <w:tcW w:w="895" w:type="dxa"/>
                    <w:shd w:val="clear" w:color="auto" w:fill="auto"/>
                    <w:vAlign w:val="center"/>
                  </w:tcPr>
                  <w:p w14:paraId="0C64D413">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48.55</w:t>
                    </w:r>
                  </w:p>
                </w:tc>
                <w:tc>
                  <w:tcPr>
                    <w:tcW w:w="732" w:type="dxa"/>
                    <w:vMerge w:val="restart"/>
                    <w:shd w:val="clear" w:color="auto" w:fill="auto"/>
                    <w:vAlign w:val="center"/>
                  </w:tcPr>
                  <w:p w14:paraId="13289FD1">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间接排放</w:t>
                    </w:r>
                  </w:p>
                </w:tc>
                <w:tc>
                  <w:tcPr>
                    <w:tcW w:w="705" w:type="dxa"/>
                    <w:vMerge w:val="restart"/>
                    <w:shd w:val="clear" w:color="auto" w:fill="auto"/>
                    <w:vAlign w:val="center"/>
                  </w:tcPr>
                  <w:p w14:paraId="1887D046">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w:t>
                    </w:r>
                  </w:p>
                </w:tc>
                <w:tc>
                  <w:tcPr>
                    <w:tcW w:w="1369" w:type="dxa"/>
                    <w:vMerge w:val="restart"/>
                    <w:shd w:val="clear" w:color="auto" w:fill="auto"/>
                    <w:vAlign w:val="center"/>
                  </w:tcPr>
                  <w:p w14:paraId="2D4DBB83">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GB4287-2012表二间接排放标准</w:t>
                    </w:r>
                  </w:p>
                </w:tc>
                <w:tc>
                  <w:tcPr>
                    <w:tcW w:w="734" w:type="dxa"/>
                    <w:vMerge w:val="restart"/>
                    <w:shd w:val="clear" w:color="auto" w:fill="auto"/>
                    <w:vAlign w:val="center"/>
                  </w:tcPr>
                  <w:p w14:paraId="1A1F5F44">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无</w:t>
                    </w:r>
                  </w:p>
                </w:tc>
                <w:tc>
                  <w:tcPr>
                    <w:tcW w:w="1791" w:type="dxa"/>
                    <w:vMerge w:val="restart"/>
                    <w:shd w:val="clear" w:color="auto" w:fill="auto"/>
                    <w:vAlign w:val="center"/>
                  </w:tcPr>
                  <w:p w14:paraId="409682E7">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纺织染整工业水污染物排放标准》（GB4287-2012）</w:t>
                    </w:r>
                  </w:p>
                </w:tc>
              </w:tr>
              <w:tr w14:paraId="6617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shd w:val="clear" w:color="auto" w:fill="auto"/>
                    <w:vAlign w:val="center"/>
                  </w:tcPr>
                  <w:p w14:paraId="592F9189">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氨氮</w:t>
                    </w:r>
                  </w:p>
                </w:tc>
                <w:tc>
                  <w:tcPr>
                    <w:tcW w:w="1176" w:type="dxa"/>
                    <w:shd w:val="clear" w:color="auto" w:fill="auto"/>
                    <w:vAlign w:val="center"/>
                  </w:tcPr>
                  <w:p w14:paraId="10EF1A86">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0.32</w:t>
                    </w:r>
                  </w:p>
                </w:tc>
                <w:tc>
                  <w:tcPr>
                    <w:tcW w:w="1107" w:type="dxa"/>
                    <w:shd w:val="clear" w:color="auto" w:fill="auto"/>
                    <w:vAlign w:val="center"/>
                  </w:tcPr>
                  <w:p w14:paraId="3FD953C8">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0.0227</w:t>
                    </w:r>
                  </w:p>
                </w:tc>
                <w:tc>
                  <w:tcPr>
                    <w:tcW w:w="895" w:type="dxa"/>
                    <w:shd w:val="clear" w:color="auto" w:fill="auto"/>
                    <w:vAlign w:val="center"/>
                  </w:tcPr>
                  <w:p w14:paraId="0F6FF5FA">
                    <w:pPr>
                      <w:spacing w:before="15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4.855</w:t>
                    </w:r>
                  </w:p>
                </w:tc>
                <w:tc>
                  <w:tcPr>
                    <w:tcW w:w="732" w:type="dxa"/>
                    <w:vMerge w:val="continue"/>
                    <w:shd w:val="clear" w:color="auto" w:fill="auto"/>
                    <w:vAlign w:val="center"/>
                  </w:tcPr>
                  <w:p w14:paraId="553C34E3">
                    <w:pPr>
                      <w:spacing w:before="156"/>
                      <w:jc w:val="center"/>
                      <w:rPr>
                        <w:rFonts w:hint="eastAsia" w:asciiTheme="minorEastAsia" w:hAnsiTheme="minorEastAsia" w:eastAsiaTheme="minorEastAsia" w:cstheme="minorEastAsia"/>
                        <w:sz w:val="18"/>
                        <w:szCs w:val="18"/>
                      </w:rPr>
                    </w:pPr>
                  </w:p>
                </w:tc>
                <w:tc>
                  <w:tcPr>
                    <w:tcW w:w="705" w:type="dxa"/>
                    <w:vMerge w:val="continue"/>
                    <w:shd w:val="clear" w:color="auto" w:fill="auto"/>
                    <w:vAlign w:val="center"/>
                  </w:tcPr>
                  <w:p w14:paraId="01C5C3BB">
                    <w:pPr>
                      <w:spacing w:before="156"/>
                      <w:jc w:val="center"/>
                      <w:rPr>
                        <w:rFonts w:hint="eastAsia" w:ascii="仿宋" w:hAnsi="仿宋" w:eastAsia="仿宋" w:cs="仿宋"/>
                      </w:rPr>
                    </w:pPr>
                  </w:p>
                </w:tc>
                <w:tc>
                  <w:tcPr>
                    <w:tcW w:w="1369" w:type="dxa"/>
                    <w:vMerge w:val="continue"/>
                    <w:shd w:val="clear" w:color="auto" w:fill="auto"/>
                    <w:vAlign w:val="center"/>
                  </w:tcPr>
                  <w:p w14:paraId="1AF2998E">
                    <w:pPr>
                      <w:spacing w:before="156"/>
                      <w:jc w:val="center"/>
                      <w:rPr>
                        <w:rFonts w:hint="eastAsia" w:ascii="仿宋" w:hAnsi="仿宋" w:eastAsia="仿宋" w:cs="仿宋"/>
                      </w:rPr>
                    </w:pPr>
                  </w:p>
                </w:tc>
                <w:tc>
                  <w:tcPr>
                    <w:tcW w:w="734" w:type="dxa"/>
                    <w:vMerge w:val="continue"/>
                    <w:shd w:val="clear" w:color="auto" w:fill="auto"/>
                    <w:vAlign w:val="center"/>
                  </w:tcPr>
                  <w:p w14:paraId="67F98E0A">
                    <w:pPr>
                      <w:spacing w:before="156"/>
                      <w:jc w:val="center"/>
                      <w:rPr>
                        <w:rFonts w:hint="eastAsia" w:ascii="仿宋" w:hAnsi="仿宋" w:eastAsia="仿宋" w:cs="仿宋"/>
                      </w:rPr>
                    </w:pPr>
                  </w:p>
                </w:tc>
                <w:tc>
                  <w:tcPr>
                    <w:tcW w:w="1791" w:type="dxa"/>
                    <w:vMerge w:val="continue"/>
                    <w:shd w:val="clear" w:color="auto" w:fill="auto"/>
                    <w:vAlign w:val="center"/>
                  </w:tcPr>
                  <w:p w14:paraId="6BCB01FA">
                    <w:pPr>
                      <w:spacing w:before="156"/>
                      <w:jc w:val="center"/>
                      <w:rPr>
                        <w:rFonts w:hint="eastAsia" w:ascii="仿宋" w:hAnsi="仿宋" w:eastAsia="仿宋" w:cs="仿宋"/>
                      </w:rPr>
                    </w:pPr>
                  </w:p>
                </w:tc>
              </w:tr>
            </w:tbl>
            <w:p w14:paraId="392E12F2">
              <w:pPr>
                <w:rPr>
                  <w:rFonts w:hint="eastAsia"/>
                </w:rPr>
              </w:pPr>
              <w:r>
                <w:rPr>
                  <w:rFonts w:hint="eastAsia"/>
                  <w:szCs w:val="21"/>
                </w:rPr>
                <w:t>三、</w:t>
              </w:r>
              <w:r>
                <w:rPr>
                  <w:rFonts w:hint="eastAsia"/>
                  <w:color w:val="000000"/>
                  <w:szCs w:val="21"/>
                  <w:lang w:bidi="ar"/>
                </w:rPr>
                <w:t>际华三五四三针织服饰有限公司</w:t>
              </w:r>
            </w:p>
            <w:p w14:paraId="3799B2EB">
              <w:pPr>
                <w:widowControl w:val="0"/>
                <w:ind w:firstLine="420" w:firstLineChars="200"/>
                <w:jc w:val="both"/>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2"/>
                  <w:szCs w:val="21"/>
                </w:rPr>
                <w:t>公司2024年二氧化硫排放0.017吨，氮氧化物排放1.025吨，烟尘排放0.056吨；共排放废水23.73万吨，其中COD排放24.26吨，氨氮排放0.04吨，详见下表：</w:t>
              </w:r>
            </w:p>
            <w:tbl>
              <w:tblPr>
                <w:tblStyle w:val="38"/>
                <w:tblW w:w="9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035"/>
                <w:gridCol w:w="780"/>
                <w:gridCol w:w="1095"/>
                <w:gridCol w:w="1075"/>
                <w:gridCol w:w="1110"/>
                <w:gridCol w:w="1020"/>
                <w:gridCol w:w="945"/>
                <w:gridCol w:w="1920"/>
              </w:tblGrid>
              <w:tr w14:paraId="6760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blHeader/>
                  <w:jc w:val="center"/>
                </w:trPr>
                <w:tc>
                  <w:tcPr>
                    <w:tcW w:w="645" w:type="dxa"/>
                    <w:vAlign w:val="center"/>
                  </w:tcPr>
                  <w:p w14:paraId="1E71B585">
                    <w:pPr>
                      <w:widowControl w:val="0"/>
                      <w:jc w:val="center"/>
                      <w:rPr>
                        <w:rFonts w:hint="eastAsia"/>
                        <w:kern w:val="2"/>
                        <w:sz w:val="18"/>
                        <w:szCs w:val="18"/>
                      </w:rPr>
                    </w:pPr>
                    <w:r>
                      <w:rPr>
                        <w:rFonts w:hint="eastAsia"/>
                        <w:kern w:val="2"/>
                        <w:sz w:val="18"/>
                        <w:szCs w:val="18"/>
                      </w:rPr>
                      <w:t>污染物名称</w:t>
                    </w:r>
                  </w:p>
                </w:tc>
                <w:tc>
                  <w:tcPr>
                    <w:tcW w:w="1035" w:type="dxa"/>
                    <w:vAlign w:val="center"/>
                  </w:tcPr>
                  <w:p w14:paraId="0B4D621F">
                    <w:pPr>
                      <w:widowControl w:val="0"/>
                      <w:jc w:val="center"/>
                      <w:rPr>
                        <w:rFonts w:hint="eastAsia"/>
                        <w:kern w:val="2"/>
                        <w:sz w:val="18"/>
                        <w:szCs w:val="18"/>
                      </w:rPr>
                    </w:pPr>
                    <w:r>
                      <w:rPr>
                        <w:rFonts w:hint="eastAsia"/>
                        <w:kern w:val="2"/>
                        <w:sz w:val="18"/>
                        <w:szCs w:val="18"/>
                      </w:rPr>
                      <w:t>排放方式</w:t>
                    </w:r>
                  </w:p>
                </w:tc>
                <w:tc>
                  <w:tcPr>
                    <w:tcW w:w="780" w:type="dxa"/>
                    <w:vAlign w:val="center"/>
                  </w:tcPr>
                  <w:p w14:paraId="32B9F895">
                    <w:pPr>
                      <w:widowControl w:val="0"/>
                      <w:jc w:val="center"/>
                      <w:rPr>
                        <w:rFonts w:hint="eastAsia"/>
                        <w:kern w:val="2"/>
                        <w:sz w:val="18"/>
                        <w:szCs w:val="18"/>
                      </w:rPr>
                    </w:pPr>
                    <w:r>
                      <w:rPr>
                        <w:rFonts w:hint="eastAsia"/>
                        <w:kern w:val="2"/>
                        <w:sz w:val="18"/>
                        <w:szCs w:val="18"/>
                      </w:rPr>
                      <w:t>排放口数量</w:t>
                    </w:r>
                  </w:p>
                </w:tc>
                <w:tc>
                  <w:tcPr>
                    <w:tcW w:w="1095" w:type="dxa"/>
                    <w:vAlign w:val="center"/>
                  </w:tcPr>
                  <w:p w14:paraId="2382443F">
                    <w:pPr>
                      <w:widowControl w:val="0"/>
                      <w:jc w:val="center"/>
                      <w:rPr>
                        <w:rFonts w:hint="eastAsia"/>
                        <w:kern w:val="2"/>
                        <w:sz w:val="18"/>
                        <w:szCs w:val="18"/>
                      </w:rPr>
                    </w:pPr>
                    <w:r>
                      <w:rPr>
                        <w:rFonts w:hint="eastAsia"/>
                        <w:kern w:val="2"/>
                        <w:sz w:val="18"/>
                        <w:szCs w:val="18"/>
                      </w:rPr>
                      <w:t>排放口分布</w:t>
                    </w:r>
                  </w:p>
                </w:tc>
                <w:tc>
                  <w:tcPr>
                    <w:tcW w:w="1075" w:type="dxa"/>
                    <w:vAlign w:val="center"/>
                  </w:tcPr>
                  <w:p w14:paraId="5780EFBD">
                    <w:pPr>
                      <w:widowControl w:val="0"/>
                      <w:jc w:val="center"/>
                      <w:rPr>
                        <w:rFonts w:hint="eastAsia"/>
                        <w:kern w:val="2"/>
                        <w:sz w:val="18"/>
                        <w:szCs w:val="18"/>
                      </w:rPr>
                    </w:pPr>
                    <w:r>
                      <w:rPr>
                        <w:rFonts w:hint="eastAsia"/>
                        <w:kern w:val="2"/>
                        <w:sz w:val="18"/>
                        <w:szCs w:val="18"/>
                      </w:rPr>
                      <w:t>排放浓度</w:t>
                    </w:r>
                  </w:p>
                </w:tc>
                <w:tc>
                  <w:tcPr>
                    <w:tcW w:w="1110" w:type="dxa"/>
                    <w:vAlign w:val="center"/>
                  </w:tcPr>
                  <w:p w14:paraId="087A111C">
                    <w:pPr>
                      <w:widowControl w:val="0"/>
                      <w:jc w:val="center"/>
                      <w:rPr>
                        <w:rFonts w:hint="eastAsia"/>
                        <w:kern w:val="2"/>
                        <w:sz w:val="18"/>
                        <w:szCs w:val="18"/>
                      </w:rPr>
                    </w:pPr>
                    <w:r>
                      <w:rPr>
                        <w:rFonts w:hint="eastAsia"/>
                        <w:kern w:val="2"/>
                        <w:sz w:val="18"/>
                        <w:szCs w:val="18"/>
                      </w:rPr>
                      <w:t>排放总量</w:t>
                    </w:r>
                  </w:p>
                </w:tc>
                <w:tc>
                  <w:tcPr>
                    <w:tcW w:w="1020" w:type="dxa"/>
                    <w:vAlign w:val="center"/>
                  </w:tcPr>
                  <w:p w14:paraId="4DEF24C8">
                    <w:pPr>
                      <w:widowControl w:val="0"/>
                      <w:jc w:val="center"/>
                      <w:rPr>
                        <w:rFonts w:hint="eastAsia"/>
                        <w:kern w:val="2"/>
                        <w:sz w:val="18"/>
                        <w:szCs w:val="18"/>
                      </w:rPr>
                    </w:pPr>
                    <w:r>
                      <w:rPr>
                        <w:rFonts w:hint="eastAsia"/>
                        <w:kern w:val="2"/>
                        <w:sz w:val="18"/>
                        <w:szCs w:val="18"/>
                      </w:rPr>
                      <w:t>超标排放情况</w:t>
                    </w:r>
                  </w:p>
                </w:tc>
                <w:tc>
                  <w:tcPr>
                    <w:tcW w:w="945" w:type="dxa"/>
                    <w:vAlign w:val="center"/>
                  </w:tcPr>
                  <w:p w14:paraId="6A62DCAD">
                    <w:pPr>
                      <w:widowControl w:val="0"/>
                      <w:jc w:val="center"/>
                      <w:rPr>
                        <w:rFonts w:hint="eastAsia"/>
                        <w:kern w:val="2"/>
                        <w:sz w:val="18"/>
                        <w:szCs w:val="18"/>
                      </w:rPr>
                    </w:pPr>
                    <w:r>
                      <w:rPr>
                        <w:rFonts w:hint="eastAsia"/>
                        <w:kern w:val="2"/>
                        <w:sz w:val="18"/>
                        <w:szCs w:val="18"/>
                      </w:rPr>
                      <w:t>核定排放总量</w:t>
                    </w:r>
                  </w:p>
                </w:tc>
                <w:tc>
                  <w:tcPr>
                    <w:tcW w:w="1920" w:type="dxa"/>
                    <w:vAlign w:val="center"/>
                  </w:tcPr>
                  <w:p w14:paraId="6DB8D8BF">
                    <w:pPr>
                      <w:widowControl w:val="0"/>
                      <w:jc w:val="center"/>
                      <w:rPr>
                        <w:rFonts w:hint="eastAsia"/>
                        <w:kern w:val="2"/>
                        <w:sz w:val="18"/>
                        <w:szCs w:val="18"/>
                      </w:rPr>
                    </w:pPr>
                    <w:r>
                      <w:rPr>
                        <w:rFonts w:hint="eastAsia"/>
                        <w:kern w:val="2"/>
                        <w:sz w:val="18"/>
                        <w:szCs w:val="18"/>
                      </w:rPr>
                      <w:t>执行排放标准</w:t>
                    </w:r>
                  </w:p>
                </w:tc>
              </w:tr>
              <w:tr w14:paraId="776E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CCEE9AA">
                    <w:pPr>
                      <w:widowControl w:val="0"/>
                      <w:jc w:val="center"/>
                      <w:rPr>
                        <w:rFonts w:hint="eastAsia"/>
                        <w:kern w:val="2"/>
                        <w:sz w:val="18"/>
                        <w:szCs w:val="18"/>
                      </w:rPr>
                    </w:pPr>
                    <w:r>
                      <w:rPr>
                        <w:rFonts w:hint="eastAsia"/>
                        <w:kern w:val="2"/>
                        <w:sz w:val="18"/>
                        <w:szCs w:val="18"/>
                      </w:rPr>
                      <w:t>COD</w:t>
                    </w:r>
                  </w:p>
                </w:tc>
                <w:tc>
                  <w:tcPr>
                    <w:tcW w:w="1035" w:type="dxa"/>
                    <w:vAlign w:val="center"/>
                  </w:tcPr>
                  <w:p w14:paraId="58E71FC8">
                    <w:pPr>
                      <w:widowControl w:val="0"/>
                      <w:jc w:val="center"/>
                      <w:rPr>
                        <w:rFonts w:hint="eastAsia"/>
                        <w:kern w:val="2"/>
                        <w:sz w:val="18"/>
                        <w:szCs w:val="18"/>
                      </w:rPr>
                    </w:pPr>
                    <w:r>
                      <w:rPr>
                        <w:rFonts w:hint="eastAsia"/>
                        <w:kern w:val="2"/>
                        <w:sz w:val="18"/>
                        <w:szCs w:val="18"/>
                      </w:rPr>
                      <w:t>处理达标后间歇性排放</w:t>
                    </w:r>
                  </w:p>
                </w:tc>
                <w:tc>
                  <w:tcPr>
                    <w:tcW w:w="780" w:type="dxa"/>
                    <w:vAlign w:val="center"/>
                  </w:tcPr>
                  <w:p w14:paraId="35BB33C4">
                    <w:pPr>
                      <w:widowControl w:val="0"/>
                      <w:jc w:val="center"/>
                      <w:rPr>
                        <w:rFonts w:hint="eastAsia"/>
                        <w:kern w:val="2"/>
                        <w:sz w:val="18"/>
                        <w:szCs w:val="18"/>
                      </w:rPr>
                    </w:pPr>
                    <w:r>
                      <w:rPr>
                        <w:rFonts w:hint="eastAsia"/>
                        <w:kern w:val="2"/>
                        <w:sz w:val="18"/>
                        <w:szCs w:val="18"/>
                      </w:rPr>
                      <w:t>1</w:t>
                    </w:r>
                  </w:p>
                </w:tc>
                <w:tc>
                  <w:tcPr>
                    <w:tcW w:w="1095" w:type="dxa"/>
                    <w:vAlign w:val="center"/>
                  </w:tcPr>
                  <w:p w14:paraId="69BDC68F">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30774C6B">
                    <w:pPr>
                      <w:widowControl w:val="0"/>
                      <w:jc w:val="center"/>
                      <w:rPr>
                        <w:rFonts w:hint="eastAsia"/>
                        <w:kern w:val="2"/>
                        <w:sz w:val="18"/>
                        <w:szCs w:val="18"/>
                      </w:rPr>
                    </w:pPr>
                    <w:r>
                      <w:rPr>
                        <w:rFonts w:hint="eastAsia"/>
                        <w:kern w:val="2"/>
                        <w:sz w:val="18"/>
                        <w:szCs w:val="18"/>
                      </w:rPr>
                      <w:t>&lt;105mg/L</w:t>
                    </w:r>
                  </w:p>
                </w:tc>
                <w:tc>
                  <w:tcPr>
                    <w:tcW w:w="1110" w:type="dxa"/>
                    <w:vAlign w:val="center"/>
                  </w:tcPr>
                  <w:p w14:paraId="6BBB70FF">
                    <w:pPr>
                      <w:widowControl w:val="0"/>
                      <w:jc w:val="center"/>
                      <w:rPr>
                        <w:rFonts w:hint="eastAsia"/>
                        <w:kern w:val="2"/>
                        <w:sz w:val="18"/>
                        <w:szCs w:val="18"/>
                      </w:rPr>
                    </w:pPr>
                    <w:r>
                      <w:rPr>
                        <w:rFonts w:hint="eastAsia"/>
                        <w:kern w:val="2"/>
                        <w:sz w:val="18"/>
                        <w:szCs w:val="18"/>
                      </w:rPr>
                      <w:t>24.26吨</w:t>
                    </w:r>
                  </w:p>
                </w:tc>
                <w:tc>
                  <w:tcPr>
                    <w:tcW w:w="1020" w:type="dxa"/>
                    <w:vAlign w:val="center"/>
                  </w:tcPr>
                  <w:p w14:paraId="10EAD575">
                    <w:pPr>
                      <w:widowControl w:val="0"/>
                      <w:jc w:val="center"/>
                      <w:rPr>
                        <w:rFonts w:hint="eastAsia"/>
                        <w:kern w:val="2"/>
                        <w:sz w:val="18"/>
                        <w:szCs w:val="18"/>
                      </w:rPr>
                    </w:pPr>
                    <w:r>
                      <w:rPr>
                        <w:rFonts w:hint="eastAsia"/>
                        <w:kern w:val="2"/>
                        <w:sz w:val="18"/>
                        <w:szCs w:val="18"/>
                      </w:rPr>
                      <w:t>无</w:t>
                    </w:r>
                  </w:p>
                </w:tc>
                <w:tc>
                  <w:tcPr>
                    <w:tcW w:w="945" w:type="dxa"/>
                    <w:vAlign w:val="center"/>
                  </w:tcPr>
                  <w:p w14:paraId="1C0BB5DC">
                    <w:pPr>
                      <w:widowControl w:val="0"/>
                      <w:jc w:val="center"/>
                      <w:rPr>
                        <w:rFonts w:hint="eastAsia"/>
                        <w:kern w:val="2"/>
                        <w:sz w:val="18"/>
                        <w:szCs w:val="18"/>
                      </w:rPr>
                    </w:pPr>
                    <w:r>
                      <w:rPr>
                        <w:rFonts w:hint="eastAsia"/>
                        <w:kern w:val="2"/>
                        <w:sz w:val="18"/>
                        <w:szCs w:val="18"/>
                      </w:rPr>
                      <w:t>49.173吨</w:t>
                    </w:r>
                  </w:p>
                </w:tc>
                <w:tc>
                  <w:tcPr>
                    <w:tcW w:w="1920" w:type="dxa"/>
                    <w:vMerge w:val="restart"/>
                    <w:vAlign w:val="center"/>
                  </w:tcPr>
                  <w:p w14:paraId="084C6FEC">
                    <w:pPr>
                      <w:widowControl w:val="0"/>
                      <w:jc w:val="center"/>
                      <w:rPr>
                        <w:rFonts w:hint="eastAsia"/>
                        <w:kern w:val="2"/>
                        <w:sz w:val="18"/>
                        <w:szCs w:val="18"/>
                      </w:rPr>
                    </w:pPr>
                    <w:r>
                      <w:rPr>
                        <w:rFonts w:hint="eastAsia"/>
                        <w:kern w:val="2"/>
                        <w:sz w:val="18"/>
                        <w:szCs w:val="18"/>
                      </w:rPr>
                      <w:t>《纺织染整工业水污染物排放标准》（GB4287-2012）</w:t>
                    </w:r>
                  </w:p>
                </w:tc>
              </w:tr>
              <w:tr w14:paraId="1D8E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645" w:type="dxa"/>
                    <w:vAlign w:val="center"/>
                  </w:tcPr>
                  <w:p w14:paraId="62E467D2">
                    <w:pPr>
                      <w:widowControl w:val="0"/>
                      <w:jc w:val="center"/>
                      <w:rPr>
                        <w:rFonts w:hint="eastAsia"/>
                        <w:kern w:val="2"/>
                        <w:sz w:val="18"/>
                        <w:szCs w:val="18"/>
                      </w:rPr>
                    </w:pPr>
                    <w:r>
                      <w:rPr>
                        <w:rFonts w:hint="eastAsia"/>
                        <w:kern w:val="2"/>
                        <w:sz w:val="18"/>
                        <w:szCs w:val="18"/>
                      </w:rPr>
                      <w:t>氨氮</w:t>
                    </w:r>
                  </w:p>
                </w:tc>
                <w:tc>
                  <w:tcPr>
                    <w:tcW w:w="1035" w:type="dxa"/>
                    <w:vAlign w:val="center"/>
                  </w:tcPr>
                  <w:p w14:paraId="6F6FC31F">
                    <w:pPr>
                      <w:widowControl w:val="0"/>
                      <w:jc w:val="center"/>
                      <w:rPr>
                        <w:rFonts w:hint="eastAsia"/>
                        <w:kern w:val="2"/>
                        <w:sz w:val="18"/>
                        <w:szCs w:val="18"/>
                      </w:rPr>
                    </w:pPr>
                    <w:r>
                      <w:rPr>
                        <w:rFonts w:hint="eastAsia"/>
                        <w:kern w:val="2"/>
                        <w:sz w:val="18"/>
                        <w:szCs w:val="18"/>
                      </w:rPr>
                      <w:t>处理达标后间歇性排放</w:t>
                    </w:r>
                  </w:p>
                </w:tc>
                <w:tc>
                  <w:tcPr>
                    <w:tcW w:w="780" w:type="dxa"/>
                    <w:vAlign w:val="center"/>
                  </w:tcPr>
                  <w:p w14:paraId="2D9D6251">
                    <w:pPr>
                      <w:widowControl w:val="0"/>
                      <w:jc w:val="center"/>
                      <w:rPr>
                        <w:rFonts w:hint="eastAsia"/>
                        <w:kern w:val="2"/>
                        <w:sz w:val="18"/>
                        <w:szCs w:val="18"/>
                      </w:rPr>
                    </w:pPr>
                    <w:r>
                      <w:rPr>
                        <w:rFonts w:hint="eastAsia"/>
                        <w:kern w:val="2"/>
                        <w:sz w:val="18"/>
                        <w:szCs w:val="18"/>
                      </w:rPr>
                      <w:t>1</w:t>
                    </w:r>
                  </w:p>
                </w:tc>
                <w:tc>
                  <w:tcPr>
                    <w:tcW w:w="1095" w:type="dxa"/>
                    <w:vAlign w:val="center"/>
                  </w:tcPr>
                  <w:p w14:paraId="09D18031">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452F8535">
                    <w:pPr>
                      <w:widowControl w:val="0"/>
                      <w:jc w:val="center"/>
                      <w:rPr>
                        <w:rFonts w:hint="eastAsia"/>
                        <w:kern w:val="2"/>
                        <w:sz w:val="18"/>
                        <w:szCs w:val="18"/>
                      </w:rPr>
                    </w:pPr>
                    <w:r>
                      <w:rPr>
                        <w:rFonts w:hint="eastAsia"/>
                        <w:kern w:val="2"/>
                        <w:sz w:val="18"/>
                        <w:szCs w:val="18"/>
                      </w:rPr>
                      <w:t>&lt;0.2mg/L</w:t>
                    </w:r>
                  </w:p>
                </w:tc>
                <w:tc>
                  <w:tcPr>
                    <w:tcW w:w="1110" w:type="dxa"/>
                    <w:vAlign w:val="center"/>
                  </w:tcPr>
                  <w:p w14:paraId="4B161EF1">
                    <w:pPr>
                      <w:widowControl w:val="0"/>
                      <w:jc w:val="center"/>
                      <w:rPr>
                        <w:rFonts w:hint="eastAsia"/>
                        <w:kern w:val="2"/>
                        <w:sz w:val="18"/>
                        <w:szCs w:val="18"/>
                      </w:rPr>
                    </w:pPr>
                    <w:r>
                      <w:rPr>
                        <w:rFonts w:hint="eastAsia"/>
                        <w:kern w:val="2"/>
                        <w:sz w:val="18"/>
                        <w:szCs w:val="18"/>
                      </w:rPr>
                      <w:t>0.04吨</w:t>
                    </w:r>
                  </w:p>
                </w:tc>
                <w:tc>
                  <w:tcPr>
                    <w:tcW w:w="1020" w:type="dxa"/>
                    <w:vAlign w:val="center"/>
                  </w:tcPr>
                  <w:p w14:paraId="2AADD17A">
                    <w:pPr>
                      <w:widowControl w:val="0"/>
                      <w:jc w:val="center"/>
                      <w:rPr>
                        <w:rFonts w:hint="eastAsia"/>
                        <w:kern w:val="2"/>
                        <w:sz w:val="18"/>
                        <w:szCs w:val="18"/>
                      </w:rPr>
                    </w:pPr>
                    <w:r>
                      <w:rPr>
                        <w:rFonts w:hint="eastAsia"/>
                        <w:kern w:val="2"/>
                        <w:sz w:val="18"/>
                        <w:szCs w:val="18"/>
                      </w:rPr>
                      <w:t>无</w:t>
                    </w:r>
                  </w:p>
                </w:tc>
                <w:tc>
                  <w:tcPr>
                    <w:tcW w:w="945" w:type="dxa"/>
                    <w:vAlign w:val="center"/>
                  </w:tcPr>
                  <w:p w14:paraId="694A0B90">
                    <w:pPr>
                      <w:widowControl w:val="0"/>
                      <w:jc w:val="center"/>
                      <w:rPr>
                        <w:rFonts w:hint="eastAsia"/>
                        <w:kern w:val="2"/>
                        <w:sz w:val="18"/>
                        <w:szCs w:val="18"/>
                      </w:rPr>
                    </w:pPr>
                    <w:r>
                      <w:rPr>
                        <w:rFonts w:hint="eastAsia"/>
                        <w:kern w:val="2"/>
                        <w:sz w:val="18"/>
                        <w:szCs w:val="18"/>
                      </w:rPr>
                      <w:t>9.414吨</w:t>
                    </w:r>
                  </w:p>
                </w:tc>
                <w:tc>
                  <w:tcPr>
                    <w:tcW w:w="1920" w:type="dxa"/>
                    <w:vMerge w:val="continue"/>
                    <w:vAlign w:val="center"/>
                  </w:tcPr>
                  <w:p w14:paraId="58AA6FC6">
                    <w:pPr>
                      <w:widowControl w:val="0"/>
                      <w:jc w:val="center"/>
                      <w:rPr>
                        <w:rFonts w:hint="eastAsia"/>
                        <w:kern w:val="2"/>
                        <w:sz w:val="18"/>
                        <w:szCs w:val="18"/>
                      </w:rPr>
                    </w:pPr>
                  </w:p>
                </w:tc>
              </w:tr>
              <w:tr w14:paraId="16CF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0CF385AC">
                    <w:pPr>
                      <w:widowControl w:val="0"/>
                      <w:jc w:val="center"/>
                      <w:rPr>
                        <w:rFonts w:hint="eastAsia"/>
                        <w:kern w:val="2"/>
                        <w:sz w:val="18"/>
                        <w:szCs w:val="18"/>
                      </w:rPr>
                    </w:pPr>
                    <w:r>
                      <w:rPr>
                        <w:rFonts w:hint="eastAsia"/>
                        <w:kern w:val="2"/>
                        <w:sz w:val="18"/>
                        <w:szCs w:val="18"/>
                      </w:rPr>
                      <w:t>二氧</w:t>
                    </w:r>
                  </w:p>
                  <w:p w14:paraId="755BCC75">
                    <w:pPr>
                      <w:widowControl w:val="0"/>
                      <w:jc w:val="center"/>
                      <w:rPr>
                        <w:rFonts w:hint="eastAsia"/>
                        <w:kern w:val="2"/>
                        <w:sz w:val="18"/>
                        <w:szCs w:val="18"/>
                      </w:rPr>
                    </w:pPr>
                    <w:r>
                      <w:rPr>
                        <w:rFonts w:hint="eastAsia"/>
                        <w:kern w:val="2"/>
                        <w:sz w:val="18"/>
                        <w:szCs w:val="18"/>
                      </w:rPr>
                      <w:t>化硫</w:t>
                    </w:r>
                  </w:p>
                </w:tc>
                <w:tc>
                  <w:tcPr>
                    <w:tcW w:w="1035" w:type="dxa"/>
                    <w:vAlign w:val="center"/>
                  </w:tcPr>
                  <w:p w14:paraId="5DBF8E73">
                    <w:pPr>
                      <w:widowControl w:val="0"/>
                      <w:jc w:val="center"/>
                      <w:rPr>
                        <w:rFonts w:hint="eastAsia"/>
                        <w:kern w:val="2"/>
                        <w:sz w:val="18"/>
                        <w:szCs w:val="18"/>
                      </w:rPr>
                    </w:pPr>
                    <w:r>
                      <w:rPr>
                        <w:rFonts w:hint="eastAsia"/>
                        <w:kern w:val="2"/>
                        <w:sz w:val="18"/>
                        <w:szCs w:val="18"/>
                      </w:rPr>
                      <w:t>有组织</w:t>
                    </w:r>
                  </w:p>
                </w:tc>
                <w:tc>
                  <w:tcPr>
                    <w:tcW w:w="780" w:type="dxa"/>
                    <w:vAlign w:val="center"/>
                  </w:tcPr>
                  <w:p w14:paraId="18C8CBFD">
                    <w:pPr>
                      <w:widowControl w:val="0"/>
                      <w:jc w:val="center"/>
                      <w:rPr>
                        <w:rFonts w:hint="eastAsia"/>
                        <w:kern w:val="2"/>
                        <w:sz w:val="18"/>
                        <w:szCs w:val="18"/>
                      </w:rPr>
                    </w:pPr>
                    <w:r>
                      <w:rPr>
                        <w:rFonts w:hint="eastAsia"/>
                        <w:kern w:val="2"/>
                        <w:sz w:val="18"/>
                        <w:szCs w:val="18"/>
                      </w:rPr>
                      <w:t>2</w:t>
                    </w:r>
                  </w:p>
                </w:tc>
                <w:tc>
                  <w:tcPr>
                    <w:tcW w:w="1095" w:type="dxa"/>
                    <w:vAlign w:val="center"/>
                  </w:tcPr>
                  <w:p w14:paraId="6A466633">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29CBA2B2">
                    <w:pPr>
                      <w:widowControl w:val="0"/>
                      <w:jc w:val="center"/>
                      <w:rPr>
                        <w:rFonts w:hint="eastAsia"/>
                        <w:kern w:val="2"/>
                        <w:sz w:val="18"/>
                        <w:szCs w:val="18"/>
                      </w:rPr>
                    </w:pPr>
                    <w:r>
                      <w:rPr>
                        <w:rFonts w:hint="eastAsia"/>
                        <w:kern w:val="2"/>
                        <w:sz w:val="18"/>
                        <w:szCs w:val="18"/>
                      </w:rPr>
                      <w:t>&lt;0.8mg/Nm</w:t>
                    </w:r>
                    <w:r>
                      <w:rPr>
                        <w:rFonts w:hint="eastAsia"/>
                        <w:kern w:val="2"/>
                        <w:sz w:val="18"/>
                        <w:szCs w:val="18"/>
                        <w:vertAlign w:val="superscript"/>
                      </w:rPr>
                      <w:t>3</w:t>
                    </w:r>
                  </w:p>
                </w:tc>
                <w:tc>
                  <w:tcPr>
                    <w:tcW w:w="1110" w:type="dxa"/>
                    <w:vAlign w:val="center"/>
                  </w:tcPr>
                  <w:p w14:paraId="042D5D49">
                    <w:pPr>
                      <w:widowControl w:val="0"/>
                      <w:jc w:val="center"/>
                      <w:rPr>
                        <w:rFonts w:hint="eastAsia"/>
                        <w:kern w:val="2"/>
                        <w:sz w:val="18"/>
                        <w:szCs w:val="18"/>
                      </w:rPr>
                    </w:pPr>
                    <w:r>
                      <w:rPr>
                        <w:rFonts w:hint="eastAsia"/>
                        <w:kern w:val="2"/>
                        <w:sz w:val="18"/>
                        <w:szCs w:val="18"/>
                      </w:rPr>
                      <w:t>0.017吨</w:t>
                    </w:r>
                  </w:p>
                </w:tc>
                <w:tc>
                  <w:tcPr>
                    <w:tcW w:w="1020" w:type="dxa"/>
                    <w:vAlign w:val="center"/>
                  </w:tcPr>
                  <w:p w14:paraId="5B606C18">
                    <w:pPr>
                      <w:widowControl w:val="0"/>
                      <w:jc w:val="center"/>
                      <w:rPr>
                        <w:rFonts w:hint="eastAsia"/>
                        <w:kern w:val="2"/>
                        <w:sz w:val="18"/>
                        <w:szCs w:val="18"/>
                      </w:rPr>
                    </w:pPr>
                    <w:r>
                      <w:rPr>
                        <w:rFonts w:hint="eastAsia"/>
                        <w:kern w:val="2"/>
                        <w:sz w:val="18"/>
                        <w:szCs w:val="18"/>
                      </w:rPr>
                      <w:t>无</w:t>
                    </w:r>
                  </w:p>
                </w:tc>
                <w:tc>
                  <w:tcPr>
                    <w:tcW w:w="945" w:type="dxa"/>
                    <w:vAlign w:val="center"/>
                  </w:tcPr>
                  <w:p w14:paraId="1D1FC5DD">
                    <w:pPr>
                      <w:widowControl w:val="0"/>
                      <w:jc w:val="center"/>
                      <w:rPr>
                        <w:rFonts w:hint="eastAsia"/>
                        <w:kern w:val="2"/>
                        <w:sz w:val="18"/>
                        <w:szCs w:val="18"/>
                      </w:rPr>
                    </w:pPr>
                    <w:r>
                      <w:rPr>
                        <w:rFonts w:hint="eastAsia"/>
                        <w:kern w:val="2"/>
                        <w:sz w:val="18"/>
                        <w:szCs w:val="18"/>
                      </w:rPr>
                      <w:t>--</w:t>
                    </w:r>
                  </w:p>
                </w:tc>
                <w:tc>
                  <w:tcPr>
                    <w:tcW w:w="1920" w:type="dxa"/>
                    <w:vMerge w:val="restart"/>
                    <w:vAlign w:val="center"/>
                  </w:tcPr>
                  <w:p w14:paraId="66F66D66">
                    <w:pPr>
                      <w:widowControl w:val="0"/>
                      <w:jc w:val="center"/>
                      <w:rPr>
                        <w:rFonts w:hint="eastAsia"/>
                        <w:kern w:val="2"/>
                        <w:sz w:val="18"/>
                        <w:szCs w:val="18"/>
                      </w:rPr>
                    </w:pPr>
                    <w:r>
                      <w:rPr>
                        <w:rFonts w:hint="eastAsia"/>
                        <w:sz w:val="18"/>
                        <w:szCs w:val="18"/>
                      </w:rPr>
                      <w:t>《锅炉大气污染物排放标准》（DB13/5161—2020）</w:t>
                    </w:r>
                  </w:p>
                </w:tc>
              </w:tr>
              <w:tr w14:paraId="7014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3DBDCB74">
                    <w:pPr>
                      <w:widowControl w:val="0"/>
                      <w:jc w:val="center"/>
                      <w:rPr>
                        <w:rFonts w:hint="eastAsia"/>
                        <w:kern w:val="2"/>
                        <w:sz w:val="18"/>
                        <w:szCs w:val="18"/>
                      </w:rPr>
                    </w:pPr>
                    <w:r>
                      <w:rPr>
                        <w:rFonts w:hint="eastAsia"/>
                        <w:kern w:val="2"/>
                        <w:sz w:val="18"/>
                        <w:szCs w:val="18"/>
                      </w:rPr>
                      <w:t>氮氧</w:t>
                    </w:r>
                  </w:p>
                  <w:p w14:paraId="3532FE34">
                    <w:pPr>
                      <w:widowControl w:val="0"/>
                      <w:jc w:val="center"/>
                      <w:rPr>
                        <w:rFonts w:hint="eastAsia"/>
                        <w:kern w:val="2"/>
                        <w:sz w:val="18"/>
                        <w:szCs w:val="18"/>
                      </w:rPr>
                    </w:pPr>
                    <w:r>
                      <w:rPr>
                        <w:rFonts w:hint="eastAsia"/>
                        <w:kern w:val="2"/>
                        <w:sz w:val="18"/>
                        <w:szCs w:val="18"/>
                      </w:rPr>
                      <w:t>化物</w:t>
                    </w:r>
                  </w:p>
                </w:tc>
                <w:tc>
                  <w:tcPr>
                    <w:tcW w:w="1035" w:type="dxa"/>
                    <w:vAlign w:val="center"/>
                  </w:tcPr>
                  <w:p w14:paraId="004EDB4C">
                    <w:pPr>
                      <w:widowControl w:val="0"/>
                      <w:jc w:val="center"/>
                      <w:rPr>
                        <w:rFonts w:hint="eastAsia"/>
                        <w:kern w:val="2"/>
                        <w:sz w:val="18"/>
                        <w:szCs w:val="18"/>
                      </w:rPr>
                    </w:pPr>
                    <w:r>
                      <w:rPr>
                        <w:rFonts w:hint="eastAsia"/>
                        <w:kern w:val="2"/>
                        <w:sz w:val="18"/>
                        <w:szCs w:val="18"/>
                      </w:rPr>
                      <w:t>有组织</w:t>
                    </w:r>
                  </w:p>
                </w:tc>
                <w:tc>
                  <w:tcPr>
                    <w:tcW w:w="780" w:type="dxa"/>
                    <w:vAlign w:val="center"/>
                  </w:tcPr>
                  <w:p w14:paraId="6C3FB43F">
                    <w:pPr>
                      <w:widowControl w:val="0"/>
                      <w:jc w:val="center"/>
                      <w:rPr>
                        <w:rFonts w:hint="eastAsia"/>
                        <w:kern w:val="2"/>
                        <w:sz w:val="18"/>
                        <w:szCs w:val="18"/>
                      </w:rPr>
                    </w:pPr>
                    <w:r>
                      <w:rPr>
                        <w:rFonts w:hint="eastAsia"/>
                        <w:kern w:val="2"/>
                        <w:sz w:val="18"/>
                        <w:szCs w:val="18"/>
                      </w:rPr>
                      <w:t>2</w:t>
                    </w:r>
                  </w:p>
                </w:tc>
                <w:tc>
                  <w:tcPr>
                    <w:tcW w:w="1095" w:type="dxa"/>
                    <w:vAlign w:val="center"/>
                  </w:tcPr>
                  <w:p w14:paraId="62F2B339">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13D26DF2">
                    <w:pPr>
                      <w:widowControl w:val="0"/>
                      <w:jc w:val="center"/>
                      <w:rPr>
                        <w:rFonts w:hint="eastAsia"/>
                        <w:kern w:val="2"/>
                        <w:sz w:val="18"/>
                        <w:szCs w:val="18"/>
                      </w:rPr>
                    </w:pPr>
                    <w:r>
                      <w:rPr>
                        <w:rFonts w:hint="eastAsia"/>
                        <w:kern w:val="2"/>
                        <w:sz w:val="18"/>
                        <w:szCs w:val="18"/>
                      </w:rPr>
                      <w:t>&lt;45mg/Nm</w:t>
                    </w:r>
                    <w:r>
                      <w:rPr>
                        <w:rFonts w:hint="eastAsia"/>
                        <w:kern w:val="2"/>
                        <w:sz w:val="18"/>
                        <w:szCs w:val="18"/>
                        <w:vertAlign w:val="superscript"/>
                      </w:rPr>
                      <w:t>3</w:t>
                    </w:r>
                  </w:p>
                </w:tc>
                <w:tc>
                  <w:tcPr>
                    <w:tcW w:w="1110" w:type="dxa"/>
                    <w:vAlign w:val="center"/>
                  </w:tcPr>
                  <w:p w14:paraId="0AD0A765">
                    <w:pPr>
                      <w:widowControl w:val="0"/>
                      <w:jc w:val="center"/>
                      <w:rPr>
                        <w:rFonts w:hint="eastAsia"/>
                        <w:kern w:val="2"/>
                        <w:sz w:val="18"/>
                        <w:szCs w:val="18"/>
                      </w:rPr>
                    </w:pPr>
                    <w:r>
                      <w:rPr>
                        <w:rFonts w:hint="eastAsia"/>
                        <w:kern w:val="2"/>
                        <w:sz w:val="18"/>
                        <w:szCs w:val="18"/>
                      </w:rPr>
                      <w:t>1.025吨</w:t>
                    </w:r>
                  </w:p>
                </w:tc>
                <w:tc>
                  <w:tcPr>
                    <w:tcW w:w="1020" w:type="dxa"/>
                    <w:vAlign w:val="center"/>
                  </w:tcPr>
                  <w:p w14:paraId="01B2964D">
                    <w:pPr>
                      <w:widowControl w:val="0"/>
                      <w:jc w:val="center"/>
                      <w:rPr>
                        <w:rFonts w:hint="eastAsia"/>
                        <w:kern w:val="2"/>
                        <w:sz w:val="18"/>
                        <w:szCs w:val="18"/>
                      </w:rPr>
                    </w:pPr>
                    <w:r>
                      <w:rPr>
                        <w:rFonts w:hint="eastAsia"/>
                        <w:kern w:val="2"/>
                        <w:sz w:val="18"/>
                        <w:szCs w:val="18"/>
                      </w:rPr>
                      <w:t>无</w:t>
                    </w:r>
                  </w:p>
                </w:tc>
                <w:tc>
                  <w:tcPr>
                    <w:tcW w:w="945" w:type="dxa"/>
                    <w:vAlign w:val="center"/>
                  </w:tcPr>
                  <w:p w14:paraId="3B3CBBD3">
                    <w:pPr>
                      <w:widowControl w:val="0"/>
                      <w:jc w:val="center"/>
                      <w:rPr>
                        <w:rFonts w:hint="eastAsia"/>
                        <w:kern w:val="2"/>
                        <w:sz w:val="18"/>
                        <w:szCs w:val="18"/>
                      </w:rPr>
                    </w:pPr>
                    <w:r>
                      <w:rPr>
                        <w:rFonts w:hint="eastAsia"/>
                        <w:kern w:val="2"/>
                        <w:sz w:val="18"/>
                        <w:szCs w:val="18"/>
                      </w:rPr>
                      <w:t>3.4712吨</w:t>
                    </w:r>
                  </w:p>
                </w:tc>
                <w:tc>
                  <w:tcPr>
                    <w:tcW w:w="1920" w:type="dxa"/>
                    <w:vMerge w:val="continue"/>
                    <w:vAlign w:val="center"/>
                  </w:tcPr>
                  <w:p w14:paraId="23FE5BCF">
                    <w:pPr>
                      <w:widowControl w:val="0"/>
                      <w:jc w:val="center"/>
                      <w:rPr>
                        <w:rFonts w:hint="eastAsia"/>
                        <w:kern w:val="2"/>
                        <w:sz w:val="18"/>
                        <w:szCs w:val="18"/>
                      </w:rPr>
                    </w:pPr>
                  </w:p>
                </w:tc>
              </w:tr>
              <w:tr w14:paraId="43A1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6887C628">
                    <w:pPr>
                      <w:widowControl w:val="0"/>
                      <w:jc w:val="center"/>
                      <w:rPr>
                        <w:rFonts w:hint="eastAsia"/>
                        <w:kern w:val="2"/>
                        <w:sz w:val="18"/>
                        <w:szCs w:val="18"/>
                      </w:rPr>
                    </w:pPr>
                    <w:r>
                      <w:rPr>
                        <w:rFonts w:hint="eastAsia"/>
                        <w:kern w:val="2"/>
                        <w:sz w:val="18"/>
                        <w:szCs w:val="18"/>
                      </w:rPr>
                      <w:t>烟尘</w:t>
                    </w:r>
                  </w:p>
                </w:tc>
                <w:tc>
                  <w:tcPr>
                    <w:tcW w:w="1035" w:type="dxa"/>
                    <w:vAlign w:val="center"/>
                  </w:tcPr>
                  <w:p w14:paraId="3BC9CDDD">
                    <w:pPr>
                      <w:widowControl w:val="0"/>
                      <w:jc w:val="center"/>
                      <w:rPr>
                        <w:rFonts w:hint="eastAsia"/>
                        <w:kern w:val="2"/>
                        <w:sz w:val="18"/>
                        <w:szCs w:val="18"/>
                      </w:rPr>
                    </w:pPr>
                    <w:r>
                      <w:rPr>
                        <w:rFonts w:hint="eastAsia"/>
                        <w:kern w:val="2"/>
                        <w:sz w:val="18"/>
                        <w:szCs w:val="18"/>
                      </w:rPr>
                      <w:t>有组织</w:t>
                    </w:r>
                  </w:p>
                </w:tc>
                <w:tc>
                  <w:tcPr>
                    <w:tcW w:w="780" w:type="dxa"/>
                    <w:vAlign w:val="center"/>
                  </w:tcPr>
                  <w:p w14:paraId="47EB6F40">
                    <w:pPr>
                      <w:widowControl w:val="0"/>
                      <w:jc w:val="center"/>
                      <w:rPr>
                        <w:rFonts w:hint="eastAsia"/>
                        <w:kern w:val="2"/>
                        <w:sz w:val="18"/>
                        <w:szCs w:val="18"/>
                      </w:rPr>
                    </w:pPr>
                    <w:r>
                      <w:rPr>
                        <w:rFonts w:hint="eastAsia"/>
                        <w:kern w:val="2"/>
                        <w:sz w:val="18"/>
                        <w:szCs w:val="18"/>
                      </w:rPr>
                      <w:t>2</w:t>
                    </w:r>
                  </w:p>
                </w:tc>
                <w:tc>
                  <w:tcPr>
                    <w:tcW w:w="1095" w:type="dxa"/>
                    <w:vAlign w:val="center"/>
                  </w:tcPr>
                  <w:p w14:paraId="2E17CD88">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6234A7BB">
                    <w:pPr>
                      <w:widowControl w:val="0"/>
                      <w:jc w:val="center"/>
                      <w:rPr>
                        <w:rFonts w:hint="eastAsia"/>
                        <w:kern w:val="2"/>
                        <w:sz w:val="18"/>
                        <w:szCs w:val="18"/>
                      </w:rPr>
                    </w:pPr>
                    <w:r>
                      <w:rPr>
                        <w:rFonts w:hint="eastAsia"/>
                        <w:kern w:val="2"/>
                        <w:sz w:val="18"/>
                        <w:szCs w:val="18"/>
                      </w:rPr>
                      <w:t>&lt;2.5mg/Nm</w:t>
                    </w:r>
                    <w:r>
                      <w:rPr>
                        <w:rFonts w:hint="eastAsia"/>
                        <w:kern w:val="2"/>
                        <w:sz w:val="18"/>
                        <w:szCs w:val="18"/>
                        <w:vertAlign w:val="superscript"/>
                      </w:rPr>
                      <w:t>3</w:t>
                    </w:r>
                  </w:p>
                </w:tc>
                <w:tc>
                  <w:tcPr>
                    <w:tcW w:w="1110" w:type="dxa"/>
                    <w:vAlign w:val="center"/>
                  </w:tcPr>
                  <w:p w14:paraId="19139C29">
                    <w:pPr>
                      <w:widowControl w:val="0"/>
                      <w:jc w:val="center"/>
                      <w:rPr>
                        <w:rFonts w:hint="eastAsia"/>
                        <w:kern w:val="2"/>
                        <w:sz w:val="18"/>
                        <w:szCs w:val="18"/>
                      </w:rPr>
                    </w:pPr>
                    <w:r>
                      <w:rPr>
                        <w:rFonts w:hint="eastAsia"/>
                        <w:kern w:val="2"/>
                        <w:sz w:val="18"/>
                        <w:szCs w:val="18"/>
                      </w:rPr>
                      <w:t>0.056吨</w:t>
                    </w:r>
                  </w:p>
                </w:tc>
                <w:tc>
                  <w:tcPr>
                    <w:tcW w:w="1020" w:type="dxa"/>
                    <w:vAlign w:val="center"/>
                  </w:tcPr>
                  <w:p w14:paraId="205A819A">
                    <w:pPr>
                      <w:widowControl w:val="0"/>
                      <w:jc w:val="center"/>
                      <w:rPr>
                        <w:rFonts w:hint="eastAsia"/>
                        <w:kern w:val="2"/>
                        <w:sz w:val="18"/>
                        <w:szCs w:val="18"/>
                      </w:rPr>
                    </w:pPr>
                    <w:r>
                      <w:rPr>
                        <w:rFonts w:hint="eastAsia"/>
                        <w:kern w:val="2"/>
                        <w:sz w:val="18"/>
                        <w:szCs w:val="18"/>
                      </w:rPr>
                      <w:t>无</w:t>
                    </w:r>
                  </w:p>
                </w:tc>
                <w:tc>
                  <w:tcPr>
                    <w:tcW w:w="945" w:type="dxa"/>
                    <w:vAlign w:val="center"/>
                  </w:tcPr>
                  <w:p w14:paraId="4B2AA6F8">
                    <w:pPr>
                      <w:widowControl w:val="0"/>
                      <w:jc w:val="center"/>
                      <w:rPr>
                        <w:rFonts w:hint="eastAsia"/>
                        <w:kern w:val="2"/>
                        <w:sz w:val="18"/>
                        <w:szCs w:val="18"/>
                      </w:rPr>
                    </w:pPr>
                    <w:r>
                      <w:rPr>
                        <w:rFonts w:hint="eastAsia"/>
                        <w:kern w:val="2"/>
                        <w:sz w:val="18"/>
                        <w:szCs w:val="18"/>
                      </w:rPr>
                      <w:t>--</w:t>
                    </w:r>
                  </w:p>
                </w:tc>
                <w:tc>
                  <w:tcPr>
                    <w:tcW w:w="1920" w:type="dxa"/>
                    <w:vMerge w:val="continue"/>
                    <w:vAlign w:val="center"/>
                  </w:tcPr>
                  <w:p w14:paraId="3E545082">
                    <w:pPr>
                      <w:widowControl w:val="0"/>
                      <w:jc w:val="center"/>
                      <w:rPr>
                        <w:rFonts w:hint="eastAsia"/>
                        <w:kern w:val="2"/>
                        <w:sz w:val="18"/>
                        <w:szCs w:val="18"/>
                      </w:rPr>
                    </w:pPr>
                  </w:p>
                </w:tc>
              </w:tr>
              <w:tr w14:paraId="2B79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239D789B">
                    <w:pPr>
                      <w:widowControl w:val="0"/>
                      <w:jc w:val="center"/>
                      <w:rPr>
                        <w:rFonts w:hint="eastAsia"/>
                        <w:kern w:val="2"/>
                        <w:sz w:val="18"/>
                        <w:szCs w:val="18"/>
                      </w:rPr>
                    </w:pPr>
                    <w:r>
                      <w:rPr>
                        <w:rFonts w:hint="eastAsia"/>
                        <w:kern w:val="2"/>
                        <w:sz w:val="18"/>
                        <w:szCs w:val="18"/>
                      </w:rPr>
                      <w:t>非甲烷总烃</w:t>
                    </w:r>
                  </w:p>
                </w:tc>
                <w:tc>
                  <w:tcPr>
                    <w:tcW w:w="1035" w:type="dxa"/>
                    <w:vAlign w:val="center"/>
                  </w:tcPr>
                  <w:p w14:paraId="6B28996A">
                    <w:pPr>
                      <w:widowControl w:val="0"/>
                      <w:jc w:val="center"/>
                      <w:rPr>
                        <w:rFonts w:hint="eastAsia"/>
                        <w:kern w:val="2"/>
                        <w:sz w:val="18"/>
                        <w:szCs w:val="18"/>
                      </w:rPr>
                    </w:pPr>
                    <w:r>
                      <w:rPr>
                        <w:rFonts w:hint="eastAsia"/>
                        <w:kern w:val="2"/>
                        <w:sz w:val="18"/>
                        <w:szCs w:val="18"/>
                      </w:rPr>
                      <w:t>有组织</w:t>
                    </w:r>
                  </w:p>
                </w:tc>
                <w:tc>
                  <w:tcPr>
                    <w:tcW w:w="780" w:type="dxa"/>
                    <w:vAlign w:val="center"/>
                  </w:tcPr>
                  <w:p w14:paraId="0F925FD0">
                    <w:pPr>
                      <w:widowControl w:val="0"/>
                      <w:jc w:val="center"/>
                      <w:rPr>
                        <w:rFonts w:hint="eastAsia"/>
                        <w:kern w:val="2"/>
                        <w:sz w:val="18"/>
                        <w:szCs w:val="18"/>
                      </w:rPr>
                    </w:pPr>
                    <w:r>
                      <w:rPr>
                        <w:rFonts w:hint="eastAsia"/>
                        <w:kern w:val="2"/>
                        <w:sz w:val="18"/>
                        <w:szCs w:val="18"/>
                      </w:rPr>
                      <w:t>2</w:t>
                    </w:r>
                  </w:p>
                </w:tc>
                <w:tc>
                  <w:tcPr>
                    <w:tcW w:w="1095" w:type="dxa"/>
                    <w:vAlign w:val="center"/>
                  </w:tcPr>
                  <w:p w14:paraId="7D725C0A">
                    <w:pPr>
                      <w:widowControl w:val="0"/>
                      <w:jc w:val="center"/>
                      <w:rPr>
                        <w:rFonts w:hint="eastAsia"/>
                        <w:kern w:val="2"/>
                        <w:sz w:val="18"/>
                        <w:szCs w:val="18"/>
                      </w:rPr>
                    </w:pPr>
                    <w:r>
                      <w:rPr>
                        <w:rFonts w:hint="eastAsia"/>
                        <w:kern w:val="2"/>
                        <w:sz w:val="18"/>
                        <w:szCs w:val="18"/>
                      </w:rPr>
                      <w:t>厂区</w:t>
                    </w:r>
                  </w:p>
                  <w:p w14:paraId="2741F5A7">
                    <w:pPr>
                      <w:widowControl w:val="0"/>
                      <w:jc w:val="center"/>
                      <w:rPr>
                        <w:rFonts w:hint="eastAsia"/>
                        <w:kern w:val="2"/>
                        <w:sz w:val="18"/>
                        <w:szCs w:val="18"/>
                      </w:rPr>
                    </w:pPr>
                    <w:r>
                      <w:rPr>
                        <w:rFonts w:hint="eastAsia"/>
                        <w:kern w:val="2"/>
                        <w:sz w:val="18"/>
                        <w:szCs w:val="18"/>
                      </w:rPr>
                      <w:t>东边</w:t>
                    </w:r>
                  </w:p>
                </w:tc>
                <w:tc>
                  <w:tcPr>
                    <w:tcW w:w="1075" w:type="dxa"/>
                    <w:vAlign w:val="center"/>
                  </w:tcPr>
                  <w:p w14:paraId="2879D1A0">
                    <w:pPr>
                      <w:widowControl w:val="0"/>
                      <w:jc w:val="center"/>
                      <w:rPr>
                        <w:rFonts w:hint="eastAsia"/>
                        <w:kern w:val="2"/>
                        <w:sz w:val="18"/>
                        <w:szCs w:val="18"/>
                      </w:rPr>
                    </w:pPr>
                    <w:r>
                      <w:rPr>
                        <w:rFonts w:hint="eastAsia"/>
                        <w:kern w:val="2"/>
                        <w:sz w:val="18"/>
                        <w:szCs w:val="18"/>
                      </w:rPr>
                      <w:t>&lt;2.0mg/m</w:t>
                    </w:r>
                    <w:r>
                      <w:rPr>
                        <w:rFonts w:hint="eastAsia"/>
                        <w:kern w:val="2"/>
                        <w:sz w:val="18"/>
                        <w:szCs w:val="18"/>
                        <w:vertAlign w:val="superscript"/>
                      </w:rPr>
                      <w:t>3</w:t>
                    </w:r>
                  </w:p>
                </w:tc>
                <w:tc>
                  <w:tcPr>
                    <w:tcW w:w="1110" w:type="dxa"/>
                    <w:vAlign w:val="center"/>
                  </w:tcPr>
                  <w:p w14:paraId="646BA550">
                    <w:pPr>
                      <w:widowControl w:val="0"/>
                      <w:jc w:val="center"/>
                      <w:rPr>
                        <w:rFonts w:hint="eastAsia"/>
                        <w:kern w:val="2"/>
                        <w:sz w:val="18"/>
                        <w:szCs w:val="18"/>
                      </w:rPr>
                    </w:pPr>
                    <w:r>
                      <w:rPr>
                        <w:rFonts w:hint="eastAsia"/>
                        <w:kern w:val="2"/>
                        <w:sz w:val="18"/>
                        <w:szCs w:val="18"/>
                      </w:rPr>
                      <w:t>--</w:t>
                    </w:r>
                  </w:p>
                </w:tc>
                <w:tc>
                  <w:tcPr>
                    <w:tcW w:w="1020" w:type="dxa"/>
                    <w:vAlign w:val="center"/>
                  </w:tcPr>
                  <w:p w14:paraId="10B1E520">
                    <w:pPr>
                      <w:widowControl w:val="0"/>
                      <w:jc w:val="center"/>
                      <w:rPr>
                        <w:rFonts w:hint="eastAsia"/>
                        <w:kern w:val="2"/>
                        <w:sz w:val="18"/>
                        <w:szCs w:val="18"/>
                      </w:rPr>
                    </w:pPr>
                    <w:r>
                      <w:rPr>
                        <w:rFonts w:hint="eastAsia"/>
                        <w:kern w:val="2"/>
                        <w:sz w:val="18"/>
                        <w:szCs w:val="18"/>
                      </w:rPr>
                      <w:t>无</w:t>
                    </w:r>
                  </w:p>
                </w:tc>
                <w:tc>
                  <w:tcPr>
                    <w:tcW w:w="945" w:type="dxa"/>
                    <w:vAlign w:val="center"/>
                  </w:tcPr>
                  <w:p w14:paraId="13AFC828">
                    <w:pPr>
                      <w:widowControl w:val="0"/>
                      <w:jc w:val="center"/>
                      <w:rPr>
                        <w:rFonts w:hint="eastAsia"/>
                        <w:kern w:val="2"/>
                        <w:sz w:val="18"/>
                        <w:szCs w:val="18"/>
                      </w:rPr>
                    </w:pPr>
                    <w:r>
                      <w:rPr>
                        <w:rFonts w:hint="eastAsia"/>
                        <w:kern w:val="2"/>
                        <w:sz w:val="18"/>
                        <w:szCs w:val="18"/>
                      </w:rPr>
                      <w:t>--</w:t>
                    </w:r>
                  </w:p>
                </w:tc>
                <w:tc>
                  <w:tcPr>
                    <w:tcW w:w="1920" w:type="dxa"/>
                    <w:vAlign w:val="center"/>
                  </w:tcPr>
                  <w:p w14:paraId="599E5D9A">
                    <w:pPr>
                      <w:widowControl w:val="0"/>
                      <w:jc w:val="center"/>
                      <w:rPr>
                        <w:rFonts w:hint="eastAsia"/>
                        <w:kern w:val="2"/>
                        <w:sz w:val="18"/>
                        <w:szCs w:val="18"/>
                      </w:rPr>
                    </w:pPr>
                    <w:r>
                      <w:rPr>
                        <w:rFonts w:hint="eastAsia"/>
                        <w:kern w:val="2"/>
                        <w:sz w:val="18"/>
                        <w:szCs w:val="18"/>
                      </w:rPr>
                      <w:t>《工业企业挥发性有机物排放控制标准》（DB13/2322-2016）表1其他行业限值</w:t>
                    </w:r>
                  </w:p>
                </w:tc>
              </w:tr>
              <w:tr w14:paraId="5C28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 w:type="dxa"/>
                    <w:vAlign w:val="center"/>
                  </w:tcPr>
                  <w:p w14:paraId="7A4E8D31">
                    <w:pPr>
                      <w:widowControl w:val="0"/>
                      <w:jc w:val="center"/>
                      <w:rPr>
                        <w:rFonts w:hint="eastAsia"/>
                        <w:kern w:val="2"/>
                        <w:sz w:val="18"/>
                        <w:szCs w:val="18"/>
                      </w:rPr>
                    </w:pPr>
                    <w:r>
                      <w:rPr>
                        <w:rFonts w:hint="eastAsia"/>
                        <w:kern w:val="2"/>
                        <w:sz w:val="18"/>
                        <w:szCs w:val="18"/>
                      </w:rPr>
                      <w:t>恶臭</w:t>
                    </w:r>
                  </w:p>
                </w:tc>
                <w:tc>
                  <w:tcPr>
                    <w:tcW w:w="1035" w:type="dxa"/>
                    <w:vAlign w:val="center"/>
                  </w:tcPr>
                  <w:p w14:paraId="328B9760">
                    <w:pPr>
                      <w:widowControl w:val="0"/>
                      <w:jc w:val="center"/>
                      <w:rPr>
                        <w:rFonts w:hint="eastAsia"/>
                        <w:kern w:val="2"/>
                        <w:sz w:val="18"/>
                        <w:szCs w:val="18"/>
                      </w:rPr>
                    </w:pPr>
                    <w:r>
                      <w:rPr>
                        <w:rFonts w:hint="eastAsia"/>
                        <w:kern w:val="2"/>
                        <w:sz w:val="18"/>
                        <w:szCs w:val="18"/>
                      </w:rPr>
                      <w:t>有组织</w:t>
                    </w:r>
                  </w:p>
                </w:tc>
                <w:tc>
                  <w:tcPr>
                    <w:tcW w:w="780" w:type="dxa"/>
                    <w:vAlign w:val="center"/>
                  </w:tcPr>
                  <w:p w14:paraId="303AFA0B">
                    <w:pPr>
                      <w:widowControl w:val="0"/>
                      <w:jc w:val="center"/>
                      <w:rPr>
                        <w:rFonts w:hint="eastAsia"/>
                        <w:kern w:val="2"/>
                        <w:sz w:val="18"/>
                        <w:szCs w:val="18"/>
                      </w:rPr>
                    </w:pPr>
                    <w:r>
                      <w:rPr>
                        <w:rFonts w:hint="eastAsia"/>
                        <w:kern w:val="2"/>
                        <w:sz w:val="18"/>
                        <w:szCs w:val="18"/>
                      </w:rPr>
                      <w:t>1</w:t>
                    </w:r>
                  </w:p>
                </w:tc>
                <w:tc>
                  <w:tcPr>
                    <w:tcW w:w="1095" w:type="dxa"/>
                    <w:vAlign w:val="center"/>
                  </w:tcPr>
                  <w:p w14:paraId="61974C5D">
                    <w:pPr>
                      <w:widowControl w:val="0"/>
                      <w:jc w:val="center"/>
                      <w:rPr>
                        <w:rFonts w:hint="eastAsia"/>
                        <w:kern w:val="2"/>
                        <w:sz w:val="18"/>
                        <w:szCs w:val="18"/>
                      </w:rPr>
                    </w:pPr>
                    <w:r>
                      <w:rPr>
                        <w:rFonts w:hint="eastAsia"/>
                        <w:kern w:val="2"/>
                        <w:sz w:val="18"/>
                        <w:szCs w:val="18"/>
                      </w:rPr>
                      <w:t>厂区西北角</w:t>
                    </w:r>
                  </w:p>
                </w:tc>
                <w:tc>
                  <w:tcPr>
                    <w:tcW w:w="1075" w:type="dxa"/>
                    <w:vAlign w:val="center"/>
                  </w:tcPr>
                  <w:p w14:paraId="045979DC">
                    <w:pPr>
                      <w:widowControl w:val="0"/>
                      <w:jc w:val="center"/>
                      <w:rPr>
                        <w:rFonts w:hint="eastAsia"/>
                        <w:kern w:val="2"/>
                        <w:sz w:val="18"/>
                        <w:szCs w:val="18"/>
                      </w:rPr>
                    </w:pPr>
                    <w:r>
                      <w:rPr>
                        <w:rFonts w:hint="eastAsia"/>
                        <w:kern w:val="2"/>
                        <w:sz w:val="18"/>
                        <w:szCs w:val="18"/>
                      </w:rPr>
                      <w:t>&lt;2000</w:t>
                    </w:r>
                  </w:p>
                  <w:p w14:paraId="77A499E0">
                    <w:pPr>
                      <w:widowControl w:val="0"/>
                      <w:jc w:val="center"/>
                      <w:rPr>
                        <w:rFonts w:hint="eastAsia"/>
                        <w:kern w:val="2"/>
                        <w:sz w:val="18"/>
                        <w:szCs w:val="18"/>
                      </w:rPr>
                    </w:pPr>
                    <w:r>
                      <w:rPr>
                        <w:rFonts w:hint="eastAsia"/>
                        <w:kern w:val="2"/>
                        <w:sz w:val="18"/>
                        <w:szCs w:val="18"/>
                      </w:rPr>
                      <w:t>（无量纲）</w:t>
                    </w:r>
                  </w:p>
                </w:tc>
                <w:tc>
                  <w:tcPr>
                    <w:tcW w:w="1110" w:type="dxa"/>
                    <w:vAlign w:val="center"/>
                  </w:tcPr>
                  <w:p w14:paraId="00B025FB">
                    <w:pPr>
                      <w:widowControl w:val="0"/>
                      <w:jc w:val="center"/>
                      <w:rPr>
                        <w:rFonts w:hint="eastAsia"/>
                        <w:kern w:val="2"/>
                        <w:sz w:val="18"/>
                        <w:szCs w:val="18"/>
                      </w:rPr>
                    </w:pPr>
                    <w:r>
                      <w:rPr>
                        <w:rFonts w:hint="eastAsia"/>
                        <w:kern w:val="2"/>
                        <w:sz w:val="18"/>
                        <w:szCs w:val="18"/>
                      </w:rPr>
                      <w:t>--</w:t>
                    </w:r>
                  </w:p>
                </w:tc>
                <w:tc>
                  <w:tcPr>
                    <w:tcW w:w="1020" w:type="dxa"/>
                    <w:vAlign w:val="center"/>
                  </w:tcPr>
                  <w:p w14:paraId="00ADCE8D">
                    <w:pPr>
                      <w:widowControl w:val="0"/>
                      <w:jc w:val="center"/>
                      <w:rPr>
                        <w:rFonts w:hint="eastAsia"/>
                        <w:kern w:val="2"/>
                        <w:sz w:val="18"/>
                        <w:szCs w:val="18"/>
                      </w:rPr>
                    </w:pPr>
                    <w:r>
                      <w:rPr>
                        <w:rFonts w:hint="eastAsia"/>
                        <w:kern w:val="2"/>
                        <w:sz w:val="18"/>
                        <w:szCs w:val="18"/>
                      </w:rPr>
                      <w:t>无</w:t>
                    </w:r>
                  </w:p>
                </w:tc>
                <w:tc>
                  <w:tcPr>
                    <w:tcW w:w="945" w:type="dxa"/>
                    <w:vAlign w:val="center"/>
                  </w:tcPr>
                  <w:p w14:paraId="26D9ABD3">
                    <w:pPr>
                      <w:widowControl w:val="0"/>
                      <w:jc w:val="center"/>
                      <w:rPr>
                        <w:rFonts w:hint="eastAsia"/>
                        <w:kern w:val="2"/>
                        <w:sz w:val="18"/>
                        <w:szCs w:val="18"/>
                      </w:rPr>
                    </w:pPr>
                    <w:r>
                      <w:rPr>
                        <w:rFonts w:hint="eastAsia"/>
                        <w:kern w:val="2"/>
                        <w:sz w:val="18"/>
                        <w:szCs w:val="18"/>
                      </w:rPr>
                      <w:t>--</w:t>
                    </w:r>
                  </w:p>
                </w:tc>
                <w:tc>
                  <w:tcPr>
                    <w:tcW w:w="1920" w:type="dxa"/>
                    <w:vAlign w:val="center"/>
                  </w:tcPr>
                  <w:p w14:paraId="07A19043">
                    <w:pPr>
                      <w:widowControl w:val="0"/>
                      <w:jc w:val="center"/>
                      <w:rPr>
                        <w:rFonts w:hint="eastAsia"/>
                        <w:kern w:val="2"/>
                        <w:sz w:val="18"/>
                        <w:szCs w:val="18"/>
                      </w:rPr>
                    </w:pPr>
                    <w:r>
                      <w:rPr>
                        <w:rFonts w:hint="eastAsia"/>
                        <w:kern w:val="2"/>
                        <w:sz w:val="18"/>
                        <w:szCs w:val="18"/>
                      </w:rPr>
                      <w:t>《恶臭污染物排放标准》（GB14554-1993）表2中排气筒高度为35米时标准值</w:t>
                    </w:r>
                  </w:p>
                </w:tc>
              </w:tr>
            </w:tbl>
            <w:p w14:paraId="08912210">
              <w:pPr>
                <w:widowControl w:val="0"/>
                <w:jc w:val="both"/>
                <w:rPr>
                  <w:rStyle w:val="65"/>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szCs w:val="21"/>
                </w:rPr>
                <w:t>四、</w:t>
              </w:r>
              <w:r>
                <w:rPr>
                  <w:rStyle w:val="65"/>
                  <w:rFonts w:hint="eastAsia" w:asciiTheme="minorEastAsia" w:hAnsiTheme="minorEastAsia" w:eastAsiaTheme="minorEastAsia" w:cstheme="minorEastAsia"/>
                  <w:color w:val="000000"/>
                  <w:szCs w:val="21"/>
                </w:rPr>
                <w:t>湖北际华针织有限公司</w:t>
              </w:r>
            </w:p>
            <w:p w14:paraId="42D46906">
              <w:pPr>
                <w:spacing w:before="156" w:line="360" w:lineRule="auto"/>
                <w:ind w:firstLine="420" w:firstLineChars="200"/>
                <w:rPr>
                  <w:rStyle w:val="65"/>
                  <w:color w:val="000000"/>
                  <w:szCs w:val="21"/>
                </w:rPr>
              </w:pPr>
              <w:r>
                <w:rPr>
                  <w:rStyle w:val="65"/>
                  <w:rFonts w:hint="eastAsia"/>
                  <w:color w:val="000000"/>
                  <w:szCs w:val="21"/>
                </w:rPr>
                <w:t>公司2024年各项污染物治理设施均正常运转，各污染物排放浓度均满足排放标准要求，共排放废水59.5万吨，其中COD排放48.2吨，氨氮排放1.17吨。污染物排放情况详见下表：</w:t>
              </w:r>
            </w:p>
            <w:tbl>
              <w:tblPr>
                <w:tblStyle w:val="66"/>
                <w:tblW w:w="92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1200"/>
                <w:gridCol w:w="720"/>
                <w:gridCol w:w="831"/>
                <w:gridCol w:w="894"/>
                <w:gridCol w:w="891"/>
                <w:gridCol w:w="900"/>
                <w:gridCol w:w="909"/>
                <w:gridCol w:w="1839"/>
              </w:tblGrid>
              <w:tr w14:paraId="4EAB3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080" w:type="dxa"/>
                    <w:tcBorders>
                      <w:top w:val="single" w:color="000000" w:sz="4" w:space="0"/>
                      <w:left w:val="single" w:color="000000" w:sz="4" w:space="0"/>
                      <w:bottom w:val="single" w:color="000000" w:sz="4" w:space="0"/>
                      <w:right w:val="single" w:color="000000" w:sz="4" w:space="0"/>
                    </w:tcBorders>
                    <w:vAlign w:val="center"/>
                  </w:tcPr>
                  <w:p w14:paraId="69CDE145">
                    <w:pPr>
                      <w:spacing w:line="360" w:lineRule="auto"/>
                      <w:jc w:val="center"/>
                      <w:textAlignment w:val="baseline"/>
                      <w:rPr>
                        <w:rStyle w:val="65"/>
                        <w:color w:val="000000"/>
                        <w:sz w:val="18"/>
                        <w:szCs w:val="18"/>
                      </w:rPr>
                    </w:pPr>
                    <w:r>
                      <w:rPr>
                        <w:rStyle w:val="65"/>
                        <w:rFonts w:hint="eastAsia"/>
                        <w:color w:val="000000"/>
                        <w:sz w:val="18"/>
                        <w:szCs w:val="18"/>
                      </w:rPr>
                      <w:t>污染物名称</w:t>
                    </w:r>
                  </w:p>
                </w:tc>
                <w:tc>
                  <w:tcPr>
                    <w:tcW w:w="1200" w:type="dxa"/>
                    <w:tcBorders>
                      <w:top w:val="single" w:color="000000" w:sz="4" w:space="0"/>
                      <w:left w:val="single" w:color="000000" w:sz="4" w:space="0"/>
                      <w:bottom w:val="single" w:color="000000" w:sz="4" w:space="0"/>
                      <w:right w:val="single" w:color="000000" w:sz="4" w:space="0"/>
                    </w:tcBorders>
                    <w:vAlign w:val="center"/>
                  </w:tcPr>
                  <w:p w14:paraId="1A4808F5">
                    <w:pPr>
                      <w:spacing w:line="360" w:lineRule="auto"/>
                      <w:jc w:val="center"/>
                      <w:textAlignment w:val="baseline"/>
                      <w:rPr>
                        <w:rStyle w:val="65"/>
                        <w:color w:val="000000"/>
                        <w:sz w:val="18"/>
                        <w:szCs w:val="18"/>
                      </w:rPr>
                    </w:pPr>
                    <w:r>
                      <w:rPr>
                        <w:rStyle w:val="65"/>
                        <w:rFonts w:hint="eastAsia"/>
                        <w:color w:val="000000"/>
                        <w:sz w:val="18"/>
                        <w:szCs w:val="18"/>
                      </w:rPr>
                      <w:t>排放方式</w:t>
                    </w:r>
                  </w:p>
                </w:tc>
                <w:tc>
                  <w:tcPr>
                    <w:tcW w:w="720" w:type="dxa"/>
                    <w:tcBorders>
                      <w:top w:val="single" w:color="000000" w:sz="4" w:space="0"/>
                      <w:left w:val="single" w:color="000000" w:sz="4" w:space="0"/>
                      <w:bottom w:val="single" w:color="000000" w:sz="4" w:space="0"/>
                      <w:right w:val="single" w:color="000000" w:sz="4" w:space="0"/>
                    </w:tcBorders>
                    <w:vAlign w:val="center"/>
                  </w:tcPr>
                  <w:p w14:paraId="588C6044">
                    <w:pPr>
                      <w:spacing w:line="360" w:lineRule="auto"/>
                      <w:jc w:val="center"/>
                      <w:textAlignment w:val="baseline"/>
                      <w:rPr>
                        <w:rStyle w:val="65"/>
                        <w:color w:val="000000"/>
                        <w:sz w:val="18"/>
                        <w:szCs w:val="18"/>
                      </w:rPr>
                    </w:pPr>
                    <w:r>
                      <w:rPr>
                        <w:rStyle w:val="65"/>
                        <w:rFonts w:hint="eastAsia"/>
                        <w:color w:val="000000"/>
                        <w:sz w:val="18"/>
                        <w:szCs w:val="18"/>
                      </w:rPr>
                      <w:t>排放口数量</w:t>
                    </w:r>
                  </w:p>
                </w:tc>
                <w:tc>
                  <w:tcPr>
                    <w:tcW w:w="831" w:type="dxa"/>
                    <w:tcBorders>
                      <w:top w:val="single" w:color="000000" w:sz="4" w:space="0"/>
                      <w:left w:val="single" w:color="000000" w:sz="4" w:space="0"/>
                      <w:bottom w:val="single" w:color="000000" w:sz="4" w:space="0"/>
                      <w:right w:val="single" w:color="000000" w:sz="4" w:space="0"/>
                    </w:tcBorders>
                    <w:vAlign w:val="center"/>
                  </w:tcPr>
                  <w:p w14:paraId="1C55F290">
                    <w:pPr>
                      <w:spacing w:line="360" w:lineRule="auto"/>
                      <w:jc w:val="center"/>
                      <w:textAlignment w:val="baseline"/>
                      <w:rPr>
                        <w:rStyle w:val="65"/>
                        <w:color w:val="000000"/>
                        <w:sz w:val="18"/>
                        <w:szCs w:val="18"/>
                      </w:rPr>
                    </w:pPr>
                    <w:r>
                      <w:rPr>
                        <w:rStyle w:val="65"/>
                        <w:rFonts w:hint="eastAsia"/>
                        <w:color w:val="000000"/>
                        <w:sz w:val="18"/>
                        <w:szCs w:val="18"/>
                      </w:rPr>
                      <w:t>排放口分布</w:t>
                    </w:r>
                  </w:p>
                </w:tc>
                <w:tc>
                  <w:tcPr>
                    <w:tcW w:w="894" w:type="dxa"/>
                    <w:tcBorders>
                      <w:top w:val="single" w:color="000000" w:sz="4" w:space="0"/>
                      <w:left w:val="single" w:color="000000" w:sz="4" w:space="0"/>
                      <w:bottom w:val="single" w:color="000000" w:sz="4" w:space="0"/>
                      <w:right w:val="single" w:color="000000" w:sz="4" w:space="0"/>
                    </w:tcBorders>
                    <w:vAlign w:val="center"/>
                  </w:tcPr>
                  <w:p w14:paraId="28473A55">
                    <w:pPr>
                      <w:spacing w:line="360" w:lineRule="auto"/>
                      <w:jc w:val="center"/>
                      <w:textAlignment w:val="baseline"/>
                      <w:rPr>
                        <w:rStyle w:val="65"/>
                        <w:color w:val="000000"/>
                        <w:sz w:val="18"/>
                        <w:szCs w:val="18"/>
                      </w:rPr>
                    </w:pPr>
                    <w:r>
                      <w:rPr>
                        <w:rStyle w:val="65"/>
                        <w:rFonts w:hint="eastAsia"/>
                        <w:color w:val="000000"/>
                        <w:sz w:val="18"/>
                        <w:szCs w:val="18"/>
                      </w:rPr>
                      <w:t>排放浓度</w:t>
                    </w:r>
                  </w:p>
                </w:tc>
                <w:tc>
                  <w:tcPr>
                    <w:tcW w:w="891" w:type="dxa"/>
                    <w:tcBorders>
                      <w:top w:val="single" w:color="000000" w:sz="4" w:space="0"/>
                      <w:left w:val="single" w:color="000000" w:sz="4" w:space="0"/>
                      <w:bottom w:val="single" w:color="000000" w:sz="4" w:space="0"/>
                      <w:right w:val="single" w:color="000000" w:sz="4" w:space="0"/>
                    </w:tcBorders>
                    <w:vAlign w:val="center"/>
                  </w:tcPr>
                  <w:p w14:paraId="4F959550">
                    <w:pPr>
                      <w:spacing w:line="360" w:lineRule="auto"/>
                      <w:jc w:val="center"/>
                      <w:textAlignment w:val="baseline"/>
                      <w:rPr>
                        <w:rStyle w:val="65"/>
                        <w:color w:val="000000"/>
                        <w:sz w:val="18"/>
                        <w:szCs w:val="18"/>
                      </w:rPr>
                    </w:pPr>
                    <w:r>
                      <w:rPr>
                        <w:rStyle w:val="65"/>
                        <w:rFonts w:hint="eastAsia"/>
                        <w:color w:val="000000"/>
                        <w:sz w:val="18"/>
                        <w:szCs w:val="18"/>
                      </w:rPr>
                      <w:t>排放总量</w:t>
                    </w:r>
                  </w:p>
                </w:tc>
                <w:tc>
                  <w:tcPr>
                    <w:tcW w:w="900" w:type="dxa"/>
                    <w:tcBorders>
                      <w:top w:val="single" w:color="000000" w:sz="4" w:space="0"/>
                      <w:left w:val="single" w:color="000000" w:sz="4" w:space="0"/>
                      <w:bottom w:val="single" w:color="000000" w:sz="4" w:space="0"/>
                      <w:right w:val="single" w:color="000000" w:sz="4" w:space="0"/>
                    </w:tcBorders>
                    <w:vAlign w:val="center"/>
                  </w:tcPr>
                  <w:p w14:paraId="388DEE03">
                    <w:pPr>
                      <w:spacing w:line="360" w:lineRule="auto"/>
                      <w:jc w:val="center"/>
                      <w:textAlignment w:val="baseline"/>
                      <w:rPr>
                        <w:rStyle w:val="65"/>
                        <w:color w:val="000000"/>
                        <w:sz w:val="18"/>
                        <w:szCs w:val="18"/>
                      </w:rPr>
                    </w:pPr>
                    <w:r>
                      <w:rPr>
                        <w:rStyle w:val="65"/>
                        <w:rFonts w:hint="eastAsia"/>
                        <w:color w:val="000000"/>
                        <w:sz w:val="18"/>
                        <w:szCs w:val="18"/>
                      </w:rPr>
                      <w:t>超标排放情况</w:t>
                    </w:r>
                  </w:p>
                </w:tc>
                <w:tc>
                  <w:tcPr>
                    <w:tcW w:w="909" w:type="dxa"/>
                    <w:tcBorders>
                      <w:top w:val="single" w:color="000000" w:sz="4" w:space="0"/>
                      <w:left w:val="single" w:color="000000" w:sz="4" w:space="0"/>
                      <w:bottom w:val="single" w:color="000000" w:sz="4" w:space="0"/>
                      <w:right w:val="single" w:color="000000" w:sz="4" w:space="0"/>
                    </w:tcBorders>
                    <w:vAlign w:val="center"/>
                  </w:tcPr>
                  <w:p w14:paraId="37F0BBA9">
                    <w:pPr>
                      <w:spacing w:line="360" w:lineRule="auto"/>
                      <w:jc w:val="center"/>
                      <w:textAlignment w:val="baseline"/>
                      <w:rPr>
                        <w:rStyle w:val="65"/>
                        <w:color w:val="000000"/>
                        <w:sz w:val="18"/>
                        <w:szCs w:val="18"/>
                      </w:rPr>
                    </w:pPr>
                    <w:r>
                      <w:rPr>
                        <w:rStyle w:val="65"/>
                        <w:rFonts w:hint="eastAsia"/>
                        <w:color w:val="000000"/>
                        <w:sz w:val="18"/>
                        <w:szCs w:val="18"/>
                      </w:rPr>
                      <w:t>核定排放总量</w:t>
                    </w:r>
                  </w:p>
                </w:tc>
                <w:tc>
                  <w:tcPr>
                    <w:tcW w:w="1839" w:type="dxa"/>
                    <w:tcBorders>
                      <w:top w:val="single" w:color="000000" w:sz="4" w:space="0"/>
                      <w:left w:val="single" w:color="000000" w:sz="4" w:space="0"/>
                      <w:bottom w:val="single" w:color="000000" w:sz="4" w:space="0"/>
                      <w:right w:val="single" w:color="000000" w:sz="4" w:space="0"/>
                    </w:tcBorders>
                    <w:vAlign w:val="center"/>
                  </w:tcPr>
                  <w:p w14:paraId="295C22AE">
                    <w:pPr>
                      <w:spacing w:line="360" w:lineRule="auto"/>
                      <w:jc w:val="center"/>
                      <w:textAlignment w:val="baseline"/>
                      <w:rPr>
                        <w:rStyle w:val="65"/>
                        <w:color w:val="000000"/>
                        <w:sz w:val="18"/>
                        <w:szCs w:val="18"/>
                      </w:rPr>
                    </w:pPr>
                    <w:r>
                      <w:rPr>
                        <w:rStyle w:val="65"/>
                        <w:rFonts w:hint="eastAsia"/>
                        <w:color w:val="000000"/>
                        <w:sz w:val="18"/>
                        <w:szCs w:val="18"/>
                      </w:rPr>
                      <w:t>执行排放标准</w:t>
                    </w:r>
                  </w:p>
                </w:tc>
              </w:tr>
              <w:tr w14:paraId="4A466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jc w:val="center"/>
                </w:trPr>
                <w:tc>
                  <w:tcPr>
                    <w:tcW w:w="1080" w:type="dxa"/>
                    <w:tcBorders>
                      <w:top w:val="single" w:color="000000" w:sz="4" w:space="0"/>
                      <w:left w:val="single" w:color="000000" w:sz="4" w:space="0"/>
                      <w:bottom w:val="single" w:color="000000" w:sz="4" w:space="0"/>
                      <w:right w:val="single" w:color="000000" w:sz="4" w:space="0"/>
                    </w:tcBorders>
                    <w:vAlign w:val="center"/>
                  </w:tcPr>
                  <w:p w14:paraId="186A9695">
                    <w:pPr>
                      <w:spacing w:line="360" w:lineRule="auto"/>
                      <w:jc w:val="center"/>
                      <w:textAlignment w:val="baseline"/>
                      <w:rPr>
                        <w:rStyle w:val="65"/>
                        <w:color w:val="000000"/>
                        <w:sz w:val="18"/>
                        <w:szCs w:val="18"/>
                      </w:rPr>
                    </w:pPr>
                    <w:r>
                      <w:rPr>
                        <w:rStyle w:val="65"/>
                        <w:rFonts w:hint="eastAsia"/>
                        <w:color w:val="000000"/>
                        <w:sz w:val="18"/>
                        <w:szCs w:val="18"/>
                      </w:rPr>
                      <w:t>COD</w:t>
                    </w:r>
                  </w:p>
                </w:tc>
                <w:tc>
                  <w:tcPr>
                    <w:tcW w:w="1200" w:type="dxa"/>
                    <w:tcBorders>
                      <w:top w:val="single" w:color="000000" w:sz="4" w:space="0"/>
                      <w:left w:val="single" w:color="000000" w:sz="4" w:space="0"/>
                      <w:bottom w:val="single" w:color="000000" w:sz="4" w:space="0"/>
                      <w:right w:val="single" w:color="000000" w:sz="4" w:space="0"/>
                    </w:tcBorders>
                    <w:vAlign w:val="center"/>
                  </w:tcPr>
                  <w:p w14:paraId="4C1F9A36">
                    <w:pPr>
                      <w:spacing w:line="360" w:lineRule="auto"/>
                      <w:jc w:val="center"/>
                      <w:textAlignment w:val="baseline"/>
                      <w:rPr>
                        <w:rStyle w:val="65"/>
                        <w:color w:val="000000"/>
                        <w:sz w:val="18"/>
                        <w:szCs w:val="18"/>
                      </w:rPr>
                    </w:pPr>
                    <w:r>
                      <w:rPr>
                        <w:rStyle w:val="65"/>
                        <w:rFonts w:hint="eastAsia"/>
                        <w:color w:val="000000"/>
                        <w:sz w:val="18"/>
                        <w:szCs w:val="18"/>
                      </w:rPr>
                      <w:t>间歇性排放</w:t>
                    </w:r>
                  </w:p>
                </w:tc>
                <w:tc>
                  <w:tcPr>
                    <w:tcW w:w="720" w:type="dxa"/>
                    <w:tcBorders>
                      <w:top w:val="single" w:color="000000" w:sz="4" w:space="0"/>
                      <w:left w:val="single" w:color="000000" w:sz="4" w:space="0"/>
                      <w:bottom w:val="single" w:color="000000" w:sz="4" w:space="0"/>
                      <w:right w:val="single" w:color="000000" w:sz="4" w:space="0"/>
                    </w:tcBorders>
                    <w:vAlign w:val="center"/>
                  </w:tcPr>
                  <w:p w14:paraId="736BD96A">
                    <w:pPr>
                      <w:spacing w:line="360" w:lineRule="auto"/>
                      <w:jc w:val="center"/>
                      <w:textAlignment w:val="baseline"/>
                      <w:rPr>
                        <w:rStyle w:val="65"/>
                        <w:color w:val="000000"/>
                        <w:sz w:val="18"/>
                        <w:szCs w:val="18"/>
                      </w:rPr>
                    </w:pPr>
                    <w:r>
                      <w:rPr>
                        <w:rStyle w:val="65"/>
                        <w:rFonts w:hint="eastAsia"/>
                        <w:color w:val="000000"/>
                        <w:sz w:val="18"/>
                        <w:szCs w:val="18"/>
                      </w:rPr>
                      <w:t>1</w:t>
                    </w:r>
                  </w:p>
                </w:tc>
                <w:tc>
                  <w:tcPr>
                    <w:tcW w:w="831" w:type="dxa"/>
                    <w:tcBorders>
                      <w:top w:val="single" w:color="000000" w:sz="4" w:space="0"/>
                      <w:left w:val="single" w:color="000000" w:sz="4" w:space="0"/>
                      <w:bottom w:val="single" w:color="000000" w:sz="4" w:space="0"/>
                      <w:right w:val="single" w:color="000000" w:sz="4" w:space="0"/>
                    </w:tcBorders>
                    <w:vAlign w:val="center"/>
                  </w:tcPr>
                  <w:p w14:paraId="0B80A282">
                    <w:pPr>
                      <w:spacing w:line="360" w:lineRule="auto"/>
                      <w:jc w:val="center"/>
                      <w:textAlignment w:val="baseline"/>
                      <w:rPr>
                        <w:rStyle w:val="65"/>
                        <w:color w:val="000000"/>
                        <w:sz w:val="18"/>
                        <w:szCs w:val="18"/>
                      </w:rPr>
                    </w:pPr>
                    <w:r>
                      <w:rPr>
                        <w:rStyle w:val="65"/>
                        <w:rFonts w:hint="eastAsia"/>
                        <w:color w:val="000000"/>
                        <w:sz w:val="18"/>
                        <w:szCs w:val="18"/>
                      </w:rPr>
                      <w:t>厂区北角</w:t>
                    </w:r>
                  </w:p>
                </w:tc>
                <w:tc>
                  <w:tcPr>
                    <w:tcW w:w="894" w:type="dxa"/>
                    <w:tcBorders>
                      <w:top w:val="single" w:color="000000" w:sz="4" w:space="0"/>
                      <w:left w:val="single" w:color="000000" w:sz="4" w:space="0"/>
                      <w:bottom w:val="single" w:color="000000" w:sz="4" w:space="0"/>
                      <w:right w:val="single" w:color="000000" w:sz="4" w:space="0"/>
                    </w:tcBorders>
                    <w:vAlign w:val="center"/>
                  </w:tcPr>
                  <w:p w14:paraId="60E71763">
                    <w:pPr>
                      <w:spacing w:line="360" w:lineRule="auto"/>
                      <w:jc w:val="center"/>
                      <w:textAlignment w:val="baseline"/>
                      <w:rPr>
                        <w:rStyle w:val="65"/>
                        <w:color w:val="000000"/>
                        <w:sz w:val="18"/>
                        <w:szCs w:val="18"/>
                      </w:rPr>
                    </w:pPr>
                    <w:r>
                      <w:rPr>
                        <w:rStyle w:val="65"/>
                        <w:rFonts w:hint="eastAsia"/>
                        <w:color w:val="000000"/>
                        <w:sz w:val="18"/>
                        <w:szCs w:val="18"/>
                      </w:rPr>
                      <w:t>&lt;200mg/L</w:t>
                    </w:r>
                  </w:p>
                </w:tc>
                <w:tc>
                  <w:tcPr>
                    <w:tcW w:w="891" w:type="dxa"/>
                    <w:tcBorders>
                      <w:top w:val="single" w:color="000000" w:sz="4" w:space="0"/>
                      <w:left w:val="single" w:color="000000" w:sz="4" w:space="0"/>
                      <w:bottom w:val="single" w:color="000000" w:sz="4" w:space="0"/>
                      <w:right w:val="single" w:color="000000" w:sz="4" w:space="0"/>
                    </w:tcBorders>
                    <w:vAlign w:val="center"/>
                  </w:tcPr>
                  <w:p w14:paraId="1C7919B8">
                    <w:pPr>
                      <w:spacing w:line="360" w:lineRule="auto"/>
                      <w:jc w:val="center"/>
                      <w:textAlignment w:val="baseline"/>
                      <w:rPr>
                        <w:rStyle w:val="65"/>
                        <w:color w:val="000000"/>
                        <w:sz w:val="18"/>
                        <w:szCs w:val="18"/>
                      </w:rPr>
                    </w:pPr>
                    <w:r>
                      <w:rPr>
                        <w:rStyle w:val="65"/>
                        <w:rFonts w:hint="eastAsia"/>
                        <w:color w:val="000000"/>
                        <w:sz w:val="18"/>
                        <w:szCs w:val="18"/>
                      </w:rPr>
                      <w:t>48.2吨</w:t>
                    </w:r>
                  </w:p>
                </w:tc>
                <w:tc>
                  <w:tcPr>
                    <w:tcW w:w="900" w:type="dxa"/>
                    <w:tcBorders>
                      <w:top w:val="single" w:color="000000" w:sz="4" w:space="0"/>
                      <w:left w:val="single" w:color="000000" w:sz="4" w:space="0"/>
                      <w:bottom w:val="single" w:color="000000" w:sz="4" w:space="0"/>
                      <w:right w:val="single" w:color="000000" w:sz="4" w:space="0"/>
                    </w:tcBorders>
                    <w:vAlign w:val="center"/>
                  </w:tcPr>
                  <w:p w14:paraId="6CDC58C5">
                    <w:pPr>
                      <w:spacing w:line="360" w:lineRule="auto"/>
                      <w:jc w:val="center"/>
                      <w:textAlignment w:val="baseline"/>
                      <w:rPr>
                        <w:rStyle w:val="65"/>
                        <w:color w:val="000000"/>
                        <w:sz w:val="18"/>
                        <w:szCs w:val="18"/>
                      </w:rPr>
                    </w:pPr>
                    <w:r>
                      <w:rPr>
                        <w:rStyle w:val="65"/>
                        <w:rFonts w:hint="eastAsia"/>
                        <w:color w:val="000000"/>
                        <w:sz w:val="18"/>
                        <w:szCs w:val="18"/>
                      </w:rPr>
                      <w:t>无</w:t>
                    </w:r>
                  </w:p>
                </w:tc>
                <w:tc>
                  <w:tcPr>
                    <w:tcW w:w="909" w:type="dxa"/>
                    <w:tcBorders>
                      <w:top w:val="single" w:color="000000" w:sz="4" w:space="0"/>
                      <w:left w:val="single" w:color="000000" w:sz="4" w:space="0"/>
                      <w:bottom w:val="single" w:color="000000" w:sz="4" w:space="0"/>
                      <w:right w:val="single" w:color="000000" w:sz="4" w:space="0"/>
                    </w:tcBorders>
                    <w:vAlign w:val="center"/>
                  </w:tcPr>
                  <w:p w14:paraId="5C466EDB">
                    <w:pPr>
                      <w:spacing w:line="360" w:lineRule="auto"/>
                      <w:jc w:val="center"/>
                      <w:textAlignment w:val="baseline"/>
                      <w:rPr>
                        <w:rStyle w:val="65"/>
                        <w:color w:val="000000"/>
                        <w:sz w:val="18"/>
                        <w:szCs w:val="18"/>
                      </w:rPr>
                    </w:pPr>
                    <w:r>
                      <w:rPr>
                        <w:rStyle w:val="65"/>
                        <w:rFonts w:hint="eastAsia"/>
                        <w:color w:val="000000"/>
                        <w:sz w:val="18"/>
                        <w:szCs w:val="18"/>
                      </w:rPr>
                      <w:t>84.14吨</w:t>
                    </w:r>
                  </w:p>
                </w:tc>
                <w:tc>
                  <w:tcPr>
                    <w:tcW w:w="1839" w:type="dxa"/>
                    <w:vMerge w:val="restart"/>
                    <w:tcBorders>
                      <w:top w:val="single" w:color="000000" w:sz="4" w:space="0"/>
                      <w:left w:val="single" w:color="000000" w:sz="4" w:space="0"/>
                      <w:bottom w:val="single" w:color="000000" w:sz="4" w:space="0"/>
                      <w:right w:val="single" w:color="000000" w:sz="4" w:space="0"/>
                    </w:tcBorders>
                    <w:vAlign w:val="center"/>
                  </w:tcPr>
                  <w:p w14:paraId="1517B9FA">
                    <w:pPr>
                      <w:spacing w:line="360" w:lineRule="auto"/>
                      <w:jc w:val="center"/>
                      <w:textAlignment w:val="baseline"/>
                      <w:rPr>
                        <w:rStyle w:val="65"/>
                        <w:color w:val="000000"/>
                        <w:sz w:val="18"/>
                        <w:szCs w:val="18"/>
                      </w:rPr>
                    </w:pPr>
                    <w:r>
                      <w:rPr>
                        <w:rFonts w:hint="eastAsia"/>
                        <w:color w:val="000000"/>
                        <w:sz w:val="18"/>
                        <w:szCs w:val="18"/>
                        <w:shd w:val="clear" w:color="auto" w:fill="FFFFFF"/>
                      </w:rPr>
                      <w:t>《</w:t>
                    </w:r>
                    <w:r>
                      <w:rPr>
                        <w:rStyle w:val="65"/>
                        <w:rFonts w:hint="eastAsia"/>
                        <w:color w:val="000000"/>
                        <w:sz w:val="18"/>
                        <w:szCs w:val="18"/>
                      </w:rPr>
                      <w:t>纺织染整工业水污染物排放标准》（GB4287-2012）</w:t>
                    </w:r>
                  </w:p>
                </w:tc>
              </w:tr>
              <w:tr w14:paraId="2B978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jc w:val="center"/>
                </w:trPr>
                <w:tc>
                  <w:tcPr>
                    <w:tcW w:w="1080" w:type="dxa"/>
                    <w:tcBorders>
                      <w:top w:val="single" w:color="000000" w:sz="4" w:space="0"/>
                      <w:left w:val="single" w:color="000000" w:sz="4" w:space="0"/>
                      <w:bottom w:val="single" w:color="000000" w:sz="4" w:space="0"/>
                      <w:right w:val="single" w:color="000000" w:sz="4" w:space="0"/>
                    </w:tcBorders>
                    <w:vAlign w:val="center"/>
                  </w:tcPr>
                  <w:p w14:paraId="0ADC401A">
                    <w:pPr>
                      <w:spacing w:line="360" w:lineRule="auto"/>
                      <w:jc w:val="center"/>
                      <w:textAlignment w:val="baseline"/>
                      <w:rPr>
                        <w:rStyle w:val="65"/>
                        <w:color w:val="000000"/>
                        <w:sz w:val="18"/>
                        <w:szCs w:val="18"/>
                      </w:rPr>
                    </w:pPr>
                    <w:r>
                      <w:rPr>
                        <w:rStyle w:val="65"/>
                        <w:rFonts w:hint="eastAsia"/>
                        <w:color w:val="000000"/>
                        <w:sz w:val="18"/>
                        <w:szCs w:val="18"/>
                      </w:rPr>
                      <w:t>氨氮</w:t>
                    </w:r>
                  </w:p>
                </w:tc>
                <w:tc>
                  <w:tcPr>
                    <w:tcW w:w="1200" w:type="dxa"/>
                    <w:tcBorders>
                      <w:top w:val="single" w:color="000000" w:sz="4" w:space="0"/>
                      <w:left w:val="single" w:color="000000" w:sz="4" w:space="0"/>
                      <w:bottom w:val="single" w:color="000000" w:sz="4" w:space="0"/>
                      <w:right w:val="single" w:color="000000" w:sz="4" w:space="0"/>
                    </w:tcBorders>
                    <w:vAlign w:val="center"/>
                  </w:tcPr>
                  <w:p w14:paraId="3E93D51A">
                    <w:pPr>
                      <w:spacing w:line="360" w:lineRule="auto"/>
                      <w:jc w:val="center"/>
                      <w:textAlignment w:val="baseline"/>
                      <w:rPr>
                        <w:rStyle w:val="65"/>
                        <w:color w:val="000000"/>
                        <w:sz w:val="18"/>
                        <w:szCs w:val="18"/>
                      </w:rPr>
                    </w:pPr>
                    <w:r>
                      <w:rPr>
                        <w:rStyle w:val="65"/>
                        <w:rFonts w:hint="eastAsia"/>
                        <w:color w:val="000000"/>
                        <w:sz w:val="18"/>
                        <w:szCs w:val="18"/>
                      </w:rPr>
                      <w:t>间歇性排放</w:t>
                    </w:r>
                  </w:p>
                </w:tc>
                <w:tc>
                  <w:tcPr>
                    <w:tcW w:w="720" w:type="dxa"/>
                    <w:tcBorders>
                      <w:top w:val="single" w:color="000000" w:sz="4" w:space="0"/>
                      <w:left w:val="single" w:color="000000" w:sz="4" w:space="0"/>
                      <w:bottom w:val="single" w:color="000000" w:sz="4" w:space="0"/>
                      <w:right w:val="single" w:color="000000" w:sz="4" w:space="0"/>
                    </w:tcBorders>
                    <w:vAlign w:val="center"/>
                  </w:tcPr>
                  <w:p w14:paraId="48630E00">
                    <w:pPr>
                      <w:spacing w:line="360" w:lineRule="auto"/>
                      <w:jc w:val="center"/>
                      <w:textAlignment w:val="baseline"/>
                      <w:rPr>
                        <w:rStyle w:val="65"/>
                        <w:color w:val="000000"/>
                        <w:sz w:val="18"/>
                        <w:szCs w:val="18"/>
                      </w:rPr>
                    </w:pPr>
                    <w:r>
                      <w:rPr>
                        <w:rStyle w:val="65"/>
                        <w:rFonts w:hint="eastAsia"/>
                        <w:color w:val="000000"/>
                        <w:sz w:val="18"/>
                        <w:szCs w:val="18"/>
                      </w:rPr>
                      <w:t>1</w:t>
                    </w:r>
                  </w:p>
                </w:tc>
                <w:tc>
                  <w:tcPr>
                    <w:tcW w:w="831" w:type="dxa"/>
                    <w:tcBorders>
                      <w:top w:val="single" w:color="000000" w:sz="4" w:space="0"/>
                      <w:left w:val="single" w:color="000000" w:sz="4" w:space="0"/>
                      <w:bottom w:val="single" w:color="000000" w:sz="4" w:space="0"/>
                      <w:right w:val="single" w:color="000000" w:sz="4" w:space="0"/>
                    </w:tcBorders>
                    <w:vAlign w:val="center"/>
                  </w:tcPr>
                  <w:p w14:paraId="1B1D01C0">
                    <w:pPr>
                      <w:spacing w:line="360" w:lineRule="auto"/>
                      <w:jc w:val="center"/>
                      <w:textAlignment w:val="baseline"/>
                      <w:rPr>
                        <w:rStyle w:val="65"/>
                        <w:color w:val="000000"/>
                        <w:sz w:val="18"/>
                        <w:szCs w:val="18"/>
                      </w:rPr>
                    </w:pPr>
                    <w:r>
                      <w:rPr>
                        <w:rStyle w:val="65"/>
                        <w:rFonts w:hint="eastAsia"/>
                        <w:color w:val="000000"/>
                        <w:sz w:val="18"/>
                        <w:szCs w:val="18"/>
                      </w:rPr>
                      <w:t>厂区北角</w:t>
                    </w:r>
                  </w:p>
                </w:tc>
                <w:tc>
                  <w:tcPr>
                    <w:tcW w:w="894" w:type="dxa"/>
                    <w:tcBorders>
                      <w:top w:val="single" w:color="000000" w:sz="4" w:space="0"/>
                      <w:left w:val="single" w:color="000000" w:sz="4" w:space="0"/>
                      <w:bottom w:val="single" w:color="000000" w:sz="4" w:space="0"/>
                      <w:right w:val="single" w:color="000000" w:sz="4" w:space="0"/>
                    </w:tcBorders>
                    <w:vAlign w:val="center"/>
                  </w:tcPr>
                  <w:p w14:paraId="42D8DDDE">
                    <w:pPr>
                      <w:spacing w:line="360" w:lineRule="auto"/>
                      <w:jc w:val="center"/>
                      <w:textAlignment w:val="baseline"/>
                      <w:rPr>
                        <w:rStyle w:val="65"/>
                        <w:color w:val="000000"/>
                        <w:sz w:val="18"/>
                        <w:szCs w:val="18"/>
                      </w:rPr>
                    </w:pPr>
                    <w:r>
                      <w:rPr>
                        <w:rStyle w:val="65"/>
                        <w:rFonts w:hint="eastAsia"/>
                        <w:color w:val="000000"/>
                        <w:sz w:val="18"/>
                        <w:szCs w:val="18"/>
                      </w:rPr>
                      <w:t>&lt;20mg/L</w:t>
                    </w:r>
                  </w:p>
                </w:tc>
                <w:tc>
                  <w:tcPr>
                    <w:tcW w:w="891" w:type="dxa"/>
                    <w:tcBorders>
                      <w:top w:val="single" w:color="000000" w:sz="4" w:space="0"/>
                      <w:left w:val="single" w:color="000000" w:sz="4" w:space="0"/>
                      <w:bottom w:val="single" w:color="000000" w:sz="4" w:space="0"/>
                      <w:right w:val="single" w:color="000000" w:sz="4" w:space="0"/>
                    </w:tcBorders>
                    <w:vAlign w:val="center"/>
                  </w:tcPr>
                  <w:p w14:paraId="14C4738E">
                    <w:pPr>
                      <w:spacing w:line="360" w:lineRule="auto"/>
                      <w:jc w:val="center"/>
                      <w:textAlignment w:val="baseline"/>
                      <w:rPr>
                        <w:rStyle w:val="65"/>
                        <w:color w:val="000000"/>
                        <w:sz w:val="18"/>
                        <w:szCs w:val="18"/>
                      </w:rPr>
                    </w:pPr>
                    <w:r>
                      <w:rPr>
                        <w:rStyle w:val="65"/>
                        <w:rFonts w:hint="eastAsia"/>
                        <w:color w:val="000000"/>
                        <w:sz w:val="18"/>
                        <w:szCs w:val="18"/>
                      </w:rPr>
                      <w:t>1.17吨</w:t>
                    </w:r>
                  </w:p>
                </w:tc>
                <w:tc>
                  <w:tcPr>
                    <w:tcW w:w="900" w:type="dxa"/>
                    <w:tcBorders>
                      <w:top w:val="single" w:color="000000" w:sz="4" w:space="0"/>
                      <w:left w:val="single" w:color="000000" w:sz="4" w:space="0"/>
                      <w:bottom w:val="single" w:color="000000" w:sz="4" w:space="0"/>
                      <w:right w:val="single" w:color="000000" w:sz="4" w:space="0"/>
                    </w:tcBorders>
                    <w:vAlign w:val="center"/>
                  </w:tcPr>
                  <w:p w14:paraId="4F91C343">
                    <w:pPr>
                      <w:spacing w:line="360" w:lineRule="auto"/>
                      <w:jc w:val="center"/>
                      <w:textAlignment w:val="baseline"/>
                      <w:rPr>
                        <w:rStyle w:val="65"/>
                        <w:color w:val="000000"/>
                        <w:sz w:val="18"/>
                        <w:szCs w:val="18"/>
                      </w:rPr>
                    </w:pPr>
                    <w:r>
                      <w:rPr>
                        <w:rStyle w:val="65"/>
                        <w:rFonts w:hint="eastAsia"/>
                        <w:color w:val="000000"/>
                        <w:sz w:val="18"/>
                        <w:szCs w:val="18"/>
                      </w:rPr>
                      <w:t>无</w:t>
                    </w:r>
                  </w:p>
                </w:tc>
                <w:tc>
                  <w:tcPr>
                    <w:tcW w:w="909" w:type="dxa"/>
                    <w:tcBorders>
                      <w:top w:val="single" w:color="000000" w:sz="4" w:space="0"/>
                      <w:left w:val="single" w:color="000000" w:sz="4" w:space="0"/>
                      <w:bottom w:val="single" w:color="000000" w:sz="4" w:space="0"/>
                      <w:right w:val="single" w:color="000000" w:sz="4" w:space="0"/>
                    </w:tcBorders>
                    <w:vAlign w:val="center"/>
                  </w:tcPr>
                  <w:p w14:paraId="25FCAF6B">
                    <w:pPr>
                      <w:spacing w:line="360" w:lineRule="auto"/>
                      <w:jc w:val="center"/>
                      <w:textAlignment w:val="baseline"/>
                      <w:rPr>
                        <w:rStyle w:val="65"/>
                        <w:color w:val="000000"/>
                        <w:sz w:val="18"/>
                        <w:szCs w:val="18"/>
                      </w:rPr>
                    </w:pPr>
                    <w:r>
                      <w:rPr>
                        <w:rStyle w:val="65"/>
                        <w:rFonts w:hint="eastAsia"/>
                        <w:color w:val="000000"/>
                        <w:sz w:val="18"/>
                        <w:szCs w:val="18"/>
                      </w:rPr>
                      <w:t>8.14吨</w:t>
                    </w:r>
                  </w:p>
                </w:tc>
                <w:tc>
                  <w:tcPr>
                    <w:tcW w:w="1839" w:type="dxa"/>
                    <w:vMerge w:val="continue"/>
                    <w:tcBorders>
                      <w:top w:val="single" w:color="000000" w:sz="4" w:space="0"/>
                      <w:left w:val="single" w:color="000000" w:sz="4" w:space="0"/>
                      <w:bottom w:val="single" w:color="000000" w:sz="4" w:space="0"/>
                      <w:right w:val="single" w:color="000000" w:sz="4" w:space="0"/>
                    </w:tcBorders>
                    <w:vAlign w:val="center"/>
                  </w:tcPr>
                  <w:p w14:paraId="69E259AF">
                    <w:pPr>
                      <w:spacing w:line="360" w:lineRule="auto"/>
                      <w:jc w:val="center"/>
                      <w:textAlignment w:val="baseline"/>
                      <w:rPr>
                        <w:rStyle w:val="65"/>
                        <w:color w:val="000000"/>
                        <w:sz w:val="18"/>
                        <w:szCs w:val="18"/>
                      </w:rPr>
                    </w:pPr>
                  </w:p>
                </w:tc>
              </w:tr>
              <w:tr w14:paraId="3B900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jc w:val="center"/>
                </w:trPr>
                <w:tc>
                  <w:tcPr>
                    <w:tcW w:w="1080" w:type="dxa"/>
                    <w:tcBorders>
                      <w:top w:val="single" w:color="000000" w:sz="4" w:space="0"/>
                      <w:left w:val="single" w:color="000000" w:sz="4" w:space="0"/>
                      <w:bottom w:val="single" w:color="000000" w:sz="4" w:space="0"/>
                      <w:right w:val="single" w:color="000000" w:sz="4" w:space="0"/>
                    </w:tcBorders>
                    <w:vAlign w:val="center"/>
                  </w:tcPr>
                  <w:p w14:paraId="6F75A3A9">
                    <w:pPr>
                      <w:spacing w:line="360" w:lineRule="auto"/>
                      <w:jc w:val="center"/>
                      <w:textAlignment w:val="baseline"/>
                      <w:rPr>
                        <w:rStyle w:val="65"/>
                        <w:color w:val="000000"/>
                        <w:sz w:val="18"/>
                        <w:szCs w:val="18"/>
                      </w:rPr>
                    </w:pPr>
                    <w:r>
                      <w:rPr>
                        <w:rStyle w:val="65"/>
                        <w:rFonts w:hint="eastAsia"/>
                        <w:color w:val="000000"/>
                        <w:sz w:val="18"/>
                        <w:szCs w:val="18"/>
                      </w:rPr>
                      <w:t>二氧化硫</w:t>
                    </w:r>
                  </w:p>
                </w:tc>
                <w:tc>
                  <w:tcPr>
                    <w:tcW w:w="1200" w:type="dxa"/>
                    <w:tcBorders>
                      <w:top w:val="single" w:color="000000" w:sz="4" w:space="0"/>
                      <w:left w:val="single" w:color="000000" w:sz="4" w:space="0"/>
                      <w:bottom w:val="single" w:color="000000" w:sz="4" w:space="0"/>
                      <w:right w:val="single" w:color="000000" w:sz="4" w:space="0"/>
                    </w:tcBorders>
                    <w:vAlign w:val="center"/>
                  </w:tcPr>
                  <w:p w14:paraId="0F148C53">
                    <w:pPr>
                      <w:spacing w:line="360" w:lineRule="auto"/>
                      <w:jc w:val="center"/>
                      <w:textAlignment w:val="baseline"/>
                      <w:rPr>
                        <w:rStyle w:val="65"/>
                        <w:color w:val="000000"/>
                        <w:sz w:val="18"/>
                        <w:szCs w:val="18"/>
                      </w:rPr>
                    </w:pPr>
                    <w:r>
                      <w:rPr>
                        <w:rStyle w:val="65"/>
                        <w:rFonts w:hint="eastAsia"/>
                        <w:color w:val="000000"/>
                        <w:sz w:val="18"/>
                        <w:szCs w:val="18"/>
                      </w:rPr>
                      <w:t>有组织</w:t>
                    </w:r>
                  </w:p>
                </w:tc>
                <w:tc>
                  <w:tcPr>
                    <w:tcW w:w="720" w:type="dxa"/>
                    <w:tcBorders>
                      <w:top w:val="single" w:color="000000" w:sz="4" w:space="0"/>
                      <w:left w:val="single" w:color="000000" w:sz="4" w:space="0"/>
                      <w:bottom w:val="single" w:color="000000" w:sz="4" w:space="0"/>
                      <w:right w:val="single" w:color="000000" w:sz="4" w:space="0"/>
                    </w:tcBorders>
                    <w:vAlign w:val="center"/>
                  </w:tcPr>
                  <w:p w14:paraId="2257FE6E">
                    <w:pPr>
                      <w:spacing w:line="360" w:lineRule="auto"/>
                      <w:jc w:val="center"/>
                      <w:textAlignment w:val="baseline"/>
                      <w:rPr>
                        <w:rStyle w:val="65"/>
                        <w:color w:val="000000"/>
                        <w:sz w:val="18"/>
                        <w:szCs w:val="18"/>
                      </w:rPr>
                    </w:pPr>
                    <w:r>
                      <w:rPr>
                        <w:rStyle w:val="65"/>
                        <w:rFonts w:hint="eastAsia"/>
                        <w:color w:val="000000"/>
                        <w:sz w:val="18"/>
                        <w:szCs w:val="18"/>
                      </w:rPr>
                      <w:t>1</w:t>
                    </w:r>
                  </w:p>
                </w:tc>
                <w:tc>
                  <w:tcPr>
                    <w:tcW w:w="831" w:type="dxa"/>
                    <w:tcBorders>
                      <w:top w:val="single" w:color="000000" w:sz="4" w:space="0"/>
                      <w:left w:val="single" w:color="000000" w:sz="4" w:space="0"/>
                      <w:bottom w:val="single" w:color="000000" w:sz="4" w:space="0"/>
                      <w:right w:val="single" w:color="000000" w:sz="4" w:space="0"/>
                    </w:tcBorders>
                    <w:vAlign w:val="center"/>
                  </w:tcPr>
                  <w:p w14:paraId="24C8973B">
                    <w:pPr>
                      <w:spacing w:line="360" w:lineRule="auto"/>
                      <w:jc w:val="center"/>
                      <w:textAlignment w:val="baseline"/>
                      <w:rPr>
                        <w:rStyle w:val="65"/>
                        <w:color w:val="000000"/>
                        <w:sz w:val="18"/>
                        <w:szCs w:val="18"/>
                      </w:rPr>
                    </w:pPr>
                    <w:r>
                      <w:rPr>
                        <w:rStyle w:val="65"/>
                        <w:rFonts w:hint="eastAsia"/>
                        <w:color w:val="000000"/>
                        <w:sz w:val="18"/>
                        <w:szCs w:val="18"/>
                      </w:rPr>
                      <w:t>厂区西角</w:t>
                    </w:r>
                  </w:p>
                </w:tc>
                <w:tc>
                  <w:tcPr>
                    <w:tcW w:w="894" w:type="dxa"/>
                    <w:tcBorders>
                      <w:top w:val="single" w:color="000000" w:sz="4" w:space="0"/>
                      <w:left w:val="single" w:color="000000" w:sz="4" w:space="0"/>
                      <w:bottom w:val="single" w:color="000000" w:sz="4" w:space="0"/>
                      <w:right w:val="single" w:color="000000" w:sz="4" w:space="0"/>
                    </w:tcBorders>
                    <w:vAlign w:val="center"/>
                  </w:tcPr>
                  <w:p w14:paraId="3E5E8109">
                    <w:pPr>
                      <w:spacing w:line="360" w:lineRule="auto"/>
                      <w:jc w:val="center"/>
                      <w:textAlignment w:val="baseline"/>
                      <w:rPr>
                        <w:rStyle w:val="65"/>
                        <w:color w:val="000000"/>
                        <w:sz w:val="18"/>
                        <w:szCs w:val="18"/>
                      </w:rPr>
                    </w:pPr>
                    <w:r>
                      <w:rPr>
                        <w:rStyle w:val="65"/>
                        <w:rFonts w:hint="eastAsia"/>
                        <w:color w:val="000000"/>
                        <w:sz w:val="18"/>
                        <w:szCs w:val="18"/>
                      </w:rPr>
                      <w:t>&lt;550mg/Nm</w:t>
                    </w:r>
                    <w:r>
                      <w:rPr>
                        <w:rStyle w:val="65"/>
                        <w:rFonts w:hint="eastAsia"/>
                        <w:color w:val="000000"/>
                        <w:sz w:val="18"/>
                        <w:szCs w:val="18"/>
                        <w:vertAlign w:val="superscript"/>
                      </w:rPr>
                      <w:t>3</w:t>
                    </w:r>
                  </w:p>
                </w:tc>
                <w:tc>
                  <w:tcPr>
                    <w:tcW w:w="891" w:type="dxa"/>
                    <w:tcBorders>
                      <w:top w:val="single" w:color="000000" w:sz="4" w:space="0"/>
                      <w:left w:val="single" w:color="000000" w:sz="4" w:space="0"/>
                      <w:bottom w:val="single" w:color="000000" w:sz="4" w:space="0"/>
                      <w:right w:val="single" w:color="000000" w:sz="4" w:space="0"/>
                    </w:tcBorders>
                    <w:vAlign w:val="center"/>
                  </w:tcPr>
                  <w:p w14:paraId="4A88FE80">
                    <w:pPr>
                      <w:spacing w:line="360" w:lineRule="auto"/>
                      <w:jc w:val="center"/>
                      <w:textAlignment w:val="baseline"/>
                      <w:rPr>
                        <w:rStyle w:val="65"/>
                        <w:color w:val="000000"/>
                        <w:sz w:val="18"/>
                        <w:szCs w:val="18"/>
                      </w:rPr>
                    </w:pPr>
                    <w:r>
                      <w:rPr>
                        <w:rStyle w:val="65"/>
                        <w:rFonts w:hint="eastAsia"/>
                        <w:color w:val="000000"/>
                        <w:sz w:val="18"/>
                        <w:szCs w:val="18"/>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0498523D">
                    <w:pPr>
                      <w:spacing w:line="360" w:lineRule="auto"/>
                      <w:jc w:val="center"/>
                      <w:textAlignment w:val="baseline"/>
                      <w:rPr>
                        <w:rStyle w:val="65"/>
                        <w:color w:val="000000"/>
                        <w:sz w:val="18"/>
                        <w:szCs w:val="18"/>
                      </w:rPr>
                    </w:pPr>
                    <w:r>
                      <w:rPr>
                        <w:rStyle w:val="65"/>
                        <w:rFonts w:hint="eastAsia"/>
                        <w:color w:val="000000"/>
                        <w:sz w:val="18"/>
                        <w:szCs w:val="18"/>
                      </w:rPr>
                      <w:t>无</w:t>
                    </w:r>
                  </w:p>
                </w:tc>
                <w:tc>
                  <w:tcPr>
                    <w:tcW w:w="909" w:type="dxa"/>
                    <w:tcBorders>
                      <w:top w:val="single" w:color="000000" w:sz="4" w:space="0"/>
                      <w:left w:val="single" w:color="000000" w:sz="4" w:space="0"/>
                      <w:bottom w:val="single" w:color="000000" w:sz="4" w:space="0"/>
                      <w:right w:val="single" w:color="000000" w:sz="4" w:space="0"/>
                    </w:tcBorders>
                    <w:vAlign w:val="center"/>
                  </w:tcPr>
                  <w:p w14:paraId="6297AA8D">
                    <w:pPr>
                      <w:spacing w:line="360" w:lineRule="auto"/>
                      <w:jc w:val="center"/>
                      <w:textAlignment w:val="baseline"/>
                      <w:rPr>
                        <w:rStyle w:val="65"/>
                        <w:color w:val="000000"/>
                        <w:sz w:val="18"/>
                        <w:szCs w:val="18"/>
                      </w:rPr>
                    </w:pPr>
                    <w:r>
                      <w:rPr>
                        <w:rStyle w:val="65"/>
                        <w:rFonts w:hint="eastAsia"/>
                        <w:color w:val="000000"/>
                        <w:sz w:val="18"/>
                        <w:szCs w:val="18"/>
                      </w:rPr>
                      <w:t>-</w:t>
                    </w:r>
                  </w:p>
                </w:tc>
                <w:tc>
                  <w:tcPr>
                    <w:tcW w:w="1839" w:type="dxa"/>
                    <w:tcBorders>
                      <w:top w:val="single" w:color="000000" w:sz="4" w:space="0"/>
                      <w:left w:val="single" w:color="000000" w:sz="4" w:space="0"/>
                      <w:bottom w:val="single" w:color="000000" w:sz="4" w:space="0"/>
                      <w:right w:val="single" w:color="000000" w:sz="4" w:space="0"/>
                    </w:tcBorders>
                    <w:vAlign w:val="center"/>
                  </w:tcPr>
                  <w:p w14:paraId="6F76CC7F">
                    <w:pPr>
                      <w:spacing w:line="360" w:lineRule="auto"/>
                      <w:jc w:val="center"/>
                      <w:textAlignment w:val="baseline"/>
                      <w:rPr>
                        <w:rStyle w:val="65"/>
                        <w:color w:val="000000"/>
                        <w:sz w:val="18"/>
                        <w:szCs w:val="18"/>
                      </w:rPr>
                    </w:pPr>
                    <w:r>
                      <w:rPr>
                        <w:rStyle w:val="65"/>
                        <w:rFonts w:hint="eastAsia"/>
                        <w:color w:val="000000"/>
                        <w:sz w:val="18"/>
                        <w:szCs w:val="18"/>
                      </w:rPr>
                      <w:t>《大气污染物综合排放标准》（GB16297-1996）</w:t>
                    </w:r>
                  </w:p>
                </w:tc>
              </w:tr>
            </w:tbl>
            <w:p w14:paraId="1F3D03EA">
              <w:pPr>
                <w:widowControl w:val="0"/>
                <w:jc w:val="both"/>
                <w:rPr>
                  <w:rStyle w:val="65"/>
                  <w:rFonts w:hint="eastAsia" w:asciiTheme="minorEastAsia" w:hAnsiTheme="minorEastAsia" w:eastAsiaTheme="minorEastAsia" w:cstheme="minorEastAsia"/>
                  <w:color w:val="000000"/>
                  <w:szCs w:val="21"/>
                </w:rPr>
              </w:pPr>
              <w:r>
                <w:rPr>
                  <w:rStyle w:val="65"/>
                  <w:rFonts w:hint="eastAsia" w:asciiTheme="minorEastAsia" w:hAnsiTheme="minorEastAsia" w:eastAsiaTheme="minorEastAsia" w:cstheme="minorEastAsia"/>
                  <w:color w:val="000000"/>
                  <w:szCs w:val="21"/>
                </w:rPr>
                <w:t>五、内蒙古际华森普利服装皮业有限公司</w:t>
              </w:r>
            </w:p>
            <w:p w14:paraId="02CBF6B0">
              <w:pPr>
                <w:widowControl w:val="0"/>
                <w:ind w:firstLine="420" w:firstLineChars="200"/>
                <w:jc w:val="both"/>
                <w:rPr>
                  <w:rStyle w:val="65"/>
                  <w:rFonts w:hint="eastAsia" w:asciiTheme="minorEastAsia" w:hAnsiTheme="minorEastAsia" w:eastAsiaTheme="minorEastAsia" w:cstheme="minorEastAsia"/>
                  <w:color w:val="000000"/>
                  <w:szCs w:val="21"/>
                </w:rPr>
              </w:pPr>
              <w:r>
                <w:rPr>
                  <w:rStyle w:val="65"/>
                  <w:rFonts w:hint="eastAsia" w:asciiTheme="minorEastAsia" w:hAnsiTheme="minorEastAsia" w:eastAsiaTheme="minorEastAsia" w:cstheme="minorEastAsia"/>
                  <w:color w:val="000000"/>
                  <w:szCs w:val="21"/>
                </w:rPr>
                <w:t>公司2024年二氧化硫排放量为0.0603吨，氮氧化物排放量为0.2686吨。详见下表：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780"/>
                <w:gridCol w:w="780"/>
                <w:gridCol w:w="781"/>
                <w:gridCol w:w="781"/>
                <w:gridCol w:w="868"/>
                <w:gridCol w:w="781"/>
                <w:gridCol w:w="781"/>
                <w:gridCol w:w="1710"/>
                <w:gridCol w:w="781"/>
              </w:tblGrid>
              <w:tr w14:paraId="2297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vAlign w:val="center"/>
                  </w:tcPr>
                  <w:p w14:paraId="65C366C5">
                    <w:pPr>
                      <w:widowControl w:val="0"/>
                      <w:jc w:val="center"/>
                      <w:rPr>
                        <w:rFonts w:hint="eastAsia"/>
                        <w:sz w:val="18"/>
                        <w:szCs w:val="18"/>
                      </w:rPr>
                    </w:pPr>
                    <w:r>
                      <w:rPr>
                        <w:rFonts w:hint="eastAsia"/>
                        <w:sz w:val="18"/>
                        <w:szCs w:val="18"/>
                      </w:rPr>
                      <w:t>污染物名称</w:t>
                    </w:r>
                  </w:p>
                </w:tc>
                <w:tc>
                  <w:tcPr>
                    <w:tcW w:w="803" w:type="dxa"/>
                    <w:vAlign w:val="center"/>
                  </w:tcPr>
                  <w:p w14:paraId="144A938D">
                    <w:pPr>
                      <w:widowControl w:val="0"/>
                      <w:jc w:val="center"/>
                      <w:rPr>
                        <w:rFonts w:hint="eastAsia"/>
                        <w:sz w:val="18"/>
                        <w:szCs w:val="18"/>
                      </w:rPr>
                    </w:pPr>
                    <w:r>
                      <w:rPr>
                        <w:rFonts w:hint="eastAsia"/>
                        <w:sz w:val="18"/>
                        <w:szCs w:val="18"/>
                      </w:rPr>
                      <w:t>排放方式</w:t>
                    </w:r>
                  </w:p>
                </w:tc>
                <w:tc>
                  <w:tcPr>
                    <w:tcW w:w="803" w:type="dxa"/>
                    <w:vAlign w:val="center"/>
                  </w:tcPr>
                  <w:p w14:paraId="0C0B35A2">
                    <w:pPr>
                      <w:widowControl w:val="0"/>
                      <w:jc w:val="center"/>
                      <w:rPr>
                        <w:rFonts w:hint="eastAsia"/>
                        <w:sz w:val="18"/>
                        <w:szCs w:val="18"/>
                      </w:rPr>
                    </w:pPr>
                    <w:r>
                      <w:rPr>
                        <w:rFonts w:hint="eastAsia"/>
                        <w:sz w:val="18"/>
                        <w:szCs w:val="18"/>
                      </w:rPr>
                      <w:t>排放口数量</w:t>
                    </w:r>
                  </w:p>
                </w:tc>
                <w:tc>
                  <w:tcPr>
                    <w:tcW w:w="804" w:type="dxa"/>
                    <w:vAlign w:val="center"/>
                  </w:tcPr>
                  <w:p w14:paraId="25153E2D">
                    <w:pPr>
                      <w:widowControl w:val="0"/>
                      <w:jc w:val="center"/>
                      <w:rPr>
                        <w:rFonts w:hint="eastAsia"/>
                        <w:sz w:val="18"/>
                        <w:szCs w:val="18"/>
                      </w:rPr>
                    </w:pPr>
                    <w:r>
                      <w:rPr>
                        <w:rFonts w:hint="eastAsia"/>
                        <w:sz w:val="18"/>
                        <w:szCs w:val="18"/>
                      </w:rPr>
                      <w:t>排放口分布</w:t>
                    </w:r>
                  </w:p>
                </w:tc>
                <w:tc>
                  <w:tcPr>
                    <w:tcW w:w="804" w:type="dxa"/>
                    <w:vAlign w:val="center"/>
                  </w:tcPr>
                  <w:p w14:paraId="3AFF1246">
                    <w:pPr>
                      <w:widowControl w:val="0"/>
                      <w:jc w:val="center"/>
                      <w:rPr>
                        <w:rFonts w:hint="eastAsia"/>
                        <w:sz w:val="18"/>
                        <w:szCs w:val="18"/>
                      </w:rPr>
                    </w:pPr>
                    <w:r>
                      <w:rPr>
                        <w:rFonts w:hint="eastAsia"/>
                        <w:sz w:val="18"/>
                        <w:szCs w:val="18"/>
                      </w:rPr>
                      <w:t>排放浓度</w:t>
                    </w:r>
                  </w:p>
                </w:tc>
                <w:tc>
                  <w:tcPr>
                    <w:tcW w:w="875" w:type="dxa"/>
                    <w:vAlign w:val="center"/>
                  </w:tcPr>
                  <w:p w14:paraId="666CDDAC">
                    <w:pPr>
                      <w:widowControl w:val="0"/>
                      <w:jc w:val="center"/>
                      <w:rPr>
                        <w:rFonts w:hint="eastAsia"/>
                        <w:sz w:val="18"/>
                        <w:szCs w:val="18"/>
                      </w:rPr>
                    </w:pPr>
                    <w:r>
                      <w:rPr>
                        <w:rFonts w:hint="eastAsia"/>
                        <w:sz w:val="18"/>
                        <w:szCs w:val="18"/>
                      </w:rPr>
                      <w:t>排放总量</w:t>
                    </w:r>
                  </w:p>
                </w:tc>
                <w:tc>
                  <w:tcPr>
                    <w:tcW w:w="804" w:type="dxa"/>
                    <w:vAlign w:val="center"/>
                  </w:tcPr>
                  <w:p w14:paraId="7980EBF1">
                    <w:pPr>
                      <w:widowControl w:val="0"/>
                      <w:jc w:val="center"/>
                      <w:rPr>
                        <w:rFonts w:hint="eastAsia"/>
                        <w:sz w:val="18"/>
                        <w:szCs w:val="18"/>
                      </w:rPr>
                    </w:pPr>
                    <w:r>
                      <w:rPr>
                        <w:rFonts w:hint="eastAsia"/>
                        <w:sz w:val="18"/>
                        <w:szCs w:val="18"/>
                      </w:rPr>
                      <w:t>超标排放情况</w:t>
                    </w:r>
                  </w:p>
                </w:tc>
                <w:tc>
                  <w:tcPr>
                    <w:tcW w:w="804" w:type="dxa"/>
                    <w:vAlign w:val="center"/>
                  </w:tcPr>
                  <w:p w14:paraId="61E8824C">
                    <w:pPr>
                      <w:widowControl w:val="0"/>
                      <w:jc w:val="center"/>
                      <w:rPr>
                        <w:rFonts w:hint="eastAsia"/>
                        <w:sz w:val="18"/>
                        <w:szCs w:val="18"/>
                      </w:rPr>
                    </w:pPr>
                    <w:r>
                      <w:rPr>
                        <w:rFonts w:hint="eastAsia"/>
                        <w:sz w:val="18"/>
                        <w:szCs w:val="18"/>
                      </w:rPr>
                      <w:t>核定排放总量</w:t>
                    </w:r>
                  </w:p>
                </w:tc>
                <w:tc>
                  <w:tcPr>
                    <w:tcW w:w="1746" w:type="dxa"/>
                    <w:vAlign w:val="center"/>
                  </w:tcPr>
                  <w:p w14:paraId="2FDB804B">
                    <w:pPr>
                      <w:widowControl w:val="0"/>
                      <w:jc w:val="center"/>
                      <w:rPr>
                        <w:rFonts w:hint="eastAsia"/>
                        <w:sz w:val="18"/>
                        <w:szCs w:val="18"/>
                      </w:rPr>
                    </w:pPr>
                    <w:r>
                      <w:rPr>
                        <w:rFonts w:hint="eastAsia"/>
                        <w:sz w:val="18"/>
                        <w:szCs w:val="18"/>
                      </w:rPr>
                      <w:t>执行排放标准</w:t>
                    </w:r>
                  </w:p>
                </w:tc>
                <w:tc>
                  <w:tcPr>
                    <w:tcW w:w="804" w:type="dxa"/>
                    <w:vAlign w:val="center"/>
                  </w:tcPr>
                  <w:p w14:paraId="12D57931">
                    <w:pPr>
                      <w:widowControl w:val="0"/>
                      <w:jc w:val="center"/>
                      <w:rPr>
                        <w:rFonts w:hint="eastAsia"/>
                        <w:sz w:val="18"/>
                        <w:szCs w:val="18"/>
                      </w:rPr>
                    </w:pPr>
                    <w:r>
                      <w:rPr>
                        <w:rFonts w:hint="eastAsia"/>
                        <w:sz w:val="18"/>
                        <w:szCs w:val="18"/>
                      </w:rPr>
                      <w:t>备注</w:t>
                    </w:r>
                  </w:p>
                </w:tc>
              </w:tr>
              <w:tr w14:paraId="4A2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vAlign w:val="center"/>
                  </w:tcPr>
                  <w:p w14:paraId="17BE60C7">
                    <w:pPr>
                      <w:widowControl w:val="0"/>
                      <w:jc w:val="center"/>
                      <w:rPr>
                        <w:rFonts w:hint="eastAsia"/>
                        <w:sz w:val="18"/>
                        <w:szCs w:val="18"/>
                      </w:rPr>
                    </w:pPr>
                    <w:r>
                      <w:rPr>
                        <w:rFonts w:hint="eastAsia"/>
                        <w:sz w:val="18"/>
                        <w:szCs w:val="18"/>
                      </w:rPr>
                      <w:t>二氧化硫</w:t>
                    </w:r>
                  </w:p>
                </w:tc>
                <w:tc>
                  <w:tcPr>
                    <w:tcW w:w="803" w:type="dxa"/>
                    <w:vAlign w:val="center"/>
                  </w:tcPr>
                  <w:p w14:paraId="7D935E1F">
                    <w:pPr>
                      <w:widowControl w:val="0"/>
                      <w:jc w:val="center"/>
                      <w:rPr>
                        <w:rFonts w:hint="eastAsia"/>
                        <w:sz w:val="18"/>
                        <w:szCs w:val="18"/>
                      </w:rPr>
                    </w:pPr>
                    <w:r>
                      <w:rPr>
                        <w:rFonts w:hint="eastAsia"/>
                        <w:sz w:val="18"/>
                        <w:szCs w:val="18"/>
                      </w:rPr>
                      <w:t>间歇性排放</w:t>
                    </w:r>
                  </w:p>
                </w:tc>
                <w:tc>
                  <w:tcPr>
                    <w:tcW w:w="803" w:type="dxa"/>
                    <w:vAlign w:val="center"/>
                  </w:tcPr>
                  <w:p w14:paraId="198ED56F">
                    <w:pPr>
                      <w:widowControl w:val="0"/>
                      <w:jc w:val="center"/>
                      <w:rPr>
                        <w:rFonts w:hint="eastAsia"/>
                        <w:sz w:val="18"/>
                        <w:szCs w:val="18"/>
                      </w:rPr>
                    </w:pPr>
                    <w:r>
                      <w:rPr>
                        <w:rFonts w:hint="eastAsia"/>
                        <w:sz w:val="18"/>
                        <w:szCs w:val="18"/>
                      </w:rPr>
                      <w:t>1</w:t>
                    </w:r>
                  </w:p>
                </w:tc>
                <w:tc>
                  <w:tcPr>
                    <w:tcW w:w="804" w:type="dxa"/>
                    <w:vAlign w:val="center"/>
                  </w:tcPr>
                  <w:p w14:paraId="179EB4B4">
                    <w:pPr>
                      <w:widowControl w:val="0"/>
                      <w:jc w:val="center"/>
                      <w:rPr>
                        <w:rFonts w:hint="eastAsia"/>
                        <w:sz w:val="18"/>
                        <w:szCs w:val="18"/>
                      </w:rPr>
                    </w:pPr>
                    <w:r>
                      <w:rPr>
                        <w:rFonts w:hint="eastAsia"/>
                        <w:sz w:val="18"/>
                        <w:szCs w:val="18"/>
                      </w:rPr>
                      <w:t>厂区西北角</w:t>
                    </w:r>
                  </w:p>
                </w:tc>
                <w:tc>
                  <w:tcPr>
                    <w:tcW w:w="804" w:type="dxa"/>
                    <w:vAlign w:val="center"/>
                  </w:tcPr>
                  <w:p w14:paraId="3E872BC4">
                    <w:pPr>
                      <w:widowControl w:val="0"/>
                      <w:jc w:val="center"/>
                      <w:rPr>
                        <w:rFonts w:hint="eastAsia"/>
                        <w:sz w:val="18"/>
                        <w:szCs w:val="18"/>
                      </w:rPr>
                    </w:pPr>
                    <w:r>
                      <w:rPr>
                        <w:rFonts w:hint="eastAsia"/>
                        <w:sz w:val="18"/>
                        <w:szCs w:val="18"/>
                      </w:rPr>
                      <w:t>-</w:t>
                    </w:r>
                  </w:p>
                </w:tc>
                <w:tc>
                  <w:tcPr>
                    <w:tcW w:w="875" w:type="dxa"/>
                    <w:vAlign w:val="center"/>
                  </w:tcPr>
                  <w:p w14:paraId="62A6D7E4">
                    <w:pPr>
                      <w:widowControl w:val="0"/>
                      <w:jc w:val="center"/>
                      <w:rPr>
                        <w:rFonts w:hint="eastAsia"/>
                        <w:sz w:val="18"/>
                        <w:szCs w:val="18"/>
                      </w:rPr>
                    </w:pPr>
                    <w:r>
                      <w:rPr>
                        <w:rFonts w:hint="eastAsia"/>
                        <w:sz w:val="18"/>
                        <w:szCs w:val="18"/>
                      </w:rPr>
                      <w:t>0.0603吨</w:t>
                    </w:r>
                  </w:p>
                </w:tc>
                <w:tc>
                  <w:tcPr>
                    <w:tcW w:w="804" w:type="dxa"/>
                    <w:vAlign w:val="center"/>
                  </w:tcPr>
                  <w:p w14:paraId="35B52FED">
                    <w:pPr>
                      <w:widowControl w:val="0"/>
                      <w:jc w:val="center"/>
                      <w:rPr>
                        <w:rFonts w:hint="eastAsia"/>
                        <w:sz w:val="18"/>
                        <w:szCs w:val="18"/>
                      </w:rPr>
                    </w:pPr>
                    <w:r>
                      <w:rPr>
                        <w:rFonts w:hint="eastAsia"/>
                        <w:sz w:val="18"/>
                        <w:szCs w:val="18"/>
                      </w:rPr>
                      <w:t>无</w:t>
                    </w:r>
                  </w:p>
                </w:tc>
                <w:tc>
                  <w:tcPr>
                    <w:tcW w:w="804" w:type="dxa"/>
                    <w:vAlign w:val="center"/>
                  </w:tcPr>
                  <w:p w14:paraId="02FC78BC">
                    <w:pPr>
                      <w:widowControl w:val="0"/>
                      <w:jc w:val="center"/>
                      <w:rPr>
                        <w:rFonts w:hint="eastAsia"/>
                        <w:sz w:val="18"/>
                        <w:szCs w:val="18"/>
                      </w:rPr>
                    </w:pPr>
                    <w:r>
                      <w:rPr>
                        <w:rFonts w:hint="eastAsia"/>
                        <w:sz w:val="18"/>
                        <w:szCs w:val="18"/>
                      </w:rPr>
                      <w:t>-</w:t>
                    </w:r>
                  </w:p>
                </w:tc>
                <w:tc>
                  <w:tcPr>
                    <w:tcW w:w="1746" w:type="dxa"/>
                    <w:vMerge w:val="restart"/>
                    <w:vAlign w:val="center"/>
                  </w:tcPr>
                  <w:p w14:paraId="2AB06B69">
                    <w:pPr>
                      <w:widowControl w:val="0"/>
                      <w:jc w:val="center"/>
                      <w:rPr>
                        <w:rFonts w:hint="eastAsia"/>
                        <w:sz w:val="18"/>
                        <w:szCs w:val="18"/>
                      </w:rPr>
                    </w:pPr>
                    <w:r>
                      <w:rPr>
                        <w:rFonts w:hint="eastAsia"/>
                        <w:sz w:val="18"/>
                        <w:szCs w:val="18"/>
                      </w:rPr>
                      <w:t>《锅炉大气污染物排放标准》-（GB13271-2014）</w:t>
                    </w:r>
                  </w:p>
                </w:tc>
                <w:tc>
                  <w:tcPr>
                    <w:tcW w:w="804" w:type="dxa"/>
                    <w:vAlign w:val="center"/>
                  </w:tcPr>
                  <w:p w14:paraId="4D156DF1">
                    <w:pPr>
                      <w:widowControl w:val="0"/>
                      <w:jc w:val="center"/>
                      <w:rPr>
                        <w:rFonts w:hint="eastAsia"/>
                        <w:sz w:val="18"/>
                        <w:szCs w:val="18"/>
                      </w:rPr>
                    </w:pPr>
                    <w:r>
                      <w:rPr>
                        <w:rFonts w:hint="eastAsia"/>
                        <w:sz w:val="18"/>
                        <w:szCs w:val="18"/>
                      </w:rPr>
                      <w:t>2吨燃气锅炉</w:t>
                    </w:r>
                  </w:p>
                </w:tc>
              </w:tr>
              <w:tr w14:paraId="0E43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vAlign w:val="center"/>
                  </w:tcPr>
                  <w:p w14:paraId="6CA7094E">
                    <w:pPr>
                      <w:widowControl w:val="0"/>
                      <w:jc w:val="center"/>
                      <w:rPr>
                        <w:rFonts w:hint="eastAsia"/>
                        <w:sz w:val="18"/>
                        <w:szCs w:val="18"/>
                      </w:rPr>
                    </w:pPr>
                    <w:r>
                      <w:rPr>
                        <w:rFonts w:hint="eastAsia"/>
                        <w:sz w:val="18"/>
                        <w:szCs w:val="18"/>
                      </w:rPr>
                      <w:t>氮氧化物</w:t>
                    </w:r>
                  </w:p>
                </w:tc>
                <w:tc>
                  <w:tcPr>
                    <w:tcW w:w="803" w:type="dxa"/>
                    <w:vAlign w:val="center"/>
                  </w:tcPr>
                  <w:p w14:paraId="5F1CEDE5">
                    <w:pPr>
                      <w:widowControl w:val="0"/>
                      <w:jc w:val="center"/>
                      <w:rPr>
                        <w:rFonts w:hint="eastAsia"/>
                        <w:sz w:val="18"/>
                        <w:szCs w:val="18"/>
                      </w:rPr>
                    </w:pPr>
                    <w:r>
                      <w:rPr>
                        <w:rFonts w:hint="eastAsia"/>
                        <w:sz w:val="18"/>
                        <w:szCs w:val="18"/>
                      </w:rPr>
                      <w:t>间歇性排放</w:t>
                    </w:r>
                  </w:p>
                </w:tc>
                <w:tc>
                  <w:tcPr>
                    <w:tcW w:w="803" w:type="dxa"/>
                    <w:vAlign w:val="center"/>
                  </w:tcPr>
                  <w:p w14:paraId="73DF4E11">
                    <w:pPr>
                      <w:widowControl w:val="0"/>
                      <w:jc w:val="center"/>
                      <w:rPr>
                        <w:rFonts w:hint="eastAsia"/>
                        <w:sz w:val="18"/>
                        <w:szCs w:val="18"/>
                      </w:rPr>
                    </w:pPr>
                    <w:r>
                      <w:rPr>
                        <w:rFonts w:hint="eastAsia"/>
                        <w:sz w:val="18"/>
                        <w:szCs w:val="18"/>
                      </w:rPr>
                      <w:t>1</w:t>
                    </w:r>
                  </w:p>
                </w:tc>
                <w:tc>
                  <w:tcPr>
                    <w:tcW w:w="804" w:type="dxa"/>
                    <w:vAlign w:val="center"/>
                  </w:tcPr>
                  <w:p w14:paraId="58C2E73F">
                    <w:pPr>
                      <w:widowControl w:val="0"/>
                      <w:jc w:val="center"/>
                      <w:rPr>
                        <w:rFonts w:hint="eastAsia"/>
                        <w:sz w:val="18"/>
                        <w:szCs w:val="18"/>
                      </w:rPr>
                    </w:pPr>
                    <w:r>
                      <w:rPr>
                        <w:rFonts w:hint="eastAsia"/>
                        <w:sz w:val="18"/>
                        <w:szCs w:val="18"/>
                      </w:rPr>
                      <w:t>厂区西北角</w:t>
                    </w:r>
                  </w:p>
                </w:tc>
                <w:tc>
                  <w:tcPr>
                    <w:tcW w:w="804" w:type="dxa"/>
                    <w:vAlign w:val="center"/>
                  </w:tcPr>
                  <w:p w14:paraId="482E4C81">
                    <w:pPr>
                      <w:widowControl w:val="0"/>
                      <w:jc w:val="center"/>
                      <w:rPr>
                        <w:rFonts w:hint="eastAsia"/>
                        <w:sz w:val="18"/>
                        <w:szCs w:val="18"/>
                      </w:rPr>
                    </w:pPr>
                    <w:r>
                      <w:rPr>
                        <w:rFonts w:hint="eastAsia"/>
                        <w:sz w:val="18"/>
                        <w:szCs w:val="18"/>
                      </w:rPr>
                      <w:t>-</w:t>
                    </w:r>
                  </w:p>
                </w:tc>
                <w:tc>
                  <w:tcPr>
                    <w:tcW w:w="875" w:type="dxa"/>
                    <w:vAlign w:val="center"/>
                  </w:tcPr>
                  <w:p w14:paraId="3339CAEE">
                    <w:pPr>
                      <w:widowControl w:val="0"/>
                      <w:jc w:val="center"/>
                      <w:rPr>
                        <w:rFonts w:hint="eastAsia"/>
                        <w:sz w:val="18"/>
                        <w:szCs w:val="18"/>
                      </w:rPr>
                    </w:pPr>
                    <w:r>
                      <w:rPr>
                        <w:rFonts w:hint="eastAsia"/>
                        <w:sz w:val="18"/>
                        <w:szCs w:val="18"/>
                      </w:rPr>
                      <w:t>0.2686吨</w:t>
                    </w:r>
                  </w:p>
                </w:tc>
                <w:tc>
                  <w:tcPr>
                    <w:tcW w:w="804" w:type="dxa"/>
                    <w:vAlign w:val="center"/>
                  </w:tcPr>
                  <w:p w14:paraId="4B2ACCAD">
                    <w:pPr>
                      <w:widowControl w:val="0"/>
                      <w:jc w:val="center"/>
                      <w:rPr>
                        <w:rFonts w:hint="eastAsia"/>
                        <w:sz w:val="18"/>
                        <w:szCs w:val="18"/>
                      </w:rPr>
                    </w:pPr>
                    <w:r>
                      <w:rPr>
                        <w:rFonts w:hint="eastAsia"/>
                        <w:sz w:val="18"/>
                        <w:szCs w:val="18"/>
                      </w:rPr>
                      <w:t>无</w:t>
                    </w:r>
                  </w:p>
                </w:tc>
                <w:tc>
                  <w:tcPr>
                    <w:tcW w:w="804" w:type="dxa"/>
                    <w:vAlign w:val="center"/>
                  </w:tcPr>
                  <w:p w14:paraId="43FAD5E0">
                    <w:pPr>
                      <w:widowControl w:val="0"/>
                      <w:jc w:val="center"/>
                      <w:rPr>
                        <w:rFonts w:hint="eastAsia"/>
                        <w:sz w:val="18"/>
                        <w:szCs w:val="18"/>
                      </w:rPr>
                    </w:pPr>
                    <w:r>
                      <w:rPr>
                        <w:rFonts w:hint="eastAsia"/>
                        <w:sz w:val="18"/>
                        <w:szCs w:val="18"/>
                      </w:rPr>
                      <w:t>-</w:t>
                    </w:r>
                  </w:p>
                </w:tc>
                <w:tc>
                  <w:tcPr>
                    <w:tcW w:w="1746" w:type="dxa"/>
                    <w:vMerge w:val="continue"/>
                    <w:vAlign w:val="center"/>
                  </w:tcPr>
                  <w:p w14:paraId="08EBC1BA">
                    <w:pPr>
                      <w:widowControl w:val="0"/>
                      <w:jc w:val="center"/>
                      <w:rPr>
                        <w:rFonts w:hint="eastAsia"/>
                        <w:sz w:val="18"/>
                        <w:szCs w:val="18"/>
                      </w:rPr>
                    </w:pPr>
                  </w:p>
                </w:tc>
                <w:tc>
                  <w:tcPr>
                    <w:tcW w:w="804" w:type="dxa"/>
                    <w:vAlign w:val="center"/>
                  </w:tcPr>
                  <w:p w14:paraId="5773BDC2">
                    <w:pPr>
                      <w:widowControl w:val="0"/>
                      <w:jc w:val="center"/>
                      <w:rPr>
                        <w:rFonts w:hint="eastAsia"/>
                        <w:sz w:val="18"/>
                        <w:szCs w:val="18"/>
                      </w:rPr>
                    </w:pPr>
                    <w:r>
                      <w:rPr>
                        <w:rFonts w:hint="eastAsia"/>
                        <w:sz w:val="18"/>
                        <w:szCs w:val="18"/>
                      </w:rPr>
                      <w:t>2吨燃气锅炉</w:t>
                    </w:r>
                  </w:p>
                </w:tc>
              </w:tr>
            </w:tbl>
            <w:p w14:paraId="51EC5449">
              <w:pPr>
                <w:pStyle w:val="44"/>
                <w:ind w:firstLine="0" w:firstLineChars="0"/>
                <w:rPr>
                  <w:rFonts w:hint="eastAsia" w:ascii="宋体" w:hAnsi="宋体"/>
                </w:rPr>
              </w:pPr>
            </w:p>
          </w:sdtContent>
        </w:sdt>
      </w:sdtContent>
    </w:sdt>
    <w:p w14:paraId="726A60F0">
      <w:pPr>
        <w:rPr>
          <w:rFonts w:hint="eastAsia"/>
        </w:rPr>
      </w:pPr>
    </w:p>
    <w:p w14:paraId="7615D105">
      <w:pPr>
        <w:pStyle w:val="5"/>
        <w:numPr>
          <w:ilvl w:val="0"/>
          <w:numId w:val="46"/>
        </w:numPr>
        <w:rPr>
          <w:rFonts w:hint="eastAsia" w:ascii="宋体" w:hAnsi="宋体"/>
        </w:rPr>
      </w:pPr>
      <w:r>
        <w:rPr>
          <w:rFonts w:hint="eastAsia" w:ascii="宋体" w:hAnsi="宋体"/>
        </w:rPr>
        <w:t>防治污染设施的建设和运行情况</w:t>
      </w:r>
    </w:p>
    <w:sdt>
      <w:sdtPr>
        <w:alias w:val="是否适用：防治污染设施的建设和运行情况[双击切换]"/>
        <w:tag w:val="_GBC_665c787eaadc48818cfce34c2b6143fc"/>
        <w:id w:val="-604507974"/>
        <w:placeholder>
          <w:docPart w:val="GBC22222222222222222222222222222"/>
        </w:placeholder>
      </w:sdtPr>
      <w:sdtContent>
        <w:p w14:paraId="3E00942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防治污染设施的建设和运行情况"/>
        <w:tag w:val="_GBC_c27cfa9787844f19acb594b8dca60fdb"/>
        <w:id w:val="2134515492"/>
        <w:placeholder>
          <w:docPart w:val="GBC22222222222222222222222222222"/>
        </w:placeholder>
      </w:sdtPr>
      <w:sdtContent>
        <w:p w14:paraId="37401580">
          <w:pPr>
            <w:ind w:firstLine="420"/>
            <w:rPr>
              <w:rFonts w:hint="eastAsia"/>
            </w:rPr>
          </w:pPr>
          <w:r>
            <w:rPr>
              <w:rFonts w:hint="eastAsia"/>
              <w:lang w:bidi="ar"/>
            </w:rPr>
            <w:t>2024年公司及重点排污企业严格遵守国家及行业相关法律、法规和标准，认真落实生态环境保护“党政同责”、“一岗双责”等系列责任，扎实深入地开展环保管理工作。同时公司坚持“环保就是生产力”理念，加大环保设施、设备及污染防治资金的投入力度，实施环保设施标准化管理，加强环保及污染防治工作考核力度，做到了环保设施完好、有效、稳定运行，各项外排污染物排放达到国家排放标准，污染物排放总量满足区域总量控制指标。</w:t>
          </w:r>
        </w:p>
      </w:sdtContent>
    </w:sdt>
    <w:p w14:paraId="3085A2F9">
      <w:pPr>
        <w:pStyle w:val="44"/>
        <w:ind w:firstLine="0" w:firstLineChars="0"/>
        <w:rPr>
          <w:rFonts w:hint="eastAsia" w:ascii="宋体" w:hAnsi="宋体"/>
        </w:rPr>
      </w:pPr>
    </w:p>
    <w:p w14:paraId="11C9EB46">
      <w:pPr>
        <w:pStyle w:val="5"/>
        <w:numPr>
          <w:ilvl w:val="0"/>
          <w:numId w:val="46"/>
        </w:numPr>
        <w:rPr>
          <w:rFonts w:hint="eastAsia" w:ascii="宋体" w:hAnsi="宋体"/>
        </w:rPr>
      </w:pPr>
      <w:r>
        <w:rPr>
          <w:rFonts w:hint="eastAsia" w:ascii="宋体" w:hAnsi="宋体"/>
        </w:rPr>
        <w:t>建设项目环境影响评价及其他环境保护行政许可情况</w:t>
      </w:r>
    </w:p>
    <w:sdt>
      <w:sdtPr>
        <w:rPr>
          <w:rFonts w:hint="eastAsia" w:ascii="宋体" w:hAnsi="宋体"/>
        </w:rPr>
        <w:alias w:val="是否适用：环境影响评价及其他环境保护行政许可[双击切换]"/>
        <w:tag w:val="_GBC_b1119f4f82174fe198452c8d630e1378"/>
        <w:id w:val="55451761"/>
        <w:placeholder>
          <w:docPart w:val="GBC22222222222222222222222222222"/>
        </w:placeholder>
      </w:sdtPr>
      <w:sdtEndPr>
        <w:rPr>
          <w:rFonts w:hint="eastAsia" w:ascii="宋体" w:hAnsi="宋体"/>
        </w:rPr>
      </w:sdtEndPr>
      <w:sdtContent>
        <w:p w14:paraId="0A53947B">
          <w:pPr>
            <w:pStyle w:val="44"/>
            <w:ind w:firstLine="0" w:firstLineChars="0"/>
            <w:rPr>
              <w:rFonts w:hint="eastAsia" w:ascii="宋体" w:hAnsi="宋体"/>
            </w:rPr>
          </w:pPr>
          <w:r>
            <w:rPr>
              <w:rFonts w:ascii="宋体" w:hAnsi="宋体"/>
            </w:rPr>
            <w:fldChar w:fldCharType="begin"/>
          </w:r>
          <w:r>
            <w:rPr>
              <w:rFonts w:ascii="宋体" w:hAnsi="宋体"/>
            </w:rPr>
            <w:instrText xml:space="preserve"> </w:instrText>
          </w:r>
          <w:r>
            <w:rPr>
              <w:rFonts w:hint="eastAsia" w:ascii="宋体" w:hAnsi="宋体"/>
            </w:rPr>
            <w:instrText xml:space="preserve">MACROBUTTON  SnrToggleCheckbox √适用</w:instrText>
          </w:r>
          <w:r>
            <w:rPr>
              <w:rFonts w:ascii="宋体" w:hAnsi="宋体"/>
            </w:rPr>
            <w:instrText xml:space="preserve">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环境影响评价及其他环境保护行政许可"/>
        <w:tag w:val="_GBC_514c62e995014de18ee8286e2b72f880"/>
        <w:id w:val="-638952626"/>
        <w:placeholder>
          <w:docPart w:val="GBC22222222222222222222222222222"/>
        </w:placeholder>
      </w:sdtPr>
      <w:sdtContent>
        <w:p w14:paraId="4373E110">
          <w:pPr>
            <w:ind w:firstLine="420"/>
            <w:rPr>
              <w:rFonts w:hint="eastAsia"/>
            </w:rPr>
          </w:pPr>
          <w:r>
            <w:rPr>
              <w:rFonts w:hint="eastAsia"/>
              <w:color w:val="000000"/>
              <w:lang w:bidi="ar"/>
            </w:rPr>
            <w:t>公司及重点排污企业严格执行建设项目“三同时”管理制度，各项环保项目建设均严格执行“环境影响评价”和“三同时”等制度要求。报告期内，际华三五四二纺织有限公司研究院大楼 在环境影响评价系统中做了登记；</w:t>
          </w:r>
          <w:r>
            <w:rPr>
              <w:rFonts w:hint="eastAsia"/>
              <w:color w:val="000000"/>
              <w:szCs w:val="21"/>
              <w:lang w:bidi="ar"/>
            </w:rPr>
            <w:t>际华三五四三针织服饰有限公司的《拉幅定型机技术改造项目》于6月份通过审批部门批复（</w:t>
          </w:r>
          <w:r>
            <w:rPr>
              <w:rFonts w:hint="eastAsia"/>
            </w:rPr>
            <w:t>涿行审环评【2024】31号</w:t>
          </w:r>
          <w:r>
            <w:rPr>
              <w:rFonts w:hint="eastAsia"/>
              <w:color w:val="000000"/>
              <w:szCs w:val="21"/>
              <w:lang w:bidi="ar"/>
            </w:rPr>
            <w:t>），12月份完成建设项目竣工环境保护验收工作。</w:t>
          </w:r>
        </w:p>
      </w:sdtContent>
    </w:sdt>
    <w:p w14:paraId="4F8E0D5C">
      <w:pPr>
        <w:rPr>
          <w:rFonts w:hint="eastAsia"/>
        </w:rPr>
      </w:pPr>
    </w:p>
    <w:p w14:paraId="17A36781">
      <w:pPr>
        <w:pStyle w:val="5"/>
        <w:numPr>
          <w:ilvl w:val="0"/>
          <w:numId w:val="46"/>
        </w:numPr>
        <w:rPr>
          <w:rFonts w:hint="eastAsia" w:ascii="宋体" w:hAnsi="宋体"/>
        </w:rPr>
      </w:pPr>
      <w:r>
        <w:rPr>
          <w:rFonts w:hint="eastAsia" w:ascii="宋体" w:hAnsi="宋体"/>
        </w:rPr>
        <w:t>突发环境事件应急预案</w:t>
      </w:r>
    </w:p>
    <w:sdt>
      <w:sdtPr>
        <w:alias w:val="是否适用：突发环境事件应急预案[双击切换]"/>
        <w:tag w:val="_GBC_320f7292de294add91d1065ccfdd3b3b"/>
        <w:id w:val="503242175"/>
        <w:placeholder>
          <w:docPart w:val="GBC22222222222222222222222222222"/>
        </w:placeholder>
      </w:sdtPr>
      <w:sdtContent>
        <w:p w14:paraId="72C6749C">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突发环境事件应急预案"/>
        <w:tag w:val="_GBC_e110284d79c948878cb696cb6474bb1e"/>
        <w:id w:val="1667131214"/>
        <w:placeholder>
          <w:docPart w:val="GBC22222222222222222222222222222"/>
        </w:placeholder>
      </w:sdtPr>
      <w:sdtContent>
        <w:p w14:paraId="42748014">
          <w:pPr>
            <w:ind w:firstLine="420"/>
            <w:rPr>
              <w:rFonts w:hint="eastAsia"/>
            </w:rPr>
          </w:pPr>
          <w:r>
            <w:rPr>
              <w:rFonts w:hint="eastAsia"/>
              <w:color w:val="000000"/>
              <w:szCs w:val="21"/>
              <w:lang w:bidi="ar"/>
            </w:rPr>
            <w:t>公司及重点排污企业积极贯彻《中华人民共和国环境保护法》《中华人民共和国突发事件应对法》等各项政策规章要求，严格履行环境保护责任。公司所属重点排污企业均结合本单位实际情况，全面开展《突发环境事件应急预案》的编制、修订、报送及备案工作，并适时组织了演练、评审。建立健全了环境应急体系，确保企业在发生突发环境事件时，各项应急工作能够快速启动，高效有序，避免或最大限度地减轻突发环境事件对环境造成的危害和损失，稳步提升环保突发问题的应对能力。</w:t>
          </w:r>
        </w:p>
      </w:sdtContent>
    </w:sdt>
    <w:p w14:paraId="0A625F67">
      <w:pPr>
        <w:rPr>
          <w:rFonts w:hint="eastAsia"/>
        </w:rPr>
      </w:pPr>
    </w:p>
    <w:p w14:paraId="7AF2A79D">
      <w:pPr>
        <w:pStyle w:val="5"/>
        <w:numPr>
          <w:ilvl w:val="0"/>
          <w:numId w:val="46"/>
        </w:numPr>
        <w:rPr>
          <w:rFonts w:hint="eastAsia" w:ascii="宋体" w:hAnsi="宋体"/>
        </w:rPr>
      </w:pPr>
      <w:r>
        <w:rPr>
          <w:rFonts w:hint="eastAsia" w:ascii="宋体" w:hAnsi="宋体"/>
        </w:rPr>
        <w:t>环境自行监测方案</w:t>
      </w:r>
    </w:p>
    <w:sdt>
      <w:sdtPr>
        <w:rPr>
          <w:rFonts w:hint="eastAsia" w:ascii="宋体" w:hAnsi="宋体"/>
        </w:rPr>
        <w:alias w:val="是否适用：环境自行监测方案[双击切换]"/>
        <w:tag w:val="_GBC_11a22cdfe2d94619a57dc598b14322b3"/>
        <w:id w:val="2092661626"/>
        <w:placeholder>
          <w:docPart w:val="GBC22222222222222222222222222222"/>
        </w:placeholder>
      </w:sdtPr>
      <w:sdtEndPr>
        <w:rPr>
          <w:rFonts w:hint="eastAsia" w:ascii="宋体" w:hAnsi="宋体"/>
        </w:rPr>
      </w:sdtEndPr>
      <w:sdtContent>
        <w:p w14:paraId="4A1530E3">
          <w:pPr>
            <w:pStyle w:val="44"/>
            <w:ind w:firstLine="0" w:firstLineChars="0"/>
            <w:rPr>
              <w:rFonts w:hint="eastAsia" w:ascii="宋体" w:hAnsi="宋体"/>
            </w:rPr>
          </w:pPr>
          <w:r>
            <w:rPr>
              <w:rFonts w:ascii="宋体" w:hAnsi="宋体"/>
            </w:rPr>
            <w:fldChar w:fldCharType="begin"/>
          </w:r>
          <w:r>
            <w:rPr>
              <w:rFonts w:ascii="宋体" w:hAnsi="宋体"/>
            </w:rPr>
            <w:instrText xml:space="preserve"> </w:instrText>
          </w:r>
          <w:r>
            <w:rPr>
              <w:rFonts w:hint="eastAsia" w:ascii="宋体" w:hAnsi="宋体"/>
            </w:rPr>
            <w:instrText xml:space="preserve">MACROBUTTON  SnrToggleCheckbox √适用</w:instrText>
          </w:r>
          <w:r>
            <w:rPr>
              <w:rFonts w:ascii="宋体" w:hAnsi="宋体"/>
            </w:rPr>
            <w:instrText xml:space="preserve">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环境自行监测方案"/>
        <w:tag w:val="_GBC_b4e9798a403545c5a31116f4a13a92a2"/>
        <w:id w:val="1376810746"/>
        <w:placeholder>
          <w:docPart w:val="GBC22222222222222222222222222222"/>
        </w:placeholder>
      </w:sdtPr>
      <w:sdtContent>
        <w:p w14:paraId="2A01623D">
          <w:pPr>
            <w:ind w:firstLine="420"/>
            <w:rPr>
              <w:rFonts w:hint="eastAsia"/>
            </w:rPr>
          </w:pPr>
          <w:r>
            <w:rPr>
              <w:rFonts w:hint="eastAsia"/>
              <w:lang w:bidi="ar"/>
            </w:rPr>
            <w:t>公司及所属重点排污企业按照国家最新要求，各自开展排污许可证申办、延续及变更工作；并严格按照《排污许可管理办法》和相关技术标准开展排污许可证后管理工作。同时依据《国务院办公厅关于印发控制污染物排放许可制实施方案的通知》、《排污单位自行监测技术指南总则》及《固定污染源废气监测技术规范》等相关标准规范，完成年度环境自行监测方案，按照规定通过污染源自动监测、第三方监测机构监测、自有监测站监测完成污染源排放节点全覆盖，并对监测数据通过网站公告、微信公众号等形式进行有效的信息公开。</w:t>
          </w:r>
        </w:p>
      </w:sdtContent>
    </w:sdt>
    <w:p w14:paraId="1222759C">
      <w:pPr>
        <w:rPr>
          <w:rFonts w:hint="eastAsia"/>
        </w:rPr>
      </w:pPr>
    </w:p>
    <w:p w14:paraId="4F06A508">
      <w:pPr>
        <w:pStyle w:val="5"/>
        <w:numPr>
          <w:ilvl w:val="0"/>
          <w:numId w:val="46"/>
        </w:numPr>
        <w:rPr>
          <w:rFonts w:hint="eastAsia" w:ascii="宋体" w:hAnsi="宋体"/>
        </w:rPr>
      </w:pPr>
      <w:r>
        <w:rPr>
          <w:rFonts w:hint="eastAsia" w:ascii="宋体" w:hAnsi="宋体"/>
        </w:rPr>
        <w:t>报告期内因环境问题受到行政处罚的情况</w:t>
      </w:r>
    </w:p>
    <w:sdt>
      <w:sdtPr>
        <w:alias w:val="是否适用：报告期内因环境问题受到行政处罚的情况[双击切换]"/>
        <w:tag w:val="_GBC_60b589f1d48b40cdb553a3dca08d1b42"/>
        <w:id w:val="-1081364682"/>
        <w:placeholder>
          <w:docPart w:val="GBC22222222222222222222222222222"/>
        </w:placeholder>
      </w:sdtPr>
      <w:sdtContent>
        <w:p w14:paraId="4CF6090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因环境问题受到行政处罚的情况"/>
        <w:tag w:val="_GBC_36200a62c329427e8b8bda7e442e809e"/>
        <w:id w:val="531149718"/>
        <w:placeholder>
          <w:docPart w:val="GBC22222222222222222222222222222"/>
        </w:placeholder>
      </w:sdtPr>
      <w:sdtContent>
        <w:p w14:paraId="15C66689">
          <w:pPr>
            <w:ind w:firstLine="420" w:firstLineChars="200"/>
            <w:rPr>
              <w:rFonts w:hint="eastAsia"/>
            </w:rPr>
          </w:pPr>
          <w:r>
            <w:rPr>
              <w:rFonts w:hint="eastAsia"/>
            </w:rPr>
            <w:t>际华（天津）新能源投资有限公司：</w:t>
          </w:r>
        </w:p>
        <w:p w14:paraId="77584053">
          <w:pPr>
            <w:ind w:firstLine="420" w:firstLineChars="200"/>
            <w:rPr>
              <w:rFonts w:hint="eastAsia"/>
            </w:rPr>
          </w:pPr>
          <w:r>
            <w:rPr>
              <w:rFonts w:hint="eastAsia"/>
            </w:rPr>
            <w:t>天津市西青区生态环境局于</w:t>
          </w:r>
          <w:r>
            <w:t>2024年4月25日对公司10#车间激光切割工序进行检查过程中发现2项问题：</w:t>
          </w:r>
        </w:p>
        <w:p w14:paraId="0FA8B6F4">
          <w:pPr>
            <w:ind w:firstLine="420" w:firstLineChars="200"/>
            <w:rPr>
              <w:rFonts w:hint="eastAsia"/>
            </w:rPr>
          </w:pPr>
          <w:r>
            <w:t>1、两个UV灯箱内设有168根UV灯管，现场检查时65根灯管不亮。</w:t>
          </w:r>
        </w:p>
        <w:p w14:paraId="567F596C">
          <w:pPr>
            <w:ind w:firstLine="420" w:firstLineChars="200"/>
            <w:rPr>
              <w:rFonts w:hint="eastAsia"/>
            </w:rPr>
          </w:pPr>
          <w:r>
            <w:t>2、未按照1次/半年的更换周期及时更换活性炭，截至现场检查时，至少约17个月未更换活性炭。</w:t>
          </w:r>
        </w:p>
        <w:p w14:paraId="6E967992">
          <w:pPr>
            <w:ind w:firstLine="420" w:firstLineChars="200"/>
            <w:rPr>
              <w:rFonts w:hint="eastAsia"/>
            </w:rPr>
          </w:pPr>
          <w:r>
            <w:rPr>
              <w:rFonts w:hint="eastAsia"/>
            </w:rPr>
            <w:t>针对上述问题，天津市西青区生态环境局于</w:t>
          </w:r>
          <w:r>
            <w:t>2024年6月12日对公司下达了行政处罚事先告知书（津西环罚告字[2024]007号），并于2024年7月4日下达了行政处罚决定书（津西环罚字[2024]007号），对于以上环境违法行为罚款人民币四万元。公司于2024年7月完成了罚款的缴纳。</w:t>
          </w:r>
        </w:p>
      </w:sdtContent>
    </w:sdt>
    <w:p w14:paraId="1DC2C11D">
      <w:pPr>
        <w:rPr>
          <w:rFonts w:hint="eastAsia"/>
        </w:rPr>
      </w:pPr>
    </w:p>
    <w:p w14:paraId="53773EBD">
      <w:pPr>
        <w:pStyle w:val="5"/>
        <w:numPr>
          <w:ilvl w:val="0"/>
          <w:numId w:val="46"/>
        </w:numPr>
        <w:rPr>
          <w:rFonts w:hint="eastAsia" w:ascii="宋体" w:hAnsi="宋体"/>
        </w:rPr>
      </w:pPr>
      <w:r>
        <w:rPr>
          <w:rFonts w:hint="eastAsia" w:ascii="宋体" w:hAnsi="宋体"/>
        </w:rPr>
        <w:t>其他应当公开的环境信息</w:t>
      </w:r>
    </w:p>
    <w:sdt>
      <w:sdtPr>
        <w:alias w:val="是否适用：其他应当公开的环境信息[双击切换]"/>
        <w:tag w:val="_GBC_98ced024394941ff987ebfb84f969979"/>
        <w:id w:val="-485089999"/>
        <w:placeholder>
          <w:docPart w:val="GBC22222222222222222222222222222"/>
        </w:placeholder>
      </w:sdtPr>
      <w:sdtContent>
        <w:p w14:paraId="20AEC442">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ABEB85">
      <w:pPr>
        <w:rPr>
          <w:rFonts w:hint="eastAsia"/>
        </w:rPr>
      </w:pPr>
    </w:p>
    <w:p w14:paraId="3D773B76">
      <w:pPr>
        <w:pStyle w:val="4"/>
        <w:numPr>
          <w:ilvl w:val="0"/>
          <w:numId w:val="45"/>
        </w:numPr>
        <w:ind w:left="425" w:hanging="425"/>
        <w:rPr>
          <w:rFonts w:hint="eastAsia" w:ascii="宋体" w:hAnsi="宋体"/>
        </w:rPr>
      </w:pPr>
      <w:r>
        <w:rPr>
          <w:rFonts w:ascii="宋体" w:hAnsi="宋体"/>
        </w:rPr>
        <w:t>重点排污单位之外的公司环保情况说明</w:t>
      </w:r>
    </w:p>
    <w:sdt>
      <w:sdtPr>
        <w:alias w:val="是否适用：重点排污单位之外的公司的环保情况[双击切换]"/>
        <w:tag w:val="_GBC_d5ef790979ae4170801b0e930a2b7445"/>
        <w:id w:val="783152410"/>
        <w:placeholder>
          <w:docPart w:val="GBC22222222222222222222222222222"/>
        </w:placeholder>
      </w:sdtPr>
      <w:sdtContent>
        <w:p w14:paraId="2230F84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B2AB64">
      <w:pPr>
        <w:pStyle w:val="5"/>
        <w:numPr>
          <w:ilvl w:val="0"/>
          <w:numId w:val="48"/>
        </w:numPr>
        <w:ind w:left="450" w:hanging="450"/>
        <w:rPr>
          <w:rFonts w:hint="eastAsia" w:ascii="宋体" w:hAnsi="宋体"/>
          <w:szCs w:val="21"/>
        </w:rPr>
      </w:pPr>
      <w:bookmarkStart w:id="100" w:name="_Hlk74731776"/>
      <w:r>
        <w:rPr>
          <w:rFonts w:hint="eastAsia" w:ascii="宋体" w:hAnsi="宋体"/>
          <w:szCs w:val="21"/>
        </w:rPr>
        <w:t>因环境问题受到行政处罚的情况</w:t>
      </w:r>
    </w:p>
    <w:sdt>
      <w:sdtPr>
        <w:rPr>
          <w:szCs w:val="21"/>
        </w:rPr>
        <w:alias w:val="是否适用：重点排污单位之外的公司因环境问题受到行政处罚的情况[双击切换]"/>
        <w:tag w:val="_GBC_5896886de1f845c180bb3a271ed2a8a9"/>
        <w:id w:val="1155722038"/>
        <w:placeholder>
          <w:docPart w:val="GBC22222222222222222222222222222"/>
        </w:placeholder>
      </w:sdtPr>
      <w:sdtEndPr>
        <w:rPr>
          <w:szCs w:val="21"/>
        </w:rPr>
      </w:sdtEndPr>
      <w:sdtContent>
        <w:p w14:paraId="2065FA1D">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338FBC3">
      <w:pPr>
        <w:rPr>
          <w:rFonts w:hint="eastAsia"/>
          <w:szCs w:val="21"/>
        </w:rPr>
      </w:pPr>
    </w:p>
    <w:bookmarkEnd w:id="100"/>
    <w:p w14:paraId="3C1F176B">
      <w:pPr>
        <w:pStyle w:val="5"/>
        <w:numPr>
          <w:ilvl w:val="0"/>
          <w:numId w:val="48"/>
        </w:numPr>
        <w:ind w:left="450" w:hanging="450"/>
        <w:rPr>
          <w:rFonts w:hint="eastAsia" w:ascii="宋体" w:hAnsi="宋体"/>
          <w:szCs w:val="21"/>
        </w:rPr>
      </w:pPr>
      <w:r>
        <w:rPr>
          <w:rFonts w:hint="eastAsia" w:ascii="宋体" w:hAnsi="宋体"/>
          <w:szCs w:val="21"/>
        </w:rPr>
        <w:t>参照重点排污单位披露其他环境信息</w:t>
      </w:r>
    </w:p>
    <w:sdt>
      <w:sdtPr>
        <w:rPr>
          <w:szCs w:val="21"/>
        </w:rPr>
        <w:alias w:val="是否适用：参照重点排污单位披露其它环境信息[双击切换]"/>
        <w:tag w:val="_GBC_c81ce6b9ed3e477cb685a903703d325c"/>
        <w:id w:val="-738483184"/>
        <w:placeholder>
          <w:docPart w:val="GBC22222222222222222222222222222"/>
        </w:placeholder>
      </w:sdtPr>
      <w:sdtEndPr>
        <w:rPr>
          <w:szCs w:val="21"/>
        </w:rPr>
      </w:sdtEndPr>
      <w:sdtContent>
        <w:p w14:paraId="0FD24AD4">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参照重点排污单位披露其它环境信息"/>
        <w:tag w:val="_GBC_effe23a7bbde4f7a908345ffd998c638"/>
        <w:id w:val="2139604135"/>
        <w:placeholder>
          <w:docPart w:val="GBC22222222222222222222222222222"/>
        </w:placeholder>
      </w:sdtPr>
      <w:sdtEndPr>
        <w:rPr>
          <w:szCs w:val="21"/>
        </w:rPr>
      </w:sdtEndPr>
      <w:sdtContent>
        <w:sdt>
          <w:sdtPr>
            <w:rPr>
              <w:szCs w:val="21"/>
            </w:rPr>
            <w:alias w:val="参照重点排污单位披露其它环境信息"/>
            <w:tag w:val="_GBC_effe23a7bbde4f7a908345ffd998c638"/>
            <w:id w:val="1845353480"/>
            <w:placeholder>
              <w:docPart w:val="C27A876D87F4475DB8D8E718D504B35C"/>
            </w:placeholder>
          </w:sdtPr>
          <w:sdtEndPr>
            <w:rPr>
              <w:szCs w:val="21"/>
            </w:rPr>
          </w:sdtEndPr>
          <w:sdtContent>
            <w:p w14:paraId="118D612A">
              <w:pPr>
                <w:ind w:firstLine="420" w:firstLineChars="200"/>
                <w:rPr>
                  <w:rFonts w:hint="eastAsia"/>
                  <w:color w:val="000000"/>
                  <w:szCs w:val="21"/>
                  <w:lang w:bidi="ar"/>
                </w:rPr>
              </w:pPr>
              <w:r>
                <w:rPr>
                  <w:rFonts w:hint="eastAsia"/>
                  <w:color w:val="000000"/>
                  <w:szCs w:val="21"/>
                  <w:lang w:bidi="ar"/>
                </w:rPr>
                <w:t>公司及其他所属企业高度重视环境保护和污染防治工作，严格遵守国家相关法律法规，积极采取专业有效措施，加强环境保护工作，从源头抓起，推行清洁生产，控制和减少污染物的排放。制定了较为完善的管理措施并逐项落实，持续加大环保投入。报告期内其他所属企业环保设施运行正常，主要污染物均稳定达标排放。</w:t>
              </w:r>
            </w:p>
            <w:p w14:paraId="77D539EF">
              <w:pPr>
                <w:numPr>
                  <w:ilvl w:val="0"/>
                  <w:numId w:val="49"/>
                </w:numPr>
                <w:ind w:firstLine="420" w:firstLineChars="200"/>
                <w:rPr>
                  <w:rFonts w:hint="eastAsia"/>
                  <w:color w:val="000000"/>
                  <w:szCs w:val="21"/>
                  <w:lang w:bidi="ar"/>
                </w:rPr>
              </w:pPr>
              <w:r>
                <w:rPr>
                  <w:rFonts w:hint="eastAsia"/>
                  <w:color w:val="000000"/>
                  <w:szCs w:val="21"/>
                  <w:lang w:bidi="ar"/>
                </w:rPr>
                <w:t>排污信息</w:t>
              </w:r>
            </w:p>
            <w:p w14:paraId="4A1C7012">
              <w:pPr>
                <w:ind w:firstLine="420" w:firstLineChars="200"/>
                <w:rPr>
                  <w:rFonts w:hint="eastAsia"/>
                  <w:color w:val="000000"/>
                  <w:szCs w:val="21"/>
                  <w:lang w:bidi="ar"/>
                </w:rPr>
              </w:pPr>
              <w:r>
                <w:rPr>
                  <w:rFonts w:hint="eastAsia"/>
                  <w:color w:val="000000"/>
                  <w:szCs w:val="21"/>
                  <w:lang w:bidi="ar"/>
                </w:rPr>
                <w:t>公司及其他所属企业在生产过程中产生的污染物主要为废水、废气等，其中废水主要含COD、氨氮等；废气主要含二氧化硫、氮氧化物、颗粒物和VOCs等。报告期内，以上各类污染物均达标排放。</w:t>
              </w:r>
            </w:p>
            <w:p w14:paraId="40045242">
              <w:pPr>
                <w:numPr>
                  <w:ilvl w:val="0"/>
                  <w:numId w:val="49"/>
                </w:numPr>
                <w:ind w:firstLine="420" w:firstLineChars="200"/>
                <w:rPr>
                  <w:rFonts w:hint="eastAsia"/>
                  <w:color w:val="000000"/>
                  <w:szCs w:val="21"/>
                  <w:lang w:bidi="ar"/>
                </w:rPr>
              </w:pPr>
              <w:r>
                <w:rPr>
                  <w:rFonts w:hint="eastAsia"/>
                  <w:color w:val="000000"/>
                  <w:szCs w:val="21"/>
                  <w:lang w:bidi="ar"/>
                </w:rPr>
                <w:t>防治污染设施的建设和运行情况</w:t>
              </w:r>
            </w:p>
            <w:p w14:paraId="00D48127">
              <w:pPr>
                <w:ind w:firstLine="420" w:firstLineChars="200"/>
                <w:rPr>
                  <w:rFonts w:hint="eastAsia"/>
                  <w:color w:val="000000"/>
                  <w:szCs w:val="21"/>
                  <w:lang w:bidi="ar"/>
                </w:rPr>
              </w:pPr>
              <w:r>
                <w:rPr>
                  <w:rFonts w:hint="eastAsia"/>
                  <w:color w:val="000000"/>
                  <w:szCs w:val="21"/>
                  <w:lang w:bidi="ar"/>
                </w:rPr>
                <w:t>报告期内，其他所属企业对生产过程中所产生的废气、废水均采用成熟的处理工艺和技术的环保设施进行处理，所配备的环保设施齐备。公司及其他所属企业通过成立环保督查组，实施环保设施标准化管理和三级网格化管理，加大环保督察考核力度，做到了环保设施完好、有效、稳定运行，污染物排放达到国家排放标准。</w:t>
              </w:r>
            </w:p>
            <w:p w14:paraId="736B5A1B">
              <w:pPr>
                <w:numPr>
                  <w:ilvl w:val="0"/>
                  <w:numId w:val="49"/>
                </w:numPr>
                <w:ind w:firstLine="420" w:firstLineChars="200"/>
                <w:rPr>
                  <w:rFonts w:hint="eastAsia"/>
                  <w:color w:val="000000"/>
                  <w:szCs w:val="21"/>
                  <w:lang w:bidi="ar"/>
                </w:rPr>
              </w:pPr>
              <w:r>
                <w:rPr>
                  <w:rFonts w:hint="eastAsia"/>
                  <w:color w:val="000000"/>
                  <w:szCs w:val="21"/>
                  <w:lang w:bidi="ar"/>
                </w:rPr>
                <w:t>建设项目环境影响评价及其他环境保护行政许可情况</w:t>
              </w:r>
            </w:p>
            <w:p w14:paraId="786CACB3">
              <w:pPr>
                <w:ind w:firstLine="420" w:firstLineChars="200"/>
                <w:rPr>
                  <w:rFonts w:hint="eastAsia"/>
                  <w:color w:val="000000"/>
                  <w:szCs w:val="21"/>
                  <w:lang w:bidi="ar"/>
                </w:rPr>
              </w:pPr>
              <w:r>
                <w:rPr>
                  <w:rFonts w:hint="eastAsia"/>
                  <w:color w:val="000000"/>
                  <w:szCs w:val="21"/>
                  <w:lang w:bidi="ar"/>
                </w:rPr>
                <w:t>公司及其他所属企业建设项目环保“三同时”执行率达100%。对项目配套的各类环保设施，从设计、制造、安装、调试各环节督促、检查项目单位及施工单位，严格控制施工质量和进度，确保实现环保“三同时”，做到了工程投产，环保达标。在报告期内其他所属企业无新建项目，未发生环境突发事件和环境违法行为。</w:t>
              </w:r>
            </w:p>
            <w:p w14:paraId="7C2A542C">
              <w:pPr>
                <w:numPr>
                  <w:ilvl w:val="0"/>
                  <w:numId w:val="49"/>
                </w:numPr>
                <w:ind w:firstLine="420" w:firstLineChars="200"/>
                <w:rPr>
                  <w:rFonts w:hint="eastAsia"/>
                  <w:color w:val="000000"/>
                  <w:szCs w:val="21"/>
                  <w:lang w:bidi="ar"/>
                </w:rPr>
              </w:pPr>
              <w:r>
                <w:rPr>
                  <w:rFonts w:hint="eastAsia"/>
                  <w:color w:val="000000"/>
                  <w:szCs w:val="21"/>
                  <w:lang w:bidi="ar"/>
                </w:rPr>
                <w:t>突发环境事件应急预案</w:t>
              </w:r>
            </w:p>
            <w:p w14:paraId="7EEC13A4">
              <w:pPr>
                <w:ind w:firstLine="420" w:firstLineChars="200"/>
                <w:rPr>
                  <w:rFonts w:hint="eastAsia"/>
                  <w:color w:val="000000"/>
                  <w:szCs w:val="21"/>
                  <w:lang w:bidi="ar"/>
                </w:rPr>
              </w:pPr>
              <w:r>
                <w:rPr>
                  <w:rFonts w:hint="eastAsia"/>
                  <w:color w:val="000000"/>
                  <w:szCs w:val="21"/>
                  <w:lang w:bidi="ar"/>
                </w:rPr>
                <w:t>公司其他所属企业建立了完善的环境风险应急机制，制订了《突发环境污染事件应急预案》并定期进行修订。应急预案明确了公司应急机构及职责，建立了应急指挥系统及应急响应程序，确保科学有序高效应对突发环境事件，保障职工生命财产安全和环境安全。其他所属企业均制定了应急演练计划，每年定期培训演练。</w:t>
              </w:r>
            </w:p>
            <w:p w14:paraId="41BA7DED">
              <w:pPr>
                <w:numPr>
                  <w:ilvl w:val="0"/>
                  <w:numId w:val="49"/>
                </w:numPr>
                <w:ind w:firstLine="420" w:firstLineChars="200"/>
                <w:rPr>
                  <w:rFonts w:hint="eastAsia"/>
                  <w:color w:val="000000"/>
                  <w:szCs w:val="21"/>
                  <w:lang w:bidi="ar"/>
                </w:rPr>
              </w:pPr>
              <w:r>
                <w:rPr>
                  <w:rFonts w:hint="eastAsia"/>
                  <w:color w:val="000000"/>
                  <w:szCs w:val="21"/>
                  <w:lang w:bidi="ar"/>
                </w:rPr>
                <w:t>环境自行监测方案</w:t>
              </w:r>
            </w:p>
            <w:p w14:paraId="2A7DD6F9">
              <w:pPr>
                <w:ind w:firstLine="420" w:firstLineChars="200"/>
                <w:rPr>
                  <w:rFonts w:hint="eastAsia"/>
                  <w:color w:val="000000"/>
                  <w:szCs w:val="21"/>
                  <w:lang w:bidi="ar"/>
                </w:rPr>
              </w:pPr>
              <w:r>
                <w:rPr>
                  <w:rFonts w:hint="eastAsia"/>
                  <w:color w:val="000000"/>
                  <w:szCs w:val="21"/>
                  <w:lang w:bidi="ar"/>
                </w:rPr>
                <w:t>公司其他所属企业制定了完善的环境管理制度和应急预案、能源管理制度等各级能源环保监管制度，通过精益管理将企业能源环保监管制度落实到位。同时积极配合属地环保部门开展各项能源环保活动。同时，其他所属企业均按排污许可证上的自行监测方案要求定期委托第三方检测机构对废水、废气和厂界噪声等项目进行监测，监测结果显示各项污染物指标均达标排放。</w:t>
              </w:r>
            </w:p>
            <w:p w14:paraId="38ACDB2F">
              <w:pPr>
                <w:numPr>
                  <w:ilvl w:val="0"/>
                  <w:numId w:val="49"/>
                </w:numPr>
                <w:ind w:firstLine="420" w:firstLineChars="200"/>
                <w:rPr>
                  <w:rFonts w:hint="eastAsia"/>
                  <w:color w:val="000000"/>
                  <w:szCs w:val="21"/>
                  <w:lang w:bidi="ar"/>
                </w:rPr>
              </w:pPr>
              <w:r>
                <w:rPr>
                  <w:rFonts w:hint="eastAsia"/>
                  <w:color w:val="000000"/>
                  <w:szCs w:val="21"/>
                  <w:lang w:bidi="ar"/>
                </w:rPr>
                <w:t>其他环境信息</w:t>
              </w:r>
            </w:p>
            <w:p w14:paraId="5A6173E9">
              <w:pPr>
                <w:ind w:firstLine="420"/>
                <w:rPr>
                  <w:rFonts w:hint="eastAsia"/>
                  <w:szCs w:val="21"/>
                </w:rPr>
              </w:pPr>
              <w:r>
                <w:rPr>
                  <w:rFonts w:hint="eastAsia"/>
                  <w:color w:val="000000"/>
                  <w:szCs w:val="21"/>
                  <w:lang w:bidi="ar"/>
                </w:rPr>
                <w:t>公司及其他所属企业将严格落实环保法律法规，加大公司内部环保管理队伍的建设和职能提升，不断提高环保管理人员的业务能力和水平，不断强化公司全体员工的环保责任意识，落实主体责任要求，完善各项环保制度和环保措施，严格按照公司环境现场巡查制度，组织自查自纠，对污染防治进行提前预防、对发现的环保隐患及时整改，防范杜绝环境污染事故的发生。把公司的经营发展与环境保护结合起来，促进企业的可持续发展。</w:t>
              </w:r>
            </w:p>
          </w:sdtContent>
        </w:sdt>
      </w:sdtContent>
    </w:sdt>
    <w:p w14:paraId="67A8A9AD">
      <w:pPr>
        <w:rPr>
          <w:rFonts w:hint="eastAsia"/>
          <w:szCs w:val="21"/>
        </w:rPr>
      </w:pPr>
    </w:p>
    <w:p w14:paraId="4C82519A">
      <w:pPr>
        <w:pStyle w:val="5"/>
        <w:numPr>
          <w:ilvl w:val="0"/>
          <w:numId w:val="48"/>
        </w:numPr>
        <w:ind w:left="450" w:hanging="450"/>
        <w:rPr>
          <w:rFonts w:hint="eastAsia" w:ascii="宋体" w:hAnsi="宋体"/>
          <w:szCs w:val="21"/>
        </w:rPr>
      </w:pPr>
      <w:r>
        <w:rPr>
          <w:rFonts w:hint="eastAsia" w:ascii="宋体" w:hAnsi="宋体"/>
          <w:szCs w:val="21"/>
        </w:rPr>
        <w:t>未披露其他环境信息的原因</w:t>
      </w:r>
    </w:p>
    <w:sdt>
      <w:sdtPr>
        <w:alias w:val="是否适用：重点排污单位之外的公司未披露环境信息的原因[双击切换]"/>
        <w:tag w:val="_GBC_cd8c1fc8381844409435eed0d957ea5c"/>
        <w:id w:val="-1544361200"/>
        <w:placeholder>
          <w:docPart w:val="GBC22222222222222222222222222222"/>
        </w:placeholder>
      </w:sdtPr>
      <w:sdtContent>
        <w:p w14:paraId="3E814F2C">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C716BE">
      <w:pPr>
        <w:rPr>
          <w:rFonts w:hint="eastAsia"/>
        </w:rPr>
      </w:pPr>
    </w:p>
    <w:p w14:paraId="4DC01CA3">
      <w:pPr>
        <w:pStyle w:val="4"/>
        <w:numPr>
          <w:ilvl w:val="0"/>
          <w:numId w:val="45"/>
        </w:numPr>
        <w:ind w:left="425" w:hanging="425"/>
        <w:rPr>
          <w:rFonts w:hint="eastAsia" w:ascii="宋体" w:hAnsi="宋体"/>
        </w:rPr>
      </w:pPr>
      <w:r>
        <w:rPr>
          <w:rFonts w:ascii="宋体" w:hAnsi="宋体"/>
        </w:rPr>
        <w:t>有利于保护生态、防治污染、履行环境责任的相关信息</w:t>
      </w:r>
    </w:p>
    <w:sdt>
      <w:sdtPr>
        <w:rPr>
          <w:szCs w:val="21"/>
        </w:rPr>
        <w:alias w:val="是否适用：有利于保护生态、防治污染、履行环境责任的相关信息[双击切换]"/>
        <w:tag w:val="_GBC_b098ce7912f144edb010c3351255b611"/>
        <w:id w:val="944036018"/>
        <w:placeholder>
          <w:docPart w:val="GBC22222222222222222222222222222"/>
        </w:placeholder>
      </w:sdtPr>
      <w:sdtEndPr>
        <w:rPr>
          <w:szCs w:val="21"/>
        </w:rPr>
      </w:sdtEndPr>
      <w:sdtContent>
        <w:p w14:paraId="5E177A19">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B3FC9B">
      <w:pPr>
        <w:rPr>
          <w:rFonts w:hint="eastAsia"/>
        </w:rPr>
      </w:pPr>
    </w:p>
    <w:p w14:paraId="24EE92E3">
      <w:pPr>
        <w:pStyle w:val="4"/>
        <w:numPr>
          <w:ilvl w:val="0"/>
          <w:numId w:val="45"/>
        </w:numPr>
        <w:ind w:left="425" w:hanging="425"/>
        <w:rPr>
          <w:rFonts w:hint="eastAsia" w:ascii="宋体" w:hAnsi="宋体"/>
        </w:rPr>
      </w:pPr>
      <w:r>
        <w:rPr>
          <w:rFonts w:ascii="宋体" w:hAnsi="宋体"/>
        </w:rPr>
        <w:t>在报告期内为减少其碳排放所采取的措施及效果</w:t>
      </w:r>
    </w:p>
    <w:tbl>
      <w:tblPr>
        <w:tblStyle w:val="37"/>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22"/>
        <w:gridCol w:w="5203"/>
      </w:tblGrid>
      <w:tr w14:paraId="5C1F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765fcc12171478eb6ac1d26c3b15d8b"/>
            <w:id w:val="-1917310542"/>
          </w:sdtPr>
          <w:sdtContent>
            <w:tc>
              <w:tcPr>
                <w:tcW w:w="2052" w:type="pct"/>
                <w:shd w:val="clear" w:color="auto" w:fill="auto"/>
              </w:tcPr>
              <w:p w14:paraId="6F85DA5D">
                <w:pPr>
                  <w:widowControl w:val="0"/>
                  <w:jc w:val="both"/>
                  <w:rPr>
                    <w:rFonts w:hint="eastAsia"/>
                  </w:rPr>
                </w:pPr>
                <w:r>
                  <w:rPr>
                    <w:rFonts w:hint="eastAsia"/>
                  </w:rPr>
                  <w:t>是否采取减碳措施</w:t>
                </w:r>
              </w:p>
            </w:tc>
          </w:sdtContent>
        </w:sdt>
        <w:sdt>
          <w:sdtPr>
            <w:alias w:val="是否采取减碳措施"/>
            <w:tag w:val="_GBC_d9a1ff3875ac418bab40a855cd584ffd"/>
            <w:id w:val="-425039788"/>
            <w:comboBox>
              <w:listItem w:displayText="是" w:value="是"/>
              <w:listItem w:displayText="否" w:value="否"/>
            </w:comboBox>
          </w:sdtPr>
          <w:sdtContent>
            <w:tc>
              <w:tcPr>
                <w:tcW w:w="2948" w:type="pct"/>
              </w:tcPr>
              <w:p w14:paraId="7D17220F">
                <w:pPr>
                  <w:widowControl w:val="0"/>
                  <w:jc w:val="both"/>
                  <w:rPr>
                    <w:rFonts w:hint="eastAsia"/>
                  </w:rPr>
                </w:pPr>
                <w:r>
                  <w:t>是</w:t>
                </w:r>
              </w:p>
            </w:tc>
          </w:sdtContent>
        </w:sdt>
      </w:tr>
      <w:tr w14:paraId="782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pct"/>
            <w:shd w:val="clear" w:color="auto" w:fill="auto"/>
          </w:tcPr>
          <w:p w14:paraId="3D04BDB1">
            <w:pPr>
              <w:widowControl w:val="0"/>
              <w:jc w:val="both"/>
              <w:rPr>
                <w:rFonts w:hint="eastAsia"/>
              </w:rPr>
            </w:pPr>
            <w:r>
              <w:rPr>
                <w:rFonts w:hint="eastAsia"/>
              </w:rPr>
              <w:t>减少排放二氧化碳当量（单位：吨）</w:t>
            </w:r>
          </w:p>
        </w:tc>
        <w:tc>
          <w:tcPr>
            <w:tcW w:w="2948" w:type="pct"/>
          </w:tcPr>
          <w:p w14:paraId="79EDFA60">
            <w:pPr>
              <w:widowControl w:val="0"/>
              <w:jc w:val="right"/>
              <w:rPr>
                <w:rFonts w:ascii="Arial Narrow" w:hAnsi="Arial Narrow"/>
              </w:rPr>
            </w:pPr>
            <w:r>
              <w:rPr>
                <w:rFonts w:ascii="Arial Narrow" w:hAnsi="Arial Narrow"/>
              </w:rPr>
              <w:t>13,702</w:t>
            </w:r>
          </w:p>
        </w:tc>
      </w:tr>
      <w:tr w14:paraId="3ADC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pct"/>
            <w:shd w:val="clear" w:color="auto" w:fill="auto"/>
          </w:tcPr>
          <w:p w14:paraId="5DECB13A">
            <w:pPr>
              <w:widowControl w:val="0"/>
              <w:jc w:val="both"/>
              <w:rPr>
                <w:rFonts w:hint="eastAsia"/>
              </w:rPr>
            </w:pPr>
            <w:r>
              <w:rPr>
                <w:rFonts w:hint="eastAsia"/>
              </w:rPr>
              <w:t>减碳措施类型（如使用清洁能源发电、在生产过程中使用减碳技术、研发生产助于减碳的新产品等）</w:t>
            </w:r>
          </w:p>
        </w:tc>
        <w:tc>
          <w:tcPr>
            <w:tcW w:w="2948" w:type="pct"/>
          </w:tcPr>
          <w:p w14:paraId="5C57EF49">
            <w:pPr>
              <w:widowControl w:val="0"/>
              <w:jc w:val="both"/>
              <w:rPr>
                <w:rFonts w:hint="eastAsia"/>
              </w:rPr>
            </w:pPr>
            <w:r>
              <w:rPr>
                <w:rFonts w:hint="eastAsia"/>
              </w:rPr>
              <w:t>建设光伏发电项目，持续淘汰高耗能的生产设备，构建清洁低碳、安全高效的能源体系等。</w:t>
            </w:r>
          </w:p>
        </w:tc>
      </w:tr>
    </w:tbl>
    <w:p w14:paraId="2A9F3A6A">
      <w:pPr>
        <w:rPr>
          <w:rFonts w:hint="eastAsia"/>
        </w:rPr>
      </w:pPr>
    </w:p>
    <w:p w14:paraId="3990CE0C">
      <w:pPr>
        <w:rPr>
          <w:rFonts w:hint="eastAsia"/>
        </w:rPr>
      </w:pPr>
      <w:r>
        <w:rPr>
          <w:rFonts w:hint="eastAsia"/>
        </w:rPr>
        <w:t>具体说明</w:t>
      </w:r>
    </w:p>
    <w:sdt>
      <w:sdtPr>
        <w:alias w:val="是否适用：在报告期内为减少其碳排放所采取的措施及效果 [双击切换]"/>
        <w:tag w:val="_GBC_c548c6cdcee840f1b99e9992b9199dfc"/>
        <w:id w:val="956531841"/>
        <w:placeholder>
          <w:docPart w:val="GBC22222222222222222222222222222"/>
        </w:placeholder>
      </w:sdtPr>
      <w:sdtContent>
        <w:p w14:paraId="033D7E86">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2B9E30">
      <w:pPr>
        <w:rPr>
          <w:rFonts w:hint="eastAsia"/>
        </w:rPr>
      </w:pPr>
    </w:p>
    <w:p w14:paraId="49608A88">
      <w:pPr>
        <w:pStyle w:val="3"/>
        <w:numPr>
          <w:ilvl w:val="0"/>
          <w:numId w:val="44"/>
        </w:numPr>
        <w:tabs>
          <w:tab w:val="left" w:pos="426"/>
        </w:tabs>
        <w:ind w:left="425" w:hanging="425"/>
        <w:jc w:val="left"/>
        <w:rPr>
          <w:rFonts w:hint="eastAsia" w:ascii="宋体" w:hAnsi="宋体"/>
        </w:rPr>
      </w:pPr>
      <w:r>
        <w:rPr>
          <w:rFonts w:hint="eastAsia" w:ascii="宋体" w:hAnsi="宋体"/>
        </w:rPr>
        <w:t>社会责任工作情况</w:t>
      </w:r>
    </w:p>
    <w:p w14:paraId="3B4BC612">
      <w:pPr>
        <w:pStyle w:val="4"/>
        <w:numPr>
          <w:ilvl w:val="0"/>
          <w:numId w:val="50"/>
        </w:numPr>
        <w:rPr>
          <w:rFonts w:hint="eastAsia" w:ascii="宋体" w:hAnsi="宋体"/>
        </w:rPr>
      </w:pPr>
      <w:r>
        <w:rPr>
          <w:rFonts w:hint="eastAsia" w:ascii="宋体" w:hAnsi="宋体"/>
        </w:rPr>
        <w:t>是否单独披露社会责任报告、可持续发展报告或ESG报告</w:t>
      </w:r>
    </w:p>
    <w:sdt>
      <w:sdtPr>
        <w:alias w:val="是否适用：是否单独披露社会责任报告、可持续发展报告或ESG报告[双击切换]"/>
        <w:tag w:val="_GBC_9e7dd53d4e6f44ea9f272442eb9babac"/>
        <w:id w:val="1959610666"/>
        <w:placeholder>
          <w:docPart w:val="GBC22222222222222222222222222222"/>
        </w:placeholder>
      </w:sdtPr>
      <w:sdtContent>
        <w:p w14:paraId="64FA7AC0">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是否单独披露社会责任报告、可持续发展报告或ESG报告"/>
        <w:tag w:val="_GBC_e26ad08dba0e483a908a6ff4e6e74e3f"/>
        <w:id w:val="360169460"/>
        <w:placeholder>
          <w:docPart w:val="GBC22222222222222222222222222222"/>
        </w:placeholder>
      </w:sdtPr>
      <w:sdtContent>
        <w:p w14:paraId="78440C43">
          <w:pPr>
            <w:ind w:firstLine="420"/>
            <w:rPr>
              <w:rFonts w:hint="eastAsia"/>
            </w:rPr>
          </w:pPr>
          <w:r>
            <w:rPr>
              <w:rFonts w:hint="eastAsia"/>
            </w:rPr>
            <w:t>该报告的具体内容见公司于2025年4月28日在上海证券交易所网站（www.sse.com.cn）公开披露的《际华集团2024年度环境、社会和治理报告》。</w:t>
          </w:r>
        </w:p>
      </w:sdtContent>
    </w:sdt>
    <w:p w14:paraId="6597517C">
      <w:pPr>
        <w:rPr>
          <w:rFonts w:hint="eastAsia"/>
        </w:rPr>
      </w:pPr>
    </w:p>
    <w:p w14:paraId="791DF8A8">
      <w:pPr>
        <w:pStyle w:val="4"/>
        <w:numPr>
          <w:ilvl w:val="0"/>
          <w:numId w:val="50"/>
        </w:numPr>
        <w:rPr>
          <w:rFonts w:hint="eastAsia" w:ascii="宋体" w:hAnsi="宋体"/>
        </w:rPr>
      </w:pPr>
      <w:r>
        <w:rPr>
          <w:rFonts w:hint="eastAsia" w:ascii="宋体" w:hAnsi="宋体"/>
        </w:rPr>
        <w:t>社会责任工作具体情况</w:t>
      </w:r>
    </w:p>
    <w:sdt>
      <w:sdtPr>
        <w:alias w:val="是否适用：社会责任工作具体情况[双击切换]"/>
        <w:tag w:val="_GBC_2bbbff88e2744d6dbb21a0a502bf51cf"/>
        <w:id w:val="1291718910"/>
        <w:placeholder>
          <w:docPart w:val="GBC22222222222222222222222222222"/>
        </w:placeholder>
      </w:sdtPr>
      <w:sdtContent>
        <w:p w14:paraId="0DD9337B">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1"/>
        <w:gridCol w:w="2280"/>
        <w:gridCol w:w="3602"/>
      </w:tblGrid>
      <w:tr w14:paraId="22C2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ccd1f20d787452283cca30b8be75dc8"/>
            <w:id w:val="534159069"/>
          </w:sdtPr>
          <w:sdtContent>
            <w:tc>
              <w:tcPr>
                <w:tcW w:w="1667" w:type="pct"/>
                <w:shd w:val="clear" w:color="auto" w:fill="auto"/>
              </w:tcPr>
              <w:p w14:paraId="60989F44">
                <w:pPr>
                  <w:widowControl w:val="0"/>
                  <w:jc w:val="center"/>
                  <w:rPr>
                    <w:rFonts w:hint="eastAsia"/>
                  </w:rPr>
                </w:pPr>
                <w:r>
                  <w:rPr>
                    <w:rFonts w:hint="eastAsia"/>
                  </w:rPr>
                  <w:t>对外捐赠、公益项目</w:t>
                </w:r>
              </w:p>
            </w:tc>
          </w:sdtContent>
        </w:sdt>
        <w:sdt>
          <w:sdtPr>
            <w:tag w:val="_PLD_8451b9cc95c641c39056391d3348179e"/>
            <w:id w:val="-547306083"/>
          </w:sdtPr>
          <w:sdtContent>
            <w:tc>
              <w:tcPr>
                <w:tcW w:w="1292" w:type="pct"/>
                <w:shd w:val="clear" w:color="auto" w:fill="auto"/>
              </w:tcPr>
              <w:p w14:paraId="5A22ECA3">
                <w:pPr>
                  <w:widowControl w:val="0"/>
                  <w:jc w:val="center"/>
                  <w:rPr>
                    <w:rFonts w:hint="eastAsia"/>
                  </w:rPr>
                </w:pPr>
                <w:r>
                  <w:rPr>
                    <w:rFonts w:hint="eastAsia"/>
                  </w:rPr>
                  <w:t>数量/内容</w:t>
                </w:r>
              </w:p>
            </w:tc>
          </w:sdtContent>
        </w:sdt>
        <w:sdt>
          <w:sdtPr>
            <w:tag w:val="_PLD_681dc2272e304ef499f420c283e82d02"/>
            <w:id w:val="-2081351791"/>
          </w:sdtPr>
          <w:sdtContent>
            <w:tc>
              <w:tcPr>
                <w:tcW w:w="2041" w:type="pct"/>
                <w:shd w:val="clear" w:color="auto" w:fill="auto"/>
              </w:tcPr>
              <w:p w14:paraId="08DD0980">
                <w:pPr>
                  <w:widowControl w:val="0"/>
                  <w:jc w:val="center"/>
                  <w:rPr>
                    <w:rFonts w:hint="eastAsia"/>
                  </w:rPr>
                </w:pPr>
                <w:r>
                  <w:rPr>
                    <w:rFonts w:hint="eastAsia"/>
                  </w:rPr>
                  <w:t>情况说明</w:t>
                </w:r>
              </w:p>
            </w:tc>
          </w:sdtContent>
        </w:sdt>
      </w:tr>
      <w:tr w14:paraId="5414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shd w:val="clear" w:color="auto" w:fill="auto"/>
            <w:vAlign w:val="center"/>
          </w:tcPr>
          <w:p w14:paraId="0FB6DB77">
            <w:pPr>
              <w:widowControl w:val="0"/>
              <w:jc w:val="center"/>
              <w:rPr>
                <w:rFonts w:hint="eastAsia"/>
              </w:rPr>
            </w:pPr>
            <w:sdt>
              <w:sdtPr>
                <w:tag w:val="_PLD_0d7064bea05840f68cf6fa5a0fdfd98b"/>
                <w:id w:val="1493748936"/>
              </w:sdtPr>
              <w:sdtContent>
                <w:r>
                  <w:rPr>
                    <w:rFonts w:hint="eastAsia"/>
                  </w:rPr>
                  <w:t>总投入</w:t>
                </w:r>
              </w:sdtContent>
            </w:sdt>
            <w:r>
              <w:rPr>
                <w:rFonts w:hint="eastAsia"/>
              </w:rPr>
              <w:t>（</w:t>
            </w:r>
            <w:sdt>
              <w:sdtPr>
                <w:rPr>
                  <w:rFonts w:hint="eastAsia"/>
                </w:rPr>
                <w:alias w:val="单位：对外捐赠、公益项目总投入"/>
                <w:tag w:val="_GBC_aab341873e5d4b8da4321e41124d111c"/>
                <w:id w:val="-1908832810"/>
                <w:placeholder>
                  <w:docPart w:val="09CEC04E88D142C080FD0DF214173857"/>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hd w:val="solid" w:color="FFFFFF" w:fill="auto"/>
                </w:rPr>
              </w:sdtEndPr>
              <w:sdtContent>
                <w:r>
                  <w:rPr>
                    <w:rFonts w:hint="eastAsia"/>
                  </w:rPr>
                  <w:t>万元</w:t>
                </w:r>
              </w:sdtContent>
            </w:sdt>
            <w:r>
              <w:rPr>
                <w:rFonts w:hint="eastAsia"/>
              </w:rPr>
              <w:t>）</w:t>
            </w:r>
          </w:p>
        </w:tc>
        <w:tc>
          <w:tcPr>
            <w:tcW w:w="1292" w:type="pct"/>
            <w:shd w:val="clear" w:color="auto" w:fill="auto"/>
            <w:vAlign w:val="center"/>
          </w:tcPr>
          <w:p w14:paraId="750E2C4F">
            <w:pPr>
              <w:widowControl w:val="0"/>
              <w:jc w:val="right"/>
              <w:rPr>
                <w:rFonts w:ascii="Arial Narrow" w:hAnsi="Arial Narrow"/>
              </w:rPr>
            </w:pPr>
            <w:r>
              <w:rPr>
                <w:rFonts w:ascii="Arial Narrow" w:hAnsi="Arial Narrow"/>
              </w:rPr>
              <w:t>21.47</w:t>
            </w:r>
          </w:p>
        </w:tc>
        <w:tc>
          <w:tcPr>
            <w:tcW w:w="2041" w:type="pct"/>
            <w:shd w:val="clear" w:color="auto" w:fill="auto"/>
          </w:tcPr>
          <w:p w14:paraId="3BC6C8DD">
            <w:pPr>
              <w:widowControl w:val="0"/>
              <w:jc w:val="both"/>
              <w:rPr>
                <w:rFonts w:hint="eastAsia"/>
              </w:rPr>
            </w:pPr>
          </w:p>
        </w:tc>
      </w:tr>
      <w:tr w14:paraId="0F25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shd w:val="clear" w:color="auto" w:fill="auto"/>
            <w:vAlign w:val="center"/>
          </w:tcPr>
          <w:p w14:paraId="332521C5">
            <w:pPr>
              <w:widowControl w:val="0"/>
              <w:jc w:val="center"/>
              <w:rPr>
                <w:rFonts w:hint="eastAsia"/>
              </w:rPr>
            </w:pPr>
            <w:sdt>
              <w:sdtPr>
                <w:tag w:val="_PLD_74e68264673c4597881c5410d63b6c6f"/>
                <w:id w:val="-800920515"/>
              </w:sdtPr>
              <w:sdtContent>
                <w:r>
                  <w:rPr>
                    <w:rFonts w:hint="eastAsia"/>
                  </w:rPr>
                  <w:t>其中：资金</w:t>
                </w:r>
              </w:sdtContent>
            </w:sdt>
            <w:r>
              <w:rPr>
                <w:rFonts w:hint="eastAsia"/>
              </w:rPr>
              <w:t>（</w:t>
            </w:r>
            <w:sdt>
              <w:sdtPr>
                <w:rPr>
                  <w:rFonts w:hint="eastAsia"/>
                </w:rPr>
                <w:alias w:val="单位：对外捐赠、公益项目资金"/>
                <w:tag w:val="_GBC_cdf539ba1e6842ba87837cc093e99d8c"/>
                <w:id w:val="1518727708"/>
                <w:placeholder>
                  <w:docPart w:val="09CEC04E88D142C080FD0DF214173857"/>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1292" w:type="pct"/>
            <w:shd w:val="clear" w:color="auto" w:fill="auto"/>
            <w:vAlign w:val="center"/>
          </w:tcPr>
          <w:p w14:paraId="328D40D5">
            <w:pPr>
              <w:widowControl w:val="0"/>
              <w:jc w:val="right"/>
              <w:rPr>
                <w:rFonts w:ascii="Arial Narrow" w:hAnsi="Arial Narrow"/>
              </w:rPr>
            </w:pPr>
            <w:r>
              <w:rPr>
                <w:rFonts w:ascii="Arial Narrow" w:hAnsi="Arial Narrow"/>
              </w:rPr>
              <w:t>21.47</w:t>
            </w:r>
          </w:p>
        </w:tc>
        <w:tc>
          <w:tcPr>
            <w:tcW w:w="2041" w:type="pct"/>
            <w:shd w:val="clear" w:color="auto" w:fill="auto"/>
            <w:vAlign w:val="center"/>
          </w:tcPr>
          <w:p w14:paraId="6FFD030B">
            <w:pPr>
              <w:widowControl w:val="0"/>
              <w:adjustRightInd w:val="0"/>
              <w:snapToGrid w:val="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对外捐赠：际华3502公司6.05万元，际华3542公司10万元，际华7555公司2万元，共计18.05万元。</w:t>
            </w:r>
          </w:p>
          <w:p w14:paraId="586AAAC4">
            <w:pPr>
              <w:widowControl w:val="0"/>
              <w:jc w:val="both"/>
              <w:rPr>
                <w:rFonts w:hint="eastAsia"/>
              </w:rPr>
            </w:pPr>
            <w:r>
              <w:rPr>
                <w:rFonts w:hint="eastAsia"/>
              </w:rPr>
              <w:t>公益项目：际华3515公司1.66万元，际华3536公司1.65万元，际华3547公司0.11万元，共计3.42万元。</w:t>
            </w:r>
          </w:p>
        </w:tc>
      </w:tr>
      <w:tr w14:paraId="1B25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shd w:val="clear" w:color="auto" w:fill="auto"/>
          </w:tcPr>
          <w:p w14:paraId="3FB7DFAF">
            <w:pPr>
              <w:widowControl w:val="0"/>
              <w:ind w:firstLine="630" w:firstLineChars="300"/>
              <w:jc w:val="both"/>
              <w:rPr>
                <w:rFonts w:hint="eastAsia"/>
              </w:rPr>
            </w:pPr>
            <w:sdt>
              <w:sdtPr>
                <w:tag w:val="_PLD_0011a929cca44c63ae225eb40c179693"/>
                <w:id w:val="-1667317410"/>
              </w:sdtPr>
              <w:sdtContent>
                <w:r>
                  <w:rPr>
                    <w:rFonts w:hint="eastAsia"/>
                  </w:rPr>
                  <w:t>物资折款</w:t>
                </w:r>
              </w:sdtContent>
            </w:sdt>
            <w:r>
              <w:rPr>
                <w:rFonts w:hint="eastAsia"/>
              </w:rPr>
              <w:t>（</w:t>
            </w:r>
            <w:sdt>
              <w:sdtPr>
                <w:rPr>
                  <w:rFonts w:hint="eastAsia"/>
                </w:rPr>
                <w:alias w:val="单位：对外捐赠、公益项目物资折款"/>
                <w:tag w:val="_GBC_f0b7b13642c94169a98099a684129ab4"/>
                <w:id w:val="-1827428506"/>
                <w:placeholder>
                  <w:docPart w:val="09CEC04E88D142C080FD0DF214173857"/>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1292" w:type="pct"/>
            <w:shd w:val="clear" w:color="auto" w:fill="auto"/>
            <w:vAlign w:val="center"/>
          </w:tcPr>
          <w:p w14:paraId="0C0D1D9C">
            <w:pPr>
              <w:widowControl w:val="0"/>
              <w:jc w:val="right"/>
              <w:rPr>
                <w:rFonts w:ascii="Arial Narrow" w:hAnsi="Arial Narrow"/>
              </w:rPr>
            </w:pPr>
            <w:r>
              <w:rPr>
                <w:rFonts w:hint="eastAsia" w:ascii="Arial Narrow" w:hAnsi="Arial Narrow"/>
              </w:rPr>
              <w:t>0</w:t>
            </w:r>
          </w:p>
        </w:tc>
        <w:tc>
          <w:tcPr>
            <w:tcW w:w="2041" w:type="pct"/>
            <w:shd w:val="clear" w:color="auto" w:fill="auto"/>
          </w:tcPr>
          <w:p w14:paraId="6E35A5C3">
            <w:pPr>
              <w:widowControl w:val="0"/>
              <w:jc w:val="both"/>
              <w:rPr>
                <w:rFonts w:hint="eastAsia"/>
              </w:rPr>
            </w:pPr>
          </w:p>
        </w:tc>
      </w:tr>
      <w:tr w14:paraId="4376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7" w:type="pct"/>
            <w:shd w:val="clear" w:color="auto" w:fill="auto"/>
          </w:tcPr>
          <w:p w14:paraId="79ED8F35">
            <w:pPr>
              <w:widowControl w:val="0"/>
              <w:jc w:val="both"/>
              <w:rPr>
                <w:rFonts w:hint="eastAsia"/>
              </w:rPr>
            </w:pPr>
            <w:r>
              <w:rPr>
                <w:rFonts w:hint="eastAsia"/>
              </w:rPr>
              <w:t>惠及人数（人）</w:t>
            </w:r>
          </w:p>
        </w:tc>
        <w:tc>
          <w:tcPr>
            <w:tcW w:w="1292" w:type="pct"/>
            <w:shd w:val="clear" w:color="auto" w:fill="auto"/>
            <w:vAlign w:val="center"/>
          </w:tcPr>
          <w:p w14:paraId="299BE488">
            <w:pPr>
              <w:widowControl w:val="0"/>
              <w:jc w:val="right"/>
              <w:rPr>
                <w:rFonts w:ascii="Arial Narrow" w:hAnsi="Arial Narrow"/>
              </w:rPr>
            </w:pPr>
            <w:r>
              <w:rPr>
                <w:rFonts w:ascii="Arial Narrow" w:hAnsi="Arial Narrow"/>
              </w:rPr>
              <w:t>3500</w:t>
            </w:r>
          </w:p>
        </w:tc>
        <w:tc>
          <w:tcPr>
            <w:tcW w:w="2041" w:type="pct"/>
            <w:shd w:val="clear" w:color="auto" w:fill="auto"/>
          </w:tcPr>
          <w:p w14:paraId="5C9B0E0C">
            <w:pPr>
              <w:widowControl w:val="0"/>
              <w:jc w:val="both"/>
              <w:rPr>
                <w:rFonts w:hint="eastAsia"/>
              </w:rPr>
            </w:pPr>
          </w:p>
        </w:tc>
      </w:tr>
    </w:tbl>
    <w:p w14:paraId="3C6F6A17">
      <w:pPr>
        <w:rPr>
          <w:rFonts w:hint="eastAsia"/>
        </w:rPr>
      </w:pPr>
    </w:p>
    <w:p w14:paraId="1945BC97">
      <w:pPr>
        <w:rPr>
          <w:rFonts w:hint="eastAsia"/>
        </w:rPr>
      </w:pPr>
      <w:r>
        <w:rPr>
          <w:rFonts w:hint="eastAsia"/>
        </w:rPr>
        <w:t>具体说明</w:t>
      </w:r>
    </w:p>
    <w:sdt>
      <w:sdtPr>
        <w:rPr>
          <w:rFonts w:hint="eastAsia"/>
        </w:rPr>
        <w:alias w:val="是否适用：社会责任工作情况[双击切换]"/>
        <w:tag w:val="_GBC_193e5fab56724eddabaa8d0d74a4b129"/>
        <w:id w:val="1364707725"/>
        <w:placeholder>
          <w:docPart w:val="GBC22222222222222222222222222222"/>
        </w:placeholder>
      </w:sdtPr>
      <w:sdtEndPr>
        <w:rPr>
          <w:rFonts w:hint="eastAsia"/>
        </w:rPr>
      </w:sdtEndPr>
      <w:sdtContent>
        <w:p w14:paraId="2360A43B">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社会责任工作情况"/>
        <w:tag w:val="_GBC_a9b541509de44900b46d09bc29c43131"/>
        <w:id w:val="-1961563899"/>
        <w:placeholder>
          <w:docPart w:val="GBC22222222222222222222222222222"/>
        </w:placeholder>
      </w:sdtPr>
      <w:sdtContent>
        <w:p w14:paraId="4D8927D3">
          <w:pPr>
            <w:widowControl w:val="0"/>
            <w:pBdr>
              <w:top w:val="single" w:color="auto" w:sz="4" w:space="0"/>
              <w:left w:val="single" w:color="auto" w:sz="4" w:space="0"/>
              <w:bottom w:val="single" w:color="auto" w:sz="4" w:space="0"/>
              <w:right w:val="single" w:color="auto" w:sz="4" w:space="0"/>
            </w:pBdr>
            <w:ind w:firstLine="420" w:firstLineChars="200"/>
            <w:rPr>
              <w:rFonts w:hint="eastAsia"/>
            </w:rPr>
          </w:pPr>
          <w:r>
            <w:rPr>
              <w:rFonts w:hint="eastAsia"/>
            </w:rPr>
            <w:t>公司认真学习贯彻习近平新时代中国特色社会主义思想，深刻领悟“两个确立”的决定性意义、增强“四个意识”、坚定“四个自信”、做到“两个维护”，积极践行社会主义核心价值观，紧紧围绕企业中心工作，进一步凸显央企的社会责任与担当。</w:t>
          </w:r>
        </w:p>
        <w:p w14:paraId="21C9B2EE">
          <w:pPr>
            <w:widowControl w:val="0"/>
            <w:pBdr>
              <w:top w:val="single" w:color="auto" w:sz="4" w:space="0"/>
              <w:left w:val="single" w:color="auto" w:sz="4" w:space="0"/>
              <w:bottom w:val="single" w:color="auto" w:sz="4" w:space="0"/>
              <w:right w:val="single" w:color="auto" w:sz="4" w:space="0"/>
            </w:pBdr>
            <w:ind w:firstLine="420" w:firstLineChars="200"/>
            <w:rPr>
              <w:rFonts w:hint="eastAsia"/>
            </w:rPr>
          </w:pPr>
          <w:r>
            <w:rPr>
              <w:rFonts w:hint="eastAsia"/>
            </w:rPr>
            <w:t>自然灾害救助方面，</w:t>
          </w:r>
          <w:r>
            <w:rPr>
              <w:rFonts w:hint="eastAsia"/>
              <w:lang w:eastAsia="zh-Hans"/>
            </w:rPr>
            <w:t>际华</w:t>
          </w:r>
          <w:r>
            <w:rPr>
              <w:rFonts w:hint="eastAsia"/>
            </w:rPr>
            <w:t>3547公司积极参与沈阳市人民政府开展的支持灾区重建自愿捐款活动。2024年6月-8月，辽宁省降水量比常年同期偏多5成，全省各地区均不同程度受灾，葫芦岛市等地区受灾严重。为支援帮助灾区群众重建家园、温暖过冬、恢复生产生活秩序，公司党委组织广大党员和职工为支持灾区重建开展自愿捐款活动，捐款合计0.11万元，用实际行动将关怀温暖送到了灾区群众身边。</w:t>
          </w:r>
        </w:p>
        <w:p w14:paraId="51E20FCE">
          <w:pPr>
            <w:widowControl w:val="0"/>
            <w:pBdr>
              <w:top w:val="single" w:color="auto" w:sz="4" w:space="0"/>
              <w:left w:val="single" w:color="auto" w:sz="4" w:space="0"/>
              <w:bottom w:val="single" w:color="auto" w:sz="4" w:space="0"/>
              <w:right w:val="single" w:color="auto" w:sz="4" w:space="0"/>
            </w:pBdr>
            <w:ind w:firstLine="420" w:firstLineChars="200"/>
            <w:rPr>
              <w:rFonts w:hint="eastAsia"/>
            </w:rPr>
          </w:pPr>
          <w:r>
            <w:rPr>
              <w:rFonts w:hint="eastAsia"/>
            </w:rPr>
            <w:t>投身教育事业方面，</w:t>
          </w:r>
          <w:r>
            <w:rPr>
              <w:rFonts w:hint="eastAsia"/>
              <w:lang w:eastAsia="zh-Hans"/>
            </w:rPr>
            <w:t>际华</w:t>
          </w:r>
          <w:r>
            <w:rPr>
              <w:rFonts w:hint="eastAsia"/>
            </w:rPr>
            <w:t>3515公司注重教育事业，积极</w:t>
          </w:r>
          <w:r>
            <w:rPr>
              <w:rFonts w:hint="eastAsia"/>
              <w:lang w:eastAsia="zh-Hans"/>
            </w:rPr>
            <w:t>为社会和行业培养人才。</w:t>
          </w:r>
          <w:r>
            <w:rPr>
              <w:rFonts w:hint="eastAsia"/>
            </w:rPr>
            <w:t>联合河南省工业和信息化厅，漯河市工业和信息化局举办了2024年际华杯鞋靴设计大赛，比赛分为职业组和学生组，共有18位学生选手获奖，鼓励青年继续学习专业知识，提高专业技能。</w:t>
          </w:r>
          <w:r>
            <w:rPr>
              <w:rFonts w:hint="eastAsia"/>
              <w:lang w:eastAsia="zh-Hans"/>
            </w:rPr>
            <w:t>际华</w:t>
          </w:r>
          <w:r>
            <w:rPr>
              <w:rFonts w:hint="eastAsia"/>
            </w:rPr>
            <w:t>3534公司始终高度关注教育事业，与太原理工大学达成深度战略合作，共同建立了“研究生联合培养实践基地”“本科生校外实习基地”以及“校企合作基地”。通过这一系列合作举措，双方充分发挥在人才培养和科研成果转化领域的独特优势，携手并肩、砥砺前行，实现了互利共赢的良好局面。与此同时，</w:t>
          </w:r>
          <w:r>
            <w:rPr>
              <w:rFonts w:hint="eastAsia"/>
              <w:lang w:eastAsia="zh-Hans"/>
            </w:rPr>
            <w:t>际华</w:t>
          </w:r>
          <w:r>
            <w:rPr>
              <w:rFonts w:hint="eastAsia"/>
            </w:rPr>
            <w:t>3534公司与太原理工大学在研究生培养、本科生实习以及科研课题等多个领域展开了更为深入的合作，有力地促进了双方的共同发展，为推动行业进步和社会发展贡献了积极力量。</w:t>
          </w:r>
          <w:r>
            <w:rPr>
              <w:rFonts w:hint="eastAsia"/>
              <w:lang w:eastAsia="zh-Hans"/>
            </w:rPr>
            <w:t>际华</w:t>
          </w:r>
          <w:r>
            <w:rPr>
              <w:rFonts w:hint="eastAsia"/>
            </w:rPr>
            <w:t>3536</w:t>
          </w:r>
          <w:r>
            <w:t>公司与</w:t>
          </w:r>
          <w:r>
            <w:rPr>
              <w:rFonts w:hint="eastAsia"/>
            </w:rPr>
            <w:t>成都纺专、绵阳职业技术学院等</w:t>
          </w:r>
          <w:r>
            <w:t>大学建立战略合作关系，</w:t>
          </w:r>
          <w:r>
            <w:rPr>
              <w:rFonts w:hint="eastAsia"/>
            </w:rPr>
            <w:t>建立现场工程师制度，年吸收入职大学生20余名，积极进行大学生金秋助学活动，2024年度帮助27名大学生，金额16500元。</w:t>
          </w:r>
        </w:p>
        <w:p w14:paraId="68852647">
          <w:pPr>
            <w:widowControl w:val="0"/>
            <w:pBdr>
              <w:top w:val="single" w:color="auto" w:sz="4" w:space="0"/>
              <w:left w:val="single" w:color="auto" w:sz="4" w:space="0"/>
              <w:bottom w:val="single" w:color="auto" w:sz="4" w:space="0"/>
              <w:right w:val="single" w:color="auto" w:sz="4" w:space="0"/>
            </w:pBdr>
            <w:ind w:firstLine="420" w:firstLineChars="200"/>
            <w:rPr>
              <w:rFonts w:hint="eastAsia"/>
              <w:lang w:eastAsia="zh-Hans"/>
            </w:rPr>
          </w:pPr>
          <w:r>
            <w:rPr>
              <w:rFonts w:hint="eastAsia"/>
              <w:bCs/>
              <w:lang w:eastAsia="zh-Hans"/>
            </w:rPr>
            <w:t>支持文化发展</w:t>
          </w:r>
          <w:r>
            <w:rPr>
              <w:rFonts w:hint="eastAsia"/>
              <w:lang w:eastAsia="zh-Hans"/>
            </w:rPr>
            <w:t>方面，际华</w:t>
          </w:r>
          <w:r>
            <w:rPr>
              <w:rFonts w:hint="eastAsia"/>
            </w:rPr>
            <w:t>3515公司</w:t>
          </w:r>
          <w:r>
            <w:rPr>
              <w:rFonts w:hint="eastAsia"/>
              <w:lang w:eastAsia="zh-Hans"/>
            </w:rPr>
            <w:t>积极</w:t>
          </w:r>
          <w:r>
            <w:rPr>
              <w:rFonts w:hint="eastAsia"/>
            </w:rPr>
            <w:t>履行</w:t>
          </w:r>
          <w:r>
            <w:rPr>
              <w:rFonts w:hint="eastAsia"/>
              <w:lang w:eastAsia="zh-Hans"/>
            </w:rPr>
            <w:t>保护国家历史古建筑的责任和义务</w:t>
          </w:r>
          <w:r>
            <w:rPr>
              <w:rFonts w:hint="eastAsia"/>
            </w:rPr>
            <w:t>，公司</w:t>
          </w:r>
          <w:r>
            <w:rPr>
              <w:rFonts w:hint="eastAsia"/>
              <w:lang w:eastAsia="zh-Hans"/>
            </w:rPr>
            <w:t>工业建筑群是军队后勤系统目前保留最完整、年代较久远的苏氏历史建筑群，2023年被河南省工业和信息化厅授予“河南省工业遗产”称号。际华</w:t>
          </w:r>
          <w:r>
            <w:rPr>
              <w:rFonts w:hint="eastAsia"/>
            </w:rPr>
            <w:t>3536</w:t>
          </w:r>
          <w:r>
            <w:t>公司</w:t>
          </w:r>
          <w:r>
            <w:rPr>
              <w:rFonts w:hint="eastAsia"/>
            </w:rPr>
            <w:t>积极配合三线建设主体基地的</w:t>
          </w:r>
          <w:r>
            <w:t>打造，积极参与</w:t>
          </w:r>
          <w:r>
            <w:rPr>
              <w:rFonts w:hint="eastAsia"/>
            </w:rPr>
            <w:t>到三线建设博物馆（射洪3536馆）的建设中，履行</w:t>
          </w:r>
          <w:r>
            <w:t>责任和义务。</w:t>
          </w:r>
        </w:p>
        <w:p w14:paraId="571A66D4">
          <w:pPr>
            <w:widowControl w:val="0"/>
            <w:pBdr>
              <w:top w:val="single" w:color="auto" w:sz="4" w:space="0"/>
              <w:left w:val="single" w:color="auto" w:sz="4" w:space="0"/>
              <w:bottom w:val="single" w:color="auto" w:sz="4" w:space="0"/>
              <w:right w:val="single" w:color="auto" w:sz="4" w:space="0"/>
            </w:pBdr>
            <w:ind w:firstLine="420" w:firstLineChars="200"/>
            <w:rPr>
              <w:rFonts w:hint="eastAsia"/>
              <w:lang w:eastAsia="zh-Hans"/>
            </w:rPr>
          </w:pPr>
          <w:r>
            <w:rPr>
              <w:rFonts w:hint="eastAsia"/>
            </w:rPr>
            <w:t>帮助弱势群体方面，</w:t>
          </w:r>
          <w:r>
            <w:rPr>
              <w:rFonts w:hint="eastAsia"/>
              <w:lang w:eastAsia="zh-Hans"/>
            </w:rPr>
            <w:t>际华</w:t>
          </w:r>
          <w:r>
            <w:rPr>
              <w:rFonts w:hint="eastAsia"/>
            </w:rPr>
            <w:t>3515公司参与漯河市2024年“乡村振兴豫善同行”“慈善一日捐”活动，号召公司各个分会发起捐款，有效带动617人次参与捐款，累计捐款11414.61元，参与漯河市爱心助力见义勇为“99公益日”活动，带动244人次参与捐款，累计捐款5197.53元。</w:t>
          </w:r>
          <w:r>
            <w:rPr>
              <w:rFonts w:hint="eastAsia"/>
              <w:lang w:eastAsia="zh-Hans"/>
            </w:rPr>
            <w:t>际华</w:t>
          </w:r>
          <w:r>
            <w:rPr>
              <w:rFonts w:hint="eastAsia"/>
            </w:rPr>
            <w:t>3534公司积极践行社会责任，大力促进特殊群体就业，招聘残疾人 14 人，为他们搭建了融入社会、实现自我价值的平台，凭借自身努力收获劳动成果。</w:t>
          </w:r>
          <w:r>
            <w:rPr>
              <w:rFonts w:hint="eastAsia"/>
              <w:lang w:eastAsia="zh-Hans"/>
            </w:rPr>
            <w:t>际华</w:t>
          </w:r>
          <w:r>
            <w:rPr>
              <w:rFonts w:hint="eastAsia"/>
            </w:rPr>
            <w:t>3536公司利用七一等活动与市红十字会联动，开展义务献血活动，参与人员达到500余人。</w:t>
          </w:r>
        </w:p>
        <w:p w14:paraId="2AE7C894">
          <w:pPr>
            <w:rPr>
              <w:rFonts w:hint="eastAsia"/>
            </w:rPr>
          </w:pPr>
        </w:p>
      </w:sdtContent>
    </w:sdt>
    <w:p w14:paraId="1906AF62">
      <w:pPr>
        <w:rPr>
          <w:rFonts w:hint="eastAsia"/>
        </w:rPr>
      </w:pPr>
    </w:p>
    <w:p w14:paraId="3082FF5F">
      <w:pPr>
        <w:pStyle w:val="3"/>
        <w:numPr>
          <w:ilvl w:val="0"/>
          <w:numId w:val="44"/>
        </w:numPr>
        <w:tabs>
          <w:tab w:val="left" w:pos="426"/>
        </w:tabs>
        <w:ind w:left="425" w:hanging="425"/>
        <w:jc w:val="left"/>
        <w:rPr>
          <w:rFonts w:hint="eastAsia" w:ascii="宋体" w:hAnsi="宋体"/>
        </w:rPr>
      </w:pPr>
      <w:r>
        <w:rPr>
          <w:rFonts w:hint="eastAsia" w:ascii="宋体" w:hAnsi="宋体"/>
        </w:rPr>
        <w:t>巩固拓展脱贫攻坚成果、乡村振兴等工作具体情况</w:t>
      </w:r>
    </w:p>
    <w:sdt>
      <w:sdtPr>
        <w:alias w:val="是否适用：巩固拓展脱贫攻坚成果、乡村振兴工作具体情况[双击切换]"/>
        <w:tag w:val="_GBC_94f5c59c87964f1f83743f3f44109e91"/>
        <w:id w:val="-621920548"/>
        <w:placeholder>
          <w:docPart w:val="GBC22222222222222222222222222222"/>
        </w:placeholder>
      </w:sdtPr>
      <w:sdtContent>
        <w:p w14:paraId="2C8B9EE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9"/>
        <w:gridCol w:w="2211"/>
        <w:gridCol w:w="3603"/>
      </w:tblGrid>
      <w:tr w14:paraId="5A70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29d252d89d54e55bc5bc96bc0b5b469"/>
            <w:id w:val="-568420792"/>
          </w:sdtPr>
          <w:sdtContent>
            <w:tc>
              <w:tcPr>
                <w:tcW w:w="1705" w:type="pct"/>
                <w:shd w:val="clear" w:color="auto" w:fill="auto"/>
              </w:tcPr>
              <w:p w14:paraId="035BD106">
                <w:pPr>
                  <w:widowControl w:val="0"/>
                  <w:jc w:val="center"/>
                  <w:rPr>
                    <w:rFonts w:hint="eastAsia"/>
                  </w:rPr>
                </w:pPr>
                <w:r>
                  <w:rPr>
                    <w:rFonts w:hint="eastAsia"/>
                  </w:rPr>
                  <w:t>扶贫及乡村振兴项目</w:t>
                </w:r>
              </w:p>
            </w:tc>
          </w:sdtContent>
        </w:sdt>
        <w:sdt>
          <w:sdtPr>
            <w:tag w:val="_PLD_a6391e1627b241d296ea0039eb1df6ec"/>
            <w:id w:val="-1383239836"/>
          </w:sdtPr>
          <w:sdtContent>
            <w:tc>
              <w:tcPr>
                <w:tcW w:w="1253" w:type="pct"/>
                <w:shd w:val="clear" w:color="auto" w:fill="auto"/>
              </w:tcPr>
              <w:p w14:paraId="746E8322">
                <w:pPr>
                  <w:widowControl w:val="0"/>
                  <w:jc w:val="center"/>
                  <w:rPr>
                    <w:rFonts w:hint="eastAsia"/>
                  </w:rPr>
                </w:pPr>
                <w:r>
                  <w:rPr>
                    <w:rFonts w:hint="eastAsia"/>
                  </w:rPr>
                  <w:t>数量/内容</w:t>
                </w:r>
              </w:p>
            </w:tc>
          </w:sdtContent>
        </w:sdt>
        <w:sdt>
          <w:sdtPr>
            <w:tag w:val="_PLD_a8d1c4a093dd414b9639e1cb3e55c142"/>
            <w:id w:val="-1565335100"/>
          </w:sdtPr>
          <w:sdtContent>
            <w:tc>
              <w:tcPr>
                <w:tcW w:w="2042" w:type="pct"/>
                <w:shd w:val="clear" w:color="auto" w:fill="auto"/>
              </w:tcPr>
              <w:p w14:paraId="4EA992C8">
                <w:pPr>
                  <w:widowControl w:val="0"/>
                  <w:jc w:val="center"/>
                  <w:rPr>
                    <w:rFonts w:hint="eastAsia"/>
                  </w:rPr>
                </w:pPr>
                <w:r>
                  <w:rPr>
                    <w:rFonts w:hint="eastAsia"/>
                  </w:rPr>
                  <w:t>情况说明</w:t>
                </w:r>
              </w:p>
            </w:tc>
          </w:sdtContent>
        </w:sdt>
      </w:tr>
      <w:tr w14:paraId="1B20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shd w:val="clear" w:color="auto" w:fill="auto"/>
            <w:vAlign w:val="center"/>
          </w:tcPr>
          <w:p w14:paraId="37014339">
            <w:pPr>
              <w:widowControl w:val="0"/>
              <w:jc w:val="center"/>
              <w:rPr>
                <w:rFonts w:hint="eastAsia"/>
              </w:rPr>
            </w:pPr>
            <w:sdt>
              <w:sdtPr>
                <w:tag w:val="_PLD_dae771cda9a1484bba73d2b716e9e1d0"/>
                <w:id w:val="1962687454"/>
              </w:sdtPr>
              <w:sdtContent>
                <w:r>
                  <w:rPr>
                    <w:rFonts w:hint="eastAsia"/>
                  </w:rPr>
                  <w:t>总投入</w:t>
                </w:r>
              </w:sdtContent>
            </w:sdt>
            <w:r>
              <w:rPr>
                <w:rFonts w:hint="eastAsia"/>
              </w:rPr>
              <w:t>（</w:t>
            </w:r>
            <w:sdt>
              <w:sdtPr>
                <w:rPr>
                  <w:rFonts w:hint="eastAsia"/>
                </w:rPr>
                <w:alias w:val="单位：扶贫总体投入"/>
                <w:tag w:val="_GBC_5f0221b7e67c41f098047fc332d7fdb0"/>
                <w:id w:val="-64191445"/>
                <w:placeholder>
                  <w:docPart w:val="4B7AAD01F2EE4E8BA0AE36C8CD50A7C8"/>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1253" w:type="pct"/>
            <w:shd w:val="clear" w:color="auto" w:fill="auto"/>
            <w:vAlign w:val="center"/>
          </w:tcPr>
          <w:p w14:paraId="467CB567">
            <w:pPr>
              <w:widowControl w:val="0"/>
              <w:jc w:val="right"/>
              <w:rPr>
                <w:rFonts w:ascii="Arial Narrow" w:hAnsi="Arial Narrow"/>
              </w:rPr>
            </w:pPr>
            <w:r>
              <w:rPr>
                <w:rFonts w:ascii="Arial Narrow" w:hAnsi="Arial Narrow"/>
              </w:rPr>
              <w:t>256.68</w:t>
            </w:r>
          </w:p>
        </w:tc>
        <w:tc>
          <w:tcPr>
            <w:tcW w:w="2042" w:type="pct"/>
            <w:shd w:val="clear" w:color="auto" w:fill="auto"/>
          </w:tcPr>
          <w:p w14:paraId="39480623">
            <w:pPr>
              <w:widowControl w:val="0"/>
              <w:rPr>
                <w:rFonts w:hint="eastAsia"/>
              </w:rPr>
            </w:pPr>
          </w:p>
        </w:tc>
      </w:tr>
      <w:tr w14:paraId="7979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shd w:val="clear" w:color="auto" w:fill="auto"/>
            <w:vAlign w:val="center"/>
          </w:tcPr>
          <w:p w14:paraId="3F1494B5">
            <w:pPr>
              <w:widowControl w:val="0"/>
              <w:jc w:val="center"/>
              <w:rPr>
                <w:rFonts w:hint="eastAsia"/>
              </w:rPr>
            </w:pPr>
            <w:sdt>
              <w:sdtPr>
                <w:tag w:val="_PLD_69ea38aa090e4fbbb17554804e8f1815"/>
                <w:id w:val="-1174954610"/>
              </w:sdtPr>
              <w:sdtContent>
                <w:r>
                  <w:rPr>
                    <w:rFonts w:hint="eastAsia"/>
                  </w:rPr>
                  <w:t>其中：资金</w:t>
                </w:r>
              </w:sdtContent>
            </w:sdt>
            <w:r>
              <w:rPr>
                <w:rFonts w:hint="eastAsia"/>
              </w:rPr>
              <w:t>（</w:t>
            </w:r>
            <w:sdt>
              <w:sdtPr>
                <w:rPr>
                  <w:rFonts w:hint="eastAsia"/>
                </w:rPr>
                <w:alias w:val="单位：扶贫总体资金"/>
                <w:tag w:val="_GBC_ee2e74bc2b774ca490d2bc701194ed12"/>
                <w:id w:val="-1412392302"/>
                <w:placeholder>
                  <w:docPart w:val="4B7AAD01F2EE4E8BA0AE36C8CD50A7C8"/>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1253" w:type="pct"/>
            <w:shd w:val="clear" w:color="auto" w:fill="auto"/>
            <w:vAlign w:val="center"/>
          </w:tcPr>
          <w:p w14:paraId="1399C3BD">
            <w:pPr>
              <w:widowControl w:val="0"/>
              <w:jc w:val="right"/>
              <w:rPr>
                <w:rFonts w:ascii="Arial Narrow" w:hAnsi="Arial Narrow"/>
              </w:rPr>
            </w:pPr>
            <w:r>
              <w:rPr>
                <w:rFonts w:ascii="Arial Narrow" w:hAnsi="Arial Narrow"/>
              </w:rPr>
              <w:t>106.5</w:t>
            </w:r>
          </w:p>
        </w:tc>
        <w:tc>
          <w:tcPr>
            <w:tcW w:w="2042" w:type="pct"/>
            <w:shd w:val="clear" w:color="auto" w:fill="auto"/>
          </w:tcPr>
          <w:p w14:paraId="0CF6F74A">
            <w:pPr>
              <w:widowControl w:val="0"/>
              <w:rPr>
                <w:rFonts w:hint="eastAsia"/>
              </w:rPr>
            </w:pPr>
            <w:r>
              <w:rPr>
                <w:rFonts w:hint="eastAsia"/>
                <w:color w:val="000000" w:themeColor="text1"/>
                <w14:textFill>
                  <w14:solidFill>
                    <w14:schemeClr w14:val="tx1"/>
                  </w14:solidFill>
                </w14:textFill>
              </w:rPr>
              <w:t>际华3521公司对南京市高淳区扶贫共建工厂对口安排生产扶贫，产业扶贫项目（加工费）投入金额106.5万元。</w:t>
            </w:r>
          </w:p>
        </w:tc>
      </w:tr>
      <w:tr w14:paraId="268E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shd w:val="clear" w:color="auto" w:fill="auto"/>
            <w:vAlign w:val="center"/>
          </w:tcPr>
          <w:p w14:paraId="47066032">
            <w:pPr>
              <w:widowControl w:val="0"/>
              <w:ind w:firstLine="630" w:firstLineChars="300"/>
              <w:jc w:val="center"/>
              <w:rPr>
                <w:rFonts w:hint="eastAsia"/>
              </w:rPr>
            </w:pPr>
            <w:sdt>
              <w:sdtPr>
                <w:tag w:val="_PLD_0ceb41eb583e412ea04995521d22af44"/>
                <w:id w:val="926074466"/>
              </w:sdtPr>
              <w:sdtContent>
                <w:r>
                  <w:rPr>
                    <w:rFonts w:hint="eastAsia"/>
                  </w:rPr>
                  <w:t>物资折款</w:t>
                </w:r>
              </w:sdtContent>
            </w:sdt>
            <w:r>
              <w:rPr>
                <w:rFonts w:hint="eastAsia"/>
              </w:rPr>
              <w:t>（</w:t>
            </w:r>
            <w:sdt>
              <w:sdtPr>
                <w:rPr>
                  <w:rFonts w:hint="eastAsia"/>
                </w:rPr>
                <w:alias w:val="单位：扶贫物资折款"/>
                <w:tag w:val="_GBC_e913f66999ce4abcba46d8007b91edcb"/>
                <w:id w:val="29623313"/>
                <w:placeholder>
                  <w:docPart w:val="4B7AAD01F2EE4E8BA0AE36C8CD50A7C8"/>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w:t>
            </w:r>
          </w:p>
        </w:tc>
        <w:tc>
          <w:tcPr>
            <w:tcW w:w="1253" w:type="pct"/>
            <w:shd w:val="clear" w:color="auto" w:fill="auto"/>
            <w:vAlign w:val="center"/>
          </w:tcPr>
          <w:p w14:paraId="5AA53C33">
            <w:pPr>
              <w:widowControl w:val="0"/>
              <w:jc w:val="right"/>
              <w:rPr>
                <w:rFonts w:ascii="Arial Narrow" w:hAnsi="Arial Narrow"/>
              </w:rPr>
            </w:pPr>
            <w:r>
              <w:rPr>
                <w:rFonts w:ascii="Arial Narrow" w:hAnsi="Arial Narrow"/>
              </w:rPr>
              <w:t>150.18</w:t>
            </w:r>
          </w:p>
        </w:tc>
        <w:tc>
          <w:tcPr>
            <w:tcW w:w="2042" w:type="pct"/>
            <w:shd w:val="clear" w:color="auto" w:fill="auto"/>
          </w:tcPr>
          <w:p w14:paraId="100348CC">
            <w:pPr>
              <w:widowControl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际华集团及8户所属企业定点采购四子王旗及安定区扶贫农产品</w:t>
            </w:r>
          </w:p>
          <w:p w14:paraId="690C6C89">
            <w:pPr>
              <w:widowControl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132.99万元</w:t>
            </w:r>
            <w:r>
              <w:rPr>
                <w:rFonts w:hint="eastAsia"/>
                <w:color w:val="000000" w:themeColor="text1"/>
                <w:lang w:eastAsia="zh-Hans"/>
                <w14:textFill>
                  <w14:solidFill>
                    <w14:schemeClr w14:val="tx1"/>
                  </w14:solidFill>
                </w14:textFill>
              </w:rPr>
              <w:t>。</w:t>
            </w:r>
          </w:p>
          <w:p w14:paraId="1CACA6FA">
            <w:pPr>
              <w:widowControl w:val="0"/>
              <w:rPr>
                <w:rFonts w:hint="eastAsia"/>
              </w:rPr>
            </w:pPr>
            <w:r>
              <w:rPr>
                <w:rFonts w:hint="eastAsia"/>
                <w:color w:val="000000" w:themeColor="text1"/>
                <w14:textFill>
                  <w14:solidFill>
                    <w14:schemeClr w14:val="tx1"/>
                  </w14:solidFill>
                </w14:textFill>
              </w:rPr>
              <w:t>际华3542公司定点采购帮扶村大米7.5万元，</w:t>
            </w:r>
            <w:r>
              <w:rPr>
                <w:rFonts w:hint="eastAsia"/>
              </w:rPr>
              <w:t>携带慰问物资（折合人民币1.5万元），慰问脱贫户、困难党员、老党员等。</w:t>
            </w:r>
          </w:p>
        </w:tc>
      </w:tr>
      <w:tr w14:paraId="42DF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shd w:val="clear" w:color="auto" w:fill="auto"/>
          </w:tcPr>
          <w:p w14:paraId="457E2CB1">
            <w:pPr>
              <w:widowControl w:val="0"/>
              <w:rPr>
                <w:rFonts w:hint="eastAsia"/>
              </w:rPr>
            </w:pPr>
            <w:r>
              <w:rPr>
                <w:rFonts w:hint="eastAsia"/>
              </w:rPr>
              <w:t>惠及人数（人）</w:t>
            </w:r>
          </w:p>
        </w:tc>
        <w:tc>
          <w:tcPr>
            <w:tcW w:w="1253" w:type="pct"/>
            <w:shd w:val="clear" w:color="auto" w:fill="auto"/>
            <w:vAlign w:val="center"/>
          </w:tcPr>
          <w:p w14:paraId="148558FF">
            <w:pPr>
              <w:widowControl w:val="0"/>
              <w:jc w:val="right"/>
              <w:rPr>
                <w:rFonts w:ascii="Arial Narrow" w:hAnsi="Arial Narrow"/>
              </w:rPr>
            </w:pPr>
            <w:r>
              <w:rPr>
                <w:rFonts w:ascii="Arial Narrow" w:hAnsi="Arial Narrow"/>
              </w:rPr>
              <w:t>3100</w:t>
            </w:r>
          </w:p>
        </w:tc>
        <w:tc>
          <w:tcPr>
            <w:tcW w:w="2042" w:type="pct"/>
            <w:shd w:val="clear" w:color="auto" w:fill="auto"/>
          </w:tcPr>
          <w:p w14:paraId="5AB3E82E">
            <w:pPr>
              <w:widowControl w:val="0"/>
              <w:rPr>
                <w:rFonts w:hint="eastAsia"/>
              </w:rPr>
            </w:pPr>
          </w:p>
        </w:tc>
      </w:tr>
      <w:tr w14:paraId="6502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pct"/>
            <w:shd w:val="clear" w:color="auto" w:fill="auto"/>
          </w:tcPr>
          <w:p w14:paraId="03EAFFCB">
            <w:pPr>
              <w:widowControl w:val="0"/>
              <w:rPr>
                <w:rFonts w:hint="eastAsia"/>
              </w:rPr>
            </w:pPr>
            <w:r>
              <w:rPr>
                <w:rFonts w:hint="eastAsia"/>
              </w:rPr>
              <w:t>帮扶形式（如产业扶贫、就业扶贫、教育扶贫等）</w:t>
            </w:r>
          </w:p>
        </w:tc>
        <w:tc>
          <w:tcPr>
            <w:tcW w:w="1253" w:type="pct"/>
            <w:shd w:val="clear" w:color="auto" w:fill="auto"/>
          </w:tcPr>
          <w:p w14:paraId="6963AE97">
            <w:pPr>
              <w:widowControl w:val="0"/>
              <w:rPr>
                <w:rFonts w:hint="eastAsia"/>
              </w:rPr>
            </w:pPr>
            <w:r>
              <w:rPr>
                <w:rFonts w:hint="eastAsia"/>
              </w:rPr>
              <w:t>产业扶贫、就业扶贫</w:t>
            </w:r>
          </w:p>
        </w:tc>
        <w:tc>
          <w:tcPr>
            <w:tcW w:w="2042" w:type="pct"/>
            <w:shd w:val="clear" w:color="auto" w:fill="auto"/>
          </w:tcPr>
          <w:p w14:paraId="302DB843">
            <w:pPr>
              <w:widowControl w:val="0"/>
              <w:rPr>
                <w:rFonts w:hint="eastAsia"/>
              </w:rPr>
            </w:pPr>
          </w:p>
        </w:tc>
      </w:tr>
    </w:tbl>
    <w:p w14:paraId="35BD7997">
      <w:pPr>
        <w:rPr>
          <w:rFonts w:hint="eastAsia"/>
        </w:rPr>
      </w:pPr>
    </w:p>
    <w:p w14:paraId="40EE638E">
      <w:pPr>
        <w:rPr>
          <w:rFonts w:hint="eastAsia"/>
        </w:rPr>
      </w:pPr>
      <w:r>
        <w:t>具体说明</w:t>
      </w:r>
    </w:p>
    <w:sdt>
      <w:sdtPr>
        <w:alias w:val="是否适用：巩固拓展脱贫攻坚成果、乡村振兴等工作具体情况其他说明[双击切换]"/>
        <w:tag w:val="_GBC_da0a87234d174e509f00e24b4a8320dc"/>
        <w:id w:val="1225874328"/>
        <w:placeholder>
          <w:docPart w:val="GBC22222222222222222222222222222"/>
        </w:placeholder>
      </w:sdtPr>
      <w:sdtContent>
        <w:p w14:paraId="146E264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巩固拓展脱贫攻坚成果、乡村振兴工作具体情况"/>
        <w:tag w:val="_GBC_6af1d9c635ca457eaede5db7b23daa68"/>
        <w:id w:val="762733929"/>
        <w:placeholder>
          <w:docPart w:val="GBC22222222222222222222222222222"/>
        </w:placeholder>
      </w:sdtPr>
      <w:sdtContent>
        <w:p w14:paraId="60BFA758">
          <w:pPr>
            <w:ind w:firstLine="420"/>
            <w:rPr>
              <w:rFonts w:hint="eastAsia"/>
            </w:rPr>
          </w:pPr>
          <w:r>
            <w:rPr>
              <w:rFonts w:hint="eastAsia"/>
              <w:color w:val="000000" w:themeColor="text1"/>
              <w14:textFill>
                <w14:solidFill>
                  <w14:schemeClr w14:val="tx1"/>
                </w14:solidFill>
              </w14:textFill>
            </w:rPr>
            <w:t>2024年，际华集团及8户所属企业定点帮扶甘肃省定西市安定区和内蒙古自治区乌兰察布市四子王旗采购农产品共计132.99万元。际华集团积极参加</w:t>
          </w:r>
          <w:r>
            <w:rPr>
              <w:color w:val="000000" w:themeColor="text1"/>
              <w14:textFill>
                <w14:solidFill>
                  <w14:schemeClr w14:val="tx1"/>
                </w14:solidFill>
              </w14:textFill>
            </w:rPr>
            <w:t>第三届“央企消费帮扶兴农周”</w:t>
          </w:r>
          <w:r>
            <w:rPr>
              <w:rFonts w:hint="eastAsia"/>
              <w:color w:val="000000" w:themeColor="text1"/>
              <w14:textFill>
                <w14:solidFill>
                  <w14:schemeClr w14:val="tx1"/>
                </w14:solidFill>
              </w14:textFill>
            </w:rPr>
            <w:t>活动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充分发挥自身的资源优势和市场影响力，积极拓展贫困地区农产品的销售渠道，组织所属企业、广大干部职工积极参与活动，动员职工群众采购帮销国资央企定点帮扶县和对口支援县的优质农产品，</w:t>
          </w:r>
          <w:r>
            <w:rPr>
              <w:color w:val="000000" w:themeColor="text1"/>
              <w14:textFill>
                <w14:solidFill>
                  <w14:schemeClr w14:val="tx1"/>
                </w14:solidFill>
              </w14:textFill>
            </w:rPr>
            <w:t>累计直接采购</w:t>
          </w:r>
          <w:r>
            <w:rPr>
              <w:rFonts w:hint="eastAsia"/>
              <w:color w:val="000000" w:themeColor="text1"/>
              <w14:textFill>
                <w14:solidFill>
                  <w14:schemeClr w14:val="tx1"/>
                </w14:solidFill>
              </w14:textFill>
            </w:rPr>
            <w:t>126.78</w:t>
          </w:r>
          <w:r>
            <w:rPr>
              <w:color w:val="000000" w:themeColor="text1"/>
              <w14:textFill>
                <w14:solidFill>
                  <w14:schemeClr w14:val="tx1"/>
                </w14:solidFill>
              </w14:textFill>
            </w:rPr>
            <w:t>万元</w:t>
          </w:r>
          <w:r>
            <w:rPr>
              <w:rFonts w:hint="eastAsia"/>
              <w:color w:val="000000" w:themeColor="text1"/>
              <w14:textFill>
                <w14:solidFill>
                  <w14:schemeClr w14:val="tx1"/>
                </w14:solidFill>
              </w14:textFill>
            </w:rPr>
            <w:t>，推动帮扶产品进员工福利采购和慰问走访目录，用消费帮扶带动当地经济发展，促进脱贫地区乡村产业发展和脱贫群众稳定增收。际华3521公司对南京市高淳区扶贫共建工厂对口安排生产扶贫，产业扶贫项目（加工费）投入金额106.5万元。</w:t>
          </w:r>
          <w:r>
            <w:rPr>
              <w:rFonts w:hint="eastAsia"/>
              <w:lang w:eastAsia="zh-Hans"/>
            </w:rPr>
            <w:t>际华</w:t>
          </w:r>
          <w:r>
            <w:rPr>
              <w:rFonts w:hint="eastAsia"/>
              <w:color w:val="000000" w:themeColor="text1"/>
              <w14:textFill>
                <w14:solidFill>
                  <w14:schemeClr w14:val="tx1"/>
                </w14:solidFill>
              </w14:textFill>
            </w:rPr>
            <w:t>3542公司按襄阳市政府要求，安排驻村工作队常年驻守乡村振兴对口村，襄阳市南漳县葫芦潭村，定期与村干部一起走访脱贫户和普通农户，帮助解决村民的实际困难，结对帮扶4户脱贫户。同时，带动脱贫户25户72人，人均增收1200元。宣传鼓励农户种植“野菊花”项目200多亩，每亩收益3000多元；巩固50亩“蛙稻养殖”项目。抓基础设施建设，对沟渠、堰塘进行整治，解决农田灌溉，新修通组入户道路1.8公里。配合村委会做好“禁止秸秆焚烧”宣传工作，养老认证、两金征收、人居环境整治工作等，公司</w:t>
          </w:r>
          <w:r>
            <w:rPr>
              <w:rFonts w:hint="eastAsia"/>
            </w:rPr>
            <w:t>工会以2.8元/斤的价格采购定点帮扶村大米2.66万斤，用于公司职工春节福利发放，在春节、端午节、中秋节等重要节假日期间，携带慰问物资（折合人民币1.5万元），慰问脱贫户、困难党员、老党员等。制鞋公司选派工作能力突出、政治素质过硬的优秀职工到帮扶村任驻村第一书记，助力帮扶村推进乡村振兴工作，同时协助开展消费帮扶，每年向帮扶村购置夏季送清凉慰问品。公司通过在贵州铜仁、贞丰建设服装加工基地，有效解决当地易地扶贫搬迁群众就业700余人。</w:t>
          </w:r>
        </w:p>
      </w:sdtContent>
    </w:sdt>
    <w:p w14:paraId="3383B93B">
      <w:pPr>
        <w:rPr>
          <w:rFonts w:hint="eastAsia"/>
        </w:rPr>
      </w:pPr>
    </w:p>
    <w:p w14:paraId="5F65D33D">
      <w:pPr>
        <w:rPr>
          <w:rFonts w:hint="eastAsia"/>
        </w:rPr>
        <w:sectPr>
          <w:pgSz w:w="11906" w:h="16838"/>
          <w:pgMar w:top="1525" w:right="1276" w:bottom="1440" w:left="1797" w:header="851" w:footer="992" w:gutter="0"/>
          <w:cols w:space="425" w:num="1"/>
          <w:docGrid w:linePitch="312" w:charSpace="0"/>
        </w:sectPr>
      </w:pPr>
    </w:p>
    <w:bookmarkEnd w:id="97"/>
    <w:p w14:paraId="6065BDF3">
      <w:pPr>
        <w:rPr>
          <w:rFonts w:hint="eastAsia"/>
        </w:rPr>
      </w:pPr>
    </w:p>
    <w:bookmarkEnd w:id="98"/>
    <w:p w14:paraId="3A34F79B">
      <w:pPr>
        <w:pStyle w:val="2"/>
        <w:numPr>
          <w:ilvl w:val="0"/>
          <w:numId w:val="2"/>
        </w:numPr>
      </w:pPr>
      <w:bookmarkStart w:id="101" w:name="_Toc184741579"/>
      <w:bookmarkStart w:id="102" w:name="_Hlk90554245"/>
      <w:r>
        <w:rPr>
          <w:rFonts w:hint="eastAsia"/>
        </w:rPr>
        <w:t>重要事项</w:t>
      </w:r>
    </w:p>
    <w:bookmarkEnd w:id="101"/>
    <w:p w14:paraId="1D0BD778">
      <w:pPr>
        <w:pStyle w:val="3"/>
        <w:numPr>
          <w:ilvl w:val="0"/>
          <w:numId w:val="51"/>
        </w:numPr>
      </w:pPr>
      <w:r>
        <w:rPr>
          <w:rFonts w:hint="eastAsia"/>
        </w:rPr>
        <w:t>承诺事项履行情况</w:t>
      </w:r>
    </w:p>
    <w:p w14:paraId="77EB2992">
      <w:pPr>
        <w:pStyle w:val="4"/>
        <w:numPr>
          <w:ilvl w:val="1"/>
          <w:numId w:val="52"/>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2060548352"/>
        <w:placeholder>
          <w:docPart w:val="GBC22222222222222222222222222222"/>
        </w:placeholder>
      </w:sdtPr>
      <w:sdtContent>
        <w:p w14:paraId="7ECE18C0">
          <w:pPr>
            <w:rPr>
              <w:rFonts w:hint="eastAsia"/>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39885AC">
      <w:pPr>
        <w:rPr>
          <w:rFonts w:hint="eastAsia"/>
        </w:rPr>
      </w:pPr>
    </w:p>
    <w:p w14:paraId="3AEB6A08">
      <w:pPr>
        <w:pStyle w:val="4"/>
        <w:numPr>
          <w:ilvl w:val="1"/>
          <w:numId w:val="52"/>
        </w:numPr>
        <w:rPr>
          <w:szCs w:val="21"/>
        </w:rPr>
      </w:pPr>
      <w:r>
        <w:rPr>
          <w:rFonts w:hint="eastAsia"/>
          <w:szCs w:val="21"/>
        </w:rPr>
        <w:t>公司资产或项目存在盈利预测，且报告期仍处在盈利预测期间，公司就资产或项目</w:t>
      </w:r>
    </w:p>
    <w:p w14:paraId="744F964F">
      <w:pPr>
        <w:rPr>
          <w:rFonts w:hint="eastAsia"/>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1653401958"/>
        <w:placeholder>
          <w:docPart w:val="GBC22222222222222222222222222222"/>
        </w:placeholder>
      </w:sdtPr>
      <w:sdtEndPr>
        <w:rPr>
          <w:szCs w:val="21"/>
        </w:rPr>
      </w:sdtEndPr>
      <w:sdtContent>
        <w:p w14:paraId="2C465A00">
          <w:pPr>
            <w:rPr>
              <w:rFonts w:hint="eastAsia"/>
              <w:szCs w:val="21"/>
            </w:rPr>
          </w:pPr>
          <w:r>
            <w:rPr>
              <w:szCs w:val="21"/>
            </w:rPr>
            <w:fldChar w:fldCharType="begin"/>
          </w:r>
          <w:r>
            <w:rPr>
              <w:rFonts w:hint="eastAsia"/>
              <w:szCs w:val="21"/>
            </w:rPr>
            <w:instrText xml:space="preserve"> MACROBUTTON  SnrToggleCheckbox □已达到 </w:instrText>
          </w:r>
          <w:r>
            <w:rPr>
              <w:szCs w:val="21"/>
            </w:rPr>
            <w:fldChar w:fldCharType="end"/>
          </w:r>
          <w:r>
            <w:rPr>
              <w:szCs w:val="21"/>
            </w:rPr>
            <w:fldChar w:fldCharType="begin"/>
          </w:r>
          <w:r>
            <w:rPr>
              <w:rFonts w:hint="eastAsia"/>
              <w:szCs w:val="21"/>
            </w:rPr>
            <w:instrText xml:space="preserve"> MACROBUTTON  SnrToggleCheckbox □未达到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1F76ADF">
      <w:pPr>
        <w:rPr>
          <w:rFonts w:hint="eastAsia"/>
        </w:rPr>
      </w:pPr>
    </w:p>
    <w:p w14:paraId="2BCBC1AF">
      <w:pPr>
        <w:pStyle w:val="4"/>
        <w:numPr>
          <w:ilvl w:val="1"/>
          <w:numId w:val="52"/>
        </w:numPr>
        <w:rPr>
          <w:szCs w:val="21"/>
        </w:rPr>
      </w:pPr>
      <w:bookmarkStart w:id="103" w:name="_Hlk533667679"/>
      <w:bookmarkEnd w:id="103"/>
      <w:bookmarkStart w:id="104" w:name="_Hlk533667690"/>
      <w:r>
        <w:rPr>
          <w:rFonts w:hint="eastAsia"/>
          <w:szCs w:val="21"/>
        </w:rPr>
        <w:t>业绩承诺的完成情况及其对商誉减值测试的影响</w:t>
      </w:r>
    </w:p>
    <w:p w14:paraId="42D213CA">
      <w:pPr>
        <w:rPr>
          <w:rFonts w:hint="eastAsia"/>
        </w:rPr>
      </w:pPr>
      <w:sdt>
        <w:sdtPr>
          <w:rPr>
            <w:rFonts w:hint="eastAsia"/>
            <w:b/>
            <w:szCs w:val="21"/>
          </w:rPr>
          <w:alias w:val="是否适用：承诺事项-商誉减值测试的影响[双击切换]"/>
          <w:tag w:val="_GBC_659442fc24654f8db642f18c0532cf99"/>
          <w:id w:val="1336649828"/>
          <w:placeholder>
            <w:docPart w:val="GBC22222222222222222222222222222"/>
          </w:placeholder>
        </w:sdtPr>
        <w:sdtEndPr>
          <w:rPr>
            <w:rFonts w:hint="eastAsia"/>
            <w:b/>
            <w:szCs w:val="21"/>
          </w:rPr>
        </w:sdtEndPr>
        <w:sdtContent>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bookmarkEnd w:id="104"/>
    <w:p w14:paraId="511354D4">
      <w:pPr>
        <w:rPr>
          <w:rFonts w:hint="eastAsia"/>
          <w:szCs w:val="21"/>
        </w:rPr>
      </w:pPr>
    </w:p>
    <w:p w14:paraId="4D995037">
      <w:pPr>
        <w:pStyle w:val="3"/>
        <w:numPr>
          <w:ilvl w:val="0"/>
          <w:numId w:val="51"/>
        </w:numPr>
      </w:pPr>
      <w:bookmarkStart w:id="105" w:name="_Hlk89336052"/>
      <w:r>
        <w:rPr>
          <w:rFonts w:hint="eastAsia"/>
        </w:rPr>
        <w:t>报告期内控股股东及其他关联方非经营性占用资金情况</w:t>
      </w:r>
    </w:p>
    <w:sdt>
      <w:sdtPr>
        <w:rPr>
          <w:szCs w:val="21"/>
        </w:rPr>
        <w:alias w:val="是否适用：资金被占用情况及清欠进展情况[双击切换]"/>
        <w:tag w:val="_GBC_a94958949e0846929a78a71186526204"/>
        <w:id w:val="24374039"/>
        <w:placeholder>
          <w:docPart w:val="GBC22222222222222222222222222222"/>
        </w:placeholder>
      </w:sdtPr>
      <w:sdtEndPr>
        <w:rPr>
          <w:szCs w:val="21"/>
        </w:rPr>
      </w:sdtEndPr>
      <w:sdtContent>
        <w:p w14:paraId="116D893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3B9CE64">
      <w:pPr>
        <w:rPr>
          <w:rFonts w:hint="eastAsia"/>
        </w:rPr>
      </w:pPr>
      <w:bookmarkStart w:id="106" w:name="_Hlk74646365"/>
    </w:p>
    <w:bookmarkEnd w:id="105"/>
    <w:bookmarkEnd w:id="106"/>
    <w:p w14:paraId="32363A25">
      <w:pPr>
        <w:pStyle w:val="3"/>
        <w:numPr>
          <w:ilvl w:val="0"/>
          <w:numId w:val="51"/>
        </w:numPr>
      </w:pPr>
      <w:bookmarkStart w:id="107" w:name="_Hlk89337011"/>
      <w:r>
        <w:rPr>
          <w:rFonts w:hint="eastAsia"/>
        </w:rPr>
        <w:t>违规担保情况</w:t>
      </w:r>
    </w:p>
    <w:sdt>
      <w:sdtPr>
        <w:alias w:val="是否适用：违规担保情况[双击切换]"/>
        <w:tag w:val="_GBC_b2d16e23c066427a800b40aaa053bc8e"/>
        <w:id w:val="-1847477975"/>
        <w:placeholder>
          <w:docPart w:val="GBC22222222222222222222222222222"/>
        </w:placeholder>
      </w:sdtPr>
      <w:sdtContent>
        <w:p w14:paraId="76A8FEC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946C121">
      <w:pPr>
        <w:rPr>
          <w:rFonts w:ascii="Arial" w:hAnsi="Arial" w:cs="Times New Roman"/>
          <w:b/>
          <w:bCs/>
          <w:kern w:val="2"/>
          <w:szCs w:val="21"/>
        </w:rPr>
      </w:pPr>
      <w:bookmarkStart w:id="108" w:name="_Hlk74646368"/>
      <w:bookmarkEnd w:id="108"/>
    </w:p>
    <w:bookmarkEnd w:id="107"/>
    <w:p w14:paraId="249687E5">
      <w:pPr>
        <w:pStyle w:val="3"/>
        <w:numPr>
          <w:ilvl w:val="0"/>
          <w:numId w:val="51"/>
        </w:numPr>
      </w:pPr>
      <w:r>
        <w:rPr>
          <w:rFonts w:hint="eastAsia"/>
        </w:rPr>
        <w:t>公司董事会对会计师事务所“非标准意见审计报告”的说明</w:t>
      </w:r>
    </w:p>
    <w:p w14:paraId="0F794D93">
      <w:pPr>
        <w:rPr>
          <w:rFonts w:hint="eastAsia"/>
          <w:szCs w:val="21"/>
        </w:rPr>
      </w:pPr>
      <w:sdt>
        <w:sdtPr>
          <w:alias w:val="是否适用：董事会对会计师事务所非标准审计报告的说明[双击切换]"/>
          <w:tag w:val="_GBC_81f7a662b6a641d8aadb05b1cb176ecf"/>
          <w:id w:val="-1194303839"/>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3BA1B873">
      <w:pPr>
        <w:rPr>
          <w:rFonts w:hint="eastAsia"/>
        </w:rPr>
      </w:pPr>
    </w:p>
    <w:p w14:paraId="462DE885">
      <w:pPr>
        <w:pStyle w:val="3"/>
        <w:numPr>
          <w:ilvl w:val="0"/>
          <w:numId w:val="51"/>
        </w:numPr>
      </w:pPr>
      <w:r>
        <w:rPr>
          <w:rFonts w:hint="eastAsia"/>
        </w:rPr>
        <w:t>公司对会计政策、会计估计变更或重大会计差错更正原因和影响的分析说明</w:t>
      </w:r>
    </w:p>
    <w:p w14:paraId="6C7FA35C">
      <w:pPr>
        <w:pStyle w:val="4"/>
        <w:numPr>
          <w:ilvl w:val="0"/>
          <w:numId w:val="53"/>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842967922"/>
        <w:placeholder>
          <w:docPart w:val="GBC22222222222222222222222222222"/>
        </w:placeholder>
      </w:sdtPr>
      <w:sdtEndPr>
        <w:rPr>
          <w:rFonts w:hint="eastAsia"/>
          <w:szCs w:val="21"/>
        </w:rPr>
      </w:sdtEndPr>
      <w:sdtContent>
        <w:p w14:paraId="77AB01E5">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对会计政策会计估计变更原因及影响"/>
        <w:tag w:val="_GBC_ead0cc85823e4aad9c4c70db77b2ff95"/>
        <w:id w:val="-126320457"/>
        <w:placeholder>
          <w:docPart w:val="GBC22222222222222222222222222222"/>
        </w:placeholder>
      </w:sdtPr>
      <w:sdtEndPr>
        <w:rPr>
          <w:szCs w:val="21"/>
        </w:rPr>
      </w:sdtEndPr>
      <w:sdtContent>
        <w:p w14:paraId="7674A998">
          <w:pPr>
            <w:rPr>
              <w:rFonts w:hint="eastAsia"/>
              <w:szCs w:val="21"/>
            </w:rPr>
          </w:pPr>
          <w:r>
            <w:rPr>
              <w:rFonts w:hint="eastAsia"/>
              <w:szCs w:val="21"/>
            </w:rPr>
            <w:t>详见第十节、五、40</w:t>
          </w:r>
        </w:p>
      </w:sdtContent>
    </w:sdt>
    <w:p w14:paraId="749B32B6">
      <w:pPr>
        <w:rPr>
          <w:rFonts w:hint="eastAsia"/>
        </w:rPr>
      </w:pPr>
    </w:p>
    <w:p w14:paraId="00F5721F">
      <w:pPr>
        <w:pStyle w:val="4"/>
        <w:numPr>
          <w:ilvl w:val="0"/>
          <w:numId w:val="53"/>
        </w:numPr>
      </w:pPr>
      <w:r>
        <w:rPr>
          <w:rFonts w:hint="eastAsia"/>
        </w:rPr>
        <w:t>公司对重大会计差错更正原因及影响的分析说明</w:t>
      </w:r>
    </w:p>
    <w:sdt>
      <w:sdtPr>
        <w:rPr>
          <w:rFonts w:hint="eastAsia"/>
          <w:szCs w:val="21"/>
        </w:rPr>
        <w:alias w:val="是否适用：公司对重大会计差错更正的原因及影响[双击切换]"/>
        <w:tag w:val="_GBC_20433825c59a4e308939a2a08d3b64f5"/>
        <w:id w:val="967011641"/>
        <w:placeholder>
          <w:docPart w:val="GBC22222222222222222222222222222"/>
        </w:placeholder>
      </w:sdtPr>
      <w:sdtEndPr>
        <w:rPr>
          <w:rFonts w:hint="eastAsia"/>
          <w:szCs w:val="21"/>
        </w:rPr>
      </w:sdtEndPr>
      <w:sdtContent>
        <w:p w14:paraId="0841148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3BC776C">
      <w:pPr>
        <w:rPr>
          <w:rFonts w:hint="eastAsia"/>
        </w:rPr>
      </w:pPr>
    </w:p>
    <w:p w14:paraId="303E4CEB">
      <w:pPr>
        <w:pStyle w:val="4"/>
        <w:numPr>
          <w:ilvl w:val="0"/>
          <w:numId w:val="53"/>
        </w:numPr>
      </w:pPr>
      <w:r>
        <w:rPr>
          <w:rFonts w:hint="eastAsia"/>
        </w:rPr>
        <w:t>与前任会计师事务所进行的沟通情况</w:t>
      </w:r>
    </w:p>
    <w:sdt>
      <w:sdtPr>
        <w:rPr>
          <w:rFonts w:hint="eastAsia"/>
        </w:rPr>
        <w:alias w:val="是否适用：与前任会计师事务所进行的沟通情况[双击切换]"/>
        <w:tag w:val="_GBC_eac5a093c5584c5699f0b1b4b2cc9124"/>
        <w:id w:val="1803268105"/>
        <w:placeholder>
          <w:docPart w:val="GBC22222222222222222222222222222"/>
        </w:placeholder>
      </w:sdtPr>
      <w:sdtEndPr>
        <w:rPr>
          <w:rFonts w:hint="eastAsia"/>
        </w:rPr>
      </w:sdtEndPr>
      <w:sdtContent>
        <w:p w14:paraId="2C9BD5E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1695FE5">
      <w:pPr>
        <w:rPr>
          <w:rFonts w:hint="eastAsia"/>
        </w:rPr>
      </w:pPr>
    </w:p>
    <w:p w14:paraId="7290CCC0">
      <w:pPr>
        <w:pStyle w:val="4"/>
        <w:numPr>
          <w:ilvl w:val="0"/>
          <w:numId w:val="53"/>
        </w:numPr>
      </w:pPr>
      <w:r>
        <w:rPr>
          <w:rFonts w:hint="eastAsia"/>
        </w:rPr>
        <w:t>审批程序及其他说明</w:t>
      </w:r>
    </w:p>
    <w:sdt>
      <w:sdtPr>
        <w:rPr>
          <w:rFonts w:hint="eastAsia"/>
        </w:rPr>
        <w:alias w:val="是否适用：审批程序及其他说明[双击切换]"/>
        <w:tag w:val="_GBC_f59e5141b9f74a2badb652a198d25993"/>
        <w:id w:val="-1300837268"/>
        <w:placeholder>
          <w:docPart w:val="GBC22222222222222222222222222222"/>
        </w:placeholder>
      </w:sdtPr>
      <w:sdtEndPr>
        <w:rPr>
          <w:rFonts w:hint="eastAsia"/>
        </w:rPr>
      </w:sdtEndPr>
      <w:sdtContent>
        <w:p w14:paraId="36A9904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2109EA7">
      <w:pPr>
        <w:rPr>
          <w:rFonts w:hint="eastAsia"/>
        </w:rPr>
      </w:pPr>
    </w:p>
    <w:p w14:paraId="78666203">
      <w:pPr>
        <w:rPr>
          <w:rFonts w:hint="eastAsia"/>
        </w:rPr>
      </w:pPr>
    </w:p>
    <w:p w14:paraId="72A3429C">
      <w:pPr>
        <w:pStyle w:val="3"/>
        <w:numPr>
          <w:ilvl w:val="0"/>
          <w:numId w:val="51"/>
        </w:numPr>
      </w:pPr>
      <w:r>
        <w:rPr>
          <w:rFonts w:hint="eastAsia"/>
        </w:rPr>
        <w:t>聘任、解聘会计师事务所情况</w:t>
      </w:r>
    </w:p>
    <w:p w14:paraId="21C560C8">
      <w:pPr>
        <w:jc w:val="right"/>
        <w:rPr>
          <w:rFonts w:hint="eastAsia"/>
          <w:szCs w:val="21"/>
        </w:rPr>
      </w:pPr>
      <w:bookmarkStart w:id="109" w:name="_Hlk40535695"/>
      <w:r>
        <w:rPr>
          <w:rFonts w:hint="eastAsia"/>
          <w:szCs w:val="21"/>
        </w:rPr>
        <w:t>单位：</w:t>
      </w:r>
      <w:sdt>
        <w:sdtPr>
          <w:rPr>
            <w:rFonts w:hint="eastAsia"/>
            <w:szCs w:val="21"/>
          </w:rPr>
          <w:alias w:val="单位：聘任、解聘会计师事务所情况"/>
          <w:tag w:val="_GBC_4195f1a1b90e49b4b90b5a692501ac49"/>
          <w:id w:val="-766687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聘任、解聘会计师事务所情况"/>
          <w:tag w:val="_GBC_27f81bf7b0f5473e85900bf70521ad41"/>
          <w:id w:val="1009186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5"/>
        <w:gridCol w:w="2909"/>
        <w:gridCol w:w="2919"/>
      </w:tblGrid>
      <w:tr w14:paraId="50EF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3085" w:type="dxa"/>
          </w:tcPr>
          <w:p w14:paraId="2C1EA16A">
            <w:pPr>
              <w:rPr>
                <w:rFonts w:hint="eastAsia"/>
                <w:szCs w:val="21"/>
              </w:rPr>
            </w:pPr>
          </w:p>
        </w:tc>
        <w:sdt>
          <w:sdtPr>
            <w:tag w:val="_PLD_a79987be70c14f119586c5a69f4628db"/>
            <w:id w:val="577790714"/>
          </w:sdtPr>
          <w:sdtContent>
            <w:tc>
              <w:tcPr>
                <w:tcW w:w="2977" w:type="dxa"/>
                <w:vAlign w:val="center"/>
              </w:tcPr>
              <w:p w14:paraId="2E23214C">
                <w:pPr>
                  <w:jc w:val="center"/>
                  <w:rPr>
                    <w:rFonts w:hint="eastAsia"/>
                    <w:szCs w:val="21"/>
                  </w:rPr>
                </w:pPr>
                <w:r>
                  <w:rPr>
                    <w:rFonts w:hint="eastAsia"/>
                    <w:szCs w:val="21"/>
                  </w:rPr>
                  <w:t>原聘任</w:t>
                </w:r>
              </w:p>
            </w:tc>
          </w:sdtContent>
        </w:sdt>
        <w:sdt>
          <w:sdtPr>
            <w:tag w:val="_PLD_54fa27dc69c24ce391b848a77e34059a"/>
            <w:id w:val="1785006624"/>
          </w:sdtPr>
          <w:sdtContent>
            <w:tc>
              <w:tcPr>
                <w:tcW w:w="2987" w:type="dxa"/>
                <w:vAlign w:val="center"/>
              </w:tcPr>
              <w:p w14:paraId="14C12685">
                <w:pPr>
                  <w:jc w:val="center"/>
                  <w:rPr>
                    <w:rFonts w:hint="eastAsia"/>
                    <w:szCs w:val="21"/>
                  </w:rPr>
                </w:pPr>
                <w:r>
                  <w:rPr>
                    <w:rFonts w:hint="eastAsia"/>
                    <w:szCs w:val="21"/>
                  </w:rPr>
                  <w:t>现聘任</w:t>
                </w:r>
              </w:p>
            </w:tc>
          </w:sdtContent>
        </w:sdt>
      </w:tr>
      <w:tr w14:paraId="2E14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3085" w:type="dxa"/>
          </w:tcPr>
          <w:p w14:paraId="0F555141">
            <w:pPr>
              <w:rPr>
                <w:rFonts w:hint="eastAsia"/>
                <w:szCs w:val="21"/>
              </w:rPr>
            </w:pPr>
            <w:r>
              <w:rPr>
                <w:rFonts w:hint="eastAsia"/>
                <w:szCs w:val="21"/>
              </w:rPr>
              <w:t>境内会计师事务所名称</w:t>
            </w:r>
          </w:p>
        </w:tc>
        <w:tc>
          <w:tcPr>
            <w:tcW w:w="2977" w:type="dxa"/>
          </w:tcPr>
          <w:p w14:paraId="571AE1E9">
            <w:pPr>
              <w:jc w:val="center"/>
              <w:rPr>
                <w:rFonts w:hint="eastAsia"/>
                <w:szCs w:val="21"/>
              </w:rPr>
            </w:pPr>
            <w:r>
              <w:rPr>
                <w:rFonts w:hint="eastAsia"/>
                <w:szCs w:val="21"/>
              </w:rPr>
              <w:t>大华会计师事务所（特殊普通合伙）</w:t>
            </w:r>
          </w:p>
        </w:tc>
        <w:tc>
          <w:tcPr>
            <w:tcW w:w="2987" w:type="dxa"/>
          </w:tcPr>
          <w:p w14:paraId="3D59836F">
            <w:pPr>
              <w:jc w:val="center"/>
              <w:rPr>
                <w:rFonts w:hint="eastAsia"/>
                <w:szCs w:val="21"/>
              </w:rPr>
            </w:pPr>
            <w:r>
              <w:rPr>
                <w:rFonts w:hint="eastAsia"/>
                <w:szCs w:val="21"/>
              </w:rPr>
              <w:t>天健会计师事务所（特殊普通合伙）</w:t>
            </w:r>
          </w:p>
        </w:tc>
      </w:tr>
      <w:tr w14:paraId="3CFA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3085" w:type="dxa"/>
          </w:tcPr>
          <w:p w14:paraId="505E8464">
            <w:pPr>
              <w:rPr>
                <w:rFonts w:hint="eastAsia"/>
                <w:szCs w:val="21"/>
              </w:rPr>
            </w:pPr>
            <w:r>
              <w:rPr>
                <w:rFonts w:hint="eastAsia"/>
                <w:szCs w:val="21"/>
              </w:rPr>
              <w:t>境内会计师事务所报酬</w:t>
            </w:r>
          </w:p>
        </w:tc>
        <w:tc>
          <w:tcPr>
            <w:tcW w:w="2977" w:type="dxa"/>
            <w:vAlign w:val="center"/>
          </w:tcPr>
          <w:p w14:paraId="5509C84B">
            <w:pPr>
              <w:jc w:val="center"/>
              <w:rPr>
                <w:rFonts w:ascii="Arial Narrow" w:hAnsi="Arial Narrow"/>
                <w:szCs w:val="21"/>
              </w:rPr>
            </w:pPr>
            <w:r>
              <w:rPr>
                <w:rFonts w:ascii="Arial Narrow" w:hAnsi="Arial Narrow"/>
                <w:szCs w:val="21"/>
              </w:rPr>
              <w:t>3,455,600</w:t>
            </w:r>
          </w:p>
        </w:tc>
        <w:tc>
          <w:tcPr>
            <w:tcW w:w="2987" w:type="dxa"/>
            <w:vAlign w:val="center"/>
          </w:tcPr>
          <w:p w14:paraId="7355C886">
            <w:pPr>
              <w:jc w:val="center"/>
              <w:rPr>
                <w:rFonts w:ascii="Arial Narrow" w:hAnsi="Arial Narrow"/>
                <w:szCs w:val="21"/>
              </w:rPr>
            </w:pPr>
            <w:r>
              <w:rPr>
                <w:rFonts w:ascii="Arial Narrow" w:hAnsi="Arial Narrow"/>
                <w:szCs w:val="21"/>
              </w:rPr>
              <w:t>3,355,600</w:t>
            </w:r>
          </w:p>
        </w:tc>
      </w:tr>
      <w:tr w14:paraId="3560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085" w:type="dxa"/>
          </w:tcPr>
          <w:p w14:paraId="784CF15E">
            <w:pPr>
              <w:rPr>
                <w:rFonts w:hint="eastAsia"/>
                <w:szCs w:val="21"/>
              </w:rPr>
            </w:pPr>
            <w:r>
              <w:rPr>
                <w:rFonts w:hint="eastAsia"/>
                <w:szCs w:val="21"/>
              </w:rPr>
              <w:t>境内会计师事务所审计年限</w:t>
            </w:r>
          </w:p>
        </w:tc>
        <w:tc>
          <w:tcPr>
            <w:tcW w:w="2977" w:type="dxa"/>
            <w:vAlign w:val="center"/>
          </w:tcPr>
          <w:p w14:paraId="3AD4A094">
            <w:pPr>
              <w:jc w:val="center"/>
              <w:rPr>
                <w:rFonts w:hint="eastAsia"/>
                <w:szCs w:val="21"/>
              </w:rPr>
            </w:pPr>
            <w:r>
              <w:rPr>
                <w:rFonts w:hint="eastAsia"/>
                <w:szCs w:val="21"/>
              </w:rPr>
              <w:t>5年</w:t>
            </w:r>
          </w:p>
        </w:tc>
        <w:tc>
          <w:tcPr>
            <w:tcW w:w="2987" w:type="dxa"/>
            <w:vAlign w:val="center"/>
          </w:tcPr>
          <w:p w14:paraId="0A212A4E">
            <w:pPr>
              <w:jc w:val="center"/>
              <w:rPr>
                <w:rFonts w:hint="eastAsia"/>
                <w:szCs w:val="21"/>
              </w:rPr>
            </w:pPr>
            <w:r>
              <w:rPr>
                <w:rFonts w:hint="eastAsia"/>
                <w:szCs w:val="21"/>
              </w:rPr>
              <w:t>1年</w:t>
            </w:r>
          </w:p>
        </w:tc>
      </w:tr>
      <w:tr w14:paraId="0BDE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085" w:type="dxa"/>
          </w:tcPr>
          <w:p w14:paraId="59A5F8A3">
            <w:pPr>
              <w:rPr>
                <w:rFonts w:hint="eastAsia"/>
              </w:rPr>
            </w:pPr>
            <w:r>
              <w:rPr>
                <w:rFonts w:hint="eastAsia"/>
              </w:rPr>
              <w:t>境内会计师事务所注册会计师姓名</w:t>
            </w:r>
          </w:p>
        </w:tc>
        <w:tc>
          <w:tcPr>
            <w:tcW w:w="2977" w:type="dxa"/>
            <w:vAlign w:val="center"/>
          </w:tcPr>
          <w:p w14:paraId="4F4060ED">
            <w:pPr>
              <w:jc w:val="center"/>
              <w:rPr>
                <w:rFonts w:hint="eastAsia"/>
                <w:szCs w:val="21"/>
              </w:rPr>
            </w:pPr>
            <w:r>
              <w:rPr>
                <w:rFonts w:hint="eastAsia"/>
                <w:szCs w:val="21"/>
              </w:rPr>
              <w:t>刘学传、史禹</w:t>
            </w:r>
          </w:p>
        </w:tc>
        <w:tc>
          <w:tcPr>
            <w:tcW w:w="2987" w:type="dxa"/>
            <w:vAlign w:val="center"/>
          </w:tcPr>
          <w:p w14:paraId="73D34A86">
            <w:pPr>
              <w:jc w:val="center"/>
              <w:rPr>
                <w:rFonts w:hint="eastAsia"/>
                <w:szCs w:val="21"/>
              </w:rPr>
            </w:pPr>
            <w:r>
              <w:rPr>
                <w:rFonts w:hint="eastAsia"/>
                <w:szCs w:val="21"/>
              </w:rPr>
              <w:t>曹博、王景波</w:t>
            </w:r>
          </w:p>
        </w:tc>
      </w:tr>
      <w:tr w14:paraId="4C42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085" w:type="dxa"/>
          </w:tcPr>
          <w:p w14:paraId="7FAFDC17">
            <w:pPr>
              <w:rPr>
                <w:rFonts w:hint="eastAsia"/>
              </w:rPr>
            </w:pPr>
            <w:r>
              <w:rPr>
                <w:rFonts w:hint="eastAsia"/>
              </w:rPr>
              <w:t>境内会计师事务所注册会计师审计服务的累计年限</w:t>
            </w:r>
          </w:p>
        </w:tc>
        <w:tc>
          <w:tcPr>
            <w:tcW w:w="2977" w:type="dxa"/>
            <w:vAlign w:val="center"/>
          </w:tcPr>
          <w:p w14:paraId="189B5319">
            <w:pPr>
              <w:jc w:val="center"/>
              <w:rPr>
                <w:rFonts w:hint="eastAsia"/>
                <w:szCs w:val="21"/>
              </w:rPr>
            </w:pPr>
            <w:r>
              <w:rPr>
                <w:rFonts w:hint="eastAsia"/>
                <w:szCs w:val="21"/>
              </w:rPr>
              <w:t>5年</w:t>
            </w:r>
          </w:p>
        </w:tc>
        <w:tc>
          <w:tcPr>
            <w:tcW w:w="2987" w:type="dxa"/>
            <w:vAlign w:val="center"/>
          </w:tcPr>
          <w:p w14:paraId="19CF998F">
            <w:pPr>
              <w:jc w:val="center"/>
              <w:rPr>
                <w:rFonts w:hint="eastAsia"/>
                <w:szCs w:val="21"/>
              </w:rPr>
            </w:pPr>
            <w:r>
              <w:rPr>
                <w:rFonts w:hint="eastAsia"/>
                <w:szCs w:val="21"/>
              </w:rPr>
              <w:t>1年</w:t>
            </w:r>
          </w:p>
        </w:tc>
      </w:tr>
      <w:tr w14:paraId="6584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3085" w:type="dxa"/>
          </w:tcPr>
          <w:p w14:paraId="3AE3B127">
            <w:pPr>
              <w:rPr>
                <w:rFonts w:hint="eastAsia"/>
                <w:szCs w:val="21"/>
              </w:rPr>
            </w:pPr>
            <w:r>
              <w:rPr>
                <w:rFonts w:hint="eastAsia"/>
                <w:szCs w:val="21"/>
              </w:rPr>
              <w:t>境外会计师事务所名称</w:t>
            </w:r>
          </w:p>
        </w:tc>
        <w:tc>
          <w:tcPr>
            <w:tcW w:w="2977" w:type="dxa"/>
            <w:vAlign w:val="center"/>
          </w:tcPr>
          <w:p w14:paraId="4C0FF365">
            <w:pPr>
              <w:jc w:val="center"/>
              <w:rPr>
                <w:rFonts w:hint="eastAsia"/>
                <w:szCs w:val="21"/>
              </w:rPr>
            </w:pPr>
            <w:r>
              <w:rPr>
                <w:rFonts w:hint="eastAsia"/>
                <w:szCs w:val="21"/>
              </w:rPr>
              <w:t>不适用</w:t>
            </w:r>
          </w:p>
        </w:tc>
        <w:tc>
          <w:tcPr>
            <w:tcW w:w="2987" w:type="dxa"/>
            <w:vAlign w:val="center"/>
          </w:tcPr>
          <w:p w14:paraId="1AF93572">
            <w:pPr>
              <w:jc w:val="center"/>
              <w:rPr>
                <w:rFonts w:hint="eastAsia"/>
                <w:szCs w:val="21"/>
              </w:rPr>
            </w:pPr>
            <w:r>
              <w:rPr>
                <w:rFonts w:hint="eastAsia"/>
                <w:szCs w:val="21"/>
              </w:rPr>
              <w:t>不适用</w:t>
            </w:r>
          </w:p>
        </w:tc>
      </w:tr>
      <w:tr w14:paraId="270E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3085" w:type="dxa"/>
          </w:tcPr>
          <w:p w14:paraId="19283737">
            <w:pPr>
              <w:rPr>
                <w:rFonts w:hint="eastAsia"/>
                <w:szCs w:val="21"/>
              </w:rPr>
            </w:pPr>
            <w:r>
              <w:rPr>
                <w:rFonts w:hint="eastAsia"/>
                <w:szCs w:val="21"/>
              </w:rPr>
              <w:t>境外会计师事务所报酬</w:t>
            </w:r>
          </w:p>
        </w:tc>
        <w:tc>
          <w:tcPr>
            <w:tcW w:w="2977" w:type="dxa"/>
            <w:vAlign w:val="center"/>
          </w:tcPr>
          <w:p w14:paraId="36DAE723">
            <w:pPr>
              <w:jc w:val="center"/>
              <w:rPr>
                <w:rFonts w:hint="eastAsia"/>
                <w:szCs w:val="21"/>
              </w:rPr>
            </w:pPr>
            <w:r>
              <w:rPr>
                <w:rFonts w:hint="eastAsia"/>
                <w:szCs w:val="21"/>
              </w:rPr>
              <w:t>不适用</w:t>
            </w:r>
          </w:p>
        </w:tc>
        <w:tc>
          <w:tcPr>
            <w:tcW w:w="2987" w:type="dxa"/>
            <w:vAlign w:val="center"/>
          </w:tcPr>
          <w:p w14:paraId="06E1FF5D">
            <w:pPr>
              <w:jc w:val="center"/>
              <w:rPr>
                <w:rFonts w:hint="eastAsia"/>
                <w:szCs w:val="21"/>
              </w:rPr>
            </w:pPr>
            <w:r>
              <w:rPr>
                <w:rFonts w:hint="eastAsia"/>
                <w:szCs w:val="21"/>
              </w:rPr>
              <w:t>不适用</w:t>
            </w:r>
          </w:p>
        </w:tc>
      </w:tr>
      <w:tr w14:paraId="595A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085" w:type="dxa"/>
          </w:tcPr>
          <w:p w14:paraId="6774037D">
            <w:pPr>
              <w:rPr>
                <w:rFonts w:hint="eastAsia"/>
                <w:szCs w:val="21"/>
              </w:rPr>
            </w:pPr>
            <w:r>
              <w:rPr>
                <w:rFonts w:hint="eastAsia"/>
                <w:szCs w:val="21"/>
              </w:rPr>
              <w:t>境外会计师事务所审计年限</w:t>
            </w:r>
          </w:p>
        </w:tc>
        <w:tc>
          <w:tcPr>
            <w:tcW w:w="2977" w:type="dxa"/>
            <w:vAlign w:val="center"/>
          </w:tcPr>
          <w:p w14:paraId="68B6B204">
            <w:pPr>
              <w:jc w:val="center"/>
              <w:rPr>
                <w:rFonts w:hint="eastAsia"/>
                <w:szCs w:val="21"/>
              </w:rPr>
            </w:pPr>
            <w:r>
              <w:rPr>
                <w:rFonts w:hint="eastAsia"/>
                <w:szCs w:val="21"/>
              </w:rPr>
              <w:t>不适用</w:t>
            </w:r>
          </w:p>
        </w:tc>
        <w:tc>
          <w:tcPr>
            <w:tcW w:w="2987" w:type="dxa"/>
            <w:vAlign w:val="center"/>
          </w:tcPr>
          <w:p w14:paraId="43D83AF7">
            <w:pPr>
              <w:jc w:val="center"/>
              <w:rPr>
                <w:rFonts w:hint="eastAsia"/>
                <w:szCs w:val="21"/>
              </w:rPr>
            </w:pPr>
            <w:r>
              <w:rPr>
                <w:rFonts w:hint="eastAsia"/>
                <w:szCs w:val="21"/>
              </w:rPr>
              <w:t>不适用</w:t>
            </w:r>
          </w:p>
        </w:tc>
      </w:tr>
    </w:tbl>
    <w:p w14:paraId="0F04B877">
      <w:pPr>
        <w:rPr>
          <w:rFonts w:hint="eastAsia"/>
          <w:szCs w:val="21"/>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3"/>
        <w:gridCol w:w="2896"/>
        <w:gridCol w:w="2924"/>
      </w:tblGrid>
      <w:tr w14:paraId="43C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03" w:type="dxa"/>
          </w:tcPr>
          <w:p w14:paraId="4325765C">
            <w:pPr>
              <w:rPr>
                <w:rFonts w:hint="eastAsia"/>
                <w:szCs w:val="21"/>
              </w:rPr>
            </w:pPr>
          </w:p>
        </w:tc>
        <w:sdt>
          <w:sdtPr>
            <w:tag w:val="_PLD_cad1edc3279a4f7b8f226d4accf99ff9"/>
            <w:id w:val="-1173035165"/>
          </w:sdtPr>
          <w:sdtContent>
            <w:tc>
              <w:tcPr>
                <w:tcW w:w="2896" w:type="dxa"/>
                <w:vAlign w:val="center"/>
              </w:tcPr>
              <w:p w14:paraId="0F3A8C0E">
                <w:pPr>
                  <w:jc w:val="center"/>
                  <w:rPr>
                    <w:rFonts w:hint="eastAsia"/>
                    <w:szCs w:val="21"/>
                  </w:rPr>
                </w:pPr>
                <w:r>
                  <w:rPr>
                    <w:rFonts w:hint="eastAsia"/>
                    <w:szCs w:val="21"/>
                  </w:rPr>
                  <w:t>名称</w:t>
                </w:r>
              </w:p>
            </w:tc>
          </w:sdtContent>
        </w:sdt>
        <w:sdt>
          <w:sdtPr>
            <w:tag w:val="_PLD_a4933dcd45ca4109b3b952ece3e2fb08"/>
            <w:id w:val="744610737"/>
          </w:sdtPr>
          <w:sdtContent>
            <w:tc>
              <w:tcPr>
                <w:tcW w:w="2924" w:type="dxa"/>
                <w:vAlign w:val="center"/>
              </w:tcPr>
              <w:p w14:paraId="541BA663">
                <w:pPr>
                  <w:jc w:val="center"/>
                  <w:rPr>
                    <w:rFonts w:hint="eastAsia"/>
                    <w:szCs w:val="21"/>
                  </w:rPr>
                </w:pPr>
                <w:r>
                  <w:rPr>
                    <w:rFonts w:hint="eastAsia"/>
                    <w:szCs w:val="21"/>
                  </w:rPr>
                  <w:t>报酬</w:t>
                </w:r>
              </w:p>
            </w:tc>
          </w:sdtContent>
        </w:sdt>
      </w:tr>
      <w:tr w14:paraId="790B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003" w:type="dxa"/>
            <w:vAlign w:val="center"/>
          </w:tcPr>
          <w:p w14:paraId="6074371B">
            <w:pPr>
              <w:jc w:val="center"/>
              <w:rPr>
                <w:rFonts w:hint="eastAsia"/>
                <w:szCs w:val="21"/>
              </w:rPr>
            </w:pPr>
            <w:r>
              <w:rPr>
                <w:rFonts w:hint="eastAsia"/>
                <w:szCs w:val="21"/>
              </w:rPr>
              <w:t>内部控制审计会计师事务所</w:t>
            </w:r>
          </w:p>
        </w:tc>
        <w:tc>
          <w:tcPr>
            <w:tcW w:w="2896" w:type="dxa"/>
            <w:vAlign w:val="center"/>
          </w:tcPr>
          <w:p w14:paraId="6572F088">
            <w:pPr>
              <w:jc w:val="center"/>
              <w:rPr>
                <w:rFonts w:hint="eastAsia"/>
                <w:szCs w:val="21"/>
              </w:rPr>
            </w:pPr>
            <w:r>
              <w:rPr>
                <w:rFonts w:hint="eastAsia"/>
                <w:szCs w:val="21"/>
              </w:rPr>
              <w:t>天健会计师事务所（特殊普通合伙）</w:t>
            </w:r>
          </w:p>
        </w:tc>
        <w:tc>
          <w:tcPr>
            <w:tcW w:w="2924" w:type="dxa"/>
            <w:vAlign w:val="center"/>
          </w:tcPr>
          <w:p w14:paraId="05827690">
            <w:pPr>
              <w:jc w:val="center"/>
              <w:rPr>
                <w:rFonts w:ascii="Arial Narrow" w:hAnsi="Arial Narrow"/>
                <w:szCs w:val="21"/>
              </w:rPr>
            </w:pPr>
            <w:r>
              <w:rPr>
                <w:rFonts w:ascii="Arial Narrow" w:hAnsi="Arial Narrow"/>
                <w:szCs w:val="21"/>
              </w:rPr>
              <w:t>1,060,000</w:t>
            </w:r>
          </w:p>
        </w:tc>
      </w:tr>
      <w:tr w14:paraId="4740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003" w:type="dxa"/>
            <w:vAlign w:val="center"/>
          </w:tcPr>
          <w:p w14:paraId="31AB08CC">
            <w:pPr>
              <w:jc w:val="center"/>
              <w:rPr>
                <w:rFonts w:hint="eastAsia"/>
                <w:szCs w:val="21"/>
              </w:rPr>
            </w:pPr>
            <w:r>
              <w:rPr>
                <w:rFonts w:hint="eastAsia"/>
                <w:szCs w:val="21"/>
              </w:rPr>
              <w:t>保荐人</w:t>
            </w:r>
          </w:p>
        </w:tc>
        <w:tc>
          <w:tcPr>
            <w:tcW w:w="2896" w:type="dxa"/>
            <w:vAlign w:val="center"/>
          </w:tcPr>
          <w:p w14:paraId="26865469">
            <w:pPr>
              <w:jc w:val="center"/>
              <w:rPr>
                <w:rFonts w:hint="eastAsia"/>
                <w:szCs w:val="21"/>
              </w:rPr>
            </w:pPr>
            <w:r>
              <w:rPr>
                <w:rFonts w:hint="eastAsia"/>
                <w:szCs w:val="21"/>
              </w:rPr>
              <w:t>瑞银证券有限责任公司</w:t>
            </w:r>
          </w:p>
        </w:tc>
        <w:tc>
          <w:tcPr>
            <w:tcW w:w="2924" w:type="dxa"/>
            <w:vAlign w:val="center"/>
          </w:tcPr>
          <w:p w14:paraId="0A61066E">
            <w:pPr>
              <w:jc w:val="center"/>
              <w:rPr>
                <w:rFonts w:ascii="Arial Narrow" w:hAnsi="Arial Narrow"/>
                <w:szCs w:val="21"/>
              </w:rPr>
            </w:pPr>
            <w:r>
              <w:rPr>
                <w:rFonts w:ascii="Arial Narrow" w:hAnsi="Arial Narrow"/>
                <w:szCs w:val="21"/>
              </w:rPr>
              <w:t>0</w:t>
            </w:r>
          </w:p>
        </w:tc>
      </w:tr>
    </w:tbl>
    <w:p w14:paraId="0D7B0A46">
      <w:pPr>
        <w:rPr>
          <w:rFonts w:hint="eastAsia"/>
        </w:rPr>
      </w:pPr>
    </w:p>
    <w:bookmarkEnd w:id="109"/>
    <w:p w14:paraId="4445D89A">
      <w:pPr>
        <w:rPr>
          <w:rFonts w:hint="eastAsia"/>
        </w:rPr>
      </w:pPr>
      <w:r>
        <w:t>聘任、解聘会计师事务所的情况说明</w:t>
      </w:r>
    </w:p>
    <w:sdt>
      <w:sdtPr>
        <w:alias w:val="是否适用：聘任、解聘会计师事务所情况[双击切换]"/>
        <w:tag w:val="_GBC_376f0811302240c0a118add2061458b6"/>
        <w:id w:val="1042097441"/>
        <w:placeholder>
          <w:docPart w:val="GBC22222222222222222222222222222"/>
        </w:placeholder>
      </w:sdtPr>
      <w:sdtContent>
        <w:p w14:paraId="4693562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1148512444"/>
        <w:placeholder>
          <w:docPart w:val="GBC22222222222222222222222222222"/>
        </w:placeholder>
      </w:sdtPr>
      <w:sdtEndPr>
        <w:rPr>
          <w:rFonts w:hint="eastAsia"/>
          <w:szCs w:val="21"/>
        </w:rPr>
      </w:sdtEndPr>
      <w:sdtContent>
        <w:p w14:paraId="1D5BDCB9">
          <w:pPr>
            <w:ind w:firstLine="420" w:firstLineChars="200"/>
            <w:rPr>
              <w:rFonts w:hint="eastAsia"/>
              <w:szCs w:val="21"/>
            </w:rPr>
          </w:pPr>
          <w:r>
            <w:rPr>
              <w:rFonts w:hint="eastAsia"/>
              <w:szCs w:val="21"/>
            </w:rPr>
            <w:t>经公司</w:t>
          </w:r>
          <w:r>
            <w:rPr>
              <w:szCs w:val="21"/>
            </w:rPr>
            <w:t>2024年第二次临时股东大会审议通过，聘任天健会计师事务所（特殊普通合伙）为公司 2024年度财务审计机构和内控审计机构。</w:t>
          </w:r>
        </w:p>
      </w:sdtContent>
    </w:sdt>
    <w:p w14:paraId="682F698A">
      <w:pPr>
        <w:rPr>
          <w:rFonts w:hint="eastAsia"/>
          <w:szCs w:val="21"/>
        </w:rPr>
      </w:pPr>
    </w:p>
    <w:p w14:paraId="7DF0C625">
      <w:pPr>
        <w:rPr>
          <w:rFonts w:hint="eastAsia"/>
        </w:rPr>
      </w:pPr>
      <w:r>
        <w:t>审计期间改聘会计师事务所的情况说明</w:t>
      </w:r>
    </w:p>
    <w:sdt>
      <w:sdtPr>
        <w:rPr>
          <w:rFonts w:hint="eastAsia"/>
        </w:rPr>
        <w:alias w:val="是否适用：审计期间改聘会计师事务所的情况说明[双击切换]"/>
        <w:tag w:val="_GBC_34c57619e2904c83a8840614e4e5d5d0"/>
        <w:id w:val="-971213111"/>
        <w:placeholder>
          <w:docPart w:val="GBC22222222222222222222222222222"/>
        </w:placeholder>
      </w:sdtPr>
      <w:sdtEndPr>
        <w:rPr>
          <w:rFonts w:hint="eastAsia"/>
        </w:rPr>
      </w:sdtEndPr>
      <w:sdtContent>
        <w:p w14:paraId="18EE72A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EB22CCB">
      <w:pPr>
        <w:rPr>
          <w:rFonts w:hint="eastAsia"/>
        </w:rPr>
      </w:pPr>
    </w:p>
    <w:p w14:paraId="646D2855">
      <w:pPr>
        <w:rPr>
          <w:rFonts w:hint="eastAsia"/>
        </w:rPr>
      </w:pPr>
      <w:r>
        <w:rPr>
          <w:rFonts w:hint="eastAsia"/>
        </w:rPr>
        <w:t>审计费用较上一年度下降20%以上（含20%）的情况说明</w:t>
      </w:r>
    </w:p>
    <w:sdt>
      <w:sdtPr>
        <w:rPr>
          <w:rFonts w:hint="eastAsia"/>
        </w:rPr>
        <w:alias w:val="是否适用：审计费用较上一年度下降20%以上（含20%）的情况说明[双击切换]"/>
        <w:tag w:val="_GBC_1b0fa24aa1d645e2aa2ab2a0fe7c67ab"/>
        <w:id w:val="1318537960"/>
        <w:placeholder>
          <w:docPart w:val="GBC22222222222222222222222222222"/>
        </w:placeholder>
      </w:sdtPr>
      <w:sdtEndPr>
        <w:rPr>
          <w:rFonts w:hint="eastAsia"/>
        </w:rPr>
      </w:sdtEndPr>
      <w:sdtContent>
        <w:p w14:paraId="4AB134B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B41647F">
      <w:pPr>
        <w:rPr>
          <w:rFonts w:hint="eastAsia"/>
        </w:rPr>
      </w:pPr>
    </w:p>
    <w:p w14:paraId="66B91F32">
      <w:pPr>
        <w:pStyle w:val="3"/>
        <w:numPr>
          <w:ilvl w:val="0"/>
          <w:numId w:val="51"/>
        </w:numPr>
      </w:pPr>
      <w:r>
        <w:rPr>
          <w:rFonts w:hint="eastAsia"/>
        </w:rPr>
        <w:t>面临退市风险的情况</w:t>
      </w:r>
    </w:p>
    <w:p w14:paraId="6E01C166">
      <w:pPr>
        <w:pStyle w:val="4"/>
        <w:numPr>
          <w:ilvl w:val="0"/>
          <w:numId w:val="54"/>
        </w:numPr>
        <w:jc w:val="left"/>
      </w:pPr>
      <w:r>
        <w:rPr>
          <w:rFonts w:hint="eastAsia"/>
        </w:rPr>
        <w:t>导</w:t>
      </w:r>
      <w:r>
        <w:rPr>
          <w:szCs w:val="21"/>
        </w:rPr>
        <w:t>致</w:t>
      </w:r>
      <w:r>
        <w:rPr>
          <w:rFonts w:hint="eastAsia"/>
          <w:szCs w:val="21"/>
        </w:rPr>
        <w:t>退市风险警示</w:t>
      </w:r>
      <w:r>
        <w:rPr>
          <w:szCs w:val="21"/>
        </w:rPr>
        <w:t>的原因</w:t>
      </w:r>
    </w:p>
    <w:sdt>
      <w:sdtPr>
        <w:rPr>
          <w:rFonts w:hint="eastAsia"/>
          <w:szCs w:val="21"/>
        </w:rPr>
        <w:alias w:val="是否适用：导致暂停上市的原因[双击切换]"/>
        <w:tag w:val="_GBC_5be6e6fabf4849c7b63c5d08ac7706e1"/>
        <w:id w:val="508647621"/>
        <w:placeholder>
          <w:docPart w:val="GBC22222222222222222222222222222"/>
        </w:placeholder>
      </w:sdtPr>
      <w:sdtEndPr>
        <w:rPr>
          <w:rFonts w:hint="eastAsia"/>
          <w:szCs w:val="21"/>
        </w:rPr>
      </w:sdtEndPr>
      <w:sdtContent>
        <w:p w14:paraId="54655BD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F8135A0">
      <w:pPr>
        <w:rPr>
          <w:rFonts w:hint="eastAsia"/>
          <w:szCs w:val="21"/>
        </w:rPr>
      </w:pPr>
    </w:p>
    <w:p w14:paraId="2AF311E5">
      <w:pPr>
        <w:pStyle w:val="4"/>
        <w:numPr>
          <w:ilvl w:val="0"/>
          <w:numId w:val="54"/>
        </w:numPr>
        <w:jc w:val="left"/>
      </w:pPr>
      <w:r>
        <w:rPr>
          <w:rFonts w:hint="eastAsia"/>
        </w:rPr>
        <w:t>公司拟采取的应对措施</w:t>
      </w:r>
    </w:p>
    <w:sdt>
      <w:sdtPr>
        <w:rPr>
          <w:szCs w:val="21"/>
        </w:rPr>
        <w:alias w:val="是否适用：公司拟采取的措施[双击切换]"/>
        <w:tag w:val="_GBC_8656f473b4d943fe8fa1477037f607c5"/>
        <w:id w:val="-630788459"/>
        <w:placeholder>
          <w:docPart w:val="GBC22222222222222222222222222222"/>
        </w:placeholder>
      </w:sdtPr>
      <w:sdtEndPr>
        <w:rPr>
          <w:szCs w:val="21"/>
        </w:rPr>
      </w:sdtEndPr>
      <w:sdtContent>
        <w:p w14:paraId="4A023EB4">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32C684A">
      <w:pPr>
        <w:rPr>
          <w:rFonts w:hint="eastAsia"/>
          <w:szCs w:val="21"/>
        </w:rPr>
      </w:pPr>
    </w:p>
    <w:p w14:paraId="69A9C41C">
      <w:pPr>
        <w:pStyle w:val="4"/>
        <w:numPr>
          <w:ilvl w:val="0"/>
          <w:numId w:val="54"/>
        </w:numPr>
        <w:jc w:val="left"/>
      </w:pPr>
      <w:bookmarkStart w:id="110" w:name="_Hlk89346186"/>
      <w:r>
        <w:rPr>
          <w:rFonts w:hint="eastAsia"/>
        </w:rPr>
        <w:t>面临终止上市的情况和原因</w:t>
      </w:r>
    </w:p>
    <w:sdt>
      <w:sdtPr>
        <w:rPr>
          <w:rFonts w:hint="eastAsia"/>
          <w:szCs w:val="21"/>
        </w:rPr>
        <w:alias w:val="是否适用：面临终止上市的情况和原因 [双击切换]"/>
        <w:tag w:val="_GBC_36002fff87954035b149cfd20b1790d5"/>
        <w:id w:val="627204450"/>
        <w:placeholder>
          <w:docPart w:val="GBC22222222222222222222222222222"/>
        </w:placeholder>
      </w:sdtPr>
      <w:sdtEndPr>
        <w:rPr>
          <w:rFonts w:hint="eastAsia"/>
          <w:szCs w:val="21"/>
        </w:rPr>
      </w:sdtEndPr>
      <w:sdtContent>
        <w:p w14:paraId="30D54F3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24D0A83">
      <w:pPr>
        <w:rPr>
          <w:rFonts w:hint="eastAsia"/>
          <w:szCs w:val="21"/>
        </w:rPr>
      </w:pPr>
    </w:p>
    <w:bookmarkEnd w:id="110"/>
    <w:p w14:paraId="6098FE08">
      <w:pPr>
        <w:pStyle w:val="3"/>
        <w:numPr>
          <w:ilvl w:val="0"/>
          <w:numId w:val="51"/>
        </w:numPr>
      </w:pPr>
      <w:r>
        <w:rPr>
          <w:rFonts w:hint="eastAsia"/>
        </w:rPr>
        <w:t>破产重整相关事项</w:t>
      </w:r>
    </w:p>
    <w:sdt>
      <w:sdtPr>
        <w:alias w:val="是否适用：破产重整相关事项[双击切换]"/>
        <w:tag w:val="_GBC_5840a694c2a04f98893394e6da3bc9cc"/>
        <w:id w:val="1069698555"/>
        <w:placeholder>
          <w:docPart w:val="GBC22222222222222222222222222222"/>
        </w:placeholder>
      </w:sdtPr>
      <w:sdtContent>
        <w:p w14:paraId="5699A50E">
          <w:pPr>
            <w:rPr>
              <w:rFonts w:hint="eastAsia"/>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5DF216">
      <w:pPr>
        <w:rPr>
          <w:rFonts w:hint="eastAsia"/>
        </w:rPr>
      </w:pPr>
    </w:p>
    <w:p w14:paraId="321D1454">
      <w:pPr>
        <w:pStyle w:val="3"/>
        <w:numPr>
          <w:ilvl w:val="0"/>
          <w:numId w:val="51"/>
        </w:numPr>
      </w:pPr>
      <w:r>
        <w:rPr>
          <w:rFonts w:hint="eastAsia"/>
        </w:rPr>
        <w:t>重大诉讼、仲裁事项</w:t>
      </w:r>
    </w:p>
    <w:sdt>
      <w:sdtPr>
        <w:alias w:val="本年度公司有无重大诉讼、仲裁事项"/>
        <w:tag w:val="_GBC_b7d97a978491465ca563fa610688ebef"/>
        <w:id w:val="756479119"/>
        <w:placeholder>
          <w:docPart w:val="GBC22222222222222222222222222222"/>
        </w:placeholder>
      </w:sdtPr>
      <w:sdtContent>
        <w:p w14:paraId="74C20D8D">
          <w:pPr>
            <w:rPr>
              <w:rFonts w:hint="eastAsia"/>
            </w:rPr>
          </w:pPr>
          <w:r>
            <w:fldChar w:fldCharType="begin"/>
          </w:r>
          <w:r>
            <w:rPr>
              <w:rFonts w:hint="eastAsia"/>
            </w:rPr>
            <w:instrText xml:space="preserve"> MACROBUTTON  SnrToggleCheckbox √本年度公司有重大诉讼、仲裁事项 </w:instrText>
          </w:r>
          <w:r>
            <w:fldChar w:fldCharType="end"/>
          </w:r>
          <w:r>
            <w:fldChar w:fldCharType="begin"/>
          </w:r>
          <w:r>
            <w:rPr>
              <w:rFonts w:hint="eastAsia"/>
            </w:rPr>
            <w:instrText xml:space="preserve"> MACROBUTTON  SnrToggleCheckbox □本年度公司无重大诉讼、仲裁事项 </w:instrText>
          </w:r>
          <w:r>
            <w:fldChar w:fldCharType="end"/>
          </w:r>
        </w:p>
      </w:sdtContent>
    </w:sdt>
    <w:p w14:paraId="538EBEED">
      <w:pPr>
        <w:pStyle w:val="4"/>
        <w:numPr>
          <w:ilvl w:val="0"/>
          <w:numId w:val="55"/>
        </w:numPr>
      </w:pPr>
      <w:r>
        <w:t>诉讼、仲裁事项已在临时公告披露且无后续进展的</w:t>
      </w:r>
    </w:p>
    <w:sdt>
      <w:sdtPr>
        <w:alias w:val="是否适用：诉讼、仲裁事项已在临时公告披露且无后续进展的[双击切换]"/>
        <w:tag w:val="_GBC_df9c575188dd424d8b37483a3f491cca"/>
        <w:id w:val="1932853843"/>
        <w:placeholder>
          <w:docPart w:val="GBC22222222222222222222222222222"/>
        </w:placeholder>
      </w:sdtPr>
      <w:sdtContent>
        <w:p w14:paraId="263F68B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6276"/>
      </w:tblGrid>
      <w:tr w14:paraId="0D61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a9ab697f9c6400ba76a2654d9c783c0"/>
            <w:id w:val="2118317727"/>
          </w:sdtPr>
          <w:sdtContent>
            <w:tc>
              <w:tcPr>
                <w:tcW w:w="2547" w:type="dxa"/>
                <w:vAlign w:val="center"/>
              </w:tcPr>
              <w:p w14:paraId="69A1B795">
                <w:pPr>
                  <w:widowControl w:val="0"/>
                  <w:jc w:val="center"/>
                  <w:rPr>
                    <w:rFonts w:hint="eastAsia"/>
                    <w:szCs w:val="21"/>
                  </w:rPr>
                </w:pPr>
                <w:r>
                  <w:rPr>
                    <w:szCs w:val="21"/>
                  </w:rPr>
                  <w:t>事项概述及类型</w:t>
                </w:r>
              </w:p>
            </w:tc>
          </w:sdtContent>
        </w:sdt>
        <w:sdt>
          <w:sdtPr>
            <w:tag w:val="_PLD_c6bc2fb699e449a7907a6cda8f0e1900"/>
            <w:id w:val="-1850019535"/>
          </w:sdtPr>
          <w:sdtContent>
            <w:tc>
              <w:tcPr>
                <w:tcW w:w="6276" w:type="dxa"/>
                <w:vAlign w:val="center"/>
              </w:tcPr>
              <w:p w14:paraId="7C0CAD4F">
                <w:pPr>
                  <w:widowControl w:val="0"/>
                  <w:jc w:val="center"/>
                  <w:rPr>
                    <w:rFonts w:hint="eastAsia"/>
                    <w:szCs w:val="21"/>
                  </w:rPr>
                </w:pPr>
                <w:r>
                  <w:rPr>
                    <w:szCs w:val="21"/>
                  </w:rPr>
                  <w:t>查询索引</w:t>
                </w:r>
              </w:p>
            </w:tc>
          </w:sdtContent>
        </w:sdt>
      </w:tr>
      <w:tr w14:paraId="5A16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9804D3F">
            <w:pPr>
              <w:widowControl w:val="0"/>
              <w:jc w:val="center"/>
              <w:rPr>
                <w:rFonts w:hint="eastAsia"/>
                <w:szCs w:val="21"/>
              </w:rPr>
            </w:pPr>
            <w:r>
              <w:t>子公司新兴际华国际贸易有限公司因贸易业务涉及诉讼</w:t>
            </w:r>
          </w:p>
        </w:tc>
        <w:tc>
          <w:tcPr>
            <w:tcW w:w="6276" w:type="dxa"/>
          </w:tcPr>
          <w:p w14:paraId="4A207434">
            <w:pPr>
              <w:widowControl w:val="0"/>
              <w:jc w:val="both"/>
              <w:rPr>
                <w:rFonts w:hint="eastAsia"/>
                <w:szCs w:val="21"/>
              </w:rPr>
            </w:pPr>
            <w:r>
              <w:t>详见公司于2021年9月15日在上海证券交易所网站披露的《际华集团关于子公司涉及诉讼的公告》</w:t>
            </w:r>
            <w:r>
              <w:rPr>
                <w:rFonts w:hint="eastAsia"/>
              </w:rPr>
              <w:t>，于2024年4月17</w:t>
            </w:r>
            <w:r>
              <w:t>日披露的《际华集团关于子公司</w:t>
            </w:r>
            <w:r>
              <w:rPr>
                <w:rFonts w:hint="eastAsia"/>
              </w:rPr>
              <w:t>诉讼</w:t>
            </w:r>
            <w:r>
              <w:t>进展的公告》</w:t>
            </w:r>
            <w:r>
              <w:rPr>
                <w:rFonts w:hint="eastAsia"/>
              </w:rPr>
              <w:t>。</w:t>
            </w:r>
          </w:p>
        </w:tc>
      </w:tr>
      <w:tr w14:paraId="2B44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8EB6AEA">
            <w:pPr>
              <w:widowControl w:val="0"/>
              <w:jc w:val="center"/>
              <w:rPr>
                <w:rFonts w:hint="eastAsia"/>
                <w:szCs w:val="21"/>
              </w:rPr>
            </w:pPr>
            <w:r>
              <w:t>子公司新兴际华国际贸易有限公司因贸易业务涉及诉讼</w:t>
            </w:r>
          </w:p>
        </w:tc>
        <w:tc>
          <w:tcPr>
            <w:tcW w:w="6276" w:type="dxa"/>
          </w:tcPr>
          <w:p w14:paraId="3A716534">
            <w:pPr>
              <w:widowControl w:val="0"/>
              <w:jc w:val="both"/>
              <w:rPr>
                <w:rFonts w:hint="eastAsia"/>
                <w:szCs w:val="21"/>
              </w:rPr>
            </w:pPr>
            <w:r>
              <w:t>详见公司于2019年9月28日在上海证券交易所网站（www.sse.com.cn）披露的《际华集团关于子公司涉及经济合同纠纷的风险提示公告》，于2021年8月27日披露的《际华集团关于子公司诉讼进展的公告》，于2022年1月17日披露的《际华集团关于子公司诉讼进展的公告》。</w:t>
            </w:r>
          </w:p>
        </w:tc>
      </w:tr>
    </w:tbl>
    <w:p w14:paraId="79180767">
      <w:pPr>
        <w:rPr>
          <w:rFonts w:hint="eastAsia" w:asciiTheme="minorEastAsia" w:hAnsiTheme="minorEastAsia"/>
          <w:szCs w:val="21"/>
        </w:rPr>
      </w:pPr>
    </w:p>
    <w:p w14:paraId="29E0EF28">
      <w:pPr>
        <w:pStyle w:val="4"/>
        <w:numPr>
          <w:ilvl w:val="0"/>
          <w:numId w:val="55"/>
        </w:numPr>
      </w:pPr>
      <w:r>
        <w:t>临时公告未披露或有后续进展的诉讼、仲裁情况</w:t>
      </w:r>
    </w:p>
    <w:sdt>
      <w:sdtPr>
        <w:alias w:val="是否适用：临时公告未披露或有后续进展的诉讼、仲裁情况[双击切换]"/>
        <w:tag w:val="_GBC_35f7d90461484a06aaa4de37b11de834"/>
        <w:id w:val="1185949107"/>
        <w:placeholder>
          <w:docPart w:val="GBC22222222222222222222222222222"/>
        </w:placeholder>
      </w:sdtPr>
      <w:sdtContent>
        <w:p w14:paraId="3543AB5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0122D30">
      <w:pPr>
        <w:rPr>
          <w:rFonts w:hint="eastAsia"/>
        </w:rPr>
      </w:pPr>
    </w:p>
    <w:p w14:paraId="545C3D76">
      <w:pPr>
        <w:pStyle w:val="4"/>
        <w:numPr>
          <w:ilvl w:val="0"/>
          <w:numId w:val="55"/>
        </w:numPr>
      </w:pPr>
      <w:r>
        <w:rPr>
          <w:szCs w:val="21"/>
        </w:rPr>
        <w:t>其他说明</w:t>
      </w:r>
    </w:p>
    <w:sdt>
      <w:sdtPr>
        <w:rPr>
          <w:rFonts w:hint="eastAsia"/>
          <w:szCs w:val="21"/>
        </w:rPr>
        <w:alias w:val="是否适用：重大诉讼、仲裁事项其他说明[双击切换]"/>
        <w:tag w:val="_GBC_08b4ed5586904b67b0e5328f25166753"/>
        <w:id w:val="-1744170173"/>
        <w:placeholder>
          <w:docPart w:val="GBC22222222222222222222222222222"/>
        </w:placeholder>
      </w:sdtPr>
      <w:sdtEndPr>
        <w:rPr>
          <w:rFonts w:hint="eastAsia"/>
          <w:szCs w:val="21"/>
        </w:rPr>
      </w:sdtEndPr>
      <w:sdtContent>
        <w:p w14:paraId="71AECC7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9E67DE4">
      <w:pPr>
        <w:rPr>
          <w:rFonts w:hint="eastAsia"/>
          <w:szCs w:val="21"/>
        </w:rPr>
      </w:pPr>
    </w:p>
    <w:p w14:paraId="7A78887D">
      <w:pPr>
        <w:pStyle w:val="3"/>
        <w:numPr>
          <w:ilvl w:val="0"/>
          <w:numId w:val="51"/>
        </w:numPr>
      </w:pPr>
      <w:r>
        <w:rPr>
          <w:rFonts w:hint="eastAsia"/>
        </w:rPr>
        <w:t>上市公司及其董事、监事、高级管理人员、控股股东、实际控制人涉嫌违法违规、受到处罚及整改情况</w:t>
      </w:r>
    </w:p>
    <w:sdt>
      <w:sdtPr>
        <w:alias w:val="是否适用：上市公司及其董事、监事、高级管理人员、持有5%以上股份的股东、实际控制人、收购人处罚及整改情况[双击切换]"/>
        <w:tag w:val="_GBC_123762bb7717485a933e24f7a072833b"/>
        <w:id w:val="1203059018"/>
        <w:placeholder>
          <w:docPart w:val="GBC22222222222222222222222222222"/>
        </w:placeholder>
      </w:sdtPr>
      <w:sdtContent>
        <w:p w14:paraId="7D191C7E">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4DE209B">
      <w:pPr>
        <w:rPr>
          <w:rFonts w:hint="eastAsia"/>
        </w:rPr>
      </w:pPr>
      <w:sdt>
        <w:sdtPr>
          <w:rPr>
            <w:rFonts w:hint="eastAsia"/>
            <w:szCs w:val="21"/>
          </w:rPr>
          <w:alias w:val="公司、董事会、董事受处罚及整改情况"/>
          <w:tag w:val="_GBC_22b505e911e0454088ff7cedea338e39"/>
          <w:id w:val="776613477"/>
          <w:placeholder>
            <w:docPart w:val="GBC22222222222222222222222222222"/>
          </w:placeholder>
        </w:sdtPr>
        <w:sdtEndPr>
          <w:rPr>
            <w:rFonts w:hint="eastAsia"/>
            <w:szCs w:val="21"/>
          </w:rPr>
        </w:sdtEndPr>
        <w:sdtContent>
          <w:r>
            <w:rPr>
              <w:rFonts w:hint="eastAsia"/>
              <w:szCs w:val="21"/>
            </w:rPr>
            <w:t xml:space="preserve">    </w:t>
          </w:r>
          <w:r>
            <w:rPr>
              <w:rFonts w:hint="eastAsia"/>
            </w:rPr>
            <w:t>2024年11月，上海证券交易所下发《纪律处分决定书》[</w:t>
          </w:r>
          <w:r>
            <w:t>2024]208</w:t>
          </w:r>
          <w:r>
            <w:rPr>
              <w:rFonts w:hint="eastAsia"/>
            </w:rPr>
            <w:t>号，对公司及时任董事长吴同兴、时任董事长、总经理夏前军、时任总会计师刘改平、时任董事会秘书邱卫兵予以通报批评。</w:t>
          </w:r>
        </w:sdtContent>
      </w:sdt>
    </w:p>
    <w:p w14:paraId="6895B246">
      <w:pPr>
        <w:pStyle w:val="3"/>
        <w:numPr>
          <w:ilvl w:val="0"/>
          <w:numId w:val="51"/>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1743144579"/>
        <w:placeholder>
          <w:docPart w:val="GBC22222222222222222222222222222"/>
        </w:placeholder>
      </w:sdtPr>
      <w:sdtEndPr>
        <w:rPr>
          <w:rFonts w:hint="eastAsia"/>
          <w:szCs w:val="21"/>
        </w:rPr>
      </w:sdtEndPr>
      <w:sdtContent>
        <w:p w14:paraId="5AD8B57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6B59B46">
      <w:pPr>
        <w:rPr>
          <w:rFonts w:hint="eastAsia"/>
          <w:szCs w:val="21"/>
        </w:rPr>
      </w:pPr>
    </w:p>
    <w:p w14:paraId="4012A37F">
      <w:pPr>
        <w:pStyle w:val="3"/>
        <w:numPr>
          <w:ilvl w:val="0"/>
          <w:numId w:val="51"/>
        </w:numPr>
      </w:pPr>
      <w:r>
        <w:rPr>
          <w:rFonts w:hint="eastAsia"/>
        </w:rPr>
        <w:t>重大关联交易</w:t>
      </w:r>
    </w:p>
    <w:p w14:paraId="26171B86">
      <w:pPr>
        <w:pStyle w:val="4"/>
        <w:numPr>
          <w:ilvl w:val="2"/>
          <w:numId w:val="5"/>
        </w:numPr>
        <w:rPr>
          <w:szCs w:val="21"/>
        </w:rPr>
      </w:pPr>
      <w:bookmarkStart w:id="111" w:name="_Toc342491961"/>
      <w:bookmarkStart w:id="112" w:name="_Toc342565953"/>
      <w:r>
        <w:rPr>
          <w:rFonts w:hint="eastAsia"/>
          <w:szCs w:val="21"/>
        </w:rPr>
        <w:t>与日常经营相关的关联交易</w:t>
      </w:r>
      <w:bookmarkEnd w:id="111"/>
      <w:bookmarkEnd w:id="112"/>
    </w:p>
    <w:p w14:paraId="7547CB71">
      <w:pPr>
        <w:pStyle w:val="5"/>
        <w:numPr>
          <w:ilvl w:val="2"/>
          <w:numId w:val="56"/>
        </w:numPr>
        <w:rPr>
          <w:rFonts w:hint="eastAsia"/>
        </w:rPr>
      </w:pPr>
      <w: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626382916"/>
        <w:placeholder>
          <w:docPart w:val="GBC22222222222222222222222222222"/>
        </w:placeholder>
      </w:sdtPr>
      <w:sdtContent>
        <w:p w14:paraId="5E54AF6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8"/>
        <w:gridCol w:w="4435"/>
      </w:tblGrid>
      <w:tr w14:paraId="0F8F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9f4a4c0936a4abcb8bcf98faa2411bf"/>
            <w:id w:val="-1592236019"/>
          </w:sdtPr>
          <w:sdtContent>
            <w:tc>
              <w:tcPr>
                <w:tcW w:w="4524" w:type="dxa"/>
                <w:vAlign w:val="center"/>
              </w:tcPr>
              <w:p w14:paraId="71D8E37E">
                <w:pPr>
                  <w:widowControl w:val="0"/>
                  <w:jc w:val="center"/>
                  <w:rPr>
                    <w:rFonts w:hint="eastAsia"/>
                    <w:szCs w:val="21"/>
                  </w:rPr>
                </w:pPr>
                <w:r>
                  <w:rPr>
                    <w:szCs w:val="21"/>
                  </w:rPr>
                  <w:t>事项概述</w:t>
                </w:r>
              </w:p>
            </w:tc>
          </w:sdtContent>
        </w:sdt>
        <w:sdt>
          <w:sdtPr>
            <w:tag w:val="_PLD_ee8e2b9af7fa4faa8b872d9bd167f00f"/>
            <w:id w:val="58920945"/>
          </w:sdtPr>
          <w:sdtContent>
            <w:tc>
              <w:tcPr>
                <w:tcW w:w="4524" w:type="dxa"/>
                <w:vAlign w:val="center"/>
              </w:tcPr>
              <w:p w14:paraId="289C4F03">
                <w:pPr>
                  <w:widowControl w:val="0"/>
                  <w:jc w:val="center"/>
                  <w:rPr>
                    <w:rFonts w:hint="eastAsia"/>
                    <w:szCs w:val="21"/>
                  </w:rPr>
                </w:pPr>
                <w:r>
                  <w:rPr>
                    <w:szCs w:val="21"/>
                  </w:rPr>
                  <w:t>查询索引</w:t>
                </w:r>
              </w:p>
            </w:tc>
          </w:sdtContent>
        </w:sdt>
      </w:tr>
      <w:tr w14:paraId="510E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203DB773">
            <w:pPr>
              <w:widowControl w:val="0"/>
              <w:jc w:val="center"/>
              <w:rPr>
                <w:rFonts w:hint="eastAsia"/>
                <w:szCs w:val="21"/>
              </w:rPr>
            </w:pPr>
            <w:r>
              <w:rPr>
                <w:rFonts w:hint="eastAsia"/>
                <w:szCs w:val="21"/>
              </w:rPr>
              <w:t>第五届董事会第二十三次会议审议通过了关于《2023年度日常关联交易实际发生额及2024年度日常关联交易预计发生额》的议案</w:t>
            </w:r>
          </w:p>
        </w:tc>
        <w:tc>
          <w:tcPr>
            <w:tcW w:w="4524" w:type="dxa"/>
          </w:tcPr>
          <w:p w14:paraId="7AB3714B">
            <w:pPr>
              <w:widowControl w:val="0"/>
              <w:jc w:val="both"/>
              <w:rPr>
                <w:rFonts w:hint="eastAsia"/>
                <w:szCs w:val="21"/>
              </w:rPr>
            </w:pPr>
            <w:r>
              <w:rPr>
                <w:rFonts w:hint="eastAsia"/>
                <w:szCs w:val="21"/>
              </w:rPr>
              <w:t>详见公司于2024年4月13日在上海证券交易所网站（www.sse.com.cn）披露的《际华集团股份有限公司关于2023年日常关联交易情况和2024年日常关联交易预计的公告》。</w:t>
            </w:r>
          </w:p>
        </w:tc>
      </w:tr>
      <w:tr w14:paraId="6C3D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24" w:type="dxa"/>
            <w:vAlign w:val="center"/>
          </w:tcPr>
          <w:p w14:paraId="2B7ED8A2">
            <w:pPr>
              <w:widowControl w:val="0"/>
              <w:jc w:val="center"/>
              <w:rPr>
                <w:rFonts w:hint="eastAsia"/>
                <w:szCs w:val="21"/>
              </w:rPr>
            </w:pPr>
            <w:r>
              <w:t>第</w:t>
            </w:r>
            <w:r>
              <w:rPr>
                <w:rFonts w:hint="eastAsia"/>
              </w:rPr>
              <w:t>六</w:t>
            </w:r>
            <w:r>
              <w:t>届董事会第</w:t>
            </w:r>
            <w:r>
              <w:rPr>
                <w:rFonts w:hint="eastAsia"/>
              </w:rPr>
              <w:t>七</w:t>
            </w:r>
            <w:r>
              <w:t>次会议审议通过了关于《际华园202</w:t>
            </w:r>
            <w:r>
              <w:rPr>
                <w:rFonts w:hint="eastAsia"/>
              </w:rPr>
              <w:t>4</w:t>
            </w:r>
            <w:r>
              <w:t>年托管经营指标》的议案</w:t>
            </w:r>
          </w:p>
        </w:tc>
        <w:tc>
          <w:tcPr>
            <w:tcW w:w="4524" w:type="dxa"/>
          </w:tcPr>
          <w:p w14:paraId="3C4989EE">
            <w:pPr>
              <w:widowControl w:val="0"/>
              <w:jc w:val="both"/>
              <w:rPr>
                <w:rFonts w:hint="eastAsia"/>
                <w:szCs w:val="21"/>
              </w:rPr>
            </w:pPr>
            <w:r>
              <w:t>详见公司于202</w:t>
            </w:r>
            <w:r>
              <w:rPr>
                <w:rFonts w:hint="eastAsia"/>
              </w:rPr>
              <w:t>4</w:t>
            </w:r>
            <w:r>
              <w:t>年</w:t>
            </w:r>
            <w:r>
              <w:rPr>
                <w:rFonts w:hint="eastAsia"/>
              </w:rPr>
              <w:t>12</w:t>
            </w:r>
            <w:r>
              <w:t>月</w:t>
            </w:r>
            <w:r>
              <w:rPr>
                <w:rFonts w:hint="eastAsia"/>
              </w:rPr>
              <w:t>7</w:t>
            </w:r>
            <w:r>
              <w:t>日在上海证券交易所网站（www.sse.com.cn）披露的《际华集团第</w:t>
            </w:r>
            <w:r>
              <w:rPr>
                <w:rFonts w:hint="eastAsia"/>
              </w:rPr>
              <w:t>六</w:t>
            </w:r>
            <w:r>
              <w:t>届董事会第</w:t>
            </w:r>
            <w:r>
              <w:rPr>
                <w:rFonts w:hint="eastAsia"/>
              </w:rPr>
              <w:t>七</w:t>
            </w:r>
            <w:r>
              <w:t>次会议决议公告》。</w:t>
            </w:r>
          </w:p>
        </w:tc>
      </w:tr>
    </w:tbl>
    <w:p w14:paraId="0637A064">
      <w:pPr>
        <w:rPr>
          <w:rFonts w:hint="eastAsia"/>
        </w:rPr>
      </w:pPr>
    </w:p>
    <w:p w14:paraId="1F10C71D">
      <w:pPr>
        <w:pStyle w:val="5"/>
        <w:numPr>
          <w:ilvl w:val="2"/>
          <w:numId w:val="56"/>
        </w:numPr>
        <w:rPr>
          <w:rFonts w:hint="eastAsia"/>
        </w:r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918251188"/>
        <w:placeholder>
          <w:docPart w:val="GBC22222222222222222222222222222"/>
        </w:placeholder>
      </w:sdtPr>
      <w:sdtEndPr>
        <w:rPr>
          <w:rFonts w:hint="eastAsia"/>
          <w:szCs w:val="21"/>
        </w:rPr>
      </w:sdtEndPr>
      <w:sdtContent>
        <w:p w14:paraId="61B3728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C3CD04D">
      <w:pPr>
        <w:rPr>
          <w:rFonts w:hint="eastAsia"/>
          <w:szCs w:val="21"/>
        </w:rPr>
      </w:pPr>
    </w:p>
    <w:p w14:paraId="040FE31B">
      <w:pPr>
        <w:pStyle w:val="5"/>
        <w:numPr>
          <w:ilvl w:val="2"/>
          <w:numId w:val="56"/>
        </w:numPr>
        <w:rPr>
          <w:rFonts w:hint="eastAsia"/>
        </w:rPr>
      </w:pPr>
      <w:bookmarkStart w:id="113" w:name="_Toc342491964"/>
      <w:bookmarkStart w:id="114" w:name="_Toc342565956"/>
      <w:r>
        <w:rPr>
          <w:rFonts w:hint="eastAsia"/>
        </w:rPr>
        <w:t>临时公告未披露的事</w:t>
      </w:r>
      <w:bookmarkEnd w:id="113"/>
      <w:bookmarkEnd w:id="114"/>
      <w:r>
        <w:rPr>
          <w:rFonts w:hint="eastAsia"/>
        </w:rPr>
        <w:t>项</w:t>
      </w:r>
    </w:p>
    <w:sdt>
      <w:sdtPr>
        <w:alias w:val="是否适用：与日常经营相关的关联交易_临时公告未披露的事项[双击切换]"/>
        <w:tag w:val="_GBC_3f1135e0d6d440e6a4af283441bd65d2"/>
        <w:id w:val="-714730077"/>
        <w:placeholder>
          <w:docPart w:val="GBC22222222222222222222222222222"/>
        </w:placeholder>
      </w:sdtPr>
      <w:sdtContent>
        <w:p w14:paraId="70884112">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6354D92">
      <w:pPr>
        <w:rPr>
          <w:rFonts w:hint="eastAsia"/>
        </w:rPr>
      </w:pPr>
    </w:p>
    <w:p w14:paraId="35EDA199">
      <w:pPr>
        <w:pStyle w:val="4"/>
        <w:numPr>
          <w:ilvl w:val="2"/>
          <w:numId w:val="5"/>
        </w:numPr>
        <w:rPr>
          <w:szCs w:val="21"/>
        </w:rPr>
      </w:pPr>
      <w:r>
        <w:rPr>
          <w:rFonts w:hint="eastAsia"/>
          <w:szCs w:val="21"/>
        </w:rPr>
        <w:t>资产或股权收购、出售发生的关联交易</w:t>
      </w:r>
    </w:p>
    <w:p w14:paraId="2A05F837">
      <w:pPr>
        <w:pStyle w:val="5"/>
        <w:numPr>
          <w:ilvl w:val="0"/>
          <w:numId w:val="57"/>
        </w:numPr>
        <w:rPr>
          <w:rFonts w:hint="eastAsia"/>
        </w:r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299120359"/>
        <w:placeholder>
          <w:docPart w:val="GBC22222222222222222222222222222"/>
        </w:placeholder>
      </w:sdtPr>
      <w:sdtContent>
        <w:p w14:paraId="4210159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0"/>
        <w:gridCol w:w="4413"/>
      </w:tblGrid>
      <w:tr w14:paraId="059A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188ee45227d45f381d6f25e86478458"/>
            <w:id w:val="2095114828"/>
          </w:sdtPr>
          <w:sdtContent>
            <w:tc>
              <w:tcPr>
                <w:tcW w:w="2499" w:type="pct"/>
                <w:vAlign w:val="center"/>
              </w:tcPr>
              <w:p w14:paraId="7E194A39">
                <w:pPr>
                  <w:widowControl w:val="0"/>
                  <w:jc w:val="center"/>
                  <w:rPr>
                    <w:rFonts w:hint="eastAsia"/>
                    <w:szCs w:val="21"/>
                  </w:rPr>
                </w:pPr>
                <w:r>
                  <w:rPr>
                    <w:szCs w:val="21"/>
                  </w:rPr>
                  <w:t>事项概述</w:t>
                </w:r>
              </w:p>
            </w:tc>
          </w:sdtContent>
        </w:sdt>
        <w:sdt>
          <w:sdtPr>
            <w:tag w:val="_PLD_0c44a61d6566427086931bb8189dad89"/>
            <w:id w:val="-615601865"/>
          </w:sdtPr>
          <w:sdtContent>
            <w:tc>
              <w:tcPr>
                <w:tcW w:w="2500" w:type="pct"/>
                <w:vAlign w:val="center"/>
              </w:tcPr>
              <w:p w14:paraId="2B415D07">
                <w:pPr>
                  <w:widowControl w:val="0"/>
                  <w:jc w:val="center"/>
                  <w:rPr>
                    <w:rFonts w:hint="eastAsia"/>
                    <w:szCs w:val="21"/>
                  </w:rPr>
                </w:pPr>
                <w:r>
                  <w:rPr>
                    <w:szCs w:val="21"/>
                  </w:rPr>
                  <w:t>查询索引</w:t>
                </w:r>
              </w:p>
            </w:tc>
          </w:sdtContent>
        </w:sdt>
      </w:tr>
      <w:tr w14:paraId="3638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vAlign w:val="center"/>
          </w:tcPr>
          <w:p w14:paraId="162543DE">
            <w:pPr>
              <w:widowControl w:val="0"/>
              <w:jc w:val="center"/>
              <w:rPr>
                <w:rFonts w:hint="eastAsia"/>
                <w:szCs w:val="21"/>
              </w:rPr>
            </w:pPr>
            <w:r>
              <w:rPr>
                <w:rFonts w:hint="eastAsia"/>
                <w:szCs w:val="21"/>
              </w:rPr>
              <w:t>第五届董事会第二十四次会议审议通过了关于《购买土地使用权及房产暨关联交易》的议案，同意公司以自有资金向控股股东新兴际华集团有限公司购买其所持有的北京市大兴区广茂大街44号院毛坯状态下的不动产，交易金额为222,606,800.00元</w:t>
            </w:r>
          </w:p>
        </w:tc>
        <w:tc>
          <w:tcPr>
            <w:tcW w:w="2500" w:type="pct"/>
            <w:vAlign w:val="center"/>
          </w:tcPr>
          <w:p w14:paraId="3349EDE6">
            <w:pPr>
              <w:widowControl w:val="0"/>
              <w:jc w:val="center"/>
              <w:rPr>
                <w:rFonts w:hint="eastAsia"/>
                <w:szCs w:val="21"/>
              </w:rPr>
            </w:pPr>
            <w:r>
              <w:rPr>
                <w:rFonts w:hint="eastAsia"/>
                <w:szCs w:val="21"/>
              </w:rPr>
              <w:t>具体内容详见公司于2024年4月27日在上海证券交易所网站（www.sse.com.cn）披露的《际华集团关于购买不动产暨关联交易的公告》。</w:t>
            </w:r>
          </w:p>
        </w:tc>
      </w:tr>
    </w:tbl>
    <w:p w14:paraId="29F81D2A">
      <w:pPr>
        <w:rPr>
          <w:rFonts w:hint="eastAsia"/>
        </w:rPr>
      </w:pPr>
    </w:p>
    <w:p w14:paraId="2E838FFA">
      <w:pPr>
        <w:pStyle w:val="5"/>
        <w:numPr>
          <w:ilvl w:val="0"/>
          <w:numId w:val="57"/>
        </w:numPr>
        <w:rPr>
          <w:rFonts w:hint="eastAsia"/>
        </w:rPr>
      </w:pPr>
      <w:bookmarkStart w:id="115" w:name="_Hlk90309315"/>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14874768"/>
        <w:placeholder>
          <w:docPart w:val="GBC22222222222222222222222222222"/>
        </w:placeholder>
      </w:sdtPr>
      <w:sdtEndPr>
        <w:rPr>
          <w:rFonts w:hint="eastAsia"/>
          <w:szCs w:val="21"/>
        </w:rPr>
      </w:sdtEndPr>
      <w:sdtContent>
        <w:p w14:paraId="08373AB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115"/>
    <w:p w14:paraId="49D56B75">
      <w:pPr>
        <w:rPr>
          <w:rFonts w:hint="eastAsia"/>
          <w:szCs w:val="21"/>
        </w:rPr>
      </w:pPr>
    </w:p>
    <w:p w14:paraId="1B883894">
      <w:pPr>
        <w:pStyle w:val="5"/>
        <w:numPr>
          <w:ilvl w:val="0"/>
          <w:numId w:val="57"/>
        </w:numPr>
        <w:rPr>
          <w:rFonts w:hint="eastAsia"/>
        </w:rPr>
      </w:pPr>
      <w:r>
        <w:t>临时公告未披露的事项</w:t>
      </w:r>
    </w:p>
    <w:sdt>
      <w:sdtPr>
        <w:alias w:val="是否适用：资产收购、出售发生的关联交易_临时公告未披露的事项[双击切换]"/>
        <w:tag w:val="_GBC_c2403e21caad4498842c2f1cf3384c0d"/>
        <w:id w:val="-554633686"/>
        <w:placeholder>
          <w:docPart w:val="GBC22222222222222222222222222222"/>
        </w:placeholder>
      </w:sdtPr>
      <w:sdtContent>
        <w:p w14:paraId="53EF4DC5">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E876DC3">
      <w:pPr>
        <w:rPr>
          <w:rFonts w:hint="eastAsia"/>
        </w:rPr>
      </w:pPr>
    </w:p>
    <w:p w14:paraId="4C8A9A98">
      <w:pPr>
        <w:pStyle w:val="5"/>
        <w:numPr>
          <w:ilvl w:val="0"/>
          <w:numId w:val="57"/>
        </w:numPr>
        <w:rPr>
          <w:rFonts w:hint="eastAsia"/>
        </w:r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431479466"/>
        <w:placeholder>
          <w:docPart w:val="GBC22222222222222222222222222222"/>
        </w:placeholder>
      </w:sdtPr>
      <w:sdtEndPr>
        <w:rPr>
          <w:rFonts w:hint="eastAsia"/>
        </w:rPr>
      </w:sdtEndPr>
      <w:sdtContent>
        <w:p w14:paraId="7C59A15E">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907F6C">
      <w:pPr>
        <w:rPr>
          <w:rFonts w:hint="eastAsia"/>
        </w:rPr>
      </w:pPr>
    </w:p>
    <w:p w14:paraId="637517D7">
      <w:pPr>
        <w:pStyle w:val="4"/>
        <w:numPr>
          <w:ilvl w:val="2"/>
          <w:numId w:val="5"/>
        </w:numPr>
        <w:rPr>
          <w:szCs w:val="21"/>
        </w:rPr>
      </w:pPr>
      <w:r>
        <w:rPr>
          <w:rFonts w:hint="eastAsia"/>
          <w:szCs w:val="21"/>
        </w:rPr>
        <w:t>共同对外投资的重大关联交易</w:t>
      </w:r>
    </w:p>
    <w:p w14:paraId="61478050">
      <w:pPr>
        <w:pStyle w:val="5"/>
        <w:numPr>
          <w:ilvl w:val="0"/>
          <w:numId w:val="58"/>
        </w:numPr>
        <w:rPr>
          <w:rFonts w:hint="eastAsia"/>
        </w:rPr>
      </w:pPr>
      <w:r>
        <w:t>已在临时公告披露且后续实施无进展或变化的事项</w:t>
      </w:r>
    </w:p>
    <w:sdt>
      <w:sdtPr>
        <w:alias w:val="是否适用：已在临时公告披露且后续实施无进展或变化的事项_共同对外投资的重大关联交易[双击切换]"/>
        <w:tag w:val="_GBC_7eea3c6d3d6245c4a1388637f61fccce"/>
        <w:id w:val="1088509438"/>
        <w:placeholder>
          <w:docPart w:val="GBC22222222222222222222222222222"/>
        </w:placeholder>
      </w:sdtPr>
      <w:sdtContent>
        <w:p w14:paraId="0F12593A">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DF5C995">
      <w:pPr>
        <w:rPr>
          <w:rFonts w:hint="eastAsia"/>
        </w:rPr>
      </w:pPr>
    </w:p>
    <w:p w14:paraId="694325DA">
      <w:pPr>
        <w:pStyle w:val="5"/>
        <w:numPr>
          <w:ilvl w:val="0"/>
          <w:numId w:val="58"/>
        </w:numPr>
        <w:rPr>
          <w:rFonts w:hint="eastAsia"/>
        </w:r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1481967721"/>
        <w:placeholder>
          <w:docPart w:val="GBC22222222222222222222222222222"/>
        </w:placeholder>
      </w:sdtPr>
      <w:sdtEndPr>
        <w:rPr>
          <w:rFonts w:hint="eastAsia"/>
          <w:szCs w:val="21"/>
        </w:rPr>
      </w:sdtEndPr>
      <w:sdtContent>
        <w:p w14:paraId="50101C6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51E46BB">
      <w:pPr>
        <w:rPr>
          <w:rFonts w:hint="eastAsia"/>
        </w:rPr>
      </w:pPr>
    </w:p>
    <w:p w14:paraId="458C26F6">
      <w:pPr>
        <w:pStyle w:val="5"/>
        <w:numPr>
          <w:ilvl w:val="0"/>
          <w:numId w:val="58"/>
        </w:numPr>
        <w:rPr>
          <w:rFonts w:hint="eastAsia"/>
        </w:rPr>
      </w:pPr>
      <w:r>
        <w:t>临时公告未披露的事项</w:t>
      </w:r>
    </w:p>
    <w:sdt>
      <w:sdtPr>
        <w:alias w:val="是否适用：共同对外投资的重大关联交易_临时公告未披露的事项[双击切换]"/>
        <w:tag w:val="_GBC_0a8e93fe81464e209d3619d1be6a3349"/>
        <w:id w:val="-310171469"/>
        <w:placeholder>
          <w:docPart w:val="GBC22222222222222222222222222222"/>
        </w:placeholder>
      </w:sdtPr>
      <w:sdtContent>
        <w:p w14:paraId="2CBF7998">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8A887F9">
      <w:pPr>
        <w:rPr>
          <w:rFonts w:hint="eastAsia"/>
          <w:szCs w:val="21"/>
        </w:rPr>
      </w:pPr>
    </w:p>
    <w:p w14:paraId="04752770">
      <w:pPr>
        <w:pStyle w:val="4"/>
        <w:numPr>
          <w:ilvl w:val="2"/>
          <w:numId w:val="5"/>
        </w:numPr>
        <w:rPr>
          <w:szCs w:val="21"/>
        </w:rPr>
      </w:pPr>
      <w:r>
        <w:rPr>
          <w:rFonts w:hint="eastAsia"/>
          <w:szCs w:val="21"/>
        </w:rPr>
        <w:t>关联债权债务往来</w:t>
      </w:r>
    </w:p>
    <w:p w14:paraId="6D05FBC5">
      <w:pPr>
        <w:pStyle w:val="5"/>
        <w:numPr>
          <w:ilvl w:val="0"/>
          <w:numId w:val="59"/>
        </w:numPr>
        <w:rPr>
          <w:rFonts w:hint="eastAsia"/>
        </w:rPr>
      </w:pPr>
      <w:r>
        <w:t>已在临时公告披露且后续实施无进展或变化的事项</w:t>
      </w:r>
    </w:p>
    <w:sdt>
      <w:sdtPr>
        <w:alias w:val="是否适用：已在临时公告披露且后续实施无进展或变化的事项_关联债权债务往来[双击切换]"/>
        <w:tag w:val="_GBC_7465d4a4508a455591694c4e59f1f59b"/>
        <w:id w:val="544330391"/>
        <w:placeholder>
          <w:docPart w:val="GBC22222222222222222222222222222"/>
        </w:placeholder>
      </w:sdtPr>
      <w:sdtContent>
        <w:p w14:paraId="10CED654">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1D3F698">
      <w:pPr>
        <w:rPr>
          <w:rFonts w:hint="eastAsia"/>
        </w:rPr>
      </w:pPr>
    </w:p>
    <w:p w14:paraId="6A01031E">
      <w:pPr>
        <w:pStyle w:val="5"/>
        <w:numPr>
          <w:ilvl w:val="0"/>
          <w:numId w:val="59"/>
        </w:numPr>
        <w:rPr>
          <w:rFonts w:hint="eastAsia"/>
        </w:r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1422523987"/>
        <w:placeholder>
          <w:docPart w:val="GBC22222222222222222222222222222"/>
        </w:placeholder>
      </w:sdtPr>
      <w:sdtEndPr>
        <w:rPr>
          <w:rFonts w:hint="eastAsia"/>
          <w:szCs w:val="21"/>
        </w:rPr>
      </w:sdtEndPr>
      <w:sdtContent>
        <w:p w14:paraId="402B766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E6A7661">
      <w:pPr>
        <w:rPr>
          <w:rFonts w:hint="eastAsia"/>
        </w:rPr>
      </w:pPr>
    </w:p>
    <w:p w14:paraId="354C5815">
      <w:pPr>
        <w:pStyle w:val="5"/>
        <w:numPr>
          <w:ilvl w:val="0"/>
          <w:numId w:val="59"/>
        </w:numPr>
        <w:rPr>
          <w:rFonts w:hint="eastAsia"/>
        </w:rPr>
      </w:pPr>
      <w:r>
        <w:rPr>
          <w:rFonts w:hint="eastAsia"/>
        </w:rPr>
        <w:t>临时公告未披露的事项</w:t>
      </w:r>
    </w:p>
    <w:sdt>
      <w:sdtPr>
        <w:alias w:val="是否适用：关联债权债务往来_临时公告未披露的事项[双击切换]"/>
        <w:tag w:val="_GBC_d9a88c6705ef48d49848c2b93cb503f2"/>
        <w:id w:val="824552240"/>
        <w:placeholder>
          <w:docPart w:val="GBC22222222222222222222222222222"/>
        </w:placeholder>
      </w:sdtPr>
      <w:sdtContent>
        <w:p w14:paraId="5EDABC9D">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D94CB10">
      <w:pPr>
        <w:jc w:val="right"/>
        <w:rPr>
          <w:rFonts w:hint="eastAsia"/>
          <w:szCs w:val="21"/>
        </w:rPr>
      </w:pPr>
      <w:r>
        <w:rPr>
          <w:rFonts w:hint="eastAsia"/>
          <w:szCs w:val="21"/>
        </w:rPr>
        <w:t>单位：</w:t>
      </w:r>
      <w:sdt>
        <w:sdtPr>
          <w:rPr>
            <w:rFonts w:hint="eastAsia"/>
            <w:szCs w:val="21"/>
          </w:rPr>
          <w:alias w:val="单位：关联债权债务往来"/>
          <w:tag w:val="_GBC_8d4c1abff8924972accec0d4fd37892b"/>
          <w:id w:val="-1050146400"/>
          <w:placeholder>
            <w:docPart w:val="CE5EB41D84F548AC9469F484434E6B87"/>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关联债权债务往来"/>
          <w:tag w:val="_GBC_382a3dde730d43ff96e279b4ce31f369"/>
          <w:id w:val="2129664383"/>
          <w:placeholder>
            <w:docPart w:val="CE5EB41D84F548AC9469F484434E6B8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695"/>
        <w:gridCol w:w="1277"/>
        <w:gridCol w:w="991"/>
        <w:gridCol w:w="851"/>
        <w:gridCol w:w="985"/>
        <w:gridCol w:w="985"/>
        <w:gridCol w:w="1001"/>
        <w:gridCol w:w="1038"/>
      </w:tblGrid>
      <w:tr w14:paraId="453B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ascii="Arial Narrow" w:hAnsi="Arial Narrow" w:eastAsiaTheme="minorEastAsia"/>
              <w:szCs w:val="21"/>
            </w:rPr>
            <w:tag w:val="_PLD_95f2c84adc8441e0ac219e05d6e8d5ba"/>
            <w:id w:val="1674829740"/>
          </w:sdtPr>
          <w:sdtEndPr>
            <w:rPr>
              <w:rFonts w:ascii="Arial Narrow" w:hAnsi="Arial Narrow" w:eastAsiaTheme="minorEastAsia"/>
              <w:szCs w:val="21"/>
            </w:rPr>
          </w:sdtEndPr>
          <w:sdtContent>
            <w:tc>
              <w:tcPr>
                <w:tcW w:w="961" w:type="pct"/>
                <w:vMerge w:val="restart"/>
                <w:shd w:val="clear" w:color="auto" w:fill="auto"/>
                <w:vAlign w:val="center"/>
              </w:tcPr>
              <w:p w14:paraId="003F1F53">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关联方</w:t>
                </w:r>
              </w:p>
            </w:tc>
          </w:sdtContent>
        </w:sdt>
        <w:sdt>
          <w:sdtPr>
            <w:rPr>
              <w:rFonts w:ascii="Arial Narrow" w:hAnsi="Arial Narrow" w:eastAsiaTheme="minorEastAsia"/>
              <w:szCs w:val="21"/>
            </w:rPr>
            <w:tag w:val="_PLD_09ca5e393bc34d4785c49c7cee6066f5"/>
            <w:id w:val="638781666"/>
          </w:sdtPr>
          <w:sdtEndPr>
            <w:rPr>
              <w:rFonts w:ascii="Arial Narrow" w:hAnsi="Arial Narrow" w:eastAsiaTheme="minorEastAsia"/>
              <w:szCs w:val="21"/>
            </w:rPr>
          </w:sdtEndPr>
          <w:sdtContent>
            <w:tc>
              <w:tcPr>
                <w:tcW w:w="724" w:type="pct"/>
                <w:vMerge w:val="restart"/>
                <w:shd w:val="clear" w:color="auto" w:fill="auto"/>
                <w:vAlign w:val="center"/>
              </w:tcPr>
              <w:p w14:paraId="10A16608">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关联关系</w:t>
                </w:r>
              </w:p>
            </w:tc>
          </w:sdtContent>
        </w:sdt>
        <w:sdt>
          <w:sdtPr>
            <w:rPr>
              <w:rFonts w:ascii="Arial Narrow" w:hAnsi="Arial Narrow" w:eastAsiaTheme="minorEastAsia"/>
              <w:szCs w:val="21"/>
            </w:rPr>
            <w:tag w:val="_PLD_3e4df3fd6b7247e1a1a853fd2fd19d58"/>
            <w:id w:val="431638797"/>
          </w:sdtPr>
          <w:sdtEndPr>
            <w:rPr>
              <w:rFonts w:ascii="Arial Narrow" w:hAnsi="Arial Narrow" w:eastAsiaTheme="minorEastAsia"/>
              <w:szCs w:val="21"/>
            </w:rPr>
          </w:sdtEndPr>
          <w:sdtContent>
            <w:tc>
              <w:tcPr>
                <w:tcW w:w="1602" w:type="pct"/>
                <w:gridSpan w:val="3"/>
                <w:shd w:val="clear" w:color="auto" w:fill="auto"/>
                <w:vAlign w:val="center"/>
              </w:tcPr>
              <w:p w14:paraId="1AD40133">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向关联方提供资金</w:t>
                </w:r>
              </w:p>
            </w:tc>
          </w:sdtContent>
        </w:sdt>
        <w:sdt>
          <w:sdtPr>
            <w:rPr>
              <w:rFonts w:ascii="Arial Narrow" w:hAnsi="Arial Narrow" w:eastAsiaTheme="minorEastAsia"/>
              <w:szCs w:val="21"/>
            </w:rPr>
            <w:tag w:val="_PLD_ad0c36b659684f8ea3c5e5bdac148cdc"/>
            <w:id w:val="-711737360"/>
          </w:sdtPr>
          <w:sdtEndPr>
            <w:rPr>
              <w:rFonts w:ascii="Arial Narrow" w:hAnsi="Arial Narrow" w:eastAsiaTheme="minorEastAsia"/>
              <w:szCs w:val="21"/>
            </w:rPr>
          </w:sdtEndPr>
          <w:sdtContent>
            <w:tc>
              <w:tcPr>
                <w:tcW w:w="1714" w:type="pct"/>
                <w:gridSpan w:val="3"/>
                <w:shd w:val="clear" w:color="auto" w:fill="auto"/>
                <w:vAlign w:val="center"/>
              </w:tcPr>
              <w:p w14:paraId="523EBD87">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关联方向上市公司</w:t>
                </w:r>
              </w:p>
              <w:p w14:paraId="4BF9B258">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提供资金</w:t>
                </w:r>
              </w:p>
            </w:tc>
          </w:sdtContent>
        </w:sdt>
      </w:tr>
      <w:tr w14:paraId="4120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vMerge w:val="continue"/>
            <w:shd w:val="clear" w:color="auto" w:fill="auto"/>
          </w:tcPr>
          <w:p w14:paraId="1D5CCA29">
            <w:pPr>
              <w:autoSpaceDE w:val="0"/>
              <w:autoSpaceDN w:val="0"/>
              <w:adjustRightInd w:val="0"/>
              <w:jc w:val="center"/>
              <w:rPr>
                <w:rFonts w:ascii="Arial Narrow" w:hAnsi="Arial Narrow" w:eastAsiaTheme="minorEastAsia"/>
                <w:szCs w:val="21"/>
              </w:rPr>
            </w:pPr>
          </w:p>
        </w:tc>
        <w:tc>
          <w:tcPr>
            <w:tcW w:w="724" w:type="pct"/>
            <w:vMerge w:val="continue"/>
            <w:shd w:val="clear" w:color="auto" w:fill="auto"/>
          </w:tcPr>
          <w:p w14:paraId="0BC441CB">
            <w:pPr>
              <w:autoSpaceDE w:val="0"/>
              <w:autoSpaceDN w:val="0"/>
              <w:adjustRightInd w:val="0"/>
              <w:jc w:val="center"/>
              <w:rPr>
                <w:rFonts w:ascii="Arial Narrow" w:hAnsi="Arial Narrow" w:eastAsiaTheme="minorEastAsia"/>
                <w:szCs w:val="21"/>
              </w:rPr>
            </w:pPr>
          </w:p>
        </w:tc>
        <w:sdt>
          <w:sdtPr>
            <w:rPr>
              <w:rFonts w:ascii="Arial Narrow" w:hAnsi="Arial Narrow" w:eastAsiaTheme="minorEastAsia"/>
              <w:szCs w:val="21"/>
            </w:rPr>
            <w:tag w:val="_PLD_bc90d01618414b799fa4cad9c98b74a6"/>
            <w:id w:val="-752433783"/>
          </w:sdtPr>
          <w:sdtEndPr>
            <w:rPr>
              <w:rFonts w:ascii="Arial Narrow" w:hAnsi="Arial Narrow" w:eastAsiaTheme="minorEastAsia"/>
              <w:szCs w:val="21"/>
            </w:rPr>
          </w:sdtEndPr>
          <w:sdtContent>
            <w:tc>
              <w:tcPr>
                <w:tcW w:w="562" w:type="pct"/>
                <w:shd w:val="clear" w:color="auto" w:fill="auto"/>
                <w:vAlign w:val="center"/>
              </w:tcPr>
              <w:p w14:paraId="031CB362">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e16dc40d23d64bebbedef23ef5c9d0c1"/>
            <w:id w:val="-1921406813"/>
          </w:sdtPr>
          <w:sdtEndPr>
            <w:rPr>
              <w:rFonts w:ascii="Arial Narrow" w:hAnsi="Arial Narrow" w:eastAsiaTheme="minorEastAsia"/>
              <w:szCs w:val="21"/>
            </w:rPr>
          </w:sdtEndPr>
          <w:sdtContent>
            <w:tc>
              <w:tcPr>
                <w:tcW w:w="482" w:type="pct"/>
                <w:shd w:val="clear" w:color="auto" w:fill="auto"/>
                <w:vAlign w:val="center"/>
              </w:tcPr>
              <w:p w14:paraId="7F1A77A3">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发生额</w:t>
                </w:r>
              </w:p>
            </w:tc>
          </w:sdtContent>
        </w:sdt>
        <w:sdt>
          <w:sdtPr>
            <w:rPr>
              <w:rFonts w:ascii="Arial Narrow" w:hAnsi="Arial Narrow" w:eastAsiaTheme="minorEastAsia"/>
              <w:szCs w:val="21"/>
            </w:rPr>
            <w:tag w:val="_PLD_dc98a14d0d3f4efcbab28c24fdffba08"/>
            <w:id w:val="-864753392"/>
          </w:sdtPr>
          <w:sdtEndPr>
            <w:rPr>
              <w:rFonts w:ascii="Arial Narrow" w:hAnsi="Arial Narrow" w:eastAsiaTheme="minorEastAsia"/>
              <w:szCs w:val="21"/>
            </w:rPr>
          </w:sdtEndPr>
          <w:sdtContent>
            <w:tc>
              <w:tcPr>
                <w:tcW w:w="558" w:type="pct"/>
                <w:shd w:val="clear" w:color="auto" w:fill="auto"/>
                <w:vAlign w:val="center"/>
              </w:tcPr>
              <w:p w14:paraId="356C9B88">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b79e4e4eaa1b414ab5065d2b3095a515"/>
            <w:id w:val="1881280367"/>
          </w:sdtPr>
          <w:sdtEndPr>
            <w:rPr>
              <w:rFonts w:ascii="Arial Narrow" w:hAnsi="Arial Narrow" w:eastAsiaTheme="minorEastAsia"/>
              <w:szCs w:val="21"/>
            </w:rPr>
          </w:sdtEndPr>
          <w:sdtContent>
            <w:tc>
              <w:tcPr>
                <w:tcW w:w="558" w:type="pct"/>
                <w:shd w:val="clear" w:color="auto" w:fill="auto"/>
                <w:vAlign w:val="center"/>
              </w:tcPr>
              <w:p w14:paraId="22978FCB">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5a0b8d29aa6b43eba1f17db944949c32"/>
            <w:id w:val="1349753041"/>
          </w:sdtPr>
          <w:sdtEndPr>
            <w:rPr>
              <w:rFonts w:ascii="Arial Narrow" w:hAnsi="Arial Narrow" w:eastAsiaTheme="minorEastAsia"/>
              <w:szCs w:val="21"/>
            </w:rPr>
          </w:sdtEndPr>
          <w:sdtContent>
            <w:tc>
              <w:tcPr>
                <w:tcW w:w="567" w:type="pct"/>
                <w:shd w:val="clear" w:color="auto" w:fill="auto"/>
                <w:vAlign w:val="center"/>
              </w:tcPr>
              <w:p w14:paraId="2B741AFD">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发生额</w:t>
                </w:r>
              </w:p>
            </w:tc>
          </w:sdtContent>
        </w:sdt>
        <w:sdt>
          <w:sdtPr>
            <w:rPr>
              <w:rFonts w:ascii="Arial Narrow" w:hAnsi="Arial Narrow" w:eastAsiaTheme="minorEastAsia"/>
              <w:szCs w:val="21"/>
            </w:rPr>
            <w:tag w:val="_PLD_703f2ac3dbfc48e986849e07e3e11448"/>
            <w:id w:val="-227914743"/>
          </w:sdtPr>
          <w:sdtEndPr>
            <w:rPr>
              <w:rFonts w:ascii="Arial Narrow" w:hAnsi="Arial Narrow" w:eastAsiaTheme="minorEastAsia"/>
              <w:szCs w:val="21"/>
            </w:rPr>
          </w:sdtEndPr>
          <w:sdtContent>
            <w:tc>
              <w:tcPr>
                <w:tcW w:w="588" w:type="pct"/>
                <w:shd w:val="clear" w:color="auto" w:fill="auto"/>
                <w:vAlign w:val="center"/>
              </w:tcPr>
              <w:p w14:paraId="203C3740">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765D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shd w:val="clear" w:color="auto" w:fill="auto"/>
            <w:vAlign w:val="bottom"/>
          </w:tcPr>
          <w:p w14:paraId="1089C67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724" w:type="pct"/>
            <w:shd w:val="clear" w:color="auto" w:fill="auto"/>
            <w:vAlign w:val="center"/>
          </w:tcPr>
          <w:p w14:paraId="108E8C69">
            <w:pPr>
              <w:autoSpaceDE w:val="0"/>
              <w:autoSpaceDN w:val="0"/>
              <w:adjustRightInd w:val="0"/>
              <w:jc w:val="center"/>
              <w:rPr>
                <w:rFonts w:ascii="Arial Narrow" w:hAnsi="Arial Narrow" w:eastAsiaTheme="minorEastAsia"/>
                <w:color w:val="FFC000"/>
                <w:szCs w:val="21"/>
              </w:rPr>
            </w:pPr>
            <w:r>
              <w:rPr>
                <w:rFonts w:ascii="Arial Narrow" w:hAnsi="Arial Narrow" w:eastAsiaTheme="minorEastAsia"/>
                <w:color w:val="000000"/>
                <w:szCs w:val="21"/>
              </w:rPr>
              <w:t>母公司的控股子公司</w:t>
            </w:r>
          </w:p>
        </w:tc>
        <w:tc>
          <w:tcPr>
            <w:tcW w:w="562" w:type="pct"/>
            <w:shd w:val="clear" w:color="auto" w:fill="auto"/>
            <w:vAlign w:val="center"/>
          </w:tcPr>
          <w:p w14:paraId="47AD43D4">
            <w:pPr>
              <w:autoSpaceDE w:val="0"/>
              <w:autoSpaceDN w:val="0"/>
              <w:adjustRightInd w:val="0"/>
              <w:ind w:right="84" w:rightChars="40"/>
              <w:jc w:val="right"/>
              <w:rPr>
                <w:rFonts w:ascii="Arial Narrow" w:hAnsi="Arial Narrow" w:eastAsiaTheme="minorEastAsia"/>
                <w:szCs w:val="21"/>
              </w:rPr>
            </w:pPr>
          </w:p>
        </w:tc>
        <w:tc>
          <w:tcPr>
            <w:tcW w:w="482" w:type="pct"/>
            <w:shd w:val="clear" w:color="auto" w:fill="auto"/>
            <w:vAlign w:val="center"/>
          </w:tcPr>
          <w:p w14:paraId="5D0FF1E2">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47BF4B16">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10B0589F">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3,615.76</w:t>
            </w:r>
          </w:p>
        </w:tc>
        <w:tc>
          <w:tcPr>
            <w:tcW w:w="567" w:type="pct"/>
            <w:shd w:val="clear" w:color="auto" w:fill="auto"/>
            <w:vAlign w:val="center"/>
          </w:tcPr>
          <w:p w14:paraId="58448621">
            <w:pPr>
              <w:autoSpaceDE w:val="0"/>
              <w:autoSpaceDN w:val="0"/>
              <w:adjustRightInd w:val="0"/>
              <w:ind w:right="84" w:rightChars="40"/>
              <w:jc w:val="center"/>
              <w:rPr>
                <w:rFonts w:ascii="Arial Narrow" w:hAnsi="Arial Narrow" w:eastAsiaTheme="minorEastAsia"/>
                <w:szCs w:val="21"/>
              </w:rPr>
            </w:pPr>
          </w:p>
        </w:tc>
        <w:tc>
          <w:tcPr>
            <w:tcW w:w="588" w:type="pct"/>
            <w:shd w:val="clear" w:color="auto" w:fill="auto"/>
            <w:vAlign w:val="center"/>
          </w:tcPr>
          <w:p w14:paraId="57DA8CEF">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3,615.76</w:t>
            </w:r>
          </w:p>
        </w:tc>
      </w:tr>
      <w:tr w14:paraId="2421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shd w:val="clear" w:color="auto" w:fill="auto"/>
            <w:vAlign w:val="bottom"/>
          </w:tcPr>
          <w:p w14:paraId="64741F9E">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咸阳际华投资发展有限公司</w:t>
            </w:r>
          </w:p>
        </w:tc>
        <w:tc>
          <w:tcPr>
            <w:tcW w:w="724" w:type="pct"/>
            <w:shd w:val="clear" w:color="auto" w:fill="auto"/>
            <w:vAlign w:val="center"/>
          </w:tcPr>
          <w:p w14:paraId="55EDDB18">
            <w:pPr>
              <w:autoSpaceDE w:val="0"/>
              <w:autoSpaceDN w:val="0"/>
              <w:adjustRightInd w:val="0"/>
              <w:jc w:val="center"/>
              <w:rPr>
                <w:rFonts w:ascii="Arial Narrow" w:hAnsi="Arial Narrow" w:eastAsiaTheme="minorEastAsia"/>
                <w:szCs w:val="21"/>
              </w:rPr>
            </w:pPr>
            <w:r>
              <w:rPr>
                <w:rFonts w:ascii="Arial Narrow" w:hAnsi="Arial Narrow" w:eastAsiaTheme="minorEastAsia"/>
                <w:color w:val="000000"/>
                <w:szCs w:val="21"/>
              </w:rPr>
              <w:t>母公司的控股子公司</w:t>
            </w:r>
          </w:p>
        </w:tc>
        <w:tc>
          <w:tcPr>
            <w:tcW w:w="562" w:type="pct"/>
            <w:shd w:val="clear" w:color="auto" w:fill="auto"/>
            <w:vAlign w:val="center"/>
          </w:tcPr>
          <w:p w14:paraId="20FB1ABC">
            <w:pPr>
              <w:autoSpaceDE w:val="0"/>
              <w:autoSpaceDN w:val="0"/>
              <w:adjustRightInd w:val="0"/>
              <w:ind w:right="84" w:rightChars="40"/>
              <w:jc w:val="right"/>
              <w:rPr>
                <w:rFonts w:ascii="Arial Narrow" w:hAnsi="Arial Narrow" w:eastAsiaTheme="minorEastAsia"/>
                <w:szCs w:val="21"/>
              </w:rPr>
            </w:pPr>
          </w:p>
        </w:tc>
        <w:tc>
          <w:tcPr>
            <w:tcW w:w="482" w:type="pct"/>
            <w:shd w:val="clear" w:color="auto" w:fill="auto"/>
            <w:vAlign w:val="center"/>
          </w:tcPr>
          <w:p w14:paraId="5C3D712B">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3C2B546A">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65523F85">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350.00</w:t>
            </w:r>
          </w:p>
        </w:tc>
        <w:tc>
          <w:tcPr>
            <w:tcW w:w="567" w:type="pct"/>
            <w:shd w:val="clear" w:color="auto" w:fill="auto"/>
            <w:vAlign w:val="center"/>
          </w:tcPr>
          <w:p w14:paraId="1F5BC96E">
            <w:pPr>
              <w:autoSpaceDE w:val="0"/>
              <w:autoSpaceDN w:val="0"/>
              <w:adjustRightInd w:val="0"/>
              <w:ind w:right="84" w:rightChars="40"/>
              <w:jc w:val="center"/>
              <w:rPr>
                <w:rFonts w:ascii="Arial Narrow" w:hAnsi="Arial Narrow" w:eastAsiaTheme="minorEastAsia"/>
                <w:szCs w:val="21"/>
              </w:rPr>
            </w:pPr>
          </w:p>
        </w:tc>
        <w:tc>
          <w:tcPr>
            <w:tcW w:w="588" w:type="pct"/>
            <w:shd w:val="clear" w:color="auto" w:fill="auto"/>
            <w:vAlign w:val="center"/>
          </w:tcPr>
          <w:p w14:paraId="1F4B3AF5">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350.00</w:t>
            </w:r>
          </w:p>
        </w:tc>
      </w:tr>
      <w:tr w14:paraId="5AE6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shd w:val="clear" w:color="auto" w:fill="auto"/>
            <w:vAlign w:val="bottom"/>
          </w:tcPr>
          <w:p w14:paraId="25FF74E7">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新兴际华集团财务有限公司</w:t>
            </w:r>
          </w:p>
        </w:tc>
        <w:tc>
          <w:tcPr>
            <w:tcW w:w="724" w:type="pct"/>
            <w:shd w:val="clear" w:color="auto" w:fill="auto"/>
            <w:vAlign w:val="center"/>
          </w:tcPr>
          <w:p w14:paraId="54349563">
            <w:pPr>
              <w:autoSpaceDE w:val="0"/>
              <w:autoSpaceDN w:val="0"/>
              <w:adjustRightInd w:val="0"/>
              <w:jc w:val="center"/>
              <w:rPr>
                <w:rFonts w:ascii="Arial Narrow" w:hAnsi="Arial Narrow" w:eastAsiaTheme="minorEastAsia"/>
                <w:szCs w:val="21"/>
              </w:rPr>
            </w:pPr>
            <w:r>
              <w:rPr>
                <w:rFonts w:ascii="Arial Narrow" w:hAnsi="Arial Narrow" w:eastAsiaTheme="minorEastAsia"/>
                <w:color w:val="000000"/>
                <w:szCs w:val="21"/>
              </w:rPr>
              <w:t>母公司的全资子公司</w:t>
            </w:r>
          </w:p>
        </w:tc>
        <w:tc>
          <w:tcPr>
            <w:tcW w:w="562" w:type="pct"/>
            <w:shd w:val="clear" w:color="auto" w:fill="auto"/>
            <w:vAlign w:val="center"/>
          </w:tcPr>
          <w:p w14:paraId="0053DE25">
            <w:pPr>
              <w:autoSpaceDE w:val="0"/>
              <w:autoSpaceDN w:val="0"/>
              <w:adjustRightInd w:val="0"/>
              <w:ind w:right="84" w:rightChars="40"/>
              <w:jc w:val="right"/>
              <w:rPr>
                <w:rFonts w:ascii="Arial Narrow" w:hAnsi="Arial Narrow" w:eastAsiaTheme="minorEastAsia"/>
                <w:szCs w:val="21"/>
              </w:rPr>
            </w:pPr>
          </w:p>
        </w:tc>
        <w:tc>
          <w:tcPr>
            <w:tcW w:w="482" w:type="pct"/>
            <w:shd w:val="clear" w:color="auto" w:fill="auto"/>
            <w:vAlign w:val="center"/>
          </w:tcPr>
          <w:p w14:paraId="2C7DE97D">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75733527">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5FCB121A">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26,000.00</w:t>
            </w:r>
          </w:p>
        </w:tc>
        <w:tc>
          <w:tcPr>
            <w:tcW w:w="567" w:type="pct"/>
            <w:shd w:val="clear" w:color="auto" w:fill="auto"/>
            <w:vAlign w:val="center"/>
          </w:tcPr>
          <w:p w14:paraId="0C824FE2">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36,900.00</w:t>
            </w:r>
          </w:p>
        </w:tc>
        <w:tc>
          <w:tcPr>
            <w:tcW w:w="588" w:type="pct"/>
            <w:shd w:val="clear" w:color="auto" w:fill="auto"/>
            <w:vAlign w:val="center"/>
          </w:tcPr>
          <w:p w14:paraId="7E3F3BCF">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62,900.00</w:t>
            </w:r>
          </w:p>
        </w:tc>
      </w:tr>
      <w:tr w14:paraId="7221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shd w:val="clear" w:color="auto" w:fill="auto"/>
            <w:vAlign w:val="bottom"/>
          </w:tcPr>
          <w:p w14:paraId="2E3E952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724" w:type="pct"/>
            <w:shd w:val="clear" w:color="auto" w:fill="auto"/>
            <w:vAlign w:val="center"/>
          </w:tcPr>
          <w:p w14:paraId="31EBEC87">
            <w:pPr>
              <w:autoSpaceDE w:val="0"/>
              <w:autoSpaceDN w:val="0"/>
              <w:adjustRightInd w:val="0"/>
              <w:jc w:val="center"/>
              <w:rPr>
                <w:rFonts w:ascii="Arial Narrow" w:hAnsi="Arial Narrow" w:eastAsiaTheme="minorEastAsia"/>
                <w:szCs w:val="21"/>
              </w:rPr>
            </w:pPr>
            <w:r>
              <w:rPr>
                <w:rFonts w:ascii="Arial Narrow" w:hAnsi="Arial Narrow" w:eastAsiaTheme="minorEastAsia"/>
                <w:color w:val="000000"/>
                <w:szCs w:val="21"/>
              </w:rPr>
              <w:t>母公司</w:t>
            </w:r>
          </w:p>
        </w:tc>
        <w:tc>
          <w:tcPr>
            <w:tcW w:w="562" w:type="pct"/>
            <w:shd w:val="clear" w:color="auto" w:fill="auto"/>
            <w:vAlign w:val="center"/>
          </w:tcPr>
          <w:p w14:paraId="42DDD334">
            <w:pPr>
              <w:autoSpaceDE w:val="0"/>
              <w:autoSpaceDN w:val="0"/>
              <w:adjustRightInd w:val="0"/>
              <w:ind w:right="84" w:rightChars="40"/>
              <w:jc w:val="right"/>
              <w:rPr>
                <w:rFonts w:ascii="Arial Narrow" w:hAnsi="Arial Narrow" w:eastAsiaTheme="minorEastAsia"/>
                <w:szCs w:val="21"/>
              </w:rPr>
            </w:pPr>
          </w:p>
        </w:tc>
        <w:tc>
          <w:tcPr>
            <w:tcW w:w="482" w:type="pct"/>
            <w:shd w:val="clear" w:color="auto" w:fill="auto"/>
            <w:vAlign w:val="center"/>
          </w:tcPr>
          <w:p w14:paraId="52FC5BC3">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36593AEE">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1836964D">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3,500.00</w:t>
            </w:r>
          </w:p>
        </w:tc>
        <w:tc>
          <w:tcPr>
            <w:tcW w:w="567" w:type="pct"/>
            <w:shd w:val="clear" w:color="auto" w:fill="auto"/>
            <w:vAlign w:val="center"/>
          </w:tcPr>
          <w:p w14:paraId="0130D9A6">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18,000.00</w:t>
            </w:r>
          </w:p>
        </w:tc>
        <w:tc>
          <w:tcPr>
            <w:tcW w:w="588" w:type="pct"/>
            <w:shd w:val="clear" w:color="auto" w:fill="auto"/>
            <w:vAlign w:val="center"/>
          </w:tcPr>
          <w:p w14:paraId="4A1A6855">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21,500.00</w:t>
            </w:r>
          </w:p>
        </w:tc>
      </w:tr>
      <w:tr w14:paraId="2FFD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shd w:val="clear" w:color="auto" w:fill="auto"/>
            <w:vAlign w:val="bottom"/>
          </w:tcPr>
          <w:p w14:paraId="7D9F327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新兴际华资产经营有限公司</w:t>
            </w:r>
          </w:p>
        </w:tc>
        <w:tc>
          <w:tcPr>
            <w:tcW w:w="724" w:type="pct"/>
            <w:shd w:val="clear" w:color="auto" w:fill="auto"/>
            <w:vAlign w:val="center"/>
          </w:tcPr>
          <w:p w14:paraId="5F5F2072">
            <w:pPr>
              <w:autoSpaceDE w:val="0"/>
              <w:autoSpaceDN w:val="0"/>
              <w:adjustRightInd w:val="0"/>
              <w:jc w:val="center"/>
              <w:rPr>
                <w:rFonts w:ascii="Arial Narrow" w:hAnsi="Arial Narrow" w:eastAsiaTheme="minorEastAsia"/>
                <w:color w:val="FFC000"/>
                <w:szCs w:val="21"/>
              </w:rPr>
            </w:pPr>
            <w:r>
              <w:rPr>
                <w:rFonts w:ascii="Arial Narrow" w:hAnsi="Arial Narrow" w:eastAsiaTheme="minorEastAsia"/>
                <w:color w:val="000000"/>
                <w:szCs w:val="21"/>
              </w:rPr>
              <w:t>母公司的全资子公司</w:t>
            </w:r>
          </w:p>
        </w:tc>
        <w:tc>
          <w:tcPr>
            <w:tcW w:w="562" w:type="pct"/>
            <w:shd w:val="clear" w:color="auto" w:fill="auto"/>
            <w:vAlign w:val="center"/>
          </w:tcPr>
          <w:p w14:paraId="5F6C97F1">
            <w:pPr>
              <w:autoSpaceDE w:val="0"/>
              <w:autoSpaceDN w:val="0"/>
              <w:adjustRightInd w:val="0"/>
              <w:ind w:right="84" w:rightChars="40"/>
              <w:jc w:val="right"/>
              <w:rPr>
                <w:rFonts w:ascii="Arial Narrow" w:hAnsi="Arial Narrow" w:eastAsiaTheme="minorEastAsia"/>
                <w:szCs w:val="21"/>
              </w:rPr>
            </w:pPr>
          </w:p>
        </w:tc>
        <w:tc>
          <w:tcPr>
            <w:tcW w:w="482" w:type="pct"/>
            <w:shd w:val="clear" w:color="auto" w:fill="auto"/>
            <w:vAlign w:val="center"/>
          </w:tcPr>
          <w:p w14:paraId="640DF348">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063AFF3B">
            <w:pPr>
              <w:autoSpaceDE w:val="0"/>
              <w:autoSpaceDN w:val="0"/>
              <w:adjustRightInd w:val="0"/>
              <w:ind w:right="84" w:rightChars="40"/>
              <w:jc w:val="right"/>
              <w:rPr>
                <w:rFonts w:ascii="Arial Narrow" w:hAnsi="Arial Narrow" w:eastAsiaTheme="minorEastAsia"/>
                <w:szCs w:val="21"/>
              </w:rPr>
            </w:pPr>
          </w:p>
        </w:tc>
        <w:tc>
          <w:tcPr>
            <w:tcW w:w="558" w:type="pct"/>
            <w:shd w:val="clear" w:color="auto" w:fill="auto"/>
            <w:vAlign w:val="center"/>
          </w:tcPr>
          <w:p w14:paraId="205E2765">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1,100.00</w:t>
            </w:r>
          </w:p>
        </w:tc>
        <w:tc>
          <w:tcPr>
            <w:tcW w:w="567" w:type="pct"/>
            <w:shd w:val="clear" w:color="auto" w:fill="auto"/>
            <w:vAlign w:val="center"/>
          </w:tcPr>
          <w:p w14:paraId="571A0091">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400.00</w:t>
            </w:r>
          </w:p>
        </w:tc>
        <w:tc>
          <w:tcPr>
            <w:tcW w:w="588" w:type="pct"/>
            <w:shd w:val="clear" w:color="auto" w:fill="auto"/>
            <w:vAlign w:val="center"/>
          </w:tcPr>
          <w:p w14:paraId="1B94A155">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1,500.00</w:t>
            </w:r>
          </w:p>
        </w:tc>
      </w:tr>
      <w:tr w14:paraId="7A56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84" w:type="pct"/>
            <w:gridSpan w:val="2"/>
            <w:shd w:val="clear" w:color="auto" w:fill="auto"/>
            <w:vAlign w:val="center"/>
          </w:tcPr>
          <w:p w14:paraId="3AA757D2">
            <w:pPr>
              <w:pStyle w:val="15"/>
              <w:autoSpaceDE w:val="0"/>
              <w:autoSpaceDN w:val="0"/>
              <w:adjustRightInd w:val="0"/>
              <w:jc w:val="center"/>
              <w:rPr>
                <w:rFonts w:ascii="Arial Narrow" w:hAnsi="Arial Narrow" w:eastAsiaTheme="minorEastAsia"/>
              </w:rPr>
            </w:pPr>
            <w:r>
              <w:rPr>
                <w:rFonts w:ascii="Arial Narrow" w:hAnsi="Arial Narrow" w:eastAsiaTheme="minorEastAsia"/>
              </w:rPr>
              <w:t>合计</w:t>
            </w:r>
          </w:p>
        </w:tc>
        <w:tc>
          <w:tcPr>
            <w:tcW w:w="562" w:type="pct"/>
            <w:tcBorders>
              <w:bottom w:val="nil"/>
            </w:tcBorders>
            <w:shd w:val="clear" w:color="auto" w:fill="auto"/>
          </w:tcPr>
          <w:p w14:paraId="40E0D4DA">
            <w:pPr>
              <w:autoSpaceDE w:val="0"/>
              <w:autoSpaceDN w:val="0"/>
              <w:adjustRightInd w:val="0"/>
              <w:ind w:right="84" w:rightChars="40"/>
              <w:jc w:val="right"/>
              <w:rPr>
                <w:rFonts w:ascii="Arial Narrow" w:hAnsi="Arial Narrow" w:eastAsiaTheme="minorEastAsia"/>
                <w:szCs w:val="21"/>
              </w:rPr>
            </w:pPr>
          </w:p>
        </w:tc>
        <w:tc>
          <w:tcPr>
            <w:tcW w:w="482" w:type="pct"/>
            <w:tcBorders>
              <w:bottom w:val="nil"/>
            </w:tcBorders>
            <w:shd w:val="clear" w:color="auto" w:fill="auto"/>
          </w:tcPr>
          <w:p w14:paraId="0C528691">
            <w:pPr>
              <w:autoSpaceDE w:val="0"/>
              <w:autoSpaceDN w:val="0"/>
              <w:adjustRightInd w:val="0"/>
              <w:ind w:right="84" w:rightChars="40"/>
              <w:jc w:val="right"/>
              <w:rPr>
                <w:rFonts w:ascii="Arial Narrow" w:hAnsi="Arial Narrow" w:eastAsiaTheme="minorEastAsia"/>
                <w:szCs w:val="21"/>
              </w:rPr>
            </w:pPr>
          </w:p>
        </w:tc>
        <w:tc>
          <w:tcPr>
            <w:tcW w:w="558" w:type="pct"/>
            <w:tcBorders>
              <w:bottom w:val="nil"/>
            </w:tcBorders>
            <w:shd w:val="clear" w:color="auto" w:fill="auto"/>
          </w:tcPr>
          <w:p w14:paraId="55011435">
            <w:pPr>
              <w:ind w:right="84" w:rightChars="40"/>
              <w:jc w:val="right"/>
              <w:rPr>
                <w:rFonts w:ascii="Arial Narrow" w:hAnsi="Arial Narrow" w:eastAsiaTheme="minorEastAsia"/>
                <w:szCs w:val="21"/>
              </w:rPr>
            </w:pPr>
          </w:p>
        </w:tc>
        <w:tc>
          <w:tcPr>
            <w:tcW w:w="558" w:type="pct"/>
            <w:tcBorders>
              <w:bottom w:val="nil"/>
            </w:tcBorders>
            <w:shd w:val="clear" w:color="auto" w:fill="auto"/>
            <w:vAlign w:val="center"/>
          </w:tcPr>
          <w:p w14:paraId="2571238D">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34,565.76</w:t>
            </w:r>
          </w:p>
        </w:tc>
        <w:tc>
          <w:tcPr>
            <w:tcW w:w="567" w:type="pct"/>
            <w:tcBorders>
              <w:bottom w:val="nil"/>
            </w:tcBorders>
            <w:shd w:val="clear" w:color="auto" w:fill="auto"/>
            <w:vAlign w:val="center"/>
          </w:tcPr>
          <w:p w14:paraId="006D9A17">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55,300.00</w:t>
            </w:r>
          </w:p>
        </w:tc>
        <w:tc>
          <w:tcPr>
            <w:tcW w:w="588" w:type="pct"/>
            <w:tcBorders>
              <w:bottom w:val="nil"/>
            </w:tcBorders>
            <w:shd w:val="clear" w:color="auto" w:fill="auto"/>
            <w:vAlign w:val="center"/>
          </w:tcPr>
          <w:p w14:paraId="07BD0ADF">
            <w:pPr>
              <w:autoSpaceDE w:val="0"/>
              <w:autoSpaceDN w:val="0"/>
              <w:adjustRightInd w:val="0"/>
              <w:ind w:right="84" w:rightChars="40"/>
              <w:jc w:val="center"/>
              <w:rPr>
                <w:rFonts w:ascii="Arial Narrow" w:hAnsi="Arial Narrow" w:eastAsiaTheme="minorEastAsia"/>
                <w:szCs w:val="21"/>
              </w:rPr>
            </w:pPr>
            <w:r>
              <w:rPr>
                <w:rFonts w:ascii="Arial Narrow" w:hAnsi="Arial Narrow" w:eastAsiaTheme="minorEastAsia"/>
                <w:color w:val="000000"/>
                <w:szCs w:val="21"/>
              </w:rPr>
              <w:t>89,865.76</w:t>
            </w:r>
          </w:p>
        </w:tc>
      </w:tr>
      <w:tr w14:paraId="07F3D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1684" w:type="pct"/>
            <w:gridSpan w:val="2"/>
            <w:tcBorders>
              <w:top w:val="single" w:color="auto" w:sz="4" w:space="0"/>
              <w:left w:val="single" w:color="auto" w:sz="4" w:space="0"/>
              <w:bottom w:val="single" w:color="auto" w:sz="4" w:space="0"/>
              <w:right w:val="single" w:color="auto" w:sz="4" w:space="0"/>
            </w:tcBorders>
            <w:shd w:val="clear" w:color="auto" w:fill="auto"/>
          </w:tcPr>
          <w:p w14:paraId="6F3A0087">
            <w:pPr>
              <w:autoSpaceDE w:val="0"/>
              <w:autoSpaceDN w:val="0"/>
              <w:adjustRightInd w:val="0"/>
              <w:rPr>
                <w:rFonts w:ascii="Arial Narrow" w:hAnsi="Arial Narrow" w:eastAsiaTheme="minorEastAsia"/>
                <w:szCs w:val="21"/>
              </w:rPr>
            </w:pPr>
            <w:r>
              <w:rPr>
                <w:rFonts w:ascii="Arial Narrow" w:hAnsi="Arial Narrow" w:eastAsiaTheme="minorEastAsia"/>
                <w:szCs w:val="21"/>
              </w:rPr>
              <w:t>关联债权债务形成原因</w:t>
            </w:r>
          </w:p>
        </w:tc>
        <w:tc>
          <w:tcPr>
            <w:tcW w:w="3316" w:type="pct"/>
            <w:gridSpan w:val="6"/>
            <w:tcBorders>
              <w:top w:val="single" w:color="auto" w:sz="4" w:space="0"/>
              <w:left w:val="single" w:color="auto" w:sz="4" w:space="0"/>
              <w:bottom w:val="single" w:color="auto" w:sz="4" w:space="0"/>
              <w:right w:val="single" w:color="auto" w:sz="4" w:space="0"/>
            </w:tcBorders>
            <w:shd w:val="clear" w:color="auto" w:fill="auto"/>
          </w:tcPr>
          <w:p w14:paraId="1F3323DF">
            <w:pPr>
              <w:rPr>
                <w:rFonts w:ascii="Arial Narrow" w:hAnsi="Arial Narrow" w:eastAsiaTheme="minorEastAsia"/>
                <w:szCs w:val="21"/>
              </w:rPr>
            </w:pPr>
            <w:r>
              <w:rPr>
                <w:rFonts w:ascii="Arial Narrow" w:hAnsi="Arial Narrow" w:eastAsiaTheme="minorEastAsia"/>
                <w:szCs w:val="21"/>
              </w:rPr>
              <w:t>公司子公司向少数股东或关联方拆入的生产经营借款；公司向母公司及财务公司取得</w:t>
            </w:r>
            <w:r>
              <w:rPr>
                <w:rFonts w:hint="eastAsia" w:ascii="Arial Narrow" w:hAnsi="Arial Narrow" w:eastAsiaTheme="minorEastAsia"/>
                <w:szCs w:val="21"/>
              </w:rPr>
              <w:t>借款</w:t>
            </w:r>
            <w:r>
              <w:rPr>
                <w:rFonts w:ascii="Arial Narrow" w:hAnsi="Arial Narrow" w:eastAsiaTheme="minorEastAsia"/>
                <w:szCs w:val="21"/>
              </w:rPr>
              <w:t>。</w:t>
            </w:r>
          </w:p>
        </w:tc>
      </w:tr>
      <w:tr w14:paraId="14A3D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1684" w:type="pct"/>
            <w:gridSpan w:val="2"/>
            <w:tcBorders>
              <w:top w:val="single" w:color="auto" w:sz="4" w:space="0"/>
              <w:left w:val="single" w:color="auto" w:sz="4" w:space="0"/>
              <w:bottom w:val="single" w:color="auto" w:sz="4" w:space="0"/>
              <w:right w:val="single" w:color="auto" w:sz="4" w:space="0"/>
            </w:tcBorders>
            <w:shd w:val="clear" w:color="auto" w:fill="auto"/>
          </w:tcPr>
          <w:p w14:paraId="30FE6653">
            <w:pPr>
              <w:autoSpaceDE w:val="0"/>
              <w:autoSpaceDN w:val="0"/>
              <w:adjustRightInd w:val="0"/>
              <w:rPr>
                <w:rFonts w:ascii="Arial Narrow" w:hAnsi="Arial Narrow" w:eastAsiaTheme="minorEastAsia"/>
                <w:szCs w:val="21"/>
              </w:rPr>
            </w:pPr>
            <w:r>
              <w:rPr>
                <w:rFonts w:ascii="Arial Narrow" w:hAnsi="Arial Narrow" w:eastAsiaTheme="minorEastAsia"/>
                <w:szCs w:val="21"/>
              </w:rPr>
              <w:t>关联债权债务对公司的影响</w:t>
            </w:r>
          </w:p>
        </w:tc>
        <w:tc>
          <w:tcPr>
            <w:tcW w:w="3316" w:type="pct"/>
            <w:gridSpan w:val="6"/>
            <w:tcBorders>
              <w:top w:val="single" w:color="auto" w:sz="4" w:space="0"/>
              <w:left w:val="single" w:color="auto" w:sz="4" w:space="0"/>
              <w:bottom w:val="single" w:color="auto" w:sz="4" w:space="0"/>
              <w:right w:val="single" w:color="auto" w:sz="4" w:space="0"/>
            </w:tcBorders>
            <w:shd w:val="clear" w:color="auto" w:fill="auto"/>
          </w:tcPr>
          <w:p w14:paraId="2AA84676">
            <w:pPr>
              <w:rPr>
                <w:rFonts w:ascii="Arial Narrow" w:hAnsi="Arial Narrow" w:eastAsiaTheme="minorEastAsia"/>
                <w:szCs w:val="21"/>
              </w:rPr>
            </w:pPr>
            <w:r>
              <w:rPr>
                <w:rFonts w:ascii="Arial Narrow" w:hAnsi="Arial Narrow" w:eastAsiaTheme="minorEastAsia"/>
                <w:szCs w:val="21"/>
              </w:rPr>
              <w:t>根据双方协议按期偿还</w:t>
            </w:r>
          </w:p>
        </w:tc>
      </w:tr>
    </w:tbl>
    <w:p w14:paraId="6D1D5EE3">
      <w:pPr>
        <w:rPr>
          <w:rFonts w:hint="eastAsia"/>
        </w:rPr>
      </w:pPr>
    </w:p>
    <w:p w14:paraId="0882B0B3">
      <w:pPr>
        <w:pStyle w:val="4"/>
        <w:numPr>
          <w:ilvl w:val="2"/>
          <w:numId w:val="5"/>
        </w:numPr>
        <w:rPr>
          <w:szCs w:val="21"/>
        </w:rPr>
      </w:pPr>
      <w:bookmarkStart w:id="116" w:name="_Hlk89953756"/>
      <w:bookmarkStart w:id="117" w:name="_Hlk89346519"/>
      <w:r>
        <w:rPr>
          <w:rFonts w:hint="eastAsia"/>
          <w:szCs w:val="21"/>
        </w:rPr>
        <w:t>公司与存在关联关系的财务公司、公司控股财务公司与关联方之间的金融业务</w:t>
      </w:r>
    </w:p>
    <w:sdt>
      <w:sdtPr>
        <w:rPr>
          <w:highlight w:val="yellow"/>
        </w:rPr>
        <w:alias w:val="是否适用：公司与存在关联关系的财务公司、公司控股财务公司与关联方之间的金融业务 [双击切换]"/>
        <w:tag w:val="_GBC_5a345568387542318c17a9fa2dcc2dbc"/>
        <w:id w:val="928308127"/>
        <w:placeholder>
          <w:docPart w:val="GBC22222222222222222222222222222"/>
        </w:placeholder>
      </w:sdtPr>
      <w:sdtEndPr>
        <w:rPr>
          <w:highlight w:val="yellow"/>
        </w:rPr>
      </w:sdtEndPr>
      <w:sdtContent>
        <w:p w14:paraId="5136C12C">
          <w:pPr>
            <w:rPr>
              <w:rFonts w:hint="eastAsia"/>
              <w:highlight w:val="yellow"/>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C9D9651">
      <w:pPr>
        <w:pStyle w:val="5"/>
        <w:numPr>
          <w:ilvl w:val="0"/>
          <w:numId w:val="60"/>
        </w:numPr>
        <w:ind w:left="425" w:hanging="425"/>
        <w:rPr>
          <w:rFonts w:hint="eastAsia" w:ascii="宋体" w:hAnsi="宋体"/>
        </w:rPr>
      </w:pPr>
      <w:r>
        <w:rPr>
          <w:rFonts w:hint="eastAsia" w:ascii="宋体" w:hAnsi="宋体"/>
        </w:rPr>
        <w:t>存款业务</w:t>
      </w:r>
    </w:p>
    <w:sdt>
      <w:sdtPr>
        <w:alias w:val="是否适用：存款业务[双击切换]"/>
        <w:tag w:val="_GBC_f91d5ba8911645af92109a1b977343e2"/>
        <w:id w:val="-1009513849"/>
        <w:placeholder>
          <w:docPart w:val="GBC22222222222222222222222222222"/>
        </w:placeholder>
      </w:sdtPr>
      <w:sdtContent>
        <w:p w14:paraId="049C796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E9D49D">
      <w:pPr>
        <w:jc w:val="right"/>
        <w:rPr>
          <w:rFonts w:hint="eastAsia"/>
          <w:szCs w:val="21"/>
        </w:rPr>
      </w:pPr>
      <w:r>
        <w:rPr>
          <w:rFonts w:hint="eastAsia"/>
          <w:szCs w:val="21"/>
        </w:rPr>
        <w:t>单位：</w:t>
      </w:r>
      <w:sdt>
        <w:sdtPr>
          <w:rPr>
            <w:rFonts w:hint="eastAsia"/>
            <w:szCs w:val="21"/>
          </w:rPr>
          <w:alias w:val="单位：存款业务情况"/>
          <w:tag w:val="_GBC_3c39941625c0404dacda9210d5f10426"/>
          <w:id w:val="78223984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存款业务情况"/>
          <w:tag w:val="_GBC_f9cda9c00cdf40b5a544fdcc0e086854"/>
          <w:id w:val="-15596206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128"/>
        <w:gridCol w:w="1119"/>
        <w:gridCol w:w="762"/>
        <w:gridCol w:w="1119"/>
        <w:gridCol w:w="1271"/>
        <w:gridCol w:w="1272"/>
        <w:gridCol w:w="1115"/>
      </w:tblGrid>
      <w:tr w14:paraId="2709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e6f8a0bf4fa44cc6a5830ca60560c631"/>
            <w:id w:val="-942224231"/>
          </w:sdtPr>
          <w:sdtEndPr>
            <w:rPr>
              <w:rFonts w:ascii="Arial Narrow" w:hAnsi="Arial Narrow" w:eastAsiaTheme="minorEastAsia"/>
              <w:szCs w:val="21"/>
            </w:rPr>
          </w:sdtEndPr>
          <w:sdtContent>
            <w:tc>
              <w:tcPr>
                <w:tcW w:w="588" w:type="pct"/>
                <w:vMerge w:val="restart"/>
                <w:shd w:val="clear" w:color="auto" w:fill="auto"/>
                <w:vAlign w:val="center"/>
              </w:tcPr>
              <w:p w14:paraId="028E3200">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关联方</w:t>
                </w:r>
              </w:p>
            </w:tc>
          </w:sdtContent>
        </w:sdt>
        <w:sdt>
          <w:sdtPr>
            <w:rPr>
              <w:rFonts w:ascii="Arial Narrow" w:hAnsi="Arial Narrow" w:eastAsiaTheme="minorEastAsia"/>
              <w:szCs w:val="21"/>
            </w:rPr>
            <w:tag w:val="_PLD_8aebf5d34bff4522b47150e7ac619932"/>
            <w:id w:val="-2105868153"/>
          </w:sdtPr>
          <w:sdtEndPr>
            <w:rPr>
              <w:rFonts w:ascii="Arial Narrow" w:hAnsi="Arial Narrow" w:eastAsiaTheme="minorEastAsia"/>
              <w:szCs w:val="21"/>
            </w:rPr>
          </w:sdtEndPr>
          <w:sdtContent>
            <w:tc>
              <w:tcPr>
                <w:tcW w:w="639" w:type="pct"/>
                <w:vMerge w:val="restart"/>
                <w:shd w:val="clear" w:color="auto" w:fill="auto"/>
                <w:vAlign w:val="center"/>
              </w:tcPr>
              <w:p w14:paraId="2420EEDD">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关联关系</w:t>
                </w:r>
              </w:p>
            </w:tc>
          </w:sdtContent>
        </w:sdt>
        <w:sdt>
          <w:sdtPr>
            <w:rPr>
              <w:rFonts w:ascii="Arial Narrow" w:hAnsi="Arial Narrow" w:eastAsiaTheme="minorEastAsia"/>
              <w:szCs w:val="21"/>
            </w:rPr>
            <w:tag w:val="_PLD_6926102d22164a98841f060797e60bdf"/>
            <w:id w:val="-1793277626"/>
          </w:sdtPr>
          <w:sdtEndPr>
            <w:rPr>
              <w:rFonts w:ascii="Arial Narrow" w:hAnsi="Arial Narrow" w:eastAsiaTheme="minorEastAsia"/>
              <w:szCs w:val="21"/>
            </w:rPr>
          </w:sdtEndPr>
          <w:sdtContent>
            <w:tc>
              <w:tcPr>
                <w:tcW w:w="634" w:type="pct"/>
                <w:vMerge w:val="restart"/>
                <w:shd w:val="clear" w:color="auto" w:fill="auto"/>
                <w:vAlign w:val="center"/>
              </w:tcPr>
              <w:p w14:paraId="1E785BFD">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每日最高存款限额</w:t>
                </w:r>
              </w:p>
            </w:tc>
          </w:sdtContent>
        </w:sdt>
        <w:sdt>
          <w:sdtPr>
            <w:rPr>
              <w:rFonts w:ascii="Arial Narrow" w:hAnsi="Arial Narrow" w:eastAsiaTheme="minorEastAsia"/>
              <w:szCs w:val="21"/>
            </w:rPr>
            <w:tag w:val="_PLD_35120e1d137a49a58b458aa55e4b9d03"/>
            <w:id w:val="308762136"/>
          </w:sdtPr>
          <w:sdtEndPr>
            <w:rPr>
              <w:rFonts w:ascii="Arial Narrow" w:hAnsi="Arial Narrow" w:eastAsiaTheme="minorEastAsia"/>
              <w:szCs w:val="21"/>
            </w:rPr>
          </w:sdtEndPr>
          <w:sdtContent>
            <w:tc>
              <w:tcPr>
                <w:tcW w:w="432" w:type="pct"/>
                <w:vMerge w:val="restart"/>
                <w:shd w:val="clear" w:color="auto" w:fill="auto"/>
                <w:vAlign w:val="center"/>
              </w:tcPr>
              <w:p w14:paraId="0A6DC497">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存款利率范围</w:t>
                </w:r>
              </w:p>
            </w:tc>
          </w:sdtContent>
        </w:sdt>
        <w:sdt>
          <w:sdtPr>
            <w:rPr>
              <w:rFonts w:ascii="Arial Narrow" w:hAnsi="Arial Narrow" w:eastAsiaTheme="minorEastAsia"/>
              <w:szCs w:val="21"/>
            </w:rPr>
            <w:tag w:val="_PLD_3f62fc64d6bc4210a25dd2bd7c73a3b2"/>
            <w:id w:val="717861111"/>
          </w:sdtPr>
          <w:sdtEndPr>
            <w:rPr>
              <w:rFonts w:ascii="Arial Narrow" w:hAnsi="Arial Narrow" w:eastAsiaTheme="minorEastAsia"/>
              <w:szCs w:val="21"/>
            </w:rPr>
          </w:sdtEndPr>
          <w:sdtContent>
            <w:tc>
              <w:tcPr>
                <w:tcW w:w="634" w:type="pct"/>
                <w:vMerge w:val="restart"/>
                <w:shd w:val="clear" w:color="auto" w:fill="auto"/>
                <w:vAlign w:val="center"/>
              </w:tcPr>
              <w:p w14:paraId="301B99DE">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2c020463045344b1a08898f249b93e22"/>
            <w:id w:val="1475949411"/>
          </w:sdtPr>
          <w:sdtEndPr>
            <w:rPr>
              <w:rFonts w:ascii="Arial Narrow" w:hAnsi="Arial Narrow" w:eastAsiaTheme="minorEastAsia"/>
              <w:szCs w:val="21"/>
            </w:rPr>
          </w:sdtEndPr>
          <w:sdtContent>
            <w:tc>
              <w:tcPr>
                <w:tcW w:w="1441" w:type="pct"/>
                <w:gridSpan w:val="2"/>
                <w:shd w:val="clear" w:color="auto" w:fill="auto"/>
                <w:vAlign w:val="center"/>
              </w:tcPr>
              <w:p w14:paraId="2DEA984A">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7256a341c00d4ea9bfda5df6a6c75070"/>
            <w:id w:val="-1366279241"/>
          </w:sdtPr>
          <w:sdtEndPr>
            <w:rPr>
              <w:rFonts w:ascii="Arial Narrow" w:hAnsi="Arial Narrow" w:eastAsiaTheme="minorEastAsia"/>
              <w:szCs w:val="21"/>
            </w:rPr>
          </w:sdtEndPr>
          <w:sdtContent>
            <w:tc>
              <w:tcPr>
                <w:tcW w:w="632" w:type="pct"/>
                <w:vMerge w:val="restart"/>
                <w:shd w:val="clear" w:color="auto" w:fill="auto"/>
                <w:vAlign w:val="center"/>
              </w:tcPr>
              <w:p w14:paraId="1BE12308">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4F3E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vMerge w:val="continue"/>
            <w:shd w:val="clear" w:color="auto" w:fill="auto"/>
            <w:vAlign w:val="center"/>
          </w:tcPr>
          <w:p w14:paraId="36CDAB70">
            <w:pPr>
              <w:widowControl w:val="0"/>
              <w:autoSpaceDE w:val="0"/>
              <w:autoSpaceDN w:val="0"/>
              <w:adjustRightInd w:val="0"/>
              <w:jc w:val="center"/>
              <w:rPr>
                <w:rFonts w:ascii="Arial Narrow" w:hAnsi="Arial Narrow" w:eastAsiaTheme="minorEastAsia"/>
                <w:szCs w:val="21"/>
              </w:rPr>
            </w:pPr>
          </w:p>
        </w:tc>
        <w:tc>
          <w:tcPr>
            <w:tcW w:w="639" w:type="pct"/>
            <w:vMerge w:val="continue"/>
            <w:shd w:val="clear" w:color="auto" w:fill="auto"/>
            <w:vAlign w:val="center"/>
          </w:tcPr>
          <w:p w14:paraId="0B36BFCF">
            <w:pPr>
              <w:widowControl w:val="0"/>
              <w:autoSpaceDE w:val="0"/>
              <w:autoSpaceDN w:val="0"/>
              <w:adjustRightInd w:val="0"/>
              <w:jc w:val="center"/>
              <w:rPr>
                <w:rFonts w:ascii="Arial Narrow" w:hAnsi="Arial Narrow" w:eastAsiaTheme="minorEastAsia"/>
                <w:szCs w:val="21"/>
              </w:rPr>
            </w:pPr>
          </w:p>
        </w:tc>
        <w:tc>
          <w:tcPr>
            <w:tcW w:w="634" w:type="pct"/>
            <w:vMerge w:val="continue"/>
            <w:shd w:val="clear" w:color="auto" w:fill="auto"/>
            <w:vAlign w:val="center"/>
          </w:tcPr>
          <w:p w14:paraId="4E690CB0">
            <w:pPr>
              <w:widowControl w:val="0"/>
              <w:autoSpaceDE w:val="0"/>
              <w:autoSpaceDN w:val="0"/>
              <w:adjustRightInd w:val="0"/>
              <w:jc w:val="center"/>
              <w:rPr>
                <w:rFonts w:ascii="Arial Narrow" w:hAnsi="Arial Narrow" w:eastAsiaTheme="minorEastAsia"/>
                <w:szCs w:val="21"/>
              </w:rPr>
            </w:pPr>
          </w:p>
        </w:tc>
        <w:tc>
          <w:tcPr>
            <w:tcW w:w="432" w:type="pct"/>
            <w:vMerge w:val="continue"/>
            <w:shd w:val="clear" w:color="auto" w:fill="auto"/>
            <w:vAlign w:val="center"/>
          </w:tcPr>
          <w:p w14:paraId="2F18A763">
            <w:pPr>
              <w:widowControl w:val="0"/>
              <w:autoSpaceDE w:val="0"/>
              <w:autoSpaceDN w:val="0"/>
              <w:adjustRightInd w:val="0"/>
              <w:jc w:val="center"/>
              <w:rPr>
                <w:rFonts w:ascii="Arial Narrow" w:hAnsi="Arial Narrow" w:eastAsiaTheme="minorEastAsia"/>
                <w:szCs w:val="21"/>
              </w:rPr>
            </w:pPr>
          </w:p>
        </w:tc>
        <w:tc>
          <w:tcPr>
            <w:tcW w:w="634" w:type="pct"/>
            <w:vMerge w:val="continue"/>
            <w:shd w:val="clear" w:color="auto" w:fill="auto"/>
            <w:vAlign w:val="center"/>
          </w:tcPr>
          <w:p w14:paraId="5FDA4692">
            <w:pPr>
              <w:widowControl w:val="0"/>
              <w:autoSpaceDE w:val="0"/>
              <w:autoSpaceDN w:val="0"/>
              <w:adjustRightInd w:val="0"/>
              <w:jc w:val="center"/>
              <w:rPr>
                <w:rFonts w:ascii="Arial Narrow" w:hAnsi="Arial Narrow" w:eastAsiaTheme="minorEastAsia"/>
                <w:szCs w:val="21"/>
              </w:rPr>
            </w:pPr>
          </w:p>
        </w:tc>
        <w:sdt>
          <w:sdtPr>
            <w:rPr>
              <w:rFonts w:ascii="Arial Narrow" w:hAnsi="Arial Narrow" w:eastAsiaTheme="minorEastAsia"/>
              <w:szCs w:val="21"/>
            </w:rPr>
            <w:tag w:val="_PLD_a7c089b9b9c848cda9c2d0d39ffd15d1"/>
            <w:id w:val="633985178"/>
          </w:sdtPr>
          <w:sdtEndPr>
            <w:rPr>
              <w:rFonts w:ascii="Arial Narrow" w:hAnsi="Arial Narrow" w:eastAsiaTheme="minorEastAsia"/>
              <w:szCs w:val="21"/>
            </w:rPr>
          </w:sdtEndPr>
          <w:sdtContent>
            <w:tc>
              <w:tcPr>
                <w:tcW w:w="720" w:type="pct"/>
                <w:shd w:val="clear" w:color="auto" w:fill="auto"/>
                <w:vAlign w:val="center"/>
              </w:tcPr>
              <w:p w14:paraId="53D2456D">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本期合计存入金额</w:t>
                </w:r>
              </w:p>
            </w:tc>
          </w:sdtContent>
        </w:sdt>
        <w:sdt>
          <w:sdtPr>
            <w:rPr>
              <w:rFonts w:ascii="Arial Narrow" w:hAnsi="Arial Narrow" w:eastAsiaTheme="minorEastAsia"/>
              <w:szCs w:val="21"/>
            </w:rPr>
            <w:tag w:val="_PLD_d5c42deb4e87457db7957c53e44d1d9b"/>
            <w:id w:val="-205104366"/>
          </w:sdtPr>
          <w:sdtEndPr>
            <w:rPr>
              <w:rFonts w:ascii="Arial Narrow" w:hAnsi="Arial Narrow" w:eastAsiaTheme="minorEastAsia"/>
              <w:szCs w:val="21"/>
            </w:rPr>
          </w:sdtEndPr>
          <w:sdtContent>
            <w:tc>
              <w:tcPr>
                <w:tcW w:w="721" w:type="pct"/>
              </w:tcPr>
              <w:p w14:paraId="44BE4023">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本期合计取出金额</w:t>
                </w:r>
              </w:p>
            </w:tc>
          </w:sdtContent>
        </w:sdt>
        <w:tc>
          <w:tcPr>
            <w:tcW w:w="632" w:type="pct"/>
            <w:vMerge w:val="continue"/>
            <w:shd w:val="clear" w:color="auto" w:fill="auto"/>
            <w:vAlign w:val="center"/>
          </w:tcPr>
          <w:p w14:paraId="51AF5AE0">
            <w:pPr>
              <w:widowControl w:val="0"/>
              <w:autoSpaceDE w:val="0"/>
              <w:autoSpaceDN w:val="0"/>
              <w:adjustRightInd w:val="0"/>
              <w:jc w:val="center"/>
              <w:rPr>
                <w:rFonts w:ascii="Arial Narrow" w:hAnsi="Arial Narrow" w:eastAsiaTheme="minorEastAsia"/>
                <w:szCs w:val="21"/>
              </w:rPr>
            </w:pPr>
          </w:p>
        </w:tc>
      </w:tr>
      <w:tr w14:paraId="34F1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shd w:val="clear" w:color="auto" w:fill="auto"/>
            <w:vAlign w:val="bottom"/>
          </w:tcPr>
          <w:p w14:paraId="1F5ABCFB">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color w:val="000000"/>
                <w:szCs w:val="21"/>
              </w:rPr>
              <w:t>新兴际华集团财务有限公司</w:t>
            </w:r>
          </w:p>
        </w:tc>
        <w:tc>
          <w:tcPr>
            <w:tcW w:w="639" w:type="pct"/>
            <w:shd w:val="clear" w:color="auto" w:fill="auto"/>
            <w:vAlign w:val="bottom"/>
          </w:tcPr>
          <w:p w14:paraId="77109CA8">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color w:val="000000"/>
                <w:szCs w:val="21"/>
              </w:rPr>
              <w:t>母公司的全资子公司</w:t>
            </w:r>
          </w:p>
        </w:tc>
        <w:tc>
          <w:tcPr>
            <w:tcW w:w="634" w:type="pct"/>
            <w:shd w:val="clear" w:color="auto" w:fill="auto"/>
            <w:vAlign w:val="center"/>
          </w:tcPr>
          <w:p w14:paraId="5356D111">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800,000.00</w:t>
            </w:r>
          </w:p>
        </w:tc>
        <w:tc>
          <w:tcPr>
            <w:tcW w:w="432" w:type="pct"/>
            <w:shd w:val="clear" w:color="auto" w:fill="auto"/>
            <w:vAlign w:val="center"/>
          </w:tcPr>
          <w:p w14:paraId="449F52B7">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0.35%-1.85%</w:t>
            </w:r>
          </w:p>
        </w:tc>
        <w:tc>
          <w:tcPr>
            <w:tcW w:w="634" w:type="pct"/>
            <w:shd w:val="clear" w:color="auto" w:fill="auto"/>
            <w:vAlign w:val="center"/>
          </w:tcPr>
          <w:p w14:paraId="2F3512A5">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348,587.79</w:t>
            </w:r>
          </w:p>
        </w:tc>
        <w:tc>
          <w:tcPr>
            <w:tcW w:w="720" w:type="pct"/>
            <w:shd w:val="clear" w:color="auto" w:fill="auto"/>
            <w:vAlign w:val="center"/>
          </w:tcPr>
          <w:p w14:paraId="22190774">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2,156,746.99</w:t>
            </w:r>
          </w:p>
        </w:tc>
        <w:tc>
          <w:tcPr>
            <w:tcW w:w="721" w:type="pct"/>
            <w:vAlign w:val="center"/>
          </w:tcPr>
          <w:p w14:paraId="353FB9DE">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2,170,161.11</w:t>
            </w:r>
          </w:p>
        </w:tc>
        <w:tc>
          <w:tcPr>
            <w:tcW w:w="632" w:type="pct"/>
            <w:shd w:val="clear" w:color="auto" w:fill="auto"/>
            <w:vAlign w:val="center"/>
          </w:tcPr>
          <w:p w14:paraId="68CA537C">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335,173.67</w:t>
            </w:r>
          </w:p>
        </w:tc>
      </w:tr>
      <w:tr w14:paraId="6B9C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pct"/>
            <w:shd w:val="clear" w:color="auto" w:fill="auto"/>
            <w:vAlign w:val="center"/>
          </w:tcPr>
          <w:p w14:paraId="760AB899">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639" w:type="pct"/>
            <w:shd w:val="clear" w:color="auto" w:fill="auto"/>
            <w:vAlign w:val="center"/>
          </w:tcPr>
          <w:p w14:paraId="1458AC3D">
            <w:pPr>
              <w:widowControl w:val="0"/>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w:t>
            </w:r>
          </w:p>
        </w:tc>
        <w:tc>
          <w:tcPr>
            <w:tcW w:w="634" w:type="pct"/>
            <w:shd w:val="clear" w:color="auto" w:fill="auto"/>
            <w:vAlign w:val="center"/>
          </w:tcPr>
          <w:p w14:paraId="28D44DF1">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szCs w:val="21"/>
              </w:rPr>
              <w:t>/</w:t>
            </w:r>
          </w:p>
        </w:tc>
        <w:tc>
          <w:tcPr>
            <w:tcW w:w="432" w:type="pct"/>
            <w:shd w:val="clear" w:color="auto" w:fill="auto"/>
            <w:vAlign w:val="center"/>
          </w:tcPr>
          <w:p w14:paraId="73BEEFB6">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szCs w:val="21"/>
              </w:rPr>
              <w:t>/</w:t>
            </w:r>
          </w:p>
        </w:tc>
        <w:tc>
          <w:tcPr>
            <w:tcW w:w="634" w:type="pct"/>
            <w:shd w:val="clear" w:color="auto" w:fill="auto"/>
            <w:vAlign w:val="center"/>
          </w:tcPr>
          <w:p w14:paraId="7EFF1F29">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348,587.79</w:t>
            </w:r>
          </w:p>
        </w:tc>
        <w:tc>
          <w:tcPr>
            <w:tcW w:w="720" w:type="pct"/>
            <w:shd w:val="clear" w:color="auto" w:fill="auto"/>
            <w:vAlign w:val="center"/>
          </w:tcPr>
          <w:p w14:paraId="1C5B6673">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2,156,746.99</w:t>
            </w:r>
          </w:p>
        </w:tc>
        <w:tc>
          <w:tcPr>
            <w:tcW w:w="721" w:type="pct"/>
            <w:vAlign w:val="center"/>
          </w:tcPr>
          <w:p w14:paraId="79761BAC">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2,170,161.11</w:t>
            </w:r>
          </w:p>
        </w:tc>
        <w:tc>
          <w:tcPr>
            <w:tcW w:w="632" w:type="pct"/>
            <w:shd w:val="clear" w:color="auto" w:fill="auto"/>
            <w:vAlign w:val="center"/>
          </w:tcPr>
          <w:p w14:paraId="431083C7">
            <w:pPr>
              <w:widowControl w:val="0"/>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335,173.67</w:t>
            </w:r>
          </w:p>
        </w:tc>
      </w:tr>
    </w:tbl>
    <w:p w14:paraId="66F02831">
      <w:pPr>
        <w:rPr>
          <w:rFonts w:hint="eastAsia"/>
          <w:szCs w:val="21"/>
        </w:rPr>
      </w:pPr>
    </w:p>
    <w:p w14:paraId="62C1BEF3">
      <w:pPr>
        <w:rPr>
          <w:rFonts w:hint="eastAsia"/>
          <w:szCs w:val="21"/>
        </w:rPr>
      </w:pPr>
    </w:p>
    <w:p w14:paraId="2D191988">
      <w:pPr>
        <w:rPr>
          <w:rFonts w:hint="eastAsia"/>
          <w:szCs w:val="21"/>
        </w:rPr>
      </w:pPr>
    </w:p>
    <w:p w14:paraId="77A7C583">
      <w:pPr>
        <w:rPr>
          <w:rFonts w:hint="eastAsia"/>
          <w:szCs w:val="21"/>
        </w:rPr>
      </w:pPr>
    </w:p>
    <w:p w14:paraId="14229505">
      <w:pPr>
        <w:rPr>
          <w:rFonts w:hint="eastAsia"/>
          <w:szCs w:val="21"/>
        </w:rPr>
      </w:pPr>
    </w:p>
    <w:p w14:paraId="701DD3F3">
      <w:pPr>
        <w:rPr>
          <w:rFonts w:hint="eastAsia"/>
          <w:szCs w:val="21"/>
        </w:rPr>
      </w:pPr>
    </w:p>
    <w:p w14:paraId="4A203784">
      <w:pPr>
        <w:rPr>
          <w:rFonts w:hint="eastAsia"/>
          <w:szCs w:val="21"/>
        </w:rPr>
      </w:pPr>
    </w:p>
    <w:p w14:paraId="55F9A514">
      <w:pPr>
        <w:rPr>
          <w:rFonts w:hint="eastAsia"/>
          <w:szCs w:val="21"/>
        </w:rPr>
      </w:pPr>
    </w:p>
    <w:p w14:paraId="2642C7BA">
      <w:pPr>
        <w:pStyle w:val="5"/>
        <w:numPr>
          <w:ilvl w:val="0"/>
          <w:numId w:val="60"/>
        </w:numPr>
        <w:ind w:left="425" w:hanging="425"/>
        <w:rPr>
          <w:rFonts w:hint="eastAsia" w:ascii="宋体" w:hAnsi="宋体"/>
        </w:rPr>
      </w:pPr>
      <w:r>
        <w:rPr>
          <w:rFonts w:hint="eastAsia" w:ascii="宋体" w:hAnsi="宋体"/>
        </w:rPr>
        <w:t>贷款业务</w:t>
      </w:r>
    </w:p>
    <w:sdt>
      <w:sdtPr>
        <w:alias w:val="是否适用：贷款业务[双击切换]"/>
        <w:tag w:val="_GBC_c6196556cf0343eb8e53770deb1ab020"/>
        <w:id w:val="699677145"/>
        <w:placeholder>
          <w:docPart w:val="GBC22222222222222222222222222222"/>
        </w:placeholder>
      </w:sdtPr>
      <w:sdtContent>
        <w:p w14:paraId="6AF501E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4582615">
      <w:pPr>
        <w:jc w:val="right"/>
        <w:rPr>
          <w:rFonts w:hint="eastAsia"/>
          <w:szCs w:val="21"/>
        </w:rPr>
      </w:pPr>
      <w:r>
        <w:rPr>
          <w:rFonts w:hint="eastAsia"/>
          <w:szCs w:val="21"/>
        </w:rPr>
        <w:t>单位：</w:t>
      </w:r>
      <w:sdt>
        <w:sdtPr>
          <w:rPr>
            <w:rFonts w:hint="eastAsia"/>
            <w:szCs w:val="21"/>
          </w:rPr>
          <w:alias w:val="单位：贷款业务情况"/>
          <w:tag w:val="_GBC_059b0d773c3540e0abdacc61557d8505"/>
          <w:id w:val="-165182269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贷款业务情况"/>
          <w:tag w:val="_GBC_5b5266ae817f40d4806dbf08530678d1"/>
          <w:id w:val="3193131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2"/>
        <w:gridCol w:w="1339"/>
        <w:gridCol w:w="1223"/>
        <w:gridCol w:w="866"/>
        <w:gridCol w:w="1016"/>
        <w:gridCol w:w="1062"/>
        <w:gridCol w:w="1082"/>
        <w:gridCol w:w="983"/>
      </w:tblGrid>
      <w:tr w14:paraId="74FD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0965e43d7c4fd298089615ced0e338"/>
            <w:id w:val="-1958705706"/>
          </w:sdtPr>
          <w:sdtContent>
            <w:tc>
              <w:tcPr>
                <w:tcW w:w="710" w:type="pct"/>
                <w:vMerge w:val="restart"/>
                <w:shd w:val="clear" w:color="auto" w:fill="auto"/>
                <w:vAlign w:val="center"/>
              </w:tcPr>
              <w:p w14:paraId="54B9E1FF">
                <w:pPr>
                  <w:widowControl w:val="0"/>
                  <w:autoSpaceDE w:val="0"/>
                  <w:autoSpaceDN w:val="0"/>
                  <w:adjustRightInd w:val="0"/>
                  <w:jc w:val="center"/>
                  <w:rPr>
                    <w:rFonts w:hint="eastAsia"/>
                    <w:szCs w:val="21"/>
                  </w:rPr>
                </w:pPr>
                <w:r>
                  <w:rPr>
                    <w:rFonts w:hint="eastAsia"/>
                    <w:szCs w:val="21"/>
                  </w:rPr>
                  <w:t>关联方</w:t>
                </w:r>
              </w:p>
            </w:tc>
          </w:sdtContent>
        </w:sdt>
        <w:sdt>
          <w:sdtPr>
            <w:tag w:val="_PLD_eac1c86765c94374a80d2720ad60bec4"/>
            <w:id w:val="-1273171276"/>
          </w:sdtPr>
          <w:sdtContent>
            <w:tc>
              <w:tcPr>
                <w:tcW w:w="759" w:type="pct"/>
                <w:vMerge w:val="restart"/>
                <w:shd w:val="clear" w:color="auto" w:fill="auto"/>
                <w:vAlign w:val="center"/>
              </w:tcPr>
              <w:p w14:paraId="7A1FE2D4">
                <w:pPr>
                  <w:widowControl w:val="0"/>
                  <w:autoSpaceDE w:val="0"/>
                  <w:autoSpaceDN w:val="0"/>
                  <w:adjustRightInd w:val="0"/>
                  <w:jc w:val="center"/>
                  <w:rPr>
                    <w:rFonts w:hint="eastAsia"/>
                    <w:szCs w:val="21"/>
                  </w:rPr>
                </w:pPr>
                <w:r>
                  <w:rPr>
                    <w:rFonts w:hint="eastAsia"/>
                    <w:szCs w:val="21"/>
                  </w:rPr>
                  <w:t>关联关系</w:t>
                </w:r>
              </w:p>
            </w:tc>
          </w:sdtContent>
        </w:sdt>
        <w:sdt>
          <w:sdtPr>
            <w:tag w:val="_PLD_a268114f151e4f0ab213565705be616c"/>
            <w:id w:val="1103068894"/>
          </w:sdtPr>
          <w:sdtContent>
            <w:tc>
              <w:tcPr>
                <w:tcW w:w="693" w:type="pct"/>
                <w:vMerge w:val="restart"/>
                <w:shd w:val="clear" w:color="auto" w:fill="auto"/>
                <w:vAlign w:val="center"/>
              </w:tcPr>
              <w:p w14:paraId="344DCE23">
                <w:pPr>
                  <w:widowControl w:val="0"/>
                  <w:autoSpaceDE w:val="0"/>
                  <w:autoSpaceDN w:val="0"/>
                  <w:adjustRightInd w:val="0"/>
                  <w:jc w:val="center"/>
                  <w:rPr>
                    <w:rFonts w:hint="eastAsia"/>
                    <w:szCs w:val="21"/>
                  </w:rPr>
                </w:pPr>
                <w:r>
                  <w:t>贷款额度</w:t>
                </w:r>
              </w:p>
            </w:tc>
          </w:sdtContent>
        </w:sdt>
        <w:sdt>
          <w:sdtPr>
            <w:tag w:val="_PLD_3132c7cff09d4f0aa6ead8932727bb98"/>
            <w:id w:val="1593201621"/>
          </w:sdtPr>
          <w:sdtContent>
            <w:tc>
              <w:tcPr>
                <w:tcW w:w="491" w:type="pct"/>
                <w:vMerge w:val="restart"/>
                <w:shd w:val="clear" w:color="auto" w:fill="auto"/>
                <w:vAlign w:val="center"/>
              </w:tcPr>
              <w:p w14:paraId="27E9D694">
                <w:pPr>
                  <w:widowControl w:val="0"/>
                  <w:autoSpaceDE w:val="0"/>
                  <w:autoSpaceDN w:val="0"/>
                  <w:adjustRightInd w:val="0"/>
                  <w:jc w:val="center"/>
                  <w:rPr>
                    <w:rFonts w:hint="eastAsia"/>
                    <w:szCs w:val="21"/>
                  </w:rPr>
                </w:pPr>
                <w:r>
                  <w:t>贷款利率范围</w:t>
                </w:r>
              </w:p>
            </w:tc>
          </w:sdtContent>
        </w:sdt>
        <w:sdt>
          <w:sdtPr>
            <w:tag w:val="_PLD_aafcde0121d84987a5a4dbade5f61506"/>
            <w:id w:val="1822149970"/>
          </w:sdtPr>
          <w:sdtContent>
            <w:tc>
              <w:tcPr>
                <w:tcW w:w="576" w:type="pct"/>
                <w:vMerge w:val="restart"/>
                <w:shd w:val="clear" w:color="auto" w:fill="auto"/>
                <w:vAlign w:val="center"/>
              </w:tcPr>
              <w:p w14:paraId="50D9B8A4">
                <w:pPr>
                  <w:widowControl w:val="0"/>
                  <w:autoSpaceDE w:val="0"/>
                  <w:autoSpaceDN w:val="0"/>
                  <w:adjustRightInd w:val="0"/>
                  <w:jc w:val="center"/>
                  <w:rPr>
                    <w:rFonts w:hint="eastAsia"/>
                    <w:szCs w:val="21"/>
                  </w:rPr>
                </w:pPr>
                <w:r>
                  <w:t>期初余额</w:t>
                </w:r>
              </w:p>
            </w:tc>
          </w:sdtContent>
        </w:sdt>
        <w:sdt>
          <w:sdtPr>
            <w:tag w:val="_PLD_b166840bc9fd4c459f0e2b8d5ffc812f"/>
            <w:id w:val="518121279"/>
          </w:sdtPr>
          <w:sdtContent>
            <w:tc>
              <w:tcPr>
                <w:tcW w:w="1215" w:type="pct"/>
                <w:gridSpan w:val="2"/>
                <w:shd w:val="clear" w:color="auto" w:fill="auto"/>
                <w:vAlign w:val="center"/>
              </w:tcPr>
              <w:p w14:paraId="4B8D535A">
                <w:pPr>
                  <w:widowControl w:val="0"/>
                  <w:autoSpaceDE w:val="0"/>
                  <w:autoSpaceDN w:val="0"/>
                  <w:adjustRightInd w:val="0"/>
                  <w:jc w:val="center"/>
                  <w:rPr>
                    <w:rFonts w:hint="eastAsia"/>
                  </w:rPr>
                </w:pPr>
                <w:r>
                  <w:t>本期发生额</w:t>
                </w:r>
              </w:p>
            </w:tc>
          </w:sdtContent>
        </w:sdt>
        <w:sdt>
          <w:sdtPr>
            <w:tag w:val="_PLD_8c8a0cecf8874d8e910b7f608531fd2a"/>
            <w:id w:val="-688529418"/>
          </w:sdtPr>
          <w:sdtContent>
            <w:tc>
              <w:tcPr>
                <w:tcW w:w="557" w:type="pct"/>
                <w:vMerge w:val="restart"/>
                <w:shd w:val="clear" w:color="auto" w:fill="auto"/>
                <w:vAlign w:val="center"/>
              </w:tcPr>
              <w:p w14:paraId="07C3937E">
                <w:pPr>
                  <w:widowControl w:val="0"/>
                  <w:autoSpaceDE w:val="0"/>
                  <w:autoSpaceDN w:val="0"/>
                  <w:adjustRightInd w:val="0"/>
                  <w:jc w:val="center"/>
                  <w:rPr>
                    <w:rFonts w:hint="eastAsia"/>
                    <w:szCs w:val="21"/>
                  </w:rPr>
                </w:pPr>
                <w:r>
                  <w:t>期末余额</w:t>
                </w:r>
              </w:p>
            </w:tc>
          </w:sdtContent>
        </w:sdt>
      </w:tr>
      <w:tr w14:paraId="000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Merge w:val="continue"/>
            <w:shd w:val="clear" w:color="auto" w:fill="auto"/>
            <w:vAlign w:val="center"/>
          </w:tcPr>
          <w:p w14:paraId="4ECE7467">
            <w:pPr>
              <w:widowControl w:val="0"/>
              <w:autoSpaceDE w:val="0"/>
              <w:autoSpaceDN w:val="0"/>
              <w:adjustRightInd w:val="0"/>
              <w:jc w:val="center"/>
              <w:rPr>
                <w:rFonts w:hint="eastAsia"/>
                <w:szCs w:val="21"/>
              </w:rPr>
            </w:pPr>
          </w:p>
        </w:tc>
        <w:tc>
          <w:tcPr>
            <w:tcW w:w="759" w:type="pct"/>
            <w:vMerge w:val="continue"/>
            <w:shd w:val="clear" w:color="auto" w:fill="auto"/>
            <w:vAlign w:val="center"/>
          </w:tcPr>
          <w:p w14:paraId="615482D6">
            <w:pPr>
              <w:widowControl w:val="0"/>
              <w:autoSpaceDE w:val="0"/>
              <w:autoSpaceDN w:val="0"/>
              <w:adjustRightInd w:val="0"/>
              <w:jc w:val="center"/>
              <w:rPr>
                <w:rFonts w:hint="eastAsia"/>
                <w:szCs w:val="21"/>
              </w:rPr>
            </w:pPr>
          </w:p>
        </w:tc>
        <w:tc>
          <w:tcPr>
            <w:tcW w:w="693" w:type="pct"/>
            <w:vMerge w:val="continue"/>
            <w:shd w:val="clear" w:color="auto" w:fill="auto"/>
            <w:vAlign w:val="center"/>
          </w:tcPr>
          <w:p w14:paraId="022C2968">
            <w:pPr>
              <w:widowControl w:val="0"/>
              <w:autoSpaceDE w:val="0"/>
              <w:autoSpaceDN w:val="0"/>
              <w:adjustRightInd w:val="0"/>
              <w:jc w:val="center"/>
              <w:rPr>
                <w:rFonts w:hint="eastAsia"/>
              </w:rPr>
            </w:pPr>
          </w:p>
        </w:tc>
        <w:tc>
          <w:tcPr>
            <w:tcW w:w="491" w:type="pct"/>
            <w:vMerge w:val="continue"/>
            <w:shd w:val="clear" w:color="auto" w:fill="auto"/>
            <w:vAlign w:val="center"/>
          </w:tcPr>
          <w:p w14:paraId="733D3034">
            <w:pPr>
              <w:widowControl w:val="0"/>
              <w:autoSpaceDE w:val="0"/>
              <w:autoSpaceDN w:val="0"/>
              <w:adjustRightInd w:val="0"/>
              <w:jc w:val="center"/>
              <w:rPr>
                <w:rFonts w:hint="eastAsia"/>
              </w:rPr>
            </w:pPr>
          </w:p>
        </w:tc>
        <w:tc>
          <w:tcPr>
            <w:tcW w:w="576" w:type="pct"/>
            <w:vMerge w:val="continue"/>
            <w:shd w:val="clear" w:color="auto" w:fill="auto"/>
            <w:vAlign w:val="center"/>
          </w:tcPr>
          <w:p w14:paraId="0D6F284B">
            <w:pPr>
              <w:widowControl w:val="0"/>
              <w:autoSpaceDE w:val="0"/>
              <w:autoSpaceDN w:val="0"/>
              <w:adjustRightInd w:val="0"/>
              <w:jc w:val="center"/>
              <w:rPr>
                <w:rFonts w:hint="eastAsia"/>
              </w:rPr>
            </w:pPr>
          </w:p>
        </w:tc>
        <w:sdt>
          <w:sdtPr>
            <w:tag w:val="_PLD_613437c37275454bac9cd4fef8554e83"/>
            <w:id w:val="972571317"/>
          </w:sdtPr>
          <w:sdtContent>
            <w:tc>
              <w:tcPr>
                <w:tcW w:w="602" w:type="pct"/>
                <w:shd w:val="clear" w:color="auto" w:fill="auto"/>
                <w:vAlign w:val="center"/>
              </w:tcPr>
              <w:p w14:paraId="7C6970ED">
                <w:pPr>
                  <w:widowControl w:val="0"/>
                  <w:autoSpaceDE w:val="0"/>
                  <w:autoSpaceDN w:val="0"/>
                  <w:adjustRightInd w:val="0"/>
                  <w:jc w:val="center"/>
                  <w:rPr>
                    <w:rFonts w:hint="eastAsia"/>
                  </w:rPr>
                </w:pPr>
                <w:r>
                  <w:rPr>
                    <w:rFonts w:hint="eastAsia"/>
                  </w:rPr>
                  <w:t>本期合计贷款金额</w:t>
                </w:r>
              </w:p>
            </w:tc>
          </w:sdtContent>
        </w:sdt>
        <w:sdt>
          <w:sdtPr>
            <w:tag w:val="_PLD_44007c6914b54d34922841d5153c0b52"/>
            <w:id w:val="1554200758"/>
          </w:sdtPr>
          <w:sdtContent>
            <w:tc>
              <w:tcPr>
                <w:tcW w:w="613" w:type="pct"/>
              </w:tcPr>
              <w:p w14:paraId="741E3053">
                <w:pPr>
                  <w:widowControl w:val="0"/>
                  <w:autoSpaceDE w:val="0"/>
                  <w:autoSpaceDN w:val="0"/>
                  <w:adjustRightInd w:val="0"/>
                  <w:jc w:val="center"/>
                  <w:rPr>
                    <w:rFonts w:hint="eastAsia"/>
                  </w:rPr>
                </w:pPr>
                <w:r>
                  <w:rPr>
                    <w:rFonts w:hint="eastAsia"/>
                  </w:rPr>
                  <w:t>本期合计还款金额</w:t>
                </w:r>
              </w:p>
            </w:tc>
          </w:sdtContent>
        </w:sdt>
        <w:tc>
          <w:tcPr>
            <w:tcW w:w="557" w:type="pct"/>
            <w:vMerge w:val="continue"/>
            <w:shd w:val="clear" w:color="auto" w:fill="auto"/>
            <w:vAlign w:val="center"/>
          </w:tcPr>
          <w:p w14:paraId="4530E6A6">
            <w:pPr>
              <w:widowControl w:val="0"/>
              <w:autoSpaceDE w:val="0"/>
              <w:autoSpaceDN w:val="0"/>
              <w:adjustRightInd w:val="0"/>
              <w:jc w:val="center"/>
              <w:rPr>
                <w:rFonts w:hint="eastAsia"/>
              </w:rPr>
            </w:pPr>
          </w:p>
        </w:tc>
      </w:tr>
      <w:tr w14:paraId="4440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shd w:val="clear" w:color="auto" w:fill="auto"/>
            <w:vAlign w:val="center"/>
          </w:tcPr>
          <w:p w14:paraId="18DA8203">
            <w:pPr>
              <w:widowControl w:val="0"/>
              <w:autoSpaceDE w:val="0"/>
              <w:autoSpaceDN w:val="0"/>
              <w:adjustRightInd w:val="0"/>
              <w:jc w:val="center"/>
              <w:rPr>
                <w:rFonts w:hint="eastAsia"/>
                <w:szCs w:val="21"/>
              </w:rPr>
            </w:pPr>
            <w:r>
              <w:rPr>
                <w:rFonts w:hint="eastAsia"/>
                <w:color w:val="000000"/>
                <w:szCs w:val="21"/>
              </w:rPr>
              <w:t>新兴际华集团财务有限公司</w:t>
            </w:r>
          </w:p>
        </w:tc>
        <w:tc>
          <w:tcPr>
            <w:tcW w:w="759" w:type="pct"/>
            <w:shd w:val="clear" w:color="auto" w:fill="auto"/>
            <w:vAlign w:val="center"/>
          </w:tcPr>
          <w:p w14:paraId="11BA704E">
            <w:pPr>
              <w:widowControl w:val="0"/>
              <w:autoSpaceDE w:val="0"/>
              <w:autoSpaceDN w:val="0"/>
              <w:adjustRightInd w:val="0"/>
              <w:jc w:val="center"/>
              <w:rPr>
                <w:rFonts w:hint="eastAsia"/>
                <w:szCs w:val="21"/>
              </w:rPr>
            </w:pPr>
            <w:r>
              <w:rPr>
                <w:rFonts w:hint="eastAsia"/>
                <w:color w:val="000000"/>
                <w:szCs w:val="21"/>
              </w:rPr>
              <w:t>母公司的全资子公司</w:t>
            </w:r>
          </w:p>
        </w:tc>
        <w:tc>
          <w:tcPr>
            <w:tcW w:w="693" w:type="pct"/>
            <w:shd w:val="clear" w:color="auto" w:fill="auto"/>
            <w:vAlign w:val="center"/>
          </w:tcPr>
          <w:p w14:paraId="38731ED8">
            <w:pPr>
              <w:widowControl w:val="0"/>
              <w:autoSpaceDE w:val="0"/>
              <w:autoSpaceDN w:val="0"/>
              <w:adjustRightInd w:val="0"/>
              <w:jc w:val="right"/>
              <w:rPr>
                <w:rFonts w:hint="eastAsia"/>
                <w:szCs w:val="21"/>
              </w:rPr>
            </w:pPr>
            <w:r>
              <w:rPr>
                <w:rFonts w:ascii="Arial Narrow" w:hAnsi="Arial Narrow" w:eastAsia="等线"/>
                <w:color w:val="000000"/>
                <w:szCs w:val="21"/>
              </w:rPr>
              <w:t>1,000,000.00</w:t>
            </w:r>
          </w:p>
        </w:tc>
        <w:tc>
          <w:tcPr>
            <w:tcW w:w="491" w:type="pct"/>
            <w:shd w:val="clear" w:color="auto" w:fill="auto"/>
            <w:vAlign w:val="center"/>
          </w:tcPr>
          <w:p w14:paraId="33732931">
            <w:pPr>
              <w:widowControl w:val="0"/>
              <w:autoSpaceDE w:val="0"/>
              <w:autoSpaceDN w:val="0"/>
              <w:adjustRightInd w:val="0"/>
              <w:jc w:val="right"/>
              <w:rPr>
                <w:rFonts w:hint="eastAsia"/>
                <w:szCs w:val="21"/>
              </w:rPr>
            </w:pPr>
            <w:r>
              <w:rPr>
                <w:rFonts w:ascii="Arial Narrow" w:hAnsi="Arial Narrow" w:eastAsia="等线"/>
                <w:color w:val="000000"/>
                <w:szCs w:val="21"/>
              </w:rPr>
              <w:t>2.2%-2.6%</w:t>
            </w:r>
          </w:p>
        </w:tc>
        <w:tc>
          <w:tcPr>
            <w:tcW w:w="576" w:type="pct"/>
            <w:shd w:val="clear" w:color="auto" w:fill="auto"/>
            <w:vAlign w:val="center"/>
          </w:tcPr>
          <w:p w14:paraId="64001391">
            <w:pPr>
              <w:widowControl w:val="0"/>
              <w:autoSpaceDE w:val="0"/>
              <w:autoSpaceDN w:val="0"/>
              <w:adjustRightInd w:val="0"/>
              <w:jc w:val="right"/>
              <w:rPr>
                <w:rFonts w:hint="eastAsia"/>
                <w:szCs w:val="21"/>
              </w:rPr>
            </w:pPr>
            <w:r>
              <w:rPr>
                <w:rFonts w:ascii="Arial Narrow" w:hAnsi="Arial Narrow" w:eastAsia="等线"/>
                <w:color w:val="000000"/>
                <w:szCs w:val="21"/>
              </w:rPr>
              <w:t>26,000.00</w:t>
            </w:r>
          </w:p>
        </w:tc>
        <w:tc>
          <w:tcPr>
            <w:tcW w:w="602" w:type="pct"/>
            <w:shd w:val="clear" w:color="auto" w:fill="auto"/>
            <w:vAlign w:val="center"/>
          </w:tcPr>
          <w:p w14:paraId="71FB888D">
            <w:pPr>
              <w:widowControl w:val="0"/>
              <w:autoSpaceDE w:val="0"/>
              <w:autoSpaceDN w:val="0"/>
              <w:adjustRightInd w:val="0"/>
              <w:jc w:val="right"/>
              <w:rPr>
                <w:rFonts w:hint="eastAsia"/>
                <w:szCs w:val="21"/>
              </w:rPr>
            </w:pPr>
            <w:r>
              <w:rPr>
                <w:rFonts w:ascii="Arial Narrow" w:hAnsi="Arial Narrow" w:eastAsia="等线"/>
                <w:color w:val="000000"/>
                <w:szCs w:val="21"/>
              </w:rPr>
              <w:t>62,000.00</w:t>
            </w:r>
          </w:p>
        </w:tc>
        <w:tc>
          <w:tcPr>
            <w:tcW w:w="613" w:type="pct"/>
            <w:vAlign w:val="center"/>
          </w:tcPr>
          <w:p w14:paraId="59B2721F">
            <w:pPr>
              <w:widowControl w:val="0"/>
              <w:autoSpaceDE w:val="0"/>
              <w:autoSpaceDN w:val="0"/>
              <w:adjustRightInd w:val="0"/>
              <w:jc w:val="right"/>
              <w:rPr>
                <w:rFonts w:hint="eastAsia"/>
                <w:szCs w:val="21"/>
              </w:rPr>
            </w:pPr>
            <w:r>
              <w:rPr>
                <w:rFonts w:ascii="Arial Narrow" w:hAnsi="Arial Narrow" w:eastAsia="等线"/>
                <w:color w:val="000000"/>
                <w:szCs w:val="21"/>
              </w:rPr>
              <w:t>25,100.00</w:t>
            </w:r>
          </w:p>
        </w:tc>
        <w:tc>
          <w:tcPr>
            <w:tcW w:w="557" w:type="pct"/>
            <w:shd w:val="clear" w:color="auto" w:fill="auto"/>
            <w:vAlign w:val="center"/>
          </w:tcPr>
          <w:p w14:paraId="2DD0F47E">
            <w:pPr>
              <w:widowControl w:val="0"/>
              <w:autoSpaceDE w:val="0"/>
              <w:autoSpaceDN w:val="0"/>
              <w:adjustRightInd w:val="0"/>
              <w:jc w:val="right"/>
              <w:rPr>
                <w:rFonts w:hint="eastAsia"/>
                <w:szCs w:val="21"/>
              </w:rPr>
            </w:pPr>
            <w:r>
              <w:rPr>
                <w:rFonts w:ascii="Arial Narrow" w:hAnsi="Arial Narrow" w:eastAsia="等线"/>
                <w:color w:val="000000"/>
                <w:szCs w:val="21"/>
              </w:rPr>
              <w:t>62,900.00</w:t>
            </w:r>
          </w:p>
        </w:tc>
      </w:tr>
      <w:tr w14:paraId="3DE1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shd w:val="clear" w:color="auto" w:fill="auto"/>
            <w:vAlign w:val="center"/>
          </w:tcPr>
          <w:p w14:paraId="250A1A56">
            <w:pPr>
              <w:widowControl w:val="0"/>
              <w:autoSpaceDE w:val="0"/>
              <w:autoSpaceDN w:val="0"/>
              <w:adjustRightInd w:val="0"/>
              <w:jc w:val="center"/>
              <w:rPr>
                <w:rFonts w:hint="eastAsia"/>
                <w:szCs w:val="21"/>
              </w:rPr>
            </w:pPr>
            <w:r>
              <w:rPr>
                <w:szCs w:val="21"/>
              </w:rPr>
              <w:t>合计</w:t>
            </w:r>
          </w:p>
        </w:tc>
        <w:tc>
          <w:tcPr>
            <w:tcW w:w="759" w:type="pct"/>
            <w:shd w:val="clear" w:color="auto" w:fill="auto"/>
            <w:vAlign w:val="center"/>
          </w:tcPr>
          <w:p w14:paraId="0FA11502">
            <w:pPr>
              <w:widowControl w:val="0"/>
              <w:autoSpaceDE w:val="0"/>
              <w:autoSpaceDN w:val="0"/>
              <w:adjustRightInd w:val="0"/>
              <w:jc w:val="center"/>
              <w:rPr>
                <w:rFonts w:hint="eastAsia"/>
                <w:szCs w:val="21"/>
              </w:rPr>
            </w:pPr>
            <w:r>
              <w:rPr>
                <w:rFonts w:hint="eastAsia"/>
                <w:szCs w:val="21"/>
              </w:rPr>
              <w:t>/</w:t>
            </w:r>
          </w:p>
        </w:tc>
        <w:tc>
          <w:tcPr>
            <w:tcW w:w="693" w:type="pct"/>
            <w:shd w:val="clear" w:color="auto" w:fill="auto"/>
            <w:vAlign w:val="center"/>
          </w:tcPr>
          <w:p w14:paraId="31AFB74F">
            <w:pPr>
              <w:widowControl w:val="0"/>
              <w:autoSpaceDE w:val="0"/>
              <w:autoSpaceDN w:val="0"/>
              <w:adjustRightInd w:val="0"/>
              <w:jc w:val="right"/>
              <w:rPr>
                <w:rFonts w:hint="eastAsia"/>
                <w:szCs w:val="21"/>
              </w:rPr>
            </w:pPr>
            <w:r>
              <w:rPr>
                <w:rFonts w:hint="eastAsia"/>
                <w:szCs w:val="21"/>
              </w:rPr>
              <w:t>/</w:t>
            </w:r>
          </w:p>
        </w:tc>
        <w:tc>
          <w:tcPr>
            <w:tcW w:w="491" w:type="pct"/>
            <w:shd w:val="clear" w:color="auto" w:fill="auto"/>
            <w:vAlign w:val="center"/>
          </w:tcPr>
          <w:p w14:paraId="3D181369">
            <w:pPr>
              <w:widowControl w:val="0"/>
              <w:autoSpaceDE w:val="0"/>
              <w:autoSpaceDN w:val="0"/>
              <w:adjustRightInd w:val="0"/>
              <w:jc w:val="right"/>
              <w:rPr>
                <w:rFonts w:hint="eastAsia"/>
                <w:szCs w:val="21"/>
              </w:rPr>
            </w:pPr>
            <w:r>
              <w:rPr>
                <w:rFonts w:hint="eastAsia"/>
                <w:szCs w:val="21"/>
              </w:rPr>
              <w:t>/</w:t>
            </w:r>
          </w:p>
        </w:tc>
        <w:tc>
          <w:tcPr>
            <w:tcW w:w="576" w:type="pct"/>
            <w:shd w:val="clear" w:color="auto" w:fill="auto"/>
            <w:vAlign w:val="center"/>
          </w:tcPr>
          <w:p w14:paraId="5FAD8872">
            <w:pPr>
              <w:widowControl w:val="0"/>
              <w:autoSpaceDE w:val="0"/>
              <w:autoSpaceDN w:val="0"/>
              <w:adjustRightInd w:val="0"/>
              <w:jc w:val="right"/>
              <w:rPr>
                <w:rFonts w:hint="eastAsia"/>
                <w:szCs w:val="21"/>
              </w:rPr>
            </w:pPr>
            <w:r>
              <w:rPr>
                <w:rFonts w:ascii="Arial Narrow" w:hAnsi="Arial Narrow" w:eastAsia="等线"/>
                <w:color w:val="000000"/>
                <w:szCs w:val="21"/>
              </w:rPr>
              <w:t>26,000.00</w:t>
            </w:r>
          </w:p>
        </w:tc>
        <w:tc>
          <w:tcPr>
            <w:tcW w:w="602" w:type="pct"/>
            <w:shd w:val="clear" w:color="auto" w:fill="auto"/>
            <w:vAlign w:val="center"/>
          </w:tcPr>
          <w:p w14:paraId="1F586D6F">
            <w:pPr>
              <w:widowControl w:val="0"/>
              <w:autoSpaceDE w:val="0"/>
              <w:autoSpaceDN w:val="0"/>
              <w:adjustRightInd w:val="0"/>
              <w:jc w:val="right"/>
              <w:rPr>
                <w:rFonts w:hint="eastAsia"/>
                <w:szCs w:val="21"/>
              </w:rPr>
            </w:pPr>
            <w:r>
              <w:rPr>
                <w:rFonts w:ascii="Arial Narrow" w:hAnsi="Arial Narrow" w:eastAsia="等线"/>
                <w:color w:val="000000"/>
                <w:szCs w:val="21"/>
              </w:rPr>
              <w:t>62,000.00</w:t>
            </w:r>
          </w:p>
        </w:tc>
        <w:tc>
          <w:tcPr>
            <w:tcW w:w="613" w:type="pct"/>
            <w:vAlign w:val="center"/>
          </w:tcPr>
          <w:p w14:paraId="1E6B0402">
            <w:pPr>
              <w:widowControl w:val="0"/>
              <w:autoSpaceDE w:val="0"/>
              <w:autoSpaceDN w:val="0"/>
              <w:adjustRightInd w:val="0"/>
              <w:jc w:val="right"/>
              <w:rPr>
                <w:rFonts w:hint="eastAsia"/>
                <w:szCs w:val="21"/>
              </w:rPr>
            </w:pPr>
            <w:r>
              <w:rPr>
                <w:rFonts w:ascii="Arial Narrow" w:hAnsi="Arial Narrow" w:eastAsia="等线"/>
                <w:color w:val="000000"/>
                <w:szCs w:val="21"/>
              </w:rPr>
              <w:t>25,100.00</w:t>
            </w:r>
          </w:p>
        </w:tc>
        <w:tc>
          <w:tcPr>
            <w:tcW w:w="557" w:type="pct"/>
            <w:shd w:val="clear" w:color="auto" w:fill="auto"/>
            <w:vAlign w:val="center"/>
          </w:tcPr>
          <w:p w14:paraId="0A857B8D">
            <w:pPr>
              <w:widowControl w:val="0"/>
              <w:autoSpaceDE w:val="0"/>
              <w:autoSpaceDN w:val="0"/>
              <w:adjustRightInd w:val="0"/>
              <w:jc w:val="right"/>
              <w:rPr>
                <w:rFonts w:hint="eastAsia"/>
                <w:szCs w:val="21"/>
              </w:rPr>
            </w:pPr>
            <w:r>
              <w:rPr>
                <w:rFonts w:ascii="Arial Narrow" w:hAnsi="Arial Narrow" w:eastAsia="等线"/>
                <w:color w:val="000000"/>
                <w:szCs w:val="21"/>
              </w:rPr>
              <w:t>62,900.00</w:t>
            </w:r>
          </w:p>
        </w:tc>
      </w:tr>
    </w:tbl>
    <w:p w14:paraId="0D27B6FE">
      <w:pPr>
        <w:rPr>
          <w:rFonts w:hint="eastAsia"/>
          <w:szCs w:val="21"/>
        </w:rPr>
      </w:pPr>
    </w:p>
    <w:p w14:paraId="47A3D47D">
      <w:pPr>
        <w:pStyle w:val="5"/>
        <w:numPr>
          <w:ilvl w:val="0"/>
          <w:numId w:val="60"/>
        </w:numPr>
        <w:ind w:left="425" w:hanging="425"/>
        <w:rPr>
          <w:rFonts w:hint="eastAsia" w:ascii="宋体" w:hAnsi="宋体"/>
        </w:rPr>
      </w:pPr>
      <w:bookmarkStart w:id="118" w:name="_Hlk41316014"/>
      <w:r>
        <w:rPr>
          <w:rFonts w:hint="eastAsia" w:ascii="宋体" w:hAnsi="宋体"/>
        </w:rPr>
        <w:t>授信业务或其他金融业务</w:t>
      </w:r>
    </w:p>
    <w:sdt>
      <w:sdtPr>
        <w:rPr>
          <w:rFonts w:hint="eastAsia"/>
          <w:szCs w:val="21"/>
        </w:rPr>
        <w:alias w:val="是否适用：授信业务或其他金融业务[双击切换]"/>
        <w:tag w:val="_GBC_2f9c3833f7e34ead9932532e40fbb1b9"/>
        <w:id w:val="9879115"/>
        <w:placeholder>
          <w:docPart w:val="GBC22222222222222222222222222222"/>
        </w:placeholder>
      </w:sdtPr>
      <w:sdtEndPr>
        <w:rPr>
          <w:rFonts w:hint="eastAsia"/>
          <w:szCs w:val="21"/>
        </w:rPr>
      </w:sdtEndPr>
      <w:sdtContent>
        <w:p w14:paraId="731B8B4F">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2BC55FB">
      <w:pPr>
        <w:jc w:val="right"/>
        <w:rPr>
          <w:rFonts w:hint="eastAsia"/>
          <w:szCs w:val="21"/>
        </w:rPr>
      </w:pPr>
      <w:r>
        <w:rPr>
          <w:rFonts w:hint="eastAsia"/>
          <w:szCs w:val="21"/>
        </w:rPr>
        <w:t>单位：</w:t>
      </w:r>
      <w:sdt>
        <w:sdtPr>
          <w:rPr>
            <w:rFonts w:hint="eastAsia"/>
            <w:szCs w:val="21"/>
          </w:rPr>
          <w:alias w:val="单位：授信业务或其他金融业务"/>
          <w:tag w:val="_GBC_bd084ea580fc4d9d9e4958d6be5b126d"/>
          <w:id w:val="-129089070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授信业务或其他金融业务"/>
          <w:tag w:val="_GBC_57fcdc4bec904580bf2207f3850b4bfc"/>
          <w:id w:val="-1802069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1935"/>
        <w:gridCol w:w="2236"/>
        <w:gridCol w:w="1394"/>
        <w:gridCol w:w="1620"/>
      </w:tblGrid>
      <w:tr w14:paraId="1A9F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a5529c13904408187ba2be3414cbaec"/>
            <w:id w:val="-1986688705"/>
          </w:sdtPr>
          <w:sdtContent>
            <w:tc>
              <w:tcPr>
                <w:tcW w:w="923" w:type="pct"/>
                <w:shd w:val="clear" w:color="auto" w:fill="auto"/>
                <w:vAlign w:val="center"/>
              </w:tcPr>
              <w:p w14:paraId="0E3B3077">
                <w:pPr>
                  <w:pStyle w:val="46"/>
                  <w:jc w:val="center"/>
                  <w:rPr>
                    <w:rFonts w:hint="eastAsia" w:ascii="宋体" w:hAnsi="宋体"/>
                    <w:szCs w:val="21"/>
                  </w:rPr>
                </w:pPr>
                <w:r>
                  <w:rPr>
                    <w:rFonts w:hint="eastAsia" w:ascii="宋体" w:hAnsi="宋体"/>
                    <w:szCs w:val="21"/>
                  </w:rPr>
                  <w:t>关联方</w:t>
                </w:r>
              </w:p>
            </w:tc>
          </w:sdtContent>
        </w:sdt>
        <w:sdt>
          <w:sdtPr>
            <w:tag w:val="_PLD_07e3bda8d1ae484d9c9d6729c395dea4"/>
            <w:id w:val="-1948391211"/>
          </w:sdtPr>
          <w:sdtContent>
            <w:tc>
              <w:tcPr>
                <w:tcW w:w="1098" w:type="pct"/>
                <w:shd w:val="clear" w:color="auto" w:fill="auto"/>
                <w:vAlign w:val="center"/>
              </w:tcPr>
              <w:p w14:paraId="0FBEF424">
                <w:pPr>
                  <w:pStyle w:val="46"/>
                  <w:jc w:val="center"/>
                  <w:rPr>
                    <w:rFonts w:hint="eastAsia" w:ascii="宋体" w:hAnsi="宋体"/>
                    <w:szCs w:val="21"/>
                  </w:rPr>
                </w:pPr>
                <w:r>
                  <w:rPr>
                    <w:rFonts w:hint="eastAsia" w:ascii="宋体" w:hAnsi="宋体"/>
                    <w:szCs w:val="21"/>
                  </w:rPr>
                  <w:t>关联关系</w:t>
                </w:r>
              </w:p>
            </w:tc>
          </w:sdtContent>
        </w:sdt>
        <w:sdt>
          <w:sdtPr>
            <w:tag w:val="_PLD_6646e1edc0584c58b833d3c8a2c0c141"/>
            <w:id w:val="-1470510235"/>
          </w:sdtPr>
          <w:sdtContent>
            <w:tc>
              <w:tcPr>
                <w:tcW w:w="1269" w:type="pct"/>
                <w:shd w:val="clear" w:color="auto" w:fill="auto"/>
                <w:vAlign w:val="center"/>
              </w:tcPr>
              <w:p w14:paraId="2BA8C852">
                <w:pPr>
                  <w:pStyle w:val="46"/>
                  <w:jc w:val="center"/>
                  <w:rPr>
                    <w:rFonts w:hint="eastAsia" w:ascii="宋体" w:hAnsi="宋体"/>
                    <w:szCs w:val="21"/>
                  </w:rPr>
                </w:pPr>
                <w:r>
                  <w:rPr>
                    <w:rFonts w:hint="eastAsia" w:ascii="宋体" w:hAnsi="宋体"/>
                    <w:szCs w:val="21"/>
                  </w:rPr>
                  <w:t>业务类型</w:t>
                </w:r>
              </w:p>
            </w:tc>
          </w:sdtContent>
        </w:sdt>
        <w:sdt>
          <w:sdtPr>
            <w:tag w:val="_PLD_4f2f5ad60a7546ccbfd337b0becc5f0e"/>
            <w:id w:val="1419137240"/>
          </w:sdtPr>
          <w:sdtContent>
            <w:tc>
              <w:tcPr>
                <w:tcW w:w="791" w:type="pct"/>
                <w:shd w:val="clear" w:color="auto" w:fill="auto"/>
                <w:vAlign w:val="center"/>
              </w:tcPr>
              <w:p w14:paraId="0519B0F5">
                <w:pPr>
                  <w:pStyle w:val="46"/>
                  <w:jc w:val="center"/>
                  <w:rPr>
                    <w:rFonts w:hint="eastAsia" w:ascii="宋体" w:hAnsi="宋体"/>
                    <w:szCs w:val="21"/>
                  </w:rPr>
                </w:pPr>
                <w:r>
                  <w:rPr>
                    <w:rFonts w:hint="eastAsia" w:ascii="宋体" w:hAnsi="宋体"/>
                    <w:szCs w:val="21"/>
                  </w:rPr>
                  <w:t>总额</w:t>
                </w:r>
              </w:p>
            </w:tc>
          </w:sdtContent>
        </w:sdt>
        <w:sdt>
          <w:sdtPr>
            <w:tag w:val="_PLD_e085245bbfaf447fa9513040555f64e9"/>
            <w:id w:val="-1186672290"/>
          </w:sdtPr>
          <w:sdtContent>
            <w:tc>
              <w:tcPr>
                <w:tcW w:w="919" w:type="pct"/>
                <w:shd w:val="clear" w:color="auto" w:fill="auto"/>
                <w:vAlign w:val="center"/>
              </w:tcPr>
              <w:p w14:paraId="45A65F33">
                <w:pPr>
                  <w:pStyle w:val="46"/>
                  <w:jc w:val="center"/>
                  <w:rPr>
                    <w:rFonts w:hint="eastAsia" w:ascii="宋体" w:hAnsi="宋体"/>
                    <w:szCs w:val="21"/>
                  </w:rPr>
                </w:pPr>
                <w:r>
                  <w:rPr>
                    <w:rFonts w:hint="eastAsia" w:ascii="宋体" w:hAnsi="宋体"/>
                    <w:szCs w:val="21"/>
                  </w:rPr>
                  <w:t>实际发生额</w:t>
                </w:r>
              </w:p>
            </w:tc>
          </w:sdtContent>
        </w:sdt>
      </w:tr>
      <w:tr w14:paraId="4FDD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shd w:val="clear" w:color="auto" w:fill="auto"/>
            <w:vAlign w:val="center"/>
          </w:tcPr>
          <w:p w14:paraId="6257758F">
            <w:pPr>
              <w:widowControl w:val="0"/>
              <w:autoSpaceDE w:val="0"/>
              <w:autoSpaceDN w:val="0"/>
              <w:adjustRightInd w:val="0"/>
              <w:rPr>
                <w:rFonts w:hint="eastAsia"/>
                <w:szCs w:val="21"/>
              </w:rPr>
            </w:pPr>
            <w:r>
              <w:rPr>
                <w:rFonts w:hint="eastAsia"/>
                <w:color w:val="000000"/>
                <w:szCs w:val="21"/>
              </w:rPr>
              <w:t>新兴际华集团财务有限公司</w:t>
            </w:r>
          </w:p>
        </w:tc>
        <w:tc>
          <w:tcPr>
            <w:tcW w:w="1098" w:type="pct"/>
            <w:shd w:val="clear" w:color="auto" w:fill="auto"/>
            <w:vAlign w:val="center"/>
          </w:tcPr>
          <w:p w14:paraId="5045D4C7">
            <w:pPr>
              <w:widowControl w:val="0"/>
              <w:autoSpaceDE w:val="0"/>
              <w:autoSpaceDN w:val="0"/>
              <w:adjustRightInd w:val="0"/>
              <w:rPr>
                <w:rFonts w:hint="eastAsia"/>
                <w:szCs w:val="21"/>
              </w:rPr>
            </w:pPr>
            <w:r>
              <w:rPr>
                <w:rFonts w:hint="eastAsia"/>
                <w:color w:val="000000"/>
                <w:szCs w:val="21"/>
              </w:rPr>
              <w:t>母公司的全资子公司</w:t>
            </w:r>
          </w:p>
        </w:tc>
        <w:tc>
          <w:tcPr>
            <w:tcW w:w="1269" w:type="pct"/>
            <w:shd w:val="clear" w:color="auto" w:fill="auto"/>
            <w:vAlign w:val="center"/>
          </w:tcPr>
          <w:p w14:paraId="2200AA5D">
            <w:pPr>
              <w:widowControl w:val="0"/>
              <w:autoSpaceDE w:val="0"/>
              <w:autoSpaceDN w:val="0"/>
              <w:adjustRightInd w:val="0"/>
              <w:rPr>
                <w:rFonts w:hint="eastAsia"/>
                <w:szCs w:val="21"/>
              </w:rPr>
            </w:pPr>
            <w:r>
              <w:rPr>
                <w:rFonts w:hint="eastAsia"/>
                <w:color w:val="000000"/>
                <w:szCs w:val="21"/>
              </w:rPr>
              <w:t>用于贷款、票据承兑与贴现、担保及其他形式的资金融通业务</w:t>
            </w:r>
          </w:p>
        </w:tc>
        <w:tc>
          <w:tcPr>
            <w:tcW w:w="791" w:type="pct"/>
            <w:shd w:val="clear" w:color="auto" w:fill="auto"/>
            <w:vAlign w:val="center"/>
          </w:tcPr>
          <w:p w14:paraId="0E9483FC">
            <w:pPr>
              <w:widowControl w:val="0"/>
              <w:autoSpaceDE w:val="0"/>
              <w:autoSpaceDN w:val="0"/>
              <w:adjustRightInd w:val="0"/>
              <w:jc w:val="right"/>
              <w:rPr>
                <w:rFonts w:hint="eastAsia"/>
                <w:szCs w:val="21"/>
              </w:rPr>
            </w:pPr>
            <w:r>
              <w:rPr>
                <w:rFonts w:ascii="Arial Narrow" w:hAnsi="Arial Narrow" w:eastAsia="等线"/>
                <w:color w:val="000000"/>
                <w:szCs w:val="21"/>
              </w:rPr>
              <w:t>350,000.00</w:t>
            </w:r>
          </w:p>
        </w:tc>
        <w:tc>
          <w:tcPr>
            <w:tcW w:w="919" w:type="pct"/>
            <w:shd w:val="clear" w:color="auto" w:fill="auto"/>
            <w:vAlign w:val="center"/>
          </w:tcPr>
          <w:p w14:paraId="729817FC">
            <w:pPr>
              <w:widowControl w:val="0"/>
              <w:autoSpaceDE w:val="0"/>
              <w:autoSpaceDN w:val="0"/>
              <w:adjustRightInd w:val="0"/>
              <w:jc w:val="right"/>
              <w:rPr>
                <w:rFonts w:hint="eastAsia"/>
                <w:szCs w:val="21"/>
              </w:rPr>
            </w:pPr>
            <w:r>
              <w:rPr>
                <w:rFonts w:ascii="Arial Narrow" w:hAnsi="Arial Narrow" w:eastAsia="等线"/>
                <w:color w:val="000000"/>
                <w:szCs w:val="21"/>
              </w:rPr>
              <w:t>78,908.66</w:t>
            </w:r>
          </w:p>
        </w:tc>
      </w:tr>
    </w:tbl>
    <w:p w14:paraId="197CC868">
      <w:pPr>
        <w:rPr>
          <w:rFonts w:hint="eastAsia"/>
          <w:szCs w:val="21"/>
        </w:rPr>
      </w:pPr>
    </w:p>
    <w:bookmarkEnd w:id="118"/>
    <w:p w14:paraId="632102F0">
      <w:pPr>
        <w:pStyle w:val="5"/>
        <w:numPr>
          <w:ilvl w:val="0"/>
          <w:numId w:val="60"/>
        </w:numPr>
        <w:ind w:left="425" w:hanging="425"/>
        <w:rPr>
          <w:rFonts w:hint="eastAsia" w:ascii="宋体" w:hAnsi="宋体"/>
        </w:rPr>
      </w:pPr>
      <w:bookmarkStart w:id="119" w:name="_Hlk41316022"/>
      <w:r>
        <w:rPr>
          <w:rFonts w:hint="eastAsia" w:ascii="宋体" w:hAnsi="宋体"/>
        </w:rPr>
        <w:t>其他说明</w:t>
      </w:r>
    </w:p>
    <w:sdt>
      <w:sdtPr>
        <w:rPr>
          <w:color w:val="000000" w:themeColor="text1"/>
          <w:szCs w:val="21"/>
          <w14:textFill>
            <w14:solidFill>
              <w14:schemeClr w14:val="tx1"/>
            </w14:solidFill>
          </w14:textFill>
        </w:rPr>
        <w:alias w:val="是否适用：公司与存在关联关系的财务公司、公司控股财务公司与关联方之间的金融业务的其他说明[双击切换]"/>
        <w:tag w:val="_GBC_ff93404f5d40495f9fc89732d74edc89"/>
        <w:id w:val="1760181868"/>
        <w:placeholder>
          <w:docPart w:val="GBC22222222222222222222222222222"/>
        </w:placeholder>
      </w:sdtPr>
      <w:sdtEndPr>
        <w:rPr>
          <w:color w:val="000000" w:themeColor="text1"/>
          <w:szCs w:val="21"/>
          <w14:textFill>
            <w14:solidFill>
              <w14:schemeClr w14:val="tx1"/>
            </w14:solidFill>
          </w14:textFill>
        </w:rPr>
      </w:sdtEndPr>
      <w:sdtContent>
        <w:p w14:paraId="6FF751E3">
          <w:pPr>
            <w:rPr>
              <w:rFonts w:hint="eastAsia"/>
              <w:color w:val="000000" w:themeColor="text1"/>
              <w:szCs w:val="21"/>
              <w14:textFill>
                <w14:solidFill>
                  <w14:schemeClr w14:val="tx1"/>
                </w14:solidFill>
              </w14:textFill>
            </w:rPr>
          </w:pPr>
          <w:r>
            <w:rPr>
              <w:color w:val="000000" w:themeColor="text1"/>
              <w:szCs w:val="21"/>
              <w14:textFill>
                <w14:solidFill>
                  <w14:schemeClr w14:val="tx1"/>
                </w14:solidFill>
              </w14:textFill>
            </w:rPr>
            <w:fldChar w:fldCharType="begin"/>
          </w:r>
          <w:r>
            <w:rPr>
              <w:rFonts w:hint="eastAsia"/>
              <w:color w:val="000000" w:themeColor="text1"/>
              <w:szCs w:val="21"/>
              <w14:textFill>
                <w14:solidFill>
                  <w14:schemeClr w14:val="tx1"/>
                </w14:solidFill>
              </w14:textFill>
            </w:rPr>
            <w:instrText xml:space="preserve"> MACROBUTTON  SnrToggleCheckbox □适用 </w:instrText>
          </w:r>
          <w:r>
            <w:rPr>
              <w:color w:val="000000" w:themeColor="text1"/>
              <w:szCs w:val="21"/>
              <w14:textFill>
                <w14:solidFill>
                  <w14:schemeClr w14:val="tx1"/>
                </w14:solidFill>
              </w14:textFill>
            </w:rPr>
            <w:fldChar w:fldCharType="end"/>
          </w:r>
          <w:r>
            <w:rPr>
              <w:color w:val="000000" w:themeColor="text1"/>
              <w:szCs w:val="21"/>
              <w14:textFill>
                <w14:solidFill>
                  <w14:schemeClr w14:val="tx1"/>
                </w14:solidFill>
              </w14:textFill>
            </w:rPr>
            <w:fldChar w:fldCharType="begin"/>
          </w:r>
          <w:r>
            <w:rPr>
              <w:rFonts w:hint="eastAsia"/>
              <w:color w:val="000000" w:themeColor="text1"/>
              <w:szCs w:val="21"/>
              <w14:textFill>
                <w14:solidFill>
                  <w14:schemeClr w14:val="tx1"/>
                </w14:solidFill>
              </w14:textFill>
            </w:rPr>
            <w:instrText xml:space="preserve"> MACROBUTTON  SnrToggleCheckbox √不适用 </w:instrText>
          </w:r>
          <w:r>
            <w:rPr>
              <w:color w:val="000000" w:themeColor="text1"/>
              <w:szCs w:val="21"/>
              <w14:textFill>
                <w14:solidFill>
                  <w14:schemeClr w14:val="tx1"/>
                </w14:solidFill>
              </w14:textFill>
            </w:rPr>
            <w:fldChar w:fldCharType="end"/>
          </w:r>
        </w:p>
      </w:sdtContent>
    </w:sdt>
    <w:p w14:paraId="7E0D71BD">
      <w:pPr>
        <w:rPr>
          <w:rFonts w:hint="eastAsia"/>
          <w:color w:val="000000" w:themeColor="text1"/>
          <w:szCs w:val="21"/>
          <w14:textFill>
            <w14:solidFill>
              <w14:schemeClr w14:val="tx1"/>
            </w14:solidFill>
          </w14:textFill>
        </w:rPr>
      </w:pPr>
    </w:p>
    <w:bookmarkEnd w:id="116"/>
    <w:bookmarkEnd w:id="117"/>
    <w:bookmarkEnd w:id="119"/>
    <w:p w14:paraId="64D15EA9">
      <w:pPr>
        <w:pStyle w:val="4"/>
        <w:numPr>
          <w:ilvl w:val="2"/>
          <w:numId w:val="5"/>
        </w:numPr>
        <w:rPr>
          <w:szCs w:val="21"/>
        </w:rPr>
      </w:pPr>
      <w:r>
        <w:rPr>
          <w:rFonts w:hint="eastAsia"/>
          <w:szCs w:val="21"/>
        </w:rPr>
        <w:t>其他</w:t>
      </w:r>
    </w:p>
    <w:sdt>
      <w:sdtPr>
        <w:rPr>
          <w:rFonts w:hint="eastAsia" w:asciiTheme="minorEastAsia" w:hAnsiTheme="minorEastAsia" w:eastAsiaTheme="minorEastAsia"/>
          <w:szCs w:val="21"/>
        </w:rPr>
        <w:alias w:val="是否适用：重大关联交易其他说明[双击切换]"/>
        <w:tag w:val="_GBC_49b04883b7a84a83b6a8bfec05cbb445"/>
        <w:id w:val="137460866"/>
        <w:placeholder>
          <w:docPart w:val="GBC22222222222222222222222222222"/>
        </w:placeholder>
      </w:sdtPr>
      <w:sdtEndPr>
        <w:rPr>
          <w:rFonts w:hint="eastAsia" w:asciiTheme="minorEastAsia" w:hAnsiTheme="minorEastAsia" w:eastAsiaTheme="minorEastAsia"/>
          <w:szCs w:val="21"/>
        </w:rPr>
      </w:sdtEndPr>
      <w:sdtContent>
        <w:p w14:paraId="047E3C0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F4DCDEB">
      <w:pPr>
        <w:rPr>
          <w:rFonts w:hint="eastAsia"/>
          <w:szCs w:val="21"/>
        </w:rPr>
        <w:sectPr>
          <w:pgSz w:w="11906" w:h="16838"/>
          <w:pgMar w:top="1525" w:right="1276" w:bottom="1440" w:left="1797" w:header="855" w:footer="992" w:gutter="0"/>
          <w:cols w:space="425" w:num="1"/>
          <w:docGrid w:linePitch="312" w:charSpace="0"/>
        </w:sectPr>
      </w:pPr>
    </w:p>
    <w:p w14:paraId="79D1298F">
      <w:pPr>
        <w:rPr>
          <w:rFonts w:hint="eastAsia"/>
          <w:szCs w:val="21"/>
        </w:rPr>
      </w:pPr>
    </w:p>
    <w:p w14:paraId="6834576C">
      <w:pPr>
        <w:pStyle w:val="3"/>
        <w:numPr>
          <w:ilvl w:val="0"/>
          <w:numId w:val="51"/>
        </w:numPr>
      </w:pPr>
      <w:r>
        <w:rPr>
          <w:rFonts w:hint="eastAsia"/>
        </w:rPr>
        <w:t>重大合同及其履行情况</w:t>
      </w:r>
    </w:p>
    <w:p w14:paraId="3B0AA978">
      <w:pPr>
        <w:pStyle w:val="4"/>
        <w:numPr>
          <w:ilvl w:val="0"/>
          <w:numId w:val="61"/>
        </w:numPr>
        <w:rPr>
          <w:szCs w:val="21"/>
        </w:rPr>
      </w:pPr>
      <w:r>
        <w:rPr>
          <w:szCs w:val="21"/>
        </w:rPr>
        <w:t>托管、承包、租赁事项</w:t>
      </w:r>
    </w:p>
    <w:p w14:paraId="481A28F3">
      <w:pPr>
        <w:pStyle w:val="5"/>
        <w:numPr>
          <w:ilvl w:val="0"/>
          <w:numId w:val="62"/>
        </w:numPr>
        <w:rPr>
          <w:rFonts w:hint="eastAsia"/>
        </w:rPr>
      </w:pPr>
      <w:r>
        <w:rPr>
          <w:rFonts w:hint="eastAsia"/>
        </w:rPr>
        <w:t>托管情况</w:t>
      </w:r>
    </w:p>
    <w:sdt>
      <w:sdtPr>
        <w:alias w:val="是否适用：托管情况[双击切换]"/>
        <w:tag w:val="_GBC_f528f5eedb9346f6b0fbdbe3967882e7"/>
        <w:id w:val="-1639337867"/>
      </w:sdtPr>
      <w:sdtContent>
        <w:p w14:paraId="2EA1CBD1">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1014ED17">
      <w:pPr>
        <w:wordWrap w:val="0"/>
        <w:ind w:left="239" w:leftChars="114" w:firstLine="5325" w:firstLineChars="2536"/>
        <w:jc w:val="right"/>
        <w:rPr>
          <w:rFonts w:hint="eastAsia"/>
          <w:bCs/>
          <w:szCs w:val="21"/>
        </w:rPr>
      </w:pPr>
      <w:r>
        <w:rPr>
          <w:rFonts w:hint="eastAsia"/>
          <w:szCs w:val="21"/>
        </w:rPr>
        <w:t>单位</w:t>
      </w:r>
      <w:r>
        <w:rPr>
          <w:szCs w:val="21"/>
        </w:rPr>
        <w:t>：</w:t>
      </w:r>
      <w:sdt>
        <w:sdtPr>
          <w:rPr>
            <w:szCs w:val="21"/>
          </w:rPr>
          <w:alias w:val="单位：托管情况"/>
          <w:tag w:val="_GBC_25a542f61ae44a9f8a1196d9adf4f10f"/>
          <w:id w:val="-921100122"/>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rFonts w:hint="eastAsia"/>
          <w:szCs w:val="21"/>
        </w:rPr>
        <w:t xml:space="preserve">  币种</w:t>
      </w:r>
      <w:r>
        <w:rPr>
          <w:szCs w:val="21"/>
        </w:rPr>
        <w:t>：</w:t>
      </w:r>
      <w:sdt>
        <w:sdtPr>
          <w:rPr>
            <w:szCs w:val="21"/>
          </w:rPr>
          <w:alias w:val="币种：托管情况"/>
          <w:tag w:val="_GBC_bd12db807af34a7cbf52e2f9aa72e2dc"/>
          <w:id w:val="-104490685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58"/>
        <w:gridCol w:w="1148"/>
        <w:gridCol w:w="1841"/>
        <w:gridCol w:w="1417"/>
        <w:gridCol w:w="1134"/>
        <w:gridCol w:w="1278"/>
        <w:gridCol w:w="851"/>
        <w:gridCol w:w="1558"/>
        <w:gridCol w:w="1134"/>
        <w:gridCol w:w="982"/>
        <w:gridCol w:w="1262"/>
      </w:tblGrid>
      <w:tr w14:paraId="541D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ascii="Arial Narrow" w:hAnsi="Arial Narrow"/>
            </w:rPr>
            <w:tag w:val="_PLD_76bebe1109a2440680ffc1d30e413a30"/>
            <w:id w:val="1049042326"/>
          </w:sdtPr>
          <w:sdtEndPr>
            <w:rPr>
              <w:rFonts w:ascii="Arial Narrow" w:hAnsi="Arial Narrow"/>
            </w:rPr>
          </w:sdtEndPr>
          <w:sdtContent>
            <w:tc>
              <w:tcPr>
                <w:tcW w:w="454" w:type="pct"/>
                <w:shd w:val="clear" w:color="auto" w:fill="auto"/>
                <w:vAlign w:val="center"/>
              </w:tcPr>
              <w:p w14:paraId="0DD84EDF">
                <w:pPr>
                  <w:autoSpaceDE w:val="0"/>
                  <w:autoSpaceDN w:val="0"/>
                  <w:adjustRightInd w:val="0"/>
                  <w:jc w:val="center"/>
                  <w:rPr>
                    <w:rFonts w:ascii="Arial Narrow" w:hAnsi="Arial Narrow"/>
                    <w:szCs w:val="21"/>
                  </w:rPr>
                </w:pPr>
                <w:r>
                  <w:rPr>
                    <w:rFonts w:ascii="Arial Narrow" w:hAnsi="Arial Narrow"/>
                    <w:szCs w:val="21"/>
                  </w:rPr>
                  <w:t>委托方名称</w:t>
                </w:r>
              </w:p>
            </w:tc>
          </w:sdtContent>
        </w:sdt>
        <w:sdt>
          <w:sdtPr>
            <w:rPr>
              <w:rFonts w:ascii="Arial Narrow" w:hAnsi="Arial Narrow"/>
            </w:rPr>
            <w:tag w:val="_PLD_eadf8f7d9a604fffbdfa4994b4e02dbf"/>
            <w:id w:val="1481119721"/>
          </w:sdtPr>
          <w:sdtEndPr>
            <w:rPr>
              <w:rFonts w:ascii="Arial Narrow" w:hAnsi="Arial Narrow"/>
            </w:rPr>
          </w:sdtEndPr>
          <w:sdtContent>
            <w:tc>
              <w:tcPr>
                <w:tcW w:w="414" w:type="pct"/>
                <w:shd w:val="clear" w:color="auto" w:fill="auto"/>
                <w:vAlign w:val="center"/>
              </w:tcPr>
              <w:p w14:paraId="3E566760">
                <w:pPr>
                  <w:autoSpaceDE w:val="0"/>
                  <w:autoSpaceDN w:val="0"/>
                  <w:adjustRightInd w:val="0"/>
                  <w:jc w:val="center"/>
                  <w:rPr>
                    <w:rFonts w:ascii="Arial Narrow" w:hAnsi="Arial Narrow"/>
                    <w:szCs w:val="21"/>
                  </w:rPr>
                </w:pPr>
                <w:r>
                  <w:rPr>
                    <w:rFonts w:ascii="Arial Narrow" w:hAnsi="Arial Narrow"/>
                    <w:szCs w:val="21"/>
                  </w:rPr>
                  <w:t>受托方名称</w:t>
                </w:r>
              </w:p>
            </w:tc>
          </w:sdtContent>
        </w:sdt>
        <w:sdt>
          <w:sdtPr>
            <w:rPr>
              <w:rFonts w:ascii="Arial Narrow" w:hAnsi="Arial Narrow"/>
            </w:rPr>
            <w:tag w:val="_PLD_4d2c99dde0c74d3bbcdf00eda6cec18d"/>
            <w:id w:val="-2133621511"/>
          </w:sdtPr>
          <w:sdtEndPr>
            <w:rPr>
              <w:rFonts w:ascii="Arial Narrow" w:hAnsi="Arial Narrow"/>
            </w:rPr>
          </w:sdtEndPr>
          <w:sdtContent>
            <w:tc>
              <w:tcPr>
                <w:tcW w:w="664" w:type="pct"/>
                <w:shd w:val="clear" w:color="auto" w:fill="auto"/>
                <w:vAlign w:val="center"/>
              </w:tcPr>
              <w:p w14:paraId="13C8A7B8">
                <w:pPr>
                  <w:autoSpaceDE w:val="0"/>
                  <w:autoSpaceDN w:val="0"/>
                  <w:adjustRightInd w:val="0"/>
                  <w:jc w:val="center"/>
                  <w:rPr>
                    <w:rFonts w:ascii="Arial Narrow" w:hAnsi="Arial Narrow"/>
                    <w:szCs w:val="21"/>
                  </w:rPr>
                </w:pPr>
                <w:r>
                  <w:rPr>
                    <w:rFonts w:ascii="Arial Narrow" w:hAnsi="Arial Narrow"/>
                    <w:szCs w:val="21"/>
                  </w:rPr>
                  <w:t>托管资产情况</w:t>
                </w:r>
              </w:p>
            </w:tc>
          </w:sdtContent>
        </w:sdt>
        <w:sdt>
          <w:sdtPr>
            <w:rPr>
              <w:rFonts w:ascii="Arial Narrow" w:hAnsi="Arial Narrow"/>
            </w:rPr>
            <w:tag w:val="_PLD_6fc2481f5ccf43869703dd51b128a1b8"/>
            <w:id w:val="-1265529955"/>
          </w:sdtPr>
          <w:sdtEndPr>
            <w:rPr>
              <w:rFonts w:ascii="Arial Narrow" w:hAnsi="Arial Narrow"/>
            </w:rPr>
          </w:sdtEndPr>
          <w:sdtContent>
            <w:tc>
              <w:tcPr>
                <w:tcW w:w="511" w:type="pct"/>
                <w:shd w:val="clear" w:color="auto" w:fill="auto"/>
                <w:vAlign w:val="center"/>
              </w:tcPr>
              <w:p w14:paraId="13D6E928">
                <w:pPr>
                  <w:autoSpaceDE w:val="0"/>
                  <w:autoSpaceDN w:val="0"/>
                  <w:adjustRightInd w:val="0"/>
                  <w:jc w:val="center"/>
                  <w:rPr>
                    <w:rFonts w:ascii="Arial Narrow" w:hAnsi="Arial Narrow"/>
                    <w:szCs w:val="21"/>
                  </w:rPr>
                </w:pPr>
                <w:r>
                  <w:rPr>
                    <w:rFonts w:ascii="Arial Narrow" w:hAnsi="Arial Narrow"/>
                    <w:szCs w:val="21"/>
                  </w:rPr>
                  <w:t>托管资产涉及金额</w:t>
                </w:r>
              </w:p>
            </w:tc>
          </w:sdtContent>
        </w:sdt>
        <w:sdt>
          <w:sdtPr>
            <w:rPr>
              <w:rFonts w:ascii="Arial Narrow" w:hAnsi="Arial Narrow"/>
            </w:rPr>
            <w:tag w:val="_PLD_56689166a8704f3c909f8b56dcfde9f0"/>
            <w:id w:val="1960145329"/>
          </w:sdtPr>
          <w:sdtEndPr>
            <w:rPr>
              <w:rFonts w:ascii="Arial Narrow" w:hAnsi="Arial Narrow"/>
            </w:rPr>
          </w:sdtEndPr>
          <w:sdtContent>
            <w:tc>
              <w:tcPr>
                <w:tcW w:w="409" w:type="pct"/>
                <w:shd w:val="clear" w:color="auto" w:fill="auto"/>
                <w:vAlign w:val="center"/>
              </w:tcPr>
              <w:p w14:paraId="36BB568F">
                <w:pPr>
                  <w:autoSpaceDE w:val="0"/>
                  <w:autoSpaceDN w:val="0"/>
                  <w:adjustRightInd w:val="0"/>
                  <w:jc w:val="center"/>
                  <w:rPr>
                    <w:rFonts w:ascii="Arial Narrow" w:hAnsi="Arial Narrow"/>
                    <w:szCs w:val="21"/>
                  </w:rPr>
                </w:pPr>
                <w:r>
                  <w:rPr>
                    <w:rFonts w:ascii="Arial Narrow" w:hAnsi="Arial Narrow"/>
                    <w:szCs w:val="21"/>
                  </w:rPr>
                  <w:t>托管起始日</w:t>
                </w:r>
              </w:p>
            </w:tc>
          </w:sdtContent>
        </w:sdt>
        <w:sdt>
          <w:sdtPr>
            <w:rPr>
              <w:rFonts w:ascii="Arial Narrow" w:hAnsi="Arial Narrow"/>
            </w:rPr>
            <w:tag w:val="_PLD_404ca8c5840147a39d284c55f96f4000"/>
            <w:id w:val="-21165895"/>
          </w:sdtPr>
          <w:sdtEndPr>
            <w:rPr>
              <w:rFonts w:ascii="Arial Narrow" w:hAnsi="Arial Narrow"/>
            </w:rPr>
          </w:sdtEndPr>
          <w:sdtContent>
            <w:tc>
              <w:tcPr>
                <w:tcW w:w="461" w:type="pct"/>
                <w:shd w:val="clear" w:color="auto" w:fill="auto"/>
                <w:vAlign w:val="center"/>
              </w:tcPr>
              <w:p w14:paraId="4BF47A2D">
                <w:pPr>
                  <w:autoSpaceDE w:val="0"/>
                  <w:autoSpaceDN w:val="0"/>
                  <w:adjustRightInd w:val="0"/>
                  <w:jc w:val="center"/>
                  <w:rPr>
                    <w:rFonts w:ascii="Arial Narrow" w:hAnsi="Arial Narrow"/>
                    <w:szCs w:val="21"/>
                  </w:rPr>
                </w:pPr>
                <w:r>
                  <w:rPr>
                    <w:rFonts w:ascii="Arial Narrow" w:hAnsi="Arial Narrow"/>
                    <w:szCs w:val="21"/>
                  </w:rPr>
                  <w:t>托管终止日</w:t>
                </w:r>
              </w:p>
            </w:tc>
          </w:sdtContent>
        </w:sdt>
        <w:sdt>
          <w:sdtPr>
            <w:rPr>
              <w:rFonts w:ascii="Arial Narrow" w:hAnsi="Arial Narrow"/>
            </w:rPr>
            <w:tag w:val="_PLD_d52cad69f49841ff8d3339b91818b730"/>
            <w:id w:val="-278639768"/>
          </w:sdtPr>
          <w:sdtEndPr>
            <w:rPr>
              <w:rFonts w:ascii="Arial Narrow" w:hAnsi="Arial Narrow"/>
            </w:rPr>
          </w:sdtEndPr>
          <w:sdtContent>
            <w:tc>
              <w:tcPr>
                <w:tcW w:w="307" w:type="pct"/>
                <w:shd w:val="clear" w:color="auto" w:fill="auto"/>
                <w:vAlign w:val="center"/>
              </w:tcPr>
              <w:p w14:paraId="7CFFDC19">
                <w:pPr>
                  <w:autoSpaceDE w:val="0"/>
                  <w:autoSpaceDN w:val="0"/>
                  <w:adjustRightInd w:val="0"/>
                  <w:jc w:val="center"/>
                  <w:rPr>
                    <w:rFonts w:ascii="Arial Narrow" w:hAnsi="Arial Narrow"/>
                    <w:szCs w:val="21"/>
                  </w:rPr>
                </w:pPr>
                <w:r>
                  <w:rPr>
                    <w:rFonts w:ascii="Arial Narrow" w:hAnsi="Arial Narrow"/>
                    <w:szCs w:val="21"/>
                  </w:rPr>
                  <w:t>托管</w:t>
                </w:r>
              </w:p>
              <w:p w14:paraId="7EAB9D6B">
                <w:pPr>
                  <w:autoSpaceDE w:val="0"/>
                  <w:autoSpaceDN w:val="0"/>
                  <w:adjustRightInd w:val="0"/>
                  <w:jc w:val="center"/>
                  <w:rPr>
                    <w:rFonts w:ascii="Arial Narrow" w:hAnsi="Arial Narrow"/>
                    <w:szCs w:val="21"/>
                  </w:rPr>
                </w:pPr>
                <w:r>
                  <w:rPr>
                    <w:rFonts w:ascii="Arial Narrow" w:hAnsi="Arial Narrow"/>
                    <w:szCs w:val="21"/>
                  </w:rPr>
                  <w:t>收益</w:t>
                </w:r>
              </w:p>
            </w:tc>
          </w:sdtContent>
        </w:sdt>
        <w:sdt>
          <w:sdtPr>
            <w:rPr>
              <w:rFonts w:ascii="Arial Narrow" w:hAnsi="Arial Narrow"/>
            </w:rPr>
            <w:tag w:val="_PLD_11e2ff323f2a483eb1a6db3fada2aa63"/>
            <w:id w:val="386153434"/>
          </w:sdtPr>
          <w:sdtEndPr>
            <w:rPr>
              <w:rFonts w:ascii="Arial Narrow" w:hAnsi="Arial Narrow"/>
            </w:rPr>
          </w:sdtEndPr>
          <w:sdtContent>
            <w:tc>
              <w:tcPr>
                <w:tcW w:w="562" w:type="pct"/>
                <w:shd w:val="clear" w:color="auto" w:fill="auto"/>
                <w:vAlign w:val="center"/>
              </w:tcPr>
              <w:p w14:paraId="18C31945">
                <w:pPr>
                  <w:autoSpaceDE w:val="0"/>
                  <w:autoSpaceDN w:val="0"/>
                  <w:adjustRightInd w:val="0"/>
                  <w:jc w:val="center"/>
                  <w:rPr>
                    <w:rFonts w:ascii="Arial Narrow" w:hAnsi="Arial Narrow"/>
                    <w:szCs w:val="21"/>
                  </w:rPr>
                </w:pPr>
                <w:r>
                  <w:rPr>
                    <w:rFonts w:ascii="Arial Narrow" w:hAnsi="Arial Narrow"/>
                    <w:szCs w:val="21"/>
                  </w:rPr>
                  <w:t>托管收益确定依据</w:t>
                </w:r>
              </w:p>
            </w:tc>
          </w:sdtContent>
        </w:sdt>
        <w:sdt>
          <w:sdtPr>
            <w:rPr>
              <w:rFonts w:ascii="Arial Narrow" w:hAnsi="Arial Narrow"/>
            </w:rPr>
            <w:tag w:val="_PLD_1585de23669647f4ab840f8bd63f1df7"/>
            <w:id w:val="1672834865"/>
          </w:sdtPr>
          <w:sdtEndPr>
            <w:rPr>
              <w:rFonts w:ascii="Arial Narrow" w:hAnsi="Arial Narrow"/>
            </w:rPr>
          </w:sdtEndPr>
          <w:sdtContent>
            <w:tc>
              <w:tcPr>
                <w:tcW w:w="409" w:type="pct"/>
                <w:shd w:val="clear" w:color="auto" w:fill="auto"/>
                <w:vAlign w:val="center"/>
              </w:tcPr>
              <w:p w14:paraId="0FAD283D">
                <w:pPr>
                  <w:autoSpaceDE w:val="0"/>
                  <w:autoSpaceDN w:val="0"/>
                  <w:adjustRightInd w:val="0"/>
                  <w:jc w:val="center"/>
                  <w:rPr>
                    <w:rFonts w:ascii="Arial Narrow" w:hAnsi="Arial Narrow"/>
                    <w:szCs w:val="21"/>
                  </w:rPr>
                </w:pPr>
                <w:r>
                  <w:rPr>
                    <w:rFonts w:ascii="Arial Narrow" w:hAnsi="Arial Narrow"/>
                    <w:szCs w:val="21"/>
                  </w:rPr>
                  <w:t>托管收益对公司影响</w:t>
                </w:r>
              </w:p>
            </w:tc>
          </w:sdtContent>
        </w:sdt>
        <w:sdt>
          <w:sdtPr>
            <w:rPr>
              <w:rFonts w:ascii="Arial Narrow" w:hAnsi="Arial Narrow"/>
            </w:rPr>
            <w:tag w:val="_PLD_808b866cc5ff44a7832b4346dcdff116"/>
            <w:id w:val="-64727250"/>
          </w:sdtPr>
          <w:sdtEndPr>
            <w:rPr>
              <w:rFonts w:ascii="Arial Narrow" w:hAnsi="Arial Narrow"/>
            </w:rPr>
          </w:sdtEndPr>
          <w:sdtContent>
            <w:tc>
              <w:tcPr>
                <w:tcW w:w="354" w:type="pct"/>
                <w:shd w:val="clear" w:color="auto" w:fill="auto"/>
                <w:vAlign w:val="center"/>
              </w:tcPr>
              <w:p w14:paraId="00ED5A2C">
                <w:pPr>
                  <w:autoSpaceDE w:val="0"/>
                  <w:autoSpaceDN w:val="0"/>
                  <w:adjustRightInd w:val="0"/>
                  <w:jc w:val="center"/>
                  <w:rPr>
                    <w:rFonts w:ascii="Arial Narrow" w:hAnsi="Arial Narrow"/>
                    <w:szCs w:val="21"/>
                  </w:rPr>
                </w:pPr>
                <w:r>
                  <w:rPr>
                    <w:rFonts w:ascii="Arial Narrow" w:hAnsi="Arial Narrow"/>
                    <w:szCs w:val="21"/>
                  </w:rPr>
                  <w:t>是否关联交易</w:t>
                </w:r>
              </w:p>
            </w:tc>
          </w:sdtContent>
        </w:sdt>
        <w:sdt>
          <w:sdtPr>
            <w:rPr>
              <w:rFonts w:ascii="Arial Narrow" w:hAnsi="Arial Narrow"/>
            </w:rPr>
            <w:tag w:val="_PLD_dd6e041773cc4f4f8c76826102bb1966"/>
            <w:id w:val="-793674789"/>
          </w:sdtPr>
          <w:sdtEndPr>
            <w:rPr>
              <w:rFonts w:ascii="Arial Narrow" w:hAnsi="Arial Narrow"/>
            </w:rPr>
          </w:sdtEndPr>
          <w:sdtContent>
            <w:tc>
              <w:tcPr>
                <w:tcW w:w="455" w:type="pct"/>
                <w:shd w:val="clear" w:color="auto" w:fill="auto"/>
                <w:vAlign w:val="center"/>
              </w:tcPr>
              <w:p w14:paraId="2CA8EB54">
                <w:pPr>
                  <w:autoSpaceDE w:val="0"/>
                  <w:autoSpaceDN w:val="0"/>
                  <w:adjustRightInd w:val="0"/>
                  <w:jc w:val="center"/>
                  <w:rPr>
                    <w:rFonts w:ascii="Arial Narrow" w:hAnsi="Arial Narrow"/>
                    <w:szCs w:val="21"/>
                  </w:rPr>
                </w:pPr>
                <w:r>
                  <w:rPr>
                    <w:rFonts w:ascii="Arial Narrow" w:hAnsi="Arial Narrow"/>
                    <w:szCs w:val="21"/>
                  </w:rPr>
                  <w:t>关联</w:t>
                </w:r>
              </w:p>
              <w:p w14:paraId="6758C8D6">
                <w:pPr>
                  <w:autoSpaceDE w:val="0"/>
                  <w:autoSpaceDN w:val="0"/>
                  <w:adjustRightInd w:val="0"/>
                  <w:jc w:val="center"/>
                  <w:rPr>
                    <w:rFonts w:ascii="Arial Narrow" w:hAnsi="Arial Narrow"/>
                    <w:szCs w:val="21"/>
                  </w:rPr>
                </w:pPr>
                <w:r>
                  <w:rPr>
                    <w:rFonts w:ascii="Arial Narrow" w:hAnsi="Arial Narrow"/>
                    <w:szCs w:val="21"/>
                  </w:rPr>
                  <w:t>关系</w:t>
                </w:r>
              </w:p>
            </w:tc>
          </w:sdtContent>
        </w:sdt>
      </w:tr>
      <w:sdt>
        <w:sdtPr>
          <w:rPr>
            <w:rFonts w:asciiTheme="minorEastAsia" w:hAnsiTheme="minorEastAsia" w:eastAsiaTheme="minorEastAsia"/>
            <w:szCs w:val="21"/>
          </w:rPr>
          <w:alias w:val="托管情况"/>
          <w:tag w:val="_TUP_15b0e4e9fa8e4f93a453eadcbb53efbd"/>
          <w:id w:val="-2108190155"/>
          <w:placeholder>
            <w:docPart w:val="B7855E0CEA8D46BE91546A31CD5AE4A5"/>
          </w:placeholder>
        </w:sdtPr>
        <w:sdtEndPr>
          <w:rPr>
            <w:rFonts w:ascii="Arial Narrow" w:hAnsi="Arial Narrow" w:eastAsia="宋体"/>
            <w:color w:val="FFC000"/>
            <w:szCs w:val="21"/>
          </w:rPr>
        </w:sdtEndPr>
        <w:sdtContent>
          <w:tr w14:paraId="1A23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4" w:type="pct"/>
                <w:vAlign w:val="center"/>
              </w:tcPr>
              <w:p w14:paraId="0F55CA06">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际华集团股份有限公司</w:t>
                </w:r>
              </w:p>
            </w:tc>
            <w:tc>
              <w:tcPr>
                <w:tcW w:w="414" w:type="pct"/>
                <w:vAlign w:val="center"/>
              </w:tcPr>
              <w:p w14:paraId="69340CE3">
                <w:pPr>
                  <w:pStyle w:val="15"/>
                  <w:autoSpaceDE w:val="0"/>
                  <w:autoSpaceDN w:val="0"/>
                  <w:adjustRightInd w:val="0"/>
                  <w:jc w:val="left"/>
                  <w:rPr>
                    <w:rFonts w:hint="eastAsia" w:asciiTheme="minorEastAsia" w:hAnsiTheme="minorEastAsia" w:eastAsiaTheme="minorEastAsia"/>
                  </w:rPr>
                </w:pPr>
                <w:r>
                  <w:rPr>
                    <w:rFonts w:asciiTheme="minorEastAsia" w:hAnsiTheme="minorEastAsia" w:eastAsiaTheme="minorEastAsia"/>
                  </w:rPr>
                  <w:t>新兴际华资产经营管理有限公司</w:t>
                </w:r>
              </w:p>
            </w:tc>
            <w:tc>
              <w:tcPr>
                <w:tcW w:w="664" w:type="pct"/>
                <w:vAlign w:val="center"/>
              </w:tcPr>
              <w:p w14:paraId="0CDF4FF6">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重庆际华目的地中心实业有限公司</w:t>
                </w:r>
              </w:p>
            </w:tc>
            <w:tc>
              <w:tcPr>
                <w:tcW w:w="511" w:type="pct"/>
                <w:vAlign w:val="center"/>
              </w:tcPr>
              <w:p w14:paraId="6E0B4EA1">
                <w:pPr>
                  <w:autoSpaceDE w:val="0"/>
                  <w:autoSpaceDN w:val="0"/>
                  <w:adjustRightInd w:val="0"/>
                  <w:ind w:right="84" w:rightChars="40"/>
                  <w:jc w:val="right"/>
                  <w:rPr>
                    <w:rFonts w:ascii="Arial Narrow" w:hAnsi="Arial Narrow"/>
                    <w:szCs w:val="21"/>
                  </w:rPr>
                </w:pPr>
                <w:r>
                  <w:rPr>
                    <w:rFonts w:ascii="Arial Narrow" w:hAnsi="Arial Narrow"/>
                    <w:szCs w:val="21"/>
                  </w:rPr>
                  <w:t>641,290,972.63</w:t>
                </w:r>
              </w:p>
            </w:tc>
            <w:tc>
              <w:tcPr>
                <w:tcW w:w="409" w:type="pct"/>
                <w:vAlign w:val="center"/>
              </w:tcPr>
              <w:p w14:paraId="42D47485">
                <w:pPr>
                  <w:autoSpaceDE w:val="0"/>
                  <w:autoSpaceDN w:val="0"/>
                  <w:adjustRightInd w:val="0"/>
                  <w:jc w:val="center"/>
                  <w:rPr>
                    <w:rFonts w:ascii="Arial Narrow" w:hAnsi="Arial Narrow"/>
                    <w:szCs w:val="21"/>
                  </w:rPr>
                </w:pPr>
                <w:r>
                  <w:rPr>
                    <w:rFonts w:ascii="Arial Narrow" w:hAnsi="Arial Narrow"/>
                  </w:rPr>
                  <w:t>2022-10-01</w:t>
                </w:r>
              </w:p>
            </w:tc>
            <w:tc>
              <w:tcPr>
                <w:tcW w:w="461" w:type="pct"/>
                <w:vAlign w:val="center"/>
              </w:tcPr>
              <w:p w14:paraId="6B86D9DF">
                <w:pPr>
                  <w:autoSpaceDE w:val="0"/>
                  <w:autoSpaceDN w:val="0"/>
                  <w:adjustRightInd w:val="0"/>
                  <w:jc w:val="center"/>
                  <w:rPr>
                    <w:rFonts w:ascii="Arial Narrow" w:hAnsi="Arial Narrow"/>
                    <w:szCs w:val="21"/>
                  </w:rPr>
                </w:pPr>
                <w:r>
                  <w:rPr>
                    <w:rFonts w:ascii="Arial Narrow" w:hAnsi="Arial Narrow"/>
                  </w:rPr>
                  <w:t>2025-12-31</w:t>
                </w:r>
              </w:p>
            </w:tc>
            <w:tc>
              <w:tcPr>
                <w:tcW w:w="307" w:type="pct"/>
                <w:vAlign w:val="center"/>
              </w:tcPr>
              <w:p w14:paraId="2F612BC3">
                <w:pPr>
                  <w:autoSpaceDE w:val="0"/>
                  <w:autoSpaceDN w:val="0"/>
                  <w:adjustRightInd w:val="0"/>
                  <w:ind w:right="84" w:rightChars="40"/>
                  <w:jc w:val="right"/>
                  <w:rPr>
                    <w:rFonts w:ascii="Arial Narrow" w:hAnsi="Arial Narrow"/>
                    <w:szCs w:val="21"/>
                  </w:rPr>
                </w:pPr>
                <w:r>
                  <w:rPr>
                    <w:rFonts w:ascii="Arial Narrow" w:hAnsi="Arial Narrow"/>
                  </w:rPr>
                  <w:t>0</w:t>
                </w:r>
              </w:p>
            </w:tc>
            <w:tc>
              <w:tcPr>
                <w:tcW w:w="562" w:type="pct"/>
                <w:vAlign w:val="center"/>
              </w:tcPr>
              <w:p w14:paraId="3DD8931C">
                <w:pPr>
                  <w:autoSpaceDE w:val="0"/>
                  <w:autoSpaceDN w:val="0"/>
                  <w:adjustRightInd w:val="0"/>
                  <w:rPr>
                    <w:rFonts w:ascii="Arial Narrow" w:hAnsi="Arial Narrow"/>
                    <w:szCs w:val="21"/>
                  </w:rPr>
                </w:pPr>
                <w:r>
                  <w:rPr>
                    <w:rFonts w:ascii="Arial Narrow" w:hAnsi="Arial Narrow"/>
                  </w:rPr>
                  <w:t>《际华园委托经营管理协议》</w:t>
                </w:r>
              </w:p>
            </w:tc>
            <w:tc>
              <w:tcPr>
                <w:tcW w:w="409" w:type="pct"/>
                <w:vAlign w:val="center"/>
              </w:tcPr>
              <w:p w14:paraId="389066A6">
                <w:pPr>
                  <w:autoSpaceDE w:val="0"/>
                  <w:autoSpaceDN w:val="0"/>
                  <w:adjustRightInd w:val="0"/>
                  <w:jc w:val="center"/>
                  <w:rPr>
                    <w:rFonts w:ascii="Arial Narrow" w:hAnsi="Arial Narrow"/>
                    <w:szCs w:val="21"/>
                  </w:rPr>
                </w:pPr>
                <w:r>
                  <w:rPr>
                    <w:rFonts w:ascii="Arial Narrow" w:hAnsi="Arial Narrow"/>
                  </w:rPr>
                  <w:t>无</w:t>
                </w:r>
              </w:p>
            </w:tc>
            <w:sdt>
              <w:sdtPr>
                <w:rPr>
                  <w:rFonts w:ascii="Arial Narrow" w:hAnsi="Arial Narrow"/>
                  <w:bCs/>
                  <w:szCs w:val="21"/>
                </w:rPr>
                <w:alias w:val="托管是否关联交易"/>
                <w:tag w:val="_GBC_2b94322ae2cf4d2bb7d1e9cd6bfdce4c"/>
                <w:id w:val="-897744575"/>
                <w:comboBox>
                  <w:listItem w:displayText="是" w:value="true"/>
                  <w:listItem w:displayText="否" w:value="false"/>
                </w:comboBox>
              </w:sdtPr>
              <w:sdtEndPr>
                <w:rPr>
                  <w:rFonts w:ascii="Arial Narrow" w:hAnsi="Arial Narrow"/>
                  <w:bCs/>
                  <w:szCs w:val="21"/>
                </w:rPr>
              </w:sdtEndPr>
              <w:sdtContent>
                <w:tc>
                  <w:tcPr>
                    <w:tcW w:w="354" w:type="pct"/>
                    <w:vAlign w:val="center"/>
                  </w:tcPr>
                  <w:p w14:paraId="16BEC11A">
                    <w:pPr>
                      <w:autoSpaceDE w:val="0"/>
                      <w:autoSpaceDN w:val="0"/>
                      <w:adjustRightInd w:val="0"/>
                      <w:jc w:val="center"/>
                      <w:rPr>
                        <w:rFonts w:ascii="Arial Narrow" w:hAnsi="Arial Narrow"/>
                        <w:color w:val="FFC000"/>
                        <w:szCs w:val="21"/>
                      </w:rPr>
                    </w:pPr>
                    <w:r>
                      <w:rPr>
                        <w:rFonts w:ascii="Arial Narrow" w:hAnsi="Arial Narrow"/>
                        <w:bCs/>
                        <w:szCs w:val="21"/>
                      </w:rPr>
                      <w:t>是</w:t>
                    </w:r>
                  </w:p>
                </w:tc>
              </w:sdtContent>
            </w:sdt>
            <w:sdt>
              <w:sdtPr>
                <w:rPr>
                  <w:rFonts w:ascii="Arial Narrow" w:hAnsi="Arial Narrow"/>
                  <w:szCs w:val="21"/>
                </w:rPr>
                <w:alias w:val="托管中关联方与本公司关系"/>
                <w:tag w:val="_GBC_9fe61578a9ff480e9175c027889ac2f7"/>
                <w:id w:val="-461578335"/>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rFonts w:ascii="Arial Narrow" w:hAnsi="Arial Narrow"/>
                  <w:szCs w:val="21"/>
                </w:rPr>
              </w:sdtEndPr>
              <w:sdtContent>
                <w:tc>
                  <w:tcPr>
                    <w:tcW w:w="455" w:type="pct"/>
                    <w:vAlign w:val="center"/>
                  </w:tcPr>
                  <w:p w14:paraId="2F02D145">
                    <w:pPr>
                      <w:autoSpaceDE w:val="0"/>
                      <w:autoSpaceDN w:val="0"/>
                      <w:adjustRightInd w:val="0"/>
                      <w:jc w:val="both"/>
                      <w:rPr>
                        <w:rFonts w:ascii="Arial Narrow" w:hAnsi="Arial Narrow"/>
                        <w:color w:val="FFC000"/>
                        <w:szCs w:val="21"/>
                      </w:rPr>
                    </w:pPr>
                    <w:r>
                      <w:rPr>
                        <w:rFonts w:ascii="Arial Narrow" w:hAnsi="Arial Narrow"/>
                        <w:szCs w:val="21"/>
                      </w:rPr>
                      <w:t>母公司的全资子公司</w:t>
                    </w:r>
                  </w:p>
                </w:tc>
              </w:sdtContent>
            </w:sdt>
          </w:tr>
        </w:sdtContent>
      </w:sdt>
      <w:sdt>
        <w:sdtPr>
          <w:rPr>
            <w:rFonts w:asciiTheme="minorEastAsia" w:hAnsiTheme="minorEastAsia" w:eastAsiaTheme="minorEastAsia"/>
            <w:szCs w:val="21"/>
          </w:rPr>
          <w:alias w:val="托管情况"/>
          <w:tag w:val="_TUP_15b0e4e9fa8e4f93a453eadcbb53efbd"/>
          <w:id w:val="-1876308061"/>
          <w:placeholder>
            <w:docPart w:val="B7855E0CEA8D46BE91546A31CD5AE4A5"/>
          </w:placeholder>
        </w:sdtPr>
        <w:sdtEndPr>
          <w:rPr>
            <w:rFonts w:ascii="Arial Narrow" w:hAnsi="Arial Narrow" w:eastAsia="宋体"/>
            <w:color w:val="FFC000"/>
            <w:szCs w:val="21"/>
          </w:rPr>
        </w:sdtEndPr>
        <w:sdtContent>
          <w:tr w14:paraId="5C01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4" w:type="pct"/>
                <w:vAlign w:val="center"/>
              </w:tcPr>
              <w:p w14:paraId="50BD9943">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际华集团股份有限公司</w:t>
                </w:r>
              </w:p>
            </w:tc>
            <w:tc>
              <w:tcPr>
                <w:tcW w:w="414" w:type="pct"/>
                <w:vAlign w:val="center"/>
              </w:tcPr>
              <w:p w14:paraId="14AD8339">
                <w:pPr>
                  <w:pStyle w:val="15"/>
                  <w:autoSpaceDE w:val="0"/>
                  <w:autoSpaceDN w:val="0"/>
                  <w:adjustRightInd w:val="0"/>
                  <w:jc w:val="left"/>
                  <w:rPr>
                    <w:rFonts w:hint="eastAsia" w:asciiTheme="minorEastAsia" w:hAnsiTheme="minorEastAsia" w:eastAsiaTheme="minorEastAsia"/>
                  </w:rPr>
                </w:pPr>
                <w:r>
                  <w:rPr>
                    <w:rFonts w:asciiTheme="minorEastAsia" w:hAnsiTheme="minorEastAsia" w:eastAsiaTheme="minorEastAsia"/>
                  </w:rPr>
                  <w:t>新兴际华资产经营管理有限公司</w:t>
                </w:r>
              </w:p>
            </w:tc>
            <w:tc>
              <w:tcPr>
                <w:tcW w:w="664" w:type="pct"/>
                <w:vAlign w:val="center"/>
              </w:tcPr>
              <w:p w14:paraId="5F8FDA0D">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长春际华投资建设有限公司</w:t>
                </w:r>
              </w:p>
            </w:tc>
            <w:tc>
              <w:tcPr>
                <w:tcW w:w="511" w:type="pct"/>
                <w:vAlign w:val="center"/>
              </w:tcPr>
              <w:p w14:paraId="2CAD1557">
                <w:pPr>
                  <w:autoSpaceDE w:val="0"/>
                  <w:autoSpaceDN w:val="0"/>
                  <w:adjustRightInd w:val="0"/>
                  <w:ind w:right="84" w:rightChars="40"/>
                  <w:jc w:val="right"/>
                  <w:rPr>
                    <w:rFonts w:ascii="Arial Narrow" w:hAnsi="Arial Narrow"/>
                    <w:szCs w:val="21"/>
                  </w:rPr>
                </w:pPr>
                <w:r>
                  <w:rPr>
                    <w:rFonts w:ascii="Arial Narrow" w:hAnsi="Arial Narrow"/>
                    <w:szCs w:val="21"/>
                  </w:rPr>
                  <w:t>287,080,773.07</w:t>
                </w:r>
              </w:p>
            </w:tc>
            <w:tc>
              <w:tcPr>
                <w:tcW w:w="409" w:type="pct"/>
                <w:vAlign w:val="center"/>
              </w:tcPr>
              <w:p w14:paraId="071884AC">
                <w:pPr>
                  <w:autoSpaceDE w:val="0"/>
                  <w:autoSpaceDN w:val="0"/>
                  <w:adjustRightInd w:val="0"/>
                  <w:jc w:val="center"/>
                  <w:rPr>
                    <w:rFonts w:ascii="Arial Narrow" w:hAnsi="Arial Narrow"/>
                    <w:szCs w:val="21"/>
                  </w:rPr>
                </w:pPr>
                <w:r>
                  <w:rPr>
                    <w:rFonts w:ascii="Arial Narrow" w:hAnsi="Arial Narrow"/>
                  </w:rPr>
                  <w:t>2022-10-01</w:t>
                </w:r>
              </w:p>
            </w:tc>
            <w:tc>
              <w:tcPr>
                <w:tcW w:w="461" w:type="pct"/>
                <w:vAlign w:val="center"/>
              </w:tcPr>
              <w:p w14:paraId="52A67AB2">
                <w:pPr>
                  <w:autoSpaceDE w:val="0"/>
                  <w:autoSpaceDN w:val="0"/>
                  <w:adjustRightInd w:val="0"/>
                  <w:jc w:val="center"/>
                  <w:rPr>
                    <w:rFonts w:ascii="Arial Narrow" w:hAnsi="Arial Narrow"/>
                    <w:szCs w:val="21"/>
                  </w:rPr>
                </w:pPr>
                <w:r>
                  <w:rPr>
                    <w:rFonts w:ascii="Arial Narrow" w:hAnsi="Arial Narrow"/>
                  </w:rPr>
                  <w:t>2025-12-31</w:t>
                </w:r>
              </w:p>
            </w:tc>
            <w:tc>
              <w:tcPr>
                <w:tcW w:w="307" w:type="pct"/>
                <w:vAlign w:val="center"/>
              </w:tcPr>
              <w:p w14:paraId="57BDF20D">
                <w:pPr>
                  <w:autoSpaceDE w:val="0"/>
                  <w:autoSpaceDN w:val="0"/>
                  <w:adjustRightInd w:val="0"/>
                  <w:ind w:right="84" w:rightChars="40"/>
                  <w:jc w:val="right"/>
                  <w:rPr>
                    <w:rFonts w:ascii="Arial Narrow" w:hAnsi="Arial Narrow"/>
                    <w:szCs w:val="21"/>
                  </w:rPr>
                </w:pPr>
                <w:r>
                  <w:rPr>
                    <w:rFonts w:ascii="Arial Narrow" w:hAnsi="Arial Narrow"/>
                  </w:rPr>
                  <w:t>0</w:t>
                </w:r>
              </w:p>
            </w:tc>
            <w:tc>
              <w:tcPr>
                <w:tcW w:w="562" w:type="pct"/>
                <w:vAlign w:val="center"/>
              </w:tcPr>
              <w:p w14:paraId="2CFBD270">
                <w:pPr>
                  <w:autoSpaceDE w:val="0"/>
                  <w:autoSpaceDN w:val="0"/>
                  <w:adjustRightInd w:val="0"/>
                  <w:rPr>
                    <w:rFonts w:ascii="Arial Narrow" w:hAnsi="Arial Narrow"/>
                    <w:szCs w:val="21"/>
                  </w:rPr>
                </w:pPr>
                <w:r>
                  <w:rPr>
                    <w:rFonts w:ascii="Arial Narrow" w:hAnsi="Arial Narrow"/>
                  </w:rPr>
                  <w:t>《际华园委托经营管理协议》</w:t>
                </w:r>
              </w:p>
            </w:tc>
            <w:tc>
              <w:tcPr>
                <w:tcW w:w="409" w:type="pct"/>
                <w:vAlign w:val="center"/>
              </w:tcPr>
              <w:p w14:paraId="53C4D3E0">
                <w:pPr>
                  <w:autoSpaceDE w:val="0"/>
                  <w:autoSpaceDN w:val="0"/>
                  <w:adjustRightInd w:val="0"/>
                  <w:jc w:val="center"/>
                  <w:rPr>
                    <w:rFonts w:ascii="Arial Narrow" w:hAnsi="Arial Narrow"/>
                    <w:szCs w:val="21"/>
                  </w:rPr>
                </w:pPr>
                <w:r>
                  <w:rPr>
                    <w:rFonts w:ascii="Arial Narrow" w:hAnsi="Arial Narrow"/>
                  </w:rPr>
                  <w:t>无</w:t>
                </w:r>
              </w:p>
            </w:tc>
            <w:sdt>
              <w:sdtPr>
                <w:rPr>
                  <w:rFonts w:ascii="Arial Narrow" w:hAnsi="Arial Narrow"/>
                  <w:bCs/>
                  <w:szCs w:val="21"/>
                </w:rPr>
                <w:alias w:val="托管是否关联交易"/>
                <w:tag w:val="_GBC_2b94322ae2cf4d2bb7d1e9cd6bfdce4c"/>
                <w:id w:val="1819616697"/>
                <w:comboBox>
                  <w:listItem w:displayText="是" w:value="true"/>
                  <w:listItem w:displayText="否" w:value="false"/>
                </w:comboBox>
              </w:sdtPr>
              <w:sdtEndPr>
                <w:rPr>
                  <w:rFonts w:ascii="Arial Narrow" w:hAnsi="Arial Narrow"/>
                  <w:bCs/>
                  <w:szCs w:val="21"/>
                </w:rPr>
              </w:sdtEndPr>
              <w:sdtContent>
                <w:tc>
                  <w:tcPr>
                    <w:tcW w:w="354" w:type="pct"/>
                    <w:vAlign w:val="center"/>
                  </w:tcPr>
                  <w:p w14:paraId="41011343">
                    <w:pPr>
                      <w:autoSpaceDE w:val="0"/>
                      <w:autoSpaceDN w:val="0"/>
                      <w:adjustRightInd w:val="0"/>
                      <w:jc w:val="center"/>
                      <w:rPr>
                        <w:rFonts w:ascii="Arial Narrow" w:hAnsi="Arial Narrow"/>
                        <w:color w:val="FFC000"/>
                        <w:szCs w:val="21"/>
                      </w:rPr>
                    </w:pPr>
                    <w:r>
                      <w:rPr>
                        <w:rFonts w:ascii="Arial Narrow" w:hAnsi="Arial Narrow"/>
                        <w:bCs/>
                        <w:szCs w:val="21"/>
                      </w:rPr>
                      <w:t>是</w:t>
                    </w:r>
                  </w:p>
                </w:tc>
              </w:sdtContent>
            </w:sdt>
            <w:sdt>
              <w:sdtPr>
                <w:rPr>
                  <w:rFonts w:ascii="Arial Narrow" w:hAnsi="Arial Narrow"/>
                  <w:szCs w:val="21"/>
                </w:rPr>
                <w:alias w:val="托管中关联方与本公司关系"/>
                <w:tag w:val="_GBC_9fe61578a9ff480e9175c027889ac2f7"/>
                <w:id w:val="1761714196"/>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rFonts w:ascii="Arial Narrow" w:hAnsi="Arial Narrow"/>
                  <w:szCs w:val="21"/>
                </w:rPr>
              </w:sdtEndPr>
              <w:sdtContent>
                <w:tc>
                  <w:tcPr>
                    <w:tcW w:w="455" w:type="pct"/>
                    <w:vAlign w:val="center"/>
                  </w:tcPr>
                  <w:p w14:paraId="614CD7D7">
                    <w:pPr>
                      <w:autoSpaceDE w:val="0"/>
                      <w:autoSpaceDN w:val="0"/>
                      <w:adjustRightInd w:val="0"/>
                      <w:jc w:val="both"/>
                      <w:rPr>
                        <w:rFonts w:ascii="Arial Narrow" w:hAnsi="Arial Narrow"/>
                        <w:color w:val="FFC000"/>
                        <w:szCs w:val="21"/>
                      </w:rPr>
                    </w:pPr>
                    <w:r>
                      <w:rPr>
                        <w:rFonts w:ascii="Arial Narrow" w:hAnsi="Arial Narrow"/>
                        <w:szCs w:val="21"/>
                      </w:rPr>
                      <w:t>母公司的全资子公司</w:t>
                    </w:r>
                  </w:p>
                </w:tc>
              </w:sdtContent>
            </w:sdt>
          </w:tr>
        </w:sdtContent>
      </w:sdt>
      <w:sdt>
        <w:sdtPr>
          <w:rPr>
            <w:rFonts w:asciiTheme="minorEastAsia" w:hAnsiTheme="minorEastAsia" w:eastAsiaTheme="minorEastAsia"/>
            <w:szCs w:val="21"/>
          </w:rPr>
          <w:alias w:val="托管情况"/>
          <w:tag w:val="_TUP_15b0e4e9fa8e4f93a453eadcbb53efbd"/>
          <w:id w:val="464090565"/>
          <w:placeholder>
            <w:docPart w:val="B7855E0CEA8D46BE91546A31CD5AE4A5"/>
          </w:placeholder>
        </w:sdtPr>
        <w:sdtEndPr>
          <w:rPr>
            <w:rFonts w:ascii="Arial Narrow" w:hAnsi="Arial Narrow" w:eastAsia="宋体"/>
            <w:color w:val="FFC000"/>
            <w:szCs w:val="21"/>
          </w:rPr>
        </w:sdtEndPr>
        <w:sdtContent>
          <w:tr w14:paraId="4E7F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4" w:type="pct"/>
                <w:vAlign w:val="center"/>
              </w:tcPr>
              <w:p w14:paraId="36EEF184">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际华三五三六实业有限公司</w:t>
                </w:r>
              </w:p>
            </w:tc>
            <w:tc>
              <w:tcPr>
                <w:tcW w:w="414" w:type="pct"/>
                <w:vAlign w:val="center"/>
              </w:tcPr>
              <w:p w14:paraId="07B415C5">
                <w:pPr>
                  <w:pStyle w:val="15"/>
                  <w:autoSpaceDE w:val="0"/>
                  <w:autoSpaceDN w:val="0"/>
                  <w:adjustRightInd w:val="0"/>
                  <w:jc w:val="left"/>
                  <w:rPr>
                    <w:rFonts w:hint="eastAsia" w:asciiTheme="minorEastAsia" w:hAnsiTheme="minorEastAsia" w:eastAsiaTheme="minorEastAsia"/>
                  </w:rPr>
                </w:pPr>
                <w:r>
                  <w:rPr>
                    <w:rFonts w:asciiTheme="minorEastAsia" w:hAnsiTheme="minorEastAsia" w:eastAsiaTheme="minorEastAsia"/>
                  </w:rPr>
                  <w:t>荷原置地控股有限公司</w:t>
                </w:r>
              </w:p>
            </w:tc>
            <w:tc>
              <w:tcPr>
                <w:tcW w:w="664" w:type="pct"/>
                <w:vAlign w:val="center"/>
              </w:tcPr>
              <w:p w14:paraId="22B3DE9D">
                <w:pPr>
                  <w:autoSpaceDE w:val="0"/>
                  <w:autoSpaceDN w:val="0"/>
                  <w:adjustRightInd w:val="0"/>
                  <w:rPr>
                    <w:rFonts w:hint="eastAsia" w:asciiTheme="minorEastAsia" w:hAnsiTheme="minorEastAsia" w:eastAsiaTheme="minorEastAsia"/>
                    <w:szCs w:val="21"/>
                  </w:rPr>
                </w:pPr>
                <w:r>
                  <w:rPr>
                    <w:rFonts w:asciiTheme="minorEastAsia" w:hAnsiTheme="minorEastAsia" w:eastAsiaTheme="minorEastAsia"/>
                  </w:rPr>
                  <w:t>3536公司所持有的位于绵阳市棉兴路东段62号地块</w:t>
                </w:r>
              </w:p>
            </w:tc>
            <w:tc>
              <w:tcPr>
                <w:tcW w:w="511" w:type="pct"/>
                <w:vAlign w:val="center"/>
              </w:tcPr>
              <w:p w14:paraId="697001C7">
                <w:pPr>
                  <w:autoSpaceDE w:val="0"/>
                  <w:autoSpaceDN w:val="0"/>
                  <w:adjustRightInd w:val="0"/>
                  <w:ind w:right="84" w:rightChars="40"/>
                  <w:jc w:val="right"/>
                  <w:rPr>
                    <w:rFonts w:ascii="Arial Narrow" w:hAnsi="Arial Narrow"/>
                    <w:szCs w:val="21"/>
                  </w:rPr>
                </w:pPr>
                <w:r>
                  <w:rPr>
                    <w:rFonts w:ascii="Arial Narrow" w:hAnsi="Arial Narrow"/>
                  </w:rPr>
                  <w:t>170,645,079.53</w:t>
                </w:r>
              </w:p>
            </w:tc>
            <w:tc>
              <w:tcPr>
                <w:tcW w:w="409" w:type="pct"/>
                <w:vAlign w:val="center"/>
              </w:tcPr>
              <w:p w14:paraId="090119D8">
                <w:pPr>
                  <w:autoSpaceDE w:val="0"/>
                  <w:autoSpaceDN w:val="0"/>
                  <w:adjustRightInd w:val="0"/>
                  <w:jc w:val="center"/>
                  <w:rPr>
                    <w:rFonts w:ascii="Arial Narrow" w:hAnsi="Arial Narrow"/>
                    <w:szCs w:val="21"/>
                  </w:rPr>
                </w:pPr>
                <w:r>
                  <w:rPr>
                    <w:rFonts w:ascii="Arial Narrow" w:hAnsi="Arial Narrow"/>
                  </w:rPr>
                  <w:t>2022-09-30</w:t>
                </w:r>
              </w:p>
            </w:tc>
            <w:tc>
              <w:tcPr>
                <w:tcW w:w="461" w:type="pct"/>
                <w:vAlign w:val="center"/>
              </w:tcPr>
              <w:p w14:paraId="0A493230">
                <w:pPr>
                  <w:autoSpaceDE w:val="0"/>
                  <w:autoSpaceDN w:val="0"/>
                  <w:adjustRightInd w:val="0"/>
                  <w:jc w:val="center"/>
                  <w:rPr>
                    <w:rFonts w:ascii="Arial Narrow" w:hAnsi="Arial Narrow"/>
                    <w:szCs w:val="21"/>
                  </w:rPr>
                </w:pPr>
                <w:r>
                  <w:rPr>
                    <w:rFonts w:ascii="Arial Narrow" w:hAnsi="Arial Narrow"/>
                  </w:rPr>
                  <w:t>项目最后一期销售物业交付满1个月为止</w:t>
                </w:r>
              </w:p>
            </w:tc>
            <w:tc>
              <w:tcPr>
                <w:tcW w:w="307" w:type="pct"/>
                <w:vAlign w:val="center"/>
              </w:tcPr>
              <w:p w14:paraId="35171030">
                <w:pPr>
                  <w:autoSpaceDE w:val="0"/>
                  <w:autoSpaceDN w:val="0"/>
                  <w:adjustRightInd w:val="0"/>
                  <w:ind w:right="84" w:rightChars="40"/>
                  <w:jc w:val="right"/>
                  <w:rPr>
                    <w:rFonts w:ascii="Arial Narrow" w:hAnsi="Arial Narrow"/>
                    <w:szCs w:val="21"/>
                  </w:rPr>
                </w:pPr>
                <w:r>
                  <w:rPr>
                    <w:rFonts w:ascii="Arial Narrow" w:hAnsi="Arial Narrow"/>
                  </w:rPr>
                  <w:t>0</w:t>
                </w:r>
              </w:p>
            </w:tc>
            <w:tc>
              <w:tcPr>
                <w:tcW w:w="562" w:type="pct"/>
                <w:vAlign w:val="center"/>
              </w:tcPr>
              <w:p w14:paraId="50D4D67B">
                <w:pPr>
                  <w:autoSpaceDE w:val="0"/>
                  <w:autoSpaceDN w:val="0"/>
                  <w:adjustRightInd w:val="0"/>
                  <w:rPr>
                    <w:rFonts w:ascii="Arial Narrow" w:hAnsi="Arial Narrow"/>
                    <w:szCs w:val="21"/>
                  </w:rPr>
                </w:pPr>
                <w:r>
                  <w:rPr>
                    <w:rFonts w:ascii="Arial Narrow" w:hAnsi="Arial Narrow"/>
                  </w:rPr>
                  <w:t>《3536公司与新兴建新公司之带资代建协议》</w:t>
                </w:r>
              </w:p>
            </w:tc>
            <w:tc>
              <w:tcPr>
                <w:tcW w:w="409" w:type="pct"/>
                <w:vAlign w:val="center"/>
              </w:tcPr>
              <w:p w14:paraId="10350CBF">
                <w:pPr>
                  <w:autoSpaceDE w:val="0"/>
                  <w:autoSpaceDN w:val="0"/>
                  <w:adjustRightInd w:val="0"/>
                  <w:jc w:val="center"/>
                  <w:rPr>
                    <w:rFonts w:ascii="Arial Narrow" w:hAnsi="Arial Narrow"/>
                    <w:szCs w:val="21"/>
                  </w:rPr>
                </w:pPr>
                <w:r>
                  <w:rPr>
                    <w:rFonts w:ascii="Arial Narrow" w:hAnsi="Arial Narrow"/>
                  </w:rPr>
                  <w:t>无</w:t>
                </w:r>
              </w:p>
            </w:tc>
            <w:sdt>
              <w:sdtPr>
                <w:rPr>
                  <w:rFonts w:ascii="Arial Narrow" w:hAnsi="Arial Narrow"/>
                  <w:bCs/>
                  <w:szCs w:val="21"/>
                </w:rPr>
                <w:alias w:val="托管是否关联交易"/>
                <w:tag w:val="_GBC_2b94322ae2cf4d2bb7d1e9cd6bfdce4c"/>
                <w:id w:val="-138351619"/>
                <w:comboBox>
                  <w:listItem w:displayText="是" w:value="true"/>
                  <w:listItem w:displayText="否" w:value="false"/>
                </w:comboBox>
              </w:sdtPr>
              <w:sdtEndPr>
                <w:rPr>
                  <w:rFonts w:ascii="Arial Narrow" w:hAnsi="Arial Narrow"/>
                  <w:bCs/>
                  <w:szCs w:val="21"/>
                </w:rPr>
              </w:sdtEndPr>
              <w:sdtContent>
                <w:tc>
                  <w:tcPr>
                    <w:tcW w:w="354" w:type="pct"/>
                    <w:vAlign w:val="center"/>
                  </w:tcPr>
                  <w:p w14:paraId="5E36A99E">
                    <w:pPr>
                      <w:autoSpaceDE w:val="0"/>
                      <w:autoSpaceDN w:val="0"/>
                      <w:adjustRightInd w:val="0"/>
                      <w:jc w:val="center"/>
                      <w:rPr>
                        <w:rFonts w:ascii="Arial Narrow" w:hAnsi="Arial Narrow"/>
                        <w:color w:val="FFC000"/>
                        <w:szCs w:val="21"/>
                      </w:rPr>
                    </w:pPr>
                    <w:r>
                      <w:rPr>
                        <w:rFonts w:ascii="Arial Narrow" w:hAnsi="Arial Narrow"/>
                        <w:bCs/>
                        <w:szCs w:val="21"/>
                      </w:rPr>
                      <w:t>是</w:t>
                    </w:r>
                  </w:p>
                </w:tc>
              </w:sdtContent>
            </w:sdt>
            <w:sdt>
              <w:sdtPr>
                <w:rPr>
                  <w:rFonts w:ascii="Arial Narrow" w:hAnsi="Arial Narrow"/>
                  <w:szCs w:val="21"/>
                </w:rPr>
                <w:alias w:val="托管中关联方与本公司关系"/>
                <w:tag w:val="_GBC_9fe61578a9ff480e9175c027889ac2f7"/>
                <w:id w:val="-1011447365"/>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rFonts w:ascii="Arial Narrow" w:hAnsi="Arial Narrow"/>
                  <w:szCs w:val="21"/>
                </w:rPr>
              </w:sdtEndPr>
              <w:sdtContent>
                <w:tc>
                  <w:tcPr>
                    <w:tcW w:w="455" w:type="pct"/>
                    <w:vAlign w:val="center"/>
                  </w:tcPr>
                  <w:p w14:paraId="7215EF02">
                    <w:pPr>
                      <w:autoSpaceDE w:val="0"/>
                      <w:autoSpaceDN w:val="0"/>
                      <w:adjustRightInd w:val="0"/>
                      <w:jc w:val="both"/>
                      <w:rPr>
                        <w:rFonts w:ascii="Arial Narrow" w:hAnsi="Arial Narrow"/>
                        <w:color w:val="FFC000"/>
                        <w:szCs w:val="21"/>
                      </w:rPr>
                    </w:pPr>
                    <w:r>
                      <w:rPr>
                        <w:rFonts w:ascii="Arial Narrow" w:hAnsi="Arial Narrow"/>
                        <w:szCs w:val="21"/>
                      </w:rPr>
                      <w:t>母公司的控股子公司</w:t>
                    </w:r>
                  </w:p>
                </w:tc>
              </w:sdtContent>
            </w:sdt>
          </w:tr>
        </w:sdtContent>
      </w:sdt>
    </w:tbl>
    <w:p w14:paraId="7B245FCB">
      <w:pPr>
        <w:rPr>
          <w:rFonts w:hint="eastAsia"/>
          <w:szCs w:val="21"/>
        </w:rPr>
      </w:pPr>
      <w:r>
        <w:rPr>
          <w:szCs w:val="21"/>
        </w:rPr>
        <w:t>托管情况说明</w:t>
      </w:r>
    </w:p>
    <w:sdt>
      <w:sdtPr>
        <w:rPr>
          <w:rFonts w:hint="eastAsia"/>
          <w:szCs w:val="21"/>
        </w:rPr>
        <w:alias w:val="托管情况说明"/>
        <w:tag w:val="_GBC_d9d491be21024b81a256ed031360d8da"/>
        <w:id w:val="1516343107"/>
      </w:sdtPr>
      <w:sdtEndPr>
        <w:rPr>
          <w:rFonts w:hint="eastAsia"/>
          <w:szCs w:val="21"/>
        </w:rPr>
      </w:sdtEndPr>
      <w:sdtContent>
        <w:p w14:paraId="3D7BF82A">
          <w:pPr>
            <w:ind w:firstLine="420" w:firstLineChars="200"/>
            <w:rPr>
              <w:rFonts w:hint="eastAsia"/>
              <w:szCs w:val="21"/>
            </w:rPr>
          </w:pPr>
          <w:r>
            <w:rPr>
              <w:rFonts w:hint="eastAsia"/>
              <w:szCs w:val="21"/>
            </w:rPr>
            <w:t>公司与新兴际华资产经营管理有限公司于2022年9月30日在北京签署了《际华园委托经营管理协议》。根据协议约定，公司委托新兴际华资产经营管理有限公司对公司下属全资子公司重庆际华目的地中心实业有限公司、长春际华投资建设有限公司进行经营管理，委托管理期限至2025年12月31日。详见公司于2022年10月10日在上海证券交易所网站（www.sse.com.cn）披露的《关于委托管理际华园项目暨关联交易的公告》。</w:t>
          </w:r>
        </w:p>
        <w:p w14:paraId="57EC4231">
          <w:pPr>
            <w:ind w:firstLine="420" w:firstLineChars="200"/>
            <w:rPr>
              <w:rFonts w:hint="eastAsia"/>
              <w:szCs w:val="21"/>
            </w:rPr>
          </w:pPr>
          <w:r>
            <w:rPr>
              <w:rFonts w:hint="eastAsia"/>
              <w:szCs w:val="21"/>
            </w:rPr>
            <w:t>公司之子公司际华三五三六实业有限公司（以下简称“际华3536公司”）与新兴建新（深圳）开发控股有限公司（现已更名为“荷原置地控股有限公司”）于2022年9月30日在北京签署了《3536公司与新兴建新公司之带资代建协议》，委托新兴建新（深圳）开发控股有限公司对际华3536公司所持有的位于绵阳市棉兴路东段62号地块（以下简称“项目地块”）进行开发建设管理，由新兴建新公司负责项目融资、开发建设管理、销售管理等相关经营管理事宜，并收取融资利息以及代建服务费等相关费用。委托管理期限至项目最后一期销售物业交付满一个月为止。详见公司于2022年10月10日在上海证券交易所网站（www.sse.com.cn）披露的《关于全资子公司委托管理资产和业务暨关联交易的公告》。</w:t>
          </w:r>
        </w:p>
      </w:sdtContent>
    </w:sdt>
    <w:p w14:paraId="1DB430F6">
      <w:pPr>
        <w:rPr>
          <w:rFonts w:hint="eastAsia"/>
          <w:szCs w:val="21"/>
        </w:rPr>
      </w:pPr>
    </w:p>
    <w:p w14:paraId="6EFB0508">
      <w:pPr>
        <w:rPr>
          <w:rFonts w:hint="eastAsia"/>
          <w:szCs w:val="21"/>
        </w:rPr>
      </w:pPr>
    </w:p>
    <w:p w14:paraId="7D6AE2EE">
      <w:pPr>
        <w:rPr>
          <w:rFonts w:hint="eastAsia"/>
          <w:szCs w:val="21"/>
        </w:rPr>
        <w:sectPr>
          <w:pgSz w:w="16838" w:h="11906" w:orient="landscape"/>
          <w:pgMar w:top="1797" w:right="1525" w:bottom="1276" w:left="1440" w:header="855" w:footer="992" w:gutter="0"/>
          <w:cols w:space="425" w:num="1"/>
          <w:docGrid w:linePitch="312" w:charSpace="0"/>
        </w:sectPr>
      </w:pPr>
    </w:p>
    <w:p w14:paraId="3B4B9B3A">
      <w:pPr>
        <w:rPr>
          <w:rFonts w:hint="eastAsia"/>
          <w:szCs w:val="21"/>
        </w:rPr>
      </w:pPr>
    </w:p>
    <w:p w14:paraId="61B659C2">
      <w:pPr>
        <w:pStyle w:val="5"/>
        <w:numPr>
          <w:ilvl w:val="0"/>
          <w:numId w:val="63"/>
        </w:numPr>
        <w:rPr>
          <w:rFonts w:hint="eastAsia"/>
        </w:rPr>
      </w:pPr>
      <w:r>
        <w:rPr>
          <w:rFonts w:hint="eastAsia"/>
        </w:rPr>
        <w:t>承包情况</w:t>
      </w:r>
    </w:p>
    <w:sdt>
      <w:sdtPr>
        <w:alias w:val="是否适用：承包情况[双击切换]"/>
        <w:tag w:val="_GBC_ef45025eb2d84c78907511abec2bd222"/>
        <w:id w:val="1220328297"/>
        <w:placeholder>
          <w:docPart w:val="GBC22222222222222222222222222222"/>
        </w:placeholder>
      </w:sdtPr>
      <w:sdtContent>
        <w:p w14:paraId="74A38AE9">
          <w:pPr>
            <w:rPr>
              <w:rFonts w:hint="eastAs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C61B79E">
      <w:pPr>
        <w:rPr>
          <w:rFonts w:hint="eastAsia"/>
          <w:szCs w:val="21"/>
        </w:rPr>
      </w:pPr>
    </w:p>
    <w:p w14:paraId="2BCE21A2">
      <w:pPr>
        <w:pStyle w:val="5"/>
        <w:numPr>
          <w:ilvl w:val="0"/>
          <w:numId w:val="63"/>
        </w:numPr>
        <w:rPr>
          <w:rFonts w:hint="eastAsia"/>
        </w:rPr>
      </w:pPr>
      <w:r>
        <w:rPr>
          <w:rFonts w:hint="eastAsia"/>
        </w:rPr>
        <w:t>租赁情况</w:t>
      </w:r>
    </w:p>
    <w:sdt>
      <w:sdtPr>
        <w:alias w:val="是否适用：租赁情况[双击切换]"/>
        <w:tag w:val="_GBC_c1d0d78a63af4d48a7427277c2db3ac5"/>
        <w:id w:val="-1424254761"/>
        <w:placeholder>
          <w:docPart w:val="GBC22222222222222222222222222222"/>
        </w:placeholder>
      </w:sdtPr>
      <w:sdtContent>
        <w:p w14:paraId="2BFDA7F5">
          <w:pPr>
            <w:rPr>
              <w:rFonts w:hint="eastAs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D1BE47">
      <w:pPr>
        <w:rPr>
          <w:rFonts w:hint="eastAsia"/>
          <w:szCs w:val="21"/>
        </w:rPr>
      </w:pPr>
    </w:p>
    <w:p w14:paraId="42AF3631">
      <w:pPr>
        <w:pStyle w:val="4"/>
        <w:numPr>
          <w:ilvl w:val="0"/>
          <w:numId w:val="61"/>
        </w:numPr>
        <w:rPr>
          <w:szCs w:val="21"/>
        </w:rPr>
      </w:pPr>
      <w:bookmarkStart w:id="120" w:name="_Toc342565974"/>
      <w:bookmarkStart w:id="121" w:name="_Toc342491982"/>
      <w:bookmarkStart w:id="122" w:name="OLE_LINK3"/>
      <w:bookmarkStart w:id="123" w:name="OLE_LINK2"/>
      <w:r>
        <w:rPr>
          <w:szCs w:val="21"/>
        </w:rPr>
        <w:t>担保情况</w:t>
      </w:r>
      <w:bookmarkEnd w:id="120"/>
      <w:bookmarkEnd w:id="121"/>
    </w:p>
    <w:bookmarkEnd w:id="122"/>
    <w:bookmarkEnd w:id="123"/>
    <w:sdt>
      <w:sdtPr>
        <w:rPr>
          <w:szCs w:val="21"/>
        </w:rPr>
        <w:alias w:val="是否适用：担保情况[双击切换]"/>
        <w:tag w:val="_GBC_b799a3ac65f846e088fcfb2dd2591ede"/>
        <w:id w:val="-2043748934"/>
        <w:placeholder>
          <w:docPart w:val="GBC22222222222222222222222222222"/>
        </w:placeholder>
      </w:sdtPr>
      <w:sdtEndPr>
        <w:rPr>
          <w:szCs w:val="21"/>
        </w:rPr>
      </w:sdtEndPr>
      <w:sdtContent>
        <w:p w14:paraId="2B524C28">
          <w:pPr>
            <w:rPr>
              <w:rFonts w:hint="eastAsia"/>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F40769F">
      <w:pPr>
        <w:rPr>
          <w:rFonts w:hint="eastAsia" w:asciiTheme="minorEastAsia" w:hAnsiTheme="minorEastAsia" w:eastAsiaTheme="minorEastAsia"/>
          <w:szCs w:val="21"/>
        </w:rPr>
      </w:pPr>
    </w:p>
    <w:p w14:paraId="37136E4E">
      <w:pPr>
        <w:pStyle w:val="4"/>
        <w:numPr>
          <w:ilvl w:val="0"/>
          <w:numId w:val="61"/>
        </w:numPr>
        <w:rPr>
          <w:szCs w:val="21"/>
        </w:rPr>
      </w:pPr>
      <w:r>
        <w:rPr>
          <w:szCs w:val="21"/>
        </w:rPr>
        <w:t>委托他人进行现金资产管理的情况</w:t>
      </w:r>
    </w:p>
    <w:p w14:paraId="3E981F8A">
      <w:pPr>
        <w:pStyle w:val="5"/>
        <w:numPr>
          <w:ilvl w:val="0"/>
          <w:numId w:val="64"/>
        </w:numPr>
        <w:rPr>
          <w:rFonts w:hint="eastAsia"/>
        </w:rPr>
      </w:pPr>
      <w:r>
        <w:rPr>
          <w:rFonts w:hint="eastAsia"/>
        </w:rPr>
        <w:t>委托理财情况</w:t>
      </w:r>
    </w:p>
    <w:p w14:paraId="6CFEC679">
      <w:pPr>
        <w:pStyle w:val="6"/>
        <w:numPr>
          <w:ilvl w:val="0"/>
          <w:numId w:val="65"/>
        </w:numPr>
        <w:ind w:left="357" w:leftChars="0" w:hanging="357"/>
      </w:pPr>
      <w:r>
        <w:t>委托理财总体情况</w:t>
      </w:r>
    </w:p>
    <w:sdt>
      <w:sdtPr>
        <w:rPr>
          <w:rFonts w:hint="eastAsia"/>
        </w:rPr>
        <w:alias w:val="是否适用：委托理财总体情况[双击切换]"/>
        <w:tag w:val="_GBC_939edce711f74cc3bede852019388a3e"/>
        <w:id w:val="1540473739"/>
        <w:placeholder>
          <w:docPart w:val="GBC22222222222222222222222222222"/>
        </w:placeholder>
      </w:sdtPr>
      <w:sdtEndPr>
        <w:rPr>
          <w:rFonts w:hint="eastAsia"/>
        </w:rPr>
      </w:sdtEndPr>
      <w:sdtContent>
        <w:p w14:paraId="4EB5928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B469F57">
      <w:pPr>
        <w:rPr>
          <w:rFonts w:hint="eastAsia"/>
        </w:rPr>
      </w:pPr>
    </w:p>
    <w:p w14:paraId="26C3DA6E">
      <w:pPr>
        <w:rPr>
          <w:rFonts w:hint="eastAsia"/>
          <w:bCs/>
        </w:rPr>
      </w:pPr>
      <w:r>
        <w:rPr>
          <w:rFonts w:hint="eastAsia"/>
          <w:bCs/>
        </w:rPr>
        <w:t>其他情况</w:t>
      </w:r>
    </w:p>
    <w:sdt>
      <w:sdtPr>
        <w:rPr>
          <w:rFonts w:hint="eastAsia"/>
        </w:rPr>
        <w:alias w:val="是否适用：委托理财总体其他情况[双击切换]"/>
        <w:tag w:val="_GBC_4fb72032e5bd4642bf5eb2d83d5ca874"/>
        <w:id w:val="-10222803"/>
        <w:placeholder>
          <w:docPart w:val="GBC22222222222222222222222222222"/>
        </w:placeholder>
      </w:sdtPr>
      <w:sdtEndPr>
        <w:rPr>
          <w:rFonts w:hint="eastAsia"/>
        </w:rPr>
      </w:sdtEndPr>
      <w:sdtContent>
        <w:p w14:paraId="79E7FAA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387918A">
      <w:pPr>
        <w:rPr>
          <w:rFonts w:hint="eastAsia"/>
        </w:rPr>
      </w:pPr>
    </w:p>
    <w:p w14:paraId="12E72FE1">
      <w:pPr>
        <w:pStyle w:val="6"/>
        <w:numPr>
          <w:ilvl w:val="0"/>
          <w:numId w:val="65"/>
        </w:numPr>
        <w:ind w:left="357" w:leftChars="0" w:hanging="357"/>
      </w:pPr>
      <w:r>
        <w:t>单项委托理财情况</w:t>
      </w:r>
    </w:p>
    <w:sdt>
      <w:sdtPr>
        <w:rPr>
          <w:rFonts w:hint="eastAsia"/>
        </w:rPr>
        <w:alias w:val="是否适用：单项委托理财情况[双击切换]"/>
        <w:tag w:val="_GBC_049960b74e79480d8781c2d7d6a997dc"/>
        <w:id w:val="836496475"/>
        <w:placeholder>
          <w:docPart w:val="GBC22222222222222222222222222222"/>
        </w:placeholder>
      </w:sdtPr>
      <w:sdtEndPr>
        <w:rPr>
          <w:rFonts w:hint="eastAsia"/>
        </w:rPr>
      </w:sdtEndPr>
      <w:sdtContent>
        <w:p w14:paraId="3FDC023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5661015">
      <w:pPr>
        <w:rPr>
          <w:rFonts w:hint="eastAsia"/>
        </w:rPr>
      </w:pPr>
    </w:p>
    <w:p w14:paraId="764F0BB1">
      <w:pPr>
        <w:rPr>
          <w:rFonts w:hint="eastAsia"/>
          <w:bCs/>
        </w:rPr>
      </w:pPr>
      <w:r>
        <w:rPr>
          <w:rFonts w:hint="eastAsia"/>
          <w:bCs/>
        </w:rPr>
        <w:t>其他情况</w:t>
      </w:r>
    </w:p>
    <w:sdt>
      <w:sdtPr>
        <w:rPr>
          <w:rFonts w:hint="eastAsia"/>
        </w:rPr>
        <w:alias w:val="是否适用：单项委托理财其他情况[双击切换]"/>
        <w:tag w:val="_GBC_627c77e5ab674442a3b768741f653602"/>
        <w:id w:val="-1037193769"/>
        <w:placeholder>
          <w:docPart w:val="GBC22222222222222222222222222222"/>
        </w:placeholder>
      </w:sdtPr>
      <w:sdtEndPr>
        <w:rPr>
          <w:rFonts w:hint="eastAsia"/>
        </w:rPr>
      </w:sdtEndPr>
      <w:sdtContent>
        <w:p w14:paraId="48B70CD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173A5F6">
      <w:pPr>
        <w:rPr>
          <w:rFonts w:hint="eastAsia"/>
        </w:rPr>
      </w:pPr>
    </w:p>
    <w:p w14:paraId="3CB2A7C2">
      <w:pPr>
        <w:pStyle w:val="6"/>
        <w:numPr>
          <w:ilvl w:val="0"/>
          <w:numId w:val="65"/>
        </w:numPr>
        <w:ind w:left="357" w:leftChars="0" w:hanging="357"/>
      </w:pPr>
      <w:r>
        <w:t>委托理财减值准备</w:t>
      </w:r>
    </w:p>
    <w:sdt>
      <w:sdtPr>
        <w:rPr>
          <w:rFonts w:hint="eastAsia"/>
        </w:rPr>
        <w:alias w:val="是否适用：委托理财减值准备[双击切换]"/>
        <w:tag w:val="_GBC_8db4f6600a6746739610ffaaa34abeac"/>
        <w:id w:val="1921528912"/>
        <w:placeholder>
          <w:docPart w:val="GBC22222222222222222222222222222"/>
        </w:placeholder>
      </w:sdtPr>
      <w:sdtEndPr>
        <w:rPr>
          <w:rFonts w:hint="eastAsia"/>
        </w:rPr>
      </w:sdtEndPr>
      <w:sdtContent>
        <w:p w14:paraId="572E442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4F90B6C">
      <w:pPr>
        <w:rPr>
          <w:rFonts w:hint="eastAsia"/>
        </w:rPr>
      </w:pPr>
    </w:p>
    <w:p w14:paraId="0137E8C2">
      <w:pPr>
        <w:pStyle w:val="5"/>
        <w:numPr>
          <w:ilvl w:val="0"/>
          <w:numId w:val="64"/>
        </w:numPr>
        <w:rPr>
          <w:rFonts w:hint="eastAsia"/>
        </w:rPr>
      </w:pPr>
      <w:r>
        <w:rPr>
          <w:rFonts w:hint="eastAsia"/>
        </w:rPr>
        <w:t>委托贷款情况</w:t>
      </w:r>
    </w:p>
    <w:p w14:paraId="58E908A2">
      <w:pPr>
        <w:pStyle w:val="6"/>
        <w:numPr>
          <w:ilvl w:val="0"/>
          <w:numId w:val="66"/>
        </w:numPr>
        <w:ind w:left="357" w:leftChars="0" w:hanging="357"/>
      </w:pPr>
      <w:r>
        <w:t>委托贷款总体情况</w:t>
      </w:r>
    </w:p>
    <w:sdt>
      <w:sdtPr>
        <w:rPr>
          <w:rFonts w:hint="eastAsia"/>
        </w:rPr>
        <w:alias w:val="是否适用：委托贷款总体情况[双击切换]"/>
        <w:tag w:val="_GBC_6f663504a9e74d5c978e23554b4b84e4"/>
        <w:id w:val="823628485"/>
        <w:placeholder>
          <w:docPart w:val="GBC22222222222222222222222222222"/>
        </w:placeholder>
      </w:sdtPr>
      <w:sdtEndPr>
        <w:rPr>
          <w:rFonts w:hint="eastAsia"/>
        </w:rPr>
      </w:sdtEndPr>
      <w:sdtContent>
        <w:p w14:paraId="5C47286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19B554E">
      <w:pPr>
        <w:rPr>
          <w:rFonts w:hint="eastAsia"/>
        </w:rPr>
      </w:pPr>
    </w:p>
    <w:p w14:paraId="30E6B1AB">
      <w:pPr>
        <w:rPr>
          <w:rFonts w:hint="eastAsia"/>
          <w:bCs/>
        </w:rPr>
      </w:pPr>
      <w:r>
        <w:rPr>
          <w:rFonts w:hint="eastAsia"/>
          <w:bCs/>
        </w:rPr>
        <w:t>其他情况</w:t>
      </w:r>
    </w:p>
    <w:sdt>
      <w:sdtPr>
        <w:rPr>
          <w:rFonts w:hint="eastAsia"/>
        </w:rPr>
        <w:alias w:val="是否适用：委托贷款总体其他情况[双击切换]"/>
        <w:tag w:val="_GBC_a071e3ce40374c6bb1b2f2dc2158413e"/>
        <w:id w:val="-511454664"/>
        <w:placeholder>
          <w:docPart w:val="GBC22222222222222222222222222222"/>
        </w:placeholder>
      </w:sdtPr>
      <w:sdtEndPr>
        <w:rPr>
          <w:rFonts w:hint="eastAsia"/>
        </w:rPr>
      </w:sdtEndPr>
      <w:sdtContent>
        <w:p w14:paraId="71CA6A3A">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D5A312C">
      <w:pPr>
        <w:rPr>
          <w:rFonts w:hint="eastAsia"/>
        </w:rPr>
      </w:pPr>
    </w:p>
    <w:p w14:paraId="081D59CD">
      <w:pPr>
        <w:pStyle w:val="6"/>
        <w:numPr>
          <w:ilvl w:val="0"/>
          <w:numId w:val="66"/>
        </w:numPr>
        <w:ind w:left="357" w:leftChars="0" w:hanging="357"/>
      </w:pPr>
      <w:r>
        <w:t>单项委托贷款情况</w:t>
      </w:r>
    </w:p>
    <w:sdt>
      <w:sdtPr>
        <w:rPr>
          <w:rFonts w:hint="eastAsia"/>
        </w:rPr>
        <w:alias w:val="是否适用：单项委托贷款情况[双击切换]"/>
        <w:tag w:val="_GBC_30b7c4837f704dff80c05190f23d6f3e"/>
        <w:id w:val="382611954"/>
        <w:placeholder>
          <w:docPart w:val="GBC22222222222222222222222222222"/>
        </w:placeholder>
      </w:sdtPr>
      <w:sdtEndPr>
        <w:rPr>
          <w:rFonts w:hint="eastAsia"/>
        </w:rPr>
      </w:sdtEndPr>
      <w:sdtContent>
        <w:p w14:paraId="6316201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F9809DF">
      <w:pPr>
        <w:rPr>
          <w:rFonts w:hint="eastAsia"/>
        </w:rPr>
      </w:pPr>
    </w:p>
    <w:p w14:paraId="62D98385">
      <w:pPr>
        <w:rPr>
          <w:rFonts w:hint="eastAsia"/>
          <w:bCs/>
        </w:rPr>
      </w:pPr>
      <w:r>
        <w:rPr>
          <w:rFonts w:hint="eastAsia"/>
          <w:bCs/>
        </w:rPr>
        <w:t>其他情况</w:t>
      </w:r>
    </w:p>
    <w:p w14:paraId="435E10E0">
      <w:pPr>
        <w:rPr>
          <w:rFonts w:hint="eastAsia"/>
        </w:rPr>
      </w:pPr>
      <w:sdt>
        <w:sdtPr>
          <w:rPr>
            <w:rFonts w:hint="eastAsia"/>
          </w:rPr>
          <w:alias w:val="是否适用：单项委托贷款其他情况[双击切换]"/>
          <w:tag w:val="_GBC_7fbd63dcaf8a4899bcd830951796a261"/>
          <w:id w:val="1383906264"/>
          <w:placeholder>
            <w:docPart w:val="GBC22222222222222222222222222222"/>
          </w:placeholder>
        </w:sdtPr>
        <w:sdtEndPr>
          <w:rPr>
            <w:rFonts w:hint="eastAsia"/>
          </w:rPr>
        </w:sdtEndPr>
        <w:sdtContent>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0ABA3D51">
      <w:pPr>
        <w:rPr>
          <w:rFonts w:hint="eastAsia"/>
        </w:rPr>
      </w:pPr>
    </w:p>
    <w:p w14:paraId="25CEFB08">
      <w:pPr>
        <w:pStyle w:val="6"/>
        <w:numPr>
          <w:ilvl w:val="0"/>
          <w:numId w:val="66"/>
        </w:numPr>
        <w:ind w:left="357" w:leftChars="0" w:hanging="357"/>
      </w:pPr>
      <w:r>
        <w:t>委托贷款减值</w:t>
      </w:r>
      <w:r>
        <w:rPr>
          <w:rFonts w:hint="eastAsia"/>
        </w:rPr>
        <w:t>准备</w:t>
      </w:r>
    </w:p>
    <w:sdt>
      <w:sdtPr>
        <w:rPr>
          <w:rFonts w:hint="eastAsia"/>
        </w:rPr>
        <w:alias w:val="是否适用：委托贷款减值准备[双击切换]"/>
        <w:tag w:val="_GBC_72dc10eff44f4851bd80447a1199a033"/>
        <w:id w:val="-1146363471"/>
        <w:placeholder>
          <w:docPart w:val="GBC22222222222222222222222222222"/>
        </w:placeholder>
      </w:sdtPr>
      <w:sdtEndPr>
        <w:rPr>
          <w:rFonts w:hint="eastAsia"/>
        </w:rPr>
      </w:sdtEndPr>
      <w:sdtContent>
        <w:p w14:paraId="48C1215A">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0D27C4E">
      <w:pPr>
        <w:pStyle w:val="5"/>
        <w:numPr>
          <w:ilvl w:val="0"/>
          <w:numId w:val="64"/>
        </w:numPr>
        <w:rPr>
          <w:rFonts w:hint="eastAsia"/>
        </w:rPr>
      </w:pPr>
      <w:r>
        <w:rPr>
          <w:rFonts w:hint="eastAsia"/>
        </w:rPr>
        <w:t>其他情况</w:t>
      </w:r>
    </w:p>
    <w:sdt>
      <w:sdtPr>
        <w:rPr>
          <w:rFonts w:hint="eastAsia"/>
        </w:rPr>
        <w:alias w:val="是否适用：委托他人进行现金资产管理的其他情况[双击切换]"/>
        <w:tag w:val="_GBC_c408f1ecbaff4ed08e4dcfbbac8e0ccd"/>
        <w:id w:val="-1662155318"/>
        <w:placeholder>
          <w:docPart w:val="GBC22222222222222222222222222222"/>
        </w:placeholder>
      </w:sdtPr>
      <w:sdtEndPr>
        <w:rPr>
          <w:rFonts w:hint="eastAsia"/>
        </w:rPr>
      </w:sdtEndPr>
      <w:sdtContent>
        <w:p w14:paraId="53B3EBC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8688C5B">
      <w:pPr>
        <w:rPr>
          <w:rFonts w:hint="eastAsia"/>
        </w:rPr>
      </w:pPr>
    </w:p>
    <w:p w14:paraId="1DDD43D8">
      <w:pPr>
        <w:pStyle w:val="4"/>
        <w:numPr>
          <w:ilvl w:val="0"/>
          <w:numId w:val="61"/>
        </w:numPr>
        <w:rPr>
          <w:szCs w:val="21"/>
        </w:rPr>
      </w:pPr>
      <w:r>
        <w:rPr>
          <w:szCs w:val="21"/>
        </w:rPr>
        <w:t>其他重大合同</w:t>
      </w:r>
    </w:p>
    <w:sdt>
      <w:sdtPr>
        <w:rPr>
          <w:rFonts w:hint="eastAsia"/>
          <w:szCs w:val="21"/>
        </w:rPr>
        <w:alias w:val="是否适用：其他重大合同[双击切换]"/>
        <w:tag w:val="_GBC_541dd80939ae4bafb641675f942c4c14"/>
        <w:id w:val="-154140476"/>
        <w:placeholder>
          <w:docPart w:val="GBC22222222222222222222222222222"/>
        </w:placeholder>
      </w:sdtPr>
      <w:sdtEndPr>
        <w:rPr>
          <w:rFonts w:hint="eastAsia"/>
          <w:szCs w:val="21"/>
        </w:rPr>
      </w:sdtEndPr>
      <w:sdtContent>
        <w:p w14:paraId="7990EC2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E73FD0F">
      <w:pPr>
        <w:rPr>
          <w:rFonts w:hint="eastAsia"/>
          <w:szCs w:val="21"/>
        </w:rPr>
        <w:sectPr>
          <w:pgSz w:w="16838" w:h="11906" w:orient="landscape"/>
          <w:pgMar w:top="1797" w:right="1525" w:bottom="1276" w:left="1440" w:header="855" w:footer="992" w:gutter="0"/>
          <w:cols w:space="425" w:num="1"/>
          <w:docGrid w:linePitch="312" w:charSpace="0"/>
        </w:sectPr>
      </w:pPr>
      <w:bookmarkStart w:id="124" w:name="OLE_LINK12"/>
    </w:p>
    <w:p w14:paraId="47C19F1D">
      <w:pPr>
        <w:rPr>
          <w:rFonts w:hint="eastAsia"/>
          <w:szCs w:val="21"/>
        </w:rPr>
      </w:pPr>
    </w:p>
    <w:p w14:paraId="6A0205DB">
      <w:pPr>
        <w:pStyle w:val="3"/>
        <w:numPr>
          <w:ilvl w:val="0"/>
          <w:numId w:val="51"/>
        </w:numPr>
      </w:pPr>
      <w:bookmarkStart w:id="125" w:name="_Hlk72846301"/>
      <w:bookmarkStart w:id="126" w:name="_Hlk170215658"/>
      <w:bookmarkStart w:id="127" w:name="_Hlk182989663"/>
      <w:bookmarkStart w:id="128" w:name="_Hlk170206295"/>
      <w:r>
        <w:rPr>
          <w:rFonts w:hint="eastAsia"/>
        </w:rPr>
        <w:t>募集资金使用进展说明</w:t>
      </w:r>
    </w:p>
    <w:sdt>
      <w:sdtPr>
        <w:rPr>
          <w:color w:val="000000" w:themeColor="text1"/>
          <w14:textFill>
            <w14:solidFill>
              <w14:schemeClr w14:val="tx1"/>
            </w14:solidFill>
          </w14:textFill>
        </w:rPr>
        <w:alias w:val="是否适用：募集资金使用进展说明[双击切换]"/>
        <w:tag w:val="_GBC_4a9b3f05f0c443b28b4863d3686af0a7"/>
        <w:id w:val="-953788901"/>
        <w:lock w:val="contentLocked"/>
        <w:placeholder>
          <w:docPart w:val="GBC22222222222222222222222222222"/>
        </w:placeholder>
      </w:sdtPr>
      <w:sdtEndPr>
        <w:rPr>
          <w:color w:val="000000" w:themeColor="text1"/>
          <w14:textFill>
            <w14:solidFill>
              <w14:schemeClr w14:val="tx1"/>
            </w14:solidFill>
          </w14:textFill>
        </w:rPr>
      </w:sdtEndPr>
      <w:sdtContent>
        <w:p w14:paraId="3AA91532">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039EF316">
      <w:pPr>
        <w:pStyle w:val="4"/>
        <w:numPr>
          <w:ilvl w:val="0"/>
          <w:numId w:val="67"/>
        </w:numPr>
        <w:tabs>
          <w:tab w:val="left" w:pos="360"/>
        </w:tabs>
        <w:ind w:left="450" w:hanging="450"/>
        <w:rPr>
          <w:rFonts w:hint="eastAsia" w:ascii="宋体" w:hAnsi="宋体"/>
          <w:color w:val="000000" w:themeColor="text1"/>
          <w14:textFill>
            <w14:solidFill>
              <w14:schemeClr w14:val="tx1"/>
            </w14:solidFill>
          </w14:textFill>
        </w:rPr>
      </w:pPr>
      <w:bookmarkStart w:id="129" w:name="_Hlk90391863"/>
      <w:bookmarkStart w:id="130" w:name="_Hlk151129531"/>
      <w:bookmarkStart w:id="131" w:name="_Hlk168575638"/>
      <w:bookmarkStart w:id="132" w:name="_Hlk106290436"/>
      <w:r>
        <w:rPr>
          <w:rFonts w:hint="eastAsia" w:ascii="宋体" w:hAnsi="宋体"/>
          <w:color w:val="000000" w:themeColor="text1"/>
          <w14:textFill>
            <w14:solidFill>
              <w14:schemeClr w14:val="tx1"/>
            </w14:solidFill>
          </w14:textFill>
        </w:rPr>
        <w:t>募集资金整体使用情况</w:t>
      </w:r>
    </w:p>
    <w:sdt>
      <w:sdtPr>
        <w:rPr>
          <w:color w:val="000000" w:themeColor="text1"/>
          <w14:textFill>
            <w14:solidFill>
              <w14:schemeClr w14:val="tx1"/>
            </w14:solidFill>
          </w14:textFill>
        </w:rPr>
        <w:alias w:val="是否适用：募集资金整体使用情况[双击切换]"/>
        <w:tag w:val="_GBC_f7ce1753f5bd4373adb2e16c333fbcf8"/>
        <w:id w:val="-1425722053"/>
        <w:placeholder>
          <w:docPart w:val="GBC22222222222222222222222222222"/>
        </w:placeholder>
      </w:sdtPr>
      <w:sdtEndPr>
        <w:rPr>
          <w:color w:val="000000" w:themeColor="text1"/>
          <w14:textFill>
            <w14:solidFill>
              <w14:schemeClr w14:val="tx1"/>
            </w14:solidFill>
          </w14:textFill>
        </w:rPr>
      </w:sdtEndPr>
      <w:sdtContent>
        <w:p w14:paraId="03E05741">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50801E4C">
      <w:pPr>
        <w:ind w:right="105"/>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募集资金总体使用情况"/>
          <w:tag w:val="_GBC_ad688d771b5e424385610c20e582648e"/>
          <w:id w:val="159922039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061"/>
        <w:gridCol w:w="1078"/>
        <w:gridCol w:w="1079"/>
        <w:gridCol w:w="1079"/>
        <w:gridCol w:w="1059"/>
        <w:gridCol w:w="1079"/>
        <w:gridCol w:w="1056"/>
        <w:gridCol w:w="1059"/>
        <w:gridCol w:w="1059"/>
        <w:gridCol w:w="1059"/>
        <w:gridCol w:w="1056"/>
        <w:gridCol w:w="1078"/>
      </w:tblGrid>
      <w:tr w14:paraId="0BC0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sdt>
          <w:sdtPr>
            <w:tag w:val="_PLD_f6f1d998ccd247978de3bf98d3ec7d14"/>
            <w:id w:val="871116806"/>
          </w:sdtPr>
          <w:sdtContent>
            <w:tc>
              <w:tcPr>
                <w:tcW w:w="383" w:type="pct"/>
                <w:shd w:val="clear" w:color="auto" w:fill="auto"/>
                <w:vAlign w:val="center"/>
              </w:tcPr>
              <w:p w14:paraId="5E17209A">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募集资金</w:t>
                </w:r>
                <w:r>
                  <w:rPr>
                    <w:color w:val="000000" w:themeColor="text1"/>
                    <w14:textFill>
                      <w14:solidFill>
                        <w14:schemeClr w14:val="tx1"/>
                      </w14:solidFill>
                    </w14:textFill>
                  </w:rPr>
                  <w:t>来源</w:t>
                </w:r>
              </w:p>
            </w:tc>
          </w:sdtContent>
        </w:sdt>
        <w:tc>
          <w:tcPr>
            <w:tcW w:w="383" w:type="pct"/>
            <w:vAlign w:val="center"/>
          </w:tcPr>
          <w:sdt>
            <w:sdtPr>
              <w:tag w:val="_PLD_d475cde67d434322b3926f8ee6cb6efe"/>
              <w:id w:val="-1749495671"/>
            </w:sdtPr>
            <w:sdtContent>
              <w:p w14:paraId="384A895D">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募集资金到位时间</w:t>
                </w:r>
              </w:p>
            </w:sdtContent>
          </w:sdt>
        </w:tc>
        <w:sdt>
          <w:sdtPr>
            <w:tag w:val="_PLD_252fbd39a9aa4efb883074d613e0a1e1"/>
            <w:id w:val="1953430678"/>
          </w:sdtPr>
          <w:sdtContent>
            <w:tc>
              <w:tcPr>
                <w:tcW w:w="389" w:type="pct"/>
                <w:vAlign w:val="center"/>
              </w:tcPr>
              <w:p w14:paraId="1E849153">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募集资金总额</w:t>
                </w:r>
              </w:p>
            </w:tc>
          </w:sdtContent>
        </w:sdt>
        <w:sdt>
          <w:sdtPr>
            <w:tag w:val="_PLD_a851d7026a994562b874effec1349b64"/>
            <w:id w:val="1784152336"/>
          </w:sdtPr>
          <w:sdtContent>
            <w:tc>
              <w:tcPr>
                <w:tcW w:w="389" w:type="pct"/>
                <w:shd w:val="clear" w:color="auto" w:fill="auto"/>
                <w:vAlign w:val="center"/>
              </w:tcPr>
              <w:p w14:paraId="5EC7DD24">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募集资金净额（1）</w:t>
                </w:r>
              </w:p>
            </w:tc>
          </w:sdtContent>
        </w:sdt>
        <w:sdt>
          <w:sdtPr>
            <w:tag w:val="_PLD_6daf672bf88347618659de27fe421de3"/>
            <w:id w:val="360405459"/>
          </w:sdtPr>
          <w:sdtContent>
            <w:tc>
              <w:tcPr>
                <w:tcW w:w="389" w:type="pct"/>
                <w:shd w:val="clear" w:color="auto" w:fill="auto"/>
                <w:vAlign w:val="center"/>
              </w:tcPr>
              <w:p w14:paraId="347B8C90">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招股书或募集说明书中募集资金承诺投资总额（2</w:t>
                </w:r>
                <w:r>
                  <w:rPr>
                    <w:color w:val="000000" w:themeColor="text1"/>
                    <w14:textFill>
                      <w14:solidFill>
                        <w14:schemeClr w14:val="tx1"/>
                      </w14:solidFill>
                    </w14:textFill>
                  </w:rPr>
                  <w:t>）</w:t>
                </w:r>
              </w:p>
            </w:tc>
          </w:sdtContent>
        </w:sdt>
        <w:sdt>
          <w:sdtPr>
            <w:tag w:val="_PLD_4457c04ac0cd4c058c1d86573213f47c"/>
            <w:id w:val="1260710842"/>
          </w:sdtPr>
          <w:sdtContent>
            <w:tc>
              <w:tcPr>
                <w:tcW w:w="382" w:type="pct"/>
                <w:vAlign w:val="center"/>
              </w:tcPr>
              <w:p w14:paraId="02CC4C07">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超募资金总额（</w:t>
                </w:r>
                <w:r>
                  <w:rPr>
                    <w:color w:val="000000" w:themeColor="text1"/>
                    <w14:textFill>
                      <w14:solidFill>
                        <w14:schemeClr w14:val="tx1"/>
                      </w14:solidFill>
                    </w14:textFill>
                  </w:rPr>
                  <w:t>3）=（1）-（2）</w:t>
                </w:r>
              </w:p>
            </w:tc>
          </w:sdtContent>
        </w:sdt>
        <w:sdt>
          <w:sdtPr>
            <w:tag w:val="_PLD_2001aaa3bce24644967289df40b3ceb9"/>
            <w:id w:val="-1546510036"/>
          </w:sdtPr>
          <w:sdtContent>
            <w:tc>
              <w:tcPr>
                <w:tcW w:w="389" w:type="pct"/>
                <w:shd w:val="clear" w:color="auto" w:fill="auto"/>
                <w:vAlign w:val="center"/>
              </w:tcPr>
              <w:p w14:paraId="728D689B">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截至</w:t>
                </w:r>
                <w:r>
                  <w:rPr>
                    <w:color w:val="000000" w:themeColor="text1"/>
                    <w14:textFill>
                      <w14:solidFill>
                        <w14:schemeClr w14:val="tx1"/>
                      </w14:solidFill>
                    </w14:textFill>
                  </w:rPr>
                  <w:t>报告期末</w:t>
                </w:r>
                <w:r>
                  <w:rPr>
                    <w:rFonts w:hint="eastAsia"/>
                    <w:color w:val="000000" w:themeColor="text1"/>
                    <w14:textFill>
                      <w14:solidFill>
                        <w14:schemeClr w14:val="tx1"/>
                      </w14:solidFill>
                    </w14:textFill>
                  </w:rPr>
                  <w:t>累计投入募集资金总额（4）</w:t>
                </w:r>
              </w:p>
            </w:tc>
          </w:sdtContent>
        </w:sdt>
        <w:sdt>
          <w:sdtPr>
            <w:tag w:val="_PLD_287b63bde2f94d56bd75a4879a66d85a"/>
            <w:id w:val="-792589336"/>
          </w:sdtPr>
          <w:sdtContent>
            <w:tc>
              <w:tcPr>
                <w:tcW w:w="381" w:type="pct"/>
                <w:vAlign w:val="center"/>
              </w:tcPr>
              <w:p w14:paraId="35F2E7C4">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其中：截至报告期末超募资金累计投入总额</w:t>
                </w:r>
                <w:r>
                  <w:rPr>
                    <w:color w:val="000000" w:themeColor="text1"/>
                    <w14:textFill>
                      <w14:solidFill>
                        <w14:schemeClr w14:val="tx1"/>
                      </w14:solidFill>
                    </w14:textFill>
                  </w:rPr>
                  <w:t xml:space="preserve"> （5）</w:t>
                </w:r>
              </w:p>
            </w:tc>
          </w:sdtContent>
        </w:sdt>
        <w:sdt>
          <w:sdtPr>
            <w:tag w:val="_PLD_893378377fcf4f1b98058ddbe54894ac"/>
            <w:id w:val="546188403"/>
          </w:sdtPr>
          <w:sdtContent>
            <w:tc>
              <w:tcPr>
                <w:tcW w:w="382" w:type="pct"/>
                <w:shd w:val="clear" w:color="auto" w:fill="auto"/>
                <w:vAlign w:val="center"/>
              </w:tcPr>
              <w:p w14:paraId="42B21282">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截至报告期末募集资金累计投入进度（</w:t>
                </w:r>
                <w:r>
                  <w:rPr>
                    <w:color w:val="000000" w:themeColor="text1"/>
                    <w14:textFill>
                      <w14:solidFill>
                        <w14:schemeClr w14:val="tx1"/>
                      </w14:solidFill>
                    </w14:textFill>
                  </w:rPr>
                  <w:t>%）(6)＝(4)/(1)</w:t>
                </w:r>
              </w:p>
            </w:tc>
          </w:sdtContent>
        </w:sdt>
        <w:sdt>
          <w:sdtPr>
            <w:tag w:val="_PLD_18e3fddd7206486287c3bd864b934e3a"/>
            <w:id w:val="-1788342316"/>
          </w:sdtPr>
          <w:sdtContent>
            <w:tc>
              <w:tcPr>
                <w:tcW w:w="382" w:type="pct"/>
                <w:vAlign w:val="center"/>
              </w:tcPr>
              <w:p w14:paraId="447CE9EE">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截至报告期末超募资金累计投入进度（</w:t>
                </w:r>
                <w:r>
                  <w:rPr>
                    <w:color w:val="000000" w:themeColor="text1"/>
                    <w14:textFill>
                      <w14:solidFill>
                        <w14:schemeClr w14:val="tx1"/>
                      </w14:solidFill>
                    </w14:textFill>
                  </w:rPr>
                  <w:t>%）(7)＝(5)/(3)</w:t>
                </w:r>
              </w:p>
            </w:tc>
          </w:sdtContent>
        </w:sdt>
        <w:sdt>
          <w:sdtPr>
            <w:tag w:val="_PLD_5a5a62f015214297bbf828465bfbc8f4"/>
            <w:id w:val="-2089141200"/>
          </w:sdtPr>
          <w:sdtContent>
            <w:tc>
              <w:tcPr>
                <w:tcW w:w="382" w:type="pct"/>
                <w:shd w:val="clear" w:color="auto" w:fill="auto"/>
                <w:vAlign w:val="center"/>
              </w:tcPr>
              <w:p w14:paraId="07272E19">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本年度投入金额（8）</w:t>
                </w:r>
              </w:p>
            </w:tc>
          </w:sdtContent>
        </w:sdt>
        <w:sdt>
          <w:sdtPr>
            <w:tag w:val="_PLD_36978a8c17d4468c9ed997ff6b3b41b7"/>
            <w:id w:val="1179544474"/>
          </w:sdtPr>
          <w:sdtContent>
            <w:tc>
              <w:tcPr>
                <w:tcW w:w="381" w:type="pct"/>
                <w:shd w:val="clear" w:color="auto" w:fill="auto"/>
                <w:vAlign w:val="center"/>
              </w:tcPr>
              <w:p w14:paraId="0520385F">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本年度投入金额占比（%）（</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)/(1)</w:t>
                </w:r>
              </w:p>
            </w:tc>
          </w:sdtContent>
        </w:sdt>
        <w:tc>
          <w:tcPr>
            <w:tcW w:w="389" w:type="pct"/>
            <w:vAlign w:val="center"/>
          </w:tcPr>
          <w:sdt>
            <w:sdtPr>
              <w:tag w:val="_PLD_387eaf1380e44b8ab68c14cd62262945"/>
              <w:id w:val="1172677341"/>
            </w:sdtPr>
            <w:sdtContent>
              <w:p w14:paraId="401F4C55">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变更用途的募集资金总额</w:t>
                </w:r>
              </w:p>
            </w:sdtContent>
          </w:sdt>
        </w:tc>
      </w:tr>
      <w:tr w14:paraId="250C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sdt>
          <w:sdtPr>
            <w:rPr>
              <w:bCs/>
              <w:color w:val="000000" w:themeColor="text1"/>
              <w14:textFill>
                <w14:solidFill>
                  <w14:schemeClr w14:val="tx1"/>
                </w14:solidFill>
              </w14:textFill>
            </w:rPr>
            <w:alias w:val="募集资金整体使用情况_募集资金来源"/>
            <w:tag w:val="_GBC_c7eb32810fc5438a8c61d8f1cff9aaf5"/>
            <w:id w:val="1437712502"/>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14:textFill>
                <w14:solidFill>
                  <w14:schemeClr w14:val="tx1"/>
                </w14:solidFill>
              </w14:textFill>
            </w:rPr>
          </w:sdtEndPr>
          <w:sdtContent>
            <w:tc>
              <w:tcPr>
                <w:tcW w:w="383" w:type="pct"/>
                <w:shd w:val="clear" w:color="auto" w:fill="auto"/>
                <w:vAlign w:val="center"/>
              </w:tcPr>
              <w:p w14:paraId="6940D92D">
                <w:pPr>
                  <w:rPr>
                    <w:rFonts w:hint="eastAsia"/>
                    <w:bCs/>
                    <w:color w:val="000000" w:themeColor="text1"/>
                    <w14:textFill>
                      <w14:solidFill>
                        <w14:schemeClr w14:val="tx1"/>
                      </w14:solidFill>
                    </w14:textFill>
                  </w:rPr>
                </w:pPr>
                <w:bookmarkStart w:id="133" w:name="_Hlk169881517"/>
                <w:r>
                  <w:rPr>
                    <w:bCs/>
                    <w:color w:val="000000" w:themeColor="text1"/>
                    <w14:textFill>
                      <w14:solidFill>
                        <w14:schemeClr w14:val="tx1"/>
                      </w14:solidFill>
                    </w14:textFill>
                  </w:rPr>
                  <w:t>首次公开发行股票</w:t>
                </w:r>
              </w:p>
            </w:tc>
          </w:sdtContent>
        </w:sdt>
        <w:tc>
          <w:tcPr>
            <w:tcW w:w="383" w:type="pct"/>
            <w:vAlign w:val="center"/>
          </w:tcPr>
          <w:p w14:paraId="77D8774D">
            <w:pPr>
              <w:jc w:val="right"/>
              <w:rPr>
                <w:rFonts w:hint="eastAsia"/>
                <w:bCs/>
                <w:color w:val="000000" w:themeColor="text1"/>
                <w14:textFill>
                  <w14:solidFill>
                    <w14:schemeClr w14:val="tx1"/>
                  </w14:solidFill>
                </w14:textFill>
              </w:rPr>
            </w:pPr>
            <w:r>
              <w:rPr>
                <w:rFonts w:ascii="Arial Narrow" w:hAnsi="Arial Narrow" w:eastAsia="等线"/>
                <w:color w:val="000000"/>
                <w:szCs w:val="21"/>
              </w:rPr>
              <w:t>2010年8月4日</w:t>
            </w:r>
          </w:p>
        </w:tc>
        <w:tc>
          <w:tcPr>
            <w:tcW w:w="389" w:type="pct"/>
            <w:vAlign w:val="center"/>
          </w:tcPr>
          <w:p w14:paraId="4665AAA6">
            <w:pPr>
              <w:jc w:val="center"/>
              <w:rPr>
                <w:rFonts w:hint="eastAsia"/>
                <w:bCs/>
              </w:rPr>
            </w:pPr>
            <w:r>
              <w:rPr>
                <w:rFonts w:ascii="Arial Narrow" w:hAnsi="Arial Narrow" w:eastAsia="等线"/>
                <w:color w:val="000000"/>
                <w:szCs w:val="21"/>
              </w:rPr>
              <w:t>404,950.00</w:t>
            </w:r>
          </w:p>
        </w:tc>
        <w:tc>
          <w:tcPr>
            <w:tcW w:w="389" w:type="pct"/>
            <w:shd w:val="clear" w:color="auto" w:fill="auto"/>
            <w:vAlign w:val="center"/>
          </w:tcPr>
          <w:p w14:paraId="45508EE0">
            <w:pPr>
              <w:jc w:val="center"/>
              <w:rPr>
                <w:rFonts w:hint="eastAsia"/>
                <w:bCs/>
              </w:rPr>
            </w:pPr>
            <w:r>
              <w:rPr>
                <w:rFonts w:ascii="Arial Narrow" w:hAnsi="Arial Narrow" w:eastAsia="等线"/>
                <w:color w:val="000000"/>
                <w:szCs w:val="21"/>
              </w:rPr>
              <w:t>391,377.59</w:t>
            </w:r>
          </w:p>
        </w:tc>
        <w:tc>
          <w:tcPr>
            <w:tcW w:w="389" w:type="pct"/>
            <w:shd w:val="clear" w:color="auto" w:fill="auto"/>
            <w:vAlign w:val="center"/>
          </w:tcPr>
          <w:p w14:paraId="3E8608C8">
            <w:pPr>
              <w:jc w:val="center"/>
              <w:rPr>
                <w:rFonts w:hint="eastAsia"/>
                <w:bCs/>
              </w:rPr>
            </w:pPr>
            <w:r>
              <w:rPr>
                <w:rFonts w:ascii="Arial Narrow" w:hAnsi="Arial Narrow" w:eastAsia="等线"/>
                <w:color w:val="000000"/>
                <w:szCs w:val="21"/>
              </w:rPr>
              <w:t>324,799.00</w:t>
            </w:r>
          </w:p>
        </w:tc>
        <w:tc>
          <w:tcPr>
            <w:tcW w:w="382" w:type="pct"/>
            <w:vAlign w:val="center"/>
          </w:tcPr>
          <w:p w14:paraId="370BBF97">
            <w:pPr>
              <w:jc w:val="center"/>
              <w:rPr>
                <w:rFonts w:hint="eastAsia"/>
                <w:bCs/>
              </w:rPr>
            </w:pPr>
            <w:r>
              <w:rPr>
                <w:rFonts w:ascii="Arial Narrow" w:hAnsi="Arial Narrow" w:eastAsia="等线"/>
                <w:color w:val="000000"/>
                <w:szCs w:val="21"/>
              </w:rPr>
              <w:t>66,578.59</w:t>
            </w:r>
          </w:p>
        </w:tc>
        <w:tc>
          <w:tcPr>
            <w:tcW w:w="389" w:type="pct"/>
            <w:shd w:val="clear" w:color="auto" w:fill="auto"/>
            <w:vAlign w:val="center"/>
          </w:tcPr>
          <w:p w14:paraId="58C1E303">
            <w:pPr>
              <w:jc w:val="center"/>
              <w:rPr>
                <w:rFonts w:hint="eastAsia"/>
                <w:bCs/>
              </w:rPr>
            </w:pPr>
            <w:r>
              <w:rPr>
                <w:rFonts w:ascii="Arial Narrow" w:hAnsi="Arial Narrow" w:eastAsia="等线"/>
                <w:color w:val="000000"/>
                <w:szCs w:val="21"/>
              </w:rPr>
              <w:t>404,905.59</w:t>
            </w:r>
          </w:p>
        </w:tc>
        <w:tc>
          <w:tcPr>
            <w:tcW w:w="381" w:type="pct"/>
            <w:vAlign w:val="center"/>
          </w:tcPr>
          <w:p w14:paraId="212EDE28">
            <w:pPr>
              <w:jc w:val="center"/>
              <w:rPr>
                <w:rFonts w:hint="eastAsia"/>
                <w:bCs/>
              </w:rPr>
            </w:pPr>
            <w:r>
              <w:rPr>
                <w:rFonts w:ascii="Arial Narrow" w:hAnsi="Arial Narrow" w:eastAsia="等线"/>
                <w:color w:val="000000"/>
                <w:szCs w:val="21"/>
              </w:rPr>
              <w:t>66,578.59</w:t>
            </w:r>
          </w:p>
        </w:tc>
        <w:tc>
          <w:tcPr>
            <w:tcW w:w="382" w:type="pct"/>
            <w:shd w:val="clear" w:color="auto" w:fill="auto"/>
            <w:vAlign w:val="center"/>
          </w:tcPr>
          <w:p w14:paraId="1E0D65DF">
            <w:pPr>
              <w:jc w:val="center"/>
              <w:rPr>
                <w:rFonts w:hint="eastAsia"/>
                <w:bCs/>
              </w:rPr>
            </w:pPr>
            <w:r>
              <w:rPr>
                <w:rFonts w:ascii="Arial Narrow" w:hAnsi="Arial Narrow" w:eastAsia="等线"/>
                <w:color w:val="000000"/>
                <w:szCs w:val="21"/>
              </w:rPr>
              <w:t>103.46</w:t>
            </w:r>
          </w:p>
        </w:tc>
        <w:tc>
          <w:tcPr>
            <w:tcW w:w="382" w:type="pct"/>
            <w:vAlign w:val="center"/>
          </w:tcPr>
          <w:p w14:paraId="0309DE7A">
            <w:pPr>
              <w:jc w:val="center"/>
              <w:rPr>
                <w:rFonts w:hint="eastAsia"/>
                <w:bCs/>
              </w:rPr>
            </w:pPr>
            <w:r>
              <w:rPr>
                <w:rFonts w:ascii="Arial Narrow" w:hAnsi="Arial Narrow" w:eastAsia="等线"/>
                <w:color w:val="000000"/>
                <w:szCs w:val="21"/>
              </w:rPr>
              <w:t>100.00</w:t>
            </w:r>
          </w:p>
        </w:tc>
        <w:tc>
          <w:tcPr>
            <w:tcW w:w="382" w:type="pct"/>
            <w:shd w:val="clear" w:color="auto" w:fill="auto"/>
            <w:vAlign w:val="center"/>
          </w:tcPr>
          <w:p w14:paraId="2CA8A638">
            <w:pPr>
              <w:jc w:val="center"/>
              <w:rPr>
                <w:rFonts w:hint="eastAsia"/>
                <w:bCs/>
              </w:rPr>
            </w:pPr>
            <w:r>
              <w:rPr>
                <w:rFonts w:ascii="Arial Narrow" w:hAnsi="Arial Narrow" w:eastAsia="等线"/>
                <w:color w:val="000000"/>
                <w:szCs w:val="21"/>
              </w:rPr>
              <w:t>3,112.24</w:t>
            </w:r>
          </w:p>
        </w:tc>
        <w:tc>
          <w:tcPr>
            <w:tcW w:w="381" w:type="pct"/>
            <w:shd w:val="clear" w:color="auto" w:fill="auto"/>
            <w:vAlign w:val="center"/>
          </w:tcPr>
          <w:p w14:paraId="5CFD7927">
            <w:pPr>
              <w:jc w:val="center"/>
              <w:rPr>
                <w:rFonts w:hint="eastAsia"/>
                <w:bCs/>
              </w:rPr>
            </w:pPr>
            <w:r>
              <w:rPr>
                <w:rFonts w:ascii="Arial Narrow" w:hAnsi="Arial Narrow" w:eastAsia="等线"/>
                <w:color w:val="000000"/>
                <w:szCs w:val="21"/>
              </w:rPr>
              <w:t>0.80</w:t>
            </w:r>
          </w:p>
        </w:tc>
        <w:tc>
          <w:tcPr>
            <w:tcW w:w="389" w:type="pct"/>
            <w:vAlign w:val="center"/>
          </w:tcPr>
          <w:p w14:paraId="031DB09A">
            <w:pPr>
              <w:jc w:val="center"/>
              <w:rPr>
                <w:rFonts w:hint="eastAsia"/>
                <w:bCs/>
              </w:rPr>
            </w:pPr>
            <w:r>
              <w:rPr>
                <w:rFonts w:ascii="Arial Narrow" w:hAnsi="Arial Narrow" w:eastAsia="等线"/>
                <w:color w:val="000000"/>
                <w:szCs w:val="21"/>
              </w:rPr>
              <w:t>188,704.92</w:t>
            </w:r>
          </w:p>
        </w:tc>
      </w:tr>
      <w:tr w14:paraId="49D7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383" w:type="pct"/>
            <w:shd w:val="clear" w:color="auto" w:fill="auto"/>
            <w:vAlign w:val="center"/>
          </w:tcPr>
          <w:p w14:paraId="741C1973">
            <w:pP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向特定对象发行股票</w:t>
            </w:r>
          </w:p>
        </w:tc>
        <w:tc>
          <w:tcPr>
            <w:tcW w:w="383" w:type="pct"/>
            <w:vAlign w:val="center"/>
          </w:tcPr>
          <w:p w14:paraId="75093F98">
            <w:pPr>
              <w:jc w:val="right"/>
              <w:rPr>
                <w:rFonts w:hint="eastAsia"/>
                <w:bCs/>
                <w:color w:val="000000" w:themeColor="text1"/>
                <w14:textFill>
                  <w14:solidFill>
                    <w14:schemeClr w14:val="tx1"/>
                  </w14:solidFill>
                </w14:textFill>
              </w:rPr>
            </w:pPr>
            <w:r>
              <w:rPr>
                <w:rFonts w:ascii="Arial Narrow" w:hAnsi="Arial Narrow" w:eastAsia="等线"/>
                <w:color w:val="000000"/>
                <w:szCs w:val="21"/>
              </w:rPr>
              <w:t>2017年4月18日</w:t>
            </w:r>
          </w:p>
        </w:tc>
        <w:tc>
          <w:tcPr>
            <w:tcW w:w="389" w:type="pct"/>
            <w:vAlign w:val="center"/>
          </w:tcPr>
          <w:p w14:paraId="7ED99CEE">
            <w:pPr>
              <w:jc w:val="center"/>
              <w:rPr>
                <w:rFonts w:hint="eastAsia"/>
                <w:bCs/>
              </w:rPr>
            </w:pPr>
            <w:r>
              <w:rPr>
                <w:rFonts w:ascii="Arial Narrow" w:hAnsi="Arial Narrow" w:eastAsia="等线"/>
                <w:color w:val="000000"/>
                <w:szCs w:val="21"/>
              </w:rPr>
              <w:t>437,861.48</w:t>
            </w:r>
          </w:p>
        </w:tc>
        <w:tc>
          <w:tcPr>
            <w:tcW w:w="389" w:type="pct"/>
            <w:shd w:val="clear" w:color="auto" w:fill="auto"/>
            <w:vAlign w:val="center"/>
          </w:tcPr>
          <w:p w14:paraId="7D665A42">
            <w:pPr>
              <w:jc w:val="center"/>
              <w:rPr>
                <w:rFonts w:hint="eastAsia"/>
                <w:bCs/>
              </w:rPr>
            </w:pPr>
            <w:r>
              <w:rPr>
                <w:rFonts w:ascii="Arial Narrow" w:hAnsi="Arial Narrow" w:eastAsia="等线"/>
                <w:color w:val="000000"/>
                <w:szCs w:val="21"/>
              </w:rPr>
              <w:t>431,291.50</w:t>
            </w:r>
          </w:p>
        </w:tc>
        <w:tc>
          <w:tcPr>
            <w:tcW w:w="389" w:type="pct"/>
            <w:shd w:val="clear" w:color="auto" w:fill="auto"/>
            <w:vAlign w:val="center"/>
          </w:tcPr>
          <w:p w14:paraId="5AA1834C">
            <w:pPr>
              <w:jc w:val="center"/>
              <w:rPr>
                <w:rFonts w:hint="eastAsia"/>
                <w:bCs/>
              </w:rPr>
            </w:pPr>
            <w:r>
              <w:rPr>
                <w:rFonts w:ascii="Arial Narrow" w:hAnsi="Arial Narrow" w:eastAsia="等线"/>
                <w:color w:val="000000"/>
                <w:szCs w:val="21"/>
              </w:rPr>
              <w:t>440,000.00</w:t>
            </w:r>
          </w:p>
        </w:tc>
        <w:tc>
          <w:tcPr>
            <w:tcW w:w="382" w:type="pct"/>
            <w:vAlign w:val="center"/>
          </w:tcPr>
          <w:p w14:paraId="0136D50D">
            <w:pPr>
              <w:jc w:val="center"/>
              <w:rPr>
                <w:rFonts w:hint="eastAsia"/>
                <w:bCs/>
              </w:rPr>
            </w:pPr>
            <w:r>
              <w:rPr>
                <w:rFonts w:hint="eastAsia" w:ascii="Arial Narrow" w:hAnsi="Arial Narrow" w:eastAsia="等线"/>
                <w:color w:val="000000"/>
                <w:szCs w:val="21"/>
              </w:rPr>
              <w:t>不适用</w:t>
            </w:r>
          </w:p>
        </w:tc>
        <w:tc>
          <w:tcPr>
            <w:tcW w:w="389" w:type="pct"/>
            <w:shd w:val="clear" w:color="auto" w:fill="auto"/>
            <w:vAlign w:val="center"/>
          </w:tcPr>
          <w:p w14:paraId="2F98106A">
            <w:pPr>
              <w:jc w:val="center"/>
              <w:rPr>
                <w:rFonts w:hint="eastAsia"/>
                <w:bCs/>
              </w:rPr>
            </w:pPr>
            <w:r>
              <w:rPr>
                <w:rFonts w:ascii="Arial Narrow" w:hAnsi="Arial Narrow" w:eastAsia="等线"/>
                <w:color w:val="000000"/>
                <w:szCs w:val="21"/>
              </w:rPr>
              <w:t>328,208.18</w:t>
            </w:r>
          </w:p>
        </w:tc>
        <w:tc>
          <w:tcPr>
            <w:tcW w:w="381" w:type="pct"/>
            <w:vAlign w:val="center"/>
          </w:tcPr>
          <w:p w14:paraId="77BA914A">
            <w:pPr>
              <w:jc w:val="center"/>
              <w:rPr>
                <w:rFonts w:hint="eastAsia"/>
                <w:bCs/>
              </w:rPr>
            </w:pPr>
            <w:r>
              <w:rPr>
                <w:rFonts w:ascii="Arial Narrow" w:hAnsi="Arial Narrow" w:eastAsia="等线"/>
                <w:color w:val="000000"/>
                <w:szCs w:val="21"/>
              </w:rPr>
              <w:t>不适用</w:t>
            </w:r>
          </w:p>
        </w:tc>
        <w:tc>
          <w:tcPr>
            <w:tcW w:w="382" w:type="pct"/>
            <w:shd w:val="clear" w:color="auto" w:fill="auto"/>
            <w:vAlign w:val="center"/>
          </w:tcPr>
          <w:p w14:paraId="4B64C6F8">
            <w:pPr>
              <w:jc w:val="center"/>
              <w:rPr>
                <w:rFonts w:hint="eastAsia"/>
                <w:bCs/>
              </w:rPr>
            </w:pPr>
            <w:r>
              <w:rPr>
                <w:rFonts w:ascii="Arial Narrow" w:hAnsi="Arial Narrow" w:eastAsia="等线"/>
                <w:color w:val="000000"/>
                <w:szCs w:val="21"/>
              </w:rPr>
              <w:t>76.10</w:t>
            </w:r>
          </w:p>
        </w:tc>
        <w:tc>
          <w:tcPr>
            <w:tcW w:w="382" w:type="pct"/>
            <w:vAlign w:val="center"/>
          </w:tcPr>
          <w:p w14:paraId="7431FCB8">
            <w:pPr>
              <w:jc w:val="center"/>
              <w:rPr>
                <w:rFonts w:hint="eastAsia"/>
                <w:bCs/>
              </w:rPr>
            </w:pPr>
            <w:r>
              <w:rPr>
                <w:rFonts w:ascii="Arial Narrow" w:hAnsi="Arial Narrow" w:eastAsia="等线"/>
                <w:color w:val="000000"/>
                <w:szCs w:val="21"/>
              </w:rPr>
              <w:t>不适用</w:t>
            </w:r>
          </w:p>
        </w:tc>
        <w:tc>
          <w:tcPr>
            <w:tcW w:w="382" w:type="pct"/>
            <w:shd w:val="clear" w:color="auto" w:fill="auto"/>
            <w:vAlign w:val="center"/>
          </w:tcPr>
          <w:p w14:paraId="3CB91CE0">
            <w:pPr>
              <w:jc w:val="center"/>
              <w:rPr>
                <w:rFonts w:hint="eastAsia"/>
                <w:bCs/>
              </w:rPr>
            </w:pPr>
            <w:r>
              <w:rPr>
                <w:rFonts w:ascii="Arial Narrow" w:hAnsi="Arial Narrow" w:eastAsia="等线"/>
                <w:color w:val="000000"/>
                <w:szCs w:val="21"/>
              </w:rPr>
              <w:t>13,248.86</w:t>
            </w:r>
          </w:p>
        </w:tc>
        <w:tc>
          <w:tcPr>
            <w:tcW w:w="381" w:type="pct"/>
            <w:shd w:val="clear" w:color="auto" w:fill="auto"/>
            <w:vAlign w:val="center"/>
          </w:tcPr>
          <w:p w14:paraId="249584EF">
            <w:pPr>
              <w:jc w:val="center"/>
              <w:rPr>
                <w:rFonts w:hint="eastAsia"/>
                <w:bCs/>
              </w:rPr>
            </w:pPr>
            <w:r>
              <w:rPr>
                <w:rFonts w:ascii="Arial Narrow" w:hAnsi="Arial Narrow" w:eastAsia="等线"/>
                <w:color w:val="000000"/>
                <w:szCs w:val="21"/>
              </w:rPr>
              <w:t>3.07</w:t>
            </w:r>
          </w:p>
        </w:tc>
        <w:tc>
          <w:tcPr>
            <w:tcW w:w="389" w:type="pct"/>
            <w:vAlign w:val="center"/>
          </w:tcPr>
          <w:p w14:paraId="17198A36">
            <w:pPr>
              <w:jc w:val="center"/>
              <w:rPr>
                <w:rFonts w:hint="eastAsia"/>
                <w:bCs/>
              </w:rPr>
            </w:pPr>
            <w:r>
              <w:rPr>
                <w:rFonts w:ascii="Arial Narrow" w:hAnsi="Arial Narrow" w:eastAsia="等线"/>
                <w:color w:val="000000"/>
                <w:szCs w:val="21"/>
              </w:rPr>
              <w:t>194,517.23</w:t>
            </w:r>
          </w:p>
        </w:tc>
      </w:tr>
      <w:bookmarkEnd w:id="133"/>
      <w:tr w14:paraId="005E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83" w:type="pct"/>
            <w:shd w:val="clear" w:color="auto" w:fill="auto"/>
            <w:vAlign w:val="center"/>
          </w:tcPr>
          <w:p w14:paraId="7CD4B632">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383" w:type="pct"/>
            <w:vAlign w:val="center"/>
          </w:tcPr>
          <w:p w14:paraId="075E9D92">
            <w:pPr>
              <w:jc w:val="right"/>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389" w:type="pct"/>
            <w:vAlign w:val="center"/>
          </w:tcPr>
          <w:p w14:paraId="53CF91D3">
            <w:pPr>
              <w:jc w:val="center"/>
              <w:rPr>
                <w:rFonts w:hint="eastAsia"/>
                <w:bCs/>
              </w:rPr>
            </w:pPr>
            <w:r>
              <w:rPr>
                <w:rFonts w:ascii="Arial Narrow" w:hAnsi="Arial Narrow" w:eastAsia="等线"/>
                <w:color w:val="000000"/>
                <w:szCs w:val="21"/>
              </w:rPr>
              <w:t>842,811.48</w:t>
            </w:r>
          </w:p>
        </w:tc>
        <w:tc>
          <w:tcPr>
            <w:tcW w:w="389" w:type="pct"/>
            <w:shd w:val="clear" w:color="auto" w:fill="auto"/>
            <w:vAlign w:val="center"/>
          </w:tcPr>
          <w:p w14:paraId="5D1A36CC">
            <w:pPr>
              <w:jc w:val="center"/>
              <w:rPr>
                <w:rFonts w:hint="eastAsia"/>
                <w:bCs/>
              </w:rPr>
            </w:pPr>
            <w:r>
              <w:rPr>
                <w:rFonts w:ascii="Arial Narrow" w:hAnsi="Arial Narrow" w:eastAsia="等线"/>
                <w:color w:val="000000"/>
                <w:szCs w:val="21"/>
              </w:rPr>
              <w:t>822,669.09</w:t>
            </w:r>
          </w:p>
        </w:tc>
        <w:tc>
          <w:tcPr>
            <w:tcW w:w="389" w:type="pct"/>
            <w:shd w:val="clear" w:color="auto" w:fill="auto"/>
            <w:vAlign w:val="center"/>
          </w:tcPr>
          <w:p w14:paraId="51B52692">
            <w:pPr>
              <w:jc w:val="center"/>
              <w:rPr>
                <w:rFonts w:hint="eastAsia"/>
                <w:bCs/>
              </w:rPr>
            </w:pPr>
            <w:r>
              <w:rPr>
                <w:rFonts w:ascii="Arial Narrow" w:hAnsi="Arial Narrow" w:eastAsia="等线"/>
                <w:color w:val="000000"/>
                <w:szCs w:val="21"/>
              </w:rPr>
              <w:t>764,799.00</w:t>
            </w:r>
          </w:p>
        </w:tc>
        <w:tc>
          <w:tcPr>
            <w:tcW w:w="382" w:type="pct"/>
            <w:vAlign w:val="center"/>
          </w:tcPr>
          <w:p w14:paraId="2D958F8C">
            <w:pPr>
              <w:jc w:val="center"/>
              <w:rPr>
                <w:rFonts w:hint="eastAsia"/>
                <w:bCs/>
              </w:rPr>
            </w:pPr>
            <w:r>
              <w:rPr>
                <w:rFonts w:ascii="Arial Narrow" w:hAnsi="Arial Narrow" w:eastAsia="等线"/>
                <w:color w:val="000000"/>
                <w:szCs w:val="21"/>
              </w:rPr>
              <w:t>66,578.59</w:t>
            </w:r>
          </w:p>
        </w:tc>
        <w:tc>
          <w:tcPr>
            <w:tcW w:w="389" w:type="pct"/>
            <w:shd w:val="clear" w:color="auto" w:fill="auto"/>
            <w:vAlign w:val="center"/>
          </w:tcPr>
          <w:p w14:paraId="5DB0C5E6">
            <w:pPr>
              <w:jc w:val="center"/>
              <w:rPr>
                <w:rFonts w:hint="eastAsia"/>
                <w:bCs/>
              </w:rPr>
            </w:pPr>
            <w:r>
              <w:rPr>
                <w:rFonts w:ascii="Arial Narrow" w:hAnsi="Arial Narrow" w:eastAsia="等线"/>
                <w:color w:val="000000"/>
                <w:szCs w:val="21"/>
              </w:rPr>
              <w:t>733,113.77</w:t>
            </w:r>
          </w:p>
        </w:tc>
        <w:tc>
          <w:tcPr>
            <w:tcW w:w="381" w:type="pct"/>
            <w:vAlign w:val="center"/>
          </w:tcPr>
          <w:p w14:paraId="61A4F2CD">
            <w:pPr>
              <w:jc w:val="center"/>
              <w:rPr>
                <w:rFonts w:hint="eastAsia"/>
                <w:bCs/>
              </w:rPr>
            </w:pPr>
            <w:r>
              <w:rPr>
                <w:rFonts w:ascii="Arial Narrow" w:hAnsi="Arial Narrow" w:eastAsia="等线"/>
                <w:color w:val="000000"/>
                <w:szCs w:val="21"/>
              </w:rPr>
              <w:t>66,578.59</w:t>
            </w:r>
          </w:p>
        </w:tc>
        <w:tc>
          <w:tcPr>
            <w:tcW w:w="382" w:type="pct"/>
            <w:shd w:val="clear" w:color="auto" w:fill="auto"/>
            <w:vAlign w:val="center"/>
          </w:tcPr>
          <w:p w14:paraId="1003920B">
            <w:pPr>
              <w:jc w:val="center"/>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382" w:type="pct"/>
            <w:vAlign w:val="center"/>
          </w:tcPr>
          <w:p w14:paraId="7406753A">
            <w:pPr>
              <w:jc w:val="center"/>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382" w:type="pct"/>
            <w:shd w:val="clear" w:color="auto" w:fill="auto"/>
            <w:vAlign w:val="center"/>
          </w:tcPr>
          <w:p w14:paraId="36CC2BFB">
            <w:pPr>
              <w:jc w:val="center"/>
              <w:rPr>
                <w:rFonts w:hint="eastAsia"/>
                <w:bCs/>
              </w:rPr>
            </w:pPr>
            <w:r>
              <w:rPr>
                <w:rFonts w:ascii="Arial Narrow" w:hAnsi="Arial Narrow" w:eastAsia="等线"/>
                <w:color w:val="000000"/>
                <w:szCs w:val="21"/>
              </w:rPr>
              <w:t>16,361.10</w:t>
            </w:r>
          </w:p>
        </w:tc>
        <w:tc>
          <w:tcPr>
            <w:tcW w:w="381" w:type="pct"/>
            <w:shd w:val="clear" w:color="auto" w:fill="auto"/>
            <w:vAlign w:val="center"/>
          </w:tcPr>
          <w:p w14:paraId="51C0040A">
            <w:pPr>
              <w:jc w:val="center"/>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389" w:type="pct"/>
            <w:vAlign w:val="center"/>
          </w:tcPr>
          <w:p w14:paraId="4E67D4E4">
            <w:pPr>
              <w:jc w:val="center"/>
              <w:rPr>
                <w:rFonts w:hint="eastAsia"/>
                <w:bCs/>
              </w:rPr>
            </w:pPr>
            <w:r>
              <w:rPr>
                <w:rFonts w:ascii="Arial Narrow" w:hAnsi="Arial Narrow" w:eastAsia="等线"/>
                <w:color w:val="000000"/>
                <w:szCs w:val="21"/>
              </w:rPr>
              <w:t>383,222.15</w:t>
            </w:r>
          </w:p>
        </w:tc>
      </w:tr>
    </w:tbl>
    <w:p w14:paraId="5789290D">
      <w:pPr>
        <w:rPr>
          <w:rFonts w:hint="eastAsia"/>
          <w:color w:val="000000" w:themeColor="text1"/>
          <w14:textFill>
            <w14:solidFill>
              <w14:schemeClr w14:val="tx1"/>
            </w14:solidFill>
          </w14:textFill>
        </w:rPr>
      </w:pPr>
    </w:p>
    <w:bookmarkEnd w:id="129"/>
    <w:p w14:paraId="43F8CB0A">
      <w:pPr>
        <w:rPr>
          <w:rFonts w:hint="eastAsia"/>
        </w:rPr>
      </w:pPr>
      <w:bookmarkStart w:id="134" w:name="_Hlk184400120"/>
      <w:r>
        <w:rPr>
          <w:rFonts w:hint="eastAsia"/>
        </w:rPr>
        <w:t>其他说明</w:t>
      </w:r>
    </w:p>
    <w:sdt>
      <w:sdtPr>
        <w:rPr>
          <w:rFonts w:hint="eastAsia"/>
          <w:szCs w:val="21"/>
        </w:rPr>
        <w:alias w:val="是否适用：募集资金整体使用情况的其他说明[双击切换]"/>
        <w:tag w:val="_GBC_43d5b01093724b4eaae8b06c3d8b68ca"/>
        <w:id w:val="-926499800"/>
        <w:placeholder>
          <w:docPart w:val="GBC22222222222222222222222222222"/>
        </w:placeholder>
      </w:sdtPr>
      <w:sdtEndPr>
        <w:rPr>
          <w:rFonts w:hint="eastAsia"/>
          <w:szCs w:val="21"/>
        </w:rPr>
      </w:sdtEndPr>
      <w:sdtContent>
        <w:p w14:paraId="3A921567">
          <w:pPr>
            <w:rPr>
              <w:rFonts w:hint="eastAsia"/>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 xml:space="preserve"> MACROBUTTON  SnrToggleCheckbox □不适用 </w:instrText>
          </w:r>
          <w:r>
            <w:rPr>
              <w:rFonts w:hint="eastAsia"/>
              <w:szCs w:val="21"/>
            </w:rPr>
            <w:fldChar w:fldCharType="end"/>
          </w:r>
        </w:p>
      </w:sdtContent>
    </w:sdt>
    <w:sdt>
      <w:sdtPr>
        <w:rPr>
          <w:rFonts w:hint="eastAsia"/>
          <w:szCs w:val="21"/>
        </w:rPr>
        <w:alias w:val="募集资金整体使用情况的其他说明"/>
        <w:tag w:val="_GBC_aaa1ea5727b048a788e51caab5e4e137"/>
        <w:id w:val="-1334067451"/>
        <w:placeholder>
          <w:docPart w:val="GBC22222222222222222222222222222"/>
        </w:placeholder>
      </w:sdtPr>
      <w:sdtEndPr>
        <w:rPr>
          <w:rFonts w:hint="eastAsia"/>
          <w:szCs w:val="21"/>
        </w:rPr>
      </w:sdtEndPr>
      <w:sdtContent>
        <w:p w14:paraId="114BD0EF">
          <w:pPr>
            <w:rPr>
              <w:rFonts w:hint="eastAsia"/>
              <w:szCs w:val="21"/>
            </w:rPr>
          </w:pPr>
          <w:r>
            <w:rPr>
              <w:rFonts w:hint="eastAsia"/>
              <w:szCs w:val="21"/>
            </w:rPr>
            <w:t>无</w:t>
          </w:r>
        </w:p>
      </w:sdtContent>
    </w:sdt>
    <w:p w14:paraId="249B235D">
      <w:pPr>
        <w:rPr>
          <w:rFonts w:hint="eastAsia"/>
          <w:szCs w:val="21"/>
        </w:rPr>
      </w:pPr>
    </w:p>
    <w:bookmarkEnd w:id="124"/>
    <w:bookmarkEnd w:id="134"/>
    <w:p w14:paraId="6EA865A6">
      <w:pPr>
        <w:pStyle w:val="4"/>
        <w:numPr>
          <w:ilvl w:val="0"/>
          <w:numId w:val="67"/>
        </w:numPr>
        <w:tabs>
          <w:tab w:val="left" w:pos="360"/>
        </w:tabs>
        <w:ind w:left="450" w:hanging="450"/>
        <w:rPr>
          <w:rFonts w:hint="eastAsia" w:ascii="宋体" w:hAnsi="宋体"/>
          <w:color w:val="000000" w:themeColor="text1"/>
          <w14:textFill>
            <w14:solidFill>
              <w14:schemeClr w14:val="tx1"/>
            </w14:solidFill>
          </w14:textFill>
        </w:rPr>
      </w:pPr>
      <w:bookmarkStart w:id="135" w:name="_Hlk170305543"/>
      <w:r>
        <w:rPr>
          <w:rFonts w:hint="eastAsia" w:ascii="宋体" w:hAnsi="宋体"/>
          <w:color w:val="000000" w:themeColor="text1"/>
          <w14:textFill>
            <w14:solidFill>
              <w14:schemeClr w14:val="tx1"/>
            </w14:solidFill>
          </w14:textFill>
        </w:rPr>
        <w:t>募投项目明细</w:t>
      </w:r>
    </w:p>
    <w:sdt>
      <w:sdtPr>
        <w:rPr>
          <w:color w:val="000000" w:themeColor="text1"/>
          <w14:textFill>
            <w14:solidFill>
              <w14:schemeClr w14:val="tx1"/>
            </w14:solidFill>
          </w14:textFill>
        </w:rPr>
        <w:alias w:val="是否适用：募投项目明细[双击切换]"/>
        <w:tag w:val="_GBC_abbead06593244249f87dc857fe5bf23"/>
        <w:id w:val="2044553059"/>
        <w:placeholder>
          <w:docPart w:val="GBC22222222222222222222222222222"/>
        </w:placeholder>
      </w:sdtPr>
      <w:sdtEndPr>
        <w:rPr>
          <w:color w:val="000000" w:themeColor="text1"/>
          <w14:textFill>
            <w14:solidFill>
              <w14:schemeClr w14:val="tx1"/>
            </w14:solidFill>
          </w14:textFill>
        </w:rPr>
      </w:sdtEndPr>
      <w:sdtContent>
        <w:p w14:paraId="4D507A5B">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130"/>
    <w:bookmarkEnd w:id="135"/>
    <w:p w14:paraId="1621DFE2">
      <w:pPr>
        <w:pStyle w:val="44"/>
        <w:numPr>
          <w:ilvl w:val="0"/>
          <w:numId w:val="68"/>
        </w:numPr>
        <w:ind w:firstLineChars="0"/>
        <w:rPr>
          <w:rFonts w:hint="eastAsia" w:ascii="宋体" w:hAnsi="宋体" w:cs="宋体"/>
          <w:color w:val="000000" w:themeColor="text1"/>
          <w:kern w:val="0"/>
          <w:szCs w:val="21"/>
          <w14:textFill>
            <w14:solidFill>
              <w14:schemeClr w14:val="tx1"/>
            </w14:solidFill>
          </w14:textFill>
        </w:rPr>
      </w:pPr>
      <w:bookmarkStart w:id="136" w:name="_Hlk169882642"/>
      <w:r>
        <w:rPr>
          <w:rFonts w:hint="eastAsia" w:ascii="宋体" w:hAnsi="宋体" w:cs="宋体"/>
          <w:color w:val="000000" w:themeColor="text1"/>
          <w:kern w:val="0"/>
          <w:szCs w:val="21"/>
          <w14:textFill>
            <w14:solidFill>
              <w14:schemeClr w14:val="tx1"/>
            </w14:solidFill>
          </w14:textFill>
        </w:rPr>
        <w:t>募集资金明细使用情况</w:t>
      </w:r>
    </w:p>
    <w:p w14:paraId="2C96A1B1">
      <w:pPr>
        <w:rPr>
          <w:rFonts w:hint="eastAsia"/>
          <w:color w:val="000000" w:themeColor="text1"/>
          <w14:textFill>
            <w14:solidFill>
              <w14:schemeClr w14:val="tx1"/>
            </w14:solidFill>
          </w14:textFill>
        </w:rPr>
      </w:pPr>
      <w:sdt>
        <w:sdtPr>
          <w:rPr>
            <w:color w:val="000000" w:themeColor="text1"/>
            <w14:textFill>
              <w14:solidFill>
                <w14:schemeClr w14:val="tx1"/>
              </w14:solidFill>
            </w14:textFill>
          </w:rPr>
          <w:alias w:val="是否适用：募集资金明细使用情况[双击切换]"/>
          <w:tag w:val="_GBC_839f16b9626e4da581dbceef0e7a9f03"/>
          <w:id w:val="-375314206"/>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MACROBUTTON  SnrToggleCheckbox □不适用 </w:instrText>
          </w:r>
          <w:r>
            <w:rPr>
              <w:color w:val="000000" w:themeColor="text1"/>
              <w14:textFill>
                <w14:solidFill>
                  <w14:schemeClr w14:val="tx1"/>
                </w14:solidFill>
              </w14:textFill>
            </w:rPr>
            <w:fldChar w:fldCharType="end"/>
          </w:r>
        </w:sdtContent>
      </w:sdt>
    </w:p>
    <w:p w14:paraId="29C5D84F">
      <w:pPr>
        <w:ind w:right="105"/>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募集资金承诺项目情况"/>
          <w:tag w:val="_GBC_3e32cc36abc7448ab307b3c31209b85f"/>
          <w:id w:val="-1564320585"/>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p>
    <w:tbl>
      <w:tblPr>
        <w:tblStyle w:val="37"/>
        <w:tblW w:w="5000" w:type="pct"/>
        <w:jc w:val="center"/>
        <w:tblLayout w:type="autofit"/>
        <w:tblCellMar>
          <w:top w:w="0" w:type="dxa"/>
          <w:left w:w="108" w:type="dxa"/>
          <w:bottom w:w="0" w:type="dxa"/>
          <w:right w:w="108" w:type="dxa"/>
        </w:tblCellMar>
      </w:tblPr>
      <w:tblGrid>
        <w:gridCol w:w="750"/>
        <w:gridCol w:w="585"/>
        <w:gridCol w:w="618"/>
        <w:gridCol w:w="754"/>
        <w:gridCol w:w="632"/>
        <w:gridCol w:w="1016"/>
        <w:gridCol w:w="857"/>
        <w:gridCol w:w="1016"/>
        <w:gridCol w:w="1062"/>
        <w:gridCol w:w="754"/>
        <w:gridCol w:w="618"/>
        <w:gridCol w:w="674"/>
        <w:gridCol w:w="1117"/>
        <w:gridCol w:w="1023"/>
        <w:gridCol w:w="699"/>
        <w:gridCol w:w="751"/>
        <w:gridCol w:w="937"/>
      </w:tblGrid>
      <w:tr w14:paraId="3AB45495">
        <w:tblPrEx>
          <w:tblCellMar>
            <w:top w:w="0" w:type="dxa"/>
            <w:left w:w="108" w:type="dxa"/>
            <w:bottom w:w="0" w:type="dxa"/>
            <w:right w:w="108" w:type="dxa"/>
          </w:tblCellMar>
        </w:tblPrEx>
        <w:trPr>
          <w:trHeight w:val="2411" w:hRule="atLeast"/>
          <w:jc w:val="center"/>
        </w:trPr>
        <w:sdt>
          <w:sdtPr>
            <w:rPr>
              <w:sz w:val="16"/>
              <w:szCs w:val="20"/>
            </w:rPr>
            <w:tag w:val="_PLD_9b7af6ea34414343987ed059a3cec563"/>
            <w:id w:val="817384004"/>
          </w:sdtPr>
          <w:sdtEndPr>
            <w:rPr>
              <w:sz w:val="16"/>
              <w:szCs w:val="20"/>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26081818">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募集资金来源</w:t>
                </w:r>
              </w:p>
            </w:tc>
          </w:sdtContent>
        </w:sdt>
        <w:sdt>
          <w:sdtPr>
            <w:rPr>
              <w:sz w:val="16"/>
              <w:szCs w:val="20"/>
            </w:rPr>
            <w:tag w:val="_PLD_ecf366bee20d4650acb64a3a8375f8df"/>
            <w:id w:val="1847897416"/>
          </w:sdtPr>
          <w:sdtEndPr>
            <w:rPr>
              <w:sz w:val="16"/>
              <w:szCs w:val="20"/>
            </w:rPr>
          </w:sdtEndPr>
          <w:sdtContent>
            <w:tc>
              <w:tcPr>
                <w:tcW w:w="211" w:type="pct"/>
                <w:tcBorders>
                  <w:top w:val="single" w:color="auto" w:sz="4" w:space="0"/>
                  <w:left w:val="single" w:color="auto" w:sz="4" w:space="0"/>
                  <w:bottom w:val="single" w:color="auto" w:sz="4" w:space="0"/>
                  <w:right w:val="single" w:color="auto" w:sz="4" w:space="0"/>
                </w:tcBorders>
                <w:vAlign w:val="center"/>
              </w:tcPr>
              <w:p w14:paraId="1F911432">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项目</w:t>
                </w:r>
                <w:r>
                  <w:rPr>
                    <w:color w:val="000000" w:themeColor="text1"/>
                    <w:sz w:val="16"/>
                    <w:szCs w:val="20"/>
                    <w14:textFill>
                      <w14:solidFill>
                        <w14:schemeClr w14:val="tx1"/>
                      </w14:solidFill>
                    </w14:textFill>
                  </w:rPr>
                  <w:t>名称</w:t>
                </w:r>
              </w:p>
            </w:tc>
          </w:sdtContent>
        </w:sdt>
        <w:tc>
          <w:tcPr>
            <w:tcW w:w="223" w:type="pct"/>
            <w:tcBorders>
              <w:top w:val="single" w:color="auto" w:sz="4" w:space="0"/>
              <w:left w:val="single" w:color="auto" w:sz="4" w:space="0"/>
              <w:bottom w:val="single" w:color="auto" w:sz="4" w:space="0"/>
              <w:right w:val="single" w:color="auto" w:sz="4" w:space="0"/>
            </w:tcBorders>
            <w:vAlign w:val="center"/>
          </w:tcPr>
          <w:sdt>
            <w:sdtPr>
              <w:rPr>
                <w:sz w:val="16"/>
                <w:szCs w:val="20"/>
              </w:rPr>
              <w:tag w:val="_PLD_f98cac7bcf78466c85ecb218f09ac39c"/>
              <w:id w:val="249785711"/>
            </w:sdtPr>
            <w:sdtEndPr>
              <w:rPr>
                <w:sz w:val="16"/>
                <w:szCs w:val="20"/>
              </w:rPr>
            </w:sdtEndPr>
            <w:sdtContent>
              <w:p w14:paraId="1BC0783A">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项目性质</w:t>
                </w:r>
              </w:p>
            </w:sdtContent>
          </w:sdt>
        </w:tc>
        <w:tc>
          <w:tcPr>
            <w:tcW w:w="272" w:type="pct"/>
            <w:tcBorders>
              <w:top w:val="single" w:color="auto" w:sz="4" w:space="0"/>
              <w:left w:val="single" w:color="auto" w:sz="4" w:space="0"/>
              <w:bottom w:val="single" w:color="auto" w:sz="4" w:space="0"/>
              <w:right w:val="single" w:color="auto" w:sz="4" w:space="0"/>
            </w:tcBorders>
            <w:vAlign w:val="center"/>
          </w:tcPr>
          <w:sdt>
            <w:sdtPr>
              <w:rPr>
                <w:sz w:val="16"/>
                <w:szCs w:val="20"/>
              </w:rPr>
              <w:tag w:val="_PLD_e944350c269141a09d74509d4f1092a5"/>
              <w:id w:val="-1917545828"/>
            </w:sdtPr>
            <w:sdtEndPr>
              <w:rPr>
                <w:sz w:val="16"/>
                <w:szCs w:val="20"/>
              </w:rPr>
            </w:sdtEndPr>
            <w:sdtContent>
              <w:p w14:paraId="41D111CA">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是否为招股书或者募集说明书中的承诺投资项目</w:t>
                </w:r>
              </w:p>
            </w:sdtContent>
          </w:sdt>
        </w:tc>
        <w:sdt>
          <w:sdtPr>
            <w:rPr>
              <w:sz w:val="16"/>
              <w:szCs w:val="20"/>
            </w:rPr>
            <w:tag w:val="_PLD_3ee434ecffb542048a232e9d2b4d6b3b"/>
            <w:id w:val="-728386771"/>
          </w:sdtPr>
          <w:sdtEndPr>
            <w:rPr>
              <w:sz w:val="16"/>
              <w:szCs w:val="20"/>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CA443DF">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是否涉及变更投向</w:t>
                </w:r>
              </w:p>
            </w:tc>
          </w:sdtContent>
        </w:sdt>
        <w:tc>
          <w:tcPr>
            <w:tcW w:w="366" w:type="pct"/>
            <w:tcBorders>
              <w:top w:val="single" w:color="auto" w:sz="4" w:space="0"/>
              <w:left w:val="nil"/>
              <w:bottom w:val="single" w:color="auto" w:sz="4" w:space="0"/>
              <w:right w:val="single" w:color="auto" w:sz="4" w:space="0"/>
            </w:tcBorders>
            <w:vAlign w:val="center"/>
          </w:tcPr>
          <w:sdt>
            <w:sdtPr>
              <w:rPr>
                <w:sz w:val="16"/>
                <w:szCs w:val="20"/>
              </w:rPr>
              <w:tag w:val="_PLD_c79d561be6464936b713d5683391a4c8"/>
              <w:id w:val="1009651967"/>
            </w:sdtPr>
            <w:sdtEndPr>
              <w:rPr>
                <w:sz w:val="16"/>
                <w:szCs w:val="20"/>
              </w:rPr>
            </w:sdtEndPr>
            <w:sdtContent>
              <w:p w14:paraId="14CC76C4">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募集资金计划投资总额</w:t>
                </w:r>
                <w:r>
                  <w:rPr>
                    <w:color w:val="000000" w:themeColor="text1"/>
                    <w:sz w:val="16"/>
                    <w:szCs w:val="20"/>
                    <w14:textFill>
                      <w14:solidFill>
                        <w14:schemeClr w14:val="tx1"/>
                      </w14:solidFill>
                    </w14:textFill>
                  </w:rPr>
                  <w:t xml:space="preserve">  (1)</w:t>
                </w:r>
              </w:p>
            </w:sdtContent>
          </w:sdt>
        </w:tc>
        <w:sdt>
          <w:sdtPr>
            <w:rPr>
              <w:sz w:val="16"/>
              <w:szCs w:val="20"/>
            </w:rPr>
            <w:tag w:val="_PLD_8dc6ececb3c7439c897a8b394096aa2f"/>
            <w:id w:val="1250385888"/>
          </w:sdtPr>
          <w:sdtEndPr>
            <w:rPr>
              <w:sz w:val="16"/>
              <w:szCs w:val="20"/>
            </w:rPr>
          </w:sdtEndPr>
          <w:sdtContent>
            <w:tc>
              <w:tcPr>
                <w:tcW w:w="309" w:type="pct"/>
                <w:tcBorders>
                  <w:top w:val="single" w:color="auto" w:sz="4" w:space="0"/>
                  <w:left w:val="single" w:color="auto" w:sz="4" w:space="0"/>
                  <w:bottom w:val="single" w:color="auto" w:sz="4" w:space="0"/>
                  <w:right w:val="single" w:color="auto" w:sz="4" w:space="0"/>
                </w:tcBorders>
                <w:vAlign w:val="center"/>
              </w:tcPr>
              <w:p w14:paraId="02F4EBE3">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本年投入金额</w:t>
                </w:r>
              </w:p>
            </w:tc>
          </w:sdtContent>
        </w:sdt>
        <w:sdt>
          <w:sdtPr>
            <w:rPr>
              <w:sz w:val="16"/>
              <w:szCs w:val="20"/>
            </w:rPr>
            <w:tag w:val="_PLD_f16e87a767cc4d1f9a4b73758a01d1c7"/>
            <w:id w:val="1821924527"/>
          </w:sdtPr>
          <w:sdtEndPr>
            <w:rPr>
              <w:sz w:val="16"/>
              <w:szCs w:val="20"/>
            </w:rPr>
          </w:sdtEndPr>
          <w:sdtContent>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090A1D2A">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截至</w:t>
                </w:r>
                <w:r>
                  <w:rPr>
                    <w:color w:val="000000" w:themeColor="text1"/>
                    <w:sz w:val="16"/>
                    <w:szCs w:val="20"/>
                    <w14:textFill>
                      <w14:solidFill>
                        <w14:schemeClr w14:val="tx1"/>
                      </w14:solidFill>
                    </w14:textFill>
                  </w:rPr>
                  <w:t>报告期末</w:t>
                </w:r>
                <w:r>
                  <w:rPr>
                    <w:rFonts w:hint="eastAsia"/>
                    <w:color w:val="000000" w:themeColor="text1"/>
                    <w:sz w:val="16"/>
                    <w:szCs w:val="20"/>
                    <w14:textFill>
                      <w14:solidFill>
                        <w14:schemeClr w14:val="tx1"/>
                      </w14:solidFill>
                    </w14:textFill>
                  </w:rPr>
                  <w:t>累计投入募集资金总额（2）</w:t>
                </w:r>
              </w:p>
            </w:tc>
          </w:sdtContent>
        </w:sdt>
        <w:sdt>
          <w:sdtPr>
            <w:rPr>
              <w:sz w:val="16"/>
              <w:szCs w:val="20"/>
            </w:rPr>
            <w:tag w:val="_PLD_b986d7b889874c9dbd5510b848cca604"/>
            <w:id w:val="221798241"/>
          </w:sdtPr>
          <w:sdtEndPr>
            <w:rPr>
              <w:sz w:val="16"/>
              <w:szCs w:val="20"/>
            </w:rPr>
          </w:sdtEndPr>
          <w:sdtContent>
            <w:tc>
              <w:tcPr>
                <w:tcW w:w="383" w:type="pct"/>
                <w:tcBorders>
                  <w:top w:val="single" w:color="auto" w:sz="4" w:space="0"/>
                  <w:left w:val="nil"/>
                  <w:bottom w:val="single" w:color="auto" w:sz="4" w:space="0"/>
                  <w:right w:val="single" w:color="auto" w:sz="4" w:space="0"/>
                </w:tcBorders>
                <w:shd w:val="clear" w:color="auto" w:fill="auto"/>
                <w:vAlign w:val="center"/>
              </w:tcPr>
              <w:p w14:paraId="640D827D">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截至报告期末累计投入进度（%）</w:t>
                </w:r>
              </w:p>
              <w:p w14:paraId="7553E903">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(3)＝(2)/(1)</w:t>
                </w:r>
              </w:p>
            </w:tc>
          </w:sdtContent>
        </w:sdt>
        <w:sdt>
          <w:sdtPr>
            <w:rPr>
              <w:sz w:val="16"/>
              <w:szCs w:val="20"/>
            </w:rPr>
            <w:tag w:val="_PLD_39fcb47f6a914e0ab943c799f14760aa"/>
            <w:id w:val="1685866091"/>
          </w:sdtPr>
          <w:sdtEndPr>
            <w:rPr>
              <w:sz w:val="16"/>
              <w:szCs w:val="20"/>
            </w:rPr>
          </w:sdtEndPr>
          <w:sdtContent>
            <w:tc>
              <w:tcPr>
                <w:tcW w:w="272" w:type="pct"/>
                <w:tcBorders>
                  <w:top w:val="single" w:color="auto" w:sz="4" w:space="0"/>
                  <w:left w:val="nil"/>
                  <w:bottom w:val="single" w:color="auto" w:sz="4" w:space="0"/>
                  <w:right w:val="single" w:color="auto" w:sz="4" w:space="0"/>
                </w:tcBorders>
                <w:shd w:val="clear" w:color="auto" w:fill="auto"/>
                <w:vAlign w:val="center"/>
              </w:tcPr>
              <w:p w14:paraId="2F1F136C">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项目达到预定可使用状态日期</w:t>
                </w:r>
              </w:p>
            </w:tc>
          </w:sdtContent>
        </w:sdt>
        <w:sdt>
          <w:sdtPr>
            <w:rPr>
              <w:sz w:val="16"/>
              <w:szCs w:val="20"/>
            </w:rPr>
            <w:tag w:val="_PLD_9381d6c6fe2941a49b34cec3bd1be56f"/>
            <w:id w:val="-727681084"/>
          </w:sdtPr>
          <w:sdtEndPr>
            <w:rPr>
              <w:sz w:val="16"/>
              <w:szCs w:val="20"/>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5638EF79">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是否已结项</w:t>
                </w:r>
              </w:p>
            </w:tc>
          </w:sdtContent>
        </w:sdt>
        <w:sdt>
          <w:sdtPr>
            <w:rPr>
              <w:sz w:val="16"/>
              <w:szCs w:val="20"/>
            </w:rPr>
            <w:tag w:val="_PLD_d4208a32e2114142a41d010c92fb7a18"/>
            <w:id w:val="-408541574"/>
          </w:sdtPr>
          <w:sdtEndPr>
            <w:rPr>
              <w:sz w:val="16"/>
              <w:szCs w:val="20"/>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147DB9B">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投入进度是否符合计划的进度</w:t>
                </w:r>
              </w:p>
            </w:tc>
          </w:sdtContent>
        </w:sdt>
        <w:sdt>
          <w:sdtPr>
            <w:rPr>
              <w:sz w:val="16"/>
              <w:szCs w:val="20"/>
            </w:rPr>
            <w:tag w:val="_PLD_5e06c0a807df4cb9b107804b798d4796"/>
            <w:id w:val="1610311075"/>
          </w:sdtPr>
          <w:sdtEndPr>
            <w:rPr>
              <w:sz w:val="16"/>
              <w:szCs w:val="20"/>
            </w:rPr>
          </w:sdtEndPr>
          <w:sdtContent>
            <w:tc>
              <w:tcPr>
                <w:tcW w:w="403" w:type="pct"/>
                <w:tcBorders>
                  <w:top w:val="single" w:color="auto" w:sz="4" w:space="0"/>
                  <w:left w:val="nil"/>
                  <w:bottom w:val="single" w:color="auto" w:sz="4" w:space="0"/>
                  <w:right w:val="single" w:color="auto" w:sz="4" w:space="0"/>
                </w:tcBorders>
                <w:shd w:val="clear" w:color="auto" w:fill="auto"/>
                <w:vAlign w:val="center"/>
              </w:tcPr>
              <w:p w14:paraId="1CC0C3AB">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投入进度未达计划的具体原因</w:t>
                </w:r>
              </w:p>
            </w:tc>
          </w:sdtContent>
        </w:sdt>
        <w:sdt>
          <w:sdtPr>
            <w:rPr>
              <w:sz w:val="16"/>
              <w:szCs w:val="20"/>
            </w:rPr>
            <w:tag w:val="_PLD_42c857d45f4a4ca4bcae54e05ead4c08"/>
            <w:id w:val="1721245231"/>
          </w:sdtPr>
          <w:sdtEndPr>
            <w:rPr>
              <w:sz w:val="16"/>
              <w:szCs w:val="20"/>
            </w:rPr>
          </w:sdtEndPr>
          <w:sdtContent>
            <w:tc>
              <w:tcPr>
                <w:tcW w:w="369" w:type="pct"/>
                <w:tcBorders>
                  <w:top w:val="single" w:color="auto" w:sz="4" w:space="0"/>
                  <w:left w:val="single" w:color="auto" w:sz="4" w:space="0"/>
                  <w:bottom w:val="single" w:color="auto" w:sz="4" w:space="0"/>
                  <w:right w:val="single" w:color="auto" w:sz="4" w:space="0"/>
                </w:tcBorders>
                <w:vAlign w:val="center"/>
              </w:tcPr>
              <w:p w14:paraId="2A1F425A">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本年实现的效益</w:t>
                </w:r>
              </w:p>
            </w:tc>
          </w:sdtContent>
        </w:sdt>
        <w:sdt>
          <w:sdtPr>
            <w:rPr>
              <w:sz w:val="16"/>
              <w:szCs w:val="20"/>
            </w:rPr>
            <w:tag w:val="_PLD_025d24d144c44f1ba8da65ef3c2fb31a"/>
            <w:id w:val="1265416201"/>
          </w:sdtPr>
          <w:sdtEndPr>
            <w:rPr>
              <w:sz w:val="16"/>
              <w:szCs w:val="20"/>
            </w:rPr>
          </w:sdtEndPr>
          <w:sdtContent>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0C413843">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本项目已实现的效益或者研发成果</w:t>
                </w:r>
              </w:p>
            </w:tc>
          </w:sdtContent>
        </w:sdt>
        <w:sdt>
          <w:sdtPr>
            <w:rPr>
              <w:sz w:val="16"/>
              <w:szCs w:val="20"/>
            </w:rPr>
            <w:tag w:val="_PLD_9a999714f8c54bac844f2b200cd4ffa1"/>
            <w:id w:val="-2027246337"/>
          </w:sdtPr>
          <w:sdtEndPr>
            <w:rPr>
              <w:sz w:val="16"/>
              <w:szCs w:val="20"/>
            </w:rPr>
          </w:sdtEndPr>
          <w:sdtContent>
            <w:tc>
              <w:tcPr>
                <w:tcW w:w="271" w:type="pct"/>
                <w:tcBorders>
                  <w:top w:val="single" w:color="auto" w:sz="4" w:space="0"/>
                  <w:left w:val="nil"/>
                  <w:bottom w:val="single" w:color="auto" w:sz="4" w:space="0"/>
                  <w:right w:val="single" w:color="auto" w:sz="4" w:space="0"/>
                </w:tcBorders>
                <w:vAlign w:val="center"/>
              </w:tcPr>
              <w:p w14:paraId="3D181358">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项目可行性是否发生重大变化，</w:t>
                </w:r>
                <w:r>
                  <w:rPr>
                    <w:color w:val="000000" w:themeColor="text1"/>
                    <w:sz w:val="16"/>
                    <w:szCs w:val="20"/>
                    <w14:textFill>
                      <w14:solidFill>
                        <w14:schemeClr w14:val="tx1"/>
                      </w14:solidFill>
                    </w14:textFill>
                  </w:rPr>
                  <w:t>如是，请说明具体情况</w:t>
                </w:r>
              </w:p>
            </w:tc>
          </w:sdtContent>
        </w:sdt>
        <w:sdt>
          <w:sdtPr>
            <w:rPr>
              <w:sz w:val="16"/>
              <w:szCs w:val="20"/>
            </w:rPr>
            <w:tag w:val="_PLD_f97802568f6e40899f68486ce6661a46"/>
            <w:id w:val="498778425"/>
          </w:sdtPr>
          <w:sdtEndPr>
            <w:rPr>
              <w:sz w:val="16"/>
              <w:szCs w:val="20"/>
            </w:rPr>
          </w:sdtEndPr>
          <w:sdtContent>
            <w:tc>
              <w:tcPr>
                <w:tcW w:w="338" w:type="pct"/>
                <w:tcBorders>
                  <w:top w:val="single" w:color="auto" w:sz="4" w:space="0"/>
                  <w:left w:val="nil"/>
                  <w:bottom w:val="single" w:color="auto" w:sz="4" w:space="0"/>
                  <w:right w:val="single" w:color="auto" w:sz="4" w:space="0"/>
                </w:tcBorders>
                <w:vAlign w:val="center"/>
              </w:tcPr>
              <w:p w14:paraId="5FAAE8DD">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节余金额</w:t>
                </w:r>
              </w:p>
            </w:tc>
          </w:sdtContent>
        </w:sdt>
      </w:tr>
      <w:sdt>
        <w:sdtPr>
          <w:rPr>
            <w:bCs/>
            <w:color w:val="000000" w:themeColor="text1"/>
            <w:sz w:val="16"/>
            <w:szCs w:val="20"/>
            <w14:textFill>
              <w14:solidFill>
                <w14:schemeClr w14:val="tx1"/>
              </w14:solidFill>
            </w14:textFill>
          </w:rPr>
          <w:alias w:val="募集资金使用进展明细"/>
          <w:tag w:val="_TUP_e2bf835281dc4f11968c425e810c5155"/>
          <w:id w:val="689653360"/>
          <w:placeholder>
            <w:docPart w:val="683AC76003DF4D9F89E40EC27634BA56"/>
          </w:placeholder>
        </w:sdtPr>
        <w:sdtEndPr>
          <w:rPr>
            <w:bCs/>
            <w:color w:val="000000" w:themeColor="text1"/>
            <w:sz w:val="16"/>
            <w:szCs w:val="20"/>
            <w14:textFill>
              <w14:solidFill>
                <w14:schemeClr w14:val="tx1"/>
              </w14:solidFill>
            </w14:textFill>
          </w:rPr>
        </w:sdtEndPr>
        <w:sdtContent>
          <w:tr w14:paraId="5A22750A">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420528009"/>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331D99FE">
                    <w:pPr>
                      <w:rPr>
                        <w:rFonts w:hint="eastAsia"/>
                        <w:bCs/>
                        <w:color w:val="000000" w:themeColor="text1"/>
                        <w:sz w:val="16"/>
                        <w:szCs w:val="20"/>
                        <w14:textFill>
                          <w14:solidFill>
                            <w14:schemeClr w14:val="tx1"/>
                          </w14:solidFill>
                        </w14:textFill>
                      </w:rPr>
                    </w:pPr>
                    <w:bookmarkStart w:id="137" w:name="_Hlk169882430"/>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11A97227">
                <w:pPr>
                  <w:rPr>
                    <w:rFonts w:hint="eastAsia"/>
                    <w:bCs/>
                    <w:sz w:val="16"/>
                    <w:szCs w:val="20"/>
                  </w:rPr>
                </w:pPr>
                <w:r>
                  <w:rPr>
                    <w:rFonts w:hint="eastAsia"/>
                    <w:sz w:val="16"/>
                    <w:szCs w:val="20"/>
                  </w:rPr>
                  <w:t>智能化中高档职业装生产线技改项目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481348311"/>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2C8D039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44557983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8CF348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079583440"/>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0202C1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6D483589">
                <w:pPr>
                  <w:jc w:val="right"/>
                  <w:rPr>
                    <w:rFonts w:hint="eastAsia"/>
                    <w:bCs/>
                    <w:sz w:val="16"/>
                    <w:szCs w:val="20"/>
                  </w:rPr>
                </w:pPr>
                <w:r>
                  <w:rPr>
                    <w:rFonts w:hint="eastAsia"/>
                    <w:sz w:val="16"/>
                    <w:szCs w:val="20"/>
                  </w:rPr>
                  <w:t>21,646.62</w:t>
                </w:r>
              </w:p>
            </w:tc>
            <w:tc>
              <w:tcPr>
                <w:tcW w:w="309" w:type="pct"/>
                <w:tcBorders>
                  <w:top w:val="single" w:color="auto" w:sz="4" w:space="0"/>
                  <w:left w:val="single" w:color="auto" w:sz="4" w:space="0"/>
                  <w:bottom w:val="single" w:color="auto" w:sz="4" w:space="0"/>
                  <w:right w:val="single" w:color="auto" w:sz="4" w:space="0"/>
                </w:tcBorders>
                <w:vAlign w:val="center"/>
              </w:tcPr>
              <w:p w14:paraId="063AB80B">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5B335D2">
                <w:pPr>
                  <w:jc w:val="right"/>
                  <w:rPr>
                    <w:rFonts w:hint="eastAsia"/>
                    <w:bCs/>
                    <w:sz w:val="16"/>
                    <w:szCs w:val="20"/>
                  </w:rPr>
                </w:pPr>
                <w:r>
                  <w:rPr>
                    <w:rFonts w:hint="eastAsia"/>
                    <w:sz w:val="16"/>
                    <w:szCs w:val="20"/>
                  </w:rPr>
                  <w:t>21,646.62</w:t>
                </w:r>
              </w:p>
            </w:tc>
            <w:tc>
              <w:tcPr>
                <w:tcW w:w="383" w:type="pct"/>
                <w:tcBorders>
                  <w:top w:val="single" w:color="auto" w:sz="4" w:space="0"/>
                  <w:left w:val="nil"/>
                  <w:bottom w:val="single" w:color="auto" w:sz="4" w:space="0"/>
                  <w:right w:val="single" w:color="auto" w:sz="4" w:space="0"/>
                </w:tcBorders>
                <w:shd w:val="clear" w:color="auto" w:fill="auto"/>
                <w:vAlign w:val="center"/>
              </w:tcPr>
              <w:p w14:paraId="17247921">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6D47B789">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8941548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358E6B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51117330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34982D0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4D04866A">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41A569AC">
                <w:pPr>
                  <w:jc w:val="right"/>
                  <w:rPr>
                    <w:rFonts w:hint="eastAsia"/>
                    <w:bCs/>
                    <w:sz w:val="16"/>
                    <w:szCs w:val="20"/>
                  </w:rPr>
                </w:pPr>
                <w:r>
                  <w:rPr>
                    <w:rFonts w:hint="eastAsia"/>
                    <w:sz w:val="16"/>
                    <w:szCs w:val="20"/>
                  </w:rPr>
                  <w:t>3,275.14</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01D3CB2C">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52608BD">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0F2A0585">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828595423"/>
          <w:placeholder>
            <w:docPart w:val="683AC76003DF4D9F89E40EC27634BA56"/>
          </w:placeholder>
        </w:sdtPr>
        <w:sdtEndPr>
          <w:rPr>
            <w:bCs/>
            <w:color w:val="000000" w:themeColor="text1"/>
            <w:sz w:val="16"/>
            <w:szCs w:val="20"/>
            <w14:textFill>
              <w14:solidFill>
                <w14:schemeClr w14:val="tx1"/>
              </w14:solidFill>
            </w14:textFill>
          </w:rPr>
        </w:sdtEndPr>
        <w:sdtContent>
          <w:tr w14:paraId="01C0ECD6">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13143344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6F0E38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1255F5FC">
                <w:pPr>
                  <w:rPr>
                    <w:rFonts w:hint="eastAsia"/>
                    <w:bCs/>
                    <w:sz w:val="16"/>
                    <w:szCs w:val="20"/>
                  </w:rPr>
                </w:pPr>
                <w:r>
                  <w:rPr>
                    <w:rFonts w:hint="eastAsia"/>
                    <w:sz w:val="16"/>
                    <w:szCs w:val="20"/>
                  </w:rPr>
                  <w:t>高档针织面料及制品扩建改造项目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441829691"/>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06CA77B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34930048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205FD05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834211528"/>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16C9900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4DA702E8">
                <w:pPr>
                  <w:jc w:val="right"/>
                  <w:rPr>
                    <w:rFonts w:hint="eastAsia"/>
                    <w:bCs/>
                    <w:sz w:val="16"/>
                    <w:szCs w:val="20"/>
                  </w:rPr>
                </w:pPr>
                <w:r>
                  <w:rPr>
                    <w:rFonts w:hint="eastAsia"/>
                    <w:sz w:val="16"/>
                    <w:szCs w:val="20"/>
                  </w:rPr>
                  <w:t>4,429.32</w:t>
                </w:r>
              </w:p>
            </w:tc>
            <w:tc>
              <w:tcPr>
                <w:tcW w:w="309" w:type="pct"/>
                <w:tcBorders>
                  <w:top w:val="single" w:color="auto" w:sz="4" w:space="0"/>
                  <w:left w:val="single" w:color="auto" w:sz="4" w:space="0"/>
                  <w:bottom w:val="single" w:color="auto" w:sz="4" w:space="0"/>
                  <w:right w:val="single" w:color="auto" w:sz="4" w:space="0"/>
                </w:tcBorders>
                <w:vAlign w:val="center"/>
              </w:tcPr>
              <w:p w14:paraId="1B27581F">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4F6C6EEF">
                <w:pPr>
                  <w:jc w:val="right"/>
                  <w:rPr>
                    <w:rFonts w:hint="eastAsia"/>
                    <w:bCs/>
                    <w:sz w:val="16"/>
                    <w:szCs w:val="20"/>
                  </w:rPr>
                </w:pPr>
                <w:r>
                  <w:rPr>
                    <w:rFonts w:hint="eastAsia"/>
                    <w:sz w:val="16"/>
                    <w:szCs w:val="20"/>
                  </w:rPr>
                  <w:t>4,429.32</w:t>
                </w:r>
              </w:p>
            </w:tc>
            <w:tc>
              <w:tcPr>
                <w:tcW w:w="383" w:type="pct"/>
                <w:tcBorders>
                  <w:top w:val="single" w:color="auto" w:sz="4" w:space="0"/>
                  <w:left w:val="nil"/>
                  <w:bottom w:val="single" w:color="auto" w:sz="4" w:space="0"/>
                  <w:right w:val="single" w:color="auto" w:sz="4" w:space="0"/>
                </w:tcBorders>
                <w:shd w:val="clear" w:color="auto" w:fill="auto"/>
                <w:vAlign w:val="center"/>
              </w:tcPr>
              <w:p w14:paraId="0DE8A038">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30572C35">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44100008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B47B90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684540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29914DB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465ED346">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3EDBF8F3">
                <w:pPr>
                  <w:jc w:val="right"/>
                  <w:rPr>
                    <w:rFonts w:hint="eastAsia"/>
                    <w:bCs/>
                    <w:sz w:val="16"/>
                    <w:szCs w:val="20"/>
                  </w:rPr>
                </w:pPr>
                <w:r>
                  <w:rPr>
                    <w:rFonts w:hint="eastAsia"/>
                    <w:sz w:val="16"/>
                    <w:szCs w:val="20"/>
                  </w:rPr>
                  <w:t>506.17</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7EA57EC">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143BC3D1">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53D3DC8D">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471509246"/>
          <w:placeholder>
            <w:docPart w:val="683AC76003DF4D9F89E40EC27634BA56"/>
          </w:placeholder>
        </w:sdtPr>
        <w:sdtEndPr>
          <w:rPr>
            <w:bCs/>
            <w:color w:val="000000" w:themeColor="text1"/>
            <w:sz w:val="16"/>
            <w:szCs w:val="20"/>
            <w14:textFill>
              <w14:solidFill>
                <w14:schemeClr w14:val="tx1"/>
              </w14:solidFill>
            </w14:textFill>
          </w:rPr>
        </w:sdtEndPr>
        <w:sdtContent>
          <w:tr w14:paraId="388871FE">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11401202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14A788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0FEA206">
                <w:pPr>
                  <w:rPr>
                    <w:rFonts w:hint="eastAsia"/>
                    <w:bCs/>
                    <w:sz w:val="16"/>
                    <w:szCs w:val="20"/>
                  </w:rPr>
                </w:pPr>
                <w:r>
                  <w:rPr>
                    <w:rFonts w:hint="eastAsia"/>
                    <w:sz w:val="16"/>
                    <w:szCs w:val="20"/>
                  </w:rPr>
                  <w:t>军警靴、职业鞋靴技术装备升级扩建改造项目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78780692"/>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39A758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20984258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179BA27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234158287"/>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8B4C68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5A305F2A">
                <w:pPr>
                  <w:jc w:val="right"/>
                  <w:rPr>
                    <w:rFonts w:hint="eastAsia"/>
                    <w:bCs/>
                    <w:sz w:val="16"/>
                    <w:szCs w:val="20"/>
                  </w:rPr>
                </w:pPr>
                <w:r>
                  <w:rPr>
                    <w:rFonts w:hint="eastAsia"/>
                    <w:sz w:val="16"/>
                    <w:szCs w:val="20"/>
                  </w:rPr>
                  <w:t>5,326.93</w:t>
                </w:r>
              </w:p>
            </w:tc>
            <w:tc>
              <w:tcPr>
                <w:tcW w:w="309" w:type="pct"/>
                <w:tcBorders>
                  <w:top w:val="single" w:color="auto" w:sz="4" w:space="0"/>
                  <w:left w:val="single" w:color="auto" w:sz="4" w:space="0"/>
                  <w:bottom w:val="single" w:color="auto" w:sz="4" w:space="0"/>
                  <w:right w:val="single" w:color="auto" w:sz="4" w:space="0"/>
                </w:tcBorders>
                <w:vAlign w:val="center"/>
              </w:tcPr>
              <w:p w14:paraId="0CBFA45B">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2F10DF39">
                <w:pPr>
                  <w:jc w:val="right"/>
                  <w:rPr>
                    <w:rFonts w:hint="eastAsia"/>
                    <w:bCs/>
                    <w:sz w:val="16"/>
                    <w:szCs w:val="20"/>
                  </w:rPr>
                </w:pPr>
                <w:r>
                  <w:rPr>
                    <w:rFonts w:hint="eastAsia"/>
                    <w:sz w:val="16"/>
                    <w:szCs w:val="20"/>
                  </w:rPr>
                  <w:t>5,326.93</w:t>
                </w:r>
              </w:p>
            </w:tc>
            <w:tc>
              <w:tcPr>
                <w:tcW w:w="383" w:type="pct"/>
                <w:tcBorders>
                  <w:top w:val="single" w:color="auto" w:sz="4" w:space="0"/>
                  <w:left w:val="nil"/>
                  <w:bottom w:val="single" w:color="auto" w:sz="4" w:space="0"/>
                  <w:right w:val="single" w:color="auto" w:sz="4" w:space="0"/>
                </w:tcBorders>
                <w:shd w:val="clear" w:color="auto" w:fill="auto"/>
                <w:vAlign w:val="center"/>
              </w:tcPr>
              <w:p w14:paraId="35504EF8">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64F261F3">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87238051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41A489A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13329327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041DED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A0E3AF6">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6EF8E84D">
                <w:pPr>
                  <w:jc w:val="right"/>
                  <w:rPr>
                    <w:rFonts w:hint="eastAsia"/>
                    <w:bCs/>
                    <w:sz w:val="16"/>
                    <w:szCs w:val="20"/>
                  </w:rPr>
                </w:pPr>
                <w:r>
                  <w:rPr>
                    <w:rFonts w:hint="eastAsia"/>
                    <w:sz w:val="16"/>
                    <w:szCs w:val="20"/>
                  </w:rPr>
                  <w:t>3,197.37</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DF4B241">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0F675131">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09A275A8">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843214615"/>
          <w:placeholder>
            <w:docPart w:val="683AC76003DF4D9F89E40EC27634BA56"/>
          </w:placeholder>
        </w:sdtPr>
        <w:sdtEndPr>
          <w:rPr>
            <w:bCs/>
            <w:color w:val="000000" w:themeColor="text1"/>
            <w:sz w:val="16"/>
            <w:szCs w:val="20"/>
            <w14:textFill>
              <w14:solidFill>
                <w14:schemeClr w14:val="tx1"/>
              </w14:solidFill>
            </w14:textFill>
          </w:rPr>
        </w:sdtEndPr>
        <w:sdtContent>
          <w:tr w14:paraId="50ECA7AA">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52685161"/>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589ED7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776715E3">
                <w:pPr>
                  <w:rPr>
                    <w:rFonts w:hint="eastAsia"/>
                    <w:bCs/>
                    <w:sz w:val="16"/>
                    <w:szCs w:val="20"/>
                  </w:rPr>
                </w:pPr>
                <w:r>
                  <w:rPr>
                    <w:rFonts w:hint="eastAsia"/>
                    <w:sz w:val="16"/>
                    <w:szCs w:val="20"/>
                  </w:rPr>
                  <w:t>功能性职业鞋靴等技改工程项目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941186881"/>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8BF9FB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70916799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7A604D0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504018540"/>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B7731C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06BD5013">
                <w:pPr>
                  <w:jc w:val="right"/>
                  <w:rPr>
                    <w:rFonts w:hint="eastAsia"/>
                    <w:bCs/>
                    <w:sz w:val="16"/>
                    <w:szCs w:val="20"/>
                  </w:rPr>
                </w:pPr>
                <w:r>
                  <w:rPr>
                    <w:rFonts w:hint="eastAsia"/>
                    <w:sz w:val="16"/>
                    <w:szCs w:val="20"/>
                  </w:rPr>
                  <w:t>4,387.66</w:t>
                </w:r>
              </w:p>
            </w:tc>
            <w:tc>
              <w:tcPr>
                <w:tcW w:w="309" w:type="pct"/>
                <w:tcBorders>
                  <w:top w:val="single" w:color="auto" w:sz="4" w:space="0"/>
                  <w:left w:val="single" w:color="auto" w:sz="4" w:space="0"/>
                  <w:bottom w:val="single" w:color="auto" w:sz="4" w:space="0"/>
                  <w:right w:val="single" w:color="auto" w:sz="4" w:space="0"/>
                </w:tcBorders>
                <w:vAlign w:val="center"/>
              </w:tcPr>
              <w:p w14:paraId="27B5A5E5">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EAA167B">
                <w:pPr>
                  <w:jc w:val="right"/>
                  <w:rPr>
                    <w:rFonts w:hint="eastAsia"/>
                    <w:bCs/>
                    <w:sz w:val="16"/>
                    <w:szCs w:val="20"/>
                  </w:rPr>
                </w:pPr>
                <w:r>
                  <w:rPr>
                    <w:rFonts w:hint="eastAsia"/>
                    <w:sz w:val="16"/>
                    <w:szCs w:val="20"/>
                  </w:rPr>
                  <w:t>4,387.66</w:t>
                </w:r>
              </w:p>
            </w:tc>
            <w:tc>
              <w:tcPr>
                <w:tcW w:w="383" w:type="pct"/>
                <w:tcBorders>
                  <w:top w:val="single" w:color="auto" w:sz="4" w:space="0"/>
                  <w:left w:val="nil"/>
                  <w:bottom w:val="single" w:color="auto" w:sz="4" w:space="0"/>
                  <w:right w:val="single" w:color="auto" w:sz="4" w:space="0"/>
                </w:tcBorders>
                <w:shd w:val="clear" w:color="auto" w:fill="auto"/>
                <w:vAlign w:val="center"/>
              </w:tcPr>
              <w:p w14:paraId="5E2D7A26">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11B3DB40">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45294257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BEED8C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9774517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4FE27E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354E7156">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1D5EB999">
                <w:pPr>
                  <w:jc w:val="right"/>
                  <w:rPr>
                    <w:rFonts w:hint="eastAsia"/>
                    <w:bCs/>
                    <w:sz w:val="16"/>
                    <w:szCs w:val="20"/>
                  </w:rPr>
                </w:pPr>
                <w:r>
                  <w:rPr>
                    <w:rFonts w:hint="eastAsia"/>
                    <w:sz w:val="16"/>
                    <w:szCs w:val="20"/>
                  </w:rPr>
                  <w:t>577.42</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602F5C0">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4A9AB86A">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2CA1A967">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891146336"/>
          <w:placeholder>
            <w:docPart w:val="683AC76003DF4D9F89E40EC27634BA56"/>
          </w:placeholder>
        </w:sdtPr>
        <w:sdtEndPr>
          <w:rPr>
            <w:bCs/>
            <w:color w:val="000000" w:themeColor="text1"/>
            <w:sz w:val="16"/>
            <w:szCs w:val="20"/>
            <w14:textFill>
              <w14:solidFill>
                <w14:schemeClr w14:val="tx1"/>
              </w14:solidFill>
            </w14:textFill>
          </w:rPr>
        </w:sdtEndPr>
        <w:sdtContent>
          <w:tr w14:paraId="255376EB">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14403894"/>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21E8F70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159B252">
                <w:pPr>
                  <w:rPr>
                    <w:rFonts w:hint="eastAsia"/>
                    <w:bCs/>
                    <w:sz w:val="16"/>
                    <w:szCs w:val="20"/>
                  </w:rPr>
                </w:pPr>
                <w:r>
                  <w:rPr>
                    <w:rFonts w:hint="eastAsia"/>
                    <w:sz w:val="16"/>
                    <w:szCs w:val="20"/>
                  </w:rPr>
                  <w:t>功能性防护胶靴生产线技改项目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09910325"/>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91AA10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51526854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DA1181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420676494"/>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6826CBC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33656B50">
                <w:pPr>
                  <w:jc w:val="right"/>
                  <w:rPr>
                    <w:rFonts w:hint="eastAsia"/>
                    <w:bCs/>
                    <w:sz w:val="16"/>
                    <w:szCs w:val="20"/>
                  </w:rPr>
                </w:pPr>
                <w:r>
                  <w:rPr>
                    <w:rFonts w:hint="eastAsia"/>
                    <w:sz w:val="16"/>
                    <w:szCs w:val="20"/>
                  </w:rPr>
                  <w:t>2,700</w:t>
                </w:r>
              </w:p>
            </w:tc>
            <w:tc>
              <w:tcPr>
                <w:tcW w:w="309" w:type="pct"/>
                <w:tcBorders>
                  <w:top w:val="single" w:color="auto" w:sz="4" w:space="0"/>
                  <w:left w:val="single" w:color="auto" w:sz="4" w:space="0"/>
                  <w:bottom w:val="single" w:color="auto" w:sz="4" w:space="0"/>
                  <w:right w:val="single" w:color="auto" w:sz="4" w:space="0"/>
                </w:tcBorders>
                <w:vAlign w:val="center"/>
              </w:tcPr>
              <w:p w14:paraId="54D2AEDB">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18AFCBF">
                <w:pPr>
                  <w:jc w:val="right"/>
                  <w:rPr>
                    <w:rFonts w:hint="eastAsia"/>
                    <w:bCs/>
                    <w:sz w:val="16"/>
                    <w:szCs w:val="20"/>
                  </w:rPr>
                </w:pPr>
                <w:r>
                  <w:rPr>
                    <w:rFonts w:hint="eastAsia"/>
                    <w:sz w:val="16"/>
                    <w:szCs w:val="20"/>
                  </w:rPr>
                  <w:t>2,700</w:t>
                </w:r>
              </w:p>
            </w:tc>
            <w:tc>
              <w:tcPr>
                <w:tcW w:w="383" w:type="pct"/>
                <w:tcBorders>
                  <w:top w:val="single" w:color="auto" w:sz="4" w:space="0"/>
                  <w:left w:val="nil"/>
                  <w:bottom w:val="single" w:color="auto" w:sz="4" w:space="0"/>
                  <w:right w:val="single" w:color="auto" w:sz="4" w:space="0"/>
                </w:tcBorders>
                <w:shd w:val="clear" w:color="auto" w:fill="auto"/>
                <w:vAlign w:val="center"/>
              </w:tcPr>
              <w:p w14:paraId="3C0F0886">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27C6CE0E">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86101850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0DBAC9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8250137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6796EA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0B96ED4A">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3819E396">
                <w:pPr>
                  <w:jc w:val="right"/>
                  <w:rPr>
                    <w:rFonts w:hint="eastAsia"/>
                    <w:bCs/>
                    <w:sz w:val="16"/>
                    <w:szCs w:val="20"/>
                  </w:rPr>
                </w:pPr>
                <w:r>
                  <w:rPr>
                    <w:rFonts w:hint="eastAsia"/>
                    <w:sz w:val="16"/>
                    <w:szCs w:val="20"/>
                  </w:rPr>
                  <w:t>-268.47</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43CB1B4">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77A39C8">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67077D01">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793550277"/>
          <w:placeholder>
            <w:docPart w:val="683AC76003DF4D9F89E40EC27634BA56"/>
          </w:placeholder>
        </w:sdtPr>
        <w:sdtEndPr>
          <w:rPr>
            <w:bCs/>
            <w:color w:val="000000" w:themeColor="text1"/>
            <w:sz w:val="16"/>
            <w:szCs w:val="20"/>
            <w14:textFill>
              <w14:solidFill>
                <w14:schemeClr w14:val="tx1"/>
              </w14:solidFill>
            </w14:textFill>
          </w:rPr>
        </w:sdtEndPr>
        <w:sdtContent>
          <w:tr w14:paraId="0B734938">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052776181"/>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0E05C9E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F1F3CB2">
                <w:pPr>
                  <w:rPr>
                    <w:rFonts w:hint="eastAsia"/>
                    <w:bCs/>
                    <w:sz w:val="16"/>
                    <w:szCs w:val="20"/>
                  </w:rPr>
                </w:pPr>
                <w:r>
                  <w:rPr>
                    <w:rFonts w:hint="eastAsia"/>
                    <w:sz w:val="16"/>
                    <w:szCs w:val="20"/>
                  </w:rPr>
                  <w:t>中高档防寒裘皮及制品扩建项目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967053279"/>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3C683EB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86072780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063B12A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224599046"/>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23485E0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2A4BEA97">
                <w:pPr>
                  <w:jc w:val="right"/>
                  <w:rPr>
                    <w:rFonts w:hint="eastAsia"/>
                    <w:bCs/>
                    <w:sz w:val="16"/>
                    <w:szCs w:val="20"/>
                  </w:rPr>
                </w:pPr>
                <w:r>
                  <w:rPr>
                    <w:rFonts w:hint="eastAsia"/>
                    <w:sz w:val="16"/>
                    <w:szCs w:val="20"/>
                  </w:rPr>
                  <w:t>550.39</w:t>
                </w:r>
              </w:p>
            </w:tc>
            <w:tc>
              <w:tcPr>
                <w:tcW w:w="309" w:type="pct"/>
                <w:tcBorders>
                  <w:top w:val="single" w:color="auto" w:sz="4" w:space="0"/>
                  <w:left w:val="single" w:color="auto" w:sz="4" w:space="0"/>
                  <w:bottom w:val="single" w:color="auto" w:sz="4" w:space="0"/>
                  <w:right w:val="single" w:color="auto" w:sz="4" w:space="0"/>
                </w:tcBorders>
                <w:vAlign w:val="center"/>
              </w:tcPr>
              <w:p w14:paraId="3D73779A">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1C01322">
                <w:pPr>
                  <w:jc w:val="right"/>
                  <w:rPr>
                    <w:rFonts w:hint="eastAsia"/>
                    <w:bCs/>
                    <w:sz w:val="16"/>
                    <w:szCs w:val="20"/>
                  </w:rPr>
                </w:pPr>
                <w:r>
                  <w:rPr>
                    <w:rFonts w:hint="eastAsia"/>
                    <w:sz w:val="16"/>
                    <w:szCs w:val="20"/>
                  </w:rPr>
                  <w:t>550.39</w:t>
                </w:r>
              </w:p>
            </w:tc>
            <w:tc>
              <w:tcPr>
                <w:tcW w:w="383" w:type="pct"/>
                <w:tcBorders>
                  <w:top w:val="single" w:color="auto" w:sz="4" w:space="0"/>
                  <w:left w:val="nil"/>
                  <w:bottom w:val="single" w:color="auto" w:sz="4" w:space="0"/>
                  <w:right w:val="single" w:color="auto" w:sz="4" w:space="0"/>
                </w:tcBorders>
                <w:shd w:val="clear" w:color="auto" w:fill="auto"/>
                <w:vAlign w:val="center"/>
              </w:tcPr>
              <w:p w14:paraId="10AABE12">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014A6D4B">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66116086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F4F84E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8187650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48AB582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7061D6A0">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7473A36B">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3514446">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2FB4E368">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4984EC8A">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37399340"/>
          <w:placeholder>
            <w:docPart w:val="683AC76003DF4D9F89E40EC27634BA56"/>
          </w:placeholder>
        </w:sdtPr>
        <w:sdtEndPr>
          <w:rPr>
            <w:bCs/>
            <w:color w:val="000000" w:themeColor="text1"/>
            <w:sz w:val="16"/>
            <w:szCs w:val="20"/>
            <w14:textFill>
              <w14:solidFill>
                <w14:schemeClr w14:val="tx1"/>
              </w14:solidFill>
            </w14:textFill>
          </w:rPr>
        </w:sdtEndPr>
        <w:sdtContent>
          <w:tr w14:paraId="0437F41F">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21978355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0CCB01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278BB4BA">
                <w:pPr>
                  <w:rPr>
                    <w:rFonts w:hint="eastAsia"/>
                    <w:bCs/>
                    <w:sz w:val="16"/>
                    <w:szCs w:val="20"/>
                  </w:rPr>
                </w:pPr>
                <w:r>
                  <w:rPr>
                    <w:rFonts w:hint="eastAsia"/>
                    <w:sz w:val="16"/>
                    <w:szCs w:val="20"/>
                  </w:rPr>
                  <w:t>高档职业装面料、功能性面料及家纺制品技改项目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2048525173"/>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35A105A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97798426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7D62DFC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82407749"/>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53109F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5558865F">
                <w:pPr>
                  <w:jc w:val="right"/>
                  <w:rPr>
                    <w:rFonts w:hint="eastAsia"/>
                    <w:bCs/>
                    <w:sz w:val="16"/>
                    <w:szCs w:val="20"/>
                  </w:rPr>
                </w:pPr>
                <w:r>
                  <w:rPr>
                    <w:rFonts w:hint="eastAsia"/>
                    <w:sz w:val="16"/>
                    <w:szCs w:val="20"/>
                  </w:rPr>
                  <w:t>37,356.95</w:t>
                </w:r>
              </w:p>
            </w:tc>
            <w:tc>
              <w:tcPr>
                <w:tcW w:w="309" w:type="pct"/>
                <w:tcBorders>
                  <w:top w:val="single" w:color="auto" w:sz="4" w:space="0"/>
                  <w:left w:val="single" w:color="auto" w:sz="4" w:space="0"/>
                  <w:bottom w:val="single" w:color="auto" w:sz="4" w:space="0"/>
                  <w:right w:val="single" w:color="auto" w:sz="4" w:space="0"/>
                </w:tcBorders>
                <w:vAlign w:val="center"/>
              </w:tcPr>
              <w:p w14:paraId="4027E073">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4DA71DE">
                <w:pPr>
                  <w:jc w:val="right"/>
                  <w:rPr>
                    <w:rFonts w:hint="eastAsia"/>
                    <w:bCs/>
                    <w:sz w:val="16"/>
                    <w:szCs w:val="20"/>
                  </w:rPr>
                </w:pPr>
                <w:r>
                  <w:rPr>
                    <w:rFonts w:hint="eastAsia"/>
                    <w:sz w:val="16"/>
                    <w:szCs w:val="20"/>
                  </w:rPr>
                  <w:t>37,356.95</w:t>
                </w:r>
              </w:p>
            </w:tc>
            <w:tc>
              <w:tcPr>
                <w:tcW w:w="383" w:type="pct"/>
                <w:tcBorders>
                  <w:top w:val="single" w:color="auto" w:sz="4" w:space="0"/>
                  <w:left w:val="nil"/>
                  <w:bottom w:val="single" w:color="auto" w:sz="4" w:space="0"/>
                  <w:right w:val="single" w:color="auto" w:sz="4" w:space="0"/>
                </w:tcBorders>
                <w:shd w:val="clear" w:color="auto" w:fill="auto"/>
                <w:vAlign w:val="center"/>
              </w:tcPr>
              <w:p w14:paraId="5B4F4689">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0B51DD66">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209081218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5EA74D8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23315812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356D63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4565CEF5">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6DC15CF3">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2E17CF37">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62752B0C">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440162CC">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363219173"/>
          <w:placeholder>
            <w:docPart w:val="683AC76003DF4D9F89E40EC27634BA56"/>
          </w:placeholder>
        </w:sdtPr>
        <w:sdtEndPr>
          <w:rPr>
            <w:bCs/>
            <w:color w:val="000000" w:themeColor="text1"/>
            <w:sz w:val="16"/>
            <w:szCs w:val="20"/>
            <w14:textFill>
              <w14:solidFill>
                <w14:schemeClr w14:val="tx1"/>
              </w14:solidFill>
            </w14:textFill>
          </w:rPr>
        </w:sdtEndPr>
        <w:sdtContent>
          <w:tr w14:paraId="7303BCBD">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24569169"/>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19CEBB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2C0C2DB1">
                <w:pPr>
                  <w:rPr>
                    <w:rFonts w:hint="eastAsia"/>
                    <w:bCs/>
                    <w:sz w:val="16"/>
                    <w:szCs w:val="20"/>
                  </w:rPr>
                </w:pPr>
                <w:r>
                  <w:rPr>
                    <w:rFonts w:hint="eastAsia"/>
                    <w:sz w:val="16"/>
                    <w:szCs w:val="20"/>
                  </w:rPr>
                  <w:t>4万锭特种纱线技术改造项目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136836273"/>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A41A12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2176140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72D0952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54786377"/>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6F6212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6B61B87E">
                <w:pPr>
                  <w:jc w:val="right"/>
                  <w:rPr>
                    <w:rFonts w:hint="eastAsia"/>
                    <w:bCs/>
                    <w:sz w:val="16"/>
                    <w:szCs w:val="20"/>
                  </w:rPr>
                </w:pPr>
                <w:r>
                  <w:rPr>
                    <w:rFonts w:hint="eastAsia"/>
                    <w:sz w:val="16"/>
                    <w:szCs w:val="20"/>
                  </w:rPr>
                  <w:t>6,102.66</w:t>
                </w:r>
              </w:p>
            </w:tc>
            <w:tc>
              <w:tcPr>
                <w:tcW w:w="309" w:type="pct"/>
                <w:tcBorders>
                  <w:top w:val="single" w:color="auto" w:sz="4" w:space="0"/>
                  <w:left w:val="single" w:color="auto" w:sz="4" w:space="0"/>
                  <w:bottom w:val="single" w:color="auto" w:sz="4" w:space="0"/>
                  <w:right w:val="single" w:color="auto" w:sz="4" w:space="0"/>
                </w:tcBorders>
                <w:vAlign w:val="center"/>
              </w:tcPr>
              <w:p w14:paraId="1EEF9AE2">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9159329">
                <w:pPr>
                  <w:jc w:val="right"/>
                  <w:rPr>
                    <w:rFonts w:hint="eastAsia"/>
                    <w:bCs/>
                    <w:sz w:val="16"/>
                    <w:szCs w:val="20"/>
                  </w:rPr>
                </w:pPr>
                <w:r>
                  <w:rPr>
                    <w:rFonts w:hint="eastAsia"/>
                    <w:sz w:val="16"/>
                    <w:szCs w:val="20"/>
                  </w:rPr>
                  <w:t>6,102.66</w:t>
                </w:r>
              </w:p>
            </w:tc>
            <w:tc>
              <w:tcPr>
                <w:tcW w:w="383" w:type="pct"/>
                <w:tcBorders>
                  <w:top w:val="single" w:color="auto" w:sz="4" w:space="0"/>
                  <w:left w:val="nil"/>
                  <w:bottom w:val="single" w:color="auto" w:sz="4" w:space="0"/>
                  <w:right w:val="single" w:color="auto" w:sz="4" w:space="0"/>
                </w:tcBorders>
                <w:shd w:val="clear" w:color="auto" w:fill="auto"/>
                <w:vAlign w:val="center"/>
              </w:tcPr>
              <w:p w14:paraId="7BBB7B89">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627F2955">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8921595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436197B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3049675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1207232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36DC3B74">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39E19207">
                <w:pPr>
                  <w:jc w:val="right"/>
                  <w:rPr>
                    <w:rFonts w:hint="eastAsia"/>
                    <w:bCs/>
                    <w:sz w:val="16"/>
                    <w:szCs w:val="20"/>
                  </w:rPr>
                </w:pPr>
                <w:r>
                  <w:rPr>
                    <w:rFonts w:hint="eastAsia"/>
                    <w:sz w:val="16"/>
                    <w:szCs w:val="20"/>
                  </w:rPr>
                  <w:t>46.76</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DABFBEC">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69EC5D5B">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2BC656FC">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750502074"/>
          <w:placeholder>
            <w:docPart w:val="683AC76003DF4D9F89E40EC27634BA56"/>
          </w:placeholder>
        </w:sdtPr>
        <w:sdtEndPr>
          <w:rPr>
            <w:bCs/>
            <w:color w:val="000000" w:themeColor="text1"/>
            <w:sz w:val="16"/>
            <w:szCs w:val="20"/>
            <w14:textFill>
              <w14:solidFill>
                <w14:schemeClr w14:val="tx1"/>
              </w14:solidFill>
            </w14:textFill>
          </w:rPr>
        </w:sdtEndPr>
        <w:sdtContent>
          <w:tr w14:paraId="00EACF3A">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517463348"/>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16C8B8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C31B765">
                <w:pPr>
                  <w:rPr>
                    <w:rFonts w:hint="eastAsia"/>
                    <w:bCs/>
                    <w:sz w:val="16"/>
                    <w:szCs w:val="20"/>
                  </w:rPr>
                </w:pPr>
                <w:r>
                  <w:rPr>
                    <w:rFonts w:hint="eastAsia"/>
                    <w:sz w:val="16"/>
                    <w:szCs w:val="20"/>
                  </w:rPr>
                  <w:t>功能性伪装防护装具生产线技改项目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897861613"/>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A55998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44391637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50F0737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664899131"/>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338978E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3BEF7734">
                <w:pPr>
                  <w:jc w:val="right"/>
                  <w:rPr>
                    <w:rFonts w:hint="eastAsia"/>
                    <w:bCs/>
                    <w:sz w:val="16"/>
                    <w:szCs w:val="20"/>
                  </w:rPr>
                </w:pPr>
              </w:p>
            </w:tc>
            <w:tc>
              <w:tcPr>
                <w:tcW w:w="309" w:type="pct"/>
                <w:tcBorders>
                  <w:top w:val="single" w:color="auto" w:sz="4" w:space="0"/>
                  <w:left w:val="single" w:color="auto" w:sz="4" w:space="0"/>
                  <w:bottom w:val="single" w:color="auto" w:sz="4" w:space="0"/>
                  <w:right w:val="single" w:color="auto" w:sz="4" w:space="0"/>
                </w:tcBorders>
                <w:vAlign w:val="center"/>
              </w:tcPr>
              <w:p w14:paraId="6CBCDE74">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24AEFCCE">
                <w:pPr>
                  <w:jc w:val="right"/>
                  <w:rPr>
                    <w:rFonts w:hint="eastAsia"/>
                    <w:bCs/>
                    <w:sz w:val="16"/>
                    <w:szCs w:val="20"/>
                  </w:rPr>
                </w:pPr>
              </w:p>
            </w:tc>
            <w:tc>
              <w:tcPr>
                <w:tcW w:w="383" w:type="pct"/>
                <w:tcBorders>
                  <w:top w:val="single" w:color="auto" w:sz="4" w:space="0"/>
                  <w:left w:val="nil"/>
                  <w:bottom w:val="single" w:color="auto" w:sz="4" w:space="0"/>
                  <w:right w:val="single" w:color="auto" w:sz="4" w:space="0"/>
                </w:tcBorders>
                <w:shd w:val="clear" w:color="auto" w:fill="auto"/>
                <w:vAlign w:val="center"/>
              </w:tcPr>
              <w:p w14:paraId="68253DA1">
                <w:pPr>
                  <w:jc w:val="right"/>
                  <w:rPr>
                    <w:rFonts w:hint="eastAsia"/>
                    <w:bCs/>
                    <w:sz w:val="16"/>
                    <w:szCs w:val="20"/>
                  </w:rPr>
                </w:pPr>
                <w:r>
                  <w:rPr>
                    <w:rFonts w:hint="eastAsia"/>
                    <w:sz w:val="16"/>
                    <w:szCs w:val="20"/>
                  </w:rPr>
                  <w:t>/</w:t>
                </w:r>
              </w:p>
            </w:tc>
            <w:tc>
              <w:tcPr>
                <w:tcW w:w="272" w:type="pct"/>
                <w:tcBorders>
                  <w:top w:val="single" w:color="auto" w:sz="4" w:space="0"/>
                  <w:left w:val="nil"/>
                  <w:bottom w:val="single" w:color="auto" w:sz="4" w:space="0"/>
                  <w:right w:val="single" w:color="auto" w:sz="4" w:space="0"/>
                </w:tcBorders>
                <w:shd w:val="clear" w:color="auto" w:fill="auto"/>
                <w:vAlign w:val="center"/>
              </w:tcPr>
              <w:p w14:paraId="77BA3EAC">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3866935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F034FF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67831626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7D2047F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A76C61F">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199B6E01">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7AD7CE90">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441C5EFA">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0F746F9F">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381763779"/>
          <w:placeholder>
            <w:docPart w:val="683AC76003DF4D9F89E40EC27634BA56"/>
          </w:placeholder>
        </w:sdtPr>
        <w:sdtEndPr>
          <w:rPr>
            <w:bCs/>
            <w:color w:val="000000" w:themeColor="text1"/>
            <w:sz w:val="16"/>
            <w:szCs w:val="20"/>
            <w14:textFill>
              <w14:solidFill>
                <w14:schemeClr w14:val="tx1"/>
              </w14:solidFill>
            </w14:textFill>
          </w:rPr>
        </w:sdtEndPr>
        <w:sdtContent>
          <w:tr w14:paraId="7AE92AC4">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286420694"/>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4B1C9AD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236D21D8">
                <w:pPr>
                  <w:rPr>
                    <w:rFonts w:hint="eastAsia"/>
                    <w:bCs/>
                    <w:sz w:val="16"/>
                    <w:szCs w:val="20"/>
                  </w:rPr>
                </w:pPr>
                <w:r>
                  <w:rPr>
                    <w:rFonts w:hint="eastAsia"/>
                    <w:sz w:val="16"/>
                    <w:szCs w:val="20"/>
                  </w:rPr>
                  <w:t>高性能防弹材料及制品技术改造项目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258810477"/>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2CB8247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1645165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2F5B267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81286141"/>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6DFA98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5D768085">
                <w:pPr>
                  <w:jc w:val="right"/>
                  <w:rPr>
                    <w:rFonts w:hint="eastAsia"/>
                    <w:bCs/>
                    <w:sz w:val="16"/>
                    <w:szCs w:val="20"/>
                  </w:rPr>
                </w:pPr>
                <w:r>
                  <w:rPr>
                    <w:rFonts w:hint="eastAsia"/>
                    <w:sz w:val="16"/>
                    <w:szCs w:val="20"/>
                  </w:rPr>
                  <w:t>2,650.18</w:t>
                </w:r>
              </w:p>
            </w:tc>
            <w:tc>
              <w:tcPr>
                <w:tcW w:w="309" w:type="pct"/>
                <w:tcBorders>
                  <w:top w:val="single" w:color="auto" w:sz="4" w:space="0"/>
                  <w:left w:val="single" w:color="auto" w:sz="4" w:space="0"/>
                  <w:bottom w:val="single" w:color="auto" w:sz="4" w:space="0"/>
                  <w:right w:val="single" w:color="auto" w:sz="4" w:space="0"/>
                </w:tcBorders>
                <w:vAlign w:val="center"/>
              </w:tcPr>
              <w:p w14:paraId="262D532C">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3DC8531">
                <w:pPr>
                  <w:jc w:val="right"/>
                  <w:rPr>
                    <w:rFonts w:hint="eastAsia"/>
                    <w:bCs/>
                    <w:sz w:val="16"/>
                    <w:szCs w:val="20"/>
                  </w:rPr>
                </w:pPr>
                <w:r>
                  <w:rPr>
                    <w:rFonts w:hint="eastAsia"/>
                    <w:sz w:val="16"/>
                    <w:szCs w:val="20"/>
                  </w:rPr>
                  <w:t>2,650.18</w:t>
                </w:r>
              </w:p>
            </w:tc>
            <w:tc>
              <w:tcPr>
                <w:tcW w:w="383" w:type="pct"/>
                <w:tcBorders>
                  <w:top w:val="single" w:color="auto" w:sz="4" w:space="0"/>
                  <w:left w:val="nil"/>
                  <w:bottom w:val="single" w:color="auto" w:sz="4" w:space="0"/>
                  <w:right w:val="single" w:color="auto" w:sz="4" w:space="0"/>
                </w:tcBorders>
                <w:shd w:val="clear" w:color="auto" w:fill="auto"/>
                <w:vAlign w:val="center"/>
              </w:tcPr>
              <w:p w14:paraId="2DEE8A36">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3338F230">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60557133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2AAFFA9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95902739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3C2D8D4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3A91EADC">
                <w:pPr>
                  <w:rPr>
                    <w:rFonts w:hint="eastAsia"/>
                    <w:bCs/>
                    <w:sz w:val="16"/>
                    <w:szCs w:val="20"/>
                  </w:rPr>
                </w:pPr>
                <w:r>
                  <w:rPr>
                    <w:rFonts w:hint="eastAsia"/>
                    <w:bCs/>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0AEBBC63">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0A6D9DD">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6C00BA17">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72EFF725">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565075433"/>
          <w:placeholder>
            <w:docPart w:val="683AC76003DF4D9F89E40EC27634BA56"/>
          </w:placeholder>
        </w:sdtPr>
        <w:sdtEndPr>
          <w:rPr>
            <w:bCs/>
            <w:color w:val="000000" w:themeColor="text1"/>
            <w:sz w:val="16"/>
            <w:szCs w:val="20"/>
            <w14:textFill>
              <w14:solidFill>
                <w14:schemeClr w14:val="tx1"/>
              </w14:solidFill>
            </w14:textFill>
          </w:rPr>
        </w:sdtEndPr>
        <w:sdtContent>
          <w:tr w14:paraId="77924F01">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846948369"/>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E1AA9C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3FF0D60B">
                <w:pPr>
                  <w:rPr>
                    <w:rFonts w:hint="eastAsia"/>
                    <w:bCs/>
                    <w:sz w:val="16"/>
                    <w:szCs w:val="20"/>
                  </w:rPr>
                </w:pPr>
                <w:r>
                  <w:rPr>
                    <w:rFonts w:hint="eastAsia"/>
                    <w:sz w:val="16"/>
                    <w:szCs w:val="20"/>
                  </w:rPr>
                  <w:t>多功能运输装备舱技改项目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98483128"/>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550432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03217668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32D233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860737714"/>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35AD762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5A99DF2D">
                <w:pPr>
                  <w:jc w:val="right"/>
                  <w:rPr>
                    <w:rFonts w:hint="eastAsia"/>
                    <w:bCs/>
                    <w:sz w:val="16"/>
                    <w:szCs w:val="20"/>
                  </w:rPr>
                </w:pPr>
                <w:r>
                  <w:rPr>
                    <w:rFonts w:hint="eastAsia"/>
                    <w:sz w:val="16"/>
                    <w:szCs w:val="20"/>
                  </w:rPr>
                  <w:t>5,000</w:t>
                </w:r>
              </w:p>
            </w:tc>
            <w:tc>
              <w:tcPr>
                <w:tcW w:w="309" w:type="pct"/>
                <w:tcBorders>
                  <w:top w:val="single" w:color="auto" w:sz="4" w:space="0"/>
                  <w:left w:val="single" w:color="auto" w:sz="4" w:space="0"/>
                  <w:bottom w:val="single" w:color="auto" w:sz="4" w:space="0"/>
                  <w:right w:val="single" w:color="auto" w:sz="4" w:space="0"/>
                </w:tcBorders>
                <w:vAlign w:val="center"/>
              </w:tcPr>
              <w:p w14:paraId="5C139F9B">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7DEEA7A">
                <w:pPr>
                  <w:jc w:val="right"/>
                  <w:rPr>
                    <w:rFonts w:hint="eastAsia"/>
                    <w:bCs/>
                    <w:sz w:val="16"/>
                    <w:szCs w:val="20"/>
                  </w:rPr>
                </w:pPr>
                <w:r>
                  <w:rPr>
                    <w:rFonts w:hint="eastAsia"/>
                    <w:sz w:val="16"/>
                    <w:szCs w:val="20"/>
                  </w:rPr>
                  <w:t>5,000</w:t>
                </w:r>
              </w:p>
            </w:tc>
            <w:tc>
              <w:tcPr>
                <w:tcW w:w="383" w:type="pct"/>
                <w:tcBorders>
                  <w:top w:val="single" w:color="auto" w:sz="4" w:space="0"/>
                  <w:left w:val="nil"/>
                  <w:bottom w:val="single" w:color="auto" w:sz="4" w:space="0"/>
                  <w:right w:val="single" w:color="auto" w:sz="4" w:space="0"/>
                </w:tcBorders>
                <w:shd w:val="clear" w:color="auto" w:fill="auto"/>
                <w:vAlign w:val="center"/>
              </w:tcPr>
              <w:p w14:paraId="3DD63D1C">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5EF33F80">
                <w:pPr>
                  <w:rPr>
                    <w:rFonts w:hint="eastAsia"/>
                    <w:bCs/>
                    <w:sz w:val="16"/>
                    <w:szCs w:val="20"/>
                  </w:rPr>
                </w:pPr>
                <w:r>
                  <w:rPr>
                    <w:rFonts w:hint="eastAsia"/>
                    <w:sz w:val="16"/>
                    <w:szCs w:val="20"/>
                  </w:rPr>
                  <w:t>已转让</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853177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4D7F3A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84837740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BAB4BE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58C790C">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090C92C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4268D3AF">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4A8DBB2A">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3A5204E3">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909690447"/>
          <w:placeholder>
            <w:docPart w:val="683AC76003DF4D9F89E40EC27634BA56"/>
          </w:placeholder>
        </w:sdtPr>
        <w:sdtEndPr>
          <w:rPr>
            <w:bCs/>
            <w:color w:val="000000" w:themeColor="text1"/>
            <w:sz w:val="16"/>
            <w:szCs w:val="20"/>
            <w14:textFill>
              <w14:solidFill>
                <w14:schemeClr w14:val="tx1"/>
              </w14:solidFill>
            </w14:textFill>
          </w:rPr>
        </w:sdtEndPr>
        <w:sdtContent>
          <w:tr w14:paraId="462C8F50">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6793352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42EDD1B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38928F14">
                <w:pPr>
                  <w:rPr>
                    <w:rFonts w:hint="eastAsia"/>
                    <w:bCs/>
                    <w:sz w:val="16"/>
                    <w:szCs w:val="20"/>
                  </w:rPr>
                </w:pPr>
                <w:r>
                  <w:rPr>
                    <w:rFonts w:hint="eastAsia"/>
                    <w:sz w:val="16"/>
                    <w:szCs w:val="20"/>
                  </w:rPr>
                  <w:t>耐高温、耐腐蚀环保滤材技改扩建项目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2076318"/>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987BDF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45008849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178EB1E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84083348"/>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84C8FB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0C3319CF">
                <w:pPr>
                  <w:jc w:val="right"/>
                  <w:rPr>
                    <w:rFonts w:hint="eastAsia"/>
                    <w:bCs/>
                    <w:sz w:val="16"/>
                    <w:szCs w:val="20"/>
                  </w:rPr>
                </w:pPr>
                <w:r>
                  <w:rPr>
                    <w:rFonts w:hint="eastAsia"/>
                    <w:sz w:val="16"/>
                    <w:szCs w:val="20"/>
                  </w:rPr>
                  <w:t>32,333.82</w:t>
                </w:r>
              </w:p>
            </w:tc>
            <w:tc>
              <w:tcPr>
                <w:tcW w:w="309" w:type="pct"/>
                <w:tcBorders>
                  <w:top w:val="single" w:color="auto" w:sz="4" w:space="0"/>
                  <w:left w:val="single" w:color="auto" w:sz="4" w:space="0"/>
                  <w:bottom w:val="single" w:color="auto" w:sz="4" w:space="0"/>
                  <w:right w:val="single" w:color="auto" w:sz="4" w:space="0"/>
                </w:tcBorders>
                <w:vAlign w:val="center"/>
              </w:tcPr>
              <w:p w14:paraId="1F71CD01">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BD258AE">
                <w:pPr>
                  <w:jc w:val="right"/>
                  <w:rPr>
                    <w:rFonts w:hint="eastAsia"/>
                    <w:bCs/>
                    <w:sz w:val="16"/>
                    <w:szCs w:val="20"/>
                  </w:rPr>
                </w:pPr>
                <w:r>
                  <w:rPr>
                    <w:rFonts w:hint="eastAsia"/>
                    <w:sz w:val="16"/>
                    <w:szCs w:val="20"/>
                  </w:rPr>
                  <w:t>32,333.82</w:t>
                </w:r>
              </w:p>
            </w:tc>
            <w:tc>
              <w:tcPr>
                <w:tcW w:w="383" w:type="pct"/>
                <w:tcBorders>
                  <w:top w:val="single" w:color="auto" w:sz="4" w:space="0"/>
                  <w:left w:val="nil"/>
                  <w:bottom w:val="single" w:color="auto" w:sz="4" w:space="0"/>
                  <w:right w:val="single" w:color="auto" w:sz="4" w:space="0"/>
                </w:tcBorders>
                <w:shd w:val="clear" w:color="auto" w:fill="auto"/>
                <w:vAlign w:val="center"/>
              </w:tcPr>
              <w:p w14:paraId="7FA109B0">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5FFD9627">
                <w:pPr>
                  <w:rPr>
                    <w:rFonts w:hint="eastAsia"/>
                    <w:bCs/>
                    <w:sz w:val="16"/>
                    <w:szCs w:val="20"/>
                  </w:rPr>
                </w:pPr>
                <w:r>
                  <w:rPr>
                    <w:rFonts w:hint="eastAsia"/>
                    <w:sz w:val="16"/>
                    <w:szCs w:val="20"/>
                  </w:rPr>
                  <w:t>已达到</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24995710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E7641B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96834191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39C2EFE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067956A5">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77FDAB7D">
                <w:pPr>
                  <w:jc w:val="right"/>
                  <w:rPr>
                    <w:rFonts w:hint="eastAsia"/>
                    <w:bCs/>
                    <w:sz w:val="16"/>
                    <w:szCs w:val="20"/>
                  </w:rPr>
                </w:pPr>
                <w:r>
                  <w:rPr>
                    <w:rFonts w:hint="eastAsia"/>
                    <w:sz w:val="16"/>
                    <w:szCs w:val="20"/>
                  </w:rPr>
                  <w:t>1,825.36</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9A8D96A">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DA98CDA">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2C8D5CC4">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192890651"/>
          <w:placeholder>
            <w:docPart w:val="683AC76003DF4D9F89E40EC27634BA56"/>
          </w:placeholder>
        </w:sdtPr>
        <w:sdtEndPr>
          <w:rPr>
            <w:bCs/>
            <w:color w:val="000000" w:themeColor="text1"/>
            <w:sz w:val="16"/>
            <w:szCs w:val="20"/>
            <w14:textFill>
              <w14:solidFill>
                <w14:schemeClr w14:val="tx1"/>
              </w14:solidFill>
            </w14:textFill>
          </w:rPr>
        </w:sdtEndPr>
        <w:sdtContent>
          <w:tr w14:paraId="64B04912">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096888039"/>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3682CE2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32C4D38">
                <w:pPr>
                  <w:rPr>
                    <w:rFonts w:hint="eastAsia"/>
                    <w:bCs/>
                    <w:sz w:val="16"/>
                    <w:szCs w:val="20"/>
                  </w:rPr>
                </w:pPr>
                <w:r>
                  <w:rPr>
                    <w:rFonts w:hint="eastAsia"/>
                    <w:sz w:val="16"/>
                    <w:szCs w:val="20"/>
                  </w:rPr>
                  <w:t>军警职业服饰件表面处理装备改造项目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451904502"/>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59B320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77464145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0DDA80A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923640052"/>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1287095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617D6987">
                <w:pPr>
                  <w:jc w:val="right"/>
                  <w:rPr>
                    <w:rFonts w:hint="eastAsia"/>
                    <w:bCs/>
                    <w:sz w:val="16"/>
                    <w:szCs w:val="20"/>
                  </w:rPr>
                </w:pPr>
              </w:p>
            </w:tc>
            <w:tc>
              <w:tcPr>
                <w:tcW w:w="309" w:type="pct"/>
                <w:tcBorders>
                  <w:top w:val="single" w:color="auto" w:sz="4" w:space="0"/>
                  <w:left w:val="single" w:color="auto" w:sz="4" w:space="0"/>
                  <w:bottom w:val="single" w:color="auto" w:sz="4" w:space="0"/>
                  <w:right w:val="single" w:color="auto" w:sz="4" w:space="0"/>
                </w:tcBorders>
                <w:vAlign w:val="center"/>
              </w:tcPr>
              <w:p w14:paraId="2346389C">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7F686F9">
                <w:pPr>
                  <w:jc w:val="right"/>
                  <w:rPr>
                    <w:rFonts w:hint="eastAsia"/>
                    <w:bCs/>
                    <w:sz w:val="16"/>
                    <w:szCs w:val="20"/>
                  </w:rPr>
                </w:pPr>
              </w:p>
            </w:tc>
            <w:tc>
              <w:tcPr>
                <w:tcW w:w="383" w:type="pct"/>
                <w:tcBorders>
                  <w:top w:val="single" w:color="auto" w:sz="4" w:space="0"/>
                  <w:left w:val="nil"/>
                  <w:bottom w:val="single" w:color="auto" w:sz="4" w:space="0"/>
                  <w:right w:val="single" w:color="auto" w:sz="4" w:space="0"/>
                </w:tcBorders>
                <w:shd w:val="clear" w:color="auto" w:fill="auto"/>
                <w:vAlign w:val="center"/>
              </w:tcPr>
              <w:p w14:paraId="27A4D12E">
                <w:pPr>
                  <w:jc w:val="right"/>
                  <w:rPr>
                    <w:rFonts w:hint="eastAsia"/>
                    <w:bCs/>
                    <w:sz w:val="16"/>
                    <w:szCs w:val="20"/>
                  </w:rPr>
                </w:pPr>
                <w:r>
                  <w:rPr>
                    <w:rFonts w:hint="eastAsia"/>
                    <w:sz w:val="16"/>
                    <w:szCs w:val="20"/>
                  </w:rPr>
                  <w:t>/</w:t>
                </w:r>
              </w:p>
            </w:tc>
            <w:tc>
              <w:tcPr>
                <w:tcW w:w="272" w:type="pct"/>
                <w:tcBorders>
                  <w:top w:val="single" w:color="auto" w:sz="4" w:space="0"/>
                  <w:left w:val="nil"/>
                  <w:bottom w:val="single" w:color="auto" w:sz="4" w:space="0"/>
                  <w:right w:val="single" w:color="auto" w:sz="4" w:space="0"/>
                </w:tcBorders>
                <w:shd w:val="clear" w:color="auto" w:fill="auto"/>
                <w:vAlign w:val="center"/>
              </w:tcPr>
              <w:p w14:paraId="78F99990">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43774512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A8530E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84874908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02B311F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2AC54C6F">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6E120309">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440B5067">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01185B0F">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1E6A078C">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656812507"/>
          <w:placeholder>
            <w:docPart w:val="683AC76003DF4D9F89E40EC27634BA56"/>
          </w:placeholder>
        </w:sdtPr>
        <w:sdtEndPr>
          <w:rPr>
            <w:bCs/>
            <w:color w:val="000000" w:themeColor="text1"/>
            <w:sz w:val="16"/>
            <w:szCs w:val="20"/>
            <w14:textFill>
              <w14:solidFill>
                <w14:schemeClr w14:val="tx1"/>
              </w14:solidFill>
            </w14:textFill>
          </w:rPr>
        </w:sdtEndPr>
        <w:sdtContent>
          <w:tr w14:paraId="6A379078">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868279091"/>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9F01A4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B2C288C">
                <w:pPr>
                  <w:rPr>
                    <w:rFonts w:hint="eastAsia"/>
                    <w:bCs/>
                    <w:sz w:val="16"/>
                    <w:szCs w:val="20"/>
                  </w:rPr>
                </w:pPr>
                <w:r>
                  <w:rPr>
                    <w:rFonts w:hint="eastAsia"/>
                    <w:sz w:val="16"/>
                    <w:szCs w:val="20"/>
                  </w:rPr>
                  <w:t>精密模具装备生产线改造项目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917628126"/>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81C632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06815101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141445A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853939951"/>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68C0EEE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4C993E6D">
                <w:pPr>
                  <w:jc w:val="right"/>
                  <w:rPr>
                    <w:rFonts w:hint="eastAsia"/>
                    <w:bCs/>
                    <w:sz w:val="16"/>
                    <w:szCs w:val="20"/>
                  </w:rPr>
                </w:pPr>
                <w:r>
                  <w:rPr>
                    <w:rFonts w:hint="eastAsia"/>
                    <w:sz w:val="16"/>
                    <w:szCs w:val="20"/>
                  </w:rPr>
                  <w:t>656.58</w:t>
                </w:r>
              </w:p>
            </w:tc>
            <w:tc>
              <w:tcPr>
                <w:tcW w:w="309" w:type="pct"/>
                <w:tcBorders>
                  <w:top w:val="single" w:color="auto" w:sz="4" w:space="0"/>
                  <w:left w:val="single" w:color="auto" w:sz="4" w:space="0"/>
                  <w:bottom w:val="single" w:color="auto" w:sz="4" w:space="0"/>
                  <w:right w:val="single" w:color="auto" w:sz="4" w:space="0"/>
                </w:tcBorders>
                <w:vAlign w:val="center"/>
              </w:tcPr>
              <w:p w14:paraId="2DFCABC6">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1568C0B">
                <w:pPr>
                  <w:jc w:val="right"/>
                  <w:rPr>
                    <w:rFonts w:hint="eastAsia"/>
                    <w:bCs/>
                    <w:sz w:val="16"/>
                    <w:szCs w:val="20"/>
                  </w:rPr>
                </w:pPr>
                <w:r>
                  <w:rPr>
                    <w:rFonts w:hint="eastAsia"/>
                    <w:sz w:val="16"/>
                    <w:szCs w:val="20"/>
                  </w:rPr>
                  <w:t>656.58</w:t>
                </w:r>
              </w:p>
            </w:tc>
            <w:tc>
              <w:tcPr>
                <w:tcW w:w="383" w:type="pct"/>
                <w:tcBorders>
                  <w:top w:val="single" w:color="auto" w:sz="4" w:space="0"/>
                  <w:left w:val="nil"/>
                  <w:bottom w:val="single" w:color="auto" w:sz="4" w:space="0"/>
                  <w:right w:val="single" w:color="auto" w:sz="4" w:space="0"/>
                </w:tcBorders>
                <w:shd w:val="clear" w:color="auto" w:fill="auto"/>
                <w:vAlign w:val="center"/>
              </w:tcPr>
              <w:p w14:paraId="004755EC">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4BB7DCA1">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30628815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6797F88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9032404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4C26852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7CCED36D">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2591E786">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96BBAF2">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64EFC9C0">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5E1BC3E8">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60406778"/>
          <w:placeholder>
            <w:docPart w:val="683AC76003DF4D9F89E40EC27634BA56"/>
          </w:placeholder>
        </w:sdtPr>
        <w:sdtEndPr>
          <w:rPr>
            <w:bCs/>
            <w:color w:val="000000" w:themeColor="text1"/>
            <w:sz w:val="16"/>
            <w:szCs w:val="20"/>
            <w14:textFill>
              <w14:solidFill>
                <w14:schemeClr w14:val="tx1"/>
              </w14:solidFill>
            </w14:textFill>
          </w:rPr>
        </w:sdtEndPr>
        <w:sdtContent>
          <w:tr w14:paraId="4142D38F">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8107428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0AE28B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45D5F4E">
                <w:pPr>
                  <w:rPr>
                    <w:rFonts w:hint="eastAsia"/>
                    <w:bCs/>
                    <w:sz w:val="16"/>
                    <w:szCs w:val="20"/>
                  </w:rPr>
                </w:pPr>
                <w:r>
                  <w:rPr>
                    <w:rFonts w:hint="eastAsia"/>
                    <w:sz w:val="16"/>
                    <w:szCs w:val="20"/>
                  </w:rPr>
                  <w:t>功能性桑拿桶和智能化充气睡具扩建项目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833410692"/>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D1E175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40113805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673376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511529593"/>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7D225F7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2AB600CC">
                <w:pPr>
                  <w:jc w:val="right"/>
                  <w:rPr>
                    <w:rFonts w:hint="eastAsia"/>
                    <w:bCs/>
                    <w:sz w:val="16"/>
                    <w:szCs w:val="20"/>
                  </w:rPr>
                </w:pPr>
                <w:r>
                  <w:rPr>
                    <w:rFonts w:hint="eastAsia"/>
                    <w:sz w:val="16"/>
                    <w:szCs w:val="20"/>
                  </w:rPr>
                  <w:t>345.91</w:t>
                </w:r>
              </w:p>
            </w:tc>
            <w:tc>
              <w:tcPr>
                <w:tcW w:w="309" w:type="pct"/>
                <w:tcBorders>
                  <w:top w:val="single" w:color="auto" w:sz="4" w:space="0"/>
                  <w:left w:val="single" w:color="auto" w:sz="4" w:space="0"/>
                  <w:bottom w:val="single" w:color="auto" w:sz="4" w:space="0"/>
                  <w:right w:val="single" w:color="auto" w:sz="4" w:space="0"/>
                </w:tcBorders>
                <w:vAlign w:val="center"/>
              </w:tcPr>
              <w:p w14:paraId="2349698E">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2631F16">
                <w:pPr>
                  <w:jc w:val="right"/>
                  <w:rPr>
                    <w:rFonts w:hint="eastAsia"/>
                    <w:bCs/>
                    <w:sz w:val="16"/>
                    <w:szCs w:val="20"/>
                  </w:rPr>
                </w:pPr>
                <w:r>
                  <w:rPr>
                    <w:rFonts w:hint="eastAsia"/>
                    <w:sz w:val="16"/>
                    <w:szCs w:val="20"/>
                  </w:rPr>
                  <w:t>345.91</w:t>
                </w:r>
              </w:p>
            </w:tc>
            <w:tc>
              <w:tcPr>
                <w:tcW w:w="383" w:type="pct"/>
                <w:tcBorders>
                  <w:top w:val="single" w:color="auto" w:sz="4" w:space="0"/>
                  <w:left w:val="nil"/>
                  <w:bottom w:val="single" w:color="auto" w:sz="4" w:space="0"/>
                  <w:right w:val="single" w:color="auto" w:sz="4" w:space="0"/>
                </w:tcBorders>
                <w:shd w:val="clear" w:color="auto" w:fill="auto"/>
                <w:vAlign w:val="center"/>
              </w:tcPr>
              <w:p w14:paraId="3FAC792A">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56B128DB">
                <w:pPr>
                  <w:rPr>
                    <w:rFonts w:hint="eastAsia"/>
                    <w:bCs/>
                    <w:sz w:val="16"/>
                    <w:szCs w:val="20"/>
                  </w:rPr>
                </w:pPr>
                <w:r>
                  <w:rPr>
                    <w:rFonts w:hint="eastAsia"/>
                    <w:sz w:val="16"/>
                    <w:szCs w:val="20"/>
                  </w:rPr>
                  <w:t>停止实施</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204690377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6579494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73023319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78FCFBF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1C5AFE09">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69D067D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7B2DD696">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288E2D02">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71616A95">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10106536"/>
          <w:placeholder>
            <w:docPart w:val="683AC76003DF4D9F89E40EC27634BA56"/>
          </w:placeholder>
        </w:sdtPr>
        <w:sdtEndPr>
          <w:rPr>
            <w:bCs/>
            <w:color w:val="000000" w:themeColor="text1"/>
            <w:sz w:val="16"/>
            <w:szCs w:val="20"/>
            <w14:textFill>
              <w14:solidFill>
                <w14:schemeClr w14:val="tx1"/>
              </w14:solidFill>
            </w14:textFill>
          </w:rPr>
        </w:sdtEndPr>
        <w:sdtContent>
          <w:tr w14:paraId="2694E5BE">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325985935"/>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3BBAF17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DCF0867">
                <w:pPr>
                  <w:rPr>
                    <w:rFonts w:hint="eastAsia"/>
                    <w:bCs/>
                    <w:sz w:val="16"/>
                    <w:szCs w:val="20"/>
                  </w:rPr>
                </w:pPr>
                <w:r>
                  <w:rPr>
                    <w:rFonts w:hint="eastAsia"/>
                    <w:sz w:val="16"/>
                    <w:szCs w:val="20"/>
                  </w:rPr>
                  <w:t>完善各专业研究院功能建设项目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728341012"/>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5A820F8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32200951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A9AFCD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46212866"/>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36E2D0E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3674C6A5">
                <w:pPr>
                  <w:jc w:val="right"/>
                  <w:rPr>
                    <w:rFonts w:hint="eastAsia"/>
                    <w:bCs/>
                    <w:sz w:val="16"/>
                    <w:szCs w:val="20"/>
                  </w:rPr>
                </w:pPr>
                <w:r>
                  <w:rPr>
                    <w:rFonts w:hint="eastAsia"/>
                    <w:sz w:val="16"/>
                    <w:szCs w:val="20"/>
                  </w:rPr>
                  <w:t>5,900</w:t>
                </w:r>
              </w:p>
            </w:tc>
            <w:tc>
              <w:tcPr>
                <w:tcW w:w="309" w:type="pct"/>
                <w:tcBorders>
                  <w:top w:val="single" w:color="auto" w:sz="4" w:space="0"/>
                  <w:left w:val="single" w:color="auto" w:sz="4" w:space="0"/>
                  <w:bottom w:val="single" w:color="auto" w:sz="4" w:space="0"/>
                  <w:right w:val="single" w:color="auto" w:sz="4" w:space="0"/>
                </w:tcBorders>
                <w:vAlign w:val="center"/>
              </w:tcPr>
              <w:p w14:paraId="38F57F89">
                <w:pPr>
                  <w:jc w:val="right"/>
                  <w:rPr>
                    <w:rFonts w:hint="eastAsia"/>
                    <w:bCs/>
                    <w:sz w:val="16"/>
                    <w:szCs w:val="20"/>
                  </w:rPr>
                </w:pPr>
                <w:r>
                  <w:rPr>
                    <w:rFonts w:hint="eastAsia"/>
                    <w:sz w:val="16"/>
                    <w:szCs w:val="20"/>
                  </w:rPr>
                  <w:t>162.49</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D2A6B35">
                <w:pPr>
                  <w:jc w:val="right"/>
                  <w:rPr>
                    <w:rFonts w:hint="eastAsia"/>
                    <w:bCs/>
                    <w:sz w:val="16"/>
                    <w:szCs w:val="20"/>
                  </w:rPr>
                </w:pPr>
                <w:r>
                  <w:rPr>
                    <w:rFonts w:hint="eastAsia"/>
                    <w:sz w:val="16"/>
                    <w:szCs w:val="20"/>
                  </w:rPr>
                  <w:t>2,903.33</w:t>
                </w:r>
              </w:p>
            </w:tc>
            <w:tc>
              <w:tcPr>
                <w:tcW w:w="383" w:type="pct"/>
                <w:tcBorders>
                  <w:top w:val="single" w:color="auto" w:sz="4" w:space="0"/>
                  <w:left w:val="nil"/>
                  <w:bottom w:val="single" w:color="auto" w:sz="4" w:space="0"/>
                  <w:right w:val="single" w:color="auto" w:sz="4" w:space="0"/>
                </w:tcBorders>
                <w:shd w:val="clear" w:color="auto" w:fill="auto"/>
                <w:vAlign w:val="center"/>
              </w:tcPr>
              <w:p w14:paraId="1F5FB230">
                <w:pPr>
                  <w:jc w:val="right"/>
                  <w:rPr>
                    <w:rFonts w:hint="eastAsia"/>
                    <w:bCs/>
                    <w:sz w:val="16"/>
                    <w:szCs w:val="20"/>
                  </w:rPr>
                </w:pPr>
                <w:r>
                  <w:rPr>
                    <w:rFonts w:hint="eastAsia"/>
                    <w:sz w:val="16"/>
                    <w:szCs w:val="20"/>
                  </w:rPr>
                  <w:t>49.21</w:t>
                </w:r>
              </w:p>
            </w:tc>
            <w:tc>
              <w:tcPr>
                <w:tcW w:w="272" w:type="pct"/>
                <w:tcBorders>
                  <w:top w:val="single" w:color="auto" w:sz="4" w:space="0"/>
                  <w:left w:val="nil"/>
                  <w:bottom w:val="single" w:color="auto" w:sz="4" w:space="0"/>
                  <w:right w:val="single" w:color="auto" w:sz="4" w:space="0"/>
                </w:tcBorders>
                <w:shd w:val="clear" w:color="auto" w:fill="auto"/>
                <w:vAlign w:val="center"/>
              </w:tcPr>
              <w:p w14:paraId="35439E6D">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9645892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E217DE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rFonts w:hint="eastAsia"/>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102948414"/>
                <w:comboBox>
                  <w:listItem w:displayText="是" w:value="是"/>
                  <w:listItem w:displayText="否" w:value="否"/>
                </w:comboBox>
              </w:sdtPr>
              <w:sdtEndPr>
                <w:rPr>
                  <w:rFonts w:hint="eastAsia"/>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5E823F7">
                    <w:pPr>
                      <w:rPr>
                        <w:rFonts w:hint="eastAsia"/>
                        <w:bCs/>
                        <w:color w:val="000000" w:themeColor="text1"/>
                        <w:sz w:val="16"/>
                        <w:szCs w:val="20"/>
                        <w14:textFill>
                          <w14:solidFill>
                            <w14:schemeClr w14:val="tx1"/>
                          </w14:solidFill>
                        </w14:textFill>
                      </w:rPr>
                    </w:pPr>
                    <w:r>
                      <w:rPr>
                        <w:rFonts w:hint="eastAsia"/>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15B8B025">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694A471E">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1973545">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00E37D13">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3241EFAF">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897016922"/>
          <w:placeholder>
            <w:docPart w:val="683AC76003DF4D9F89E40EC27634BA56"/>
          </w:placeholder>
        </w:sdtPr>
        <w:sdtEndPr>
          <w:rPr>
            <w:bCs/>
            <w:color w:val="000000" w:themeColor="text1"/>
            <w:sz w:val="16"/>
            <w:szCs w:val="20"/>
            <w14:textFill>
              <w14:solidFill>
                <w14:schemeClr w14:val="tx1"/>
              </w14:solidFill>
            </w14:textFill>
          </w:rPr>
        </w:sdtEndPr>
        <w:sdtContent>
          <w:tr w14:paraId="44D5C2F1">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747263757"/>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393E6ED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2B2F3B3C">
                <w:pPr>
                  <w:rPr>
                    <w:rFonts w:hint="eastAsia"/>
                    <w:bCs/>
                    <w:sz w:val="16"/>
                    <w:szCs w:val="20"/>
                  </w:rPr>
                </w:pPr>
                <w:r>
                  <w:rPr>
                    <w:rFonts w:hint="eastAsia"/>
                    <w:sz w:val="16"/>
                    <w:szCs w:val="20"/>
                  </w:rPr>
                  <w:t>际华长春目的地中心项目一期</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558161560"/>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E00380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36113461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7972261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457151930"/>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2B2CB12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6C95DD64">
                <w:pPr>
                  <w:jc w:val="right"/>
                  <w:rPr>
                    <w:rFonts w:hint="eastAsia"/>
                    <w:bCs/>
                    <w:sz w:val="16"/>
                    <w:szCs w:val="20"/>
                  </w:rPr>
                </w:pPr>
                <w:r>
                  <w:rPr>
                    <w:rFonts w:hint="eastAsia"/>
                    <w:sz w:val="16"/>
                    <w:szCs w:val="20"/>
                  </w:rPr>
                  <w:t>70,128.42</w:t>
                </w:r>
              </w:p>
            </w:tc>
            <w:tc>
              <w:tcPr>
                <w:tcW w:w="309" w:type="pct"/>
                <w:tcBorders>
                  <w:top w:val="single" w:color="auto" w:sz="4" w:space="0"/>
                  <w:left w:val="single" w:color="auto" w:sz="4" w:space="0"/>
                  <w:bottom w:val="single" w:color="auto" w:sz="4" w:space="0"/>
                  <w:right w:val="single" w:color="auto" w:sz="4" w:space="0"/>
                </w:tcBorders>
                <w:vAlign w:val="center"/>
              </w:tcPr>
              <w:p w14:paraId="4C5B418F">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3EEEB15">
                <w:pPr>
                  <w:jc w:val="right"/>
                  <w:rPr>
                    <w:rFonts w:hint="eastAsia"/>
                    <w:bCs/>
                    <w:sz w:val="16"/>
                    <w:szCs w:val="20"/>
                  </w:rPr>
                </w:pPr>
                <w:r>
                  <w:rPr>
                    <w:rFonts w:hint="eastAsia"/>
                    <w:sz w:val="16"/>
                    <w:szCs w:val="20"/>
                  </w:rPr>
                  <w:t>70,128.42</w:t>
                </w:r>
              </w:p>
            </w:tc>
            <w:tc>
              <w:tcPr>
                <w:tcW w:w="383" w:type="pct"/>
                <w:tcBorders>
                  <w:top w:val="single" w:color="auto" w:sz="4" w:space="0"/>
                  <w:left w:val="nil"/>
                  <w:bottom w:val="single" w:color="auto" w:sz="4" w:space="0"/>
                  <w:right w:val="single" w:color="auto" w:sz="4" w:space="0"/>
                </w:tcBorders>
                <w:shd w:val="clear" w:color="auto" w:fill="auto"/>
                <w:vAlign w:val="center"/>
              </w:tcPr>
              <w:p w14:paraId="5FBD6031">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7F20104A">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82393694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0C1DD49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90910909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F71089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E641027">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3FCC8D19">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254DC543">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3955243">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0281B3A7">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473521903"/>
          <w:placeholder>
            <w:docPart w:val="683AC76003DF4D9F89E40EC27634BA56"/>
          </w:placeholder>
        </w:sdtPr>
        <w:sdtEndPr>
          <w:rPr>
            <w:bCs/>
            <w:color w:val="000000" w:themeColor="text1"/>
            <w:sz w:val="16"/>
            <w:szCs w:val="20"/>
            <w14:textFill>
              <w14:solidFill>
                <w14:schemeClr w14:val="tx1"/>
              </w14:solidFill>
            </w14:textFill>
          </w:rPr>
        </w:sdtEndPr>
        <w:sdtContent>
          <w:tr w14:paraId="52063F16">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49792642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7A4770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B76884D">
                <w:pPr>
                  <w:rPr>
                    <w:rFonts w:hint="eastAsia"/>
                    <w:bCs/>
                    <w:sz w:val="16"/>
                    <w:szCs w:val="20"/>
                  </w:rPr>
                </w:pPr>
                <w:r>
                  <w:rPr>
                    <w:rFonts w:hint="eastAsia"/>
                    <w:sz w:val="16"/>
                    <w:szCs w:val="20"/>
                  </w:rPr>
                  <w:t>际华重庆目的地中心项目一期</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422338157"/>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D57E67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39543392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60320E3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300038794"/>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7B57646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62B3FE96">
                <w:pPr>
                  <w:jc w:val="right"/>
                  <w:rPr>
                    <w:rFonts w:hint="eastAsia"/>
                    <w:bCs/>
                    <w:sz w:val="16"/>
                    <w:szCs w:val="20"/>
                  </w:rPr>
                </w:pPr>
                <w:r>
                  <w:rPr>
                    <w:rFonts w:hint="eastAsia"/>
                    <w:sz w:val="16"/>
                    <w:szCs w:val="20"/>
                  </w:rPr>
                  <w:t>70,000</w:t>
                </w:r>
              </w:p>
            </w:tc>
            <w:tc>
              <w:tcPr>
                <w:tcW w:w="309" w:type="pct"/>
                <w:tcBorders>
                  <w:top w:val="single" w:color="auto" w:sz="4" w:space="0"/>
                  <w:left w:val="single" w:color="auto" w:sz="4" w:space="0"/>
                  <w:bottom w:val="single" w:color="auto" w:sz="4" w:space="0"/>
                  <w:right w:val="single" w:color="auto" w:sz="4" w:space="0"/>
                </w:tcBorders>
                <w:vAlign w:val="center"/>
              </w:tcPr>
              <w:p w14:paraId="2E3AB6CE">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D83CF69">
                <w:pPr>
                  <w:jc w:val="right"/>
                  <w:rPr>
                    <w:rFonts w:hint="eastAsia"/>
                    <w:bCs/>
                    <w:sz w:val="16"/>
                    <w:szCs w:val="20"/>
                  </w:rPr>
                </w:pPr>
                <w:r>
                  <w:rPr>
                    <w:rFonts w:hint="eastAsia"/>
                    <w:sz w:val="16"/>
                    <w:szCs w:val="20"/>
                  </w:rPr>
                  <w:t>70,000</w:t>
                </w:r>
              </w:p>
            </w:tc>
            <w:tc>
              <w:tcPr>
                <w:tcW w:w="383" w:type="pct"/>
                <w:tcBorders>
                  <w:top w:val="single" w:color="auto" w:sz="4" w:space="0"/>
                  <w:left w:val="nil"/>
                  <w:bottom w:val="single" w:color="auto" w:sz="4" w:space="0"/>
                  <w:right w:val="single" w:color="auto" w:sz="4" w:space="0"/>
                </w:tcBorders>
                <w:shd w:val="clear" w:color="auto" w:fill="auto"/>
                <w:vAlign w:val="center"/>
              </w:tcPr>
              <w:p w14:paraId="64B8A910">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1B3AB450">
                <w:pPr>
                  <w:rPr>
                    <w:rFonts w:hint="eastAsia"/>
                    <w:bCs/>
                    <w:sz w:val="16"/>
                    <w:szCs w:val="20"/>
                  </w:rPr>
                </w:pPr>
                <w:r>
                  <w:rPr>
                    <w:rFonts w:hint="eastAsia"/>
                    <w:sz w:val="16"/>
                    <w:szCs w:val="20"/>
                  </w:rPr>
                  <w:t>2018年12月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68138348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624315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2435512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2584922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69E7653D">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6D23C028">
                <w:pPr>
                  <w:jc w:val="right"/>
                  <w:rPr>
                    <w:rFonts w:hint="eastAsia"/>
                    <w:bCs/>
                    <w:sz w:val="16"/>
                    <w:szCs w:val="20"/>
                  </w:rPr>
                </w:pPr>
                <w:r>
                  <w:rPr>
                    <w:rFonts w:hint="eastAsia"/>
                    <w:sz w:val="16"/>
                    <w:szCs w:val="20"/>
                  </w:rPr>
                  <w:t>-5,544.89</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0F8FA70F">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1508ACEA">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08DE44E8">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248650096"/>
          <w:placeholder>
            <w:docPart w:val="683AC76003DF4D9F89E40EC27634BA56"/>
          </w:placeholder>
        </w:sdtPr>
        <w:sdtEndPr>
          <w:rPr>
            <w:bCs/>
            <w:color w:val="000000" w:themeColor="text1"/>
            <w:sz w:val="16"/>
            <w:szCs w:val="20"/>
            <w14:textFill>
              <w14:solidFill>
                <w14:schemeClr w14:val="tx1"/>
              </w14:solidFill>
            </w14:textFill>
          </w:rPr>
        </w:sdtEndPr>
        <w:sdtContent>
          <w:tr w14:paraId="673FEAC8">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2749738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4AF21C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DAFD9FC">
                <w:pPr>
                  <w:rPr>
                    <w:rFonts w:hint="eastAsia"/>
                    <w:bCs/>
                    <w:sz w:val="16"/>
                    <w:szCs w:val="20"/>
                  </w:rPr>
                </w:pPr>
                <w:r>
                  <w:rPr>
                    <w:rFonts w:hint="eastAsia"/>
                    <w:sz w:val="16"/>
                    <w:szCs w:val="20"/>
                  </w:rPr>
                  <w:t>补充流动资金</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496838442"/>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3E4A7AB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补流还贷</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96940210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A52234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107189723"/>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C205D7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10AE960B">
                <w:pPr>
                  <w:jc w:val="right"/>
                  <w:rPr>
                    <w:rFonts w:hint="eastAsia"/>
                    <w:bCs/>
                    <w:sz w:val="16"/>
                    <w:szCs w:val="20"/>
                  </w:rPr>
                </w:pPr>
                <w:r>
                  <w:rPr>
                    <w:rFonts w:hint="eastAsia"/>
                    <w:sz w:val="16"/>
                    <w:szCs w:val="20"/>
                  </w:rPr>
                  <w:t>115,147.42</w:t>
                </w:r>
              </w:p>
            </w:tc>
            <w:tc>
              <w:tcPr>
                <w:tcW w:w="309" w:type="pct"/>
                <w:tcBorders>
                  <w:top w:val="single" w:color="auto" w:sz="4" w:space="0"/>
                  <w:left w:val="single" w:color="auto" w:sz="4" w:space="0"/>
                  <w:bottom w:val="single" w:color="auto" w:sz="4" w:space="0"/>
                  <w:right w:val="single" w:color="auto" w:sz="4" w:space="0"/>
                </w:tcBorders>
                <w:vAlign w:val="center"/>
              </w:tcPr>
              <w:p w14:paraId="14BEE87C">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AE99145">
                <w:pPr>
                  <w:jc w:val="right"/>
                  <w:rPr>
                    <w:rFonts w:hint="eastAsia"/>
                    <w:bCs/>
                    <w:sz w:val="16"/>
                    <w:szCs w:val="20"/>
                  </w:rPr>
                </w:pPr>
                <w:r>
                  <w:rPr>
                    <w:rFonts w:hint="eastAsia"/>
                    <w:sz w:val="16"/>
                    <w:szCs w:val="20"/>
                  </w:rPr>
                  <w:t>115,147.42</w:t>
                </w:r>
              </w:p>
            </w:tc>
            <w:tc>
              <w:tcPr>
                <w:tcW w:w="383" w:type="pct"/>
                <w:tcBorders>
                  <w:top w:val="single" w:color="auto" w:sz="4" w:space="0"/>
                  <w:left w:val="nil"/>
                  <w:bottom w:val="single" w:color="auto" w:sz="4" w:space="0"/>
                  <w:right w:val="single" w:color="auto" w:sz="4" w:space="0"/>
                </w:tcBorders>
                <w:shd w:val="clear" w:color="auto" w:fill="auto"/>
                <w:vAlign w:val="center"/>
              </w:tcPr>
              <w:p w14:paraId="6D76F50E">
                <w:pPr>
                  <w:jc w:val="right"/>
                  <w:rPr>
                    <w:rFonts w:hint="eastAsia"/>
                    <w:bCs/>
                    <w:sz w:val="16"/>
                    <w:szCs w:val="20"/>
                  </w:rPr>
                </w:pPr>
                <w:r>
                  <w:rPr>
                    <w:rFonts w:hint="eastAsia"/>
                    <w:sz w:val="16"/>
                    <w:szCs w:val="20"/>
                  </w:rPr>
                  <w:t>100</w:t>
                </w:r>
              </w:p>
            </w:tc>
            <w:tc>
              <w:tcPr>
                <w:tcW w:w="272" w:type="pct"/>
                <w:tcBorders>
                  <w:top w:val="single" w:color="auto" w:sz="4" w:space="0"/>
                  <w:left w:val="nil"/>
                  <w:bottom w:val="single" w:color="auto" w:sz="4" w:space="0"/>
                  <w:right w:val="single" w:color="auto" w:sz="4" w:space="0"/>
                </w:tcBorders>
                <w:shd w:val="clear" w:color="auto" w:fill="auto"/>
                <w:vAlign w:val="center"/>
              </w:tcPr>
              <w:p w14:paraId="07A416FF">
                <w:pPr>
                  <w:rPr>
                    <w:rFonts w:hint="eastAsia"/>
                    <w:bCs/>
                    <w:sz w:val="16"/>
                    <w:szCs w:val="20"/>
                  </w:rPr>
                </w:pPr>
                <w:r>
                  <w:rPr>
                    <w:rFonts w:hint="eastAsia"/>
                    <w:sz w:val="16"/>
                    <w:szCs w:val="20"/>
                  </w:rPr>
                  <w:t>不适用</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1710408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D12E05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5940428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18347FA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31123004">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21C8D715">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30EFFB00">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017CF596">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31E63304">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931340726"/>
          <w:placeholder>
            <w:docPart w:val="683AC76003DF4D9F89E40EC27634BA56"/>
          </w:placeholder>
        </w:sdtPr>
        <w:sdtEndPr>
          <w:rPr>
            <w:bCs/>
            <w:color w:val="000000" w:themeColor="text1"/>
            <w:sz w:val="16"/>
            <w:szCs w:val="20"/>
            <w14:textFill>
              <w14:solidFill>
                <w14:schemeClr w14:val="tx1"/>
              </w14:solidFill>
            </w14:textFill>
          </w:rPr>
        </w:sdtEndPr>
        <w:sdtContent>
          <w:tr w14:paraId="23497539">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38769023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1A1EE73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2E980D95">
                <w:pPr>
                  <w:rPr>
                    <w:rFonts w:hint="eastAsia"/>
                    <w:bCs/>
                    <w:sz w:val="16"/>
                    <w:szCs w:val="20"/>
                  </w:rPr>
                </w:pPr>
                <w:r>
                  <w:rPr>
                    <w:rFonts w:hint="eastAsia"/>
                    <w:sz w:val="16"/>
                    <w:szCs w:val="20"/>
                  </w:rPr>
                  <w:t>3542公司搬迁建设功能性面料、家纺制品项目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450476823"/>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A4DCB3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44986166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57AF99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202241285"/>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9C6F20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7040936B">
                <w:pPr>
                  <w:jc w:val="right"/>
                  <w:rPr>
                    <w:rFonts w:hint="eastAsia"/>
                    <w:bCs/>
                    <w:sz w:val="16"/>
                    <w:szCs w:val="20"/>
                  </w:rPr>
                </w:pPr>
                <w:r>
                  <w:rPr>
                    <w:rFonts w:hint="eastAsia"/>
                    <w:sz w:val="16"/>
                    <w:szCs w:val="20"/>
                  </w:rPr>
                  <w:t>24,557.85</w:t>
                </w:r>
              </w:p>
            </w:tc>
            <w:tc>
              <w:tcPr>
                <w:tcW w:w="309" w:type="pct"/>
                <w:tcBorders>
                  <w:top w:val="single" w:color="auto" w:sz="4" w:space="0"/>
                  <w:left w:val="single" w:color="auto" w:sz="4" w:space="0"/>
                  <w:bottom w:val="single" w:color="auto" w:sz="4" w:space="0"/>
                  <w:right w:val="single" w:color="auto" w:sz="4" w:space="0"/>
                </w:tcBorders>
                <w:vAlign w:val="center"/>
              </w:tcPr>
              <w:p w14:paraId="786460A3">
                <w:pPr>
                  <w:jc w:val="right"/>
                  <w:rPr>
                    <w:rFonts w:hint="eastAsia"/>
                    <w:bCs/>
                    <w:sz w:val="16"/>
                    <w:szCs w:val="20"/>
                  </w:rPr>
                </w:pPr>
                <w:r>
                  <w:rPr>
                    <w:rFonts w:hint="eastAsia"/>
                    <w:sz w:val="16"/>
                    <w:szCs w:val="20"/>
                  </w:rPr>
                  <w:t>2,949.75</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DDC354A">
                <w:pPr>
                  <w:jc w:val="right"/>
                  <w:rPr>
                    <w:rFonts w:hint="eastAsia"/>
                    <w:bCs/>
                    <w:sz w:val="16"/>
                    <w:szCs w:val="20"/>
                  </w:rPr>
                </w:pPr>
                <w:r>
                  <w:rPr>
                    <w:rFonts w:hint="eastAsia"/>
                    <w:sz w:val="16"/>
                    <w:szCs w:val="20"/>
                  </w:rPr>
                  <w:t>23,239.4</w:t>
                </w:r>
              </w:p>
            </w:tc>
            <w:tc>
              <w:tcPr>
                <w:tcW w:w="383" w:type="pct"/>
                <w:tcBorders>
                  <w:top w:val="single" w:color="auto" w:sz="4" w:space="0"/>
                  <w:left w:val="nil"/>
                  <w:bottom w:val="single" w:color="auto" w:sz="4" w:space="0"/>
                  <w:right w:val="single" w:color="auto" w:sz="4" w:space="0"/>
                </w:tcBorders>
                <w:shd w:val="clear" w:color="auto" w:fill="auto"/>
                <w:vAlign w:val="center"/>
              </w:tcPr>
              <w:p w14:paraId="43F53D43">
                <w:pPr>
                  <w:jc w:val="right"/>
                  <w:rPr>
                    <w:rFonts w:hint="eastAsia"/>
                    <w:bCs/>
                    <w:sz w:val="16"/>
                    <w:szCs w:val="20"/>
                  </w:rPr>
                </w:pPr>
                <w:r>
                  <w:rPr>
                    <w:rFonts w:hint="eastAsia"/>
                    <w:sz w:val="16"/>
                    <w:szCs w:val="20"/>
                  </w:rPr>
                  <w:t>94.63</w:t>
                </w:r>
              </w:p>
            </w:tc>
            <w:tc>
              <w:tcPr>
                <w:tcW w:w="272" w:type="pct"/>
                <w:tcBorders>
                  <w:top w:val="single" w:color="auto" w:sz="4" w:space="0"/>
                  <w:left w:val="nil"/>
                  <w:bottom w:val="single" w:color="auto" w:sz="4" w:space="0"/>
                  <w:right w:val="single" w:color="auto" w:sz="4" w:space="0"/>
                </w:tcBorders>
                <w:shd w:val="clear" w:color="auto" w:fill="auto"/>
                <w:vAlign w:val="center"/>
              </w:tcPr>
              <w:p w14:paraId="323C03F7">
                <w:pPr>
                  <w:rPr>
                    <w:rFonts w:hint="eastAsia"/>
                    <w:bCs/>
                    <w:sz w:val="16"/>
                    <w:szCs w:val="20"/>
                  </w:rPr>
                </w:pPr>
                <w:r>
                  <w:rPr>
                    <w:rFonts w:hint="eastAsia"/>
                    <w:sz w:val="16"/>
                    <w:szCs w:val="20"/>
                  </w:rPr>
                  <w:t>2022年7月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3009497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4370DF4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0082882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C32FB7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2AE4E48F">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2A2118DE">
                <w:pPr>
                  <w:jc w:val="right"/>
                  <w:rPr>
                    <w:rFonts w:hint="eastAsia"/>
                    <w:bCs/>
                    <w:sz w:val="16"/>
                    <w:szCs w:val="20"/>
                  </w:rPr>
                </w:pPr>
                <w:r>
                  <w:rPr>
                    <w:rFonts w:hint="eastAsia"/>
                    <w:sz w:val="16"/>
                    <w:szCs w:val="20"/>
                  </w:rPr>
                  <w:t>-5,659.25</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2C3CB19">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C535EBD">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65665EA3">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883779259"/>
          <w:placeholder>
            <w:docPart w:val="683AC76003DF4D9F89E40EC27634BA56"/>
          </w:placeholder>
        </w:sdtPr>
        <w:sdtEndPr>
          <w:rPr>
            <w:bCs/>
            <w:color w:val="000000" w:themeColor="text1"/>
            <w:sz w:val="16"/>
            <w:szCs w:val="20"/>
            <w14:textFill>
              <w14:solidFill>
                <w14:schemeClr w14:val="tx1"/>
              </w14:solidFill>
            </w14:textFill>
          </w:rPr>
        </w:sdtEndPr>
        <w:sdtContent>
          <w:tr w14:paraId="49857349">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356725504"/>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422D5A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首次公开发行股票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76B98F2">
                <w:pPr>
                  <w:rPr>
                    <w:rFonts w:hint="eastAsia"/>
                    <w:bCs/>
                    <w:sz w:val="16"/>
                    <w:szCs w:val="20"/>
                  </w:rPr>
                </w:pPr>
                <w:r>
                  <w:rPr>
                    <w:rFonts w:hint="eastAsia"/>
                    <w:sz w:val="16"/>
                    <w:szCs w:val="20"/>
                  </w:rPr>
                  <w:t>年产2500吨特种尼龙66长丝中试线建设项目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605384040"/>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55D772F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26731184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562AC5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038970043"/>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757AAFC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7EB5DF72">
                <w:pPr>
                  <w:jc w:val="right"/>
                  <w:rPr>
                    <w:rFonts w:hint="eastAsia"/>
                    <w:bCs/>
                    <w:sz w:val="16"/>
                    <w:szCs w:val="20"/>
                  </w:rPr>
                </w:pPr>
                <w:r>
                  <w:rPr>
                    <w:rFonts w:hint="eastAsia"/>
                    <w:sz w:val="16"/>
                    <w:szCs w:val="20"/>
                  </w:rPr>
                  <w:t>5,449.82</w:t>
                </w:r>
              </w:p>
            </w:tc>
            <w:tc>
              <w:tcPr>
                <w:tcW w:w="309" w:type="pct"/>
                <w:tcBorders>
                  <w:top w:val="single" w:color="auto" w:sz="4" w:space="0"/>
                  <w:left w:val="single" w:color="auto" w:sz="4" w:space="0"/>
                  <w:bottom w:val="single" w:color="auto" w:sz="4" w:space="0"/>
                  <w:right w:val="single" w:color="auto" w:sz="4" w:space="0"/>
                </w:tcBorders>
                <w:vAlign w:val="center"/>
              </w:tcPr>
              <w:p w14:paraId="224A1253">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0EADC203">
                <w:pPr>
                  <w:jc w:val="right"/>
                  <w:rPr>
                    <w:rFonts w:hint="eastAsia"/>
                    <w:bCs/>
                    <w:sz w:val="16"/>
                    <w:szCs w:val="20"/>
                  </w:rPr>
                </w:pPr>
              </w:p>
            </w:tc>
            <w:tc>
              <w:tcPr>
                <w:tcW w:w="383" w:type="pct"/>
                <w:tcBorders>
                  <w:top w:val="single" w:color="auto" w:sz="4" w:space="0"/>
                  <w:left w:val="nil"/>
                  <w:bottom w:val="single" w:color="auto" w:sz="4" w:space="0"/>
                  <w:right w:val="single" w:color="auto" w:sz="4" w:space="0"/>
                </w:tcBorders>
                <w:shd w:val="clear" w:color="auto" w:fill="auto"/>
                <w:vAlign w:val="center"/>
              </w:tcPr>
              <w:p w14:paraId="3AF8A7FC">
                <w:pPr>
                  <w:jc w:val="right"/>
                  <w:rPr>
                    <w:rFonts w:hint="eastAsia"/>
                    <w:bCs/>
                    <w:sz w:val="16"/>
                    <w:szCs w:val="20"/>
                  </w:rPr>
                </w:pPr>
              </w:p>
            </w:tc>
            <w:tc>
              <w:tcPr>
                <w:tcW w:w="272" w:type="pct"/>
                <w:tcBorders>
                  <w:top w:val="single" w:color="auto" w:sz="4" w:space="0"/>
                  <w:left w:val="nil"/>
                  <w:bottom w:val="single" w:color="auto" w:sz="4" w:space="0"/>
                  <w:right w:val="single" w:color="auto" w:sz="4" w:space="0"/>
                </w:tcBorders>
                <w:shd w:val="clear" w:color="auto" w:fill="auto"/>
                <w:vAlign w:val="center"/>
              </w:tcPr>
              <w:p w14:paraId="70513F8B">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73460037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7FF9EE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36287807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247FAA8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0BD05AE">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7E8FD6D9">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F323F96">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75BE47F6">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1FDBACEB">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075089008"/>
          <w:placeholder>
            <w:docPart w:val="683AC76003DF4D9F89E40EC27634BA56"/>
          </w:placeholder>
        </w:sdtPr>
        <w:sdtEndPr>
          <w:rPr>
            <w:bCs/>
            <w:color w:val="000000" w:themeColor="text1"/>
            <w:sz w:val="16"/>
            <w:szCs w:val="20"/>
            <w14:textFill>
              <w14:solidFill>
                <w14:schemeClr w14:val="tx1"/>
              </w14:solidFill>
            </w14:textFill>
          </w:rPr>
        </w:sdtEndPr>
        <w:sdtContent>
          <w:tr w14:paraId="0CC643A3">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4005273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1FA48F0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7102C1B">
                <w:pPr>
                  <w:rPr>
                    <w:rFonts w:hint="eastAsia"/>
                    <w:bCs/>
                    <w:sz w:val="16"/>
                    <w:szCs w:val="20"/>
                  </w:rPr>
                </w:pPr>
                <w:r>
                  <w:rPr>
                    <w:rFonts w:hint="eastAsia"/>
                    <w:sz w:val="16"/>
                    <w:szCs w:val="20"/>
                  </w:rPr>
                  <w:t>际华集团终端市场网络建设项目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03159600"/>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278C78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59556139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E8A3C1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848098073"/>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830EA5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679BFD13">
                <w:pPr>
                  <w:jc w:val="right"/>
                  <w:rPr>
                    <w:rFonts w:hint="eastAsia"/>
                    <w:bCs/>
                    <w:sz w:val="16"/>
                    <w:szCs w:val="20"/>
                  </w:rPr>
                </w:pPr>
                <w:r>
                  <w:rPr>
                    <w:rFonts w:hint="eastAsia"/>
                    <w:sz w:val="16"/>
                    <w:szCs w:val="20"/>
                  </w:rPr>
                  <w:t>21,291.5</w:t>
                </w:r>
              </w:p>
            </w:tc>
            <w:tc>
              <w:tcPr>
                <w:tcW w:w="309" w:type="pct"/>
                <w:tcBorders>
                  <w:top w:val="single" w:color="auto" w:sz="4" w:space="0"/>
                  <w:left w:val="single" w:color="auto" w:sz="4" w:space="0"/>
                  <w:bottom w:val="single" w:color="auto" w:sz="4" w:space="0"/>
                  <w:right w:val="single" w:color="auto" w:sz="4" w:space="0"/>
                </w:tcBorders>
                <w:vAlign w:val="center"/>
              </w:tcPr>
              <w:p w14:paraId="6648B571">
                <w:pPr>
                  <w:jc w:val="right"/>
                  <w:rPr>
                    <w:rFonts w:hint="eastAsia"/>
                    <w:bCs/>
                    <w:sz w:val="16"/>
                    <w:szCs w:val="20"/>
                  </w:rPr>
                </w:pPr>
                <w:r>
                  <w:rPr>
                    <w:rFonts w:hint="eastAsia"/>
                    <w:sz w:val="16"/>
                    <w:szCs w:val="20"/>
                  </w:rPr>
                  <w:t>3,725.05</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0E658D57">
                <w:pPr>
                  <w:jc w:val="right"/>
                  <w:rPr>
                    <w:rFonts w:hint="eastAsia"/>
                    <w:bCs/>
                    <w:sz w:val="16"/>
                    <w:szCs w:val="20"/>
                  </w:rPr>
                </w:pPr>
                <w:r>
                  <w:rPr>
                    <w:rFonts w:hint="eastAsia"/>
                    <w:sz w:val="16"/>
                    <w:szCs w:val="20"/>
                  </w:rPr>
                  <w:t>6,876.23</w:t>
                </w:r>
              </w:p>
            </w:tc>
            <w:tc>
              <w:tcPr>
                <w:tcW w:w="383" w:type="pct"/>
                <w:tcBorders>
                  <w:top w:val="single" w:color="auto" w:sz="4" w:space="0"/>
                  <w:left w:val="nil"/>
                  <w:bottom w:val="single" w:color="auto" w:sz="4" w:space="0"/>
                  <w:right w:val="single" w:color="auto" w:sz="4" w:space="0"/>
                </w:tcBorders>
                <w:shd w:val="clear" w:color="auto" w:fill="auto"/>
                <w:vAlign w:val="center"/>
              </w:tcPr>
              <w:p w14:paraId="68EBFB8C">
                <w:pPr>
                  <w:jc w:val="right"/>
                  <w:rPr>
                    <w:rFonts w:hint="eastAsia"/>
                    <w:bCs/>
                    <w:sz w:val="16"/>
                    <w:szCs w:val="20"/>
                  </w:rPr>
                </w:pPr>
                <w:r>
                  <w:rPr>
                    <w:rFonts w:hint="eastAsia"/>
                    <w:sz w:val="16"/>
                    <w:szCs w:val="20"/>
                  </w:rPr>
                  <w:t>32.30</w:t>
                </w:r>
              </w:p>
            </w:tc>
            <w:tc>
              <w:tcPr>
                <w:tcW w:w="272" w:type="pct"/>
                <w:tcBorders>
                  <w:top w:val="single" w:color="auto" w:sz="4" w:space="0"/>
                  <w:left w:val="nil"/>
                  <w:bottom w:val="single" w:color="auto" w:sz="4" w:space="0"/>
                  <w:right w:val="single" w:color="auto" w:sz="4" w:space="0"/>
                </w:tcBorders>
                <w:shd w:val="clear" w:color="auto" w:fill="auto"/>
                <w:vAlign w:val="center"/>
              </w:tcPr>
              <w:p w14:paraId="401E2BDC">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01851332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6085766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91716295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7B1B50C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61F812C7">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04F5469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0A2EB92">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15342785">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0CDCC6E0">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589387477"/>
          <w:placeholder>
            <w:docPart w:val="683AC76003DF4D9F89E40EC27634BA56"/>
          </w:placeholder>
        </w:sdtPr>
        <w:sdtEndPr>
          <w:rPr>
            <w:bCs/>
            <w:color w:val="000000" w:themeColor="text1"/>
            <w:sz w:val="16"/>
            <w:szCs w:val="20"/>
            <w14:textFill>
              <w14:solidFill>
                <w14:schemeClr w14:val="tx1"/>
              </w14:solidFill>
            </w14:textFill>
          </w:rPr>
        </w:sdtEndPr>
        <w:sdtContent>
          <w:tr w14:paraId="5647C22B">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43281975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2D1D89E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140138B">
                <w:pPr>
                  <w:rPr>
                    <w:rFonts w:hint="eastAsia"/>
                    <w:bCs/>
                    <w:sz w:val="16"/>
                    <w:szCs w:val="20"/>
                  </w:rPr>
                </w:pPr>
                <w:r>
                  <w:rPr>
                    <w:rFonts w:hint="eastAsia"/>
                    <w:sz w:val="16"/>
                    <w:szCs w:val="20"/>
                  </w:rPr>
                  <w:t>重庆际华园目的地中心项目一期二阶段</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31161640"/>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723AB74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00521225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5195FB5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328902867"/>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1D7ABF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49EC2201">
                <w:pPr>
                  <w:jc w:val="right"/>
                  <w:rPr>
                    <w:rFonts w:hint="eastAsia"/>
                    <w:bCs/>
                    <w:sz w:val="16"/>
                    <w:szCs w:val="20"/>
                  </w:rPr>
                </w:pPr>
                <w:r>
                  <w:rPr>
                    <w:rFonts w:hint="eastAsia"/>
                    <w:sz w:val="16"/>
                    <w:szCs w:val="20"/>
                  </w:rPr>
                  <w:t>45,000</w:t>
                </w:r>
              </w:p>
            </w:tc>
            <w:tc>
              <w:tcPr>
                <w:tcW w:w="309" w:type="pct"/>
                <w:tcBorders>
                  <w:top w:val="single" w:color="auto" w:sz="4" w:space="0"/>
                  <w:left w:val="single" w:color="auto" w:sz="4" w:space="0"/>
                  <w:bottom w:val="single" w:color="auto" w:sz="4" w:space="0"/>
                  <w:right w:val="single" w:color="auto" w:sz="4" w:space="0"/>
                </w:tcBorders>
                <w:vAlign w:val="center"/>
              </w:tcPr>
              <w:p w14:paraId="02E157F6">
                <w:pPr>
                  <w:jc w:val="right"/>
                  <w:rPr>
                    <w:rFonts w:hint="eastAsia"/>
                    <w:bCs/>
                    <w:sz w:val="16"/>
                    <w:szCs w:val="20"/>
                  </w:rPr>
                </w:pPr>
                <w:r>
                  <w:rPr>
                    <w:rFonts w:hint="eastAsia"/>
                    <w:sz w:val="16"/>
                    <w:szCs w:val="20"/>
                  </w:rPr>
                  <w:t>256.85</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9F82973">
                <w:pPr>
                  <w:jc w:val="right"/>
                  <w:rPr>
                    <w:rFonts w:hint="eastAsia"/>
                    <w:bCs/>
                    <w:sz w:val="16"/>
                    <w:szCs w:val="20"/>
                  </w:rPr>
                </w:pPr>
                <w:r>
                  <w:rPr>
                    <w:rFonts w:hint="eastAsia"/>
                    <w:sz w:val="16"/>
                    <w:szCs w:val="20"/>
                  </w:rPr>
                  <w:t>24,615.65</w:t>
                </w:r>
              </w:p>
            </w:tc>
            <w:tc>
              <w:tcPr>
                <w:tcW w:w="383" w:type="pct"/>
                <w:tcBorders>
                  <w:top w:val="single" w:color="auto" w:sz="4" w:space="0"/>
                  <w:left w:val="nil"/>
                  <w:bottom w:val="single" w:color="auto" w:sz="4" w:space="0"/>
                  <w:right w:val="single" w:color="auto" w:sz="4" w:space="0"/>
                </w:tcBorders>
                <w:shd w:val="clear" w:color="auto" w:fill="auto"/>
                <w:vAlign w:val="center"/>
              </w:tcPr>
              <w:p w14:paraId="605AD348">
                <w:pPr>
                  <w:jc w:val="right"/>
                  <w:rPr>
                    <w:rFonts w:hint="eastAsia"/>
                    <w:bCs/>
                    <w:sz w:val="16"/>
                    <w:szCs w:val="20"/>
                  </w:rPr>
                </w:pPr>
                <w:r>
                  <w:rPr>
                    <w:rFonts w:hint="eastAsia"/>
                    <w:sz w:val="16"/>
                    <w:szCs w:val="20"/>
                  </w:rPr>
                  <w:t>54.70</w:t>
                </w:r>
              </w:p>
            </w:tc>
            <w:tc>
              <w:tcPr>
                <w:tcW w:w="272" w:type="pct"/>
                <w:tcBorders>
                  <w:top w:val="single" w:color="auto" w:sz="4" w:space="0"/>
                  <w:left w:val="nil"/>
                  <w:bottom w:val="single" w:color="auto" w:sz="4" w:space="0"/>
                  <w:right w:val="single" w:color="auto" w:sz="4" w:space="0"/>
                </w:tcBorders>
                <w:shd w:val="clear" w:color="auto" w:fill="auto"/>
                <w:vAlign w:val="center"/>
              </w:tcPr>
              <w:p w14:paraId="17684BF9">
                <w:pPr>
                  <w:rPr>
                    <w:rFonts w:hint="eastAsia"/>
                    <w:bCs/>
                    <w:sz w:val="16"/>
                    <w:szCs w:val="20"/>
                  </w:rPr>
                </w:pPr>
                <w:r>
                  <w:rPr>
                    <w:rFonts w:hint="eastAsia"/>
                    <w:sz w:val="16"/>
                    <w:szCs w:val="20"/>
                  </w:rPr>
                  <w:t>2026年12月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04491118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73748A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9787931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3EEA12A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34DAFD38">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503111AD">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05800CDE">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1C7A4D29">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1AEECD54">
                <w:pPr>
                  <w:jc w:val="right"/>
                  <w:rPr>
                    <w:rFonts w:hint="eastAsia"/>
                    <w:bCs/>
                    <w:sz w:val="16"/>
                    <w:szCs w:val="20"/>
                  </w:rPr>
                </w:pPr>
                <w:r>
                  <w:rPr>
                    <w:rFonts w:hint="eastAsia"/>
                    <w:sz w:val="16"/>
                    <w:szCs w:val="20"/>
                  </w:rPr>
                  <w:t>20,384.35</w:t>
                </w: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916214953"/>
          <w:placeholder>
            <w:docPart w:val="683AC76003DF4D9F89E40EC27634BA56"/>
          </w:placeholder>
        </w:sdtPr>
        <w:sdtEndPr>
          <w:rPr>
            <w:bCs/>
            <w:color w:val="000000" w:themeColor="text1"/>
            <w:sz w:val="16"/>
            <w:szCs w:val="20"/>
            <w14:textFill>
              <w14:solidFill>
                <w14:schemeClr w14:val="tx1"/>
              </w14:solidFill>
            </w14:textFill>
          </w:rPr>
        </w:sdtEndPr>
        <w:sdtContent>
          <w:tr w14:paraId="7E5B748E">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724261425"/>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19F0BD5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439D9F82">
                <w:pPr>
                  <w:rPr>
                    <w:rFonts w:hint="eastAsia"/>
                    <w:bCs/>
                    <w:sz w:val="16"/>
                    <w:szCs w:val="20"/>
                  </w:rPr>
                </w:pPr>
                <w:r>
                  <w:rPr>
                    <w:rFonts w:hint="eastAsia"/>
                    <w:sz w:val="16"/>
                    <w:szCs w:val="20"/>
                  </w:rPr>
                  <w:t>际华园•长春目的地中心一期项目二阶段</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678534966"/>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0FD085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56749340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5635710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20143827"/>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B3D222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5355315A">
                <w:pPr>
                  <w:jc w:val="right"/>
                  <w:rPr>
                    <w:rFonts w:hint="eastAsia"/>
                    <w:bCs/>
                    <w:sz w:val="16"/>
                    <w:szCs w:val="20"/>
                  </w:rPr>
                </w:pPr>
                <w:r>
                  <w:rPr>
                    <w:rFonts w:hint="eastAsia"/>
                    <w:sz w:val="16"/>
                    <w:szCs w:val="20"/>
                  </w:rPr>
                  <w:t>45,000</w:t>
                </w:r>
              </w:p>
            </w:tc>
            <w:tc>
              <w:tcPr>
                <w:tcW w:w="309" w:type="pct"/>
                <w:tcBorders>
                  <w:top w:val="single" w:color="auto" w:sz="4" w:space="0"/>
                  <w:left w:val="single" w:color="auto" w:sz="4" w:space="0"/>
                  <w:bottom w:val="single" w:color="auto" w:sz="4" w:space="0"/>
                  <w:right w:val="single" w:color="auto" w:sz="4" w:space="0"/>
                </w:tcBorders>
                <w:vAlign w:val="center"/>
              </w:tcPr>
              <w:p w14:paraId="06532017">
                <w:pPr>
                  <w:jc w:val="right"/>
                  <w:rPr>
                    <w:rFonts w:hint="eastAsia"/>
                    <w:bCs/>
                    <w:sz w:val="16"/>
                    <w:szCs w:val="20"/>
                  </w:rPr>
                </w:pPr>
                <w:r>
                  <w:rPr>
                    <w:rFonts w:hint="eastAsia"/>
                    <w:sz w:val="16"/>
                    <w:szCs w:val="20"/>
                  </w:rPr>
                  <w:t>930.44</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E02D664">
                <w:pPr>
                  <w:jc w:val="right"/>
                  <w:rPr>
                    <w:rFonts w:hint="eastAsia"/>
                    <w:bCs/>
                    <w:sz w:val="16"/>
                    <w:szCs w:val="20"/>
                  </w:rPr>
                </w:pPr>
                <w:r>
                  <w:rPr>
                    <w:rFonts w:hint="eastAsia"/>
                    <w:sz w:val="16"/>
                    <w:szCs w:val="20"/>
                  </w:rPr>
                  <w:t>25,513.71</w:t>
                </w:r>
              </w:p>
            </w:tc>
            <w:tc>
              <w:tcPr>
                <w:tcW w:w="383" w:type="pct"/>
                <w:tcBorders>
                  <w:top w:val="single" w:color="auto" w:sz="4" w:space="0"/>
                  <w:left w:val="nil"/>
                  <w:bottom w:val="single" w:color="auto" w:sz="4" w:space="0"/>
                  <w:right w:val="single" w:color="auto" w:sz="4" w:space="0"/>
                </w:tcBorders>
                <w:shd w:val="clear" w:color="auto" w:fill="auto"/>
                <w:vAlign w:val="center"/>
              </w:tcPr>
              <w:p w14:paraId="0DE79179">
                <w:pPr>
                  <w:jc w:val="right"/>
                  <w:rPr>
                    <w:rFonts w:hint="eastAsia"/>
                    <w:bCs/>
                    <w:sz w:val="16"/>
                    <w:szCs w:val="20"/>
                  </w:rPr>
                </w:pPr>
                <w:r>
                  <w:rPr>
                    <w:rFonts w:hint="eastAsia"/>
                    <w:sz w:val="16"/>
                    <w:szCs w:val="20"/>
                  </w:rPr>
                  <w:t>56.70</w:t>
                </w:r>
              </w:p>
            </w:tc>
            <w:tc>
              <w:tcPr>
                <w:tcW w:w="272" w:type="pct"/>
                <w:tcBorders>
                  <w:top w:val="single" w:color="auto" w:sz="4" w:space="0"/>
                  <w:left w:val="nil"/>
                  <w:bottom w:val="single" w:color="auto" w:sz="4" w:space="0"/>
                  <w:right w:val="single" w:color="auto" w:sz="4" w:space="0"/>
                </w:tcBorders>
                <w:shd w:val="clear" w:color="auto" w:fill="auto"/>
                <w:vAlign w:val="center"/>
              </w:tcPr>
              <w:p w14:paraId="07C48BF4">
                <w:pPr>
                  <w:rPr>
                    <w:rFonts w:hint="eastAsia"/>
                    <w:bCs/>
                    <w:sz w:val="16"/>
                    <w:szCs w:val="20"/>
                  </w:rPr>
                </w:pPr>
                <w:r>
                  <w:rPr>
                    <w:rFonts w:hint="eastAsia"/>
                    <w:sz w:val="16"/>
                    <w:szCs w:val="20"/>
                  </w:rPr>
                  <w:t>2026年12月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53655368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A39BD9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83090898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342A712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B434985">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3F684C2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F3F6AE3">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5EF448B3">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5C95EABE">
                <w:pPr>
                  <w:jc w:val="right"/>
                  <w:rPr>
                    <w:rFonts w:hint="eastAsia"/>
                    <w:bCs/>
                    <w:sz w:val="16"/>
                    <w:szCs w:val="20"/>
                  </w:rPr>
                </w:pPr>
                <w:r>
                  <w:rPr>
                    <w:rFonts w:hint="eastAsia"/>
                    <w:sz w:val="16"/>
                    <w:szCs w:val="20"/>
                  </w:rPr>
                  <w:t>19,486.29</w:t>
                </w: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83728148"/>
          <w:placeholder>
            <w:docPart w:val="683AC76003DF4D9F89E40EC27634BA56"/>
          </w:placeholder>
        </w:sdtPr>
        <w:sdtEndPr>
          <w:rPr>
            <w:bCs/>
            <w:color w:val="000000" w:themeColor="text1"/>
            <w:sz w:val="16"/>
            <w:szCs w:val="20"/>
            <w14:textFill>
              <w14:solidFill>
                <w14:schemeClr w14:val="tx1"/>
              </w14:solidFill>
            </w14:textFill>
          </w:rPr>
        </w:sdtEndPr>
        <w:sdtContent>
          <w:tr w14:paraId="2FDA4E32">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057670821"/>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15935D4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16D4F38">
                <w:pPr>
                  <w:rPr>
                    <w:rFonts w:hint="eastAsia"/>
                    <w:bCs/>
                    <w:sz w:val="16"/>
                    <w:szCs w:val="20"/>
                  </w:rPr>
                </w:pPr>
                <w:r>
                  <w:rPr>
                    <w:rFonts w:hint="eastAsia"/>
                    <w:sz w:val="16"/>
                    <w:szCs w:val="20"/>
                  </w:rPr>
                  <w:t>际华园扬中项目、咸宁项目、清远项目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45640337"/>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6984F18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48095588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2C33C91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081100798"/>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9B6AF3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506D3A88">
                <w:pPr>
                  <w:jc w:val="right"/>
                  <w:rPr>
                    <w:rFonts w:hint="eastAsia"/>
                    <w:bCs/>
                    <w:sz w:val="16"/>
                    <w:szCs w:val="20"/>
                  </w:rPr>
                </w:pPr>
                <w:r>
                  <w:rPr>
                    <w:rFonts w:hint="eastAsia"/>
                    <w:sz w:val="16"/>
                    <w:szCs w:val="20"/>
                  </w:rPr>
                  <w:t>89,048.28</w:t>
                </w:r>
              </w:p>
            </w:tc>
            <w:tc>
              <w:tcPr>
                <w:tcW w:w="309" w:type="pct"/>
                <w:tcBorders>
                  <w:top w:val="single" w:color="auto" w:sz="4" w:space="0"/>
                  <w:left w:val="single" w:color="auto" w:sz="4" w:space="0"/>
                  <w:bottom w:val="single" w:color="auto" w:sz="4" w:space="0"/>
                  <w:right w:val="single" w:color="auto" w:sz="4" w:space="0"/>
                </w:tcBorders>
                <w:vAlign w:val="center"/>
              </w:tcPr>
              <w:p w14:paraId="096B53EB">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57F100C">
                <w:pPr>
                  <w:jc w:val="right"/>
                  <w:rPr>
                    <w:rFonts w:hint="eastAsia"/>
                    <w:bCs/>
                    <w:sz w:val="16"/>
                    <w:szCs w:val="20"/>
                  </w:rPr>
                </w:pPr>
                <w:r>
                  <w:rPr>
                    <w:rFonts w:hint="eastAsia"/>
                    <w:sz w:val="16"/>
                    <w:szCs w:val="20"/>
                  </w:rPr>
                  <w:t>89,048.28</w:t>
                </w:r>
              </w:p>
            </w:tc>
            <w:tc>
              <w:tcPr>
                <w:tcW w:w="383" w:type="pct"/>
                <w:tcBorders>
                  <w:top w:val="single" w:color="auto" w:sz="4" w:space="0"/>
                  <w:left w:val="nil"/>
                  <w:bottom w:val="single" w:color="auto" w:sz="4" w:space="0"/>
                  <w:right w:val="single" w:color="auto" w:sz="4" w:space="0"/>
                </w:tcBorders>
                <w:shd w:val="clear" w:color="auto" w:fill="auto"/>
                <w:vAlign w:val="center"/>
              </w:tcPr>
              <w:p w14:paraId="2697869C">
                <w:pPr>
                  <w:jc w:val="right"/>
                  <w:rPr>
                    <w:rFonts w:hint="eastAsia"/>
                    <w:bCs/>
                    <w:sz w:val="16"/>
                    <w:szCs w:val="20"/>
                  </w:rPr>
                </w:pPr>
                <w:r>
                  <w:rPr>
                    <w:rFonts w:hint="eastAsia"/>
                    <w:sz w:val="16"/>
                    <w:szCs w:val="20"/>
                  </w:rPr>
                  <w:t>100.00</w:t>
                </w:r>
              </w:p>
            </w:tc>
            <w:tc>
              <w:tcPr>
                <w:tcW w:w="272" w:type="pct"/>
                <w:tcBorders>
                  <w:top w:val="single" w:color="auto" w:sz="4" w:space="0"/>
                  <w:left w:val="nil"/>
                  <w:bottom w:val="single" w:color="auto" w:sz="4" w:space="0"/>
                  <w:right w:val="single" w:color="auto" w:sz="4" w:space="0"/>
                </w:tcBorders>
                <w:shd w:val="clear" w:color="auto" w:fill="auto"/>
                <w:vAlign w:val="center"/>
              </w:tcPr>
              <w:p w14:paraId="1E13D807">
                <w:pPr>
                  <w:rPr>
                    <w:rFonts w:hint="eastAsia"/>
                    <w:bCs/>
                    <w:sz w:val="16"/>
                    <w:szCs w:val="20"/>
                  </w:rPr>
                </w:pPr>
                <w:r>
                  <w:rPr>
                    <w:rFonts w:hint="eastAsia"/>
                    <w:sz w:val="16"/>
                    <w:szCs w:val="20"/>
                  </w:rPr>
                  <w:t>项目已转让</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55153324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A5357B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00196235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A58D2C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6C9B319F">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18CBA157">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6F954C1">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36355B43">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37FAE970">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286664096"/>
          <w:placeholder>
            <w:docPart w:val="683AC76003DF4D9F89E40EC27634BA56"/>
          </w:placeholder>
        </w:sdtPr>
        <w:sdtEndPr>
          <w:rPr>
            <w:bCs/>
            <w:color w:val="000000" w:themeColor="text1"/>
            <w:sz w:val="16"/>
            <w:szCs w:val="20"/>
            <w14:textFill>
              <w14:solidFill>
                <w14:schemeClr w14:val="tx1"/>
              </w14:solidFill>
            </w14:textFill>
          </w:rPr>
        </w:sdtEndPr>
        <w:sdtContent>
          <w:tr w14:paraId="5C922C31">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16374353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4F6AC3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6393123">
                <w:pPr>
                  <w:rPr>
                    <w:rFonts w:hint="eastAsia"/>
                    <w:bCs/>
                    <w:sz w:val="16"/>
                    <w:szCs w:val="20"/>
                  </w:rPr>
                </w:pPr>
                <w:r>
                  <w:rPr>
                    <w:rFonts w:hint="eastAsia"/>
                    <w:sz w:val="16"/>
                    <w:szCs w:val="20"/>
                  </w:rPr>
                  <w:t>际华园西安项目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18969286"/>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3B1EFB4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95298605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2E9AE4C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008656772"/>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74693A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是，此项目取消</w:t>
                    </w:r>
                  </w:p>
                </w:tc>
              </w:sdtContent>
            </w:sdt>
            <w:tc>
              <w:tcPr>
                <w:tcW w:w="366" w:type="pct"/>
                <w:tcBorders>
                  <w:top w:val="single" w:color="auto" w:sz="4" w:space="0"/>
                  <w:left w:val="nil"/>
                  <w:bottom w:val="single" w:color="auto" w:sz="4" w:space="0"/>
                  <w:right w:val="single" w:color="auto" w:sz="4" w:space="0"/>
                </w:tcBorders>
                <w:vAlign w:val="center"/>
              </w:tcPr>
              <w:p w14:paraId="399B822D">
                <w:pPr>
                  <w:jc w:val="right"/>
                  <w:rPr>
                    <w:rFonts w:hint="eastAsia"/>
                    <w:bCs/>
                    <w:sz w:val="16"/>
                    <w:szCs w:val="20"/>
                  </w:rPr>
                </w:pPr>
                <w:r>
                  <w:rPr>
                    <w:rFonts w:hint="eastAsia"/>
                    <w:sz w:val="16"/>
                    <w:szCs w:val="20"/>
                  </w:rPr>
                  <w:t>36,434.49</w:t>
                </w:r>
              </w:p>
            </w:tc>
            <w:tc>
              <w:tcPr>
                <w:tcW w:w="309" w:type="pct"/>
                <w:tcBorders>
                  <w:top w:val="single" w:color="auto" w:sz="4" w:space="0"/>
                  <w:left w:val="single" w:color="auto" w:sz="4" w:space="0"/>
                  <w:bottom w:val="single" w:color="auto" w:sz="4" w:space="0"/>
                  <w:right w:val="single" w:color="auto" w:sz="4" w:space="0"/>
                </w:tcBorders>
                <w:vAlign w:val="center"/>
              </w:tcPr>
              <w:p w14:paraId="1DDDD2A3">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1E68C55">
                <w:pPr>
                  <w:jc w:val="right"/>
                  <w:rPr>
                    <w:rFonts w:hint="eastAsia"/>
                    <w:bCs/>
                    <w:sz w:val="16"/>
                    <w:szCs w:val="20"/>
                  </w:rPr>
                </w:pPr>
                <w:r>
                  <w:rPr>
                    <w:rFonts w:hint="eastAsia"/>
                    <w:sz w:val="16"/>
                    <w:szCs w:val="20"/>
                  </w:rPr>
                  <w:t>36,434.49</w:t>
                </w:r>
              </w:p>
            </w:tc>
            <w:tc>
              <w:tcPr>
                <w:tcW w:w="383" w:type="pct"/>
                <w:tcBorders>
                  <w:top w:val="single" w:color="auto" w:sz="4" w:space="0"/>
                  <w:left w:val="nil"/>
                  <w:bottom w:val="single" w:color="auto" w:sz="4" w:space="0"/>
                  <w:right w:val="single" w:color="auto" w:sz="4" w:space="0"/>
                </w:tcBorders>
                <w:shd w:val="clear" w:color="auto" w:fill="auto"/>
                <w:vAlign w:val="center"/>
              </w:tcPr>
              <w:p w14:paraId="64A27FE7">
                <w:pPr>
                  <w:jc w:val="right"/>
                  <w:rPr>
                    <w:rFonts w:hint="eastAsia"/>
                    <w:bCs/>
                    <w:sz w:val="16"/>
                    <w:szCs w:val="20"/>
                  </w:rPr>
                </w:pPr>
                <w:r>
                  <w:rPr>
                    <w:rFonts w:hint="eastAsia"/>
                    <w:sz w:val="16"/>
                    <w:szCs w:val="20"/>
                  </w:rPr>
                  <w:t>100.00</w:t>
                </w:r>
              </w:p>
            </w:tc>
            <w:tc>
              <w:tcPr>
                <w:tcW w:w="272" w:type="pct"/>
                <w:tcBorders>
                  <w:top w:val="single" w:color="auto" w:sz="4" w:space="0"/>
                  <w:left w:val="nil"/>
                  <w:bottom w:val="single" w:color="auto" w:sz="4" w:space="0"/>
                  <w:right w:val="single" w:color="auto" w:sz="4" w:space="0"/>
                </w:tcBorders>
                <w:shd w:val="clear" w:color="auto" w:fill="auto"/>
                <w:vAlign w:val="center"/>
              </w:tcPr>
              <w:p w14:paraId="4911B7C1">
                <w:pPr>
                  <w:rPr>
                    <w:rFonts w:hint="eastAsia"/>
                    <w:bCs/>
                    <w:sz w:val="16"/>
                    <w:szCs w:val="20"/>
                  </w:rPr>
                </w:pPr>
                <w:r>
                  <w:rPr>
                    <w:rFonts w:hint="eastAsia"/>
                    <w:sz w:val="16"/>
                    <w:szCs w:val="20"/>
                  </w:rPr>
                  <w:t>项目已转让</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9465721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47C3441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5331328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29185CE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26B00FDD">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4B5D48E2">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4C1D766">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2B7140F8">
                <w:pPr>
                  <w:rPr>
                    <w:rFonts w:hint="eastAsia"/>
                    <w:bCs/>
                    <w:sz w:val="16"/>
                    <w:szCs w:val="20"/>
                  </w:rPr>
                </w:pPr>
                <w:r>
                  <w:rPr>
                    <w:rFonts w:hint="eastAsia"/>
                    <w:sz w:val="16"/>
                    <w:szCs w:val="20"/>
                  </w:rPr>
                  <w:t>是</w:t>
                </w:r>
              </w:p>
            </w:tc>
            <w:tc>
              <w:tcPr>
                <w:tcW w:w="338" w:type="pct"/>
                <w:tcBorders>
                  <w:top w:val="single" w:color="auto" w:sz="4" w:space="0"/>
                  <w:left w:val="nil"/>
                  <w:bottom w:val="single" w:color="auto" w:sz="4" w:space="0"/>
                  <w:right w:val="single" w:color="auto" w:sz="4" w:space="0"/>
                </w:tcBorders>
                <w:vAlign w:val="center"/>
              </w:tcPr>
              <w:p w14:paraId="32D62690">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543831676"/>
          <w:placeholder>
            <w:docPart w:val="683AC76003DF4D9F89E40EC27634BA56"/>
          </w:placeholder>
        </w:sdtPr>
        <w:sdtEndPr>
          <w:rPr>
            <w:bCs/>
            <w:color w:val="000000" w:themeColor="text1"/>
            <w:sz w:val="16"/>
            <w:szCs w:val="20"/>
            <w14:textFill>
              <w14:solidFill>
                <w14:schemeClr w14:val="tx1"/>
              </w14:solidFill>
            </w14:textFill>
          </w:rPr>
        </w:sdtEndPr>
        <w:sdtContent>
          <w:tr w14:paraId="29DF1A7C">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94765440"/>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EB6316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E9177C8">
                <w:pPr>
                  <w:rPr>
                    <w:rFonts w:hint="eastAsia"/>
                    <w:bCs/>
                    <w:sz w:val="16"/>
                    <w:szCs w:val="20"/>
                  </w:rPr>
                </w:pPr>
                <w:r>
                  <w:rPr>
                    <w:rFonts w:hint="eastAsia"/>
                    <w:sz w:val="16"/>
                    <w:szCs w:val="20"/>
                  </w:rPr>
                  <w:t>际华服装智能化生产线改造</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659073654"/>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0DAD252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567599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677E9F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813763262"/>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1569E0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是，此项目未取消，调整募集资金投资总额</w:t>
                    </w:r>
                  </w:p>
                </w:tc>
              </w:sdtContent>
            </w:sdt>
            <w:tc>
              <w:tcPr>
                <w:tcW w:w="366" w:type="pct"/>
                <w:tcBorders>
                  <w:top w:val="single" w:color="auto" w:sz="4" w:space="0"/>
                  <w:left w:val="nil"/>
                  <w:bottom w:val="single" w:color="auto" w:sz="4" w:space="0"/>
                  <w:right w:val="single" w:color="auto" w:sz="4" w:space="0"/>
                </w:tcBorders>
                <w:vAlign w:val="center"/>
              </w:tcPr>
              <w:p w14:paraId="72F9B727">
                <w:pPr>
                  <w:jc w:val="right"/>
                  <w:rPr>
                    <w:rFonts w:hint="eastAsia"/>
                    <w:bCs/>
                    <w:sz w:val="16"/>
                    <w:szCs w:val="20"/>
                  </w:rPr>
                </w:pPr>
                <w:r>
                  <w:rPr>
                    <w:rFonts w:hint="eastAsia"/>
                    <w:sz w:val="16"/>
                    <w:szCs w:val="20"/>
                  </w:rPr>
                  <w:t>22,692.65</w:t>
                </w:r>
              </w:p>
            </w:tc>
            <w:tc>
              <w:tcPr>
                <w:tcW w:w="309" w:type="pct"/>
                <w:tcBorders>
                  <w:top w:val="single" w:color="auto" w:sz="4" w:space="0"/>
                  <w:left w:val="single" w:color="auto" w:sz="4" w:space="0"/>
                  <w:bottom w:val="single" w:color="auto" w:sz="4" w:space="0"/>
                  <w:right w:val="single" w:color="auto" w:sz="4" w:space="0"/>
                </w:tcBorders>
                <w:vAlign w:val="center"/>
              </w:tcPr>
              <w:p w14:paraId="70F444FC">
                <w:pPr>
                  <w:jc w:val="right"/>
                  <w:rPr>
                    <w:rFonts w:hint="eastAsia"/>
                    <w:bCs/>
                    <w:sz w:val="16"/>
                    <w:szCs w:val="20"/>
                  </w:rPr>
                </w:pPr>
                <w:r>
                  <w:rPr>
                    <w:rFonts w:hint="eastAsia"/>
                    <w:sz w:val="16"/>
                    <w:szCs w:val="20"/>
                  </w:rPr>
                  <w:t>3,227.45</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60759A0">
                <w:pPr>
                  <w:jc w:val="right"/>
                  <w:rPr>
                    <w:rFonts w:hint="eastAsia"/>
                    <w:bCs/>
                    <w:sz w:val="16"/>
                    <w:szCs w:val="20"/>
                  </w:rPr>
                </w:pPr>
                <w:r>
                  <w:rPr>
                    <w:rFonts w:hint="eastAsia"/>
                    <w:sz w:val="16"/>
                    <w:szCs w:val="20"/>
                  </w:rPr>
                  <w:t>11,062.5</w:t>
                </w:r>
              </w:p>
            </w:tc>
            <w:tc>
              <w:tcPr>
                <w:tcW w:w="383" w:type="pct"/>
                <w:tcBorders>
                  <w:top w:val="single" w:color="auto" w:sz="4" w:space="0"/>
                  <w:left w:val="nil"/>
                  <w:bottom w:val="single" w:color="auto" w:sz="4" w:space="0"/>
                  <w:right w:val="single" w:color="auto" w:sz="4" w:space="0"/>
                </w:tcBorders>
                <w:shd w:val="clear" w:color="auto" w:fill="auto"/>
                <w:vAlign w:val="center"/>
              </w:tcPr>
              <w:p w14:paraId="4306467C">
                <w:pPr>
                  <w:jc w:val="right"/>
                  <w:rPr>
                    <w:rFonts w:hint="eastAsia"/>
                    <w:bCs/>
                    <w:sz w:val="16"/>
                    <w:szCs w:val="20"/>
                  </w:rPr>
                </w:pPr>
                <w:r>
                  <w:rPr>
                    <w:rFonts w:hint="eastAsia"/>
                    <w:sz w:val="16"/>
                    <w:szCs w:val="20"/>
                  </w:rPr>
                  <w:t>48.75</w:t>
                </w:r>
              </w:p>
            </w:tc>
            <w:tc>
              <w:tcPr>
                <w:tcW w:w="272" w:type="pct"/>
                <w:tcBorders>
                  <w:top w:val="single" w:color="auto" w:sz="4" w:space="0"/>
                  <w:left w:val="nil"/>
                  <w:bottom w:val="single" w:color="auto" w:sz="4" w:space="0"/>
                  <w:right w:val="single" w:color="auto" w:sz="4" w:space="0"/>
                </w:tcBorders>
                <w:shd w:val="clear" w:color="auto" w:fill="auto"/>
                <w:vAlign w:val="center"/>
              </w:tcPr>
              <w:p w14:paraId="62CAEA72">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73072723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D910AB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78918757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055705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48C298BC">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6C6A3EC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42F87539">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50B5E672">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6D567BFA">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202483075"/>
          <w:placeholder>
            <w:docPart w:val="683AC76003DF4D9F89E40EC27634BA56"/>
          </w:placeholder>
        </w:sdtPr>
        <w:sdtEndPr>
          <w:rPr>
            <w:bCs/>
            <w:color w:val="000000" w:themeColor="text1"/>
            <w:sz w:val="16"/>
            <w:szCs w:val="20"/>
            <w14:textFill>
              <w14:solidFill>
                <w14:schemeClr w14:val="tx1"/>
              </w14:solidFill>
            </w14:textFill>
          </w:rPr>
        </w:sdtEndPr>
        <w:sdtContent>
          <w:tr w14:paraId="48F77481">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771932023"/>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6F07D9D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1B3D024C">
                <w:pPr>
                  <w:rPr>
                    <w:rFonts w:hint="eastAsia"/>
                    <w:bCs/>
                    <w:sz w:val="16"/>
                    <w:szCs w:val="20"/>
                  </w:rPr>
                </w:pPr>
                <w:r>
                  <w:rPr>
                    <w:rFonts w:hint="eastAsia"/>
                    <w:sz w:val="16"/>
                    <w:szCs w:val="20"/>
                  </w:rPr>
                  <w:t>际华鞋靴智能化生产线改造</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99136584"/>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0E8DD46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19882162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721984F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35860550"/>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580F285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588B4A06">
                <w:pPr>
                  <w:jc w:val="right"/>
                  <w:rPr>
                    <w:rFonts w:hint="eastAsia"/>
                    <w:bCs/>
                    <w:sz w:val="16"/>
                    <w:szCs w:val="20"/>
                  </w:rPr>
                </w:pPr>
                <w:r>
                  <w:rPr>
                    <w:rFonts w:hint="eastAsia"/>
                    <w:sz w:val="16"/>
                    <w:szCs w:val="20"/>
                  </w:rPr>
                  <w:t>20,852.7</w:t>
                </w:r>
              </w:p>
            </w:tc>
            <w:tc>
              <w:tcPr>
                <w:tcW w:w="309" w:type="pct"/>
                <w:tcBorders>
                  <w:top w:val="single" w:color="auto" w:sz="4" w:space="0"/>
                  <w:left w:val="single" w:color="auto" w:sz="4" w:space="0"/>
                  <w:bottom w:val="single" w:color="auto" w:sz="4" w:space="0"/>
                  <w:right w:val="single" w:color="auto" w:sz="4" w:space="0"/>
                </w:tcBorders>
                <w:vAlign w:val="center"/>
              </w:tcPr>
              <w:p w14:paraId="72A3BFC3">
                <w:pPr>
                  <w:jc w:val="right"/>
                  <w:rPr>
                    <w:rFonts w:hint="eastAsia"/>
                    <w:bCs/>
                    <w:sz w:val="16"/>
                    <w:szCs w:val="20"/>
                  </w:rPr>
                </w:pPr>
                <w:r>
                  <w:rPr>
                    <w:rFonts w:hint="eastAsia"/>
                    <w:sz w:val="16"/>
                    <w:szCs w:val="20"/>
                  </w:rPr>
                  <w:t>356.69</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0F009826">
                <w:pPr>
                  <w:jc w:val="right"/>
                  <w:rPr>
                    <w:rFonts w:hint="eastAsia"/>
                    <w:bCs/>
                    <w:sz w:val="16"/>
                    <w:szCs w:val="20"/>
                  </w:rPr>
                </w:pPr>
                <w:r>
                  <w:rPr>
                    <w:rFonts w:hint="eastAsia"/>
                    <w:sz w:val="16"/>
                    <w:szCs w:val="20"/>
                  </w:rPr>
                  <w:t>7,330.5</w:t>
                </w:r>
              </w:p>
            </w:tc>
            <w:tc>
              <w:tcPr>
                <w:tcW w:w="383" w:type="pct"/>
                <w:tcBorders>
                  <w:top w:val="single" w:color="auto" w:sz="4" w:space="0"/>
                  <w:left w:val="nil"/>
                  <w:bottom w:val="single" w:color="auto" w:sz="4" w:space="0"/>
                  <w:right w:val="single" w:color="auto" w:sz="4" w:space="0"/>
                </w:tcBorders>
                <w:shd w:val="clear" w:color="auto" w:fill="auto"/>
                <w:vAlign w:val="center"/>
              </w:tcPr>
              <w:p w14:paraId="24D9AA78">
                <w:pPr>
                  <w:jc w:val="right"/>
                  <w:rPr>
                    <w:rFonts w:hint="eastAsia"/>
                    <w:bCs/>
                    <w:sz w:val="16"/>
                    <w:szCs w:val="20"/>
                  </w:rPr>
                </w:pPr>
                <w:r>
                  <w:rPr>
                    <w:rFonts w:hint="eastAsia"/>
                    <w:sz w:val="16"/>
                    <w:szCs w:val="20"/>
                  </w:rPr>
                  <w:t>35.15</w:t>
                </w:r>
              </w:p>
            </w:tc>
            <w:tc>
              <w:tcPr>
                <w:tcW w:w="272" w:type="pct"/>
                <w:tcBorders>
                  <w:top w:val="single" w:color="auto" w:sz="4" w:space="0"/>
                  <w:left w:val="nil"/>
                  <w:bottom w:val="single" w:color="auto" w:sz="4" w:space="0"/>
                  <w:right w:val="single" w:color="auto" w:sz="4" w:space="0"/>
                </w:tcBorders>
                <w:shd w:val="clear" w:color="auto" w:fill="auto"/>
                <w:vAlign w:val="center"/>
              </w:tcPr>
              <w:p w14:paraId="4D6D8E11">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72896687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EEFFF2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531914928"/>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81CB1B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5FD9BF6C">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3F917032">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4989FF76">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4E1A2EC7">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5D816B1F">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719046012"/>
          <w:placeholder>
            <w:docPart w:val="683AC76003DF4D9F89E40EC27634BA56"/>
          </w:placeholder>
        </w:sdtPr>
        <w:sdtEndPr>
          <w:rPr>
            <w:bCs/>
            <w:color w:val="000000" w:themeColor="text1"/>
            <w:sz w:val="16"/>
            <w:szCs w:val="20"/>
            <w14:textFill>
              <w14:solidFill>
                <w14:schemeClr w14:val="tx1"/>
              </w14:solidFill>
            </w14:textFill>
          </w:rPr>
        </w:sdtEndPr>
        <w:sdtContent>
          <w:tr w14:paraId="22B39AFB">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777564376"/>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83D567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442A4E99">
                <w:pPr>
                  <w:rPr>
                    <w:rFonts w:hint="eastAsia"/>
                    <w:bCs/>
                    <w:sz w:val="16"/>
                    <w:szCs w:val="20"/>
                  </w:rPr>
                </w:pPr>
                <w:r>
                  <w:rPr>
                    <w:rFonts w:hint="eastAsia"/>
                    <w:sz w:val="16"/>
                    <w:szCs w:val="20"/>
                  </w:rPr>
                  <w:t>际华集团信息化系统建设</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290782566"/>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26160EB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722749301"/>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3740234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124226672"/>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3295501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252EC6F8">
                <w:pPr>
                  <w:jc w:val="right"/>
                  <w:rPr>
                    <w:rFonts w:hint="eastAsia"/>
                    <w:bCs/>
                    <w:sz w:val="16"/>
                    <w:szCs w:val="20"/>
                  </w:rPr>
                </w:pPr>
                <w:r>
                  <w:rPr>
                    <w:rFonts w:hint="eastAsia"/>
                    <w:sz w:val="16"/>
                    <w:szCs w:val="20"/>
                  </w:rPr>
                  <w:t>9,475</w:t>
                </w:r>
              </w:p>
            </w:tc>
            <w:tc>
              <w:tcPr>
                <w:tcW w:w="309" w:type="pct"/>
                <w:tcBorders>
                  <w:top w:val="single" w:color="auto" w:sz="4" w:space="0"/>
                  <w:left w:val="single" w:color="auto" w:sz="4" w:space="0"/>
                  <w:bottom w:val="single" w:color="auto" w:sz="4" w:space="0"/>
                  <w:right w:val="single" w:color="auto" w:sz="4" w:space="0"/>
                </w:tcBorders>
                <w:vAlign w:val="center"/>
              </w:tcPr>
              <w:p w14:paraId="0E93E38D">
                <w:pPr>
                  <w:jc w:val="right"/>
                  <w:rPr>
                    <w:rFonts w:hint="eastAsia"/>
                    <w:bCs/>
                    <w:sz w:val="16"/>
                    <w:szCs w:val="20"/>
                  </w:rPr>
                </w:pPr>
                <w:r>
                  <w:rPr>
                    <w:rFonts w:hint="eastAsia"/>
                    <w:sz w:val="16"/>
                    <w:szCs w:val="20"/>
                  </w:rPr>
                  <w:t>849.74</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A8D4853">
                <w:pPr>
                  <w:jc w:val="right"/>
                  <w:rPr>
                    <w:rFonts w:hint="eastAsia"/>
                    <w:bCs/>
                    <w:sz w:val="16"/>
                    <w:szCs w:val="20"/>
                  </w:rPr>
                </w:pPr>
                <w:r>
                  <w:rPr>
                    <w:rFonts w:hint="eastAsia"/>
                    <w:sz w:val="16"/>
                    <w:szCs w:val="20"/>
                  </w:rPr>
                  <w:t>3,068.6</w:t>
                </w:r>
              </w:p>
            </w:tc>
            <w:tc>
              <w:tcPr>
                <w:tcW w:w="383" w:type="pct"/>
                <w:tcBorders>
                  <w:top w:val="single" w:color="auto" w:sz="4" w:space="0"/>
                  <w:left w:val="nil"/>
                  <w:bottom w:val="single" w:color="auto" w:sz="4" w:space="0"/>
                  <w:right w:val="single" w:color="auto" w:sz="4" w:space="0"/>
                </w:tcBorders>
                <w:shd w:val="clear" w:color="auto" w:fill="auto"/>
                <w:vAlign w:val="center"/>
              </w:tcPr>
              <w:p w14:paraId="791C8984">
                <w:pPr>
                  <w:jc w:val="right"/>
                  <w:rPr>
                    <w:rFonts w:hint="eastAsia"/>
                    <w:bCs/>
                    <w:sz w:val="16"/>
                    <w:szCs w:val="20"/>
                  </w:rPr>
                </w:pPr>
                <w:r>
                  <w:rPr>
                    <w:rFonts w:hint="eastAsia"/>
                    <w:sz w:val="16"/>
                    <w:szCs w:val="20"/>
                  </w:rPr>
                  <w:t>32.39</w:t>
                </w:r>
              </w:p>
            </w:tc>
            <w:tc>
              <w:tcPr>
                <w:tcW w:w="272" w:type="pct"/>
                <w:tcBorders>
                  <w:top w:val="single" w:color="auto" w:sz="4" w:space="0"/>
                  <w:left w:val="nil"/>
                  <w:bottom w:val="single" w:color="auto" w:sz="4" w:space="0"/>
                  <w:right w:val="single" w:color="auto" w:sz="4" w:space="0"/>
                </w:tcBorders>
                <w:shd w:val="clear" w:color="auto" w:fill="auto"/>
                <w:vAlign w:val="center"/>
              </w:tcPr>
              <w:p w14:paraId="56D48656">
                <w:pPr>
                  <w:rPr>
                    <w:rFonts w:hint="eastAsia"/>
                    <w:bCs/>
                    <w:sz w:val="16"/>
                    <w:szCs w:val="20"/>
                  </w:rPr>
                </w:pPr>
                <w:r>
                  <w:rPr>
                    <w:rFonts w:hint="eastAsia"/>
                    <w:sz w:val="16"/>
                    <w:szCs w:val="20"/>
                  </w:rPr>
                  <w:t>2026年12月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32317253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323274F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59668352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4BE453B">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2272BAEF">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267A15C7">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34A23A8D">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4EAD0318">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5E5CA1AF">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816847292"/>
          <w:placeholder>
            <w:docPart w:val="683AC76003DF4D9F89E40EC27634BA56"/>
          </w:placeholder>
        </w:sdtPr>
        <w:sdtEndPr>
          <w:rPr>
            <w:bCs/>
            <w:color w:val="000000" w:themeColor="text1"/>
            <w:sz w:val="16"/>
            <w:szCs w:val="20"/>
            <w14:textFill>
              <w14:solidFill>
                <w14:schemeClr w14:val="tx1"/>
              </w14:solidFill>
            </w14:textFill>
          </w:rPr>
        </w:sdtEndPr>
        <w:sdtContent>
          <w:tr w14:paraId="134FF8B0">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586072971"/>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5F4D51F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344D84AF">
                <w:pPr>
                  <w:rPr>
                    <w:rFonts w:hint="eastAsia"/>
                    <w:bCs/>
                    <w:sz w:val="16"/>
                    <w:szCs w:val="20"/>
                  </w:rPr>
                </w:pPr>
                <w:r>
                  <w:rPr>
                    <w:rFonts w:hint="eastAsia"/>
                    <w:sz w:val="16"/>
                    <w:szCs w:val="20"/>
                  </w:rPr>
                  <w:t>际华应急保障基地</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545204420"/>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CE80A4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5305600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0CDE7A4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05888165"/>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E0558F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3E321860">
                <w:pPr>
                  <w:jc w:val="right"/>
                  <w:rPr>
                    <w:rFonts w:hint="eastAsia"/>
                    <w:bCs/>
                    <w:sz w:val="16"/>
                    <w:szCs w:val="20"/>
                  </w:rPr>
                </w:pPr>
                <w:r>
                  <w:rPr>
                    <w:rFonts w:hint="eastAsia"/>
                    <w:sz w:val="16"/>
                    <w:szCs w:val="20"/>
                  </w:rPr>
                  <w:t>15,153</w:t>
                </w:r>
              </w:p>
            </w:tc>
            <w:tc>
              <w:tcPr>
                <w:tcW w:w="309" w:type="pct"/>
                <w:tcBorders>
                  <w:top w:val="single" w:color="auto" w:sz="4" w:space="0"/>
                  <w:left w:val="single" w:color="auto" w:sz="4" w:space="0"/>
                  <w:bottom w:val="single" w:color="auto" w:sz="4" w:space="0"/>
                  <w:right w:val="single" w:color="auto" w:sz="4" w:space="0"/>
                </w:tcBorders>
                <w:vAlign w:val="center"/>
              </w:tcPr>
              <w:p w14:paraId="22DDFA43">
                <w:pPr>
                  <w:jc w:val="right"/>
                  <w:rPr>
                    <w:rFonts w:hint="eastAsia"/>
                    <w:bCs/>
                    <w:sz w:val="16"/>
                    <w:szCs w:val="20"/>
                  </w:rPr>
                </w:pPr>
                <w:r>
                  <w:rPr>
                    <w:rFonts w:hint="eastAsia"/>
                    <w:sz w:val="16"/>
                    <w:szCs w:val="20"/>
                  </w:rPr>
                  <w:t>2,425.65</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8D69895">
                <w:pPr>
                  <w:jc w:val="right"/>
                  <w:rPr>
                    <w:rFonts w:hint="eastAsia"/>
                    <w:bCs/>
                    <w:sz w:val="16"/>
                    <w:szCs w:val="20"/>
                  </w:rPr>
                </w:pPr>
                <w:r>
                  <w:rPr>
                    <w:rFonts w:hint="eastAsia"/>
                    <w:sz w:val="16"/>
                    <w:szCs w:val="20"/>
                  </w:rPr>
                  <w:t>2,618.97</w:t>
                </w:r>
              </w:p>
            </w:tc>
            <w:tc>
              <w:tcPr>
                <w:tcW w:w="383" w:type="pct"/>
                <w:tcBorders>
                  <w:top w:val="single" w:color="auto" w:sz="4" w:space="0"/>
                  <w:left w:val="nil"/>
                  <w:bottom w:val="single" w:color="auto" w:sz="4" w:space="0"/>
                  <w:right w:val="single" w:color="auto" w:sz="4" w:space="0"/>
                </w:tcBorders>
                <w:shd w:val="clear" w:color="auto" w:fill="auto"/>
                <w:vAlign w:val="center"/>
              </w:tcPr>
              <w:p w14:paraId="1BA86778">
                <w:pPr>
                  <w:jc w:val="right"/>
                  <w:rPr>
                    <w:rFonts w:hint="eastAsia"/>
                    <w:bCs/>
                    <w:sz w:val="16"/>
                    <w:szCs w:val="20"/>
                  </w:rPr>
                </w:pPr>
                <w:r>
                  <w:rPr>
                    <w:rFonts w:hint="eastAsia"/>
                    <w:sz w:val="16"/>
                    <w:szCs w:val="20"/>
                  </w:rPr>
                  <w:t>17.28</w:t>
                </w:r>
              </w:p>
            </w:tc>
            <w:tc>
              <w:tcPr>
                <w:tcW w:w="272" w:type="pct"/>
                <w:tcBorders>
                  <w:top w:val="single" w:color="auto" w:sz="4" w:space="0"/>
                  <w:left w:val="nil"/>
                  <w:bottom w:val="single" w:color="auto" w:sz="4" w:space="0"/>
                  <w:right w:val="single" w:color="auto" w:sz="4" w:space="0"/>
                </w:tcBorders>
                <w:shd w:val="clear" w:color="auto" w:fill="auto"/>
                <w:vAlign w:val="center"/>
              </w:tcPr>
              <w:p w14:paraId="26962A2E">
                <w:pPr>
                  <w:rPr>
                    <w:rFonts w:hint="eastAsia"/>
                    <w:bCs/>
                    <w:sz w:val="16"/>
                    <w:szCs w:val="20"/>
                  </w:rPr>
                </w:pPr>
                <w:r>
                  <w:rPr>
                    <w:rFonts w:hint="eastAsia"/>
                    <w:sz w:val="16"/>
                    <w:szCs w:val="20"/>
                  </w:rPr>
                  <w:t>2026年12月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58587819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69DCFA6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219128927"/>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D7F3D7F">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7567298B">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11B1B5BB">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99580B3">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277754F4">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2802ED22">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441789490"/>
          <w:placeholder>
            <w:docPart w:val="683AC76003DF4D9F89E40EC27634BA56"/>
          </w:placeholder>
        </w:sdtPr>
        <w:sdtEndPr>
          <w:rPr>
            <w:bCs/>
            <w:color w:val="000000" w:themeColor="text1"/>
            <w:sz w:val="16"/>
            <w:szCs w:val="20"/>
            <w14:textFill>
              <w14:solidFill>
                <w14:schemeClr w14:val="tx1"/>
              </w14:solidFill>
            </w14:textFill>
          </w:rPr>
        </w:sdtEndPr>
        <w:sdtContent>
          <w:tr w14:paraId="1C85AABB">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826047815"/>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E04286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008F585B">
                <w:pPr>
                  <w:rPr>
                    <w:rFonts w:hint="eastAsia"/>
                    <w:bCs/>
                    <w:sz w:val="16"/>
                    <w:szCs w:val="20"/>
                  </w:rPr>
                </w:pPr>
                <w:r>
                  <w:rPr>
                    <w:rFonts w:hint="eastAsia"/>
                    <w:sz w:val="16"/>
                    <w:szCs w:val="20"/>
                  </w:rPr>
                  <w:t>际华特种防护装备生产研发基地</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0431685"/>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163D59A0">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66531531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4AA41C4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987250864"/>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14DE9EC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3B7D6679">
                <w:pPr>
                  <w:jc w:val="right"/>
                  <w:rPr>
                    <w:rFonts w:hint="eastAsia"/>
                    <w:bCs/>
                    <w:sz w:val="16"/>
                    <w:szCs w:val="20"/>
                  </w:rPr>
                </w:pPr>
                <w:r>
                  <w:rPr>
                    <w:rFonts w:hint="eastAsia"/>
                    <w:sz w:val="16"/>
                    <w:szCs w:val="20"/>
                  </w:rPr>
                  <w:t>16,441</w:t>
                </w:r>
              </w:p>
            </w:tc>
            <w:tc>
              <w:tcPr>
                <w:tcW w:w="309" w:type="pct"/>
                <w:tcBorders>
                  <w:top w:val="single" w:color="auto" w:sz="4" w:space="0"/>
                  <w:left w:val="single" w:color="auto" w:sz="4" w:space="0"/>
                  <w:bottom w:val="single" w:color="auto" w:sz="4" w:space="0"/>
                  <w:right w:val="single" w:color="auto" w:sz="4" w:space="0"/>
                </w:tcBorders>
                <w:vAlign w:val="center"/>
              </w:tcPr>
              <w:p w14:paraId="54D0FC4F">
                <w:pPr>
                  <w:jc w:val="right"/>
                  <w:rPr>
                    <w:rFonts w:hint="eastAsia"/>
                    <w:bCs/>
                    <w:sz w:val="16"/>
                    <w:szCs w:val="20"/>
                  </w:rPr>
                </w:pPr>
                <w:r>
                  <w:rPr>
                    <w:rFonts w:hint="eastAsia"/>
                    <w:sz w:val="16"/>
                    <w:szCs w:val="20"/>
                  </w:rPr>
                  <w:t>1,476.99</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06C400F">
                <w:pPr>
                  <w:jc w:val="right"/>
                  <w:rPr>
                    <w:rFonts w:hint="eastAsia"/>
                    <w:bCs/>
                    <w:sz w:val="16"/>
                    <w:szCs w:val="20"/>
                  </w:rPr>
                </w:pPr>
                <w:r>
                  <w:rPr>
                    <w:rFonts w:hint="eastAsia"/>
                    <w:sz w:val="16"/>
                    <w:szCs w:val="20"/>
                  </w:rPr>
                  <w:t>14,268.57</w:t>
                </w:r>
              </w:p>
            </w:tc>
            <w:tc>
              <w:tcPr>
                <w:tcW w:w="383" w:type="pct"/>
                <w:tcBorders>
                  <w:top w:val="single" w:color="auto" w:sz="4" w:space="0"/>
                  <w:left w:val="nil"/>
                  <w:bottom w:val="single" w:color="auto" w:sz="4" w:space="0"/>
                  <w:right w:val="single" w:color="auto" w:sz="4" w:space="0"/>
                </w:tcBorders>
                <w:shd w:val="clear" w:color="auto" w:fill="auto"/>
                <w:vAlign w:val="center"/>
              </w:tcPr>
              <w:p w14:paraId="03E265BB">
                <w:pPr>
                  <w:jc w:val="right"/>
                  <w:rPr>
                    <w:rFonts w:hint="eastAsia"/>
                    <w:bCs/>
                    <w:sz w:val="16"/>
                    <w:szCs w:val="20"/>
                  </w:rPr>
                </w:pPr>
                <w:r>
                  <w:rPr>
                    <w:rFonts w:hint="eastAsia"/>
                    <w:sz w:val="16"/>
                    <w:szCs w:val="20"/>
                  </w:rPr>
                  <w:t>86.79</w:t>
                </w:r>
              </w:p>
            </w:tc>
            <w:tc>
              <w:tcPr>
                <w:tcW w:w="272" w:type="pct"/>
                <w:tcBorders>
                  <w:top w:val="single" w:color="auto" w:sz="4" w:space="0"/>
                  <w:left w:val="nil"/>
                  <w:bottom w:val="single" w:color="auto" w:sz="4" w:space="0"/>
                  <w:right w:val="single" w:color="auto" w:sz="4" w:space="0"/>
                </w:tcBorders>
                <w:shd w:val="clear" w:color="auto" w:fill="auto"/>
                <w:vAlign w:val="center"/>
              </w:tcPr>
              <w:p w14:paraId="1F65682A">
                <w:pPr>
                  <w:rPr>
                    <w:rFonts w:hint="eastAsia"/>
                    <w:bCs/>
                    <w:sz w:val="16"/>
                    <w:szCs w:val="20"/>
                  </w:rPr>
                </w:pPr>
                <w:r>
                  <w:rPr>
                    <w:rFonts w:hint="eastAsia"/>
                    <w:sz w:val="16"/>
                    <w:szCs w:val="20"/>
                  </w:rPr>
                  <w:t>2025年12月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980993055"/>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059D3B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213563584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611B359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6BE3F191">
                <w:pPr>
                  <w:rPr>
                    <w:rFonts w:hint="eastAsia"/>
                    <w:bCs/>
                    <w:sz w:val="16"/>
                    <w:szCs w:val="20"/>
                  </w:rPr>
                </w:pPr>
                <w:r>
                  <w:rPr>
                    <w:rFonts w:hint="eastAsia"/>
                    <w:sz w:val="16"/>
                    <w:szCs w:val="20"/>
                  </w:rPr>
                  <w:t>详见表后说明</w:t>
                </w:r>
              </w:p>
            </w:tc>
            <w:tc>
              <w:tcPr>
                <w:tcW w:w="369" w:type="pct"/>
                <w:tcBorders>
                  <w:top w:val="single" w:color="auto" w:sz="4" w:space="0"/>
                  <w:left w:val="single" w:color="auto" w:sz="4" w:space="0"/>
                  <w:bottom w:val="single" w:color="auto" w:sz="4" w:space="0"/>
                  <w:right w:val="single" w:color="auto" w:sz="4" w:space="0"/>
                </w:tcBorders>
                <w:vAlign w:val="center"/>
              </w:tcPr>
              <w:p w14:paraId="22B7305A">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8C6BD17">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2B5117BD">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61087537">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791860115"/>
          <w:placeholder>
            <w:docPart w:val="683AC76003DF4D9F89E40EC27634BA56"/>
          </w:placeholder>
        </w:sdtPr>
        <w:sdtEndPr>
          <w:rPr>
            <w:bCs/>
            <w:color w:val="000000" w:themeColor="text1"/>
            <w:sz w:val="16"/>
            <w:szCs w:val="20"/>
            <w14:textFill>
              <w14:solidFill>
                <w14:schemeClr w14:val="tx1"/>
              </w14:solidFill>
            </w14:textFill>
          </w:rPr>
        </w:sdtEndPr>
        <w:sdtContent>
          <w:tr w14:paraId="52936929">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711273547"/>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4EF3830D">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6EF76F9F">
                <w:pPr>
                  <w:rPr>
                    <w:rFonts w:hint="eastAsia"/>
                    <w:bCs/>
                    <w:sz w:val="16"/>
                    <w:szCs w:val="20"/>
                  </w:rPr>
                </w:pPr>
                <w:r>
                  <w:rPr>
                    <w:rFonts w:hint="eastAsia"/>
                    <w:sz w:val="16"/>
                    <w:szCs w:val="20"/>
                  </w:rPr>
                  <w:t>补充流动资金</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1090040938"/>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2582282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补流还贷</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473449116"/>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0D4BA16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544982378"/>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297BFDEE">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14C96390">
                <w:pPr>
                  <w:jc w:val="right"/>
                  <w:rPr>
                    <w:rFonts w:hint="eastAsia"/>
                    <w:bCs/>
                    <w:sz w:val="16"/>
                    <w:szCs w:val="20"/>
                  </w:rPr>
                </w:pPr>
                <w:r>
                  <w:rPr>
                    <w:rFonts w:hint="eastAsia"/>
                    <w:sz w:val="16"/>
                    <w:szCs w:val="20"/>
                  </w:rPr>
                  <w:t>63,805.17</w:t>
                </w:r>
              </w:p>
            </w:tc>
            <w:tc>
              <w:tcPr>
                <w:tcW w:w="309" w:type="pct"/>
                <w:tcBorders>
                  <w:top w:val="single" w:color="auto" w:sz="4" w:space="0"/>
                  <w:left w:val="single" w:color="auto" w:sz="4" w:space="0"/>
                  <w:bottom w:val="single" w:color="auto" w:sz="4" w:space="0"/>
                  <w:right w:val="single" w:color="auto" w:sz="4" w:space="0"/>
                </w:tcBorders>
                <w:vAlign w:val="center"/>
              </w:tcPr>
              <w:p w14:paraId="0CFD4576">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6B5E718B">
                <w:pPr>
                  <w:jc w:val="right"/>
                  <w:rPr>
                    <w:rFonts w:hint="eastAsia"/>
                    <w:bCs/>
                    <w:sz w:val="16"/>
                    <w:szCs w:val="20"/>
                  </w:rPr>
                </w:pPr>
                <w:r>
                  <w:rPr>
                    <w:rFonts w:hint="eastAsia"/>
                    <w:sz w:val="16"/>
                    <w:szCs w:val="20"/>
                  </w:rPr>
                  <w:t>63,805.17</w:t>
                </w:r>
              </w:p>
            </w:tc>
            <w:tc>
              <w:tcPr>
                <w:tcW w:w="383" w:type="pct"/>
                <w:tcBorders>
                  <w:top w:val="single" w:color="auto" w:sz="4" w:space="0"/>
                  <w:left w:val="nil"/>
                  <w:bottom w:val="single" w:color="auto" w:sz="4" w:space="0"/>
                  <w:right w:val="single" w:color="auto" w:sz="4" w:space="0"/>
                </w:tcBorders>
                <w:shd w:val="clear" w:color="auto" w:fill="auto"/>
                <w:vAlign w:val="center"/>
              </w:tcPr>
              <w:p w14:paraId="2136CBBF">
                <w:pPr>
                  <w:jc w:val="right"/>
                  <w:rPr>
                    <w:rFonts w:hint="eastAsia"/>
                    <w:bCs/>
                    <w:sz w:val="16"/>
                    <w:szCs w:val="20"/>
                  </w:rPr>
                </w:pPr>
                <w:r>
                  <w:rPr>
                    <w:rFonts w:hint="eastAsia"/>
                    <w:sz w:val="16"/>
                    <w:szCs w:val="20"/>
                  </w:rPr>
                  <w:t>100.00</w:t>
                </w:r>
              </w:p>
            </w:tc>
            <w:tc>
              <w:tcPr>
                <w:tcW w:w="272" w:type="pct"/>
                <w:tcBorders>
                  <w:top w:val="single" w:color="auto" w:sz="4" w:space="0"/>
                  <w:left w:val="nil"/>
                  <w:bottom w:val="single" w:color="auto" w:sz="4" w:space="0"/>
                  <w:right w:val="single" w:color="auto" w:sz="4" w:space="0"/>
                </w:tcBorders>
                <w:shd w:val="clear" w:color="auto" w:fill="auto"/>
                <w:vAlign w:val="center"/>
              </w:tcPr>
              <w:p w14:paraId="4E3327BE">
                <w:pPr>
                  <w:rPr>
                    <w:rFonts w:hint="eastAsia"/>
                    <w:bCs/>
                    <w:sz w:val="16"/>
                    <w:szCs w:val="20"/>
                  </w:rPr>
                </w:pPr>
                <w:r>
                  <w:rPr>
                    <w:rFonts w:hint="eastAsia"/>
                    <w:sz w:val="16"/>
                    <w:szCs w:val="20"/>
                  </w:rPr>
                  <w:t>不适用</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208899008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1B88773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01634969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5D518477">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1B53B820">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75CB76DE">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199C1B49">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14CF8415">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780AD4D2">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440987117"/>
          <w:placeholder>
            <w:docPart w:val="683AC76003DF4D9F89E40EC27634BA56"/>
          </w:placeholder>
        </w:sdtPr>
        <w:sdtEndPr>
          <w:rPr>
            <w:bCs/>
            <w:color w:val="000000" w:themeColor="text1"/>
            <w:sz w:val="16"/>
            <w:szCs w:val="20"/>
            <w14:textFill>
              <w14:solidFill>
                <w14:schemeClr w14:val="tx1"/>
              </w14:solidFill>
            </w14:textFill>
          </w:rPr>
        </w:sdtEndPr>
        <w:sdtContent>
          <w:tr w14:paraId="207A0D09">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770113597"/>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7C3620E2">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439879E2">
                <w:pPr>
                  <w:rPr>
                    <w:rFonts w:hint="eastAsia"/>
                    <w:bCs/>
                    <w:sz w:val="16"/>
                    <w:szCs w:val="20"/>
                  </w:rPr>
                </w:pPr>
                <w:r>
                  <w:rPr>
                    <w:rFonts w:hint="eastAsia"/>
                    <w:sz w:val="16"/>
                    <w:szCs w:val="20"/>
                  </w:rPr>
                  <w:t>补充流动资金</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573039196"/>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B88AFA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补流还贷</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152320511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55C6E691">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225383164"/>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4A882729">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tc>
              <w:tcPr>
                <w:tcW w:w="366" w:type="pct"/>
                <w:tcBorders>
                  <w:top w:val="single" w:color="auto" w:sz="4" w:space="0"/>
                  <w:left w:val="nil"/>
                  <w:bottom w:val="single" w:color="auto" w:sz="4" w:space="0"/>
                  <w:right w:val="single" w:color="auto" w:sz="4" w:space="0"/>
                </w:tcBorders>
                <w:vAlign w:val="center"/>
              </w:tcPr>
              <w:p w14:paraId="64532B9B">
                <w:pPr>
                  <w:jc w:val="right"/>
                  <w:rPr>
                    <w:rFonts w:hint="eastAsia"/>
                    <w:bCs/>
                    <w:sz w:val="16"/>
                    <w:szCs w:val="20"/>
                  </w:rPr>
                </w:pPr>
                <w:r>
                  <w:rPr>
                    <w:rFonts w:hint="eastAsia"/>
                    <w:sz w:val="16"/>
                    <w:szCs w:val="20"/>
                  </w:rPr>
                  <w:t>43,565.51</w:t>
                </w:r>
              </w:p>
            </w:tc>
            <w:tc>
              <w:tcPr>
                <w:tcW w:w="309" w:type="pct"/>
                <w:tcBorders>
                  <w:top w:val="single" w:color="auto" w:sz="4" w:space="0"/>
                  <w:left w:val="single" w:color="auto" w:sz="4" w:space="0"/>
                  <w:bottom w:val="single" w:color="auto" w:sz="4" w:space="0"/>
                  <w:right w:val="single" w:color="auto" w:sz="4" w:space="0"/>
                </w:tcBorders>
                <w:vAlign w:val="center"/>
              </w:tcPr>
              <w:p w14:paraId="65BCBFBC">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151474C1">
                <w:pPr>
                  <w:jc w:val="right"/>
                  <w:rPr>
                    <w:rFonts w:hint="eastAsia"/>
                    <w:bCs/>
                    <w:sz w:val="16"/>
                    <w:szCs w:val="20"/>
                  </w:rPr>
                </w:pPr>
                <w:r>
                  <w:rPr>
                    <w:rFonts w:hint="eastAsia"/>
                    <w:sz w:val="16"/>
                    <w:szCs w:val="20"/>
                  </w:rPr>
                  <w:t>43,565.51</w:t>
                </w:r>
              </w:p>
            </w:tc>
            <w:tc>
              <w:tcPr>
                <w:tcW w:w="383" w:type="pct"/>
                <w:tcBorders>
                  <w:top w:val="single" w:color="auto" w:sz="4" w:space="0"/>
                  <w:left w:val="nil"/>
                  <w:bottom w:val="single" w:color="auto" w:sz="4" w:space="0"/>
                  <w:right w:val="single" w:color="auto" w:sz="4" w:space="0"/>
                </w:tcBorders>
                <w:shd w:val="clear" w:color="auto" w:fill="auto"/>
                <w:vAlign w:val="center"/>
              </w:tcPr>
              <w:p w14:paraId="4CCFC157">
                <w:pPr>
                  <w:jc w:val="right"/>
                  <w:rPr>
                    <w:rFonts w:hint="eastAsia"/>
                    <w:bCs/>
                    <w:sz w:val="16"/>
                    <w:szCs w:val="20"/>
                  </w:rPr>
                </w:pPr>
                <w:r>
                  <w:rPr>
                    <w:rFonts w:hint="eastAsia"/>
                    <w:sz w:val="16"/>
                    <w:szCs w:val="20"/>
                  </w:rPr>
                  <w:t>100.00</w:t>
                </w:r>
              </w:p>
            </w:tc>
            <w:tc>
              <w:tcPr>
                <w:tcW w:w="272" w:type="pct"/>
                <w:tcBorders>
                  <w:top w:val="single" w:color="auto" w:sz="4" w:space="0"/>
                  <w:left w:val="nil"/>
                  <w:bottom w:val="single" w:color="auto" w:sz="4" w:space="0"/>
                  <w:right w:val="single" w:color="auto" w:sz="4" w:space="0"/>
                </w:tcBorders>
                <w:shd w:val="clear" w:color="auto" w:fill="auto"/>
                <w:vAlign w:val="center"/>
              </w:tcPr>
              <w:p w14:paraId="59390D68">
                <w:pPr>
                  <w:rPr>
                    <w:rFonts w:hint="eastAsia"/>
                    <w:bCs/>
                    <w:sz w:val="16"/>
                    <w:szCs w:val="20"/>
                  </w:rPr>
                </w:pPr>
                <w:r>
                  <w:rPr>
                    <w:rFonts w:hint="eastAsia"/>
                    <w:sz w:val="16"/>
                    <w:szCs w:val="20"/>
                  </w:rPr>
                  <w:t>不适用</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251777622"/>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7CC430B6">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1904133390"/>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0D8D9F7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0D2B810F">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5902D458">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5C992123">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79992E80">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0499EF32">
                <w:pPr>
                  <w:jc w:val="right"/>
                  <w:rPr>
                    <w:rFonts w:hint="eastAsia"/>
                    <w:bCs/>
                    <w:sz w:val="16"/>
                    <w:szCs w:val="20"/>
                  </w:rPr>
                </w:pPr>
              </w:p>
            </w:tc>
          </w:tr>
        </w:sdtContent>
      </w:sdt>
      <w:sdt>
        <w:sdtPr>
          <w:rPr>
            <w:bCs/>
            <w:color w:val="000000" w:themeColor="text1"/>
            <w:sz w:val="16"/>
            <w:szCs w:val="20"/>
            <w14:textFill>
              <w14:solidFill>
                <w14:schemeClr w14:val="tx1"/>
              </w14:solidFill>
            </w14:textFill>
          </w:rPr>
          <w:alias w:val="募集资金使用进展明细"/>
          <w:tag w:val="_TUP_e2bf835281dc4f11968c425e810c5155"/>
          <w:id w:val="1865712642"/>
          <w:placeholder>
            <w:docPart w:val="683AC76003DF4D9F89E40EC27634BA56"/>
          </w:placeholder>
        </w:sdtPr>
        <w:sdtEndPr>
          <w:rPr>
            <w:bCs/>
            <w:color w:val="000000" w:themeColor="text1"/>
            <w:sz w:val="16"/>
            <w:szCs w:val="20"/>
            <w14:textFill>
              <w14:solidFill>
                <w14:schemeClr w14:val="tx1"/>
              </w14:solidFill>
            </w14:textFill>
          </w:rPr>
        </w:sdtEndPr>
        <w:sdtContent>
          <w:tr w14:paraId="1F2612D4">
            <w:tblPrEx>
              <w:tblCellMar>
                <w:top w:w="0" w:type="dxa"/>
                <w:left w:w="108" w:type="dxa"/>
                <w:bottom w:w="0" w:type="dxa"/>
                <w:right w:w="108" w:type="dxa"/>
              </w:tblCellMar>
            </w:tblPrEx>
            <w:trPr>
              <w:trHeight w:val="160" w:hRule="atLeast"/>
              <w:jc w:val="center"/>
            </w:trPr>
            <w:sdt>
              <w:sdtPr>
                <w:rPr>
                  <w:bCs/>
                  <w:color w:val="000000" w:themeColor="text1"/>
                  <w:sz w:val="16"/>
                  <w:szCs w:val="20"/>
                  <w14:textFill>
                    <w14:solidFill>
                      <w14:schemeClr w14:val="tx1"/>
                    </w14:solidFill>
                  </w14:textFill>
                </w:rPr>
                <w:alias w:val="募集资金使用进展明细_募集资金来源"/>
                <w:tag w:val="_GBC_951af72cf70147edb2fff54b7abd30b3"/>
                <w:id w:val="1287771734"/>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color w:val="000000" w:themeColor="text1"/>
                  <w:sz w:val="16"/>
                  <w:szCs w:val="20"/>
                  <w14:textFill>
                    <w14:solidFill>
                      <w14:schemeClr w14:val="tx1"/>
                    </w14:solidFill>
                  </w14:textFill>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0552CAC5">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向特定对象发行股票</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54399965">
                <w:pPr>
                  <w:rPr>
                    <w:rFonts w:hint="eastAsia"/>
                    <w:bCs/>
                    <w:sz w:val="16"/>
                    <w:szCs w:val="20"/>
                  </w:rPr>
                </w:pPr>
                <w:r>
                  <w:rPr>
                    <w:rFonts w:hint="eastAsia"/>
                    <w:sz w:val="16"/>
                    <w:szCs w:val="20"/>
                  </w:rPr>
                  <w:t>2.83万锭智能纺纱生产线改造项目</w:t>
                </w:r>
              </w:p>
            </w:tc>
            <w:sdt>
              <w:sdtPr>
                <w:rPr>
                  <w:bCs/>
                  <w:color w:val="000000" w:themeColor="text1"/>
                  <w:sz w:val="16"/>
                  <w:szCs w:val="20"/>
                  <w14:textFill>
                    <w14:solidFill>
                      <w14:schemeClr w14:val="tx1"/>
                    </w14:solidFill>
                  </w14:textFill>
                </w:rPr>
                <w:alias w:val="募集资金使用进展明细_项目性质"/>
                <w:tag w:val="_GBC_7aae89f2426148daa6b4430bf5dcfc93"/>
                <w:id w:val="-7368768"/>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single" w:color="auto" w:sz="4" w:space="0"/>
                      <w:bottom w:val="single" w:color="auto" w:sz="4" w:space="0"/>
                      <w:right w:val="single" w:color="auto" w:sz="4" w:space="0"/>
                    </w:tcBorders>
                    <w:vAlign w:val="center"/>
                  </w:tcPr>
                  <w:p w14:paraId="40BE8983">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生产建设</w:t>
                    </w:r>
                  </w:p>
                </w:tc>
              </w:sdtContent>
            </w:sdt>
            <w:sdt>
              <w:sdtPr>
                <w:rPr>
                  <w:bCs/>
                  <w:color w:val="000000" w:themeColor="text1"/>
                  <w:sz w:val="16"/>
                  <w:szCs w:val="20"/>
                  <w14:textFill>
                    <w14:solidFill>
                      <w14:schemeClr w14:val="tx1"/>
                    </w14:solidFill>
                  </w14:textFill>
                </w:rPr>
                <w:alias w:val="募集资金使用进展明细_是否为招股书或者募集说明书中的承诺投资项目"/>
                <w:tag w:val="_GBC_cc96b791a1c14daba3e65ec5d8b75d5a"/>
                <w:id w:val="87590683"/>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72" w:type="pct"/>
                    <w:tcBorders>
                      <w:top w:val="single" w:color="auto" w:sz="4" w:space="0"/>
                      <w:left w:val="single" w:color="auto" w:sz="4" w:space="0"/>
                      <w:bottom w:val="single" w:color="auto" w:sz="4" w:space="0"/>
                      <w:right w:val="single" w:color="auto" w:sz="4" w:space="0"/>
                    </w:tcBorders>
                    <w:vAlign w:val="center"/>
                  </w:tcPr>
                  <w:p w14:paraId="68AE4DEA">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是否涉及变更投向"/>
                <w:tag w:val="_GBC_9346d63d6a6c4ec8b0c5165d08fa2bb9"/>
                <w:id w:val="1890149242"/>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bCs/>
                  <w:color w:val="000000" w:themeColor="text1"/>
                  <w:sz w:val="16"/>
                  <w:szCs w:val="20"/>
                  <w14:textFill>
                    <w14:solidFill>
                      <w14:schemeClr w14:val="tx1"/>
                    </w14:solidFill>
                  </w14:textFill>
                </w:rPr>
              </w:sdtEndPr>
              <w:sdtContent>
                <w:tc>
                  <w:tcPr>
                    <w:tcW w:w="228" w:type="pct"/>
                    <w:tcBorders>
                      <w:top w:val="single" w:color="auto" w:sz="4" w:space="0"/>
                      <w:left w:val="single" w:color="auto" w:sz="4" w:space="0"/>
                      <w:bottom w:val="single" w:color="auto" w:sz="4" w:space="0"/>
                      <w:right w:val="single" w:color="auto" w:sz="4" w:space="0"/>
                    </w:tcBorders>
                    <w:vAlign w:val="center"/>
                  </w:tcPr>
                  <w:p w14:paraId="01EFF65C">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是，此项目为新项目</w:t>
                    </w:r>
                  </w:p>
                </w:tc>
              </w:sdtContent>
            </w:sdt>
            <w:tc>
              <w:tcPr>
                <w:tcW w:w="366" w:type="pct"/>
                <w:tcBorders>
                  <w:top w:val="single" w:color="auto" w:sz="4" w:space="0"/>
                  <w:left w:val="nil"/>
                  <w:bottom w:val="single" w:color="auto" w:sz="4" w:space="0"/>
                  <w:right w:val="single" w:color="auto" w:sz="4" w:space="0"/>
                </w:tcBorders>
                <w:vAlign w:val="center"/>
              </w:tcPr>
              <w:p w14:paraId="6DCACD8F">
                <w:pPr>
                  <w:jc w:val="right"/>
                  <w:rPr>
                    <w:rFonts w:hint="eastAsia"/>
                    <w:bCs/>
                    <w:sz w:val="16"/>
                    <w:szCs w:val="20"/>
                  </w:rPr>
                </w:pPr>
                <w:r>
                  <w:rPr>
                    <w:rFonts w:hint="eastAsia"/>
                    <w:sz w:val="16"/>
                    <w:szCs w:val="20"/>
                  </w:rPr>
                  <w:t>2,532.2</w:t>
                </w:r>
              </w:p>
            </w:tc>
            <w:tc>
              <w:tcPr>
                <w:tcW w:w="309" w:type="pct"/>
                <w:tcBorders>
                  <w:top w:val="single" w:color="auto" w:sz="4" w:space="0"/>
                  <w:left w:val="single" w:color="auto" w:sz="4" w:space="0"/>
                  <w:bottom w:val="single" w:color="auto" w:sz="4" w:space="0"/>
                  <w:right w:val="single" w:color="auto" w:sz="4" w:space="0"/>
                </w:tcBorders>
                <w:vAlign w:val="center"/>
              </w:tcPr>
              <w:p w14:paraId="183CD240">
                <w:pPr>
                  <w:jc w:val="right"/>
                  <w:rPr>
                    <w:rFonts w:hint="eastAsia"/>
                    <w:bCs/>
                    <w:sz w:val="16"/>
                    <w:szCs w:val="20"/>
                  </w:rPr>
                </w:pP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705AAFFF">
                <w:pPr>
                  <w:jc w:val="right"/>
                  <w:rPr>
                    <w:rFonts w:hint="eastAsia"/>
                    <w:bCs/>
                    <w:sz w:val="16"/>
                    <w:szCs w:val="20"/>
                  </w:rPr>
                </w:pPr>
              </w:p>
            </w:tc>
            <w:tc>
              <w:tcPr>
                <w:tcW w:w="383" w:type="pct"/>
                <w:tcBorders>
                  <w:top w:val="single" w:color="auto" w:sz="4" w:space="0"/>
                  <w:left w:val="nil"/>
                  <w:bottom w:val="single" w:color="auto" w:sz="4" w:space="0"/>
                  <w:right w:val="single" w:color="auto" w:sz="4" w:space="0"/>
                </w:tcBorders>
                <w:shd w:val="clear" w:color="auto" w:fill="auto"/>
                <w:vAlign w:val="center"/>
              </w:tcPr>
              <w:p w14:paraId="621EC62A">
                <w:pPr>
                  <w:jc w:val="right"/>
                  <w:rPr>
                    <w:rFonts w:hint="eastAsia"/>
                    <w:bCs/>
                    <w:sz w:val="16"/>
                    <w:szCs w:val="20"/>
                  </w:rPr>
                </w:pPr>
              </w:p>
            </w:tc>
            <w:tc>
              <w:tcPr>
                <w:tcW w:w="272" w:type="pct"/>
                <w:tcBorders>
                  <w:top w:val="single" w:color="auto" w:sz="4" w:space="0"/>
                  <w:left w:val="nil"/>
                  <w:bottom w:val="single" w:color="auto" w:sz="4" w:space="0"/>
                  <w:right w:val="single" w:color="auto" w:sz="4" w:space="0"/>
                </w:tcBorders>
                <w:shd w:val="clear" w:color="auto" w:fill="auto"/>
                <w:vAlign w:val="center"/>
              </w:tcPr>
              <w:p w14:paraId="51A53543">
                <w:pPr>
                  <w:rPr>
                    <w:rFonts w:hint="eastAsia"/>
                    <w:bCs/>
                    <w:sz w:val="16"/>
                    <w:szCs w:val="20"/>
                  </w:rPr>
                </w:pPr>
                <w:r>
                  <w:rPr>
                    <w:rFonts w:hint="eastAsia"/>
                    <w:sz w:val="16"/>
                    <w:szCs w:val="20"/>
                  </w:rPr>
                  <w:t>2027年6月</w:t>
                </w:r>
              </w:p>
            </w:tc>
            <w:sdt>
              <w:sdtPr>
                <w:rPr>
                  <w:bCs/>
                  <w:color w:val="000000" w:themeColor="text1"/>
                  <w:sz w:val="16"/>
                  <w:szCs w:val="20"/>
                  <w14:textFill>
                    <w14:solidFill>
                      <w14:schemeClr w14:val="tx1"/>
                    </w14:solidFill>
                  </w14:textFill>
                </w:rPr>
                <w:alias w:val="募集资金使用进展明细_是否已结项"/>
                <w:tag w:val="_GBC_12a69f39e8ab43aca710914c5ba0dfac"/>
                <w:id w:val="-1869597049"/>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23" w:type="pct"/>
                    <w:tcBorders>
                      <w:top w:val="single" w:color="auto" w:sz="4" w:space="0"/>
                      <w:left w:val="nil"/>
                      <w:bottom w:val="single" w:color="auto" w:sz="4" w:space="0"/>
                      <w:right w:val="single" w:color="auto" w:sz="4" w:space="0"/>
                    </w:tcBorders>
                    <w:shd w:val="clear" w:color="auto" w:fill="auto"/>
                    <w:vAlign w:val="center"/>
                  </w:tcPr>
                  <w:p w14:paraId="49F93CC8">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否</w:t>
                    </w:r>
                  </w:p>
                </w:tc>
              </w:sdtContent>
            </w:sdt>
            <w:sdt>
              <w:sdtPr>
                <w:rPr>
                  <w:bCs/>
                  <w:color w:val="000000" w:themeColor="text1"/>
                  <w:sz w:val="16"/>
                  <w:szCs w:val="20"/>
                  <w14:textFill>
                    <w14:solidFill>
                      <w14:schemeClr w14:val="tx1"/>
                    </w14:solidFill>
                  </w14:textFill>
                </w:rPr>
                <w:alias w:val="募集资金使用进展明细_投入进度是否符合计划的进度"/>
                <w:tag w:val="_GBC_4f4276afb0f242da9b0a07c877927465"/>
                <w:id w:val="894635614"/>
                <w:comboBox>
                  <w:listItem w:displayText="是" w:value="是"/>
                  <w:listItem w:displayText="否" w:value="否"/>
                </w:comboBox>
              </w:sdtPr>
              <w:sdtEndPr>
                <w:rPr>
                  <w:bCs/>
                  <w:color w:val="000000" w:themeColor="text1"/>
                  <w:sz w:val="16"/>
                  <w:szCs w:val="20"/>
                  <w14:textFill>
                    <w14:solidFill>
                      <w14:schemeClr w14:val="tx1"/>
                    </w14:solidFill>
                  </w14:textFill>
                </w:rPr>
              </w:sdtEndPr>
              <w:sdtContent>
                <w:tc>
                  <w:tcPr>
                    <w:tcW w:w="243" w:type="pct"/>
                    <w:tcBorders>
                      <w:top w:val="single" w:color="auto" w:sz="4" w:space="0"/>
                      <w:left w:val="nil"/>
                      <w:bottom w:val="single" w:color="auto" w:sz="4" w:space="0"/>
                      <w:right w:val="single" w:color="auto" w:sz="4" w:space="0"/>
                    </w:tcBorders>
                    <w:shd w:val="clear" w:color="auto" w:fill="auto"/>
                    <w:vAlign w:val="center"/>
                  </w:tcPr>
                  <w:p w14:paraId="799D9EA4">
                    <w:pPr>
                      <w:rPr>
                        <w:rFonts w:hint="eastAsia"/>
                        <w:bCs/>
                        <w:color w:val="000000" w:themeColor="text1"/>
                        <w:sz w:val="16"/>
                        <w:szCs w:val="20"/>
                        <w14:textFill>
                          <w14:solidFill>
                            <w14:schemeClr w14:val="tx1"/>
                          </w14:solidFill>
                        </w14:textFill>
                      </w:rPr>
                    </w:pPr>
                    <w:r>
                      <w:rPr>
                        <w:bCs/>
                        <w:color w:val="000000" w:themeColor="text1"/>
                        <w:sz w:val="16"/>
                        <w:szCs w:val="20"/>
                        <w14:textFill>
                          <w14:solidFill>
                            <w14:schemeClr w14:val="tx1"/>
                          </w14:solidFill>
                        </w14:textFill>
                      </w:rPr>
                      <w:t>是</w:t>
                    </w:r>
                  </w:p>
                </w:tc>
              </w:sdtContent>
            </w:sdt>
            <w:tc>
              <w:tcPr>
                <w:tcW w:w="403" w:type="pct"/>
                <w:tcBorders>
                  <w:top w:val="single" w:color="auto" w:sz="4" w:space="0"/>
                  <w:left w:val="nil"/>
                  <w:bottom w:val="single" w:color="auto" w:sz="4" w:space="0"/>
                  <w:right w:val="single" w:color="auto" w:sz="4" w:space="0"/>
                </w:tcBorders>
                <w:shd w:val="clear" w:color="auto" w:fill="auto"/>
                <w:vAlign w:val="center"/>
              </w:tcPr>
              <w:p w14:paraId="2EDBFF8D">
                <w:pPr>
                  <w:rPr>
                    <w:rFonts w:hint="eastAsia"/>
                    <w:bCs/>
                    <w:sz w:val="16"/>
                    <w:szCs w:val="20"/>
                  </w:rPr>
                </w:pPr>
              </w:p>
            </w:tc>
            <w:tc>
              <w:tcPr>
                <w:tcW w:w="369" w:type="pct"/>
                <w:tcBorders>
                  <w:top w:val="single" w:color="auto" w:sz="4" w:space="0"/>
                  <w:left w:val="single" w:color="auto" w:sz="4" w:space="0"/>
                  <w:bottom w:val="single" w:color="auto" w:sz="4" w:space="0"/>
                  <w:right w:val="single" w:color="auto" w:sz="4" w:space="0"/>
                </w:tcBorders>
                <w:vAlign w:val="center"/>
              </w:tcPr>
              <w:p w14:paraId="48E7955F">
                <w:pPr>
                  <w:jc w:val="right"/>
                  <w:rPr>
                    <w:rFonts w:hint="eastAsia"/>
                    <w:bCs/>
                    <w:sz w:val="16"/>
                    <w:szCs w:val="20"/>
                  </w:rPr>
                </w:pPr>
                <w:r>
                  <w:rPr>
                    <w:rFonts w:hint="eastAsia"/>
                    <w:sz w:val="16"/>
                    <w:szCs w:val="20"/>
                  </w:rPr>
                  <w:t>不适用</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775A2C7C">
                <w:pPr>
                  <w:rPr>
                    <w:rFonts w:hint="eastAsia"/>
                    <w:bCs/>
                    <w:sz w:val="16"/>
                    <w:szCs w:val="20"/>
                  </w:rPr>
                </w:pPr>
              </w:p>
            </w:tc>
            <w:tc>
              <w:tcPr>
                <w:tcW w:w="271" w:type="pct"/>
                <w:tcBorders>
                  <w:top w:val="single" w:color="auto" w:sz="4" w:space="0"/>
                  <w:left w:val="nil"/>
                  <w:bottom w:val="single" w:color="auto" w:sz="4" w:space="0"/>
                  <w:right w:val="single" w:color="auto" w:sz="4" w:space="0"/>
                </w:tcBorders>
                <w:vAlign w:val="center"/>
              </w:tcPr>
              <w:p w14:paraId="59697C1E">
                <w:pPr>
                  <w:rPr>
                    <w:rFonts w:hint="eastAsia"/>
                    <w:bCs/>
                    <w:sz w:val="16"/>
                    <w:szCs w:val="20"/>
                  </w:rPr>
                </w:pPr>
                <w:r>
                  <w:rPr>
                    <w:rFonts w:hint="eastAsia"/>
                    <w:sz w:val="16"/>
                    <w:szCs w:val="20"/>
                  </w:rPr>
                  <w:t>否</w:t>
                </w:r>
              </w:p>
            </w:tc>
            <w:tc>
              <w:tcPr>
                <w:tcW w:w="338" w:type="pct"/>
                <w:tcBorders>
                  <w:top w:val="single" w:color="auto" w:sz="4" w:space="0"/>
                  <w:left w:val="nil"/>
                  <w:bottom w:val="single" w:color="auto" w:sz="4" w:space="0"/>
                  <w:right w:val="single" w:color="auto" w:sz="4" w:space="0"/>
                </w:tcBorders>
                <w:vAlign w:val="center"/>
              </w:tcPr>
              <w:p w14:paraId="3ECB7A78">
                <w:pPr>
                  <w:jc w:val="right"/>
                  <w:rPr>
                    <w:rFonts w:hint="eastAsia"/>
                    <w:bCs/>
                    <w:sz w:val="16"/>
                    <w:szCs w:val="20"/>
                  </w:rPr>
                </w:pPr>
              </w:p>
            </w:tc>
          </w:tr>
        </w:sdtContent>
      </w:sdt>
      <w:bookmarkEnd w:id="137"/>
      <w:tr w14:paraId="1D480994">
        <w:tblPrEx>
          <w:tblCellMar>
            <w:top w:w="0" w:type="dxa"/>
            <w:left w:w="108" w:type="dxa"/>
            <w:bottom w:w="0" w:type="dxa"/>
            <w:right w:w="108" w:type="dxa"/>
          </w:tblCellMar>
        </w:tblPrEx>
        <w:trPr>
          <w:trHeight w:val="160" w:hRule="atLeast"/>
          <w:jc w:val="center"/>
        </w:trPr>
        <w:sdt>
          <w:sdtPr>
            <w:rPr>
              <w:sz w:val="16"/>
              <w:szCs w:val="20"/>
            </w:rPr>
            <w:tag w:val="_PLD_c216127545d94de59fa274aa614fcacb"/>
            <w:id w:val="-1712564393"/>
          </w:sdtPr>
          <w:sdtEndPr>
            <w:rPr>
              <w:sz w:val="16"/>
              <w:szCs w:val="20"/>
            </w:rPr>
          </w:sdtEndPr>
          <w:sdtContent>
            <w:tc>
              <w:tcPr>
                <w:tcW w:w="271" w:type="pct"/>
                <w:tcBorders>
                  <w:top w:val="single" w:color="auto" w:sz="4" w:space="0"/>
                  <w:left w:val="single" w:color="auto" w:sz="4" w:space="0"/>
                  <w:bottom w:val="single" w:color="auto" w:sz="4" w:space="0"/>
                  <w:right w:val="single" w:color="auto" w:sz="4" w:space="0"/>
                </w:tcBorders>
                <w:vAlign w:val="center"/>
              </w:tcPr>
              <w:p w14:paraId="12AD2290">
                <w:pPr>
                  <w:jc w:val="center"/>
                  <w:rPr>
                    <w:rFonts w:hint="eastAsia"/>
                    <w:bCs/>
                    <w:color w:val="000000" w:themeColor="text1"/>
                    <w:sz w:val="16"/>
                    <w:szCs w:val="20"/>
                    <w14:textFill>
                      <w14:solidFill>
                        <w14:schemeClr w14:val="tx1"/>
                      </w14:solidFill>
                    </w14:textFill>
                  </w:rPr>
                </w:pPr>
                <w:r>
                  <w:rPr>
                    <w:rFonts w:hint="eastAsia"/>
                    <w:color w:val="000000" w:themeColor="text1"/>
                    <w:sz w:val="16"/>
                    <w:szCs w:val="20"/>
                    <w14:textFill>
                      <w14:solidFill>
                        <w14:schemeClr w14:val="tx1"/>
                      </w14:solidFill>
                    </w14:textFill>
                  </w:rPr>
                  <w:t>合计</w:t>
                </w:r>
              </w:p>
            </w:tc>
          </w:sdtContent>
        </w:sdt>
        <w:tc>
          <w:tcPr>
            <w:tcW w:w="211" w:type="pct"/>
            <w:tcBorders>
              <w:top w:val="single" w:color="auto" w:sz="4" w:space="0"/>
              <w:left w:val="single" w:color="auto" w:sz="4" w:space="0"/>
              <w:bottom w:val="single" w:color="auto" w:sz="4" w:space="0"/>
              <w:right w:val="single" w:color="auto" w:sz="4" w:space="0"/>
            </w:tcBorders>
            <w:vAlign w:val="center"/>
          </w:tcPr>
          <w:p w14:paraId="1713B619">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23" w:type="pct"/>
            <w:tcBorders>
              <w:top w:val="single" w:color="auto" w:sz="4" w:space="0"/>
              <w:left w:val="single" w:color="auto" w:sz="4" w:space="0"/>
              <w:bottom w:val="single" w:color="auto" w:sz="4" w:space="0"/>
              <w:right w:val="single" w:color="auto" w:sz="4" w:space="0"/>
            </w:tcBorders>
            <w:vAlign w:val="center"/>
          </w:tcPr>
          <w:p w14:paraId="6A3D9101">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72" w:type="pct"/>
            <w:tcBorders>
              <w:top w:val="single" w:color="auto" w:sz="4" w:space="0"/>
              <w:left w:val="single" w:color="auto" w:sz="4" w:space="0"/>
              <w:bottom w:val="single" w:color="auto" w:sz="4" w:space="0"/>
              <w:right w:val="single" w:color="auto" w:sz="4" w:space="0"/>
            </w:tcBorders>
            <w:vAlign w:val="center"/>
          </w:tcPr>
          <w:p w14:paraId="56F0CED8">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28" w:type="pct"/>
            <w:tcBorders>
              <w:top w:val="single" w:color="auto" w:sz="4" w:space="0"/>
              <w:left w:val="single" w:color="auto" w:sz="4" w:space="0"/>
              <w:bottom w:val="single" w:color="auto" w:sz="4" w:space="0"/>
              <w:right w:val="single" w:color="auto" w:sz="4" w:space="0"/>
            </w:tcBorders>
            <w:vAlign w:val="center"/>
          </w:tcPr>
          <w:p w14:paraId="6F3C1B7E">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366" w:type="pct"/>
            <w:tcBorders>
              <w:top w:val="single" w:color="auto" w:sz="4" w:space="0"/>
              <w:left w:val="nil"/>
              <w:bottom w:val="single" w:color="auto" w:sz="4" w:space="0"/>
              <w:right w:val="single" w:color="auto" w:sz="4" w:space="0"/>
            </w:tcBorders>
            <w:vAlign w:val="center"/>
          </w:tcPr>
          <w:p w14:paraId="6FF7A79B">
            <w:pPr>
              <w:jc w:val="right"/>
              <w:rPr>
                <w:rFonts w:hint="eastAsia"/>
                <w:bCs/>
                <w:sz w:val="16"/>
                <w:szCs w:val="20"/>
              </w:rPr>
            </w:pPr>
            <w:r>
              <w:rPr>
                <w:rFonts w:hint="eastAsia"/>
                <w:sz w:val="16"/>
                <w:szCs w:val="20"/>
              </w:rPr>
              <w:t>845,962.03</w:t>
            </w:r>
          </w:p>
        </w:tc>
        <w:tc>
          <w:tcPr>
            <w:tcW w:w="309" w:type="pct"/>
            <w:tcBorders>
              <w:top w:val="single" w:color="auto" w:sz="4" w:space="0"/>
              <w:left w:val="single" w:color="auto" w:sz="4" w:space="0"/>
              <w:bottom w:val="single" w:color="auto" w:sz="4" w:space="0"/>
              <w:right w:val="single" w:color="auto" w:sz="4" w:space="0"/>
            </w:tcBorders>
            <w:vAlign w:val="center"/>
          </w:tcPr>
          <w:p w14:paraId="0AE5E8D0">
            <w:pPr>
              <w:jc w:val="right"/>
              <w:rPr>
                <w:rFonts w:hint="eastAsia"/>
                <w:bCs/>
                <w:sz w:val="16"/>
                <w:szCs w:val="20"/>
              </w:rPr>
            </w:pPr>
            <w:r>
              <w:rPr>
                <w:rFonts w:hint="eastAsia"/>
                <w:sz w:val="16"/>
                <w:szCs w:val="20"/>
              </w:rPr>
              <w:t>16,361.1</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1211EA6">
            <w:pPr>
              <w:jc w:val="right"/>
              <w:rPr>
                <w:rFonts w:hint="eastAsia"/>
                <w:bCs/>
                <w:sz w:val="16"/>
                <w:szCs w:val="20"/>
              </w:rPr>
            </w:pPr>
            <w:r>
              <w:rPr>
                <w:rFonts w:hint="eastAsia"/>
                <w:sz w:val="16"/>
                <w:szCs w:val="20"/>
              </w:rPr>
              <w:t>733,113.77</w:t>
            </w:r>
          </w:p>
        </w:tc>
        <w:tc>
          <w:tcPr>
            <w:tcW w:w="383" w:type="pct"/>
            <w:tcBorders>
              <w:top w:val="single" w:color="auto" w:sz="4" w:space="0"/>
              <w:left w:val="nil"/>
              <w:bottom w:val="single" w:color="auto" w:sz="4" w:space="0"/>
              <w:right w:val="single" w:color="auto" w:sz="4" w:space="0"/>
            </w:tcBorders>
            <w:shd w:val="clear" w:color="auto" w:fill="auto"/>
            <w:vAlign w:val="center"/>
          </w:tcPr>
          <w:p w14:paraId="5EA18ACA">
            <w:pPr>
              <w:jc w:val="right"/>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72" w:type="pct"/>
            <w:tcBorders>
              <w:top w:val="single" w:color="auto" w:sz="4" w:space="0"/>
              <w:left w:val="nil"/>
              <w:bottom w:val="single" w:color="auto" w:sz="4" w:space="0"/>
              <w:right w:val="single" w:color="auto" w:sz="4" w:space="0"/>
            </w:tcBorders>
            <w:shd w:val="clear" w:color="auto" w:fill="auto"/>
            <w:vAlign w:val="center"/>
          </w:tcPr>
          <w:p w14:paraId="765641F8">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23" w:type="pct"/>
            <w:tcBorders>
              <w:top w:val="single" w:color="auto" w:sz="4" w:space="0"/>
              <w:left w:val="nil"/>
              <w:bottom w:val="single" w:color="auto" w:sz="4" w:space="0"/>
              <w:right w:val="single" w:color="auto" w:sz="4" w:space="0"/>
            </w:tcBorders>
            <w:shd w:val="clear" w:color="auto" w:fill="auto"/>
            <w:vAlign w:val="center"/>
          </w:tcPr>
          <w:p w14:paraId="662DB815">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43" w:type="pct"/>
            <w:tcBorders>
              <w:top w:val="single" w:color="auto" w:sz="4" w:space="0"/>
              <w:left w:val="nil"/>
              <w:bottom w:val="single" w:color="auto" w:sz="4" w:space="0"/>
              <w:right w:val="single" w:color="auto" w:sz="4" w:space="0"/>
            </w:tcBorders>
            <w:shd w:val="clear" w:color="auto" w:fill="auto"/>
            <w:vAlign w:val="center"/>
          </w:tcPr>
          <w:p w14:paraId="02FBFA8A">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403" w:type="pct"/>
            <w:tcBorders>
              <w:top w:val="single" w:color="auto" w:sz="4" w:space="0"/>
              <w:left w:val="nil"/>
              <w:bottom w:val="single" w:color="auto" w:sz="4" w:space="0"/>
              <w:right w:val="single" w:color="auto" w:sz="4" w:space="0"/>
            </w:tcBorders>
            <w:shd w:val="clear" w:color="auto" w:fill="auto"/>
            <w:vAlign w:val="center"/>
          </w:tcPr>
          <w:p w14:paraId="17C72BBE">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369" w:type="pct"/>
            <w:tcBorders>
              <w:top w:val="single" w:color="auto" w:sz="4" w:space="0"/>
              <w:left w:val="single" w:color="auto" w:sz="4" w:space="0"/>
              <w:bottom w:val="single" w:color="auto" w:sz="4" w:space="0"/>
              <w:right w:val="single" w:color="auto" w:sz="4" w:space="0"/>
            </w:tcBorders>
            <w:vAlign w:val="center"/>
          </w:tcPr>
          <w:p w14:paraId="4EE5E6ED">
            <w:pPr>
              <w:jc w:val="right"/>
              <w:rPr>
                <w:rFonts w:hint="eastAsia"/>
                <w:bCs/>
                <w:sz w:val="16"/>
                <w:szCs w:val="20"/>
              </w:rPr>
            </w:pPr>
            <w:r>
              <w:rPr>
                <w:rFonts w:hint="eastAsia"/>
                <w:sz w:val="16"/>
                <w:szCs w:val="20"/>
              </w:rPr>
              <w:t>-2,044.39</w:t>
            </w: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14:paraId="64D8E6D7">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271" w:type="pct"/>
            <w:tcBorders>
              <w:top w:val="single" w:color="auto" w:sz="4" w:space="0"/>
              <w:left w:val="nil"/>
              <w:bottom w:val="single" w:color="auto" w:sz="4" w:space="0"/>
              <w:right w:val="single" w:color="auto" w:sz="4" w:space="0"/>
            </w:tcBorders>
            <w:vAlign w:val="center"/>
          </w:tcPr>
          <w:p w14:paraId="701CB0A7">
            <w:pPr>
              <w:rPr>
                <w:rFonts w:hint="eastAsia"/>
                <w:bCs/>
                <w:color w:val="000000" w:themeColor="text1"/>
                <w:sz w:val="16"/>
                <w:szCs w:val="20"/>
                <w14:textFill>
                  <w14:solidFill>
                    <w14:schemeClr w14:val="tx1"/>
                  </w14:solidFill>
                </w14:textFill>
              </w:rPr>
            </w:pPr>
            <w:r>
              <w:rPr>
                <w:color w:val="000000" w:themeColor="text1"/>
                <w:sz w:val="16"/>
                <w:szCs w:val="20"/>
                <w14:textFill>
                  <w14:solidFill>
                    <w14:schemeClr w14:val="tx1"/>
                  </w14:solidFill>
                </w14:textFill>
              </w:rPr>
              <w:t>/</w:t>
            </w:r>
          </w:p>
        </w:tc>
        <w:tc>
          <w:tcPr>
            <w:tcW w:w="338" w:type="pct"/>
            <w:tcBorders>
              <w:top w:val="single" w:color="auto" w:sz="4" w:space="0"/>
              <w:left w:val="nil"/>
              <w:bottom w:val="single" w:color="auto" w:sz="4" w:space="0"/>
              <w:right w:val="single" w:color="auto" w:sz="4" w:space="0"/>
            </w:tcBorders>
            <w:vAlign w:val="center"/>
          </w:tcPr>
          <w:p w14:paraId="17B1DBC0">
            <w:pPr>
              <w:jc w:val="right"/>
              <w:rPr>
                <w:rFonts w:hint="eastAsia"/>
                <w:bCs/>
                <w:sz w:val="16"/>
                <w:szCs w:val="20"/>
              </w:rPr>
            </w:pPr>
            <w:r>
              <w:rPr>
                <w:rFonts w:hint="eastAsia"/>
                <w:sz w:val="16"/>
                <w:szCs w:val="20"/>
              </w:rPr>
              <w:t>39,870.64</w:t>
            </w:r>
          </w:p>
        </w:tc>
      </w:tr>
    </w:tbl>
    <w:p w14:paraId="6FA42869">
      <w:pPr>
        <w:rPr>
          <w:rFonts w:hint="eastAsia"/>
          <w:color w:val="000000" w:themeColor="text1"/>
          <w14:textFill>
            <w14:solidFill>
              <w14:schemeClr w14:val="tx1"/>
            </w14:solidFill>
          </w14:textFill>
        </w:rPr>
      </w:pPr>
    </w:p>
    <w:p w14:paraId="56F398C2">
      <w:pPr>
        <w:ind w:firstLine="420" w:firstLineChars="200"/>
        <w:rPr>
          <w:rFonts w:hint="eastAsia"/>
        </w:rPr>
      </w:pPr>
    </w:p>
    <w:p w14:paraId="6B926D7C">
      <w:pPr>
        <w:ind w:firstLine="420" w:firstLineChars="200"/>
        <w:rPr>
          <w:rFonts w:hint="eastAsia"/>
        </w:rPr>
      </w:pPr>
    </w:p>
    <w:p w14:paraId="05B7261D">
      <w:pPr>
        <w:ind w:firstLine="420" w:firstLineChars="200"/>
        <w:rPr>
          <w:rFonts w:hint="eastAsia"/>
        </w:rPr>
      </w:pPr>
    </w:p>
    <w:p w14:paraId="033B1549">
      <w:pPr>
        <w:ind w:firstLine="420" w:firstLineChars="200"/>
        <w:rPr>
          <w:rFonts w:hint="eastAsia"/>
        </w:rPr>
      </w:pPr>
    </w:p>
    <w:p w14:paraId="49D3E5CF">
      <w:pPr>
        <w:ind w:firstLine="420" w:firstLineChars="200"/>
        <w:rPr>
          <w:rFonts w:hint="eastAsia"/>
        </w:rPr>
      </w:pPr>
    </w:p>
    <w:p w14:paraId="30F152CD">
      <w:pPr>
        <w:pStyle w:val="44"/>
        <w:numPr>
          <w:ilvl w:val="0"/>
          <w:numId w:val="68"/>
        </w:numPr>
        <w:ind w:firstLineChars="0"/>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超募资金明细使用情况</w:t>
      </w:r>
    </w:p>
    <w:sdt>
      <w:sdtPr>
        <w:rPr>
          <w:rFonts w:hint="eastAsia"/>
          <w:color w:val="000000" w:themeColor="text1"/>
          <w:szCs w:val="22"/>
          <w14:textFill>
            <w14:solidFill>
              <w14:schemeClr w14:val="tx1"/>
            </w14:solidFill>
          </w14:textFill>
        </w:rPr>
        <w:alias w:val="是否适用：超募资金明细使用情况[双击切换]"/>
        <w:tag w:val="_GBC_d4d5528e8ab14707b1f96f506968e488"/>
        <w:id w:val="-320660368"/>
        <w:placeholder>
          <w:docPart w:val="GBC22222222222222222222222222222"/>
        </w:placeholder>
      </w:sdtPr>
      <w:sdtEndPr>
        <w:rPr>
          <w:rFonts w:hint="eastAsia"/>
          <w:color w:val="000000" w:themeColor="text1"/>
          <w:szCs w:val="22"/>
          <w14:textFill>
            <w14:solidFill>
              <w14:schemeClr w14:val="tx1"/>
            </w14:solidFill>
          </w14:textFill>
        </w:rPr>
      </w:sdtEndPr>
      <w:sdtContent>
        <w:p w14:paraId="350258F1">
          <w:pPr>
            <w:rPr>
              <w:rFonts w:hint="eastAsia"/>
              <w:color w:val="000000" w:themeColor="text1"/>
              <w:szCs w:val="22"/>
              <w14:textFill>
                <w14:solidFill>
                  <w14:schemeClr w14:val="tx1"/>
                </w14:solidFill>
              </w14:textFill>
            </w:rPr>
          </w:pPr>
          <w:r>
            <w:rPr>
              <w:color w:val="000000" w:themeColor="text1"/>
              <w:szCs w:val="22"/>
              <w14:textFill>
                <w14:solidFill>
                  <w14:schemeClr w14:val="tx1"/>
                </w14:solidFill>
              </w14:textFill>
            </w:rPr>
            <w:fldChar w:fldCharType="begin"/>
          </w:r>
          <w:r>
            <w:rPr>
              <w:color w:val="000000" w:themeColor="text1"/>
              <w:szCs w:val="22"/>
              <w14:textFill>
                <w14:solidFill>
                  <w14:schemeClr w14:val="tx1"/>
                </w14:solidFill>
              </w14:textFill>
            </w:rPr>
            <w:instrText xml:space="preserve"> </w:instrText>
          </w:r>
          <w:r>
            <w:rPr>
              <w:rFonts w:hint="eastAsia"/>
              <w:color w:val="000000" w:themeColor="text1"/>
              <w:szCs w:val="22"/>
              <w14:textFill>
                <w14:solidFill>
                  <w14:schemeClr w14:val="tx1"/>
                </w14:solidFill>
              </w14:textFill>
            </w:rPr>
            <w:instrText xml:space="preserve">MACROBUTTON  SnrToggleCheckbox √适用</w:instrText>
          </w:r>
          <w:r>
            <w:rPr>
              <w:color w:val="000000" w:themeColor="text1"/>
              <w:szCs w:val="22"/>
              <w14:textFill>
                <w14:solidFill>
                  <w14:schemeClr w14:val="tx1"/>
                </w14:solidFill>
              </w14:textFill>
            </w:rPr>
            <w:instrText xml:space="preserve"> </w:instrText>
          </w:r>
          <w:r>
            <w:rPr>
              <w:color w:val="000000" w:themeColor="text1"/>
              <w:szCs w:val="22"/>
              <w14:textFill>
                <w14:solidFill>
                  <w14:schemeClr w14:val="tx1"/>
                </w14:solidFill>
              </w14:textFill>
            </w:rPr>
            <w:fldChar w:fldCharType="end"/>
          </w:r>
          <w:r>
            <w:rPr>
              <w:color w:val="000000" w:themeColor="text1"/>
              <w:szCs w:val="22"/>
              <w14:textFill>
                <w14:solidFill>
                  <w14:schemeClr w14:val="tx1"/>
                </w14:solidFill>
              </w14:textFill>
            </w:rPr>
            <w:fldChar w:fldCharType="begin"/>
          </w:r>
          <w:r>
            <w:rPr>
              <w:color w:val="000000" w:themeColor="text1"/>
              <w:szCs w:val="22"/>
              <w14:textFill>
                <w14:solidFill>
                  <w14:schemeClr w14:val="tx1"/>
                </w14:solidFill>
              </w14:textFill>
            </w:rPr>
            <w:instrText xml:space="preserve"> MACROBUTTON  SnrToggleCheckbox □不适用 </w:instrText>
          </w:r>
          <w:r>
            <w:rPr>
              <w:color w:val="000000" w:themeColor="text1"/>
              <w:szCs w:val="22"/>
              <w14:textFill>
                <w14:solidFill>
                  <w14:schemeClr w14:val="tx1"/>
                </w14:solidFill>
              </w14:textFill>
            </w:rPr>
            <w:fldChar w:fldCharType="end"/>
          </w:r>
        </w:p>
      </w:sdtContent>
    </w:sdt>
    <w:p w14:paraId="361AE08E">
      <w:pPr>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超募资金明细使用情况"/>
          <w:tag w:val="_GBC_3f21d181263c41e7b4a61680ce2223fd"/>
          <w:id w:val="90981404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1957"/>
        <w:gridCol w:w="2606"/>
        <w:gridCol w:w="3039"/>
        <w:gridCol w:w="2847"/>
        <w:gridCol w:w="1295"/>
      </w:tblGrid>
      <w:tr w14:paraId="5B59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860ffec24ed146b89adec906613336b7"/>
            <w:id w:val="1445573374"/>
          </w:sdtPr>
          <w:sdtContent>
            <w:tc>
              <w:tcPr>
                <w:tcW w:w="764" w:type="pct"/>
                <w:shd w:val="clear" w:color="auto" w:fill="auto"/>
                <w:vAlign w:val="center"/>
              </w:tcPr>
              <w:p w14:paraId="40257A9B">
                <w:pPr>
                  <w:widowControl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用途</w:t>
                </w:r>
              </w:p>
            </w:tc>
          </w:sdtContent>
        </w:sdt>
        <w:sdt>
          <w:sdtPr>
            <w:tag w:val="_PLD_defd81c07bdf4853a1318b79131361ad"/>
            <w:id w:val="594666248"/>
          </w:sdtPr>
          <w:sdtContent>
            <w:tc>
              <w:tcPr>
                <w:tcW w:w="706" w:type="pct"/>
                <w:vAlign w:val="center"/>
              </w:tcPr>
              <w:p w14:paraId="78DD7009">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性质</w:t>
                </w:r>
              </w:p>
            </w:tc>
          </w:sdtContent>
        </w:sdt>
        <w:sdt>
          <w:sdtPr>
            <w:tag w:val="_PLD_64087b1963ec41a78e41912f2be69b15"/>
            <w:id w:val="93601963"/>
          </w:sdtPr>
          <w:sdtContent>
            <w:tc>
              <w:tcPr>
                <w:tcW w:w="940" w:type="pct"/>
                <w:vAlign w:val="center"/>
              </w:tcPr>
              <w:p w14:paraId="62200067">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拟投入超募资金总额</w:t>
                </w:r>
              </w:p>
              <w:p w14:paraId="00BC686E">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（1）</w:t>
                </w:r>
              </w:p>
            </w:tc>
          </w:sdtContent>
        </w:sdt>
        <w:sdt>
          <w:sdtPr>
            <w:tag w:val="_PLD_b16ad98489af4e6bae15d480bfb127fe"/>
            <w:id w:val="741222969"/>
          </w:sdtPr>
          <w:sdtContent>
            <w:tc>
              <w:tcPr>
                <w:tcW w:w="1096" w:type="pct"/>
                <w:vAlign w:val="center"/>
              </w:tcPr>
              <w:p w14:paraId="56FF04D9">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截至</w:t>
                </w:r>
                <w:r>
                  <w:rPr>
                    <w:color w:val="000000" w:themeColor="text1"/>
                    <w14:textFill>
                      <w14:solidFill>
                        <w14:schemeClr w14:val="tx1"/>
                      </w14:solidFill>
                    </w14:textFill>
                  </w:rPr>
                  <w:t>报告期末</w:t>
                </w:r>
                <w:r>
                  <w:rPr>
                    <w:rFonts w:hint="eastAsia"/>
                    <w:color w:val="000000" w:themeColor="text1"/>
                    <w14:textFill>
                      <w14:solidFill>
                        <w14:schemeClr w14:val="tx1"/>
                      </w14:solidFill>
                    </w14:textFill>
                  </w:rPr>
                  <w:t>累计投入超募资金总额</w:t>
                </w:r>
              </w:p>
              <w:p w14:paraId="1069DE37">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（2）</w:t>
                </w:r>
              </w:p>
            </w:tc>
          </w:sdtContent>
        </w:sdt>
        <w:sdt>
          <w:sdtPr>
            <w:tag w:val="_PLD_199f85a44410468e8b68ccf5f3d94cf1"/>
            <w:id w:val="344826689"/>
          </w:sdtPr>
          <w:sdtContent>
            <w:tc>
              <w:tcPr>
                <w:tcW w:w="1027" w:type="pct"/>
                <w:vAlign w:val="center"/>
              </w:tcPr>
              <w:p w14:paraId="487E99B4">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截至报告期末累计投入进度（%）</w:t>
                </w:r>
              </w:p>
              <w:p w14:paraId="3BDB714C">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(3)＝(2)/(1)</w:t>
                </w:r>
              </w:p>
            </w:tc>
          </w:sdtContent>
        </w:sdt>
        <w:sdt>
          <w:sdtPr>
            <w:tag w:val="_PLD_94d8cdae83e44de3b5c3fc3408c1fee8"/>
            <w:id w:val="1294711258"/>
          </w:sdtPr>
          <w:sdtContent>
            <w:tc>
              <w:tcPr>
                <w:tcW w:w="467" w:type="pct"/>
                <w:vAlign w:val="center"/>
              </w:tcPr>
              <w:p w14:paraId="6C964174">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sdtContent>
        </w:sdt>
      </w:tr>
      <w:tr w14:paraId="60F9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pct"/>
            <w:shd w:val="clear" w:color="auto" w:fill="auto"/>
            <w:vAlign w:val="center"/>
          </w:tcPr>
          <w:p w14:paraId="26974570">
            <w:pPr>
              <w:widowControl w:val="0"/>
              <w:jc w:val="both"/>
              <w:rPr>
                <w:rFonts w:hint="eastAsia"/>
                <w:bCs/>
              </w:rPr>
            </w:pPr>
            <w:r>
              <w:rPr>
                <w:rFonts w:hint="eastAsia"/>
                <w:color w:val="000000"/>
                <w:szCs w:val="21"/>
              </w:rPr>
              <w:t>永久补充流动资金</w:t>
            </w:r>
          </w:p>
        </w:tc>
        <w:tc>
          <w:tcPr>
            <w:tcW w:w="706" w:type="pct"/>
            <w:vAlign w:val="center"/>
          </w:tcPr>
          <w:p w14:paraId="144FAF42">
            <w:pPr>
              <w:jc w:val="both"/>
              <w:rPr>
                <w:rFonts w:hint="eastAsia"/>
                <w:bCs/>
                <w:color w:val="000000" w:themeColor="text1"/>
                <w14:textFill>
                  <w14:solidFill>
                    <w14:schemeClr w14:val="tx1"/>
                  </w14:solidFill>
                </w14:textFill>
              </w:rPr>
            </w:pPr>
            <w:r>
              <w:rPr>
                <w:rFonts w:hint="eastAsia"/>
                <w:color w:val="000000"/>
                <w:szCs w:val="21"/>
              </w:rPr>
              <w:t>补流还贷</w:t>
            </w:r>
          </w:p>
        </w:tc>
        <w:tc>
          <w:tcPr>
            <w:tcW w:w="940" w:type="pct"/>
            <w:vAlign w:val="center"/>
          </w:tcPr>
          <w:p w14:paraId="50033B16">
            <w:pPr>
              <w:widowControl w:val="0"/>
              <w:jc w:val="right"/>
              <w:rPr>
                <w:rFonts w:hint="eastAsia"/>
                <w:bCs/>
              </w:rPr>
            </w:pPr>
            <w:r>
              <w:rPr>
                <w:rFonts w:ascii="Arial Narrow" w:hAnsi="Arial Narrow" w:eastAsia="等线"/>
                <w:color w:val="000000"/>
                <w:szCs w:val="21"/>
              </w:rPr>
              <w:t>66,578.59</w:t>
            </w:r>
          </w:p>
        </w:tc>
        <w:tc>
          <w:tcPr>
            <w:tcW w:w="1096" w:type="pct"/>
            <w:vAlign w:val="center"/>
          </w:tcPr>
          <w:p w14:paraId="26FE991B">
            <w:pPr>
              <w:widowControl w:val="0"/>
              <w:jc w:val="right"/>
              <w:rPr>
                <w:rFonts w:hint="eastAsia"/>
                <w:bCs/>
              </w:rPr>
            </w:pPr>
            <w:r>
              <w:rPr>
                <w:rFonts w:ascii="Arial Narrow" w:hAnsi="Arial Narrow" w:eastAsia="等线"/>
                <w:color w:val="000000"/>
                <w:szCs w:val="21"/>
              </w:rPr>
              <w:t>66,578.59</w:t>
            </w:r>
          </w:p>
        </w:tc>
        <w:tc>
          <w:tcPr>
            <w:tcW w:w="1027" w:type="pct"/>
            <w:vAlign w:val="center"/>
          </w:tcPr>
          <w:p w14:paraId="104459AF">
            <w:pPr>
              <w:widowControl w:val="0"/>
              <w:jc w:val="right"/>
              <w:rPr>
                <w:rFonts w:hint="eastAsia"/>
                <w:bCs/>
              </w:rPr>
            </w:pPr>
            <w:r>
              <w:rPr>
                <w:rFonts w:ascii="Arial Narrow" w:hAnsi="Arial Narrow" w:eastAsia="等线"/>
                <w:color w:val="000000"/>
                <w:szCs w:val="21"/>
              </w:rPr>
              <w:t xml:space="preserve"> 100.00 </w:t>
            </w:r>
          </w:p>
        </w:tc>
        <w:tc>
          <w:tcPr>
            <w:tcW w:w="467" w:type="pct"/>
            <w:vAlign w:val="center"/>
          </w:tcPr>
          <w:p w14:paraId="29313CE2">
            <w:pPr>
              <w:widowControl w:val="0"/>
              <w:rPr>
                <w:rFonts w:hint="eastAsia"/>
                <w:bCs/>
              </w:rPr>
            </w:pPr>
          </w:p>
        </w:tc>
      </w:tr>
      <w:tr w14:paraId="6F95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pct"/>
            <w:shd w:val="clear" w:color="auto" w:fill="auto"/>
            <w:vAlign w:val="center"/>
          </w:tcPr>
          <w:p w14:paraId="25743039">
            <w:pPr>
              <w:widowControl w:val="0"/>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06" w:type="pct"/>
            <w:vAlign w:val="center"/>
          </w:tcPr>
          <w:p w14:paraId="756ABBBE">
            <w:pPr>
              <w:jc w:val="both"/>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940" w:type="pct"/>
            <w:vAlign w:val="center"/>
          </w:tcPr>
          <w:p w14:paraId="1AB15B57">
            <w:pPr>
              <w:widowControl w:val="0"/>
              <w:jc w:val="right"/>
              <w:rPr>
                <w:rFonts w:hint="eastAsia"/>
                <w:bCs/>
              </w:rPr>
            </w:pPr>
            <w:r>
              <w:rPr>
                <w:rFonts w:ascii="Arial Narrow" w:hAnsi="Arial Narrow" w:eastAsia="等线"/>
                <w:color w:val="000000"/>
                <w:szCs w:val="21"/>
              </w:rPr>
              <w:t>66,578.59</w:t>
            </w:r>
          </w:p>
        </w:tc>
        <w:tc>
          <w:tcPr>
            <w:tcW w:w="1096" w:type="pct"/>
            <w:vAlign w:val="center"/>
          </w:tcPr>
          <w:p w14:paraId="2109E110">
            <w:pPr>
              <w:widowControl w:val="0"/>
              <w:jc w:val="right"/>
              <w:rPr>
                <w:rFonts w:hint="eastAsia"/>
                <w:bCs/>
              </w:rPr>
            </w:pPr>
            <w:r>
              <w:rPr>
                <w:rFonts w:ascii="Arial Narrow" w:hAnsi="Arial Narrow" w:eastAsia="等线"/>
                <w:color w:val="000000"/>
                <w:szCs w:val="21"/>
              </w:rPr>
              <w:t>66,578.59</w:t>
            </w:r>
          </w:p>
        </w:tc>
        <w:tc>
          <w:tcPr>
            <w:tcW w:w="1027" w:type="pct"/>
            <w:vAlign w:val="center"/>
          </w:tcPr>
          <w:p w14:paraId="130BEF18">
            <w:pPr>
              <w:widowControl w:val="0"/>
              <w:jc w:val="right"/>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c>
          <w:tcPr>
            <w:tcW w:w="467" w:type="pct"/>
            <w:vAlign w:val="center"/>
          </w:tcPr>
          <w:p w14:paraId="4BE01BBF">
            <w:pPr>
              <w:widowControl w:val="0"/>
              <w:rPr>
                <w:rFonts w:hint="eastAsia"/>
                <w:bCs/>
                <w:color w:val="000000" w:themeColor="text1"/>
                <w14:textFill>
                  <w14:solidFill>
                    <w14:schemeClr w14:val="tx1"/>
                  </w14:solidFill>
                </w14:textFill>
              </w:rPr>
            </w:pPr>
            <w:r>
              <w:rPr>
                <w:color w:val="000000" w:themeColor="text1"/>
                <w14:textFill>
                  <w14:solidFill>
                    <w14:schemeClr w14:val="tx1"/>
                  </w14:solidFill>
                </w14:textFill>
              </w:rPr>
              <w:t>/</w:t>
            </w:r>
          </w:p>
        </w:tc>
      </w:tr>
    </w:tbl>
    <w:p w14:paraId="4F7BEE29">
      <w:pPr>
        <w:rPr>
          <w:rFonts w:hint="eastAsia"/>
          <w:color w:val="000000" w:themeColor="text1"/>
          <w14:textFill>
            <w14:solidFill>
              <w14:schemeClr w14:val="tx1"/>
            </w14:solidFill>
          </w14:textFill>
        </w:rPr>
      </w:pPr>
    </w:p>
    <w:bookmarkEnd w:id="136"/>
    <w:p w14:paraId="606C7E53">
      <w:pPr>
        <w:pStyle w:val="4"/>
        <w:numPr>
          <w:ilvl w:val="0"/>
          <w:numId w:val="67"/>
        </w:numPr>
        <w:tabs>
          <w:tab w:val="left" w:pos="360"/>
        </w:tabs>
        <w:ind w:left="450" w:hanging="450"/>
        <w:rPr>
          <w:rFonts w:hint="eastAsia" w:ascii="宋体" w:hAnsi="宋体"/>
          <w:color w:val="000000" w:themeColor="text1"/>
          <w14:textFill>
            <w14:solidFill>
              <w14:schemeClr w14:val="tx1"/>
            </w14:solidFill>
          </w14:textFill>
        </w:rPr>
      </w:pPr>
      <w:bookmarkStart w:id="138" w:name="_Hlk90391874"/>
      <w:r>
        <w:rPr>
          <w:rFonts w:hint="eastAsia" w:ascii="宋体" w:hAnsi="宋体"/>
          <w:color w:val="000000" w:themeColor="text1"/>
          <w14:textFill>
            <w14:solidFill>
              <w14:schemeClr w14:val="tx1"/>
            </w14:solidFill>
          </w14:textFill>
        </w:rPr>
        <w:t>报告期内募投变更或终止情况</w:t>
      </w:r>
    </w:p>
    <w:sdt>
      <w:sdtPr>
        <w:rPr>
          <w:color w:val="000000" w:themeColor="text1"/>
          <w14:textFill>
            <w14:solidFill>
              <w14:schemeClr w14:val="tx1"/>
            </w14:solidFill>
          </w14:textFill>
        </w:rPr>
        <w:alias w:val="是否适用：报告期内募投变更情况  [双击切换]"/>
        <w:tag w:val="_GBC_61c6bb17977047c182c97c4ccdd9b239"/>
        <w:id w:val="444275811"/>
        <w:placeholder>
          <w:docPart w:val="GBC22222222222222222222222222222"/>
        </w:placeholder>
      </w:sdtPr>
      <w:sdtEndPr>
        <w:rPr>
          <w:color w:val="000000" w:themeColor="text1"/>
          <w14:textFill>
            <w14:solidFill>
              <w14:schemeClr w14:val="tx1"/>
            </w14:solidFill>
          </w14:textFill>
        </w:rPr>
      </w:sdtEndPr>
      <w:sdtContent>
        <w:p w14:paraId="3D37116A">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04A3F27E">
      <w:pPr>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内募投变更或终止情况"/>
          <w:tag w:val="_GBC_40118869d2f246b7a5d41b444a7633f8"/>
          <w:id w:val="152089535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p>
    <w:tbl>
      <w:tblPr>
        <w:tblStyle w:val="37"/>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1087"/>
        <w:gridCol w:w="1276"/>
        <w:gridCol w:w="1276"/>
        <w:gridCol w:w="1134"/>
        <w:gridCol w:w="1417"/>
        <w:gridCol w:w="2410"/>
        <w:gridCol w:w="850"/>
        <w:gridCol w:w="3402"/>
      </w:tblGrid>
      <w:tr w14:paraId="34AD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blHeader/>
          <w:jc w:val="center"/>
        </w:trPr>
        <w:sdt>
          <w:sdtPr>
            <w:tag w:val="_PLD_87410f24df404d039f90f12af3e8d228"/>
            <w:id w:val="-72123446"/>
          </w:sdtPr>
          <w:sdtContent>
            <w:tc>
              <w:tcPr>
                <w:tcW w:w="1318" w:type="dxa"/>
                <w:shd w:val="clear" w:color="auto" w:fill="auto"/>
                <w:vAlign w:val="center"/>
              </w:tcPr>
              <w:p w14:paraId="209A7D3A">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变更前项目名称</w:t>
                </w:r>
              </w:p>
            </w:tc>
          </w:sdtContent>
        </w:sdt>
        <w:sdt>
          <w:sdtPr>
            <w:tag w:val="_PLD_15057cc7546e4c3a9b34def0a80432a7"/>
            <w:id w:val="1588114193"/>
          </w:sdtPr>
          <w:sdtContent>
            <w:tc>
              <w:tcPr>
                <w:tcW w:w="1087" w:type="dxa"/>
                <w:vAlign w:val="center"/>
              </w:tcPr>
              <w:p w14:paraId="61C2EF69">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变更时间（首次公告披露时间）</w:t>
                </w:r>
              </w:p>
            </w:tc>
          </w:sdtContent>
        </w:sdt>
        <w:sdt>
          <w:sdtPr>
            <w:tag w:val="_PLD_37faf8891e2b470686b809cf53a40698"/>
            <w:id w:val="12204290"/>
          </w:sdtPr>
          <w:sdtContent>
            <w:tc>
              <w:tcPr>
                <w:tcW w:w="1276" w:type="dxa"/>
                <w:vAlign w:val="center"/>
              </w:tcPr>
              <w:p w14:paraId="0E678B14">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变更类型</w:t>
                </w:r>
              </w:p>
            </w:tc>
          </w:sdtContent>
        </w:sdt>
        <w:sdt>
          <w:sdtPr>
            <w:tag w:val="_PLD_b91b77fb07264b6eba4e699cde42498f"/>
            <w:id w:val="1665360958"/>
          </w:sdtPr>
          <w:sdtContent>
            <w:tc>
              <w:tcPr>
                <w:tcW w:w="1276" w:type="dxa"/>
                <w:vAlign w:val="center"/>
              </w:tcPr>
              <w:p w14:paraId="354F4260">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w:t>
                </w:r>
                <w:r>
                  <w:rPr>
                    <w:color w:val="000000" w:themeColor="text1"/>
                    <w14:textFill>
                      <w14:solidFill>
                        <w14:schemeClr w14:val="tx1"/>
                      </w14:solidFill>
                    </w14:textFill>
                  </w:rPr>
                  <w:t>/终止前项目募集资金投资总额</w:t>
                </w:r>
              </w:p>
            </w:tc>
          </w:sdtContent>
        </w:sdt>
        <w:sdt>
          <w:sdtPr>
            <w:tag w:val="_PLD_be44b77dbd2a41c4aa7c39d5331a4145"/>
            <w:id w:val="-418481246"/>
          </w:sdtPr>
          <w:sdtContent>
            <w:tc>
              <w:tcPr>
                <w:tcW w:w="1134" w:type="dxa"/>
                <w:vAlign w:val="center"/>
              </w:tcPr>
              <w:p w14:paraId="3CB23AFC">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w:t>
                </w:r>
                <w:r>
                  <w:rPr>
                    <w:color w:val="000000" w:themeColor="text1"/>
                    <w14:textFill>
                      <w14:solidFill>
                        <w14:schemeClr w14:val="tx1"/>
                      </w14:solidFill>
                    </w14:textFill>
                  </w:rPr>
                  <w:t>/终止前项目已投入募</w:t>
                </w:r>
                <w:r>
                  <w:rPr>
                    <w:rFonts w:hint="eastAsia"/>
                    <w:color w:val="000000" w:themeColor="text1"/>
                    <w14:textFill>
                      <w14:solidFill>
                        <w14:schemeClr w14:val="tx1"/>
                      </w14:solidFill>
                    </w14:textFill>
                  </w:rPr>
                  <w:t>集</w:t>
                </w:r>
                <w:r>
                  <w:rPr>
                    <w:color w:val="000000" w:themeColor="text1"/>
                    <w14:textFill>
                      <w14:solidFill>
                        <w14:schemeClr w14:val="tx1"/>
                      </w14:solidFill>
                    </w14:textFill>
                  </w:rPr>
                  <w:t>资金总额</w:t>
                </w:r>
              </w:p>
            </w:tc>
          </w:sdtContent>
        </w:sdt>
        <w:sdt>
          <w:sdtPr>
            <w:tag w:val="_PLD_25125e0e687f44dcb8ec98faeb2e7e4d"/>
            <w:id w:val="1403718453"/>
          </w:sdtPr>
          <w:sdtContent>
            <w:tc>
              <w:tcPr>
                <w:tcW w:w="1417" w:type="dxa"/>
                <w:shd w:val="clear" w:color="auto" w:fill="auto"/>
                <w:vAlign w:val="center"/>
              </w:tcPr>
              <w:p w14:paraId="1C8DB4C9">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变更后</w:t>
                </w:r>
                <w:r>
                  <w:rPr>
                    <w:color w:val="000000" w:themeColor="text1"/>
                    <w14:textFill>
                      <w14:solidFill>
                        <w14:schemeClr w14:val="tx1"/>
                      </w14:solidFill>
                    </w14:textFill>
                  </w:rPr>
                  <w:t>项目名称</w:t>
                </w:r>
              </w:p>
            </w:tc>
          </w:sdtContent>
        </w:sdt>
        <w:sdt>
          <w:sdtPr>
            <w:tag w:val="_PLD_f83aed8278f64175815461f01f8a74f4"/>
            <w:id w:val="902335312"/>
          </w:sdtPr>
          <w:sdtContent>
            <w:tc>
              <w:tcPr>
                <w:tcW w:w="2410" w:type="dxa"/>
                <w:shd w:val="clear" w:color="auto" w:fill="auto"/>
                <w:noWrap/>
                <w:vAlign w:val="center"/>
              </w:tcPr>
              <w:p w14:paraId="035D3154">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变更/终止原因</w:t>
                </w:r>
              </w:p>
            </w:tc>
          </w:sdtContent>
        </w:sdt>
        <w:sdt>
          <w:sdtPr>
            <w:tag w:val="_PLD_7e032d8d39b6445e885de7f77af12255"/>
            <w:id w:val="-320969886"/>
          </w:sdtPr>
          <w:sdtContent>
            <w:tc>
              <w:tcPr>
                <w:tcW w:w="850" w:type="dxa"/>
                <w:vAlign w:val="center"/>
              </w:tcPr>
              <w:p w14:paraId="293A20BC">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变更</w:t>
                </w:r>
                <w:r>
                  <w:rPr>
                    <w:color w:val="000000" w:themeColor="text1"/>
                    <w14:textFill>
                      <w14:solidFill>
                        <w14:schemeClr w14:val="tx1"/>
                      </w14:solidFill>
                    </w14:textFill>
                  </w:rPr>
                  <w:t>/终止后用于补流的募集资金金额</w:t>
                </w:r>
              </w:p>
            </w:tc>
          </w:sdtContent>
        </w:sdt>
        <w:sdt>
          <w:sdtPr>
            <w:tag w:val="_PLD_b34626f6c526449e83a524953f7439ac"/>
            <w:id w:val="25683217"/>
          </w:sdtPr>
          <w:sdtContent>
            <w:tc>
              <w:tcPr>
                <w:tcW w:w="3402" w:type="dxa"/>
                <w:shd w:val="clear" w:color="auto" w:fill="auto"/>
                <w:vAlign w:val="center"/>
              </w:tcPr>
              <w:p w14:paraId="36068F22">
                <w:pPr>
                  <w:jc w:val="center"/>
                  <w:rPr>
                    <w:rFonts w:hint="eastAsia"/>
                    <w:bCs/>
                    <w:color w:val="000000" w:themeColor="text1"/>
                    <w14:textFill>
                      <w14:solidFill>
                        <w14:schemeClr w14:val="tx1"/>
                      </w14:solidFill>
                    </w14:textFill>
                  </w:rPr>
                </w:pPr>
                <w:r>
                  <w:rPr>
                    <w:rFonts w:hint="eastAsia"/>
                    <w:color w:val="000000" w:themeColor="text1"/>
                    <w14:textFill>
                      <w14:solidFill>
                        <w14:schemeClr w14:val="tx1"/>
                      </w14:solidFill>
                    </w14:textFill>
                  </w:rPr>
                  <w:t>决策</w:t>
                </w:r>
                <w:r>
                  <w:rPr>
                    <w:color w:val="000000" w:themeColor="text1"/>
                    <w14:textFill>
                      <w14:solidFill>
                        <w14:schemeClr w14:val="tx1"/>
                      </w14:solidFill>
                    </w14:textFill>
                  </w:rPr>
                  <w:t>程序及</w:t>
                </w:r>
                <w:r>
                  <w:rPr>
                    <w:rFonts w:hint="eastAsia"/>
                    <w:color w:val="000000" w:themeColor="text1"/>
                    <w14:textFill>
                      <w14:solidFill>
                        <w14:schemeClr w14:val="tx1"/>
                      </w14:solidFill>
                    </w14:textFill>
                  </w:rPr>
                  <w:t>信息披露情况说明</w:t>
                </w:r>
              </w:p>
            </w:tc>
          </w:sdtContent>
        </w:sdt>
      </w:tr>
      <w:tr w14:paraId="6C96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318" w:type="dxa"/>
            <w:shd w:val="clear" w:color="auto" w:fill="auto"/>
            <w:vAlign w:val="center"/>
          </w:tcPr>
          <w:p w14:paraId="0E60D8ED">
            <w:pPr>
              <w:jc w:val="both"/>
              <w:rPr>
                <w:rFonts w:hint="eastAsia"/>
                <w:bCs/>
              </w:rPr>
            </w:pPr>
            <w:r>
              <w:rPr>
                <w:rFonts w:hint="eastAsia" w:ascii="等线" w:hAnsi="等线" w:eastAsia="等线"/>
                <w:color w:val="000000"/>
                <w:sz w:val="22"/>
                <w:szCs w:val="22"/>
              </w:rPr>
              <w:t>高性能防弹材料及制品技术改造项目</w:t>
            </w:r>
          </w:p>
        </w:tc>
        <w:tc>
          <w:tcPr>
            <w:tcW w:w="1087" w:type="dxa"/>
            <w:vAlign w:val="center"/>
          </w:tcPr>
          <w:p w14:paraId="346EA409">
            <w:pPr>
              <w:jc w:val="both"/>
              <w:rPr>
                <w:rFonts w:hint="eastAsia"/>
                <w:bCs/>
              </w:rPr>
            </w:pPr>
            <w:r>
              <w:rPr>
                <w:rFonts w:hint="eastAsia" w:ascii="等线" w:hAnsi="等线" w:eastAsia="等线"/>
                <w:color w:val="000000"/>
                <w:sz w:val="22"/>
                <w:szCs w:val="22"/>
              </w:rPr>
              <w:t>2024年8月28日</w:t>
            </w:r>
          </w:p>
        </w:tc>
        <w:sdt>
          <w:sdtPr>
            <w:rPr>
              <w:bCs/>
              <w:color w:val="000000" w:themeColor="text1"/>
              <w14:textFill>
                <w14:solidFill>
                  <w14:schemeClr w14:val="tx1"/>
                </w14:solidFill>
              </w14:textFill>
            </w:rPr>
            <w:alias w:val="报告期内募投变更情况明细_变更类型"/>
            <w:tag w:val="_GBC_6139bbddd21047aca6d517477f24470a"/>
            <w:id w:val="582409710"/>
            <w:comboBox>
              <w:listItem w:displayText="取消项目" w:value="取消项目"/>
              <w:listItem w:displayText="调减募集资金投资金额" w:value="调减募集资金投资金额"/>
              <w:listItem w:displayText="调增募集资金投资金额" w:value="调增募集资金投资金额"/>
            </w:comboBox>
          </w:sdtPr>
          <w:sdtEndPr>
            <w:rPr>
              <w:bCs/>
              <w:color w:val="000000" w:themeColor="text1"/>
              <w14:textFill>
                <w14:solidFill>
                  <w14:schemeClr w14:val="tx1"/>
                </w14:solidFill>
              </w14:textFill>
            </w:rPr>
          </w:sdtEndPr>
          <w:sdtContent>
            <w:tc>
              <w:tcPr>
                <w:tcW w:w="1276" w:type="dxa"/>
                <w:vAlign w:val="center"/>
              </w:tcPr>
              <w:p w14:paraId="1397BFFE">
                <w:pPr>
                  <w:jc w:val="both"/>
                  <w:rPr>
                    <w:rFonts w:hint="eastAsia"/>
                    <w:bCs/>
                    <w:color w:val="000000" w:themeColor="text1"/>
                    <w14:textFill>
                      <w14:solidFill>
                        <w14:schemeClr w14:val="tx1"/>
                      </w14:solidFill>
                    </w14:textFill>
                  </w:rPr>
                </w:pPr>
                <w:r>
                  <w:rPr>
                    <w:bCs/>
                    <w:color w:val="000000" w:themeColor="text1"/>
                    <w14:textFill>
                      <w14:solidFill>
                        <w14:schemeClr w14:val="tx1"/>
                      </w14:solidFill>
                    </w14:textFill>
                  </w:rPr>
                  <w:t>取消项目</w:t>
                </w:r>
              </w:p>
            </w:tc>
          </w:sdtContent>
        </w:sdt>
        <w:tc>
          <w:tcPr>
            <w:tcW w:w="1276" w:type="dxa"/>
            <w:vAlign w:val="center"/>
          </w:tcPr>
          <w:p w14:paraId="3FAD3B21">
            <w:pPr>
              <w:jc w:val="right"/>
              <w:rPr>
                <w:rFonts w:ascii="Arial Narrow" w:hAnsi="Arial Narrow"/>
                <w:bCs/>
              </w:rPr>
            </w:pPr>
            <w:r>
              <w:rPr>
                <w:rFonts w:ascii="Arial Narrow" w:hAnsi="Arial Narrow"/>
                <w:color w:val="000000"/>
                <w:szCs w:val="21"/>
              </w:rPr>
              <w:t>7,000.00</w:t>
            </w:r>
          </w:p>
        </w:tc>
        <w:tc>
          <w:tcPr>
            <w:tcW w:w="1134" w:type="dxa"/>
            <w:vAlign w:val="center"/>
          </w:tcPr>
          <w:p w14:paraId="73C2423E">
            <w:pPr>
              <w:jc w:val="right"/>
              <w:rPr>
                <w:rFonts w:ascii="Arial Narrow" w:hAnsi="Arial Narrow"/>
                <w:bCs/>
              </w:rPr>
            </w:pPr>
            <w:r>
              <w:rPr>
                <w:rFonts w:ascii="Arial Narrow" w:hAnsi="Arial Narrow"/>
                <w:color w:val="000000"/>
                <w:szCs w:val="21"/>
              </w:rPr>
              <w:t>2,650.18</w:t>
            </w:r>
          </w:p>
        </w:tc>
        <w:tc>
          <w:tcPr>
            <w:tcW w:w="1417" w:type="dxa"/>
            <w:shd w:val="clear" w:color="auto" w:fill="auto"/>
            <w:vAlign w:val="center"/>
          </w:tcPr>
          <w:p w14:paraId="7E743BE1">
            <w:pPr>
              <w:jc w:val="both"/>
              <w:rPr>
                <w:rFonts w:hint="eastAsia"/>
                <w:bCs/>
              </w:rPr>
            </w:pPr>
            <w:r>
              <w:rPr>
                <w:rFonts w:hint="eastAsia"/>
                <w:color w:val="000000"/>
                <w:szCs w:val="21"/>
              </w:rPr>
              <w:t>年产2500吨特种尼龙66长丝中试线建设项目</w:t>
            </w:r>
          </w:p>
        </w:tc>
        <w:tc>
          <w:tcPr>
            <w:tcW w:w="2410" w:type="dxa"/>
            <w:shd w:val="clear" w:color="auto" w:fill="auto"/>
            <w:noWrap/>
            <w:vAlign w:val="center"/>
          </w:tcPr>
          <w:p w14:paraId="4C2A3494">
            <w:pPr>
              <w:jc w:val="both"/>
              <w:rPr>
                <w:rFonts w:hint="eastAsia"/>
                <w:bCs/>
              </w:rPr>
            </w:pPr>
            <w:r>
              <w:rPr>
                <w:rFonts w:hint="eastAsia"/>
                <w:bCs/>
              </w:rPr>
              <w:t>主要系当时项目实施主体在发展过程中未能有效把握市场机遇，市场竞争力发生变化，公司出于整体战略考虑，终止该项目。本次变更后的新项目测算经济效益良好，符合公司的长期发展目标</w:t>
            </w:r>
          </w:p>
        </w:tc>
        <w:tc>
          <w:tcPr>
            <w:tcW w:w="850" w:type="dxa"/>
            <w:vAlign w:val="center"/>
          </w:tcPr>
          <w:p w14:paraId="0A2FE5C4">
            <w:pPr>
              <w:jc w:val="both"/>
              <w:rPr>
                <w:rFonts w:hint="eastAsia"/>
                <w:bCs/>
              </w:rPr>
            </w:pPr>
            <w:r>
              <w:rPr>
                <w:rFonts w:hint="eastAsia"/>
                <w:bCs/>
              </w:rPr>
              <w:t>0</w:t>
            </w:r>
          </w:p>
        </w:tc>
        <w:tc>
          <w:tcPr>
            <w:tcW w:w="3402" w:type="dxa"/>
            <w:shd w:val="clear" w:color="auto" w:fill="auto"/>
            <w:vAlign w:val="center"/>
          </w:tcPr>
          <w:p w14:paraId="171AD4E3">
            <w:pPr>
              <w:jc w:val="both"/>
              <w:rPr>
                <w:rFonts w:hint="eastAsia"/>
                <w:bCs/>
              </w:rPr>
            </w:pPr>
            <w:r>
              <w:rPr>
                <w:rFonts w:hint="eastAsia"/>
                <w:bCs/>
              </w:rPr>
              <w:t>1、公司于2024年8月27日召开第六届董事会第四次会议及第六届监事会第三次会议，审议通过了关于《变更部分募集资金投资项目》的议案，并于2024年8月28日披露 《关于部分募集资金投资项目变更及延期的公告》。</w:t>
            </w:r>
          </w:p>
          <w:p w14:paraId="6A8E3511">
            <w:pPr>
              <w:jc w:val="both"/>
              <w:rPr>
                <w:rFonts w:hint="eastAsia"/>
                <w:bCs/>
              </w:rPr>
            </w:pPr>
            <w:r>
              <w:rPr>
                <w:rFonts w:hint="eastAsia"/>
                <w:bCs/>
              </w:rPr>
              <w:t>2、公司于2024年12月23日召开第二次临时股东大会，审议通过了关于《变更部分募集资金投资项目》的议案，并于2024年12月24日披露《2024年第二次临时股东大会决议公告》。</w:t>
            </w:r>
          </w:p>
        </w:tc>
      </w:tr>
      <w:tr w14:paraId="7650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318" w:type="dxa"/>
            <w:shd w:val="clear" w:color="auto" w:fill="auto"/>
            <w:vAlign w:val="center"/>
          </w:tcPr>
          <w:p w14:paraId="6CAE7DCF">
            <w:pPr>
              <w:jc w:val="both"/>
              <w:rPr>
                <w:rFonts w:hint="eastAsia"/>
                <w:bCs/>
              </w:rPr>
            </w:pPr>
            <w:r>
              <w:rPr>
                <w:rFonts w:hint="eastAsia" w:ascii="等线" w:hAnsi="等线" w:eastAsia="等线"/>
                <w:color w:val="000000"/>
                <w:sz w:val="22"/>
                <w:szCs w:val="22"/>
              </w:rPr>
              <w:t>完善各专业研究院功能建设项目</w:t>
            </w:r>
          </w:p>
        </w:tc>
        <w:tc>
          <w:tcPr>
            <w:tcW w:w="1087" w:type="dxa"/>
            <w:vAlign w:val="center"/>
          </w:tcPr>
          <w:p w14:paraId="7D1D669B">
            <w:pPr>
              <w:jc w:val="both"/>
              <w:rPr>
                <w:rFonts w:hint="eastAsia"/>
                <w:bCs/>
              </w:rPr>
            </w:pPr>
            <w:r>
              <w:rPr>
                <w:rFonts w:hint="eastAsia" w:ascii="等线" w:hAnsi="等线" w:eastAsia="等线"/>
                <w:color w:val="000000"/>
                <w:sz w:val="22"/>
                <w:szCs w:val="22"/>
              </w:rPr>
              <w:t>2024年8月28日</w:t>
            </w:r>
          </w:p>
        </w:tc>
        <w:tc>
          <w:tcPr>
            <w:tcW w:w="1276" w:type="dxa"/>
            <w:vAlign w:val="center"/>
          </w:tcPr>
          <w:p w14:paraId="6BF6449D">
            <w:pPr>
              <w:jc w:val="both"/>
              <w:rPr>
                <w:rFonts w:hint="eastAsia"/>
                <w:bCs/>
                <w:color w:val="000000" w:themeColor="text1"/>
                <w14:textFill>
                  <w14:solidFill>
                    <w14:schemeClr w14:val="tx1"/>
                  </w14:solidFill>
                </w14:textFill>
              </w:rPr>
            </w:pPr>
            <w:r>
              <w:rPr>
                <w:rFonts w:hint="eastAsia"/>
                <w:color w:val="000000"/>
                <w:szCs w:val="21"/>
              </w:rPr>
              <w:t>调减募集资金投资金额</w:t>
            </w:r>
          </w:p>
        </w:tc>
        <w:tc>
          <w:tcPr>
            <w:tcW w:w="1276" w:type="dxa"/>
            <w:vAlign w:val="center"/>
          </w:tcPr>
          <w:p w14:paraId="61B3220F">
            <w:pPr>
              <w:jc w:val="right"/>
              <w:rPr>
                <w:rFonts w:ascii="Arial Narrow" w:hAnsi="Arial Narrow"/>
                <w:bCs/>
              </w:rPr>
            </w:pPr>
            <w:r>
              <w:rPr>
                <w:rFonts w:ascii="Arial Narrow" w:hAnsi="Arial Narrow"/>
                <w:color w:val="000000"/>
                <w:szCs w:val="21"/>
              </w:rPr>
              <w:t>7,000.00</w:t>
            </w:r>
          </w:p>
        </w:tc>
        <w:tc>
          <w:tcPr>
            <w:tcW w:w="1134" w:type="dxa"/>
            <w:vAlign w:val="center"/>
          </w:tcPr>
          <w:p w14:paraId="302E905D">
            <w:pPr>
              <w:jc w:val="right"/>
              <w:rPr>
                <w:rFonts w:ascii="Arial Narrow" w:hAnsi="Arial Narrow"/>
                <w:bCs/>
              </w:rPr>
            </w:pPr>
            <w:r>
              <w:rPr>
                <w:rFonts w:ascii="Arial Narrow" w:hAnsi="Arial Narrow"/>
                <w:color w:val="000000"/>
                <w:szCs w:val="21"/>
              </w:rPr>
              <w:t>2,740.84</w:t>
            </w:r>
          </w:p>
        </w:tc>
        <w:tc>
          <w:tcPr>
            <w:tcW w:w="1417" w:type="dxa"/>
            <w:shd w:val="clear" w:color="auto" w:fill="auto"/>
            <w:vAlign w:val="center"/>
          </w:tcPr>
          <w:p w14:paraId="0564FD61">
            <w:pPr>
              <w:jc w:val="both"/>
              <w:rPr>
                <w:rFonts w:hint="eastAsia"/>
                <w:bCs/>
              </w:rPr>
            </w:pPr>
            <w:r>
              <w:rPr>
                <w:rFonts w:hint="eastAsia"/>
                <w:color w:val="000000"/>
                <w:szCs w:val="21"/>
              </w:rPr>
              <w:t>年产2500吨特种尼龙66长丝中试线建设项目</w:t>
            </w:r>
          </w:p>
        </w:tc>
        <w:tc>
          <w:tcPr>
            <w:tcW w:w="2410" w:type="dxa"/>
            <w:shd w:val="clear" w:color="auto" w:fill="auto"/>
            <w:noWrap/>
            <w:vAlign w:val="center"/>
          </w:tcPr>
          <w:p w14:paraId="0E59318E">
            <w:pPr>
              <w:jc w:val="both"/>
              <w:rPr>
                <w:rFonts w:hint="eastAsia"/>
                <w:bCs/>
              </w:rPr>
            </w:pPr>
            <w:r>
              <w:rPr>
                <w:rFonts w:hint="eastAsia"/>
                <w:bCs/>
              </w:rPr>
              <w:t>原项目系公司结合当时市场环境、行业发展趋势及公司实际情况等因素制定,受宏观经济环境和行业竞争态势变化等多方面因素影响，公司结合市场动态变化和公司战略规划，从公司和全体股东利益出发，对原项目进行调整。本次变更后的新项目测算经济效益良好，符合公司的长期发展目标。</w:t>
            </w:r>
          </w:p>
        </w:tc>
        <w:tc>
          <w:tcPr>
            <w:tcW w:w="850" w:type="dxa"/>
            <w:vAlign w:val="center"/>
          </w:tcPr>
          <w:p w14:paraId="0ECEDAB9">
            <w:pPr>
              <w:jc w:val="both"/>
              <w:rPr>
                <w:rFonts w:hint="eastAsia"/>
                <w:bCs/>
              </w:rPr>
            </w:pPr>
            <w:r>
              <w:rPr>
                <w:rFonts w:hint="eastAsia"/>
                <w:bCs/>
              </w:rPr>
              <w:t>0</w:t>
            </w:r>
          </w:p>
        </w:tc>
        <w:tc>
          <w:tcPr>
            <w:tcW w:w="3402" w:type="dxa"/>
            <w:shd w:val="clear" w:color="auto" w:fill="auto"/>
            <w:vAlign w:val="center"/>
          </w:tcPr>
          <w:p w14:paraId="2E3554AF">
            <w:pPr>
              <w:jc w:val="both"/>
              <w:rPr>
                <w:rFonts w:hint="eastAsia"/>
                <w:bCs/>
              </w:rPr>
            </w:pPr>
            <w:r>
              <w:rPr>
                <w:rFonts w:hint="eastAsia"/>
                <w:bCs/>
              </w:rPr>
              <w:t>1、公司于2024年8月27日召开第六届董事会第四次会议及第六届监事会第三次会议，审议通过了关于《变更部分募集资金投资项目》的议案，并于2024年8月28日披露 《关于部分募集资金投资项目变更及延期的公告》。</w:t>
            </w:r>
          </w:p>
          <w:p w14:paraId="30A99F49">
            <w:pPr>
              <w:jc w:val="both"/>
              <w:rPr>
                <w:rFonts w:hint="eastAsia"/>
                <w:bCs/>
              </w:rPr>
            </w:pPr>
            <w:r>
              <w:rPr>
                <w:rFonts w:hint="eastAsia"/>
                <w:bCs/>
              </w:rPr>
              <w:t>2、公司于2024年12月23日召开第二次临时股东大会，审议通过了关于《变更部分募集资金投资项目》的议案，并于2024年12月24日披露《2024年第二次临时股东大会决议公告》。</w:t>
            </w:r>
          </w:p>
        </w:tc>
      </w:tr>
      <w:tr w14:paraId="7214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318" w:type="dxa"/>
            <w:shd w:val="clear" w:color="auto" w:fill="auto"/>
            <w:vAlign w:val="center"/>
          </w:tcPr>
          <w:p w14:paraId="20A0F3E4">
            <w:pPr>
              <w:jc w:val="both"/>
              <w:rPr>
                <w:rFonts w:hint="eastAsia"/>
                <w:bCs/>
              </w:rPr>
            </w:pPr>
            <w:r>
              <w:rPr>
                <w:rFonts w:hint="eastAsia" w:ascii="等线" w:hAnsi="等线" w:eastAsia="等线"/>
                <w:color w:val="000000"/>
                <w:sz w:val="22"/>
                <w:szCs w:val="22"/>
              </w:rPr>
              <w:t>际华服装智能化生产线改造</w:t>
            </w:r>
          </w:p>
        </w:tc>
        <w:tc>
          <w:tcPr>
            <w:tcW w:w="1087" w:type="dxa"/>
            <w:vAlign w:val="center"/>
          </w:tcPr>
          <w:p w14:paraId="59B93E07">
            <w:pPr>
              <w:jc w:val="both"/>
              <w:rPr>
                <w:rFonts w:hint="eastAsia"/>
                <w:bCs/>
              </w:rPr>
            </w:pPr>
            <w:r>
              <w:rPr>
                <w:rFonts w:hint="eastAsia" w:ascii="等线" w:hAnsi="等线" w:eastAsia="等线"/>
                <w:color w:val="000000"/>
                <w:sz w:val="22"/>
                <w:szCs w:val="22"/>
              </w:rPr>
              <w:t>2024年8月28日</w:t>
            </w:r>
          </w:p>
        </w:tc>
        <w:tc>
          <w:tcPr>
            <w:tcW w:w="1276" w:type="dxa"/>
            <w:vAlign w:val="center"/>
          </w:tcPr>
          <w:p w14:paraId="328D8855">
            <w:pPr>
              <w:jc w:val="both"/>
              <w:rPr>
                <w:rFonts w:hint="eastAsia"/>
                <w:color w:val="000000" w:themeColor="text1"/>
                <w14:textFill>
                  <w14:solidFill>
                    <w14:schemeClr w14:val="tx1"/>
                  </w14:solidFill>
                </w14:textFill>
              </w:rPr>
            </w:pPr>
            <w:r>
              <w:rPr>
                <w:rFonts w:hint="eastAsia"/>
                <w:color w:val="000000"/>
                <w:szCs w:val="21"/>
              </w:rPr>
              <w:t>调减募集资金投资金额</w:t>
            </w:r>
          </w:p>
        </w:tc>
        <w:tc>
          <w:tcPr>
            <w:tcW w:w="1276" w:type="dxa"/>
            <w:vAlign w:val="center"/>
          </w:tcPr>
          <w:p w14:paraId="7AB3ED08">
            <w:pPr>
              <w:jc w:val="right"/>
              <w:rPr>
                <w:rFonts w:ascii="Arial Narrow" w:hAnsi="Arial Narrow"/>
                <w:bCs/>
              </w:rPr>
            </w:pPr>
            <w:r>
              <w:rPr>
                <w:rFonts w:ascii="Arial Narrow" w:hAnsi="Arial Narrow"/>
                <w:color w:val="000000"/>
                <w:szCs w:val="21"/>
              </w:rPr>
              <w:t>25,224.85</w:t>
            </w:r>
          </w:p>
        </w:tc>
        <w:tc>
          <w:tcPr>
            <w:tcW w:w="1134" w:type="dxa"/>
            <w:vAlign w:val="center"/>
          </w:tcPr>
          <w:p w14:paraId="63994909">
            <w:pPr>
              <w:jc w:val="right"/>
              <w:rPr>
                <w:rFonts w:ascii="Arial Narrow" w:hAnsi="Arial Narrow"/>
                <w:bCs/>
              </w:rPr>
            </w:pPr>
            <w:r>
              <w:rPr>
                <w:rFonts w:ascii="Arial Narrow" w:hAnsi="Arial Narrow"/>
                <w:color w:val="000000"/>
                <w:szCs w:val="21"/>
              </w:rPr>
              <w:t>7,835.05</w:t>
            </w:r>
          </w:p>
        </w:tc>
        <w:tc>
          <w:tcPr>
            <w:tcW w:w="1417" w:type="dxa"/>
            <w:shd w:val="clear" w:color="auto" w:fill="auto"/>
            <w:vAlign w:val="center"/>
          </w:tcPr>
          <w:p w14:paraId="0A93C54D">
            <w:pPr>
              <w:jc w:val="both"/>
              <w:rPr>
                <w:rFonts w:hint="eastAsia"/>
                <w:bCs/>
              </w:rPr>
            </w:pPr>
            <w:r>
              <w:rPr>
                <w:rFonts w:hint="eastAsia"/>
                <w:color w:val="000000"/>
                <w:szCs w:val="21"/>
              </w:rPr>
              <w:t>2.83万锭智能纺纱生产线改造项目</w:t>
            </w:r>
          </w:p>
        </w:tc>
        <w:tc>
          <w:tcPr>
            <w:tcW w:w="2410" w:type="dxa"/>
            <w:shd w:val="clear" w:color="auto" w:fill="auto"/>
            <w:noWrap/>
            <w:vAlign w:val="center"/>
          </w:tcPr>
          <w:p w14:paraId="6204C515">
            <w:pPr>
              <w:jc w:val="both"/>
              <w:rPr>
                <w:rFonts w:hint="eastAsia"/>
                <w:bCs/>
              </w:rPr>
            </w:pPr>
            <w:r>
              <w:rPr>
                <w:rFonts w:hint="eastAsia"/>
                <w:bCs/>
              </w:rPr>
              <w:t>原项目系公司结合当时市场环境、行业发展趋势及公司实际情况等因素制定,受宏观经济环境和行业竞争态势变化等多方面因素影响，公司结合市场动态变化和公司战略规划，从公司和全体股东利益出发，对原项目进行调整。本次变更后的新项目测算经济效益良好，符合公司的长期发展目标。</w:t>
            </w:r>
          </w:p>
        </w:tc>
        <w:tc>
          <w:tcPr>
            <w:tcW w:w="850" w:type="dxa"/>
            <w:vAlign w:val="center"/>
          </w:tcPr>
          <w:p w14:paraId="6C09939D">
            <w:pPr>
              <w:jc w:val="both"/>
              <w:rPr>
                <w:rFonts w:hint="eastAsia"/>
                <w:bCs/>
              </w:rPr>
            </w:pPr>
            <w:r>
              <w:rPr>
                <w:rFonts w:hint="eastAsia"/>
                <w:bCs/>
              </w:rPr>
              <w:t>0</w:t>
            </w:r>
          </w:p>
        </w:tc>
        <w:tc>
          <w:tcPr>
            <w:tcW w:w="3402" w:type="dxa"/>
            <w:shd w:val="clear" w:color="auto" w:fill="auto"/>
            <w:vAlign w:val="center"/>
          </w:tcPr>
          <w:p w14:paraId="2C06808E">
            <w:pPr>
              <w:jc w:val="both"/>
              <w:rPr>
                <w:rFonts w:hint="eastAsia"/>
                <w:bCs/>
              </w:rPr>
            </w:pPr>
            <w:r>
              <w:rPr>
                <w:rFonts w:hint="eastAsia"/>
                <w:bCs/>
              </w:rPr>
              <w:t>1、公司于2024年8月27日召开第六届董事会第四次会议及第六届监事会第三次会议，审议通过了关于《变更部分募集资金投资项目》的议案，并于2024年8月28日披露 《关于部分募集资金投资项目变更及延期的公告》。</w:t>
            </w:r>
          </w:p>
          <w:p w14:paraId="4670D7D5">
            <w:pPr>
              <w:jc w:val="both"/>
              <w:rPr>
                <w:rFonts w:hint="eastAsia"/>
                <w:bCs/>
              </w:rPr>
            </w:pPr>
            <w:r>
              <w:rPr>
                <w:rFonts w:hint="eastAsia"/>
                <w:bCs/>
              </w:rPr>
              <w:t>2、公司于2024年12月23日召开第二次临时股东大会，审议通过了关于《变更部分募集资金投资项目》的议案，并于2024年12月24日披露《2024年第二次临时股东大会决议公告》。</w:t>
            </w:r>
          </w:p>
        </w:tc>
      </w:tr>
    </w:tbl>
    <w:p w14:paraId="06EDA668">
      <w:pPr>
        <w:rPr>
          <w:rFonts w:hint="eastAsia"/>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注：“2025年3月21日，经公司2025年第一次临时股东大会批准，终止“际华长春目的地中心项目一期二阶段”、“重庆际华目的地中心项目一期二阶段”及“际华园·长春目的地中心一期项目二阶段”项目，并将剩余募集资金39,870.64万元（不含利息）永久补充流动资金。</w:t>
      </w:r>
    </w:p>
    <w:bookmarkEnd w:id="131"/>
    <w:bookmarkEnd w:id="138"/>
    <w:p w14:paraId="66158EB7">
      <w:pPr>
        <w:rPr>
          <w:rFonts w:hint="eastAsia"/>
          <w:color w:val="000000" w:themeColor="text1"/>
          <w14:textFill>
            <w14:solidFill>
              <w14:schemeClr w14:val="tx1"/>
            </w14:solidFill>
          </w14:textFill>
        </w:rPr>
      </w:pPr>
    </w:p>
    <w:p w14:paraId="6410DF64">
      <w:pPr>
        <w:rPr>
          <w:rFonts w:hint="eastAsia"/>
          <w:color w:val="000000" w:themeColor="text1"/>
          <w14:textFill>
            <w14:solidFill>
              <w14:schemeClr w14:val="tx1"/>
            </w14:solidFill>
          </w14:textFill>
        </w:rPr>
        <w:sectPr>
          <w:pgSz w:w="16838" w:h="11906" w:orient="landscape"/>
          <w:pgMar w:top="1797" w:right="1525" w:bottom="1276" w:left="1440" w:header="855" w:footer="992" w:gutter="0"/>
          <w:cols w:space="425" w:num="1"/>
          <w:docGrid w:linePitch="312" w:charSpace="0"/>
        </w:sectPr>
      </w:pPr>
    </w:p>
    <w:bookmarkEnd w:id="125"/>
    <w:bookmarkEnd w:id="132"/>
    <w:p w14:paraId="7656E228">
      <w:pPr>
        <w:pStyle w:val="4"/>
        <w:numPr>
          <w:ilvl w:val="0"/>
          <w:numId w:val="67"/>
        </w:numPr>
        <w:tabs>
          <w:tab w:val="left" w:pos="360"/>
        </w:tabs>
        <w:ind w:left="450" w:hanging="450"/>
        <w:rPr>
          <w:rFonts w:hint="eastAsia" w:ascii="宋体" w:hAnsi="宋体"/>
          <w:color w:val="000000" w:themeColor="text1"/>
          <w14:textFill>
            <w14:solidFill>
              <w14:schemeClr w14:val="tx1"/>
            </w14:solidFill>
          </w14:textFill>
        </w:rPr>
      </w:pPr>
      <w:bookmarkStart w:id="139" w:name="_Hlk106701941"/>
      <w:r>
        <w:rPr>
          <w:rFonts w:hint="eastAsia" w:ascii="宋体" w:hAnsi="宋体"/>
          <w:color w:val="000000" w:themeColor="text1"/>
          <w14:textFill>
            <w14:solidFill>
              <w14:schemeClr w14:val="tx1"/>
            </w14:solidFill>
          </w14:textFill>
        </w:rPr>
        <w:t>报告期内募集资金使用的其他情况</w:t>
      </w:r>
    </w:p>
    <w:p w14:paraId="7E2F08C5">
      <w:pPr>
        <w:pStyle w:val="5"/>
        <w:numPr>
          <w:ilvl w:val="0"/>
          <w:numId w:val="69"/>
        </w:numPr>
        <w:tabs>
          <w:tab w:val="left" w:pos="360"/>
        </w:tabs>
        <w:ind w:left="0" w:firstLine="0"/>
        <w:rPr>
          <w:rFonts w:hint="eastAsia"/>
          <w:b w:val="0"/>
          <w:color w:val="000000" w:themeColor="text1"/>
          <w14:textFill>
            <w14:solidFill>
              <w14:schemeClr w14:val="tx1"/>
            </w14:solidFill>
          </w14:textFill>
        </w:rPr>
      </w:pPr>
      <w:bookmarkStart w:id="140" w:name="_Hlk90391881"/>
      <w:r>
        <w:rPr>
          <w:rFonts w:hint="eastAsia"/>
          <w:b w:val="0"/>
          <w:color w:val="000000" w:themeColor="text1"/>
          <w14:textFill>
            <w14:solidFill>
              <w14:schemeClr w14:val="tx1"/>
            </w14:solidFill>
          </w14:textFill>
        </w:rPr>
        <w:t>募集资金投资项目先期投入及置换情况</w:t>
      </w:r>
    </w:p>
    <w:sdt>
      <w:sdtPr>
        <w:rPr>
          <w:color w:val="000000" w:themeColor="text1"/>
          <w14:textFill>
            <w14:solidFill>
              <w14:schemeClr w14:val="tx1"/>
            </w14:solidFill>
          </w14:textFill>
        </w:rPr>
        <w:alias w:val="是否适用：募集资金投资项目先期投入及置换情况[双击切换]"/>
        <w:tag w:val="_GBC_b06d44c662884677b070104fc12a6377"/>
        <w:id w:val="1796715535"/>
        <w:placeholder>
          <w:docPart w:val="GBC22222222222222222222222222222"/>
        </w:placeholder>
      </w:sdtPr>
      <w:sdtEndPr>
        <w:rPr>
          <w:color w:val="000000" w:themeColor="text1"/>
          <w14:textFill>
            <w14:solidFill>
              <w14:schemeClr w14:val="tx1"/>
            </w14:solidFill>
          </w14:textFill>
        </w:rPr>
      </w:sdtEndPr>
      <w:sdtContent>
        <w:p w14:paraId="0DC56997">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69708FCF">
      <w:pPr>
        <w:rPr>
          <w:rFonts w:hint="eastAsia"/>
          <w:color w:val="000000" w:themeColor="text1"/>
          <w14:textFill>
            <w14:solidFill>
              <w14:schemeClr w14:val="tx1"/>
            </w14:solidFill>
          </w14:textFill>
        </w:rPr>
      </w:pPr>
    </w:p>
    <w:bookmarkEnd w:id="140"/>
    <w:p w14:paraId="1E49DCC1">
      <w:pPr>
        <w:pStyle w:val="5"/>
        <w:numPr>
          <w:ilvl w:val="0"/>
          <w:numId w:val="69"/>
        </w:numPr>
        <w:tabs>
          <w:tab w:val="left" w:pos="360"/>
        </w:tabs>
        <w:ind w:left="0" w:firstLine="0"/>
        <w:rPr>
          <w:rFonts w:hint="eastAsia"/>
          <w:b w:val="0"/>
          <w:color w:val="000000" w:themeColor="text1"/>
          <w14:textFill>
            <w14:solidFill>
              <w14:schemeClr w14:val="tx1"/>
            </w14:solidFill>
          </w14:textFill>
        </w:rPr>
      </w:pPr>
      <w:bookmarkStart w:id="141" w:name="_Hlk90391885"/>
      <w:r>
        <w:rPr>
          <w:rFonts w:hint="eastAsia"/>
          <w:b w:val="0"/>
          <w:color w:val="000000" w:themeColor="text1"/>
          <w14:textFill>
            <w14:solidFill>
              <w14:schemeClr w14:val="tx1"/>
            </w14:solidFill>
          </w14:textFill>
        </w:rPr>
        <w:t>用闲置募集资金暂时补充流动资金情况</w:t>
      </w:r>
    </w:p>
    <w:sdt>
      <w:sdtPr>
        <w:rPr>
          <w:color w:val="000000" w:themeColor="text1"/>
          <w14:textFill>
            <w14:solidFill>
              <w14:schemeClr w14:val="tx1"/>
            </w14:solidFill>
          </w14:textFill>
        </w:rPr>
        <w:alias w:val="是否适用：用闲置募集资金暂时补充流动资金情况[双击切换]"/>
        <w:tag w:val="_GBC_ff43f380569e44b3a8133e22e550808e"/>
        <w:id w:val="-66660194"/>
        <w:placeholder>
          <w:docPart w:val="GBC22222222222222222222222222222"/>
        </w:placeholder>
      </w:sdtPr>
      <w:sdtEndPr>
        <w:rPr>
          <w:color w:val="000000" w:themeColor="text1"/>
          <w14:textFill>
            <w14:solidFill>
              <w14:schemeClr w14:val="tx1"/>
            </w14:solidFill>
          </w14:textFill>
        </w:rPr>
      </w:sdtEndPr>
      <w:sdtContent>
        <w:p w14:paraId="12A6A8D0">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用闲置募集资金暂时补充流动资金情况"/>
        <w:tag w:val="_GBC_9bba9299a34d4ec7b1b0b1e85f8030cc"/>
        <w:id w:val="-1863816378"/>
        <w:placeholder>
          <w:docPart w:val="GBC22222222222222222222222222222"/>
        </w:placeholder>
      </w:sdtPr>
      <w:sdtEndPr>
        <w:rPr>
          <w:color w:val="000000" w:themeColor="text1"/>
          <w14:textFill>
            <w14:solidFill>
              <w14:schemeClr w14:val="tx1"/>
            </w14:solidFill>
          </w14:textFill>
        </w:rPr>
      </w:sdtEndPr>
      <w:sdtContent>
        <w:p w14:paraId="1EA6FF18">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2023年8月17日，经公司第五届董事会第二十次会议审议通过，公司使用2017年非公开发行股票募集资金的部分闲置资金暂时补充流动资金，总额不超过10亿元，期限不超过12个月，即2023年8月17日—2024年8月16日。公司独立董事、监事会及保荐机构瑞银证券有限责任公司均发表了相关意见，并及时进行了信息披露。2024年5月10日，公司使用闲置募集资金临时补充流动资金10亿元。本公司于2024年8月13日将上述10亿元全部归还至本公司募集资金专用账户，并将该募集资金的归还情况通知本公司的保荐机构瑞银证券有限责任公司及保荐代表人，并及时进行了信息披露。</w:t>
          </w:r>
        </w:p>
      </w:sdtContent>
    </w:sdt>
    <w:p w14:paraId="0794F2CB">
      <w:pPr>
        <w:rPr>
          <w:rFonts w:hint="eastAsia"/>
          <w:color w:val="000000" w:themeColor="text1"/>
          <w14:textFill>
            <w14:solidFill>
              <w14:schemeClr w14:val="tx1"/>
            </w14:solidFill>
          </w14:textFill>
        </w:rPr>
      </w:pPr>
    </w:p>
    <w:bookmarkEnd w:id="141"/>
    <w:p w14:paraId="78331CA0">
      <w:pPr>
        <w:pStyle w:val="5"/>
        <w:numPr>
          <w:ilvl w:val="0"/>
          <w:numId w:val="69"/>
        </w:numPr>
        <w:tabs>
          <w:tab w:val="left" w:pos="360"/>
        </w:tabs>
        <w:ind w:left="0" w:firstLine="0"/>
        <w:rPr>
          <w:rFonts w:hint="eastAsia"/>
          <w:b w:val="0"/>
          <w:color w:val="000000" w:themeColor="text1"/>
          <w14:textFill>
            <w14:solidFill>
              <w14:schemeClr w14:val="tx1"/>
            </w14:solidFill>
          </w14:textFill>
        </w:rPr>
      </w:pPr>
      <w:bookmarkStart w:id="142" w:name="_Hlk90391888"/>
      <w:bookmarkStart w:id="143" w:name="_Hlk168577344"/>
      <w:r>
        <w:rPr>
          <w:rFonts w:hint="eastAsia"/>
          <w:b w:val="0"/>
          <w:color w:val="000000" w:themeColor="text1"/>
          <w14:textFill>
            <w14:solidFill>
              <w14:schemeClr w14:val="tx1"/>
            </w14:solidFill>
          </w14:textFill>
        </w:rPr>
        <w:t>对闲置募集资金进行现金管理，投资相关产品情况</w:t>
      </w:r>
    </w:p>
    <w:sdt>
      <w:sdtPr>
        <w:rPr>
          <w:color w:val="000000" w:themeColor="text1"/>
          <w14:textFill>
            <w14:solidFill>
              <w14:schemeClr w14:val="tx1"/>
            </w14:solidFill>
          </w14:textFill>
        </w:rPr>
        <w:alias w:val="是否适用：对闲置募集资金进行现金管理，投资相关产品情况[双击切换]"/>
        <w:tag w:val="_GBC_92cbbe7d67804f08b5eee0f9fcfc832c"/>
        <w:id w:val="-1554377845"/>
        <w:placeholder>
          <w:docPart w:val="GBC22222222222222222222222222222"/>
        </w:placeholder>
      </w:sdtPr>
      <w:sdtEndPr>
        <w:rPr>
          <w:color w:val="000000" w:themeColor="text1"/>
          <w14:textFill>
            <w14:solidFill>
              <w14:schemeClr w14:val="tx1"/>
            </w14:solidFill>
          </w14:textFill>
        </w:rPr>
      </w:sdtEndPr>
      <w:sdtContent>
        <w:p w14:paraId="5BDE1FE2">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6EF49697">
      <w:pPr>
        <w:rPr>
          <w:rFonts w:hint="eastAsia"/>
          <w:color w:val="000000" w:themeColor="text1"/>
          <w14:textFill>
            <w14:solidFill>
              <w14:schemeClr w14:val="tx1"/>
            </w14:solidFill>
          </w14:textFill>
        </w:rPr>
      </w:pPr>
    </w:p>
    <w:p w14:paraId="38420E33">
      <w:pPr>
        <w:rPr>
          <w:rFonts w:hint="eastAsia"/>
          <w:color w:val="000000" w:themeColor="text1"/>
          <w14:textFill>
            <w14:solidFill>
              <w14:schemeClr w14:val="tx1"/>
            </w14:solidFill>
          </w14:textFill>
        </w:rPr>
      </w:pPr>
    </w:p>
    <w:bookmarkEnd w:id="142"/>
    <w:bookmarkEnd w:id="143"/>
    <w:p w14:paraId="5927915E">
      <w:pPr>
        <w:pStyle w:val="5"/>
        <w:numPr>
          <w:ilvl w:val="0"/>
          <w:numId w:val="69"/>
        </w:numPr>
        <w:tabs>
          <w:tab w:val="left" w:pos="360"/>
        </w:tabs>
        <w:ind w:left="0" w:firstLine="0"/>
        <w:rPr>
          <w:rFonts w:hint="eastAsia"/>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募集资金使用的其他情况?[双击切换]"/>
        <w:tag w:val="_GBC_9e056ad2df86481f90515884d4d4be4c"/>
        <w:id w:val="377285097"/>
        <w:placeholder>
          <w:docPart w:val="GBC22222222222222222222222222222"/>
        </w:placeholder>
      </w:sdtPr>
      <w:sdtEndPr>
        <w:rPr>
          <w:color w:val="000000" w:themeColor="text1"/>
          <w14:textFill>
            <w14:solidFill>
              <w14:schemeClr w14:val="tx1"/>
            </w14:solidFill>
          </w14:textFill>
        </w:rPr>
      </w:sdtEndPr>
      <w:sdtContent>
        <w:p w14:paraId="5B92E50D">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2D6A0954">
      <w:pPr>
        <w:rPr>
          <w:rFonts w:hint="eastAsia"/>
          <w:color w:val="000000" w:themeColor="text1"/>
          <w14:textFill>
            <w14:solidFill>
              <w14:schemeClr w14:val="tx1"/>
            </w14:solidFill>
          </w14:textFill>
        </w:rPr>
      </w:pPr>
    </w:p>
    <w:bookmarkEnd w:id="126"/>
    <w:bookmarkEnd w:id="127"/>
    <w:bookmarkEnd w:id="128"/>
    <w:bookmarkEnd w:id="139"/>
    <w:p w14:paraId="57F49AAE">
      <w:pPr>
        <w:pStyle w:val="3"/>
        <w:numPr>
          <w:ilvl w:val="0"/>
          <w:numId w:val="51"/>
        </w:numPr>
      </w:pPr>
      <w:r>
        <w:rPr>
          <w:rFonts w:hint="eastAsia"/>
        </w:rPr>
        <w:t>其他对投资者作出价值判断和投资决策有重大影响的重大事项的说明</w:t>
      </w:r>
    </w:p>
    <w:sdt>
      <w:sdtPr>
        <w:rPr>
          <w:szCs w:val="21"/>
        </w:rPr>
        <w:alias w:val="是否适用：其他对投资者作出价值判断和投资决策有重大影响的重大事项的说明[双击切换]"/>
        <w:tag w:val="_GBC_a560f17fa4c7429db7d87dca59f4df08"/>
        <w:id w:val="-58409624"/>
        <w:placeholder>
          <w:docPart w:val="GBC22222222222222222222222222222"/>
        </w:placeholder>
      </w:sdtPr>
      <w:sdtEndPr>
        <w:rPr>
          <w:szCs w:val="21"/>
        </w:rPr>
      </w:sdtEndPr>
      <w:sdtContent>
        <w:p w14:paraId="4AD4DF3F">
          <w:pPr>
            <w:rPr>
              <w:rFonts w:hint="eastAsia"/>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3855631">
      <w:pPr>
        <w:rPr>
          <w:rFonts w:hint="eastAsia"/>
          <w:szCs w:val="21"/>
        </w:rPr>
      </w:pPr>
    </w:p>
    <w:p w14:paraId="0D487BA2">
      <w:pPr>
        <w:rPr>
          <w:rFonts w:hint="eastAsia"/>
          <w:szCs w:val="21"/>
        </w:rPr>
        <w:sectPr>
          <w:pgSz w:w="11906" w:h="16838"/>
          <w:pgMar w:top="1525" w:right="1276" w:bottom="1440" w:left="1797" w:header="855" w:footer="992" w:gutter="0"/>
          <w:cols w:space="425" w:num="1"/>
          <w:docGrid w:linePitch="312" w:charSpace="0"/>
        </w:sectPr>
      </w:pPr>
    </w:p>
    <w:bookmarkEnd w:id="102"/>
    <w:p w14:paraId="30BBA38F">
      <w:pPr>
        <w:rPr>
          <w:rFonts w:hint="eastAsia"/>
        </w:rPr>
      </w:pPr>
    </w:p>
    <w:p w14:paraId="297E7726">
      <w:pPr>
        <w:pStyle w:val="2"/>
        <w:numPr>
          <w:ilvl w:val="0"/>
          <w:numId w:val="2"/>
        </w:numPr>
      </w:pPr>
      <w:bookmarkStart w:id="144" w:name="_Toc437440713"/>
      <w:bookmarkStart w:id="145" w:name="_Toc409437607"/>
      <w:bookmarkStart w:id="146" w:name="_Toc184741580"/>
      <w:r>
        <w:rPr>
          <w:rFonts w:hint="eastAsia"/>
        </w:rPr>
        <w:t>股份变动及股东情况</w:t>
      </w:r>
    </w:p>
    <w:bookmarkEnd w:id="144"/>
    <w:bookmarkEnd w:id="145"/>
    <w:bookmarkEnd w:id="146"/>
    <w:p w14:paraId="68690AA0">
      <w:pPr>
        <w:rPr>
          <w:rFonts w:hint="eastAsia"/>
        </w:rPr>
      </w:pPr>
    </w:p>
    <w:p w14:paraId="20C990F1">
      <w:pPr>
        <w:pStyle w:val="3"/>
        <w:numPr>
          <w:ilvl w:val="0"/>
          <w:numId w:val="70"/>
        </w:numPr>
      </w:pPr>
      <w:bookmarkStart w:id="147" w:name="_Toc342565989"/>
      <w:bookmarkStart w:id="148" w:name="_Toc342059476"/>
      <w:r>
        <w:t>股</w:t>
      </w:r>
      <w:r>
        <w:rPr>
          <w:rFonts w:hint="eastAsia"/>
        </w:rPr>
        <w:t>本变动情况</w:t>
      </w:r>
      <w:bookmarkEnd w:id="147"/>
      <w:bookmarkEnd w:id="148"/>
    </w:p>
    <w:p w14:paraId="6FCA27D8">
      <w:pPr>
        <w:pStyle w:val="4"/>
        <w:numPr>
          <w:ilvl w:val="1"/>
          <w:numId w:val="71"/>
        </w:numPr>
        <w:rPr>
          <w:szCs w:val="21"/>
        </w:rPr>
      </w:pPr>
      <w:bookmarkStart w:id="149" w:name="_Toc342059477"/>
      <w:bookmarkStart w:id="150" w:name="_Toc342565990"/>
      <w:r>
        <w:rPr>
          <w:rFonts w:hint="eastAsia"/>
          <w:szCs w:val="21"/>
        </w:rPr>
        <w:t>股份变动情况表</w:t>
      </w:r>
      <w:bookmarkEnd w:id="149"/>
      <w:bookmarkEnd w:id="150"/>
    </w:p>
    <w:p w14:paraId="39676F72">
      <w:pPr>
        <w:pStyle w:val="5"/>
        <w:numPr>
          <w:ilvl w:val="2"/>
          <w:numId w:val="72"/>
        </w:numPr>
        <w:rPr>
          <w:rFonts w:hint="eastAsia"/>
        </w:rPr>
      </w:pPr>
      <w:r>
        <w:rPr>
          <w:rFonts w:hint="eastAsia"/>
        </w:rPr>
        <w:t>股份变动情况表</w:t>
      </w:r>
    </w:p>
    <w:p w14:paraId="502B4A7F">
      <w:pPr>
        <w:rPr>
          <w:rFonts w:hint="eastAsia"/>
          <w:szCs w:val="21"/>
        </w:rPr>
      </w:pPr>
      <w:r>
        <w:rPr>
          <w:rFonts w:hint="eastAsia"/>
          <w:szCs w:val="21"/>
        </w:rPr>
        <w:t>报告期内，</w:t>
      </w:r>
      <w:sdt>
        <w:sdtPr>
          <w:tag w:val="_PLD_303fb4c9f7d142ca90d4294a294b610e"/>
          <w:id w:val="-1987462003"/>
        </w:sdtPr>
        <w:sdtContent>
          <w:r>
            <w:rPr>
              <w:rFonts w:hint="eastAsia"/>
              <w:szCs w:val="21"/>
            </w:rPr>
            <w:t>公司股份总数及股本结构未发生变化。</w:t>
          </w:r>
        </w:sdtContent>
      </w:sdt>
    </w:p>
    <w:p w14:paraId="27D5BB10">
      <w:pPr>
        <w:rPr>
          <w:rFonts w:hint="eastAsia"/>
        </w:rPr>
      </w:pPr>
    </w:p>
    <w:p w14:paraId="4D760EE2">
      <w:pPr>
        <w:pStyle w:val="5"/>
        <w:numPr>
          <w:ilvl w:val="2"/>
          <w:numId w:val="72"/>
        </w:numPr>
        <w:rPr>
          <w:rFonts w:hint="eastAsia"/>
        </w:rPr>
      </w:pPr>
      <w:r>
        <w:rPr>
          <w:rFonts w:hint="eastAsia"/>
        </w:rPr>
        <w:t>股份变动情况说明</w:t>
      </w:r>
    </w:p>
    <w:sdt>
      <w:sdtPr>
        <w:rPr>
          <w:rFonts w:hint="eastAsia"/>
          <w:szCs w:val="21"/>
        </w:rPr>
        <w:alias w:val="是否适用：普通股股份变动情况说明[双击切换]"/>
        <w:tag w:val="_GBC_b52413c1d37b456ba72aa8b8840cb9d8"/>
        <w:id w:val="-602338222"/>
        <w:placeholder>
          <w:docPart w:val="GBC22222222222222222222222222222"/>
        </w:placeholder>
      </w:sdtPr>
      <w:sdtEndPr>
        <w:rPr>
          <w:rFonts w:hint="eastAsia"/>
          <w:szCs w:val="21"/>
        </w:rPr>
      </w:sdtEndPr>
      <w:sdtContent>
        <w:p w14:paraId="4525C52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50A175A">
      <w:pPr>
        <w:rPr>
          <w:rFonts w:hint="eastAsia"/>
          <w:szCs w:val="21"/>
        </w:rPr>
      </w:pPr>
    </w:p>
    <w:p w14:paraId="7F2EC6E3">
      <w:pPr>
        <w:pStyle w:val="5"/>
        <w:numPr>
          <w:ilvl w:val="2"/>
          <w:numId w:val="72"/>
        </w:numPr>
        <w:rPr>
          <w:rFonts w:hint="eastAsia"/>
        </w:rPr>
      </w:pPr>
      <w:r>
        <w:rPr>
          <w:rFonts w:hint="eastAsia"/>
        </w:rPr>
        <w:t>股份变动对最近一年和最近一期每股收益、每股净资产等财务指标的影响（如有）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336157248"/>
        <w:placeholder>
          <w:docPart w:val="GBC22222222222222222222222222222"/>
        </w:placeholder>
      </w:sdtPr>
      <w:sdtEndPr>
        <w:rPr>
          <w:rFonts w:hint="eastAsia"/>
          <w:szCs w:val="21"/>
        </w:rPr>
      </w:sdtEndPr>
      <w:sdtContent>
        <w:p w14:paraId="4090E19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12AF95B">
      <w:pPr>
        <w:rPr>
          <w:rFonts w:hint="eastAsia"/>
          <w:szCs w:val="21"/>
        </w:rPr>
      </w:pPr>
    </w:p>
    <w:p w14:paraId="38ACE4F0">
      <w:pPr>
        <w:pStyle w:val="5"/>
        <w:numPr>
          <w:ilvl w:val="2"/>
          <w:numId w:val="72"/>
        </w:numPr>
        <w:rPr>
          <w:rFonts w:hint="eastAsia"/>
        </w:rPr>
      </w:pPr>
      <w:r>
        <w:rPr>
          <w:rFonts w:hint="eastAsia"/>
        </w:rP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434172647"/>
        <w:placeholder>
          <w:docPart w:val="GBC22222222222222222222222222222"/>
        </w:placeholder>
      </w:sdtPr>
      <w:sdtEndPr>
        <w:rPr>
          <w:rFonts w:hint="eastAsia"/>
          <w:szCs w:val="21"/>
        </w:rPr>
      </w:sdtEndPr>
      <w:sdtContent>
        <w:p w14:paraId="5BD78C9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739B95F">
      <w:pPr>
        <w:rPr>
          <w:rFonts w:hint="eastAsia"/>
          <w:szCs w:val="21"/>
        </w:rPr>
      </w:pPr>
    </w:p>
    <w:p w14:paraId="7C897203">
      <w:pPr>
        <w:pStyle w:val="4"/>
        <w:numPr>
          <w:ilvl w:val="1"/>
          <w:numId w:val="71"/>
        </w:numPr>
        <w:rPr>
          <w:szCs w:val="21"/>
        </w:rPr>
      </w:pPr>
      <w:r>
        <w:rPr>
          <w:rFonts w:hint="eastAsia"/>
          <w:szCs w:val="21"/>
        </w:rPr>
        <w:t>限售股份变动情况</w:t>
      </w:r>
    </w:p>
    <w:sdt>
      <w:sdtPr>
        <w:alias w:val="是否适用：限售股份变动情况表[双击切换]"/>
        <w:tag w:val="_GBC_c7cc39830d364bf68db1ac8777908a9e"/>
        <w:id w:val="-209424285"/>
        <w:placeholder>
          <w:docPart w:val="GBC22222222222222222222222222222"/>
        </w:placeholder>
      </w:sdtPr>
      <w:sdtContent>
        <w:p w14:paraId="3FE7CAB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A587811">
      <w:pPr>
        <w:rPr>
          <w:rFonts w:hint="eastAsia"/>
        </w:rPr>
      </w:pPr>
    </w:p>
    <w:p w14:paraId="6F02F6BF">
      <w:pPr>
        <w:pStyle w:val="3"/>
        <w:numPr>
          <w:ilvl w:val="0"/>
          <w:numId w:val="70"/>
        </w:numPr>
      </w:pPr>
      <w:r>
        <w:t>证券发行与上市情况</w:t>
      </w:r>
    </w:p>
    <w:p w14:paraId="5FC0DDAB">
      <w:pPr>
        <w:pStyle w:val="4"/>
        <w:numPr>
          <w:ilvl w:val="0"/>
          <w:numId w:val="73"/>
        </w:numPr>
      </w:pPr>
      <w:bookmarkStart w:id="151" w:name="_Hlk89954403"/>
      <w:r>
        <w:t>截至</w:t>
      </w:r>
      <w:r>
        <w:rPr>
          <w:rFonts w:hint="eastAsia"/>
        </w:rPr>
        <w:t>报告期内</w:t>
      </w:r>
      <w:r>
        <w:t>证券发行情况</w:t>
      </w:r>
    </w:p>
    <w:sdt>
      <w:sdtPr>
        <w:alias w:val="是否适用：截至报告期内证券发行情况[双击切换]"/>
        <w:tag w:val="_GBC_a9b53137ff4442baa307fbc68ebc8cbc"/>
        <w:id w:val="-321894760"/>
        <w:placeholder>
          <w:docPart w:val="GBC22222222222222222222222222222"/>
        </w:placeholder>
      </w:sdtPr>
      <w:sdtContent>
        <w:p w14:paraId="0504D2B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513CDE2">
      <w:pPr>
        <w:jc w:val="right"/>
        <w:rPr>
          <w:rFonts w:hint="eastAsia"/>
          <w:szCs w:val="21"/>
        </w:rPr>
      </w:pPr>
      <w:r>
        <w:rPr>
          <w:rFonts w:hint="eastAsia"/>
          <w:szCs w:val="21"/>
        </w:rPr>
        <w:t>单位：</w:t>
      </w:r>
      <w:sdt>
        <w:sdtPr>
          <w:rPr>
            <w:rFonts w:hint="eastAsia"/>
            <w:szCs w:val="21"/>
          </w:rPr>
          <w:alias w:val="单位：报告期内证券发行情况"/>
          <w:tag w:val="_GBC_97a55af02d71449cafe4112d94324193"/>
          <w:id w:val="-1729453216"/>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rFonts w:hint="eastAsia"/>
            <w:szCs w:val="21"/>
          </w:rPr>
        </w:sdtEndPr>
        <w:sdtContent>
          <w:r>
            <w:rPr>
              <w:rFonts w:hint="eastAsia"/>
              <w:szCs w:val="21"/>
            </w:rPr>
            <w:t>股</w:t>
          </w:r>
        </w:sdtContent>
      </w:sdt>
      <w:r>
        <w:rPr>
          <w:rFonts w:hint="eastAsia"/>
          <w:szCs w:val="21"/>
        </w:rPr>
        <w:t xml:space="preserve">  币种：</w:t>
      </w:r>
      <w:sdt>
        <w:sdtPr>
          <w:rPr>
            <w:rFonts w:hint="eastAsia"/>
            <w:szCs w:val="21"/>
          </w:rPr>
          <w:alias w:val="币种：报告期内证券发行情况"/>
          <w:tag w:val="_GBC_aa3ad9c328164ecba8b95d532a53b4a9"/>
          <w:id w:val="-3057923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992"/>
        <w:gridCol w:w="990"/>
        <w:gridCol w:w="1562"/>
        <w:gridCol w:w="1087"/>
        <w:gridCol w:w="1648"/>
        <w:gridCol w:w="1131"/>
      </w:tblGrid>
      <w:tr w14:paraId="34D5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sdt>
          <w:sdtPr>
            <w:tag w:val="_PLD_213a92a011c84e099a816a5336a450cc"/>
            <w:id w:val="-954947919"/>
          </w:sdtPr>
          <w:sdtContent>
            <w:tc>
              <w:tcPr>
                <w:tcW w:w="801" w:type="pct"/>
                <w:vAlign w:val="center"/>
              </w:tcPr>
              <w:p w14:paraId="03CE1B11">
                <w:pPr>
                  <w:widowControl w:val="0"/>
                  <w:jc w:val="center"/>
                  <w:rPr>
                    <w:rFonts w:hint="eastAsia"/>
                    <w:szCs w:val="21"/>
                  </w:rPr>
                </w:pPr>
                <w:r>
                  <w:rPr>
                    <w:rFonts w:hint="eastAsia"/>
                    <w:szCs w:val="21"/>
                  </w:rPr>
                  <w:t>股票及其衍生</w:t>
                </w:r>
              </w:p>
              <w:p w14:paraId="14F104FD">
                <w:pPr>
                  <w:widowControl w:val="0"/>
                  <w:jc w:val="center"/>
                  <w:rPr>
                    <w:rFonts w:hint="eastAsia"/>
                    <w:szCs w:val="21"/>
                  </w:rPr>
                </w:pPr>
                <w:r>
                  <w:rPr>
                    <w:rFonts w:hint="eastAsia"/>
                    <w:szCs w:val="21"/>
                  </w:rPr>
                  <w:t>证券的种类</w:t>
                </w:r>
              </w:p>
            </w:tc>
          </w:sdtContent>
        </w:sdt>
        <w:sdt>
          <w:sdtPr>
            <w:tag w:val="_PLD_076b37c9bd304e8d8d919720dff5d117"/>
            <w:id w:val="747779973"/>
          </w:sdtPr>
          <w:sdtContent>
            <w:tc>
              <w:tcPr>
                <w:tcW w:w="562" w:type="pct"/>
                <w:vAlign w:val="center"/>
              </w:tcPr>
              <w:p w14:paraId="7D591F05">
                <w:pPr>
                  <w:widowControl w:val="0"/>
                  <w:jc w:val="center"/>
                  <w:rPr>
                    <w:rFonts w:hint="eastAsia"/>
                    <w:szCs w:val="21"/>
                  </w:rPr>
                </w:pPr>
                <w:r>
                  <w:rPr>
                    <w:rFonts w:hint="eastAsia"/>
                    <w:szCs w:val="21"/>
                  </w:rPr>
                  <w:t>发行日期</w:t>
                </w:r>
              </w:p>
            </w:tc>
          </w:sdtContent>
        </w:sdt>
        <w:sdt>
          <w:sdtPr>
            <w:tag w:val="_PLD_83017f683fe744abb419c10516cae3b8"/>
            <w:id w:val="886220849"/>
          </w:sdtPr>
          <w:sdtContent>
            <w:tc>
              <w:tcPr>
                <w:tcW w:w="561" w:type="pct"/>
                <w:vAlign w:val="center"/>
              </w:tcPr>
              <w:p w14:paraId="5F07FD19">
                <w:pPr>
                  <w:widowControl w:val="0"/>
                  <w:jc w:val="center"/>
                  <w:rPr>
                    <w:rFonts w:hint="eastAsia"/>
                    <w:szCs w:val="21"/>
                  </w:rPr>
                </w:pPr>
                <w:r>
                  <w:rPr>
                    <w:rFonts w:hint="eastAsia"/>
                    <w:szCs w:val="21"/>
                  </w:rPr>
                  <w:t>发行价格（或利率）</w:t>
                </w:r>
              </w:p>
            </w:tc>
          </w:sdtContent>
        </w:sdt>
        <w:sdt>
          <w:sdtPr>
            <w:tag w:val="_PLD_a83f10a8fa0e4c71a8a8294cfa2f9ed7"/>
            <w:id w:val="-964967648"/>
          </w:sdtPr>
          <w:sdtContent>
            <w:tc>
              <w:tcPr>
                <w:tcW w:w="885" w:type="pct"/>
                <w:vAlign w:val="center"/>
              </w:tcPr>
              <w:p w14:paraId="508592B4">
                <w:pPr>
                  <w:widowControl w:val="0"/>
                  <w:jc w:val="center"/>
                  <w:rPr>
                    <w:rFonts w:hint="eastAsia"/>
                    <w:szCs w:val="21"/>
                  </w:rPr>
                </w:pPr>
                <w:r>
                  <w:rPr>
                    <w:rFonts w:hint="eastAsia"/>
                    <w:szCs w:val="21"/>
                  </w:rPr>
                  <w:t>发行数量</w:t>
                </w:r>
              </w:p>
            </w:tc>
          </w:sdtContent>
        </w:sdt>
        <w:sdt>
          <w:sdtPr>
            <w:tag w:val="_PLD_0fd8e16104e242e3a87233e9722789bc"/>
            <w:id w:val="-129180567"/>
          </w:sdtPr>
          <w:sdtContent>
            <w:tc>
              <w:tcPr>
                <w:tcW w:w="616" w:type="pct"/>
                <w:vAlign w:val="center"/>
              </w:tcPr>
              <w:p w14:paraId="2F59EF70">
                <w:pPr>
                  <w:widowControl w:val="0"/>
                  <w:jc w:val="center"/>
                  <w:rPr>
                    <w:rFonts w:hint="eastAsia"/>
                    <w:szCs w:val="21"/>
                  </w:rPr>
                </w:pPr>
                <w:r>
                  <w:rPr>
                    <w:rFonts w:hint="eastAsia"/>
                    <w:szCs w:val="21"/>
                  </w:rPr>
                  <w:t>上市日期</w:t>
                </w:r>
              </w:p>
            </w:tc>
          </w:sdtContent>
        </w:sdt>
        <w:sdt>
          <w:sdtPr>
            <w:tag w:val="_PLD_83d2debad46441f6b48f45f45ef2c978"/>
            <w:id w:val="437954450"/>
          </w:sdtPr>
          <w:sdtContent>
            <w:tc>
              <w:tcPr>
                <w:tcW w:w="934" w:type="pct"/>
                <w:vAlign w:val="center"/>
              </w:tcPr>
              <w:p w14:paraId="284372AE">
                <w:pPr>
                  <w:widowControl w:val="0"/>
                  <w:jc w:val="center"/>
                  <w:rPr>
                    <w:rFonts w:hint="eastAsia"/>
                    <w:szCs w:val="21"/>
                  </w:rPr>
                </w:pPr>
                <w:r>
                  <w:rPr>
                    <w:rFonts w:hint="eastAsia"/>
                    <w:szCs w:val="21"/>
                  </w:rPr>
                  <w:t>获准上市交易数量</w:t>
                </w:r>
              </w:p>
            </w:tc>
          </w:sdtContent>
        </w:sdt>
        <w:sdt>
          <w:sdtPr>
            <w:tag w:val="_PLD_9129fdf6c81e4e5cba32093c9e2901e5"/>
            <w:id w:val="10657002"/>
          </w:sdtPr>
          <w:sdtContent>
            <w:tc>
              <w:tcPr>
                <w:tcW w:w="641" w:type="pct"/>
                <w:vAlign w:val="center"/>
              </w:tcPr>
              <w:p w14:paraId="3E9352A1">
                <w:pPr>
                  <w:widowControl w:val="0"/>
                  <w:jc w:val="center"/>
                  <w:rPr>
                    <w:rFonts w:hint="eastAsia"/>
                    <w:szCs w:val="21"/>
                  </w:rPr>
                </w:pPr>
                <w:r>
                  <w:rPr>
                    <w:rFonts w:hint="eastAsia"/>
                    <w:szCs w:val="21"/>
                  </w:rPr>
                  <w:t>交易终止日期</w:t>
                </w:r>
              </w:p>
            </w:tc>
          </w:sdtContent>
        </w:sdt>
      </w:tr>
      <w:tr w14:paraId="4430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sdt>
          <w:sdtPr>
            <w:tag w:val="_PLD_e6a7cdf4a4a6450fbd5d6a8c4c8d974e"/>
            <w:id w:val="790640761"/>
          </w:sdtPr>
          <w:sdtContent>
            <w:tc>
              <w:tcPr>
                <w:tcW w:w="5000" w:type="pct"/>
                <w:gridSpan w:val="7"/>
              </w:tcPr>
              <w:p w14:paraId="08411789">
                <w:pPr>
                  <w:widowControl w:val="0"/>
                  <w:jc w:val="both"/>
                  <w:rPr>
                    <w:rFonts w:hint="eastAsia"/>
                    <w:szCs w:val="21"/>
                  </w:rPr>
                </w:pPr>
                <w:r>
                  <w:rPr>
                    <w:rFonts w:hint="eastAsia"/>
                    <w:szCs w:val="21"/>
                  </w:rPr>
                  <w:t>普通股股票类</w:t>
                </w:r>
              </w:p>
            </w:tc>
          </w:sdtContent>
        </w:sdt>
      </w:tr>
      <w:tr w14:paraId="12C5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01" w:type="pct"/>
            <w:vAlign w:val="center"/>
          </w:tcPr>
          <w:p w14:paraId="17B2F88B">
            <w:pPr>
              <w:widowControl w:val="0"/>
              <w:jc w:val="center"/>
              <w:rPr>
                <w:rFonts w:hint="eastAsia"/>
                <w:szCs w:val="21"/>
              </w:rPr>
            </w:pPr>
            <w:r>
              <w:rPr>
                <w:rFonts w:ascii="Arial Narrow" w:hAnsi="Arial Narrow"/>
              </w:rPr>
              <w:t>普通股</w:t>
            </w:r>
          </w:p>
        </w:tc>
        <w:tc>
          <w:tcPr>
            <w:tcW w:w="562" w:type="pct"/>
            <w:vAlign w:val="center"/>
          </w:tcPr>
          <w:p w14:paraId="47F5AC8F">
            <w:pPr>
              <w:widowControl w:val="0"/>
              <w:jc w:val="center"/>
              <w:rPr>
                <w:rFonts w:hint="eastAsia"/>
                <w:szCs w:val="21"/>
              </w:rPr>
            </w:pPr>
            <w:r>
              <w:rPr>
                <w:rFonts w:ascii="Arial Narrow" w:hAnsi="Arial Narrow"/>
              </w:rPr>
              <w:t>2010/8/4</w:t>
            </w:r>
          </w:p>
        </w:tc>
        <w:tc>
          <w:tcPr>
            <w:tcW w:w="561" w:type="pct"/>
            <w:vAlign w:val="center"/>
          </w:tcPr>
          <w:p w14:paraId="36E9CF67">
            <w:pPr>
              <w:widowControl w:val="0"/>
              <w:jc w:val="center"/>
              <w:rPr>
                <w:rFonts w:hint="eastAsia"/>
                <w:szCs w:val="21"/>
              </w:rPr>
            </w:pPr>
            <w:r>
              <w:rPr>
                <w:rFonts w:ascii="Arial Narrow" w:hAnsi="Arial Narrow"/>
              </w:rPr>
              <w:t>3.50元</w:t>
            </w:r>
          </w:p>
        </w:tc>
        <w:tc>
          <w:tcPr>
            <w:tcW w:w="885" w:type="pct"/>
            <w:vAlign w:val="center"/>
          </w:tcPr>
          <w:p w14:paraId="42C67A02">
            <w:pPr>
              <w:widowControl w:val="0"/>
              <w:jc w:val="right"/>
              <w:rPr>
                <w:rFonts w:hint="eastAsia"/>
                <w:szCs w:val="21"/>
              </w:rPr>
            </w:pPr>
            <w:r>
              <w:rPr>
                <w:rFonts w:ascii="Arial Narrow" w:hAnsi="Arial Narrow"/>
              </w:rPr>
              <w:t>1,157,000,000</w:t>
            </w:r>
          </w:p>
        </w:tc>
        <w:tc>
          <w:tcPr>
            <w:tcW w:w="616" w:type="pct"/>
            <w:vAlign w:val="center"/>
          </w:tcPr>
          <w:p w14:paraId="53438587">
            <w:pPr>
              <w:widowControl w:val="0"/>
              <w:jc w:val="center"/>
              <w:rPr>
                <w:rFonts w:hint="eastAsia"/>
                <w:szCs w:val="21"/>
              </w:rPr>
            </w:pPr>
            <w:r>
              <w:rPr>
                <w:rFonts w:ascii="Arial Narrow" w:hAnsi="Arial Narrow"/>
              </w:rPr>
              <w:t>2010/8/16</w:t>
            </w:r>
          </w:p>
        </w:tc>
        <w:tc>
          <w:tcPr>
            <w:tcW w:w="934" w:type="pct"/>
            <w:vAlign w:val="center"/>
          </w:tcPr>
          <w:p w14:paraId="60666DF9">
            <w:pPr>
              <w:widowControl w:val="0"/>
              <w:jc w:val="right"/>
              <w:rPr>
                <w:rFonts w:hint="eastAsia"/>
                <w:szCs w:val="21"/>
              </w:rPr>
            </w:pPr>
            <w:r>
              <w:rPr>
                <w:rFonts w:ascii="Arial Narrow" w:hAnsi="Arial Narrow"/>
              </w:rPr>
              <w:t>3,857,000,000</w:t>
            </w:r>
          </w:p>
        </w:tc>
        <w:tc>
          <w:tcPr>
            <w:tcW w:w="641" w:type="pct"/>
            <w:vAlign w:val="center"/>
          </w:tcPr>
          <w:p w14:paraId="5495D2CE">
            <w:pPr>
              <w:widowControl w:val="0"/>
              <w:jc w:val="center"/>
              <w:rPr>
                <w:rFonts w:hint="eastAsia"/>
                <w:szCs w:val="21"/>
              </w:rPr>
            </w:pPr>
          </w:p>
        </w:tc>
      </w:tr>
      <w:tr w14:paraId="327E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01" w:type="pct"/>
            <w:vAlign w:val="center"/>
          </w:tcPr>
          <w:p w14:paraId="2D3D9EEA">
            <w:pPr>
              <w:widowControl w:val="0"/>
              <w:jc w:val="center"/>
              <w:rPr>
                <w:rFonts w:hint="eastAsia"/>
                <w:szCs w:val="21"/>
              </w:rPr>
            </w:pPr>
            <w:r>
              <w:rPr>
                <w:rFonts w:ascii="Arial Narrow" w:hAnsi="Arial Narrow"/>
              </w:rPr>
              <w:t>普通股</w:t>
            </w:r>
          </w:p>
        </w:tc>
        <w:tc>
          <w:tcPr>
            <w:tcW w:w="562" w:type="pct"/>
            <w:vAlign w:val="center"/>
          </w:tcPr>
          <w:p w14:paraId="3006460F">
            <w:pPr>
              <w:widowControl w:val="0"/>
              <w:jc w:val="center"/>
              <w:rPr>
                <w:rFonts w:hint="eastAsia"/>
                <w:szCs w:val="21"/>
              </w:rPr>
            </w:pPr>
            <w:r>
              <w:rPr>
                <w:rFonts w:ascii="Arial Narrow" w:hAnsi="Arial Narrow"/>
              </w:rPr>
              <w:t>2017/4/18</w:t>
            </w:r>
          </w:p>
        </w:tc>
        <w:tc>
          <w:tcPr>
            <w:tcW w:w="561" w:type="pct"/>
            <w:vAlign w:val="center"/>
          </w:tcPr>
          <w:p w14:paraId="7BBA7920">
            <w:pPr>
              <w:widowControl w:val="0"/>
              <w:jc w:val="center"/>
              <w:rPr>
                <w:rFonts w:hint="eastAsia"/>
                <w:szCs w:val="21"/>
              </w:rPr>
            </w:pPr>
            <w:r>
              <w:rPr>
                <w:rFonts w:ascii="Arial Narrow" w:hAnsi="Arial Narrow"/>
              </w:rPr>
              <w:t>8.19元</w:t>
            </w:r>
          </w:p>
        </w:tc>
        <w:tc>
          <w:tcPr>
            <w:tcW w:w="885" w:type="pct"/>
            <w:vAlign w:val="center"/>
          </w:tcPr>
          <w:p w14:paraId="3BC5ABFF">
            <w:pPr>
              <w:widowControl w:val="0"/>
              <w:jc w:val="right"/>
              <w:rPr>
                <w:rFonts w:hint="eastAsia"/>
                <w:szCs w:val="21"/>
              </w:rPr>
            </w:pPr>
            <w:r>
              <w:rPr>
                <w:rFonts w:ascii="Arial Narrow" w:hAnsi="Arial Narrow"/>
              </w:rPr>
              <w:t>534,629,404</w:t>
            </w:r>
          </w:p>
        </w:tc>
        <w:tc>
          <w:tcPr>
            <w:tcW w:w="616" w:type="pct"/>
            <w:vAlign w:val="center"/>
          </w:tcPr>
          <w:p w14:paraId="29643AB7">
            <w:pPr>
              <w:widowControl w:val="0"/>
              <w:jc w:val="center"/>
              <w:rPr>
                <w:rFonts w:hint="eastAsia"/>
                <w:szCs w:val="21"/>
              </w:rPr>
            </w:pPr>
            <w:r>
              <w:rPr>
                <w:rFonts w:ascii="Arial Narrow" w:hAnsi="Arial Narrow"/>
              </w:rPr>
              <w:t>2017/4/24</w:t>
            </w:r>
          </w:p>
        </w:tc>
        <w:tc>
          <w:tcPr>
            <w:tcW w:w="934" w:type="pct"/>
            <w:vAlign w:val="center"/>
          </w:tcPr>
          <w:p w14:paraId="052D5999">
            <w:pPr>
              <w:widowControl w:val="0"/>
              <w:jc w:val="right"/>
              <w:rPr>
                <w:rFonts w:hint="eastAsia"/>
                <w:szCs w:val="21"/>
              </w:rPr>
            </w:pPr>
            <w:r>
              <w:rPr>
                <w:rFonts w:ascii="Arial Narrow" w:hAnsi="Arial Narrow"/>
              </w:rPr>
              <w:t>534,629,404</w:t>
            </w:r>
          </w:p>
        </w:tc>
        <w:tc>
          <w:tcPr>
            <w:tcW w:w="641" w:type="pct"/>
            <w:vAlign w:val="center"/>
          </w:tcPr>
          <w:p w14:paraId="37D2F143">
            <w:pPr>
              <w:widowControl w:val="0"/>
              <w:jc w:val="center"/>
              <w:rPr>
                <w:rFonts w:hint="eastAsia"/>
                <w:szCs w:val="21"/>
              </w:rPr>
            </w:pPr>
          </w:p>
        </w:tc>
      </w:tr>
      <w:tr w14:paraId="6CD0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sdt>
          <w:sdtPr>
            <w:tag w:val="_PLD_514bfbdb5434469fa1d970a21740070a"/>
            <w:id w:val="-1155985373"/>
          </w:sdtPr>
          <w:sdtContent>
            <w:tc>
              <w:tcPr>
                <w:tcW w:w="5000" w:type="pct"/>
                <w:gridSpan w:val="7"/>
              </w:tcPr>
              <w:p w14:paraId="38B758A6">
                <w:pPr>
                  <w:widowControl w:val="0"/>
                  <w:jc w:val="both"/>
                  <w:rPr>
                    <w:rFonts w:hint="eastAsia"/>
                    <w:szCs w:val="21"/>
                  </w:rPr>
                </w:pPr>
                <w:r>
                  <w:rPr>
                    <w:szCs w:val="21"/>
                  </w:rPr>
                  <w:t>可转换公司债券、分离交易可转债</w:t>
                </w:r>
              </w:p>
            </w:tc>
          </w:sdtContent>
        </w:sdt>
      </w:tr>
      <w:tr w14:paraId="6E84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5000" w:type="pct"/>
            <w:gridSpan w:val="7"/>
          </w:tcPr>
          <w:p w14:paraId="2A7BE81D">
            <w:pPr>
              <w:widowControl w:val="0"/>
              <w:jc w:val="both"/>
              <w:rPr>
                <w:rFonts w:hint="eastAsia"/>
                <w:szCs w:val="21"/>
              </w:rPr>
            </w:pPr>
            <w:sdt>
              <w:sdtPr>
                <w:tag w:val="_PLD_1c6bcdb1eb604452a59144bc9389b40f"/>
                <w:id w:val="1692186403"/>
              </w:sdtPr>
              <w:sdtContent>
                <w:r>
                  <w:rPr>
                    <w:rFonts w:hint="eastAsia"/>
                    <w:szCs w:val="21"/>
                  </w:rPr>
                  <w:t>债券（包括企业债券、公司债券以及非金融企业债务融资工具）</w:t>
                </w:r>
              </w:sdtContent>
            </w:sdt>
          </w:p>
        </w:tc>
      </w:tr>
      <w:tr w14:paraId="1341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01" w:type="pct"/>
          </w:tcPr>
          <w:p w14:paraId="663BA163">
            <w:pPr>
              <w:widowControl w:val="0"/>
              <w:jc w:val="center"/>
              <w:rPr>
                <w:rFonts w:hint="eastAsia"/>
                <w:szCs w:val="21"/>
              </w:rPr>
            </w:pPr>
            <w:r>
              <w:rPr>
                <w:rFonts w:ascii="Arial Narrow" w:hAnsi="Arial Narrow" w:cs="Times New Roman"/>
                <w:kern w:val="2"/>
                <w:szCs w:val="21"/>
              </w:rPr>
              <w:t>2020年</w:t>
            </w:r>
            <w:r>
              <w:rPr>
                <w:rFonts w:ascii="Arial Narrow" w:hAnsi="Arial Narrow"/>
              </w:rPr>
              <w:t>公司债券（第一期）</w:t>
            </w:r>
          </w:p>
        </w:tc>
        <w:tc>
          <w:tcPr>
            <w:tcW w:w="562" w:type="pct"/>
            <w:vAlign w:val="center"/>
          </w:tcPr>
          <w:p w14:paraId="18AB4E13">
            <w:pPr>
              <w:widowControl w:val="0"/>
              <w:jc w:val="center"/>
              <w:rPr>
                <w:rFonts w:hint="eastAsia"/>
                <w:szCs w:val="21"/>
              </w:rPr>
            </w:pPr>
            <w:r>
              <w:rPr>
                <w:rFonts w:ascii="Arial Narrow" w:hAnsi="Arial Narrow"/>
              </w:rPr>
              <w:t>2020/6/15</w:t>
            </w:r>
          </w:p>
        </w:tc>
        <w:tc>
          <w:tcPr>
            <w:tcW w:w="561" w:type="pct"/>
            <w:vAlign w:val="center"/>
          </w:tcPr>
          <w:p w14:paraId="7EDEF315">
            <w:pPr>
              <w:widowControl w:val="0"/>
              <w:jc w:val="center"/>
              <w:rPr>
                <w:rFonts w:hint="eastAsia"/>
                <w:szCs w:val="21"/>
              </w:rPr>
            </w:pPr>
            <w:r>
              <w:rPr>
                <w:rFonts w:ascii="Arial Narrow" w:hAnsi="Arial Narrow"/>
              </w:rPr>
              <w:t>3.49%</w:t>
            </w:r>
          </w:p>
        </w:tc>
        <w:tc>
          <w:tcPr>
            <w:tcW w:w="885" w:type="pct"/>
            <w:vAlign w:val="center"/>
          </w:tcPr>
          <w:p w14:paraId="4A207812">
            <w:pPr>
              <w:widowControl w:val="0"/>
              <w:jc w:val="right"/>
              <w:rPr>
                <w:rFonts w:hint="eastAsia"/>
                <w:szCs w:val="21"/>
              </w:rPr>
            </w:pPr>
            <w:r>
              <w:rPr>
                <w:rFonts w:ascii="Arial Narrow" w:hAnsi="Arial Narrow"/>
              </w:rPr>
              <w:t>1,500,000,000</w:t>
            </w:r>
          </w:p>
        </w:tc>
        <w:tc>
          <w:tcPr>
            <w:tcW w:w="616" w:type="pct"/>
            <w:vAlign w:val="center"/>
          </w:tcPr>
          <w:p w14:paraId="5AAB25BA">
            <w:pPr>
              <w:widowControl w:val="0"/>
              <w:jc w:val="center"/>
              <w:rPr>
                <w:rFonts w:hint="eastAsia"/>
                <w:szCs w:val="21"/>
              </w:rPr>
            </w:pPr>
            <w:r>
              <w:rPr>
                <w:rFonts w:ascii="Arial Narrow" w:hAnsi="Arial Narrow"/>
              </w:rPr>
              <w:t>2020/6/19</w:t>
            </w:r>
          </w:p>
        </w:tc>
        <w:tc>
          <w:tcPr>
            <w:tcW w:w="934" w:type="pct"/>
            <w:vAlign w:val="center"/>
          </w:tcPr>
          <w:p w14:paraId="72D32C94">
            <w:pPr>
              <w:widowControl w:val="0"/>
              <w:jc w:val="right"/>
              <w:rPr>
                <w:rFonts w:hint="eastAsia"/>
                <w:szCs w:val="21"/>
              </w:rPr>
            </w:pPr>
            <w:r>
              <w:rPr>
                <w:rFonts w:ascii="Arial Narrow" w:hAnsi="Arial Narrow"/>
              </w:rPr>
              <w:t>1,500,000,000</w:t>
            </w:r>
          </w:p>
        </w:tc>
        <w:tc>
          <w:tcPr>
            <w:tcW w:w="641" w:type="pct"/>
            <w:vAlign w:val="center"/>
          </w:tcPr>
          <w:p w14:paraId="2A622C11">
            <w:pPr>
              <w:widowControl w:val="0"/>
              <w:jc w:val="center"/>
              <w:rPr>
                <w:rFonts w:hint="eastAsia"/>
                <w:szCs w:val="21"/>
              </w:rPr>
            </w:pPr>
            <w:r>
              <w:rPr>
                <w:rFonts w:ascii="Arial Narrow" w:hAnsi="Arial Narrow"/>
              </w:rPr>
              <w:t>2025/6/14</w:t>
            </w:r>
          </w:p>
        </w:tc>
      </w:tr>
      <w:tr w14:paraId="3053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01" w:type="pct"/>
          </w:tcPr>
          <w:p w14:paraId="4DA20D67">
            <w:pPr>
              <w:widowControl w:val="0"/>
              <w:jc w:val="center"/>
              <w:rPr>
                <w:rFonts w:hint="eastAsia"/>
                <w:szCs w:val="21"/>
              </w:rPr>
            </w:pPr>
            <w:r>
              <w:t>际华集团股份有限公司2023年度第一期中期票据</w:t>
            </w:r>
          </w:p>
        </w:tc>
        <w:tc>
          <w:tcPr>
            <w:tcW w:w="562" w:type="pct"/>
            <w:vAlign w:val="center"/>
          </w:tcPr>
          <w:p w14:paraId="5CE8FD03">
            <w:pPr>
              <w:widowControl w:val="0"/>
              <w:jc w:val="center"/>
              <w:rPr>
                <w:rFonts w:hint="eastAsia"/>
                <w:szCs w:val="21"/>
              </w:rPr>
            </w:pPr>
            <w:r>
              <w:rPr>
                <w:rFonts w:ascii="Arial Narrow" w:hAnsi="Arial Narrow"/>
              </w:rPr>
              <w:t>2023</w:t>
            </w:r>
            <w:r>
              <w:rPr>
                <w:rFonts w:hint="eastAsia" w:ascii="Arial Narrow" w:hAnsi="Arial Narrow"/>
              </w:rPr>
              <w:t>/</w:t>
            </w:r>
            <w:r>
              <w:rPr>
                <w:rFonts w:ascii="Arial Narrow" w:hAnsi="Arial Narrow"/>
              </w:rPr>
              <w:t>6</w:t>
            </w:r>
            <w:r>
              <w:rPr>
                <w:rFonts w:hint="eastAsia" w:ascii="Arial Narrow" w:hAnsi="Arial Narrow"/>
              </w:rPr>
              <w:t>/</w:t>
            </w:r>
            <w:r>
              <w:rPr>
                <w:rFonts w:ascii="Arial Narrow" w:hAnsi="Arial Narrow"/>
              </w:rPr>
              <w:t>1-2023</w:t>
            </w:r>
            <w:r>
              <w:rPr>
                <w:rFonts w:hint="eastAsia" w:ascii="Arial Narrow" w:hAnsi="Arial Narrow"/>
              </w:rPr>
              <w:t>/</w:t>
            </w:r>
            <w:r>
              <w:rPr>
                <w:rFonts w:ascii="Arial Narrow" w:hAnsi="Arial Narrow"/>
              </w:rPr>
              <w:t>6</w:t>
            </w:r>
            <w:r>
              <w:rPr>
                <w:rFonts w:hint="eastAsia" w:ascii="Arial Narrow" w:hAnsi="Arial Narrow"/>
              </w:rPr>
              <w:t>/</w:t>
            </w:r>
            <w:r>
              <w:rPr>
                <w:rFonts w:ascii="Arial Narrow" w:hAnsi="Arial Narrow"/>
              </w:rPr>
              <w:t>2</w:t>
            </w:r>
          </w:p>
        </w:tc>
        <w:tc>
          <w:tcPr>
            <w:tcW w:w="561" w:type="pct"/>
            <w:vAlign w:val="center"/>
          </w:tcPr>
          <w:p w14:paraId="713F38B3">
            <w:pPr>
              <w:widowControl w:val="0"/>
              <w:jc w:val="center"/>
              <w:rPr>
                <w:rFonts w:hint="eastAsia"/>
                <w:szCs w:val="21"/>
              </w:rPr>
            </w:pPr>
            <w:r>
              <w:rPr>
                <w:rFonts w:ascii="Arial Narrow" w:hAnsi="Arial Narrow"/>
              </w:rPr>
              <w:t>3.07</w:t>
            </w:r>
            <w:r>
              <w:rPr>
                <w:rFonts w:hint="eastAsia" w:ascii="Arial Narrow" w:hAnsi="Arial Narrow"/>
              </w:rPr>
              <w:t>%</w:t>
            </w:r>
          </w:p>
        </w:tc>
        <w:tc>
          <w:tcPr>
            <w:tcW w:w="885" w:type="pct"/>
            <w:vAlign w:val="center"/>
          </w:tcPr>
          <w:p w14:paraId="216F185A">
            <w:pPr>
              <w:widowControl w:val="0"/>
              <w:jc w:val="right"/>
              <w:rPr>
                <w:rFonts w:hint="eastAsia"/>
                <w:szCs w:val="21"/>
              </w:rPr>
            </w:pPr>
            <w:r>
              <w:rPr>
                <w:rFonts w:hint="eastAsia" w:ascii="Arial Narrow" w:hAnsi="Arial Narrow"/>
              </w:rPr>
              <w:t>500,000,000</w:t>
            </w:r>
          </w:p>
        </w:tc>
        <w:tc>
          <w:tcPr>
            <w:tcW w:w="616" w:type="pct"/>
            <w:vAlign w:val="center"/>
          </w:tcPr>
          <w:p w14:paraId="3E05E8C5">
            <w:pPr>
              <w:widowControl w:val="0"/>
              <w:jc w:val="center"/>
              <w:rPr>
                <w:rFonts w:hint="eastAsia"/>
                <w:szCs w:val="21"/>
              </w:rPr>
            </w:pPr>
            <w:r>
              <w:rPr>
                <w:rFonts w:ascii="Arial Narrow" w:hAnsi="Arial Narrow"/>
              </w:rPr>
              <w:t>2023</w:t>
            </w:r>
            <w:r>
              <w:rPr>
                <w:rFonts w:hint="eastAsia" w:ascii="Arial Narrow" w:hAnsi="Arial Narrow"/>
              </w:rPr>
              <w:t>/</w:t>
            </w:r>
            <w:r>
              <w:rPr>
                <w:rFonts w:ascii="Arial Narrow" w:hAnsi="Arial Narrow"/>
              </w:rPr>
              <w:t>6</w:t>
            </w:r>
            <w:r>
              <w:rPr>
                <w:rFonts w:hint="eastAsia" w:ascii="Arial Narrow" w:hAnsi="Arial Narrow"/>
              </w:rPr>
              <w:t>/</w:t>
            </w:r>
            <w:r>
              <w:rPr>
                <w:rFonts w:ascii="Arial Narrow" w:hAnsi="Arial Narrow"/>
              </w:rPr>
              <w:t>5</w:t>
            </w:r>
          </w:p>
        </w:tc>
        <w:tc>
          <w:tcPr>
            <w:tcW w:w="934" w:type="pct"/>
            <w:vAlign w:val="center"/>
          </w:tcPr>
          <w:p w14:paraId="03BFB0A0">
            <w:pPr>
              <w:widowControl w:val="0"/>
              <w:jc w:val="right"/>
              <w:rPr>
                <w:rFonts w:hint="eastAsia"/>
                <w:szCs w:val="21"/>
              </w:rPr>
            </w:pPr>
            <w:r>
              <w:rPr>
                <w:rFonts w:hint="eastAsia" w:ascii="Arial Narrow" w:hAnsi="Arial Narrow"/>
              </w:rPr>
              <w:t>500,000,000</w:t>
            </w:r>
          </w:p>
        </w:tc>
        <w:tc>
          <w:tcPr>
            <w:tcW w:w="641" w:type="pct"/>
            <w:vAlign w:val="center"/>
          </w:tcPr>
          <w:p w14:paraId="6BE7A28B">
            <w:pPr>
              <w:widowControl w:val="0"/>
              <w:jc w:val="center"/>
              <w:rPr>
                <w:rFonts w:hint="eastAsia"/>
                <w:szCs w:val="21"/>
              </w:rPr>
            </w:pPr>
            <w:r>
              <w:rPr>
                <w:rFonts w:ascii="Arial Narrow" w:hAnsi="Arial Narrow"/>
              </w:rPr>
              <w:t>202</w:t>
            </w:r>
            <w:r>
              <w:rPr>
                <w:rFonts w:hint="eastAsia" w:ascii="Arial Narrow" w:hAnsi="Arial Narrow"/>
              </w:rPr>
              <w:t>6</w:t>
            </w:r>
            <w:r>
              <w:rPr>
                <w:rFonts w:ascii="Arial Narrow" w:hAnsi="Arial Narrow"/>
              </w:rPr>
              <w:t>/6/</w:t>
            </w:r>
            <w:r>
              <w:rPr>
                <w:rFonts w:hint="eastAsia" w:ascii="Arial Narrow" w:hAnsi="Arial Narrow"/>
              </w:rPr>
              <w:t>5</w:t>
            </w:r>
          </w:p>
        </w:tc>
      </w:tr>
    </w:tbl>
    <w:p w14:paraId="71D2FE79">
      <w:pPr>
        <w:rPr>
          <w:rFonts w:hint="eastAsia"/>
          <w:szCs w:val="21"/>
        </w:rPr>
      </w:pPr>
    </w:p>
    <w:p w14:paraId="1ED25ED8">
      <w:pPr>
        <w:rPr>
          <w:rFonts w:hint="eastAsia"/>
          <w:szCs w:val="21"/>
        </w:rPr>
      </w:pPr>
    </w:p>
    <w:p w14:paraId="46796550">
      <w:pPr>
        <w:rPr>
          <w:rFonts w:hint="eastAsia"/>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2055916272"/>
        <w:placeholder>
          <w:docPart w:val="GBC22222222222222222222222222222"/>
        </w:placeholder>
      </w:sdtPr>
      <w:sdtEndPr>
        <w:rPr>
          <w:rFonts w:hint="eastAsia"/>
          <w:szCs w:val="21"/>
        </w:rPr>
      </w:sdtEndPr>
      <w:sdtContent>
        <w:p w14:paraId="3A30838E">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证券发行情况的说明"/>
        <w:tag w:val="_GBC_554181dc253a4fa496d2a732435f9c84"/>
        <w:id w:val="174009361"/>
        <w:placeholder>
          <w:docPart w:val="GBC22222222222222222222222222222"/>
        </w:placeholder>
      </w:sdtPr>
      <w:sdtEndPr>
        <w:rPr>
          <w:rFonts w:hint="eastAsia"/>
          <w:szCs w:val="21"/>
        </w:rPr>
      </w:sdtEndPr>
      <w:sdtContent>
        <w:p w14:paraId="7233C217">
          <w:pPr>
            <w:rPr>
              <w:rFonts w:hint="eastAsia"/>
              <w:szCs w:val="21"/>
            </w:rPr>
          </w:pPr>
          <w:r>
            <w:rPr>
              <w:rFonts w:hint="eastAsia"/>
              <w:szCs w:val="21"/>
            </w:rPr>
            <w:t xml:space="preserve">    根据《际华集团股份有限公司公开发行</w:t>
          </w:r>
          <w:r>
            <w:rPr>
              <w:szCs w:val="21"/>
            </w:rPr>
            <w:t>2020年公司债券（第一期）募集说明书</w:t>
          </w:r>
          <w:r>
            <w:rPr>
              <w:rFonts w:hint="eastAsia"/>
              <w:szCs w:val="21"/>
            </w:rPr>
            <w:t>》中约定的发行人调整票面利率选择权，“20际华</w:t>
          </w:r>
          <w:r>
            <w:rPr>
              <w:szCs w:val="21"/>
            </w:rPr>
            <w:t>01”票面利率在存续期前3年固定不变，公司有权在存续期间的第3年末行使票面利率选择权，“</w:t>
          </w:r>
          <w:r>
            <w:rPr>
              <w:rFonts w:hint="eastAsia"/>
              <w:szCs w:val="21"/>
            </w:rPr>
            <w:t>20际华</w:t>
          </w:r>
          <w:r>
            <w:rPr>
              <w:szCs w:val="21"/>
            </w:rPr>
            <w:t>01”在存续期前3年票面利率为</w:t>
          </w:r>
          <w:r>
            <w:rPr>
              <w:rFonts w:hint="eastAsia"/>
              <w:szCs w:val="21"/>
            </w:rPr>
            <w:t>3.49</w:t>
          </w:r>
          <w:r>
            <w:rPr>
              <w:szCs w:val="21"/>
            </w:rPr>
            <w:t>%，在存续期的第3年末，根据市场环境，公司决定下调“</w:t>
          </w:r>
          <w:r>
            <w:rPr>
              <w:rFonts w:hint="eastAsia"/>
              <w:szCs w:val="21"/>
            </w:rPr>
            <w:t>20际华</w:t>
          </w:r>
          <w:r>
            <w:rPr>
              <w:szCs w:val="21"/>
            </w:rPr>
            <w:t>01”的票面利率</w:t>
          </w:r>
          <w:r>
            <w:rPr>
              <w:rFonts w:hint="eastAsia"/>
              <w:szCs w:val="21"/>
            </w:rPr>
            <w:t>89个基点，即“20际华</w:t>
          </w:r>
          <w:r>
            <w:rPr>
              <w:szCs w:val="21"/>
            </w:rPr>
            <w:t>01”存续期后2年的票面利率为2.</w:t>
          </w:r>
          <w:r>
            <w:rPr>
              <w:rFonts w:hint="eastAsia"/>
              <w:szCs w:val="21"/>
            </w:rPr>
            <w:t>60</w:t>
          </w:r>
          <w:r>
            <w:rPr>
              <w:szCs w:val="21"/>
            </w:rPr>
            <w:t>%，并在其存续期后2年固定不变。</w:t>
          </w:r>
        </w:p>
      </w:sdtContent>
    </w:sdt>
    <w:bookmarkEnd w:id="151"/>
    <w:p w14:paraId="46A9CE96">
      <w:pPr>
        <w:rPr>
          <w:rFonts w:hint="eastAsia"/>
          <w:szCs w:val="21"/>
        </w:rPr>
      </w:pPr>
    </w:p>
    <w:p w14:paraId="7B672F6C">
      <w:pPr>
        <w:pStyle w:val="4"/>
        <w:numPr>
          <w:ilvl w:val="0"/>
          <w:numId w:val="73"/>
        </w:numPr>
      </w:pPr>
      <w:r>
        <w:rPr>
          <w:rFonts w:hint="eastAsia"/>
          <w:szCs w:val="21"/>
        </w:rPr>
        <w:t>公司股份总数及股东结构变动及公司资产和负债结构的变动情况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450713163"/>
        <w:placeholder>
          <w:docPart w:val="GBC22222222222222222222222222222"/>
        </w:placeholder>
      </w:sdtPr>
      <w:sdtEndPr>
        <w:rPr>
          <w:rFonts w:hint="eastAsia"/>
          <w:szCs w:val="21"/>
        </w:rPr>
      </w:sdtEndPr>
      <w:sdtContent>
        <w:p w14:paraId="409347C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D34AB53">
      <w:pPr>
        <w:rPr>
          <w:rFonts w:hint="eastAsia"/>
          <w:szCs w:val="21"/>
        </w:rPr>
      </w:pPr>
    </w:p>
    <w:p w14:paraId="189D84CB">
      <w:pPr>
        <w:pStyle w:val="4"/>
        <w:numPr>
          <w:ilvl w:val="0"/>
          <w:numId w:val="73"/>
        </w:numPr>
      </w:pPr>
      <w:r>
        <w:rPr>
          <w:rFonts w:hint="eastAsia"/>
          <w:szCs w:val="21"/>
        </w:rPr>
        <w:t>现存的内部职工股情况</w:t>
      </w:r>
    </w:p>
    <w:sdt>
      <w:sdtPr>
        <w:alias w:val="是否适用：现存的内部职工股情况[双击切换]"/>
        <w:tag w:val="_GBC_fa5e90226e14408b891f1c5a9dbbf2c5"/>
        <w:id w:val="-130940668"/>
        <w:placeholder>
          <w:docPart w:val="GBC22222222222222222222222222222"/>
        </w:placeholder>
      </w:sdtPr>
      <w:sdtContent>
        <w:p w14:paraId="6DFC1A1D">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B82B77A">
      <w:pPr>
        <w:rPr>
          <w:rFonts w:hint="eastAsia"/>
        </w:rPr>
      </w:pPr>
    </w:p>
    <w:p w14:paraId="60C5C7B8">
      <w:pPr>
        <w:pStyle w:val="3"/>
        <w:numPr>
          <w:ilvl w:val="0"/>
          <w:numId w:val="70"/>
        </w:numPr>
      </w:pPr>
      <w:r>
        <w:t>股东</w:t>
      </w:r>
      <w:r>
        <w:rPr>
          <w:rFonts w:hint="eastAsia"/>
        </w:rPr>
        <w:t>和实际控制人</w:t>
      </w:r>
      <w:r>
        <w:t>情况</w:t>
      </w:r>
    </w:p>
    <w:p w14:paraId="50C49F01">
      <w:pPr>
        <w:pStyle w:val="4"/>
        <w:numPr>
          <w:ilvl w:val="1"/>
          <w:numId w:val="74"/>
        </w:numPr>
        <w:tabs>
          <w:tab w:val="left" w:pos="851"/>
        </w:tabs>
        <w:ind w:left="426" w:hanging="426"/>
        <w:rPr>
          <w:szCs w:val="21"/>
        </w:rPr>
      </w:pPr>
      <w:r>
        <w:rPr>
          <w:rFonts w:hint="eastAsia"/>
          <w:szCs w:val="21"/>
        </w:rPr>
        <w:t>股东总数</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9"/>
        <w:gridCol w:w="2874"/>
      </w:tblGrid>
      <w:tr w14:paraId="4F69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4738880649c43ac9597effd663adc10"/>
            <w:id w:val="1100215548"/>
          </w:sdtPr>
          <w:sdtContent>
            <w:tc>
              <w:tcPr>
                <w:tcW w:w="5949" w:type="dxa"/>
              </w:tcPr>
              <w:p w14:paraId="2214B797">
                <w:pPr>
                  <w:widowControl w:val="0"/>
                  <w:jc w:val="both"/>
                  <w:rPr>
                    <w:rFonts w:hint="eastAsia"/>
                    <w:szCs w:val="21"/>
                  </w:rPr>
                </w:pPr>
                <w:r>
                  <w:rPr>
                    <w:szCs w:val="21"/>
                  </w:rPr>
                  <w:t>截</w:t>
                </w:r>
                <w:r>
                  <w:rPr>
                    <w:rFonts w:hint="eastAsia"/>
                    <w:szCs w:val="21"/>
                  </w:rPr>
                  <w:t>至</w:t>
                </w:r>
                <w:r>
                  <w:rPr>
                    <w:szCs w:val="21"/>
                  </w:rPr>
                  <w:t>报告期末</w:t>
                </w:r>
                <w:r>
                  <w:rPr>
                    <w:rFonts w:hint="eastAsia"/>
                    <w:szCs w:val="21"/>
                  </w:rPr>
                  <w:t>普通股</w:t>
                </w:r>
                <w:r>
                  <w:rPr>
                    <w:szCs w:val="21"/>
                  </w:rPr>
                  <w:t>股东总数(户)</w:t>
                </w:r>
              </w:p>
            </w:tc>
          </w:sdtContent>
        </w:sdt>
        <w:sdt>
          <w:sdtPr>
            <w:rPr>
              <w:rFonts w:ascii="Arial Narrow" w:hAnsi="Arial Narrow"/>
              <w:szCs w:val="21"/>
            </w:rPr>
            <w:alias w:val="报告期末股东总数"/>
            <w:tag w:val="_GBC_510087fb1e024fb293d32127713e45f8"/>
            <w:id w:val="-714728694"/>
          </w:sdtPr>
          <w:sdtEndPr>
            <w:rPr>
              <w:rFonts w:ascii="Arial Narrow" w:hAnsi="Arial Narrow"/>
              <w:szCs w:val="21"/>
            </w:rPr>
          </w:sdtEndPr>
          <w:sdtContent>
            <w:tc>
              <w:tcPr>
                <w:tcW w:w="2874" w:type="dxa"/>
              </w:tcPr>
              <w:p w14:paraId="0FD3E79C">
                <w:pPr>
                  <w:widowControl w:val="0"/>
                  <w:jc w:val="right"/>
                  <w:rPr>
                    <w:rFonts w:ascii="Arial Narrow" w:hAnsi="Arial Narrow"/>
                    <w:szCs w:val="21"/>
                  </w:rPr>
                </w:pPr>
                <w:r>
                  <w:rPr>
                    <w:rFonts w:ascii="Arial Narrow" w:hAnsi="Arial Narrow"/>
                    <w:szCs w:val="21"/>
                  </w:rPr>
                  <w:t>110,308</w:t>
                </w:r>
              </w:p>
            </w:tc>
          </w:sdtContent>
        </w:sdt>
      </w:tr>
      <w:tr w14:paraId="355C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14:paraId="0DBD1C31">
            <w:pPr>
              <w:widowControl w:val="0"/>
              <w:jc w:val="both"/>
              <w:rPr>
                <w:rFonts w:hint="eastAsia"/>
                <w:szCs w:val="21"/>
              </w:rPr>
            </w:pPr>
            <w:r>
              <w:rPr>
                <w:rFonts w:hint="eastAsia"/>
                <w:szCs w:val="21"/>
              </w:rPr>
              <w:t>年度报告披露日前上一月末的普通股股东总数</w:t>
            </w:r>
            <w:r>
              <w:rPr>
                <w:szCs w:val="21"/>
              </w:rPr>
              <w:t>(户)</w:t>
            </w:r>
          </w:p>
        </w:tc>
        <w:tc>
          <w:tcPr>
            <w:tcW w:w="2874" w:type="dxa"/>
          </w:tcPr>
          <w:p w14:paraId="2AEF31F5">
            <w:pPr>
              <w:widowControl w:val="0"/>
              <w:jc w:val="right"/>
              <w:rPr>
                <w:rFonts w:ascii="Arial Narrow" w:hAnsi="Arial Narrow"/>
                <w:szCs w:val="21"/>
              </w:rPr>
            </w:pPr>
            <w:r>
              <w:rPr>
                <w:rFonts w:ascii="Arial Narrow" w:hAnsi="Arial Narrow"/>
                <w:szCs w:val="21"/>
              </w:rPr>
              <w:t>109,318</w:t>
            </w:r>
          </w:p>
        </w:tc>
      </w:tr>
      <w:tr w14:paraId="4AA2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14:paraId="32E80062">
            <w:pPr>
              <w:widowControl w:val="0"/>
              <w:jc w:val="both"/>
              <w:rPr>
                <w:rFonts w:hint="eastAsia"/>
                <w:szCs w:val="21"/>
              </w:rPr>
            </w:pPr>
            <w:r>
              <w:rPr>
                <w:rFonts w:hint="eastAsia"/>
                <w:szCs w:val="21"/>
              </w:rPr>
              <w:t>截至报告期末表决权恢复的优先股股东总数（户）</w:t>
            </w:r>
          </w:p>
        </w:tc>
        <w:tc>
          <w:tcPr>
            <w:tcW w:w="2874" w:type="dxa"/>
          </w:tcPr>
          <w:p w14:paraId="09638998">
            <w:pPr>
              <w:widowControl w:val="0"/>
              <w:jc w:val="right"/>
              <w:rPr>
                <w:rFonts w:ascii="Arial Narrow" w:hAnsi="Arial Narrow"/>
                <w:szCs w:val="21"/>
              </w:rPr>
            </w:pPr>
            <w:r>
              <w:rPr>
                <w:rFonts w:ascii="Arial Narrow" w:hAnsi="Arial Narrow"/>
                <w:szCs w:val="21"/>
              </w:rPr>
              <w:t>0</w:t>
            </w:r>
          </w:p>
        </w:tc>
      </w:tr>
      <w:tr w14:paraId="62C5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9" w:type="dxa"/>
          </w:tcPr>
          <w:p w14:paraId="4E4FB761">
            <w:pPr>
              <w:widowControl w:val="0"/>
              <w:jc w:val="both"/>
              <w:rPr>
                <w:rFonts w:hint="eastAsia"/>
                <w:szCs w:val="21"/>
              </w:rPr>
            </w:pPr>
            <w:r>
              <w:rPr>
                <w:rFonts w:hint="eastAsia"/>
                <w:szCs w:val="21"/>
              </w:rPr>
              <w:t>年度报告披露日前上一月末表决权恢复的优先股股东总数（户）</w:t>
            </w:r>
          </w:p>
        </w:tc>
        <w:tc>
          <w:tcPr>
            <w:tcW w:w="2874" w:type="dxa"/>
          </w:tcPr>
          <w:p w14:paraId="633AD336">
            <w:pPr>
              <w:widowControl w:val="0"/>
              <w:jc w:val="right"/>
              <w:rPr>
                <w:rFonts w:ascii="Arial Narrow" w:hAnsi="Arial Narrow"/>
                <w:szCs w:val="21"/>
              </w:rPr>
            </w:pPr>
            <w:r>
              <w:rPr>
                <w:rFonts w:ascii="Arial Narrow" w:hAnsi="Arial Narrow"/>
              </w:rPr>
              <w:t>0</w:t>
            </w:r>
          </w:p>
        </w:tc>
      </w:tr>
    </w:tbl>
    <w:p w14:paraId="540BB46E">
      <w:pPr>
        <w:rPr>
          <w:rFonts w:hint="eastAsia"/>
          <w:szCs w:val="21"/>
        </w:rPr>
      </w:pPr>
    </w:p>
    <w:p w14:paraId="73235496">
      <w:pPr>
        <w:rPr>
          <w:rFonts w:hint="eastAsia"/>
          <w:szCs w:val="21"/>
        </w:rPr>
      </w:pPr>
    </w:p>
    <w:p w14:paraId="1A9CD0A8">
      <w:pPr>
        <w:pStyle w:val="4"/>
        <w:numPr>
          <w:ilvl w:val="1"/>
          <w:numId w:val="74"/>
        </w:numPr>
        <w:tabs>
          <w:tab w:val="left" w:pos="851"/>
        </w:tabs>
        <w:ind w:left="426" w:hanging="426"/>
        <w:rPr>
          <w:szCs w:val="21"/>
        </w:rPr>
      </w:pPr>
      <w:bookmarkStart w:id="152" w:name="_Hlk27487213"/>
      <w:r>
        <w:rPr>
          <w:rFonts w:hint="eastAsia"/>
          <w:szCs w:val="21"/>
        </w:rPr>
        <w:t>截至报告期末前十名股东、前十名流通股东（或无限售条件股东）持股情况表</w:t>
      </w:r>
    </w:p>
    <w:p w14:paraId="0CFD8916">
      <w:pPr>
        <w:jc w:val="right"/>
        <w:rPr>
          <w:rFonts w:hint="eastAsia"/>
          <w:szCs w:val="21"/>
        </w:rPr>
      </w:pPr>
      <w:r>
        <w:rPr>
          <w:bCs/>
          <w:szCs w:val="21"/>
        </w:rPr>
        <w:t>单位：</w:t>
      </w:r>
      <w:sdt>
        <w:sdtPr>
          <w:rPr>
            <w:bCs/>
            <w:szCs w:val="21"/>
          </w:rPr>
          <w:alias w:val="单位：前十名股东持股情况"/>
          <w:tag w:val="_GBC_b59e95c09d914c83b42ae5b68d0d6987"/>
          <w:id w:val="-1876764092"/>
          <w:comboBox>
            <w:listItem w:displayText="股" w:value="1"/>
            <w:listItem w:displayText="千股" w:value="1000"/>
            <w:listItem w:displayText="万股" w:value="10000"/>
            <w:listItem w:displayText="百万股" w:value="1000000"/>
            <w:listItem w:displayText="亿股" w:value="100000000"/>
          </w:comboBox>
        </w:sdtPr>
        <w:sdtEndPr>
          <w:rPr>
            <w:bCs/>
            <w:szCs w:val="21"/>
          </w:rPr>
        </w:sdtEndPr>
        <w:sdtContent>
          <w:r>
            <w:rPr>
              <w:bCs/>
              <w:szCs w:val="21"/>
            </w:rPr>
            <w:t>股</w:t>
          </w:r>
        </w:sdtContent>
      </w:sdt>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1141"/>
        <w:gridCol w:w="1458"/>
        <w:gridCol w:w="770"/>
        <w:gridCol w:w="957"/>
        <w:gridCol w:w="1084"/>
        <w:gridCol w:w="255"/>
        <w:gridCol w:w="343"/>
        <w:gridCol w:w="1141"/>
      </w:tblGrid>
      <w:tr w14:paraId="6A17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sdt>
          <w:sdtPr>
            <w:tag w:val="_PLD_12180439b5ff4b00a01ff1f87b70f1de"/>
            <w:id w:val="-553466821"/>
          </w:sdtPr>
          <w:sdtContent>
            <w:tc>
              <w:tcPr>
                <w:tcW w:w="0" w:type="auto"/>
                <w:gridSpan w:val="9"/>
                <w:shd w:val="clear" w:color="auto" w:fill="auto"/>
                <w:vAlign w:val="center"/>
              </w:tcPr>
              <w:p w14:paraId="7580D27A">
                <w:pPr>
                  <w:pStyle w:val="15"/>
                  <w:jc w:val="center"/>
                  <w:rPr>
                    <w:rFonts w:hint="eastAsia" w:ascii="宋体" w:hAnsi="宋体"/>
                  </w:rPr>
                </w:pPr>
                <w:r>
                  <w:rPr>
                    <w:rFonts w:ascii="宋体" w:hAnsi="宋体"/>
                  </w:rPr>
                  <w:t>前十名股东持股情况</w:t>
                </w:r>
                <w:r>
                  <w:rPr>
                    <w:rFonts w:hint="eastAsia" w:ascii="宋体" w:hAnsi="宋体"/>
                  </w:rPr>
                  <w:t>（不含通过转融通出借股份）</w:t>
                </w:r>
              </w:p>
            </w:tc>
          </w:sdtContent>
        </w:sdt>
      </w:tr>
      <w:tr w14:paraId="7310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sdt>
          <w:sdtPr>
            <w:tag w:val="_PLD_4e40ad86e5ee4c0cb28f819aa3924fb2"/>
            <w:id w:val="1795550040"/>
          </w:sdtPr>
          <w:sdtContent>
            <w:tc>
              <w:tcPr>
                <w:tcW w:w="0" w:type="auto"/>
                <w:vMerge w:val="restart"/>
                <w:shd w:val="clear" w:color="auto" w:fill="auto"/>
                <w:vAlign w:val="center"/>
              </w:tcPr>
              <w:p w14:paraId="23F2C0B9">
                <w:pPr>
                  <w:jc w:val="center"/>
                  <w:rPr>
                    <w:rFonts w:hint="eastAsia"/>
                    <w:szCs w:val="21"/>
                  </w:rPr>
                </w:pPr>
                <w:r>
                  <w:rPr>
                    <w:szCs w:val="21"/>
                  </w:rPr>
                  <w:t>股东名称</w:t>
                </w:r>
              </w:p>
              <w:p w14:paraId="32D847BC">
                <w:pPr>
                  <w:jc w:val="center"/>
                  <w:rPr>
                    <w:rFonts w:hint="eastAsia"/>
                    <w:szCs w:val="21"/>
                  </w:rPr>
                </w:pPr>
                <w:r>
                  <w:rPr>
                    <w:rFonts w:hint="eastAsia"/>
                    <w:szCs w:val="21"/>
                  </w:rPr>
                  <w:t>（全称）</w:t>
                </w:r>
              </w:p>
            </w:tc>
          </w:sdtContent>
        </w:sdt>
        <w:sdt>
          <w:sdtPr>
            <w:tag w:val="_PLD_587b672a54ed4481b14f0963f010aefb"/>
            <w:id w:val="-250895139"/>
          </w:sdtPr>
          <w:sdtContent>
            <w:tc>
              <w:tcPr>
                <w:tcW w:w="0" w:type="auto"/>
                <w:vMerge w:val="restart"/>
                <w:shd w:val="clear" w:color="auto" w:fill="auto"/>
                <w:vAlign w:val="center"/>
              </w:tcPr>
              <w:p w14:paraId="2E44B890">
                <w:pPr>
                  <w:jc w:val="center"/>
                  <w:rPr>
                    <w:rFonts w:hint="eastAsia"/>
                    <w:szCs w:val="21"/>
                  </w:rPr>
                </w:pPr>
                <w:r>
                  <w:rPr>
                    <w:szCs w:val="21"/>
                  </w:rPr>
                  <w:t>报告期内增减</w:t>
                </w:r>
              </w:p>
            </w:tc>
          </w:sdtContent>
        </w:sdt>
        <w:sdt>
          <w:sdtPr>
            <w:tag w:val="_PLD_580f25e9dfa24c1d91f3845b6a6a42e5"/>
            <w:id w:val="574397712"/>
          </w:sdtPr>
          <w:sdtContent>
            <w:tc>
              <w:tcPr>
                <w:tcW w:w="0" w:type="auto"/>
                <w:vMerge w:val="restart"/>
                <w:shd w:val="clear" w:color="auto" w:fill="auto"/>
                <w:vAlign w:val="center"/>
              </w:tcPr>
              <w:p w14:paraId="1D6927CF">
                <w:pPr>
                  <w:jc w:val="center"/>
                  <w:rPr>
                    <w:rFonts w:hint="eastAsia"/>
                    <w:szCs w:val="21"/>
                  </w:rPr>
                </w:pPr>
                <w:r>
                  <w:rPr>
                    <w:szCs w:val="21"/>
                  </w:rPr>
                  <w:t>期末持股数量</w:t>
                </w:r>
              </w:p>
            </w:tc>
          </w:sdtContent>
        </w:sdt>
        <w:sdt>
          <w:sdtPr>
            <w:tag w:val="_PLD_e80658c5388c4bb0871489372e62334d"/>
            <w:id w:val="-1027014227"/>
          </w:sdtPr>
          <w:sdtContent>
            <w:tc>
              <w:tcPr>
                <w:tcW w:w="0" w:type="auto"/>
                <w:vMerge w:val="restart"/>
                <w:shd w:val="clear" w:color="auto" w:fill="auto"/>
                <w:vAlign w:val="center"/>
              </w:tcPr>
              <w:p w14:paraId="6628EC37">
                <w:pPr>
                  <w:jc w:val="center"/>
                  <w:rPr>
                    <w:rFonts w:hint="eastAsia"/>
                    <w:szCs w:val="21"/>
                  </w:rPr>
                </w:pPr>
                <w:r>
                  <w:rPr>
                    <w:szCs w:val="21"/>
                  </w:rPr>
                  <w:t>比例(%)</w:t>
                </w:r>
              </w:p>
            </w:tc>
          </w:sdtContent>
        </w:sdt>
        <w:sdt>
          <w:sdtPr>
            <w:tag w:val="_PLD_0ed52eb839784cb0ab83b1692dc8b283"/>
            <w:id w:val="-1977754070"/>
          </w:sdtPr>
          <w:sdtContent>
            <w:tc>
              <w:tcPr>
                <w:tcW w:w="0" w:type="auto"/>
                <w:vMerge w:val="restart"/>
                <w:shd w:val="clear" w:color="auto" w:fill="auto"/>
                <w:vAlign w:val="center"/>
              </w:tcPr>
              <w:p w14:paraId="4AFAE6C7">
                <w:pPr>
                  <w:pStyle w:val="10"/>
                  <w:rPr>
                    <w:rFonts w:hint="eastAsia" w:ascii="宋体" w:hAnsi="宋体"/>
                    <w:bCs/>
                    <w:color w:val="00B050"/>
                  </w:rPr>
                </w:pPr>
                <w:r>
                  <w:rPr>
                    <w:rFonts w:ascii="宋体" w:hAnsi="宋体"/>
                    <w:bCs/>
                  </w:rPr>
                  <w:t>持有有限售条件股份数量</w:t>
                </w:r>
              </w:p>
            </w:tc>
          </w:sdtContent>
        </w:sdt>
        <w:sdt>
          <w:sdtPr>
            <w:tag w:val="_PLD_6d0fce9e7c914a578f4702348340f346"/>
            <w:id w:val="-1884786785"/>
          </w:sdtPr>
          <w:sdtContent>
            <w:tc>
              <w:tcPr>
                <w:tcW w:w="0" w:type="auto"/>
                <w:gridSpan w:val="3"/>
                <w:shd w:val="clear" w:color="auto" w:fill="auto"/>
                <w:vAlign w:val="center"/>
              </w:tcPr>
              <w:p w14:paraId="1674303F">
                <w:pPr>
                  <w:jc w:val="center"/>
                  <w:rPr>
                    <w:rFonts w:hint="eastAsia"/>
                    <w:szCs w:val="21"/>
                  </w:rPr>
                </w:pPr>
                <w:r>
                  <w:rPr>
                    <w:szCs w:val="21"/>
                  </w:rPr>
                  <w:t>质押</w:t>
                </w:r>
                <w:r>
                  <w:rPr>
                    <w:rFonts w:hint="eastAsia"/>
                    <w:szCs w:val="21"/>
                  </w:rPr>
                  <w:t>、标记</w:t>
                </w:r>
                <w:r>
                  <w:rPr>
                    <w:szCs w:val="21"/>
                  </w:rPr>
                  <w:t>或冻结情况</w:t>
                </w:r>
              </w:p>
            </w:tc>
          </w:sdtContent>
        </w:sdt>
        <w:sdt>
          <w:sdtPr>
            <w:tag w:val="_PLD_57b1e0d0ab2d4113aada0c0394d1589d"/>
            <w:id w:val="-1968805343"/>
          </w:sdtPr>
          <w:sdtContent>
            <w:tc>
              <w:tcPr>
                <w:tcW w:w="0" w:type="auto"/>
                <w:vMerge w:val="restart"/>
                <w:shd w:val="clear" w:color="auto" w:fill="auto"/>
                <w:vAlign w:val="center"/>
              </w:tcPr>
              <w:p w14:paraId="026B8D19">
                <w:pPr>
                  <w:jc w:val="center"/>
                  <w:rPr>
                    <w:rFonts w:hint="eastAsia"/>
                    <w:szCs w:val="21"/>
                  </w:rPr>
                </w:pPr>
                <w:r>
                  <w:rPr>
                    <w:szCs w:val="21"/>
                  </w:rPr>
                  <w:t>股东性质</w:t>
                </w:r>
              </w:p>
            </w:tc>
          </w:sdtContent>
        </w:sdt>
      </w:tr>
      <w:tr w14:paraId="7F36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0" w:type="auto"/>
            <w:vMerge w:val="continue"/>
            <w:tcBorders>
              <w:bottom w:val="single" w:color="auto" w:sz="4" w:space="0"/>
            </w:tcBorders>
            <w:shd w:val="clear" w:color="auto" w:fill="auto"/>
            <w:vAlign w:val="center"/>
          </w:tcPr>
          <w:p w14:paraId="62899380">
            <w:pPr>
              <w:jc w:val="center"/>
              <w:rPr>
                <w:rFonts w:hint="eastAsia"/>
                <w:szCs w:val="21"/>
              </w:rPr>
            </w:pPr>
          </w:p>
        </w:tc>
        <w:tc>
          <w:tcPr>
            <w:tcW w:w="0" w:type="auto"/>
            <w:vMerge w:val="continue"/>
            <w:tcBorders>
              <w:bottom w:val="single" w:color="auto" w:sz="4" w:space="0"/>
            </w:tcBorders>
            <w:shd w:val="clear" w:color="auto" w:fill="auto"/>
            <w:vAlign w:val="center"/>
          </w:tcPr>
          <w:p w14:paraId="52EC7CD3">
            <w:pPr>
              <w:jc w:val="center"/>
              <w:rPr>
                <w:rFonts w:hint="eastAsia"/>
                <w:szCs w:val="21"/>
              </w:rPr>
            </w:pPr>
          </w:p>
        </w:tc>
        <w:tc>
          <w:tcPr>
            <w:tcW w:w="0" w:type="auto"/>
            <w:vMerge w:val="continue"/>
            <w:tcBorders>
              <w:bottom w:val="single" w:color="auto" w:sz="4" w:space="0"/>
            </w:tcBorders>
            <w:shd w:val="clear" w:color="auto" w:fill="auto"/>
            <w:vAlign w:val="center"/>
          </w:tcPr>
          <w:p w14:paraId="557D96FF">
            <w:pPr>
              <w:jc w:val="center"/>
              <w:rPr>
                <w:rFonts w:hint="eastAsia"/>
                <w:szCs w:val="21"/>
              </w:rPr>
            </w:pPr>
          </w:p>
        </w:tc>
        <w:tc>
          <w:tcPr>
            <w:tcW w:w="0" w:type="auto"/>
            <w:vMerge w:val="continue"/>
            <w:tcBorders>
              <w:bottom w:val="single" w:color="auto" w:sz="4" w:space="0"/>
            </w:tcBorders>
            <w:shd w:val="clear" w:color="auto" w:fill="auto"/>
            <w:vAlign w:val="center"/>
          </w:tcPr>
          <w:p w14:paraId="4E16A780">
            <w:pPr>
              <w:jc w:val="center"/>
              <w:rPr>
                <w:rFonts w:hint="eastAsia"/>
                <w:szCs w:val="21"/>
              </w:rPr>
            </w:pPr>
          </w:p>
        </w:tc>
        <w:tc>
          <w:tcPr>
            <w:tcW w:w="0" w:type="auto"/>
            <w:vMerge w:val="continue"/>
            <w:tcBorders>
              <w:bottom w:val="single" w:color="auto" w:sz="4" w:space="0"/>
            </w:tcBorders>
            <w:shd w:val="clear" w:color="auto" w:fill="auto"/>
            <w:vAlign w:val="center"/>
          </w:tcPr>
          <w:p w14:paraId="5624C4CC">
            <w:pPr>
              <w:jc w:val="center"/>
              <w:rPr>
                <w:rFonts w:hint="eastAsia"/>
                <w:szCs w:val="21"/>
              </w:rPr>
            </w:pPr>
          </w:p>
        </w:tc>
        <w:sdt>
          <w:sdtPr>
            <w:tag w:val="_PLD_72b090b1925c46349c7beb3ca6c0032f"/>
            <w:id w:val="-735015533"/>
          </w:sdtPr>
          <w:sdtContent>
            <w:tc>
              <w:tcPr>
                <w:tcW w:w="0" w:type="auto"/>
                <w:tcBorders>
                  <w:bottom w:val="single" w:color="auto" w:sz="4" w:space="0"/>
                </w:tcBorders>
                <w:shd w:val="clear" w:color="auto" w:fill="auto"/>
                <w:vAlign w:val="center"/>
              </w:tcPr>
              <w:p w14:paraId="5B9EA425">
                <w:pPr>
                  <w:jc w:val="center"/>
                  <w:rPr>
                    <w:rFonts w:hint="eastAsia"/>
                    <w:szCs w:val="21"/>
                  </w:rPr>
                </w:pPr>
                <w:r>
                  <w:rPr>
                    <w:szCs w:val="21"/>
                  </w:rPr>
                  <w:t>股份状态</w:t>
                </w:r>
              </w:p>
            </w:tc>
          </w:sdtContent>
        </w:sdt>
        <w:sdt>
          <w:sdtPr>
            <w:tag w:val="_PLD_76e0ca0392384ff795b7613d764041da"/>
            <w:id w:val="-1893035557"/>
          </w:sdtPr>
          <w:sdtContent>
            <w:tc>
              <w:tcPr>
                <w:tcW w:w="0" w:type="auto"/>
                <w:gridSpan w:val="2"/>
                <w:tcBorders>
                  <w:bottom w:val="single" w:color="auto" w:sz="4" w:space="0"/>
                </w:tcBorders>
                <w:shd w:val="clear" w:color="auto" w:fill="auto"/>
                <w:vAlign w:val="center"/>
              </w:tcPr>
              <w:p w14:paraId="700BF7B4">
                <w:pPr>
                  <w:jc w:val="center"/>
                  <w:rPr>
                    <w:rFonts w:hint="eastAsia"/>
                    <w:szCs w:val="21"/>
                  </w:rPr>
                </w:pPr>
                <w:r>
                  <w:rPr>
                    <w:szCs w:val="21"/>
                  </w:rPr>
                  <w:t>数量</w:t>
                </w:r>
              </w:p>
            </w:tc>
          </w:sdtContent>
        </w:sdt>
        <w:tc>
          <w:tcPr>
            <w:tcW w:w="0" w:type="auto"/>
            <w:vMerge w:val="continue"/>
            <w:shd w:val="clear" w:color="auto" w:fill="auto"/>
            <w:vAlign w:val="center"/>
          </w:tcPr>
          <w:p w14:paraId="162AB38C">
            <w:pPr>
              <w:jc w:val="center"/>
              <w:rPr>
                <w:rFonts w:hint="eastAsia"/>
                <w:szCs w:val="21"/>
              </w:rPr>
            </w:pPr>
          </w:p>
        </w:tc>
      </w:tr>
      <w:tr w14:paraId="59F5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7241A59E">
            <w:pPr>
              <w:jc w:val="both"/>
              <w:rPr>
                <w:rFonts w:hint="eastAsia"/>
                <w:szCs w:val="21"/>
              </w:rPr>
            </w:pPr>
            <w:r>
              <w:rPr>
                <w:rFonts w:hint="eastAsia"/>
              </w:rPr>
              <w:t>新兴际华集团有限公司</w:t>
            </w:r>
          </w:p>
        </w:tc>
        <w:tc>
          <w:tcPr>
            <w:tcW w:w="0" w:type="auto"/>
            <w:shd w:val="clear" w:color="auto" w:fill="auto"/>
            <w:vAlign w:val="center"/>
          </w:tcPr>
          <w:p w14:paraId="5B7B899F">
            <w:pPr>
              <w:jc w:val="right"/>
              <w:rPr>
                <w:rFonts w:ascii="Arial Narrow" w:hAnsi="Arial Narrow"/>
                <w:szCs w:val="21"/>
              </w:rPr>
            </w:pPr>
            <w:r>
              <w:rPr>
                <w:rFonts w:ascii="Arial Narrow" w:hAnsi="Arial Narrow"/>
              </w:rPr>
              <w:t>-</w:t>
            </w:r>
          </w:p>
        </w:tc>
        <w:tc>
          <w:tcPr>
            <w:tcW w:w="0" w:type="auto"/>
            <w:shd w:val="clear" w:color="auto" w:fill="auto"/>
            <w:vAlign w:val="center"/>
          </w:tcPr>
          <w:p w14:paraId="2D5B6FE8">
            <w:pPr>
              <w:jc w:val="right"/>
              <w:rPr>
                <w:rFonts w:ascii="Arial Narrow" w:hAnsi="Arial Narrow"/>
                <w:szCs w:val="21"/>
              </w:rPr>
            </w:pPr>
            <w:r>
              <w:rPr>
                <w:rFonts w:ascii="Arial Narrow" w:hAnsi="Arial Narrow"/>
              </w:rPr>
              <w:t>2,000,662,591</w:t>
            </w:r>
          </w:p>
        </w:tc>
        <w:tc>
          <w:tcPr>
            <w:tcW w:w="0" w:type="auto"/>
            <w:shd w:val="clear" w:color="auto" w:fill="auto"/>
            <w:vAlign w:val="center"/>
          </w:tcPr>
          <w:p w14:paraId="27E0D446">
            <w:pPr>
              <w:jc w:val="right"/>
              <w:rPr>
                <w:rFonts w:ascii="Arial Narrow" w:hAnsi="Arial Narrow"/>
                <w:szCs w:val="21"/>
              </w:rPr>
            </w:pPr>
            <w:r>
              <w:rPr>
                <w:rFonts w:ascii="Arial Narrow" w:hAnsi="Arial Narrow"/>
              </w:rPr>
              <w:t>45.56</w:t>
            </w:r>
          </w:p>
        </w:tc>
        <w:tc>
          <w:tcPr>
            <w:tcW w:w="0" w:type="auto"/>
            <w:shd w:val="clear" w:color="auto" w:fill="auto"/>
            <w:vAlign w:val="center"/>
          </w:tcPr>
          <w:p w14:paraId="773C55B9">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498044703"/>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60B1814F">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14BA8B25">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06024135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5378BCF1">
                <w:pPr>
                  <w:jc w:val="both"/>
                  <w:rPr>
                    <w:rFonts w:hint="eastAsia"/>
                    <w:color w:val="FF9900"/>
                    <w:szCs w:val="21"/>
                  </w:rPr>
                </w:pPr>
                <w:r>
                  <w:rPr>
                    <w:szCs w:val="21"/>
                  </w:rPr>
                  <w:t>国有法人</w:t>
                </w:r>
              </w:p>
            </w:tc>
          </w:sdtContent>
        </w:sdt>
      </w:tr>
      <w:tr w14:paraId="785B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3399C8CF">
            <w:pPr>
              <w:jc w:val="both"/>
              <w:rPr>
                <w:rFonts w:hint="eastAsia"/>
                <w:szCs w:val="21"/>
              </w:rPr>
            </w:pPr>
            <w:r>
              <w:rPr>
                <w:rFonts w:hint="eastAsia"/>
              </w:rPr>
              <w:t>新兴铸管股份有限公司</w:t>
            </w:r>
          </w:p>
        </w:tc>
        <w:tc>
          <w:tcPr>
            <w:tcW w:w="0" w:type="auto"/>
            <w:shd w:val="clear" w:color="auto" w:fill="auto"/>
            <w:vAlign w:val="center"/>
          </w:tcPr>
          <w:p w14:paraId="2DB9768E">
            <w:pPr>
              <w:jc w:val="right"/>
              <w:rPr>
                <w:rFonts w:ascii="Arial Narrow" w:hAnsi="Arial Narrow"/>
                <w:szCs w:val="21"/>
              </w:rPr>
            </w:pPr>
            <w:r>
              <w:rPr>
                <w:rFonts w:ascii="Arial Narrow" w:hAnsi="Arial Narrow"/>
              </w:rPr>
              <w:t>-</w:t>
            </w:r>
          </w:p>
        </w:tc>
        <w:tc>
          <w:tcPr>
            <w:tcW w:w="0" w:type="auto"/>
            <w:shd w:val="clear" w:color="auto" w:fill="auto"/>
            <w:vAlign w:val="center"/>
          </w:tcPr>
          <w:p w14:paraId="3F05F8C2">
            <w:pPr>
              <w:jc w:val="right"/>
              <w:rPr>
                <w:rFonts w:ascii="Arial Narrow" w:hAnsi="Arial Narrow"/>
                <w:szCs w:val="21"/>
              </w:rPr>
            </w:pPr>
            <w:r>
              <w:rPr>
                <w:rFonts w:ascii="Arial Narrow" w:hAnsi="Arial Narrow"/>
              </w:rPr>
              <w:t>192,850,000</w:t>
            </w:r>
          </w:p>
        </w:tc>
        <w:tc>
          <w:tcPr>
            <w:tcW w:w="0" w:type="auto"/>
            <w:shd w:val="clear" w:color="auto" w:fill="auto"/>
            <w:vAlign w:val="center"/>
          </w:tcPr>
          <w:p w14:paraId="6324F5C7">
            <w:pPr>
              <w:jc w:val="right"/>
              <w:rPr>
                <w:rFonts w:ascii="Arial Narrow" w:hAnsi="Arial Narrow"/>
                <w:szCs w:val="21"/>
              </w:rPr>
            </w:pPr>
            <w:r>
              <w:rPr>
                <w:rFonts w:ascii="Arial Narrow" w:hAnsi="Arial Narrow"/>
              </w:rPr>
              <w:t>4.39</w:t>
            </w:r>
          </w:p>
        </w:tc>
        <w:tc>
          <w:tcPr>
            <w:tcW w:w="0" w:type="auto"/>
            <w:shd w:val="clear" w:color="auto" w:fill="auto"/>
            <w:vAlign w:val="center"/>
          </w:tcPr>
          <w:p w14:paraId="1BF5C230">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58818739"/>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3E277EAF">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0C33D1D9">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45428405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3B06363E">
                <w:pPr>
                  <w:jc w:val="both"/>
                  <w:rPr>
                    <w:rFonts w:hint="eastAsia"/>
                    <w:color w:val="FF9900"/>
                    <w:szCs w:val="21"/>
                  </w:rPr>
                </w:pPr>
                <w:r>
                  <w:rPr>
                    <w:szCs w:val="21"/>
                  </w:rPr>
                  <w:t>国有法人</w:t>
                </w:r>
              </w:p>
            </w:tc>
          </w:sdtContent>
        </w:sdt>
      </w:tr>
      <w:tr w14:paraId="68F3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724DA630">
            <w:pPr>
              <w:jc w:val="both"/>
              <w:rPr>
                <w:rFonts w:hint="eastAsia"/>
                <w:szCs w:val="21"/>
              </w:rPr>
            </w:pPr>
            <w:r>
              <w:rPr>
                <w:rFonts w:hint="eastAsia"/>
              </w:rPr>
              <w:t>宁波梅山保税港区和盛乾通股权投资合伙企业（有限合伙）</w:t>
            </w:r>
          </w:p>
        </w:tc>
        <w:tc>
          <w:tcPr>
            <w:tcW w:w="0" w:type="auto"/>
            <w:shd w:val="clear" w:color="auto" w:fill="auto"/>
            <w:vAlign w:val="center"/>
          </w:tcPr>
          <w:p w14:paraId="27ED7C0C">
            <w:pPr>
              <w:jc w:val="right"/>
              <w:rPr>
                <w:rFonts w:ascii="Arial Narrow" w:hAnsi="Arial Narrow"/>
                <w:szCs w:val="21"/>
              </w:rPr>
            </w:pPr>
            <w:r>
              <w:rPr>
                <w:rFonts w:ascii="Arial Narrow" w:hAnsi="Arial Narrow"/>
              </w:rPr>
              <w:t>-</w:t>
            </w:r>
          </w:p>
        </w:tc>
        <w:tc>
          <w:tcPr>
            <w:tcW w:w="0" w:type="auto"/>
            <w:shd w:val="clear" w:color="auto" w:fill="auto"/>
            <w:vAlign w:val="center"/>
          </w:tcPr>
          <w:p w14:paraId="5CBC8E88">
            <w:pPr>
              <w:jc w:val="right"/>
              <w:rPr>
                <w:rFonts w:ascii="Arial Narrow" w:hAnsi="Arial Narrow"/>
                <w:szCs w:val="21"/>
              </w:rPr>
            </w:pPr>
            <w:r>
              <w:rPr>
                <w:rFonts w:ascii="Arial Narrow" w:hAnsi="Arial Narrow"/>
              </w:rPr>
              <w:t>45,895,946</w:t>
            </w:r>
          </w:p>
        </w:tc>
        <w:tc>
          <w:tcPr>
            <w:tcW w:w="0" w:type="auto"/>
            <w:shd w:val="clear" w:color="auto" w:fill="auto"/>
            <w:vAlign w:val="center"/>
          </w:tcPr>
          <w:p w14:paraId="48B4DDC2">
            <w:pPr>
              <w:jc w:val="right"/>
              <w:rPr>
                <w:rFonts w:ascii="Arial Narrow" w:hAnsi="Arial Narrow"/>
                <w:szCs w:val="21"/>
              </w:rPr>
            </w:pPr>
            <w:r>
              <w:rPr>
                <w:rFonts w:ascii="Arial Narrow" w:hAnsi="Arial Narrow"/>
              </w:rPr>
              <w:t>1.05</w:t>
            </w:r>
          </w:p>
        </w:tc>
        <w:tc>
          <w:tcPr>
            <w:tcW w:w="0" w:type="auto"/>
            <w:shd w:val="clear" w:color="auto" w:fill="auto"/>
            <w:vAlign w:val="center"/>
          </w:tcPr>
          <w:p w14:paraId="5DAC39F6">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980721627"/>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33386E15">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16E3DBB2">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55542416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3E6FFAC1">
                <w:pPr>
                  <w:jc w:val="both"/>
                  <w:rPr>
                    <w:rFonts w:hint="eastAsia"/>
                    <w:color w:val="FF9900"/>
                    <w:szCs w:val="21"/>
                  </w:rPr>
                </w:pPr>
                <w:r>
                  <w:rPr>
                    <w:szCs w:val="21"/>
                  </w:rPr>
                  <w:t>其他</w:t>
                </w:r>
              </w:p>
            </w:tc>
          </w:sdtContent>
        </w:sdt>
      </w:tr>
      <w:tr w14:paraId="34A3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63C30131">
            <w:pPr>
              <w:jc w:val="both"/>
              <w:rPr>
                <w:rFonts w:hint="eastAsia"/>
                <w:szCs w:val="21"/>
              </w:rPr>
            </w:pPr>
            <w:r>
              <w:rPr>
                <w:rFonts w:hint="eastAsia"/>
              </w:rPr>
              <w:t>香港中央结算有限公司</w:t>
            </w:r>
          </w:p>
        </w:tc>
        <w:tc>
          <w:tcPr>
            <w:tcW w:w="0" w:type="auto"/>
            <w:shd w:val="clear" w:color="auto" w:fill="auto"/>
            <w:vAlign w:val="center"/>
          </w:tcPr>
          <w:p w14:paraId="4B1196BB">
            <w:pPr>
              <w:jc w:val="right"/>
              <w:rPr>
                <w:rFonts w:ascii="Arial Narrow" w:hAnsi="Arial Narrow"/>
                <w:szCs w:val="21"/>
              </w:rPr>
            </w:pPr>
            <w:r>
              <w:rPr>
                <w:rFonts w:ascii="Arial Narrow" w:hAnsi="Arial Narrow"/>
              </w:rPr>
              <w:t>19,743,396</w:t>
            </w:r>
          </w:p>
        </w:tc>
        <w:tc>
          <w:tcPr>
            <w:tcW w:w="0" w:type="auto"/>
            <w:shd w:val="clear" w:color="auto" w:fill="auto"/>
            <w:vAlign w:val="center"/>
          </w:tcPr>
          <w:p w14:paraId="7CD06D48">
            <w:pPr>
              <w:jc w:val="right"/>
              <w:rPr>
                <w:rFonts w:ascii="Arial Narrow" w:hAnsi="Arial Narrow"/>
                <w:szCs w:val="21"/>
              </w:rPr>
            </w:pPr>
            <w:r>
              <w:rPr>
                <w:rFonts w:ascii="Arial Narrow" w:hAnsi="Arial Narrow"/>
              </w:rPr>
              <w:t>29,052,991</w:t>
            </w:r>
          </w:p>
        </w:tc>
        <w:tc>
          <w:tcPr>
            <w:tcW w:w="0" w:type="auto"/>
            <w:shd w:val="clear" w:color="auto" w:fill="auto"/>
            <w:vAlign w:val="center"/>
          </w:tcPr>
          <w:p w14:paraId="62FD4BD4">
            <w:pPr>
              <w:jc w:val="right"/>
              <w:rPr>
                <w:rFonts w:ascii="Arial Narrow" w:hAnsi="Arial Narrow"/>
                <w:szCs w:val="21"/>
              </w:rPr>
            </w:pPr>
            <w:r>
              <w:rPr>
                <w:rFonts w:ascii="Arial Narrow" w:hAnsi="Arial Narrow"/>
              </w:rPr>
              <w:t>0.66</w:t>
            </w:r>
          </w:p>
        </w:tc>
        <w:tc>
          <w:tcPr>
            <w:tcW w:w="0" w:type="auto"/>
            <w:shd w:val="clear" w:color="auto" w:fill="auto"/>
            <w:vAlign w:val="center"/>
          </w:tcPr>
          <w:p w14:paraId="2A52FAC7">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383293920"/>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4C6B7A4F">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5240169E">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53674484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7FB09724">
                <w:pPr>
                  <w:jc w:val="both"/>
                  <w:rPr>
                    <w:rFonts w:hint="eastAsia"/>
                    <w:color w:val="FF9900"/>
                    <w:szCs w:val="21"/>
                  </w:rPr>
                </w:pPr>
                <w:r>
                  <w:rPr>
                    <w:szCs w:val="21"/>
                  </w:rPr>
                  <w:t>其他</w:t>
                </w:r>
              </w:p>
            </w:tc>
          </w:sdtContent>
        </w:sdt>
      </w:tr>
      <w:tr w14:paraId="740C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770B0EB5">
            <w:pPr>
              <w:jc w:val="both"/>
              <w:rPr>
                <w:rFonts w:hint="eastAsia"/>
                <w:szCs w:val="21"/>
              </w:rPr>
            </w:pPr>
            <w:r>
              <w:rPr>
                <w:rFonts w:hint="eastAsia"/>
              </w:rPr>
              <w:t>招商银行股份有限公司－南方中证1000交易型开放式指数证券投资基金</w:t>
            </w:r>
          </w:p>
        </w:tc>
        <w:tc>
          <w:tcPr>
            <w:tcW w:w="0" w:type="auto"/>
            <w:shd w:val="clear" w:color="auto" w:fill="auto"/>
            <w:vAlign w:val="center"/>
          </w:tcPr>
          <w:p w14:paraId="7E403E1F">
            <w:pPr>
              <w:jc w:val="right"/>
              <w:rPr>
                <w:rFonts w:ascii="Arial Narrow" w:hAnsi="Arial Narrow"/>
                <w:szCs w:val="21"/>
              </w:rPr>
            </w:pPr>
            <w:r>
              <w:rPr>
                <w:rFonts w:ascii="Arial Narrow" w:hAnsi="Arial Narrow"/>
              </w:rPr>
              <w:t>18,983,900</w:t>
            </w:r>
          </w:p>
        </w:tc>
        <w:tc>
          <w:tcPr>
            <w:tcW w:w="0" w:type="auto"/>
            <w:shd w:val="clear" w:color="auto" w:fill="auto"/>
            <w:vAlign w:val="center"/>
          </w:tcPr>
          <w:p w14:paraId="019C1B95">
            <w:pPr>
              <w:jc w:val="right"/>
              <w:rPr>
                <w:rFonts w:ascii="Arial Narrow" w:hAnsi="Arial Narrow"/>
                <w:szCs w:val="21"/>
              </w:rPr>
            </w:pPr>
            <w:r>
              <w:rPr>
                <w:rFonts w:ascii="Arial Narrow" w:hAnsi="Arial Narrow"/>
              </w:rPr>
              <w:t>21,689,800</w:t>
            </w:r>
          </w:p>
        </w:tc>
        <w:tc>
          <w:tcPr>
            <w:tcW w:w="0" w:type="auto"/>
            <w:shd w:val="clear" w:color="auto" w:fill="auto"/>
            <w:vAlign w:val="center"/>
          </w:tcPr>
          <w:p w14:paraId="5CDAE165">
            <w:pPr>
              <w:jc w:val="right"/>
              <w:rPr>
                <w:rFonts w:ascii="Arial Narrow" w:hAnsi="Arial Narrow"/>
                <w:szCs w:val="21"/>
              </w:rPr>
            </w:pPr>
            <w:r>
              <w:rPr>
                <w:rFonts w:ascii="Arial Narrow" w:hAnsi="Arial Narrow"/>
              </w:rPr>
              <w:t>0.49</w:t>
            </w:r>
          </w:p>
        </w:tc>
        <w:tc>
          <w:tcPr>
            <w:tcW w:w="0" w:type="auto"/>
            <w:shd w:val="clear" w:color="auto" w:fill="auto"/>
            <w:vAlign w:val="center"/>
          </w:tcPr>
          <w:p w14:paraId="5405B75C">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530947199"/>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7A58174A">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20826E0B">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51996712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46C44EB9">
                <w:pPr>
                  <w:jc w:val="both"/>
                  <w:rPr>
                    <w:rFonts w:hint="eastAsia"/>
                    <w:color w:val="FF9900"/>
                    <w:szCs w:val="21"/>
                  </w:rPr>
                </w:pPr>
                <w:r>
                  <w:rPr>
                    <w:szCs w:val="21"/>
                  </w:rPr>
                  <w:t>其他</w:t>
                </w:r>
              </w:p>
            </w:tc>
          </w:sdtContent>
        </w:sdt>
      </w:tr>
      <w:tr w14:paraId="1AC7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2E2A24F9">
            <w:pPr>
              <w:jc w:val="both"/>
              <w:rPr>
                <w:rFonts w:hint="eastAsia"/>
                <w:szCs w:val="21"/>
              </w:rPr>
            </w:pPr>
            <w:r>
              <w:rPr>
                <w:rFonts w:hint="eastAsia"/>
              </w:rPr>
              <w:t>中国建设银行股份有限公司－国泰中证军工交易型开放式指数证券投资基金</w:t>
            </w:r>
          </w:p>
        </w:tc>
        <w:tc>
          <w:tcPr>
            <w:tcW w:w="0" w:type="auto"/>
            <w:shd w:val="clear" w:color="auto" w:fill="auto"/>
            <w:vAlign w:val="center"/>
          </w:tcPr>
          <w:p w14:paraId="21D92F03">
            <w:pPr>
              <w:jc w:val="right"/>
              <w:rPr>
                <w:rFonts w:ascii="Arial Narrow" w:hAnsi="Arial Narrow"/>
                <w:szCs w:val="21"/>
              </w:rPr>
            </w:pPr>
            <w:r>
              <w:rPr>
                <w:rFonts w:ascii="Arial Narrow" w:hAnsi="Arial Narrow"/>
              </w:rPr>
              <w:t>3,359,300</w:t>
            </w:r>
          </w:p>
        </w:tc>
        <w:tc>
          <w:tcPr>
            <w:tcW w:w="0" w:type="auto"/>
            <w:shd w:val="clear" w:color="auto" w:fill="auto"/>
            <w:vAlign w:val="center"/>
          </w:tcPr>
          <w:p w14:paraId="23ED55AA">
            <w:pPr>
              <w:jc w:val="right"/>
              <w:rPr>
                <w:rFonts w:ascii="Arial Narrow" w:hAnsi="Arial Narrow"/>
                <w:szCs w:val="21"/>
              </w:rPr>
            </w:pPr>
            <w:r>
              <w:rPr>
                <w:rFonts w:ascii="Arial Narrow" w:hAnsi="Arial Narrow"/>
              </w:rPr>
              <w:t>21,607,100</w:t>
            </w:r>
          </w:p>
        </w:tc>
        <w:tc>
          <w:tcPr>
            <w:tcW w:w="0" w:type="auto"/>
            <w:shd w:val="clear" w:color="auto" w:fill="auto"/>
            <w:vAlign w:val="center"/>
          </w:tcPr>
          <w:p w14:paraId="62FC30D9">
            <w:pPr>
              <w:jc w:val="right"/>
              <w:rPr>
                <w:rFonts w:ascii="Arial Narrow" w:hAnsi="Arial Narrow"/>
                <w:szCs w:val="21"/>
              </w:rPr>
            </w:pPr>
            <w:r>
              <w:rPr>
                <w:rFonts w:ascii="Arial Narrow" w:hAnsi="Arial Narrow"/>
              </w:rPr>
              <w:t>0.49</w:t>
            </w:r>
          </w:p>
        </w:tc>
        <w:tc>
          <w:tcPr>
            <w:tcW w:w="0" w:type="auto"/>
            <w:shd w:val="clear" w:color="auto" w:fill="auto"/>
            <w:vAlign w:val="center"/>
          </w:tcPr>
          <w:p w14:paraId="7FEAE9B7">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815712126"/>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72151F78">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2F652087">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57342673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559D9E1A">
                <w:pPr>
                  <w:jc w:val="both"/>
                  <w:rPr>
                    <w:rFonts w:hint="eastAsia"/>
                    <w:color w:val="FF9900"/>
                    <w:szCs w:val="21"/>
                  </w:rPr>
                </w:pPr>
                <w:r>
                  <w:rPr>
                    <w:szCs w:val="21"/>
                  </w:rPr>
                  <w:t>其他</w:t>
                </w:r>
              </w:p>
            </w:tc>
          </w:sdtContent>
        </w:sdt>
      </w:tr>
      <w:tr w14:paraId="5CA1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6832AD8E">
            <w:pPr>
              <w:jc w:val="both"/>
              <w:rPr>
                <w:rFonts w:hint="eastAsia"/>
                <w:szCs w:val="21"/>
              </w:rPr>
            </w:pPr>
            <w:r>
              <w:rPr>
                <w:rFonts w:hint="eastAsia"/>
              </w:rPr>
              <w:t>信诚基金－中信证券－广州金控资本管理有限公司</w:t>
            </w:r>
          </w:p>
        </w:tc>
        <w:tc>
          <w:tcPr>
            <w:tcW w:w="0" w:type="auto"/>
            <w:shd w:val="clear" w:color="auto" w:fill="auto"/>
            <w:vAlign w:val="center"/>
          </w:tcPr>
          <w:p w14:paraId="7B39165F">
            <w:pPr>
              <w:jc w:val="right"/>
              <w:rPr>
                <w:rFonts w:ascii="Arial Narrow" w:hAnsi="Arial Narrow"/>
                <w:szCs w:val="21"/>
              </w:rPr>
            </w:pPr>
            <w:r>
              <w:rPr>
                <w:rFonts w:ascii="Arial Narrow" w:hAnsi="Arial Narrow"/>
              </w:rPr>
              <w:t>-</w:t>
            </w:r>
          </w:p>
        </w:tc>
        <w:tc>
          <w:tcPr>
            <w:tcW w:w="0" w:type="auto"/>
            <w:shd w:val="clear" w:color="auto" w:fill="auto"/>
            <w:vAlign w:val="center"/>
          </w:tcPr>
          <w:p w14:paraId="581C2908">
            <w:pPr>
              <w:jc w:val="right"/>
              <w:rPr>
                <w:rFonts w:ascii="Arial Narrow" w:hAnsi="Arial Narrow"/>
                <w:szCs w:val="21"/>
              </w:rPr>
            </w:pPr>
            <w:r>
              <w:rPr>
                <w:rFonts w:ascii="Arial Narrow" w:hAnsi="Arial Narrow"/>
              </w:rPr>
              <w:t>15,873,015</w:t>
            </w:r>
          </w:p>
        </w:tc>
        <w:tc>
          <w:tcPr>
            <w:tcW w:w="0" w:type="auto"/>
            <w:shd w:val="clear" w:color="auto" w:fill="auto"/>
            <w:vAlign w:val="center"/>
          </w:tcPr>
          <w:p w14:paraId="4B5EEEBF">
            <w:pPr>
              <w:jc w:val="right"/>
              <w:rPr>
                <w:rFonts w:ascii="Arial Narrow" w:hAnsi="Arial Narrow"/>
                <w:szCs w:val="21"/>
              </w:rPr>
            </w:pPr>
            <w:r>
              <w:rPr>
                <w:rFonts w:ascii="Arial Narrow" w:hAnsi="Arial Narrow"/>
              </w:rPr>
              <w:t>0.36</w:t>
            </w:r>
          </w:p>
        </w:tc>
        <w:tc>
          <w:tcPr>
            <w:tcW w:w="0" w:type="auto"/>
            <w:shd w:val="clear" w:color="auto" w:fill="auto"/>
            <w:vAlign w:val="center"/>
          </w:tcPr>
          <w:p w14:paraId="13FA033C">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599631999"/>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795AD335">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2C65A439">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9847649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5259DDDF">
                <w:pPr>
                  <w:jc w:val="both"/>
                  <w:rPr>
                    <w:rFonts w:hint="eastAsia"/>
                    <w:color w:val="FF9900"/>
                    <w:szCs w:val="21"/>
                  </w:rPr>
                </w:pPr>
                <w:r>
                  <w:rPr>
                    <w:szCs w:val="21"/>
                  </w:rPr>
                  <w:t>其他</w:t>
                </w:r>
              </w:p>
            </w:tc>
          </w:sdtContent>
        </w:sdt>
      </w:tr>
      <w:tr w14:paraId="317B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3D80CDB8">
            <w:pPr>
              <w:jc w:val="both"/>
              <w:rPr>
                <w:rFonts w:hint="eastAsia"/>
                <w:szCs w:val="21"/>
              </w:rPr>
            </w:pPr>
            <w:r>
              <w:rPr>
                <w:rFonts w:hint="eastAsia"/>
              </w:rPr>
              <w:t>赵凯</w:t>
            </w:r>
          </w:p>
        </w:tc>
        <w:tc>
          <w:tcPr>
            <w:tcW w:w="0" w:type="auto"/>
            <w:shd w:val="clear" w:color="auto" w:fill="auto"/>
            <w:vAlign w:val="center"/>
          </w:tcPr>
          <w:p w14:paraId="1160EE27">
            <w:pPr>
              <w:jc w:val="right"/>
              <w:rPr>
                <w:rFonts w:ascii="Arial Narrow" w:hAnsi="Arial Narrow"/>
                <w:szCs w:val="21"/>
              </w:rPr>
            </w:pPr>
            <w:r>
              <w:rPr>
                <w:rFonts w:ascii="Arial Narrow" w:hAnsi="Arial Narrow"/>
              </w:rPr>
              <w:t>12,921,783</w:t>
            </w:r>
          </w:p>
        </w:tc>
        <w:tc>
          <w:tcPr>
            <w:tcW w:w="0" w:type="auto"/>
            <w:shd w:val="clear" w:color="auto" w:fill="auto"/>
            <w:vAlign w:val="center"/>
          </w:tcPr>
          <w:p w14:paraId="4E9D0DA2">
            <w:pPr>
              <w:jc w:val="right"/>
              <w:rPr>
                <w:rFonts w:ascii="Arial Narrow" w:hAnsi="Arial Narrow"/>
                <w:szCs w:val="21"/>
              </w:rPr>
            </w:pPr>
            <w:r>
              <w:rPr>
                <w:rFonts w:ascii="Arial Narrow" w:hAnsi="Arial Narrow"/>
              </w:rPr>
              <w:t>12,921,783</w:t>
            </w:r>
          </w:p>
        </w:tc>
        <w:tc>
          <w:tcPr>
            <w:tcW w:w="0" w:type="auto"/>
            <w:shd w:val="clear" w:color="auto" w:fill="auto"/>
            <w:vAlign w:val="center"/>
          </w:tcPr>
          <w:p w14:paraId="7A20D3EB">
            <w:pPr>
              <w:jc w:val="right"/>
              <w:rPr>
                <w:rFonts w:ascii="Arial Narrow" w:hAnsi="Arial Narrow"/>
                <w:szCs w:val="21"/>
              </w:rPr>
            </w:pPr>
            <w:r>
              <w:rPr>
                <w:rFonts w:ascii="Arial Narrow" w:hAnsi="Arial Narrow"/>
              </w:rPr>
              <w:t>0.29</w:t>
            </w:r>
          </w:p>
        </w:tc>
        <w:tc>
          <w:tcPr>
            <w:tcW w:w="0" w:type="auto"/>
            <w:shd w:val="clear" w:color="auto" w:fill="auto"/>
            <w:vAlign w:val="center"/>
          </w:tcPr>
          <w:p w14:paraId="586ED6EE">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299451914"/>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2F384C57">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1DD58451">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51952167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2341E1AF">
                <w:pPr>
                  <w:jc w:val="both"/>
                  <w:rPr>
                    <w:rFonts w:hint="eastAsia"/>
                    <w:color w:val="FF9900"/>
                    <w:szCs w:val="21"/>
                  </w:rPr>
                </w:pPr>
                <w:r>
                  <w:rPr>
                    <w:szCs w:val="21"/>
                  </w:rPr>
                  <w:t>境内自然人</w:t>
                </w:r>
              </w:p>
            </w:tc>
          </w:sdtContent>
        </w:sdt>
      </w:tr>
      <w:tr w14:paraId="6D5A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70402601">
            <w:pPr>
              <w:jc w:val="both"/>
              <w:rPr>
                <w:rFonts w:hint="eastAsia"/>
                <w:szCs w:val="21"/>
              </w:rPr>
            </w:pPr>
            <w:r>
              <w:rPr>
                <w:rFonts w:hint="eastAsia"/>
              </w:rPr>
              <w:t>招商银行股份有限公司－华夏中证1000交易型开放式指数证券投资基金</w:t>
            </w:r>
          </w:p>
        </w:tc>
        <w:tc>
          <w:tcPr>
            <w:tcW w:w="0" w:type="auto"/>
            <w:shd w:val="clear" w:color="auto" w:fill="auto"/>
            <w:vAlign w:val="center"/>
          </w:tcPr>
          <w:p w14:paraId="67FEE7C0">
            <w:pPr>
              <w:jc w:val="right"/>
              <w:rPr>
                <w:rFonts w:ascii="Arial Narrow" w:hAnsi="Arial Narrow"/>
                <w:szCs w:val="21"/>
              </w:rPr>
            </w:pPr>
            <w:r>
              <w:rPr>
                <w:rFonts w:ascii="Arial Narrow" w:hAnsi="Arial Narrow"/>
              </w:rPr>
              <w:t>9,152,000</w:t>
            </w:r>
          </w:p>
        </w:tc>
        <w:tc>
          <w:tcPr>
            <w:tcW w:w="0" w:type="auto"/>
            <w:shd w:val="clear" w:color="auto" w:fill="auto"/>
            <w:vAlign w:val="center"/>
          </w:tcPr>
          <w:p w14:paraId="390DA677">
            <w:pPr>
              <w:jc w:val="right"/>
              <w:rPr>
                <w:rFonts w:ascii="Arial Narrow" w:hAnsi="Arial Narrow"/>
                <w:szCs w:val="21"/>
              </w:rPr>
            </w:pPr>
            <w:r>
              <w:rPr>
                <w:rFonts w:ascii="Arial Narrow" w:hAnsi="Arial Narrow"/>
              </w:rPr>
              <w:t>11,672,400</w:t>
            </w:r>
          </w:p>
        </w:tc>
        <w:tc>
          <w:tcPr>
            <w:tcW w:w="0" w:type="auto"/>
            <w:shd w:val="clear" w:color="auto" w:fill="auto"/>
            <w:vAlign w:val="center"/>
          </w:tcPr>
          <w:p w14:paraId="5BB7E46B">
            <w:pPr>
              <w:jc w:val="right"/>
              <w:rPr>
                <w:rFonts w:ascii="Arial Narrow" w:hAnsi="Arial Narrow"/>
                <w:szCs w:val="21"/>
              </w:rPr>
            </w:pPr>
            <w:r>
              <w:rPr>
                <w:rFonts w:ascii="Arial Narrow" w:hAnsi="Arial Narrow"/>
              </w:rPr>
              <w:t>0.27</w:t>
            </w:r>
          </w:p>
        </w:tc>
        <w:tc>
          <w:tcPr>
            <w:tcW w:w="0" w:type="auto"/>
            <w:shd w:val="clear" w:color="auto" w:fill="auto"/>
            <w:vAlign w:val="center"/>
          </w:tcPr>
          <w:p w14:paraId="38C2B7C3">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436883331"/>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211073FB">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0F3E2A3F">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41578403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5EE75FFE">
                <w:pPr>
                  <w:jc w:val="both"/>
                  <w:rPr>
                    <w:rFonts w:hint="eastAsia"/>
                    <w:color w:val="FF9900"/>
                    <w:szCs w:val="21"/>
                  </w:rPr>
                </w:pPr>
                <w:r>
                  <w:rPr>
                    <w:szCs w:val="21"/>
                  </w:rPr>
                  <w:t>其他</w:t>
                </w:r>
              </w:p>
            </w:tc>
          </w:sdtContent>
        </w:sdt>
      </w:tr>
      <w:tr w14:paraId="2DE2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shd w:val="clear" w:color="auto" w:fill="auto"/>
            <w:vAlign w:val="center"/>
          </w:tcPr>
          <w:p w14:paraId="43186C30">
            <w:pPr>
              <w:jc w:val="both"/>
              <w:rPr>
                <w:rFonts w:hint="eastAsia"/>
                <w:szCs w:val="21"/>
              </w:rPr>
            </w:pPr>
            <w:r>
              <w:rPr>
                <w:rFonts w:hint="eastAsia"/>
              </w:rPr>
              <w:t>新兴发展集团有限公司</w:t>
            </w:r>
          </w:p>
        </w:tc>
        <w:tc>
          <w:tcPr>
            <w:tcW w:w="0" w:type="auto"/>
            <w:shd w:val="clear" w:color="auto" w:fill="auto"/>
            <w:vAlign w:val="center"/>
          </w:tcPr>
          <w:p w14:paraId="1AFB422F">
            <w:pPr>
              <w:jc w:val="right"/>
              <w:rPr>
                <w:rFonts w:ascii="Arial Narrow" w:hAnsi="Arial Narrow"/>
                <w:szCs w:val="21"/>
              </w:rPr>
            </w:pPr>
            <w:r>
              <w:rPr>
                <w:rFonts w:ascii="Arial Narrow" w:hAnsi="Arial Narrow"/>
              </w:rPr>
              <w:t>-</w:t>
            </w:r>
          </w:p>
        </w:tc>
        <w:tc>
          <w:tcPr>
            <w:tcW w:w="0" w:type="auto"/>
            <w:shd w:val="clear" w:color="auto" w:fill="auto"/>
            <w:vAlign w:val="center"/>
          </w:tcPr>
          <w:p w14:paraId="3426C943">
            <w:pPr>
              <w:jc w:val="right"/>
              <w:rPr>
                <w:rFonts w:ascii="Arial Narrow" w:hAnsi="Arial Narrow"/>
                <w:szCs w:val="21"/>
              </w:rPr>
            </w:pPr>
            <w:r>
              <w:rPr>
                <w:rFonts w:ascii="Arial Narrow" w:hAnsi="Arial Narrow"/>
              </w:rPr>
              <w:t>10,700,100</w:t>
            </w:r>
          </w:p>
        </w:tc>
        <w:tc>
          <w:tcPr>
            <w:tcW w:w="0" w:type="auto"/>
            <w:shd w:val="clear" w:color="auto" w:fill="auto"/>
            <w:vAlign w:val="center"/>
          </w:tcPr>
          <w:p w14:paraId="4F03CE0E">
            <w:pPr>
              <w:jc w:val="right"/>
              <w:rPr>
                <w:rFonts w:ascii="Arial Narrow" w:hAnsi="Arial Narrow"/>
                <w:szCs w:val="21"/>
              </w:rPr>
            </w:pPr>
            <w:r>
              <w:rPr>
                <w:rFonts w:ascii="Arial Narrow" w:hAnsi="Arial Narrow"/>
              </w:rPr>
              <w:t>0.24</w:t>
            </w:r>
          </w:p>
        </w:tc>
        <w:tc>
          <w:tcPr>
            <w:tcW w:w="0" w:type="auto"/>
            <w:shd w:val="clear" w:color="auto" w:fill="auto"/>
            <w:vAlign w:val="center"/>
          </w:tcPr>
          <w:p w14:paraId="6004CA32">
            <w:pPr>
              <w:jc w:val="right"/>
              <w:rPr>
                <w:rFonts w:ascii="Arial Narrow" w:hAnsi="Arial Narrow"/>
                <w:szCs w:val="21"/>
              </w:rPr>
            </w:pPr>
            <w:r>
              <w:rPr>
                <w:rFonts w:ascii="Arial Narrow" w:hAnsi="Arial Narrow"/>
              </w:rPr>
              <w:t>0</w:t>
            </w:r>
          </w:p>
        </w:tc>
        <w:sdt>
          <w:sdtPr>
            <w:rPr>
              <w:rFonts w:ascii="Arial Narrow" w:hAnsi="Arial Narrow"/>
              <w:szCs w:val="21"/>
            </w:rPr>
            <w:alias w:val="前十名股东持有股份状态"/>
            <w:tag w:val="_GBC_46a2e2b7fded452b84eec75a5e47296b"/>
            <w:id w:val="-1263599529"/>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rFonts w:ascii="Arial Narrow" w:hAnsi="Arial Narrow"/>
              <w:szCs w:val="21"/>
            </w:rPr>
          </w:sdtEndPr>
          <w:sdtContent>
            <w:tc>
              <w:tcPr>
                <w:tcW w:w="0" w:type="auto"/>
                <w:shd w:val="clear" w:color="auto" w:fill="auto"/>
                <w:vAlign w:val="center"/>
              </w:tcPr>
              <w:p w14:paraId="32CDDB92">
                <w:pPr>
                  <w:jc w:val="both"/>
                  <w:rPr>
                    <w:rFonts w:ascii="Arial Narrow" w:hAnsi="Arial Narrow"/>
                    <w:color w:val="FF9900"/>
                    <w:szCs w:val="21"/>
                  </w:rPr>
                </w:pPr>
                <w:r>
                  <w:rPr>
                    <w:rFonts w:ascii="Arial Narrow" w:hAnsi="Arial Narrow"/>
                    <w:szCs w:val="21"/>
                  </w:rPr>
                  <w:t>无</w:t>
                </w:r>
              </w:p>
            </w:tc>
          </w:sdtContent>
        </w:sdt>
        <w:tc>
          <w:tcPr>
            <w:tcW w:w="0" w:type="auto"/>
            <w:gridSpan w:val="2"/>
            <w:shd w:val="clear" w:color="auto" w:fill="auto"/>
            <w:vAlign w:val="center"/>
          </w:tcPr>
          <w:p w14:paraId="1E6D5019">
            <w:pPr>
              <w:jc w:val="right"/>
              <w:rPr>
                <w:rFonts w:ascii="Arial Narrow" w:hAnsi="Arial Narrow"/>
                <w:szCs w:val="21"/>
              </w:rPr>
            </w:pPr>
            <w:r>
              <w:rPr>
                <w:rFonts w:ascii="Arial Narrow" w:hAnsi="Arial Narrow"/>
              </w:rPr>
              <w:t>0</w:t>
            </w:r>
          </w:p>
        </w:tc>
        <w:sdt>
          <w:sdtPr>
            <w:rPr>
              <w:szCs w:val="21"/>
            </w:rPr>
            <w:alias w:val="前十名股东的股东性质"/>
            <w:tag w:val="_GBC_84391eccdbd14aa7bbd07a260ff9d747"/>
            <w:id w:val="123851975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0" w:type="auto"/>
                <w:shd w:val="clear" w:color="auto" w:fill="auto"/>
                <w:vAlign w:val="center"/>
              </w:tcPr>
              <w:p w14:paraId="62A6A3AD">
                <w:pPr>
                  <w:jc w:val="both"/>
                  <w:rPr>
                    <w:rFonts w:hint="eastAsia"/>
                    <w:color w:val="FF9900"/>
                    <w:szCs w:val="21"/>
                  </w:rPr>
                </w:pPr>
                <w:r>
                  <w:rPr>
                    <w:szCs w:val="21"/>
                  </w:rPr>
                  <w:t>国有法人</w:t>
                </w:r>
              </w:p>
            </w:tc>
          </w:sdtContent>
        </w:sdt>
      </w:tr>
      <w:tr w14:paraId="5B0C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7f241e5dc05a4ae7b61268f4f1627ca0"/>
            <w:id w:val="520054732"/>
          </w:sdtPr>
          <w:sdtContent>
            <w:tc>
              <w:tcPr>
                <w:tcW w:w="0" w:type="auto"/>
                <w:gridSpan w:val="9"/>
                <w:shd w:val="clear" w:color="auto" w:fill="auto"/>
                <w:vAlign w:val="center"/>
              </w:tcPr>
              <w:p w14:paraId="523875D3">
                <w:pPr>
                  <w:jc w:val="center"/>
                  <w:rPr>
                    <w:rFonts w:hint="eastAsia"/>
                    <w:color w:val="FF9900"/>
                    <w:szCs w:val="21"/>
                  </w:rPr>
                </w:pPr>
                <w:r>
                  <w:rPr>
                    <w:szCs w:val="21"/>
                  </w:rPr>
                  <w:t>前十名无限售条件股东持股情况</w:t>
                </w:r>
                <w:r>
                  <w:rPr>
                    <w:rFonts w:hint="eastAsia"/>
                    <w:szCs w:val="21"/>
                  </w:rPr>
                  <w:t>（不含通过转融通出借股份）</w:t>
                </w:r>
              </w:p>
            </w:tc>
          </w:sdtContent>
        </w:sdt>
      </w:tr>
      <w:tr w14:paraId="1B73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0443ad39720a4d59be87cdf7b0bc4970"/>
            <w:id w:val="1245143938"/>
          </w:sdtPr>
          <w:sdtContent>
            <w:tc>
              <w:tcPr>
                <w:tcW w:w="2641" w:type="dxa"/>
                <w:gridSpan w:val="2"/>
                <w:vMerge w:val="restart"/>
                <w:shd w:val="clear" w:color="auto" w:fill="auto"/>
                <w:vAlign w:val="center"/>
              </w:tcPr>
              <w:p w14:paraId="1BE0478B">
                <w:pPr>
                  <w:jc w:val="center"/>
                  <w:rPr>
                    <w:rFonts w:hint="eastAsia"/>
                    <w:color w:val="FF9900"/>
                    <w:szCs w:val="21"/>
                  </w:rPr>
                </w:pPr>
                <w:r>
                  <w:t>股东名称</w:t>
                </w:r>
              </w:p>
            </w:tc>
          </w:sdtContent>
        </w:sdt>
        <w:sdt>
          <w:sdtPr>
            <w:tag w:val="_PLD_a7f143afa2b94466a44af03e770016b0"/>
            <w:id w:val="-1158611382"/>
          </w:sdtPr>
          <w:sdtContent>
            <w:tc>
              <w:tcPr>
                <w:tcW w:w="3756" w:type="dxa"/>
                <w:gridSpan w:val="3"/>
                <w:vMerge w:val="restart"/>
                <w:shd w:val="clear" w:color="auto" w:fill="auto"/>
                <w:vAlign w:val="center"/>
              </w:tcPr>
              <w:p w14:paraId="06255C0B">
                <w:pPr>
                  <w:jc w:val="center"/>
                  <w:rPr>
                    <w:rFonts w:hint="eastAsia"/>
                    <w:color w:val="FF9900"/>
                    <w:szCs w:val="21"/>
                  </w:rPr>
                </w:pPr>
                <w:r>
                  <w:t>持有无限售条件流通股的数量</w:t>
                </w:r>
              </w:p>
            </w:tc>
          </w:sdtContent>
        </w:sdt>
        <w:sdt>
          <w:sdtPr>
            <w:tag w:val="_PLD_fa97ca004a544042af7e1d7463bea345"/>
            <w:id w:val="-863976169"/>
          </w:sdtPr>
          <w:sdtContent>
            <w:tc>
              <w:tcPr>
                <w:tcW w:w="0" w:type="auto"/>
                <w:gridSpan w:val="4"/>
                <w:tcBorders>
                  <w:bottom w:val="single" w:color="auto" w:sz="4" w:space="0"/>
                </w:tcBorders>
                <w:shd w:val="clear" w:color="auto" w:fill="auto"/>
                <w:vAlign w:val="center"/>
              </w:tcPr>
              <w:p w14:paraId="6248BC7B">
                <w:pPr>
                  <w:jc w:val="center"/>
                  <w:rPr>
                    <w:rFonts w:hint="eastAsia"/>
                    <w:color w:val="FF9900"/>
                    <w:szCs w:val="21"/>
                  </w:rPr>
                </w:pPr>
                <w:r>
                  <w:rPr>
                    <w:szCs w:val="21"/>
                  </w:rPr>
                  <w:t>股份种类</w:t>
                </w:r>
                <w:r>
                  <w:rPr>
                    <w:rFonts w:hint="eastAsia"/>
                    <w:szCs w:val="21"/>
                  </w:rPr>
                  <w:t>及数量</w:t>
                </w:r>
              </w:p>
            </w:tc>
          </w:sdtContent>
        </w:sdt>
      </w:tr>
      <w:tr w14:paraId="3786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41" w:type="dxa"/>
            <w:gridSpan w:val="2"/>
            <w:vMerge w:val="continue"/>
            <w:shd w:val="clear" w:color="auto" w:fill="auto"/>
            <w:vAlign w:val="center"/>
          </w:tcPr>
          <w:p w14:paraId="3C074B00">
            <w:pPr>
              <w:jc w:val="center"/>
              <w:rPr>
                <w:rFonts w:hint="eastAsia"/>
                <w:color w:val="FF9900"/>
                <w:szCs w:val="21"/>
              </w:rPr>
            </w:pPr>
          </w:p>
        </w:tc>
        <w:tc>
          <w:tcPr>
            <w:tcW w:w="3756" w:type="dxa"/>
            <w:gridSpan w:val="3"/>
            <w:vMerge w:val="continue"/>
            <w:shd w:val="clear" w:color="auto" w:fill="auto"/>
            <w:vAlign w:val="center"/>
          </w:tcPr>
          <w:p w14:paraId="7ED506A1">
            <w:pPr>
              <w:jc w:val="center"/>
              <w:rPr>
                <w:rFonts w:hint="eastAsia"/>
                <w:color w:val="FF9900"/>
                <w:szCs w:val="21"/>
              </w:rPr>
            </w:pPr>
          </w:p>
        </w:tc>
        <w:sdt>
          <w:sdtPr>
            <w:tag w:val="_PLD_e67773187f2f4233a6666596947248e8"/>
            <w:id w:val="1504860739"/>
          </w:sdtPr>
          <w:sdtContent>
            <w:tc>
              <w:tcPr>
                <w:tcW w:w="0" w:type="auto"/>
                <w:gridSpan w:val="2"/>
                <w:shd w:val="clear" w:color="auto" w:fill="auto"/>
                <w:vAlign w:val="center"/>
              </w:tcPr>
              <w:p w14:paraId="4D6C4134">
                <w:pPr>
                  <w:jc w:val="center"/>
                  <w:rPr>
                    <w:rFonts w:hint="eastAsia"/>
                    <w:color w:val="008000"/>
                    <w:szCs w:val="21"/>
                  </w:rPr>
                </w:pPr>
                <w:r>
                  <w:rPr>
                    <w:rFonts w:hint="eastAsia"/>
                    <w:szCs w:val="21"/>
                  </w:rPr>
                  <w:t>种类</w:t>
                </w:r>
              </w:p>
            </w:tc>
          </w:sdtContent>
        </w:sdt>
        <w:sdt>
          <w:sdtPr>
            <w:tag w:val="_PLD_2f2fd5088a82440f9265e00f4e298be0"/>
            <w:id w:val="599070269"/>
          </w:sdtPr>
          <w:sdtContent>
            <w:tc>
              <w:tcPr>
                <w:tcW w:w="0" w:type="auto"/>
                <w:gridSpan w:val="2"/>
                <w:shd w:val="clear" w:color="auto" w:fill="auto"/>
                <w:vAlign w:val="center"/>
              </w:tcPr>
              <w:p w14:paraId="4D0E4553">
                <w:pPr>
                  <w:jc w:val="center"/>
                  <w:rPr>
                    <w:rFonts w:hint="eastAsia"/>
                    <w:color w:val="008000"/>
                    <w:szCs w:val="21"/>
                  </w:rPr>
                </w:pPr>
                <w:r>
                  <w:rPr>
                    <w:rFonts w:hint="eastAsia"/>
                    <w:szCs w:val="21"/>
                  </w:rPr>
                  <w:t>数量</w:t>
                </w:r>
              </w:p>
            </w:tc>
          </w:sdtContent>
        </w:sdt>
      </w:tr>
      <w:tr w14:paraId="05AA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3B461273">
            <w:pPr>
              <w:rPr>
                <w:rFonts w:hint="eastAsia"/>
                <w:szCs w:val="21"/>
              </w:rPr>
            </w:pPr>
            <w:r>
              <w:rPr>
                <w:rFonts w:hint="eastAsia"/>
              </w:rPr>
              <w:t>新兴际华集团有限公司</w:t>
            </w:r>
          </w:p>
        </w:tc>
        <w:tc>
          <w:tcPr>
            <w:tcW w:w="0" w:type="auto"/>
            <w:gridSpan w:val="3"/>
            <w:shd w:val="clear" w:color="auto" w:fill="auto"/>
            <w:vAlign w:val="center"/>
          </w:tcPr>
          <w:p w14:paraId="0A3EA5FD">
            <w:pPr>
              <w:jc w:val="right"/>
              <w:rPr>
                <w:rFonts w:ascii="Arial Narrow" w:hAnsi="Arial Narrow"/>
                <w:szCs w:val="21"/>
              </w:rPr>
            </w:pPr>
            <w:r>
              <w:rPr>
                <w:rFonts w:ascii="Arial Narrow" w:hAnsi="Arial Narrow"/>
              </w:rPr>
              <w:t>2,000,662,591</w:t>
            </w:r>
          </w:p>
        </w:tc>
        <w:sdt>
          <w:sdtPr>
            <w:rPr>
              <w:rFonts w:ascii="Arial Narrow" w:hAnsi="Arial Narrow"/>
              <w:bCs/>
              <w:szCs w:val="21"/>
            </w:rPr>
            <w:alias w:val="前十名无限售条件股东期末持有流通股的种类"/>
            <w:tag w:val="_GBC_b35ef493948141e0b9d0c3fd14aad59a"/>
            <w:id w:val="1674295826"/>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20729714">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671AAEA2">
            <w:pPr>
              <w:jc w:val="right"/>
              <w:rPr>
                <w:rFonts w:ascii="Arial Narrow" w:hAnsi="Arial Narrow"/>
                <w:szCs w:val="21"/>
              </w:rPr>
            </w:pPr>
            <w:r>
              <w:rPr>
                <w:rFonts w:ascii="Arial Narrow" w:hAnsi="Arial Narrow"/>
              </w:rPr>
              <w:t>2,000,662,591</w:t>
            </w:r>
          </w:p>
        </w:tc>
      </w:tr>
      <w:tr w14:paraId="5B2A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75D4B30D">
            <w:pPr>
              <w:rPr>
                <w:rFonts w:hint="eastAsia"/>
                <w:szCs w:val="21"/>
              </w:rPr>
            </w:pPr>
            <w:r>
              <w:rPr>
                <w:rFonts w:hint="eastAsia"/>
              </w:rPr>
              <w:t>新兴铸管股份有限公司</w:t>
            </w:r>
          </w:p>
        </w:tc>
        <w:tc>
          <w:tcPr>
            <w:tcW w:w="0" w:type="auto"/>
            <w:gridSpan w:val="3"/>
            <w:shd w:val="clear" w:color="auto" w:fill="auto"/>
            <w:vAlign w:val="center"/>
          </w:tcPr>
          <w:p w14:paraId="7BE5F952">
            <w:pPr>
              <w:jc w:val="right"/>
              <w:rPr>
                <w:rFonts w:ascii="Arial Narrow" w:hAnsi="Arial Narrow"/>
                <w:szCs w:val="21"/>
              </w:rPr>
            </w:pPr>
            <w:r>
              <w:rPr>
                <w:rFonts w:ascii="Arial Narrow" w:hAnsi="Arial Narrow"/>
              </w:rPr>
              <w:t>192,850,000</w:t>
            </w:r>
          </w:p>
        </w:tc>
        <w:sdt>
          <w:sdtPr>
            <w:rPr>
              <w:rFonts w:ascii="Arial Narrow" w:hAnsi="Arial Narrow"/>
              <w:bCs/>
              <w:szCs w:val="21"/>
            </w:rPr>
            <w:alias w:val="前十名无限售条件股东期末持有流通股的种类"/>
            <w:tag w:val="_GBC_b35ef493948141e0b9d0c3fd14aad59a"/>
            <w:id w:val="-1694995374"/>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409ACBE1">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0D8C51C8">
            <w:pPr>
              <w:jc w:val="right"/>
              <w:rPr>
                <w:rFonts w:ascii="Arial Narrow" w:hAnsi="Arial Narrow"/>
                <w:szCs w:val="21"/>
              </w:rPr>
            </w:pPr>
            <w:r>
              <w:rPr>
                <w:rFonts w:ascii="Arial Narrow" w:hAnsi="Arial Narrow"/>
              </w:rPr>
              <w:t>192,850,000</w:t>
            </w:r>
          </w:p>
        </w:tc>
      </w:tr>
      <w:tr w14:paraId="7E2F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774FB353">
            <w:pPr>
              <w:rPr>
                <w:rFonts w:hint="eastAsia"/>
                <w:szCs w:val="21"/>
              </w:rPr>
            </w:pPr>
            <w:r>
              <w:rPr>
                <w:rFonts w:hint="eastAsia"/>
              </w:rPr>
              <w:t>宁波梅山保税港区和盛乾通股权投资合伙企业（有限合伙）</w:t>
            </w:r>
          </w:p>
        </w:tc>
        <w:tc>
          <w:tcPr>
            <w:tcW w:w="0" w:type="auto"/>
            <w:gridSpan w:val="3"/>
            <w:shd w:val="clear" w:color="auto" w:fill="auto"/>
            <w:vAlign w:val="center"/>
          </w:tcPr>
          <w:p w14:paraId="479F71BC">
            <w:pPr>
              <w:jc w:val="right"/>
              <w:rPr>
                <w:rFonts w:ascii="Arial Narrow" w:hAnsi="Arial Narrow"/>
                <w:szCs w:val="21"/>
              </w:rPr>
            </w:pPr>
            <w:r>
              <w:rPr>
                <w:rFonts w:ascii="Arial Narrow" w:hAnsi="Arial Narrow"/>
              </w:rPr>
              <w:t>45,895,946</w:t>
            </w:r>
          </w:p>
        </w:tc>
        <w:sdt>
          <w:sdtPr>
            <w:rPr>
              <w:rFonts w:ascii="Arial Narrow" w:hAnsi="Arial Narrow"/>
              <w:bCs/>
              <w:szCs w:val="21"/>
            </w:rPr>
            <w:alias w:val="前十名无限售条件股东期末持有流通股的种类"/>
            <w:tag w:val="_GBC_b35ef493948141e0b9d0c3fd14aad59a"/>
            <w:id w:val="-844637448"/>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4ADB196E">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526B6C86">
            <w:pPr>
              <w:jc w:val="right"/>
              <w:rPr>
                <w:rFonts w:ascii="Arial Narrow" w:hAnsi="Arial Narrow"/>
                <w:szCs w:val="21"/>
              </w:rPr>
            </w:pPr>
            <w:r>
              <w:rPr>
                <w:rFonts w:ascii="Arial Narrow" w:hAnsi="Arial Narrow"/>
              </w:rPr>
              <w:t>45,895,946</w:t>
            </w:r>
          </w:p>
        </w:tc>
      </w:tr>
      <w:tr w14:paraId="54BB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724B4450">
            <w:pPr>
              <w:rPr>
                <w:rFonts w:hint="eastAsia"/>
                <w:szCs w:val="21"/>
              </w:rPr>
            </w:pPr>
            <w:r>
              <w:rPr>
                <w:rFonts w:hint="eastAsia"/>
              </w:rPr>
              <w:t>香港中央结算有限公司</w:t>
            </w:r>
          </w:p>
        </w:tc>
        <w:tc>
          <w:tcPr>
            <w:tcW w:w="0" w:type="auto"/>
            <w:gridSpan w:val="3"/>
            <w:shd w:val="clear" w:color="auto" w:fill="auto"/>
            <w:vAlign w:val="center"/>
          </w:tcPr>
          <w:p w14:paraId="4C88AE44">
            <w:pPr>
              <w:jc w:val="right"/>
              <w:rPr>
                <w:rFonts w:ascii="Arial Narrow" w:hAnsi="Arial Narrow"/>
                <w:szCs w:val="21"/>
              </w:rPr>
            </w:pPr>
            <w:r>
              <w:rPr>
                <w:rFonts w:ascii="Arial Narrow" w:hAnsi="Arial Narrow"/>
              </w:rPr>
              <w:t>29,052,991</w:t>
            </w:r>
          </w:p>
        </w:tc>
        <w:sdt>
          <w:sdtPr>
            <w:rPr>
              <w:rFonts w:ascii="Arial Narrow" w:hAnsi="Arial Narrow"/>
              <w:bCs/>
              <w:szCs w:val="21"/>
            </w:rPr>
            <w:alias w:val="前十名无限售条件股东期末持有流通股的种类"/>
            <w:tag w:val="_GBC_b35ef493948141e0b9d0c3fd14aad59a"/>
            <w:id w:val="-747345196"/>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329254A0">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32C54382">
            <w:pPr>
              <w:jc w:val="right"/>
              <w:rPr>
                <w:rFonts w:ascii="Arial Narrow" w:hAnsi="Arial Narrow"/>
                <w:szCs w:val="21"/>
              </w:rPr>
            </w:pPr>
            <w:r>
              <w:rPr>
                <w:rFonts w:ascii="Arial Narrow" w:hAnsi="Arial Narrow"/>
              </w:rPr>
              <w:t>29,052,991</w:t>
            </w:r>
          </w:p>
        </w:tc>
      </w:tr>
      <w:tr w14:paraId="3EC3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3FEA0CA8">
            <w:pPr>
              <w:rPr>
                <w:rFonts w:hint="eastAsia"/>
                <w:szCs w:val="21"/>
              </w:rPr>
            </w:pPr>
            <w:r>
              <w:rPr>
                <w:rFonts w:hint="eastAsia"/>
              </w:rPr>
              <w:t>招商银行股份有限公司－南方中证1000交易型开放式指数证券投资基金</w:t>
            </w:r>
          </w:p>
        </w:tc>
        <w:tc>
          <w:tcPr>
            <w:tcW w:w="0" w:type="auto"/>
            <w:gridSpan w:val="3"/>
            <w:shd w:val="clear" w:color="auto" w:fill="auto"/>
            <w:vAlign w:val="center"/>
          </w:tcPr>
          <w:p w14:paraId="10F46413">
            <w:pPr>
              <w:jc w:val="right"/>
              <w:rPr>
                <w:rFonts w:ascii="Arial Narrow" w:hAnsi="Arial Narrow"/>
                <w:szCs w:val="21"/>
              </w:rPr>
            </w:pPr>
            <w:r>
              <w:rPr>
                <w:rFonts w:ascii="Arial Narrow" w:hAnsi="Arial Narrow"/>
              </w:rPr>
              <w:t>21,689,800</w:t>
            </w:r>
          </w:p>
        </w:tc>
        <w:sdt>
          <w:sdtPr>
            <w:rPr>
              <w:rFonts w:ascii="Arial Narrow" w:hAnsi="Arial Narrow"/>
              <w:bCs/>
              <w:szCs w:val="21"/>
            </w:rPr>
            <w:alias w:val="前十名无限售条件股东期末持有流通股的种类"/>
            <w:tag w:val="_GBC_b35ef493948141e0b9d0c3fd14aad59a"/>
            <w:id w:val="-1850251199"/>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0AAFD49E">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167C6F38">
            <w:pPr>
              <w:jc w:val="right"/>
              <w:rPr>
                <w:rFonts w:ascii="Arial Narrow" w:hAnsi="Arial Narrow"/>
                <w:szCs w:val="21"/>
              </w:rPr>
            </w:pPr>
            <w:r>
              <w:rPr>
                <w:rFonts w:ascii="Arial Narrow" w:hAnsi="Arial Narrow"/>
              </w:rPr>
              <w:t>21,689,800</w:t>
            </w:r>
          </w:p>
        </w:tc>
      </w:tr>
      <w:tr w14:paraId="317E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690E35A8">
            <w:pPr>
              <w:rPr>
                <w:rFonts w:hint="eastAsia"/>
                <w:szCs w:val="21"/>
              </w:rPr>
            </w:pPr>
            <w:r>
              <w:rPr>
                <w:rFonts w:hint="eastAsia"/>
              </w:rPr>
              <w:t>中国建设银行股份有限公司－国泰中证军工交易型开放式指数证券投资基金</w:t>
            </w:r>
          </w:p>
        </w:tc>
        <w:tc>
          <w:tcPr>
            <w:tcW w:w="0" w:type="auto"/>
            <w:gridSpan w:val="3"/>
            <w:shd w:val="clear" w:color="auto" w:fill="auto"/>
            <w:vAlign w:val="center"/>
          </w:tcPr>
          <w:p w14:paraId="612D6FF5">
            <w:pPr>
              <w:jc w:val="right"/>
              <w:rPr>
                <w:rFonts w:ascii="Arial Narrow" w:hAnsi="Arial Narrow"/>
                <w:szCs w:val="21"/>
              </w:rPr>
            </w:pPr>
            <w:r>
              <w:rPr>
                <w:rFonts w:ascii="Arial Narrow" w:hAnsi="Arial Narrow"/>
              </w:rPr>
              <w:t>21,607,100</w:t>
            </w:r>
          </w:p>
        </w:tc>
        <w:sdt>
          <w:sdtPr>
            <w:rPr>
              <w:rFonts w:ascii="Arial Narrow" w:hAnsi="Arial Narrow"/>
              <w:bCs/>
              <w:szCs w:val="21"/>
            </w:rPr>
            <w:alias w:val="前十名无限售条件股东期末持有流通股的种类"/>
            <w:tag w:val="_GBC_b35ef493948141e0b9d0c3fd14aad59a"/>
            <w:id w:val="-378320886"/>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272CE27F">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7FF9E977">
            <w:pPr>
              <w:jc w:val="right"/>
              <w:rPr>
                <w:rFonts w:ascii="Arial Narrow" w:hAnsi="Arial Narrow"/>
                <w:szCs w:val="21"/>
              </w:rPr>
            </w:pPr>
            <w:r>
              <w:rPr>
                <w:rFonts w:ascii="Arial Narrow" w:hAnsi="Arial Narrow"/>
              </w:rPr>
              <w:t>21,607,100</w:t>
            </w:r>
          </w:p>
        </w:tc>
      </w:tr>
      <w:tr w14:paraId="2E75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5BB8CB3E">
            <w:pPr>
              <w:rPr>
                <w:rFonts w:hint="eastAsia"/>
                <w:szCs w:val="21"/>
              </w:rPr>
            </w:pPr>
            <w:r>
              <w:rPr>
                <w:rFonts w:hint="eastAsia"/>
              </w:rPr>
              <w:t>信诚基金－中信证券－广州金控资本管理有限公司</w:t>
            </w:r>
          </w:p>
        </w:tc>
        <w:tc>
          <w:tcPr>
            <w:tcW w:w="0" w:type="auto"/>
            <w:gridSpan w:val="3"/>
            <w:shd w:val="clear" w:color="auto" w:fill="auto"/>
            <w:vAlign w:val="center"/>
          </w:tcPr>
          <w:p w14:paraId="5B59F545">
            <w:pPr>
              <w:jc w:val="right"/>
              <w:rPr>
                <w:rFonts w:ascii="Arial Narrow" w:hAnsi="Arial Narrow"/>
                <w:szCs w:val="21"/>
              </w:rPr>
            </w:pPr>
            <w:r>
              <w:rPr>
                <w:rFonts w:ascii="Arial Narrow" w:hAnsi="Arial Narrow"/>
              </w:rPr>
              <w:t>15,873,015</w:t>
            </w:r>
          </w:p>
        </w:tc>
        <w:sdt>
          <w:sdtPr>
            <w:rPr>
              <w:rFonts w:ascii="Arial Narrow" w:hAnsi="Arial Narrow"/>
              <w:bCs/>
              <w:szCs w:val="21"/>
            </w:rPr>
            <w:alias w:val="前十名无限售条件股东期末持有流通股的种类"/>
            <w:tag w:val="_GBC_b35ef493948141e0b9d0c3fd14aad59a"/>
            <w:id w:val="-53093737"/>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2523398D">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536395C3">
            <w:pPr>
              <w:jc w:val="right"/>
              <w:rPr>
                <w:rFonts w:ascii="Arial Narrow" w:hAnsi="Arial Narrow"/>
                <w:szCs w:val="21"/>
              </w:rPr>
            </w:pPr>
            <w:r>
              <w:rPr>
                <w:rFonts w:ascii="Arial Narrow" w:hAnsi="Arial Narrow"/>
              </w:rPr>
              <w:t>15,873,015</w:t>
            </w:r>
          </w:p>
        </w:tc>
      </w:tr>
      <w:tr w14:paraId="4678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617A69D0">
            <w:pPr>
              <w:rPr>
                <w:rFonts w:hint="eastAsia"/>
                <w:szCs w:val="21"/>
              </w:rPr>
            </w:pPr>
            <w:r>
              <w:rPr>
                <w:rFonts w:hint="eastAsia"/>
              </w:rPr>
              <w:t>赵凯</w:t>
            </w:r>
          </w:p>
        </w:tc>
        <w:tc>
          <w:tcPr>
            <w:tcW w:w="0" w:type="auto"/>
            <w:gridSpan w:val="3"/>
            <w:shd w:val="clear" w:color="auto" w:fill="auto"/>
            <w:vAlign w:val="center"/>
          </w:tcPr>
          <w:p w14:paraId="303A34BE">
            <w:pPr>
              <w:jc w:val="right"/>
              <w:rPr>
                <w:rFonts w:ascii="Arial Narrow" w:hAnsi="Arial Narrow"/>
                <w:szCs w:val="21"/>
              </w:rPr>
            </w:pPr>
            <w:r>
              <w:rPr>
                <w:rFonts w:ascii="Arial Narrow" w:hAnsi="Arial Narrow"/>
              </w:rPr>
              <w:t>12,921,783</w:t>
            </w:r>
          </w:p>
        </w:tc>
        <w:sdt>
          <w:sdtPr>
            <w:rPr>
              <w:rFonts w:ascii="Arial Narrow" w:hAnsi="Arial Narrow"/>
              <w:bCs/>
              <w:szCs w:val="21"/>
            </w:rPr>
            <w:alias w:val="前十名无限售条件股东期末持有流通股的种类"/>
            <w:tag w:val="_GBC_b35ef493948141e0b9d0c3fd14aad59a"/>
            <w:id w:val="114609715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4406313E">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3C9BF7A8">
            <w:pPr>
              <w:jc w:val="right"/>
              <w:rPr>
                <w:rFonts w:ascii="Arial Narrow" w:hAnsi="Arial Narrow"/>
                <w:szCs w:val="21"/>
              </w:rPr>
            </w:pPr>
            <w:r>
              <w:rPr>
                <w:rFonts w:ascii="Arial Narrow" w:hAnsi="Arial Narrow"/>
              </w:rPr>
              <w:t>12,921,783</w:t>
            </w:r>
          </w:p>
        </w:tc>
      </w:tr>
      <w:tr w14:paraId="2F49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21F476B6">
            <w:pPr>
              <w:rPr>
                <w:rFonts w:hint="eastAsia"/>
                <w:szCs w:val="21"/>
              </w:rPr>
            </w:pPr>
            <w:r>
              <w:rPr>
                <w:rFonts w:hint="eastAsia"/>
              </w:rPr>
              <w:t>招商银行股份有限公司－华夏中证1000交易型开放式指数证券投资基金</w:t>
            </w:r>
          </w:p>
        </w:tc>
        <w:tc>
          <w:tcPr>
            <w:tcW w:w="0" w:type="auto"/>
            <w:gridSpan w:val="3"/>
            <w:shd w:val="clear" w:color="auto" w:fill="auto"/>
            <w:vAlign w:val="center"/>
          </w:tcPr>
          <w:p w14:paraId="3A7AEB73">
            <w:pPr>
              <w:jc w:val="right"/>
              <w:rPr>
                <w:rFonts w:ascii="Arial Narrow" w:hAnsi="Arial Narrow"/>
                <w:szCs w:val="21"/>
              </w:rPr>
            </w:pPr>
            <w:r>
              <w:rPr>
                <w:rFonts w:ascii="Arial Narrow" w:hAnsi="Arial Narrow"/>
              </w:rPr>
              <w:t>11,672,400</w:t>
            </w:r>
          </w:p>
        </w:tc>
        <w:sdt>
          <w:sdtPr>
            <w:rPr>
              <w:rFonts w:ascii="Arial Narrow" w:hAnsi="Arial Narrow"/>
              <w:bCs/>
              <w:szCs w:val="21"/>
            </w:rPr>
            <w:alias w:val="前十名无限售条件股东期末持有流通股的种类"/>
            <w:tag w:val="_GBC_b35ef493948141e0b9d0c3fd14aad59a"/>
            <w:id w:val="1907568780"/>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18A7719F">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6ABEA83E">
            <w:pPr>
              <w:jc w:val="right"/>
              <w:rPr>
                <w:rFonts w:ascii="Arial Narrow" w:hAnsi="Arial Narrow"/>
                <w:szCs w:val="21"/>
              </w:rPr>
            </w:pPr>
            <w:r>
              <w:rPr>
                <w:rFonts w:ascii="Arial Narrow" w:hAnsi="Arial Narrow"/>
              </w:rPr>
              <w:t>11,672,400</w:t>
            </w:r>
          </w:p>
        </w:tc>
      </w:tr>
      <w:tr w14:paraId="6F36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26DB6A94">
            <w:pPr>
              <w:rPr>
                <w:rFonts w:hint="eastAsia"/>
                <w:szCs w:val="21"/>
              </w:rPr>
            </w:pPr>
            <w:r>
              <w:rPr>
                <w:rFonts w:hint="eastAsia"/>
              </w:rPr>
              <w:t>新兴发展集团有限公司</w:t>
            </w:r>
          </w:p>
        </w:tc>
        <w:tc>
          <w:tcPr>
            <w:tcW w:w="0" w:type="auto"/>
            <w:gridSpan w:val="3"/>
            <w:shd w:val="clear" w:color="auto" w:fill="auto"/>
            <w:vAlign w:val="center"/>
          </w:tcPr>
          <w:p w14:paraId="4A946EEE">
            <w:pPr>
              <w:jc w:val="right"/>
              <w:rPr>
                <w:rFonts w:ascii="Arial Narrow" w:hAnsi="Arial Narrow"/>
                <w:szCs w:val="21"/>
              </w:rPr>
            </w:pPr>
            <w:r>
              <w:rPr>
                <w:rFonts w:ascii="Arial Narrow" w:hAnsi="Arial Narrow"/>
              </w:rPr>
              <w:t>10,700,100</w:t>
            </w:r>
          </w:p>
        </w:tc>
        <w:sdt>
          <w:sdtPr>
            <w:rPr>
              <w:rFonts w:ascii="Arial Narrow" w:hAnsi="Arial Narrow"/>
              <w:bCs/>
              <w:szCs w:val="21"/>
            </w:rPr>
            <w:alias w:val="前十名无限售条件股东期末持有流通股的种类"/>
            <w:tag w:val="_GBC_b35ef493948141e0b9d0c3fd14aad59a"/>
            <w:id w:val="-1219818087"/>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rFonts w:ascii="Arial Narrow" w:hAnsi="Arial Narrow"/>
              <w:bCs/>
              <w:szCs w:val="21"/>
            </w:rPr>
          </w:sdtEndPr>
          <w:sdtContent>
            <w:tc>
              <w:tcPr>
                <w:tcW w:w="0" w:type="auto"/>
                <w:gridSpan w:val="2"/>
                <w:shd w:val="clear" w:color="auto" w:fill="auto"/>
                <w:vAlign w:val="center"/>
              </w:tcPr>
              <w:p w14:paraId="3B707F05">
                <w:pPr>
                  <w:jc w:val="center"/>
                  <w:rPr>
                    <w:rFonts w:ascii="Arial Narrow" w:hAnsi="Arial Narrow"/>
                    <w:bCs/>
                    <w:szCs w:val="21"/>
                  </w:rPr>
                </w:pPr>
                <w:r>
                  <w:rPr>
                    <w:rFonts w:ascii="Arial Narrow" w:hAnsi="Arial Narrow"/>
                    <w:bCs/>
                    <w:szCs w:val="21"/>
                  </w:rPr>
                  <w:t>人民币普通股</w:t>
                </w:r>
              </w:p>
            </w:tc>
          </w:sdtContent>
        </w:sdt>
        <w:tc>
          <w:tcPr>
            <w:tcW w:w="0" w:type="auto"/>
            <w:gridSpan w:val="2"/>
            <w:shd w:val="clear" w:color="auto" w:fill="auto"/>
            <w:vAlign w:val="center"/>
          </w:tcPr>
          <w:p w14:paraId="65C5C57F">
            <w:pPr>
              <w:jc w:val="right"/>
              <w:rPr>
                <w:rFonts w:ascii="Arial Narrow" w:hAnsi="Arial Narrow"/>
                <w:szCs w:val="21"/>
              </w:rPr>
            </w:pPr>
            <w:r>
              <w:rPr>
                <w:rFonts w:ascii="Arial Narrow" w:hAnsi="Arial Narrow"/>
              </w:rPr>
              <w:t>10,700,100</w:t>
            </w:r>
          </w:p>
        </w:tc>
      </w:tr>
      <w:tr w14:paraId="7CD1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182A83E2">
            <w:pPr>
              <w:rPr>
                <w:rFonts w:hint="eastAsia"/>
                <w:szCs w:val="21"/>
              </w:rPr>
            </w:pPr>
            <w:r>
              <w:rPr>
                <w:rFonts w:hint="eastAsia"/>
              </w:rPr>
              <w:t>前十名股东中回购专户情况说明</w:t>
            </w:r>
          </w:p>
        </w:tc>
        <w:tc>
          <w:tcPr>
            <w:tcW w:w="0" w:type="auto"/>
            <w:gridSpan w:val="7"/>
            <w:shd w:val="clear" w:color="auto" w:fill="auto"/>
            <w:vAlign w:val="center"/>
          </w:tcPr>
          <w:p w14:paraId="321222E2">
            <w:pPr>
              <w:rPr>
                <w:rFonts w:hint="eastAsia"/>
                <w:szCs w:val="21"/>
              </w:rPr>
            </w:pPr>
            <w:r>
              <w:rPr>
                <w:rFonts w:hint="eastAsia"/>
              </w:rPr>
              <w:t>不涉及</w:t>
            </w:r>
          </w:p>
        </w:tc>
      </w:tr>
      <w:tr w14:paraId="143D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7B903D62">
            <w:pPr>
              <w:rPr>
                <w:rFonts w:hint="eastAsia"/>
              </w:rPr>
            </w:pPr>
            <w:r>
              <w:rPr>
                <w:szCs w:val="21"/>
              </w:rPr>
              <w:t>上述股东</w:t>
            </w:r>
            <w:r>
              <w:rPr>
                <w:rFonts w:hint="eastAsia"/>
                <w:szCs w:val="21"/>
              </w:rPr>
              <w:t>委托表决权、受托表决权、放弃表决权</w:t>
            </w:r>
            <w:r>
              <w:rPr>
                <w:szCs w:val="21"/>
              </w:rPr>
              <w:t>的说明</w:t>
            </w:r>
          </w:p>
        </w:tc>
        <w:tc>
          <w:tcPr>
            <w:tcW w:w="0" w:type="auto"/>
            <w:gridSpan w:val="7"/>
            <w:shd w:val="clear" w:color="auto" w:fill="auto"/>
            <w:vAlign w:val="center"/>
          </w:tcPr>
          <w:p w14:paraId="678FD727">
            <w:pPr>
              <w:rPr>
                <w:rFonts w:hint="eastAsia"/>
                <w:szCs w:val="21"/>
              </w:rPr>
            </w:pPr>
            <w:r>
              <w:rPr>
                <w:rFonts w:hint="eastAsia"/>
              </w:rPr>
              <w:t>不涉及</w:t>
            </w:r>
          </w:p>
        </w:tc>
      </w:tr>
      <w:tr w14:paraId="4F38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267DA2E5">
            <w:pPr>
              <w:rPr>
                <w:rFonts w:hint="eastAsia"/>
                <w:szCs w:val="21"/>
              </w:rPr>
            </w:pPr>
            <w:r>
              <w:rPr>
                <w:szCs w:val="21"/>
              </w:rPr>
              <w:t>上述股东关联关系或一致行动的说明</w:t>
            </w:r>
          </w:p>
        </w:tc>
        <w:tc>
          <w:tcPr>
            <w:tcW w:w="0" w:type="auto"/>
            <w:gridSpan w:val="7"/>
            <w:shd w:val="clear" w:color="auto" w:fill="auto"/>
            <w:vAlign w:val="center"/>
          </w:tcPr>
          <w:p w14:paraId="3CDEED0E">
            <w:pPr>
              <w:rPr>
                <w:rFonts w:hint="eastAsia"/>
                <w:szCs w:val="21"/>
              </w:rPr>
            </w:pPr>
            <w:r>
              <w:rPr>
                <w:rFonts w:hint="eastAsia"/>
              </w:rPr>
              <w:t>新兴铸管股份有限公司、新兴发展集团有限公司分别是新兴际华集团有限公司的控股子公司、全资子公司，未知其余股东之间是否存在关联关系。</w:t>
            </w:r>
          </w:p>
        </w:tc>
      </w:tr>
      <w:tr w14:paraId="2960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2"/>
            <w:shd w:val="clear" w:color="auto" w:fill="auto"/>
            <w:vAlign w:val="center"/>
          </w:tcPr>
          <w:p w14:paraId="589A0B24">
            <w:pPr>
              <w:rPr>
                <w:rFonts w:hint="eastAsia"/>
                <w:szCs w:val="21"/>
              </w:rPr>
            </w:pPr>
            <w:r>
              <w:rPr>
                <w:rFonts w:hint="eastAsia"/>
                <w:szCs w:val="21"/>
              </w:rPr>
              <w:t>表决权恢复的优先股股东及持股数量的说明</w:t>
            </w:r>
          </w:p>
        </w:tc>
        <w:tc>
          <w:tcPr>
            <w:tcW w:w="0" w:type="auto"/>
            <w:gridSpan w:val="7"/>
            <w:shd w:val="clear" w:color="auto" w:fill="auto"/>
            <w:vAlign w:val="center"/>
          </w:tcPr>
          <w:p w14:paraId="28AA53DF">
            <w:pPr>
              <w:rPr>
                <w:rFonts w:hint="eastAsia"/>
                <w:szCs w:val="21"/>
              </w:rPr>
            </w:pPr>
            <w:r>
              <w:rPr>
                <w:rFonts w:hint="eastAsia"/>
              </w:rPr>
              <w:t>不涉及</w:t>
            </w:r>
          </w:p>
        </w:tc>
      </w:tr>
    </w:tbl>
    <w:p w14:paraId="7321DB59">
      <w:pPr>
        <w:rPr>
          <w:rFonts w:hint="eastAsia"/>
          <w:szCs w:val="21"/>
        </w:rPr>
      </w:pPr>
    </w:p>
    <w:p w14:paraId="57D7D414">
      <w:pPr>
        <w:rPr>
          <w:rFonts w:hint="eastAsia"/>
          <w:szCs w:val="21"/>
        </w:rPr>
      </w:pPr>
      <w:bookmarkStart w:id="153" w:name="_Hlk155094173"/>
      <w:r>
        <w:rPr>
          <w:szCs w:val="21"/>
        </w:rPr>
        <w:t>持</w:t>
      </w:r>
      <w:r>
        <w:rPr>
          <w:rFonts w:hint="eastAsia"/>
        </w:rPr>
        <w:t>股</w:t>
      </w:r>
      <w:r>
        <w:t>5%以上股东、前十名股东及前十名无限售流通股股东参与转融通业务出借股份情</w:t>
      </w:r>
      <w:r>
        <w:rPr>
          <w:rFonts w:hint="eastAsia"/>
          <w:szCs w:val="21"/>
        </w:rPr>
        <w:t>况</w:t>
      </w:r>
    </w:p>
    <w:sdt>
      <w:sdtPr>
        <w:rPr>
          <w:bCs/>
          <w:szCs w:val="21"/>
        </w:rPr>
        <w:alias w:val="是否适用：前十名股东参与转融通业务出借股份情况[双击切换]"/>
        <w:tag w:val="_GBC_2d74b1abb153475cb0679c2ab4305c0d"/>
        <w:id w:val="-557402912"/>
        <w:placeholder>
          <w:docPart w:val="GBC22222222222222222222222222222"/>
        </w:placeholder>
      </w:sdtPr>
      <w:sdtEndPr>
        <w:rPr>
          <w:bCs/>
          <w:szCs w:val="21"/>
        </w:rPr>
      </w:sdtEndPr>
      <w:sdtContent>
        <w:p w14:paraId="0DEFE56D">
          <w:pPr>
            <w:rPr>
              <w:rFonts w:hint="eastAsia"/>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47413820">
      <w:pPr>
        <w:jc w:val="right"/>
        <w:rPr>
          <w:rFonts w:hint="eastAsia"/>
          <w:szCs w:val="21"/>
        </w:rPr>
      </w:pPr>
      <w:r>
        <w:rPr>
          <w:bCs/>
          <w:szCs w:val="21"/>
        </w:rPr>
        <w:t>单位：</w:t>
      </w:r>
      <w:sdt>
        <w:sdtPr>
          <w:rPr>
            <w:bCs/>
            <w:szCs w:val="21"/>
          </w:rPr>
          <w:alias w:val="单位：前十名股东参与转融通业务出借股份情况"/>
          <w:tag w:val="_GBC_45b1047c9cfa42988ad6df85decd719d"/>
          <w:id w:val="1405567506"/>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bCs/>
            <w:szCs w:val="21"/>
          </w:rPr>
        </w:sdtEndPr>
        <w:sdtContent>
          <w:r>
            <w:rPr>
              <w:bCs/>
              <w:szCs w:val="21"/>
            </w:rPr>
            <w:t>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992"/>
        <w:gridCol w:w="851"/>
        <w:gridCol w:w="875"/>
        <w:gridCol w:w="801"/>
        <w:gridCol w:w="1288"/>
        <w:gridCol w:w="1091"/>
        <w:gridCol w:w="702"/>
        <w:gridCol w:w="810"/>
      </w:tblGrid>
      <w:tr w14:paraId="6FF1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sdt>
          <w:sdtPr>
            <w:tag w:val="_PLD_7086b05bd021406bb4c9e7e910ea5965"/>
            <w:id w:val="16981553"/>
          </w:sdtPr>
          <w:sdtEndPr>
            <w:rPr>
              <w:rFonts w:hint="eastAsia"/>
            </w:rPr>
          </w:sdtEndPr>
          <w:sdtContent>
            <w:tc>
              <w:tcPr>
                <w:tcW w:w="5000" w:type="pct"/>
                <w:gridSpan w:val="9"/>
              </w:tcPr>
              <w:p w14:paraId="2C12FFF0">
                <w:pPr>
                  <w:pStyle w:val="15"/>
                  <w:jc w:val="center"/>
                </w:pPr>
                <w:r>
                  <w:rPr>
                    <w:rFonts w:hint="eastAsia" w:ascii="宋体" w:hAnsi="宋体"/>
                  </w:rPr>
                  <w:t>持股5%以上股东、前十名股东及前十名无限售流通股股东参与转融通业务出借股份情况</w:t>
                </w:r>
              </w:p>
            </w:tc>
          </w:sdtContent>
        </w:sdt>
      </w:tr>
      <w:tr w14:paraId="350A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sdt>
          <w:sdtPr>
            <w:tag w:val="_PLD_6d2138e187cc4bb5bdd149c33a15fb50"/>
            <w:id w:val="-2007887909"/>
          </w:sdtPr>
          <w:sdtContent>
            <w:tc>
              <w:tcPr>
                <w:tcW w:w="801" w:type="pct"/>
                <w:vMerge w:val="restart"/>
                <w:vAlign w:val="center"/>
              </w:tcPr>
              <w:p w14:paraId="1BBB10B4">
                <w:pPr>
                  <w:widowControl w:val="0"/>
                  <w:jc w:val="center"/>
                  <w:rPr>
                    <w:rFonts w:hint="eastAsia"/>
                    <w:szCs w:val="21"/>
                  </w:rPr>
                </w:pPr>
                <w:r>
                  <w:rPr>
                    <w:rFonts w:hint="eastAsia"/>
                    <w:szCs w:val="21"/>
                  </w:rPr>
                  <w:t>股东名称（全称）</w:t>
                </w:r>
              </w:p>
            </w:tc>
          </w:sdtContent>
        </w:sdt>
        <w:sdt>
          <w:sdtPr>
            <w:tag w:val="_PLD_c17c23c6133a438e91726295c5296b1f"/>
            <w:id w:val="-2082593278"/>
          </w:sdtPr>
          <w:sdtContent>
            <w:tc>
              <w:tcPr>
                <w:tcW w:w="1044" w:type="pct"/>
                <w:gridSpan w:val="2"/>
                <w:vAlign w:val="center"/>
              </w:tcPr>
              <w:p w14:paraId="727C7DC3">
                <w:pPr>
                  <w:widowControl w:val="0"/>
                  <w:jc w:val="center"/>
                  <w:rPr>
                    <w:rFonts w:hint="eastAsia"/>
                    <w:szCs w:val="21"/>
                  </w:rPr>
                </w:pPr>
                <w:r>
                  <w:rPr>
                    <w:rFonts w:hint="eastAsia"/>
                    <w:szCs w:val="21"/>
                  </w:rPr>
                  <w:t>期初普通账户、信用账户持股</w:t>
                </w:r>
              </w:p>
            </w:tc>
          </w:sdtContent>
        </w:sdt>
        <w:sdt>
          <w:sdtPr>
            <w:tag w:val="_PLD_d95af5a9fd9f42a98557de480caf56db"/>
            <w:id w:val="1609232849"/>
          </w:sdtPr>
          <w:sdtContent>
            <w:tc>
              <w:tcPr>
                <w:tcW w:w="950" w:type="pct"/>
                <w:gridSpan w:val="2"/>
                <w:vAlign w:val="center"/>
              </w:tcPr>
              <w:p w14:paraId="2CF1A0C5">
                <w:pPr>
                  <w:widowControl w:val="0"/>
                  <w:jc w:val="center"/>
                  <w:rPr>
                    <w:rFonts w:hint="eastAsia"/>
                    <w:szCs w:val="21"/>
                  </w:rPr>
                </w:pPr>
                <w:r>
                  <w:rPr>
                    <w:rFonts w:hint="eastAsia"/>
                  </w:rPr>
                  <w:t>期初转融通出借股份且尚未归还</w:t>
                </w:r>
              </w:p>
            </w:tc>
          </w:sdtContent>
        </w:sdt>
        <w:sdt>
          <w:sdtPr>
            <w:tag w:val="_PLD_6b63d68b14654024945e4758d8b8a4e2"/>
            <w:id w:val="1250704438"/>
          </w:sdtPr>
          <w:sdtContent>
            <w:tc>
              <w:tcPr>
                <w:tcW w:w="1348" w:type="pct"/>
                <w:gridSpan w:val="2"/>
                <w:vAlign w:val="center"/>
              </w:tcPr>
              <w:p w14:paraId="4CB17404">
                <w:pPr>
                  <w:widowControl w:val="0"/>
                  <w:jc w:val="center"/>
                  <w:rPr>
                    <w:rFonts w:hint="eastAsia"/>
                    <w:szCs w:val="21"/>
                  </w:rPr>
                </w:pPr>
                <w:r>
                  <w:t>期</w:t>
                </w:r>
                <w:r>
                  <w:rPr>
                    <w:rFonts w:hint="eastAsia"/>
                  </w:rPr>
                  <w:t>末</w:t>
                </w:r>
                <w:r>
                  <w:t>普通账户、信用账户持股</w:t>
                </w:r>
              </w:p>
            </w:tc>
          </w:sdtContent>
        </w:sdt>
        <w:sdt>
          <w:sdtPr>
            <w:tag w:val="_PLD_d655a1c9faba49a29ad6825f0545d539"/>
            <w:id w:val="920067006"/>
          </w:sdtPr>
          <w:sdtContent>
            <w:tc>
              <w:tcPr>
                <w:tcW w:w="857" w:type="pct"/>
                <w:gridSpan w:val="2"/>
                <w:vAlign w:val="center"/>
              </w:tcPr>
              <w:p w14:paraId="4EBC9E1C">
                <w:pPr>
                  <w:widowControl w:val="0"/>
                  <w:jc w:val="center"/>
                  <w:rPr>
                    <w:rFonts w:hint="eastAsia"/>
                    <w:szCs w:val="21"/>
                  </w:rPr>
                </w:pPr>
                <w:r>
                  <w:t>期</w:t>
                </w:r>
                <w:r>
                  <w:rPr>
                    <w:rFonts w:hint="eastAsia"/>
                  </w:rPr>
                  <w:t>末</w:t>
                </w:r>
                <w:r>
                  <w:t>转融通出借股份且尚未归还</w:t>
                </w:r>
              </w:p>
            </w:tc>
          </w:sdtContent>
        </w:sdt>
      </w:tr>
      <w:tr w14:paraId="7880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01" w:type="pct"/>
            <w:vMerge w:val="continue"/>
          </w:tcPr>
          <w:p w14:paraId="6E9659CF">
            <w:pPr>
              <w:widowControl w:val="0"/>
              <w:jc w:val="center"/>
              <w:rPr>
                <w:rFonts w:hint="eastAsia"/>
              </w:rPr>
            </w:pPr>
          </w:p>
        </w:tc>
        <w:sdt>
          <w:sdtPr>
            <w:tag w:val="_PLD_299fd6773e244284954c72f36df20e2c"/>
            <w:id w:val="-1868910212"/>
          </w:sdtPr>
          <w:sdtContent>
            <w:tc>
              <w:tcPr>
                <w:tcW w:w="562" w:type="pct"/>
                <w:vAlign w:val="center"/>
              </w:tcPr>
              <w:p w14:paraId="19004A85">
                <w:pPr>
                  <w:widowControl w:val="0"/>
                  <w:jc w:val="center"/>
                  <w:rPr>
                    <w:rFonts w:hint="eastAsia"/>
                  </w:rPr>
                </w:pPr>
                <w:r>
                  <w:t>数量合计</w:t>
                </w:r>
              </w:p>
            </w:tc>
          </w:sdtContent>
        </w:sdt>
        <w:sdt>
          <w:sdtPr>
            <w:tag w:val="_PLD_e6aadbf704134d34b4abe374387815f9"/>
            <w:id w:val="1025137466"/>
          </w:sdtPr>
          <w:sdtContent>
            <w:tc>
              <w:tcPr>
                <w:tcW w:w="482" w:type="pct"/>
                <w:vAlign w:val="center"/>
              </w:tcPr>
              <w:p w14:paraId="3B378E95">
                <w:pPr>
                  <w:widowControl w:val="0"/>
                  <w:jc w:val="center"/>
                  <w:rPr>
                    <w:rFonts w:hint="eastAsia"/>
                  </w:rPr>
                </w:pPr>
                <w:r>
                  <w:t>比例（%）</w:t>
                </w:r>
              </w:p>
            </w:tc>
          </w:sdtContent>
        </w:sdt>
        <w:sdt>
          <w:sdtPr>
            <w:tag w:val="_PLD_728d888d2b5f4c16a8214c6e1da2ecf1"/>
            <w:id w:val="182410405"/>
          </w:sdtPr>
          <w:sdtContent>
            <w:tc>
              <w:tcPr>
                <w:tcW w:w="496" w:type="pct"/>
                <w:vAlign w:val="center"/>
              </w:tcPr>
              <w:p w14:paraId="5D65C1CB">
                <w:pPr>
                  <w:widowControl w:val="0"/>
                  <w:jc w:val="center"/>
                  <w:rPr>
                    <w:rFonts w:hint="eastAsia"/>
                  </w:rPr>
                </w:pPr>
                <w:r>
                  <w:t>数量合计</w:t>
                </w:r>
              </w:p>
            </w:tc>
          </w:sdtContent>
        </w:sdt>
        <w:sdt>
          <w:sdtPr>
            <w:tag w:val="_PLD_956867d16d6b4f968d6971930b4bb71e"/>
            <w:id w:val="2044788910"/>
          </w:sdtPr>
          <w:sdtContent>
            <w:tc>
              <w:tcPr>
                <w:tcW w:w="454" w:type="pct"/>
                <w:vAlign w:val="center"/>
              </w:tcPr>
              <w:p w14:paraId="23C87685">
                <w:pPr>
                  <w:widowControl w:val="0"/>
                  <w:jc w:val="center"/>
                  <w:rPr>
                    <w:rFonts w:hint="eastAsia"/>
                  </w:rPr>
                </w:pPr>
                <w:r>
                  <w:t>比例（%）</w:t>
                </w:r>
              </w:p>
            </w:tc>
          </w:sdtContent>
        </w:sdt>
        <w:sdt>
          <w:sdtPr>
            <w:tag w:val="_PLD_129ed1fcec814740afbcfb8af27530a7"/>
            <w:id w:val="1861242772"/>
          </w:sdtPr>
          <w:sdtContent>
            <w:tc>
              <w:tcPr>
                <w:tcW w:w="730" w:type="pct"/>
                <w:vAlign w:val="center"/>
              </w:tcPr>
              <w:p w14:paraId="5C7783C3">
                <w:pPr>
                  <w:widowControl w:val="0"/>
                  <w:jc w:val="center"/>
                  <w:rPr>
                    <w:rFonts w:hint="eastAsia"/>
                  </w:rPr>
                </w:pPr>
                <w:r>
                  <w:t>数量合计</w:t>
                </w:r>
              </w:p>
            </w:tc>
          </w:sdtContent>
        </w:sdt>
        <w:sdt>
          <w:sdtPr>
            <w:tag w:val="_PLD_47d572e9abcd42b48d55e923765fd6b6"/>
            <w:id w:val="1153487837"/>
          </w:sdtPr>
          <w:sdtContent>
            <w:tc>
              <w:tcPr>
                <w:tcW w:w="618" w:type="pct"/>
                <w:vAlign w:val="center"/>
              </w:tcPr>
              <w:p w14:paraId="7006B990">
                <w:pPr>
                  <w:widowControl w:val="0"/>
                  <w:jc w:val="center"/>
                  <w:rPr>
                    <w:rFonts w:hint="eastAsia"/>
                  </w:rPr>
                </w:pPr>
                <w:r>
                  <w:t>比例（%）</w:t>
                </w:r>
              </w:p>
            </w:tc>
          </w:sdtContent>
        </w:sdt>
        <w:sdt>
          <w:sdtPr>
            <w:tag w:val="_PLD_64e37b7954214edba724378f24a4ec7d"/>
            <w:id w:val="768583609"/>
          </w:sdtPr>
          <w:sdtContent>
            <w:tc>
              <w:tcPr>
                <w:tcW w:w="398" w:type="pct"/>
                <w:vAlign w:val="center"/>
              </w:tcPr>
              <w:p w14:paraId="4D09AE77">
                <w:pPr>
                  <w:widowControl w:val="0"/>
                  <w:jc w:val="center"/>
                  <w:rPr>
                    <w:rFonts w:hint="eastAsia"/>
                  </w:rPr>
                </w:pPr>
                <w:r>
                  <w:t>数量合计</w:t>
                </w:r>
              </w:p>
            </w:tc>
          </w:sdtContent>
        </w:sdt>
        <w:sdt>
          <w:sdtPr>
            <w:tag w:val="_PLD_09a65d84a1624926b2c619b9a5ae29b5"/>
            <w:id w:val="-1091931959"/>
          </w:sdtPr>
          <w:sdtContent>
            <w:tc>
              <w:tcPr>
                <w:tcW w:w="459" w:type="pct"/>
                <w:vAlign w:val="center"/>
              </w:tcPr>
              <w:p w14:paraId="0776ED77">
                <w:pPr>
                  <w:widowControl w:val="0"/>
                  <w:jc w:val="center"/>
                  <w:rPr>
                    <w:rFonts w:hint="eastAsia"/>
                  </w:rPr>
                </w:pPr>
                <w:r>
                  <w:t>比例（%）</w:t>
                </w:r>
              </w:p>
            </w:tc>
          </w:sdtContent>
        </w:sdt>
      </w:tr>
      <w:tr w14:paraId="6A4E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vAlign w:val="center"/>
          </w:tcPr>
          <w:p w14:paraId="7A8905C2">
            <w:pPr>
              <w:widowControl w:val="0"/>
              <w:jc w:val="both"/>
              <w:rPr>
                <w:rFonts w:hint="eastAsia"/>
              </w:rPr>
            </w:pPr>
            <w:r>
              <w:rPr>
                <w:rFonts w:hint="eastAsia"/>
              </w:rPr>
              <w:t>招商银行股份有限公司－南方中证1000交易型开放式指数证券投资基金</w:t>
            </w:r>
          </w:p>
        </w:tc>
        <w:tc>
          <w:tcPr>
            <w:tcW w:w="562" w:type="pct"/>
            <w:vAlign w:val="center"/>
          </w:tcPr>
          <w:p w14:paraId="75AEDBBC">
            <w:pPr>
              <w:widowControl w:val="0"/>
              <w:jc w:val="right"/>
              <w:rPr>
                <w:rFonts w:ascii="Arial Narrow" w:hAnsi="Arial Narrow"/>
              </w:rPr>
            </w:pPr>
            <w:r>
              <w:rPr>
                <w:rFonts w:ascii="Arial Narrow" w:hAnsi="Arial Narrow"/>
              </w:rPr>
              <w:t>2,705,900</w:t>
            </w:r>
          </w:p>
        </w:tc>
        <w:tc>
          <w:tcPr>
            <w:tcW w:w="482" w:type="pct"/>
            <w:vAlign w:val="center"/>
          </w:tcPr>
          <w:p w14:paraId="5030A9AA">
            <w:pPr>
              <w:widowControl w:val="0"/>
              <w:jc w:val="right"/>
              <w:rPr>
                <w:rFonts w:ascii="Arial Narrow" w:hAnsi="Arial Narrow"/>
              </w:rPr>
            </w:pPr>
            <w:r>
              <w:rPr>
                <w:rFonts w:ascii="Arial Narrow" w:hAnsi="Arial Narrow"/>
              </w:rPr>
              <w:t>0.06</w:t>
            </w:r>
          </w:p>
        </w:tc>
        <w:tc>
          <w:tcPr>
            <w:tcW w:w="496" w:type="pct"/>
            <w:vAlign w:val="center"/>
          </w:tcPr>
          <w:p w14:paraId="75E9CE06">
            <w:pPr>
              <w:widowControl w:val="0"/>
              <w:jc w:val="right"/>
              <w:rPr>
                <w:rFonts w:ascii="Arial Narrow" w:hAnsi="Arial Narrow"/>
              </w:rPr>
            </w:pPr>
            <w:r>
              <w:rPr>
                <w:rFonts w:ascii="Arial Narrow" w:hAnsi="Arial Narrow"/>
              </w:rPr>
              <w:t>552,500</w:t>
            </w:r>
          </w:p>
        </w:tc>
        <w:tc>
          <w:tcPr>
            <w:tcW w:w="454" w:type="pct"/>
            <w:vAlign w:val="center"/>
          </w:tcPr>
          <w:p w14:paraId="2591B245">
            <w:pPr>
              <w:widowControl w:val="0"/>
              <w:jc w:val="right"/>
              <w:rPr>
                <w:rFonts w:ascii="Arial Narrow" w:hAnsi="Arial Narrow"/>
              </w:rPr>
            </w:pPr>
            <w:r>
              <w:rPr>
                <w:rFonts w:ascii="Arial Narrow" w:hAnsi="Arial Narrow"/>
              </w:rPr>
              <w:t>0.013%</w:t>
            </w:r>
          </w:p>
        </w:tc>
        <w:tc>
          <w:tcPr>
            <w:tcW w:w="730" w:type="pct"/>
            <w:vAlign w:val="center"/>
          </w:tcPr>
          <w:p w14:paraId="6170BEBB">
            <w:pPr>
              <w:widowControl w:val="0"/>
              <w:jc w:val="right"/>
              <w:rPr>
                <w:rFonts w:ascii="Arial Narrow" w:hAnsi="Arial Narrow"/>
              </w:rPr>
            </w:pPr>
            <w:r>
              <w:rPr>
                <w:rFonts w:ascii="Arial Narrow" w:hAnsi="Arial Narrow"/>
              </w:rPr>
              <w:t>21,689,800</w:t>
            </w:r>
          </w:p>
        </w:tc>
        <w:tc>
          <w:tcPr>
            <w:tcW w:w="618" w:type="pct"/>
            <w:vAlign w:val="center"/>
          </w:tcPr>
          <w:p w14:paraId="3D51F895">
            <w:pPr>
              <w:widowControl w:val="0"/>
              <w:jc w:val="right"/>
              <w:rPr>
                <w:rFonts w:ascii="Arial Narrow" w:hAnsi="Arial Narrow"/>
              </w:rPr>
            </w:pPr>
            <w:r>
              <w:rPr>
                <w:rFonts w:ascii="Arial Narrow" w:hAnsi="Arial Narrow"/>
              </w:rPr>
              <w:t>0.49</w:t>
            </w:r>
          </w:p>
        </w:tc>
        <w:tc>
          <w:tcPr>
            <w:tcW w:w="398" w:type="pct"/>
            <w:vAlign w:val="center"/>
          </w:tcPr>
          <w:p w14:paraId="0CBA2E25">
            <w:pPr>
              <w:widowControl w:val="0"/>
              <w:jc w:val="right"/>
              <w:rPr>
                <w:rFonts w:ascii="Arial Narrow" w:hAnsi="Arial Narrow"/>
              </w:rPr>
            </w:pPr>
            <w:r>
              <w:rPr>
                <w:rFonts w:ascii="Arial Narrow" w:hAnsi="Arial Narrow"/>
              </w:rPr>
              <w:t>0</w:t>
            </w:r>
          </w:p>
        </w:tc>
        <w:tc>
          <w:tcPr>
            <w:tcW w:w="459" w:type="pct"/>
            <w:vAlign w:val="center"/>
          </w:tcPr>
          <w:p w14:paraId="5D88F5E4">
            <w:pPr>
              <w:widowControl w:val="0"/>
              <w:jc w:val="right"/>
              <w:rPr>
                <w:rFonts w:ascii="Arial Narrow" w:hAnsi="Arial Narrow"/>
              </w:rPr>
            </w:pPr>
            <w:r>
              <w:rPr>
                <w:rFonts w:ascii="Arial Narrow" w:hAnsi="Arial Narrow"/>
              </w:rPr>
              <w:t>0</w:t>
            </w:r>
          </w:p>
        </w:tc>
      </w:tr>
      <w:tr w14:paraId="43CB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vAlign w:val="center"/>
          </w:tcPr>
          <w:p w14:paraId="4F16B8F7">
            <w:pPr>
              <w:widowControl w:val="0"/>
              <w:jc w:val="both"/>
              <w:rPr>
                <w:rFonts w:hint="eastAsia"/>
              </w:rPr>
            </w:pPr>
            <w:r>
              <w:rPr>
                <w:rFonts w:hint="eastAsia"/>
              </w:rPr>
              <w:t>招商银行股份有限公司－华夏中证1000交易型开放式指数证券投资基金</w:t>
            </w:r>
          </w:p>
        </w:tc>
        <w:tc>
          <w:tcPr>
            <w:tcW w:w="562" w:type="pct"/>
            <w:vAlign w:val="center"/>
          </w:tcPr>
          <w:p w14:paraId="35C2AED4">
            <w:pPr>
              <w:widowControl w:val="0"/>
              <w:jc w:val="right"/>
              <w:rPr>
                <w:rFonts w:ascii="Arial Narrow" w:hAnsi="Arial Narrow"/>
              </w:rPr>
            </w:pPr>
            <w:r>
              <w:rPr>
                <w:rFonts w:ascii="Arial Narrow" w:hAnsi="Arial Narrow"/>
              </w:rPr>
              <w:t>2,520,400</w:t>
            </w:r>
          </w:p>
        </w:tc>
        <w:tc>
          <w:tcPr>
            <w:tcW w:w="482" w:type="pct"/>
            <w:vAlign w:val="center"/>
          </w:tcPr>
          <w:p w14:paraId="08B9BF5B">
            <w:pPr>
              <w:widowControl w:val="0"/>
              <w:jc w:val="right"/>
              <w:rPr>
                <w:rFonts w:ascii="Arial Narrow" w:hAnsi="Arial Narrow"/>
              </w:rPr>
            </w:pPr>
            <w:r>
              <w:rPr>
                <w:rFonts w:ascii="Arial Narrow" w:hAnsi="Arial Narrow"/>
              </w:rPr>
              <w:t>0.06</w:t>
            </w:r>
          </w:p>
        </w:tc>
        <w:tc>
          <w:tcPr>
            <w:tcW w:w="496" w:type="pct"/>
            <w:vAlign w:val="center"/>
          </w:tcPr>
          <w:p w14:paraId="58EEAC59">
            <w:pPr>
              <w:widowControl w:val="0"/>
              <w:jc w:val="right"/>
              <w:rPr>
                <w:rFonts w:ascii="Arial Narrow" w:hAnsi="Arial Narrow"/>
              </w:rPr>
            </w:pPr>
            <w:r>
              <w:rPr>
                <w:rFonts w:ascii="Arial Narrow" w:hAnsi="Arial Narrow"/>
              </w:rPr>
              <w:t>167,600</w:t>
            </w:r>
          </w:p>
        </w:tc>
        <w:tc>
          <w:tcPr>
            <w:tcW w:w="454" w:type="pct"/>
            <w:vAlign w:val="center"/>
          </w:tcPr>
          <w:p w14:paraId="5756A534">
            <w:pPr>
              <w:widowControl w:val="0"/>
              <w:jc w:val="right"/>
              <w:rPr>
                <w:rFonts w:ascii="Arial Narrow" w:hAnsi="Arial Narrow"/>
              </w:rPr>
            </w:pPr>
            <w:r>
              <w:rPr>
                <w:rFonts w:ascii="Arial Narrow" w:hAnsi="Arial Narrow"/>
              </w:rPr>
              <w:t>0.004%</w:t>
            </w:r>
          </w:p>
        </w:tc>
        <w:tc>
          <w:tcPr>
            <w:tcW w:w="730" w:type="pct"/>
            <w:vAlign w:val="center"/>
          </w:tcPr>
          <w:p w14:paraId="320C91AF">
            <w:pPr>
              <w:widowControl w:val="0"/>
              <w:jc w:val="right"/>
              <w:rPr>
                <w:rFonts w:ascii="Arial Narrow" w:hAnsi="Arial Narrow"/>
              </w:rPr>
            </w:pPr>
            <w:r>
              <w:rPr>
                <w:rFonts w:ascii="Arial Narrow" w:hAnsi="Arial Narrow"/>
              </w:rPr>
              <w:t>11,672,400</w:t>
            </w:r>
          </w:p>
        </w:tc>
        <w:tc>
          <w:tcPr>
            <w:tcW w:w="618" w:type="pct"/>
            <w:vAlign w:val="center"/>
          </w:tcPr>
          <w:p w14:paraId="273DBF97">
            <w:pPr>
              <w:widowControl w:val="0"/>
              <w:jc w:val="right"/>
              <w:rPr>
                <w:rFonts w:ascii="Arial Narrow" w:hAnsi="Arial Narrow"/>
              </w:rPr>
            </w:pPr>
            <w:r>
              <w:rPr>
                <w:rFonts w:ascii="Arial Narrow" w:hAnsi="Arial Narrow"/>
              </w:rPr>
              <w:t>0.27</w:t>
            </w:r>
          </w:p>
        </w:tc>
        <w:tc>
          <w:tcPr>
            <w:tcW w:w="398" w:type="pct"/>
            <w:vAlign w:val="center"/>
          </w:tcPr>
          <w:p w14:paraId="06EBD59B">
            <w:pPr>
              <w:widowControl w:val="0"/>
              <w:jc w:val="right"/>
              <w:rPr>
                <w:rFonts w:ascii="Arial Narrow" w:hAnsi="Arial Narrow"/>
              </w:rPr>
            </w:pPr>
            <w:r>
              <w:rPr>
                <w:rFonts w:ascii="Arial Narrow" w:hAnsi="Arial Narrow"/>
              </w:rPr>
              <w:t>0</w:t>
            </w:r>
          </w:p>
        </w:tc>
        <w:tc>
          <w:tcPr>
            <w:tcW w:w="459" w:type="pct"/>
            <w:vAlign w:val="center"/>
          </w:tcPr>
          <w:p w14:paraId="206E554E">
            <w:pPr>
              <w:widowControl w:val="0"/>
              <w:jc w:val="right"/>
              <w:rPr>
                <w:rFonts w:ascii="Arial Narrow" w:hAnsi="Arial Narrow"/>
              </w:rPr>
            </w:pPr>
            <w:r>
              <w:rPr>
                <w:rFonts w:ascii="Arial Narrow" w:hAnsi="Arial Narrow"/>
              </w:rPr>
              <w:t>0</w:t>
            </w:r>
          </w:p>
        </w:tc>
      </w:tr>
      <w:tr w14:paraId="327C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vAlign w:val="center"/>
          </w:tcPr>
          <w:p w14:paraId="6B7FCA2D">
            <w:pPr>
              <w:widowControl w:val="0"/>
              <w:jc w:val="both"/>
              <w:rPr>
                <w:rFonts w:hint="eastAsia"/>
              </w:rPr>
            </w:pPr>
            <w:r>
              <w:rPr>
                <w:rFonts w:hint="eastAsia"/>
              </w:rPr>
              <w:t>中国建设银行股份有限公司－国泰中证军工交易型开放式指数证券投资基金</w:t>
            </w:r>
          </w:p>
        </w:tc>
        <w:tc>
          <w:tcPr>
            <w:tcW w:w="562" w:type="pct"/>
            <w:vAlign w:val="center"/>
          </w:tcPr>
          <w:p w14:paraId="207C0F2B">
            <w:pPr>
              <w:widowControl w:val="0"/>
              <w:jc w:val="right"/>
              <w:rPr>
                <w:rFonts w:ascii="Arial Narrow" w:hAnsi="Arial Narrow"/>
              </w:rPr>
            </w:pPr>
            <w:r>
              <w:rPr>
                <w:rFonts w:ascii="Arial Narrow" w:hAnsi="Arial Narrow"/>
              </w:rPr>
              <w:t>18,247,800</w:t>
            </w:r>
          </w:p>
        </w:tc>
        <w:tc>
          <w:tcPr>
            <w:tcW w:w="482" w:type="pct"/>
            <w:vAlign w:val="center"/>
          </w:tcPr>
          <w:p w14:paraId="525EB0F9">
            <w:pPr>
              <w:widowControl w:val="0"/>
              <w:jc w:val="right"/>
              <w:rPr>
                <w:rFonts w:ascii="Arial Narrow" w:hAnsi="Arial Narrow"/>
              </w:rPr>
            </w:pPr>
            <w:r>
              <w:rPr>
                <w:rFonts w:ascii="Arial Narrow" w:hAnsi="Arial Narrow"/>
              </w:rPr>
              <w:t>0.42</w:t>
            </w:r>
          </w:p>
        </w:tc>
        <w:tc>
          <w:tcPr>
            <w:tcW w:w="496" w:type="pct"/>
            <w:vAlign w:val="center"/>
          </w:tcPr>
          <w:p w14:paraId="15B81DD2">
            <w:pPr>
              <w:widowControl w:val="0"/>
              <w:jc w:val="right"/>
              <w:rPr>
                <w:rFonts w:ascii="Arial Narrow" w:hAnsi="Arial Narrow"/>
              </w:rPr>
            </w:pPr>
            <w:r>
              <w:rPr>
                <w:rFonts w:ascii="Arial Narrow" w:hAnsi="Arial Narrow"/>
              </w:rPr>
              <w:t>1,273,800</w:t>
            </w:r>
          </w:p>
        </w:tc>
        <w:tc>
          <w:tcPr>
            <w:tcW w:w="454" w:type="pct"/>
            <w:vAlign w:val="center"/>
          </w:tcPr>
          <w:p w14:paraId="535CC134">
            <w:pPr>
              <w:widowControl w:val="0"/>
              <w:jc w:val="right"/>
              <w:rPr>
                <w:rFonts w:ascii="Arial Narrow" w:hAnsi="Arial Narrow"/>
              </w:rPr>
            </w:pPr>
            <w:r>
              <w:rPr>
                <w:rFonts w:ascii="Arial Narrow" w:hAnsi="Arial Narrow"/>
              </w:rPr>
              <w:t>0.029%</w:t>
            </w:r>
          </w:p>
        </w:tc>
        <w:tc>
          <w:tcPr>
            <w:tcW w:w="730" w:type="pct"/>
            <w:vAlign w:val="center"/>
          </w:tcPr>
          <w:p w14:paraId="286CBF69">
            <w:pPr>
              <w:widowControl w:val="0"/>
              <w:ind w:right="210"/>
              <w:jc w:val="right"/>
              <w:rPr>
                <w:rFonts w:ascii="Arial Narrow" w:hAnsi="Arial Narrow"/>
              </w:rPr>
            </w:pPr>
            <w:r>
              <w:rPr>
                <w:rFonts w:ascii="Arial Narrow" w:hAnsi="Arial Narrow"/>
              </w:rPr>
              <w:t>21,607,100</w:t>
            </w:r>
          </w:p>
        </w:tc>
        <w:tc>
          <w:tcPr>
            <w:tcW w:w="618" w:type="pct"/>
            <w:vAlign w:val="center"/>
          </w:tcPr>
          <w:p w14:paraId="6EF7D89D">
            <w:pPr>
              <w:widowControl w:val="0"/>
              <w:jc w:val="right"/>
              <w:rPr>
                <w:rFonts w:ascii="Arial Narrow" w:hAnsi="Arial Narrow"/>
              </w:rPr>
            </w:pPr>
            <w:r>
              <w:rPr>
                <w:rFonts w:ascii="Arial Narrow" w:hAnsi="Arial Narrow"/>
              </w:rPr>
              <w:t>0.49</w:t>
            </w:r>
          </w:p>
        </w:tc>
        <w:tc>
          <w:tcPr>
            <w:tcW w:w="398" w:type="pct"/>
            <w:vAlign w:val="center"/>
          </w:tcPr>
          <w:p w14:paraId="353DE517">
            <w:pPr>
              <w:widowControl w:val="0"/>
              <w:jc w:val="right"/>
              <w:rPr>
                <w:rFonts w:ascii="Arial Narrow" w:hAnsi="Arial Narrow"/>
              </w:rPr>
            </w:pPr>
            <w:r>
              <w:rPr>
                <w:rFonts w:ascii="Arial Narrow" w:hAnsi="Arial Narrow"/>
              </w:rPr>
              <w:t>0</w:t>
            </w:r>
          </w:p>
        </w:tc>
        <w:tc>
          <w:tcPr>
            <w:tcW w:w="459" w:type="pct"/>
            <w:vAlign w:val="center"/>
          </w:tcPr>
          <w:p w14:paraId="228A661E">
            <w:pPr>
              <w:widowControl w:val="0"/>
              <w:jc w:val="right"/>
              <w:rPr>
                <w:rFonts w:ascii="Arial Narrow" w:hAnsi="Arial Narrow"/>
              </w:rPr>
            </w:pPr>
            <w:r>
              <w:rPr>
                <w:rFonts w:ascii="Arial Narrow" w:hAnsi="Arial Narrow"/>
              </w:rPr>
              <w:t>0</w:t>
            </w:r>
          </w:p>
        </w:tc>
      </w:tr>
    </w:tbl>
    <w:p w14:paraId="288BA2B9">
      <w:pPr>
        <w:rPr>
          <w:rFonts w:hint="eastAsia"/>
        </w:rPr>
      </w:pPr>
    </w:p>
    <w:bookmarkEnd w:id="153"/>
    <w:p w14:paraId="45163F20">
      <w:pPr>
        <w:rPr>
          <w:rFonts w:hint="eastAsia"/>
          <w:szCs w:val="21"/>
        </w:rPr>
      </w:pPr>
      <w:bookmarkStart w:id="154" w:name="_Hlk155094189"/>
      <w:r>
        <w:rPr>
          <w:szCs w:val="21"/>
        </w:rPr>
        <w:t>前十名</w:t>
      </w:r>
      <w:r>
        <w:t>股东及前</w:t>
      </w:r>
      <w:r>
        <w:rPr>
          <w:rFonts w:hint="eastAsia"/>
        </w:rPr>
        <w:t>十</w:t>
      </w:r>
      <w:r>
        <w:t>名无限售流通股股东因转融通出借/归还原因导致较上期发生变化</w:t>
      </w:r>
    </w:p>
    <w:sdt>
      <w:sdtPr>
        <w:rPr>
          <w:rFonts w:hint="eastAsia"/>
          <w:szCs w:val="21"/>
        </w:rPr>
        <w:alias w:val="是否适用：前十名股东较上期发生变化[双击切换]"/>
        <w:tag w:val="_GBC_610830f75bf04d59a67019ded47646e5"/>
        <w:id w:val="451828571"/>
        <w:placeholder>
          <w:docPart w:val="GBC22222222222222222222222222222"/>
        </w:placeholder>
      </w:sdtPr>
      <w:sdtEndPr>
        <w:rPr>
          <w:rFonts w:hint="eastAsia"/>
          <w:szCs w:val="21"/>
        </w:rPr>
      </w:sdtEndPr>
      <w:sdtContent>
        <w:p w14:paraId="3A76151C">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F14B28E">
      <w:pPr>
        <w:rPr>
          <w:rFonts w:hint="eastAsia"/>
          <w:szCs w:val="21"/>
        </w:rPr>
      </w:pPr>
    </w:p>
    <w:bookmarkEnd w:id="154"/>
    <w:p w14:paraId="3812DFA8">
      <w:pPr>
        <w:rPr>
          <w:rFonts w:hint="eastAsia"/>
          <w:szCs w:val="21"/>
        </w:rPr>
      </w:pPr>
      <w:r>
        <w:rPr>
          <w:szCs w:val="21"/>
        </w:rPr>
        <w:t>前十名有限售条件股东持股数量及限售条件</w:t>
      </w:r>
    </w:p>
    <w:sdt>
      <w:sdtPr>
        <w:rPr>
          <w:bCs/>
          <w:szCs w:val="21"/>
        </w:rPr>
        <w:alias w:val="是否适用：前十名有限售条件股东持股数量及限售条件[双击切换]"/>
        <w:tag w:val="_GBC_99ceff37849a42f4b21400880589fbc1"/>
        <w:id w:val="467710130"/>
        <w:placeholder>
          <w:docPart w:val="GBC22222222222222222222222222222"/>
        </w:placeholder>
      </w:sdtPr>
      <w:sdtEndPr>
        <w:rPr>
          <w:bCs/>
          <w:szCs w:val="21"/>
        </w:rPr>
      </w:sdtEndPr>
      <w:sdtContent>
        <w:p w14:paraId="471B035A">
          <w:pPr>
            <w:rPr>
              <w:rFonts w:hint="eastAsia"/>
              <w:bCs/>
              <w:szCs w:val="21"/>
            </w:rPr>
          </w:pPr>
          <w:r>
            <w:rPr>
              <w:bCs/>
              <w:szCs w:val="21"/>
            </w:rPr>
            <w:fldChar w:fldCharType="begin"/>
          </w:r>
          <w:r>
            <w:rPr>
              <w:rFonts w:hint="eastAsia"/>
              <w:bCs/>
              <w:szCs w:val="21"/>
            </w:rPr>
            <w:instrText xml:space="preserve">MACROBUTTON  SnrToggleCheckbox □适用 </w:instrText>
          </w:r>
          <w:r>
            <w:rPr>
              <w:bCs/>
              <w:szCs w:val="21"/>
            </w:rPr>
            <w:fldChar w:fldCharType="end"/>
          </w:r>
          <w:r>
            <w:rPr>
              <w:bCs/>
              <w:szCs w:val="21"/>
            </w:rPr>
            <w:fldChar w:fldCharType="begin"/>
          </w:r>
          <w:r>
            <w:rPr>
              <w:rFonts w:hint="eastAsia"/>
              <w:bCs/>
              <w:szCs w:val="21"/>
            </w:rPr>
            <w:instrText xml:space="preserve"> MACROBUTTON  SnrToggleCheckbox √不适用 </w:instrText>
          </w:r>
          <w:r>
            <w:rPr>
              <w:bCs/>
              <w:szCs w:val="21"/>
            </w:rPr>
            <w:fldChar w:fldCharType="end"/>
          </w:r>
        </w:p>
      </w:sdtContent>
    </w:sdt>
    <w:p w14:paraId="725C6CEF">
      <w:pPr>
        <w:rPr>
          <w:rFonts w:hint="eastAsia"/>
          <w:bCs/>
          <w:szCs w:val="21"/>
        </w:rPr>
      </w:pPr>
    </w:p>
    <w:bookmarkEnd w:id="152"/>
    <w:p w14:paraId="5ECBF379">
      <w:pPr>
        <w:pStyle w:val="4"/>
        <w:numPr>
          <w:ilvl w:val="1"/>
          <w:numId w:val="74"/>
        </w:numPr>
        <w:tabs>
          <w:tab w:val="left" w:pos="851"/>
        </w:tabs>
        <w:ind w:left="426" w:hanging="426"/>
        <w:rPr>
          <w:szCs w:val="21"/>
        </w:rPr>
      </w:pPr>
      <w:bookmarkStart w:id="155" w:name="_Hlk89352705"/>
      <w:bookmarkEnd w:id="155"/>
      <w:r>
        <w:rPr>
          <w:rFonts w:hint="eastAsia"/>
          <w:szCs w:val="21"/>
        </w:rPr>
        <w:t>战略投资者或一般法人因配售新股成为前10名股东</w:t>
      </w:r>
    </w:p>
    <w:sdt>
      <w:sdtPr>
        <w:alias w:val="是否适用：战略投资者或一般法人因配售新股成为前10名股东[双击切换]"/>
        <w:tag w:val="_GBC_f3c63aafb8134fdcbdeb39fd33c2cd8d"/>
        <w:id w:val="-215738511"/>
        <w:placeholder>
          <w:docPart w:val="GBC22222222222222222222222222222"/>
        </w:placeholder>
      </w:sdtPr>
      <w:sdtContent>
        <w:p w14:paraId="51486377">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11CA565">
      <w:pPr>
        <w:rPr>
          <w:rFonts w:hint="eastAsia"/>
        </w:rPr>
      </w:pPr>
    </w:p>
    <w:p w14:paraId="2301F360">
      <w:pPr>
        <w:pStyle w:val="3"/>
        <w:numPr>
          <w:ilvl w:val="0"/>
          <w:numId w:val="70"/>
        </w:numPr>
      </w:pPr>
      <w:r>
        <w:rPr>
          <w:rFonts w:hint="eastAsia"/>
        </w:rPr>
        <w:t>控股股东及实际控制人情况</w:t>
      </w:r>
    </w:p>
    <w:p w14:paraId="1CE281FE">
      <w:pPr>
        <w:pStyle w:val="4"/>
        <w:numPr>
          <w:ilvl w:val="0"/>
          <w:numId w:val="75"/>
        </w:numPr>
      </w:pPr>
      <w:r>
        <w:t>控股股东情况</w:t>
      </w:r>
    </w:p>
    <w:p w14:paraId="38A1B821">
      <w:pPr>
        <w:pStyle w:val="5"/>
        <w:numPr>
          <w:ilvl w:val="0"/>
          <w:numId w:val="76"/>
        </w:numPr>
        <w:rPr>
          <w:rFonts w:hint="eastAsia"/>
        </w:rPr>
      </w:pPr>
      <w:r>
        <w:t>法人</w:t>
      </w:r>
    </w:p>
    <w:sdt>
      <w:sdtPr>
        <w:alias w:val="是否适用：法人_控股股东情况[双击切换]"/>
        <w:tag w:val="_GBC_eab2d7c8478645dbae996b49d203b0d9"/>
        <w:id w:val="-1803687456"/>
        <w:placeholder>
          <w:docPart w:val="GBC22222222222222222222222222222"/>
        </w:placeholder>
      </w:sdtPr>
      <w:sdtContent>
        <w:p w14:paraId="2F218F1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9"/>
        <w:gridCol w:w="5544"/>
      </w:tblGrid>
      <w:tr w14:paraId="6FFC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sdt>
          <w:sdtPr>
            <w:tag w:val="_PLD_e1d45d230e0e4c06bc451af63b51d4e2"/>
            <w:id w:val="-1613888016"/>
          </w:sdtPr>
          <w:sdtContent>
            <w:tc>
              <w:tcPr>
                <w:tcW w:w="3369" w:type="dxa"/>
              </w:tcPr>
              <w:p w14:paraId="357A9183">
                <w:pPr>
                  <w:widowControl w:val="0"/>
                  <w:jc w:val="both"/>
                  <w:rPr>
                    <w:rFonts w:hint="eastAsia"/>
                    <w:szCs w:val="21"/>
                  </w:rPr>
                </w:pPr>
                <w:r>
                  <w:rPr>
                    <w:rFonts w:hint="eastAsia"/>
                    <w:szCs w:val="21"/>
                  </w:rPr>
                  <w:t>名称</w:t>
                </w:r>
              </w:p>
            </w:tc>
          </w:sdtContent>
        </w:sdt>
        <w:tc>
          <w:tcPr>
            <w:tcW w:w="5680" w:type="dxa"/>
          </w:tcPr>
          <w:p w14:paraId="3A2D1E9D">
            <w:pPr>
              <w:widowControl w:val="0"/>
              <w:jc w:val="both"/>
              <w:rPr>
                <w:rFonts w:hint="eastAsia"/>
                <w:szCs w:val="21"/>
              </w:rPr>
            </w:pPr>
            <w:r>
              <w:rPr>
                <w:rFonts w:hint="eastAsia"/>
                <w:szCs w:val="21"/>
              </w:rPr>
              <w:t>新兴际华集团有限公司</w:t>
            </w:r>
          </w:p>
        </w:tc>
      </w:tr>
      <w:tr w14:paraId="7AEE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3369" w:type="dxa"/>
          </w:tcPr>
          <w:p w14:paraId="3C2C5191">
            <w:pPr>
              <w:widowControl w:val="0"/>
              <w:jc w:val="both"/>
              <w:rPr>
                <w:rFonts w:hint="eastAsia"/>
                <w:szCs w:val="21"/>
              </w:rPr>
            </w:pPr>
            <w:r>
              <w:rPr>
                <w:rFonts w:hint="eastAsia"/>
                <w:szCs w:val="21"/>
              </w:rPr>
              <w:t>单位负责人或法定代表人</w:t>
            </w:r>
          </w:p>
        </w:tc>
        <w:tc>
          <w:tcPr>
            <w:tcW w:w="5680" w:type="dxa"/>
          </w:tcPr>
          <w:p w14:paraId="0B41EB57">
            <w:pPr>
              <w:widowControl w:val="0"/>
              <w:jc w:val="both"/>
              <w:rPr>
                <w:rFonts w:hint="eastAsia"/>
                <w:szCs w:val="21"/>
              </w:rPr>
            </w:pPr>
            <w:r>
              <w:rPr>
                <w:rFonts w:hint="eastAsia"/>
                <w:szCs w:val="21"/>
              </w:rPr>
              <w:t>周群</w:t>
            </w:r>
          </w:p>
        </w:tc>
      </w:tr>
      <w:tr w14:paraId="085D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3369" w:type="dxa"/>
          </w:tcPr>
          <w:p w14:paraId="1BD7C1E1">
            <w:pPr>
              <w:widowControl w:val="0"/>
              <w:jc w:val="both"/>
              <w:rPr>
                <w:rFonts w:hint="eastAsia"/>
                <w:szCs w:val="21"/>
              </w:rPr>
            </w:pPr>
            <w:r>
              <w:rPr>
                <w:rFonts w:hint="eastAsia"/>
                <w:szCs w:val="21"/>
              </w:rPr>
              <w:t>成立日期</w:t>
            </w:r>
          </w:p>
        </w:tc>
        <w:tc>
          <w:tcPr>
            <w:tcW w:w="5680" w:type="dxa"/>
          </w:tcPr>
          <w:p w14:paraId="3F35A73C">
            <w:pPr>
              <w:widowControl w:val="0"/>
              <w:jc w:val="both"/>
              <w:rPr>
                <w:rFonts w:hint="eastAsia"/>
                <w:szCs w:val="21"/>
              </w:rPr>
            </w:pPr>
            <w:r>
              <w:rPr>
                <w:rFonts w:hint="eastAsia"/>
                <w:szCs w:val="21"/>
              </w:rPr>
              <w:t>1997-01-08</w:t>
            </w:r>
          </w:p>
        </w:tc>
      </w:tr>
      <w:tr w14:paraId="4752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369" w:type="dxa"/>
          </w:tcPr>
          <w:p w14:paraId="065559CC">
            <w:pPr>
              <w:widowControl w:val="0"/>
              <w:jc w:val="both"/>
              <w:rPr>
                <w:rFonts w:hint="eastAsia"/>
                <w:szCs w:val="21"/>
              </w:rPr>
            </w:pPr>
            <w:r>
              <w:rPr>
                <w:rFonts w:hint="eastAsia"/>
                <w:szCs w:val="21"/>
              </w:rPr>
              <w:t>主要经营业务</w:t>
            </w:r>
          </w:p>
        </w:tc>
        <w:tc>
          <w:tcPr>
            <w:tcW w:w="5680" w:type="dxa"/>
          </w:tcPr>
          <w:p w14:paraId="1362909F">
            <w:pPr>
              <w:widowControl w:val="0"/>
              <w:jc w:val="both"/>
              <w:rPr>
                <w:rFonts w:hint="eastAsia"/>
                <w:szCs w:val="21"/>
              </w:rPr>
            </w:pPr>
            <w:r>
              <w:rPr>
                <w:rFonts w:hint="eastAsia"/>
                <w:szCs w:val="21"/>
              </w:rPr>
              <w:t>对外派遣与其实力、规模、业绩相适应的国外工程项目所需的劳务人员。经营国务院授权范围内的国有资产，开展有关投资业务；对所投资公司和直属企业资产的经营管理；球墨铸铁管、钢塑复合管、管件及配件产品、铸造产品、钢铁制品、矿产品、工程机械、油料器材、水暖器材、纺织服装、制革制鞋、橡胶制品的生产、销售；货物仓储；与上述业务相关的技术开发、技术服务及管理咨询；承揽境内外冶金、铸造行业工程及境内国际招标工程；进出口业务；房地产开发。（市场主体依法自主选择经营项目，开展经营活动；依法须经批准的项目，经相关部门批准后依批准的内容开展经营活动；不得从事国家和本市产业政策禁止和限制类项目的经营活动。）</w:t>
            </w:r>
          </w:p>
        </w:tc>
      </w:tr>
      <w:tr w14:paraId="5C36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369" w:type="dxa"/>
          </w:tcPr>
          <w:p w14:paraId="53B5A730">
            <w:pPr>
              <w:widowControl w:val="0"/>
              <w:jc w:val="both"/>
              <w:rPr>
                <w:rFonts w:hint="eastAsia"/>
                <w:szCs w:val="21"/>
              </w:rPr>
            </w:pPr>
            <w:r>
              <w:rPr>
                <w:rFonts w:hint="eastAsia"/>
                <w:szCs w:val="21"/>
              </w:rPr>
              <w:t>报告期内控股和参股的其他境内外上市公司的股权情况</w:t>
            </w:r>
          </w:p>
        </w:tc>
        <w:tc>
          <w:tcPr>
            <w:tcW w:w="5680" w:type="dxa"/>
          </w:tcPr>
          <w:p w14:paraId="7ADBC58F">
            <w:pPr>
              <w:widowControl w:val="0"/>
              <w:jc w:val="both"/>
              <w:rPr>
                <w:rFonts w:hint="eastAsia"/>
                <w:szCs w:val="21"/>
              </w:rPr>
            </w:pPr>
            <w:r>
              <w:rPr>
                <w:rFonts w:hint="eastAsia"/>
                <w:szCs w:val="21"/>
              </w:rPr>
              <w:t>截至报告期末，新兴际华集团有限公司持有新兴铸管股份有限公司（000778）39.97</w:t>
            </w:r>
            <w:r>
              <w:rPr>
                <w:szCs w:val="21"/>
              </w:rPr>
              <w:t>%</w:t>
            </w:r>
            <w:r>
              <w:rPr>
                <w:rFonts w:hint="eastAsia"/>
                <w:szCs w:val="21"/>
              </w:rPr>
              <w:t>股权；通过全资子公司持有海南海药股份有限公司（000566）22.89%股权。</w:t>
            </w:r>
          </w:p>
        </w:tc>
      </w:tr>
      <w:tr w14:paraId="0D23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3369" w:type="dxa"/>
          </w:tcPr>
          <w:p w14:paraId="43FE7777">
            <w:pPr>
              <w:widowControl w:val="0"/>
              <w:jc w:val="both"/>
              <w:rPr>
                <w:rFonts w:hint="eastAsia"/>
              </w:rPr>
            </w:pPr>
            <w:r>
              <w:rPr>
                <w:rFonts w:hint="eastAsia"/>
              </w:rPr>
              <w:t>其他情况说明</w:t>
            </w:r>
          </w:p>
        </w:tc>
        <w:tc>
          <w:tcPr>
            <w:tcW w:w="5680" w:type="dxa"/>
          </w:tcPr>
          <w:p w14:paraId="1439EC18">
            <w:pPr>
              <w:widowControl w:val="0"/>
              <w:jc w:val="both"/>
              <w:rPr>
                <w:rFonts w:hint="eastAsia"/>
              </w:rPr>
            </w:pPr>
          </w:p>
        </w:tc>
      </w:tr>
    </w:tbl>
    <w:p w14:paraId="17F7CA0F">
      <w:pPr>
        <w:rPr>
          <w:rFonts w:hint="eastAsia"/>
          <w:sz w:val="15"/>
          <w:szCs w:val="15"/>
        </w:rPr>
      </w:pPr>
      <w:r>
        <w:rPr>
          <w:rFonts w:hint="eastAsia"/>
          <w:sz w:val="15"/>
          <w:szCs w:val="15"/>
        </w:rPr>
        <w:t>注：2025年1月14日，新兴铸管股份有限公司在深圳证券交易所披露公告，因部分股权激励回购股份注销导致控股股东新兴际华集团有限公司持股比例被动变化，由</w:t>
      </w:r>
      <w:r>
        <w:rPr>
          <w:sz w:val="15"/>
          <w:szCs w:val="15"/>
        </w:rPr>
        <w:t>39.97%增至40.24%</w:t>
      </w:r>
      <w:r>
        <w:rPr>
          <w:rFonts w:hint="eastAsia"/>
          <w:sz w:val="15"/>
          <w:szCs w:val="15"/>
        </w:rPr>
        <w:t>。</w:t>
      </w:r>
    </w:p>
    <w:p w14:paraId="180F536E">
      <w:pPr>
        <w:pStyle w:val="5"/>
        <w:numPr>
          <w:ilvl w:val="0"/>
          <w:numId w:val="76"/>
        </w:numPr>
        <w:rPr>
          <w:rFonts w:hint="eastAsia"/>
        </w:rPr>
      </w:pPr>
      <w:r>
        <w:t>自然人</w:t>
      </w:r>
    </w:p>
    <w:sdt>
      <w:sdtPr>
        <w:alias w:val="是否适用：自然人_控股股东情况[双击切换]"/>
        <w:tag w:val="_GBC_050e33c59070475b9b048117126cc6ba"/>
        <w:id w:val="21748401"/>
        <w:placeholder>
          <w:docPart w:val="GBC22222222222222222222222222222"/>
        </w:placeholder>
      </w:sdtPr>
      <w:sdtContent>
        <w:p w14:paraId="1F005C5C">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BE3EE24">
      <w:pPr>
        <w:rPr>
          <w:rFonts w:hint="eastAsia"/>
        </w:rPr>
      </w:pPr>
    </w:p>
    <w:p w14:paraId="2233C82D">
      <w:pPr>
        <w:pStyle w:val="5"/>
        <w:numPr>
          <w:ilvl w:val="0"/>
          <w:numId w:val="76"/>
        </w:numPr>
        <w:rPr>
          <w:rFonts w:hint="eastAsia"/>
        </w:r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489840237"/>
        <w:placeholder>
          <w:docPart w:val="GBC22222222222222222222222222222"/>
        </w:placeholder>
      </w:sdtPr>
      <w:sdtEndPr>
        <w:rPr>
          <w:rFonts w:hint="eastAsia"/>
          <w:szCs w:val="21"/>
        </w:rPr>
      </w:sdtEndPr>
      <w:sdtContent>
        <w:p w14:paraId="37932BCF">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404664A">
      <w:pPr>
        <w:rPr>
          <w:rFonts w:hint="eastAsia"/>
          <w:szCs w:val="21"/>
        </w:rPr>
      </w:pPr>
    </w:p>
    <w:p w14:paraId="57D4E04D">
      <w:pPr>
        <w:pStyle w:val="5"/>
        <w:numPr>
          <w:ilvl w:val="0"/>
          <w:numId w:val="76"/>
        </w:numPr>
        <w:rPr>
          <w:rFonts w:hint="eastAsia"/>
        </w:rPr>
      </w:pPr>
      <w:r>
        <w:rPr>
          <w:rFonts w:hint="eastAsia"/>
        </w:rPr>
        <w:t>报告期内控股股东变更情况的说明</w:t>
      </w:r>
    </w:p>
    <w:sdt>
      <w:sdtPr>
        <w:rPr>
          <w:rFonts w:hint="eastAsia"/>
          <w:szCs w:val="21"/>
        </w:rPr>
        <w:alias w:val="是否适用：报告期内控股股东变更情况的说明[双击切换]"/>
        <w:tag w:val="_GBC_ba32d923117643d78736fd77472e578b"/>
        <w:id w:val="-614220631"/>
        <w:placeholder>
          <w:docPart w:val="GBC22222222222222222222222222222"/>
        </w:placeholder>
      </w:sdtPr>
      <w:sdtEndPr>
        <w:rPr>
          <w:rFonts w:hint="eastAsia"/>
          <w:szCs w:val="21"/>
        </w:rPr>
      </w:sdtEndPr>
      <w:sdtContent>
        <w:p w14:paraId="1CADC563">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17A3185">
      <w:pPr>
        <w:rPr>
          <w:rFonts w:hint="eastAsia"/>
          <w:szCs w:val="21"/>
        </w:rPr>
      </w:pPr>
    </w:p>
    <w:p w14:paraId="57CA8AE4">
      <w:pPr>
        <w:pStyle w:val="5"/>
        <w:numPr>
          <w:ilvl w:val="0"/>
          <w:numId w:val="76"/>
        </w:numPr>
        <w:rPr>
          <w:rFonts w:hint="eastAsia"/>
        </w:rPr>
      </w:pPr>
      <w:r>
        <w:rPr>
          <w:rFonts w:hint="eastAsia"/>
        </w:rPr>
        <w:t>公司与控股股东之间的产权及控制关系的方框图</w:t>
      </w:r>
    </w:p>
    <w:sdt>
      <w:sdtPr>
        <w:alias w:val="是否适用：公司与控股股东之间的产权及控制关系的方框图[双击切换]"/>
        <w:tag w:val="_GBC_aa1ed4124bd443219ac5782763143cd7"/>
        <w:id w:val="343758194"/>
        <w:placeholder>
          <w:docPart w:val="GBC22222222222222222222222222222"/>
        </w:placeholder>
      </w:sdtPr>
      <w:sdtContent>
        <w:p w14:paraId="103F22E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996920424"/>
        <w:placeholder>
          <w:docPart w:val="{6baccebe-69ab-4d25-97bc-a6cda6ffa032}"/>
        </w:placeholder>
        <w:picture/>
      </w:sdtPr>
      <w:sdtEndPr>
        <w:rPr>
          <w:rFonts w:hint="eastAsia"/>
          <w:szCs w:val="21"/>
        </w:rPr>
      </w:sdtEndPr>
      <w:sdtContent>
        <w:p w14:paraId="612B8642">
          <w:pPr>
            <w:rPr>
              <w:rFonts w:hint="eastAsia"/>
              <w:szCs w:val="21"/>
            </w:rPr>
          </w:pPr>
          <w:r>
            <w:rPr>
              <w:rFonts w:hint="eastAsia"/>
              <w:szCs w:val="21"/>
            </w:rPr>
            <w:drawing>
              <wp:inline distT="0" distB="0" distL="0" distR="0">
                <wp:extent cx="5172710" cy="2696845"/>
                <wp:effectExtent l="0" t="0" r="8890" b="8255"/>
                <wp:docPr id="2" name="图片 1" descr="E:/Desktop/存档文件/第六届董事会议案合集/2024年度董事会/年报/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E:/Desktop/存档文件/第六届董事会议案合集/2024年度董事会/年报/图片1.png图片1"/>
                        <pic:cNvPicPr>
                          <a:picLocks noChangeAspect="1" noChangeArrowheads="1"/>
                        </pic:cNvPicPr>
                      </pic:nvPicPr>
                      <pic:blipFill>
                        <a:blip r:embed="rId6"/>
                        <a:srcRect/>
                        <a:stretch>
                          <a:fillRect/>
                        </a:stretch>
                      </pic:blipFill>
                      <pic:spPr>
                        <a:xfrm>
                          <a:off x="0" y="0"/>
                          <a:ext cx="5172710" cy="2696845"/>
                        </a:xfrm>
                        <a:prstGeom prst="rect">
                          <a:avLst/>
                        </a:prstGeom>
                        <a:noFill/>
                        <a:ln w="9525">
                          <a:noFill/>
                          <a:miter lim="800000"/>
                          <a:headEnd/>
                          <a:tailEnd/>
                        </a:ln>
                      </pic:spPr>
                    </pic:pic>
                  </a:graphicData>
                </a:graphic>
              </wp:inline>
            </w:drawing>
          </w:r>
        </w:p>
      </w:sdtContent>
    </w:sdt>
    <w:p w14:paraId="3A450522">
      <w:pPr>
        <w:rPr>
          <w:rFonts w:hint="eastAsia"/>
          <w:sz w:val="15"/>
          <w:szCs w:val="15"/>
        </w:rPr>
      </w:pPr>
      <w:r>
        <w:rPr>
          <w:rFonts w:hint="eastAsia"/>
          <w:sz w:val="15"/>
          <w:szCs w:val="15"/>
        </w:rPr>
        <w:t>注：2025年1月14日，新兴铸管股份有限公司在深圳证券交易所披露公告，因部分股权激励回购股份注销导致控股股东新兴际华集团有限公司持股比例被动变化，由</w:t>
      </w:r>
      <w:r>
        <w:rPr>
          <w:sz w:val="15"/>
          <w:szCs w:val="15"/>
        </w:rPr>
        <w:t>39.97%增至40.24%</w:t>
      </w:r>
      <w:r>
        <w:rPr>
          <w:rFonts w:hint="eastAsia"/>
          <w:sz w:val="15"/>
          <w:szCs w:val="15"/>
        </w:rPr>
        <w:t>。</w:t>
      </w:r>
    </w:p>
    <w:p w14:paraId="33E79CDB">
      <w:pPr>
        <w:pStyle w:val="4"/>
        <w:numPr>
          <w:ilvl w:val="0"/>
          <w:numId w:val="75"/>
        </w:numPr>
      </w:pPr>
      <w:r>
        <w:rPr>
          <w:rFonts w:hint="eastAsia"/>
        </w:rPr>
        <w:t>实际控制人情况</w:t>
      </w:r>
    </w:p>
    <w:p w14:paraId="577943FD">
      <w:pPr>
        <w:pStyle w:val="5"/>
        <w:numPr>
          <w:ilvl w:val="0"/>
          <w:numId w:val="77"/>
        </w:numPr>
        <w:rPr>
          <w:rFonts w:hint="eastAsia"/>
        </w:rPr>
      </w:pPr>
      <w:r>
        <w:rPr>
          <w:rFonts w:hint="eastAsia"/>
        </w:rPr>
        <w:t>法人</w:t>
      </w:r>
    </w:p>
    <w:sdt>
      <w:sdtPr>
        <w:alias w:val="是否适用：法人_实际控制人情况[双击切换]"/>
        <w:tag w:val="_GBC_6cb3195cd6c545489bd6151d0ee57d58"/>
        <w:id w:val="679319990"/>
        <w:placeholder>
          <w:docPart w:val="GBC22222222222222222222222222222"/>
        </w:placeholder>
      </w:sdtPr>
      <w:sdtContent>
        <w:p w14:paraId="6232373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9"/>
        <w:gridCol w:w="5504"/>
      </w:tblGrid>
      <w:tr w14:paraId="5794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sdt>
          <w:sdtPr>
            <w:tag w:val="_PLD_9fd7942883b74d698fa4ca37d86c3d17"/>
            <w:id w:val="1280293272"/>
          </w:sdtPr>
          <w:sdtContent>
            <w:tc>
              <w:tcPr>
                <w:tcW w:w="1881" w:type="pct"/>
              </w:tcPr>
              <w:p w14:paraId="3B7D5847">
                <w:pPr>
                  <w:widowControl w:val="0"/>
                  <w:jc w:val="both"/>
                  <w:rPr>
                    <w:rFonts w:hint="eastAsia"/>
                    <w:szCs w:val="21"/>
                  </w:rPr>
                </w:pPr>
                <w:r>
                  <w:rPr>
                    <w:szCs w:val="21"/>
                  </w:rPr>
                  <w:t>名称</w:t>
                </w:r>
              </w:p>
            </w:tc>
          </w:sdtContent>
        </w:sdt>
        <w:tc>
          <w:tcPr>
            <w:tcW w:w="3119" w:type="pct"/>
          </w:tcPr>
          <w:sdt>
            <w:sdtPr>
              <w:rPr>
                <w:rFonts w:hint="eastAsia" w:ascii="Times New Roman" w:hAnsi="Times New Roman"/>
                <w:szCs w:val="21"/>
              </w:rPr>
              <w:alias w:val="法人实际控制人名称"/>
              <w:tag w:val="_GBC_09078fe67bb948e3b338136f227f90f6"/>
              <w:id w:val="1384212260"/>
            </w:sdtPr>
            <w:sdtEndPr>
              <w:rPr>
                <w:rFonts w:hint="eastAsia" w:ascii="Times New Roman" w:hAnsi="Times New Roman"/>
                <w:szCs w:val="21"/>
              </w:rPr>
            </w:sdtEndPr>
            <w:sdtContent>
              <w:p w14:paraId="52B07C13">
                <w:pPr>
                  <w:widowControl w:val="0"/>
                  <w:jc w:val="both"/>
                  <w:rPr>
                    <w:rFonts w:hint="eastAsia"/>
                    <w:szCs w:val="21"/>
                  </w:rPr>
                </w:pPr>
                <w:r>
                  <w:rPr>
                    <w:rFonts w:hint="eastAsia" w:ascii="Times New Roman" w:hAnsi="Times New Roman"/>
                    <w:szCs w:val="21"/>
                  </w:rPr>
                  <w:t>国务院国有资产监督管理委员会</w:t>
                </w:r>
              </w:p>
            </w:sdtContent>
          </w:sdt>
        </w:tc>
      </w:tr>
      <w:tr w14:paraId="1100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881" w:type="pct"/>
          </w:tcPr>
          <w:p w14:paraId="02BF15AC">
            <w:pPr>
              <w:widowControl w:val="0"/>
              <w:jc w:val="both"/>
              <w:rPr>
                <w:rFonts w:hint="eastAsia"/>
                <w:szCs w:val="21"/>
              </w:rPr>
            </w:pPr>
            <w:r>
              <w:rPr>
                <w:szCs w:val="21"/>
              </w:rPr>
              <w:t>单位负责人或法定代表人</w:t>
            </w:r>
          </w:p>
        </w:tc>
        <w:tc>
          <w:tcPr>
            <w:tcW w:w="3119" w:type="pct"/>
          </w:tcPr>
          <w:p w14:paraId="77AF0933">
            <w:pPr>
              <w:widowControl w:val="0"/>
              <w:jc w:val="both"/>
              <w:rPr>
                <w:rFonts w:hint="eastAsia"/>
                <w:szCs w:val="21"/>
              </w:rPr>
            </w:pPr>
          </w:p>
        </w:tc>
      </w:tr>
      <w:tr w14:paraId="4F6B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1881" w:type="pct"/>
          </w:tcPr>
          <w:p w14:paraId="699264F0">
            <w:pPr>
              <w:widowControl w:val="0"/>
              <w:jc w:val="both"/>
              <w:rPr>
                <w:rFonts w:hint="eastAsia"/>
                <w:szCs w:val="21"/>
              </w:rPr>
            </w:pPr>
            <w:r>
              <w:rPr>
                <w:szCs w:val="21"/>
              </w:rPr>
              <w:t>成立日期</w:t>
            </w:r>
          </w:p>
        </w:tc>
        <w:tc>
          <w:tcPr>
            <w:tcW w:w="3119" w:type="pct"/>
          </w:tcPr>
          <w:p w14:paraId="30372AA6">
            <w:pPr>
              <w:widowControl w:val="0"/>
              <w:jc w:val="both"/>
              <w:rPr>
                <w:rFonts w:hint="eastAsia"/>
                <w:szCs w:val="21"/>
              </w:rPr>
            </w:pPr>
          </w:p>
        </w:tc>
      </w:tr>
      <w:tr w14:paraId="6ABE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881" w:type="pct"/>
          </w:tcPr>
          <w:p w14:paraId="7950D02B">
            <w:pPr>
              <w:widowControl w:val="0"/>
              <w:jc w:val="both"/>
              <w:rPr>
                <w:rFonts w:hint="eastAsia"/>
                <w:szCs w:val="21"/>
              </w:rPr>
            </w:pPr>
            <w:r>
              <w:rPr>
                <w:szCs w:val="21"/>
              </w:rPr>
              <w:t>主要经营业务</w:t>
            </w:r>
          </w:p>
        </w:tc>
        <w:tc>
          <w:tcPr>
            <w:tcW w:w="3119" w:type="pct"/>
          </w:tcPr>
          <w:p w14:paraId="2C4EEBF2">
            <w:pPr>
              <w:widowControl w:val="0"/>
              <w:jc w:val="both"/>
              <w:rPr>
                <w:rFonts w:hint="eastAsia"/>
                <w:szCs w:val="21"/>
              </w:rPr>
            </w:pPr>
          </w:p>
        </w:tc>
      </w:tr>
      <w:tr w14:paraId="7647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881" w:type="pct"/>
          </w:tcPr>
          <w:p w14:paraId="2754DA57">
            <w:pPr>
              <w:widowControl w:val="0"/>
              <w:jc w:val="both"/>
              <w:rPr>
                <w:rFonts w:hint="eastAsia"/>
                <w:szCs w:val="21"/>
              </w:rPr>
            </w:pPr>
            <w:r>
              <w:rPr>
                <w:szCs w:val="21"/>
              </w:rPr>
              <w:t>报告期内控股和参股的其他境内外上市公司的股权情况</w:t>
            </w:r>
          </w:p>
        </w:tc>
        <w:tc>
          <w:tcPr>
            <w:tcW w:w="3119" w:type="pct"/>
          </w:tcPr>
          <w:p w14:paraId="7D490B67">
            <w:pPr>
              <w:widowControl w:val="0"/>
              <w:jc w:val="both"/>
              <w:rPr>
                <w:rFonts w:hint="eastAsia"/>
                <w:szCs w:val="21"/>
              </w:rPr>
            </w:pPr>
          </w:p>
        </w:tc>
      </w:tr>
      <w:tr w14:paraId="6FB1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881" w:type="pct"/>
          </w:tcPr>
          <w:p w14:paraId="2A3E2009">
            <w:pPr>
              <w:widowControl w:val="0"/>
              <w:jc w:val="both"/>
              <w:rPr>
                <w:rFonts w:hint="eastAsia"/>
                <w:szCs w:val="21"/>
              </w:rPr>
            </w:pPr>
            <w:r>
              <w:rPr>
                <w:rFonts w:hint="eastAsia"/>
              </w:rPr>
              <w:t>其他情况说明</w:t>
            </w:r>
          </w:p>
        </w:tc>
        <w:tc>
          <w:tcPr>
            <w:tcW w:w="3119" w:type="pct"/>
          </w:tcPr>
          <w:p w14:paraId="2C5FBBBC">
            <w:pPr>
              <w:widowControl w:val="0"/>
              <w:jc w:val="both"/>
              <w:rPr>
                <w:rFonts w:hint="eastAsia"/>
                <w:szCs w:val="21"/>
              </w:rPr>
            </w:pPr>
          </w:p>
        </w:tc>
      </w:tr>
    </w:tbl>
    <w:p w14:paraId="13FFEBF9">
      <w:pPr>
        <w:rPr>
          <w:rFonts w:hint="eastAsia"/>
        </w:rPr>
      </w:pPr>
    </w:p>
    <w:p w14:paraId="5C0C7BF5">
      <w:pPr>
        <w:pStyle w:val="5"/>
        <w:numPr>
          <w:ilvl w:val="0"/>
          <w:numId w:val="77"/>
        </w:numPr>
        <w:rPr>
          <w:rFonts w:hint="eastAsia"/>
        </w:rPr>
      </w:pPr>
      <w:r>
        <w:rPr>
          <w:rFonts w:hint="eastAsia"/>
        </w:rPr>
        <w:t>自然人</w:t>
      </w:r>
    </w:p>
    <w:sdt>
      <w:sdtPr>
        <w:alias w:val="是否适用：自然人_实际控制人情况[双击切换]"/>
        <w:tag w:val="_GBC_359229fa8cca4506ac3cec3de8b5e99b"/>
        <w:id w:val="703833204"/>
        <w:placeholder>
          <w:docPart w:val="GBC22222222222222222222222222222"/>
        </w:placeholder>
      </w:sdtPr>
      <w:sdtContent>
        <w:p w14:paraId="65FC514D">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BC7D503">
      <w:pPr>
        <w:rPr>
          <w:rFonts w:hint="eastAsia"/>
        </w:rPr>
      </w:pPr>
    </w:p>
    <w:p w14:paraId="5C4385FE">
      <w:pPr>
        <w:pStyle w:val="5"/>
        <w:numPr>
          <w:ilvl w:val="0"/>
          <w:numId w:val="77"/>
        </w:numPr>
        <w:rPr>
          <w:rFonts w:hint="eastAsia"/>
        </w:rPr>
      </w:pPr>
      <w:r>
        <w:rPr>
          <w:rFonts w:hint="eastAsia"/>
        </w:rPr>
        <w:t>公司不存在实际控制人情况的特别说明</w:t>
      </w:r>
    </w:p>
    <w:sdt>
      <w:sdtPr>
        <w:rPr>
          <w:rFonts w:hint="eastAsia"/>
        </w:rPr>
        <w:alias w:val="是否适用：公司不存在实际控制人情况的特别说明[双击切换]"/>
        <w:tag w:val="_GBC_7380ff5e0fc6471583dc22db2252e039"/>
        <w:id w:val="1635832565"/>
        <w:placeholder>
          <w:docPart w:val="GBC22222222222222222222222222222"/>
        </w:placeholder>
      </w:sdtPr>
      <w:sdtEndPr>
        <w:rPr>
          <w:rFonts w:hint="eastAsia"/>
        </w:rPr>
      </w:sdtEndPr>
      <w:sdtContent>
        <w:p w14:paraId="25783A1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0585B05">
      <w:pPr>
        <w:rPr>
          <w:rFonts w:hint="eastAsia"/>
          <w:szCs w:val="21"/>
        </w:rPr>
      </w:pPr>
    </w:p>
    <w:p w14:paraId="28A8952D">
      <w:pPr>
        <w:pStyle w:val="5"/>
        <w:numPr>
          <w:ilvl w:val="0"/>
          <w:numId w:val="77"/>
        </w:numPr>
        <w:rPr>
          <w:rFonts w:hint="eastAsia"/>
        </w:rPr>
      </w:pPr>
      <w:r>
        <w:rPr>
          <w:rFonts w:hint="eastAsia"/>
        </w:rPr>
        <w:t>报告期内公司控制权发生变更的情况说明</w:t>
      </w:r>
    </w:p>
    <w:sdt>
      <w:sdtPr>
        <w:rPr>
          <w:rFonts w:hint="eastAsia"/>
        </w:rPr>
        <w:alias w:val="是否适用：报告期内公司控制权发生变更的情况说明 [双击切换]"/>
        <w:tag w:val="_GBC_f12f62e5c67e473692b22389cda35aaa"/>
        <w:id w:val="2073230732"/>
        <w:placeholder>
          <w:docPart w:val="GBC22222222222222222222222222222"/>
        </w:placeholder>
      </w:sdtPr>
      <w:sdtEndPr>
        <w:rPr>
          <w:rFonts w:hint="eastAsia"/>
        </w:rPr>
      </w:sdtEndPr>
      <w:sdtContent>
        <w:p w14:paraId="666FA853">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4997535">
      <w:pPr>
        <w:rPr>
          <w:rFonts w:hint="eastAsia"/>
        </w:rPr>
      </w:pPr>
    </w:p>
    <w:p w14:paraId="6E325229">
      <w:pPr>
        <w:pStyle w:val="5"/>
        <w:numPr>
          <w:ilvl w:val="0"/>
          <w:numId w:val="77"/>
        </w:numPr>
        <w:rPr>
          <w:rFonts w:hint="eastAsia"/>
        </w:rPr>
      </w:pPr>
      <w:r>
        <w:rPr>
          <w:rFonts w:hint="eastAsia"/>
        </w:rPr>
        <w:t>公司与实际控制人之间的产权及控制关系的方框图</w:t>
      </w:r>
    </w:p>
    <w:sdt>
      <w:sdtPr>
        <w:alias w:val="是否适用：公司与实际控制人之间的产权及控制关系的方框图[双击切换]"/>
        <w:tag w:val="_GBC_8ddc5ba6a04141dc94582029460f81bd"/>
        <w:id w:val="1537996921"/>
        <w:placeholder>
          <w:docPart w:val="GBC22222222222222222222222222222"/>
        </w:placeholder>
      </w:sdtPr>
      <w:sdtContent>
        <w:p w14:paraId="1B86DBEB">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FAF84F0">
      <w:pPr>
        <w:rPr>
          <w:rFonts w:hint="eastAsia"/>
        </w:rPr>
      </w:pPr>
      <w:sdt>
        <w:sdtPr>
          <w:rPr>
            <w:rFonts w:hint="eastAsia"/>
          </w:rPr>
          <w:alias w:val="图片：公司与实际控制人之间的产权及控制关系的方框图"/>
          <w:tag w:val="_GBC_538f0b25ae684717a3c8362262a5a004"/>
          <w:id w:val="-1518531237"/>
          <w:placeholder>
            <w:docPart w:val="GBC22222222222222222222222222222"/>
          </w:placeholder>
          <w:picture/>
        </w:sdtPr>
        <w:sdtEndPr>
          <w:rPr>
            <w:rFonts w:hint="eastAsia"/>
          </w:rPr>
        </w:sdtEndPr>
        <w:sdtContent>
          <w:r>
            <w:rPr>
              <w:rFonts w:hint="eastAsia"/>
            </w:rPr>
            <w:drawing>
              <wp:inline distT="0" distB="0" distL="0" distR="0">
                <wp:extent cx="4793615" cy="2185035"/>
                <wp:effectExtent l="0" t="0" r="6985" b="5715"/>
                <wp:docPr id="4" name="图片 1" descr="E:/Desktop/存档文件/第六届董事会议案合集/2024年度董事会/年报/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E:/Desktop/存档文件/第六届董事会议案合集/2024年度董事会/年报/图片2.png图片2"/>
                        <pic:cNvPicPr>
                          <a:picLocks noChangeAspect="1" noChangeArrowheads="1"/>
                        </pic:cNvPicPr>
                      </pic:nvPicPr>
                      <pic:blipFill>
                        <a:blip r:embed="rId7"/>
                        <a:srcRect/>
                        <a:stretch>
                          <a:fillRect/>
                        </a:stretch>
                      </pic:blipFill>
                      <pic:spPr>
                        <a:xfrm>
                          <a:off x="0" y="0"/>
                          <a:ext cx="4793615" cy="2185035"/>
                        </a:xfrm>
                        <a:prstGeom prst="rect">
                          <a:avLst/>
                        </a:prstGeom>
                        <a:noFill/>
                        <a:ln>
                          <a:noFill/>
                        </a:ln>
                      </pic:spPr>
                    </pic:pic>
                  </a:graphicData>
                </a:graphic>
              </wp:inline>
            </w:drawing>
          </w:r>
        </w:sdtContent>
      </w:sdt>
    </w:p>
    <w:p w14:paraId="2B8BB85D">
      <w:pPr>
        <w:rPr>
          <w:rFonts w:hint="eastAsia"/>
          <w:sz w:val="15"/>
          <w:szCs w:val="15"/>
        </w:rPr>
      </w:pPr>
      <w:r>
        <w:rPr>
          <w:rFonts w:hint="eastAsia"/>
          <w:sz w:val="15"/>
          <w:szCs w:val="15"/>
        </w:rPr>
        <w:t>注：2025年1月14日，新兴铸管股份有限公司在深圳证券交易所披露公告，因部分股权激励回购股份注销导致控股股东新兴际华集团有限公司持股比例被动变化，由</w:t>
      </w:r>
      <w:r>
        <w:rPr>
          <w:sz w:val="15"/>
          <w:szCs w:val="15"/>
        </w:rPr>
        <w:t>39.97%增至40.24%</w:t>
      </w:r>
      <w:r>
        <w:rPr>
          <w:rFonts w:hint="eastAsia"/>
          <w:sz w:val="15"/>
          <w:szCs w:val="15"/>
        </w:rPr>
        <w:t>。</w:t>
      </w:r>
    </w:p>
    <w:p w14:paraId="2A2CA513">
      <w:pPr>
        <w:pStyle w:val="5"/>
        <w:numPr>
          <w:ilvl w:val="0"/>
          <w:numId w:val="77"/>
        </w:numPr>
        <w:rPr>
          <w:rFonts w:hint="eastAsia"/>
        </w:rPr>
      </w:pPr>
      <w:r>
        <w:rPr>
          <w:rFonts w:hint="eastAsia"/>
        </w:rP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1594780665"/>
        <w:placeholder>
          <w:docPart w:val="GBC22222222222222222222222222222"/>
        </w:placeholder>
      </w:sdtPr>
      <w:sdtEndPr>
        <w:rPr>
          <w:rFonts w:hint="eastAsia"/>
        </w:rPr>
      </w:sdtEndPr>
      <w:sdtContent>
        <w:p w14:paraId="0DC582D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399A78">
      <w:pPr>
        <w:rPr>
          <w:rFonts w:hint="eastAsia"/>
          <w:szCs w:val="21"/>
        </w:rPr>
      </w:pPr>
    </w:p>
    <w:p w14:paraId="55E7CD0D">
      <w:pPr>
        <w:pStyle w:val="4"/>
        <w:numPr>
          <w:ilvl w:val="0"/>
          <w:numId w:val="75"/>
        </w:numPr>
      </w:pPr>
      <w:r>
        <w:t>控股股东及实际控制人其他情况介绍</w:t>
      </w:r>
    </w:p>
    <w:sdt>
      <w:sdtPr>
        <w:rPr>
          <w:rFonts w:hint="eastAsia"/>
        </w:rPr>
        <w:alias w:val="是否适用：控股股东及实际控制人其他情况介绍[双击切换]"/>
        <w:tag w:val="_GBC_f45ea2fa04e04b71a116fba6ba3bff32"/>
        <w:id w:val="660353632"/>
        <w:placeholder>
          <w:docPart w:val="GBC22222222222222222222222222222"/>
        </w:placeholder>
      </w:sdtPr>
      <w:sdtEndPr>
        <w:rPr>
          <w:rFonts w:hint="eastAsia"/>
        </w:rPr>
      </w:sdtEndPr>
      <w:sdtContent>
        <w:p w14:paraId="38B2557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C84DB92">
      <w:pPr>
        <w:rPr>
          <w:rFonts w:hint="eastAsia"/>
        </w:rPr>
      </w:pPr>
    </w:p>
    <w:p w14:paraId="7FE82BC1">
      <w:pPr>
        <w:pStyle w:val="3"/>
        <w:numPr>
          <w:ilvl w:val="0"/>
          <w:numId w:val="70"/>
        </w:numPr>
      </w:pPr>
      <w:bookmarkStart w:id="156" w:name="_Hlk89353035"/>
      <w:r>
        <w:t>公司控股股东或第一大股东及其一致行动人累计质押股份数量占其所持公司股份数量比例达到 80%以上</w:t>
      </w:r>
    </w:p>
    <w:sdt>
      <w:sdtPr>
        <w:rPr>
          <w:rFonts w:hint="eastAsia"/>
        </w:rPr>
        <w:alias w:val="是否适用：公司控股股东或第一大股东及其一致行动人累计质押股份数量情况明细[双击切换]"/>
        <w:tag w:val="_GBC_f07bbd5a46a94903bbea3fbbdc7b769f"/>
        <w:id w:val="-758902831"/>
        <w:placeholder>
          <w:docPart w:val="GBC22222222222222222222222222222"/>
        </w:placeholder>
      </w:sdtPr>
      <w:sdtEndPr>
        <w:rPr>
          <w:rFonts w:hint="eastAsia"/>
        </w:rPr>
      </w:sdtEndPr>
      <w:sdtContent>
        <w:p w14:paraId="08E3826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B0E637D">
      <w:pPr>
        <w:rPr>
          <w:rFonts w:hint="eastAsia"/>
        </w:rPr>
      </w:pPr>
    </w:p>
    <w:bookmarkEnd w:id="156"/>
    <w:p w14:paraId="120B837C">
      <w:pPr>
        <w:pStyle w:val="3"/>
        <w:numPr>
          <w:ilvl w:val="0"/>
          <w:numId w:val="70"/>
        </w:numPr>
      </w:pPr>
      <w:r>
        <w:rPr>
          <w:rFonts w:hint="eastAsia"/>
        </w:rPr>
        <w:t>其他持股在百分之十以上的法人股东</w:t>
      </w:r>
    </w:p>
    <w:sdt>
      <w:sdtPr>
        <w:alias w:val="是否适用：其他持股在百分之十以上的法人股东[双击切换]"/>
        <w:tag w:val="_GBC_7c5d05f2d72d4d3c9ef6e9b93777b39f"/>
        <w:id w:val="444351448"/>
        <w:placeholder>
          <w:docPart w:val="GBC22222222222222222222222222222"/>
        </w:placeholder>
      </w:sdtPr>
      <w:sdtContent>
        <w:p w14:paraId="050285EC">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CD85120">
      <w:pPr>
        <w:pStyle w:val="3"/>
        <w:numPr>
          <w:ilvl w:val="0"/>
          <w:numId w:val="70"/>
        </w:numPr>
      </w:pPr>
      <w:r>
        <w:rPr>
          <w:rFonts w:hint="eastAsia"/>
        </w:rPr>
        <w:t>股份限制减持情况说明</w:t>
      </w:r>
    </w:p>
    <w:p w14:paraId="09CF3834">
      <w:pPr>
        <w:ind w:firstLine="105" w:firstLineChars="50"/>
        <w:rPr>
          <w:rFonts w:hint="eastAsia"/>
        </w:rPr>
      </w:pPr>
      <w:sdt>
        <w:sdtPr>
          <w:rPr>
            <w:rFonts w:hint="eastAsia"/>
          </w:rPr>
          <w:alias w:val="是否适用：股份限制减持情况说明[双击切换]"/>
          <w:tag w:val="_GBC_38db60098ddc4e12bffd328b521e0c35"/>
          <w:id w:val="451522336"/>
          <w:placeholder>
            <w:docPart w:val="GBC22222222222222222222222222222"/>
          </w:placeholder>
        </w:sdtPr>
        <w:sdtEndPr>
          <w:rPr>
            <w:rFonts w:hint="default"/>
          </w:rPr>
        </w:sdtEnd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5BA43A72">
      <w:pPr>
        <w:pStyle w:val="3"/>
        <w:numPr>
          <w:ilvl w:val="0"/>
          <w:numId w:val="78"/>
        </w:numPr>
      </w:pPr>
      <w:bookmarkStart w:id="157" w:name="_Hlk90042255"/>
      <w:bookmarkStart w:id="158" w:name="_Hlk89353439"/>
      <w:r>
        <w:rPr>
          <w:rFonts w:hint="eastAsia"/>
        </w:rPr>
        <w:t>股份回购在报告期的具体实施情况</w:t>
      </w:r>
    </w:p>
    <w:sdt>
      <w:sdtPr>
        <w:rPr>
          <w:rFonts w:hint="eastAsia"/>
        </w:rPr>
        <w:alias w:val="是否适用：股份回购在报告期的具体实施情况[双击切换]"/>
        <w:tag w:val="_GBC_382f884c74d74cfd9a74c18c52645b0e"/>
        <w:id w:val="-395982435"/>
      </w:sdtPr>
      <w:sdtEndPr>
        <w:rPr>
          <w:rFonts w:hint="eastAsia"/>
        </w:rPr>
      </w:sdtEndPr>
      <w:sdtContent>
        <w:p w14:paraId="466313E9">
          <w:pPr>
            <w:rPr>
              <w:rFonts w:hint="eastAsia"/>
            </w:rPr>
          </w:pPr>
          <w:r>
            <w:fldChar w:fldCharType="begin"/>
          </w:r>
          <w:r>
            <w:instrText xml:space="preserve"> </w:instrText>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1FFAC15">
      <w:pPr>
        <w:jc w:val="right"/>
        <w:rPr>
          <w:rFonts w:hint="eastAsia"/>
          <w:szCs w:val="21"/>
        </w:rPr>
      </w:pPr>
      <w:r>
        <w:rPr>
          <w:rFonts w:hint="eastAsia"/>
          <w:szCs w:val="21"/>
        </w:rPr>
        <w:t>单位：</w:t>
      </w:r>
      <w:sdt>
        <w:sdtPr>
          <w:rPr>
            <w:rFonts w:hint="eastAsia"/>
            <w:szCs w:val="21"/>
          </w:rPr>
          <w:alias w:val="单位：股份回购在报告期的具体实施情况"/>
          <w:tag w:val="_GBC_21792546ad004ee39a278a585bed9af7"/>
          <w:id w:val="-220057466"/>
          <w:placeholder>
            <w:docPart w:val="83CFCC8A92C747AEA0BB6B4AEE97DB98"/>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股份回购在报告期的具体实施情况"/>
          <w:tag w:val="_GBC_d28ce55fd5d44a2a8978fe14c4fed7a0"/>
          <w:id w:val="-990013701"/>
          <w:placeholder>
            <w:docPart w:val="83CFCC8A92C747AEA0BB6B4AEE97DB98"/>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6"/>
        <w:gridCol w:w="5537"/>
      </w:tblGrid>
      <w:tr w14:paraId="3FBA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b8991132154646319b355a22c4f93ad1"/>
            <w:id w:val="2127580321"/>
          </w:sdtPr>
          <w:sdtContent>
            <w:tc>
              <w:tcPr>
                <w:tcW w:w="1862" w:type="pct"/>
                <w:shd w:val="clear" w:color="auto" w:fill="auto"/>
              </w:tcPr>
              <w:p w14:paraId="287984B0">
                <w:pPr>
                  <w:widowControl w:val="0"/>
                  <w:jc w:val="both"/>
                  <w:rPr>
                    <w:rFonts w:hint="eastAsia"/>
                    <w:szCs w:val="21"/>
                  </w:rPr>
                </w:pPr>
                <w:r>
                  <w:rPr>
                    <w:rFonts w:hint="eastAsia"/>
                    <w:szCs w:val="21"/>
                  </w:rPr>
                  <w:t>回购股份方案名称</w:t>
                </w:r>
              </w:p>
            </w:tc>
          </w:sdtContent>
        </w:sdt>
        <w:sdt>
          <w:sdtPr>
            <w:rPr>
              <w:szCs w:val="21"/>
            </w:rPr>
            <w:alias w:val="回购股份方案名称"/>
            <w:tag w:val="_GBC_4613feedd9fa4680b4c5e8a18b0d9a89"/>
            <w:id w:val="152958196"/>
          </w:sdtPr>
          <w:sdtEndPr>
            <w:rPr>
              <w:szCs w:val="21"/>
            </w:rPr>
          </w:sdtEndPr>
          <w:sdtContent>
            <w:tc>
              <w:tcPr>
                <w:tcW w:w="3138" w:type="pct"/>
                <w:shd w:val="clear" w:color="auto" w:fill="auto"/>
              </w:tcPr>
              <w:p w14:paraId="58E40C5B">
                <w:pPr>
                  <w:widowControl w:val="0"/>
                  <w:jc w:val="both"/>
                  <w:rPr>
                    <w:rFonts w:hint="eastAsia"/>
                    <w:szCs w:val="21"/>
                  </w:rPr>
                </w:pPr>
                <w:r>
                  <w:rPr>
                    <w:szCs w:val="21"/>
                  </w:rPr>
                  <w:t>以集中竞价交易方式回购公司股份的预案</w:t>
                </w:r>
              </w:p>
            </w:tc>
          </w:sdtContent>
        </w:sdt>
      </w:tr>
      <w:tr w14:paraId="3931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187065858d394eefb013cc59760bd000"/>
            <w:id w:val="-1450227768"/>
          </w:sdtPr>
          <w:sdtContent>
            <w:tc>
              <w:tcPr>
                <w:tcW w:w="1862" w:type="pct"/>
                <w:shd w:val="clear" w:color="auto" w:fill="auto"/>
              </w:tcPr>
              <w:p w14:paraId="0294EDE3">
                <w:pPr>
                  <w:widowControl w:val="0"/>
                  <w:jc w:val="both"/>
                  <w:rPr>
                    <w:rFonts w:hint="eastAsia"/>
                    <w:szCs w:val="21"/>
                  </w:rPr>
                </w:pPr>
                <w:r>
                  <w:rPr>
                    <w:rFonts w:hint="eastAsia"/>
                    <w:szCs w:val="21"/>
                  </w:rPr>
                  <w:t>回购股份方案披露时间</w:t>
                </w:r>
              </w:p>
            </w:tc>
          </w:sdtContent>
        </w:sdt>
        <w:tc>
          <w:tcPr>
            <w:tcW w:w="3138" w:type="pct"/>
            <w:shd w:val="clear" w:color="auto" w:fill="auto"/>
            <w:vAlign w:val="center"/>
          </w:tcPr>
          <w:p w14:paraId="2676DE0E">
            <w:pPr>
              <w:widowControl w:val="0"/>
              <w:jc w:val="both"/>
              <w:rPr>
                <w:rFonts w:hint="eastAsia"/>
                <w:szCs w:val="21"/>
              </w:rPr>
            </w:pPr>
            <w:r>
              <w:rPr>
                <w:rFonts w:hint="eastAsia"/>
              </w:rPr>
              <w:t>2024/12/7</w:t>
            </w:r>
          </w:p>
        </w:tc>
      </w:tr>
      <w:tr w14:paraId="4A6A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41509b0173b14ffcb6784b9101e4f614"/>
            <w:id w:val="650338580"/>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3C5200F7">
                <w:pPr>
                  <w:widowControl w:val="0"/>
                  <w:jc w:val="both"/>
                  <w:rPr>
                    <w:rFonts w:hint="eastAsia"/>
                    <w:szCs w:val="21"/>
                  </w:rPr>
                </w:pPr>
                <w:r>
                  <w:rPr>
                    <w:rFonts w:hint="eastAsia"/>
                    <w:szCs w:val="21"/>
                  </w:rPr>
                  <w:t>拟回购股份数量及占总股本的比例(%)</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30FBE417">
            <w:pPr>
              <w:widowControl w:val="0"/>
              <w:jc w:val="both"/>
              <w:rPr>
                <w:rFonts w:hint="eastAsia"/>
                <w:szCs w:val="21"/>
              </w:rPr>
            </w:pPr>
            <w:r>
              <w:rPr>
                <w:rFonts w:hint="eastAsia"/>
              </w:rPr>
              <w:t>0.50%～1.01%</w:t>
            </w:r>
          </w:p>
        </w:tc>
      </w:tr>
      <w:tr w14:paraId="6003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9bb5689599b84e2f84dc75c70190bf12"/>
            <w:id w:val="-1631086982"/>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62064AFE">
                <w:pPr>
                  <w:widowControl w:val="0"/>
                  <w:jc w:val="both"/>
                  <w:rPr>
                    <w:rFonts w:hint="eastAsia"/>
                    <w:szCs w:val="21"/>
                  </w:rPr>
                </w:pPr>
                <w:r>
                  <w:rPr>
                    <w:rFonts w:hint="eastAsia"/>
                    <w:szCs w:val="21"/>
                  </w:rPr>
                  <w:t>拟回购金额</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2677E118">
            <w:pPr>
              <w:widowControl w:val="0"/>
              <w:jc w:val="both"/>
              <w:rPr>
                <w:rFonts w:hint="eastAsia"/>
                <w:szCs w:val="21"/>
              </w:rPr>
            </w:pPr>
            <w:r>
              <w:rPr>
                <w:rFonts w:hint="eastAsia"/>
              </w:rPr>
              <w:t>10,000～20,000</w:t>
            </w:r>
            <w:r>
              <w:rPr>
                <w:rFonts w:hint="eastAsia"/>
                <w:szCs w:val="21"/>
              </w:rPr>
              <w:t xml:space="preserve"> </w:t>
            </w:r>
          </w:p>
        </w:tc>
      </w:tr>
      <w:tr w14:paraId="454D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f34ea3309336404f97d3ff52fd27f200"/>
            <w:id w:val="475188376"/>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733C0A07">
                <w:pPr>
                  <w:widowControl w:val="0"/>
                  <w:jc w:val="both"/>
                  <w:rPr>
                    <w:rFonts w:hint="eastAsia"/>
                    <w:szCs w:val="21"/>
                  </w:rPr>
                </w:pPr>
                <w:r>
                  <w:rPr>
                    <w:rFonts w:hint="eastAsia"/>
                    <w:szCs w:val="21"/>
                  </w:rPr>
                  <w:t>拟回购期间</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615998F0">
            <w:pPr>
              <w:widowControl w:val="0"/>
              <w:jc w:val="both"/>
              <w:rPr>
                <w:rFonts w:hint="eastAsia"/>
                <w:szCs w:val="21"/>
              </w:rPr>
            </w:pPr>
            <w:r>
              <w:rPr>
                <w:rFonts w:hint="eastAsia"/>
              </w:rPr>
              <w:t>2024年12月23日～2025年12月22日</w:t>
            </w:r>
          </w:p>
        </w:tc>
      </w:tr>
      <w:tr w14:paraId="4666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c40c626bc1404e4f929fdc2e62babdc3"/>
            <w:id w:val="1085495625"/>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3CB865A8">
                <w:pPr>
                  <w:widowControl w:val="0"/>
                  <w:jc w:val="both"/>
                  <w:rPr>
                    <w:rFonts w:hint="eastAsia"/>
                    <w:szCs w:val="21"/>
                  </w:rPr>
                </w:pPr>
                <w:r>
                  <w:rPr>
                    <w:rFonts w:hint="eastAsia"/>
                    <w:szCs w:val="21"/>
                  </w:rPr>
                  <w:t>回购用途</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0920B254">
            <w:pPr>
              <w:widowControl w:val="0"/>
              <w:jc w:val="both"/>
              <w:rPr>
                <w:rFonts w:hint="eastAsia"/>
                <w:szCs w:val="21"/>
              </w:rPr>
            </w:pPr>
            <w:r>
              <w:rPr>
                <w:rFonts w:hint="eastAsia"/>
              </w:rPr>
              <w:t>减少注册资本</w:t>
            </w:r>
          </w:p>
        </w:tc>
      </w:tr>
      <w:tr w14:paraId="26E6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afc6c522e6394fee8174ca10d68fe3a9"/>
            <w:id w:val="-1583829963"/>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524AF20E">
                <w:pPr>
                  <w:widowControl w:val="0"/>
                  <w:jc w:val="both"/>
                  <w:rPr>
                    <w:rFonts w:hint="eastAsia"/>
                    <w:szCs w:val="21"/>
                  </w:rPr>
                </w:pPr>
                <w:r>
                  <w:rPr>
                    <w:rFonts w:hint="eastAsia"/>
                    <w:szCs w:val="21"/>
                  </w:rPr>
                  <w:t>已回购数量(股)</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2034DBF4">
            <w:pPr>
              <w:widowControl w:val="0"/>
              <w:jc w:val="both"/>
              <w:rPr>
                <w:rFonts w:hint="eastAsia"/>
                <w:szCs w:val="21"/>
              </w:rPr>
            </w:pPr>
            <w:r>
              <w:rPr>
                <w:rFonts w:hint="eastAsia"/>
              </w:rPr>
              <w:t>0</w:t>
            </w:r>
          </w:p>
        </w:tc>
      </w:tr>
      <w:tr w14:paraId="2655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21a1ea20b0dd4f9d9a095cb91a11bd9d"/>
            <w:id w:val="-697930538"/>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02B09B62">
                <w:pPr>
                  <w:widowControl w:val="0"/>
                  <w:jc w:val="both"/>
                  <w:rPr>
                    <w:rFonts w:hint="eastAsia"/>
                    <w:szCs w:val="21"/>
                  </w:rPr>
                </w:pPr>
                <w:r>
                  <w:rPr>
                    <w:rFonts w:hint="eastAsia"/>
                    <w:szCs w:val="21"/>
                  </w:rPr>
                  <w:t>已回购数量占股权激励计划所涉及的标的股票的比例(%)（如有）</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4C45A198">
            <w:pPr>
              <w:widowControl w:val="0"/>
              <w:jc w:val="both"/>
              <w:rPr>
                <w:rFonts w:hint="eastAsia"/>
                <w:szCs w:val="21"/>
              </w:rPr>
            </w:pPr>
            <w:r>
              <w:rPr>
                <w:rFonts w:hint="eastAsia"/>
              </w:rPr>
              <w:t>不适用</w:t>
            </w:r>
          </w:p>
        </w:tc>
      </w:tr>
      <w:tr w14:paraId="2898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sdt>
          <w:sdtPr>
            <w:tag w:val="_PLD_50896001c0b64535901ef4932854d9d2"/>
            <w:id w:val="-1600483877"/>
          </w:sdtPr>
          <w:sdtContent>
            <w:tc>
              <w:tcPr>
                <w:tcW w:w="1862" w:type="pct"/>
                <w:tcBorders>
                  <w:top w:val="single" w:color="auto" w:sz="4" w:space="0"/>
                  <w:left w:val="single" w:color="auto" w:sz="4" w:space="0"/>
                  <w:bottom w:val="single" w:color="auto" w:sz="4" w:space="0"/>
                  <w:right w:val="single" w:color="auto" w:sz="4" w:space="0"/>
                </w:tcBorders>
                <w:shd w:val="clear" w:color="auto" w:fill="auto"/>
              </w:tcPr>
              <w:p w14:paraId="296F39A3">
                <w:pPr>
                  <w:widowControl w:val="0"/>
                  <w:jc w:val="both"/>
                  <w:rPr>
                    <w:rFonts w:hint="eastAsia"/>
                    <w:szCs w:val="21"/>
                  </w:rPr>
                </w:pPr>
                <w:r>
                  <w:rPr>
                    <w:rFonts w:hint="eastAsia"/>
                    <w:szCs w:val="21"/>
                  </w:rPr>
                  <w:t>公司采用集中竞价交易方式减持回购股份的进展情况</w:t>
                </w:r>
              </w:p>
            </w:tc>
          </w:sdtContent>
        </w:sdt>
        <w:tc>
          <w:tcPr>
            <w:tcW w:w="3138" w:type="pct"/>
            <w:tcBorders>
              <w:top w:val="single" w:color="auto" w:sz="4" w:space="0"/>
              <w:left w:val="single" w:color="auto" w:sz="4" w:space="0"/>
              <w:bottom w:val="single" w:color="auto" w:sz="4" w:space="0"/>
              <w:right w:val="single" w:color="auto" w:sz="4" w:space="0"/>
            </w:tcBorders>
            <w:shd w:val="clear" w:color="auto" w:fill="auto"/>
            <w:vAlign w:val="center"/>
          </w:tcPr>
          <w:p w14:paraId="2B02E1AE">
            <w:pPr>
              <w:widowControl w:val="0"/>
              <w:jc w:val="both"/>
              <w:rPr>
                <w:rFonts w:hint="eastAsia"/>
                <w:szCs w:val="21"/>
              </w:rPr>
            </w:pPr>
            <w:r>
              <w:rPr>
                <w:rFonts w:hint="eastAsia"/>
              </w:rPr>
              <w:t>不适用</w:t>
            </w:r>
          </w:p>
        </w:tc>
      </w:tr>
    </w:tbl>
    <w:p w14:paraId="02E3305B">
      <w:pPr>
        <w:pStyle w:val="47"/>
      </w:pPr>
    </w:p>
    <w:p w14:paraId="661479E4">
      <w:pPr>
        <w:pStyle w:val="47"/>
        <w:rPr>
          <w:sz w:val="15"/>
          <w:szCs w:val="15"/>
        </w:rPr>
      </w:pPr>
      <w:r>
        <w:rPr>
          <w:rFonts w:hint="eastAsia"/>
          <w:sz w:val="15"/>
          <w:szCs w:val="15"/>
        </w:rPr>
        <w:t>注：截至3月31日，公司已回购股份</w:t>
      </w:r>
      <w:r>
        <w:rPr>
          <w:sz w:val="15"/>
          <w:szCs w:val="15"/>
        </w:rPr>
        <w:t>3,385,600股，占公司当前总股本的比例为 0.0771%</w:t>
      </w:r>
      <w:r>
        <w:rPr>
          <w:rFonts w:hint="eastAsia"/>
          <w:sz w:val="15"/>
          <w:szCs w:val="15"/>
        </w:rPr>
        <w:t>。</w:t>
      </w:r>
      <w:bookmarkEnd w:id="157"/>
      <w:bookmarkEnd w:id="158"/>
    </w:p>
    <w:p w14:paraId="3A9507E7">
      <w:pPr>
        <w:ind w:firstLine="420" w:firstLineChars="200"/>
        <w:rPr>
          <w:rFonts w:hint="eastAsia"/>
        </w:rPr>
      </w:pPr>
    </w:p>
    <w:p w14:paraId="025D0E3A">
      <w:pPr>
        <w:pStyle w:val="2"/>
        <w:numPr>
          <w:ilvl w:val="0"/>
          <w:numId w:val="2"/>
        </w:numPr>
      </w:pPr>
      <w:bookmarkStart w:id="159" w:name="_Toc184741581"/>
      <w:bookmarkStart w:id="160" w:name="_Toc409437608"/>
      <w:bookmarkStart w:id="161" w:name="_Toc437440714"/>
      <w:r>
        <w:rPr>
          <w:rFonts w:hint="eastAsia"/>
        </w:rPr>
        <w:t>优先股相关情况</w:t>
      </w:r>
    </w:p>
    <w:bookmarkEnd w:id="159"/>
    <w:bookmarkEnd w:id="160"/>
    <w:bookmarkEnd w:id="161"/>
    <w:sdt>
      <w:sdtPr>
        <w:rPr>
          <w:szCs w:val="21"/>
        </w:rPr>
        <w:alias w:val="是否适用：优先股相关情况[双击切换]"/>
        <w:tag w:val="_GBC_0076278996ac412e9bff14977615c2e3"/>
        <w:id w:val="-1474598702"/>
        <w:placeholder>
          <w:docPart w:val="GBC22222222222222222222222222222"/>
        </w:placeholder>
      </w:sdtPr>
      <w:sdtEndPr>
        <w:rPr>
          <w:szCs w:val="21"/>
        </w:rPr>
      </w:sdtEndPr>
      <w:sdtContent>
        <w:p w14:paraId="1CB83A78">
          <w:pPr>
            <w:rPr>
              <w:rFonts w:hint="eastAsia"/>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2A7DF6A">
      <w:pPr>
        <w:rPr>
          <w:rFonts w:hint="eastAsia"/>
        </w:rPr>
      </w:pPr>
      <w:bookmarkStart w:id="162" w:name="_Toc342566003"/>
    </w:p>
    <w:p w14:paraId="5D32CCD5">
      <w:pPr>
        <w:rPr>
          <w:rFonts w:hint="eastAsia"/>
        </w:rPr>
        <w:sectPr>
          <w:pgSz w:w="11906" w:h="16838"/>
          <w:pgMar w:top="1525" w:right="1276" w:bottom="1440" w:left="1797" w:header="855" w:footer="992" w:gutter="0"/>
          <w:cols w:space="425" w:num="1"/>
          <w:docGrid w:linePitch="312" w:charSpace="0"/>
        </w:sectPr>
      </w:pPr>
    </w:p>
    <w:bookmarkEnd w:id="162"/>
    <w:p w14:paraId="00E8F3BB">
      <w:pPr>
        <w:pStyle w:val="2"/>
        <w:numPr>
          <w:ilvl w:val="0"/>
          <w:numId w:val="2"/>
        </w:numPr>
      </w:pPr>
      <w:bookmarkStart w:id="163" w:name="_Toc184741582"/>
      <w:bookmarkStart w:id="164" w:name="_Toc437440717"/>
      <w:bookmarkStart w:id="165" w:name="OLE_LINK13"/>
      <w:bookmarkStart w:id="166" w:name="_Hlk90555499"/>
      <w:r>
        <w:rPr>
          <w:rFonts w:hint="eastAsia"/>
        </w:rPr>
        <w:t>债券相关情况</w:t>
      </w:r>
    </w:p>
    <w:bookmarkEnd w:id="163"/>
    <w:bookmarkEnd w:id="164"/>
    <w:p w14:paraId="01ABE4D7">
      <w:pPr>
        <w:pStyle w:val="3"/>
        <w:numPr>
          <w:ilvl w:val="0"/>
          <w:numId w:val="79"/>
        </w:numPr>
        <w:ind w:left="425" w:hanging="425"/>
        <w:rPr>
          <w:rFonts w:hint="eastAsia" w:ascii="宋体" w:hAnsi="宋体"/>
        </w:rPr>
      </w:pPr>
      <w:bookmarkStart w:id="167" w:name="_Hlk89353982"/>
      <w:bookmarkStart w:id="168" w:name="_Hlk89955979"/>
      <w:bookmarkStart w:id="169" w:name="_Hlk90042478"/>
      <w:r>
        <w:rPr>
          <w:rFonts w:hint="eastAsia" w:ascii="宋体" w:hAnsi="宋体"/>
        </w:rPr>
        <w:t>公司债券（含企业债券）和非金融企业债务融资工具</w:t>
      </w:r>
    </w:p>
    <w:sdt>
      <w:sdtPr>
        <w:rPr>
          <w:szCs w:val="21"/>
        </w:rPr>
        <w:alias w:val="是否适用：债券相关情况[双击切换]"/>
        <w:tag w:val="_GBC_804ac0b5f8c94edbbb148299204e0a43"/>
        <w:id w:val="-554623008"/>
        <w:placeholder>
          <w:docPart w:val="GBC22222222222222222222222222222"/>
        </w:placeholder>
      </w:sdtPr>
      <w:sdtEndPr>
        <w:rPr>
          <w:szCs w:val="21"/>
        </w:rPr>
      </w:sdtEndPr>
      <w:sdtContent>
        <w:p w14:paraId="3A76CF46">
          <w:pPr>
            <w:rPr>
              <w:rFonts w:hint="eastAsia"/>
              <w:szCs w:val="21"/>
            </w:rPr>
          </w:pPr>
          <w:bookmarkStart w:id="170" w:name="_Hlk73352152"/>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70"/>
    <w:p w14:paraId="7AFA8FB7">
      <w:pPr>
        <w:rPr>
          <w:rFonts w:hint="eastAsia"/>
        </w:rPr>
      </w:pPr>
    </w:p>
    <w:p w14:paraId="79685258">
      <w:pPr>
        <w:pStyle w:val="4"/>
        <w:numPr>
          <w:ilvl w:val="0"/>
          <w:numId w:val="80"/>
        </w:numPr>
        <w:ind w:left="425" w:hanging="425"/>
        <w:rPr>
          <w:rFonts w:hint="eastAsia" w:ascii="宋体" w:hAnsi="宋体"/>
        </w:rPr>
      </w:pPr>
      <w:r>
        <w:rPr>
          <w:rFonts w:hint="eastAsia" w:ascii="宋体" w:hAnsi="宋体"/>
        </w:rPr>
        <w:t>公司债券（含企业债券）</w:t>
      </w:r>
    </w:p>
    <w:sdt>
      <w:sdtPr>
        <w:rPr>
          <w:szCs w:val="21"/>
        </w:rPr>
        <w:alias w:val="是否适用：公司债券相关情况[双击切换]"/>
        <w:tag w:val="_GBC_bcf1d09cd7a14ac8aa0f16e88665e56b"/>
        <w:id w:val="620952137"/>
        <w:lock w:val="contentLocked"/>
        <w:placeholder>
          <w:docPart w:val="GBC22222222222222222222222222222"/>
        </w:placeholder>
      </w:sdtPr>
      <w:sdtEndPr>
        <w:rPr>
          <w:szCs w:val="21"/>
        </w:rPr>
      </w:sdtEndPr>
      <w:sdtContent>
        <w:p w14:paraId="322BE558">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90A1FAF">
      <w:pPr>
        <w:rPr>
          <w:rFonts w:hint="eastAsia"/>
        </w:rPr>
      </w:pPr>
    </w:p>
    <w:p w14:paraId="746E57AF">
      <w:pPr>
        <w:pStyle w:val="5"/>
        <w:numPr>
          <w:ilvl w:val="0"/>
          <w:numId w:val="81"/>
        </w:numPr>
        <w:ind w:left="425" w:hanging="425"/>
        <w:rPr>
          <w:rFonts w:hint="eastAsia" w:ascii="宋体" w:hAnsi="宋体" w:cs="宋体"/>
          <w:kern w:val="0"/>
          <w:szCs w:val="21"/>
        </w:rPr>
      </w:pPr>
      <w:bookmarkStart w:id="171" w:name="_Hlk182401401"/>
      <w:bookmarkStart w:id="172" w:name="_Hlk169859080"/>
      <w:r>
        <w:rPr>
          <w:rFonts w:hint="eastAsia" w:ascii="宋体" w:hAnsi="宋体" w:cs="宋体"/>
          <w:kern w:val="0"/>
          <w:szCs w:val="21"/>
        </w:rPr>
        <w:t>公司债券基本情况</w:t>
      </w:r>
    </w:p>
    <w:p w14:paraId="4826CFFB">
      <w:pPr>
        <w:jc w:val="right"/>
        <w:rPr>
          <w:rFonts w:hint="eastAsia"/>
        </w:rPr>
      </w:pPr>
      <w:r>
        <w:rPr>
          <w:rFonts w:hint="eastAsia"/>
        </w:rPr>
        <w:t>单位</w:t>
      </w:r>
      <w:r>
        <w:t>：</w:t>
      </w:r>
      <w:sdt>
        <w:sdtPr>
          <w:alias w:val="单位：财务附注：公司债券基本情况"/>
          <w:tag w:val="_GBC_0705fcbbddbd4f8db75544d8a377ec1a"/>
          <w:id w:val="11471716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t>亿元</w:t>
          </w:r>
        </w:sdtContent>
      </w:sdt>
      <w:r>
        <w:rPr>
          <w:rFonts w:hint="eastAsia"/>
        </w:rPr>
        <w:t xml:space="preserve">  币种</w:t>
      </w:r>
      <w:r>
        <w:t>：</w:t>
      </w:r>
      <w:sdt>
        <w:sdtPr>
          <w:alias w:val="币种：财务附注：公司债券基本情况"/>
          <w:tag w:val="_GBC_fc39aa16787a449b8974814c5b87f03a"/>
          <w:id w:val="-8720688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37"/>
        <w:tblW w:w="52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618"/>
        <w:gridCol w:w="709"/>
        <w:gridCol w:w="873"/>
        <w:gridCol w:w="905"/>
        <w:gridCol w:w="948"/>
        <w:gridCol w:w="873"/>
        <w:gridCol w:w="656"/>
        <w:gridCol w:w="741"/>
        <w:gridCol w:w="1356"/>
        <w:gridCol w:w="708"/>
        <w:gridCol w:w="711"/>
        <w:gridCol w:w="708"/>
        <w:gridCol w:w="2125"/>
        <w:gridCol w:w="925"/>
        <w:gridCol w:w="778"/>
      </w:tblGrid>
      <w:tr w14:paraId="7AD3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bb2a7c7fde7497e901d1675e0b7ebf3"/>
            <w:id w:val="-838615947"/>
          </w:sdtPr>
          <w:sdtContent>
            <w:tc>
              <w:tcPr>
                <w:tcW w:w="284" w:type="pct"/>
                <w:vAlign w:val="center"/>
              </w:tcPr>
              <w:p w14:paraId="1405B052">
                <w:pPr>
                  <w:jc w:val="center"/>
                  <w:rPr>
                    <w:rFonts w:hint="eastAsia" w:cs="Times New Roman"/>
                    <w:b/>
                    <w:bCs/>
                  </w:rPr>
                </w:pPr>
                <w:r>
                  <w:rPr>
                    <w:rFonts w:hint="eastAsia"/>
                  </w:rPr>
                  <w:t>债券名称</w:t>
                </w:r>
              </w:p>
            </w:tc>
          </w:sdtContent>
        </w:sdt>
        <w:sdt>
          <w:sdtPr>
            <w:tag w:val="_PLD_88ea7b4ea04b49888d1c8a2a334506a8"/>
            <w:id w:val="1044723030"/>
          </w:sdtPr>
          <w:sdtContent>
            <w:tc>
              <w:tcPr>
                <w:tcW w:w="214" w:type="pct"/>
                <w:vAlign w:val="center"/>
              </w:tcPr>
              <w:p w14:paraId="3949EEFD">
                <w:pPr>
                  <w:jc w:val="center"/>
                  <w:rPr>
                    <w:rFonts w:hint="eastAsia"/>
                  </w:rPr>
                </w:pPr>
                <w:r>
                  <w:rPr>
                    <w:rFonts w:hint="eastAsia"/>
                  </w:rPr>
                  <w:t>简称</w:t>
                </w:r>
              </w:p>
            </w:tc>
          </w:sdtContent>
        </w:sdt>
        <w:sdt>
          <w:sdtPr>
            <w:tag w:val="_PLD_147c1f0d90bd45318751dd1a9ad27c4b"/>
            <w:id w:val="1788852829"/>
          </w:sdtPr>
          <w:sdtContent>
            <w:tc>
              <w:tcPr>
                <w:tcW w:w="245" w:type="pct"/>
                <w:vAlign w:val="center"/>
              </w:tcPr>
              <w:p w14:paraId="64623866">
                <w:pPr>
                  <w:jc w:val="center"/>
                  <w:rPr>
                    <w:rFonts w:hint="eastAsia"/>
                  </w:rPr>
                </w:pPr>
                <w:r>
                  <w:rPr>
                    <w:rFonts w:hint="eastAsia"/>
                  </w:rPr>
                  <w:t>代码</w:t>
                </w:r>
              </w:p>
            </w:tc>
          </w:sdtContent>
        </w:sdt>
        <w:sdt>
          <w:sdtPr>
            <w:tag w:val="_PLD_ae8e42bef41041b7a07b2fa9a7f0d84e"/>
            <w:id w:val="-462655011"/>
          </w:sdtPr>
          <w:sdtContent>
            <w:tc>
              <w:tcPr>
                <w:tcW w:w="302" w:type="pct"/>
                <w:vAlign w:val="center"/>
              </w:tcPr>
              <w:p w14:paraId="271A8EC0">
                <w:pPr>
                  <w:jc w:val="center"/>
                  <w:rPr>
                    <w:rFonts w:hint="eastAsia"/>
                  </w:rPr>
                </w:pPr>
                <w:r>
                  <w:rPr>
                    <w:rFonts w:hint="eastAsia"/>
                  </w:rPr>
                  <w:t>发行日</w:t>
                </w:r>
              </w:p>
            </w:tc>
          </w:sdtContent>
        </w:sdt>
        <w:tc>
          <w:tcPr>
            <w:tcW w:w="313" w:type="pct"/>
            <w:vAlign w:val="center"/>
          </w:tcPr>
          <w:sdt>
            <w:sdtPr>
              <w:tag w:val="_PLD_efc7b9b22cac4ac3b2ac85ef184fb542"/>
              <w:id w:val="-1785956258"/>
            </w:sdtPr>
            <w:sdtContent>
              <w:p w14:paraId="40E33298">
                <w:pPr>
                  <w:jc w:val="center"/>
                  <w:rPr>
                    <w:rFonts w:hint="eastAsia"/>
                  </w:rPr>
                </w:pPr>
                <w:r>
                  <w:rPr>
                    <w:rFonts w:hint="eastAsia"/>
                  </w:rPr>
                  <w:t>起息日</w:t>
                </w:r>
              </w:p>
            </w:sdtContent>
          </w:sdt>
        </w:tc>
        <w:sdt>
          <w:sdtPr>
            <w:tag w:val="_PLD_8a366da4ec3c4bc082f7d8e3bccd9bb8"/>
            <w:id w:val="359705191"/>
          </w:sdtPr>
          <w:sdtContent>
            <w:tc>
              <w:tcPr>
                <w:tcW w:w="328" w:type="pct"/>
                <w:vAlign w:val="center"/>
              </w:tcPr>
              <w:p w14:paraId="6718B8B3">
                <w:pPr>
                  <w:jc w:val="center"/>
                  <w:rPr>
                    <w:rFonts w:hint="eastAsia"/>
                  </w:rPr>
                </w:pPr>
                <w:r>
                  <w:t>202</w:t>
                </w:r>
                <w:r>
                  <w:rPr>
                    <w:rFonts w:hint="eastAsia"/>
                  </w:rPr>
                  <w:t>5</w:t>
                </w:r>
                <w:r>
                  <w:t>年</w:t>
                </w:r>
                <w:r>
                  <w:rPr>
                    <w:rFonts w:hint="eastAsia"/>
                  </w:rPr>
                  <w:t>4</w:t>
                </w:r>
                <w:r>
                  <w:t>月3</w:t>
                </w:r>
                <w:r>
                  <w:rPr>
                    <w:rFonts w:hint="eastAsia"/>
                  </w:rPr>
                  <w:t>0</w:t>
                </w:r>
                <w:r>
                  <w:t>日后的最近回售日</w:t>
                </w:r>
              </w:p>
            </w:tc>
          </w:sdtContent>
        </w:sdt>
        <w:sdt>
          <w:sdtPr>
            <w:tag w:val="_PLD_102213ff267444d3acc7b4a75b09ebdc"/>
            <w:id w:val="-1583136712"/>
          </w:sdtPr>
          <w:sdtContent>
            <w:tc>
              <w:tcPr>
                <w:tcW w:w="302" w:type="pct"/>
                <w:vAlign w:val="center"/>
              </w:tcPr>
              <w:p w14:paraId="3A728FCE">
                <w:pPr>
                  <w:jc w:val="center"/>
                  <w:rPr>
                    <w:rFonts w:hint="eastAsia"/>
                  </w:rPr>
                </w:pPr>
                <w:r>
                  <w:rPr>
                    <w:rFonts w:hint="eastAsia"/>
                  </w:rPr>
                  <w:t>到期日</w:t>
                </w:r>
              </w:p>
            </w:tc>
          </w:sdtContent>
        </w:sdt>
        <w:sdt>
          <w:sdtPr>
            <w:tag w:val="_PLD_3e49225515194c07af60bddf7b49ad39"/>
            <w:id w:val="-352032485"/>
          </w:sdtPr>
          <w:sdtContent>
            <w:tc>
              <w:tcPr>
                <w:tcW w:w="227" w:type="pct"/>
                <w:vAlign w:val="center"/>
              </w:tcPr>
              <w:p w14:paraId="5803B770">
                <w:pPr>
                  <w:jc w:val="center"/>
                  <w:rPr>
                    <w:rFonts w:hint="eastAsia"/>
                  </w:rPr>
                </w:pPr>
                <w:r>
                  <w:rPr>
                    <w:rFonts w:hint="eastAsia"/>
                  </w:rPr>
                  <w:t>债券余额</w:t>
                </w:r>
              </w:p>
            </w:tc>
          </w:sdtContent>
        </w:sdt>
        <w:sdt>
          <w:sdtPr>
            <w:tag w:val="_PLD_e695e46581fe4bbf8a73e381c1e157f5"/>
            <w:id w:val="1996379791"/>
          </w:sdtPr>
          <w:sdtContent>
            <w:tc>
              <w:tcPr>
                <w:tcW w:w="256" w:type="pct"/>
                <w:vAlign w:val="center"/>
              </w:tcPr>
              <w:p w14:paraId="21A12938">
                <w:pPr>
                  <w:jc w:val="center"/>
                  <w:rPr>
                    <w:rFonts w:hint="eastAsia"/>
                  </w:rPr>
                </w:pPr>
                <w:r>
                  <w:rPr>
                    <w:rFonts w:hint="eastAsia"/>
                  </w:rPr>
                  <w:t>利率（%）</w:t>
                </w:r>
              </w:p>
            </w:tc>
          </w:sdtContent>
        </w:sdt>
        <w:sdt>
          <w:sdtPr>
            <w:tag w:val="_PLD_15521bf87f904efa857868dd98334ae5"/>
            <w:id w:val="170155074"/>
          </w:sdtPr>
          <w:sdtContent>
            <w:tc>
              <w:tcPr>
                <w:tcW w:w="469" w:type="pct"/>
                <w:vAlign w:val="center"/>
              </w:tcPr>
              <w:p w14:paraId="3EB7018A">
                <w:pPr>
                  <w:jc w:val="center"/>
                  <w:rPr>
                    <w:rFonts w:hint="eastAsia"/>
                  </w:rPr>
                </w:pPr>
                <w:r>
                  <w:rPr>
                    <w:rFonts w:hint="eastAsia"/>
                  </w:rPr>
                  <w:t>还本付息方式</w:t>
                </w:r>
              </w:p>
            </w:tc>
          </w:sdtContent>
        </w:sdt>
        <w:sdt>
          <w:sdtPr>
            <w:tag w:val="_PLD_bac985b38c7c43a5b1993c1782713d2a"/>
            <w:id w:val="-1763911136"/>
          </w:sdtPr>
          <w:sdtContent>
            <w:tc>
              <w:tcPr>
                <w:tcW w:w="245" w:type="pct"/>
                <w:vAlign w:val="center"/>
              </w:tcPr>
              <w:p w14:paraId="0DC2EDD1">
                <w:pPr>
                  <w:jc w:val="center"/>
                  <w:rPr>
                    <w:rFonts w:hint="eastAsia"/>
                  </w:rPr>
                </w:pPr>
                <w:r>
                  <w:rPr>
                    <w:rFonts w:hint="eastAsia"/>
                  </w:rPr>
                  <w:t>交易场所</w:t>
                </w:r>
              </w:p>
            </w:tc>
          </w:sdtContent>
        </w:sdt>
        <w:sdt>
          <w:sdtPr>
            <w:tag w:val="_PLD_f19cba53052c4995b7adeb314e684929"/>
            <w:id w:val="175230376"/>
          </w:sdtPr>
          <w:sdtContent>
            <w:tc>
              <w:tcPr>
                <w:tcW w:w="246" w:type="pct"/>
                <w:vAlign w:val="center"/>
              </w:tcPr>
              <w:p w14:paraId="0A2A26DF">
                <w:pPr>
                  <w:jc w:val="center"/>
                  <w:rPr>
                    <w:rFonts w:hint="eastAsia"/>
                  </w:rPr>
                </w:pPr>
                <w:r>
                  <w:t>主承销商</w:t>
                </w:r>
              </w:p>
            </w:tc>
          </w:sdtContent>
        </w:sdt>
        <w:sdt>
          <w:sdtPr>
            <w:tag w:val="_PLD_7aa17ef02e974579858bbb75e3c95b40"/>
            <w:id w:val="553355813"/>
          </w:sdtPr>
          <w:sdtContent>
            <w:tc>
              <w:tcPr>
                <w:tcW w:w="245" w:type="pct"/>
                <w:vAlign w:val="center"/>
              </w:tcPr>
              <w:p w14:paraId="0E21F87B">
                <w:pPr>
                  <w:jc w:val="center"/>
                  <w:rPr>
                    <w:rFonts w:hint="eastAsia"/>
                  </w:rPr>
                </w:pPr>
                <w:r>
                  <w:t>受托管理人</w:t>
                </w:r>
              </w:p>
            </w:tc>
          </w:sdtContent>
        </w:sdt>
        <w:sdt>
          <w:sdtPr>
            <w:tag w:val="_PLD_bf9a1a2f3bd64e1aad9b74c77f14d7ab"/>
            <w:id w:val="185332978"/>
          </w:sdtPr>
          <w:sdtContent>
            <w:tc>
              <w:tcPr>
                <w:tcW w:w="735" w:type="pct"/>
                <w:vAlign w:val="center"/>
              </w:tcPr>
              <w:p w14:paraId="48463464">
                <w:pPr>
                  <w:jc w:val="center"/>
                  <w:rPr>
                    <w:rFonts w:hint="eastAsia"/>
                  </w:rPr>
                </w:pPr>
                <w:r>
                  <w:rPr>
                    <w:rFonts w:hint="eastAsia"/>
                  </w:rPr>
                  <w:t>投资者适当性安排（如有）</w:t>
                </w:r>
              </w:p>
            </w:tc>
          </w:sdtContent>
        </w:sdt>
        <w:tc>
          <w:tcPr>
            <w:tcW w:w="320" w:type="pct"/>
            <w:vAlign w:val="center"/>
          </w:tcPr>
          <w:sdt>
            <w:sdtPr>
              <w:tag w:val="_PLD_e5de1dbf0ca2457f9c02c2cdcb2b2438"/>
              <w:id w:val="1660799927"/>
            </w:sdtPr>
            <w:sdtContent>
              <w:p w14:paraId="4854B286">
                <w:pPr>
                  <w:jc w:val="center"/>
                  <w:rPr>
                    <w:rFonts w:hint="eastAsia"/>
                  </w:rPr>
                </w:pPr>
                <w:r>
                  <w:rPr>
                    <w:rFonts w:hint="eastAsia"/>
                  </w:rPr>
                  <w:t>交易机制</w:t>
                </w:r>
              </w:p>
            </w:sdtContent>
          </w:sdt>
        </w:tc>
        <w:sdt>
          <w:sdtPr>
            <w:tag w:val="_PLD_07d4e2f4b50d4570a6aca91e45b13e42"/>
            <w:id w:val="-1994634873"/>
          </w:sdtPr>
          <w:sdtContent>
            <w:tc>
              <w:tcPr>
                <w:tcW w:w="269" w:type="pct"/>
              </w:tcPr>
              <w:p w14:paraId="7451A27B">
                <w:pPr>
                  <w:jc w:val="center"/>
                  <w:rPr>
                    <w:rFonts w:hint="eastAsia"/>
                  </w:rPr>
                </w:pPr>
                <w:r>
                  <w:rPr>
                    <w:rFonts w:hint="eastAsia"/>
                  </w:rPr>
                  <w:t>是否存在终止上市交易的风险</w:t>
                </w:r>
              </w:p>
            </w:tc>
          </w:sdtContent>
        </w:sdt>
      </w:tr>
      <w:tr w14:paraId="245C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vAlign w:val="center"/>
          </w:tcPr>
          <w:p w14:paraId="164F81D6">
            <w:pPr>
              <w:rPr>
                <w:rFonts w:hint="eastAsia" w:cs="Times New Roman"/>
                <w:bCs/>
                <w:sz w:val="18"/>
                <w:szCs w:val="18"/>
              </w:rPr>
            </w:pPr>
            <w:r>
              <w:rPr>
                <w:rFonts w:hint="eastAsia"/>
                <w:color w:val="000000"/>
                <w:sz w:val="18"/>
                <w:szCs w:val="18"/>
              </w:rPr>
              <w:t>际华集团股份有限公司2020年公司债券（第一期）</w:t>
            </w:r>
          </w:p>
        </w:tc>
        <w:tc>
          <w:tcPr>
            <w:tcW w:w="214" w:type="pct"/>
            <w:vAlign w:val="center"/>
          </w:tcPr>
          <w:p w14:paraId="0334A91E">
            <w:pPr>
              <w:rPr>
                <w:rFonts w:hint="eastAsia" w:cs="Times New Roman"/>
                <w:bCs/>
                <w:sz w:val="18"/>
                <w:szCs w:val="18"/>
              </w:rPr>
            </w:pPr>
            <w:r>
              <w:rPr>
                <w:rFonts w:ascii="Arial Narrow" w:hAnsi="Arial Narrow" w:eastAsia="等线"/>
                <w:color w:val="000000"/>
                <w:sz w:val="18"/>
                <w:szCs w:val="18"/>
              </w:rPr>
              <w:t>20际华01</w:t>
            </w:r>
          </w:p>
        </w:tc>
        <w:tc>
          <w:tcPr>
            <w:tcW w:w="245" w:type="pct"/>
            <w:vAlign w:val="center"/>
          </w:tcPr>
          <w:p w14:paraId="1648841F">
            <w:pPr>
              <w:rPr>
                <w:rFonts w:hint="eastAsia" w:cs="Times New Roman"/>
                <w:bCs/>
                <w:sz w:val="18"/>
                <w:szCs w:val="18"/>
              </w:rPr>
            </w:pPr>
            <w:r>
              <w:rPr>
                <w:rFonts w:ascii="Arial Narrow" w:hAnsi="Arial Narrow" w:eastAsia="等线"/>
                <w:color w:val="000000"/>
                <w:sz w:val="18"/>
                <w:szCs w:val="18"/>
              </w:rPr>
              <w:t>163574</w:t>
            </w:r>
          </w:p>
        </w:tc>
        <w:tc>
          <w:tcPr>
            <w:tcW w:w="302" w:type="pct"/>
            <w:vAlign w:val="center"/>
          </w:tcPr>
          <w:p w14:paraId="770150C8">
            <w:pPr>
              <w:rPr>
                <w:rFonts w:hint="eastAsia" w:cs="Times New Roman"/>
                <w:bCs/>
                <w:sz w:val="18"/>
                <w:szCs w:val="18"/>
              </w:rPr>
            </w:pPr>
            <w:r>
              <w:rPr>
                <w:rFonts w:ascii="Arial Narrow" w:hAnsi="Arial Narrow" w:eastAsia="等线"/>
                <w:color w:val="000000"/>
                <w:sz w:val="18"/>
                <w:szCs w:val="18"/>
              </w:rPr>
              <w:t>2020/6/15</w:t>
            </w:r>
          </w:p>
        </w:tc>
        <w:tc>
          <w:tcPr>
            <w:tcW w:w="313" w:type="pct"/>
            <w:vAlign w:val="center"/>
          </w:tcPr>
          <w:p w14:paraId="0885105B">
            <w:pPr>
              <w:rPr>
                <w:rFonts w:hint="eastAsia"/>
                <w:sz w:val="18"/>
                <w:szCs w:val="18"/>
              </w:rPr>
            </w:pPr>
            <w:r>
              <w:rPr>
                <w:rFonts w:ascii="Arial Narrow" w:hAnsi="Arial Narrow" w:eastAsia="等线"/>
                <w:color w:val="000000"/>
                <w:sz w:val="18"/>
                <w:szCs w:val="18"/>
              </w:rPr>
              <w:t>2020/6/15</w:t>
            </w:r>
          </w:p>
        </w:tc>
        <w:tc>
          <w:tcPr>
            <w:tcW w:w="328" w:type="pct"/>
            <w:vAlign w:val="center"/>
          </w:tcPr>
          <w:p w14:paraId="73D124BC">
            <w:pPr>
              <w:rPr>
                <w:rFonts w:hint="eastAsia"/>
                <w:sz w:val="18"/>
                <w:szCs w:val="18"/>
              </w:rPr>
            </w:pPr>
          </w:p>
        </w:tc>
        <w:tc>
          <w:tcPr>
            <w:tcW w:w="302" w:type="pct"/>
            <w:vAlign w:val="center"/>
          </w:tcPr>
          <w:p w14:paraId="397B2A8C">
            <w:pPr>
              <w:rPr>
                <w:rFonts w:hint="eastAsia" w:cs="Times New Roman"/>
                <w:bCs/>
                <w:sz w:val="18"/>
                <w:szCs w:val="18"/>
              </w:rPr>
            </w:pPr>
            <w:r>
              <w:rPr>
                <w:rFonts w:ascii="Arial Narrow" w:hAnsi="Arial Narrow" w:eastAsia="等线"/>
                <w:color w:val="000000"/>
                <w:sz w:val="18"/>
                <w:szCs w:val="18"/>
              </w:rPr>
              <w:t>2025/6/15</w:t>
            </w:r>
          </w:p>
        </w:tc>
        <w:tc>
          <w:tcPr>
            <w:tcW w:w="227" w:type="pct"/>
            <w:vAlign w:val="center"/>
          </w:tcPr>
          <w:p w14:paraId="451C0637">
            <w:pPr>
              <w:jc w:val="right"/>
              <w:rPr>
                <w:rFonts w:hint="eastAsia"/>
                <w:sz w:val="18"/>
                <w:szCs w:val="18"/>
              </w:rPr>
            </w:pPr>
            <w:r>
              <w:rPr>
                <w:rFonts w:ascii="Arial Narrow" w:hAnsi="Arial Narrow" w:eastAsia="等线"/>
                <w:color w:val="000000"/>
                <w:sz w:val="18"/>
                <w:szCs w:val="18"/>
              </w:rPr>
              <w:t>0.2</w:t>
            </w:r>
          </w:p>
        </w:tc>
        <w:tc>
          <w:tcPr>
            <w:tcW w:w="256" w:type="pct"/>
            <w:vAlign w:val="center"/>
          </w:tcPr>
          <w:p w14:paraId="5F273F26">
            <w:pPr>
              <w:jc w:val="right"/>
              <w:rPr>
                <w:rFonts w:hint="eastAsia"/>
                <w:sz w:val="18"/>
                <w:szCs w:val="18"/>
              </w:rPr>
            </w:pPr>
            <w:r>
              <w:rPr>
                <w:rFonts w:ascii="Arial Narrow" w:hAnsi="Arial Narrow" w:eastAsia="等线"/>
                <w:color w:val="000000"/>
                <w:sz w:val="18"/>
                <w:szCs w:val="18"/>
              </w:rPr>
              <w:t>2.6</w:t>
            </w:r>
          </w:p>
        </w:tc>
        <w:tc>
          <w:tcPr>
            <w:tcW w:w="469" w:type="pct"/>
            <w:vAlign w:val="center"/>
          </w:tcPr>
          <w:p w14:paraId="7FAE8678">
            <w:pPr>
              <w:rPr>
                <w:rFonts w:hint="eastAsia" w:cs="Times New Roman"/>
                <w:bCs/>
                <w:sz w:val="18"/>
                <w:szCs w:val="18"/>
              </w:rPr>
            </w:pPr>
            <w:r>
              <w:rPr>
                <w:rFonts w:hint="eastAsia"/>
                <w:color w:val="000000"/>
                <w:sz w:val="18"/>
                <w:szCs w:val="18"/>
              </w:rPr>
              <w:t>本期债券采用单利按年计息，不计复利，每年付息一次，最后一期利息随本金的兑付一起支付。</w:t>
            </w:r>
          </w:p>
        </w:tc>
        <w:tc>
          <w:tcPr>
            <w:tcW w:w="245" w:type="pct"/>
            <w:vAlign w:val="center"/>
          </w:tcPr>
          <w:p w14:paraId="6569987C">
            <w:pPr>
              <w:rPr>
                <w:rFonts w:hint="eastAsia" w:cs="Times New Roman"/>
                <w:bCs/>
                <w:sz w:val="18"/>
                <w:szCs w:val="18"/>
              </w:rPr>
            </w:pPr>
            <w:r>
              <w:rPr>
                <w:rFonts w:hint="eastAsia"/>
                <w:color w:val="000000"/>
                <w:sz w:val="18"/>
                <w:szCs w:val="18"/>
              </w:rPr>
              <w:t>上海证券交易所</w:t>
            </w:r>
          </w:p>
        </w:tc>
        <w:tc>
          <w:tcPr>
            <w:tcW w:w="246" w:type="pct"/>
            <w:vAlign w:val="center"/>
          </w:tcPr>
          <w:p w14:paraId="1F0BC6A8">
            <w:pPr>
              <w:rPr>
                <w:rFonts w:hint="eastAsia"/>
                <w:sz w:val="18"/>
                <w:szCs w:val="18"/>
              </w:rPr>
            </w:pPr>
            <w:r>
              <w:rPr>
                <w:rFonts w:hint="eastAsia"/>
                <w:color w:val="000000"/>
                <w:sz w:val="18"/>
                <w:szCs w:val="18"/>
              </w:rPr>
              <w:t>瑞银证券有限责任公司</w:t>
            </w:r>
          </w:p>
        </w:tc>
        <w:tc>
          <w:tcPr>
            <w:tcW w:w="245" w:type="pct"/>
            <w:vAlign w:val="center"/>
          </w:tcPr>
          <w:p w14:paraId="21D0ED4E">
            <w:pPr>
              <w:rPr>
                <w:rFonts w:hint="eastAsia"/>
                <w:sz w:val="18"/>
                <w:szCs w:val="18"/>
              </w:rPr>
            </w:pPr>
            <w:r>
              <w:rPr>
                <w:rFonts w:hint="eastAsia"/>
                <w:color w:val="000000"/>
                <w:sz w:val="18"/>
                <w:szCs w:val="18"/>
              </w:rPr>
              <w:t>瑞银证券有限责任公司</w:t>
            </w:r>
          </w:p>
        </w:tc>
        <w:tc>
          <w:tcPr>
            <w:tcW w:w="735" w:type="pct"/>
            <w:vAlign w:val="center"/>
          </w:tcPr>
          <w:p w14:paraId="672C8DBE">
            <w:pPr>
              <w:rPr>
                <w:rFonts w:hint="eastAsia"/>
                <w:sz w:val="18"/>
                <w:szCs w:val="18"/>
              </w:rPr>
            </w:pPr>
            <w:r>
              <w:rPr>
                <w:rFonts w:hint="eastAsia"/>
                <w:color w:val="000000"/>
                <w:sz w:val="18"/>
                <w:szCs w:val="18"/>
              </w:rPr>
              <w:t>本期债券发行对象为符合《公司债券发行与交易管理办法》、《上海证券交易所债券市场投资者适当性管理办法》等相关规定并在债券登记机构开立合格证券账户的合格投资者（法律、法规禁止购买者除外）</w:t>
            </w:r>
          </w:p>
        </w:tc>
        <w:tc>
          <w:tcPr>
            <w:tcW w:w="320" w:type="pct"/>
            <w:vAlign w:val="center"/>
          </w:tcPr>
          <w:p w14:paraId="3346AC02">
            <w:pPr>
              <w:rPr>
                <w:rFonts w:hint="eastAsia"/>
                <w:sz w:val="18"/>
                <w:szCs w:val="18"/>
              </w:rPr>
            </w:pPr>
            <w:r>
              <w:rPr>
                <w:rFonts w:hint="eastAsia"/>
                <w:color w:val="000000"/>
                <w:sz w:val="18"/>
                <w:szCs w:val="18"/>
              </w:rPr>
              <w:t>匹配成交、点击成交、询价成交、竞买成交和协商成交</w:t>
            </w:r>
          </w:p>
        </w:tc>
        <w:sdt>
          <w:sdtPr>
            <w:rPr>
              <w:sz w:val="18"/>
              <w:szCs w:val="18"/>
            </w:rPr>
            <w:alias w:val="公司债券基本情况明细_是否存在终止上市交易的风险 "/>
            <w:tag w:val="_GBC_6ee4ec4839c94dd09b716a8794e9fa3f"/>
            <w:id w:val="65073416"/>
            <w:comboBox>
              <w:listItem w:displayText="是" w:value="是"/>
              <w:listItem w:displayText="否" w:value="否"/>
            </w:comboBox>
          </w:sdtPr>
          <w:sdtEndPr>
            <w:rPr>
              <w:sz w:val="18"/>
              <w:szCs w:val="18"/>
            </w:rPr>
          </w:sdtEndPr>
          <w:sdtContent>
            <w:tc>
              <w:tcPr>
                <w:tcW w:w="269" w:type="pct"/>
                <w:vAlign w:val="center"/>
              </w:tcPr>
              <w:p w14:paraId="3941977A">
                <w:pPr>
                  <w:rPr>
                    <w:rFonts w:hint="eastAsia"/>
                    <w:sz w:val="18"/>
                    <w:szCs w:val="18"/>
                  </w:rPr>
                </w:pPr>
                <w:r>
                  <w:rPr>
                    <w:sz w:val="18"/>
                    <w:szCs w:val="18"/>
                  </w:rPr>
                  <w:t>否</w:t>
                </w:r>
              </w:p>
            </w:tc>
          </w:sdtContent>
        </w:sdt>
      </w:tr>
    </w:tbl>
    <w:p w14:paraId="645F50B8">
      <w:pPr>
        <w:rPr>
          <w:rFonts w:hint="eastAsia"/>
        </w:rPr>
      </w:pPr>
    </w:p>
    <w:bookmarkEnd w:id="171"/>
    <w:bookmarkEnd w:id="172"/>
    <w:p w14:paraId="37A8A1D9">
      <w:pPr>
        <w:rPr>
          <w:rFonts w:hint="eastAsia"/>
        </w:rPr>
      </w:pPr>
      <w:r>
        <w:rPr>
          <w:rFonts w:hint="eastAsia"/>
        </w:rPr>
        <w:t>公司对债券终止上市交易风险的应对措施</w:t>
      </w:r>
    </w:p>
    <w:sdt>
      <w:sdtPr>
        <w:rPr>
          <w:rFonts w:cs="Times New Roman"/>
          <w:bCs/>
          <w:color w:val="000000" w:themeColor="text1"/>
          <w:kern w:val="2"/>
          <w:szCs w:val="21"/>
          <w14:textFill>
            <w14:solidFill>
              <w14:schemeClr w14:val="tx1"/>
            </w14:solidFill>
          </w14:textFill>
        </w:rPr>
        <w:alias w:val="是否适用：公司对债券终止上市交易风险的应对措施 [双击切换]"/>
        <w:tag w:val="_GBC_8b78dd47ac3c4f1eb39b850ff54adbdf"/>
        <w:id w:val="969714474"/>
        <w:placeholder>
          <w:docPart w:val="GBC22222222222222222222222222222"/>
        </w:placeholder>
      </w:sdtPr>
      <w:sdtEndPr>
        <w:rPr>
          <w:rFonts w:cs="Times New Roman"/>
          <w:bCs/>
          <w:color w:val="000000" w:themeColor="text1"/>
          <w:kern w:val="2"/>
          <w:szCs w:val="21"/>
          <w14:textFill>
            <w14:solidFill>
              <w14:schemeClr w14:val="tx1"/>
            </w14:solidFill>
          </w14:textFill>
        </w:rPr>
      </w:sdtEndPr>
      <w:sdtContent>
        <w:p w14:paraId="0729CF0D">
          <w:pPr>
            <w:rPr>
              <w:rFonts w:hint="eastAsia"/>
              <w:color w:val="000000" w:themeColor="text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69F8C797">
      <w:pPr>
        <w:rPr>
          <w:rFonts w:hint="eastAsia"/>
          <w:color w:val="000000" w:themeColor="text1"/>
          <w14:textFill>
            <w14:solidFill>
              <w14:schemeClr w14:val="tx1"/>
            </w14:solidFill>
          </w14:textFill>
        </w:rPr>
      </w:pPr>
    </w:p>
    <w:p w14:paraId="080DC998">
      <w:pPr>
        <w:rPr>
          <w:rFonts w:ascii="Arial" w:hAnsi="Arial" w:cs="Times New Roman"/>
          <w:bCs/>
          <w:kern w:val="2"/>
          <w:szCs w:val="21"/>
        </w:rPr>
      </w:pPr>
      <w:bookmarkStart w:id="173" w:name="_Hlk182406318"/>
      <w:r>
        <w:rPr>
          <w:rFonts w:hint="eastAsia" w:ascii="Arial" w:hAnsi="Arial" w:cs="Times New Roman"/>
          <w:bCs/>
          <w:kern w:val="2"/>
          <w:szCs w:val="21"/>
        </w:rPr>
        <w:t>报告期内债券付息兑付情况</w:t>
      </w:r>
    </w:p>
    <w:sdt>
      <w:sdtPr>
        <w:rPr>
          <w:rFonts w:cs="Times New Roman"/>
          <w:bCs/>
          <w:kern w:val="2"/>
          <w:szCs w:val="21"/>
        </w:rPr>
        <w:alias w:val="是否适用：公司债券付息兑付情况 [双击切换]"/>
        <w:tag w:val="_GBC_8db51496dd874dbc84cd8e67003d8ea0"/>
        <w:id w:val="-854342255"/>
        <w:placeholder>
          <w:docPart w:val="GBC22222222222222222222222222222"/>
        </w:placeholder>
      </w:sdtPr>
      <w:sdtEndPr>
        <w:rPr>
          <w:rFonts w:cs="Times New Roman"/>
          <w:bCs/>
          <w:kern w:val="2"/>
          <w:szCs w:val="21"/>
        </w:rPr>
      </w:sdtEndPr>
      <w:sdtContent>
        <w:p w14:paraId="118F00A7">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8"/>
        <w:gridCol w:w="10345"/>
      </w:tblGrid>
      <w:tr w14:paraId="32BC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4c6cc7f47ae4b3a8fb0a59d930addf4"/>
            <w:id w:val="-1321265495"/>
          </w:sdtPr>
          <w:sdtContent>
            <w:tc>
              <w:tcPr>
                <w:tcW w:w="1269" w:type="pct"/>
              </w:tcPr>
              <w:p w14:paraId="5543B3AD">
                <w:pPr>
                  <w:jc w:val="center"/>
                  <w:rPr>
                    <w:rFonts w:ascii="Arial" w:hAnsi="Arial" w:cs="Times New Roman"/>
                    <w:bCs/>
                    <w:szCs w:val="21"/>
                  </w:rPr>
                </w:pPr>
                <w:r>
                  <w:rPr>
                    <w:rFonts w:ascii="Arial" w:hAnsi="Arial" w:cs="Times New Roman"/>
                    <w:bCs/>
                    <w:szCs w:val="21"/>
                  </w:rPr>
                  <w:t>债券名称</w:t>
                </w:r>
              </w:p>
            </w:tc>
          </w:sdtContent>
        </w:sdt>
        <w:sdt>
          <w:sdtPr>
            <w:tag w:val="_PLD_3faf567c3d174cae92a8a10519e3a40c"/>
            <w:id w:val="-1944058043"/>
          </w:sdtPr>
          <w:sdtContent>
            <w:tc>
              <w:tcPr>
                <w:tcW w:w="3731" w:type="pct"/>
              </w:tcPr>
              <w:p w14:paraId="2150C5AC">
                <w:pPr>
                  <w:jc w:val="center"/>
                  <w:rPr>
                    <w:rFonts w:ascii="Arial" w:hAnsi="Arial" w:cs="Times New Roman"/>
                    <w:bCs/>
                    <w:szCs w:val="21"/>
                  </w:rPr>
                </w:pPr>
                <w:r>
                  <w:rPr>
                    <w:rFonts w:hint="eastAsia" w:ascii="Arial" w:hAnsi="Arial" w:cs="Times New Roman"/>
                    <w:bCs/>
                    <w:szCs w:val="21"/>
                  </w:rPr>
                  <w:t>付息兑付情况的说明</w:t>
                </w:r>
              </w:p>
            </w:tc>
          </w:sdtContent>
        </w:sdt>
      </w:tr>
      <w:tr w14:paraId="1ED4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pct"/>
            <w:tcBorders>
              <w:top w:val="single" w:color="auto" w:sz="4" w:space="0"/>
              <w:left w:val="single" w:color="auto" w:sz="4" w:space="0"/>
              <w:bottom w:val="single" w:color="auto" w:sz="4" w:space="0"/>
              <w:right w:val="single" w:color="auto" w:sz="4" w:space="0"/>
            </w:tcBorders>
            <w:vAlign w:val="center"/>
          </w:tcPr>
          <w:p w14:paraId="7502B9C2">
            <w:pPr>
              <w:jc w:val="both"/>
              <w:rPr>
                <w:rFonts w:hint="eastAsia" w:cs="Times New Roman"/>
                <w:szCs w:val="21"/>
              </w:rPr>
            </w:pPr>
            <w:r>
              <w:rPr>
                <w:rStyle w:val="136"/>
                <w:rFonts w:eastAsia="等线"/>
              </w:rPr>
              <w:t>20</w:t>
            </w:r>
            <w:r>
              <w:rPr>
                <w:rStyle w:val="137"/>
                <w:rFonts w:hint="default"/>
              </w:rPr>
              <w:t>际华</w:t>
            </w:r>
            <w:r>
              <w:rPr>
                <w:rStyle w:val="136"/>
                <w:rFonts w:eastAsia="等线"/>
              </w:rPr>
              <w:t>01</w:t>
            </w:r>
          </w:p>
        </w:tc>
        <w:tc>
          <w:tcPr>
            <w:tcW w:w="3731" w:type="pct"/>
            <w:tcBorders>
              <w:top w:val="single" w:color="auto" w:sz="4" w:space="0"/>
              <w:left w:val="single" w:color="auto" w:sz="4" w:space="0"/>
              <w:bottom w:val="single" w:color="auto" w:sz="4" w:space="0"/>
              <w:right w:val="single" w:color="auto" w:sz="4" w:space="0"/>
            </w:tcBorders>
          </w:tcPr>
          <w:p w14:paraId="049D3A58">
            <w:pPr>
              <w:jc w:val="both"/>
              <w:rPr>
                <w:rFonts w:hint="eastAsia" w:cs="Times New Roman"/>
                <w:szCs w:val="21"/>
              </w:rPr>
            </w:pPr>
            <w:r>
              <w:rPr>
                <w:rStyle w:val="137"/>
                <w:rFonts w:hint="default"/>
              </w:rPr>
              <w:t>公司于</w:t>
            </w:r>
            <w:r>
              <w:rPr>
                <w:rStyle w:val="136"/>
              </w:rPr>
              <w:t>2024</w:t>
            </w:r>
            <w:r>
              <w:rPr>
                <w:rStyle w:val="137"/>
                <w:rFonts w:hint="default"/>
              </w:rPr>
              <w:t>年</w:t>
            </w:r>
            <w:r>
              <w:rPr>
                <w:rStyle w:val="136"/>
              </w:rPr>
              <w:t>6</w:t>
            </w:r>
            <w:r>
              <w:rPr>
                <w:rStyle w:val="137"/>
                <w:rFonts w:hint="default"/>
              </w:rPr>
              <w:t>月</w:t>
            </w:r>
            <w:r>
              <w:rPr>
                <w:rStyle w:val="136"/>
              </w:rPr>
              <w:t>12</w:t>
            </w:r>
            <w:r>
              <w:rPr>
                <w:rStyle w:val="137"/>
                <w:rFonts w:hint="default"/>
              </w:rPr>
              <w:t>日支付了</w:t>
            </w:r>
            <w:r>
              <w:rPr>
                <w:rStyle w:val="136"/>
              </w:rPr>
              <w:t>2020</w:t>
            </w:r>
            <w:r>
              <w:rPr>
                <w:rStyle w:val="137"/>
                <w:rFonts w:hint="default"/>
              </w:rPr>
              <w:t>年公司债券（第一期）利息52万元。</w:t>
            </w:r>
          </w:p>
        </w:tc>
      </w:tr>
    </w:tbl>
    <w:p w14:paraId="39656B1D">
      <w:pPr>
        <w:rPr>
          <w:rFonts w:hint="eastAsia"/>
        </w:rPr>
      </w:pPr>
    </w:p>
    <w:p w14:paraId="693E961A">
      <w:pPr>
        <w:rPr>
          <w:rFonts w:hint="eastAsia" w:cs="Times New Roman"/>
          <w:szCs w:val="21"/>
        </w:rPr>
      </w:pPr>
    </w:p>
    <w:bookmarkEnd w:id="173"/>
    <w:p w14:paraId="3618CAB4">
      <w:pPr>
        <w:pStyle w:val="5"/>
        <w:numPr>
          <w:ilvl w:val="0"/>
          <w:numId w:val="81"/>
        </w:numPr>
        <w:ind w:left="425" w:hanging="425"/>
        <w:rPr>
          <w:rFonts w:hint="eastAsia" w:ascii="宋体" w:hAnsi="宋体" w:cs="宋体"/>
          <w:kern w:val="0"/>
          <w:szCs w:val="21"/>
        </w:rPr>
      </w:pPr>
      <w:bookmarkStart w:id="174" w:name="_Hlk41317963"/>
      <w:r>
        <w:rPr>
          <w:rFonts w:hint="eastAsia" w:ascii="宋体" w:hAnsi="宋体" w:cs="宋体"/>
          <w:kern w:val="0"/>
          <w:szCs w:val="21"/>
        </w:rPr>
        <w:t>公司或投资者选择权条款、投资者保护条款的触发和执行情况</w:t>
      </w:r>
    </w:p>
    <w:sdt>
      <w:sdtPr>
        <w:rPr>
          <w:rFonts w:cs="Times New Roman"/>
          <w:bCs/>
          <w:color w:val="000000" w:themeColor="text1"/>
          <w:kern w:val="2"/>
          <w:szCs w:val="21"/>
          <w14:textFill>
            <w14:solidFill>
              <w14:schemeClr w14:val="tx1"/>
            </w14:solidFill>
          </w14:textFill>
        </w:rPr>
        <w:alias w:val="是否适用：发行人或投资者选择权条款、投资者保护条款的触发和执行情况[双击切换]"/>
        <w:tag w:val="_GBC_8b15a1a762ae4ed2bce62d5804aeb63e"/>
        <w:id w:val="599994188"/>
        <w:placeholder>
          <w:docPart w:val="GBC22222222222222222222222222222"/>
        </w:placeholder>
      </w:sdtPr>
      <w:sdtEndPr>
        <w:rPr>
          <w:rFonts w:cs="Times New Roman"/>
          <w:bCs/>
          <w:color w:val="000000" w:themeColor="text1"/>
          <w:kern w:val="2"/>
          <w:szCs w:val="21"/>
          <w14:textFill>
            <w14:solidFill>
              <w14:schemeClr w14:val="tx1"/>
            </w14:solidFill>
          </w14:textFill>
        </w:rPr>
      </w:sdtEndPr>
      <w:sdtContent>
        <w:p w14:paraId="5E106EC2">
          <w:pPr>
            <w:rPr>
              <w:rFonts w:hint="eastAsia" w:cs="Times New Roman"/>
              <w:bCs/>
              <w:color w:val="000000" w:themeColor="text1"/>
              <w:kern w:val="2"/>
              <w:szCs w:val="2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37760349">
      <w:pPr>
        <w:rPr>
          <w:rFonts w:hint="eastAsia"/>
          <w:color w:val="000000" w:themeColor="text1"/>
          <w:szCs w:val="21"/>
          <w14:textFill>
            <w14:solidFill>
              <w14:schemeClr w14:val="tx1"/>
            </w14:solidFill>
          </w14:textFill>
        </w:rPr>
      </w:pPr>
    </w:p>
    <w:bookmarkEnd w:id="174"/>
    <w:p w14:paraId="4568D632">
      <w:pPr>
        <w:pStyle w:val="5"/>
        <w:numPr>
          <w:ilvl w:val="0"/>
          <w:numId w:val="81"/>
        </w:numPr>
        <w:ind w:left="425" w:hanging="425"/>
        <w:rPr>
          <w:rFonts w:hint="eastAsia" w:ascii="宋体" w:hAnsi="宋体" w:cs="宋体"/>
          <w:kern w:val="0"/>
          <w:szCs w:val="21"/>
        </w:rPr>
      </w:pPr>
      <w:bookmarkStart w:id="175" w:name="_Hlk89419052"/>
      <w:r>
        <w:rPr>
          <w:rFonts w:hint="eastAsia" w:ascii="宋体" w:hAnsi="宋体" w:cs="宋体"/>
          <w:kern w:val="0"/>
          <w:szCs w:val="21"/>
        </w:rPr>
        <w:t>为债券发行及存续期业务提供服务的中介机构</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2"/>
        <w:gridCol w:w="3460"/>
        <w:gridCol w:w="2085"/>
        <w:gridCol w:w="2773"/>
        <w:gridCol w:w="2773"/>
      </w:tblGrid>
      <w:tr w14:paraId="6BE3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sdt>
          <w:sdtPr>
            <w:tag w:val="_PLD_54ab8ae12edd455da8babdd2e2ab5698"/>
            <w:id w:val="-882094602"/>
          </w:sdtPr>
          <w:sdtEndPr>
            <w:rPr>
              <w:rFonts w:hint="eastAsia"/>
              <w:szCs w:val="21"/>
            </w:rPr>
          </w:sdtEndPr>
          <w:sdtContent>
            <w:tc>
              <w:tcPr>
                <w:tcW w:w="1000" w:type="pct"/>
                <w:vAlign w:val="center"/>
              </w:tcPr>
              <w:p w14:paraId="61EE0B5D">
                <w:pPr>
                  <w:widowControl w:val="0"/>
                  <w:jc w:val="center"/>
                  <w:rPr>
                    <w:rFonts w:hint="eastAsia"/>
                    <w:szCs w:val="21"/>
                  </w:rPr>
                </w:pPr>
                <w:r>
                  <w:t>中介</w:t>
                </w:r>
                <w:r>
                  <w:rPr>
                    <w:rFonts w:hint="eastAsia"/>
                    <w:szCs w:val="21"/>
                  </w:rPr>
                  <w:t>机构名称</w:t>
                </w:r>
              </w:p>
            </w:tc>
          </w:sdtContent>
        </w:sdt>
        <w:sdt>
          <w:sdtPr>
            <w:tag w:val="_PLD_8492b834223a461f8d344918d030f6b8"/>
            <w:id w:val="741916748"/>
          </w:sdtPr>
          <w:sdtContent>
            <w:tc>
              <w:tcPr>
                <w:tcW w:w="1248" w:type="pct"/>
                <w:vAlign w:val="center"/>
              </w:tcPr>
              <w:p w14:paraId="0436C867">
                <w:pPr>
                  <w:widowControl w:val="0"/>
                  <w:jc w:val="center"/>
                  <w:rPr>
                    <w:rFonts w:hint="eastAsia"/>
                    <w:szCs w:val="21"/>
                  </w:rPr>
                </w:pPr>
                <w:r>
                  <w:t>办公地址</w:t>
                </w:r>
              </w:p>
            </w:tc>
          </w:sdtContent>
        </w:sdt>
        <w:sdt>
          <w:sdtPr>
            <w:tag w:val="_PLD_e556c32b1e664b37a60bde70039a7d7e"/>
            <w:id w:val="-2015762943"/>
          </w:sdtPr>
          <w:sdtContent>
            <w:tc>
              <w:tcPr>
                <w:tcW w:w="752" w:type="pct"/>
                <w:vAlign w:val="center"/>
              </w:tcPr>
              <w:p w14:paraId="44B2D42F">
                <w:pPr>
                  <w:widowControl w:val="0"/>
                  <w:jc w:val="center"/>
                  <w:rPr>
                    <w:rFonts w:hint="eastAsia"/>
                    <w:szCs w:val="21"/>
                  </w:rPr>
                </w:pPr>
                <w:r>
                  <w:t>签字会计师姓名</w:t>
                </w:r>
              </w:p>
            </w:tc>
          </w:sdtContent>
        </w:sdt>
        <w:sdt>
          <w:sdtPr>
            <w:tag w:val="_PLD_b5bd6ba320c64e5799677eed2e7352a3"/>
            <w:id w:val="476661451"/>
          </w:sdtPr>
          <w:sdtContent>
            <w:tc>
              <w:tcPr>
                <w:tcW w:w="1000" w:type="pct"/>
                <w:vAlign w:val="center"/>
              </w:tcPr>
              <w:p w14:paraId="1B82F4D4">
                <w:pPr>
                  <w:widowControl w:val="0"/>
                  <w:jc w:val="center"/>
                  <w:rPr>
                    <w:rFonts w:hint="eastAsia"/>
                    <w:szCs w:val="21"/>
                  </w:rPr>
                </w:pPr>
                <w:r>
                  <w:t>联系人</w:t>
                </w:r>
              </w:p>
            </w:tc>
          </w:sdtContent>
        </w:sdt>
        <w:sdt>
          <w:sdtPr>
            <w:tag w:val="_PLD_5718e39fad6141cc9151355350f9e5d0"/>
            <w:id w:val="636218845"/>
          </w:sdtPr>
          <w:sdtContent>
            <w:tc>
              <w:tcPr>
                <w:tcW w:w="1000" w:type="pct"/>
                <w:vAlign w:val="center"/>
              </w:tcPr>
              <w:p w14:paraId="09F7361F">
                <w:pPr>
                  <w:widowControl w:val="0"/>
                  <w:jc w:val="center"/>
                  <w:rPr>
                    <w:rFonts w:hint="eastAsia"/>
                  </w:rPr>
                </w:pPr>
                <w:r>
                  <w:t>联系电话</w:t>
                </w:r>
              </w:p>
            </w:tc>
          </w:sdtContent>
        </w:sdt>
      </w:tr>
      <w:tr w14:paraId="2792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2F6686A">
            <w:pPr>
              <w:widowControl w:val="0"/>
              <w:jc w:val="both"/>
              <w:rPr>
                <w:rFonts w:hint="eastAsia" w:cs="Times New Roman"/>
                <w:kern w:val="2"/>
                <w:szCs w:val="21"/>
              </w:rPr>
            </w:pPr>
            <w:r>
              <w:rPr>
                <w:rFonts w:hint="eastAsia"/>
                <w:color w:val="000000"/>
                <w:szCs w:val="21"/>
              </w:rPr>
              <w:t>天健会计师事务所（特殊普通合伙）</w:t>
            </w:r>
          </w:p>
        </w:tc>
        <w:tc>
          <w:tcPr>
            <w:tcW w:w="1248" w:type="pct"/>
            <w:vAlign w:val="center"/>
          </w:tcPr>
          <w:p w14:paraId="62105F7B">
            <w:pPr>
              <w:widowControl w:val="0"/>
              <w:jc w:val="both"/>
              <w:rPr>
                <w:rFonts w:hint="eastAsia" w:cs="Times New Roman"/>
                <w:kern w:val="2"/>
                <w:szCs w:val="21"/>
              </w:rPr>
            </w:pPr>
            <w:r>
              <w:rPr>
                <w:rFonts w:hint="eastAsia"/>
                <w:color w:val="000000"/>
                <w:szCs w:val="21"/>
              </w:rPr>
              <w:t>浙江省杭州市西湖区灵隐街道西溪路128号</w:t>
            </w:r>
          </w:p>
        </w:tc>
        <w:tc>
          <w:tcPr>
            <w:tcW w:w="752" w:type="pct"/>
            <w:vAlign w:val="center"/>
          </w:tcPr>
          <w:p w14:paraId="292BDBA2">
            <w:pPr>
              <w:widowControl w:val="0"/>
              <w:jc w:val="both"/>
              <w:rPr>
                <w:rFonts w:hint="eastAsia" w:cs="Times New Roman"/>
                <w:kern w:val="2"/>
                <w:szCs w:val="21"/>
              </w:rPr>
            </w:pPr>
            <w:r>
              <w:rPr>
                <w:rFonts w:hint="eastAsia"/>
                <w:color w:val="000000"/>
                <w:szCs w:val="21"/>
              </w:rPr>
              <w:t>曹博、王景波</w:t>
            </w:r>
          </w:p>
        </w:tc>
        <w:tc>
          <w:tcPr>
            <w:tcW w:w="1000" w:type="pct"/>
            <w:vAlign w:val="center"/>
          </w:tcPr>
          <w:p w14:paraId="1295A98D">
            <w:pPr>
              <w:widowControl w:val="0"/>
              <w:jc w:val="both"/>
              <w:rPr>
                <w:rFonts w:hint="eastAsia" w:cs="Times New Roman"/>
                <w:kern w:val="2"/>
                <w:szCs w:val="21"/>
              </w:rPr>
            </w:pPr>
            <w:r>
              <w:rPr>
                <w:rFonts w:hint="eastAsia"/>
                <w:color w:val="000000"/>
                <w:szCs w:val="21"/>
              </w:rPr>
              <w:t>王景波</w:t>
            </w:r>
          </w:p>
        </w:tc>
        <w:tc>
          <w:tcPr>
            <w:tcW w:w="1000" w:type="pct"/>
            <w:vAlign w:val="center"/>
          </w:tcPr>
          <w:p w14:paraId="12963595">
            <w:pPr>
              <w:widowControl w:val="0"/>
              <w:jc w:val="both"/>
              <w:rPr>
                <w:rFonts w:hint="eastAsia" w:cs="Times New Roman"/>
                <w:kern w:val="2"/>
                <w:szCs w:val="21"/>
              </w:rPr>
            </w:pPr>
            <w:r>
              <w:rPr>
                <w:rFonts w:hint="eastAsia"/>
                <w:color w:val="000000"/>
                <w:szCs w:val="21"/>
              </w:rPr>
              <w:t>0571-88216888</w:t>
            </w:r>
          </w:p>
        </w:tc>
      </w:tr>
      <w:tr w14:paraId="739F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530611C9">
            <w:pPr>
              <w:widowControl w:val="0"/>
              <w:jc w:val="both"/>
              <w:rPr>
                <w:rFonts w:hint="eastAsia" w:cs="Times New Roman"/>
                <w:kern w:val="2"/>
                <w:szCs w:val="21"/>
              </w:rPr>
            </w:pPr>
            <w:r>
              <w:rPr>
                <w:rFonts w:hint="eastAsia"/>
                <w:color w:val="000000"/>
                <w:szCs w:val="21"/>
              </w:rPr>
              <w:t>瑞银证券有限责任公司</w:t>
            </w:r>
          </w:p>
        </w:tc>
        <w:tc>
          <w:tcPr>
            <w:tcW w:w="1248" w:type="pct"/>
            <w:vAlign w:val="center"/>
          </w:tcPr>
          <w:p w14:paraId="2AE52E07">
            <w:pPr>
              <w:widowControl w:val="0"/>
              <w:jc w:val="both"/>
              <w:rPr>
                <w:rFonts w:hint="eastAsia" w:cs="Times New Roman"/>
                <w:kern w:val="2"/>
                <w:szCs w:val="21"/>
              </w:rPr>
            </w:pPr>
            <w:r>
              <w:rPr>
                <w:rFonts w:hint="eastAsia"/>
                <w:color w:val="000000"/>
                <w:szCs w:val="21"/>
              </w:rPr>
              <w:t>北京市西城区金融大街7号英蓝国际金融中心</w:t>
            </w:r>
          </w:p>
        </w:tc>
        <w:tc>
          <w:tcPr>
            <w:tcW w:w="752" w:type="pct"/>
            <w:vAlign w:val="center"/>
          </w:tcPr>
          <w:p w14:paraId="35238C80">
            <w:pPr>
              <w:widowControl w:val="0"/>
              <w:jc w:val="both"/>
              <w:rPr>
                <w:rFonts w:hint="eastAsia" w:cs="Times New Roman"/>
                <w:kern w:val="2"/>
                <w:szCs w:val="21"/>
              </w:rPr>
            </w:pPr>
          </w:p>
        </w:tc>
        <w:tc>
          <w:tcPr>
            <w:tcW w:w="1000" w:type="pct"/>
            <w:vAlign w:val="center"/>
          </w:tcPr>
          <w:p w14:paraId="2FD1C8B1">
            <w:pPr>
              <w:widowControl w:val="0"/>
              <w:jc w:val="both"/>
              <w:rPr>
                <w:rFonts w:hint="eastAsia" w:cs="Times New Roman"/>
                <w:kern w:val="2"/>
                <w:szCs w:val="21"/>
              </w:rPr>
            </w:pPr>
            <w:r>
              <w:rPr>
                <w:rFonts w:hint="eastAsia"/>
                <w:color w:val="000000"/>
                <w:szCs w:val="21"/>
              </w:rPr>
              <w:t>范围</w:t>
            </w:r>
          </w:p>
        </w:tc>
        <w:tc>
          <w:tcPr>
            <w:tcW w:w="1000" w:type="pct"/>
            <w:vAlign w:val="center"/>
          </w:tcPr>
          <w:p w14:paraId="1E0CFF00">
            <w:pPr>
              <w:widowControl w:val="0"/>
              <w:jc w:val="both"/>
              <w:rPr>
                <w:rFonts w:hint="eastAsia" w:cs="Times New Roman"/>
                <w:kern w:val="2"/>
                <w:szCs w:val="21"/>
              </w:rPr>
            </w:pPr>
            <w:r>
              <w:rPr>
                <w:rFonts w:hint="eastAsia"/>
                <w:color w:val="000000"/>
                <w:szCs w:val="21"/>
              </w:rPr>
              <w:t>010-58328888</w:t>
            </w:r>
          </w:p>
        </w:tc>
      </w:tr>
      <w:tr w14:paraId="044C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51E99B6D">
            <w:pPr>
              <w:widowControl w:val="0"/>
              <w:jc w:val="both"/>
              <w:rPr>
                <w:rFonts w:hint="eastAsia" w:cs="Times New Roman"/>
                <w:kern w:val="2"/>
                <w:szCs w:val="21"/>
              </w:rPr>
            </w:pPr>
            <w:r>
              <w:rPr>
                <w:rFonts w:hint="eastAsia"/>
                <w:color w:val="000000"/>
                <w:szCs w:val="21"/>
              </w:rPr>
              <w:t>北京市嘉源律师事务所</w:t>
            </w:r>
          </w:p>
        </w:tc>
        <w:tc>
          <w:tcPr>
            <w:tcW w:w="1248" w:type="pct"/>
            <w:vAlign w:val="center"/>
          </w:tcPr>
          <w:p w14:paraId="09FC88EE">
            <w:pPr>
              <w:widowControl w:val="0"/>
              <w:jc w:val="both"/>
              <w:rPr>
                <w:rFonts w:hint="eastAsia" w:cs="Times New Roman"/>
                <w:kern w:val="2"/>
                <w:szCs w:val="21"/>
              </w:rPr>
            </w:pPr>
            <w:r>
              <w:rPr>
                <w:rFonts w:hint="eastAsia"/>
                <w:color w:val="000000"/>
                <w:szCs w:val="21"/>
              </w:rPr>
              <w:t>北京市西城区复兴门内大街158号远洋大厦F408</w:t>
            </w:r>
          </w:p>
        </w:tc>
        <w:tc>
          <w:tcPr>
            <w:tcW w:w="752" w:type="pct"/>
            <w:vAlign w:val="center"/>
          </w:tcPr>
          <w:p w14:paraId="381DCE41">
            <w:pPr>
              <w:widowControl w:val="0"/>
              <w:jc w:val="both"/>
              <w:rPr>
                <w:rFonts w:hint="eastAsia" w:cs="Times New Roman"/>
                <w:kern w:val="2"/>
                <w:szCs w:val="21"/>
              </w:rPr>
            </w:pPr>
          </w:p>
        </w:tc>
        <w:tc>
          <w:tcPr>
            <w:tcW w:w="1000" w:type="pct"/>
            <w:vAlign w:val="center"/>
          </w:tcPr>
          <w:p w14:paraId="6A7E6B80">
            <w:pPr>
              <w:widowControl w:val="0"/>
              <w:jc w:val="both"/>
              <w:rPr>
                <w:rFonts w:hint="eastAsia" w:cs="Times New Roman"/>
                <w:kern w:val="2"/>
                <w:szCs w:val="21"/>
              </w:rPr>
            </w:pPr>
            <w:r>
              <w:rPr>
                <w:rFonts w:hint="eastAsia"/>
                <w:color w:val="000000"/>
                <w:szCs w:val="21"/>
              </w:rPr>
              <w:t>钟云长</w:t>
            </w:r>
          </w:p>
        </w:tc>
        <w:tc>
          <w:tcPr>
            <w:tcW w:w="1000" w:type="pct"/>
            <w:vAlign w:val="center"/>
          </w:tcPr>
          <w:p w14:paraId="0EEF102E">
            <w:pPr>
              <w:widowControl w:val="0"/>
              <w:jc w:val="both"/>
              <w:rPr>
                <w:rFonts w:hint="eastAsia" w:cs="Times New Roman"/>
                <w:kern w:val="2"/>
                <w:szCs w:val="21"/>
              </w:rPr>
            </w:pPr>
            <w:r>
              <w:rPr>
                <w:rFonts w:hint="eastAsia"/>
                <w:color w:val="000000"/>
                <w:szCs w:val="21"/>
              </w:rPr>
              <w:t>010-66413377</w:t>
            </w:r>
          </w:p>
        </w:tc>
      </w:tr>
      <w:tr w14:paraId="2032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0CD416E">
            <w:pPr>
              <w:widowControl w:val="0"/>
              <w:jc w:val="both"/>
              <w:rPr>
                <w:rFonts w:hint="eastAsia" w:cs="Times New Roman"/>
                <w:kern w:val="2"/>
                <w:szCs w:val="21"/>
              </w:rPr>
            </w:pPr>
            <w:r>
              <w:rPr>
                <w:rFonts w:hint="eastAsia"/>
                <w:color w:val="000000"/>
                <w:szCs w:val="21"/>
              </w:rPr>
              <w:t>中诚信国际信用评级有限责任公司</w:t>
            </w:r>
          </w:p>
        </w:tc>
        <w:tc>
          <w:tcPr>
            <w:tcW w:w="1248" w:type="pct"/>
            <w:vAlign w:val="center"/>
          </w:tcPr>
          <w:p w14:paraId="4D53F8F2">
            <w:pPr>
              <w:widowControl w:val="0"/>
              <w:jc w:val="both"/>
              <w:rPr>
                <w:rFonts w:hint="eastAsia" w:cs="Times New Roman"/>
                <w:kern w:val="2"/>
                <w:szCs w:val="21"/>
              </w:rPr>
            </w:pPr>
            <w:r>
              <w:rPr>
                <w:rFonts w:hint="eastAsia"/>
                <w:color w:val="000000"/>
                <w:szCs w:val="21"/>
              </w:rPr>
              <w:t>北京市东城区朝阳门内大街南竹杆胡同2号银河SOHO5号楼</w:t>
            </w:r>
          </w:p>
        </w:tc>
        <w:tc>
          <w:tcPr>
            <w:tcW w:w="752" w:type="pct"/>
            <w:vAlign w:val="center"/>
          </w:tcPr>
          <w:p w14:paraId="2982298B">
            <w:pPr>
              <w:widowControl w:val="0"/>
              <w:jc w:val="both"/>
              <w:rPr>
                <w:rFonts w:hint="eastAsia" w:cs="Times New Roman"/>
                <w:kern w:val="2"/>
                <w:szCs w:val="21"/>
              </w:rPr>
            </w:pPr>
          </w:p>
        </w:tc>
        <w:tc>
          <w:tcPr>
            <w:tcW w:w="1000" w:type="pct"/>
            <w:vAlign w:val="center"/>
          </w:tcPr>
          <w:p w14:paraId="018073DF">
            <w:pPr>
              <w:widowControl w:val="0"/>
              <w:jc w:val="both"/>
              <w:rPr>
                <w:rFonts w:hint="eastAsia" w:cs="Times New Roman"/>
                <w:kern w:val="2"/>
                <w:szCs w:val="21"/>
              </w:rPr>
            </w:pPr>
            <w:r>
              <w:rPr>
                <w:rFonts w:hint="eastAsia"/>
                <w:color w:val="000000"/>
                <w:szCs w:val="21"/>
              </w:rPr>
              <w:t>邱学友、凌丽</w:t>
            </w:r>
          </w:p>
        </w:tc>
        <w:tc>
          <w:tcPr>
            <w:tcW w:w="1000" w:type="pct"/>
            <w:vAlign w:val="center"/>
          </w:tcPr>
          <w:p w14:paraId="37E9D23B">
            <w:pPr>
              <w:widowControl w:val="0"/>
              <w:jc w:val="both"/>
              <w:rPr>
                <w:rFonts w:hint="eastAsia" w:cs="Times New Roman"/>
                <w:kern w:val="2"/>
                <w:szCs w:val="21"/>
              </w:rPr>
            </w:pPr>
            <w:r>
              <w:rPr>
                <w:rFonts w:hint="eastAsia"/>
                <w:color w:val="000000"/>
                <w:szCs w:val="21"/>
              </w:rPr>
              <w:t>010-66428877</w:t>
            </w:r>
          </w:p>
        </w:tc>
      </w:tr>
    </w:tbl>
    <w:p w14:paraId="5F79C295">
      <w:pPr>
        <w:rPr>
          <w:rFonts w:hint="eastAsia"/>
          <w:szCs w:val="21"/>
        </w:rPr>
      </w:pPr>
    </w:p>
    <w:p w14:paraId="5D2AA724">
      <w:pPr>
        <w:rPr>
          <w:rFonts w:hint="eastAsia"/>
          <w:szCs w:val="21"/>
        </w:rPr>
      </w:pPr>
    </w:p>
    <w:p w14:paraId="485B0830">
      <w:pPr>
        <w:rPr>
          <w:rFonts w:hint="eastAsia"/>
        </w:rPr>
      </w:pPr>
      <w:r>
        <w:t>上述中介机构发生变更的情况</w:t>
      </w:r>
    </w:p>
    <w:sdt>
      <w:sdtPr>
        <w:rPr>
          <w:rFonts w:hint="eastAsia" w:cs="Times New Roman"/>
          <w:bCs/>
          <w:kern w:val="2"/>
          <w:szCs w:val="21"/>
        </w:rPr>
        <w:alias w:val="是否适用：中介机构发生变更的情况[双击切换]"/>
        <w:tag w:val="_GBC_406adc2f253341959c4229009060293e"/>
        <w:id w:val="-1230772224"/>
        <w:placeholder>
          <w:docPart w:val="GBC22222222222222222222222222222"/>
        </w:placeholder>
      </w:sdtPr>
      <w:sdtEndPr>
        <w:rPr>
          <w:rFonts w:hint="eastAsia" w:cs="Times New Roman"/>
          <w:bCs/>
          <w:kern w:val="2"/>
          <w:szCs w:val="21"/>
        </w:rPr>
      </w:sdtEndPr>
      <w:sdtContent>
        <w:p w14:paraId="6755F9CB">
          <w:pPr>
            <w:rPr>
              <w:rFonts w:hint="eastAsia" w:cs="Times New Roman"/>
              <w:bCs/>
              <w:kern w:val="2"/>
              <w:szCs w:val="21"/>
            </w:rPr>
          </w:pPr>
          <w:r>
            <w:rPr>
              <w:rFonts w:cs="Times New Roman"/>
              <w:bCs/>
              <w:kern w:val="2"/>
              <w:szCs w:val="21"/>
            </w:rPr>
            <w:fldChar w:fldCharType="begin"/>
          </w:r>
          <w:r>
            <w:rPr>
              <w:rFonts w:cs="Times New Roman"/>
              <w:bCs/>
              <w:kern w:val="2"/>
              <w:szCs w:val="21"/>
            </w:rPr>
            <w:instrText xml:space="preserve"> </w:instrText>
          </w:r>
          <w:r>
            <w:rPr>
              <w:rFonts w:hint="eastAsia" w:cs="Times New Roman"/>
              <w:bCs/>
              <w:kern w:val="2"/>
              <w:szCs w:val="21"/>
            </w:rPr>
            <w:instrText xml:space="preserve">MACROBUTTON  SnrToggleCheckbox √适用</w:instrText>
          </w:r>
          <w:r>
            <w:rPr>
              <w:rFonts w:cs="Times New Roman"/>
              <w:bCs/>
              <w:kern w:val="2"/>
              <w:szCs w:val="21"/>
            </w:rPr>
            <w:instrText xml:space="preserve">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4167"/>
        <w:gridCol w:w="3405"/>
        <w:gridCol w:w="3518"/>
      </w:tblGrid>
      <w:tr w14:paraId="2299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sdt>
          <w:sdtPr>
            <w:tag w:val="_PLD_6de231f572034b28b11e5c1711c29608"/>
            <w:id w:val="-1296983721"/>
          </w:sdtPr>
          <w:sdtEndPr>
            <w:rPr>
              <w:rFonts w:hint="eastAsia"/>
              <w:szCs w:val="21"/>
            </w:rPr>
          </w:sdtEndPr>
          <w:sdtContent>
            <w:tc>
              <w:tcPr>
                <w:tcW w:w="1000" w:type="pct"/>
                <w:vAlign w:val="center"/>
              </w:tcPr>
              <w:p w14:paraId="685CD136">
                <w:pPr>
                  <w:widowControl w:val="0"/>
                  <w:jc w:val="center"/>
                  <w:rPr>
                    <w:rFonts w:hint="eastAsia"/>
                    <w:szCs w:val="21"/>
                  </w:rPr>
                </w:pPr>
                <w:r>
                  <w:t>中介</w:t>
                </w:r>
                <w:r>
                  <w:rPr>
                    <w:rFonts w:hint="eastAsia"/>
                    <w:szCs w:val="21"/>
                  </w:rPr>
                  <w:t>机构名称</w:t>
                </w:r>
              </w:p>
            </w:tc>
          </w:sdtContent>
        </w:sdt>
        <w:sdt>
          <w:sdtPr>
            <w:tag w:val="_PLD_3af1f10d110f440a87eded9238910d71"/>
            <w:id w:val="-11918583"/>
          </w:sdtPr>
          <w:sdtContent>
            <w:tc>
              <w:tcPr>
                <w:tcW w:w="1503" w:type="pct"/>
                <w:vAlign w:val="center"/>
              </w:tcPr>
              <w:p w14:paraId="4BD2F71B">
                <w:pPr>
                  <w:widowControl w:val="0"/>
                  <w:jc w:val="center"/>
                  <w:rPr>
                    <w:rFonts w:hint="eastAsia"/>
                    <w:szCs w:val="21"/>
                  </w:rPr>
                </w:pPr>
                <w:r>
                  <w:t>变更原因</w:t>
                </w:r>
              </w:p>
            </w:tc>
          </w:sdtContent>
        </w:sdt>
        <w:sdt>
          <w:sdtPr>
            <w:tag w:val="_PLD_31e351fb3293431d84346c2fa25e6ec6"/>
            <w:id w:val="1891070163"/>
          </w:sdtPr>
          <w:sdtContent>
            <w:tc>
              <w:tcPr>
                <w:tcW w:w="1228" w:type="pct"/>
                <w:vAlign w:val="center"/>
              </w:tcPr>
              <w:p w14:paraId="775EB5A0">
                <w:pPr>
                  <w:widowControl w:val="0"/>
                  <w:jc w:val="center"/>
                  <w:rPr>
                    <w:rFonts w:hint="eastAsia"/>
                    <w:szCs w:val="21"/>
                  </w:rPr>
                </w:pPr>
                <w:r>
                  <w:t>履行程序</w:t>
                </w:r>
              </w:p>
            </w:tc>
          </w:sdtContent>
        </w:sdt>
        <w:sdt>
          <w:sdtPr>
            <w:tag w:val="_PLD_5a95cd846f504916b1d580d3c28f7ebc"/>
            <w:id w:val="-1697148140"/>
          </w:sdtPr>
          <w:sdtContent>
            <w:tc>
              <w:tcPr>
                <w:tcW w:w="1269" w:type="pct"/>
                <w:vAlign w:val="center"/>
              </w:tcPr>
              <w:p w14:paraId="076AADC5">
                <w:pPr>
                  <w:widowControl w:val="0"/>
                  <w:jc w:val="center"/>
                  <w:rPr>
                    <w:rFonts w:hint="eastAsia"/>
                  </w:rPr>
                </w:pPr>
                <w:r>
                  <w:t>对债券投资者权益的影响</w:t>
                </w:r>
              </w:p>
            </w:tc>
          </w:sdtContent>
        </w:sdt>
      </w:tr>
      <w:tr w14:paraId="6B38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Pr>
          <w:p w14:paraId="64D7875B">
            <w:pPr>
              <w:widowControl w:val="0"/>
              <w:jc w:val="both"/>
              <w:rPr>
                <w:rFonts w:hint="eastAsia" w:cs="Times New Roman"/>
                <w:kern w:val="2"/>
                <w:szCs w:val="21"/>
              </w:rPr>
            </w:pPr>
            <w:r>
              <w:rPr>
                <w:rFonts w:hint="eastAsia" w:cs="Times New Roman"/>
                <w:kern w:val="2"/>
                <w:szCs w:val="21"/>
              </w:rPr>
              <w:t>天健会计师事务所（特殊普通合伙）</w:t>
            </w:r>
          </w:p>
        </w:tc>
        <w:tc>
          <w:tcPr>
            <w:tcW w:w="1503" w:type="pct"/>
          </w:tcPr>
          <w:p w14:paraId="3B70A352">
            <w:pPr>
              <w:widowControl w:val="0"/>
              <w:jc w:val="both"/>
              <w:rPr>
                <w:rFonts w:hint="eastAsia" w:cs="Times New Roman"/>
                <w:kern w:val="2"/>
                <w:szCs w:val="21"/>
              </w:rPr>
            </w:pPr>
            <w:r>
              <w:rPr>
                <w:rFonts w:hint="eastAsia" w:cs="Times New Roman"/>
                <w:kern w:val="2"/>
                <w:szCs w:val="21"/>
              </w:rPr>
              <w:t>聘任天健会计师事务所为公司2024年度财务审计和内控审计机构</w:t>
            </w:r>
          </w:p>
        </w:tc>
        <w:tc>
          <w:tcPr>
            <w:tcW w:w="1228" w:type="pct"/>
          </w:tcPr>
          <w:p w14:paraId="6B3664E4">
            <w:pPr>
              <w:widowControl w:val="0"/>
              <w:jc w:val="both"/>
              <w:rPr>
                <w:rFonts w:hint="eastAsia" w:cs="Times New Roman"/>
                <w:kern w:val="2"/>
                <w:szCs w:val="21"/>
              </w:rPr>
            </w:pPr>
            <w:r>
              <w:rPr>
                <w:rFonts w:hint="eastAsia" w:cs="Times New Roman"/>
                <w:kern w:val="2"/>
                <w:szCs w:val="21"/>
              </w:rPr>
              <w:t>第六届董事会第七次会议、2024年第二次临时股东大会</w:t>
            </w:r>
          </w:p>
        </w:tc>
        <w:tc>
          <w:tcPr>
            <w:tcW w:w="1269" w:type="pct"/>
          </w:tcPr>
          <w:p w14:paraId="20C97272">
            <w:pPr>
              <w:widowControl w:val="0"/>
              <w:jc w:val="both"/>
              <w:rPr>
                <w:rFonts w:hint="eastAsia" w:cs="Times New Roman"/>
                <w:kern w:val="2"/>
                <w:szCs w:val="21"/>
              </w:rPr>
            </w:pPr>
            <w:r>
              <w:rPr>
                <w:rFonts w:hint="eastAsia" w:cs="Times New Roman"/>
                <w:kern w:val="2"/>
                <w:szCs w:val="21"/>
              </w:rPr>
              <w:t>无</w:t>
            </w:r>
          </w:p>
        </w:tc>
      </w:tr>
    </w:tbl>
    <w:p w14:paraId="4AB804DF">
      <w:pPr>
        <w:rPr>
          <w:rFonts w:hint="eastAsia"/>
          <w:szCs w:val="21"/>
        </w:rPr>
      </w:pPr>
    </w:p>
    <w:p w14:paraId="109FCD3C">
      <w:pPr>
        <w:pStyle w:val="5"/>
        <w:numPr>
          <w:ilvl w:val="0"/>
          <w:numId w:val="81"/>
        </w:numPr>
        <w:ind w:left="425" w:hanging="425"/>
        <w:rPr>
          <w:rFonts w:hint="eastAsia" w:ascii="宋体" w:hAnsi="宋体" w:cs="宋体"/>
          <w:kern w:val="0"/>
          <w:szCs w:val="21"/>
        </w:rPr>
      </w:pPr>
      <w:bookmarkStart w:id="176" w:name="_Hlk89419436"/>
      <w:r>
        <w:rPr>
          <w:rFonts w:hint="eastAsia" w:ascii="宋体" w:hAnsi="宋体" w:cs="宋体"/>
          <w:kern w:val="0"/>
          <w:szCs w:val="21"/>
        </w:rPr>
        <w:t>信用评级结果调整情况</w:t>
      </w:r>
    </w:p>
    <w:sdt>
      <w:sdtPr>
        <w:rPr>
          <w:rFonts w:hint="eastAsia" w:cs="Times New Roman"/>
          <w:bCs/>
          <w:color w:val="000000" w:themeColor="text1"/>
          <w:kern w:val="2"/>
          <w:szCs w:val="21"/>
          <w14:textFill>
            <w14:solidFill>
              <w14:schemeClr w14:val="tx1"/>
            </w14:solidFill>
          </w14:textFill>
        </w:rPr>
        <w:alias w:val="是否适用：公司债券评级情况[双击切换]"/>
        <w:tag w:val="_GBC_345df0453cf941d0a16bc6d740748aa0"/>
        <w:id w:val="-925419944"/>
        <w:placeholder>
          <w:docPart w:val="GBC22222222222222222222222222222"/>
        </w:placeholder>
      </w:sdtPr>
      <w:sdtEndPr>
        <w:rPr>
          <w:rFonts w:hint="eastAsia" w:cs="Times New Roman"/>
          <w:bCs/>
          <w:color w:val="000000" w:themeColor="text1"/>
          <w:kern w:val="2"/>
          <w:szCs w:val="21"/>
          <w14:textFill>
            <w14:solidFill>
              <w14:schemeClr w14:val="tx1"/>
            </w14:solidFill>
          </w14:textFill>
        </w:rPr>
      </w:sdtEndPr>
      <w:sdtContent>
        <w:p w14:paraId="521D548A">
          <w:pPr>
            <w:rPr>
              <w:rFonts w:hint="eastAsia" w:cs="Times New Roman"/>
              <w:bCs/>
              <w:color w:val="000000" w:themeColor="text1"/>
              <w:kern w:val="2"/>
              <w:szCs w:val="2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1FBCE820">
      <w:pPr>
        <w:rPr>
          <w:rFonts w:hint="eastAsia"/>
          <w:color w:val="000000" w:themeColor="text1"/>
          <w:szCs w:val="21"/>
          <w14:textFill>
            <w14:solidFill>
              <w14:schemeClr w14:val="tx1"/>
            </w14:solidFill>
          </w14:textFill>
        </w:rPr>
      </w:pPr>
    </w:p>
    <w:p w14:paraId="4A41077A">
      <w:pPr>
        <w:adjustRightInd w:val="0"/>
        <w:snapToGrid w:val="0"/>
        <w:rPr>
          <w:rFonts w:hAnsi="Arial" w:cs="Times New Roman"/>
          <w:bCs/>
          <w:kern w:val="2"/>
          <w:szCs w:val="21"/>
        </w:rPr>
      </w:pPr>
      <w:r>
        <w:rPr>
          <w:rFonts w:hint="eastAsia" w:ascii="Arial" w:hAnsi="Arial" w:cs="Times New Roman"/>
          <w:bCs/>
          <w:kern w:val="2"/>
          <w:szCs w:val="21"/>
        </w:rPr>
        <w:t>其他</w:t>
      </w:r>
      <w:r>
        <w:rPr>
          <w:rFonts w:hint="eastAsia" w:hAnsi="Arial" w:cs="Times New Roman"/>
          <w:bCs/>
          <w:kern w:val="2"/>
          <w:szCs w:val="21"/>
        </w:rPr>
        <w:t>说明：</w:t>
      </w:r>
    </w:p>
    <w:sdt>
      <w:sdtPr>
        <w:rPr>
          <w:rFonts w:hint="eastAsia" w:hAnsi="Arial" w:cs="Times New Roman"/>
          <w:bCs/>
          <w:kern w:val="2"/>
          <w:szCs w:val="21"/>
        </w:rPr>
        <w:alias w:val="是否适用：信用评级结果调整情况其他说明[双击切换]"/>
        <w:tag w:val="_GBC_53eb0e10841145bb837764aa43265bb6"/>
        <w:id w:val="189112427"/>
        <w:placeholder>
          <w:docPart w:val="GBC22222222222222222222222222222"/>
        </w:placeholder>
      </w:sdtPr>
      <w:sdtEndPr>
        <w:rPr>
          <w:rFonts w:hint="eastAsia" w:hAnsi="Arial" w:cs="Times New Roman"/>
          <w:bCs/>
          <w:kern w:val="2"/>
          <w:szCs w:val="21"/>
        </w:rPr>
      </w:sdtEndPr>
      <w:sdtContent>
        <w:p w14:paraId="3BC8A8E4">
          <w:pPr>
            <w:adjustRightInd w:val="0"/>
            <w:snapToGrid w:val="0"/>
            <w:rPr>
              <w:rFonts w:hAnsi="Arial" w:cs="Times New Roman"/>
              <w:bCs/>
              <w:kern w:val="2"/>
              <w:szCs w:val="21"/>
            </w:rPr>
          </w:pPr>
          <w:r>
            <w:rPr>
              <w:rFonts w:cs="Times New Roman"/>
              <w:bCs/>
              <w:kern w:val="2"/>
              <w:szCs w:val="21"/>
            </w:rPr>
            <w:fldChar w:fldCharType="begin"/>
          </w:r>
          <w:r>
            <w:rPr>
              <w:rFonts w:cs="Times New Roman"/>
              <w:bCs/>
              <w:kern w:val="2"/>
              <w:szCs w:val="21"/>
            </w:rPr>
            <w:instrText xml:space="preserve"> </w:instrText>
          </w:r>
          <w:r>
            <w:rPr>
              <w:rFonts w:hint="eastAsia" w:cs="Times New Roman"/>
              <w:bCs/>
              <w:kern w:val="2"/>
              <w:szCs w:val="21"/>
            </w:rPr>
            <w:instrText xml:space="preserve">MACROBUTTON  SnrToggleCheckbox √适用</w:instrText>
          </w:r>
          <w:r>
            <w:rPr>
              <w:rFonts w:cs="Times New Roman"/>
              <w:bCs/>
              <w:kern w:val="2"/>
              <w:szCs w:val="21"/>
            </w:rPr>
            <w:instrText xml:space="preserve">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sdt>
      <w:sdtPr>
        <w:rPr>
          <w:rFonts w:cs="Times New Roman"/>
          <w:bCs/>
          <w:kern w:val="2"/>
          <w:szCs w:val="21"/>
        </w:rPr>
        <w:alias w:val="信用评级结果调整情况其他说明"/>
        <w:tag w:val="_GBC_8a547b5ef95f473883770b28cf24464e"/>
        <w:id w:val="-1921163964"/>
        <w:placeholder>
          <w:docPart w:val="GBC22222222222222222222222222222"/>
        </w:placeholder>
      </w:sdtPr>
      <w:sdtEndPr>
        <w:rPr>
          <w:rFonts w:cs="Times New Roman"/>
          <w:bCs/>
          <w:kern w:val="2"/>
          <w:szCs w:val="21"/>
        </w:rPr>
      </w:sdtEndPr>
      <w:sdtContent>
        <w:p w14:paraId="1C03F6F1">
          <w:pPr>
            <w:ind w:firstLine="420" w:firstLineChars="200"/>
            <w:rPr>
              <w:rFonts w:hint="eastAsia" w:cs="Times New Roman"/>
              <w:bCs/>
              <w:kern w:val="2"/>
              <w:szCs w:val="21"/>
            </w:rPr>
          </w:pPr>
          <w:r>
            <w:rPr>
              <w:rFonts w:hint="eastAsia" w:cs="Times New Roman"/>
              <w:bCs/>
              <w:kern w:val="2"/>
              <w:szCs w:val="21"/>
            </w:rPr>
            <w:t>中诚信国际信用评级有限责任公司于2024年6月12日对本公司2020年公司债（第一期）出具了跟踪评级报告，维持本公司主体和“20际华01”的信用等级“AAA”，评级展望为稳定。</w:t>
          </w:r>
        </w:p>
      </w:sdtContent>
    </w:sdt>
    <w:p w14:paraId="5F25334C">
      <w:pPr>
        <w:rPr>
          <w:rFonts w:hint="eastAsia" w:cs="Times New Roman"/>
          <w:b/>
          <w:bCs/>
          <w:kern w:val="2"/>
          <w:szCs w:val="21"/>
        </w:rPr>
      </w:pPr>
    </w:p>
    <w:p w14:paraId="312DC9D8">
      <w:pPr>
        <w:pStyle w:val="5"/>
        <w:numPr>
          <w:ilvl w:val="0"/>
          <w:numId w:val="81"/>
        </w:numPr>
        <w:ind w:left="425" w:hanging="425"/>
        <w:rPr>
          <w:rFonts w:hint="eastAsia" w:ascii="宋体" w:hAnsi="宋体" w:cs="宋体"/>
          <w:kern w:val="0"/>
          <w:szCs w:val="21"/>
        </w:rPr>
      </w:pPr>
      <w:r>
        <w:rPr>
          <w:rFonts w:hint="eastAsia" w:ascii="宋体" w:hAnsi="宋体" w:cs="宋体"/>
          <w:kern w:val="0"/>
          <w:szCs w:val="21"/>
        </w:rPr>
        <w:t>担保情况、偿债计划及其他偿债保障措施在报告期内的变更、变化和执行情况及其影响</w:t>
      </w:r>
    </w:p>
    <w:sdt>
      <w:sdtPr>
        <w:rPr>
          <w:rFonts w:cs="Times New Roman"/>
          <w:bCs/>
          <w:color w:val="000000" w:themeColor="text1"/>
          <w:kern w:val="2"/>
          <w:szCs w:val="21"/>
          <w14:textFill>
            <w14:solidFill>
              <w14:schemeClr w14:val="tx1"/>
            </w14:solidFill>
          </w14:textFill>
        </w:rPr>
        <w:alias w:val="是否适用：担保情况、偿债计划及其他偿债保障措施在报告期内的执行情况和变化情况及对债券投资者权益的影响[双击切换]"/>
        <w:tag w:val="_GBC_794f04656be94d198b6d2f05b3c3e272"/>
        <w:id w:val="1310443535"/>
        <w:placeholder>
          <w:docPart w:val="GBC22222222222222222222222222222"/>
        </w:placeholder>
      </w:sdtPr>
      <w:sdtEndPr>
        <w:rPr>
          <w:rFonts w:cs="Times New Roman"/>
          <w:bCs/>
          <w:color w:val="000000" w:themeColor="text1"/>
          <w:kern w:val="2"/>
          <w:szCs w:val="21"/>
          <w14:textFill>
            <w14:solidFill>
              <w14:schemeClr w14:val="tx1"/>
            </w14:solidFill>
          </w14:textFill>
        </w:rPr>
      </w:sdtEndPr>
      <w:sdtContent>
        <w:p w14:paraId="4C94A62D">
          <w:pPr>
            <w:rPr>
              <w:rFonts w:hint="eastAsia"/>
              <w:color w:val="000000" w:themeColor="text1"/>
              <w:szCs w:val="2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7DB7E2BD">
      <w:pPr>
        <w:rPr>
          <w:rFonts w:hint="eastAsia"/>
          <w:color w:val="000000" w:themeColor="text1"/>
          <w:szCs w:val="21"/>
          <w14:textFill>
            <w14:solidFill>
              <w14:schemeClr w14:val="tx1"/>
            </w14:solidFill>
          </w14:textFill>
        </w:rPr>
      </w:pPr>
    </w:p>
    <w:bookmarkEnd w:id="175"/>
    <w:bookmarkEnd w:id="176"/>
    <w:p w14:paraId="2D52B198">
      <w:pPr>
        <w:pStyle w:val="4"/>
        <w:numPr>
          <w:ilvl w:val="0"/>
          <w:numId w:val="80"/>
        </w:numPr>
        <w:ind w:left="425" w:hanging="425"/>
        <w:rPr>
          <w:rFonts w:hint="eastAsia" w:ascii="宋体" w:hAnsi="宋体"/>
        </w:rPr>
      </w:pPr>
      <w:bookmarkStart w:id="177" w:name="_Toc141452802"/>
      <w:bookmarkStart w:id="178" w:name="_Hlk169616063"/>
      <w:bookmarkStart w:id="179" w:name="_Hlk182406757"/>
      <w:r>
        <w:rPr>
          <w:rFonts w:hint="eastAsia" w:ascii="宋体" w:hAnsi="宋体"/>
        </w:rPr>
        <w:t>公司债券募集资金情况</w:t>
      </w:r>
      <w:bookmarkEnd w:id="177"/>
    </w:p>
    <w:sdt>
      <w:sdtPr>
        <w:rPr>
          <w:bCs/>
          <w:color w:val="000000" w:themeColor="text1"/>
          <w14:textFill>
            <w14:solidFill>
              <w14:schemeClr w14:val="tx1"/>
            </w14:solidFill>
          </w14:textFill>
        </w:rPr>
        <w:alias w:val="是否：在报告期内使用募集资金"/>
        <w:tag w:val="_GBC_4dfe905122f142c69ad48b560ad8824e"/>
        <w:id w:val="1148242459"/>
        <w:placeholder>
          <w:docPart w:val="GBC22222222222222222222222222222"/>
        </w:placeholder>
      </w:sdtPr>
      <w:sdtEndPr>
        <w:rPr>
          <w:b/>
          <w:bCs/>
          <w:color w:val="000000" w:themeColor="text1"/>
          <w14:textFill>
            <w14:solidFill>
              <w14:schemeClr w14:val="tx1"/>
            </w14:solidFill>
          </w14:textFill>
        </w:rPr>
      </w:sdtEndPr>
      <w:sdtContent>
        <w:p w14:paraId="241D890E">
          <w:pPr>
            <w:kinsoku w:val="0"/>
            <w:overflowPunct w:val="0"/>
            <w:rPr>
              <w:rFonts w:hint="eastAsia"/>
              <w:color w:val="000000"/>
            </w:rPr>
          </w:pPr>
          <w:r>
            <w:rPr>
              <w:bCs/>
              <w:color w:val="000000" w:themeColor="text1"/>
              <w14:textFill>
                <w14:solidFill>
                  <w14:schemeClr w14:val="tx1"/>
                </w14:solidFill>
              </w14:textFill>
            </w:rPr>
            <w:fldChar w:fldCharType="begin"/>
          </w:r>
          <w:r>
            <w:rPr>
              <w:rFonts w:hint="eastAsia"/>
              <w:bCs/>
              <w:color w:val="000000" w:themeColor="text1"/>
              <w14:textFill>
                <w14:solidFill>
                  <w14:schemeClr w14:val="tx1"/>
                </w14:solidFill>
              </w14:textFill>
            </w:rPr>
            <w:instrText xml:space="preserve"> MACROBUTTON  SnrToggleCheckbox □公司债券在报告期内涉及募集资金使用或者整改 </w:instrTex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fldChar w:fldCharType="begin"/>
          </w:r>
          <w:r>
            <w:rPr>
              <w:rFonts w:hint="eastAsia"/>
              <w:bCs/>
              <w:color w:val="000000" w:themeColor="text1"/>
              <w14:textFill>
                <w14:solidFill>
                  <w14:schemeClr w14:val="tx1"/>
                </w14:solidFill>
              </w14:textFill>
            </w:rPr>
            <w:instrText xml:space="preserve"> MACROBUTTON  SnrToggleCheckbox √本公司所有公司债券在报告期内均不涉及募集资金使用或者整改 </w:instrText>
          </w:r>
          <w:r>
            <w:rPr>
              <w:bCs/>
              <w:color w:val="000000" w:themeColor="text1"/>
              <w14:textFill>
                <w14:solidFill>
                  <w14:schemeClr w14:val="tx1"/>
                </w14:solidFill>
              </w14:textFill>
            </w:rPr>
            <w:fldChar w:fldCharType="end"/>
          </w:r>
        </w:p>
      </w:sdtContent>
    </w:sdt>
    <w:bookmarkEnd w:id="178"/>
    <w:p w14:paraId="1C1F93AA">
      <w:pPr>
        <w:kinsoku w:val="0"/>
        <w:overflowPunct w:val="0"/>
        <w:rPr>
          <w:rFonts w:hint="eastAsia"/>
          <w:color w:val="000000" w:themeColor="text1"/>
          <w14:textFill>
            <w14:solidFill>
              <w14:schemeClr w14:val="tx1"/>
            </w14:solidFill>
          </w14:textFill>
        </w:rPr>
      </w:pPr>
    </w:p>
    <w:bookmarkEnd w:id="179"/>
    <w:p w14:paraId="02708F5E">
      <w:pPr>
        <w:pStyle w:val="4"/>
        <w:numPr>
          <w:ilvl w:val="0"/>
          <w:numId w:val="80"/>
        </w:numPr>
        <w:ind w:left="425" w:hanging="425"/>
        <w:rPr>
          <w:rFonts w:hint="eastAsia" w:ascii="宋体" w:hAnsi="宋体"/>
        </w:rPr>
      </w:pPr>
      <w:bookmarkStart w:id="180" w:name="_Toc141452818"/>
      <w:bookmarkEnd w:id="180"/>
      <w:bookmarkStart w:id="181" w:name="_Hlk169616708"/>
      <w:bookmarkStart w:id="182" w:name="_Hlk182406860"/>
      <w:r>
        <w:rPr>
          <w:rFonts w:hint="eastAsia" w:ascii="宋体" w:hAnsi="宋体"/>
        </w:rPr>
        <w:t>专项品种债券应当披露的其他事项</w:t>
      </w:r>
    </w:p>
    <w:sdt>
      <w:sdtPr>
        <w:rPr>
          <w:color w:val="000000" w:themeColor="text1"/>
          <w14:textFill>
            <w14:solidFill>
              <w14:schemeClr w14:val="tx1"/>
            </w14:solidFill>
          </w14:textFill>
        </w:rPr>
        <w:alias w:val="是否适用：专项品种债券事项[双击切换]"/>
        <w:tag w:val="_GBC_2e6cfaedbbd640fdb5534082db894dc6"/>
        <w:id w:val="-970132378"/>
        <w:placeholder>
          <w:docPart w:val="GBC22222222222222222222222222222"/>
        </w:placeholder>
      </w:sdtPr>
      <w:sdtEndPr>
        <w:rPr>
          <w:color w:val="000000" w:themeColor="text1"/>
          <w14:textFill>
            <w14:solidFill>
              <w14:schemeClr w14:val="tx1"/>
            </w14:solidFill>
          </w14:textFill>
        </w:rPr>
      </w:sdtEndPr>
      <w:sdtContent>
        <w:p w14:paraId="3338BBE0">
          <w:pPr>
            <w:rPr>
              <w:rFonts w:hint="eastAsia"/>
              <w:color w:val="000000" w:themeColor="text1"/>
              <w14:textFill>
                <w14:solidFill>
                  <w14:schemeClr w14:val="tx1"/>
                </w14:solidFill>
              </w14:textFill>
            </w:rPr>
          </w:pPr>
          <w:bookmarkStart w:id="183" w:name="_Toc141452819"/>
          <w:bookmarkStart w:id="184" w:name="_Toc520720582"/>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181"/>
    <w:bookmarkEnd w:id="183"/>
    <w:bookmarkEnd w:id="184"/>
    <w:p w14:paraId="18AFF5C9">
      <w:pPr>
        <w:rPr>
          <w:rFonts w:hint="eastAsia"/>
          <w:color w:val="000000" w:themeColor="text1"/>
          <w14:textFill>
            <w14:solidFill>
              <w14:schemeClr w14:val="tx1"/>
            </w14:solidFill>
          </w14:textFill>
        </w:rPr>
      </w:pPr>
      <w:bookmarkStart w:id="185" w:name="_Hlk169616976"/>
    </w:p>
    <w:bookmarkEnd w:id="182"/>
    <w:bookmarkEnd w:id="185"/>
    <w:p w14:paraId="3174F1C4">
      <w:pPr>
        <w:pStyle w:val="4"/>
        <w:numPr>
          <w:ilvl w:val="0"/>
          <w:numId w:val="80"/>
        </w:numPr>
        <w:ind w:left="425" w:hanging="425"/>
        <w:rPr>
          <w:rFonts w:hint="eastAsia" w:ascii="宋体" w:hAnsi="宋体"/>
        </w:rPr>
      </w:pPr>
      <w:bookmarkStart w:id="186" w:name="_Hlk182407003"/>
      <w:r>
        <w:rPr>
          <w:rFonts w:hint="eastAsia" w:ascii="宋体" w:hAnsi="宋体"/>
        </w:rPr>
        <w:t>报告期内公司债券相关重要事项</w:t>
      </w:r>
    </w:p>
    <w:sdt>
      <w:sdtPr>
        <w:rPr>
          <w:color w:val="000000" w:themeColor="text1"/>
          <w14:textFill>
            <w14:solidFill>
              <w14:schemeClr w14:val="tx1"/>
            </w14:solidFill>
          </w14:textFill>
        </w:rPr>
        <w:alias w:val="是否适用：报告期内公司债券相关重要事项[双击切换]"/>
        <w:tag w:val="_GBC_6c9e2ac385b649efa39666c51508988f"/>
        <w:id w:val="1546944169"/>
        <w:lock w:val="contentLocked"/>
        <w:placeholder>
          <w:docPart w:val="GBC22222222222222222222222222222"/>
        </w:placeholder>
      </w:sdtPr>
      <w:sdtEndPr>
        <w:rPr>
          <w:color w:val="000000" w:themeColor="text1"/>
          <w14:textFill>
            <w14:solidFill>
              <w14:schemeClr w14:val="tx1"/>
            </w14:solidFill>
          </w14:textFill>
        </w:rPr>
      </w:sdtEndPr>
      <w:sdtContent>
        <w:p w14:paraId="6E6BCC8F">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38937A6B">
      <w:pPr>
        <w:kinsoku w:val="0"/>
        <w:overflowPunct w:val="0"/>
        <w:rPr>
          <w:rFonts w:hint="eastAsia"/>
          <w:color w:val="000000" w:themeColor="text1"/>
          <w14:textFill>
            <w14:solidFill>
              <w14:schemeClr w14:val="tx1"/>
            </w14:solidFill>
          </w14:textFill>
        </w:rPr>
      </w:pPr>
    </w:p>
    <w:p w14:paraId="0CCC2714">
      <w:pPr>
        <w:pStyle w:val="5"/>
        <w:numPr>
          <w:ilvl w:val="0"/>
          <w:numId w:val="82"/>
        </w:numPr>
        <w:ind w:left="0" w:firstLine="0"/>
        <w:rPr>
          <w:rFonts w:hint="eastAsia"/>
          <w:color w:val="000000" w:themeColor="text1"/>
          <w14:textFill>
            <w14:solidFill>
              <w14:schemeClr w14:val="tx1"/>
            </w14:solidFill>
          </w14:textFill>
        </w:rPr>
      </w:pPr>
      <w:bookmarkStart w:id="187" w:name="_Hlk169619094"/>
      <w:bookmarkStart w:id="188" w:name="_Hlk183682508"/>
      <w:r>
        <w:rPr>
          <w:rFonts w:hint="eastAsia"/>
          <w:color w:val="000000" w:themeColor="text1"/>
          <w14:textFill>
            <w14:solidFill>
              <w14:schemeClr w14:val="tx1"/>
            </w14:solidFill>
          </w14:textFill>
        </w:rPr>
        <w:t>非经营性往来占款和资金拆借</w:t>
      </w:r>
    </w:p>
    <w:p w14:paraId="0F03D354">
      <w:pPr>
        <w:pStyle w:val="6"/>
        <w:numPr>
          <w:ilvl w:val="0"/>
          <w:numId w:val="83"/>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非经营性往来占款和资金拆借余额</w:t>
      </w:r>
    </w:p>
    <w:p w14:paraId="20CF05AC">
      <w:pPr>
        <w:pStyle w:val="14"/>
        <w:kinsoku w:val="0"/>
        <w:overflowPunct w:val="0"/>
        <w:spacing w:before="120" w:beforeLines="50" w:after="120" w:afterLines="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报告期初，公司合并口径应收的非因生产经营直接产生的对其他方的往来占款和资金拆借（以下简称非经营性往来占款和资金拆借）余额：</w:t>
      </w:r>
      <w:sdt>
        <w:sdtPr>
          <w:rPr>
            <w:rFonts w:hint="eastAsia"/>
            <w:color w:val="000000" w:themeColor="text1"/>
            <w14:textFill>
              <w14:solidFill>
                <w14:schemeClr w14:val="tx1"/>
              </w14:solidFill>
            </w14:textFill>
          </w:rPr>
          <w:alias w:val="非经营性往来占款和资金拆借金额"/>
          <w:tag w:val="_GBC_e66ab694a6894d889797bed1e85671ef"/>
          <w:id w:val="1974558017"/>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非经营性往来占款和资金拆借"/>
          <w:tag w:val="_GBC_c1b48d75cec84e70af639395e42f9be5"/>
          <w:id w:val="-317730045"/>
          <w:placeholder>
            <w:docPart w:val="GBC22222222222222222222222222222"/>
          </w:placeholder>
          <w:dataBinding w:prefixMappings="xmlns:bond='bond'" w:xpath="/*/bond:DanWeiFeiJingYingXingWangLaiZhanKuanHeZiJinChaiJi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w:t>
      </w:r>
    </w:p>
    <w:p w14:paraId="41196E40">
      <w:pPr>
        <w:pStyle w:val="14"/>
        <w:kinsoku w:val="0"/>
        <w:overflowPunct w:val="0"/>
        <w:rPr>
          <w:color w:val="000000" w:themeColor="text1"/>
          <w14:textFill>
            <w14:solidFill>
              <w14:schemeClr w14:val="tx1"/>
            </w14:solidFill>
          </w14:textFill>
        </w:rPr>
      </w:pPr>
    </w:p>
    <w:p w14:paraId="0B7C42CB">
      <w:pPr>
        <w:pStyle w:val="14"/>
        <w:kinsoku w:val="0"/>
        <w:overflowPunct w:val="0"/>
        <w:rPr>
          <w:color w:val="000000" w:themeColor="text1"/>
          <w14:textFill>
            <w14:solidFill>
              <w14:schemeClr w14:val="tx1"/>
            </w14:solidFill>
          </w14:textFill>
        </w:rPr>
      </w:pPr>
    </w:p>
    <w:p w14:paraId="07A77421">
      <w:pPr>
        <w:pStyle w:val="14"/>
        <w:kinsoku w:val="0"/>
        <w:overflowPunct w:val="0"/>
        <w:spacing w:before="120" w:beforeLines="50" w:after="120" w:afterLines="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报告期内，非经营性往来占款或资金拆借情形是否存在违反募集说明书相关约定或承诺的情况</w:t>
      </w:r>
    </w:p>
    <w:sdt>
      <w:sdtPr>
        <w:rPr>
          <w:color w:val="000000" w:themeColor="text1"/>
          <w14:textFill>
            <w14:solidFill>
              <w14:schemeClr w14:val="tx1"/>
            </w14:solidFill>
          </w14:textFill>
        </w:rPr>
        <w:alias w:val="非经营性往来占款或资金拆借情形是否存在违反募集说明书相关约定或承诺的情况[双击切换]"/>
        <w:tag w:val="_GBC_d5af5b178744479896786bca512a3c48"/>
        <w:id w:val="1974481825"/>
        <w:placeholder>
          <w:docPart w:val="GBC22222222222222222222222222222"/>
        </w:placeholder>
      </w:sdtPr>
      <w:sdtEndPr>
        <w:rPr>
          <w:color w:val="000000" w:themeColor="text1"/>
          <w14:textFill>
            <w14:solidFill>
              <w14:schemeClr w14:val="tx1"/>
            </w14:solidFill>
          </w14:textFill>
        </w:rPr>
      </w:sdtEndPr>
      <w:sdtContent>
        <w:p w14:paraId="406571E8">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□是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√否 </w:instrText>
          </w:r>
          <w:r>
            <w:rPr>
              <w:color w:val="000000" w:themeColor="text1"/>
              <w14:textFill>
                <w14:solidFill>
                  <w14:schemeClr w14:val="tx1"/>
                </w14:solidFill>
              </w14:textFill>
            </w:rPr>
            <w:fldChar w:fldCharType="end"/>
          </w:r>
        </w:p>
      </w:sdtContent>
    </w:sdt>
    <w:p w14:paraId="0ECFBA56">
      <w:pPr>
        <w:rPr>
          <w:rFonts w:hint="eastAsia"/>
          <w:color w:val="000000" w:themeColor="text1"/>
          <w14:textFill>
            <w14:solidFill>
              <w14:schemeClr w14:val="tx1"/>
            </w14:solidFill>
          </w14:textFill>
        </w:rPr>
      </w:pPr>
    </w:p>
    <w:p w14:paraId="522C1BAE">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报告期末，未收回的非经营性往来占款和资金拆借合计：</w:t>
      </w:r>
      <w:sdt>
        <w:sdtPr>
          <w:rPr>
            <w:rFonts w:hint="eastAsia"/>
            <w:color w:val="000000" w:themeColor="text1"/>
            <w14:textFill>
              <w14:solidFill>
                <w14:schemeClr w14:val="tx1"/>
              </w14:solidFill>
            </w14:textFill>
          </w:rPr>
          <w:alias w:val="未回收的非经营性往来占款和资金拆借占款金额合计"/>
          <w:tag w:val="_GBC_9702333538ee40948d2f75d8ba474b60"/>
          <w:id w:val="137242922"/>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非经营性往来占款和资金拆借"/>
          <w:tag w:val="_GBC_1c9fcfb2b53c43698675bafa420846d2"/>
          <w:id w:val="2021892857"/>
          <w:placeholder>
            <w:docPart w:val="GBC22222222222222222222222222222"/>
          </w:placeholder>
          <w:dataBinding w:prefixMappings="xmlns:bond='bond'" w:xpath="/*/bond:DanWeiFeiJingYingXingWangLaiZhanKuanHeZiJinChaiJi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p>
    <w:p w14:paraId="012EC306">
      <w:pPr>
        <w:rPr>
          <w:rFonts w:hint="eastAsia"/>
          <w:color w:val="000000" w:themeColor="text1"/>
          <w14:textFill>
            <w14:solidFill>
              <w14:schemeClr w14:val="tx1"/>
            </w14:solidFill>
          </w14:textFill>
        </w:rPr>
      </w:pPr>
    </w:p>
    <w:p w14:paraId="79FC645D">
      <w:pPr>
        <w:pStyle w:val="6"/>
        <w:numPr>
          <w:ilvl w:val="0"/>
          <w:numId w:val="83"/>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非经营性往来占款和资金拆借明细</w:t>
      </w:r>
    </w:p>
    <w:p w14:paraId="62A343E9">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报告期末，公司合并口径未收回的非经营性往来占款和资金拆借占合并口径净资产的比例：</w:t>
      </w:r>
      <w:sdt>
        <w:sdtPr>
          <w:rPr>
            <w:rFonts w:hint="eastAsia"/>
            <w:color w:val="000000" w:themeColor="text1"/>
            <w14:textFill>
              <w14:solidFill>
                <w14:schemeClr w14:val="tx1"/>
              </w14:solidFill>
            </w14:textFill>
          </w:rPr>
          <w:alias w:val="报告期末非经营性往来占款和资金拆借合计占净资产的比例"/>
          <w:tag w:val="_GBC_f4f08bda8ce74f11a8e83654807f5b6f"/>
          <w:id w:val="-1891019924"/>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w:t>
      </w:r>
    </w:p>
    <w:p w14:paraId="2C713E40">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是否超过合并口径净资产的10%：</w:t>
      </w:r>
      <w:sdt>
        <w:sdtPr>
          <w:rPr>
            <w:rFonts w:hint="eastAsia"/>
            <w:color w:val="000000" w:themeColor="text1"/>
            <w14:textFill>
              <w14:solidFill>
                <w14:schemeClr w14:val="tx1"/>
              </w14:solidFill>
            </w14:textFill>
          </w:rPr>
          <w:alias w:val="报告期末非经营性往来占款和资金拆借合计占净资产的比例是否超过10%[双击切换]"/>
          <w:tag w:val="_GBC_a6983271bf4c4a99a839c3acf9f29a8a"/>
          <w:id w:val="-1445462726"/>
          <w:placeholder>
            <w:docPart w:val="GBC22222222222222222222222222222"/>
          </w:placeholder>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□是 </w:instrText>
          </w:r>
          <w:r>
            <w:rPr>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√否 </w:instrText>
          </w:r>
          <w:r>
            <w:rPr>
              <w:rFonts w:asciiTheme="minorEastAsia" w:hAnsiTheme="minorEastAsia" w:eastAsiaTheme="minorEastAsia"/>
              <w:color w:val="000000" w:themeColor="text1"/>
              <w14:textFill>
                <w14:solidFill>
                  <w14:schemeClr w14:val="tx1"/>
                </w14:solidFill>
              </w14:textFill>
            </w:rPr>
            <w:fldChar w:fldCharType="end"/>
          </w:r>
        </w:sdtContent>
      </w:sdt>
    </w:p>
    <w:bookmarkEnd w:id="187"/>
    <w:bookmarkEnd w:id="188"/>
    <w:p w14:paraId="34A138A0">
      <w:pPr>
        <w:rPr>
          <w:rFonts w:hint="eastAsia"/>
          <w:color w:val="000000" w:themeColor="text1"/>
          <w14:textFill>
            <w14:solidFill>
              <w14:schemeClr w14:val="tx1"/>
            </w14:solidFill>
          </w14:textFill>
        </w:rPr>
      </w:pPr>
      <w:bookmarkStart w:id="189" w:name="_Hlk169619769"/>
    </w:p>
    <w:p w14:paraId="6AA77155">
      <w:pPr>
        <w:rPr>
          <w:rFonts w:hint="eastAsia"/>
          <w:color w:val="000000" w:themeColor="text1"/>
          <w14:textFill>
            <w14:solidFill>
              <w14:schemeClr w14:val="tx1"/>
            </w14:solidFill>
          </w14:textFill>
        </w:rPr>
      </w:pPr>
    </w:p>
    <w:p w14:paraId="34B3B361">
      <w:pPr>
        <w:pStyle w:val="6"/>
        <w:numPr>
          <w:ilvl w:val="0"/>
          <w:numId w:val="83"/>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以前报告期内披露的回款安排的执行情况</w:t>
      </w:r>
    </w:p>
    <w:sdt>
      <w:sdtPr>
        <w:rPr>
          <w:rFonts w:hint="eastAsia"/>
          <w:color w:val="000000" w:themeColor="text1"/>
          <w14:textFill>
            <w14:solidFill>
              <w14:schemeClr w14:val="tx1"/>
            </w14:solidFill>
          </w14:textFill>
        </w:rPr>
        <w:alias w:val="是否完全执行：以前报告期内披露的回款安排的执行情况"/>
        <w:tag w:val="_GBC_02d03be20e704beea88a88078d92bd55"/>
        <w:id w:val="415524688"/>
        <w:placeholder>
          <w:docPart w:val="GBC22222222222222222222222222222"/>
        </w:placeholder>
      </w:sdtPr>
      <w:sdtEndPr>
        <w:rPr>
          <w:rFonts w:hint="eastAsia"/>
          <w:color w:val="000000" w:themeColor="text1"/>
          <w14:textFill>
            <w14:solidFill>
              <w14:schemeClr w14:val="tx1"/>
            </w14:solidFill>
          </w14:textFill>
        </w:rPr>
      </w:sdtEndPr>
      <w:sdtContent>
        <w:p w14:paraId="6CF5607C">
          <w:pPr>
            <w:tabs>
              <w:tab w:val="left" w:pos="1080"/>
            </w:tabs>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√完全执行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□未完全执行 </w:instrText>
          </w:r>
          <w:r>
            <w:rPr>
              <w:color w:val="000000" w:themeColor="text1"/>
              <w14:textFill>
                <w14:solidFill>
                  <w14:schemeClr w14:val="tx1"/>
                </w14:solidFill>
              </w14:textFill>
            </w:rPr>
            <w:fldChar w:fldCharType="end"/>
          </w:r>
        </w:p>
      </w:sdtContent>
    </w:sdt>
    <w:p w14:paraId="778CA8B8">
      <w:pPr>
        <w:rPr>
          <w:rFonts w:hint="eastAsia"/>
          <w:color w:val="000000" w:themeColor="text1"/>
          <w14:textFill>
            <w14:solidFill>
              <w14:schemeClr w14:val="tx1"/>
            </w14:solidFill>
          </w14:textFill>
        </w:rPr>
      </w:pPr>
    </w:p>
    <w:p w14:paraId="6A3193C7">
      <w:pPr>
        <w:rPr>
          <w:rFonts w:hint="eastAsia"/>
          <w:color w:val="000000" w:themeColor="text1"/>
          <w14:textFill>
            <w14:solidFill>
              <w14:schemeClr w14:val="tx1"/>
            </w14:solidFill>
          </w14:textFill>
        </w:rPr>
      </w:pPr>
    </w:p>
    <w:bookmarkEnd w:id="189"/>
    <w:p w14:paraId="0AFF19BB">
      <w:pPr>
        <w:pStyle w:val="5"/>
        <w:numPr>
          <w:ilvl w:val="0"/>
          <w:numId w:val="82"/>
        </w:numPr>
        <w:ind w:left="0" w:firstLine="0"/>
        <w:rPr>
          <w:rFonts w:hint="eastAsia"/>
          <w:color w:val="000000" w:themeColor="text1"/>
          <w14:textFill>
            <w14:solidFill>
              <w14:schemeClr w14:val="tx1"/>
            </w14:solidFill>
          </w14:textFill>
        </w:rPr>
      </w:pPr>
      <w:bookmarkStart w:id="190" w:name="_Toc141452811"/>
      <w:bookmarkStart w:id="191" w:name="_Hlk169620115"/>
      <w:r>
        <w:rPr>
          <w:rFonts w:hint="eastAsia"/>
          <w:color w:val="000000" w:themeColor="text1"/>
          <w14:textFill>
            <w14:solidFill>
              <w14:schemeClr w14:val="tx1"/>
            </w14:solidFill>
          </w14:textFill>
        </w:rPr>
        <w:t>负债情况</w:t>
      </w:r>
      <w:bookmarkEnd w:id="190"/>
    </w:p>
    <w:p w14:paraId="778AC5A4">
      <w:pPr>
        <w:pStyle w:val="6"/>
        <w:numPr>
          <w:ilvl w:val="0"/>
          <w:numId w:val="84"/>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有息债务及其变动情况</w:t>
      </w:r>
    </w:p>
    <w:p w14:paraId="21CD12F3">
      <w:pPr>
        <w:pStyle w:val="7"/>
        <w:numPr>
          <w:ilvl w:val="0"/>
          <w:numId w:val="85"/>
        </w:numPr>
        <w:tabs>
          <w:tab w:val="left" w:pos="360"/>
        </w:tabs>
      </w:pPr>
      <w:bookmarkStart w:id="192" w:name="_Hlk184116397"/>
      <w:bookmarkStart w:id="193" w:name="_Hlk186116697"/>
      <w:r>
        <w:rPr>
          <w:rFonts w:hint="eastAsia"/>
        </w:rPr>
        <w:t>公司债务结构情况</w:t>
      </w:r>
    </w:p>
    <w:p w14:paraId="535CBD2F">
      <w:pPr>
        <w:pStyle w:val="44"/>
        <w:rPr>
          <w:color w:val="000000" w:themeColor="text1"/>
          <w14:textFill>
            <w14:solidFill>
              <w14:schemeClr w14:val="tx1"/>
            </w14:solidFill>
          </w14:textFill>
        </w:rPr>
      </w:pPr>
      <w:r>
        <w:rPr>
          <w:rFonts w:hint="eastAsia"/>
          <w:color w:val="000000" w:themeColor="text1"/>
          <w14:textFill>
            <w14:solidFill>
              <w14:schemeClr w14:val="tx1"/>
            </w14:solidFill>
          </w14:textFill>
        </w:rPr>
        <w:t>报告期初和报告期末，公司（非公司合并范围口径）有息债务余额分别为</w:t>
      </w:r>
      <w:sdt>
        <w:sdtPr>
          <w:rPr>
            <w:rFonts w:hint="eastAsia"/>
            <w:color w:val="000000" w:themeColor="text1"/>
            <w14:textFill>
              <w14:solidFill>
                <w14:schemeClr w14:val="tx1"/>
              </w14:solidFill>
            </w14:textFill>
          </w:rPr>
          <w:alias w:val="有息债务"/>
          <w:tag w:val="_GBC_e4535ac8abb940e2b143ad188e62fb58"/>
          <w:id w:val="-1217196075"/>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15.63</w:t>
          </w:r>
        </w:sdtContent>
      </w:sdt>
      <w:sdt>
        <w:sdtPr>
          <w:rPr>
            <w:rFonts w:hint="eastAsia"/>
            <w:color w:val="000000" w:themeColor="text1"/>
            <w14:textFill>
              <w14:solidFill>
                <w14:schemeClr w14:val="tx1"/>
              </w14:solidFill>
            </w14:textFill>
          </w:rPr>
          <w:alias w:val="单位：母公司有息债务"/>
          <w:tag w:val="_GBC_eaed5fa2692649d18aa06aa614882762"/>
          <w:id w:val="-1137561715"/>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和</w:t>
      </w:r>
      <w:sdt>
        <w:sdtPr>
          <w:rPr>
            <w:rFonts w:hint="eastAsia"/>
            <w:color w:val="000000" w:themeColor="text1"/>
            <w14:textFill>
              <w14:solidFill>
                <w14:schemeClr w14:val="tx1"/>
              </w14:solidFill>
            </w14:textFill>
          </w:rPr>
          <w:alias w:val="有息债务"/>
          <w:tag w:val="_GBC_4f7f399eedc14384b13fcca9552045fa"/>
          <w:id w:val="-1768602595"/>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12.43</w:t>
          </w:r>
        </w:sdtContent>
      </w:sdt>
      <w:sdt>
        <w:sdtPr>
          <w:rPr>
            <w:rFonts w:hint="eastAsia"/>
            <w:color w:val="000000" w:themeColor="text1"/>
            <w14:textFill>
              <w14:solidFill>
                <w14:schemeClr w14:val="tx1"/>
              </w14:solidFill>
            </w14:textFill>
          </w:rPr>
          <w:alias w:val="单位：母公司有息债务"/>
          <w:tag w:val="_GBC_2898d3c3ba8d47c7b1d079bbf7005db0"/>
          <w:id w:val="1603607849"/>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，报告期内有息债务余额同比变动</w:t>
      </w:r>
      <w:sdt>
        <w:sdtPr>
          <w:rPr>
            <w:rFonts w:hint="eastAsia"/>
            <w:color w:val="000000" w:themeColor="text1"/>
            <w14:textFill>
              <w14:solidFill>
                <w14:schemeClr w14:val="tx1"/>
              </w14:solidFill>
            </w14:textFill>
          </w:rPr>
          <w:alias w:val="有息债务变动比例"/>
          <w:tag w:val="_GBC_47d87ac1bdf846968b0b6f2c469d9ee7"/>
          <w:id w:val="-383792970"/>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-20.47</w:t>
          </w:r>
        </w:sdtContent>
      </w:sdt>
      <w:r>
        <w:rPr>
          <w:rFonts w:hint="eastAsia"/>
          <w:color w:val="000000" w:themeColor="text1"/>
          <w14:textFill>
            <w14:solidFill>
              <w14:schemeClr w14:val="tx1"/>
            </w14:solidFill>
          </w14:textFill>
        </w:rPr>
        <w:t>%。</w:t>
      </w:r>
    </w:p>
    <w:p w14:paraId="27D283CD">
      <w:pPr>
        <w:kinsoku w:val="0"/>
        <w:overflowPunct w:val="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有息债务"/>
          <w:tag w:val="_GBC_b44c1cc00af641c58204700e7a1cb3fc"/>
          <w:id w:val="1389459265"/>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e6d0e92e1a8d4a1aa2d736e756a21cd1"/>
          <w:id w:val="15255919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8"/>
        <w:gridCol w:w="2235"/>
        <w:gridCol w:w="2210"/>
        <w:gridCol w:w="2210"/>
        <w:gridCol w:w="2210"/>
        <w:gridCol w:w="2470"/>
      </w:tblGrid>
      <w:tr w14:paraId="0C9F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a8d9091186a47879e0b40b67ddf14ba"/>
            <w:id w:val="666057939"/>
          </w:sdtPr>
          <w:sdtContent>
            <w:tc>
              <w:tcPr>
                <w:tcW w:w="912" w:type="pct"/>
                <w:vMerge w:val="restart"/>
                <w:vAlign w:val="center"/>
              </w:tcPr>
              <w:p w14:paraId="52170D23">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e857584784de4a00b87ecb7c757079ac"/>
            <w:id w:val="-1083530460"/>
          </w:sdtPr>
          <w:sdtContent>
            <w:tc>
              <w:tcPr>
                <w:tcW w:w="2400" w:type="pct"/>
                <w:gridSpan w:val="3"/>
                <w:vAlign w:val="center"/>
              </w:tcPr>
              <w:p w14:paraId="595FE45C">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db291eb94ad84d22b038c4f1704f48da"/>
            <w:id w:val="267353782"/>
          </w:sdtPr>
          <w:sdtContent>
            <w:tc>
              <w:tcPr>
                <w:tcW w:w="797" w:type="pct"/>
                <w:vMerge w:val="restart"/>
                <w:vAlign w:val="center"/>
              </w:tcPr>
              <w:p w14:paraId="4EC885CC">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891" w:type="pct"/>
            <w:vMerge w:val="restart"/>
            <w:vAlign w:val="center"/>
          </w:tcPr>
          <w:sdt>
            <w:sdtPr>
              <w:tag w:val="_PLD_d93bcbe2219a4286a27ffd772203f797"/>
              <w:id w:val="1593966475"/>
            </w:sdtPr>
            <w:sdtContent>
              <w:p w14:paraId="7DC1BDEB">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sdtContent>
          </w:sdt>
        </w:tc>
      </w:tr>
      <w:tr w14:paraId="6225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Merge w:val="continue"/>
            <w:vAlign w:val="center"/>
          </w:tcPr>
          <w:p w14:paraId="6D51AF51">
            <w:pPr>
              <w:widowControl w:val="0"/>
              <w:kinsoku w:val="0"/>
              <w:overflowPunct w:val="0"/>
              <w:jc w:val="center"/>
              <w:rPr>
                <w:rFonts w:hint="eastAsia"/>
                <w:color w:val="000000" w:themeColor="text1"/>
                <w14:textFill>
                  <w14:solidFill>
                    <w14:schemeClr w14:val="tx1"/>
                  </w14:solidFill>
                </w14:textFill>
              </w:rPr>
            </w:pPr>
          </w:p>
        </w:tc>
        <w:sdt>
          <w:sdtPr>
            <w:tag w:val="_PLD_763fa1250da14baa808021524cd7a0d2"/>
            <w:id w:val="-466810980"/>
          </w:sdtPr>
          <w:sdtContent>
            <w:tc>
              <w:tcPr>
                <w:tcW w:w="806" w:type="pct"/>
                <w:vAlign w:val="center"/>
              </w:tcPr>
              <w:p w14:paraId="71BFB6DA">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tc>
          <w:tcPr>
            <w:tcW w:w="797" w:type="pct"/>
            <w:vAlign w:val="center"/>
          </w:tcPr>
          <w:sdt>
            <w:sdtPr>
              <w:tag w:val="_PLD_9213da20843047fd866a07220ffc1e04"/>
              <w:id w:val="1067448072"/>
            </w:sdtPr>
            <w:sdtContent>
              <w:p w14:paraId="62D6AFEC">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1年以内（含）</w:t>
                </w:r>
              </w:p>
            </w:sdtContent>
          </w:sdt>
        </w:tc>
        <w:sdt>
          <w:sdtPr>
            <w:tag w:val="_PLD_1128df66dc9e4220979131247d083d6e"/>
            <w:id w:val="1529528185"/>
          </w:sdtPr>
          <w:sdtContent>
            <w:tc>
              <w:tcPr>
                <w:tcW w:w="797" w:type="pct"/>
                <w:vAlign w:val="center"/>
              </w:tcPr>
              <w:p w14:paraId="6127CBC5">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超过1年（不含）</w:t>
                </w:r>
              </w:p>
            </w:tc>
          </w:sdtContent>
        </w:sdt>
        <w:tc>
          <w:tcPr>
            <w:tcW w:w="797" w:type="pct"/>
            <w:vMerge w:val="continue"/>
            <w:vAlign w:val="center"/>
          </w:tcPr>
          <w:p w14:paraId="4EC13901">
            <w:pPr>
              <w:widowControl w:val="0"/>
              <w:kinsoku w:val="0"/>
              <w:overflowPunct w:val="0"/>
              <w:jc w:val="center"/>
              <w:rPr>
                <w:rFonts w:hint="eastAsia"/>
                <w:color w:val="000000" w:themeColor="text1"/>
                <w14:textFill>
                  <w14:solidFill>
                    <w14:schemeClr w14:val="tx1"/>
                  </w14:solidFill>
                </w14:textFill>
              </w:rPr>
            </w:pPr>
          </w:p>
        </w:tc>
        <w:tc>
          <w:tcPr>
            <w:tcW w:w="891" w:type="pct"/>
            <w:vMerge w:val="continue"/>
            <w:vAlign w:val="center"/>
          </w:tcPr>
          <w:p w14:paraId="65B4BF8A">
            <w:pPr>
              <w:widowControl w:val="0"/>
              <w:kinsoku w:val="0"/>
              <w:overflowPunct w:val="0"/>
              <w:jc w:val="center"/>
              <w:rPr>
                <w:rFonts w:hint="eastAsia"/>
                <w:color w:val="000000" w:themeColor="text1"/>
                <w14:textFill>
                  <w14:solidFill>
                    <w14:schemeClr w14:val="tx1"/>
                  </w14:solidFill>
                </w14:textFill>
              </w:rPr>
            </w:pPr>
          </w:p>
        </w:tc>
      </w:tr>
      <w:tr w14:paraId="4ABC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Align w:val="center"/>
          </w:tcPr>
          <w:p w14:paraId="423F4B9D">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806" w:type="pct"/>
            <w:vAlign w:val="center"/>
          </w:tcPr>
          <w:p w14:paraId="1144A19A">
            <w:pPr>
              <w:widowControl w:val="0"/>
              <w:kinsoku w:val="0"/>
              <w:overflowPunct w:val="0"/>
              <w:jc w:val="right"/>
              <w:rPr>
                <w:rFonts w:ascii="Arial Narrow" w:hAnsi="Arial Narrow"/>
              </w:rPr>
            </w:pPr>
          </w:p>
        </w:tc>
        <w:tc>
          <w:tcPr>
            <w:tcW w:w="797" w:type="pct"/>
            <w:vAlign w:val="center"/>
          </w:tcPr>
          <w:p w14:paraId="10F8431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0.20 </w:t>
            </w:r>
          </w:p>
        </w:tc>
        <w:tc>
          <w:tcPr>
            <w:tcW w:w="797" w:type="pct"/>
            <w:vAlign w:val="center"/>
          </w:tcPr>
          <w:p w14:paraId="1F31F73D">
            <w:pPr>
              <w:widowControl w:val="0"/>
              <w:kinsoku w:val="0"/>
              <w:overflowPunct w:val="0"/>
              <w:jc w:val="right"/>
              <w:rPr>
                <w:rFonts w:ascii="Arial Narrow" w:hAnsi="Arial Narrow"/>
              </w:rPr>
            </w:pPr>
            <w:r>
              <w:rPr>
                <w:rFonts w:ascii="Arial Narrow" w:hAnsi="Arial Narrow" w:eastAsia="等线"/>
                <w:color w:val="000000"/>
                <w:szCs w:val="21"/>
              </w:rPr>
              <w:t xml:space="preserve"> 5.09 </w:t>
            </w:r>
          </w:p>
        </w:tc>
        <w:tc>
          <w:tcPr>
            <w:tcW w:w="797" w:type="pct"/>
            <w:vAlign w:val="center"/>
          </w:tcPr>
          <w:p w14:paraId="5AE68FA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5.29 </w:t>
            </w:r>
          </w:p>
        </w:tc>
        <w:tc>
          <w:tcPr>
            <w:tcW w:w="891" w:type="pct"/>
            <w:vAlign w:val="center"/>
          </w:tcPr>
          <w:p w14:paraId="5A214E0F">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42.56 </w:t>
            </w:r>
          </w:p>
        </w:tc>
      </w:tr>
      <w:tr w14:paraId="08EC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Align w:val="center"/>
          </w:tcPr>
          <w:p w14:paraId="3BA9E8AC">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806" w:type="pct"/>
            <w:vAlign w:val="center"/>
          </w:tcPr>
          <w:p w14:paraId="004FF404">
            <w:pPr>
              <w:widowControl w:val="0"/>
              <w:kinsoku w:val="0"/>
              <w:overflowPunct w:val="0"/>
              <w:jc w:val="right"/>
              <w:rPr>
                <w:rFonts w:ascii="Arial Narrow" w:hAnsi="Arial Narrow"/>
              </w:rPr>
            </w:pPr>
          </w:p>
        </w:tc>
        <w:tc>
          <w:tcPr>
            <w:tcW w:w="797" w:type="pct"/>
            <w:vAlign w:val="center"/>
          </w:tcPr>
          <w:p w14:paraId="1650F5A7">
            <w:pPr>
              <w:widowControl w:val="0"/>
              <w:kinsoku w:val="0"/>
              <w:overflowPunct w:val="0"/>
              <w:jc w:val="right"/>
              <w:rPr>
                <w:rFonts w:ascii="Arial Narrow" w:hAnsi="Arial Narrow"/>
              </w:rPr>
            </w:pPr>
          </w:p>
        </w:tc>
        <w:tc>
          <w:tcPr>
            <w:tcW w:w="797" w:type="pct"/>
            <w:vAlign w:val="center"/>
          </w:tcPr>
          <w:p w14:paraId="3AECC3FD">
            <w:pPr>
              <w:widowControl w:val="0"/>
              <w:kinsoku w:val="0"/>
              <w:overflowPunct w:val="0"/>
              <w:jc w:val="right"/>
              <w:rPr>
                <w:rFonts w:ascii="Arial Narrow" w:hAnsi="Arial Narrow"/>
              </w:rPr>
            </w:pPr>
          </w:p>
        </w:tc>
        <w:tc>
          <w:tcPr>
            <w:tcW w:w="797" w:type="pct"/>
            <w:vAlign w:val="center"/>
          </w:tcPr>
          <w:p w14:paraId="28278B39">
            <w:pPr>
              <w:widowControl w:val="0"/>
              <w:kinsoku w:val="0"/>
              <w:overflowPunct w:val="0"/>
              <w:jc w:val="right"/>
              <w:rPr>
                <w:rFonts w:ascii="Arial Narrow" w:hAnsi="Arial Narrow"/>
              </w:rPr>
            </w:pPr>
          </w:p>
        </w:tc>
        <w:tc>
          <w:tcPr>
            <w:tcW w:w="891" w:type="pct"/>
            <w:vAlign w:val="center"/>
          </w:tcPr>
          <w:p w14:paraId="1014CC3F">
            <w:pPr>
              <w:widowControl w:val="0"/>
              <w:kinsoku w:val="0"/>
              <w:overflowPunct w:val="0"/>
              <w:jc w:val="right"/>
              <w:rPr>
                <w:rFonts w:ascii="Arial Narrow" w:hAnsi="Arial Narrow"/>
              </w:rPr>
            </w:pPr>
          </w:p>
        </w:tc>
      </w:tr>
      <w:tr w14:paraId="289D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Align w:val="center"/>
          </w:tcPr>
          <w:p w14:paraId="6C22EDCC">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806" w:type="pct"/>
            <w:vAlign w:val="center"/>
          </w:tcPr>
          <w:p w14:paraId="13099E47">
            <w:pPr>
              <w:widowControl w:val="0"/>
              <w:kinsoku w:val="0"/>
              <w:overflowPunct w:val="0"/>
              <w:jc w:val="right"/>
              <w:rPr>
                <w:rFonts w:ascii="Arial Narrow" w:hAnsi="Arial Narrow"/>
              </w:rPr>
            </w:pPr>
          </w:p>
        </w:tc>
        <w:tc>
          <w:tcPr>
            <w:tcW w:w="797" w:type="pct"/>
            <w:vAlign w:val="center"/>
          </w:tcPr>
          <w:p w14:paraId="7309C44F">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0.02 </w:t>
            </w:r>
          </w:p>
        </w:tc>
        <w:tc>
          <w:tcPr>
            <w:tcW w:w="797" w:type="pct"/>
            <w:vAlign w:val="center"/>
          </w:tcPr>
          <w:p w14:paraId="58BD0595">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4.97 </w:t>
            </w:r>
          </w:p>
        </w:tc>
        <w:tc>
          <w:tcPr>
            <w:tcW w:w="797" w:type="pct"/>
            <w:vAlign w:val="center"/>
          </w:tcPr>
          <w:p w14:paraId="668BFAC5">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4.99 </w:t>
            </w:r>
          </w:p>
        </w:tc>
        <w:tc>
          <w:tcPr>
            <w:tcW w:w="891" w:type="pct"/>
            <w:vAlign w:val="center"/>
          </w:tcPr>
          <w:p w14:paraId="2320490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40.14 </w:t>
            </w:r>
          </w:p>
        </w:tc>
      </w:tr>
      <w:tr w14:paraId="6E70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Align w:val="center"/>
          </w:tcPr>
          <w:p w14:paraId="43D16B17">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其他有息债务</w:t>
            </w:r>
          </w:p>
        </w:tc>
        <w:tc>
          <w:tcPr>
            <w:tcW w:w="806" w:type="pct"/>
            <w:vAlign w:val="center"/>
          </w:tcPr>
          <w:p w14:paraId="54062280">
            <w:pPr>
              <w:widowControl w:val="0"/>
              <w:kinsoku w:val="0"/>
              <w:overflowPunct w:val="0"/>
              <w:jc w:val="right"/>
              <w:rPr>
                <w:rFonts w:ascii="Arial Narrow" w:hAnsi="Arial Narrow"/>
              </w:rPr>
            </w:pPr>
          </w:p>
        </w:tc>
        <w:tc>
          <w:tcPr>
            <w:tcW w:w="797" w:type="pct"/>
            <w:vAlign w:val="center"/>
          </w:tcPr>
          <w:p w14:paraId="0A667DD7">
            <w:pPr>
              <w:widowControl w:val="0"/>
              <w:kinsoku w:val="0"/>
              <w:overflowPunct w:val="0"/>
              <w:jc w:val="right"/>
              <w:rPr>
                <w:rFonts w:ascii="Arial Narrow" w:hAnsi="Arial Narrow"/>
              </w:rPr>
            </w:pPr>
            <w:r>
              <w:rPr>
                <w:rFonts w:ascii="Arial Narrow" w:hAnsi="Arial Narrow" w:eastAsia="等线"/>
                <w:color w:val="000000"/>
                <w:szCs w:val="21"/>
              </w:rPr>
              <w:t xml:space="preserve"> 2.15 </w:t>
            </w:r>
          </w:p>
        </w:tc>
        <w:tc>
          <w:tcPr>
            <w:tcW w:w="797" w:type="pct"/>
            <w:vAlign w:val="center"/>
          </w:tcPr>
          <w:p w14:paraId="18F665D1">
            <w:pPr>
              <w:widowControl w:val="0"/>
              <w:kinsoku w:val="0"/>
              <w:overflowPunct w:val="0"/>
              <w:jc w:val="right"/>
              <w:rPr>
                <w:rFonts w:ascii="Arial Narrow" w:hAnsi="Arial Narrow"/>
              </w:rPr>
            </w:pPr>
          </w:p>
        </w:tc>
        <w:tc>
          <w:tcPr>
            <w:tcW w:w="797" w:type="pct"/>
            <w:vAlign w:val="center"/>
          </w:tcPr>
          <w:p w14:paraId="3FACCC0E">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2.15 </w:t>
            </w:r>
          </w:p>
        </w:tc>
        <w:tc>
          <w:tcPr>
            <w:tcW w:w="891" w:type="pct"/>
            <w:vAlign w:val="center"/>
          </w:tcPr>
          <w:p w14:paraId="631D19B6">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17.30 </w:t>
            </w:r>
          </w:p>
        </w:tc>
      </w:tr>
      <w:tr w14:paraId="2B6A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pct"/>
            <w:vAlign w:val="center"/>
          </w:tcPr>
          <w:p w14:paraId="6718CE36">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06" w:type="pct"/>
            <w:vAlign w:val="center"/>
          </w:tcPr>
          <w:p w14:paraId="3DABCB81">
            <w:pPr>
              <w:widowControl w:val="0"/>
              <w:kinsoku w:val="0"/>
              <w:overflowPunct w:val="0"/>
              <w:jc w:val="right"/>
              <w:rPr>
                <w:rFonts w:ascii="Arial Narrow" w:hAnsi="Arial Narrow"/>
              </w:rPr>
            </w:pPr>
          </w:p>
        </w:tc>
        <w:tc>
          <w:tcPr>
            <w:tcW w:w="797" w:type="pct"/>
            <w:vAlign w:val="center"/>
          </w:tcPr>
          <w:p w14:paraId="02AADE32">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2.37 </w:t>
            </w:r>
          </w:p>
        </w:tc>
        <w:tc>
          <w:tcPr>
            <w:tcW w:w="797" w:type="pct"/>
            <w:vAlign w:val="center"/>
          </w:tcPr>
          <w:p w14:paraId="701ADED5">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10.06 </w:t>
            </w:r>
          </w:p>
        </w:tc>
        <w:tc>
          <w:tcPr>
            <w:tcW w:w="797" w:type="pct"/>
            <w:vAlign w:val="center"/>
          </w:tcPr>
          <w:p w14:paraId="51E373D6">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12.43 </w:t>
            </w:r>
          </w:p>
        </w:tc>
        <w:tc>
          <w:tcPr>
            <w:tcW w:w="891" w:type="pct"/>
            <w:vAlign w:val="center"/>
          </w:tcPr>
          <w:p w14:paraId="1DDFBD39">
            <w:pPr>
              <w:widowControl w:val="0"/>
              <w:kinsoku w:val="0"/>
              <w:overflowPunct w:val="0"/>
              <w:jc w:val="center"/>
              <w:rPr>
                <w:rFonts w:ascii="Arial Narrow" w:hAnsi="Arial Narrow"/>
                <w:color w:val="000000" w:themeColor="text1"/>
                <w14:textFill>
                  <w14:solidFill>
                    <w14:schemeClr w14:val="tx1"/>
                  </w14:solidFill>
                </w14:textFill>
              </w:rPr>
            </w:pPr>
            <w:r>
              <w:rPr>
                <w:rFonts w:ascii="Arial Narrow" w:hAnsi="Arial Narrow" w:eastAsia="等线" w:cs="Times New Roman"/>
                <w:color w:val="000000"/>
                <w:szCs w:val="21"/>
              </w:rPr>
              <w:t xml:space="preserve"> — </w:t>
            </w:r>
          </w:p>
        </w:tc>
      </w:tr>
    </w:tbl>
    <w:p w14:paraId="42898156">
      <w:pPr>
        <w:rPr>
          <w:rFonts w:hint="eastAsia"/>
        </w:rPr>
      </w:pPr>
    </w:p>
    <w:p w14:paraId="30339D4E">
      <w:pPr>
        <w:ind w:firstLine="525" w:firstLineChars="25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报告期末公司存续的公司信用类债券中，公司债券余额</w:t>
      </w:r>
      <w:sdt>
        <w:sdtPr>
          <w:rPr>
            <w:rFonts w:hint="eastAsia"/>
            <w:color w:val="000000" w:themeColor="text1"/>
            <w14:textFill>
              <w14:solidFill>
                <w14:schemeClr w14:val="tx1"/>
              </w14:solidFill>
            </w14:textFill>
          </w:rPr>
          <w:alias w:val="公司信用类债券中公司债券余额"/>
          <w:tag w:val="_GBC_30aaf097b2c84c6c8c67598fb3ad4cd0"/>
          <w:id w:val="-157458222"/>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0.2</w:t>
          </w:r>
        </w:sdtContent>
      </w:sdt>
      <w:sdt>
        <w:sdtPr>
          <w:rPr>
            <w:rFonts w:hint="eastAsia"/>
            <w:color w:val="000000" w:themeColor="text1"/>
            <w14:textFill>
              <w14:solidFill>
                <w14:schemeClr w14:val="tx1"/>
              </w14:solidFill>
            </w14:textFill>
          </w:rPr>
          <w:alias w:val="单位：母公司有息债务"/>
          <w:tag w:val="_GBC_baf6bfa512d14e2bb51313919b1a242c"/>
          <w:id w:val="-1059168711"/>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，企业债券余额</w:t>
      </w:r>
      <w:sdt>
        <w:sdtPr>
          <w:rPr>
            <w:rFonts w:hint="eastAsia"/>
            <w:color w:val="000000" w:themeColor="text1"/>
            <w14:textFill>
              <w14:solidFill>
                <w14:schemeClr w14:val="tx1"/>
              </w14:solidFill>
            </w14:textFill>
          </w:rPr>
          <w:alias w:val="公司信用类债券中企业债券余额"/>
          <w:tag w:val="_GBC_112c3628e0054d57a51f59010f48e5be"/>
          <w:id w:val="425770687"/>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母公司有息债务"/>
          <w:tag w:val="_GBC_0b2c229d934f4625ad5d4a262c18cb12"/>
          <w:id w:val="6487399"/>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，非金融企业债务融资工具余额</w:t>
      </w:r>
      <w:sdt>
        <w:sdtPr>
          <w:rPr>
            <w:rFonts w:hint="eastAsia"/>
            <w:color w:val="000000" w:themeColor="text1"/>
            <w14:textFill>
              <w14:solidFill>
                <w14:schemeClr w14:val="tx1"/>
              </w14:solidFill>
            </w14:textFill>
          </w:rPr>
          <w:alias w:val="公司信用类债券中非金融企业债务融资工具余额"/>
          <w:tag w:val="_GBC_753d930f78b64266a7a68cbd2cc7075f"/>
          <w:id w:val="-1174335179"/>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5.09</w:t>
          </w:r>
        </w:sdtContent>
      </w:sdt>
      <w:sdt>
        <w:sdtPr>
          <w:rPr>
            <w:rFonts w:hint="eastAsia"/>
            <w:color w:val="000000" w:themeColor="text1"/>
            <w14:textFill>
              <w14:solidFill>
                <w14:schemeClr w14:val="tx1"/>
              </w14:solidFill>
            </w14:textFill>
          </w:rPr>
          <w:alias w:val="单位：母公司有息债务"/>
          <w:tag w:val="_GBC_ce6b06d4d18f4d0eafb8716703b754ad"/>
          <w:id w:val="1734344422"/>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，且共有</w:t>
      </w:r>
      <w:sdt>
        <w:sdtPr>
          <w:rPr>
            <w:rFonts w:hint="eastAsia"/>
            <w:color w:val="000000" w:themeColor="text1"/>
            <w14:textFill>
              <w14:solidFill>
                <w14:schemeClr w14:val="tx1"/>
              </w14:solidFill>
            </w14:textFill>
          </w:rPr>
          <w:alias w:val="面临到期或偿付的公司信用类债券余额"/>
          <w:tag w:val="_GBC_271a3a3f1e084d94bc2192556318077a"/>
          <w:id w:val="65072299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0.2</w:t>
          </w:r>
        </w:sdtContent>
      </w:sdt>
      <w:sdt>
        <w:sdtPr>
          <w:rPr>
            <w:rFonts w:hint="eastAsia"/>
            <w:color w:val="000000" w:themeColor="text1"/>
            <w14:textFill>
              <w14:solidFill>
                <w14:schemeClr w14:val="tx1"/>
              </w14:solidFill>
            </w14:textFill>
          </w:rPr>
          <w:alias w:val="单位：母公司有息债务"/>
          <w:tag w:val="_GBC_6e710aa214744c4da13552f81bcdccc4"/>
          <w:id w:val="476729789"/>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公司信用类债券在2025年5至12月内到期或回售偿付。</w:t>
      </w:r>
    </w:p>
    <w:p w14:paraId="472683BD">
      <w:pPr>
        <w:rPr>
          <w:rFonts w:hint="eastAsia"/>
          <w:color w:val="000000" w:themeColor="text1"/>
          <w14:textFill>
            <w14:solidFill>
              <w14:schemeClr w14:val="tx1"/>
            </w14:solidFill>
          </w14:textFill>
        </w:rPr>
      </w:pPr>
    </w:p>
    <w:bookmarkEnd w:id="192"/>
    <w:bookmarkEnd w:id="193"/>
    <w:p w14:paraId="2B98D1AA">
      <w:pPr>
        <w:pStyle w:val="7"/>
        <w:numPr>
          <w:ilvl w:val="0"/>
          <w:numId w:val="85"/>
        </w:numPr>
        <w:tabs>
          <w:tab w:val="left" w:pos="360"/>
        </w:tabs>
      </w:pPr>
      <w:bookmarkStart w:id="194" w:name="_Hlk183685350"/>
      <w:r>
        <w:rPr>
          <w:rFonts w:hint="eastAsia"/>
        </w:rPr>
        <w:t>公司合并口径有息债务结构情况</w:t>
      </w:r>
    </w:p>
    <w:p w14:paraId="20B01EBB">
      <w:pPr>
        <w:pStyle w:val="44"/>
        <w:rPr>
          <w:color w:val="000000" w:themeColor="text1"/>
          <w14:textFill>
            <w14:solidFill>
              <w14:schemeClr w14:val="tx1"/>
            </w14:solidFill>
          </w14:textFill>
        </w:rPr>
      </w:pPr>
      <w:r>
        <w:rPr>
          <w:rFonts w:hint="eastAsia"/>
          <w:color w:val="000000" w:themeColor="text1"/>
          <w14:textFill>
            <w14:solidFill>
              <w14:schemeClr w14:val="tx1"/>
            </w14:solidFill>
          </w14:textFill>
        </w:rPr>
        <w:t>报告期初和报告期末，公司合并报表范围内公司有息债务余额分别为</w:t>
      </w:r>
      <w:sdt>
        <w:sdtPr>
          <w:rPr>
            <w:rFonts w:hint="eastAsia"/>
            <w:color w:val="000000" w:themeColor="text1"/>
            <w14:textFill>
              <w14:solidFill>
                <w14:schemeClr w14:val="tx1"/>
              </w14:solidFill>
            </w14:textFill>
          </w:rPr>
          <w:alias w:val="有息债务"/>
          <w:tag w:val="_GBC_5a9ae94936aa45faaf15d5acb3183334"/>
          <w:id w:val="60288827"/>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22.14</w:t>
          </w:r>
        </w:sdtContent>
      </w:sdt>
      <w:sdt>
        <w:sdtPr>
          <w:rPr>
            <w:rFonts w:hint="eastAsia"/>
            <w:color w:val="000000" w:themeColor="text1"/>
            <w14:textFill>
              <w14:solidFill>
                <w14:schemeClr w14:val="tx1"/>
              </w14:solidFill>
            </w14:textFill>
          </w:rPr>
          <w:alias w:val="单位：有息债务"/>
          <w:tag w:val="_GBC_6e37e755faeb4c7e99551aaaeb119b19"/>
          <w:id w:val="691646614"/>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和</w:t>
      </w:r>
      <w:sdt>
        <w:sdtPr>
          <w:rPr>
            <w:rFonts w:hint="eastAsia"/>
            <w:color w:val="000000" w:themeColor="text1"/>
            <w14:textFill>
              <w14:solidFill>
                <w14:schemeClr w14:val="tx1"/>
              </w14:solidFill>
            </w14:textFill>
          </w:rPr>
          <w:alias w:val="有息债务"/>
          <w:tag w:val="_GBC_75dcd07611e44c0b9b6e04429e4c1d7b"/>
          <w:id w:val="-1053461551"/>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17.69</w:t>
          </w:r>
        </w:sdtContent>
      </w:sdt>
      <w:sdt>
        <w:sdtPr>
          <w:rPr>
            <w:rFonts w:hint="eastAsia"/>
            <w:color w:val="000000" w:themeColor="text1"/>
            <w14:textFill>
              <w14:solidFill>
                <w14:schemeClr w14:val="tx1"/>
              </w14:solidFill>
            </w14:textFill>
          </w:rPr>
          <w:alias w:val="单位：有息债务"/>
          <w:tag w:val="_GBC_3e6aba6fad714c01a12ca6f1355aceee"/>
          <w:id w:val="1651240074"/>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，报告期内有息债务余额同比变动</w:t>
      </w:r>
      <w:sdt>
        <w:sdtPr>
          <w:rPr>
            <w:rFonts w:hint="eastAsia"/>
            <w:color w:val="000000" w:themeColor="text1"/>
            <w14:textFill>
              <w14:solidFill>
                <w14:schemeClr w14:val="tx1"/>
              </w14:solidFill>
            </w14:textFill>
          </w:rPr>
          <w:alias w:val="有息债务变动比例"/>
          <w:tag w:val="_GBC_7b378939367e4e0b9461e0618b4b2fac"/>
          <w:id w:val="-477535639"/>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-20.10</w:t>
          </w:r>
        </w:sdtContent>
      </w:sdt>
      <w:r>
        <w:rPr>
          <w:rFonts w:hint="eastAsia"/>
          <w:color w:val="000000" w:themeColor="text1"/>
          <w14:textFill>
            <w14:solidFill>
              <w14:schemeClr w14:val="tx1"/>
            </w14:solidFill>
          </w14:textFill>
        </w:rPr>
        <w:t>%。</w:t>
      </w:r>
    </w:p>
    <w:p w14:paraId="1F97B9B6">
      <w:pPr>
        <w:kinsoku w:val="0"/>
        <w:overflowPunct w:val="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有息债务"/>
          <w:tag w:val="_GBC_509829f031af4c4eb77c6c332bca3702"/>
          <w:id w:val="-1457095241"/>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7ac820277b1e411abf54275b83d23f12"/>
          <w:id w:val="10891193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7"/>
        <w:gridCol w:w="2124"/>
        <w:gridCol w:w="2262"/>
        <w:gridCol w:w="2262"/>
        <w:gridCol w:w="2265"/>
        <w:gridCol w:w="2373"/>
      </w:tblGrid>
      <w:tr w14:paraId="3C5F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b1f23c11ac24c3ba287846c5960a719"/>
            <w:id w:val="-292836910"/>
          </w:sdtPr>
          <w:sdtContent>
            <w:tc>
              <w:tcPr>
                <w:tcW w:w="929" w:type="pct"/>
                <w:vMerge w:val="restart"/>
                <w:vAlign w:val="center"/>
              </w:tcPr>
              <w:p w14:paraId="1ABC436D">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b0458a01190f49f7bcc64b25400890ce"/>
            <w:id w:val="1269433004"/>
          </w:sdtPr>
          <w:sdtContent>
            <w:tc>
              <w:tcPr>
                <w:tcW w:w="2398" w:type="pct"/>
                <w:gridSpan w:val="3"/>
                <w:vAlign w:val="center"/>
              </w:tcPr>
              <w:p w14:paraId="43736AF0">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c2d83ef134c34ca794daccb983926e15"/>
            <w:id w:val="-816105765"/>
          </w:sdtPr>
          <w:sdtContent>
            <w:tc>
              <w:tcPr>
                <w:tcW w:w="817" w:type="pct"/>
                <w:vMerge w:val="restart"/>
                <w:vAlign w:val="center"/>
              </w:tcPr>
              <w:p w14:paraId="3DDA57D3">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856" w:type="pct"/>
            <w:vMerge w:val="restart"/>
            <w:vAlign w:val="center"/>
          </w:tcPr>
          <w:sdt>
            <w:sdtPr>
              <w:tag w:val="_PLD_8ac7184ad5024f56a7d7ca906acab3c8"/>
              <w:id w:val="-1342850916"/>
            </w:sdtPr>
            <w:sdtContent>
              <w:p w14:paraId="7C67FCEF">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sdtContent>
          </w:sdt>
        </w:tc>
      </w:tr>
      <w:tr w14:paraId="5A99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Merge w:val="continue"/>
            <w:vAlign w:val="center"/>
          </w:tcPr>
          <w:p w14:paraId="32275FCA">
            <w:pPr>
              <w:widowControl w:val="0"/>
              <w:kinsoku w:val="0"/>
              <w:overflowPunct w:val="0"/>
              <w:jc w:val="center"/>
              <w:rPr>
                <w:rFonts w:hint="eastAsia"/>
                <w:color w:val="000000" w:themeColor="text1"/>
                <w14:textFill>
                  <w14:solidFill>
                    <w14:schemeClr w14:val="tx1"/>
                  </w14:solidFill>
                </w14:textFill>
              </w:rPr>
            </w:pPr>
          </w:p>
        </w:tc>
        <w:sdt>
          <w:sdtPr>
            <w:tag w:val="_PLD_1a50137a549843f78de2da92483ad009"/>
            <w:id w:val="-1336144795"/>
          </w:sdtPr>
          <w:sdtContent>
            <w:tc>
              <w:tcPr>
                <w:tcW w:w="766" w:type="pct"/>
                <w:vAlign w:val="center"/>
              </w:tcPr>
              <w:p w14:paraId="2B929FE7">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tc>
          <w:tcPr>
            <w:tcW w:w="816" w:type="pct"/>
            <w:vAlign w:val="center"/>
          </w:tcPr>
          <w:sdt>
            <w:sdtPr>
              <w:tag w:val="_PLD_2f50b0b5139048039a1156311193e89f"/>
              <w:id w:val="-801383117"/>
            </w:sdtPr>
            <w:sdtContent>
              <w:p w14:paraId="330D1A64">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1年以内（含）</w:t>
                </w:r>
              </w:p>
            </w:sdtContent>
          </w:sdt>
        </w:tc>
        <w:sdt>
          <w:sdtPr>
            <w:tag w:val="_PLD_c4f7e6cef68e4e6287c88446b8f36439"/>
            <w:id w:val="1704825838"/>
          </w:sdtPr>
          <w:sdtContent>
            <w:tc>
              <w:tcPr>
                <w:tcW w:w="816" w:type="pct"/>
                <w:vAlign w:val="center"/>
              </w:tcPr>
              <w:p w14:paraId="18BA2E05">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超过1年（不含）</w:t>
                </w:r>
              </w:p>
            </w:tc>
          </w:sdtContent>
        </w:sdt>
        <w:tc>
          <w:tcPr>
            <w:tcW w:w="817" w:type="pct"/>
            <w:vMerge w:val="continue"/>
            <w:vAlign w:val="center"/>
          </w:tcPr>
          <w:p w14:paraId="3984386E">
            <w:pPr>
              <w:widowControl w:val="0"/>
              <w:kinsoku w:val="0"/>
              <w:overflowPunct w:val="0"/>
              <w:jc w:val="center"/>
              <w:rPr>
                <w:rFonts w:hint="eastAsia"/>
                <w:color w:val="000000" w:themeColor="text1"/>
                <w14:textFill>
                  <w14:solidFill>
                    <w14:schemeClr w14:val="tx1"/>
                  </w14:solidFill>
                </w14:textFill>
              </w:rPr>
            </w:pPr>
          </w:p>
        </w:tc>
        <w:tc>
          <w:tcPr>
            <w:tcW w:w="856" w:type="pct"/>
            <w:vMerge w:val="continue"/>
            <w:vAlign w:val="center"/>
          </w:tcPr>
          <w:p w14:paraId="207599CC">
            <w:pPr>
              <w:widowControl w:val="0"/>
              <w:kinsoku w:val="0"/>
              <w:overflowPunct w:val="0"/>
              <w:jc w:val="center"/>
              <w:rPr>
                <w:rFonts w:hint="eastAsia"/>
                <w:color w:val="000000" w:themeColor="text1"/>
                <w14:textFill>
                  <w14:solidFill>
                    <w14:schemeClr w14:val="tx1"/>
                  </w14:solidFill>
                </w14:textFill>
              </w:rPr>
            </w:pPr>
          </w:p>
        </w:tc>
      </w:tr>
      <w:tr w14:paraId="7913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Align w:val="center"/>
          </w:tcPr>
          <w:p w14:paraId="5D0CEB06">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766" w:type="pct"/>
            <w:vAlign w:val="center"/>
          </w:tcPr>
          <w:p w14:paraId="53A12277">
            <w:pPr>
              <w:widowControl w:val="0"/>
              <w:kinsoku w:val="0"/>
              <w:overflowPunct w:val="0"/>
              <w:jc w:val="right"/>
              <w:rPr>
                <w:rFonts w:ascii="Arial Narrow" w:hAnsi="Arial Narrow"/>
              </w:rPr>
            </w:pPr>
          </w:p>
        </w:tc>
        <w:tc>
          <w:tcPr>
            <w:tcW w:w="816" w:type="pct"/>
            <w:vAlign w:val="center"/>
          </w:tcPr>
          <w:p w14:paraId="67B40E8A">
            <w:pPr>
              <w:widowControl w:val="0"/>
              <w:kinsoku w:val="0"/>
              <w:overflowPunct w:val="0"/>
              <w:jc w:val="right"/>
              <w:rPr>
                <w:rFonts w:ascii="Arial Narrow" w:hAnsi="Arial Narrow"/>
              </w:rPr>
            </w:pPr>
            <w:r>
              <w:rPr>
                <w:rFonts w:ascii="Arial Narrow" w:hAnsi="Arial Narrow" w:eastAsia="等线" w:cs="Times New Roman"/>
                <w:color w:val="000000"/>
                <w:szCs w:val="21"/>
              </w:rPr>
              <w:t>0.2</w:t>
            </w:r>
          </w:p>
        </w:tc>
        <w:tc>
          <w:tcPr>
            <w:tcW w:w="816" w:type="pct"/>
            <w:vAlign w:val="center"/>
          </w:tcPr>
          <w:p w14:paraId="019E9FC6">
            <w:pPr>
              <w:widowControl w:val="0"/>
              <w:kinsoku w:val="0"/>
              <w:overflowPunct w:val="0"/>
              <w:jc w:val="right"/>
              <w:rPr>
                <w:rFonts w:ascii="Arial Narrow" w:hAnsi="Arial Narrow"/>
              </w:rPr>
            </w:pPr>
            <w:r>
              <w:rPr>
                <w:rFonts w:ascii="Arial Narrow" w:hAnsi="Arial Narrow" w:eastAsia="等线" w:cs="Times New Roman"/>
                <w:color w:val="000000"/>
                <w:szCs w:val="21"/>
              </w:rPr>
              <w:t>5.09</w:t>
            </w:r>
          </w:p>
        </w:tc>
        <w:tc>
          <w:tcPr>
            <w:tcW w:w="817" w:type="pct"/>
            <w:vAlign w:val="center"/>
          </w:tcPr>
          <w:p w14:paraId="3D642807">
            <w:pPr>
              <w:widowControl w:val="0"/>
              <w:kinsoku w:val="0"/>
              <w:overflowPunct w:val="0"/>
              <w:jc w:val="right"/>
              <w:rPr>
                <w:rFonts w:ascii="Arial Narrow" w:hAnsi="Arial Narrow"/>
              </w:rPr>
            </w:pPr>
            <w:r>
              <w:rPr>
                <w:rFonts w:ascii="Arial Narrow" w:hAnsi="Arial Narrow" w:eastAsia="等线" w:cs="Times New Roman"/>
                <w:color w:val="000000"/>
                <w:szCs w:val="21"/>
              </w:rPr>
              <w:t>5.29</w:t>
            </w:r>
          </w:p>
        </w:tc>
        <w:tc>
          <w:tcPr>
            <w:tcW w:w="856" w:type="pct"/>
            <w:vAlign w:val="center"/>
          </w:tcPr>
          <w:p w14:paraId="466057C1">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29.90 </w:t>
            </w:r>
          </w:p>
        </w:tc>
      </w:tr>
      <w:tr w14:paraId="714C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Align w:val="center"/>
          </w:tcPr>
          <w:p w14:paraId="78CE730D">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766" w:type="pct"/>
            <w:vAlign w:val="center"/>
          </w:tcPr>
          <w:p w14:paraId="23209F8D">
            <w:pPr>
              <w:widowControl w:val="0"/>
              <w:kinsoku w:val="0"/>
              <w:overflowPunct w:val="0"/>
              <w:jc w:val="right"/>
              <w:rPr>
                <w:rFonts w:ascii="Arial Narrow" w:hAnsi="Arial Narrow"/>
              </w:rPr>
            </w:pPr>
          </w:p>
        </w:tc>
        <w:tc>
          <w:tcPr>
            <w:tcW w:w="816" w:type="pct"/>
            <w:vAlign w:val="center"/>
          </w:tcPr>
          <w:p w14:paraId="3595B85E">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3.41 </w:t>
            </w:r>
          </w:p>
        </w:tc>
        <w:tc>
          <w:tcPr>
            <w:tcW w:w="816" w:type="pct"/>
            <w:vAlign w:val="center"/>
          </w:tcPr>
          <w:p w14:paraId="4BCEC750">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w:t>
            </w:r>
          </w:p>
        </w:tc>
        <w:tc>
          <w:tcPr>
            <w:tcW w:w="817" w:type="pct"/>
            <w:vAlign w:val="center"/>
          </w:tcPr>
          <w:p w14:paraId="56C127BF">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3.41 </w:t>
            </w:r>
          </w:p>
        </w:tc>
        <w:tc>
          <w:tcPr>
            <w:tcW w:w="856" w:type="pct"/>
            <w:vAlign w:val="center"/>
          </w:tcPr>
          <w:p w14:paraId="4B1EA281">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19.28 </w:t>
            </w:r>
          </w:p>
        </w:tc>
      </w:tr>
      <w:tr w14:paraId="057E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Align w:val="center"/>
          </w:tcPr>
          <w:p w14:paraId="3114CCEE">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766" w:type="pct"/>
            <w:vAlign w:val="center"/>
          </w:tcPr>
          <w:p w14:paraId="06068C39">
            <w:pPr>
              <w:widowControl w:val="0"/>
              <w:kinsoku w:val="0"/>
              <w:overflowPunct w:val="0"/>
              <w:jc w:val="right"/>
              <w:rPr>
                <w:rFonts w:ascii="Arial Narrow" w:hAnsi="Arial Narrow"/>
              </w:rPr>
            </w:pPr>
          </w:p>
        </w:tc>
        <w:tc>
          <w:tcPr>
            <w:tcW w:w="816" w:type="pct"/>
            <w:vAlign w:val="center"/>
          </w:tcPr>
          <w:p w14:paraId="443E1E4E">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1.32 </w:t>
            </w:r>
          </w:p>
        </w:tc>
        <w:tc>
          <w:tcPr>
            <w:tcW w:w="816" w:type="pct"/>
            <w:vAlign w:val="center"/>
          </w:tcPr>
          <w:p w14:paraId="1E1D67A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4.97 </w:t>
            </w:r>
          </w:p>
        </w:tc>
        <w:tc>
          <w:tcPr>
            <w:tcW w:w="817" w:type="pct"/>
            <w:vAlign w:val="center"/>
          </w:tcPr>
          <w:p w14:paraId="691D8EC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6.29 </w:t>
            </w:r>
          </w:p>
        </w:tc>
        <w:tc>
          <w:tcPr>
            <w:tcW w:w="856" w:type="pct"/>
            <w:vAlign w:val="center"/>
          </w:tcPr>
          <w:p w14:paraId="2DFAB1AC">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35.56 </w:t>
            </w:r>
          </w:p>
        </w:tc>
      </w:tr>
      <w:tr w14:paraId="790B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Align w:val="center"/>
          </w:tcPr>
          <w:p w14:paraId="6EFF165E">
            <w:pPr>
              <w:widowControl w:val="0"/>
              <w:kinsoku w:val="0"/>
              <w:overflowPunct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其他有息债务</w:t>
            </w:r>
          </w:p>
        </w:tc>
        <w:tc>
          <w:tcPr>
            <w:tcW w:w="766" w:type="pct"/>
            <w:vAlign w:val="center"/>
          </w:tcPr>
          <w:p w14:paraId="4B0A0F55">
            <w:pPr>
              <w:widowControl w:val="0"/>
              <w:kinsoku w:val="0"/>
              <w:overflowPunct w:val="0"/>
              <w:jc w:val="right"/>
              <w:rPr>
                <w:rFonts w:ascii="Arial Narrow" w:hAnsi="Arial Narrow"/>
              </w:rPr>
            </w:pPr>
          </w:p>
        </w:tc>
        <w:tc>
          <w:tcPr>
            <w:tcW w:w="816" w:type="pct"/>
            <w:vAlign w:val="center"/>
          </w:tcPr>
          <w:p w14:paraId="5BFAFB08">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2.70 </w:t>
            </w:r>
          </w:p>
        </w:tc>
        <w:tc>
          <w:tcPr>
            <w:tcW w:w="816" w:type="pct"/>
            <w:vAlign w:val="center"/>
          </w:tcPr>
          <w:p w14:paraId="467D42DD">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w:t>
            </w:r>
          </w:p>
        </w:tc>
        <w:tc>
          <w:tcPr>
            <w:tcW w:w="817" w:type="pct"/>
            <w:vAlign w:val="center"/>
          </w:tcPr>
          <w:p w14:paraId="4E7AF3C6">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2.70 </w:t>
            </w:r>
          </w:p>
        </w:tc>
        <w:tc>
          <w:tcPr>
            <w:tcW w:w="856" w:type="pct"/>
            <w:vAlign w:val="center"/>
          </w:tcPr>
          <w:p w14:paraId="5DE6C473">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15.26 </w:t>
            </w:r>
          </w:p>
        </w:tc>
      </w:tr>
      <w:tr w14:paraId="44F9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vAlign w:val="center"/>
          </w:tcPr>
          <w:p w14:paraId="44ABDAB0">
            <w:pPr>
              <w:widowControl w:val="0"/>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66" w:type="pct"/>
            <w:vAlign w:val="center"/>
          </w:tcPr>
          <w:p w14:paraId="0FF15D18">
            <w:pPr>
              <w:widowControl w:val="0"/>
              <w:kinsoku w:val="0"/>
              <w:overflowPunct w:val="0"/>
              <w:jc w:val="right"/>
              <w:rPr>
                <w:rFonts w:ascii="Arial Narrow" w:hAnsi="Arial Narrow"/>
              </w:rPr>
            </w:pPr>
          </w:p>
        </w:tc>
        <w:tc>
          <w:tcPr>
            <w:tcW w:w="816" w:type="pct"/>
            <w:vAlign w:val="center"/>
          </w:tcPr>
          <w:p w14:paraId="398D1C50">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7.63 </w:t>
            </w:r>
          </w:p>
        </w:tc>
        <w:tc>
          <w:tcPr>
            <w:tcW w:w="816" w:type="pct"/>
            <w:vAlign w:val="center"/>
          </w:tcPr>
          <w:p w14:paraId="7584048C">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10.06 </w:t>
            </w:r>
          </w:p>
        </w:tc>
        <w:tc>
          <w:tcPr>
            <w:tcW w:w="817" w:type="pct"/>
            <w:vAlign w:val="center"/>
          </w:tcPr>
          <w:p w14:paraId="64AF66BE">
            <w:pPr>
              <w:widowControl w:val="0"/>
              <w:kinsoku w:val="0"/>
              <w:overflowPunct w:val="0"/>
              <w:jc w:val="right"/>
              <w:rPr>
                <w:rFonts w:ascii="Arial Narrow" w:hAnsi="Arial Narrow"/>
              </w:rPr>
            </w:pPr>
            <w:r>
              <w:rPr>
                <w:rFonts w:ascii="Arial Narrow" w:hAnsi="Arial Narrow" w:eastAsia="等线" w:cs="Times New Roman"/>
                <w:color w:val="000000"/>
                <w:szCs w:val="21"/>
              </w:rPr>
              <w:t xml:space="preserve"> 17.69 </w:t>
            </w:r>
          </w:p>
        </w:tc>
        <w:tc>
          <w:tcPr>
            <w:tcW w:w="856" w:type="pct"/>
            <w:vAlign w:val="center"/>
          </w:tcPr>
          <w:p w14:paraId="380578D7">
            <w:pPr>
              <w:widowControl w:val="0"/>
              <w:kinsoku w:val="0"/>
              <w:overflowPunct w:val="0"/>
              <w:jc w:val="center"/>
              <w:rPr>
                <w:rFonts w:ascii="Arial Narrow" w:hAnsi="Arial Narrow"/>
                <w:color w:val="000000" w:themeColor="text1"/>
                <w14:textFill>
                  <w14:solidFill>
                    <w14:schemeClr w14:val="tx1"/>
                  </w14:solidFill>
                </w14:textFill>
              </w:rPr>
            </w:pPr>
            <w:r>
              <w:rPr>
                <w:rFonts w:ascii="Arial Narrow" w:hAnsi="Arial Narrow" w:eastAsia="等线" w:cs="Times New Roman"/>
                <w:color w:val="000000"/>
                <w:szCs w:val="21"/>
              </w:rPr>
              <w:t>—</w:t>
            </w:r>
          </w:p>
        </w:tc>
      </w:tr>
    </w:tbl>
    <w:p w14:paraId="738008CD">
      <w:pPr>
        <w:ind w:firstLine="525" w:firstLineChars="25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报告期末，公司合并口径存续的公司信用类债券中，公司债券余额</w:t>
      </w:r>
      <w:sdt>
        <w:sdtPr>
          <w:rPr>
            <w:rFonts w:hint="eastAsia"/>
            <w:color w:val="000000" w:themeColor="text1"/>
            <w14:textFill>
              <w14:solidFill>
                <w14:schemeClr w14:val="tx1"/>
              </w14:solidFill>
            </w14:textFill>
          </w:rPr>
          <w:alias w:val="公司信用类债券中公司债券余额"/>
          <w:tag w:val="_GBC_eb11fab5555640daafc9128455762cf0"/>
          <w:id w:val="2013800682"/>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0.2</w:t>
          </w:r>
        </w:sdtContent>
      </w:sdt>
      <w:sdt>
        <w:sdtPr>
          <w:rPr>
            <w:rFonts w:hint="eastAsia"/>
            <w:color w:val="000000" w:themeColor="text1"/>
            <w14:textFill>
              <w14:solidFill>
                <w14:schemeClr w14:val="tx1"/>
              </w14:solidFill>
            </w14:textFill>
          </w:rPr>
          <w:alias w:val="单位：有息债务"/>
          <w:tag w:val="_GBC_a3deb61d2a84444e973cdf6fed4aa266"/>
          <w:id w:val="-478922952"/>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，企业债券余额</w:t>
      </w:r>
      <w:sdt>
        <w:sdtPr>
          <w:rPr>
            <w:rFonts w:hint="eastAsia"/>
            <w:color w:val="000000" w:themeColor="text1"/>
            <w14:textFill>
              <w14:solidFill>
                <w14:schemeClr w14:val="tx1"/>
              </w14:solidFill>
            </w14:textFill>
          </w:rPr>
          <w:alias w:val="公司信用类债券中企业债券余额"/>
          <w:tag w:val="_GBC_58573a4a0d474e54b03ea8b97631ec16"/>
          <w:id w:val="-1019622695"/>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有息债务"/>
          <w:tag w:val="_GBC_669d6c44262a4bd1b65c387737a81590"/>
          <w:id w:val="1122732660"/>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，非金融企业债务融资工具余额</w:t>
      </w:r>
      <w:sdt>
        <w:sdtPr>
          <w:rPr>
            <w:rFonts w:hint="eastAsia"/>
            <w:color w:val="000000" w:themeColor="text1"/>
            <w14:textFill>
              <w14:solidFill>
                <w14:schemeClr w14:val="tx1"/>
              </w14:solidFill>
            </w14:textFill>
          </w:rPr>
          <w:alias w:val="公司信用类债券中非金融企业债务融资工具余额"/>
          <w:tag w:val="_GBC_eafcf1d33a824738aff2c38021be5b16"/>
          <w:id w:val="-801372919"/>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5.09</w:t>
          </w:r>
        </w:sdtContent>
      </w:sdt>
      <w:sdt>
        <w:sdtPr>
          <w:rPr>
            <w:rFonts w:hint="eastAsia"/>
            <w:color w:val="000000" w:themeColor="text1"/>
            <w14:textFill>
              <w14:solidFill>
                <w14:schemeClr w14:val="tx1"/>
              </w14:solidFill>
            </w14:textFill>
          </w:rPr>
          <w:alias w:val="单位：有息债务"/>
          <w:tag w:val="_GBC_29cf0ee4f7964c0996853553ecae48da"/>
          <w:id w:val="-2072190755"/>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，且共有</w:t>
      </w:r>
      <w:sdt>
        <w:sdtPr>
          <w:rPr>
            <w:rFonts w:hint="eastAsia"/>
            <w:color w:val="000000" w:themeColor="text1"/>
            <w14:textFill>
              <w14:solidFill>
                <w14:schemeClr w14:val="tx1"/>
              </w14:solidFill>
            </w14:textFill>
          </w:rPr>
          <w:alias w:val="面临到期或偿付的公司信用类债券余额"/>
          <w:tag w:val="_GBC_6f119a9a173a412ca63e6ba144f95156"/>
          <w:id w:val="-379165300"/>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0.2</w:t>
          </w:r>
        </w:sdtContent>
      </w:sdt>
      <w:sdt>
        <w:sdtPr>
          <w:rPr>
            <w:rFonts w:hint="eastAsia"/>
            <w:color w:val="000000" w:themeColor="text1"/>
            <w14:textFill>
              <w14:solidFill>
                <w14:schemeClr w14:val="tx1"/>
              </w14:solidFill>
            </w14:textFill>
          </w:rPr>
          <w:alias w:val="单位：有息债务"/>
          <w:tag w:val="_GBC_b6d968633edb4582850fed5e344a1d6d"/>
          <w:id w:val="173383298"/>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公司信用类债券在2025年5至12月内到期或回售偿付。</w:t>
      </w:r>
    </w:p>
    <w:p w14:paraId="11DE8435">
      <w:pPr>
        <w:rPr>
          <w:rFonts w:hint="eastAsia"/>
          <w:color w:val="000000" w:themeColor="text1"/>
          <w14:textFill>
            <w14:solidFill>
              <w14:schemeClr w14:val="tx1"/>
            </w14:solidFill>
          </w14:textFill>
        </w:rPr>
      </w:pPr>
    </w:p>
    <w:bookmarkEnd w:id="194"/>
    <w:p w14:paraId="20828FBE">
      <w:pPr>
        <w:pStyle w:val="7"/>
        <w:numPr>
          <w:ilvl w:val="0"/>
          <w:numId w:val="85"/>
        </w:numPr>
        <w:tabs>
          <w:tab w:val="left" w:pos="360"/>
        </w:tabs>
      </w:pPr>
      <w:r>
        <w:rPr>
          <w:rFonts w:hint="eastAsia"/>
        </w:rPr>
        <w:t>境外债券情况</w:t>
      </w:r>
    </w:p>
    <w:p w14:paraId="4BD11F20">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截至报告期末，公司合并报表范围内发行的境外债券余额</w:t>
      </w:r>
      <w:sdt>
        <w:sdtPr>
          <w:rPr>
            <w:rFonts w:hint="eastAsia"/>
            <w:color w:val="000000" w:themeColor="text1"/>
            <w14:textFill>
              <w14:solidFill>
                <w14:schemeClr w14:val="tx1"/>
              </w14:solidFill>
            </w14:textFill>
          </w:rPr>
          <w:alias w:val="境外债券"/>
          <w:tag w:val="_GBC_d14dd27fb0c244bca8c59473d010e485"/>
          <w:id w:val="800349296"/>
          <w:placeholder>
            <w:docPart w:val="GBC22222222222222222222222222222"/>
          </w:placeholder>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发行人境外市场发行债券"/>
          <w:tag w:val="_GBC_4e7f87d768a844dab3dbc3a796833a41"/>
          <w:id w:val="-1636163230"/>
          <w:placeholder>
            <w:docPart w:val="GBC22222222222222222222222222222"/>
          </w:placeholder>
          <w:dataBinding w:prefixMappings="xmlns:bond='bond'" w:xpath="/*/bond:DanWeiFaXingRenJingWaiShiChangFaXingZhaiQuan[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sdt>
        <w:sdtPr>
          <w:rPr>
            <w:rFonts w:hint="eastAsia"/>
            <w:color w:val="000000" w:themeColor="text1"/>
            <w14:textFill>
              <w14:solidFill>
                <w14:schemeClr w14:val="tx1"/>
              </w14:solidFill>
            </w14:textFill>
          </w:rPr>
          <w:alias w:val="币种：发行人境外市场发行债券"/>
          <w:tag w:val="_GBC_6986a2da314c490a9c463a8092ead6c8"/>
          <w:id w:val="2247340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，且在2025年5至12月内到期的境外债券余额为</w:t>
      </w:r>
      <w:sdt>
        <w:sdtPr>
          <w:rPr>
            <w:rFonts w:hint="eastAsia"/>
            <w:color w:val="000000" w:themeColor="text1"/>
            <w14:textFill>
              <w14:solidFill>
                <w14:schemeClr w14:val="tx1"/>
              </w14:solidFill>
            </w14:textFill>
          </w:rPr>
          <w:alias w:val="到期的境外债券"/>
          <w:tag w:val="_GBC_7cacef67ee454d78842de4b53a616cbe"/>
          <w:id w:val="-490641566"/>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发行人境外市场发行债券"/>
          <w:tag w:val="_GBC_69328ae18ba341f597c28736cb8aa5ea"/>
          <w:id w:val="1798650012"/>
          <w:placeholder>
            <w:docPart w:val="GBC22222222222222222222222222222"/>
          </w:placeholder>
          <w:dataBinding w:prefixMappings="xmlns:bond='bond'" w:xpath="/*/bond:DanWeiFaXingRenJingWaiShiChangFaXingZhaiQuan[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sdt>
        <w:sdtPr>
          <w:rPr>
            <w:rFonts w:hint="eastAsia"/>
            <w:color w:val="000000" w:themeColor="text1"/>
            <w14:textFill>
              <w14:solidFill>
                <w14:schemeClr w14:val="tx1"/>
              </w14:solidFill>
            </w14:textFill>
          </w:rPr>
          <w:alias w:val="币种：发行人境外市场发行债券"/>
          <w:tag w:val="_GBC_ae92a7220b9849b8ba67ac5d1619b165"/>
          <w:id w:val="4102071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w:t>
      </w:r>
    </w:p>
    <w:p w14:paraId="30A3E3D2">
      <w:pPr>
        <w:rPr>
          <w:rFonts w:hint="eastAsia"/>
          <w:color w:val="000000" w:themeColor="text1"/>
          <w14:textFill>
            <w14:solidFill>
              <w14:schemeClr w14:val="tx1"/>
            </w14:solidFill>
          </w14:textFill>
        </w:rPr>
      </w:pPr>
    </w:p>
    <w:p w14:paraId="1A67B6EC">
      <w:pPr>
        <w:pStyle w:val="6"/>
        <w:numPr>
          <w:ilvl w:val="0"/>
          <w:numId w:val="84"/>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报告期末公司及其子公司存在逾期金额超过1000万元的有息债务或者公司信用类债券逾期情况</w:t>
      </w:r>
    </w:p>
    <w:sdt>
      <w:sdtPr>
        <w:rPr>
          <w:color w:val="000000" w:themeColor="text1"/>
          <w14:textFill>
            <w14:solidFill>
              <w14:schemeClr w14:val="tx1"/>
            </w14:solidFill>
          </w14:textFill>
        </w:rPr>
        <w:alias w:val="是否适用：逾期金额较大的有息债务或者公司信用类债券逾期[双击切换]"/>
        <w:tag w:val="_GBC_7696b3783d984d6292dce6a1d9f48c8d"/>
        <w:id w:val="932400284"/>
        <w:placeholder>
          <w:docPart w:val="GBC22222222222222222222222222222"/>
        </w:placeholder>
      </w:sdtPr>
      <w:sdtEndPr>
        <w:rPr>
          <w:color w:val="000000" w:themeColor="text1"/>
          <w14:textFill>
            <w14:solidFill>
              <w14:schemeClr w14:val="tx1"/>
            </w14:solidFill>
          </w14:textFill>
        </w:rPr>
      </w:sdtEndPr>
      <w:sdtContent>
        <w:p w14:paraId="17E14817">
          <w:pPr>
            <w:kinsoku w:val="0"/>
            <w:overflowPunct w:val="0"/>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17626DC7">
      <w:pPr>
        <w:kinsoku w:val="0"/>
        <w:overflowPunct w:val="0"/>
        <w:rPr>
          <w:rFonts w:hint="eastAsia"/>
          <w:color w:val="000000" w:themeColor="text1"/>
          <w14:textFill>
            <w14:solidFill>
              <w14:schemeClr w14:val="tx1"/>
            </w14:solidFill>
          </w14:textFill>
        </w:rPr>
      </w:pPr>
    </w:p>
    <w:p w14:paraId="361A204E">
      <w:pPr>
        <w:pStyle w:val="6"/>
        <w:numPr>
          <w:ilvl w:val="0"/>
          <w:numId w:val="84"/>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主要负债情况及其变动原因</w:t>
      </w:r>
    </w:p>
    <w:p w14:paraId="23562A97">
      <w:pPr>
        <w:kinsoku w:val="0"/>
        <w:overflowPunct w:val="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主要资产和负债变动情况"/>
          <w:tag w:val="_GBC_d7532d6b424c494387d36dd6fc123846"/>
          <w:id w:val="15543496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主要资产和负债变动情况"/>
          <w:tag w:val="_GBC_4f7636d2e9ee4f8880c91154bebb5fc4"/>
          <w:id w:val="-3940495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Layout w:type="autofit"/>
        <w:tblCellMar>
          <w:top w:w="0" w:type="dxa"/>
          <w:left w:w="108" w:type="dxa"/>
          <w:bottom w:w="0" w:type="dxa"/>
          <w:right w:w="108" w:type="dxa"/>
        </w:tblCellMar>
      </w:tblPr>
      <w:tblGrid>
        <w:gridCol w:w="4226"/>
        <w:gridCol w:w="1558"/>
        <w:gridCol w:w="2049"/>
        <w:gridCol w:w="2182"/>
        <w:gridCol w:w="3848"/>
      </w:tblGrid>
      <w:tr w14:paraId="3007F8F2">
        <w:tblPrEx>
          <w:tblCellMar>
            <w:top w:w="0" w:type="dxa"/>
            <w:left w:w="108" w:type="dxa"/>
            <w:bottom w:w="0" w:type="dxa"/>
            <w:right w:w="108" w:type="dxa"/>
          </w:tblCellMar>
        </w:tblPrEx>
        <w:trPr>
          <w:trHeight w:val="485" w:hRule="atLeast"/>
          <w:tblHeader/>
        </w:trPr>
        <w:sdt>
          <w:sdtPr>
            <w:tag w:val="_PLD_45bb852c629845628605e8cc30e89f26"/>
            <w:id w:val="-1316261313"/>
          </w:sdtPr>
          <w:sdtContent>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3BACA159">
                <w:pPr>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负债项目 </w:t>
                </w:r>
              </w:p>
            </w:tc>
          </w:sdtContent>
        </w:sdt>
        <w:sdt>
          <w:sdtPr>
            <w:tag w:val="_PLD_609610e91f034f1d8e50b9437f045f71"/>
            <w:id w:val="844827687"/>
          </w:sdtPr>
          <w:sdtContent>
            <w:tc>
              <w:tcPr>
                <w:tcW w:w="562" w:type="pct"/>
                <w:tcBorders>
                  <w:top w:val="single" w:color="auto" w:sz="4" w:space="0"/>
                  <w:left w:val="nil"/>
                  <w:bottom w:val="single" w:color="auto" w:sz="4" w:space="0"/>
                  <w:right w:val="single" w:color="auto" w:sz="4" w:space="0"/>
                </w:tcBorders>
                <w:shd w:val="clear" w:color="auto" w:fill="auto"/>
                <w:vAlign w:val="center"/>
              </w:tcPr>
              <w:p w14:paraId="68B6998A">
                <w:pPr>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本期末余额</w:t>
                </w:r>
              </w:p>
            </w:tc>
          </w:sdtContent>
        </w:sdt>
        <w:sdt>
          <w:sdtPr>
            <w:tag w:val="_PLD_e041103a31a74c9d98d7e0c514597396"/>
            <w:id w:val="-1952768315"/>
          </w:sdtPr>
          <w:sdtContent>
            <w:tc>
              <w:tcPr>
                <w:tcW w:w="739" w:type="pct"/>
                <w:tcBorders>
                  <w:top w:val="single" w:color="auto" w:sz="4" w:space="0"/>
                  <w:left w:val="nil"/>
                  <w:bottom w:val="single" w:color="auto" w:sz="4" w:space="0"/>
                  <w:right w:val="single" w:color="auto" w:sz="4" w:space="0"/>
                </w:tcBorders>
                <w:shd w:val="clear" w:color="auto" w:fill="auto"/>
                <w:vAlign w:val="center"/>
              </w:tcPr>
              <w:p w14:paraId="402D248A">
                <w:pPr>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2023年余额</w:t>
                </w:r>
              </w:p>
            </w:tc>
          </w:sdtContent>
        </w:sdt>
        <w:sdt>
          <w:sdtPr>
            <w:tag w:val="_PLD_c219251d044f490aad18ef6e5213c40c"/>
            <w:id w:val="-1292369961"/>
          </w:sdtPr>
          <w:sdtContent>
            <w:tc>
              <w:tcPr>
                <w:tcW w:w="787" w:type="pct"/>
                <w:tcBorders>
                  <w:top w:val="single" w:color="auto" w:sz="4" w:space="0"/>
                  <w:left w:val="nil"/>
                  <w:bottom w:val="single" w:color="auto" w:sz="4" w:space="0"/>
                  <w:right w:val="single" w:color="auto" w:sz="4" w:space="0"/>
                </w:tcBorders>
                <w:shd w:val="clear" w:color="auto" w:fill="auto"/>
                <w:vAlign w:val="center"/>
              </w:tcPr>
              <w:p w14:paraId="1EDFA112">
                <w:pPr>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变动比例（</w:t>
                </w:r>
                <w:r>
                  <w:rPr>
                    <w:rFonts w:asciiTheme="minorHAnsi" w:hAnsiTheme="minorHAnsi"/>
                    <w:color w:val="000000" w:themeColor="text1"/>
                    <w14:textFill>
                      <w14:solidFill>
                        <w14:schemeClr w14:val="tx1"/>
                      </w14:solidFill>
                    </w14:textFill>
                  </w:rPr>
                  <w:t>%</w:t>
                </w:r>
                <w:r>
                  <w:rPr>
                    <w:rFonts w:hint="eastAsia"/>
                    <w:color w:val="000000" w:themeColor="text1"/>
                    <w14:textFill>
                      <w14:solidFill>
                        <w14:schemeClr w14:val="tx1"/>
                      </w14:solidFill>
                    </w14:textFill>
                  </w:rPr>
                  <w:t>）</w:t>
                </w:r>
              </w:p>
            </w:tc>
          </w:sdtContent>
        </w:sdt>
        <w:sdt>
          <w:sdtPr>
            <w:tag w:val="_PLD_858cd9548f1c45f28dcd4efc6d060f20"/>
            <w:id w:val="1420285453"/>
          </w:sdtPr>
          <w:sdtContent>
            <w:tc>
              <w:tcPr>
                <w:tcW w:w="1388" w:type="pct"/>
                <w:tcBorders>
                  <w:top w:val="single" w:color="auto" w:sz="4" w:space="0"/>
                  <w:left w:val="nil"/>
                  <w:bottom w:val="single" w:color="auto" w:sz="4" w:space="0"/>
                  <w:right w:val="single" w:color="auto" w:sz="4" w:space="0"/>
                </w:tcBorders>
                <w:shd w:val="clear" w:color="auto" w:fill="auto"/>
                <w:vAlign w:val="center"/>
              </w:tcPr>
              <w:p w14:paraId="0432E857">
                <w:pPr>
                  <w:kinsoku w:val="0"/>
                  <w:overflowPunct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变动比例超过30%的，说明原因</w:t>
                </w:r>
              </w:p>
            </w:tc>
          </w:sdtContent>
        </w:sdt>
      </w:tr>
      <w:tr w14:paraId="5D83FE46">
        <w:tblPrEx>
          <w:tblCellMar>
            <w:top w:w="0" w:type="dxa"/>
            <w:left w:w="108" w:type="dxa"/>
            <w:bottom w:w="0" w:type="dxa"/>
            <w:right w:w="108" w:type="dxa"/>
          </w:tblCellMar>
        </w:tblPrEx>
        <w:trPr>
          <w:trHeight w:val="270" w:hRule="atLeast"/>
        </w:trPr>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3CE61D41">
            <w:pPr>
              <w:kinsoku w:val="0"/>
              <w:overflowPunct w:val="0"/>
              <w:jc w:val="center"/>
              <w:rPr>
                <w:rFonts w:hint="eastAsia"/>
                <w:bCs/>
              </w:rPr>
            </w:pPr>
            <w:r>
              <w:rPr>
                <w:rFonts w:hint="eastAsia"/>
                <w:color w:val="000000"/>
                <w:szCs w:val="21"/>
              </w:rPr>
              <w:t>短期借款</w:t>
            </w:r>
          </w:p>
        </w:tc>
        <w:tc>
          <w:tcPr>
            <w:tcW w:w="562" w:type="pct"/>
            <w:tcBorders>
              <w:top w:val="single" w:color="auto" w:sz="4" w:space="0"/>
              <w:left w:val="nil"/>
              <w:bottom w:val="single" w:color="auto" w:sz="4" w:space="0"/>
              <w:right w:val="single" w:color="auto" w:sz="4" w:space="0"/>
            </w:tcBorders>
            <w:shd w:val="clear" w:color="auto" w:fill="auto"/>
            <w:vAlign w:val="center"/>
          </w:tcPr>
          <w:p w14:paraId="62FD0913">
            <w:pPr>
              <w:kinsoku w:val="0"/>
              <w:overflowPunct w:val="0"/>
              <w:jc w:val="right"/>
              <w:rPr>
                <w:rFonts w:hint="eastAsia"/>
              </w:rPr>
            </w:pPr>
            <w:r>
              <w:rPr>
                <w:rFonts w:ascii="Arial Narrow" w:hAnsi="Arial Narrow" w:eastAsia="等线"/>
                <w:color w:val="000000"/>
                <w:szCs w:val="21"/>
              </w:rPr>
              <w:t>4.40</w:t>
            </w:r>
          </w:p>
        </w:tc>
        <w:tc>
          <w:tcPr>
            <w:tcW w:w="739" w:type="pct"/>
            <w:tcBorders>
              <w:top w:val="single" w:color="auto" w:sz="4" w:space="0"/>
              <w:left w:val="nil"/>
              <w:bottom w:val="single" w:color="auto" w:sz="4" w:space="0"/>
              <w:right w:val="single" w:color="auto" w:sz="4" w:space="0"/>
            </w:tcBorders>
            <w:shd w:val="clear" w:color="auto" w:fill="auto"/>
            <w:vAlign w:val="center"/>
          </w:tcPr>
          <w:p w14:paraId="2051FC2A">
            <w:pPr>
              <w:kinsoku w:val="0"/>
              <w:overflowPunct w:val="0"/>
              <w:jc w:val="right"/>
              <w:rPr>
                <w:rFonts w:hint="eastAsia"/>
              </w:rPr>
            </w:pPr>
            <w:r>
              <w:rPr>
                <w:rFonts w:ascii="Arial Narrow" w:hAnsi="Arial Narrow" w:eastAsia="等线"/>
                <w:color w:val="000000"/>
                <w:szCs w:val="21"/>
              </w:rPr>
              <w:t>3.95</w:t>
            </w:r>
          </w:p>
        </w:tc>
        <w:tc>
          <w:tcPr>
            <w:tcW w:w="787" w:type="pct"/>
            <w:tcBorders>
              <w:top w:val="single" w:color="auto" w:sz="4" w:space="0"/>
              <w:left w:val="nil"/>
              <w:bottom w:val="single" w:color="auto" w:sz="4" w:space="0"/>
              <w:right w:val="single" w:color="auto" w:sz="4" w:space="0"/>
            </w:tcBorders>
            <w:shd w:val="clear" w:color="auto" w:fill="auto"/>
            <w:vAlign w:val="center"/>
          </w:tcPr>
          <w:p w14:paraId="04439E12">
            <w:pPr>
              <w:kinsoku w:val="0"/>
              <w:overflowPunct w:val="0"/>
              <w:jc w:val="right"/>
              <w:rPr>
                <w:rFonts w:hint="eastAsia"/>
              </w:rPr>
            </w:pPr>
            <w:r>
              <w:rPr>
                <w:rFonts w:ascii="Arial Narrow" w:hAnsi="Arial Narrow" w:eastAsia="等线"/>
                <w:color w:val="000000"/>
                <w:szCs w:val="21"/>
              </w:rPr>
              <w:t>11.</w:t>
            </w:r>
            <w:r>
              <w:rPr>
                <w:rFonts w:hint="eastAsia" w:ascii="Arial Narrow" w:hAnsi="Arial Narrow" w:eastAsia="等线"/>
                <w:color w:val="000000"/>
                <w:szCs w:val="21"/>
              </w:rPr>
              <w:t>53</w:t>
            </w:r>
          </w:p>
        </w:tc>
        <w:tc>
          <w:tcPr>
            <w:tcW w:w="1388" w:type="pct"/>
            <w:tcBorders>
              <w:top w:val="single" w:color="auto" w:sz="4" w:space="0"/>
              <w:left w:val="nil"/>
              <w:bottom w:val="single" w:color="auto" w:sz="4" w:space="0"/>
              <w:right w:val="single" w:color="auto" w:sz="4" w:space="0"/>
            </w:tcBorders>
            <w:shd w:val="clear" w:color="auto" w:fill="auto"/>
            <w:vAlign w:val="center"/>
          </w:tcPr>
          <w:p w14:paraId="3113BE9B">
            <w:pPr>
              <w:kinsoku w:val="0"/>
              <w:overflowPunct w:val="0"/>
              <w:jc w:val="center"/>
              <w:rPr>
                <w:rFonts w:hint="eastAsia"/>
              </w:rPr>
            </w:pPr>
          </w:p>
        </w:tc>
      </w:tr>
      <w:tr w14:paraId="2E301AC2">
        <w:tblPrEx>
          <w:tblCellMar>
            <w:top w:w="0" w:type="dxa"/>
            <w:left w:w="108" w:type="dxa"/>
            <w:bottom w:w="0" w:type="dxa"/>
            <w:right w:w="108" w:type="dxa"/>
          </w:tblCellMar>
        </w:tblPrEx>
        <w:trPr>
          <w:trHeight w:val="270" w:hRule="atLeast"/>
        </w:trPr>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13E653FF">
            <w:pPr>
              <w:kinsoku w:val="0"/>
              <w:overflowPunct w:val="0"/>
              <w:jc w:val="center"/>
              <w:rPr>
                <w:rFonts w:hint="eastAsia"/>
                <w:bCs/>
              </w:rPr>
            </w:pPr>
            <w:r>
              <w:rPr>
                <w:rFonts w:hint="eastAsia"/>
                <w:color w:val="000000"/>
                <w:szCs w:val="21"/>
              </w:rPr>
              <w:t>一年内到期的非流动负债</w:t>
            </w:r>
          </w:p>
        </w:tc>
        <w:tc>
          <w:tcPr>
            <w:tcW w:w="562" w:type="pct"/>
            <w:tcBorders>
              <w:top w:val="single" w:color="auto" w:sz="4" w:space="0"/>
              <w:left w:val="nil"/>
              <w:bottom w:val="single" w:color="auto" w:sz="4" w:space="0"/>
              <w:right w:val="single" w:color="auto" w:sz="4" w:space="0"/>
            </w:tcBorders>
            <w:shd w:val="clear" w:color="auto" w:fill="auto"/>
            <w:vAlign w:val="center"/>
          </w:tcPr>
          <w:p w14:paraId="06310C52">
            <w:pPr>
              <w:kinsoku w:val="0"/>
              <w:overflowPunct w:val="0"/>
              <w:jc w:val="right"/>
              <w:rPr>
                <w:rFonts w:hint="eastAsia"/>
              </w:rPr>
            </w:pPr>
            <w:r>
              <w:rPr>
                <w:rFonts w:ascii="Arial Narrow" w:hAnsi="Arial Narrow" w:eastAsia="等线"/>
                <w:color w:val="000000"/>
                <w:szCs w:val="21"/>
              </w:rPr>
              <w:t>0.54</w:t>
            </w:r>
          </w:p>
        </w:tc>
        <w:tc>
          <w:tcPr>
            <w:tcW w:w="739" w:type="pct"/>
            <w:tcBorders>
              <w:top w:val="single" w:color="auto" w:sz="4" w:space="0"/>
              <w:left w:val="nil"/>
              <w:bottom w:val="single" w:color="auto" w:sz="4" w:space="0"/>
              <w:right w:val="single" w:color="auto" w:sz="4" w:space="0"/>
            </w:tcBorders>
            <w:shd w:val="clear" w:color="auto" w:fill="auto"/>
            <w:vAlign w:val="center"/>
          </w:tcPr>
          <w:p w14:paraId="22B25F7C">
            <w:pPr>
              <w:kinsoku w:val="0"/>
              <w:overflowPunct w:val="0"/>
              <w:jc w:val="right"/>
              <w:rPr>
                <w:rFonts w:hint="eastAsia"/>
              </w:rPr>
            </w:pPr>
            <w:r>
              <w:rPr>
                <w:rFonts w:ascii="Arial Narrow" w:hAnsi="Arial Narrow" w:eastAsia="等线"/>
                <w:color w:val="000000"/>
                <w:szCs w:val="21"/>
              </w:rPr>
              <w:t>1.71</w:t>
            </w:r>
          </w:p>
        </w:tc>
        <w:tc>
          <w:tcPr>
            <w:tcW w:w="787" w:type="pct"/>
            <w:tcBorders>
              <w:top w:val="single" w:color="auto" w:sz="4" w:space="0"/>
              <w:left w:val="nil"/>
              <w:bottom w:val="single" w:color="auto" w:sz="4" w:space="0"/>
              <w:right w:val="single" w:color="auto" w:sz="4" w:space="0"/>
            </w:tcBorders>
            <w:shd w:val="clear" w:color="auto" w:fill="auto"/>
            <w:vAlign w:val="center"/>
          </w:tcPr>
          <w:p w14:paraId="3005ECA4">
            <w:pPr>
              <w:kinsoku w:val="0"/>
              <w:overflowPunct w:val="0"/>
              <w:jc w:val="right"/>
              <w:rPr>
                <w:rFonts w:hint="eastAsia"/>
              </w:rPr>
            </w:pPr>
            <w:r>
              <w:rPr>
                <w:rFonts w:ascii="Arial Narrow" w:hAnsi="Arial Narrow" w:eastAsia="等线"/>
                <w:color w:val="000000"/>
                <w:szCs w:val="21"/>
              </w:rPr>
              <w:t>-68.4</w:t>
            </w:r>
            <w:r>
              <w:rPr>
                <w:rFonts w:hint="eastAsia" w:ascii="Arial Narrow" w:hAnsi="Arial Narrow" w:eastAsia="等线"/>
                <w:color w:val="000000"/>
                <w:szCs w:val="21"/>
              </w:rPr>
              <w:t>1</w:t>
            </w:r>
          </w:p>
        </w:tc>
        <w:tc>
          <w:tcPr>
            <w:tcW w:w="1388" w:type="pct"/>
            <w:tcBorders>
              <w:top w:val="single" w:color="auto" w:sz="4" w:space="0"/>
              <w:left w:val="nil"/>
              <w:bottom w:val="single" w:color="auto" w:sz="4" w:space="0"/>
              <w:right w:val="single" w:color="auto" w:sz="4" w:space="0"/>
            </w:tcBorders>
            <w:shd w:val="clear" w:color="auto" w:fill="auto"/>
            <w:vAlign w:val="center"/>
          </w:tcPr>
          <w:p w14:paraId="6E542C30">
            <w:pPr>
              <w:kinsoku w:val="0"/>
              <w:overflowPunct w:val="0"/>
              <w:jc w:val="center"/>
              <w:rPr>
                <w:rFonts w:hint="eastAsia"/>
              </w:rPr>
            </w:pPr>
            <w:r>
              <w:rPr>
                <w:rFonts w:hint="eastAsia"/>
                <w:color w:val="000000"/>
                <w:szCs w:val="21"/>
              </w:rPr>
              <w:t>主要系公司本报告期按时偿付到期借款所致</w:t>
            </w:r>
          </w:p>
        </w:tc>
      </w:tr>
      <w:tr w14:paraId="7893D24B">
        <w:tblPrEx>
          <w:tblCellMar>
            <w:top w:w="0" w:type="dxa"/>
            <w:left w:w="108" w:type="dxa"/>
            <w:bottom w:w="0" w:type="dxa"/>
            <w:right w:w="108" w:type="dxa"/>
          </w:tblCellMar>
        </w:tblPrEx>
        <w:trPr>
          <w:trHeight w:val="270" w:hRule="atLeast"/>
        </w:trPr>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5E16CA4C">
            <w:pPr>
              <w:kinsoku w:val="0"/>
              <w:overflowPunct w:val="0"/>
              <w:jc w:val="center"/>
              <w:rPr>
                <w:rFonts w:hint="eastAsia"/>
                <w:bCs/>
              </w:rPr>
            </w:pPr>
            <w:r>
              <w:rPr>
                <w:rFonts w:hint="eastAsia"/>
                <w:color w:val="000000"/>
                <w:szCs w:val="21"/>
              </w:rPr>
              <w:t>长期借款</w:t>
            </w:r>
          </w:p>
        </w:tc>
        <w:tc>
          <w:tcPr>
            <w:tcW w:w="562" w:type="pct"/>
            <w:tcBorders>
              <w:top w:val="single" w:color="auto" w:sz="4" w:space="0"/>
              <w:left w:val="nil"/>
              <w:bottom w:val="single" w:color="auto" w:sz="4" w:space="0"/>
              <w:right w:val="single" w:color="auto" w:sz="4" w:space="0"/>
            </w:tcBorders>
            <w:shd w:val="clear" w:color="auto" w:fill="auto"/>
            <w:vAlign w:val="center"/>
          </w:tcPr>
          <w:p w14:paraId="2B5BB421">
            <w:pPr>
              <w:kinsoku w:val="0"/>
              <w:overflowPunct w:val="0"/>
              <w:jc w:val="right"/>
              <w:rPr>
                <w:rFonts w:hint="eastAsia"/>
              </w:rPr>
            </w:pPr>
            <w:r>
              <w:rPr>
                <w:rFonts w:ascii="Arial Narrow" w:hAnsi="Arial Narrow" w:eastAsia="等线"/>
                <w:color w:val="000000"/>
                <w:szCs w:val="21"/>
              </w:rPr>
              <w:t>4.97</w:t>
            </w:r>
          </w:p>
        </w:tc>
        <w:tc>
          <w:tcPr>
            <w:tcW w:w="739" w:type="pct"/>
            <w:tcBorders>
              <w:top w:val="single" w:color="auto" w:sz="4" w:space="0"/>
              <w:left w:val="nil"/>
              <w:bottom w:val="single" w:color="auto" w:sz="4" w:space="0"/>
              <w:right w:val="single" w:color="auto" w:sz="4" w:space="0"/>
            </w:tcBorders>
            <w:shd w:val="clear" w:color="auto" w:fill="auto"/>
            <w:vAlign w:val="center"/>
          </w:tcPr>
          <w:p w14:paraId="781A2CC1">
            <w:pPr>
              <w:kinsoku w:val="0"/>
              <w:overflowPunct w:val="0"/>
              <w:jc w:val="right"/>
              <w:rPr>
                <w:rFonts w:hint="eastAsia"/>
              </w:rPr>
            </w:pPr>
            <w:r>
              <w:rPr>
                <w:rFonts w:ascii="Arial Narrow" w:hAnsi="Arial Narrow" w:eastAsia="等线"/>
                <w:color w:val="000000"/>
                <w:szCs w:val="21"/>
              </w:rPr>
              <w:t>10.26</w:t>
            </w:r>
          </w:p>
        </w:tc>
        <w:tc>
          <w:tcPr>
            <w:tcW w:w="787" w:type="pct"/>
            <w:tcBorders>
              <w:top w:val="single" w:color="auto" w:sz="4" w:space="0"/>
              <w:left w:val="nil"/>
              <w:bottom w:val="single" w:color="auto" w:sz="4" w:space="0"/>
              <w:right w:val="single" w:color="auto" w:sz="4" w:space="0"/>
            </w:tcBorders>
            <w:shd w:val="clear" w:color="auto" w:fill="auto"/>
            <w:vAlign w:val="center"/>
          </w:tcPr>
          <w:p w14:paraId="1F33CEFE">
            <w:pPr>
              <w:kinsoku w:val="0"/>
              <w:overflowPunct w:val="0"/>
              <w:jc w:val="right"/>
              <w:rPr>
                <w:rFonts w:hint="eastAsia"/>
              </w:rPr>
            </w:pPr>
            <w:r>
              <w:rPr>
                <w:rFonts w:ascii="Arial Narrow" w:hAnsi="Arial Narrow" w:eastAsia="等线"/>
                <w:color w:val="000000"/>
                <w:szCs w:val="21"/>
              </w:rPr>
              <w:t>-51.5</w:t>
            </w:r>
            <w:r>
              <w:rPr>
                <w:rFonts w:hint="eastAsia" w:ascii="Arial Narrow" w:hAnsi="Arial Narrow" w:eastAsia="等线"/>
                <w:color w:val="000000"/>
                <w:szCs w:val="21"/>
              </w:rPr>
              <w:t>1</w:t>
            </w:r>
          </w:p>
        </w:tc>
        <w:tc>
          <w:tcPr>
            <w:tcW w:w="1388" w:type="pct"/>
            <w:tcBorders>
              <w:top w:val="single" w:color="auto" w:sz="4" w:space="0"/>
              <w:left w:val="nil"/>
              <w:bottom w:val="single" w:color="auto" w:sz="4" w:space="0"/>
              <w:right w:val="single" w:color="auto" w:sz="4" w:space="0"/>
            </w:tcBorders>
            <w:shd w:val="clear" w:color="auto" w:fill="auto"/>
            <w:vAlign w:val="center"/>
          </w:tcPr>
          <w:p w14:paraId="2198A8E3">
            <w:pPr>
              <w:kinsoku w:val="0"/>
              <w:overflowPunct w:val="0"/>
              <w:jc w:val="center"/>
              <w:rPr>
                <w:rFonts w:hint="eastAsia"/>
              </w:rPr>
            </w:pPr>
            <w:r>
              <w:rPr>
                <w:rFonts w:hint="eastAsia"/>
                <w:color w:val="000000"/>
                <w:szCs w:val="21"/>
              </w:rPr>
              <w:t>主要系公司本报告期主动偿还外部借款所致</w:t>
            </w:r>
          </w:p>
        </w:tc>
      </w:tr>
      <w:tr w14:paraId="268F3C80">
        <w:tblPrEx>
          <w:tblCellMar>
            <w:top w:w="0" w:type="dxa"/>
            <w:left w:w="108" w:type="dxa"/>
            <w:bottom w:w="0" w:type="dxa"/>
            <w:right w:w="108" w:type="dxa"/>
          </w:tblCellMar>
        </w:tblPrEx>
        <w:trPr>
          <w:trHeight w:val="270" w:hRule="atLeast"/>
        </w:trPr>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2BBEA596">
            <w:pPr>
              <w:kinsoku w:val="0"/>
              <w:overflowPunct w:val="0"/>
              <w:jc w:val="center"/>
              <w:rPr>
                <w:rFonts w:hint="eastAsia"/>
                <w:bCs/>
              </w:rPr>
            </w:pPr>
            <w:r>
              <w:rPr>
                <w:rFonts w:hint="eastAsia"/>
                <w:color w:val="000000"/>
                <w:szCs w:val="21"/>
              </w:rPr>
              <w:t>应付债券</w:t>
            </w:r>
          </w:p>
        </w:tc>
        <w:tc>
          <w:tcPr>
            <w:tcW w:w="562" w:type="pct"/>
            <w:tcBorders>
              <w:top w:val="single" w:color="auto" w:sz="4" w:space="0"/>
              <w:left w:val="nil"/>
              <w:bottom w:val="single" w:color="auto" w:sz="4" w:space="0"/>
              <w:right w:val="single" w:color="auto" w:sz="4" w:space="0"/>
            </w:tcBorders>
            <w:shd w:val="clear" w:color="auto" w:fill="auto"/>
            <w:vAlign w:val="center"/>
          </w:tcPr>
          <w:p w14:paraId="4BE34362">
            <w:pPr>
              <w:kinsoku w:val="0"/>
              <w:overflowPunct w:val="0"/>
              <w:jc w:val="right"/>
              <w:rPr>
                <w:rFonts w:hint="eastAsia"/>
              </w:rPr>
            </w:pPr>
            <w:r>
              <w:rPr>
                <w:rFonts w:ascii="Arial Narrow" w:hAnsi="Arial Narrow" w:eastAsia="等线"/>
                <w:color w:val="000000"/>
                <w:szCs w:val="21"/>
              </w:rPr>
              <w:t>5.09</w:t>
            </w:r>
          </w:p>
        </w:tc>
        <w:tc>
          <w:tcPr>
            <w:tcW w:w="739" w:type="pct"/>
            <w:tcBorders>
              <w:top w:val="single" w:color="auto" w:sz="4" w:space="0"/>
              <w:left w:val="nil"/>
              <w:bottom w:val="single" w:color="auto" w:sz="4" w:space="0"/>
              <w:right w:val="single" w:color="auto" w:sz="4" w:space="0"/>
            </w:tcBorders>
            <w:shd w:val="clear" w:color="auto" w:fill="auto"/>
            <w:vAlign w:val="center"/>
          </w:tcPr>
          <w:p w14:paraId="689CE2E9">
            <w:pPr>
              <w:kinsoku w:val="0"/>
              <w:overflowPunct w:val="0"/>
              <w:jc w:val="right"/>
              <w:rPr>
                <w:rFonts w:hint="eastAsia"/>
              </w:rPr>
            </w:pPr>
            <w:r>
              <w:rPr>
                <w:rFonts w:ascii="Arial Narrow" w:hAnsi="Arial Narrow" w:eastAsia="等线"/>
                <w:color w:val="000000"/>
                <w:szCs w:val="21"/>
              </w:rPr>
              <w:t>5.29</w:t>
            </w:r>
          </w:p>
        </w:tc>
        <w:tc>
          <w:tcPr>
            <w:tcW w:w="787" w:type="pct"/>
            <w:tcBorders>
              <w:top w:val="single" w:color="auto" w:sz="4" w:space="0"/>
              <w:left w:val="nil"/>
              <w:bottom w:val="single" w:color="auto" w:sz="4" w:space="0"/>
              <w:right w:val="single" w:color="auto" w:sz="4" w:space="0"/>
            </w:tcBorders>
            <w:shd w:val="clear" w:color="auto" w:fill="auto"/>
            <w:vAlign w:val="center"/>
          </w:tcPr>
          <w:p w14:paraId="65B9FC74">
            <w:pPr>
              <w:kinsoku w:val="0"/>
              <w:overflowPunct w:val="0"/>
              <w:jc w:val="right"/>
              <w:rPr>
                <w:rFonts w:hint="eastAsia"/>
              </w:rPr>
            </w:pPr>
            <w:r>
              <w:rPr>
                <w:rFonts w:ascii="Arial Narrow" w:hAnsi="Arial Narrow" w:eastAsia="等线"/>
                <w:color w:val="000000"/>
                <w:szCs w:val="21"/>
              </w:rPr>
              <w:t>-3.</w:t>
            </w:r>
            <w:r>
              <w:rPr>
                <w:rFonts w:hint="eastAsia" w:ascii="Arial Narrow" w:hAnsi="Arial Narrow" w:eastAsia="等线"/>
                <w:color w:val="000000"/>
                <w:szCs w:val="21"/>
              </w:rPr>
              <w:t>80</w:t>
            </w:r>
          </w:p>
        </w:tc>
        <w:tc>
          <w:tcPr>
            <w:tcW w:w="1388" w:type="pct"/>
            <w:tcBorders>
              <w:top w:val="single" w:color="auto" w:sz="4" w:space="0"/>
              <w:left w:val="nil"/>
              <w:bottom w:val="single" w:color="auto" w:sz="4" w:space="0"/>
              <w:right w:val="single" w:color="auto" w:sz="4" w:space="0"/>
            </w:tcBorders>
            <w:shd w:val="clear" w:color="auto" w:fill="auto"/>
            <w:vAlign w:val="center"/>
          </w:tcPr>
          <w:p w14:paraId="2B16D8FD">
            <w:pPr>
              <w:kinsoku w:val="0"/>
              <w:overflowPunct w:val="0"/>
              <w:jc w:val="center"/>
              <w:rPr>
                <w:rFonts w:hint="eastAsia"/>
              </w:rPr>
            </w:pPr>
          </w:p>
        </w:tc>
      </w:tr>
    </w:tbl>
    <w:p w14:paraId="6010C520">
      <w:pPr>
        <w:rPr>
          <w:rFonts w:hint="eastAsia"/>
          <w:color w:val="000000" w:themeColor="text1"/>
          <w14:textFill>
            <w14:solidFill>
              <w14:schemeClr w14:val="tx1"/>
            </w14:solidFill>
          </w14:textFill>
        </w:rPr>
      </w:pPr>
    </w:p>
    <w:p w14:paraId="7E675987">
      <w:pPr>
        <w:pStyle w:val="6"/>
        <w:numPr>
          <w:ilvl w:val="0"/>
          <w:numId w:val="84"/>
        </w:numPr>
        <w:ind w:leftChars="0"/>
        <w:rPr>
          <w:color w:val="000000" w:themeColor="text1"/>
          <w14:textFill>
            <w14:solidFill>
              <w14:schemeClr w14:val="tx1"/>
            </w14:solidFill>
          </w14:textFill>
        </w:rPr>
      </w:pPr>
      <w:r>
        <w:rPr>
          <w:rFonts w:hint="eastAsia"/>
          <w:color w:val="000000" w:themeColor="text1"/>
          <w14:textFill>
            <w14:solidFill>
              <w14:schemeClr w14:val="tx1"/>
            </w14:solidFill>
          </w14:textFill>
        </w:rPr>
        <w:t>可对抗第三人的优先偿付负债情况</w:t>
      </w:r>
    </w:p>
    <w:p w14:paraId="5DE28860">
      <w:pPr>
        <w:spacing w:before="120" w:beforeLines="50" w:after="120" w:afterLines="50"/>
        <w:rPr>
          <w:rFonts w:hint="eastAsia"/>
          <w:color w:val="000000" w:themeColor="text1"/>
          <w14:textFill>
            <w14:solidFill>
              <w14:schemeClr w14:val="tx1"/>
            </w14:solidFill>
          </w14:textFill>
        </w:rPr>
      </w:pPr>
      <w:r>
        <w:rPr>
          <w:color w:val="000000" w:themeColor="text1"/>
          <w14:textFill>
            <w14:solidFill>
              <w14:schemeClr w14:val="tx1"/>
            </w14:solidFill>
          </w14:textFill>
        </w:rPr>
        <w:t>截至报告期末</w:t>
      </w:r>
      <w:r>
        <w:rPr>
          <w:rFonts w:hint="eastAsia"/>
          <w:color w:val="000000" w:themeColor="text1"/>
          <w14:textFill>
            <w14:solidFill>
              <w14:schemeClr w14:val="tx1"/>
            </w14:solidFill>
          </w14:textFill>
        </w:rPr>
        <w:t>，公司合并报表范围内存在</w:t>
      </w:r>
      <w:r>
        <w:rPr>
          <w:color w:val="000000" w:themeColor="text1"/>
          <w14:textFill>
            <w14:solidFill>
              <w14:schemeClr w14:val="tx1"/>
            </w14:solidFill>
          </w14:textFill>
        </w:rPr>
        <w:t>可对抗第三人的优先偿付负债</w:t>
      </w:r>
      <w:r>
        <w:rPr>
          <w:rFonts w:hint="eastAsia"/>
          <w:color w:val="000000" w:themeColor="text1"/>
          <w14:textFill>
            <w14:solidFill>
              <w14:schemeClr w14:val="tx1"/>
            </w14:solidFill>
          </w14:textFill>
        </w:rPr>
        <w:t>：</w:t>
      </w:r>
    </w:p>
    <w:sdt>
      <w:sdtPr>
        <w:rPr>
          <w:rFonts w:hint="eastAsia"/>
          <w:color w:val="000000" w:themeColor="text1"/>
          <w14:textFill>
            <w14:solidFill>
              <w14:schemeClr w14:val="tx1"/>
            </w14:solidFill>
          </w14:textFill>
        </w:rPr>
        <w:alias w:val="是否适用：可对抗第三人的优先偿付负债情况[双击切换]"/>
        <w:tag w:val="_GBC_2bc44d07a9734f1cb6730a343a3126dc"/>
        <w:id w:val="-1118751831"/>
        <w:placeholder>
          <w:docPart w:val="GBC22222222222222222222222222222"/>
        </w:placeholder>
      </w:sdtPr>
      <w:sdtEndPr>
        <w:rPr>
          <w:rFonts w:hint="eastAsia"/>
          <w:color w:val="000000" w:themeColor="text1"/>
          <w14:textFill>
            <w14:solidFill>
              <w14:schemeClr w14:val="tx1"/>
            </w14:solidFill>
          </w14:textFill>
        </w:rPr>
      </w:sdtEndPr>
      <w:sdtContent>
        <w:p w14:paraId="4B22C6B8">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186"/>
    <w:bookmarkEnd w:id="191"/>
    <w:p w14:paraId="102E5AB0">
      <w:pPr>
        <w:rPr>
          <w:rFonts w:hint="eastAsia"/>
          <w:color w:val="000000" w:themeColor="text1"/>
          <w14:textFill>
            <w14:solidFill>
              <w14:schemeClr w14:val="tx1"/>
            </w14:solidFill>
          </w14:textFill>
        </w:rPr>
      </w:pPr>
    </w:p>
    <w:p w14:paraId="56BDF346">
      <w:pPr>
        <w:pStyle w:val="4"/>
        <w:numPr>
          <w:ilvl w:val="0"/>
          <w:numId w:val="80"/>
        </w:numPr>
        <w:ind w:left="425" w:hanging="425"/>
        <w:rPr>
          <w:rFonts w:hint="eastAsia" w:ascii="宋体" w:hAnsi="宋体"/>
        </w:rPr>
      </w:pPr>
      <w:bookmarkStart w:id="195" w:name="_Hlk183693661"/>
      <w:r>
        <w:rPr>
          <w:rFonts w:hint="eastAsia" w:ascii="宋体" w:hAnsi="宋体"/>
        </w:rPr>
        <w:t>银行间债券市场非金融企业债务融资工具</w:t>
      </w:r>
    </w:p>
    <w:sdt>
      <w:sdtPr>
        <w:rPr>
          <w:rFonts w:hint="eastAsia"/>
          <w:szCs w:val="21"/>
        </w:rPr>
        <w:alias w:val="是否适用：银行间债券市场非金融企业债务融资工具相关情况[双击切换]"/>
        <w:tag w:val="_GBC_068331f902934673bb4e09fc277065e0"/>
        <w:id w:val="470478998"/>
        <w:lock w:val="contentLocked"/>
        <w:placeholder>
          <w:docPart w:val="GBC22222222222222222222222222222"/>
        </w:placeholder>
      </w:sdtPr>
      <w:sdtEndPr>
        <w:rPr>
          <w:rFonts w:hint="eastAsia"/>
          <w:szCs w:val="21"/>
        </w:rPr>
      </w:sdtEndPr>
      <w:sdtContent>
        <w:p w14:paraId="502AB90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D3F7072">
      <w:pPr>
        <w:pStyle w:val="5"/>
        <w:numPr>
          <w:ilvl w:val="0"/>
          <w:numId w:val="86"/>
        </w:numPr>
        <w:rPr>
          <w:rFonts w:hint="eastAsia" w:ascii="宋体" w:hAnsi="宋体" w:cs="宋体"/>
          <w:kern w:val="0"/>
          <w:szCs w:val="24"/>
        </w:rPr>
      </w:pPr>
      <w:r>
        <w:rPr>
          <w:rFonts w:ascii="宋体" w:hAnsi="宋体" w:cs="宋体"/>
          <w:kern w:val="0"/>
          <w:szCs w:val="24"/>
        </w:rPr>
        <w:t>非金融企业债务融资工具</w:t>
      </w:r>
      <w:r>
        <w:rPr>
          <w:rFonts w:hint="eastAsia" w:ascii="宋体" w:hAnsi="宋体" w:cs="宋体"/>
          <w:kern w:val="0"/>
          <w:szCs w:val="24"/>
        </w:rPr>
        <w:t>基本情况</w:t>
      </w:r>
    </w:p>
    <w:p w14:paraId="35C9C551">
      <w:pPr>
        <w:jc w:val="right"/>
        <w:rPr>
          <w:rFonts w:hint="eastAsia"/>
          <w:szCs w:val="21"/>
        </w:rPr>
      </w:pPr>
      <w:r>
        <w:rPr>
          <w:rFonts w:hint="eastAsia"/>
          <w:szCs w:val="21"/>
        </w:rPr>
        <w:t>单位</w:t>
      </w:r>
      <w:r>
        <w:rPr>
          <w:szCs w:val="21"/>
        </w:rPr>
        <w:t>：</w:t>
      </w:r>
      <w:sdt>
        <w:sdtPr>
          <w:rPr>
            <w:szCs w:val="21"/>
          </w:rPr>
          <w:alias w:val="单位：财务附注：公司债券基本情况"/>
          <w:tag w:val="_GBC_292a3db6e6ac482b829963a2797f2d54"/>
          <w:id w:val="1457140368"/>
          <w:placeholder>
            <w:docPart w:val="6F49AB039B644092B81367CAB677510F"/>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szCs w:val="21"/>
            </w:rPr>
            <w:t>亿元</w:t>
          </w:r>
        </w:sdtContent>
      </w:sdt>
      <w:r>
        <w:rPr>
          <w:rFonts w:hint="eastAsia"/>
          <w:szCs w:val="21"/>
        </w:rPr>
        <w:t xml:space="preserve">  币种</w:t>
      </w:r>
      <w:r>
        <w:rPr>
          <w:szCs w:val="21"/>
        </w:rPr>
        <w:t>：</w:t>
      </w:r>
      <w:sdt>
        <w:sdtPr>
          <w:rPr>
            <w:szCs w:val="21"/>
          </w:rPr>
          <w:alias w:val="币种：财务附注：公司债券基本情况"/>
          <w:tag w:val="_GBC_82350e81d1d945d8a0bd5b070aca64ca"/>
          <w:id w:val="217100329"/>
          <w:placeholder>
            <w:docPart w:val="6F49AB039B644092B81367CAB677510F"/>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118"/>
        <w:gridCol w:w="1329"/>
        <w:gridCol w:w="1129"/>
        <w:gridCol w:w="970"/>
        <w:gridCol w:w="995"/>
        <w:gridCol w:w="707"/>
        <w:gridCol w:w="851"/>
        <w:gridCol w:w="993"/>
        <w:gridCol w:w="707"/>
        <w:gridCol w:w="993"/>
        <w:gridCol w:w="2002"/>
        <w:gridCol w:w="951"/>
      </w:tblGrid>
      <w:tr w14:paraId="309F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cdd0adccd63749bba89a27a885ec8287"/>
            <w:id w:val="-2117658012"/>
          </w:sdtPr>
          <w:sdtContent>
            <w:tc>
              <w:tcPr>
                <w:tcW w:w="403" w:type="pct"/>
                <w:vAlign w:val="center"/>
              </w:tcPr>
              <w:p w14:paraId="18A390AA">
                <w:pPr>
                  <w:widowControl w:val="0"/>
                  <w:jc w:val="center"/>
                  <w:rPr>
                    <w:rFonts w:hint="eastAsia" w:cs="Times New Roman"/>
                    <w:b/>
                    <w:bCs/>
                    <w:kern w:val="2"/>
                    <w:szCs w:val="21"/>
                  </w:rPr>
                </w:pPr>
                <w:r>
                  <w:rPr>
                    <w:rFonts w:hint="eastAsia"/>
                    <w:szCs w:val="21"/>
                  </w:rPr>
                  <w:t>债券名称</w:t>
                </w:r>
              </w:p>
            </w:tc>
          </w:sdtContent>
        </w:sdt>
        <w:sdt>
          <w:sdtPr>
            <w:tag w:val="_PLD_cde490b92f994c5297295379ca6990fb"/>
            <w:id w:val="-1064561971"/>
          </w:sdtPr>
          <w:sdtContent>
            <w:tc>
              <w:tcPr>
                <w:tcW w:w="403" w:type="pct"/>
                <w:vAlign w:val="center"/>
              </w:tcPr>
              <w:p w14:paraId="55F1943C">
                <w:pPr>
                  <w:widowControl w:val="0"/>
                  <w:jc w:val="center"/>
                  <w:rPr>
                    <w:rFonts w:hint="eastAsia"/>
                    <w:szCs w:val="21"/>
                  </w:rPr>
                </w:pPr>
                <w:r>
                  <w:rPr>
                    <w:rFonts w:hint="eastAsia"/>
                    <w:szCs w:val="21"/>
                  </w:rPr>
                  <w:t>简称</w:t>
                </w:r>
              </w:p>
            </w:tc>
          </w:sdtContent>
        </w:sdt>
        <w:sdt>
          <w:sdtPr>
            <w:tag w:val="_PLD_25272220cd4a45aa84ed1b9fe548c2dd"/>
            <w:id w:val="-1796519290"/>
          </w:sdtPr>
          <w:sdtContent>
            <w:tc>
              <w:tcPr>
                <w:tcW w:w="479" w:type="pct"/>
                <w:vAlign w:val="center"/>
              </w:tcPr>
              <w:p w14:paraId="2FD0B0C4">
                <w:pPr>
                  <w:widowControl w:val="0"/>
                  <w:jc w:val="center"/>
                  <w:rPr>
                    <w:rFonts w:hint="eastAsia"/>
                    <w:szCs w:val="21"/>
                  </w:rPr>
                </w:pPr>
                <w:r>
                  <w:rPr>
                    <w:rFonts w:hint="eastAsia"/>
                    <w:szCs w:val="21"/>
                  </w:rPr>
                  <w:t>代码</w:t>
                </w:r>
              </w:p>
            </w:tc>
          </w:sdtContent>
        </w:sdt>
        <w:sdt>
          <w:sdtPr>
            <w:tag w:val="_PLD_530d277f6e8d4e6694ae971b4469a6e5"/>
            <w:id w:val="1090206204"/>
          </w:sdtPr>
          <w:sdtContent>
            <w:tc>
              <w:tcPr>
                <w:tcW w:w="407" w:type="pct"/>
                <w:vAlign w:val="center"/>
              </w:tcPr>
              <w:p w14:paraId="741A296A">
                <w:pPr>
                  <w:widowControl w:val="0"/>
                  <w:jc w:val="center"/>
                  <w:rPr>
                    <w:rFonts w:hint="eastAsia"/>
                    <w:szCs w:val="21"/>
                  </w:rPr>
                </w:pPr>
                <w:r>
                  <w:rPr>
                    <w:rFonts w:hint="eastAsia"/>
                    <w:szCs w:val="21"/>
                  </w:rPr>
                  <w:t>发行日</w:t>
                </w:r>
              </w:p>
            </w:tc>
          </w:sdtContent>
        </w:sdt>
        <w:tc>
          <w:tcPr>
            <w:tcW w:w="350" w:type="pct"/>
            <w:vAlign w:val="center"/>
          </w:tcPr>
          <w:sdt>
            <w:sdtPr>
              <w:tag w:val="_PLD_614b03bdf70743299e27b9dba05da3ae"/>
              <w:id w:val="-648681129"/>
            </w:sdtPr>
            <w:sdtContent>
              <w:p w14:paraId="2AB3BC06">
                <w:pPr>
                  <w:widowControl w:val="0"/>
                  <w:jc w:val="center"/>
                  <w:rPr>
                    <w:rFonts w:hint="eastAsia"/>
                  </w:rPr>
                </w:pPr>
                <w:r>
                  <w:rPr>
                    <w:rFonts w:hint="eastAsia"/>
                  </w:rPr>
                  <w:t>起息日</w:t>
                </w:r>
              </w:p>
            </w:sdtContent>
          </w:sdt>
        </w:tc>
        <w:sdt>
          <w:sdtPr>
            <w:tag w:val="_PLD_aba99328f1714f189df5afab657be604"/>
            <w:id w:val="201071985"/>
          </w:sdtPr>
          <w:sdtContent>
            <w:tc>
              <w:tcPr>
                <w:tcW w:w="359" w:type="pct"/>
                <w:vAlign w:val="center"/>
              </w:tcPr>
              <w:p w14:paraId="4C40F70A">
                <w:pPr>
                  <w:widowControl w:val="0"/>
                  <w:jc w:val="center"/>
                  <w:rPr>
                    <w:rFonts w:hint="eastAsia"/>
                    <w:szCs w:val="21"/>
                  </w:rPr>
                </w:pPr>
                <w:r>
                  <w:rPr>
                    <w:rFonts w:hint="eastAsia"/>
                    <w:szCs w:val="21"/>
                  </w:rPr>
                  <w:t>到期日</w:t>
                </w:r>
              </w:p>
            </w:tc>
          </w:sdtContent>
        </w:sdt>
        <w:sdt>
          <w:sdtPr>
            <w:tag w:val="_PLD_732f45f4de0a4974ab72c3a5d9e71f02"/>
            <w:id w:val="-1252190493"/>
          </w:sdtPr>
          <w:sdtContent>
            <w:tc>
              <w:tcPr>
                <w:tcW w:w="255" w:type="pct"/>
                <w:vAlign w:val="center"/>
              </w:tcPr>
              <w:p w14:paraId="735211B2">
                <w:pPr>
                  <w:widowControl w:val="0"/>
                  <w:jc w:val="center"/>
                  <w:rPr>
                    <w:rFonts w:hint="eastAsia"/>
                    <w:szCs w:val="21"/>
                  </w:rPr>
                </w:pPr>
                <w:r>
                  <w:rPr>
                    <w:rFonts w:hint="eastAsia"/>
                    <w:szCs w:val="21"/>
                  </w:rPr>
                  <w:t>债券余额</w:t>
                </w:r>
              </w:p>
            </w:tc>
          </w:sdtContent>
        </w:sdt>
        <w:sdt>
          <w:sdtPr>
            <w:tag w:val="_PLD_7b94b8b6fb2c437c9141b26b95af94b8"/>
            <w:id w:val="1353689666"/>
          </w:sdtPr>
          <w:sdtContent>
            <w:tc>
              <w:tcPr>
                <w:tcW w:w="307" w:type="pct"/>
                <w:vAlign w:val="center"/>
              </w:tcPr>
              <w:p w14:paraId="2E7DDC6A">
                <w:pPr>
                  <w:widowControl w:val="0"/>
                  <w:jc w:val="center"/>
                  <w:rPr>
                    <w:rFonts w:hint="eastAsia"/>
                    <w:szCs w:val="21"/>
                  </w:rPr>
                </w:pPr>
                <w:r>
                  <w:rPr>
                    <w:rFonts w:hint="eastAsia"/>
                    <w:szCs w:val="21"/>
                  </w:rPr>
                  <w:t>利率（%）</w:t>
                </w:r>
              </w:p>
            </w:tc>
          </w:sdtContent>
        </w:sdt>
        <w:sdt>
          <w:sdtPr>
            <w:tag w:val="_PLD_caf6f36467b146a4a23dcdc9c74b3c68"/>
            <w:id w:val="211315525"/>
          </w:sdtPr>
          <w:sdtContent>
            <w:tc>
              <w:tcPr>
                <w:tcW w:w="358" w:type="pct"/>
                <w:vAlign w:val="center"/>
              </w:tcPr>
              <w:p w14:paraId="2D7DA700">
                <w:pPr>
                  <w:widowControl w:val="0"/>
                  <w:jc w:val="center"/>
                  <w:rPr>
                    <w:rFonts w:hint="eastAsia"/>
                    <w:szCs w:val="21"/>
                  </w:rPr>
                </w:pPr>
                <w:r>
                  <w:rPr>
                    <w:rFonts w:hint="eastAsia"/>
                    <w:szCs w:val="21"/>
                  </w:rPr>
                  <w:t>还本付息方式</w:t>
                </w:r>
              </w:p>
            </w:tc>
          </w:sdtContent>
        </w:sdt>
        <w:sdt>
          <w:sdtPr>
            <w:tag w:val="_PLD_11be763676574e4aa15e9e73e247b7bc"/>
            <w:id w:val="-1639563067"/>
          </w:sdtPr>
          <w:sdtContent>
            <w:tc>
              <w:tcPr>
                <w:tcW w:w="255" w:type="pct"/>
                <w:vAlign w:val="center"/>
              </w:tcPr>
              <w:p w14:paraId="487C7255">
                <w:pPr>
                  <w:widowControl w:val="0"/>
                  <w:jc w:val="center"/>
                  <w:rPr>
                    <w:rFonts w:hint="eastAsia"/>
                    <w:szCs w:val="21"/>
                  </w:rPr>
                </w:pPr>
                <w:r>
                  <w:rPr>
                    <w:rFonts w:hint="eastAsia"/>
                    <w:szCs w:val="21"/>
                  </w:rPr>
                  <w:t>交易场所</w:t>
                </w:r>
              </w:p>
            </w:tc>
          </w:sdtContent>
        </w:sdt>
        <w:sdt>
          <w:sdtPr>
            <w:tag w:val="_PLD_a92a7c8d9dbb4768bc68c2072d06c8de"/>
            <w:id w:val="164447612"/>
          </w:sdtPr>
          <w:sdtContent>
            <w:tc>
              <w:tcPr>
                <w:tcW w:w="358" w:type="pct"/>
                <w:vAlign w:val="center"/>
              </w:tcPr>
              <w:p w14:paraId="693AFDB8">
                <w:pPr>
                  <w:widowControl w:val="0"/>
                  <w:jc w:val="center"/>
                  <w:rPr>
                    <w:rFonts w:hint="eastAsia"/>
                  </w:rPr>
                </w:pPr>
                <w:r>
                  <w:rPr>
                    <w:rFonts w:hint="eastAsia"/>
                    <w:szCs w:val="21"/>
                  </w:rPr>
                  <w:t>投资者适当性安排（如有）</w:t>
                </w:r>
              </w:p>
            </w:tc>
          </w:sdtContent>
        </w:sdt>
        <w:tc>
          <w:tcPr>
            <w:tcW w:w="722" w:type="pct"/>
            <w:vAlign w:val="center"/>
          </w:tcPr>
          <w:sdt>
            <w:sdtPr>
              <w:tag w:val="_PLD_9821e63635b24704a2e650e3e907193d"/>
              <w:id w:val="-267619984"/>
            </w:sdtPr>
            <w:sdtContent>
              <w:p w14:paraId="172469B1">
                <w:pPr>
                  <w:widowControl w:val="0"/>
                  <w:jc w:val="center"/>
                  <w:rPr>
                    <w:rFonts w:hint="eastAsia"/>
                  </w:rPr>
                </w:pPr>
                <w:r>
                  <w:rPr>
                    <w:rFonts w:hint="eastAsia"/>
                  </w:rPr>
                  <w:t>交易机制</w:t>
                </w:r>
              </w:p>
            </w:sdtContent>
          </w:sdt>
        </w:tc>
        <w:sdt>
          <w:sdtPr>
            <w:tag w:val="_PLD_93175a30f2d045a49c4c9b0f4a8fce07"/>
            <w:id w:val="1113020276"/>
          </w:sdtPr>
          <w:sdtContent>
            <w:tc>
              <w:tcPr>
                <w:tcW w:w="343" w:type="pct"/>
              </w:tcPr>
              <w:p w14:paraId="6AF769B7">
                <w:pPr>
                  <w:widowControl w:val="0"/>
                  <w:jc w:val="center"/>
                  <w:rPr>
                    <w:rFonts w:hint="eastAsia"/>
                  </w:rPr>
                </w:pPr>
                <w:r>
                  <w:rPr>
                    <w:rFonts w:hint="eastAsia"/>
                    <w:szCs w:val="21"/>
                  </w:rPr>
                  <w:t>是否存在终止上市交易的风险</w:t>
                </w:r>
              </w:p>
            </w:tc>
          </w:sdtContent>
        </w:sdt>
      </w:tr>
      <w:tr w14:paraId="3CF8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 w:type="pct"/>
            <w:vAlign w:val="center"/>
          </w:tcPr>
          <w:p w14:paraId="70A84627">
            <w:pPr>
              <w:widowControl w:val="0"/>
              <w:jc w:val="both"/>
              <w:rPr>
                <w:rFonts w:hint="eastAsia"/>
                <w:szCs w:val="21"/>
              </w:rPr>
            </w:pPr>
            <w:r>
              <w:rPr>
                <w:rFonts w:hint="eastAsia"/>
                <w:color w:val="000000"/>
                <w:szCs w:val="21"/>
              </w:rPr>
              <w:t>际华集团股份有限公司2023年度第一期中期票据</w:t>
            </w:r>
          </w:p>
        </w:tc>
        <w:tc>
          <w:tcPr>
            <w:tcW w:w="403" w:type="pct"/>
            <w:vAlign w:val="center"/>
          </w:tcPr>
          <w:p w14:paraId="02984B18">
            <w:pPr>
              <w:widowControl w:val="0"/>
              <w:jc w:val="both"/>
              <w:rPr>
                <w:rFonts w:hint="eastAsia"/>
                <w:szCs w:val="21"/>
              </w:rPr>
            </w:pPr>
            <w:r>
              <w:rPr>
                <w:rFonts w:ascii="Arial Narrow" w:hAnsi="Arial Narrow" w:eastAsia="等线"/>
                <w:color w:val="000000"/>
                <w:szCs w:val="21"/>
              </w:rPr>
              <w:t>23际华集团MTN001</w:t>
            </w:r>
          </w:p>
        </w:tc>
        <w:tc>
          <w:tcPr>
            <w:tcW w:w="479" w:type="pct"/>
            <w:vAlign w:val="center"/>
          </w:tcPr>
          <w:p w14:paraId="27859430">
            <w:pPr>
              <w:widowControl w:val="0"/>
              <w:jc w:val="both"/>
              <w:rPr>
                <w:rFonts w:hint="eastAsia"/>
                <w:szCs w:val="21"/>
              </w:rPr>
            </w:pPr>
            <w:r>
              <w:rPr>
                <w:rFonts w:ascii="Arial Narrow" w:hAnsi="Arial Narrow" w:eastAsia="等线"/>
                <w:color w:val="000000"/>
                <w:szCs w:val="21"/>
              </w:rPr>
              <w:t>102381286.IB</w:t>
            </w:r>
          </w:p>
        </w:tc>
        <w:tc>
          <w:tcPr>
            <w:tcW w:w="407" w:type="pct"/>
            <w:vAlign w:val="center"/>
          </w:tcPr>
          <w:p w14:paraId="4A92BF52">
            <w:pPr>
              <w:widowControl w:val="0"/>
              <w:jc w:val="both"/>
              <w:rPr>
                <w:rFonts w:hint="eastAsia"/>
                <w:szCs w:val="21"/>
              </w:rPr>
            </w:pPr>
            <w:r>
              <w:rPr>
                <w:rFonts w:ascii="Arial Narrow" w:hAnsi="Arial Narrow" w:eastAsia="等线"/>
                <w:color w:val="000000"/>
                <w:szCs w:val="21"/>
              </w:rPr>
              <w:t>2023年6月1日-2023年6月2日</w:t>
            </w:r>
          </w:p>
        </w:tc>
        <w:tc>
          <w:tcPr>
            <w:tcW w:w="350" w:type="pct"/>
            <w:vAlign w:val="center"/>
          </w:tcPr>
          <w:p w14:paraId="7AC27B03">
            <w:pPr>
              <w:widowControl w:val="0"/>
              <w:jc w:val="both"/>
              <w:rPr>
                <w:rFonts w:hint="eastAsia"/>
                <w:szCs w:val="21"/>
              </w:rPr>
            </w:pPr>
            <w:r>
              <w:rPr>
                <w:rFonts w:ascii="Arial Narrow" w:hAnsi="Arial Narrow" w:eastAsia="等线"/>
                <w:color w:val="000000"/>
                <w:szCs w:val="21"/>
              </w:rPr>
              <w:t>2023年6月5日</w:t>
            </w:r>
          </w:p>
        </w:tc>
        <w:tc>
          <w:tcPr>
            <w:tcW w:w="359" w:type="pct"/>
            <w:vAlign w:val="center"/>
          </w:tcPr>
          <w:p w14:paraId="11F61435">
            <w:pPr>
              <w:widowControl w:val="0"/>
              <w:jc w:val="both"/>
              <w:rPr>
                <w:rFonts w:hint="eastAsia"/>
                <w:szCs w:val="21"/>
              </w:rPr>
            </w:pPr>
            <w:r>
              <w:rPr>
                <w:rFonts w:ascii="Arial Narrow" w:hAnsi="Arial Narrow" w:eastAsia="等线"/>
                <w:color w:val="000000"/>
                <w:szCs w:val="21"/>
              </w:rPr>
              <w:t>2026年6月5日</w:t>
            </w:r>
          </w:p>
        </w:tc>
        <w:tc>
          <w:tcPr>
            <w:tcW w:w="255" w:type="pct"/>
            <w:vAlign w:val="center"/>
          </w:tcPr>
          <w:p w14:paraId="2872014F">
            <w:pPr>
              <w:widowControl w:val="0"/>
              <w:jc w:val="right"/>
              <w:rPr>
                <w:rFonts w:hint="eastAsia"/>
                <w:szCs w:val="21"/>
              </w:rPr>
            </w:pPr>
            <w:r>
              <w:rPr>
                <w:rFonts w:ascii="Arial Narrow" w:hAnsi="Arial Narrow" w:eastAsia="等线"/>
                <w:color w:val="000000"/>
                <w:szCs w:val="21"/>
              </w:rPr>
              <w:t>5</w:t>
            </w:r>
          </w:p>
        </w:tc>
        <w:tc>
          <w:tcPr>
            <w:tcW w:w="307" w:type="pct"/>
            <w:vAlign w:val="center"/>
          </w:tcPr>
          <w:p w14:paraId="38A8F530">
            <w:pPr>
              <w:widowControl w:val="0"/>
              <w:jc w:val="right"/>
              <w:rPr>
                <w:rFonts w:hint="eastAsia"/>
                <w:szCs w:val="21"/>
              </w:rPr>
            </w:pPr>
            <w:r>
              <w:rPr>
                <w:rFonts w:ascii="Arial Narrow" w:hAnsi="Arial Narrow" w:eastAsia="等线"/>
                <w:color w:val="000000"/>
                <w:szCs w:val="21"/>
              </w:rPr>
              <w:t>3.07</w:t>
            </w:r>
          </w:p>
        </w:tc>
        <w:tc>
          <w:tcPr>
            <w:tcW w:w="358" w:type="pct"/>
            <w:vAlign w:val="center"/>
          </w:tcPr>
          <w:p w14:paraId="44D302D6">
            <w:pPr>
              <w:widowControl w:val="0"/>
              <w:jc w:val="both"/>
              <w:rPr>
                <w:rFonts w:hint="eastAsia"/>
                <w:szCs w:val="21"/>
              </w:rPr>
            </w:pPr>
            <w:r>
              <w:rPr>
                <w:rFonts w:hint="eastAsia"/>
                <w:color w:val="000000"/>
                <w:szCs w:val="21"/>
              </w:rPr>
              <w:t>按年付息到期一次性还本</w:t>
            </w:r>
          </w:p>
        </w:tc>
        <w:tc>
          <w:tcPr>
            <w:tcW w:w="255" w:type="pct"/>
            <w:vAlign w:val="center"/>
          </w:tcPr>
          <w:p w14:paraId="6E20A1C2">
            <w:pPr>
              <w:widowControl w:val="0"/>
              <w:jc w:val="both"/>
              <w:rPr>
                <w:rFonts w:hint="eastAsia"/>
                <w:szCs w:val="21"/>
              </w:rPr>
            </w:pPr>
            <w:r>
              <w:rPr>
                <w:rFonts w:hint="eastAsia"/>
                <w:color w:val="000000"/>
                <w:szCs w:val="21"/>
              </w:rPr>
              <w:t>银行间市场</w:t>
            </w:r>
          </w:p>
        </w:tc>
        <w:tc>
          <w:tcPr>
            <w:tcW w:w="358" w:type="pct"/>
            <w:vAlign w:val="center"/>
          </w:tcPr>
          <w:p w14:paraId="74EA7D65">
            <w:pPr>
              <w:widowControl w:val="0"/>
              <w:jc w:val="both"/>
              <w:rPr>
                <w:rFonts w:hint="eastAsia"/>
                <w:szCs w:val="21"/>
              </w:rPr>
            </w:pPr>
            <w:r>
              <w:rPr>
                <w:rFonts w:hint="eastAsia"/>
                <w:color w:val="000000"/>
                <w:szCs w:val="21"/>
              </w:rPr>
              <w:t>银行间市场的机构投资者（国家法律法规禁止购买者除外）</w:t>
            </w:r>
          </w:p>
        </w:tc>
        <w:tc>
          <w:tcPr>
            <w:tcW w:w="722" w:type="pct"/>
            <w:vAlign w:val="center"/>
          </w:tcPr>
          <w:p w14:paraId="62D97783">
            <w:pPr>
              <w:widowControl w:val="0"/>
              <w:jc w:val="both"/>
              <w:rPr>
                <w:rFonts w:hint="eastAsia"/>
                <w:szCs w:val="21"/>
              </w:rPr>
            </w:pPr>
            <w:r>
              <w:rPr>
                <w:rFonts w:hint="eastAsia"/>
                <w:color w:val="000000"/>
                <w:szCs w:val="21"/>
              </w:rPr>
              <w:t>本期中期票据在债权登记日的次一工作日(2023年6月6日)，即可以在全国银行间债券市场流通转让。按照全国银行间同业拆借中心颁布的相关规定进行。</w:t>
            </w:r>
          </w:p>
        </w:tc>
        <w:sdt>
          <w:sdtPr>
            <w:rPr>
              <w:szCs w:val="21"/>
            </w:rPr>
            <w:alias w:val="公司债券基本情况明细_是否存在终止上市交易的风险 "/>
            <w:tag w:val="_GBC_bd3693a6c2914f90a08447cefd06e642"/>
            <w:id w:val="1414972658"/>
            <w:comboBox>
              <w:listItem w:displayText="是" w:value="是"/>
              <w:listItem w:displayText="否" w:value="否"/>
            </w:comboBox>
          </w:sdtPr>
          <w:sdtEndPr>
            <w:rPr>
              <w:szCs w:val="21"/>
            </w:rPr>
          </w:sdtEndPr>
          <w:sdtContent>
            <w:tc>
              <w:tcPr>
                <w:tcW w:w="343" w:type="pct"/>
                <w:vAlign w:val="center"/>
              </w:tcPr>
              <w:p w14:paraId="4BCAC51D">
                <w:pPr>
                  <w:widowControl w:val="0"/>
                  <w:jc w:val="both"/>
                  <w:rPr>
                    <w:rFonts w:hint="eastAsia"/>
                    <w:szCs w:val="21"/>
                  </w:rPr>
                </w:pPr>
                <w:r>
                  <w:rPr>
                    <w:szCs w:val="21"/>
                  </w:rPr>
                  <w:t>否</w:t>
                </w:r>
              </w:p>
            </w:tc>
          </w:sdtContent>
        </w:sdt>
      </w:tr>
    </w:tbl>
    <w:p w14:paraId="16A92C6D">
      <w:pPr>
        <w:rPr>
          <w:rFonts w:hint="eastAsia"/>
          <w:szCs w:val="21"/>
        </w:rPr>
      </w:pPr>
    </w:p>
    <w:p w14:paraId="731A04C5">
      <w:pPr>
        <w:rPr>
          <w:rFonts w:hint="eastAsia"/>
        </w:rPr>
      </w:pPr>
      <w:r>
        <w:rPr>
          <w:rFonts w:hint="eastAsia"/>
        </w:rPr>
        <w:t>公司对债券终止上市交易风险的应对措施</w:t>
      </w:r>
    </w:p>
    <w:sdt>
      <w:sdtPr>
        <w:rPr>
          <w:rFonts w:cs="Times New Roman"/>
          <w:bCs/>
          <w:color w:val="000000" w:themeColor="text1"/>
          <w:kern w:val="2"/>
          <w:szCs w:val="21"/>
          <w14:textFill>
            <w14:solidFill>
              <w14:schemeClr w14:val="tx1"/>
            </w14:solidFill>
          </w14:textFill>
        </w:rPr>
        <w:alias w:val="是否适用：公司对债券终止上市交易风险的应对措施 [双击切换]"/>
        <w:tag w:val="_GBC_ec6b96e6a98d454dabeebd9fc4c288a4"/>
        <w:id w:val="327869355"/>
        <w:placeholder>
          <w:docPart w:val="6F49AB039B644092B81367CAB677510F"/>
        </w:placeholder>
      </w:sdtPr>
      <w:sdtEndPr>
        <w:rPr>
          <w:rFonts w:cs="Times New Roman"/>
          <w:bCs/>
          <w:color w:val="000000" w:themeColor="text1"/>
          <w:kern w:val="2"/>
          <w:szCs w:val="21"/>
          <w14:textFill>
            <w14:solidFill>
              <w14:schemeClr w14:val="tx1"/>
            </w14:solidFill>
          </w14:textFill>
        </w:rPr>
      </w:sdtEndPr>
      <w:sdtContent>
        <w:p w14:paraId="5A14E861">
          <w:pPr>
            <w:rPr>
              <w:rFonts w:hint="eastAsia"/>
              <w:color w:val="000000" w:themeColor="text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6F23ABE6">
      <w:pPr>
        <w:rPr>
          <w:rFonts w:hint="eastAsia" w:cs="Times New Roman"/>
          <w:bCs/>
          <w:color w:val="000000" w:themeColor="text1"/>
          <w:kern w:val="2"/>
          <w:szCs w:val="21"/>
          <w14:textFill>
            <w14:solidFill>
              <w14:schemeClr w14:val="tx1"/>
            </w14:solidFill>
          </w14:textFill>
        </w:rPr>
      </w:pPr>
    </w:p>
    <w:p w14:paraId="46868E84">
      <w:pPr>
        <w:rPr>
          <w:rFonts w:hint="eastAsia"/>
        </w:rPr>
      </w:pPr>
      <w:r>
        <w:t>逾期未偿还债券</w:t>
      </w:r>
    </w:p>
    <w:sdt>
      <w:sdtPr>
        <w:rPr>
          <w:rFonts w:hint="eastAsia"/>
        </w:rPr>
        <w:alias w:val="是否适用：逾期未偿还债券[双击切换]"/>
        <w:tag w:val="_GBC_9c99cad987204456a655097fa5372558"/>
        <w:id w:val="1925905795"/>
        <w:placeholder>
          <w:docPart w:val="6F49AB039B644092B81367CAB677510F"/>
        </w:placeholder>
      </w:sdtPr>
      <w:sdtEndPr>
        <w:rPr>
          <w:rFonts w:hint="eastAsia"/>
        </w:rPr>
      </w:sdtEndPr>
      <w:sdtContent>
        <w:p w14:paraId="0270B6B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E059052">
      <w:pPr>
        <w:rPr>
          <w:rFonts w:hint="eastAsia" w:cs="Times New Roman"/>
          <w:bCs/>
          <w:kern w:val="2"/>
          <w:szCs w:val="21"/>
        </w:rPr>
      </w:pPr>
    </w:p>
    <w:p w14:paraId="391ECF2B">
      <w:pPr>
        <w:rPr>
          <w:rFonts w:ascii="Arial" w:hAnsi="Arial" w:cs="Times New Roman"/>
          <w:bCs/>
          <w:kern w:val="2"/>
          <w:szCs w:val="21"/>
        </w:rPr>
      </w:pPr>
      <w:r>
        <w:rPr>
          <w:rFonts w:hint="eastAsia" w:ascii="Arial" w:hAnsi="Arial" w:cs="Times New Roman"/>
          <w:bCs/>
          <w:kern w:val="2"/>
          <w:szCs w:val="21"/>
        </w:rPr>
        <w:t>报告期内债券付息兑付情况</w:t>
      </w:r>
    </w:p>
    <w:sdt>
      <w:sdtPr>
        <w:rPr>
          <w:rFonts w:cs="Times New Roman"/>
          <w:bCs/>
          <w:kern w:val="2"/>
          <w:szCs w:val="21"/>
        </w:rPr>
        <w:alias w:val="是否适用：公司债券付息兑付情况 [双击切换]"/>
        <w:tag w:val="_GBC_e28ce686151c403e9669ae8582b4c60f"/>
        <w:id w:val="-1105199142"/>
        <w:placeholder>
          <w:docPart w:val="6F49AB039B644092B81367CAB677510F"/>
        </w:placeholder>
      </w:sdtPr>
      <w:sdtEndPr>
        <w:rPr>
          <w:rFonts w:cs="Times New Roman"/>
          <w:bCs/>
          <w:kern w:val="2"/>
          <w:szCs w:val="21"/>
        </w:rPr>
      </w:sdtEndPr>
      <w:sdtContent>
        <w:p w14:paraId="6DFE770B">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8"/>
        <w:gridCol w:w="10345"/>
      </w:tblGrid>
      <w:tr w14:paraId="0A27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1af169d88c349b3a621df004e1105e0"/>
            <w:id w:val="-867987453"/>
          </w:sdtPr>
          <w:sdtContent>
            <w:tc>
              <w:tcPr>
                <w:tcW w:w="1269" w:type="pct"/>
              </w:tcPr>
              <w:p w14:paraId="5629CA58">
                <w:pPr>
                  <w:widowControl w:val="0"/>
                  <w:jc w:val="center"/>
                  <w:rPr>
                    <w:rFonts w:ascii="Arial" w:hAnsi="Arial" w:cs="Times New Roman"/>
                    <w:bCs/>
                    <w:kern w:val="2"/>
                    <w:szCs w:val="21"/>
                  </w:rPr>
                </w:pPr>
                <w:r>
                  <w:rPr>
                    <w:rFonts w:ascii="Arial" w:hAnsi="Arial" w:cs="Times New Roman"/>
                    <w:bCs/>
                    <w:kern w:val="2"/>
                    <w:szCs w:val="21"/>
                  </w:rPr>
                  <w:t>债券名称</w:t>
                </w:r>
              </w:p>
            </w:tc>
          </w:sdtContent>
        </w:sdt>
        <w:sdt>
          <w:sdtPr>
            <w:tag w:val="_PLD_1d46fa2250da44ce8ce8c06a97ac25e5"/>
            <w:id w:val="461322017"/>
          </w:sdtPr>
          <w:sdtContent>
            <w:tc>
              <w:tcPr>
                <w:tcW w:w="3731" w:type="pct"/>
              </w:tcPr>
              <w:p w14:paraId="1C447ACC">
                <w:pPr>
                  <w:widowControl w:val="0"/>
                  <w:jc w:val="center"/>
                  <w:rPr>
                    <w:rFonts w:ascii="Arial" w:hAnsi="Arial" w:cs="Times New Roman"/>
                    <w:bCs/>
                    <w:kern w:val="2"/>
                    <w:szCs w:val="21"/>
                  </w:rPr>
                </w:pPr>
                <w:r>
                  <w:rPr>
                    <w:rFonts w:hint="eastAsia" w:ascii="Arial" w:hAnsi="Arial" w:cs="Times New Roman"/>
                    <w:bCs/>
                    <w:kern w:val="2"/>
                    <w:szCs w:val="21"/>
                  </w:rPr>
                  <w:t>付息兑付情况的说明</w:t>
                </w:r>
              </w:p>
            </w:tc>
          </w:sdtContent>
        </w:sdt>
      </w:tr>
      <w:tr w14:paraId="3298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pct"/>
            <w:tcBorders>
              <w:top w:val="single" w:color="auto" w:sz="4" w:space="0"/>
              <w:left w:val="single" w:color="auto" w:sz="4" w:space="0"/>
              <w:bottom w:val="single" w:color="auto" w:sz="4" w:space="0"/>
              <w:right w:val="single" w:color="auto" w:sz="4" w:space="0"/>
            </w:tcBorders>
            <w:vAlign w:val="center"/>
          </w:tcPr>
          <w:p w14:paraId="2C98BF89">
            <w:pPr>
              <w:widowControl w:val="0"/>
              <w:jc w:val="both"/>
              <w:rPr>
                <w:rFonts w:hint="eastAsia" w:cs="Times New Roman"/>
                <w:kern w:val="2"/>
                <w:szCs w:val="21"/>
              </w:rPr>
            </w:pPr>
            <w:r>
              <w:rPr>
                <w:rStyle w:val="136"/>
                <w:rFonts w:hint="eastAsia" w:eastAsia="等线"/>
              </w:rPr>
              <w:t>23际华集团MTN001</w:t>
            </w:r>
          </w:p>
        </w:tc>
        <w:tc>
          <w:tcPr>
            <w:tcW w:w="3731" w:type="pct"/>
            <w:tcBorders>
              <w:top w:val="single" w:color="auto" w:sz="4" w:space="0"/>
              <w:left w:val="single" w:color="auto" w:sz="4" w:space="0"/>
              <w:bottom w:val="single" w:color="auto" w:sz="4" w:space="0"/>
              <w:right w:val="single" w:color="auto" w:sz="4" w:space="0"/>
            </w:tcBorders>
          </w:tcPr>
          <w:p w14:paraId="7AF8B731">
            <w:pPr>
              <w:widowControl w:val="0"/>
              <w:jc w:val="both"/>
              <w:rPr>
                <w:rFonts w:hint="eastAsia" w:cs="Times New Roman"/>
                <w:kern w:val="2"/>
                <w:szCs w:val="21"/>
              </w:rPr>
            </w:pPr>
            <w:r>
              <w:rPr>
                <w:rStyle w:val="137"/>
                <w:rFonts w:hint="default"/>
              </w:rPr>
              <w:t>公司于</w:t>
            </w:r>
            <w:r>
              <w:rPr>
                <w:rStyle w:val="136"/>
              </w:rPr>
              <w:t>2024</w:t>
            </w:r>
            <w:r>
              <w:rPr>
                <w:rStyle w:val="137"/>
                <w:rFonts w:hint="default"/>
              </w:rPr>
              <w:t>年</w:t>
            </w:r>
            <w:r>
              <w:rPr>
                <w:rStyle w:val="136"/>
              </w:rPr>
              <w:t>6</w:t>
            </w:r>
            <w:r>
              <w:rPr>
                <w:rStyle w:val="137"/>
                <w:rFonts w:hint="default"/>
              </w:rPr>
              <w:t>月4日支付了2023年度第一期中期票据利息1,535万元。</w:t>
            </w:r>
          </w:p>
        </w:tc>
      </w:tr>
    </w:tbl>
    <w:p w14:paraId="07E01161">
      <w:pPr>
        <w:rPr>
          <w:rFonts w:hint="eastAsia" w:cs="Times New Roman"/>
          <w:kern w:val="2"/>
          <w:szCs w:val="21"/>
        </w:rPr>
      </w:pPr>
    </w:p>
    <w:p w14:paraId="3A077734">
      <w:pPr>
        <w:pStyle w:val="5"/>
        <w:numPr>
          <w:ilvl w:val="0"/>
          <w:numId w:val="86"/>
        </w:numPr>
        <w:ind w:left="425" w:hanging="425"/>
        <w:rPr>
          <w:rFonts w:hint="eastAsia" w:ascii="宋体" w:hAnsi="宋体" w:cs="宋体"/>
          <w:kern w:val="0"/>
          <w:szCs w:val="24"/>
        </w:rPr>
      </w:pPr>
      <w:r>
        <w:rPr>
          <w:rFonts w:hint="eastAsia" w:ascii="宋体" w:hAnsi="宋体" w:cs="宋体"/>
          <w:kern w:val="0"/>
          <w:szCs w:val="24"/>
        </w:rPr>
        <w:t>公司或投资者选择权条款、投资者保护条款的触发和执行情况</w:t>
      </w:r>
    </w:p>
    <w:sdt>
      <w:sdtPr>
        <w:rPr>
          <w:rFonts w:cs="Times New Roman"/>
          <w:bCs/>
          <w:kern w:val="2"/>
          <w:szCs w:val="21"/>
        </w:rPr>
        <w:alias w:val="是否适用：发行人或投资者选择权条款、投资者保护条款的触发和执行情况[双击切换]"/>
        <w:tag w:val="_GBC_29b68446298e49dbadc3c1f0fccb04bd"/>
        <w:id w:val="1167985525"/>
        <w:placeholder>
          <w:docPart w:val="6F49AB039B644092B81367CAB677510F"/>
        </w:placeholder>
      </w:sdtPr>
      <w:sdtEndPr>
        <w:rPr>
          <w:rFonts w:cs="Times New Roman"/>
          <w:bCs/>
          <w:kern w:val="2"/>
          <w:szCs w:val="21"/>
        </w:rPr>
      </w:sdtEndPr>
      <w:sdtContent>
        <w:p w14:paraId="5ABE1CE0">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4A66A8AC">
      <w:pPr>
        <w:rPr>
          <w:rFonts w:hint="eastAsia"/>
          <w:szCs w:val="21"/>
        </w:rPr>
      </w:pPr>
    </w:p>
    <w:p w14:paraId="5F61AC85">
      <w:pPr>
        <w:pStyle w:val="5"/>
        <w:numPr>
          <w:ilvl w:val="0"/>
          <w:numId w:val="86"/>
        </w:numPr>
        <w:ind w:left="425" w:hanging="425"/>
        <w:rPr>
          <w:rFonts w:hint="eastAsia" w:ascii="宋体" w:hAnsi="宋体" w:cs="宋体"/>
          <w:kern w:val="0"/>
          <w:szCs w:val="24"/>
        </w:rPr>
      </w:pPr>
      <w:r>
        <w:rPr>
          <w:rFonts w:ascii="宋体" w:hAnsi="宋体" w:cs="宋体"/>
          <w:kern w:val="0"/>
          <w:szCs w:val="24"/>
        </w:rPr>
        <w:t>为债券发行及存续期业务提供服务的中介机构</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3"/>
        <w:gridCol w:w="4677"/>
        <w:gridCol w:w="1844"/>
        <w:gridCol w:w="1985"/>
        <w:gridCol w:w="2384"/>
      </w:tblGrid>
      <w:tr w14:paraId="58C8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sdt>
          <w:sdtPr>
            <w:tag w:val="_PLD_8eb147e9f61749b38a4e80de160775ed"/>
            <w:id w:val="1186322763"/>
          </w:sdtPr>
          <w:sdtEndPr>
            <w:rPr>
              <w:rFonts w:hint="eastAsia"/>
              <w:szCs w:val="21"/>
            </w:rPr>
          </w:sdtEndPr>
          <w:sdtContent>
            <w:tc>
              <w:tcPr>
                <w:tcW w:w="1072" w:type="pct"/>
                <w:vAlign w:val="center"/>
              </w:tcPr>
              <w:p w14:paraId="41244295">
                <w:pPr>
                  <w:widowControl w:val="0"/>
                  <w:jc w:val="center"/>
                  <w:rPr>
                    <w:rFonts w:hint="eastAsia"/>
                    <w:szCs w:val="21"/>
                  </w:rPr>
                </w:pPr>
                <w:r>
                  <w:t>中介</w:t>
                </w:r>
                <w:r>
                  <w:rPr>
                    <w:rFonts w:hint="eastAsia"/>
                    <w:szCs w:val="21"/>
                  </w:rPr>
                  <w:t>机构名称</w:t>
                </w:r>
              </w:p>
            </w:tc>
          </w:sdtContent>
        </w:sdt>
        <w:sdt>
          <w:sdtPr>
            <w:tag w:val="_PLD_d8c755406d384402b6e9db83baed229e"/>
            <w:id w:val="-2020146367"/>
          </w:sdtPr>
          <w:sdtContent>
            <w:tc>
              <w:tcPr>
                <w:tcW w:w="1687" w:type="pct"/>
                <w:vAlign w:val="center"/>
              </w:tcPr>
              <w:p w14:paraId="271B26EC">
                <w:pPr>
                  <w:widowControl w:val="0"/>
                  <w:jc w:val="center"/>
                  <w:rPr>
                    <w:rFonts w:hint="eastAsia"/>
                    <w:szCs w:val="21"/>
                  </w:rPr>
                </w:pPr>
                <w:r>
                  <w:t>办公地址</w:t>
                </w:r>
              </w:p>
            </w:tc>
          </w:sdtContent>
        </w:sdt>
        <w:sdt>
          <w:sdtPr>
            <w:tag w:val="_PLD_5b3a890e8ee146f4b6998072bb63c99d"/>
            <w:id w:val="735894134"/>
          </w:sdtPr>
          <w:sdtContent>
            <w:tc>
              <w:tcPr>
                <w:tcW w:w="665" w:type="pct"/>
                <w:vAlign w:val="center"/>
              </w:tcPr>
              <w:p w14:paraId="57B0E893">
                <w:pPr>
                  <w:widowControl w:val="0"/>
                  <w:jc w:val="center"/>
                  <w:rPr>
                    <w:rFonts w:hint="eastAsia"/>
                    <w:szCs w:val="21"/>
                  </w:rPr>
                </w:pPr>
                <w:r>
                  <w:t>签字会计师姓名</w:t>
                </w:r>
              </w:p>
            </w:tc>
          </w:sdtContent>
        </w:sdt>
        <w:sdt>
          <w:sdtPr>
            <w:tag w:val="_PLD_05828c1db7714364bc3140c6b14aa392"/>
            <w:id w:val="1544255833"/>
          </w:sdtPr>
          <w:sdtContent>
            <w:tc>
              <w:tcPr>
                <w:tcW w:w="716" w:type="pct"/>
                <w:vAlign w:val="center"/>
              </w:tcPr>
              <w:p w14:paraId="38D73C20">
                <w:pPr>
                  <w:widowControl w:val="0"/>
                  <w:jc w:val="center"/>
                  <w:rPr>
                    <w:rFonts w:hint="eastAsia"/>
                    <w:szCs w:val="21"/>
                  </w:rPr>
                </w:pPr>
                <w:r>
                  <w:t>联系人</w:t>
                </w:r>
              </w:p>
            </w:tc>
          </w:sdtContent>
        </w:sdt>
        <w:sdt>
          <w:sdtPr>
            <w:tag w:val="_PLD_0b6d6104bec94adca921a304b7dab0d2"/>
            <w:id w:val="-1730840298"/>
          </w:sdtPr>
          <w:sdtContent>
            <w:tc>
              <w:tcPr>
                <w:tcW w:w="861" w:type="pct"/>
                <w:vAlign w:val="center"/>
              </w:tcPr>
              <w:p w14:paraId="342A609B">
                <w:pPr>
                  <w:widowControl w:val="0"/>
                  <w:jc w:val="center"/>
                  <w:rPr>
                    <w:rFonts w:hint="eastAsia"/>
                  </w:rPr>
                </w:pPr>
                <w:r>
                  <w:t>联系电话</w:t>
                </w:r>
              </w:p>
            </w:tc>
          </w:sdtContent>
        </w:sdt>
      </w:tr>
      <w:tr w14:paraId="0C28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2FD26CE9">
            <w:pPr>
              <w:widowControl w:val="0"/>
              <w:jc w:val="both"/>
              <w:rPr>
                <w:rFonts w:hint="eastAsia" w:cs="Times New Roman"/>
                <w:kern w:val="2"/>
                <w:szCs w:val="21"/>
              </w:rPr>
            </w:pPr>
            <w:r>
              <w:rPr>
                <w:rFonts w:hint="eastAsia"/>
                <w:color w:val="000000"/>
                <w:szCs w:val="21"/>
              </w:rPr>
              <w:t>天健会计师事务所（特殊普通合伙）</w:t>
            </w:r>
          </w:p>
        </w:tc>
        <w:tc>
          <w:tcPr>
            <w:tcW w:w="1687" w:type="pct"/>
            <w:vAlign w:val="center"/>
          </w:tcPr>
          <w:p w14:paraId="36A8ED4E">
            <w:pPr>
              <w:widowControl w:val="0"/>
              <w:jc w:val="both"/>
              <w:rPr>
                <w:rFonts w:hint="eastAsia" w:cs="Times New Roman"/>
                <w:kern w:val="2"/>
                <w:szCs w:val="21"/>
              </w:rPr>
            </w:pPr>
            <w:r>
              <w:rPr>
                <w:rFonts w:hint="eastAsia"/>
                <w:color w:val="000000"/>
                <w:szCs w:val="21"/>
              </w:rPr>
              <w:t>浙江省杭州市西湖区灵隐街道西溪路128号</w:t>
            </w:r>
          </w:p>
        </w:tc>
        <w:tc>
          <w:tcPr>
            <w:tcW w:w="665" w:type="pct"/>
            <w:vAlign w:val="center"/>
          </w:tcPr>
          <w:p w14:paraId="09A487D4">
            <w:pPr>
              <w:widowControl w:val="0"/>
              <w:jc w:val="center"/>
              <w:rPr>
                <w:rFonts w:hint="eastAsia" w:cs="Times New Roman"/>
                <w:kern w:val="2"/>
                <w:szCs w:val="21"/>
              </w:rPr>
            </w:pPr>
            <w:r>
              <w:rPr>
                <w:rFonts w:hint="eastAsia"/>
                <w:color w:val="000000"/>
                <w:szCs w:val="21"/>
              </w:rPr>
              <w:t>曹博、王景波</w:t>
            </w:r>
          </w:p>
        </w:tc>
        <w:tc>
          <w:tcPr>
            <w:tcW w:w="716" w:type="pct"/>
            <w:vAlign w:val="center"/>
          </w:tcPr>
          <w:p w14:paraId="07FB963A">
            <w:pPr>
              <w:widowControl w:val="0"/>
              <w:jc w:val="center"/>
              <w:rPr>
                <w:rFonts w:hint="eastAsia" w:cs="Times New Roman"/>
                <w:kern w:val="2"/>
                <w:szCs w:val="21"/>
              </w:rPr>
            </w:pPr>
            <w:r>
              <w:rPr>
                <w:rFonts w:hint="eastAsia"/>
                <w:color w:val="000000"/>
                <w:szCs w:val="21"/>
              </w:rPr>
              <w:t>王景波</w:t>
            </w:r>
          </w:p>
        </w:tc>
        <w:tc>
          <w:tcPr>
            <w:tcW w:w="861" w:type="pct"/>
            <w:vAlign w:val="center"/>
          </w:tcPr>
          <w:p w14:paraId="59BEEA1D">
            <w:pPr>
              <w:widowControl w:val="0"/>
              <w:jc w:val="center"/>
              <w:rPr>
                <w:rFonts w:hint="eastAsia" w:cs="Times New Roman"/>
                <w:kern w:val="2"/>
                <w:szCs w:val="21"/>
              </w:rPr>
            </w:pPr>
            <w:r>
              <w:rPr>
                <w:rFonts w:hint="eastAsia"/>
                <w:color w:val="000000"/>
                <w:szCs w:val="21"/>
              </w:rPr>
              <w:t>0571-88216888</w:t>
            </w:r>
          </w:p>
        </w:tc>
      </w:tr>
      <w:tr w14:paraId="5D87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4E0FD0DA">
            <w:pPr>
              <w:widowControl w:val="0"/>
              <w:jc w:val="both"/>
              <w:rPr>
                <w:rFonts w:hint="eastAsia" w:cs="Times New Roman"/>
                <w:kern w:val="2"/>
                <w:szCs w:val="21"/>
              </w:rPr>
            </w:pPr>
            <w:r>
              <w:rPr>
                <w:rFonts w:hint="eastAsia"/>
                <w:color w:val="000000"/>
                <w:szCs w:val="21"/>
              </w:rPr>
              <w:t>国泰海通证券股份有限公司</w:t>
            </w:r>
          </w:p>
        </w:tc>
        <w:tc>
          <w:tcPr>
            <w:tcW w:w="1687" w:type="pct"/>
            <w:vAlign w:val="center"/>
          </w:tcPr>
          <w:p w14:paraId="4FCC121D">
            <w:pPr>
              <w:widowControl w:val="0"/>
              <w:jc w:val="both"/>
              <w:rPr>
                <w:rFonts w:hint="eastAsia" w:cs="Times New Roman"/>
                <w:kern w:val="2"/>
                <w:szCs w:val="21"/>
              </w:rPr>
            </w:pPr>
            <w:r>
              <w:rPr>
                <w:rFonts w:hint="eastAsia"/>
                <w:color w:val="000000"/>
                <w:szCs w:val="21"/>
              </w:rPr>
              <w:t>中国（上海）自由贸易试验区商城路618号</w:t>
            </w:r>
          </w:p>
        </w:tc>
        <w:tc>
          <w:tcPr>
            <w:tcW w:w="665" w:type="pct"/>
            <w:vAlign w:val="center"/>
          </w:tcPr>
          <w:p w14:paraId="62DFB0FC">
            <w:pPr>
              <w:widowControl w:val="0"/>
              <w:jc w:val="center"/>
              <w:rPr>
                <w:rFonts w:hint="eastAsia" w:cs="Times New Roman"/>
                <w:kern w:val="2"/>
                <w:szCs w:val="21"/>
              </w:rPr>
            </w:pPr>
          </w:p>
        </w:tc>
        <w:tc>
          <w:tcPr>
            <w:tcW w:w="716" w:type="pct"/>
            <w:vAlign w:val="center"/>
          </w:tcPr>
          <w:p w14:paraId="3A959434">
            <w:pPr>
              <w:widowControl w:val="0"/>
              <w:jc w:val="center"/>
              <w:rPr>
                <w:rFonts w:hint="eastAsia" w:cs="Times New Roman"/>
                <w:kern w:val="2"/>
                <w:szCs w:val="21"/>
              </w:rPr>
            </w:pPr>
            <w:r>
              <w:rPr>
                <w:rFonts w:hint="eastAsia"/>
                <w:color w:val="000000"/>
                <w:szCs w:val="21"/>
              </w:rPr>
              <w:t>崔振</w:t>
            </w:r>
          </w:p>
        </w:tc>
        <w:tc>
          <w:tcPr>
            <w:tcW w:w="861" w:type="pct"/>
            <w:vAlign w:val="center"/>
          </w:tcPr>
          <w:p w14:paraId="176374DF">
            <w:pPr>
              <w:widowControl w:val="0"/>
              <w:jc w:val="center"/>
              <w:rPr>
                <w:rFonts w:hint="eastAsia" w:cs="Times New Roman"/>
                <w:kern w:val="2"/>
                <w:szCs w:val="21"/>
              </w:rPr>
            </w:pPr>
            <w:r>
              <w:rPr>
                <w:rFonts w:hint="eastAsia"/>
                <w:color w:val="000000"/>
                <w:szCs w:val="21"/>
              </w:rPr>
              <w:t>010-57061518</w:t>
            </w:r>
          </w:p>
        </w:tc>
      </w:tr>
      <w:tr w14:paraId="3E1C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3B5FB8CE">
            <w:pPr>
              <w:widowControl w:val="0"/>
              <w:jc w:val="both"/>
              <w:rPr>
                <w:rFonts w:hint="eastAsia" w:cs="Times New Roman"/>
                <w:kern w:val="2"/>
                <w:szCs w:val="21"/>
              </w:rPr>
            </w:pPr>
            <w:r>
              <w:rPr>
                <w:rFonts w:hint="eastAsia"/>
                <w:color w:val="000000"/>
                <w:szCs w:val="21"/>
              </w:rPr>
              <w:t>宁波银行股份有限公司</w:t>
            </w:r>
          </w:p>
        </w:tc>
        <w:tc>
          <w:tcPr>
            <w:tcW w:w="1687" w:type="pct"/>
            <w:vAlign w:val="center"/>
          </w:tcPr>
          <w:p w14:paraId="62418EE0">
            <w:pPr>
              <w:widowControl w:val="0"/>
              <w:jc w:val="both"/>
              <w:rPr>
                <w:rFonts w:hint="eastAsia" w:cs="Times New Roman"/>
                <w:kern w:val="2"/>
                <w:szCs w:val="21"/>
              </w:rPr>
            </w:pPr>
            <w:r>
              <w:rPr>
                <w:rFonts w:hint="eastAsia"/>
                <w:color w:val="000000"/>
                <w:szCs w:val="21"/>
              </w:rPr>
              <w:t>浙江省宁波市鄞州区宁东路345号</w:t>
            </w:r>
          </w:p>
        </w:tc>
        <w:tc>
          <w:tcPr>
            <w:tcW w:w="665" w:type="pct"/>
            <w:vAlign w:val="center"/>
          </w:tcPr>
          <w:p w14:paraId="081311A1">
            <w:pPr>
              <w:widowControl w:val="0"/>
              <w:jc w:val="center"/>
              <w:rPr>
                <w:rFonts w:hint="eastAsia" w:cs="Times New Roman"/>
                <w:kern w:val="2"/>
                <w:szCs w:val="21"/>
              </w:rPr>
            </w:pPr>
          </w:p>
        </w:tc>
        <w:tc>
          <w:tcPr>
            <w:tcW w:w="716" w:type="pct"/>
            <w:vAlign w:val="center"/>
          </w:tcPr>
          <w:p w14:paraId="5E97F054">
            <w:pPr>
              <w:widowControl w:val="0"/>
              <w:jc w:val="center"/>
              <w:rPr>
                <w:rFonts w:hint="eastAsia" w:cs="Times New Roman"/>
                <w:kern w:val="2"/>
                <w:szCs w:val="21"/>
              </w:rPr>
            </w:pPr>
            <w:r>
              <w:rPr>
                <w:rFonts w:hint="eastAsia"/>
                <w:color w:val="000000"/>
                <w:szCs w:val="21"/>
              </w:rPr>
              <w:t>胡强</w:t>
            </w:r>
          </w:p>
        </w:tc>
        <w:tc>
          <w:tcPr>
            <w:tcW w:w="861" w:type="pct"/>
            <w:vAlign w:val="center"/>
          </w:tcPr>
          <w:p w14:paraId="05EBB21E">
            <w:pPr>
              <w:widowControl w:val="0"/>
              <w:jc w:val="center"/>
              <w:rPr>
                <w:rFonts w:hint="eastAsia" w:cs="Times New Roman"/>
                <w:kern w:val="2"/>
                <w:szCs w:val="21"/>
              </w:rPr>
            </w:pPr>
            <w:r>
              <w:rPr>
                <w:rFonts w:hint="eastAsia"/>
                <w:color w:val="000000"/>
                <w:szCs w:val="21"/>
              </w:rPr>
              <w:t>0574-87002735</w:t>
            </w:r>
          </w:p>
        </w:tc>
      </w:tr>
      <w:tr w14:paraId="1E14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78D59661">
            <w:pPr>
              <w:widowControl w:val="0"/>
              <w:jc w:val="both"/>
              <w:rPr>
                <w:rFonts w:hint="eastAsia" w:cs="Times New Roman"/>
                <w:kern w:val="2"/>
                <w:szCs w:val="21"/>
              </w:rPr>
            </w:pPr>
            <w:r>
              <w:rPr>
                <w:rFonts w:hint="eastAsia"/>
                <w:color w:val="000000"/>
                <w:szCs w:val="21"/>
              </w:rPr>
              <w:t>北京市嘉源律师事务所</w:t>
            </w:r>
          </w:p>
        </w:tc>
        <w:tc>
          <w:tcPr>
            <w:tcW w:w="1687" w:type="pct"/>
            <w:vAlign w:val="center"/>
          </w:tcPr>
          <w:p w14:paraId="34F70F02">
            <w:pPr>
              <w:widowControl w:val="0"/>
              <w:jc w:val="both"/>
              <w:rPr>
                <w:rFonts w:hint="eastAsia" w:cs="Times New Roman"/>
                <w:kern w:val="2"/>
                <w:szCs w:val="21"/>
              </w:rPr>
            </w:pPr>
            <w:r>
              <w:rPr>
                <w:rFonts w:hint="eastAsia"/>
                <w:color w:val="000000"/>
                <w:szCs w:val="21"/>
              </w:rPr>
              <w:t>北京市西城区复兴门内大街158号远洋大厦F408</w:t>
            </w:r>
          </w:p>
        </w:tc>
        <w:tc>
          <w:tcPr>
            <w:tcW w:w="665" w:type="pct"/>
            <w:vAlign w:val="center"/>
          </w:tcPr>
          <w:p w14:paraId="05079EAA">
            <w:pPr>
              <w:widowControl w:val="0"/>
              <w:jc w:val="center"/>
              <w:rPr>
                <w:rFonts w:hint="eastAsia" w:cs="Times New Roman"/>
                <w:kern w:val="2"/>
                <w:szCs w:val="21"/>
              </w:rPr>
            </w:pPr>
          </w:p>
        </w:tc>
        <w:tc>
          <w:tcPr>
            <w:tcW w:w="716" w:type="pct"/>
            <w:vAlign w:val="center"/>
          </w:tcPr>
          <w:p w14:paraId="105E988F">
            <w:pPr>
              <w:widowControl w:val="0"/>
              <w:jc w:val="center"/>
              <w:rPr>
                <w:rFonts w:hint="eastAsia" w:cs="Times New Roman"/>
                <w:kern w:val="2"/>
                <w:szCs w:val="21"/>
              </w:rPr>
            </w:pPr>
            <w:r>
              <w:rPr>
                <w:rFonts w:hint="eastAsia"/>
                <w:color w:val="000000"/>
                <w:szCs w:val="21"/>
              </w:rPr>
              <w:t>钟云长</w:t>
            </w:r>
          </w:p>
        </w:tc>
        <w:tc>
          <w:tcPr>
            <w:tcW w:w="861" w:type="pct"/>
            <w:vAlign w:val="center"/>
          </w:tcPr>
          <w:p w14:paraId="180F4D4A">
            <w:pPr>
              <w:widowControl w:val="0"/>
              <w:jc w:val="center"/>
              <w:rPr>
                <w:rFonts w:hint="eastAsia" w:cs="Times New Roman"/>
                <w:kern w:val="2"/>
                <w:szCs w:val="21"/>
              </w:rPr>
            </w:pPr>
            <w:r>
              <w:rPr>
                <w:rFonts w:hint="eastAsia"/>
                <w:color w:val="000000"/>
                <w:szCs w:val="21"/>
              </w:rPr>
              <w:t>010-66413377</w:t>
            </w:r>
          </w:p>
        </w:tc>
      </w:tr>
      <w:tr w14:paraId="70FD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Align w:val="center"/>
          </w:tcPr>
          <w:p w14:paraId="7E318FC0">
            <w:pPr>
              <w:widowControl w:val="0"/>
              <w:jc w:val="both"/>
              <w:rPr>
                <w:rFonts w:hint="eastAsia" w:cs="Times New Roman"/>
                <w:kern w:val="2"/>
                <w:szCs w:val="21"/>
              </w:rPr>
            </w:pPr>
            <w:r>
              <w:rPr>
                <w:rFonts w:hint="eastAsia"/>
                <w:color w:val="000000"/>
                <w:szCs w:val="21"/>
              </w:rPr>
              <w:t>联合资信评估股份有限公司</w:t>
            </w:r>
          </w:p>
        </w:tc>
        <w:tc>
          <w:tcPr>
            <w:tcW w:w="1687" w:type="pct"/>
            <w:vAlign w:val="center"/>
          </w:tcPr>
          <w:p w14:paraId="4E64ACD0">
            <w:pPr>
              <w:widowControl w:val="0"/>
              <w:jc w:val="both"/>
              <w:rPr>
                <w:rFonts w:hint="eastAsia" w:cs="Times New Roman"/>
                <w:kern w:val="2"/>
                <w:szCs w:val="21"/>
              </w:rPr>
            </w:pPr>
            <w:r>
              <w:rPr>
                <w:rFonts w:hint="eastAsia"/>
                <w:color w:val="000000"/>
                <w:szCs w:val="21"/>
              </w:rPr>
              <w:t>北京市朝阳区建国门外大街2号PICC大厦17层</w:t>
            </w:r>
          </w:p>
        </w:tc>
        <w:tc>
          <w:tcPr>
            <w:tcW w:w="665" w:type="pct"/>
            <w:vAlign w:val="center"/>
          </w:tcPr>
          <w:p w14:paraId="07468F58">
            <w:pPr>
              <w:widowControl w:val="0"/>
              <w:jc w:val="center"/>
              <w:rPr>
                <w:rFonts w:hint="eastAsia" w:cs="Times New Roman"/>
                <w:kern w:val="2"/>
                <w:szCs w:val="21"/>
              </w:rPr>
            </w:pPr>
          </w:p>
        </w:tc>
        <w:tc>
          <w:tcPr>
            <w:tcW w:w="716" w:type="pct"/>
            <w:vAlign w:val="center"/>
          </w:tcPr>
          <w:p w14:paraId="38F5C609">
            <w:pPr>
              <w:widowControl w:val="0"/>
              <w:jc w:val="center"/>
              <w:rPr>
                <w:rFonts w:hint="eastAsia" w:cs="Times New Roman"/>
                <w:kern w:val="2"/>
                <w:szCs w:val="21"/>
              </w:rPr>
            </w:pPr>
            <w:r>
              <w:rPr>
                <w:rFonts w:hint="eastAsia"/>
                <w:color w:val="000000"/>
                <w:szCs w:val="21"/>
              </w:rPr>
              <w:t>李晶</w:t>
            </w:r>
          </w:p>
        </w:tc>
        <w:tc>
          <w:tcPr>
            <w:tcW w:w="861" w:type="pct"/>
            <w:vAlign w:val="center"/>
          </w:tcPr>
          <w:p w14:paraId="47BB2168">
            <w:pPr>
              <w:widowControl w:val="0"/>
              <w:jc w:val="center"/>
              <w:rPr>
                <w:rFonts w:hint="eastAsia" w:cs="Times New Roman"/>
                <w:kern w:val="2"/>
                <w:szCs w:val="21"/>
              </w:rPr>
            </w:pPr>
            <w:r>
              <w:rPr>
                <w:rFonts w:hint="eastAsia"/>
                <w:color w:val="000000"/>
                <w:szCs w:val="21"/>
              </w:rPr>
              <w:t>010-85679696</w:t>
            </w:r>
          </w:p>
        </w:tc>
      </w:tr>
    </w:tbl>
    <w:p w14:paraId="4830DF6C">
      <w:pPr>
        <w:rPr>
          <w:rFonts w:hint="eastAsia"/>
          <w:szCs w:val="21"/>
        </w:rPr>
      </w:pPr>
    </w:p>
    <w:p w14:paraId="15F80209">
      <w:pPr>
        <w:rPr>
          <w:rFonts w:hint="eastAsia"/>
        </w:rPr>
      </w:pPr>
      <w:r>
        <w:t>上述中介机构发生变更的情况</w:t>
      </w:r>
    </w:p>
    <w:sdt>
      <w:sdtPr>
        <w:rPr>
          <w:rFonts w:hint="eastAsia" w:cs="Times New Roman"/>
          <w:bCs/>
          <w:kern w:val="2"/>
          <w:szCs w:val="21"/>
        </w:rPr>
        <w:alias w:val="是否适用：中介机构发生变更的情况[双击切换]"/>
        <w:tag w:val="_GBC_25ec7507c9ce4cc2be25b4cb88ba2dca"/>
        <w:id w:val="-1433429232"/>
        <w:placeholder>
          <w:docPart w:val="6F49AB039B644092B81367CAB677510F"/>
        </w:placeholder>
      </w:sdtPr>
      <w:sdtEndPr>
        <w:rPr>
          <w:rFonts w:hint="eastAsia" w:cs="Times New Roman"/>
          <w:bCs/>
          <w:kern w:val="2"/>
          <w:szCs w:val="21"/>
        </w:rPr>
      </w:sdtEndPr>
      <w:sdtContent>
        <w:p w14:paraId="6672D7E7">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3460"/>
        <w:gridCol w:w="3826"/>
        <w:gridCol w:w="3804"/>
      </w:tblGrid>
      <w:tr w14:paraId="57DE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sdt>
          <w:sdtPr>
            <w:tag w:val="_PLD_a6f0ef8f64f24851b9067ffab9dfb957"/>
            <w:id w:val="677398142"/>
          </w:sdtPr>
          <w:sdtEndPr>
            <w:rPr>
              <w:rFonts w:hint="eastAsia"/>
              <w:szCs w:val="21"/>
            </w:rPr>
          </w:sdtEndPr>
          <w:sdtContent>
            <w:tc>
              <w:tcPr>
                <w:tcW w:w="1000" w:type="pct"/>
                <w:vAlign w:val="center"/>
              </w:tcPr>
              <w:p w14:paraId="5ED1A171">
                <w:pPr>
                  <w:widowControl w:val="0"/>
                  <w:jc w:val="center"/>
                  <w:rPr>
                    <w:rFonts w:hint="eastAsia"/>
                    <w:szCs w:val="21"/>
                  </w:rPr>
                </w:pPr>
                <w:r>
                  <w:t>中介</w:t>
                </w:r>
                <w:r>
                  <w:rPr>
                    <w:rFonts w:hint="eastAsia"/>
                    <w:szCs w:val="21"/>
                  </w:rPr>
                  <w:t>机构名称</w:t>
                </w:r>
              </w:p>
            </w:tc>
          </w:sdtContent>
        </w:sdt>
        <w:sdt>
          <w:sdtPr>
            <w:tag w:val="_PLD_970cad61a1324978bf42e68f0a1aeb63"/>
            <w:id w:val="-1419860007"/>
          </w:sdtPr>
          <w:sdtContent>
            <w:tc>
              <w:tcPr>
                <w:tcW w:w="1248" w:type="pct"/>
                <w:vAlign w:val="center"/>
              </w:tcPr>
              <w:p w14:paraId="2B2B54CD">
                <w:pPr>
                  <w:widowControl w:val="0"/>
                  <w:jc w:val="center"/>
                  <w:rPr>
                    <w:rFonts w:hint="eastAsia"/>
                    <w:szCs w:val="21"/>
                  </w:rPr>
                </w:pPr>
                <w:r>
                  <w:t>变更原因</w:t>
                </w:r>
              </w:p>
            </w:tc>
          </w:sdtContent>
        </w:sdt>
        <w:sdt>
          <w:sdtPr>
            <w:tag w:val="_PLD_ca21d2d4a5a940069f6cdc71550a8cb2"/>
            <w:id w:val="-1847090469"/>
          </w:sdtPr>
          <w:sdtContent>
            <w:tc>
              <w:tcPr>
                <w:tcW w:w="1380" w:type="pct"/>
                <w:vAlign w:val="center"/>
              </w:tcPr>
              <w:p w14:paraId="386113C4">
                <w:pPr>
                  <w:widowControl w:val="0"/>
                  <w:jc w:val="center"/>
                  <w:rPr>
                    <w:rFonts w:hint="eastAsia"/>
                    <w:szCs w:val="21"/>
                  </w:rPr>
                </w:pPr>
                <w:r>
                  <w:t>履行程序</w:t>
                </w:r>
              </w:p>
            </w:tc>
          </w:sdtContent>
        </w:sdt>
        <w:sdt>
          <w:sdtPr>
            <w:tag w:val="_PLD_45b34ed5203d4661a53a0319dd067769"/>
            <w:id w:val="231196644"/>
          </w:sdtPr>
          <w:sdtContent>
            <w:tc>
              <w:tcPr>
                <w:tcW w:w="1372" w:type="pct"/>
                <w:vAlign w:val="center"/>
              </w:tcPr>
              <w:p w14:paraId="7F401121">
                <w:pPr>
                  <w:widowControl w:val="0"/>
                  <w:jc w:val="center"/>
                  <w:rPr>
                    <w:rFonts w:hint="eastAsia"/>
                  </w:rPr>
                </w:pPr>
                <w:r>
                  <w:t>对债券投资者权益的影响</w:t>
                </w:r>
              </w:p>
            </w:tc>
          </w:sdtContent>
        </w:sdt>
      </w:tr>
      <w:tr w14:paraId="52E2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tcPr>
          <w:p w14:paraId="7D4E8457">
            <w:pPr>
              <w:widowControl w:val="0"/>
              <w:jc w:val="both"/>
              <w:rPr>
                <w:rFonts w:hint="eastAsia" w:cs="Times New Roman"/>
                <w:kern w:val="2"/>
                <w:szCs w:val="21"/>
              </w:rPr>
            </w:pPr>
            <w:r>
              <w:rPr>
                <w:rFonts w:hint="eastAsia" w:cs="Times New Roman"/>
                <w:kern w:val="2"/>
                <w:szCs w:val="21"/>
              </w:rPr>
              <w:t>天健会计师事务所（特殊普通合伙）</w:t>
            </w:r>
          </w:p>
        </w:tc>
        <w:tc>
          <w:tcPr>
            <w:tcW w:w="1248" w:type="pct"/>
          </w:tcPr>
          <w:p w14:paraId="4837FB56">
            <w:pPr>
              <w:widowControl w:val="0"/>
              <w:jc w:val="both"/>
              <w:rPr>
                <w:rFonts w:hint="eastAsia" w:cs="Times New Roman"/>
                <w:kern w:val="2"/>
                <w:szCs w:val="21"/>
              </w:rPr>
            </w:pPr>
            <w:r>
              <w:rPr>
                <w:rFonts w:hint="eastAsia" w:cs="Times New Roman"/>
                <w:kern w:val="2"/>
                <w:szCs w:val="21"/>
              </w:rPr>
              <w:t>聘任天健会计师事务所为公司2024年度财务审计和内控审计机构</w:t>
            </w:r>
          </w:p>
        </w:tc>
        <w:tc>
          <w:tcPr>
            <w:tcW w:w="1380" w:type="pct"/>
          </w:tcPr>
          <w:p w14:paraId="26B1E44A">
            <w:pPr>
              <w:widowControl w:val="0"/>
              <w:jc w:val="both"/>
              <w:rPr>
                <w:rFonts w:hint="eastAsia" w:cs="Times New Roman"/>
                <w:kern w:val="2"/>
                <w:szCs w:val="21"/>
              </w:rPr>
            </w:pPr>
            <w:r>
              <w:rPr>
                <w:rFonts w:hint="eastAsia" w:cs="Times New Roman"/>
                <w:kern w:val="2"/>
                <w:szCs w:val="21"/>
              </w:rPr>
              <w:t>第六届董事会第七次会议、2024年第二次临时股东大会</w:t>
            </w:r>
          </w:p>
        </w:tc>
        <w:tc>
          <w:tcPr>
            <w:tcW w:w="1372" w:type="pct"/>
          </w:tcPr>
          <w:p w14:paraId="118FC0C1">
            <w:pPr>
              <w:widowControl w:val="0"/>
              <w:jc w:val="both"/>
              <w:rPr>
                <w:rFonts w:hint="eastAsia" w:cs="Times New Roman"/>
                <w:kern w:val="2"/>
                <w:szCs w:val="21"/>
              </w:rPr>
            </w:pPr>
            <w:r>
              <w:rPr>
                <w:rFonts w:hint="eastAsia" w:cs="Times New Roman"/>
                <w:kern w:val="2"/>
                <w:szCs w:val="21"/>
              </w:rPr>
              <w:t>无</w:t>
            </w:r>
          </w:p>
        </w:tc>
      </w:tr>
    </w:tbl>
    <w:p w14:paraId="1BB19AA9">
      <w:pPr>
        <w:rPr>
          <w:rFonts w:hint="eastAsia"/>
          <w:szCs w:val="21"/>
        </w:rPr>
      </w:pPr>
    </w:p>
    <w:p w14:paraId="0787017E">
      <w:pPr>
        <w:pStyle w:val="5"/>
        <w:numPr>
          <w:ilvl w:val="0"/>
          <w:numId w:val="86"/>
        </w:numPr>
        <w:ind w:left="425" w:hanging="425"/>
        <w:rPr>
          <w:rFonts w:hint="eastAsia" w:ascii="宋体" w:hAnsi="宋体" w:cs="宋体"/>
          <w:kern w:val="0"/>
          <w:szCs w:val="24"/>
        </w:rPr>
      </w:pPr>
      <w:r>
        <w:rPr>
          <w:rFonts w:hint="eastAsia" w:ascii="宋体" w:hAnsi="宋体" w:cs="宋体"/>
          <w:kern w:val="0"/>
          <w:szCs w:val="24"/>
        </w:rPr>
        <w:t>报告期末募集资金使用</w:t>
      </w:r>
      <w:r>
        <w:rPr>
          <w:rFonts w:hint="eastAsia" w:ascii="宋体" w:hAnsi="宋体" w:eastAsia="宋体" w:cs="宋体"/>
          <w:kern w:val="0"/>
          <w:szCs w:val="24"/>
        </w:rPr>
        <w:t>情况</w:t>
      </w:r>
    </w:p>
    <w:sdt>
      <w:sdtPr>
        <w:rPr>
          <w:rFonts w:hint="eastAsia" w:cs="Times New Roman"/>
          <w:bCs/>
          <w:kern w:val="2"/>
          <w:szCs w:val="21"/>
        </w:rPr>
        <w:alias w:val="是否适用：报告期末募集资金使用情况[双击切换]"/>
        <w:tag w:val="_GBC_e2bff90301e34c89b1186a3302473621"/>
        <w:id w:val="-578828514"/>
        <w:placeholder>
          <w:docPart w:val="6F49AB039B644092B81367CAB677510F"/>
        </w:placeholder>
      </w:sdtPr>
      <w:sdtEndPr>
        <w:rPr>
          <w:rFonts w:hint="eastAsia" w:cs="Times New Roman"/>
          <w:bCs/>
          <w:kern w:val="2"/>
          <w:szCs w:val="21"/>
        </w:rPr>
      </w:sdtEndPr>
      <w:sdtContent>
        <w:p w14:paraId="6150E5CF">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778D2863">
      <w:pPr>
        <w:jc w:val="right"/>
        <w:rPr>
          <w:rFonts w:hint="eastAsia"/>
          <w:szCs w:val="21"/>
        </w:rPr>
      </w:pPr>
      <w:r>
        <w:rPr>
          <w:rFonts w:hint="eastAsia"/>
          <w:szCs w:val="21"/>
        </w:rPr>
        <w:t>单位</w:t>
      </w:r>
      <w:r>
        <w:rPr>
          <w:szCs w:val="21"/>
        </w:rPr>
        <w:t>：</w:t>
      </w:r>
      <w:sdt>
        <w:sdtPr>
          <w:rPr>
            <w:szCs w:val="21"/>
          </w:rPr>
          <w:alias w:val="单位：报告期末募集资金使用情况"/>
          <w:tag w:val="_GBC_781679a1f58441f788ba00e507f2fcfc"/>
          <w:id w:val="931320765"/>
          <w:placeholder>
            <w:docPart w:val="6F49AB039B644092B81367CAB677510F"/>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r>
        <w:rPr>
          <w:szCs w:val="21"/>
        </w:rPr>
        <w:t>：</w:t>
      </w:r>
      <w:sdt>
        <w:sdtPr>
          <w:rPr>
            <w:szCs w:val="21"/>
          </w:rPr>
          <w:alias w:val="币种：报告期末募集资金使用情况"/>
          <w:tag w:val="_GBC_8e772a6c82fa412894a1f2364046bc19"/>
          <w:id w:val="1804725076"/>
          <w:placeholder>
            <w:docPart w:val="6F49AB039B644092B81367CAB677510F"/>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szCs w:val="21"/>
          </w:rPr>
        </w:sdtEndPr>
        <w:sdtContent>
          <w:r>
            <w:rPr>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8"/>
        <w:gridCol w:w="1978"/>
        <w:gridCol w:w="1978"/>
        <w:gridCol w:w="1978"/>
        <w:gridCol w:w="1977"/>
        <w:gridCol w:w="1977"/>
        <w:gridCol w:w="1980"/>
      </w:tblGrid>
      <w:tr w14:paraId="16CD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1943ae0cc5e4a83a88ad7a140d8ae2d"/>
            <w:id w:val="1373896738"/>
          </w:sdtPr>
          <w:sdtContent>
            <w:tc>
              <w:tcPr>
                <w:tcW w:w="714" w:type="pct"/>
                <w:vAlign w:val="center"/>
              </w:tcPr>
              <w:p w14:paraId="7D535745">
                <w:pPr>
                  <w:widowControl w:val="0"/>
                  <w:jc w:val="center"/>
                  <w:rPr>
                    <w:rFonts w:ascii="Arial" w:hAnsi="Arial" w:cs="Times New Roman"/>
                    <w:bCs/>
                    <w:kern w:val="2"/>
                    <w:szCs w:val="21"/>
                  </w:rPr>
                </w:pPr>
                <w:bookmarkStart w:id="196" w:name="_Hlk196399793"/>
                <w:r>
                  <w:rPr>
                    <w:rFonts w:ascii="Arial" w:hAnsi="Arial" w:cs="Times New Roman"/>
                    <w:bCs/>
                    <w:kern w:val="2"/>
                    <w:szCs w:val="21"/>
                  </w:rPr>
                  <w:t>债券名称</w:t>
                </w:r>
              </w:p>
            </w:tc>
          </w:sdtContent>
        </w:sdt>
        <w:sdt>
          <w:sdtPr>
            <w:tag w:val="_PLD_34521678e26049cbac61848e15a7da9f"/>
            <w:id w:val="1422759667"/>
          </w:sdtPr>
          <w:sdtContent>
            <w:tc>
              <w:tcPr>
                <w:tcW w:w="714" w:type="pct"/>
                <w:vAlign w:val="center"/>
              </w:tcPr>
              <w:p w14:paraId="0147F545">
                <w:pPr>
                  <w:widowControl w:val="0"/>
                  <w:jc w:val="center"/>
                  <w:rPr>
                    <w:rFonts w:ascii="Arial" w:hAnsi="Arial" w:cs="Times New Roman"/>
                    <w:bCs/>
                    <w:kern w:val="2"/>
                    <w:szCs w:val="21"/>
                  </w:rPr>
                </w:pPr>
                <w:r>
                  <w:rPr>
                    <w:rFonts w:hint="eastAsia" w:ascii="Arial" w:hAnsi="Arial" w:cs="Times New Roman"/>
                    <w:bCs/>
                    <w:kern w:val="2"/>
                    <w:szCs w:val="21"/>
                  </w:rPr>
                  <w:t>募集资金总金额</w:t>
                </w:r>
              </w:p>
            </w:tc>
          </w:sdtContent>
        </w:sdt>
        <w:sdt>
          <w:sdtPr>
            <w:tag w:val="_PLD_83eeda2ccb4047c9b02dfcccd06b2dfa"/>
            <w:id w:val="-1246959124"/>
          </w:sdtPr>
          <w:sdtContent>
            <w:tc>
              <w:tcPr>
                <w:tcW w:w="714" w:type="pct"/>
                <w:vAlign w:val="center"/>
              </w:tcPr>
              <w:p w14:paraId="40990DA4">
                <w:pPr>
                  <w:widowControl w:val="0"/>
                  <w:jc w:val="center"/>
                  <w:rPr>
                    <w:rFonts w:ascii="Arial" w:hAnsi="Arial" w:cs="Times New Roman"/>
                    <w:bCs/>
                    <w:kern w:val="2"/>
                    <w:szCs w:val="21"/>
                  </w:rPr>
                </w:pPr>
                <w:r>
                  <w:rPr>
                    <w:rFonts w:hint="eastAsia" w:ascii="Arial" w:hAnsi="Arial" w:cs="Times New Roman"/>
                    <w:bCs/>
                    <w:kern w:val="2"/>
                    <w:szCs w:val="21"/>
                  </w:rPr>
                  <w:t>已使用金额</w:t>
                </w:r>
              </w:p>
            </w:tc>
          </w:sdtContent>
        </w:sdt>
        <w:sdt>
          <w:sdtPr>
            <w:tag w:val="_PLD_07703d6483ba4ba28083f27c67e18ea8"/>
            <w:id w:val="1677922265"/>
          </w:sdtPr>
          <w:sdtContent>
            <w:tc>
              <w:tcPr>
                <w:tcW w:w="714" w:type="pct"/>
                <w:vAlign w:val="center"/>
              </w:tcPr>
              <w:p w14:paraId="4AAD218C">
                <w:pPr>
                  <w:widowControl w:val="0"/>
                  <w:jc w:val="center"/>
                  <w:rPr>
                    <w:rFonts w:ascii="Arial" w:hAnsi="Arial" w:cs="Times New Roman"/>
                    <w:bCs/>
                    <w:kern w:val="2"/>
                    <w:szCs w:val="21"/>
                  </w:rPr>
                </w:pPr>
                <w:r>
                  <w:rPr>
                    <w:rFonts w:hint="eastAsia" w:ascii="Arial" w:hAnsi="Arial" w:cs="Times New Roman"/>
                    <w:bCs/>
                    <w:kern w:val="2"/>
                    <w:szCs w:val="21"/>
                  </w:rPr>
                  <w:t>未使用金额</w:t>
                </w:r>
              </w:p>
            </w:tc>
          </w:sdtContent>
        </w:sdt>
        <w:sdt>
          <w:sdtPr>
            <w:tag w:val="_PLD_25b6db4e0914413b9e918f93d084824e"/>
            <w:id w:val="1067149707"/>
          </w:sdtPr>
          <w:sdtContent>
            <w:tc>
              <w:tcPr>
                <w:tcW w:w="714" w:type="pct"/>
                <w:vAlign w:val="center"/>
              </w:tcPr>
              <w:p w14:paraId="6EECDC69">
                <w:pPr>
                  <w:widowControl w:val="0"/>
                  <w:jc w:val="center"/>
                  <w:rPr>
                    <w:rFonts w:ascii="Arial" w:hAnsi="Arial" w:cs="Times New Roman"/>
                    <w:bCs/>
                    <w:kern w:val="2"/>
                    <w:szCs w:val="21"/>
                  </w:rPr>
                </w:pPr>
                <w:r>
                  <w:rPr>
                    <w:rFonts w:hint="eastAsia" w:ascii="Arial" w:hAnsi="Arial" w:cs="Times New Roman"/>
                    <w:bCs/>
                    <w:kern w:val="2"/>
                    <w:szCs w:val="21"/>
                  </w:rPr>
                  <w:t>募集资金专项账户运作情况（如有）</w:t>
                </w:r>
              </w:p>
            </w:tc>
          </w:sdtContent>
        </w:sdt>
        <w:sdt>
          <w:sdtPr>
            <w:tag w:val="_PLD_928f8b809f424611bebdd3f6fc10174a"/>
            <w:id w:val="1169985483"/>
          </w:sdtPr>
          <w:sdtContent>
            <w:tc>
              <w:tcPr>
                <w:tcW w:w="714" w:type="pct"/>
                <w:vAlign w:val="center"/>
              </w:tcPr>
              <w:p w14:paraId="0FD09F35">
                <w:pPr>
                  <w:widowControl w:val="0"/>
                  <w:jc w:val="center"/>
                  <w:rPr>
                    <w:rFonts w:ascii="Arial" w:hAnsi="Arial" w:cs="Times New Roman"/>
                    <w:bCs/>
                    <w:kern w:val="2"/>
                    <w:szCs w:val="21"/>
                  </w:rPr>
                </w:pPr>
                <w:r>
                  <w:rPr>
                    <w:rFonts w:hint="eastAsia" w:ascii="Arial" w:hAnsi="Arial" w:cs="Times New Roman"/>
                    <w:bCs/>
                    <w:kern w:val="2"/>
                    <w:szCs w:val="21"/>
                  </w:rPr>
                  <w:t>募集资金违规使用的整改情况（如有）</w:t>
                </w:r>
              </w:p>
            </w:tc>
          </w:sdtContent>
        </w:sdt>
        <w:sdt>
          <w:sdtPr>
            <w:tag w:val="_PLD_225d8dc7a0b8436cb122184030834813"/>
            <w:id w:val="-1165247968"/>
          </w:sdtPr>
          <w:sdtContent>
            <w:tc>
              <w:tcPr>
                <w:tcW w:w="715" w:type="pct"/>
                <w:vAlign w:val="center"/>
              </w:tcPr>
              <w:p w14:paraId="51787FDB">
                <w:pPr>
                  <w:widowControl w:val="0"/>
                  <w:jc w:val="center"/>
                  <w:rPr>
                    <w:rFonts w:ascii="Arial" w:hAnsi="Arial" w:cs="Times New Roman"/>
                    <w:bCs/>
                    <w:kern w:val="2"/>
                    <w:szCs w:val="21"/>
                  </w:rPr>
                </w:pPr>
                <w:r>
                  <w:rPr>
                    <w:rFonts w:hint="eastAsia" w:ascii="Arial" w:hAnsi="Arial" w:cs="Times New Roman"/>
                    <w:bCs/>
                    <w:kern w:val="2"/>
                    <w:szCs w:val="21"/>
                  </w:rPr>
                  <w:t>是否与募集说明书承诺的用途、使用计划及其他约定一致</w:t>
                </w:r>
              </w:p>
            </w:tc>
          </w:sdtContent>
        </w:sdt>
      </w:tr>
      <w:tr w14:paraId="030C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vAlign w:val="center"/>
          </w:tcPr>
          <w:p w14:paraId="72093E7D">
            <w:pPr>
              <w:widowControl w:val="0"/>
              <w:rPr>
                <w:rFonts w:hint="eastAsia" w:cs="Times New Roman"/>
                <w:bCs/>
                <w:kern w:val="2"/>
                <w:szCs w:val="21"/>
              </w:rPr>
            </w:pPr>
            <w:r>
              <w:rPr>
                <w:rFonts w:hint="eastAsia" w:cs="Times New Roman"/>
                <w:bCs/>
                <w:kern w:val="2"/>
                <w:szCs w:val="21"/>
              </w:rPr>
              <w:t>23际华集团MTN001</w:t>
            </w:r>
          </w:p>
        </w:tc>
        <w:tc>
          <w:tcPr>
            <w:tcW w:w="714" w:type="pct"/>
            <w:vAlign w:val="center"/>
          </w:tcPr>
          <w:p w14:paraId="67AF3B8B">
            <w:pPr>
              <w:widowControl w:val="0"/>
              <w:jc w:val="right"/>
              <w:rPr>
                <w:rFonts w:hint="eastAsia" w:cs="Times New Roman"/>
                <w:bCs/>
                <w:kern w:val="2"/>
                <w:szCs w:val="21"/>
              </w:rPr>
            </w:pPr>
            <w:r>
              <w:rPr>
                <w:rFonts w:hint="eastAsia" w:cs="Times New Roman"/>
                <w:bCs/>
                <w:kern w:val="2"/>
                <w:szCs w:val="21"/>
              </w:rPr>
              <w:t>500,000,000.00</w:t>
            </w:r>
          </w:p>
        </w:tc>
        <w:tc>
          <w:tcPr>
            <w:tcW w:w="714" w:type="pct"/>
            <w:vAlign w:val="center"/>
          </w:tcPr>
          <w:p w14:paraId="488C2055">
            <w:pPr>
              <w:widowControl w:val="0"/>
              <w:jc w:val="right"/>
              <w:rPr>
                <w:rFonts w:hint="eastAsia" w:cs="Times New Roman"/>
                <w:bCs/>
                <w:kern w:val="2"/>
                <w:szCs w:val="21"/>
              </w:rPr>
            </w:pPr>
            <w:r>
              <w:rPr>
                <w:rFonts w:hint="eastAsia" w:cs="Times New Roman"/>
                <w:bCs/>
                <w:kern w:val="2"/>
                <w:szCs w:val="21"/>
              </w:rPr>
              <w:t>500,000,000.00</w:t>
            </w:r>
          </w:p>
        </w:tc>
        <w:tc>
          <w:tcPr>
            <w:tcW w:w="714" w:type="pct"/>
            <w:vAlign w:val="center"/>
          </w:tcPr>
          <w:p w14:paraId="42C138BE">
            <w:pPr>
              <w:widowControl w:val="0"/>
              <w:jc w:val="right"/>
              <w:rPr>
                <w:rFonts w:hint="eastAsia" w:cs="Times New Roman"/>
                <w:bCs/>
                <w:kern w:val="2"/>
                <w:szCs w:val="21"/>
              </w:rPr>
            </w:pPr>
            <w:r>
              <w:rPr>
                <w:rFonts w:hint="eastAsia" w:cs="Times New Roman"/>
                <w:bCs/>
                <w:kern w:val="2"/>
                <w:szCs w:val="21"/>
              </w:rPr>
              <w:t>0</w:t>
            </w:r>
          </w:p>
        </w:tc>
        <w:tc>
          <w:tcPr>
            <w:tcW w:w="714" w:type="pct"/>
            <w:vAlign w:val="center"/>
          </w:tcPr>
          <w:p w14:paraId="09AA9F07">
            <w:pPr>
              <w:widowControl w:val="0"/>
              <w:rPr>
                <w:rFonts w:hint="eastAsia" w:cs="Times New Roman"/>
                <w:bCs/>
                <w:kern w:val="2"/>
                <w:szCs w:val="21"/>
              </w:rPr>
            </w:pPr>
          </w:p>
        </w:tc>
        <w:tc>
          <w:tcPr>
            <w:tcW w:w="714" w:type="pct"/>
            <w:vAlign w:val="center"/>
          </w:tcPr>
          <w:p w14:paraId="71A38663">
            <w:pPr>
              <w:widowControl w:val="0"/>
              <w:rPr>
                <w:rFonts w:hint="eastAsia" w:cs="Times New Roman"/>
                <w:bCs/>
                <w:kern w:val="2"/>
                <w:szCs w:val="21"/>
              </w:rPr>
            </w:pPr>
          </w:p>
        </w:tc>
        <w:sdt>
          <w:sdtPr>
            <w:rPr>
              <w:rFonts w:hint="eastAsia" w:cs="Times New Roman"/>
              <w:bCs/>
              <w:kern w:val="2"/>
              <w:szCs w:val="21"/>
            </w:rPr>
            <w:alias w:val="报告期末募集资金使用情况明细_是否与募集说明书承诺的用途、使用计划及其他约定一致"/>
            <w:tag w:val="_GBC_3cf15c1f62da41c2801ac3a1a5e23619"/>
            <w:id w:val="-1306546687"/>
            <w:comboBox>
              <w:listItem w:displayText="是" w:value="是"/>
              <w:listItem w:displayText="否" w:value="否"/>
            </w:comboBox>
          </w:sdtPr>
          <w:sdtEndPr>
            <w:rPr>
              <w:rFonts w:hint="eastAsia" w:cs="Times New Roman"/>
              <w:bCs/>
              <w:kern w:val="2"/>
              <w:szCs w:val="21"/>
            </w:rPr>
          </w:sdtEndPr>
          <w:sdtContent>
            <w:tc>
              <w:tcPr>
                <w:tcW w:w="715" w:type="pct"/>
                <w:vAlign w:val="center"/>
              </w:tcPr>
              <w:p w14:paraId="296782AC">
                <w:pPr>
                  <w:widowControl w:val="0"/>
                  <w:rPr>
                    <w:rFonts w:hint="eastAsia" w:cs="Times New Roman"/>
                    <w:bCs/>
                    <w:kern w:val="2"/>
                    <w:szCs w:val="21"/>
                  </w:rPr>
                </w:pPr>
                <w:r>
                  <w:rPr>
                    <w:rFonts w:hint="eastAsia" w:cs="Times New Roman"/>
                    <w:bCs/>
                    <w:kern w:val="2"/>
                    <w:szCs w:val="21"/>
                  </w:rPr>
                  <w:t>是</w:t>
                </w:r>
              </w:p>
            </w:tc>
          </w:sdtContent>
        </w:sdt>
      </w:tr>
      <w:bookmarkEnd w:id="196"/>
    </w:tbl>
    <w:p w14:paraId="7ED0993E">
      <w:pPr>
        <w:rPr>
          <w:rFonts w:hint="eastAsia" w:cs="Times New Roman"/>
          <w:bCs/>
          <w:color w:val="333399"/>
          <w:kern w:val="2"/>
          <w:szCs w:val="21"/>
        </w:rPr>
      </w:pPr>
    </w:p>
    <w:p w14:paraId="2393CC9F">
      <w:pPr>
        <w:rPr>
          <w:rFonts w:hAnsi="Arial" w:cs="Times New Roman"/>
          <w:bCs/>
          <w:kern w:val="2"/>
          <w:szCs w:val="21"/>
        </w:rPr>
      </w:pPr>
      <w:r>
        <w:rPr>
          <w:rFonts w:hint="eastAsia" w:hAnsi="Arial" w:cs="Times New Roman"/>
          <w:bCs/>
          <w:kern w:val="2"/>
          <w:szCs w:val="21"/>
        </w:rPr>
        <w:t>募集资金用于建设项目的进展情况及运营效益</w:t>
      </w:r>
    </w:p>
    <w:sdt>
      <w:sdtPr>
        <w:rPr>
          <w:szCs w:val="21"/>
        </w:rPr>
        <w:alias w:val="是否适用：募集资金用于建设项目的进展情况及运营效益[双击切换]"/>
        <w:tag w:val="_GBC_0158e16ca829406aab365a77c67abdd6"/>
        <w:id w:val="341818838"/>
        <w:placeholder>
          <w:docPart w:val="6F49AB039B644092B81367CAB677510F"/>
        </w:placeholder>
      </w:sdtPr>
      <w:sdtEndPr>
        <w:rPr>
          <w:szCs w:val="21"/>
        </w:rPr>
      </w:sdtEndPr>
      <w:sdtContent>
        <w:p w14:paraId="26BE0DCC">
          <w:pPr>
            <w:rPr>
              <w:rFonts w:hint="eastAsia" w:cs="Times New Roman"/>
              <w:bCs/>
              <w:kern w:val="2"/>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42406AD">
      <w:pPr>
        <w:rPr>
          <w:rFonts w:hint="eastAsia" w:cs="Times New Roman"/>
          <w:bCs/>
          <w:kern w:val="2"/>
          <w:szCs w:val="21"/>
        </w:rPr>
      </w:pPr>
    </w:p>
    <w:p w14:paraId="55210432">
      <w:pPr>
        <w:rPr>
          <w:rFonts w:hAnsi="Arial" w:cs="Times New Roman"/>
          <w:bCs/>
          <w:kern w:val="2"/>
          <w:szCs w:val="21"/>
        </w:rPr>
      </w:pPr>
      <w:r>
        <w:rPr>
          <w:rFonts w:hint="eastAsia" w:hAnsi="Arial" w:cs="Times New Roman"/>
          <w:bCs/>
          <w:kern w:val="2"/>
          <w:szCs w:val="21"/>
        </w:rPr>
        <w:t>报告期内变更上述债券募集资金用途的说明</w:t>
      </w:r>
    </w:p>
    <w:sdt>
      <w:sdtPr>
        <w:rPr>
          <w:szCs w:val="21"/>
        </w:rPr>
        <w:alias w:val="是否适用：报告期内变更上述债券募集资金用途的说明 [双击切换]"/>
        <w:tag w:val="_GBC_370a70d6b5eb4e249f9ee8eaed406096"/>
        <w:id w:val="1936629883"/>
        <w:placeholder>
          <w:docPart w:val="6F49AB039B644092B81367CAB677510F"/>
        </w:placeholder>
      </w:sdtPr>
      <w:sdtEndPr>
        <w:rPr>
          <w:szCs w:val="21"/>
        </w:rPr>
      </w:sdtEndPr>
      <w:sdtContent>
        <w:p w14:paraId="2B9A3A6E">
          <w:pPr>
            <w:rPr>
              <w:rFonts w:hint="eastAsia" w:cs="Times New Roman"/>
              <w:bCs/>
              <w:kern w:val="2"/>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6C05D02">
      <w:pPr>
        <w:rPr>
          <w:rFonts w:hint="eastAsia" w:cs="Times New Roman"/>
          <w:bCs/>
          <w:kern w:val="2"/>
          <w:szCs w:val="21"/>
        </w:rPr>
      </w:pPr>
    </w:p>
    <w:p w14:paraId="2CBD07C5">
      <w:pPr>
        <w:adjustRightInd w:val="0"/>
        <w:snapToGrid w:val="0"/>
        <w:rPr>
          <w:rFonts w:hAnsi="Arial" w:cs="Times New Roman"/>
          <w:bCs/>
          <w:kern w:val="2"/>
          <w:szCs w:val="21"/>
        </w:rPr>
      </w:pPr>
      <w:r>
        <w:rPr>
          <w:rFonts w:hint="eastAsia" w:ascii="Arial" w:hAnsi="Arial" w:cs="Times New Roman"/>
          <w:bCs/>
          <w:kern w:val="2"/>
          <w:szCs w:val="21"/>
        </w:rPr>
        <w:t>其他</w:t>
      </w:r>
      <w:r>
        <w:rPr>
          <w:rFonts w:hint="eastAsia" w:hAnsi="Arial" w:cs="Times New Roman"/>
          <w:bCs/>
          <w:kern w:val="2"/>
          <w:szCs w:val="21"/>
        </w:rPr>
        <w:t>说明：</w:t>
      </w:r>
    </w:p>
    <w:sdt>
      <w:sdtPr>
        <w:rPr>
          <w:rFonts w:hAnsi="Arial" w:cs="Times New Roman"/>
          <w:bCs/>
          <w:kern w:val="2"/>
          <w:szCs w:val="21"/>
        </w:rPr>
        <w:alias w:val="是否适用：报告期末募集资金使用情况其他说明[双击切换]"/>
        <w:tag w:val="_GBC_8df3925221de4bd5ba94a9f7c198e0b4"/>
        <w:id w:val="1860615922"/>
        <w:placeholder>
          <w:docPart w:val="6F49AB039B644092B81367CAB677510F"/>
        </w:placeholder>
      </w:sdtPr>
      <w:sdtEndPr>
        <w:rPr>
          <w:rFonts w:hAnsi="Arial" w:cs="Times New Roman"/>
          <w:bCs/>
          <w:kern w:val="2"/>
          <w:szCs w:val="21"/>
        </w:rPr>
      </w:sdtEndPr>
      <w:sdtContent>
        <w:p w14:paraId="28114D68">
          <w:pPr>
            <w:adjustRightInd w:val="0"/>
            <w:snapToGrid w:val="0"/>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3AD362ED">
      <w:pPr>
        <w:rPr>
          <w:rFonts w:hint="eastAsia" w:cs="Times New Roman"/>
          <w:b/>
          <w:bCs/>
          <w:kern w:val="2"/>
          <w:szCs w:val="21"/>
        </w:rPr>
      </w:pPr>
    </w:p>
    <w:p w14:paraId="5A86F743">
      <w:pPr>
        <w:pStyle w:val="5"/>
        <w:numPr>
          <w:ilvl w:val="0"/>
          <w:numId w:val="86"/>
        </w:numPr>
        <w:ind w:left="425" w:hanging="425"/>
        <w:rPr>
          <w:rFonts w:hint="eastAsia" w:ascii="宋体" w:hAnsi="宋体" w:cs="宋体"/>
          <w:kern w:val="0"/>
          <w:szCs w:val="24"/>
        </w:rPr>
      </w:pPr>
      <w:r>
        <w:rPr>
          <w:rFonts w:hint="eastAsia" w:ascii="宋体" w:hAnsi="宋体" w:cs="宋体"/>
          <w:kern w:val="0"/>
          <w:szCs w:val="24"/>
        </w:rPr>
        <w:t>信用评级结果调整</w:t>
      </w:r>
      <w:r>
        <w:rPr>
          <w:rFonts w:hint="eastAsia" w:ascii="宋体" w:hAnsi="宋体" w:eastAsia="宋体" w:cs="宋体"/>
          <w:kern w:val="0"/>
          <w:szCs w:val="24"/>
        </w:rPr>
        <w:t>情况</w:t>
      </w:r>
    </w:p>
    <w:sdt>
      <w:sdtPr>
        <w:rPr>
          <w:rFonts w:hint="eastAsia" w:cs="Times New Roman"/>
          <w:bCs/>
          <w:color w:val="000000" w:themeColor="text1"/>
          <w:kern w:val="2"/>
          <w:szCs w:val="21"/>
          <w14:textFill>
            <w14:solidFill>
              <w14:schemeClr w14:val="tx1"/>
            </w14:solidFill>
          </w14:textFill>
        </w:rPr>
        <w:alias w:val="是否适用：公司债券评级情况[双击切换]"/>
        <w:tag w:val="_GBC_115a5cf8143a47a693a12973b934caac"/>
        <w:id w:val="-1241868279"/>
        <w:placeholder>
          <w:docPart w:val="6F49AB039B644092B81367CAB677510F"/>
        </w:placeholder>
      </w:sdtPr>
      <w:sdtEndPr>
        <w:rPr>
          <w:rFonts w:hint="eastAsia" w:cs="Times New Roman"/>
          <w:bCs/>
          <w:color w:val="000000" w:themeColor="text1"/>
          <w:kern w:val="2"/>
          <w:szCs w:val="21"/>
          <w14:textFill>
            <w14:solidFill>
              <w14:schemeClr w14:val="tx1"/>
            </w14:solidFill>
          </w14:textFill>
        </w:rPr>
      </w:sdtEndPr>
      <w:sdtContent>
        <w:p w14:paraId="17A75FB0">
          <w:pPr>
            <w:rPr>
              <w:rFonts w:hint="eastAsia"/>
              <w:color w:val="000000" w:themeColor="text1"/>
              <w:szCs w:val="2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0B0E9E82">
      <w:pPr>
        <w:rPr>
          <w:rFonts w:hint="eastAsia"/>
          <w:color w:val="000000" w:themeColor="text1"/>
          <w:szCs w:val="21"/>
          <w14:textFill>
            <w14:solidFill>
              <w14:schemeClr w14:val="tx1"/>
            </w14:solidFill>
          </w14:textFill>
        </w:rPr>
      </w:pPr>
    </w:p>
    <w:p w14:paraId="4AE3A436">
      <w:pPr>
        <w:adjustRightInd w:val="0"/>
        <w:snapToGrid w:val="0"/>
        <w:rPr>
          <w:rFonts w:hAnsi="Arial" w:cs="Times New Roman"/>
          <w:bCs/>
          <w:kern w:val="2"/>
          <w:szCs w:val="21"/>
        </w:rPr>
      </w:pPr>
      <w:r>
        <w:rPr>
          <w:rFonts w:hint="eastAsia" w:ascii="Arial" w:hAnsi="Arial" w:cs="Times New Roman"/>
          <w:bCs/>
          <w:kern w:val="2"/>
          <w:szCs w:val="21"/>
        </w:rPr>
        <w:t>其他</w:t>
      </w:r>
      <w:r>
        <w:rPr>
          <w:rFonts w:hint="eastAsia" w:hAnsi="Arial" w:cs="Times New Roman"/>
          <w:bCs/>
          <w:kern w:val="2"/>
          <w:szCs w:val="21"/>
        </w:rPr>
        <w:t>说明：</w:t>
      </w:r>
    </w:p>
    <w:sdt>
      <w:sdtPr>
        <w:rPr>
          <w:rFonts w:hint="eastAsia" w:hAnsi="Arial" w:cs="Times New Roman"/>
          <w:bCs/>
          <w:kern w:val="2"/>
          <w:szCs w:val="21"/>
        </w:rPr>
        <w:alias w:val="是否适用：信用评级结果调整情况其他说明[双击切换]"/>
        <w:tag w:val="_GBC_3883446d7d7345678f7e29fa32ad18f4"/>
        <w:id w:val="329563292"/>
        <w:placeholder>
          <w:docPart w:val="6F49AB039B644092B81367CAB677510F"/>
        </w:placeholder>
      </w:sdtPr>
      <w:sdtEndPr>
        <w:rPr>
          <w:rFonts w:hint="eastAsia" w:hAnsi="Arial" w:cs="Times New Roman"/>
          <w:bCs/>
          <w:kern w:val="2"/>
          <w:szCs w:val="21"/>
        </w:rPr>
      </w:sdtEndPr>
      <w:sdtContent>
        <w:p w14:paraId="7D192BEC">
          <w:pPr>
            <w:adjustRightInd w:val="0"/>
            <w:snapToGrid w:val="0"/>
            <w:rPr>
              <w:rFonts w:hint="eastAsia"/>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43DC9D17">
      <w:pPr>
        <w:rPr>
          <w:rFonts w:hint="eastAsia" w:cs="Times New Roman"/>
          <w:b/>
          <w:bCs/>
          <w:kern w:val="2"/>
          <w:szCs w:val="21"/>
        </w:rPr>
      </w:pPr>
    </w:p>
    <w:p w14:paraId="0183470A">
      <w:pPr>
        <w:pStyle w:val="5"/>
        <w:numPr>
          <w:ilvl w:val="0"/>
          <w:numId w:val="86"/>
        </w:numPr>
        <w:ind w:left="425" w:hanging="425"/>
        <w:rPr>
          <w:rFonts w:hint="eastAsia" w:ascii="宋体" w:hAnsi="宋体" w:cs="宋体"/>
          <w:kern w:val="0"/>
          <w:szCs w:val="24"/>
        </w:rPr>
      </w:pPr>
      <w:r>
        <w:rPr>
          <w:rFonts w:hint="eastAsia" w:ascii="宋体" w:hAnsi="宋体" w:cs="宋体"/>
          <w:kern w:val="0"/>
          <w:szCs w:val="24"/>
        </w:rPr>
        <w:t>担保情况、偿债计划及其他偿债保障措施在报告期内的执行和变化情况及其影响</w:t>
      </w:r>
    </w:p>
    <w:sdt>
      <w:sdtPr>
        <w:rPr>
          <w:rFonts w:cs="Times New Roman"/>
          <w:bCs/>
          <w:color w:val="000000" w:themeColor="text1"/>
          <w:kern w:val="2"/>
          <w:szCs w:val="21"/>
          <w14:textFill>
            <w14:solidFill>
              <w14:schemeClr w14:val="tx1"/>
            </w14:solidFill>
          </w14:textFill>
        </w:rPr>
        <w:alias w:val="是否适用：担保情况、偿债计划及其他偿债保障措施在报告期内的执行情况和变化情况及对债券投资者权益的影响[双击切换]"/>
        <w:tag w:val="_GBC_4adf3afc9c9f48ddb549dc4296576ba1"/>
        <w:id w:val="1851290158"/>
        <w:placeholder>
          <w:docPart w:val="6F49AB039B644092B81367CAB677510F"/>
        </w:placeholder>
      </w:sdtPr>
      <w:sdtEndPr>
        <w:rPr>
          <w:rFonts w:cs="Times New Roman"/>
          <w:bCs/>
          <w:color w:val="000000" w:themeColor="text1"/>
          <w:kern w:val="2"/>
          <w:szCs w:val="21"/>
          <w14:textFill>
            <w14:solidFill>
              <w14:schemeClr w14:val="tx1"/>
            </w14:solidFill>
          </w14:textFill>
        </w:rPr>
      </w:sdtEndPr>
      <w:sdtContent>
        <w:p w14:paraId="1A4A1323">
          <w:pPr>
            <w:rPr>
              <w:rFonts w:hint="eastAsia" w:cs="Times New Roman"/>
              <w:bCs/>
              <w:color w:val="000000" w:themeColor="text1"/>
              <w:kern w:val="2"/>
              <w:szCs w:val="21"/>
              <w14:textFill>
                <w14:solidFill>
                  <w14:schemeClr w14:val="tx1"/>
                </w14:solidFill>
              </w14:textFill>
            </w:rPr>
          </w:pP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□适用 </w:instrText>
          </w:r>
          <w:r>
            <w:rPr>
              <w:rFonts w:cs="Times New Roman"/>
              <w:bCs/>
              <w:color w:val="000000" w:themeColor="text1"/>
              <w:kern w:val="2"/>
              <w:szCs w:val="21"/>
              <w14:textFill>
                <w14:solidFill>
                  <w14:schemeClr w14:val="tx1"/>
                </w14:solidFill>
              </w14:textFill>
            </w:rPr>
            <w:fldChar w:fldCharType="end"/>
          </w:r>
          <w:r>
            <w:rPr>
              <w:rFonts w:cs="Times New Roman"/>
              <w:bCs/>
              <w:color w:val="000000" w:themeColor="text1"/>
              <w:kern w:val="2"/>
              <w:szCs w:val="21"/>
              <w14:textFill>
                <w14:solidFill>
                  <w14:schemeClr w14:val="tx1"/>
                </w14:solidFill>
              </w14:textFill>
            </w:rPr>
            <w:fldChar w:fldCharType="begin"/>
          </w:r>
          <w:r>
            <w:rPr>
              <w:rFonts w:hint="eastAsia" w:cs="Times New Roman"/>
              <w:bCs/>
              <w:color w:val="000000" w:themeColor="text1"/>
              <w:kern w:val="2"/>
              <w:szCs w:val="21"/>
              <w14:textFill>
                <w14:solidFill>
                  <w14:schemeClr w14:val="tx1"/>
                </w14:solidFill>
              </w14:textFill>
            </w:rPr>
            <w:instrText xml:space="preserve"> MACROBUTTON  SnrToggleCheckbox √不适用 </w:instrText>
          </w:r>
          <w:r>
            <w:rPr>
              <w:rFonts w:cs="Times New Roman"/>
              <w:bCs/>
              <w:color w:val="000000" w:themeColor="text1"/>
              <w:kern w:val="2"/>
              <w:szCs w:val="21"/>
              <w14:textFill>
                <w14:solidFill>
                  <w14:schemeClr w14:val="tx1"/>
                </w14:solidFill>
              </w14:textFill>
            </w:rPr>
            <w:fldChar w:fldCharType="end"/>
          </w:r>
        </w:p>
      </w:sdtContent>
    </w:sdt>
    <w:p w14:paraId="6F5DF775">
      <w:pPr>
        <w:rPr>
          <w:rFonts w:hint="eastAsia" w:cs="Times New Roman"/>
          <w:bCs/>
          <w:color w:val="000000" w:themeColor="text1"/>
          <w:kern w:val="2"/>
          <w:szCs w:val="21"/>
          <w14:textFill>
            <w14:solidFill>
              <w14:schemeClr w14:val="tx1"/>
            </w14:solidFill>
          </w14:textFill>
        </w:rPr>
      </w:pPr>
    </w:p>
    <w:p w14:paraId="26CCD4B2">
      <w:pPr>
        <w:pStyle w:val="5"/>
        <w:numPr>
          <w:ilvl w:val="0"/>
          <w:numId w:val="86"/>
        </w:numPr>
        <w:ind w:left="425" w:hanging="425"/>
        <w:rPr>
          <w:rFonts w:hint="eastAsia" w:ascii="宋体" w:hAnsi="宋体" w:cs="宋体"/>
          <w:kern w:val="0"/>
          <w:szCs w:val="24"/>
        </w:rPr>
      </w:pPr>
      <w:r>
        <w:rPr>
          <w:rFonts w:ascii="宋体" w:hAnsi="宋体" w:cs="宋体"/>
          <w:kern w:val="0"/>
          <w:szCs w:val="24"/>
        </w:rPr>
        <w:t>非金融企业债务融资工具</w:t>
      </w:r>
      <w:r>
        <w:rPr>
          <w:rFonts w:hint="eastAsia" w:ascii="宋体" w:hAnsi="宋体" w:cs="宋体"/>
          <w:kern w:val="0"/>
          <w:szCs w:val="24"/>
        </w:rPr>
        <w:t>其他情况的说明</w:t>
      </w:r>
    </w:p>
    <w:sdt>
      <w:sdtPr>
        <w:rPr>
          <w:rFonts w:cs="Times New Roman"/>
          <w:bCs/>
          <w:kern w:val="2"/>
          <w:szCs w:val="21"/>
        </w:rPr>
        <w:alias w:val="是否适用：非金融企业债务融资工具其他情况的说明[双击切换]"/>
        <w:tag w:val="_GBC_5899cb6b67de4f5780dbbe891f91a36a"/>
        <w:id w:val="1782905967"/>
        <w:placeholder>
          <w:docPart w:val="6F49AB039B644092B81367CAB677510F"/>
        </w:placeholder>
      </w:sdtPr>
      <w:sdtEndPr>
        <w:rPr>
          <w:rFonts w:cs="Times New Roman"/>
          <w:bCs/>
          <w:kern w:val="2"/>
          <w:szCs w:val="21"/>
        </w:rPr>
      </w:sdtEndPr>
      <w:sdtContent>
        <w:p w14:paraId="31126FE8">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2B5BF565">
      <w:pPr>
        <w:rPr>
          <w:rFonts w:hint="eastAsia"/>
          <w:szCs w:val="21"/>
        </w:rPr>
      </w:pPr>
    </w:p>
    <w:p w14:paraId="661FB446">
      <w:pPr>
        <w:rPr>
          <w:rFonts w:hint="eastAsia" w:cs="Times New Roman"/>
          <w:bCs/>
          <w:kern w:val="2"/>
          <w:szCs w:val="21"/>
        </w:rPr>
      </w:pPr>
    </w:p>
    <w:bookmarkEnd w:id="195"/>
    <w:p w14:paraId="45B718FB">
      <w:pPr>
        <w:pStyle w:val="4"/>
        <w:numPr>
          <w:ilvl w:val="0"/>
          <w:numId w:val="80"/>
        </w:numPr>
        <w:ind w:left="425" w:hanging="425"/>
        <w:rPr>
          <w:rFonts w:hint="eastAsia" w:ascii="宋体" w:hAnsi="宋体"/>
        </w:rPr>
      </w:pPr>
      <w:r>
        <w:rPr>
          <w:rFonts w:hint="eastAsia" w:ascii="宋体" w:hAnsi="宋体"/>
        </w:rPr>
        <w:t>公司报告期内合并报表范围亏损超过上年末净资产10%</w:t>
      </w:r>
    </w:p>
    <w:sdt>
      <w:sdtPr>
        <w:rPr>
          <w:rFonts w:cs="Times New Roman"/>
          <w:bCs/>
          <w:kern w:val="2"/>
          <w:szCs w:val="21"/>
        </w:rPr>
        <w:alias w:val="是否适用：公司报告期内合并报表范围亏损超过上年末净资产10% [双击切换]"/>
        <w:tag w:val="_GBC_a7df93b62ba940818039a51a119d0f02"/>
        <w:id w:val="593747792"/>
        <w:placeholder>
          <w:docPart w:val="GBC22222222222222222222222222222"/>
        </w:placeholder>
      </w:sdtPr>
      <w:sdtEndPr>
        <w:rPr>
          <w:rFonts w:cs="Times New Roman"/>
          <w:bCs/>
          <w:kern w:val="2"/>
          <w:szCs w:val="21"/>
        </w:rPr>
      </w:sdtEndPr>
      <w:sdtContent>
        <w:p w14:paraId="1C462F1A">
          <w:pPr>
            <w:adjustRightInd w:val="0"/>
            <w:snapToGrid w:val="0"/>
            <w:rPr>
              <w:rFonts w:hint="eastAsia" w:cs="Times New Roman"/>
              <w:bCs/>
              <w:kern w:val="2"/>
              <w:szCs w:val="21"/>
            </w:rPr>
          </w:pPr>
          <w:r>
            <w:rPr>
              <w:rFonts w:cs="Times New Roman"/>
              <w:bCs/>
              <w:kern w:val="2"/>
              <w:szCs w:val="21"/>
            </w:rPr>
            <w:fldChar w:fldCharType="begin"/>
          </w:r>
          <w:r>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cs="Times New Roman"/>
              <w:bCs/>
              <w:kern w:val="2"/>
              <w:szCs w:val="21"/>
            </w:rPr>
            <w:instrText xml:space="preserve"> MACROBUTTON  SnrToggleCheckbox □不适用 </w:instrText>
          </w:r>
          <w:r>
            <w:rPr>
              <w:rFonts w:cs="Times New Roman"/>
              <w:bCs/>
              <w:kern w:val="2"/>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5"/>
        <w:gridCol w:w="9638"/>
      </w:tblGrid>
      <w:tr w14:paraId="4587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493454d058c442a8635e1a775ebbd33"/>
            <w:id w:val="1656256513"/>
          </w:sdtPr>
          <w:sdtContent>
            <w:tc>
              <w:tcPr>
                <w:tcW w:w="1524" w:type="pct"/>
                <w:shd w:val="clear" w:color="auto" w:fill="auto"/>
                <w:vAlign w:val="center"/>
              </w:tcPr>
              <w:p w14:paraId="4B89AAB9">
                <w:pPr>
                  <w:widowControl w:val="0"/>
                  <w:jc w:val="both"/>
                  <w:rPr>
                    <w:rFonts w:hint="eastAsia"/>
                  </w:rPr>
                </w:pPr>
                <w:r>
                  <w:t>亏损情况</w:t>
                </w:r>
              </w:p>
            </w:tc>
          </w:sdtContent>
        </w:sdt>
        <w:tc>
          <w:tcPr>
            <w:tcW w:w="3476" w:type="pct"/>
            <w:shd w:val="clear" w:color="auto" w:fill="auto"/>
            <w:vAlign w:val="center"/>
          </w:tcPr>
          <w:p w14:paraId="7B675079">
            <w:pPr>
              <w:widowControl w:val="0"/>
              <w:jc w:val="both"/>
              <w:rPr>
                <w:rFonts w:hint="eastAsia"/>
              </w:rPr>
            </w:pPr>
            <w:sdt>
              <w:sdtPr>
                <w:rPr>
                  <w:rFonts w:hint="eastAsia"/>
                </w:rPr>
                <w:alias w:val="公司报告期内合并报表范围亏损情况"/>
                <w:tag w:val="_GBC_5f35523368174a3a8842cb771a69a461"/>
                <w:id w:val="338592655"/>
              </w:sdtPr>
              <w:sdtEndPr>
                <w:rPr>
                  <w:rFonts w:hint="eastAsia"/>
                </w:rPr>
              </w:sdtEndPr>
              <w:sdtContent>
                <w:r>
                  <w:rPr>
                    <w:rFonts w:hint="eastAsia"/>
                  </w:rPr>
                  <w:t>报告期内归属于上市公司股东的净亏损为42.28亿元，占上年末归属于上市公司股东净资产的24.72%</w:t>
                </w:r>
              </w:sdtContent>
            </w:sdt>
          </w:p>
        </w:tc>
      </w:tr>
      <w:tr w14:paraId="145B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shd w:val="clear" w:color="auto" w:fill="auto"/>
            <w:vAlign w:val="center"/>
          </w:tcPr>
          <w:p w14:paraId="6CECF40A">
            <w:pPr>
              <w:widowControl w:val="0"/>
              <w:jc w:val="both"/>
              <w:rPr>
                <w:rFonts w:hint="eastAsia"/>
              </w:rPr>
            </w:pPr>
            <w:r>
              <w:t>亏损原因</w:t>
            </w:r>
          </w:p>
        </w:tc>
        <w:tc>
          <w:tcPr>
            <w:tcW w:w="3476" w:type="pct"/>
            <w:shd w:val="clear" w:color="auto" w:fill="auto"/>
            <w:vAlign w:val="center"/>
          </w:tcPr>
          <w:p w14:paraId="7F769C7E">
            <w:pPr>
              <w:widowControl w:val="0"/>
              <w:jc w:val="both"/>
              <w:rPr>
                <w:rFonts w:hint="eastAsia"/>
              </w:rPr>
            </w:pPr>
            <w:r>
              <w:rPr>
                <w:rFonts w:hint="eastAsia"/>
              </w:rPr>
              <w:t>（1）受主要客户招投标项目推迟及订单量减少、产品标准要求变化、部分子公司审价等因素影响，对短期整体收入造成一定影响，同比下降14.49%；</w:t>
            </w:r>
          </w:p>
          <w:p w14:paraId="0DB3D03F">
            <w:pPr>
              <w:widowControl w:val="0"/>
              <w:jc w:val="both"/>
              <w:rPr>
                <w:rFonts w:hint="eastAsia"/>
              </w:rPr>
            </w:pPr>
            <w:r>
              <w:rPr>
                <w:rFonts w:hint="eastAsia"/>
              </w:rPr>
              <w:t>（2）公司为更好地完成“保军、应急、为民”战略使命，聚焦主业，进一步提升主业核心竞争力，提高经营效率，对受房地产市场下行影响的低效无效资产计提减值准备；</w:t>
            </w:r>
          </w:p>
          <w:p w14:paraId="6D676F06">
            <w:pPr>
              <w:widowControl w:val="0"/>
              <w:jc w:val="both"/>
              <w:rPr>
                <w:rFonts w:hint="eastAsia"/>
              </w:rPr>
            </w:pPr>
            <w:r>
              <w:rPr>
                <w:rFonts w:hint="eastAsia"/>
              </w:rPr>
              <w:t>（3）受客户需求结构调整，新材料新技术的应用推广加速，新产品研发迭代升级，行业竞争加剧，对发生减值损失的存货计提减值准备；</w:t>
            </w:r>
          </w:p>
          <w:p w14:paraId="595B0856">
            <w:pPr>
              <w:widowControl w:val="0"/>
              <w:jc w:val="both"/>
              <w:rPr>
                <w:rFonts w:hint="eastAsia"/>
              </w:rPr>
            </w:pPr>
            <w:r>
              <w:rPr>
                <w:rFonts w:hint="eastAsia"/>
              </w:rPr>
              <w:t>（4）公司对涉诉形成的抵押资产贬值或无法执行，以及回款不及预期的应收款项计提减值。</w:t>
            </w:r>
          </w:p>
        </w:tc>
      </w:tr>
      <w:tr w14:paraId="3452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shd w:val="clear" w:color="auto" w:fill="auto"/>
            <w:vAlign w:val="center"/>
          </w:tcPr>
          <w:p w14:paraId="1B90E007">
            <w:pPr>
              <w:widowControl w:val="0"/>
              <w:jc w:val="both"/>
              <w:rPr>
                <w:rFonts w:hint="eastAsia"/>
              </w:rPr>
            </w:pPr>
            <w:r>
              <w:t>对公司生产经营和偿债能力的影响</w:t>
            </w:r>
          </w:p>
        </w:tc>
        <w:tc>
          <w:tcPr>
            <w:tcW w:w="3476" w:type="pct"/>
            <w:tcBorders>
              <w:top w:val="single" w:color="auto" w:sz="4" w:space="0"/>
              <w:left w:val="single" w:color="auto" w:sz="4" w:space="0"/>
              <w:bottom w:val="single" w:color="auto" w:sz="4" w:space="0"/>
              <w:right w:val="single" w:color="auto" w:sz="4" w:space="0"/>
            </w:tcBorders>
            <w:shd w:val="clear" w:color="auto" w:fill="auto"/>
            <w:vAlign w:val="center"/>
          </w:tcPr>
          <w:p w14:paraId="1FEF245E">
            <w:pPr>
              <w:widowControl w:val="0"/>
              <w:jc w:val="both"/>
              <w:rPr>
                <w:rFonts w:hint="eastAsia"/>
              </w:rPr>
            </w:pPr>
            <w:r>
              <w:rPr>
                <w:rFonts w:hint="eastAsia"/>
              </w:rPr>
              <w:t>综合考虑未来现金流预测及已获得未使用的银行信贷等融资额度，具备充足的资金满足偿还债务需求，偿债风险在可控制范围内。</w:t>
            </w:r>
          </w:p>
        </w:tc>
      </w:tr>
    </w:tbl>
    <w:p w14:paraId="6BE75F75">
      <w:pPr>
        <w:rPr>
          <w:rFonts w:hint="eastAsia" w:cs="Times New Roman"/>
          <w:bCs/>
          <w:kern w:val="2"/>
          <w:szCs w:val="21"/>
        </w:rPr>
      </w:pPr>
    </w:p>
    <w:bookmarkEnd w:id="167"/>
    <w:p w14:paraId="2645EF76">
      <w:pPr>
        <w:pStyle w:val="4"/>
        <w:numPr>
          <w:ilvl w:val="0"/>
          <w:numId w:val="80"/>
        </w:numPr>
        <w:ind w:left="425" w:hanging="425"/>
        <w:rPr>
          <w:rFonts w:hint="eastAsia" w:ascii="宋体" w:hAnsi="宋体"/>
        </w:rPr>
      </w:pPr>
      <w:bookmarkStart w:id="197" w:name="_Hlk89434058"/>
      <w:r>
        <w:rPr>
          <w:rFonts w:hint="eastAsia" w:ascii="宋体" w:hAnsi="宋体"/>
        </w:rPr>
        <w:t>报告期末除债券外的有息债务逾期情况</w:t>
      </w:r>
    </w:p>
    <w:sdt>
      <w:sdtPr>
        <w:rPr>
          <w:rFonts w:ascii="Arial" w:hAnsi="Arial" w:cs="Times New Roman"/>
          <w:bCs/>
          <w:kern w:val="2"/>
          <w:szCs w:val="21"/>
        </w:rPr>
        <w:alias w:val="是否适用：报告期末除债券外的有息债务逾期情况[双击切换]"/>
        <w:tag w:val="_GBC_0fb37eae114040d9ac80c1e9f3088a62"/>
        <w:id w:val="1934468124"/>
        <w:placeholder>
          <w:docPart w:val="GBC22222222222222222222222222222"/>
        </w:placeholder>
      </w:sdtPr>
      <w:sdtEndPr>
        <w:rPr>
          <w:rFonts w:ascii="Arial" w:hAnsi="Arial" w:cs="Times New Roman"/>
          <w:bCs/>
          <w:kern w:val="2"/>
          <w:szCs w:val="21"/>
        </w:rPr>
      </w:sdtEndPr>
      <w:sdtContent>
        <w:p w14:paraId="78D72DF2">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720A9579">
      <w:pPr>
        <w:pStyle w:val="47"/>
        <w:rPr>
          <w:rFonts w:hint="eastAsia" w:ascii="宋体" w:hAnsi="宋体"/>
          <w:strike/>
          <w:szCs w:val="21"/>
        </w:rPr>
      </w:pPr>
    </w:p>
    <w:bookmarkEnd w:id="197"/>
    <w:p w14:paraId="1B1526D7">
      <w:pPr>
        <w:pStyle w:val="4"/>
        <w:numPr>
          <w:ilvl w:val="0"/>
          <w:numId w:val="80"/>
        </w:numPr>
        <w:ind w:left="425" w:hanging="425"/>
        <w:rPr>
          <w:rFonts w:hint="eastAsia" w:ascii="宋体" w:hAnsi="宋体"/>
        </w:rPr>
      </w:pPr>
      <w:bookmarkStart w:id="198" w:name="_Hlk89434062"/>
      <w:r>
        <w:rPr>
          <w:rFonts w:hint="eastAsia" w:ascii="宋体" w:hAnsi="宋体"/>
        </w:rPr>
        <w:t xml:space="preserve"> 报告期内违反法律法规、公司章程、信息披露事务管理制度规定的情况以及债券募集说明书约定或承诺的情况对债券投资者权益的影响</w:t>
      </w:r>
    </w:p>
    <w:sdt>
      <w:sdtPr>
        <w:rPr>
          <w:rFonts w:ascii="Arial" w:hAnsi="Arial" w:cs="Times New Roman"/>
          <w:bCs/>
          <w:kern w:val="2"/>
          <w:szCs w:val="21"/>
        </w:rPr>
        <w:alias w:val="是否适用：报告期内违反情况以及对债券投资者权益的影响 [双击切换]"/>
        <w:tag w:val="_GBC_2a67f483721a40bba3fde88f6d6334e1"/>
        <w:id w:val="797802794"/>
        <w:placeholder>
          <w:docPart w:val="GBC22222222222222222222222222222"/>
        </w:placeholder>
      </w:sdtPr>
      <w:sdtEndPr>
        <w:rPr>
          <w:rFonts w:ascii="Arial" w:hAnsi="Arial" w:cs="Times New Roman"/>
          <w:bCs/>
          <w:kern w:val="2"/>
          <w:szCs w:val="21"/>
        </w:rPr>
      </w:sdtEndPr>
      <w:sdtContent>
        <w:p w14:paraId="60BD1243">
          <w:pPr>
            <w:rPr>
              <w:rFonts w:hint="eastAsia" w:cs="Times New Roman"/>
              <w:bCs/>
              <w:kern w:val="2"/>
              <w:szCs w:val="21"/>
            </w:rPr>
          </w:pPr>
          <w:r>
            <w:rPr>
              <w:rFonts w:cs="Times New Roman"/>
              <w:bCs/>
              <w:kern w:val="2"/>
              <w:szCs w:val="21"/>
            </w:rPr>
            <w:fldChar w:fldCharType="begin"/>
          </w:r>
          <w:r>
            <w:rPr>
              <w:rFonts w:hint="eastAsia"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Pr>
              <w:rFonts w:hint="eastAsia" w:cs="Times New Roman"/>
              <w:bCs/>
              <w:kern w:val="2"/>
              <w:szCs w:val="21"/>
            </w:rPr>
            <w:instrText xml:space="preserve"> MACROBUTTON  SnrToggleCheckbox √不适用 </w:instrText>
          </w:r>
          <w:r>
            <w:rPr>
              <w:rFonts w:cs="Times New Roman"/>
              <w:bCs/>
              <w:kern w:val="2"/>
              <w:szCs w:val="21"/>
            </w:rPr>
            <w:fldChar w:fldCharType="end"/>
          </w:r>
        </w:p>
      </w:sdtContent>
    </w:sdt>
    <w:p w14:paraId="507290A5">
      <w:pPr>
        <w:spacing w:line="360" w:lineRule="auto"/>
        <w:rPr>
          <w:rFonts w:hint="eastAsia" w:cs="Times New Roman"/>
          <w:bCs/>
          <w:kern w:val="2"/>
          <w:szCs w:val="21"/>
        </w:rPr>
      </w:pPr>
    </w:p>
    <w:bookmarkEnd w:id="198"/>
    <w:p w14:paraId="5623F0E4">
      <w:pPr>
        <w:pStyle w:val="4"/>
        <w:numPr>
          <w:ilvl w:val="0"/>
          <w:numId w:val="80"/>
        </w:numPr>
        <w:ind w:left="425" w:hanging="425"/>
        <w:rPr>
          <w:rFonts w:hint="eastAsia" w:ascii="宋体" w:hAnsi="宋体"/>
        </w:rPr>
      </w:pPr>
      <w:r>
        <w:rPr>
          <w:rFonts w:hint="eastAsia" w:ascii="宋体" w:hAnsi="宋体"/>
        </w:rPr>
        <w:t>截至报告期末公司近2年的会计数据和财务指标</w:t>
      </w:r>
    </w:p>
    <w:sdt>
      <w:sdtPr>
        <w:alias w:val="是否适用：截至报告期末公司近2年的会计数据和财务指标 [双击切换]"/>
        <w:tag w:val="_GBC_9d2e3e6ec7ce4a28bb2670635d7fa055"/>
        <w:id w:val="-1870371817"/>
        <w:placeholder>
          <w:docPart w:val="GBC22222222222222222222222222222"/>
        </w:placeholder>
      </w:sdtPr>
      <w:sdtContent>
        <w:p w14:paraId="3BDD4AB2">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3876FC6">
      <w:pPr>
        <w:jc w:val="right"/>
        <w:rPr>
          <w:rFonts w:hint="eastAsia"/>
          <w:szCs w:val="21"/>
        </w:rPr>
      </w:pPr>
      <w:r>
        <w:rPr>
          <w:rFonts w:hint="eastAsia"/>
          <w:szCs w:val="21"/>
        </w:rPr>
        <w:t>单位</w:t>
      </w:r>
      <w:r>
        <w:rPr>
          <w:szCs w:val="21"/>
        </w:rPr>
        <w:t>：</w:t>
      </w:r>
      <w:sdt>
        <w:sdtPr>
          <w:rPr>
            <w:szCs w:val="21"/>
          </w:rPr>
          <w:alias w:val="单位：财务附注：截至报告期末公司近2年的会计数据和财务指标"/>
          <w:tag w:val="_GBC_d1b00d7bc3024e3b9a201ac818fee5f1"/>
          <w:id w:val="7157033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szCs w:val="21"/>
            </w:rPr>
            <w:t>元</w:t>
          </w:r>
        </w:sdtContent>
      </w:sdt>
      <w:r>
        <w:rPr>
          <w:rFonts w:hint="eastAsia"/>
          <w:szCs w:val="21"/>
        </w:rPr>
        <w:t xml:space="preserve">  币种</w:t>
      </w:r>
      <w:r>
        <w:rPr>
          <w:szCs w:val="21"/>
        </w:rPr>
        <w:t>：</w:t>
      </w:r>
      <w:sdt>
        <w:sdtPr>
          <w:rPr>
            <w:szCs w:val="21"/>
          </w:rPr>
          <w:alias w:val="币种：财务附注：截至报告期末公司近2年的会计数据和财务指标"/>
          <w:tag w:val="_GBC_48f2942a11ff459dbe700f63e54bd5c3"/>
          <w:id w:val="-11998537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5"/>
        <w:gridCol w:w="2149"/>
        <w:gridCol w:w="2268"/>
        <w:gridCol w:w="2127"/>
        <w:gridCol w:w="3094"/>
      </w:tblGrid>
      <w:tr w14:paraId="796F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4a92f21073e443f9446ff7111fb6224"/>
            <w:id w:val="-1188281769"/>
          </w:sdtPr>
          <w:sdtContent>
            <w:tc>
              <w:tcPr>
                <w:tcW w:w="1524" w:type="pct"/>
                <w:vAlign w:val="center"/>
              </w:tcPr>
              <w:p w14:paraId="6DD7C1FD">
                <w:pPr>
                  <w:jc w:val="center"/>
                  <w:rPr>
                    <w:rFonts w:ascii="Arial" w:hAnsi="Arial" w:cs="Times New Roman"/>
                    <w:b/>
                    <w:bCs/>
                    <w:szCs w:val="21"/>
                  </w:rPr>
                </w:pPr>
                <w:r>
                  <w:rPr>
                    <w:rFonts w:hint="eastAsia"/>
                    <w:szCs w:val="21"/>
                  </w:rPr>
                  <w:t>主要指标</w:t>
                </w:r>
              </w:p>
            </w:tc>
          </w:sdtContent>
        </w:sdt>
        <w:sdt>
          <w:sdtPr>
            <w:tag w:val="_PLD_bf5e3f06dc4c4abe895553a22a037989"/>
            <w:id w:val="1248458751"/>
          </w:sdtPr>
          <w:sdtContent>
            <w:tc>
              <w:tcPr>
                <w:tcW w:w="775" w:type="pct"/>
                <w:vAlign w:val="center"/>
              </w:tcPr>
              <w:p w14:paraId="0939F68F">
                <w:pPr>
                  <w:jc w:val="center"/>
                  <w:rPr>
                    <w:rFonts w:hint="eastAsia"/>
                    <w:szCs w:val="21"/>
                  </w:rPr>
                </w:pPr>
                <w:r>
                  <w:rPr>
                    <w:rFonts w:hint="eastAsia"/>
                    <w:szCs w:val="21"/>
                  </w:rPr>
                  <w:t>2024年</w:t>
                </w:r>
              </w:p>
            </w:tc>
          </w:sdtContent>
        </w:sdt>
        <w:sdt>
          <w:sdtPr>
            <w:tag w:val="_PLD_69413ee8ca194bb698daae7502cf06f5"/>
            <w:id w:val="1317532691"/>
          </w:sdtPr>
          <w:sdtContent>
            <w:tc>
              <w:tcPr>
                <w:tcW w:w="818" w:type="pct"/>
                <w:vAlign w:val="center"/>
              </w:tcPr>
              <w:p w14:paraId="0FB471F1">
                <w:pPr>
                  <w:jc w:val="center"/>
                  <w:rPr>
                    <w:rFonts w:hint="eastAsia"/>
                    <w:szCs w:val="21"/>
                  </w:rPr>
                </w:pPr>
                <w:r>
                  <w:rPr>
                    <w:rFonts w:hint="eastAsia"/>
                    <w:szCs w:val="21"/>
                  </w:rPr>
                  <w:t>2023年</w:t>
                </w:r>
              </w:p>
            </w:tc>
          </w:sdtContent>
        </w:sdt>
        <w:sdt>
          <w:sdtPr>
            <w:tag w:val="_PLD_427de963d346444483f4ac9d33260078"/>
            <w:id w:val="-441073109"/>
          </w:sdtPr>
          <w:sdtContent>
            <w:tc>
              <w:tcPr>
                <w:tcW w:w="767" w:type="pct"/>
                <w:vAlign w:val="center"/>
              </w:tcPr>
              <w:p w14:paraId="1883E18D">
                <w:pPr>
                  <w:jc w:val="center"/>
                  <w:rPr>
                    <w:rFonts w:hint="eastAsia"/>
                    <w:szCs w:val="21"/>
                  </w:rPr>
                </w:pPr>
                <w:r>
                  <w:rPr>
                    <w:rFonts w:hint="eastAsia"/>
                    <w:szCs w:val="21"/>
                  </w:rPr>
                  <w:t>本期比上年同期增减（%）</w:t>
                </w:r>
              </w:p>
            </w:tc>
          </w:sdtContent>
        </w:sdt>
        <w:sdt>
          <w:sdtPr>
            <w:tag w:val="_PLD_c6c57ba37010403daa0c6193d6d30b74"/>
            <w:id w:val="1459694068"/>
          </w:sdtPr>
          <w:sdtContent>
            <w:tc>
              <w:tcPr>
                <w:tcW w:w="1116" w:type="pct"/>
                <w:vAlign w:val="center"/>
              </w:tcPr>
              <w:p w14:paraId="16709E24">
                <w:pPr>
                  <w:jc w:val="center"/>
                  <w:rPr>
                    <w:rFonts w:hint="eastAsia"/>
                    <w:szCs w:val="21"/>
                  </w:rPr>
                </w:pPr>
                <w:r>
                  <w:rPr>
                    <w:rFonts w:hint="eastAsia"/>
                    <w:szCs w:val="21"/>
                  </w:rPr>
                  <w:t>变动原因</w:t>
                </w:r>
              </w:p>
            </w:tc>
          </w:sdtContent>
        </w:sdt>
      </w:tr>
      <w:tr w14:paraId="256D5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44FDC344">
            <w:pPr>
              <w:rPr>
                <w:rFonts w:hint="eastAsia"/>
              </w:rPr>
            </w:pPr>
            <w:r>
              <w:rPr>
                <w:rFonts w:hint="eastAsia"/>
              </w:rPr>
              <w:t>归属于上市公司股东的扣除非经常性损益的净利润</w:t>
            </w:r>
          </w:p>
        </w:tc>
        <w:tc>
          <w:tcPr>
            <w:tcW w:w="775" w:type="pct"/>
            <w:vAlign w:val="center"/>
          </w:tcPr>
          <w:p w14:paraId="5638EDD4">
            <w:pPr>
              <w:jc w:val="right"/>
              <w:rPr>
                <w:rFonts w:hint="eastAsia"/>
                <w:szCs w:val="21"/>
                <w:highlight w:val="cyan"/>
              </w:rPr>
            </w:pPr>
            <w:r>
              <w:rPr>
                <w:rFonts w:ascii="Arial Narrow" w:hAnsi="Arial Narrow" w:eastAsia="等线"/>
                <w:color w:val="000000"/>
                <w:sz w:val="22"/>
                <w:szCs w:val="22"/>
              </w:rPr>
              <w:t>-3,972,488,324.99</w:t>
            </w:r>
          </w:p>
        </w:tc>
        <w:tc>
          <w:tcPr>
            <w:tcW w:w="818" w:type="pct"/>
            <w:vAlign w:val="center"/>
          </w:tcPr>
          <w:p w14:paraId="6108CDF5">
            <w:pPr>
              <w:jc w:val="right"/>
              <w:rPr>
                <w:rFonts w:hint="eastAsia"/>
                <w:szCs w:val="21"/>
                <w:highlight w:val="cyan"/>
              </w:rPr>
            </w:pPr>
            <w:r>
              <w:rPr>
                <w:rFonts w:ascii="Arial Narrow" w:hAnsi="Arial Narrow" w:eastAsia="等线"/>
                <w:color w:val="000000"/>
                <w:sz w:val="22"/>
                <w:szCs w:val="22"/>
              </w:rPr>
              <w:t>-18,204,577.32</w:t>
            </w:r>
          </w:p>
        </w:tc>
        <w:tc>
          <w:tcPr>
            <w:tcW w:w="767" w:type="pct"/>
            <w:vAlign w:val="center"/>
          </w:tcPr>
          <w:p w14:paraId="29D21815">
            <w:pPr>
              <w:jc w:val="right"/>
              <w:rPr>
                <w:rFonts w:hint="eastAsia"/>
                <w:szCs w:val="21"/>
                <w:highlight w:val="cyan"/>
              </w:rPr>
            </w:pPr>
            <w:r>
              <w:rPr>
                <w:rFonts w:ascii="Arial Narrow" w:hAnsi="Arial Narrow" w:eastAsia="等线"/>
                <w:color w:val="000000"/>
                <w:sz w:val="22"/>
                <w:szCs w:val="22"/>
              </w:rPr>
              <w:t>不适用</w:t>
            </w:r>
          </w:p>
        </w:tc>
        <w:tc>
          <w:tcPr>
            <w:tcW w:w="1116" w:type="pct"/>
            <w:vAlign w:val="center"/>
          </w:tcPr>
          <w:p w14:paraId="7BF29C91">
            <w:pPr>
              <w:widowControl w:val="0"/>
              <w:jc w:val="both"/>
              <w:rPr>
                <w:rFonts w:hint="eastAsia"/>
                <w:szCs w:val="21"/>
              </w:rPr>
            </w:pPr>
            <w:r>
              <w:rPr>
                <w:rFonts w:hint="eastAsia"/>
              </w:rPr>
              <w:t>营业收入同比下滑以及计提减值损失影响</w:t>
            </w:r>
          </w:p>
        </w:tc>
      </w:tr>
      <w:tr w14:paraId="6B7A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6EA3B36B">
            <w:pPr>
              <w:rPr>
                <w:rFonts w:hint="eastAsia"/>
                <w:szCs w:val="21"/>
              </w:rPr>
            </w:pPr>
            <w:r>
              <w:rPr>
                <w:rFonts w:hint="eastAsia"/>
                <w:szCs w:val="21"/>
              </w:rPr>
              <w:t>流动比率</w:t>
            </w:r>
          </w:p>
        </w:tc>
        <w:tc>
          <w:tcPr>
            <w:tcW w:w="775" w:type="pct"/>
            <w:vAlign w:val="center"/>
          </w:tcPr>
          <w:p w14:paraId="1926F806">
            <w:pPr>
              <w:jc w:val="right"/>
              <w:rPr>
                <w:rFonts w:hint="eastAsia"/>
                <w:szCs w:val="21"/>
                <w:highlight w:val="cyan"/>
              </w:rPr>
            </w:pPr>
            <w:r>
              <w:rPr>
                <w:rFonts w:ascii="Arial Narrow" w:hAnsi="Arial Narrow" w:eastAsia="等线"/>
                <w:color w:val="000000"/>
                <w:sz w:val="22"/>
                <w:szCs w:val="22"/>
              </w:rPr>
              <w:t>1.77</w:t>
            </w:r>
          </w:p>
        </w:tc>
        <w:tc>
          <w:tcPr>
            <w:tcW w:w="818" w:type="pct"/>
            <w:vAlign w:val="center"/>
          </w:tcPr>
          <w:p w14:paraId="0705C43E">
            <w:pPr>
              <w:jc w:val="right"/>
              <w:rPr>
                <w:rFonts w:hint="eastAsia"/>
                <w:szCs w:val="21"/>
                <w:highlight w:val="cyan"/>
              </w:rPr>
            </w:pPr>
            <w:r>
              <w:rPr>
                <w:rFonts w:ascii="Arial Narrow" w:hAnsi="Arial Narrow" w:eastAsia="等线"/>
                <w:color w:val="000000"/>
                <w:sz w:val="22"/>
                <w:szCs w:val="22"/>
              </w:rPr>
              <w:t>2.17</w:t>
            </w:r>
          </w:p>
        </w:tc>
        <w:tc>
          <w:tcPr>
            <w:tcW w:w="767" w:type="pct"/>
            <w:vAlign w:val="center"/>
          </w:tcPr>
          <w:p w14:paraId="03462BA2">
            <w:pPr>
              <w:jc w:val="right"/>
              <w:rPr>
                <w:rFonts w:hint="eastAsia"/>
                <w:szCs w:val="21"/>
                <w:highlight w:val="cyan"/>
              </w:rPr>
            </w:pPr>
            <w:r>
              <w:rPr>
                <w:rFonts w:ascii="Arial Narrow" w:hAnsi="Arial Narrow" w:eastAsia="等线"/>
                <w:color w:val="000000"/>
                <w:sz w:val="22"/>
                <w:szCs w:val="22"/>
              </w:rPr>
              <w:t>-18.43</w:t>
            </w:r>
          </w:p>
        </w:tc>
        <w:tc>
          <w:tcPr>
            <w:tcW w:w="1116" w:type="pct"/>
            <w:vAlign w:val="center"/>
          </w:tcPr>
          <w:p w14:paraId="3604A6AA">
            <w:pPr>
              <w:jc w:val="both"/>
              <w:rPr>
                <w:rFonts w:ascii="Arial" w:hAnsi="Arial" w:cs="Times New Roman"/>
                <w:bCs/>
                <w:szCs w:val="21"/>
              </w:rPr>
            </w:pPr>
          </w:p>
        </w:tc>
      </w:tr>
      <w:tr w14:paraId="626B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5B45AB5E">
            <w:pPr>
              <w:rPr>
                <w:rFonts w:hint="eastAsia"/>
                <w:szCs w:val="21"/>
              </w:rPr>
            </w:pPr>
            <w:r>
              <w:rPr>
                <w:rFonts w:hint="eastAsia"/>
                <w:szCs w:val="21"/>
              </w:rPr>
              <w:t>速动比率</w:t>
            </w:r>
          </w:p>
        </w:tc>
        <w:tc>
          <w:tcPr>
            <w:tcW w:w="775" w:type="pct"/>
            <w:vAlign w:val="center"/>
          </w:tcPr>
          <w:p w14:paraId="1ACC16C8">
            <w:pPr>
              <w:jc w:val="right"/>
              <w:rPr>
                <w:rFonts w:hint="eastAsia"/>
                <w:szCs w:val="21"/>
                <w:highlight w:val="cyan"/>
              </w:rPr>
            </w:pPr>
            <w:r>
              <w:rPr>
                <w:rFonts w:ascii="Arial Narrow" w:hAnsi="Arial Narrow" w:eastAsia="等线"/>
                <w:color w:val="000000"/>
                <w:sz w:val="22"/>
                <w:szCs w:val="22"/>
              </w:rPr>
              <w:t>1.39</w:t>
            </w:r>
          </w:p>
        </w:tc>
        <w:tc>
          <w:tcPr>
            <w:tcW w:w="818" w:type="pct"/>
            <w:vAlign w:val="center"/>
          </w:tcPr>
          <w:p w14:paraId="2292C422">
            <w:pPr>
              <w:jc w:val="right"/>
              <w:rPr>
                <w:rFonts w:hint="eastAsia"/>
                <w:szCs w:val="21"/>
                <w:highlight w:val="cyan"/>
              </w:rPr>
            </w:pPr>
            <w:r>
              <w:rPr>
                <w:rFonts w:ascii="Arial Narrow" w:hAnsi="Arial Narrow" w:eastAsia="等线"/>
                <w:color w:val="000000"/>
                <w:sz w:val="22"/>
                <w:szCs w:val="22"/>
              </w:rPr>
              <w:t>1.60</w:t>
            </w:r>
          </w:p>
        </w:tc>
        <w:tc>
          <w:tcPr>
            <w:tcW w:w="767" w:type="pct"/>
            <w:vAlign w:val="center"/>
          </w:tcPr>
          <w:p w14:paraId="737B1F25">
            <w:pPr>
              <w:jc w:val="right"/>
              <w:rPr>
                <w:rFonts w:hint="eastAsia"/>
                <w:szCs w:val="21"/>
                <w:highlight w:val="cyan"/>
              </w:rPr>
            </w:pPr>
            <w:r>
              <w:rPr>
                <w:rFonts w:ascii="Arial Narrow" w:hAnsi="Arial Narrow" w:eastAsia="等线"/>
                <w:color w:val="000000"/>
                <w:sz w:val="22"/>
                <w:szCs w:val="22"/>
              </w:rPr>
              <w:t>-13.13</w:t>
            </w:r>
          </w:p>
        </w:tc>
        <w:tc>
          <w:tcPr>
            <w:tcW w:w="1116" w:type="pct"/>
            <w:vAlign w:val="center"/>
          </w:tcPr>
          <w:p w14:paraId="5566C3A1">
            <w:pPr>
              <w:jc w:val="both"/>
              <w:rPr>
                <w:rFonts w:ascii="Arial" w:hAnsi="Arial" w:cs="Times New Roman"/>
                <w:bCs/>
                <w:szCs w:val="21"/>
              </w:rPr>
            </w:pPr>
          </w:p>
        </w:tc>
      </w:tr>
      <w:tr w14:paraId="3AA3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5DC8CF7F">
            <w:pPr>
              <w:rPr>
                <w:rFonts w:hint="eastAsia"/>
                <w:szCs w:val="21"/>
              </w:rPr>
            </w:pPr>
            <w:r>
              <w:rPr>
                <w:rFonts w:hint="eastAsia"/>
                <w:szCs w:val="21"/>
              </w:rPr>
              <w:t>资产负债率（%）</w:t>
            </w:r>
          </w:p>
        </w:tc>
        <w:tc>
          <w:tcPr>
            <w:tcW w:w="775" w:type="pct"/>
            <w:vAlign w:val="center"/>
          </w:tcPr>
          <w:p w14:paraId="7BCD1F03">
            <w:pPr>
              <w:jc w:val="right"/>
              <w:rPr>
                <w:rFonts w:hint="eastAsia"/>
                <w:szCs w:val="21"/>
                <w:highlight w:val="cyan"/>
              </w:rPr>
            </w:pPr>
            <w:r>
              <w:rPr>
                <w:rFonts w:ascii="Arial Narrow" w:hAnsi="Arial Narrow" w:eastAsia="等线"/>
                <w:color w:val="000000"/>
                <w:sz w:val="22"/>
                <w:szCs w:val="22"/>
              </w:rPr>
              <w:t>40.89</w:t>
            </w:r>
          </w:p>
        </w:tc>
        <w:tc>
          <w:tcPr>
            <w:tcW w:w="818" w:type="pct"/>
            <w:vAlign w:val="center"/>
          </w:tcPr>
          <w:p w14:paraId="072BBB2B">
            <w:pPr>
              <w:jc w:val="right"/>
              <w:rPr>
                <w:rFonts w:hint="eastAsia"/>
                <w:szCs w:val="21"/>
                <w:highlight w:val="cyan"/>
              </w:rPr>
            </w:pPr>
            <w:r>
              <w:rPr>
                <w:rFonts w:ascii="Arial Narrow" w:hAnsi="Arial Narrow" w:eastAsia="等线"/>
                <w:color w:val="000000"/>
                <w:sz w:val="22"/>
                <w:szCs w:val="22"/>
              </w:rPr>
              <w:t>35.54</w:t>
            </w:r>
          </w:p>
        </w:tc>
        <w:tc>
          <w:tcPr>
            <w:tcW w:w="767" w:type="pct"/>
            <w:vAlign w:val="center"/>
          </w:tcPr>
          <w:p w14:paraId="33B80483">
            <w:pPr>
              <w:jc w:val="right"/>
              <w:rPr>
                <w:rFonts w:hint="eastAsia"/>
                <w:szCs w:val="21"/>
                <w:highlight w:val="cyan"/>
              </w:rPr>
            </w:pPr>
            <w:r>
              <w:rPr>
                <w:rFonts w:ascii="Arial Narrow" w:hAnsi="Arial Narrow" w:eastAsia="等线"/>
                <w:color w:val="000000"/>
                <w:sz w:val="22"/>
                <w:szCs w:val="22"/>
              </w:rPr>
              <w:t>5.35</w:t>
            </w:r>
          </w:p>
        </w:tc>
        <w:tc>
          <w:tcPr>
            <w:tcW w:w="1116" w:type="pct"/>
            <w:vAlign w:val="center"/>
          </w:tcPr>
          <w:p w14:paraId="3591EFA8">
            <w:pPr>
              <w:jc w:val="both"/>
              <w:rPr>
                <w:rFonts w:ascii="Arial" w:hAnsi="Arial" w:cs="Times New Roman"/>
                <w:bCs/>
                <w:szCs w:val="21"/>
              </w:rPr>
            </w:pPr>
          </w:p>
        </w:tc>
      </w:tr>
      <w:tr w14:paraId="5A87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3712FDEA">
            <w:pPr>
              <w:rPr>
                <w:rFonts w:hint="eastAsia"/>
                <w:szCs w:val="21"/>
              </w:rPr>
            </w:pPr>
            <w:r>
              <w:rPr>
                <w:szCs w:val="21"/>
              </w:rPr>
              <w:t>EBITDA全部债务比</w:t>
            </w:r>
          </w:p>
        </w:tc>
        <w:tc>
          <w:tcPr>
            <w:tcW w:w="775" w:type="pct"/>
            <w:vAlign w:val="center"/>
          </w:tcPr>
          <w:p w14:paraId="6EA3C95B">
            <w:pPr>
              <w:jc w:val="right"/>
              <w:rPr>
                <w:rFonts w:hint="eastAsia"/>
                <w:szCs w:val="21"/>
                <w:highlight w:val="cyan"/>
              </w:rPr>
            </w:pPr>
            <w:r>
              <w:rPr>
                <w:rFonts w:ascii="Arial Narrow" w:hAnsi="Arial Narrow" w:eastAsia="等线"/>
                <w:color w:val="000000"/>
                <w:sz w:val="22"/>
                <w:szCs w:val="22"/>
              </w:rPr>
              <w:t>-1.63</w:t>
            </w:r>
          </w:p>
        </w:tc>
        <w:tc>
          <w:tcPr>
            <w:tcW w:w="818" w:type="pct"/>
            <w:vAlign w:val="center"/>
          </w:tcPr>
          <w:p w14:paraId="1C708F9D">
            <w:pPr>
              <w:jc w:val="right"/>
              <w:rPr>
                <w:rFonts w:hint="eastAsia"/>
                <w:szCs w:val="21"/>
                <w:highlight w:val="cyan"/>
              </w:rPr>
            </w:pPr>
            <w:r>
              <w:rPr>
                <w:rFonts w:ascii="Arial Narrow" w:hAnsi="Arial Narrow" w:eastAsia="等线"/>
                <w:color w:val="000000"/>
                <w:sz w:val="22"/>
                <w:szCs w:val="22"/>
              </w:rPr>
              <w:t>0.24</w:t>
            </w:r>
          </w:p>
        </w:tc>
        <w:tc>
          <w:tcPr>
            <w:tcW w:w="767" w:type="pct"/>
            <w:vAlign w:val="center"/>
          </w:tcPr>
          <w:p w14:paraId="25422EB6">
            <w:pPr>
              <w:jc w:val="right"/>
              <w:rPr>
                <w:rFonts w:hint="eastAsia"/>
                <w:szCs w:val="21"/>
                <w:highlight w:val="cyan"/>
              </w:rPr>
            </w:pPr>
            <w:r>
              <w:rPr>
                <w:rFonts w:ascii="Arial Narrow" w:hAnsi="Arial Narrow" w:eastAsia="等线"/>
                <w:color w:val="000000"/>
                <w:sz w:val="22"/>
                <w:szCs w:val="22"/>
              </w:rPr>
              <w:t>-779.17</w:t>
            </w:r>
          </w:p>
        </w:tc>
        <w:tc>
          <w:tcPr>
            <w:tcW w:w="1116" w:type="pct"/>
            <w:vAlign w:val="center"/>
          </w:tcPr>
          <w:p w14:paraId="7706CA30">
            <w:pPr>
              <w:jc w:val="both"/>
              <w:rPr>
                <w:rFonts w:ascii="Arial" w:hAnsi="Arial" w:cs="Times New Roman"/>
                <w:bCs/>
                <w:szCs w:val="21"/>
              </w:rPr>
            </w:pPr>
            <w:r>
              <w:rPr>
                <w:rFonts w:hint="eastAsia"/>
                <w:szCs w:val="21"/>
              </w:rPr>
              <w:t>公司息税折旧前利润同比降低</w:t>
            </w:r>
          </w:p>
        </w:tc>
      </w:tr>
      <w:tr w14:paraId="30CF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1FC47A7B">
            <w:pPr>
              <w:rPr>
                <w:rFonts w:hint="eastAsia"/>
                <w:szCs w:val="21"/>
              </w:rPr>
            </w:pPr>
            <w:r>
              <w:rPr>
                <w:rFonts w:hint="eastAsia"/>
                <w:szCs w:val="21"/>
              </w:rPr>
              <w:t>利息保障倍数</w:t>
            </w:r>
          </w:p>
        </w:tc>
        <w:tc>
          <w:tcPr>
            <w:tcW w:w="775" w:type="pct"/>
            <w:vAlign w:val="center"/>
          </w:tcPr>
          <w:p w14:paraId="4F9B816C">
            <w:pPr>
              <w:jc w:val="right"/>
              <w:rPr>
                <w:rFonts w:hint="eastAsia"/>
                <w:szCs w:val="21"/>
                <w:highlight w:val="cyan"/>
              </w:rPr>
            </w:pPr>
            <w:r>
              <w:rPr>
                <w:rFonts w:ascii="Arial Narrow" w:hAnsi="Arial Narrow" w:eastAsia="等线"/>
                <w:color w:val="000000"/>
                <w:sz w:val="22"/>
                <w:szCs w:val="22"/>
              </w:rPr>
              <w:t>-68.86</w:t>
            </w:r>
          </w:p>
        </w:tc>
        <w:tc>
          <w:tcPr>
            <w:tcW w:w="818" w:type="pct"/>
            <w:vAlign w:val="center"/>
          </w:tcPr>
          <w:p w14:paraId="1BC0E3AE">
            <w:pPr>
              <w:jc w:val="right"/>
              <w:rPr>
                <w:rFonts w:hint="eastAsia"/>
                <w:szCs w:val="21"/>
                <w:highlight w:val="cyan"/>
              </w:rPr>
            </w:pPr>
            <w:r>
              <w:rPr>
                <w:rFonts w:ascii="Arial Narrow" w:hAnsi="Arial Narrow" w:eastAsia="等线"/>
                <w:color w:val="000000"/>
                <w:sz w:val="22"/>
                <w:szCs w:val="22"/>
              </w:rPr>
              <w:t>3.80</w:t>
            </w:r>
          </w:p>
        </w:tc>
        <w:tc>
          <w:tcPr>
            <w:tcW w:w="767" w:type="pct"/>
            <w:vAlign w:val="center"/>
          </w:tcPr>
          <w:p w14:paraId="51EB3CB6">
            <w:pPr>
              <w:jc w:val="right"/>
              <w:rPr>
                <w:rFonts w:hint="eastAsia"/>
                <w:szCs w:val="21"/>
                <w:highlight w:val="cyan"/>
              </w:rPr>
            </w:pPr>
            <w:r>
              <w:rPr>
                <w:rFonts w:ascii="Arial Narrow" w:hAnsi="Arial Narrow" w:eastAsia="等线"/>
                <w:color w:val="000000"/>
                <w:sz w:val="22"/>
                <w:szCs w:val="22"/>
              </w:rPr>
              <w:t>-1,912.11</w:t>
            </w:r>
          </w:p>
        </w:tc>
        <w:tc>
          <w:tcPr>
            <w:tcW w:w="1116" w:type="pct"/>
            <w:vAlign w:val="center"/>
          </w:tcPr>
          <w:p w14:paraId="4884FC4A">
            <w:pPr>
              <w:jc w:val="both"/>
              <w:rPr>
                <w:rFonts w:ascii="Arial" w:hAnsi="Arial" w:cs="Times New Roman"/>
                <w:bCs/>
                <w:szCs w:val="21"/>
              </w:rPr>
            </w:pPr>
            <w:r>
              <w:rPr>
                <w:rFonts w:hint="eastAsia" w:ascii="Arial" w:hAnsi="Arial" w:cs="Times New Roman"/>
                <w:bCs/>
                <w:szCs w:val="21"/>
              </w:rPr>
              <w:t>公司息税前利润同比降低</w:t>
            </w:r>
          </w:p>
        </w:tc>
      </w:tr>
      <w:tr w14:paraId="7481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2526DD67">
            <w:pPr>
              <w:rPr>
                <w:rFonts w:hint="eastAsia"/>
                <w:szCs w:val="21"/>
              </w:rPr>
            </w:pPr>
            <w:r>
              <w:rPr>
                <w:rFonts w:hint="eastAsia"/>
                <w:szCs w:val="21"/>
              </w:rPr>
              <w:t>现金利息保障倍数</w:t>
            </w:r>
          </w:p>
        </w:tc>
        <w:tc>
          <w:tcPr>
            <w:tcW w:w="775" w:type="pct"/>
            <w:vAlign w:val="center"/>
          </w:tcPr>
          <w:p w14:paraId="5F088B96">
            <w:pPr>
              <w:jc w:val="right"/>
              <w:rPr>
                <w:rFonts w:hint="eastAsia"/>
                <w:szCs w:val="21"/>
                <w:highlight w:val="cyan"/>
              </w:rPr>
            </w:pPr>
            <w:r>
              <w:rPr>
                <w:rFonts w:ascii="Arial Narrow" w:hAnsi="Arial Narrow" w:eastAsia="等线"/>
                <w:color w:val="000000"/>
                <w:sz w:val="22"/>
                <w:szCs w:val="22"/>
              </w:rPr>
              <w:t>3.38</w:t>
            </w:r>
          </w:p>
        </w:tc>
        <w:tc>
          <w:tcPr>
            <w:tcW w:w="818" w:type="pct"/>
            <w:vAlign w:val="center"/>
          </w:tcPr>
          <w:p w14:paraId="65DFEB28">
            <w:pPr>
              <w:jc w:val="right"/>
              <w:rPr>
                <w:rFonts w:hint="eastAsia"/>
                <w:szCs w:val="21"/>
                <w:highlight w:val="cyan"/>
              </w:rPr>
            </w:pPr>
            <w:r>
              <w:rPr>
                <w:rFonts w:ascii="Arial Narrow" w:hAnsi="Arial Narrow" w:eastAsia="等线"/>
                <w:color w:val="000000"/>
                <w:sz w:val="22"/>
                <w:szCs w:val="22"/>
              </w:rPr>
              <w:t>13.52</w:t>
            </w:r>
          </w:p>
        </w:tc>
        <w:tc>
          <w:tcPr>
            <w:tcW w:w="767" w:type="pct"/>
            <w:vAlign w:val="center"/>
          </w:tcPr>
          <w:p w14:paraId="5A4D4C6D">
            <w:pPr>
              <w:jc w:val="right"/>
              <w:rPr>
                <w:rFonts w:hint="eastAsia"/>
                <w:szCs w:val="21"/>
                <w:highlight w:val="cyan"/>
              </w:rPr>
            </w:pPr>
            <w:r>
              <w:rPr>
                <w:rFonts w:ascii="Arial Narrow" w:hAnsi="Arial Narrow" w:eastAsia="等线"/>
                <w:color w:val="000000"/>
                <w:sz w:val="22"/>
                <w:szCs w:val="22"/>
              </w:rPr>
              <w:t>-75.00</w:t>
            </w:r>
          </w:p>
        </w:tc>
        <w:tc>
          <w:tcPr>
            <w:tcW w:w="1116" w:type="pct"/>
            <w:vAlign w:val="center"/>
          </w:tcPr>
          <w:p w14:paraId="6279C4D7">
            <w:pPr>
              <w:jc w:val="both"/>
              <w:rPr>
                <w:rFonts w:ascii="Arial" w:hAnsi="Arial" w:cs="Times New Roman"/>
                <w:bCs/>
                <w:szCs w:val="21"/>
              </w:rPr>
            </w:pPr>
            <w:r>
              <w:rPr>
                <w:rFonts w:hint="eastAsia" w:ascii="Arial" w:hAnsi="Arial" w:cs="Times New Roman"/>
                <w:bCs/>
                <w:szCs w:val="21"/>
              </w:rPr>
              <w:t>经营活动产生的现金流量净额同比降低</w:t>
            </w:r>
          </w:p>
        </w:tc>
      </w:tr>
      <w:tr w14:paraId="64F2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524" w:type="pct"/>
          </w:tcPr>
          <w:p w14:paraId="2302916F">
            <w:pPr>
              <w:rPr>
                <w:rFonts w:hint="eastAsia"/>
                <w:szCs w:val="21"/>
              </w:rPr>
            </w:pPr>
            <w:r>
              <w:rPr>
                <w:szCs w:val="21"/>
              </w:rPr>
              <w:t>EBITDA利息保障倍数</w:t>
            </w:r>
          </w:p>
        </w:tc>
        <w:tc>
          <w:tcPr>
            <w:tcW w:w="775" w:type="pct"/>
            <w:vAlign w:val="center"/>
          </w:tcPr>
          <w:p w14:paraId="34922305">
            <w:pPr>
              <w:jc w:val="right"/>
              <w:rPr>
                <w:rFonts w:hint="eastAsia"/>
                <w:szCs w:val="21"/>
                <w:highlight w:val="cyan"/>
              </w:rPr>
            </w:pPr>
            <w:r>
              <w:rPr>
                <w:rFonts w:ascii="Arial Narrow" w:hAnsi="Arial Narrow" w:eastAsia="等线"/>
                <w:color w:val="000000"/>
                <w:sz w:val="22"/>
                <w:szCs w:val="22"/>
              </w:rPr>
              <w:t>-62.36</w:t>
            </w:r>
          </w:p>
        </w:tc>
        <w:tc>
          <w:tcPr>
            <w:tcW w:w="818" w:type="pct"/>
            <w:vAlign w:val="center"/>
          </w:tcPr>
          <w:p w14:paraId="65564C88">
            <w:pPr>
              <w:jc w:val="right"/>
              <w:rPr>
                <w:rFonts w:hint="eastAsia"/>
                <w:szCs w:val="21"/>
                <w:highlight w:val="cyan"/>
              </w:rPr>
            </w:pPr>
            <w:r>
              <w:rPr>
                <w:rFonts w:ascii="Arial Narrow" w:hAnsi="Arial Narrow" w:eastAsia="等线"/>
                <w:color w:val="000000"/>
                <w:sz w:val="22"/>
                <w:szCs w:val="22"/>
              </w:rPr>
              <w:t>8.88</w:t>
            </w:r>
          </w:p>
        </w:tc>
        <w:tc>
          <w:tcPr>
            <w:tcW w:w="767" w:type="pct"/>
            <w:vAlign w:val="center"/>
          </w:tcPr>
          <w:p w14:paraId="3AC2F5D1">
            <w:pPr>
              <w:jc w:val="right"/>
              <w:rPr>
                <w:rFonts w:hint="eastAsia"/>
                <w:szCs w:val="21"/>
                <w:highlight w:val="cyan"/>
              </w:rPr>
            </w:pPr>
            <w:r>
              <w:rPr>
                <w:rFonts w:ascii="Arial Narrow" w:hAnsi="Arial Narrow" w:eastAsia="等线"/>
                <w:color w:val="000000"/>
                <w:sz w:val="22"/>
                <w:szCs w:val="22"/>
              </w:rPr>
              <w:t>-802.25</w:t>
            </w:r>
          </w:p>
        </w:tc>
        <w:tc>
          <w:tcPr>
            <w:tcW w:w="1116" w:type="pct"/>
            <w:vAlign w:val="center"/>
          </w:tcPr>
          <w:p w14:paraId="645D28CB">
            <w:pPr>
              <w:jc w:val="both"/>
              <w:rPr>
                <w:rFonts w:hint="eastAsia"/>
                <w:szCs w:val="21"/>
              </w:rPr>
            </w:pPr>
            <w:r>
              <w:rPr>
                <w:rFonts w:hint="eastAsia"/>
                <w:szCs w:val="21"/>
              </w:rPr>
              <w:t>公司息税折旧前利润同比降低</w:t>
            </w:r>
          </w:p>
        </w:tc>
      </w:tr>
      <w:tr w14:paraId="6EB3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52B17A8F">
            <w:pPr>
              <w:rPr>
                <w:rFonts w:hint="eastAsia"/>
                <w:szCs w:val="21"/>
              </w:rPr>
            </w:pPr>
            <w:r>
              <w:rPr>
                <w:rFonts w:hint="eastAsia"/>
                <w:szCs w:val="21"/>
              </w:rPr>
              <w:t>贷款偿还率（%）</w:t>
            </w:r>
          </w:p>
        </w:tc>
        <w:tc>
          <w:tcPr>
            <w:tcW w:w="775" w:type="pct"/>
            <w:vAlign w:val="center"/>
          </w:tcPr>
          <w:p w14:paraId="7DB7A0AE">
            <w:pPr>
              <w:jc w:val="right"/>
              <w:rPr>
                <w:rFonts w:hint="eastAsia"/>
                <w:szCs w:val="21"/>
                <w:highlight w:val="cyan"/>
              </w:rPr>
            </w:pPr>
            <w:r>
              <w:rPr>
                <w:rFonts w:ascii="Arial Narrow" w:hAnsi="Arial Narrow" w:eastAsia="等线"/>
                <w:color w:val="000000"/>
                <w:sz w:val="22"/>
                <w:szCs w:val="22"/>
              </w:rPr>
              <w:t>100.00</w:t>
            </w:r>
          </w:p>
        </w:tc>
        <w:tc>
          <w:tcPr>
            <w:tcW w:w="818" w:type="pct"/>
            <w:vAlign w:val="center"/>
          </w:tcPr>
          <w:p w14:paraId="089C2029">
            <w:pPr>
              <w:jc w:val="right"/>
              <w:rPr>
                <w:rFonts w:hint="eastAsia"/>
                <w:szCs w:val="21"/>
                <w:highlight w:val="cyan"/>
              </w:rPr>
            </w:pPr>
            <w:r>
              <w:rPr>
                <w:rFonts w:ascii="Arial Narrow" w:hAnsi="Arial Narrow" w:eastAsia="等线"/>
                <w:color w:val="000000"/>
                <w:sz w:val="22"/>
                <w:szCs w:val="22"/>
              </w:rPr>
              <w:t>100.00</w:t>
            </w:r>
          </w:p>
        </w:tc>
        <w:tc>
          <w:tcPr>
            <w:tcW w:w="767" w:type="pct"/>
            <w:vAlign w:val="center"/>
          </w:tcPr>
          <w:p w14:paraId="688A7C90">
            <w:pPr>
              <w:jc w:val="right"/>
              <w:rPr>
                <w:rFonts w:hint="eastAsia"/>
                <w:szCs w:val="21"/>
                <w:highlight w:val="cyan"/>
              </w:rPr>
            </w:pPr>
          </w:p>
        </w:tc>
        <w:tc>
          <w:tcPr>
            <w:tcW w:w="1116" w:type="pct"/>
            <w:vAlign w:val="center"/>
          </w:tcPr>
          <w:p w14:paraId="23D99EF1">
            <w:pPr>
              <w:jc w:val="both"/>
              <w:rPr>
                <w:rFonts w:ascii="Arial" w:hAnsi="Arial" w:cs="Times New Roman"/>
                <w:bCs/>
                <w:szCs w:val="21"/>
              </w:rPr>
            </w:pPr>
          </w:p>
        </w:tc>
      </w:tr>
      <w:tr w14:paraId="3456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Pr>
          <w:p w14:paraId="71EA58CF">
            <w:pPr>
              <w:rPr>
                <w:rFonts w:hint="eastAsia"/>
                <w:szCs w:val="21"/>
              </w:rPr>
            </w:pPr>
            <w:r>
              <w:rPr>
                <w:rFonts w:hint="eastAsia"/>
                <w:szCs w:val="21"/>
              </w:rPr>
              <w:t>利息偿付率（%）</w:t>
            </w:r>
          </w:p>
        </w:tc>
        <w:tc>
          <w:tcPr>
            <w:tcW w:w="775" w:type="pct"/>
            <w:vAlign w:val="center"/>
          </w:tcPr>
          <w:p w14:paraId="465DE9EC">
            <w:pPr>
              <w:jc w:val="right"/>
              <w:rPr>
                <w:rFonts w:hint="eastAsia"/>
                <w:szCs w:val="21"/>
                <w:highlight w:val="cyan"/>
              </w:rPr>
            </w:pPr>
            <w:r>
              <w:rPr>
                <w:rFonts w:ascii="Arial Narrow" w:hAnsi="Arial Narrow" w:eastAsia="等线"/>
                <w:color w:val="000000"/>
                <w:sz w:val="22"/>
                <w:szCs w:val="22"/>
              </w:rPr>
              <w:t>100.00</w:t>
            </w:r>
          </w:p>
        </w:tc>
        <w:tc>
          <w:tcPr>
            <w:tcW w:w="818" w:type="pct"/>
            <w:vAlign w:val="center"/>
          </w:tcPr>
          <w:p w14:paraId="1BE3CBCB">
            <w:pPr>
              <w:jc w:val="right"/>
              <w:rPr>
                <w:rFonts w:hint="eastAsia"/>
                <w:szCs w:val="21"/>
                <w:highlight w:val="cyan"/>
              </w:rPr>
            </w:pPr>
            <w:r>
              <w:rPr>
                <w:rFonts w:ascii="Arial Narrow" w:hAnsi="Arial Narrow" w:eastAsia="等线"/>
                <w:color w:val="000000"/>
                <w:sz w:val="22"/>
                <w:szCs w:val="22"/>
              </w:rPr>
              <w:t>100.00</w:t>
            </w:r>
          </w:p>
        </w:tc>
        <w:tc>
          <w:tcPr>
            <w:tcW w:w="767" w:type="pct"/>
            <w:vAlign w:val="center"/>
          </w:tcPr>
          <w:p w14:paraId="0D0DE20C">
            <w:pPr>
              <w:jc w:val="right"/>
              <w:rPr>
                <w:rFonts w:hint="eastAsia"/>
                <w:szCs w:val="21"/>
                <w:highlight w:val="cyan"/>
              </w:rPr>
            </w:pPr>
          </w:p>
        </w:tc>
        <w:tc>
          <w:tcPr>
            <w:tcW w:w="1116" w:type="pct"/>
            <w:vAlign w:val="center"/>
          </w:tcPr>
          <w:p w14:paraId="68A59BC8">
            <w:pPr>
              <w:jc w:val="both"/>
              <w:rPr>
                <w:rFonts w:ascii="Arial" w:hAnsi="Arial" w:cs="Times New Roman"/>
                <w:bCs/>
                <w:szCs w:val="21"/>
              </w:rPr>
            </w:pPr>
          </w:p>
        </w:tc>
      </w:tr>
    </w:tbl>
    <w:p w14:paraId="5354CAAC">
      <w:pPr>
        <w:rPr>
          <w:rFonts w:hint="eastAsia"/>
        </w:rPr>
      </w:pPr>
    </w:p>
    <w:bookmarkEnd w:id="165"/>
    <w:bookmarkEnd w:id="168"/>
    <w:p w14:paraId="76F00C23">
      <w:pPr>
        <w:pStyle w:val="3"/>
        <w:numPr>
          <w:ilvl w:val="0"/>
          <w:numId w:val="79"/>
        </w:numPr>
        <w:ind w:left="425" w:hanging="425"/>
        <w:rPr>
          <w:rFonts w:hint="eastAsia" w:ascii="宋体" w:hAnsi="宋体"/>
        </w:rPr>
      </w:pPr>
      <w:r>
        <w:rPr>
          <w:rFonts w:hint="eastAsia" w:ascii="宋体" w:hAnsi="宋体"/>
        </w:rPr>
        <w:t>可转换公司债券情况</w:t>
      </w:r>
    </w:p>
    <w:p w14:paraId="720E8AE1">
      <w:pPr>
        <w:tabs>
          <w:tab w:val="left" w:pos="2760"/>
        </w:tabs>
        <w:rPr>
          <w:rFonts w:hint="eastAsia"/>
          <w:szCs w:val="21"/>
        </w:rPr>
      </w:pPr>
      <w:sdt>
        <w:sdtPr>
          <w:rPr>
            <w:rFonts w:hint="eastAsia"/>
          </w:rPr>
          <w:alias w:val="是否适用：可转换公司债券情况[双击切换]"/>
          <w:tag w:val="_GBC_9680c57d3e6a4ee9b01aefbd4b8545db"/>
          <w:id w:val="-1170324022"/>
          <w:placeholder>
            <w:docPart w:val="GBC22222222222222222222222222222"/>
          </w:placeholder>
        </w:sdtPr>
        <w:sdtEndPr>
          <w:rPr>
            <w:rFonts w:hint="eastAsia"/>
          </w:rPr>
        </w:sdtEndPr>
        <w:sdtContent>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52D2A9D2">
      <w:pPr>
        <w:rPr>
          <w:rFonts w:hint="eastAsia"/>
          <w:szCs w:val="21"/>
        </w:rPr>
        <w:sectPr>
          <w:pgSz w:w="16838" w:h="11906" w:orient="landscape"/>
          <w:pgMar w:top="1797" w:right="1525" w:bottom="1276" w:left="1440" w:header="856" w:footer="992" w:gutter="0"/>
          <w:cols w:space="425" w:num="1"/>
          <w:docGrid w:linePitch="312" w:charSpace="0"/>
        </w:sectPr>
      </w:pPr>
    </w:p>
    <w:bookmarkEnd w:id="166"/>
    <w:bookmarkEnd w:id="169"/>
    <w:p w14:paraId="330B685E">
      <w:pPr>
        <w:spacing w:line="360" w:lineRule="exact"/>
        <w:ind w:right="5"/>
        <w:rPr>
          <w:rFonts w:hint="eastAsia"/>
        </w:rPr>
      </w:pPr>
    </w:p>
    <w:p w14:paraId="1001F2AD">
      <w:pPr>
        <w:pStyle w:val="2"/>
        <w:numPr>
          <w:ilvl w:val="0"/>
          <w:numId w:val="2"/>
        </w:numPr>
      </w:pPr>
      <w:bookmarkStart w:id="199" w:name="_Toc407111364"/>
      <w:bookmarkStart w:id="200" w:name="_Toc184741583"/>
      <w:r>
        <w:rPr>
          <w:rFonts w:hint="eastAsia"/>
        </w:rPr>
        <w:t>财务报告</w:t>
      </w:r>
    </w:p>
    <w:bookmarkEnd w:id="199"/>
    <w:bookmarkEnd w:id="200"/>
    <w:p w14:paraId="35C78E85">
      <w:pPr>
        <w:pStyle w:val="69"/>
        <w:numPr>
          <w:ilvl w:val="0"/>
          <w:numId w:val="87"/>
        </w:numPr>
        <w:rPr>
          <w:rFonts w:hint="eastAsia" w:ascii="宋体" w:hAnsi="宋体"/>
        </w:rPr>
      </w:pPr>
      <w:r>
        <w:rPr>
          <w:rFonts w:hint="eastAsia"/>
        </w:rPr>
        <w:t>审计</w:t>
      </w:r>
      <w:r>
        <w:rPr>
          <w:rFonts w:hint="eastAsia" w:ascii="宋体" w:hAnsi="宋体"/>
        </w:rPr>
        <w:t>报告</w:t>
      </w:r>
    </w:p>
    <w:sdt>
      <w:sdtPr>
        <w:alias w:val="是否适用：审计报告[双击切换]"/>
        <w:tag w:val="_GBC_8a37b9861aa34a8d89cae86ad0133ffb"/>
        <w:id w:val="1949350977"/>
        <w:placeholder>
          <w:docPart w:val="GBC22222222222222222222222222222"/>
        </w:placeholder>
      </w:sdtPr>
      <w:sdtContent>
        <w:p w14:paraId="43B35C95">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审计报告全文"/>
        <w:tag w:val="_GBC_08aaee8d8997491cb4fc7ef77b493e65"/>
        <w:id w:val="1581791236"/>
        <w:placeholder>
          <w:docPart w:val="GBC22222222222222222222222222222"/>
        </w:placeholder>
      </w:sdtPr>
      <w:sdtEndPr>
        <w:rPr>
          <w:rFonts w:hint="eastAsia"/>
        </w:rPr>
      </w:sdtEndPr>
      <w:sdtContent>
        <w:p w14:paraId="25EED33A">
          <w:pPr>
            <w:rPr>
              <w:rFonts w:hint="eastAsia"/>
              <w:b/>
              <w:bCs/>
            </w:rPr>
          </w:pPr>
        </w:p>
        <w:p w14:paraId="562A1A61">
          <w:pPr>
            <w:jc w:val="right"/>
            <w:rPr>
              <w:rFonts w:hint="eastAsia"/>
            </w:rPr>
          </w:pPr>
          <w:r>
            <w:rPr>
              <w:rFonts w:hint="eastAsia"/>
            </w:rPr>
            <w:t>天健审〔2025〕8600号</w:t>
          </w:r>
        </w:p>
        <w:p w14:paraId="2842F1ED">
          <w:pPr>
            <w:rPr>
              <w:rFonts w:hint="eastAsia"/>
            </w:rPr>
          </w:pPr>
          <w:r>
            <w:rPr>
              <w:rFonts w:hint="eastAsia"/>
            </w:rPr>
            <w:t xml:space="preserve"> </w:t>
          </w:r>
        </w:p>
        <w:p w14:paraId="7F6EDD7B">
          <w:pPr>
            <w:rPr>
              <w:rFonts w:hint="eastAsia"/>
            </w:rPr>
          </w:pPr>
          <w:r>
            <w:rPr>
              <w:rFonts w:hint="eastAsia"/>
            </w:rPr>
            <w:t xml:space="preserve">际华集团股份有限公司全体股东： </w:t>
          </w:r>
        </w:p>
        <w:p w14:paraId="5B33A30E">
          <w:pPr>
            <w:numPr>
              <w:ilvl w:val="0"/>
              <w:numId w:val="88"/>
            </w:numPr>
            <w:rPr>
              <w:rFonts w:hint="eastAsia"/>
              <w:b/>
              <w:bCs/>
            </w:rPr>
          </w:pPr>
          <w:r>
            <w:rPr>
              <w:rFonts w:hint="eastAsia"/>
              <w:b/>
              <w:bCs/>
            </w:rPr>
            <w:t>审计意见</w:t>
          </w:r>
        </w:p>
        <w:p w14:paraId="6703352A">
          <w:pPr>
            <w:ind w:firstLine="420" w:firstLineChars="200"/>
            <w:rPr>
              <w:rFonts w:hint="eastAsia"/>
            </w:rPr>
          </w:pPr>
          <w:r>
            <w:rPr>
              <w:rFonts w:hint="eastAsia"/>
            </w:rPr>
            <w:t>我们审计了际华集团股份有限公司（以下简称际华集团公司）财务报表，包括2024年12月31日的合并及母公司资产负债表，2024年度的合并及母公司利润表、合并及母公司现金流量表、合并及母公司所有者权益变动表，以及相关财务报表附注。</w:t>
          </w:r>
        </w:p>
        <w:p w14:paraId="13597C8F">
          <w:pPr>
            <w:ind w:firstLine="420" w:firstLineChars="200"/>
            <w:rPr>
              <w:rFonts w:hint="eastAsia"/>
            </w:rPr>
          </w:pPr>
          <w:r>
            <w:rPr>
              <w:rFonts w:hint="eastAsia"/>
            </w:rPr>
            <w:t>我们认为，后附的财务报表在所有重大方面按照企业会计准则的规定编制，公允反映了际华集团公司2024年12月31日的合并及母公司财务状况，以及2024年度的合并及母公司经营成果和现金流量。</w:t>
          </w:r>
        </w:p>
        <w:p w14:paraId="6B0C33A5">
          <w:pPr>
            <w:numPr>
              <w:ilvl w:val="0"/>
              <w:numId w:val="88"/>
            </w:numPr>
            <w:rPr>
              <w:rFonts w:hint="eastAsia"/>
              <w:b/>
              <w:bCs/>
            </w:rPr>
          </w:pPr>
          <w:r>
            <w:rPr>
              <w:rFonts w:hint="eastAsia"/>
              <w:b/>
              <w:bCs/>
            </w:rPr>
            <w:t>形成审计意见的基础</w:t>
          </w:r>
        </w:p>
        <w:p w14:paraId="27CE41A5">
          <w:pPr>
            <w:ind w:firstLine="420" w:firstLineChars="200"/>
            <w:rPr>
              <w:rFonts w:hint="eastAsia"/>
            </w:rPr>
          </w:pPr>
          <w:r>
            <w:rPr>
              <w:rFonts w:hint="eastAsia"/>
            </w:rPr>
            <w:t>我们按照中国注册会计师审计准则的规定执行了审计工作。审计报告的“注册会计师对财务报表审计的责任”部分进一步阐述了我们在这些准则下的责任。按照中国注册会计师职业道德守则，我们独立于际华集团公司，并履行了职业道德方面的其他责任。我们相信，我们获取的审计证据是充分、适当的，为发表审计意见提供了基础。</w:t>
          </w:r>
        </w:p>
        <w:p w14:paraId="2EB91595">
          <w:pPr>
            <w:numPr>
              <w:ilvl w:val="0"/>
              <w:numId w:val="88"/>
            </w:numPr>
            <w:rPr>
              <w:rFonts w:hint="eastAsia"/>
              <w:b/>
              <w:bCs/>
            </w:rPr>
          </w:pPr>
          <w:r>
            <w:rPr>
              <w:rFonts w:hint="eastAsia"/>
              <w:b/>
              <w:bCs/>
            </w:rPr>
            <w:t>关键审计事项</w:t>
          </w:r>
        </w:p>
        <w:p w14:paraId="5589B5E7">
          <w:pPr>
            <w:ind w:firstLine="420" w:firstLineChars="200"/>
            <w:rPr>
              <w:rFonts w:hint="eastAsia"/>
            </w:rPr>
          </w:pPr>
          <w:r>
            <w:rPr>
              <w:rFonts w:hint="eastAsia"/>
            </w:rPr>
            <w:t>关键审计事项是我们根据职业判断，认为对本期财务报表审计最为重要的事项。这些事项的应对以对财务报表整体进行审计并形成审计意见为背景，我们不对这些事项单独发表意见。</w:t>
          </w:r>
        </w:p>
        <w:p w14:paraId="1F143709">
          <w:pPr>
            <w:numPr>
              <w:ilvl w:val="0"/>
              <w:numId w:val="89"/>
            </w:numPr>
            <w:ind w:firstLine="420" w:firstLineChars="200"/>
            <w:rPr>
              <w:rFonts w:hint="eastAsia"/>
            </w:rPr>
          </w:pPr>
          <w:r>
            <w:rPr>
              <w:rFonts w:hint="eastAsia"/>
            </w:rPr>
            <w:t>收入确认</w:t>
          </w:r>
        </w:p>
        <w:p w14:paraId="65901F1F">
          <w:pPr>
            <w:numPr>
              <w:ilvl w:val="0"/>
              <w:numId w:val="90"/>
            </w:numPr>
            <w:ind w:firstLine="420" w:firstLineChars="200"/>
            <w:rPr>
              <w:rFonts w:hint="eastAsia"/>
            </w:rPr>
          </w:pPr>
          <w:r>
            <w:rPr>
              <w:rFonts w:hint="eastAsia"/>
            </w:rPr>
            <w:t>事项描述</w:t>
          </w:r>
        </w:p>
        <w:p w14:paraId="6506D3B5">
          <w:pPr>
            <w:ind w:firstLine="420" w:firstLineChars="200"/>
            <w:rPr>
              <w:rFonts w:hint="eastAsia"/>
            </w:rPr>
          </w:pPr>
          <w:r>
            <w:rPr>
              <w:rFonts w:hint="eastAsia"/>
            </w:rPr>
            <w:t>相关信息披露详见财务报表附注三（二十五）和附注五（二）1。际华集团公司的营业收入主要来自于制造业及国际贸易业务板块。2024年度，际华集团公司的营业收入为人民币98.86亿元，其中制造业的营业收入为人民币91.48亿元，占营业收入的92.53%；贸易及其他业务的营业收入为人民币7.38亿元，占营业收入的7.47%。</w:t>
          </w:r>
        </w:p>
        <w:p w14:paraId="51F4B2BA">
          <w:pPr>
            <w:ind w:firstLine="420" w:firstLineChars="200"/>
            <w:rPr>
              <w:rFonts w:hint="eastAsia"/>
            </w:rPr>
          </w:pPr>
          <w:r>
            <w:rPr>
              <w:rFonts w:hint="eastAsia"/>
            </w:rPr>
            <w:t>由于营业收入是际华集团公司关键业绩指标之一，可能存在际华集团公司管理层（以下简称管理层）通过不恰当的收入确认以达到特定目标或预期的固有风险，且收入确认涉及复杂信息系统和重大管理层判断，因此，我们将收入确认确定为关键审计事项。</w:t>
          </w:r>
        </w:p>
        <w:p w14:paraId="33795998">
          <w:pPr>
            <w:numPr>
              <w:ilvl w:val="0"/>
              <w:numId w:val="90"/>
            </w:numPr>
            <w:ind w:firstLine="420" w:firstLineChars="200"/>
            <w:rPr>
              <w:rFonts w:hint="eastAsia"/>
            </w:rPr>
          </w:pPr>
          <w:r>
            <w:rPr>
              <w:rFonts w:hint="eastAsia"/>
            </w:rPr>
            <w:t>审计应对</w:t>
          </w:r>
        </w:p>
        <w:p w14:paraId="516EF5C2">
          <w:pPr>
            <w:ind w:firstLine="420" w:firstLineChars="200"/>
            <w:rPr>
              <w:rFonts w:hint="eastAsia"/>
            </w:rPr>
          </w:pPr>
          <w:r>
            <w:rPr>
              <w:rFonts w:hint="eastAsia"/>
            </w:rPr>
            <w:t>针对收入确认，我们实施的审计程序主要包括：</w:t>
          </w:r>
        </w:p>
        <w:p w14:paraId="28D6EFA4">
          <w:pPr>
            <w:numPr>
              <w:ilvl w:val="0"/>
              <w:numId w:val="91"/>
            </w:numPr>
            <w:ind w:left="0" w:firstLine="420" w:firstLineChars="200"/>
            <w:rPr>
              <w:rFonts w:hint="eastAsia"/>
            </w:rPr>
          </w:pPr>
          <w:r>
            <w:rPr>
              <w:rFonts w:hint="eastAsia"/>
            </w:rPr>
            <w:t>了解与收入确认相关的关键内部控制，评价这些控制的设计，确定其是否得到执行，并测试相关内部控制的运行有效性；</w:t>
          </w:r>
        </w:p>
        <w:p w14:paraId="58B42A16">
          <w:pPr>
            <w:numPr>
              <w:ilvl w:val="0"/>
              <w:numId w:val="91"/>
            </w:numPr>
            <w:ind w:left="0" w:firstLine="420" w:firstLineChars="200"/>
            <w:rPr>
              <w:rFonts w:hint="eastAsia"/>
            </w:rPr>
          </w:pPr>
          <w:r>
            <w:rPr>
              <w:rFonts w:hint="eastAsia"/>
            </w:rPr>
            <w:t>检查销售合同，了解主要合同条款或条件，评价收入确认方法是否适当；</w:t>
          </w:r>
        </w:p>
        <w:p w14:paraId="12BF8116">
          <w:pPr>
            <w:numPr>
              <w:ilvl w:val="0"/>
              <w:numId w:val="91"/>
            </w:numPr>
            <w:ind w:left="0" w:firstLine="420" w:firstLineChars="200"/>
            <w:rPr>
              <w:rFonts w:hint="eastAsia"/>
            </w:rPr>
          </w:pPr>
          <w:r>
            <w:rPr>
              <w:rFonts w:hint="eastAsia"/>
            </w:rPr>
            <w:t>按月度、产品、客户等对营业收入和毛利率实施分析程序，识别是否存在重大或异常波动，并查明原因；</w:t>
          </w:r>
        </w:p>
        <w:p w14:paraId="57C7DC78">
          <w:pPr>
            <w:numPr>
              <w:ilvl w:val="0"/>
              <w:numId w:val="91"/>
            </w:numPr>
            <w:ind w:left="0" w:firstLine="420" w:firstLineChars="200"/>
            <w:rPr>
              <w:rFonts w:hint="eastAsia"/>
            </w:rPr>
          </w:pPr>
          <w:r>
            <w:rPr>
              <w:rFonts w:hint="eastAsia"/>
            </w:rPr>
            <w:t>选取样本检查与收入确认相关的支持性文件，包括合同、订单、发货单销售发票、签收单、验收单或对账单、海运提单、出口报关单等；</w:t>
          </w:r>
        </w:p>
        <w:p w14:paraId="2961B944">
          <w:pPr>
            <w:numPr>
              <w:ilvl w:val="0"/>
              <w:numId w:val="91"/>
            </w:numPr>
            <w:ind w:left="0" w:firstLine="420" w:firstLineChars="200"/>
            <w:rPr>
              <w:rFonts w:hint="eastAsia"/>
            </w:rPr>
          </w:pPr>
          <w:r>
            <w:rPr>
              <w:rFonts w:hint="eastAsia"/>
            </w:rPr>
            <w:t>结合应收账款函证，选取项目函证销售金额；</w:t>
          </w:r>
        </w:p>
        <w:p w14:paraId="250D3F18">
          <w:pPr>
            <w:numPr>
              <w:ilvl w:val="0"/>
              <w:numId w:val="91"/>
            </w:numPr>
            <w:ind w:left="0" w:firstLine="420" w:firstLineChars="200"/>
            <w:rPr>
              <w:rFonts w:hint="eastAsia"/>
            </w:rPr>
          </w:pPr>
          <w:r>
            <w:rPr>
              <w:rFonts w:hint="eastAsia"/>
            </w:rPr>
            <w:t>实施截止测试，检查收入是否在恰当期间确认；</w:t>
          </w:r>
        </w:p>
        <w:p w14:paraId="083A49F3">
          <w:pPr>
            <w:numPr>
              <w:ilvl w:val="0"/>
              <w:numId w:val="91"/>
            </w:numPr>
            <w:ind w:left="0" w:firstLine="420" w:firstLineChars="200"/>
            <w:rPr>
              <w:rFonts w:hint="eastAsia"/>
            </w:rPr>
          </w:pPr>
          <w:r>
            <w:rPr>
              <w:rFonts w:hint="eastAsia"/>
            </w:rPr>
            <w:t>获取资产负债表日后的销售退回记录，检查是否存在资产负债表日不满足收入确认条件的情况；</w:t>
          </w:r>
        </w:p>
        <w:p w14:paraId="3F3394AB">
          <w:pPr>
            <w:numPr>
              <w:ilvl w:val="0"/>
              <w:numId w:val="91"/>
            </w:numPr>
            <w:ind w:left="0" w:firstLine="420" w:firstLineChars="200"/>
            <w:rPr>
              <w:rFonts w:hint="eastAsia"/>
            </w:rPr>
          </w:pPr>
          <w:r>
            <w:rPr>
              <w:rFonts w:hint="eastAsia"/>
            </w:rPr>
            <w:t>检查与营业收入相关的信息是否已在财务报表中作出恰当列报。</w:t>
          </w:r>
        </w:p>
        <w:p w14:paraId="38DB3019">
          <w:pPr>
            <w:numPr>
              <w:ilvl w:val="0"/>
              <w:numId w:val="89"/>
            </w:numPr>
            <w:ind w:firstLine="420" w:firstLineChars="200"/>
            <w:rPr>
              <w:rFonts w:hint="eastAsia"/>
            </w:rPr>
          </w:pPr>
          <w:r>
            <w:rPr>
              <w:rFonts w:hint="eastAsia"/>
            </w:rPr>
            <w:t>其他应收款减值</w:t>
          </w:r>
        </w:p>
        <w:p w14:paraId="4BD10FF7">
          <w:pPr>
            <w:numPr>
              <w:ilvl w:val="0"/>
              <w:numId w:val="92"/>
            </w:numPr>
            <w:ind w:firstLine="420" w:firstLineChars="200"/>
            <w:rPr>
              <w:rFonts w:hint="eastAsia"/>
            </w:rPr>
          </w:pPr>
          <w:r>
            <w:rPr>
              <w:rFonts w:hint="eastAsia"/>
            </w:rPr>
            <w:t>事项描述</w:t>
          </w:r>
        </w:p>
        <w:p w14:paraId="2E5E4B40">
          <w:pPr>
            <w:ind w:firstLine="420" w:firstLineChars="200"/>
            <w:rPr>
              <w:rFonts w:hint="eastAsia"/>
            </w:rPr>
          </w:pPr>
          <w:r>
            <w:rPr>
              <w:rFonts w:hint="eastAsia"/>
            </w:rPr>
            <w:t>相关信息披露详见财务报表附注三（十二）和附注五（一）7。截至2024年12月31日，际华集团公司其他应收款账面余额为人民币21.29亿元，坏账准备为人民币14.84亿元，账面价值为人民币6.45亿元。</w:t>
          </w:r>
        </w:p>
        <w:p w14:paraId="7279ABE4">
          <w:pPr>
            <w:ind w:firstLine="420" w:firstLineChars="200"/>
            <w:rPr>
              <w:rFonts w:hint="eastAsia"/>
            </w:rPr>
          </w:pPr>
          <w:r>
            <w:rPr>
              <w:rFonts w:hint="eastAsia"/>
            </w:rPr>
            <w:t>管理层根据其他应收款的信用风险特征，以单项或组合为基础，按照相当于整个存续期内的预期信用损失金额计量其损失准备。由于其他应收款金额重大，且其他应收款减值测试涉及重大管理层判断，因此，我们将其他应收款减值确定为关键审计事项。</w:t>
          </w:r>
        </w:p>
        <w:p w14:paraId="40C43B45">
          <w:pPr>
            <w:numPr>
              <w:ilvl w:val="0"/>
              <w:numId w:val="92"/>
            </w:numPr>
            <w:ind w:firstLine="420" w:firstLineChars="200"/>
            <w:rPr>
              <w:rFonts w:hint="eastAsia"/>
            </w:rPr>
          </w:pPr>
          <w:r>
            <w:rPr>
              <w:rFonts w:hint="eastAsia"/>
            </w:rPr>
            <w:t>审计应对</w:t>
          </w:r>
        </w:p>
        <w:p w14:paraId="4322A035">
          <w:pPr>
            <w:ind w:firstLine="420" w:firstLineChars="200"/>
            <w:rPr>
              <w:rFonts w:hint="eastAsia"/>
            </w:rPr>
          </w:pPr>
          <w:r>
            <w:rPr>
              <w:rFonts w:hint="eastAsia"/>
            </w:rPr>
            <w:t>针对其他应收款的减值，我们实施的审计程序主要包括：</w:t>
          </w:r>
        </w:p>
        <w:p w14:paraId="2268D870">
          <w:pPr>
            <w:numPr>
              <w:ilvl w:val="0"/>
              <w:numId w:val="93"/>
            </w:numPr>
            <w:ind w:left="0" w:firstLine="420" w:firstLineChars="200"/>
            <w:rPr>
              <w:rFonts w:hint="eastAsia"/>
            </w:rPr>
          </w:pPr>
          <w:r>
            <w:rPr>
              <w:rFonts w:hint="eastAsia"/>
            </w:rPr>
            <w:t>了解与其他应收款减值相关的关键内部控制，评价这些控制的设计，确定其是否得到执行，并测试相关内部控制的运行有效性；</w:t>
          </w:r>
        </w:p>
        <w:p w14:paraId="2B440998">
          <w:pPr>
            <w:numPr>
              <w:ilvl w:val="0"/>
              <w:numId w:val="93"/>
            </w:numPr>
            <w:ind w:left="0" w:firstLine="420" w:firstLineChars="200"/>
            <w:rPr>
              <w:rFonts w:hint="eastAsia"/>
            </w:rPr>
          </w:pPr>
          <w:r>
            <w:rPr>
              <w:rFonts w:hint="eastAsia"/>
            </w:rPr>
            <w:t>对于以单项为基础计量预期信用损失的其他应收款，了解管理层对预期收取现金流量的预测,了解债务单位当前的经营状况，评价单项计提坏账的合理性以及数据的适当性、相关性和可靠性；</w:t>
          </w:r>
        </w:p>
        <w:p w14:paraId="6C30DBF1">
          <w:pPr>
            <w:numPr>
              <w:ilvl w:val="0"/>
              <w:numId w:val="93"/>
            </w:numPr>
            <w:ind w:left="0" w:firstLine="420" w:firstLineChars="200"/>
            <w:rPr>
              <w:rFonts w:hint="eastAsia"/>
            </w:rPr>
          </w:pPr>
          <w:r>
            <w:rPr>
              <w:rFonts w:hint="eastAsia"/>
            </w:rPr>
            <w:t>对于以组合为基础计量的其他应收款，评价管理层按信用风险特征划分组合的合理性；评价管理层确定其他应收款预期信用损失率的合理性，包括使用的重大假设的适当性以及数据的适当性、相关性和可靠性；测试管理层对坏账准备的计算是否准确；</w:t>
          </w:r>
        </w:p>
        <w:p w14:paraId="29729095">
          <w:pPr>
            <w:numPr>
              <w:ilvl w:val="0"/>
              <w:numId w:val="93"/>
            </w:numPr>
            <w:ind w:left="0" w:firstLine="420" w:firstLineChars="200"/>
            <w:rPr>
              <w:rFonts w:hint="eastAsia"/>
            </w:rPr>
          </w:pPr>
          <w:r>
            <w:rPr>
              <w:rFonts w:hint="eastAsia"/>
            </w:rPr>
            <w:t>结合其他应收款函证以及回款情况，评价管理层计提坏账准备的合理性；</w:t>
          </w:r>
        </w:p>
        <w:p w14:paraId="2B216A7D">
          <w:pPr>
            <w:numPr>
              <w:ilvl w:val="0"/>
              <w:numId w:val="93"/>
            </w:numPr>
            <w:ind w:left="0" w:firstLine="420" w:firstLineChars="200"/>
            <w:rPr>
              <w:rFonts w:hint="eastAsia"/>
            </w:rPr>
          </w:pPr>
          <w:r>
            <w:rPr>
              <w:rFonts w:hint="eastAsia"/>
            </w:rPr>
            <w:t>检查与其他应收款减值相关的信息是否已在财务报表中作出恰当列报。</w:t>
          </w:r>
        </w:p>
        <w:p w14:paraId="3BFF0664">
          <w:pPr>
            <w:numPr>
              <w:ilvl w:val="0"/>
              <w:numId w:val="89"/>
            </w:numPr>
            <w:ind w:firstLine="420" w:firstLineChars="200"/>
            <w:rPr>
              <w:rFonts w:hint="eastAsia"/>
            </w:rPr>
          </w:pPr>
          <w:r>
            <w:rPr>
              <w:rFonts w:hint="eastAsia"/>
            </w:rPr>
            <w:t>存货可变现净值</w:t>
          </w:r>
        </w:p>
        <w:p w14:paraId="41A50105">
          <w:pPr>
            <w:numPr>
              <w:ilvl w:val="0"/>
              <w:numId w:val="94"/>
            </w:numPr>
            <w:ind w:firstLine="420" w:firstLineChars="200"/>
            <w:rPr>
              <w:rFonts w:hint="eastAsia"/>
            </w:rPr>
          </w:pPr>
          <w:r>
            <w:rPr>
              <w:rFonts w:hint="eastAsia"/>
            </w:rPr>
            <w:t>事项描述</w:t>
          </w:r>
        </w:p>
        <w:p w14:paraId="7224FCB9">
          <w:pPr>
            <w:ind w:firstLine="420" w:firstLineChars="200"/>
            <w:rPr>
              <w:rFonts w:hint="eastAsia"/>
            </w:rPr>
          </w:pPr>
          <w:r>
            <w:rPr>
              <w:rFonts w:hint="eastAsia"/>
            </w:rPr>
            <w:t>相关信息披露详见财务报表附注三（十三）和附注五（一）8。截至2024年12月31日，际华集团公司存货账面余额为人民币34.34亿元，存货跌价准备为人民币8.11亿元，存货账面价值为人民币26.23亿元。</w:t>
          </w:r>
        </w:p>
        <w:p w14:paraId="1000323B">
          <w:pPr>
            <w:ind w:firstLine="420" w:firstLineChars="200"/>
            <w:rPr>
              <w:rFonts w:hint="eastAsia"/>
            </w:rPr>
          </w:pPr>
          <w:r>
            <w:rPr>
              <w:rFonts w:hint="eastAsia"/>
            </w:rPr>
            <w:t>存货采用成本与可变现净值孰低计量。管理层按照估计售价减去至完工时估计将要发生的成本、估计的销售费用和相关税费后的金额确定可变现净值。由于存货金额重大，且确定存货可变现净值涉及管理层重大判断，因此，我们将存货可变现净值确定为关键审计事项。</w:t>
          </w:r>
        </w:p>
        <w:p w14:paraId="7293BFFF">
          <w:pPr>
            <w:numPr>
              <w:ilvl w:val="0"/>
              <w:numId w:val="94"/>
            </w:numPr>
            <w:ind w:firstLine="420" w:firstLineChars="200"/>
            <w:rPr>
              <w:rFonts w:hint="eastAsia"/>
            </w:rPr>
          </w:pPr>
          <w:r>
            <w:rPr>
              <w:rFonts w:hint="eastAsia"/>
            </w:rPr>
            <w:t>审计应对</w:t>
          </w:r>
        </w:p>
        <w:p w14:paraId="29398D2E">
          <w:pPr>
            <w:ind w:firstLine="420" w:firstLineChars="200"/>
            <w:rPr>
              <w:rFonts w:hint="eastAsia"/>
            </w:rPr>
          </w:pPr>
          <w:r>
            <w:rPr>
              <w:rFonts w:hint="eastAsia"/>
            </w:rPr>
            <w:t>针对存货可变现净值，我们实施的审计程序主要包括：</w:t>
          </w:r>
        </w:p>
        <w:p w14:paraId="1FE9D4C9">
          <w:pPr>
            <w:numPr>
              <w:ilvl w:val="0"/>
              <w:numId w:val="95"/>
            </w:numPr>
            <w:ind w:left="0" w:firstLine="420" w:firstLineChars="200"/>
            <w:rPr>
              <w:rFonts w:hint="eastAsia"/>
            </w:rPr>
          </w:pPr>
          <w:r>
            <w:rPr>
              <w:rFonts w:hint="eastAsia"/>
            </w:rPr>
            <w:t>了解与存货可变现净值相关的关键内部控制，评价这些控制的设计，确定其是否得到执行，并测试相关内部控制的运行有效性；</w:t>
          </w:r>
        </w:p>
        <w:p w14:paraId="6894E9E6">
          <w:pPr>
            <w:numPr>
              <w:ilvl w:val="0"/>
              <w:numId w:val="95"/>
            </w:numPr>
            <w:ind w:left="0" w:firstLine="420" w:firstLineChars="200"/>
            <w:rPr>
              <w:rFonts w:hint="eastAsia"/>
            </w:rPr>
          </w:pPr>
          <w:r>
            <w:rPr>
              <w:rFonts w:hint="eastAsia"/>
            </w:rPr>
            <w:t>针对管理层以前年度就存货可变现净值所作估计，复核其结果或者管理层对其作出的后续重新估计；</w:t>
          </w:r>
        </w:p>
        <w:p w14:paraId="33DE1650">
          <w:pPr>
            <w:numPr>
              <w:ilvl w:val="0"/>
              <w:numId w:val="95"/>
            </w:numPr>
            <w:ind w:left="0" w:firstLine="420" w:firstLineChars="200"/>
            <w:rPr>
              <w:rFonts w:hint="eastAsia"/>
            </w:rPr>
          </w:pPr>
          <w:r>
            <w:rPr>
              <w:rFonts w:hint="eastAsia"/>
            </w:rPr>
            <w:t>选取项目评价存货估计售价的合理性，复核估计售价是否与销售合同价格、市场销售价格一致；</w:t>
          </w:r>
        </w:p>
        <w:p w14:paraId="6A0ADB45">
          <w:pPr>
            <w:numPr>
              <w:ilvl w:val="0"/>
              <w:numId w:val="95"/>
            </w:numPr>
            <w:ind w:left="0" w:firstLine="420" w:firstLineChars="200"/>
            <w:rPr>
              <w:rFonts w:hint="eastAsia"/>
            </w:rPr>
          </w:pPr>
          <w:r>
            <w:rPr>
              <w:rFonts w:hint="eastAsia"/>
            </w:rPr>
            <w:t>测试管理层对存货可变现净值的计算是否准确；</w:t>
          </w:r>
        </w:p>
        <w:p w14:paraId="3D8AC899">
          <w:pPr>
            <w:numPr>
              <w:ilvl w:val="0"/>
              <w:numId w:val="95"/>
            </w:numPr>
            <w:ind w:left="0" w:firstLine="420" w:firstLineChars="200"/>
            <w:rPr>
              <w:rFonts w:hint="eastAsia"/>
            </w:rPr>
          </w:pPr>
          <w:r>
            <w:rPr>
              <w:rFonts w:hint="eastAsia"/>
            </w:rPr>
            <w:t>结合存货监盘，识别是否存在库龄较长、产量下降、生产成本或售价波动、技术或市场需求变化等情形，评价管理层就存货可变现净值所作估计的合理性；</w:t>
          </w:r>
        </w:p>
        <w:p w14:paraId="103E69F4">
          <w:pPr>
            <w:numPr>
              <w:ilvl w:val="0"/>
              <w:numId w:val="95"/>
            </w:numPr>
            <w:ind w:left="0" w:firstLine="420" w:firstLineChars="200"/>
            <w:rPr>
              <w:rFonts w:hint="eastAsia"/>
            </w:rPr>
          </w:pPr>
          <w:r>
            <w:rPr>
              <w:rFonts w:hint="eastAsia"/>
            </w:rPr>
            <w:t>检查与存货可变现净值相关的信息是否已在财务报表中作出恰当列报。</w:t>
          </w:r>
        </w:p>
        <w:p w14:paraId="45737D59">
          <w:pPr>
            <w:numPr>
              <w:ilvl w:val="0"/>
              <w:numId w:val="89"/>
            </w:numPr>
            <w:ind w:firstLine="420" w:firstLineChars="200"/>
            <w:rPr>
              <w:rFonts w:hint="eastAsia"/>
            </w:rPr>
          </w:pPr>
          <w:r>
            <w:rPr>
              <w:rFonts w:hint="eastAsia"/>
            </w:rPr>
            <w:t>长期资产减值</w:t>
          </w:r>
        </w:p>
        <w:p w14:paraId="7A9C92A6">
          <w:pPr>
            <w:numPr>
              <w:ilvl w:val="0"/>
              <w:numId w:val="96"/>
            </w:numPr>
            <w:ind w:firstLine="420" w:firstLineChars="200"/>
            <w:rPr>
              <w:rFonts w:hint="eastAsia"/>
            </w:rPr>
          </w:pPr>
          <w:r>
            <w:rPr>
              <w:rFonts w:hint="eastAsia"/>
            </w:rPr>
            <w:t>事项描述</w:t>
          </w:r>
        </w:p>
        <w:p w14:paraId="63B2E9E8">
          <w:pPr>
            <w:ind w:firstLine="420" w:firstLineChars="200"/>
            <w:rPr>
              <w:rFonts w:hint="eastAsia"/>
            </w:rPr>
          </w:pPr>
          <w:r>
            <w:rPr>
              <w:rFonts w:hint="eastAsia"/>
            </w:rPr>
            <w:t>相关信息披露详见财务报表附注三（十六）（十七）（十八）（二十）和五（一）13、14、15、17。截至2024年12月31日，际华集团公司投资性房地产账面净值为人民币7.84亿元，资产减值准备金额为人民币1.23亿元，账面价值为人民币6.61亿元；固定资产账面净值为人民币46.46亿元，资产减值准备金额为人民币6.30亿元，账面价值人民币40.16亿元；在建工程账面余额9.92亿元，资产减值准备金额7.17亿元，账面价值为人民币2.75亿元；无形资产账面净值18.83亿元，资产减值准备4.45亿元，账面价值为人民币14.38亿元。</w:t>
          </w:r>
        </w:p>
        <w:p w14:paraId="61C45002">
          <w:pPr>
            <w:ind w:firstLine="420" w:firstLineChars="200"/>
            <w:rPr>
              <w:rFonts w:hint="eastAsia"/>
            </w:rPr>
          </w:pPr>
          <w:r>
            <w:rPr>
              <w:rFonts w:hint="eastAsia"/>
            </w:rPr>
            <w:t>受经营所在地区不利的市场条件与经济环境影响，际华集团公司的个别子公司于2024年出现经营亏损，管理层认为相关长期资产存在减值迹象，长期资产的账面价值可能无法通过使用资产所产生的未来现金流量或处置资产来全部收回。</w:t>
          </w:r>
        </w:p>
        <w:p w14:paraId="433E37B1">
          <w:pPr>
            <w:ind w:firstLine="420" w:firstLineChars="200"/>
            <w:rPr>
              <w:rFonts w:hint="eastAsia"/>
            </w:rPr>
          </w:pPr>
          <w:r>
            <w:rPr>
              <w:rFonts w:hint="eastAsia"/>
            </w:rPr>
            <w:t>管理层以长期资产预计未来现金流量的现值或公允价值减去处置费用后的净额两者之间的较高者确定长期资产的可收回金额。由于在确定长期资产减值准备时涉及管理层的重大判断，尤其在预计未来现金流量和估计长期资产可收回金额方面存在固有不确定性，以及有可能受到管理层偏向的影响，因此，我们将长期资产减值确定为关键审计事项。</w:t>
          </w:r>
        </w:p>
        <w:p w14:paraId="44EB4868">
          <w:pPr>
            <w:numPr>
              <w:ilvl w:val="0"/>
              <w:numId w:val="96"/>
            </w:numPr>
            <w:ind w:firstLine="420" w:firstLineChars="200"/>
            <w:rPr>
              <w:rFonts w:hint="eastAsia"/>
            </w:rPr>
          </w:pPr>
          <w:r>
            <w:rPr>
              <w:rFonts w:hint="eastAsia"/>
            </w:rPr>
            <w:t>审计应对</w:t>
          </w:r>
        </w:p>
        <w:p w14:paraId="1145A616">
          <w:pPr>
            <w:ind w:firstLine="420" w:firstLineChars="200"/>
            <w:rPr>
              <w:rFonts w:hint="eastAsia"/>
            </w:rPr>
          </w:pPr>
          <w:r>
            <w:rPr>
              <w:rFonts w:hint="eastAsia"/>
            </w:rPr>
            <w:t>针对长期资产减值，我们实施的审计程序主要包括：</w:t>
          </w:r>
        </w:p>
        <w:p w14:paraId="38014779">
          <w:pPr>
            <w:numPr>
              <w:ilvl w:val="0"/>
              <w:numId w:val="97"/>
            </w:numPr>
            <w:ind w:left="0" w:firstLine="420" w:firstLineChars="200"/>
            <w:rPr>
              <w:rFonts w:hint="eastAsia"/>
            </w:rPr>
          </w:pPr>
          <w:r>
            <w:rPr>
              <w:rFonts w:hint="eastAsia"/>
            </w:rPr>
            <w:t>我们实地勘察了相关资产，并实施了监盘程序，以了解资产是否存在工艺技术落后、长期闲置等问题，以及负荷率等状况；</w:t>
          </w:r>
        </w:p>
        <w:p w14:paraId="241FD09D">
          <w:pPr>
            <w:numPr>
              <w:ilvl w:val="0"/>
              <w:numId w:val="97"/>
            </w:numPr>
            <w:ind w:left="0" w:firstLine="420" w:firstLineChars="200"/>
            <w:rPr>
              <w:rFonts w:hint="eastAsia"/>
            </w:rPr>
          </w:pPr>
          <w:r>
            <w:rPr>
              <w:rFonts w:hint="eastAsia"/>
            </w:rPr>
            <w:t>评价管理层对于资产组的识别以及分配在每个资产组中资产的金额，评价管理层运用的资产减值方法是否符合企业会计准则的要求；</w:t>
          </w:r>
        </w:p>
        <w:p w14:paraId="7392E0D6">
          <w:pPr>
            <w:numPr>
              <w:ilvl w:val="0"/>
              <w:numId w:val="97"/>
            </w:numPr>
            <w:ind w:left="0" w:firstLine="420" w:firstLineChars="200"/>
            <w:rPr>
              <w:rFonts w:hint="eastAsia"/>
            </w:rPr>
          </w:pPr>
          <w:r>
            <w:rPr>
              <w:rFonts w:hint="eastAsia"/>
            </w:rPr>
            <w:t>在本所内部估值专家的协助下，通过对比历史业绩、管理层预测、可比公司和外部市场的数据以及询问管理层重大差异产生的原因，评价管理层在减值测试中采用的假设和关键判断，假设和关键判断包括在计算每一个资产组的预计未来现金流量的现值时所使用的未来收入及成本增长率、通货膨胀率及折现率；</w:t>
          </w:r>
        </w:p>
        <w:p w14:paraId="784C8825">
          <w:pPr>
            <w:numPr>
              <w:ilvl w:val="0"/>
              <w:numId w:val="97"/>
            </w:numPr>
            <w:ind w:left="0" w:firstLine="420" w:firstLineChars="200"/>
            <w:rPr>
              <w:rFonts w:hint="eastAsia"/>
            </w:rPr>
          </w:pPr>
          <w:r>
            <w:rPr>
              <w:rFonts w:hint="eastAsia"/>
            </w:rPr>
            <w:t xml:space="preserve">检查与长期资产减值相关的信息是否已在财务报表中作出恰当列报。 </w:t>
          </w:r>
        </w:p>
        <w:p w14:paraId="2B0FE496">
          <w:pPr>
            <w:numPr>
              <w:ilvl w:val="0"/>
              <w:numId w:val="88"/>
            </w:numPr>
            <w:ind w:firstLine="422" w:firstLineChars="200"/>
            <w:rPr>
              <w:rFonts w:hint="eastAsia"/>
              <w:b/>
              <w:bCs/>
            </w:rPr>
          </w:pPr>
          <w:r>
            <w:rPr>
              <w:rFonts w:hint="eastAsia"/>
              <w:b/>
              <w:bCs/>
            </w:rPr>
            <w:t>其他信息</w:t>
          </w:r>
        </w:p>
        <w:p w14:paraId="1BC10CC3">
          <w:pPr>
            <w:ind w:firstLine="420" w:firstLineChars="200"/>
            <w:rPr>
              <w:rFonts w:hint="eastAsia"/>
            </w:rPr>
          </w:pPr>
          <w:r>
            <w:rPr>
              <w:rFonts w:hint="eastAsia"/>
            </w:rPr>
            <w:t>管理层对其他信息负责。其他信息包括年度报告中涵盖的信息，但不包括财务报表和我们的审计报告。</w:t>
          </w:r>
        </w:p>
        <w:p w14:paraId="58134624">
          <w:pPr>
            <w:ind w:firstLine="420" w:firstLineChars="200"/>
            <w:rPr>
              <w:rFonts w:hint="eastAsia"/>
            </w:rPr>
          </w:pPr>
          <w:r>
            <w:rPr>
              <w:rFonts w:hint="eastAsia"/>
            </w:rPr>
            <w:t>我们对财务报表发表的审计意见不涵盖其他信息，我们也不对其他信息发表任何形式的鉴证结论。</w:t>
          </w:r>
        </w:p>
        <w:p w14:paraId="7676C0D8">
          <w:pPr>
            <w:ind w:firstLine="420" w:firstLineChars="200"/>
            <w:rPr>
              <w:rFonts w:hint="eastAsia"/>
            </w:rPr>
          </w:pPr>
          <w:r>
            <w:rPr>
              <w:rFonts w:hint="eastAsia"/>
            </w:rPr>
            <w:t>结合我们对财务报表的审计，我们的责任是阅读其他信息，在此过程中，考虑其他信息是否与财务报表或我们在审计过程中了解到的情况存在重大不一致或者似乎存在重大错报。</w:t>
          </w:r>
        </w:p>
        <w:p w14:paraId="262AD74E">
          <w:pPr>
            <w:ind w:firstLine="420" w:firstLineChars="200"/>
            <w:rPr>
              <w:rFonts w:hint="eastAsia"/>
            </w:rPr>
          </w:pPr>
          <w:r>
            <w:rPr>
              <w:rFonts w:hint="eastAsia"/>
            </w:rPr>
            <w:t xml:space="preserve">基于我们已执行的工作，如果我们确定其他信息存在重大错报，我们应当报告该事实。在这方面，我们无任何事项需要报告。 </w:t>
          </w:r>
        </w:p>
        <w:p w14:paraId="54928A20">
          <w:pPr>
            <w:numPr>
              <w:ilvl w:val="0"/>
              <w:numId w:val="88"/>
            </w:numPr>
            <w:ind w:firstLine="422" w:firstLineChars="200"/>
            <w:rPr>
              <w:rFonts w:hint="eastAsia"/>
              <w:b/>
              <w:bCs/>
            </w:rPr>
          </w:pPr>
          <w:r>
            <w:rPr>
              <w:rFonts w:hint="eastAsia"/>
              <w:b/>
              <w:bCs/>
            </w:rPr>
            <w:t>管理层和治理层对财务报表的责任</w:t>
          </w:r>
        </w:p>
        <w:p w14:paraId="14C9CFB6">
          <w:pPr>
            <w:ind w:firstLine="420" w:firstLineChars="200"/>
            <w:rPr>
              <w:rFonts w:hint="eastAsia"/>
            </w:rPr>
          </w:pPr>
          <w:r>
            <w:rPr>
              <w:rFonts w:hint="eastAsia"/>
            </w:rPr>
            <w:t>管理层负责按照企业会计准则的规定编制财务报表，使其实现公允反映，并设计、执行和维护必要的内部控制，以使财务报表不存在由于舞弊或错误导致的重大错报。</w:t>
          </w:r>
        </w:p>
        <w:p w14:paraId="1D3223AE">
          <w:pPr>
            <w:ind w:firstLine="420" w:firstLineChars="200"/>
            <w:rPr>
              <w:rFonts w:hint="eastAsia"/>
            </w:rPr>
          </w:pPr>
          <w:r>
            <w:rPr>
              <w:rFonts w:hint="eastAsia"/>
            </w:rPr>
            <w:t>在编制财务报表时，管理层负责评估际华集团公司的持续经营能力，披露与持续经营相关的事项，并运用持续经营假设，除非计划进行清算、终止运营或别无其他现实的选择。</w:t>
          </w:r>
        </w:p>
        <w:p w14:paraId="47D28F3A">
          <w:pPr>
            <w:ind w:firstLine="420" w:firstLineChars="200"/>
            <w:rPr>
              <w:rFonts w:hint="eastAsia"/>
            </w:rPr>
          </w:pPr>
          <w:r>
            <w:rPr>
              <w:rFonts w:hint="eastAsia"/>
            </w:rPr>
            <w:t xml:space="preserve">际华集团公司治理层（以下简称治理层）负责监督际华集团公司的财务报告过程。 </w:t>
          </w:r>
        </w:p>
        <w:p w14:paraId="73CD9270">
          <w:pPr>
            <w:numPr>
              <w:ilvl w:val="0"/>
              <w:numId w:val="88"/>
            </w:numPr>
            <w:ind w:firstLine="422" w:firstLineChars="200"/>
            <w:rPr>
              <w:rFonts w:hint="eastAsia"/>
              <w:b/>
              <w:bCs/>
            </w:rPr>
          </w:pPr>
          <w:r>
            <w:rPr>
              <w:rFonts w:hint="eastAsia"/>
              <w:b/>
              <w:bCs/>
            </w:rPr>
            <w:t>注册会计师对财务报表审计的责任</w:t>
          </w:r>
        </w:p>
        <w:p w14:paraId="3077C1E2">
          <w:pPr>
            <w:ind w:firstLine="420" w:firstLineChars="200"/>
            <w:rPr>
              <w:rFonts w:hint="eastAsia"/>
            </w:rPr>
          </w:pPr>
          <w:r>
            <w:rPr>
              <w:rFonts w:hint="eastAsia"/>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7D55C3DB">
          <w:pPr>
            <w:ind w:firstLine="420" w:firstLineChars="200"/>
            <w:rPr>
              <w:rFonts w:hint="eastAsia"/>
            </w:rPr>
          </w:pPr>
          <w:r>
            <w:rPr>
              <w:rFonts w:hint="eastAsia"/>
            </w:rPr>
            <w:t>在按照审计准则执行审计工作的过程中，我们运用职业判断，并保持职业怀疑。同时，我们也执行以下工作：</w:t>
          </w:r>
        </w:p>
        <w:p w14:paraId="5E4790B5">
          <w:pPr>
            <w:numPr>
              <w:ilvl w:val="0"/>
              <w:numId w:val="98"/>
            </w:numPr>
            <w:ind w:firstLineChars="200"/>
            <w:rPr>
              <w:rFonts w:hint="eastAsia"/>
            </w:rPr>
          </w:pPr>
          <w:r>
            <w:rPr>
              <w:rFonts w:hint="eastAsia"/>
            </w:rPr>
            <w:t>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7A875C2C">
          <w:pPr>
            <w:numPr>
              <w:ilvl w:val="0"/>
              <w:numId w:val="98"/>
            </w:numPr>
            <w:ind w:firstLineChars="200"/>
            <w:rPr>
              <w:rFonts w:hint="eastAsia"/>
            </w:rPr>
          </w:pPr>
          <w:r>
            <w:rPr>
              <w:rFonts w:hint="eastAsia"/>
            </w:rPr>
            <w:t>了解与审计相关的内部控制，以设计恰当的审计程序。</w:t>
          </w:r>
        </w:p>
        <w:p w14:paraId="35E7FDD2">
          <w:pPr>
            <w:numPr>
              <w:ilvl w:val="0"/>
              <w:numId w:val="98"/>
            </w:numPr>
            <w:ind w:firstLineChars="200"/>
            <w:rPr>
              <w:rFonts w:hint="eastAsia"/>
            </w:rPr>
          </w:pPr>
          <w:r>
            <w:rPr>
              <w:rFonts w:hint="eastAsia"/>
            </w:rPr>
            <w:t>评价管理层选用会计政策的恰当性和作出会计估计及相关披露的合理性。</w:t>
          </w:r>
        </w:p>
        <w:p w14:paraId="20012241">
          <w:pPr>
            <w:numPr>
              <w:ilvl w:val="0"/>
              <w:numId w:val="98"/>
            </w:numPr>
            <w:ind w:firstLineChars="200"/>
            <w:rPr>
              <w:rFonts w:hint="eastAsia"/>
            </w:rPr>
          </w:pPr>
          <w:r>
            <w:rPr>
              <w:rFonts w:hint="eastAsia"/>
            </w:rPr>
            <w:t>对管理层使用持续经营假设的恰当性得出结论。同时，根据获取的审计证据，就可能导致对际华集团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际华集团公司不能持续经营。</w:t>
          </w:r>
        </w:p>
        <w:p w14:paraId="668BDD98">
          <w:pPr>
            <w:numPr>
              <w:ilvl w:val="0"/>
              <w:numId w:val="98"/>
            </w:numPr>
            <w:ind w:firstLineChars="200"/>
            <w:rPr>
              <w:rFonts w:hint="eastAsia"/>
            </w:rPr>
          </w:pPr>
          <w:r>
            <w:rPr>
              <w:rFonts w:hint="eastAsia"/>
            </w:rPr>
            <w:t>评价财务报表的总体列报、结构和内容，并评价财务报表是否公允反映相关交易和事项。</w:t>
          </w:r>
        </w:p>
        <w:p w14:paraId="1EC10316">
          <w:pPr>
            <w:numPr>
              <w:ilvl w:val="0"/>
              <w:numId w:val="98"/>
            </w:numPr>
            <w:ind w:firstLineChars="200"/>
            <w:rPr>
              <w:rFonts w:hint="eastAsia"/>
            </w:rPr>
          </w:pPr>
          <w:r>
            <w:rPr>
              <w:rFonts w:hint="eastAsia"/>
            </w:rPr>
            <w:t>就际华集团公司中实体或业务活动的财务信息获取充分、适当的审计证据，以对财务报表发表审计意见。我们负责指导、监督和执行集团审计，并对审计意见承担全部责任。</w:t>
          </w:r>
        </w:p>
        <w:p w14:paraId="6DA027EC">
          <w:pPr>
            <w:ind w:firstLine="420" w:firstLineChars="200"/>
            <w:rPr>
              <w:rFonts w:hint="eastAsia"/>
            </w:rPr>
          </w:pPr>
          <w:r>
            <w:rPr>
              <w:rFonts w:hint="eastAsia"/>
            </w:rPr>
            <w:t>我们与治理层就计划的审计范围、时间安排和重大审计发现等事项进行沟通，包括沟通我们在审计中识别出的值得关注的内部控制缺陷。</w:t>
          </w:r>
        </w:p>
        <w:p w14:paraId="34288D22">
          <w:pPr>
            <w:ind w:firstLine="420" w:firstLineChars="200"/>
            <w:rPr>
              <w:rFonts w:hint="eastAsia"/>
            </w:rPr>
          </w:pPr>
          <w:r>
            <w:rPr>
              <w:rFonts w:hint="eastAsia"/>
            </w:rPr>
            <w:t>我们还就已遵守与独立性相关的职业道德要求向治理层提供声明，并与治理层沟通可能被合理认为影响我们独立性的所有关系和其他事项，以及相关的防范措施。</w:t>
          </w:r>
        </w:p>
        <w:p w14:paraId="12BB29B2">
          <w:pPr>
            <w:ind w:firstLine="420" w:firstLineChars="200"/>
            <w:rPr>
              <w:rFonts w:hint="eastAsia"/>
            </w:rPr>
          </w:pPr>
          <w:r>
            <w:rPr>
              <w:rFonts w:hint="eastAsia"/>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313B4B0F">
          <w:pPr>
            <w:jc w:val="right"/>
            <w:rPr>
              <w:rFonts w:hint="eastAsia"/>
            </w:rPr>
          </w:pPr>
          <w:r>
            <w:rPr>
              <w:rFonts w:hint="eastAsia"/>
            </w:rPr>
            <w:t xml:space="preserve"> </w:t>
          </w:r>
        </w:p>
        <w:p w14:paraId="4ABB5D88">
          <w:pPr>
            <w:jc w:val="right"/>
            <w:rPr>
              <w:rFonts w:hint="eastAsia"/>
            </w:rPr>
          </w:pPr>
          <w:r>
            <w:rPr>
              <w:rFonts w:hint="eastAsia"/>
            </w:rPr>
            <w:t xml:space="preserve"> </w:t>
          </w:r>
        </w:p>
        <w:p w14:paraId="11001781">
          <w:pPr>
            <w:jc w:val="right"/>
            <w:rPr>
              <w:rFonts w:hint="eastAsia"/>
            </w:rPr>
          </w:pPr>
          <w:r>
            <w:rPr>
              <w:rFonts w:hint="eastAsia"/>
            </w:rPr>
            <w:t xml:space="preserve"> </w:t>
          </w:r>
        </w:p>
        <w:p w14:paraId="4B927552">
          <w:pPr>
            <w:jc w:val="right"/>
            <w:rPr>
              <w:rFonts w:hint="eastAsia"/>
            </w:rPr>
          </w:pPr>
          <w:r>
            <w:rPr>
              <w:rFonts w:hint="eastAsia"/>
            </w:rPr>
            <w:t xml:space="preserve"> </w:t>
          </w:r>
        </w:p>
        <w:p w14:paraId="4CABB33D">
          <w:pPr>
            <w:rPr>
              <w:rFonts w:hint="eastAsia"/>
            </w:rPr>
          </w:pPr>
          <w:r>
            <w:rPr>
              <w:rFonts w:hint="eastAsia"/>
            </w:rPr>
            <w:t xml:space="preserve">天健会计师事务所（特殊普通合伙） </w:t>
          </w:r>
          <w:r>
            <w:rPr>
              <w:rFonts w:hint="eastAsia"/>
            </w:rPr>
            <w:tab/>
          </w:r>
          <w:r>
            <w:rPr>
              <w:rFonts w:hint="eastAsia"/>
            </w:rPr>
            <w:t xml:space="preserve">       中国注册会计师：曹博</w:t>
          </w:r>
        </w:p>
        <w:p w14:paraId="72080CF0">
          <w:pPr>
            <w:rPr>
              <w:rFonts w:hint="eastAsia"/>
            </w:rPr>
          </w:pPr>
          <w:r>
            <w:rPr>
              <w:rFonts w:hint="eastAsia"/>
            </w:rPr>
            <w:tab/>
          </w:r>
          <w:r>
            <w:rPr>
              <w:rFonts w:hint="eastAsia"/>
            </w:rPr>
            <w:t xml:space="preserve">                                         （项目合伙人）</w:t>
          </w:r>
        </w:p>
        <w:p w14:paraId="39E554F7">
          <w:pPr>
            <w:rPr>
              <w:rFonts w:hint="eastAsia"/>
            </w:rPr>
          </w:pPr>
          <w:r>
            <w:rPr>
              <w:rFonts w:hint="eastAsia"/>
            </w:rPr>
            <w:t xml:space="preserve"> </w:t>
          </w:r>
        </w:p>
        <w:p w14:paraId="2DF95249">
          <w:pPr>
            <w:rPr>
              <w:rFonts w:hint="eastAsia"/>
            </w:rPr>
          </w:pPr>
          <w:r>
            <w:rPr>
              <w:rFonts w:hint="eastAsia"/>
            </w:rPr>
            <w:tab/>
          </w:r>
          <w:r>
            <w:rPr>
              <w:rFonts w:hint="eastAsia"/>
            </w:rPr>
            <w:t xml:space="preserve">  中国·杭州</w:t>
          </w:r>
          <w:r>
            <w:rPr>
              <w:rFonts w:hint="eastAsia"/>
            </w:rPr>
            <w:tab/>
          </w:r>
          <w:r>
            <w:rPr>
              <w:rFonts w:hint="eastAsia"/>
            </w:rPr>
            <w:t xml:space="preserve">                       中国注册会计师：王景波</w:t>
          </w:r>
        </w:p>
        <w:p w14:paraId="50D68A18">
          <w:pPr>
            <w:rPr>
              <w:rFonts w:hint="eastAsia"/>
            </w:rPr>
          </w:pPr>
          <w:r>
            <w:rPr>
              <w:rFonts w:hint="eastAsia"/>
            </w:rPr>
            <w:t xml:space="preserve"> </w:t>
          </w:r>
        </w:p>
        <w:p w14:paraId="517C90D0">
          <w:pPr>
            <w:wordWrap w:val="0"/>
            <w:jc w:val="right"/>
            <w:rPr>
              <w:rFonts w:hint="eastAsia"/>
            </w:rPr>
          </w:pPr>
          <w:r>
            <w:rPr>
              <w:rFonts w:hint="eastAsia"/>
            </w:rPr>
            <w:tab/>
          </w:r>
          <w:r>
            <w:rPr>
              <w:rFonts w:hint="eastAsia"/>
            </w:rPr>
            <w:t xml:space="preserve">二〇二五年四月二十五日            </w:t>
          </w:r>
        </w:p>
        <w:p w14:paraId="52F398EB">
          <w:pPr>
            <w:rPr>
              <w:rFonts w:hint="eastAsia"/>
            </w:rPr>
          </w:pPr>
        </w:p>
      </w:sdtContent>
    </w:sdt>
    <w:p w14:paraId="3DE9B5D0">
      <w:pPr>
        <w:rPr>
          <w:rFonts w:hint="eastAsia"/>
        </w:rPr>
        <w:sectPr>
          <w:pgSz w:w="11906" w:h="16838"/>
          <w:pgMar w:top="1525" w:right="1276" w:bottom="1440" w:left="1797" w:header="856" w:footer="992" w:gutter="0"/>
          <w:cols w:space="425" w:num="1"/>
          <w:docGrid w:linePitch="312" w:charSpace="0"/>
        </w:sectPr>
      </w:pPr>
    </w:p>
    <w:p w14:paraId="663E5293">
      <w:pPr>
        <w:rPr>
          <w:rFonts w:hint="eastAsia"/>
        </w:rPr>
      </w:pPr>
    </w:p>
    <w:p w14:paraId="7FF2BE1F">
      <w:pPr>
        <w:pStyle w:val="69"/>
        <w:numPr>
          <w:ilvl w:val="0"/>
          <w:numId w:val="87"/>
        </w:numPr>
        <w:rPr>
          <w:rFonts w:hint="eastAsia" w:ascii="宋体" w:hAnsi="宋体"/>
        </w:rPr>
      </w:pPr>
      <w:r>
        <w:rPr>
          <w:rFonts w:hint="eastAsia"/>
        </w:rPr>
        <w:t>财务报表</w:t>
      </w:r>
    </w:p>
    <w:p w14:paraId="1E749A9C">
      <w:pPr>
        <w:pStyle w:val="70"/>
        <w:jc w:val="center"/>
      </w:pPr>
      <w:bookmarkStart w:id="201" w:name="_Hlk24034092"/>
      <w:bookmarkEnd w:id="201"/>
      <w:bookmarkStart w:id="202" w:name="_Hlk182475374"/>
      <w:r>
        <w:rPr>
          <w:rFonts w:hint="eastAsia"/>
        </w:rPr>
        <w:t>合并资产负债表</w:t>
      </w:r>
    </w:p>
    <w:p w14:paraId="7A5C0326">
      <w:pPr>
        <w:snapToGrid w:val="0"/>
        <w:spacing w:line="240" w:lineRule="atLeast"/>
        <w:jc w:val="center"/>
        <w:rPr>
          <w:rFonts w:hint="eastAsia"/>
          <w:b/>
          <w:szCs w:val="21"/>
        </w:rPr>
      </w:pPr>
      <w:r>
        <w:rPr>
          <w:szCs w:val="21"/>
        </w:rPr>
        <w:t>2024年12月31日</w:t>
      </w:r>
    </w:p>
    <w:p w14:paraId="36F1B6A7">
      <w:pPr>
        <w:rPr>
          <w:rFonts w:hint="eastAsia"/>
          <w:szCs w:val="21"/>
        </w:rPr>
      </w:pPr>
      <w:r>
        <w:rPr>
          <w:szCs w:val="21"/>
        </w:rPr>
        <w:t>编制单位</w:t>
      </w:r>
      <w:r>
        <w:rPr>
          <w:rFonts w:hint="eastAsia"/>
          <w:szCs w:val="21"/>
        </w:rPr>
        <w:t>：</w:t>
      </w:r>
      <w:sdt>
        <w:sdtPr>
          <w:rPr>
            <w:szCs w:val="21"/>
          </w:rPr>
          <w:alias w:val="公司法定中文名称"/>
          <w:tag w:val="_GBC_22071e1c4bb04578b94539b252cb1c67"/>
          <w:id w:val="833185203"/>
          <w:placeholder>
            <w:docPart w:val="GBC22222222222222222222222222222"/>
          </w:placeholder>
          <w:dataBinding w:prefixMappings="xmlns:clcid-cgi='clcid-cgi'" w:xpath="/*/clcid-cgi:GongSiFaDingZhongWenMingCheng[not(@periodRef)]" w:storeItemID="{89EBAB94-44A0-46A2-B712-30D997D04A6D}"/>
          <w:text/>
        </w:sdtPr>
        <w:sdtEndPr>
          <w:rPr>
            <w:szCs w:val="21"/>
          </w:rPr>
        </w:sdtEndPr>
        <w:sdtContent>
          <w:r>
            <w:rPr>
              <w:szCs w:val="21"/>
            </w:rPr>
            <w:t>际华集团股份有限公司</w:t>
          </w:r>
        </w:sdtContent>
      </w:sdt>
    </w:p>
    <w:p w14:paraId="71F8E33B">
      <w:pPr>
        <w:jc w:val="right"/>
        <w:rPr>
          <w:rFonts w:hint="eastAsia"/>
          <w:szCs w:val="21"/>
        </w:rPr>
      </w:pPr>
      <w:r>
        <w:rPr>
          <w:szCs w:val="21"/>
        </w:rPr>
        <w:t>单位：</w:t>
      </w:r>
      <w:sdt>
        <w:sdtPr>
          <w:rPr>
            <w:szCs w:val="21"/>
          </w:rPr>
          <w:alias w:val="单位：合并资产负债表"/>
          <w:tag w:val="_GBC_8c6918f285a44e0f8fb06fefffa27df4"/>
          <w:id w:val="-7592162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合并资产负债表"/>
          <w:tag w:val="_GBC_0953b26208a64010937af0b40efed509"/>
          <w:id w:val="5442565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820"/>
        <w:gridCol w:w="969"/>
        <w:gridCol w:w="2006"/>
        <w:gridCol w:w="2011"/>
      </w:tblGrid>
      <w:tr w14:paraId="3D9AF3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tag w:val="_PLD_e88f994cf669436ebd34aa04979abc4a"/>
            <w:id w:val="-1664852390"/>
          </w:sdtPr>
          <w:sdtContent>
            <w:tc>
              <w:tcPr>
                <w:tcW w:w="2169" w:type="pct"/>
                <w:tcBorders>
                  <w:top w:val="outset" w:color="auto" w:sz="6" w:space="0"/>
                  <w:left w:val="outset" w:color="auto" w:sz="6" w:space="0"/>
                  <w:bottom w:val="outset" w:color="auto" w:sz="6" w:space="0"/>
                  <w:right w:val="outset" w:color="auto" w:sz="6" w:space="0"/>
                </w:tcBorders>
                <w:vAlign w:val="center"/>
              </w:tcPr>
              <w:p w14:paraId="743241F8">
                <w:pPr>
                  <w:jc w:val="center"/>
                  <w:rPr>
                    <w:rFonts w:hint="eastAsia"/>
                    <w:b/>
                    <w:color w:val="000000" w:themeColor="text1"/>
                    <w14:textFill>
                      <w14:solidFill>
                        <w14:schemeClr w14:val="tx1"/>
                      </w14:solidFill>
                    </w14:textFill>
                  </w:rPr>
                </w:pPr>
                <w:bookmarkStart w:id="203" w:name="_Hlk137046697"/>
                <w:r>
                  <w:rPr>
                    <w:b/>
                    <w:color w:val="000000" w:themeColor="text1"/>
                    <w14:textFill>
                      <w14:solidFill>
                        <w14:schemeClr w14:val="tx1"/>
                      </w14:solidFill>
                    </w14:textFill>
                  </w:rPr>
                  <w:t>项目</w:t>
                </w:r>
              </w:p>
            </w:tc>
          </w:sdtContent>
        </w:sdt>
        <w:sdt>
          <w:sdtPr>
            <w:tag w:val="_PLD_1b1f75a08f0046c7a2abc9d59780d042"/>
            <w:id w:val="-85621004"/>
          </w:sdtPr>
          <w:sdtContent>
            <w:tc>
              <w:tcPr>
                <w:tcW w:w="550" w:type="pct"/>
                <w:tcBorders>
                  <w:top w:val="outset" w:color="auto" w:sz="6" w:space="0"/>
                  <w:left w:val="outset" w:color="auto" w:sz="6" w:space="0"/>
                  <w:bottom w:val="outset" w:color="auto" w:sz="6" w:space="0"/>
                  <w:right w:val="outset" w:color="auto" w:sz="6" w:space="0"/>
                </w:tcBorders>
                <w:vAlign w:val="center"/>
              </w:tcPr>
              <w:p w14:paraId="4719CAE4">
                <w:pPr>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附注</w:t>
                </w:r>
              </w:p>
            </w:tc>
          </w:sdtContent>
        </w:sdt>
        <w:sdt>
          <w:sdtPr>
            <w:tag w:val="_PLD_afa4cd62e5184f80ba13c8e19e91baa5"/>
            <w:id w:val="-1558777360"/>
          </w:sdtPr>
          <w:sdtContent>
            <w:tc>
              <w:tcPr>
                <w:tcW w:w="1139" w:type="pct"/>
                <w:tcBorders>
                  <w:top w:val="outset" w:color="auto" w:sz="6" w:space="0"/>
                  <w:left w:val="outset" w:color="auto" w:sz="6" w:space="0"/>
                  <w:bottom w:val="outset" w:color="auto" w:sz="6" w:space="0"/>
                  <w:right w:val="outset" w:color="auto" w:sz="6" w:space="0"/>
                </w:tcBorders>
                <w:vAlign w:val="center"/>
              </w:tcPr>
              <w:p w14:paraId="43897A26">
                <w:pPr>
                  <w:jc w:val="cente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2024年12月</w:t>
                </w:r>
                <w:r>
                  <w:rPr>
                    <w:b/>
                    <w:color w:val="000000" w:themeColor="text1"/>
                    <w14:textFill>
                      <w14:solidFill>
                        <w14:schemeClr w14:val="tx1"/>
                      </w14:solidFill>
                    </w14:textFill>
                  </w:rPr>
                  <w:t>3</w:t>
                </w:r>
                <w:r>
                  <w:rPr>
                    <w:rFonts w:hint="eastAsia"/>
                    <w:b/>
                    <w:color w:val="000000" w:themeColor="text1"/>
                    <w14:textFill>
                      <w14:solidFill>
                        <w14:schemeClr w14:val="tx1"/>
                      </w14:solidFill>
                    </w14:textFill>
                  </w:rPr>
                  <w:t>1日</w:t>
                </w:r>
              </w:p>
            </w:tc>
          </w:sdtContent>
        </w:sdt>
        <w:sdt>
          <w:sdtPr>
            <w:tag w:val="_PLD_af2c4ec348eb42cba64145c988fe0f69"/>
            <w:id w:val="-551920311"/>
          </w:sdtPr>
          <w:sdtContent>
            <w:tc>
              <w:tcPr>
                <w:tcW w:w="1142" w:type="pct"/>
                <w:tcBorders>
                  <w:top w:val="outset" w:color="auto" w:sz="6" w:space="0"/>
                  <w:left w:val="outset" w:color="auto" w:sz="6" w:space="0"/>
                  <w:bottom w:val="outset" w:color="auto" w:sz="6" w:space="0"/>
                  <w:right w:val="outset" w:color="auto" w:sz="6" w:space="0"/>
                </w:tcBorders>
                <w:vAlign w:val="center"/>
              </w:tcPr>
              <w:p w14:paraId="0C1FDE2C">
                <w:pPr>
                  <w:jc w:val="center"/>
                  <w:rPr>
                    <w:rFonts w:hint="eastAsia"/>
                    <w:b/>
                    <w:color w:val="000000" w:themeColor="text1"/>
                    <w14:textFill>
                      <w14:solidFill>
                        <w14:schemeClr w14:val="tx1"/>
                      </w14:solidFill>
                    </w14:textFill>
                  </w:rPr>
                </w:pPr>
                <w:r>
                  <w:rPr>
                    <w:b/>
                    <w:color w:val="000000" w:themeColor="text1"/>
                    <w14:textFill>
                      <w14:solidFill>
                        <w14:schemeClr w14:val="tx1"/>
                      </w14:solidFill>
                    </w14:textFill>
                  </w:rPr>
                  <w:t>2023年12月31日</w:t>
                </w:r>
              </w:p>
            </w:tc>
          </w:sdtContent>
        </w:sdt>
      </w:tr>
      <w:tr w14:paraId="7A0AA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8b46463546242c595dc585220b1a4b3"/>
            <w:id w:val="126672891"/>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7C8449A8">
                <w:pP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流动资产：</w:t>
                </w:r>
              </w:p>
            </w:tc>
          </w:sdtContent>
        </w:sdt>
      </w:tr>
      <w:tr w14:paraId="2EECD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60B891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货币资金</w:t>
            </w:r>
          </w:p>
        </w:tc>
        <w:tc>
          <w:tcPr>
            <w:tcW w:w="550" w:type="pct"/>
            <w:tcBorders>
              <w:top w:val="outset" w:color="auto" w:sz="6" w:space="0"/>
              <w:left w:val="outset" w:color="auto" w:sz="6" w:space="0"/>
              <w:bottom w:val="outset" w:color="auto" w:sz="6" w:space="0"/>
              <w:right w:val="outset" w:color="auto" w:sz="6" w:space="0"/>
            </w:tcBorders>
            <w:vAlign w:val="center"/>
          </w:tcPr>
          <w:p w14:paraId="0396070E">
            <w:pPr>
              <w:rPr>
                <w:rFonts w:hint="eastAsia"/>
              </w:rPr>
            </w:pPr>
            <w:r>
              <w:t>七、1</w:t>
            </w:r>
          </w:p>
        </w:tc>
        <w:tc>
          <w:tcPr>
            <w:tcW w:w="1139" w:type="pct"/>
            <w:tcBorders>
              <w:top w:val="outset" w:color="auto" w:sz="6" w:space="0"/>
              <w:left w:val="outset" w:color="auto" w:sz="6" w:space="0"/>
              <w:bottom w:val="outset" w:color="auto" w:sz="6" w:space="0"/>
              <w:right w:val="outset" w:color="auto" w:sz="6" w:space="0"/>
            </w:tcBorders>
            <w:vAlign w:val="center"/>
          </w:tcPr>
          <w:p w14:paraId="2D994834">
            <w:pPr>
              <w:jc w:val="right"/>
              <w:rPr>
                <w:rFonts w:hint="eastAsia"/>
              </w:rPr>
            </w:pPr>
            <w:r>
              <w:rPr>
                <w:rFonts w:ascii="Arial Narrow" w:hAnsi="Arial Narrow" w:eastAsia="等线"/>
                <w:color w:val="000000"/>
                <w:szCs w:val="21"/>
              </w:rPr>
              <w:t xml:space="preserve">5,606,201,041.01 </w:t>
            </w:r>
          </w:p>
        </w:tc>
        <w:tc>
          <w:tcPr>
            <w:tcW w:w="1142" w:type="pct"/>
            <w:tcBorders>
              <w:top w:val="outset" w:color="auto" w:sz="6" w:space="0"/>
              <w:left w:val="outset" w:color="auto" w:sz="6" w:space="0"/>
              <w:bottom w:val="outset" w:color="auto" w:sz="6" w:space="0"/>
              <w:right w:val="outset" w:color="auto" w:sz="6" w:space="0"/>
            </w:tcBorders>
            <w:vAlign w:val="center"/>
          </w:tcPr>
          <w:p w14:paraId="6C73BB7E">
            <w:pPr>
              <w:jc w:val="right"/>
              <w:rPr>
                <w:rFonts w:hint="eastAsia"/>
              </w:rPr>
            </w:pPr>
            <w:r>
              <w:rPr>
                <w:rFonts w:ascii="Arial Narrow" w:hAnsi="Arial Narrow" w:eastAsia="等线"/>
                <w:color w:val="000000"/>
                <w:szCs w:val="21"/>
              </w:rPr>
              <w:t xml:space="preserve">6,775,620,151.24 </w:t>
            </w:r>
          </w:p>
        </w:tc>
      </w:tr>
      <w:tr w14:paraId="7B01C2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35F78F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交易性金融资产</w:t>
            </w:r>
          </w:p>
        </w:tc>
        <w:tc>
          <w:tcPr>
            <w:tcW w:w="550" w:type="pct"/>
            <w:tcBorders>
              <w:top w:val="outset" w:color="auto" w:sz="6" w:space="0"/>
              <w:left w:val="outset" w:color="auto" w:sz="6" w:space="0"/>
              <w:bottom w:val="outset" w:color="auto" w:sz="6" w:space="0"/>
              <w:right w:val="outset" w:color="auto" w:sz="6" w:space="0"/>
            </w:tcBorders>
            <w:vAlign w:val="center"/>
          </w:tcPr>
          <w:p w14:paraId="50B1899B">
            <w:pPr>
              <w:rPr>
                <w:rFonts w:hint="eastAsia"/>
              </w:rPr>
            </w:pPr>
            <w:r>
              <w:t>七、2</w:t>
            </w:r>
          </w:p>
        </w:tc>
        <w:tc>
          <w:tcPr>
            <w:tcW w:w="1139" w:type="pct"/>
            <w:tcBorders>
              <w:top w:val="outset" w:color="auto" w:sz="6" w:space="0"/>
              <w:left w:val="outset" w:color="auto" w:sz="6" w:space="0"/>
              <w:bottom w:val="outset" w:color="auto" w:sz="6" w:space="0"/>
              <w:right w:val="outset" w:color="auto" w:sz="6" w:space="0"/>
            </w:tcBorders>
            <w:vAlign w:val="center"/>
          </w:tcPr>
          <w:p w14:paraId="45F8D746">
            <w:pPr>
              <w:jc w:val="right"/>
              <w:rPr>
                <w:rFonts w:hint="eastAsia"/>
              </w:rPr>
            </w:pPr>
            <w:r>
              <w:rPr>
                <w:rFonts w:ascii="Arial Narrow" w:hAnsi="Arial Narrow" w:eastAsia="等线"/>
                <w:color w:val="000000"/>
                <w:szCs w:val="21"/>
              </w:rPr>
              <w:t xml:space="preserve">630,009.80 </w:t>
            </w:r>
          </w:p>
        </w:tc>
        <w:tc>
          <w:tcPr>
            <w:tcW w:w="1142" w:type="pct"/>
            <w:tcBorders>
              <w:top w:val="outset" w:color="auto" w:sz="6" w:space="0"/>
              <w:left w:val="outset" w:color="auto" w:sz="6" w:space="0"/>
              <w:bottom w:val="outset" w:color="auto" w:sz="6" w:space="0"/>
              <w:right w:val="outset" w:color="auto" w:sz="6" w:space="0"/>
            </w:tcBorders>
            <w:vAlign w:val="center"/>
          </w:tcPr>
          <w:p w14:paraId="76677BB5">
            <w:pPr>
              <w:jc w:val="right"/>
              <w:rPr>
                <w:rFonts w:hint="eastAsia"/>
              </w:rPr>
            </w:pPr>
            <w:r>
              <w:rPr>
                <w:rFonts w:ascii="Arial Narrow" w:hAnsi="Arial Narrow" w:eastAsia="等线"/>
                <w:color w:val="000000"/>
                <w:szCs w:val="21"/>
              </w:rPr>
              <w:t xml:space="preserve">630,009.80 </w:t>
            </w:r>
          </w:p>
        </w:tc>
      </w:tr>
      <w:tr w14:paraId="64CBCE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7FA440B">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应收票据</w:t>
            </w:r>
          </w:p>
        </w:tc>
        <w:tc>
          <w:tcPr>
            <w:tcW w:w="550" w:type="pct"/>
            <w:tcBorders>
              <w:top w:val="outset" w:color="auto" w:sz="6" w:space="0"/>
              <w:left w:val="outset" w:color="auto" w:sz="6" w:space="0"/>
              <w:bottom w:val="outset" w:color="auto" w:sz="6" w:space="0"/>
              <w:right w:val="outset" w:color="auto" w:sz="6" w:space="0"/>
            </w:tcBorders>
            <w:vAlign w:val="center"/>
          </w:tcPr>
          <w:p w14:paraId="471133AF">
            <w:pPr>
              <w:rPr>
                <w:rFonts w:hint="eastAsia"/>
              </w:rPr>
            </w:pPr>
            <w:r>
              <w:t>七、4</w:t>
            </w:r>
          </w:p>
        </w:tc>
        <w:tc>
          <w:tcPr>
            <w:tcW w:w="1139" w:type="pct"/>
            <w:tcBorders>
              <w:top w:val="outset" w:color="auto" w:sz="6" w:space="0"/>
              <w:left w:val="outset" w:color="auto" w:sz="6" w:space="0"/>
              <w:bottom w:val="outset" w:color="auto" w:sz="6" w:space="0"/>
              <w:right w:val="outset" w:color="auto" w:sz="6" w:space="0"/>
            </w:tcBorders>
            <w:vAlign w:val="center"/>
          </w:tcPr>
          <w:p w14:paraId="79F8AAAB">
            <w:pPr>
              <w:jc w:val="right"/>
              <w:rPr>
                <w:rFonts w:hint="eastAsia"/>
              </w:rPr>
            </w:pPr>
            <w:r>
              <w:rPr>
                <w:rFonts w:ascii="Arial Narrow" w:hAnsi="Arial Narrow" w:eastAsia="等线"/>
                <w:color w:val="000000"/>
                <w:szCs w:val="21"/>
              </w:rPr>
              <w:t xml:space="preserve">64,988,181.85 </w:t>
            </w:r>
          </w:p>
        </w:tc>
        <w:tc>
          <w:tcPr>
            <w:tcW w:w="1142" w:type="pct"/>
            <w:tcBorders>
              <w:top w:val="outset" w:color="auto" w:sz="6" w:space="0"/>
              <w:left w:val="outset" w:color="auto" w:sz="6" w:space="0"/>
              <w:bottom w:val="outset" w:color="auto" w:sz="6" w:space="0"/>
              <w:right w:val="outset" w:color="auto" w:sz="6" w:space="0"/>
            </w:tcBorders>
            <w:vAlign w:val="center"/>
          </w:tcPr>
          <w:p w14:paraId="53B86A1D">
            <w:pPr>
              <w:jc w:val="right"/>
              <w:rPr>
                <w:rFonts w:hint="eastAsia"/>
              </w:rPr>
            </w:pPr>
            <w:r>
              <w:rPr>
                <w:rFonts w:ascii="Arial Narrow" w:hAnsi="Arial Narrow" w:eastAsia="等线"/>
                <w:color w:val="000000"/>
                <w:szCs w:val="21"/>
              </w:rPr>
              <w:t xml:space="preserve">75,719,945.16 </w:t>
            </w:r>
          </w:p>
        </w:tc>
      </w:tr>
      <w:tr w14:paraId="18F1C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9BBEB8A">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应收账款</w:t>
            </w:r>
          </w:p>
        </w:tc>
        <w:tc>
          <w:tcPr>
            <w:tcW w:w="550" w:type="pct"/>
            <w:tcBorders>
              <w:top w:val="outset" w:color="auto" w:sz="6" w:space="0"/>
              <w:left w:val="outset" w:color="auto" w:sz="6" w:space="0"/>
              <w:bottom w:val="outset" w:color="auto" w:sz="6" w:space="0"/>
              <w:right w:val="outset" w:color="auto" w:sz="6" w:space="0"/>
            </w:tcBorders>
            <w:vAlign w:val="center"/>
          </w:tcPr>
          <w:p w14:paraId="3947FE33">
            <w:pPr>
              <w:rPr>
                <w:rFonts w:hint="eastAsia"/>
              </w:rPr>
            </w:pPr>
            <w:r>
              <w:t>七、5</w:t>
            </w:r>
          </w:p>
        </w:tc>
        <w:tc>
          <w:tcPr>
            <w:tcW w:w="1139" w:type="pct"/>
            <w:tcBorders>
              <w:top w:val="outset" w:color="auto" w:sz="6" w:space="0"/>
              <w:left w:val="outset" w:color="auto" w:sz="6" w:space="0"/>
              <w:bottom w:val="outset" w:color="auto" w:sz="6" w:space="0"/>
              <w:right w:val="outset" w:color="auto" w:sz="6" w:space="0"/>
            </w:tcBorders>
            <w:vAlign w:val="center"/>
          </w:tcPr>
          <w:p w14:paraId="19EFC81E">
            <w:pPr>
              <w:jc w:val="right"/>
              <w:rPr>
                <w:rFonts w:hint="eastAsia"/>
              </w:rPr>
            </w:pPr>
            <w:r>
              <w:rPr>
                <w:rFonts w:ascii="Arial Narrow" w:hAnsi="Arial Narrow" w:eastAsia="等线"/>
                <w:color w:val="000000"/>
                <w:szCs w:val="21"/>
              </w:rPr>
              <w:t xml:space="preserve">2,920,664,477.47 </w:t>
            </w:r>
          </w:p>
        </w:tc>
        <w:tc>
          <w:tcPr>
            <w:tcW w:w="1142" w:type="pct"/>
            <w:tcBorders>
              <w:top w:val="outset" w:color="auto" w:sz="6" w:space="0"/>
              <w:left w:val="outset" w:color="auto" w:sz="6" w:space="0"/>
              <w:bottom w:val="outset" w:color="auto" w:sz="6" w:space="0"/>
              <w:right w:val="outset" w:color="auto" w:sz="6" w:space="0"/>
            </w:tcBorders>
            <w:vAlign w:val="center"/>
          </w:tcPr>
          <w:p w14:paraId="1EDCD55B">
            <w:pPr>
              <w:jc w:val="right"/>
              <w:rPr>
                <w:rFonts w:hint="eastAsia"/>
              </w:rPr>
            </w:pPr>
            <w:r>
              <w:rPr>
                <w:rFonts w:ascii="Arial Narrow" w:hAnsi="Arial Narrow" w:eastAsia="等线"/>
                <w:color w:val="000000"/>
                <w:szCs w:val="21"/>
              </w:rPr>
              <w:t xml:space="preserve">3,030,808,864.09 </w:t>
            </w:r>
          </w:p>
        </w:tc>
      </w:tr>
      <w:tr w14:paraId="5E4411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FA72B94">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应收款项融资</w:t>
            </w:r>
          </w:p>
        </w:tc>
        <w:tc>
          <w:tcPr>
            <w:tcW w:w="550" w:type="pct"/>
            <w:tcBorders>
              <w:top w:val="outset" w:color="auto" w:sz="6" w:space="0"/>
              <w:left w:val="outset" w:color="auto" w:sz="6" w:space="0"/>
              <w:bottom w:val="outset" w:color="auto" w:sz="6" w:space="0"/>
              <w:right w:val="outset" w:color="auto" w:sz="6" w:space="0"/>
            </w:tcBorders>
            <w:vAlign w:val="center"/>
          </w:tcPr>
          <w:p w14:paraId="1B3F81E4">
            <w:pPr>
              <w:rPr>
                <w:rFonts w:hint="eastAsia"/>
              </w:rPr>
            </w:pPr>
            <w:r>
              <w:t>七、7</w:t>
            </w:r>
          </w:p>
        </w:tc>
        <w:tc>
          <w:tcPr>
            <w:tcW w:w="1139" w:type="pct"/>
            <w:tcBorders>
              <w:top w:val="outset" w:color="auto" w:sz="6" w:space="0"/>
              <w:left w:val="outset" w:color="auto" w:sz="6" w:space="0"/>
              <w:bottom w:val="outset" w:color="auto" w:sz="6" w:space="0"/>
              <w:right w:val="outset" w:color="auto" w:sz="6" w:space="0"/>
            </w:tcBorders>
            <w:vAlign w:val="center"/>
          </w:tcPr>
          <w:p w14:paraId="6E66D959">
            <w:pPr>
              <w:jc w:val="right"/>
              <w:rPr>
                <w:rFonts w:hint="eastAsia"/>
              </w:rPr>
            </w:pPr>
            <w:r>
              <w:rPr>
                <w:rFonts w:ascii="Arial Narrow" w:hAnsi="Arial Narrow" w:eastAsia="等线"/>
                <w:color w:val="000000"/>
                <w:szCs w:val="21"/>
              </w:rPr>
              <w:t xml:space="preserve">20,627,331.54 </w:t>
            </w:r>
          </w:p>
        </w:tc>
        <w:tc>
          <w:tcPr>
            <w:tcW w:w="1142" w:type="pct"/>
            <w:tcBorders>
              <w:top w:val="outset" w:color="auto" w:sz="6" w:space="0"/>
              <w:left w:val="outset" w:color="auto" w:sz="6" w:space="0"/>
              <w:bottom w:val="outset" w:color="auto" w:sz="6" w:space="0"/>
              <w:right w:val="outset" w:color="auto" w:sz="6" w:space="0"/>
            </w:tcBorders>
            <w:vAlign w:val="center"/>
          </w:tcPr>
          <w:p w14:paraId="7AAD1D25">
            <w:pPr>
              <w:jc w:val="right"/>
              <w:rPr>
                <w:rFonts w:hint="eastAsia"/>
              </w:rPr>
            </w:pPr>
            <w:r>
              <w:rPr>
                <w:rFonts w:ascii="Arial Narrow" w:hAnsi="Arial Narrow" w:eastAsia="等线"/>
                <w:color w:val="000000"/>
                <w:szCs w:val="21"/>
              </w:rPr>
              <w:t xml:space="preserve">31,461,490.81 </w:t>
            </w:r>
          </w:p>
        </w:tc>
      </w:tr>
      <w:tr w14:paraId="004C69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45A556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预付款项</w:t>
            </w:r>
          </w:p>
        </w:tc>
        <w:tc>
          <w:tcPr>
            <w:tcW w:w="550" w:type="pct"/>
            <w:tcBorders>
              <w:top w:val="outset" w:color="auto" w:sz="6" w:space="0"/>
              <w:left w:val="outset" w:color="auto" w:sz="6" w:space="0"/>
              <w:bottom w:val="outset" w:color="auto" w:sz="6" w:space="0"/>
              <w:right w:val="outset" w:color="auto" w:sz="6" w:space="0"/>
            </w:tcBorders>
            <w:vAlign w:val="center"/>
          </w:tcPr>
          <w:p w14:paraId="488A401B">
            <w:pPr>
              <w:rPr>
                <w:rFonts w:hint="eastAsia"/>
              </w:rPr>
            </w:pPr>
            <w:r>
              <w:t>七、8</w:t>
            </w:r>
          </w:p>
        </w:tc>
        <w:tc>
          <w:tcPr>
            <w:tcW w:w="1139" w:type="pct"/>
            <w:tcBorders>
              <w:top w:val="outset" w:color="auto" w:sz="6" w:space="0"/>
              <w:left w:val="outset" w:color="auto" w:sz="6" w:space="0"/>
              <w:bottom w:val="outset" w:color="auto" w:sz="6" w:space="0"/>
              <w:right w:val="outset" w:color="auto" w:sz="6" w:space="0"/>
            </w:tcBorders>
            <w:vAlign w:val="center"/>
          </w:tcPr>
          <w:p w14:paraId="7ACA2BF0">
            <w:pPr>
              <w:jc w:val="right"/>
              <w:rPr>
                <w:rFonts w:hint="eastAsia"/>
              </w:rPr>
            </w:pPr>
            <w:r>
              <w:rPr>
                <w:rFonts w:ascii="Arial Narrow" w:hAnsi="Arial Narrow" w:eastAsia="等线"/>
                <w:color w:val="000000"/>
                <w:szCs w:val="21"/>
              </w:rPr>
              <w:t xml:space="preserve">146,724,980.87 </w:t>
            </w:r>
          </w:p>
        </w:tc>
        <w:tc>
          <w:tcPr>
            <w:tcW w:w="1142" w:type="pct"/>
            <w:tcBorders>
              <w:top w:val="outset" w:color="auto" w:sz="6" w:space="0"/>
              <w:left w:val="outset" w:color="auto" w:sz="6" w:space="0"/>
              <w:bottom w:val="outset" w:color="auto" w:sz="6" w:space="0"/>
              <w:right w:val="outset" w:color="auto" w:sz="6" w:space="0"/>
            </w:tcBorders>
            <w:vAlign w:val="center"/>
          </w:tcPr>
          <w:p w14:paraId="3904981D">
            <w:pPr>
              <w:jc w:val="right"/>
              <w:rPr>
                <w:rFonts w:hint="eastAsia"/>
              </w:rPr>
            </w:pPr>
            <w:r>
              <w:rPr>
                <w:rFonts w:ascii="Arial Narrow" w:hAnsi="Arial Narrow" w:eastAsia="等线"/>
                <w:color w:val="000000"/>
                <w:szCs w:val="21"/>
              </w:rPr>
              <w:t xml:space="preserve">220,582,419.27 </w:t>
            </w:r>
          </w:p>
        </w:tc>
      </w:tr>
      <w:tr w14:paraId="14323B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779015B">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550" w:type="pct"/>
            <w:tcBorders>
              <w:top w:val="outset" w:color="auto" w:sz="6" w:space="0"/>
              <w:left w:val="outset" w:color="auto" w:sz="6" w:space="0"/>
              <w:bottom w:val="outset" w:color="auto" w:sz="6" w:space="0"/>
              <w:right w:val="outset" w:color="auto" w:sz="6" w:space="0"/>
            </w:tcBorders>
            <w:vAlign w:val="center"/>
          </w:tcPr>
          <w:p w14:paraId="1835BBC7">
            <w:pPr>
              <w:rPr>
                <w:rFonts w:hint="eastAsia"/>
              </w:rPr>
            </w:pPr>
            <w:r>
              <w:t>七、9</w:t>
            </w:r>
          </w:p>
        </w:tc>
        <w:tc>
          <w:tcPr>
            <w:tcW w:w="1139" w:type="pct"/>
            <w:tcBorders>
              <w:top w:val="outset" w:color="auto" w:sz="6" w:space="0"/>
              <w:left w:val="outset" w:color="auto" w:sz="6" w:space="0"/>
              <w:bottom w:val="outset" w:color="auto" w:sz="6" w:space="0"/>
              <w:right w:val="outset" w:color="auto" w:sz="6" w:space="0"/>
            </w:tcBorders>
            <w:vAlign w:val="center"/>
          </w:tcPr>
          <w:p w14:paraId="60719237">
            <w:pPr>
              <w:jc w:val="right"/>
              <w:rPr>
                <w:rFonts w:hint="eastAsia"/>
              </w:rPr>
            </w:pPr>
            <w:r>
              <w:rPr>
                <w:rFonts w:ascii="Arial Narrow" w:hAnsi="Arial Narrow" w:eastAsia="等线"/>
                <w:color w:val="000000"/>
                <w:szCs w:val="21"/>
              </w:rPr>
              <w:t xml:space="preserve">644,572,849.98 </w:t>
            </w:r>
          </w:p>
        </w:tc>
        <w:tc>
          <w:tcPr>
            <w:tcW w:w="1142" w:type="pct"/>
            <w:tcBorders>
              <w:top w:val="outset" w:color="auto" w:sz="6" w:space="0"/>
              <w:left w:val="outset" w:color="auto" w:sz="6" w:space="0"/>
              <w:bottom w:val="outset" w:color="auto" w:sz="6" w:space="0"/>
              <w:right w:val="outset" w:color="auto" w:sz="6" w:space="0"/>
            </w:tcBorders>
            <w:vAlign w:val="center"/>
          </w:tcPr>
          <w:p w14:paraId="0003286B">
            <w:pPr>
              <w:jc w:val="right"/>
              <w:rPr>
                <w:rFonts w:hint="eastAsia"/>
              </w:rPr>
            </w:pPr>
            <w:r>
              <w:rPr>
                <w:rFonts w:ascii="Arial Narrow" w:hAnsi="Arial Narrow" w:eastAsia="等线"/>
                <w:color w:val="000000"/>
                <w:szCs w:val="21"/>
              </w:rPr>
              <w:t xml:space="preserve">1,276,952,038.37 </w:t>
            </w:r>
          </w:p>
        </w:tc>
      </w:tr>
      <w:tr w14:paraId="487B05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6248B2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其中：应收利息</w:t>
            </w:r>
          </w:p>
        </w:tc>
        <w:tc>
          <w:tcPr>
            <w:tcW w:w="550" w:type="pct"/>
            <w:tcBorders>
              <w:top w:val="outset" w:color="auto" w:sz="6" w:space="0"/>
              <w:left w:val="outset" w:color="auto" w:sz="6" w:space="0"/>
              <w:bottom w:val="outset" w:color="auto" w:sz="6" w:space="0"/>
              <w:right w:val="outset" w:color="auto" w:sz="6" w:space="0"/>
            </w:tcBorders>
            <w:vAlign w:val="center"/>
          </w:tcPr>
          <w:p w14:paraId="22FA945F">
            <w:pPr>
              <w:rPr>
                <w:rFonts w:hint="eastAsia"/>
              </w:rPr>
            </w:pPr>
            <w:r>
              <w:t>七、9</w:t>
            </w:r>
          </w:p>
        </w:tc>
        <w:tc>
          <w:tcPr>
            <w:tcW w:w="1139" w:type="pct"/>
            <w:tcBorders>
              <w:top w:val="outset" w:color="auto" w:sz="6" w:space="0"/>
              <w:left w:val="outset" w:color="auto" w:sz="6" w:space="0"/>
              <w:bottom w:val="outset" w:color="auto" w:sz="6" w:space="0"/>
              <w:right w:val="outset" w:color="auto" w:sz="6" w:space="0"/>
            </w:tcBorders>
            <w:vAlign w:val="center"/>
          </w:tcPr>
          <w:p w14:paraId="021AC9CC">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58BC3CF2">
            <w:pPr>
              <w:jc w:val="right"/>
              <w:rPr>
                <w:rFonts w:hint="eastAsia"/>
              </w:rPr>
            </w:pPr>
          </w:p>
        </w:tc>
      </w:tr>
      <w:tr w14:paraId="0CDFDB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296A98D">
            <w:pPr>
              <w:ind w:firstLine="840" w:firstLineChars="4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550" w:type="pct"/>
            <w:tcBorders>
              <w:top w:val="outset" w:color="auto" w:sz="6" w:space="0"/>
              <w:left w:val="outset" w:color="auto" w:sz="6" w:space="0"/>
              <w:bottom w:val="outset" w:color="auto" w:sz="6" w:space="0"/>
              <w:right w:val="outset" w:color="auto" w:sz="6" w:space="0"/>
            </w:tcBorders>
            <w:vAlign w:val="center"/>
          </w:tcPr>
          <w:p w14:paraId="58F353EC">
            <w:pPr>
              <w:rPr>
                <w:rFonts w:hint="eastAsia"/>
              </w:rPr>
            </w:pPr>
            <w:r>
              <w:t>七、9</w:t>
            </w:r>
          </w:p>
        </w:tc>
        <w:tc>
          <w:tcPr>
            <w:tcW w:w="1139" w:type="pct"/>
            <w:tcBorders>
              <w:top w:val="outset" w:color="auto" w:sz="6" w:space="0"/>
              <w:left w:val="outset" w:color="auto" w:sz="6" w:space="0"/>
              <w:bottom w:val="outset" w:color="auto" w:sz="6" w:space="0"/>
              <w:right w:val="outset" w:color="auto" w:sz="6" w:space="0"/>
            </w:tcBorders>
            <w:vAlign w:val="center"/>
          </w:tcPr>
          <w:p w14:paraId="09E76C70">
            <w:pPr>
              <w:jc w:val="right"/>
              <w:rPr>
                <w:rFonts w:hint="eastAsia"/>
              </w:rPr>
            </w:pPr>
            <w:r>
              <w:rPr>
                <w:rFonts w:ascii="Arial Narrow" w:hAnsi="Arial Narrow" w:eastAsia="等线"/>
                <w:color w:val="000000"/>
                <w:szCs w:val="21"/>
              </w:rPr>
              <w:t xml:space="preserve">52,107,547.75 </w:t>
            </w:r>
          </w:p>
        </w:tc>
        <w:tc>
          <w:tcPr>
            <w:tcW w:w="1142" w:type="pct"/>
            <w:tcBorders>
              <w:top w:val="outset" w:color="auto" w:sz="6" w:space="0"/>
              <w:left w:val="outset" w:color="auto" w:sz="6" w:space="0"/>
              <w:bottom w:val="outset" w:color="auto" w:sz="6" w:space="0"/>
              <w:right w:val="outset" w:color="auto" w:sz="6" w:space="0"/>
            </w:tcBorders>
            <w:vAlign w:val="center"/>
          </w:tcPr>
          <w:p w14:paraId="0E37C727">
            <w:pPr>
              <w:jc w:val="right"/>
              <w:rPr>
                <w:rFonts w:hint="eastAsia"/>
              </w:rPr>
            </w:pPr>
            <w:r>
              <w:rPr>
                <w:rFonts w:ascii="Arial Narrow" w:hAnsi="Arial Narrow" w:eastAsia="等线"/>
                <w:color w:val="000000"/>
                <w:szCs w:val="21"/>
              </w:rPr>
              <w:t xml:space="preserve">55,225,500.00 </w:t>
            </w:r>
          </w:p>
        </w:tc>
      </w:tr>
      <w:tr w14:paraId="24E3C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80753E7">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存货</w:t>
            </w:r>
          </w:p>
        </w:tc>
        <w:tc>
          <w:tcPr>
            <w:tcW w:w="550" w:type="pct"/>
            <w:tcBorders>
              <w:top w:val="outset" w:color="auto" w:sz="6" w:space="0"/>
              <w:left w:val="outset" w:color="auto" w:sz="6" w:space="0"/>
              <w:bottom w:val="outset" w:color="auto" w:sz="6" w:space="0"/>
              <w:right w:val="outset" w:color="auto" w:sz="6" w:space="0"/>
            </w:tcBorders>
            <w:vAlign w:val="center"/>
          </w:tcPr>
          <w:p w14:paraId="7C2ABCA6">
            <w:pPr>
              <w:rPr>
                <w:rFonts w:hint="eastAsia"/>
              </w:rPr>
            </w:pPr>
            <w:r>
              <w:t>七、10</w:t>
            </w:r>
          </w:p>
        </w:tc>
        <w:tc>
          <w:tcPr>
            <w:tcW w:w="1139" w:type="pct"/>
            <w:tcBorders>
              <w:top w:val="outset" w:color="auto" w:sz="6" w:space="0"/>
              <w:left w:val="outset" w:color="auto" w:sz="6" w:space="0"/>
              <w:bottom w:val="outset" w:color="auto" w:sz="6" w:space="0"/>
              <w:right w:val="outset" w:color="auto" w:sz="6" w:space="0"/>
            </w:tcBorders>
            <w:vAlign w:val="center"/>
          </w:tcPr>
          <w:p w14:paraId="0E94368D">
            <w:pPr>
              <w:jc w:val="right"/>
              <w:rPr>
                <w:rFonts w:hint="eastAsia"/>
              </w:rPr>
            </w:pPr>
            <w:r>
              <w:rPr>
                <w:rFonts w:ascii="Arial Narrow" w:hAnsi="Arial Narrow" w:eastAsia="等线"/>
                <w:color w:val="000000"/>
                <w:szCs w:val="21"/>
              </w:rPr>
              <w:t xml:space="preserve">2,623,357,182.30 </w:t>
            </w:r>
          </w:p>
        </w:tc>
        <w:tc>
          <w:tcPr>
            <w:tcW w:w="1142" w:type="pct"/>
            <w:tcBorders>
              <w:top w:val="outset" w:color="auto" w:sz="6" w:space="0"/>
              <w:left w:val="outset" w:color="auto" w:sz="6" w:space="0"/>
              <w:bottom w:val="outset" w:color="auto" w:sz="6" w:space="0"/>
              <w:right w:val="outset" w:color="auto" w:sz="6" w:space="0"/>
            </w:tcBorders>
            <w:vAlign w:val="center"/>
          </w:tcPr>
          <w:p w14:paraId="66FD77A4">
            <w:pPr>
              <w:jc w:val="right"/>
              <w:rPr>
                <w:rFonts w:hint="eastAsia"/>
              </w:rPr>
            </w:pPr>
            <w:r>
              <w:rPr>
                <w:rFonts w:ascii="Arial Narrow" w:hAnsi="Arial Narrow" w:eastAsia="等线"/>
                <w:color w:val="000000"/>
                <w:szCs w:val="21"/>
              </w:rPr>
              <w:t xml:space="preserve">4,133,652,350.69 </w:t>
            </w:r>
          </w:p>
        </w:tc>
      </w:tr>
      <w:tr w14:paraId="475098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F677553">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其他流动资产</w:t>
            </w:r>
          </w:p>
        </w:tc>
        <w:tc>
          <w:tcPr>
            <w:tcW w:w="550" w:type="pct"/>
            <w:tcBorders>
              <w:top w:val="outset" w:color="auto" w:sz="6" w:space="0"/>
              <w:left w:val="outset" w:color="auto" w:sz="6" w:space="0"/>
              <w:bottom w:val="outset" w:color="auto" w:sz="6" w:space="0"/>
              <w:right w:val="outset" w:color="auto" w:sz="6" w:space="0"/>
            </w:tcBorders>
            <w:vAlign w:val="center"/>
          </w:tcPr>
          <w:p w14:paraId="2F0CC12D">
            <w:pPr>
              <w:rPr>
                <w:rFonts w:hint="eastAsia"/>
              </w:rPr>
            </w:pPr>
            <w:r>
              <w:t>七、13</w:t>
            </w:r>
          </w:p>
        </w:tc>
        <w:tc>
          <w:tcPr>
            <w:tcW w:w="1139" w:type="pct"/>
            <w:tcBorders>
              <w:top w:val="outset" w:color="auto" w:sz="6" w:space="0"/>
              <w:left w:val="outset" w:color="auto" w:sz="6" w:space="0"/>
              <w:bottom w:val="outset" w:color="auto" w:sz="6" w:space="0"/>
              <w:right w:val="outset" w:color="auto" w:sz="6" w:space="0"/>
            </w:tcBorders>
            <w:vAlign w:val="center"/>
          </w:tcPr>
          <w:p w14:paraId="175BB4E4">
            <w:pPr>
              <w:jc w:val="right"/>
              <w:rPr>
                <w:rFonts w:hint="eastAsia"/>
              </w:rPr>
            </w:pPr>
            <w:r>
              <w:rPr>
                <w:rFonts w:ascii="Arial Narrow" w:hAnsi="Arial Narrow" w:eastAsia="等线"/>
                <w:color w:val="000000"/>
                <w:szCs w:val="21"/>
              </w:rPr>
              <w:t xml:space="preserve">294,835,546.41 </w:t>
            </w:r>
          </w:p>
        </w:tc>
        <w:tc>
          <w:tcPr>
            <w:tcW w:w="1142" w:type="pct"/>
            <w:tcBorders>
              <w:top w:val="outset" w:color="auto" w:sz="6" w:space="0"/>
              <w:left w:val="outset" w:color="auto" w:sz="6" w:space="0"/>
              <w:bottom w:val="outset" w:color="auto" w:sz="6" w:space="0"/>
              <w:right w:val="outset" w:color="auto" w:sz="6" w:space="0"/>
            </w:tcBorders>
            <w:vAlign w:val="center"/>
          </w:tcPr>
          <w:p w14:paraId="343744A1">
            <w:pPr>
              <w:jc w:val="right"/>
              <w:rPr>
                <w:rFonts w:hint="eastAsia"/>
              </w:rPr>
            </w:pPr>
            <w:r>
              <w:rPr>
                <w:rFonts w:ascii="Arial Narrow" w:hAnsi="Arial Narrow" w:eastAsia="等线"/>
                <w:color w:val="000000"/>
                <w:szCs w:val="21"/>
              </w:rPr>
              <w:t xml:space="preserve">256,442,670.00 </w:t>
            </w:r>
          </w:p>
        </w:tc>
      </w:tr>
      <w:tr w14:paraId="1B6790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9E404B9">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流动资产合计</w:t>
            </w:r>
          </w:p>
        </w:tc>
        <w:tc>
          <w:tcPr>
            <w:tcW w:w="550" w:type="pct"/>
            <w:tcBorders>
              <w:top w:val="outset" w:color="auto" w:sz="6" w:space="0"/>
              <w:left w:val="outset" w:color="auto" w:sz="6" w:space="0"/>
              <w:bottom w:val="outset" w:color="auto" w:sz="6" w:space="0"/>
              <w:right w:val="outset" w:color="auto" w:sz="6" w:space="0"/>
            </w:tcBorders>
          </w:tcPr>
          <w:p w14:paraId="3B962D69">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0B58E6E5">
            <w:pPr>
              <w:jc w:val="right"/>
              <w:rPr>
                <w:rFonts w:hint="eastAsia"/>
              </w:rPr>
            </w:pPr>
            <w:r>
              <w:rPr>
                <w:rFonts w:ascii="Arial Narrow" w:hAnsi="Arial Narrow" w:eastAsia="等线"/>
                <w:color w:val="000000"/>
                <w:szCs w:val="21"/>
              </w:rPr>
              <w:t xml:space="preserve">12,322,601,601.23 </w:t>
            </w:r>
          </w:p>
        </w:tc>
        <w:tc>
          <w:tcPr>
            <w:tcW w:w="1142" w:type="pct"/>
            <w:tcBorders>
              <w:top w:val="outset" w:color="auto" w:sz="6" w:space="0"/>
              <w:left w:val="outset" w:color="auto" w:sz="6" w:space="0"/>
              <w:bottom w:val="outset" w:color="auto" w:sz="6" w:space="0"/>
              <w:right w:val="outset" w:color="auto" w:sz="6" w:space="0"/>
            </w:tcBorders>
            <w:vAlign w:val="center"/>
          </w:tcPr>
          <w:p w14:paraId="6C9E992F">
            <w:pPr>
              <w:jc w:val="right"/>
              <w:rPr>
                <w:rFonts w:hint="eastAsia"/>
              </w:rPr>
            </w:pPr>
            <w:r>
              <w:rPr>
                <w:rFonts w:ascii="Arial Narrow" w:hAnsi="Arial Narrow" w:eastAsia="等线"/>
                <w:color w:val="000000"/>
                <w:szCs w:val="21"/>
              </w:rPr>
              <w:t xml:space="preserve">15,801,869,939.43 </w:t>
            </w:r>
          </w:p>
        </w:tc>
      </w:tr>
      <w:tr w14:paraId="5DBED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b01add84ac3492abc16500182326d8e"/>
            <w:id w:val="-131099509"/>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6F20F0B2">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非流动资产：</w:t>
                </w:r>
              </w:p>
            </w:tc>
          </w:sdtContent>
        </w:sdt>
      </w:tr>
      <w:tr w14:paraId="7885BA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7BE33AE">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长期应收款</w:t>
            </w:r>
          </w:p>
        </w:tc>
        <w:tc>
          <w:tcPr>
            <w:tcW w:w="550" w:type="pct"/>
            <w:tcBorders>
              <w:top w:val="outset" w:color="auto" w:sz="6" w:space="0"/>
              <w:left w:val="outset" w:color="auto" w:sz="6" w:space="0"/>
              <w:bottom w:val="outset" w:color="auto" w:sz="6" w:space="0"/>
              <w:right w:val="outset" w:color="auto" w:sz="6" w:space="0"/>
            </w:tcBorders>
            <w:vAlign w:val="center"/>
          </w:tcPr>
          <w:p w14:paraId="36D17506">
            <w:pPr>
              <w:rPr>
                <w:rFonts w:hint="eastAsia"/>
              </w:rPr>
            </w:pPr>
            <w:r>
              <w:t>七、16</w:t>
            </w:r>
          </w:p>
        </w:tc>
        <w:tc>
          <w:tcPr>
            <w:tcW w:w="1139" w:type="pct"/>
            <w:tcBorders>
              <w:top w:val="outset" w:color="auto" w:sz="6" w:space="0"/>
              <w:left w:val="outset" w:color="auto" w:sz="6" w:space="0"/>
              <w:bottom w:val="outset" w:color="auto" w:sz="6" w:space="0"/>
              <w:right w:val="outset" w:color="auto" w:sz="6" w:space="0"/>
            </w:tcBorders>
            <w:vAlign w:val="center"/>
          </w:tcPr>
          <w:p w14:paraId="1C8346B7">
            <w:pPr>
              <w:jc w:val="right"/>
              <w:rPr>
                <w:rFonts w:hint="eastAsia"/>
              </w:rPr>
            </w:pPr>
            <w:r>
              <w:rPr>
                <w:rFonts w:ascii="Arial Narrow" w:hAnsi="Arial Narrow" w:eastAsia="等线"/>
                <w:color w:val="000000"/>
                <w:szCs w:val="21"/>
              </w:rPr>
              <w:t xml:space="preserve">744,009,760.14 </w:t>
            </w:r>
          </w:p>
        </w:tc>
        <w:tc>
          <w:tcPr>
            <w:tcW w:w="1142" w:type="pct"/>
            <w:tcBorders>
              <w:top w:val="outset" w:color="auto" w:sz="6" w:space="0"/>
              <w:left w:val="outset" w:color="auto" w:sz="6" w:space="0"/>
              <w:bottom w:val="outset" w:color="auto" w:sz="6" w:space="0"/>
              <w:right w:val="outset" w:color="auto" w:sz="6" w:space="0"/>
            </w:tcBorders>
            <w:vAlign w:val="center"/>
          </w:tcPr>
          <w:p w14:paraId="733CA4A8">
            <w:pPr>
              <w:jc w:val="right"/>
              <w:rPr>
                <w:rFonts w:hint="eastAsia"/>
              </w:rPr>
            </w:pPr>
            <w:r>
              <w:rPr>
                <w:rFonts w:ascii="Arial Narrow" w:hAnsi="Arial Narrow" w:eastAsia="等线"/>
                <w:color w:val="000000"/>
                <w:szCs w:val="21"/>
              </w:rPr>
              <w:t xml:space="preserve">627,439,753.39 </w:t>
            </w:r>
          </w:p>
        </w:tc>
      </w:tr>
      <w:tr w14:paraId="53D98B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D50382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w:t>
            </w:r>
          </w:p>
        </w:tc>
        <w:tc>
          <w:tcPr>
            <w:tcW w:w="550" w:type="pct"/>
            <w:tcBorders>
              <w:top w:val="outset" w:color="auto" w:sz="6" w:space="0"/>
              <w:left w:val="outset" w:color="auto" w:sz="6" w:space="0"/>
              <w:bottom w:val="outset" w:color="auto" w:sz="6" w:space="0"/>
              <w:right w:val="outset" w:color="auto" w:sz="6" w:space="0"/>
            </w:tcBorders>
            <w:vAlign w:val="center"/>
          </w:tcPr>
          <w:p w14:paraId="498836C5">
            <w:pPr>
              <w:rPr>
                <w:rFonts w:hint="eastAsia"/>
              </w:rPr>
            </w:pPr>
            <w:r>
              <w:t>七、17</w:t>
            </w:r>
          </w:p>
        </w:tc>
        <w:tc>
          <w:tcPr>
            <w:tcW w:w="1139" w:type="pct"/>
            <w:tcBorders>
              <w:top w:val="outset" w:color="auto" w:sz="6" w:space="0"/>
              <w:left w:val="outset" w:color="auto" w:sz="6" w:space="0"/>
              <w:bottom w:val="outset" w:color="auto" w:sz="6" w:space="0"/>
              <w:right w:val="outset" w:color="auto" w:sz="6" w:space="0"/>
            </w:tcBorders>
            <w:vAlign w:val="center"/>
          </w:tcPr>
          <w:p w14:paraId="09A9F94A">
            <w:pPr>
              <w:jc w:val="right"/>
              <w:rPr>
                <w:rFonts w:hint="eastAsia"/>
              </w:rPr>
            </w:pPr>
            <w:r>
              <w:rPr>
                <w:rFonts w:ascii="Arial Narrow" w:hAnsi="Arial Narrow" w:eastAsia="等线"/>
                <w:color w:val="000000"/>
                <w:szCs w:val="21"/>
              </w:rPr>
              <w:t xml:space="preserve">48,009,657.16 </w:t>
            </w:r>
          </w:p>
        </w:tc>
        <w:tc>
          <w:tcPr>
            <w:tcW w:w="1142" w:type="pct"/>
            <w:tcBorders>
              <w:top w:val="outset" w:color="auto" w:sz="6" w:space="0"/>
              <w:left w:val="outset" w:color="auto" w:sz="6" w:space="0"/>
              <w:bottom w:val="outset" w:color="auto" w:sz="6" w:space="0"/>
              <w:right w:val="outset" w:color="auto" w:sz="6" w:space="0"/>
            </w:tcBorders>
            <w:vAlign w:val="center"/>
          </w:tcPr>
          <w:p w14:paraId="58CD3791">
            <w:pPr>
              <w:jc w:val="right"/>
              <w:rPr>
                <w:rFonts w:hint="eastAsia"/>
              </w:rPr>
            </w:pPr>
            <w:r>
              <w:rPr>
                <w:rFonts w:ascii="Arial Narrow" w:hAnsi="Arial Narrow" w:eastAsia="等线"/>
                <w:color w:val="000000"/>
                <w:szCs w:val="21"/>
              </w:rPr>
              <w:t xml:space="preserve">92,929,557.14 </w:t>
            </w:r>
          </w:p>
        </w:tc>
      </w:tr>
      <w:tr w14:paraId="55B6E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BCB337A">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w:t>
            </w:r>
          </w:p>
        </w:tc>
        <w:tc>
          <w:tcPr>
            <w:tcW w:w="550" w:type="pct"/>
            <w:tcBorders>
              <w:top w:val="outset" w:color="auto" w:sz="6" w:space="0"/>
              <w:left w:val="outset" w:color="auto" w:sz="6" w:space="0"/>
              <w:bottom w:val="outset" w:color="auto" w:sz="6" w:space="0"/>
              <w:right w:val="outset" w:color="auto" w:sz="6" w:space="0"/>
            </w:tcBorders>
            <w:vAlign w:val="center"/>
          </w:tcPr>
          <w:p w14:paraId="1D82C350">
            <w:pPr>
              <w:rPr>
                <w:rFonts w:hint="eastAsia"/>
              </w:rPr>
            </w:pPr>
            <w:r>
              <w:t>七、18</w:t>
            </w:r>
          </w:p>
        </w:tc>
        <w:tc>
          <w:tcPr>
            <w:tcW w:w="1139" w:type="pct"/>
            <w:tcBorders>
              <w:top w:val="outset" w:color="auto" w:sz="6" w:space="0"/>
              <w:left w:val="outset" w:color="auto" w:sz="6" w:space="0"/>
              <w:bottom w:val="outset" w:color="auto" w:sz="6" w:space="0"/>
              <w:right w:val="outset" w:color="auto" w:sz="6" w:space="0"/>
            </w:tcBorders>
            <w:vAlign w:val="center"/>
          </w:tcPr>
          <w:p w14:paraId="3C8B8E6F">
            <w:pPr>
              <w:jc w:val="right"/>
              <w:rPr>
                <w:rFonts w:hint="eastAsia"/>
              </w:rPr>
            </w:pPr>
            <w:r>
              <w:rPr>
                <w:rFonts w:ascii="Arial Narrow" w:hAnsi="Arial Narrow" w:eastAsia="等线"/>
                <w:color w:val="000000"/>
                <w:szCs w:val="21"/>
              </w:rPr>
              <w:t xml:space="preserve">519,981,620.71 </w:t>
            </w:r>
          </w:p>
        </w:tc>
        <w:tc>
          <w:tcPr>
            <w:tcW w:w="1142" w:type="pct"/>
            <w:tcBorders>
              <w:top w:val="outset" w:color="auto" w:sz="6" w:space="0"/>
              <w:left w:val="outset" w:color="auto" w:sz="6" w:space="0"/>
              <w:bottom w:val="outset" w:color="auto" w:sz="6" w:space="0"/>
              <w:right w:val="outset" w:color="auto" w:sz="6" w:space="0"/>
            </w:tcBorders>
            <w:vAlign w:val="center"/>
          </w:tcPr>
          <w:p w14:paraId="50E3FEE8">
            <w:pPr>
              <w:jc w:val="right"/>
              <w:rPr>
                <w:rFonts w:hint="eastAsia"/>
              </w:rPr>
            </w:pPr>
            <w:r>
              <w:rPr>
                <w:rFonts w:ascii="Arial Narrow" w:hAnsi="Arial Narrow" w:eastAsia="等线"/>
                <w:color w:val="000000"/>
                <w:szCs w:val="21"/>
              </w:rPr>
              <w:t xml:space="preserve">631,717,159.26 </w:t>
            </w:r>
          </w:p>
        </w:tc>
      </w:tr>
      <w:tr w14:paraId="7F6D0E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284079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w:t>
            </w:r>
          </w:p>
        </w:tc>
        <w:tc>
          <w:tcPr>
            <w:tcW w:w="550" w:type="pct"/>
            <w:tcBorders>
              <w:top w:val="outset" w:color="auto" w:sz="6" w:space="0"/>
              <w:left w:val="outset" w:color="auto" w:sz="6" w:space="0"/>
              <w:bottom w:val="outset" w:color="auto" w:sz="6" w:space="0"/>
              <w:right w:val="outset" w:color="auto" w:sz="6" w:space="0"/>
            </w:tcBorders>
            <w:vAlign w:val="center"/>
          </w:tcPr>
          <w:p w14:paraId="2E24EECC">
            <w:pPr>
              <w:rPr>
                <w:rFonts w:hint="eastAsia"/>
              </w:rPr>
            </w:pPr>
            <w:r>
              <w:t>七、20</w:t>
            </w:r>
          </w:p>
        </w:tc>
        <w:tc>
          <w:tcPr>
            <w:tcW w:w="1139" w:type="pct"/>
            <w:tcBorders>
              <w:top w:val="outset" w:color="auto" w:sz="6" w:space="0"/>
              <w:left w:val="outset" w:color="auto" w:sz="6" w:space="0"/>
              <w:bottom w:val="outset" w:color="auto" w:sz="6" w:space="0"/>
              <w:right w:val="outset" w:color="auto" w:sz="6" w:space="0"/>
            </w:tcBorders>
            <w:vAlign w:val="center"/>
          </w:tcPr>
          <w:p w14:paraId="59E9DD00">
            <w:pPr>
              <w:jc w:val="right"/>
              <w:rPr>
                <w:rFonts w:hint="eastAsia"/>
              </w:rPr>
            </w:pPr>
            <w:r>
              <w:rPr>
                <w:rFonts w:ascii="Arial Narrow" w:hAnsi="Arial Narrow" w:eastAsia="等线"/>
                <w:color w:val="000000"/>
                <w:szCs w:val="21"/>
              </w:rPr>
              <w:t xml:space="preserve">660,652,004.72 </w:t>
            </w:r>
          </w:p>
        </w:tc>
        <w:tc>
          <w:tcPr>
            <w:tcW w:w="1142" w:type="pct"/>
            <w:tcBorders>
              <w:top w:val="outset" w:color="auto" w:sz="6" w:space="0"/>
              <w:left w:val="outset" w:color="auto" w:sz="6" w:space="0"/>
              <w:bottom w:val="outset" w:color="auto" w:sz="6" w:space="0"/>
              <w:right w:val="outset" w:color="auto" w:sz="6" w:space="0"/>
            </w:tcBorders>
            <w:vAlign w:val="center"/>
          </w:tcPr>
          <w:p w14:paraId="7BD0417B">
            <w:pPr>
              <w:jc w:val="right"/>
              <w:rPr>
                <w:rFonts w:hint="eastAsia"/>
              </w:rPr>
            </w:pPr>
            <w:r>
              <w:rPr>
                <w:rFonts w:ascii="Arial Narrow" w:hAnsi="Arial Narrow" w:eastAsia="等线"/>
                <w:color w:val="000000"/>
                <w:szCs w:val="21"/>
              </w:rPr>
              <w:t xml:space="preserve">795,321,950.39 </w:t>
            </w:r>
          </w:p>
        </w:tc>
      </w:tr>
      <w:tr w14:paraId="7B4205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5E0D00B">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550" w:type="pct"/>
            <w:tcBorders>
              <w:top w:val="outset" w:color="auto" w:sz="6" w:space="0"/>
              <w:left w:val="outset" w:color="auto" w:sz="6" w:space="0"/>
              <w:bottom w:val="outset" w:color="auto" w:sz="6" w:space="0"/>
              <w:right w:val="outset" w:color="auto" w:sz="6" w:space="0"/>
            </w:tcBorders>
            <w:vAlign w:val="center"/>
          </w:tcPr>
          <w:p w14:paraId="6C99E4AD">
            <w:pPr>
              <w:rPr>
                <w:rFonts w:hint="eastAsia"/>
              </w:rPr>
            </w:pPr>
            <w:r>
              <w:t>七、21</w:t>
            </w:r>
          </w:p>
        </w:tc>
        <w:tc>
          <w:tcPr>
            <w:tcW w:w="1139" w:type="pct"/>
            <w:tcBorders>
              <w:top w:val="outset" w:color="auto" w:sz="6" w:space="0"/>
              <w:left w:val="outset" w:color="auto" w:sz="6" w:space="0"/>
              <w:bottom w:val="outset" w:color="auto" w:sz="6" w:space="0"/>
              <w:right w:val="outset" w:color="auto" w:sz="6" w:space="0"/>
            </w:tcBorders>
            <w:vAlign w:val="center"/>
          </w:tcPr>
          <w:p w14:paraId="66E6A0E7">
            <w:pPr>
              <w:jc w:val="right"/>
              <w:rPr>
                <w:rFonts w:hint="eastAsia"/>
              </w:rPr>
            </w:pPr>
            <w:r>
              <w:rPr>
                <w:rFonts w:ascii="Arial Narrow" w:hAnsi="Arial Narrow" w:eastAsia="等线"/>
                <w:color w:val="000000"/>
                <w:szCs w:val="21"/>
              </w:rPr>
              <w:t xml:space="preserve">4,015,619,946.00 </w:t>
            </w:r>
          </w:p>
        </w:tc>
        <w:tc>
          <w:tcPr>
            <w:tcW w:w="1142" w:type="pct"/>
            <w:tcBorders>
              <w:top w:val="outset" w:color="auto" w:sz="6" w:space="0"/>
              <w:left w:val="outset" w:color="auto" w:sz="6" w:space="0"/>
              <w:bottom w:val="outset" w:color="auto" w:sz="6" w:space="0"/>
              <w:right w:val="outset" w:color="auto" w:sz="6" w:space="0"/>
            </w:tcBorders>
            <w:vAlign w:val="center"/>
          </w:tcPr>
          <w:p w14:paraId="38B7B907">
            <w:pPr>
              <w:jc w:val="right"/>
              <w:rPr>
                <w:rFonts w:hint="eastAsia"/>
              </w:rPr>
            </w:pPr>
            <w:r>
              <w:rPr>
                <w:rFonts w:ascii="Arial Narrow" w:hAnsi="Arial Narrow" w:eastAsia="等线"/>
                <w:color w:val="000000"/>
                <w:szCs w:val="21"/>
              </w:rPr>
              <w:t xml:space="preserve">3,755,523,046.47 </w:t>
            </w:r>
          </w:p>
        </w:tc>
      </w:tr>
      <w:tr w14:paraId="4C220E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EE295A6">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550" w:type="pct"/>
            <w:tcBorders>
              <w:top w:val="outset" w:color="auto" w:sz="6" w:space="0"/>
              <w:left w:val="outset" w:color="auto" w:sz="6" w:space="0"/>
              <w:bottom w:val="outset" w:color="auto" w:sz="6" w:space="0"/>
              <w:right w:val="outset" w:color="auto" w:sz="6" w:space="0"/>
            </w:tcBorders>
            <w:vAlign w:val="center"/>
          </w:tcPr>
          <w:p w14:paraId="4593DC7E">
            <w:pPr>
              <w:rPr>
                <w:rFonts w:hint="eastAsia"/>
              </w:rPr>
            </w:pPr>
            <w:r>
              <w:t>七、22</w:t>
            </w:r>
          </w:p>
        </w:tc>
        <w:tc>
          <w:tcPr>
            <w:tcW w:w="1139" w:type="pct"/>
            <w:tcBorders>
              <w:top w:val="outset" w:color="auto" w:sz="6" w:space="0"/>
              <w:left w:val="outset" w:color="auto" w:sz="6" w:space="0"/>
              <w:bottom w:val="outset" w:color="auto" w:sz="6" w:space="0"/>
              <w:right w:val="outset" w:color="auto" w:sz="6" w:space="0"/>
            </w:tcBorders>
            <w:vAlign w:val="center"/>
          </w:tcPr>
          <w:p w14:paraId="547EA9C9">
            <w:pPr>
              <w:jc w:val="right"/>
              <w:rPr>
                <w:rFonts w:hint="eastAsia"/>
              </w:rPr>
            </w:pPr>
            <w:r>
              <w:rPr>
                <w:rFonts w:ascii="Arial Narrow" w:hAnsi="Arial Narrow" w:eastAsia="等线"/>
                <w:color w:val="000000"/>
                <w:szCs w:val="21"/>
              </w:rPr>
              <w:t xml:space="preserve">275,601,526.58 </w:t>
            </w:r>
          </w:p>
        </w:tc>
        <w:tc>
          <w:tcPr>
            <w:tcW w:w="1142" w:type="pct"/>
            <w:tcBorders>
              <w:top w:val="outset" w:color="auto" w:sz="6" w:space="0"/>
              <w:left w:val="outset" w:color="auto" w:sz="6" w:space="0"/>
              <w:bottom w:val="outset" w:color="auto" w:sz="6" w:space="0"/>
              <w:right w:val="outset" w:color="auto" w:sz="6" w:space="0"/>
            </w:tcBorders>
            <w:vAlign w:val="center"/>
          </w:tcPr>
          <w:p w14:paraId="1A445FF6">
            <w:pPr>
              <w:jc w:val="right"/>
              <w:rPr>
                <w:rFonts w:hint="eastAsia"/>
              </w:rPr>
            </w:pPr>
            <w:r>
              <w:rPr>
                <w:rFonts w:ascii="Arial Narrow" w:hAnsi="Arial Narrow" w:eastAsia="等线"/>
                <w:color w:val="000000"/>
                <w:szCs w:val="21"/>
              </w:rPr>
              <w:t xml:space="preserve">1,427,687,716.18 </w:t>
            </w:r>
          </w:p>
        </w:tc>
      </w:tr>
      <w:tr w14:paraId="10E92E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6F796DA">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使用权资产</w:t>
            </w:r>
          </w:p>
        </w:tc>
        <w:tc>
          <w:tcPr>
            <w:tcW w:w="550" w:type="pct"/>
            <w:tcBorders>
              <w:top w:val="outset" w:color="auto" w:sz="6" w:space="0"/>
              <w:left w:val="outset" w:color="auto" w:sz="6" w:space="0"/>
              <w:bottom w:val="outset" w:color="auto" w:sz="6" w:space="0"/>
              <w:right w:val="outset" w:color="auto" w:sz="6" w:space="0"/>
            </w:tcBorders>
            <w:vAlign w:val="center"/>
          </w:tcPr>
          <w:p w14:paraId="13631552">
            <w:pPr>
              <w:rPr>
                <w:rFonts w:hint="eastAsia"/>
              </w:rPr>
            </w:pPr>
            <w:r>
              <w:t>七、25</w:t>
            </w:r>
          </w:p>
        </w:tc>
        <w:tc>
          <w:tcPr>
            <w:tcW w:w="1139" w:type="pct"/>
            <w:tcBorders>
              <w:top w:val="outset" w:color="auto" w:sz="6" w:space="0"/>
              <w:left w:val="outset" w:color="auto" w:sz="6" w:space="0"/>
              <w:bottom w:val="outset" w:color="auto" w:sz="6" w:space="0"/>
              <w:right w:val="outset" w:color="auto" w:sz="6" w:space="0"/>
            </w:tcBorders>
            <w:vAlign w:val="center"/>
          </w:tcPr>
          <w:p w14:paraId="5B35A276">
            <w:pPr>
              <w:jc w:val="right"/>
              <w:rPr>
                <w:rFonts w:hint="eastAsia"/>
              </w:rPr>
            </w:pPr>
            <w:r>
              <w:rPr>
                <w:rFonts w:ascii="Arial Narrow" w:hAnsi="Arial Narrow" w:eastAsia="等线"/>
                <w:color w:val="000000"/>
                <w:szCs w:val="21"/>
              </w:rPr>
              <w:t xml:space="preserve">10,670,711.29 </w:t>
            </w:r>
          </w:p>
        </w:tc>
        <w:tc>
          <w:tcPr>
            <w:tcW w:w="1142" w:type="pct"/>
            <w:tcBorders>
              <w:top w:val="outset" w:color="auto" w:sz="6" w:space="0"/>
              <w:left w:val="outset" w:color="auto" w:sz="6" w:space="0"/>
              <w:bottom w:val="outset" w:color="auto" w:sz="6" w:space="0"/>
              <w:right w:val="outset" w:color="auto" w:sz="6" w:space="0"/>
            </w:tcBorders>
            <w:vAlign w:val="center"/>
          </w:tcPr>
          <w:p w14:paraId="33A66122">
            <w:pPr>
              <w:jc w:val="right"/>
              <w:rPr>
                <w:rFonts w:hint="eastAsia"/>
              </w:rPr>
            </w:pPr>
            <w:r>
              <w:rPr>
                <w:rFonts w:ascii="Arial Narrow" w:hAnsi="Arial Narrow" w:eastAsia="等线"/>
                <w:color w:val="000000"/>
                <w:szCs w:val="21"/>
              </w:rPr>
              <w:t xml:space="preserve">17,630,043.91 </w:t>
            </w:r>
          </w:p>
        </w:tc>
      </w:tr>
      <w:tr w14:paraId="529AF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C9BFE48">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无形资产</w:t>
            </w:r>
          </w:p>
        </w:tc>
        <w:tc>
          <w:tcPr>
            <w:tcW w:w="550" w:type="pct"/>
            <w:tcBorders>
              <w:top w:val="outset" w:color="auto" w:sz="6" w:space="0"/>
              <w:left w:val="outset" w:color="auto" w:sz="6" w:space="0"/>
              <w:bottom w:val="outset" w:color="auto" w:sz="6" w:space="0"/>
              <w:right w:val="outset" w:color="auto" w:sz="6" w:space="0"/>
            </w:tcBorders>
            <w:vAlign w:val="center"/>
          </w:tcPr>
          <w:p w14:paraId="6776FCE0">
            <w:pPr>
              <w:rPr>
                <w:rFonts w:hint="eastAsia"/>
              </w:rPr>
            </w:pPr>
            <w:r>
              <w:t>七、26</w:t>
            </w:r>
          </w:p>
        </w:tc>
        <w:tc>
          <w:tcPr>
            <w:tcW w:w="1139" w:type="pct"/>
            <w:tcBorders>
              <w:top w:val="outset" w:color="auto" w:sz="6" w:space="0"/>
              <w:left w:val="outset" w:color="auto" w:sz="6" w:space="0"/>
              <w:bottom w:val="outset" w:color="auto" w:sz="6" w:space="0"/>
              <w:right w:val="outset" w:color="auto" w:sz="6" w:space="0"/>
            </w:tcBorders>
            <w:vAlign w:val="center"/>
          </w:tcPr>
          <w:p w14:paraId="5AD00CB8">
            <w:pPr>
              <w:jc w:val="right"/>
              <w:rPr>
                <w:rFonts w:hint="eastAsia"/>
              </w:rPr>
            </w:pPr>
            <w:r>
              <w:rPr>
                <w:rFonts w:ascii="Arial Narrow" w:hAnsi="Arial Narrow" w:eastAsia="等线"/>
                <w:color w:val="000000"/>
                <w:szCs w:val="21"/>
              </w:rPr>
              <w:t xml:space="preserve">1,438,023,671.02 </w:t>
            </w:r>
          </w:p>
        </w:tc>
        <w:tc>
          <w:tcPr>
            <w:tcW w:w="1142" w:type="pct"/>
            <w:tcBorders>
              <w:top w:val="outset" w:color="auto" w:sz="6" w:space="0"/>
              <w:left w:val="outset" w:color="auto" w:sz="6" w:space="0"/>
              <w:bottom w:val="outset" w:color="auto" w:sz="6" w:space="0"/>
              <w:right w:val="outset" w:color="auto" w:sz="6" w:space="0"/>
            </w:tcBorders>
            <w:vAlign w:val="center"/>
          </w:tcPr>
          <w:p w14:paraId="7A84C588">
            <w:pPr>
              <w:jc w:val="right"/>
              <w:rPr>
                <w:rFonts w:hint="eastAsia"/>
              </w:rPr>
            </w:pPr>
            <w:r>
              <w:rPr>
                <w:rFonts w:ascii="Arial Narrow" w:hAnsi="Arial Narrow" w:eastAsia="等线"/>
                <w:color w:val="000000"/>
                <w:szCs w:val="21"/>
              </w:rPr>
              <w:t xml:space="preserve">1,978,932,900.26 </w:t>
            </w:r>
          </w:p>
        </w:tc>
      </w:tr>
      <w:tr w14:paraId="38A35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EB045F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开发支出</w:t>
            </w:r>
          </w:p>
        </w:tc>
        <w:tc>
          <w:tcPr>
            <w:tcW w:w="550" w:type="pct"/>
            <w:tcBorders>
              <w:top w:val="outset" w:color="auto" w:sz="6" w:space="0"/>
              <w:left w:val="outset" w:color="auto" w:sz="6" w:space="0"/>
              <w:bottom w:val="outset" w:color="auto" w:sz="6" w:space="0"/>
              <w:right w:val="outset" w:color="auto" w:sz="6" w:space="0"/>
            </w:tcBorders>
            <w:vAlign w:val="center"/>
          </w:tcPr>
          <w:p w14:paraId="7B79EEF9">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0FD1AE3C">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7A15FD4C">
            <w:pPr>
              <w:jc w:val="right"/>
              <w:rPr>
                <w:rFonts w:hint="eastAsia"/>
              </w:rPr>
            </w:pPr>
          </w:p>
        </w:tc>
      </w:tr>
      <w:tr w14:paraId="559B4F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3B3F7F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商誉</w:t>
            </w:r>
          </w:p>
        </w:tc>
        <w:tc>
          <w:tcPr>
            <w:tcW w:w="550" w:type="pct"/>
            <w:tcBorders>
              <w:top w:val="outset" w:color="auto" w:sz="6" w:space="0"/>
              <w:left w:val="outset" w:color="auto" w:sz="6" w:space="0"/>
              <w:bottom w:val="outset" w:color="auto" w:sz="6" w:space="0"/>
              <w:right w:val="outset" w:color="auto" w:sz="6" w:space="0"/>
            </w:tcBorders>
            <w:vAlign w:val="center"/>
          </w:tcPr>
          <w:p w14:paraId="1A3BDEC0">
            <w:pPr>
              <w:rPr>
                <w:rFonts w:hint="eastAsia"/>
              </w:rPr>
            </w:pPr>
            <w:r>
              <w:t>七、27</w:t>
            </w:r>
          </w:p>
        </w:tc>
        <w:tc>
          <w:tcPr>
            <w:tcW w:w="1139" w:type="pct"/>
            <w:tcBorders>
              <w:top w:val="outset" w:color="auto" w:sz="6" w:space="0"/>
              <w:left w:val="outset" w:color="auto" w:sz="6" w:space="0"/>
              <w:bottom w:val="outset" w:color="auto" w:sz="6" w:space="0"/>
              <w:right w:val="outset" w:color="auto" w:sz="6" w:space="0"/>
            </w:tcBorders>
            <w:vAlign w:val="center"/>
          </w:tcPr>
          <w:p w14:paraId="05DD2B71">
            <w:pPr>
              <w:jc w:val="right"/>
              <w:rPr>
                <w:rFonts w:hint="eastAsia"/>
              </w:rPr>
            </w:pPr>
            <w:r>
              <w:rPr>
                <w:rFonts w:ascii="Arial Narrow" w:hAnsi="Arial Narrow" w:eastAsia="等线"/>
                <w:color w:val="000000"/>
                <w:szCs w:val="21"/>
              </w:rPr>
              <w:t xml:space="preserve">3,019,865.76 </w:t>
            </w:r>
          </w:p>
        </w:tc>
        <w:tc>
          <w:tcPr>
            <w:tcW w:w="1142" w:type="pct"/>
            <w:tcBorders>
              <w:top w:val="outset" w:color="auto" w:sz="6" w:space="0"/>
              <w:left w:val="outset" w:color="auto" w:sz="6" w:space="0"/>
              <w:bottom w:val="outset" w:color="auto" w:sz="6" w:space="0"/>
              <w:right w:val="outset" w:color="auto" w:sz="6" w:space="0"/>
            </w:tcBorders>
            <w:vAlign w:val="center"/>
          </w:tcPr>
          <w:p w14:paraId="10D850AA">
            <w:pPr>
              <w:jc w:val="right"/>
              <w:rPr>
                <w:rFonts w:hint="eastAsia"/>
              </w:rPr>
            </w:pPr>
            <w:r>
              <w:rPr>
                <w:rFonts w:ascii="Arial Narrow" w:hAnsi="Arial Narrow" w:eastAsia="等线"/>
                <w:color w:val="000000"/>
                <w:szCs w:val="21"/>
              </w:rPr>
              <w:t xml:space="preserve">3,019,865.76 </w:t>
            </w:r>
          </w:p>
        </w:tc>
      </w:tr>
      <w:tr w14:paraId="43B1BD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24938C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w:t>
            </w:r>
          </w:p>
        </w:tc>
        <w:tc>
          <w:tcPr>
            <w:tcW w:w="550" w:type="pct"/>
            <w:tcBorders>
              <w:top w:val="outset" w:color="auto" w:sz="6" w:space="0"/>
              <w:left w:val="outset" w:color="auto" w:sz="6" w:space="0"/>
              <w:bottom w:val="outset" w:color="auto" w:sz="6" w:space="0"/>
              <w:right w:val="outset" w:color="auto" w:sz="6" w:space="0"/>
            </w:tcBorders>
            <w:vAlign w:val="center"/>
          </w:tcPr>
          <w:p w14:paraId="0E144433">
            <w:pPr>
              <w:rPr>
                <w:rFonts w:hint="eastAsia"/>
              </w:rPr>
            </w:pPr>
            <w:r>
              <w:t>七、28</w:t>
            </w:r>
          </w:p>
        </w:tc>
        <w:tc>
          <w:tcPr>
            <w:tcW w:w="1139" w:type="pct"/>
            <w:tcBorders>
              <w:top w:val="outset" w:color="auto" w:sz="6" w:space="0"/>
              <w:left w:val="outset" w:color="auto" w:sz="6" w:space="0"/>
              <w:bottom w:val="outset" w:color="auto" w:sz="6" w:space="0"/>
              <w:right w:val="outset" w:color="auto" w:sz="6" w:space="0"/>
            </w:tcBorders>
            <w:vAlign w:val="center"/>
          </w:tcPr>
          <w:p w14:paraId="3A890F73">
            <w:pPr>
              <w:jc w:val="right"/>
              <w:rPr>
                <w:rFonts w:hint="eastAsia"/>
              </w:rPr>
            </w:pPr>
            <w:r>
              <w:rPr>
                <w:rFonts w:ascii="Arial Narrow" w:hAnsi="Arial Narrow" w:eastAsia="等线"/>
                <w:color w:val="000000"/>
                <w:szCs w:val="21"/>
              </w:rPr>
              <w:t xml:space="preserve">35,256,774.83 </w:t>
            </w:r>
          </w:p>
        </w:tc>
        <w:tc>
          <w:tcPr>
            <w:tcW w:w="1142" w:type="pct"/>
            <w:tcBorders>
              <w:top w:val="outset" w:color="auto" w:sz="6" w:space="0"/>
              <w:left w:val="outset" w:color="auto" w:sz="6" w:space="0"/>
              <w:bottom w:val="outset" w:color="auto" w:sz="6" w:space="0"/>
              <w:right w:val="outset" w:color="auto" w:sz="6" w:space="0"/>
            </w:tcBorders>
            <w:vAlign w:val="center"/>
          </w:tcPr>
          <w:p w14:paraId="37228E16">
            <w:pPr>
              <w:jc w:val="right"/>
              <w:rPr>
                <w:rFonts w:hint="eastAsia"/>
              </w:rPr>
            </w:pPr>
            <w:r>
              <w:rPr>
                <w:rFonts w:ascii="Arial Narrow" w:hAnsi="Arial Narrow" w:eastAsia="等线"/>
                <w:color w:val="000000"/>
                <w:szCs w:val="21"/>
              </w:rPr>
              <w:t xml:space="preserve">36,017,193.79 </w:t>
            </w:r>
          </w:p>
        </w:tc>
      </w:tr>
      <w:tr w14:paraId="18338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4C4A8F3">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w:t>
            </w:r>
          </w:p>
        </w:tc>
        <w:tc>
          <w:tcPr>
            <w:tcW w:w="550" w:type="pct"/>
            <w:tcBorders>
              <w:top w:val="outset" w:color="auto" w:sz="6" w:space="0"/>
              <w:left w:val="outset" w:color="auto" w:sz="6" w:space="0"/>
              <w:bottom w:val="outset" w:color="auto" w:sz="6" w:space="0"/>
              <w:right w:val="outset" w:color="auto" w:sz="6" w:space="0"/>
            </w:tcBorders>
            <w:vAlign w:val="center"/>
          </w:tcPr>
          <w:p w14:paraId="5792357D">
            <w:pPr>
              <w:rPr>
                <w:rFonts w:hint="eastAsia"/>
              </w:rPr>
            </w:pPr>
            <w:r>
              <w:t>七、29</w:t>
            </w:r>
          </w:p>
        </w:tc>
        <w:tc>
          <w:tcPr>
            <w:tcW w:w="1139" w:type="pct"/>
            <w:tcBorders>
              <w:top w:val="outset" w:color="auto" w:sz="6" w:space="0"/>
              <w:left w:val="outset" w:color="auto" w:sz="6" w:space="0"/>
              <w:bottom w:val="outset" w:color="auto" w:sz="6" w:space="0"/>
              <w:right w:val="outset" w:color="auto" w:sz="6" w:space="0"/>
            </w:tcBorders>
            <w:vAlign w:val="center"/>
          </w:tcPr>
          <w:p w14:paraId="1F1AD3A1">
            <w:pPr>
              <w:jc w:val="right"/>
              <w:rPr>
                <w:rFonts w:hint="eastAsia"/>
              </w:rPr>
            </w:pPr>
            <w:r>
              <w:rPr>
                <w:rFonts w:ascii="Arial Narrow" w:hAnsi="Arial Narrow" w:eastAsia="等线"/>
                <w:color w:val="000000"/>
                <w:szCs w:val="21"/>
              </w:rPr>
              <w:t xml:space="preserve">301,467,777.49 </w:t>
            </w:r>
          </w:p>
        </w:tc>
        <w:tc>
          <w:tcPr>
            <w:tcW w:w="1142" w:type="pct"/>
            <w:tcBorders>
              <w:top w:val="outset" w:color="auto" w:sz="6" w:space="0"/>
              <w:left w:val="outset" w:color="auto" w:sz="6" w:space="0"/>
              <w:bottom w:val="outset" w:color="auto" w:sz="6" w:space="0"/>
              <w:right w:val="outset" w:color="auto" w:sz="6" w:space="0"/>
            </w:tcBorders>
            <w:vAlign w:val="center"/>
          </w:tcPr>
          <w:p w14:paraId="63358B72">
            <w:pPr>
              <w:jc w:val="right"/>
              <w:rPr>
                <w:rFonts w:hint="eastAsia"/>
              </w:rPr>
            </w:pPr>
            <w:r>
              <w:rPr>
                <w:rFonts w:ascii="Arial Narrow" w:hAnsi="Arial Narrow" w:eastAsia="等线"/>
                <w:color w:val="000000"/>
                <w:szCs w:val="21"/>
              </w:rPr>
              <w:t xml:space="preserve">217,027,529.43 </w:t>
            </w:r>
          </w:p>
        </w:tc>
      </w:tr>
      <w:tr w14:paraId="4C1CDC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C6673C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其他非流动资产</w:t>
            </w:r>
          </w:p>
        </w:tc>
        <w:tc>
          <w:tcPr>
            <w:tcW w:w="550" w:type="pct"/>
            <w:tcBorders>
              <w:top w:val="outset" w:color="auto" w:sz="6" w:space="0"/>
              <w:left w:val="outset" w:color="auto" w:sz="6" w:space="0"/>
              <w:bottom w:val="outset" w:color="auto" w:sz="6" w:space="0"/>
              <w:right w:val="outset" w:color="auto" w:sz="6" w:space="0"/>
            </w:tcBorders>
            <w:vAlign w:val="center"/>
          </w:tcPr>
          <w:p w14:paraId="51738708">
            <w:pPr>
              <w:rPr>
                <w:rFonts w:hint="eastAsia"/>
              </w:rPr>
            </w:pPr>
            <w:r>
              <w:t>七、30</w:t>
            </w:r>
          </w:p>
        </w:tc>
        <w:tc>
          <w:tcPr>
            <w:tcW w:w="1139" w:type="pct"/>
            <w:tcBorders>
              <w:top w:val="outset" w:color="auto" w:sz="6" w:space="0"/>
              <w:left w:val="outset" w:color="auto" w:sz="6" w:space="0"/>
              <w:bottom w:val="outset" w:color="auto" w:sz="6" w:space="0"/>
              <w:right w:val="outset" w:color="auto" w:sz="6" w:space="0"/>
            </w:tcBorders>
            <w:vAlign w:val="center"/>
          </w:tcPr>
          <w:p w14:paraId="58102887">
            <w:pPr>
              <w:jc w:val="right"/>
              <w:rPr>
                <w:rFonts w:hint="eastAsia"/>
              </w:rPr>
            </w:pPr>
            <w:r>
              <w:rPr>
                <w:rFonts w:ascii="Arial Narrow" w:hAnsi="Arial Narrow" w:eastAsia="等线"/>
                <w:color w:val="000000"/>
                <w:szCs w:val="21"/>
              </w:rPr>
              <w:t xml:space="preserve">797,950,177.14 </w:t>
            </w:r>
          </w:p>
        </w:tc>
        <w:tc>
          <w:tcPr>
            <w:tcW w:w="1142" w:type="pct"/>
            <w:tcBorders>
              <w:top w:val="outset" w:color="auto" w:sz="6" w:space="0"/>
              <w:left w:val="outset" w:color="auto" w:sz="6" w:space="0"/>
              <w:bottom w:val="outset" w:color="auto" w:sz="6" w:space="0"/>
              <w:right w:val="outset" w:color="auto" w:sz="6" w:space="0"/>
            </w:tcBorders>
            <w:vAlign w:val="center"/>
          </w:tcPr>
          <w:p w14:paraId="7EEFAF16">
            <w:pPr>
              <w:jc w:val="right"/>
              <w:rPr>
                <w:rFonts w:hint="eastAsia"/>
              </w:rPr>
            </w:pPr>
            <w:r>
              <w:rPr>
                <w:rFonts w:ascii="Arial Narrow" w:hAnsi="Arial Narrow" w:eastAsia="等线"/>
                <w:color w:val="000000"/>
                <w:szCs w:val="21"/>
              </w:rPr>
              <w:t xml:space="preserve">1,049,924,617.12 </w:t>
            </w:r>
          </w:p>
        </w:tc>
      </w:tr>
      <w:tr w14:paraId="356E3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A3E17D4">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非流动资产合计</w:t>
            </w:r>
          </w:p>
        </w:tc>
        <w:tc>
          <w:tcPr>
            <w:tcW w:w="550" w:type="pct"/>
            <w:tcBorders>
              <w:top w:val="outset" w:color="auto" w:sz="6" w:space="0"/>
              <w:left w:val="outset" w:color="auto" w:sz="6" w:space="0"/>
              <w:bottom w:val="outset" w:color="auto" w:sz="6" w:space="0"/>
              <w:right w:val="outset" w:color="auto" w:sz="6" w:space="0"/>
            </w:tcBorders>
          </w:tcPr>
          <w:p w14:paraId="0B24DD29">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204529C4">
            <w:pPr>
              <w:jc w:val="right"/>
              <w:rPr>
                <w:rFonts w:hint="eastAsia"/>
              </w:rPr>
            </w:pPr>
            <w:r>
              <w:rPr>
                <w:rFonts w:ascii="Arial Narrow" w:hAnsi="Arial Narrow" w:eastAsia="等线"/>
                <w:color w:val="000000"/>
                <w:szCs w:val="21"/>
              </w:rPr>
              <w:t xml:space="preserve">8,850,263,492.84 </w:t>
            </w:r>
          </w:p>
        </w:tc>
        <w:tc>
          <w:tcPr>
            <w:tcW w:w="1142" w:type="pct"/>
            <w:tcBorders>
              <w:top w:val="outset" w:color="auto" w:sz="6" w:space="0"/>
              <w:left w:val="outset" w:color="auto" w:sz="6" w:space="0"/>
              <w:bottom w:val="outset" w:color="auto" w:sz="6" w:space="0"/>
              <w:right w:val="outset" w:color="auto" w:sz="6" w:space="0"/>
            </w:tcBorders>
            <w:vAlign w:val="center"/>
          </w:tcPr>
          <w:p w14:paraId="185FFCB4">
            <w:pPr>
              <w:jc w:val="right"/>
              <w:rPr>
                <w:rFonts w:hint="eastAsia"/>
              </w:rPr>
            </w:pPr>
            <w:r>
              <w:rPr>
                <w:rFonts w:ascii="Arial Narrow" w:hAnsi="Arial Narrow" w:eastAsia="等线"/>
                <w:color w:val="000000"/>
                <w:szCs w:val="21"/>
              </w:rPr>
              <w:t xml:space="preserve">10,633,171,333.10 </w:t>
            </w:r>
          </w:p>
        </w:tc>
      </w:tr>
      <w:tr w14:paraId="1249A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049312A">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资产总计</w:t>
            </w:r>
          </w:p>
        </w:tc>
        <w:tc>
          <w:tcPr>
            <w:tcW w:w="550" w:type="pct"/>
            <w:tcBorders>
              <w:top w:val="outset" w:color="auto" w:sz="6" w:space="0"/>
              <w:left w:val="outset" w:color="auto" w:sz="6" w:space="0"/>
              <w:bottom w:val="outset" w:color="auto" w:sz="6" w:space="0"/>
              <w:right w:val="outset" w:color="auto" w:sz="6" w:space="0"/>
            </w:tcBorders>
          </w:tcPr>
          <w:p w14:paraId="72EFFF95">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7C2CE379">
            <w:pPr>
              <w:jc w:val="right"/>
              <w:rPr>
                <w:rFonts w:hint="eastAsia"/>
              </w:rPr>
            </w:pPr>
            <w:r>
              <w:rPr>
                <w:rFonts w:ascii="Arial Narrow" w:hAnsi="Arial Narrow" w:eastAsia="等线"/>
                <w:color w:val="000000"/>
                <w:szCs w:val="21"/>
              </w:rPr>
              <w:t xml:space="preserve">21,172,865,094.07 </w:t>
            </w:r>
          </w:p>
        </w:tc>
        <w:tc>
          <w:tcPr>
            <w:tcW w:w="1142" w:type="pct"/>
            <w:tcBorders>
              <w:top w:val="outset" w:color="auto" w:sz="6" w:space="0"/>
              <w:left w:val="outset" w:color="auto" w:sz="6" w:space="0"/>
              <w:bottom w:val="outset" w:color="auto" w:sz="6" w:space="0"/>
              <w:right w:val="outset" w:color="auto" w:sz="6" w:space="0"/>
            </w:tcBorders>
            <w:vAlign w:val="center"/>
          </w:tcPr>
          <w:p w14:paraId="611F8BF8">
            <w:pPr>
              <w:jc w:val="right"/>
              <w:rPr>
                <w:rFonts w:hint="eastAsia"/>
              </w:rPr>
            </w:pPr>
            <w:r>
              <w:rPr>
                <w:rFonts w:ascii="Arial Narrow" w:hAnsi="Arial Narrow" w:eastAsia="等线"/>
                <w:color w:val="000000"/>
                <w:szCs w:val="21"/>
              </w:rPr>
              <w:t xml:space="preserve">26,435,041,272.53 </w:t>
            </w:r>
          </w:p>
        </w:tc>
      </w:tr>
      <w:tr w14:paraId="3E0D87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11fdd3766f04bf1851e3afed0dd2f74"/>
            <w:id w:val="-270317290"/>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2DE8262E">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流动负债：</w:t>
                </w:r>
              </w:p>
            </w:tc>
          </w:sdtContent>
        </w:sdt>
      </w:tr>
      <w:tr w14:paraId="6D975F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818176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短期借款</w:t>
            </w:r>
          </w:p>
        </w:tc>
        <w:tc>
          <w:tcPr>
            <w:tcW w:w="550" w:type="pct"/>
            <w:tcBorders>
              <w:top w:val="outset" w:color="auto" w:sz="6" w:space="0"/>
              <w:left w:val="outset" w:color="auto" w:sz="6" w:space="0"/>
              <w:bottom w:val="outset" w:color="auto" w:sz="6" w:space="0"/>
              <w:right w:val="outset" w:color="auto" w:sz="6" w:space="0"/>
            </w:tcBorders>
            <w:vAlign w:val="center"/>
          </w:tcPr>
          <w:p w14:paraId="3F47B3CC">
            <w:pPr>
              <w:rPr>
                <w:rFonts w:hint="eastAsia"/>
              </w:rPr>
            </w:pPr>
            <w:r>
              <w:t>七、32</w:t>
            </w:r>
          </w:p>
        </w:tc>
        <w:tc>
          <w:tcPr>
            <w:tcW w:w="1139" w:type="pct"/>
            <w:tcBorders>
              <w:top w:val="outset" w:color="auto" w:sz="6" w:space="0"/>
              <w:left w:val="outset" w:color="auto" w:sz="6" w:space="0"/>
              <w:bottom w:val="outset" w:color="auto" w:sz="6" w:space="0"/>
              <w:right w:val="outset" w:color="auto" w:sz="6" w:space="0"/>
            </w:tcBorders>
            <w:vAlign w:val="center"/>
          </w:tcPr>
          <w:p w14:paraId="3CC974F9">
            <w:pPr>
              <w:jc w:val="right"/>
              <w:rPr>
                <w:rFonts w:hint="eastAsia"/>
              </w:rPr>
            </w:pPr>
            <w:r>
              <w:rPr>
                <w:rFonts w:ascii="Arial Narrow" w:hAnsi="Arial Narrow" w:eastAsia="等线"/>
                <w:color w:val="000000"/>
                <w:szCs w:val="21"/>
              </w:rPr>
              <w:t xml:space="preserve">440,186,330.50 </w:t>
            </w:r>
          </w:p>
        </w:tc>
        <w:tc>
          <w:tcPr>
            <w:tcW w:w="1142" w:type="pct"/>
            <w:tcBorders>
              <w:top w:val="outset" w:color="auto" w:sz="6" w:space="0"/>
              <w:left w:val="outset" w:color="auto" w:sz="6" w:space="0"/>
              <w:bottom w:val="outset" w:color="auto" w:sz="6" w:space="0"/>
              <w:right w:val="outset" w:color="auto" w:sz="6" w:space="0"/>
            </w:tcBorders>
            <w:vAlign w:val="center"/>
          </w:tcPr>
          <w:p w14:paraId="17994276">
            <w:pPr>
              <w:jc w:val="right"/>
              <w:rPr>
                <w:rFonts w:hint="eastAsia"/>
              </w:rPr>
            </w:pPr>
            <w:r>
              <w:rPr>
                <w:rFonts w:ascii="Arial Narrow" w:hAnsi="Arial Narrow" w:eastAsia="等线"/>
                <w:color w:val="000000"/>
                <w:szCs w:val="21"/>
              </w:rPr>
              <w:t xml:space="preserve">394,683,439.41 </w:t>
            </w:r>
          </w:p>
        </w:tc>
      </w:tr>
      <w:tr w14:paraId="7CB7AA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6648FCA">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应付票据</w:t>
            </w:r>
          </w:p>
        </w:tc>
        <w:tc>
          <w:tcPr>
            <w:tcW w:w="550" w:type="pct"/>
            <w:tcBorders>
              <w:top w:val="outset" w:color="auto" w:sz="6" w:space="0"/>
              <w:left w:val="outset" w:color="auto" w:sz="6" w:space="0"/>
              <w:bottom w:val="outset" w:color="auto" w:sz="6" w:space="0"/>
              <w:right w:val="outset" w:color="auto" w:sz="6" w:space="0"/>
            </w:tcBorders>
            <w:vAlign w:val="center"/>
          </w:tcPr>
          <w:p w14:paraId="1AED166C">
            <w:pPr>
              <w:rPr>
                <w:rFonts w:hint="eastAsia"/>
              </w:rPr>
            </w:pPr>
            <w:r>
              <w:t>七、35</w:t>
            </w:r>
          </w:p>
        </w:tc>
        <w:tc>
          <w:tcPr>
            <w:tcW w:w="1139" w:type="pct"/>
            <w:tcBorders>
              <w:top w:val="outset" w:color="auto" w:sz="6" w:space="0"/>
              <w:left w:val="outset" w:color="auto" w:sz="6" w:space="0"/>
              <w:bottom w:val="outset" w:color="auto" w:sz="6" w:space="0"/>
              <w:right w:val="outset" w:color="auto" w:sz="6" w:space="0"/>
            </w:tcBorders>
            <w:vAlign w:val="center"/>
          </w:tcPr>
          <w:p w14:paraId="1481DF24">
            <w:pPr>
              <w:jc w:val="right"/>
              <w:rPr>
                <w:rFonts w:hint="eastAsia"/>
              </w:rPr>
            </w:pPr>
            <w:r>
              <w:rPr>
                <w:rFonts w:ascii="Arial Narrow" w:hAnsi="Arial Narrow" w:eastAsia="等线"/>
                <w:color w:val="000000"/>
                <w:szCs w:val="21"/>
              </w:rPr>
              <w:t xml:space="preserve">557,291,516.18 </w:t>
            </w:r>
          </w:p>
        </w:tc>
        <w:tc>
          <w:tcPr>
            <w:tcW w:w="1142" w:type="pct"/>
            <w:tcBorders>
              <w:top w:val="outset" w:color="auto" w:sz="6" w:space="0"/>
              <w:left w:val="outset" w:color="auto" w:sz="6" w:space="0"/>
              <w:bottom w:val="outset" w:color="auto" w:sz="6" w:space="0"/>
              <w:right w:val="outset" w:color="auto" w:sz="6" w:space="0"/>
            </w:tcBorders>
            <w:vAlign w:val="center"/>
          </w:tcPr>
          <w:p w14:paraId="555A1A81">
            <w:pPr>
              <w:jc w:val="right"/>
              <w:rPr>
                <w:rFonts w:hint="eastAsia"/>
              </w:rPr>
            </w:pPr>
            <w:r>
              <w:rPr>
                <w:rFonts w:ascii="Arial Narrow" w:hAnsi="Arial Narrow" w:eastAsia="等线"/>
                <w:color w:val="000000"/>
                <w:szCs w:val="21"/>
              </w:rPr>
              <w:t xml:space="preserve">666,659,821.59 </w:t>
            </w:r>
          </w:p>
        </w:tc>
      </w:tr>
      <w:tr w14:paraId="78F2E7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D043AE6">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应付账款</w:t>
            </w:r>
          </w:p>
        </w:tc>
        <w:tc>
          <w:tcPr>
            <w:tcW w:w="550" w:type="pct"/>
            <w:tcBorders>
              <w:top w:val="outset" w:color="auto" w:sz="6" w:space="0"/>
              <w:left w:val="outset" w:color="auto" w:sz="6" w:space="0"/>
              <w:bottom w:val="outset" w:color="auto" w:sz="6" w:space="0"/>
              <w:right w:val="outset" w:color="auto" w:sz="6" w:space="0"/>
            </w:tcBorders>
            <w:vAlign w:val="center"/>
          </w:tcPr>
          <w:p w14:paraId="1654529D">
            <w:pPr>
              <w:rPr>
                <w:rFonts w:hint="eastAsia"/>
              </w:rPr>
            </w:pPr>
            <w:r>
              <w:t>七、36</w:t>
            </w:r>
          </w:p>
        </w:tc>
        <w:tc>
          <w:tcPr>
            <w:tcW w:w="1139" w:type="pct"/>
            <w:tcBorders>
              <w:top w:val="outset" w:color="auto" w:sz="6" w:space="0"/>
              <w:left w:val="outset" w:color="auto" w:sz="6" w:space="0"/>
              <w:bottom w:val="outset" w:color="auto" w:sz="6" w:space="0"/>
              <w:right w:val="outset" w:color="auto" w:sz="6" w:space="0"/>
            </w:tcBorders>
            <w:vAlign w:val="center"/>
          </w:tcPr>
          <w:p w14:paraId="3BF20855">
            <w:pPr>
              <w:jc w:val="right"/>
              <w:rPr>
                <w:rFonts w:hint="eastAsia"/>
              </w:rPr>
            </w:pPr>
            <w:r>
              <w:rPr>
                <w:rFonts w:ascii="Arial Narrow" w:hAnsi="Arial Narrow" w:eastAsia="等线"/>
                <w:color w:val="000000"/>
                <w:szCs w:val="21"/>
              </w:rPr>
              <w:t xml:space="preserve">3,253,056,965.76 </w:t>
            </w:r>
          </w:p>
        </w:tc>
        <w:tc>
          <w:tcPr>
            <w:tcW w:w="1142" w:type="pct"/>
            <w:tcBorders>
              <w:top w:val="outset" w:color="auto" w:sz="6" w:space="0"/>
              <w:left w:val="outset" w:color="auto" w:sz="6" w:space="0"/>
              <w:bottom w:val="outset" w:color="auto" w:sz="6" w:space="0"/>
              <w:right w:val="outset" w:color="auto" w:sz="6" w:space="0"/>
            </w:tcBorders>
            <w:vAlign w:val="center"/>
          </w:tcPr>
          <w:p w14:paraId="4F3680AA">
            <w:pPr>
              <w:jc w:val="right"/>
              <w:rPr>
                <w:rFonts w:hint="eastAsia"/>
              </w:rPr>
            </w:pPr>
            <w:r>
              <w:rPr>
                <w:rFonts w:ascii="Arial Narrow" w:hAnsi="Arial Narrow" w:eastAsia="等线"/>
                <w:color w:val="000000"/>
                <w:szCs w:val="21"/>
              </w:rPr>
              <w:t xml:space="preserve">3,512,854,899.65 </w:t>
            </w:r>
          </w:p>
        </w:tc>
      </w:tr>
      <w:tr w14:paraId="281AB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99AA48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预收款项</w:t>
            </w:r>
          </w:p>
        </w:tc>
        <w:tc>
          <w:tcPr>
            <w:tcW w:w="550" w:type="pct"/>
            <w:tcBorders>
              <w:top w:val="outset" w:color="auto" w:sz="6" w:space="0"/>
              <w:left w:val="outset" w:color="auto" w:sz="6" w:space="0"/>
              <w:bottom w:val="outset" w:color="auto" w:sz="6" w:space="0"/>
              <w:right w:val="outset" w:color="auto" w:sz="6" w:space="0"/>
            </w:tcBorders>
            <w:vAlign w:val="center"/>
          </w:tcPr>
          <w:p w14:paraId="5CA59A8A">
            <w:pPr>
              <w:rPr>
                <w:rFonts w:hint="eastAsia"/>
              </w:rPr>
            </w:pPr>
            <w:r>
              <w:t>七、37</w:t>
            </w:r>
          </w:p>
        </w:tc>
        <w:tc>
          <w:tcPr>
            <w:tcW w:w="1139" w:type="pct"/>
            <w:tcBorders>
              <w:top w:val="outset" w:color="auto" w:sz="6" w:space="0"/>
              <w:left w:val="outset" w:color="auto" w:sz="6" w:space="0"/>
              <w:bottom w:val="outset" w:color="auto" w:sz="6" w:space="0"/>
              <w:right w:val="outset" w:color="auto" w:sz="6" w:space="0"/>
            </w:tcBorders>
            <w:vAlign w:val="center"/>
          </w:tcPr>
          <w:p w14:paraId="58268A61">
            <w:pPr>
              <w:jc w:val="right"/>
              <w:rPr>
                <w:rFonts w:hint="eastAsia"/>
              </w:rPr>
            </w:pPr>
            <w:r>
              <w:rPr>
                <w:rFonts w:ascii="Arial Narrow" w:hAnsi="Arial Narrow" w:eastAsia="等线"/>
                <w:color w:val="000000"/>
                <w:szCs w:val="21"/>
              </w:rPr>
              <w:t xml:space="preserve">30,609,636.04 </w:t>
            </w:r>
          </w:p>
        </w:tc>
        <w:tc>
          <w:tcPr>
            <w:tcW w:w="1142" w:type="pct"/>
            <w:tcBorders>
              <w:top w:val="outset" w:color="auto" w:sz="6" w:space="0"/>
              <w:left w:val="outset" w:color="auto" w:sz="6" w:space="0"/>
              <w:bottom w:val="outset" w:color="auto" w:sz="6" w:space="0"/>
              <w:right w:val="outset" w:color="auto" w:sz="6" w:space="0"/>
            </w:tcBorders>
            <w:vAlign w:val="center"/>
          </w:tcPr>
          <w:p w14:paraId="59979ACE">
            <w:pPr>
              <w:jc w:val="right"/>
              <w:rPr>
                <w:rFonts w:hint="eastAsia"/>
              </w:rPr>
            </w:pPr>
            <w:r>
              <w:rPr>
                <w:rFonts w:ascii="Arial Narrow" w:hAnsi="Arial Narrow" w:eastAsia="等线"/>
                <w:color w:val="000000"/>
                <w:szCs w:val="21"/>
              </w:rPr>
              <w:t xml:space="preserve">31,780,256.57 </w:t>
            </w:r>
          </w:p>
        </w:tc>
      </w:tr>
      <w:tr w14:paraId="08A4F3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4BBC1D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合同负债</w:t>
            </w:r>
          </w:p>
        </w:tc>
        <w:tc>
          <w:tcPr>
            <w:tcW w:w="550" w:type="pct"/>
            <w:tcBorders>
              <w:top w:val="outset" w:color="auto" w:sz="6" w:space="0"/>
              <w:left w:val="outset" w:color="auto" w:sz="6" w:space="0"/>
              <w:bottom w:val="outset" w:color="auto" w:sz="6" w:space="0"/>
              <w:right w:val="outset" w:color="auto" w:sz="6" w:space="0"/>
            </w:tcBorders>
            <w:vAlign w:val="center"/>
          </w:tcPr>
          <w:p w14:paraId="52094FCB">
            <w:pPr>
              <w:rPr>
                <w:rFonts w:hint="eastAsia"/>
              </w:rPr>
            </w:pPr>
            <w:r>
              <w:t>七、38</w:t>
            </w:r>
          </w:p>
        </w:tc>
        <w:tc>
          <w:tcPr>
            <w:tcW w:w="1139" w:type="pct"/>
            <w:tcBorders>
              <w:top w:val="outset" w:color="auto" w:sz="6" w:space="0"/>
              <w:left w:val="outset" w:color="auto" w:sz="6" w:space="0"/>
              <w:bottom w:val="outset" w:color="auto" w:sz="6" w:space="0"/>
              <w:right w:val="outset" w:color="auto" w:sz="6" w:space="0"/>
            </w:tcBorders>
            <w:vAlign w:val="center"/>
          </w:tcPr>
          <w:p w14:paraId="4A46F909">
            <w:pPr>
              <w:jc w:val="right"/>
              <w:rPr>
                <w:rFonts w:hint="eastAsia"/>
              </w:rPr>
            </w:pPr>
            <w:r>
              <w:rPr>
                <w:rFonts w:ascii="Arial Narrow" w:hAnsi="Arial Narrow" w:eastAsia="等线"/>
                <w:color w:val="000000"/>
                <w:szCs w:val="21"/>
              </w:rPr>
              <w:t xml:space="preserve">942,396,950.28 </w:t>
            </w:r>
          </w:p>
        </w:tc>
        <w:tc>
          <w:tcPr>
            <w:tcW w:w="1142" w:type="pct"/>
            <w:tcBorders>
              <w:top w:val="outset" w:color="auto" w:sz="6" w:space="0"/>
              <w:left w:val="outset" w:color="auto" w:sz="6" w:space="0"/>
              <w:bottom w:val="outset" w:color="auto" w:sz="6" w:space="0"/>
              <w:right w:val="outset" w:color="auto" w:sz="6" w:space="0"/>
            </w:tcBorders>
            <w:vAlign w:val="center"/>
          </w:tcPr>
          <w:p w14:paraId="1FCCA364">
            <w:pPr>
              <w:jc w:val="right"/>
              <w:rPr>
                <w:rFonts w:hint="eastAsia"/>
              </w:rPr>
            </w:pPr>
            <w:r>
              <w:rPr>
                <w:rFonts w:ascii="Arial Narrow" w:hAnsi="Arial Narrow" w:eastAsia="等线"/>
                <w:color w:val="000000"/>
                <w:szCs w:val="21"/>
              </w:rPr>
              <w:t xml:space="preserve">1,205,130,318.17 </w:t>
            </w:r>
          </w:p>
        </w:tc>
      </w:tr>
      <w:tr w14:paraId="07C4C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213863E">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应付职工薪酬</w:t>
            </w:r>
          </w:p>
        </w:tc>
        <w:tc>
          <w:tcPr>
            <w:tcW w:w="550" w:type="pct"/>
            <w:tcBorders>
              <w:top w:val="outset" w:color="auto" w:sz="6" w:space="0"/>
              <w:left w:val="outset" w:color="auto" w:sz="6" w:space="0"/>
              <w:bottom w:val="outset" w:color="auto" w:sz="6" w:space="0"/>
              <w:right w:val="outset" w:color="auto" w:sz="6" w:space="0"/>
            </w:tcBorders>
            <w:vAlign w:val="center"/>
          </w:tcPr>
          <w:p w14:paraId="0211C0D5">
            <w:pPr>
              <w:rPr>
                <w:rFonts w:hint="eastAsia"/>
              </w:rPr>
            </w:pPr>
            <w:r>
              <w:t>七、39</w:t>
            </w:r>
          </w:p>
        </w:tc>
        <w:tc>
          <w:tcPr>
            <w:tcW w:w="1139" w:type="pct"/>
            <w:tcBorders>
              <w:top w:val="outset" w:color="auto" w:sz="6" w:space="0"/>
              <w:left w:val="outset" w:color="auto" w:sz="6" w:space="0"/>
              <w:bottom w:val="outset" w:color="auto" w:sz="6" w:space="0"/>
              <w:right w:val="outset" w:color="auto" w:sz="6" w:space="0"/>
            </w:tcBorders>
            <w:vAlign w:val="center"/>
          </w:tcPr>
          <w:p w14:paraId="7E1F69B7">
            <w:pPr>
              <w:jc w:val="right"/>
              <w:rPr>
                <w:rFonts w:hint="eastAsia"/>
              </w:rPr>
            </w:pPr>
            <w:r>
              <w:rPr>
                <w:rFonts w:ascii="Arial Narrow" w:hAnsi="Arial Narrow" w:eastAsia="等线"/>
                <w:color w:val="000000"/>
                <w:szCs w:val="21"/>
              </w:rPr>
              <w:t xml:space="preserve">296,149,933.94 </w:t>
            </w:r>
          </w:p>
        </w:tc>
        <w:tc>
          <w:tcPr>
            <w:tcW w:w="1142" w:type="pct"/>
            <w:tcBorders>
              <w:top w:val="outset" w:color="auto" w:sz="6" w:space="0"/>
              <w:left w:val="outset" w:color="auto" w:sz="6" w:space="0"/>
              <w:bottom w:val="outset" w:color="auto" w:sz="6" w:space="0"/>
              <w:right w:val="outset" w:color="auto" w:sz="6" w:space="0"/>
            </w:tcBorders>
            <w:vAlign w:val="center"/>
          </w:tcPr>
          <w:p w14:paraId="1627967C">
            <w:pPr>
              <w:jc w:val="right"/>
              <w:rPr>
                <w:rFonts w:hint="eastAsia"/>
              </w:rPr>
            </w:pPr>
            <w:r>
              <w:rPr>
                <w:rFonts w:ascii="Arial Narrow" w:hAnsi="Arial Narrow" w:eastAsia="等线"/>
                <w:color w:val="000000"/>
                <w:szCs w:val="21"/>
              </w:rPr>
              <w:t xml:space="preserve">186,255,922.23 </w:t>
            </w:r>
          </w:p>
        </w:tc>
      </w:tr>
      <w:tr w14:paraId="37CBB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3121394">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应交税费</w:t>
            </w:r>
          </w:p>
        </w:tc>
        <w:tc>
          <w:tcPr>
            <w:tcW w:w="550" w:type="pct"/>
            <w:tcBorders>
              <w:top w:val="outset" w:color="auto" w:sz="6" w:space="0"/>
              <w:left w:val="outset" w:color="auto" w:sz="6" w:space="0"/>
              <w:bottom w:val="outset" w:color="auto" w:sz="6" w:space="0"/>
              <w:right w:val="outset" w:color="auto" w:sz="6" w:space="0"/>
            </w:tcBorders>
            <w:vAlign w:val="center"/>
          </w:tcPr>
          <w:p w14:paraId="0785D56F">
            <w:pPr>
              <w:rPr>
                <w:rFonts w:hint="eastAsia"/>
              </w:rPr>
            </w:pPr>
            <w:r>
              <w:t>七、40</w:t>
            </w:r>
          </w:p>
        </w:tc>
        <w:tc>
          <w:tcPr>
            <w:tcW w:w="1139" w:type="pct"/>
            <w:tcBorders>
              <w:top w:val="outset" w:color="auto" w:sz="6" w:space="0"/>
              <w:left w:val="outset" w:color="auto" w:sz="6" w:space="0"/>
              <w:bottom w:val="outset" w:color="auto" w:sz="6" w:space="0"/>
              <w:right w:val="outset" w:color="auto" w:sz="6" w:space="0"/>
            </w:tcBorders>
            <w:vAlign w:val="center"/>
          </w:tcPr>
          <w:p w14:paraId="3459AD6F">
            <w:pPr>
              <w:jc w:val="right"/>
              <w:rPr>
                <w:rFonts w:hint="eastAsia"/>
              </w:rPr>
            </w:pPr>
            <w:r>
              <w:rPr>
                <w:rFonts w:ascii="Arial Narrow" w:hAnsi="Arial Narrow" w:eastAsia="等线"/>
                <w:color w:val="000000"/>
                <w:szCs w:val="21"/>
              </w:rPr>
              <w:t xml:space="preserve">138,968,721.20 </w:t>
            </w:r>
          </w:p>
        </w:tc>
        <w:tc>
          <w:tcPr>
            <w:tcW w:w="1142" w:type="pct"/>
            <w:tcBorders>
              <w:top w:val="outset" w:color="auto" w:sz="6" w:space="0"/>
              <w:left w:val="outset" w:color="auto" w:sz="6" w:space="0"/>
              <w:bottom w:val="outset" w:color="auto" w:sz="6" w:space="0"/>
              <w:right w:val="outset" w:color="auto" w:sz="6" w:space="0"/>
            </w:tcBorders>
            <w:vAlign w:val="center"/>
          </w:tcPr>
          <w:p w14:paraId="6F5F584F">
            <w:pPr>
              <w:jc w:val="right"/>
              <w:rPr>
                <w:rFonts w:hint="eastAsia"/>
              </w:rPr>
            </w:pPr>
            <w:r>
              <w:rPr>
                <w:rFonts w:ascii="Arial Narrow" w:hAnsi="Arial Narrow" w:eastAsia="等线"/>
                <w:color w:val="000000"/>
                <w:szCs w:val="21"/>
              </w:rPr>
              <w:t xml:space="preserve">142,345,990.39 </w:t>
            </w:r>
          </w:p>
        </w:tc>
      </w:tr>
      <w:tr w14:paraId="698DFF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D71CC43">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550" w:type="pct"/>
            <w:tcBorders>
              <w:top w:val="outset" w:color="auto" w:sz="6" w:space="0"/>
              <w:left w:val="outset" w:color="auto" w:sz="6" w:space="0"/>
              <w:bottom w:val="outset" w:color="auto" w:sz="6" w:space="0"/>
              <w:right w:val="outset" w:color="auto" w:sz="6" w:space="0"/>
            </w:tcBorders>
            <w:vAlign w:val="center"/>
          </w:tcPr>
          <w:p w14:paraId="31B5DDF0">
            <w:pPr>
              <w:rPr>
                <w:rFonts w:hint="eastAsia"/>
              </w:rPr>
            </w:pPr>
            <w:r>
              <w:t>七、41</w:t>
            </w:r>
          </w:p>
        </w:tc>
        <w:tc>
          <w:tcPr>
            <w:tcW w:w="1139" w:type="pct"/>
            <w:tcBorders>
              <w:top w:val="outset" w:color="auto" w:sz="6" w:space="0"/>
              <w:left w:val="outset" w:color="auto" w:sz="6" w:space="0"/>
              <w:bottom w:val="outset" w:color="auto" w:sz="6" w:space="0"/>
              <w:right w:val="outset" w:color="auto" w:sz="6" w:space="0"/>
            </w:tcBorders>
            <w:vAlign w:val="center"/>
          </w:tcPr>
          <w:p w14:paraId="2910117D">
            <w:pPr>
              <w:jc w:val="right"/>
              <w:rPr>
                <w:rFonts w:hint="eastAsia"/>
              </w:rPr>
            </w:pPr>
            <w:r>
              <w:rPr>
                <w:rFonts w:ascii="Arial Narrow" w:hAnsi="Arial Narrow" w:eastAsia="等线"/>
                <w:color w:val="000000"/>
                <w:szCs w:val="21"/>
              </w:rPr>
              <w:t xml:space="preserve">958,381,409.24 </w:t>
            </w:r>
          </w:p>
        </w:tc>
        <w:tc>
          <w:tcPr>
            <w:tcW w:w="1142" w:type="pct"/>
            <w:tcBorders>
              <w:top w:val="outset" w:color="auto" w:sz="6" w:space="0"/>
              <w:left w:val="outset" w:color="auto" w:sz="6" w:space="0"/>
              <w:bottom w:val="outset" w:color="auto" w:sz="6" w:space="0"/>
              <w:right w:val="outset" w:color="auto" w:sz="6" w:space="0"/>
            </w:tcBorders>
            <w:vAlign w:val="center"/>
          </w:tcPr>
          <w:p w14:paraId="687B9EF5">
            <w:pPr>
              <w:jc w:val="right"/>
              <w:rPr>
                <w:rFonts w:hint="eastAsia"/>
              </w:rPr>
            </w:pPr>
            <w:r>
              <w:rPr>
                <w:rFonts w:ascii="Arial Narrow" w:hAnsi="Arial Narrow" w:eastAsia="等线"/>
                <w:color w:val="000000"/>
                <w:szCs w:val="21"/>
              </w:rPr>
              <w:t xml:space="preserve">830,213,275.27 </w:t>
            </w:r>
          </w:p>
        </w:tc>
      </w:tr>
      <w:tr w14:paraId="65CF7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79C7EA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其中：应付利息</w:t>
            </w:r>
          </w:p>
        </w:tc>
        <w:tc>
          <w:tcPr>
            <w:tcW w:w="550" w:type="pct"/>
            <w:tcBorders>
              <w:top w:val="outset" w:color="auto" w:sz="6" w:space="0"/>
              <w:left w:val="outset" w:color="auto" w:sz="6" w:space="0"/>
              <w:bottom w:val="outset" w:color="auto" w:sz="6" w:space="0"/>
              <w:right w:val="outset" w:color="auto" w:sz="6" w:space="0"/>
            </w:tcBorders>
            <w:vAlign w:val="center"/>
          </w:tcPr>
          <w:p w14:paraId="19B2775A">
            <w:pPr>
              <w:rPr>
                <w:rFonts w:hint="eastAsia"/>
              </w:rPr>
            </w:pPr>
            <w:r>
              <w:t>七、41</w:t>
            </w:r>
          </w:p>
        </w:tc>
        <w:tc>
          <w:tcPr>
            <w:tcW w:w="1139" w:type="pct"/>
            <w:tcBorders>
              <w:top w:val="outset" w:color="auto" w:sz="6" w:space="0"/>
              <w:left w:val="outset" w:color="auto" w:sz="6" w:space="0"/>
              <w:bottom w:val="outset" w:color="auto" w:sz="6" w:space="0"/>
              <w:right w:val="outset" w:color="auto" w:sz="6" w:space="0"/>
            </w:tcBorders>
            <w:vAlign w:val="center"/>
          </w:tcPr>
          <w:p w14:paraId="6E996626">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0DF0B153">
            <w:pPr>
              <w:jc w:val="right"/>
              <w:rPr>
                <w:rFonts w:hint="eastAsia"/>
              </w:rPr>
            </w:pPr>
          </w:p>
        </w:tc>
      </w:tr>
      <w:tr w14:paraId="09E48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33495BE">
            <w:pPr>
              <w:ind w:firstLine="840" w:firstLineChars="4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550" w:type="pct"/>
            <w:tcBorders>
              <w:top w:val="outset" w:color="auto" w:sz="6" w:space="0"/>
              <w:left w:val="outset" w:color="auto" w:sz="6" w:space="0"/>
              <w:bottom w:val="outset" w:color="auto" w:sz="6" w:space="0"/>
              <w:right w:val="outset" w:color="auto" w:sz="6" w:space="0"/>
            </w:tcBorders>
            <w:vAlign w:val="center"/>
          </w:tcPr>
          <w:p w14:paraId="73618DC9">
            <w:pPr>
              <w:rPr>
                <w:rFonts w:hint="eastAsia"/>
              </w:rPr>
            </w:pPr>
            <w:r>
              <w:t>七、41</w:t>
            </w:r>
          </w:p>
        </w:tc>
        <w:tc>
          <w:tcPr>
            <w:tcW w:w="1139" w:type="pct"/>
            <w:tcBorders>
              <w:top w:val="outset" w:color="auto" w:sz="6" w:space="0"/>
              <w:left w:val="outset" w:color="auto" w:sz="6" w:space="0"/>
              <w:bottom w:val="outset" w:color="auto" w:sz="6" w:space="0"/>
              <w:right w:val="outset" w:color="auto" w:sz="6" w:space="0"/>
            </w:tcBorders>
            <w:vAlign w:val="center"/>
          </w:tcPr>
          <w:p w14:paraId="00894A37">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2DF0CC90">
            <w:pPr>
              <w:jc w:val="right"/>
              <w:rPr>
                <w:rFonts w:hint="eastAsia"/>
              </w:rPr>
            </w:pPr>
          </w:p>
        </w:tc>
      </w:tr>
      <w:tr w14:paraId="1A018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0CB435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一年内到期的非流动负债</w:t>
            </w:r>
          </w:p>
        </w:tc>
        <w:tc>
          <w:tcPr>
            <w:tcW w:w="550" w:type="pct"/>
            <w:tcBorders>
              <w:top w:val="outset" w:color="auto" w:sz="6" w:space="0"/>
              <w:left w:val="outset" w:color="auto" w:sz="6" w:space="0"/>
              <w:bottom w:val="outset" w:color="auto" w:sz="6" w:space="0"/>
              <w:right w:val="outset" w:color="auto" w:sz="6" w:space="0"/>
            </w:tcBorders>
            <w:vAlign w:val="center"/>
          </w:tcPr>
          <w:p w14:paraId="10E3F9BD">
            <w:pPr>
              <w:rPr>
                <w:rFonts w:hint="eastAsia"/>
              </w:rPr>
            </w:pPr>
            <w:r>
              <w:t>七、43</w:t>
            </w:r>
          </w:p>
        </w:tc>
        <w:tc>
          <w:tcPr>
            <w:tcW w:w="1139" w:type="pct"/>
            <w:tcBorders>
              <w:top w:val="outset" w:color="auto" w:sz="6" w:space="0"/>
              <w:left w:val="outset" w:color="auto" w:sz="6" w:space="0"/>
              <w:bottom w:val="outset" w:color="auto" w:sz="6" w:space="0"/>
              <w:right w:val="outset" w:color="auto" w:sz="6" w:space="0"/>
            </w:tcBorders>
            <w:vAlign w:val="center"/>
          </w:tcPr>
          <w:p w14:paraId="14F08EEC">
            <w:pPr>
              <w:jc w:val="right"/>
              <w:rPr>
                <w:rFonts w:hint="eastAsia"/>
              </w:rPr>
            </w:pPr>
            <w:r>
              <w:rPr>
                <w:rFonts w:ascii="Arial Narrow" w:hAnsi="Arial Narrow" w:eastAsia="等线"/>
                <w:color w:val="000000"/>
                <w:szCs w:val="21"/>
              </w:rPr>
              <w:t xml:space="preserve">54,024,318.29 </w:t>
            </w:r>
          </w:p>
        </w:tc>
        <w:tc>
          <w:tcPr>
            <w:tcW w:w="1142" w:type="pct"/>
            <w:tcBorders>
              <w:top w:val="outset" w:color="auto" w:sz="6" w:space="0"/>
              <w:left w:val="outset" w:color="auto" w:sz="6" w:space="0"/>
              <w:bottom w:val="outset" w:color="auto" w:sz="6" w:space="0"/>
              <w:right w:val="outset" w:color="auto" w:sz="6" w:space="0"/>
            </w:tcBorders>
            <w:vAlign w:val="center"/>
          </w:tcPr>
          <w:p w14:paraId="6BA7A8BE">
            <w:pPr>
              <w:jc w:val="right"/>
              <w:rPr>
                <w:rFonts w:hint="eastAsia"/>
              </w:rPr>
            </w:pPr>
            <w:r>
              <w:rPr>
                <w:rFonts w:ascii="Arial Narrow" w:hAnsi="Arial Narrow" w:eastAsia="等线"/>
                <w:color w:val="000000"/>
                <w:szCs w:val="21"/>
              </w:rPr>
              <w:t xml:space="preserve">170,996,135.24 </w:t>
            </w:r>
          </w:p>
        </w:tc>
      </w:tr>
      <w:tr w14:paraId="3336E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6D72F25">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其他流动负债</w:t>
            </w:r>
          </w:p>
        </w:tc>
        <w:tc>
          <w:tcPr>
            <w:tcW w:w="550" w:type="pct"/>
            <w:tcBorders>
              <w:top w:val="outset" w:color="auto" w:sz="6" w:space="0"/>
              <w:left w:val="outset" w:color="auto" w:sz="6" w:space="0"/>
              <w:bottom w:val="outset" w:color="auto" w:sz="6" w:space="0"/>
              <w:right w:val="outset" w:color="auto" w:sz="6" w:space="0"/>
            </w:tcBorders>
            <w:vAlign w:val="center"/>
          </w:tcPr>
          <w:p w14:paraId="48386B9E">
            <w:pPr>
              <w:rPr>
                <w:rFonts w:hint="eastAsia"/>
              </w:rPr>
            </w:pPr>
            <w:r>
              <w:t>七、44</w:t>
            </w:r>
          </w:p>
        </w:tc>
        <w:tc>
          <w:tcPr>
            <w:tcW w:w="1139" w:type="pct"/>
            <w:tcBorders>
              <w:top w:val="outset" w:color="auto" w:sz="6" w:space="0"/>
              <w:left w:val="outset" w:color="auto" w:sz="6" w:space="0"/>
              <w:bottom w:val="outset" w:color="auto" w:sz="6" w:space="0"/>
              <w:right w:val="outset" w:color="auto" w:sz="6" w:space="0"/>
            </w:tcBorders>
            <w:vAlign w:val="center"/>
          </w:tcPr>
          <w:p w14:paraId="378569AF">
            <w:pPr>
              <w:jc w:val="right"/>
              <w:rPr>
                <w:rFonts w:hint="eastAsia"/>
              </w:rPr>
            </w:pPr>
            <w:r>
              <w:rPr>
                <w:rFonts w:ascii="Arial Narrow" w:hAnsi="Arial Narrow" w:eastAsia="等线"/>
                <w:color w:val="000000"/>
                <w:szCs w:val="21"/>
              </w:rPr>
              <w:t xml:space="preserve">306,873,185.28 </w:t>
            </w:r>
          </w:p>
        </w:tc>
        <w:tc>
          <w:tcPr>
            <w:tcW w:w="1142" w:type="pct"/>
            <w:tcBorders>
              <w:top w:val="outset" w:color="auto" w:sz="6" w:space="0"/>
              <w:left w:val="outset" w:color="auto" w:sz="6" w:space="0"/>
              <w:bottom w:val="outset" w:color="auto" w:sz="6" w:space="0"/>
              <w:right w:val="outset" w:color="auto" w:sz="6" w:space="0"/>
            </w:tcBorders>
            <w:vAlign w:val="center"/>
          </w:tcPr>
          <w:p w14:paraId="14343DE3">
            <w:pPr>
              <w:jc w:val="right"/>
              <w:rPr>
                <w:rFonts w:hint="eastAsia"/>
              </w:rPr>
            </w:pPr>
            <w:r>
              <w:rPr>
                <w:rFonts w:ascii="Arial Narrow" w:hAnsi="Arial Narrow" w:eastAsia="等线"/>
                <w:color w:val="000000"/>
                <w:szCs w:val="21"/>
              </w:rPr>
              <w:t xml:space="preserve">147,901,045.46 </w:t>
            </w:r>
          </w:p>
        </w:tc>
      </w:tr>
      <w:tr w14:paraId="72BF75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BA54C1E">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流动负债合计</w:t>
            </w:r>
          </w:p>
        </w:tc>
        <w:tc>
          <w:tcPr>
            <w:tcW w:w="550" w:type="pct"/>
            <w:tcBorders>
              <w:top w:val="outset" w:color="auto" w:sz="6" w:space="0"/>
              <w:left w:val="outset" w:color="auto" w:sz="6" w:space="0"/>
              <w:bottom w:val="outset" w:color="auto" w:sz="6" w:space="0"/>
              <w:right w:val="outset" w:color="auto" w:sz="6" w:space="0"/>
            </w:tcBorders>
          </w:tcPr>
          <w:p w14:paraId="6F660478">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37C66D2D">
            <w:pPr>
              <w:jc w:val="right"/>
              <w:rPr>
                <w:rFonts w:hint="eastAsia"/>
              </w:rPr>
            </w:pPr>
            <w:r>
              <w:rPr>
                <w:rFonts w:ascii="Arial Narrow" w:hAnsi="Arial Narrow" w:eastAsia="等线"/>
                <w:color w:val="000000"/>
                <w:szCs w:val="21"/>
              </w:rPr>
              <w:t xml:space="preserve">6,977,938,966.71 </w:t>
            </w:r>
          </w:p>
        </w:tc>
        <w:tc>
          <w:tcPr>
            <w:tcW w:w="1142" w:type="pct"/>
            <w:tcBorders>
              <w:top w:val="outset" w:color="auto" w:sz="6" w:space="0"/>
              <w:left w:val="outset" w:color="auto" w:sz="6" w:space="0"/>
              <w:bottom w:val="outset" w:color="auto" w:sz="6" w:space="0"/>
              <w:right w:val="outset" w:color="auto" w:sz="6" w:space="0"/>
            </w:tcBorders>
            <w:vAlign w:val="center"/>
          </w:tcPr>
          <w:p w14:paraId="52571B4F">
            <w:pPr>
              <w:jc w:val="right"/>
              <w:rPr>
                <w:rFonts w:hint="eastAsia"/>
              </w:rPr>
            </w:pPr>
            <w:r>
              <w:rPr>
                <w:rFonts w:ascii="Arial Narrow" w:hAnsi="Arial Narrow" w:eastAsia="等线"/>
                <w:color w:val="000000"/>
                <w:szCs w:val="21"/>
              </w:rPr>
              <w:t xml:space="preserve">7,288,821,103.98 </w:t>
            </w:r>
          </w:p>
        </w:tc>
      </w:tr>
      <w:tr w14:paraId="17D33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71b1fd441234f58b41e1d581fa3f62e"/>
            <w:id w:val="837047955"/>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3619D37D">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非流动负债：</w:t>
                </w:r>
              </w:p>
            </w:tc>
          </w:sdtContent>
        </w:sdt>
      </w:tr>
      <w:tr w14:paraId="6F822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D583E5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长期借款</w:t>
            </w:r>
          </w:p>
        </w:tc>
        <w:tc>
          <w:tcPr>
            <w:tcW w:w="550" w:type="pct"/>
            <w:tcBorders>
              <w:top w:val="outset" w:color="auto" w:sz="6" w:space="0"/>
              <w:left w:val="outset" w:color="auto" w:sz="6" w:space="0"/>
              <w:bottom w:val="outset" w:color="auto" w:sz="6" w:space="0"/>
              <w:right w:val="outset" w:color="auto" w:sz="6" w:space="0"/>
            </w:tcBorders>
            <w:vAlign w:val="center"/>
          </w:tcPr>
          <w:p w14:paraId="6D5B988B">
            <w:pPr>
              <w:rPr>
                <w:rFonts w:hint="eastAsia"/>
              </w:rPr>
            </w:pPr>
            <w:r>
              <w:t>七、45</w:t>
            </w:r>
          </w:p>
        </w:tc>
        <w:tc>
          <w:tcPr>
            <w:tcW w:w="1139" w:type="pct"/>
            <w:tcBorders>
              <w:top w:val="outset" w:color="auto" w:sz="6" w:space="0"/>
              <w:left w:val="outset" w:color="auto" w:sz="6" w:space="0"/>
              <w:bottom w:val="outset" w:color="auto" w:sz="6" w:space="0"/>
              <w:right w:val="outset" w:color="auto" w:sz="6" w:space="0"/>
            </w:tcBorders>
            <w:vAlign w:val="center"/>
          </w:tcPr>
          <w:p w14:paraId="6DF7F4B8">
            <w:pPr>
              <w:jc w:val="right"/>
              <w:rPr>
                <w:rFonts w:hint="eastAsia"/>
              </w:rPr>
            </w:pPr>
            <w:r>
              <w:rPr>
                <w:rFonts w:ascii="Arial Narrow" w:hAnsi="Arial Narrow" w:eastAsia="等线"/>
                <w:color w:val="000000"/>
                <w:szCs w:val="21"/>
              </w:rPr>
              <w:t xml:space="preserve">497,317,783.34 </w:t>
            </w:r>
          </w:p>
        </w:tc>
        <w:tc>
          <w:tcPr>
            <w:tcW w:w="1142" w:type="pct"/>
            <w:tcBorders>
              <w:top w:val="outset" w:color="auto" w:sz="6" w:space="0"/>
              <w:left w:val="outset" w:color="auto" w:sz="6" w:space="0"/>
              <w:bottom w:val="outset" w:color="auto" w:sz="6" w:space="0"/>
              <w:right w:val="outset" w:color="auto" w:sz="6" w:space="0"/>
            </w:tcBorders>
            <w:vAlign w:val="center"/>
          </w:tcPr>
          <w:p w14:paraId="5C742A28">
            <w:pPr>
              <w:jc w:val="right"/>
              <w:rPr>
                <w:rFonts w:hint="eastAsia"/>
              </w:rPr>
            </w:pPr>
            <w:r>
              <w:rPr>
                <w:rFonts w:ascii="Arial Narrow" w:hAnsi="Arial Narrow" w:eastAsia="等线"/>
                <w:color w:val="000000"/>
                <w:szCs w:val="21"/>
              </w:rPr>
              <w:t xml:space="preserve">1,025,630,855.65 </w:t>
            </w:r>
          </w:p>
        </w:tc>
      </w:tr>
      <w:tr w14:paraId="54765B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05F5BF8">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应付债券</w:t>
            </w:r>
          </w:p>
        </w:tc>
        <w:tc>
          <w:tcPr>
            <w:tcW w:w="550" w:type="pct"/>
            <w:tcBorders>
              <w:top w:val="outset" w:color="auto" w:sz="6" w:space="0"/>
              <w:left w:val="outset" w:color="auto" w:sz="6" w:space="0"/>
              <w:bottom w:val="outset" w:color="auto" w:sz="6" w:space="0"/>
              <w:right w:val="outset" w:color="auto" w:sz="6" w:space="0"/>
            </w:tcBorders>
            <w:vAlign w:val="center"/>
          </w:tcPr>
          <w:p w14:paraId="15583601">
            <w:pPr>
              <w:rPr>
                <w:rFonts w:hint="eastAsia"/>
              </w:rPr>
            </w:pPr>
            <w:r>
              <w:t>七、46</w:t>
            </w:r>
          </w:p>
        </w:tc>
        <w:tc>
          <w:tcPr>
            <w:tcW w:w="1139" w:type="pct"/>
            <w:tcBorders>
              <w:top w:val="outset" w:color="auto" w:sz="6" w:space="0"/>
              <w:left w:val="outset" w:color="auto" w:sz="6" w:space="0"/>
              <w:bottom w:val="outset" w:color="auto" w:sz="6" w:space="0"/>
              <w:right w:val="outset" w:color="auto" w:sz="6" w:space="0"/>
            </w:tcBorders>
            <w:vAlign w:val="center"/>
          </w:tcPr>
          <w:p w14:paraId="741C700B">
            <w:pPr>
              <w:jc w:val="right"/>
              <w:rPr>
                <w:rFonts w:hint="eastAsia"/>
              </w:rPr>
            </w:pPr>
            <w:r>
              <w:rPr>
                <w:rFonts w:ascii="Arial Narrow" w:hAnsi="Arial Narrow" w:eastAsia="等线"/>
                <w:color w:val="000000"/>
                <w:szCs w:val="21"/>
              </w:rPr>
              <w:t xml:space="preserve">508,560,210.28 </w:t>
            </w:r>
          </w:p>
        </w:tc>
        <w:tc>
          <w:tcPr>
            <w:tcW w:w="1142" w:type="pct"/>
            <w:tcBorders>
              <w:top w:val="outset" w:color="auto" w:sz="6" w:space="0"/>
              <w:left w:val="outset" w:color="auto" w:sz="6" w:space="0"/>
              <w:bottom w:val="outset" w:color="auto" w:sz="6" w:space="0"/>
              <w:right w:val="outset" w:color="auto" w:sz="6" w:space="0"/>
            </w:tcBorders>
            <w:vAlign w:val="center"/>
          </w:tcPr>
          <w:p w14:paraId="0203523B">
            <w:pPr>
              <w:jc w:val="right"/>
              <w:rPr>
                <w:rFonts w:hint="eastAsia"/>
              </w:rPr>
            </w:pPr>
            <w:r>
              <w:rPr>
                <w:rFonts w:ascii="Arial Narrow" w:hAnsi="Arial Narrow" w:eastAsia="等线"/>
                <w:color w:val="000000"/>
                <w:szCs w:val="21"/>
              </w:rPr>
              <w:t xml:space="preserve">528,639,768.89 </w:t>
            </w:r>
          </w:p>
        </w:tc>
      </w:tr>
      <w:tr w14:paraId="7E335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70938E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租赁负债</w:t>
            </w:r>
          </w:p>
        </w:tc>
        <w:tc>
          <w:tcPr>
            <w:tcW w:w="550" w:type="pct"/>
            <w:tcBorders>
              <w:top w:val="outset" w:color="auto" w:sz="6" w:space="0"/>
              <w:left w:val="outset" w:color="auto" w:sz="6" w:space="0"/>
              <w:bottom w:val="outset" w:color="auto" w:sz="6" w:space="0"/>
              <w:right w:val="outset" w:color="auto" w:sz="6" w:space="0"/>
            </w:tcBorders>
            <w:vAlign w:val="center"/>
          </w:tcPr>
          <w:p w14:paraId="67DA237B">
            <w:pPr>
              <w:rPr>
                <w:rFonts w:hint="eastAsia"/>
              </w:rPr>
            </w:pPr>
            <w:r>
              <w:t>七、47</w:t>
            </w:r>
          </w:p>
        </w:tc>
        <w:tc>
          <w:tcPr>
            <w:tcW w:w="1139" w:type="pct"/>
            <w:tcBorders>
              <w:top w:val="outset" w:color="auto" w:sz="6" w:space="0"/>
              <w:left w:val="outset" w:color="auto" w:sz="6" w:space="0"/>
              <w:bottom w:val="outset" w:color="auto" w:sz="6" w:space="0"/>
              <w:right w:val="outset" w:color="auto" w:sz="6" w:space="0"/>
            </w:tcBorders>
            <w:vAlign w:val="center"/>
          </w:tcPr>
          <w:p w14:paraId="36900CC9">
            <w:pPr>
              <w:jc w:val="right"/>
              <w:rPr>
                <w:rFonts w:hint="eastAsia"/>
              </w:rPr>
            </w:pPr>
            <w:r>
              <w:rPr>
                <w:rFonts w:ascii="Arial Narrow" w:hAnsi="Arial Narrow" w:eastAsia="等线"/>
                <w:color w:val="000000"/>
                <w:szCs w:val="21"/>
              </w:rPr>
              <w:t xml:space="preserve">10,297,800.31 </w:t>
            </w:r>
          </w:p>
        </w:tc>
        <w:tc>
          <w:tcPr>
            <w:tcW w:w="1142" w:type="pct"/>
            <w:tcBorders>
              <w:top w:val="outset" w:color="auto" w:sz="6" w:space="0"/>
              <w:left w:val="outset" w:color="auto" w:sz="6" w:space="0"/>
              <w:bottom w:val="outset" w:color="auto" w:sz="6" w:space="0"/>
              <w:right w:val="outset" w:color="auto" w:sz="6" w:space="0"/>
            </w:tcBorders>
            <w:vAlign w:val="center"/>
          </w:tcPr>
          <w:p w14:paraId="4F475276">
            <w:pPr>
              <w:jc w:val="right"/>
              <w:rPr>
                <w:rFonts w:hint="eastAsia"/>
              </w:rPr>
            </w:pPr>
            <w:r>
              <w:rPr>
                <w:rFonts w:ascii="Arial Narrow" w:hAnsi="Arial Narrow" w:eastAsia="等线"/>
                <w:color w:val="000000"/>
                <w:szCs w:val="21"/>
              </w:rPr>
              <w:t xml:space="preserve">13,865,892.44 </w:t>
            </w:r>
          </w:p>
        </w:tc>
      </w:tr>
      <w:tr w14:paraId="65BD5C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1D35D1C">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550" w:type="pct"/>
            <w:tcBorders>
              <w:top w:val="outset" w:color="auto" w:sz="6" w:space="0"/>
              <w:left w:val="outset" w:color="auto" w:sz="6" w:space="0"/>
              <w:bottom w:val="outset" w:color="auto" w:sz="6" w:space="0"/>
              <w:right w:val="outset" w:color="auto" w:sz="6" w:space="0"/>
            </w:tcBorders>
            <w:vAlign w:val="center"/>
          </w:tcPr>
          <w:p w14:paraId="74A7BD7B">
            <w:pPr>
              <w:rPr>
                <w:rFonts w:hint="eastAsia"/>
              </w:rPr>
            </w:pPr>
            <w:r>
              <w:t>七、48</w:t>
            </w:r>
          </w:p>
        </w:tc>
        <w:tc>
          <w:tcPr>
            <w:tcW w:w="1139" w:type="pct"/>
            <w:tcBorders>
              <w:top w:val="outset" w:color="auto" w:sz="6" w:space="0"/>
              <w:left w:val="outset" w:color="auto" w:sz="6" w:space="0"/>
              <w:bottom w:val="outset" w:color="auto" w:sz="6" w:space="0"/>
              <w:right w:val="outset" w:color="auto" w:sz="6" w:space="0"/>
            </w:tcBorders>
            <w:vAlign w:val="center"/>
          </w:tcPr>
          <w:p w14:paraId="621D0E5E">
            <w:pPr>
              <w:jc w:val="right"/>
              <w:rPr>
                <w:rFonts w:hint="eastAsia"/>
              </w:rPr>
            </w:pPr>
            <w:r>
              <w:rPr>
                <w:rFonts w:ascii="Arial Narrow" w:hAnsi="Arial Narrow" w:eastAsia="等线"/>
                <w:color w:val="000000"/>
                <w:szCs w:val="21"/>
              </w:rPr>
              <w:t xml:space="preserve">42,002,615.37 </w:t>
            </w:r>
          </w:p>
        </w:tc>
        <w:tc>
          <w:tcPr>
            <w:tcW w:w="1142" w:type="pct"/>
            <w:tcBorders>
              <w:top w:val="outset" w:color="auto" w:sz="6" w:space="0"/>
              <w:left w:val="outset" w:color="auto" w:sz="6" w:space="0"/>
              <w:bottom w:val="outset" w:color="auto" w:sz="6" w:space="0"/>
              <w:right w:val="outset" w:color="auto" w:sz="6" w:space="0"/>
            </w:tcBorders>
            <w:vAlign w:val="center"/>
          </w:tcPr>
          <w:p w14:paraId="0FBD2190">
            <w:pPr>
              <w:jc w:val="right"/>
              <w:rPr>
                <w:rFonts w:hint="eastAsia"/>
              </w:rPr>
            </w:pPr>
            <w:r>
              <w:rPr>
                <w:rFonts w:ascii="Arial Narrow" w:hAnsi="Arial Narrow" w:eastAsia="等线"/>
                <w:color w:val="000000"/>
                <w:szCs w:val="21"/>
              </w:rPr>
              <w:t xml:space="preserve">54,158,867.97 </w:t>
            </w:r>
          </w:p>
        </w:tc>
      </w:tr>
      <w:tr w14:paraId="706B66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CA5414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长期应付职工薪酬</w:t>
            </w:r>
          </w:p>
        </w:tc>
        <w:tc>
          <w:tcPr>
            <w:tcW w:w="550" w:type="pct"/>
            <w:tcBorders>
              <w:top w:val="outset" w:color="auto" w:sz="6" w:space="0"/>
              <w:left w:val="outset" w:color="auto" w:sz="6" w:space="0"/>
              <w:bottom w:val="outset" w:color="auto" w:sz="6" w:space="0"/>
              <w:right w:val="outset" w:color="auto" w:sz="6" w:space="0"/>
            </w:tcBorders>
            <w:vAlign w:val="center"/>
          </w:tcPr>
          <w:p w14:paraId="5AC64C29">
            <w:pPr>
              <w:rPr>
                <w:rFonts w:hint="eastAsia"/>
              </w:rPr>
            </w:pPr>
            <w:r>
              <w:t>七、49</w:t>
            </w:r>
          </w:p>
        </w:tc>
        <w:tc>
          <w:tcPr>
            <w:tcW w:w="1139" w:type="pct"/>
            <w:tcBorders>
              <w:top w:val="outset" w:color="auto" w:sz="6" w:space="0"/>
              <w:left w:val="outset" w:color="auto" w:sz="6" w:space="0"/>
              <w:bottom w:val="outset" w:color="auto" w:sz="6" w:space="0"/>
              <w:right w:val="outset" w:color="auto" w:sz="6" w:space="0"/>
            </w:tcBorders>
            <w:vAlign w:val="center"/>
          </w:tcPr>
          <w:p w14:paraId="0464950B">
            <w:pPr>
              <w:jc w:val="right"/>
              <w:rPr>
                <w:rFonts w:hint="eastAsia"/>
              </w:rPr>
            </w:pPr>
            <w:r>
              <w:rPr>
                <w:rFonts w:ascii="Arial Narrow" w:hAnsi="Arial Narrow" w:eastAsia="等线"/>
                <w:color w:val="000000"/>
                <w:szCs w:val="21"/>
              </w:rPr>
              <w:t xml:space="preserve">320,048,047.00 </w:t>
            </w:r>
          </w:p>
        </w:tc>
        <w:tc>
          <w:tcPr>
            <w:tcW w:w="1142" w:type="pct"/>
            <w:tcBorders>
              <w:top w:val="outset" w:color="auto" w:sz="6" w:space="0"/>
              <w:left w:val="outset" w:color="auto" w:sz="6" w:space="0"/>
              <w:bottom w:val="outset" w:color="auto" w:sz="6" w:space="0"/>
              <w:right w:val="outset" w:color="auto" w:sz="6" w:space="0"/>
            </w:tcBorders>
            <w:vAlign w:val="center"/>
          </w:tcPr>
          <w:p w14:paraId="21B679CD">
            <w:pPr>
              <w:jc w:val="right"/>
              <w:rPr>
                <w:rFonts w:hint="eastAsia"/>
              </w:rPr>
            </w:pPr>
            <w:r>
              <w:rPr>
                <w:rFonts w:ascii="Arial Narrow" w:hAnsi="Arial Narrow" w:eastAsia="等线"/>
                <w:color w:val="000000"/>
                <w:szCs w:val="21"/>
              </w:rPr>
              <w:t xml:space="preserve">327,182,499.54 </w:t>
            </w:r>
          </w:p>
        </w:tc>
      </w:tr>
      <w:tr w14:paraId="73498C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35351DC">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预计负债</w:t>
            </w:r>
          </w:p>
        </w:tc>
        <w:tc>
          <w:tcPr>
            <w:tcW w:w="550" w:type="pct"/>
            <w:tcBorders>
              <w:top w:val="outset" w:color="auto" w:sz="6" w:space="0"/>
              <w:left w:val="outset" w:color="auto" w:sz="6" w:space="0"/>
              <w:bottom w:val="outset" w:color="auto" w:sz="6" w:space="0"/>
              <w:right w:val="outset" w:color="auto" w:sz="6" w:space="0"/>
            </w:tcBorders>
            <w:vAlign w:val="center"/>
          </w:tcPr>
          <w:p w14:paraId="0E785624">
            <w:pPr>
              <w:rPr>
                <w:rFonts w:hint="eastAsia"/>
              </w:rPr>
            </w:pPr>
            <w:r>
              <w:t>七、50</w:t>
            </w:r>
          </w:p>
        </w:tc>
        <w:tc>
          <w:tcPr>
            <w:tcW w:w="1139" w:type="pct"/>
            <w:tcBorders>
              <w:top w:val="outset" w:color="auto" w:sz="6" w:space="0"/>
              <w:left w:val="outset" w:color="auto" w:sz="6" w:space="0"/>
              <w:bottom w:val="outset" w:color="auto" w:sz="6" w:space="0"/>
              <w:right w:val="outset" w:color="auto" w:sz="6" w:space="0"/>
            </w:tcBorders>
            <w:vAlign w:val="center"/>
          </w:tcPr>
          <w:p w14:paraId="398D682A">
            <w:pPr>
              <w:jc w:val="right"/>
              <w:rPr>
                <w:rFonts w:hint="eastAsia"/>
              </w:rPr>
            </w:pPr>
            <w:r>
              <w:rPr>
                <w:rFonts w:ascii="Arial Narrow" w:hAnsi="Arial Narrow" w:eastAsia="等线"/>
                <w:color w:val="000000"/>
                <w:szCs w:val="21"/>
              </w:rPr>
              <w:t xml:space="preserve">200,000,000.00 </w:t>
            </w:r>
          </w:p>
        </w:tc>
        <w:tc>
          <w:tcPr>
            <w:tcW w:w="1142" w:type="pct"/>
            <w:tcBorders>
              <w:top w:val="outset" w:color="auto" w:sz="6" w:space="0"/>
              <w:left w:val="outset" w:color="auto" w:sz="6" w:space="0"/>
              <w:bottom w:val="outset" w:color="auto" w:sz="6" w:space="0"/>
              <w:right w:val="outset" w:color="auto" w:sz="6" w:space="0"/>
            </w:tcBorders>
            <w:vAlign w:val="center"/>
          </w:tcPr>
          <w:p w14:paraId="00E1D8DF">
            <w:pPr>
              <w:jc w:val="right"/>
              <w:rPr>
                <w:rFonts w:hint="eastAsia"/>
              </w:rPr>
            </w:pPr>
            <w:r>
              <w:rPr>
                <w:rFonts w:ascii="Arial Narrow" w:hAnsi="Arial Narrow" w:eastAsia="等线"/>
                <w:color w:val="000000"/>
                <w:szCs w:val="21"/>
              </w:rPr>
              <w:t xml:space="preserve">36,800,000.00 </w:t>
            </w:r>
          </w:p>
        </w:tc>
      </w:tr>
      <w:tr w14:paraId="1BD665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7A67C06">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递延收益</w:t>
            </w:r>
          </w:p>
        </w:tc>
        <w:tc>
          <w:tcPr>
            <w:tcW w:w="550" w:type="pct"/>
            <w:tcBorders>
              <w:top w:val="outset" w:color="auto" w:sz="6" w:space="0"/>
              <w:left w:val="outset" w:color="auto" w:sz="6" w:space="0"/>
              <w:bottom w:val="outset" w:color="auto" w:sz="6" w:space="0"/>
              <w:right w:val="outset" w:color="auto" w:sz="6" w:space="0"/>
            </w:tcBorders>
            <w:vAlign w:val="center"/>
          </w:tcPr>
          <w:p w14:paraId="78F0D9F4">
            <w:pPr>
              <w:rPr>
                <w:rFonts w:hint="eastAsia"/>
              </w:rPr>
            </w:pPr>
            <w:r>
              <w:t>七、51</w:t>
            </w:r>
          </w:p>
        </w:tc>
        <w:tc>
          <w:tcPr>
            <w:tcW w:w="1139" w:type="pct"/>
            <w:tcBorders>
              <w:top w:val="outset" w:color="auto" w:sz="6" w:space="0"/>
              <w:left w:val="outset" w:color="auto" w:sz="6" w:space="0"/>
              <w:bottom w:val="outset" w:color="auto" w:sz="6" w:space="0"/>
              <w:right w:val="outset" w:color="auto" w:sz="6" w:space="0"/>
            </w:tcBorders>
            <w:vAlign w:val="center"/>
          </w:tcPr>
          <w:p w14:paraId="4AE6556F">
            <w:pPr>
              <w:jc w:val="right"/>
              <w:rPr>
                <w:rFonts w:hint="eastAsia"/>
              </w:rPr>
            </w:pPr>
            <w:r>
              <w:rPr>
                <w:rFonts w:ascii="Arial Narrow" w:hAnsi="Arial Narrow" w:eastAsia="等线"/>
                <w:color w:val="000000"/>
                <w:szCs w:val="21"/>
              </w:rPr>
              <w:t xml:space="preserve">89,442,952.48 </w:t>
            </w:r>
          </w:p>
        </w:tc>
        <w:tc>
          <w:tcPr>
            <w:tcW w:w="1142" w:type="pct"/>
            <w:tcBorders>
              <w:top w:val="outset" w:color="auto" w:sz="6" w:space="0"/>
              <w:left w:val="outset" w:color="auto" w:sz="6" w:space="0"/>
              <w:bottom w:val="outset" w:color="auto" w:sz="6" w:space="0"/>
              <w:right w:val="outset" w:color="auto" w:sz="6" w:space="0"/>
            </w:tcBorders>
            <w:vAlign w:val="center"/>
          </w:tcPr>
          <w:p w14:paraId="01685D78">
            <w:pPr>
              <w:jc w:val="right"/>
              <w:rPr>
                <w:rFonts w:hint="eastAsia"/>
              </w:rPr>
            </w:pPr>
            <w:r>
              <w:rPr>
                <w:rFonts w:ascii="Arial Narrow" w:hAnsi="Arial Narrow" w:eastAsia="等线"/>
                <w:color w:val="000000"/>
                <w:szCs w:val="21"/>
              </w:rPr>
              <w:t xml:space="preserve">107,306,954.40 </w:t>
            </w:r>
          </w:p>
        </w:tc>
      </w:tr>
      <w:tr w14:paraId="201D5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AFD5C6B">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w:t>
            </w:r>
          </w:p>
        </w:tc>
        <w:tc>
          <w:tcPr>
            <w:tcW w:w="550" w:type="pct"/>
            <w:tcBorders>
              <w:top w:val="outset" w:color="auto" w:sz="6" w:space="0"/>
              <w:left w:val="outset" w:color="auto" w:sz="6" w:space="0"/>
              <w:bottom w:val="outset" w:color="auto" w:sz="6" w:space="0"/>
              <w:right w:val="outset" w:color="auto" w:sz="6" w:space="0"/>
            </w:tcBorders>
            <w:vAlign w:val="center"/>
          </w:tcPr>
          <w:p w14:paraId="34CF29BC">
            <w:pPr>
              <w:rPr>
                <w:rFonts w:hint="eastAsia"/>
              </w:rPr>
            </w:pPr>
            <w:r>
              <w:t>七、29</w:t>
            </w:r>
          </w:p>
        </w:tc>
        <w:tc>
          <w:tcPr>
            <w:tcW w:w="1139" w:type="pct"/>
            <w:tcBorders>
              <w:top w:val="outset" w:color="auto" w:sz="6" w:space="0"/>
              <w:left w:val="outset" w:color="auto" w:sz="6" w:space="0"/>
              <w:bottom w:val="outset" w:color="auto" w:sz="6" w:space="0"/>
              <w:right w:val="outset" w:color="auto" w:sz="6" w:space="0"/>
            </w:tcBorders>
            <w:vAlign w:val="center"/>
          </w:tcPr>
          <w:p w14:paraId="0A80DD9D">
            <w:pPr>
              <w:jc w:val="right"/>
              <w:rPr>
                <w:rFonts w:hint="eastAsia"/>
              </w:rPr>
            </w:pPr>
            <w:r>
              <w:rPr>
                <w:rFonts w:ascii="Arial Narrow" w:hAnsi="Arial Narrow" w:eastAsia="等线"/>
                <w:color w:val="000000"/>
                <w:szCs w:val="21"/>
              </w:rPr>
              <w:t xml:space="preserve">9,428,704.86 </w:t>
            </w:r>
          </w:p>
        </w:tc>
        <w:tc>
          <w:tcPr>
            <w:tcW w:w="1142" w:type="pct"/>
            <w:tcBorders>
              <w:top w:val="outset" w:color="auto" w:sz="6" w:space="0"/>
              <w:left w:val="outset" w:color="auto" w:sz="6" w:space="0"/>
              <w:bottom w:val="outset" w:color="auto" w:sz="6" w:space="0"/>
              <w:right w:val="outset" w:color="auto" w:sz="6" w:space="0"/>
            </w:tcBorders>
            <w:vAlign w:val="center"/>
          </w:tcPr>
          <w:p w14:paraId="0CC296BC">
            <w:pPr>
              <w:jc w:val="right"/>
              <w:rPr>
                <w:rFonts w:hint="eastAsia"/>
              </w:rPr>
            </w:pPr>
            <w:r>
              <w:rPr>
                <w:rFonts w:ascii="Arial Narrow" w:hAnsi="Arial Narrow" w:eastAsia="等线"/>
                <w:color w:val="000000"/>
                <w:szCs w:val="21"/>
              </w:rPr>
              <w:t xml:space="preserve">10,915,404.89 </w:t>
            </w:r>
          </w:p>
        </w:tc>
      </w:tr>
      <w:tr w14:paraId="7F05D7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0EF9EB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其他非流动负债</w:t>
            </w:r>
          </w:p>
        </w:tc>
        <w:tc>
          <w:tcPr>
            <w:tcW w:w="550" w:type="pct"/>
            <w:tcBorders>
              <w:top w:val="outset" w:color="auto" w:sz="6" w:space="0"/>
              <w:left w:val="outset" w:color="auto" w:sz="6" w:space="0"/>
              <w:bottom w:val="outset" w:color="auto" w:sz="6" w:space="0"/>
              <w:right w:val="outset" w:color="auto" w:sz="6" w:space="0"/>
            </w:tcBorders>
            <w:vAlign w:val="center"/>
          </w:tcPr>
          <w:p w14:paraId="23A7812C">
            <w:pPr>
              <w:rPr>
                <w:rFonts w:hint="eastAsia"/>
              </w:rPr>
            </w:pPr>
            <w:r>
              <w:t>七、52</w:t>
            </w:r>
          </w:p>
        </w:tc>
        <w:tc>
          <w:tcPr>
            <w:tcW w:w="1139" w:type="pct"/>
            <w:tcBorders>
              <w:top w:val="outset" w:color="auto" w:sz="6" w:space="0"/>
              <w:left w:val="outset" w:color="auto" w:sz="6" w:space="0"/>
              <w:bottom w:val="outset" w:color="auto" w:sz="6" w:space="0"/>
              <w:right w:val="outset" w:color="auto" w:sz="6" w:space="0"/>
            </w:tcBorders>
            <w:vAlign w:val="center"/>
          </w:tcPr>
          <w:p w14:paraId="6C132BCB">
            <w:pPr>
              <w:jc w:val="right"/>
              <w:rPr>
                <w:rFonts w:hint="eastAsia"/>
              </w:rPr>
            </w:pPr>
            <w:r>
              <w:rPr>
                <w:rFonts w:ascii="Arial Narrow" w:hAnsi="Arial Narrow" w:eastAsia="等线"/>
                <w:color w:val="000000"/>
                <w:szCs w:val="21"/>
              </w:rPr>
              <w:t xml:space="preserve">2,880,000.00 </w:t>
            </w:r>
          </w:p>
        </w:tc>
        <w:tc>
          <w:tcPr>
            <w:tcW w:w="1142" w:type="pct"/>
            <w:tcBorders>
              <w:top w:val="outset" w:color="auto" w:sz="6" w:space="0"/>
              <w:left w:val="outset" w:color="auto" w:sz="6" w:space="0"/>
              <w:bottom w:val="outset" w:color="auto" w:sz="6" w:space="0"/>
              <w:right w:val="outset" w:color="auto" w:sz="6" w:space="0"/>
            </w:tcBorders>
            <w:vAlign w:val="center"/>
          </w:tcPr>
          <w:p w14:paraId="3683F2C9">
            <w:pPr>
              <w:jc w:val="right"/>
              <w:rPr>
                <w:rFonts w:hint="eastAsia"/>
              </w:rPr>
            </w:pPr>
            <w:r>
              <w:rPr>
                <w:rFonts w:ascii="Arial Narrow" w:hAnsi="Arial Narrow" w:eastAsia="等线"/>
                <w:color w:val="000000"/>
                <w:szCs w:val="21"/>
              </w:rPr>
              <w:t xml:space="preserve">2,880,000.00 </w:t>
            </w:r>
          </w:p>
        </w:tc>
      </w:tr>
      <w:tr w14:paraId="016A7C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1E3376BD">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非流动负债合计</w:t>
            </w:r>
          </w:p>
        </w:tc>
        <w:tc>
          <w:tcPr>
            <w:tcW w:w="550" w:type="pct"/>
            <w:tcBorders>
              <w:top w:val="outset" w:color="auto" w:sz="6" w:space="0"/>
              <w:left w:val="outset" w:color="auto" w:sz="6" w:space="0"/>
              <w:bottom w:val="outset" w:color="auto" w:sz="6" w:space="0"/>
              <w:right w:val="outset" w:color="auto" w:sz="6" w:space="0"/>
            </w:tcBorders>
          </w:tcPr>
          <w:p w14:paraId="375EDFF1">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4DC1EBA1">
            <w:pPr>
              <w:jc w:val="right"/>
              <w:rPr>
                <w:rFonts w:hint="eastAsia"/>
              </w:rPr>
            </w:pPr>
            <w:r>
              <w:rPr>
                <w:rFonts w:ascii="Arial Narrow" w:hAnsi="Arial Narrow" w:eastAsia="等线"/>
                <w:color w:val="000000"/>
                <w:szCs w:val="21"/>
              </w:rPr>
              <w:t xml:space="preserve">1,679,978,113.64 </w:t>
            </w:r>
          </w:p>
        </w:tc>
        <w:tc>
          <w:tcPr>
            <w:tcW w:w="1142" w:type="pct"/>
            <w:tcBorders>
              <w:top w:val="outset" w:color="auto" w:sz="6" w:space="0"/>
              <w:left w:val="outset" w:color="auto" w:sz="6" w:space="0"/>
              <w:bottom w:val="outset" w:color="auto" w:sz="6" w:space="0"/>
              <w:right w:val="outset" w:color="auto" w:sz="6" w:space="0"/>
            </w:tcBorders>
            <w:vAlign w:val="center"/>
          </w:tcPr>
          <w:p w14:paraId="2379597B">
            <w:pPr>
              <w:jc w:val="right"/>
              <w:rPr>
                <w:rFonts w:hint="eastAsia"/>
              </w:rPr>
            </w:pPr>
            <w:r>
              <w:rPr>
                <w:rFonts w:ascii="Arial Narrow" w:hAnsi="Arial Narrow" w:eastAsia="等线"/>
                <w:color w:val="000000"/>
                <w:szCs w:val="21"/>
              </w:rPr>
              <w:t xml:space="preserve">2,107,380,243.78 </w:t>
            </w:r>
          </w:p>
        </w:tc>
      </w:tr>
      <w:tr w14:paraId="606D1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D47879B">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负债合计</w:t>
            </w:r>
          </w:p>
        </w:tc>
        <w:tc>
          <w:tcPr>
            <w:tcW w:w="550" w:type="pct"/>
            <w:tcBorders>
              <w:top w:val="outset" w:color="auto" w:sz="6" w:space="0"/>
              <w:left w:val="outset" w:color="auto" w:sz="6" w:space="0"/>
              <w:bottom w:val="outset" w:color="auto" w:sz="6" w:space="0"/>
              <w:right w:val="outset" w:color="auto" w:sz="6" w:space="0"/>
            </w:tcBorders>
          </w:tcPr>
          <w:p w14:paraId="6C2A3AA5">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2B18C28E">
            <w:pPr>
              <w:jc w:val="right"/>
              <w:rPr>
                <w:rFonts w:hint="eastAsia"/>
              </w:rPr>
            </w:pPr>
            <w:r>
              <w:rPr>
                <w:rFonts w:ascii="Arial Narrow" w:hAnsi="Arial Narrow" w:eastAsia="等线"/>
                <w:color w:val="000000"/>
                <w:szCs w:val="21"/>
              </w:rPr>
              <w:t xml:space="preserve">8,657,917,080.35 </w:t>
            </w:r>
          </w:p>
        </w:tc>
        <w:tc>
          <w:tcPr>
            <w:tcW w:w="1142" w:type="pct"/>
            <w:tcBorders>
              <w:top w:val="outset" w:color="auto" w:sz="6" w:space="0"/>
              <w:left w:val="outset" w:color="auto" w:sz="6" w:space="0"/>
              <w:bottom w:val="outset" w:color="auto" w:sz="6" w:space="0"/>
              <w:right w:val="outset" w:color="auto" w:sz="6" w:space="0"/>
            </w:tcBorders>
            <w:vAlign w:val="center"/>
          </w:tcPr>
          <w:p w14:paraId="6FEC89BD">
            <w:pPr>
              <w:jc w:val="right"/>
              <w:rPr>
                <w:rFonts w:hint="eastAsia"/>
              </w:rPr>
            </w:pPr>
            <w:r>
              <w:rPr>
                <w:rFonts w:ascii="Arial Narrow" w:hAnsi="Arial Narrow" w:eastAsia="等线"/>
                <w:color w:val="000000"/>
                <w:szCs w:val="21"/>
              </w:rPr>
              <w:t xml:space="preserve">9,396,201,347.76 </w:t>
            </w:r>
          </w:p>
        </w:tc>
      </w:tr>
      <w:tr w14:paraId="0BBC3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d66d1050f504dbab14e7e96bff21c69"/>
            <w:id w:val="-1970356471"/>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53C37069">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所有者权益（或股东权益）：</w:t>
                </w:r>
              </w:p>
            </w:tc>
          </w:sdtContent>
        </w:sdt>
      </w:tr>
      <w:tr w14:paraId="316723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F6E566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实收资本（或股本）</w:t>
            </w:r>
          </w:p>
        </w:tc>
        <w:tc>
          <w:tcPr>
            <w:tcW w:w="550" w:type="pct"/>
            <w:tcBorders>
              <w:top w:val="outset" w:color="auto" w:sz="6" w:space="0"/>
              <w:left w:val="outset" w:color="auto" w:sz="6" w:space="0"/>
              <w:bottom w:val="outset" w:color="auto" w:sz="6" w:space="0"/>
              <w:right w:val="outset" w:color="auto" w:sz="6" w:space="0"/>
            </w:tcBorders>
            <w:vAlign w:val="center"/>
          </w:tcPr>
          <w:p w14:paraId="56F4D766">
            <w:pPr>
              <w:rPr>
                <w:rFonts w:hint="eastAsia"/>
              </w:rPr>
            </w:pPr>
            <w:r>
              <w:t>七、53</w:t>
            </w:r>
          </w:p>
        </w:tc>
        <w:tc>
          <w:tcPr>
            <w:tcW w:w="1139" w:type="pct"/>
            <w:tcBorders>
              <w:top w:val="outset" w:color="auto" w:sz="6" w:space="0"/>
              <w:left w:val="outset" w:color="auto" w:sz="6" w:space="0"/>
              <w:bottom w:val="outset" w:color="auto" w:sz="6" w:space="0"/>
              <w:right w:val="outset" w:color="auto" w:sz="6" w:space="0"/>
            </w:tcBorders>
            <w:vAlign w:val="center"/>
          </w:tcPr>
          <w:p w14:paraId="09F8502E">
            <w:pPr>
              <w:jc w:val="right"/>
              <w:rPr>
                <w:rFonts w:hint="eastAsia"/>
              </w:rPr>
            </w:pPr>
            <w:r>
              <w:rPr>
                <w:rFonts w:ascii="Arial Narrow" w:hAnsi="Arial Narrow" w:eastAsia="等线"/>
                <w:color w:val="000000"/>
                <w:szCs w:val="21"/>
              </w:rPr>
              <w:t xml:space="preserve">4,391,629,404.00 </w:t>
            </w:r>
          </w:p>
        </w:tc>
        <w:tc>
          <w:tcPr>
            <w:tcW w:w="1142" w:type="pct"/>
            <w:tcBorders>
              <w:top w:val="outset" w:color="auto" w:sz="6" w:space="0"/>
              <w:left w:val="outset" w:color="auto" w:sz="6" w:space="0"/>
              <w:bottom w:val="outset" w:color="auto" w:sz="6" w:space="0"/>
              <w:right w:val="outset" w:color="auto" w:sz="6" w:space="0"/>
            </w:tcBorders>
            <w:vAlign w:val="center"/>
          </w:tcPr>
          <w:p w14:paraId="1628AC50">
            <w:pPr>
              <w:jc w:val="right"/>
              <w:rPr>
                <w:rFonts w:hint="eastAsia"/>
              </w:rPr>
            </w:pPr>
            <w:r>
              <w:rPr>
                <w:rFonts w:ascii="Arial Narrow" w:hAnsi="Arial Narrow" w:eastAsia="等线"/>
                <w:color w:val="000000"/>
                <w:szCs w:val="21"/>
              </w:rPr>
              <w:t xml:space="preserve">4,391,629,404.00 </w:t>
            </w:r>
          </w:p>
        </w:tc>
      </w:tr>
      <w:tr w14:paraId="77BCE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26A5157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资本公积</w:t>
            </w:r>
          </w:p>
        </w:tc>
        <w:tc>
          <w:tcPr>
            <w:tcW w:w="550" w:type="pct"/>
            <w:tcBorders>
              <w:top w:val="outset" w:color="auto" w:sz="6" w:space="0"/>
              <w:left w:val="outset" w:color="auto" w:sz="6" w:space="0"/>
              <w:bottom w:val="outset" w:color="auto" w:sz="6" w:space="0"/>
              <w:right w:val="outset" w:color="auto" w:sz="6" w:space="0"/>
            </w:tcBorders>
            <w:vAlign w:val="center"/>
          </w:tcPr>
          <w:p w14:paraId="263623BE">
            <w:pPr>
              <w:rPr>
                <w:rFonts w:hint="eastAsia"/>
              </w:rPr>
            </w:pPr>
            <w:r>
              <w:t>七、55</w:t>
            </w:r>
          </w:p>
        </w:tc>
        <w:tc>
          <w:tcPr>
            <w:tcW w:w="1139" w:type="pct"/>
            <w:tcBorders>
              <w:top w:val="outset" w:color="auto" w:sz="6" w:space="0"/>
              <w:left w:val="outset" w:color="auto" w:sz="6" w:space="0"/>
              <w:bottom w:val="outset" w:color="auto" w:sz="6" w:space="0"/>
              <w:right w:val="outset" w:color="auto" w:sz="6" w:space="0"/>
            </w:tcBorders>
            <w:vAlign w:val="center"/>
          </w:tcPr>
          <w:p w14:paraId="060606DF">
            <w:pPr>
              <w:jc w:val="right"/>
              <w:rPr>
                <w:rFonts w:hint="eastAsia"/>
              </w:rPr>
            </w:pPr>
            <w:r>
              <w:rPr>
                <w:rFonts w:ascii="Arial Narrow" w:hAnsi="Arial Narrow" w:eastAsia="等线"/>
                <w:color w:val="000000"/>
                <w:szCs w:val="21"/>
              </w:rPr>
              <w:t xml:space="preserve">8,067,766,137.08 </w:t>
            </w:r>
          </w:p>
        </w:tc>
        <w:tc>
          <w:tcPr>
            <w:tcW w:w="1142" w:type="pct"/>
            <w:tcBorders>
              <w:top w:val="outset" w:color="auto" w:sz="6" w:space="0"/>
              <w:left w:val="outset" w:color="auto" w:sz="6" w:space="0"/>
              <w:bottom w:val="outset" w:color="auto" w:sz="6" w:space="0"/>
              <w:right w:val="outset" w:color="auto" w:sz="6" w:space="0"/>
            </w:tcBorders>
            <w:vAlign w:val="center"/>
          </w:tcPr>
          <w:p w14:paraId="30423A22">
            <w:pPr>
              <w:jc w:val="right"/>
              <w:rPr>
                <w:rFonts w:hint="eastAsia"/>
              </w:rPr>
            </w:pPr>
            <w:r>
              <w:rPr>
                <w:rFonts w:ascii="Arial Narrow" w:hAnsi="Arial Narrow" w:eastAsia="等线"/>
                <w:color w:val="000000"/>
                <w:szCs w:val="21"/>
              </w:rPr>
              <w:t xml:space="preserve">8,067,766,137.08 </w:t>
            </w:r>
          </w:p>
        </w:tc>
      </w:tr>
      <w:tr w14:paraId="5CD34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27A888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w:t>
            </w:r>
          </w:p>
        </w:tc>
        <w:tc>
          <w:tcPr>
            <w:tcW w:w="550" w:type="pct"/>
            <w:tcBorders>
              <w:top w:val="outset" w:color="auto" w:sz="6" w:space="0"/>
              <w:left w:val="outset" w:color="auto" w:sz="6" w:space="0"/>
              <w:bottom w:val="outset" w:color="auto" w:sz="6" w:space="0"/>
              <w:right w:val="outset" w:color="auto" w:sz="6" w:space="0"/>
            </w:tcBorders>
            <w:vAlign w:val="center"/>
          </w:tcPr>
          <w:p w14:paraId="21D36A92">
            <w:pPr>
              <w:rPr>
                <w:rFonts w:hint="eastAsia"/>
              </w:rPr>
            </w:pPr>
            <w:r>
              <w:t>七、57</w:t>
            </w:r>
          </w:p>
        </w:tc>
        <w:tc>
          <w:tcPr>
            <w:tcW w:w="1139" w:type="pct"/>
            <w:tcBorders>
              <w:top w:val="outset" w:color="auto" w:sz="6" w:space="0"/>
              <w:left w:val="outset" w:color="auto" w:sz="6" w:space="0"/>
              <w:bottom w:val="outset" w:color="auto" w:sz="6" w:space="0"/>
              <w:right w:val="outset" w:color="auto" w:sz="6" w:space="0"/>
            </w:tcBorders>
            <w:vAlign w:val="center"/>
          </w:tcPr>
          <w:p w14:paraId="46AC353C">
            <w:pPr>
              <w:jc w:val="right"/>
              <w:rPr>
                <w:rFonts w:hint="eastAsia"/>
              </w:rPr>
            </w:pPr>
            <w:r>
              <w:rPr>
                <w:rFonts w:ascii="Arial Narrow" w:hAnsi="Arial Narrow" w:eastAsia="等线"/>
                <w:color w:val="000000"/>
                <w:szCs w:val="21"/>
              </w:rPr>
              <w:t xml:space="preserve">-318,634,689.43 </w:t>
            </w:r>
          </w:p>
        </w:tc>
        <w:tc>
          <w:tcPr>
            <w:tcW w:w="1142" w:type="pct"/>
            <w:tcBorders>
              <w:top w:val="outset" w:color="auto" w:sz="6" w:space="0"/>
              <w:left w:val="outset" w:color="auto" w:sz="6" w:space="0"/>
              <w:bottom w:val="outset" w:color="auto" w:sz="6" w:space="0"/>
              <w:right w:val="outset" w:color="auto" w:sz="6" w:space="0"/>
            </w:tcBorders>
            <w:vAlign w:val="center"/>
          </w:tcPr>
          <w:p w14:paraId="5783229A">
            <w:pPr>
              <w:jc w:val="right"/>
              <w:rPr>
                <w:rFonts w:hint="eastAsia"/>
              </w:rPr>
            </w:pPr>
            <w:r>
              <w:rPr>
                <w:rFonts w:ascii="Arial Narrow" w:hAnsi="Arial Narrow" w:eastAsia="等线"/>
                <w:color w:val="000000"/>
                <w:szCs w:val="21"/>
              </w:rPr>
              <w:t xml:space="preserve">-188,407,871.25 </w:t>
            </w:r>
          </w:p>
        </w:tc>
      </w:tr>
      <w:tr w14:paraId="5E1BB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0253F5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专项储备</w:t>
            </w:r>
          </w:p>
        </w:tc>
        <w:tc>
          <w:tcPr>
            <w:tcW w:w="550" w:type="pct"/>
            <w:tcBorders>
              <w:top w:val="outset" w:color="auto" w:sz="6" w:space="0"/>
              <w:left w:val="outset" w:color="auto" w:sz="6" w:space="0"/>
              <w:bottom w:val="outset" w:color="auto" w:sz="6" w:space="0"/>
              <w:right w:val="outset" w:color="auto" w:sz="6" w:space="0"/>
            </w:tcBorders>
            <w:vAlign w:val="center"/>
          </w:tcPr>
          <w:p w14:paraId="1FFAB9C1">
            <w:pPr>
              <w:rPr>
                <w:rFonts w:hint="eastAsia"/>
              </w:rPr>
            </w:pPr>
            <w:r>
              <w:t>七、58</w:t>
            </w:r>
          </w:p>
        </w:tc>
        <w:tc>
          <w:tcPr>
            <w:tcW w:w="1139" w:type="pct"/>
            <w:tcBorders>
              <w:top w:val="outset" w:color="auto" w:sz="6" w:space="0"/>
              <w:left w:val="outset" w:color="auto" w:sz="6" w:space="0"/>
              <w:bottom w:val="outset" w:color="auto" w:sz="6" w:space="0"/>
              <w:right w:val="outset" w:color="auto" w:sz="6" w:space="0"/>
            </w:tcBorders>
            <w:vAlign w:val="center"/>
          </w:tcPr>
          <w:p w14:paraId="70B4E4D9">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66BC3A76">
            <w:pPr>
              <w:jc w:val="right"/>
              <w:rPr>
                <w:rFonts w:hint="eastAsia"/>
              </w:rPr>
            </w:pPr>
          </w:p>
        </w:tc>
      </w:tr>
      <w:tr w14:paraId="49900E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67F3366B">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盈余公积</w:t>
            </w:r>
          </w:p>
        </w:tc>
        <w:tc>
          <w:tcPr>
            <w:tcW w:w="550" w:type="pct"/>
            <w:tcBorders>
              <w:top w:val="outset" w:color="auto" w:sz="6" w:space="0"/>
              <w:left w:val="outset" w:color="auto" w:sz="6" w:space="0"/>
              <w:bottom w:val="outset" w:color="auto" w:sz="6" w:space="0"/>
              <w:right w:val="outset" w:color="auto" w:sz="6" w:space="0"/>
            </w:tcBorders>
            <w:vAlign w:val="center"/>
          </w:tcPr>
          <w:p w14:paraId="787B97EF">
            <w:pPr>
              <w:rPr>
                <w:rFonts w:hint="eastAsia"/>
              </w:rPr>
            </w:pPr>
            <w:r>
              <w:t>七、59</w:t>
            </w:r>
          </w:p>
        </w:tc>
        <w:tc>
          <w:tcPr>
            <w:tcW w:w="1139" w:type="pct"/>
            <w:tcBorders>
              <w:top w:val="outset" w:color="auto" w:sz="6" w:space="0"/>
              <w:left w:val="outset" w:color="auto" w:sz="6" w:space="0"/>
              <w:bottom w:val="outset" w:color="auto" w:sz="6" w:space="0"/>
              <w:right w:val="outset" w:color="auto" w:sz="6" w:space="0"/>
            </w:tcBorders>
            <w:vAlign w:val="center"/>
          </w:tcPr>
          <w:p w14:paraId="3880AFB3">
            <w:pPr>
              <w:jc w:val="right"/>
              <w:rPr>
                <w:rFonts w:hint="eastAsia"/>
              </w:rPr>
            </w:pPr>
            <w:r>
              <w:rPr>
                <w:rFonts w:ascii="Arial Narrow" w:hAnsi="Arial Narrow" w:eastAsia="等线"/>
                <w:color w:val="000000"/>
                <w:szCs w:val="21"/>
              </w:rPr>
              <w:t xml:space="preserve">369,677,423.82 </w:t>
            </w:r>
          </w:p>
        </w:tc>
        <w:tc>
          <w:tcPr>
            <w:tcW w:w="1142" w:type="pct"/>
            <w:tcBorders>
              <w:top w:val="outset" w:color="auto" w:sz="6" w:space="0"/>
              <w:left w:val="outset" w:color="auto" w:sz="6" w:space="0"/>
              <w:bottom w:val="outset" w:color="auto" w:sz="6" w:space="0"/>
              <w:right w:val="outset" w:color="auto" w:sz="6" w:space="0"/>
            </w:tcBorders>
            <w:vAlign w:val="center"/>
          </w:tcPr>
          <w:p w14:paraId="3BE133E1">
            <w:pPr>
              <w:jc w:val="right"/>
              <w:rPr>
                <w:rFonts w:hint="eastAsia"/>
              </w:rPr>
            </w:pPr>
            <w:r>
              <w:rPr>
                <w:rFonts w:ascii="Arial Narrow" w:hAnsi="Arial Narrow" w:eastAsia="等线"/>
                <w:color w:val="000000"/>
                <w:szCs w:val="21"/>
              </w:rPr>
              <w:t xml:space="preserve">369,657,198.90 </w:t>
            </w:r>
          </w:p>
        </w:tc>
      </w:tr>
      <w:tr w14:paraId="17BE9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479A42D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未分配利润</w:t>
            </w:r>
          </w:p>
        </w:tc>
        <w:tc>
          <w:tcPr>
            <w:tcW w:w="550" w:type="pct"/>
            <w:tcBorders>
              <w:top w:val="outset" w:color="auto" w:sz="6" w:space="0"/>
              <w:left w:val="outset" w:color="auto" w:sz="6" w:space="0"/>
              <w:bottom w:val="outset" w:color="auto" w:sz="6" w:space="0"/>
              <w:right w:val="outset" w:color="auto" w:sz="6" w:space="0"/>
            </w:tcBorders>
            <w:vAlign w:val="center"/>
          </w:tcPr>
          <w:p w14:paraId="0401EF98">
            <w:pPr>
              <w:rPr>
                <w:rFonts w:hint="eastAsia"/>
              </w:rPr>
            </w:pPr>
            <w:r>
              <w:t>七、60</w:t>
            </w:r>
          </w:p>
        </w:tc>
        <w:tc>
          <w:tcPr>
            <w:tcW w:w="1139" w:type="pct"/>
            <w:tcBorders>
              <w:top w:val="outset" w:color="auto" w:sz="6" w:space="0"/>
              <w:left w:val="outset" w:color="auto" w:sz="6" w:space="0"/>
              <w:bottom w:val="outset" w:color="auto" w:sz="6" w:space="0"/>
              <w:right w:val="outset" w:color="auto" w:sz="6" w:space="0"/>
            </w:tcBorders>
            <w:vAlign w:val="center"/>
          </w:tcPr>
          <w:p w14:paraId="59515F60">
            <w:pPr>
              <w:jc w:val="right"/>
              <w:rPr>
                <w:rFonts w:hint="eastAsia"/>
              </w:rPr>
            </w:pPr>
            <w:r>
              <w:rPr>
                <w:rFonts w:ascii="Arial Narrow" w:hAnsi="Arial Narrow" w:eastAsia="等线"/>
                <w:color w:val="000000"/>
                <w:szCs w:val="21"/>
              </w:rPr>
              <w:t xml:space="preserve">103,250,332.59 </w:t>
            </w:r>
          </w:p>
        </w:tc>
        <w:tc>
          <w:tcPr>
            <w:tcW w:w="1142" w:type="pct"/>
            <w:tcBorders>
              <w:top w:val="outset" w:color="auto" w:sz="6" w:space="0"/>
              <w:left w:val="outset" w:color="auto" w:sz="6" w:space="0"/>
              <w:bottom w:val="outset" w:color="auto" w:sz="6" w:space="0"/>
              <w:right w:val="outset" w:color="auto" w:sz="6" w:space="0"/>
            </w:tcBorders>
            <w:vAlign w:val="center"/>
          </w:tcPr>
          <w:p w14:paraId="21C4D8D1">
            <w:pPr>
              <w:jc w:val="right"/>
              <w:rPr>
                <w:rFonts w:hint="eastAsia"/>
              </w:rPr>
            </w:pPr>
            <w:r>
              <w:rPr>
                <w:rFonts w:ascii="Arial Narrow" w:hAnsi="Arial Narrow" w:eastAsia="等线"/>
                <w:color w:val="000000"/>
                <w:szCs w:val="21"/>
              </w:rPr>
              <w:t xml:space="preserve">4,463,369,702.05 </w:t>
            </w:r>
          </w:p>
        </w:tc>
      </w:tr>
      <w:tr w14:paraId="5208E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0586BFE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归属于母公司所有者权益（或股东权益）合计</w:t>
            </w:r>
          </w:p>
        </w:tc>
        <w:tc>
          <w:tcPr>
            <w:tcW w:w="550" w:type="pct"/>
            <w:tcBorders>
              <w:top w:val="outset" w:color="auto" w:sz="6" w:space="0"/>
              <w:left w:val="outset" w:color="auto" w:sz="6" w:space="0"/>
              <w:bottom w:val="outset" w:color="auto" w:sz="6" w:space="0"/>
              <w:right w:val="outset" w:color="auto" w:sz="6" w:space="0"/>
            </w:tcBorders>
          </w:tcPr>
          <w:p w14:paraId="1D7DE61B">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01F148B8">
            <w:pPr>
              <w:jc w:val="right"/>
              <w:rPr>
                <w:rFonts w:hint="eastAsia"/>
              </w:rPr>
            </w:pPr>
            <w:r>
              <w:rPr>
                <w:rFonts w:ascii="Arial Narrow" w:hAnsi="Arial Narrow" w:eastAsia="等线"/>
                <w:color w:val="000000"/>
                <w:szCs w:val="21"/>
              </w:rPr>
              <w:t xml:space="preserve">12,613,688,608.06 </w:t>
            </w:r>
          </w:p>
        </w:tc>
        <w:tc>
          <w:tcPr>
            <w:tcW w:w="1142" w:type="pct"/>
            <w:tcBorders>
              <w:top w:val="outset" w:color="auto" w:sz="6" w:space="0"/>
              <w:left w:val="outset" w:color="auto" w:sz="6" w:space="0"/>
              <w:bottom w:val="outset" w:color="auto" w:sz="6" w:space="0"/>
              <w:right w:val="outset" w:color="auto" w:sz="6" w:space="0"/>
            </w:tcBorders>
            <w:vAlign w:val="center"/>
          </w:tcPr>
          <w:p w14:paraId="207F6315">
            <w:pPr>
              <w:jc w:val="right"/>
              <w:rPr>
                <w:rFonts w:hint="eastAsia"/>
              </w:rPr>
            </w:pPr>
            <w:r>
              <w:rPr>
                <w:rFonts w:ascii="Arial Narrow" w:hAnsi="Arial Narrow" w:eastAsia="等线"/>
                <w:color w:val="000000"/>
                <w:szCs w:val="21"/>
              </w:rPr>
              <w:t xml:space="preserve">17,104,014,570.78 </w:t>
            </w:r>
          </w:p>
        </w:tc>
      </w:tr>
      <w:tr w14:paraId="5F3B1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3A40C0A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少数股东权益</w:t>
            </w:r>
          </w:p>
        </w:tc>
        <w:tc>
          <w:tcPr>
            <w:tcW w:w="550" w:type="pct"/>
            <w:tcBorders>
              <w:top w:val="outset" w:color="auto" w:sz="6" w:space="0"/>
              <w:left w:val="outset" w:color="auto" w:sz="6" w:space="0"/>
              <w:bottom w:val="outset" w:color="auto" w:sz="6" w:space="0"/>
              <w:right w:val="outset" w:color="auto" w:sz="6" w:space="0"/>
            </w:tcBorders>
          </w:tcPr>
          <w:p w14:paraId="612BED15">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6D3328BA">
            <w:pPr>
              <w:jc w:val="right"/>
              <w:rPr>
                <w:rFonts w:hint="eastAsia"/>
              </w:rPr>
            </w:pPr>
            <w:r>
              <w:rPr>
                <w:rFonts w:ascii="Arial Narrow" w:hAnsi="Arial Narrow" w:eastAsia="等线"/>
                <w:color w:val="000000"/>
                <w:szCs w:val="21"/>
              </w:rPr>
              <w:t xml:space="preserve">-98,740,594.34 </w:t>
            </w:r>
          </w:p>
        </w:tc>
        <w:tc>
          <w:tcPr>
            <w:tcW w:w="1142" w:type="pct"/>
            <w:tcBorders>
              <w:top w:val="outset" w:color="auto" w:sz="6" w:space="0"/>
              <w:left w:val="outset" w:color="auto" w:sz="6" w:space="0"/>
              <w:bottom w:val="outset" w:color="auto" w:sz="6" w:space="0"/>
              <w:right w:val="outset" w:color="auto" w:sz="6" w:space="0"/>
            </w:tcBorders>
            <w:vAlign w:val="center"/>
          </w:tcPr>
          <w:p w14:paraId="5EAE4933">
            <w:pPr>
              <w:jc w:val="right"/>
              <w:rPr>
                <w:rFonts w:hint="eastAsia"/>
              </w:rPr>
            </w:pPr>
            <w:r>
              <w:rPr>
                <w:rFonts w:ascii="Arial Narrow" w:hAnsi="Arial Narrow" w:eastAsia="等线"/>
                <w:color w:val="000000"/>
                <w:szCs w:val="21"/>
              </w:rPr>
              <w:t xml:space="preserve">-65,174,646.01 </w:t>
            </w:r>
          </w:p>
        </w:tc>
      </w:tr>
      <w:tr w14:paraId="5EA758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79E551D0">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所有者权益（或股东权益）合计</w:t>
            </w:r>
          </w:p>
        </w:tc>
        <w:tc>
          <w:tcPr>
            <w:tcW w:w="550" w:type="pct"/>
            <w:tcBorders>
              <w:top w:val="outset" w:color="auto" w:sz="6" w:space="0"/>
              <w:left w:val="outset" w:color="auto" w:sz="6" w:space="0"/>
              <w:bottom w:val="outset" w:color="auto" w:sz="6" w:space="0"/>
              <w:right w:val="outset" w:color="auto" w:sz="6" w:space="0"/>
            </w:tcBorders>
          </w:tcPr>
          <w:p w14:paraId="6D8089A0">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772CC312">
            <w:pPr>
              <w:jc w:val="right"/>
              <w:rPr>
                <w:rFonts w:hint="eastAsia"/>
              </w:rPr>
            </w:pPr>
            <w:r>
              <w:rPr>
                <w:rFonts w:ascii="Arial Narrow" w:hAnsi="Arial Narrow" w:eastAsia="等线"/>
                <w:color w:val="000000"/>
                <w:szCs w:val="21"/>
              </w:rPr>
              <w:t xml:space="preserve">12,514,948,013.72 </w:t>
            </w:r>
          </w:p>
        </w:tc>
        <w:tc>
          <w:tcPr>
            <w:tcW w:w="1142" w:type="pct"/>
            <w:tcBorders>
              <w:top w:val="outset" w:color="auto" w:sz="6" w:space="0"/>
              <w:left w:val="outset" w:color="auto" w:sz="6" w:space="0"/>
              <w:bottom w:val="outset" w:color="auto" w:sz="6" w:space="0"/>
              <w:right w:val="outset" w:color="auto" w:sz="6" w:space="0"/>
            </w:tcBorders>
            <w:vAlign w:val="center"/>
          </w:tcPr>
          <w:p w14:paraId="0B4484CD">
            <w:pPr>
              <w:jc w:val="right"/>
              <w:rPr>
                <w:rFonts w:hint="eastAsia"/>
              </w:rPr>
            </w:pPr>
            <w:r>
              <w:rPr>
                <w:rFonts w:ascii="Arial Narrow" w:hAnsi="Arial Narrow" w:eastAsia="等线"/>
                <w:color w:val="000000"/>
                <w:szCs w:val="21"/>
              </w:rPr>
              <w:t xml:space="preserve">17,038,839,924.77 </w:t>
            </w:r>
          </w:p>
        </w:tc>
      </w:tr>
      <w:tr w14:paraId="7A3194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9" w:type="pct"/>
            <w:tcBorders>
              <w:top w:val="outset" w:color="auto" w:sz="6" w:space="0"/>
              <w:left w:val="outset" w:color="auto" w:sz="6" w:space="0"/>
              <w:bottom w:val="outset" w:color="auto" w:sz="6" w:space="0"/>
              <w:right w:val="outset" w:color="auto" w:sz="6" w:space="0"/>
            </w:tcBorders>
            <w:vAlign w:val="center"/>
          </w:tcPr>
          <w:p w14:paraId="54F38C24">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负债和所有者权益（或股东权益）总计</w:t>
            </w:r>
          </w:p>
        </w:tc>
        <w:tc>
          <w:tcPr>
            <w:tcW w:w="550" w:type="pct"/>
            <w:tcBorders>
              <w:top w:val="outset" w:color="auto" w:sz="6" w:space="0"/>
              <w:left w:val="outset" w:color="auto" w:sz="6" w:space="0"/>
              <w:bottom w:val="outset" w:color="auto" w:sz="6" w:space="0"/>
              <w:right w:val="outset" w:color="auto" w:sz="6" w:space="0"/>
            </w:tcBorders>
          </w:tcPr>
          <w:p w14:paraId="1E5418D2">
            <w:pPr>
              <w:rPr>
                <w:rFonts w:hint="eastAsia"/>
              </w:rPr>
            </w:pPr>
          </w:p>
        </w:tc>
        <w:tc>
          <w:tcPr>
            <w:tcW w:w="1139" w:type="pct"/>
            <w:tcBorders>
              <w:top w:val="outset" w:color="auto" w:sz="6" w:space="0"/>
              <w:left w:val="outset" w:color="auto" w:sz="6" w:space="0"/>
              <w:bottom w:val="outset" w:color="auto" w:sz="6" w:space="0"/>
              <w:right w:val="outset" w:color="auto" w:sz="6" w:space="0"/>
            </w:tcBorders>
            <w:vAlign w:val="center"/>
          </w:tcPr>
          <w:p w14:paraId="1B48FEAB">
            <w:pPr>
              <w:jc w:val="right"/>
              <w:rPr>
                <w:rFonts w:hint="eastAsia"/>
              </w:rPr>
            </w:pPr>
            <w:r>
              <w:rPr>
                <w:rFonts w:ascii="Arial Narrow" w:hAnsi="Arial Narrow" w:eastAsia="等线"/>
                <w:color w:val="000000"/>
                <w:szCs w:val="21"/>
              </w:rPr>
              <w:t xml:space="preserve">21,172,865,094.07 </w:t>
            </w:r>
          </w:p>
        </w:tc>
        <w:tc>
          <w:tcPr>
            <w:tcW w:w="1142" w:type="pct"/>
            <w:tcBorders>
              <w:top w:val="outset" w:color="auto" w:sz="6" w:space="0"/>
              <w:left w:val="outset" w:color="auto" w:sz="6" w:space="0"/>
              <w:bottom w:val="outset" w:color="auto" w:sz="6" w:space="0"/>
              <w:right w:val="outset" w:color="auto" w:sz="6" w:space="0"/>
            </w:tcBorders>
            <w:vAlign w:val="center"/>
          </w:tcPr>
          <w:p w14:paraId="5A5E9972">
            <w:pPr>
              <w:jc w:val="right"/>
              <w:rPr>
                <w:rFonts w:hint="eastAsia"/>
              </w:rPr>
            </w:pPr>
            <w:r>
              <w:rPr>
                <w:rFonts w:ascii="Arial Narrow" w:hAnsi="Arial Narrow" w:eastAsia="等线"/>
                <w:color w:val="000000"/>
                <w:szCs w:val="21"/>
              </w:rPr>
              <w:t xml:space="preserve">26,435,041,272.53 </w:t>
            </w:r>
          </w:p>
        </w:tc>
      </w:tr>
      <w:bookmarkEnd w:id="203"/>
    </w:tbl>
    <w:p w14:paraId="2628F3B2">
      <w:pPr>
        <w:ind w:right="-153" w:rightChars="-73"/>
        <w:rPr>
          <w:rFonts w:hint="eastAsia"/>
          <w:szCs w:val="21"/>
        </w:rPr>
      </w:pPr>
    </w:p>
    <w:p w14:paraId="396DAF32">
      <w:pPr>
        <w:ind w:right="-153" w:rightChars="-73"/>
        <w:rPr>
          <w:rFonts w:hint="eastAsia"/>
          <w:szCs w:val="21"/>
        </w:rPr>
      </w:pPr>
    </w:p>
    <w:p w14:paraId="5B1B4738">
      <w:pPr>
        <w:ind w:right="-153" w:rightChars="-73"/>
        <w:rPr>
          <w:rFonts w:hint="eastAsia"/>
          <w:color w:val="008000"/>
          <w:szCs w:val="21"/>
          <w:u w:val="single"/>
        </w:rPr>
      </w:pPr>
      <w:r>
        <w:rPr>
          <w:rFonts w:hint="eastAsia"/>
          <w:szCs w:val="21"/>
        </w:rPr>
        <w:t>公司负责</w:t>
      </w:r>
      <w:r>
        <w:rPr>
          <w:szCs w:val="21"/>
        </w:rPr>
        <w:t>人</w:t>
      </w:r>
      <w:r>
        <w:rPr>
          <w:rFonts w:hint="eastAsia"/>
          <w:szCs w:val="21"/>
        </w:rPr>
        <w:t>：</w:t>
      </w:r>
      <w:sdt>
        <w:sdtPr>
          <w:rPr>
            <w:rFonts w:hint="eastAsia"/>
            <w:szCs w:val="21"/>
          </w:rPr>
          <w:alias w:val="公司负责人姓名"/>
          <w:tag w:val="_GBC_295740a12aa8498286bf2ef11896dbe9"/>
          <w:id w:val="450526020"/>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095c1df7dd6b412590466f3e711cd1e6"/>
          <w:id w:val="969481282"/>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9cb47d6db784ba8a6b148d9331df451"/>
          <w:id w:val="1669214134"/>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52568230">
      <w:pPr>
        <w:rPr>
          <w:rFonts w:hint="eastAsia"/>
        </w:rPr>
      </w:pPr>
    </w:p>
    <w:p w14:paraId="6CFBA58F">
      <w:pPr>
        <w:rPr>
          <w:rFonts w:hint="eastAsia"/>
        </w:rPr>
      </w:pPr>
    </w:p>
    <w:p w14:paraId="535571E6">
      <w:pPr>
        <w:rPr>
          <w:rFonts w:hint="eastAsia"/>
        </w:rPr>
      </w:pPr>
    </w:p>
    <w:p w14:paraId="1C3467BB">
      <w:pPr>
        <w:pStyle w:val="70"/>
        <w:jc w:val="center"/>
      </w:pPr>
      <w:bookmarkStart w:id="204" w:name="_Hlk24034197"/>
      <w:r>
        <w:rPr>
          <w:rFonts w:hint="eastAsia"/>
        </w:rPr>
        <w:t>母公司</w:t>
      </w:r>
      <w:r>
        <w:t>资产负债表</w:t>
      </w:r>
    </w:p>
    <w:p w14:paraId="217C2815">
      <w:pPr>
        <w:jc w:val="center"/>
        <w:rPr>
          <w:rFonts w:hint="eastAsia"/>
          <w:b/>
          <w:bCs/>
          <w:szCs w:val="21"/>
        </w:rPr>
      </w:pPr>
      <w:r>
        <w:rPr>
          <w:szCs w:val="21"/>
        </w:rPr>
        <w:t>2024年12月31日</w:t>
      </w:r>
    </w:p>
    <w:p w14:paraId="331A7B7B">
      <w:pPr>
        <w:rPr>
          <w:rFonts w:hint="eastAsia"/>
          <w:szCs w:val="21"/>
        </w:rPr>
      </w:pPr>
      <w:r>
        <w:rPr>
          <w:szCs w:val="21"/>
        </w:rPr>
        <w:t>编制单位</w:t>
      </w:r>
      <w:r>
        <w:rPr>
          <w:rFonts w:hint="eastAsia"/>
          <w:szCs w:val="21"/>
        </w:rPr>
        <w:t>：</w:t>
      </w:r>
      <w:sdt>
        <w:sdtPr>
          <w:rPr>
            <w:szCs w:val="21"/>
          </w:rPr>
          <w:alias w:val="公司法定中文名称"/>
          <w:tag w:val="_GBC_476f9df1cf8d4d36868d3058a4da7d15"/>
          <w:id w:val="-1246262534"/>
          <w:placeholder>
            <w:docPart w:val="GBC22222222222222222222222222222"/>
          </w:placeholder>
          <w:dataBinding w:prefixMappings="xmlns:clcid-cgi='clcid-cgi'" w:xpath="/*/clcid-cgi:GongSiFaDingZhongWenMingCheng[not(@periodRef)]" w:storeItemID="{89EBAB94-44A0-46A2-B712-30D997D04A6D}"/>
          <w:text/>
        </w:sdtPr>
        <w:sdtEndPr>
          <w:rPr>
            <w:szCs w:val="21"/>
          </w:rPr>
        </w:sdtEndPr>
        <w:sdtContent>
          <w:r>
            <w:rPr>
              <w:szCs w:val="21"/>
            </w:rPr>
            <w:t>际华集团股份有限公司</w:t>
          </w:r>
        </w:sdtContent>
      </w:sdt>
      <w:r>
        <w:rPr>
          <w:szCs w:val="21"/>
        </w:rPr>
        <w:t> </w:t>
      </w:r>
    </w:p>
    <w:p w14:paraId="19FFECF6">
      <w:pPr>
        <w:jc w:val="right"/>
        <w:rPr>
          <w:rFonts w:hint="eastAsia"/>
          <w:szCs w:val="21"/>
        </w:rPr>
      </w:pPr>
      <w:r>
        <w:rPr>
          <w:szCs w:val="21"/>
        </w:rPr>
        <w:t>单位：</w:t>
      </w:r>
      <w:sdt>
        <w:sdtPr>
          <w:rPr>
            <w:szCs w:val="21"/>
          </w:rPr>
          <w:alias w:val="单位：母公司资产负债表"/>
          <w:tag w:val="_GBC_e3e6bb2b9b89482085daf4528af32780"/>
          <w:id w:val="-64524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母公司资产负债表"/>
          <w:tag w:val="_GBC_31e3f7c7e30144c684d9b3387d64ec2f"/>
          <w:id w:val="-5834477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818"/>
        <w:gridCol w:w="969"/>
        <w:gridCol w:w="2008"/>
        <w:gridCol w:w="2011"/>
      </w:tblGrid>
      <w:tr w14:paraId="4BDBA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tag w:val="_PLD_e123561b4eea486cbee629a83db9ddc0"/>
            <w:id w:val="-1835591421"/>
          </w:sdtPr>
          <w:sdtContent>
            <w:tc>
              <w:tcPr>
                <w:tcW w:w="2168" w:type="pct"/>
                <w:tcBorders>
                  <w:top w:val="outset" w:color="auto" w:sz="6" w:space="0"/>
                  <w:left w:val="outset" w:color="auto" w:sz="6" w:space="0"/>
                  <w:bottom w:val="outset" w:color="auto" w:sz="6" w:space="0"/>
                  <w:right w:val="outset" w:color="auto" w:sz="6" w:space="0"/>
                </w:tcBorders>
                <w:vAlign w:val="center"/>
              </w:tcPr>
              <w:p w14:paraId="0A325397">
                <w:pPr>
                  <w:jc w:val="center"/>
                  <w:rPr>
                    <w:rFonts w:hint="eastAsia"/>
                    <w:b/>
                    <w:bCs/>
                    <w:color w:val="000000" w:themeColor="text1"/>
                    <w14:textFill>
                      <w14:solidFill>
                        <w14:schemeClr w14:val="tx1"/>
                      </w14:solidFill>
                    </w14:textFill>
                  </w:rPr>
                </w:pPr>
                <w:bookmarkStart w:id="205" w:name="_Hlk105686791"/>
                <w:r>
                  <w:rPr>
                    <w:b/>
                    <w:color w:val="000000" w:themeColor="text1"/>
                    <w14:textFill>
                      <w14:solidFill>
                        <w14:schemeClr w14:val="tx1"/>
                      </w14:solidFill>
                    </w14:textFill>
                  </w:rPr>
                  <w:t>项目</w:t>
                </w:r>
              </w:p>
            </w:tc>
          </w:sdtContent>
        </w:sdt>
        <w:sdt>
          <w:sdtPr>
            <w:tag w:val="_PLD_06c4ac69e0084d108604170c58444649"/>
            <w:id w:val="-667788008"/>
          </w:sdtPr>
          <w:sdtContent>
            <w:tc>
              <w:tcPr>
                <w:tcW w:w="550" w:type="pct"/>
                <w:tcBorders>
                  <w:top w:val="outset" w:color="auto" w:sz="6" w:space="0"/>
                  <w:left w:val="outset" w:color="auto" w:sz="6" w:space="0"/>
                  <w:bottom w:val="outset" w:color="auto" w:sz="6" w:space="0"/>
                  <w:right w:val="outset" w:color="auto" w:sz="6" w:space="0"/>
                </w:tcBorders>
                <w:vAlign w:val="center"/>
              </w:tcPr>
              <w:p w14:paraId="47BD8080">
                <w:pPr>
                  <w:jc w:val="center"/>
                  <w:rPr>
                    <w:rFonts w:hint="eastAsia"/>
                    <w:b/>
                    <w:bCs/>
                    <w:color w:val="000000" w:themeColor="text1"/>
                    <w14:textFill>
                      <w14:solidFill>
                        <w14:schemeClr w14:val="tx1"/>
                      </w14:solidFill>
                    </w14:textFill>
                  </w:rPr>
                </w:pPr>
                <w:r>
                  <w:rPr>
                    <w:rFonts w:hint="eastAsia"/>
                    <w:b/>
                    <w:color w:val="000000" w:themeColor="text1"/>
                    <w14:textFill>
                      <w14:solidFill>
                        <w14:schemeClr w14:val="tx1"/>
                      </w14:solidFill>
                    </w14:textFill>
                  </w:rPr>
                  <w:t>附注</w:t>
                </w:r>
              </w:p>
            </w:tc>
          </w:sdtContent>
        </w:sdt>
        <w:sdt>
          <w:sdtPr>
            <w:tag w:val="_PLD_b1c54371985a4504b749b9d71cf1412e"/>
            <w:id w:val="-1375844572"/>
          </w:sdtPr>
          <w:sdtContent>
            <w:tc>
              <w:tcPr>
                <w:tcW w:w="1140" w:type="pct"/>
                <w:tcBorders>
                  <w:top w:val="outset" w:color="auto" w:sz="6" w:space="0"/>
                  <w:left w:val="outset" w:color="auto" w:sz="6" w:space="0"/>
                  <w:bottom w:val="outset" w:color="auto" w:sz="6" w:space="0"/>
                  <w:right w:val="outset" w:color="auto" w:sz="6" w:space="0"/>
                </w:tcBorders>
                <w:vAlign w:val="center"/>
              </w:tcPr>
              <w:p w14:paraId="4BF794A0">
                <w:pPr>
                  <w:jc w:val="center"/>
                  <w:rPr>
                    <w:rFonts w:hint="eastAsia"/>
                    <w:b/>
                    <w:bCs/>
                    <w:color w:val="000000" w:themeColor="text1"/>
                    <w14:textFill>
                      <w14:solidFill>
                        <w14:schemeClr w14:val="tx1"/>
                      </w14:solidFill>
                    </w14:textFill>
                  </w:rPr>
                </w:pPr>
                <w:r>
                  <w:rPr>
                    <w:rFonts w:hint="eastAsia"/>
                    <w:b/>
                    <w:color w:val="000000" w:themeColor="text1"/>
                    <w14:textFill>
                      <w14:solidFill>
                        <w14:schemeClr w14:val="tx1"/>
                      </w14:solidFill>
                    </w14:textFill>
                  </w:rPr>
                  <w:t>2024年12月</w:t>
                </w:r>
                <w:r>
                  <w:rPr>
                    <w:b/>
                    <w:color w:val="000000" w:themeColor="text1"/>
                    <w14:textFill>
                      <w14:solidFill>
                        <w14:schemeClr w14:val="tx1"/>
                      </w14:solidFill>
                    </w14:textFill>
                  </w:rPr>
                  <w:t>3</w:t>
                </w:r>
                <w:r>
                  <w:rPr>
                    <w:rFonts w:hint="eastAsia"/>
                    <w:b/>
                    <w:color w:val="000000" w:themeColor="text1"/>
                    <w14:textFill>
                      <w14:solidFill>
                        <w14:schemeClr w14:val="tx1"/>
                      </w14:solidFill>
                    </w14:textFill>
                  </w:rPr>
                  <w:t>1日</w:t>
                </w:r>
              </w:p>
            </w:tc>
          </w:sdtContent>
        </w:sdt>
        <w:sdt>
          <w:sdtPr>
            <w:tag w:val="_PLD_26edb5cd36ce4083a97dc26772b099ab"/>
            <w:id w:val="-2138407564"/>
          </w:sdtPr>
          <w:sdtContent>
            <w:tc>
              <w:tcPr>
                <w:tcW w:w="1142" w:type="pct"/>
                <w:tcBorders>
                  <w:top w:val="outset" w:color="auto" w:sz="6" w:space="0"/>
                  <w:left w:val="outset" w:color="auto" w:sz="6" w:space="0"/>
                  <w:bottom w:val="outset" w:color="auto" w:sz="6" w:space="0"/>
                  <w:right w:val="outset" w:color="auto" w:sz="6" w:space="0"/>
                </w:tcBorders>
                <w:vAlign w:val="center"/>
              </w:tcPr>
              <w:p w14:paraId="740DAE11">
                <w:pPr>
                  <w:jc w:val="center"/>
                  <w:rPr>
                    <w:rFonts w:hint="eastAsia"/>
                    <w:b/>
                    <w:bCs/>
                    <w:color w:val="000000" w:themeColor="text1"/>
                    <w14:textFill>
                      <w14:solidFill>
                        <w14:schemeClr w14:val="tx1"/>
                      </w14:solidFill>
                    </w14:textFill>
                  </w:rPr>
                </w:pPr>
                <w:r>
                  <w:rPr>
                    <w:b/>
                    <w:color w:val="000000" w:themeColor="text1"/>
                    <w14:textFill>
                      <w14:solidFill>
                        <w14:schemeClr w14:val="tx1"/>
                      </w14:solidFill>
                    </w14:textFill>
                  </w:rPr>
                  <w:t>2023年12月31日</w:t>
                </w:r>
              </w:p>
            </w:tc>
          </w:sdtContent>
        </w:sdt>
      </w:tr>
      <w:tr w14:paraId="5AB277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54d834a04b8464892f4dccc28fbd9e0"/>
            <w:id w:val="390702688"/>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451F3EA1">
                <w:pPr>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流动资产：</w:t>
                </w:r>
              </w:p>
            </w:tc>
          </w:sdtContent>
        </w:sdt>
      </w:tr>
      <w:tr w14:paraId="2ED04D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0B90581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货币资金</w:t>
            </w:r>
          </w:p>
        </w:tc>
        <w:tc>
          <w:tcPr>
            <w:tcW w:w="550" w:type="pct"/>
            <w:tcBorders>
              <w:top w:val="outset" w:color="auto" w:sz="6" w:space="0"/>
              <w:left w:val="outset" w:color="auto" w:sz="6" w:space="0"/>
              <w:bottom w:val="outset" w:color="auto" w:sz="6" w:space="0"/>
              <w:right w:val="outset" w:color="auto" w:sz="6" w:space="0"/>
            </w:tcBorders>
            <w:vAlign w:val="center"/>
          </w:tcPr>
          <w:p w14:paraId="3B907247">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2F7CD44D">
            <w:pPr>
              <w:jc w:val="right"/>
              <w:rPr>
                <w:rFonts w:hint="eastAsia"/>
              </w:rPr>
            </w:pPr>
            <w:r>
              <w:rPr>
                <w:rFonts w:ascii="Arial Narrow" w:hAnsi="Arial Narrow" w:eastAsia="等线"/>
                <w:color w:val="000000"/>
                <w:szCs w:val="21"/>
              </w:rPr>
              <w:t xml:space="preserve">1,994,742,011.78 </w:t>
            </w:r>
          </w:p>
        </w:tc>
        <w:tc>
          <w:tcPr>
            <w:tcW w:w="1142" w:type="pct"/>
            <w:tcBorders>
              <w:top w:val="outset" w:color="auto" w:sz="6" w:space="0"/>
              <w:left w:val="outset" w:color="auto" w:sz="6" w:space="0"/>
              <w:bottom w:val="outset" w:color="auto" w:sz="6" w:space="0"/>
              <w:right w:val="outset" w:color="auto" w:sz="6" w:space="0"/>
            </w:tcBorders>
            <w:vAlign w:val="center"/>
          </w:tcPr>
          <w:p w14:paraId="62E964E3">
            <w:pPr>
              <w:jc w:val="right"/>
              <w:rPr>
                <w:rFonts w:hint="eastAsia"/>
              </w:rPr>
            </w:pPr>
            <w:r>
              <w:rPr>
                <w:rFonts w:ascii="Arial Narrow" w:hAnsi="Arial Narrow" w:eastAsia="等线"/>
                <w:color w:val="000000"/>
                <w:szCs w:val="21"/>
              </w:rPr>
              <w:t xml:space="preserve">3,088,280,869.40 </w:t>
            </w:r>
          </w:p>
        </w:tc>
      </w:tr>
      <w:tr w14:paraId="7DB618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59F95CD7">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应收票据</w:t>
            </w:r>
          </w:p>
        </w:tc>
        <w:tc>
          <w:tcPr>
            <w:tcW w:w="550" w:type="pct"/>
            <w:tcBorders>
              <w:top w:val="outset" w:color="auto" w:sz="6" w:space="0"/>
              <w:left w:val="outset" w:color="auto" w:sz="6" w:space="0"/>
              <w:bottom w:val="outset" w:color="auto" w:sz="6" w:space="0"/>
              <w:right w:val="outset" w:color="auto" w:sz="6" w:space="0"/>
            </w:tcBorders>
            <w:vAlign w:val="center"/>
          </w:tcPr>
          <w:p w14:paraId="4E6B86A3">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E18EF96">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6DAC1532">
            <w:pPr>
              <w:jc w:val="right"/>
              <w:rPr>
                <w:rFonts w:hint="eastAsia"/>
              </w:rPr>
            </w:pPr>
          </w:p>
        </w:tc>
      </w:tr>
      <w:tr w14:paraId="166F9A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DE4161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应收账款</w:t>
            </w:r>
          </w:p>
        </w:tc>
        <w:tc>
          <w:tcPr>
            <w:tcW w:w="550" w:type="pct"/>
            <w:tcBorders>
              <w:top w:val="outset" w:color="auto" w:sz="6" w:space="0"/>
              <w:left w:val="outset" w:color="auto" w:sz="6" w:space="0"/>
              <w:bottom w:val="outset" w:color="auto" w:sz="6" w:space="0"/>
              <w:right w:val="outset" w:color="auto" w:sz="6" w:space="0"/>
            </w:tcBorders>
            <w:vAlign w:val="center"/>
          </w:tcPr>
          <w:p w14:paraId="422F9744">
            <w:pPr>
              <w:rPr>
                <w:rFonts w:hint="eastAsia"/>
              </w:rPr>
            </w:pPr>
            <w:r>
              <w:t>十九、1</w:t>
            </w:r>
          </w:p>
        </w:tc>
        <w:tc>
          <w:tcPr>
            <w:tcW w:w="1140" w:type="pct"/>
            <w:tcBorders>
              <w:top w:val="outset" w:color="auto" w:sz="6" w:space="0"/>
              <w:left w:val="outset" w:color="auto" w:sz="6" w:space="0"/>
              <w:bottom w:val="outset" w:color="auto" w:sz="6" w:space="0"/>
              <w:right w:val="outset" w:color="auto" w:sz="6" w:space="0"/>
            </w:tcBorders>
            <w:vAlign w:val="center"/>
          </w:tcPr>
          <w:p w14:paraId="36CAE6AB">
            <w:pPr>
              <w:jc w:val="right"/>
              <w:rPr>
                <w:rFonts w:hint="eastAsia"/>
              </w:rPr>
            </w:pPr>
            <w:r>
              <w:rPr>
                <w:rFonts w:ascii="Arial Narrow" w:hAnsi="Arial Narrow" w:eastAsia="等线"/>
                <w:color w:val="000000"/>
                <w:szCs w:val="21"/>
              </w:rPr>
              <w:t xml:space="preserve">34,678,415.33 </w:t>
            </w:r>
          </w:p>
        </w:tc>
        <w:tc>
          <w:tcPr>
            <w:tcW w:w="1142" w:type="pct"/>
            <w:tcBorders>
              <w:top w:val="outset" w:color="auto" w:sz="6" w:space="0"/>
              <w:left w:val="outset" w:color="auto" w:sz="6" w:space="0"/>
              <w:bottom w:val="outset" w:color="auto" w:sz="6" w:space="0"/>
              <w:right w:val="outset" w:color="auto" w:sz="6" w:space="0"/>
            </w:tcBorders>
            <w:vAlign w:val="center"/>
          </w:tcPr>
          <w:p w14:paraId="20FFF53B">
            <w:pPr>
              <w:jc w:val="right"/>
              <w:rPr>
                <w:rFonts w:hint="eastAsia"/>
              </w:rPr>
            </w:pPr>
            <w:r>
              <w:rPr>
                <w:rFonts w:ascii="Arial Narrow" w:hAnsi="Arial Narrow" w:eastAsia="等线"/>
                <w:color w:val="000000"/>
                <w:szCs w:val="21"/>
              </w:rPr>
              <w:t xml:space="preserve">34,745,329.74 </w:t>
            </w:r>
          </w:p>
        </w:tc>
      </w:tr>
      <w:tr w14:paraId="213FF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516DFD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预付款项</w:t>
            </w:r>
          </w:p>
        </w:tc>
        <w:tc>
          <w:tcPr>
            <w:tcW w:w="550" w:type="pct"/>
            <w:tcBorders>
              <w:top w:val="outset" w:color="auto" w:sz="6" w:space="0"/>
              <w:left w:val="outset" w:color="auto" w:sz="6" w:space="0"/>
              <w:bottom w:val="outset" w:color="auto" w:sz="6" w:space="0"/>
              <w:right w:val="outset" w:color="auto" w:sz="6" w:space="0"/>
            </w:tcBorders>
            <w:vAlign w:val="center"/>
          </w:tcPr>
          <w:p w14:paraId="7994ECAD">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614898F0">
            <w:pPr>
              <w:jc w:val="right"/>
              <w:rPr>
                <w:rFonts w:hint="eastAsia"/>
              </w:rPr>
            </w:pPr>
            <w:r>
              <w:rPr>
                <w:rFonts w:ascii="Arial Narrow" w:hAnsi="Arial Narrow" w:eastAsia="等线"/>
                <w:color w:val="000000"/>
                <w:szCs w:val="21"/>
              </w:rPr>
              <w:t xml:space="preserve">1,799,493.35 </w:t>
            </w:r>
          </w:p>
        </w:tc>
        <w:tc>
          <w:tcPr>
            <w:tcW w:w="1142" w:type="pct"/>
            <w:tcBorders>
              <w:top w:val="outset" w:color="auto" w:sz="6" w:space="0"/>
              <w:left w:val="outset" w:color="auto" w:sz="6" w:space="0"/>
              <w:bottom w:val="outset" w:color="auto" w:sz="6" w:space="0"/>
              <w:right w:val="outset" w:color="auto" w:sz="6" w:space="0"/>
            </w:tcBorders>
            <w:vAlign w:val="center"/>
          </w:tcPr>
          <w:p w14:paraId="39202533">
            <w:pPr>
              <w:jc w:val="right"/>
              <w:rPr>
                <w:rFonts w:hint="eastAsia"/>
              </w:rPr>
            </w:pPr>
            <w:r>
              <w:rPr>
                <w:rFonts w:ascii="Arial Narrow" w:hAnsi="Arial Narrow" w:eastAsia="等线"/>
                <w:color w:val="000000"/>
                <w:szCs w:val="21"/>
              </w:rPr>
              <w:t xml:space="preserve">2,790,151.53 </w:t>
            </w:r>
          </w:p>
        </w:tc>
      </w:tr>
      <w:tr w14:paraId="5266D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D4A5543">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550" w:type="pct"/>
            <w:tcBorders>
              <w:top w:val="outset" w:color="auto" w:sz="6" w:space="0"/>
              <w:left w:val="outset" w:color="auto" w:sz="6" w:space="0"/>
              <w:bottom w:val="outset" w:color="auto" w:sz="6" w:space="0"/>
              <w:right w:val="outset" w:color="auto" w:sz="6" w:space="0"/>
            </w:tcBorders>
            <w:vAlign w:val="center"/>
          </w:tcPr>
          <w:p w14:paraId="17B5ACFB">
            <w:pPr>
              <w:rPr>
                <w:rFonts w:hint="eastAsia"/>
              </w:rPr>
            </w:pPr>
            <w:r>
              <w:t>十九、2</w:t>
            </w:r>
          </w:p>
        </w:tc>
        <w:tc>
          <w:tcPr>
            <w:tcW w:w="1140" w:type="pct"/>
            <w:tcBorders>
              <w:top w:val="outset" w:color="auto" w:sz="6" w:space="0"/>
              <w:left w:val="outset" w:color="auto" w:sz="6" w:space="0"/>
              <w:bottom w:val="outset" w:color="auto" w:sz="6" w:space="0"/>
              <w:right w:val="outset" w:color="auto" w:sz="6" w:space="0"/>
            </w:tcBorders>
            <w:vAlign w:val="center"/>
          </w:tcPr>
          <w:p w14:paraId="2FB9D128">
            <w:pPr>
              <w:jc w:val="right"/>
              <w:rPr>
                <w:rFonts w:hint="eastAsia"/>
              </w:rPr>
            </w:pPr>
            <w:r>
              <w:rPr>
                <w:rFonts w:ascii="Arial Narrow" w:hAnsi="Arial Narrow" w:eastAsia="等线"/>
                <w:color w:val="000000"/>
                <w:szCs w:val="21"/>
              </w:rPr>
              <w:t xml:space="preserve">6,735,847,816.17 </w:t>
            </w:r>
          </w:p>
        </w:tc>
        <w:tc>
          <w:tcPr>
            <w:tcW w:w="1142" w:type="pct"/>
            <w:tcBorders>
              <w:top w:val="outset" w:color="auto" w:sz="6" w:space="0"/>
              <w:left w:val="outset" w:color="auto" w:sz="6" w:space="0"/>
              <w:bottom w:val="outset" w:color="auto" w:sz="6" w:space="0"/>
              <w:right w:val="outset" w:color="auto" w:sz="6" w:space="0"/>
            </w:tcBorders>
            <w:vAlign w:val="center"/>
          </w:tcPr>
          <w:p w14:paraId="0699B950">
            <w:pPr>
              <w:jc w:val="right"/>
              <w:rPr>
                <w:rFonts w:hint="eastAsia"/>
              </w:rPr>
            </w:pPr>
            <w:r>
              <w:rPr>
                <w:rFonts w:ascii="Arial Narrow" w:hAnsi="Arial Narrow" w:eastAsia="等线"/>
                <w:color w:val="000000"/>
                <w:szCs w:val="21"/>
              </w:rPr>
              <w:t xml:space="preserve">7,208,219,787.57 </w:t>
            </w:r>
          </w:p>
        </w:tc>
      </w:tr>
      <w:tr w14:paraId="1782A5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DE00F1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其中：应收利息</w:t>
            </w:r>
          </w:p>
        </w:tc>
        <w:tc>
          <w:tcPr>
            <w:tcW w:w="550" w:type="pct"/>
            <w:tcBorders>
              <w:top w:val="outset" w:color="auto" w:sz="6" w:space="0"/>
              <w:left w:val="outset" w:color="auto" w:sz="6" w:space="0"/>
              <w:bottom w:val="outset" w:color="auto" w:sz="6" w:space="0"/>
              <w:right w:val="outset" w:color="auto" w:sz="6" w:space="0"/>
            </w:tcBorders>
            <w:vAlign w:val="center"/>
          </w:tcPr>
          <w:p w14:paraId="27AEDDD0">
            <w:pPr>
              <w:rPr>
                <w:rFonts w:hint="eastAsia"/>
              </w:rPr>
            </w:pPr>
            <w:r>
              <w:t>十九、2</w:t>
            </w:r>
          </w:p>
        </w:tc>
        <w:tc>
          <w:tcPr>
            <w:tcW w:w="1140" w:type="pct"/>
            <w:tcBorders>
              <w:top w:val="outset" w:color="auto" w:sz="6" w:space="0"/>
              <w:left w:val="outset" w:color="auto" w:sz="6" w:space="0"/>
              <w:bottom w:val="outset" w:color="auto" w:sz="6" w:space="0"/>
              <w:right w:val="outset" w:color="auto" w:sz="6" w:space="0"/>
            </w:tcBorders>
            <w:vAlign w:val="center"/>
          </w:tcPr>
          <w:p w14:paraId="7A8037D8">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23EB5E05">
            <w:pPr>
              <w:jc w:val="right"/>
              <w:rPr>
                <w:rFonts w:hint="eastAsia"/>
              </w:rPr>
            </w:pPr>
          </w:p>
        </w:tc>
      </w:tr>
      <w:tr w14:paraId="382055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0A1CCE74">
            <w:pPr>
              <w:ind w:firstLine="840" w:firstLineChars="4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550" w:type="pct"/>
            <w:tcBorders>
              <w:top w:val="outset" w:color="auto" w:sz="6" w:space="0"/>
              <w:left w:val="outset" w:color="auto" w:sz="6" w:space="0"/>
              <w:bottom w:val="outset" w:color="auto" w:sz="6" w:space="0"/>
              <w:right w:val="outset" w:color="auto" w:sz="6" w:space="0"/>
            </w:tcBorders>
            <w:vAlign w:val="center"/>
          </w:tcPr>
          <w:p w14:paraId="0E28F19D">
            <w:pPr>
              <w:rPr>
                <w:rFonts w:hint="eastAsia"/>
              </w:rPr>
            </w:pPr>
            <w:r>
              <w:t>十九、2</w:t>
            </w:r>
          </w:p>
        </w:tc>
        <w:tc>
          <w:tcPr>
            <w:tcW w:w="1140" w:type="pct"/>
            <w:tcBorders>
              <w:top w:val="outset" w:color="auto" w:sz="6" w:space="0"/>
              <w:left w:val="outset" w:color="auto" w:sz="6" w:space="0"/>
              <w:bottom w:val="outset" w:color="auto" w:sz="6" w:space="0"/>
              <w:right w:val="outset" w:color="auto" w:sz="6" w:space="0"/>
            </w:tcBorders>
            <w:vAlign w:val="center"/>
          </w:tcPr>
          <w:p w14:paraId="53C9D3B9">
            <w:pPr>
              <w:jc w:val="right"/>
              <w:rPr>
                <w:rFonts w:hint="eastAsia"/>
              </w:rPr>
            </w:pPr>
            <w:r>
              <w:rPr>
                <w:rFonts w:ascii="Arial Narrow" w:hAnsi="Arial Narrow" w:eastAsia="等线"/>
                <w:color w:val="000000"/>
                <w:szCs w:val="21"/>
              </w:rPr>
              <w:t xml:space="preserve">371,931,182.43 </w:t>
            </w:r>
          </w:p>
        </w:tc>
        <w:tc>
          <w:tcPr>
            <w:tcW w:w="1142" w:type="pct"/>
            <w:tcBorders>
              <w:top w:val="outset" w:color="auto" w:sz="6" w:space="0"/>
              <w:left w:val="outset" w:color="auto" w:sz="6" w:space="0"/>
              <w:bottom w:val="outset" w:color="auto" w:sz="6" w:space="0"/>
              <w:right w:val="outset" w:color="auto" w:sz="6" w:space="0"/>
            </w:tcBorders>
            <w:vAlign w:val="center"/>
          </w:tcPr>
          <w:p w14:paraId="00CC4930">
            <w:pPr>
              <w:jc w:val="right"/>
              <w:rPr>
                <w:rFonts w:hint="eastAsia"/>
              </w:rPr>
            </w:pPr>
            <w:r>
              <w:rPr>
                <w:rFonts w:ascii="Arial Narrow" w:hAnsi="Arial Narrow" w:eastAsia="等线"/>
                <w:color w:val="000000"/>
                <w:szCs w:val="21"/>
              </w:rPr>
              <w:t xml:space="preserve">377,586,843.17 </w:t>
            </w:r>
          </w:p>
        </w:tc>
      </w:tr>
      <w:tr w14:paraId="7E260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B8C8A36">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存货</w:t>
            </w:r>
          </w:p>
        </w:tc>
        <w:tc>
          <w:tcPr>
            <w:tcW w:w="550" w:type="pct"/>
            <w:tcBorders>
              <w:top w:val="outset" w:color="auto" w:sz="6" w:space="0"/>
              <w:left w:val="outset" w:color="auto" w:sz="6" w:space="0"/>
              <w:bottom w:val="outset" w:color="auto" w:sz="6" w:space="0"/>
              <w:right w:val="outset" w:color="auto" w:sz="6" w:space="0"/>
            </w:tcBorders>
            <w:vAlign w:val="center"/>
          </w:tcPr>
          <w:p w14:paraId="699F1241">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168C433F">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1DFC967D">
            <w:pPr>
              <w:jc w:val="right"/>
              <w:rPr>
                <w:rFonts w:hint="eastAsia"/>
              </w:rPr>
            </w:pPr>
            <w:r>
              <w:rPr>
                <w:rFonts w:ascii="Arial Narrow" w:hAnsi="Arial Narrow" w:eastAsia="等线"/>
                <w:color w:val="000000"/>
                <w:szCs w:val="21"/>
              </w:rPr>
              <w:t xml:space="preserve">25,158.37 </w:t>
            </w:r>
          </w:p>
        </w:tc>
      </w:tr>
      <w:tr w14:paraId="28A3A9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50DB394">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其他流动资产</w:t>
            </w:r>
          </w:p>
        </w:tc>
        <w:tc>
          <w:tcPr>
            <w:tcW w:w="550" w:type="pct"/>
            <w:tcBorders>
              <w:top w:val="outset" w:color="auto" w:sz="6" w:space="0"/>
              <w:left w:val="outset" w:color="auto" w:sz="6" w:space="0"/>
              <w:bottom w:val="outset" w:color="auto" w:sz="6" w:space="0"/>
              <w:right w:val="outset" w:color="auto" w:sz="6" w:space="0"/>
            </w:tcBorders>
            <w:vAlign w:val="center"/>
          </w:tcPr>
          <w:p w14:paraId="19AEFBBA">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68FBC292">
            <w:pPr>
              <w:jc w:val="right"/>
              <w:rPr>
                <w:rFonts w:hint="eastAsia"/>
              </w:rPr>
            </w:pPr>
            <w:r>
              <w:rPr>
                <w:rFonts w:ascii="Arial Narrow" w:hAnsi="Arial Narrow" w:eastAsia="等线"/>
                <w:color w:val="000000"/>
                <w:szCs w:val="21"/>
              </w:rPr>
              <w:t xml:space="preserve">29,829,084.94 </w:t>
            </w:r>
          </w:p>
        </w:tc>
        <w:tc>
          <w:tcPr>
            <w:tcW w:w="1142" w:type="pct"/>
            <w:tcBorders>
              <w:top w:val="outset" w:color="auto" w:sz="6" w:space="0"/>
              <w:left w:val="outset" w:color="auto" w:sz="6" w:space="0"/>
              <w:bottom w:val="outset" w:color="auto" w:sz="6" w:space="0"/>
              <w:right w:val="outset" w:color="auto" w:sz="6" w:space="0"/>
            </w:tcBorders>
            <w:vAlign w:val="center"/>
          </w:tcPr>
          <w:p w14:paraId="1D643721">
            <w:pPr>
              <w:jc w:val="right"/>
              <w:rPr>
                <w:rFonts w:hint="eastAsia"/>
              </w:rPr>
            </w:pPr>
            <w:r>
              <w:rPr>
                <w:rFonts w:ascii="Arial Narrow" w:hAnsi="Arial Narrow" w:eastAsia="等线"/>
                <w:color w:val="000000"/>
                <w:szCs w:val="21"/>
              </w:rPr>
              <w:t xml:space="preserve">5,506,614.75 </w:t>
            </w:r>
          </w:p>
        </w:tc>
      </w:tr>
      <w:tr w14:paraId="26E68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9AB9741">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流动资产合计</w:t>
            </w:r>
          </w:p>
        </w:tc>
        <w:tc>
          <w:tcPr>
            <w:tcW w:w="550" w:type="pct"/>
            <w:tcBorders>
              <w:top w:val="outset" w:color="auto" w:sz="6" w:space="0"/>
              <w:left w:val="outset" w:color="auto" w:sz="6" w:space="0"/>
              <w:bottom w:val="outset" w:color="auto" w:sz="6" w:space="0"/>
              <w:right w:val="outset" w:color="auto" w:sz="6" w:space="0"/>
            </w:tcBorders>
            <w:vAlign w:val="center"/>
          </w:tcPr>
          <w:p w14:paraId="36D67214">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5BE33E75">
            <w:pPr>
              <w:jc w:val="right"/>
              <w:rPr>
                <w:rFonts w:hint="eastAsia"/>
              </w:rPr>
            </w:pPr>
            <w:r>
              <w:rPr>
                <w:rFonts w:ascii="Arial Narrow" w:hAnsi="Arial Narrow" w:eastAsia="等线"/>
                <w:color w:val="000000"/>
                <w:szCs w:val="21"/>
              </w:rPr>
              <w:t xml:space="preserve">8,796,896,821.57 </w:t>
            </w:r>
          </w:p>
        </w:tc>
        <w:tc>
          <w:tcPr>
            <w:tcW w:w="1142" w:type="pct"/>
            <w:tcBorders>
              <w:top w:val="outset" w:color="auto" w:sz="6" w:space="0"/>
              <w:left w:val="outset" w:color="auto" w:sz="6" w:space="0"/>
              <w:bottom w:val="outset" w:color="auto" w:sz="6" w:space="0"/>
              <w:right w:val="outset" w:color="auto" w:sz="6" w:space="0"/>
            </w:tcBorders>
            <w:vAlign w:val="center"/>
          </w:tcPr>
          <w:p w14:paraId="37DFFC80">
            <w:pPr>
              <w:jc w:val="right"/>
              <w:rPr>
                <w:rFonts w:hint="eastAsia"/>
              </w:rPr>
            </w:pPr>
            <w:r>
              <w:rPr>
                <w:rFonts w:ascii="Arial Narrow" w:hAnsi="Arial Narrow" w:eastAsia="等线"/>
                <w:color w:val="000000"/>
                <w:szCs w:val="21"/>
              </w:rPr>
              <w:t xml:space="preserve">10,339,567,911.36 </w:t>
            </w:r>
          </w:p>
        </w:tc>
      </w:tr>
      <w:tr w14:paraId="72C9C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bf4878ec6d14b78be43557bc0d9a302"/>
            <w:id w:val="82569888"/>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74D0368E">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非流动资产：</w:t>
                </w:r>
              </w:p>
            </w:tc>
          </w:sdtContent>
        </w:sdt>
      </w:tr>
      <w:tr w14:paraId="18B30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6A4969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w:t>
            </w:r>
          </w:p>
        </w:tc>
        <w:tc>
          <w:tcPr>
            <w:tcW w:w="550" w:type="pct"/>
            <w:tcBorders>
              <w:top w:val="outset" w:color="auto" w:sz="6" w:space="0"/>
              <w:left w:val="outset" w:color="auto" w:sz="6" w:space="0"/>
              <w:bottom w:val="outset" w:color="auto" w:sz="6" w:space="0"/>
              <w:right w:val="outset" w:color="auto" w:sz="6" w:space="0"/>
            </w:tcBorders>
            <w:vAlign w:val="center"/>
          </w:tcPr>
          <w:p w14:paraId="1330FEBD">
            <w:pPr>
              <w:rPr>
                <w:rFonts w:hint="eastAsia"/>
              </w:rPr>
            </w:pPr>
            <w:r>
              <w:t>十九、3</w:t>
            </w:r>
          </w:p>
        </w:tc>
        <w:tc>
          <w:tcPr>
            <w:tcW w:w="1140" w:type="pct"/>
            <w:tcBorders>
              <w:top w:val="outset" w:color="auto" w:sz="6" w:space="0"/>
              <w:left w:val="outset" w:color="auto" w:sz="6" w:space="0"/>
              <w:bottom w:val="outset" w:color="auto" w:sz="6" w:space="0"/>
              <w:right w:val="outset" w:color="auto" w:sz="6" w:space="0"/>
            </w:tcBorders>
            <w:vAlign w:val="center"/>
          </w:tcPr>
          <w:p w14:paraId="59A945C4">
            <w:pPr>
              <w:jc w:val="right"/>
              <w:rPr>
                <w:rFonts w:hint="eastAsia"/>
              </w:rPr>
            </w:pPr>
            <w:r>
              <w:rPr>
                <w:rFonts w:ascii="Arial Narrow" w:hAnsi="Arial Narrow" w:eastAsia="等线"/>
                <w:color w:val="000000"/>
                <w:szCs w:val="21"/>
              </w:rPr>
              <w:t xml:space="preserve">6,612,369,772.14 </w:t>
            </w:r>
          </w:p>
        </w:tc>
        <w:tc>
          <w:tcPr>
            <w:tcW w:w="1142" w:type="pct"/>
            <w:tcBorders>
              <w:top w:val="outset" w:color="auto" w:sz="6" w:space="0"/>
              <w:left w:val="outset" w:color="auto" w:sz="6" w:space="0"/>
              <w:bottom w:val="outset" w:color="auto" w:sz="6" w:space="0"/>
              <w:right w:val="outset" w:color="auto" w:sz="6" w:space="0"/>
            </w:tcBorders>
            <w:vAlign w:val="center"/>
          </w:tcPr>
          <w:p w14:paraId="4DE65761">
            <w:pPr>
              <w:jc w:val="right"/>
              <w:rPr>
                <w:rFonts w:hint="eastAsia"/>
              </w:rPr>
            </w:pPr>
            <w:r>
              <w:rPr>
                <w:rFonts w:ascii="Arial Narrow" w:hAnsi="Arial Narrow" w:eastAsia="等线"/>
                <w:color w:val="000000"/>
                <w:szCs w:val="21"/>
              </w:rPr>
              <w:t xml:space="preserve">6,074,273,953.81 </w:t>
            </w:r>
          </w:p>
        </w:tc>
      </w:tr>
      <w:tr w14:paraId="339DCE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6796F0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w:t>
            </w:r>
          </w:p>
        </w:tc>
        <w:tc>
          <w:tcPr>
            <w:tcW w:w="550" w:type="pct"/>
            <w:tcBorders>
              <w:top w:val="outset" w:color="auto" w:sz="6" w:space="0"/>
              <w:left w:val="outset" w:color="auto" w:sz="6" w:space="0"/>
              <w:bottom w:val="outset" w:color="auto" w:sz="6" w:space="0"/>
              <w:right w:val="outset" w:color="auto" w:sz="6" w:space="0"/>
            </w:tcBorders>
            <w:vAlign w:val="center"/>
          </w:tcPr>
          <w:p w14:paraId="1BA609E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BD6EE5C">
            <w:pPr>
              <w:jc w:val="right"/>
              <w:rPr>
                <w:rFonts w:hint="eastAsia"/>
              </w:rPr>
            </w:pPr>
            <w:r>
              <w:rPr>
                <w:rFonts w:ascii="Arial Narrow" w:hAnsi="Arial Narrow" w:eastAsia="等线"/>
                <w:color w:val="000000"/>
                <w:szCs w:val="21"/>
              </w:rPr>
              <w:t xml:space="preserve">519,386,412.00 </w:t>
            </w:r>
          </w:p>
        </w:tc>
        <w:tc>
          <w:tcPr>
            <w:tcW w:w="1142" w:type="pct"/>
            <w:tcBorders>
              <w:top w:val="outset" w:color="auto" w:sz="6" w:space="0"/>
              <w:left w:val="outset" w:color="auto" w:sz="6" w:space="0"/>
              <w:bottom w:val="outset" w:color="auto" w:sz="6" w:space="0"/>
              <w:right w:val="outset" w:color="auto" w:sz="6" w:space="0"/>
            </w:tcBorders>
            <w:vAlign w:val="center"/>
          </w:tcPr>
          <w:p w14:paraId="0F831A8A">
            <w:pPr>
              <w:jc w:val="right"/>
              <w:rPr>
                <w:rFonts w:hint="eastAsia"/>
              </w:rPr>
            </w:pPr>
            <w:r>
              <w:rPr>
                <w:rFonts w:ascii="Arial Narrow" w:hAnsi="Arial Narrow" w:eastAsia="等线"/>
                <w:color w:val="000000"/>
                <w:szCs w:val="21"/>
              </w:rPr>
              <w:t xml:space="preserve">630,971,779.37 </w:t>
            </w:r>
          </w:p>
        </w:tc>
      </w:tr>
      <w:tr w14:paraId="1DD46B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6D0768BE">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w:t>
            </w:r>
          </w:p>
        </w:tc>
        <w:tc>
          <w:tcPr>
            <w:tcW w:w="550" w:type="pct"/>
            <w:tcBorders>
              <w:top w:val="outset" w:color="auto" w:sz="6" w:space="0"/>
              <w:left w:val="outset" w:color="auto" w:sz="6" w:space="0"/>
              <w:bottom w:val="outset" w:color="auto" w:sz="6" w:space="0"/>
              <w:right w:val="outset" w:color="auto" w:sz="6" w:space="0"/>
            </w:tcBorders>
            <w:vAlign w:val="center"/>
          </w:tcPr>
          <w:p w14:paraId="504A31DD">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967DA67">
            <w:pPr>
              <w:jc w:val="right"/>
              <w:rPr>
                <w:rFonts w:hint="eastAsia"/>
              </w:rPr>
            </w:pPr>
            <w:r>
              <w:rPr>
                <w:rFonts w:ascii="Arial Narrow" w:hAnsi="Arial Narrow" w:eastAsia="等线"/>
                <w:color w:val="000000"/>
                <w:szCs w:val="21"/>
              </w:rPr>
              <w:t xml:space="preserve">12,657,770.64 </w:t>
            </w:r>
          </w:p>
        </w:tc>
        <w:tc>
          <w:tcPr>
            <w:tcW w:w="1142" w:type="pct"/>
            <w:tcBorders>
              <w:top w:val="outset" w:color="auto" w:sz="6" w:space="0"/>
              <w:left w:val="outset" w:color="auto" w:sz="6" w:space="0"/>
              <w:bottom w:val="outset" w:color="auto" w:sz="6" w:space="0"/>
              <w:right w:val="outset" w:color="auto" w:sz="6" w:space="0"/>
            </w:tcBorders>
            <w:vAlign w:val="center"/>
          </w:tcPr>
          <w:p w14:paraId="30328992">
            <w:pPr>
              <w:jc w:val="right"/>
              <w:rPr>
                <w:rFonts w:hint="eastAsia"/>
              </w:rPr>
            </w:pPr>
          </w:p>
        </w:tc>
      </w:tr>
      <w:tr w14:paraId="48F27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93E0EC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550" w:type="pct"/>
            <w:tcBorders>
              <w:top w:val="outset" w:color="auto" w:sz="6" w:space="0"/>
              <w:left w:val="outset" w:color="auto" w:sz="6" w:space="0"/>
              <w:bottom w:val="outset" w:color="auto" w:sz="6" w:space="0"/>
              <w:right w:val="outset" w:color="auto" w:sz="6" w:space="0"/>
            </w:tcBorders>
            <w:vAlign w:val="center"/>
          </w:tcPr>
          <w:p w14:paraId="5CCB0A9E">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74632D21">
            <w:pPr>
              <w:jc w:val="right"/>
              <w:rPr>
                <w:rFonts w:hint="eastAsia"/>
              </w:rPr>
            </w:pPr>
            <w:r>
              <w:rPr>
                <w:rFonts w:ascii="Arial Narrow" w:hAnsi="Arial Narrow" w:eastAsia="等线"/>
                <w:color w:val="000000"/>
                <w:szCs w:val="21"/>
              </w:rPr>
              <w:t xml:space="preserve">333,468,047.80 </w:t>
            </w:r>
          </w:p>
        </w:tc>
        <w:tc>
          <w:tcPr>
            <w:tcW w:w="1142" w:type="pct"/>
            <w:tcBorders>
              <w:top w:val="outset" w:color="auto" w:sz="6" w:space="0"/>
              <w:left w:val="outset" w:color="auto" w:sz="6" w:space="0"/>
              <w:bottom w:val="outset" w:color="auto" w:sz="6" w:space="0"/>
              <w:right w:val="outset" w:color="auto" w:sz="6" w:space="0"/>
            </w:tcBorders>
            <w:vAlign w:val="center"/>
          </w:tcPr>
          <w:p w14:paraId="1BC7541C">
            <w:pPr>
              <w:jc w:val="right"/>
              <w:rPr>
                <w:rFonts w:hint="eastAsia"/>
              </w:rPr>
            </w:pPr>
            <w:r>
              <w:rPr>
                <w:rFonts w:ascii="Arial Narrow" w:hAnsi="Arial Narrow" w:eastAsia="等线"/>
                <w:color w:val="000000"/>
                <w:szCs w:val="21"/>
              </w:rPr>
              <w:t xml:space="preserve">2,014,585.83 </w:t>
            </w:r>
          </w:p>
        </w:tc>
      </w:tr>
      <w:tr w14:paraId="263AC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6C1E4DBA">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使用权资产</w:t>
            </w:r>
          </w:p>
        </w:tc>
        <w:tc>
          <w:tcPr>
            <w:tcW w:w="550" w:type="pct"/>
            <w:tcBorders>
              <w:top w:val="outset" w:color="auto" w:sz="6" w:space="0"/>
              <w:left w:val="outset" w:color="auto" w:sz="6" w:space="0"/>
              <w:bottom w:val="outset" w:color="auto" w:sz="6" w:space="0"/>
              <w:right w:val="outset" w:color="auto" w:sz="6" w:space="0"/>
            </w:tcBorders>
            <w:vAlign w:val="center"/>
          </w:tcPr>
          <w:p w14:paraId="6198CE35">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3E2BA7FD">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2BD85B7F">
            <w:pPr>
              <w:jc w:val="right"/>
              <w:rPr>
                <w:rFonts w:hint="eastAsia"/>
              </w:rPr>
            </w:pPr>
          </w:p>
        </w:tc>
      </w:tr>
      <w:tr w14:paraId="47DCF1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3916F3B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无形资产</w:t>
            </w:r>
          </w:p>
        </w:tc>
        <w:tc>
          <w:tcPr>
            <w:tcW w:w="550" w:type="pct"/>
            <w:tcBorders>
              <w:top w:val="outset" w:color="auto" w:sz="6" w:space="0"/>
              <w:left w:val="outset" w:color="auto" w:sz="6" w:space="0"/>
              <w:bottom w:val="outset" w:color="auto" w:sz="6" w:space="0"/>
              <w:right w:val="outset" w:color="auto" w:sz="6" w:space="0"/>
            </w:tcBorders>
            <w:vAlign w:val="center"/>
          </w:tcPr>
          <w:p w14:paraId="4090E13D">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111DC39E">
            <w:pPr>
              <w:jc w:val="right"/>
              <w:rPr>
                <w:rFonts w:hint="eastAsia"/>
              </w:rPr>
            </w:pPr>
            <w:r>
              <w:rPr>
                <w:rFonts w:ascii="Arial Narrow" w:hAnsi="Arial Narrow" w:eastAsia="等线"/>
                <w:color w:val="000000"/>
                <w:szCs w:val="21"/>
              </w:rPr>
              <w:t xml:space="preserve">2,401,496.33 </w:t>
            </w:r>
          </w:p>
        </w:tc>
        <w:tc>
          <w:tcPr>
            <w:tcW w:w="1142" w:type="pct"/>
            <w:tcBorders>
              <w:top w:val="outset" w:color="auto" w:sz="6" w:space="0"/>
              <w:left w:val="outset" w:color="auto" w:sz="6" w:space="0"/>
              <w:bottom w:val="outset" w:color="auto" w:sz="6" w:space="0"/>
              <w:right w:val="outset" w:color="auto" w:sz="6" w:space="0"/>
            </w:tcBorders>
            <w:vAlign w:val="center"/>
          </w:tcPr>
          <w:p w14:paraId="3DE651CD">
            <w:pPr>
              <w:jc w:val="right"/>
              <w:rPr>
                <w:rFonts w:hint="eastAsia"/>
              </w:rPr>
            </w:pPr>
            <w:r>
              <w:rPr>
                <w:rFonts w:ascii="Arial Narrow" w:hAnsi="Arial Narrow" w:eastAsia="等线"/>
                <w:color w:val="000000"/>
                <w:szCs w:val="21"/>
              </w:rPr>
              <w:t xml:space="preserve">2,383,640.20 </w:t>
            </w:r>
          </w:p>
        </w:tc>
      </w:tr>
      <w:tr w14:paraId="0426D5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33E6AC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w:t>
            </w:r>
          </w:p>
        </w:tc>
        <w:tc>
          <w:tcPr>
            <w:tcW w:w="550" w:type="pct"/>
            <w:tcBorders>
              <w:top w:val="outset" w:color="auto" w:sz="6" w:space="0"/>
              <w:left w:val="outset" w:color="auto" w:sz="6" w:space="0"/>
              <w:bottom w:val="outset" w:color="auto" w:sz="6" w:space="0"/>
              <w:right w:val="outset" w:color="auto" w:sz="6" w:space="0"/>
            </w:tcBorders>
            <w:vAlign w:val="center"/>
          </w:tcPr>
          <w:p w14:paraId="3C924B1A">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5357E7F4">
            <w:pPr>
              <w:jc w:val="right"/>
              <w:rPr>
                <w:rFonts w:hint="eastAsia"/>
              </w:rPr>
            </w:pPr>
            <w:r>
              <w:rPr>
                <w:rFonts w:ascii="Arial Narrow" w:hAnsi="Arial Narrow" w:eastAsia="等线"/>
                <w:color w:val="000000"/>
                <w:szCs w:val="21"/>
              </w:rPr>
              <w:t xml:space="preserve">174,989.06 </w:t>
            </w:r>
          </w:p>
        </w:tc>
        <w:tc>
          <w:tcPr>
            <w:tcW w:w="1142" w:type="pct"/>
            <w:tcBorders>
              <w:top w:val="outset" w:color="auto" w:sz="6" w:space="0"/>
              <w:left w:val="outset" w:color="auto" w:sz="6" w:space="0"/>
              <w:bottom w:val="outset" w:color="auto" w:sz="6" w:space="0"/>
              <w:right w:val="outset" w:color="auto" w:sz="6" w:space="0"/>
            </w:tcBorders>
            <w:vAlign w:val="center"/>
          </w:tcPr>
          <w:p w14:paraId="6E6A6EBA">
            <w:pPr>
              <w:jc w:val="right"/>
              <w:rPr>
                <w:rFonts w:hint="eastAsia"/>
              </w:rPr>
            </w:pPr>
            <w:r>
              <w:rPr>
                <w:rFonts w:ascii="Arial Narrow" w:hAnsi="Arial Narrow" w:eastAsia="等线"/>
                <w:color w:val="000000"/>
                <w:szCs w:val="21"/>
              </w:rPr>
              <w:t xml:space="preserve">242,603.42 </w:t>
            </w:r>
          </w:p>
        </w:tc>
      </w:tr>
      <w:tr w14:paraId="08E7B7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1930B7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其他非流动资产</w:t>
            </w:r>
          </w:p>
        </w:tc>
        <w:tc>
          <w:tcPr>
            <w:tcW w:w="550" w:type="pct"/>
            <w:tcBorders>
              <w:top w:val="outset" w:color="auto" w:sz="6" w:space="0"/>
              <w:left w:val="outset" w:color="auto" w:sz="6" w:space="0"/>
              <w:bottom w:val="outset" w:color="auto" w:sz="6" w:space="0"/>
              <w:right w:val="outset" w:color="auto" w:sz="6" w:space="0"/>
            </w:tcBorders>
            <w:vAlign w:val="center"/>
          </w:tcPr>
          <w:p w14:paraId="412C90CD">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65BBF2DE">
            <w:pPr>
              <w:jc w:val="right"/>
              <w:rPr>
                <w:rFonts w:hint="eastAsia"/>
              </w:rPr>
            </w:pPr>
            <w:r>
              <w:rPr>
                <w:rFonts w:ascii="Arial Narrow" w:hAnsi="Arial Narrow" w:eastAsia="等线"/>
                <w:color w:val="000000"/>
                <w:szCs w:val="21"/>
              </w:rPr>
              <w:t xml:space="preserve">30,317,440.63 </w:t>
            </w:r>
          </w:p>
        </w:tc>
        <w:tc>
          <w:tcPr>
            <w:tcW w:w="1142" w:type="pct"/>
            <w:tcBorders>
              <w:top w:val="outset" w:color="auto" w:sz="6" w:space="0"/>
              <w:left w:val="outset" w:color="auto" w:sz="6" w:space="0"/>
              <w:bottom w:val="outset" w:color="auto" w:sz="6" w:space="0"/>
              <w:right w:val="outset" w:color="auto" w:sz="6" w:space="0"/>
            </w:tcBorders>
            <w:vAlign w:val="center"/>
          </w:tcPr>
          <w:p w14:paraId="76612C26">
            <w:pPr>
              <w:jc w:val="right"/>
              <w:rPr>
                <w:rFonts w:hint="eastAsia"/>
              </w:rPr>
            </w:pPr>
            <w:r>
              <w:rPr>
                <w:rFonts w:ascii="Arial Narrow" w:hAnsi="Arial Narrow" w:eastAsia="等线"/>
                <w:color w:val="000000"/>
                <w:szCs w:val="21"/>
              </w:rPr>
              <w:t xml:space="preserve">169,567,724.43 </w:t>
            </w:r>
          </w:p>
        </w:tc>
      </w:tr>
      <w:tr w14:paraId="7EFD4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3C786420">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非流动资产合计</w:t>
            </w:r>
          </w:p>
        </w:tc>
        <w:tc>
          <w:tcPr>
            <w:tcW w:w="550" w:type="pct"/>
            <w:tcBorders>
              <w:top w:val="outset" w:color="auto" w:sz="6" w:space="0"/>
              <w:left w:val="outset" w:color="auto" w:sz="6" w:space="0"/>
              <w:bottom w:val="outset" w:color="auto" w:sz="6" w:space="0"/>
              <w:right w:val="outset" w:color="auto" w:sz="6" w:space="0"/>
            </w:tcBorders>
            <w:vAlign w:val="center"/>
          </w:tcPr>
          <w:p w14:paraId="71A5EE4C">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5B3CF2D">
            <w:pPr>
              <w:jc w:val="right"/>
              <w:rPr>
                <w:rFonts w:hint="eastAsia"/>
              </w:rPr>
            </w:pPr>
            <w:r>
              <w:rPr>
                <w:rFonts w:ascii="Arial Narrow" w:hAnsi="Arial Narrow" w:eastAsia="等线"/>
                <w:color w:val="000000"/>
                <w:szCs w:val="21"/>
              </w:rPr>
              <w:t xml:space="preserve">7,510,775,928.60 </w:t>
            </w:r>
          </w:p>
        </w:tc>
        <w:tc>
          <w:tcPr>
            <w:tcW w:w="1142" w:type="pct"/>
            <w:tcBorders>
              <w:top w:val="outset" w:color="auto" w:sz="6" w:space="0"/>
              <w:left w:val="outset" w:color="auto" w:sz="6" w:space="0"/>
              <w:bottom w:val="outset" w:color="auto" w:sz="6" w:space="0"/>
              <w:right w:val="outset" w:color="auto" w:sz="6" w:space="0"/>
            </w:tcBorders>
            <w:vAlign w:val="center"/>
          </w:tcPr>
          <w:p w14:paraId="5E1FA4AC">
            <w:pPr>
              <w:jc w:val="right"/>
              <w:rPr>
                <w:rFonts w:hint="eastAsia"/>
              </w:rPr>
            </w:pPr>
            <w:r>
              <w:rPr>
                <w:rFonts w:ascii="Arial Narrow" w:hAnsi="Arial Narrow" w:eastAsia="等线"/>
                <w:color w:val="000000"/>
                <w:szCs w:val="21"/>
              </w:rPr>
              <w:t xml:space="preserve">6,879,454,287.06 </w:t>
            </w:r>
          </w:p>
        </w:tc>
      </w:tr>
      <w:tr w14:paraId="65976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553CE9C2">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资产总计</w:t>
            </w:r>
          </w:p>
        </w:tc>
        <w:tc>
          <w:tcPr>
            <w:tcW w:w="550" w:type="pct"/>
            <w:tcBorders>
              <w:top w:val="outset" w:color="auto" w:sz="6" w:space="0"/>
              <w:left w:val="outset" w:color="auto" w:sz="6" w:space="0"/>
              <w:bottom w:val="outset" w:color="auto" w:sz="6" w:space="0"/>
              <w:right w:val="outset" w:color="auto" w:sz="6" w:space="0"/>
            </w:tcBorders>
            <w:vAlign w:val="center"/>
          </w:tcPr>
          <w:p w14:paraId="1CE0AB65">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721BF517">
            <w:pPr>
              <w:jc w:val="right"/>
              <w:rPr>
                <w:rFonts w:hint="eastAsia"/>
              </w:rPr>
            </w:pPr>
            <w:r>
              <w:rPr>
                <w:rFonts w:ascii="Arial Narrow" w:hAnsi="Arial Narrow" w:eastAsia="等线"/>
                <w:color w:val="000000"/>
                <w:szCs w:val="21"/>
              </w:rPr>
              <w:t xml:space="preserve">16,307,672,750.17 </w:t>
            </w:r>
          </w:p>
        </w:tc>
        <w:tc>
          <w:tcPr>
            <w:tcW w:w="1142" w:type="pct"/>
            <w:tcBorders>
              <w:top w:val="outset" w:color="auto" w:sz="6" w:space="0"/>
              <w:left w:val="outset" w:color="auto" w:sz="6" w:space="0"/>
              <w:bottom w:val="outset" w:color="auto" w:sz="6" w:space="0"/>
              <w:right w:val="outset" w:color="auto" w:sz="6" w:space="0"/>
            </w:tcBorders>
            <w:vAlign w:val="center"/>
          </w:tcPr>
          <w:p w14:paraId="3596646C">
            <w:pPr>
              <w:jc w:val="right"/>
              <w:rPr>
                <w:rFonts w:hint="eastAsia"/>
              </w:rPr>
            </w:pPr>
            <w:r>
              <w:rPr>
                <w:rFonts w:ascii="Arial Narrow" w:hAnsi="Arial Narrow" w:eastAsia="等线"/>
                <w:color w:val="000000"/>
                <w:szCs w:val="21"/>
              </w:rPr>
              <w:t xml:space="preserve">17,219,022,198.42 </w:t>
            </w:r>
          </w:p>
        </w:tc>
      </w:tr>
      <w:tr w14:paraId="335156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c4382c3caa043de84ae1c13bc2ce793"/>
            <w:id w:val="1846441515"/>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7B6A2D1B">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流动负债：</w:t>
                </w:r>
              </w:p>
            </w:tc>
          </w:sdtContent>
        </w:sdt>
      </w:tr>
      <w:tr w14:paraId="29444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52698F2F">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短期借款</w:t>
            </w:r>
          </w:p>
        </w:tc>
        <w:tc>
          <w:tcPr>
            <w:tcW w:w="550" w:type="pct"/>
            <w:tcBorders>
              <w:top w:val="outset" w:color="auto" w:sz="6" w:space="0"/>
              <w:left w:val="outset" w:color="auto" w:sz="6" w:space="0"/>
              <w:bottom w:val="outset" w:color="auto" w:sz="6" w:space="0"/>
              <w:right w:val="outset" w:color="auto" w:sz="6" w:space="0"/>
            </w:tcBorders>
          </w:tcPr>
          <w:p w14:paraId="36A6E088">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3B008ECF">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1F736707">
            <w:pPr>
              <w:jc w:val="right"/>
              <w:rPr>
                <w:rFonts w:hint="eastAsia"/>
              </w:rPr>
            </w:pPr>
          </w:p>
        </w:tc>
      </w:tr>
      <w:tr w14:paraId="48CDE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7C0476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应付账款</w:t>
            </w:r>
          </w:p>
        </w:tc>
        <w:tc>
          <w:tcPr>
            <w:tcW w:w="550" w:type="pct"/>
            <w:tcBorders>
              <w:top w:val="outset" w:color="auto" w:sz="6" w:space="0"/>
              <w:left w:val="outset" w:color="auto" w:sz="6" w:space="0"/>
              <w:bottom w:val="outset" w:color="auto" w:sz="6" w:space="0"/>
              <w:right w:val="outset" w:color="auto" w:sz="6" w:space="0"/>
            </w:tcBorders>
          </w:tcPr>
          <w:p w14:paraId="2680887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2C005137">
            <w:pPr>
              <w:jc w:val="right"/>
              <w:rPr>
                <w:rFonts w:hint="eastAsia"/>
              </w:rPr>
            </w:pPr>
            <w:r>
              <w:rPr>
                <w:rFonts w:ascii="Arial Narrow" w:hAnsi="Arial Narrow" w:eastAsia="等线"/>
                <w:color w:val="000000"/>
                <w:szCs w:val="21"/>
              </w:rPr>
              <w:t xml:space="preserve">39,562,648.53 </w:t>
            </w:r>
          </w:p>
        </w:tc>
        <w:tc>
          <w:tcPr>
            <w:tcW w:w="1142" w:type="pct"/>
            <w:tcBorders>
              <w:top w:val="outset" w:color="auto" w:sz="6" w:space="0"/>
              <w:left w:val="outset" w:color="auto" w:sz="6" w:space="0"/>
              <w:bottom w:val="outset" w:color="auto" w:sz="6" w:space="0"/>
              <w:right w:val="outset" w:color="auto" w:sz="6" w:space="0"/>
            </w:tcBorders>
            <w:vAlign w:val="center"/>
          </w:tcPr>
          <w:p w14:paraId="23387ADB">
            <w:pPr>
              <w:jc w:val="right"/>
              <w:rPr>
                <w:rFonts w:hint="eastAsia"/>
              </w:rPr>
            </w:pPr>
            <w:r>
              <w:rPr>
                <w:rFonts w:ascii="Arial Narrow" w:hAnsi="Arial Narrow" w:eastAsia="等线"/>
                <w:color w:val="000000"/>
                <w:szCs w:val="21"/>
              </w:rPr>
              <w:t xml:space="preserve">39,846,912.29 </w:t>
            </w:r>
          </w:p>
        </w:tc>
      </w:tr>
      <w:tr w14:paraId="0A684C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3A6B09DC">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合同负债</w:t>
            </w:r>
          </w:p>
        </w:tc>
        <w:tc>
          <w:tcPr>
            <w:tcW w:w="550" w:type="pct"/>
            <w:tcBorders>
              <w:top w:val="outset" w:color="auto" w:sz="6" w:space="0"/>
              <w:left w:val="outset" w:color="auto" w:sz="6" w:space="0"/>
              <w:bottom w:val="outset" w:color="auto" w:sz="6" w:space="0"/>
              <w:right w:val="outset" w:color="auto" w:sz="6" w:space="0"/>
            </w:tcBorders>
          </w:tcPr>
          <w:p w14:paraId="37661976">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62EB83DB">
            <w:pPr>
              <w:jc w:val="right"/>
              <w:rPr>
                <w:rFonts w:hint="eastAsia"/>
              </w:rPr>
            </w:pPr>
            <w:r>
              <w:rPr>
                <w:rFonts w:ascii="Arial Narrow" w:hAnsi="Arial Narrow" w:eastAsia="等线"/>
                <w:color w:val="000000"/>
                <w:szCs w:val="21"/>
              </w:rPr>
              <w:t xml:space="preserve">1,060,237.70 </w:t>
            </w:r>
          </w:p>
        </w:tc>
        <w:tc>
          <w:tcPr>
            <w:tcW w:w="1142" w:type="pct"/>
            <w:tcBorders>
              <w:top w:val="outset" w:color="auto" w:sz="6" w:space="0"/>
              <w:left w:val="outset" w:color="auto" w:sz="6" w:space="0"/>
              <w:bottom w:val="outset" w:color="auto" w:sz="6" w:space="0"/>
              <w:right w:val="outset" w:color="auto" w:sz="6" w:space="0"/>
            </w:tcBorders>
            <w:vAlign w:val="center"/>
          </w:tcPr>
          <w:p w14:paraId="002E470C">
            <w:pPr>
              <w:jc w:val="right"/>
              <w:rPr>
                <w:rFonts w:hint="eastAsia"/>
              </w:rPr>
            </w:pPr>
            <w:r>
              <w:rPr>
                <w:rFonts w:ascii="Arial Narrow" w:hAnsi="Arial Narrow" w:eastAsia="等线"/>
                <w:color w:val="000000"/>
                <w:szCs w:val="21"/>
              </w:rPr>
              <w:t xml:space="preserve">1,057,407.51 </w:t>
            </w:r>
          </w:p>
        </w:tc>
      </w:tr>
      <w:tr w14:paraId="5BC722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5E53A22E">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应付职工薪酬</w:t>
            </w:r>
          </w:p>
        </w:tc>
        <w:tc>
          <w:tcPr>
            <w:tcW w:w="550" w:type="pct"/>
            <w:tcBorders>
              <w:top w:val="outset" w:color="auto" w:sz="6" w:space="0"/>
              <w:left w:val="outset" w:color="auto" w:sz="6" w:space="0"/>
              <w:bottom w:val="outset" w:color="auto" w:sz="6" w:space="0"/>
              <w:right w:val="outset" w:color="auto" w:sz="6" w:space="0"/>
            </w:tcBorders>
          </w:tcPr>
          <w:p w14:paraId="4981B28A">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FAB4202">
            <w:pPr>
              <w:jc w:val="right"/>
              <w:rPr>
                <w:rFonts w:hint="eastAsia"/>
              </w:rPr>
            </w:pPr>
            <w:r>
              <w:rPr>
                <w:rFonts w:ascii="Arial Narrow" w:hAnsi="Arial Narrow" w:eastAsia="等线"/>
                <w:color w:val="000000"/>
                <w:szCs w:val="21"/>
              </w:rPr>
              <w:t xml:space="preserve">25,351,140.75 </w:t>
            </w:r>
          </w:p>
        </w:tc>
        <w:tc>
          <w:tcPr>
            <w:tcW w:w="1142" w:type="pct"/>
            <w:tcBorders>
              <w:top w:val="outset" w:color="auto" w:sz="6" w:space="0"/>
              <w:left w:val="outset" w:color="auto" w:sz="6" w:space="0"/>
              <w:bottom w:val="outset" w:color="auto" w:sz="6" w:space="0"/>
              <w:right w:val="outset" w:color="auto" w:sz="6" w:space="0"/>
            </w:tcBorders>
            <w:vAlign w:val="center"/>
          </w:tcPr>
          <w:p w14:paraId="38101374">
            <w:pPr>
              <w:jc w:val="right"/>
              <w:rPr>
                <w:rFonts w:hint="eastAsia"/>
              </w:rPr>
            </w:pPr>
            <w:r>
              <w:rPr>
                <w:rFonts w:ascii="Arial Narrow" w:hAnsi="Arial Narrow" w:eastAsia="等线"/>
                <w:color w:val="000000"/>
                <w:szCs w:val="21"/>
              </w:rPr>
              <w:t xml:space="preserve">2,880,481.57 </w:t>
            </w:r>
          </w:p>
        </w:tc>
      </w:tr>
      <w:tr w14:paraId="15B977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0195C8DC">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应交税费</w:t>
            </w:r>
          </w:p>
        </w:tc>
        <w:tc>
          <w:tcPr>
            <w:tcW w:w="550" w:type="pct"/>
            <w:tcBorders>
              <w:top w:val="outset" w:color="auto" w:sz="6" w:space="0"/>
              <w:left w:val="outset" w:color="auto" w:sz="6" w:space="0"/>
              <w:bottom w:val="outset" w:color="auto" w:sz="6" w:space="0"/>
              <w:right w:val="outset" w:color="auto" w:sz="6" w:space="0"/>
            </w:tcBorders>
          </w:tcPr>
          <w:p w14:paraId="6A4752F2">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D460281">
            <w:pPr>
              <w:jc w:val="right"/>
              <w:rPr>
                <w:rFonts w:hint="eastAsia"/>
              </w:rPr>
            </w:pPr>
            <w:r>
              <w:rPr>
                <w:rFonts w:ascii="Arial Narrow" w:hAnsi="Arial Narrow" w:eastAsia="等线"/>
                <w:color w:val="000000"/>
                <w:szCs w:val="21"/>
              </w:rPr>
              <w:t xml:space="preserve">6,721,701.55 </w:t>
            </w:r>
          </w:p>
        </w:tc>
        <w:tc>
          <w:tcPr>
            <w:tcW w:w="1142" w:type="pct"/>
            <w:tcBorders>
              <w:top w:val="outset" w:color="auto" w:sz="6" w:space="0"/>
              <w:left w:val="outset" w:color="auto" w:sz="6" w:space="0"/>
              <w:bottom w:val="outset" w:color="auto" w:sz="6" w:space="0"/>
              <w:right w:val="outset" w:color="auto" w:sz="6" w:space="0"/>
            </w:tcBorders>
            <w:vAlign w:val="center"/>
          </w:tcPr>
          <w:p w14:paraId="11DAE615">
            <w:pPr>
              <w:jc w:val="right"/>
              <w:rPr>
                <w:rFonts w:hint="eastAsia"/>
              </w:rPr>
            </w:pPr>
            <w:r>
              <w:rPr>
                <w:rFonts w:ascii="Arial Narrow" w:hAnsi="Arial Narrow" w:eastAsia="等线"/>
                <w:color w:val="000000"/>
                <w:szCs w:val="21"/>
              </w:rPr>
              <w:t xml:space="preserve">7,516,324.99 </w:t>
            </w:r>
          </w:p>
        </w:tc>
      </w:tr>
      <w:tr w14:paraId="48F3B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072DAC08">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550" w:type="pct"/>
            <w:tcBorders>
              <w:top w:val="outset" w:color="auto" w:sz="6" w:space="0"/>
              <w:left w:val="outset" w:color="auto" w:sz="6" w:space="0"/>
              <w:bottom w:val="outset" w:color="auto" w:sz="6" w:space="0"/>
              <w:right w:val="outset" w:color="auto" w:sz="6" w:space="0"/>
            </w:tcBorders>
          </w:tcPr>
          <w:p w14:paraId="7E2D7004">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302F43BD">
            <w:pPr>
              <w:jc w:val="right"/>
              <w:rPr>
                <w:rFonts w:hint="eastAsia"/>
              </w:rPr>
            </w:pPr>
            <w:r>
              <w:rPr>
                <w:rFonts w:ascii="Arial Narrow" w:hAnsi="Arial Narrow" w:eastAsia="等线"/>
                <w:color w:val="000000"/>
                <w:szCs w:val="21"/>
              </w:rPr>
              <w:t xml:space="preserve">2,542,137,408.69 </w:t>
            </w:r>
          </w:p>
        </w:tc>
        <w:tc>
          <w:tcPr>
            <w:tcW w:w="1142" w:type="pct"/>
            <w:tcBorders>
              <w:top w:val="outset" w:color="auto" w:sz="6" w:space="0"/>
              <w:left w:val="outset" w:color="auto" w:sz="6" w:space="0"/>
              <w:bottom w:val="outset" w:color="auto" w:sz="6" w:space="0"/>
              <w:right w:val="outset" w:color="auto" w:sz="6" w:space="0"/>
            </w:tcBorders>
            <w:vAlign w:val="center"/>
          </w:tcPr>
          <w:p w14:paraId="20466DEC">
            <w:pPr>
              <w:jc w:val="right"/>
              <w:rPr>
                <w:rFonts w:hint="eastAsia"/>
              </w:rPr>
            </w:pPr>
            <w:r>
              <w:rPr>
                <w:rFonts w:ascii="Arial Narrow" w:hAnsi="Arial Narrow" w:eastAsia="等线"/>
                <w:color w:val="000000"/>
                <w:szCs w:val="21"/>
              </w:rPr>
              <w:t xml:space="preserve">2,915,774,652.07 </w:t>
            </w:r>
          </w:p>
        </w:tc>
      </w:tr>
      <w:tr w14:paraId="77B5B3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9902BDD">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其中：应付利息</w:t>
            </w:r>
          </w:p>
        </w:tc>
        <w:tc>
          <w:tcPr>
            <w:tcW w:w="550" w:type="pct"/>
            <w:tcBorders>
              <w:top w:val="outset" w:color="auto" w:sz="6" w:space="0"/>
              <w:left w:val="outset" w:color="auto" w:sz="6" w:space="0"/>
              <w:bottom w:val="outset" w:color="auto" w:sz="6" w:space="0"/>
              <w:right w:val="outset" w:color="auto" w:sz="6" w:space="0"/>
            </w:tcBorders>
          </w:tcPr>
          <w:p w14:paraId="3AEF92B4">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13DBDFEE">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752A6D72">
            <w:pPr>
              <w:jc w:val="right"/>
              <w:rPr>
                <w:rFonts w:hint="eastAsia"/>
              </w:rPr>
            </w:pPr>
          </w:p>
        </w:tc>
      </w:tr>
      <w:tr w14:paraId="7CE001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0AAED21">
            <w:pPr>
              <w:ind w:firstLine="840" w:firstLineChars="4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550" w:type="pct"/>
            <w:tcBorders>
              <w:top w:val="outset" w:color="auto" w:sz="6" w:space="0"/>
              <w:left w:val="outset" w:color="auto" w:sz="6" w:space="0"/>
              <w:bottom w:val="outset" w:color="auto" w:sz="6" w:space="0"/>
              <w:right w:val="outset" w:color="auto" w:sz="6" w:space="0"/>
            </w:tcBorders>
          </w:tcPr>
          <w:p w14:paraId="0857D21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2C23CB05">
            <w:pPr>
              <w:jc w:val="right"/>
              <w:rPr>
                <w:rFonts w:hint="eastAsia"/>
              </w:rPr>
            </w:pPr>
          </w:p>
        </w:tc>
        <w:tc>
          <w:tcPr>
            <w:tcW w:w="1142" w:type="pct"/>
            <w:tcBorders>
              <w:top w:val="outset" w:color="auto" w:sz="6" w:space="0"/>
              <w:left w:val="outset" w:color="auto" w:sz="6" w:space="0"/>
              <w:bottom w:val="outset" w:color="auto" w:sz="6" w:space="0"/>
              <w:right w:val="outset" w:color="auto" w:sz="6" w:space="0"/>
            </w:tcBorders>
            <w:vAlign w:val="center"/>
          </w:tcPr>
          <w:p w14:paraId="743052A9">
            <w:pPr>
              <w:jc w:val="right"/>
              <w:rPr>
                <w:rFonts w:hint="eastAsia"/>
              </w:rPr>
            </w:pPr>
          </w:p>
        </w:tc>
      </w:tr>
      <w:tr w14:paraId="4B28B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BCA9E86">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一年内到期的非流动负债</w:t>
            </w:r>
          </w:p>
        </w:tc>
        <w:tc>
          <w:tcPr>
            <w:tcW w:w="550" w:type="pct"/>
            <w:tcBorders>
              <w:top w:val="outset" w:color="auto" w:sz="6" w:space="0"/>
              <w:left w:val="outset" w:color="auto" w:sz="6" w:space="0"/>
              <w:bottom w:val="outset" w:color="auto" w:sz="6" w:space="0"/>
              <w:right w:val="outset" w:color="auto" w:sz="6" w:space="0"/>
            </w:tcBorders>
          </w:tcPr>
          <w:p w14:paraId="1730397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301992AD">
            <w:pPr>
              <w:jc w:val="right"/>
              <w:rPr>
                <w:rFonts w:hint="eastAsia"/>
              </w:rPr>
            </w:pPr>
            <w:r>
              <w:rPr>
                <w:rFonts w:ascii="Arial Narrow" w:hAnsi="Arial Narrow" w:eastAsia="等线"/>
                <w:color w:val="000000"/>
                <w:szCs w:val="21"/>
              </w:rPr>
              <w:t xml:space="preserve">22,277,303.59 </w:t>
            </w:r>
          </w:p>
        </w:tc>
        <w:tc>
          <w:tcPr>
            <w:tcW w:w="1142" w:type="pct"/>
            <w:tcBorders>
              <w:top w:val="outset" w:color="auto" w:sz="6" w:space="0"/>
              <w:left w:val="outset" w:color="auto" w:sz="6" w:space="0"/>
              <w:bottom w:val="outset" w:color="auto" w:sz="6" w:space="0"/>
              <w:right w:val="outset" w:color="auto" w:sz="6" w:space="0"/>
            </w:tcBorders>
            <w:vAlign w:val="center"/>
          </w:tcPr>
          <w:p w14:paraId="601CC7C5">
            <w:pPr>
              <w:jc w:val="right"/>
              <w:rPr>
                <w:rFonts w:hint="eastAsia"/>
              </w:rPr>
            </w:pPr>
            <w:r>
              <w:rPr>
                <w:rFonts w:ascii="Arial Narrow" w:hAnsi="Arial Narrow" w:eastAsia="等线"/>
                <w:color w:val="000000"/>
                <w:szCs w:val="21"/>
              </w:rPr>
              <w:t xml:space="preserve">5,002,766.66 </w:t>
            </w:r>
          </w:p>
        </w:tc>
      </w:tr>
      <w:tr w14:paraId="5B4660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31B1E12">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其他流动负债</w:t>
            </w:r>
          </w:p>
        </w:tc>
        <w:tc>
          <w:tcPr>
            <w:tcW w:w="550" w:type="pct"/>
            <w:tcBorders>
              <w:top w:val="outset" w:color="auto" w:sz="6" w:space="0"/>
              <w:left w:val="outset" w:color="auto" w:sz="6" w:space="0"/>
              <w:bottom w:val="outset" w:color="auto" w:sz="6" w:space="0"/>
              <w:right w:val="outset" w:color="auto" w:sz="6" w:space="0"/>
            </w:tcBorders>
          </w:tcPr>
          <w:p w14:paraId="725D86E8">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90D618E">
            <w:pPr>
              <w:jc w:val="right"/>
              <w:rPr>
                <w:rFonts w:hint="eastAsia"/>
              </w:rPr>
            </w:pPr>
            <w:r>
              <w:rPr>
                <w:rFonts w:ascii="Arial Narrow" w:hAnsi="Arial Narrow" w:eastAsia="等线"/>
                <w:color w:val="000000"/>
                <w:szCs w:val="21"/>
              </w:rPr>
              <w:t xml:space="preserve">234,592,286.74 </w:t>
            </w:r>
          </w:p>
        </w:tc>
        <w:tc>
          <w:tcPr>
            <w:tcW w:w="1142" w:type="pct"/>
            <w:tcBorders>
              <w:top w:val="outset" w:color="auto" w:sz="6" w:space="0"/>
              <w:left w:val="outset" w:color="auto" w:sz="6" w:space="0"/>
              <w:bottom w:val="outset" w:color="auto" w:sz="6" w:space="0"/>
              <w:right w:val="outset" w:color="auto" w:sz="6" w:space="0"/>
            </w:tcBorders>
            <w:vAlign w:val="center"/>
          </w:tcPr>
          <w:p w14:paraId="61642E05">
            <w:pPr>
              <w:jc w:val="right"/>
              <w:rPr>
                <w:rFonts w:hint="eastAsia"/>
              </w:rPr>
            </w:pPr>
            <w:r>
              <w:rPr>
                <w:rFonts w:ascii="Arial Narrow" w:hAnsi="Arial Narrow" w:eastAsia="等线"/>
                <w:color w:val="000000"/>
                <w:szCs w:val="21"/>
              </w:rPr>
              <w:t xml:space="preserve">54,344,678.83 </w:t>
            </w:r>
          </w:p>
        </w:tc>
      </w:tr>
      <w:tr w14:paraId="0F9CED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35FCF417">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流动负债合计</w:t>
            </w:r>
          </w:p>
        </w:tc>
        <w:tc>
          <w:tcPr>
            <w:tcW w:w="550" w:type="pct"/>
            <w:tcBorders>
              <w:top w:val="outset" w:color="auto" w:sz="6" w:space="0"/>
              <w:left w:val="outset" w:color="auto" w:sz="6" w:space="0"/>
              <w:bottom w:val="outset" w:color="auto" w:sz="6" w:space="0"/>
              <w:right w:val="outset" w:color="auto" w:sz="6" w:space="0"/>
            </w:tcBorders>
          </w:tcPr>
          <w:p w14:paraId="442CD8BE">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783C852">
            <w:pPr>
              <w:jc w:val="right"/>
              <w:rPr>
                <w:rFonts w:hint="eastAsia"/>
              </w:rPr>
            </w:pPr>
            <w:r>
              <w:rPr>
                <w:rFonts w:ascii="Arial Narrow" w:hAnsi="Arial Narrow" w:eastAsia="等线"/>
                <w:color w:val="000000"/>
                <w:szCs w:val="21"/>
              </w:rPr>
              <w:t xml:space="preserve">2,871,702,727.55 </w:t>
            </w:r>
          </w:p>
        </w:tc>
        <w:tc>
          <w:tcPr>
            <w:tcW w:w="1142" w:type="pct"/>
            <w:tcBorders>
              <w:top w:val="outset" w:color="auto" w:sz="6" w:space="0"/>
              <w:left w:val="outset" w:color="auto" w:sz="6" w:space="0"/>
              <w:bottom w:val="outset" w:color="auto" w:sz="6" w:space="0"/>
              <w:right w:val="outset" w:color="auto" w:sz="6" w:space="0"/>
            </w:tcBorders>
            <w:vAlign w:val="center"/>
          </w:tcPr>
          <w:p w14:paraId="65A8965A">
            <w:pPr>
              <w:jc w:val="right"/>
              <w:rPr>
                <w:rFonts w:hint="eastAsia"/>
              </w:rPr>
            </w:pPr>
            <w:r>
              <w:rPr>
                <w:rFonts w:ascii="Arial Narrow" w:hAnsi="Arial Narrow" w:eastAsia="等线"/>
                <w:color w:val="000000"/>
                <w:szCs w:val="21"/>
              </w:rPr>
              <w:t xml:space="preserve">3,026,423,223.92 </w:t>
            </w:r>
          </w:p>
        </w:tc>
      </w:tr>
      <w:tr w14:paraId="6A4F3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6b3279b94864dce855f778a549d0817"/>
            <w:id w:val="-1499647709"/>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12413307">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非流动负债：</w:t>
                </w:r>
              </w:p>
            </w:tc>
          </w:sdtContent>
        </w:sdt>
      </w:tr>
      <w:tr w14:paraId="573FD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CFA2CC8">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长期借款</w:t>
            </w:r>
          </w:p>
        </w:tc>
        <w:tc>
          <w:tcPr>
            <w:tcW w:w="550" w:type="pct"/>
            <w:tcBorders>
              <w:top w:val="outset" w:color="auto" w:sz="6" w:space="0"/>
              <w:left w:val="outset" w:color="auto" w:sz="6" w:space="0"/>
              <w:bottom w:val="outset" w:color="auto" w:sz="6" w:space="0"/>
              <w:right w:val="outset" w:color="auto" w:sz="6" w:space="0"/>
            </w:tcBorders>
          </w:tcPr>
          <w:p w14:paraId="2494E294">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7EC50D38">
            <w:pPr>
              <w:jc w:val="right"/>
              <w:rPr>
                <w:rFonts w:hint="eastAsia"/>
              </w:rPr>
            </w:pPr>
            <w:r>
              <w:rPr>
                <w:rFonts w:ascii="Arial Narrow" w:hAnsi="Arial Narrow" w:eastAsia="等线"/>
                <w:color w:val="000000"/>
                <w:szCs w:val="21"/>
              </w:rPr>
              <w:t xml:space="preserve">497,317,783.34 </w:t>
            </w:r>
          </w:p>
        </w:tc>
        <w:tc>
          <w:tcPr>
            <w:tcW w:w="1142" w:type="pct"/>
            <w:tcBorders>
              <w:top w:val="outset" w:color="auto" w:sz="6" w:space="0"/>
              <w:left w:val="outset" w:color="auto" w:sz="6" w:space="0"/>
              <w:bottom w:val="outset" w:color="auto" w:sz="6" w:space="0"/>
              <w:right w:val="outset" w:color="auto" w:sz="6" w:space="0"/>
            </w:tcBorders>
            <w:vAlign w:val="center"/>
          </w:tcPr>
          <w:p w14:paraId="68992C28">
            <w:pPr>
              <w:jc w:val="right"/>
              <w:rPr>
                <w:rFonts w:hint="eastAsia"/>
              </w:rPr>
            </w:pPr>
            <w:r>
              <w:rPr>
                <w:rFonts w:ascii="Arial Narrow" w:hAnsi="Arial Narrow" w:eastAsia="等线"/>
                <w:color w:val="000000"/>
                <w:szCs w:val="21"/>
              </w:rPr>
              <w:t xml:space="preserve">994,717,888.90 </w:t>
            </w:r>
          </w:p>
        </w:tc>
      </w:tr>
      <w:tr w14:paraId="061F8E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7F98437">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应付债券</w:t>
            </w:r>
          </w:p>
        </w:tc>
        <w:tc>
          <w:tcPr>
            <w:tcW w:w="550" w:type="pct"/>
            <w:tcBorders>
              <w:top w:val="outset" w:color="auto" w:sz="6" w:space="0"/>
              <w:left w:val="outset" w:color="auto" w:sz="6" w:space="0"/>
              <w:bottom w:val="outset" w:color="auto" w:sz="6" w:space="0"/>
              <w:right w:val="outset" w:color="auto" w:sz="6" w:space="0"/>
            </w:tcBorders>
          </w:tcPr>
          <w:p w14:paraId="4A521AA8">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AD56F5B">
            <w:pPr>
              <w:jc w:val="right"/>
              <w:rPr>
                <w:rFonts w:hint="eastAsia"/>
              </w:rPr>
            </w:pPr>
            <w:r>
              <w:rPr>
                <w:rFonts w:ascii="Arial Narrow" w:hAnsi="Arial Narrow" w:eastAsia="等线"/>
                <w:color w:val="000000"/>
                <w:szCs w:val="21"/>
              </w:rPr>
              <w:t xml:space="preserve">508,560,210.28 </w:t>
            </w:r>
          </w:p>
        </w:tc>
        <w:tc>
          <w:tcPr>
            <w:tcW w:w="1142" w:type="pct"/>
            <w:tcBorders>
              <w:top w:val="outset" w:color="auto" w:sz="6" w:space="0"/>
              <w:left w:val="outset" w:color="auto" w:sz="6" w:space="0"/>
              <w:bottom w:val="outset" w:color="auto" w:sz="6" w:space="0"/>
              <w:right w:val="outset" w:color="auto" w:sz="6" w:space="0"/>
            </w:tcBorders>
            <w:vAlign w:val="center"/>
          </w:tcPr>
          <w:p w14:paraId="791DC51B">
            <w:pPr>
              <w:jc w:val="right"/>
              <w:rPr>
                <w:rFonts w:hint="eastAsia"/>
              </w:rPr>
            </w:pPr>
            <w:r>
              <w:rPr>
                <w:rFonts w:ascii="Arial Narrow" w:hAnsi="Arial Narrow" w:eastAsia="等线"/>
                <w:color w:val="000000"/>
                <w:szCs w:val="21"/>
              </w:rPr>
              <w:t xml:space="preserve">528,639,768.89 </w:t>
            </w:r>
          </w:p>
        </w:tc>
      </w:tr>
      <w:tr w14:paraId="0930A0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5CBE9D9">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550" w:type="pct"/>
            <w:tcBorders>
              <w:top w:val="outset" w:color="auto" w:sz="6" w:space="0"/>
              <w:left w:val="outset" w:color="auto" w:sz="6" w:space="0"/>
              <w:bottom w:val="outset" w:color="auto" w:sz="6" w:space="0"/>
              <w:right w:val="outset" w:color="auto" w:sz="6" w:space="0"/>
            </w:tcBorders>
          </w:tcPr>
          <w:p w14:paraId="1AD6F8A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40E222B">
            <w:pPr>
              <w:jc w:val="right"/>
              <w:rPr>
                <w:rFonts w:hint="eastAsia"/>
              </w:rPr>
            </w:pPr>
            <w:r>
              <w:rPr>
                <w:rFonts w:ascii="Arial Narrow" w:hAnsi="Arial Narrow" w:eastAsia="等线"/>
                <w:color w:val="000000"/>
                <w:szCs w:val="21"/>
              </w:rPr>
              <w:t xml:space="preserve">5,200,000.00 </w:t>
            </w:r>
          </w:p>
        </w:tc>
        <w:tc>
          <w:tcPr>
            <w:tcW w:w="1142" w:type="pct"/>
            <w:tcBorders>
              <w:top w:val="outset" w:color="auto" w:sz="6" w:space="0"/>
              <w:left w:val="outset" w:color="auto" w:sz="6" w:space="0"/>
              <w:bottom w:val="outset" w:color="auto" w:sz="6" w:space="0"/>
              <w:right w:val="outset" w:color="auto" w:sz="6" w:space="0"/>
            </w:tcBorders>
            <w:vAlign w:val="center"/>
          </w:tcPr>
          <w:p w14:paraId="6D419CFE">
            <w:pPr>
              <w:jc w:val="right"/>
              <w:rPr>
                <w:rFonts w:hint="eastAsia"/>
              </w:rPr>
            </w:pPr>
            <w:r>
              <w:rPr>
                <w:rFonts w:ascii="Arial Narrow" w:hAnsi="Arial Narrow" w:eastAsia="等线"/>
                <w:color w:val="000000"/>
                <w:szCs w:val="21"/>
              </w:rPr>
              <w:t xml:space="preserve">8,238,333.34 </w:t>
            </w:r>
          </w:p>
        </w:tc>
      </w:tr>
      <w:tr w14:paraId="192382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69D25F0">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递延收益</w:t>
            </w:r>
          </w:p>
        </w:tc>
        <w:tc>
          <w:tcPr>
            <w:tcW w:w="550" w:type="pct"/>
            <w:tcBorders>
              <w:top w:val="outset" w:color="auto" w:sz="6" w:space="0"/>
              <w:left w:val="outset" w:color="auto" w:sz="6" w:space="0"/>
              <w:bottom w:val="outset" w:color="auto" w:sz="6" w:space="0"/>
              <w:right w:val="outset" w:color="auto" w:sz="6" w:space="0"/>
            </w:tcBorders>
          </w:tcPr>
          <w:p w14:paraId="25C51479">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14AF26D9">
            <w:pPr>
              <w:jc w:val="right"/>
              <w:rPr>
                <w:rFonts w:hint="eastAsia"/>
              </w:rPr>
            </w:pPr>
            <w:r>
              <w:rPr>
                <w:rFonts w:ascii="Arial Narrow" w:hAnsi="Arial Narrow" w:eastAsia="等线"/>
                <w:color w:val="000000"/>
                <w:szCs w:val="21"/>
              </w:rPr>
              <w:t xml:space="preserve">467,467.98 </w:t>
            </w:r>
          </w:p>
        </w:tc>
        <w:tc>
          <w:tcPr>
            <w:tcW w:w="1142" w:type="pct"/>
            <w:tcBorders>
              <w:top w:val="outset" w:color="auto" w:sz="6" w:space="0"/>
              <w:left w:val="outset" w:color="auto" w:sz="6" w:space="0"/>
              <w:bottom w:val="outset" w:color="auto" w:sz="6" w:space="0"/>
              <w:right w:val="outset" w:color="auto" w:sz="6" w:space="0"/>
            </w:tcBorders>
            <w:vAlign w:val="center"/>
          </w:tcPr>
          <w:p w14:paraId="1E7211D9">
            <w:pPr>
              <w:jc w:val="right"/>
              <w:rPr>
                <w:rFonts w:hint="eastAsia"/>
              </w:rPr>
            </w:pPr>
            <w:r>
              <w:rPr>
                <w:rFonts w:ascii="Arial Narrow" w:hAnsi="Arial Narrow" w:eastAsia="等线"/>
                <w:color w:val="000000"/>
                <w:szCs w:val="21"/>
              </w:rPr>
              <w:t xml:space="preserve">331,513.41 </w:t>
            </w:r>
          </w:p>
        </w:tc>
      </w:tr>
      <w:tr w14:paraId="53CD9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7309495">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非流动负债合计</w:t>
            </w:r>
          </w:p>
        </w:tc>
        <w:tc>
          <w:tcPr>
            <w:tcW w:w="550" w:type="pct"/>
            <w:tcBorders>
              <w:top w:val="outset" w:color="auto" w:sz="6" w:space="0"/>
              <w:left w:val="outset" w:color="auto" w:sz="6" w:space="0"/>
              <w:bottom w:val="outset" w:color="auto" w:sz="6" w:space="0"/>
              <w:right w:val="outset" w:color="auto" w:sz="6" w:space="0"/>
            </w:tcBorders>
          </w:tcPr>
          <w:p w14:paraId="3DC0D1E6">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2941401E">
            <w:pPr>
              <w:jc w:val="right"/>
              <w:rPr>
                <w:rFonts w:hint="eastAsia"/>
              </w:rPr>
            </w:pPr>
            <w:r>
              <w:rPr>
                <w:rFonts w:ascii="Arial Narrow" w:hAnsi="Arial Narrow" w:eastAsia="等线"/>
                <w:color w:val="000000"/>
                <w:szCs w:val="21"/>
              </w:rPr>
              <w:t xml:space="preserve">1,011,545,461.60 </w:t>
            </w:r>
          </w:p>
        </w:tc>
        <w:tc>
          <w:tcPr>
            <w:tcW w:w="1142" w:type="pct"/>
            <w:tcBorders>
              <w:top w:val="outset" w:color="auto" w:sz="6" w:space="0"/>
              <w:left w:val="outset" w:color="auto" w:sz="6" w:space="0"/>
              <w:bottom w:val="outset" w:color="auto" w:sz="6" w:space="0"/>
              <w:right w:val="outset" w:color="auto" w:sz="6" w:space="0"/>
            </w:tcBorders>
            <w:vAlign w:val="center"/>
          </w:tcPr>
          <w:p w14:paraId="47459763">
            <w:pPr>
              <w:jc w:val="right"/>
              <w:rPr>
                <w:rFonts w:hint="eastAsia"/>
              </w:rPr>
            </w:pPr>
            <w:r>
              <w:rPr>
                <w:rFonts w:ascii="Arial Narrow" w:hAnsi="Arial Narrow" w:eastAsia="等线"/>
                <w:color w:val="000000"/>
                <w:szCs w:val="21"/>
              </w:rPr>
              <w:t xml:space="preserve">1,531,927,504.54 </w:t>
            </w:r>
          </w:p>
        </w:tc>
      </w:tr>
      <w:tr w14:paraId="7C73F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24C903D">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负债合计</w:t>
            </w:r>
          </w:p>
        </w:tc>
        <w:tc>
          <w:tcPr>
            <w:tcW w:w="550" w:type="pct"/>
            <w:tcBorders>
              <w:top w:val="outset" w:color="auto" w:sz="6" w:space="0"/>
              <w:left w:val="outset" w:color="auto" w:sz="6" w:space="0"/>
              <w:bottom w:val="outset" w:color="auto" w:sz="6" w:space="0"/>
              <w:right w:val="outset" w:color="auto" w:sz="6" w:space="0"/>
            </w:tcBorders>
          </w:tcPr>
          <w:p w14:paraId="1E463BA5">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76AE75C">
            <w:pPr>
              <w:jc w:val="right"/>
              <w:rPr>
                <w:rFonts w:hint="eastAsia"/>
              </w:rPr>
            </w:pPr>
            <w:r>
              <w:rPr>
                <w:rFonts w:ascii="Arial Narrow" w:hAnsi="Arial Narrow" w:eastAsia="等线"/>
                <w:color w:val="000000"/>
                <w:szCs w:val="21"/>
              </w:rPr>
              <w:t xml:space="preserve">3,883,248,189.15 </w:t>
            </w:r>
          </w:p>
        </w:tc>
        <w:tc>
          <w:tcPr>
            <w:tcW w:w="1142" w:type="pct"/>
            <w:tcBorders>
              <w:top w:val="outset" w:color="auto" w:sz="6" w:space="0"/>
              <w:left w:val="outset" w:color="auto" w:sz="6" w:space="0"/>
              <w:bottom w:val="outset" w:color="auto" w:sz="6" w:space="0"/>
              <w:right w:val="outset" w:color="auto" w:sz="6" w:space="0"/>
            </w:tcBorders>
            <w:vAlign w:val="center"/>
          </w:tcPr>
          <w:p w14:paraId="2B3A73AA">
            <w:pPr>
              <w:jc w:val="right"/>
              <w:rPr>
                <w:rFonts w:hint="eastAsia"/>
              </w:rPr>
            </w:pPr>
            <w:r>
              <w:rPr>
                <w:rFonts w:ascii="Arial Narrow" w:hAnsi="Arial Narrow" w:eastAsia="等线"/>
                <w:color w:val="000000"/>
                <w:szCs w:val="21"/>
              </w:rPr>
              <w:t xml:space="preserve">4,558,350,728.46 </w:t>
            </w:r>
          </w:p>
        </w:tc>
      </w:tr>
      <w:tr w14:paraId="3FDC2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b8d2554b6394d8daf706f571f2c850a"/>
            <w:id w:val="1352303462"/>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092DDF4C">
                <w:pPr>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所有者权益（或股东权益）：</w:t>
                </w:r>
              </w:p>
            </w:tc>
          </w:sdtContent>
        </w:sdt>
      </w:tr>
      <w:tr w14:paraId="4E720A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7B3A8024">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实收资本（或股本）</w:t>
            </w:r>
          </w:p>
        </w:tc>
        <w:tc>
          <w:tcPr>
            <w:tcW w:w="550" w:type="pct"/>
            <w:tcBorders>
              <w:top w:val="outset" w:color="auto" w:sz="6" w:space="0"/>
              <w:left w:val="outset" w:color="auto" w:sz="6" w:space="0"/>
              <w:bottom w:val="outset" w:color="auto" w:sz="6" w:space="0"/>
              <w:right w:val="outset" w:color="auto" w:sz="6" w:space="0"/>
            </w:tcBorders>
          </w:tcPr>
          <w:p w14:paraId="0E52E908">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1DC28670">
            <w:pPr>
              <w:jc w:val="right"/>
              <w:rPr>
                <w:rFonts w:hint="eastAsia"/>
              </w:rPr>
            </w:pPr>
            <w:r>
              <w:rPr>
                <w:rFonts w:ascii="Arial Narrow" w:hAnsi="Arial Narrow" w:eastAsia="等线"/>
                <w:color w:val="000000"/>
                <w:szCs w:val="21"/>
              </w:rPr>
              <w:t xml:space="preserve">4,391,629,404.00 </w:t>
            </w:r>
          </w:p>
        </w:tc>
        <w:tc>
          <w:tcPr>
            <w:tcW w:w="1142" w:type="pct"/>
            <w:tcBorders>
              <w:top w:val="outset" w:color="auto" w:sz="6" w:space="0"/>
              <w:left w:val="outset" w:color="auto" w:sz="6" w:space="0"/>
              <w:bottom w:val="outset" w:color="auto" w:sz="6" w:space="0"/>
              <w:right w:val="outset" w:color="auto" w:sz="6" w:space="0"/>
            </w:tcBorders>
            <w:vAlign w:val="center"/>
          </w:tcPr>
          <w:p w14:paraId="4AAC48CF">
            <w:pPr>
              <w:jc w:val="right"/>
              <w:rPr>
                <w:rFonts w:hint="eastAsia"/>
              </w:rPr>
            </w:pPr>
            <w:r>
              <w:rPr>
                <w:rFonts w:ascii="Arial Narrow" w:hAnsi="Arial Narrow" w:eastAsia="等线"/>
                <w:color w:val="000000"/>
                <w:szCs w:val="21"/>
              </w:rPr>
              <w:t xml:space="preserve">4,391,629,404.00 </w:t>
            </w:r>
          </w:p>
        </w:tc>
      </w:tr>
      <w:tr w14:paraId="45A1E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2335CD7">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资本公积</w:t>
            </w:r>
          </w:p>
        </w:tc>
        <w:tc>
          <w:tcPr>
            <w:tcW w:w="550" w:type="pct"/>
            <w:tcBorders>
              <w:top w:val="outset" w:color="auto" w:sz="6" w:space="0"/>
              <w:left w:val="outset" w:color="auto" w:sz="6" w:space="0"/>
              <w:bottom w:val="outset" w:color="auto" w:sz="6" w:space="0"/>
              <w:right w:val="outset" w:color="auto" w:sz="6" w:space="0"/>
            </w:tcBorders>
          </w:tcPr>
          <w:p w14:paraId="577D4CB7">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7CF4F38D">
            <w:pPr>
              <w:jc w:val="right"/>
              <w:rPr>
                <w:rFonts w:hint="eastAsia"/>
              </w:rPr>
            </w:pPr>
            <w:r>
              <w:rPr>
                <w:rFonts w:ascii="Arial Narrow" w:hAnsi="Arial Narrow" w:eastAsia="等线"/>
                <w:color w:val="000000"/>
                <w:szCs w:val="21"/>
              </w:rPr>
              <w:t xml:space="preserve">7,852,925,237.95 </w:t>
            </w:r>
          </w:p>
        </w:tc>
        <w:tc>
          <w:tcPr>
            <w:tcW w:w="1142" w:type="pct"/>
            <w:tcBorders>
              <w:top w:val="outset" w:color="auto" w:sz="6" w:space="0"/>
              <w:left w:val="outset" w:color="auto" w:sz="6" w:space="0"/>
              <w:bottom w:val="outset" w:color="auto" w:sz="6" w:space="0"/>
              <w:right w:val="outset" w:color="auto" w:sz="6" w:space="0"/>
            </w:tcBorders>
            <w:vAlign w:val="center"/>
          </w:tcPr>
          <w:p w14:paraId="5C3057B7">
            <w:pPr>
              <w:jc w:val="right"/>
              <w:rPr>
                <w:rFonts w:hint="eastAsia"/>
              </w:rPr>
            </w:pPr>
            <w:r>
              <w:rPr>
                <w:rFonts w:ascii="Arial Narrow" w:hAnsi="Arial Narrow" w:eastAsia="等线"/>
                <w:color w:val="000000"/>
                <w:szCs w:val="21"/>
              </w:rPr>
              <w:t xml:space="preserve">7,846,040,146.62 </w:t>
            </w:r>
          </w:p>
        </w:tc>
      </w:tr>
      <w:tr w14:paraId="538B4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26470FB3">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w:t>
            </w:r>
          </w:p>
        </w:tc>
        <w:tc>
          <w:tcPr>
            <w:tcW w:w="550" w:type="pct"/>
            <w:tcBorders>
              <w:top w:val="outset" w:color="auto" w:sz="6" w:space="0"/>
              <w:left w:val="outset" w:color="auto" w:sz="6" w:space="0"/>
              <w:bottom w:val="outset" w:color="auto" w:sz="6" w:space="0"/>
              <w:right w:val="outset" w:color="auto" w:sz="6" w:space="0"/>
            </w:tcBorders>
          </w:tcPr>
          <w:p w14:paraId="0F32136E">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0F202ECB">
            <w:pPr>
              <w:jc w:val="right"/>
              <w:rPr>
                <w:rFonts w:hint="eastAsia"/>
              </w:rPr>
            </w:pPr>
            <w:r>
              <w:rPr>
                <w:rFonts w:ascii="Arial Narrow" w:hAnsi="Arial Narrow" w:eastAsia="等线"/>
                <w:color w:val="000000"/>
                <w:szCs w:val="21"/>
              </w:rPr>
              <w:t xml:space="preserve">-225,999,968.83 </w:t>
            </w:r>
          </w:p>
        </w:tc>
        <w:tc>
          <w:tcPr>
            <w:tcW w:w="1142" w:type="pct"/>
            <w:tcBorders>
              <w:top w:val="outset" w:color="auto" w:sz="6" w:space="0"/>
              <w:left w:val="outset" w:color="auto" w:sz="6" w:space="0"/>
              <w:bottom w:val="outset" w:color="auto" w:sz="6" w:space="0"/>
              <w:right w:val="outset" w:color="auto" w:sz="6" w:space="0"/>
            </w:tcBorders>
            <w:vAlign w:val="center"/>
          </w:tcPr>
          <w:p w14:paraId="60AFCE54">
            <w:pPr>
              <w:jc w:val="right"/>
              <w:rPr>
                <w:rFonts w:hint="eastAsia"/>
              </w:rPr>
            </w:pPr>
            <w:r>
              <w:rPr>
                <w:rFonts w:ascii="Arial Narrow" w:hAnsi="Arial Narrow" w:eastAsia="等线"/>
                <w:color w:val="000000"/>
                <w:szCs w:val="21"/>
              </w:rPr>
              <w:t xml:space="preserve">-114,414,601.46 </w:t>
            </w:r>
          </w:p>
        </w:tc>
      </w:tr>
      <w:tr w14:paraId="206616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4F071D28">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盈余公积</w:t>
            </w:r>
          </w:p>
        </w:tc>
        <w:tc>
          <w:tcPr>
            <w:tcW w:w="550" w:type="pct"/>
            <w:tcBorders>
              <w:top w:val="outset" w:color="auto" w:sz="6" w:space="0"/>
              <w:left w:val="outset" w:color="auto" w:sz="6" w:space="0"/>
              <w:bottom w:val="outset" w:color="auto" w:sz="6" w:space="0"/>
              <w:right w:val="outset" w:color="auto" w:sz="6" w:space="0"/>
            </w:tcBorders>
          </w:tcPr>
          <w:p w14:paraId="5EF65FDF">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2CC8CDC6">
            <w:pPr>
              <w:jc w:val="right"/>
              <w:rPr>
                <w:rFonts w:hint="eastAsia"/>
              </w:rPr>
            </w:pPr>
            <w:r>
              <w:rPr>
                <w:rFonts w:ascii="Arial Narrow" w:hAnsi="Arial Narrow" w:eastAsia="等线"/>
                <w:color w:val="000000"/>
                <w:szCs w:val="21"/>
              </w:rPr>
              <w:t xml:space="preserve">369,677,423.82 </w:t>
            </w:r>
          </w:p>
        </w:tc>
        <w:tc>
          <w:tcPr>
            <w:tcW w:w="1142" w:type="pct"/>
            <w:tcBorders>
              <w:top w:val="outset" w:color="auto" w:sz="6" w:space="0"/>
              <w:left w:val="outset" w:color="auto" w:sz="6" w:space="0"/>
              <w:bottom w:val="outset" w:color="auto" w:sz="6" w:space="0"/>
              <w:right w:val="outset" w:color="auto" w:sz="6" w:space="0"/>
            </w:tcBorders>
            <w:vAlign w:val="center"/>
          </w:tcPr>
          <w:p w14:paraId="2E8ADDA7">
            <w:pPr>
              <w:jc w:val="right"/>
              <w:rPr>
                <w:rFonts w:hint="eastAsia"/>
              </w:rPr>
            </w:pPr>
            <w:r>
              <w:rPr>
                <w:rFonts w:ascii="Arial Narrow" w:hAnsi="Arial Narrow" w:eastAsia="等线"/>
                <w:color w:val="000000"/>
                <w:szCs w:val="21"/>
              </w:rPr>
              <w:t xml:space="preserve">369,657,198.90 </w:t>
            </w:r>
          </w:p>
        </w:tc>
      </w:tr>
      <w:tr w14:paraId="7CEB35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077632E1">
            <w:pPr>
              <w:ind w:firstLine="210" w:firstLineChars="1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未分配利润</w:t>
            </w:r>
          </w:p>
        </w:tc>
        <w:tc>
          <w:tcPr>
            <w:tcW w:w="550" w:type="pct"/>
            <w:tcBorders>
              <w:top w:val="outset" w:color="auto" w:sz="6" w:space="0"/>
              <w:left w:val="outset" w:color="auto" w:sz="6" w:space="0"/>
              <w:bottom w:val="outset" w:color="auto" w:sz="6" w:space="0"/>
              <w:right w:val="outset" w:color="auto" w:sz="6" w:space="0"/>
            </w:tcBorders>
          </w:tcPr>
          <w:p w14:paraId="5C8AA3D3">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4DBBB76F">
            <w:pPr>
              <w:jc w:val="right"/>
              <w:rPr>
                <w:rFonts w:hint="eastAsia"/>
              </w:rPr>
            </w:pPr>
            <w:r>
              <w:rPr>
                <w:rFonts w:ascii="Arial Narrow" w:hAnsi="Arial Narrow" w:eastAsia="等线"/>
                <w:color w:val="000000"/>
                <w:szCs w:val="21"/>
              </w:rPr>
              <w:t xml:space="preserve">36,192,464.08 </w:t>
            </w:r>
          </w:p>
        </w:tc>
        <w:tc>
          <w:tcPr>
            <w:tcW w:w="1142" w:type="pct"/>
            <w:tcBorders>
              <w:top w:val="outset" w:color="auto" w:sz="6" w:space="0"/>
              <w:left w:val="outset" w:color="auto" w:sz="6" w:space="0"/>
              <w:bottom w:val="outset" w:color="auto" w:sz="6" w:space="0"/>
              <w:right w:val="outset" w:color="auto" w:sz="6" w:space="0"/>
            </w:tcBorders>
            <w:vAlign w:val="center"/>
          </w:tcPr>
          <w:p w14:paraId="3578F8BD">
            <w:pPr>
              <w:jc w:val="right"/>
              <w:rPr>
                <w:rFonts w:hint="eastAsia"/>
              </w:rPr>
            </w:pPr>
            <w:r>
              <w:rPr>
                <w:rFonts w:ascii="Arial Narrow" w:hAnsi="Arial Narrow" w:eastAsia="等线"/>
                <w:color w:val="000000"/>
                <w:szCs w:val="21"/>
              </w:rPr>
              <w:t xml:space="preserve">167,759,321.90 </w:t>
            </w:r>
          </w:p>
        </w:tc>
      </w:tr>
      <w:tr w14:paraId="2D93A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66654E8D">
            <w:pPr>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所有者权益（或股东权益）合计</w:t>
            </w:r>
          </w:p>
        </w:tc>
        <w:tc>
          <w:tcPr>
            <w:tcW w:w="550" w:type="pct"/>
            <w:tcBorders>
              <w:top w:val="outset" w:color="auto" w:sz="6" w:space="0"/>
              <w:left w:val="outset" w:color="auto" w:sz="6" w:space="0"/>
              <w:bottom w:val="outset" w:color="auto" w:sz="6" w:space="0"/>
              <w:right w:val="outset" w:color="auto" w:sz="6" w:space="0"/>
            </w:tcBorders>
          </w:tcPr>
          <w:p w14:paraId="578373D4">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68FF687A">
            <w:pPr>
              <w:jc w:val="right"/>
              <w:rPr>
                <w:rFonts w:hint="eastAsia"/>
              </w:rPr>
            </w:pPr>
            <w:r>
              <w:rPr>
                <w:rFonts w:ascii="Arial Narrow" w:hAnsi="Arial Narrow" w:eastAsia="等线"/>
                <w:color w:val="000000"/>
                <w:szCs w:val="21"/>
              </w:rPr>
              <w:t xml:space="preserve">12,424,424,561.02 </w:t>
            </w:r>
          </w:p>
        </w:tc>
        <w:tc>
          <w:tcPr>
            <w:tcW w:w="1142" w:type="pct"/>
            <w:tcBorders>
              <w:top w:val="outset" w:color="auto" w:sz="6" w:space="0"/>
              <w:left w:val="outset" w:color="auto" w:sz="6" w:space="0"/>
              <w:bottom w:val="outset" w:color="auto" w:sz="6" w:space="0"/>
              <w:right w:val="outset" w:color="auto" w:sz="6" w:space="0"/>
            </w:tcBorders>
            <w:vAlign w:val="center"/>
          </w:tcPr>
          <w:p w14:paraId="2957EFB5">
            <w:pPr>
              <w:jc w:val="right"/>
              <w:rPr>
                <w:rFonts w:hint="eastAsia"/>
              </w:rPr>
            </w:pPr>
            <w:r>
              <w:rPr>
                <w:rFonts w:ascii="Arial Narrow" w:hAnsi="Arial Narrow" w:eastAsia="等线"/>
                <w:color w:val="000000"/>
                <w:szCs w:val="21"/>
              </w:rPr>
              <w:t xml:space="preserve">12,660,671,469.96 </w:t>
            </w:r>
          </w:p>
        </w:tc>
      </w:tr>
      <w:tr w14:paraId="0AF6C1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68" w:type="pct"/>
            <w:tcBorders>
              <w:top w:val="outset" w:color="auto" w:sz="6" w:space="0"/>
              <w:left w:val="outset" w:color="auto" w:sz="6" w:space="0"/>
              <w:bottom w:val="outset" w:color="auto" w:sz="6" w:space="0"/>
              <w:right w:val="outset" w:color="auto" w:sz="6" w:space="0"/>
            </w:tcBorders>
            <w:vAlign w:val="center"/>
          </w:tcPr>
          <w:p w14:paraId="15AD47FA">
            <w:pPr>
              <w:ind w:firstLine="630" w:firstLineChars="3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负债和所有者权益（或股东权益）总计</w:t>
            </w:r>
          </w:p>
        </w:tc>
        <w:tc>
          <w:tcPr>
            <w:tcW w:w="550" w:type="pct"/>
            <w:tcBorders>
              <w:top w:val="outset" w:color="auto" w:sz="6" w:space="0"/>
              <w:left w:val="outset" w:color="auto" w:sz="6" w:space="0"/>
              <w:bottom w:val="outset" w:color="auto" w:sz="6" w:space="0"/>
              <w:right w:val="outset" w:color="auto" w:sz="6" w:space="0"/>
            </w:tcBorders>
          </w:tcPr>
          <w:p w14:paraId="33AF0568">
            <w:pPr>
              <w:rPr>
                <w:rFonts w:hint="eastAsia"/>
              </w:rPr>
            </w:pPr>
          </w:p>
        </w:tc>
        <w:tc>
          <w:tcPr>
            <w:tcW w:w="1140" w:type="pct"/>
            <w:tcBorders>
              <w:top w:val="outset" w:color="auto" w:sz="6" w:space="0"/>
              <w:left w:val="outset" w:color="auto" w:sz="6" w:space="0"/>
              <w:bottom w:val="outset" w:color="auto" w:sz="6" w:space="0"/>
              <w:right w:val="outset" w:color="auto" w:sz="6" w:space="0"/>
            </w:tcBorders>
            <w:vAlign w:val="center"/>
          </w:tcPr>
          <w:p w14:paraId="5C6F3A7A">
            <w:pPr>
              <w:jc w:val="right"/>
              <w:rPr>
                <w:rFonts w:hint="eastAsia"/>
              </w:rPr>
            </w:pPr>
            <w:r>
              <w:rPr>
                <w:rFonts w:ascii="Arial Narrow" w:hAnsi="Arial Narrow" w:eastAsia="等线"/>
                <w:color w:val="000000"/>
                <w:szCs w:val="21"/>
              </w:rPr>
              <w:t xml:space="preserve">16,307,672,750.17 </w:t>
            </w:r>
          </w:p>
        </w:tc>
        <w:tc>
          <w:tcPr>
            <w:tcW w:w="1142" w:type="pct"/>
            <w:tcBorders>
              <w:top w:val="outset" w:color="auto" w:sz="6" w:space="0"/>
              <w:left w:val="outset" w:color="auto" w:sz="6" w:space="0"/>
              <w:bottom w:val="outset" w:color="auto" w:sz="6" w:space="0"/>
              <w:right w:val="outset" w:color="auto" w:sz="6" w:space="0"/>
            </w:tcBorders>
            <w:vAlign w:val="center"/>
          </w:tcPr>
          <w:p w14:paraId="3223300A">
            <w:pPr>
              <w:jc w:val="right"/>
              <w:rPr>
                <w:rFonts w:hint="eastAsia"/>
              </w:rPr>
            </w:pPr>
            <w:r>
              <w:rPr>
                <w:rFonts w:ascii="Arial Narrow" w:hAnsi="Arial Narrow" w:eastAsia="等线"/>
                <w:color w:val="000000"/>
                <w:szCs w:val="21"/>
              </w:rPr>
              <w:t xml:space="preserve">17,219,022,198.42 </w:t>
            </w:r>
          </w:p>
        </w:tc>
      </w:tr>
      <w:bookmarkEnd w:id="205"/>
    </w:tbl>
    <w:p w14:paraId="5CB3F034">
      <w:pPr>
        <w:ind w:right="-153" w:rightChars="-73"/>
        <w:rPr>
          <w:rFonts w:hint="eastAsia"/>
          <w:szCs w:val="21"/>
        </w:rPr>
      </w:pPr>
    </w:p>
    <w:p w14:paraId="33106043">
      <w:pPr>
        <w:ind w:right="-153" w:rightChars="-73"/>
        <w:rPr>
          <w:rFonts w:hint="eastAsia"/>
          <w:szCs w:val="21"/>
        </w:rPr>
      </w:pPr>
    </w:p>
    <w:p w14:paraId="37710614">
      <w:pPr>
        <w:ind w:right="-153" w:rightChars="-73"/>
        <w:rPr>
          <w:rFonts w:hint="eastAsia"/>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a81a61c6d7bb46bfa69f34f205086804"/>
          <w:id w:val="836972913"/>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12b89d18f9094da18899493b997b98a8"/>
          <w:id w:val="-70819209"/>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0397291c44b4713afb5a711c98f3ea6"/>
          <w:id w:val="-1080054066"/>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06030D41">
      <w:pPr>
        <w:rPr>
          <w:rFonts w:hint="eastAsia"/>
        </w:rPr>
      </w:pPr>
    </w:p>
    <w:bookmarkEnd w:id="202"/>
    <w:bookmarkEnd w:id="204"/>
    <w:p w14:paraId="3E201DE0">
      <w:pPr>
        <w:rPr>
          <w:rFonts w:hint="eastAsia"/>
          <w:color w:val="FF0000"/>
          <w:szCs w:val="21"/>
        </w:rPr>
      </w:pPr>
      <w:bookmarkStart w:id="206" w:name="_Hlk24033458"/>
      <w:bookmarkEnd w:id="206"/>
    </w:p>
    <w:p w14:paraId="7126FB1B">
      <w:pPr>
        <w:pStyle w:val="70"/>
        <w:jc w:val="center"/>
      </w:pPr>
      <w:bookmarkStart w:id="207" w:name="_Hlk24038378"/>
      <w:r>
        <w:rPr>
          <w:rFonts w:hint="eastAsia"/>
        </w:rPr>
        <w:t>合并</w:t>
      </w:r>
      <w:r>
        <w:t>利润表</w:t>
      </w:r>
    </w:p>
    <w:p w14:paraId="7F7C27C0">
      <w:pPr>
        <w:jc w:val="center"/>
        <w:rPr>
          <w:rFonts w:hint="eastAsia"/>
          <w:b/>
          <w:bCs/>
          <w:szCs w:val="21"/>
        </w:rPr>
      </w:pPr>
      <w:r>
        <w:rPr>
          <w:szCs w:val="21"/>
        </w:rPr>
        <w:t>2024年</w:t>
      </w:r>
      <w:r>
        <w:rPr>
          <w:rFonts w:hint="eastAsia"/>
          <w:szCs w:val="21"/>
        </w:rPr>
        <w:t>1—</w:t>
      </w:r>
      <w:r>
        <w:rPr>
          <w:szCs w:val="21"/>
        </w:rPr>
        <w:t>12月</w:t>
      </w:r>
    </w:p>
    <w:p w14:paraId="590DF526">
      <w:pPr>
        <w:jc w:val="right"/>
        <w:rPr>
          <w:rFonts w:hint="eastAsia"/>
          <w:szCs w:val="21"/>
        </w:rPr>
      </w:pPr>
      <w:r>
        <w:rPr>
          <w:szCs w:val="21"/>
        </w:rPr>
        <w:t>单位：</w:t>
      </w:r>
      <w:sdt>
        <w:sdtPr>
          <w:rPr>
            <w:szCs w:val="21"/>
          </w:rPr>
          <w:alias w:val="单位：合并利润表"/>
          <w:tag w:val="_GBC_95830fead96c480388a2e386c3331383"/>
          <w:id w:val="17788289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合并利润表"/>
          <w:tag w:val="_GBC_4902a1798447427ba99922213b04b39b"/>
          <w:id w:val="-5943971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90"/>
        <w:gridCol w:w="992"/>
        <w:gridCol w:w="1701"/>
        <w:gridCol w:w="1740"/>
      </w:tblGrid>
      <w:tr w14:paraId="230EB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blHeader/>
        </w:trPr>
        <w:sdt>
          <w:sdtPr>
            <w:tag w:val="_PLD_2e3f33fcce354b339a86add10899a6c5"/>
            <w:id w:val="1173300667"/>
          </w:sdtPr>
          <w:sdtContent>
            <w:tc>
              <w:tcPr>
                <w:tcW w:w="2488" w:type="pct"/>
                <w:tcBorders>
                  <w:top w:val="outset" w:color="auto" w:sz="4" w:space="0"/>
                  <w:left w:val="outset" w:color="auto" w:sz="4" w:space="0"/>
                  <w:bottom w:val="outset" w:color="auto" w:sz="4" w:space="0"/>
                  <w:right w:val="outset" w:color="auto" w:sz="4" w:space="0"/>
                </w:tcBorders>
                <w:vAlign w:val="center"/>
              </w:tcPr>
              <w:p w14:paraId="07828B26">
                <w:pPr>
                  <w:ind w:leftChars="-19" w:hanging="39" w:hangingChars="19"/>
                  <w:jc w:val="center"/>
                  <w:rPr>
                    <w:rFonts w:hint="eastAsia"/>
                    <w:b/>
                    <w:szCs w:val="21"/>
                  </w:rPr>
                </w:pPr>
                <w:r>
                  <w:rPr>
                    <w:b/>
                    <w:szCs w:val="21"/>
                  </w:rPr>
                  <w:t>项目</w:t>
                </w:r>
              </w:p>
            </w:tc>
          </w:sdtContent>
        </w:sdt>
        <w:sdt>
          <w:sdtPr>
            <w:tag w:val="_PLD_93edd7a3846d4cd58b14d043e9b33f2c"/>
            <w:id w:val="-1231918581"/>
          </w:sdtPr>
          <w:sdtContent>
            <w:tc>
              <w:tcPr>
                <w:tcW w:w="562" w:type="pct"/>
                <w:tcBorders>
                  <w:top w:val="outset" w:color="auto" w:sz="4" w:space="0"/>
                  <w:left w:val="outset" w:color="auto" w:sz="4" w:space="0"/>
                  <w:bottom w:val="outset" w:color="auto" w:sz="4" w:space="0"/>
                  <w:right w:val="outset" w:color="auto" w:sz="4" w:space="0"/>
                </w:tcBorders>
                <w:vAlign w:val="center"/>
              </w:tcPr>
              <w:p w14:paraId="3620EA33">
                <w:pPr>
                  <w:jc w:val="center"/>
                  <w:rPr>
                    <w:rFonts w:hint="eastAsia"/>
                    <w:b/>
                    <w:szCs w:val="21"/>
                  </w:rPr>
                </w:pPr>
                <w:r>
                  <w:rPr>
                    <w:rFonts w:hint="eastAsia"/>
                    <w:b/>
                    <w:szCs w:val="21"/>
                  </w:rPr>
                  <w:t>附注</w:t>
                </w:r>
              </w:p>
            </w:tc>
          </w:sdtContent>
        </w:sdt>
        <w:sdt>
          <w:sdtPr>
            <w:tag w:val="_PLD_49f84cca199c45e7bc0f9fea5b73078c"/>
            <w:id w:val="-1949775071"/>
          </w:sdtPr>
          <w:sdtContent>
            <w:tc>
              <w:tcPr>
                <w:tcW w:w="964" w:type="pct"/>
                <w:tcBorders>
                  <w:top w:val="outset" w:color="auto" w:sz="4" w:space="0"/>
                  <w:left w:val="outset" w:color="auto" w:sz="4" w:space="0"/>
                  <w:bottom w:val="outset" w:color="auto" w:sz="4" w:space="0"/>
                  <w:right w:val="outset" w:color="auto" w:sz="4" w:space="0"/>
                </w:tcBorders>
                <w:vAlign w:val="center"/>
              </w:tcPr>
              <w:p w14:paraId="27C5859D">
                <w:pPr>
                  <w:jc w:val="center"/>
                  <w:rPr>
                    <w:rFonts w:hint="eastAsia"/>
                    <w:b/>
                    <w:szCs w:val="21"/>
                  </w:rPr>
                </w:pPr>
                <w:r>
                  <w:rPr>
                    <w:rFonts w:hint="eastAsia"/>
                    <w:b/>
                    <w:szCs w:val="21"/>
                  </w:rPr>
                  <w:t>2024年度</w:t>
                </w:r>
              </w:p>
            </w:tc>
          </w:sdtContent>
        </w:sdt>
        <w:sdt>
          <w:sdtPr>
            <w:tag w:val="_PLD_8b5fde21bc974404b892a88906dec352"/>
            <w:id w:val="476031712"/>
          </w:sdtPr>
          <w:sdtContent>
            <w:tc>
              <w:tcPr>
                <w:tcW w:w="986" w:type="pct"/>
                <w:tcBorders>
                  <w:top w:val="outset" w:color="auto" w:sz="4" w:space="0"/>
                  <w:left w:val="outset" w:color="auto" w:sz="4" w:space="0"/>
                  <w:bottom w:val="outset" w:color="auto" w:sz="4" w:space="0"/>
                  <w:right w:val="outset" w:color="auto" w:sz="4" w:space="0"/>
                </w:tcBorders>
                <w:vAlign w:val="center"/>
              </w:tcPr>
              <w:p w14:paraId="5FA39EC4">
                <w:pPr>
                  <w:jc w:val="center"/>
                  <w:rPr>
                    <w:rFonts w:hint="eastAsia"/>
                    <w:b/>
                    <w:szCs w:val="21"/>
                  </w:rPr>
                </w:pPr>
                <w:r>
                  <w:rPr>
                    <w:rFonts w:hint="eastAsia"/>
                    <w:b/>
                    <w:szCs w:val="21"/>
                  </w:rPr>
                  <w:t>2023年度</w:t>
                </w:r>
              </w:p>
            </w:tc>
          </w:sdtContent>
        </w:sdt>
      </w:tr>
      <w:tr w14:paraId="5309FF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5AA1BA2">
            <w:pPr>
              <w:rPr>
                <w:rFonts w:hint="eastAsia"/>
                <w:color w:val="000000"/>
                <w:szCs w:val="21"/>
              </w:rPr>
            </w:pPr>
            <w:r>
              <w:rPr>
                <w:rFonts w:hint="eastAsia"/>
                <w:szCs w:val="21"/>
              </w:rPr>
              <w:t>一、营业总收入</w:t>
            </w:r>
          </w:p>
        </w:tc>
        <w:tc>
          <w:tcPr>
            <w:tcW w:w="562" w:type="pct"/>
            <w:tcBorders>
              <w:top w:val="outset" w:color="auto" w:sz="4" w:space="0"/>
              <w:left w:val="outset" w:color="auto" w:sz="4" w:space="0"/>
              <w:bottom w:val="outset" w:color="auto" w:sz="4" w:space="0"/>
              <w:right w:val="outset" w:color="auto" w:sz="4" w:space="0"/>
            </w:tcBorders>
            <w:vAlign w:val="center"/>
          </w:tcPr>
          <w:p w14:paraId="69F2D144">
            <w:pPr>
              <w:rPr>
                <w:rFonts w:hint="eastAsia"/>
                <w:szCs w:val="21"/>
              </w:rPr>
            </w:pPr>
            <w:r>
              <w:t>七、61</w:t>
            </w:r>
          </w:p>
        </w:tc>
        <w:tc>
          <w:tcPr>
            <w:tcW w:w="964" w:type="pct"/>
            <w:tcBorders>
              <w:top w:val="outset" w:color="auto" w:sz="4" w:space="0"/>
              <w:left w:val="outset" w:color="auto" w:sz="4" w:space="0"/>
              <w:bottom w:val="outset" w:color="auto" w:sz="4" w:space="0"/>
              <w:right w:val="outset" w:color="auto" w:sz="4" w:space="0"/>
            </w:tcBorders>
            <w:vAlign w:val="center"/>
          </w:tcPr>
          <w:p w14:paraId="23531F7B">
            <w:pPr>
              <w:jc w:val="right"/>
              <w:rPr>
                <w:rFonts w:ascii="Arial Narrow" w:hAnsi="Arial Narrow"/>
                <w:szCs w:val="21"/>
              </w:rPr>
            </w:pPr>
            <w:r>
              <w:rPr>
                <w:rFonts w:ascii="Arial Narrow" w:hAnsi="Arial Narrow" w:eastAsia="等线"/>
                <w:color w:val="000000"/>
                <w:szCs w:val="21"/>
              </w:rPr>
              <w:t xml:space="preserve">9,886,097,757.33 </w:t>
            </w:r>
          </w:p>
        </w:tc>
        <w:tc>
          <w:tcPr>
            <w:tcW w:w="986" w:type="pct"/>
            <w:tcBorders>
              <w:top w:val="outset" w:color="auto" w:sz="4" w:space="0"/>
              <w:left w:val="outset" w:color="auto" w:sz="4" w:space="0"/>
              <w:bottom w:val="outset" w:color="auto" w:sz="4" w:space="0"/>
              <w:right w:val="outset" w:color="auto" w:sz="4" w:space="0"/>
            </w:tcBorders>
            <w:vAlign w:val="center"/>
          </w:tcPr>
          <w:p w14:paraId="46EB7C3D">
            <w:pPr>
              <w:jc w:val="right"/>
              <w:rPr>
                <w:rFonts w:ascii="Arial Narrow" w:hAnsi="Arial Narrow"/>
                <w:szCs w:val="21"/>
              </w:rPr>
            </w:pPr>
            <w:r>
              <w:rPr>
                <w:rFonts w:ascii="Arial Narrow" w:hAnsi="Arial Narrow" w:eastAsia="等线"/>
                <w:color w:val="000000"/>
                <w:szCs w:val="21"/>
              </w:rPr>
              <w:t xml:space="preserve">11,560,688,799.90 </w:t>
            </w:r>
          </w:p>
        </w:tc>
      </w:tr>
      <w:tr w14:paraId="2A456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1A4A564">
            <w:pPr>
              <w:rPr>
                <w:rFonts w:hint="eastAsia"/>
                <w:color w:val="000000"/>
                <w:szCs w:val="21"/>
              </w:rPr>
            </w:pPr>
            <w:r>
              <w:rPr>
                <w:rFonts w:hint="eastAsia"/>
                <w:szCs w:val="21"/>
              </w:rPr>
              <w:t>其中：营业收入</w:t>
            </w:r>
          </w:p>
        </w:tc>
        <w:tc>
          <w:tcPr>
            <w:tcW w:w="562" w:type="pct"/>
            <w:tcBorders>
              <w:top w:val="outset" w:color="auto" w:sz="4" w:space="0"/>
              <w:left w:val="outset" w:color="auto" w:sz="4" w:space="0"/>
              <w:bottom w:val="outset" w:color="auto" w:sz="4" w:space="0"/>
              <w:right w:val="outset" w:color="auto" w:sz="4" w:space="0"/>
            </w:tcBorders>
            <w:vAlign w:val="center"/>
          </w:tcPr>
          <w:p w14:paraId="6469BBDA">
            <w:pPr>
              <w:rPr>
                <w:rFonts w:hint="eastAsia"/>
                <w:szCs w:val="21"/>
              </w:rPr>
            </w:pPr>
            <w:r>
              <w:t>七、61</w:t>
            </w:r>
          </w:p>
        </w:tc>
        <w:tc>
          <w:tcPr>
            <w:tcW w:w="964" w:type="pct"/>
            <w:tcBorders>
              <w:top w:val="outset" w:color="auto" w:sz="4" w:space="0"/>
              <w:left w:val="outset" w:color="auto" w:sz="4" w:space="0"/>
              <w:bottom w:val="outset" w:color="auto" w:sz="4" w:space="0"/>
              <w:right w:val="outset" w:color="auto" w:sz="4" w:space="0"/>
            </w:tcBorders>
            <w:vAlign w:val="center"/>
          </w:tcPr>
          <w:p w14:paraId="475881D2">
            <w:pPr>
              <w:jc w:val="right"/>
              <w:rPr>
                <w:rFonts w:ascii="Arial Narrow" w:hAnsi="Arial Narrow"/>
                <w:szCs w:val="21"/>
              </w:rPr>
            </w:pPr>
            <w:r>
              <w:rPr>
                <w:rFonts w:ascii="Arial Narrow" w:hAnsi="Arial Narrow" w:eastAsia="等线"/>
                <w:color w:val="000000"/>
                <w:szCs w:val="21"/>
              </w:rPr>
              <w:t xml:space="preserve">9,886,097,757.33 </w:t>
            </w:r>
          </w:p>
        </w:tc>
        <w:tc>
          <w:tcPr>
            <w:tcW w:w="986" w:type="pct"/>
            <w:tcBorders>
              <w:top w:val="outset" w:color="auto" w:sz="4" w:space="0"/>
              <w:left w:val="outset" w:color="auto" w:sz="4" w:space="0"/>
              <w:bottom w:val="outset" w:color="auto" w:sz="4" w:space="0"/>
              <w:right w:val="outset" w:color="auto" w:sz="4" w:space="0"/>
            </w:tcBorders>
            <w:vAlign w:val="center"/>
          </w:tcPr>
          <w:p w14:paraId="29793726">
            <w:pPr>
              <w:jc w:val="right"/>
              <w:rPr>
                <w:rFonts w:ascii="Arial Narrow" w:hAnsi="Arial Narrow"/>
                <w:szCs w:val="21"/>
              </w:rPr>
            </w:pPr>
            <w:r>
              <w:rPr>
                <w:rFonts w:ascii="Arial Narrow" w:hAnsi="Arial Narrow" w:eastAsia="等线"/>
                <w:color w:val="000000"/>
                <w:szCs w:val="21"/>
              </w:rPr>
              <w:t xml:space="preserve">11,560,688,799.90 </w:t>
            </w:r>
          </w:p>
        </w:tc>
      </w:tr>
      <w:tr w14:paraId="5662FE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8B543F6">
            <w:pPr>
              <w:rPr>
                <w:rFonts w:hint="eastAsia"/>
                <w:color w:val="000000"/>
                <w:szCs w:val="21"/>
              </w:rPr>
            </w:pPr>
            <w:r>
              <w:rPr>
                <w:rFonts w:hint="eastAsia"/>
                <w:szCs w:val="21"/>
              </w:rPr>
              <w:t>二、营业总成本</w:t>
            </w:r>
          </w:p>
        </w:tc>
        <w:tc>
          <w:tcPr>
            <w:tcW w:w="562" w:type="pct"/>
            <w:tcBorders>
              <w:top w:val="outset" w:color="auto" w:sz="4" w:space="0"/>
              <w:left w:val="outset" w:color="auto" w:sz="4" w:space="0"/>
              <w:bottom w:val="outset" w:color="auto" w:sz="4" w:space="0"/>
              <w:right w:val="outset" w:color="auto" w:sz="4" w:space="0"/>
            </w:tcBorders>
            <w:vAlign w:val="center"/>
          </w:tcPr>
          <w:p w14:paraId="1CFD0644">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1E63219">
            <w:pPr>
              <w:jc w:val="right"/>
              <w:rPr>
                <w:rFonts w:ascii="Arial Narrow" w:hAnsi="Arial Narrow"/>
                <w:szCs w:val="21"/>
              </w:rPr>
            </w:pPr>
            <w:r>
              <w:rPr>
                <w:rFonts w:ascii="Arial Narrow" w:hAnsi="Arial Narrow" w:eastAsia="等线"/>
                <w:color w:val="000000"/>
                <w:szCs w:val="21"/>
              </w:rPr>
              <w:t xml:space="preserve">11,046,788,460.29 </w:t>
            </w:r>
          </w:p>
        </w:tc>
        <w:tc>
          <w:tcPr>
            <w:tcW w:w="986" w:type="pct"/>
            <w:tcBorders>
              <w:top w:val="outset" w:color="auto" w:sz="4" w:space="0"/>
              <w:left w:val="outset" w:color="auto" w:sz="4" w:space="0"/>
              <w:bottom w:val="outset" w:color="auto" w:sz="4" w:space="0"/>
              <w:right w:val="outset" w:color="auto" w:sz="4" w:space="0"/>
            </w:tcBorders>
            <w:vAlign w:val="center"/>
          </w:tcPr>
          <w:p w14:paraId="671CC94A">
            <w:pPr>
              <w:jc w:val="right"/>
              <w:rPr>
                <w:rFonts w:ascii="Arial Narrow" w:hAnsi="Arial Narrow"/>
                <w:szCs w:val="21"/>
              </w:rPr>
            </w:pPr>
            <w:r>
              <w:rPr>
                <w:rFonts w:ascii="Arial Narrow" w:hAnsi="Arial Narrow" w:eastAsia="等线"/>
                <w:color w:val="000000"/>
                <w:szCs w:val="21"/>
              </w:rPr>
              <w:t xml:space="preserve">11,432,913,383.43 </w:t>
            </w:r>
          </w:p>
        </w:tc>
      </w:tr>
      <w:tr w14:paraId="4E819E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EC6FCE1">
            <w:pPr>
              <w:rPr>
                <w:rFonts w:hint="eastAsia"/>
                <w:color w:val="000000"/>
                <w:szCs w:val="21"/>
              </w:rPr>
            </w:pPr>
            <w:r>
              <w:rPr>
                <w:rFonts w:hint="eastAsia"/>
                <w:szCs w:val="21"/>
              </w:rPr>
              <w:t>其中：营业成本</w:t>
            </w:r>
          </w:p>
        </w:tc>
        <w:tc>
          <w:tcPr>
            <w:tcW w:w="562" w:type="pct"/>
            <w:tcBorders>
              <w:top w:val="outset" w:color="auto" w:sz="4" w:space="0"/>
              <w:left w:val="outset" w:color="auto" w:sz="4" w:space="0"/>
              <w:bottom w:val="outset" w:color="auto" w:sz="4" w:space="0"/>
              <w:right w:val="outset" w:color="auto" w:sz="4" w:space="0"/>
            </w:tcBorders>
            <w:vAlign w:val="center"/>
          </w:tcPr>
          <w:p w14:paraId="22E00B72">
            <w:pPr>
              <w:rPr>
                <w:rFonts w:hint="eastAsia"/>
                <w:szCs w:val="21"/>
              </w:rPr>
            </w:pPr>
            <w:r>
              <w:t>七、61</w:t>
            </w:r>
          </w:p>
        </w:tc>
        <w:tc>
          <w:tcPr>
            <w:tcW w:w="964" w:type="pct"/>
            <w:tcBorders>
              <w:top w:val="outset" w:color="auto" w:sz="4" w:space="0"/>
              <w:left w:val="outset" w:color="auto" w:sz="4" w:space="0"/>
              <w:bottom w:val="outset" w:color="auto" w:sz="4" w:space="0"/>
              <w:right w:val="outset" w:color="auto" w:sz="4" w:space="0"/>
            </w:tcBorders>
            <w:vAlign w:val="center"/>
          </w:tcPr>
          <w:p w14:paraId="0823E7BD">
            <w:pPr>
              <w:jc w:val="right"/>
              <w:rPr>
                <w:rFonts w:ascii="Arial Narrow" w:hAnsi="Arial Narrow"/>
                <w:szCs w:val="21"/>
              </w:rPr>
            </w:pPr>
            <w:r>
              <w:rPr>
                <w:rFonts w:ascii="Arial Narrow" w:hAnsi="Arial Narrow" w:eastAsia="等线"/>
                <w:color w:val="000000"/>
                <w:szCs w:val="21"/>
              </w:rPr>
              <w:t xml:space="preserve">9,206,181,408.27 </w:t>
            </w:r>
          </w:p>
        </w:tc>
        <w:tc>
          <w:tcPr>
            <w:tcW w:w="986" w:type="pct"/>
            <w:tcBorders>
              <w:top w:val="outset" w:color="auto" w:sz="4" w:space="0"/>
              <w:left w:val="outset" w:color="auto" w:sz="4" w:space="0"/>
              <w:bottom w:val="outset" w:color="auto" w:sz="4" w:space="0"/>
              <w:right w:val="outset" w:color="auto" w:sz="4" w:space="0"/>
            </w:tcBorders>
            <w:vAlign w:val="center"/>
          </w:tcPr>
          <w:p w14:paraId="647DF089">
            <w:pPr>
              <w:jc w:val="right"/>
              <w:rPr>
                <w:rFonts w:ascii="Arial Narrow" w:hAnsi="Arial Narrow"/>
                <w:szCs w:val="21"/>
              </w:rPr>
            </w:pPr>
            <w:r>
              <w:rPr>
                <w:rFonts w:ascii="Arial Narrow" w:hAnsi="Arial Narrow" w:eastAsia="等线"/>
                <w:color w:val="000000"/>
                <w:szCs w:val="21"/>
              </w:rPr>
              <w:t xml:space="preserve">9,943,617,331.77 </w:t>
            </w:r>
          </w:p>
        </w:tc>
      </w:tr>
      <w:tr w14:paraId="0DD1D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861C82E">
            <w:pPr>
              <w:ind w:firstLine="630" w:firstLineChars="300"/>
              <w:rPr>
                <w:rFonts w:hint="eastAsia"/>
                <w:szCs w:val="21"/>
              </w:rPr>
            </w:pPr>
            <w:r>
              <w:rPr>
                <w:rFonts w:hint="eastAsia"/>
                <w:szCs w:val="21"/>
              </w:rPr>
              <w:t>税金及附加</w:t>
            </w:r>
          </w:p>
        </w:tc>
        <w:tc>
          <w:tcPr>
            <w:tcW w:w="562" w:type="pct"/>
            <w:tcBorders>
              <w:top w:val="outset" w:color="auto" w:sz="4" w:space="0"/>
              <w:left w:val="outset" w:color="auto" w:sz="4" w:space="0"/>
              <w:bottom w:val="outset" w:color="auto" w:sz="4" w:space="0"/>
              <w:right w:val="outset" w:color="auto" w:sz="4" w:space="0"/>
            </w:tcBorders>
            <w:vAlign w:val="center"/>
          </w:tcPr>
          <w:p w14:paraId="2A494BE1">
            <w:pPr>
              <w:rPr>
                <w:rFonts w:hint="eastAsia"/>
                <w:szCs w:val="21"/>
              </w:rPr>
            </w:pPr>
            <w:r>
              <w:t>七、62</w:t>
            </w:r>
          </w:p>
        </w:tc>
        <w:tc>
          <w:tcPr>
            <w:tcW w:w="964" w:type="pct"/>
            <w:tcBorders>
              <w:top w:val="outset" w:color="auto" w:sz="4" w:space="0"/>
              <w:left w:val="outset" w:color="auto" w:sz="4" w:space="0"/>
              <w:bottom w:val="outset" w:color="auto" w:sz="4" w:space="0"/>
              <w:right w:val="outset" w:color="auto" w:sz="4" w:space="0"/>
            </w:tcBorders>
            <w:vAlign w:val="center"/>
          </w:tcPr>
          <w:p w14:paraId="58F0AEEF">
            <w:pPr>
              <w:jc w:val="right"/>
              <w:rPr>
                <w:rFonts w:ascii="Arial Narrow" w:hAnsi="Arial Narrow"/>
                <w:szCs w:val="21"/>
              </w:rPr>
            </w:pPr>
            <w:r>
              <w:rPr>
                <w:rFonts w:ascii="Arial Narrow" w:hAnsi="Arial Narrow" w:eastAsia="等线"/>
                <w:color w:val="000000"/>
                <w:szCs w:val="21"/>
              </w:rPr>
              <w:t xml:space="preserve">98,205,374.06 </w:t>
            </w:r>
          </w:p>
        </w:tc>
        <w:tc>
          <w:tcPr>
            <w:tcW w:w="986" w:type="pct"/>
            <w:tcBorders>
              <w:top w:val="outset" w:color="auto" w:sz="4" w:space="0"/>
              <w:left w:val="outset" w:color="auto" w:sz="4" w:space="0"/>
              <w:bottom w:val="outset" w:color="auto" w:sz="4" w:space="0"/>
              <w:right w:val="outset" w:color="auto" w:sz="4" w:space="0"/>
            </w:tcBorders>
            <w:vAlign w:val="center"/>
          </w:tcPr>
          <w:p w14:paraId="2473E982">
            <w:pPr>
              <w:jc w:val="right"/>
              <w:rPr>
                <w:rFonts w:ascii="Arial Narrow" w:hAnsi="Arial Narrow"/>
                <w:szCs w:val="21"/>
              </w:rPr>
            </w:pPr>
            <w:r>
              <w:rPr>
                <w:rFonts w:ascii="Arial Narrow" w:hAnsi="Arial Narrow" w:eastAsia="等线"/>
                <w:color w:val="000000"/>
                <w:szCs w:val="21"/>
              </w:rPr>
              <w:t xml:space="preserve">103,099,878.72 </w:t>
            </w:r>
          </w:p>
        </w:tc>
      </w:tr>
      <w:tr w14:paraId="4D90A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6F84373">
            <w:pPr>
              <w:ind w:firstLine="630" w:firstLineChars="300"/>
              <w:rPr>
                <w:rFonts w:hint="eastAsia"/>
                <w:szCs w:val="21"/>
              </w:rPr>
            </w:pPr>
            <w:r>
              <w:rPr>
                <w:rFonts w:hint="eastAsia"/>
                <w:szCs w:val="21"/>
              </w:rPr>
              <w:t>销售费用</w:t>
            </w:r>
          </w:p>
        </w:tc>
        <w:tc>
          <w:tcPr>
            <w:tcW w:w="562" w:type="pct"/>
            <w:tcBorders>
              <w:top w:val="outset" w:color="auto" w:sz="4" w:space="0"/>
              <w:left w:val="outset" w:color="auto" w:sz="4" w:space="0"/>
              <w:bottom w:val="outset" w:color="auto" w:sz="4" w:space="0"/>
              <w:right w:val="outset" w:color="auto" w:sz="4" w:space="0"/>
            </w:tcBorders>
            <w:vAlign w:val="center"/>
          </w:tcPr>
          <w:p w14:paraId="3D4066D9">
            <w:pPr>
              <w:rPr>
                <w:rFonts w:hint="eastAsia"/>
                <w:szCs w:val="21"/>
              </w:rPr>
            </w:pPr>
            <w:r>
              <w:t>七、63</w:t>
            </w:r>
          </w:p>
        </w:tc>
        <w:tc>
          <w:tcPr>
            <w:tcW w:w="964" w:type="pct"/>
            <w:tcBorders>
              <w:top w:val="outset" w:color="auto" w:sz="4" w:space="0"/>
              <w:left w:val="outset" w:color="auto" w:sz="4" w:space="0"/>
              <w:bottom w:val="outset" w:color="auto" w:sz="4" w:space="0"/>
              <w:right w:val="outset" w:color="auto" w:sz="4" w:space="0"/>
            </w:tcBorders>
            <w:vAlign w:val="center"/>
          </w:tcPr>
          <w:p w14:paraId="6AB66507">
            <w:pPr>
              <w:jc w:val="right"/>
              <w:rPr>
                <w:rFonts w:ascii="Arial Narrow" w:hAnsi="Arial Narrow"/>
                <w:szCs w:val="21"/>
              </w:rPr>
            </w:pPr>
            <w:r>
              <w:rPr>
                <w:rFonts w:ascii="Arial Narrow" w:hAnsi="Arial Narrow" w:eastAsia="等线"/>
                <w:color w:val="000000"/>
                <w:szCs w:val="21"/>
              </w:rPr>
              <w:t xml:space="preserve">457,864,974.69 </w:t>
            </w:r>
          </w:p>
        </w:tc>
        <w:tc>
          <w:tcPr>
            <w:tcW w:w="986" w:type="pct"/>
            <w:tcBorders>
              <w:top w:val="outset" w:color="auto" w:sz="4" w:space="0"/>
              <w:left w:val="outset" w:color="auto" w:sz="4" w:space="0"/>
              <w:bottom w:val="outset" w:color="auto" w:sz="4" w:space="0"/>
              <w:right w:val="outset" w:color="auto" w:sz="4" w:space="0"/>
            </w:tcBorders>
            <w:vAlign w:val="center"/>
          </w:tcPr>
          <w:p w14:paraId="724EA158">
            <w:pPr>
              <w:jc w:val="right"/>
              <w:rPr>
                <w:rFonts w:ascii="Arial Narrow" w:hAnsi="Arial Narrow"/>
                <w:szCs w:val="21"/>
              </w:rPr>
            </w:pPr>
            <w:r>
              <w:rPr>
                <w:rFonts w:ascii="Arial Narrow" w:hAnsi="Arial Narrow" w:eastAsia="等线"/>
                <w:color w:val="000000"/>
                <w:szCs w:val="21"/>
              </w:rPr>
              <w:t xml:space="preserve">363,673,477.93 </w:t>
            </w:r>
          </w:p>
        </w:tc>
      </w:tr>
      <w:tr w14:paraId="66D21C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1FFC65A">
            <w:pPr>
              <w:ind w:firstLine="630" w:firstLineChars="300"/>
              <w:rPr>
                <w:rFonts w:hint="eastAsia"/>
                <w:szCs w:val="21"/>
              </w:rPr>
            </w:pPr>
            <w:r>
              <w:rPr>
                <w:rFonts w:hint="eastAsia"/>
                <w:szCs w:val="21"/>
              </w:rPr>
              <w:t>管理费用</w:t>
            </w:r>
          </w:p>
        </w:tc>
        <w:tc>
          <w:tcPr>
            <w:tcW w:w="562" w:type="pct"/>
            <w:tcBorders>
              <w:top w:val="outset" w:color="auto" w:sz="4" w:space="0"/>
              <w:left w:val="outset" w:color="auto" w:sz="4" w:space="0"/>
              <w:bottom w:val="outset" w:color="auto" w:sz="4" w:space="0"/>
              <w:right w:val="outset" w:color="auto" w:sz="4" w:space="0"/>
            </w:tcBorders>
            <w:vAlign w:val="center"/>
          </w:tcPr>
          <w:p w14:paraId="0C694B5B">
            <w:pPr>
              <w:rPr>
                <w:rFonts w:hint="eastAsia"/>
                <w:szCs w:val="21"/>
              </w:rPr>
            </w:pPr>
            <w:r>
              <w:t>七、64</w:t>
            </w:r>
          </w:p>
        </w:tc>
        <w:tc>
          <w:tcPr>
            <w:tcW w:w="964" w:type="pct"/>
            <w:tcBorders>
              <w:top w:val="outset" w:color="auto" w:sz="4" w:space="0"/>
              <w:left w:val="outset" w:color="auto" w:sz="4" w:space="0"/>
              <w:bottom w:val="outset" w:color="auto" w:sz="4" w:space="0"/>
              <w:right w:val="outset" w:color="auto" w:sz="4" w:space="0"/>
            </w:tcBorders>
            <w:vAlign w:val="center"/>
          </w:tcPr>
          <w:p w14:paraId="3E7CA1AC">
            <w:pPr>
              <w:jc w:val="right"/>
              <w:rPr>
                <w:rFonts w:ascii="Arial Narrow" w:hAnsi="Arial Narrow"/>
                <w:szCs w:val="21"/>
              </w:rPr>
            </w:pPr>
            <w:r>
              <w:rPr>
                <w:rFonts w:ascii="Arial Narrow" w:hAnsi="Arial Narrow" w:eastAsia="等线"/>
                <w:color w:val="000000"/>
                <w:szCs w:val="21"/>
              </w:rPr>
              <w:t xml:space="preserve">976,107,086.54 </w:t>
            </w:r>
          </w:p>
        </w:tc>
        <w:tc>
          <w:tcPr>
            <w:tcW w:w="986" w:type="pct"/>
            <w:tcBorders>
              <w:top w:val="outset" w:color="auto" w:sz="4" w:space="0"/>
              <w:left w:val="outset" w:color="auto" w:sz="4" w:space="0"/>
              <w:bottom w:val="outset" w:color="auto" w:sz="4" w:space="0"/>
              <w:right w:val="outset" w:color="auto" w:sz="4" w:space="0"/>
            </w:tcBorders>
            <w:vAlign w:val="center"/>
          </w:tcPr>
          <w:p w14:paraId="4E53257D">
            <w:pPr>
              <w:jc w:val="right"/>
              <w:rPr>
                <w:rFonts w:ascii="Arial Narrow" w:hAnsi="Arial Narrow"/>
                <w:szCs w:val="21"/>
              </w:rPr>
            </w:pPr>
            <w:r>
              <w:rPr>
                <w:rFonts w:ascii="Arial Narrow" w:hAnsi="Arial Narrow" w:eastAsia="等线"/>
                <w:color w:val="000000"/>
                <w:szCs w:val="21"/>
              </w:rPr>
              <w:t xml:space="preserve">686,297,644.55 </w:t>
            </w:r>
          </w:p>
        </w:tc>
      </w:tr>
      <w:tr w14:paraId="21B926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5A4F020">
            <w:pPr>
              <w:ind w:firstLine="630" w:firstLineChars="300"/>
              <w:rPr>
                <w:rFonts w:hint="eastAsia"/>
              </w:rPr>
            </w:pPr>
            <w:r>
              <w:rPr>
                <w:rFonts w:hint="eastAsia"/>
              </w:rPr>
              <w:t>研发费用</w:t>
            </w:r>
          </w:p>
        </w:tc>
        <w:tc>
          <w:tcPr>
            <w:tcW w:w="562" w:type="pct"/>
            <w:tcBorders>
              <w:top w:val="outset" w:color="auto" w:sz="4" w:space="0"/>
              <w:left w:val="outset" w:color="auto" w:sz="4" w:space="0"/>
              <w:bottom w:val="outset" w:color="auto" w:sz="4" w:space="0"/>
              <w:right w:val="outset" w:color="auto" w:sz="4" w:space="0"/>
            </w:tcBorders>
            <w:vAlign w:val="center"/>
          </w:tcPr>
          <w:p w14:paraId="439CCC53">
            <w:pPr>
              <w:rPr>
                <w:rFonts w:hint="eastAsia"/>
                <w:szCs w:val="21"/>
              </w:rPr>
            </w:pPr>
            <w:r>
              <w:t>七、65</w:t>
            </w:r>
          </w:p>
        </w:tc>
        <w:tc>
          <w:tcPr>
            <w:tcW w:w="964" w:type="pct"/>
            <w:tcBorders>
              <w:top w:val="outset" w:color="auto" w:sz="4" w:space="0"/>
              <w:left w:val="outset" w:color="auto" w:sz="4" w:space="0"/>
              <w:bottom w:val="outset" w:color="auto" w:sz="4" w:space="0"/>
              <w:right w:val="outset" w:color="auto" w:sz="4" w:space="0"/>
            </w:tcBorders>
            <w:vAlign w:val="center"/>
          </w:tcPr>
          <w:p w14:paraId="715757AD">
            <w:pPr>
              <w:jc w:val="right"/>
              <w:rPr>
                <w:rFonts w:ascii="Arial Narrow" w:hAnsi="Arial Narrow"/>
                <w:szCs w:val="21"/>
              </w:rPr>
            </w:pPr>
            <w:r>
              <w:rPr>
                <w:rFonts w:ascii="Arial Narrow" w:hAnsi="Arial Narrow" w:eastAsia="等线"/>
                <w:color w:val="000000"/>
                <w:szCs w:val="21"/>
              </w:rPr>
              <w:t xml:space="preserve">337,042,737.59 </w:t>
            </w:r>
          </w:p>
        </w:tc>
        <w:tc>
          <w:tcPr>
            <w:tcW w:w="986" w:type="pct"/>
            <w:tcBorders>
              <w:top w:val="outset" w:color="auto" w:sz="4" w:space="0"/>
              <w:left w:val="outset" w:color="auto" w:sz="4" w:space="0"/>
              <w:bottom w:val="outset" w:color="auto" w:sz="4" w:space="0"/>
              <w:right w:val="outset" w:color="auto" w:sz="4" w:space="0"/>
            </w:tcBorders>
            <w:vAlign w:val="center"/>
          </w:tcPr>
          <w:p w14:paraId="3ECB8BA6">
            <w:pPr>
              <w:jc w:val="right"/>
              <w:rPr>
                <w:rFonts w:ascii="Arial Narrow" w:hAnsi="Arial Narrow"/>
                <w:szCs w:val="21"/>
              </w:rPr>
            </w:pPr>
            <w:r>
              <w:rPr>
                <w:rFonts w:ascii="Arial Narrow" w:hAnsi="Arial Narrow" w:eastAsia="等线"/>
                <w:color w:val="000000"/>
                <w:szCs w:val="21"/>
              </w:rPr>
              <w:t xml:space="preserve">377,513,443.67 </w:t>
            </w:r>
          </w:p>
        </w:tc>
      </w:tr>
      <w:tr w14:paraId="13492B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6FDB2B4">
            <w:pPr>
              <w:ind w:firstLine="630" w:firstLineChars="300"/>
              <w:rPr>
                <w:rFonts w:hint="eastAsia"/>
                <w:szCs w:val="21"/>
              </w:rPr>
            </w:pPr>
            <w:r>
              <w:rPr>
                <w:rFonts w:hint="eastAsia"/>
                <w:szCs w:val="21"/>
              </w:rPr>
              <w:t>财务费用</w:t>
            </w:r>
          </w:p>
        </w:tc>
        <w:tc>
          <w:tcPr>
            <w:tcW w:w="562" w:type="pct"/>
            <w:tcBorders>
              <w:top w:val="outset" w:color="auto" w:sz="4" w:space="0"/>
              <w:left w:val="outset" w:color="auto" w:sz="4" w:space="0"/>
              <w:bottom w:val="outset" w:color="auto" w:sz="4" w:space="0"/>
              <w:right w:val="outset" w:color="auto" w:sz="4" w:space="0"/>
            </w:tcBorders>
            <w:vAlign w:val="center"/>
          </w:tcPr>
          <w:p w14:paraId="5DBD7F7A">
            <w:pPr>
              <w:rPr>
                <w:rFonts w:hint="eastAsia"/>
                <w:szCs w:val="21"/>
              </w:rPr>
            </w:pPr>
            <w:r>
              <w:t>七、66</w:t>
            </w:r>
          </w:p>
        </w:tc>
        <w:tc>
          <w:tcPr>
            <w:tcW w:w="964" w:type="pct"/>
            <w:tcBorders>
              <w:top w:val="outset" w:color="auto" w:sz="4" w:space="0"/>
              <w:left w:val="outset" w:color="auto" w:sz="4" w:space="0"/>
              <w:bottom w:val="outset" w:color="auto" w:sz="4" w:space="0"/>
              <w:right w:val="outset" w:color="auto" w:sz="4" w:space="0"/>
            </w:tcBorders>
            <w:vAlign w:val="center"/>
          </w:tcPr>
          <w:p w14:paraId="49D04E3A">
            <w:pPr>
              <w:jc w:val="right"/>
              <w:rPr>
                <w:rFonts w:ascii="Arial Narrow" w:hAnsi="Arial Narrow"/>
                <w:szCs w:val="21"/>
              </w:rPr>
            </w:pPr>
            <w:r>
              <w:rPr>
                <w:rFonts w:ascii="Arial Narrow" w:hAnsi="Arial Narrow" w:eastAsia="等线"/>
                <w:color w:val="000000"/>
                <w:szCs w:val="21"/>
              </w:rPr>
              <w:t xml:space="preserve">-28,613,120.86 </w:t>
            </w:r>
          </w:p>
        </w:tc>
        <w:tc>
          <w:tcPr>
            <w:tcW w:w="986" w:type="pct"/>
            <w:tcBorders>
              <w:top w:val="outset" w:color="auto" w:sz="4" w:space="0"/>
              <w:left w:val="outset" w:color="auto" w:sz="4" w:space="0"/>
              <w:bottom w:val="outset" w:color="auto" w:sz="4" w:space="0"/>
              <w:right w:val="outset" w:color="auto" w:sz="4" w:space="0"/>
            </w:tcBorders>
            <w:vAlign w:val="center"/>
          </w:tcPr>
          <w:p w14:paraId="5755D7EB">
            <w:pPr>
              <w:jc w:val="right"/>
              <w:rPr>
                <w:rFonts w:ascii="Arial Narrow" w:hAnsi="Arial Narrow"/>
                <w:szCs w:val="21"/>
              </w:rPr>
            </w:pPr>
            <w:r>
              <w:rPr>
                <w:rFonts w:ascii="Arial Narrow" w:hAnsi="Arial Narrow" w:eastAsia="等线"/>
                <w:color w:val="000000"/>
                <w:szCs w:val="21"/>
              </w:rPr>
              <w:t xml:space="preserve">-41,288,393.21 </w:t>
            </w:r>
          </w:p>
        </w:tc>
      </w:tr>
      <w:tr w14:paraId="4D463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792385EF">
            <w:pPr>
              <w:ind w:firstLine="630" w:firstLineChars="300"/>
              <w:rPr>
                <w:rFonts w:hint="eastAsia"/>
              </w:rPr>
            </w:pPr>
            <w:r>
              <w:rPr>
                <w:rFonts w:hint="eastAsia"/>
              </w:rPr>
              <w:t>其中：利息费用</w:t>
            </w:r>
          </w:p>
        </w:tc>
        <w:tc>
          <w:tcPr>
            <w:tcW w:w="562" w:type="pct"/>
            <w:tcBorders>
              <w:top w:val="outset" w:color="auto" w:sz="4" w:space="0"/>
              <w:left w:val="outset" w:color="auto" w:sz="4" w:space="0"/>
              <w:bottom w:val="outset" w:color="auto" w:sz="4" w:space="0"/>
              <w:right w:val="outset" w:color="auto" w:sz="4" w:space="0"/>
            </w:tcBorders>
            <w:vAlign w:val="center"/>
          </w:tcPr>
          <w:p w14:paraId="62D60FD1">
            <w:pPr>
              <w:rPr>
                <w:rFonts w:hint="eastAsia"/>
                <w:szCs w:val="21"/>
              </w:rPr>
            </w:pPr>
            <w:r>
              <w:t>七、66</w:t>
            </w:r>
          </w:p>
        </w:tc>
        <w:tc>
          <w:tcPr>
            <w:tcW w:w="964" w:type="pct"/>
            <w:tcBorders>
              <w:top w:val="outset" w:color="auto" w:sz="4" w:space="0"/>
              <w:left w:val="outset" w:color="auto" w:sz="4" w:space="0"/>
              <w:bottom w:val="outset" w:color="auto" w:sz="4" w:space="0"/>
              <w:right w:val="outset" w:color="auto" w:sz="4" w:space="0"/>
            </w:tcBorders>
            <w:vAlign w:val="center"/>
          </w:tcPr>
          <w:p w14:paraId="4929B7A4">
            <w:pPr>
              <w:jc w:val="right"/>
              <w:rPr>
                <w:rFonts w:ascii="Arial Narrow" w:hAnsi="Arial Narrow"/>
                <w:szCs w:val="21"/>
              </w:rPr>
            </w:pPr>
            <w:r>
              <w:rPr>
                <w:rFonts w:ascii="Arial Narrow" w:hAnsi="Arial Narrow" w:eastAsia="等线"/>
                <w:color w:val="000000"/>
                <w:szCs w:val="21"/>
              </w:rPr>
              <w:t xml:space="preserve">56,780,496.79 </w:t>
            </w:r>
          </w:p>
        </w:tc>
        <w:tc>
          <w:tcPr>
            <w:tcW w:w="986" w:type="pct"/>
            <w:tcBorders>
              <w:top w:val="outset" w:color="auto" w:sz="4" w:space="0"/>
              <w:left w:val="outset" w:color="auto" w:sz="4" w:space="0"/>
              <w:bottom w:val="outset" w:color="auto" w:sz="4" w:space="0"/>
              <w:right w:val="outset" w:color="auto" w:sz="4" w:space="0"/>
            </w:tcBorders>
            <w:vAlign w:val="center"/>
          </w:tcPr>
          <w:p w14:paraId="6076EBF0">
            <w:pPr>
              <w:jc w:val="right"/>
              <w:rPr>
                <w:rFonts w:ascii="Arial Narrow" w:hAnsi="Arial Narrow"/>
                <w:szCs w:val="21"/>
              </w:rPr>
            </w:pPr>
            <w:r>
              <w:rPr>
                <w:rFonts w:ascii="Arial Narrow" w:hAnsi="Arial Narrow" w:eastAsia="等线"/>
                <w:color w:val="000000"/>
                <w:szCs w:val="21"/>
              </w:rPr>
              <w:t xml:space="preserve">77,232,431.04 </w:t>
            </w:r>
          </w:p>
        </w:tc>
      </w:tr>
      <w:tr w14:paraId="50ACF1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A8A78C0">
            <w:pPr>
              <w:ind w:firstLine="1260" w:firstLineChars="600"/>
              <w:rPr>
                <w:rFonts w:hint="eastAsia"/>
              </w:rPr>
            </w:pPr>
            <w:r>
              <w:rPr>
                <w:rFonts w:hint="eastAsia"/>
              </w:rPr>
              <w:t>利息收入</w:t>
            </w:r>
          </w:p>
        </w:tc>
        <w:tc>
          <w:tcPr>
            <w:tcW w:w="562" w:type="pct"/>
            <w:tcBorders>
              <w:top w:val="outset" w:color="auto" w:sz="4" w:space="0"/>
              <w:left w:val="outset" w:color="auto" w:sz="4" w:space="0"/>
              <w:bottom w:val="outset" w:color="auto" w:sz="4" w:space="0"/>
              <w:right w:val="outset" w:color="auto" w:sz="4" w:space="0"/>
            </w:tcBorders>
            <w:vAlign w:val="center"/>
          </w:tcPr>
          <w:p w14:paraId="4D471738">
            <w:pPr>
              <w:rPr>
                <w:rFonts w:hint="eastAsia"/>
                <w:szCs w:val="21"/>
              </w:rPr>
            </w:pPr>
            <w:r>
              <w:t>七、66</w:t>
            </w:r>
          </w:p>
        </w:tc>
        <w:tc>
          <w:tcPr>
            <w:tcW w:w="964" w:type="pct"/>
            <w:tcBorders>
              <w:top w:val="outset" w:color="auto" w:sz="4" w:space="0"/>
              <w:left w:val="outset" w:color="auto" w:sz="4" w:space="0"/>
              <w:bottom w:val="outset" w:color="auto" w:sz="4" w:space="0"/>
              <w:right w:val="outset" w:color="auto" w:sz="4" w:space="0"/>
            </w:tcBorders>
            <w:vAlign w:val="center"/>
          </w:tcPr>
          <w:p w14:paraId="3B52A566">
            <w:pPr>
              <w:jc w:val="right"/>
              <w:rPr>
                <w:rFonts w:ascii="Arial Narrow" w:hAnsi="Arial Narrow"/>
                <w:szCs w:val="21"/>
              </w:rPr>
            </w:pPr>
            <w:r>
              <w:rPr>
                <w:rFonts w:ascii="Arial Narrow" w:hAnsi="Arial Narrow" w:eastAsia="等线"/>
                <w:color w:val="000000"/>
                <w:szCs w:val="21"/>
              </w:rPr>
              <w:t xml:space="preserve">75,041,810.86 </w:t>
            </w:r>
          </w:p>
        </w:tc>
        <w:tc>
          <w:tcPr>
            <w:tcW w:w="986" w:type="pct"/>
            <w:tcBorders>
              <w:top w:val="outset" w:color="auto" w:sz="4" w:space="0"/>
              <w:left w:val="outset" w:color="auto" w:sz="4" w:space="0"/>
              <w:bottom w:val="outset" w:color="auto" w:sz="4" w:space="0"/>
              <w:right w:val="outset" w:color="auto" w:sz="4" w:space="0"/>
            </w:tcBorders>
            <w:vAlign w:val="center"/>
          </w:tcPr>
          <w:p w14:paraId="6C9FFCAA">
            <w:pPr>
              <w:jc w:val="right"/>
              <w:rPr>
                <w:rFonts w:ascii="Arial Narrow" w:hAnsi="Arial Narrow"/>
                <w:szCs w:val="21"/>
              </w:rPr>
            </w:pPr>
            <w:r>
              <w:rPr>
                <w:rFonts w:ascii="Arial Narrow" w:hAnsi="Arial Narrow" w:eastAsia="等线"/>
                <w:color w:val="000000"/>
                <w:szCs w:val="21"/>
              </w:rPr>
              <w:t xml:space="preserve">116,202,690.51 </w:t>
            </w:r>
          </w:p>
        </w:tc>
      </w:tr>
      <w:tr w14:paraId="1E7759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5CB0292">
            <w:pPr>
              <w:ind w:firstLine="210" w:firstLineChars="100"/>
              <w:rPr>
                <w:rFonts w:hint="eastAsia"/>
                <w:szCs w:val="21"/>
              </w:rPr>
            </w:pPr>
            <w:r>
              <w:rPr>
                <w:rFonts w:hint="eastAsia"/>
              </w:rPr>
              <w:t>加：</w:t>
            </w:r>
            <w:r>
              <w:rPr>
                <w:rFonts w:hint="eastAsia"/>
                <w:szCs w:val="21"/>
              </w:rPr>
              <w:t>其他收益</w:t>
            </w:r>
          </w:p>
        </w:tc>
        <w:tc>
          <w:tcPr>
            <w:tcW w:w="562" w:type="pct"/>
            <w:tcBorders>
              <w:top w:val="outset" w:color="auto" w:sz="4" w:space="0"/>
              <w:left w:val="outset" w:color="auto" w:sz="4" w:space="0"/>
              <w:bottom w:val="outset" w:color="auto" w:sz="4" w:space="0"/>
              <w:right w:val="outset" w:color="auto" w:sz="4" w:space="0"/>
            </w:tcBorders>
            <w:vAlign w:val="center"/>
          </w:tcPr>
          <w:p w14:paraId="282E6838">
            <w:pPr>
              <w:rPr>
                <w:rFonts w:hint="eastAsia"/>
                <w:szCs w:val="21"/>
              </w:rPr>
            </w:pPr>
            <w:r>
              <w:t>七、67</w:t>
            </w:r>
          </w:p>
        </w:tc>
        <w:tc>
          <w:tcPr>
            <w:tcW w:w="964" w:type="pct"/>
            <w:tcBorders>
              <w:top w:val="outset" w:color="auto" w:sz="4" w:space="0"/>
              <w:left w:val="outset" w:color="auto" w:sz="4" w:space="0"/>
              <w:bottom w:val="outset" w:color="auto" w:sz="4" w:space="0"/>
              <w:right w:val="outset" w:color="auto" w:sz="4" w:space="0"/>
            </w:tcBorders>
            <w:vAlign w:val="center"/>
          </w:tcPr>
          <w:p w14:paraId="1760E345">
            <w:pPr>
              <w:jc w:val="right"/>
              <w:rPr>
                <w:rFonts w:ascii="Arial Narrow" w:hAnsi="Arial Narrow"/>
                <w:szCs w:val="21"/>
              </w:rPr>
            </w:pPr>
            <w:r>
              <w:rPr>
                <w:rFonts w:ascii="Arial Narrow" w:hAnsi="Arial Narrow" w:eastAsia="等线"/>
                <w:color w:val="000000"/>
                <w:szCs w:val="21"/>
              </w:rPr>
              <w:t xml:space="preserve">59,716,686.71 </w:t>
            </w:r>
          </w:p>
        </w:tc>
        <w:tc>
          <w:tcPr>
            <w:tcW w:w="986" w:type="pct"/>
            <w:tcBorders>
              <w:top w:val="outset" w:color="auto" w:sz="4" w:space="0"/>
              <w:left w:val="outset" w:color="auto" w:sz="4" w:space="0"/>
              <w:bottom w:val="outset" w:color="auto" w:sz="4" w:space="0"/>
              <w:right w:val="outset" w:color="auto" w:sz="4" w:space="0"/>
            </w:tcBorders>
            <w:vAlign w:val="center"/>
          </w:tcPr>
          <w:p w14:paraId="7AFB8702">
            <w:pPr>
              <w:jc w:val="right"/>
              <w:rPr>
                <w:rFonts w:ascii="Arial Narrow" w:hAnsi="Arial Narrow"/>
                <w:szCs w:val="21"/>
              </w:rPr>
            </w:pPr>
            <w:r>
              <w:rPr>
                <w:rFonts w:ascii="Arial Narrow" w:hAnsi="Arial Narrow" w:eastAsia="等线"/>
                <w:color w:val="000000"/>
                <w:szCs w:val="21"/>
              </w:rPr>
              <w:t xml:space="preserve">104,332,472.53 </w:t>
            </w:r>
          </w:p>
        </w:tc>
      </w:tr>
      <w:tr w14:paraId="386921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3BA141A">
            <w:pPr>
              <w:ind w:firstLine="630" w:firstLineChars="300"/>
              <w:rPr>
                <w:rFonts w:hint="eastAsia"/>
                <w:szCs w:val="21"/>
              </w:rPr>
            </w:pPr>
            <w:r>
              <w:rPr>
                <w:rFonts w:hint="eastAsia"/>
                <w:szCs w:val="21"/>
              </w:rPr>
              <w:t>投资收益（损失以“－”号填列）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74A219FC">
            <w:pPr>
              <w:rPr>
                <w:rFonts w:hint="eastAsia"/>
                <w:szCs w:val="21"/>
              </w:rPr>
            </w:pPr>
            <w:r>
              <w:t>七、68</w:t>
            </w:r>
          </w:p>
        </w:tc>
        <w:tc>
          <w:tcPr>
            <w:tcW w:w="964" w:type="pct"/>
            <w:tcBorders>
              <w:top w:val="outset" w:color="auto" w:sz="4" w:space="0"/>
              <w:left w:val="outset" w:color="auto" w:sz="4" w:space="0"/>
              <w:bottom w:val="outset" w:color="auto" w:sz="4" w:space="0"/>
              <w:right w:val="outset" w:color="auto" w:sz="4" w:space="0"/>
            </w:tcBorders>
            <w:vAlign w:val="center"/>
          </w:tcPr>
          <w:p w14:paraId="09CBD202">
            <w:pPr>
              <w:jc w:val="right"/>
              <w:rPr>
                <w:rFonts w:ascii="Arial Narrow" w:hAnsi="Arial Narrow"/>
                <w:szCs w:val="21"/>
              </w:rPr>
            </w:pPr>
            <w:r>
              <w:rPr>
                <w:rFonts w:ascii="Arial Narrow" w:hAnsi="Arial Narrow" w:eastAsia="等线"/>
                <w:color w:val="000000"/>
                <w:szCs w:val="21"/>
              </w:rPr>
              <w:t xml:space="preserve">-29,945,486.06 </w:t>
            </w:r>
          </w:p>
        </w:tc>
        <w:tc>
          <w:tcPr>
            <w:tcW w:w="986" w:type="pct"/>
            <w:tcBorders>
              <w:top w:val="outset" w:color="auto" w:sz="4" w:space="0"/>
              <w:left w:val="outset" w:color="auto" w:sz="4" w:space="0"/>
              <w:bottom w:val="outset" w:color="auto" w:sz="4" w:space="0"/>
              <w:right w:val="outset" w:color="auto" w:sz="4" w:space="0"/>
            </w:tcBorders>
            <w:vAlign w:val="center"/>
          </w:tcPr>
          <w:p w14:paraId="6B445B22">
            <w:pPr>
              <w:jc w:val="right"/>
              <w:rPr>
                <w:rFonts w:ascii="Arial Narrow" w:hAnsi="Arial Narrow"/>
                <w:szCs w:val="21"/>
              </w:rPr>
            </w:pPr>
            <w:r>
              <w:rPr>
                <w:rFonts w:ascii="Arial Narrow" w:hAnsi="Arial Narrow" w:eastAsia="等线"/>
                <w:color w:val="000000"/>
                <w:szCs w:val="21"/>
              </w:rPr>
              <w:t xml:space="preserve">83,174,547.48 </w:t>
            </w:r>
          </w:p>
        </w:tc>
      </w:tr>
      <w:tr w14:paraId="471E2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430AEFE">
            <w:pPr>
              <w:ind w:firstLine="630" w:firstLineChars="300"/>
              <w:rPr>
                <w:rFonts w:hint="eastAsia"/>
                <w:szCs w:val="21"/>
              </w:rPr>
            </w:pPr>
            <w:r>
              <w:rPr>
                <w:rFonts w:hint="eastAsia"/>
                <w:szCs w:val="21"/>
              </w:rPr>
              <w:t>其中：对联营企业和合营企业的投资收益</w:t>
            </w:r>
          </w:p>
        </w:tc>
        <w:tc>
          <w:tcPr>
            <w:tcW w:w="562" w:type="pct"/>
            <w:tcBorders>
              <w:top w:val="outset" w:color="auto" w:sz="4" w:space="0"/>
              <w:left w:val="outset" w:color="auto" w:sz="4" w:space="0"/>
              <w:bottom w:val="outset" w:color="auto" w:sz="4" w:space="0"/>
              <w:right w:val="outset" w:color="auto" w:sz="4" w:space="0"/>
            </w:tcBorders>
            <w:vAlign w:val="center"/>
          </w:tcPr>
          <w:p w14:paraId="4AB61C71">
            <w:pPr>
              <w:rPr>
                <w:rFonts w:hint="eastAsia"/>
                <w:szCs w:val="21"/>
              </w:rPr>
            </w:pPr>
            <w:r>
              <w:t>七、68</w:t>
            </w:r>
          </w:p>
        </w:tc>
        <w:tc>
          <w:tcPr>
            <w:tcW w:w="964" w:type="pct"/>
            <w:tcBorders>
              <w:top w:val="outset" w:color="auto" w:sz="4" w:space="0"/>
              <w:left w:val="outset" w:color="auto" w:sz="4" w:space="0"/>
              <w:bottom w:val="outset" w:color="auto" w:sz="4" w:space="0"/>
              <w:right w:val="outset" w:color="auto" w:sz="4" w:space="0"/>
            </w:tcBorders>
            <w:vAlign w:val="center"/>
          </w:tcPr>
          <w:p w14:paraId="476DF08B">
            <w:pPr>
              <w:jc w:val="right"/>
              <w:rPr>
                <w:rFonts w:ascii="Arial Narrow" w:hAnsi="Arial Narrow"/>
                <w:szCs w:val="21"/>
              </w:rPr>
            </w:pPr>
            <w:r>
              <w:rPr>
                <w:rFonts w:ascii="Arial Narrow" w:hAnsi="Arial Narrow" w:eastAsia="等线"/>
                <w:color w:val="000000"/>
                <w:szCs w:val="21"/>
              </w:rPr>
              <w:t xml:space="preserve">-37,198,316.41 </w:t>
            </w:r>
          </w:p>
        </w:tc>
        <w:tc>
          <w:tcPr>
            <w:tcW w:w="986" w:type="pct"/>
            <w:tcBorders>
              <w:top w:val="outset" w:color="auto" w:sz="4" w:space="0"/>
              <w:left w:val="outset" w:color="auto" w:sz="4" w:space="0"/>
              <w:bottom w:val="outset" w:color="auto" w:sz="4" w:space="0"/>
              <w:right w:val="outset" w:color="auto" w:sz="4" w:space="0"/>
            </w:tcBorders>
            <w:vAlign w:val="center"/>
          </w:tcPr>
          <w:p w14:paraId="5FB1E800">
            <w:pPr>
              <w:jc w:val="right"/>
              <w:rPr>
                <w:rFonts w:ascii="Arial Narrow" w:hAnsi="Arial Narrow"/>
                <w:szCs w:val="21"/>
              </w:rPr>
            </w:pPr>
            <w:r>
              <w:rPr>
                <w:rFonts w:ascii="Arial Narrow" w:hAnsi="Arial Narrow" w:eastAsia="等线"/>
                <w:color w:val="000000"/>
                <w:szCs w:val="21"/>
              </w:rPr>
              <w:t xml:space="preserve">-6,841,418.77 </w:t>
            </w:r>
          </w:p>
        </w:tc>
      </w:tr>
      <w:tr w14:paraId="4A39E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FA5D203">
            <w:pPr>
              <w:ind w:firstLine="630" w:firstLineChars="300"/>
              <w:rPr>
                <w:rFonts w:hint="eastAsia"/>
                <w:color w:val="000000"/>
                <w:szCs w:val="21"/>
              </w:rPr>
            </w:pPr>
            <w:r>
              <w:rPr>
                <w:rFonts w:hint="eastAsia"/>
                <w:szCs w:val="21"/>
              </w:rPr>
              <w:t>公允价值变动收益（损失以“－”号填列）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27769CA0">
            <w:pPr>
              <w:rPr>
                <w:rFonts w:hint="eastAsia"/>
                <w:szCs w:val="21"/>
              </w:rPr>
            </w:pPr>
            <w:r>
              <w:t>七、70</w:t>
            </w:r>
          </w:p>
        </w:tc>
        <w:tc>
          <w:tcPr>
            <w:tcW w:w="964" w:type="pct"/>
            <w:tcBorders>
              <w:top w:val="outset" w:color="auto" w:sz="4" w:space="0"/>
              <w:left w:val="outset" w:color="auto" w:sz="4" w:space="0"/>
              <w:bottom w:val="outset" w:color="auto" w:sz="4" w:space="0"/>
              <w:right w:val="outset" w:color="auto" w:sz="4" w:space="0"/>
            </w:tcBorders>
            <w:vAlign w:val="center"/>
          </w:tcPr>
          <w:p w14:paraId="0C63704F">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5DD8336E">
            <w:pPr>
              <w:jc w:val="right"/>
              <w:rPr>
                <w:rFonts w:ascii="Arial Narrow" w:hAnsi="Arial Narrow"/>
                <w:szCs w:val="21"/>
              </w:rPr>
            </w:pPr>
            <w:r>
              <w:rPr>
                <w:rFonts w:ascii="Arial Narrow" w:hAnsi="Arial Narrow" w:eastAsia="等线"/>
                <w:color w:val="000000"/>
                <w:szCs w:val="21"/>
              </w:rPr>
              <w:t xml:space="preserve">-1,572,246.34 </w:t>
            </w:r>
          </w:p>
        </w:tc>
      </w:tr>
      <w:tr w14:paraId="554D9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B5F390C">
            <w:pPr>
              <w:ind w:firstLine="630" w:firstLineChars="300"/>
              <w:rPr>
                <w:rFonts w:hint="eastAsia"/>
              </w:rPr>
            </w:pPr>
            <w:r>
              <w:rPr>
                <w:rFonts w:hint="eastAsia"/>
              </w:rPr>
              <w:t>信用减值损失（损失以“</w:t>
            </w:r>
            <w: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7F1C543A">
            <w:pPr>
              <w:rPr>
                <w:rFonts w:hint="eastAsia"/>
                <w:szCs w:val="21"/>
              </w:rPr>
            </w:pPr>
            <w:r>
              <w:t>七、71</w:t>
            </w:r>
          </w:p>
        </w:tc>
        <w:tc>
          <w:tcPr>
            <w:tcW w:w="964" w:type="pct"/>
            <w:tcBorders>
              <w:top w:val="outset" w:color="auto" w:sz="4" w:space="0"/>
              <w:left w:val="outset" w:color="auto" w:sz="4" w:space="0"/>
              <w:bottom w:val="outset" w:color="auto" w:sz="4" w:space="0"/>
              <w:right w:val="outset" w:color="auto" w:sz="4" w:space="0"/>
            </w:tcBorders>
            <w:vAlign w:val="center"/>
          </w:tcPr>
          <w:p w14:paraId="7CD83139">
            <w:pPr>
              <w:jc w:val="right"/>
              <w:rPr>
                <w:rFonts w:ascii="Arial Narrow" w:hAnsi="Arial Narrow"/>
                <w:szCs w:val="21"/>
              </w:rPr>
            </w:pPr>
            <w:r>
              <w:rPr>
                <w:rFonts w:ascii="Arial Narrow" w:hAnsi="Arial Narrow" w:eastAsia="等线"/>
                <w:color w:val="000000"/>
                <w:szCs w:val="21"/>
              </w:rPr>
              <w:t xml:space="preserve">-510,425,913.77 </w:t>
            </w:r>
          </w:p>
        </w:tc>
        <w:tc>
          <w:tcPr>
            <w:tcW w:w="986" w:type="pct"/>
            <w:tcBorders>
              <w:top w:val="outset" w:color="auto" w:sz="4" w:space="0"/>
              <w:left w:val="outset" w:color="auto" w:sz="4" w:space="0"/>
              <w:bottom w:val="outset" w:color="auto" w:sz="4" w:space="0"/>
              <w:right w:val="outset" w:color="auto" w:sz="4" w:space="0"/>
            </w:tcBorders>
            <w:vAlign w:val="center"/>
          </w:tcPr>
          <w:p w14:paraId="0CE5572A">
            <w:pPr>
              <w:jc w:val="right"/>
              <w:rPr>
                <w:rFonts w:ascii="Arial Narrow" w:hAnsi="Arial Narrow"/>
                <w:szCs w:val="21"/>
              </w:rPr>
            </w:pPr>
            <w:r>
              <w:rPr>
                <w:rFonts w:ascii="Arial Narrow" w:hAnsi="Arial Narrow" w:eastAsia="等线"/>
                <w:color w:val="000000"/>
                <w:szCs w:val="21"/>
              </w:rPr>
              <w:t xml:space="preserve">-49,890,951.87 </w:t>
            </w:r>
          </w:p>
        </w:tc>
      </w:tr>
      <w:tr w14:paraId="174F6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CE754C8">
            <w:pPr>
              <w:ind w:firstLine="630" w:firstLineChars="300"/>
              <w:rPr>
                <w:rFonts w:hint="eastAsia"/>
                <w:szCs w:val="21"/>
              </w:rPr>
            </w:pPr>
            <w:r>
              <w:rPr>
                <w:rFonts w:hint="eastAsia"/>
                <w:szCs w:val="21"/>
              </w:rPr>
              <w:t>资产减值损失</w:t>
            </w:r>
            <w:r>
              <w:rPr>
                <w:rFonts w:hint="eastAsia"/>
              </w:rPr>
              <w:t>（损失以“</w:t>
            </w:r>
            <w: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71AC4303">
            <w:pPr>
              <w:rPr>
                <w:rFonts w:hint="eastAsia"/>
                <w:szCs w:val="21"/>
              </w:rPr>
            </w:pPr>
            <w:r>
              <w:t>七、72</w:t>
            </w:r>
          </w:p>
        </w:tc>
        <w:tc>
          <w:tcPr>
            <w:tcW w:w="964" w:type="pct"/>
            <w:tcBorders>
              <w:top w:val="outset" w:color="auto" w:sz="4" w:space="0"/>
              <w:left w:val="outset" w:color="auto" w:sz="4" w:space="0"/>
              <w:bottom w:val="outset" w:color="auto" w:sz="4" w:space="0"/>
              <w:right w:val="outset" w:color="auto" w:sz="4" w:space="0"/>
            </w:tcBorders>
            <w:vAlign w:val="center"/>
          </w:tcPr>
          <w:p w14:paraId="7893B96E">
            <w:pPr>
              <w:jc w:val="right"/>
              <w:rPr>
                <w:rFonts w:ascii="Arial Narrow" w:hAnsi="Arial Narrow"/>
                <w:szCs w:val="21"/>
              </w:rPr>
            </w:pPr>
            <w:r>
              <w:rPr>
                <w:rFonts w:ascii="Arial Narrow" w:hAnsi="Arial Narrow" w:eastAsia="等线"/>
                <w:color w:val="000000"/>
                <w:szCs w:val="21"/>
              </w:rPr>
              <w:t xml:space="preserve">-2,555,212,159.44 </w:t>
            </w:r>
          </w:p>
        </w:tc>
        <w:tc>
          <w:tcPr>
            <w:tcW w:w="986" w:type="pct"/>
            <w:tcBorders>
              <w:top w:val="outset" w:color="auto" w:sz="4" w:space="0"/>
              <w:left w:val="outset" w:color="auto" w:sz="4" w:space="0"/>
              <w:bottom w:val="outset" w:color="auto" w:sz="4" w:space="0"/>
              <w:right w:val="outset" w:color="auto" w:sz="4" w:space="0"/>
            </w:tcBorders>
            <w:vAlign w:val="center"/>
          </w:tcPr>
          <w:p w14:paraId="563DAE2A">
            <w:pPr>
              <w:jc w:val="right"/>
              <w:rPr>
                <w:rFonts w:ascii="Arial Narrow" w:hAnsi="Arial Narrow"/>
                <w:szCs w:val="21"/>
              </w:rPr>
            </w:pPr>
            <w:r>
              <w:rPr>
                <w:rFonts w:ascii="Arial Narrow" w:hAnsi="Arial Narrow" w:eastAsia="等线"/>
                <w:color w:val="000000"/>
                <w:szCs w:val="21"/>
              </w:rPr>
              <w:t xml:space="preserve">-50,840,461.69 </w:t>
            </w:r>
          </w:p>
        </w:tc>
      </w:tr>
      <w:tr w14:paraId="47C5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D68FD18">
            <w:pPr>
              <w:ind w:firstLine="630" w:firstLineChars="300"/>
              <w:rPr>
                <w:rFonts w:hint="eastAsia"/>
              </w:rPr>
            </w:pPr>
            <w:r>
              <w:rPr>
                <w:rFonts w:hint="eastAsia"/>
              </w:rPr>
              <w:t>资产处置收益（损失以“－”号填列）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1FC26334">
            <w:pPr>
              <w:rPr>
                <w:rFonts w:hint="eastAsia"/>
                <w:szCs w:val="21"/>
              </w:rPr>
            </w:pPr>
            <w:r>
              <w:t>七、73</w:t>
            </w:r>
          </w:p>
        </w:tc>
        <w:tc>
          <w:tcPr>
            <w:tcW w:w="964" w:type="pct"/>
            <w:tcBorders>
              <w:top w:val="outset" w:color="auto" w:sz="4" w:space="0"/>
              <w:left w:val="outset" w:color="auto" w:sz="4" w:space="0"/>
              <w:bottom w:val="outset" w:color="auto" w:sz="4" w:space="0"/>
              <w:right w:val="outset" w:color="auto" w:sz="4" w:space="0"/>
            </w:tcBorders>
            <w:vAlign w:val="center"/>
          </w:tcPr>
          <w:p w14:paraId="7F64816D">
            <w:pPr>
              <w:jc w:val="right"/>
              <w:rPr>
                <w:rFonts w:ascii="Arial Narrow" w:hAnsi="Arial Narrow"/>
                <w:szCs w:val="21"/>
              </w:rPr>
            </w:pPr>
            <w:r>
              <w:rPr>
                <w:rFonts w:ascii="Arial Narrow" w:hAnsi="Arial Narrow" w:eastAsia="等线"/>
                <w:color w:val="000000"/>
                <w:szCs w:val="21"/>
              </w:rPr>
              <w:t xml:space="preserve">347,104.71 </w:t>
            </w:r>
          </w:p>
        </w:tc>
        <w:tc>
          <w:tcPr>
            <w:tcW w:w="986" w:type="pct"/>
            <w:tcBorders>
              <w:top w:val="outset" w:color="auto" w:sz="4" w:space="0"/>
              <w:left w:val="outset" w:color="auto" w:sz="4" w:space="0"/>
              <w:bottom w:val="outset" w:color="auto" w:sz="4" w:space="0"/>
              <w:right w:val="outset" w:color="auto" w:sz="4" w:space="0"/>
            </w:tcBorders>
            <w:vAlign w:val="center"/>
          </w:tcPr>
          <w:p w14:paraId="4DC63400">
            <w:pPr>
              <w:jc w:val="right"/>
              <w:rPr>
                <w:rFonts w:ascii="Arial Narrow" w:hAnsi="Arial Narrow"/>
                <w:szCs w:val="21"/>
              </w:rPr>
            </w:pPr>
            <w:r>
              <w:rPr>
                <w:rFonts w:ascii="Arial Narrow" w:hAnsi="Arial Narrow" w:eastAsia="等线"/>
                <w:color w:val="000000"/>
                <w:szCs w:val="21"/>
              </w:rPr>
              <w:t xml:space="preserve">2,514,453.58 </w:t>
            </w:r>
          </w:p>
        </w:tc>
      </w:tr>
      <w:tr w14:paraId="07A7D3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65046F5">
            <w:pPr>
              <w:rPr>
                <w:rFonts w:hint="eastAsia"/>
                <w:color w:val="000000"/>
                <w:szCs w:val="21"/>
              </w:rPr>
            </w:pPr>
            <w:r>
              <w:rPr>
                <w:rFonts w:hint="eastAsia"/>
                <w:szCs w:val="21"/>
              </w:rPr>
              <w:t>三、营业利润（亏损以“－”号填列）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50BECEBD">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30E092B">
            <w:pPr>
              <w:jc w:val="right"/>
              <w:rPr>
                <w:rFonts w:ascii="Arial Narrow" w:hAnsi="Arial Narrow"/>
                <w:szCs w:val="21"/>
              </w:rPr>
            </w:pPr>
            <w:r>
              <w:rPr>
                <w:rFonts w:ascii="Arial Narrow" w:hAnsi="Arial Narrow" w:eastAsia="等线"/>
                <w:color w:val="000000"/>
                <w:szCs w:val="21"/>
              </w:rPr>
              <w:t xml:space="preserve">-4,196,210,470.81 </w:t>
            </w:r>
          </w:p>
        </w:tc>
        <w:tc>
          <w:tcPr>
            <w:tcW w:w="986" w:type="pct"/>
            <w:tcBorders>
              <w:top w:val="outset" w:color="auto" w:sz="4" w:space="0"/>
              <w:left w:val="outset" w:color="auto" w:sz="4" w:space="0"/>
              <w:bottom w:val="outset" w:color="auto" w:sz="4" w:space="0"/>
              <w:right w:val="outset" w:color="auto" w:sz="4" w:space="0"/>
            </w:tcBorders>
            <w:vAlign w:val="center"/>
          </w:tcPr>
          <w:p w14:paraId="0C828EAA">
            <w:pPr>
              <w:jc w:val="right"/>
              <w:rPr>
                <w:rFonts w:ascii="Arial Narrow" w:hAnsi="Arial Narrow"/>
                <w:szCs w:val="21"/>
              </w:rPr>
            </w:pPr>
            <w:r>
              <w:rPr>
                <w:rFonts w:ascii="Arial Narrow" w:hAnsi="Arial Narrow" w:eastAsia="等线"/>
                <w:color w:val="000000"/>
                <w:szCs w:val="21"/>
              </w:rPr>
              <w:t xml:space="preserve">215,493,230.16 </w:t>
            </w:r>
          </w:p>
        </w:tc>
      </w:tr>
      <w:tr w14:paraId="054F00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C6F2A25">
            <w:pPr>
              <w:ind w:firstLine="210" w:firstLineChars="100"/>
              <w:rPr>
                <w:rFonts w:hint="eastAsia"/>
                <w:szCs w:val="21"/>
              </w:rPr>
            </w:pPr>
            <w:r>
              <w:rPr>
                <w:rFonts w:hint="eastAsia"/>
                <w:szCs w:val="21"/>
              </w:rPr>
              <w:t>加：营业外收入</w:t>
            </w:r>
          </w:p>
        </w:tc>
        <w:tc>
          <w:tcPr>
            <w:tcW w:w="562" w:type="pct"/>
            <w:tcBorders>
              <w:top w:val="outset" w:color="auto" w:sz="4" w:space="0"/>
              <w:left w:val="outset" w:color="auto" w:sz="4" w:space="0"/>
              <w:bottom w:val="outset" w:color="auto" w:sz="4" w:space="0"/>
              <w:right w:val="outset" w:color="auto" w:sz="4" w:space="0"/>
            </w:tcBorders>
            <w:vAlign w:val="center"/>
          </w:tcPr>
          <w:p w14:paraId="5FB0B909">
            <w:pPr>
              <w:rPr>
                <w:rFonts w:hint="eastAsia"/>
                <w:szCs w:val="21"/>
              </w:rPr>
            </w:pPr>
            <w:r>
              <w:t>七、74</w:t>
            </w:r>
          </w:p>
        </w:tc>
        <w:tc>
          <w:tcPr>
            <w:tcW w:w="964" w:type="pct"/>
            <w:tcBorders>
              <w:top w:val="outset" w:color="auto" w:sz="4" w:space="0"/>
              <w:left w:val="outset" w:color="auto" w:sz="4" w:space="0"/>
              <w:bottom w:val="outset" w:color="auto" w:sz="4" w:space="0"/>
              <w:right w:val="outset" w:color="auto" w:sz="4" w:space="0"/>
            </w:tcBorders>
            <w:vAlign w:val="center"/>
          </w:tcPr>
          <w:p w14:paraId="19B7882E">
            <w:pPr>
              <w:jc w:val="right"/>
              <w:rPr>
                <w:rFonts w:ascii="Arial Narrow" w:hAnsi="Arial Narrow"/>
                <w:szCs w:val="21"/>
              </w:rPr>
            </w:pPr>
            <w:r>
              <w:rPr>
                <w:rFonts w:ascii="Arial Narrow" w:hAnsi="Arial Narrow" w:eastAsia="等线"/>
                <w:color w:val="000000"/>
                <w:szCs w:val="21"/>
              </w:rPr>
              <w:t xml:space="preserve">15,882,323.16 </w:t>
            </w:r>
          </w:p>
        </w:tc>
        <w:tc>
          <w:tcPr>
            <w:tcW w:w="986" w:type="pct"/>
            <w:tcBorders>
              <w:top w:val="outset" w:color="auto" w:sz="4" w:space="0"/>
              <w:left w:val="outset" w:color="auto" w:sz="4" w:space="0"/>
              <w:bottom w:val="outset" w:color="auto" w:sz="4" w:space="0"/>
              <w:right w:val="outset" w:color="auto" w:sz="4" w:space="0"/>
            </w:tcBorders>
            <w:vAlign w:val="center"/>
          </w:tcPr>
          <w:p w14:paraId="30F0147E">
            <w:pPr>
              <w:jc w:val="right"/>
              <w:rPr>
                <w:rFonts w:ascii="Arial Narrow" w:hAnsi="Arial Narrow"/>
                <w:szCs w:val="21"/>
              </w:rPr>
            </w:pPr>
            <w:r>
              <w:rPr>
                <w:rFonts w:ascii="Arial Narrow" w:hAnsi="Arial Narrow" w:eastAsia="等线"/>
                <w:color w:val="000000"/>
                <w:szCs w:val="21"/>
              </w:rPr>
              <w:t xml:space="preserve">18,303,802.75 </w:t>
            </w:r>
          </w:p>
        </w:tc>
      </w:tr>
      <w:tr w14:paraId="17517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2C23AEE">
            <w:pPr>
              <w:ind w:firstLine="210" w:firstLineChars="100"/>
              <w:rPr>
                <w:rFonts w:hint="eastAsia"/>
                <w:szCs w:val="21"/>
              </w:rPr>
            </w:pPr>
            <w:r>
              <w:rPr>
                <w:rFonts w:hint="eastAsia"/>
                <w:szCs w:val="21"/>
              </w:rPr>
              <w:t>减：营业外支出</w:t>
            </w:r>
          </w:p>
        </w:tc>
        <w:tc>
          <w:tcPr>
            <w:tcW w:w="562" w:type="pct"/>
            <w:tcBorders>
              <w:top w:val="outset" w:color="auto" w:sz="4" w:space="0"/>
              <w:left w:val="outset" w:color="auto" w:sz="4" w:space="0"/>
              <w:bottom w:val="outset" w:color="auto" w:sz="4" w:space="0"/>
              <w:right w:val="outset" w:color="auto" w:sz="4" w:space="0"/>
            </w:tcBorders>
            <w:vAlign w:val="center"/>
          </w:tcPr>
          <w:p w14:paraId="305BA37D">
            <w:pPr>
              <w:rPr>
                <w:rFonts w:hint="eastAsia"/>
                <w:szCs w:val="21"/>
              </w:rPr>
            </w:pPr>
            <w:r>
              <w:t>七、75</w:t>
            </w:r>
          </w:p>
        </w:tc>
        <w:tc>
          <w:tcPr>
            <w:tcW w:w="964" w:type="pct"/>
            <w:tcBorders>
              <w:top w:val="outset" w:color="auto" w:sz="4" w:space="0"/>
              <w:left w:val="outset" w:color="auto" w:sz="4" w:space="0"/>
              <w:bottom w:val="outset" w:color="auto" w:sz="4" w:space="0"/>
              <w:right w:val="outset" w:color="auto" w:sz="4" w:space="0"/>
            </w:tcBorders>
            <w:vAlign w:val="center"/>
          </w:tcPr>
          <w:p w14:paraId="469BC2E2">
            <w:pPr>
              <w:jc w:val="right"/>
              <w:rPr>
                <w:rFonts w:ascii="Arial Narrow" w:hAnsi="Arial Narrow"/>
                <w:szCs w:val="21"/>
              </w:rPr>
            </w:pPr>
            <w:r>
              <w:rPr>
                <w:rFonts w:ascii="Arial Narrow" w:hAnsi="Arial Narrow" w:eastAsia="等线"/>
                <w:color w:val="000000"/>
                <w:szCs w:val="21"/>
              </w:rPr>
              <w:t xml:space="preserve">120,595,443.46 </w:t>
            </w:r>
          </w:p>
        </w:tc>
        <w:tc>
          <w:tcPr>
            <w:tcW w:w="986" w:type="pct"/>
            <w:tcBorders>
              <w:top w:val="outset" w:color="auto" w:sz="4" w:space="0"/>
              <w:left w:val="outset" w:color="auto" w:sz="4" w:space="0"/>
              <w:bottom w:val="outset" w:color="auto" w:sz="4" w:space="0"/>
              <w:right w:val="outset" w:color="auto" w:sz="4" w:space="0"/>
            </w:tcBorders>
            <w:vAlign w:val="center"/>
          </w:tcPr>
          <w:p w14:paraId="60903516">
            <w:pPr>
              <w:jc w:val="right"/>
              <w:rPr>
                <w:rFonts w:ascii="Arial Narrow" w:hAnsi="Arial Narrow"/>
                <w:szCs w:val="21"/>
              </w:rPr>
            </w:pPr>
            <w:r>
              <w:rPr>
                <w:rFonts w:ascii="Arial Narrow" w:hAnsi="Arial Narrow" w:eastAsia="等线"/>
                <w:color w:val="000000"/>
                <w:szCs w:val="21"/>
              </w:rPr>
              <w:t xml:space="preserve">17,204,656.92 </w:t>
            </w:r>
          </w:p>
        </w:tc>
      </w:tr>
      <w:tr w14:paraId="72183F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B470F82">
            <w:pPr>
              <w:rPr>
                <w:rFonts w:hint="eastAsia"/>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602AA5D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F2860F3">
            <w:pPr>
              <w:jc w:val="right"/>
              <w:rPr>
                <w:rFonts w:ascii="Arial Narrow" w:hAnsi="Arial Narrow"/>
                <w:szCs w:val="21"/>
              </w:rPr>
            </w:pPr>
            <w:r>
              <w:rPr>
                <w:rFonts w:ascii="Arial Narrow" w:hAnsi="Arial Narrow" w:eastAsia="等线"/>
                <w:color w:val="000000"/>
                <w:szCs w:val="21"/>
              </w:rPr>
              <w:t xml:space="preserve">-4,300,923,591.11 </w:t>
            </w:r>
          </w:p>
        </w:tc>
        <w:tc>
          <w:tcPr>
            <w:tcW w:w="986" w:type="pct"/>
            <w:tcBorders>
              <w:top w:val="outset" w:color="auto" w:sz="4" w:space="0"/>
              <w:left w:val="outset" w:color="auto" w:sz="4" w:space="0"/>
              <w:bottom w:val="outset" w:color="auto" w:sz="4" w:space="0"/>
              <w:right w:val="outset" w:color="auto" w:sz="4" w:space="0"/>
            </w:tcBorders>
            <w:vAlign w:val="center"/>
          </w:tcPr>
          <w:p w14:paraId="2B1C2731">
            <w:pPr>
              <w:jc w:val="right"/>
              <w:rPr>
                <w:rFonts w:ascii="Arial Narrow" w:hAnsi="Arial Narrow"/>
                <w:szCs w:val="21"/>
              </w:rPr>
            </w:pPr>
            <w:r>
              <w:rPr>
                <w:rFonts w:ascii="Arial Narrow" w:hAnsi="Arial Narrow" w:eastAsia="等线"/>
                <w:color w:val="000000"/>
                <w:szCs w:val="21"/>
              </w:rPr>
              <w:t xml:space="preserve">216,592,375.99 </w:t>
            </w:r>
          </w:p>
        </w:tc>
      </w:tr>
      <w:tr w14:paraId="276C5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74003F3">
            <w:pPr>
              <w:ind w:firstLine="210" w:firstLineChars="100"/>
              <w:rPr>
                <w:rFonts w:hint="eastAsia"/>
                <w:color w:val="000000"/>
                <w:szCs w:val="21"/>
              </w:rPr>
            </w:pPr>
            <w:r>
              <w:rPr>
                <w:rFonts w:hint="eastAsia"/>
                <w:szCs w:val="21"/>
              </w:rPr>
              <w:t>减：所得税费用</w:t>
            </w:r>
          </w:p>
        </w:tc>
        <w:tc>
          <w:tcPr>
            <w:tcW w:w="562" w:type="pct"/>
            <w:tcBorders>
              <w:top w:val="outset" w:color="auto" w:sz="4" w:space="0"/>
              <w:left w:val="outset" w:color="auto" w:sz="4" w:space="0"/>
              <w:bottom w:val="outset" w:color="auto" w:sz="4" w:space="0"/>
              <w:right w:val="outset" w:color="auto" w:sz="4" w:space="0"/>
            </w:tcBorders>
            <w:vAlign w:val="center"/>
          </w:tcPr>
          <w:p w14:paraId="5DE438A6">
            <w:pPr>
              <w:rPr>
                <w:rFonts w:hint="eastAsia"/>
                <w:szCs w:val="21"/>
              </w:rPr>
            </w:pPr>
            <w:r>
              <w:t>七、76</w:t>
            </w:r>
          </w:p>
        </w:tc>
        <w:tc>
          <w:tcPr>
            <w:tcW w:w="964" w:type="pct"/>
            <w:tcBorders>
              <w:top w:val="outset" w:color="auto" w:sz="4" w:space="0"/>
              <w:left w:val="outset" w:color="auto" w:sz="4" w:space="0"/>
              <w:bottom w:val="outset" w:color="auto" w:sz="4" w:space="0"/>
              <w:right w:val="outset" w:color="auto" w:sz="4" w:space="0"/>
            </w:tcBorders>
            <w:vAlign w:val="center"/>
          </w:tcPr>
          <w:p w14:paraId="175E1B10">
            <w:pPr>
              <w:jc w:val="right"/>
              <w:rPr>
                <w:rFonts w:ascii="Arial Narrow" w:hAnsi="Arial Narrow"/>
                <w:szCs w:val="21"/>
              </w:rPr>
            </w:pPr>
            <w:r>
              <w:rPr>
                <w:rFonts w:ascii="Arial Narrow" w:hAnsi="Arial Narrow" w:eastAsia="等线"/>
                <w:color w:val="000000"/>
                <w:szCs w:val="21"/>
              </w:rPr>
              <w:t xml:space="preserve">-35,649,850.76 </w:t>
            </w:r>
          </w:p>
        </w:tc>
        <w:tc>
          <w:tcPr>
            <w:tcW w:w="986" w:type="pct"/>
            <w:tcBorders>
              <w:top w:val="outset" w:color="auto" w:sz="4" w:space="0"/>
              <w:left w:val="outset" w:color="auto" w:sz="4" w:space="0"/>
              <w:bottom w:val="outset" w:color="auto" w:sz="4" w:space="0"/>
              <w:right w:val="outset" w:color="auto" w:sz="4" w:space="0"/>
            </w:tcBorders>
            <w:vAlign w:val="center"/>
          </w:tcPr>
          <w:p w14:paraId="1040F7BA">
            <w:pPr>
              <w:jc w:val="right"/>
              <w:rPr>
                <w:rFonts w:ascii="Arial Narrow" w:hAnsi="Arial Narrow"/>
                <w:szCs w:val="21"/>
              </w:rPr>
            </w:pPr>
            <w:r>
              <w:rPr>
                <w:rFonts w:ascii="Arial Narrow" w:hAnsi="Arial Narrow" w:eastAsia="等线"/>
                <w:color w:val="000000"/>
                <w:szCs w:val="21"/>
              </w:rPr>
              <w:t xml:space="preserve">27,759,214.83 </w:t>
            </w:r>
          </w:p>
        </w:tc>
      </w:tr>
      <w:tr w14:paraId="337CEF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228C675">
            <w:pPr>
              <w:rPr>
                <w:rFonts w:hint="eastAsia"/>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71521ED0">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76750720">
            <w:pPr>
              <w:jc w:val="right"/>
              <w:rPr>
                <w:rFonts w:ascii="Arial Narrow" w:hAnsi="Arial Narrow"/>
                <w:szCs w:val="21"/>
              </w:rPr>
            </w:pPr>
            <w:r>
              <w:rPr>
                <w:rFonts w:ascii="Arial Narrow" w:hAnsi="Arial Narrow" w:eastAsia="等线"/>
                <w:color w:val="000000"/>
                <w:szCs w:val="21"/>
              </w:rPr>
              <w:t xml:space="preserve">-4,265,273,740.35 </w:t>
            </w:r>
          </w:p>
        </w:tc>
        <w:tc>
          <w:tcPr>
            <w:tcW w:w="986" w:type="pct"/>
            <w:tcBorders>
              <w:top w:val="outset" w:color="auto" w:sz="4" w:space="0"/>
              <w:left w:val="outset" w:color="auto" w:sz="4" w:space="0"/>
              <w:bottom w:val="outset" w:color="auto" w:sz="4" w:space="0"/>
              <w:right w:val="outset" w:color="auto" w:sz="4" w:space="0"/>
            </w:tcBorders>
            <w:vAlign w:val="center"/>
          </w:tcPr>
          <w:p w14:paraId="029F473F">
            <w:pPr>
              <w:jc w:val="right"/>
              <w:rPr>
                <w:rFonts w:ascii="Arial Narrow" w:hAnsi="Arial Narrow"/>
                <w:szCs w:val="21"/>
              </w:rPr>
            </w:pPr>
            <w:r>
              <w:rPr>
                <w:rFonts w:ascii="Arial Narrow" w:hAnsi="Arial Narrow" w:eastAsia="等线"/>
                <w:color w:val="000000"/>
                <w:szCs w:val="21"/>
              </w:rPr>
              <w:t xml:space="preserve">188,833,161.16 </w:t>
            </w:r>
          </w:p>
        </w:tc>
      </w:tr>
      <w:tr w14:paraId="2020E4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rPr>
            <w:tag w:val="_PLD_9445f61075384ccaafee7a9aff738d9c"/>
            <w:id w:val="-960186907"/>
          </w:sdtPr>
          <w:sdtEndPr>
            <w:rPr>
              <w:rFonts w:ascii="Arial Narrow" w:hAnsi="Arial Narrow"/>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5B0313F1">
                <w:pPr>
                  <w:rPr>
                    <w:rFonts w:ascii="Arial Narrow" w:hAnsi="Arial Narrow"/>
                    <w:szCs w:val="21"/>
                  </w:rPr>
                </w:pPr>
                <w:r>
                  <w:rPr>
                    <w:rFonts w:ascii="Arial Narrow" w:hAnsi="Arial Narrow"/>
                    <w:szCs w:val="21"/>
                  </w:rPr>
                  <w:t>（一）</w:t>
                </w:r>
                <w:r>
                  <w:rPr>
                    <w:rFonts w:ascii="Arial Narrow" w:hAnsi="Arial Narrow"/>
                  </w:rPr>
                  <w:t>按经营持续性分类</w:t>
                </w:r>
              </w:p>
            </w:tc>
          </w:sdtContent>
        </w:sdt>
      </w:tr>
      <w:tr w14:paraId="336E73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8E94987">
            <w:pPr>
              <w:ind w:firstLine="420" w:firstLineChars="200"/>
              <w:rPr>
                <w:rFonts w:hint="eastAsia"/>
              </w:rPr>
            </w:pPr>
            <w:r>
              <w:t>1.持续经营净利润（净亏损以“－”号填列）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18B67E89">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C2113FB">
            <w:pPr>
              <w:jc w:val="right"/>
              <w:rPr>
                <w:rFonts w:ascii="Arial Narrow" w:hAnsi="Arial Narrow"/>
                <w:szCs w:val="21"/>
              </w:rPr>
            </w:pPr>
            <w:r>
              <w:rPr>
                <w:rFonts w:ascii="Arial Narrow" w:hAnsi="Arial Narrow" w:eastAsia="等线"/>
                <w:color w:val="000000"/>
                <w:szCs w:val="21"/>
              </w:rPr>
              <w:t xml:space="preserve">-4,265,273,740.35 </w:t>
            </w:r>
          </w:p>
        </w:tc>
        <w:tc>
          <w:tcPr>
            <w:tcW w:w="986" w:type="pct"/>
            <w:tcBorders>
              <w:top w:val="outset" w:color="auto" w:sz="4" w:space="0"/>
              <w:left w:val="outset" w:color="auto" w:sz="4" w:space="0"/>
              <w:bottom w:val="outset" w:color="auto" w:sz="4" w:space="0"/>
              <w:right w:val="outset" w:color="auto" w:sz="4" w:space="0"/>
            </w:tcBorders>
            <w:vAlign w:val="center"/>
          </w:tcPr>
          <w:p w14:paraId="0C083F3B">
            <w:pPr>
              <w:jc w:val="right"/>
              <w:rPr>
                <w:rFonts w:ascii="Arial Narrow" w:hAnsi="Arial Narrow"/>
                <w:szCs w:val="21"/>
              </w:rPr>
            </w:pPr>
            <w:r>
              <w:rPr>
                <w:rFonts w:ascii="Arial Narrow" w:hAnsi="Arial Narrow" w:eastAsia="等线"/>
                <w:color w:val="000000"/>
                <w:szCs w:val="21"/>
              </w:rPr>
              <w:t xml:space="preserve">188,833,161.16 </w:t>
            </w:r>
          </w:p>
        </w:tc>
      </w:tr>
      <w:tr w14:paraId="2BD69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F3ECC86">
            <w:pPr>
              <w:ind w:firstLine="420" w:firstLineChars="200"/>
              <w:rPr>
                <w:rFonts w:hint="eastAsia"/>
              </w:rPr>
            </w:pPr>
            <w:r>
              <w:t>2.终止经营净利润（净亏损以“－”号填列）</w:t>
            </w:r>
          </w:p>
        </w:tc>
        <w:tc>
          <w:tcPr>
            <w:tcW w:w="562" w:type="pct"/>
            <w:tcBorders>
              <w:top w:val="outset" w:color="auto" w:sz="4" w:space="0"/>
              <w:left w:val="outset" w:color="auto" w:sz="4" w:space="0"/>
              <w:bottom w:val="outset" w:color="auto" w:sz="4" w:space="0"/>
              <w:right w:val="outset" w:color="auto" w:sz="4" w:space="0"/>
            </w:tcBorders>
            <w:vAlign w:val="center"/>
          </w:tcPr>
          <w:p w14:paraId="1738FE6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083B6F1">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580DFE03">
            <w:pPr>
              <w:jc w:val="right"/>
              <w:rPr>
                <w:rFonts w:ascii="Arial Narrow" w:hAnsi="Arial Narrow"/>
                <w:szCs w:val="21"/>
              </w:rPr>
            </w:pPr>
          </w:p>
        </w:tc>
      </w:tr>
      <w:tr w14:paraId="5D4BD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rPr>
            <w:tag w:val="_PLD_5703d86636cb476dab82350c9f6475fc"/>
            <w:id w:val="1909884021"/>
          </w:sdtPr>
          <w:sdtEndPr>
            <w:rPr>
              <w:rFonts w:ascii="Arial Narrow" w:hAnsi="Arial Narrow"/>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627929F7">
                <w:pPr>
                  <w:rPr>
                    <w:rFonts w:ascii="Arial Narrow" w:hAnsi="Arial Narrow"/>
                    <w:szCs w:val="21"/>
                  </w:rPr>
                </w:pPr>
                <w:r>
                  <w:rPr>
                    <w:rFonts w:ascii="Arial Narrow" w:hAnsi="Arial Narrow"/>
                    <w:szCs w:val="21"/>
                  </w:rPr>
                  <w:t>（二）</w:t>
                </w:r>
                <w:r>
                  <w:rPr>
                    <w:rFonts w:ascii="Arial Narrow" w:hAnsi="Arial Narrow"/>
                  </w:rPr>
                  <w:t>按所有权归属分类</w:t>
                </w:r>
              </w:p>
            </w:tc>
          </w:sdtContent>
        </w:sdt>
      </w:tr>
      <w:tr w14:paraId="1AE55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0FDCF7C">
            <w:pPr>
              <w:ind w:firstLine="420" w:firstLineChars="200"/>
              <w:rPr>
                <w:rFonts w:hint="eastAsia"/>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640D96CB">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785EE646">
            <w:pPr>
              <w:jc w:val="right"/>
              <w:rPr>
                <w:rFonts w:ascii="Arial Narrow" w:hAnsi="Arial Narrow"/>
                <w:szCs w:val="21"/>
              </w:rPr>
            </w:pPr>
            <w:r>
              <w:rPr>
                <w:rFonts w:ascii="Arial Narrow" w:hAnsi="Arial Narrow" w:eastAsia="等线"/>
                <w:color w:val="000000"/>
                <w:szCs w:val="21"/>
              </w:rPr>
              <w:t xml:space="preserve">-4,228,257,792.02 </w:t>
            </w:r>
          </w:p>
        </w:tc>
        <w:tc>
          <w:tcPr>
            <w:tcW w:w="986" w:type="pct"/>
            <w:tcBorders>
              <w:top w:val="outset" w:color="auto" w:sz="4" w:space="0"/>
              <w:left w:val="outset" w:color="auto" w:sz="4" w:space="0"/>
              <w:bottom w:val="outset" w:color="auto" w:sz="4" w:space="0"/>
              <w:right w:val="outset" w:color="auto" w:sz="4" w:space="0"/>
            </w:tcBorders>
            <w:vAlign w:val="center"/>
          </w:tcPr>
          <w:p w14:paraId="6BB50749">
            <w:pPr>
              <w:jc w:val="right"/>
              <w:rPr>
                <w:rFonts w:ascii="Arial Narrow" w:hAnsi="Arial Narrow"/>
                <w:szCs w:val="21"/>
              </w:rPr>
            </w:pPr>
            <w:r>
              <w:rPr>
                <w:rFonts w:ascii="Arial Narrow" w:hAnsi="Arial Narrow" w:eastAsia="等线"/>
                <w:color w:val="000000"/>
                <w:szCs w:val="21"/>
              </w:rPr>
              <w:t xml:space="preserve">182,339,091.93 </w:t>
            </w:r>
          </w:p>
        </w:tc>
      </w:tr>
      <w:tr w14:paraId="59725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C7E2B5B">
            <w:pPr>
              <w:ind w:firstLine="420" w:firstLineChars="200"/>
              <w:rPr>
                <w:rFonts w:hint="eastAsia"/>
                <w:szCs w:val="21"/>
              </w:rPr>
            </w:pPr>
            <w:r>
              <w:t>2.</w:t>
            </w:r>
            <w:r>
              <w:rPr>
                <w:rFonts w:hint="eastAsia"/>
                <w:szCs w:val="21"/>
              </w:rPr>
              <w:t>少数股东损益（净亏损以“</w:t>
            </w:r>
            <w:r>
              <w:rPr>
                <w:szCs w:val="21"/>
              </w:rPr>
              <w:t>-”号填列）</w:t>
            </w:r>
          </w:p>
        </w:tc>
        <w:tc>
          <w:tcPr>
            <w:tcW w:w="562" w:type="pct"/>
            <w:tcBorders>
              <w:top w:val="outset" w:color="auto" w:sz="4" w:space="0"/>
              <w:left w:val="outset" w:color="auto" w:sz="4" w:space="0"/>
              <w:bottom w:val="outset" w:color="auto" w:sz="4" w:space="0"/>
              <w:right w:val="outset" w:color="auto" w:sz="4" w:space="0"/>
            </w:tcBorders>
            <w:vAlign w:val="center"/>
          </w:tcPr>
          <w:p w14:paraId="3F5223C4">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D32EAA6">
            <w:pPr>
              <w:jc w:val="right"/>
              <w:rPr>
                <w:rFonts w:ascii="Arial Narrow" w:hAnsi="Arial Narrow"/>
                <w:szCs w:val="21"/>
              </w:rPr>
            </w:pPr>
            <w:r>
              <w:rPr>
                <w:rFonts w:ascii="Arial Narrow" w:hAnsi="Arial Narrow" w:eastAsia="等线"/>
                <w:color w:val="000000"/>
                <w:szCs w:val="21"/>
              </w:rPr>
              <w:t xml:space="preserve">-37,015,948.33 </w:t>
            </w:r>
          </w:p>
        </w:tc>
        <w:tc>
          <w:tcPr>
            <w:tcW w:w="986" w:type="pct"/>
            <w:tcBorders>
              <w:top w:val="outset" w:color="auto" w:sz="4" w:space="0"/>
              <w:left w:val="outset" w:color="auto" w:sz="4" w:space="0"/>
              <w:bottom w:val="outset" w:color="auto" w:sz="4" w:space="0"/>
              <w:right w:val="outset" w:color="auto" w:sz="4" w:space="0"/>
            </w:tcBorders>
            <w:vAlign w:val="center"/>
          </w:tcPr>
          <w:p w14:paraId="3560B0FB">
            <w:pPr>
              <w:jc w:val="right"/>
              <w:rPr>
                <w:rFonts w:ascii="Arial Narrow" w:hAnsi="Arial Narrow"/>
                <w:szCs w:val="21"/>
              </w:rPr>
            </w:pPr>
            <w:r>
              <w:rPr>
                <w:rFonts w:ascii="Arial Narrow" w:hAnsi="Arial Narrow" w:eastAsia="等线"/>
                <w:color w:val="000000"/>
                <w:szCs w:val="21"/>
              </w:rPr>
              <w:t xml:space="preserve">6,494,069.23 </w:t>
            </w:r>
          </w:p>
        </w:tc>
      </w:tr>
      <w:tr w14:paraId="1348A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34EF538">
            <w:pPr>
              <w:rPr>
                <w:rFonts w:hint="eastAsia"/>
                <w:szCs w:val="21"/>
              </w:rPr>
            </w:pPr>
            <w:r>
              <w:rPr>
                <w:rFonts w:hint="eastAsia"/>
                <w:szCs w:val="21"/>
              </w:rPr>
              <w:t>六、其他综合收益的税后净额</w:t>
            </w:r>
          </w:p>
        </w:tc>
        <w:tc>
          <w:tcPr>
            <w:tcW w:w="562" w:type="pct"/>
            <w:tcBorders>
              <w:top w:val="outset" w:color="auto" w:sz="4" w:space="0"/>
              <w:left w:val="outset" w:color="auto" w:sz="4" w:space="0"/>
              <w:bottom w:val="outset" w:color="auto" w:sz="4" w:space="0"/>
              <w:right w:val="outset" w:color="auto" w:sz="4" w:space="0"/>
            </w:tcBorders>
            <w:vAlign w:val="center"/>
          </w:tcPr>
          <w:p w14:paraId="5722221C">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38371EC">
            <w:pPr>
              <w:jc w:val="right"/>
              <w:rPr>
                <w:rFonts w:ascii="Arial Narrow" w:hAnsi="Arial Narrow"/>
                <w:szCs w:val="21"/>
              </w:rPr>
            </w:pPr>
            <w:r>
              <w:rPr>
                <w:rFonts w:ascii="Arial Narrow" w:hAnsi="Arial Narrow" w:eastAsia="等线"/>
                <w:color w:val="000000"/>
                <w:szCs w:val="21"/>
              </w:rPr>
              <w:t xml:space="preserve">-130,305,418.02 </w:t>
            </w:r>
          </w:p>
        </w:tc>
        <w:tc>
          <w:tcPr>
            <w:tcW w:w="986" w:type="pct"/>
            <w:tcBorders>
              <w:top w:val="outset" w:color="auto" w:sz="4" w:space="0"/>
              <w:left w:val="outset" w:color="auto" w:sz="4" w:space="0"/>
              <w:bottom w:val="outset" w:color="auto" w:sz="4" w:space="0"/>
              <w:right w:val="outset" w:color="auto" w:sz="4" w:space="0"/>
            </w:tcBorders>
            <w:vAlign w:val="center"/>
          </w:tcPr>
          <w:p w14:paraId="74B65E32">
            <w:pPr>
              <w:jc w:val="right"/>
              <w:rPr>
                <w:rFonts w:ascii="Arial Narrow" w:hAnsi="Arial Narrow"/>
                <w:szCs w:val="21"/>
              </w:rPr>
            </w:pPr>
            <w:r>
              <w:rPr>
                <w:rFonts w:ascii="Arial Narrow" w:hAnsi="Arial Narrow" w:eastAsia="等线"/>
                <w:color w:val="000000"/>
                <w:szCs w:val="21"/>
              </w:rPr>
              <w:t xml:space="preserve">17,808,790.08 </w:t>
            </w:r>
          </w:p>
        </w:tc>
      </w:tr>
      <w:tr w14:paraId="5B6ED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44F61E6">
            <w:pPr>
              <w:ind w:firstLine="210" w:firstLineChars="100"/>
              <w:rPr>
                <w:rFonts w:hint="eastAsia"/>
                <w:szCs w:val="21"/>
              </w:rPr>
            </w:pPr>
            <w:r>
              <w:rPr>
                <w:rFonts w:hint="eastAsia"/>
                <w:szCs w:val="21"/>
              </w:rPr>
              <w:t>（一）归属母公司所有者的其他综合收益的税后净额</w:t>
            </w:r>
          </w:p>
        </w:tc>
        <w:tc>
          <w:tcPr>
            <w:tcW w:w="562" w:type="pct"/>
            <w:tcBorders>
              <w:top w:val="outset" w:color="auto" w:sz="4" w:space="0"/>
              <w:left w:val="outset" w:color="auto" w:sz="4" w:space="0"/>
              <w:bottom w:val="outset" w:color="auto" w:sz="4" w:space="0"/>
              <w:right w:val="outset" w:color="auto" w:sz="4" w:space="0"/>
            </w:tcBorders>
            <w:vAlign w:val="center"/>
          </w:tcPr>
          <w:p w14:paraId="546B8FD1">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D7927E8">
            <w:pPr>
              <w:jc w:val="right"/>
              <w:rPr>
                <w:rFonts w:ascii="Arial Narrow" w:hAnsi="Arial Narrow"/>
                <w:szCs w:val="21"/>
              </w:rPr>
            </w:pPr>
            <w:r>
              <w:rPr>
                <w:rFonts w:ascii="Arial Narrow" w:hAnsi="Arial Narrow" w:eastAsia="等线"/>
                <w:color w:val="000000"/>
                <w:szCs w:val="21"/>
              </w:rPr>
              <w:t xml:space="preserve">-130,305,418.02 </w:t>
            </w:r>
          </w:p>
        </w:tc>
        <w:tc>
          <w:tcPr>
            <w:tcW w:w="986" w:type="pct"/>
            <w:tcBorders>
              <w:top w:val="outset" w:color="auto" w:sz="4" w:space="0"/>
              <w:left w:val="outset" w:color="auto" w:sz="4" w:space="0"/>
              <w:bottom w:val="outset" w:color="auto" w:sz="4" w:space="0"/>
              <w:right w:val="outset" w:color="auto" w:sz="4" w:space="0"/>
            </w:tcBorders>
            <w:vAlign w:val="center"/>
          </w:tcPr>
          <w:p w14:paraId="6BFCC718">
            <w:pPr>
              <w:jc w:val="right"/>
              <w:rPr>
                <w:rFonts w:ascii="Arial Narrow" w:hAnsi="Arial Narrow"/>
                <w:szCs w:val="21"/>
              </w:rPr>
            </w:pPr>
            <w:r>
              <w:rPr>
                <w:rFonts w:ascii="Arial Narrow" w:hAnsi="Arial Narrow" w:eastAsia="等线"/>
                <w:color w:val="000000"/>
                <w:szCs w:val="21"/>
              </w:rPr>
              <w:t xml:space="preserve">17,808,790.08 </w:t>
            </w:r>
          </w:p>
        </w:tc>
      </w:tr>
      <w:tr w14:paraId="57776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77E2E3E">
            <w:pPr>
              <w:ind w:firstLine="420" w:firstLineChars="200"/>
              <w:rPr>
                <w:rFonts w:hint="eastAsia"/>
                <w:szCs w:val="21"/>
              </w:rPr>
            </w:pPr>
            <w:r>
              <w:rPr>
                <w:szCs w:val="21"/>
              </w:rPr>
              <w:t>1</w:t>
            </w:r>
            <w:r>
              <w:rPr>
                <w:rFonts w:hint="eastAsia"/>
                <w:szCs w:val="21"/>
              </w:rPr>
              <w:t>．不能重分类进损益的其他综合收益</w:t>
            </w:r>
          </w:p>
        </w:tc>
        <w:tc>
          <w:tcPr>
            <w:tcW w:w="562" w:type="pct"/>
            <w:tcBorders>
              <w:top w:val="outset" w:color="auto" w:sz="4" w:space="0"/>
              <w:left w:val="outset" w:color="auto" w:sz="4" w:space="0"/>
              <w:bottom w:val="outset" w:color="auto" w:sz="4" w:space="0"/>
              <w:right w:val="outset" w:color="auto" w:sz="4" w:space="0"/>
            </w:tcBorders>
            <w:vAlign w:val="center"/>
          </w:tcPr>
          <w:p w14:paraId="4EC0CB9A">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54FACEF">
            <w:pPr>
              <w:jc w:val="right"/>
              <w:rPr>
                <w:rFonts w:ascii="Arial Narrow" w:hAnsi="Arial Narrow"/>
                <w:szCs w:val="21"/>
              </w:rPr>
            </w:pPr>
            <w:r>
              <w:rPr>
                <w:rFonts w:ascii="Arial Narrow" w:hAnsi="Arial Narrow" w:eastAsia="等线"/>
                <w:color w:val="000000"/>
                <w:szCs w:val="21"/>
              </w:rPr>
              <w:t xml:space="preserve">-130,561,203.96 </w:t>
            </w:r>
          </w:p>
        </w:tc>
        <w:tc>
          <w:tcPr>
            <w:tcW w:w="986" w:type="pct"/>
            <w:tcBorders>
              <w:top w:val="outset" w:color="auto" w:sz="4" w:space="0"/>
              <w:left w:val="outset" w:color="auto" w:sz="4" w:space="0"/>
              <w:bottom w:val="outset" w:color="auto" w:sz="4" w:space="0"/>
              <w:right w:val="outset" w:color="auto" w:sz="4" w:space="0"/>
            </w:tcBorders>
            <w:vAlign w:val="center"/>
          </w:tcPr>
          <w:p w14:paraId="6CAA2C6E">
            <w:pPr>
              <w:jc w:val="right"/>
              <w:rPr>
                <w:rFonts w:ascii="Arial Narrow" w:hAnsi="Arial Narrow"/>
                <w:szCs w:val="21"/>
              </w:rPr>
            </w:pPr>
            <w:r>
              <w:rPr>
                <w:rFonts w:ascii="Arial Narrow" w:hAnsi="Arial Narrow" w:eastAsia="等线"/>
                <w:color w:val="000000"/>
                <w:szCs w:val="21"/>
              </w:rPr>
              <w:t xml:space="preserve">18,252,384.03 </w:t>
            </w:r>
          </w:p>
        </w:tc>
      </w:tr>
      <w:tr w14:paraId="220B9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BFC4402">
            <w:pPr>
              <w:ind w:firstLine="210" w:firstLineChars="100"/>
              <w:rPr>
                <w:rFonts w:hint="eastAsia"/>
                <w:szCs w:val="21"/>
              </w:rPr>
            </w:pPr>
            <w:r>
              <w:rPr>
                <w:rFonts w:hint="eastAsia"/>
              </w:rPr>
              <w:t>（1）</w:t>
            </w:r>
            <w:r>
              <w:rPr>
                <w:szCs w:val="21"/>
              </w:rPr>
              <w:t>重新计量设定受益计划变动额</w:t>
            </w:r>
          </w:p>
        </w:tc>
        <w:tc>
          <w:tcPr>
            <w:tcW w:w="562" w:type="pct"/>
            <w:tcBorders>
              <w:top w:val="outset" w:color="auto" w:sz="4" w:space="0"/>
              <w:left w:val="outset" w:color="auto" w:sz="4" w:space="0"/>
              <w:bottom w:val="outset" w:color="auto" w:sz="4" w:space="0"/>
              <w:right w:val="outset" w:color="auto" w:sz="4" w:space="0"/>
            </w:tcBorders>
            <w:vAlign w:val="center"/>
          </w:tcPr>
          <w:p w14:paraId="37C9CC68">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3B376CA">
            <w:pPr>
              <w:jc w:val="right"/>
              <w:rPr>
                <w:rFonts w:ascii="Arial Narrow" w:hAnsi="Arial Narrow"/>
                <w:szCs w:val="21"/>
              </w:rPr>
            </w:pPr>
            <w:r>
              <w:rPr>
                <w:rFonts w:ascii="Arial Narrow" w:hAnsi="Arial Narrow" w:eastAsia="等线"/>
                <w:color w:val="000000"/>
                <w:szCs w:val="21"/>
              </w:rPr>
              <w:t xml:space="preserve">-18,943,822.70 </w:t>
            </w:r>
          </w:p>
        </w:tc>
        <w:tc>
          <w:tcPr>
            <w:tcW w:w="986" w:type="pct"/>
            <w:tcBorders>
              <w:top w:val="outset" w:color="auto" w:sz="4" w:space="0"/>
              <w:left w:val="outset" w:color="auto" w:sz="4" w:space="0"/>
              <w:bottom w:val="outset" w:color="auto" w:sz="4" w:space="0"/>
              <w:right w:val="outset" w:color="auto" w:sz="4" w:space="0"/>
            </w:tcBorders>
            <w:vAlign w:val="center"/>
          </w:tcPr>
          <w:p w14:paraId="26E10863">
            <w:pPr>
              <w:jc w:val="right"/>
              <w:rPr>
                <w:rFonts w:ascii="Arial Narrow" w:hAnsi="Arial Narrow"/>
                <w:szCs w:val="21"/>
              </w:rPr>
            </w:pPr>
            <w:r>
              <w:rPr>
                <w:rFonts w:ascii="Arial Narrow" w:hAnsi="Arial Narrow" w:eastAsia="等线"/>
                <w:color w:val="000000"/>
                <w:szCs w:val="21"/>
              </w:rPr>
              <w:t xml:space="preserve">8,006,510.19 </w:t>
            </w:r>
          </w:p>
        </w:tc>
      </w:tr>
      <w:tr w14:paraId="158EAB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6292F9F">
            <w:pPr>
              <w:ind w:firstLine="210" w:firstLineChars="100"/>
              <w:rPr>
                <w:rFonts w:hint="eastAsia"/>
              </w:rPr>
            </w:pPr>
            <w:r>
              <w:rPr>
                <w:rFonts w:hint="eastAsia"/>
              </w:rPr>
              <w:t>（3）</w:t>
            </w:r>
            <w:r>
              <w:t>其他权益工具投资公允价值变动</w:t>
            </w:r>
          </w:p>
        </w:tc>
        <w:tc>
          <w:tcPr>
            <w:tcW w:w="562" w:type="pct"/>
            <w:tcBorders>
              <w:top w:val="outset" w:color="auto" w:sz="4" w:space="0"/>
              <w:left w:val="outset" w:color="auto" w:sz="4" w:space="0"/>
              <w:bottom w:val="outset" w:color="auto" w:sz="4" w:space="0"/>
              <w:right w:val="outset" w:color="auto" w:sz="4" w:space="0"/>
            </w:tcBorders>
            <w:vAlign w:val="center"/>
          </w:tcPr>
          <w:p w14:paraId="5514DD26">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1C74D459">
            <w:pPr>
              <w:jc w:val="right"/>
              <w:rPr>
                <w:rFonts w:ascii="Arial Narrow" w:hAnsi="Arial Narrow"/>
                <w:szCs w:val="21"/>
              </w:rPr>
            </w:pPr>
            <w:r>
              <w:rPr>
                <w:rFonts w:ascii="Arial Narrow" w:hAnsi="Arial Narrow" w:eastAsia="等线"/>
                <w:color w:val="000000"/>
                <w:szCs w:val="21"/>
              </w:rPr>
              <w:t xml:space="preserve">-111,617,381.26 </w:t>
            </w:r>
          </w:p>
        </w:tc>
        <w:tc>
          <w:tcPr>
            <w:tcW w:w="986" w:type="pct"/>
            <w:tcBorders>
              <w:top w:val="outset" w:color="auto" w:sz="4" w:space="0"/>
              <w:left w:val="outset" w:color="auto" w:sz="4" w:space="0"/>
              <w:bottom w:val="outset" w:color="auto" w:sz="4" w:space="0"/>
              <w:right w:val="outset" w:color="auto" w:sz="4" w:space="0"/>
            </w:tcBorders>
            <w:vAlign w:val="center"/>
          </w:tcPr>
          <w:p w14:paraId="49031021">
            <w:pPr>
              <w:jc w:val="right"/>
              <w:rPr>
                <w:rFonts w:ascii="Arial Narrow" w:hAnsi="Arial Narrow"/>
                <w:szCs w:val="21"/>
              </w:rPr>
            </w:pPr>
            <w:r>
              <w:rPr>
                <w:rFonts w:ascii="Arial Narrow" w:hAnsi="Arial Narrow" w:eastAsia="等线"/>
                <w:color w:val="000000"/>
                <w:szCs w:val="21"/>
              </w:rPr>
              <w:t xml:space="preserve">10,245,873.84 </w:t>
            </w:r>
          </w:p>
        </w:tc>
      </w:tr>
      <w:tr w14:paraId="4564A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DD92100">
            <w:pPr>
              <w:ind w:firstLine="420" w:firstLineChars="200"/>
              <w:rPr>
                <w:rFonts w:hint="eastAsia"/>
                <w:szCs w:val="21"/>
              </w:rPr>
            </w:pPr>
            <w:r>
              <w:rPr>
                <w:szCs w:val="21"/>
              </w:rPr>
              <w:t>2</w:t>
            </w:r>
            <w:r>
              <w:rPr>
                <w:rFonts w:hint="eastAsia"/>
                <w:szCs w:val="21"/>
              </w:rPr>
              <w:t>．将重分类进损益的其他综合收益</w:t>
            </w:r>
          </w:p>
        </w:tc>
        <w:tc>
          <w:tcPr>
            <w:tcW w:w="562" w:type="pct"/>
            <w:tcBorders>
              <w:top w:val="outset" w:color="auto" w:sz="4" w:space="0"/>
              <w:left w:val="outset" w:color="auto" w:sz="4" w:space="0"/>
              <w:bottom w:val="outset" w:color="auto" w:sz="4" w:space="0"/>
              <w:right w:val="outset" w:color="auto" w:sz="4" w:space="0"/>
            </w:tcBorders>
            <w:vAlign w:val="center"/>
          </w:tcPr>
          <w:p w14:paraId="3DD3EF57">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691BDA4">
            <w:pPr>
              <w:jc w:val="right"/>
              <w:rPr>
                <w:rFonts w:ascii="Arial Narrow" w:hAnsi="Arial Narrow"/>
                <w:szCs w:val="21"/>
              </w:rPr>
            </w:pPr>
            <w:r>
              <w:rPr>
                <w:rFonts w:ascii="Arial Narrow" w:hAnsi="Arial Narrow" w:eastAsia="等线"/>
                <w:color w:val="000000"/>
                <w:szCs w:val="21"/>
              </w:rPr>
              <w:t xml:space="preserve">255,785.94 </w:t>
            </w:r>
          </w:p>
        </w:tc>
        <w:tc>
          <w:tcPr>
            <w:tcW w:w="986" w:type="pct"/>
            <w:tcBorders>
              <w:top w:val="outset" w:color="auto" w:sz="4" w:space="0"/>
              <w:left w:val="outset" w:color="auto" w:sz="4" w:space="0"/>
              <w:bottom w:val="outset" w:color="auto" w:sz="4" w:space="0"/>
              <w:right w:val="outset" w:color="auto" w:sz="4" w:space="0"/>
            </w:tcBorders>
            <w:vAlign w:val="center"/>
          </w:tcPr>
          <w:p w14:paraId="2024F8AC">
            <w:pPr>
              <w:jc w:val="right"/>
              <w:rPr>
                <w:rFonts w:ascii="Arial Narrow" w:hAnsi="Arial Narrow"/>
                <w:szCs w:val="21"/>
              </w:rPr>
            </w:pPr>
            <w:r>
              <w:rPr>
                <w:rFonts w:ascii="Arial Narrow" w:hAnsi="Arial Narrow" w:eastAsia="等线"/>
                <w:color w:val="000000"/>
                <w:szCs w:val="21"/>
              </w:rPr>
              <w:t xml:space="preserve">-443,593.95 </w:t>
            </w:r>
          </w:p>
        </w:tc>
      </w:tr>
      <w:tr w14:paraId="347EC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60A7F479">
            <w:pPr>
              <w:ind w:firstLine="210" w:firstLineChars="100"/>
              <w:rPr>
                <w:rFonts w:hint="eastAsia"/>
              </w:rPr>
            </w:pPr>
            <w:r>
              <w:rPr>
                <w:rFonts w:hint="eastAsia"/>
              </w:rPr>
              <w:t>（6）</w:t>
            </w:r>
            <w:r>
              <w:t>外币财务报表折算差额</w:t>
            </w:r>
          </w:p>
        </w:tc>
        <w:tc>
          <w:tcPr>
            <w:tcW w:w="562" w:type="pct"/>
            <w:tcBorders>
              <w:top w:val="outset" w:color="auto" w:sz="4" w:space="0"/>
              <w:left w:val="outset" w:color="auto" w:sz="4" w:space="0"/>
              <w:bottom w:val="outset" w:color="auto" w:sz="4" w:space="0"/>
              <w:right w:val="outset" w:color="auto" w:sz="4" w:space="0"/>
            </w:tcBorders>
          </w:tcPr>
          <w:p w14:paraId="265A9D2D">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7D4C8B4E">
            <w:pPr>
              <w:jc w:val="right"/>
              <w:rPr>
                <w:rFonts w:ascii="Arial Narrow" w:hAnsi="Arial Narrow"/>
                <w:szCs w:val="21"/>
              </w:rPr>
            </w:pPr>
            <w:r>
              <w:rPr>
                <w:rFonts w:ascii="Arial Narrow" w:hAnsi="Arial Narrow" w:eastAsia="等线"/>
                <w:color w:val="000000"/>
                <w:szCs w:val="21"/>
              </w:rPr>
              <w:t xml:space="preserve">255,785.94 </w:t>
            </w:r>
          </w:p>
        </w:tc>
        <w:tc>
          <w:tcPr>
            <w:tcW w:w="986" w:type="pct"/>
            <w:tcBorders>
              <w:top w:val="outset" w:color="auto" w:sz="4" w:space="0"/>
              <w:left w:val="outset" w:color="auto" w:sz="4" w:space="0"/>
              <w:bottom w:val="outset" w:color="auto" w:sz="4" w:space="0"/>
              <w:right w:val="outset" w:color="auto" w:sz="4" w:space="0"/>
            </w:tcBorders>
            <w:vAlign w:val="center"/>
          </w:tcPr>
          <w:p w14:paraId="7C8925DE">
            <w:pPr>
              <w:jc w:val="right"/>
              <w:rPr>
                <w:rFonts w:ascii="Arial Narrow" w:hAnsi="Arial Narrow"/>
                <w:szCs w:val="21"/>
              </w:rPr>
            </w:pPr>
            <w:r>
              <w:rPr>
                <w:rFonts w:ascii="Arial Narrow" w:hAnsi="Arial Narrow" w:eastAsia="等线"/>
                <w:color w:val="000000"/>
                <w:szCs w:val="21"/>
              </w:rPr>
              <w:t xml:space="preserve">-443,593.95 </w:t>
            </w:r>
          </w:p>
        </w:tc>
      </w:tr>
      <w:tr w14:paraId="67236F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76AE40D6">
            <w:pPr>
              <w:rPr>
                <w:rFonts w:hint="eastAsia"/>
                <w:szCs w:val="21"/>
              </w:rPr>
            </w:pPr>
            <w:r>
              <w:rPr>
                <w:rFonts w:hint="eastAsia"/>
                <w:szCs w:val="21"/>
              </w:rPr>
              <w:t>七、综合收益总额</w:t>
            </w:r>
          </w:p>
        </w:tc>
        <w:tc>
          <w:tcPr>
            <w:tcW w:w="562" w:type="pct"/>
            <w:tcBorders>
              <w:top w:val="outset" w:color="auto" w:sz="4" w:space="0"/>
              <w:left w:val="outset" w:color="auto" w:sz="4" w:space="0"/>
              <w:bottom w:val="outset" w:color="auto" w:sz="4" w:space="0"/>
              <w:right w:val="outset" w:color="auto" w:sz="4" w:space="0"/>
            </w:tcBorders>
          </w:tcPr>
          <w:p w14:paraId="15FA3C98">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BF34798">
            <w:pPr>
              <w:jc w:val="right"/>
              <w:rPr>
                <w:rFonts w:ascii="Arial Narrow" w:hAnsi="Arial Narrow"/>
                <w:szCs w:val="21"/>
              </w:rPr>
            </w:pPr>
            <w:r>
              <w:rPr>
                <w:rFonts w:ascii="Arial Narrow" w:hAnsi="Arial Narrow" w:eastAsia="等线"/>
                <w:color w:val="000000"/>
                <w:szCs w:val="21"/>
              </w:rPr>
              <w:t xml:space="preserve">-4,395,579,158.37 </w:t>
            </w:r>
          </w:p>
        </w:tc>
        <w:tc>
          <w:tcPr>
            <w:tcW w:w="986" w:type="pct"/>
            <w:tcBorders>
              <w:top w:val="outset" w:color="auto" w:sz="4" w:space="0"/>
              <w:left w:val="outset" w:color="auto" w:sz="4" w:space="0"/>
              <w:bottom w:val="outset" w:color="auto" w:sz="4" w:space="0"/>
              <w:right w:val="outset" w:color="auto" w:sz="4" w:space="0"/>
            </w:tcBorders>
            <w:vAlign w:val="center"/>
          </w:tcPr>
          <w:p w14:paraId="7F0E6AC8">
            <w:pPr>
              <w:jc w:val="right"/>
              <w:rPr>
                <w:rFonts w:ascii="Arial Narrow" w:hAnsi="Arial Narrow"/>
                <w:szCs w:val="21"/>
              </w:rPr>
            </w:pPr>
            <w:r>
              <w:rPr>
                <w:rFonts w:ascii="Arial Narrow" w:hAnsi="Arial Narrow" w:eastAsia="等线"/>
                <w:color w:val="000000"/>
                <w:szCs w:val="21"/>
              </w:rPr>
              <w:t xml:space="preserve">206,641,951.24 </w:t>
            </w:r>
          </w:p>
        </w:tc>
      </w:tr>
      <w:tr w14:paraId="3E12DA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5726F95">
            <w:pPr>
              <w:ind w:firstLine="210" w:firstLineChars="100"/>
              <w:rPr>
                <w:rFonts w:hint="eastAsia"/>
                <w:szCs w:val="21"/>
              </w:rPr>
            </w:pPr>
            <w:r>
              <w:rPr>
                <w:szCs w:val="21"/>
              </w:rPr>
              <w:t>（一）</w:t>
            </w:r>
            <w:r>
              <w:rPr>
                <w:rFonts w:hint="eastAsia"/>
                <w:szCs w:val="21"/>
              </w:rPr>
              <w:t>归属于母公司所有者的综合收益总额</w:t>
            </w:r>
          </w:p>
        </w:tc>
        <w:tc>
          <w:tcPr>
            <w:tcW w:w="562" w:type="pct"/>
            <w:tcBorders>
              <w:top w:val="outset" w:color="auto" w:sz="4" w:space="0"/>
              <w:left w:val="outset" w:color="auto" w:sz="4" w:space="0"/>
              <w:bottom w:val="outset" w:color="auto" w:sz="4" w:space="0"/>
              <w:right w:val="outset" w:color="auto" w:sz="4" w:space="0"/>
            </w:tcBorders>
          </w:tcPr>
          <w:p w14:paraId="222F9C5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178CAC90">
            <w:pPr>
              <w:jc w:val="right"/>
              <w:rPr>
                <w:rFonts w:ascii="Arial Narrow" w:hAnsi="Arial Narrow"/>
                <w:szCs w:val="21"/>
              </w:rPr>
            </w:pPr>
            <w:r>
              <w:rPr>
                <w:rFonts w:ascii="Arial Narrow" w:hAnsi="Arial Narrow" w:eastAsia="等线"/>
                <w:color w:val="000000"/>
                <w:szCs w:val="21"/>
              </w:rPr>
              <w:t xml:space="preserve">-4,358,563,210.04 </w:t>
            </w:r>
          </w:p>
        </w:tc>
        <w:tc>
          <w:tcPr>
            <w:tcW w:w="986" w:type="pct"/>
            <w:tcBorders>
              <w:top w:val="outset" w:color="auto" w:sz="4" w:space="0"/>
              <w:left w:val="outset" w:color="auto" w:sz="4" w:space="0"/>
              <w:bottom w:val="outset" w:color="auto" w:sz="4" w:space="0"/>
              <w:right w:val="outset" w:color="auto" w:sz="4" w:space="0"/>
            </w:tcBorders>
            <w:vAlign w:val="center"/>
          </w:tcPr>
          <w:p w14:paraId="0AC4E1B0">
            <w:pPr>
              <w:jc w:val="right"/>
              <w:rPr>
                <w:rFonts w:ascii="Arial Narrow" w:hAnsi="Arial Narrow"/>
                <w:szCs w:val="21"/>
              </w:rPr>
            </w:pPr>
            <w:r>
              <w:rPr>
                <w:rFonts w:ascii="Arial Narrow" w:hAnsi="Arial Narrow" w:eastAsia="等线"/>
                <w:color w:val="000000"/>
                <w:szCs w:val="21"/>
              </w:rPr>
              <w:t xml:space="preserve">200,147,882.01 </w:t>
            </w:r>
          </w:p>
        </w:tc>
      </w:tr>
      <w:tr w14:paraId="0BAE2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745372D9">
            <w:pPr>
              <w:ind w:firstLine="210" w:firstLineChars="100"/>
              <w:rPr>
                <w:rFonts w:hint="eastAsia"/>
                <w:szCs w:val="21"/>
              </w:rPr>
            </w:pPr>
            <w:r>
              <w:rPr>
                <w:szCs w:val="21"/>
              </w:rPr>
              <w:t>（二）</w:t>
            </w:r>
            <w:r>
              <w:rPr>
                <w:rFonts w:hint="eastAsia"/>
                <w:szCs w:val="21"/>
              </w:rPr>
              <w:t>归属于少数股东的综合收益总额</w:t>
            </w:r>
          </w:p>
        </w:tc>
        <w:tc>
          <w:tcPr>
            <w:tcW w:w="562" w:type="pct"/>
            <w:tcBorders>
              <w:top w:val="outset" w:color="auto" w:sz="4" w:space="0"/>
              <w:left w:val="outset" w:color="auto" w:sz="4" w:space="0"/>
              <w:bottom w:val="outset" w:color="auto" w:sz="4" w:space="0"/>
              <w:right w:val="outset" w:color="auto" w:sz="4" w:space="0"/>
            </w:tcBorders>
          </w:tcPr>
          <w:p w14:paraId="4069DF73">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8AE18EB">
            <w:pPr>
              <w:jc w:val="right"/>
              <w:rPr>
                <w:rFonts w:ascii="Arial Narrow" w:hAnsi="Arial Narrow"/>
                <w:szCs w:val="21"/>
              </w:rPr>
            </w:pPr>
            <w:r>
              <w:rPr>
                <w:rFonts w:ascii="Arial Narrow" w:hAnsi="Arial Narrow" w:eastAsia="等线"/>
                <w:color w:val="000000"/>
                <w:szCs w:val="21"/>
              </w:rPr>
              <w:t xml:space="preserve">-37,015,948.33 </w:t>
            </w:r>
          </w:p>
        </w:tc>
        <w:tc>
          <w:tcPr>
            <w:tcW w:w="986" w:type="pct"/>
            <w:tcBorders>
              <w:top w:val="outset" w:color="auto" w:sz="4" w:space="0"/>
              <w:left w:val="outset" w:color="auto" w:sz="4" w:space="0"/>
              <w:bottom w:val="outset" w:color="auto" w:sz="4" w:space="0"/>
              <w:right w:val="outset" w:color="auto" w:sz="4" w:space="0"/>
            </w:tcBorders>
            <w:vAlign w:val="center"/>
          </w:tcPr>
          <w:p w14:paraId="09FEB68E">
            <w:pPr>
              <w:jc w:val="right"/>
              <w:rPr>
                <w:rFonts w:ascii="Arial Narrow" w:hAnsi="Arial Narrow"/>
                <w:szCs w:val="21"/>
              </w:rPr>
            </w:pPr>
            <w:r>
              <w:rPr>
                <w:rFonts w:ascii="Arial Narrow" w:hAnsi="Arial Narrow" w:eastAsia="等线"/>
                <w:color w:val="000000"/>
                <w:szCs w:val="21"/>
              </w:rPr>
              <w:t xml:space="preserve">6,494,069.23 </w:t>
            </w:r>
          </w:p>
        </w:tc>
      </w:tr>
      <w:tr w14:paraId="3FA157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e9655fe2b7c48e3964f7a74f9c6deea"/>
            <w:id w:val="-897352562"/>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343A6780">
                <w:pPr>
                  <w:rPr>
                    <w:rFonts w:hint="eastAsia"/>
                    <w:color w:val="008000"/>
                    <w:szCs w:val="21"/>
                  </w:rPr>
                </w:pPr>
                <w:r>
                  <w:rPr>
                    <w:rFonts w:hint="eastAsia"/>
                    <w:szCs w:val="21"/>
                  </w:rPr>
                  <w:t>八、每股收益：</w:t>
                </w:r>
              </w:p>
            </w:tc>
          </w:sdtContent>
        </w:sdt>
      </w:tr>
      <w:tr w14:paraId="7C775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B99D2E8">
            <w:pPr>
              <w:ind w:firstLine="210" w:firstLineChars="100"/>
              <w:rPr>
                <w:rFonts w:hint="eastAsia"/>
                <w:szCs w:val="21"/>
              </w:rPr>
            </w:pPr>
            <w:r>
              <w:rPr>
                <w:szCs w:val="21"/>
              </w:rPr>
              <w:t>（一）基本每股收益</w:t>
            </w:r>
            <w:r>
              <w:rPr>
                <w:rFonts w:hint="eastAsia"/>
                <w:szCs w:val="21"/>
              </w:rPr>
              <w:t>(元/股)</w:t>
            </w:r>
          </w:p>
        </w:tc>
        <w:tc>
          <w:tcPr>
            <w:tcW w:w="562" w:type="pct"/>
            <w:tcBorders>
              <w:top w:val="outset" w:color="auto" w:sz="4" w:space="0"/>
              <w:left w:val="outset" w:color="auto" w:sz="4" w:space="0"/>
              <w:bottom w:val="outset" w:color="auto" w:sz="4" w:space="0"/>
              <w:right w:val="outset" w:color="auto" w:sz="4" w:space="0"/>
            </w:tcBorders>
          </w:tcPr>
          <w:p w14:paraId="473CD04B">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tcPr>
          <w:p w14:paraId="030FA810">
            <w:pPr>
              <w:jc w:val="right"/>
              <w:rPr>
                <w:rFonts w:hint="eastAsia"/>
                <w:szCs w:val="21"/>
              </w:rPr>
            </w:pPr>
            <w:r>
              <w:rPr>
                <w:rFonts w:ascii="Arial Narrow" w:hAnsi="Arial Narrow" w:eastAsia="等线"/>
                <w:color w:val="000000"/>
                <w:szCs w:val="21"/>
              </w:rPr>
              <w:t xml:space="preserve">-0.96 </w:t>
            </w:r>
          </w:p>
        </w:tc>
        <w:tc>
          <w:tcPr>
            <w:tcW w:w="986" w:type="pct"/>
            <w:tcBorders>
              <w:top w:val="outset" w:color="auto" w:sz="4" w:space="0"/>
              <w:left w:val="outset" w:color="auto" w:sz="4" w:space="0"/>
              <w:bottom w:val="outset" w:color="auto" w:sz="4" w:space="0"/>
              <w:right w:val="outset" w:color="auto" w:sz="4" w:space="0"/>
            </w:tcBorders>
          </w:tcPr>
          <w:p w14:paraId="0AAF26FD">
            <w:pPr>
              <w:jc w:val="right"/>
              <w:rPr>
                <w:rFonts w:hint="eastAsia"/>
                <w:szCs w:val="21"/>
              </w:rPr>
            </w:pPr>
            <w:r>
              <w:rPr>
                <w:rFonts w:ascii="Arial Narrow" w:hAnsi="Arial Narrow" w:eastAsia="等线"/>
                <w:color w:val="000000"/>
                <w:szCs w:val="21"/>
              </w:rPr>
              <w:t xml:space="preserve">0.04 </w:t>
            </w:r>
          </w:p>
        </w:tc>
      </w:tr>
      <w:tr w14:paraId="76FEA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A06D8AA">
            <w:pPr>
              <w:ind w:firstLine="210" w:firstLineChars="100"/>
              <w:rPr>
                <w:rFonts w:hint="eastAsia"/>
                <w:szCs w:val="21"/>
              </w:rPr>
            </w:pPr>
            <w:r>
              <w:rPr>
                <w:szCs w:val="21"/>
              </w:rPr>
              <w:t>（二）稀释每股收益</w:t>
            </w:r>
            <w:r>
              <w:rPr>
                <w:rFonts w:hint="eastAsia"/>
                <w:szCs w:val="21"/>
              </w:rPr>
              <w:t>(元/股)</w:t>
            </w:r>
          </w:p>
        </w:tc>
        <w:tc>
          <w:tcPr>
            <w:tcW w:w="562" w:type="pct"/>
            <w:tcBorders>
              <w:top w:val="outset" w:color="auto" w:sz="4" w:space="0"/>
              <w:left w:val="outset" w:color="auto" w:sz="4" w:space="0"/>
              <w:bottom w:val="outset" w:color="auto" w:sz="4" w:space="0"/>
              <w:right w:val="outset" w:color="auto" w:sz="4" w:space="0"/>
            </w:tcBorders>
          </w:tcPr>
          <w:p w14:paraId="43B29DE4">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tcPr>
          <w:p w14:paraId="36600D25">
            <w:pPr>
              <w:jc w:val="right"/>
              <w:rPr>
                <w:rFonts w:hint="eastAsia"/>
                <w:szCs w:val="21"/>
              </w:rPr>
            </w:pPr>
            <w:r>
              <w:rPr>
                <w:rFonts w:ascii="Arial Narrow" w:hAnsi="Arial Narrow" w:eastAsia="等线"/>
                <w:color w:val="000000"/>
                <w:szCs w:val="21"/>
              </w:rPr>
              <w:t xml:space="preserve">-0.96 </w:t>
            </w:r>
          </w:p>
        </w:tc>
        <w:tc>
          <w:tcPr>
            <w:tcW w:w="986" w:type="pct"/>
            <w:tcBorders>
              <w:top w:val="outset" w:color="auto" w:sz="4" w:space="0"/>
              <w:left w:val="outset" w:color="auto" w:sz="4" w:space="0"/>
              <w:bottom w:val="outset" w:color="auto" w:sz="4" w:space="0"/>
              <w:right w:val="outset" w:color="auto" w:sz="4" w:space="0"/>
            </w:tcBorders>
          </w:tcPr>
          <w:p w14:paraId="1DE50BB3">
            <w:pPr>
              <w:jc w:val="right"/>
              <w:rPr>
                <w:rFonts w:hint="eastAsia"/>
                <w:szCs w:val="21"/>
              </w:rPr>
            </w:pPr>
            <w:r>
              <w:rPr>
                <w:rFonts w:ascii="Arial Narrow" w:hAnsi="Arial Narrow" w:eastAsia="等线"/>
                <w:color w:val="000000"/>
                <w:szCs w:val="21"/>
              </w:rPr>
              <w:t xml:space="preserve">0.04 </w:t>
            </w:r>
          </w:p>
        </w:tc>
      </w:tr>
    </w:tbl>
    <w:p w14:paraId="2195E686">
      <w:pPr>
        <w:rPr>
          <w:rFonts w:hint="eastAsia"/>
        </w:rPr>
      </w:pPr>
    </w:p>
    <w:p w14:paraId="0EB960CC">
      <w:pPr>
        <w:rPr>
          <w:rFonts w:hint="eastAsia"/>
          <w:szCs w:val="21"/>
        </w:rPr>
      </w:pPr>
      <w:r>
        <w:rPr>
          <w:rFonts w:hint="eastAsia"/>
          <w:szCs w:val="21"/>
        </w:rPr>
        <w:t>本期发生同一控制下企业合并的，被合并方在合并前实现的净利润为：</w:t>
      </w:r>
      <w:sdt>
        <w:sdtPr>
          <w:rPr>
            <w:rFonts w:hint="eastAsia"/>
            <w:szCs w:val="21"/>
          </w:rPr>
          <w:alias w:val="同一控制下的企业合并中被合并方在合并前实现的净利润"/>
          <w:tag w:val="_GBC_dee3746024314be88287a46c20d21a26"/>
          <w:id w:val="-1260285461"/>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 上期被合并方实现的净利润为： </w:t>
      </w:r>
      <w:sdt>
        <w:sdtPr>
          <w:rPr>
            <w:rFonts w:hint="eastAsia"/>
            <w:szCs w:val="21"/>
          </w:rPr>
          <w:alias w:val="同一控制下的企业合并中被合并方在合并前实现的净利润"/>
          <w:tag w:val="_GBC_12f9ba898e4e450d82ca7ea5336921ae"/>
          <w:id w:val="1417519405"/>
          <w:placeholder>
            <w:docPart w:val="GBC22222222222222222222222222222"/>
          </w:placeholder>
        </w:sdtPr>
        <w:sdtEndPr>
          <w:rPr>
            <w:rFonts w:hint="default"/>
            <w:szCs w:val="21"/>
          </w:rPr>
        </w:sdtEndPr>
        <w:sdtContent>
          <w:r>
            <w:rPr>
              <w:rFonts w:hint="eastAsia"/>
              <w:szCs w:val="21"/>
            </w:rPr>
            <w:t>0</w:t>
          </w:r>
        </w:sdtContent>
      </w:sdt>
      <w:r>
        <w:rPr>
          <w:rFonts w:hint="eastAsia"/>
          <w:szCs w:val="21"/>
        </w:rPr>
        <w:t xml:space="preserve"> 元。</w:t>
      </w:r>
    </w:p>
    <w:p w14:paraId="1136D395">
      <w:pPr>
        <w:rPr>
          <w:rFonts w:hint="eastAsia"/>
          <w:b/>
          <w:bCs/>
          <w:color w:val="FF0000"/>
          <w:szCs w:val="21"/>
        </w:rPr>
      </w:pPr>
    </w:p>
    <w:p w14:paraId="66EBB735">
      <w:pPr>
        <w:rPr>
          <w:rFonts w:hint="eastAsia"/>
          <w:b/>
          <w:bCs/>
          <w:color w:val="FF0000"/>
          <w:szCs w:val="21"/>
        </w:rPr>
      </w:pPr>
    </w:p>
    <w:p w14:paraId="78C33BD6">
      <w:pPr>
        <w:rPr>
          <w:rFonts w:hint="eastAsia"/>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85589cdf09ed4055b8d177524f5a0df0"/>
          <w:id w:val="-1890412656"/>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d5d5ec398a544491b9394eef54a56ec6"/>
          <w:id w:val="-625477532"/>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776bf38628747739bf5cfe3f08d63a8"/>
          <w:id w:val="-2139791591"/>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74DB76C0">
      <w:pPr>
        <w:rPr>
          <w:rFonts w:hint="eastAsia"/>
          <w:color w:val="FF0000"/>
          <w:szCs w:val="21"/>
        </w:rPr>
      </w:pPr>
    </w:p>
    <w:p w14:paraId="138C6F90">
      <w:pPr>
        <w:rPr>
          <w:rFonts w:hint="eastAsia"/>
          <w:color w:val="FF0000"/>
          <w:szCs w:val="21"/>
        </w:rPr>
      </w:pPr>
    </w:p>
    <w:p w14:paraId="5DEC2D54">
      <w:pPr>
        <w:rPr>
          <w:rFonts w:hint="eastAsia"/>
          <w:color w:val="FF0000"/>
          <w:szCs w:val="21"/>
        </w:rPr>
      </w:pPr>
    </w:p>
    <w:p w14:paraId="22EE2C93">
      <w:pPr>
        <w:rPr>
          <w:rFonts w:hint="eastAsia"/>
          <w:color w:val="FF0000"/>
          <w:szCs w:val="21"/>
        </w:rPr>
      </w:pPr>
    </w:p>
    <w:p w14:paraId="2267A740">
      <w:pPr>
        <w:pStyle w:val="70"/>
        <w:jc w:val="center"/>
      </w:pPr>
      <w:bookmarkStart w:id="208" w:name="_Hlk24038476"/>
      <w:r>
        <w:rPr>
          <w:rFonts w:hint="eastAsia"/>
        </w:rPr>
        <w:t>母公司</w:t>
      </w:r>
      <w:r>
        <w:t>利润表</w:t>
      </w:r>
    </w:p>
    <w:p w14:paraId="7D8813B2">
      <w:pPr>
        <w:jc w:val="center"/>
        <w:rPr>
          <w:rFonts w:hint="eastAsia"/>
          <w:b/>
          <w:bCs/>
          <w:szCs w:val="21"/>
        </w:rPr>
      </w:pPr>
      <w:r>
        <w:rPr>
          <w:szCs w:val="21"/>
        </w:rPr>
        <w:t>2024年</w:t>
      </w:r>
      <w:r>
        <w:rPr>
          <w:rFonts w:hint="eastAsia"/>
          <w:szCs w:val="21"/>
        </w:rPr>
        <w:t>1—</w:t>
      </w:r>
      <w:r>
        <w:rPr>
          <w:szCs w:val="21"/>
        </w:rPr>
        <w:t>12月</w:t>
      </w:r>
    </w:p>
    <w:p w14:paraId="68687E82">
      <w:pPr>
        <w:snapToGrid w:val="0"/>
        <w:spacing w:line="240" w:lineRule="atLeast"/>
        <w:jc w:val="right"/>
        <w:rPr>
          <w:rFonts w:hint="eastAsia"/>
          <w:b/>
          <w:bCs/>
          <w:color w:val="FF0000"/>
          <w:szCs w:val="21"/>
        </w:rPr>
      </w:pPr>
      <w:r>
        <w:rPr>
          <w:szCs w:val="21"/>
        </w:rPr>
        <w:t>单位：</w:t>
      </w:r>
      <w:sdt>
        <w:sdtPr>
          <w:rPr>
            <w:szCs w:val="21"/>
          </w:rPr>
          <w:alias w:val="单位：母公司利润表"/>
          <w:tag w:val="_GBC_f17e8cd8a21b417cb065f4c3b94f9c26"/>
          <w:id w:val="-19419047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母公司利润表"/>
          <w:tag w:val="_GBC_514289adafbe4fe995f8f3791e23e392"/>
          <w:id w:val="17516215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90"/>
        <w:gridCol w:w="1135"/>
        <w:gridCol w:w="1558"/>
        <w:gridCol w:w="1740"/>
      </w:tblGrid>
      <w:tr w14:paraId="25111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blHeader/>
        </w:trPr>
        <w:tc>
          <w:tcPr>
            <w:tcW w:w="2488" w:type="pct"/>
            <w:tcBorders>
              <w:top w:val="outset" w:color="auto" w:sz="4" w:space="0"/>
              <w:left w:val="outset" w:color="auto" w:sz="4" w:space="0"/>
              <w:bottom w:val="outset" w:color="auto" w:sz="4" w:space="0"/>
              <w:right w:val="outset" w:color="auto" w:sz="4" w:space="0"/>
            </w:tcBorders>
            <w:vAlign w:val="center"/>
          </w:tcPr>
          <w:sdt>
            <w:sdtPr>
              <w:tag w:val="_PLD_a25f325e0afe4d279180290df7e1dd6d"/>
              <w:id w:val="1011188374"/>
            </w:sdtPr>
            <w:sdtContent>
              <w:p w14:paraId="0BCA4255">
                <w:pPr>
                  <w:ind w:leftChars="-19" w:hanging="39" w:hangingChars="19"/>
                  <w:jc w:val="center"/>
                  <w:rPr>
                    <w:rFonts w:hint="eastAsia"/>
                    <w:b/>
                  </w:rPr>
                </w:pPr>
                <w:r>
                  <w:rPr>
                    <w:rFonts w:hint="eastAsia"/>
                    <w:b/>
                  </w:rPr>
                  <w:t>项目</w:t>
                </w:r>
              </w:p>
            </w:sdtContent>
          </w:sdt>
        </w:tc>
        <w:tc>
          <w:tcPr>
            <w:tcW w:w="643" w:type="pct"/>
            <w:tcBorders>
              <w:top w:val="outset" w:color="auto" w:sz="4" w:space="0"/>
              <w:left w:val="outset" w:color="auto" w:sz="4" w:space="0"/>
              <w:bottom w:val="outset" w:color="auto" w:sz="4" w:space="0"/>
              <w:right w:val="outset" w:color="auto" w:sz="4" w:space="0"/>
            </w:tcBorders>
          </w:tcPr>
          <w:sdt>
            <w:sdtPr>
              <w:tag w:val="_PLD_4bea71a35f204b56bca2b7ea223d4b71"/>
              <w:id w:val="539788440"/>
            </w:sdtPr>
            <w:sdtContent>
              <w:p w14:paraId="695F6914">
                <w:pPr>
                  <w:jc w:val="center"/>
                  <w:rPr>
                    <w:rFonts w:hint="eastAsia"/>
                    <w:b/>
                  </w:rPr>
                </w:pPr>
                <w:r>
                  <w:rPr>
                    <w:rFonts w:hint="eastAsia"/>
                    <w:b/>
                  </w:rPr>
                  <w:t>附注</w:t>
                </w:r>
              </w:p>
            </w:sdtContent>
          </w:sdt>
        </w:tc>
        <w:tc>
          <w:tcPr>
            <w:tcW w:w="883" w:type="pct"/>
            <w:tcBorders>
              <w:top w:val="outset" w:color="auto" w:sz="4" w:space="0"/>
              <w:left w:val="outset" w:color="auto" w:sz="4" w:space="0"/>
              <w:bottom w:val="outset" w:color="auto" w:sz="4" w:space="0"/>
              <w:right w:val="outset" w:color="auto" w:sz="4" w:space="0"/>
            </w:tcBorders>
            <w:vAlign w:val="center"/>
          </w:tcPr>
          <w:sdt>
            <w:sdtPr>
              <w:tag w:val="_PLD_a2bf02ec3f0b4ce2b9d25f751262d2b0"/>
              <w:id w:val="533239350"/>
            </w:sdtPr>
            <w:sdtContent>
              <w:p w14:paraId="0C4F18EF">
                <w:pPr>
                  <w:jc w:val="center"/>
                  <w:rPr>
                    <w:rFonts w:hint="eastAsia"/>
                    <w:b/>
                  </w:rPr>
                </w:pPr>
                <w:r>
                  <w:rPr>
                    <w:rFonts w:hint="eastAsia"/>
                    <w:b/>
                  </w:rPr>
                  <w:t>2024年度</w:t>
                </w:r>
              </w:p>
            </w:sdtContent>
          </w:sdt>
        </w:tc>
        <w:tc>
          <w:tcPr>
            <w:tcW w:w="986" w:type="pct"/>
            <w:tcBorders>
              <w:top w:val="outset" w:color="auto" w:sz="4" w:space="0"/>
              <w:left w:val="outset" w:color="auto" w:sz="4" w:space="0"/>
              <w:bottom w:val="outset" w:color="auto" w:sz="4" w:space="0"/>
              <w:right w:val="outset" w:color="auto" w:sz="4" w:space="0"/>
            </w:tcBorders>
            <w:vAlign w:val="center"/>
          </w:tcPr>
          <w:sdt>
            <w:sdtPr>
              <w:tag w:val="_PLD_7a01f378d3e3492c9571d4400832431f"/>
              <w:id w:val="-331839653"/>
            </w:sdtPr>
            <w:sdtContent>
              <w:p w14:paraId="517C352E">
                <w:pPr>
                  <w:jc w:val="center"/>
                  <w:rPr>
                    <w:rFonts w:hint="eastAsia"/>
                    <w:b/>
                  </w:rPr>
                </w:pPr>
                <w:r>
                  <w:rPr>
                    <w:rFonts w:hint="eastAsia"/>
                    <w:b/>
                  </w:rPr>
                  <w:t>2023年度</w:t>
                </w:r>
              </w:p>
            </w:sdtContent>
          </w:sdt>
        </w:tc>
      </w:tr>
      <w:tr w14:paraId="15412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B3672B8">
            <w:pPr>
              <w:ind w:left="-19"/>
              <w:rPr>
                <w:rFonts w:hint="eastAsia"/>
                <w:color w:val="000000"/>
                <w:szCs w:val="21"/>
              </w:rPr>
            </w:pPr>
            <w:r>
              <w:rPr>
                <w:rFonts w:hint="eastAsia"/>
                <w:szCs w:val="21"/>
              </w:rPr>
              <w:t>一、营业收入</w:t>
            </w:r>
          </w:p>
        </w:tc>
        <w:tc>
          <w:tcPr>
            <w:tcW w:w="643" w:type="pct"/>
            <w:tcBorders>
              <w:top w:val="outset" w:color="auto" w:sz="4" w:space="0"/>
              <w:left w:val="outset" w:color="auto" w:sz="4" w:space="0"/>
              <w:bottom w:val="outset" w:color="auto" w:sz="4" w:space="0"/>
              <w:right w:val="outset" w:color="auto" w:sz="4" w:space="0"/>
            </w:tcBorders>
            <w:vAlign w:val="center"/>
          </w:tcPr>
          <w:p w14:paraId="12DBCDD8">
            <w:pPr>
              <w:rPr>
                <w:rFonts w:hint="eastAsia"/>
                <w:szCs w:val="21"/>
              </w:rPr>
            </w:pPr>
            <w:r>
              <w:t>十九、4</w:t>
            </w:r>
          </w:p>
        </w:tc>
        <w:tc>
          <w:tcPr>
            <w:tcW w:w="883" w:type="pct"/>
            <w:tcBorders>
              <w:top w:val="outset" w:color="auto" w:sz="4" w:space="0"/>
              <w:left w:val="outset" w:color="auto" w:sz="4" w:space="0"/>
              <w:bottom w:val="outset" w:color="auto" w:sz="4" w:space="0"/>
              <w:right w:val="outset" w:color="auto" w:sz="4" w:space="0"/>
            </w:tcBorders>
            <w:vAlign w:val="center"/>
          </w:tcPr>
          <w:p w14:paraId="15749882">
            <w:pPr>
              <w:jc w:val="right"/>
              <w:rPr>
                <w:rFonts w:ascii="Arial Narrow" w:hAnsi="Arial Narrow"/>
                <w:szCs w:val="21"/>
              </w:rPr>
            </w:pPr>
            <w:r>
              <w:rPr>
                <w:rFonts w:ascii="Arial Narrow" w:hAnsi="Arial Narrow" w:eastAsia="等线"/>
                <w:color w:val="000000"/>
                <w:szCs w:val="21"/>
              </w:rPr>
              <w:t xml:space="preserve">31,936,923.29 </w:t>
            </w:r>
          </w:p>
        </w:tc>
        <w:tc>
          <w:tcPr>
            <w:tcW w:w="986" w:type="pct"/>
            <w:tcBorders>
              <w:top w:val="outset" w:color="auto" w:sz="4" w:space="0"/>
              <w:left w:val="outset" w:color="auto" w:sz="4" w:space="0"/>
              <w:bottom w:val="outset" w:color="auto" w:sz="4" w:space="0"/>
              <w:right w:val="outset" w:color="auto" w:sz="4" w:space="0"/>
            </w:tcBorders>
            <w:vAlign w:val="center"/>
          </w:tcPr>
          <w:p w14:paraId="350B802E">
            <w:pPr>
              <w:jc w:val="right"/>
              <w:rPr>
                <w:rFonts w:ascii="Arial Narrow" w:hAnsi="Arial Narrow"/>
                <w:szCs w:val="21"/>
              </w:rPr>
            </w:pPr>
            <w:r>
              <w:rPr>
                <w:rFonts w:ascii="Arial Narrow" w:hAnsi="Arial Narrow" w:eastAsia="等线"/>
                <w:color w:val="000000"/>
                <w:szCs w:val="21"/>
              </w:rPr>
              <w:t xml:space="preserve">13,125,255.02 </w:t>
            </w:r>
          </w:p>
        </w:tc>
      </w:tr>
      <w:tr w14:paraId="622D50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06BB708">
            <w:pPr>
              <w:ind w:firstLine="210" w:firstLineChars="100"/>
              <w:rPr>
                <w:rFonts w:hint="eastAsia"/>
                <w:color w:val="000000"/>
                <w:szCs w:val="21"/>
              </w:rPr>
            </w:pPr>
            <w:r>
              <w:rPr>
                <w:rFonts w:hint="eastAsia"/>
                <w:szCs w:val="21"/>
              </w:rPr>
              <w:t>减：营业成本</w:t>
            </w:r>
          </w:p>
        </w:tc>
        <w:tc>
          <w:tcPr>
            <w:tcW w:w="643" w:type="pct"/>
            <w:tcBorders>
              <w:top w:val="outset" w:color="auto" w:sz="4" w:space="0"/>
              <w:left w:val="outset" w:color="auto" w:sz="4" w:space="0"/>
              <w:bottom w:val="outset" w:color="auto" w:sz="4" w:space="0"/>
              <w:right w:val="outset" w:color="auto" w:sz="4" w:space="0"/>
            </w:tcBorders>
            <w:vAlign w:val="center"/>
          </w:tcPr>
          <w:p w14:paraId="3F59620F">
            <w:pPr>
              <w:rPr>
                <w:rFonts w:hint="eastAsia"/>
                <w:szCs w:val="21"/>
              </w:rPr>
            </w:pPr>
            <w:r>
              <w:t>十九、4</w:t>
            </w:r>
          </w:p>
        </w:tc>
        <w:tc>
          <w:tcPr>
            <w:tcW w:w="883" w:type="pct"/>
            <w:tcBorders>
              <w:top w:val="outset" w:color="auto" w:sz="4" w:space="0"/>
              <w:left w:val="outset" w:color="auto" w:sz="4" w:space="0"/>
              <w:bottom w:val="outset" w:color="auto" w:sz="4" w:space="0"/>
              <w:right w:val="outset" w:color="auto" w:sz="4" w:space="0"/>
            </w:tcBorders>
            <w:vAlign w:val="center"/>
          </w:tcPr>
          <w:p w14:paraId="63139D1C">
            <w:pPr>
              <w:jc w:val="right"/>
              <w:rPr>
                <w:rFonts w:ascii="Arial Narrow" w:hAnsi="Arial Narrow"/>
                <w:szCs w:val="21"/>
              </w:rPr>
            </w:pPr>
            <w:r>
              <w:rPr>
                <w:rFonts w:ascii="Arial Narrow" w:hAnsi="Arial Narrow" w:eastAsia="等线"/>
                <w:color w:val="000000"/>
                <w:szCs w:val="21"/>
              </w:rPr>
              <w:t xml:space="preserve">251,023.07 </w:t>
            </w:r>
          </w:p>
        </w:tc>
        <w:tc>
          <w:tcPr>
            <w:tcW w:w="986" w:type="pct"/>
            <w:tcBorders>
              <w:top w:val="outset" w:color="auto" w:sz="4" w:space="0"/>
              <w:left w:val="outset" w:color="auto" w:sz="4" w:space="0"/>
              <w:bottom w:val="outset" w:color="auto" w:sz="4" w:space="0"/>
              <w:right w:val="outset" w:color="auto" w:sz="4" w:space="0"/>
            </w:tcBorders>
            <w:vAlign w:val="center"/>
          </w:tcPr>
          <w:p w14:paraId="027F214E">
            <w:pPr>
              <w:jc w:val="right"/>
              <w:rPr>
                <w:rFonts w:ascii="Arial Narrow" w:hAnsi="Arial Narrow"/>
                <w:szCs w:val="21"/>
              </w:rPr>
            </w:pPr>
            <w:r>
              <w:rPr>
                <w:rFonts w:ascii="Arial Narrow" w:hAnsi="Arial Narrow" w:eastAsia="等线"/>
                <w:color w:val="000000"/>
                <w:szCs w:val="21"/>
              </w:rPr>
              <w:t xml:space="preserve">7,571,758.18 </w:t>
            </w:r>
          </w:p>
        </w:tc>
      </w:tr>
      <w:tr w14:paraId="35F337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7F78194C">
            <w:pPr>
              <w:ind w:firstLine="630" w:firstLineChars="300"/>
              <w:rPr>
                <w:rFonts w:hint="eastAsia"/>
                <w:szCs w:val="21"/>
              </w:rPr>
            </w:pPr>
            <w:r>
              <w:rPr>
                <w:rFonts w:hint="eastAsia"/>
                <w:szCs w:val="21"/>
              </w:rPr>
              <w:t>税金及附加</w:t>
            </w:r>
          </w:p>
        </w:tc>
        <w:tc>
          <w:tcPr>
            <w:tcW w:w="643" w:type="pct"/>
            <w:tcBorders>
              <w:top w:val="outset" w:color="auto" w:sz="4" w:space="0"/>
              <w:left w:val="outset" w:color="auto" w:sz="4" w:space="0"/>
              <w:bottom w:val="outset" w:color="auto" w:sz="4" w:space="0"/>
              <w:right w:val="outset" w:color="auto" w:sz="4" w:space="0"/>
            </w:tcBorders>
            <w:vAlign w:val="center"/>
          </w:tcPr>
          <w:p w14:paraId="3D6F74EA">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7E51C08">
            <w:pPr>
              <w:jc w:val="right"/>
              <w:rPr>
                <w:rFonts w:ascii="Arial Narrow" w:hAnsi="Arial Narrow"/>
                <w:szCs w:val="21"/>
              </w:rPr>
            </w:pPr>
            <w:r>
              <w:rPr>
                <w:rFonts w:ascii="Arial Narrow" w:hAnsi="Arial Narrow" w:eastAsia="等线"/>
                <w:color w:val="000000"/>
                <w:szCs w:val="21"/>
              </w:rPr>
              <w:t xml:space="preserve">931,897.38 </w:t>
            </w:r>
          </w:p>
        </w:tc>
        <w:tc>
          <w:tcPr>
            <w:tcW w:w="986" w:type="pct"/>
            <w:tcBorders>
              <w:top w:val="outset" w:color="auto" w:sz="4" w:space="0"/>
              <w:left w:val="outset" w:color="auto" w:sz="4" w:space="0"/>
              <w:bottom w:val="outset" w:color="auto" w:sz="4" w:space="0"/>
              <w:right w:val="outset" w:color="auto" w:sz="4" w:space="0"/>
            </w:tcBorders>
            <w:vAlign w:val="center"/>
          </w:tcPr>
          <w:p w14:paraId="2B7155BE">
            <w:pPr>
              <w:jc w:val="right"/>
              <w:rPr>
                <w:rFonts w:ascii="Arial Narrow" w:hAnsi="Arial Narrow"/>
                <w:szCs w:val="21"/>
              </w:rPr>
            </w:pPr>
            <w:r>
              <w:rPr>
                <w:rFonts w:ascii="Arial Narrow" w:hAnsi="Arial Narrow" w:eastAsia="等线"/>
                <w:color w:val="000000"/>
                <w:szCs w:val="21"/>
              </w:rPr>
              <w:t xml:space="preserve">1,739,439.38 </w:t>
            </w:r>
          </w:p>
        </w:tc>
      </w:tr>
      <w:tr w14:paraId="3862C4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E97F144">
            <w:pPr>
              <w:ind w:firstLine="630" w:firstLineChars="300"/>
              <w:rPr>
                <w:rFonts w:hint="eastAsia"/>
                <w:szCs w:val="21"/>
              </w:rPr>
            </w:pPr>
            <w:r>
              <w:rPr>
                <w:rFonts w:hint="eastAsia"/>
                <w:szCs w:val="21"/>
              </w:rPr>
              <w:t>销售费用</w:t>
            </w:r>
          </w:p>
        </w:tc>
        <w:tc>
          <w:tcPr>
            <w:tcW w:w="643" w:type="pct"/>
            <w:tcBorders>
              <w:top w:val="outset" w:color="auto" w:sz="4" w:space="0"/>
              <w:left w:val="outset" w:color="auto" w:sz="4" w:space="0"/>
              <w:bottom w:val="outset" w:color="auto" w:sz="4" w:space="0"/>
              <w:right w:val="outset" w:color="auto" w:sz="4" w:space="0"/>
            </w:tcBorders>
            <w:vAlign w:val="center"/>
          </w:tcPr>
          <w:p w14:paraId="360FA195">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0B6AFD7">
            <w:pPr>
              <w:jc w:val="right"/>
              <w:rPr>
                <w:rFonts w:ascii="Arial Narrow" w:hAnsi="Arial Narrow"/>
                <w:szCs w:val="21"/>
              </w:rPr>
            </w:pPr>
            <w:r>
              <w:rPr>
                <w:rFonts w:ascii="Arial Narrow" w:hAnsi="Arial Narrow" w:eastAsia="等线"/>
                <w:color w:val="000000"/>
                <w:szCs w:val="21"/>
              </w:rPr>
              <w:t xml:space="preserve">31,026,931.15 </w:t>
            </w:r>
          </w:p>
        </w:tc>
        <w:tc>
          <w:tcPr>
            <w:tcW w:w="986" w:type="pct"/>
            <w:tcBorders>
              <w:top w:val="outset" w:color="auto" w:sz="4" w:space="0"/>
              <w:left w:val="outset" w:color="auto" w:sz="4" w:space="0"/>
              <w:bottom w:val="outset" w:color="auto" w:sz="4" w:space="0"/>
              <w:right w:val="outset" w:color="auto" w:sz="4" w:space="0"/>
            </w:tcBorders>
            <w:vAlign w:val="center"/>
          </w:tcPr>
          <w:p w14:paraId="4B84955C">
            <w:pPr>
              <w:jc w:val="right"/>
              <w:rPr>
                <w:rFonts w:ascii="Arial Narrow" w:hAnsi="Arial Narrow"/>
                <w:szCs w:val="21"/>
              </w:rPr>
            </w:pPr>
            <w:r>
              <w:rPr>
                <w:rFonts w:ascii="Arial Narrow" w:hAnsi="Arial Narrow" w:eastAsia="等线"/>
                <w:color w:val="000000"/>
                <w:szCs w:val="21"/>
              </w:rPr>
              <w:t xml:space="preserve">20,988,671.79 </w:t>
            </w:r>
          </w:p>
        </w:tc>
      </w:tr>
      <w:tr w14:paraId="5AA9A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018AFA0">
            <w:pPr>
              <w:ind w:firstLine="630" w:firstLineChars="300"/>
              <w:rPr>
                <w:rFonts w:hint="eastAsia"/>
                <w:szCs w:val="21"/>
              </w:rPr>
            </w:pPr>
            <w:r>
              <w:rPr>
                <w:rFonts w:hint="eastAsia"/>
                <w:szCs w:val="21"/>
              </w:rPr>
              <w:t>管理费用</w:t>
            </w:r>
          </w:p>
        </w:tc>
        <w:tc>
          <w:tcPr>
            <w:tcW w:w="643" w:type="pct"/>
            <w:tcBorders>
              <w:top w:val="outset" w:color="auto" w:sz="4" w:space="0"/>
              <w:left w:val="outset" w:color="auto" w:sz="4" w:space="0"/>
              <w:bottom w:val="outset" w:color="auto" w:sz="4" w:space="0"/>
              <w:right w:val="outset" w:color="auto" w:sz="4" w:space="0"/>
            </w:tcBorders>
            <w:vAlign w:val="center"/>
          </w:tcPr>
          <w:p w14:paraId="0E165A28">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0A8D5985">
            <w:pPr>
              <w:jc w:val="right"/>
              <w:rPr>
                <w:rFonts w:ascii="Arial Narrow" w:hAnsi="Arial Narrow"/>
                <w:szCs w:val="21"/>
              </w:rPr>
            </w:pPr>
            <w:r>
              <w:rPr>
                <w:rFonts w:ascii="Arial Narrow" w:hAnsi="Arial Narrow" w:eastAsia="等线"/>
                <w:color w:val="000000"/>
                <w:szCs w:val="21"/>
              </w:rPr>
              <w:t xml:space="preserve">107,480,476.06 </w:t>
            </w:r>
          </w:p>
        </w:tc>
        <w:tc>
          <w:tcPr>
            <w:tcW w:w="986" w:type="pct"/>
            <w:tcBorders>
              <w:top w:val="outset" w:color="auto" w:sz="4" w:space="0"/>
              <w:left w:val="outset" w:color="auto" w:sz="4" w:space="0"/>
              <w:bottom w:val="outset" w:color="auto" w:sz="4" w:space="0"/>
              <w:right w:val="outset" w:color="auto" w:sz="4" w:space="0"/>
            </w:tcBorders>
            <w:vAlign w:val="center"/>
          </w:tcPr>
          <w:p w14:paraId="6BB00480">
            <w:pPr>
              <w:jc w:val="right"/>
              <w:rPr>
                <w:rFonts w:ascii="Arial Narrow" w:hAnsi="Arial Narrow"/>
                <w:szCs w:val="21"/>
              </w:rPr>
            </w:pPr>
            <w:r>
              <w:rPr>
                <w:rFonts w:ascii="Arial Narrow" w:hAnsi="Arial Narrow" w:eastAsia="等线"/>
                <w:color w:val="000000"/>
                <w:szCs w:val="21"/>
              </w:rPr>
              <w:t xml:space="preserve">86,233,326.95 </w:t>
            </w:r>
          </w:p>
        </w:tc>
      </w:tr>
      <w:tr w14:paraId="267445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8FBE354">
            <w:pPr>
              <w:ind w:firstLine="630" w:firstLineChars="300"/>
              <w:rPr>
                <w:rFonts w:hint="eastAsia"/>
              </w:rPr>
            </w:pPr>
            <w:r>
              <w:rPr>
                <w:rFonts w:hint="eastAsia"/>
              </w:rPr>
              <w:t>研发费用</w:t>
            </w:r>
          </w:p>
        </w:tc>
        <w:tc>
          <w:tcPr>
            <w:tcW w:w="643" w:type="pct"/>
            <w:tcBorders>
              <w:top w:val="outset" w:color="auto" w:sz="4" w:space="0"/>
              <w:left w:val="outset" w:color="auto" w:sz="4" w:space="0"/>
              <w:bottom w:val="outset" w:color="auto" w:sz="4" w:space="0"/>
              <w:right w:val="outset" w:color="auto" w:sz="4" w:space="0"/>
            </w:tcBorders>
            <w:vAlign w:val="center"/>
          </w:tcPr>
          <w:p w14:paraId="324CDA8B">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4968D5D8">
            <w:pPr>
              <w:jc w:val="right"/>
              <w:rPr>
                <w:rFonts w:ascii="Arial Narrow" w:hAnsi="Arial Narrow"/>
                <w:szCs w:val="21"/>
              </w:rPr>
            </w:pPr>
            <w:r>
              <w:rPr>
                <w:rFonts w:ascii="Arial Narrow" w:hAnsi="Arial Narrow" w:eastAsia="等线"/>
                <w:color w:val="000000"/>
                <w:szCs w:val="21"/>
              </w:rPr>
              <w:t xml:space="preserve">27,192,488.11 </w:t>
            </w:r>
          </w:p>
        </w:tc>
        <w:tc>
          <w:tcPr>
            <w:tcW w:w="986" w:type="pct"/>
            <w:tcBorders>
              <w:top w:val="outset" w:color="auto" w:sz="4" w:space="0"/>
              <w:left w:val="outset" w:color="auto" w:sz="4" w:space="0"/>
              <w:bottom w:val="outset" w:color="auto" w:sz="4" w:space="0"/>
              <w:right w:val="outset" w:color="auto" w:sz="4" w:space="0"/>
            </w:tcBorders>
            <w:vAlign w:val="center"/>
          </w:tcPr>
          <w:p w14:paraId="55E0A705">
            <w:pPr>
              <w:jc w:val="right"/>
              <w:rPr>
                <w:rFonts w:ascii="Arial Narrow" w:hAnsi="Arial Narrow"/>
                <w:szCs w:val="21"/>
              </w:rPr>
            </w:pPr>
            <w:r>
              <w:rPr>
                <w:rFonts w:ascii="Arial Narrow" w:hAnsi="Arial Narrow" w:eastAsia="等线"/>
                <w:color w:val="000000"/>
                <w:szCs w:val="21"/>
              </w:rPr>
              <w:t xml:space="preserve">27,346,556.78 </w:t>
            </w:r>
          </w:p>
        </w:tc>
      </w:tr>
      <w:tr w14:paraId="21328D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5A2F0E4">
            <w:pPr>
              <w:ind w:firstLine="630" w:firstLineChars="300"/>
              <w:rPr>
                <w:rFonts w:hint="eastAsia"/>
                <w:szCs w:val="21"/>
              </w:rPr>
            </w:pPr>
            <w:r>
              <w:rPr>
                <w:rFonts w:hint="eastAsia"/>
                <w:szCs w:val="21"/>
              </w:rPr>
              <w:t>财务费用</w:t>
            </w:r>
          </w:p>
        </w:tc>
        <w:tc>
          <w:tcPr>
            <w:tcW w:w="643" w:type="pct"/>
            <w:tcBorders>
              <w:top w:val="outset" w:color="auto" w:sz="4" w:space="0"/>
              <w:left w:val="outset" w:color="auto" w:sz="4" w:space="0"/>
              <w:bottom w:val="outset" w:color="auto" w:sz="4" w:space="0"/>
              <w:right w:val="outset" w:color="auto" w:sz="4" w:space="0"/>
            </w:tcBorders>
            <w:vAlign w:val="center"/>
          </w:tcPr>
          <w:p w14:paraId="6700473F">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0BA35B9">
            <w:pPr>
              <w:jc w:val="right"/>
              <w:rPr>
                <w:rFonts w:ascii="Arial Narrow" w:hAnsi="Arial Narrow"/>
                <w:szCs w:val="21"/>
              </w:rPr>
            </w:pPr>
            <w:r>
              <w:rPr>
                <w:rFonts w:ascii="Arial Narrow" w:hAnsi="Arial Narrow" w:eastAsia="等线"/>
                <w:color w:val="000000"/>
                <w:szCs w:val="21"/>
              </w:rPr>
              <w:t xml:space="preserve">-39,118,216.89 </w:t>
            </w:r>
          </w:p>
        </w:tc>
        <w:tc>
          <w:tcPr>
            <w:tcW w:w="986" w:type="pct"/>
            <w:tcBorders>
              <w:top w:val="outset" w:color="auto" w:sz="4" w:space="0"/>
              <w:left w:val="outset" w:color="auto" w:sz="4" w:space="0"/>
              <w:bottom w:val="outset" w:color="auto" w:sz="4" w:space="0"/>
              <w:right w:val="outset" w:color="auto" w:sz="4" w:space="0"/>
            </w:tcBorders>
            <w:vAlign w:val="center"/>
          </w:tcPr>
          <w:p w14:paraId="52ABBB05">
            <w:pPr>
              <w:jc w:val="right"/>
              <w:rPr>
                <w:rFonts w:ascii="Arial Narrow" w:hAnsi="Arial Narrow"/>
                <w:szCs w:val="21"/>
              </w:rPr>
            </w:pPr>
            <w:r>
              <w:rPr>
                <w:rFonts w:ascii="Arial Narrow" w:hAnsi="Arial Narrow" w:eastAsia="等线"/>
                <w:color w:val="000000"/>
                <w:szCs w:val="21"/>
              </w:rPr>
              <w:t xml:space="preserve">-107,043,902.55 </w:t>
            </w:r>
          </w:p>
        </w:tc>
      </w:tr>
      <w:tr w14:paraId="000DC9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B60BED1">
            <w:pPr>
              <w:ind w:firstLine="630" w:firstLineChars="300"/>
              <w:rPr>
                <w:rFonts w:hint="eastAsia"/>
              </w:rPr>
            </w:pPr>
            <w:r>
              <w:rPr>
                <w:rFonts w:hint="eastAsia"/>
              </w:rPr>
              <w:t>其中：利息费用</w:t>
            </w:r>
          </w:p>
        </w:tc>
        <w:tc>
          <w:tcPr>
            <w:tcW w:w="643" w:type="pct"/>
            <w:tcBorders>
              <w:top w:val="outset" w:color="auto" w:sz="4" w:space="0"/>
              <w:left w:val="outset" w:color="auto" w:sz="4" w:space="0"/>
              <w:bottom w:val="outset" w:color="auto" w:sz="4" w:space="0"/>
              <w:right w:val="outset" w:color="auto" w:sz="4" w:space="0"/>
            </w:tcBorders>
            <w:vAlign w:val="center"/>
          </w:tcPr>
          <w:p w14:paraId="39851C1C">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42944340">
            <w:pPr>
              <w:jc w:val="right"/>
              <w:rPr>
                <w:rFonts w:ascii="Arial Narrow" w:hAnsi="Arial Narrow"/>
                <w:szCs w:val="21"/>
              </w:rPr>
            </w:pPr>
            <w:r>
              <w:rPr>
                <w:rFonts w:ascii="Arial Narrow" w:hAnsi="Arial Narrow" w:eastAsia="等线"/>
                <w:color w:val="000000"/>
                <w:szCs w:val="21"/>
              </w:rPr>
              <w:t xml:space="preserve">37,655,181.50 </w:t>
            </w:r>
          </w:p>
        </w:tc>
        <w:tc>
          <w:tcPr>
            <w:tcW w:w="986" w:type="pct"/>
            <w:tcBorders>
              <w:top w:val="outset" w:color="auto" w:sz="4" w:space="0"/>
              <w:left w:val="outset" w:color="auto" w:sz="4" w:space="0"/>
              <w:bottom w:val="outset" w:color="auto" w:sz="4" w:space="0"/>
              <w:right w:val="outset" w:color="auto" w:sz="4" w:space="0"/>
            </w:tcBorders>
            <w:vAlign w:val="center"/>
          </w:tcPr>
          <w:p w14:paraId="4CE4C95D">
            <w:pPr>
              <w:jc w:val="right"/>
              <w:rPr>
                <w:rFonts w:ascii="Arial Narrow" w:hAnsi="Arial Narrow"/>
                <w:szCs w:val="21"/>
              </w:rPr>
            </w:pPr>
            <w:r>
              <w:rPr>
                <w:rFonts w:ascii="Arial Narrow" w:hAnsi="Arial Narrow" w:eastAsia="等线"/>
                <w:color w:val="000000"/>
                <w:szCs w:val="21"/>
              </w:rPr>
              <w:t xml:space="preserve">49,916,787.86 </w:t>
            </w:r>
          </w:p>
        </w:tc>
      </w:tr>
      <w:tr w14:paraId="6B204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C04AA13">
            <w:pPr>
              <w:ind w:firstLine="1260" w:firstLineChars="600"/>
              <w:rPr>
                <w:rFonts w:hint="eastAsia"/>
              </w:rPr>
            </w:pPr>
            <w:r>
              <w:rPr>
                <w:rFonts w:hint="eastAsia"/>
              </w:rPr>
              <w:t>利息收入</w:t>
            </w:r>
          </w:p>
        </w:tc>
        <w:tc>
          <w:tcPr>
            <w:tcW w:w="643" w:type="pct"/>
            <w:tcBorders>
              <w:top w:val="outset" w:color="auto" w:sz="4" w:space="0"/>
              <w:left w:val="outset" w:color="auto" w:sz="4" w:space="0"/>
              <w:bottom w:val="outset" w:color="auto" w:sz="4" w:space="0"/>
              <w:right w:val="outset" w:color="auto" w:sz="4" w:space="0"/>
            </w:tcBorders>
            <w:vAlign w:val="center"/>
          </w:tcPr>
          <w:p w14:paraId="49FD6F7F">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AAB4563">
            <w:pPr>
              <w:jc w:val="right"/>
              <w:rPr>
                <w:rFonts w:ascii="Arial Narrow" w:hAnsi="Arial Narrow"/>
                <w:szCs w:val="21"/>
              </w:rPr>
            </w:pPr>
            <w:r>
              <w:rPr>
                <w:rFonts w:ascii="Arial Narrow" w:hAnsi="Arial Narrow" w:eastAsia="等线"/>
                <w:color w:val="000000"/>
                <w:szCs w:val="21"/>
              </w:rPr>
              <w:t xml:space="preserve">77,113,919.17 </w:t>
            </w:r>
          </w:p>
        </w:tc>
        <w:tc>
          <w:tcPr>
            <w:tcW w:w="986" w:type="pct"/>
            <w:tcBorders>
              <w:top w:val="outset" w:color="auto" w:sz="4" w:space="0"/>
              <w:left w:val="outset" w:color="auto" w:sz="4" w:space="0"/>
              <w:bottom w:val="outset" w:color="auto" w:sz="4" w:space="0"/>
              <w:right w:val="outset" w:color="auto" w:sz="4" w:space="0"/>
            </w:tcBorders>
            <w:vAlign w:val="center"/>
          </w:tcPr>
          <w:p w14:paraId="3791B02C">
            <w:pPr>
              <w:jc w:val="right"/>
              <w:rPr>
                <w:rFonts w:ascii="Arial Narrow" w:hAnsi="Arial Narrow"/>
                <w:szCs w:val="21"/>
              </w:rPr>
            </w:pPr>
            <w:r>
              <w:rPr>
                <w:rFonts w:ascii="Arial Narrow" w:hAnsi="Arial Narrow" w:eastAsia="等线"/>
                <w:color w:val="000000"/>
                <w:szCs w:val="21"/>
              </w:rPr>
              <w:t xml:space="preserve">157,440,593.75 </w:t>
            </w:r>
          </w:p>
        </w:tc>
      </w:tr>
      <w:tr w14:paraId="2009F8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13F30E3">
            <w:pPr>
              <w:ind w:firstLine="210" w:firstLineChars="100"/>
              <w:rPr>
                <w:rFonts w:hint="eastAsia"/>
                <w:szCs w:val="21"/>
              </w:rPr>
            </w:pPr>
            <w:r>
              <w:rPr>
                <w:rFonts w:hint="eastAsia"/>
              </w:rPr>
              <w:t>加：</w:t>
            </w:r>
            <w:r>
              <w:rPr>
                <w:rFonts w:hint="eastAsia"/>
                <w:szCs w:val="21"/>
              </w:rPr>
              <w:t>其他收益</w:t>
            </w:r>
          </w:p>
        </w:tc>
        <w:tc>
          <w:tcPr>
            <w:tcW w:w="643" w:type="pct"/>
            <w:tcBorders>
              <w:top w:val="outset" w:color="auto" w:sz="4" w:space="0"/>
              <w:left w:val="outset" w:color="auto" w:sz="4" w:space="0"/>
              <w:bottom w:val="outset" w:color="auto" w:sz="4" w:space="0"/>
              <w:right w:val="outset" w:color="auto" w:sz="4" w:space="0"/>
            </w:tcBorders>
          </w:tcPr>
          <w:p w14:paraId="004362B0">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342DB4D5">
            <w:pPr>
              <w:jc w:val="right"/>
              <w:rPr>
                <w:rFonts w:ascii="Arial Narrow" w:hAnsi="Arial Narrow"/>
                <w:szCs w:val="21"/>
              </w:rPr>
            </w:pPr>
            <w:r>
              <w:rPr>
                <w:rFonts w:ascii="Arial Narrow" w:hAnsi="Arial Narrow" w:eastAsia="等线"/>
                <w:color w:val="000000"/>
                <w:szCs w:val="21"/>
              </w:rPr>
              <w:t xml:space="preserve">925,798.80 </w:t>
            </w:r>
          </w:p>
        </w:tc>
        <w:tc>
          <w:tcPr>
            <w:tcW w:w="986" w:type="pct"/>
            <w:tcBorders>
              <w:top w:val="outset" w:color="auto" w:sz="4" w:space="0"/>
              <w:left w:val="outset" w:color="auto" w:sz="4" w:space="0"/>
              <w:bottom w:val="outset" w:color="auto" w:sz="4" w:space="0"/>
              <w:right w:val="outset" w:color="auto" w:sz="4" w:space="0"/>
            </w:tcBorders>
            <w:vAlign w:val="center"/>
          </w:tcPr>
          <w:p w14:paraId="587F2060">
            <w:pPr>
              <w:jc w:val="right"/>
              <w:rPr>
                <w:rFonts w:ascii="Arial Narrow" w:hAnsi="Arial Narrow"/>
                <w:szCs w:val="21"/>
              </w:rPr>
            </w:pPr>
            <w:r>
              <w:rPr>
                <w:rFonts w:ascii="Arial Narrow" w:hAnsi="Arial Narrow" w:eastAsia="等线"/>
                <w:color w:val="000000"/>
                <w:szCs w:val="21"/>
              </w:rPr>
              <w:t xml:space="preserve">1,348,613.05 </w:t>
            </w:r>
          </w:p>
        </w:tc>
      </w:tr>
      <w:tr w14:paraId="3CF52A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99559EA">
            <w:pPr>
              <w:ind w:firstLine="630" w:firstLineChars="300"/>
              <w:rPr>
                <w:rFonts w:hint="eastAsia"/>
                <w:szCs w:val="21"/>
              </w:rPr>
            </w:pPr>
            <w:r>
              <w:rPr>
                <w:rFonts w:hint="eastAsia"/>
                <w:szCs w:val="21"/>
              </w:rPr>
              <w:t>投资收益（损失以“－”号填列）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31A73CC7">
            <w:pPr>
              <w:rPr>
                <w:rFonts w:hint="eastAsia"/>
                <w:szCs w:val="21"/>
              </w:rPr>
            </w:pPr>
            <w:r>
              <w:rPr>
                <w:rFonts w:hint="eastAsia"/>
                <w:szCs w:val="21"/>
              </w:rPr>
              <w:t>十九、5</w:t>
            </w:r>
          </w:p>
        </w:tc>
        <w:tc>
          <w:tcPr>
            <w:tcW w:w="883" w:type="pct"/>
            <w:tcBorders>
              <w:top w:val="outset" w:color="auto" w:sz="4" w:space="0"/>
              <w:left w:val="outset" w:color="auto" w:sz="4" w:space="0"/>
              <w:bottom w:val="outset" w:color="auto" w:sz="4" w:space="0"/>
              <w:right w:val="outset" w:color="auto" w:sz="4" w:space="0"/>
            </w:tcBorders>
            <w:vAlign w:val="center"/>
          </w:tcPr>
          <w:p w14:paraId="77D35ECE">
            <w:pPr>
              <w:jc w:val="right"/>
              <w:rPr>
                <w:rFonts w:ascii="Arial Narrow" w:hAnsi="Arial Narrow"/>
                <w:szCs w:val="21"/>
              </w:rPr>
            </w:pPr>
            <w:r>
              <w:rPr>
                <w:rFonts w:ascii="Arial Narrow" w:hAnsi="Arial Narrow" w:eastAsia="等线"/>
                <w:color w:val="000000"/>
                <w:szCs w:val="21"/>
              </w:rPr>
              <w:t xml:space="preserve">102,636,042.47 </w:t>
            </w:r>
          </w:p>
        </w:tc>
        <w:tc>
          <w:tcPr>
            <w:tcW w:w="986" w:type="pct"/>
            <w:tcBorders>
              <w:top w:val="outset" w:color="auto" w:sz="4" w:space="0"/>
              <w:left w:val="outset" w:color="auto" w:sz="4" w:space="0"/>
              <w:bottom w:val="outset" w:color="auto" w:sz="4" w:space="0"/>
              <w:right w:val="outset" w:color="auto" w:sz="4" w:space="0"/>
            </w:tcBorders>
            <w:vAlign w:val="center"/>
          </w:tcPr>
          <w:p w14:paraId="02E8EDBD">
            <w:pPr>
              <w:jc w:val="right"/>
              <w:rPr>
                <w:rFonts w:ascii="Arial Narrow" w:hAnsi="Arial Narrow"/>
                <w:szCs w:val="21"/>
              </w:rPr>
            </w:pPr>
            <w:r>
              <w:rPr>
                <w:rFonts w:ascii="Arial Narrow" w:hAnsi="Arial Narrow" w:eastAsia="等线"/>
                <w:color w:val="000000"/>
                <w:szCs w:val="21"/>
              </w:rPr>
              <w:t xml:space="preserve">88,004,700.44 </w:t>
            </w:r>
          </w:p>
        </w:tc>
      </w:tr>
      <w:tr w14:paraId="4D2D6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46D3FBC">
            <w:pPr>
              <w:ind w:firstLine="630" w:firstLineChars="300"/>
              <w:rPr>
                <w:rFonts w:hint="eastAsia"/>
                <w:szCs w:val="21"/>
              </w:rPr>
            </w:pPr>
            <w:r>
              <w:rPr>
                <w:rFonts w:hint="eastAsia"/>
                <w:szCs w:val="21"/>
              </w:rPr>
              <w:t>其中：对联营企业和合营企业的投资收益</w:t>
            </w:r>
          </w:p>
        </w:tc>
        <w:tc>
          <w:tcPr>
            <w:tcW w:w="643" w:type="pct"/>
            <w:tcBorders>
              <w:top w:val="outset" w:color="auto" w:sz="4" w:space="0"/>
              <w:left w:val="outset" w:color="auto" w:sz="4" w:space="0"/>
              <w:bottom w:val="outset" w:color="auto" w:sz="4" w:space="0"/>
              <w:right w:val="outset" w:color="auto" w:sz="4" w:space="0"/>
            </w:tcBorders>
            <w:vAlign w:val="center"/>
          </w:tcPr>
          <w:p w14:paraId="0E32CCBE">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4DE54667">
            <w:pPr>
              <w:jc w:val="right"/>
              <w:rPr>
                <w:rFonts w:ascii="Arial Narrow" w:hAnsi="Arial Narrow"/>
                <w:szCs w:val="21"/>
              </w:rPr>
            </w:pPr>
            <w:r>
              <w:rPr>
                <w:rFonts w:ascii="Arial Narrow" w:hAnsi="Arial Narrow" w:eastAsia="等线"/>
                <w:color w:val="000000"/>
                <w:szCs w:val="21"/>
              </w:rPr>
              <w:t xml:space="preserve">-931,160.74 </w:t>
            </w:r>
          </w:p>
        </w:tc>
        <w:tc>
          <w:tcPr>
            <w:tcW w:w="986" w:type="pct"/>
            <w:tcBorders>
              <w:top w:val="outset" w:color="auto" w:sz="4" w:space="0"/>
              <w:left w:val="outset" w:color="auto" w:sz="4" w:space="0"/>
              <w:bottom w:val="outset" w:color="auto" w:sz="4" w:space="0"/>
              <w:right w:val="outset" w:color="auto" w:sz="4" w:space="0"/>
            </w:tcBorders>
            <w:vAlign w:val="center"/>
          </w:tcPr>
          <w:p w14:paraId="6FCAABCA">
            <w:pPr>
              <w:jc w:val="right"/>
              <w:rPr>
                <w:rFonts w:ascii="Arial Narrow" w:hAnsi="Arial Narrow"/>
                <w:szCs w:val="21"/>
              </w:rPr>
            </w:pPr>
          </w:p>
        </w:tc>
      </w:tr>
      <w:tr w14:paraId="4E02C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80DF3F8">
            <w:pPr>
              <w:ind w:firstLine="630" w:firstLineChars="300"/>
              <w:rPr>
                <w:rFonts w:hint="eastAsia"/>
              </w:rPr>
            </w:pPr>
            <w:r>
              <w:rPr>
                <w:rFonts w:hint="eastAsia"/>
              </w:rPr>
              <w:t>信用减值损失（损失以“</w:t>
            </w:r>
            <w:r>
              <w:t>-”号填列）</w:t>
            </w:r>
          </w:p>
        </w:tc>
        <w:tc>
          <w:tcPr>
            <w:tcW w:w="643" w:type="pct"/>
            <w:tcBorders>
              <w:top w:val="outset" w:color="auto" w:sz="4" w:space="0"/>
              <w:left w:val="outset" w:color="auto" w:sz="4" w:space="0"/>
              <w:bottom w:val="outset" w:color="auto" w:sz="4" w:space="0"/>
              <w:right w:val="outset" w:color="auto" w:sz="4" w:space="0"/>
            </w:tcBorders>
            <w:vAlign w:val="center"/>
          </w:tcPr>
          <w:p w14:paraId="1A5535BB">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51FB0918">
            <w:pPr>
              <w:jc w:val="right"/>
              <w:rPr>
                <w:rFonts w:ascii="Arial Narrow" w:hAnsi="Arial Narrow"/>
                <w:szCs w:val="21"/>
              </w:rPr>
            </w:pPr>
            <w:r>
              <w:rPr>
                <w:rFonts w:ascii="Arial Narrow" w:hAnsi="Arial Narrow" w:eastAsia="等线"/>
                <w:color w:val="000000"/>
                <w:szCs w:val="21"/>
              </w:rPr>
              <w:t xml:space="preserve">-7,596,603.35 </w:t>
            </w:r>
          </w:p>
        </w:tc>
        <w:tc>
          <w:tcPr>
            <w:tcW w:w="986" w:type="pct"/>
            <w:tcBorders>
              <w:top w:val="outset" w:color="auto" w:sz="4" w:space="0"/>
              <w:left w:val="outset" w:color="auto" w:sz="4" w:space="0"/>
              <w:bottom w:val="outset" w:color="auto" w:sz="4" w:space="0"/>
              <w:right w:val="outset" w:color="auto" w:sz="4" w:space="0"/>
            </w:tcBorders>
            <w:vAlign w:val="center"/>
          </w:tcPr>
          <w:p w14:paraId="2698C678">
            <w:pPr>
              <w:jc w:val="right"/>
              <w:rPr>
                <w:rFonts w:ascii="Arial Narrow" w:hAnsi="Arial Narrow"/>
                <w:szCs w:val="21"/>
              </w:rPr>
            </w:pPr>
            <w:r>
              <w:rPr>
                <w:rFonts w:ascii="Arial Narrow" w:hAnsi="Arial Narrow" w:eastAsia="等线"/>
                <w:color w:val="000000"/>
                <w:szCs w:val="21"/>
              </w:rPr>
              <w:t xml:space="preserve">24,498,947.70 </w:t>
            </w:r>
          </w:p>
        </w:tc>
      </w:tr>
      <w:tr w14:paraId="04534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5AAE8F64">
            <w:pPr>
              <w:ind w:firstLine="630" w:firstLineChars="300"/>
              <w:rPr>
                <w:rFonts w:hint="eastAsia"/>
                <w:szCs w:val="21"/>
              </w:rPr>
            </w:pPr>
            <w:r>
              <w:rPr>
                <w:rFonts w:hint="eastAsia"/>
                <w:szCs w:val="21"/>
              </w:rPr>
              <w:t>资产减值损失（损失以“</w:t>
            </w:r>
            <w:r>
              <w:rPr>
                <w:szCs w:val="21"/>
              </w:rPr>
              <w:t>-”号填列）</w:t>
            </w:r>
          </w:p>
        </w:tc>
        <w:tc>
          <w:tcPr>
            <w:tcW w:w="643" w:type="pct"/>
            <w:tcBorders>
              <w:top w:val="outset" w:color="auto" w:sz="4" w:space="0"/>
              <w:left w:val="outset" w:color="auto" w:sz="4" w:space="0"/>
              <w:bottom w:val="outset" w:color="auto" w:sz="4" w:space="0"/>
              <w:right w:val="outset" w:color="auto" w:sz="4" w:space="0"/>
            </w:tcBorders>
            <w:vAlign w:val="center"/>
          </w:tcPr>
          <w:p w14:paraId="75BFE1BE">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5D441DDF">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193AEAED">
            <w:pPr>
              <w:jc w:val="right"/>
              <w:rPr>
                <w:rFonts w:ascii="Arial Narrow" w:hAnsi="Arial Narrow"/>
                <w:szCs w:val="21"/>
              </w:rPr>
            </w:pPr>
          </w:p>
        </w:tc>
      </w:tr>
      <w:tr w14:paraId="1F877E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9589C9E">
            <w:pPr>
              <w:ind w:firstLine="630" w:firstLineChars="300"/>
              <w:rPr>
                <w:rFonts w:hint="eastAsia"/>
              </w:rPr>
            </w:pPr>
            <w:r>
              <w:rPr>
                <w:rFonts w:hint="eastAsia"/>
              </w:rPr>
              <w:t>资产处置收益（损失以“－”号填列）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277D1F88">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062F7ED9">
            <w:pPr>
              <w:jc w:val="right"/>
              <w:rPr>
                <w:rFonts w:ascii="Arial Narrow" w:hAnsi="Arial Narrow"/>
                <w:szCs w:val="21"/>
              </w:rPr>
            </w:pPr>
            <w:r>
              <w:rPr>
                <w:rFonts w:ascii="Arial Narrow" w:hAnsi="Arial Narrow" w:eastAsia="等线"/>
                <w:color w:val="000000"/>
                <w:szCs w:val="21"/>
              </w:rPr>
              <w:t xml:space="preserve">14,130.09 </w:t>
            </w:r>
          </w:p>
        </w:tc>
        <w:tc>
          <w:tcPr>
            <w:tcW w:w="986" w:type="pct"/>
            <w:tcBorders>
              <w:top w:val="outset" w:color="auto" w:sz="4" w:space="0"/>
              <w:left w:val="outset" w:color="auto" w:sz="4" w:space="0"/>
              <w:bottom w:val="outset" w:color="auto" w:sz="4" w:space="0"/>
              <w:right w:val="outset" w:color="auto" w:sz="4" w:space="0"/>
            </w:tcBorders>
            <w:vAlign w:val="center"/>
          </w:tcPr>
          <w:p w14:paraId="67220786">
            <w:pPr>
              <w:jc w:val="right"/>
              <w:rPr>
                <w:rFonts w:ascii="Arial Narrow" w:hAnsi="Arial Narrow"/>
                <w:szCs w:val="21"/>
              </w:rPr>
            </w:pPr>
            <w:r>
              <w:rPr>
                <w:rFonts w:ascii="Arial Narrow" w:hAnsi="Arial Narrow" w:eastAsia="等线"/>
                <w:color w:val="000000"/>
                <w:szCs w:val="21"/>
              </w:rPr>
              <w:t xml:space="preserve">26,311.44 </w:t>
            </w:r>
          </w:p>
        </w:tc>
      </w:tr>
      <w:tr w14:paraId="12C860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C0B6C74">
            <w:pPr>
              <w:ind w:left="-19"/>
              <w:rPr>
                <w:rFonts w:hint="eastAsia"/>
                <w:color w:val="000000"/>
                <w:szCs w:val="21"/>
              </w:rPr>
            </w:pPr>
            <w:r>
              <w:rPr>
                <w:rFonts w:hint="eastAsia"/>
                <w:szCs w:val="21"/>
              </w:rPr>
              <w:t>二、营业利润（亏损以“－”号填列）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4D4C7415">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090E3096">
            <w:pPr>
              <w:jc w:val="right"/>
              <w:rPr>
                <w:rFonts w:ascii="Arial Narrow" w:hAnsi="Arial Narrow"/>
                <w:szCs w:val="21"/>
              </w:rPr>
            </w:pPr>
            <w:r>
              <w:rPr>
                <w:rFonts w:ascii="Arial Narrow" w:hAnsi="Arial Narrow" w:eastAsia="等线"/>
                <w:color w:val="000000"/>
                <w:szCs w:val="21"/>
              </w:rPr>
              <w:t xml:space="preserve">151,692.42 </w:t>
            </w:r>
          </w:p>
        </w:tc>
        <w:tc>
          <w:tcPr>
            <w:tcW w:w="986" w:type="pct"/>
            <w:tcBorders>
              <w:top w:val="outset" w:color="auto" w:sz="4" w:space="0"/>
              <w:left w:val="outset" w:color="auto" w:sz="4" w:space="0"/>
              <w:bottom w:val="outset" w:color="auto" w:sz="4" w:space="0"/>
              <w:right w:val="outset" w:color="auto" w:sz="4" w:space="0"/>
            </w:tcBorders>
            <w:vAlign w:val="center"/>
          </w:tcPr>
          <w:p w14:paraId="006A8DA3">
            <w:pPr>
              <w:jc w:val="right"/>
              <w:rPr>
                <w:rFonts w:ascii="Arial Narrow" w:hAnsi="Arial Narrow"/>
                <w:szCs w:val="21"/>
              </w:rPr>
            </w:pPr>
            <w:r>
              <w:rPr>
                <w:rFonts w:ascii="Arial Narrow" w:hAnsi="Arial Narrow" w:eastAsia="等线"/>
                <w:color w:val="000000"/>
                <w:szCs w:val="21"/>
              </w:rPr>
              <w:t xml:space="preserve">90,167,977.12 </w:t>
            </w:r>
          </w:p>
        </w:tc>
      </w:tr>
      <w:tr w14:paraId="73046A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C3C806E">
            <w:pPr>
              <w:ind w:firstLine="210" w:firstLineChars="100"/>
              <w:rPr>
                <w:rFonts w:hint="eastAsia"/>
                <w:color w:val="000000"/>
                <w:szCs w:val="21"/>
              </w:rPr>
            </w:pPr>
            <w:r>
              <w:rPr>
                <w:rFonts w:hint="eastAsia"/>
                <w:szCs w:val="21"/>
              </w:rPr>
              <w:t>加：营业外收入</w:t>
            </w:r>
          </w:p>
        </w:tc>
        <w:tc>
          <w:tcPr>
            <w:tcW w:w="643" w:type="pct"/>
            <w:tcBorders>
              <w:top w:val="outset" w:color="auto" w:sz="4" w:space="0"/>
              <w:left w:val="outset" w:color="auto" w:sz="4" w:space="0"/>
              <w:bottom w:val="outset" w:color="auto" w:sz="4" w:space="0"/>
              <w:right w:val="outset" w:color="auto" w:sz="4" w:space="0"/>
            </w:tcBorders>
          </w:tcPr>
          <w:p w14:paraId="2817D0BE">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34AFE3E0">
            <w:pPr>
              <w:jc w:val="right"/>
              <w:rPr>
                <w:rFonts w:ascii="Arial Narrow" w:hAnsi="Arial Narrow"/>
                <w:szCs w:val="21"/>
              </w:rPr>
            </w:pPr>
            <w:r>
              <w:rPr>
                <w:rFonts w:ascii="Arial Narrow" w:hAnsi="Arial Narrow" w:eastAsia="等线"/>
                <w:color w:val="000000"/>
                <w:szCs w:val="21"/>
              </w:rPr>
              <w:t xml:space="preserve">50,588.00 </w:t>
            </w:r>
          </w:p>
        </w:tc>
        <w:tc>
          <w:tcPr>
            <w:tcW w:w="986" w:type="pct"/>
            <w:tcBorders>
              <w:top w:val="outset" w:color="auto" w:sz="4" w:space="0"/>
              <w:left w:val="outset" w:color="auto" w:sz="4" w:space="0"/>
              <w:bottom w:val="outset" w:color="auto" w:sz="4" w:space="0"/>
              <w:right w:val="outset" w:color="auto" w:sz="4" w:space="0"/>
            </w:tcBorders>
            <w:vAlign w:val="center"/>
          </w:tcPr>
          <w:p w14:paraId="5AC5D836">
            <w:pPr>
              <w:jc w:val="right"/>
              <w:rPr>
                <w:rFonts w:ascii="Arial Narrow" w:hAnsi="Arial Narrow"/>
                <w:szCs w:val="21"/>
              </w:rPr>
            </w:pPr>
            <w:r>
              <w:rPr>
                <w:rFonts w:ascii="Arial Narrow" w:hAnsi="Arial Narrow" w:eastAsia="等线"/>
                <w:color w:val="000000"/>
                <w:szCs w:val="21"/>
              </w:rPr>
              <w:t xml:space="preserve">160,745.40 </w:t>
            </w:r>
          </w:p>
        </w:tc>
      </w:tr>
      <w:tr w14:paraId="7F840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B868CB2">
            <w:pPr>
              <w:ind w:firstLine="210" w:firstLineChars="100"/>
              <w:rPr>
                <w:rFonts w:hint="eastAsia"/>
                <w:color w:val="000000"/>
                <w:szCs w:val="21"/>
              </w:rPr>
            </w:pPr>
            <w:r>
              <w:rPr>
                <w:rFonts w:hint="eastAsia"/>
                <w:szCs w:val="21"/>
              </w:rPr>
              <w:t>减：营业外支出</w:t>
            </w:r>
          </w:p>
        </w:tc>
        <w:tc>
          <w:tcPr>
            <w:tcW w:w="643" w:type="pct"/>
            <w:tcBorders>
              <w:top w:val="outset" w:color="auto" w:sz="4" w:space="0"/>
              <w:left w:val="outset" w:color="auto" w:sz="4" w:space="0"/>
              <w:bottom w:val="outset" w:color="auto" w:sz="4" w:space="0"/>
              <w:right w:val="outset" w:color="auto" w:sz="4" w:space="0"/>
            </w:tcBorders>
          </w:tcPr>
          <w:p w14:paraId="43D03B8A">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268903C9">
            <w:pPr>
              <w:jc w:val="right"/>
              <w:rPr>
                <w:rFonts w:ascii="Arial Narrow" w:hAnsi="Arial Narrow"/>
                <w:szCs w:val="21"/>
              </w:rPr>
            </w:pPr>
            <w:r>
              <w:rPr>
                <w:rFonts w:ascii="Arial Narrow" w:hAnsi="Arial Narrow" w:eastAsia="等线"/>
                <w:color w:val="000000"/>
                <w:szCs w:val="21"/>
              </w:rPr>
              <w:t xml:space="preserve">31.20 </w:t>
            </w:r>
          </w:p>
        </w:tc>
        <w:tc>
          <w:tcPr>
            <w:tcW w:w="986" w:type="pct"/>
            <w:tcBorders>
              <w:top w:val="outset" w:color="auto" w:sz="4" w:space="0"/>
              <w:left w:val="outset" w:color="auto" w:sz="4" w:space="0"/>
              <w:bottom w:val="outset" w:color="auto" w:sz="4" w:space="0"/>
              <w:right w:val="outset" w:color="auto" w:sz="4" w:space="0"/>
            </w:tcBorders>
            <w:vAlign w:val="center"/>
          </w:tcPr>
          <w:p w14:paraId="71630A03">
            <w:pPr>
              <w:jc w:val="right"/>
              <w:rPr>
                <w:rFonts w:ascii="Arial Narrow" w:hAnsi="Arial Narrow"/>
                <w:szCs w:val="21"/>
              </w:rPr>
            </w:pPr>
            <w:r>
              <w:rPr>
                <w:rFonts w:ascii="Arial Narrow" w:hAnsi="Arial Narrow" w:eastAsia="等线"/>
                <w:color w:val="000000"/>
                <w:szCs w:val="21"/>
              </w:rPr>
              <w:t xml:space="preserve">6,427,411.92 </w:t>
            </w:r>
          </w:p>
        </w:tc>
      </w:tr>
      <w:tr w14:paraId="4BA81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7012924">
            <w:pPr>
              <w:ind w:left="-19"/>
              <w:rPr>
                <w:rFonts w:hint="eastAsia"/>
                <w:color w:val="000000"/>
                <w:szCs w:val="21"/>
              </w:rPr>
            </w:pPr>
            <w:r>
              <w:rPr>
                <w:rFonts w:hint="eastAsia"/>
                <w:szCs w:val="21"/>
              </w:rPr>
              <w:t>三、利润总额（亏损总额以“－”号填列）</w:t>
            </w:r>
          </w:p>
        </w:tc>
        <w:tc>
          <w:tcPr>
            <w:tcW w:w="643" w:type="pct"/>
            <w:tcBorders>
              <w:top w:val="outset" w:color="auto" w:sz="4" w:space="0"/>
              <w:left w:val="outset" w:color="auto" w:sz="4" w:space="0"/>
              <w:bottom w:val="outset" w:color="auto" w:sz="4" w:space="0"/>
              <w:right w:val="outset" w:color="auto" w:sz="4" w:space="0"/>
            </w:tcBorders>
          </w:tcPr>
          <w:p w14:paraId="5293FB28">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2170666">
            <w:pPr>
              <w:jc w:val="right"/>
              <w:rPr>
                <w:rFonts w:ascii="Arial Narrow" w:hAnsi="Arial Narrow"/>
                <w:szCs w:val="21"/>
              </w:rPr>
            </w:pPr>
            <w:r>
              <w:rPr>
                <w:rFonts w:ascii="Arial Narrow" w:hAnsi="Arial Narrow" w:eastAsia="等线"/>
                <w:color w:val="000000"/>
                <w:szCs w:val="21"/>
              </w:rPr>
              <w:t xml:space="preserve">202,249.22 </w:t>
            </w:r>
          </w:p>
        </w:tc>
        <w:tc>
          <w:tcPr>
            <w:tcW w:w="986" w:type="pct"/>
            <w:tcBorders>
              <w:top w:val="outset" w:color="auto" w:sz="4" w:space="0"/>
              <w:left w:val="outset" w:color="auto" w:sz="4" w:space="0"/>
              <w:bottom w:val="outset" w:color="auto" w:sz="4" w:space="0"/>
              <w:right w:val="outset" w:color="auto" w:sz="4" w:space="0"/>
            </w:tcBorders>
            <w:vAlign w:val="center"/>
          </w:tcPr>
          <w:p w14:paraId="185D3ADE">
            <w:pPr>
              <w:jc w:val="right"/>
              <w:rPr>
                <w:rFonts w:ascii="Arial Narrow" w:hAnsi="Arial Narrow"/>
                <w:szCs w:val="21"/>
              </w:rPr>
            </w:pPr>
            <w:r>
              <w:rPr>
                <w:rFonts w:ascii="Arial Narrow" w:hAnsi="Arial Narrow" w:eastAsia="等线"/>
                <w:color w:val="000000"/>
                <w:szCs w:val="21"/>
              </w:rPr>
              <w:t xml:space="preserve">83,901,310.60 </w:t>
            </w:r>
          </w:p>
        </w:tc>
      </w:tr>
      <w:tr w14:paraId="07CE5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0ACF85D3">
            <w:pPr>
              <w:ind w:left="-19" w:firstLine="420" w:firstLineChars="200"/>
              <w:rPr>
                <w:rFonts w:hint="eastAsia"/>
                <w:color w:val="000000"/>
                <w:szCs w:val="21"/>
              </w:rPr>
            </w:pPr>
            <w:r>
              <w:rPr>
                <w:rFonts w:hint="eastAsia"/>
                <w:szCs w:val="21"/>
              </w:rPr>
              <w:t>减：所得税费用</w:t>
            </w:r>
          </w:p>
        </w:tc>
        <w:tc>
          <w:tcPr>
            <w:tcW w:w="643" w:type="pct"/>
            <w:tcBorders>
              <w:top w:val="outset" w:color="auto" w:sz="4" w:space="0"/>
              <w:left w:val="outset" w:color="auto" w:sz="4" w:space="0"/>
              <w:bottom w:val="outset" w:color="auto" w:sz="4" w:space="0"/>
              <w:right w:val="outset" w:color="auto" w:sz="4" w:space="0"/>
            </w:tcBorders>
          </w:tcPr>
          <w:p w14:paraId="564D9C75">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A78262B">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6E5D2E83">
            <w:pPr>
              <w:jc w:val="right"/>
              <w:rPr>
                <w:rFonts w:ascii="Arial Narrow" w:hAnsi="Arial Narrow"/>
                <w:szCs w:val="21"/>
              </w:rPr>
            </w:pPr>
          </w:p>
        </w:tc>
      </w:tr>
      <w:tr w14:paraId="7A5027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10DE3E0">
            <w:pPr>
              <w:ind w:left="-19"/>
              <w:rPr>
                <w:rFonts w:hint="eastAsia"/>
                <w:color w:val="000000"/>
                <w:szCs w:val="21"/>
              </w:rPr>
            </w:pPr>
            <w:r>
              <w:rPr>
                <w:rFonts w:hint="eastAsia"/>
                <w:szCs w:val="21"/>
              </w:rPr>
              <w:t>四、净利润（净亏损以“－”号填列）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5CEBD3C0">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5E27629C">
            <w:pPr>
              <w:jc w:val="right"/>
              <w:rPr>
                <w:rFonts w:ascii="Arial Narrow" w:hAnsi="Arial Narrow"/>
                <w:szCs w:val="21"/>
              </w:rPr>
            </w:pPr>
            <w:r>
              <w:rPr>
                <w:rFonts w:ascii="Arial Narrow" w:hAnsi="Arial Narrow" w:eastAsia="等线"/>
                <w:color w:val="000000"/>
                <w:szCs w:val="21"/>
              </w:rPr>
              <w:t xml:space="preserve">202,249.22 </w:t>
            </w:r>
          </w:p>
        </w:tc>
        <w:tc>
          <w:tcPr>
            <w:tcW w:w="986" w:type="pct"/>
            <w:tcBorders>
              <w:top w:val="outset" w:color="auto" w:sz="4" w:space="0"/>
              <w:left w:val="outset" w:color="auto" w:sz="4" w:space="0"/>
              <w:bottom w:val="outset" w:color="auto" w:sz="4" w:space="0"/>
              <w:right w:val="outset" w:color="auto" w:sz="4" w:space="0"/>
            </w:tcBorders>
            <w:vAlign w:val="center"/>
          </w:tcPr>
          <w:p w14:paraId="27FEF029">
            <w:pPr>
              <w:jc w:val="right"/>
              <w:rPr>
                <w:rFonts w:ascii="Arial Narrow" w:hAnsi="Arial Narrow"/>
                <w:szCs w:val="21"/>
              </w:rPr>
            </w:pPr>
            <w:r>
              <w:rPr>
                <w:rFonts w:ascii="Arial Narrow" w:hAnsi="Arial Narrow" w:eastAsia="等线"/>
                <w:color w:val="000000"/>
                <w:szCs w:val="21"/>
              </w:rPr>
              <w:t xml:space="preserve">83,901,310.60 </w:t>
            </w:r>
          </w:p>
        </w:tc>
      </w:tr>
      <w:tr w14:paraId="4A373C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7009C062">
            <w:pPr>
              <w:ind w:firstLine="226" w:firstLineChars="108"/>
              <w:rPr>
                <w:rFonts w:hint="eastAsia"/>
              </w:rPr>
            </w:pPr>
            <w:r>
              <w:rPr>
                <w:rFonts w:hint="eastAsia"/>
                <w:szCs w:val="21"/>
              </w:rPr>
              <w:t>（一）</w:t>
            </w:r>
            <w:r>
              <w:t>持续经营净利润（净亏损以“－”号填列）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41265521">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69CB19F">
            <w:pPr>
              <w:jc w:val="right"/>
              <w:rPr>
                <w:rFonts w:ascii="Arial Narrow" w:hAnsi="Arial Narrow"/>
                <w:szCs w:val="21"/>
              </w:rPr>
            </w:pPr>
            <w:r>
              <w:rPr>
                <w:rFonts w:ascii="Arial Narrow" w:hAnsi="Arial Narrow" w:eastAsia="等线"/>
                <w:color w:val="000000"/>
                <w:szCs w:val="21"/>
              </w:rPr>
              <w:t xml:space="preserve">202,249.22 </w:t>
            </w:r>
          </w:p>
        </w:tc>
        <w:tc>
          <w:tcPr>
            <w:tcW w:w="986" w:type="pct"/>
            <w:tcBorders>
              <w:top w:val="outset" w:color="auto" w:sz="4" w:space="0"/>
              <w:left w:val="outset" w:color="auto" w:sz="4" w:space="0"/>
              <w:bottom w:val="outset" w:color="auto" w:sz="4" w:space="0"/>
              <w:right w:val="outset" w:color="auto" w:sz="4" w:space="0"/>
            </w:tcBorders>
            <w:vAlign w:val="center"/>
          </w:tcPr>
          <w:p w14:paraId="74570A68">
            <w:pPr>
              <w:jc w:val="right"/>
              <w:rPr>
                <w:rFonts w:ascii="Arial Narrow" w:hAnsi="Arial Narrow"/>
                <w:szCs w:val="21"/>
              </w:rPr>
            </w:pPr>
            <w:r>
              <w:rPr>
                <w:rFonts w:ascii="Arial Narrow" w:hAnsi="Arial Narrow" w:eastAsia="等线"/>
                <w:color w:val="000000"/>
                <w:szCs w:val="21"/>
              </w:rPr>
              <w:t xml:space="preserve">83,901,310.60 </w:t>
            </w:r>
          </w:p>
        </w:tc>
      </w:tr>
      <w:tr w14:paraId="27785F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4180889">
            <w:pPr>
              <w:ind w:firstLine="226" w:firstLineChars="108"/>
              <w:rPr>
                <w:rFonts w:hint="eastAsia"/>
              </w:rPr>
            </w:pPr>
            <w:r>
              <w:rPr>
                <w:rFonts w:hint="eastAsia"/>
              </w:rPr>
              <w:t>（二）终止经营净利润（净亏损以“－”号填列）</w:t>
            </w:r>
          </w:p>
        </w:tc>
        <w:tc>
          <w:tcPr>
            <w:tcW w:w="643" w:type="pct"/>
            <w:tcBorders>
              <w:top w:val="outset" w:color="auto" w:sz="4" w:space="0"/>
              <w:left w:val="outset" w:color="auto" w:sz="4" w:space="0"/>
              <w:bottom w:val="outset" w:color="auto" w:sz="4" w:space="0"/>
              <w:right w:val="outset" w:color="auto" w:sz="4" w:space="0"/>
            </w:tcBorders>
            <w:vAlign w:val="center"/>
          </w:tcPr>
          <w:p w14:paraId="690C3F0B">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5DB6995">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1D6E31C7">
            <w:pPr>
              <w:jc w:val="right"/>
              <w:rPr>
                <w:rFonts w:ascii="Arial Narrow" w:hAnsi="Arial Narrow"/>
                <w:szCs w:val="21"/>
              </w:rPr>
            </w:pPr>
          </w:p>
        </w:tc>
      </w:tr>
      <w:tr w14:paraId="6CF21E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FE38C07">
            <w:pPr>
              <w:ind w:leftChars="-19" w:hanging="39" w:hangingChars="19"/>
              <w:rPr>
                <w:rFonts w:hint="eastAsia"/>
                <w:szCs w:val="21"/>
              </w:rPr>
            </w:pPr>
            <w:r>
              <w:rPr>
                <w:rFonts w:hint="eastAsia"/>
                <w:szCs w:val="21"/>
              </w:rPr>
              <w:t>五、其他综合收益的税后净额</w:t>
            </w:r>
          </w:p>
        </w:tc>
        <w:tc>
          <w:tcPr>
            <w:tcW w:w="643" w:type="pct"/>
            <w:tcBorders>
              <w:top w:val="outset" w:color="auto" w:sz="4" w:space="0"/>
              <w:left w:val="outset" w:color="auto" w:sz="4" w:space="0"/>
              <w:bottom w:val="outset" w:color="auto" w:sz="4" w:space="0"/>
              <w:right w:val="outset" w:color="auto" w:sz="4" w:space="0"/>
            </w:tcBorders>
            <w:vAlign w:val="center"/>
          </w:tcPr>
          <w:p w14:paraId="677FD09E">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2D7322B4">
            <w:pPr>
              <w:jc w:val="right"/>
              <w:rPr>
                <w:rFonts w:ascii="Arial Narrow" w:hAnsi="Arial Narrow"/>
                <w:szCs w:val="21"/>
              </w:rPr>
            </w:pPr>
            <w:r>
              <w:rPr>
                <w:rFonts w:ascii="Arial Narrow" w:hAnsi="Arial Narrow" w:eastAsia="等线"/>
                <w:color w:val="000000"/>
                <w:szCs w:val="21"/>
              </w:rPr>
              <w:t xml:space="preserve">-111,585,367.37 </w:t>
            </w:r>
          </w:p>
        </w:tc>
        <w:tc>
          <w:tcPr>
            <w:tcW w:w="986" w:type="pct"/>
            <w:tcBorders>
              <w:top w:val="outset" w:color="auto" w:sz="4" w:space="0"/>
              <w:left w:val="outset" w:color="auto" w:sz="4" w:space="0"/>
              <w:bottom w:val="outset" w:color="auto" w:sz="4" w:space="0"/>
              <w:right w:val="outset" w:color="auto" w:sz="4" w:space="0"/>
            </w:tcBorders>
            <w:vAlign w:val="center"/>
          </w:tcPr>
          <w:p w14:paraId="35071D0C">
            <w:pPr>
              <w:jc w:val="right"/>
              <w:rPr>
                <w:rFonts w:ascii="Arial Narrow" w:hAnsi="Arial Narrow"/>
                <w:szCs w:val="21"/>
              </w:rPr>
            </w:pPr>
          </w:p>
        </w:tc>
      </w:tr>
      <w:tr w14:paraId="5BB79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1F7746D1">
            <w:pPr>
              <w:ind w:firstLine="210" w:firstLineChars="100"/>
              <w:rPr>
                <w:rFonts w:hint="eastAsia"/>
                <w:szCs w:val="21"/>
              </w:rPr>
            </w:pPr>
            <w:r>
              <w:rPr>
                <w:rFonts w:hint="eastAsia"/>
                <w:szCs w:val="21"/>
              </w:rPr>
              <w:t>（一）不能重分类进损益的其他综合收益</w:t>
            </w:r>
          </w:p>
        </w:tc>
        <w:tc>
          <w:tcPr>
            <w:tcW w:w="643" w:type="pct"/>
            <w:tcBorders>
              <w:top w:val="outset" w:color="auto" w:sz="4" w:space="0"/>
              <w:left w:val="outset" w:color="auto" w:sz="4" w:space="0"/>
              <w:bottom w:val="outset" w:color="auto" w:sz="4" w:space="0"/>
              <w:right w:val="outset" w:color="auto" w:sz="4" w:space="0"/>
            </w:tcBorders>
            <w:vAlign w:val="center"/>
          </w:tcPr>
          <w:p w14:paraId="3DE48A08">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0390210A">
            <w:pPr>
              <w:jc w:val="right"/>
              <w:rPr>
                <w:rFonts w:ascii="Arial Narrow" w:hAnsi="Arial Narrow"/>
                <w:szCs w:val="21"/>
              </w:rPr>
            </w:pPr>
            <w:r>
              <w:rPr>
                <w:rFonts w:ascii="Arial Narrow" w:hAnsi="Arial Narrow" w:eastAsia="等线"/>
                <w:color w:val="000000"/>
                <w:szCs w:val="21"/>
              </w:rPr>
              <w:t xml:space="preserve">-111,585,367.37 </w:t>
            </w:r>
          </w:p>
        </w:tc>
        <w:tc>
          <w:tcPr>
            <w:tcW w:w="986" w:type="pct"/>
            <w:tcBorders>
              <w:top w:val="outset" w:color="auto" w:sz="4" w:space="0"/>
              <w:left w:val="outset" w:color="auto" w:sz="4" w:space="0"/>
              <w:bottom w:val="outset" w:color="auto" w:sz="4" w:space="0"/>
              <w:right w:val="outset" w:color="auto" w:sz="4" w:space="0"/>
            </w:tcBorders>
            <w:vAlign w:val="center"/>
          </w:tcPr>
          <w:p w14:paraId="4B501EBA">
            <w:pPr>
              <w:jc w:val="right"/>
              <w:rPr>
                <w:rFonts w:ascii="Arial Narrow" w:hAnsi="Arial Narrow"/>
                <w:szCs w:val="21"/>
              </w:rPr>
            </w:pPr>
          </w:p>
        </w:tc>
      </w:tr>
      <w:tr w14:paraId="717F3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C63083A">
            <w:pPr>
              <w:ind w:firstLine="420" w:firstLineChars="200"/>
              <w:rPr>
                <w:rFonts w:hint="eastAsia"/>
                <w:szCs w:val="21"/>
              </w:rPr>
            </w:pPr>
            <w:r>
              <w:rPr>
                <w:szCs w:val="21"/>
              </w:rPr>
              <w:t>1.重新计量设定受益计划变动额</w:t>
            </w:r>
          </w:p>
        </w:tc>
        <w:tc>
          <w:tcPr>
            <w:tcW w:w="643" w:type="pct"/>
            <w:tcBorders>
              <w:top w:val="outset" w:color="auto" w:sz="4" w:space="0"/>
              <w:left w:val="outset" w:color="auto" w:sz="4" w:space="0"/>
              <w:bottom w:val="outset" w:color="auto" w:sz="4" w:space="0"/>
              <w:right w:val="outset" w:color="auto" w:sz="4" w:space="0"/>
            </w:tcBorders>
            <w:vAlign w:val="center"/>
          </w:tcPr>
          <w:p w14:paraId="6E3F5D1A">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0FE3ABF4">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2C486CB5">
            <w:pPr>
              <w:jc w:val="right"/>
              <w:rPr>
                <w:rFonts w:ascii="Arial Narrow" w:hAnsi="Arial Narrow"/>
                <w:szCs w:val="21"/>
              </w:rPr>
            </w:pPr>
          </w:p>
        </w:tc>
      </w:tr>
      <w:tr w14:paraId="43AF8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86E776F">
            <w:pPr>
              <w:ind w:firstLine="420" w:firstLineChars="200"/>
              <w:rPr>
                <w:rFonts w:hint="eastAsia"/>
                <w:szCs w:val="21"/>
              </w:rPr>
            </w:pPr>
            <w:r>
              <w:rPr>
                <w:szCs w:val="21"/>
              </w:rPr>
              <w:t>2.权益法下不能转损益的其他综合收益</w:t>
            </w:r>
          </w:p>
        </w:tc>
        <w:tc>
          <w:tcPr>
            <w:tcW w:w="643" w:type="pct"/>
            <w:tcBorders>
              <w:top w:val="outset" w:color="auto" w:sz="4" w:space="0"/>
              <w:left w:val="outset" w:color="auto" w:sz="4" w:space="0"/>
              <w:bottom w:val="outset" w:color="auto" w:sz="4" w:space="0"/>
              <w:right w:val="outset" w:color="auto" w:sz="4" w:space="0"/>
            </w:tcBorders>
            <w:vAlign w:val="center"/>
          </w:tcPr>
          <w:p w14:paraId="00E8B538">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A7CDB4A">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22F59DB2">
            <w:pPr>
              <w:jc w:val="right"/>
              <w:rPr>
                <w:rFonts w:ascii="Arial Narrow" w:hAnsi="Arial Narrow"/>
                <w:szCs w:val="21"/>
              </w:rPr>
            </w:pPr>
          </w:p>
        </w:tc>
      </w:tr>
      <w:tr w14:paraId="7B069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3FAB6A59">
            <w:pPr>
              <w:ind w:firstLine="420" w:firstLineChars="200"/>
              <w:rPr>
                <w:rFonts w:hint="eastAsia"/>
              </w:rPr>
            </w:pPr>
            <w:r>
              <w:t>3.其他权益工具投资公允价值变动</w:t>
            </w:r>
          </w:p>
        </w:tc>
        <w:tc>
          <w:tcPr>
            <w:tcW w:w="643" w:type="pct"/>
            <w:tcBorders>
              <w:top w:val="outset" w:color="auto" w:sz="4" w:space="0"/>
              <w:left w:val="outset" w:color="auto" w:sz="4" w:space="0"/>
              <w:bottom w:val="outset" w:color="auto" w:sz="4" w:space="0"/>
              <w:right w:val="outset" w:color="auto" w:sz="4" w:space="0"/>
            </w:tcBorders>
            <w:vAlign w:val="center"/>
          </w:tcPr>
          <w:p w14:paraId="2E1BB060">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74A16C2">
            <w:pPr>
              <w:jc w:val="right"/>
              <w:rPr>
                <w:rFonts w:ascii="Arial Narrow" w:hAnsi="Arial Narrow"/>
                <w:szCs w:val="21"/>
              </w:rPr>
            </w:pPr>
            <w:r>
              <w:rPr>
                <w:rFonts w:ascii="Arial Narrow" w:hAnsi="Arial Narrow" w:eastAsia="等线"/>
                <w:color w:val="000000"/>
                <w:szCs w:val="21"/>
              </w:rPr>
              <w:t xml:space="preserve">-111,585,367.37 </w:t>
            </w:r>
          </w:p>
        </w:tc>
        <w:tc>
          <w:tcPr>
            <w:tcW w:w="986" w:type="pct"/>
            <w:tcBorders>
              <w:top w:val="outset" w:color="auto" w:sz="4" w:space="0"/>
              <w:left w:val="outset" w:color="auto" w:sz="4" w:space="0"/>
              <w:bottom w:val="outset" w:color="auto" w:sz="4" w:space="0"/>
              <w:right w:val="outset" w:color="auto" w:sz="4" w:space="0"/>
            </w:tcBorders>
            <w:vAlign w:val="center"/>
          </w:tcPr>
          <w:p w14:paraId="7058000B">
            <w:pPr>
              <w:jc w:val="right"/>
              <w:rPr>
                <w:rFonts w:ascii="Arial Narrow" w:hAnsi="Arial Narrow"/>
                <w:szCs w:val="21"/>
              </w:rPr>
            </w:pPr>
          </w:p>
        </w:tc>
      </w:tr>
      <w:tr w14:paraId="1AB4D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460F27B6">
            <w:pPr>
              <w:ind w:firstLine="420" w:firstLineChars="200"/>
              <w:rPr>
                <w:rFonts w:hint="eastAsia"/>
              </w:rPr>
            </w:pPr>
            <w:r>
              <w:t>4.企业自身信用风险公允价值变动</w:t>
            </w:r>
          </w:p>
        </w:tc>
        <w:tc>
          <w:tcPr>
            <w:tcW w:w="643" w:type="pct"/>
            <w:tcBorders>
              <w:top w:val="outset" w:color="auto" w:sz="4" w:space="0"/>
              <w:left w:val="outset" w:color="auto" w:sz="4" w:space="0"/>
              <w:bottom w:val="outset" w:color="auto" w:sz="4" w:space="0"/>
              <w:right w:val="outset" w:color="auto" w:sz="4" w:space="0"/>
            </w:tcBorders>
            <w:vAlign w:val="center"/>
          </w:tcPr>
          <w:p w14:paraId="4E733BD2">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35CAC4CD">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3EECBA53">
            <w:pPr>
              <w:jc w:val="right"/>
              <w:rPr>
                <w:rFonts w:ascii="Arial Narrow" w:hAnsi="Arial Narrow"/>
                <w:szCs w:val="21"/>
              </w:rPr>
            </w:pPr>
          </w:p>
        </w:tc>
      </w:tr>
      <w:tr w14:paraId="0CAB4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5D3232F">
            <w:pPr>
              <w:ind w:firstLine="210" w:firstLineChars="100"/>
              <w:rPr>
                <w:rFonts w:hint="eastAsia"/>
                <w:szCs w:val="21"/>
              </w:rPr>
            </w:pPr>
            <w:r>
              <w:rPr>
                <w:rFonts w:hint="eastAsia"/>
                <w:szCs w:val="21"/>
              </w:rPr>
              <w:t>（二）将重分类进损益的其他综合收益</w:t>
            </w:r>
          </w:p>
        </w:tc>
        <w:tc>
          <w:tcPr>
            <w:tcW w:w="643" w:type="pct"/>
            <w:tcBorders>
              <w:top w:val="outset" w:color="auto" w:sz="4" w:space="0"/>
              <w:left w:val="outset" w:color="auto" w:sz="4" w:space="0"/>
              <w:bottom w:val="outset" w:color="auto" w:sz="4" w:space="0"/>
              <w:right w:val="outset" w:color="auto" w:sz="4" w:space="0"/>
            </w:tcBorders>
            <w:vAlign w:val="center"/>
          </w:tcPr>
          <w:p w14:paraId="2FF97AB9">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10E5CAF9">
            <w:pPr>
              <w:jc w:val="right"/>
              <w:rPr>
                <w:rFonts w:ascii="Arial Narrow" w:hAnsi="Arial Narrow"/>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5AA87C09">
            <w:pPr>
              <w:jc w:val="right"/>
              <w:rPr>
                <w:rFonts w:ascii="Arial Narrow" w:hAnsi="Arial Narrow"/>
                <w:szCs w:val="21"/>
              </w:rPr>
            </w:pPr>
          </w:p>
        </w:tc>
      </w:tr>
      <w:tr w14:paraId="3E443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vAlign w:val="center"/>
          </w:tcPr>
          <w:p w14:paraId="291A5115">
            <w:pPr>
              <w:ind w:left="-19"/>
              <w:rPr>
                <w:rFonts w:hint="eastAsia"/>
                <w:szCs w:val="21"/>
              </w:rPr>
            </w:pPr>
            <w:r>
              <w:rPr>
                <w:rFonts w:hint="eastAsia"/>
                <w:szCs w:val="21"/>
              </w:rPr>
              <w:t>六、综合收益总额</w:t>
            </w:r>
          </w:p>
        </w:tc>
        <w:tc>
          <w:tcPr>
            <w:tcW w:w="643" w:type="pct"/>
            <w:tcBorders>
              <w:top w:val="outset" w:color="auto" w:sz="4" w:space="0"/>
              <w:left w:val="outset" w:color="auto" w:sz="4" w:space="0"/>
              <w:bottom w:val="outset" w:color="auto" w:sz="4" w:space="0"/>
              <w:right w:val="outset" w:color="auto" w:sz="4" w:space="0"/>
            </w:tcBorders>
          </w:tcPr>
          <w:p w14:paraId="71A56C04">
            <w:pPr>
              <w:rPr>
                <w:rFonts w:hint="eastAsia"/>
                <w:szCs w:val="21"/>
              </w:rPr>
            </w:pPr>
          </w:p>
        </w:tc>
        <w:tc>
          <w:tcPr>
            <w:tcW w:w="883" w:type="pct"/>
            <w:tcBorders>
              <w:top w:val="outset" w:color="auto" w:sz="4" w:space="0"/>
              <w:left w:val="outset" w:color="auto" w:sz="4" w:space="0"/>
              <w:bottom w:val="outset" w:color="auto" w:sz="4" w:space="0"/>
              <w:right w:val="outset" w:color="auto" w:sz="4" w:space="0"/>
            </w:tcBorders>
            <w:vAlign w:val="center"/>
          </w:tcPr>
          <w:p w14:paraId="722DCA0A">
            <w:pPr>
              <w:jc w:val="right"/>
              <w:rPr>
                <w:rFonts w:ascii="Arial Narrow" w:hAnsi="Arial Narrow"/>
                <w:szCs w:val="21"/>
              </w:rPr>
            </w:pPr>
            <w:r>
              <w:rPr>
                <w:rFonts w:ascii="Arial Narrow" w:hAnsi="Arial Narrow" w:eastAsia="等线"/>
                <w:color w:val="000000"/>
                <w:szCs w:val="21"/>
              </w:rPr>
              <w:t xml:space="preserve">-111,383,118.15 </w:t>
            </w:r>
          </w:p>
        </w:tc>
        <w:tc>
          <w:tcPr>
            <w:tcW w:w="986" w:type="pct"/>
            <w:tcBorders>
              <w:top w:val="outset" w:color="auto" w:sz="4" w:space="0"/>
              <w:left w:val="outset" w:color="auto" w:sz="4" w:space="0"/>
              <w:bottom w:val="outset" w:color="auto" w:sz="4" w:space="0"/>
              <w:right w:val="outset" w:color="auto" w:sz="4" w:space="0"/>
            </w:tcBorders>
            <w:vAlign w:val="center"/>
          </w:tcPr>
          <w:p w14:paraId="61ACD3BF">
            <w:pPr>
              <w:jc w:val="right"/>
              <w:rPr>
                <w:rFonts w:ascii="Arial Narrow" w:hAnsi="Arial Narrow"/>
                <w:szCs w:val="21"/>
              </w:rPr>
            </w:pPr>
            <w:r>
              <w:rPr>
                <w:rFonts w:ascii="Arial Narrow" w:hAnsi="Arial Narrow" w:eastAsia="等线"/>
                <w:color w:val="000000"/>
                <w:szCs w:val="21"/>
              </w:rPr>
              <w:t xml:space="preserve">83,901,310.60 </w:t>
            </w:r>
          </w:p>
        </w:tc>
      </w:tr>
    </w:tbl>
    <w:p w14:paraId="03B66AF6">
      <w:pPr>
        <w:rPr>
          <w:rFonts w:hint="eastAsia"/>
        </w:rPr>
      </w:pPr>
    </w:p>
    <w:p w14:paraId="2228F76B">
      <w:pPr>
        <w:rPr>
          <w:rFonts w:hint="eastAsia"/>
        </w:rPr>
      </w:pPr>
    </w:p>
    <w:p w14:paraId="083213E5">
      <w:pPr>
        <w:snapToGrid w:val="0"/>
        <w:spacing w:line="240" w:lineRule="atLeast"/>
        <w:ind w:right="-153" w:rightChars="-73"/>
        <w:rPr>
          <w:rFonts w:hint="eastAsia" w:cs="宋体-方正超大字符集"/>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4fbc09e50eb44a79e1d4314733be4f9"/>
          <w:id w:val="494531255"/>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7d9f750e6c04845b9e34ad6da976b56"/>
          <w:id w:val="-888721812"/>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8515644d08d42edafc210cf569b9b08"/>
          <w:id w:val="1070387610"/>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bookmarkEnd w:id="207"/>
    <w:p w14:paraId="0431F856">
      <w:pPr>
        <w:rPr>
          <w:rFonts w:hint="eastAsia"/>
          <w:color w:val="FF0000"/>
          <w:szCs w:val="21"/>
        </w:rPr>
      </w:pPr>
    </w:p>
    <w:bookmarkEnd w:id="208"/>
    <w:p w14:paraId="0C109AF1">
      <w:pPr>
        <w:rPr>
          <w:rFonts w:hint="eastAsia"/>
          <w:color w:val="FF0000"/>
          <w:szCs w:val="21"/>
        </w:rPr>
      </w:pPr>
      <w:bookmarkStart w:id="209" w:name="_Hlk24038756"/>
      <w:bookmarkEnd w:id="209"/>
    </w:p>
    <w:p w14:paraId="133394C8">
      <w:pPr>
        <w:rPr>
          <w:rFonts w:hint="eastAsia"/>
          <w:color w:val="FF0000"/>
          <w:szCs w:val="21"/>
        </w:rPr>
      </w:pPr>
    </w:p>
    <w:p w14:paraId="7414BCA8">
      <w:pPr>
        <w:rPr>
          <w:rFonts w:hint="eastAsia"/>
          <w:color w:val="FF0000"/>
          <w:szCs w:val="21"/>
        </w:rPr>
      </w:pPr>
    </w:p>
    <w:p w14:paraId="5A966035">
      <w:pPr>
        <w:jc w:val="center"/>
        <w:outlineLvl w:val="2"/>
        <w:rPr>
          <w:rFonts w:hint="eastAsia"/>
          <w:b/>
          <w:bCs/>
          <w:szCs w:val="21"/>
        </w:rPr>
      </w:pPr>
      <w:bookmarkStart w:id="210" w:name="_Hlk1156136"/>
      <w:r>
        <w:rPr>
          <w:rFonts w:hint="eastAsia"/>
          <w:b/>
          <w:bCs/>
          <w:szCs w:val="21"/>
        </w:rPr>
        <w:t>合并</w:t>
      </w:r>
      <w:r>
        <w:rPr>
          <w:b/>
          <w:bCs/>
          <w:szCs w:val="21"/>
        </w:rPr>
        <w:t>现金流量表</w:t>
      </w:r>
    </w:p>
    <w:p w14:paraId="55F5AFBD">
      <w:pPr>
        <w:jc w:val="center"/>
        <w:rPr>
          <w:rFonts w:hint="eastAsia"/>
          <w:b/>
          <w:bCs/>
          <w:szCs w:val="21"/>
        </w:rPr>
      </w:pPr>
      <w:r>
        <w:rPr>
          <w:szCs w:val="21"/>
        </w:rPr>
        <w:t>2024年</w:t>
      </w:r>
      <w:r>
        <w:rPr>
          <w:rFonts w:hint="eastAsia"/>
          <w:szCs w:val="21"/>
        </w:rPr>
        <w:t>1—12</w:t>
      </w:r>
      <w:r>
        <w:rPr>
          <w:szCs w:val="21"/>
        </w:rPr>
        <w:t>月</w:t>
      </w:r>
    </w:p>
    <w:p w14:paraId="4D63C15F">
      <w:pPr>
        <w:jc w:val="right"/>
        <w:rPr>
          <w:rFonts w:hint="eastAsia"/>
          <w:szCs w:val="21"/>
        </w:rPr>
      </w:pPr>
      <w:r>
        <w:rPr>
          <w:szCs w:val="21"/>
        </w:rPr>
        <w:t>单位</w:t>
      </w:r>
      <w:r>
        <w:rPr>
          <w:rFonts w:hint="eastAsia"/>
          <w:szCs w:val="21"/>
        </w:rPr>
        <w:t>：</w:t>
      </w:r>
      <w:sdt>
        <w:sdtPr>
          <w:rPr>
            <w:rFonts w:hint="eastAsia"/>
            <w:szCs w:val="21"/>
          </w:rPr>
          <w:alias w:val="单位：合并现金流量表"/>
          <w:tag w:val="_GBC_7049413ddb8f4e5eac9cb9fb4f802433"/>
          <w:id w:val="20871804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19370167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90"/>
        <w:gridCol w:w="992"/>
        <w:gridCol w:w="1701"/>
        <w:gridCol w:w="1740"/>
      </w:tblGrid>
      <w:tr w14:paraId="7E52C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488" w:type="pct"/>
            <w:tcBorders>
              <w:top w:val="outset" w:color="auto" w:sz="4" w:space="0"/>
              <w:left w:val="outset" w:color="auto" w:sz="4" w:space="0"/>
              <w:bottom w:val="outset" w:color="auto" w:sz="4" w:space="0"/>
              <w:right w:val="outset" w:color="auto" w:sz="4" w:space="0"/>
            </w:tcBorders>
          </w:tcPr>
          <w:sdt>
            <w:sdtPr>
              <w:tag w:val="_PLD_5a1e687815424d54a4dd8744648aa3cb"/>
              <w:id w:val="-1783483339"/>
            </w:sdtPr>
            <w:sdtContent>
              <w:p w14:paraId="06FE3FF1">
                <w:pPr>
                  <w:jc w:val="center"/>
                  <w:rPr>
                    <w:rFonts w:hint="eastAsia"/>
                    <w:b/>
                  </w:rPr>
                </w:pPr>
                <w:r>
                  <w:rPr>
                    <w:rFonts w:hint="eastAsia"/>
                    <w:b/>
                  </w:rPr>
                  <w:t>项目</w:t>
                </w:r>
              </w:p>
            </w:sdtContent>
          </w:sdt>
        </w:tc>
        <w:tc>
          <w:tcPr>
            <w:tcW w:w="562" w:type="pct"/>
            <w:tcBorders>
              <w:top w:val="outset" w:color="auto" w:sz="4" w:space="0"/>
              <w:left w:val="outset" w:color="auto" w:sz="4" w:space="0"/>
              <w:bottom w:val="outset" w:color="auto" w:sz="4" w:space="0"/>
              <w:right w:val="outset" w:color="auto" w:sz="4" w:space="0"/>
            </w:tcBorders>
          </w:tcPr>
          <w:sdt>
            <w:sdtPr>
              <w:tag w:val="_PLD_3c902166982f4ea18b3f3d11c1fe2190"/>
              <w:id w:val="678155368"/>
            </w:sdtPr>
            <w:sdtContent>
              <w:p w14:paraId="62E7BFA3">
                <w:pPr>
                  <w:jc w:val="center"/>
                  <w:rPr>
                    <w:rFonts w:hint="eastAsia"/>
                    <w:b/>
                  </w:rPr>
                </w:pPr>
                <w:r>
                  <w:rPr>
                    <w:rFonts w:hint="eastAsia"/>
                    <w:b/>
                  </w:rPr>
                  <w:t>附注</w:t>
                </w:r>
              </w:p>
            </w:sdtContent>
          </w:sdt>
        </w:tc>
        <w:tc>
          <w:tcPr>
            <w:tcW w:w="964" w:type="pct"/>
            <w:tcBorders>
              <w:top w:val="outset" w:color="auto" w:sz="4" w:space="0"/>
              <w:left w:val="outset" w:color="auto" w:sz="4" w:space="0"/>
              <w:bottom w:val="outset" w:color="auto" w:sz="4" w:space="0"/>
              <w:right w:val="outset" w:color="auto" w:sz="4" w:space="0"/>
            </w:tcBorders>
          </w:tcPr>
          <w:sdt>
            <w:sdtPr>
              <w:tag w:val="_PLD_29a06cc719e5467e82013eb798ebb143"/>
              <w:id w:val="-185591639"/>
            </w:sdtPr>
            <w:sdtContent>
              <w:p w14:paraId="6FAFCE2B">
                <w:pPr>
                  <w:autoSpaceDE w:val="0"/>
                  <w:autoSpaceDN w:val="0"/>
                  <w:adjustRightInd w:val="0"/>
                  <w:jc w:val="center"/>
                  <w:rPr>
                    <w:rFonts w:hint="eastAsia"/>
                    <w:b/>
                  </w:rPr>
                </w:pPr>
                <w:r>
                  <w:rPr>
                    <w:rFonts w:hint="eastAsia"/>
                    <w:b/>
                  </w:rPr>
                  <w:t>2024年度</w:t>
                </w:r>
              </w:p>
            </w:sdtContent>
          </w:sdt>
        </w:tc>
        <w:tc>
          <w:tcPr>
            <w:tcW w:w="986" w:type="pct"/>
            <w:tcBorders>
              <w:top w:val="outset" w:color="auto" w:sz="4" w:space="0"/>
              <w:left w:val="outset" w:color="auto" w:sz="4" w:space="0"/>
              <w:bottom w:val="outset" w:color="auto" w:sz="4" w:space="0"/>
              <w:right w:val="outset" w:color="auto" w:sz="4" w:space="0"/>
            </w:tcBorders>
          </w:tcPr>
          <w:sdt>
            <w:sdtPr>
              <w:tag w:val="_PLD_0bd5effed8234e5eb21199f6669657c2"/>
              <w:id w:val="1403265180"/>
            </w:sdtPr>
            <w:sdtContent>
              <w:p w14:paraId="46852E6C">
                <w:pPr>
                  <w:autoSpaceDE w:val="0"/>
                  <w:autoSpaceDN w:val="0"/>
                  <w:adjustRightInd w:val="0"/>
                  <w:jc w:val="center"/>
                  <w:rPr>
                    <w:rFonts w:hint="eastAsia"/>
                    <w:b/>
                  </w:rPr>
                </w:pPr>
                <w:r>
                  <w:rPr>
                    <w:rFonts w:hint="eastAsia"/>
                    <w:b/>
                  </w:rPr>
                  <w:t>2023年度</w:t>
                </w:r>
              </w:p>
            </w:sdtContent>
          </w:sdt>
        </w:tc>
      </w:tr>
      <w:tr w14:paraId="0FBF46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03c8258c1684fb989d96332af6834de"/>
            <w:id w:val="1125585169"/>
          </w:sdtPr>
          <w:sdtContent>
            <w:tc>
              <w:tcPr>
                <w:tcW w:w="5000" w:type="pct"/>
                <w:gridSpan w:val="4"/>
                <w:tcBorders>
                  <w:top w:val="outset" w:color="auto" w:sz="4" w:space="0"/>
                  <w:left w:val="outset" w:color="auto" w:sz="4" w:space="0"/>
                  <w:bottom w:val="outset" w:color="auto" w:sz="4" w:space="0"/>
                  <w:right w:val="outset" w:color="auto" w:sz="4" w:space="0"/>
                </w:tcBorders>
              </w:tcPr>
              <w:p w14:paraId="48AF7F9B">
                <w:pPr>
                  <w:rPr>
                    <w:rFonts w:hint="eastAsia"/>
                    <w:szCs w:val="21"/>
                  </w:rPr>
                </w:pPr>
                <w:r>
                  <w:rPr>
                    <w:rFonts w:hint="eastAsia"/>
                    <w:b/>
                    <w:bCs/>
                    <w:szCs w:val="21"/>
                  </w:rPr>
                  <w:t>一、经营活动产生的现金流量：</w:t>
                </w:r>
              </w:p>
            </w:tc>
          </w:sdtContent>
        </w:sdt>
      </w:tr>
      <w:tr w14:paraId="0F9A30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37F2649D">
            <w:pPr>
              <w:ind w:firstLine="210" w:firstLineChars="100"/>
              <w:rPr>
                <w:rFonts w:hint="eastAsia"/>
                <w:color w:val="000000"/>
                <w:szCs w:val="21"/>
              </w:rPr>
            </w:pPr>
            <w:r>
              <w:rPr>
                <w:rFonts w:hint="eastAsia"/>
                <w:szCs w:val="21"/>
              </w:rPr>
              <w:t>销售商品、提供劳务收到的现金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690AA1D7">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7EFA7E5">
            <w:pPr>
              <w:jc w:val="right"/>
              <w:rPr>
                <w:rFonts w:hint="eastAsia"/>
                <w:szCs w:val="21"/>
              </w:rPr>
            </w:pPr>
            <w:r>
              <w:rPr>
                <w:rFonts w:ascii="Arial Narrow" w:hAnsi="Arial Narrow" w:eastAsia="等线"/>
                <w:color w:val="000000"/>
                <w:szCs w:val="21"/>
              </w:rPr>
              <w:t xml:space="preserve">9,872,562,555.63 </w:t>
            </w:r>
          </w:p>
        </w:tc>
        <w:tc>
          <w:tcPr>
            <w:tcW w:w="986" w:type="pct"/>
            <w:tcBorders>
              <w:top w:val="outset" w:color="auto" w:sz="4" w:space="0"/>
              <w:left w:val="outset" w:color="auto" w:sz="4" w:space="0"/>
              <w:bottom w:val="outset" w:color="auto" w:sz="4" w:space="0"/>
              <w:right w:val="outset" w:color="auto" w:sz="4" w:space="0"/>
            </w:tcBorders>
            <w:vAlign w:val="center"/>
          </w:tcPr>
          <w:p w14:paraId="2008E086">
            <w:pPr>
              <w:jc w:val="right"/>
              <w:rPr>
                <w:rFonts w:hint="eastAsia"/>
                <w:szCs w:val="21"/>
              </w:rPr>
            </w:pPr>
            <w:r>
              <w:rPr>
                <w:rFonts w:ascii="Arial Narrow" w:hAnsi="Arial Narrow" w:eastAsia="等线"/>
                <w:color w:val="000000"/>
                <w:szCs w:val="21"/>
              </w:rPr>
              <w:t xml:space="preserve">11,453,957,387.81 </w:t>
            </w:r>
          </w:p>
        </w:tc>
      </w:tr>
      <w:tr w14:paraId="463EB2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108DCD6B">
            <w:pPr>
              <w:ind w:firstLine="210" w:firstLineChars="100"/>
              <w:rPr>
                <w:rFonts w:hint="eastAsia"/>
                <w:szCs w:val="21"/>
              </w:rPr>
            </w:pPr>
            <w:r>
              <w:rPr>
                <w:rFonts w:hint="eastAsia"/>
                <w:szCs w:val="21"/>
              </w:rPr>
              <w:t>收到的税费返还</w:t>
            </w:r>
          </w:p>
        </w:tc>
        <w:tc>
          <w:tcPr>
            <w:tcW w:w="562" w:type="pct"/>
            <w:tcBorders>
              <w:top w:val="outset" w:color="auto" w:sz="4" w:space="0"/>
              <w:left w:val="outset" w:color="auto" w:sz="4" w:space="0"/>
              <w:bottom w:val="outset" w:color="auto" w:sz="4" w:space="0"/>
              <w:right w:val="outset" w:color="auto" w:sz="4" w:space="0"/>
            </w:tcBorders>
            <w:vAlign w:val="center"/>
          </w:tcPr>
          <w:p w14:paraId="2B0E4EAD">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EECFD4A">
            <w:pPr>
              <w:jc w:val="right"/>
              <w:rPr>
                <w:rFonts w:hint="eastAsia"/>
                <w:szCs w:val="21"/>
              </w:rPr>
            </w:pPr>
            <w:r>
              <w:rPr>
                <w:rFonts w:ascii="Arial Narrow" w:hAnsi="Arial Narrow" w:eastAsia="等线"/>
                <w:color w:val="000000"/>
                <w:szCs w:val="21"/>
              </w:rPr>
              <w:t xml:space="preserve">61,692,622.78 </w:t>
            </w:r>
          </w:p>
        </w:tc>
        <w:tc>
          <w:tcPr>
            <w:tcW w:w="986" w:type="pct"/>
            <w:tcBorders>
              <w:top w:val="outset" w:color="auto" w:sz="4" w:space="0"/>
              <w:left w:val="outset" w:color="auto" w:sz="4" w:space="0"/>
              <w:bottom w:val="outset" w:color="auto" w:sz="4" w:space="0"/>
              <w:right w:val="outset" w:color="auto" w:sz="4" w:space="0"/>
            </w:tcBorders>
            <w:vAlign w:val="center"/>
          </w:tcPr>
          <w:p w14:paraId="44BDF3CC">
            <w:pPr>
              <w:jc w:val="right"/>
              <w:rPr>
                <w:rFonts w:hint="eastAsia"/>
                <w:szCs w:val="21"/>
              </w:rPr>
            </w:pPr>
            <w:r>
              <w:rPr>
                <w:rFonts w:ascii="Arial Narrow" w:hAnsi="Arial Narrow" w:eastAsia="等线"/>
                <w:color w:val="000000"/>
                <w:szCs w:val="21"/>
              </w:rPr>
              <w:t xml:space="preserve">92,777,234.67 </w:t>
            </w:r>
          </w:p>
        </w:tc>
      </w:tr>
      <w:tr w14:paraId="7C95D1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6E610613">
            <w:pPr>
              <w:ind w:firstLine="210" w:firstLineChars="100"/>
              <w:rPr>
                <w:rFonts w:hint="eastAsia"/>
                <w:szCs w:val="21"/>
              </w:rPr>
            </w:pPr>
            <w:r>
              <w:rPr>
                <w:rFonts w:hint="eastAsia"/>
                <w:szCs w:val="21"/>
              </w:rPr>
              <w:t>收到其他与经营活动有关的现金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1B330AC7">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10314226">
            <w:pPr>
              <w:jc w:val="right"/>
              <w:rPr>
                <w:rFonts w:hint="eastAsia"/>
                <w:szCs w:val="21"/>
              </w:rPr>
            </w:pPr>
            <w:r>
              <w:rPr>
                <w:rFonts w:ascii="Arial Narrow" w:hAnsi="Arial Narrow" w:eastAsia="等线"/>
                <w:color w:val="000000"/>
                <w:szCs w:val="21"/>
              </w:rPr>
              <w:t xml:space="preserve">787,593,311.80 </w:t>
            </w:r>
          </w:p>
        </w:tc>
        <w:tc>
          <w:tcPr>
            <w:tcW w:w="986" w:type="pct"/>
            <w:tcBorders>
              <w:top w:val="outset" w:color="auto" w:sz="4" w:space="0"/>
              <w:left w:val="outset" w:color="auto" w:sz="4" w:space="0"/>
              <w:bottom w:val="outset" w:color="auto" w:sz="4" w:space="0"/>
              <w:right w:val="outset" w:color="auto" w:sz="4" w:space="0"/>
            </w:tcBorders>
            <w:vAlign w:val="center"/>
          </w:tcPr>
          <w:p w14:paraId="4CC354B7">
            <w:pPr>
              <w:jc w:val="right"/>
              <w:rPr>
                <w:rFonts w:hint="eastAsia"/>
                <w:szCs w:val="21"/>
              </w:rPr>
            </w:pPr>
            <w:r>
              <w:rPr>
                <w:rFonts w:ascii="Arial Narrow" w:hAnsi="Arial Narrow" w:eastAsia="等线"/>
                <w:color w:val="000000"/>
                <w:szCs w:val="21"/>
              </w:rPr>
              <w:t xml:space="preserve">827,287,327.37 </w:t>
            </w:r>
          </w:p>
        </w:tc>
      </w:tr>
      <w:tr w14:paraId="7E4C0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1A8231D3">
            <w:pPr>
              <w:ind w:firstLine="420" w:firstLineChars="200"/>
              <w:rPr>
                <w:rFonts w:hint="eastAsia"/>
                <w:color w:val="000000"/>
                <w:szCs w:val="21"/>
              </w:rPr>
            </w:pPr>
            <w:r>
              <w:rPr>
                <w:rFonts w:hint="eastAsia"/>
                <w:szCs w:val="21"/>
              </w:rPr>
              <w:t>经营活动现金流入小计</w:t>
            </w:r>
          </w:p>
        </w:tc>
        <w:tc>
          <w:tcPr>
            <w:tcW w:w="562" w:type="pct"/>
            <w:tcBorders>
              <w:top w:val="outset" w:color="auto" w:sz="4" w:space="0"/>
              <w:left w:val="outset" w:color="auto" w:sz="4" w:space="0"/>
              <w:bottom w:val="outset" w:color="auto" w:sz="4" w:space="0"/>
              <w:right w:val="outset" w:color="auto" w:sz="4" w:space="0"/>
            </w:tcBorders>
            <w:vAlign w:val="center"/>
          </w:tcPr>
          <w:p w14:paraId="0FBE2B6B">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D947174">
            <w:pPr>
              <w:jc w:val="right"/>
              <w:rPr>
                <w:rFonts w:hint="eastAsia"/>
                <w:szCs w:val="21"/>
              </w:rPr>
            </w:pPr>
            <w:r>
              <w:rPr>
                <w:rFonts w:ascii="Arial Narrow" w:hAnsi="Arial Narrow" w:eastAsia="等线"/>
                <w:color w:val="000000"/>
                <w:szCs w:val="21"/>
              </w:rPr>
              <w:t xml:space="preserve">10,721,848,490.21 </w:t>
            </w:r>
          </w:p>
        </w:tc>
        <w:tc>
          <w:tcPr>
            <w:tcW w:w="986" w:type="pct"/>
            <w:tcBorders>
              <w:top w:val="outset" w:color="auto" w:sz="4" w:space="0"/>
              <w:left w:val="outset" w:color="auto" w:sz="4" w:space="0"/>
              <w:bottom w:val="outset" w:color="auto" w:sz="4" w:space="0"/>
              <w:right w:val="outset" w:color="auto" w:sz="4" w:space="0"/>
            </w:tcBorders>
            <w:vAlign w:val="center"/>
          </w:tcPr>
          <w:p w14:paraId="12D130DB">
            <w:pPr>
              <w:jc w:val="right"/>
              <w:rPr>
                <w:rFonts w:hint="eastAsia"/>
                <w:szCs w:val="21"/>
              </w:rPr>
            </w:pPr>
            <w:r>
              <w:rPr>
                <w:rFonts w:ascii="Arial Narrow" w:hAnsi="Arial Narrow" w:eastAsia="等线"/>
                <w:color w:val="000000"/>
                <w:szCs w:val="21"/>
              </w:rPr>
              <w:t xml:space="preserve">12,374,021,949.85 </w:t>
            </w:r>
          </w:p>
        </w:tc>
      </w:tr>
      <w:tr w14:paraId="2F2E7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44BBF828">
            <w:pPr>
              <w:ind w:firstLine="210" w:firstLineChars="100"/>
              <w:rPr>
                <w:rFonts w:hint="eastAsia"/>
                <w:szCs w:val="21"/>
              </w:rPr>
            </w:pPr>
            <w:r>
              <w:rPr>
                <w:rFonts w:hint="eastAsia"/>
                <w:szCs w:val="21"/>
              </w:rPr>
              <w:t>购买商品、接受劳务支付的现金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7A2BDF49">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021DBAD">
            <w:pPr>
              <w:jc w:val="right"/>
              <w:rPr>
                <w:rFonts w:hint="eastAsia"/>
                <w:szCs w:val="21"/>
              </w:rPr>
            </w:pPr>
            <w:r>
              <w:rPr>
                <w:rFonts w:ascii="Arial Narrow" w:hAnsi="Arial Narrow" w:eastAsia="等线"/>
                <w:color w:val="000000"/>
                <w:szCs w:val="21"/>
              </w:rPr>
              <w:t xml:space="preserve">7,724,971,129.44 </w:t>
            </w:r>
          </w:p>
        </w:tc>
        <w:tc>
          <w:tcPr>
            <w:tcW w:w="986" w:type="pct"/>
            <w:tcBorders>
              <w:top w:val="outset" w:color="auto" w:sz="4" w:space="0"/>
              <w:left w:val="outset" w:color="auto" w:sz="4" w:space="0"/>
              <w:bottom w:val="outset" w:color="auto" w:sz="4" w:space="0"/>
              <w:right w:val="outset" w:color="auto" w:sz="4" w:space="0"/>
            </w:tcBorders>
            <w:vAlign w:val="center"/>
          </w:tcPr>
          <w:p w14:paraId="2DF51B8B">
            <w:pPr>
              <w:jc w:val="right"/>
              <w:rPr>
                <w:rFonts w:hint="eastAsia"/>
                <w:szCs w:val="21"/>
              </w:rPr>
            </w:pPr>
            <w:r>
              <w:rPr>
                <w:rFonts w:ascii="Arial Narrow" w:hAnsi="Arial Narrow" w:eastAsia="等线"/>
                <w:color w:val="000000"/>
                <w:szCs w:val="21"/>
              </w:rPr>
              <w:t xml:space="preserve">7,898,763,118.58 </w:t>
            </w:r>
          </w:p>
        </w:tc>
      </w:tr>
      <w:tr w14:paraId="5D6B4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67228F5D">
            <w:pPr>
              <w:ind w:firstLine="210" w:firstLineChars="100"/>
              <w:rPr>
                <w:rFonts w:hint="eastAsia"/>
                <w:szCs w:val="21"/>
              </w:rPr>
            </w:pPr>
            <w:r>
              <w:rPr>
                <w:rFonts w:hint="eastAsia"/>
                <w:szCs w:val="21"/>
              </w:rPr>
              <w:t>支付给职工及为职工支付的现金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33E2D92C">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0B24687">
            <w:pPr>
              <w:jc w:val="right"/>
              <w:rPr>
                <w:rFonts w:hint="eastAsia"/>
                <w:szCs w:val="21"/>
              </w:rPr>
            </w:pPr>
            <w:r>
              <w:rPr>
                <w:rFonts w:ascii="Arial Narrow" w:hAnsi="Arial Narrow" w:eastAsia="等线"/>
                <w:color w:val="000000"/>
                <w:szCs w:val="21"/>
              </w:rPr>
              <w:t xml:space="preserve">1,590,773,889.14 </w:t>
            </w:r>
          </w:p>
        </w:tc>
        <w:tc>
          <w:tcPr>
            <w:tcW w:w="986" w:type="pct"/>
            <w:tcBorders>
              <w:top w:val="outset" w:color="auto" w:sz="4" w:space="0"/>
              <w:left w:val="outset" w:color="auto" w:sz="4" w:space="0"/>
              <w:bottom w:val="outset" w:color="auto" w:sz="4" w:space="0"/>
              <w:right w:val="outset" w:color="auto" w:sz="4" w:space="0"/>
            </w:tcBorders>
            <w:vAlign w:val="center"/>
          </w:tcPr>
          <w:p w14:paraId="72485ED7">
            <w:pPr>
              <w:jc w:val="right"/>
              <w:rPr>
                <w:rFonts w:hint="eastAsia"/>
                <w:szCs w:val="21"/>
              </w:rPr>
            </w:pPr>
            <w:r>
              <w:rPr>
                <w:rFonts w:ascii="Arial Narrow" w:hAnsi="Arial Narrow" w:eastAsia="等线"/>
                <w:color w:val="000000"/>
                <w:szCs w:val="21"/>
              </w:rPr>
              <w:t xml:space="preserve">1,621,996,069.77 </w:t>
            </w:r>
          </w:p>
        </w:tc>
      </w:tr>
      <w:tr w14:paraId="1B501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7B534FB">
            <w:pPr>
              <w:ind w:firstLine="210" w:firstLineChars="100"/>
              <w:rPr>
                <w:rFonts w:hint="eastAsia"/>
                <w:szCs w:val="21"/>
              </w:rPr>
            </w:pPr>
            <w:r>
              <w:rPr>
                <w:rFonts w:hint="eastAsia"/>
                <w:szCs w:val="21"/>
              </w:rPr>
              <w:t>支付的各项税费</w:t>
            </w:r>
          </w:p>
        </w:tc>
        <w:tc>
          <w:tcPr>
            <w:tcW w:w="562" w:type="pct"/>
            <w:tcBorders>
              <w:top w:val="outset" w:color="auto" w:sz="4" w:space="0"/>
              <w:left w:val="outset" w:color="auto" w:sz="4" w:space="0"/>
              <w:bottom w:val="outset" w:color="auto" w:sz="4" w:space="0"/>
              <w:right w:val="outset" w:color="auto" w:sz="4" w:space="0"/>
            </w:tcBorders>
            <w:vAlign w:val="center"/>
          </w:tcPr>
          <w:p w14:paraId="7DBE885A">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1181D89D">
            <w:pPr>
              <w:jc w:val="right"/>
              <w:rPr>
                <w:rFonts w:hint="eastAsia"/>
                <w:szCs w:val="21"/>
              </w:rPr>
            </w:pPr>
            <w:r>
              <w:rPr>
                <w:rFonts w:ascii="Arial Narrow" w:hAnsi="Arial Narrow" w:eastAsia="等线"/>
                <w:color w:val="000000"/>
                <w:szCs w:val="21"/>
              </w:rPr>
              <w:t xml:space="preserve">271,442,724.97 </w:t>
            </w:r>
          </w:p>
        </w:tc>
        <w:tc>
          <w:tcPr>
            <w:tcW w:w="986" w:type="pct"/>
            <w:tcBorders>
              <w:top w:val="outset" w:color="auto" w:sz="4" w:space="0"/>
              <w:left w:val="outset" w:color="auto" w:sz="4" w:space="0"/>
              <w:bottom w:val="outset" w:color="auto" w:sz="4" w:space="0"/>
              <w:right w:val="outset" w:color="auto" w:sz="4" w:space="0"/>
            </w:tcBorders>
            <w:vAlign w:val="center"/>
          </w:tcPr>
          <w:p w14:paraId="3D5FB283">
            <w:pPr>
              <w:jc w:val="right"/>
              <w:rPr>
                <w:rFonts w:hint="eastAsia"/>
                <w:szCs w:val="21"/>
              </w:rPr>
            </w:pPr>
            <w:r>
              <w:rPr>
                <w:rFonts w:ascii="Arial Narrow" w:hAnsi="Arial Narrow" w:eastAsia="等线"/>
                <w:color w:val="000000"/>
                <w:szCs w:val="21"/>
              </w:rPr>
              <w:t xml:space="preserve">444,782,213.85 </w:t>
            </w:r>
          </w:p>
        </w:tc>
      </w:tr>
      <w:tr w14:paraId="0D44E7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6B7F6CBA">
            <w:pPr>
              <w:ind w:firstLine="210" w:firstLineChars="100"/>
              <w:rPr>
                <w:rFonts w:hint="eastAsia"/>
                <w:szCs w:val="21"/>
              </w:rPr>
            </w:pPr>
            <w:r>
              <w:rPr>
                <w:rFonts w:hint="eastAsia"/>
                <w:szCs w:val="21"/>
              </w:rPr>
              <w:t>支付其他与经营活动有关的现金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127B1029">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1627C0A6">
            <w:pPr>
              <w:jc w:val="right"/>
              <w:rPr>
                <w:rFonts w:hint="eastAsia"/>
                <w:szCs w:val="21"/>
              </w:rPr>
            </w:pPr>
            <w:r>
              <w:rPr>
                <w:rFonts w:ascii="Arial Narrow" w:hAnsi="Arial Narrow" w:eastAsia="等线"/>
                <w:color w:val="000000"/>
                <w:szCs w:val="21"/>
              </w:rPr>
              <w:t xml:space="preserve">1,019,112,046.72 </w:t>
            </w:r>
          </w:p>
        </w:tc>
        <w:tc>
          <w:tcPr>
            <w:tcW w:w="986" w:type="pct"/>
            <w:tcBorders>
              <w:top w:val="outset" w:color="auto" w:sz="4" w:space="0"/>
              <w:left w:val="outset" w:color="auto" w:sz="4" w:space="0"/>
              <w:bottom w:val="outset" w:color="auto" w:sz="4" w:space="0"/>
              <w:right w:val="outset" w:color="auto" w:sz="4" w:space="0"/>
            </w:tcBorders>
            <w:vAlign w:val="center"/>
          </w:tcPr>
          <w:p w14:paraId="0E166C49">
            <w:pPr>
              <w:jc w:val="right"/>
              <w:rPr>
                <w:rFonts w:hint="eastAsia"/>
                <w:szCs w:val="21"/>
              </w:rPr>
            </w:pPr>
            <w:r>
              <w:rPr>
                <w:rFonts w:ascii="Arial Narrow" w:hAnsi="Arial Narrow" w:eastAsia="等线"/>
                <w:color w:val="000000"/>
                <w:szCs w:val="21"/>
              </w:rPr>
              <w:t xml:space="preserve">1,290,418,545.25 </w:t>
            </w:r>
          </w:p>
        </w:tc>
      </w:tr>
      <w:tr w14:paraId="4E7D29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7603F27">
            <w:pPr>
              <w:ind w:firstLine="420" w:firstLineChars="200"/>
              <w:rPr>
                <w:rFonts w:hint="eastAsia"/>
                <w:color w:val="000000"/>
                <w:szCs w:val="21"/>
              </w:rPr>
            </w:pPr>
            <w:r>
              <w:rPr>
                <w:rFonts w:hint="eastAsia"/>
                <w:szCs w:val="21"/>
              </w:rPr>
              <w:t>经营活动现金流出小计</w:t>
            </w:r>
          </w:p>
        </w:tc>
        <w:tc>
          <w:tcPr>
            <w:tcW w:w="562" w:type="pct"/>
            <w:tcBorders>
              <w:top w:val="outset" w:color="auto" w:sz="4" w:space="0"/>
              <w:left w:val="outset" w:color="auto" w:sz="4" w:space="0"/>
              <w:bottom w:val="outset" w:color="auto" w:sz="4" w:space="0"/>
              <w:right w:val="outset" w:color="auto" w:sz="4" w:space="0"/>
            </w:tcBorders>
            <w:vAlign w:val="center"/>
          </w:tcPr>
          <w:p w14:paraId="326390D0">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0B746A4">
            <w:pPr>
              <w:jc w:val="right"/>
              <w:rPr>
                <w:rFonts w:hint="eastAsia"/>
                <w:szCs w:val="21"/>
              </w:rPr>
            </w:pPr>
            <w:r>
              <w:rPr>
                <w:rFonts w:ascii="Arial Narrow" w:hAnsi="Arial Narrow" w:eastAsia="等线"/>
                <w:color w:val="000000"/>
                <w:szCs w:val="21"/>
              </w:rPr>
              <w:t xml:space="preserve">10,606,299,790.27 </w:t>
            </w:r>
          </w:p>
        </w:tc>
        <w:tc>
          <w:tcPr>
            <w:tcW w:w="986" w:type="pct"/>
            <w:tcBorders>
              <w:top w:val="outset" w:color="auto" w:sz="4" w:space="0"/>
              <w:left w:val="outset" w:color="auto" w:sz="4" w:space="0"/>
              <w:bottom w:val="outset" w:color="auto" w:sz="4" w:space="0"/>
              <w:right w:val="outset" w:color="auto" w:sz="4" w:space="0"/>
            </w:tcBorders>
            <w:vAlign w:val="center"/>
          </w:tcPr>
          <w:p w14:paraId="021DDB92">
            <w:pPr>
              <w:jc w:val="right"/>
              <w:rPr>
                <w:rFonts w:hint="eastAsia"/>
                <w:szCs w:val="21"/>
              </w:rPr>
            </w:pPr>
            <w:r>
              <w:rPr>
                <w:rFonts w:ascii="Arial Narrow" w:hAnsi="Arial Narrow" w:eastAsia="等线"/>
                <w:color w:val="000000"/>
                <w:szCs w:val="21"/>
              </w:rPr>
              <w:t xml:space="preserve">11,255,959,947.45 </w:t>
            </w:r>
          </w:p>
        </w:tc>
      </w:tr>
      <w:tr w14:paraId="50491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32A5A6AC">
            <w:pPr>
              <w:ind w:firstLine="630" w:firstLineChars="300"/>
              <w:rPr>
                <w:rFonts w:hint="eastAsia"/>
                <w:color w:val="000000"/>
                <w:szCs w:val="21"/>
              </w:rPr>
            </w:pPr>
            <w:r>
              <w:rPr>
                <w:rFonts w:hint="eastAsia"/>
                <w:szCs w:val="21"/>
              </w:rPr>
              <w:t>经营活动产生的现金流量净额</w:t>
            </w:r>
          </w:p>
        </w:tc>
        <w:tc>
          <w:tcPr>
            <w:tcW w:w="562" w:type="pct"/>
            <w:tcBorders>
              <w:top w:val="outset" w:color="auto" w:sz="4" w:space="0"/>
              <w:left w:val="outset" w:color="auto" w:sz="4" w:space="0"/>
              <w:bottom w:val="outset" w:color="auto" w:sz="4" w:space="0"/>
              <w:right w:val="outset" w:color="auto" w:sz="4" w:space="0"/>
            </w:tcBorders>
            <w:vAlign w:val="center"/>
          </w:tcPr>
          <w:p w14:paraId="17F7D41A">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1990A517">
            <w:pPr>
              <w:jc w:val="right"/>
              <w:rPr>
                <w:rFonts w:hint="eastAsia"/>
                <w:szCs w:val="21"/>
              </w:rPr>
            </w:pPr>
            <w:r>
              <w:rPr>
                <w:rFonts w:ascii="Arial Narrow" w:hAnsi="Arial Narrow" w:eastAsia="等线"/>
                <w:color w:val="000000"/>
                <w:szCs w:val="21"/>
              </w:rPr>
              <w:t xml:space="preserve">115,548,699.94 </w:t>
            </w:r>
          </w:p>
        </w:tc>
        <w:tc>
          <w:tcPr>
            <w:tcW w:w="986" w:type="pct"/>
            <w:tcBorders>
              <w:top w:val="outset" w:color="auto" w:sz="4" w:space="0"/>
              <w:left w:val="outset" w:color="auto" w:sz="4" w:space="0"/>
              <w:bottom w:val="outset" w:color="auto" w:sz="4" w:space="0"/>
              <w:right w:val="outset" w:color="auto" w:sz="4" w:space="0"/>
            </w:tcBorders>
            <w:vAlign w:val="center"/>
          </w:tcPr>
          <w:p w14:paraId="5D1A2D4F">
            <w:pPr>
              <w:jc w:val="right"/>
              <w:rPr>
                <w:rFonts w:hint="eastAsia"/>
                <w:szCs w:val="21"/>
              </w:rPr>
            </w:pPr>
            <w:r>
              <w:rPr>
                <w:rFonts w:ascii="Arial Narrow" w:hAnsi="Arial Narrow" w:eastAsia="等线"/>
                <w:color w:val="000000"/>
                <w:szCs w:val="21"/>
              </w:rPr>
              <w:t xml:space="preserve">1,118,062,002.40 </w:t>
            </w:r>
          </w:p>
        </w:tc>
      </w:tr>
      <w:tr w14:paraId="34831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b59aa0e2bd944b8ba7271368c6da00a"/>
            <w:id w:val="-42299470"/>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E9AD250">
                <w:pPr>
                  <w:rPr>
                    <w:rFonts w:hint="eastAsia"/>
                    <w:color w:val="008000"/>
                    <w:szCs w:val="21"/>
                  </w:rPr>
                </w:pPr>
                <w:r>
                  <w:rPr>
                    <w:rFonts w:hint="eastAsia"/>
                    <w:b/>
                    <w:bCs/>
                    <w:szCs w:val="21"/>
                  </w:rPr>
                  <w:t>二、投资活动产生的现金流量：</w:t>
                </w:r>
              </w:p>
            </w:tc>
          </w:sdtContent>
        </w:sdt>
      </w:tr>
      <w:tr w14:paraId="46A12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36D084B">
            <w:pPr>
              <w:ind w:firstLine="210" w:firstLineChars="100"/>
              <w:rPr>
                <w:rFonts w:hint="eastAsia"/>
                <w:szCs w:val="21"/>
              </w:rPr>
            </w:pPr>
            <w:r>
              <w:rPr>
                <w:rFonts w:hint="eastAsia"/>
                <w:szCs w:val="21"/>
              </w:rPr>
              <w:t>收回投资收到的现金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28E3EC21">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AE68162">
            <w:pPr>
              <w:jc w:val="right"/>
              <w:rPr>
                <w:rFonts w:hint="eastAsia"/>
                <w:szCs w:val="21"/>
              </w:rPr>
            </w:pPr>
            <w:r>
              <w:rPr>
                <w:rFonts w:ascii="Arial Narrow" w:hAnsi="Arial Narrow" w:eastAsia="等线"/>
                <w:color w:val="000000"/>
                <w:szCs w:val="21"/>
              </w:rPr>
              <w:t xml:space="preserve">112,507.78 </w:t>
            </w:r>
          </w:p>
        </w:tc>
        <w:tc>
          <w:tcPr>
            <w:tcW w:w="986" w:type="pct"/>
            <w:tcBorders>
              <w:top w:val="outset" w:color="auto" w:sz="4" w:space="0"/>
              <w:left w:val="outset" w:color="auto" w:sz="4" w:space="0"/>
              <w:bottom w:val="outset" w:color="auto" w:sz="4" w:space="0"/>
              <w:right w:val="outset" w:color="auto" w:sz="4" w:space="0"/>
            </w:tcBorders>
            <w:vAlign w:val="center"/>
          </w:tcPr>
          <w:p w14:paraId="07FE6CD0">
            <w:pPr>
              <w:jc w:val="right"/>
              <w:rPr>
                <w:rFonts w:hint="eastAsia"/>
                <w:szCs w:val="21"/>
              </w:rPr>
            </w:pPr>
            <w:r>
              <w:rPr>
                <w:rFonts w:ascii="Arial Narrow" w:hAnsi="Arial Narrow" w:eastAsia="等线"/>
                <w:color w:val="000000"/>
                <w:szCs w:val="21"/>
              </w:rPr>
              <w:t xml:space="preserve">122,092,959.78 </w:t>
            </w:r>
          </w:p>
        </w:tc>
      </w:tr>
      <w:tr w14:paraId="497FA6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EE4914E">
            <w:pPr>
              <w:ind w:firstLine="210" w:firstLineChars="100"/>
              <w:rPr>
                <w:rFonts w:hint="eastAsia"/>
                <w:szCs w:val="21"/>
              </w:rPr>
            </w:pPr>
            <w:r>
              <w:rPr>
                <w:rFonts w:hint="eastAsia"/>
                <w:szCs w:val="21"/>
              </w:rPr>
              <w:t>取得投资收益收到的现金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11A7250C">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444EA51">
            <w:pPr>
              <w:jc w:val="right"/>
              <w:rPr>
                <w:rFonts w:hint="eastAsia"/>
                <w:szCs w:val="21"/>
              </w:rPr>
            </w:pPr>
            <w:r>
              <w:rPr>
                <w:rFonts w:ascii="Arial Narrow" w:hAnsi="Arial Narrow" w:eastAsia="等线"/>
                <w:color w:val="000000"/>
                <w:szCs w:val="21"/>
              </w:rPr>
              <w:t xml:space="preserve">2,635,710.00 </w:t>
            </w:r>
          </w:p>
        </w:tc>
        <w:tc>
          <w:tcPr>
            <w:tcW w:w="986" w:type="pct"/>
            <w:tcBorders>
              <w:top w:val="outset" w:color="auto" w:sz="4" w:space="0"/>
              <w:left w:val="outset" w:color="auto" w:sz="4" w:space="0"/>
              <w:bottom w:val="outset" w:color="auto" w:sz="4" w:space="0"/>
              <w:right w:val="outset" w:color="auto" w:sz="4" w:space="0"/>
            </w:tcBorders>
            <w:vAlign w:val="center"/>
          </w:tcPr>
          <w:p w14:paraId="72DDFEAA">
            <w:pPr>
              <w:jc w:val="right"/>
              <w:rPr>
                <w:rFonts w:hint="eastAsia"/>
                <w:szCs w:val="21"/>
              </w:rPr>
            </w:pPr>
            <w:r>
              <w:rPr>
                <w:rFonts w:ascii="Arial Narrow" w:hAnsi="Arial Narrow" w:eastAsia="等线"/>
                <w:color w:val="000000"/>
                <w:szCs w:val="21"/>
              </w:rPr>
              <w:t xml:space="preserve">7,367,603.26 </w:t>
            </w:r>
          </w:p>
        </w:tc>
      </w:tr>
      <w:tr w14:paraId="45DAC3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411FDE4A">
            <w:pPr>
              <w:ind w:firstLine="210" w:firstLineChars="100"/>
              <w:rPr>
                <w:rFonts w:hint="eastAsia"/>
                <w:szCs w:val="21"/>
              </w:rPr>
            </w:pPr>
            <w:r>
              <w:rPr>
                <w:rFonts w:hint="eastAsia"/>
                <w:szCs w:val="21"/>
              </w:rPr>
              <w:t>处置固定资产、无形资产和其他长期资产收回的现金净额</w:t>
            </w:r>
          </w:p>
        </w:tc>
        <w:tc>
          <w:tcPr>
            <w:tcW w:w="562" w:type="pct"/>
            <w:tcBorders>
              <w:top w:val="outset" w:color="auto" w:sz="4" w:space="0"/>
              <w:left w:val="outset" w:color="auto" w:sz="4" w:space="0"/>
              <w:bottom w:val="outset" w:color="auto" w:sz="4" w:space="0"/>
              <w:right w:val="outset" w:color="auto" w:sz="4" w:space="0"/>
            </w:tcBorders>
            <w:vAlign w:val="center"/>
          </w:tcPr>
          <w:p w14:paraId="7E9F960B">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B4C2A0B">
            <w:pPr>
              <w:jc w:val="right"/>
              <w:rPr>
                <w:rFonts w:hint="eastAsia"/>
                <w:szCs w:val="21"/>
              </w:rPr>
            </w:pPr>
            <w:r>
              <w:rPr>
                <w:rFonts w:ascii="Arial Narrow" w:hAnsi="Arial Narrow" w:eastAsia="等线"/>
                <w:color w:val="000000"/>
                <w:szCs w:val="21"/>
              </w:rPr>
              <w:t xml:space="preserve">1,484,131.73 </w:t>
            </w:r>
          </w:p>
        </w:tc>
        <w:tc>
          <w:tcPr>
            <w:tcW w:w="986" w:type="pct"/>
            <w:tcBorders>
              <w:top w:val="outset" w:color="auto" w:sz="4" w:space="0"/>
              <w:left w:val="outset" w:color="auto" w:sz="4" w:space="0"/>
              <w:bottom w:val="outset" w:color="auto" w:sz="4" w:space="0"/>
              <w:right w:val="outset" w:color="auto" w:sz="4" w:space="0"/>
            </w:tcBorders>
            <w:vAlign w:val="center"/>
          </w:tcPr>
          <w:p w14:paraId="43F5C030">
            <w:pPr>
              <w:jc w:val="right"/>
              <w:rPr>
                <w:rFonts w:hint="eastAsia"/>
                <w:szCs w:val="21"/>
              </w:rPr>
            </w:pPr>
            <w:r>
              <w:rPr>
                <w:rFonts w:ascii="Arial Narrow" w:hAnsi="Arial Narrow" w:eastAsia="等线"/>
                <w:color w:val="000000"/>
                <w:szCs w:val="21"/>
              </w:rPr>
              <w:t xml:space="preserve">51,081,832.01 </w:t>
            </w:r>
          </w:p>
        </w:tc>
      </w:tr>
      <w:tr w14:paraId="01432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481A24D">
            <w:pPr>
              <w:ind w:firstLine="210" w:firstLineChars="100"/>
              <w:rPr>
                <w:rFonts w:hint="eastAsia"/>
                <w:szCs w:val="21"/>
              </w:rPr>
            </w:pPr>
            <w:r>
              <w:rPr>
                <w:rFonts w:hint="eastAsia"/>
                <w:szCs w:val="21"/>
              </w:rPr>
              <w:t>处置子公司及其他营业单位收到的现金净额</w:t>
            </w:r>
          </w:p>
        </w:tc>
        <w:tc>
          <w:tcPr>
            <w:tcW w:w="562" w:type="pct"/>
            <w:tcBorders>
              <w:top w:val="outset" w:color="auto" w:sz="4" w:space="0"/>
              <w:left w:val="outset" w:color="auto" w:sz="4" w:space="0"/>
              <w:bottom w:val="outset" w:color="auto" w:sz="4" w:space="0"/>
              <w:right w:val="outset" w:color="auto" w:sz="4" w:space="0"/>
            </w:tcBorders>
            <w:vAlign w:val="center"/>
          </w:tcPr>
          <w:p w14:paraId="2C3C505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0E22671">
            <w:pPr>
              <w:jc w:val="right"/>
              <w:rPr>
                <w:rFonts w:hint="eastAsia"/>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1EE98FEC">
            <w:pPr>
              <w:jc w:val="right"/>
              <w:rPr>
                <w:rFonts w:hint="eastAsia"/>
                <w:szCs w:val="21"/>
              </w:rPr>
            </w:pPr>
            <w:r>
              <w:rPr>
                <w:rFonts w:ascii="Arial Narrow" w:hAnsi="Arial Narrow" w:eastAsia="等线"/>
                <w:color w:val="000000"/>
                <w:szCs w:val="21"/>
              </w:rPr>
              <w:t xml:space="preserve">-46,400,571.95 </w:t>
            </w:r>
          </w:p>
        </w:tc>
      </w:tr>
      <w:tr w14:paraId="785D44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0829E210">
            <w:pPr>
              <w:ind w:firstLine="210" w:firstLineChars="100"/>
              <w:rPr>
                <w:rFonts w:hint="eastAsia"/>
                <w:szCs w:val="21"/>
              </w:rPr>
            </w:pPr>
            <w:r>
              <w:rPr>
                <w:rFonts w:hint="eastAsia"/>
                <w:szCs w:val="21"/>
              </w:rPr>
              <w:t>收到其他与投资活动有关的现金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49D22B32">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1ED00907">
            <w:pPr>
              <w:jc w:val="right"/>
              <w:rPr>
                <w:rFonts w:hint="eastAsia"/>
                <w:szCs w:val="21"/>
              </w:rPr>
            </w:pPr>
            <w:r>
              <w:rPr>
                <w:rFonts w:ascii="Arial Narrow" w:hAnsi="Arial Narrow" w:eastAsia="等线"/>
                <w:color w:val="000000"/>
                <w:szCs w:val="21"/>
              </w:rPr>
              <w:t xml:space="preserve">1,706,460.48 </w:t>
            </w:r>
          </w:p>
        </w:tc>
        <w:tc>
          <w:tcPr>
            <w:tcW w:w="986" w:type="pct"/>
            <w:tcBorders>
              <w:top w:val="outset" w:color="auto" w:sz="4" w:space="0"/>
              <w:left w:val="outset" w:color="auto" w:sz="4" w:space="0"/>
              <w:bottom w:val="outset" w:color="auto" w:sz="4" w:space="0"/>
              <w:right w:val="outset" w:color="auto" w:sz="4" w:space="0"/>
            </w:tcBorders>
            <w:vAlign w:val="center"/>
          </w:tcPr>
          <w:p w14:paraId="2DF703E5">
            <w:pPr>
              <w:jc w:val="right"/>
              <w:rPr>
                <w:rFonts w:hint="eastAsia"/>
                <w:szCs w:val="21"/>
              </w:rPr>
            </w:pPr>
            <w:r>
              <w:rPr>
                <w:rFonts w:ascii="Arial Narrow" w:hAnsi="Arial Narrow" w:eastAsia="等线"/>
                <w:color w:val="000000"/>
                <w:szCs w:val="21"/>
              </w:rPr>
              <w:t xml:space="preserve">1,113,904,900.98 </w:t>
            </w:r>
          </w:p>
        </w:tc>
      </w:tr>
      <w:tr w14:paraId="4500F3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D16FA71">
            <w:pPr>
              <w:ind w:firstLine="420" w:firstLineChars="200"/>
              <w:rPr>
                <w:rFonts w:hint="eastAsia"/>
                <w:color w:val="000000"/>
                <w:szCs w:val="21"/>
              </w:rPr>
            </w:pPr>
            <w:r>
              <w:rPr>
                <w:rFonts w:hint="eastAsia"/>
                <w:szCs w:val="21"/>
              </w:rPr>
              <w:t>投资活动现金流入小计</w:t>
            </w:r>
          </w:p>
        </w:tc>
        <w:tc>
          <w:tcPr>
            <w:tcW w:w="562" w:type="pct"/>
            <w:tcBorders>
              <w:top w:val="outset" w:color="auto" w:sz="4" w:space="0"/>
              <w:left w:val="outset" w:color="auto" w:sz="4" w:space="0"/>
              <w:bottom w:val="outset" w:color="auto" w:sz="4" w:space="0"/>
              <w:right w:val="outset" w:color="auto" w:sz="4" w:space="0"/>
            </w:tcBorders>
            <w:vAlign w:val="center"/>
          </w:tcPr>
          <w:p w14:paraId="659289CE">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1BD8BFD">
            <w:pPr>
              <w:jc w:val="right"/>
              <w:rPr>
                <w:rFonts w:hint="eastAsia"/>
                <w:szCs w:val="21"/>
              </w:rPr>
            </w:pPr>
            <w:r>
              <w:rPr>
                <w:rFonts w:ascii="Arial Narrow" w:hAnsi="Arial Narrow" w:eastAsia="等线"/>
                <w:color w:val="000000"/>
                <w:szCs w:val="21"/>
              </w:rPr>
              <w:t xml:space="preserve">5,938,809.99 </w:t>
            </w:r>
          </w:p>
        </w:tc>
        <w:tc>
          <w:tcPr>
            <w:tcW w:w="986" w:type="pct"/>
            <w:tcBorders>
              <w:top w:val="outset" w:color="auto" w:sz="4" w:space="0"/>
              <w:left w:val="outset" w:color="auto" w:sz="4" w:space="0"/>
              <w:bottom w:val="outset" w:color="auto" w:sz="4" w:space="0"/>
              <w:right w:val="outset" w:color="auto" w:sz="4" w:space="0"/>
            </w:tcBorders>
            <w:vAlign w:val="center"/>
          </w:tcPr>
          <w:p w14:paraId="1FB02ED2">
            <w:pPr>
              <w:jc w:val="right"/>
              <w:rPr>
                <w:rFonts w:hint="eastAsia"/>
                <w:szCs w:val="21"/>
              </w:rPr>
            </w:pPr>
            <w:r>
              <w:rPr>
                <w:rFonts w:ascii="Arial Narrow" w:hAnsi="Arial Narrow" w:eastAsia="等线"/>
                <w:color w:val="000000"/>
                <w:szCs w:val="21"/>
              </w:rPr>
              <w:t xml:space="preserve">1,248,046,724.08 </w:t>
            </w:r>
          </w:p>
        </w:tc>
      </w:tr>
      <w:tr w14:paraId="4475E3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5096AEB5">
            <w:pPr>
              <w:ind w:firstLine="210" w:firstLineChars="100"/>
              <w:rPr>
                <w:rFonts w:hint="eastAsia"/>
                <w:color w:val="000000"/>
                <w:szCs w:val="21"/>
              </w:rPr>
            </w:pPr>
            <w:r>
              <w:rPr>
                <w:rFonts w:hint="eastAsia"/>
                <w:szCs w:val="21"/>
              </w:rPr>
              <w:t>购建固定资产、无形资产和其他长期资产支付的现金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3FB9336A">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EF6454C">
            <w:pPr>
              <w:jc w:val="right"/>
              <w:rPr>
                <w:rFonts w:hint="eastAsia"/>
                <w:szCs w:val="21"/>
              </w:rPr>
            </w:pPr>
            <w:r>
              <w:rPr>
                <w:rFonts w:ascii="Arial Narrow" w:hAnsi="Arial Narrow" w:eastAsia="等线"/>
                <w:color w:val="000000"/>
                <w:szCs w:val="21"/>
              </w:rPr>
              <w:t xml:space="preserve">649,306,630.25 </w:t>
            </w:r>
          </w:p>
        </w:tc>
        <w:tc>
          <w:tcPr>
            <w:tcW w:w="986" w:type="pct"/>
            <w:tcBorders>
              <w:top w:val="outset" w:color="auto" w:sz="4" w:space="0"/>
              <w:left w:val="outset" w:color="auto" w:sz="4" w:space="0"/>
              <w:bottom w:val="outset" w:color="auto" w:sz="4" w:space="0"/>
              <w:right w:val="outset" w:color="auto" w:sz="4" w:space="0"/>
            </w:tcBorders>
            <w:vAlign w:val="center"/>
          </w:tcPr>
          <w:p w14:paraId="08CD3BA5">
            <w:pPr>
              <w:jc w:val="right"/>
              <w:rPr>
                <w:rFonts w:hint="eastAsia"/>
                <w:szCs w:val="21"/>
              </w:rPr>
            </w:pPr>
            <w:r>
              <w:rPr>
                <w:rFonts w:ascii="Arial Narrow" w:hAnsi="Arial Narrow" w:eastAsia="等线"/>
                <w:color w:val="000000"/>
                <w:szCs w:val="21"/>
              </w:rPr>
              <w:t xml:space="preserve">1,865,920,626.18 </w:t>
            </w:r>
          </w:p>
        </w:tc>
      </w:tr>
      <w:tr w14:paraId="7E4A24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9B5399B">
            <w:pPr>
              <w:ind w:firstLine="210" w:firstLineChars="100"/>
              <w:rPr>
                <w:rFonts w:hint="eastAsia"/>
                <w:szCs w:val="21"/>
              </w:rPr>
            </w:pPr>
            <w:r>
              <w:rPr>
                <w:rFonts w:hint="eastAsia"/>
                <w:szCs w:val="21"/>
              </w:rPr>
              <w:t>投资支付的现金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386FF8F4">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AAE760B">
            <w:pPr>
              <w:jc w:val="right"/>
              <w:rPr>
                <w:rFonts w:hint="eastAsia"/>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51F34FD3">
            <w:pPr>
              <w:jc w:val="right"/>
              <w:rPr>
                <w:rFonts w:hint="eastAsia"/>
                <w:szCs w:val="21"/>
              </w:rPr>
            </w:pPr>
            <w:r>
              <w:rPr>
                <w:rFonts w:ascii="Arial Narrow" w:hAnsi="Arial Narrow" w:eastAsia="等线"/>
                <w:color w:val="000000"/>
                <w:szCs w:val="21"/>
              </w:rPr>
              <w:t xml:space="preserve">2,000,000.00 </w:t>
            </w:r>
          </w:p>
        </w:tc>
      </w:tr>
      <w:tr w14:paraId="20135F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10C5DC20">
            <w:pPr>
              <w:ind w:firstLine="210" w:firstLineChars="100"/>
              <w:rPr>
                <w:rFonts w:hint="eastAsia"/>
                <w:szCs w:val="21"/>
              </w:rPr>
            </w:pPr>
            <w:r>
              <w:rPr>
                <w:rFonts w:hint="eastAsia"/>
                <w:szCs w:val="21"/>
              </w:rPr>
              <w:t>支付其他与投资活动有关的现金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119A6FD3">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6CC0ADF8">
            <w:pPr>
              <w:jc w:val="right"/>
              <w:rPr>
                <w:rFonts w:hint="eastAsia"/>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36DEE567">
            <w:pPr>
              <w:jc w:val="right"/>
              <w:rPr>
                <w:rFonts w:hint="eastAsia"/>
                <w:szCs w:val="21"/>
              </w:rPr>
            </w:pPr>
          </w:p>
        </w:tc>
      </w:tr>
      <w:tr w14:paraId="2B6C9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252352C">
            <w:pPr>
              <w:ind w:firstLine="420" w:firstLineChars="200"/>
              <w:rPr>
                <w:rFonts w:hint="eastAsia"/>
                <w:color w:val="000000"/>
                <w:szCs w:val="21"/>
              </w:rPr>
            </w:pPr>
            <w:r>
              <w:rPr>
                <w:rFonts w:hint="eastAsia"/>
                <w:szCs w:val="21"/>
              </w:rPr>
              <w:t>投资活动现金流出小计</w:t>
            </w:r>
          </w:p>
        </w:tc>
        <w:tc>
          <w:tcPr>
            <w:tcW w:w="562" w:type="pct"/>
            <w:tcBorders>
              <w:top w:val="outset" w:color="auto" w:sz="4" w:space="0"/>
              <w:left w:val="outset" w:color="auto" w:sz="4" w:space="0"/>
              <w:bottom w:val="outset" w:color="auto" w:sz="4" w:space="0"/>
              <w:right w:val="outset" w:color="auto" w:sz="4" w:space="0"/>
            </w:tcBorders>
            <w:vAlign w:val="center"/>
          </w:tcPr>
          <w:p w14:paraId="46CEAB2E">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189E785">
            <w:pPr>
              <w:jc w:val="right"/>
              <w:rPr>
                <w:rFonts w:hint="eastAsia"/>
                <w:szCs w:val="21"/>
              </w:rPr>
            </w:pPr>
            <w:r>
              <w:rPr>
                <w:rFonts w:ascii="Arial Narrow" w:hAnsi="Arial Narrow" w:eastAsia="等线"/>
                <w:color w:val="000000"/>
                <w:szCs w:val="21"/>
              </w:rPr>
              <w:t xml:space="preserve">649,306,630.25 </w:t>
            </w:r>
          </w:p>
        </w:tc>
        <w:tc>
          <w:tcPr>
            <w:tcW w:w="986" w:type="pct"/>
            <w:tcBorders>
              <w:top w:val="outset" w:color="auto" w:sz="4" w:space="0"/>
              <w:left w:val="outset" w:color="auto" w:sz="4" w:space="0"/>
              <w:bottom w:val="outset" w:color="auto" w:sz="4" w:space="0"/>
              <w:right w:val="outset" w:color="auto" w:sz="4" w:space="0"/>
            </w:tcBorders>
            <w:vAlign w:val="center"/>
          </w:tcPr>
          <w:p w14:paraId="22838AB2">
            <w:pPr>
              <w:jc w:val="right"/>
              <w:rPr>
                <w:rFonts w:hint="eastAsia"/>
                <w:szCs w:val="21"/>
              </w:rPr>
            </w:pPr>
            <w:r>
              <w:rPr>
                <w:rFonts w:ascii="Arial Narrow" w:hAnsi="Arial Narrow" w:eastAsia="等线"/>
                <w:color w:val="000000"/>
                <w:szCs w:val="21"/>
              </w:rPr>
              <w:t xml:space="preserve">1,867,920,626.18 </w:t>
            </w:r>
          </w:p>
        </w:tc>
      </w:tr>
      <w:tr w14:paraId="5B6D1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00D16DD4">
            <w:pPr>
              <w:ind w:firstLine="630" w:firstLineChars="300"/>
              <w:rPr>
                <w:rFonts w:hint="eastAsia"/>
                <w:color w:val="000000"/>
                <w:szCs w:val="21"/>
              </w:rPr>
            </w:pPr>
            <w:r>
              <w:rPr>
                <w:rFonts w:hint="eastAsia"/>
                <w:szCs w:val="21"/>
              </w:rPr>
              <w:t>投资活动产生的现金流量净额</w:t>
            </w:r>
          </w:p>
        </w:tc>
        <w:tc>
          <w:tcPr>
            <w:tcW w:w="562" w:type="pct"/>
            <w:tcBorders>
              <w:top w:val="outset" w:color="auto" w:sz="4" w:space="0"/>
              <w:left w:val="outset" w:color="auto" w:sz="4" w:space="0"/>
              <w:bottom w:val="outset" w:color="auto" w:sz="4" w:space="0"/>
              <w:right w:val="outset" w:color="auto" w:sz="4" w:space="0"/>
            </w:tcBorders>
            <w:vAlign w:val="center"/>
          </w:tcPr>
          <w:p w14:paraId="7D6F0A08">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7E0DD51">
            <w:pPr>
              <w:jc w:val="right"/>
              <w:rPr>
                <w:rFonts w:hint="eastAsia"/>
                <w:szCs w:val="21"/>
              </w:rPr>
            </w:pPr>
            <w:r>
              <w:rPr>
                <w:rFonts w:ascii="Arial Narrow" w:hAnsi="Arial Narrow" w:eastAsia="等线"/>
                <w:color w:val="000000"/>
                <w:szCs w:val="21"/>
              </w:rPr>
              <w:t xml:space="preserve">-643,367,820.26 </w:t>
            </w:r>
          </w:p>
        </w:tc>
        <w:tc>
          <w:tcPr>
            <w:tcW w:w="986" w:type="pct"/>
            <w:tcBorders>
              <w:top w:val="outset" w:color="auto" w:sz="4" w:space="0"/>
              <w:left w:val="outset" w:color="auto" w:sz="4" w:space="0"/>
              <w:bottom w:val="outset" w:color="auto" w:sz="4" w:space="0"/>
              <w:right w:val="outset" w:color="auto" w:sz="4" w:space="0"/>
            </w:tcBorders>
            <w:vAlign w:val="center"/>
          </w:tcPr>
          <w:p w14:paraId="7897322E">
            <w:pPr>
              <w:jc w:val="right"/>
              <w:rPr>
                <w:rFonts w:hint="eastAsia"/>
                <w:szCs w:val="21"/>
              </w:rPr>
            </w:pPr>
            <w:r>
              <w:rPr>
                <w:rFonts w:ascii="Arial Narrow" w:hAnsi="Arial Narrow" w:eastAsia="等线"/>
                <w:color w:val="000000"/>
                <w:szCs w:val="21"/>
              </w:rPr>
              <w:t xml:space="preserve">-619,873,902.10 </w:t>
            </w:r>
          </w:p>
        </w:tc>
      </w:tr>
      <w:tr w14:paraId="063484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e0d926902804b5baefad8990e4523b4"/>
            <w:id w:val="-116062854"/>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028011B8">
                <w:pPr>
                  <w:rPr>
                    <w:rFonts w:hint="eastAsia"/>
                    <w:color w:val="008000"/>
                    <w:szCs w:val="21"/>
                  </w:rPr>
                </w:pPr>
                <w:r>
                  <w:rPr>
                    <w:rFonts w:hint="eastAsia"/>
                    <w:b/>
                    <w:bCs/>
                    <w:szCs w:val="21"/>
                  </w:rPr>
                  <w:t>三、筹资活动产生的现金流量：</w:t>
                </w:r>
              </w:p>
            </w:tc>
          </w:sdtContent>
        </w:sdt>
      </w:tr>
      <w:tr w14:paraId="38E92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7C5651C">
            <w:pPr>
              <w:ind w:firstLine="210" w:firstLineChars="100"/>
              <w:rPr>
                <w:rFonts w:hint="eastAsia"/>
                <w:color w:val="000000"/>
                <w:szCs w:val="21"/>
              </w:rPr>
            </w:pPr>
            <w:r>
              <w:rPr>
                <w:rFonts w:hint="eastAsia"/>
                <w:szCs w:val="21"/>
              </w:rPr>
              <w:t>吸收投资收到的现金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5AC49E6E">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3FEC68D">
            <w:pPr>
              <w:jc w:val="right"/>
              <w:rPr>
                <w:rFonts w:hint="eastAsia"/>
                <w:szCs w:val="21"/>
              </w:rPr>
            </w:pPr>
            <w:r>
              <w:rPr>
                <w:rFonts w:ascii="Arial Narrow" w:hAnsi="Arial Narrow" w:eastAsia="等线"/>
                <w:color w:val="000000"/>
                <w:szCs w:val="21"/>
              </w:rPr>
              <w:t xml:space="preserve">3,450,000.00 </w:t>
            </w:r>
          </w:p>
        </w:tc>
        <w:tc>
          <w:tcPr>
            <w:tcW w:w="986" w:type="pct"/>
            <w:tcBorders>
              <w:top w:val="outset" w:color="auto" w:sz="4" w:space="0"/>
              <w:left w:val="outset" w:color="auto" w:sz="4" w:space="0"/>
              <w:bottom w:val="outset" w:color="auto" w:sz="4" w:space="0"/>
              <w:right w:val="outset" w:color="auto" w:sz="4" w:space="0"/>
            </w:tcBorders>
            <w:vAlign w:val="center"/>
          </w:tcPr>
          <w:p w14:paraId="2013F6A0">
            <w:pPr>
              <w:jc w:val="right"/>
              <w:rPr>
                <w:rFonts w:hint="eastAsia"/>
                <w:szCs w:val="21"/>
              </w:rPr>
            </w:pPr>
            <w:r>
              <w:rPr>
                <w:rFonts w:ascii="Arial Narrow" w:hAnsi="Arial Narrow" w:eastAsia="等线"/>
                <w:color w:val="000000"/>
                <w:szCs w:val="21"/>
              </w:rPr>
              <w:t xml:space="preserve">17,500,000.00 </w:t>
            </w:r>
          </w:p>
        </w:tc>
      </w:tr>
      <w:tr w14:paraId="561DA6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634038A5">
            <w:pPr>
              <w:ind w:firstLine="210" w:firstLineChars="100"/>
              <w:rPr>
                <w:rFonts w:hint="eastAsia"/>
                <w:color w:val="000000"/>
                <w:szCs w:val="21"/>
              </w:rPr>
            </w:pPr>
            <w:r>
              <w:rPr>
                <w:rFonts w:hint="eastAsia"/>
                <w:szCs w:val="21"/>
              </w:rPr>
              <w:t>其中：子公司吸收少数股东投资收到的现金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31C9FD9D">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D134A8D">
            <w:pPr>
              <w:jc w:val="right"/>
              <w:rPr>
                <w:rFonts w:hint="eastAsia"/>
                <w:szCs w:val="21"/>
              </w:rPr>
            </w:pPr>
            <w:r>
              <w:rPr>
                <w:rFonts w:ascii="Arial Narrow" w:hAnsi="Arial Narrow" w:eastAsia="等线"/>
                <w:color w:val="000000"/>
                <w:szCs w:val="21"/>
              </w:rPr>
              <w:t xml:space="preserve">3,450,000.00 </w:t>
            </w:r>
          </w:p>
        </w:tc>
        <w:tc>
          <w:tcPr>
            <w:tcW w:w="986" w:type="pct"/>
            <w:tcBorders>
              <w:top w:val="outset" w:color="auto" w:sz="4" w:space="0"/>
              <w:left w:val="outset" w:color="auto" w:sz="4" w:space="0"/>
              <w:bottom w:val="outset" w:color="auto" w:sz="4" w:space="0"/>
              <w:right w:val="outset" w:color="auto" w:sz="4" w:space="0"/>
            </w:tcBorders>
            <w:vAlign w:val="center"/>
          </w:tcPr>
          <w:p w14:paraId="581FC6E2">
            <w:pPr>
              <w:jc w:val="right"/>
              <w:rPr>
                <w:rFonts w:hint="eastAsia"/>
                <w:szCs w:val="21"/>
              </w:rPr>
            </w:pPr>
            <w:r>
              <w:rPr>
                <w:rFonts w:ascii="Arial Narrow" w:hAnsi="Arial Narrow" w:eastAsia="等线"/>
                <w:color w:val="000000"/>
                <w:szCs w:val="21"/>
              </w:rPr>
              <w:t xml:space="preserve">17,500,000.00 </w:t>
            </w:r>
          </w:p>
        </w:tc>
      </w:tr>
      <w:tr w14:paraId="73DE71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4A937ECD">
            <w:pPr>
              <w:ind w:firstLine="210" w:firstLineChars="100"/>
              <w:rPr>
                <w:rFonts w:hint="eastAsia"/>
                <w:color w:val="000000"/>
                <w:szCs w:val="21"/>
              </w:rPr>
            </w:pPr>
            <w:r>
              <w:rPr>
                <w:rFonts w:hint="eastAsia"/>
                <w:szCs w:val="21"/>
              </w:rPr>
              <w:t>取得借款收到的现金</w:t>
            </w:r>
          </w:p>
        </w:tc>
        <w:tc>
          <w:tcPr>
            <w:tcW w:w="562" w:type="pct"/>
            <w:tcBorders>
              <w:top w:val="outset" w:color="auto" w:sz="4" w:space="0"/>
              <w:left w:val="outset" w:color="auto" w:sz="4" w:space="0"/>
              <w:bottom w:val="outset" w:color="auto" w:sz="4" w:space="0"/>
              <w:right w:val="outset" w:color="auto" w:sz="4" w:space="0"/>
            </w:tcBorders>
            <w:vAlign w:val="center"/>
          </w:tcPr>
          <w:p w14:paraId="177450E6">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64503389">
            <w:pPr>
              <w:jc w:val="right"/>
              <w:rPr>
                <w:rFonts w:hint="eastAsia"/>
                <w:szCs w:val="21"/>
              </w:rPr>
            </w:pPr>
            <w:r>
              <w:rPr>
                <w:rFonts w:ascii="Arial Narrow" w:hAnsi="Arial Narrow" w:eastAsia="等线"/>
                <w:color w:val="000000"/>
                <w:szCs w:val="21"/>
              </w:rPr>
              <w:t xml:space="preserve">1,259,733,650.31 </w:t>
            </w:r>
          </w:p>
        </w:tc>
        <w:tc>
          <w:tcPr>
            <w:tcW w:w="986" w:type="pct"/>
            <w:tcBorders>
              <w:top w:val="outset" w:color="auto" w:sz="4" w:space="0"/>
              <w:left w:val="outset" w:color="auto" w:sz="4" w:space="0"/>
              <w:bottom w:val="outset" w:color="auto" w:sz="4" w:space="0"/>
              <w:right w:val="outset" w:color="auto" w:sz="4" w:space="0"/>
            </w:tcBorders>
            <w:vAlign w:val="center"/>
          </w:tcPr>
          <w:p w14:paraId="73D60082">
            <w:pPr>
              <w:jc w:val="right"/>
              <w:rPr>
                <w:rFonts w:hint="eastAsia"/>
                <w:szCs w:val="21"/>
              </w:rPr>
            </w:pPr>
            <w:r>
              <w:rPr>
                <w:rFonts w:ascii="Arial Narrow" w:hAnsi="Arial Narrow" w:eastAsia="等线"/>
                <w:color w:val="000000"/>
                <w:szCs w:val="21"/>
              </w:rPr>
              <w:t xml:space="preserve">3,359,521,957.82 </w:t>
            </w:r>
          </w:p>
        </w:tc>
      </w:tr>
      <w:tr w14:paraId="5A8A18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37A54E8E">
            <w:pPr>
              <w:ind w:firstLine="210" w:firstLineChars="100"/>
              <w:rPr>
                <w:rFonts w:hint="eastAsia"/>
                <w:color w:val="000000"/>
                <w:szCs w:val="21"/>
              </w:rPr>
            </w:pPr>
            <w:r>
              <w:rPr>
                <w:rFonts w:hint="eastAsia"/>
                <w:szCs w:val="21"/>
              </w:rPr>
              <w:t>收到其他与筹资活动有关的现金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5BC37746">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74C3A286">
            <w:pPr>
              <w:jc w:val="right"/>
              <w:rPr>
                <w:rFonts w:hint="eastAsia"/>
                <w:szCs w:val="21"/>
              </w:rPr>
            </w:pPr>
            <w:r>
              <w:rPr>
                <w:rFonts w:ascii="Arial Narrow" w:hAnsi="Arial Narrow" w:eastAsia="等线"/>
                <w:color w:val="000000"/>
                <w:szCs w:val="21"/>
              </w:rPr>
              <w:t xml:space="preserve">14,696,035.41 </w:t>
            </w:r>
          </w:p>
        </w:tc>
        <w:tc>
          <w:tcPr>
            <w:tcW w:w="986" w:type="pct"/>
            <w:tcBorders>
              <w:top w:val="outset" w:color="auto" w:sz="4" w:space="0"/>
              <w:left w:val="outset" w:color="auto" w:sz="4" w:space="0"/>
              <w:bottom w:val="outset" w:color="auto" w:sz="4" w:space="0"/>
              <w:right w:val="outset" w:color="auto" w:sz="4" w:space="0"/>
            </w:tcBorders>
            <w:vAlign w:val="center"/>
          </w:tcPr>
          <w:p w14:paraId="103EF6AE">
            <w:pPr>
              <w:jc w:val="right"/>
              <w:rPr>
                <w:rFonts w:hint="eastAsia"/>
                <w:szCs w:val="21"/>
              </w:rPr>
            </w:pPr>
            <w:r>
              <w:rPr>
                <w:rFonts w:ascii="Arial Narrow" w:hAnsi="Arial Narrow" w:eastAsia="等线"/>
                <w:color w:val="000000"/>
                <w:szCs w:val="21"/>
              </w:rPr>
              <w:t xml:space="preserve">1,380,554,004.49 </w:t>
            </w:r>
          </w:p>
        </w:tc>
      </w:tr>
      <w:tr w14:paraId="4E94B9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ED6DAD1">
            <w:pPr>
              <w:ind w:firstLine="420" w:firstLineChars="200"/>
              <w:rPr>
                <w:rFonts w:hint="eastAsia"/>
                <w:color w:val="000000"/>
                <w:szCs w:val="21"/>
              </w:rPr>
            </w:pPr>
            <w:r>
              <w:rPr>
                <w:rFonts w:hint="eastAsia"/>
                <w:szCs w:val="21"/>
              </w:rPr>
              <w:t>筹资活动现金流入小计</w:t>
            </w:r>
          </w:p>
        </w:tc>
        <w:tc>
          <w:tcPr>
            <w:tcW w:w="562" w:type="pct"/>
            <w:tcBorders>
              <w:top w:val="outset" w:color="auto" w:sz="4" w:space="0"/>
              <w:left w:val="outset" w:color="auto" w:sz="4" w:space="0"/>
              <w:bottom w:val="outset" w:color="auto" w:sz="4" w:space="0"/>
              <w:right w:val="outset" w:color="auto" w:sz="4" w:space="0"/>
            </w:tcBorders>
            <w:vAlign w:val="center"/>
          </w:tcPr>
          <w:p w14:paraId="139574FF">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67B611DB">
            <w:pPr>
              <w:jc w:val="right"/>
              <w:rPr>
                <w:rFonts w:hint="eastAsia"/>
                <w:szCs w:val="21"/>
              </w:rPr>
            </w:pPr>
            <w:r>
              <w:rPr>
                <w:rFonts w:ascii="Arial Narrow" w:hAnsi="Arial Narrow" w:eastAsia="等线"/>
                <w:color w:val="000000"/>
                <w:szCs w:val="21"/>
              </w:rPr>
              <w:t xml:space="preserve">1,277,879,685.72 </w:t>
            </w:r>
          </w:p>
        </w:tc>
        <w:tc>
          <w:tcPr>
            <w:tcW w:w="986" w:type="pct"/>
            <w:tcBorders>
              <w:top w:val="outset" w:color="auto" w:sz="4" w:space="0"/>
              <w:left w:val="outset" w:color="auto" w:sz="4" w:space="0"/>
              <w:bottom w:val="outset" w:color="auto" w:sz="4" w:space="0"/>
              <w:right w:val="outset" w:color="auto" w:sz="4" w:space="0"/>
            </w:tcBorders>
            <w:vAlign w:val="center"/>
          </w:tcPr>
          <w:p w14:paraId="4ED7F9BD">
            <w:pPr>
              <w:jc w:val="right"/>
              <w:rPr>
                <w:rFonts w:hint="eastAsia"/>
                <w:szCs w:val="21"/>
              </w:rPr>
            </w:pPr>
            <w:r>
              <w:rPr>
                <w:rFonts w:ascii="Arial Narrow" w:hAnsi="Arial Narrow" w:eastAsia="等线"/>
                <w:color w:val="000000"/>
                <w:szCs w:val="21"/>
              </w:rPr>
              <w:t xml:space="preserve">4,757,575,962.31 </w:t>
            </w:r>
          </w:p>
        </w:tc>
      </w:tr>
      <w:tr w14:paraId="66CA0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3A90D44E">
            <w:pPr>
              <w:ind w:firstLine="210" w:firstLineChars="100"/>
              <w:rPr>
                <w:rFonts w:hint="eastAsia"/>
                <w:color w:val="000000"/>
                <w:szCs w:val="21"/>
              </w:rPr>
            </w:pPr>
            <w:r>
              <w:rPr>
                <w:rFonts w:hint="eastAsia"/>
                <w:szCs w:val="21"/>
              </w:rPr>
              <w:t>偿还债务支付的现金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612D8FD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2BF3632D">
            <w:pPr>
              <w:jc w:val="right"/>
              <w:rPr>
                <w:rFonts w:hint="eastAsia"/>
                <w:szCs w:val="21"/>
              </w:rPr>
            </w:pPr>
            <w:r>
              <w:rPr>
                <w:rFonts w:ascii="Arial Narrow" w:hAnsi="Arial Narrow" w:eastAsia="等线"/>
                <w:color w:val="000000"/>
                <w:szCs w:val="21"/>
              </w:rPr>
              <w:t xml:space="preserve">1,689,508,650.31 </w:t>
            </w:r>
          </w:p>
        </w:tc>
        <w:tc>
          <w:tcPr>
            <w:tcW w:w="986" w:type="pct"/>
            <w:tcBorders>
              <w:top w:val="outset" w:color="auto" w:sz="4" w:space="0"/>
              <w:left w:val="outset" w:color="auto" w:sz="4" w:space="0"/>
              <w:bottom w:val="outset" w:color="auto" w:sz="4" w:space="0"/>
              <w:right w:val="outset" w:color="auto" w:sz="4" w:space="0"/>
            </w:tcBorders>
            <w:vAlign w:val="center"/>
          </w:tcPr>
          <w:p w14:paraId="333080CD">
            <w:pPr>
              <w:jc w:val="right"/>
              <w:rPr>
                <w:rFonts w:hint="eastAsia"/>
                <w:szCs w:val="21"/>
              </w:rPr>
            </w:pPr>
            <w:r>
              <w:rPr>
                <w:rFonts w:ascii="Arial Narrow" w:hAnsi="Arial Narrow" w:eastAsia="等线"/>
                <w:color w:val="000000"/>
                <w:szCs w:val="21"/>
              </w:rPr>
              <w:t xml:space="preserve">3,626,406,957.82 </w:t>
            </w:r>
          </w:p>
        </w:tc>
      </w:tr>
      <w:tr w14:paraId="7447E6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0ABFE8D">
            <w:pPr>
              <w:ind w:firstLine="210" w:firstLineChars="100"/>
              <w:rPr>
                <w:rFonts w:hint="eastAsia"/>
                <w:szCs w:val="21"/>
              </w:rPr>
            </w:pPr>
            <w:r>
              <w:rPr>
                <w:rFonts w:hint="eastAsia"/>
                <w:szCs w:val="21"/>
              </w:rPr>
              <w:t>分配股利、利润或偿付利息支付的现金</w:t>
            </w:r>
          </w:p>
        </w:tc>
        <w:tc>
          <w:tcPr>
            <w:tcW w:w="562" w:type="pct"/>
            <w:tcBorders>
              <w:top w:val="outset" w:color="auto" w:sz="4" w:space="0"/>
              <w:left w:val="outset" w:color="auto" w:sz="4" w:space="0"/>
              <w:bottom w:val="outset" w:color="auto" w:sz="4" w:space="0"/>
              <w:right w:val="outset" w:color="auto" w:sz="4" w:space="0"/>
            </w:tcBorders>
            <w:vAlign w:val="center"/>
          </w:tcPr>
          <w:p w14:paraId="1151609C">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79F3FE09">
            <w:pPr>
              <w:jc w:val="right"/>
              <w:rPr>
                <w:rFonts w:hint="eastAsia"/>
                <w:szCs w:val="21"/>
              </w:rPr>
            </w:pPr>
            <w:r>
              <w:rPr>
                <w:rFonts w:ascii="Arial Narrow" w:hAnsi="Arial Narrow" w:eastAsia="等线"/>
                <w:color w:val="000000"/>
                <w:szCs w:val="21"/>
              </w:rPr>
              <w:t xml:space="preserve">183,248,026.65 </w:t>
            </w:r>
          </w:p>
        </w:tc>
        <w:tc>
          <w:tcPr>
            <w:tcW w:w="986" w:type="pct"/>
            <w:tcBorders>
              <w:top w:val="outset" w:color="auto" w:sz="4" w:space="0"/>
              <w:left w:val="outset" w:color="auto" w:sz="4" w:space="0"/>
              <w:bottom w:val="outset" w:color="auto" w:sz="4" w:space="0"/>
              <w:right w:val="outset" w:color="auto" w:sz="4" w:space="0"/>
            </w:tcBorders>
            <w:vAlign w:val="center"/>
          </w:tcPr>
          <w:p w14:paraId="20659668">
            <w:pPr>
              <w:jc w:val="right"/>
              <w:rPr>
                <w:rFonts w:hint="eastAsia"/>
                <w:szCs w:val="21"/>
              </w:rPr>
            </w:pPr>
            <w:r>
              <w:rPr>
                <w:rFonts w:ascii="Arial Narrow" w:hAnsi="Arial Narrow" w:eastAsia="等线"/>
                <w:color w:val="000000"/>
                <w:szCs w:val="21"/>
              </w:rPr>
              <w:t xml:space="preserve">231,759,633.62 </w:t>
            </w:r>
          </w:p>
        </w:tc>
      </w:tr>
      <w:tr w14:paraId="17C53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055FCADA">
            <w:pPr>
              <w:ind w:firstLine="210" w:firstLineChars="100"/>
              <w:rPr>
                <w:rFonts w:hint="eastAsia"/>
                <w:szCs w:val="21"/>
              </w:rPr>
            </w:pPr>
            <w:r>
              <w:rPr>
                <w:rFonts w:hint="eastAsia"/>
                <w:szCs w:val="21"/>
              </w:rPr>
              <w:t>其中：子公司支付给少数股东的股利、利润</w:t>
            </w:r>
          </w:p>
        </w:tc>
        <w:tc>
          <w:tcPr>
            <w:tcW w:w="562" w:type="pct"/>
            <w:tcBorders>
              <w:top w:val="outset" w:color="auto" w:sz="4" w:space="0"/>
              <w:left w:val="outset" w:color="auto" w:sz="4" w:space="0"/>
              <w:bottom w:val="outset" w:color="auto" w:sz="4" w:space="0"/>
              <w:right w:val="outset" w:color="auto" w:sz="4" w:space="0"/>
            </w:tcBorders>
            <w:vAlign w:val="center"/>
          </w:tcPr>
          <w:p w14:paraId="46F5CC5C">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5EADC3FB">
            <w:pPr>
              <w:jc w:val="right"/>
              <w:rPr>
                <w:rFonts w:hint="eastAsia"/>
                <w:szCs w:val="21"/>
              </w:rPr>
            </w:pPr>
          </w:p>
        </w:tc>
        <w:tc>
          <w:tcPr>
            <w:tcW w:w="986" w:type="pct"/>
            <w:tcBorders>
              <w:top w:val="outset" w:color="auto" w:sz="4" w:space="0"/>
              <w:left w:val="outset" w:color="auto" w:sz="4" w:space="0"/>
              <w:bottom w:val="outset" w:color="auto" w:sz="4" w:space="0"/>
              <w:right w:val="outset" w:color="auto" w:sz="4" w:space="0"/>
            </w:tcBorders>
            <w:vAlign w:val="center"/>
          </w:tcPr>
          <w:p w14:paraId="4B4456DD">
            <w:pPr>
              <w:jc w:val="right"/>
              <w:rPr>
                <w:rFonts w:hint="eastAsia"/>
                <w:szCs w:val="21"/>
              </w:rPr>
            </w:pPr>
            <w:r>
              <w:rPr>
                <w:rFonts w:ascii="Arial Narrow" w:hAnsi="Arial Narrow" w:eastAsia="等线"/>
                <w:color w:val="000000"/>
                <w:szCs w:val="21"/>
              </w:rPr>
              <w:t xml:space="preserve">7,243,833.22 </w:t>
            </w:r>
          </w:p>
        </w:tc>
      </w:tr>
      <w:tr w14:paraId="11921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04FF0CB0">
            <w:pPr>
              <w:ind w:firstLine="210" w:firstLineChars="100"/>
              <w:rPr>
                <w:rFonts w:hint="eastAsia"/>
                <w:szCs w:val="21"/>
              </w:rPr>
            </w:pPr>
            <w:r>
              <w:rPr>
                <w:rFonts w:hint="eastAsia"/>
                <w:szCs w:val="21"/>
              </w:rPr>
              <w:t>支付其他与筹资活动有关的现金</w:t>
            </w:r>
          </w:p>
        </w:tc>
        <w:tc>
          <w:tcPr>
            <w:tcW w:w="562" w:type="pct"/>
            <w:tcBorders>
              <w:top w:val="outset" w:color="auto" w:sz="4" w:space="0"/>
              <w:left w:val="outset" w:color="auto" w:sz="4" w:space="0"/>
              <w:bottom w:val="outset" w:color="auto" w:sz="4" w:space="0"/>
              <w:right w:val="outset" w:color="auto" w:sz="4" w:space="0"/>
            </w:tcBorders>
            <w:vAlign w:val="center"/>
          </w:tcPr>
          <w:p w14:paraId="479669A5">
            <w:pPr>
              <w:rPr>
                <w:rFonts w:hint="eastAsia"/>
                <w:szCs w:val="21"/>
              </w:rPr>
            </w:pPr>
            <w:r>
              <w:t>七、78</w:t>
            </w:r>
          </w:p>
        </w:tc>
        <w:tc>
          <w:tcPr>
            <w:tcW w:w="964" w:type="pct"/>
            <w:tcBorders>
              <w:top w:val="outset" w:color="auto" w:sz="4" w:space="0"/>
              <w:left w:val="outset" w:color="auto" w:sz="4" w:space="0"/>
              <w:bottom w:val="outset" w:color="auto" w:sz="4" w:space="0"/>
              <w:right w:val="outset" w:color="auto" w:sz="4" w:space="0"/>
            </w:tcBorders>
            <w:vAlign w:val="center"/>
          </w:tcPr>
          <w:p w14:paraId="705FB123">
            <w:pPr>
              <w:jc w:val="right"/>
              <w:rPr>
                <w:rFonts w:hint="eastAsia"/>
                <w:szCs w:val="21"/>
              </w:rPr>
            </w:pPr>
            <w:r>
              <w:rPr>
                <w:rFonts w:ascii="Arial Narrow" w:hAnsi="Arial Narrow" w:eastAsia="等线"/>
                <w:color w:val="000000"/>
                <w:szCs w:val="21"/>
              </w:rPr>
              <w:t xml:space="preserve">8,525,491.72 </w:t>
            </w:r>
          </w:p>
        </w:tc>
        <w:tc>
          <w:tcPr>
            <w:tcW w:w="986" w:type="pct"/>
            <w:tcBorders>
              <w:top w:val="outset" w:color="auto" w:sz="4" w:space="0"/>
              <w:left w:val="outset" w:color="auto" w:sz="4" w:space="0"/>
              <w:bottom w:val="outset" w:color="auto" w:sz="4" w:space="0"/>
              <w:right w:val="outset" w:color="auto" w:sz="4" w:space="0"/>
            </w:tcBorders>
            <w:vAlign w:val="center"/>
          </w:tcPr>
          <w:p w14:paraId="221B6F85">
            <w:pPr>
              <w:jc w:val="right"/>
              <w:rPr>
                <w:rFonts w:hint="eastAsia"/>
                <w:szCs w:val="21"/>
              </w:rPr>
            </w:pPr>
            <w:r>
              <w:rPr>
                <w:rFonts w:ascii="Arial Narrow" w:hAnsi="Arial Narrow" w:eastAsia="等线"/>
                <w:color w:val="000000"/>
                <w:szCs w:val="21"/>
              </w:rPr>
              <w:t xml:space="preserve">68,954,021.30 </w:t>
            </w:r>
          </w:p>
        </w:tc>
      </w:tr>
      <w:tr w14:paraId="1F9127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2CD822D3">
            <w:pPr>
              <w:ind w:firstLine="420" w:firstLineChars="200"/>
              <w:rPr>
                <w:rFonts w:hint="eastAsia"/>
                <w:color w:val="000000"/>
                <w:szCs w:val="21"/>
              </w:rPr>
            </w:pPr>
            <w:r>
              <w:rPr>
                <w:rFonts w:hint="eastAsia"/>
                <w:szCs w:val="21"/>
              </w:rPr>
              <w:t>筹资活动现金流出小计</w:t>
            </w:r>
          </w:p>
        </w:tc>
        <w:tc>
          <w:tcPr>
            <w:tcW w:w="562" w:type="pct"/>
            <w:tcBorders>
              <w:top w:val="outset" w:color="auto" w:sz="4" w:space="0"/>
              <w:left w:val="outset" w:color="auto" w:sz="4" w:space="0"/>
              <w:bottom w:val="outset" w:color="auto" w:sz="4" w:space="0"/>
              <w:right w:val="outset" w:color="auto" w:sz="4" w:space="0"/>
            </w:tcBorders>
            <w:vAlign w:val="center"/>
          </w:tcPr>
          <w:p w14:paraId="7ABCD257">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38DE3DB4">
            <w:pPr>
              <w:jc w:val="right"/>
              <w:rPr>
                <w:rFonts w:hint="eastAsia"/>
                <w:szCs w:val="21"/>
              </w:rPr>
            </w:pPr>
            <w:r>
              <w:rPr>
                <w:rFonts w:ascii="Arial Narrow" w:hAnsi="Arial Narrow" w:eastAsia="等线"/>
                <w:color w:val="000000"/>
                <w:szCs w:val="21"/>
              </w:rPr>
              <w:t xml:space="preserve">1,881,282,168.68 </w:t>
            </w:r>
          </w:p>
        </w:tc>
        <w:tc>
          <w:tcPr>
            <w:tcW w:w="986" w:type="pct"/>
            <w:tcBorders>
              <w:top w:val="outset" w:color="auto" w:sz="4" w:space="0"/>
              <w:left w:val="outset" w:color="auto" w:sz="4" w:space="0"/>
              <w:bottom w:val="outset" w:color="auto" w:sz="4" w:space="0"/>
              <w:right w:val="outset" w:color="auto" w:sz="4" w:space="0"/>
            </w:tcBorders>
            <w:vAlign w:val="center"/>
          </w:tcPr>
          <w:p w14:paraId="40F20406">
            <w:pPr>
              <w:jc w:val="right"/>
              <w:rPr>
                <w:rFonts w:hint="eastAsia"/>
                <w:szCs w:val="21"/>
              </w:rPr>
            </w:pPr>
            <w:r>
              <w:rPr>
                <w:rFonts w:ascii="Arial Narrow" w:hAnsi="Arial Narrow" w:eastAsia="等线"/>
                <w:color w:val="000000"/>
                <w:szCs w:val="21"/>
              </w:rPr>
              <w:t xml:space="preserve">3,927,120,612.74 </w:t>
            </w:r>
          </w:p>
        </w:tc>
      </w:tr>
      <w:tr w14:paraId="2F79A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1EAB2AD4">
            <w:pPr>
              <w:ind w:firstLine="630" w:firstLineChars="300"/>
              <w:rPr>
                <w:rFonts w:hint="eastAsia"/>
                <w:color w:val="000000"/>
                <w:szCs w:val="21"/>
              </w:rPr>
            </w:pPr>
            <w:r>
              <w:rPr>
                <w:rFonts w:hint="eastAsia"/>
                <w:szCs w:val="21"/>
              </w:rPr>
              <w:t>筹资活动产生的现金流量净额</w:t>
            </w:r>
          </w:p>
        </w:tc>
        <w:tc>
          <w:tcPr>
            <w:tcW w:w="562" w:type="pct"/>
            <w:tcBorders>
              <w:top w:val="outset" w:color="auto" w:sz="4" w:space="0"/>
              <w:left w:val="outset" w:color="auto" w:sz="4" w:space="0"/>
              <w:bottom w:val="outset" w:color="auto" w:sz="4" w:space="0"/>
              <w:right w:val="outset" w:color="auto" w:sz="4" w:space="0"/>
            </w:tcBorders>
            <w:vAlign w:val="center"/>
          </w:tcPr>
          <w:p w14:paraId="2796D5D8">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6096763D">
            <w:pPr>
              <w:jc w:val="right"/>
              <w:rPr>
                <w:rFonts w:hint="eastAsia"/>
                <w:szCs w:val="21"/>
              </w:rPr>
            </w:pPr>
            <w:r>
              <w:rPr>
                <w:rFonts w:ascii="Arial Narrow" w:hAnsi="Arial Narrow" w:eastAsia="等线"/>
                <w:color w:val="000000"/>
                <w:szCs w:val="21"/>
              </w:rPr>
              <w:t xml:space="preserve">-603,402,482.96 </w:t>
            </w:r>
          </w:p>
        </w:tc>
        <w:tc>
          <w:tcPr>
            <w:tcW w:w="986" w:type="pct"/>
            <w:tcBorders>
              <w:top w:val="outset" w:color="auto" w:sz="4" w:space="0"/>
              <w:left w:val="outset" w:color="auto" w:sz="4" w:space="0"/>
              <w:bottom w:val="outset" w:color="auto" w:sz="4" w:space="0"/>
              <w:right w:val="outset" w:color="auto" w:sz="4" w:space="0"/>
            </w:tcBorders>
            <w:vAlign w:val="center"/>
          </w:tcPr>
          <w:p w14:paraId="0742F9E6">
            <w:pPr>
              <w:jc w:val="right"/>
              <w:rPr>
                <w:rFonts w:hint="eastAsia"/>
                <w:szCs w:val="21"/>
              </w:rPr>
            </w:pPr>
            <w:r>
              <w:rPr>
                <w:rFonts w:ascii="Arial Narrow" w:hAnsi="Arial Narrow" w:eastAsia="等线"/>
                <w:color w:val="000000"/>
                <w:szCs w:val="21"/>
              </w:rPr>
              <w:t xml:space="preserve">830,455,349.57 </w:t>
            </w:r>
          </w:p>
        </w:tc>
      </w:tr>
      <w:tr w14:paraId="55720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697E533F">
            <w:pPr>
              <w:rPr>
                <w:rFonts w:hint="eastAsia"/>
                <w:color w:val="000000"/>
                <w:szCs w:val="21"/>
              </w:rPr>
            </w:pPr>
            <w:r>
              <w:rPr>
                <w:rFonts w:hint="eastAsia"/>
                <w:b/>
                <w:bCs/>
                <w:szCs w:val="21"/>
              </w:rPr>
              <w:t>四、汇率变动对现金及现金等价物的影响</w:t>
            </w:r>
          </w:p>
        </w:tc>
        <w:tc>
          <w:tcPr>
            <w:tcW w:w="562" w:type="pct"/>
            <w:tcBorders>
              <w:top w:val="outset" w:color="auto" w:sz="4" w:space="0"/>
              <w:left w:val="outset" w:color="auto" w:sz="4" w:space="0"/>
              <w:bottom w:val="outset" w:color="auto" w:sz="4" w:space="0"/>
              <w:right w:val="outset" w:color="auto" w:sz="4" w:space="0"/>
            </w:tcBorders>
            <w:vAlign w:val="center"/>
          </w:tcPr>
          <w:p w14:paraId="2E4C8881">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91D96ED">
            <w:pPr>
              <w:jc w:val="right"/>
              <w:rPr>
                <w:rFonts w:hint="eastAsia"/>
                <w:szCs w:val="21"/>
              </w:rPr>
            </w:pPr>
            <w:r>
              <w:rPr>
                <w:rFonts w:ascii="Arial Narrow" w:hAnsi="Arial Narrow" w:eastAsia="等线"/>
                <w:color w:val="000000"/>
                <w:szCs w:val="21"/>
              </w:rPr>
              <w:t xml:space="preserve">1,138,534.02 </w:t>
            </w:r>
          </w:p>
        </w:tc>
        <w:tc>
          <w:tcPr>
            <w:tcW w:w="986" w:type="pct"/>
            <w:tcBorders>
              <w:top w:val="outset" w:color="auto" w:sz="4" w:space="0"/>
              <w:left w:val="outset" w:color="auto" w:sz="4" w:space="0"/>
              <w:bottom w:val="outset" w:color="auto" w:sz="4" w:space="0"/>
              <w:right w:val="outset" w:color="auto" w:sz="4" w:space="0"/>
            </w:tcBorders>
            <w:vAlign w:val="center"/>
          </w:tcPr>
          <w:p w14:paraId="0F33E8AE">
            <w:pPr>
              <w:jc w:val="right"/>
              <w:rPr>
                <w:rFonts w:hint="eastAsia"/>
                <w:szCs w:val="21"/>
              </w:rPr>
            </w:pPr>
            <w:r>
              <w:rPr>
                <w:rFonts w:ascii="Arial Narrow" w:hAnsi="Arial Narrow" w:eastAsia="等线"/>
                <w:color w:val="000000"/>
                <w:szCs w:val="21"/>
              </w:rPr>
              <w:t xml:space="preserve">-98,873.60 </w:t>
            </w:r>
          </w:p>
        </w:tc>
      </w:tr>
      <w:tr w14:paraId="0A0E1C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11BEBDBA">
            <w:pPr>
              <w:rPr>
                <w:rFonts w:hint="eastAsia"/>
                <w:color w:val="000000"/>
                <w:szCs w:val="21"/>
              </w:rPr>
            </w:pPr>
            <w:r>
              <w:rPr>
                <w:rFonts w:hint="eastAsia"/>
                <w:b/>
                <w:bCs/>
                <w:szCs w:val="21"/>
              </w:rPr>
              <w:t>五、现金及现金等价物净增加额</w:t>
            </w:r>
          </w:p>
        </w:tc>
        <w:tc>
          <w:tcPr>
            <w:tcW w:w="562" w:type="pct"/>
            <w:tcBorders>
              <w:top w:val="outset" w:color="auto" w:sz="4" w:space="0"/>
              <w:left w:val="outset" w:color="auto" w:sz="4" w:space="0"/>
              <w:bottom w:val="outset" w:color="auto" w:sz="4" w:space="0"/>
              <w:right w:val="outset" w:color="auto" w:sz="4" w:space="0"/>
            </w:tcBorders>
            <w:vAlign w:val="center"/>
          </w:tcPr>
          <w:p w14:paraId="5D8149C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43F7725D">
            <w:pPr>
              <w:jc w:val="right"/>
              <w:rPr>
                <w:rFonts w:hint="eastAsia"/>
                <w:szCs w:val="21"/>
              </w:rPr>
            </w:pPr>
            <w:r>
              <w:rPr>
                <w:rFonts w:ascii="Arial Narrow" w:hAnsi="Arial Narrow" w:eastAsia="等线"/>
                <w:color w:val="000000"/>
                <w:szCs w:val="21"/>
              </w:rPr>
              <w:t xml:space="preserve">-1,130,083,069.26 </w:t>
            </w:r>
          </w:p>
        </w:tc>
        <w:tc>
          <w:tcPr>
            <w:tcW w:w="986" w:type="pct"/>
            <w:tcBorders>
              <w:top w:val="outset" w:color="auto" w:sz="4" w:space="0"/>
              <w:left w:val="outset" w:color="auto" w:sz="4" w:space="0"/>
              <w:bottom w:val="outset" w:color="auto" w:sz="4" w:space="0"/>
              <w:right w:val="outset" w:color="auto" w:sz="4" w:space="0"/>
            </w:tcBorders>
            <w:vAlign w:val="center"/>
          </w:tcPr>
          <w:p w14:paraId="06EB404A">
            <w:pPr>
              <w:jc w:val="right"/>
              <w:rPr>
                <w:rFonts w:hint="eastAsia"/>
                <w:szCs w:val="21"/>
              </w:rPr>
            </w:pPr>
            <w:r>
              <w:rPr>
                <w:rFonts w:ascii="Arial Narrow" w:hAnsi="Arial Narrow" w:eastAsia="等线"/>
                <w:color w:val="000000"/>
                <w:szCs w:val="21"/>
              </w:rPr>
              <w:t xml:space="preserve">1,328,544,576.27 </w:t>
            </w:r>
          </w:p>
        </w:tc>
      </w:tr>
      <w:tr w14:paraId="058FEC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5A791D05">
            <w:pPr>
              <w:ind w:firstLine="210" w:firstLineChars="100"/>
              <w:rPr>
                <w:rFonts w:hint="eastAsia"/>
                <w:color w:val="000000"/>
                <w:szCs w:val="21"/>
              </w:rPr>
            </w:pPr>
            <w:r>
              <w:rPr>
                <w:rFonts w:hint="eastAsia"/>
                <w:szCs w:val="21"/>
              </w:rPr>
              <w:t>加：期初现金及现金等价物余额</w:t>
            </w:r>
          </w:p>
        </w:tc>
        <w:tc>
          <w:tcPr>
            <w:tcW w:w="562" w:type="pct"/>
            <w:tcBorders>
              <w:top w:val="outset" w:color="auto" w:sz="4" w:space="0"/>
              <w:left w:val="outset" w:color="auto" w:sz="4" w:space="0"/>
              <w:bottom w:val="outset" w:color="auto" w:sz="4" w:space="0"/>
              <w:right w:val="outset" w:color="auto" w:sz="4" w:space="0"/>
            </w:tcBorders>
            <w:vAlign w:val="center"/>
          </w:tcPr>
          <w:p w14:paraId="735B2FFD">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0C4D01B0">
            <w:pPr>
              <w:jc w:val="right"/>
              <w:rPr>
                <w:rFonts w:hint="eastAsia"/>
                <w:szCs w:val="21"/>
              </w:rPr>
            </w:pPr>
            <w:r>
              <w:rPr>
                <w:rFonts w:ascii="Arial Narrow" w:hAnsi="Arial Narrow" w:eastAsia="等线"/>
                <w:color w:val="000000"/>
                <w:szCs w:val="21"/>
              </w:rPr>
              <w:t xml:space="preserve">6,495,626,671.63 </w:t>
            </w:r>
          </w:p>
        </w:tc>
        <w:tc>
          <w:tcPr>
            <w:tcW w:w="986" w:type="pct"/>
            <w:tcBorders>
              <w:top w:val="outset" w:color="auto" w:sz="4" w:space="0"/>
              <w:left w:val="outset" w:color="auto" w:sz="4" w:space="0"/>
              <w:bottom w:val="outset" w:color="auto" w:sz="4" w:space="0"/>
              <w:right w:val="outset" w:color="auto" w:sz="4" w:space="0"/>
            </w:tcBorders>
            <w:vAlign w:val="center"/>
          </w:tcPr>
          <w:p w14:paraId="01466B53">
            <w:pPr>
              <w:jc w:val="right"/>
              <w:rPr>
                <w:rFonts w:hint="eastAsia"/>
                <w:szCs w:val="21"/>
              </w:rPr>
            </w:pPr>
            <w:r>
              <w:rPr>
                <w:rFonts w:ascii="Arial Narrow" w:hAnsi="Arial Narrow" w:eastAsia="等线"/>
                <w:color w:val="000000"/>
                <w:szCs w:val="21"/>
              </w:rPr>
              <w:t xml:space="preserve">5,167,082,095.36 </w:t>
            </w:r>
          </w:p>
        </w:tc>
      </w:tr>
      <w:tr w14:paraId="291C6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outset" w:color="auto" w:sz="4" w:space="0"/>
              <w:left w:val="outset" w:color="auto" w:sz="4" w:space="0"/>
              <w:bottom w:val="outset" w:color="auto" w:sz="4" w:space="0"/>
              <w:right w:val="outset" w:color="auto" w:sz="4" w:space="0"/>
            </w:tcBorders>
          </w:tcPr>
          <w:p w14:paraId="7D82F188">
            <w:pPr>
              <w:rPr>
                <w:rFonts w:hint="eastAsia"/>
                <w:color w:val="000000"/>
                <w:szCs w:val="21"/>
              </w:rPr>
            </w:pPr>
            <w:r>
              <w:rPr>
                <w:rFonts w:hint="eastAsia"/>
                <w:b/>
                <w:bCs/>
                <w:szCs w:val="21"/>
              </w:rPr>
              <w:t>六、期末现金及现金等价物余额</w:t>
            </w:r>
          </w:p>
        </w:tc>
        <w:tc>
          <w:tcPr>
            <w:tcW w:w="562" w:type="pct"/>
            <w:tcBorders>
              <w:top w:val="outset" w:color="auto" w:sz="4" w:space="0"/>
              <w:left w:val="outset" w:color="auto" w:sz="4" w:space="0"/>
              <w:bottom w:val="outset" w:color="auto" w:sz="4" w:space="0"/>
              <w:right w:val="outset" w:color="auto" w:sz="4" w:space="0"/>
            </w:tcBorders>
            <w:vAlign w:val="center"/>
          </w:tcPr>
          <w:p w14:paraId="2378FB62">
            <w:pPr>
              <w:rPr>
                <w:rFonts w:hint="eastAsia"/>
                <w:szCs w:val="21"/>
              </w:rPr>
            </w:pPr>
          </w:p>
        </w:tc>
        <w:tc>
          <w:tcPr>
            <w:tcW w:w="964" w:type="pct"/>
            <w:tcBorders>
              <w:top w:val="outset" w:color="auto" w:sz="4" w:space="0"/>
              <w:left w:val="outset" w:color="auto" w:sz="4" w:space="0"/>
              <w:bottom w:val="outset" w:color="auto" w:sz="4" w:space="0"/>
              <w:right w:val="outset" w:color="auto" w:sz="4" w:space="0"/>
            </w:tcBorders>
            <w:vAlign w:val="center"/>
          </w:tcPr>
          <w:p w14:paraId="73509453">
            <w:pPr>
              <w:jc w:val="right"/>
              <w:rPr>
                <w:rFonts w:hint="eastAsia"/>
                <w:szCs w:val="21"/>
              </w:rPr>
            </w:pPr>
            <w:r>
              <w:rPr>
                <w:rFonts w:ascii="Arial Narrow" w:hAnsi="Arial Narrow" w:eastAsia="等线"/>
                <w:color w:val="000000"/>
                <w:szCs w:val="21"/>
              </w:rPr>
              <w:t xml:space="preserve">5,365,543,602.37 </w:t>
            </w:r>
          </w:p>
        </w:tc>
        <w:tc>
          <w:tcPr>
            <w:tcW w:w="986" w:type="pct"/>
            <w:tcBorders>
              <w:top w:val="outset" w:color="auto" w:sz="4" w:space="0"/>
              <w:left w:val="outset" w:color="auto" w:sz="4" w:space="0"/>
              <w:bottom w:val="outset" w:color="auto" w:sz="4" w:space="0"/>
              <w:right w:val="outset" w:color="auto" w:sz="4" w:space="0"/>
            </w:tcBorders>
            <w:vAlign w:val="center"/>
          </w:tcPr>
          <w:p w14:paraId="7557170E">
            <w:pPr>
              <w:jc w:val="right"/>
              <w:rPr>
                <w:rFonts w:hint="eastAsia"/>
                <w:szCs w:val="21"/>
              </w:rPr>
            </w:pPr>
            <w:r>
              <w:rPr>
                <w:rFonts w:ascii="Arial Narrow" w:hAnsi="Arial Narrow" w:eastAsia="等线"/>
                <w:color w:val="000000"/>
                <w:szCs w:val="21"/>
              </w:rPr>
              <w:t xml:space="preserve">6,495,626,671.63 </w:t>
            </w:r>
          </w:p>
        </w:tc>
      </w:tr>
    </w:tbl>
    <w:p w14:paraId="424D1C26">
      <w:pPr>
        <w:rPr>
          <w:rFonts w:hint="eastAsia"/>
        </w:rPr>
      </w:pPr>
    </w:p>
    <w:p w14:paraId="697D2256">
      <w:pPr>
        <w:rPr>
          <w:rFonts w:hint="eastAsia"/>
        </w:rPr>
      </w:pPr>
    </w:p>
    <w:p w14:paraId="233DB9F8">
      <w:pPr>
        <w:snapToGrid w:val="0"/>
        <w:spacing w:line="240" w:lineRule="atLeast"/>
        <w:ind w:right="25" w:rightChars="12"/>
        <w:rPr>
          <w:rFonts w:hint="eastAsia"/>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d1f7cb193ab444ff8482a06aad12f0db"/>
          <w:id w:val="1415511030"/>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854611125"/>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1143163550"/>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1214229B">
      <w:pPr>
        <w:rPr>
          <w:rFonts w:hint="eastAsia"/>
          <w:szCs w:val="21"/>
        </w:rPr>
      </w:pPr>
    </w:p>
    <w:p w14:paraId="5952AC7B">
      <w:pPr>
        <w:rPr>
          <w:rFonts w:hint="eastAsia"/>
          <w:szCs w:val="21"/>
        </w:rPr>
      </w:pPr>
    </w:p>
    <w:p w14:paraId="19F63B9A">
      <w:pPr>
        <w:rPr>
          <w:rFonts w:hint="eastAsia"/>
          <w:szCs w:val="21"/>
        </w:rPr>
      </w:pPr>
    </w:p>
    <w:p w14:paraId="29806109">
      <w:pPr>
        <w:jc w:val="center"/>
        <w:rPr>
          <w:rFonts w:hint="eastAsia"/>
          <w:b/>
          <w:bCs/>
          <w:szCs w:val="21"/>
        </w:rPr>
      </w:pPr>
    </w:p>
    <w:p w14:paraId="3D17701C">
      <w:pPr>
        <w:jc w:val="center"/>
        <w:outlineLvl w:val="2"/>
        <w:rPr>
          <w:rFonts w:hint="eastAsia"/>
          <w:b/>
          <w:bCs/>
          <w:szCs w:val="21"/>
        </w:rPr>
      </w:pPr>
      <w:r>
        <w:rPr>
          <w:rFonts w:hint="eastAsia"/>
          <w:b/>
          <w:bCs/>
          <w:szCs w:val="21"/>
        </w:rPr>
        <w:t>母公司</w:t>
      </w:r>
      <w:r>
        <w:rPr>
          <w:b/>
          <w:bCs/>
          <w:szCs w:val="21"/>
        </w:rPr>
        <w:t>现金流量表</w:t>
      </w:r>
    </w:p>
    <w:p w14:paraId="4734B3D8">
      <w:pPr>
        <w:jc w:val="center"/>
        <w:rPr>
          <w:rFonts w:hint="eastAsia"/>
          <w:b/>
          <w:bCs/>
          <w:szCs w:val="21"/>
        </w:rPr>
      </w:pPr>
      <w:r>
        <w:rPr>
          <w:szCs w:val="21"/>
        </w:rPr>
        <w:t>2024年</w:t>
      </w:r>
      <w:r>
        <w:rPr>
          <w:rFonts w:hint="eastAsia"/>
          <w:szCs w:val="21"/>
        </w:rPr>
        <w:t>1—12</w:t>
      </w:r>
      <w:r>
        <w:rPr>
          <w:szCs w:val="21"/>
        </w:rPr>
        <w:t>月</w:t>
      </w:r>
    </w:p>
    <w:p w14:paraId="4BE43EDC">
      <w:pPr>
        <w:jc w:val="right"/>
        <w:rPr>
          <w:rFonts w:hint="eastAsia"/>
          <w:szCs w:val="21"/>
        </w:rPr>
      </w:pPr>
      <w:r>
        <w:rPr>
          <w:szCs w:val="21"/>
        </w:rPr>
        <w:t>单位</w:t>
      </w:r>
      <w:r>
        <w:rPr>
          <w:rFonts w:hint="eastAsia"/>
          <w:szCs w:val="21"/>
        </w:rPr>
        <w:t>：</w:t>
      </w:r>
      <w:sdt>
        <w:sdtPr>
          <w:rPr>
            <w:szCs w:val="21"/>
          </w:rPr>
          <w:alias w:val="单位：母公司现金流量表"/>
          <w:tag w:val="_GBC_993ead81b27a41dfaccaacfaec8b7c78"/>
          <w:id w:val="-4377572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r>
        <w:rPr>
          <w:rFonts w:hint="eastAsia"/>
          <w:szCs w:val="21"/>
        </w:rPr>
        <w:t>：</w:t>
      </w:r>
      <w:sdt>
        <w:sdtPr>
          <w:rPr>
            <w:szCs w:val="21"/>
          </w:rPr>
          <w:alias w:val="币种：母公司现金流量表"/>
          <w:tag w:val="_GBC_2dd4b706d0a244a4b4c21166025356cc"/>
          <w:id w:val="-2797275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2"/>
        <w:gridCol w:w="708"/>
        <w:gridCol w:w="2125"/>
        <w:gridCol w:w="2028"/>
      </w:tblGrid>
      <w:tr w14:paraId="227503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46" w:type="pct"/>
            <w:tcBorders>
              <w:top w:val="outset" w:color="auto" w:sz="4" w:space="0"/>
              <w:left w:val="outset" w:color="auto" w:sz="4" w:space="0"/>
              <w:bottom w:val="outset" w:color="auto" w:sz="4" w:space="0"/>
              <w:right w:val="outset" w:color="auto" w:sz="4" w:space="0"/>
            </w:tcBorders>
          </w:tcPr>
          <w:sdt>
            <w:sdtPr>
              <w:tag w:val="_PLD_fa8a4a4fe8df4f0086d4a3f59744ef0c"/>
              <w:id w:val="542563408"/>
            </w:sdtPr>
            <w:sdtContent>
              <w:p w14:paraId="0E4C4C26">
                <w:pPr>
                  <w:jc w:val="center"/>
                  <w:rPr>
                    <w:rFonts w:hint="eastAsia"/>
                    <w:b/>
                  </w:rPr>
                </w:pPr>
                <w:r>
                  <w:rPr>
                    <w:rFonts w:hint="eastAsia"/>
                    <w:b/>
                  </w:rPr>
                  <w:t>项目</w:t>
                </w:r>
              </w:p>
            </w:sdtContent>
          </w:sdt>
        </w:tc>
        <w:tc>
          <w:tcPr>
            <w:tcW w:w="401" w:type="pct"/>
            <w:tcBorders>
              <w:top w:val="outset" w:color="auto" w:sz="4" w:space="0"/>
              <w:left w:val="outset" w:color="auto" w:sz="4" w:space="0"/>
              <w:bottom w:val="outset" w:color="auto" w:sz="4" w:space="0"/>
              <w:right w:val="outset" w:color="auto" w:sz="4" w:space="0"/>
            </w:tcBorders>
          </w:tcPr>
          <w:sdt>
            <w:sdtPr>
              <w:tag w:val="_PLD_e2b9d4cf46994f4f99a9560554670b54"/>
              <w:id w:val="1651022155"/>
            </w:sdtPr>
            <w:sdtContent>
              <w:p w14:paraId="2012198F">
                <w:pPr>
                  <w:autoSpaceDE w:val="0"/>
                  <w:autoSpaceDN w:val="0"/>
                  <w:adjustRightInd w:val="0"/>
                  <w:jc w:val="center"/>
                  <w:rPr>
                    <w:rFonts w:hint="eastAsia"/>
                    <w:b/>
                  </w:rPr>
                </w:pPr>
                <w:r>
                  <w:rPr>
                    <w:rFonts w:hint="eastAsia"/>
                    <w:b/>
                  </w:rPr>
                  <w:t>附注</w:t>
                </w:r>
              </w:p>
            </w:sdtContent>
          </w:sdt>
        </w:tc>
        <w:tc>
          <w:tcPr>
            <w:tcW w:w="1204" w:type="pct"/>
            <w:tcBorders>
              <w:top w:val="outset" w:color="auto" w:sz="4" w:space="0"/>
              <w:left w:val="outset" w:color="auto" w:sz="4" w:space="0"/>
              <w:bottom w:val="outset" w:color="auto" w:sz="4" w:space="0"/>
              <w:right w:val="outset" w:color="auto" w:sz="4" w:space="0"/>
            </w:tcBorders>
          </w:tcPr>
          <w:sdt>
            <w:sdtPr>
              <w:tag w:val="_PLD_a5e1076b6ae14d71abde0e9180405588"/>
              <w:id w:val="867189129"/>
            </w:sdtPr>
            <w:sdtContent>
              <w:p w14:paraId="716B4EEC">
                <w:pPr>
                  <w:autoSpaceDE w:val="0"/>
                  <w:autoSpaceDN w:val="0"/>
                  <w:adjustRightInd w:val="0"/>
                  <w:jc w:val="center"/>
                  <w:rPr>
                    <w:rFonts w:hint="eastAsia"/>
                    <w:b/>
                  </w:rPr>
                </w:pPr>
                <w:r>
                  <w:rPr>
                    <w:rFonts w:hint="eastAsia"/>
                    <w:b/>
                  </w:rPr>
                  <w:t>2024年度</w:t>
                </w:r>
              </w:p>
            </w:sdtContent>
          </w:sdt>
        </w:tc>
        <w:tc>
          <w:tcPr>
            <w:tcW w:w="1148" w:type="pct"/>
            <w:tcBorders>
              <w:top w:val="outset" w:color="auto" w:sz="4" w:space="0"/>
              <w:left w:val="outset" w:color="auto" w:sz="4" w:space="0"/>
              <w:bottom w:val="outset" w:color="auto" w:sz="4" w:space="0"/>
              <w:right w:val="outset" w:color="auto" w:sz="4" w:space="0"/>
            </w:tcBorders>
          </w:tcPr>
          <w:sdt>
            <w:sdtPr>
              <w:tag w:val="_PLD_9f1994ac47d2487c870c64df42698a51"/>
              <w:id w:val="1792089731"/>
            </w:sdtPr>
            <w:sdtContent>
              <w:p w14:paraId="3CBFBAFB">
                <w:pPr>
                  <w:autoSpaceDE w:val="0"/>
                  <w:autoSpaceDN w:val="0"/>
                  <w:adjustRightInd w:val="0"/>
                  <w:jc w:val="center"/>
                  <w:rPr>
                    <w:rFonts w:hint="eastAsia"/>
                    <w:b/>
                  </w:rPr>
                </w:pPr>
                <w:r>
                  <w:rPr>
                    <w:rFonts w:hint="eastAsia"/>
                    <w:b/>
                  </w:rPr>
                  <w:t>2023年度</w:t>
                </w:r>
              </w:p>
            </w:sdtContent>
          </w:sdt>
        </w:tc>
      </w:tr>
      <w:tr w14:paraId="7D9B1C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5384e7a1c2841c78793ee2e647fdb97"/>
            <w:id w:val="-442456413"/>
          </w:sdtPr>
          <w:sdtContent>
            <w:tc>
              <w:tcPr>
                <w:tcW w:w="5000" w:type="pct"/>
                <w:gridSpan w:val="4"/>
                <w:tcBorders>
                  <w:top w:val="outset" w:color="auto" w:sz="4" w:space="0"/>
                  <w:left w:val="outset" w:color="auto" w:sz="4" w:space="0"/>
                  <w:bottom w:val="outset" w:color="auto" w:sz="4" w:space="0"/>
                  <w:right w:val="outset" w:color="auto" w:sz="4" w:space="0"/>
                </w:tcBorders>
              </w:tcPr>
              <w:p w14:paraId="7E1EC5E7">
                <w:pPr>
                  <w:rPr>
                    <w:rFonts w:hint="eastAsia"/>
                    <w:szCs w:val="21"/>
                  </w:rPr>
                </w:pPr>
                <w:r>
                  <w:rPr>
                    <w:rFonts w:hint="eastAsia"/>
                    <w:b/>
                    <w:bCs/>
                    <w:szCs w:val="21"/>
                  </w:rPr>
                  <w:t>一、经营活动产生的现金流量：</w:t>
                </w:r>
              </w:p>
            </w:tc>
          </w:sdtContent>
        </w:sdt>
      </w:tr>
      <w:tr w14:paraId="47F6A3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42972A99">
            <w:pPr>
              <w:ind w:firstLine="210" w:firstLineChars="100"/>
              <w:rPr>
                <w:rFonts w:hint="eastAsia"/>
                <w:color w:val="000000"/>
                <w:szCs w:val="21"/>
              </w:rPr>
            </w:pPr>
            <w:r>
              <w:rPr>
                <w:rFonts w:hint="eastAsia"/>
                <w:szCs w:val="21"/>
              </w:rPr>
              <w:t>销售商品、提供劳务收到的现金</w:t>
            </w:r>
          </w:p>
        </w:tc>
        <w:tc>
          <w:tcPr>
            <w:tcW w:w="401" w:type="pct"/>
            <w:tcBorders>
              <w:top w:val="outset" w:color="auto" w:sz="4" w:space="0"/>
              <w:left w:val="outset" w:color="auto" w:sz="4" w:space="0"/>
              <w:bottom w:val="outset" w:color="auto" w:sz="4" w:space="0"/>
              <w:right w:val="outset" w:color="auto" w:sz="4" w:space="0"/>
            </w:tcBorders>
            <w:vAlign w:val="center"/>
          </w:tcPr>
          <w:p w14:paraId="3C4A12B6">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0BCB5E0">
            <w:pPr>
              <w:jc w:val="right"/>
              <w:rPr>
                <w:rFonts w:ascii="Arial Narrow" w:hAnsi="Arial Narrow"/>
                <w:szCs w:val="21"/>
              </w:rPr>
            </w:pPr>
            <w:r>
              <w:rPr>
                <w:rFonts w:ascii="Arial Narrow" w:hAnsi="Arial Narrow"/>
                <w:color w:val="000000"/>
                <w:szCs w:val="21"/>
              </w:rPr>
              <w:t xml:space="preserve">18,470,164.40 </w:t>
            </w:r>
          </w:p>
        </w:tc>
        <w:tc>
          <w:tcPr>
            <w:tcW w:w="1148" w:type="pct"/>
            <w:tcBorders>
              <w:top w:val="outset" w:color="auto" w:sz="4" w:space="0"/>
              <w:left w:val="outset" w:color="auto" w:sz="4" w:space="0"/>
              <w:bottom w:val="outset" w:color="auto" w:sz="4" w:space="0"/>
              <w:right w:val="outset" w:color="auto" w:sz="4" w:space="0"/>
            </w:tcBorders>
            <w:vAlign w:val="center"/>
          </w:tcPr>
          <w:p w14:paraId="6299F91C">
            <w:pPr>
              <w:jc w:val="right"/>
              <w:rPr>
                <w:rFonts w:ascii="Arial Narrow" w:hAnsi="Arial Narrow"/>
                <w:szCs w:val="21"/>
              </w:rPr>
            </w:pPr>
            <w:r>
              <w:rPr>
                <w:rFonts w:ascii="Arial Narrow" w:hAnsi="Arial Narrow"/>
                <w:color w:val="000000"/>
                <w:szCs w:val="21"/>
              </w:rPr>
              <w:t xml:space="preserve">41,917,674.14 </w:t>
            </w:r>
          </w:p>
        </w:tc>
      </w:tr>
      <w:tr w14:paraId="6E3F97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5BF8D116">
            <w:pPr>
              <w:ind w:firstLine="210" w:firstLineChars="100"/>
              <w:rPr>
                <w:rFonts w:hint="eastAsia"/>
                <w:color w:val="000000"/>
                <w:szCs w:val="21"/>
              </w:rPr>
            </w:pPr>
            <w:r>
              <w:rPr>
                <w:rFonts w:hint="eastAsia"/>
                <w:szCs w:val="21"/>
              </w:rPr>
              <w:t>收到的税费返还</w:t>
            </w:r>
          </w:p>
        </w:tc>
        <w:tc>
          <w:tcPr>
            <w:tcW w:w="401" w:type="pct"/>
            <w:tcBorders>
              <w:top w:val="outset" w:color="auto" w:sz="4" w:space="0"/>
              <w:left w:val="outset" w:color="auto" w:sz="4" w:space="0"/>
              <w:bottom w:val="outset" w:color="auto" w:sz="4" w:space="0"/>
              <w:right w:val="outset" w:color="auto" w:sz="4" w:space="0"/>
            </w:tcBorders>
            <w:vAlign w:val="center"/>
          </w:tcPr>
          <w:p w14:paraId="737A3299">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1F41038">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7B1EF8E6">
            <w:pPr>
              <w:jc w:val="right"/>
              <w:rPr>
                <w:rFonts w:ascii="Arial Narrow" w:hAnsi="Arial Narrow"/>
                <w:szCs w:val="21"/>
              </w:rPr>
            </w:pPr>
          </w:p>
        </w:tc>
      </w:tr>
      <w:tr w14:paraId="45556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8A2E9FB">
            <w:pPr>
              <w:ind w:firstLine="210" w:firstLineChars="100"/>
              <w:rPr>
                <w:rFonts w:hint="eastAsia"/>
                <w:color w:val="000000"/>
                <w:szCs w:val="21"/>
              </w:rPr>
            </w:pPr>
            <w:r>
              <w:rPr>
                <w:rFonts w:hint="eastAsia"/>
                <w:szCs w:val="21"/>
              </w:rPr>
              <w:t>收到其他与经营活动有关的现金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3CF700C0">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AE492ED">
            <w:pPr>
              <w:jc w:val="right"/>
              <w:rPr>
                <w:rFonts w:ascii="Arial Narrow" w:hAnsi="Arial Narrow"/>
                <w:szCs w:val="21"/>
              </w:rPr>
            </w:pPr>
            <w:r>
              <w:rPr>
                <w:rFonts w:ascii="Arial Narrow" w:hAnsi="Arial Narrow"/>
                <w:color w:val="000000"/>
                <w:szCs w:val="21"/>
              </w:rPr>
              <w:t xml:space="preserve">82,416,801.40 </w:t>
            </w:r>
          </w:p>
        </w:tc>
        <w:tc>
          <w:tcPr>
            <w:tcW w:w="1148" w:type="pct"/>
            <w:tcBorders>
              <w:top w:val="outset" w:color="auto" w:sz="4" w:space="0"/>
              <w:left w:val="outset" w:color="auto" w:sz="4" w:space="0"/>
              <w:bottom w:val="outset" w:color="auto" w:sz="4" w:space="0"/>
              <w:right w:val="outset" w:color="auto" w:sz="4" w:space="0"/>
            </w:tcBorders>
            <w:vAlign w:val="center"/>
          </w:tcPr>
          <w:p w14:paraId="5DE56B62">
            <w:pPr>
              <w:jc w:val="right"/>
              <w:rPr>
                <w:rFonts w:ascii="Arial Narrow" w:hAnsi="Arial Narrow"/>
                <w:szCs w:val="21"/>
              </w:rPr>
            </w:pPr>
            <w:r>
              <w:rPr>
                <w:rFonts w:ascii="Arial Narrow" w:hAnsi="Arial Narrow"/>
                <w:color w:val="000000"/>
                <w:szCs w:val="21"/>
              </w:rPr>
              <w:t xml:space="preserve">158,596,663.11 </w:t>
            </w:r>
          </w:p>
        </w:tc>
      </w:tr>
      <w:tr w14:paraId="4FC46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79693F26">
            <w:pPr>
              <w:ind w:firstLine="420" w:firstLineChars="200"/>
              <w:rPr>
                <w:rFonts w:hint="eastAsia"/>
                <w:color w:val="000000"/>
                <w:szCs w:val="21"/>
              </w:rPr>
            </w:pPr>
            <w:r>
              <w:rPr>
                <w:rFonts w:hint="eastAsia"/>
                <w:szCs w:val="21"/>
              </w:rPr>
              <w:t>经营活动现金流入小计</w:t>
            </w:r>
          </w:p>
        </w:tc>
        <w:tc>
          <w:tcPr>
            <w:tcW w:w="401" w:type="pct"/>
            <w:tcBorders>
              <w:top w:val="outset" w:color="auto" w:sz="4" w:space="0"/>
              <w:left w:val="outset" w:color="auto" w:sz="4" w:space="0"/>
              <w:bottom w:val="outset" w:color="auto" w:sz="4" w:space="0"/>
              <w:right w:val="outset" w:color="auto" w:sz="4" w:space="0"/>
            </w:tcBorders>
            <w:vAlign w:val="center"/>
          </w:tcPr>
          <w:p w14:paraId="55A89681">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FA2BCE3">
            <w:pPr>
              <w:jc w:val="right"/>
              <w:rPr>
                <w:rFonts w:ascii="Arial Narrow" w:hAnsi="Arial Narrow"/>
                <w:szCs w:val="21"/>
              </w:rPr>
            </w:pPr>
            <w:r>
              <w:rPr>
                <w:rFonts w:ascii="Arial Narrow" w:hAnsi="Arial Narrow"/>
                <w:color w:val="000000"/>
                <w:szCs w:val="21"/>
              </w:rPr>
              <w:t xml:space="preserve">100,886,965.80 </w:t>
            </w:r>
          </w:p>
        </w:tc>
        <w:tc>
          <w:tcPr>
            <w:tcW w:w="1148" w:type="pct"/>
            <w:tcBorders>
              <w:top w:val="outset" w:color="auto" w:sz="4" w:space="0"/>
              <w:left w:val="outset" w:color="auto" w:sz="4" w:space="0"/>
              <w:bottom w:val="outset" w:color="auto" w:sz="4" w:space="0"/>
              <w:right w:val="outset" w:color="auto" w:sz="4" w:space="0"/>
            </w:tcBorders>
            <w:vAlign w:val="center"/>
          </w:tcPr>
          <w:p w14:paraId="61352B20">
            <w:pPr>
              <w:jc w:val="right"/>
              <w:rPr>
                <w:rFonts w:ascii="Arial Narrow" w:hAnsi="Arial Narrow"/>
                <w:szCs w:val="21"/>
              </w:rPr>
            </w:pPr>
            <w:r>
              <w:rPr>
                <w:rFonts w:ascii="Arial Narrow" w:hAnsi="Arial Narrow"/>
                <w:color w:val="000000"/>
                <w:szCs w:val="21"/>
              </w:rPr>
              <w:t xml:space="preserve">200,514,337.25 </w:t>
            </w:r>
          </w:p>
        </w:tc>
      </w:tr>
      <w:tr w14:paraId="48D38B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C06E6EA">
            <w:pPr>
              <w:ind w:firstLine="210" w:firstLineChars="100"/>
              <w:rPr>
                <w:rFonts w:hint="eastAsia"/>
                <w:szCs w:val="21"/>
              </w:rPr>
            </w:pPr>
            <w:r>
              <w:rPr>
                <w:rFonts w:hint="eastAsia"/>
                <w:szCs w:val="21"/>
              </w:rPr>
              <w:t>购买商品、接受劳务支付的现金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6FD5715A">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A6A7B6F">
            <w:pPr>
              <w:jc w:val="right"/>
              <w:rPr>
                <w:rFonts w:ascii="Arial Narrow" w:hAnsi="Arial Narrow"/>
                <w:szCs w:val="21"/>
              </w:rPr>
            </w:pPr>
            <w:r>
              <w:rPr>
                <w:rFonts w:ascii="Arial Narrow" w:hAnsi="Arial Narrow"/>
                <w:color w:val="000000"/>
                <w:szCs w:val="21"/>
              </w:rPr>
              <w:t xml:space="preserve">3,190,688.58 </w:t>
            </w:r>
          </w:p>
        </w:tc>
        <w:tc>
          <w:tcPr>
            <w:tcW w:w="1148" w:type="pct"/>
            <w:tcBorders>
              <w:top w:val="outset" w:color="auto" w:sz="4" w:space="0"/>
              <w:left w:val="outset" w:color="auto" w:sz="4" w:space="0"/>
              <w:bottom w:val="outset" w:color="auto" w:sz="4" w:space="0"/>
              <w:right w:val="outset" w:color="auto" w:sz="4" w:space="0"/>
            </w:tcBorders>
            <w:vAlign w:val="center"/>
          </w:tcPr>
          <w:p w14:paraId="120E4757">
            <w:pPr>
              <w:jc w:val="right"/>
              <w:rPr>
                <w:rFonts w:ascii="Arial Narrow" w:hAnsi="Arial Narrow"/>
                <w:szCs w:val="21"/>
              </w:rPr>
            </w:pPr>
            <w:r>
              <w:rPr>
                <w:rFonts w:ascii="Arial Narrow" w:hAnsi="Arial Narrow"/>
                <w:color w:val="000000"/>
                <w:szCs w:val="21"/>
              </w:rPr>
              <w:t xml:space="preserve">22,560,096.99 </w:t>
            </w:r>
          </w:p>
        </w:tc>
      </w:tr>
      <w:tr w14:paraId="1D939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7693F9BD">
            <w:pPr>
              <w:ind w:firstLine="210" w:firstLineChars="100"/>
              <w:rPr>
                <w:rFonts w:hint="eastAsia"/>
                <w:szCs w:val="21"/>
              </w:rPr>
            </w:pPr>
            <w:r>
              <w:rPr>
                <w:rFonts w:hint="eastAsia"/>
                <w:szCs w:val="21"/>
              </w:rPr>
              <w:t>支付给职工及为职工支付的现金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25E0AFAA">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7BFC4BB">
            <w:pPr>
              <w:jc w:val="right"/>
              <w:rPr>
                <w:rFonts w:ascii="Arial Narrow" w:hAnsi="Arial Narrow"/>
                <w:szCs w:val="21"/>
              </w:rPr>
            </w:pPr>
            <w:r>
              <w:rPr>
                <w:rFonts w:ascii="Arial Narrow" w:hAnsi="Arial Narrow"/>
                <w:color w:val="000000"/>
                <w:szCs w:val="21"/>
              </w:rPr>
              <w:t xml:space="preserve">90,169,098.02 </w:t>
            </w:r>
          </w:p>
        </w:tc>
        <w:tc>
          <w:tcPr>
            <w:tcW w:w="1148" w:type="pct"/>
            <w:tcBorders>
              <w:top w:val="outset" w:color="auto" w:sz="4" w:space="0"/>
              <w:left w:val="outset" w:color="auto" w:sz="4" w:space="0"/>
              <w:bottom w:val="outset" w:color="auto" w:sz="4" w:space="0"/>
              <w:right w:val="outset" w:color="auto" w:sz="4" w:space="0"/>
            </w:tcBorders>
            <w:vAlign w:val="center"/>
          </w:tcPr>
          <w:p w14:paraId="52EB07B5">
            <w:pPr>
              <w:jc w:val="right"/>
              <w:rPr>
                <w:rFonts w:ascii="Arial Narrow" w:hAnsi="Arial Narrow"/>
                <w:szCs w:val="21"/>
              </w:rPr>
            </w:pPr>
            <w:r>
              <w:rPr>
                <w:rFonts w:ascii="Arial Narrow" w:hAnsi="Arial Narrow"/>
                <w:color w:val="000000"/>
                <w:szCs w:val="21"/>
              </w:rPr>
              <w:t xml:space="preserve">75,742,171.43 </w:t>
            </w:r>
          </w:p>
        </w:tc>
      </w:tr>
      <w:tr w14:paraId="6AA9FD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4271A8F0">
            <w:pPr>
              <w:ind w:firstLine="210" w:firstLineChars="100"/>
              <w:rPr>
                <w:rFonts w:hint="eastAsia"/>
                <w:szCs w:val="21"/>
              </w:rPr>
            </w:pPr>
            <w:r>
              <w:rPr>
                <w:rFonts w:hint="eastAsia"/>
                <w:szCs w:val="21"/>
              </w:rPr>
              <w:t>支付的各项税费</w:t>
            </w:r>
          </w:p>
        </w:tc>
        <w:tc>
          <w:tcPr>
            <w:tcW w:w="401" w:type="pct"/>
            <w:tcBorders>
              <w:top w:val="outset" w:color="auto" w:sz="4" w:space="0"/>
              <w:left w:val="outset" w:color="auto" w:sz="4" w:space="0"/>
              <w:bottom w:val="outset" w:color="auto" w:sz="4" w:space="0"/>
              <w:right w:val="outset" w:color="auto" w:sz="4" w:space="0"/>
            </w:tcBorders>
            <w:vAlign w:val="center"/>
          </w:tcPr>
          <w:p w14:paraId="1D6ADDD3">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27CCAAF1">
            <w:pPr>
              <w:jc w:val="right"/>
              <w:rPr>
                <w:rFonts w:ascii="Arial Narrow" w:hAnsi="Arial Narrow"/>
                <w:szCs w:val="21"/>
              </w:rPr>
            </w:pPr>
            <w:r>
              <w:rPr>
                <w:rFonts w:ascii="Arial Narrow" w:hAnsi="Arial Narrow"/>
                <w:color w:val="000000"/>
                <w:szCs w:val="21"/>
              </w:rPr>
              <w:t xml:space="preserve">7,589,339.01 </w:t>
            </w:r>
          </w:p>
        </w:tc>
        <w:tc>
          <w:tcPr>
            <w:tcW w:w="1148" w:type="pct"/>
            <w:tcBorders>
              <w:top w:val="outset" w:color="auto" w:sz="4" w:space="0"/>
              <w:left w:val="outset" w:color="auto" w:sz="4" w:space="0"/>
              <w:bottom w:val="outset" w:color="auto" w:sz="4" w:space="0"/>
              <w:right w:val="outset" w:color="auto" w:sz="4" w:space="0"/>
            </w:tcBorders>
            <w:vAlign w:val="center"/>
          </w:tcPr>
          <w:p w14:paraId="71C6975F">
            <w:pPr>
              <w:jc w:val="right"/>
              <w:rPr>
                <w:rFonts w:ascii="Arial Narrow" w:hAnsi="Arial Narrow"/>
                <w:szCs w:val="21"/>
              </w:rPr>
            </w:pPr>
            <w:r>
              <w:rPr>
                <w:rFonts w:ascii="Arial Narrow" w:hAnsi="Arial Narrow"/>
                <w:color w:val="000000"/>
                <w:szCs w:val="21"/>
              </w:rPr>
              <w:t xml:space="preserve">12,485,662.51 </w:t>
            </w:r>
          </w:p>
        </w:tc>
      </w:tr>
      <w:tr w14:paraId="79067C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6772608">
            <w:pPr>
              <w:ind w:firstLine="210" w:firstLineChars="100"/>
              <w:rPr>
                <w:rFonts w:hint="eastAsia"/>
                <w:szCs w:val="21"/>
              </w:rPr>
            </w:pPr>
            <w:r>
              <w:rPr>
                <w:rFonts w:hint="eastAsia"/>
                <w:szCs w:val="21"/>
              </w:rPr>
              <w:t>支付其他与经营活动有关的现金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73FABE7F">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756AF3D0">
            <w:pPr>
              <w:jc w:val="right"/>
              <w:rPr>
                <w:rFonts w:ascii="Arial Narrow" w:hAnsi="Arial Narrow"/>
                <w:szCs w:val="21"/>
              </w:rPr>
            </w:pPr>
            <w:r>
              <w:rPr>
                <w:rFonts w:ascii="Arial Narrow" w:hAnsi="Arial Narrow"/>
                <w:color w:val="000000"/>
                <w:szCs w:val="21"/>
              </w:rPr>
              <w:t xml:space="preserve">58,877,365.08 </w:t>
            </w:r>
          </w:p>
        </w:tc>
        <w:tc>
          <w:tcPr>
            <w:tcW w:w="1148" w:type="pct"/>
            <w:tcBorders>
              <w:top w:val="outset" w:color="auto" w:sz="4" w:space="0"/>
              <w:left w:val="outset" w:color="auto" w:sz="4" w:space="0"/>
              <w:bottom w:val="outset" w:color="auto" w:sz="4" w:space="0"/>
              <w:right w:val="outset" w:color="auto" w:sz="4" w:space="0"/>
            </w:tcBorders>
            <w:vAlign w:val="center"/>
          </w:tcPr>
          <w:p w14:paraId="23185F23">
            <w:pPr>
              <w:jc w:val="right"/>
              <w:rPr>
                <w:rFonts w:ascii="Arial Narrow" w:hAnsi="Arial Narrow"/>
                <w:szCs w:val="21"/>
              </w:rPr>
            </w:pPr>
            <w:r>
              <w:rPr>
                <w:rFonts w:ascii="Arial Narrow" w:hAnsi="Arial Narrow"/>
                <w:color w:val="000000"/>
                <w:szCs w:val="21"/>
              </w:rPr>
              <w:t xml:space="preserve">78,379,067.96 </w:t>
            </w:r>
          </w:p>
        </w:tc>
      </w:tr>
      <w:tr w14:paraId="1778D7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08EFDD49">
            <w:pPr>
              <w:ind w:firstLine="420" w:firstLineChars="200"/>
              <w:rPr>
                <w:rFonts w:hint="eastAsia"/>
                <w:color w:val="000000"/>
                <w:szCs w:val="21"/>
              </w:rPr>
            </w:pPr>
            <w:r>
              <w:rPr>
                <w:rFonts w:hint="eastAsia"/>
                <w:szCs w:val="21"/>
              </w:rPr>
              <w:t>经营活动现金流出小计</w:t>
            </w:r>
          </w:p>
        </w:tc>
        <w:tc>
          <w:tcPr>
            <w:tcW w:w="401" w:type="pct"/>
            <w:tcBorders>
              <w:top w:val="outset" w:color="auto" w:sz="4" w:space="0"/>
              <w:left w:val="outset" w:color="auto" w:sz="4" w:space="0"/>
              <w:bottom w:val="outset" w:color="auto" w:sz="4" w:space="0"/>
              <w:right w:val="outset" w:color="auto" w:sz="4" w:space="0"/>
            </w:tcBorders>
            <w:vAlign w:val="center"/>
          </w:tcPr>
          <w:p w14:paraId="7508EE31">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72A6C23D">
            <w:pPr>
              <w:jc w:val="right"/>
              <w:rPr>
                <w:rFonts w:ascii="Arial Narrow" w:hAnsi="Arial Narrow"/>
                <w:szCs w:val="21"/>
              </w:rPr>
            </w:pPr>
            <w:r>
              <w:rPr>
                <w:rFonts w:ascii="Arial Narrow" w:hAnsi="Arial Narrow"/>
                <w:color w:val="000000"/>
                <w:szCs w:val="21"/>
              </w:rPr>
              <w:t xml:space="preserve">159,826,490.69 </w:t>
            </w:r>
          </w:p>
        </w:tc>
        <w:tc>
          <w:tcPr>
            <w:tcW w:w="1148" w:type="pct"/>
            <w:tcBorders>
              <w:top w:val="outset" w:color="auto" w:sz="4" w:space="0"/>
              <w:left w:val="outset" w:color="auto" w:sz="4" w:space="0"/>
              <w:bottom w:val="outset" w:color="auto" w:sz="4" w:space="0"/>
              <w:right w:val="outset" w:color="auto" w:sz="4" w:space="0"/>
            </w:tcBorders>
            <w:vAlign w:val="center"/>
          </w:tcPr>
          <w:p w14:paraId="0276827E">
            <w:pPr>
              <w:jc w:val="right"/>
              <w:rPr>
                <w:rFonts w:ascii="Arial Narrow" w:hAnsi="Arial Narrow"/>
                <w:szCs w:val="21"/>
              </w:rPr>
            </w:pPr>
            <w:r>
              <w:rPr>
                <w:rFonts w:ascii="Arial Narrow" w:hAnsi="Arial Narrow"/>
                <w:color w:val="000000"/>
                <w:szCs w:val="21"/>
              </w:rPr>
              <w:t xml:space="preserve">189,166,998.89 </w:t>
            </w:r>
          </w:p>
        </w:tc>
      </w:tr>
      <w:tr w14:paraId="0F2847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1F58D71">
            <w:pPr>
              <w:ind w:firstLine="210" w:firstLineChars="100"/>
              <w:rPr>
                <w:rFonts w:hint="eastAsia"/>
                <w:color w:val="000000"/>
                <w:szCs w:val="21"/>
              </w:rPr>
            </w:pPr>
            <w:r>
              <w:rPr>
                <w:rFonts w:hint="eastAsia"/>
                <w:szCs w:val="21"/>
              </w:rPr>
              <w:t>经营活动产生的现金流量净额</w:t>
            </w:r>
          </w:p>
        </w:tc>
        <w:tc>
          <w:tcPr>
            <w:tcW w:w="401" w:type="pct"/>
            <w:tcBorders>
              <w:top w:val="outset" w:color="auto" w:sz="4" w:space="0"/>
              <w:left w:val="outset" w:color="auto" w:sz="4" w:space="0"/>
              <w:bottom w:val="outset" w:color="auto" w:sz="4" w:space="0"/>
              <w:right w:val="outset" w:color="auto" w:sz="4" w:space="0"/>
            </w:tcBorders>
            <w:vAlign w:val="center"/>
          </w:tcPr>
          <w:p w14:paraId="143FF0E2">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7408D6DB">
            <w:pPr>
              <w:jc w:val="right"/>
              <w:rPr>
                <w:rFonts w:ascii="Arial Narrow" w:hAnsi="Arial Narrow"/>
                <w:szCs w:val="21"/>
              </w:rPr>
            </w:pPr>
            <w:r>
              <w:rPr>
                <w:rFonts w:ascii="Arial Narrow" w:hAnsi="Arial Narrow"/>
                <w:color w:val="000000"/>
                <w:szCs w:val="21"/>
              </w:rPr>
              <w:t xml:space="preserve">-58,939,524.89 </w:t>
            </w:r>
          </w:p>
        </w:tc>
        <w:tc>
          <w:tcPr>
            <w:tcW w:w="1148" w:type="pct"/>
            <w:tcBorders>
              <w:top w:val="outset" w:color="auto" w:sz="4" w:space="0"/>
              <w:left w:val="outset" w:color="auto" w:sz="4" w:space="0"/>
              <w:bottom w:val="outset" w:color="auto" w:sz="4" w:space="0"/>
              <w:right w:val="outset" w:color="auto" w:sz="4" w:space="0"/>
            </w:tcBorders>
            <w:vAlign w:val="center"/>
          </w:tcPr>
          <w:p w14:paraId="122777B6">
            <w:pPr>
              <w:jc w:val="right"/>
              <w:rPr>
                <w:rFonts w:ascii="Arial Narrow" w:hAnsi="Arial Narrow"/>
                <w:szCs w:val="21"/>
              </w:rPr>
            </w:pPr>
            <w:r>
              <w:rPr>
                <w:rFonts w:ascii="Arial Narrow" w:hAnsi="Arial Narrow"/>
                <w:color w:val="000000"/>
                <w:szCs w:val="21"/>
              </w:rPr>
              <w:t xml:space="preserve">11,347,338.36 </w:t>
            </w:r>
          </w:p>
        </w:tc>
      </w:tr>
      <w:tr w14:paraId="74D8A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rPr>
            <w:tag w:val="_PLD_ea89a8f6b76943769d484d535b94417c"/>
            <w:id w:val="399021232"/>
          </w:sdtPr>
          <w:sdtEndPr>
            <w:rPr>
              <w:rFonts w:ascii="Arial Narrow" w:hAnsi="Arial Narrow"/>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73F5CD2">
                <w:pPr>
                  <w:rPr>
                    <w:rFonts w:ascii="Arial Narrow" w:hAnsi="Arial Narrow"/>
                    <w:color w:val="008000"/>
                    <w:szCs w:val="21"/>
                  </w:rPr>
                </w:pPr>
                <w:r>
                  <w:rPr>
                    <w:rFonts w:ascii="Arial Narrow" w:hAnsi="Arial Narrow"/>
                    <w:b/>
                    <w:bCs/>
                    <w:szCs w:val="21"/>
                  </w:rPr>
                  <w:t>二、投资活动产生的现金流量：</w:t>
                </w:r>
              </w:p>
            </w:tc>
          </w:sdtContent>
        </w:sdt>
      </w:tr>
      <w:tr w14:paraId="5BA6E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642B4DB">
            <w:pPr>
              <w:ind w:firstLine="210" w:firstLineChars="100"/>
              <w:rPr>
                <w:rFonts w:hint="eastAsia"/>
                <w:szCs w:val="21"/>
              </w:rPr>
            </w:pPr>
            <w:r>
              <w:rPr>
                <w:rFonts w:hint="eastAsia"/>
                <w:szCs w:val="21"/>
              </w:rPr>
              <w:t>收回投资收到的现金</w:t>
            </w:r>
          </w:p>
        </w:tc>
        <w:tc>
          <w:tcPr>
            <w:tcW w:w="401" w:type="pct"/>
            <w:tcBorders>
              <w:top w:val="outset" w:color="auto" w:sz="4" w:space="0"/>
              <w:left w:val="outset" w:color="auto" w:sz="4" w:space="0"/>
              <w:bottom w:val="outset" w:color="auto" w:sz="4" w:space="0"/>
              <w:right w:val="outset" w:color="auto" w:sz="4" w:space="0"/>
            </w:tcBorders>
            <w:vAlign w:val="center"/>
          </w:tcPr>
          <w:p w14:paraId="38210A4E">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6951685">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008DD166">
            <w:pPr>
              <w:jc w:val="right"/>
              <w:rPr>
                <w:rFonts w:ascii="Arial Narrow" w:hAnsi="Arial Narrow"/>
                <w:szCs w:val="21"/>
              </w:rPr>
            </w:pPr>
          </w:p>
        </w:tc>
      </w:tr>
      <w:tr w14:paraId="543868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2D8AB5E2">
            <w:pPr>
              <w:ind w:firstLine="210" w:firstLineChars="100"/>
              <w:rPr>
                <w:rFonts w:hint="eastAsia"/>
                <w:szCs w:val="21"/>
              </w:rPr>
            </w:pPr>
            <w:r>
              <w:rPr>
                <w:rFonts w:hint="eastAsia"/>
                <w:szCs w:val="21"/>
              </w:rPr>
              <w:t>取得投资收益收到的现金</w:t>
            </w:r>
          </w:p>
        </w:tc>
        <w:tc>
          <w:tcPr>
            <w:tcW w:w="401" w:type="pct"/>
            <w:tcBorders>
              <w:top w:val="outset" w:color="auto" w:sz="4" w:space="0"/>
              <w:left w:val="outset" w:color="auto" w:sz="4" w:space="0"/>
              <w:bottom w:val="outset" w:color="auto" w:sz="4" w:space="0"/>
              <w:right w:val="outset" w:color="auto" w:sz="4" w:space="0"/>
            </w:tcBorders>
            <w:vAlign w:val="center"/>
          </w:tcPr>
          <w:p w14:paraId="3D706443">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1BC32AEB">
            <w:pPr>
              <w:jc w:val="right"/>
              <w:rPr>
                <w:rFonts w:ascii="Arial Narrow" w:hAnsi="Arial Narrow"/>
                <w:szCs w:val="21"/>
              </w:rPr>
            </w:pPr>
            <w:r>
              <w:rPr>
                <w:rFonts w:ascii="Arial Narrow" w:hAnsi="Arial Narrow"/>
                <w:color w:val="000000"/>
                <w:szCs w:val="21"/>
              </w:rPr>
              <w:t xml:space="preserve">73,754,329.18 </w:t>
            </w:r>
          </w:p>
        </w:tc>
        <w:tc>
          <w:tcPr>
            <w:tcW w:w="1148" w:type="pct"/>
            <w:tcBorders>
              <w:top w:val="outset" w:color="auto" w:sz="4" w:space="0"/>
              <w:left w:val="outset" w:color="auto" w:sz="4" w:space="0"/>
              <w:bottom w:val="outset" w:color="auto" w:sz="4" w:space="0"/>
              <w:right w:val="outset" w:color="auto" w:sz="4" w:space="0"/>
            </w:tcBorders>
            <w:vAlign w:val="center"/>
          </w:tcPr>
          <w:p w14:paraId="29524546">
            <w:pPr>
              <w:jc w:val="right"/>
              <w:rPr>
                <w:rFonts w:ascii="Arial Narrow" w:hAnsi="Arial Narrow"/>
                <w:szCs w:val="21"/>
              </w:rPr>
            </w:pPr>
            <w:r>
              <w:rPr>
                <w:rFonts w:ascii="Arial Narrow" w:hAnsi="Arial Narrow"/>
                <w:color w:val="000000"/>
                <w:szCs w:val="21"/>
              </w:rPr>
              <w:t xml:space="preserve">58,584,144.76 </w:t>
            </w:r>
          </w:p>
        </w:tc>
      </w:tr>
      <w:tr w14:paraId="6E736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307D09D">
            <w:pPr>
              <w:ind w:firstLine="210" w:firstLineChars="100"/>
              <w:rPr>
                <w:rFonts w:hint="eastAsia"/>
                <w:szCs w:val="21"/>
              </w:rPr>
            </w:pPr>
            <w:r>
              <w:rPr>
                <w:rFonts w:hint="eastAsia"/>
                <w:szCs w:val="21"/>
              </w:rPr>
              <w:t>处置固定资产、无形资产和其他长期资产收回的现金净额</w:t>
            </w:r>
          </w:p>
        </w:tc>
        <w:tc>
          <w:tcPr>
            <w:tcW w:w="401" w:type="pct"/>
            <w:tcBorders>
              <w:top w:val="outset" w:color="auto" w:sz="4" w:space="0"/>
              <w:left w:val="outset" w:color="auto" w:sz="4" w:space="0"/>
              <w:bottom w:val="outset" w:color="auto" w:sz="4" w:space="0"/>
              <w:right w:val="outset" w:color="auto" w:sz="4" w:space="0"/>
            </w:tcBorders>
            <w:vAlign w:val="center"/>
          </w:tcPr>
          <w:p w14:paraId="2DDAC5F1">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CE87D27">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3E160966">
            <w:pPr>
              <w:jc w:val="right"/>
              <w:rPr>
                <w:rFonts w:ascii="Arial Narrow" w:hAnsi="Arial Narrow"/>
                <w:szCs w:val="21"/>
              </w:rPr>
            </w:pPr>
          </w:p>
        </w:tc>
      </w:tr>
      <w:tr w14:paraId="5C838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5CFB0723">
            <w:pPr>
              <w:ind w:firstLine="210" w:firstLineChars="100"/>
              <w:rPr>
                <w:rFonts w:hint="eastAsia"/>
                <w:szCs w:val="21"/>
              </w:rPr>
            </w:pPr>
            <w:r>
              <w:rPr>
                <w:rFonts w:hint="eastAsia"/>
                <w:szCs w:val="21"/>
              </w:rPr>
              <w:t>处置子公司及其他营业单位收到的现金净额</w:t>
            </w:r>
          </w:p>
        </w:tc>
        <w:tc>
          <w:tcPr>
            <w:tcW w:w="401" w:type="pct"/>
            <w:tcBorders>
              <w:top w:val="outset" w:color="auto" w:sz="4" w:space="0"/>
              <w:left w:val="outset" w:color="auto" w:sz="4" w:space="0"/>
              <w:bottom w:val="outset" w:color="auto" w:sz="4" w:space="0"/>
              <w:right w:val="outset" w:color="auto" w:sz="4" w:space="0"/>
            </w:tcBorders>
            <w:vAlign w:val="center"/>
          </w:tcPr>
          <w:p w14:paraId="254DB324">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0DE355C">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57B1D69F">
            <w:pPr>
              <w:jc w:val="right"/>
              <w:rPr>
                <w:rFonts w:ascii="Arial Narrow" w:hAnsi="Arial Narrow"/>
                <w:szCs w:val="21"/>
              </w:rPr>
            </w:pPr>
            <w:r>
              <w:rPr>
                <w:rFonts w:ascii="Arial Narrow" w:hAnsi="Arial Narrow"/>
                <w:color w:val="000000"/>
                <w:szCs w:val="21"/>
              </w:rPr>
              <w:t xml:space="preserve">79,592,130.00 </w:t>
            </w:r>
          </w:p>
        </w:tc>
      </w:tr>
      <w:tr w14:paraId="3FBA06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CF3F461">
            <w:pPr>
              <w:ind w:firstLine="210" w:firstLineChars="100"/>
              <w:rPr>
                <w:rFonts w:hint="eastAsia"/>
                <w:szCs w:val="21"/>
              </w:rPr>
            </w:pPr>
            <w:r>
              <w:rPr>
                <w:rFonts w:hint="eastAsia"/>
                <w:szCs w:val="21"/>
              </w:rPr>
              <w:t>收到其他与投资活动有关的现金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75F30401">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6ED813E">
            <w:pPr>
              <w:jc w:val="right"/>
              <w:rPr>
                <w:rFonts w:ascii="Arial Narrow" w:hAnsi="Arial Narrow"/>
                <w:szCs w:val="21"/>
              </w:rPr>
            </w:pPr>
            <w:r>
              <w:rPr>
                <w:rFonts w:ascii="Arial Narrow" w:hAnsi="Arial Narrow"/>
                <w:color w:val="000000"/>
                <w:szCs w:val="21"/>
              </w:rPr>
              <w:t xml:space="preserve">764,138,588.09 </w:t>
            </w:r>
          </w:p>
        </w:tc>
        <w:tc>
          <w:tcPr>
            <w:tcW w:w="1148" w:type="pct"/>
            <w:tcBorders>
              <w:top w:val="outset" w:color="auto" w:sz="4" w:space="0"/>
              <w:left w:val="outset" w:color="auto" w:sz="4" w:space="0"/>
              <w:bottom w:val="outset" w:color="auto" w:sz="4" w:space="0"/>
              <w:right w:val="outset" w:color="auto" w:sz="4" w:space="0"/>
            </w:tcBorders>
            <w:vAlign w:val="center"/>
          </w:tcPr>
          <w:p w14:paraId="6083EA22">
            <w:pPr>
              <w:jc w:val="right"/>
              <w:rPr>
                <w:rFonts w:ascii="Arial Narrow" w:hAnsi="Arial Narrow"/>
                <w:szCs w:val="21"/>
              </w:rPr>
            </w:pPr>
            <w:r>
              <w:rPr>
                <w:rFonts w:ascii="Arial Narrow" w:hAnsi="Arial Narrow"/>
                <w:color w:val="000000"/>
                <w:szCs w:val="21"/>
              </w:rPr>
              <w:t xml:space="preserve">2,375,915,373.19 </w:t>
            </w:r>
          </w:p>
        </w:tc>
      </w:tr>
      <w:tr w14:paraId="20030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5E9A0DC9">
            <w:pPr>
              <w:ind w:firstLine="420" w:firstLineChars="200"/>
              <w:rPr>
                <w:rFonts w:hint="eastAsia"/>
                <w:color w:val="000000"/>
                <w:szCs w:val="21"/>
              </w:rPr>
            </w:pPr>
            <w:r>
              <w:rPr>
                <w:rFonts w:hint="eastAsia"/>
                <w:szCs w:val="21"/>
              </w:rPr>
              <w:t>投资活动现金流入小计</w:t>
            </w:r>
          </w:p>
        </w:tc>
        <w:tc>
          <w:tcPr>
            <w:tcW w:w="401" w:type="pct"/>
            <w:tcBorders>
              <w:top w:val="outset" w:color="auto" w:sz="4" w:space="0"/>
              <w:left w:val="outset" w:color="auto" w:sz="4" w:space="0"/>
              <w:bottom w:val="outset" w:color="auto" w:sz="4" w:space="0"/>
              <w:right w:val="outset" w:color="auto" w:sz="4" w:space="0"/>
            </w:tcBorders>
            <w:vAlign w:val="center"/>
          </w:tcPr>
          <w:p w14:paraId="570FCB8F">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14010A3D">
            <w:pPr>
              <w:jc w:val="right"/>
              <w:rPr>
                <w:rFonts w:ascii="Arial Narrow" w:hAnsi="Arial Narrow"/>
                <w:szCs w:val="21"/>
              </w:rPr>
            </w:pPr>
            <w:r>
              <w:rPr>
                <w:rFonts w:ascii="Arial Narrow" w:hAnsi="Arial Narrow"/>
                <w:color w:val="000000"/>
                <w:szCs w:val="21"/>
              </w:rPr>
              <w:t xml:space="preserve">837,892,917.27 </w:t>
            </w:r>
          </w:p>
        </w:tc>
        <w:tc>
          <w:tcPr>
            <w:tcW w:w="1148" w:type="pct"/>
            <w:tcBorders>
              <w:top w:val="outset" w:color="auto" w:sz="4" w:space="0"/>
              <w:left w:val="outset" w:color="auto" w:sz="4" w:space="0"/>
              <w:bottom w:val="outset" w:color="auto" w:sz="4" w:space="0"/>
              <w:right w:val="outset" w:color="auto" w:sz="4" w:space="0"/>
            </w:tcBorders>
            <w:vAlign w:val="center"/>
          </w:tcPr>
          <w:p w14:paraId="06F27F1C">
            <w:pPr>
              <w:jc w:val="right"/>
              <w:rPr>
                <w:rFonts w:ascii="Arial Narrow" w:hAnsi="Arial Narrow"/>
                <w:szCs w:val="21"/>
              </w:rPr>
            </w:pPr>
            <w:r>
              <w:rPr>
                <w:rFonts w:ascii="Arial Narrow" w:hAnsi="Arial Narrow"/>
                <w:color w:val="000000"/>
                <w:szCs w:val="21"/>
              </w:rPr>
              <w:t xml:space="preserve">2,514,091,647.95 </w:t>
            </w:r>
          </w:p>
        </w:tc>
      </w:tr>
      <w:tr w14:paraId="0AEF24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2FB496E0">
            <w:pPr>
              <w:ind w:firstLine="210" w:firstLineChars="100"/>
              <w:rPr>
                <w:rFonts w:hint="eastAsia"/>
                <w:szCs w:val="21"/>
              </w:rPr>
            </w:pPr>
            <w:r>
              <w:rPr>
                <w:rFonts w:hint="eastAsia"/>
                <w:szCs w:val="21"/>
              </w:rPr>
              <w:t>购建固定资产、无形资产和其他长期资产支付的现金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3E0CD296">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CF79BB6">
            <w:pPr>
              <w:jc w:val="right"/>
              <w:rPr>
                <w:rFonts w:ascii="Arial Narrow" w:hAnsi="Arial Narrow"/>
                <w:szCs w:val="21"/>
              </w:rPr>
            </w:pPr>
            <w:r>
              <w:rPr>
                <w:rFonts w:ascii="Arial Narrow" w:hAnsi="Arial Narrow"/>
                <w:color w:val="000000"/>
                <w:szCs w:val="21"/>
              </w:rPr>
              <w:t xml:space="preserve">242,132,665.56 </w:t>
            </w:r>
          </w:p>
        </w:tc>
        <w:tc>
          <w:tcPr>
            <w:tcW w:w="1148" w:type="pct"/>
            <w:tcBorders>
              <w:top w:val="outset" w:color="auto" w:sz="4" w:space="0"/>
              <w:left w:val="outset" w:color="auto" w:sz="4" w:space="0"/>
              <w:bottom w:val="outset" w:color="auto" w:sz="4" w:space="0"/>
              <w:right w:val="outset" w:color="auto" w:sz="4" w:space="0"/>
            </w:tcBorders>
            <w:vAlign w:val="center"/>
          </w:tcPr>
          <w:p w14:paraId="121D5915">
            <w:pPr>
              <w:jc w:val="right"/>
              <w:rPr>
                <w:rFonts w:ascii="Arial Narrow" w:hAnsi="Arial Narrow"/>
                <w:szCs w:val="21"/>
              </w:rPr>
            </w:pPr>
            <w:r>
              <w:rPr>
                <w:rFonts w:ascii="Arial Narrow" w:hAnsi="Arial Narrow"/>
                <w:color w:val="000000"/>
                <w:szCs w:val="21"/>
              </w:rPr>
              <w:t xml:space="preserve">158,719,172.10 </w:t>
            </w:r>
          </w:p>
        </w:tc>
      </w:tr>
      <w:tr w14:paraId="5877C1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355C42B">
            <w:pPr>
              <w:ind w:firstLine="210" w:firstLineChars="100"/>
              <w:rPr>
                <w:rFonts w:hint="eastAsia"/>
                <w:szCs w:val="21"/>
              </w:rPr>
            </w:pPr>
            <w:r>
              <w:rPr>
                <w:rFonts w:hint="eastAsia"/>
                <w:szCs w:val="21"/>
              </w:rPr>
              <w:t>投资支付的现金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5C53532D">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3AACFFA">
            <w:pPr>
              <w:jc w:val="right"/>
              <w:rPr>
                <w:rFonts w:ascii="Arial Narrow" w:hAnsi="Arial Narrow"/>
                <w:szCs w:val="21"/>
              </w:rPr>
            </w:pPr>
            <w:r>
              <w:rPr>
                <w:rFonts w:ascii="Arial Narrow" w:hAnsi="Arial Narrow"/>
                <w:color w:val="000000"/>
                <w:szCs w:val="21"/>
              </w:rPr>
              <w:t xml:space="preserve">165,000,000.00 </w:t>
            </w:r>
          </w:p>
        </w:tc>
        <w:tc>
          <w:tcPr>
            <w:tcW w:w="1148" w:type="pct"/>
            <w:tcBorders>
              <w:top w:val="outset" w:color="auto" w:sz="4" w:space="0"/>
              <w:left w:val="outset" w:color="auto" w:sz="4" w:space="0"/>
              <w:bottom w:val="outset" w:color="auto" w:sz="4" w:space="0"/>
              <w:right w:val="outset" w:color="auto" w:sz="4" w:space="0"/>
            </w:tcBorders>
            <w:vAlign w:val="center"/>
          </w:tcPr>
          <w:p w14:paraId="4AF94924">
            <w:pPr>
              <w:jc w:val="right"/>
              <w:rPr>
                <w:rFonts w:ascii="Arial Narrow" w:hAnsi="Arial Narrow"/>
                <w:szCs w:val="21"/>
              </w:rPr>
            </w:pPr>
            <w:r>
              <w:rPr>
                <w:rFonts w:ascii="Arial Narrow" w:hAnsi="Arial Narrow"/>
                <w:color w:val="000000"/>
                <w:szCs w:val="21"/>
              </w:rPr>
              <w:t xml:space="preserve">325,100,000.00 </w:t>
            </w:r>
          </w:p>
        </w:tc>
      </w:tr>
      <w:tr w14:paraId="4DA8FB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0536A4F6">
            <w:pPr>
              <w:ind w:firstLine="210" w:firstLineChars="100"/>
              <w:rPr>
                <w:rFonts w:hint="eastAsia"/>
                <w:szCs w:val="21"/>
              </w:rPr>
            </w:pPr>
            <w:r>
              <w:rPr>
                <w:rFonts w:hint="eastAsia"/>
                <w:szCs w:val="21"/>
              </w:rPr>
              <w:t>取得子公司及其他营业单位支付的现金净额</w:t>
            </w:r>
          </w:p>
        </w:tc>
        <w:tc>
          <w:tcPr>
            <w:tcW w:w="401" w:type="pct"/>
            <w:tcBorders>
              <w:top w:val="outset" w:color="auto" w:sz="4" w:space="0"/>
              <w:left w:val="outset" w:color="auto" w:sz="4" w:space="0"/>
              <w:bottom w:val="outset" w:color="auto" w:sz="4" w:space="0"/>
              <w:right w:val="outset" w:color="auto" w:sz="4" w:space="0"/>
            </w:tcBorders>
            <w:vAlign w:val="center"/>
          </w:tcPr>
          <w:p w14:paraId="1C63278B">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22F0BF7D">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08EED689">
            <w:pPr>
              <w:jc w:val="right"/>
              <w:rPr>
                <w:rFonts w:ascii="Arial Narrow" w:hAnsi="Arial Narrow"/>
                <w:szCs w:val="21"/>
              </w:rPr>
            </w:pPr>
          </w:p>
        </w:tc>
      </w:tr>
      <w:tr w14:paraId="53A380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66B69453">
            <w:pPr>
              <w:ind w:firstLine="210" w:firstLineChars="100"/>
              <w:rPr>
                <w:rFonts w:hint="eastAsia"/>
                <w:szCs w:val="21"/>
              </w:rPr>
            </w:pPr>
            <w:r>
              <w:rPr>
                <w:rFonts w:hint="eastAsia"/>
                <w:szCs w:val="21"/>
              </w:rPr>
              <w:t>支付其他与投资活动有关的现金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0565199C">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129426E7">
            <w:pPr>
              <w:jc w:val="right"/>
              <w:rPr>
                <w:rFonts w:ascii="Arial Narrow" w:hAnsi="Arial Narrow"/>
                <w:szCs w:val="21"/>
              </w:rPr>
            </w:pPr>
            <w:r>
              <w:rPr>
                <w:rFonts w:ascii="Arial Narrow" w:hAnsi="Arial Narrow"/>
                <w:color w:val="000000"/>
                <w:szCs w:val="21"/>
              </w:rPr>
              <w:t xml:space="preserve">667,264,096.85 </w:t>
            </w:r>
          </w:p>
        </w:tc>
        <w:tc>
          <w:tcPr>
            <w:tcW w:w="1148" w:type="pct"/>
            <w:tcBorders>
              <w:top w:val="outset" w:color="auto" w:sz="4" w:space="0"/>
              <w:left w:val="outset" w:color="auto" w:sz="4" w:space="0"/>
              <w:bottom w:val="outset" w:color="auto" w:sz="4" w:space="0"/>
              <w:right w:val="outset" w:color="auto" w:sz="4" w:space="0"/>
            </w:tcBorders>
            <w:vAlign w:val="center"/>
          </w:tcPr>
          <w:p w14:paraId="58A52C5B">
            <w:pPr>
              <w:jc w:val="right"/>
              <w:rPr>
                <w:rFonts w:ascii="Arial Narrow" w:hAnsi="Arial Narrow"/>
                <w:szCs w:val="21"/>
              </w:rPr>
            </w:pPr>
            <w:r>
              <w:rPr>
                <w:rFonts w:ascii="Arial Narrow" w:hAnsi="Arial Narrow"/>
                <w:color w:val="000000"/>
                <w:szCs w:val="21"/>
              </w:rPr>
              <w:t xml:space="preserve">1,775,089,952.87 </w:t>
            </w:r>
          </w:p>
        </w:tc>
      </w:tr>
      <w:tr w14:paraId="75F40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42985342">
            <w:pPr>
              <w:ind w:firstLine="420" w:firstLineChars="200"/>
              <w:rPr>
                <w:rFonts w:hint="eastAsia"/>
                <w:color w:val="000000"/>
                <w:szCs w:val="21"/>
              </w:rPr>
            </w:pPr>
            <w:r>
              <w:rPr>
                <w:rFonts w:hint="eastAsia"/>
                <w:szCs w:val="21"/>
              </w:rPr>
              <w:t>投资活动现金流出小计</w:t>
            </w:r>
          </w:p>
        </w:tc>
        <w:tc>
          <w:tcPr>
            <w:tcW w:w="401" w:type="pct"/>
            <w:tcBorders>
              <w:top w:val="outset" w:color="auto" w:sz="4" w:space="0"/>
              <w:left w:val="outset" w:color="auto" w:sz="4" w:space="0"/>
              <w:bottom w:val="outset" w:color="auto" w:sz="4" w:space="0"/>
              <w:right w:val="outset" w:color="auto" w:sz="4" w:space="0"/>
            </w:tcBorders>
            <w:vAlign w:val="center"/>
          </w:tcPr>
          <w:p w14:paraId="68BEF3A6">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0961DFF">
            <w:pPr>
              <w:jc w:val="right"/>
              <w:rPr>
                <w:rFonts w:ascii="Arial Narrow" w:hAnsi="Arial Narrow"/>
                <w:szCs w:val="21"/>
              </w:rPr>
            </w:pPr>
            <w:r>
              <w:rPr>
                <w:rFonts w:ascii="Arial Narrow" w:hAnsi="Arial Narrow"/>
                <w:color w:val="000000"/>
                <w:szCs w:val="21"/>
              </w:rPr>
              <w:t xml:space="preserve">1,074,396,762.41 </w:t>
            </w:r>
          </w:p>
        </w:tc>
        <w:tc>
          <w:tcPr>
            <w:tcW w:w="1148" w:type="pct"/>
            <w:tcBorders>
              <w:top w:val="outset" w:color="auto" w:sz="4" w:space="0"/>
              <w:left w:val="outset" w:color="auto" w:sz="4" w:space="0"/>
              <w:bottom w:val="outset" w:color="auto" w:sz="4" w:space="0"/>
              <w:right w:val="outset" w:color="auto" w:sz="4" w:space="0"/>
            </w:tcBorders>
            <w:vAlign w:val="center"/>
          </w:tcPr>
          <w:p w14:paraId="1A096853">
            <w:pPr>
              <w:jc w:val="right"/>
              <w:rPr>
                <w:rFonts w:ascii="Arial Narrow" w:hAnsi="Arial Narrow"/>
                <w:szCs w:val="21"/>
              </w:rPr>
            </w:pPr>
            <w:r>
              <w:rPr>
                <w:rFonts w:ascii="Arial Narrow" w:hAnsi="Arial Narrow"/>
                <w:color w:val="000000"/>
                <w:szCs w:val="21"/>
              </w:rPr>
              <w:t xml:space="preserve">2,258,909,124.97 </w:t>
            </w:r>
          </w:p>
        </w:tc>
      </w:tr>
      <w:tr w14:paraId="510F5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2D43D2E4">
            <w:pPr>
              <w:ind w:firstLine="630" w:firstLineChars="300"/>
              <w:rPr>
                <w:rFonts w:hint="eastAsia"/>
                <w:color w:val="000000"/>
                <w:szCs w:val="21"/>
              </w:rPr>
            </w:pPr>
            <w:r>
              <w:rPr>
                <w:rFonts w:hint="eastAsia"/>
                <w:szCs w:val="21"/>
              </w:rPr>
              <w:t>投资活动产生的现金流量净额</w:t>
            </w:r>
          </w:p>
        </w:tc>
        <w:tc>
          <w:tcPr>
            <w:tcW w:w="401" w:type="pct"/>
            <w:tcBorders>
              <w:top w:val="outset" w:color="auto" w:sz="4" w:space="0"/>
              <w:left w:val="outset" w:color="auto" w:sz="4" w:space="0"/>
              <w:bottom w:val="outset" w:color="auto" w:sz="4" w:space="0"/>
              <w:right w:val="outset" w:color="auto" w:sz="4" w:space="0"/>
            </w:tcBorders>
            <w:vAlign w:val="center"/>
          </w:tcPr>
          <w:p w14:paraId="1DFE423B">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E3F9D43">
            <w:pPr>
              <w:jc w:val="right"/>
              <w:rPr>
                <w:rFonts w:ascii="Arial Narrow" w:hAnsi="Arial Narrow"/>
                <w:szCs w:val="21"/>
              </w:rPr>
            </w:pPr>
            <w:r>
              <w:rPr>
                <w:rFonts w:ascii="Arial Narrow" w:hAnsi="Arial Narrow"/>
                <w:color w:val="000000"/>
                <w:szCs w:val="21"/>
              </w:rPr>
              <w:t xml:space="preserve">-236,503,845.14 </w:t>
            </w:r>
          </w:p>
        </w:tc>
        <w:tc>
          <w:tcPr>
            <w:tcW w:w="1148" w:type="pct"/>
            <w:tcBorders>
              <w:top w:val="outset" w:color="auto" w:sz="4" w:space="0"/>
              <w:left w:val="outset" w:color="auto" w:sz="4" w:space="0"/>
              <w:bottom w:val="outset" w:color="auto" w:sz="4" w:space="0"/>
              <w:right w:val="outset" w:color="auto" w:sz="4" w:space="0"/>
            </w:tcBorders>
            <w:vAlign w:val="center"/>
          </w:tcPr>
          <w:p w14:paraId="2980E64A">
            <w:pPr>
              <w:jc w:val="right"/>
              <w:rPr>
                <w:rFonts w:ascii="Arial Narrow" w:hAnsi="Arial Narrow"/>
                <w:szCs w:val="21"/>
              </w:rPr>
            </w:pPr>
            <w:r>
              <w:rPr>
                <w:rFonts w:ascii="Arial Narrow" w:hAnsi="Arial Narrow"/>
                <w:color w:val="000000"/>
                <w:szCs w:val="21"/>
              </w:rPr>
              <w:t xml:space="preserve">255,182,522.98 </w:t>
            </w:r>
          </w:p>
        </w:tc>
      </w:tr>
      <w:tr w14:paraId="547AFA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rPr>
            <w:tag w:val="_PLD_8b6929c78db14ee1bde1ca4b9a47a65c"/>
            <w:id w:val="2062823951"/>
          </w:sdtPr>
          <w:sdtEndPr>
            <w:rPr>
              <w:rFonts w:ascii="Arial Narrow" w:hAnsi="Arial Narrow"/>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552DAE0D">
                <w:pPr>
                  <w:rPr>
                    <w:rFonts w:ascii="Arial Narrow" w:hAnsi="Arial Narrow"/>
                    <w:color w:val="008000"/>
                    <w:szCs w:val="21"/>
                  </w:rPr>
                </w:pPr>
                <w:r>
                  <w:rPr>
                    <w:rFonts w:ascii="Arial Narrow" w:hAnsi="Arial Narrow"/>
                    <w:b/>
                    <w:bCs/>
                    <w:szCs w:val="21"/>
                  </w:rPr>
                  <w:t>三、筹资活动产生的现金流量：</w:t>
                </w:r>
              </w:p>
            </w:tc>
          </w:sdtContent>
        </w:sdt>
      </w:tr>
      <w:tr w14:paraId="15DA2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0CF60D4F">
            <w:pPr>
              <w:ind w:firstLine="210" w:firstLineChars="100"/>
              <w:rPr>
                <w:rFonts w:hint="eastAsia"/>
                <w:color w:val="000000"/>
                <w:szCs w:val="21"/>
              </w:rPr>
            </w:pPr>
            <w:r>
              <w:rPr>
                <w:rFonts w:hint="eastAsia"/>
                <w:szCs w:val="21"/>
              </w:rPr>
              <w:t>吸收投资收到的现金</w:t>
            </w:r>
          </w:p>
        </w:tc>
        <w:tc>
          <w:tcPr>
            <w:tcW w:w="401" w:type="pct"/>
            <w:tcBorders>
              <w:top w:val="outset" w:color="auto" w:sz="4" w:space="0"/>
              <w:left w:val="outset" w:color="auto" w:sz="4" w:space="0"/>
              <w:bottom w:val="outset" w:color="auto" w:sz="4" w:space="0"/>
              <w:right w:val="outset" w:color="auto" w:sz="4" w:space="0"/>
            </w:tcBorders>
            <w:vAlign w:val="center"/>
          </w:tcPr>
          <w:p w14:paraId="56694532">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1F908388">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0612AF42">
            <w:pPr>
              <w:jc w:val="right"/>
              <w:rPr>
                <w:rFonts w:ascii="Arial Narrow" w:hAnsi="Arial Narrow"/>
                <w:szCs w:val="21"/>
              </w:rPr>
            </w:pPr>
          </w:p>
        </w:tc>
      </w:tr>
      <w:tr w14:paraId="64A3A2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6D61F866">
            <w:pPr>
              <w:ind w:firstLine="210" w:firstLineChars="100"/>
              <w:rPr>
                <w:rFonts w:hint="eastAsia"/>
                <w:color w:val="000000"/>
                <w:szCs w:val="21"/>
              </w:rPr>
            </w:pPr>
            <w:r>
              <w:rPr>
                <w:rFonts w:hint="eastAsia"/>
                <w:szCs w:val="21"/>
              </w:rPr>
              <w:t>取得借款收到的现金</w:t>
            </w:r>
          </w:p>
        </w:tc>
        <w:tc>
          <w:tcPr>
            <w:tcW w:w="401" w:type="pct"/>
            <w:tcBorders>
              <w:top w:val="outset" w:color="auto" w:sz="4" w:space="0"/>
              <w:left w:val="outset" w:color="auto" w:sz="4" w:space="0"/>
              <w:bottom w:val="outset" w:color="auto" w:sz="4" w:space="0"/>
              <w:right w:val="outset" w:color="auto" w:sz="4" w:space="0"/>
            </w:tcBorders>
            <w:vAlign w:val="center"/>
          </w:tcPr>
          <w:p w14:paraId="62834023">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0406BE2">
            <w:pPr>
              <w:jc w:val="right"/>
              <w:rPr>
                <w:rFonts w:ascii="Arial Narrow" w:hAnsi="Arial Narrow"/>
                <w:szCs w:val="21"/>
              </w:rPr>
            </w:pPr>
            <w:r>
              <w:rPr>
                <w:rFonts w:ascii="Arial Narrow" w:hAnsi="Arial Narrow"/>
                <w:color w:val="000000"/>
                <w:szCs w:val="21"/>
              </w:rPr>
              <w:t xml:space="preserve">515,000,000.00 </w:t>
            </w:r>
          </w:p>
        </w:tc>
        <w:tc>
          <w:tcPr>
            <w:tcW w:w="1148" w:type="pct"/>
            <w:tcBorders>
              <w:top w:val="outset" w:color="auto" w:sz="4" w:space="0"/>
              <w:left w:val="outset" w:color="auto" w:sz="4" w:space="0"/>
              <w:bottom w:val="outset" w:color="auto" w:sz="4" w:space="0"/>
              <w:right w:val="outset" w:color="auto" w:sz="4" w:space="0"/>
            </w:tcBorders>
            <w:vAlign w:val="center"/>
          </w:tcPr>
          <w:p w14:paraId="2277AFE5">
            <w:pPr>
              <w:jc w:val="right"/>
              <w:rPr>
                <w:rFonts w:ascii="Arial Narrow" w:hAnsi="Arial Narrow"/>
                <w:szCs w:val="21"/>
              </w:rPr>
            </w:pPr>
            <w:r>
              <w:rPr>
                <w:rFonts w:ascii="Arial Narrow" w:hAnsi="Arial Narrow"/>
                <w:color w:val="000000"/>
                <w:szCs w:val="21"/>
              </w:rPr>
              <w:t xml:space="preserve">2,597,000,000.00 </w:t>
            </w:r>
          </w:p>
        </w:tc>
      </w:tr>
      <w:tr w14:paraId="33A0D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7490BAAF">
            <w:pPr>
              <w:ind w:firstLine="210" w:firstLineChars="100"/>
              <w:rPr>
                <w:rFonts w:hint="eastAsia"/>
                <w:color w:val="000000"/>
                <w:szCs w:val="21"/>
              </w:rPr>
            </w:pPr>
            <w:r>
              <w:rPr>
                <w:rFonts w:hint="eastAsia"/>
                <w:szCs w:val="21"/>
              </w:rPr>
              <w:t>收到其他与筹资活动有关的现金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6F56C9D3">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F89A666">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0EC195E9">
            <w:pPr>
              <w:jc w:val="right"/>
              <w:rPr>
                <w:rFonts w:ascii="Arial Narrow" w:hAnsi="Arial Narrow"/>
                <w:szCs w:val="21"/>
              </w:rPr>
            </w:pPr>
            <w:r>
              <w:rPr>
                <w:rFonts w:ascii="Arial Narrow" w:hAnsi="Arial Narrow"/>
                <w:color w:val="000000"/>
                <w:szCs w:val="21"/>
              </w:rPr>
              <w:t xml:space="preserve">354,070,000.00 </w:t>
            </w:r>
          </w:p>
        </w:tc>
      </w:tr>
      <w:tr w14:paraId="35DB2D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BCD7789">
            <w:pPr>
              <w:ind w:firstLine="420" w:firstLineChars="200"/>
              <w:rPr>
                <w:rFonts w:hint="eastAsia"/>
                <w:color w:val="000000"/>
                <w:szCs w:val="21"/>
              </w:rPr>
            </w:pPr>
            <w:r>
              <w:rPr>
                <w:rFonts w:hint="eastAsia"/>
                <w:szCs w:val="21"/>
              </w:rPr>
              <w:t>筹资活动现金流入小计</w:t>
            </w:r>
          </w:p>
        </w:tc>
        <w:tc>
          <w:tcPr>
            <w:tcW w:w="401" w:type="pct"/>
            <w:tcBorders>
              <w:top w:val="outset" w:color="auto" w:sz="4" w:space="0"/>
              <w:left w:val="outset" w:color="auto" w:sz="4" w:space="0"/>
              <w:bottom w:val="outset" w:color="auto" w:sz="4" w:space="0"/>
              <w:right w:val="outset" w:color="auto" w:sz="4" w:space="0"/>
            </w:tcBorders>
            <w:vAlign w:val="center"/>
          </w:tcPr>
          <w:p w14:paraId="546F8621">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55798524">
            <w:pPr>
              <w:jc w:val="right"/>
              <w:rPr>
                <w:rFonts w:ascii="Arial Narrow" w:hAnsi="Arial Narrow"/>
                <w:szCs w:val="21"/>
              </w:rPr>
            </w:pPr>
            <w:r>
              <w:rPr>
                <w:rFonts w:ascii="Arial Narrow" w:hAnsi="Arial Narrow"/>
                <w:color w:val="000000"/>
                <w:szCs w:val="21"/>
              </w:rPr>
              <w:t xml:space="preserve">515,000,000.00 </w:t>
            </w:r>
          </w:p>
        </w:tc>
        <w:tc>
          <w:tcPr>
            <w:tcW w:w="1148" w:type="pct"/>
            <w:tcBorders>
              <w:top w:val="outset" w:color="auto" w:sz="4" w:space="0"/>
              <w:left w:val="outset" w:color="auto" w:sz="4" w:space="0"/>
              <w:bottom w:val="outset" w:color="auto" w:sz="4" w:space="0"/>
              <w:right w:val="outset" w:color="auto" w:sz="4" w:space="0"/>
            </w:tcBorders>
            <w:vAlign w:val="center"/>
          </w:tcPr>
          <w:p w14:paraId="31F59829">
            <w:pPr>
              <w:tabs>
                <w:tab w:val="center" w:pos="989"/>
                <w:tab w:val="right" w:pos="1979"/>
              </w:tabs>
              <w:jc w:val="right"/>
              <w:rPr>
                <w:rFonts w:ascii="Arial Narrow" w:hAnsi="Arial Narrow"/>
                <w:szCs w:val="21"/>
              </w:rPr>
            </w:pPr>
            <w:r>
              <w:rPr>
                <w:rFonts w:ascii="Arial Narrow" w:hAnsi="Arial Narrow"/>
                <w:color w:val="000000"/>
                <w:szCs w:val="21"/>
              </w:rPr>
              <w:t xml:space="preserve">2,951,070,000.00 </w:t>
            </w:r>
          </w:p>
        </w:tc>
      </w:tr>
      <w:tr w14:paraId="7DBE97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4798B5C">
            <w:pPr>
              <w:ind w:firstLine="210" w:firstLineChars="100"/>
              <w:rPr>
                <w:rFonts w:hint="eastAsia"/>
                <w:szCs w:val="21"/>
              </w:rPr>
            </w:pPr>
            <w:r>
              <w:rPr>
                <w:rFonts w:hint="eastAsia"/>
                <w:szCs w:val="21"/>
              </w:rPr>
              <w:t>偿还债务支付的现金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35E4197F">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0AB2E525">
            <w:pPr>
              <w:jc w:val="right"/>
              <w:rPr>
                <w:rFonts w:ascii="Arial Narrow" w:hAnsi="Arial Narrow"/>
                <w:szCs w:val="21"/>
              </w:rPr>
            </w:pPr>
            <w:r>
              <w:rPr>
                <w:rFonts w:ascii="Arial Narrow" w:hAnsi="Arial Narrow"/>
                <w:color w:val="000000"/>
                <w:szCs w:val="21"/>
              </w:rPr>
              <w:t xml:space="preserve">835,000,000.00 </w:t>
            </w:r>
          </w:p>
        </w:tc>
        <w:tc>
          <w:tcPr>
            <w:tcW w:w="1148" w:type="pct"/>
            <w:tcBorders>
              <w:top w:val="outset" w:color="auto" w:sz="4" w:space="0"/>
              <w:left w:val="outset" w:color="auto" w:sz="4" w:space="0"/>
              <w:bottom w:val="outset" w:color="auto" w:sz="4" w:space="0"/>
              <w:right w:val="outset" w:color="auto" w:sz="4" w:space="0"/>
            </w:tcBorders>
            <w:vAlign w:val="center"/>
          </w:tcPr>
          <w:p w14:paraId="0C0D8546">
            <w:pPr>
              <w:jc w:val="right"/>
              <w:rPr>
                <w:rFonts w:ascii="Arial Narrow" w:hAnsi="Arial Narrow"/>
                <w:szCs w:val="21"/>
              </w:rPr>
            </w:pPr>
            <w:r>
              <w:rPr>
                <w:rFonts w:ascii="Arial Narrow" w:hAnsi="Arial Narrow"/>
                <w:color w:val="000000"/>
                <w:szCs w:val="21"/>
              </w:rPr>
              <w:t xml:space="preserve">2,888,600,000.00 </w:t>
            </w:r>
          </w:p>
        </w:tc>
      </w:tr>
      <w:tr w14:paraId="39DB7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13BACE3A">
            <w:pPr>
              <w:ind w:firstLine="210" w:firstLineChars="100"/>
              <w:rPr>
                <w:rFonts w:hint="eastAsia"/>
                <w:szCs w:val="21"/>
              </w:rPr>
            </w:pPr>
            <w:r>
              <w:rPr>
                <w:rFonts w:hint="eastAsia"/>
                <w:szCs w:val="21"/>
              </w:rPr>
              <w:t>分配股利、利润或偿付利息支付的现金</w:t>
            </w:r>
          </w:p>
        </w:tc>
        <w:tc>
          <w:tcPr>
            <w:tcW w:w="401" w:type="pct"/>
            <w:tcBorders>
              <w:top w:val="outset" w:color="auto" w:sz="4" w:space="0"/>
              <w:left w:val="outset" w:color="auto" w:sz="4" w:space="0"/>
              <w:bottom w:val="outset" w:color="auto" w:sz="4" w:space="0"/>
              <w:right w:val="outset" w:color="auto" w:sz="4" w:space="0"/>
            </w:tcBorders>
            <w:vAlign w:val="center"/>
          </w:tcPr>
          <w:p w14:paraId="00864D22">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B49BE76">
            <w:pPr>
              <w:jc w:val="right"/>
              <w:rPr>
                <w:rFonts w:ascii="Arial Narrow" w:hAnsi="Arial Narrow"/>
                <w:szCs w:val="21"/>
              </w:rPr>
            </w:pPr>
            <w:r>
              <w:rPr>
                <w:rFonts w:ascii="Arial Narrow" w:hAnsi="Arial Narrow"/>
                <w:color w:val="000000"/>
                <w:szCs w:val="21"/>
              </w:rPr>
              <w:t xml:space="preserve">168,689,877.68 </w:t>
            </w:r>
          </w:p>
        </w:tc>
        <w:tc>
          <w:tcPr>
            <w:tcW w:w="1148" w:type="pct"/>
            <w:tcBorders>
              <w:top w:val="outset" w:color="auto" w:sz="4" w:space="0"/>
              <w:left w:val="outset" w:color="auto" w:sz="4" w:space="0"/>
              <w:bottom w:val="outset" w:color="auto" w:sz="4" w:space="0"/>
              <w:right w:val="outset" w:color="auto" w:sz="4" w:space="0"/>
            </w:tcBorders>
            <w:vAlign w:val="center"/>
          </w:tcPr>
          <w:p w14:paraId="171C75AF">
            <w:pPr>
              <w:jc w:val="right"/>
              <w:rPr>
                <w:rFonts w:ascii="Arial Narrow" w:hAnsi="Arial Narrow"/>
                <w:szCs w:val="21"/>
              </w:rPr>
            </w:pPr>
            <w:r>
              <w:rPr>
                <w:rFonts w:ascii="Arial Narrow" w:hAnsi="Arial Narrow"/>
                <w:color w:val="000000"/>
                <w:szCs w:val="21"/>
              </w:rPr>
              <w:t xml:space="preserve">203,836,668.89 </w:t>
            </w:r>
          </w:p>
        </w:tc>
      </w:tr>
      <w:tr w14:paraId="31A4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480DEB8">
            <w:pPr>
              <w:ind w:firstLine="210" w:firstLineChars="100"/>
              <w:rPr>
                <w:rFonts w:hint="eastAsia"/>
                <w:color w:val="000000"/>
                <w:szCs w:val="21"/>
              </w:rPr>
            </w:pPr>
            <w:r>
              <w:rPr>
                <w:rFonts w:hint="eastAsia"/>
                <w:szCs w:val="21"/>
              </w:rPr>
              <w:t>支付其他与筹资活动有关的现金</w:t>
            </w:r>
          </w:p>
        </w:tc>
        <w:tc>
          <w:tcPr>
            <w:tcW w:w="401" w:type="pct"/>
            <w:tcBorders>
              <w:top w:val="outset" w:color="auto" w:sz="4" w:space="0"/>
              <w:left w:val="outset" w:color="auto" w:sz="4" w:space="0"/>
              <w:bottom w:val="outset" w:color="auto" w:sz="4" w:space="0"/>
              <w:right w:val="outset" w:color="auto" w:sz="4" w:space="0"/>
            </w:tcBorders>
            <w:vAlign w:val="center"/>
          </w:tcPr>
          <w:p w14:paraId="4EED12AF">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77F2953E">
            <w:pPr>
              <w:jc w:val="right"/>
              <w:rPr>
                <w:rFonts w:ascii="Arial Narrow" w:hAnsi="Arial Narrow"/>
                <w:szCs w:val="21"/>
              </w:rPr>
            </w:pPr>
            <w:r>
              <w:rPr>
                <w:rFonts w:ascii="Arial Narrow" w:hAnsi="Arial Narrow"/>
                <w:color w:val="000000"/>
                <w:szCs w:val="21"/>
              </w:rPr>
              <w:t xml:space="preserve">306,030,000.00 </w:t>
            </w:r>
          </w:p>
        </w:tc>
        <w:tc>
          <w:tcPr>
            <w:tcW w:w="1148" w:type="pct"/>
            <w:tcBorders>
              <w:top w:val="outset" w:color="auto" w:sz="4" w:space="0"/>
              <w:left w:val="outset" w:color="auto" w:sz="4" w:space="0"/>
              <w:bottom w:val="outset" w:color="auto" w:sz="4" w:space="0"/>
              <w:right w:val="outset" w:color="auto" w:sz="4" w:space="0"/>
            </w:tcBorders>
            <w:vAlign w:val="center"/>
          </w:tcPr>
          <w:p w14:paraId="30546B47">
            <w:pPr>
              <w:jc w:val="right"/>
              <w:rPr>
                <w:rFonts w:ascii="Arial Narrow" w:hAnsi="Arial Narrow"/>
                <w:szCs w:val="21"/>
              </w:rPr>
            </w:pPr>
            <w:r>
              <w:rPr>
                <w:rFonts w:ascii="Arial Narrow" w:hAnsi="Arial Narrow"/>
                <w:color w:val="000000"/>
                <w:szCs w:val="21"/>
              </w:rPr>
              <w:t xml:space="preserve">13,960,277.03 </w:t>
            </w:r>
          </w:p>
        </w:tc>
      </w:tr>
      <w:tr w14:paraId="11246F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07C7D871">
            <w:pPr>
              <w:ind w:firstLine="420" w:firstLineChars="200"/>
              <w:rPr>
                <w:rFonts w:hint="eastAsia"/>
                <w:color w:val="000000"/>
                <w:szCs w:val="21"/>
              </w:rPr>
            </w:pPr>
            <w:r>
              <w:rPr>
                <w:rFonts w:hint="eastAsia"/>
                <w:szCs w:val="21"/>
              </w:rPr>
              <w:t>筹资活动现金流出小计</w:t>
            </w:r>
          </w:p>
        </w:tc>
        <w:tc>
          <w:tcPr>
            <w:tcW w:w="401" w:type="pct"/>
            <w:tcBorders>
              <w:top w:val="outset" w:color="auto" w:sz="4" w:space="0"/>
              <w:left w:val="outset" w:color="auto" w:sz="4" w:space="0"/>
              <w:bottom w:val="outset" w:color="auto" w:sz="4" w:space="0"/>
              <w:right w:val="outset" w:color="auto" w:sz="4" w:space="0"/>
            </w:tcBorders>
            <w:vAlign w:val="center"/>
          </w:tcPr>
          <w:p w14:paraId="18C72EE9">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2C5F5B8A">
            <w:pPr>
              <w:jc w:val="right"/>
              <w:rPr>
                <w:rFonts w:ascii="Arial Narrow" w:hAnsi="Arial Narrow"/>
                <w:szCs w:val="21"/>
              </w:rPr>
            </w:pPr>
            <w:r>
              <w:rPr>
                <w:rFonts w:ascii="Arial Narrow" w:hAnsi="Arial Narrow"/>
                <w:color w:val="000000"/>
                <w:szCs w:val="21"/>
              </w:rPr>
              <w:t xml:space="preserve">1,309,719,877.68 </w:t>
            </w:r>
          </w:p>
        </w:tc>
        <w:tc>
          <w:tcPr>
            <w:tcW w:w="1148" w:type="pct"/>
            <w:tcBorders>
              <w:top w:val="outset" w:color="auto" w:sz="4" w:space="0"/>
              <w:left w:val="outset" w:color="auto" w:sz="4" w:space="0"/>
              <w:bottom w:val="outset" w:color="auto" w:sz="4" w:space="0"/>
              <w:right w:val="outset" w:color="auto" w:sz="4" w:space="0"/>
            </w:tcBorders>
            <w:vAlign w:val="center"/>
          </w:tcPr>
          <w:p w14:paraId="61478E21">
            <w:pPr>
              <w:jc w:val="right"/>
              <w:rPr>
                <w:rFonts w:ascii="Arial Narrow" w:hAnsi="Arial Narrow"/>
                <w:szCs w:val="21"/>
              </w:rPr>
            </w:pPr>
            <w:r>
              <w:rPr>
                <w:rFonts w:ascii="Arial Narrow" w:hAnsi="Arial Narrow"/>
                <w:color w:val="000000"/>
                <w:szCs w:val="21"/>
              </w:rPr>
              <w:t xml:space="preserve">3,106,396,945.92 </w:t>
            </w:r>
          </w:p>
        </w:tc>
      </w:tr>
      <w:tr w14:paraId="764784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DD21C48">
            <w:pPr>
              <w:ind w:firstLine="630" w:firstLineChars="300"/>
              <w:rPr>
                <w:rFonts w:hint="eastAsia"/>
                <w:color w:val="000000"/>
                <w:szCs w:val="21"/>
              </w:rPr>
            </w:pPr>
            <w:r>
              <w:rPr>
                <w:rFonts w:hint="eastAsia"/>
                <w:szCs w:val="21"/>
              </w:rPr>
              <w:t>筹资活动产生的现金流量净额</w:t>
            </w:r>
          </w:p>
        </w:tc>
        <w:tc>
          <w:tcPr>
            <w:tcW w:w="401" w:type="pct"/>
            <w:tcBorders>
              <w:top w:val="outset" w:color="auto" w:sz="4" w:space="0"/>
              <w:left w:val="outset" w:color="auto" w:sz="4" w:space="0"/>
              <w:bottom w:val="outset" w:color="auto" w:sz="4" w:space="0"/>
              <w:right w:val="outset" w:color="auto" w:sz="4" w:space="0"/>
            </w:tcBorders>
            <w:vAlign w:val="center"/>
          </w:tcPr>
          <w:p w14:paraId="4093BE8A">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7F017970">
            <w:pPr>
              <w:jc w:val="right"/>
              <w:rPr>
                <w:rFonts w:ascii="Arial Narrow" w:hAnsi="Arial Narrow"/>
                <w:szCs w:val="21"/>
              </w:rPr>
            </w:pPr>
            <w:r>
              <w:rPr>
                <w:rFonts w:ascii="Arial Narrow" w:hAnsi="Arial Narrow"/>
                <w:color w:val="000000"/>
                <w:szCs w:val="21"/>
              </w:rPr>
              <w:t xml:space="preserve">-794,719,877.68 </w:t>
            </w:r>
          </w:p>
        </w:tc>
        <w:tc>
          <w:tcPr>
            <w:tcW w:w="1148" w:type="pct"/>
            <w:tcBorders>
              <w:top w:val="outset" w:color="auto" w:sz="4" w:space="0"/>
              <w:left w:val="outset" w:color="auto" w:sz="4" w:space="0"/>
              <w:bottom w:val="outset" w:color="auto" w:sz="4" w:space="0"/>
              <w:right w:val="outset" w:color="auto" w:sz="4" w:space="0"/>
            </w:tcBorders>
            <w:vAlign w:val="center"/>
          </w:tcPr>
          <w:p w14:paraId="769CBE90">
            <w:pPr>
              <w:jc w:val="right"/>
              <w:rPr>
                <w:rFonts w:ascii="Arial Narrow" w:hAnsi="Arial Narrow"/>
                <w:szCs w:val="21"/>
              </w:rPr>
            </w:pPr>
            <w:r>
              <w:rPr>
                <w:rFonts w:ascii="Arial Narrow" w:hAnsi="Arial Narrow"/>
                <w:color w:val="000000"/>
                <w:szCs w:val="21"/>
              </w:rPr>
              <w:t xml:space="preserve">-155,326,945.92 </w:t>
            </w:r>
          </w:p>
        </w:tc>
      </w:tr>
      <w:tr w14:paraId="508C7C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0ACB1FB">
            <w:pPr>
              <w:rPr>
                <w:rFonts w:hint="eastAsia"/>
                <w:color w:val="000000"/>
                <w:szCs w:val="21"/>
              </w:rPr>
            </w:pPr>
            <w:r>
              <w:rPr>
                <w:rFonts w:hint="eastAsia"/>
                <w:b/>
                <w:bCs/>
                <w:szCs w:val="21"/>
              </w:rPr>
              <w:t>四、汇率变动对现金及现金等价物的影响</w:t>
            </w:r>
          </w:p>
        </w:tc>
        <w:tc>
          <w:tcPr>
            <w:tcW w:w="401" w:type="pct"/>
            <w:tcBorders>
              <w:top w:val="outset" w:color="auto" w:sz="4" w:space="0"/>
              <w:left w:val="outset" w:color="auto" w:sz="4" w:space="0"/>
              <w:bottom w:val="outset" w:color="auto" w:sz="4" w:space="0"/>
              <w:right w:val="outset" w:color="auto" w:sz="4" w:space="0"/>
            </w:tcBorders>
            <w:vAlign w:val="center"/>
          </w:tcPr>
          <w:p w14:paraId="6C34C2D2">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3F22EDEC">
            <w:pPr>
              <w:jc w:val="right"/>
              <w:rPr>
                <w:rFonts w:ascii="Arial Narrow" w:hAnsi="Arial Narrow"/>
                <w:szCs w:val="21"/>
              </w:rPr>
            </w:pPr>
          </w:p>
        </w:tc>
        <w:tc>
          <w:tcPr>
            <w:tcW w:w="1148" w:type="pct"/>
            <w:tcBorders>
              <w:top w:val="outset" w:color="auto" w:sz="4" w:space="0"/>
              <w:left w:val="outset" w:color="auto" w:sz="4" w:space="0"/>
              <w:bottom w:val="outset" w:color="auto" w:sz="4" w:space="0"/>
              <w:right w:val="outset" w:color="auto" w:sz="4" w:space="0"/>
            </w:tcBorders>
            <w:vAlign w:val="center"/>
          </w:tcPr>
          <w:p w14:paraId="3A0E457C">
            <w:pPr>
              <w:jc w:val="right"/>
              <w:rPr>
                <w:rFonts w:ascii="Arial Narrow" w:hAnsi="Arial Narrow"/>
                <w:szCs w:val="21"/>
              </w:rPr>
            </w:pPr>
          </w:p>
        </w:tc>
      </w:tr>
      <w:tr w14:paraId="51103F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38861F79">
            <w:pPr>
              <w:rPr>
                <w:rFonts w:hint="eastAsia"/>
                <w:color w:val="000000"/>
                <w:szCs w:val="21"/>
              </w:rPr>
            </w:pPr>
            <w:r>
              <w:rPr>
                <w:rFonts w:hint="eastAsia"/>
                <w:b/>
                <w:bCs/>
                <w:szCs w:val="21"/>
              </w:rPr>
              <w:t>五、现金及现金等价物净增加额</w:t>
            </w:r>
          </w:p>
        </w:tc>
        <w:tc>
          <w:tcPr>
            <w:tcW w:w="401" w:type="pct"/>
            <w:tcBorders>
              <w:top w:val="outset" w:color="auto" w:sz="4" w:space="0"/>
              <w:left w:val="outset" w:color="auto" w:sz="4" w:space="0"/>
              <w:bottom w:val="outset" w:color="auto" w:sz="4" w:space="0"/>
              <w:right w:val="outset" w:color="auto" w:sz="4" w:space="0"/>
            </w:tcBorders>
            <w:vAlign w:val="center"/>
          </w:tcPr>
          <w:p w14:paraId="0C724877">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1752B91A">
            <w:pPr>
              <w:jc w:val="right"/>
              <w:rPr>
                <w:rFonts w:ascii="Arial Narrow" w:hAnsi="Arial Narrow"/>
                <w:szCs w:val="21"/>
              </w:rPr>
            </w:pPr>
            <w:r>
              <w:rPr>
                <w:rFonts w:ascii="Arial Narrow" w:hAnsi="Arial Narrow"/>
                <w:color w:val="000000"/>
                <w:szCs w:val="21"/>
              </w:rPr>
              <w:t xml:space="preserve">-1,090,163,247.71 </w:t>
            </w:r>
          </w:p>
        </w:tc>
        <w:tc>
          <w:tcPr>
            <w:tcW w:w="1148" w:type="pct"/>
            <w:tcBorders>
              <w:top w:val="outset" w:color="auto" w:sz="4" w:space="0"/>
              <w:left w:val="outset" w:color="auto" w:sz="4" w:space="0"/>
              <w:bottom w:val="outset" w:color="auto" w:sz="4" w:space="0"/>
              <w:right w:val="outset" w:color="auto" w:sz="4" w:space="0"/>
            </w:tcBorders>
            <w:vAlign w:val="center"/>
          </w:tcPr>
          <w:p w14:paraId="5B93D2F1">
            <w:pPr>
              <w:jc w:val="right"/>
              <w:rPr>
                <w:rFonts w:ascii="Arial Narrow" w:hAnsi="Arial Narrow"/>
                <w:szCs w:val="21"/>
              </w:rPr>
            </w:pPr>
            <w:r>
              <w:rPr>
                <w:rFonts w:ascii="Arial Narrow" w:hAnsi="Arial Narrow"/>
                <w:color w:val="000000"/>
                <w:szCs w:val="21"/>
              </w:rPr>
              <w:t xml:space="preserve">111,202,915.42 </w:t>
            </w:r>
          </w:p>
        </w:tc>
      </w:tr>
      <w:tr w14:paraId="64E29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776A2DD8">
            <w:pPr>
              <w:ind w:firstLine="210" w:firstLineChars="100"/>
              <w:rPr>
                <w:rFonts w:hint="eastAsia"/>
                <w:color w:val="000000"/>
                <w:szCs w:val="21"/>
              </w:rPr>
            </w:pPr>
            <w:r>
              <w:rPr>
                <w:rFonts w:hint="eastAsia"/>
                <w:szCs w:val="21"/>
              </w:rPr>
              <w:t>加：期初现金及现金等价物余额</w:t>
            </w:r>
          </w:p>
        </w:tc>
        <w:tc>
          <w:tcPr>
            <w:tcW w:w="401" w:type="pct"/>
            <w:tcBorders>
              <w:top w:val="outset" w:color="auto" w:sz="4" w:space="0"/>
              <w:left w:val="outset" w:color="auto" w:sz="4" w:space="0"/>
              <w:bottom w:val="outset" w:color="auto" w:sz="4" w:space="0"/>
              <w:right w:val="outset" w:color="auto" w:sz="4" w:space="0"/>
            </w:tcBorders>
            <w:vAlign w:val="center"/>
          </w:tcPr>
          <w:p w14:paraId="3F6D9ECC">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6B71BE2A">
            <w:pPr>
              <w:jc w:val="right"/>
              <w:rPr>
                <w:rFonts w:ascii="Arial Narrow" w:hAnsi="Arial Narrow"/>
                <w:szCs w:val="21"/>
              </w:rPr>
            </w:pPr>
            <w:r>
              <w:rPr>
                <w:rFonts w:ascii="Arial Narrow" w:hAnsi="Arial Narrow"/>
                <w:color w:val="000000"/>
                <w:szCs w:val="21"/>
              </w:rPr>
              <w:t xml:space="preserve">3,026,644,117.34 </w:t>
            </w:r>
          </w:p>
        </w:tc>
        <w:tc>
          <w:tcPr>
            <w:tcW w:w="1148" w:type="pct"/>
            <w:tcBorders>
              <w:top w:val="outset" w:color="auto" w:sz="4" w:space="0"/>
              <w:left w:val="outset" w:color="auto" w:sz="4" w:space="0"/>
              <w:bottom w:val="outset" w:color="auto" w:sz="4" w:space="0"/>
              <w:right w:val="outset" w:color="auto" w:sz="4" w:space="0"/>
            </w:tcBorders>
            <w:vAlign w:val="center"/>
          </w:tcPr>
          <w:p w14:paraId="05994B18">
            <w:pPr>
              <w:jc w:val="right"/>
              <w:rPr>
                <w:rFonts w:ascii="Arial Narrow" w:hAnsi="Arial Narrow"/>
                <w:szCs w:val="21"/>
              </w:rPr>
            </w:pPr>
            <w:r>
              <w:rPr>
                <w:rFonts w:ascii="Arial Narrow" w:hAnsi="Arial Narrow"/>
                <w:color w:val="000000"/>
                <w:szCs w:val="21"/>
              </w:rPr>
              <w:t xml:space="preserve">2,915,441,201.92 </w:t>
            </w:r>
          </w:p>
        </w:tc>
      </w:tr>
      <w:tr w14:paraId="573295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6" w:type="pct"/>
            <w:tcBorders>
              <w:top w:val="outset" w:color="auto" w:sz="4" w:space="0"/>
              <w:left w:val="outset" w:color="auto" w:sz="4" w:space="0"/>
              <w:bottom w:val="outset" w:color="auto" w:sz="4" w:space="0"/>
              <w:right w:val="outset" w:color="auto" w:sz="4" w:space="0"/>
            </w:tcBorders>
          </w:tcPr>
          <w:p w14:paraId="6408378E">
            <w:pPr>
              <w:rPr>
                <w:rFonts w:hint="eastAsia"/>
                <w:color w:val="000000"/>
                <w:szCs w:val="21"/>
              </w:rPr>
            </w:pPr>
            <w:r>
              <w:rPr>
                <w:rFonts w:hint="eastAsia"/>
                <w:b/>
                <w:bCs/>
                <w:szCs w:val="21"/>
              </w:rPr>
              <w:t>六、期末现金及现金等价物余额</w:t>
            </w:r>
          </w:p>
        </w:tc>
        <w:tc>
          <w:tcPr>
            <w:tcW w:w="401" w:type="pct"/>
            <w:tcBorders>
              <w:top w:val="outset" w:color="auto" w:sz="4" w:space="0"/>
              <w:left w:val="outset" w:color="auto" w:sz="4" w:space="0"/>
              <w:bottom w:val="outset" w:color="auto" w:sz="4" w:space="0"/>
              <w:right w:val="outset" w:color="auto" w:sz="4" w:space="0"/>
            </w:tcBorders>
            <w:vAlign w:val="center"/>
          </w:tcPr>
          <w:p w14:paraId="2A483574">
            <w:pPr>
              <w:rPr>
                <w:rFonts w:hint="eastAsia"/>
                <w:szCs w:val="21"/>
              </w:rPr>
            </w:pPr>
          </w:p>
        </w:tc>
        <w:tc>
          <w:tcPr>
            <w:tcW w:w="1204" w:type="pct"/>
            <w:tcBorders>
              <w:top w:val="outset" w:color="auto" w:sz="4" w:space="0"/>
              <w:left w:val="outset" w:color="auto" w:sz="4" w:space="0"/>
              <w:bottom w:val="outset" w:color="auto" w:sz="4" w:space="0"/>
              <w:right w:val="outset" w:color="auto" w:sz="4" w:space="0"/>
            </w:tcBorders>
            <w:vAlign w:val="center"/>
          </w:tcPr>
          <w:p w14:paraId="2F376813">
            <w:pPr>
              <w:jc w:val="right"/>
              <w:rPr>
                <w:rFonts w:ascii="Arial Narrow" w:hAnsi="Arial Narrow"/>
                <w:szCs w:val="21"/>
              </w:rPr>
            </w:pPr>
            <w:r>
              <w:rPr>
                <w:rFonts w:ascii="Arial Narrow" w:hAnsi="Arial Narrow"/>
                <w:color w:val="000000"/>
                <w:szCs w:val="21"/>
              </w:rPr>
              <w:t xml:space="preserve">1,936,480,869.63 </w:t>
            </w:r>
          </w:p>
        </w:tc>
        <w:tc>
          <w:tcPr>
            <w:tcW w:w="1148" w:type="pct"/>
            <w:tcBorders>
              <w:top w:val="outset" w:color="auto" w:sz="4" w:space="0"/>
              <w:left w:val="outset" w:color="auto" w:sz="4" w:space="0"/>
              <w:bottom w:val="outset" w:color="auto" w:sz="4" w:space="0"/>
              <w:right w:val="outset" w:color="auto" w:sz="4" w:space="0"/>
            </w:tcBorders>
            <w:vAlign w:val="center"/>
          </w:tcPr>
          <w:p w14:paraId="7BA07EEF">
            <w:pPr>
              <w:jc w:val="right"/>
              <w:rPr>
                <w:rFonts w:ascii="Arial Narrow" w:hAnsi="Arial Narrow"/>
                <w:szCs w:val="21"/>
              </w:rPr>
            </w:pPr>
            <w:r>
              <w:rPr>
                <w:rFonts w:ascii="Arial Narrow" w:hAnsi="Arial Narrow"/>
                <w:color w:val="000000"/>
                <w:szCs w:val="21"/>
              </w:rPr>
              <w:t xml:space="preserve">3,026,644,117.34 </w:t>
            </w:r>
          </w:p>
        </w:tc>
      </w:tr>
    </w:tbl>
    <w:p w14:paraId="4A9C5C15">
      <w:pPr>
        <w:rPr>
          <w:rFonts w:hint="eastAsia"/>
        </w:rPr>
      </w:pPr>
    </w:p>
    <w:p w14:paraId="5ECF3BC3">
      <w:pPr>
        <w:rPr>
          <w:rFonts w:hint="eastAsia"/>
        </w:rPr>
      </w:pPr>
    </w:p>
    <w:p w14:paraId="6B855C68">
      <w:pPr>
        <w:snapToGrid w:val="0"/>
        <w:spacing w:line="240" w:lineRule="atLeast"/>
        <w:ind w:right="-153" w:rightChars="-73"/>
        <w:rPr>
          <w:rFonts w:hint="eastAsia"/>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b872f4b10a12453987b2d73dfe2a5ff9"/>
          <w:id w:val="-1392804569"/>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1528019472"/>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472412718"/>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7636E642">
      <w:pPr>
        <w:rPr>
          <w:rFonts w:hint="eastAsia"/>
          <w:b/>
          <w:bCs/>
          <w:color w:val="FF0000"/>
          <w:szCs w:val="21"/>
        </w:rPr>
      </w:pPr>
    </w:p>
    <w:bookmarkEnd w:id="210"/>
    <w:p w14:paraId="48BDFC22">
      <w:pPr>
        <w:snapToGrid w:val="0"/>
        <w:spacing w:line="240" w:lineRule="atLeast"/>
        <w:ind w:right="-153" w:rightChars="-73"/>
        <w:rPr>
          <w:rFonts w:hint="eastAsia"/>
          <w:szCs w:val="21"/>
        </w:rPr>
      </w:pPr>
    </w:p>
    <w:p w14:paraId="2F34214B">
      <w:pPr>
        <w:snapToGrid w:val="0"/>
        <w:spacing w:line="240" w:lineRule="atLeast"/>
        <w:ind w:right="-153" w:rightChars="-73"/>
        <w:rPr>
          <w:rFonts w:hint="eastAsia"/>
          <w:szCs w:val="21"/>
        </w:rPr>
      </w:pPr>
    </w:p>
    <w:p w14:paraId="3B7E8443">
      <w:pPr>
        <w:snapToGrid w:val="0"/>
        <w:spacing w:line="240" w:lineRule="atLeast"/>
        <w:ind w:right="-153" w:rightChars="-73"/>
        <w:rPr>
          <w:rFonts w:hint="eastAsia"/>
          <w:szCs w:val="21"/>
        </w:rPr>
      </w:pPr>
    </w:p>
    <w:p w14:paraId="7FA4C4FE">
      <w:pPr>
        <w:snapToGrid w:val="0"/>
        <w:spacing w:line="240" w:lineRule="atLeast"/>
        <w:ind w:right="-153" w:rightChars="-73"/>
        <w:rPr>
          <w:rFonts w:hint="eastAsia"/>
          <w:szCs w:val="21"/>
        </w:rPr>
        <w:sectPr>
          <w:pgSz w:w="11906" w:h="16838"/>
          <w:pgMar w:top="1525" w:right="1276" w:bottom="1440" w:left="1797" w:header="856" w:footer="992" w:gutter="0"/>
          <w:cols w:space="425" w:num="1"/>
          <w:docGrid w:linePitch="312" w:charSpace="0"/>
        </w:sectPr>
      </w:pPr>
    </w:p>
    <w:p w14:paraId="6F264F7D">
      <w:pPr>
        <w:tabs>
          <w:tab w:val="left" w:pos="10080"/>
        </w:tabs>
        <w:snapToGrid w:val="0"/>
        <w:spacing w:line="240" w:lineRule="atLeast"/>
        <w:ind w:right="25" w:rightChars="12"/>
        <w:jc w:val="center"/>
        <w:rPr>
          <w:rFonts w:hint="eastAsia"/>
          <w:b/>
          <w:szCs w:val="21"/>
        </w:rPr>
      </w:pPr>
      <w:bookmarkStart w:id="211" w:name="_Hlk533930052"/>
    </w:p>
    <w:p w14:paraId="2BC45B22">
      <w:pPr>
        <w:tabs>
          <w:tab w:val="left" w:pos="10080"/>
        </w:tabs>
        <w:snapToGrid w:val="0"/>
        <w:spacing w:line="240" w:lineRule="atLeast"/>
        <w:ind w:right="25" w:rightChars="12"/>
        <w:jc w:val="center"/>
        <w:outlineLvl w:val="2"/>
        <w:rPr>
          <w:rFonts w:hint="eastAsia"/>
          <w:b/>
          <w:szCs w:val="21"/>
        </w:rPr>
      </w:pPr>
      <w:r>
        <w:rPr>
          <w:b/>
          <w:szCs w:val="21"/>
        </w:rPr>
        <w:t>合并</w:t>
      </w:r>
      <w:r>
        <w:rPr>
          <w:rFonts w:hint="eastAsia"/>
          <w:b/>
          <w:szCs w:val="21"/>
        </w:rPr>
        <w:t>所有者权益变动表</w:t>
      </w:r>
    </w:p>
    <w:p w14:paraId="26E8F069">
      <w:pPr>
        <w:tabs>
          <w:tab w:val="left" w:pos="10080"/>
        </w:tabs>
        <w:snapToGrid w:val="0"/>
        <w:spacing w:line="240" w:lineRule="atLeast"/>
        <w:ind w:right="25" w:rightChars="12"/>
        <w:jc w:val="center"/>
        <w:rPr>
          <w:rFonts w:hint="eastAsia"/>
          <w:szCs w:val="21"/>
        </w:rPr>
      </w:pPr>
      <w:r>
        <w:rPr>
          <w:szCs w:val="21"/>
        </w:rPr>
        <w:t>2024年</w:t>
      </w:r>
      <w:r>
        <w:rPr>
          <w:rFonts w:hint="eastAsia"/>
          <w:szCs w:val="21"/>
        </w:rPr>
        <w:t>1—12月</w:t>
      </w:r>
    </w:p>
    <w:p w14:paraId="515BA371">
      <w:pPr>
        <w:tabs>
          <w:tab w:val="left" w:pos="10080"/>
        </w:tabs>
        <w:snapToGrid w:val="0"/>
        <w:spacing w:line="240" w:lineRule="atLeast"/>
        <w:jc w:val="right"/>
        <w:rPr>
          <w:rFonts w:hint="eastAsia"/>
          <w:szCs w:val="21"/>
        </w:rPr>
      </w:pPr>
      <w:r>
        <w:rPr>
          <w:szCs w:val="21"/>
        </w:rPr>
        <w:t>单位</w:t>
      </w:r>
      <w:r>
        <w:rPr>
          <w:rFonts w:hint="eastAsia"/>
          <w:szCs w:val="21"/>
        </w:rPr>
        <w:t>：</w:t>
      </w:r>
      <w:sdt>
        <w:sdtPr>
          <w:rPr>
            <w:szCs w:val="21"/>
          </w:rPr>
          <w:alias w:val="单位：合并股东权益调节表"/>
          <w:tag w:val="_GBC_57faea4e453e49ad93821b7dd6ce8bc4"/>
          <w:id w:val="601393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r>
        <w:rPr>
          <w:rFonts w:hint="eastAsia"/>
          <w:szCs w:val="21"/>
        </w:rPr>
        <w:t>：</w:t>
      </w:r>
      <w:sdt>
        <w:sdtPr>
          <w:rPr>
            <w:szCs w:val="21"/>
          </w:rPr>
          <w:alias w:val="币种：合并股东权益调节表"/>
          <w:tag w:val="_GBC_cef77704267643d794145c73763360e5"/>
          <w:id w:val="-17301526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7"/>
        <w:gridCol w:w="1367"/>
        <w:gridCol w:w="1367"/>
        <w:gridCol w:w="1422"/>
        <w:gridCol w:w="876"/>
        <w:gridCol w:w="1242"/>
        <w:gridCol w:w="1367"/>
        <w:gridCol w:w="1450"/>
        <w:gridCol w:w="1245"/>
        <w:gridCol w:w="1450"/>
      </w:tblGrid>
      <w:tr w14:paraId="2000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49" w:type="pct"/>
            <w:vMerge w:val="restart"/>
            <w:vAlign w:val="center"/>
          </w:tcPr>
          <w:sdt>
            <w:sdtPr>
              <w:rPr>
                <w:sz w:val="16"/>
                <w:szCs w:val="16"/>
              </w:rPr>
              <w:tag w:val="_PLD_245a9e71ca1b403fad3a821efeb272de"/>
              <w:id w:val="-1090001940"/>
            </w:sdtPr>
            <w:sdtEndPr>
              <w:rPr>
                <w:sz w:val="16"/>
                <w:szCs w:val="16"/>
              </w:rPr>
            </w:sdtEndPr>
            <w:sdtContent>
              <w:p w14:paraId="5F63914B">
                <w:pPr>
                  <w:snapToGrid w:val="0"/>
                  <w:spacing w:line="240" w:lineRule="atLeast"/>
                  <w:jc w:val="center"/>
                  <w:rPr>
                    <w:rFonts w:hint="eastAsia"/>
                    <w:sz w:val="16"/>
                    <w:szCs w:val="16"/>
                  </w:rPr>
                </w:pPr>
                <w:r>
                  <w:rPr>
                    <w:rFonts w:hint="eastAsia"/>
                    <w:sz w:val="16"/>
                    <w:szCs w:val="16"/>
                  </w:rPr>
                  <w:t>项目</w:t>
                </w:r>
              </w:p>
            </w:sdtContent>
          </w:sdt>
        </w:tc>
        <w:tc>
          <w:tcPr>
            <w:tcW w:w="4251" w:type="pct"/>
            <w:gridSpan w:val="9"/>
            <w:vAlign w:val="center"/>
          </w:tcPr>
          <w:p w14:paraId="09C9DBC4">
            <w:pPr>
              <w:snapToGrid w:val="0"/>
              <w:spacing w:line="240" w:lineRule="atLeast"/>
              <w:ind w:right="-1594" w:rightChars="-759"/>
              <w:jc w:val="center"/>
              <w:rPr>
                <w:rFonts w:hint="eastAsia"/>
                <w:sz w:val="16"/>
                <w:szCs w:val="16"/>
              </w:rPr>
            </w:pPr>
            <w:r>
              <w:rPr>
                <w:rFonts w:hint="eastAsia"/>
                <w:sz w:val="16"/>
                <w:szCs w:val="16"/>
              </w:rPr>
              <w:t xml:space="preserve"> </w:t>
            </w:r>
            <w:sdt>
              <w:sdtPr>
                <w:rPr>
                  <w:sz w:val="16"/>
                  <w:szCs w:val="16"/>
                </w:rPr>
                <w:tag w:val="_PLD_74b2c30f72fb403387c8b0e2a353f994"/>
                <w:id w:val="1000537761"/>
              </w:sdtPr>
              <w:sdtEndPr>
                <w:rPr>
                  <w:sz w:val="16"/>
                  <w:szCs w:val="16"/>
                </w:rPr>
              </w:sdtEndPr>
              <w:sdtContent>
                <w:r>
                  <w:rPr>
                    <w:rFonts w:hint="eastAsia"/>
                    <w:sz w:val="16"/>
                    <w:szCs w:val="16"/>
                  </w:rPr>
                  <w:t>2024年度</w:t>
                </w:r>
              </w:sdtContent>
            </w:sdt>
          </w:p>
        </w:tc>
      </w:tr>
      <w:tr w14:paraId="64E4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749" w:type="pct"/>
            <w:vMerge w:val="continue"/>
          </w:tcPr>
          <w:p w14:paraId="54587599">
            <w:pPr>
              <w:snapToGrid w:val="0"/>
              <w:spacing w:line="240" w:lineRule="atLeast"/>
              <w:ind w:right="-1594" w:rightChars="-759"/>
              <w:rPr>
                <w:rFonts w:hint="eastAsia"/>
                <w:sz w:val="16"/>
                <w:szCs w:val="16"/>
              </w:rPr>
            </w:pPr>
          </w:p>
        </w:tc>
        <w:sdt>
          <w:sdtPr>
            <w:rPr>
              <w:sz w:val="16"/>
              <w:szCs w:val="16"/>
            </w:rPr>
            <w:tag w:val="_PLD_48b1c4daa55343f0a820ecc94c441958"/>
            <w:id w:val="-700547623"/>
          </w:sdtPr>
          <w:sdtEndPr>
            <w:rPr>
              <w:sz w:val="16"/>
              <w:szCs w:val="16"/>
            </w:rPr>
          </w:sdtEndPr>
          <w:sdtContent>
            <w:tc>
              <w:tcPr>
                <w:tcW w:w="3279" w:type="pct"/>
                <w:gridSpan w:val="7"/>
                <w:vAlign w:val="center"/>
              </w:tcPr>
              <w:p w14:paraId="60A4401A">
                <w:pPr>
                  <w:jc w:val="center"/>
                  <w:rPr>
                    <w:rFonts w:hint="eastAsia"/>
                    <w:sz w:val="16"/>
                    <w:szCs w:val="16"/>
                  </w:rPr>
                </w:pPr>
                <w:r>
                  <w:rPr>
                    <w:sz w:val="16"/>
                    <w:szCs w:val="16"/>
                  </w:rPr>
                  <w:t>归属于母公司所有者权益</w:t>
                </w:r>
              </w:p>
            </w:tc>
          </w:sdtContent>
        </w:sdt>
        <w:sdt>
          <w:sdtPr>
            <w:rPr>
              <w:sz w:val="16"/>
              <w:szCs w:val="16"/>
            </w:rPr>
            <w:tag w:val="_PLD_de4010a56d78401ebd4bb48e62167082"/>
            <w:id w:val="-1510832062"/>
          </w:sdtPr>
          <w:sdtEndPr>
            <w:rPr>
              <w:sz w:val="16"/>
              <w:szCs w:val="16"/>
            </w:rPr>
          </w:sdtEndPr>
          <w:sdtContent>
            <w:tc>
              <w:tcPr>
                <w:tcW w:w="449" w:type="pct"/>
                <w:vMerge w:val="restart"/>
                <w:vAlign w:val="center"/>
              </w:tcPr>
              <w:p w14:paraId="183C1744">
                <w:pPr>
                  <w:jc w:val="center"/>
                  <w:rPr>
                    <w:rFonts w:hint="eastAsia"/>
                    <w:sz w:val="16"/>
                    <w:szCs w:val="16"/>
                  </w:rPr>
                </w:pPr>
                <w:r>
                  <w:rPr>
                    <w:sz w:val="16"/>
                    <w:szCs w:val="16"/>
                  </w:rPr>
                  <w:t>少数股东权益</w:t>
                </w:r>
              </w:p>
            </w:tc>
          </w:sdtContent>
        </w:sdt>
        <w:sdt>
          <w:sdtPr>
            <w:rPr>
              <w:sz w:val="16"/>
              <w:szCs w:val="16"/>
            </w:rPr>
            <w:tag w:val="_PLD_ff9bc6143ed9429e80e1ed144f5ff16d"/>
            <w:id w:val="-1131711215"/>
          </w:sdtPr>
          <w:sdtEndPr>
            <w:rPr>
              <w:sz w:val="16"/>
              <w:szCs w:val="16"/>
            </w:rPr>
          </w:sdtEndPr>
          <w:sdtContent>
            <w:tc>
              <w:tcPr>
                <w:tcW w:w="523" w:type="pct"/>
                <w:vMerge w:val="restart"/>
                <w:vAlign w:val="center"/>
              </w:tcPr>
              <w:p w14:paraId="54553BCE">
                <w:pPr>
                  <w:jc w:val="center"/>
                  <w:rPr>
                    <w:rFonts w:hint="eastAsia"/>
                    <w:sz w:val="16"/>
                    <w:szCs w:val="16"/>
                  </w:rPr>
                </w:pPr>
                <w:r>
                  <w:rPr>
                    <w:sz w:val="16"/>
                    <w:szCs w:val="16"/>
                  </w:rPr>
                  <w:t>所有者权益合计</w:t>
                </w:r>
              </w:p>
            </w:tc>
          </w:sdtContent>
        </w:sdt>
      </w:tr>
      <w:tr w14:paraId="2CF9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trPr>
        <w:tc>
          <w:tcPr>
            <w:tcW w:w="749" w:type="pct"/>
            <w:vMerge w:val="continue"/>
          </w:tcPr>
          <w:p w14:paraId="235980EA">
            <w:pPr>
              <w:snapToGrid w:val="0"/>
              <w:spacing w:line="240" w:lineRule="atLeast"/>
              <w:ind w:right="-1594" w:rightChars="-759"/>
              <w:rPr>
                <w:rFonts w:hint="eastAsia"/>
                <w:sz w:val="16"/>
                <w:szCs w:val="16"/>
              </w:rPr>
            </w:pPr>
          </w:p>
        </w:tc>
        <w:sdt>
          <w:sdtPr>
            <w:rPr>
              <w:sz w:val="16"/>
              <w:szCs w:val="16"/>
            </w:rPr>
            <w:tag w:val="_PLD_2a43f0f223d141f0855f6cbb9e60b12f"/>
            <w:id w:val="1857847047"/>
          </w:sdtPr>
          <w:sdtEndPr>
            <w:rPr>
              <w:sz w:val="16"/>
              <w:szCs w:val="16"/>
            </w:rPr>
          </w:sdtEndPr>
          <w:sdtContent>
            <w:tc>
              <w:tcPr>
                <w:tcW w:w="493" w:type="pct"/>
                <w:vAlign w:val="center"/>
              </w:tcPr>
              <w:p w14:paraId="3BB34E60">
                <w:pPr>
                  <w:snapToGrid w:val="0"/>
                  <w:spacing w:line="240" w:lineRule="atLeast"/>
                  <w:jc w:val="center"/>
                  <w:rPr>
                    <w:rFonts w:hint="eastAsia"/>
                    <w:sz w:val="16"/>
                    <w:szCs w:val="16"/>
                  </w:rPr>
                </w:pPr>
                <w:r>
                  <w:rPr>
                    <w:rFonts w:hint="eastAsia"/>
                    <w:sz w:val="16"/>
                    <w:szCs w:val="16"/>
                  </w:rPr>
                  <w:t>实收资本(或股本)</w:t>
                </w:r>
              </w:p>
            </w:tc>
          </w:sdtContent>
        </w:sdt>
        <w:sdt>
          <w:sdtPr>
            <w:rPr>
              <w:sz w:val="16"/>
              <w:szCs w:val="16"/>
            </w:rPr>
            <w:tag w:val="_PLD_0a2a84969d8f4cc5ab2f59451a4cf45c"/>
            <w:id w:val="2052728917"/>
          </w:sdtPr>
          <w:sdtEndPr>
            <w:rPr>
              <w:sz w:val="16"/>
              <w:szCs w:val="16"/>
            </w:rPr>
          </w:sdtEndPr>
          <w:sdtContent>
            <w:tc>
              <w:tcPr>
                <w:tcW w:w="493" w:type="pct"/>
                <w:vAlign w:val="center"/>
              </w:tcPr>
              <w:p w14:paraId="68D289A5">
                <w:pPr>
                  <w:snapToGrid w:val="0"/>
                  <w:spacing w:line="240" w:lineRule="atLeast"/>
                  <w:jc w:val="center"/>
                  <w:rPr>
                    <w:rFonts w:hint="eastAsia"/>
                    <w:sz w:val="16"/>
                    <w:szCs w:val="16"/>
                  </w:rPr>
                </w:pPr>
                <w:r>
                  <w:rPr>
                    <w:rFonts w:hint="eastAsia"/>
                    <w:sz w:val="16"/>
                    <w:szCs w:val="16"/>
                  </w:rPr>
                  <w:t>资本公积</w:t>
                </w:r>
              </w:p>
            </w:tc>
          </w:sdtContent>
        </w:sdt>
        <w:sdt>
          <w:sdtPr>
            <w:rPr>
              <w:sz w:val="16"/>
              <w:szCs w:val="16"/>
            </w:rPr>
            <w:tag w:val="_PLD_63b36aa6d5e74a289a4f2e40e95da929"/>
            <w:id w:val="-1989855089"/>
          </w:sdtPr>
          <w:sdtEndPr>
            <w:rPr>
              <w:sz w:val="16"/>
              <w:szCs w:val="16"/>
            </w:rPr>
          </w:sdtEndPr>
          <w:sdtContent>
            <w:tc>
              <w:tcPr>
                <w:tcW w:w="513" w:type="pct"/>
                <w:vAlign w:val="center"/>
              </w:tcPr>
              <w:p w14:paraId="6FF777CC">
                <w:pPr>
                  <w:snapToGrid w:val="0"/>
                  <w:spacing w:line="240" w:lineRule="atLeast"/>
                  <w:jc w:val="center"/>
                  <w:rPr>
                    <w:rFonts w:hint="eastAsia"/>
                    <w:sz w:val="16"/>
                    <w:szCs w:val="16"/>
                  </w:rPr>
                </w:pPr>
                <w:r>
                  <w:rPr>
                    <w:rFonts w:hint="eastAsia"/>
                    <w:sz w:val="16"/>
                    <w:szCs w:val="16"/>
                  </w:rPr>
                  <w:t>其他综合收益</w:t>
                </w:r>
              </w:p>
            </w:tc>
          </w:sdtContent>
        </w:sdt>
        <w:sdt>
          <w:sdtPr>
            <w:rPr>
              <w:sz w:val="16"/>
              <w:szCs w:val="16"/>
            </w:rPr>
            <w:tag w:val="_PLD_1560331b8c2f411cb5a844cb35b3d2b6"/>
            <w:id w:val="480037892"/>
          </w:sdtPr>
          <w:sdtEndPr>
            <w:rPr>
              <w:sz w:val="16"/>
              <w:szCs w:val="16"/>
            </w:rPr>
          </w:sdtEndPr>
          <w:sdtContent>
            <w:tc>
              <w:tcPr>
                <w:tcW w:w="316" w:type="pct"/>
                <w:vAlign w:val="center"/>
              </w:tcPr>
              <w:p w14:paraId="03BBCCCB">
                <w:pPr>
                  <w:snapToGrid w:val="0"/>
                  <w:spacing w:line="240" w:lineRule="atLeast"/>
                  <w:jc w:val="center"/>
                  <w:rPr>
                    <w:rFonts w:hint="eastAsia"/>
                    <w:sz w:val="16"/>
                    <w:szCs w:val="16"/>
                  </w:rPr>
                </w:pPr>
                <w:r>
                  <w:rPr>
                    <w:rFonts w:hint="eastAsia"/>
                    <w:sz w:val="16"/>
                    <w:szCs w:val="16"/>
                  </w:rPr>
                  <w:t>专项储备</w:t>
                </w:r>
              </w:p>
            </w:tc>
          </w:sdtContent>
        </w:sdt>
        <w:sdt>
          <w:sdtPr>
            <w:rPr>
              <w:sz w:val="16"/>
              <w:szCs w:val="16"/>
            </w:rPr>
            <w:tag w:val="_PLD_6f43f79cacca48dca49685537156084f"/>
            <w:id w:val="229050480"/>
          </w:sdtPr>
          <w:sdtEndPr>
            <w:rPr>
              <w:sz w:val="16"/>
              <w:szCs w:val="16"/>
            </w:rPr>
          </w:sdtEndPr>
          <w:sdtContent>
            <w:tc>
              <w:tcPr>
                <w:tcW w:w="448" w:type="pct"/>
                <w:vAlign w:val="center"/>
              </w:tcPr>
              <w:p w14:paraId="56AC28A3">
                <w:pPr>
                  <w:snapToGrid w:val="0"/>
                  <w:spacing w:line="240" w:lineRule="atLeast"/>
                  <w:jc w:val="center"/>
                  <w:rPr>
                    <w:rFonts w:hint="eastAsia"/>
                    <w:sz w:val="16"/>
                    <w:szCs w:val="16"/>
                  </w:rPr>
                </w:pPr>
                <w:r>
                  <w:rPr>
                    <w:rFonts w:hint="eastAsia"/>
                    <w:sz w:val="16"/>
                    <w:szCs w:val="16"/>
                  </w:rPr>
                  <w:t>盈余公积</w:t>
                </w:r>
              </w:p>
            </w:tc>
          </w:sdtContent>
        </w:sdt>
        <w:sdt>
          <w:sdtPr>
            <w:rPr>
              <w:sz w:val="16"/>
              <w:szCs w:val="16"/>
            </w:rPr>
            <w:tag w:val="_PLD_cbc8cc4f323b4146bc3e0b624cb6a030"/>
            <w:id w:val="170911507"/>
          </w:sdtPr>
          <w:sdtEndPr>
            <w:rPr>
              <w:sz w:val="16"/>
              <w:szCs w:val="16"/>
            </w:rPr>
          </w:sdtEndPr>
          <w:sdtContent>
            <w:tc>
              <w:tcPr>
                <w:tcW w:w="493" w:type="pct"/>
                <w:vAlign w:val="center"/>
              </w:tcPr>
              <w:p w14:paraId="259FEB74">
                <w:pPr>
                  <w:snapToGrid w:val="0"/>
                  <w:spacing w:line="240" w:lineRule="atLeast"/>
                  <w:jc w:val="center"/>
                  <w:rPr>
                    <w:rFonts w:hint="eastAsia"/>
                    <w:sz w:val="16"/>
                    <w:szCs w:val="16"/>
                  </w:rPr>
                </w:pPr>
                <w:r>
                  <w:rPr>
                    <w:rFonts w:hint="eastAsia"/>
                    <w:sz w:val="16"/>
                    <w:szCs w:val="16"/>
                  </w:rPr>
                  <w:t>未分配利润</w:t>
                </w:r>
              </w:p>
            </w:tc>
          </w:sdtContent>
        </w:sdt>
        <w:tc>
          <w:tcPr>
            <w:tcW w:w="523" w:type="pct"/>
            <w:vAlign w:val="center"/>
          </w:tcPr>
          <w:sdt>
            <w:sdtPr>
              <w:rPr>
                <w:sz w:val="16"/>
                <w:szCs w:val="16"/>
              </w:rPr>
              <w:tag w:val="_PLD_30b039ff7c714652865f3029df27082b"/>
              <w:id w:val="579488766"/>
            </w:sdtPr>
            <w:sdtEndPr>
              <w:rPr>
                <w:sz w:val="16"/>
                <w:szCs w:val="16"/>
              </w:rPr>
            </w:sdtEndPr>
            <w:sdtContent>
              <w:p w14:paraId="03188CBF">
                <w:pPr>
                  <w:jc w:val="center"/>
                  <w:rPr>
                    <w:rFonts w:hint="eastAsia"/>
                    <w:sz w:val="16"/>
                    <w:szCs w:val="16"/>
                  </w:rPr>
                </w:pPr>
                <w:r>
                  <w:rPr>
                    <w:rFonts w:hint="eastAsia"/>
                    <w:sz w:val="16"/>
                    <w:szCs w:val="16"/>
                  </w:rPr>
                  <w:t>小计</w:t>
                </w:r>
              </w:p>
            </w:sdtContent>
          </w:sdt>
        </w:tc>
        <w:tc>
          <w:tcPr>
            <w:tcW w:w="449" w:type="pct"/>
            <w:vMerge w:val="continue"/>
          </w:tcPr>
          <w:p w14:paraId="5FDC396D">
            <w:pPr>
              <w:jc w:val="center"/>
              <w:rPr>
                <w:rFonts w:hint="eastAsia"/>
                <w:sz w:val="16"/>
                <w:szCs w:val="16"/>
              </w:rPr>
            </w:pPr>
          </w:p>
        </w:tc>
        <w:tc>
          <w:tcPr>
            <w:tcW w:w="523" w:type="pct"/>
            <w:vMerge w:val="continue"/>
          </w:tcPr>
          <w:p w14:paraId="1E93F3BA">
            <w:pPr>
              <w:jc w:val="center"/>
              <w:rPr>
                <w:rFonts w:hint="eastAsia"/>
                <w:sz w:val="16"/>
                <w:szCs w:val="16"/>
              </w:rPr>
            </w:pPr>
          </w:p>
        </w:tc>
      </w:tr>
      <w:tr w14:paraId="4D17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4fdfc5e6b5c34cfdb08e5d5e3943966e"/>
            <w:id w:val="-1604650159"/>
          </w:sdtPr>
          <w:sdtEndPr>
            <w:rPr>
              <w:sz w:val="16"/>
              <w:szCs w:val="16"/>
            </w:rPr>
          </w:sdtEndPr>
          <w:sdtContent>
            <w:tc>
              <w:tcPr>
                <w:tcW w:w="749" w:type="pct"/>
              </w:tcPr>
              <w:p w14:paraId="0AB872CF">
                <w:pPr>
                  <w:rPr>
                    <w:rFonts w:hint="eastAsia"/>
                    <w:sz w:val="16"/>
                    <w:szCs w:val="16"/>
                  </w:rPr>
                </w:pPr>
                <w:r>
                  <w:rPr>
                    <w:sz w:val="16"/>
                    <w:szCs w:val="16"/>
                  </w:rPr>
                  <w:t>一、上年</w:t>
                </w:r>
                <w:r>
                  <w:rPr>
                    <w:rFonts w:hint="eastAsia"/>
                    <w:sz w:val="16"/>
                    <w:szCs w:val="16"/>
                  </w:rPr>
                  <w:t>年</w:t>
                </w:r>
                <w:r>
                  <w:rPr>
                    <w:sz w:val="16"/>
                    <w:szCs w:val="16"/>
                  </w:rPr>
                  <w:t>末余额</w:t>
                </w:r>
              </w:p>
            </w:tc>
          </w:sdtContent>
        </w:sdt>
        <w:tc>
          <w:tcPr>
            <w:tcW w:w="493" w:type="pct"/>
            <w:vAlign w:val="center"/>
          </w:tcPr>
          <w:p w14:paraId="61191795">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1AAAABAA">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513" w:type="pct"/>
            <w:vAlign w:val="center"/>
          </w:tcPr>
          <w:p w14:paraId="208847E4">
            <w:pPr>
              <w:jc w:val="right"/>
              <w:rPr>
                <w:rFonts w:ascii="Arial Narrow" w:hAnsi="Arial Narrow"/>
                <w:sz w:val="16"/>
                <w:szCs w:val="16"/>
              </w:rPr>
            </w:pPr>
            <w:r>
              <w:rPr>
                <w:rFonts w:ascii="Arial Narrow" w:hAnsi="Arial Narrow" w:eastAsia="等线"/>
                <w:color w:val="000000"/>
                <w:sz w:val="16"/>
                <w:szCs w:val="16"/>
              </w:rPr>
              <w:t xml:space="preserve">-188,407,871.25 </w:t>
            </w:r>
          </w:p>
        </w:tc>
        <w:tc>
          <w:tcPr>
            <w:tcW w:w="316" w:type="pct"/>
            <w:vAlign w:val="center"/>
          </w:tcPr>
          <w:p w14:paraId="273AB2F9">
            <w:pPr>
              <w:jc w:val="right"/>
              <w:rPr>
                <w:rFonts w:ascii="Arial Narrow" w:hAnsi="Arial Narrow"/>
                <w:sz w:val="16"/>
                <w:szCs w:val="16"/>
              </w:rPr>
            </w:pPr>
          </w:p>
        </w:tc>
        <w:tc>
          <w:tcPr>
            <w:tcW w:w="448" w:type="pct"/>
            <w:vAlign w:val="center"/>
          </w:tcPr>
          <w:p w14:paraId="11F0B654">
            <w:pPr>
              <w:jc w:val="right"/>
              <w:rPr>
                <w:rFonts w:ascii="Arial Narrow" w:hAnsi="Arial Narrow"/>
                <w:sz w:val="16"/>
                <w:szCs w:val="16"/>
              </w:rPr>
            </w:pPr>
            <w:r>
              <w:rPr>
                <w:rFonts w:ascii="Arial Narrow" w:hAnsi="Arial Narrow" w:eastAsia="等线"/>
                <w:color w:val="000000"/>
                <w:sz w:val="16"/>
                <w:szCs w:val="16"/>
              </w:rPr>
              <w:t xml:space="preserve">369,657,198.90 </w:t>
            </w:r>
          </w:p>
        </w:tc>
        <w:tc>
          <w:tcPr>
            <w:tcW w:w="493" w:type="pct"/>
            <w:vAlign w:val="center"/>
          </w:tcPr>
          <w:p w14:paraId="5A8F6D03">
            <w:pPr>
              <w:jc w:val="right"/>
              <w:rPr>
                <w:rFonts w:ascii="Arial Narrow" w:hAnsi="Arial Narrow"/>
                <w:sz w:val="16"/>
                <w:szCs w:val="16"/>
              </w:rPr>
            </w:pPr>
            <w:r>
              <w:rPr>
                <w:rFonts w:ascii="Arial Narrow" w:hAnsi="Arial Narrow" w:eastAsia="等线"/>
                <w:color w:val="000000"/>
                <w:sz w:val="16"/>
                <w:szCs w:val="16"/>
              </w:rPr>
              <w:t xml:space="preserve">4,463,369,702.05 </w:t>
            </w:r>
          </w:p>
        </w:tc>
        <w:tc>
          <w:tcPr>
            <w:tcW w:w="523" w:type="pct"/>
            <w:vAlign w:val="center"/>
          </w:tcPr>
          <w:p w14:paraId="4B55E448">
            <w:pPr>
              <w:jc w:val="right"/>
              <w:rPr>
                <w:rFonts w:ascii="Arial Narrow" w:hAnsi="Arial Narrow"/>
                <w:sz w:val="16"/>
                <w:szCs w:val="16"/>
              </w:rPr>
            </w:pPr>
            <w:r>
              <w:rPr>
                <w:rFonts w:ascii="Arial Narrow" w:hAnsi="Arial Narrow" w:eastAsia="等线"/>
                <w:color w:val="000000"/>
                <w:sz w:val="16"/>
                <w:szCs w:val="16"/>
              </w:rPr>
              <w:t xml:space="preserve">17,104,014,570.78 </w:t>
            </w:r>
          </w:p>
        </w:tc>
        <w:tc>
          <w:tcPr>
            <w:tcW w:w="449" w:type="pct"/>
            <w:vAlign w:val="center"/>
          </w:tcPr>
          <w:p w14:paraId="39236FFB">
            <w:pPr>
              <w:jc w:val="right"/>
              <w:rPr>
                <w:rFonts w:ascii="Arial Narrow" w:hAnsi="Arial Narrow"/>
                <w:sz w:val="16"/>
                <w:szCs w:val="16"/>
              </w:rPr>
            </w:pPr>
            <w:r>
              <w:rPr>
                <w:rFonts w:ascii="Arial Narrow" w:hAnsi="Arial Narrow" w:eastAsia="等线"/>
                <w:color w:val="000000"/>
                <w:sz w:val="16"/>
                <w:szCs w:val="16"/>
              </w:rPr>
              <w:t xml:space="preserve">-65,174,646.01 </w:t>
            </w:r>
          </w:p>
        </w:tc>
        <w:tc>
          <w:tcPr>
            <w:tcW w:w="523" w:type="pct"/>
            <w:vAlign w:val="center"/>
          </w:tcPr>
          <w:p w14:paraId="1F8BB126">
            <w:pPr>
              <w:jc w:val="right"/>
              <w:rPr>
                <w:rFonts w:ascii="Arial Narrow" w:hAnsi="Arial Narrow"/>
                <w:sz w:val="16"/>
                <w:szCs w:val="16"/>
              </w:rPr>
            </w:pPr>
            <w:r>
              <w:rPr>
                <w:rFonts w:ascii="Arial Narrow" w:hAnsi="Arial Narrow" w:eastAsia="等线"/>
                <w:color w:val="000000"/>
                <w:sz w:val="16"/>
                <w:szCs w:val="16"/>
              </w:rPr>
              <w:t xml:space="preserve">17,038,839,924.77 </w:t>
            </w:r>
          </w:p>
        </w:tc>
      </w:tr>
      <w:tr w14:paraId="79B6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04db836e110543eab1bb1c6fb46bd857"/>
            <w:id w:val="-1659765633"/>
          </w:sdtPr>
          <w:sdtEndPr>
            <w:rPr>
              <w:sz w:val="16"/>
              <w:szCs w:val="16"/>
            </w:rPr>
          </w:sdtEndPr>
          <w:sdtContent>
            <w:tc>
              <w:tcPr>
                <w:tcW w:w="749" w:type="pct"/>
              </w:tcPr>
              <w:p w14:paraId="60B49661">
                <w:pPr>
                  <w:rPr>
                    <w:rFonts w:hint="eastAsia"/>
                    <w:sz w:val="16"/>
                    <w:szCs w:val="16"/>
                  </w:rPr>
                </w:pPr>
                <w:r>
                  <w:rPr>
                    <w:sz w:val="16"/>
                    <w:szCs w:val="16"/>
                  </w:rPr>
                  <w:t>二、本年</w:t>
                </w:r>
                <w:r>
                  <w:rPr>
                    <w:rFonts w:hint="eastAsia"/>
                    <w:sz w:val="16"/>
                    <w:szCs w:val="16"/>
                  </w:rPr>
                  <w:t>期</w:t>
                </w:r>
                <w:r>
                  <w:rPr>
                    <w:sz w:val="16"/>
                    <w:szCs w:val="16"/>
                  </w:rPr>
                  <w:t>初余额</w:t>
                </w:r>
              </w:p>
            </w:tc>
          </w:sdtContent>
        </w:sdt>
        <w:tc>
          <w:tcPr>
            <w:tcW w:w="493" w:type="pct"/>
            <w:vAlign w:val="center"/>
          </w:tcPr>
          <w:p w14:paraId="0AF9FC34">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334D1F1F">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513" w:type="pct"/>
            <w:vAlign w:val="center"/>
          </w:tcPr>
          <w:p w14:paraId="30AFC600">
            <w:pPr>
              <w:jc w:val="right"/>
              <w:rPr>
                <w:rFonts w:ascii="Arial Narrow" w:hAnsi="Arial Narrow"/>
                <w:sz w:val="16"/>
                <w:szCs w:val="16"/>
              </w:rPr>
            </w:pPr>
            <w:r>
              <w:rPr>
                <w:rFonts w:ascii="Arial Narrow" w:hAnsi="Arial Narrow" w:eastAsia="等线"/>
                <w:color w:val="000000"/>
                <w:sz w:val="16"/>
                <w:szCs w:val="16"/>
              </w:rPr>
              <w:t xml:space="preserve">-188,407,871.25 </w:t>
            </w:r>
          </w:p>
        </w:tc>
        <w:tc>
          <w:tcPr>
            <w:tcW w:w="316" w:type="pct"/>
            <w:vAlign w:val="center"/>
          </w:tcPr>
          <w:p w14:paraId="624BAA64">
            <w:pPr>
              <w:jc w:val="right"/>
              <w:rPr>
                <w:rFonts w:ascii="Arial Narrow" w:hAnsi="Arial Narrow"/>
                <w:sz w:val="16"/>
                <w:szCs w:val="16"/>
              </w:rPr>
            </w:pPr>
          </w:p>
        </w:tc>
        <w:tc>
          <w:tcPr>
            <w:tcW w:w="448" w:type="pct"/>
            <w:vAlign w:val="center"/>
          </w:tcPr>
          <w:p w14:paraId="0BD4A79B">
            <w:pPr>
              <w:jc w:val="right"/>
              <w:rPr>
                <w:rFonts w:ascii="Arial Narrow" w:hAnsi="Arial Narrow"/>
                <w:sz w:val="16"/>
                <w:szCs w:val="16"/>
              </w:rPr>
            </w:pPr>
            <w:r>
              <w:rPr>
                <w:rFonts w:ascii="Arial Narrow" w:hAnsi="Arial Narrow" w:eastAsia="等线"/>
                <w:color w:val="000000"/>
                <w:sz w:val="16"/>
                <w:szCs w:val="16"/>
              </w:rPr>
              <w:t xml:space="preserve">369,657,198.90 </w:t>
            </w:r>
          </w:p>
        </w:tc>
        <w:tc>
          <w:tcPr>
            <w:tcW w:w="493" w:type="pct"/>
            <w:vAlign w:val="center"/>
          </w:tcPr>
          <w:p w14:paraId="782EA0A6">
            <w:pPr>
              <w:jc w:val="right"/>
              <w:rPr>
                <w:rFonts w:ascii="Arial Narrow" w:hAnsi="Arial Narrow"/>
                <w:sz w:val="16"/>
                <w:szCs w:val="16"/>
              </w:rPr>
            </w:pPr>
            <w:r>
              <w:rPr>
                <w:rFonts w:ascii="Arial Narrow" w:hAnsi="Arial Narrow" w:eastAsia="等线"/>
                <w:color w:val="000000"/>
                <w:sz w:val="16"/>
                <w:szCs w:val="16"/>
              </w:rPr>
              <w:t xml:space="preserve">4,463,369,702.05 </w:t>
            </w:r>
          </w:p>
        </w:tc>
        <w:tc>
          <w:tcPr>
            <w:tcW w:w="523" w:type="pct"/>
            <w:vAlign w:val="center"/>
          </w:tcPr>
          <w:p w14:paraId="2FD5FB1D">
            <w:pPr>
              <w:jc w:val="right"/>
              <w:rPr>
                <w:rFonts w:ascii="Arial Narrow" w:hAnsi="Arial Narrow"/>
                <w:sz w:val="16"/>
                <w:szCs w:val="16"/>
              </w:rPr>
            </w:pPr>
            <w:r>
              <w:rPr>
                <w:rFonts w:ascii="Arial Narrow" w:hAnsi="Arial Narrow" w:eastAsia="等线"/>
                <w:color w:val="000000"/>
                <w:sz w:val="16"/>
                <w:szCs w:val="16"/>
              </w:rPr>
              <w:t xml:space="preserve">17,104,014,570.78 </w:t>
            </w:r>
          </w:p>
        </w:tc>
        <w:tc>
          <w:tcPr>
            <w:tcW w:w="449" w:type="pct"/>
            <w:vAlign w:val="center"/>
          </w:tcPr>
          <w:p w14:paraId="3F0F5649">
            <w:pPr>
              <w:jc w:val="right"/>
              <w:rPr>
                <w:rFonts w:ascii="Arial Narrow" w:hAnsi="Arial Narrow"/>
                <w:sz w:val="16"/>
                <w:szCs w:val="16"/>
              </w:rPr>
            </w:pPr>
            <w:r>
              <w:rPr>
                <w:rFonts w:ascii="Arial Narrow" w:hAnsi="Arial Narrow" w:eastAsia="等线"/>
                <w:color w:val="000000"/>
                <w:sz w:val="16"/>
                <w:szCs w:val="16"/>
              </w:rPr>
              <w:t xml:space="preserve">-65,174,646.01 </w:t>
            </w:r>
          </w:p>
        </w:tc>
        <w:tc>
          <w:tcPr>
            <w:tcW w:w="523" w:type="pct"/>
            <w:vAlign w:val="center"/>
          </w:tcPr>
          <w:p w14:paraId="4A6E04B0">
            <w:pPr>
              <w:jc w:val="right"/>
              <w:rPr>
                <w:rFonts w:ascii="Arial Narrow" w:hAnsi="Arial Narrow"/>
                <w:sz w:val="16"/>
                <w:szCs w:val="16"/>
              </w:rPr>
            </w:pPr>
            <w:r>
              <w:rPr>
                <w:rFonts w:ascii="Arial Narrow" w:hAnsi="Arial Narrow" w:eastAsia="等线"/>
                <w:color w:val="000000"/>
                <w:sz w:val="16"/>
                <w:szCs w:val="16"/>
              </w:rPr>
              <w:t xml:space="preserve">17,038,839,924.77 </w:t>
            </w:r>
          </w:p>
        </w:tc>
      </w:tr>
      <w:tr w14:paraId="5905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1ca4768a663c4afc8e9fee3a8dc71bc6"/>
            <w:id w:val="163359331"/>
          </w:sdtPr>
          <w:sdtEndPr>
            <w:rPr>
              <w:sz w:val="16"/>
              <w:szCs w:val="16"/>
            </w:rPr>
          </w:sdtEndPr>
          <w:sdtContent>
            <w:tc>
              <w:tcPr>
                <w:tcW w:w="749" w:type="pct"/>
              </w:tcPr>
              <w:p w14:paraId="6F8EC477">
                <w:pPr>
                  <w:rPr>
                    <w:rFonts w:hint="eastAsia"/>
                    <w:sz w:val="16"/>
                    <w:szCs w:val="16"/>
                  </w:rPr>
                </w:pPr>
                <w:r>
                  <w:rPr>
                    <w:sz w:val="16"/>
                    <w:szCs w:val="16"/>
                  </w:rPr>
                  <w:t>三、本</w:t>
                </w:r>
                <w:r>
                  <w:rPr>
                    <w:rFonts w:hint="eastAsia"/>
                    <w:sz w:val="16"/>
                    <w:szCs w:val="16"/>
                  </w:rPr>
                  <w:t>期</w:t>
                </w:r>
                <w:r>
                  <w:rPr>
                    <w:sz w:val="16"/>
                    <w:szCs w:val="16"/>
                  </w:rPr>
                  <w:t>增减变动金额（减少以“－”号填列）</w:t>
                </w:r>
              </w:p>
            </w:tc>
          </w:sdtContent>
        </w:sdt>
        <w:tc>
          <w:tcPr>
            <w:tcW w:w="493" w:type="pct"/>
            <w:vAlign w:val="center"/>
          </w:tcPr>
          <w:p w14:paraId="5313EB76">
            <w:pPr>
              <w:jc w:val="right"/>
              <w:rPr>
                <w:rFonts w:ascii="Arial Narrow" w:hAnsi="Arial Narrow"/>
                <w:sz w:val="16"/>
                <w:szCs w:val="16"/>
              </w:rPr>
            </w:pPr>
          </w:p>
        </w:tc>
        <w:tc>
          <w:tcPr>
            <w:tcW w:w="493" w:type="pct"/>
            <w:vAlign w:val="center"/>
          </w:tcPr>
          <w:p w14:paraId="3E3CECCD">
            <w:pPr>
              <w:jc w:val="right"/>
              <w:rPr>
                <w:rFonts w:ascii="Arial Narrow" w:hAnsi="Arial Narrow"/>
                <w:sz w:val="16"/>
                <w:szCs w:val="16"/>
              </w:rPr>
            </w:pPr>
          </w:p>
        </w:tc>
        <w:tc>
          <w:tcPr>
            <w:tcW w:w="513" w:type="pct"/>
            <w:vAlign w:val="center"/>
          </w:tcPr>
          <w:p w14:paraId="425553A2">
            <w:pPr>
              <w:jc w:val="right"/>
              <w:rPr>
                <w:rFonts w:ascii="Arial Narrow" w:hAnsi="Arial Narrow"/>
                <w:sz w:val="16"/>
                <w:szCs w:val="16"/>
              </w:rPr>
            </w:pPr>
            <w:r>
              <w:rPr>
                <w:rFonts w:ascii="Arial Narrow" w:hAnsi="Arial Narrow" w:eastAsia="等线"/>
                <w:color w:val="000000"/>
                <w:sz w:val="16"/>
                <w:szCs w:val="16"/>
              </w:rPr>
              <w:t xml:space="preserve">-130,226,818.18 </w:t>
            </w:r>
          </w:p>
        </w:tc>
        <w:tc>
          <w:tcPr>
            <w:tcW w:w="316" w:type="pct"/>
            <w:vAlign w:val="center"/>
          </w:tcPr>
          <w:p w14:paraId="5E763B8D">
            <w:pPr>
              <w:jc w:val="right"/>
              <w:rPr>
                <w:rFonts w:ascii="Arial Narrow" w:hAnsi="Arial Narrow"/>
                <w:sz w:val="16"/>
                <w:szCs w:val="16"/>
              </w:rPr>
            </w:pPr>
          </w:p>
        </w:tc>
        <w:tc>
          <w:tcPr>
            <w:tcW w:w="448" w:type="pct"/>
            <w:vAlign w:val="center"/>
          </w:tcPr>
          <w:p w14:paraId="78D777EC">
            <w:pPr>
              <w:jc w:val="right"/>
              <w:rPr>
                <w:rFonts w:ascii="Arial Narrow" w:hAnsi="Arial Narrow"/>
                <w:sz w:val="16"/>
                <w:szCs w:val="16"/>
              </w:rPr>
            </w:pPr>
            <w:r>
              <w:rPr>
                <w:rFonts w:ascii="Arial Narrow" w:hAnsi="Arial Narrow" w:eastAsia="等线"/>
                <w:color w:val="000000"/>
                <w:sz w:val="16"/>
                <w:szCs w:val="16"/>
              </w:rPr>
              <w:t xml:space="preserve">20,224.92 </w:t>
            </w:r>
          </w:p>
        </w:tc>
        <w:tc>
          <w:tcPr>
            <w:tcW w:w="493" w:type="pct"/>
            <w:vAlign w:val="center"/>
          </w:tcPr>
          <w:p w14:paraId="7D20818E">
            <w:pPr>
              <w:jc w:val="right"/>
              <w:rPr>
                <w:rFonts w:ascii="Arial Narrow" w:hAnsi="Arial Narrow"/>
                <w:sz w:val="16"/>
                <w:szCs w:val="16"/>
              </w:rPr>
            </w:pPr>
            <w:r>
              <w:rPr>
                <w:rFonts w:ascii="Arial Narrow" w:hAnsi="Arial Narrow" w:eastAsia="等线"/>
                <w:color w:val="000000"/>
                <w:sz w:val="16"/>
                <w:szCs w:val="16"/>
              </w:rPr>
              <w:t xml:space="preserve">-4,360,119,369.46 </w:t>
            </w:r>
          </w:p>
        </w:tc>
        <w:tc>
          <w:tcPr>
            <w:tcW w:w="523" w:type="pct"/>
            <w:vAlign w:val="center"/>
          </w:tcPr>
          <w:p w14:paraId="63172948">
            <w:pPr>
              <w:jc w:val="right"/>
              <w:rPr>
                <w:rFonts w:ascii="Arial Narrow" w:hAnsi="Arial Narrow"/>
                <w:sz w:val="16"/>
                <w:szCs w:val="16"/>
              </w:rPr>
            </w:pPr>
            <w:r>
              <w:rPr>
                <w:rFonts w:ascii="Arial Narrow" w:hAnsi="Arial Narrow" w:eastAsia="等线"/>
                <w:color w:val="000000"/>
                <w:sz w:val="16"/>
                <w:szCs w:val="16"/>
              </w:rPr>
              <w:t xml:space="preserve">-4,490,325,962.72 </w:t>
            </w:r>
          </w:p>
        </w:tc>
        <w:tc>
          <w:tcPr>
            <w:tcW w:w="449" w:type="pct"/>
            <w:vAlign w:val="center"/>
          </w:tcPr>
          <w:p w14:paraId="0A97A360">
            <w:pPr>
              <w:jc w:val="right"/>
              <w:rPr>
                <w:rFonts w:ascii="Arial Narrow" w:hAnsi="Arial Narrow"/>
                <w:sz w:val="16"/>
                <w:szCs w:val="16"/>
              </w:rPr>
            </w:pPr>
            <w:r>
              <w:rPr>
                <w:rFonts w:ascii="Arial Narrow" w:hAnsi="Arial Narrow" w:eastAsia="等线"/>
                <w:color w:val="000000"/>
                <w:sz w:val="16"/>
                <w:szCs w:val="16"/>
              </w:rPr>
              <w:t xml:space="preserve">-33,565,948.33 </w:t>
            </w:r>
          </w:p>
        </w:tc>
        <w:tc>
          <w:tcPr>
            <w:tcW w:w="523" w:type="pct"/>
            <w:vAlign w:val="center"/>
          </w:tcPr>
          <w:p w14:paraId="766342C8">
            <w:pPr>
              <w:jc w:val="right"/>
              <w:rPr>
                <w:rFonts w:ascii="Arial Narrow" w:hAnsi="Arial Narrow"/>
                <w:sz w:val="16"/>
                <w:szCs w:val="16"/>
              </w:rPr>
            </w:pPr>
            <w:r>
              <w:rPr>
                <w:rFonts w:ascii="Arial Narrow" w:hAnsi="Arial Narrow" w:eastAsia="等线"/>
                <w:color w:val="000000"/>
                <w:sz w:val="16"/>
                <w:szCs w:val="16"/>
              </w:rPr>
              <w:t xml:space="preserve">-4,523,891,911.05 </w:t>
            </w:r>
          </w:p>
        </w:tc>
      </w:tr>
      <w:tr w14:paraId="09A6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55a20255a0a245fd951d5eb42c559389"/>
            <w:id w:val="152032468"/>
          </w:sdtPr>
          <w:sdtEndPr>
            <w:rPr>
              <w:sz w:val="16"/>
              <w:szCs w:val="16"/>
            </w:rPr>
          </w:sdtEndPr>
          <w:sdtContent>
            <w:tc>
              <w:tcPr>
                <w:tcW w:w="749" w:type="pct"/>
              </w:tcPr>
              <w:p w14:paraId="55456807">
                <w:pPr>
                  <w:rPr>
                    <w:rFonts w:hint="eastAsia"/>
                    <w:sz w:val="16"/>
                    <w:szCs w:val="16"/>
                  </w:rPr>
                </w:pPr>
                <w:r>
                  <w:rPr>
                    <w:rFonts w:hint="eastAsia"/>
                    <w:sz w:val="16"/>
                    <w:szCs w:val="16"/>
                  </w:rPr>
                  <w:t>（一）综合收益总额</w:t>
                </w:r>
              </w:p>
            </w:tc>
          </w:sdtContent>
        </w:sdt>
        <w:tc>
          <w:tcPr>
            <w:tcW w:w="493" w:type="pct"/>
            <w:vAlign w:val="center"/>
          </w:tcPr>
          <w:p w14:paraId="62B4C1A3">
            <w:pPr>
              <w:jc w:val="right"/>
              <w:rPr>
                <w:rFonts w:ascii="Arial Narrow" w:hAnsi="Arial Narrow"/>
                <w:sz w:val="16"/>
                <w:szCs w:val="16"/>
              </w:rPr>
            </w:pPr>
          </w:p>
        </w:tc>
        <w:tc>
          <w:tcPr>
            <w:tcW w:w="493" w:type="pct"/>
            <w:vAlign w:val="center"/>
          </w:tcPr>
          <w:p w14:paraId="4B757609">
            <w:pPr>
              <w:jc w:val="right"/>
              <w:rPr>
                <w:rFonts w:ascii="Arial Narrow" w:hAnsi="Arial Narrow"/>
                <w:sz w:val="16"/>
                <w:szCs w:val="16"/>
              </w:rPr>
            </w:pPr>
          </w:p>
        </w:tc>
        <w:tc>
          <w:tcPr>
            <w:tcW w:w="513" w:type="pct"/>
            <w:vAlign w:val="center"/>
          </w:tcPr>
          <w:p w14:paraId="743E1FB7">
            <w:pPr>
              <w:jc w:val="right"/>
              <w:rPr>
                <w:rFonts w:ascii="Arial Narrow" w:hAnsi="Arial Narrow"/>
                <w:sz w:val="16"/>
                <w:szCs w:val="16"/>
              </w:rPr>
            </w:pPr>
            <w:r>
              <w:rPr>
                <w:rFonts w:ascii="Arial Narrow" w:hAnsi="Arial Narrow" w:eastAsia="等线"/>
                <w:color w:val="000000"/>
                <w:sz w:val="16"/>
                <w:szCs w:val="16"/>
              </w:rPr>
              <w:t xml:space="preserve">-130,305,418.02 </w:t>
            </w:r>
          </w:p>
        </w:tc>
        <w:tc>
          <w:tcPr>
            <w:tcW w:w="316" w:type="pct"/>
            <w:vAlign w:val="center"/>
          </w:tcPr>
          <w:p w14:paraId="0E53B7A1">
            <w:pPr>
              <w:jc w:val="right"/>
              <w:rPr>
                <w:rFonts w:ascii="Arial Narrow" w:hAnsi="Arial Narrow"/>
                <w:sz w:val="16"/>
                <w:szCs w:val="16"/>
              </w:rPr>
            </w:pPr>
          </w:p>
        </w:tc>
        <w:tc>
          <w:tcPr>
            <w:tcW w:w="448" w:type="pct"/>
            <w:vAlign w:val="center"/>
          </w:tcPr>
          <w:p w14:paraId="3CB8509D">
            <w:pPr>
              <w:jc w:val="right"/>
              <w:rPr>
                <w:rFonts w:ascii="Arial Narrow" w:hAnsi="Arial Narrow"/>
                <w:sz w:val="16"/>
                <w:szCs w:val="16"/>
              </w:rPr>
            </w:pPr>
          </w:p>
        </w:tc>
        <w:tc>
          <w:tcPr>
            <w:tcW w:w="493" w:type="pct"/>
            <w:vAlign w:val="center"/>
          </w:tcPr>
          <w:p w14:paraId="05F96890">
            <w:pPr>
              <w:jc w:val="right"/>
              <w:rPr>
                <w:rFonts w:ascii="Arial Narrow" w:hAnsi="Arial Narrow"/>
                <w:sz w:val="16"/>
                <w:szCs w:val="16"/>
              </w:rPr>
            </w:pPr>
            <w:r>
              <w:rPr>
                <w:rFonts w:ascii="Arial Narrow" w:hAnsi="Arial Narrow" w:eastAsia="等线"/>
                <w:color w:val="000000"/>
                <w:sz w:val="16"/>
                <w:szCs w:val="16"/>
              </w:rPr>
              <w:t xml:space="preserve">-4,228,257,792.02 </w:t>
            </w:r>
          </w:p>
        </w:tc>
        <w:tc>
          <w:tcPr>
            <w:tcW w:w="523" w:type="pct"/>
            <w:vAlign w:val="center"/>
          </w:tcPr>
          <w:p w14:paraId="4C2D0167">
            <w:pPr>
              <w:jc w:val="right"/>
              <w:rPr>
                <w:rFonts w:ascii="Arial Narrow" w:hAnsi="Arial Narrow"/>
                <w:sz w:val="16"/>
                <w:szCs w:val="16"/>
              </w:rPr>
            </w:pPr>
            <w:r>
              <w:rPr>
                <w:rFonts w:ascii="Arial Narrow" w:hAnsi="Arial Narrow" w:eastAsia="等线"/>
                <w:color w:val="000000"/>
                <w:sz w:val="16"/>
                <w:szCs w:val="16"/>
              </w:rPr>
              <w:t xml:space="preserve">-4,358,563,210.04 </w:t>
            </w:r>
          </w:p>
        </w:tc>
        <w:tc>
          <w:tcPr>
            <w:tcW w:w="449" w:type="pct"/>
            <w:vAlign w:val="center"/>
          </w:tcPr>
          <w:p w14:paraId="759BA2E2">
            <w:pPr>
              <w:jc w:val="right"/>
              <w:rPr>
                <w:rFonts w:ascii="Arial Narrow" w:hAnsi="Arial Narrow"/>
                <w:sz w:val="16"/>
                <w:szCs w:val="16"/>
              </w:rPr>
            </w:pPr>
            <w:r>
              <w:rPr>
                <w:rFonts w:ascii="Arial Narrow" w:hAnsi="Arial Narrow" w:eastAsia="等线"/>
                <w:color w:val="000000"/>
                <w:sz w:val="16"/>
                <w:szCs w:val="16"/>
              </w:rPr>
              <w:t xml:space="preserve">-37,015,948.33 </w:t>
            </w:r>
          </w:p>
        </w:tc>
        <w:tc>
          <w:tcPr>
            <w:tcW w:w="523" w:type="pct"/>
            <w:vAlign w:val="center"/>
          </w:tcPr>
          <w:p w14:paraId="6EC4A977">
            <w:pPr>
              <w:jc w:val="right"/>
              <w:rPr>
                <w:rFonts w:ascii="Arial Narrow" w:hAnsi="Arial Narrow"/>
                <w:sz w:val="16"/>
                <w:szCs w:val="16"/>
              </w:rPr>
            </w:pPr>
            <w:r>
              <w:rPr>
                <w:rFonts w:ascii="Arial Narrow" w:hAnsi="Arial Narrow" w:eastAsia="等线"/>
                <w:color w:val="000000"/>
                <w:sz w:val="16"/>
                <w:szCs w:val="16"/>
              </w:rPr>
              <w:t xml:space="preserve">-4,395,579,158.37 </w:t>
            </w:r>
          </w:p>
        </w:tc>
      </w:tr>
      <w:tr w14:paraId="7C13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cabd5a3f22a849b08cf8df11a07115b5"/>
            <w:id w:val="1151407914"/>
          </w:sdtPr>
          <w:sdtEndPr>
            <w:rPr>
              <w:sz w:val="16"/>
              <w:szCs w:val="16"/>
            </w:rPr>
          </w:sdtEndPr>
          <w:sdtContent>
            <w:tc>
              <w:tcPr>
                <w:tcW w:w="749" w:type="pct"/>
              </w:tcPr>
              <w:p w14:paraId="4819D1B6">
                <w:pPr>
                  <w:rPr>
                    <w:rFonts w:hint="eastAsia"/>
                    <w:sz w:val="16"/>
                    <w:szCs w:val="16"/>
                  </w:rPr>
                </w:pPr>
                <w:r>
                  <w:rPr>
                    <w:sz w:val="16"/>
                    <w:szCs w:val="16"/>
                  </w:rPr>
                  <w:t>（</w:t>
                </w:r>
                <w:r>
                  <w:rPr>
                    <w:rFonts w:hint="eastAsia"/>
                    <w:sz w:val="16"/>
                    <w:szCs w:val="16"/>
                  </w:rPr>
                  <w:t>二</w:t>
                </w:r>
                <w:r>
                  <w:rPr>
                    <w:sz w:val="16"/>
                    <w:szCs w:val="16"/>
                  </w:rPr>
                  <w:t>）所有者投入和减少资本</w:t>
                </w:r>
              </w:p>
            </w:tc>
          </w:sdtContent>
        </w:sdt>
        <w:tc>
          <w:tcPr>
            <w:tcW w:w="493" w:type="pct"/>
            <w:vAlign w:val="center"/>
          </w:tcPr>
          <w:p w14:paraId="218F06BD">
            <w:pPr>
              <w:jc w:val="right"/>
              <w:rPr>
                <w:rFonts w:ascii="Arial Narrow" w:hAnsi="Arial Narrow"/>
                <w:sz w:val="16"/>
                <w:szCs w:val="16"/>
              </w:rPr>
            </w:pPr>
          </w:p>
        </w:tc>
        <w:tc>
          <w:tcPr>
            <w:tcW w:w="493" w:type="pct"/>
            <w:vAlign w:val="center"/>
          </w:tcPr>
          <w:p w14:paraId="07024F6A">
            <w:pPr>
              <w:jc w:val="right"/>
              <w:rPr>
                <w:rFonts w:ascii="Arial Narrow" w:hAnsi="Arial Narrow"/>
                <w:sz w:val="16"/>
                <w:szCs w:val="16"/>
              </w:rPr>
            </w:pPr>
          </w:p>
        </w:tc>
        <w:tc>
          <w:tcPr>
            <w:tcW w:w="513" w:type="pct"/>
            <w:vAlign w:val="center"/>
          </w:tcPr>
          <w:p w14:paraId="7EAD454F">
            <w:pPr>
              <w:jc w:val="right"/>
              <w:rPr>
                <w:rFonts w:ascii="Arial Narrow" w:hAnsi="Arial Narrow"/>
                <w:sz w:val="16"/>
                <w:szCs w:val="16"/>
              </w:rPr>
            </w:pPr>
          </w:p>
        </w:tc>
        <w:tc>
          <w:tcPr>
            <w:tcW w:w="316" w:type="pct"/>
            <w:vAlign w:val="center"/>
          </w:tcPr>
          <w:p w14:paraId="5848E38E">
            <w:pPr>
              <w:jc w:val="right"/>
              <w:rPr>
                <w:rFonts w:ascii="Arial Narrow" w:hAnsi="Arial Narrow"/>
                <w:sz w:val="16"/>
                <w:szCs w:val="16"/>
              </w:rPr>
            </w:pPr>
          </w:p>
        </w:tc>
        <w:tc>
          <w:tcPr>
            <w:tcW w:w="448" w:type="pct"/>
            <w:vAlign w:val="center"/>
          </w:tcPr>
          <w:p w14:paraId="7F4EA229">
            <w:pPr>
              <w:jc w:val="right"/>
              <w:rPr>
                <w:rFonts w:ascii="Arial Narrow" w:hAnsi="Arial Narrow"/>
                <w:sz w:val="16"/>
                <w:szCs w:val="16"/>
              </w:rPr>
            </w:pPr>
          </w:p>
        </w:tc>
        <w:tc>
          <w:tcPr>
            <w:tcW w:w="493" w:type="pct"/>
            <w:vAlign w:val="center"/>
          </w:tcPr>
          <w:p w14:paraId="06B00E76">
            <w:pPr>
              <w:jc w:val="right"/>
              <w:rPr>
                <w:rFonts w:ascii="Arial Narrow" w:hAnsi="Arial Narrow"/>
                <w:sz w:val="16"/>
                <w:szCs w:val="16"/>
              </w:rPr>
            </w:pPr>
          </w:p>
        </w:tc>
        <w:tc>
          <w:tcPr>
            <w:tcW w:w="523" w:type="pct"/>
            <w:vAlign w:val="center"/>
          </w:tcPr>
          <w:p w14:paraId="2B27793E">
            <w:pPr>
              <w:jc w:val="right"/>
              <w:rPr>
                <w:rFonts w:ascii="Arial Narrow" w:hAnsi="Arial Narrow"/>
                <w:sz w:val="16"/>
                <w:szCs w:val="16"/>
              </w:rPr>
            </w:pPr>
          </w:p>
        </w:tc>
        <w:tc>
          <w:tcPr>
            <w:tcW w:w="449" w:type="pct"/>
            <w:vAlign w:val="center"/>
          </w:tcPr>
          <w:p w14:paraId="24631817">
            <w:pPr>
              <w:jc w:val="right"/>
              <w:rPr>
                <w:rFonts w:ascii="Arial Narrow" w:hAnsi="Arial Narrow"/>
                <w:sz w:val="16"/>
                <w:szCs w:val="16"/>
              </w:rPr>
            </w:pPr>
            <w:r>
              <w:rPr>
                <w:rFonts w:ascii="Arial Narrow" w:hAnsi="Arial Narrow" w:eastAsia="等线"/>
                <w:color w:val="000000"/>
                <w:sz w:val="16"/>
                <w:szCs w:val="16"/>
              </w:rPr>
              <w:t xml:space="preserve">3,450,000.00 </w:t>
            </w:r>
          </w:p>
        </w:tc>
        <w:tc>
          <w:tcPr>
            <w:tcW w:w="523" w:type="pct"/>
            <w:vAlign w:val="center"/>
          </w:tcPr>
          <w:p w14:paraId="089FF8A9">
            <w:pPr>
              <w:jc w:val="right"/>
              <w:rPr>
                <w:rFonts w:ascii="Arial Narrow" w:hAnsi="Arial Narrow"/>
                <w:sz w:val="16"/>
                <w:szCs w:val="16"/>
              </w:rPr>
            </w:pPr>
            <w:r>
              <w:rPr>
                <w:rFonts w:ascii="Arial Narrow" w:hAnsi="Arial Narrow" w:eastAsia="等线"/>
                <w:color w:val="000000"/>
                <w:sz w:val="16"/>
                <w:szCs w:val="16"/>
              </w:rPr>
              <w:t xml:space="preserve">3,450,000.00 </w:t>
            </w:r>
          </w:p>
        </w:tc>
      </w:tr>
      <w:tr w14:paraId="29BE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4d4d24462cb048579eb01f9b1c8956b1"/>
            <w:id w:val="-68120793"/>
          </w:sdtPr>
          <w:sdtEndPr>
            <w:rPr>
              <w:sz w:val="16"/>
              <w:szCs w:val="16"/>
            </w:rPr>
          </w:sdtEndPr>
          <w:sdtContent>
            <w:tc>
              <w:tcPr>
                <w:tcW w:w="749" w:type="pct"/>
              </w:tcPr>
              <w:p w14:paraId="03830EF9">
                <w:pPr>
                  <w:rPr>
                    <w:rFonts w:hint="eastAsia"/>
                    <w:sz w:val="16"/>
                    <w:szCs w:val="16"/>
                  </w:rPr>
                </w:pPr>
                <w:r>
                  <w:rPr>
                    <w:rFonts w:hint="eastAsia"/>
                    <w:sz w:val="16"/>
                    <w:szCs w:val="16"/>
                  </w:rPr>
                  <w:t>1．所有者投入的普通股</w:t>
                </w:r>
              </w:p>
            </w:tc>
          </w:sdtContent>
        </w:sdt>
        <w:tc>
          <w:tcPr>
            <w:tcW w:w="493" w:type="pct"/>
            <w:vAlign w:val="center"/>
          </w:tcPr>
          <w:p w14:paraId="55E2216D">
            <w:pPr>
              <w:jc w:val="right"/>
              <w:rPr>
                <w:rFonts w:ascii="Arial Narrow" w:hAnsi="Arial Narrow"/>
                <w:sz w:val="16"/>
                <w:szCs w:val="16"/>
              </w:rPr>
            </w:pPr>
          </w:p>
        </w:tc>
        <w:tc>
          <w:tcPr>
            <w:tcW w:w="493" w:type="pct"/>
            <w:vAlign w:val="center"/>
          </w:tcPr>
          <w:p w14:paraId="5F292A90">
            <w:pPr>
              <w:jc w:val="right"/>
              <w:rPr>
                <w:rFonts w:ascii="Arial Narrow" w:hAnsi="Arial Narrow"/>
                <w:sz w:val="16"/>
                <w:szCs w:val="16"/>
              </w:rPr>
            </w:pPr>
          </w:p>
        </w:tc>
        <w:tc>
          <w:tcPr>
            <w:tcW w:w="513" w:type="pct"/>
            <w:vAlign w:val="center"/>
          </w:tcPr>
          <w:p w14:paraId="4952B998">
            <w:pPr>
              <w:jc w:val="right"/>
              <w:rPr>
                <w:rFonts w:ascii="Arial Narrow" w:hAnsi="Arial Narrow"/>
                <w:sz w:val="16"/>
                <w:szCs w:val="16"/>
              </w:rPr>
            </w:pPr>
          </w:p>
        </w:tc>
        <w:tc>
          <w:tcPr>
            <w:tcW w:w="316" w:type="pct"/>
            <w:vAlign w:val="center"/>
          </w:tcPr>
          <w:p w14:paraId="05A6C98C">
            <w:pPr>
              <w:jc w:val="right"/>
              <w:rPr>
                <w:rFonts w:ascii="Arial Narrow" w:hAnsi="Arial Narrow"/>
                <w:sz w:val="16"/>
                <w:szCs w:val="16"/>
              </w:rPr>
            </w:pPr>
          </w:p>
        </w:tc>
        <w:tc>
          <w:tcPr>
            <w:tcW w:w="448" w:type="pct"/>
            <w:vAlign w:val="center"/>
          </w:tcPr>
          <w:p w14:paraId="6A8EC4B7">
            <w:pPr>
              <w:jc w:val="right"/>
              <w:rPr>
                <w:rFonts w:ascii="Arial Narrow" w:hAnsi="Arial Narrow"/>
                <w:sz w:val="16"/>
                <w:szCs w:val="16"/>
              </w:rPr>
            </w:pPr>
          </w:p>
        </w:tc>
        <w:tc>
          <w:tcPr>
            <w:tcW w:w="493" w:type="pct"/>
            <w:vAlign w:val="center"/>
          </w:tcPr>
          <w:p w14:paraId="021D9DEA">
            <w:pPr>
              <w:jc w:val="right"/>
              <w:rPr>
                <w:rFonts w:ascii="Arial Narrow" w:hAnsi="Arial Narrow"/>
                <w:sz w:val="16"/>
                <w:szCs w:val="16"/>
              </w:rPr>
            </w:pPr>
          </w:p>
        </w:tc>
        <w:tc>
          <w:tcPr>
            <w:tcW w:w="523" w:type="pct"/>
            <w:vAlign w:val="center"/>
          </w:tcPr>
          <w:p w14:paraId="453FD008">
            <w:pPr>
              <w:jc w:val="right"/>
              <w:rPr>
                <w:rFonts w:ascii="Arial Narrow" w:hAnsi="Arial Narrow"/>
                <w:sz w:val="16"/>
                <w:szCs w:val="16"/>
              </w:rPr>
            </w:pPr>
          </w:p>
        </w:tc>
        <w:tc>
          <w:tcPr>
            <w:tcW w:w="449" w:type="pct"/>
            <w:vAlign w:val="center"/>
          </w:tcPr>
          <w:p w14:paraId="3C1C9B53">
            <w:pPr>
              <w:jc w:val="right"/>
              <w:rPr>
                <w:rFonts w:ascii="Arial Narrow" w:hAnsi="Arial Narrow"/>
                <w:sz w:val="16"/>
                <w:szCs w:val="16"/>
              </w:rPr>
            </w:pPr>
            <w:r>
              <w:rPr>
                <w:rFonts w:ascii="Arial Narrow" w:hAnsi="Arial Narrow" w:eastAsia="等线"/>
                <w:color w:val="000000"/>
                <w:sz w:val="16"/>
                <w:szCs w:val="16"/>
              </w:rPr>
              <w:t xml:space="preserve">3,450,000.00 </w:t>
            </w:r>
          </w:p>
        </w:tc>
        <w:tc>
          <w:tcPr>
            <w:tcW w:w="523" w:type="pct"/>
            <w:vAlign w:val="center"/>
          </w:tcPr>
          <w:p w14:paraId="307F9685">
            <w:pPr>
              <w:jc w:val="right"/>
              <w:rPr>
                <w:rFonts w:ascii="Arial Narrow" w:hAnsi="Arial Narrow"/>
                <w:sz w:val="16"/>
                <w:szCs w:val="16"/>
              </w:rPr>
            </w:pPr>
            <w:r>
              <w:rPr>
                <w:rFonts w:ascii="Arial Narrow" w:hAnsi="Arial Narrow" w:eastAsia="等线"/>
                <w:color w:val="000000"/>
                <w:sz w:val="16"/>
                <w:szCs w:val="16"/>
              </w:rPr>
              <w:t xml:space="preserve">3,450,000.00 </w:t>
            </w:r>
          </w:p>
        </w:tc>
      </w:tr>
      <w:tr w14:paraId="211A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d3ce563048a9409f9366506e205c4124"/>
            <w:id w:val="498315101"/>
          </w:sdtPr>
          <w:sdtEndPr>
            <w:rPr>
              <w:sz w:val="16"/>
              <w:szCs w:val="16"/>
            </w:rPr>
          </w:sdtEndPr>
          <w:sdtContent>
            <w:tc>
              <w:tcPr>
                <w:tcW w:w="749" w:type="pct"/>
              </w:tcPr>
              <w:p w14:paraId="7D0B81D2">
                <w:pPr>
                  <w:rPr>
                    <w:rFonts w:hint="eastAsia"/>
                    <w:sz w:val="16"/>
                    <w:szCs w:val="16"/>
                  </w:rPr>
                </w:pPr>
                <w:r>
                  <w:rPr>
                    <w:rFonts w:hint="eastAsia"/>
                    <w:sz w:val="16"/>
                    <w:szCs w:val="16"/>
                  </w:rPr>
                  <w:t>4</w:t>
                </w:r>
                <w:r>
                  <w:rPr>
                    <w:sz w:val="16"/>
                    <w:szCs w:val="16"/>
                  </w:rPr>
                  <w:t>．其他</w:t>
                </w:r>
              </w:p>
            </w:tc>
          </w:sdtContent>
        </w:sdt>
        <w:tc>
          <w:tcPr>
            <w:tcW w:w="493" w:type="pct"/>
            <w:vAlign w:val="center"/>
          </w:tcPr>
          <w:p w14:paraId="3D805737">
            <w:pPr>
              <w:jc w:val="right"/>
              <w:rPr>
                <w:rFonts w:ascii="Arial Narrow" w:hAnsi="Arial Narrow"/>
                <w:sz w:val="16"/>
                <w:szCs w:val="16"/>
              </w:rPr>
            </w:pPr>
          </w:p>
        </w:tc>
        <w:tc>
          <w:tcPr>
            <w:tcW w:w="493" w:type="pct"/>
            <w:vAlign w:val="center"/>
          </w:tcPr>
          <w:p w14:paraId="7F9EB19E">
            <w:pPr>
              <w:jc w:val="right"/>
              <w:rPr>
                <w:rFonts w:ascii="Arial Narrow" w:hAnsi="Arial Narrow"/>
                <w:sz w:val="16"/>
                <w:szCs w:val="16"/>
              </w:rPr>
            </w:pPr>
          </w:p>
        </w:tc>
        <w:tc>
          <w:tcPr>
            <w:tcW w:w="513" w:type="pct"/>
            <w:vAlign w:val="center"/>
          </w:tcPr>
          <w:p w14:paraId="0610F609">
            <w:pPr>
              <w:jc w:val="right"/>
              <w:rPr>
                <w:rFonts w:ascii="Arial Narrow" w:hAnsi="Arial Narrow"/>
                <w:sz w:val="16"/>
                <w:szCs w:val="16"/>
              </w:rPr>
            </w:pPr>
          </w:p>
        </w:tc>
        <w:tc>
          <w:tcPr>
            <w:tcW w:w="316" w:type="pct"/>
            <w:vAlign w:val="center"/>
          </w:tcPr>
          <w:p w14:paraId="53BB5FA8">
            <w:pPr>
              <w:jc w:val="right"/>
              <w:rPr>
                <w:rFonts w:ascii="Arial Narrow" w:hAnsi="Arial Narrow"/>
                <w:sz w:val="16"/>
                <w:szCs w:val="16"/>
              </w:rPr>
            </w:pPr>
          </w:p>
        </w:tc>
        <w:tc>
          <w:tcPr>
            <w:tcW w:w="448" w:type="pct"/>
            <w:vAlign w:val="center"/>
          </w:tcPr>
          <w:p w14:paraId="56518633">
            <w:pPr>
              <w:jc w:val="right"/>
              <w:rPr>
                <w:rFonts w:ascii="Arial Narrow" w:hAnsi="Arial Narrow"/>
                <w:sz w:val="16"/>
                <w:szCs w:val="16"/>
              </w:rPr>
            </w:pPr>
          </w:p>
        </w:tc>
        <w:tc>
          <w:tcPr>
            <w:tcW w:w="493" w:type="pct"/>
            <w:vAlign w:val="center"/>
          </w:tcPr>
          <w:p w14:paraId="10962806">
            <w:pPr>
              <w:jc w:val="right"/>
              <w:rPr>
                <w:rFonts w:ascii="Arial Narrow" w:hAnsi="Arial Narrow"/>
                <w:sz w:val="16"/>
                <w:szCs w:val="16"/>
              </w:rPr>
            </w:pPr>
          </w:p>
        </w:tc>
        <w:tc>
          <w:tcPr>
            <w:tcW w:w="523" w:type="pct"/>
            <w:vAlign w:val="center"/>
          </w:tcPr>
          <w:p w14:paraId="6B8A2B52">
            <w:pPr>
              <w:jc w:val="right"/>
              <w:rPr>
                <w:rFonts w:ascii="Arial Narrow" w:hAnsi="Arial Narrow"/>
                <w:sz w:val="16"/>
                <w:szCs w:val="16"/>
              </w:rPr>
            </w:pPr>
          </w:p>
        </w:tc>
        <w:tc>
          <w:tcPr>
            <w:tcW w:w="449" w:type="pct"/>
            <w:vAlign w:val="center"/>
          </w:tcPr>
          <w:p w14:paraId="2EACCB05">
            <w:pPr>
              <w:jc w:val="right"/>
              <w:rPr>
                <w:rFonts w:ascii="Arial Narrow" w:hAnsi="Arial Narrow"/>
                <w:sz w:val="16"/>
                <w:szCs w:val="16"/>
              </w:rPr>
            </w:pPr>
          </w:p>
        </w:tc>
        <w:tc>
          <w:tcPr>
            <w:tcW w:w="523" w:type="pct"/>
            <w:vAlign w:val="center"/>
          </w:tcPr>
          <w:p w14:paraId="35F55DC0">
            <w:pPr>
              <w:jc w:val="right"/>
              <w:rPr>
                <w:rFonts w:ascii="Arial Narrow" w:hAnsi="Arial Narrow"/>
                <w:sz w:val="16"/>
                <w:szCs w:val="16"/>
              </w:rPr>
            </w:pPr>
          </w:p>
        </w:tc>
      </w:tr>
      <w:tr w14:paraId="3F69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e5ace973797c4072b589e43841b34142"/>
            <w:id w:val="-474603200"/>
          </w:sdtPr>
          <w:sdtEndPr>
            <w:rPr>
              <w:sz w:val="16"/>
              <w:szCs w:val="16"/>
            </w:rPr>
          </w:sdtEndPr>
          <w:sdtContent>
            <w:tc>
              <w:tcPr>
                <w:tcW w:w="749" w:type="pct"/>
              </w:tcPr>
              <w:p w14:paraId="0DF75159">
                <w:pPr>
                  <w:rPr>
                    <w:rFonts w:hint="eastAsia"/>
                    <w:sz w:val="16"/>
                    <w:szCs w:val="16"/>
                  </w:rPr>
                </w:pPr>
                <w:r>
                  <w:rPr>
                    <w:sz w:val="16"/>
                    <w:szCs w:val="16"/>
                  </w:rPr>
                  <w:t>（</w:t>
                </w:r>
                <w:r>
                  <w:rPr>
                    <w:rFonts w:hint="eastAsia"/>
                    <w:sz w:val="16"/>
                    <w:szCs w:val="16"/>
                  </w:rPr>
                  <w:t>三</w:t>
                </w:r>
                <w:r>
                  <w:rPr>
                    <w:sz w:val="16"/>
                    <w:szCs w:val="16"/>
                  </w:rPr>
                  <w:t>）利润分配</w:t>
                </w:r>
              </w:p>
            </w:tc>
          </w:sdtContent>
        </w:sdt>
        <w:tc>
          <w:tcPr>
            <w:tcW w:w="493" w:type="pct"/>
            <w:vAlign w:val="center"/>
          </w:tcPr>
          <w:p w14:paraId="63F884AB">
            <w:pPr>
              <w:jc w:val="right"/>
              <w:rPr>
                <w:rFonts w:ascii="Arial Narrow" w:hAnsi="Arial Narrow"/>
                <w:sz w:val="16"/>
                <w:szCs w:val="16"/>
              </w:rPr>
            </w:pPr>
          </w:p>
        </w:tc>
        <w:tc>
          <w:tcPr>
            <w:tcW w:w="493" w:type="pct"/>
            <w:vAlign w:val="center"/>
          </w:tcPr>
          <w:p w14:paraId="50067CF2">
            <w:pPr>
              <w:jc w:val="right"/>
              <w:rPr>
                <w:rFonts w:ascii="Arial Narrow" w:hAnsi="Arial Narrow"/>
                <w:sz w:val="16"/>
                <w:szCs w:val="16"/>
              </w:rPr>
            </w:pPr>
          </w:p>
        </w:tc>
        <w:tc>
          <w:tcPr>
            <w:tcW w:w="513" w:type="pct"/>
            <w:vAlign w:val="center"/>
          </w:tcPr>
          <w:p w14:paraId="23F42E2D">
            <w:pPr>
              <w:jc w:val="right"/>
              <w:rPr>
                <w:rFonts w:ascii="Arial Narrow" w:hAnsi="Arial Narrow"/>
                <w:sz w:val="16"/>
                <w:szCs w:val="16"/>
              </w:rPr>
            </w:pPr>
          </w:p>
        </w:tc>
        <w:tc>
          <w:tcPr>
            <w:tcW w:w="316" w:type="pct"/>
            <w:vAlign w:val="center"/>
          </w:tcPr>
          <w:p w14:paraId="699C3B27">
            <w:pPr>
              <w:jc w:val="right"/>
              <w:rPr>
                <w:rFonts w:ascii="Arial Narrow" w:hAnsi="Arial Narrow"/>
                <w:sz w:val="16"/>
                <w:szCs w:val="16"/>
              </w:rPr>
            </w:pPr>
          </w:p>
        </w:tc>
        <w:tc>
          <w:tcPr>
            <w:tcW w:w="448" w:type="pct"/>
            <w:vAlign w:val="center"/>
          </w:tcPr>
          <w:p w14:paraId="299639F6">
            <w:pPr>
              <w:jc w:val="right"/>
              <w:rPr>
                <w:rFonts w:ascii="Arial Narrow" w:hAnsi="Arial Narrow"/>
                <w:sz w:val="16"/>
                <w:szCs w:val="16"/>
              </w:rPr>
            </w:pPr>
            <w:r>
              <w:rPr>
                <w:rFonts w:ascii="Arial Narrow" w:hAnsi="Arial Narrow" w:eastAsia="等线"/>
                <w:color w:val="000000"/>
                <w:sz w:val="16"/>
                <w:szCs w:val="16"/>
              </w:rPr>
              <w:t xml:space="preserve">20,224.92 </w:t>
            </w:r>
          </w:p>
        </w:tc>
        <w:tc>
          <w:tcPr>
            <w:tcW w:w="493" w:type="pct"/>
            <w:vAlign w:val="center"/>
          </w:tcPr>
          <w:p w14:paraId="033A5056">
            <w:pPr>
              <w:jc w:val="right"/>
              <w:rPr>
                <w:rFonts w:ascii="Arial Narrow" w:hAnsi="Arial Narrow"/>
                <w:sz w:val="16"/>
                <w:szCs w:val="16"/>
              </w:rPr>
            </w:pPr>
            <w:r>
              <w:rPr>
                <w:rFonts w:ascii="Arial Narrow" w:hAnsi="Arial Narrow" w:eastAsia="等线"/>
                <w:color w:val="000000"/>
                <w:sz w:val="16"/>
                <w:szCs w:val="16"/>
              </w:rPr>
              <w:t xml:space="preserve">-131,769,107.04 </w:t>
            </w:r>
          </w:p>
        </w:tc>
        <w:tc>
          <w:tcPr>
            <w:tcW w:w="523" w:type="pct"/>
            <w:vAlign w:val="center"/>
          </w:tcPr>
          <w:p w14:paraId="6F28AF08">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449" w:type="pct"/>
            <w:vAlign w:val="center"/>
          </w:tcPr>
          <w:p w14:paraId="06CFC42B">
            <w:pPr>
              <w:jc w:val="right"/>
              <w:rPr>
                <w:rFonts w:ascii="Arial Narrow" w:hAnsi="Arial Narrow"/>
                <w:sz w:val="16"/>
                <w:szCs w:val="16"/>
              </w:rPr>
            </w:pPr>
          </w:p>
        </w:tc>
        <w:tc>
          <w:tcPr>
            <w:tcW w:w="523" w:type="pct"/>
            <w:vAlign w:val="center"/>
          </w:tcPr>
          <w:p w14:paraId="6BA54C35">
            <w:pPr>
              <w:jc w:val="right"/>
              <w:rPr>
                <w:rFonts w:ascii="Arial Narrow" w:hAnsi="Arial Narrow"/>
                <w:sz w:val="16"/>
                <w:szCs w:val="16"/>
              </w:rPr>
            </w:pPr>
            <w:r>
              <w:rPr>
                <w:rFonts w:ascii="Arial Narrow" w:hAnsi="Arial Narrow" w:eastAsia="等线"/>
                <w:color w:val="000000"/>
                <w:sz w:val="16"/>
                <w:szCs w:val="16"/>
              </w:rPr>
              <w:t xml:space="preserve">-131,748,882.12 </w:t>
            </w:r>
          </w:p>
        </w:tc>
      </w:tr>
      <w:tr w14:paraId="3D73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56984731c08d48a08692b6a589fbe555"/>
            <w:id w:val="-534569876"/>
          </w:sdtPr>
          <w:sdtEndPr>
            <w:rPr>
              <w:sz w:val="16"/>
              <w:szCs w:val="16"/>
            </w:rPr>
          </w:sdtEndPr>
          <w:sdtContent>
            <w:tc>
              <w:tcPr>
                <w:tcW w:w="749" w:type="pct"/>
              </w:tcPr>
              <w:p w14:paraId="4CC6D175">
                <w:pPr>
                  <w:rPr>
                    <w:rFonts w:hint="eastAsia"/>
                    <w:sz w:val="16"/>
                    <w:szCs w:val="16"/>
                  </w:rPr>
                </w:pPr>
                <w:r>
                  <w:rPr>
                    <w:sz w:val="16"/>
                    <w:szCs w:val="16"/>
                  </w:rPr>
                  <w:t>1．提取盈余公积</w:t>
                </w:r>
              </w:p>
            </w:tc>
          </w:sdtContent>
        </w:sdt>
        <w:tc>
          <w:tcPr>
            <w:tcW w:w="493" w:type="pct"/>
            <w:vAlign w:val="center"/>
          </w:tcPr>
          <w:p w14:paraId="025E5DF5">
            <w:pPr>
              <w:jc w:val="right"/>
              <w:rPr>
                <w:rFonts w:ascii="Arial Narrow" w:hAnsi="Arial Narrow"/>
                <w:sz w:val="16"/>
                <w:szCs w:val="16"/>
              </w:rPr>
            </w:pPr>
          </w:p>
        </w:tc>
        <w:tc>
          <w:tcPr>
            <w:tcW w:w="493" w:type="pct"/>
            <w:vAlign w:val="center"/>
          </w:tcPr>
          <w:p w14:paraId="79473B6B">
            <w:pPr>
              <w:jc w:val="right"/>
              <w:rPr>
                <w:rFonts w:ascii="Arial Narrow" w:hAnsi="Arial Narrow"/>
                <w:sz w:val="16"/>
                <w:szCs w:val="16"/>
              </w:rPr>
            </w:pPr>
          </w:p>
        </w:tc>
        <w:tc>
          <w:tcPr>
            <w:tcW w:w="513" w:type="pct"/>
            <w:vAlign w:val="center"/>
          </w:tcPr>
          <w:p w14:paraId="3CBF79A6">
            <w:pPr>
              <w:jc w:val="right"/>
              <w:rPr>
                <w:rFonts w:ascii="Arial Narrow" w:hAnsi="Arial Narrow"/>
                <w:sz w:val="16"/>
                <w:szCs w:val="16"/>
              </w:rPr>
            </w:pPr>
          </w:p>
        </w:tc>
        <w:tc>
          <w:tcPr>
            <w:tcW w:w="316" w:type="pct"/>
            <w:vAlign w:val="center"/>
          </w:tcPr>
          <w:p w14:paraId="18AAB6F0">
            <w:pPr>
              <w:jc w:val="right"/>
              <w:rPr>
                <w:rFonts w:ascii="Arial Narrow" w:hAnsi="Arial Narrow"/>
                <w:sz w:val="16"/>
                <w:szCs w:val="16"/>
              </w:rPr>
            </w:pPr>
          </w:p>
        </w:tc>
        <w:tc>
          <w:tcPr>
            <w:tcW w:w="448" w:type="pct"/>
            <w:vAlign w:val="center"/>
          </w:tcPr>
          <w:p w14:paraId="6838E2A9">
            <w:pPr>
              <w:jc w:val="right"/>
              <w:rPr>
                <w:rFonts w:ascii="Arial Narrow" w:hAnsi="Arial Narrow"/>
                <w:sz w:val="16"/>
                <w:szCs w:val="16"/>
              </w:rPr>
            </w:pPr>
            <w:r>
              <w:rPr>
                <w:rFonts w:ascii="Arial Narrow" w:hAnsi="Arial Narrow" w:eastAsia="等线"/>
                <w:color w:val="000000"/>
                <w:sz w:val="16"/>
                <w:szCs w:val="16"/>
              </w:rPr>
              <w:t xml:space="preserve">20,224.92 </w:t>
            </w:r>
          </w:p>
        </w:tc>
        <w:tc>
          <w:tcPr>
            <w:tcW w:w="493" w:type="pct"/>
            <w:vAlign w:val="center"/>
          </w:tcPr>
          <w:p w14:paraId="695C668D">
            <w:pPr>
              <w:jc w:val="right"/>
              <w:rPr>
                <w:rFonts w:ascii="Arial Narrow" w:hAnsi="Arial Narrow"/>
                <w:sz w:val="16"/>
                <w:szCs w:val="16"/>
              </w:rPr>
            </w:pPr>
            <w:r>
              <w:rPr>
                <w:rFonts w:ascii="Arial Narrow" w:hAnsi="Arial Narrow" w:eastAsia="等线"/>
                <w:color w:val="000000"/>
                <w:sz w:val="16"/>
                <w:szCs w:val="16"/>
              </w:rPr>
              <w:t xml:space="preserve">-20,224.92 </w:t>
            </w:r>
          </w:p>
        </w:tc>
        <w:tc>
          <w:tcPr>
            <w:tcW w:w="523" w:type="pct"/>
            <w:vAlign w:val="center"/>
          </w:tcPr>
          <w:p w14:paraId="18D7246A">
            <w:pPr>
              <w:jc w:val="right"/>
              <w:rPr>
                <w:rFonts w:ascii="Arial Narrow" w:hAnsi="Arial Narrow"/>
                <w:sz w:val="16"/>
                <w:szCs w:val="16"/>
              </w:rPr>
            </w:pPr>
          </w:p>
        </w:tc>
        <w:tc>
          <w:tcPr>
            <w:tcW w:w="449" w:type="pct"/>
            <w:vAlign w:val="center"/>
          </w:tcPr>
          <w:p w14:paraId="109CAD49">
            <w:pPr>
              <w:jc w:val="right"/>
              <w:rPr>
                <w:rFonts w:ascii="Arial Narrow" w:hAnsi="Arial Narrow"/>
                <w:sz w:val="16"/>
                <w:szCs w:val="16"/>
              </w:rPr>
            </w:pPr>
          </w:p>
        </w:tc>
        <w:tc>
          <w:tcPr>
            <w:tcW w:w="523" w:type="pct"/>
            <w:vAlign w:val="center"/>
          </w:tcPr>
          <w:p w14:paraId="65B07487">
            <w:pPr>
              <w:jc w:val="right"/>
              <w:rPr>
                <w:rFonts w:ascii="Arial Narrow" w:hAnsi="Arial Narrow"/>
                <w:sz w:val="16"/>
                <w:szCs w:val="16"/>
              </w:rPr>
            </w:pPr>
          </w:p>
        </w:tc>
      </w:tr>
      <w:tr w14:paraId="0EFB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6d573481d9af49e2a8ab22ecd061ccf7"/>
            <w:id w:val="-1774085778"/>
          </w:sdtPr>
          <w:sdtEndPr>
            <w:rPr>
              <w:sz w:val="16"/>
              <w:szCs w:val="16"/>
            </w:rPr>
          </w:sdtEndPr>
          <w:sdtContent>
            <w:tc>
              <w:tcPr>
                <w:tcW w:w="749" w:type="pct"/>
              </w:tcPr>
              <w:p w14:paraId="1C359C39">
                <w:pPr>
                  <w:rPr>
                    <w:rFonts w:hint="eastAsia"/>
                    <w:sz w:val="16"/>
                    <w:szCs w:val="16"/>
                  </w:rPr>
                </w:pPr>
                <w:r>
                  <w:rPr>
                    <w:sz w:val="16"/>
                    <w:szCs w:val="16"/>
                  </w:rPr>
                  <w:t>3．对所有者（或股东）的分配</w:t>
                </w:r>
              </w:p>
            </w:tc>
          </w:sdtContent>
        </w:sdt>
        <w:tc>
          <w:tcPr>
            <w:tcW w:w="493" w:type="pct"/>
            <w:vAlign w:val="center"/>
          </w:tcPr>
          <w:p w14:paraId="4FB6EED4">
            <w:pPr>
              <w:jc w:val="right"/>
              <w:rPr>
                <w:rFonts w:ascii="Arial Narrow" w:hAnsi="Arial Narrow"/>
                <w:sz w:val="16"/>
                <w:szCs w:val="16"/>
              </w:rPr>
            </w:pPr>
          </w:p>
        </w:tc>
        <w:tc>
          <w:tcPr>
            <w:tcW w:w="493" w:type="pct"/>
            <w:vAlign w:val="center"/>
          </w:tcPr>
          <w:p w14:paraId="37F516BB">
            <w:pPr>
              <w:jc w:val="right"/>
              <w:rPr>
                <w:rFonts w:ascii="Arial Narrow" w:hAnsi="Arial Narrow"/>
                <w:sz w:val="16"/>
                <w:szCs w:val="16"/>
              </w:rPr>
            </w:pPr>
          </w:p>
        </w:tc>
        <w:tc>
          <w:tcPr>
            <w:tcW w:w="513" w:type="pct"/>
            <w:vAlign w:val="center"/>
          </w:tcPr>
          <w:p w14:paraId="5075C3FF">
            <w:pPr>
              <w:jc w:val="right"/>
              <w:rPr>
                <w:rFonts w:ascii="Arial Narrow" w:hAnsi="Arial Narrow"/>
                <w:sz w:val="16"/>
                <w:szCs w:val="16"/>
              </w:rPr>
            </w:pPr>
          </w:p>
        </w:tc>
        <w:tc>
          <w:tcPr>
            <w:tcW w:w="316" w:type="pct"/>
            <w:vAlign w:val="center"/>
          </w:tcPr>
          <w:p w14:paraId="50ECF317">
            <w:pPr>
              <w:jc w:val="right"/>
              <w:rPr>
                <w:rFonts w:ascii="Arial Narrow" w:hAnsi="Arial Narrow"/>
                <w:sz w:val="16"/>
                <w:szCs w:val="16"/>
              </w:rPr>
            </w:pPr>
          </w:p>
        </w:tc>
        <w:tc>
          <w:tcPr>
            <w:tcW w:w="448" w:type="pct"/>
            <w:vAlign w:val="center"/>
          </w:tcPr>
          <w:p w14:paraId="2D3690F3">
            <w:pPr>
              <w:jc w:val="right"/>
              <w:rPr>
                <w:rFonts w:ascii="Arial Narrow" w:hAnsi="Arial Narrow"/>
                <w:sz w:val="16"/>
                <w:szCs w:val="16"/>
              </w:rPr>
            </w:pPr>
          </w:p>
        </w:tc>
        <w:tc>
          <w:tcPr>
            <w:tcW w:w="493" w:type="pct"/>
            <w:vAlign w:val="center"/>
          </w:tcPr>
          <w:p w14:paraId="21637AB8">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523" w:type="pct"/>
            <w:vAlign w:val="center"/>
          </w:tcPr>
          <w:p w14:paraId="0067A06A">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449" w:type="pct"/>
            <w:vAlign w:val="center"/>
          </w:tcPr>
          <w:p w14:paraId="2281C57F">
            <w:pPr>
              <w:jc w:val="right"/>
              <w:rPr>
                <w:rFonts w:ascii="Arial Narrow" w:hAnsi="Arial Narrow"/>
                <w:sz w:val="16"/>
                <w:szCs w:val="16"/>
              </w:rPr>
            </w:pPr>
          </w:p>
        </w:tc>
        <w:tc>
          <w:tcPr>
            <w:tcW w:w="523" w:type="pct"/>
            <w:vAlign w:val="center"/>
          </w:tcPr>
          <w:p w14:paraId="67825B73">
            <w:pPr>
              <w:jc w:val="right"/>
              <w:rPr>
                <w:rFonts w:ascii="Arial Narrow" w:hAnsi="Arial Narrow"/>
                <w:sz w:val="16"/>
                <w:szCs w:val="16"/>
              </w:rPr>
            </w:pPr>
            <w:r>
              <w:rPr>
                <w:rFonts w:ascii="Arial Narrow" w:hAnsi="Arial Narrow" w:eastAsia="等线"/>
                <w:color w:val="000000"/>
                <w:sz w:val="16"/>
                <w:szCs w:val="16"/>
              </w:rPr>
              <w:t xml:space="preserve">-131,748,882.12 </w:t>
            </w:r>
          </w:p>
        </w:tc>
      </w:tr>
      <w:tr w14:paraId="6462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dd87d5b565c74b3faf2e05ed9840875a"/>
            <w:id w:val="2100133357"/>
          </w:sdtPr>
          <w:sdtEndPr>
            <w:rPr>
              <w:sz w:val="16"/>
              <w:szCs w:val="16"/>
            </w:rPr>
          </w:sdtEndPr>
          <w:sdtContent>
            <w:tc>
              <w:tcPr>
                <w:tcW w:w="749" w:type="pct"/>
              </w:tcPr>
              <w:p w14:paraId="54736AAA">
                <w:pPr>
                  <w:rPr>
                    <w:rFonts w:hint="eastAsia"/>
                    <w:sz w:val="16"/>
                    <w:szCs w:val="16"/>
                  </w:rPr>
                </w:pPr>
                <w:r>
                  <w:rPr>
                    <w:sz w:val="16"/>
                    <w:szCs w:val="16"/>
                  </w:rPr>
                  <w:t>4．其他</w:t>
                </w:r>
              </w:p>
            </w:tc>
          </w:sdtContent>
        </w:sdt>
        <w:tc>
          <w:tcPr>
            <w:tcW w:w="493" w:type="pct"/>
            <w:vAlign w:val="center"/>
          </w:tcPr>
          <w:p w14:paraId="6ACFD5D2">
            <w:pPr>
              <w:jc w:val="right"/>
              <w:rPr>
                <w:rFonts w:ascii="Arial Narrow" w:hAnsi="Arial Narrow"/>
                <w:sz w:val="16"/>
                <w:szCs w:val="16"/>
              </w:rPr>
            </w:pPr>
          </w:p>
        </w:tc>
        <w:tc>
          <w:tcPr>
            <w:tcW w:w="493" w:type="pct"/>
            <w:vAlign w:val="center"/>
          </w:tcPr>
          <w:p w14:paraId="424ABFDE">
            <w:pPr>
              <w:jc w:val="right"/>
              <w:rPr>
                <w:rFonts w:ascii="Arial Narrow" w:hAnsi="Arial Narrow"/>
                <w:sz w:val="16"/>
                <w:szCs w:val="16"/>
              </w:rPr>
            </w:pPr>
          </w:p>
        </w:tc>
        <w:tc>
          <w:tcPr>
            <w:tcW w:w="513" w:type="pct"/>
            <w:vAlign w:val="center"/>
          </w:tcPr>
          <w:p w14:paraId="48AF74C0">
            <w:pPr>
              <w:jc w:val="right"/>
              <w:rPr>
                <w:rFonts w:ascii="Arial Narrow" w:hAnsi="Arial Narrow"/>
                <w:sz w:val="16"/>
                <w:szCs w:val="16"/>
              </w:rPr>
            </w:pPr>
          </w:p>
        </w:tc>
        <w:tc>
          <w:tcPr>
            <w:tcW w:w="316" w:type="pct"/>
            <w:vAlign w:val="center"/>
          </w:tcPr>
          <w:p w14:paraId="0E1EC012">
            <w:pPr>
              <w:jc w:val="right"/>
              <w:rPr>
                <w:rFonts w:ascii="Arial Narrow" w:hAnsi="Arial Narrow"/>
                <w:sz w:val="16"/>
                <w:szCs w:val="16"/>
              </w:rPr>
            </w:pPr>
          </w:p>
        </w:tc>
        <w:tc>
          <w:tcPr>
            <w:tcW w:w="448" w:type="pct"/>
            <w:vAlign w:val="center"/>
          </w:tcPr>
          <w:p w14:paraId="4CBB2F9B">
            <w:pPr>
              <w:jc w:val="right"/>
              <w:rPr>
                <w:rFonts w:ascii="Arial Narrow" w:hAnsi="Arial Narrow"/>
                <w:sz w:val="16"/>
                <w:szCs w:val="16"/>
              </w:rPr>
            </w:pPr>
          </w:p>
        </w:tc>
        <w:tc>
          <w:tcPr>
            <w:tcW w:w="493" w:type="pct"/>
            <w:vAlign w:val="center"/>
          </w:tcPr>
          <w:p w14:paraId="441E2892">
            <w:pPr>
              <w:jc w:val="right"/>
              <w:rPr>
                <w:rFonts w:ascii="Arial Narrow" w:hAnsi="Arial Narrow"/>
                <w:sz w:val="16"/>
                <w:szCs w:val="16"/>
              </w:rPr>
            </w:pPr>
          </w:p>
        </w:tc>
        <w:tc>
          <w:tcPr>
            <w:tcW w:w="523" w:type="pct"/>
            <w:vAlign w:val="center"/>
          </w:tcPr>
          <w:p w14:paraId="54074C05">
            <w:pPr>
              <w:jc w:val="right"/>
              <w:rPr>
                <w:rFonts w:ascii="Arial Narrow" w:hAnsi="Arial Narrow"/>
                <w:sz w:val="16"/>
                <w:szCs w:val="16"/>
              </w:rPr>
            </w:pPr>
          </w:p>
        </w:tc>
        <w:tc>
          <w:tcPr>
            <w:tcW w:w="449" w:type="pct"/>
            <w:vAlign w:val="center"/>
          </w:tcPr>
          <w:p w14:paraId="36FC33A2">
            <w:pPr>
              <w:jc w:val="right"/>
              <w:rPr>
                <w:rFonts w:ascii="Arial Narrow" w:hAnsi="Arial Narrow"/>
                <w:sz w:val="16"/>
                <w:szCs w:val="16"/>
              </w:rPr>
            </w:pPr>
          </w:p>
        </w:tc>
        <w:tc>
          <w:tcPr>
            <w:tcW w:w="523" w:type="pct"/>
            <w:vAlign w:val="center"/>
          </w:tcPr>
          <w:p w14:paraId="0455A333">
            <w:pPr>
              <w:jc w:val="right"/>
              <w:rPr>
                <w:rFonts w:ascii="Arial Narrow" w:hAnsi="Arial Narrow"/>
                <w:sz w:val="16"/>
                <w:szCs w:val="16"/>
              </w:rPr>
            </w:pPr>
          </w:p>
        </w:tc>
      </w:tr>
      <w:tr w14:paraId="3B70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92da940e723e49d8b19944c326b0a372"/>
            <w:id w:val="1267195792"/>
          </w:sdtPr>
          <w:sdtEndPr>
            <w:rPr>
              <w:sz w:val="16"/>
              <w:szCs w:val="16"/>
            </w:rPr>
          </w:sdtEndPr>
          <w:sdtContent>
            <w:tc>
              <w:tcPr>
                <w:tcW w:w="749" w:type="pct"/>
              </w:tcPr>
              <w:p w14:paraId="33711268">
                <w:pPr>
                  <w:rPr>
                    <w:rFonts w:hint="eastAsia"/>
                    <w:sz w:val="16"/>
                    <w:szCs w:val="16"/>
                  </w:rPr>
                </w:pPr>
                <w:r>
                  <w:rPr>
                    <w:sz w:val="16"/>
                    <w:szCs w:val="16"/>
                  </w:rPr>
                  <w:t>（</w:t>
                </w:r>
                <w:r>
                  <w:rPr>
                    <w:rFonts w:hint="eastAsia"/>
                    <w:sz w:val="16"/>
                    <w:szCs w:val="16"/>
                  </w:rPr>
                  <w:t>四</w:t>
                </w:r>
                <w:r>
                  <w:rPr>
                    <w:sz w:val="16"/>
                    <w:szCs w:val="16"/>
                  </w:rPr>
                  <w:t>）所有者权益内部结转</w:t>
                </w:r>
              </w:p>
            </w:tc>
          </w:sdtContent>
        </w:sdt>
        <w:tc>
          <w:tcPr>
            <w:tcW w:w="493" w:type="pct"/>
            <w:vAlign w:val="center"/>
          </w:tcPr>
          <w:p w14:paraId="13DBFDE5">
            <w:pPr>
              <w:jc w:val="right"/>
              <w:rPr>
                <w:rFonts w:ascii="Arial Narrow" w:hAnsi="Arial Narrow"/>
                <w:sz w:val="16"/>
                <w:szCs w:val="16"/>
              </w:rPr>
            </w:pPr>
          </w:p>
        </w:tc>
        <w:tc>
          <w:tcPr>
            <w:tcW w:w="493" w:type="pct"/>
            <w:vAlign w:val="center"/>
          </w:tcPr>
          <w:p w14:paraId="79A7F30F">
            <w:pPr>
              <w:jc w:val="right"/>
              <w:rPr>
                <w:rFonts w:ascii="Arial Narrow" w:hAnsi="Arial Narrow"/>
                <w:sz w:val="16"/>
                <w:szCs w:val="16"/>
              </w:rPr>
            </w:pPr>
          </w:p>
        </w:tc>
        <w:tc>
          <w:tcPr>
            <w:tcW w:w="513" w:type="pct"/>
            <w:vAlign w:val="center"/>
          </w:tcPr>
          <w:p w14:paraId="3B24817B">
            <w:pPr>
              <w:jc w:val="right"/>
              <w:rPr>
                <w:rFonts w:ascii="Arial Narrow" w:hAnsi="Arial Narrow"/>
                <w:sz w:val="16"/>
                <w:szCs w:val="16"/>
              </w:rPr>
            </w:pPr>
            <w:r>
              <w:rPr>
                <w:rFonts w:ascii="Arial Narrow" w:hAnsi="Arial Narrow" w:eastAsia="等线"/>
                <w:color w:val="000000"/>
                <w:sz w:val="16"/>
                <w:szCs w:val="16"/>
              </w:rPr>
              <w:t xml:space="preserve">78,599.84 </w:t>
            </w:r>
          </w:p>
        </w:tc>
        <w:tc>
          <w:tcPr>
            <w:tcW w:w="316" w:type="pct"/>
            <w:vAlign w:val="center"/>
          </w:tcPr>
          <w:p w14:paraId="02882F6B">
            <w:pPr>
              <w:jc w:val="right"/>
              <w:rPr>
                <w:rFonts w:ascii="Arial Narrow" w:hAnsi="Arial Narrow"/>
                <w:sz w:val="16"/>
                <w:szCs w:val="16"/>
              </w:rPr>
            </w:pPr>
          </w:p>
        </w:tc>
        <w:tc>
          <w:tcPr>
            <w:tcW w:w="448" w:type="pct"/>
            <w:vAlign w:val="center"/>
          </w:tcPr>
          <w:p w14:paraId="3D8FC648">
            <w:pPr>
              <w:jc w:val="right"/>
              <w:rPr>
                <w:rFonts w:ascii="Arial Narrow" w:hAnsi="Arial Narrow"/>
                <w:sz w:val="16"/>
                <w:szCs w:val="16"/>
              </w:rPr>
            </w:pPr>
          </w:p>
        </w:tc>
        <w:tc>
          <w:tcPr>
            <w:tcW w:w="493" w:type="pct"/>
            <w:vAlign w:val="center"/>
          </w:tcPr>
          <w:p w14:paraId="4FB68AA7">
            <w:pPr>
              <w:jc w:val="right"/>
              <w:rPr>
                <w:rFonts w:ascii="Arial Narrow" w:hAnsi="Arial Narrow"/>
                <w:sz w:val="16"/>
                <w:szCs w:val="16"/>
              </w:rPr>
            </w:pPr>
            <w:r>
              <w:rPr>
                <w:rFonts w:ascii="Arial Narrow" w:hAnsi="Arial Narrow" w:eastAsia="等线"/>
                <w:color w:val="000000"/>
                <w:sz w:val="16"/>
                <w:szCs w:val="16"/>
              </w:rPr>
              <w:t xml:space="preserve">-78,599.84 </w:t>
            </w:r>
          </w:p>
        </w:tc>
        <w:tc>
          <w:tcPr>
            <w:tcW w:w="523" w:type="pct"/>
            <w:vAlign w:val="center"/>
          </w:tcPr>
          <w:p w14:paraId="28F218FD">
            <w:pPr>
              <w:jc w:val="right"/>
              <w:rPr>
                <w:rFonts w:ascii="Arial Narrow" w:hAnsi="Arial Narrow"/>
                <w:sz w:val="16"/>
                <w:szCs w:val="16"/>
              </w:rPr>
            </w:pPr>
          </w:p>
        </w:tc>
        <w:tc>
          <w:tcPr>
            <w:tcW w:w="449" w:type="pct"/>
            <w:vAlign w:val="center"/>
          </w:tcPr>
          <w:p w14:paraId="6AB56019">
            <w:pPr>
              <w:jc w:val="right"/>
              <w:rPr>
                <w:rFonts w:ascii="Arial Narrow" w:hAnsi="Arial Narrow"/>
                <w:sz w:val="16"/>
                <w:szCs w:val="16"/>
              </w:rPr>
            </w:pPr>
          </w:p>
        </w:tc>
        <w:tc>
          <w:tcPr>
            <w:tcW w:w="523" w:type="pct"/>
            <w:vAlign w:val="center"/>
          </w:tcPr>
          <w:p w14:paraId="4B349625">
            <w:pPr>
              <w:jc w:val="right"/>
              <w:rPr>
                <w:rFonts w:ascii="Arial Narrow" w:hAnsi="Arial Narrow"/>
                <w:sz w:val="16"/>
                <w:szCs w:val="16"/>
              </w:rPr>
            </w:pPr>
          </w:p>
        </w:tc>
      </w:tr>
      <w:tr w14:paraId="6559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pct"/>
          </w:tcPr>
          <w:sdt>
            <w:sdtPr>
              <w:rPr>
                <w:sz w:val="16"/>
                <w:szCs w:val="16"/>
              </w:rPr>
              <w:tag w:val="_PLD_01b44dab85214948b610b65ce91a85dd"/>
              <w:id w:val="-258763452"/>
            </w:sdtPr>
            <w:sdtEndPr>
              <w:rPr>
                <w:sz w:val="16"/>
                <w:szCs w:val="16"/>
              </w:rPr>
            </w:sdtEndPr>
            <w:sdtContent>
              <w:p w14:paraId="691E12C1">
                <w:pPr>
                  <w:rPr>
                    <w:rFonts w:hint="eastAsia"/>
                    <w:sz w:val="16"/>
                    <w:szCs w:val="16"/>
                  </w:rPr>
                </w:pPr>
                <w:r>
                  <w:rPr>
                    <w:sz w:val="16"/>
                    <w:szCs w:val="16"/>
                  </w:rPr>
                  <w:t>5．其他综合收益结转留存收益</w:t>
                </w:r>
              </w:p>
            </w:sdtContent>
          </w:sdt>
        </w:tc>
        <w:tc>
          <w:tcPr>
            <w:tcW w:w="493" w:type="pct"/>
            <w:vAlign w:val="center"/>
          </w:tcPr>
          <w:p w14:paraId="41C25592">
            <w:pPr>
              <w:jc w:val="right"/>
              <w:rPr>
                <w:rFonts w:ascii="Arial Narrow" w:hAnsi="Arial Narrow"/>
                <w:sz w:val="16"/>
                <w:szCs w:val="16"/>
              </w:rPr>
            </w:pPr>
          </w:p>
        </w:tc>
        <w:tc>
          <w:tcPr>
            <w:tcW w:w="493" w:type="pct"/>
            <w:vAlign w:val="center"/>
          </w:tcPr>
          <w:p w14:paraId="5759AB9D">
            <w:pPr>
              <w:jc w:val="right"/>
              <w:rPr>
                <w:rFonts w:ascii="Arial Narrow" w:hAnsi="Arial Narrow"/>
                <w:sz w:val="16"/>
                <w:szCs w:val="16"/>
              </w:rPr>
            </w:pPr>
          </w:p>
        </w:tc>
        <w:tc>
          <w:tcPr>
            <w:tcW w:w="513" w:type="pct"/>
            <w:vAlign w:val="center"/>
          </w:tcPr>
          <w:p w14:paraId="26197D41">
            <w:pPr>
              <w:jc w:val="right"/>
              <w:rPr>
                <w:rFonts w:ascii="Arial Narrow" w:hAnsi="Arial Narrow"/>
                <w:sz w:val="16"/>
                <w:szCs w:val="16"/>
              </w:rPr>
            </w:pPr>
            <w:r>
              <w:rPr>
                <w:rFonts w:ascii="Arial Narrow" w:hAnsi="Arial Narrow" w:eastAsia="等线"/>
                <w:color w:val="000000"/>
                <w:sz w:val="16"/>
                <w:szCs w:val="16"/>
              </w:rPr>
              <w:t xml:space="preserve">78,599.84 </w:t>
            </w:r>
          </w:p>
        </w:tc>
        <w:tc>
          <w:tcPr>
            <w:tcW w:w="316" w:type="pct"/>
            <w:vAlign w:val="center"/>
          </w:tcPr>
          <w:p w14:paraId="3AE6EA93">
            <w:pPr>
              <w:jc w:val="right"/>
              <w:rPr>
                <w:rFonts w:ascii="Arial Narrow" w:hAnsi="Arial Narrow"/>
                <w:sz w:val="16"/>
                <w:szCs w:val="16"/>
              </w:rPr>
            </w:pPr>
          </w:p>
        </w:tc>
        <w:tc>
          <w:tcPr>
            <w:tcW w:w="448" w:type="pct"/>
            <w:vAlign w:val="center"/>
          </w:tcPr>
          <w:p w14:paraId="47C1D993">
            <w:pPr>
              <w:jc w:val="right"/>
              <w:rPr>
                <w:rFonts w:ascii="Arial Narrow" w:hAnsi="Arial Narrow"/>
                <w:sz w:val="16"/>
                <w:szCs w:val="16"/>
              </w:rPr>
            </w:pPr>
          </w:p>
        </w:tc>
        <w:tc>
          <w:tcPr>
            <w:tcW w:w="493" w:type="pct"/>
            <w:vAlign w:val="center"/>
          </w:tcPr>
          <w:p w14:paraId="72C4C3E0">
            <w:pPr>
              <w:jc w:val="right"/>
              <w:rPr>
                <w:rFonts w:ascii="Arial Narrow" w:hAnsi="Arial Narrow"/>
                <w:sz w:val="16"/>
                <w:szCs w:val="16"/>
              </w:rPr>
            </w:pPr>
            <w:r>
              <w:rPr>
                <w:rFonts w:ascii="Arial Narrow" w:hAnsi="Arial Narrow" w:eastAsia="等线"/>
                <w:color w:val="000000"/>
                <w:sz w:val="16"/>
                <w:szCs w:val="16"/>
              </w:rPr>
              <w:t xml:space="preserve">-78,599.84 </w:t>
            </w:r>
          </w:p>
        </w:tc>
        <w:tc>
          <w:tcPr>
            <w:tcW w:w="523" w:type="pct"/>
            <w:vAlign w:val="center"/>
          </w:tcPr>
          <w:p w14:paraId="019B62A9">
            <w:pPr>
              <w:jc w:val="right"/>
              <w:rPr>
                <w:rFonts w:ascii="Arial Narrow" w:hAnsi="Arial Narrow"/>
                <w:sz w:val="16"/>
                <w:szCs w:val="16"/>
              </w:rPr>
            </w:pPr>
          </w:p>
        </w:tc>
        <w:tc>
          <w:tcPr>
            <w:tcW w:w="449" w:type="pct"/>
            <w:vAlign w:val="center"/>
          </w:tcPr>
          <w:p w14:paraId="4124B1A8">
            <w:pPr>
              <w:jc w:val="right"/>
              <w:rPr>
                <w:rFonts w:ascii="Arial Narrow" w:hAnsi="Arial Narrow"/>
                <w:sz w:val="16"/>
                <w:szCs w:val="16"/>
              </w:rPr>
            </w:pPr>
          </w:p>
        </w:tc>
        <w:tc>
          <w:tcPr>
            <w:tcW w:w="523" w:type="pct"/>
            <w:vAlign w:val="center"/>
          </w:tcPr>
          <w:p w14:paraId="37C03FB7">
            <w:pPr>
              <w:jc w:val="right"/>
              <w:rPr>
                <w:rFonts w:ascii="Arial Narrow" w:hAnsi="Arial Narrow"/>
                <w:sz w:val="16"/>
                <w:szCs w:val="16"/>
              </w:rPr>
            </w:pPr>
          </w:p>
        </w:tc>
      </w:tr>
      <w:tr w14:paraId="4F66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3ac599075bf24593ba41b1bec2fb0e9e"/>
            <w:id w:val="-1209872703"/>
          </w:sdtPr>
          <w:sdtEndPr>
            <w:rPr>
              <w:sz w:val="16"/>
              <w:szCs w:val="16"/>
            </w:rPr>
          </w:sdtEndPr>
          <w:sdtContent>
            <w:tc>
              <w:tcPr>
                <w:tcW w:w="749" w:type="pct"/>
              </w:tcPr>
              <w:p w14:paraId="29DD9197">
                <w:pPr>
                  <w:rPr>
                    <w:rFonts w:hint="eastAsia"/>
                    <w:sz w:val="16"/>
                    <w:szCs w:val="16"/>
                  </w:rPr>
                </w:pPr>
                <w:r>
                  <w:rPr>
                    <w:sz w:val="16"/>
                    <w:szCs w:val="16"/>
                  </w:rPr>
                  <w:t>6．其他</w:t>
                </w:r>
              </w:p>
            </w:tc>
          </w:sdtContent>
        </w:sdt>
        <w:tc>
          <w:tcPr>
            <w:tcW w:w="493" w:type="pct"/>
            <w:vAlign w:val="center"/>
          </w:tcPr>
          <w:p w14:paraId="342719AF">
            <w:pPr>
              <w:jc w:val="right"/>
              <w:rPr>
                <w:rFonts w:ascii="Arial Narrow" w:hAnsi="Arial Narrow"/>
                <w:sz w:val="16"/>
                <w:szCs w:val="16"/>
              </w:rPr>
            </w:pPr>
          </w:p>
        </w:tc>
        <w:tc>
          <w:tcPr>
            <w:tcW w:w="493" w:type="pct"/>
            <w:vAlign w:val="center"/>
          </w:tcPr>
          <w:p w14:paraId="5B112185">
            <w:pPr>
              <w:jc w:val="right"/>
              <w:rPr>
                <w:rFonts w:ascii="Arial Narrow" w:hAnsi="Arial Narrow"/>
                <w:sz w:val="16"/>
                <w:szCs w:val="16"/>
              </w:rPr>
            </w:pPr>
          </w:p>
        </w:tc>
        <w:tc>
          <w:tcPr>
            <w:tcW w:w="513" w:type="pct"/>
            <w:vAlign w:val="center"/>
          </w:tcPr>
          <w:p w14:paraId="3B3FC814">
            <w:pPr>
              <w:jc w:val="right"/>
              <w:rPr>
                <w:rFonts w:ascii="Arial Narrow" w:hAnsi="Arial Narrow"/>
                <w:sz w:val="16"/>
                <w:szCs w:val="16"/>
              </w:rPr>
            </w:pPr>
          </w:p>
        </w:tc>
        <w:tc>
          <w:tcPr>
            <w:tcW w:w="316" w:type="pct"/>
            <w:vAlign w:val="center"/>
          </w:tcPr>
          <w:p w14:paraId="18EB7C29">
            <w:pPr>
              <w:jc w:val="right"/>
              <w:rPr>
                <w:rFonts w:ascii="Arial Narrow" w:hAnsi="Arial Narrow"/>
                <w:sz w:val="16"/>
                <w:szCs w:val="16"/>
              </w:rPr>
            </w:pPr>
          </w:p>
        </w:tc>
        <w:tc>
          <w:tcPr>
            <w:tcW w:w="448" w:type="pct"/>
            <w:vAlign w:val="center"/>
          </w:tcPr>
          <w:p w14:paraId="1D070305">
            <w:pPr>
              <w:jc w:val="right"/>
              <w:rPr>
                <w:rFonts w:ascii="Arial Narrow" w:hAnsi="Arial Narrow"/>
                <w:sz w:val="16"/>
                <w:szCs w:val="16"/>
              </w:rPr>
            </w:pPr>
          </w:p>
        </w:tc>
        <w:tc>
          <w:tcPr>
            <w:tcW w:w="493" w:type="pct"/>
            <w:vAlign w:val="center"/>
          </w:tcPr>
          <w:p w14:paraId="310B8D4A">
            <w:pPr>
              <w:jc w:val="right"/>
              <w:rPr>
                <w:rFonts w:ascii="Arial Narrow" w:hAnsi="Arial Narrow"/>
                <w:sz w:val="16"/>
                <w:szCs w:val="16"/>
              </w:rPr>
            </w:pPr>
          </w:p>
        </w:tc>
        <w:tc>
          <w:tcPr>
            <w:tcW w:w="523" w:type="pct"/>
            <w:vAlign w:val="center"/>
          </w:tcPr>
          <w:p w14:paraId="23382BBF">
            <w:pPr>
              <w:jc w:val="right"/>
              <w:rPr>
                <w:rFonts w:ascii="Arial Narrow" w:hAnsi="Arial Narrow"/>
                <w:sz w:val="16"/>
                <w:szCs w:val="16"/>
              </w:rPr>
            </w:pPr>
          </w:p>
        </w:tc>
        <w:tc>
          <w:tcPr>
            <w:tcW w:w="449" w:type="pct"/>
            <w:vAlign w:val="center"/>
          </w:tcPr>
          <w:p w14:paraId="3CF30C63">
            <w:pPr>
              <w:jc w:val="right"/>
              <w:rPr>
                <w:rFonts w:ascii="Arial Narrow" w:hAnsi="Arial Narrow"/>
                <w:sz w:val="16"/>
                <w:szCs w:val="16"/>
              </w:rPr>
            </w:pPr>
          </w:p>
        </w:tc>
        <w:tc>
          <w:tcPr>
            <w:tcW w:w="523" w:type="pct"/>
            <w:vAlign w:val="center"/>
          </w:tcPr>
          <w:p w14:paraId="532F0F2D">
            <w:pPr>
              <w:jc w:val="right"/>
              <w:rPr>
                <w:rFonts w:ascii="Arial Narrow" w:hAnsi="Arial Narrow"/>
                <w:sz w:val="16"/>
                <w:szCs w:val="16"/>
              </w:rPr>
            </w:pPr>
          </w:p>
        </w:tc>
      </w:tr>
      <w:tr w14:paraId="68DA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e606d8680d944e6999b3743f1fcf75f9"/>
            <w:id w:val="716398027"/>
          </w:sdtPr>
          <w:sdtEndPr>
            <w:rPr>
              <w:sz w:val="16"/>
              <w:szCs w:val="16"/>
            </w:rPr>
          </w:sdtEndPr>
          <w:sdtContent>
            <w:tc>
              <w:tcPr>
                <w:tcW w:w="749" w:type="pct"/>
              </w:tcPr>
              <w:p w14:paraId="188E84B3">
                <w:pPr>
                  <w:rPr>
                    <w:rFonts w:hint="eastAsia"/>
                    <w:sz w:val="16"/>
                    <w:szCs w:val="16"/>
                  </w:rPr>
                </w:pPr>
                <w:r>
                  <w:rPr>
                    <w:rFonts w:hint="eastAsia"/>
                    <w:sz w:val="16"/>
                    <w:szCs w:val="16"/>
                  </w:rPr>
                  <w:t>（五）专项储备</w:t>
                </w:r>
              </w:p>
            </w:tc>
          </w:sdtContent>
        </w:sdt>
        <w:tc>
          <w:tcPr>
            <w:tcW w:w="493" w:type="pct"/>
            <w:vAlign w:val="center"/>
          </w:tcPr>
          <w:p w14:paraId="2E857FC0">
            <w:pPr>
              <w:jc w:val="right"/>
              <w:rPr>
                <w:rFonts w:ascii="Arial Narrow" w:hAnsi="Arial Narrow"/>
                <w:sz w:val="16"/>
                <w:szCs w:val="16"/>
              </w:rPr>
            </w:pPr>
          </w:p>
        </w:tc>
        <w:tc>
          <w:tcPr>
            <w:tcW w:w="493" w:type="pct"/>
            <w:vAlign w:val="center"/>
          </w:tcPr>
          <w:p w14:paraId="5282AF7B">
            <w:pPr>
              <w:jc w:val="right"/>
              <w:rPr>
                <w:rFonts w:ascii="Arial Narrow" w:hAnsi="Arial Narrow"/>
                <w:sz w:val="16"/>
                <w:szCs w:val="16"/>
              </w:rPr>
            </w:pPr>
          </w:p>
        </w:tc>
        <w:tc>
          <w:tcPr>
            <w:tcW w:w="513" w:type="pct"/>
            <w:vAlign w:val="center"/>
          </w:tcPr>
          <w:p w14:paraId="7A92ED81">
            <w:pPr>
              <w:jc w:val="right"/>
              <w:rPr>
                <w:rFonts w:ascii="Arial Narrow" w:hAnsi="Arial Narrow"/>
                <w:sz w:val="16"/>
                <w:szCs w:val="16"/>
              </w:rPr>
            </w:pPr>
          </w:p>
        </w:tc>
        <w:tc>
          <w:tcPr>
            <w:tcW w:w="316" w:type="pct"/>
            <w:vAlign w:val="center"/>
          </w:tcPr>
          <w:p w14:paraId="71AE5650">
            <w:pPr>
              <w:jc w:val="right"/>
              <w:rPr>
                <w:rFonts w:ascii="Arial Narrow" w:hAnsi="Arial Narrow"/>
                <w:sz w:val="16"/>
                <w:szCs w:val="16"/>
              </w:rPr>
            </w:pPr>
          </w:p>
        </w:tc>
        <w:tc>
          <w:tcPr>
            <w:tcW w:w="448" w:type="pct"/>
            <w:vAlign w:val="center"/>
          </w:tcPr>
          <w:p w14:paraId="48321CFE">
            <w:pPr>
              <w:jc w:val="right"/>
              <w:rPr>
                <w:rFonts w:ascii="Arial Narrow" w:hAnsi="Arial Narrow"/>
                <w:sz w:val="16"/>
                <w:szCs w:val="16"/>
              </w:rPr>
            </w:pPr>
          </w:p>
        </w:tc>
        <w:tc>
          <w:tcPr>
            <w:tcW w:w="493" w:type="pct"/>
            <w:vAlign w:val="center"/>
          </w:tcPr>
          <w:p w14:paraId="458F25B3">
            <w:pPr>
              <w:jc w:val="right"/>
              <w:rPr>
                <w:rFonts w:ascii="Arial Narrow" w:hAnsi="Arial Narrow"/>
                <w:sz w:val="16"/>
                <w:szCs w:val="16"/>
              </w:rPr>
            </w:pPr>
          </w:p>
        </w:tc>
        <w:tc>
          <w:tcPr>
            <w:tcW w:w="523" w:type="pct"/>
            <w:vAlign w:val="center"/>
          </w:tcPr>
          <w:p w14:paraId="1FA60D4F">
            <w:pPr>
              <w:jc w:val="right"/>
              <w:rPr>
                <w:rFonts w:ascii="Arial Narrow" w:hAnsi="Arial Narrow"/>
                <w:sz w:val="16"/>
                <w:szCs w:val="16"/>
              </w:rPr>
            </w:pPr>
          </w:p>
        </w:tc>
        <w:tc>
          <w:tcPr>
            <w:tcW w:w="449" w:type="pct"/>
            <w:vAlign w:val="center"/>
          </w:tcPr>
          <w:p w14:paraId="40595BE7">
            <w:pPr>
              <w:jc w:val="right"/>
              <w:rPr>
                <w:rFonts w:ascii="Arial Narrow" w:hAnsi="Arial Narrow"/>
                <w:sz w:val="16"/>
                <w:szCs w:val="16"/>
              </w:rPr>
            </w:pPr>
          </w:p>
        </w:tc>
        <w:tc>
          <w:tcPr>
            <w:tcW w:w="523" w:type="pct"/>
            <w:vAlign w:val="center"/>
          </w:tcPr>
          <w:p w14:paraId="3F277C58">
            <w:pPr>
              <w:jc w:val="right"/>
              <w:rPr>
                <w:rFonts w:ascii="Arial Narrow" w:hAnsi="Arial Narrow"/>
                <w:sz w:val="16"/>
                <w:szCs w:val="16"/>
              </w:rPr>
            </w:pPr>
          </w:p>
        </w:tc>
      </w:tr>
      <w:tr w14:paraId="5A43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8e6f5912872d41cc910f3bdca18b82d0"/>
            <w:id w:val="-2101713274"/>
          </w:sdtPr>
          <w:sdtEndPr>
            <w:rPr>
              <w:sz w:val="16"/>
              <w:szCs w:val="16"/>
            </w:rPr>
          </w:sdtEndPr>
          <w:sdtContent>
            <w:tc>
              <w:tcPr>
                <w:tcW w:w="749" w:type="pct"/>
              </w:tcPr>
              <w:p w14:paraId="592B3B32">
                <w:pPr>
                  <w:rPr>
                    <w:rFonts w:hint="eastAsia"/>
                    <w:sz w:val="16"/>
                    <w:szCs w:val="16"/>
                  </w:rPr>
                </w:pPr>
                <w:r>
                  <w:rPr>
                    <w:rFonts w:hint="eastAsia"/>
                    <w:sz w:val="16"/>
                    <w:szCs w:val="16"/>
                  </w:rPr>
                  <w:t>（六）其他</w:t>
                </w:r>
              </w:p>
            </w:tc>
          </w:sdtContent>
        </w:sdt>
        <w:tc>
          <w:tcPr>
            <w:tcW w:w="493" w:type="pct"/>
            <w:vAlign w:val="center"/>
          </w:tcPr>
          <w:p w14:paraId="6A8AC893">
            <w:pPr>
              <w:jc w:val="right"/>
              <w:rPr>
                <w:rFonts w:ascii="Arial Narrow" w:hAnsi="Arial Narrow"/>
                <w:sz w:val="16"/>
                <w:szCs w:val="16"/>
              </w:rPr>
            </w:pPr>
          </w:p>
        </w:tc>
        <w:tc>
          <w:tcPr>
            <w:tcW w:w="493" w:type="pct"/>
            <w:vAlign w:val="center"/>
          </w:tcPr>
          <w:p w14:paraId="693DA051">
            <w:pPr>
              <w:jc w:val="right"/>
              <w:rPr>
                <w:rFonts w:ascii="Arial Narrow" w:hAnsi="Arial Narrow"/>
                <w:sz w:val="16"/>
                <w:szCs w:val="16"/>
              </w:rPr>
            </w:pPr>
          </w:p>
        </w:tc>
        <w:tc>
          <w:tcPr>
            <w:tcW w:w="513" w:type="pct"/>
            <w:vAlign w:val="center"/>
          </w:tcPr>
          <w:p w14:paraId="7C3C395C">
            <w:pPr>
              <w:jc w:val="right"/>
              <w:rPr>
                <w:rFonts w:ascii="Arial Narrow" w:hAnsi="Arial Narrow"/>
                <w:sz w:val="16"/>
                <w:szCs w:val="16"/>
              </w:rPr>
            </w:pPr>
          </w:p>
        </w:tc>
        <w:tc>
          <w:tcPr>
            <w:tcW w:w="316" w:type="pct"/>
            <w:vAlign w:val="center"/>
          </w:tcPr>
          <w:p w14:paraId="2D717AE1">
            <w:pPr>
              <w:jc w:val="right"/>
              <w:rPr>
                <w:rFonts w:ascii="Arial Narrow" w:hAnsi="Arial Narrow"/>
                <w:sz w:val="16"/>
                <w:szCs w:val="16"/>
              </w:rPr>
            </w:pPr>
          </w:p>
        </w:tc>
        <w:tc>
          <w:tcPr>
            <w:tcW w:w="448" w:type="pct"/>
            <w:vAlign w:val="center"/>
          </w:tcPr>
          <w:p w14:paraId="7583D856">
            <w:pPr>
              <w:jc w:val="right"/>
              <w:rPr>
                <w:rFonts w:ascii="Arial Narrow" w:hAnsi="Arial Narrow"/>
                <w:sz w:val="16"/>
                <w:szCs w:val="16"/>
              </w:rPr>
            </w:pPr>
          </w:p>
        </w:tc>
        <w:tc>
          <w:tcPr>
            <w:tcW w:w="493" w:type="pct"/>
            <w:vAlign w:val="center"/>
          </w:tcPr>
          <w:p w14:paraId="5E0F49D6">
            <w:pPr>
              <w:jc w:val="right"/>
              <w:rPr>
                <w:rFonts w:ascii="Arial Narrow" w:hAnsi="Arial Narrow"/>
                <w:sz w:val="16"/>
                <w:szCs w:val="16"/>
              </w:rPr>
            </w:pPr>
            <w:r>
              <w:rPr>
                <w:rFonts w:ascii="Arial Narrow" w:hAnsi="Arial Narrow" w:eastAsia="等线"/>
                <w:color w:val="000000"/>
                <w:sz w:val="16"/>
                <w:szCs w:val="16"/>
              </w:rPr>
              <w:t xml:space="preserve">-13,870.56 </w:t>
            </w:r>
          </w:p>
        </w:tc>
        <w:tc>
          <w:tcPr>
            <w:tcW w:w="523" w:type="pct"/>
            <w:vAlign w:val="center"/>
          </w:tcPr>
          <w:p w14:paraId="0B90747B">
            <w:pPr>
              <w:jc w:val="right"/>
              <w:rPr>
                <w:rFonts w:ascii="Arial Narrow" w:hAnsi="Arial Narrow"/>
                <w:sz w:val="16"/>
                <w:szCs w:val="16"/>
              </w:rPr>
            </w:pPr>
            <w:r>
              <w:rPr>
                <w:rFonts w:ascii="Arial Narrow" w:hAnsi="Arial Narrow" w:eastAsia="等线"/>
                <w:color w:val="000000"/>
                <w:sz w:val="16"/>
                <w:szCs w:val="16"/>
              </w:rPr>
              <w:t xml:space="preserve">-13,870.56 </w:t>
            </w:r>
          </w:p>
        </w:tc>
        <w:tc>
          <w:tcPr>
            <w:tcW w:w="449" w:type="pct"/>
            <w:vAlign w:val="center"/>
          </w:tcPr>
          <w:p w14:paraId="3FD14F13">
            <w:pPr>
              <w:jc w:val="right"/>
              <w:rPr>
                <w:rFonts w:ascii="Arial Narrow" w:hAnsi="Arial Narrow"/>
                <w:sz w:val="16"/>
                <w:szCs w:val="16"/>
              </w:rPr>
            </w:pPr>
          </w:p>
        </w:tc>
        <w:tc>
          <w:tcPr>
            <w:tcW w:w="523" w:type="pct"/>
            <w:vAlign w:val="center"/>
          </w:tcPr>
          <w:p w14:paraId="5BD3752D">
            <w:pPr>
              <w:jc w:val="right"/>
              <w:rPr>
                <w:rFonts w:ascii="Arial Narrow" w:hAnsi="Arial Narrow"/>
                <w:sz w:val="16"/>
                <w:szCs w:val="16"/>
              </w:rPr>
            </w:pPr>
            <w:r>
              <w:rPr>
                <w:rFonts w:ascii="Arial Narrow" w:hAnsi="Arial Narrow" w:eastAsia="等线"/>
                <w:color w:val="000000"/>
                <w:sz w:val="16"/>
                <w:szCs w:val="16"/>
              </w:rPr>
              <w:t xml:space="preserve">-13,870.56 </w:t>
            </w:r>
          </w:p>
        </w:tc>
      </w:tr>
      <w:tr w14:paraId="0EB9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f6ec7abefe954758b48497b1b1440546"/>
            <w:id w:val="1932459328"/>
          </w:sdtPr>
          <w:sdtEndPr>
            <w:rPr>
              <w:sz w:val="16"/>
              <w:szCs w:val="16"/>
            </w:rPr>
          </w:sdtEndPr>
          <w:sdtContent>
            <w:tc>
              <w:tcPr>
                <w:tcW w:w="749" w:type="pct"/>
              </w:tcPr>
              <w:p w14:paraId="5C57EA87">
                <w:pPr>
                  <w:rPr>
                    <w:rFonts w:hint="eastAsia"/>
                    <w:sz w:val="16"/>
                    <w:szCs w:val="16"/>
                  </w:rPr>
                </w:pPr>
                <w:r>
                  <w:rPr>
                    <w:sz w:val="16"/>
                    <w:szCs w:val="16"/>
                  </w:rPr>
                  <w:t>四、本期期末余额</w:t>
                </w:r>
              </w:p>
            </w:tc>
          </w:sdtContent>
        </w:sdt>
        <w:tc>
          <w:tcPr>
            <w:tcW w:w="493" w:type="pct"/>
            <w:vAlign w:val="center"/>
          </w:tcPr>
          <w:p w14:paraId="33CD3215">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62071ED4">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513" w:type="pct"/>
            <w:vAlign w:val="center"/>
          </w:tcPr>
          <w:p w14:paraId="463684A1">
            <w:pPr>
              <w:jc w:val="right"/>
              <w:rPr>
                <w:rFonts w:ascii="Arial Narrow" w:hAnsi="Arial Narrow"/>
                <w:sz w:val="16"/>
                <w:szCs w:val="16"/>
              </w:rPr>
            </w:pPr>
            <w:r>
              <w:rPr>
                <w:rFonts w:ascii="Arial Narrow" w:hAnsi="Arial Narrow" w:eastAsia="等线"/>
                <w:color w:val="000000"/>
                <w:sz w:val="16"/>
                <w:szCs w:val="16"/>
              </w:rPr>
              <w:t xml:space="preserve">-318,634,689.43 </w:t>
            </w:r>
          </w:p>
        </w:tc>
        <w:tc>
          <w:tcPr>
            <w:tcW w:w="316" w:type="pct"/>
            <w:vAlign w:val="center"/>
          </w:tcPr>
          <w:p w14:paraId="348AF79F">
            <w:pPr>
              <w:jc w:val="right"/>
              <w:rPr>
                <w:rFonts w:ascii="Arial Narrow" w:hAnsi="Arial Narrow"/>
                <w:sz w:val="16"/>
                <w:szCs w:val="16"/>
              </w:rPr>
            </w:pPr>
          </w:p>
        </w:tc>
        <w:tc>
          <w:tcPr>
            <w:tcW w:w="448" w:type="pct"/>
            <w:vAlign w:val="center"/>
          </w:tcPr>
          <w:p w14:paraId="524A4E26">
            <w:pPr>
              <w:jc w:val="right"/>
              <w:rPr>
                <w:rFonts w:ascii="Arial Narrow" w:hAnsi="Arial Narrow"/>
                <w:sz w:val="16"/>
                <w:szCs w:val="16"/>
              </w:rPr>
            </w:pPr>
            <w:r>
              <w:rPr>
                <w:rFonts w:ascii="Arial Narrow" w:hAnsi="Arial Narrow" w:eastAsia="等线"/>
                <w:color w:val="000000"/>
                <w:sz w:val="16"/>
                <w:szCs w:val="16"/>
              </w:rPr>
              <w:t xml:space="preserve">369,677,423.82 </w:t>
            </w:r>
          </w:p>
        </w:tc>
        <w:tc>
          <w:tcPr>
            <w:tcW w:w="493" w:type="pct"/>
            <w:vAlign w:val="center"/>
          </w:tcPr>
          <w:p w14:paraId="07A4FB46">
            <w:pPr>
              <w:jc w:val="right"/>
              <w:rPr>
                <w:rFonts w:ascii="Arial Narrow" w:hAnsi="Arial Narrow"/>
                <w:sz w:val="16"/>
                <w:szCs w:val="16"/>
              </w:rPr>
            </w:pPr>
            <w:r>
              <w:rPr>
                <w:rFonts w:ascii="Arial Narrow" w:hAnsi="Arial Narrow" w:eastAsia="等线"/>
                <w:color w:val="000000"/>
                <w:sz w:val="16"/>
                <w:szCs w:val="16"/>
              </w:rPr>
              <w:t xml:space="preserve">103,250,332.59 </w:t>
            </w:r>
          </w:p>
        </w:tc>
        <w:tc>
          <w:tcPr>
            <w:tcW w:w="523" w:type="pct"/>
            <w:vAlign w:val="center"/>
          </w:tcPr>
          <w:p w14:paraId="5F485C62">
            <w:pPr>
              <w:jc w:val="right"/>
              <w:rPr>
                <w:rFonts w:ascii="Arial Narrow" w:hAnsi="Arial Narrow"/>
                <w:sz w:val="16"/>
                <w:szCs w:val="16"/>
              </w:rPr>
            </w:pPr>
            <w:r>
              <w:rPr>
                <w:rFonts w:ascii="Arial Narrow" w:hAnsi="Arial Narrow" w:eastAsia="等线"/>
                <w:color w:val="000000"/>
                <w:sz w:val="16"/>
                <w:szCs w:val="16"/>
              </w:rPr>
              <w:t xml:space="preserve">12,613,688,608.06 </w:t>
            </w:r>
          </w:p>
        </w:tc>
        <w:tc>
          <w:tcPr>
            <w:tcW w:w="449" w:type="pct"/>
            <w:vAlign w:val="center"/>
          </w:tcPr>
          <w:p w14:paraId="760CFF07">
            <w:pPr>
              <w:jc w:val="right"/>
              <w:rPr>
                <w:rFonts w:ascii="Arial Narrow" w:hAnsi="Arial Narrow"/>
                <w:sz w:val="16"/>
                <w:szCs w:val="16"/>
              </w:rPr>
            </w:pPr>
            <w:r>
              <w:rPr>
                <w:rFonts w:ascii="Arial Narrow" w:hAnsi="Arial Narrow" w:eastAsia="等线"/>
                <w:color w:val="000000"/>
                <w:sz w:val="16"/>
                <w:szCs w:val="16"/>
              </w:rPr>
              <w:t xml:space="preserve">-98,740,594.34 </w:t>
            </w:r>
          </w:p>
        </w:tc>
        <w:tc>
          <w:tcPr>
            <w:tcW w:w="523" w:type="pct"/>
            <w:vAlign w:val="center"/>
          </w:tcPr>
          <w:p w14:paraId="6BA0B12B">
            <w:pPr>
              <w:jc w:val="right"/>
              <w:rPr>
                <w:rFonts w:ascii="Arial Narrow" w:hAnsi="Arial Narrow"/>
                <w:sz w:val="16"/>
                <w:szCs w:val="16"/>
              </w:rPr>
            </w:pPr>
            <w:r>
              <w:rPr>
                <w:rFonts w:ascii="Arial Narrow" w:hAnsi="Arial Narrow" w:eastAsia="等线"/>
                <w:color w:val="000000"/>
                <w:sz w:val="16"/>
                <w:szCs w:val="16"/>
              </w:rPr>
              <w:t xml:space="preserve">12,514,948,013.72 </w:t>
            </w:r>
          </w:p>
        </w:tc>
      </w:tr>
    </w:tbl>
    <w:p w14:paraId="027F2895">
      <w:pPr>
        <w:rPr>
          <w:rFonts w:hint="eastAsia"/>
        </w:rPr>
      </w:pPr>
    </w:p>
    <w:p w14:paraId="07069349">
      <w:pPr>
        <w:snapToGrid w:val="0"/>
        <w:spacing w:line="240" w:lineRule="atLeast"/>
        <w:ind w:right="-1594" w:rightChars="-759"/>
        <w:rPr>
          <w:rFonts w:hint="eastAsia"/>
          <w:szCs w:val="21"/>
        </w:rPr>
      </w:pPr>
    </w:p>
    <w:p w14:paraId="61435BE0">
      <w:pPr>
        <w:snapToGrid w:val="0"/>
        <w:spacing w:line="240" w:lineRule="atLeast"/>
        <w:ind w:right="-1594" w:rightChars="-759"/>
        <w:rPr>
          <w:rFonts w:hint="eastAsia"/>
          <w:szCs w:val="21"/>
        </w:rPr>
      </w:pPr>
    </w:p>
    <w:p w14:paraId="5D5B10D7">
      <w:pPr>
        <w:snapToGrid w:val="0"/>
        <w:spacing w:line="240" w:lineRule="atLeast"/>
        <w:ind w:right="-1594" w:rightChars="-759"/>
        <w:rPr>
          <w:rFonts w:hint="eastAsia"/>
          <w:szCs w:val="21"/>
        </w:rPr>
      </w:pPr>
    </w:p>
    <w:p w14:paraId="22885109">
      <w:pPr>
        <w:snapToGrid w:val="0"/>
        <w:spacing w:line="240" w:lineRule="atLeast"/>
        <w:ind w:right="-1594" w:rightChars="-759"/>
        <w:rPr>
          <w:rFonts w:hint="eastAsia"/>
          <w:szCs w:val="21"/>
        </w:rPr>
      </w:pPr>
    </w:p>
    <w:p w14:paraId="38E577C3">
      <w:pPr>
        <w:snapToGrid w:val="0"/>
        <w:spacing w:line="240" w:lineRule="atLeast"/>
        <w:ind w:right="-1594" w:rightChars="-759"/>
        <w:rPr>
          <w:rFonts w:hint="eastAsia"/>
          <w:szCs w:val="21"/>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0"/>
        <w:gridCol w:w="1367"/>
        <w:gridCol w:w="1367"/>
        <w:gridCol w:w="1242"/>
        <w:gridCol w:w="1101"/>
        <w:gridCol w:w="1242"/>
        <w:gridCol w:w="1400"/>
        <w:gridCol w:w="1447"/>
        <w:gridCol w:w="1320"/>
        <w:gridCol w:w="1447"/>
      </w:tblGrid>
      <w:tr w14:paraId="5486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96" w:type="pct"/>
            <w:vMerge w:val="restart"/>
            <w:vAlign w:val="center"/>
          </w:tcPr>
          <w:sdt>
            <w:sdtPr>
              <w:rPr>
                <w:sz w:val="16"/>
                <w:szCs w:val="16"/>
              </w:rPr>
              <w:tag w:val="_PLD_229212c664af43faa41821d5eec551b8"/>
              <w:id w:val="-132027584"/>
            </w:sdtPr>
            <w:sdtEndPr>
              <w:rPr>
                <w:sz w:val="16"/>
                <w:szCs w:val="16"/>
              </w:rPr>
            </w:sdtEndPr>
            <w:sdtContent>
              <w:p w14:paraId="0909BAF3">
                <w:pPr>
                  <w:snapToGrid w:val="0"/>
                  <w:spacing w:line="240" w:lineRule="atLeast"/>
                  <w:jc w:val="center"/>
                  <w:rPr>
                    <w:rFonts w:hint="eastAsia"/>
                    <w:sz w:val="16"/>
                    <w:szCs w:val="16"/>
                  </w:rPr>
                </w:pPr>
                <w:r>
                  <w:rPr>
                    <w:rFonts w:hint="eastAsia"/>
                    <w:sz w:val="16"/>
                    <w:szCs w:val="16"/>
                  </w:rPr>
                  <w:t>项目</w:t>
                </w:r>
              </w:p>
            </w:sdtContent>
          </w:sdt>
        </w:tc>
        <w:tc>
          <w:tcPr>
            <w:tcW w:w="4304" w:type="pct"/>
            <w:gridSpan w:val="9"/>
          </w:tcPr>
          <w:p w14:paraId="5555B825">
            <w:pPr>
              <w:snapToGrid w:val="0"/>
              <w:spacing w:line="240" w:lineRule="atLeast"/>
              <w:ind w:right="-1594" w:rightChars="-759"/>
              <w:jc w:val="center"/>
              <w:rPr>
                <w:rFonts w:hint="eastAsia"/>
                <w:sz w:val="16"/>
                <w:szCs w:val="16"/>
              </w:rPr>
            </w:pPr>
            <w:r>
              <w:rPr>
                <w:rFonts w:hint="eastAsia"/>
                <w:sz w:val="16"/>
                <w:szCs w:val="16"/>
              </w:rPr>
              <w:t xml:space="preserve"> </w:t>
            </w:r>
            <w:sdt>
              <w:sdtPr>
                <w:rPr>
                  <w:sz w:val="16"/>
                  <w:szCs w:val="16"/>
                </w:rPr>
                <w:tag w:val="_PLD_5c8dcea3749f4f92b2d283c717162a73"/>
                <w:id w:val="-921110846"/>
              </w:sdtPr>
              <w:sdtEndPr>
                <w:rPr>
                  <w:sz w:val="16"/>
                  <w:szCs w:val="16"/>
                </w:rPr>
              </w:sdtEndPr>
              <w:sdtContent>
                <w:r>
                  <w:rPr>
                    <w:rFonts w:hint="eastAsia"/>
                    <w:sz w:val="16"/>
                    <w:szCs w:val="16"/>
                  </w:rPr>
                  <w:t>2023年度</w:t>
                </w:r>
              </w:sdtContent>
            </w:sdt>
          </w:p>
        </w:tc>
      </w:tr>
      <w:tr w14:paraId="1457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696" w:type="pct"/>
            <w:vMerge w:val="continue"/>
          </w:tcPr>
          <w:p w14:paraId="3DAA5C2A">
            <w:pPr>
              <w:snapToGrid w:val="0"/>
              <w:spacing w:line="240" w:lineRule="atLeast"/>
              <w:ind w:right="-1594" w:rightChars="-759"/>
              <w:rPr>
                <w:rFonts w:hint="eastAsia"/>
                <w:sz w:val="16"/>
                <w:szCs w:val="16"/>
              </w:rPr>
            </w:pPr>
          </w:p>
        </w:tc>
        <w:sdt>
          <w:sdtPr>
            <w:rPr>
              <w:sz w:val="16"/>
              <w:szCs w:val="16"/>
            </w:rPr>
            <w:tag w:val="_PLD_e725a8cacf9d4d1abedbfeae17c394e0"/>
            <w:id w:val="-676347177"/>
          </w:sdtPr>
          <w:sdtEndPr>
            <w:rPr>
              <w:sz w:val="16"/>
              <w:szCs w:val="16"/>
            </w:rPr>
          </w:sdtEndPr>
          <w:sdtContent>
            <w:tc>
              <w:tcPr>
                <w:tcW w:w="3306" w:type="pct"/>
                <w:gridSpan w:val="7"/>
                <w:vAlign w:val="center"/>
              </w:tcPr>
              <w:p w14:paraId="4B9E8914">
                <w:pPr>
                  <w:jc w:val="center"/>
                  <w:rPr>
                    <w:rFonts w:hint="eastAsia"/>
                    <w:sz w:val="16"/>
                    <w:szCs w:val="16"/>
                  </w:rPr>
                </w:pPr>
                <w:r>
                  <w:rPr>
                    <w:sz w:val="16"/>
                    <w:szCs w:val="16"/>
                  </w:rPr>
                  <w:t>归属于母公司所有者权益</w:t>
                </w:r>
              </w:p>
            </w:tc>
          </w:sdtContent>
        </w:sdt>
        <w:sdt>
          <w:sdtPr>
            <w:rPr>
              <w:sz w:val="16"/>
              <w:szCs w:val="16"/>
            </w:rPr>
            <w:tag w:val="_PLD_fe6c49384f0941088b29ad945caeb72b"/>
            <w:id w:val="380989831"/>
          </w:sdtPr>
          <w:sdtEndPr>
            <w:rPr>
              <w:sz w:val="16"/>
              <w:szCs w:val="16"/>
            </w:rPr>
          </w:sdtEndPr>
          <w:sdtContent>
            <w:tc>
              <w:tcPr>
                <w:tcW w:w="476" w:type="pct"/>
                <w:vMerge w:val="restart"/>
                <w:vAlign w:val="center"/>
              </w:tcPr>
              <w:p w14:paraId="1BFDAB98">
                <w:pPr>
                  <w:jc w:val="center"/>
                  <w:rPr>
                    <w:rFonts w:hint="eastAsia"/>
                    <w:sz w:val="16"/>
                    <w:szCs w:val="16"/>
                  </w:rPr>
                </w:pPr>
                <w:r>
                  <w:rPr>
                    <w:sz w:val="16"/>
                    <w:szCs w:val="16"/>
                  </w:rPr>
                  <w:t>少数股东权益</w:t>
                </w:r>
              </w:p>
            </w:tc>
          </w:sdtContent>
        </w:sdt>
        <w:sdt>
          <w:sdtPr>
            <w:rPr>
              <w:sz w:val="16"/>
              <w:szCs w:val="16"/>
            </w:rPr>
            <w:tag w:val="_PLD_bbe71d4307504d648ce52638ee90ccd4"/>
            <w:id w:val="-1765141354"/>
          </w:sdtPr>
          <w:sdtEndPr>
            <w:rPr>
              <w:sz w:val="16"/>
              <w:szCs w:val="16"/>
            </w:rPr>
          </w:sdtEndPr>
          <w:sdtContent>
            <w:tc>
              <w:tcPr>
                <w:tcW w:w="522" w:type="pct"/>
                <w:vMerge w:val="restart"/>
                <w:vAlign w:val="center"/>
              </w:tcPr>
              <w:p w14:paraId="6DACAC33">
                <w:pPr>
                  <w:jc w:val="center"/>
                  <w:rPr>
                    <w:rFonts w:hint="eastAsia"/>
                    <w:sz w:val="16"/>
                    <w:szCs w:val="16"/>
                  </w:rPr>
                </w:pPr>
                <w:r>
                  <w:rPr>
                    <w:sz w:val="16"/>
                    <w:szCs w:val="16"/>
                  </w:rPr>
                  <w:t>所有者权益合计</w:t>
                </w:r>
              </w:p>
            </w:tc>
          </w:sdtContent>
        </w:sdt>
      </w:tr>
      <w:tr w14:paraId="5211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trPr>
        <w:tc>
          <w:tcPr>
            <w:tcW w:w="696" w:type="pct"/>
            <w:vMerge w:val="continue"/>
          </w:tcPr>
          <w:p w14:paraId="6B8FCEB3">
            <w:pPr>
              <w:snapToGrid w:val="0"/>
              <w:spacing w:line="240" w:lineRule="atLeast"/>
              <w:ind w:right="-1594" w:rightChars="-759"/>
              <w:rPr>
                <w:rFonts w:hint="eastAsia"/>
                <w:sz w:val="16"/>
                <w:szCs w:val="16"/>
              </w:rPr>
            </w:pPr>
          </w:p>
        </w:tc>
        <w:sdt>
          <w:sdtPr>
            <w:rPr>
              <w:sz w:val="16"/>
              <w:szCs w:val="16"/>
            </w:rPr>
            <w:tag w:val="_PLD_941585ba85eb48fa931876151974e425"/>
            <w:id w:val="-61414024"/>
          </w:sdtPr>
          <w:sdtEndPr>
            <w:rPr>
              <w:sz w:val="16"/>
              <w:szCs w:val="16"/>
            </w:rPr>
          </w:sdtEndPr>
          <w:sdtContent>
            <w:tc>
              <w:tcPr>
                <w:tcW w:w="493" w:type="pct"/>
                <w:vAlign w:val="center"/>
              </w:tcPr>
              <w:p w14:paraId="06F98E09">
                <w:pPr>
                  <w:snapToGrid w:val="0"/>
                  <w:spacing w:line="240" w:lineRule="atLeast"/>
                  <w:jc w:val="center"/>
                  <w:rPr>
                    <w:rFonts w:hint="eastAsia"/>
                    <w:sz w:val="16"/>
                    <w:szCs w:val="16"/>
                  </w:rPr>
                </w:pPr>
                <w:r>
                  <w:rPr>
                    <w:sz w:val="16"/>
                    <w:szCs w:val="16"/>
                  </w:rPr>
                  <w:t>实收资本 (或股本)</w:t>
                </w:r>
              </w:p>
            </w:tc>
          </w:sdtContent>
        </w:sdt>
        <w:sdt>
          <w:sdtPr>
            <w:rPr>
              <w:sz w:val="16"/>
              <w:szCs w:val="16"/>
            </w:rPr>
            <w:tag w:val="_PLD_f8441471f9a041ac884142e2c9e87055"/>
            <w:id w:val="-1726670189"/>
          </w:sdtPr>
          <w:sdtEndPr>
            <w:rPr>
              <w:sz w:val="16"/>
              <w:szCs w:val="16"/>
            </w:rPr>
          </w:sdtEndPr>
          <w:sdtContent>
            <w:tc>
              <w:tcPr>
                <w:tcW w:w="493" w:type="pct"/>
                <w:vAlign w:val="center"/>
              </w:tcPr>
              <w:p w14:paraId="2ECA9D0D">
                <w:pPr>
                  <w:snapToGrid w:val="0"/>
                  <w:spacing w:line="240" w:lineRule="atLeast"/>
                  <w:jc w:val="center"/>
                  <w:rPr>
                    <w:rFonts w:hint="eastAsia"/>
                    <w:sz w:val="16"/>
                    <w:szCs w:val="16"/>
                  </w:rPr>
                </w:pPr>
                <w:r>
                  <w:rPr>
                    <w:rFonts w:hint="eastAsia"/>
                    <w:sz w:val="16"/>
                    <w:szCs w:val="16"/>
                  </w:rPr>
                  <w:t>资本公积</w:t>
                </w:r>
              </w:p>
            </w:tc>
          </w:sdtContent>
        </w:sdt>
        <w:sdt>
          <w:sdtPr>
            <w:rPr>
              <w:sz w:val="16"/>
              <w:szCs w:val="16"/>
            </w:rPr>
            <w:tag w:val="_PLD_32394603dc124fdb904af0ad8606aa79"/>
            <w:id w:val="-1150369589"/>
          </w:sdtPr>
          <w:sdtEndPr>
            <w:rPr>
              <w:sz w:val="16"/>
              <w:szCs w:val="16"/>
            </w:rPr>
          </w:sdtEndPr>
          <w:sdtContent>
            <w:tc>
              <w:tcPr>
                <w:tcW w:w="448" w:type="pct"/>
                <w:vAlign w:val="center"/>
              </w:tcPr>
              <w:p w14:paraId="2DF7D4E4">
                <w:pPr>
                  <w:snapToGrid w:val="0"/>
                  <w:spacing w:line="240" w:lineRule="atLeast"/>
                  <w:jc w:val="center"/>
                  <w:rPr>
                    <w:rFonts w:hint="eastAsia"/>
                    <w:sz w:val="16"/>
                    <w:szCs w:val="16"/>
                  </w:rPr>
                </w:pPr>
                <w:r>
                  <w:rPr>
                    <w:rFonts w:hint="eastAsia"/>
                    <w:sz w:val="16"/>
                    <w:szCs w:val="16"/>
                  </w:rPr>
                  <w:t>其他综合收益</w:t>
                </w:r>
              </w:p>
            </w:tc>
          </w:sdtContent>
        </w:sdt>
        <w:sdt>
          <w:sdtPr>
            <w:rPr>
              <w:sz w:val="16"/>
              <w:szCs w:val="16"/>
            </w:rPr>
            <w:tag w:val="_PLD_af29ec23e072452c89c8447237a4831e"/>
            <w:id w:val="-1633711124"/>
          </w:sdtPr>
          <w:sdtEndPr>
            <w:rPr>
              <w:sz w:val="16"/>
              <w:szCs w:val="16"/>
            </w:rPr>
          </w:sdtEndPr>
          <w:sdtContent>
            <w:tc>
              <w:tcPr>
                <w:tcW w:w="397" w:type="pct"/>
                <w:vAlign w:val="center"/>
              </w:tcPr>
              <w:p w14:paraId="17AEE827">
                <w:pPr>
                  <w:snapToGrid w:val="0"/>
                  <w:spacing w:line="240" w:lineRule="atLeast"/>
                  <w:jc w:val="center"/>
                  <w:rPr>
                    <w:rFonts w:hint="eastAsia"/>
                    <w:sz w:val="16"/>
                    <w:szCs w:val="16"/>
                  </w:rPr>
                </w:pPr>
                <w:r>
                  <w:rPr>
                    <w:rFonts w:hint="eastAsia"/>
                    <w:sz w:val="16"/>
                    <w:szCs w:val="16"/>
                  </w:rPr>
                  <w:t>专项储备</w:t>
                </w:r>
              </w:p>
            </w:tc>
          </w:sdtContent>
        </w:sdt>
        <w:sdt>
          <w:sdtPr>
            <w:rPr>
              <w:sz w:val="16"/>
              <w:szCs w:val="16"/>
            </w:rPr>
            <w:tag w:val="_PLD_81a68447a616402b99500dae3d54a22d"/>
            <w:id w:val="752543271"/>
          </w:sdtPr>
          <w:sdtEndPr>
            <w:rPr>
              <w:sz w:val="16"/>
              <w:szCs w:val="16"/>
            </w:rPr>
          </w:sdtEndPr>
          <w:sdtContent>
            <w:tc>
              <w:tcPr>
                <w:tcW w:w="448" w:type="pct"/>
                <w:vAlign w:val="center"/>
              </w:tcPr>
              <w:p w14:paraId="2C0CD1EC">
                <w:pPr>
                  <w:snapToGrid w:val="0"/>
                  <w:spacing w:line="240" w:lineRule="atLeast"/>
                  <w:jc w:val="center"/>
                  <w:rPr>
                    <w:rFonts w:hint="eastAsia"/>
                    <w:sz w:val="16"/>
                    <w:szCs w:val="16"/>
                  </w:rPr>
                </w:pPr>
                <w:r>
                  <w:rPr>
                    <w:rFonts w:hint="eastAsia"/>
                    <w:sz w:val="16"/>
                    <w:szCs w:val="16"/>
                  </w:rPr>
                  <w:t>盈余公积</w:t>
                </w:r>
              </w:p>
            </w:tc>
          </w:sdtContent>
        </w:sdt>
        <w:sdt>
          <w:sdtPr>
            <w:rPr>
              <w:sz w:val="16"/>
              <w:szCs w:val="16"/>
            </w:rPr>
            <w:tag w:val="_PLD_a51f5c6bdac744979b275b09b6a9d1d8"/>
            <w:id w:val="-1062861147"/>
          </w:sdtPr>
          <w:sdtEndPr>
            <w:rPr>
              <w:sz w:val="16"/>
              <w:szCs w:val="16"/>
            </w:rPr>
          </w:sdtEndPr>
          <w:sdtContent>
            <w:tc>
              <w:tcPr>
                <w:tcW w:w="505" w:type="pct"/>
                <w:vAlign w:val="center"/>
              </w:tcPr>
              <w:p w14:paraId="02DE1598">
                <w:pPr>
                  <w:snapToGrid w:val="0"/>
                  <w:spacing w:line="240" w:lineRule="atLeast"/>
                  <w:jc w:val="center"/>
                  <w:rPr>
                    <w:rFonts w:hint="eastAsia"/>
                    <w:sz w:val="16"/>
                    <w:szCs w:val="16"/>
                  </w:rPr>
                </w:pPr>
                <w:r>
                  <w:rPr>
                    <w:rFonts w:hint="eastAsia"/>
                    <w:sz w:val="16"/>
                    <w:szCs w:val="16"/>
                  </w:rPr>
                  <w:t>未分配利润</w:t>
                </w:r>
              </w:p>
            </w:tc>
          </w:sdtContent>
        </w:sdt>
        <w:tc>
          <w:tcPr>
            <w:tcW w:w="522" w:type="pct"/>
            <w:vAlign w:val="center"/>
          </w:tcPr>
          <w:sdt>
            <w:sdtPr>
              <w:rPr>
                <w:sz w:val="16"/>
                <w:szCs w:val="16"/>
              </w:rPr>
              <w:tag w:val="_PLD_f2691f33b2164ad8b83415f8cd404dea"/>
              <w:id w:val="897255062"/>
            </w:sdtPr>
            <w:sdtEndPr>
              <w:rPr>
                <w:sz w:val="16"/>
                <w:szCs w:val="16"/>
              </w:rPr>
            </w:sdtEndPr>
            <w:sdtContent>
              <w:p w14:paraId="1CEF06F1">
                <w:pPr>
                  <w:jc w:val="center"/>
                  <w:rPr>
                    <w:rFonts w:hint="eastAsia"/>
                    <w:sz w:val="16"/>
                    <w:szCs w:val="16"/>
                  </w:rPr>
                </w:pPr>
                <w:r>
                  <w:rPr>
                    <w:rFonts w:hint="eastAsia"/>
                    <w:sz w:val="16"/>
                    <w:szCs w:val="16"/>
                  </w:rPr>
                  <w:t>小计</w:t>
                </w:r>
              </w:p>
            </w:sdtContent>
          </w:sdt>
        </w:tc>
        <w:tc>
          <w:tcPr>
            <w:tcW w:w="476" w:type="pct"/>
            <w:vMerge w:val="continue"/>
          </w:tcPr>
          <w:p w14:paraId="18EA112A">
            <w:pPr>
              <w:jc w:val="center"/>
              <w:rPr>
                <w:rFonts w:hint="eastAsia"/>
                <w:sz w:val="16"/>
                <w:szCs w:val="16"/>
              </w:rPr>
            </w:pPr>
          </w:p>
        </w:tc>
        <w:tc>
          <w:tcPr>
            <w:tcW w:w="522" w:type="pct"/>
            <w:vMerge w:val="continue"/>
          </w:tcPr>
          <w:p w14:paraId="66A138EB">
            <w:pPr>
              <w:jc w:val="center"/>
              <w:rPr>
                <w:rFonts w:hint="eastAsia"/>
                <w:sz w:val="16"/>
                <w:szCs w:val="16"/>
              </w:rPr>
            </w:pPr>
          </w:p>
        </w:tc>
      </w:tr>
      <w:tr w14:paraId="671F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24c39056f5874862855dc37ef7f0d558"/>
            <w:id w:val="-542434957"/>
          </w:sdtPr>
          <w:sdtEndPr>
            <w:rPr>
              <w:sz w:val="16"/>
              <w:szCs w:val="16"/>
            </w:rPr>
          </w:sdtEndPr>
          <w:sdtContent>
            <w:tc>
              <w:tcPr>
                <w:tcW w:w="696" w:type="pct"/>
              </w:tcPr>
              <w:p w14:paraId="05567C3E">
                <w:pPr>
                  <w:rPr>
                    <w:rFonts w:hint="eastAsia"/>
                    <w:sz w:val="16"/>
                    <w:szCs w:val="16"/>
                  </w:rPr>
                </w:pPr>
                <w:r>
                  <w:rPr>
                    <w:sz w:val="16"/>
                    <w:szCs w:val="16"/>
                  </w:rPr>
                  <w:t>一、上年</w:t>
                </w:r>
                <w:r>
                  <w:rPr>
                    <w:rFonts w:hint="eastAsia"/>
                    <w:sz w:val="16"/>
                    <w:szCs w:val="16"/>
                  </w:rPr>
                  <w:t>年</w:t>
                </w:r>
                <w:r>
                  <w:rPr>
                    <w:sz w:val="16"/>
                    <w:szCs w:val="16"/>
                  </w:rPr>
                  <w:t>末余额</w:t>
                </w:r>
              </w:p>
            </w:tc>
          </w:sdtContent>
        </w:sdt>
        <w:tc>
          <w:tcPr>
            <w:tcW w:w="493" w:type="pct"/>
            <w:vAlign w:val="center"/>
          </w:tcPr>
          <w:p w14:paraId="61E919F5">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4695B820">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448" w:type="pct"/>
            <w:vAlign w:val="center"/>
          </w:tcPr>
          <w:p w14:paraId="78C58195">
            <w:pPr>
              <w:jc w:val="right"/>
              <w:rPr>
                <w:rFonts w:ascii="Arial Narrow" w:hAnsi="Arial Narrow"/>
                <w:sz w:val="16"/>
                <w:szCs w:val="16"/>
              </w:rPr>
            </w:pPr>
            <w:r>
              <w:rPr>
                <w:rFonts w:ascii="Arial Narrow" w:hAnsi="Arial Narrow" w:eastAsia="等线"/>
                <w:color w:val="000000"/>
                <w:sz w:val="16"/>
                <w:szCs w:val="16"/>
              </w:rPr>
              <w:t xml:space="preserve">-180,244,708.59 </w:t>
            </w:r>
          </w:p>
        </w:tc>
        <w:tc>
          <w:tcPr>
            <w:tcW w:w="397" w:type="pct"/>
            <w:vAlign w:val="center"/>
          </w:tcPr>
          <w:p w14:paraId="4C0928CA">
            <w:pPr>
              <w:jc w:val="right"/>
              <w:rPr>
                <w:rFonts w:ascii="Arial Narrow" w:hAnsi="Arial Narrow"/>
                <w:sz w:val="16"/>
                <w:szCs w:val="16"/>
              </w:rPr>
            </w:pPr>
            <w:r>
              <w:rPr>
                <w:rFonts w:ascii="Arial Narrow" w:hAnsi="Arial Narrow" w:eastAsia="等线"/>
                <w:color w:val="000000"/>
                <w:sz w:val="16"/>
                <w:szCs w:val="16"/>
              </w:rPr>
              <w:t xml:space="preserve">3,063,505.88 </w:t>
            </w:r>
          </w:p>
        </w:tc>
        <w:tc>
          <w:tcPr>
            <w:tcW w:w="448" w:type="pct"/>
            <w:vAlign w:val="center"/>
          </w:tcPr>
          <w:p w14:paraId="166EAA5F">
            <w:pPr>
              <w:jc w:val="right"/>
              <w:rPr>
                <w:rFonts w:ascii="Arial Narrow" w:hAnsi="Arial Narrow"/>
                <w:sz w:val="16"/>
                <w:szCs w:val="16"/>
              </w:rPr>
            </w:pPr>
            <w:r>
              <w:rPr>
                <w:rFonts w:ascii="Arial Narrow" w:hAnsi="Arial Narrow" w:eastAsia="等线"/>
                <w:color w:val="000000"/>
                <w:sz w:val="16"/>
                <w:szCs w:val="16"/>
              </w:rPr>
              <w:t xml:space="preserve">361,267,067.84 </w:t>
            </w:r>
          </w:p>
        </w:tc>
        <w:tc>
          <w:tcPr>
            <w:tcW w:w="505" w:type="pct"/>
            <w:vAlign w:val="center"/>
          </w:tcPr>
          <w:p w14:paraId="2E8AC1F3">
            <w:pPr>
              <w:jc w:val="right"/>
              <w:rPr>
                <w:rFonts w:ascii="Arial Narrow" w:hAnsi="Arial Narrow"/>
                <w:sz w:val="16"/>
                <w:szCs w:val="16"/>
              </w:rPr>
            </w:pPr>
            <w:r>
              <w:rPr>
                <w:rFonts w:ascii="Arial Narrow" w:hAnsi="Arial Narrow" w:eastAsia="等线"/>
                <w:color w:val="000000"/>
                <w:sz w:val="16"/>
                <w:szCs w:val="16"/>
              </w:rPr>
              <w:t xml:space="preserve">4,386,998,483.78 </w:t>
            </w:r>
          </w:p>
        </w:tc>
        <w:tc>
          <w:tcPr>
            <w:tcW w:w="522" w:type="pct"/>
            <w:vAlign w:val="center"/>
          </w:tcPr>
          <w:p w14:paraId="1C3F4D0A">
            <w:pPr>
              <w:jc w:val="right"/>
              <w:rPr>
                <w:rFonts w:ascii="Arial Narrow" w:hAnsi="Arial Narrow"/>
                <w:sz w:val="16"/>
                <w:szCs w:val="16"/>
              </w:rPr>
            </w:pPr>
            <w:r>
              <w:rPr>
                <w:rFonts w:ascii="Arial Narrow" w:hAnsi="Arial Narrow" w:eastAsia="等线"/>
                <w:color w:val="000000"/>
                <w:sz w:val="16"/>
                <w:szCs w:val="16"/>
              </w:rPr>
              <w:t xml:space="preserve">17,030,479,889.99 </w:t>
            </w:r>
          </w:p>
        </w:tc>
        <w:tc>
          <w:tcPr>
            <w:tcW w:w="476" w:type="pct"/>
            <w:vAlign w:val="center"/>
          </w:tcPr>
          <w:p w14:paraId="437B303B">
            <w:pPr>
              <w:jc w:val="right"/>
              <w:rPr>
                <w:rFonts w:ascii="Arial Narrow" w:hAnsi="Arial Narrow"/>
                <w:sz w:val="16"/>
                <w:szCs w:val="16"/>
              </w:rPr>
            </w:pPr>
            <w:r>
              <w:rPr>
                <w:rFonts w:ascii="Arial Narrow" w:hAnsi="Arial Narrow" w:eastAsia="等线"/>
                <w:color w:val="000000"/>
                <w:sz w:val="16"/>
                <w:szCs w:val="16"/>
              </w:rPr>
              <w:t xml:space="preserve">477,622.23 </w:t>
            </w:r>
          </w:p>
        </w:tc>
        <w:tc>
          <w:tcPr>
            <w:tcW w:w="522" w:type="pct"/>
            <w:vAlign w:val="center"/>
          </w:tcPr>
          <w:p w14:paraId="67F618BB">
            <w:pPr>
              <w:jc w:val="right"/>
              <w:rPr>
                <w:rFonts w:ascii="Arial Narrow" w:hAnsi="Arial Narrow"/>
                <w:sz w:val="16"/>
                <w:szCs w:val="16"/>
              </w:rPr>
            </w:pPr>
            <w:r>
              <w:rPr>
                <w:rFonts w:ascii="Arial Narrow" w:hAnsi="Arial Narrow" w:eastAsia="等线"/>
                <w:color w:val="000000"/>
                <w:sz w:val="16"/>
                <w:szCs w:val="16"/>
              </w:rPr>
              <w:t xml:space="preserve">17,030,957,512.22 </w:t>
            </w:r>
          </w:p>
        </w:tc>
      </w:tr>
      <w:tr w14:paraId="5D2B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6438083d485a4ed1a2cb2a35b3d400f3"/>
            <w:id w:val="-257213517"/>
          </w:sdtPr>
          <w:sdtEndPr>
            <w:rPr>
              <w:sz w:val="16"/>
              <w:szCs w:val="16"/>
            </w:rPr>
          </w:sdtEndPr>
          <w:sdtContent>
            <w:tc>
              <w:tcPr>
                <w:tcW w:w="696" w:type="pct"/>
              </w:tcPr>
              <w:p w14:paraId="57DB944B">
                <w:pPr>
                  <w:rPr>
                    <w:rFonts w:hint="eastAsia"/>
                    <w:sz w:val="16"/>
                    <w:szCs w:val="16"/>
                  </w:rPr>
                </w:pPr>
                <w:r>
                  <w:rPr>
                    <w:sz w:val="16"/>
                    <w:szCs w:val="16"/>
                  </w:rPr>
                  <w:t>二、本年</w:t>
                </w:r>
                <w:r>
                  <w:rPr>
                    <w:rFonts w:hint="eastAsia"/>
                    <w:sz w:val="16"/>
                    <w:szCs w:val="16"/>
                  </w:rPr>
                  <w:t>期</w:t>
                </w:r>
                <w:r>
                  <w:rPr>
                    <w:sz w:val="16"/>
                    <w:szCs w:val="16"/>
                  </w:rPr>
                  <w:t>初余额</w:t>
                </w:r>
              </w:p>
            </w:tc>
          </w:sdtContent>
        </w:sdt>
        <w:tc>
          <w:tcPr>
            <w:tcW w:w="493" w:type="pct"/>
            <w:vAlign w:val="center"/>
          </w:tcPr>
          <w:p w14:paraId="1DD4E9D9">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0C1BF331">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448" w:type="pct"/>
            <w:vAlign w:val="center"/>
          </w:tcPr>
          <w:p w14:paraId="274D4B9C">
            <w:pPr>
              <w:jc w:val="right"/>
              <w:rPr>
                <w:rFonts w:ascii="Arial Narrow" w:hAnsi="Arial Narrow"/>
                <w:sz w:val="16"/>
                <w:szCs w:val="16"/>
              </w:rPr>
            </w:pPr>
            <w:r>
              <w:rPr>
                <w:rFonts w:ascii="Arial Narrow" w:hAnsi="Arial Narrow" w:eastAsia="等线"/>
                <w:color w:val="000000"/>
                <w:sz w:val="16"/>
                <w:szCs w:val="16"/>
              </w:rPr>
              <w:t xml:space="preserve">-180,244,708.59 </w:t>
            </w:r>
          </w:p>
        </w:tc>
        <w:tc>
          <w:tcPr>
            <w:tcW w:w="397" w:type="pct"/>
            <w:vAlign w:val="center"/>
          </w:tcPr>
          <w:p w14:paraId="5B5A6AF9">
            <w:pPr>
              <w:jc w:val="right"/>
              <w:rPr>
                <w:rFonts w:ascii="Arial Narrow" w:hAnsi="Arial Narrow"/>
                <w:sz w:val="16"/>
                <w:szCs w:val="16"/>
              </w:rPr>
            </w:pPr>
            <w:r>
              <w:rPr>
                <w:rFonts w:ascii="Arial Narrow" w:hAnsi="Arial Narrow" w:eastAsia="等线"/>
                <w:color w:val="000000"/>
                <w:sz w:val="16"/>
                <w:szCs w:val="16"/>
              </w:rPr>
              <w:t xml:space="preserve">3,063,505.88 </w:t>
            </w:r>
          </w:p>
        </w:tc>
        <w:tc>
          <w:tcPr>
            <w:tcW w:w="448" w:type="pct"/>
            <w:vAlign w:val="center"/>
          </w:tcPr>
          <w:p w14:paraId="36C6C15A">
            <w:pPr>
              <w:jc w:val="right"/>
              <w:rPr>
                <w:rFonts w:ascii="Arial Narrow" w:hAnsi="Arial Narrow"/>
                <w:sz w:val="16"/>
                <w:szCs w:val="16"/>
              </w:rPr>
            </w:pPr>
            <w:r>
              <w:rPr>
                <w:rFonts w:ascii="Arial Narrow" w:hAnsi="Arial Narrow" w:eastAsia="等线"/>
                <w:color w:val="000000"/>
                <w:sz w:val="16"/>
                <w:szCs w:val="16"/>
              </w:rPr>
              <w:t xml:space="preserve">361,267,067.84 </w:t>
            </w:r>
          </w:p>
        </w:tc>
        <w:tc>
          <w:tcPr>
            <w:tcW w:w="505" w:type="pct"/>
            <w:vAlign w:val="center"/>
          </w:tcPr>
          <w:p w14:paraId="01F46CF2">
            <w:pPr>
              <w:jc w:val="right"/>
              <w:rPr>
                <w:rFonts w:ascii="Arial Narrow" w:hAnsi="Arial Narrow"/>
                <w:sz w:val="16"/>
                <w:szCs w:val="16"/>
              </w:rPr>
            </w:pPr>
            <w:r>
              <w:rPr>
                <w:rFonts w:ascii="Arial Narrow" w:hAnsi="Arial Narrow" w:eastAsia="等线"/>
                <w:color w:val="000000"/>
                <w:sz w:val="16"/>
                <w:szCs w:val="16"/>
              </w:rPr>
              <w:t xml:space="preserve">4,386,998,483.78 </w:t>
            </w:r>
          </w:p>
        </w:tc>
        <w:tc>
          <w:tcPr>
            <w:tcW w:w="522" w:type="pct"/>
            <w:vAlign w:val="center"/>
          </w:tcPr>
          <w:p w14:paraId="19042BD3">
            <w:pPr>
              <w:jc w:val="right"/>
              <w:rPr>
                <w:rFonts w:ascii="Arial Narrow" w:hAnsi="Arial Narrow"/>
                <w:sz w:val="16"/>
                <w:szCs w:val="16"/>
              </w:rPr>
            </w:pPr>
            <w:r>
              <w:rPr>
                <w:rFonts w:ascii="Arial Narrow" w:hAnsi="Arial Narrow" w:eastAsia="等线"/>
                <w:color w:val="000000"/>
                <w:sz w:val="16"/>
                <w:szCs w:val="16"/>
              </w:rPr>
              <w:t xml:space="preserve">17,030,479,889.99 </w:t>
            </w:r>
          </w:p>
        </w:tc>
        <w:tc>
          <w:tcPr>
            <w:tcW w:w="476" w:type="pct"/>
            <w:vAlign w:val="center"/>
          </w:tcPr>
          <w:p w14:paraId="50120210">
            <w:pPr>
              <w:jc w:val="right"/>
              <w:rPr>
                <w:rFonts w:ascii="Arial Narrow" w:hAnsi="Arial Narrow"/>
                <w:sz w:val="16"/>
                <w:szCs w:val="16"/>
              </w:rPr>
            </w:pPr>
            <w:r>
              <w:rPr>
                <w:rFonts w:ascii="Arial Narrow" w:hAnsi="Arial Narrow" w:eastAsia="等线"/>
                <w:color w:val="000000"/>
                <w:sz w:val="16"/>
                <w:szCs w:val="16"/>
              </w:rPr>
              <w:t xml:space="preserve">477,622.23 </w:t>
            </w:r>
          </w:p>
        </w:tc>
        <w:tc>
          <w:tcPr>
            <w:tcW w:w="522" w:type="pct"/>
            <w:vAlign w:val="center"/>
          </w:tcPr>
          <w:p w14:paraId="5DE60A6F">
            <w:pPr>
              <w:jc w:val="right"/>
              <w:rPr>
                <w:rFonts w:ascii="Arial Narrow" w:hAnsi="Arial Narrow"/>
                <w:sz w:val="16"/>
                <w:szCs w:val="16"/>
              </w:rPr>
            </w:pPr>
            <w:r>
              <w:rPr>
                <w:rFonts w:ascii="Arial Narrow" w:hAnsi="Arial Narrow" w:eastAsia="等线"/>
                <w:color w:val="000000"/>
                <w:sz w:val="16"/>
                <w:szCs w:val="16"/>
              </w:rPr>
              <w:t xml:space="preserve">17,030,957,512.22 </w:t>
            </w:r>
          </w:p>
        </w:tc>
      </w:tr>
      <w:tr w14:paraId="5395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a0d70a8ecfa64251bc0240cb363e3dd7"/>
            <w:id w:val="-1533489483"/>
          </w:sdtPr>
          <w:sdtEndPr>
            <w:rPr>
              <w:sz w:val="16"/>
              <w:szCs w:val="16"/>
            </w:rPr>
          </w:sdtEndPr>
          <w:sdtContent>
            <w:tc>
              <w:tcPr>
                <w:tcW w:w="696" w:type="pct"/>
              </w:tcPr>
              <w:p w14:paraId="5CEB8381">
                <w:pPr>
                  <w:rPr>
                    <w:rFonts w:hint="eastAsia"/>
                    <w:sz w:val="16"/>
                    <w:szCs w:val="16"/>
                  </w:rPr>
                </w:pPr>
                <w:r>
                  <w:rPr>
                    <w:sz w:val="16"/>
                    <w:szCs w:val="16"/>
                  </w:rPr>
                  <w:t>三、本</w:t>
                </w:r>
                <w:r>
                  <w:rPr>
                    <w:rFonts w:hint="eastAsia"/>
                    <w:sz w:val="16"/>
                    <w:szCs w:val="16"/>
                  </w:rPr>
                  <w:t>期</w:t>
                </w:r>
                <w:r>
                  <w:rPr>
                    <w:sz w:val="16"/>
                    <w:szCs w:val="16"/>
                  </w:rPr>
                  <w:t>增减变动金额（减少以“－”号填列）</w:t>
                </w:r>
              </w:p>
            </w:tc>
          </w:sdtContent>
        </w:sdt>
        <w:tc>
          <w:tcPr>
            <w:tcW w:w="493" w:type="pct"/>
            <w:vAlign w:val="center"/>
          </w:tcPr>
          <w:p w14:paraId="5220C148">
            <w:pPr>
              <w:jc w:val="right"/>
              <w:rPr>
                <w:rFonts w:ascii="Arial Narrow" w:hAnsi="Arial Narrow"/>
                <w:sz w:val="16"/>
                <w:szCs w:val="16"/>
              </w:rPr>
            </w:pPr>
          </w:p>
        </w:tc>
        <w:tc>
          <w:tcPr>
            <w:tcW w:w="493" w:type="pct"/>
            <w:vAlign w:val="center"/>
          </w:tcPr>
          <w:p w14:paraId="4DA3C3B1">
            <w:pPr>
              <w:jc w:val="right"/>
              <w:rPr>
                <w:rFonts w:ascii="Arial Narrow" w:hAnsi="Arial Narrow"/>
                <w:sz w:val="16"/>
                <w:szCs w:val="16"/>
              </w:rPr>
            </w:pPr>
          </w:p>
        </w:tc>
        <w:tc>
          <w:tcPr>
            <w:tcW w:w="448" w:type="pct"/>
            <w:vAlign w:val="center"/>
          </w:tcPr>
          <w:p w14:paraId="1E9743A8">
            <w:pPr>
              <w:jc w:val="right"/>
              <w:rPr>
                <w:rFonts w:ascii="Arial Narrow" w:hAnsi="Arial Narrow"/>
                <w:sz w:val="16"/>
                <w:szCs w:val="16"/>
              </w:rPr>
            </w:pPr>
            <w:r>
              <w:rPr>
                <w:rFonts w:ascii="Arial Narrow" w:hAnsi="Arial Narrow" w:eastAsia="等线"/>
                <w:color w:val="000000"/>
                <w:sz w:val="16"/>
                <w:szCs w:val="16"/>
              </w:rPr>
              <w:t xml:space="preserve">-8,163,162.66 </w:t>
            </w:r>
          </w:p>
        </w:tc>
        <w:tc>
          <w:tcPr>
            <w:tcW w:w="397" w:type="pct"/>
            <w:vAlign w:val="center"/>
          </w:tcPr>
          <w:p w14:paraId="2C0B3C27">
            <w:pPr>
              <w:jc w:val="right"/>
              <w:rPr>
                <w:rFonts w:ascii="Arial Narrow" w:hAnsi="Arial Narrow"/>
                <w:sz w:val="16"/>
                <w:szCs w:val="16"/>
              </w:rPr>
            </w:pPr>
            <w:r>
              <w:rPr>
                <w:rFonts w:ascii="Arial Narrow" w:hAnsi="Arial Narrow" w:eastAsia="等线"/>
                <w:color w:val="000000"/>
                <w:sz w:val="16"/>
                <w:szCs w:val="16"/>
              </w:rPr>
              <w:t xml:space="preserve">-3,063,505.88 </w:t>
            </w:r>
          </w:p>
        </w:tc>
        <w:tc>
          <w:tcPr>
            <w:tcW w:w="448" w:type="pct"/>
            <w:vAlign w:val="center"/>
          </w:tcPr>
          <w:p w14:paraId="460F7FE1">
            <w:pPr>
              <w:jc w:val="right"/>
              <w:rPr>
                <w:rFonts w:ascii="Arial Narrow" w:hAnsi="Arial Narrow"/>
                <w:sz w:val="16"/>
                <w:szCs w:val="16"/>
              </w:rPr>
            </w:pPr>
            <w:r>
              <w:rPr>
                <w:rFonts w:ascii="Arial Narrow" w:hAnsi="Arial Narrow" w:eastAsia="等线"/>
                <w:color w:val="000000"/>
                <w:sz w:val="16"/>
                <w:szCs w:val="16"/>
              </w:rPr>
              <w:t xml:space="preserve">8,390,131.06 </w:t>
            </w:r>
          </w:p>
        </w:tc>
        <w:tc>
          <w:tcPr>
            <w:tcW w:w="505" w:type="pct"/>
            <w:vAlign w:val="center"/>
          </w:tcPr>
          <w:p w14:paraId="5BA9C12A">
            <w:pPr>
              <w:jc w:val="right"/>
              <w:rPr>
                <w:rFonts w:ascii="Arial Narrow" w:hAnsi="Arial Narrow"/>
                <w:sz w:val="16"/>
                <w:szCs w:val="16"/>
              </w:rPr>
            </w:pPr>
            <w:r>
              <w:rPr>
                <w:rFonts w:ascii="Arial Narrow" w:hAnsi="Arial Narrow" w:eastAsia="等线"/>
                <w:color w:val="000000"/>
                <w:sz w:val="16"/>
                <w:szCs w:val="16"/>
              </w:rPr>
              <w:t xml:space="preserve">76,371,218.27 </w:t>
            </w:r>
          </w:p>
        </w:tc>
        <w:tc>
          <w:tcPr>
            <w:tcW w:w="522" w:type="pct"/>
            <w:vAlign w:val="center"/>
          </w:tcPr>
          <w:p w14:paraId="1A644DB7">
            <w:pPr>
              <w:jc w:val="right"/>
              <w:rPr>
                <w:rFonts w:ascii="Arial Narrow" w:hAnsi="Arial Narrow"/>
                <w:sz w:val="16"/>
                <w:szCs w:val="16"/>
              </w:rPr>
            </w:pPr>
            <w:r>
              <w:rPr>
                <w:rFonts w:ascii="Arial Narrow" w:hAnsi="Arial Narrow" w:eastAsia="等线"/>
                <w:color w:val="000000"/>
                <w:sz w:val="16"/>
                <w:szCs w:val="16"/>
              </w:rPr>
              <w:t xml:space="preserve">73,534,680.79 </w:t>
            </w:r>
          </w:p>
        </w:tc>
        <w:tc>
          <w:tcPr>
            <w:tcW w:w="476" w:type="pct"/>
            <w:vAlign w:val="center"/>
          </w:tcPr>
          <w:p w14:paraId="150616B6">
            <w:pPr>
              <w:jc w:val="right"/>
              <w:rPr>
                <w:rFonts w:ascii="Arial Narrow" w:hAnsi="Arial Narrow"/>
                <w:sz w:val="16"/>
                <w:szCs w:val="16"/>
              </w:rPr>
            </w:pPr>
            <w:r>
              <w:rPr>
                <w:rFonts w:ascii="Arial Narrow" w:hAnsi="Arial Narrow" w:eastAsia="等线"/>
                <w:color w:val="000000"/>
                <w:sz w:val="16"/>
                <w:szCs w:val="16"/>
              </w:rPr>
              <w:t xml:space="preserve">-65,652,268.24 </w:t>
            </w:r>
          </w:p>
        </w:tc>
        <w:tc>
          <w:tcPr>
            <w:tcW w:w="522" w:type="pct"/>
            <w:vAlign w:val="center"/>
          </w:tcPr>
          <w:p w14:paraId="25A2048F">
            <w:pPr>
              <w:jc w:val="right"/>
              <w:rPr>
                <w:rFonts w:ascii="Arial Narrow" w:hAnsi="Arial Narrow"/>
                <w:sz w:val="16"/>
                <w:szCs w:val="16"/>
              </w:rPr>
            </w:pPr>
            <w:r>
              <w:rPr>
                <w:rFonts w:ascii="Arial Narrow" w:hAnsi="Arial Narrow" w:eastAsia="等线"/>
                <w:color w:val="000000"/>
                <w:sz w:val="16"/>
                <w:szCs w:val="16"/>
              </w:rPr>
              <w:t xml:space="preserve">7,882,412.55 </w:t>
            </w:r>
          </w:p>
        </w:tc>
      </w:tr>
      <w:tr w14:paraId="1998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d3b5283bf10a4a3c8882e3f3c30046c5"/>
            <w:id w:val="1674833883"/>
          </w:sdtPr>
          <w:sdtEndPr>
            <w:rPr>
              <w:sz w:val="16"/>
              <w:szCs w:val="16"/>
            </w:rPr>
          </w:sdtEndPr>
          <w:sdtContent>
            <w:tc>
              <w:tcPr>
                <w:tcW w:w="696" w:type="pct"/>
              </w:tcPr>
              <w:p w14:paraId="2DC8BA4E">
                <w:pPr>
                  <w:rPr>
                    <w:rFonts w:hint="eastAsia"/>
                    <w:sz w:val="16"/>
                    <w:szCs w:val="16"/>
                  </w:rPr>
                </w:pPr>
                <w:r>
                  <w:rPr>
                    <w:rFonts w:hint="eastAsia"/>
                    <w:sz w:val="16"/>
                    <w:szCs w:val="16"/>
                  </w:rPr>
                  <w:t>（一）综合收益总额</w:t>
                </w:r>
              </w:p>
            </w:tc>
          </w:sdtContent>
        </w:sdt>
        <w:tc>
          <w:tcPr>
            <w:tcW w:w="493" w:type="pct"/>
            <w:vAlign w:val="center"/>
          </w:tcPr>
          <w:p w14:paraId="08A004A7">
            <w:pPr>
              <w:jc w:val="right"/>
              <w:rPr>
                <w:rFonts w:ascii="Arial Narrow" w:hAnsi="Arial Narrow"/>
                <w:sz w:val="16"/>
                <w:szCs w:val="16"/>
              </w:rPr>
            </w:pPr>
          </w:p>
        </w:tc>
        <w:tc>
          <w:tcPr>
            <w:tcW w:w="493" w:type="pct"/>
            <w:vAlign w:val="center"/>
          </w:tcPr>
          <w:p w14:paraId="7DDF24A0">
            <w:pPr>
              <w:jc w:val="right"/>
              <w:rPr>
                <w:rFonts w:ascii="Arial Narrow" w:hAnsi="Arial Narrow"/>
                <w:sz w:val="16"/>
                <w:szCs w:val="16"/>
              </w:rPr>
            </w:pPr>
          </w:p>
        </w:tc>
        <w:tc>
          <w:tcPr>
            <w:tcW w:w="448" w:type="pct"/>
            <w:vAlign w:val="center"/>
          </w:tcPr>
          <w:p w14:paraId="748D0389">
            <w:pPr>
              <w:jc w:val="right"/>
              <w:rPr>
                <w:rFonts w:ascii="Arial Narrow" w:hAnsi="Arial Narrow"/>
                <w:sz w:val="16"/>
                <w:szCs w:val="16"/>
              </w:rPr>
            </w:pPr>
            <w:r>
              <w:rPr>
                <w:rFonts w:ascii="Arial Narrow" w:hAnsi="Arial Narrow" w:eastAsia="等线"/>
                <w:color w:val="000000"/>
                <w:sz w:val="16"/>
                <w:szCs w:val="16"/>
              </w:rPr>
              <w:t xml:space="preserve">17,808,790.08 </w:t>
            </w:r>
          </w:p>
        </w:tc>
        <w:tc>
          <w:tcPr>
            <w:tcW w:w="397" w:type="pct"/>
            <w:vAlign w:val="center"/>
          </w:tcPr>
          <w:p w14:paraId="60CD90E2">
            <w:pPr>
              <w:jc w:val="right"/>
              <w:rPr>
                <w:rFonts w:ascii="Arial Narrow" w:hAnsi="Arial Narrow"/>
                <w:sz w:val="16"/>
                <w:szCs w:val="16"/>
              </w:rPr>
            </w:pPr>
          </w:p>
        </w:tc>
        <w:tc>
          <w:tcPr>
            <w:tcW w:w="448" w:type="pct"/>
            <w:vAlign w:val="center"/>
          </w:tcPr>
          <w:p w14:paraId="493C2084">
            <w:pPr>
              <w:jc w:val="right"/>
              <w:rPr>
                <w:rFonts w:ascii="Arial Narrow" w:hAnsi="Arial Narrow"/>
                <w:sz w:val="16"/>
                <w:szCs w:val="16"/>
              </w:rPr>
            </w:pPr>
          </w:p>
        </w:tc>
        <w:tc>
          <w:tcPr>
            <w:tcW w:w="505" w:type="pct"/>
            <w:vAlign w:val="center"/>
          </w:tcPr>
          <w:p w14:paraId="22B84FCE">
            <w:pPr>
              <w:jc w:val="right"/>
              <w:rPr>
                <w:rFonts w:ascii="Arial Narrow" w:hAnsi="Arial Narrow"/>
                <w:sz w:val="16"/>
                <w:szCs w:val="16"/>
              </w:rPr>
            </w:pPr>
            <w:r>
              <w:rPr>
                <w:rFonts w:ascii="Arial Narrow" w:hAnsi="Arial Narrow" w:eastAsia="等线"/>
                <w:color w:val="000000"/>
                <w:sz w:val="16"/>
                <w:szCs w:val="16"/>
              </w:rPr>
              <w:t xml:space="preserve">182,339,091.93 </w:t>
            </w:r>
          </w:p>
        </w:tc>
        <w:tc>
          <w:tcPr>
            <w:tcW w:w="522" w:type="pct"/>
            <w:vAlign w:val="center"/>
          </w:tcPr>
          <w:p w14:paraId="13DA623D">
            <w:pPr>
              <w:jc w:val="right"/>
              <w:rPr>
                <w:rFonts w:ascii="Arial Narrow" w:hAnsi="Arial Narrow"/>
                <w:sz w:val="16"/>
                <w:szCs w:val="16"/>
              </w:rPr>
            </w:pPr>
            <w:r>
              <w:rPr>
                <w:rFonts w:ascii="Arial Narrow" w:hAnsi="Arial Narrow" w:eastAsia="等线"/>
                <w:color w:val="000000"/>
                <w:sz w:val="16"/>
                <w:szCs w:val="16"/>
              </w:rPr>
              <w:t xml:space="preserve">200,147,882.01 </w:t>
            </w:r>
          </w:p>
        </w:tc>
        <w:tc>
          <w:tcPr>
            <w:tcW w:w="476" w:type="pct"/>
            <w:vAlign w:val="center"/>
          </w:tcPr>
          <w:p w14:paraId="3BF76DD1">
            <w:pPr>
              <w:jc w:val="right"/>
              <w:rPr>
                <w:rFonts w:ascii="Arial Narrow" w:hAnsi="Arial Narrow"/>
                <w:sz w:val="16"/>
                <w:szCs w:val="16"/>
              </w:rPr>
            </w:pPr>
            <w:r>
              <w:rPr>
                <w:rFonts w:ascii="Arial Narrow" w:hAnsi="Arial Narrow" w:eastAsia="等线"/>
                <w:color w:val="000000"/>
                <w:sz w:val="16"/>
                <w:szCs w:val="16"/>
              </w:rPr>
              <w:t xml:space="preserve">6,494,069.23 </w:t>
            </w:r>
          </w:p>
        </w:tc>
        <w:tc>
          <w:tcPr>
            <w:tcW w:w="522" w:type="pct"/>
            <w:vAlign w:val="center"/>
          </w:tcPr>
          <w:p w14:paraId="1E3CB27C">
            <w:pPr>
              <w:jc w:val="right"/>
              <w:rPr>
                <w:rFonts w:ascii="Arial Narrow" w:hAnsi="Arial Narrow"/>
                <w:sz w:val="16"/>
                <w:szCs w:val="16"/>
              </w:rPr>
            </w:pPr>
            <w:r>
              <w:rPr>
                <w:rFonts w:ascii="Arial Narrow" w:hAnsi="Arial Narrow" w:eastAsia="等线"/>
                <w:color w:val="000000"/>
                <w:sz w:val="16"/>
                <w:szCs w:val="16"/>
              </w:rPr>
              <w:t xml:space="preserve">206,641,951.24 </w:t>
            </w:r>
          </w:p>
        </w:tc>
      </w:tr>
      <w:tr w14:paraId="7ABB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ecb1a0919fe148e5893e9977ac112e36"/>
            <w:id w:val="43191266"/>
          </w:sdtPr>
          <w:sdtEndPr>
            <w:rPr>
              <w:sz w:val="16"/>
              <w:szCs w:val="16"/>
            </w:rPr>
          </w:sdtEndPr>
          <w:sdtContent>
            <w:tc>
              <w:tcPr>
                <w:tcW w:w="696" w:type="pct"/>
              </w:tcPr>
              <w:p w14:paraId="77EED171">
                <w:pPr>
                  <w:rPr>
                    <w:rFonts w:hint="eastAsia"/>
                    <w:sz w:val="16"/>
                    <w:szCs w:val="16"/>
                  </w:rPr>
                </w:pPr>
                <w:r>
                  <w:rPr>
                    <w:sz w:val="16"/>
                    <w:szCs w:val="16"/>
                  </w:rPr>
                  <w:t>（</w:t>
                </w:r>
                <w:r>
                  <w:rPr>
                    <w:rFonts w:hint="eastAsia"/>
                    <w:sz w:val="16"/>
                    <w:szCs w:val="16"/>
                  </w:rPr>
                  <w:t>二</w:t>
                </w:r>
                <w:r>
                  <w:rPr>
                    <w:sz w:val="16"/>
                    <w:szCs w:val="16"/>
                  </w:rPr>
                  <w:t>）所有者投入和减少资本</w:t>
                </w:r>
              </w:p>
            </w:tc>
          </w:sdtContent>
        </w:sdt>
        <w:tc>
          <w:tcPr>
            <w:tcW w:w="493" w:type="pct"/>
            <w:vAlign w:val="center"/>
          </w:tcPr>
          <w:p w14:paraId="1FE5C1F5">
            <w:pPr>
              <w:jc w:val="right"/>
              <w:rPr>
                <w:rFonts w:ascii="Arial Narrow" w:hAnsi="Arial Narrow"/>
                <w:sz w:val="16"/>
                <w:szCs w:val="16"/>
              </w:rPr>
            </w:pPr>
          </w:p>
        </w:tc>
        <w:tc>
          <w:tcPr>
            <w:tcW w:w="493" w:type="pct"/>
            <w:vAlign w:val="center"/>
          </w:tcPr>
          <w:p w14:paraId="4C4E88AE">
            <w:pPr>
              <w:jc w:val="right"/>
              <w:rPr>
                <w:rFonts w:ascii="Arial Narrow" w:hAnsi="Arial Narrow"/>
                <w:sz w:val="16"/>
                <w:szCs w:val="16"/>
              </w:rPr>
            </w:pPr>
          </w:p>
        </w:tc>
        <w:tc>
          <w:tcPr>
            <w:tcW w:w="448" w:type="pct"/>
            <w:vAlign w:val="center"/>
          </w:tcPr>
          <w:p w14:paraId="7BDE4948">
            <w:pPr>
              <w:jc w:val="right"/>
              <w:rPr>
                <w:rFonts w:ascii="Arial Narrow" w:hAnsi="Arial Narrow"/>
                <w:sz w:val="16"/>
                <w:szCs w:val="16"/>
              </w:rPr>
            </w:pPr>
          </w:p>
        </w:tc>
        <w:tc>
          <w:tcPr>
            <w:tcW w:w="397" w:type="pct"/>
            <w:vAlign w:val="center"/>
          </w:tcPr>
          <w:p w14:paraId="19AE59B4">
            <w:pPr>
              <w:jc w:val="right"/>
              <w:rPr>
                <w:rFonts w:ascii="Arial Narrow" w:hAnsi="Arial Narrow"/>
                <w:sz w:val="16"/>
                <w:szCs w:val="16"/>
              </w:rPr>
            </w:pPr>
          </w:p>
        </w:tc>
        <w:tc>
          <w:tcPr>
            <w:tcW w:w="448" w:type="pct"/>
            <w:vAlign w:val="center"/>
          </w:tcPr>
          <w:p w14:paraId="50B3FC52">
            <w:pPr>
              <w:jc w:val="right"/>
              <w:rPr>
                <w:rFonts w:ascii="Arial Narrow" w:hAnsi="Arial Narrow"/>
                <w:sz w:val="16"/>
                <w:szCs w:val="16"/>
              </w:rPr>
            </w:pPr>
          </w:p>
        </w:tc>
        <w:tc>
          <w:tcPr>
            <w:tcW w:w="505" w:type="pct"/>
            <w:vAlign w:val="center"/>
          </w:tcPr>
          <w:p w14:paraId="23E3BCE4">
            <w:pPr>
              <w:jc w:val="right"/>
              <w:rPr>
                <w:rFonts w:ascii="Arial Narrow" w:hAnsi="Arial Narrow"/>
                <w:sz w:val="16"/>
                <w:szCs w:val="16"/>
              </w:rPr>
            </w:pPr>
          </w:p>
        </w:tc>
        <w:tc>
          <w:tcPr>
            <w:tcW w:w="522" w:type="pct"/>
            <w:vAlign w:val="center"/>
          </w:tcPr>
          <w:p w14:paraId="72D24E44">
            <w:pPr>
              <w:jc w:val="right"/>
              <w:rPr>
                <w:rFonts w:ascii="Arial Narrow" w:hAnsi="Arial Narrow"/>
                <w:sz w:val="16"/>
                <w:szCs w:val="16"/>
              </w:rPr>
            </w:pPr>
          </w:p>
        </w:tc>
        <w:tc>
          <w:tcPr>
            <w:tcW w:w="476" w:type="pct"/>
            <w:vAlign w:val="center"/>
          </w:tcPr>
          <w:p w14:paraId="091185EF">
            <w:pPr>
              <w:jc w:val="right"/>
              <w:rPr>
                <w:rFonts w:ascii="Arial Narrow" w:hAnsi="Arial Narrow"/>
                <w:sz w:val="16"/>
                <w:szCs w:val="16"/>
              </w:rPr>
            </w:pPr>
            <w:r>
              <w:rPr>
                <w:rFonts w:ascii="Arial Narrow" w:hAnsi="Arial Narrow" w:eastAsia="等线"/>
                <w:color w:val="000000"/>
                <w:sz w:val="16"/>
                <w:szCs w:val="16"/>
              </w:rPr>
              <w:t xml:space="preserve">-66,551,830.44 </w:t>
            </w:r>
          </w:p>
        </w:tc>
        <w:tc>
          <w:tcPr>
            <w:tcW w:w="522" w:type="pct"/>
            <w:vAlign w:val="center"/>
          </w:tcPr>
          <w:p w14:paraId="004BE5CA">
            <w:pPr>
              <w:jc w:val="right"/>
              <w:rPr>
                <w:rFonts w:ascii="Arial Narrow" w:hAnsi="Arial Narrow"/>
                <w:sz w:val="16"/>
                <w:szCs w:val="16"/>
              </w:rPr>
            </w:pPr>
            <w:r>
              <w:rPr>
                <w:rFonts w:ascii="Arial Narrow" w:hAnsi="Arial Narrow" w:eastAsia="等线"/>
                <w:color w:val="000000"/>
                <w:sz w:val="16"/>
                <w:szCs w:val="16"/>
              </w:rPr>
              <w:t xml:space="preserve">-66,551,830.44 </w:t>
            </w:r>
          </w:p>
        </w:tc>
      </w:tr>
      <w:tr w14:paraId="0669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611ba2ed8c6b439788c9acf67433da0c"/>
            <w:id w:val="379677143"/>
          </w:sdtPr>
          <w:sdtEndPr>
            <w:rPr>
              <w:sz w:val="16"/>
              <w:szCs w:val="16"/>
            </w:rPr>
          </w:sdtEndPr>
          <w:sdtContent>
            <w:tc>
              <w:tcPr>
                <w:tcW w:w="696" w:type="pct"/>
              </w:tcPr>
              <w:p w14:paraId="77CEDF46">
                <w:pPr>
                  <w:rPr>
                    <w:rFonts w:hint="eastAsia"/>
                    <w:sz w:val="16"/>
                    <w:szCs w:val="16"/>
                  </w:rPr>
                </w:pPr>
                <w:r>
                  <w:rPr>
                    <w:rFonts w:hint="eastAsia"/>
                    <w:sz w:val="16"/>
                    <w:szCs w:val="16"/>
                  </w:rPr>
                  <w:t>1．所有者投入的普通股</w:t>
                </w:r>
              </w:p>
            </w:tc>
          </w:sdtContent>
        </w:sdt>
        <w:tc>
          <w:tcPr>
            <w:tcW w:w="493" w:type="pct"/>
            <w:vAlign w:val="center"/>
          </w:tcPr>
          <w:p w14:paraId="5658892C">
            <w:pPr>
              <w:jc w:val="right"/>
              <w:rPr>
                <w:rFonts w:ascii="Arial Narrow" w:hAnsi="Arial Narrow"/>
                <w:sz w:val="16"/>
                <w:szCs w:val="16"/>
              </w:rPr>
            </w:pPr>
          </w:p>
        </w:tc>
        <w:tc>
          <w:tcPr>
            <w:tcW w:w="493" w:type="pct"/>
            <w:vAlign w:val="center"/>
          </w:tcPr>
          <w:p w14:paraId="1D9349DC">
            <w:pPr>
              <w:jc w:val="right"/>
              <w:rPr>
                <w:rFonts w:ascii="Arial Narrow" w:hAnsi="Arial Narrow"/>
                <w:sz w:val="16"/>
                <w:szCs w:val="16"/>
              </w:rPr>
            </w:pPr>
          </w:p>
        </w:tc>
        <w:tc>
          <w:tcPr>
            <w:tcW w:w="448" w:type="pct"/>
            <w:vAlign w:val="center"/>
          </w:tcPr>
          <w:p w14:paraId="36852D7A">
            <w:pPr>
              <w:jc w:val="right"/>
              <w:rPr>
                <w:rFonts w:ascii="Arial Narrow" w:hAnsi="Arial Narrow"/>
                <w:sz w:val="16"/>
                <w:szCs w:val="16"/>
              </w:rPr>
            </w:pPr>
          </w:p>
        </w:tc>
        <w:tc>
          <w:tcPr>
            <w:tcW w:w="397" w:type="pct"/>
            <w:vAlign w:val="center"/>
          </w:tcPr>
          <w:p w14:paraId="2E2E6FC6">
            <w:pPr>
              <w:jc w:val="right"/>
              <w:rPr>
                <w:rFonts w:ascii="Arial Narrow" w:hAnsi="Arial Narrow"/>
                <w:sz w:val="16"/>
                <w:szCs w:val="16"/>
              </w:rPr>
            </w:pPr>
          </w:p>
        </w:tc>
        <w:tc>
          <w:tcPr>
            <w:tcW w:w="448" w:type="pct"/>
            <w:vAlign w:val="center"/>
          </w:tcPr>
          <w:p w14:paraId="4682B939">
            <w:pPr>
              <w:jc w:val="right"/>
              <w:rPr>
                <w:rFonts w:ascii="Arial Narrow" w:hAnsi="Arial Narrow"/>
                <w:sz w:val="16"/>
                <w:szCs w:val="16"/>
              </w:rPr>
            </w:pPr>
          </w:p>
        </w:tc>
        <w:tc>
          <w:tcPr>
            <w:tcW w:w="505" w:type="pct"/>
            <w:vAlign w:val="center"/>
          </w:tcPr>
          <w:p w14:paraId="2008A5B0">
            <w:pPr>
              <w:jc w:val="right"/>
              <w:rPr>
                <w:rFonts w:ascii="Arial Narrow" w:hAnsi="Arial Narrow"/>
                <w:sz w:val="16"/>
                <w:szCs w:val="16"/>
              </w:rPr>
            </w:pPr>
          </w:p>
        </w:tc>
        <w:tc>
          <w:tcPr>
            <w:tcW w:w="522" w:type="pct"/>
            <w:vAlign w:val="center"/>
          </w:tcPr>
          <w:p w14:paraId="06C90C96">
            <w:pPr>
              <w:jc w:val="right"/>
              <w:rPr>
                <w:rFonts w:ascii="Arial Narrow" w:hAnsi="Arial Narrow"/>
                <w:sz w:val="16"/>
                <w:szCs w:val="16"/>
              </w:rPr>
            </w:pPr>
          </w:p>
        </w:tc>
        <w:tc>
          <w:tcPr>
            <w:tcW w:w="476" w:type="pct"/>
            <w:vAlign w:val="center"/>
          </w:tcPr>
          <w:p w14:paraId="69F47A15">
            <w:pPr>
              <w:jc w:val="right"/>
              <w:rPr>
                <w:rFonts w:ascii="Arial Narrow" w:hAnsi="Arial Narrow"/>
                <w:sz w:val="16"/>
                <w:szCs w:val="16"/>
              </w:rPr>
            </w:pPr>
            <w:r>
              <w:rPr>
                <w:rFonts w:ascii="Arial Narrow" w:hAnsi="Arial Narrow" w:eastAsia="等线"/>
                <w:color w:val="000000"/>
                <w:sz w:val="16"/>
                <w:szCs w:val="16"/>
              </w:rPr>
              <w:t xml:space="preserve">17,500,000.00 </w:t>
            </w:r>
          </w:p>
        </w:tc>
        <w:tc>
          <w:tcPr>
            <w:tcW w:w="522" w:type="pct"/>
            <w:vAlign w:val="center"/>
          </w:tcPr>
          <w:p w14:paraId="62FC5C2E">
            <w:pPr>
              <w:jc w:val="right"/>
              <w:rPr>
                <w:rFonts w:ascii="Arial Narrow" w:hAnsi="Arial Narrow"/>
                <w:sz w:val="16"/>
                <w:szCs w:val="16"/>
              </w:rPr>
            </w:pPr>
            <w:r>
              <w:rPr>
                <w:rFonts w:ascii="Arial Narrow" w:hAnsi="Arial Narrow" w:eastAsia="等线"/>
                <w:color w:val="000000"/>
                <w:sz w:val="16"/>
                <w:szCs w:val="16"/>
              </w:rPr>
              <w:t xml:space="preserve">17,500,000.00 </w:t>
            </w:r>
          </w:p>
        </w:tc>
      </w:tr>
      <w:tr w14:paraId="15A8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32d1c7d278224bfa80a28845c7639c86"/>
            <w:id w:val="-1238625642"/>
          </w:sdtPr>
          <w:sdtEndPr>
            <w:rPr>
              <w:sz w:val="16"/>
              <w:szCs w:val="16"/>
            </w:rPr>
          </w:sdtEndPr>
          <w:sdtContent>
            <w:tc>
              <w:tcPr>
                <w:tcW w:w="696" w:type="pct"/>
              </w:tcPr>
              <w:p w14:paraId="394FF6A6">
                <w:pPr>
                  <w:rPr>
                    <w:rFonts w:hint="eastAsia"/>
                    <w:sz w:val="16"/>
                    <w:szCs w:val="16"/>
                  </w:rPr>
                </w:pPr>
                <w:r>
                  <w:rPr>
                    <w:rFonts w:hint="eastAsia"/>
                    <w:sz w:val="16"/>
                    <w:szCs w:val="16"/>
                  </w:rPr>
                  <w:t>4</w:t>
                </w:r>
                <w:r>
                  <w:rPr>
                    <w:sz w:val="16"/>
                    <w:szCs w:val="16"/>
                  </w:rPr>
                  <w:t>．其他</w:t>
                </w:r>
              </w:p>
            </w:tc>
          </w:sdtContent>
        </w:sdt>
        <w:tc>
          <w:tcPr>
            <w:tcW w:w="493" w:type="pct"/>
            <w:vAlign w:val="center"/>
          </w:tcPr>
          <w:p w14:paraId="4BB60B41">
            <w:pPr>
              <w:jc w:val="right"/>
              <w:rPr>
                <w:rFonts w:ascii="Arial Narrow" w:hAnsi="Arial Narrow"/>
                <w:sz w:val="16"/>
                <w:szCs w:val="16"/>
              </w:rPr>
            </w:pPr>
          </w:p>
        </w:tc>
        <w:tc>
          <w:tcPr>
            <w:tcW w:w="493" w:type="pct"/>
            <w:vAlign w:val="center"/>
          </w:tcPr>
          <w:p w14:paraId="21DAAB5C">
            <w:pPr>
              <w:jc w:val="right"/>
              <w:rPr>
                <w:rFonts w:ascii="Arial Narrow" w:hAnsi="Arial Narrow"/>
                <w:sz w:val="16"/>
                <w:szCs w:val="16"/>
              </w:rPr>
            </w:pPr>
          </w:p>
        </w:tc>
        <w:tc>
          <w:tcPr>
            <w:tcW w:w="448" w:type="pct"/>
            <w:vAlign w:val="center"/>
          </w:tcPr>
          <w:p w14:paraId="5CECADBB">
            <w:pPr>
              <w:jc w:val="right"/>
              <w:rPr>
                <w:rFonts w:ascii="Arial Narrow" w:hAnsi="Arial Narrow"/>
                <w:sz w:val="16"/>
                <w:szCs w:val="16"/>
              </w:rPr>
            </w:pPr>
          </w:p>
        </w:tc>
        <w:tc>
          <w:tcPr>
            <w:tcW w:w="397" w:type="pct"/>
            <w:vAlign w:val="center"/>
          </w:tcPr>
          <w:p w14:paraId="7ED1B972">
            <w:pPr>
              <w:jc w:val="right"/>
              <w:rPr>
                <w:rFonts w:ascii="Arial Narrow" w:hAnsi="Arial Narrow"/>
                <w:sz w:val="16"/>
                <w:szCs w:val="16"/>
              </w:rPr>
            </w:pPr>
          </w:p>
        </w:tc>
        <w:tc>
          <w:tcPr>
            <w:tcW w:w="448" w:type="pct"/>
            <w:vAlign w:val="center"/>
          </w:tcPr>
          <w:p w14:paraId="4EC43470">
            <w:pPr>
              <w:jc w:val="right"/>
              <w:rPr>
                <w:rFonts w:ascii="Arial Narrow" w:hAnsi="Arial Narrow"/>
                <w:sz w:val="16"/>
                <w:szCs w:val="16"/>
              </w:rPr>
            </w:pPr>
          </w:p>
        </w:tc>
        <w:tc>
          <w:tcPr>
            <w:tcW w:w="505" w:type="pct"/>
            <w:vAlign w:val="center"/>
          </w:tcPr>
          <w:p w14:paraId="581C876D">
            <w:pPr>
              <w:jc w:val="right"/>
              <w:rPr>
                <w:rFonts w:ascii="Arial Narrow" w:hAnsi="Arial Narrow"/>
                <w:sz w:val="16"/>
                <w:szCs w:val="16"/>
              </w:rPr>
            </w:pPr>
          </w:p>
        </w:tc>
        <w:tc>
          <w:tcPr>
            <w:tcW w:w="522" w:type="pct"/>
            <w:vAlign w:val="center"/>
          </w:tcPr>
          <w:p w14:paraId="59843929">
            <w:pPr>
              <w:jc w:val="right"/>
              <w:rPr>
                <w:rFonts w:ascii="Arial Narrow" w:hAnsi="Arial Narrow"/>
                <w:sz w:val="16"/>
                <w:szCs w:val="16"/>
              </w:rPr>
            </w:pPr>
          </w:p>
        </w:tc>
        <w:tc>
          <w:tcPr>
            <w:tcW w:w="476" w:type="pct"/>
            <w:vAlign w:val="center"/>
          </w:tcPr>
          <w:p w14:paraId="4091CE8F">
            <w:pPr>
              <w:jc w:val="right"/>
              <w:rPr>
                <w:rFonts w:ascii="Arial Narrow" w:hAnsi="Arial Narrow"/>
                <w:sz w:val="16"/>
                <w:szCs w:val="16"/>
              </w:rPr>
            </w:pPr>
            <w:r>
              <w:rPr>
                <w:rFonts w:ascii="Arial Narrow" w:hAnsi="Arial Narrow" w:eastAsia="等线"/>
                <w:color w:val="000000"/>
                <w:sz w:val="16"/>
                <w:szCs w:val="16"/>
              </w:rPr>
              <w:t xml:space="preserve">-84,051,830.44 </w:t>
            </w:r>
          </w:p>
        </w:tc>
        <w:tc>
          <w:tcPr>
            <w:tcW w:w="522" w:type="pct"/>
            <w:vAlign w:val="center"/>
          </w:tcPr>
          <w:p w14:paraId="34AE16AC">
            <w:pPr>
              <w:jc w:val="right"/>
              <w:rPr>
                <w:rFonts w:ascii="Arial Narrow" w:hAnsi="Arial Narrow"/>
                <w:sz w:val="16"/>
                <w:szCs w:val="16"/>
              </w:rPr>
            </w:pPr>
            <w:r>
              <w:rPr>
                <w:rFonts w:ascii="Arial Narrow" w:hAnsi="Arial Narrow" w:eastAsia="等线"/>
                <w:color w:val="000000"/>
                <w:sz w:val="16"/>
                <w:szCs w:val="16"/>
              </w:rPr>
              <w:t xml:space="preserve">-84,051,830.44 </w:t>
            </w:r>
          </w:p>
        </w:tc>
      </w:tr>
      <w:tr w14:paraId="5851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4f4c1a0d22784a4a81a90a7b772560b9"/>
            <w:id w:val="1576473864"/>
          </w:sdtPr>
          <w:sdtEndPr>
            <w:rPr>
              <w:sz w:val="16"/>
              <w:szCs w:val="16"/>
            </w:rPr>
          </w:sdtEndPr>
          <w:sdtContent>
            <w:tc>
              <w:tcPr>
                <w:tcW w:w="696" w:type="pct"/>
              </w:tcPr>
              <w:p w14:paraId="7E1CC6DC">
                <w:pPr>
                  <w:rPr>
                    <w:rFonts w:hint="eastAsia"/>
                    <w:sz w:val="16"/>
                    <w:szCs w:val="16"/>
                  </w:rPr>
                </w:pPr>
                <w:r>
                  <w:rPr>
                    <w:sz w:val="16"/>
                    <w:szCs w:val="16"/>
                  </w:rPr>
                  <w:t>（</w:t>
                </w:r>
                <w:r>
                  <w:rPr>
                    <w:rFonts w:hint="eastAsia"/>
                    <w:sz w:val="16"/>
                    <w:szCs w:val="16"/>
                  </w:rPr>
                  <w:t>三</w:t>
                </w:r>
                <w:r>
                  <w:rPr>
                    <w:sz w:val="16"/>
                    <w:szCs w:val="16"/>
                  </w:rPr>
                  <w:t>）利润分配</w:t>
                </w:r>
              </w:p>
            </w:tc>
          </w:sdtContent>
        </w:sdt>
        <w:tc>
          <w:tcPr>
            <w:tcW w:w="493" w:type="pct"/>
            <w:vAlign w:val="center"/>
          </w:tcPr>
          <w:p w14:paraId="3105DD49">
            <w:pPr>
              <w:jc w:val="right"/>
              <w:rPr>
                <w:rFonts w:ascii="Arial Narrow" w:hAnsi="Arial Narrow"/>
                <w:sz w:val="16"/>
                <w:szCs w:val="16"/>
              </w:rPr>
            </w:pPr>
          </w:p>
        </w:tc>
        <w:tc>
          <w:tcPr>
            <w:tcW w:w="493" w:type="pct"/>
            <w:vAlign w:val="center"/>
          </w:tcPr>
          <w:p w14:paraId="4906FAA2">
            <w:pPr>
              <w:jc w:val="right"/>
              <w:rPr>
                <w:rFonts w:ascii="Arial Narrow" w:hAnsi="Arial Narrow"/>
                <w:sz w:val="16"/>
                <w:szCs w:val="16"/>
              </w:rPr>
            </w:pPr>
          </w:p>
        </w:tc>
        <w:tc>
          <w:tcPr>
            <w:tcW w:w="448" w:type="pct"/>
            <w:vAlign w:val="center"/>
          </w:tcPr>
          <w:p w14:paraId="2BC9ECC6">
            <w:pPr>
              <w:jc w:val="right"/>
              <w:rPr>
                <w:rFonts w:ascii="Arial Narrow" w:hAnsi="Arial Narrow"/>
                <w:sz w:val="16"/>
                <w:szCs w:val="16"/>
              </w:rPr>
            </w:pPr>
          </w:p>
        </w:tc>
        <w:tc>
          <w:tcPr>
            <w:tcW w:w="397" w:type="pct"/>
            <w:vAlign w:val="center"/>
          </w:tcPr>
          <w:p w14:paraId="7C8D2C30">
            <w:pPr>
              <w:jc w:val="right"/>
              <w:rPr>
                <w:rFonts w:ascii="Arial Narrow" w:hAnsi="Arial Narrow"/>
                <w:sz w:val="16"/>
                <w:szCs w:val="16"/>
              </w:rPr>
            </w:pPr>
          </w:p>
        </w:tc>
        <w:tc>
          <w:tcPr>
            <w:tcW w:w="448" w:type="pct"/>
            <w:vAlign w:val="center"/>
          </w:tcPr>
          <w:p w14:paraId="4EE5197C">
            <w:pPr>
              <w:jc w:val="right"/>
              <w:rPr>
                <w:rFonts w:ascii="Arial Narrow" w:hAnsi="Arial Narrow"/>
                <w:sz w:val="16"/>
                <w:szCs w:val="16"/>
              </w:rPr>
            </w:pPr>
            <w:r>
              <w:rPr>
                <w:rFonts w:ascii="Arial Narrow" w:hAnsi="Arial Narrow" w:eastAsia="等线"/>
                <w:color w:val="000000"/>
                <w:sz w:val="16"/>
                <w:szCs w:val="16"/>
              </w:rPr>
              <w:t xml:space="preserve">8,390,131.06 </w:t>
            </w:r>
          </w:p>
        </w:tc>
        <w:tc>
          <w:tcPr>
            <w:tcW w:w="505" w:type="pct"/>
            <w:vAlign w:val="center"/>
          </w:tcPr>
          <w:p w14:paraId="460F8130">
            <w:pPr>
              <w:jc w:val="right"/>
              <w:rPr>
                <w:rFonts w:ascii="Arial Narrow" w:hAnsi="Arial Narrow"/>
                <w:sz w:val="16"/>
                <w:szCs w:val="16"/>
              </w:rPr>
            </w:pPr>
            <w:r>
              <w:rPr>
                <w:rFonts w:ascii="Arial Narrow" w:hAnsi="Arial Narrow" w:eastAsia="等线"/>
                <w:color w:val="000000"/>
                <w:sz w:val="16"/>
                <w:szCs w:val="16"/>
              </w:rPr>
              <w:t xml:space="preserve">-140,139,013.18 </w:t>
            </w:r>
          </w:p>
        </w:tc>
        <w:tc>
          <w:tcPr>
            <w:tcW w:w="522" w:type="pct"/>
            <w:vAlign w:val="center"/>
          </w:tcPr>
          <w:p w14:paraId="5BDBF1CB">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476" w:type="pct"/>
            <w:vAlign w:val="center"/>
          </w:tcPr>
          <w:p w14:paraId="1FD7CD0B">
            <w:pPr>
              <w:jc w:val="right"/>
              <w:rPr>
                <w:rFonts w:ascii="Arial Narrow" w:hAnsi="Arial Narrow"/>
                <w:sz w:val="16"/>
                <w:szCs w:val="16"/>
              </w:rPr>
            </w:pPr>
            <w:r>
              <w:rPr>
                <w:rFonts w:ascii="Arial Narrow" w:hAnsi="Arial Narrow" w:eastAsia="等线"/>
                <w:color w:val="000000"/>
                <w:sz w:val="16"/>
                <w:szCs w:val="16"/>
              </w:rPr>
              <w:t xml:space="preserve">-5,594,507.03 </w:t>
            </w:r>
          </w:p>
        </w:tc>
        <w:tc>
          <w:tcPr>
            <w:tcW w:w="522" w:type="pct"/>
            <w:vAlign w:val="center"/>
          </w:tcPr>
          <w:p w14:paraId="34E1DFBC">
            <w:pPr>
              <w:jc w:val="right"/>
              <w:rPr>
                <w:rFonts w:ascii="Arial Narrow" w:hAnsi="Arial Narrow"/>
                <w:sz w:val="16"/>
                <w:szCs w:val="16"/>
              </w:rPr>
            </w:pPr>
            <w:r>
              <w:rPr>
                <w:rFonts w:ascii="Arial Narrow" w:hAnsi="Arial Narrow" w:eastAsia="等线"/>
                <w:color w:val="000000"/>
                <w:sz w:val="16"/>
                <w:szCs w:val="16"/>
              </w:rPr>
              <w:t xml:space="preserve">-137,343,389.15 </w:t>
            </w:r>
          </w:p>
        </w:tc>
      </w:tr>
      <w:tr w14:paraId="77BC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73a49eb420a24cdbb4f7f5ce05660344"/>
            <w:id w:val="823864773"/>
          </w:sdtPr>
          <w:sdtEndPr>
            <w:rPr>
              <w:sz w:val="16"/>
              <w:szCs w:val="16"/>
            </w:rPr>
          </w:sdtEndPr>
          <w:sdtContent>
            <w:tc>
              <w:tcPr>
                <w:tcW w:w="696" w:type="pct"/>
              </w:tcPr>
              <w:p w14:paraId="377C5987">
                <w:pPr>
                  <w:rPr>
                    <w:rFonts w:hint="eastAsia"/>
                    <w:sz w:val="16"/>
                    <w:szCs w:val="16"/>
                  </w:rPr>
                </w:pPr>
                <w:r>
                  <w:rPr>
                    <w:sz w:val="16"/>
                    <w:szCs w:val="16"/>
                  </w:rPr>
                  <w:t>1．提取盈余公积</w:t>
                </w:r>
              </w:p>
            </w:tc>
          </w:sdtContent>
        </w:sdt>
        <w:tc>
          <w:tcPr>
            <w:tcW w:w="493" w:type="pct"/>
            <w:vAlign w:val="center"/>
          </w:tcPr>
          <w:p w14:paraId="388353DB">
            <w:pPr>
              <w:jc w:val="right"/>
              <w:rPr>
                <w:rFonts w:ascii="Arial Narrow" w:hAnsi="Arial Narrow"/>
                <w:sz w:val="16"/>
                <w:szCs w:val="16"/>
              </w:rPr>
            </w:pPr>
          </w:p>
        </w:tc>
        <w:tc>
          <w:tcPr>
            <w:tcW w:w="493" w:type="pct"/>
            <w:vAlign w:val="center"/>
          </w:tcPr>
          <w:p w14:paraId="2134BACC">
            <w:pPr>
              <w:jc w:val="right"/>
              <w:rPr>
                <w:rFonts w:ascii="Arial Narrow" w:hAnsi="Arial Narrow"/>
                <w:sz w:val="16"/>
                <w:szCs w:val="16"/>
              </w:rPr>
            </w:pPr>
          </w:p>
        </w:tc>
        <w:tc>
          <w:tcPr>
            <w:tcW w:w="448" w:type="pct"/>
            <w:vAlign w:val="center"/>
          </w:tcPr>
          <w:p w14:paraId="7EEEED76">
            <w:pPr>
              <w:jc w:val="right"/>
              <w:rPr>
                <w:rFonts w:ascii="Arial Narrow" w:hAnsi="Arial Narrow"/>
                <w:sz w:val="16"/>
                <w:szCs w:val="16"/>
              </w:rPr>
            </w:pPr>
          </w:p>
        </w:tc>
        <w:tc>
          <w:tcPr>
            <w:tcW w:w="397" w:type="pct"/>
            <w:vAlign w:val="center"/>
          </w:tcPr>
          <w:p w14:paraId="2F18C167">
            <w:pPr>
              <w:jc w:val="right"/>
              <w:rPr>
                <w:rFonts w:ascii="Arial Narrow" w:hAnsi="Arial Narrow"/>
                <w:sz w:val="16"/>
                <w:szCs w:val="16"/>
              </w:rPr>
            </w:pPr>
          </w:p>
        </w:tc>
        <w:tc>
          <w:tcPr>
            <w:tcW w:w="448" w:type="pct"/>
            <w:vAlign w:val="center"/>
          </w:tcPr>
          <w:p w14:paraId="63C057DE">
            <w:pPr>
              <w:jc w:val="right"/>
              <w:rPr>
                <w:rFonts w:ascii="Arial Narrow" w:hAnsi="Arial Narrow"/>
                <w:sz w:val="16"/>
                <w:szCs w:val="16"/>
              </w:rPr>
            </w:pPr>
            <w:r>
              <w:rPr>
                <w:rFonts w:ascii="Arial Narrow" w:hAnsi="Arial Narrow" w:eastAsia="等线"/>
                <w:color w:val="000000"/>
                <w:sz w:val="16"/>
                <w:szCs w:val="16"/>
              </w:rPr>
              <w:t xml:space="preserve">8,390,131.06 </w:t>
            </w:r>
          </w:p>
        </w:tc>
        <w:tc>
          <w:tcPr>
            <w:tcW w:w="505" w:type="pct"/>
            <w:vAlign w:val="center"/>
          </w:tcPr>
          <w:p w14:paraId="64F7DC7A">
            <w:pPr>
              <w:jc w:val="right"/>
              <w:rPr>
                <w:rFonts w:ascii="Arial Narrow" w:hAnsi="Arial Narrow"/>
                <w:sz w:val="16"/>
                <w:szCs w:val="16"/>
              </w:rPr>
            </w:pPr>
            <w:r>
              <w:rPr>
                <w:rFonts w:ascii="Arial Narrow" w:hAnsi="Arial Narrow" w:eastAsia="等线"/>
                <w:color w:val="000000"/>
                <w:sz w:val="16"/>
                <w:szCs w:val="16"/>
              </w:rPr>
              <w:t xml:space="preserve">-8,390,131.06 </w:t>
            </w:r>
          </w:p>
        </w:tc>
        <w:tc>
          <w:tcPr>
            <w:tcW w:w="522" w:type="pct"/>
            <w:vAlign w:val="center"/>
          </w:tcPr>
          <w:p w14:paraId="13D225B1">
            <w:pPr>
              <w:jc w:val="right"/>
              <w:rPr>
                <w:rFonts w:ascii="Arial Narrow" w:hAnsi="Arial Narrow"/>
                <w:sz w:val="16"/>
                <w:szCs w:val="16"/>
              </w:rPr>
            </w:pPr>
          </w:p>
        </w:tc>
        <w:tc>
          <w:tcPr>
            <w:tcW w:w="476" w:type="pct"/>
            <w:vAlign w:val="center"/>
          </w:tcPr>
          <w:p w14:paraId="7FFCA3F4">
            <w:pPr>
              <w:jc w:val="right"/>
              <w:rPr>
                <w:rFonts w:ascii="Arial Narrow" w:hAnsi="Arial Narrow"/>
                <w:sz w:val="16"/>
                <w:szCs w:val="16"/>
              </w:rPr>
            </w:pPr>
          </w:p>
        </w:tc>
        <w:tc>
          <w:tcPr>
            <w:tcW w:w="522" w:type="pct"/>
            <w:vAlign w:val="center"/>
          </w:tcPr>
          <w:p w14:paraId="1A2AD1BC">
            <w:pPr>
              <w:jc w:val="right"/>
              <w:rPr>
                <w:rFonts w:ascii="Arial Narrow" w:hAnsi="Arial Narrow"/>
                <w:sz w:val="16"/>
                <w:szCs w:val="16"/>
              </w:rPr>
            </w:pPr>
          </w:p>
        </w:tc>
      </w:tr>
      <w:tr w14:paraId="13C3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d19b1d04bab14e67b22ee23afd215d76"/>
            <w:id w:val="572164363"/>
          </w:sdtPr>
          <w:sdtEndPr>
            <w:rPr>
              <w:sz w:val="16"/>
              <w:szCs w:val="16"/>
            </w:rPr>
          </w:sdtEndPr>
          <w:sdtContent>
            <w:tc>
              <w:tcPr>
                <w:tcW w:w="696" w:type="pct"/>
              </w:tcPr>
              <w:p w14:paraId="1EBBF6B4">
                <w:pPr>
                  <w:rPr>
                    <w:rFonts w:hint="eastAsia"/>
                    <w:sz w:val="16"/>
                    <w:szCs w:val="16"/>
                  </w:rPr>
                </w:pPr>
                <w:r>
                  <w:rPr>
                    <w:sz w:val="16"/>
                    <w:szCs w:val="16"/>
                  </w:rPr>
                  <w:t>3．对所有者（或股东）的分配</w:t>
                </w:r>
              </w:p>
            </w:tc>
          </w:sdtContent>
        </w:sdt>
        <w:tc>
          <w:tcPr>
            <w:tcW w:w="493" w:type="pct"/>
            <w:vAlign w:val="center"/>
          </w:tcPr>
          <w:p w14:paraId="2BF42804">
            <w:pPr>
              <w:jc w:val="right"/>
              <w:rPr>
                <w:rFonts w:ascii="Arial Narrow" w:hAnsi="Arial Narrow"/>
                <w:sz w:val="16"/>
                <w:szCs w:val="16"/>
              </w:rPr>
            </w:pPr>
          </w:p>
        </w:tc>
        <w:tc>
          <w:tcPr>
            <w:tcW w:w="493" w:type="pct"/>
            <w:vAlign w:val="center"/>
          </w:tcPr>
          <w:p w14:paraId="50AFE603">
            <w:pPr>
              <w:jc w:val="right"/>
              <w:rPr>
                <w:rFonts w:ascii="Arial Narrow" w:hAnsi="Arial Narrow"/>
                <w:sz w:val="16"/>
                <w:szCs w:val="16"/>
              </w:rPr>
            </w:pPr>
          </w:p>
        </w:tc>
        <w:tc>
          <w:tcPr>
            <w:tcW w:w="448" w:type="pct"/>
            <w:vAlign w:val="center"/>
          </w:tcPr>
          <w:p w14:paraId="0717E2A6">
            <w:pPr>
              <w:jc w:val="right"/>
              <w:rPr>
                <w:rFonts w:ascii="Arial Narrow" w:hAnsi="Arial Narrow"/>
                <w:sz w:val="16"/>
                <w:szCs w:val="16"/>
              </w:rPr>
            </w:pPr>
          </w:p>
        </w:tc>
        <w:tc>
          <w:tcPr>
            <w:tcW w:w="397" w:type="pct"/>
            <w:vAlign w:val="center"/>
          </w:tcPr>
          <w:p w14:paraId="3A5EC0D0">
            <w:pPr>
              <w:jc w:val="right"/>
              <w:rPr>
                <w:rFonts w:ascii="Arial Narrow" w:hAnsi="Arial Narrow"/>
                <w:sz w:val="16"/>
                <w:szCs w:val="16"/>
              </w:rPr>
            </w:pPr>
          </w:p>
        </w:tc>
        <w:tc>
          <w:tcPr>
            <w:tcW w:w="448" w:type="pct"/>
            <w:vAlign w:val="center"/>
          </w:tcPr>
          <w:p w14:paraId="6017C27A">
            <w:pPr>
              <w:jc w:val="right"/>
              <w:rPr>
                <w:rFonts w:ascii="Arial Narrow" w:hAnsi="Arial Narrow"/>
                <w:sz w:val="16"/>
                <w:szCs w:val="16"/>
              </w:rPr>
            </w:pPr>
          </w:p>
        </w:tc>
        <w:tc>
          <w:tcPr>
            <w:tcW w:w="505" w:type="pct"/>
            <w:vAlign w:val="center"/>
          </w:tcPr>
          <w:p w14:paraId="0A8CB723">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522" w:type="pct"/>
            <w:vAlign w:val="center"/>
          </w:tcPr>
          <w:p w14:paraId="535A7402">
            <w:pPr>
              <w:jc w:val="right"/>
              <w:rPr>
                <w:rFonts w:ascii="Arial Narrow" w:hAnsi="Arial Narrow"/>
                <w:sz w:val="16"/>
                <w:szCs w:val="16"/>
              </w:rPr>
            </w:pPr>
            <w:r>
              <w:rPr>
                <w:rFonts w:ascii="Arial Narrow" w:hAnsi="Arial Narrow" w:eastAsia="等线"/>
                <w:color w:val="000000"/>
                <w:sz w:val="16"/>
                <w:szCs w:val="16"/>
              </w:rPr>
              <w:t xml:space="preserve">-131,748,882.12 </w:t>
            </w:r>
          </w:p>
        </w:tc>
        <w:tc>
          <w:tcPr>
            <w:tcW w:w="476" w:type="pct"/>
            <w:vAlign w:val="center"/>
          </w:tcPr>
          <w:p w14:paraId="502156B4">
            <w:pPr>
              <w:jc w:val="right"/>
              <w:rPr>
                <w:rFonts w:ascii="Arial Narrow" w:hAnsi="Arial Narrow"/>
                <w:sz w:val="16"/>
                <w:szCs w:val="16"/>
              </w:rPr>
            </w:pPr>
            <w:r>
              <w:rPr>
                <w:rFonts w:ascii="Arial Narrow" w:hAnsi="Arial Narrow" w:eastAsia="等线"/>
                <w:color w:val="000000"/>
                <w:sz w:val="16"/>
                <w:szCs w:val="16"/>
              </w:rPr>
              <w:t xml:space="preserve">-5,594,507.03 </w:t>
            </w:r>
          </w:p>
        </w:tc>
        <w:tc>
          <w:tcPr>
            <w:tcW w:w="522" w:type="pct"/>
            <w:vAlign w:val="center"/>
          </w:tcPr>
          <w:p w14:paraId="2A081966">
            <w:pPr>
              <w:jc w:val="right"/>
              <w:rPr>
                <w:rFonts w:ascii="Arial Narrow" w:hAnsi="Arial Narrow"/>
                <w:sz w:val="16"/>
                <w:szCs w:val="16"/>
              </w:rPr>
            </w:pPr>
            <w:r>
              <w:rPr>
                <w:rFonts w:ascii="Arial Narrow" w:hAnsi="Arial Narrow" w:eastAsia="等线"/>
                <w:color w:val="000000"/>
                <w:sz w:val="16"/>
                <w:szCs w:val="16"/>
              </w:rPr>
              <w:t xml:space="preserve">-137,343,389.15 </w:t>
            </w:r>
          </w:p>
        </w:tc>
      </w:tr>
      <w:tr w14:paraId="5817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6e5628e129d04d23a2d71da503cecfdd"/>
            <w:id w:val="-851721756"/>
          </w:sdtPr>
          <w:sdtEndPr>
            <w:rPr>
              <w:sz w:val="16"/>
              <w:szCs w:val="16"/>
            </w:rPr>
          </w:sdtEndPr>
          <w:sdtContent>
            <w:tc>
              <w:tcPr>
                <w:tcW w:w="696" w:type="pct"/>
              </w:tcPr>
              <w:p w14:paraId="40E2B948">
                <w:pPr>
                  <w:rPr>
                    <w:rFonts w:hint="eastAsia"/>
                    <w:sz w:val="16"/>
                    <w:szCs w:val="16"/>
                  </w:rPr>
                </w:pPr>
                <w:r>
                  <w:rPr>
                    <w:sz w:val="16"/>
                    <w:szCs w:val="16"/>
                  </w:rPr>
                  <w:t>4．其他</w:t>
                </w:r>
              </w:p>
            </w:tc>
          </w:sdtContent>
        </w:sdt>
        <w:tc>
          <w:tcPr>
            <w:tcW w:w="493" w:type="pct"/>
            <w:vAlign w:val="center"/>
          </w:tcPr>
          <w:p w14:paraId="54EACFDA">
            <w:pPr>
              <w:jc w:val="right"/>
              <w:rPr>
                <w:rFonts w:ascii="Arial Narrow" w:hAnsi="Arial Narrow"/>
                <w:sz w:val="16"/>
                <w:szCs w:val="16"/>
              </w:rPr>
            </w:pPr>
          </w:p>
        </w:tc>
        <w:tc>
          <w:tcPr>
            <w:tcW w:w="493" w:type="pct"/>
            <w:vAlign w:val="center"/>
          </w:tcPr>
          <w:p w14:paraId="4F34D016">
            <w:pPr>
              <w:jc w:val="right"/>
              <w:rPr>
                <w:rFonts w:ascii="Arial Narrow" w:hAnsi="Arial Narrow"/>
                <w:sz w:val="16"/>
                <w:szCs w:val="16"/>
              </w:rPr>
            </w:pPr>
          </w:p>
        </w:tc>
        <w:tc>
          <w:tcPr>
            <w:tcW w:w="448" w:type="pct"/>
            <w:vAlign w:val="center"/>
          </w:tcPr>
          <w:p w14:paraId="381FB96E">
            <w:pPr>
              <w:jc w:val="right"/>
              <w:rPr>
                <w:rFonts w:ascii="Arial Narrow" w:hAnsi="Arial Narrow"/>
                <w:sz w:val="16"/>
                <w:szCs w:val="16"/>
              </w:rPr>
            </w:pPr>
          </w:p>
        </w:tc>
        <w:tc>
          <w:tcPr>
            <w:tcW w:w="397" w:type="pct"/>
            <w:vAlign w:val="center"/>
          </w:tcPr>
          <w:p w14:paraId="341977D8">
            <w:pPr>
              <w:jc w:val="right"/>
              <w:rPr>
                <w:rFonts w:ascii="Arial Narrow" w:hAnsi="Arial Narrow"/>
                <w:sz w:val="16"/>
                <w:szCs w:val="16"/>
              </w:rPr>
            </w:pPr>
          </w:p>
        </w:tc>
        <w:tc>
          <w:tcPr>
            <w:tcW w:w="448" w:type="pct"/>
            <w:vAlign w:val="center"/>
          </w:tcPr>
          <w:p w14:paraId="50176CDD">
            <w:pPr>
              <w:jc w:val="right"/>
              <w:rPr>
                <w:rFonts w:ascii="Arial Narrow" w:hAnsi="Arial Narrow"/>
                <w:sz w:val="16"/>
                <w:szCs w:val="16"/>
              </w:rPr>
            </w:pPr>
          </w:p>
        </w:tc>
        <w:tc>
          <w:tcPr>
            <w:tcW w:w="505" w:type="pct"/>
            <w:vAlign w:val="center"/>
          </w:tcPr>
          <w:p w14:paraId="2DB83A7F">
            <w:pPr>
              <w:jc w:val="right"/>
              <w:rPr>
                <w:rFonts w:ascii="Arial Narrow" w:hAnsi="Arial Narrow"/>
                <w:sz w:val="16"/>
                <w:szCs w:val="16"/>
              </w:rPr>
            </w:pPr>
          </w:p>
        </w:tc>
        <w:tc>
          <w:tcPr>
            <w:tcW w:w="522" w:type="pct"/>
            <w:vAlign w:val="center"/>
          </w:tcPr>
          <w:p w14:paraId="0FA8D64F">
            <w:pPr>
              <w:jc w:val="right"/>
              <w:rPr>
                <w:rFonts w:ascii="Arial Narrow" w:hAnsi="Arial Narrow"/>
                <w:sz w:val="16"/>
                <w:szCs w:val="16"/>
              </w:rPr>
            </w:pPr>
          </w:p>
        </w:tc>
        <w:tc>
          <w:tcPr>
            <w:tcW w:w="476" w:type="pct"/>
            <w:vAlign w:val="center"/>
          </w:tcPr>
          <w:p w14:paraId="5B3242B4">
            <w:pPr>
              <w:jc w:val="right"/>
              <w:rPr>
                <w:rFonts w:ascii="Arial Narrow" w:hAnsi="Arial Narrow"/>
                <w:sz w:val="16"/>
                <w:szCs w:val="16"/>
              </w:rPr>
            </w:pPr>
          </w:p>
        </w:tc>
        <w:tc>
          <w:tcPr>
            <w:tcW w:w="522" w:type="pct"/>
            <w:vAlign w:val="center"/>
          </w:tcPr>
          <w:p w14:paraId="3235E176">
            <w:pPr>
              <w:jc w:val="right"/>
              <w:rPr>
                <w:rFonts w:ascii="Arial Narrow" w:hAnsi="Arial Narrow"/>
                <w:sz w:val="16"/>
                <w:szCs w:val="16"/>
              </w:rPr>
            </w:pPr>
          </w:p>
        </w:tc>
      </w:tr>
      <w:tr w14:paraId="0736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a953b61d69004a7a91974afa1318df0a"/>
            <w:id w:val="-1371227245"/>
          </w:sdtPr>
          <w:sdtEndPr>
            <w:rPr>
              <w:sz w:val="16"/>
              <w:szCs w:val="16"/>
            </w:rPr>
          </w:sdtEndPr>
          <w:sdtContent>
            <w:tc>
              <w:tcPr>
                <w:tcW w:w="696" w:type="pct"/>
              </w:tcPr>
              <w:p w14:paraId="0EDFEDAE">
                <w:pPr>
                  <w:rPr>
                    <w:rFonts w:hint="eastAsia"/>
                    <w:sz w:val="16"/>
                    <w:szCs w:val="16"/>
                  </w:rPr>
                </w:pPr>
                <w:r>
                  <w:rPr>
                    <w:sz w:val="16"/>
                    <w:szCs w:val="16"/>
                  </w:rPr>
                  <w:t>（</w:t>
                </w:r>
                <w:r>
                  <w:rPr>
                    <w:rFonts w:hint="eastAsia"/>
                    <w:sz w:val="16"/>
                    <w:szCs w:val="16"/>
                  </w:rPr>
                  <w:t>四</w:t>
                </w:r>
                <w:r>
                  <w:rPr>
                    <w:sz w:val="16"/>
                    <w:szCs w:val="16"/>
                  </w:rPr>
                  <w:t>）所有者权益内部结转</w:t>
                </w:r>
              </w:p>
            </w:tc>
          </w:sdtContent>
        </w:sdt>
        <w:tc>
          <w:tcPr>
            <w:tcW w:w="493" w:type="pct"/>
            <w:vAlign w:val="center"/>
          </w:tcPr>
          <w:p w14:paraId="3FADEC80">
            <w:pPr>
              <w:jc w:val="right"/>
              <w:rPr>
                <w:rFonts w:ascii="Arial Narrow" w:hAnsi="Arial Narrow"/>
                <w:sz w:val="16"/>
                <w:szCs w:val="16"/>
              </w:rPr>
            </w:pPr>
          </w:p>
        </w:tc>
        <w:tc>
          <w:tcPr>
            <w:tcW w:w="493" w:type="pct"/>
            <w:vAlign w:val="center"/>
          </w:tcPr>
          <w:p w14:paraId="0E56BE7F">
            <w:pPr>
              <w:jc w:val="right"/>
              <w:rPr>
                <w:rFonts w:ascii="Arial Narrow" w:hAnsi="Arial Narrow"/>
                <w:sz w:val="16"/>
                <w:szCs w:val="16"/>
              </w:rPr>
            </w:pPr>
          </w:p>
        </w:tc>
        <w:tc>
          <w:tcPr>
            <w:tcW w:w="448" w:type="pct"/>
            <w:vAlign w:val="center"/>
          </w:tcPr>
          <w:p w14:paraId="30D6D95E">
            <w:pPr>
              <w:jc w:val="right"/>
              <w:rPr>
                <w:rFonts w:ascii="Arial Narrow" w:hAnsi="Arial Narrow"/>
                <w:sz w:val="16"/>
                <w:szCs w:val="16"/>
              </w:rPr>
            </w:pPr>
            <w:r>
              <w:rPr>
                <w:rFonts w:ascii="Arial Narrow" w:hAnsi="Arial Narrow" w:eastAsia="等线"/>
                <w:color w:val="000000"/>
                <w:sz w:val="16"/>
                <w:szCs w:val="16"/>
              </w:rPr>
              <w:t xml:space="preserve">-25,971,952.74 </w:t>
            </w:r>
          </w:p>
        </w:tc>
        <w:tc>
          <w:tcPr>
            <w:tcW w:w="397" w:type="pct"/>
            <w:vAlign w:val="center"/>
          </w:tcPr>
          <w:p w14:paraId="3D5DACB6">
            <w:pPr>
              <w:jc w:val="right"/>
              <w:rPr>
                <w:rFonts w:ascii="Arial Narrow" w:hAnsi="Arial Narrow"/>
                <w:sz w:val="16"/>
                <w:szCs w:val="16"/>
              </w:rPr>
            </w:pPr>
          </w:p>
        </w:tc>
        <w:tc>
          <w:tcPr>
            <w:tcW w:w="448" w:type="pct"/>
            <w:vAlign w:val="center"/>
          </w:tcPr>
          <w:p w14:paraId="4DB7997C">
            <w:pPr>
              <w:jc w:val="right"/>
              <w:rPr>
                <w:rFonts w:ascii="Arial Narrow" w:hAnsi="Arial Narrow"/>
                <w:sz w:val="16"/>
                <w:szCs w:val="16"/>
              </w:rPr>
            </w:pPr>
          </w:p>
        </w:tc>
        <w:tc>
          <w:tcPr>
            <w:tcW w:w="505" w:type="pct"/>
            <w:vAlign w:val="center"/>
          </w:tcPr>
          <w:p w14:paraId="1787FBF2">
            <w:pPr>
              <w:jc w:val="right"/>
              <w:rPr>
                <w:rFonts w:ascii="Arial Narrow" w:hAnsi="Arial Narrow"/>
                <w:sz w:val="16"/>
                <w:szCs w:val="16"/>
              </w:rPr>
            </w:pPr>
            <w:r>
              <w:rPr>
                <w:rFonts w:ascii="Arial Narrow" w:hAnsi="Arial Narrow" w:eastAsia="等线"/>
                <w:color w:val="000000"/>
                <w:sz w:val="16"/>
                <w:szCs w:val="16"/>
              </w:rPr>
              <w:t xml:space="preserve">25,971,952.74 </w:t>
            </w:r>
          </w:p>
        </w:tc>
        <w:tc>
          <w:tcPr>
            <w:tcW w:w="522" w:type="pct"/>
            <w:vAlign w:val="center"/>
          </w:tcPr>
          <w:p w14:paraId="56D93AD8">
            <w:pPr>
              <w:jc w:val="right"/>
              <w:rPr>
                <w:rFonts w:ascii="Arial Narrow" w:hAnsi="Arial Narrow"/>
                <w:sz w:val="16"/>
                <w:szCs w:val="16"/>
              </w:rPr>
            </w:pPr>
          </w:p>
        </w:tc>
        <w:tc>
          <w:tcPr>
            <w:tcW w:w="476" w:type="pct"/>
            <w:vAlign w:val="center"/>
          </w:tcPr>
          <w:p w14:paraId="66B358B1">
            <w:pPr>
              <w:jc w:val="right"/>
              <w:rPr>
                <w:rFonts w:ascii="Arial Narrow" w:hAnsi="Arial Narrow"/>
                <w:sz w:val="16"/>
                <w:szCs w:val="16"/>
              </w:rPr>
            </w:pPr>
          </w:p>
        </w:tc>
        <w:tc>
          <w:tcPr>
            <w:tcW w:w="522" w:type="pct"/>
            <w:vAlign w:val="center"/>
          </w:tcPr>
          <w:p w14:paraId="095E718B">
            <w:pPr>
              <w:jc w:val="right"/>
              <w:rPr>
                <w:rFonts w:ascii="Arial Narrow" w:hAnsi="Arial Narrow"/>
                <w:sz w:val="16"/>
                <w:szCs w:val="16"/>
              </w:rPr>
            </w:pPr>
          </w:p>
        </w:tc>
      </w:tr>
      <w:tr w14:paraId="22D9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pct"/>
          </w:tcPr>
          <w:sdt>
            <w:sdtPr>
              <w:rPr>
                <w:sz w:val="16"/>
                <w:szCs w:val="16"/>
              </w:rPr>
              <w:tag w:val="_PLD_0259028a18dd4c059a8b77a9e4fe86f9"/>
              <w:id w:val="1309977102"/>
            </w:sdtPr>
            <w:sdtEndPr>
              <w:rPr>
                <w:sz w:val="16"/>
                <w:szCs w:val="16"/>
              </w:rPr>
            </w:sdtEndPr>
            <w:sdtContent>
              <w:p w14:paraId="08F62268">
                <w:pPr>
                  <w:rPr>
                    <w:rFonts w:hint="eastAsia"/>
                    <w:sz w:val="16"/>
                    <w:szCs w:val="16"/>
                  </w:rPr>
                </w:pPr>
                <w:r>
                  <w:rPr>
                    <w:sz w:val="16"/>
                    <w:szCs w:val="16"/>
                  </w:rPr>
                  <w:t>5．其他综合收益结转留存收益</w:t>
                </w:r>
              </w:p>
            </w:sdtContent>
          </w:sdt>
        </w:tc>
        <w:tc>
          <w:tcPr>
            <w:tcW w:w="493" w:type="pct"/>
            <w:vAlign w:val="center"/>
          </w:tcPr>
          <w:p w14:paraId="6592A354">
            <w:pPr>
              <w:jc w:val="right"/>
              <w:rPr>
                <w:rFonts w:ascii="Arial Narrow" w:hAnsi="Arial Narrow"/>
                <w:sz w:val="16"/>
                <w:szCs w:val="16"/>
              </w:rPr>
            </w:pPr>
          </w:p>
        </w:tc>
        <w:tc>
          <w:tcPr>
            <w:tcW w:w="493" w:type="pct"/>
            <w:vAlign w:val="center"/>
          </w:tcPr>
          <w:p w14:paraId="4590CC85">
            <w:pPr>
              <w:jc w:val="right"/>
              <w:rPr>
                <w:rFonts w:ascii="Arial Narrow" w:hAnsi="Arial Narrow"/>
                <w:sz w:val="16"/>
                <w:szCs w:val="16"/>
              </w:rPr>
            </w:pPr>
          </w:p>
        </w:tc>
        <w:tc>
          <w:tcPr>
            <w:tcW w:w="448" w:type="pct"/>
            <w:vAlign w:val="center"/>
          </w:tcPr>
          <w:p w14:paraId="5F02DF95">
            <w:pPr>
              <w:jc w:val="right"/>
              <w:rPr>
                <w:rFonts w:ascii="Arial Narrow" w:hAnsi="Arial Narrow"/>
                <w:sz w:val="16"/>
                <w:szCs w:val="16"/>
              </w:rPr>
            </w:pPr>
            <w:r>
              <w:rPr>
                <w:rFonts w:ascii="Arial Narrow" w:hAnsi="Arial Narrow" w:eastAsia="等线"/>
                <w:color w:val="000000"/>
                <w:sz w:val="16"/>
                <w:szCs w:val="16"/>
              </w:rPr>
              <w:t xml:space="preserve">-25,538,196.45 </w:t>
            </w:r>
          </w:p>
        </w:tc>
        <w:tc>
          <w:tcPr>
            <w:tcW w:w="397" w:type="pct"/>
            <w:vAlign w:val="center"/>
          </w:tcPr>
          <w:p w14:paraId="0C484C18">
            <w:pPr>
              <w:jc w:val="right"/>
              <w:rPr>
                <w:rFonts w:ascii="Arial Narrow" w:hAnsi="Arial Narrow"/>
                <w:sz w:val="16"/>
                <w:szCs w:val="16"/>
              </w:rPr>
            </w:pPr>
          </w:p>
        </w:tc>
        <w:tc>
          <w:tcPr>
            <w:tcW w:w="448" w:type="pct"/>
            <w:vAlign w:val="center"/>
          </w:tcPr>
          <w:p w14:paraId="4C9BFCF3">
            <w:pPr>
              <w:jc w:val="right"/>
              <w:rPr>
                <w:rFonts w:ascii="Arial Narrow" w:hAnsi="Arial Narrow"/>
                <w:sz w:val="16"/>
                <w:szCs w:val="16"/>
              </w:rPr>
            </w:pPr>
          </w:p>
        </w:tc>
        <w:tc>
          <w:tcPr>
            <w:tcW w:w="505" w:type="pct"/>
            <w:vAlign w:val="center"/>
          </w:tcPr>
          <w:p w14:paraId="1743D404">
            <w:pPr>
              <w:jc w:val="right"/>
              <w:rPr>
                <w:rFonts w:ascii="Arial Narrow" w:hAnsi="Arial Narrow"/>
                <w:sz w:val="16"/>
                <w:szCs w:val="16"/>
              </w:rPr>
            </w:pPr>
            <w:r>
              <w:rPr>
                <w:rFonts w:ascii="Arial Narrow" w:hAnsi="Arial Narrow" w:eastAsia="等线"/>
                <w:color w:val="000000"/>
                <w:sz w:val="16"/>
                <w:szCs w:val="16"/>
              </w:rPr>
              <w:t xml:space="preserve">25,538,196.45 </w:t>
            </w:r>
          </w:p>
        </w:tc>
        <w:tc>
          <w:tcPr>
            <w:tcW w:w="522" w:type="pct"/>
            <w:vAlign w:val="center"/>
          </w:tcPr>
          <w:p w14:paraId="202959D9">
            <w:pPr>
              <w:jc w:val="right"/>
              <w:rPr>
                <w:rFonts w:ascii="Arial Narrow" w:hAnsi="Arial Narrow"/>
                <w:sz w:val="16"/>
                <w:szCs w:val="16"/>
              </w:rPr>
            </w:pPr>
          </w:p>
        </w:tc>
        <w:tc>
          <w:tcPr>
            <w:tcW w:w="476" w:type="pct"/>
            <w:vAlign w:val="center"/>
          </w:tcPr>
          <w:p w14:paraId="6D689CBE">
            <w:pPr>
              <w:jc w:val="right"/>
              <w:rPr>
                <w:rFonts w:ascii="Arial Narrow" w:hAnsi="Arial Narrow"/>
                <w:sz w:val="16"/>
                <w:szCs w:val="16"/>
              </w:rPr>
            </w:pPr>
          </w:p>
        </w:tc>
        <w:tc>
          <w:tcPr>
            <w:tcW w:w="522" w:type="pct"/>
            <w:vAlign w:val="center"/>
          </w:tcPr>
          <w:p w14:paraId="615206BA">
            <w:pPr>
              <w:jc w:val="right"/>
              <w:rPr>
                <w:rFonts w:ascii="Arial Narrow" w:hAnsi="Arial Narrow"/>
                <w:sz w:val="16"/>
                <w:szCs w:val="16"/>
              </w:rPr>
            </w:pPr>
          </w:p>
        </w:tc>
      </w:tr>
      <w:tr w14:paraId="05BB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5844253ac18b45ceaa765e5b2f55d052"/>
            <w:id w:val="877432833"/>
          </w:sdtPr>
          <w:sdtEndPr>
            <w:rPr>
              <w:sz w:val="16"/>
              <w:szCs w:val="16"/>
            </w:rPr>
          </w:sdtEndPr>
          <w:sdtContent>
            <w:tc>
              <w:tcPr>
                <w:tcW w:w="696" w:type="pct"/>
              </w:tcPr>
              <w:p w14:paraId="7B233FE9">
                <w:pPr>
                  <w:rPr>
                    <w:rFonts w:hint="eastAsia"/>
                    <w:sz w:val="16"/>
                    <w:szCs w:val="16"/>
                  </w:rPr>
                </w:pPr>
                <w:r>
                  <w:rPr>
                    <w:sz w:val="16"/>
                    <w:szCs w:val="16"/>
                  </w:rPr>
                  <w:t>6．其他</w:t>
                </w:r>
              </w:p>
            </w:tc>
          </w:sdtContent>
        </w:sdt>
        <w:tc>
          <w:tcPr>
            <w:tcW w:w="493" w:type="pct"/>
            <w:vAlign w:val="center"/>
          </w:tcPr>
          <w:p w14:paraId="1257C336">
            <w:pPr>
              <w:jc w:val="right"/>
              <w:rPr>
                <w:rFonts w:ascii="Arial Narrow" w:hAnsi="Arial Narrow"/>
                <w:sz w:val="16"/>
                <w:szCs w:val="16"/>
              </w:rPr>
            </w:pPr>
          </w:p>
        </w:tc>
        <w:tc>
          <w:tcPr>
            <w:tcW w:w="493" w:type="pct"/>
            <w:vAlign w:val="center"/>
          </w:tcPr>
          <w:p w14:paraId="4BE8A1F1">
            <w:pPr>
              <w:jc w:val="right"/>
              <w:rPr>
                <w:rFonts w:ascii="Arial Narrow" w:hAnsi="Arial Narrow"/>
                <w:sz w:val="16"/>
                <w:szCs w:val="16"/>
              </w:rPr>
            </w:pPr>
          </w:p>
        </w:tc>
        <w:tc>
          <w:tcPr>
            <w:tcW w:w="448" w:type="pct"/>
            <w:vAlign w:val="center"/>
          </w:tcPr>
          <w:p w14:paraId="369984A6">
            <w:pPr>
              <w:jc w:val="right"/>
              <w:rPr>
                <w:rFonts w:ascii="Arial Narrow" w:hAnsi="Arial Narrow"/>
                <w:sz w:val="16"/>
                <w:szCs w:val="16"/>
              </w:rPr>
            </w:pPr>
            <w:r>
              <w:rPr>
                <w:rFonts w:ascii="Arial Narrow" w:hAnsi="Arial Narrow" w:eastAsia="等线"/>
                <w:color w:val="000000"/>
                <w:sz w:val="16"/>
                <w:szCs w:val="16"/>
              </w:rPr>
              <w:t xml:space="preserve">-433,756.29 </w:t>
            </w:r>
          </w:p>
        </w:tc>
        <w:tc>
          <w:tcPr>
            <w:tcW w:w="397" w:type="pct"/>
            <w:vAlign w:val="center"/>
          </w:tcPr>
          <w:p w14:paraId="3A82B5F0">
            <w:pPr>
              <w:jc w:val="right"/>
              <w:rPr>
                <w:rFonts w:ascii="Arial Narrow" w:hAnsi="Arial Narrow"/>
                <w:sz w:val="16"/>
                <w:szCs w:val="16"/>
              </w:rPr>
            </w:pPr>
          </w:p>
        </w:tc>
        <w:tc>
          <w:tcPr>
            <w:tcW w:w="448" w:type="pct"/>
            <w:vAlign w:val="center"/>
          </w:tcPr>
          <w:p w14:paraId="438A85AA">
            <w:pPr>
              <w:jc w:val="right"/>
              <w:rPr>
                <w:rFonts w:ascii="Arial Narrow" w:hAnsi="Arial Narrow"/>
                <w:sz w:val="16"/>
                <w:szCs w:val="16"/>
              </w:rPr>
            </w:pPr>
          </w:p>
        </w:tc>
        <w:tc>
          <w:tcPr>
            <w:tcW w:w="505" w:type="pct"/>
            <w:vAlign w:val="center"/>
          </w:tcPr>
          <w:p w14:paraId="34369D8E">
            <w:pPr>
              <w:jc w:val="right"/>
              <w:rPr>
                <w:rFonts w:ascii="Arial Narrow" w:hAnsi="Arial Narrow"/>
                <w:sz w:val="16"/>
                <w:szCs w:val="16"/>
              </w:rPr>
            </w:pPr>
            <w:r>
              <w:rPr>
                <w:rFonts w:ascii="Arial Narrow" w:hAnsi="Arial Narrow" w:eastAsia="等线"/>
                <w:color w:val="000000"/>
                <w:sz w:val="16"/>
                <w:szCs w:val="16"/>
              </w:rPr>
              <w:t xml:space="preserve">433,756.29 </w:t>
            </w:r>
          </w:p>
        </w:tc>
        <w:tc>
          <w:tcPr>
            <w:tcW w:w="522" w:type="pct"/>
            <w:vAlign w:val="center"/>
          </w:tcPr>
          <w:p w14:paraId="2E471F69">
            <w:pPr>
              <w:jc w:val="right"/>
              <w:rPr>
                <w:rFonts w:ascii="Arial Narrow" w:hAnsi="Arial Narrow"/>
                <w:sz w:val="16"/>
                <w:szCs w:val="16"/>
              </w:rPr>
            </w:pPr>
          </w:p>
        </w:tc>
        <w:tc>
          <w:tcPr>
            <w:tcW w:w="476" w:type="pct"/>
            <w:vAlign w:val="center"/>
          </w:tcPr>
          <w:p w14:paraId="798CDC47">
            <w:pPr>
              <w:jc w:val="right"/>
              <w:rPr>
                <w:rFonts w:ascii="Arial Narrow" w:hAnsi="Arial Narrow"/>
                <w:sz w:val="16"/>
                <w:szCs w:val="16"/>
              </w:rPr>
            </w:pPr>
          </w:p>
        </w:tc>
        <w:tc>
          <w:tcPr>
            <w:tcW w:w="522" w:type="pct"/>
            <w:vAlign w:val="center"/>
          </w:tcPr>
          <w:p w14:paraId="2BEB8788">
            <w:pPr>
              <w:jc w:val="right"/>
              <w:rPr>
                <w:rFonts w:ascii="Arial Narrow" w:hAnsi="Arial Narrow"/>
                <w:sz w:val="16"/>
                <w:szCs w:val="16"/>
              </w:rPr>
            </w:pPr>
          </w:p>
        </w:tc>
      </w:tr>
      <w:tr w14:paraId="2A1C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3bbf2260615f4991a49bda77fd1fc28b"/>
            <w:id w:val="-978838853"/>
          </w:sdtPr>
          <w:sdtEndPr>
            <w:rPr>
              <w:sz w:val="16"/>
              <w:szCs w:val="16"/>
            </w:rPr>
          </w:sdtEndPr>
          <w:sdtContent>
            <w:tc>
              <w:tcPr>
                <w:tcW w:w="696" w:type="pct"/>
              </w:tcPr>
              <w:p w14:paraId="7849E12F">
                <w:pPr>
                  <w:rPr>
                    <w:rFonts w:hint="eastAsia"/>
                    <w:sz w:val="16"/>
                    <w:szCs w:val="16"/>
                  </w:rPr>
                </w:pPr>
                <w:r>
                  <w:rPr>
                    <w:rFonts w:hint="eastAsia"/>
                    <w:sz w:val="16"/>
                    <w:szCs w:val="16"/>
                  </w:rPr>
                  <w:t>（五）专项储备</w:t>
                </w:r>
              </w:p>
            </w:tc>
          </w:sdtContent>
        </w:sdt>
        <w:tc>
          <w:tcPr>
            <w:tcW w:w="493" w:type="pct"/>
            <w:vAlign w:val="center"/>
          </w:tcPr>
          <w:p w14:paraId="4550B073">
            <w:pPr>
              <w:jc w:val="right"/>
              <w:rPr>
                <w:rFonts w:ascii="Arial Narrow" w:hAnsi="Arial Narrow"/>
                <w:sz w:val="16"/>
                <w:szCs w:val="16"/>
              </w:rPr>
            </w:pPr>
          </w:p>
        </w:tc>
        <w:tc>
          <w:tcPr>
            <w:tcW w:w="493" w:type="pct"/>
            <w:vAlign w:val="center"/>
          </w:tcPr>
          <w:p w14:paraId="438E06AA">
            <w:pPr>
              <w:jc w:val="right"/>
              <w:rPr>
                <w:rFonts w:ascii="Arial Narrow" w:hAnsi="Arial Narrow"/>
                <w:sz w:val="16"/>
                <w:szCs w:val="16"/>
              </w:rPr>
            </w:pPr>
          </w:p>
        </w:tc>
        <w:tc>
          <w:tcPr>
            <w:tcW w:w="448" w:type="pct"/>
            <w:vAlign w:val="center"/>
          </w:tcPr>
          <w:p w14:paraId="3AA28E43">
            <w:pPr>
              <w:jc w:val="right"/>
              <w:rPr>
                <w:rFonts w:ascii="Arial Narrow" w:hAnsi="Arial Narrow"/>
                <w:sz w:val="16"/>
                <w:szCs w:val="16"/>
              </w:rPr>
            </w:pPr>
          </w:p>
        </w:tc>
        <w:tc>
          <w:tcPr>
            <w:tcW w:w="397" w:type="pct"/>
            <w:vAlign w:val="center"/>
          </w:tcPr>
          <w:p w14:paraId="09386667">
            <w:pPr>
              <w:jc w:val="right"/>
              <w:rPr>
                <w:rFonts w:ascii="Arial Narrow" w:hAnsi="Arial Narrow"/>
                <w:sz w:val="16"/>
                <w:szCs w:val="16"/>
              </w:rPr>
            </w:pPr>
          </w:p>
        </w:tc>
        <w:tc>
          <w:tcPr>
            <w:tcW w:w="448" w:type="pct"/>
            <w:vAlign w:val="center"/>
          </w:tcPr>
          <w:p w14:paraId="53BD2A86">
            <w:pPr>
              <w:jc w:val="right"/>
              <w:rPr>
                <w:rFonts w:ascii="Arial Narrow" w:hAnsi="Arial Narrow"/>
                <w:sz w:val="16"/>
                <w:szCs w:val="16"/>
              </w:rPr>
            </w:pPr>
          </w:p>
        </w:tc>
        <w:tc>
          <w:tcPr>
            <w:tcW w:w="505" w:type="pct"/>
            <w:vAlign w:val="center"/>
          </w:tcPr>
          <w:p w14:paraId="1B153DDC">
            <w:pPr>
              <w:jc w:val="right"/>
              <w:rPr>
                <w:rFonts w:ascii="Arial Narrow" w:hAnsi="Arial Narrow"/>
                <w:sz w:val="16"/>
                <w:szCs w:val="16"/>
              </w:rPr>
            </w:pPr>
          </w:p>
        </w:tc>
        <w:tc>
          <w:tcPr>
            <w:tcW w:w="522" w:type="pct"/>
            <w:vAlign w:val="center"/>
          </w:tcPr>
          <w:p w14:paraId="18F2D8F9">
            <w:pPr>
              <w:jc w:val="right"/>
              <w:rPr>
                <w:rFonts w:ascii="Arial Narrow" w:hAnsi="Arial Narrow"/>
                <w:sz w:val="16"/>
                <w:szCs w:val="16"/>
              </w:rPr>
            </w:pPr>
          </w:p>
        </w:tc>
        <w:tc>
          <w:tcPr>
            <w:tcW w:w="476" w:type="pct"/>
            <w:vAlign w:val="center"/>
          </w:tcPr>
          <w:p w14:paraId="377A76D7">
            <w:pPr>
              <w:jc w:val="right"/>
              <w:rPr>
                <w:rFonts w:ascii="Arial Narrow" w:hAnsi="Arial Narrow"/>
                <w:sz w:val="16"/>
                <w:szCs w:val="16"/>
              </w:rPr>
            </w:pPr>
          </w:p>
        </w:tc>
        <w:tc>
          <w:tcPr>
            <w:tcW w:w="522" w:type="pct"/>
            <w:vAlign w:val="center"/>
          </w:tcPr>
          <w:p w14:paraId="702DDA4A">
            <w:pPr>
              <w:jc w:val="right"/>
              <w:rPr>
                <w:rFonts w:ascii="Arial Narrow" w:hAnsi="Arial Narrow"/>
                <w:sz w:val="16"/>
                <w:szCs w:val="16"/>
              </w:rPr>
            </w:pPr>
          </w:p>
        </w:tc>
      </w:tr>
      <w:tr w14:paraId="4041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43b1e5b489b047e98cf38f8c5f130759"/>
            <w:id w:val="-1024170462"/>
          </w:sdtPr>
          <w:sdtEndPr>
            <w:rPr>
              <w:sz w:val="16"/>
              <w:szCs w:val="16"/>
            </w:rPr>
          </w:sdtEndPr>
          <w:sdtContent>
            <w:tc>
              <w:tcPr>
                <w:tcW w:w="696" w:type="pct"/>
              </w:tcPr>
              <w:p w14:paraId="7E283863">
                <w:pPr>
                  <w:rPr>
                    <w:rFonts w:hint="eastAsia"/>
                    <w:sz w:val="16"/>
                    <w:szCs w:val="16"/>
                  </w:rPr>
                </w:pPr>
                <w:r>
                  <w:rPr>
                    <w:rFonts w:hint="eastAsia"/>
                    <w:sz w:val="16"/>
                    <w:szCs w:val="16"/>
                  </w:rPr>
                  <w:t>（六）其他</w:t>
                </w:r>
              </w:p>
            </w:tc>
          </w:sdtContent>
        </w:sdt>
        <w:tc>
          <w:tcPr>
            <w:tcW w:w="493" w:type="pct"/>
            <w:vAlign w:val="center"/>
          </w:tcPr>
          <w:p w14:paraId="6808173D">
            <w:pPr>
              <w:jc w:val="right"/>
              <w:rPr>
                <w:rFonts w:ascii="Arial Narrow" w:hAnsi="Arial Narrow"/>
                <w:sz w:val="16"/>
                <w:szCs w:val="16"/>
              </w:rPr>
            </w:pPr>
          </w:p>
        </w:tc>
        <w:tc>
          <w:tcPr>
            <w:tcW w:w="493" w:type="pct"/>
            <w:vAlign w:val="center"/>
          </w:tcPr>
          <w:p w14:paraId="197060F2">
            <w:pPr>
              <w:jc w:val="right"/>
              <w:rPr>
                <w:rFonts w:ascii="Arial Narrow" w:hAnsi="Arial Narrow"/>
                <w:sz w:val="16"/>
                <w:szCs w:val="16"/>
              </w:rPr>
            </w:pPr>
          </w:p>
        </w:tc>
        <w:tc>
          <w:tcPr>
            <w:tcW w:w="448" w:type="pct"/>
            <w:vAlign w:val="center"/>
          </w:tcPr>
          <w:p w14:paraId="0743D8F8">
            <w:pPr>
              <w:jc w:val="right"/>
              <w:rPr>
                <w:rFonts w:ascii="Arial Narrow" w:hAnsi="Arial Narrow"/>
                <w:sz w:val="16"/>
                <w:szCs w:val="16"/>
              </w:rPr>
            </w:pPr>
          </w:p>
        </w:tc>
        <w:tc>
          <w:tcPr>
            <w:tcW w:w="397" w:type="pct"/>
            <w:vAlign w:val="center"/>
          </w:tcPr>
          <w:p w14:paraId="50E74649">
            <w:pPr>
              <w:jc w:val="right"/>
              <w:rPr>
                <w:rFonts w:ascii="Arial Narrow" w:hAnsi="Arial Narrow"/>
                <w:sz w:val="16"/>
                <w:szCs w:val="16"/>
              </w:rPr>
            </w:pPr>
            <w:r>
              <w:rPr>
                <w:rFonts w:ascii="Arial Narrow" w:hAnsi="Arial Narrow" w:eastAsia="等线"/>
                <w:color w:val="000000"/>
                <w:sz w:val="16"/>
                <w:szCs w:val="16"/>
              </w:rPr>
              <w:t xml:space="preserve">-3,063,505.88 </w:t>
            </w:r>
          </w:p>
        </w:tc>
        <w:tc>
          <w:tcPr>
            <w:tcW w:w="448" w:type="pct"/>
            <w:vAlign w:val="center"/>
          </w:tcPr>
          <w:p w14:paraId="53802E18">
            <w:pPr>
              <w:jc w:val="right"/>
              <w:rPr>
                <w:rFonts w:ascii="Arial Narrow" w:hAnsi="Arial Narrow"/>
                <w:sz w:val="16"/>
                <w:szCs w:val="16"/>
              </w:rPr>
            </w:pPr>
          </w:p>
        </w:tc>
        <w:tc>
          <w:tcPr>
            <w:tcW w:w="505" w:type="pct"/>
            <w:vAlign w:val="center"/>
          </w:tcPr>
          <w:p w14:paraId="777524CF">
            <w:pPr>
              <w:jc w:val="right"/>
              <w:rPr>
                <w:rFonts w:ascii="Arial Narrow" w:hAnsi="Arial Narrow"/>
                <w:sz w:val="16"/>
                <w:szCs w:val="16"/>
              </w:rPr>
            </w:pPr>
            <w:r>
              <w:rPr>
                <w:rFonts w:ascii="Arial Narrow" w:hAnsi="Arial Narrow" w:eastAsia="等线"/>
                <w:color w:val="000000"/>
                <w:sz w:val="16"/>
                <w:szCs w:val="16"/>
              </w:rPr>
              <w:t xml:space="preserve">8,199,186.78 </w:t>
            </w:r>
          </w:p>
        </w:tc>
        <w:tc>
          <w:tcPr>
            <w:tcW w:w="522" w:type="pct"/>
            <w:vAlign w:val="center"/>
          </w:tcPr>
          <w:p w14:paraId="64120E16">
            <w:pPr>
              <w:jc w:val="right"/>
              <w:rPr>
                <w:rFonts w:ascii="Arial Narrow" w:hAnsi="Arial Narrow"/>
                <w:sz w:val="16"/>
                <w:szCs w:val="16"/>
              </w:rPr>
            </w:pPr>
            <w:r>
              <w:rPr>
                <w:rFonts w:ascii="Arial Narrow" w:hAnsi="Arial Narrow" w:eastAsia="等线"/>
                <w:color w:val="000000"/>
                <w:sz w:val="16"/>
                <w:szCs w:val="16"/>
              </w:rPr>
              <w:t xml:space="preserve">5,135,680.90 </w:t>
            </w:r>
          </w:p>
        </w:tc>
        <w:tc>
          <w:tcPr>
            <w:tcW w:w="476" w:type="pct"/>
            <w:vAlign w:val="center"/>
          </w:tcPr>
          <w:p w14:paraId="23B3499F">
            <w:pPr>
              <w:jc w:val="right"/>
              <w:rPr>
                <w:rFonts w:ascii="Arial Narrow" w:hAnsi="Arial Narrow"/>
                <w:sz w:val="16"/>
                <w:szCs w:val="16"/>
              </w:rPr>
            </w:pPr>
          </w:p>
        </w:tc>
        <w:tc>
          <w:tcPr>
            <w:tcW w:w="522" w:type="pct"/>
            <w:vAlign w:val="center"/>
          </w:tcPr>
          <w:p w14:paraId="301C1442">
            <w:pPr>
              <w:jc w:val="right"/>
              <w:rPr>
                <w:rFonts w:ascii="Arial Narrow" w:hAnsi="Arial Narrow"/>
                <w:sz w:val="16"/>
                <w:szCs w:val="16"/>
              </w:rPr>
            </w:pPr>
            <w:r>
              <w:rPr>
                <w:rFonts w:ascii="Arial Narrow" w:hAnsi="Arial Narrow" w:eastAsia="等线"/>
                <w:color w:val="000000"/>
                <w:sz w:val="16"/>
                <w:szCs w:val="16"/>
              </w:rPr>
              <w:t xml:space="preserve">5,135,680.90 </w:t>
            </w:r>
          </w:p>
        </w:tc>
      </w:tr>
      <w:tr w14:paraId="37E4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7355d7c321c84166a15737d2581911bf"/>
            <w:id w:val="-1882469368"/>
          </w:sdtPr>
          <w:sdtEndPr>
            <w:rPr>
              <w:sz w:val="16"/>
              <w:szCs w:val="16"/>
            </w:rPr>
          </w:sdtEndPr>
          <w:sdtContent>
            <w:tc>
              <w:tcPr>
                <w:tcW w:w="696" w:type="pct"/>
              </w:tcPr>
              <w:p w14:paraId="3AD47412">
                <w:pPr>
                  <w:rPr>
                    <w:rFonts w:hint="eastAsia"/>
                    <w:sz w:val="16"/>
                    <w:szCs w:val="16"/>
                  </w:rPr>
                </w:pPr>
                <w:r>
                  <w:rPr>
                    <w:sz w:val="16"/>
                    <w:szCs w:val="16"/>
                  </w:rPr>
                  <w:t>四、本期期末余额</w:t>
                </w:r>
              </w:p>
            </w:tc>
          </w:sdtContent>
        </w:sdt>
        <w:tc>
          <w:tcPr>
            <w:tcW w:w="493" w:type="pct"/>
            <w:vAlign w:val="center"/>
          </w:tcPr>
          <w:p w14:paraId="0375A67E">
            <w:pPr>
              <w:jc w:val="right"/>
              <w:rPr>
                <w:rFonts w:ascii="Arial Narrow" w:hAnsi="Arial Narrow"/>
                <w:sz w:val="16"/>
                <w:szCs w:val="16"/>
              </w:rPr>
            </w:pPr>
            <w:r>
              <w:rPr>
                <w:rFonts w:ascii="Arial Narrow" w:hAnsi="Arial Narrow" w:eastAsia="等线"/>
                <w:color w:val="000000"/>
                <w:sz w:val="16"/>
                <w:szCs w:val="16"/>
              </w:rPr>
              <w:t xml:space="preserve">4,391,629,404.00 </w:t>
            </w:r>
          </w:p>
        </w:tc>
        <w:tc>
          <w:tcPr>
            <w:tcW w:w="493" w:type="pct"/>
            <w:vAlign w:val="center"/>
          </w:tcPr>
          <w:p w14:paraId="5380DBFB">
            <w:pPr>
              <w:jc w:val="right"/>
              <w:rPr>
                <w:rFonts w:ascii="Arial Narrow" w:hAnsi="Arial Narrow"/>
                <w:sz w:val="16"/>
                <w:szCs w:val="16"/>
              </w:rPr>
            </w:pPr>
            <w:r>
              <w:rPr>
                <w:rFonts w:ascii="Arial Narrow" w:hAnsi="Arial Narrow" w:eastAsia="等线"/>
                <w:color w:val="000000"/>
                <w:sz w:val="16"/>
                <w:szCs w:val="16"/>
              </w:rPr>
              <w:t xml:space="preserve">8,067,766,137.08 </w:t>
            </w:r>
          </w:p>
        </w:tc>
        <w:tc>
          <w:tcPr>
            <w:tcW w:w="448" w:type="pct"/>
            <w:vAlign w:val="center"/>
          </w:tcPr>
          <w:p w14:paraId="11840C78">
            <w:pPr>
              <w:jc w:val="right"/>
              <w:rPr>
                <w:rFonts w:ascii="Arial Narrow" w:hAnsi="Arial Narrow"/>
                <w:sz w:val="16"/>
                <w:szCs w:val="16"/>
              </w:rPr>
            </w:pPr>
            <w:r>
              <w:rPr>
                <w:rFonts w:ascii="Arial Narrow" w:hAnsi="Arial Narrow" w:eastAsia="等线"/>
                <w:color w:val="000000"/>
                <w:sz w:val="16"/>
                <w:szCs w:val="16"/>
              </w:rPr>
              <w:t xml:space="preserve">-188,407,871.25 </w:t>
            </w:r>
          </w:p>
        </w:tc>
        <w:tc>
          <w:tcPr>
            <w:tcW w:w="397" w:type="pct"/>
            <w:vAlign w:val="center"/>
          </w:tcPr>
          <w:p w14:paraId="11DF1ABC">
            <w:pPr>
              <w:jc w:val="right"/>
              <w:rPr>
                <w:rFonts w:ascii="Arial Narrow" w:hAnsi="Arial Narrow"/>
                <w:sz w:val="16"/>
                <w:szCs w:val="16"/>
              </w:rPr>
            </w:pPr>
          </w:p>
        </w:tc>
        <w:tc>
          <w:tcPr>
            <w:tcW w:w="448" w:type="pct"/>
            <w:vAlign w:val="center"/>
          </w:tcPr>
          <w:p w14:paraId="3711482F">
            <w:pPr>
              <w:jc w:val="right"/>
              <w:rPr>
                <w:rFonts w:ascii="Arial Narrow" w:hAnsi="Arial Narrow"/>
                <w:sz w:val="16"/>
                <w:szCs w:val="16"/>
              </w:rPr>
            </w:pPr>
            <w:r>
              <w:rPr>
                <w:rFonts w:ascii="Arial Narrow" w:hAnsi="Arial Narrow" w:eastAsia="等线"/>
                <w:color w:val="000000"/>
                <w:sz w:val="16"/>
                <w:szCs w:val="16"/>
              </w:rPr>
              <w:t xml:space="preserve">369,657,198.90 </w:t>
            </w:r>
          </w:p>
        </w:tc>
        <w:tc>
          <w:tcPr>
            <w:tcW w:w="505" w:type="pct"/>
            <w:vAlign w:val="center"/>
          </w:tcPr>
          <w:p w14:paraId="2D0AFB28">
            <w:pPr>
              <w:jc w:val="right"/>
              <w:rPr>
                <w:rFonts w:ascii="Arial Narrow" w:hAnsi="Arial Narrow"/>
                <w:sz w:val="16"/>
                <w:szCs w:val="16"/>
              </w:rPr>
            </w:pPr>
            <w:r>
              <w:rPr>
                <w:rFonts w:ascii="Arial Narrow" w:hAnsi="Arial Narrow" w:eastAsia="等线"/>
                <w:color w:val="000000"/>
                <w:sz w:val="16"/>
                <w:szCs w:val="16"/>
              </w:rPr>
              <w:t xml:space="preserve">4,463,369,702.05 </w:t>
            </w:r>
          </w:p>
        </w:tc>
        <w:tc>
          <w:tcPr>
            <w:tcW w:w="522" w:type="pct"/>
            <w:vAlign w:val="center"/>
          </w:tcPr>
          <w:p w14:paraId="1951FD55">
            <w:pPr>
              <w:jc w:val="right"/>
              <w:rPr>
                <w:rFonts w:ascii="Arial Narrow" w:hAnsi="Arial Narrow"/>
                <w:sz w:val="16"/>
                <w:szCs w:val="16"/>
              </w:rPr>
            </w:pPr>
            <w:r>
              <w:rPr>
                <w:rFonts w:ascii="Arial Narrow" w:hAnsi="Arial Narrow" w:eastAsia="等线"/>
                <w:color w:val="000000"/>
                <w:sz w:val="16"/>
                <w:szCs w:val="16"/>
              </w:rPr>
              <w:t xml:space="preserve">17,104,014,570.78 </w:t>
            </w:r>
          </w:p>
        </w:tc>
        <w:tc>
          <w:tcPr>
            <w:tcW w:w="476" w:type="pct"/>
            <w:vAlign w:val="center"/>
          </w:tcPr>
          <w:p w14:paraId="79706A83">
            <w:pPr>
              <w:jc w:val="right"/>
              <w:rPr>
                <w:rFonts w:ascii="Arial Narrow" w:hAnsi="Arial Narrow"/>
                <w:sz w:val="16"/>
                <w:szCs w:val="16"/>
              </w:rPr>
            </w:pPr>
            <w:r>
              <w:rPr>
                <w:rFonts w:ascii="Arial Narrow" w:hAnsi="Arial Narrow" w:eastAsia="等线"/>
                <w:color w:val="000000"/>
                <w:sz w:val="16"/>
                <w:szCs w:val="16"/>
              </w:rPr>
              <w:t xml:space="preserve">-65,174,646.01 </w:t>
            </w:r>
          </w:p>
        </w:tc>
        <w:tc>
          <w:tcPr>
            <w:tcW w:w="522" w:type="pct"/>
            <w:vAlign w:val="center"/>
          </w:tcPr>
          <w:p w14:paraId="68B30C1D">
            <w:pPr>
              <w:jc w:val="right"/>
              <w:rPr>
                <w:rFonts w:ascii="Arial Narrow" w:hAnsi="Arial Narrow"/>
                <w:sz w:val="16"/>
                <w:szCs w:val="16"/>
              </w:rPr>
            </w:pPr>
            <w:r>
              <w:rPr>
                <w:rFonts w:ascii="Arial Narrow" w:hAnsi="Arial Narrow" w:eastAsia="等线"/>
                <w:color w:val="000000"/>
                <w:sz w:val="16"/>
                <w:szCs w:val="16"/>
              </w:rPr>
              <w:t xml:space="preserve">17,038,839,924.77 </w:t>
            </w:r>
          </w:p>
        </w:tc>
      </w:tr>
    </w:tbl>
    <w:p w14:paraId="5875B0AE">
      <w:pPr>
        <w:rPr>
          <w:rFonts w:hint="eastAsia"/>
        </w:rPr>
      </w:pPr>
    </w:p>
    <w:p w14:paraId="136EFCED">
      <w:pPr>
        <w:rPr>
          <w:rFonts w:hint="eastAsia"/>
        </w:rPr>
      </w:pPr>
    </w:p>
    <w:p w14:paraId="63C5D713">
      <w:pPr>
        <w:snapToGrid w:val="0"/>
        <w:spacing w:line="240" w:lineRule="atLeast"/>
        <w:rPr>
          <w:rFonts w:hint="eastAsia"/>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76a4a0998a840bab20f0ed83e5bab3d"/>
          <w:id w:val="-1428646558"/>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697512430"/>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1015302496"/>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37D8E173">
      <w:pPr>
        <w:rPr>
          <w:rFonts w:hint="eastAsia"/>
          <w:szCs w:val="21"/>
        </w:rPr>
      </w:pPr>
    </w:p>
    <w:p w14:paraId="58AD7F55">
      <w:pPr>
        <w:rPr>
          <w:rFonts w:hint="eastAsia"/>
          <w:szCs w:val="21"/>
        </w:rPr>
      </w:pPr>
    </w:p>
    <w:p w14:paraId="3B84ED8C">
      <w:pPr>
        <w:rPr>
          <w:rFonts w:hint="eastAsia"/>
          <w:szCs w:val="21"/>
        </w:rPr>
      </w:pPr>
    </w:p>
    <w:p w14:paraId="2A2D2123">
      <w:pPr>
        <w:rPr>
          <w:rFonts w:hint="eastAsia"/>
          <w:szCs w:val="21"/>
        </w:rPr>
      </w:pPr>
    </w:p>
    <w:p w14:paraId="2ABDE08A">
      <w:pPr>
        <w:rPr>
          <w:rFonts w:hint="eastAsia"/>
          <w:szCs w:val="21"/>
        </w:rPr>
      </w:pPr>
    </w:p>
    <w:p w14:paraId="164DC1AF">
      <w:pPr>
        <w:rPr>
          <w:rFonts w:hint="eastAsia"/>
          <w:szCs w:val="21"/>
        </w:rPr>
      </w:pPr>
    </w:p>
    <w:p w14:paraId="400C264C">
      <w:pPr>
        <w:tabs>
          <w:tab w:val="left" w:pos="10080"/>
        </w:tabs>
        <w:snapToGrid w:val="0"/>
        <w:spacing w:line="240" w:lineRule="atLeast"/>
        <w:ind w:right="25" w:rightChars="12"/>
        <w:jc w:val="center"/>
        <w:outlineLvl w:val="2"/>
        <w:rPr>
          <w:rFonts w:hint="eastAsia"/>
          <w:b/>
          <w:szCs w:val="21"/>
        </w:rPr>
      </w:pPr>
      <w:r>
        <w:rPr>
          <w:b/>
          <w:szCs w:val="21"/>
        </w:rPr>
        <w:t>母公司</w:t>
      </w:r>
      <w:r>
        <w:rPr>
          <w:rFonts w:hint="eastAsia"/>
          <w:b/>
          <w:szCs w:val="21"/>
        </w:rPr>
        <w:t>所有者权益变动表</w:t>
      </w:r>
    </w:p>
    <w:p w14:paraId="2D2615A4">
      <w:pPr>
        <w:tabs>
          <w:tab w:val="left" w:pos="10080"/>
        </w:tabs>
        <w:snapToGrid w:val="0"/>
        <w:spacing w:line="240" w:lineRule="atLeast"/>
        <w:ind w:right="25" w:rightChars="12"/>
        <w:jc w:val="center"/>
        <w:rPr>
          <w:rFonts w:hint="eastAsia"/>
          <w:b/>
          <w:bCs/>
          <w:szCs w:val="21"/>
        </w:rPr>
      </w:pPr>
      <w:r>
        <w:rPr>
          <w:szCs w:val="21"/>
        </w:rPr>
        <w:t>2024年</w:t>
      </w:r>
      <w:r>
        <w:rPr>
          <w:rFonts w:hint="eastAsia"/>
          <w:szCs w:val="21"/>
        </w:rPr>
        <w:t>1—12</w:t>
      </w:r>
      <w:r>
        <w:rPr>
          <w:szCs w:val="21"/>
        </w:rPr>
        <w:t>月</w:t>
      </w:r>
    </w:p>
    <w:p w14:paraId="2918FADD">
      <w:pPr>
        <w:snapToGrid w:val="0"/>
        <w:spacing w:line="240" w:lineRule="atLeast"/>
        <w:jc w:val="right"/>
        <w:rPr>
          <w:rFonts w:hint="eastAsia"/>
          <w:szCs w:val="21"/>
        </w:rPr>
      </w:pPr>
      <w:r>
        <w:rPr>
          <w:szCs w:val="21"/>
        </w:rPr>
        <w:t>单位：</w:t>
      </w:r>
      <w:sdt>
        <w:sdtPr>
          <w:rPr>
            <w:szCs w:val="21"/>
          </w:rPr>
          <w:alias w:val="单位：母公司股东权益调节表"/>
          <w:tag w:val="_GBC_048773409e614c6bb753000b028316a5"/>
          <w:id w:val="-20051949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母公司股东权益调节表"/>
          <w:tag w:val="_GBC_5214b7a188334da286fc3038d017d072"/>
          <w:id w:val="11354477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13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11"/>
        <w:gridCol w:w="1837"/>
        <w:gridCol w:w="1795"/>
        <w:gridCol w:w="1782"/>
        <w:gridCol w:w="1781"/>
        <w:gridCol w:w="1768"/>
        <w:gridCol w:w="1786"/>
      </w:tblGrid>
      <w:tr w14:paraId="0627D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6243181199ca48faaab1b52ea7b6f562"/>
            <w:id w:val="153037524"/>
          </w:sdtPr>
          <w:sdtContent>
            <w:tc>
              <w:tcPr>
                <w:tcW w:w="3211" w:type="dxa"/>
                <w:vMerge w:val="restart"/>
                <w:vAlign w:val="center"/>
              </w:tcPr>
              <w:p w14:paraId="4537B0C4">
                <w:pPr>
                  <w:adjustRightInd w:val="0"/>
                  <w:snapToGrid w:val="0"/>
                  <w:jc w:val="center"/>
                  <w:rPr>
                    <w:rFonts w:hint="eastAsia"/>
                    <w:sz w:val="18"/>
                    <w:szCs w:val="18"/>
                  </w:rPr>
                </w:pPr>
                <w:r>
                  <w:rPr>
                    <w:rFonts w:hint="eastAsia"/>
                    <w:sz w:val="18"/>
                    <w:szCs w:val="18"/>
                  </w:rPr>
                  <w:t>项目</w:t>
                </w:r>
              </w:p>
            </w:tc>
          </w:sdtContent>
        </w:sdt>
        <w:tc>
          <w:tcPr>
            <w:tcW w:w="10749" w:type="dxa"/>
            <w:gridSpan w:val="6"/>
            <w:vAlign w:val="center"/>
          </w:tcPr>
          <w:p w14:paraId="04853AA7">
            <w:pPr>
              <w:adjustRightInd w:val="0"/>
              <w:snapToGrid w:val="0"/>
              <w:jc w:val="center"/>
              <w:rPr>
                <w:rFonts w:hint="eastAsia"/>
              </w:rPr>
            </w:pPr>
            <w:r>
              <w:rPr>
                <w:rFonts w:hint="eastAsia"/>
              </w:rPr>
              <w:t xml:space="preserve"> </w:t>
            </w:r>
            <w:sdt>
              <w:sdtPr>
                <w:tag w:val="_PLD_53ebc36a4faa4485960520df843f0c63"/>
                <w:id w:val="1723707428"/>
              </w:sdtPr>
              <w:sdtContent>
                <w:r>
                  <w:rPr>
                    <w:rFonts w:hint="eastAsia"/>
                    <w:sz w:val="18"/>
                  </w:rPr>
                  <w:t>2024年度</w:t>
                </w:r>
              </w:sdtContent>
            </w:sdt>
          </w:p>
        </w:tc>
      </w:tr>
      <w:tr w14:paraId="5CFF9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trPr>
        <w:tc>
          <w:tcPr>
            <w:tcW w:w="3211" w:type="dxa"/>
            <w:vMerge w:val="continue"/>
          </w:tcPr>
          <w:p w14:paraId="428719D1">
            <w:pPr>
              <w:adjustRightInd w:val="0"/>
              <w:snapToGrid w:val="0"/>
              <w:rPr>
                <w:rFonts w:hint="eastAsia"/>
                <w:sz w:val="18"/>
                <w:szCs w:val="18"/>
              </w:rPr>
            </w:pPr>
          </w:p>
        </w:tc>
        <w:sdt>
          <w:sdtPr>
            <w:tag w:val="_PLD_d42b0ce5c44e4777bd36491652f20dd8"/>
            <w:id w:val="-1249578976"/>
          </w:sdtPr>
          <w:sdtContent>
            <w:tc>
              <w:tcPr>
                <w:tcW w:w="1837" w:type="dxa"/>
                <w:vMerge w:val="restart"/>
                <w:tcBorders>
                  <w:right w:val="single" w:color="auto" w:sz="4" w:space="0"/>
                </w:tcBorders>
                <w:vAlign w:val="center"/>
              </w:tcPr>
              <w:p w14:paraId="53F64077">
                <w:pPr>
                  <w:adjustRightInd w:val="0"/>
                  <w:snapToGrid w:val="0"/>
                  <w:jc w:val="center"/>
                  <w:rPr>
                    <w:rFonts w:hint="eastAsia"/>
                    <w:sz w:val="18"/>
                    <w:szCs w:val="18"/>
                  </w:rPr>
                </w:pPr>
                <w:r>
                  <w:rPr>
                    <w:sz w:val="18"/>
                    <w:szCs w:val="18"/>
                  </w:rPr>
                  <w:t>实收资本 (或股本)</w:t>
                </w:r>
              </w:p>
            </w:tc>
          </w:sdtContent>
        </w:sdt>
        <w:sdt>
          <w:sdtPr>
            <w:tag w:val="_PLD_dafb11707213467d9f285bde7429767a"/>
            <w:id w:val="1915893280"/>
          </w:sdtPr>
          <w:sdtContent>
            <w:tc>
              <w:tcPr>
                <w:tcW w:w="1795" w:type="dxa"/>
                <w:vMerge w:val="restart"/>
                <w:vAlign w:val="center"/>
              </w:tcPr>
              <w:p w14:paraId="2913F165">
                <w:pPr>
                  <w:adjustRightInd w:val="0"/>
                  <w:snapToGrid w:val="0"/>
                  <w:jc w:val="center"/>
                  <w:rPr>
                    <w:rFonts w:hint="eastAsia"/>
                    <w:sz w:val="18"/>
                    <w:szCs w:val="18"/>
                  </w:rPr>
                </w:pPr>
                <w:r>
                  <w:rPr>
                    <w:sz w:val="18"/>
                    <w:szCs w:val="18"/>
                  </w:rPr>
                  <w:t>资本公积</w:t>
                </w:r>
              </w:p>
            </w:tc>
          </w:sdtContent>
        </w:sdt>
        <w:sdt>
          <w:sdtPr>
            <w:tag w:val="_PLD_01fd07c61bdc4289ad848770e21829f0"/>
            <w:id w:val="-1083531540"/>
          </w:sdtPr>
          <w:sdtContent>
            <w:tc>
              <w:tcPr>
                <w:tcW w:w="1782" w:type="dxa"/>
                <w:vMerge w:val="restart"/>
                <w:vAlign w:val="center"/>
              </w:tcPr>
              <w:p w14:paraId="7D207333">
                <w:pPr>
                  <w:jc w:val="center"/>
                  <w:rPr>
                    <w:rFonts w:hint="eastAsia"/>
                    <w:sz w:val="18"/>
                    <w:szCs w:val="18"/>
                  </w:rPr>
                </w:pPr>
                <w:r>
                  <w:rPr>
                    <w:rFonts w:hint="eastAsia"/>
                    <w:sz w:val="18"/>
                    <w:szCs w:val="18"/>
                  </w:rPr>
                  <w:t>其他综合收益</w:t>
                </w:r>
              </w:p>
            </w:tc>
          </w:sdtContent>
        </w:sdt>
        <w:sdt>
          <w:sdtPr>
            <w:tag w:val="_PLD_e9a70df1813948df997635772bea7de3"/>
            <w:id w:val="612864238"/>
          </w:sdtPr>
          <w:sdtContent>
            <w:tc>
              <w:tcPr>
                <w:tcW w:w="1781" w:type="dxa"/>
                <w:vMerge w:val="restart"/>
                <w:vAlign w:val="center"/>
              </w:tcPr>
              <w:p w14:paraId="60F05E9E">
                <w:pPr>
                  <w:adjustRightInd w:val="0"/>
                  <w:snapToGrid w:val="0"/>
                  <w:jc w:val="center"/>
                  <w:rPr>
                    <w:rFonts w:hint="eastAsia"/>
                    <w:sz w:val="18"/>
                    <w:szCs w:val="18"/>
                  </w:rPr>
                </w:pPr>
                <w:r>
                  <w:rPr>
                    <w:sz w:val="18"/>
                    <w:szCs w:val="18"/>
                  </w:rPr>
                  <w:t>盈余公积</w:t>
                </w:r>
              </w:p>
            </w:tc>
          </w:sdtContent>
        </w:sdt>
        <w:sdt>
          <w:sdtPr>
            <w:tag w:val="_PLD_9b2be5c2b4a3447c85cf695b1da440fa"/>
            <w:id w:val="1807506845"/>
          </w:sdtPr>
          <w:sdtContent>
            <w:tc>
              <w:tcPr>
                <w:tcW w:w="1768" w:type="dxa"/>
                <w:vMerge w:val="restart"/>
                <w:vAlign w:val="center"/>
              </w:tcPr>
              <w:p w14:paraId="006AAD3E">
                <w:pPr>
                  <w:adjustRightInd w:val="0"/>
                  <w:snapToGrid w:val="0"/>
                  <w:jc w:val="center"/>
                  <w:rPr>
                    <w:rFonts w:hint="eastAsia"/>
                    <w:sz w:val="18"/>
                    <w:szCs w:val="18"/>
                  </w:rPr>
                </w:pPr>
                <w:r>
                  <w:rPr>
                    <w:sz w:val="18"/>
                    <w:szCs w:val="18"/>
                  </w:rPr>
                  <w:t>未分配利润</w:t>
                </w:r>
              </w:p>
            </w:tc>
          </w:sdtContent>
        </w:sdt>
        <w:sdt>
          <w:sdtPr>
            <w:tag w:val="_PLD_61dd0378fbe645dfb87cfecfbc846206"/>
            <w:id w:val="-1189136047"/>
          </w:sdtPr>
          <w:sdtContent>
            <w:tc>
              <w:tcPr>
                <w:tcW w:w="1786" w:type="dxa"/>
                <w:vMerge w:val="restart"/>
                <w:vAlign w:val="center"/>
              </w:tcPr>
              <w:p w14:paraId="1784CED6">
                <w:pPr>
                  <w:adjustRightInd w:val="0"/>
                  <w:snapToGrid w:val="0"/>
                  <w:jc w:val="center"/>
                  <w:rPr>
                    <w:rFonts w:hint="eastAsia"/>
                    <w:sz w:val="18"/>
                    <w:szCs w:val="18"/>
                  </w:rPr>
                </w:pPr>
                <w:r>
                  <w:rPr>
                    <w:sz w:val="18"/>
                    <w:szCs w:val="18"/>
                  </w:rPr>
                  <w:t>所有者权益合计</w:t>
                </w:r>
              </w:p>
            </w:tc>
          </w:sdtContent>
        </w:sdt>
      </w:tr>
      <w:tr w14:paraId="49DB8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08f8c5f19f2b42f7ae650f62c6878570"/>
            <w:id w:val="850150378"/>
          </w:sdtPr>
          <w:sdtContent>
            <w:tc>
              <w:tcPr>
                <w:tcW w:w="3211" w:type="dxa"/>
              </w:tcPr>
              <w:p w14:paraId="54E1514B">
                <w:pPr>
                  <w:rPr>
                    <w:rFonts w:hint="eastAsia"/>
                    <w:sz w:val="18"/>
                    <w:szCs w:val="18"/>
                  </w:rPr>
                </w:pPr>
                <w:r>
                  <w:rPr>
                    <w:sz w:val="18"/>
                    <w:szCs w:val="18"/>
                  </w:rPr>
                  <w:t>一、上年</w:t>
                </w:r>
                <w:r>
                  <w:rPr>
                    <w:rFonts w:hint="eastAsia"/>
                    <w:sz w:val="18"/>
                    <w:szCs w:val="18"/>
                  </w:rPr>
                  <w:t>年</w:t>
                </w:r>
                <w:r>
                  <w:rPr>
                    <w:sz w:val="18"/>
                    <w:szCs w:val="18"/>
                  </w:rPr>
                  <w:t>末余额</w:t>
                </w:r>
              </w:p>
            </w:tc>
          </w:sdtContent>
        </w:sdt>
        <w:tc>
          <w:tcPr>
            <w:tcW w:w="1837" w:type="dxa"/>
            <w:tcBorders>
              <w:right w:val="single" w:color="auto" w:sz="4" w:space="0"/>
            </w:tcBorders>
            <w:vAlign w:val="center"/>
          </w:tcPr>
          <w:p w14:paraId="62F8849C">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tcBorders>
              <w:left w:val="single" w:color="auto" w:sz="4" w:space="0"/>
            </w:tcBorders>
            <w:vAlign w:val="center"/>
          </w:tcPr>
          <w:p w14:paraId="730430C2">
            <w:pPr>
              <w:jc w:val="right"/>
              <w:rPr>
                <w:rFonts w:ascii="Arial Narrow" w:hAnsi="Arial Narrow"/>
                <w:sz w:val="18"/>
                <w:szCs w:val="18"/>
              </w:rPr>
            </w:pPr>
            <w:r>
              <w:rPr>
                <w:rFonts w:ascii="Arial Narrow" w:hAnsi="Arial Narrow" w:eastAsia="等线"/>
                <w:color w:val="000000"/>
                <w:sz w:val="18"/>
                <w:szCs w:val="18"/>
              </w:rPr>
              <w:t xml:space="preserve">7,846,040,146.62 </w:t>
            </w:r>
          </w:p>
        </w:tc>
        <w:tc>
          <w:tcPr>
            <w:tcW w:w="1782" w:type="dxa"/>
            <w:vAlign w:val="center"/>
          </w:tcPr>
          <w:p w14:paraId="02CF6563">
            <w:pPr>
              <w:jc w:val="right"/>
              <w:rPr>
                <w:rFonts w:ascii="Arial Narrow" w:hAnsi="Arial Narrow"/>
                <w:sz w:val="18"/>
                <w:szCs w:val="18"/>
              </w:rPr>
            </w:pPr>
            <w:r>
              <w:rPr>
                <w:rFonts w:ascii="Arial Narrow" w:hAnsi="Arial Narrow" w:eastAsia="等线"/>
                <w:color w:val="000000"/>
                <w:sz w:val="18"/>
                <w:szCs w:val="18"/>
              </w:rPr>
              <w:t xml:space="preserve">-114,414,601.46 </w:t>
            </w:r>
          </w:p>
        </w:tc>
        <w:tc>
          <w:tcPr>
            <w:tcW w:w="1781" w:type="dxa"/>
            <w:vAlign w:val="center"/>
          </w:tcPr>
          <w:p w14:paraId="69713172">
            <w:pPr>
              <w:jc w:val="right"/>
              <w:rPr>
                <w:rFonts w:ascii="Arial Narrow" w:hAnsi="Arial Narrow"/>
                <w:sz w:val="18"/>
                <w:szCs w:val="18"/>
              </w:rPr>
            </w:pPr>
            <w:r>
              <w:rPr>
                <w:rFonts w:ascii="Arial Narrow" w:hAnsi="Arial Narrow" w:eastAsia="等线"/>
                <w:color w:val="000000"/>
                <w:sz w:val="18"/>
                <w:szCs w:val="18"/>
              </w:rPr>
              <w:t xml:space="preserve">369,657,198.90 </w:t>
            </w:r>
          </w:p>
        </w:tc>
        <w:tc>
          <w:tcPr>
            <w:tcW w:w="1768" w:type="dxa"/>
            <w:vAlign w:val="center"/>
          </w:tcPr>
          <w:p w14:paraId="3682E23F">
            <w:pPr>
              <w:jc w:val="right"/>
              <w:rPr>
                <w:rFonts w:ascii="Arial Narrow" w:hAnsi="Arial Narrow"/>
                <w:sz w:val="18"/>
                <w:szCs w:val="18"/>
              </w:rPr>
            </w:pPr>
            <w:r>
              <w:rPr>
                <w:rFonts w:ascii="Arial Narrow" w:hAnsi="Arial Narrow" w:eastAsia="等线"/>
                <w:color w:val="000000"/>
                <w:sz w:val="18"/>
                <w:szCs w:val="18"/>
              </w:rPr>
              <w:t xml:space="preserve">167,759,321.90 </w:t>
            </w:r>
          </w:p>
        </w:tc>
        <w:tc>
          <w:tcPr>
            <w:tcW w:w="1786" w:type="dxa"/>
            <w:vAlign w:val="center"/>
          </w:tcPr>
          <w:p w14:paraId="562E50B8">
            <w:pPr>
              <w:jc w:val="right"/>
              <w:rPr>
                <w:rFonts w:ascii="Arial Narrow" w:hAnsi="Arial Narrow"/>
                <w:sz w:val="18"/>
                <w:szCs w:val="18"/>
              </w:rPr>
            </w:pPr>
            <w:r>
              <w:rPr>
                <w:rFonts w:ascii="Arial Narrow" w:hAnsi="Arial Narrow" w:eastAsia="等线"/>
                <w:color w:val="000000"/>
                <w:sz w:val="18"/>
                <w:szCs w:val="18"/>
              </w:rPr>
              <w:t xml:space="preserve">12,660,671,469.96 </w:t>
            </w:r>
          </w:p>
        </w:tc>
      </w:tr>
      <w:tr w14:paraId="74730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abc6effbbaad4f92a93b112da199425f"/>
            <w:id w:val="-2084357044"/>
          </w:sdtPr>
          <w:sdtContent>
            <w:tc>
              <w:tcPr>
                <w:tcW w:w="3211" w:type="dxa"/>
              </w:tcPr>
              <w:p w14:paraId="11BF45CF">
                <w:pPr>
                  <w:rPr>
                    <w:rFonts w:hint="eastAsia"/>
                    <w:sz w:val="18"/>
                    <w:szCs w:val="18"/>
                  </w:rPr>
                </w:pPr>
                <w:r>
                  <w:rPr>
                    <w:sz w:val="18"/>
                    <w:szCs w:val="18"/>
                  </w:rPr>
                  <w:t>二、本年</w:t>
                </w:r>
                <w:r>
                  <w:rPr>
                    <w:rFonts w:hint="eastAsia"/>
                    <w:sz w:val="18"/>
                    <w:szCs w:val="18"/>
                  </w:rPr>
                  <w:t>期</w:t>
                </w:r>
                <w:r>
                  <w:rPr>
                    <w:sz w:val="18"/>
                    <w:szCs w:val="18"/>
                  </w:rPr>
                  <w:t>初余额</w:t>
                </w:r>
              </w:p>
            </w:tc>
          </w:sdtContent>
        </w:sdt>
        <w:tc>
          <w:tcPr>
            <w:tcW w:w="1837" w:type="dxa"/>
            <w:tcBorders>
              <w:right w:val="single" w:color="auto" w:sz="4" w:space="0"/>
            </w:tcBorders>
            <w:vAlign w:val="center"/>
          </w:tcPr>
          <w:p w14:paraId="71E5CE78">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tcBorders>
              <w:left w:val="single" w:color="auto" w:sz="4" w:space="0"/>
            </w:tcBorders>
            <w:vAlign w:val="center"/>
          </w:tcPr>
          <w:p w14:paraId="182EBB3F">
            <w:pPr>
              <w:jc w:val="right"/>
              <w:rPr>
                <w:rFonts w:ascii="Arial Narrow" w:hAnsi="Arial Narrow"/>
                <w:sz w:val="18"/>
                <w:szCs w:val="18"/>
              </w:rPr>
            </w:pPr>
            <w:r>
              <w:rPr>
                <w:rFonts w:ascii="Arial Narrow" w:hAnsi="Arial Narrow" w:eastAsia="等线"/>
                <w:color w:val="000000"/>
                <w:sz w:val="18"/>
                <w:szCs w:val="18"/>
              </w:rPr>
              <w:t xml:space="preserve">7,846,040,146.62 </w:t>
            </w:r>
          </w:p>
        </w:tc>
        <w:tc>
          <w:tcPr>
            <w:tcW w:w="1782" w:type="dxa"/>
            <w:vAlign w:val="center"/>
          </w:tcPr>
          <w:p w14:paraId="53D217DB">
            <w:pPr>
              <w:jc w:val="right"/>
              <w:rPr>
                <w:rFonts w:ascii="Arial Narrow" w:hAnsi="Arial Narrow"/>
                <w:sz w:val="18"/>
                <w:szCs w:val="18"/>
              </w:rPr>
            </w:pPr>
            <w:r>
              <w:rPr>
                <w:rFonts w:ascii="Arial Narrow" w:hAnsi="Arial Narrow" w:eastAsia="等线"/>
                <w:color w:val="000000"/>
                <w:sz w:val="18"/>
                <w:szCs w:val="18"/>
              </w:rPr>
              <w:t xml:space="preserve">-114,414,601.46 </w:t>
            </w:r>
          </w:p>
        </w:tc>
        <w:tc>
          <w:tcPr>
            <w:tcW w:w="1781" w:type="dxa"/>
            <w:vAlign w:val="center"/>
          </w:tcPr>
          <w:p w14:paraId="3DEA20B3">
            <w:pPr>
              <w:jc w:val="right"/>
              <w:rPr>
                <w:rFonts w:ascii="Arial Narrow" w:hAnsi="Arial Narrow"/>
                <w:sz w:val="18"/>
                <w:szCs w:val="18"/>
              </w:rPr>
            </w:pPr>
            <w:r>
              <w:rPr>
                <w:rFonts w:ascii="Arial Narrow" w:hAnsi="Arial Narrow" w:eastAsia="等线"/>
                <w:color w:val="000000"/>
                <w:sz w:val="18"/>
                <w:szCs w:val="18"/>
              </w:rPr>
              <w:t xml:space="preserve">369,657,198.90 </w:t>
            </w:r>
          </w:p>
        </w:tc>
        <w:tc>
          <w:tcPr>
            <w:tcW w:w="1768" w:type="dxa"/>
            <w:vAlign w:val="center"/>
          </w:tcPr>
          <w:p w14:paraId="59F53B55">
            <w:pPr>
              <w:jc w:val="right"/>
              <w:rPr>
                <w:rFonts w:ascii="Arial Narrow" w:hAnsi="Arial Narrow"/>
                <w:sz w:val="18"/>
                <w:szCs w:val="18"/>
              </w:rPr>
            </w:pPr>
            <w:r>
              <w:rPr>
                <w:rFonts w:ascii="Arial Narrow" w:hAnsi="Arial Narrow" w:eastAsia="等线"/>
                <w:color w:val="000000"/>
                <w:sz w:val="18"/>
                <w:szCs w:val="18"/>
              </w:rPr>
              <w:t xml:space="preserve">167,759,321.90 </w:t>
            </w:r>
          </w:p>
        </w:tc>
        <w:tc>
          <w:tcPr>
            <w:tcW w:w="1786" w:type="dxa"/>
            <w:vAlign w:val="center"/>
          </w:tcPr>
          <w:p w14:paraId="2FF21095">
            <w:pPr>
              <w:jc w:val="right"/>
              <w:rPr>
                <w:rFonts w:ascii="Arial Narrow" w:hAnsi="Arial Narrow"/>
                <w:sz w:val="18"/>
                <w:szCs w:val="18"/>
              </w:rPr>
            </w:pPr>
            <w:r>
              <w:rPr>
                <w:rFonts w:ascii="Arial Narrow" w:hAnsi="Arial Narrow" w:eastAsia="等线"/>
                <w:color w:val="000000"/>
                <w:sz w:val="18"/>
                <w:szCs w:val="18"/>
              </w:rPr>
              <w:t xml:space="preserve">12,660,671,469.96 </w:t>
            </w:r>
          </w:p>
        </w:tc>
      </w:tr>
      <w:tr w14:paraId="47ED5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22eea8f5bd284adbb011ea489737927b"/>
            <w:id w:val="1887909087"/>
          </w:sdtPr>
          <w:sdtContent>
            <w:tc>
              <w:tcPr>
                <w:tcW w:w="3211" w:type="dxa"/>
              </w:tcPr>
              <w:p w14:paraId="7B3DDC7C">
                <w:pPr>
                  <w:rPr>
                    <w:rFonts w:hint="eastAsia"/>
                    <w:sz w:val="18"/>
                    <w:szCs w:val="18"/>
                  </w:rPr>
                </w:pPr>
                <w:r>
                  <w:rPr>
                    <w:sz w:val="18"/>
                    <w:szCs w:val="18"/>
                  </w:rPr>
                  <w:t>三、本</w:t>
                </w:r>
                <w:r>
                  <w:rPr>
                    <w:rFonts w:hint="eastAsia"/>
                    <w:sz w:val="18"/>
                    <w:szCs w:val="18"/>
                  </w:rPr>
                  <w:t>期</w:t>
                </w:r>
                <w:r>
                  <w:rPr>
                    <w:sz w:val="18"/>
                    <w:szCs w:val="18"/>
                  </w:rPr>
                  <w:t>增减变动金额（减少以“－”号填列）</w:t>
                </w:r>
              </w:p>
            </w:tc>
          </w:sdtContent>
        </w:sdt>
        <w:tc>
          <w:tcPr>
            <w:tcW w:w="1837" w:type="dxa"/>
            <w:tcBorders>
              <w:right w:val="single" w:color="auto" w:sz="4" w:space="0"/>
            </w:tcBorders>
            <w:vAlign w:val="center"/>
          </w:tcPr>
          <w:p w14:paraId="0F4085C0">
            <w:pPr>
              <w:jc w:val="right"/>
              <w:rPr>
                <w:rFonts w:ascii="Arial Narrow" w:hAnsi="Arial Narrow"/>
                <w:sz w:val="18"/>
                <w:szCs w:val="18"/>
              </w:rPr>
            </w:pPr>
          </w:p>
        </w:tc>
        <w:tc>
          <w:tcPr>
            <w:tcW w:w="1795" w:type="dxa"/>
            <w:vAlign w:val="center"/>
          </w:tcPr>
          <w:p w14:paraId="3957BE3D">
            <w:pPr>
              <w:jc w:val="right"/>
              <w:rPr>
                <w:rFonts w:ascii="Arial Narrow" w:hAnsi="Arial Narrow"/>
                <w:sz w:val="18"/>
                <w:szCs w:val="18"/>
              </w:rPr>
            </w:pPr>
            <w:r>
              <w:rPr>
                <w:rFonts w:ascii="Arial Narrow" w:hAnsi="Arial Narrow" w:eastAsia="等线"/>
                <w:color w:val="000000"/>
                <w:sz w:val="18"/>
                <w:szCs w:val="18"/>
              </w:rPr>
              <w:t xml:space="preserve">6,885,091.33 </w:t>
            </w:r>
          </w:p>
        </w:tc>
        <w:tc>
          <w:tcPr>
            <w:tcW w:w="1782" w:type="dxa"/>
            <w:vAlign w:val="center"/>
          </w:tcPr>
          <w:p w14:paraId="7629F96E">
            <w:pPr>
              <w:jc w:val="right"/>
              <w:rPr>
                <w:rFonts w:ascii="Arial Narrow" w:hAnsi="Arial Narrow"/>
                <w:sz w:val="18"/>
                <w:szCs w:val="18"/>
              </w:rPr>
            </w:pPr>
            <w:r>
              <w:rPr>
                <w:rFonts w:ascii="Arial Narrow" w:hAnsi="Arial Narrow" w:eastAsia="等线"/>
                <w:color w:val="000000"/>
                <w:sz w:val="18"/>
                <w:szCs w:val="18"/>
              </w:rPr>
              <w:t xml:space="preserve">-111,585,367.37 </w:t>
            </w:r>
          </w:p>
        </w:tc>
        <w:tc>
          <w:tcPr>
            <w:tcW w:w="1781" w:type="dxa"/>
            <w:vAlign w:val="center"/>
          </w:tcPr>
          <w:p w14:paraId="4352F7E8">
            <w:pPr>
              <w:jc w:val="right"/>
              <w:rPr>
                <w:rFonts w:ascii="Arial Narrow" w:hAnsi="Arial Narrow"/>
                <w:sz w:val="18"/>
                <w:szCs w:val="18"/>
              </w:rPr>
            </w:pPr>
            <w:r>
              <w:rPr>
                <w:rFonts w:ascii="Arial Narrow" w:hAnsi="Arial Narrow" w:eastAsia="等线"/>
                <w:color w:val="000000"/>
                <w:sz w:val="18"/>
                <w:szCs w:val="18"/>
              </w:rPr>
              <w:t xml:space="preserve">20,224.92 </w:t>
            </w:r>
          </w:p>
        </w:tc>
        <w:tc>
          <w:tcPr>
            <w:tcW w:w="1768" w:type="dxa"/>
            <w:vAlign w:val="center"/>
          </w:tcPr>
          <w:p w14:paraId="60FD5E5D">
            <w:pPr>
              <w:jc w:val="right"/>
              <w:rPr>
                <w:rFonts w:ascii="Arial Narrow" w:hAnsi="Arial Narrow"/>
                <w:sz w:val="18"/>
                <w:szCs w:val="18"/>
              </w:rPr>
            </w:pPr>
            <w:r>
              <w:rPr>
                <w:rFonts w:ascii="Arial Narrow" w:hAnsi="Arial Narrow" w:eastAsia="等线"/>
                <w:color w:val="000000"/>
                <w:sz w:val="18"/>
                <w:szCs w:val="18"/>
              </w:rPr>
              <w:t xml:space="preserve">-131,566,857.82 </w:t>
            </w:r>
          </w:p>
        </w:tc>
        <w:tc>
          <w:tcPr>
            <w:tcW w:w="1786" w:type="dxa"/>
            <w:vAlign w:val="center"/>
          </w:tcPr>
          <w:p w14:paraId="731A02E1">
            <w:pPr>
              <w:jc w:val="right"/>
              <w:rPr>
                <w:rFonts w:ascii="Arial Narrow" w:hAnsi="Arial Narrow"/>
                <w:sz w:val="18"/>
                <w:szCs w:val="18"/>
              </w:rPr>
            </w:pPr>
            <w:r>
              <w:rPr>
                <w:rFonts w:ascii="Arial Narrow" w:hAnsi="Arial Narrow" w:eastAsia="等线"/>
                <w:color w:val="000000"/>
                <w:sz w:val="18"/>
                <w:szCs w:val="18"/>
              </w:rPr>
              <w:t xml:space="preserve">-236,246,908.94 </w:t>
            </w:r>
          </w:p>
        </w:tc>
      </w:tr>
      <w:tr w14:paraId="4773C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16bc7260292e4c19ad140bdfdf1ee46c"/>
            <w:id w:val="-1863976307"/>
          </w:sdtPr>
          <w:sdtContent>
            <w:tc>
              <w:tcPr>
                <w:tcW w:w="3211" w:type="dxa"/>
              </w:tcPr>
              <w:p w14:paraId="782B1F79">
                <w:pPr>
                  <w:rPr>
                    <w:rFonts w:hint="eastAsia"/>
                    <w:sz w:val="18"/>
                    <w:szCs w:val="18"/>
                  </w:rPr>
                </w:pPr>
                <w:r>
                  <w:rPr>
                    <w:rFonts w:hint="eastAsia"/>
                    <w:sz w:val="18"/>
                    <w:szCs w:val="18"/>
                  </w:rPr>
                  <w:t>（一）综合收益总额</w:t>
                </w:r>
              </w:p>
            </w:tc>
          </w:sdtContent>
        </w:sdt>
        <w:tc>
          <w:tcPr>
            <w:tcW w:w="1837" w:type="dxa"/>
            <w:tcBorders>
              <w:right w:val="single" w:color="auto" w:sz="4" w:space="0"/>
            </w:tcBorders>
            <w:vAlign w:val="center"/>
          </w:tcPr>
          <w:p w14:paraId="29634DB5">
            <w:pPr>
              <w:jc w:val="right"/>
              <w:rPr>
                <w:rFonts w:ascii="Arial Narrow" w:hAnsi="Arial Narrow"/>
                <w:sz w:val="18"/>
                <w:szCs w:val="18"/>
              </w:rPr>
            </w:pPr>
          </w:p>
        </w:tc>
        <w:tc>
          <w:tcPr>
            <w:tcW w:w="1795" w:type="dxa"/>
            <w:vAlign w:val="center"/>
          </w:tcPr>
          <w:p w14:paraId="61A8F032">
            <w:pPr>
              <w:jc w:val="right"/>
              <w:rPr>
                <w:rFonts w:ascii="Arial Narrow" w:hAnsi="Arial Narrow"/>
                <w:sz w:val="18"/>
                <w:szCs w:val="18"/>
              </w:rPr>
            </w:pPr>
          </w:p>
        </w:tc>
        <w:tc>
          <w:tcPr>
            <w:tcW w:w="1782" w:type="dxa"/>
            <w:vAlign w:val="center"/>
          </w:tcPr>
          <w:p w14:paraId="29138708">
            <w:pPr>
              <w:jc w:val="right"/>
              <w:rPr>
                <w:rFonts w:ascii="Arial Narrow" w:hAnsi="Arial Narrow"/>
                <w:sz w:val="18"/>
                <w:szCs w:val="18"/>
              </w:rPr>
            </w:pPr>
            <w:r>
              <w:rPr>
                <w:rFonts w:ascii="Arial Narrow" w:hAnsi="Arial Narrow" w:eastAsia="等线"/>
                <w:color w:val="000000"/>
                <w:sz w:val="18"/>
                <w:szCs w:val="18"/>
              </w:rPr>
              <w:t xml:space="preserve">-111,585,367.37 </w:t>
            </w:r>
          </w:p>
        </w:tc>
        <w:tc>
          <w:tcPr>
            <w:tcW w:w="1781" w:type="dxa"/>
            <w:vAlign w:val="center"/>
          </w:tcPr>
          <w:p w14:paraId="6D3001B7">
            <w:pPr>
              <w:jc w:val="right"/>
              <w:rPr>
                <w:rFonts w:ascii="Arial Narrow" w:hAnsi="Arial Narrow"/>
                <w:sz w:val="18"/>
                <w:szCs w:val="18"/>
              </w:rPr>
            </w:pPr>
          </w:p>
        </w:tc>
        <w:tc>
          <w:tcPr>
            <w:tcW w:w="1768" w:type="dxa"/>
            <w:vAlign w:val="center"/>
          </w:tcPr>
          <w:p w14:paraId="65BEB214">
            <w:pPr>
              <w:jc w:val="right"/>
              <w:rPr>
                <w:rFonts w:ascii="Arial Narrow" w:hAnsi="Arial Narrow"/>
                <w:sz w:val="18"/>
                <w:szCs w:val="18"/>
              </w:rPr>
            </w:pPr>
            <w:r>
              <w:rPr>
                <w:rFonts w:ascii="Arial Narrow" w:hAnsi="Arial Narrow" w:eastAsia="等线"/>
                <w:color w:val="000000"/>
                <w:sz w:val="18"/>
                <w:szCs w:val="18"/>
              </w:rPr>
              <w:t xml:space="preserve">202,249.22 </w:t>
            </w:r>
          </w:p>
        </w:tc>
        <w:tc>
          <w:tcPr>
            <w:tcW w:w="1786" w:type="dxa"/>
            <w:vAlign w:val="center"/>
          </w:tcPr>
          <w:p w14:paraId="5FC298FB">
            <w:pPr>
              <w:jc w:val="right"/>
              <w:rPr>
                <w:rFonts w:ascii="Arial Narrow" w:hAnsi="Arial Narrow"/>
                <w:sz w:val="18"/>
                <w:szCs w:val="18"/>
              </w:rPr>
            </w:pPr>
            <w:r>
              <w:rPr>
                <w:rFonts w:ascii="Arial Narrow" w:hAnsi="Arial Narrow" w:eastAsia="等线"/>
                <w:color w:val="000000"/>
                <w:sz w:val="18"/>
                <w:szCs w:val="18"/>
              </w:rPr>
              <w:t xml:space="preserve">-111,383,118.15 </w:t>
            </w:r>
          </w:p>
        </w:tc>
      </w:tr>
      <w:tr w14:paraId="4E0E9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878006a38fe64d8788706ec54fa4a47b"/>
            <w:id w:val="1843594678"/>
          </w:sdtPr>
          <w:sdtContent>
            <w:tc>
              <w:tcPr>
                <w:tcW w:w="3211" w:type="dxa"/>
              </w:tcPr>
              <w:p w14:paraId="40CE3426">
                <w:pPr>
                  <w:rPr>
                    <w:rFonts w:hint="eastAsia"/>
                    <w:sz w:val="18"/>
                    <w:szCs w:val="18"/>
                  </w:rPr>
                </w:pPr>
                <w:r>
                  <w:rPr>
                    <w:sz w:val="18"/>
                    <w:szCs w:val="18"/>
                  </w:rPr>
                  <w:t>（</w:t>
                </w:r>
                <w:r>
                  <w:rPr>
                    <w:rFonts w:hint="eastAsia"/>
                    <w:sz w:val="18"/>
                    <w:szCs w:val="18"/>
                  </w:rPr>
                  <w:t>二</w:t>
                </w:r>
                <w:r>
                  <w:rPr>
                    <w:sz w:val="18"/>
                    <w:szCs w:val="18"/>
                  </w:rPr>
                  <w:t>）所有者投入和减少资本</w:t>
                </w:r>
              </w:p>
            </w:tc>
          </w:sdtContent>
        </w:sdt>
        <w:tc>
          <w:tcPr>
            <w:tcW w:w="1837" w:type="dxa"/>
            <w:tcBorders>
              <w:right w:val="single" w:color="auto" w:sz="4" w:space="0"/>
            </w:tcBorders>
            <w:vAlign w:val="center"/>
          </w:tcPr>
          <w:p w14:paraId="41B35E56">
            <w:pPr>
              <w:jc w:val="right"/>
              <w:rPr>
                <w:rFonts w:ascii="Arial Narrow" w:hAnsi="Arial Narrow"/>
                <w:sz w:val="18"/>
                <w:szCs w:val="18"/>
              </w:rPr>
            </w:pPr>
          </w:p>
        </w:tc>
        <w:tc>
          <w:tcPr>
            <w:tcW w:w="1795" w:type="dxa"/>
            <w:vAlign w:val="center"/>
          </w:tcPr>
          <w:p w14:paraId="1936DC7D">
            <w:pPr>
              <w:jc w:val="right"/>
              <w:rPr>
                <w:rFonts w:ascii="Arial Narrow" w:hAnsi="Arial Narrow"/>
                <w:sz w:val="18"/>
                <w:szCs w:val="18"/>
              </w:rPr>
            </w:pPr>
            <w:r>
              <w:rPr>
                <w:rFonts w:ascii="Arial Narrow" w:hAnsi="Arial Narrow" w:eastAsia="等线"/>
                <w:color w:val="000000"/>
                <w:sz w:val="18"/>
                <w:szCs w:val="18"/>
              </w:rPr>
              <w:t xml:space="preserve">6,885,091.33 </w:t>
            </w:r>
          </w:p>
        </w:tc>
        <w:tc>
          <w:tcPr>
            <w:tcW w:w="1782" w:type="dxa"/>
            <w:vAlign w:val="center"/>
          </w:tcPr>
          <w:p w14:paraId="68B579AE">
            <w:pPr>
              <w:jc w:val="right"/>
              <w:rPr>
                <w:rFonts w:ascii="Arial Narrow" w:hAnsi="Arial Narrow"/>
                <w:sz w:val="18"/>
                <w:szCs w:val="18"/>
              </w:rPr>
            </w:pPr>
          </w:p>
        </w:tc>
        <w:tc>
          <w:tcPr>
            <w:tcW w:w="1781" w:type="dxa"/>
            <w:vAlign w:val="center"/>
          </w:tcPr>
          <w:p w14:paraId="1509F2FD">
            <w:pPr>
              <w:jc w:val="right"/>
              <w:rPr>
                <w:rFonts w:ascii="Arial Narrow" w:hAnsi="Arial Narrow"/>
                <w:sz w:val="18"/>
                <w:szCs w:val="18"/>
              </w:rPr>
            </w:pPr>
          </w:p>
        </w:tc>
        <w:tc>
          <w:tcPr>
            <w:tcW w:w="1768" w:type="dxa"/>
            <w:vAlign w:val="center"/>
          </w:tcPr>
          <w:p w14:paraId="39BB812B">
            <w:pPr>
              <w:jc w:val="right"/>
              <w:rPr>
                <w:rFonts w:ascii="Arial Narrow" w:hAnsi="Arial Narrow"/>
                <w:sz w:val="18"/>
                <w:szCs w:val="18"/>
              </w:rPr>
            </w:pPr>
          </w:p>
        </w:tc>
        <w:tc>
          <w:tcPr>
            <w:tcW w:w="1786" w:type="dxa"/>
            <w:vAlign w:val="center"/>
          </w:tcPr>
          <w:p w14:paraId="69571D5E">
            <w:pPr>
              <w:jc w:val="right"/>
              <w:rPr>
                <w:rFonts w:ascii="Arial Narrow" w:hAnsi="Arial Narrow"/>
                <w:sz w:val="18"/>
                <w:szCs w:val="18"/>
              </w:rPr>
            </w:pPr>
            <w:r>
              <w:rPr>
                <w:rFonts w:ascii="Arial Narrow" w:hAnsi="Arial Narrow" w:eastAsia="等线"/>
                <w:color w:val="000000"/>
                <w:sz w:val="18"/>
                <w:szCs w:val="18"/>
              </w:rPr>
              <w:t xml:space="preserve">6,885,091.33 </w:t>
            </w:r>
          </w:p>
        </w:tc>
      </w:tr>
      <w:tr w14:paraId="7ADDB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2bb07b8c813f401e9b889121fc03b9bd"/>
            <w:id w:val="1240222066"/>
          </w:sdtPr>
          <w:sdtContent>
            <w:tc>
              <w:tcPr>
                <w:tcW w:w="3211" w:type="dxa"/>
              </w:tcPr>
              <w:p w14:paraId="7A9F6ACF">
                <w:pPr>
                  <w:rPr>
                    <w:rFonts w:hint="eastAsia"/>
                    <w:sz w:val="18"/>
                    <w:szCs w:val="18"/>
                  </w:rPr>
                </w:pPr>
                <w:r>
                  <w:rPr>
                    <w:rFonts w:hint="eastAsia"/>
                    <w:sz w:val="18"/>
                    <w:szCs w:val="18"/>
                  </w:rPr>
                  <w:t>4</w:t>
                </w:r>
                <w:r>
                  <w:rPr>
                    <w:sz w:val="18"/>
                    <w:szCs w:val="18"/>
                  </w:rPr>
                  <w:t>．其他</w:t>
                </w:r>
              </w:p>
            </w:tc>
          </w:sdtContent>
        </w:sdt>
        <w:tc>
          <w:tcPr>
            <w:tcW w:w="1837" w:type="dxa"/>
            <w:tcBorders>
              <w:right w:val="single" w:color="auto" w:sz="4" w:space="0"/>
            </w:tcBorders>
            <w:vAlign w:val="center"/>
          </w:tcPr>
          <w:p w14:paraId="50D18860">
            <w:pPr>
              <w:jc w:val="right"/>
              <w:rPr>
                <w:rFonts w:ascii="Arial Narrow" w:hAnsi="Arial Narrow"/>
                <w:sz w:val="18"/>
                <w:szCs w:val="18"/>
              </w:rPr>
            </w:pPr>
          </w:p>
        </w:tc>
        <w:tc>
          <w:tcPr>
            <w:tcW w:w="1795" w:type="dxa"/>
            <w:vAlign w:val="center"/>
          </w:tcPr>
          <w:p w14:paraId="1169AA69">
            <w:pPr>
              <w:jc w:val="right"/>
              <w:rPr>
                <w:rFonts w:ascii="Arial Narrow" w:hAnsi="Arial Narrow"/>
                <w:sz w:val="18"/>
                <w:szCs w:val="18"/>
              </w:rPr>
            </w:pPr>
            <w:r>
              <w:rPr>
                <w:rFonts w:ascii="Arial Narrow" w:hAnsi="Arial Narrow" w:eastAsia="等线"/>
                <w:color w:val="000000"/>
                <w:sz w:val="18"/>
                <w:szCs w:val="18"/>
              </w:rPr>
              <w:t xml:space="preserve">6,885,091.33 </w:t>
            </w:r>
          </w:p>
        </w:tc>
        <w:tc>
          <w:tcPr>
            <w:tcW w:w="1782" w:type="dxa"/>
            <w:vAlign w:val="center"/>
          </w:tcPr>
          <w:p w14:paraId="1DBB4853">
            <w:pPr>
              <w:jc w:val="right"/>
              <w:rPr>
                <w:rFonts w:ascii="Arial Narrow" w:hAnsi="Arial Narrow"/>
                <w:sz w:val="18"/>
                <w:szCs w:val="18"/>
              </w:rPr>
            </w:pPr>
          </w:p>
        </w:tc>
        <w:tc>
          <w:tcPr>
            <w:tcW w:w="1781" w:type="dxa"/>
            <w:vAlign w:val="center"/>
          </w:tcPr>
          <w:p w14:paraId="34D26B40">
            <w:pPr>
              <w:jc w:val="right"/>
              <w:rPr>
                <w:rFonts w:ascii="Arial Narrow" w:hAnsi="Arial Narrow"/>
                <w:sz w:val="18"/>
                <w:szCs w:val="18"/>
              </w:rPr>
            </w:pPr>
          </w:p>
        </w:tc>
        <w:tc>
          <w:tcPr>
            <w:tcW w:w="1768" w:type="dxa"/>
            <w:vAlign w:val="center"/>
          </w:tcPr>
          <w:p w14:paraId="07693A97">
            <w:pPr>
              <w:jc w:val="right"/>
              <w:rPr>
                <w:rFonts w:ascii="Arial Narrow" w:hAnsi="Arial Narrow"/>
                <w:sz w:val="18"/>
                <w:szCs w:val="18"/>
              </w:rPr>
            </w:pPr>
          </w:p>
        </w:tc>
        <w:tc>
          <w:tcPr>
            <w:tcW w:w="1786" w:type="dxa"/>
            <w:vAlign w:val="center"/>
          </w:tcPr>
          <w:p w14:paraId="6AF95924">
            <w:pPr>
              <w:jc w:val="right"/>
              <w:rPr>
                <w:rFonts w:ascii="Arial Narrow" w:hAnsi="Arial Narrow"/>
                <w:sz w:val="18"/>
                <w:szCs w:val="18"/>
              </w:rPr>
            </w:pPr>
            <w:r>
              <w:rPr>
                <w:rFonts w:ascii="Arial Narrow" w:hAnsi="Arial Narrow" w:eastAsia="等线"/>
                <w:color w:val="000000"/>
                <w:sz w:val="18"/>
                <w:szCs w:val="18"/>
              </w:rPr>
              <w:t xml:space="preserve">6,885,091.33 </w:t>
            </w:r>
          </w:p>
        </w:tc>
      </w:tr>
      <w:tr w14:paraId="7B264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b280cf7ceeaa4dd8b4b782055ca20607"/>
            <w:id w:val="-345183769"/>
          </w:sdtPr>
          <w:sdtContent>
            <w:tc>
              <w:tcPr>
                <w:tcW w:w="3211" w:type="dxa"/>
              </w:tcPr>
              <w:p w14:paraId="2634DA02">
                <w:pPr>
                  <w:rPr>
                    <w:rFonts w:hint="eastAsia"/>
                    <w:sz w:val="18"/>
                    <w:szCs w:val="18"/>
                  </w:rPr>
                </w:pPr>
                <w:r>
                  <w:rPr>
                    <w:sz w:val="18"/>
                    <w:szCs w:val="18"/>
                  </w:rPr>
                  <w:t>（</w:t>
                </w:r>
                <w:r>
                  <w:rPr>
                    <w:rFonts w:hint="eastAsia"/>
                    <w:sz w:val="18"/>
                    <w:szCs w:val="18"/>
                  </w:rPr>
                  <w:t>三</w:t>
                </w:r>
                <w:r>
                  <w:rPr>
                    <w:sz w:val="18"/>
                    <w:szCs w:val="18"/>
                  </w:rPr>
                  <w:t>）利润分配</w:t>
                </w:r>
              </w:p>
            </w:tc>
          </w:sdtContent>
        </w:sdt>
        <w:tc>
          <w:tcPr>
            <w:tcW w:w="1837" w:type="dxa"/>
            <w:tcBorders>
              <w:right w:val="single" w:color="auto" w:sz="4" w:space="0"/>
            </w:tcBorders>
            <w:vAlign w:val="center"/>
          </w:tcPr>
          <w:p w14:paraId="549C3F64">
            <w:pPr>
              <w:jc w:val="right"/>
              <w:rPr>
                <w:rFonts w:ascii="Arial Narrow" w:hAnsi="Arial Narrow"/>
                <w:sz w:val="18"/>
                <w:szCs w:val="18"/>
              </w:rPr>
            </w:pPr>
          </w:p>
        </w:tc>
        <w:tc>
          <w:tcPr>
            <w:tcW w:w="1795" w:type="dxa"/>
            <w:vAlign w:val="center"/>
          </w:tcPr>
          <w:p w14:paraId="0938AFCE">
            <w:pPr>
              <w:jc w:val="right"/>
              <w:rPr>
                <w:rFonts w:ascii="Arial Narrow" w:hAnsi="Arial Narrow"/>
                <w:sz w:val="18"/>
                <w:szCs w:val="18"/>
              </w:rPr>
            </w:pPr>
          </w:p>
        </w:tc>
        <w:tc>
          <w:tcPr>
            <w:tcW w:w="1782" w:type="dxa"/>
            <w:vAlign w:val="center"/>
          </w:tcPr>
          <w:p w14:paraId="5EBD2875">
            <w:pPr>
              <w:jc w:val="right"/>
              <w:rPr>
                <w:rFonts w:ascii="Arial Narrow" w:hAnsi="Arial Narrow"/>
                <w:sz w:val="18"/>
                <w:szCs w:val="18"/>
              </w:rPr>
            </w:pPr>
          </w:p>
        </w:tc>
        <w:tc>
          <w:tcPr>
            <w:tcW w:w="1781" w:type="dxa"/>
            <w:vAlign w:val="center"/>
          </w:tcPr>
          <w:p w14:paraId="19C5FA4E">
            <w:pPr>
              <w:jc w:val="right"/>
              <w:rPr>
                <w:rFonts w:ascii="Arial Narrow" w:hAnsi="Arial Narrow"/>
                <w:sz w:val="18"/>
                <w:szCs w:val="18"/>
              </w:rPr>
            </w:pPr>
            <w:r>
              <w:rPr>
                <w:rFonts w:ascii="Arial Narrow" w:hAnsi="Arial Narrow" w:eastAsia="等线"/>
                <w:color w:val="000000"/>
                <w:sz w:val="18"/>
                <w:szCs w:val="18"/>
              </w:rPr>
              <w:t xml:space="preserve">20,224.92 </w:t>
            </w:r>
          </w:p>
        </w:tc>
        <w:tc>
          <w:tcPr>
            <w:tcW w:w="1768" w:type="dxa"/>
            <w:vAlign w:val="center"/>
          </w:tcPr>
          <w:p w14:paraId="5B204818">
            <w:pPr>
              <w:jc w:val="right"/>
              <w:rPr>
                <w:rFonts w:ascii="Arial Narrow" w:hAnsi="Arial Narrow"/>
                <w:sz w:val="18"/>
                <w:szCs w:val="18"/>
              </w:rPr>
            </w:pPr>
            <w:r>
              <w:rPr>
                <w:rFonts w:ascii="Arial Narrow" w:hAnsi="Arial Narrow" w:eastAsia="等线"/>
                <w:color w:val="000000"/>
                <w:sz w:val="18"/>
                <w:szCs w:val="18"/>
              </w:rPr>
              <w:t xml:space="preserve">-131,769,107.04 </w:t>
            </w:r>
          </w:p>
        </w:tc>
        <w:tc>
          <w:tcPr>
            <w:tcW w:w="1786" w:type="dxa"/>
            <w:vAlign w:val="center"/>
          </w:tcPr>
          <w:p w14:paraId="007A9EAF">
            <w:pPr>
              <w:jc w:val="right"/>
              <w:rPr>
                <w:rFonts w:ascii="Arial Narrow" w:hAnsi="Arial Narrow"/>
                <w:sz w:val="18"/>
                <w:szCs w:val="18"/>
              </w:rPr>
            </w:pPr>
            <w:r>
              <w:rPr>
                <w:rFonts w:ascii="Arial Narrow" w:hAnsi="Arial Narrow" w:eastAsia="等线"/>
                <w:color w:val="000000"/>
                <w:sz w:val="18"/>
                <w:szCs w:val="18"/>
              </w:rPr>
              <w:t xml:space="preserve">-131,748,882.12 </w:t>
            </w:r>
          </w:p>
        </w:tc>
      </w:tr>
      <w:tr w14:paraId="5ADA5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bae08be416ce4c01886da1cc65a38bd8"/>
            <w:id w:val="-1376621114"/>
          </w:sdtPr>
          <w:sdtContent>
            <w:tc>
              <w:tcPr>
                <w:tcW w:w="3211" w:type="dxa"/>
              </w:tcPr>
              <w:p w14:paraId="07053A25">
                <w:pPr>
                  <w:rPr>
                    <w:rFonts w:hint="eastAsia"/>
                    <w:sz w:val="18"/>
                    <w:szCs w:val="18"/>
                  </w:rPr>
                </w:pPr>
                <w:r>
                  <w:rPr>
                    <w:sz w:val="18"/>
                    <w:szCs w:val="18"/>
                  </w:rPr>
                  <w:t>1．提取盈余公积</w:t>
                </w:r>
              </w:p>
            </w:tc>
          </w:sdtContent>
        </w:sdt>
        <w:tc>
          <w:tcPr>
            <w:tcW w:w="1837" w:type="dxa"/>
            <w:tcBorders>
              <w:right w:val="single" w:color="auto" w:sz="4" w:space="0"/>
            </w:tcBorders>
            <w:vAlign w:val="center"/>
          </w:tcPr>
          <w:p w14:paraId="6E943F15">
            <w:pPr>
              <w:jc w:val="right"/>
              <w:rPr>
                <w:rFonts w:ascii="Arial Narrow" w:hAnsi="Arial Narrow"/>
                <w:sz w:val="18"/>
                <w:szCs w:val="18"/>
              </w:rPr>
            </w:pPr>
          </w:p>
        </w:tc>
        <w:tc>
          <w:tcPr>
            <w:tcW w:w="1795" w:type="dxa"/>
            <w:vAlign w:val="center"/>
          </w:tcPr>
          <w:p w14:paraId="4844F7D3">
            <w:pPr>
              <w:jc w:val="right"/>
              <w:rPr>
                <w:rFonts w:ascii="Arial Narrow" w:hAnsi="Arial Narrow"/>
                <w:sz w:val="18"/>
                <w:szCs w:val="18"/>
              </w:rPr>
            </w:pPr>
          </w:p>
        </w:tc>
        <w:tc>
          <w:tcPr>
            <w:tcW w:w="1782" w:type="dxa"/>
            <w:vAlign w:val="center"/>
          </w:tcPr>
          <w:p w14:paraId="18E42269">
            <w:pPr>
              <w:jc w:val="right"/>
              <w:rPr>
                <w:rFonts w:ascii="Arial Narrow" w:hAnsi="Arial Narrow"/>
                <w:sz w:val="18"/>
                <w:szCs w:val="18"/>
              </w:rPr>
            </w:pPr>
          </w:p>
        </w:tc>
        <w:tc>
          <w:tcPr>
            <w:tcW w:w="1781" w:type="dxa"/>
            <w:vAlign w:val="center"/>
          </w:tcPr>
          <w:p w14:paraId="0308D7F0">
            <w:pPr>
              <w:jc w:val="right"/>
              <w:rPr>
                <w:rFonts w:ascii="Arial Narrow" w:hAnsi="Arial Narrow"/>
                <w:sz w:val="18"/>
                <w:szCs w:val="18"/>
              </w:rPr>
            </w:pPr>
            <w:r>
              <w:rPr>
                <w:rFonts w:ascii="Arial Narrow" w:hAnsi="Arial Narrow" w:eastAsia="等线"/>
                <w:color w:val="000000"/>
                <w:sz w:val="18"/>
                <w:szCs w:val="18"/>
              </w:rPr>
              <w:t xml:space="preserve">20,224.92 </w:t>
            </w:r>
          </w:p>
        </w:tc>
        <w:tc>
          <w:tcPr>
            <w:tcW w:w="1768" w:type="dxa"/>
            <w:vAlign w:val="center"/>
          </w:tcPr>
          <w:p w14:paraId="0550B1BC">
            <w:pPr>
              <w:jc w:val="right"/>
              <w:rPr>
                <w:rFonts w:ascii="Arial Narrow" w:hAnsi="Arial Narrow"/>
                <w:sz w:val="18"/>
                <w:szCs w:val="18"/>
              </w:rPr>
            </w:pPr>
            <w:r>
              <w:rPr>
                <w:rFonts w:ascii="Arial Narrow" w:hAnsi="Arial Narrow" w:eastAsia="等线"/>
                <w:color w:val="000000"/>
                <w:sz w:val="18"/>
                <w:szCs w:val="18"/>
              </w:rPr>
              <w:t xml:space="preserve">-20,224.92 </w:t>
            </w:r>
          </w:p>
        </w:tc>
        <w:tc>
          <w:tcPr>
            <w:tcW w:w="1786" w:type="dxa"/>
            <w:vAlign w:val="center"/>
          </w:tcPr>
          <w:p w14:paraId="03BF3ED6">
            <w:pPr>
              <w:jc w:val="right"/>
              <w:rPr>
                <w:rFonts w:ascii="Arial Narrow" w:hAnsi="Arial Narrow"/>
                <w:sz w:val="18"/>
                <w:szCs w:val="18"/>
              </w:rPr>
            </w:pPr>
          </w:p>
        </w:tc>
      </w:tr>
      <w:tr w14:paraId="41B8C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4deac8941f8344f99337c17d7e8feb6f"/>
            <w:id w:val="-1901431106"/>
          </w:sdtPr>
          <w:sdtContent>
            <w:tc>
              <w:tcPr>
                <w:tcW w:w="3211" w:type="dxa"/>
              </w:tcPr>
              <w:p w14:paraId="0472AE4D">
                <w:pPr>
                  <w:rPr>
                    <w:rFonts w:hint="eastAsia"/>
                    <w:sz w:val="18"/>
                    <w:szCs w:val="18"/>
                  </w:rPr>
                </w:pPr>
                <w:r>
                  <w:rPr>
                    <w:rFonts w:hint="eastAsia"/>
                    <w:sz w:val="18"/>
                    <w:szCs w:val="18"/>
                  </w:rPr>
                  <w:t>2</w:t>
                </w:r>
                <w:r>
                  <w:rPr>
                    <w:sz w:val="18"/>
                    <w:szCs w:val="18"/>
                  </w:rPr>
                  <w:t>．对所有者（或股东）的分配</w:t>
                </w:r>
              </w:p>
            </w:tc>
          </w:sdtContent>
        </w:sdt>
        <w:tc>
          <w:tcPr>
            <w:tcW w:w="1837" w:type="dxa"/>
            <w:tcBorders>
              <w:right w:val="single" w:color="auto" w:sz="4" w:space="0"/>
            </w:tcBorders>
            <w:vAlign w:val="center"/>
          </w:tcPr>
          <w:p w14:paraId="3E957B8B">
            <w:pPr>
              <w:jc w:val="right"/>
              <w:rPr>
                <w:rFonts w:ascii="Arial Narrow" w:hAnsi="Arial Narrow"/>
                <w:sz w:val="18"/>
                <w:szCs w:val="18"/>
              </w:rPr>
            </w:pPr>
          </w:p>
        </w:tc>
        <w:tc>
          <w:tcPr>
            <w:tcW w:w="1795" w:type="dxa"/>
            <w:vAlign w:val="center"/>
          </w:tcPr>
          <w:p w14:paraId="07B1467C">
            <w:pPr>
              <w:jc w:val="right"/>
              <w:rPr>
                <w:rFonts w:ascii="Arial Narrow" w:hAnsi="Arial Narrow"/>
                <w:sz w:val="18"/>
                <w:szCs w:val="18"/>
              </w:rPr>
            </w:pPr>
          </w:p>
        </w:tc>
        <w:tc>
          <w:tcPr>
            <w:tcW w:w="1782" w:type="dxa"/>
            <w:vAlign w:val="center"/>
          </w:tcPr>
          <w:p w14:paraId="36E9C55C">
            <w:pPr>
              <w:jc w:val="right"/>
              <w:rPr>
                <w:rFonts w:ascii="Arial Narrow" w:hAnsi="Arial Narrow"/>
                <w:sz w:val="18"/>
                <w:szCs w:val="18"/>
              </w:rPr>
            </w:pPr>
          </w:p>
        </w:tc>
        <w:tc>
          <w:tcPr>
            <w:tcW w:w="1781" w:type="dxa"/>
            <w:vAlign w:val="center"/>
          </w:tcPr>
          <w:p w14:paraId="41452ABF">
            <w:pPr>
              <w:jc w:val="right"/>
              <w:rPr>
                <w:rFonts w:ascii="Arial Narrow" w:hAnsi="Arial Narrow"/>
                <w:sz w:val="18"/>
                <w:szCs w:val="18"/>
              </w:rPr>
            </w:pPr>
          </w:p>
        </w:tc>
        <w:tc>
          <w:tcPr>
            <w:tcW w:w="1768" w:type="dxa"/>
            <w:vAlign w:val="center"/>
          </w:tcPr>
          <w:p w14:paraId="1585B070">
            <w:pPr>
              <w:jc w:val="right"/>
              <w:rPr>
                <w:rFonts w:ascii="Arial Narrow" w:hAnsi="Arial Narrow"/>
                <w:sz w:val="18"/>
                <w:szCs w:val="18"/>
              </w:rPr>
            </w:pPr>
            <w:r>
              <w:rPr>
                <w:rFonts w:ascii="Arial Narrow" w:hAnsi="Arial Narrow" w:eastAsia="等线"/>
                <w:color w:val="000000"/>
                <w:sz w:val="18"/>
                <w:szCs w:val="18"/>
              </w:rPr>
              <w:t xml:space="preserve">-131,748,882.12 </w:t>
            </w:r>
          </w:p>
        </w:tc>
        <w:tc>
          <w:tcPr>
            <w:tcW w:w="1786" w:type="dxa"/>
            <w:vAlign w:val="center"/>
          </w:tcPr>
          <w:p w14:paraId="44CE845D">
            <w:pPr>
              <w:jc w:val="right"/>
              <w:rPr>
                <w:rFonts w:ascii="Arial Narrow" w:hAnsi="Arial Narrow"/>
                <w:sz w:val="18"/>
                <w:szCs w:val="18"/>
              </w:rPr>
            </w:pPr>
            <w:r>
              <w:rPr>
                <w:rFonts w:ascii="Arial Narrow" w:hAnsi="Arial Narrow" w:eastAsia="等线"/>
                <w:color w:val="000000"/>
                <w:sz w:val="18"/>
                <w:szCs w:val="18"/>
              </w:rPr>
              <w:t xml:space="preserve">-131,748,882.12 </w:t>
            </w:r>
          </w:p>
        </w:tc>
      </w:tr>
      <w:tr w14:paraId="508CB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0d209cea233c428da026233fffdd75cf"/>
            <w:id w:val="-258135764"/>
          </w:sdtPr>
          <w:sdtContent>
            <w:tc>
              <w:tcPr>
                <w:tcW w:w="3211" w:type="dxa"/>
              </w:tcPr>
              <w:p w14:paraId="2207224F">
                <w:pPr>
                  <w:rPr>
                    <w:rFonts w:hint="eastAsia"/>
                    <w:sz w:val="18"/>
                    <w:szCs w:val="18"/>
                  </w:rPr>
                </w:pPr>
                <w:r>
                  <w:rPr>
                    <w:sz w:val="18"/>
                    <w:szCs w:val="18"/>
                  </w:rPr>
                  <w:t>四、本期期末余额</w:t>
                </w:r>
              </w:p>
            </w:tc>
          </w:sdtContent>
        </w:sdt>
        <w:tc>
          <w:tcPr>
            <w:tcW w:w="1837" w:type="dxa"/>
            <w:tcBorders>
              <w:right w:val="single" w:color="auto" w:sz="4" w:space="0"/>
            </w:tcBorders>
            <w:vAlign w:val="center"/>
          </w:tcPr>
          <w:p w14:paraId="06BBF231">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vAlign w:val="center"/>
          </w:tcPr>
          <w:p w14:paraId="7346EBD5">
            <w:pPr>
              <w:jc w:val="right"/>
              <w:rPr>
                <w:rFonts w:ascii="Arial Narrow" w:hAnsi="Arial Narrow"/>
                <w:sz w:val="18"/>
                <w:szCs w:val="18"/>
              </w:rPr>
            </w:pPr>
            <w:r>
              <w:rPr>
                <w:rFonts w:ascii="Arial Narrow" w:hAnsi="Arial Narrow" w:eastAsia="等线"/>
                <w:color w:val="000000"/>
                <w:sz w:val="18"/>
                <w:szCs w:val="18"/>
              </w:rPr>
              <w:t xml:space="preserve">7,852,925,237.95 </w:t>
            </w:r>
          </w:p>
        </w:tc>
        <w:tc>
          <w:tcPr>
            <w:tcW w:w="1782" w:type="dxa"/>
            <w:vAlign w:val="center"/>
          </w:tcPr>
          <w:p w14:paraId="02D246C4">
            <w:pPr>
              <w:jc w:val="right"/>
              <w:rPr>
                <w:rFonts w:ascii="Arial Narrow" w:hAnsi="Arial Narrow"/>
                <w:sz w:val="18"/>
                <w:szCs w:val="18"/>
              </w:rPr>
            </w:pPr>
            <w:r>
              <w:rPr>
                <w:rFonts w:ascii="Arial Narrow" w:hAnsi="Arial Narrow" w:eastAsia="等线"/>
                <w:color w:val="000000"/>
                <w:sz w:val="18"/>
                <w:szCs w:val="18"/>
              </w:rPr>
              <w:t xml:space="preserve">-225,999,968.83 </w:t>
            </w:r>
          </w:p>
        </w:tc>
        <w:tc>
          <w:tcPr>
            <w:tcW w:w="1781" w:type="dxa"/>
            <w:vAlign w:val="center"/>
          </w:tcPr>
          <w:p w14:paraId="57F16E65">
            <w:pPr>
              <w:jc w:val="right"/>
              <w:rPr>
                <w:rFonts w:ascii="Arial Narrow" w:hAnsi="Arial Narrow"/>
                <w:sz w:val="18"/>
                <w:szCs w:val="18"/>
              </w:rPr>
            </w:pPr>
            <w:r>
              <w:rPr>
                <w:rFonts w:ascii="Arial Narrow" w:hAnsi="Arial Narrow" w:eastAsia="等线"/>
                <w:color w:val="000000"/>
                <w:sz w:val="18"/>
                <w:szCs w:val="18"/>
              </w:rPr>
              <w:t xml:space="preserve">369,677,423.82 </w:t>
            </w:r>
          </w:p>
        </w:tc>
        <w:tc>
          <w:tcPr>
            <w:tcW w:w="1768" w:type="dxa"/>
            <w:vAlign w:val="center"/>
          </w:tcPr>
          <w:p w14:paraId="64250470">
            <w:pPr>
              <w:jc w:val="right"/>
              <w:rPr>
                <w:rFonts w:ascii="Arial Narrow" w:hAnsi="Arial Narrow"/>
                <w:sz w:val="18"/>
                <w:szCs w:val="18"/>
              </w:rPr>
            </w:pPr>
            <w:r>
              <w:rPr>
                <w:rFonts w:ascii="Arial Narrow" w:hAnsi="Arial Narrow" w:eastAsia="等线"/>
                <w:color w:val="000000"/>
                <w:sz w:val="18"/>
                <w:szCs w:val="18"/>
              </w:rPr>
              <w:t xml:space="preserve">36,192,464.08 </w:t>
            </w:r>
          </w:p>
        </w:tc>
        <w:tc>
          <w:tcPr>
            <w:tcW w:w="1786" w:type="dxa"/>
            <w:vAlign w:val="center"/>
          </w:tcPr>
          <w:p w14:paraId="7B28352B">
            <w:pPr>
              <w:jc w:val="right"/>
              <w:rPr>
                <w:rFonts w:ascii="Arial Narrow" w:hAnsi="Arial Narrow"/>
                <w:sz w:val="18"/>
                <w:szCs w:val="18"/>
              </w:rPr>
            </w:pPr>
            <w:r>
              <w:rPr>
                <w:rFonts w:ascii="Arial Narrow" w:hAnsi="Arial Narrow" w:eastAsia="等线"/>
                <w:color w:val="000000"/>
                <w:sz w:val="18"/>
                <w:szCs w:val="18"/>
              </w:rPr>
              <w:t xml:space="preserve">12,424,424,561.02 </w:t>
            </w:r>
          </w:p>
        </w:tc>
      </w:tr>
    </w:tbl>
    <w:p w14:paraId="4128153A">
      <w:pPr>
        <w:rPr>
          <w:rFonts w:hint="eastAsia"/>
        </w:rPr>
      </w:pPr>
    </w:p>
    <w:p w14:paraId="78E3F724">
      <w:pPr>
        <w:rPr>
          <w:rFonts w:hint="eastAsia"/>
          <w:szCs w:val="21"/>
        </w:rPr>
      </w:pPr>
    </w:p>
    <w:tbl>
      <w:tblPr>
        <w:tblStyle w:val="37"/>
        <w:tblW w:w="1390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5"/>
        <w:gridCol w:w="1837"/>
        <w:gridCol w:w="1795"/>
        <w:gridCol w:w="1782"/>
        <w:gridCol w:w="1781"/>
        <w:gridCol w:w="1768"/>
        <w:gridCol w:w="1786"/>
      </w:tblGrid>
      <w:tr w14:paraId="53BC7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3155" w:type="dxa"/>
            <w:vMerge w:val="restart"/>
            <w:vAlign w:val="center"/>
          </w:tcPr>
          <w:sdt>
            <w:sdtPr>
              <w:tag w:val="_PLD_64a794ab75214f6d9d66748804bee4e8"/>
              <w:id w:val="-830294982"/>
            </w:sdtPr>
            <w:sdtContent>
              <w:p w14:paraId="2244C90F">
                <w:pPr>
                  <w:adjustRightInd w:val="0"/>
                  <w:snapToGrid w:val="0"/>
                  <w:jc w:val="center"/>
                  <w:rPr>
                    <w:rFonts w:hint="eastAsia"/>
                    <w:sz w:val="18"/>
                    <w:szCs w:val="18"/>
                  </w:rPr>
                </w:pPr>
                <w:r>
                  <w:rPr>
                    <w:rFonts w:hint="eastAsia"/>
                    <w:sz w:val="18"/>
                    <w:szCs w:val="18"/>
                  </w:rPr>
                  <w:t>项目</w:t>
                </w:r>
              </w:p>
            </w:sdtContent>
          </w:sdt>
        </w:tc>
        <w:tc>
          <w:tcPr>
            <w:tcW w:w="10749" w:type="dxa"/>
            <w:gridSpan w:val="6"/>
          </w:tcPr>
          <w:p w14:paraId="43E217EB">
            <w:pPr>
              <w:adjustRightInd w:val="0"/>
              <w:snapToGrid w:val="0"/>
              <w:jc w:val="center"/>
              <w:rPr>
                <w:rFonts w:hint="eastAsia"/>
                <w:sz w:val="18"/>
              </w:rPr>
            </w:pPr>
            <w:r>
              <w:rPr>
                <w:rFonts w:hint="eastAsia"/>
                <w:sz w:val="18"/>
              </w:rPr>
              <w:t xml:space="preserve"> </w:t>
            </w:r>
            <w:sdt>
              <w:sdtPr>
                <w:tag w:val="_PLD_6226137cffd442dfb505b8cfe7d1f423"/>
                <w:id w:val="1723631912"/>
              </w:sdtPr>
              <w:sdtContent>
                <w:r>
                  <w:rPr>
                    <w:rFonts w:hint="eastAsia"/>
                    <w:sz w:val="18"/>
                  </w:rPr>
                  <w:t>2023年度</w:t>
                </w:r>
              </w:sdtContent>
            </w:sdt>
          </w:p>
        </w:tc>
      </w:tr>
      <w:tr w14:paraId="25A8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trPr>
        <w:tc>
          <w:tcPr>
            <w:tcW w:w="3155" w:type="dxa"/>
            <w:vMerge w:val="continue"/>
          </w:tcPr>
          <w:p w14:paraId="008FCE46">
            <w:pPr>
              <w:adjustRightInd w:val="0"/>
              <w:snapToGrid w:val="0"/>
              <w:rPr>
                <w:rFonts w:hint="eastAsia"/>
                <w:sz w:val="18"/>
                <w:szCs w:val="18"/>
              </w:rPr>
            </w:pPr>
          </w:p>
        </w:tc>
        <w:sdt>
          <w:sdtPr>
            <w:tag w:val="_PLD_e0e316f064db43a38ddec14c349b4dfa"/>
            <w:id w:val="529543259"/>
          </w:sdtPr>
          <w:sdtContent>
            <w:tc>
              <w:tcPr>
                <w:tcW w:w="1837" w:type="dxa"/>
                <w:vMerge w:val="restart"/>
                <w:tcBorders>
                  <w:right w:val="single" w:color="auto" w:sz="4" w:space="0"/>
                </w:tcBorders>
                <w:vAlign w:val="center"/>
              </w:tcPr>
              <w:p w14:paraId="27E901D0">
                <w:pPr>
                  <w:adjustRightInd w:val="0"/>
                  <w:snapToGrid w:val="0"/>
                  <w:jc w:val="center"/>
                  <w:rPr>
                    <w:rFonts w:hint="eastAsia"/>
                    <w:sz w:val="18"/>
                    <w:szCs w:val="18"/>
                  </w:rPr>
                </w:pPr>
                <w:r>
                  <w:rPr>
                    <w:sz w:val="18"/>
                    <w:szCs w:val="18"/>
                  </w:rPr>
                  <w:t>实收资本 (或股本)</w:t>
                </w:r>
              </w:p>
            </w:tc>
          </w:sdtContent>
        </w:sdt>
        <w:sdt>
          <w:sdtPr>
            <w:tag w:val="_PLD_c459549b516242be83fce2e92cc794e6"/>
            <w:id w:val="1381360813"/>
          </w:sdtPr>
          <w:sdtContent>
            <w:tc>
              <w:tcPr>
                <w:tcW w:w="1795" w:type="dxa"/>
                <w:vMerge w:val="restart"/>
                <w:vAlign w:val="center"/>
              </w:tcPr>
              <w:p w14:paraId="30F74CC0">
                <w:pPr>
                  <w:adjustRightInd w:val="0"/>
                  <w:snapToGrid w:val="0"/>
                  <w:jc w:val="center"/>
                  <w:rPr>
                    <w:rFonts w:hint="eastAsia"/>
                    <w:sz w:val="18"/>
                    <w:szCs w:val="18"/>
                  </w:rPr>
                </w:pPr>
                <w:r>
                  <w:rPr>
                    <w:sz w:val="18"/>
                    <w:szCs w:val="18"/>
                  </w:rPr>
                  <w:t>资本公积</w:t>
                </w:r>
              </w:p>
            </w:tc>
          </w:sdtContent>
        </w:sdt>
        <w:sdt>
          <w:sdtPr>
            <w:tag w:val="_PLD_3b870c2efbdc421980e0e6ed21bc828a"/>
            <w:id w:val="686563863"/>
          </w:sdtPr>
          <w:sdtContent>
            <w:tc>
              <w:tcPr>
                <w:tcW w:w="1782" w:type="dxa"/>
                <w:vMerge w:val="restart"/>
                <w:vAlign w:val="center"/>
              </w:tcPr>
              <w:p w14:paraId="1A482BF8">
                <w:pPr>
                  <w:jc w:val="center"/>
                  <w:rPr>
                    <w:rFonts w:hint="eastAsia"/>
                    <w:sz w:val="18"/>
                    <w:szCs w:val="18"/>
                  </w:rPr>
                </w:pPr>
                <w:r>
                  <w:rPr>
                    <w:rFonts w:hint="eastAsia"/>
                    <w:sz w:val="18"/>
                    <w:szCs w:val="18"/>
                  </w:rPr>
                  <w:t>其他综合收益</w:t>
                </w:r>
              </w:p>
            </w:tc>
          </w:sdtContent>
        </w:sdt>
        <w:sdt>
          <w:sdtPr>
            <w:tag w:val="_PLD_eddda9b1710646a5811c9efb65bf8703"/>
            <w:id w:val="225881542"/>
          </w:sdtPr>
          <w:sdtContent>
            <w:tc>
              <w:tcPr>
                <w:tcW w:w="1781" w:type="dxa"/>
                <w:vMerge w:val="restart"/>
                <w:vAlign w:val="center"/>
              </w:tcPr>
              <w:p w14:paraId="5DCB8C7E">
                <w:pPr>
                  <w:adjustRightInd w:val="0"/>
                  <w:snapToGrid w:val="0"/>
                  <w:jc w:val="center"/>
                  <w:rPr>
                    <w:rFonts w:hint="eastAsia"/>
                    <w:sz w:val="18"/>
                    <w:szCs w:val="18"/>
                  </w:rPr>
                </w:pPr>
                <w:r>
                  <w:rPr>
                    <w:sz w:val="18"/>
                    <w:szCs w:val="18"/>
                  </w:rPr>
                  <w:t>盈余公积</w:t>
                </w:r>
              </w:p>
            </w:tc>
          </w:sdtContent>
        </w:sdt>
        <w:sdt>
          <w:sdtPr>
            <w:tag w:val="_PLD_d210b1f3e63743b7b7ad078da7c00997"/>
            <w:id w:val="-1898574300"/>
          </w:sdtPr>
          <w:sdtContent>
            <w:tc>
              <w:tcPr>
                <w:tcW w:w="1768" w:type="dxa"/>
                <w:vMerge w:val="restart"/>
                <w:vAlign w:val="center"/>
              </w:tcPr>
              <w:p w14:paraId="64D9933A">
                <w:pPr>
                  <w:adjustRightInd w:val="0"/>
                  <w:snapToGrid w:val="0"/>
                  <w:jc w:val="center"/>
                  <w:rPr>
                    <w:rFonts w:hint="eastAsia"/>
                    <w:sz w:val="18"/>
                    <w:szCs w:val="18"/>
                  </w:rPr>
                </w:pPr>
                <w:r>
                  <w:rPr>
                    <w:sz w:val="18"/>
                    <w:szCs w:val="18"/>
                  </w:rPr>
                  <w:t>未分配利润</w:t>
                </w:r>
              </w:p>
            </w:tc>
          </w:sdtContent>
        </w:sdt>
        <w:sdt>
          <w:sdtPr>
            <w:tag w:val="_PLD_d0efa115b304401592a693cab0f3a46a"/>
            <w:id w:val="-643423493"/>
          </w:sdtPr>
          <w:sdtContent>
            <w:tc>
              <w:tcPr>
                <w:tcW w:w="1786" w:type="dxa"/>
                <w:vMerge w:val="restart"/>
                <w:vAlign w:val="center"/>
              </w:tcPr>
              <w:p w14:paraId="09F20B50">
                <w:pPr>
                  <w:adjustRightInd w:val="0"/>
                  <w:snapToGrid w:val="0"/>
                  <w:jc w:val="center"/>
                  <w:rPr>
                    <w:rFonts w:hint="eastAsia"/>
                    <w:sz w:val="18"/>
                    <w:szCs w:val="18"/>
                  </w:rPr>
                </w:pPr>
                <w:r>
                  <w:rPr>
                    <w:sz w:val="18"/>
                    <w:szCs w:val="18"/>
                  </w:rPr>
                  <w:t>所有者权益合计</w:t>
                </w:r>
              </w:p>
            </w:tc>
          </w:sdtContent>
        </w:sdt>
      </w:tr>
      <w:tr w14:paraId="61B69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4b9f68f704bb4acfae62b3d3cbf0d790"/>
            <w:id w:val="1347905829"/>
          </w:sdtPr>
          <w:sdtContent>
            <w:tc>
              <w:tcPr>
                <w:tcW w:w="3155" w:type="dxa"/>
              </w:tcPr>
              <w:p w14:paraId="5579BAC0">
                <w:pPr>
                  <w:rPr>
                    <w:rFonts w:hint="eastAsia"/>
                    <w:sz w:val="18"/>
                    <w:szCs w:val="18"/>
                  </w:rPr>
                </w:pPr>
                <w:r>
                  <w:rPr>
                    <w:sz w:val="18"/>
                    <w:szCs w:val="18"/>
                  </w:rPr>
                  <w:t>一、上年</w:t>
                </w:r>
                <w:r>
                  <w:rPr>
                    <w:rFonts w:hint="eastAsia"/>
                    <w:sz w:val="18"/>
                    <w:szCs w:val="18"/>
                  </w:rPr>
                  <w:t>年</w:t>
                </w:r>
                <w:r>
                  <w:rPr>
                    <w:sz w:val="18"/>
                    <w:szCs w:val="18"/>
                  </w:rPr>
                  <w:t>末余额</w:t>
                </w:r>
              </w:p>
            </w:tc>
          </w:sdtContent>
        </w:sdt>
        <w:tc>
          <w:tcPr>
            <w:tcW w:w="1837" w:type="dxa"/>
            <w:tcBorders>
              <w:right w:val="single" w:color="auto" w:sz="4" w:space="0"/>
            </w:tcBorders>
            <w:vAlign w:val="center"/>
          </w:tcPr>
          <w:p w14:paraId="39FE31E4">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tcBorders>
              <w:left w:val="single" w:color="auto" w:sz="4" w:space="0"/>
            </w:tcBorders>
            <w:vAlign w:val="center"/>
          </w:tcPr>
          <w:p w14:paraId="67CCBF02">
            <w:pPr>
              <w:jc w:val="right"/>
              <w:rPr>
                <w:rFonts w:ascii="Arial Narrow" w:hAnsi="Arial Narrow"/>
                <w:sz w:val="18"/>
                <w:szCs w:val="18"/>
              </w:rPr>
            </w:pPr>
            <w:r>
              <w:rPr>
                <w:rFonts w:ascii="Arial Narrow" w:hAnsi="Arial Narrow" w:eastAsia="等线"/>
                <w:color w:val="000000"/>
                <w:sz w:val="18"/>
                <w:szCs w:val="18"/>
              </w:rPr>
              <w:t xml:space="preserve">7,846,040,146.62 </w:t>
            </w:r>
          </w:p>
        </w:tc>
        <w:tc>
          <w:tcPr>
            <w:tcW w:w="1782" w:type="dxa"/>
            <w:vAlign w:val="center"/>
          </w:tcPr>
          <w:p w14:paraId="34C89EFF">
            <w:pPr>
              <w:jc w:val="right"/>
              <w:rPr>
                <w:rFonts w:ascii="Arial Narrow" w:hAnsi="Arial Narrow"/>
                <w:sz w:val="18"/>
                <w:szCs w:val="18"/>
              </w:rPr>
            </w:pPr>
            <w:r>
              <w:rPr>
                <w:rFonts w:ascii="Arial Narrow" w:hAnsi="Arial Narrow" w:eastAsia="等线"/>
                <w:color w:val="000000"/>
                <w:sz w:val="18"/>
                <w:szCs w:val="18"/>
              </w:rPr>
              <w:t xml:space="preserve">-114,414,601.46 </w:t>
            </w:r>
          </w:p>
        </w:tc>
        <w:tc>
          <w:tcPr>
            <w:tcW w:w="1781" w:type="dxa"/>
            <w:vAlign w:val="center"/>
          </w:tcPr>
          <w:p w14:paraId="0F886C5D">
            <w:pPr>
              <w:jc w:val="right"/>
              <w:rPr>
                <w:rFonts w:ascii="Arial Narrow" w:hAnsi="Arial Narrow"/>
                <w:sz w:val="18"/>
                <w:szCs w:val="18"/>
              </w:rPr>
            </w:pPr>
            <w:r>
              <w:rPr>
                <w:rFonts w:ascii="Arial Narrow" w:hAnsi="Arial Narrow" w:eastAsia="等线"/>
                <w:color w:val="000000"/>
                <w:sz w:val="18"/>
                <w:szCs w:val="18"/>
              </w:rPr>
              <w:t xml:space="preserve">361,267,067.84 </w:t>
            </w:r>
          </w:p>
        </w:tc>
        <w:tc>
          <w:tcPr>
            <w:tcW w:w="1768" w:type="dxa"/>
            <w:vAlign w:val="center"/>
          </w:tcPr>
          <w:p w14:paraId="7FB1E973">
            <w:pPr>
              <w:jc w:val="right"/>
              <w:rPr>
                <w:rFonts w:ascii="Arial Narrow" w:hAnsi="Arial Narrow"/>
                <w:sz w:val="18"/>
                <w:szCs w:val="18"/>
              </w:rPr>
            </w:pPr>
            <w:r>
              <w:rPr>
                <w:rFonts w:ascii="Arial Narrow" w:hAnsi="Arial Narrow" w:eastAsia="等线"/>
                <w:color w:val="000000"/>
                <w:sz w:val="18"/>
                <w:szCs w:val="18"/>
              </w:rPr>
              <w:t xml:space="preserve">223,997,024.48 </w:t>
            </w:r>
          </w:p>
        </w:tc>
        <w:tc>
          <w:tcPr>
            <w:tcW w:w="1786" w:type="dxa"/>
            <w:vAlign w:val="center"/>
          </w:tcPr>
          <w:p w14:paraId="6755CD6C">
            <w:pPr>
              <w:jc w:val="right"/>
              <w:rPr>
                <w:rFonts w:ascii="Arial Narrow" w:hAnsi="Arial Narrow"/>
                <w:sz w:val="18"/>
                <w:szCs w:val="18"/>
              </w:rPr>
            </w:pPr>
            <w:r>
              <w:rPr>
                <w:rFonts w:ascii="Arial Narrow" w:hAnsi="Arial Narrow" w:eastAsia="等线"/>
                <w:color w:val="000000"/>
                <w:sz w:val="18"/>
                <w:szCs w:val="18"/>
              </w:rPr>
              <w:t xml:space="preserve">12,708,519,041.48 </w:t>
            </w:r>
          </w:p>
        </w:tc>
      </w:tr>
      <w:tr w14:paraId="0C09B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4841ceb909a14a2abffb67eeb3435694"/>
            <w:id w:val="-402372702"/>
          </w:sdtPr>
          <w:sdtContent>
            <w:tc>
              <w:tcPr>
                <w:tcW w:w="3155" w:type="dxa"/>
              </w:tcPr>
              <w:p w14:paraId="5A91E83F">
                <w:pPr>
                  <w:rPr>
                    <w:rFonts w:hint="eastAsia"/>
                    <w:sz w:val="18"/>
                    <w:szCs w:val="18"/>
                  </w:rPr>
                </w:pPr>
                <w:r>
                  <w:rPr>
                    <w:sz w:val="18"/>
                    <w:szCs w:val="18"/>
                  </w:rPr>
                  <w:t>二、本年</w:t>
                </w:r>
                <w:r>
                  <w:rPr>
                    <w:rFonts w:hint="eastAsia"/>
                    <w:sz w:val="18"/>
                    <w:szCs w:val="18"/>
                  </w:rPr>
                  <w:t>期</w:t>
                </w:r>
                <w:r>
                  <w:rPr>
                    <w:sz w:val="18"/>
                    <w:szCs w:val="18"/>
                  </w:rPr>
                  <w:t>初余额</w:t>
                </w:r>
              </w:p>
            </w:tc>
          </w:sdtContent>
        </w:sdt>
        <w:tc>
          <w:tcPr>
            <w:tcW w:w="1837" w:type="dxa"/>
            <w:tcBorders>
              <w:right w:val="single" w:color="auto" w:sz="4" w:space="0"/>
            </w:tcBorders>
            <w:vAlign w:val="center"/>
          </w:tcPr>
          <w:p w14:paraId="2A87AF80">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tcBorders>
              <w:left w:val="single" w:color="auto" w:sz="4" w:space="0"/>
            </w:tcBorders>
            <w:vAlign w:val="center"/>
          </w:tcPr>
          <w:p w14:paraId="32648995">
            <w:pPr>
              <w:jc w:val="right"/>
              <w:rPr>
                <w:rFonts w:ascii="Arial Narrow" w:hAnsi="Arial Narrow"/>
                <w:sz w:val="18"/>
                <w:szCs w:val="18"/>
              </w:rPr>
            </w:pPr>
            <w:r>
              <w:rPr>
                <w:rFonts w:ascii="Arial Narrow" w:hAnsi="Arial Narrow" w:eastAsia="等线"/>
                <w:color w:val="000000"/>
                <w:sz w:val="18"/>
                <w:szCs w:val="18"/>
              </w:rPr>
              <w:t xml:space="preserve">7,846,040,146.62 </w:t>
            </w:r>
          </w:p>
        </w:tc>
        <w:tc>
          <w:tcPr>
            <w:tcW w:w="1782" w:type="dxa"/>
            <w:vAlign w:val="center"/>
          </w:tcPr>
          <w:p w14:paraId="55FEE8ED">
            <w:pPr>
              <w:jc w:val="right"/>
              <w:rPr>
                <w:rFonts w:ascii="Arial Narrow" w:hAnsi="Arial Narrow"/>
                <w:sz w:val="18"/>
                <w:szCs w:val="18"/>
              </w:rPr>
            </w:pPr>
            <w:r>
              <w:rPr>
                <w:rFonts w:ascii="Arial Narrow" w:hAnsi="Arial Narrow" w:eastAsia="等线"/>
                <w:color w:val="000000"/>
                <w:sz w:val="18"/>
                <w:szCs w:val="18"/>
              </w:rPr>
              <w:t xml:space="preserve">-114,414,601.46 </w:t>
            </w:r>
          </w:p>
        </w:tc>
        <w:tc>
          <w:tcPr>
            <w:tcW w:w="1781" w:type="dxa"/>
            <w:vAlign w:val="center"/>
          </w:tcPr>
          <w:p w14:paraId="2F3AB719">
            <w:pPr>
              <w:jc w:val="right"/>
              <w:rPr>
                <w:rFonts w:ascii="Arial Narrow" w:hAnsi="Arial Narrow"/>
                <w:sz w:val="18"/>
                <w:szCs w:val="18"/>
              </w:rPr>
            </w:pPr>
            <w:r>
              <w:rPr>
                <w:rFonts w:ascii="Arial Narrow" w:hAnsi="Arial Narrow" w:eastAsia="等线"/>
                <w:color w:val="000000"/>
                <w:sz w:val="18"/>
                <w:szCs w:val="18"/>
              </w:rPr>
              <w:t xml:space="preserve">361,267,067.84 </w:t>
            </w:r>
          </w:p>
        </w:tc>
        <w:tc>
          <w:tcPr>
            <w:tcW w:w="1768" w:type="dxa"/>
            <w:vAlign w:val="center"/>
          </w:tcPr>
          <w:p w14:paraId="7A8EFC3E">
            <w:pPr>
              <w:jc w:val="right"/>
              <w:rPr>
                <w:rFonts w:ascii="Arial Narrow" w:hAnsi="Arial Narrow"/>
                <w:sz w:val="18"/>
                <w:szCs w:val="18"/>
              </w:rPr>
            </w:pPr>
            <w:r>
              <w:rPr>
                <w:rFonts w:ascii="Arial Narrow" w:hAnsi="Arial Narrow" w:eastAsia="等线"/>
                <w:color w:val="000000"/>
                <w:sz w:val="18"/>
                <w:szCs w:val="18"/>
              </w:rPr>
              <w:t xml:space="preserve">223,997,024.48 </w:t>
            </w:r>
          </w:p>
        </w:tc>
        <w:tc>
          <w:tcPr>
            <w:tcW w:w="1786" w:type="dxa"/>
            <w:vAlign w:val="center"/>
          </w:tcPr>
          <w:p w14:paraId="5A6FBF46">
            <w:pPr>
              <w:jc w:val="right"/>
              <w:rPr>
                <w:rFonts w:ascii="Arial Narrow" w:hAnsi="Arial Narrow"/>
                <w:sz w:val="18"/>
                <w:szCs w:val="18"/>
              </w:rPr>
            </w:pPr>
            <w:r>
              <w:rPr>
                <w:rFonts w:ascii="Arial Narrow" w:hAnsi="Arial Narrow" w:eastAsia="等线"/>
                <w:color w:val="000000"/>
                <w:sz w:val="18"/>
                <w:szCs w:val="18"/>
              </w:rPr>
              <w:t xml:space="preserve">12,708,519,041.48 </w:t>
            </w:r>
          </w:p>
        </w:tc>
      </w:tr>
      <w:tr w14:paraId="6666B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302909e63784410386a25e7b0c2339c7"/>
            <w:id w:val="1818684547"/>
          </w:sdtPr>
          <w:sdtContent>
            <w:tc>
              <w:tcPr>
                <w:tcW w:w="3155" w:type="dxa"/>
              </w:tcPr>
              <w:p w14:paraId="6BDFBEE0">
                <w:pPr>
                  <w:rPr>
                    <w:rFonts w:hint="eastAsia"/>
                    <w:sz w:val="18"/>
                    <w:szCs w:val="18"/>
                  </w:rPr>
                </w:pPr>
                <w:r>
                  <w:rPr>
                    <w:sz w:val="18"/>
                    <w:szCs w:val="18"/>
                  </w:rPr>
                  <w:t>三、本</w:t>
                </w:r>
                <w:r>
                  <w:rPr>
                    <w:rFonts w:hint="eastAsia"/>
                    <w:sz w:val="18"/>
                    <w:szCs w:val="18"/>
                  </w:rPr>
                  <w:t>期</w:t>
                </w:r>
                <w:r>
                  <w:rPr>
                    <w:sz w:val="18"/>
                    <w:szCs w:val="18"/>
                  </w:rPr>
                  <w:t>增减变动金额（减少以“－”号填列）</w:t>
                </w:r>
              </w:p>
            </w:tc>
          </w:sdtContent>
        </w:sdt>
        <w:tc>
          <w:tcPr>
            <w:tcW w:w="1837" w:type="dxa"/>
            <w:tcBorders>
              <w:right w:val="single" w:color="auto" w:sz="4" w:space="0"/>
            </w:tcBorders>
            <w:vAlign w:val="center"/>
          </w:tcPr>
          <w:p w14:paraId="01AA818D">
            <w:pPr>
              <w:jc w:val="right"/>
              <w:rPr>
                <w:rFonts w:ascii="Arial Narrow" w:hAnsi="Arial Narrow"/>
                <w:sz w:val="18"/>
                <w:szCs w:val="18"/>
              </w:rPr>
            </w:pPr>
          </w:p>
        </w:tc>
        <w:tc>
          <w:tcPr>
            <w:tcW w:w="1795" w:type="dxa"/>
            <w:vAlign w:val="center"/>
          </w:tcPr>
          <w:p w14:paraId="0538C08A">
            <w:pPr>
              <w:jc w:val="right"/>
              <w:rPr>
                <w:rFonts w:ascii="Arial Narrow" w:hAnsi="Arial Narrow"/>
                <w:sz w:val="18"/>
                <w:szCs w:val="18"/>
              </w:rPr>
            </w:pPr>
          </w:p>
        </w:tc>
        <w:tc>
          <w:tcPr>
            <w:tcW w:w="1782" w:type="dxa"/>
            <w:vAlign w:val="center"/>
          </w:tcPr>
          <w:p w14:paraId="6D3F1818">
            <w:pPr>
              <w:jc w:val="right"/>
              <w:rPr>
                <w:rFonts w:ascii="Arial Narrow" w:hAnsi="Arial Narrow"/>
                <w:sz w:val="18"/>
                <w:szCs w:val="18"/>
              </w:rPr>
            </w:pPr>
          </w:p>
        </w:tc>
        <w:tc>
          <w:tcPr>
            <w:tcW w:w="1781" w:type="dxa"/>
            <w:vAlign w:val="center"/>
          </w:tcPr>
          <w:p w14:paraId="288C36C3">
            <w:pPr>
              <w:jc w:val="right"/>
              <w:rPr>
                <w:rFonts w:ascii="Arial Narrow" w:hAnsi="Arial Narrow"/>
                <w:sz w:val="18"/>
                <w:szCs w:val="18"/>
              </w:rPr>
            </w:pPr>
            <w:r>
              <w:rPr>
                <w:rFonts w:ascii="Arial Narrow" w:hAnsi="Arial Narrow" w:eastAsia="等线"/>
                <w:color w:val="000000"/>
                <w:sz w:val="18"/>
                <w:szCs w:val="18"/>
              </w:rPr>
              <w:t xml:space="preserve">8,390,131.06 </w:t>
            </w:r>
          </w:p>
        </w:tc>
        <w:tc>
          <w:tcPr>
            <w:tcW w:w="1768" w:type="dxa"/>
            <w:vAlign w:val="center"/>
          </w:tcPr>
          <w:p w14:paraId="261DB0AE">
            <w:pPr>
              <w:jc w:val="right"/>
              <w:rPr>
                <w:rFonts w:ascii="Arial Narrow" w:hAnsi="Arial Narrow"/>
                <w:sz w:val="18"/>
                <w:szCs w:val="18"/>
              </w:rPr>
            </w:pPr>
            <w:r>
              <w:rPr>
                <w:rFonts w:ascii="Arial Narrow" w:hAnsi="Arial Narrow" w:eastAsia="等线"/>
                <w:color w:val="000000"/>
                <w:sz w:val="18"/>
                <w:szCs w:val="18"/>
              </w:rPr>
              <w:t xml:space="preserve">-56,237,702.58 </w:t>
            </w:r>
          </w:p>
        </w:tc>
        <w:tc>
          <w:tcPr>
            <w:tcW w:w="1786" w:type="dxa"/>
            <w:vAlign w:val="center"/>
          </w:tcPr>
          <w:p w14:paraId="5C0FD4E2">
            <w:pPr>
              <w:jc w:val="right"/>
              <w:rPr>
                <w:rFonts w:ascii="Arial Narrow" w:hAnsi="Arial Narrow"/>
                <w:sz w:val="18"/>
                <w:szCs w:val="18"/>
              </w:rPr>
            </w:pPr>
            <w:r>
              <w:rPr>
                <w:rFonts w:ascii="Arial Narrow" w:hAnsi="Arial Narrow" w:eastAsia="等线"/>
                <w:color w:val="000000"/>
                <w:sz w:val="18"/>
                <w:szCs w:val="18"/>
              </w:rPr>
              <w:t xml:space="preserve">-47,847,571.52 </w:t>
            </w:r>
          </w:p>
        </w:tc>
      </w:tr>
      <w:tr w14:paraId="60A4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565b6c314fb34fb6b0c677b992754d48"/>
            <w:id w:val="-871847172"/>
          </w:sdtPr>
          <w:sdtContent>
            <w:tc>
              <w:tcPr>
                <w:tcW w:w="3155" w:type="dxa"/>
              </w:tcPr>
              <w:p w14:paraId="0E339F00">
                <w:pPr>
                  <w:rPr>
                    <w:rFonts w:hint="eastAsia"/>
                    <w:sz w:val="18"/>
                    <w:szCs w:val="18"/>
                  </w:rPr>
                </w:pPr>
                <w:r>
                  <w:rPr>
                    <w:rFonts w:hint="eastAsia"/>
                    <w:sz w:val="18"/>
                    <w:szCs w:val="18"/>
                  </w:rPr>
                  <w:t>（一）综合收益总额</w:t>
                </w:r>
              </w:p>
            </w:tc>
          </w:sdtContent>
        </w:sdt>
        <w:tc>
          <w:tcPr>
            <w:tcW w:w="1837" w:type="dxa"/>
            <w:tcBorders>
              <w:right w:val="single" w:color="auto" w:sz="4" w:space="0"/>
            </w:tcBorders>
            <w:vAlign w:val="center"/>
          </w:tcPr>
          <w:p w14:paraId="6D678EC0">
            <w:pPr>
              <w:jc w:val="right"/>
              <w:rPr>
                <w:rFonts w:ascii="Arial Narrow" w:hAnsi="Arial Narrow"/>
                <w:sz w:val="18"/>
                <w:szCs w:val="18"/>
              </w:rPr>
            </w:pPr>
          </w:p>
        </w:tc>
        <w:tc>
          <w:tcPr>
            <w:tcW w:w="1795" w:type="dxa"/>
            <w:vAlign w:val="center"/>
          </w:tcPr>
          <w:p w14:paraId="38DC4E17">
            <w:pPr>
              <w:jc w:val="right"/>
              <w:rPr>
                <w:rFonts w:ascii="Arial Narrow" w:hAnsi="Arial Narrow"/>
                <w:sz w:val="18"/>
                <w:szCs w:val="18"/>
              </w:rPr>
            </w:pPr>
          </w:p>
        </w:tc>
        <w:tc>
          <w:tcPr>
            <w:tcW w:w="1782" w:type="dxa"/>
            <w:vAlign w:val="center"/>
          </w:tcPr>
          <w:p w14:paraId="76ACA962">
            <w:pPr>
              <w:jc w:val="right"/>
              <w:rPr>
                <w:rFonts w:ascii="Arial Narrow" w:hAnsi="Arial Narrow"/>
                <w:sz w:val="18"/>
                <w:szCs w:val="18"/>
              </w:rPr>
            </w:pPr>
          </w:p>
        </w:tc>
        <w:tc>
          <w:tcPr>
            <w:tcW w:w="1781" w:type="dxa"/>
            <w:vAlign w:val="center"/>
          </w:tcPr>
          <w:p w14:paraId="58EB1D6B">
            <w:pPr>
              <w:jc w:val="right"/>
              <w:rPr>
                <w:rFonts w:ascii="Arial Narrow" w:hAnsi="Arial Narrow"/>
                <w:sz w:val="18"/>
                <w:szCs w:val="18"/>
              </w:rPr>
            </w:pPr>
          </w:p>
        </w:tc>
        <w:tc>
          <w:tcPr>
            <w:tcW w:w="1768" w:type="dxa"/>
            <w:vAlign w:val="center"/>
          </w:tcPr>
          <w:p w14:paraId="4ED485C9">
            <w:pPr>
              <w:jc w:val="right"/>
              <w:rPr>
                <w:rFonts w:ascii="Arial Narrow" w:hAnsi="Arial Narrow"/>
                <w:sz w:val="18"/>
                <w:szCs w:val="18"/>
              </w:rPr>
            </w:pPr>
            <w:r>
              <w:rPr>
                <w:rFonts w:ascii="Arial Narrow" w:hAnsi="Arial Narrow" w:eastAsia="等线"/>
                <w:color w:val="000000"/>
                <w:sz w:val="18"/>
                <w:szCs w:val="18"/>
              </w:rPr>
              <w:t xml:space="preserve">83,901,310.60 </w:t>
            </w:r>
          </w:p>
        </w:tc>
        <w:tc>
          <w:tcPr>
            <w:tcW w:w="1786" w:type="dxa"/>
            <w:vAlign w:val="center"/>
          </w:tcPr>
          <w:p w14:paraId="4A1D49C9">
            <w:pPr>
              <w:jc w:val="right"/>
              <w:rPr>
                <w:rFonts w:ascii="Arial Narrow" w:hAnsi="Arial Narrow"/>
                <w:sz w:val="18"/>
                <w:szCs w:val="18"/>
              </w:rPr>
            </w:pPr>
            <w:r>
              <w:rPr>
                <w:rFonts w:ascii="Arial Narrow" w:hAnsi="Arial Narrow" w:eastAsia="等线"/>
                <w:color w:val="000000"/>
                <w:sz w:val="18"/>
                <w:szCs w:val="18"/>
              </w:rPr>
              <w:t xml:space="preserve">83,901,310.60 </w:t>
            </w:r>
          </w:p>
        </w:tc>
      </w:tr>
      <w:tr w14:paraId="48314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806901fee79c40f688fa2f02ab1d596d"/>
            <w:id w:val="1186791406"/>
          </w:sdtPr>
          <w:sdtContent>
            <w:tc>
              <w:tcPr>
                <w:tcW w:w="3155" w:type="dxa"/>
              </w:tcPr>
              <w:p w14:paraId="2CDA9DBA">
                <w:pPr>
                  <w:rPr>
                    <w:rFonts w:hint="eastAsia"/>
                    <w:sz w:val="18"/>
                    <w:szCs w:val="18"/>
                  </w:rPr>
                </w:pPr>
                <w:r>
                  <w:rPr>
                    <w:sz w:val="18"/>
                    <w:szCs w:val="18"/>
                  </w:rPr>
                  <w:t>（</w:t>
                </w:r>
                <w:r>
                  <w:rPr>
                    <w:rFonts w:hint="eastAsia"/>
                    <w:sz w:val="18"/>
                    <w:szCs w:val="18"/>
                  </w:rPr>
                  <w:t>三</w:t>
                </w:r>
                <w:r>
                  <w:rPr>
                    <w:sz w:val="18"/>
                    <w:szCs w:val="18"/>
                  </w:rPr>
                  <w:t>）利润分配</w:t>
                </w:r>
              </w:p>
            </w:tc>
          </w:sdtContent>
        </w:sdt>
        <w:tc>
          <w:tcPr>
            <w:tcW w:w="1837" w:type="dxa"/>
            <w:tcBorders>
              <w:right w:val="single" w:color="auto" w:sz="4" w:space="0"/>
            </w:tcBorders>
            <w:vAlign w:val="center"/>
          </w:tcPr>
          <w:p w14:paraId="59E1BD9D">
            <w:pPr>
              <w:jc w:val="right"/>
              <w:rPr>
                <w:rFonts w:ascii="Arial Narrow" w:hAnsi="Arial Narrow"/>
                <w:sz w:val="18"/>
                <w:szCs w:val="18"/>
              </w:rPr>
            </w:pPr>
          </w:p>
        </w:tc>
        <w:tc>
          <w:tcPr>
            <w:tcW w:w="1795" w:type="dxa"/>
            <w:vAlign w:val="center"/>
          </w:tcPr>
          <w:p w14:paraId="44341018">
            <w:pPr>
              <w:jc w:val="right"/>
              <w:rPr>
                <w:rFonts w:ascii="Arial Narrow" w:hAnsi="Arial Narrow"/>
                <w:sz w:val="18"/>
                <w:szCs w:val="18"/>
              </w:rPr>
            </w:pPr>
          </w:p>
        </w:tc>
        <w:tc>
          <w:tcPr>
            <w:tcW w:w="1782" w:type="dxa"/>
            <w:vAlign w:val="center"/>
          </w:tcPr>
          <w:p w14:paraId="1C5A3D51">
            <w:pPr>
              <w:jc w:val="right"/>
              <w:rPr>
                <w:rFonts w:ascii="Arial Narrow" w:hAnsi="Arial Narrow"/>
                <w:sz w:val="18"/>
                <w:szCs w:val="18"/>
              </w:rPr>
            </w:pPr>
          </w:p>
        </w:tc>
        <w:tc>
          <w:tcPr>
            <w:tcW w:w="1781" w:type="dxa"/>
            <w:vAlign w:val="center"/>
          </w:tcPr>
          <w:p w14:paraId="4CEF02AC">
            <w:pPr>
              <w:jc w:val="right"/>
              <w:rPr>
                <w:rFonts w:ascii="Arial Narrow" w:hAnsi="Arial Narrow"/>
                <w:sz w:val="18"/>
                <w:szCs w:val="18"/>
              </w:rPr>
            </w:pPr>
            <w:r>
              <w:rPr>
                <w:rFonts w:ascii="Arial Narrow" w:hAnsi="Arial Narrow" w:eastAsia="等线"/>
                <w:color w:val="000000"/>
                <w:sz w:val="18"/>
                <w:szCs w:val="18"/>
              </w:rPr>
              <w:t xml:space="preserve">8,390,131.06 </w:t>
            </w:r>
          </w:p>
        </w:tc>
        <w:tc>
          <w:tcPr>
            <w:tcW w:w="1768" w:type="dxa"/>
            <w:vAlign w:val="center"/>
          </w:tcPr>
          <w:p w14:paraId="08466DCF">
            <w:pPr>
              <w:jc w:val="right"/>
              <w:rPr>
                <w:rFonts w:ascii="Arial Narrow" w:hAnsi="Arial Narrow"/>
                <w:sz w:val="18"/>
                <w:szCs w:val="18"/>
              </w:rPr>
            </w:pPr>
            <w:r>
              <w:rPr>
                <w:rFonts w:ascii="Arial Narrow" w:hAnsi="Arial Narrow" w:eastAsia="等线"/>
                <w:color w:val="000000"/>
                <w:sz w:val="18"/>
                <w:szCs w:val="18"/>
              </w:rPr>
              <w:t xml:space="preserve">-140,139,013.18 </w:t>
            </w:r>
          </w:p>
        </w:tc>
        <w:tc>
          <w:tcPr>
            <w:tcW w:w="1786" w:type="dxa"/>
            <w:vAlign w:val="center"/>
          </w:tcPr>
          <w:p w14:paraId="10EF5234">
            <w:pPr>
              <w:jc w:val="right"/>
              <w:rPr>
                <w:rFonts w:ascii="Arial Narrow" w:hAnsi="Arial Narrow"/>
                <w:sz w:val="18"/>
                <w:szCs w:val="18"/>
              </w:rPr>
            </w:pPr>
            <w:r>
              <w:rPr>
                <w:rFonts w:ascii="Arial Narrow" w:hAnsi="Arial Narrow" w:eastAsia="等线"/>
                <w:color w:val="000000"/>
                <w:sz w:val="18"/>
                <w:szCs w:val="18"/>
              </w:rPr>
              <w:t xml:space="preserve">-131,748,882.12 </w:t>
            </w:r>
          </w:p>
        </w:tc>
      </w:tr>
      <w:tr w14:paraId="4FAC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5936c2d33e22476597644c98158847c6"/>
            <w:id w:val="-829293052"/>
          </w:sdtPr>
          <w:sdtContent>
            <w:tc>
              <w:tcPr>
                <w:tcW w:w="3155" w:type="dxa"/>
              </w:tcPr>
              <w:p w14:paraId="26084BF1">
                <w:pPr>
                  <w:rPr>
                    <w:rFonts w:hint="eastAsia"/>
                    <w:sz w:val="18"/>
                    <w:szCs w:val="18"/>
                  </w:rPr>
                </w:pPr>
                <w:r>
                  <w:rPr>
                    <w:sz w:val="18"/>
                    <w:szCs w:val="18"/>
                  </w:rPr>
                  <w:t>1．提取盈余公积</w:t>
                </w:r>
              </w:p>
            </w:tc>
          </w:sdtContent>
        </w:sdt>
        <w:tc>
          <w:tcPr>
            <w:tcW w:w="1837" w:type="dxa"/>
            <w:tcBorders>
              <w:right w:val="single" w:color="auto" w:sz="4" w:space="0"/>
            </w:tcBorders>
            <w:vAlign w:val="center"/>
          </w:tcPr>
          <w:p w14:paraId="27562D66">
            <w:pPr>
              <w:jc w:val="right"/>
              <w:rPr>
                <w:rFonts w:ascii="Arial Narrow" w:hAnsi="Arial Narrow"/>
                <w:sz w:val="18"/>
                <w:szCs w:val="18"/>
              </w:rPr>
            </w:pPr>
          </w:p>
        </w:tc>
        <w:tc>
          <w:tcPr>
            <w:tcW w:w="1795" w:type="dxa"/>
            <w:vAlign w:val="center"/>
          </w:tcPr>
          <w:p w14:paraId="30187B85">
            <w:pPr>
              <w:jc w:val="right"/>
              <w:rPr>
                <w:rFonts w:ascii="Arial Narrow" w:hAnsi="Arial Narrow"/>
                <w:sz w:val="18"/>
                <w:szCs w:val="18"/>
              </w:rPr>
            </w:pPr>
          </w:p>
        </w:tc>
        <w:tc>
          <w:tcPr>
            <w:tcW w:w="1782" w:type="dxa"/>
            <w:vAlign w:val="center"/>
          </w:tcPr>
          <w:p w14:paraId="36477283">
            <w:pPr>
              <w:jc w:val="right"/>
              <w:rPr>
                <w:rFonts w:ascii="Arial Narrow" w:hAnsi="Arial Narrow"/>
                <w:sz w:val="18"/>
                <w:szCs w:val="18"/>
              </w:rPr>
            </w:pPr>
          </w:p>
        </w:tc>
        <w:tc>
          <w:tcPr>
            <w:tcW w:w="1781" w:type="dxa"/>
            <w:vAlign w:val="center"/>
          </w:tcPr>
          <w:p w14:paraId="6E00D338">
            <w:pPr>
              <w:jc w:val="right"/>
              <w:rPr>
                <w:rFonts w:ascii="Arial Narrow" w:hAnsi="Arial Narrow"/>
                <w:sz w:val="18"/>
                <w:szCs w:val="18"/>
              </w:rPr>
            </w:pPr>
            <w:r>
              <w:rPr>
                <w:rFonts w:ascii="Arial Narrow" w:hAnsi="Arial Narrow" w:eastAsia="等线"/>
                <w:color w:val="000000"/>
                <w:sz w:val="18"/>
                <w:szCs w:val="18"/>
              </w:rPr>
              <w:t xml:space="preserve">8,390,131.06 </w:t>
            </w:r>
          </w:p>
        </w:tc>
        <w:tc>
          <w:tcPr>
            <w:tcW w:w="1768" w:type="dxa"/>
            <w:vAlign w:val="center"/>
          </w:tcPr>
          <w:p w14:paraId="30B3FE0F">
            <w:pPr>
              <w:jc w:val="right"/>
              <w:rPr>
                <w:rFonts w:ascii="Arial Narrow" w:hAnsi="Arial Narrow"/>
                <w:sz w:val="18"/>
                <w:szCs w:val="18"/>
              </w:rPr>
            </w:pPr>
            <w:r>
              <w:rPr>
                <w:rFonts w:ascii="Arial Narrow" w:hAnsi="Arial Narrow" w:eastAsia="等线"/>
                <w:color w:val="000000"/>
                <w:sz w:val="18"/>
                <w:szCs w:val="18"/>
              </w:rPr>
              <w:t xml:space="preserve">-8,390,131.06 </w:t>
            </w:r>
          </w:p>
        </w:tc>
        <w:tc>
          <w:tcPr>
            <w:tcW w:w="1786" w:type="dxa"/>
            <w:vAlign w:val="center"/>
          </w:tcPr>
          <w:p w14:paraId="042662E4">
            <w:pPr>
              <w:jc w:val="right"/>
              <w:rPr>
                <w:rFonts w:ascii="Arial Narrow" w:hAnsi="Arial Narrow"/>
                <w:sz w:val="18"/>
                <w:szCs w:val="18"/>
              </w:rPr>
            </w:pPr>
          </w:p>
        </w:tc>
      </w:tr>
      <w:tr w14:paraId="4053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210044b047ac492dbe47ba7aedd16fad"/>
            <w:id w:val="1426305861"/>
          </w:sdtPr>
          <w:sdtContent>
            <w:tc>
              <w:tcPr>
                <w:tcW w:w="3155" w:type="dxa"/>
              </w:tcPr>
              <w:p w14:paraId="23B8DABB">
                <w:pPr>
                  <w:rPr>
                    <w:rFonts w:hint="eastAsia"/>
                    <w:sz w:val="18"/>
                    <w:szCs w:val="18"/>
                  </w:rPr>
                </w:pPr>
                <w:r>
                  <w:rPr>
                    <w:rFonts w:hint="eastAsia"/>
                    <w:sz w:val="18"/>
                    <w:szCs w:val="18"/>
                  </w:rPr>
                  <w:t>2</w:t>
                </w:r>
                <w:r>
                  <w:rPr>
                    <w:sz w:val="18"/>
                    <w:szCs w:val="18"/>
                  </w:rPr>
                  <w:t>．对所有者（或股东）的分配</w:t>
                </w:r>
              </w:p>
            </w:tc>
          </w:sdtContent>
        </w:sdt>
        <w:tc>
          <w:tcPr>
            <w:tcW w:w="1837" w:type="dxa"/>
            <w:tcBorders>
              <w:right w:val="single" w:color="auto" w:sz="4" w:space="0"/>
            </w:tcBorders>
            <w:vAlign w:val="center"/>
          </w:tcPr>
          <w:p w14:paraId="05ABF1C8">
            <w:pPr>
              <w:jc w:val="right"/>
              <w:rPr>
                <w:rFonts w:ascii="Arial Narrow" w:hAnsi="Arial Narrow"/>
                <w:sz w:val="18"/>
                <w:szCs w:val="18"/>
              </w:rPr>
            </w:pPr>
          </w:p>
        </w:tc>
        <w:tc>
          <w:tcPr>
            <w:tcW w:w="1795" w:type="dxa"/>
            <w:vAlign w:val="center"/>
          </w:tcPr>
          <w:p w14:paraId="306741D3">
            <w:pPr>
              <w:jc w:val="right"/>
              <w:rPr>
                <w:rFonts w:ascii="Arial Narrow" w:hAnsi="Arial Narrow"/>
                <w:sz w:val="18"/>
                <w:szCs w:val="18"/>
              </w:rPr>
            </w:pPr>
          </w:p>
        </w:tc>
        <w:tc>
          <w:tcPr>
            <w:tcW w:w="1782" w:type="dxa"/>
            <w:vAlign w:val="center"/>
          </w:tcPr>
          <w:p w14:paraId="04551007">
            <w:pPr>
              <w:jc w:val="right"/>
              <w:rPr>
                <w:rFonts w:ascii="Arial Narrow" w:hAnsi="Arial Narrow"/>
                <w:sz w:val="18"/>
                <w:szCs w:val="18"/>
              </w:rPr>
            </w:pPr>
          </w:p>
        </w:tc>
        <w:tc>
          <w:tcPr>
            <w:tcW w:w="1781" w:type="dxa"/>
            <w:vAlign w:val="center"/>
          </w:tcPr>
          <w:p w14:paraId="4E547DE3">
            <w:pPr>
              <w:jc w:val="right"/>
              <w:rPr>
                <w:rFonts w:ascii="Arial Narrow" w:hAnsi="Arial Narrow"/>
                <w:sz w:val="18"/>
                <w:szCs w:val="18"/>
              </w:rPr>
            </w:pPr>
          </w:p>
        </w:tc>
        <w:tc>
          <w:tcPr>
            <w:tcW w:w="1768" w:type="dxa"/>
            <w:vAlign w:val="center"/>
          </w:tcPr>
          <w:p w14:paraId="1A6E40CA">
            <w:pPr>
              <w:jc w:val="right"/>
              <w:rPr>
                <w:rFonts w:ascii="Arial Narrow" w:hAnsi="Arial Narrow"/>
                <w:sz w:val="18"/>
                <w:szCs w:val="18"/>
              </w:rPr>
            </w:pPr>
            <w:r>
              <w:rPr>
                <w:rFonts w:ascii="Arial Narrow" w:hAnsi="Arial Narrow" w:eastAsia="等线"/>
                <w:color w:val="000000"/>
                <w:sz w:val="18"/>
                <w:szCs w:val="18"/>
              </w:rPr>
              <w:t xml:space="preserve">-131,748,882.12 </w:t>
            </w:r>
          </w:p>
        </w:tc>
        <w:tc>
          <w:tcPr>
            <w:tcW w:w="1786" w:type="dxa"/>
            <w:vAlign w:val="center"/>
          </w:tcPr>
          <w:p w14:paraId="12B83843">
            <w:pPr>
              <w:jc w:val="right"/>
              <w:rPr>
                <w:rFonts w:ascii="Arial Narrow" w:hAnsi="Arial Narrow"/>
                <w:sz w:val="18"/>
                <w:szCs w:val="18"/>
              </w:rPr>
            </w:pPr>
            <w:r>
              <w:rPr>
                <w:rFonts w:ascii="Arial Narrow" w:hAnsi="Arial Narrow" w:eastAsia="等线"/>
                <w:color w:val="000000"/>
                <w:sz w:val="18"/>
                <w:szCs w:val="18"/>
              </w:rPr>
              <w:t xml:space="preserve">-131,748,882.12 </w:t>
            </w:r>
          </w:p>
        </w:tc>
      </w:tr>
      <w:tr w14:paraId="343FD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56eacf5a90be4746898504dda5c8a2c0"/>
            <w:id w:val="-1081291800"/>
          </w:sdtPr>
          <w:sdtContent>
            <w:tc>
              <w:tcPr>
                <w:tcW w:w="3155" w:type="dxa"/>
              </w:tcPr>
              <w:p w14:paraId="313FEAF5">
                <w:pPr>
                  <w:rPr>
                    <w:rFonts w:hint="eastAsia"/>
                    <w:sz w:val="18"/>
                    <w:szCs w:val="18"/>
                  </w:rPr>
                </w:pPr>
                <w:r>
                  <w:rPr>
                    <w:sz w:val="18"/>
                    <w:szCs w:val="18"/>
                  </w:rPr>
                  <w:t>四、本期期末余额</w:t>
                </w:r>
              </w:p>
            </w:tc>
          </w:sdtContent>
        </w:sdt>
        <w:tc>
          <w:tcPr>
            <w:tcW w:w="1837" w:type="dxa"/>
            <w:tcBorders>
              <w:right w:val="single" w:color="auto" w:sz="4" w:space="0"/>
            </w:tcBorders>
            <w:vAlign w:val="center"/>
          </w:tcPr>
          <w:p w14:paraId="7C258760">
            <w:pPr>
              <w:jc w:val="right"/>
              <w:rPr>
                <w:rFonts w:ascii="Arial Narrow" w:hAnsi="Arial Narrow"/>
                <w:sz w:val="18"/>
                <w:szCs w:val="18"/>
              </w:rPr>
            </w:pPr>
            <w:r>
              <w:rPr>
                <w:rFonts w:ascii="Arial Narrow" w:hAnsi="Arial Narrow" w:eastAsia="等线"/>
                <w:color w:val="000000"/>
                <w:sz w:val="18"/>
                <w:szCs w:val="18"/>
              </w:rPr>
              <w:t xml:space="preserve">4,391,629,404.00 </w:t>
            </w:r>
          </w:p>
        </w:tc>
        <w:tc>
          <w:tcPr>
            <w:tcW w:w="1795" w:type="dxa"/>
            <w:vAlign w:val="center"/>
          </w:tcPr>
          <w:p w14:paraId="46C76DED">
            <w:pPr>
              <w:jc w:val="right"/>
              <w:rPr>
                <w:rFonts w:ascii="Arial Narrow" w:hAnsi="Arial Narrow"/>
                <w:sz w:val="18"/>
                <w:szCs w:val="18"/>
              </w:rPr>
            </w:pPr>
            <w:r>
              <w:rPr>
                <w:rFonts w:ascii="Arial Narrow" w:hAnsi="Arial Narrow" w:eastAsia="等线"/>
                <w:color w:val="000000"/>
                <w:sz w:val="18"/>
                <w:szCs w:val="18"/>
              </w:rPr>
              <w:t xml:space="preserve">7,846,040,146.62 </w:t>
            </w:r>
          </w:p>
        </w:tc>
        <w:tc>
          <w:tcPr>
            <w:tcW w:w="1782" w:type="dxa"/>
            <w:vAlign w:val="center"/>
          </w:tcPr>
          <w:p w14:paraId="6BD10745">
            <w:pPr>
              <w:jc w:val="right"/>
              <w:rPr>
                <w:rFonts w:ascii="Arial Narrow" w:hAnsi="Arial Narrow"/>
                <w:sz w:val="18"/>
                <w:szCs w:val="18"/>
              </w:rPr>
            </w:pPr>
            <w:r>
              <w:rPr>
                <w:rFonts w:ascii="Arial Narrow" w:hAnsi="Arial Narrow" w:eastAsia="等线"/>
                <w:color w:val="000000"/>
                <w:sz w:val="18"/>
                <w:szCs w:val="18"/>
              </w:rPr>
              <w:t xml:space="preserve">-114,414,601.46 </w:t>
            </w:r>
          </w:p>
        </w:tc>
        <w:tc>
          <w:tcPr>
            <w:tcW w:w="1781" w:type="dxa"/>
            <w:vAlign w:val="center"/>
          </w:tcPr>
          <w:p w14:paraId="4D10CAAA">
            <w:pPr>
              <w:jc w:val="right"/>
              <w:rPr>
                <w:rFonts w:ascii="Arial Narrow" w:hAnsi="Arial Narrow"/>
                <w:sz w:val="18"/>
                <w:szCs w:val="18"/>
              </w:rPr>
            </w:pPr>
            <w:r>
              <w:rPr>
                <w:rFonts w:ascii="Arial Narrow" w:hAnsi="Arial Narrow" w:eastAsia="等线"/>
                <w:color w:val="000000"/>
                <w:sz w:val="18"/>
                <w:szCs w:val="18"/>
              </w:rPr>
              <w:t xml:space="preserve">369,657,198.90 </w:t>
            </w:r>
          </w:p>
        </w:tc>
        <w:tc>
          <w:tcPr>
            <w:tcW w:w="1768" w:type="dxa"/>
            <w:vAlign w:val="center"/>
          </w:tcPr>
          <w:p w14:paraId="183BCB7B">
            <w:pPr>
              <w:jc w:val="right"/>
              <w:rPr>
                <w:rFonts w:ascii="Arial Narrow" w:hAnsi="Arial Narrow"/>
                <w:sz w:val="18"/>
                <w:szCs w:val="18"/>
              </w:rPr>
            </w:pPr>
            <w:r>
              <w:rPr>
                <w:rFonts w:ascii="Arial Narrow" w:hAnsi="Arial Narrow" w:eastAsia="等线"/>
                <w:color w:val="000000"/>
                <w:sz w:val="18"/>
                <w:szCs w:val="18"/>
              </w:rPr>
              <w:t xml:space="preserve">167,759,321.90 </w:t>
            </w:r>
          </w:p>
        </w:tc>
        <w:tc>
          <w:tcPr>
            <w:tcW w:w="1786" w:type="dxa"/>
            <w:vAlign w:val="center"/>
          </w:tcPr>
          <w:p w14:paraId="48F9DA7E">
            <w:pPr>
              <w:jc w:val="right"/>
              <w:rPr>
                <w:rFonts w:ascii="Arial Narrow" w:hAnsi="Arial Narrow"/>
                <w:sz w:val="18"/>
                <w:szCs w:val="18"/>
              </w:rPr>
            </w:pPr>
            <w:r>
              <w:rPr>
                <w:rFonts w:ascii="Arial Narrow" w:hAnsi="Arial Narrow" w:eastAsia="等线"/>
                <w:color w:val="000000"/>
                <w:sz w:val="18"/>
                <w:szCs w:val="18"/>
              </w:rPr>
              <w:t xml:space="preserve">12,660,671,469.96 </w:t>
            </w:r>
          </w:p>
        </w:tc>
      </w:tr>
    </w:tbl>
    <w:p w14:paraId="115DCACD">
      <w:pPr>
        <w:rPr>
          <w:rFonts w:hint="eastAsia"/>
        </w:rPr>
      </w:pPr>
    </w:p>
    <w:p w14:paraId="34C861EA">
      <w:pPr>
        <w:snapToGrid w:val="0"/>
        <w:spacing w:line="240" w:lineRule="atLeast"/>
        <w:rPr>
          <w:rFonts w:hint="eastAsia"/>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6042a2c12168484781348969a4da3e4c"/>
          <w:id w:val="-597951316"/>
          <w:placeholder>
            <w:docPart w:val="GBC22222222222222222222222222222"/>
          </w:placeholder>
          <w:dataBinding w:prefixMappings="xmlns:clcid-mr='clcid-mr'" w:xpath="/*/clcid-mr:GongSiFuZeRenXingMing[not(@periodRef)]" w:storeItemID="{89EBAB94-44A0-46A2-B712-30D997D04A6D}"/>
          <w:text/>
        </w:sdtPr>
        <w:sdtEndPr>
          <w:rPr>
            <w:rFonts w:hint="eastAsia"/>
            <w:szCs w:val="21"/>
          </w:rPr>
        </w:sdtEndPr>
        <w:sdtContent>
          <w:r>
            <w:rPr>
              <w:rFonts w:hint="eastAsia"/>
              <w:szCs w:val="21"/>
            </w:rPr>
            <w:t>夏前军</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946695431"/>
          <w:placeholder>
            <w:docPart w:val="GBC22222222222222222222222222222"/>
          </w:placeholder>
          <w:dataBinding w:prefixMappings="xmlns:clcid-mr='clcid-mr'" w:xpath="/*/clcid-mr:ZhuGuanKuaiJiGongZuoFuZeRenXingMing[not(@periodRef)]" w:storeItemID="{89EBAB94-44A0-46A2-B712-30D997D04A6D}"/>
          <w:text/>
        </w:sdtPr>
        <w:sdtEndPr>
          <w:rPr>
            <w:rFonts w:hint="eastAsia"/>
            <w:szCs w:val="21"/>
          </w:rPr>
        </w:sdtEndPr>
        <w:sdtContent>
          <w:r>
            <w:rPr>
              <w:rFonts w:hint="eastAsia"/>
              <w:szCs w:val="21"/>
            </w:rPr>
            <w:t>刘改平</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1174176733"/>
          <w:placeholder>
            <w:docPart w:val="GBC22222222222222222222222222222"/>
          </w:placeholder>
          <w:dataBinding w:prefixMappings="xmlns:clcid-mr='clcid-mr'" w:xpath="/*/clcid-mr:KuaiJiJiGouFuZeRenXingMing[not(@periodRef)]" w:storeItemID="{89EBAB94-44A0-46A2-B712-30D997D04A6D}"/>
          <w:text/>
        </w:sdtPr>
        <w:sdtEndPr>
          <w:rPr>
            <w:rFonts w:hint="eastAsia"/>
            <w:szCs w:val="21"/>
          </w:rPr>
        </w:sdtEndPr>
        <w:sdtContent>
          <w:r>
            <w:rPr>
              <w:rFonts w:hint="eastAsia"/>
              <w:szCs w:val="21"/>
            </w:rPr>
            <w:t>冯晓</w:t>
          </w:r>
        </w:sdtContent>
      </w:sdt>
    </w:p>
    <w:p w14:paraId="06610FE0">
      <w:pPr>
        <w:rPr>
          <w:rFonts w:hint="eastAsia"/>
          <w:color w:val="FF0000"/>
        </w:rPr>
      </w:pPr>
    </w:p>
    <w:bookmarkEnd w:id="211"/>
    <w:p w14:paraId="326AAE3E">
      <w:pPr>
        <w:snapToGrid w:val="0"/>
        <w:spacing w:line="240" w:lineRule="atLeast"/>
        <w:ind w:right="-153" w:rightChars="-73"/>
        <w:rPr>
          <w:rFonts w:hint="eastAsia"/>
          <w:b/>
          <w:bCs/>
          <w:color w:val="FF0000"/>
          <w:szCs w:val="21"/>
        </w:rPr>
      </w:pPr>
      <w:bookmarkStart w:id="212" w:name="_Hlk24980162"/>
      <w:bookmarkEnd w:id="212"/>
    </w:p>
    <w:p w14:paraId="41AB49F4">
      <w:pPr>
        <w:snapToGrid w:val="0"/>
        <w:spacing w:line="240" w:lineRule="atLeast"/>
        <w:rPr>
          <w:rFonts w:hint="eastAsia"/>
          <w:szCs w:val="21"/>
        </w:rPr>
        <w:sectPr>
          <w:pgSz w:w="16838" w:h="11906" w:orient="landscape"/>
          <w:pgMar w:top="1276" w:right="1440" w:bottom="1797" w:left="1525" w:header="856" w:footer="992" w:gutter="0"/>
          <w:cols w:space="425" w:num="1"/>
          <w:docGrid w:linePitch="312" w:charSpace="0"/>
        </w:sectPr>
      </w:pPr>
      <w:bookmarkStart w:id="213" w:name="_Hlk533930396"/>
    </w:p>
    <w:bookmarkEnd w:id="213"/>
    <w:p w14:paraId="6340EFC7">
      <w:pPr>
        <w:pStyle w:val="69"/>
        <w:numPr>
          <w:ilvl w:val="0"/>
          <w:numId w:val="87"/>
        </w:numPr>
        <w:rPr>
          <w:rFonts w:hint="eastAsia" w:ascii="宋体" w:hAnsi="宋体"/>
        </w:rPr>
      </w:pPr>
      <w:r>
        <w:rPr>
          <w:rFonts w:hint="eastAsia"/>
        </w:rPr>
        <w:t>公司基本情况</w:t>
      </w:r>
    </w:p>
    <w:p w14:paraId="4D3B92D6">
      <w:pPr>
        <w:pStyle w:val="70"/>
        <w:numPr>
          <w:ilvl w:val="0"/>
          <w:numId w:val="99"/>
        </w:numPr>
      </w:pPr>
      <w:r>
        <w:rPr>
          <w:rFonts w:hint="eastAsia"/>
        </w:rPr>
        <w:t>公司概况</w:t>
      </w:r>
    </w:p>
    <w:sdt>
      <w:sdtPr>
        <w:rPr>
          <w:rFonts w:hint="eastAsia"/>
          <w:szCs w:val="21"/>
        </w:rPr>
        <w:alias w:val="是否适用：公司概况[双击切换]"/>
        <w:tag w:val="_GBC_7b613deb8c7f4027b73602e5cd1d4a2e"/>
        <w:id w:val="-1302690061"/>
        <w:placeholder>
          <w:docPart w:val="GBC22222222222222222222222222222"/>
        </w:placeholder>
      </w:sdtPr>
      <w:sdtEndPr>
        <w:rPr>
          <w:rFonts w:hint="eastAsia"/>
          <w:szCs w:val="21"/>
        </w:rPr>
      </w:sdtEndPr>
      <w:sdtContent>
        <w:p w14:paraId="017D0B0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1786463078"/>
        <w:placeholder>
          <w:docPart w:val="GBC22222222222222222222222222222"/>
        </w:placeholder>
      </w:sdtPr>
      <w:sdtEndPr>
        <w:rPr>
          <w:szCs w:val="21"/>
        </w:rPr>
      </w:sdtEndPr>
      <w:sdtContent>
        <w:p w14:paraId="417E207C">
          <w:pPr>
            <w:ind w:firstLine="420" w:firstLineChars="200"/>
            <w:rPr>
              <w:rFonts w:hint="eastAsia"/>
              <w:szCs w:val="21"/>
            </w:rPr>
          </w:pPr>
          <w:r>
            <w:rPr>
              <w:rFonts w:hint="eastAsia"/>
              <w:szCs w:val="21"/>
            </w:rPr>
            <w:t>（1）公司注册地、组织形式和总部地址</w:t>
          </w:r>
        </w:p>
        <w:p w14:paraId="1EB115EE">
          <w:pPr>
            <w:ind w:firstLine="420" w:firstLineChars="200"/>
            <w:rPr>
              <w:rFonts w:hint="eastAsia"/>
              <w:szCs w:val="21"/>
            </w:rPr>
          </w:pPr>
          <w:r>
            <w:rPr>
              <w:rFonts w:hint="eastAsia"/>
              <w:szCs w:val="21"/>
            </w:rPr>
            <w:t>际华集团股份有限公司（以下简称“公司”或“本公司”）系经国务院国资委国资改革[2009]444号批准，由新兴际华集团有限公司（以下简称“新兴际华”）联合新兴发展集团有限公司（以下简称“新兴发展”），于2009年6月26日将军需轻工业务的载体际华轻工集团有限公司（以下简称“际华轻工”）整体改制变更设立的股份有限公司。</w:t>
          </w:r>
        </w:p>
        <w:p w14:paraId="0AA31FFC">
          <w:pPr>
            <w:ind w:firstLine="420" w:firstLineChars="200"/>
            <w:rPr>
              <w:rFonts w:hint="eastAsia"/>
              <w:szCs w:val="21"/>
            </w:rPr>
          </w:pPr>
          <w:r>
            <w:rPr>
              <w:rFonts w:hint="eastAsia"/>
              <w:szCs w:val="21"/>
            </w:rPr>
            <w:t>2010年6月30日经中国证券监督管理委员会证监许可[2010]884号文件核准，本公司向社会公开发行人民币普通股(A股)115,700万股，发行价格为3.50元/股，本次发行募集资金总额404,950.00万元，扣除发行费用13,572.00万元后实际募集资金净额为人民币391,378.00万元。中瑞岳华会计师事务所有限公司于2010年8月9日对本次发行的资金到位情况进行了审验，并出具中瑞岳华验字[2010]第204号验资报告。本公司股票于2010年8月16日在上海证券交易所上市交易，公开发行后股本总额385,700万股，股票代码为：601718。</w:t>
          </w:r>
        </w:p>
        <w:p w14:paraId="2F0EB5D4">
          <w:pPr>
            <w:ind w:firstLine="420" w:firstLineChars="200"/>
            <w:rPr>
              <w:rFonts w:hint="eastAsia"/>
              <w:szCs w:val="21"/>
            </w:rPr>
          </w:pPr>
          <w:r>
            <w:rPr>
              <w:rFonts w:hint="eastAsia"/>
              <w:szCs w:val="21"/>
            </w:rPr>
            <w:t>经2016年11月09日中国证券监督管理委员会证监许可[2016]2854号文《关于核准际华集团股份有限公司非公开发行股票的批复》核准，本公司非公开发行人民币普通股534,629,404股（每股面值为人民币1.00元），发行价格为人民币8.19元/股，募集资金总额为人民币4,378,614,818.76元。扣除发行费用（含税）人民币65,699,777.90元，实际募集资金净额人民币4,312,915,040.86元。立信会计师事务所（特殊普通合伙）于2017年4月18日对本次非公开发行的资金到位情况进行审验，并出具信会师报字[2017]第ZB10691号验资报告。</w:t>
          </w:r>
        </w:p>
        <w:p w14:paraId="62625118">
          <w:pPr>
            <w:ind w:firstLine="420" w:firstLineChars="200"/>
            <w:rPr>
              <w:rFonts w:hint="eastAsia"/>
              <w:szCs w:val="21"/>
            </w:rPr>
          </w:pPr>
          <w:r>
            <w:rPr>
              <w:rFonts w:hint="eastAsia"/>
              <w:szCs w:val="21"/>
            </w:rPr>
            <w:t>截至2024年12月31日，本公司累计发行股本总数4,391,629,404.00股。公司注册资本为4,391,629,404.00元，现持有统一社会信用代码为91110000710934270X的营业执照。公司注册地：北京市大兴区广茂大街44号院2号楼。法定代表人：夏前军。</w:t>
          </w:r>
        </w:p>
        <w:p w14:paraId="70CDDFB4">
          <w:pPr>
            <w:ind w:firstLine="420" w:firstLineChars="200"/>
            <w:rPr>
              <w:rFonts w:hint="eastAsia"/>
              <w:szCs w:val="21"/>
            </w:rPr>
          </w:pPr>
          <w:r>
            <w:rPr>
              <w:rFonts w:hint="eastAsia"/>
              <w:szCs w:val="21"/>
            </w:rPr>
            <w:t>本公司的母公司为新兴际华集团有限公司，实际控制人为国务院国资委。</w:t>
          </w:r>
        </w:p>
        <w:p w14:paraId="250C025D">
          <w:pPr>
            <w:ind w:firstLine="420" w:firstLineChars="200"/>
            <w:rPr>
              <w:rFonts w:hint="eastAsia"/>
              <w:szCs w:val="21"/>
            </w:rPr>
          </w:pPr>
          <w:r>
            <w:rPr>
              <w:rFonts w:hint="eastAsia"/>
              <w:szCs w:val="21"/>
            </w:rPr>
            <w:t>（2）公司业务性质和主要经营活动</w:t>
          </w:r>
        </w:p>
        <w:p w14:paraId="58C37AEE">
          <w:pPr>
            <w:ind w:firstLine="420" w:firstLineChars="200"/>
            <w:rPr>
              <w:rFonts w:hint="eastAsia"/>
              <w:szCs w:val="21"/>
            </w:rPr>
          </w:pPr>
          <w:r>
            <w:rPr>
              <w:rFonts w:hint="eastAsia"/>
              <w:szCs w:val="21"/>
            </w:rPr>
            <w:t>本公司所属行业为服装及其他纤维制品制造类。</w:t>
          </w:r>
        </w:p>
        <w:p w14:paraId="5E4FF1CC">
          <w:pPr>
            <w:ind w:firstLine="420" w:firstLineChars="200"/>
            <w:rPr>
              <w:rFonts w:hint="eastAsia"/>
              <w:szCs w:val="21"/>
            </w:rPr>
          </w:pPr>
          <w:r>
            <w:rPr>
              <w:rFonts w:hint="eastAsia"/>
              <w:szCs w:val="21"/>
            </w:rPr>
            <w:t>本公司经营范围为：对所属企业资产及资本的经营管理；服装鞋帽、轻纺印染、制革装具、橡胶制品的生产和销售；医药、化工、资源开发的投资与管理；实业项目的投资与管理；商贸、物流项目的投资与管理；进出口业务；技术开发、技术服务、管理咨询。主要生产职业装、职业鞋靴、防护装具、纺织印染、皮革皮鞋产品。</w:t>
          </w:r>
        </w:p>
        <w:p w14:paraId="3BFC0A2F">
          <w:pPr>
            <w:ind w:firstLine="420" w:firstLineChars="200"/>
            <w:rPr>
              <w:rFonts w:hint="eastAsia"/>
              <w:szCs w:val="21"/>
            </w:rPr>
          </w:pPr>
          <w:r>
            <w:rPr>
              <w:rFonts w:hint="eastAsia"/>
              <w:szCs w:val="21"/>
            </w:rPr>
            <w:t>（3）财务报表的批准报出</w:t>
          </w:r>
        </w:p>
        <w:p w14:paraId="351C41D1">
          <w:pPr>
            <w:ind w:firstLine="420" w:firstLineChars="200"/>
            <w:rPr>
              <w:rFonts w:hint="eastAsia"/>
              <w:szCs w:val="21"/>
            </w:rPr>
          </w:pPr>
          <w:r>
            <w:rPr>
              <w:rFonts w:hint="eastAsia"/>
              <w:szCs w:val="21"/>
            </w:rPr>
            <w:t>本财务报表业经公司董事会于2025年4月25日批准报出。</w:t>
          </w:r>
        </w:p>
      </w:sdtContent>
    </w:sdt>
    <w:p w14:paraId="1815AC98">
      <w:pPr>
        <w:rPr>
          <w:rFonts w:hint="eastAsia"/>
          <w:szCs w:val="21"/>
        </w:rPr>
      </w:pPr>
    </w:p>
    <w:p w14:paraId="128B1502">
      <w:pPr>
        <w:pStyle w:val="69"/>
        <w:numPr>
          <w:ilvl w:val="0"/>
          <w:numId w:val="87"/>
        </w:numPr>
        <w:rPr>
          <w:rFonts w:hint="eastAsia" w:ascii="宋体" w:hAnsi="宋体"/>
        </w:rPr>
      </w:pPr>
      <w:r>
        <w:rPr>
          <w:rFonts w:hint="eastAsia"/>
        </w:rPr>
        <w:t>财务报表的编制基础</w:t>
      </w:r>
    </w:p>
    <w:p w14:paraId="7CB19805">
      <w:pPr>
        <w:pStyle w:val="70"/>
        <w:numPr>
          <w:ilvl w:val="0"/>
          <w:numId w:val="100"/>
        </w:numPr>
      </w:pPr>
      <w:r>
        <w:t>编制基础</w:t>
      </w:r>
    </w:p>
    <w:sdt>
      <w:sdtPr>
        <w:rPr>
          <w:rFonts w:hint="eastAsia"/>
          <w:szCs w:val="21"/>
        </w:rPr>
        <w:alias w:val="财务报表的编制基础"/>
        <w:tag w:val="_GBC_1dc2375ed7ab49628f5badf2d5006405"/>
        <w:id w:val="-458726519"/>
        <w:placeholder>
          <w:docPart w:val="GBC22222222222222222222222222222"/>
        </w:placeholder>
      </w:sdtPr>
      <w:sdtEndPr>
        <w:rPr>
          <w:rFonts w:hint="eastAsia"/>
          <w:szCs w:val="21"/>
        </w:rPr>
      </w:sdtEndPr>
      <w:sdtContent>
        <w:p w14:paraId="4421F968">
          <w:pPr>
            <w:rPr>
              <w:rFonts w:hint="eastAsia"/>
              <w:szCs w:val="21"/>
            </w:rPr>
          </w:pPr>
          <w:r>
            <w:rPr>
              <w:szCs w:val="21"/>
            </w:rPr>
            <w:t>本公司财务报表以持续经营为编制基础。</w:t>
          </w:r>
        </w:p>
      </w:sdtContent>
    </w:sdt>
    <w:p w14:paraId="6669D722">
      <w:pPr>
        <w:rPr>
          <w:rFonts w:hint="eastAsia"/>
          <w:szCs w:val="21"/>
        </w:rPr>
      </w:pPr>
    </w:p>
    <w:p w14:paraId="056F10B7">
      <w:pPr>
        <w:pStyle w:val="70"/>
        <w:numPr>
          <w:ilvl w:val="0"/>
          <w:numId w:val="100"/>
        </w:numPr>
      </w:pPr>
      <w:r>
        <w:rPr>
          <w:rFonts w:hint="eastAsia"/>
        </w:rPr>
        <w:t>持续经营</w:t>
      </w:r>
    </w:p>
    <w:sdt>
      <w:sdtPr>
        <w:rPr>
          <w:rFonts w:hint="eastAsia"/>
          <w:szCs w:val="21"/>
        </w:rPr>
        <w:alias w:val="是否适用：持续经营[双击切换]"/>
        <w:tag w:val="_GBC_fa7177dc4f164e56b4df7bebc60acf50"/>
        <w:id w:val="-563259692"/>
        <w:placeholder>
          <w:docPart w:val="GBC22222222222222222222222222222"/>
        </w:placeholder>
      </w:sdtPr>
      <w:sdtEndPr>
        <w:rPr>
          <w:rFonts w:hint="eastAsia"/>
          <w:szCs w:val="21"/>
        </w:rPr>
      </w:sdtEndPr>
      <w:sdtContent>
        <w:p w14:paraId="10E0FC66">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1226653845"/>
        <w:placeholder>
          <w:docPart w:val="GBC22222222222222222222222222222"/>
        </w:placeholder>
      </w:sdtPr>
      <w:sdtEndPr>
        <w:rPr>
          <w:szCs w:val="21"/>
        </w:rPr>
      </w:sdtEndPr>
      <w:sdtContent>
        <w:p w14:paraId="223F8636">
          <w:pPr>
            <w:ind w:firstLine="420" w:firstLineChars="200"/>
            <w:rPr>
              <w:rFonts w:hint="eastAsia"/>
              <w:szCs w:val="21"/>
            </w:rPr>
          </w:pPr>
          <w:r>
            <w:rPr>
              <w:rFonts w:hint="eastAsia"/>
              <w:szCs w:val="21"/>
            </w:rPr>
            <w:t>本公司对报告期末起12个月的持续经营能力进行了评价，未发现对持续经营能力产生重大怀疑的事项或情况。因此，本财务报表系在持续经营假设的基础上编制。</w:t>
          </w:r>
        </w:p>
      </w:sdtContent>
    </w:sdt>
    <w:p w14:paraId="7A0C7F15">
      <w:pPr>
        <w:rPr>
          <w:rFonts w:hint="eastAsia"/>
          <w:szCs w:val="21"/>
        </w:rPr>
      </w:pPr>
    </w:p>
    <w:p w14:paraId="4C74550B">
      <w:pPr>
        <w:pStyle w:val="69"/>
        <w:numPr>
          <w:ilvl w:val="0"/>
          <w:numId w:val="87"/>
        </w:numPr>
        <w:rPr>
          <w:rFonts w:hint="eastAsia" w:ascii="宋体" w:hAnsi="宋体"/>
        </w:rPr>
      </w:pPr>
      <w:r>
        <w:rPr>
          <w:rFonts w:hint="eastAsia"/>
        </w:rPr>
        <w:t>重要会计政策及会计估计</w:t>
      </w:r>
    </w:p>
    <w:p w14:paraId="25EF701F">
      <w:pPr>
        <w:rPr>
          <w:rFonts w:hint="eastAsia"/>
        </w:rPr>
      </w:pPr>
      <w:r>
        <w:rPr>
          <w:rFonts w:hint="eastAsia"/>
        </w:rPr>
        <w:t>具体会计政策和会计估计提示：</w:t>
      </w:r>
    </w:p>
    <w:sdt>
      <w:sdtPr>
        <w:alias w:val="是否适用：具体会计政策和会计估计提示[双击切换]"/>
        <w:tag w:val="_GBC_86fd142a599649f8a3574e6ddaba5f71"/>
        <w:id w:val="-739476100"/>
        <w:placeholder>
          <w:docPart w:val="GBC22222222222222222222222222222"/>
        </w:placeholder>
      </w:sdtPr>
      <w:sdtContent>
        <w:p w14:paraId="6DAD290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alias w:val="具体会计政策和会计估计提示"/>
        <w:tag w:val="_GBC_caddaeaf0d1a454ab0bede37f0db7782"/>
        <w:id w:val="1217781082"/>
        <w:placeholder>
          <w:docPart w:val="GBC22222222222222222222222222222"/>
        </w:placeholder>
      </w:sdtPr>
      <w:sdtContent>
        <w:p w14:paraId="270BF498">
          <w:pPr>
            <w:ind w:firstLine="420" w:firstLineChars="200"/>
            <w:rPr>
              <w:rFonts w:hint="eastAsia"/>
            </w:rPr>
          </w:pPr>
          <w:r>
            <w:rPr>
              <w:rFonts w:hint="eastAsia"/>
            </w:rPr>
            <w:t>以下披露内容已涵盖了本公司根据实际生产经营特点制定的具体会计政策和会计估计。详见 本附注“五、11、金融工具”、“五、13、应收账款”、“五、15、其他应收款”、“五、21、固定资产”、“五、26、无形资产”、“五、34、收入”。</w:t>
          </w:r>
        </w:p>
      </w:sdtContent>
    </w:sdt>
    <w:p w14:paraId="10B33939">
      <w:pPr>
        <w:rPr>
          <w:rFonts w:hint="eastAsia"/>
        </w:rPr>
      </w:pPr>
    </w:p>
    <w:p w14:paraId="46A6F68E">
      <w:pPr>
        <w:pStyle w:val="70"/>
        <w:numPr>
          <w:ilvl w:val="0"/>
          <w:numId w:val="101"/>
        </w:numPr>
      </w:pPr>
      <w:r>
        <w:t>遵循企业会计准则的声明</w:t>
      </w:r>
    </w:p>
    <w:sdt>
      <w:sdtPr>
        <w:rPr>
          <w:rFonts w:hint="eastAsia"/>
          <w:szCs w:val="21"/>
        </w:rPr>
        <w:alias w:val="会计准则和会计制度"/>
        <w:tag w:val="_GBC_a350b889163a4ef3bb500c021e6a6b47"/>
        <w:id w:val="961843888"/>
        <w:placeholder>
          <w:docPart w:val="GBC22222222222222222222222222222"/>
        </w:placeholder>
      </w:sdtPr>
      <w:sdtEndPr>
        <w:rPr>
          <w:rFonts w:hint="eastAsia"/>
          <w:szCs w:val="21"/>
        </w:rPr>
      </w:sdtEndPr>
      <w:sdtContent>
        <w:p w14:paraId="0E4D7DEE">
          <w:pPr>
            <w:ind w:firstLine="420" w:firstLineChars="200"/>
            <w:rPr>
              <w:rFonts w:hint="eastAsia"/>
              <w:szCs w:val="21"/>
            </w:rPr>
          </w:pPr>
          <w:r>
            <w:rPr>
              <w:szCs w:val="21"/>
            </w:rPr>
            <w:t>本公司所编制的财务报表符合企业会计准则的要求，真实、完整地反映了公司的财务状况、经营成果、股东权益变动和现金流量等有关信息。</w:t>
          </w:r>
        </w:p>
      </w:sdtContent>
    </w:sdt>
    <w:p w14:paraId="4DE4CCDB">
      <w:pPr>
        <w:rPr>
          <w:rFonts w:hint="eastAsia"/>
          <w:szCs w:val="21"/>
        </w:rPr>
      </w:pPr>
    </w:p>
    <w:p w14:paraId="5D93CCA4">
      <w:pPr>
        <w:pStyle w:val="70"/>
        <w:numPr>
          <w:ilvl w:val="0"/>
          <w:numId w:val="101"/>
        </w:numPr>
      </w:pPr>
      <w:r>
        <w:t>会计期间</w:t>
      </w:r>
    </w:p>
    <w:sdt>
      <w:sdtPr>
        <w:rPr>
          <w:rFonts w:hint="eastAsia"/>
          <w:szCs w:val="21"/>
        </w:rPr>
        <w:alias w:val="会计年度"/>
        <w:tag w:val="_GBC_fc896fba50b143f8a06984831f5d5600"/>
        <w:id w:val="-914931519"/>
        <w:placeholder>
          <w:docPart w:val="GBC22222222222222222222222222222"/>
        </w:placeholder>
      </w:sdtPr>
      <w:sdtEndPr>
        <w:rPr>
          <w:rFonts w:hint="eastAsia"/>
          <w:szCs w:val="21"/>
        </w:rPr>
      </w:sdtEndPr>
      <w:sdtContent>
        <w:p w14:paraId="0A1E9CAD">
          <w:pPr>
            <w:rPr>
              <w:rFonts w:hint="eastAsia"/>
              <w:szCs w:val="21"/>
            </w:rPr>
          </w:pPr>
          <w:r>
            <w:rPr>
              <w:szCs w:val="21"/>
            </w:rPr>
            <w:t>本公司会计年度自公历1月1日起至12月31日止。</w:t>
          </w:r>
        </w:p>
      </w:sdtContent>
    </w:sdt>
    <w:p w14:paraId="536D5E4E">
      <w:pPr>
        <w:rPr>
          <w:rFonts w:hint="eastAsia"/>
          <w:szCs w:val="21"/>
        </w:rPr>
      </w:pPr>
    </w:p>
    <w:p w14:paraId="25C7BECA">
      <w:pPr>
        <w:pStyle w:val="70"/>
        <w:numPr>
          <w:ilvl w:val="0"/>
          <w:numId w:val="101"/>
        </w:numPr>
      </w:pPr>
      <w:r>
        <w:rPr>
          <w:rFonts w:hint="eastAsia"/>
        </w:rPr>
        <w:t>营业周期</w:t>
      </w:r>
    </w:p>
    <w:sdt>
      <w:sdtPr>
        <w:rPr>
          <w:rFonts w:hint="eastAsia"/>
          <w:szCs w:val="21"/>
        </w:rPr>
        <w:alias w:val="是否适用：营业周期[双击切换]"/>
        <w:tag w:val="_GBC_41bd09d0a4bd429996597e58a613259e"/>
        <w:id w:val="2044778552"/>
        <w:placeholder>
          <w:docPart w:val="GBC22222222222222222222222222222"/>
        </w:placeholder>
      </w:sdtPr>
      <w:sdtEndPr>
        <w:rPr>
          <w:rFonts w:hint="eastAsia"/>
          <w:szCs w:val="21"/>
        </w:rPr>
      </w:sdtEndPr>
      <w:sdtContent>
        <w:p w14:paraId="7AEF06CC">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871886545"/>
        <w:placeholder>
          <w:docPart w:val="GBC22222222222222222222222222222"/>
        </w:placeholder>
      </w:sdtPr>
      <w:sdtEndPr>
        <w:rPr>
          <w:szCs w:val="21"/>
        </w:rPr>
      </w:sdtEndPr>
      <w:sdtContent>
        <w:p w14:paraId="3EE4C1E3">
          <w:pPr>
            <w:ind w:firstLine="420" w:firstLineChars="200"/>
            <w:rPr>
              <w:rFonts w:hint="eastAsia" w:cs="Times New Roman"/>
              <w:kern w:val="2"/>
              <w:szCs w:val="21"/>
            </w:rPr>
          </w:pPr>
          <w:r>
            <w:rPr>
              <w:rFonts w:hint="eastAsia"/>
              <w:szCs w:val="21"/>
            </w:rPr>
            <w:t>营业周期是指企业从购买用于加工的资产起至实现现金或现金等价物的期间。本公司以12个月作为一个营业周期，并以其作为资产和负债的流动性划分标准。</w:t>
          </w:r>
        </w:p>
      </w:sdtContent>
    </w:sdt>
    <w:p w14:paraId="68EEEC04">
      <w:pPr>
        <w:rPr>
          <w:rFonts w:hint="eastAsia"/>
          <w:szCs w:val="21"/>
        </w:rPr>
      </w:pPr>
    </w:p>
    <w:p w14:paraId="30E14B64">
      <w:pPr>
        <w:pStyle w:val="70"/>
        <w:numPr>
          <w:ilvl w:val="0"/>
          <w:numId w:val="101"/>
        </w:numPr>
      </w:pPr>
      <w:r>
        <w:t>记账本位币</w:t>
      </w:r>
    </w:p>
    <w:sdt>
      <w:sdtPr>
        <w:rPr>
          <w:rFonts w:hint="eastAsia"/>
          <w:szCs w:val="21"/>
        </w:rPr>
        <w:alias w:val="记账本位币"/>
        <w:tag w:val="_GBC_3749a2357eba44e8b968cb41cda75ff1"/>
        <w:id w:val="701212431"/>
        <w:placeholder>
          <w:docPart w:val="GBC22222222222222222222222222222"/>
        </w:placeholder>
      </w:sdtPr>
      <w:sdtEndPr>
        <w:rPr>
          <w:rFonts w:hint="eastAsia"/>
          <w:szCs w:val="21"/>
        </w:rPr>
      </w:sdtEndPr>
      <w:sdtContent>
        <w:p w14:paraId="4E16116C">
          <w:pPr>
            <w:rPr>
              <w:rFonts w:hint="eastAsia"/>
              <w:szCs w:val="21"/>
            </w:rPr>
          </w:pPr>
          <w:r>
            <w:rPr>
              <w:szCs w:val="21"/>
            </w:rPr>
            <w:t>本公司的记账本位币为人民币。</w:t>
          </w:r>
        </w:p>
      </w:sdtContent>
    </w:sdt>
    <w:p w14:paraId="3FA72AC2">
      <w:pPr>
        <w:rPr>
          <w:rFonts w:hint="eastAsia" w:cs="Times New Roman"/>
          <w:kern w:val="2"/>
          <w:szCs w:val="21"/>
        </w:rPr>
      </w:pPr>
    </w:p>
    <w:p w14:paraId="0B203C1B">
      <w:pPr>
        <w:pStyle w:val="70"/>
        <w:numPr>
          <w:ilvl w:val="0"/>
          <w:numId w:val="101"/>
        </w:numPr>
      </w:pPr>
      <w:bookmarkStart w:id="214" w:name="_Hlk182408346"/>
      <w:bookmarkStart w:id="215" w:name="_Hlk169007161"/>
      <w:bookmarkStart w:id="216" w:name="_Hlk167809539"/>
      <w:r>
        <w:rPr>
          <w:rFonts w:hint="eastAsia"/>
          <w:color w:val="000000" w:themeColor="text1"/>
          <w14:textFill>
            <w14:solidFill>
              <w14:schemeClr w14:val="tx1"/>
            </w14:solidFill>
          </w14:textFill>
        </w:rPr>
        <w:t>重要性标准确定方法和选择依据</w:t>
      </w:r>
    </w:p>
    <w:sdt>
      <w:sdtPr>
        <w:rPr>
          <w:color w:val="000000" w:themeColor="text1"/>
          <w14:textFill>
            <w14:solidFill>
              <w14:schemeClr w14:val="tx1"/>
            </w14:solidFill>
          </w14:textFill>
        </w:rPr>
        <w:alias w:val="是否适用：重要性标准确定方法和选择依据[双击切换]"/>
        <w:tag w:val="_GBC_f3fe7ba4d0b64357b4a1c06c771e5b1a"/>
        <w:id w:val="1174306076"/>
        <w:placeholder>
          <w:docPart w:val="GBC22222222222222222222222222222"/>
        </w:placeholder>
      </w:sdtPr>
      <w:sdtEndPr>
        <w:rPr>
          <w:color w:val="000000" w:themeColor="text1"/>
          <w14:textFill>
            <w14:solidFill>
              <w14:schemeClr w14:val="tx1"/>
            </w14:solidFill>
          </w14:textFill>
        </w:rPr>
      </w:sdtEndPr>
      <w:sdtContent>
        <w:p w14:paraId="6EAE934D">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767A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cbeb4305c44211925953c92ffe63a0"/>
            <w:id w:val="-67805965"/>
          </w:sdtPr>
          <w:sdtContent>
            <w:tc>
              <w:tcPr>
                <w:tcW w:w="4411" w:type="dxa"/>
              </w:tcPr>
              <w:p w14:paraId="3A55D35B">
                <w:pPr>
                  <w:widowControl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ef90d798dba4c27b8c2b37b31086625"/>
            <w:id w:val="920447598"/>
          </w:sdtPr>
          <w:sdtContent>
            <w:tc>
              <w:tcPr>
                <w:tcW w:w="4412" w:type="dxa"/>
              </w:tcPr>
              <w:p w14:paraId="099A1092">
                <w:pPr>
                  <w:widowControl w:val="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重要性标准</w:t>
                </w:r>
              </w:p>
            </w:tc>
          </w:sdtContent>
        </w:sdt>
      </w:tr>
      <w:tr w14:paraId="4D46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4FFED2AB">
            <w:pPr>
              <w:widowControl w:val="0"/>
              <w:jc w:val="both"/>
              <w:rPr>
                <w:rFonts w:hint="eastAsia"/>
              </w:rPr>
            </w:pPr>
            <w:r>
              <w:rPr>
                <w:rFonts w:ascii="Times New Roman" w:hAnsi="Times New Roman"/>
              </w:rPr>
              <w:t>重要的单项计提坏账准备的应收款项</w:t>
            </w:r>
          </w:p>
        </w:tc>
        <w:tc>
          <w:tcPr>
            <w:tcW w:w="4412" w:type="dxa"/>
            <w:vAlign w:val="center"/>
          </w:tcPr>
          <w:p w14:paraId="7DE4CADA">
            <w:pPr>
              <w:widowControl w:val="0"/>
              <w:jc w:val="both"/>
              <w:rPr>
                <w:rFonts w:hint="eastAsia"/>
              </w:rPr>
            </w:pPr>
            <w:r>
              <w:rPr>
                <w:rFonts w:ascii="Times New Roman" w:hAnsi="Times New Roman"/>
              </w:rPr>
              <w:t>单笔金额</w:t>
            </w:r>
            <w:r>
              <w:rPr>
                <w:rFonts w:ascii="Times New Roman" w:hAnsi="Times New Roman" w:cs="Times New Roman"/>
              </w:rPr>
              <w:t>500</w:t>
            </w:r>
            <w:r>
              <w:t>万以上（包含</w:t>
            </w:r>
            <w:r>
              <w:rPr>
                <w:rFonts w:ascii="Times New Roman" w:hAnsi="Times New Roman" w:cs="Times New Roman"/>
              </w:rPr>
              <w:t>500</w:t>
            </w:r>
            <w:r>
              <w:t>万）</w:t>
            </w:r>
          </w:p>
        </w:tc>
      </w:tr>
      <w:tr w14:paraId="3B0A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36F7151D">
            <w:pPr>
              <w:widowControl w:val="0"/>
              <w:jc w:val="both"/>
              <w:rPr>
                <w:rFonts w:hint="eastAsia"/>
              </w:rPr>
            </w:pPr>
            <w:r>
              <w:rPr>
                <w:rFonts w:ascii="Times New Roman" w:hAnsi="Times New Roman"/>
              </w:rPr>
              <w:t>应收款项本期坏账准备收回或转回金额重要的</w:t>
            </w:r>
          </w:p>
        </w:tc>
        <w:tc>
          <w:tcPr>
            <w:tcW w:w="4412" w:type="dxa"/>
            <w:vAlign w:val="center"/>
          </w:tcPr>
          <w:p w14:paraId="3FF1D1CD">
            <w:pPr>
              <w:widowControl w:val="0"/>
              <w:jc w:val="both"/>
              <w:rPr>
                <w:rFonts w:hint="eastAsia"/>
              </w:rPr>
            </w:pPr>
            <w:r>
              <w:rPr>
                <w:rFonts w:ascii="Times New Roman" w:hAnsi="Times New Roman"/>
              </w:rPr>
              <w:t>单笔金额</w:t>
            </w:r>
            <w:r>
              <w:rPr>
                <w:rFonts w:ascii="Times New Roman" w:hAnsi="Times New Roman" w:cs="Times New Roman"/>
              </w:rPr>
              <w:t>500</w:t>
            </w:r>
            <w:r>
              <w:t>万以上（包含</w:t>
            </w:r>
            <w:r>
              <w:rPr>
                <w:rFonts w:ascii="Times New Roman" w:hAnsi="Times New Roman" w:cs="Times New Roman"/>
              </w:rPr>
              <w:t>500</w:t>
            </w:r>
            <w:r>
              <w:t>万）</w:t>
            </w:r>
          </w:p>
        </w:tc>
      </w:tr>
      <w:tr w14:paraId="7094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5D11C182">
            <w:pPr>
              <w:widowControl w:val="0"/>
              <w:jc w:val="both"/>
              <w:rPr>
                <w:rFonts w:hint="eastAsia"/>
              </w:rPr>
            </w:pPr>
            <w:r>
              <w:rPr>
                <w:rFonts w:ascii="Times New Roman" w:hAnsi="Times New Roman"/>
              </w:rPr>
              <w:t>本期重要的应收款项核销</w:t>
            </w:r>
          </w:p>
        </w:tc>
        <w:tc>
          <w:tcPr>
            <w:tcW w:w="4412" w:type="dxa"/>
            <w:vAlign w:val="center"/>
          </w:tcPr>
          <w:p w14:paraId="0D3976F0">
            <w:pPr>
              <w:widowControl w:val="0"/>
              <w:jc w:val="both"/>
              <w:rPr>
                <w:rFonts w:hint="eastAsia"/>
              </w:rPr>
            </w:pPr>
            <w:r>
              <w:rPr>
                <w:rFonts w:ascii="Times New Roman" w:hAnsi="Times New Roman"/>
              </w:rPr>
              <w:t>单笔金额</w:t>
            </w:r>
            <w:r>
              <w:rPr>
                <w:rFonts w:ascii="Times New Roman" w:hAnsi="Times New Roman" w:cs="Times New Roman"/>
              </w:rPr>
              <w:t>500</w:t>
            </w:r>
            <w:r>
              <w:t>万以上（包含</w:t>
            </w:r>
            <w:r>
              <w:rPr>
                <w:rFonts w:ascii="Times New Roman" w:hAnsi="Times New Roman" w:cs="Times New Roman"/>
              </w:rPr>
              <w:t>500</w:t>
            </w:r>
            <w:r>
              <w:t>万）</w:t>
            </w:r>
          </w:p>
        </w:tc>
      </w:tr>
      <w:tr w14:paraId="38CF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1A9BB44E">
            <w:pPr>
              <w:widowControl w:val="0"/>
              <w:jc w:val="both"/>
              <w:rPr>
                <w:rFonts w:hint="eastAsia"/>
              </w:rPr>
            </w:pPr>
            <w:r>
              <w:rPr>
                <w:rFonts w:ascii="Times New Roman" w:hAnsi="Times New Roman"/>
              </w:rPr>
              <w:t>重要的在建工程</w:t>
            </w:r>
          </w:p>
        </w:tc>
        <w:tc>
          <w:tcPr>
            <w:tcW w:w="4412" w:type="dxa"/>
            <w:vAlign w:val="center"/>
          </w:tcPr>
          <w:p w14:paraId="6260DB71">
            <w:pPr>
              <w:widowControl w:val="0"/>
              <w:jc w:val="both"/>
              <w:rPr>
                <w:rFonts w:hint="eastAsia"/>
              </w:rPr>
            </w:pPr>
            <w:r>
              <w:rPr>
                <w:rFonts w:ascii="Times New Roman" w:hAnsi="Times New Roman"/>
              </w:rPr>
              <w:t>单项期末金额</w:t>
            </w:r>
            <w:r>
              <w:rPr>
                <w:rFonts w:ascii="Times New Roman" w:hAnsi="Times New Roman" w:cs="Times New Roman"/>
              </w:rPr>
              <w:t>3000</w:t>
            </w:r>
            <w:r>
              <w:t>万元以上（包含</w:t>
            </w:r>
            <w:r>
              <w:rPr>
                <w:rFonts w:ascii="Times New Roman" w:hAnsi="Times New Roman" w:cs="Times New Roman"/>
              </w:rPr>
              <w:t>3000</w:t>
            </w:r>
            <w:r>
              <w:t>万元）</w:t>
            </w:r>
          </w:p>
        </w:tc>
      </w:tr>
      <w:tr w14:paraId="1E75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17B298AF">
            <w:pPr>
              <w:widowControl w:val="0"/>
              <w:jc w:val="both"/>
              <w:rPr>
                <w:rFonts w:hint="eastAsia"/>
              </w:rPr>
            </w:pPr>
            <w:r>
              <w:rPr>
                <w:rFonts w:ascii="Times New Roman" w:hAnsi="Times New Roman"/>
              </w:rPr>
              <w:t>重要的非全资子公司</w:t>
            </w:r>
          </w:p>
        </w:tc>
        <w:tc>
          <w:tcPr>
            <w:tcW w:w="4412" w:type="dxa"/>
            <w:vAlign w:val="center"/>
          </w:tcPr>
          <w:p w14:paraId="39982FFD">
            <w:pPr>
              <w:widowControl w:val="0"/>
              <w:jc w:val="both"/>
              <w:rPr>
                <w:rFonts w:hint="eastAsia"/>
              </w:rPr>
            </w:pPr>
            <w:r>
              <w:rPr>
                <w:rFonts w:ascii="Times New Roman" w:hAnsi="Times New Roman"/>
              </w:rPr>
              <w:t>占合并报表总资产</w:t>
            </w:r>
            <w:r>
              <w:rPr>
                <w:rFonts w:ascii="Times New Roman" w:hAnsi="Times New Roman" w:cs="Times New Roman"/>
              </w:rPr>
              <w:t>0.5%</w:t>
            </w:r>
            <w:r>
              <w:t>，且收入金额</w:t>
            </w:r>
            <w:r>
              <w:rPr>
                <w:rFonts w:ascii="Times New Roman" w:hAnsi="Times New Roman" w:cs="Times New Roman"/>
              </w:rPr>
              <w:t>1</w:t>
            </w:r>
            <w:r>
              <w:t>亿元以上</w:t>
            </w:r>
          </w:p>
        </w:tc>
      </w:tr>
      <w:tr w14:paraId="375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044D9D30">
            <w:pPr>
              <w:widowControl w:val="0"/>
              <w:jc w:val="both"/>
              <w:rPr>
                <w:rFonts w:hint="eastAsia"/>
              </w:rPr>
            </w:pPr>
            <w:r>
              <w:rPr>
                <w:rFonts w:ascii="Times New Roman" w:hAnsi="Times New Roman"/>
              </w:rPr>
              <w:t>重要的联营合营企业</w:t>
            </w:r>
          </w:p>
        </w:tc>
        <w:tc>
          <w:tcPr>
            <w:tcW w:w="4412" w:type="dxa"/>
            <w:vAlign w:val="center"/>
          </w:tcPr>
          <w:p w14:paraId="3093F662">
            <w:pPr>
              <w:widowControl w:val="0"/>
              <w:jc w:val="both"/>
              <w:rPr>
                <w:rFonts w:hint="eastAsia"/>
              </w:rPr>
            </w:pPr>
            <w:r>
              <w:rPr>
                <w:rFonts w:ascii="Times New Roman" w:hAnsi="Times New Roman"/>
              </w:rPr>
              <w:t>联营合营企业资产规模</w:t>
            </w:r>
            <w:r>
              <w:rPr>
                <w:rFonts w:ascii="Times New Roman" w:hAnsi="Times New Roman" w:cs="Times New Roman"/>
              </w:rPr>
              <w:t>5000</w:t>
            </w:r>
            <w:r>
              <w:t>万以上，且收入规模</w:t>
            </w:r>
            <w:r>
              <w:rPr>
                <w:rFonts w:ascii="Times New Roman" w:hAnsi="Times New Roman" w:cs="Times New Roman"/>
              </w:rPr>
              <w:t>5000</w:t>
            </w:r>
            <w:r>
              <w:t>万以上</w:t>
            </w:r>
          </w:p>
        </w:tc>
      </w:tr>
    </w:tbl>
    <w:p w14:paraId="1C9AB38C">
      <w:pPr>
        <w:rPr>
          <w:rFonts w:hint="eastAsia"/>
          <w:color w:val="000000" w:themeColor="text1"/>
          <w14:textFill>
            <w14:solidFill>
              <w14:schemeClr w14:val="tx1"/>
            </w14:solidFill>
          </w14:textFill>
        </w:rPr>
      </w:pPr>
    </w:p>
    <w:bookmarkEnd w:id="214"/>
    <w:bookmarkEnd w:id="215"/>
    <w:bookmarkEnd w:id="216"/>
    <w:p w14:paraId="75E6C837">
      <w:pPr>
        <w:pStyle w:val="70"/>
        <w:numPr>
          <w:ilvl w:val="0"/>
          <w:numId w:val="101"/>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206649206"/>
        <w:placeholder>
          <w:docPart w:val="GBC22222222222222222222222222222"/>
        </w:placeholder>
      </w:sdtPr>
      <w:sdtEndPr>
        <w:rPr>
          <w:rFonts w:hint="eastAsia"/>
          <w:szCs w:val="21"/>
        </w:rPr>
      </w:sdtEndPr>
      <w:sdtContent>
        <w:p w14:paraId="319BD553">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888809371"/>
        <w:placeholder>
          <w:docPart w:val="GBC22222222222222222222222222222"/>
        </w:placeholder>
      </w:sdtPr>
      <w:sdtEndPr>
        <w:rPr>
          <w:rFonts w:hint="eastAsia"/>
          <w:szCs w:val="21"/>
        </w:rPr>
      </w:sdtEndPr>
      <w:sdtContent>
        <w:p w14:paraId="472DD5D9">
          <w:pPr>
            <w:ind w:firstLine="420" w:firstLineChars="200"/>
            <w:rPr>
              <w:rFonts w:hint="eastAsia"/>
              <w:szCs w:val="21"/>
            </w:rPr>
          </w:pPr>
          <w:r>
            <w:rPr>
              <w:rFonts w:hint="eastAsia"/>
              <w:szCs w:val="21"/>
            </w:rPr>
            <w:t>（1）分步实现企业合并过程中的各项交易的条款、条件以及经济影响符合以下一种或多种情况，将多次交易事项作为一揽子交易进行会计处理</w:t>
          </w:r>
        </w:p>
        <w:p w14:paraId="4471B0D6">
          <w:pPr>
            <w:ind w:firstLine="420" w:firstLineChars="200"/>
            <w:rPr>
              <w:rFonts w:hint="eastAsia"/>
              <w:szCs w:val="21"/>
            </w:rPr>
          </w:pPr>
          <w:r>
            <w:rPr>
              <w:rFonts w:hint="eastAsia"/>
              <w:szCs w:val="21"/>
            </w:rPr>
            <w:t>①这些交易是同时或者在考虑了彼此影响的情况下订立的；</w:t>
          </w:r>
        </w:p>
        <w:p w14:paraId="5899D4C3">
          <w:pPr>
            <w:ind w:firstLine="420" w:firstLineChars="200"/>
            <w:rPr>
              <w:rFonts w:hint="eastAsia"/>
              <w:szCs w:val="21"/>
            </w:rPr>
          </w:pPr>
          <w:r>
            <w:rPr>
              <w:rFonts w:hint="eastAsia"/>
              <w:szCs w:val="21"/>
            </w:rPr>
            <w:t>②这些交易整体才能达成一项完整的商业结果；</w:t>
          </w:r>
        </w:p>
        <w:p w14:paraId="20842092">
          <w:pPr>
            <w:ind w:firstLine="420" w:firstLineChars="200"/>
            <w:rPr>
              <w:rFonts w:hint="eastAsia"/>
              <w:szCs w:val="21"/>
            </w:rPr>
          </w:pPr>
          <w:r>
            <w:rPr>
              <w:rFonts w:hint="eastAsia"/>
              <w:szCs w:val="21"/>
            </w:rPr>
            <w:t>③一项交易的发生取决于其他至少一项交易的发生；</w:t>
          </w:r>
        </w:p>
        <w:p w14:paraId="07E251D1">
          <w:pPr>
            <w:ind w:firstLine="420" w:firstLineChars="200"/>
            <w:rPr>
              <w:rFonts w:hint="eastAsia"/>
              <w:szCs w:val="21"/>
            </w:rPr>
          </w:pPr>
          <w:r>
            <w:rPr>
              <w:rFonts w:hint="eastAsia"/>
              <w:szCs w:val="21"/>
            </w:rPr>
            <w:t>④一项交易单独看是不经济的，但是和其他交易一并考虑时是经济的。</w:t>
          </w:r>
        </w:p>
        <w:p w14:paraId="10696B10">
          <w:pPr>
            <w:ind w:firstLine="420" w:firstLineChars="200"/>
            <w:rPr>
              <w:rFonts w:hint="eastAsia"/>
              <w:szCs w:val="21"/>
            </w:rPr>
          </w:pPr>
          <w:r>
            <w:rPr>
              <w:rFonts w:hint="eastAsia"/>
              <w:szCs w:val="21"/>
            </w:rPr>
            <w:t>（2）同一控制下的企业合并</w:t>
          </w:r>
        </w:p>
        <w:p w14:paraId="373CF7C4">
          <w:pPr>
            <w:ind w:firstLine="420" w:firstLineChars="200"/>
            <w:rPr>
              <w:rFonts w:hint="eastAsia"/>
              <w:szCs w:val="21"/>
            </w:rPr>
          </w:pPr>
          <w:r>
            <w:rPr>
              <w:rFonts w:hint="eastAsia"/>
              <w:szCs w:val="21"/>
            </w:rPr>
            <w:t>本公司在企业合并中取得的资产和负债，按照合并日在被合并方资产、负债（包括最终控制方收购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14:paraId="38F9E176">
          <w:pPr>
            <w:ind w:firstLine="420" w:firstLineChars="200"/>
            <w:rPr>
              <w:rFonts w:hint="eastAsia"/>
              <w:szCs w:val="21"/>
            </w:rPr>
          </w:pPr>
          <w:r>
            <w:rPr>
              <w:rFonts w:hint="eastAsia"/>
              <w:szCs w:val="21"/>
            </w:rPr>
            <w:t>如果存在或有对价并需要确认预计负债或资产，该预计负债或资产金额与后续或有对价结算金额的差额，调整资本公积（资本溢价或股本溢价），资本公积不足的，调整留存收益。</w:t>
          </w:r>
        </w:p>
        <w:p w14:paraId="654B3BBD">
          <w:pPr>
            <w:ind w:firstLine="420" w:firstLineChars="200"/>
            <w:rPr>
              <w:rFonts w:hint="eastAsia"/>
              <w:szCs w:val="21"/>
            </w:rPr>
          </w:pPr>
          <w:r>
            <w:rPr>
              <w:rFonts w:hint="eastAsia"/>
              <w:szCs w:val="21"/>
            </w:rPr>
            <w:t>对于通过多次交易最终实现企业合并的，属于一揽子交易的，将各项交易作为一项取得控制权的交易进行会计处理；不属于一揽子交易的，在取得控制权日，长期股权投资初始投资成本，与达到合并前的长期股权投资账面价值加上合并日进一步取得股份新支付对价的账面价值之和的差额，调整资本公积；资本公积不足冲减的，调整留存收益。对于合并日之前持有的股权投资，因采用权益法核算或金融工具确认和计量准则核算而确认的其他综合收益，暂不进行会计处理，直至处置该项投资时采用与被投资单位直接处置相关资产或负债相同的基础进行会计处理；因采用权益法核算而确认的被投资单位净资产中除净损益、其他综合收益和利润分配以外的所有者权益其他变动，暂不进行会计处理，直至处置该项投资时转入当期损益。</w:t>
          </w:r>
        </w:p>
        <w:p w14:paraId="123FB3A1">
          <w:pPr>
            <w:ind w:firstLine="420" w:firstLineChars="200"/>
            <w:rPr>
              <w:rFonts w:hint="eastAsia"/>
              <w:szCs w:val="21"/>
            </w:rPr>
          </w:pPr>
          <w:r>
            <w:rPr>
              <w:rFonts w:hint="eastAsia"/>
              <w:szCs w:val="21"/>
            </w:rPr>
            <w:t>（3）非同一控制下的企业合并</w:t>
          </w:r>
        </w:p>
        <w:p w14:paraId="30DAE588">
          <w:pPr>
            <w:ind w:firstLine="420" w:firstLineChars="200"/>
            <w:rPr>
              <w:rFonts w:hint="eastAsia"/>
              <w:szCs w:val="21"/>
            </w:rPr>
          </w:pPr>
          <w:r>
            <w:rPr>
              <w:rFonts w:hint="eastAsia"/>
              <w:szCs w:val="21"/>
            </w:rPr>
            <w:t>购买日是指本公司实际取得对被购买方控制权的日期，即被购买方的净资产或生产经营决策的控制权转移给本公司的日期。同时满足下列条件时，本公司一般认为实现了控制权的转移：</w:t>
          </w:r>
        </w:p>
        <w:p w14:paraId="58A4552B">
          <w:pPr>
            <w:ind w:firstLine="420" w:firstLineChars="200"/>
            <w:rPr>
              <w:rFonts w:hint="eastAsia"/>
              <w:szCs w:val="21"/>
            </w:rPr>
          </w:pPr>
          <w:r>
            <w:rPr>
              <w:rFonts w:hint="eastAsia"/>
              <w:szCs w:val="21"/>
            </w:rPr>
            <w:t>①企业合并合同或协议已获本公司内部权力机构通过。</w:t>
          </w:r>
        </w:p>
        <w:p w14:paraId="33642664">
          <w:pPr>
            <w:ind w:firstLine="420" w:firstLineChars="200"/>
            <w:rPr>
              <w:rFonts w:hint="eastAsia"/>
              <w:szCs w:val="21"/>
            </w:rPr>
          </w:pPr>
          <w:r>
            <w:rPr>
              <w:rFonts w:hint="eastAsia"/>
              <w:szCs w:val="21"/>
            </w:rPr>
            <w:t>②企业合并事项需要经过国家有关主管部门审批的，已获得批准。</w:t>
          </w:r>
        </w:p>
        <w:p w14:paraId="2421A704">
          <w:pPr>
            <w:ind w:firstLine="420" w:firstLineChars="200"/>
            <w:rPr>
              <w:rFonts w:hint="eastAsia"/>
              <w:szCs w:val="21"/>
            </w:rPr>
          </w:pPr>
          <w:r>
            <w:rPr>
              <w:rFonts w:hint="eastAsia"/>
              <w:szCs w:val="21"/>
            </w:rPr>
            <w:t>③已办理了必要的财产权转移手续。</w:t>
          </w:r>
        </w:p>
        <w:p w14:paraId="3A111261">
          <w:pPr>
            <w:ind w:firstLine="420" w:firstLineChars="200"/>
            <w:rPr>
              <w:rFonts w:hint="eastAsia"/>
              <w:szCs w:val="21"/>
            </w:rPr>
          </w:pPr>
          <w:r>
            <w:rPr>
              <w:rFonts w:hint="eastAsia"/>
              <w:szCs w:val="21"/>
            </w:rPr>
            <w:t>④本公司已支付了合并价款的大部分，并且有能力、有计划支付剩余款项。</w:t>
          </w:r>
        </w:p>
        <w:p w14:paraId="3BFAE97B">
          <w:pPr>
            <w:ind w:firstLine="420" w:firstLineChars="200"/>
            <w:rPr>
              <w:rFonts w:hint="eastAsia"/>
              <w:szCs w:val="21"/>
            </w:rPr>
          </w:pPr>
          <w:r>
            <w:rPr>
              <w:rFonts w:hint="eastAsia"/>
              <w:szCs w:val="21"/>
            </w:rPr>
            <w:t>⑤本公司实际上已经控制了被购买方的财务和经营政策，并享有相应的利益、承担相应的风险。</w:t>
          </w:r>
        </w:p>
        <w:p w14:paraId="23DBF026">
          <w:pPr>
            <w:ind w:firstLine="420" w:firstLineChars="200"/>
            <w:rPr>
              <w:rFonts w:hint="eastAsia"/>
              <w:szCs w:val="21"/>
            </w:rPr>
          </w:pPr>
          <w:r>
            <w:rPr>
              <w:rFonts w:hint="eastAsia"/>
              <w:szCs w:val="21"/>
            </w:rPr>
            <w:t>本公司在购买日对作为企业合并对价付出的资产、发生或承担的负债按照公允价值计量，公允价值与其账面价值的差额，计入当期损益。</w:t>
          </w:r>
        </w:p>
        <w:p w14:paraId="47989AD3">
          <w:pPr>
            <w:ind w:firstLine="420" w:firstLineChars="200"/>
            <w:rPr>
              <w:rFonts w:hint="eastAsia"/>
              <w:szCs w:val="21"/>
            </w:rPr>
          </w:pPr>
          <w:r>
            <w:rPr>
              <w:rFonts w:hint="eastAsia"/>
              <w:szCs w:val="21"/>
            </w:rPr>
            <w:t>本公司对合并成本大于合并中取得的被购买方可辨认净资产公允价值份额的差额，确认为商誉；合并成本小于合并中取得的被购买方可辨认净资产公允价值份额的差额，经复核后，计入当期损益。</w:t>
          </w:r>
        </w:p>
        <w:p w14:paraId="44787342">
          <w:pPr>
            <w:ind w:firstLine="420" w:firstLineChars="200"/>
            <w:rPr>
              <w:rFonts w:hint="eastAsia"/>
              <w:szCs w:val="21"/>
            </w:rPr>
          </w:pPr>
          <w:r>
            <w:rPr>
              <w:rFonts w:hint="eastAsia"/>
              <w:szCs w:val="21"/>
            </w:rPr>
            <w:t>通过多次交换交易分步实现的非同一控制下企业合并，属于一揽子交易的，将各项交易作为一项取得控制权的交易进行会计处理；不属于一揽子交易的，合并日之前持有的股权投资采用权益法核算的，以购买日之前所持被购买方的股权投资的账面价值与购买日新增投资成本之和，作为该项投资的初始投资成本；购买日之前持有的股权投资因采用权益法核算而确认的其他综合收益，在处置该项投资时采用与被投资单位直接处置相关资产或负债相同的基础进行会计处理。合并日之前持有的股权投资采用金融工具确认和计量准则核算的，以该股权投资在合并日的公允价值加上新增投资成本之和，作为合并日的初始投资成本。原持有股权的公允价值与账面价值之间的差额以及原计入其他综合收益的累计公允价值变动应全部转入合并日当期的投资收益。</w:t>
          </w:r>
        </w:p>
        <w:p w14:paraId="5BEA8650">
          <w:pPr>
            <w:ind w:firstLine="420" w:firstLineChars="200"/>
            <w:rPr>
              <w:rFonts w:hint="eastAsia"/>
              <w:szCs w:val="21"/>
            </w:rPr>
          </w:pPr>
          <w:r>
            <w:rPr>
              <w:rFonts w:hint="eastAsia"/>
              <w:szCs w:val="21"/>
            </w:rPr>
            <w:t>（4）为合并发生的相关费用</w:t>
          </w:r>
        </w:p>
        <w:p w14:paraId="4253A7FF">
          <w:pPr>
            <w:ind w:firstLine="420" w:firstLineChars="200"/>
            <w:rPr>
              <w:rFonts w:hint="eastAsia" w:cs="Times New Roman"/>
              <w:kern w:val="2"/>
              <w:szCs w:val="21"/>
            </w:rPr>
          </w:pPr>
          <w:r>
            <w:rPr>
              <w:rFonts w:hint="eastAsia"/>
              <w:szCs w:val="21"/>
            </w:rPr>
            <w:t>为企业合并发生的审计、法律服务、评估咨询等中介费用以及其他直接相关费用，于发生时计入当期损益；为企业合并而发行权益性证券的交易费用，可直接归属于权益性交易的从权益中扣减。</w:t>
          </w:r>
        </w:p>
      </w:sdtContent>
    </w:sdt>
    <w:p w14:paraId="1E60A91F">
      <w:pPr>
        <w:rPr>
          <w:rFonts w:hint="eastAsia"/>
          <w:szCs w:val="21"/>
        </w:rPr>
      </w:pPr>
    </w:p>
    <w:p w14:paraId="7D44C8AC">
      <w:pPr>
        <w:pStyle w:val="70"/>
        <w:numPr>
          <w:ilvl w:val="0"/>
          <w:numId w:val="101"/>
        </w:numPr>
      </w:pPr>
      <w:r>
        <w:rPr>
          <w:rFonts w:hint="eastAsia" w:ascii="宋体" w:hAnsi="宋体" w:cs="宋体"/>
          <w:kern w:val="0"/>
          <w:szCs w:val="24"/>
        </w:rPr>
        <w:t>控制的判断标准和</w:t>
      </w:r>
      <w:r>
        <w:t>合并财务报表的编制方法</w:t>
      </w:r>
    </w:p>
    <w:sdt>
      <w:sdtPr>
        <w:rPr>
          <w:rFonts w:hint="eastAsia"/>
          <w:szCs w:val="21"/>
        </w:rPr>
        <w:alias w:val="是否适用：控制的判断标准和合并财务报表的编制方法[双击切换]"/>
        <w:tag w:val="_GBC_d8312ea572e647a59b796bf708b54713"/>
        <w:id w:val="-15387502"/>
        <w:placeholder>
          <w:docPart w:val="GBC22222222222222222222222222222"/>
        </w:placeholder>
      </w:sdtPr>
      <w:sdtEndPr>
        <w:rPr>
          <w:rFonts w:hint="eastAsia"/>
          <w:szCs w:val="21"/>
        </w:rPr>
      </w:sdtEndPr>
      <w:sdtContent>
        <w:p w14:paraId="52D37A73">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控制的判断标准和合并财务报表的编制方法"/>
        <w:tag w:val="_GBC_5201beca0c0944939b4a0d8d100d6fcf"/>
        <w:id w:val="407273359"/>
        <w:placeholder>
          <w:docPart w:val="GBC22222222222222222222222222222"/>
        </w:placeholder>
      </w:sdtPr>
      <w:sdtEndPr>
        <w:rPr>
          <w:rFonts w:hint="eastAsia"/>
          <w:szCs w:val="21"/>
        </w:rPr>
      </w:sdtEndPr>
      <w:sdtContent>
        <w:p w14:paraId="675F13AB">
          <w:pPr>
            <w:ind w:firstLine="420" w:firstLineChars="200"/>
            <w:rPr>
              <w:rFonts w:hint="eastAsia"/>
              <w:szCs w:val="21"/>
            </w:rPr>
          </w:pPr>
          <w:r>
            <w:rPr>
              <w:rFonts w:hint="eastAsia"/>
              <w:szCs w:val="21"/>
            </w:rPr>
            <w:t>(1)控制的判断标准</w:t>
          </w:r>
        </w:p>
        <w:p w14:paraId="4582635C">
          <w:pPr>
            <w:ind w:firstLine="420" w:firstLineChars="200"/>
            <w:rPr>
              <w:rFonts w:hint="eastAsia"/>
              <w:szCs w:val="21"/>
            </w:rPr>
          </w:pPr>
          <w:r>
            <w:rPr>
              <w:rFonts w:hint="eastAsia"/>
              <w:szCs w:val="21"/>
            </w:rPr>
            <w:t>控制，是指投资方拥有对被投资方的权力,通过参与被投资方的相关活动而享有可变回报，并且有能力运用对被投资方的权力影响其回报金额。</w:t>
          </w:r>
        </w:p>
        <w:p w14:paraId="362A8AE7">
          <w:pPr>
            <w:ind w:firstLine="420" w:firstLineChars="200"/>
            <w:rPr>
              <w:rFonts w:hint="eastAsia"/>
              <w:szCs w:val="21"/>
            </w:rPr>
          </w:pPr>
          <w:r>
            <w:rPr>
              <w:rFonts w:hint="eastAsia"/>
              <w:szCs w:val="21"/>
            </w:rPr>
            <w:t>本公司在综合考虑所有相关事实和情况的基础上对是否控制被投资方进行判断。一旦相关事实和情况的变化导致对控制定义所涉及的相关要素发生变化的，本公司会进行重新评估。相关事实和情况主要包括：</w:t>
          </w:r>
        </w:p>
        <w:p w14:paraId="191F8887">
          <w:pPr>
            <w:ind w:firstLine="420" w:firstLineChars="200"/>
            <w:rPr>
              <w:rFonts w:hint="eastAsia"/>
              <w:szCs w:val="21"/>
            </w:rPr>
          </w:pPr>
          <w:r>
            <w:rPr>
              <w:rFonts w:hint="eastAsia"/>
              <w:szCs w:val="21"/>
            </w:rPr>
            <w:t>①被投资方的设立目的。</w:t>
          </w:r>
        </w:p>
        <w:p w14:paraId="69C556E4">
          <w:pPr>
            <w:ind w:firstLine="420" w:firstLineChars="200"/>
            <w:rPr>
              <w:rFonts w:hint="eastAsia"/>
              <w:szCs w:val="21"/>
            </w:rPr>
          </w:pPr>
          <w:r>
            <w:rPr>
              <w:rFonts w:hint="eastAsia"/>
              <w:szCs w:val="21"/>
            </w:rPr>
            <w:t>②被投资方的相关活动以及如何对相关活动作出决策。</w:t>
          </w:r>
        </w:p>
        <w:p w14:paraId="52A35D57">
          <w:pPr>
            <w:ind w:firstLine="420" w:firstLineChars="200"/>
            <w:rPr>
              <w:rFonts w:hint="eastAsia"/>
              <w:szCs w:val="21"/>
            </w:rPr>
          </w:pPr>
          <w:r>
            <w:rPr>
              <w:rFonts w:hint="eastAsia"/>
              <w:szCs w:val="21"/>
            </w:rPr>
            <w:t>③投资方享有的权利是否使其目前有能力主导被投资方的相关活动。</w:t>
          </w:r>
        </w:p>
        <w:p w14:paraId="6040BDC0">
          <w:pPr>
            <w:ind w:firstLine="420" w:firstLineChars="200"/>
            <w:rPr>
              <w:rFonts w:hint="eastAsia"/>
              <w:szCs w:val="21"/>
            </w:rPr>
          </w:pPr>
          <w:r>
            <w:rPr>
              <w:rFonts w:hint="eastAsia"/>
              <w:szCs w:val="21"/>
            </w:rPr>
            <w:t>④投资方是否通过参与被投资方的相关活动而享有可变回报。</w:t>
          </w:r>
        </w:p>
        <w:p w14:paraId="2EBC6537">
          <w:pPr>
            <w:ind w:firstLine="420" w:firstLineChars="200"/>
            <w:rPr>
              <w:rFonts w:hint="eastAsia"/>
              <w:szCs w:val="21"/>
            </w:rPr>
          </w:pPr>
          <w:r>
            <w:rPr>
              <w:rFonts w:hint="eastAsia"/>
              <w:szCs w:val="21"/>
            </w:rPr>
            <w:t>⑤投资方是否有能力运用对被投资方的权力影响其回报金额。</w:t>
          </w:r>
        </w:p>
        <w:p w14:paraId="0C83A921">
          <w:pPr>
            <w:ind w:firstLine="420" w:firstLineChars="200"/>
            <w:rPr>
              <w:rFonts w:hint="eastAsia"/>
              <w:szCs w:val="21"/>
            </w:rPr>
          </w:pPr>
          <w:r>
            <w:rPr>
              <w:rFonts w:hint="eastAsia"/>
              <w:szCs w:val="21"/>
            </w:rPr>
            <w:t>⑥投资方与其他方的关系。</w:t>
          </w:r>
        </w:p>
        <w:p w14:paraId="31FC08AB">
          <w:pPr>
            <w:ind w:firstLine="420" w:firstLineChars="200"/>
            <w:rPr>
              <w:rFonts w:hint="eastAsia"/>
              <w:szCs w:val="21"/>
            </w:rPr>
          </w:pPr>
          <w:r>
            <w:rPr>
              <w:rFonts w:hint="eastAsia"/>
              <w:szCs w:val="21"/>
            </w:rPr>
            <w:t>（2）合并范围</w:t>
          </w:r>
        </w:p>
        <w:p w14:paraId="2CE54C02">
          <w:pPr>
            <w:ind w:firstLine="420" w:firstLineChars="200"/>
            <w:rPr>
              <w:rFonts w:hint="eastAsia"/>
              <w:szCs w:val="21"/>
            </w:rPr>
          </w:pPr>
          <w:r>
            <w:rPr>
              <w:rFonts w:hint="eastAsia"/>
              <w:szCs w:val="21"/>
            </w:rPr>
            <w:t>本公司合并财务报表的合并范围以控制为基础确定，所有子公司（包括本公司所控制的单独主体）均纳入合并财务报表。</w:t>
          </w:r>
        </w:p>
        <w:p w14:paraId="73A1B1EE">
          <w:pPr>
            <w:ind w:firstLine="420" w:firstLineChars="200"/>
            <w:rPr>
              <w:rFonts w:hint="eastAsia"/>
              <w:szCs w:val="21"/>
            </w:rPr>
          </w:pPr>
          <w:r>
            <w:rPr>
              <w:rFonts w:hint="eastAsia"/>
              <w:szCs w:val="21"/>
            </w:rPr>
            <w:t>（3）合并程序</w:t>
          </w:r>
        </w:p>
        <w:p w14:paraId="1D33E30F">
          <w:pPr>
            <w:ind w:firstLine="420" w:firstLineChars="200"/>
            <w:rPr>
              <w:rFonts w:hint="eastAsia"/>
              <w:szCs w:val="21"/>
            </w:rPr>
          </w:pPr>
          <w:r>
            <w:rPr>
              <w:rFonts w:hint="eastAsia"/>
              <w:szCs w:val="21"/>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14:paraId="6A9A89FE">
          <w:pPr>
            <w:ind w:firstLine="420" w:firstLineChars="200"/>
            <w:rPr>
              <w:rFonts w:hint="eastAsia"/>
              <w:szCs w:val="21"/>
            </w:rPr>
          </w:pPr>
          <w:r>
            <w:rPr>
              <w:rFonts w:hint="eastAsia"/>
              <w:szCs w:val="21"/>
            </w:rPr>
            <w:t>所有纳入合并财务报表合并范围的子公司所采用的会计政策、会计期间与本公司一致，如子公司采用的会计政策、会计期间与本公司不一致的，在编制合并财务报表时，按本公司的会计政策、会计期间进行必要的调整。</w:t>
          </w:r>
        </w:p>
        <w:p w14:paraId="45ACC36B">
          <w:pPr>
            <w:ind w:firstLine="420" w:firstLineChars="200"/>
            <w:rPr>
              <w:rFonts w:hint="eastAsia"/>
              <w:szCs w:val="21"/>
            </w:rPr>
          </w:pPr>
          <w:r>
            <w:rPr>
              <w:rFonts w:hint="eastAsia"/>
              <w:szCs w:val="21"/>
            </w:rPr>
            <w:t>合并财务报表时抵销本公司与各子公司、各子公司相互之间发生的内部交易对合并资产负债表、合并利润表、合并现金流量表、合并股东权益变动表的影响。如果站在企业集团合并财务报表角度与以本公司或子公司为会计主体对同一交易的认定不同时，从企业集团的角度对该交易予以调整。</w:t>
          </w:r>
        </w:p>
        <w:p w14:paraId="0FD1BA2A">
          <w:pPr>
            <w:ind w:firstLine="420" w:firstLineChars="200"/>
            <w:rPr>
              <w:rFonts w:hint="eastAsia"/>
              <w:szCs w:val="21"/>
            </w:rPr>
          </w:pPr>
          <w:r>
            <w:rPr>
              <w:rFonts w:hint="eastAsia"/>
              <w:szCs w:val="21"/>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冲减少数股东权益。</w:t>
          </w:r>
        </w:p>
        <w:p w14:paraId="7BDF8C02">
          <w:pPr>
            <w:ind w:firstLine="420" w:firstLineChars="200"/>
            <w:rPr>
              <w:rFonts w:hint="eastAsia"/>
              <w:szCs w:val="21"/>
            </w:rPr>
          </w:pPr>
          <w:r>
            <w:rPr>
              <w:rFonts w:hint="eastAsia"/>
              <w:szCs w:val="21"/>
            </w:rPr>
            <w:t>对于同一控制下企业合并取得的子公司，以其资产、负债（包括最终控制方收购该子公司而形成的商誉）在最终控制方财务报表中的账面价值为基础对其财务报表进行调整。</w:t>
          </w:r>
        </w:p>
        <w:p w14:paraId="4A0B361E">
          <w:pPr>
            <w:ind w:firstLine="420" w:firstLineChars="200"/>
            <w:rPr>
              <w:rFonts w:hint="eastAsia"/>
              <w:szCs w:val="21"/>
            </w:rPr>
          </w:pPr>
          <w:r>
            <w:rPr>
              <w:rFonts w:hint="eastAsia"/>
              <w:szCs w:val="21"/>
            </w:rPr>
            <w:t>对于非同一控制下企业合并取得的子公司，以购买日可辨认净资产公允价值为基础对其财务报表进行调整</w:t>
          </w:r>
        </w:p>
        <w:p w14:paraId="2B27ED73">
          <w:pPr>
            <w:ind w:firstLine="420" w:firstLineChars="200"/>
            <w:rPr>
              <w:rFonts w:hint="eastAsia"/>
              <w:szCs w:val="21"/>
            </w:rPr>
          </w:pPr>
          <w:r>
            <w:rPr>
              <w:rFonts w:hint="eastAsia"/>
              <w:szCs w:val="21"/>
            </w:rPr>
            <w:t>①增加子公司或业务</w:t>
          </w:r>
        </w:p>
        <w:p w14:paraId="35CD125F">
          <w:pPr>
            <w:ind w:firstLine="420" w:firstLineChars="200"/>
            <w:rPr>
              <w:rFonts w:hint="eastAsia"/>
              <w:szCs w:val="21"/>
            </w:rPr>
          </w:pPr>
          <w:r>
            <w:rPr>
              <w:rFonts w:hint="eastAsia"/>
              <w:szCs w:val="21"/>
            </w:rPr>
            <w:t>在报告期内，若因同一控制下企业合并增加子公司或业务的，则调整合并资产负债表的期初数；将子公司或业务合并当期期初至报告期末的收入、费用、利润纳入合并利润表；将子公司或业务合并当期期初至报告期末的现金流量纳入合并现金流量表，同时对比较报表的相关项目进行调整，视同合并后的报告主体自最终控制方开始控制时点起一直存在。</w:t>
          </w:r>
        </w:p>
        <w:p w14:paraId="174685D4">
          <w:pPr>
            <w:ind w:firstLine="420" w:firstLineChars="200"/>
            <w:rPr>
              <w:rFonts w:hint="eastAsia"/>
              <w:szCs w:val="21"/>
            </w:rPr>
          </w:pPr>
          <w:r>
            <w:rPr>
              <w:rFonts w:hint="eastAsia"/>
              <w:szCs w:val="21"/>
            </w:rPr>
            <w:t>因追加投资等原因能够对同一控制下的被投资方实施控制的，视同参与合并的各方在最终控制方开始控制时即以目前的状态存在进行调整。在取得被合并方控制权之前持有的股权投资，在取得原股权之日与合并方和被合并方同处于同一控制之日孰晚日起至合并日之间已确认有关损益、其他综合收益以及其他净资产变动，分别冲减比较报表期间的期初留存收益或当期损益。</w:t>
          </w:r>
        </w:p>
        <w:p w14:paraId="0788DC27">
          <w:pPr>
            <w:ind w:firstLine="420" w:firstLineChars="200"/>
            <w:rPr>
              <w:rFonts w:hint="eastAsia"/>
              <w:szCs w:val="21"/>
            </w:rPr>
          </w:pPr>
          <w:r>
            <w:rPr>
              <w:rFonts w:hint="eastAsia"/>
              <w:szCs w:val="21"/>
            </w:rPr>
            <w:t>在报告期内，若因非同一控制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14:paraId="2872783F">
          <w:pPr>
            <w:ind w:firstLine="420" w:firstLineChars="200"/>
            <w:rPr>
              <w:rFonts w:hint="eastAsia"/>
              <w:szCs w:val="21"/>
            </w:rPr>
          </w:pPr>
          <w:r>
            <w:rPr>
              <w:rFonts w:hint="eastAsia"/>
              <w:szCs w:val="21"/>
            </w:rPr>
            <w:t>因追加投资等原因能够对非同一控制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14:paraId="4A7BC594">
          <w:pPr>
            <w:ind w:firstLine="420" w:firstLineChars="200"/>
            <w:rPr>
              <w:rFonts w:hint="eastAsia"/>
              <w:szCs w:val="21"/>
            </w:rPr>
          </w:pPr>
          <w:r>
            <w:rPr>
              <w:rFonts w:hint="eastAsia"/>
              <w:szCs w:val="21"/>
            </w:rPr>
            <w:t>②处置子公司或业务</w:t>
          </w:r>
        </w:p>
        <w:p w14:paraId="09579D8E">
          <w:pPr>
            <w:ind w:firstLine="420" w:firstLineChars="200"/>
            <w:rPr>
              <w:rFonts w:hint="eastAsia"/>
              <w:szCs w:val="21"/>
            </w:rPr>
          </w:pPr>
          <w:r>
            <w:rPr>
              <w:rFonts w:hint="eastAsia"/>
              <w:szCs w:val="21"/>
            </w:rPr>
            <w:t>1）一般处理方法</w:t>
          </w:r>
        </w:p>
        <w:p w14:paraId="0143FB73">
          <w:pPr>
            <w:ind w:firstLine="420" w:firstLineChars="200"/>
            <w:rPr>
              <w:rFonts w:hint="eastAsia"/>
              <w:szCs w:val="21"/>
            </w:rPr>
          </w:pPr>
          <w:r>
            <w:rPr>
              <w:rFonts w:hint="eastAsia"/>
              <w:szCs w:val="21"/>
            </w:rPr>
            <w:t>在报告期内，本公司处置子公司或业务，则该子公司或业务期初至处置日的收入、费用、利润纳入合并利润表；该子公司或业务期初至处置日的现金流量纳入合并现金流量表。</w:t>
          </w:r>
        </w:p>
        <w:p w14:paraId="28121A5C">
          <w:pPr>
            <w:ind w:firstLine="420" w:firstLineChars="200"/>
            <w:rPr>
              <w:rFonts w:hint="eastAsia"/>
              <w:szCs w:val="21"/>
            </w:rPr>
          </w:pPr>
          <w:r>
            <w:rPr>
              <w:rFonts w:hint="eastAsia"/>
              <w:szCs w:val="21"/>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合并日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14:paraId="5989FC03">
          <w:pPr>
            <w:ind w:firstLine="420" w:firstLineChars="200"/>
            <w:rPr>
              <w:rFonts w:hint="eastAsia"/>
              <w:szCs w:val="21"/>
            </w:rPr>
          </w:pPr>
          <w:r>
            <w:rPr>
              <w:rFonts w:hint="eastAsia"/>
              <w:szCs w:val="21"/>
            </w:rPr>
            <w:t>2）分步处置子公司</w:t>
          </w:r>
        </w:p>
        <w:p w14:paraId="1D95D419">
          <w:pPr>
            <w:ind w:firstLine="420" w:firstLineChars="200"/>
            <w:rPr>
              <w:rFonts w:hint="eastAsia"/>
              <w:szCs w:val="21"/>
            </w:rPr>
          </w:pPr>
          <w:r>
            <w:rPr>
              <w:rFonts w:hint="eastAsia"/>
              <w:szCs w:val="21"/>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14:paraId="17F68C84">
          <w:pPr>
            <w:ind w:firstLine="420" w:firstLineChars="200"/>
            <w:rPr>
              <w:rFonts w:hint="eastAsia"/>
              <w:szCs w:val="21"/>
            </w:rPr>
          </w:pPr>
          <w:r>
            <w:rPr>
              <w:rFonts w:hint="eastAsia"/>
              <w:szCs w:val="21"/>
            </w:rPr>
            <w:t>A.这些交易是同时或者在考虑了彼此影响的情况下订立的；</w:t>
          </w:r>
        </w:p>
        <w:p w14:paraId="687957BA">
          <w:pPr>
            <w:ind w:firstLine="420" w:firstLineChars="200"/>
            <w:rPr>
              <w:rFonts w:hint="eastAsia"/>
              <w:szCs w:val="21"/>
            </w:rPr>
          </w:pPr>
          <w:r>
            <w:rPr>
              <w:rFonts w:hint="eastAsia"/>
              <w:szCs w:val="21"/>
            </w:rPr>
            <w:t>B.这些交易整体才能达成一项完整的商业结果；</w:t>
          </w:r>
        </w:p>
        <w:p w14:paraId="1227681E">
          <w:pPr>
            <w:ind w:firstLine="420" w:firstLineChars="200"/>
            <w:rPr>
              <w:rFonts w:hint="eastAsia"/>
              <w:szCs w:val="21"/>
            </w:rPr>
          </w:pPr>
          <w:r>
            <w:rPr>
              <w:rFonts w:hint="eastAsia"/>
              <w:szCs w:val="21"/>
            </w:rPr>
            <w:t>C.一项交易的发生取决于其他至少一项交易的发生；</w:t>
          </w:r>
        </w:p>
        <w:p w14:paraId="0CD20FCF">
          <w:pPr>
            <w:ind w:firstLine="420" w:firstLineChars="200"/>
            <w:rPr>
              <w:rFonts w:hint="eastAsia"/>
              <w:szCs w:val="21"/>
            </w:rPr>
          </w:pPr>
          <w:r>
            <w:rPr>
              <w:rFonts w:hint="eastAsia"/>
              <w:szCs w:val="21"/>
            </w:rPr>
            <w:t>D.一项交易单独看是不经济的，但是和其他交易一并考虑时是经济的。</w:t>
          </w:r>
        </w:p>
        <w:p w14:paraId="71B5218F">
          <w:pPr>
            <w:ind w:firstLine="420" w:firstLineChars="200"/>
            <w:rPr>
              <w:rFonts w:hint="eastAsia"/>
              <w:szCs w:val="21"/>
            </w:rPr>
          </w:pPr>
          <w:r>
            <w:rPr>
              <w:rFonts w:hint="eastAsia"/>
              <w:szCs w:val="21"/>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4CD54EFA">
          <w:pPr>
            <w:ind w:firstLine="420" w:firstLineChars="200"/>
            <w:rPr>
              <w:rFonts w:hint="eastAsia"/>
              <w:szCs w:val="21"/>
            </w:rPr>
          </w:pPr>
          <w:r>
            <w:rPr>
              <w:rFonts w:hint="eastAsia"/>
              <w:szCs w:val="21"/>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14:paraId="2E43B98B">
          <w:pPr>
            <w:ind w:firstLine="420" w:firstLineChars="200"/>
            <w:rPr>
              <w:rFonts w:hint="eastAsia"/>
              <w:szCs w:val="21"/>
            </w:rPr>
          </w:pPr>
          <w:r>
            <w:rPr>
              <w:rFonts w:hint="eastAsia"/>
              <w:szCs w:val="21"/>
            </w:rPr>
            <w:t>③购买子公司少数股权</w:t>
          </w:r>
        </w:p>
        <w:p w14:paraId="7731D279">
          <w:pPr>
            <w:ind w:firstLine="420" w:firstLineChars="200"/>
            <w:rPr>
              <w:rFonts w:hint="eastAsia"/>
              <w:szCs w:val="21"/>
            </w:rPr>
          </w:pPr>
          <w:r>
            <w:rPr>
              <w:rFonts w:hint="eastAsia"/>
              <w:szCs w:val="21"/>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14:paraId="4D646903">
          <w:pPr>
            <w:ind w:firstLine="420" w:firstLineChars="200"/>
            <w:rPr>
              <w:rFonts w:hint="eastAsia"/>
              <w:szCs w:val="21"/>
            </w:rPr>
          </w:pPr>
          <w:r>
            <w:rPr>
              <w:rFonts w:hint="eastAsia"/>
              <w:szCs w:val="21"/>
            </w:rPr>
            <w:t>④不丧失控制权的情况下部分处置对子公司的股权投资</w:t>
          </w:r>
        </w:p>
        <w:p w14:paraId="160D734F">
          <w:pPr>
            <w:ind w:firstLine="420" w:firstLineChars="200"/>
            <w:rPr>
              <w:rFonts w:hint="eastAsia"/>
              <w:szCs w:val="21"/>
            </w:rPr>
          </w:pPr>
          <w:r>
            <w:rPr>
              <w:rFonts w:hint="eastAsia"/>
              <w:szCs w:val="21"/>
            </w:rPr>
            <w:t>在不丧失控制权的情况下因部分处置对子公司的长期股权投资而取得的处置价款与处置长期股权投资相对应享有子公司自购买日或合并日开始持续计算的净资产份额之间的差额，调整合并资产负债表中的资本公积中的股本溢价，资本公积中的股本溢价不足冲减的，调整留存收益。</w:t>
          </w:r>
        </w:p>
      </w:sdtContent>
    </w:sdt>
    <w:p w14:paraId="1D0D55E6">
      <w:pPr>
        <w:rPr>
          <w:rFonts w:hint="eastAsia"/>
          <w:szCs w:val="21"/>
        </w:rPr>
      </w:pPr>
    </w:p>
    <w:p w14:paraId="23A514E0">
      <w:pPr>
        <w:pStyle w:val="70"/>
        <w:numPr>
          <w:ilvl w:val="0"/>
          <w:numId w:val="101"/>
        </w:num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407458472"/>
        <w:placeholder>
          <w:docPart w:val="GBC22222222222222222222222222222"/>
        </w:placeholder>
      </w:sdtPr>
      <w:sdtEndPr>
        <w:rPr>
          <w:rFonts w:hint="eastAsia"/>
        </w:rPr>
      </w:sdtEndPr>
      <w:sdtContent>
        <w:p w14:paraId="0F1E9152">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2038778481"/>
        <w:placeholder>
          <w:docPart w:val="GBC22222222222222222222222222222"/>
        </w:placeholder>
      </w:sdtPr>
      <w:sdtContent>
        <w:p w14:paraId="0959B320">
          <w:pPr>
            <w:ind w:firstLine="420" w:firstLineChars="200"/>
            <w:rPr>
              <w:rFonts w:hint="eastAsia"/>
            </w:rPr>
          </w:pPr>
          <w:r>
            <w:rPr>
              <w:rFonts w:hint="eastAsia"/>
            </w:rPr>
            <w:t>（1）合营安排的分类</w:t>
          </w:r>
        </w:p>
        <w:p w14:paraId="5139971C">
          <w:pPr>
            <w:ind w:firstLine="420" w:firstLineChars="200"/>
            <w:rPr>
              <w:rFonts w:hint="eastAsia"/>
            </w:rPr>
          </w:pPr>
          <w:r>
            <w:rPr>
              <w:rFonts w:hint="eastAsia"/>
            </w:rPr>
            <w:t>本公司根据合营安排的结构、法律形式以及合营安排中约定的条款、其他相关事实和情况等因素，将合营安排分为共同经营和合营企业。</w:t>
          </w:r>
        </w:p>
        <w:p w14:paraId="2966E7C3">
          <w:pPr>
            <w:ind w:firstLine="420" w:firstLineChars="200"/>
            <w:rPr>
              <w:rFonts w:hint="eastAsia"/>
            </w:rPr>
          </w:pPr>
          <w:r>
            <w:rPr>
              <w:rFonts w:hint="eastAsia"/>
            </w:rPr>
            <w:t>未通过单独主体达成的合营安排，划分为共同经营；通过单独主体达成的合营安排，通常划分为合营企业；但有确凿证据表明满足下列任一条件并且符合相关法律法规规定的合营安排划分为共同经营：</w:t>
          </w:r>
        </w:p>
        <w:p w14:paraId="6BD5EE77">
          <w:pPr>
            <w:ind w:firstLine="420" w:firstLineChars="200"/>
            <w:rPr>
              <w:rFonts w:hint="eastAsia"/>
            </w:rPr>
          </w:pPr>
          <w:r>
            <w:rPr>
              <w:rFonts w:hint="eastAsia"/>
            </w:rPr>
            <w:t>1）合营安排的法律形式表明，合营方对该安排中的相关资产和负债分别享有权利和承担义务。</w:t>
          </w:r>
        </w:p>
        <w:p w14:paraId="092A4824">
          <w:pPr>
            <w:ind w:firstLine="420" w:firstLineChars="200"/>
            <w:rPr>
              <w:rFonts w:hint="eastAsia"/>
            </w:rPr>
          </w:pPr>
          <w:r>
            <w:rPr>
              <w:rFonts w:hint="eastAsia"/>
            </w:rPr>
            <w:t>2）合营安排的合同条款约定，合营方对该安排中的相关资产和负债分别享有权利和承担义务。</w:t>
          </w:r>
        </w:p>
        <w:p w14:paraId="361E38C3">
          <w:pPr>
            <w:ind w:firstLine="420" w:firstLineChars="200"/>
            <w:rPr>
              <w:rFonts w:hint="eastAsia"/>
            </w:rPr>
          </w:pPr>
          <w:r>
            <w:rPr>
              <w:rFonts w:hint="eastAsia"/>
            </w:rPr>
            <w:t>3）其他相关事实和情况表明，合营方对该安排中的相关资产和负债分别享有权利和承担义务，如合营方享有与合营安排相关的几乎所有产出，并且该安排中负债的清偿持续依赖于合营方的支持。</w:t>
          </w:r>
        </w:p>
        <w:p w14:paraId="407466B5">
          <w:pPr>
            <w:ind w:firstLine="420" w:firstLineChars="200"/>
            <w:rPr>
              <w:rFonts w:hint="eastAsia"/>
            </w:rPr>
          </w:pPr>
          <w:r>
            <w:rPr>
              <w:rFonts w:hint="eastAsia"/>
            </w:rPr>
            <w:t>（2）共同经营会计处理方法</w:t>
          </w:r>
        </w:p>
        <w:p w14:paraId="4C950DBD">
          <w:pPr>
            <w:ind w:firstLine="420" w:firstLineChars="200"/>
            <w:rPr>
              <w:rFonts w:hint="eastAsia"/>
            </w:rPr>
          </w:pPr>
          <w:r>
            <w:rPr>
              <w:rFonts w:hint="eastAsia"/>
            </w:rPr>
            <w:t>本公司确认共同经营中利益份额中与本公司相关的下列项目，并按照相关企业会计准则的规定进行会计处理：</w:t>
          </w:r>
        </w:p>
        <w:p w14:paraId="0D3CD94A">
          <w:pPr>
            <w:ind w:firstLine="420" w:firstLineChars="200"/>
            <w:rPr>
              <w:rFonts w:hint="eastAsia"/>
            </w:rPr>
          </w:pPr>
          <w:r>
            <w:rPr>
              <w:rFonts w:hint="eastAsia"/>
            </w:rPr>
            <w:t>1）确认单独所持有的资产，以及按其份额确认共同持有的资产；</w:t>
          </w:r>
        </w:p>
        <w:p w14:paraId="7268A640">
          <w:pPr>
            <w:ind w:firstLine="420" w:firstLineChars="200"/>
            <w:rPr>
              <w:rFonts w:hint="eastAsia"/>
            </w:rPr>
          </w:pPr>
          <w:r>
            <w:rPr>
              <w:rFonts w:hint="eastAsia"/>
            </w:rPr>
            <w:t>2）确认单独所承担的负债，以及按其份额确认共同承担的负债；</w:t>
          </w:r>
        </w:p>
        <w:p w14:paraId="33BED232">
          <w:pPr>
            <w:ind w:firstLine="420" w:firstLineChars="200"/>
            <w:rPr>
              <w:rFonts w:hint="eastAsia"/>
            </w:rPr>
          </w:pPr>
          <w:r>
            <w:rPr>
              <w:rFonts w:hint="eastAsia"/>
            </w:rPr>
            <w:t>3）确认出售其享有的共同经营产出份额所产生的收入；</w:t>
          </w:r>
        </w:p>
        <w:p w14:paraId="3A92A633">
          <w:pPr>
            <w:ind w:firstLine="420" w:firstLineChars="200"/>
            <w:rPr>
              <w:rFonts w:hint="eastAsia"/>
            </w:rPr>
          </w:pPr>
          <w:r>
            <w:rPr>
              <w:rFonts w:hint="eastAsia"/>
            </w:rPr>
            <w:t>4）按其份额确认共同经营因出售产出所产生的收入；</w:t>
          </w:r>
        </w:p>
        <w:p w14:paraId="26FECACB">
          <w:pPr>
            <w:ind w:firstLine="420" w:firstLineChars="200"/>
            <w:rPr>
              <w:rFonts w:hint="eastAsia"/>
            </w:rPr>
          </w:pPr>
          <w:r>
            <w:rPr>
              <w:rFonts w:hint="eastAsia"/>
            </w:rPr>
            <w:t>5）确认单独所发生的费用，以及按其份额确认共同经营发生的费用。</w:t>
          </w:r>
        </w:p>
        <w:p w14:paraId="17B6A68A">
          <w:pPr>
            <w:ind w:firstLine="420" w:firstLineChars="200"/>
            <w:rPr>
              <w:rFonts w:hint="eastAsia"/>
            </w:rPr>
          </w:pPr>
          <w:r>
            <w:rPr>
              <w:rFonts w:hint="eastAsia"/>
            </w:rPr>
            <w:t>本公司向共同经营投出或出售资产等（该资产构成业务的除外），在该资产等由共同经营出售给第三方之前，仅确认因该交易产生的损益中归属于共同经营其他参与方的部分。投出或出售的资产发生符合《企业会计准则第8号——资产减值》等规定的资产减值损失的，本公司全额确认该损失。</w:t>
          </w:r>
        </w:p>
        <w:p w14:paraId="551FB8F9">
          <w:pPr>
            <w:ind w:firstLine="420" w:firstLineChars="200"/>
            <w:rPr>
              <w:rFonts w:hint="eastAsia"/>
            </w:rPr>
          </w:pPr>
          <w:r>
            <w:rPr>
              <w:rFonts w:hint="eastAsia"/>
            </w:rPr>
            <w:t>本公司自共同经营购买资产等（该资产构成业务的除外），在将该资产等出售给第三方之前，仅确认因该交易产生的损益中归属于共同经营其他参与方的部分。购入的资产发生符合《企业会计准则第8号——资产减值》等规定的资产减值损失的，本公司按承担的份额确认该部分损失。</w:t>
          </w:r>
        </w:p>
        <w:p w14:paraId="22B9B641">
          <w:pPr>
            <w:ind w:firstLine="420" w:firstLineChars="200"/>
            <w:rPr>
              <w:rFonts w:hint="eastAsia"/>
              <w:b/>
              <w:bCs/>
              <w:szCs w:val="21"/>
            </w:rPr>
          </w:pPr>
          <w:r>
            <w:rPr>
              <w:rFonts w:hint="eastAsia"/>
            </w:rPr>
            <w:t>本公司对共同经营不享有共同控制，如果本公司享有该共同经营相关资产且承担该共同经营相关负债的，仍按上述原则进行会计处理，否则，应当按照相关企业会计准则的规定进行会计处理。</w:t>
          </w:r>
        </w:p>
      </w:sdtContent>
    </w:sdt>
    <w:p w14:paraId="4991AFAF">
      <w:pPr>
        <w:rPr>
          <w:rFonts w:hint="eastAsia"/>
        </w:rPr>
      </w:pPr>
    </w:p>
    <w:p w14:paraId="750D9EC5">
      <w:pPr>
        <w:pStyle w:val="70"/>
        <w:numPr>
          <w:ilvl w:val="0"/>
          <w:numId w:val="101"/>
        </w:numPr>
      </w:pPr>
      <w:r>
        <w:t>现金及现金等价物的确定标准</w:t>
      </w:r>
    </w:p>
    <w:sdt>
      <w:sdtPr>
        <w:rPr>
          <w:rFonts w:hint="eastAsia"/>
          <w:szCs w:val="21"/>
        </w:rPr>
        <w:alias w:val="现金及现金等价物的确定标准"/>
        <w:tag w:val="_GBC_54f6bc3e44e840bc85cb3872600823b5"/>
        <w:id w:val="732813472"/>
        <w:placeholder>
          <w:docPart w:val="GBC22222222222222222222222222222"/>
        </w:placeholder>
      </w:sdtPr>
      <w:sdtEndPr>
        <w:rPr>
          <w:rFonts w:hint="eastAsia"/>
          <w:szCs w:val="21"/>
        </w:rPr>
      </w:sdtEndPr>
      <w:sdtContent>
        <w:p w14:paraId="2690CF5F">
          <w:pPr>
            <w:ind w:firstLine="420" w:firstLineChars="200"/>
            <w:rPr>
              <w:rFonts w:hint="eastAsia"/>
              <w:szCs w:val="21"/>
            </w:rPr>
          </w:pPr>
          <w:r>
            <w:rPr>
              <w:szCs w:val="21"/>
            </w:rPr>
            <w:t>现金等价物是指企业持有的期限短（一般指从购买日起三个月内到期）、流动性强、易于转换为已知金额现金、价值变动风险很小的投资。</w:t>
          </w:r>
        </w:p>
      </w:sdtContent>
    </w:sdt>
    <w:p w14:paraId="1C704741">
      <w:pPr>
        <w:rPr>
          <w:rFonts w:hint="eastAsia"/>
          <w:szCs w:val="21"/>
        </w:rPr>
      </w:pPr>
    </w:p>
    <w:p w14:paraId="1A6A56FE">
      <w:pPr>
        <w:pStyle w:val="70"/>
        <w:numPr>
          <w:ilvl w:val="0"/>
          <w:numId w:val="101"/>
        </w:numPr>
      </w:pPr>
      <w:r>
        <w:t>外币业务和外币报表折算</w:t>
      </w:r>
    </w:p>
    <w:sdt>
      <w:sdtPr>
        <w:rPr>
          <w:rFonts w:hint="eastAsia"/>
          <w:szCs w:val="21"/>
        </w:rPr>
        <w:alias w:val="是否适用：外币业务和外币报表折算[双击切换]"/>
        <w:tag w:val="_GBC_9c9def5a1d2241b5a3ee696d03433778"/>
        <w:id w:val="-411240350"/>
        <w:placeholder>
          <w:docPart w:val="GBC22222222222222222222222222222"/>
        </w:placeholder>
      </w:sdtPr>
      <w:sdtEndPr>
        <w:rPr>
          <w:rFonts w:hint="eastAsia"/>
          <w:szCs w:val="21"/>
        </w:rPr>
      </w:sdtEndPr>
      <w:sdtContent>
        <w:p w14:paraId="7C980199">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912744018"/>
        <w:placeholder>
          <w:docPart w:val="GBC22222222222222222222222222222"/>
        </w:placeholder>
      </w:sdtPr>
      <w:sdtEndPr>
        <w:rPr>
          <w:rFonts w:hint="eastAsia"/>
          <w:szCs w:val="21"/>
        </w:rPr>
      </w:sdtEndPr>
      <w:sdtContent>
        <w:p w14:paraId="0EACB571">
          <w:pPr>
            <w:ind w:firstLine="420" w:firstLineChars="200"/>
            <w:rPr>
              <w:rFonts w:hint="eastAsia"/>
              <w:szCs w:val="21"/>
            </w:rPr>
          </w:pPr>
          <w:r>
            <w:rPr>
              <w:rFonts w:hint="eastAsia"/>
              <w:szCs w:val="21"/>
            </w:rPr>
            <w:t>（1）外币业务</w:t>
          </w:r>
        </w:p>
        <w:p w14:paraId="12B96268">
          <w:pPr>
            <w:ind w:firstLine="420" w:firstLineChars="200"/>
            <w:rPr>
              <w:rFonts w:hint="eastAsia"/>
              <w:szCs w:val="21"/>
            </w:rPr>
          </w:pPr>
          <w:r>
            <w:rPr>
              <w:rFonts w:hint="eastAsia"/>
              <w:szCs w:val="21"/>
            </w:rPr>
            <w:t>外币业务交易在初始确认时，采用交易发生日的即期汇率作为折算汇率折合成人民币记账。</w:t>
          </w:r>
        </w:p>
        <w:p w14:paraId="6D00E5A7">
          <w:pPr>
            <w:ind w:firstLine="420" w:firstLineChars="200"/>
            <w:rPr>
              <w:rFonts w:hint="eastAsia"/>
              <w:szCs w:val="21"/>
            </w:rPr>
          </w:pPr>
          <w:r>
            <w:rPr>
              <w:rFonts w:hint="eastAsia"/>
              <w:szCs w:val="21"/>
            </w:rPr>
            <w:t>资产负债表日，外币货币性项目按资产负债表日即期汇率折算，由此产生的汇兑差额，除属于与购建符合资本化条件的资产相关的外币专门借款产生的汇兑差额按照借款费用资本化的原则处理外，均计入当期损益。以历史成本计量的外币非货币性项目，仍采用交易发生日的即期汇率折算，不改变其记账本位币金额。</w:t>
          </w:r>
        </w:p>
        <w:p w14:paraId="56772882">
          <w:pPr>
            <w:ind w:firstLine="420" w:firstLineChars="200"/>
            <w:rPr>
              <w:rFonts w:hint="eastAsia"/>
              <w:szCs w:val="21"/>
            </w:rPr>
          </w:pPr>
          <w:r>
            <w:rPr>
              <w:rFonts w:hint="eastAsia"/>
              <w:szCs w:val="21"/>
            </w:rPr>
            <w:t>以公允价值计量的外币非货币性项目，采用公允价值确定日的即期汇率折算，折算后的记账本位币金额与原记账本位币金额的差额，作为公允价值变动(含汇率变动)处理，计入当期损益或确认为其他综合收益。</w:t>
          </w:r>
        </w:p>
        <w:p w14:paraId="3459F259">
          <w:pPr>
            <w:ind w:firstLine="420" w:firstLineChars="200"/>
            <w:rPr>
              <w:rFonts w:hint="eastAsia"/>
              <w:szCs w:val="21"/>
            </w:rPr>
          </w:pPr>
          <w:r>
            <w:rPr>
              <w:rFonts w:hint="eastAsia"/>
              <w:szCs w:val="21"/>
            </w:rPr>
            <w:t>（2）外币财务报表的折算</w:t>
          </w:r>
        </w:p>
        <w:p w14:paraId="79B3021E">
          <w:pPr>
            <w:ind w:firstLine="420" w:firstLineChars="200"/>
            <w:rPr>
              <w:rFonts w:hint="eastAsia"/>
              <w:szCs w:val="21"/>
            </w:rPr>
          </w:pPr>
          <w:r>
            <w:rPr>
              <w:rFonts w:hint="eastAsia"/>
              <w:szCs w:val="21"/>
            </w:rPr>
            <w:t>资产负债表中的资产和负债项目，采用资产负债表日的即期汇率折算；所有者权益项目除“未分配利润”项目外，其他项目采用发生时的即期汇率折算。利润表中的收入和费用项目，采用交易发生日的即期汇率折算。按照上述折算产生的外币财务报表折算差额计入其他综合收益。</w:t>
          </w:r>
        </w:p>
        <w:p w14:paraId="6E8234AE">
          <w:pPr>
            <w:ind w:firstLine="420" w:firstLineChars="200"/>
            <w:rPr>
              <w:rFonts w:hint="eastAsia" w:cs="Times New Roman"/>
              <w:kern w:val="2"/>
              <w:szCs w:val="21"/>
            </w:rPr>
          </w:pPr>
          <w:r>
            <w:rPr>
              <w:rFonts w:hint="eastAsia"/>
              <w:szCs w:val="21"/>
            </w:rPr>
            <w:t>处置境外经营时，将资产负债表中其他综合收益项目中列示的、与该境外经营相关的外币财务报表折算差额，自其他综合收益项目转入处置当期损益；在处置部分股权投资或其他原因导致持有境外经营权益比例降低但不丧失对境外经营控制权时，与该境外经营处置部分相关的外币报表折算差额将归属于少数股东权益，不转入当期损益。在处置境外经营为联营企业或合营企业的部分股权时，与该境外经营相关的外币报表折算差额，按处置该境外经营的比例转入处置当期损益。</w:t>
          </w:r>
        </w:p>
      </w:sdtContent>
    </w:sdt>
    <w:p w14:paraId="142BD8D8">
      <w:pPr>
        <w:rPr>
          <w:rFonts w:hint="eastAsia"/>
          <w:szCs w:val="21"/>
        </w:rPr>
      </w:pPr>
    </w:p>
    <w:p w14:paraId="712AA404">
      <w:pPr>
        <w:pStyle w:val="70"/>
        <w:numPr>
          <w:ilvl w:val="0"/>
          <w:numId w:val="101"/>
        </w:numPr>
      </w:pPr>
      <w:r>
        <w:t>金融工具</w:t>
      </w:r>
    </w:p>
    <w:sdt>
      <w:sdtPr>
        <w:rPr>
          <w:rFonts w:hint="eastAsia"/>
          <w:szCs w:val="21"/>
        </w:rPr>
        <w:alias w:val="是否适用：金融工具_重要会计政策和估计[双击切换]"/>
        <w:tag w:val="_GBC_1537cea503f244c2af870a2a0d5fd7a9"/>
        <w:id w:val="-740491429"/>
        <w:placeholder>
          <w:docPart w:val="GBC22222222222222222222222222222"/>
        </w:placeholder>
      </w:sdtPr>
      <w:sdtEndPr>
        <w:rPr>
          <w:rFonts w:hint="eastAsia"/>
          <w:szCs w:val="21"/>
        </w:rPr>
      </w:sdtEndPr>
      <w:sdtContent>
        <w:p w14:paraId="0BE32D96">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530871484"/>
        <w:placeholder>
          <w:docPart w:val="GBC22222222222222222222222222222"/>
        </w:placeholder>
      </w:sdtPr>
      <w:sdtEndPr>
        <w:rPr>
          <w:rFonts w:hint="eastAsia"/>
          <w:szCs w:val="21"/>
        </w:rPr>
      </w:sdtEndPr>
      <w:sdtContent>
        <w:p w14:paraId="20E376D2">
          <w:pPr>
            <w:ind w:firstLine="420" w:firstLineChars="200"/>
            <w:rPr>
              <w:rFonts w:hint="eastAsia"/>
              <w:szCs w:val="21"/>
            </w:rPr>
          </w:pPr>
          <w:r>
            <w:rPr>
              <w:rFonts w:hint="eastAsia"/>
              <w:szCs w:val="21"/>
            </w:rPr>
            <w:t>本公司在成为金融工具合同的一方时确认一项金融资产或金融负债。</w:t>
          </w:r>
        </w:p>
        <w:p w14:paraId="515221E4">
          <w:pPr>
            <w:ind w:firstLine="420" w:firstLineChars="200"/>
            <w:rPr>
              <w:rFonts w:hint="eastAsia"/>
              <w:szCs w:val="21"/>
            </w:rPr>
          </w:pPr>
          <w:r>
            <w:rPr>
              <w:rFonts w:hint="eastAsia"/>
              <w:szCs w:val="21"/>
            </w:rPr>
            <w:t>实际利率法是指计算金融资产或金融负债的摊余成本以及将利息收入或利息费用分摊计入各会计期间的方法。</w:t>
          </w:r>
        </w:p>
        <w:p w14:paraId="56EB0C3B">
          <w:pPr>
            <w:ind w:firstLine="420" w:firstLineChars="200"/>
            <w:rPr>
              <w:rFonts w:hint="eastAsia"/>
              <w:szCs w:val="21"/>
            </w:rPr>
          </w:pPr>
          <w:r>
            <w:rPr>
              <w:rFonts w:hint="eastAsia"/>
              <w:szCs w:val="21"/>
            </w:rPr>
            <w:t>实际利率，是指将金融资产或金融负债在预计存续期的估计未来现金流量，折现为该金融资产账面余额或该金融负债摊余成本所使用的利率。在确定实际利率时，在考虑金融资产或金融负债所有合同条款(如提前还款、展期、看涨期权或其他类似期权等)的基础上估计预期现金流量，但不考虑预期信用损失。</w:t>
          </w:r>
        </w:p>
        <w:p w14:paraId="12411C90">
          <w:pPr>
            <w:ind w:firstLine="420" w:firstLineChars="200"/>
            <w:rPr>
              <w:rFonts w:hint="eastAsia"/>
              <w:szCs w:val="21"/>
            </w:rPr>
          </w:pPr>
          <w:r>
            <w:rPr>
              <w:rFonts w:hint="eastAsia"/>
              <w:szCs w:val="21"/>
            </w:rPr>
            <w:t>金融资产或金融负债的摊余成本是以该金融资产或金融负债的初始确认金额扣除已偿还的本金，加上或减去采用实际利率法将该初始确认金额与到期日金额之间的差额进行摊销形成的累计摊销额，再扣除累计计提的损失准备(仅适用于金融资产)。</w:t>
          </w:r>
        </w:p>
        <w:p w14:paraId="66F16DB8">
          <w:pPr>
            <w:ind w:firstLine="420" w:firstLineChars="200"/>
            <w:rPr>
              <w:rFonts w:hint="eastAsia"/>
              <w:szCs w:val="21"/>
            </w:rPr>
          </w:pPr>
          <w:r>
            <w:rPr>
              <w:rFonts w:hint="eastAsia"/>
              <w:szCs w:val="21"/>
            </w:rPr>
            <w:t>（1）金融资产的分类、确认和计量</w:t>
          </w:r>
        </w:p>
        <w:p w14:paraId="570B0887">
          <w:pPr>
            <w:ind w:firstLine="420" w:firstLineChars="200"/>
            <w:rPr>
              <w:rFonts w:hint="eastAsia"/>
              <w:szCs w:val="21"/>
            </w:rPr>
          </w:pPr>
          <w:r>
            <w:rPr>
              <w:rFonts w:hint="eastAsia"/>
              <w:szCs w:val="21"/>
            </w:rPr>
            <w:t>本公司根据所管理金融资产的业务模式和金融资产的合同现金流量特征，将金融资产划分为以下三类：</w:t>
          </w:r>
        </w:p>
        <w:p w14:paraId="5D531755">
          <w:pPr>
            <w:ind w:firstLine="420" w:firstLineChars="200"/>
            <w:rPr>
              <w:rFonts w:hint="eastAsia"/>
              <w:szCs w:val="21"/>
            </w:rPr>
          </w:pPr>
          <w:r>
            <w:rPr>
              <w:rFonts w:hint="eastAsia"/>
              <w:szCs w:val="21"/>
            </w:rPr>
            <w:t>①以摊余成本计量的金融资产。</w:t>
          </w:r>
        </w:p>
        <w:p w14:paraId="57B2EE1F">
          <w:pPr>
            <w:ind w:firstLine="420" w:firstLineChars="200"/>
            <w:rPr>
              <w:rFonts w:hint="eastAsia"/>
              <w:szCs w:val="21"/>
            </w:rPr>
          </w:pPr>
          <w:r>
            <w:rPr>
              <w:rFonts w:hint="eastAsia"/>
              <w:szCs w:val="21"/>
            </w:rPr>
            <w:t>②以公允价值计量且其变动计入其他综合收益的金融资产。</w:t>
          </w:r>
        </w:p>
        <w:p w14:paraId="0665F7BA">
          <w:pPr>
            <w:ind w:firstLine="420" w:firstLineChars="200"/>
            <w:rPr>
              <w:rFonts w:hint="eastAsia"/>
              <w:szCs w:val="21"/>
            </w:rPr>
          </w:pPr>
          <w:r>
            <w:rPr>
              <w:rFonts w:hint="eastAsia"/>
              <w:szCs w:val="21"/>
            </w:rPr>
            <w:t>③以公允价值计量且其变动计入当期损益的金融资产。</w:t>
          </w:r>
        </w:p>
        <w:p w14:paraId="10DD5398">
          <w:pPr>
            <w:ind w:firstLine="420" w:firstLineChars="200"/>
            <w:rPr>
              <w:rFonts w:hint="eastAsia"/>
              <w:szCs w:val="21"/>
            </w:rPr>
          </w:pPr>
          <w:r>
            <w:rPr>
              <w:rFonts w:hint="eastAsia"/>
              <w:szCs w:val="21"/>
            </w:rPr>
            <w:t>金融资产在初始确认时以公允价值计量，但是因销售商品或提供服务等产生的应收账款或应收票据未包含重大融资成分或不考虑不超过一年的融资成分的，按照交易价格进行初始计量。</w:t>
          </w:r>
        </w:p>
        <w:p w14:paraId="15DCAA77">
          <w:pPr>
            <w:ind w:firstLine="420" w:firstLineChars="200"/>
            <w:rPr>
              <w:rFonts w:hint="eastAsia"/>
              <w:szCs w:val="21"/>
            </w:rPr>
          </w:pPr>
          <w:r>
            <w:rPr>
              <w:rFonts w:hint="eastAsia"/>
              <w:szCs w:val="21"/>
            </w:rPr>
            <w:t>对于以公允价值计量且其变动计入当期损益的金融资产，相关交易费用直接计入当期损益，其他类别的金融资产相关交易费用计入其初始确认金额。</w:t>
          </w:r>
        </w:p>
        <w:p w14:paraId="4D844C34">
          <w:pPr>
            <w:ind w:firstLine="420" w:firstLineChars="200"/>
            <w:rPr>
              <w:rFonts w:hint="eastAsia"/>
              <w:szCs w:val="21"/>
            </w:rPr>
          </w:pPr>
          <w:r>
            <w:rPr>
              <w:rFonts w:hint="eastAsia"/>
              <w:szCs w:val="21"/>
            </w:rPr>
            <w:t>金融资产的后续计量取决于其分类，当且仅当本公司改变管理金融资产的业务模式时，才对所有受影响的相关金融资产进行重分类。</w:t>
          </w:r>
        </w:p>
        <w:p w14:paraId="676C50D6">
          <w:pPr>
            <w:ind w:firstLine="420" w:firstLineChars="200"/>
            <w:rPr>
              <w:rFonts w:hint="eastAsia"/>
              <w:szCs w:val="21"/>
            </w:rPr>
          </w:pPr>
          <w:r>
            <w:rPr>
              <w:rFonts w:hint="eastAsia"/>
              <w:szCs w:val="21"/>
            </w:rPr>
            <w:t>1）分类为以摊余成本计量的金融资产</w:t>
          </w:r>
        </w:p>
        <w:p w14:paraId="41661BCD">
          <w:pPr>
            <w:ind w:firstLine="420" w:firstLineChars="200"/>
            <w:rPr>
              <w:rFonts w:hint="eastAsia"/>
              <w:szCs w:val="21"/>
            </w:rPr>
          </w:pPr>
          <w:r>
            <w:rPr>
              <w:rFonts w:hint="eastAsia"/>
              <w:szCs w:val="21"/>
            </w:rPr>
            <w:t>金融资产的合同条款规定在特定日期产生的现金流量仅为对本金和以未偿付本金金额为基础的利息的支付，且管理该金融资产的业务模式是以收取合同现金流量为目标，则本公司将该金融资产分类为以摊余成本计量的金融资产。本公司分类为以摊余成本计量的金融资产包括货币资金、应收票据及应收账款、其他应收款、长期应收款、债权投资等。</w:t>
          </w:r>
        </w:p>
        <w:p w14:paraId="05455D32">
          <w:pPr>
            <w:ind w:firstLine="420" w:firstLineChars="200"/>
            <w:rPr>
              <w:rFonts w:hint="eastAsia"/>
              <w:szCs w:val="21"/>
            </w:rPr>
          </w:pPr>
          <w:r>
            <w:rPr>
              <w:rFonts w:hint="eastAsia"/>
              <w:szCs w:val="21"/>
            </w:rPr>
            <w:t>本公司对此类金融资产采用实际利率法确认利息收入，按摊余成本进行后续计量，其发生减值时或终止确认、修改产生的利得或损失，计入当期损益。除下列情况外，本公司根据金融资产账面余额乘以实际利率计算确定利息收入：</w:t>
          </w:r>
        </w:p>
        <w:p w14:paraId="5114F2D9">
          <w:pPr>
            <w:ind w:firstLine="420" w:firstLineChars="200"/>
            <w:rPr>
              <w:rFonts w:hint="eastAsia"/>
              <w:szCs w:val="21"/>
            </w:rPr>
          </w:pPr>
          <w:r>
            <w:rPr>
              <w:rFonts w:hint="eastAsia"/>
              <w:szCs w:val="21"/>
            </w:rPr>
            <w:t>①对于购入或源生的已发生信用减值的金融资产，本公司自初始确认起，按照该金融资产的摊余成本和经信用调整的实际利率计算确定其利息收入。</w:t>
          </w:r>
        </w:p>
        <w:p w14:paraId="2BB544B4">
          <w:pPr>
            <w:ind w:firstLine="420" w:firstLineChars="200"/>
            <w:rPr>
              <w:rFonts w:hint="eastAsia"/>
              <w:szCs w:val="21"/>
            </w:rPr>
          </w:pPr>
          <w:r>
            <w:rPr>
              <w:rFonts w:hint="eastAsia"/>
              <w:szCs w:val="21"/>
            </w:rPr>
            <w:t>②对于购入或源生的未发生信用减值、但在后续期间成为已发生信用减值的金融资产，本公司在后续期间，按照该金融资产的摊余成本和实际利率计算确定其利息收入。若该金融工具在后续期间因其信用风险有所改善而不再存在信用减值，本公司转按实际利率乘以该金融资产账面余额来计算确定利息收入。</w:t>
          </w:r>
        </w:p>
        <w:p w14:paraId="64196702">
          <w:pPr>
            <w:ind w:firstLine="420" w:firstLineChars="200"/>
            <w:rPr>
              <w:rFonts w:hint="eastAsia"/>
              <w:szCs w:val="21"/>
            </w:rPr>
          </w:pPr>
          <w:r>
            <w:rPr>
              <w:rFonts w:hint="eastAsia"/>
              <w:szCs w:val="21"/>
            </w:rPr>
            <w:t>2）分类为以公允价值计量且其变动计入其他综合收益的金融资产</w:t>
          </w:r>
        </w:p>
        <w:p w14:paraId="3D91ABB7">
          <w:pPr>
            <w:ind w:firstLine="420" w:firstLineChars="200"/>
            <w:rPr>
              <w:rFonts w:hint="eastAsia"/>
              <w:szCs w:val="21"/>
            </w:rPr>
          </w:pPr>
          <w:r>
            <w:rPr>
              <w:rFonts w:hint="eastAsia"/>
              <w:szCs w:val="21"/>
            </w:rPr>
            <w:t>金融资产的合同条款规定在特定日期产生的现金流量仅为对本金和以未偿付本金金额为基础的利息的支付，且管理该金融资产的业务模式既以收取合同现金流量为目标又以出售该金融资产为目标，则本公司将该金融资产分类为以公允价值计量且其变动计入其他综合收益的金融资产。</w:t>
          </w:r>
        </w:p>
        <w:p w14:paraId="18756C37">
          <w:pPr>
            <w:ind w:firstLine="420" w:firstLineChars="200"/>
            <w:rPr>
              <w:rFonts w:hint="eastAsia"/>
              <w:szCs w:val="21"/>
            </w:rPr>
          </w:pPr>
          <w:r>
            <w:rPr>
              <w:rFonts w:hint="eastAsia"/>
              <w:szCs w:val="21"/>
            </w:rPr>
            <w:t>本公司对此类金融资产采用实际利率法确认利息收入。除利息收入、减值损失及汇兑差额确认为当期损益外，其余公允价值变动计入其他综合收益。当该金融资产终止确认时，之前计入其他综合收益的累计利得或损失从其他综合收益中转出，计入当期损益。</w:t>
          </w:r>
        </w:p>
        <w:p w14:paraId="6BC54090">
          <w:pPr>
            <w:ind w:firstLine="420" w:firstLineChars="200"/>
            <w:rPr>
              <w:rFonts w:hint="eastAsia"/>
              <w:szCs w:val="21"/>
            </w:rPr>
          </w:pPr>
          <w:r>
            <w:rPr>
              <w:rFonts w:hint="eastAsia"/>
              <w:szCs w:val="21"/>
            </w:rPr>
            <w:t>以公允价值计量且变动计入其他综合收益的应收票据及应收账款列报为应收款项融资，其他此类金融资产列报为其他债权投资，其中：自资产负债表日起一年内到期的其他债权投资列报为一年内到期的非流动资产，原到期日在一年以内的其他债权投资列报为其他流动资产。</w:t>
          </w:r>
        </w:p>
        <w:p w14:paraId="094AB234">
          <w:pPr>
            <w:ind w:firstLine="420" w:firstLineChars="200"/>
            <w:rPr>
              <w:rFonts w:hint="eastAsia"/>
              <w:szCs w:val="21"/>
            </w:rPr>
          </w:pPr>
          <w:r>
            <w:rPr>
              <w:rFonts w:hint="eastAsia"/>
              <w:szCs w:val="21"/>
            </w:rPr>
            <w:t>3）指定为以公允价值计量且其变动计入其他综合收益的金融资产</w:t>
          </w:r>
        </w:p>
        <w:p w14:paraId="11A318EF">
          <w:pPr>
            <w:ind w:firstLine="420" w:firstLineChars="200"/>
            <w:rPr>
              <w:rFonts w:hint="eastAsia"/>
              <w:szCs w:val="21"/>
            </w:rPr>
          </w:pPr>
          <w:r>
            <w:rPr>
              <w:rFonts w:hint="eastAsia"/>
              <w:szCs w:val="21"/>
            </w:rPr>
            <w:t>在初始确认时，本公司可以单项金融资产为基础不可撤销地将非交易性权益工具投资指定为以公允价值计量且其变动计入其他综合收益的金融资产。</w:t>
          </w:r>
        </w:p>
        <w:p w14:paraId="39004A76">
          <w:pPr>
            <w:ind w:firstLine="420" w:firstLineChars="200"/>
            <w:rPr>
              <w:rFonts w:hint="eastAsia"/>
              <w:szCs w:val="21"/>
            </w:rPr>
          </w:pPr>
          <w:r>
            <w:rPr>
              <w:rFonts w:hint="eastAsia"/>
              <w:szCs w:val="21"/>
            </w:rPr>
            <w:t>此类金融资产的公允价值变动计入其他综合收益，不需计提减值准备。该金融资产终止确认时，之前计入其他综合收益的累计利得或损失从其他综合收益中转出，计入留存收益。本公司持有该权益工具投资期间，在本公司收取股利的权利已经确立，与股利相关的经济利益很可能流入本公司，且股利的金额能够可靠计量时，确认股利收入并计入当期损益。本公司对此类金融资产在其他权益工具投资项目下列报。</w:t>
          </w:r>
        </w:p>
        <w:p w14:paraId="5B356F33">
          <w:pPr>
            <w:ind w:firstLine="420" w:firstLineChars="200"/>
            <w:rPr>
              <w:rFonts w:hint="eastAsia"/>
              <w:szCs w:val="21"/>
            </w:rPr>
          </w:pPr>
          <w:r>
            <w:rPr>
              <w:rFonts w:hint="eastAsia"/>
              <w:szCs w:val="21"/>
            </w:rPr>
            <w:t>权益工具投资满足下列条件之一的，属于以公允价值计量且其变动计入当期损益的金融资产：取得该金融资产的目的主要是为了近期出售；初始确认时属于集中管理的可辨认金融资产工具组合的一部分，且有客观证据表明近期实际存在短期获利模式；属于衍生工具（符合财务担保合同定义的以及被指定为有效套期工具的衍生工具除外）。</w:t>
          </w:r>
        </w:p>
        <w:p w14:paraId="2BF7EBAB">
          <w:pPr>
            <w:ind w:firstLine="420" w:firstLineChars="200"/>
            <w:rPr>
              <w:rFonts w:hint="eastAsia"/>
              <w:szCs w:val="21"/>
            </w:rPr>
          </w:pPr>
          <w:r>
            <w:rPr>
              <w:rFonts w:hint="eastAsia"/>
              <w:szCs w:val="21"/>
            </w:rPr>
            <w:t>4）分类为以公允价值计量且其变动计入当期损益的金融资产</w:t>
          </w:r>
        </w:p>
        <w:p w14:paraId="6118C76D">
          <w:pPr>
            <w:ind w:firstLine="420" w:firstLineChars="200"/>
            <w:rPr>
              <w:rFonts w:hint="eastAsia"/>
              <w:szCs w:val="21"/>
            </w:rPr>
          </w:pPr>
          <w:r>
            <w:rPr>
              <w:rFonts w:hint="eastAsia"/>
              <w:szCs w:val="21"/>
            </w:rPr>
            <w:t>不符合分类为以摊余成本计量或以公允价值计量且其变动计入其他综合收益的金融资产条件、亦不指定为以公允价值计量且其变动计入其他综合收益的金融资产均分类为以公允价值计量且其变动计入当期损益的金融资产。</w:t>
          </w:r>
        </w:p>
        <w:p w14:paraId="0EA7854E">
          <w:pPr>
            <w:ind w:firstLine="420" w:firstLineChars="200"/>
            <w:rPr>
              <w:rFonts w:hint="eastAsia"/>
              <w:szCs w:val="21"/>
            </w:rPr>
          </w:pPr>
          <w:r>
            <w:rPr>
              <w:rFonts w:hint="eastAsia"/>
              <w:szCs w:val="21"/>
            </w:rPr>
            <w:t>本公司对此类金融资产采用公允价值进行后续计量，将公允价值变动形成的利得或损失以及与此类金融资产相关的股利和利息收入计入当期损益。</w:t>
          </w:r>
        </w:p>
        <w:p w14:paraId="4BB1B99B">
          <w:pPr>
            <w:ind w:firstLine="420" w:firstLineChars="200"/>
            <w:rPr>
              <w:rFonts w:hint="eastAsia"/>
              <w:szCs w:val="21"/>
            </w:rPr>
          </w:pPr>
          <w:r>
            <w:rPr>
              <w:rFonts w:hint="eastAsia"/>
              <w:szCs w:val="21"/>
            </w:rPr>
            <w:t>本公司对此类金融资产根据其流动性在交易性金融资产、其他非流动金融资产项目列报。</w:t>
          </w:r>
        </w:p>
        <w:p w14:paraId="7C2A58F4">
          <w:pPr>
            <w:ind w:firstLine="420" w:firstLineChars="200"/>
            <w:rPr>
              <w:rFonts w:hint="eastAsia"/>
              <w:szCs w:val="21"/>
            </w:rPr>
          </w:pPr>
          <w:r>
            <w:rPr>
              <w:rFonts w:hint="eastAsia"/>
              <w:szCs w:val="21"/>
            </w:rPr>
            <w:t>5）指定为以公允价值计量且其变动计入当期损益的金融资产</w:t>
          </w:r>
        </w:p>
        <w:p w14:paraId="7FA38D2F">
          <w:pPr>
            <w:ind w:firstLine="420" w:firstLineChars="200"/>
            <w:rPr>
              <w:rFonts w:hint="eastAsia"/>
              <w:szCs w:val="21"/>
            </w:rPr>
          </w:pPr>
          <w:r>
            <w:rPr>
              <w:rFonts w:hint="eastAsia"/>
              <w:szCs w:val="21"/>
            </w:rPr>
            <w:t>在初始确认时，本公司为了消除或显著减少会计错配，可以单项金融资产为基础不可撤销地将金融资产指定为以公允价值计量且其变动计入当期损益的金融资产。</w:t>
          </w:r>
        </w:p>
        <w:p w14:paraId="406C50B7">
          <w:pPr>
            <w:ind w:firstLine="420" w:firstLineChars="200"/>
            <w:rPr>
              <w:rFonts w:hint="eastAsia"/>
              <w:szCs w:val="21"/>
            </w:rPr>
          </w:pPr>
          <w:r>
            <w:rPr>
              <w:rFonts w:hint="eastAsia"/>
              <w:szCs w:val="21"/>
            </w:rPr>
            <w:t>混合合同包含一项或多项嵌入衍生工具，且其主合同不属于以上金融资产的，本公司可以将其整体指定为以公允价值计量且其变动计入当期损益的金融工具。但下列情况除外：</w:t>
          </w:r>
        </w:p>
        <w:p w14:paraId="16615413">
          <w:pPr>
            <w:ind w:firstLine="420" w:firstLineChars="200"/>
            <w:rPr>
              <w:rFonts w:hint="eastAsia"/>
              <w:szCs w:val="21"/>
            </w:rPr>
          </w:pPr>
          <w:r>
            <w:rPr>
              <w:rFonts w:hint="eastAsia"/>
              <w:szCs w:val="21"/>
            </w:rPr>
            <w:t>①嵌入衍生工具不会对混合合同的现金流量产生重大改变。</w:t>
          </w:r>
        </w:p>
        <w:p w14:paraId="2EE31D58">
          <w:pPr>
            <w:ind w:firstLine="420" w:firstLineChars="200"/>
            <w:rPr>
              <w:rFonts w:hint="eastAsia"/>
              <w:szCs w:val="21"/>
            </w:rPr>
          </w:pPr>
          <w:r>
            <w:rPr>
              <w:rFonts w:hint="eastAsia"/>
              <w:szCs w:val="21"/>
            </w:rPr>
            <w:t>②在初次确定类似的混合合同是否需要分拆时，几乎不需分析就能明确其包含的嵌入衍生工具不应分拆。如嵌入贷款的提前还款权，允许持有人以接近摊余成本的金额提前偿还贷款，该提前还款权不需要分拆。</w:t>
          </w:r>
        </w:p>
        <w:p w14:paraId="59E97489">
          <w:pPr>
            <w:ind w:firstLine="420" w:firstLineChars="200"/>
            <w:rPr>
              <w:rFonts w:hint="eastAsia"/>
              <w:szCs w:val="21"/>
            </w:rPr>
          </w:pPr>
          <w:r>
            <w:rPr>
              <w:rFonts w:hint="eastAsia"/>
              <w:szCs w:val="21"/>
            </w:rPr>
            <w:t>本公司对此类金融资产采用公允价值进行后续计量，将公允价值变动形成的利得或损失以及与此类金融资产相关的股利和利息收入计入当期损益。</w:t>
          </w:r>
        </w:p>
        <w:p w14:paraId="6C28951E">
          <w:pPr>
            <w:ind w:firstLine="420" w:firstLineChars="200"/>
            <w:rPr>
              <w:rFonts w:hint="eastAsia"/>
              <w:szCs w:val="21"/>
            </w:rPr>
          </w:pPr>
          <w:r>
            <w:rPr>
              <w:rFonts w:hint="eastAsia"/>
              <w:szCs w:val="21"/>
            </w:rPr>
            <w:t>本公司对此类金融资产根据其流动性在交易性金融资产、其他非流动金融资产项目列报。</w:t>
          </w:r>
        </w:p>
        <w:p w14:paraId="6BED8892">
          <w:pPr>
            <w:ind w:firstLine="420" w:firstLineChars="200"/>
            <w:rPr>
              <w:rFonts w:hint="eastAsia"/>
              <w:szCs w:val="21"/>
            </w:rPr>
          </w:pPr>
          <w:r>
            <w:rPr>
              <w:rFonts w:hint="eastAsia"/>
              <w:szCs w:val="21"/>
            </w:rPr>
            <w:t>（2）金融负债的分类、确认和计量</w:t>
          </w:r>
        </w:p>
        <w:p w14:paraId="129D3FCE">
          <w:pPr>
            <w:ind w:firstLine="420" w:firstLineChars="200"/>
            <w:rPr>
              <w:rFonts w:hint="eastAsia"/>
              <w:szCs w:val="21"/>
            </w:rPr>
          </w:pPr>
          <w:r>
            <w:rPr>
              <w:rFonts w:hint="eastAsia"/>
              <w:szCs w:val="21"/>
            </w:rPr>
            <w:t>本公司根据所发行金融工具的合同条款及其所反映的经济实质而非仅以法律形式，结合金融负债和权益工具的定义，在初始确认时将该金融工具或其组成部分分类为金融负债或权益工具。金融负债在初始确认时分类为：以公允价值计量且其变动计入当期损益的金融负债、其他金融负债、被指定为有效套期工具的衍生工具。</w:t>
          </w:r>
        </w:p>
        <w:p w14:paraId="35A57191">
          <w:pPr>
            <w:ind w:firstLine="420" w:firstLineChars="200"/>
            <w:rPr>
              <w:rFonts w:hint="eastAsia"/>
              <w:szCs w:val="21"/>
            </w:rPr>
          </w:pPr>
          <w:r>
            <w:rPr>
              <w:rFonts w:hint="eastAsia"/>
              <w:szCs w:val="21"/>
            </w:rPr>
            <w:t>金融负债在初始确认时以公允价值计量。对于以公允价值计量且其变动计入当期损益的金融负债，相关的交易费用直接计入当期损益；对于其他类别的金融负债，相关交易费用计入初始确认金额。</w:t>
          </w:r>
        </w:p>
        <w:p w14:paraId="27029634">
          <w:pPr>
            <w:ind w:firstLine="420" w:firstLineChars="200"/>
            <w:rPr>
              <w:rFonts w:hint="eastAsia"/>
              <w:szCs w:val="21"/>
            </w:rPr>
          </w:pPr>
          <w:r>
            <w:rPr>
              <w:rFonts w:hint="eastAsia"/>
              <w:szCs w:val="21"/>
            </w:rPr>
            <w:t>金融负债的后续计量取决于其分类：</w:t>
          </w:r>
        </w:p>
        <w:p w14:paraId="29490A28">
          <w:pPr>
            <w:ind w:firstLine="420" w:firstLineChars="200"/>
            <w:rPr>
              <w:rFonts w:hint="eastAsia"/>
              <w:szCs w:val="21"/>
            </w:rPr>
          </w:pPr>
          <w:r>
            <w:rPr>
              <w:rFonts w:hint="eastAsia"/>
              <w:szCs w:val="21"/>
            </w:rPr>
            <w:t>1）以公允价值计量且其变动计入当期损益的金融负债</w:t>
          </w:r>
        </w:p>
        <w:p w14:paraId="72175C06">
          <w:pPr>
            <w:ind w:firstLine="420" w:firstLineChars="200"/>
            <w:rPr>
              <w:rFonts w:hint="eastAsia"/>
              <w:szCs w:val="21"/>
            </w:rPr>
          </w:pPr>
          <w:r>
            <w:rPr>
              <w:rFonts w:hint="eastAsia"/>
              <w:szCs w:val="21"/>
            </w:rPr>
            <w:t>此类金融负债包括交易性金融负债（含属于金融负债的衍生工具）和初始确认时指定为以公允价值计量且其变动计入当期损益的金融负债。</w:t>
          </w:r>
        </w:p>
        <w:p w14:paraId="05323491">
          <w:pPr>
            <w:ind w:firstLine="420" w:firstLineChars="200"/>
            <w:rPr>
              <w:rFonts w:hint="eastAsia"/>
              <w:szCs w:val="21"/>
            </w:rPr>
          </w:pPr>
          <w:r>
            <w:rPr>
              <w:rFonts w:hint="eastAsia"/>
              <w:szCs w:val="21"/>
            </w:rPr>
            <w:t>满足下列条件之一的，属于交易性金融负债：承担相关金融负债的目的主要是为了在近期内出售或回购；属于集中管理的可辨认金融工具组合的一部分，且有客观证据表明企业近期采用短期获利方式模式；属于衍生工具，但是，被指定且为有效套期工具的衍生工具、符合财务担保合同的衍生工具除外。交易性金融负债（含属于金融负债的衍生工具），按照公允价值进行后续计量，除与套期会计有关外，所有公允价值变动均计入当期损益。</w:t>
          </w:r>
        </w:p>
        <w:p w14:paraId="72173ED1">
          <w:pPr>
            <w:ind w:firstLine="420" w:firstLineChars="200"/>
            <w:rPr>
              <w:rFonts w:hint="eastAsia"/>
              <w:szCs w:val="21"/>
            </w:rPr>
          </w:pPr>
          <w:r>
            <w:rPr>
              <w:rFonts w:hint="eastAsia"/>
              <w:szCs w:val="21"/>
            </w:rPr>
            <w:t>在初始确认时，为了提供更相关的会计信息，本公司将满足下列条件之一的金融负债不可撤销地指定为以公允价值计量且其变动计入当期损益的金融负债：</w:t>
          </w:r>
        </w:p>
        <w:p w14:paraId="00D1D536">
          <w:pPr>
            <w:ind w:firstLine="420" w:firstLineChars="200"/>
            <w:rPr>
              <w:rFonts w:hint="eastAsia"/>
              <w:szCs w:val="21"/>
            </w:rPr>
          </w:pPr>
          <w:r>
            <w:rPr>
              <w:rFonts w:hint="eastAsia"/>
              <w:szCs w:val="21"/>
            </w:rPr>
            <w:t>①能够消除或显著减少会计错配。</w:t>
          </w:r>
        </w:p>
        <w:p w14:paraId="0CED20B5">
          <w:pPr>
            <w:ind w:firstLine="420" w:firstLineChars="200"/>
            <w:rPr>
              <w:rFonts w:hint="eastAsia"/>
              <w:szCs w:val="21"/>
            </w:rPr>
          </w:pPr>
          <w:r>
            <w:rPr>
              <w:rFonts w:hint="eastAsia"/>
              <w:szCs w:val="21"/>
            </w:rPr>
            <w:t>②根据正式书面文件载明的企业风险管理或投资策略，以公允价值为基础对金融负债组合或金融资产和金融负债组合进行管理和业绩评价，并在企业内部以此为基础向关键管理人员报告。</w:t>
          </w:r>
        </w:p>
        <w:p w14:paraId="000C7A0E">
          <w:pPr>
            <w:ind w:firstLine="420" w:firstLineChars="200"/>
            <w:rPr>
              <w:rFonts w:hint="eastAsia"/>
              <w:szCs w:val="21"/>
            </w:rPr>
          </w:pPr>
          <w:r>
            <w:rPr>
              <w:rFonts w:hint="eastAsia"/>
              <w:szCs w:val="21"/>
            </w:rPr>
            <w:t>本公司对此类金融负债采用公允价值进行后续计量，除由本公司自身信用风险变动引起的公允价值变动计入其他综合收益之外，其他公允价值变动计入当期损益。除非由本公司自身信用风险变动引起的公允价值变动计入其他综合收益会造成或扩大损益中的会计错配，本公司将所有公允价值变动（包括自身信用风险变动的影响金额）计入当期损益。</w:t>
          </w:r>
        </w:p>
        <w:p w14:paraId="79B30FD6">
          <w:pPr>
            <w:ind w:firstLine="420" w:firstLineChars="200"/>
            <w:rPr>
              <w:rFonts w:hint="eastAsia"/>
              <w:szCs w:val="21"/>
            </w:rPr>
          </w:pPr>
          <w:r>
            <w:rPr>
              <w:rFonts w:hint="eastAsia"/>
              <w:szCs w:val="21"/>
            </w:rPr>
            <w:t>2）其他金融负债</w:t>
          </w:r>
        </w:p>
        <w:p w14:paraId="65737565">
          <w:pPr>
            <w:ind w:firstLine="420" w:firstLineChars="200"/>
            <w:rPr>
              <w:rFonts w:hint="eastAsia"/>
              <w:szCs w:val="21"/>
            </w:rPr>
          </w:pPr>
          <w:r>
            <w:rPr>
              <w:rFonts w:hint="eastAsia"/>
              <w:szCs w:val="21"/>
            </w:rPr>
            <w:t>除下列各项外，公司将金融负债分类为以摊余成本计量的金融负债，对此类金融负债采用实际利率法，按照摊余成本进行后续计量，终止确认或摊销产生的利得或损失计入当期损益：</w:t>
          </w:r>
        </w:p>
        <w:p w14:paraId="196BA219">
          <w:pPr>
            <w:ind w:firstLine="420" w:firstLineChars="200"/>
            <w:rPr>
              <w:rFonts w:hint="eastAsia"/>
              <w:szCs w:val="21"/>
            </w:rPr>
          </w:pPr>
          <w:r>
            <w:rPr>
              <w:rFonts w:hint="eastAsia"/>
              <w:szCs w:val="21"/>
            </w:rPr>
            <w:t>①以公允价值计量且其变动计入当期损益的金融负债。</w:t>
          </w:r>
        </w:p>
        <w:p w14:paraId="51365CF7">
          <w:pPr>
            <w:ind w:firstLine="420" w:firstLineChars="200"/>
            <w:rPr>
              <w:rFonts w:hint="eastAsia"/>
              <w:szCs w:val="21"/>
            </w:rPr>
          </w:pPr>
          <w:r>
            <w:rPr>
              <w:rFonts w:hint="eastAsia"/>
              <w:szCs w:val="21"/>
            </w:rPr>
            <w:t>②金融资产转移不符合终止确认条件或继续涉入被转移金融资产所形成的金融负债。</w:t>
          </w:r>
        </w:p>
        <w:p w14:paraId="2D995F4D">
          <w:pPr>
            <w:ind w:firstLine="420" w:firstLineChars="200"/>
            <w:rPr>
              <w:rFonts w:hint="eastAsia"/>
              <w:szCs w:val="21"/>
            </w:rPr>
          </w:pPr>
          <w:r>
            <w:rPr>
              <w:rFonts w:hint="eastAsia"/>
              <w:szCs w:val="21"/>
            </w:rPr>
            <w:t>③不属于本条前两类情形的财务担保合同，以及不属于本条第1）类情形的以低于市场利率贷款的贷款承诺。</w:t>
          </w:r>
        </w:p>
        <w:p w14:paraId="6FE9D234">
          <w:pPr>
            <w:ind w:firstLine="420" w:firstLineChars="200"/>
            <w:rPr>
              <w:rFonts w:hint="eastAsia"/>
              <w:szCs w:val="21"/>
            </w:rPr>
          </w:pPr>
          <w:r>
            <w:rPr>
              <w:rFonts w:hint="eastAsia"/>
              <w:szCs w:val="21"/>
            </w:rPr>
            <w:t>财务担保合同是指当特定债务人到期不能按照最初或修改后的债务工具条款偿付债务时，要求发行方向蒙受损失的合同持有人赔付特定金额的合同。不属于指定为以公允价值计量且其变动计入当期损益的金融负债的财务担保合同，在初始确认后按照损失准备金额以及初始确认金额扣除担保期内的累计摊销额后的余额孰高进行计量。</w:t>
          </w:r>
        </w:p>
        <w:p w14:paraId="78320ECC">
          <w:pPr>
            <w:ind w:firstLine="420" w:firstLineChars="200"/>
            <w:rPr>
              <w:rFonts w:hint="eastAsia"/>
              <w:szCs w:val="21"/>
            </w:rPr>
          </w:pPr>
          <w:r>
            <w:rPr>
              <w:rFonts w:hint="eastAsia"/>
              <w:szCs w:val="21"/>
            </w:rPr>
            <w:t>（3）金融资产和金融负债的终止确认</w:t>
          </w:r>
        </w:p>
        <w:p w14:paraId="336E9654">
          <w:pPr>
            <w:ind w:firstLine="420" w:firstLineChars="200"/>
            <w:rPr>
              <w:rFonts w:hint="eastAsia"/>
              <w:szCs w:val="21"/>
            </w:rPr>
          </w:pPr>
          <w:r>
            <w:rPr>
              <w:rFonts w:hint="eastAsia"/>
              <w:szCs w:val="21"/>
            </w:rPr>
            <w:t>1）金融资产满足下列条件之一的，终止确认金融资产，即从其账户和资产负债表内予以转销：</w:t>
          </w:r>
        </w:p>
        <w:p w14:paraId="3489F5D9">
          <w:pPr>
            <w:ind w:firstLine="420" w:firstLineChars="200"/>
            <w:rPr>
              <w:rFonts w:hint="eastAsia"/>
              <w:szCs w:val="21"/>
            </w:rPr>
          </w:pPr>
          <w:r>
            <w:rPr>
              <w:rFonts w:hint="eastAsia"/>
              <w:szCs w:val="21"/>
            </w:rPr>
            <w:t>①收取该金融资产现金流量的合同权利终止。</w:t>
          </w:r>
        </w:p>
        <w:p w14:paraId="2BA95DCD">
          <w:pPr>
            <w:ind w:firstLine="420" w:firstLineChars="200"/>
            <w:rPr>
              <w:rFonts w:hint="eastAsia"/>
              <w:szCs w:val="21"/>
            </w:rPr>
          </w:pPr>
          <w:r>
            <w:rPr>
              <w:rFonts w:hint="eastAsia"/>
              <w:szCs w:val="21"/>
            </w:rPr>
            <w:t>②该金融资产已转移，且该转移满足金融资产终止确认的规定。</w:t>
          </w:r>
        </w:p>
        <w:p w14:paraId="1B803E64">
          <w:pPr>
            <w:ind w:firstLine="420" w:firstLineChars="200"/>
            <w:rPr>
              <w:rFonts w:hint="eastAsia"/>
              <w:szCs w:val="21"/>
            </w:rPr>
          </w:pPr>
          <w:r>
            <w:rPr>
              <w:rFonts w:hint="eastAsia"/>
              <w:szCs w:val="21"/>
            </w:rPr>
            <w:t>2）金融负债终止确认条件</w:t>
          </w:r>
        </w:p>
        <w:p w14:paraId="21E64FA8">
          <w:pPr>
            <w:ind w:firstLine="420" w:firstLineChars="200"/>
            <w:rPr>
              <w:rFonts w:hint="eastAsia"/>
              <w:szCs w:val="21"/>
            </w:rPr>
          </w:pPr>
          <w:r>
            <w:rPr>
              <w:rFonts w:hint="eastAsia"/>
              <w:szCs w:val="21"/>
            </w:rPr>
            <w:t>金融负债（或其一部分）的现时义务已经解除的，则终止确认该金融负债（或该部分金融负债）。</w:t>
          </w:r>
        </w:p>
        <w:p w14:paraId="1B8AA4E5">
          <w:pPr>
            <w:ind w:firstLine="420" w:firstLineChars="200"/>
            <w:rPr>
              <w:rFonts w:hint="eastAsia"/>
              <w:szCs w:val="21"/>
            </w:rPr>
          </w:pPr>
          <w:r>
            <w:rPr>
              <w:rFonts w:hint="eastAsia"/>
              <w:szCs w:val="21"/>
            </w:rPr>
            <w:t>本公司与借出方之间签订协议，以承担新金融负债方式替换原金融负债，且新金融负债与原金融负债的合同条款实质上不同的，或对原金融负债（或其一部分）的合同条款做出实质性修改的，则终止确认原金融负债，同时确认一项新金融负债，账面价值与支付的对价（包括转出的非现金资产或承担的负债）之间的差额，计入当期损益。</w:t>
          </w:r>
        </w:p>
        <w:p w14:paraId="30E495E5">
          <w:pPr>
            <w:ind w:firstLine="420" w:firstLineChars="200"/>
            <w:rPr>
              <w:rFonts w:hint="eastAsia"/>
              <w:szCs w:val="21"/>
            </w:rPr>
          </w:pPr>
          <w:r>
            <w:rPr>
              <w:rFonts w:hint="eastAsia"/>
              <w:szCs w:val="21"/>
            </w:rPr>
            <w:t>本公司回购金融负债一部分的，按照继续确认部分和终止确认部分在回购日各自的公允价值占整体公允价值的比例，对该金融负债整体的账面价值进行分配。分配给终止确认部分的账面价值与支付的对价（包括转出的非现金资产或承担的负债）之间的差额，应当计入当期损益。</w:t>
          </w:r>
        </w:p>
        <w:p w14:paraId="4C574E94">
          <w:pPr>
            <w:ind w:firstLine="420" w:firstLineChars="200"/>
            <w:rPr>
              <w:rFonts w:hint="eastAsia"/>
              <w:szCs w:val="21"/>
            </w:rPr>
          </w:pPr>
          <w:r>
            <w:rPr>
              <w:rFonts w:hint="eastAsia"/>
              <w:szCs w:val="21"/>
            </w:rPr>
            <w:t>（4）金融资产转移的确认依据和计量方法</w:t>
          </w:r>
        </w:p>
        <w:p w14:paraId="4C6E5C2E">
          <w:pPr>
            <w:ind w:firstLine="420" w:firstLineChars="200"/>
            <w:rPr>
              <w:rFonts w:hint="eastAsia"/>
              <w:szCs w:val="21"/>
            </w:rPr>
          </w:pPr>
          <w:r>
            <w:rPr>
              <w:rFonts w:hint="eastAsia"/>
              <w:szCs w:val="21"/>
            </w:rPr>
            <w:t>本公司在发生金融资产转移时，评估其保留金融资产所有权上的风险和报酬的程度，并分别按下列情形处理：</w:t>
          </w:r>
        </w:p>
        <w:p w14:paraId="40D33770">
          <w:pPr>
            <w:ind w:firstLine="420" w:firstLineChars="200"/>
            <w:rPr>
              <w:rFonts w:hint="eastAsia"/>
              <w:szCs w:val="21"/>
            </w:rPr>
          </w:pPr>
          <w:r>
            <w:rPr>
              <w:rFonts w:hint="eastAsia"/>
              <w:szCs w:val="21"/>
            </w:rPr>
            <w:t>①转移了金融资产所有权上几乎所有风险和报酬的，则终止确认该金融资产，并将转移中产生或保留的权利和义务单独确认为资产或负债。</w:t>
          </w:r>
        </w:p>
        <w:p w14:paraId="02029EA8">
          <w:pPr>
            <w:ind w:firstLine="420" w:firstLineChars="200"/>
            <w:rPr>
              <w:rFonts w:hint="eastAsia"/>
              <w:szCs w:val="21"/>
            </w:rPr>
          </w:pPr>
          <w:r>
            <w:rPr>
              <w:rFonts w:hint="eastAsia"/>
              <w:szCs w:val="21"/>
            </w:rPr>
            <w:t>②保留了金融资产所有权上几乎所有风险和报酬的，则继续确认该金融资产。</w:t>
          </w:r>
        </w:p>
        <w:p w14:paraId="398D33C7">
          <w:pPr>
            <w:ind w:firstLine="420" w:firstLineChars="200"/>
            <w:rPr>
              <w:rFonts w:hint="eastAsia"/>
              <w:szCs w:val="21"/>
            </w:rPr>
          </w:pPr>
          <w:r>
            <w:rPr>
              <w:rFonts w:hint="eastAsia"/>
              <w:szCs w:val="21"/>
            </w:rPr>
            <w:t>③既没有转移也没有保留金融资产所有权上几乎所有风险和报酬的（即除本条（1）、（2）之外的其他情形），则根据其是否保留了对金融资产的控制，分别下列按情形处理：</w:t>
          </w:r>
        </w:p>
        <w:p w14:paraId="79081B3B">
          <w:pPr>
            <w:ind w:firstLine="420" w:firstLineChars="200"/>
            <w:rPr>
              <w:rFonts w:hint="eastAsia"/>
              <w:szCs w:val="21"/>
            </w:rPr>
          </w:pPr>
          <w:r>
            <w:rPr>
              <w:rFonts w:hint="eastAsia"/>
              <w:szCs w:val="21"/>
            </w:rPr>
            <w:t>A未保留对该金融资产控制的，则终止确认该金融资产，并将转移中产生或保留的权利和义务单独确认为资产或负债。</w:t>
          </w:r>
        </w:p>
        <w:p w14:paraId="47099148">
          <w:pPr>
            <w:ind w:firstLine="420" w:firstLineChars="200"/>
            <w:rPr>
              <w:rFonts w:hint="eastAsia"/>
              <w:szCs w:val="21"/>
            </w:rPr>
          </w:pPr>
          <w:r>
            <w:rPr>
              <w:rFonts w:hint="eastAsia"/>
              <w:szCs w:val="21"/>
            </w:rPr>
            <w:t>B保留了对该金融资产控制的，则按照其继续涉入被转移金融资产的程度继续确认有关金融资产，并相应确认相关负债。继续涉入被转移金融资产的程度，是指本公司承担的被转移金融资产价值变动风险或报酬的程度。</w:t>
          </w:r>
        </w:p>
        <w:p w14:paraId="551751E5">
          <w:pPr>
            <w:ind w:firstLine="420" w:firstLineChars="200"/>
            <w:rPr>
              <w:rFonts w:hint="eastAsia"/>
              <w:szCs w:val="21"/>
            </w:rPr>
          </w:pPr>
          <w:r>
            <w:rPr>
              <w:rFonts w:hint="eastAsia"/>
              <w:szCs w:val="21"/>
            </w:rPr>
            <w:t>在判断金融资产转移是否满足上述金融资产终止确认条件时，采用实质重于形式的原则。公司将金融资产转移区分为金融资产整体转移和部分转移。</w:t>
          </w:r>
        </w:p>
        <w:p w14:paraId="7AAD96C1">
          <w:pPr>
            <w:ind w:firstLine="420" w:firstLineChars="200"/>
            <w:rPr>
              <w:rFonts w:hint="eastAsia"/>
              <w:szCs w:val="21"/>
            </w:rPr>
          </w:pPr>
          <w:r>
            <w:rPr>
              <w:rFonts w:hint="eastAsia"/>
              <w:szCs w:val="21"/>
            </w:rPr>
            <w:t>1）金融资产整体转移满足终止确认条件的，将下列两项金额的差额计入当期损益：</w:t>
          </w:r>
        </w:p>
        <w:p w14:paraId="707D5EC6">
          <w:pPr>
            <w:ind w:firstLine="420" w:firstLineChars="200"/>
            <w:rPr>
              <w:rFonts w:hint="eastAsia"/>
              <w:szCs w:val="21"/>
            </w:rPr>
          </w:pPr>
          <w:r>
            <w:rPr>
              <w:rFonts w:hint="eastAsia"/>
              <w:szCs w:val="21"/>
            </w:rPr>
            <w:t>①被转移金融资产在终止确认日的账面价值。</w:t>
          </w:r>
        </w:p>
        <w:p w14:paraId="14A9CB17">
          <w:pPr>
            <w:ind w:firstLine="420" w:firstLineChars="200"/>
            <w:rPr>
              <w:rFonts w:hint="eastAsia"/>
              <w:szCs w:val="21"/>
            </w:rPr>
          </w:pPr>
          <w:r>
            <w:rPr>
              <w:rFonts w:hint="eastAsia"/>
              <w:szCs w:val="21"/>
            </w:rPr>
            <w:t>②因转移金融资产而收到的对价，与原直接计入其他综合收益的公允价值变动累计额中对应终止确认部分的金额（涉及转移的金融资产为以公允价值计量且其变动计入其他综合收益的金融资产）之和。</w:t>
          </w:r>
        </w:p>
        <w:p w14:paraId="50E10041">
          <w:pPr>
            <w:ind w:firstLine="420" w:firstLineChars="200"/>
            <w:rPr>
              <w:rFonts w:hint="eastAsia"/>
              <w:szCs w:val="21"/>
            </w:rPr>
          </w:pPr>
          <w:r>
            <w:rPr>
              <w:rFonts w:hint="eastAsia"/>
              <w:szCs w:val="21"/>
            </w:rPr>
            <w:t>2）金融资产部分转移且该被转移部分整体满足终止确认条件的，将转移前金融资产整体的账面价值，在终止确认部分和继续确认部分（在此种情形下，所保留的服务资产应当视同继续确认金融资产的一部分）之间，按照转移日各自的相对公允价值进行分摊，并将下列两项金额的差额计入当期损益：</w:t>
          </w:r>
        </w:p>
        <w:p w14:paraId="62D3A1B7">
          <w:pPr>
            <w:ind w:firstLine="420" w:firstLineChars="200"/>
            <w:rPr>
              <w:rFonts w:hint="eastAsia"/>
              <w:szCs w:val="21"/>
            </w:rPr>
          </w:pPr>
          <w:r>
            <w:rPr>
              <w:rFonts w:hint="eastAsia"/>
              <w:szCs w:val="21"/>
            </w:rPr>
            <w:t>①终止确认部分在终止确认日的账面价值。</w:t>
          </w:r>
        </w:p>
        <w:p w14:paraId="6BEFDD18">
          <w:pPr>
            <w:ind w:firstLine="420" w:firstLineChars="200"/>
            <w:rPr>
              <w:rFonts w:hint="eastAsia"/>
              <w:szCs w:val="21"/>
            </w:rPr>
          </w:pPr>
          <w:r>
            <w:rPr>
              <w:rFonts w:hint="eastAsia"/>
              <w:szCs w:val="21"/>
            </w:rPr>
            <w:t>②终止确认部分收到的对价，与原计入其他综合收益的公允价值变动累计额中对应终止确认部分的金额（涉及转移的金融资产为以公允价值计量且其变动计入其他综合收益的金融资产）之和。</w:t>
          </w:r>
        </w:p>
        <w:p w14:paraId="6C01C5F8">
          <w:pPr>
            <w:ind w:firstLine="420" w:firstLineChars="200"/>
            <w:rPr>
              <w:rFonts w:hint="eastAsia"/>
              <w:szCs w:val="21"/>
            </w:rPr>
          </w:pPr>
          <w:r>
            <w:rPr>
              <w:rFonts w:hint="eastAsia"/>
              <w:szCs w:val="21"/>
            </w:rPr>
            <w:t>金融资产转移不满足终止确认条件的，继续确认该金融资产，所收到的对价确认为一项金融负债。</w:t>
          </w:r>
        </w:p>
        <w:p w14:paraId="1B14BCCC">
          <w:pPr>
            <w:ind w:firstLine="420" w:firstLineChars="200"/>
            <w:rPr>
              <w:rFonts w:hint="eastAsia"/>
              <w:szCs w:val="21"/>
            </w:rPr>
          </w:pPr>
          <w:r>
            <w:rPr>
              <w:rFonts w:hint="eastAsia"/>
              <w:szCs w:val="21"/>
            </w:rPr>
            <w:t>（5）金融资产和金融负债公允价值的确定方法</w:t>
          </w:r>
        </w:p>
        <w:p w14:paraId="059BA1C6">
          <w:pPr>
            <w:ind w:firstLine="420" w:firstLineChars="200"/>
            <w:rPr>
              <w:rFonts w:hint="eastAsia"/>
              <w:szCs w:val="21"/>
            </w:rPr>
          </w:pPr>
          <w:r>
            <w:rPr>
              <w:rFonts w:hint="eastAsia"/>
              <w:szCs w:val="21"/>
            </w:rPr>
            <w:t>存在活跃市场的金融资产或金融负债，以活跃市场的报价确定其公允价值，除非该项金融资产存在针对资产本身的限售期。对于针对资产本身的限售的金融资产，按照活跃市场的报价扣除市场参与者因承担指定期间内无法在公开市场上出售该金融资产的风险而要求获得的补偿金额后确定。活跃市场的报价包括易于且可定期从交易所、交易商、经纪人、行业集团、定价机构或监管机构等获得相关资产或负债的报价，且能代表在公平交易基础上实际并经常发生的市场交易。</w:t>
          </w:r>
        </w:p>
        <w:p w14:paraId="3E99DD3B">
          <w:pPr>
            <w:ind w:firstLine="420" w:firstLineChars="200"/>
            <w:rPr>
              <w:rFonts w:hint="eastAsia"/>
              <w:szCs w:val="21"/>
            </w:rPr>
          </w:pPr>
          <w:r>
            <w:rPr>
              <w:rFonts w:hint="eastAsia"/>
              <w:szCs w:val="21"/>
            </w:rPr>
            <w:t>初始取得或衍生的金融资产或承担的金融负债，以市场交易价格作为确定其公允价值的基础。</w:t>
          </w:r>
        </w:p>
        <w:p w14:paraId="2FC8F208">
          <w:pPr>
            <w:ind w:firstLine="420" w:firstLineChars="200"/>
            <w:rPr>
              <w:rFonts w:hint="eastAsia"/>
              <w:szCs w:val="21"/>
            </w:rPr>
          </w:pPr>
          <w:r>
            <w:rPr>
              <w:rFonts w:hint="eastAsia"/>
              <w:szCs w:val="21"/>
            </w:rPr>
            <w:t>不存在活跃市场的金融资产或金融负债，采用估值技术确定其公允价值。在估值时，本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14:paraId="4AF9EF54">
          <w:pPr>
            <w:ind w:firstLine="420" w:firstLineChars="200"/>
            <w:rPr>
              <w:rFonts w:hint="eastAsia"/>
              <w:szCs w:val="21"/>
            </w:rPr>
          </w:pPr>
          <w:r>
            <w:rPr>
              <w:rFonts w:hint="eastAsia"/>
              <w:szCs w:val="21"/>
            </w:rPr>
            <w:t>（6）金融工具减值</w:t>
          </w:r>
        </w:p>
        <w:p w14:paraId="715F3BDC">
          <w:pPr>
            <w:ind w:firstLine="420" w:firstLineChars="200"/>
            <w:rPr>
              <w:rFonts w:hint="eastAsia"/>
              <w:szCs w:val="21"/>
            </w:rPr>
          </w:pPr>
          <w:r>
            <w:rPr>
              <w:rFonts w:hint="eastAsia"/>
              <w:szCs w:val="21"/>
            </w:rPr>
            <w:t>本公司以预期信用损失为基础，对分类为以摊余成本计量的金融资产、分类为以公允价值计量且其变动计入其他综合收益的金融资产以及财务担保合同，进行减值会计处理并确认损失准备。</w:t>
          </w:r>
        </w:p>
        <w:p w14:paraId="6D8858A9">
          <w:pPr>
            <w:ind w:firstLine="420" w:firstLineChars="200"/>
            <w:rPr>
              <w:rFonts w:hint="eastAsia"/>
              <w:szCs w:val="21"/>
            </w:rPr>
          </w:pPr>
          <w:r>
            <w:rPr>
              <w:rFonts w:hint="eastAsia"/>
              <w:szCs w:val="21"/>
            </w:rPr>
            <w:t>预期信用损失，是指以发生违约的风险为权重的金融工具信用损失的加权平均值。信用损失，是指本公司按照原实际利率折现的、根据合同应收的所有合同现金流量与预期收取的所有现金流量之间的差额，即全部现金短缺的现值。其中，对于本公司购买或源生的已发生信用减值的金融资产，应按照该金融资产经信用调整的实际利率折现。</w:t>
          </w:r>
        </w:p>
        <w:p w14:paraId="22BE4169">
          <w:pPr>
            <w:ind w:firstLine="420" w:firstLineChars="200"/>
            <w:rPr>
              <w:rFonts w:hint="eastAsia"/>
              <w:szCs w:val="21"/>
            </w:rPr>
          </w:pPr>
          <w:r>
            <w:rPr>
              <w:rFonts w:hint="eastAsia"/>
              <w:szCs w:val="21"/>
            </w:rPr>
            <w:t>对由收入准则规范的交易形成的应收款项、合同资产以及租赁应收款，本公司运用简化计量方法，按照相当于整个存续期内预期信用损失的金额计量损失准备。</w:t>
          </w:r>
        </w:p>
        <w:p w14:paraId="77E00FEA">
          <w:pPr>
            <w:ind w:firstLine="420" w:firstLineChars="200"/>
            <w:rPr>
              <w:rFonts w:hint="eastAsia"/>
              <w:szCs w:val="21"/>
            </w:rPr>
          </w:pPr>
          <w:r>
            <w:rPr>
              <w:rFonts w:hint="eastAsia"/>
              <w:szCs w:val="21"/>
            </w:rPr>
            <w:t>对于购买或源生的已发生信用减值的金融资产，在资产负债表日仅将自初始确认后整个存续期内预期信用损失的累计变动确认为损失准备。在每个资产负债表日，将整个存续期内预期信用损失的变动金额作为减值损失或利得计入当期损益。即使该资产负债表日确定的整个存续期内预期信用损失小于初始确认时估计现金流量所反映的预期信用损失的金额，也将预期信用损失的有利变动确认为减值利得。</w:t>
          </w:r>
        </w:p>
        <w:p w14:paraId="69CF7BBE">
          <w:pPr>
            <w:ind w:firstLine="420" w:firstLineChars="200"/>
            <w:rPr>
              <w:rFonts w:hint="eastAsia"/>
              <w:szCs w:val="21"/>
            </w:rPr>
          </w:pPr>
          <w:r>
            <w:rPr>
              <w:rFonts w:hint="eastAsia"/>
              <w:szCs w:val="21"/>
            </w:rPr>
            <w:t>除上述采用简化计量方法和购买或源生的已发生信用减值以外的其他金融资产，本公司在每个资产负债表日评估相关金融工具的信用风险自初始确认后是否已显著增加，并按照下列情形分别计量其损失准备、确认预期信用损失及其变动：</w:t>
          </w:r>
        </w:p>
        <w:p w14:paraId="57CB0C0D">
          <w:pPr>
            <w:ind w:firstLine="420" w:firstLineChars="200"/>
            <w:rPr>
              <w:rFonts w:hint="eastAsia"/>
              <w:szCs w:val="21"/>
            </w:rPr>
          </w:pPr>
          <w:r>
            <w:rPr>
              <w:rFonts w:hint="eastAsia"/>
              <w:szCs w:val="21"/>
            </w:rPr>
            <w:t>①如果该金融工具的信用风险自初始确认后并未显著增加，处于第一阶段，则按照相当于该金融工具未来12个月内预期信用损失的金额计量其损失准备，并按照账面余额和实际利率计算利息收入。</w:t>
          </w:r>
        </w:p>
        <w:p w14:paraId="239A3B5F">
          <w:pPr>
            <w:ind w:firstLine="420" w:firstLineChars="200"/>
            <w:rPr>
              <w:rFonts w:hint="eastAsia"/>
              <w:szCs w:val="21"/>
            </w:rPr>
          </w:pPr>
          <w:r>
            <w:rPr>
              <w:rFonts w:hint="eastAsia"/>
              <w:szCs w:val="21"/>
            </w:rPr>
            <w:t>②如果该金融工具的信用风险自初始确认后已显著增加但尚未发生信用减值的，处于第二阶段，则按照相当于该金融工具整个存续期内预期信用损失的金额计量其损失准备，并按照账面余额和实际利率计算利息收入。</w:t>
          </w:r>
        </w:p>
        <w:p w14:paraId="6EE46D85">
          <w:pPr>
            <w:ind w:firstLine="420" w:firstLineChars="200"/>
            <w:rPr>
              <w:rFonts w:hint="eastAsia"/>
              <w:szCs w:val="21"/>
            </w:rPr>
          </w:pPr>
          <w:r>
            <w:rPr>
              <w:rFonts w:hint="eastAsia"/>
              <w:szCs w:val="21"/>
            </w:rPr>
            <w:t>③如果该金融工具自初始确认后已经发生信用减值的，处于第三阶段，本公司按照相当于该金融工具整个存续期内预期信用损失的金额计量其损失准备，并按照摊余成本和实际利率计算利息收入。</w:t>
          </w:r>
        </w:p>
        <w:p w14:paraId="4C4A887E">
          <w:pPr>
            <w:ind w:firstLine="420" w:firstLineChars="200"/>
            <w:rPr>
              <w:rFonts w:hint="eastAsia"/>
              <w:szCs w:val="21"/>
            </w:rPr>
          </w:pPr>
          <w:r>
            <w:rPr>
              <w:rFonts w:hint="eastAsia"/>
              <w:szCs w:val="21"/>
            </w:rPr>
            <w:t>金融工具信用损失准备的增加或转回金额，作为减值损失或利得计入当期损益。除分类为以公允价值计量且其变动计入其他综合收益的金融资产外，信用损失准备抵减金融资产的账面余额。对于分类为以公允价值计量且其变动计入其他综合收益的金融资产，本公司在其他综合收益中确认其信用损失准备，不减少该金融资产在资产负债表中列示的账面价值。</w:t>
          </w:r>
        </w:p>
        <w:p w14:paraId="6263294E">
          <w:pPr>
            <w:ind w:firstLine="420" w:firstLineChars="200"/>
            <w:rPr>
              <w:rFonts w:hint="eastAsia"/>
              <w:szCs w:val="21"/>
            </w:rPr>
          </w:pPr>
          <w:r>
            <w:rPr>
              <w:rFonts w:hint="eastAsia"/>
              <w:szCs w:val="21"/>
            </w:rPr>
            <w:t>本公司在前一会计期间已经按照相当于金融工具整个存续期内预期信用损失的金额计量了损失准备，但在当期资产负债表日，该金融工具已不再属于自初始确认后信用风险显著增加的情形的，本公司在当期资产负债表日按照相当于未来12个月内预期信用损失的金额计量该金融工具的损失准备，由此形成的损失准备的转回金额作为减值利得计入当期损益。</w:t>
          </w:r>
        </w:p>
        <w:p w14:paraId="113485E2">
          <w:pPr>
            <w:ind w:firstLine="420" w:firstLineChars="200"/>
            <w:rPr>
              <w:rFonts w:hint="eastAsia"/>
              <w:szCs w:val="21"/>
            </w:rPr>
          </w:pPr>
          <w:r>
            <w:rPr>
              <w:rFonts w:hint="eastAsia"/>
              <w:szCs w:val="21"/>
            </w:rPr>
            <w:t>1）信用风险显著增加</w:t>
          </w:r>
        </w:p>
        <w:p w14:paraId="2700DBD6">
          <w:pPr>
            <w:ind w:firstLine="420" w:firstLineChars="200"/>
            <w:rPr>
              <w:rFonts w:hint="eastAsia"/>
              <w:szCs w:val="21"/>
            </w:rPr>
          </w:pPr>
          <w:r>
            <w:rPr>
              <w:rFonts w:hint="eastAsia"/>
              <w:szCs w:val="21"/>
            </w:rPr>
            <w:t>本公司利用可获得的合理且有依据的前瞻性信息，通过比较金融工具在资产负债表日发生违约的风险与在初始确认日发生违约的风险，以确定金融工具的信用风险自初始确认后是否已显著增加。对于财务担保合同，本公司在应用金融工具减值规定时，将本公司成为做出不可撤销承诺的一方之日作为初始确认日。</w:t>
          </w:r>
        </w:p>
        <w:p w14:paraId="66FE6513">
          <w:pPr>
            <w:ind w:firstLine="420" w:firstLineChars="200"/>
            <w:rPr>
              <w:rFonts w:hint="eastAsia"/>
              <w:szCs w:val="21"/>
            </w:rPr>
          </w:pPr>
          <w:r>
            <w:rPr>
              <w:rFonts w:hint="eastAsia"/>
              <w:szCs w:val="21"/>
            </w:rPr>
            <w:t>本公司在评估信用风险是否显著增加时会考虑如下因素：</w:t>
          </w:r>
        </w:p>
        <w:p w14:paraId="48787CEB">
          <w:pPr>
            <w:ind w:firstLine="420" w:firstLineChars="200"/>
            <w:rPr>
              <w:rFonts w:hint="eastAsia"/>
              <w:szCs w:val="21"/>
            </w:rPr>
          </w:pPr>
          <w:r>
            <w:rPr>
              <w:rFonts w:hint="eastAsia"/>
              <w:szCs w:val="21"/>
            </w:rPr>
            <w:t>①债务人经营成果实际或预期是否发生显著变化；</w:t>
          </w:r>
        </w:p>
        <w:p w14:paraId="515D163E">
          <w:pPr>
            <w:ind w:firstLine="420" w:firstLineChars="200"/>
            <w:rPr>
              <w:rFonts w:hint="eastAsia"/>
              <w:szCs w:val="21"/>
            </w:rPr>
          </w:pPr>
          <w:r>
            <w:rPr>
              <w:rFonts w:hint="eastAsia"/>
              <w:szCs w:val="21"/>
            </w:rPr>
            <w:t>②债务人所处的监管、经济或技术环境是否发生显著不利变化；</w:t>
          </w:r>
        </w:p>
        <w:p w14:paraId="7B2B1E50">
          <w:pPr>
            <w:ind w:firstLine="420" w:firstLineChars="200"/>
            <w:rPr>
              <w:rFonts w:hint="eastAsia"/>
              <w:szCs w:val="21"/>
            </w:rPr>
          </w:pPr>
          <w:r>
            <w:rPr>
              <w:rFonts w:hint="eastAsia"/>
              <w:szCs w:val="21"/>
            </w:rPr>
            <w:t>③作为债务抵押的担保物价值或第三方提供的担保或信用增级质量是否发生显著变化，这些变化预期将降低债务人按合同规定期限还款的经济动机或者影响违约概率；</w:t>
          </w:r>
        </w:p>
        <w:p w14:paraId="4036E271">
          <w:pPr>
            <w:ind w:firstLine="420" w:firstLineChars="200"/>
            <w:rPr>
              <w:rFonts w:hint="eastAsia"/>
              <w:szCs w:val="21"/>
            </w:rPr>
          </w:pPr>
          <w:r>
            <w:rPr>
              <w:rFonts w:hint="eastAsia"/>
              <w:szCs w:val="21"/>
            </w:rPr>
            <w:t>④债务人预期表现和还款行为是否发生显著变化；</w:t>
          </w:r>
        </w:p>
        <w:p w14:paraId="1499DACD">
          <w:pPr>
            <w:ind w:firstLine="420" w:firstLineChars="200"/>
            <w:rPr>
              <w:rFonts w:hint="eastAsia"/>
              <w:szCs w:val="21"/>
            </w:rPr>
          </w:pPr>
          <w:r>
            <w:rPr>
              <w:rFonts w:hint="eastAsia"/>
              <w:szCs w:val="21"/>
            </w:rPr>
            <w:t>⑤本公司对金融工具信用管理方法是否发生变化等。</w:t>
          </w:r>
        </w:p>
        <w:p w14:paraId="6D6BA477">
          <w:pPr>
            <w:ind w:firstLine="420" w:firstLineChars="200"/>
            <w:rPr>
              <w:rFonts w:hint="eastAsia"/>
              <w:szCs w:val="21"/>
            </w:rPr>
          </w:pPr>
          <w:r>
            <w:rPr>
              <w:rFonts w:hint="eastAsia"/>
              <w:szCs w:val="21"/>
            </w:rPr>
            <w:t>于资产负债表日，若本公司判断金融工具只具有较低的信用风险，则本公司假定该金融工具的信用风险自初始确认后并未显著增加。如果金融工具的违约风险较低，借款人在短期内履行其合同现金流量义务的能力很强，并且即使较长时期内经济形势和经营环境存在不利变化，但未必一定降低借款人履行其合同现金流量义务的能力，则该金融工具被视为具有较低的信用风险。</w:t>
          </w:r>
        </w:p>
        <w:p w14:paraId="559159B2">
          <w:pPr>
            <w:ind w:firstLine="420" w:firstLineChars="200"/>
            <w:rPr>
              <w:rFonts w:hint="eastAsia"/>
              <w:szCs w:val="21"/>
            </w:rPr>
          </w:pPr>
          <w:r>
            <w:rPr>
              <w:rFonts w:hint="eastAsia"/>
              <w:szCs w:val="21"/>
            </w:rPr>
            <w:t>2）已发生信用减值的金融资产</w:t>
          </w:r>
        </w:p>
        <w:p w14:paraId="442AF43B">
          <w:pPr>
            <w:ind w:firstLine="420" w:firstLineChars="200"/>
            <w:rPr>
              <w:rFonts w:hint="eastAsia"/>
              <w:szCs w:val="21"/>
            </w:rPr>
          </w:pPr>
          <w:r>
            <w:rPr>
              <w:rFonts w:hint="eastAsia"/>
              <w:szCs w:val="21"/>
            </w:rPr>
            <w:t>当对金融资产预期未来现金流量具有不利影响的一项或多项事件发生时，该金融资产成为已发生信用减值的金融资产。金融资产已发生信用减值的证据包括下列可观察信息：</w:t>
          </w:r>
        </w:p>
        <w:p w14:paraId="3EE84ADC">
          <w:pPr>
            <w:ind w:firstLine="420" w:firstLineChars="200"/>
            <w:rPr>
              <w:rFonts w:hint="eastAsia"/>
              <w:szCs w:val="21"/>
            </w:rPr>
          </w:pPr>
          <w:r>
            <w:rPr>
              <w:rFonts w:hint="eastAsia"/>
              <w:szCs w:val="21"/>
            </w:rPr>
            <w:t>①发行方或债务人发生重大财务困难；</w:t>
          </w:r>
        </w:p>
        <w:p w14:paraId="708CA213">
          <w:pPr>
            <w:ind w:firstLine="420" w:firstLineChars="200"/>
            <w:rPr>
              <w:rFonts w:hint="eastAsia"/>
              <w:szCs w:val="21"/>
            </w:rPr>
          </w:pPr>
          <w:r>
            <w:rPr>
              <w:rFonts w:hint="eastAsia"/>
              <w:szCs w:val="21"/>
            </w:rPr>
            <w:t>②债务人违反合同，如偿付利息或本金违约或逾期等；</w:t>
          </w:r>
        </w:p>
        <w:p w14:paraId="5E32B008">
          <w:pPr>
            <w:ind w:firstLine="420" w:firstLineChars="200"/>
            <w:rPr>
              <w:rFonts w:hint="eastAsia"/>
              <w:szCs w:val="21"/>
            </w:rPr>
          </w:pPr>
          <w:r>
            <w:rPr>
              <w:rFonts w:hint="eastAsia"/>
              <w:szCs w:val="21"/>
            </w:rPr>
            <w:t>③债权人出于与债务人财务困难有关的经济或合同考虑，给予债务人在任何其他情况下都不会做出的让步；</w:t>
          </w:r>
        </w:p>
        <w:p w14:paraId="599809EE">
          <w:pPr>
            <w:ind w:firstLine="420" w:firstLineChars="200"/>
            <w:rPr>
              <w:rFonts w:hint="eastAsia"/>
              <w:szCs w:val="21"/>
            </w:rPr>
          </w:pPr>
          <w:r>
            <w:rPr>
              <w:rFonts w:hint="eastAsia"/>
              <w:szCs w:val="21"/>
            </w:rPr>
            <w:t>④债务人很可能破产或进行其他财务重组；</w:t>
          </w:r>
        </w:p>
        <w:p w14:paraId="38C1E64C">
          <w:pPr>
            <w:ind w:firstLine="420" w:firstLineChars="200"/>
            <w:rPr>
              <w:rFonts w:hint="eastAsia"/>
              <w:szCs w:val="21"/>
            </w:rPr>
          </w:pPr>
          <w:r>
            <w:rPr>
              <w:rFonts w:hint="eastAsia"/>
              <w:szCs w:val="21"/>
            </w:rPr>
            <w:t>⑤发行方或债务人财务困难导致该金融资产的活跃市场消失；</w:t>
          </w:r>
        </w:p>
        <w:p w14:paraId="01ACCE99">
          <w:pPr>
            <w:ind w:firstLine="420" w:firstLineChars="200"/>
            <w:rPr>
              <w:rFonts w:hint="eastAsia"/>
              <w:szCs w:val="21"/>
            </w:rPr>
          </w:pPr>
          <w:r>
            <w:rPr>
              <w:rFonts w:hint="eastAsia"/>
              <w:szCs w:val="21"/>
            </w:rPr>
            <w:t>⑥以大幅折扣购买或源生一项金融资产，该折扣反映了发生信用损失的事实。</w:t>
          </w:r>
        </w:p>
        <w:p w14:paraId="5D7E8704">
          <w:pPr>
            <w:ind w:firstLine="420" w:firstLineChars="200"/>
            <w:rPr>
              <w:rFonts w:hint="eastAsia"/>
              <w:szCs w:val="21"/>
            </w:rPr>
          </w:pPr>
          <w:r>
            <w:rPr>
              <w:rFonts w:hint="eastAsia"/>
              <w:szCs w:val="21"/>
            </w:rPr>
            <w:t>金融资产发生信用减值，有可能是多个事件的共同作用所致，未必是可单独识别的事件所致。</w:t>
          </w:r>
        </w:p>
        <w:p w14:paraId="5A0E9093">
          <w:pPr>
            <w:ind w:firstLine="420" w:firstLineChars="200"/>
            <w:rPr>
              <w:rFonts w:hint="eastAsia"/>
              <w:szCs w:val="21"/>
            </w:rPr>
          </w:pPr>
          <w:r>
            <w:rPr>
              <w:rFonts w:hint="eastAsia"/>
              <w:szCs w:val="21"/>
            </w:rPr>
            <w:t>3）预期信用损失的确定</w:t>
          </w:r>
        </w:p>
        <w:p w14:paraId="7BCD4C5D">
          <w:pPr>
            <w:ind w:firstLine="420" w:firstLineChars="200"/>
            <w:rPr>
              <w:rFonts w:hint="eastAsia"/>
              <w:szCs w:val="21"/>
            </w:rPr>
          </w:pPr>
          <w:r>
            <w:rPr>
              <w:rFonts w:hint="eastAsia"/>
              <w:szCs w:val="21"/>
            </w:rPr>
            <w:t>本公司基于单项和组合评估金融工具的预期信用损失，在评估预期信用损失时，考虑有关过去事项、当前状况以及未来经济状况预测的合理且有依据的信息。</w:t>
          </w:r>
        </w:p>
        <w:p w14:paraId="0DF77A62">
          <w:pPr>
            <w:ind w:firstLine="420" w:firstLineChars="200"/>
            <w:rPr>
              <w:rFonts w:hint="eastAsia"/>
              <w:szCs w:val="21"/>
            </w:rPr>
          </w:pPr>
          <w:r>
            <w:rPr>
              <w:rFonts w:hint="eastAsia"/>
              <w:szCs w:val="21"/>
            </w:rPr>
            <w:t>本公司以共同信用风险特征为依据，将金融工具分为不同组合。本公司采用的共同信用风险特征包括：金融工具类型、信用风险评级、账龄组合、逾期账龄组合、合同结算周期、债务人所处行业等。相关金融工具的单项评估标准和组合信用风险特征详见相关金融工具的会计政策。</w:t>
          </w:r>
        </w:p>
        <w:p w14:paraId="6A1EB8F9">
          <w:pPr>
            <w:ind w:firstLine="420" w:firstLineChars="200"/>
            <w:rPr>
              <w:rFonts w:hint="eastAsia"/>
              <w:szCs w:val="21"/>
            </w:rPr>
          </w:pPr>
          <w:r>
            <w:rPr>
              <w:rFonts w:hint="eastAsia"/>
              <w:szCs w:val="21"/>
            </w:rPr>
            <w:t>本公司按照下列方法确定相关金融工具的预期信用损失：</w:t>
          </w:r>
        </w:p>
        <w:p w14:paraId="37AB0B37">
          <w:pPr>
            <w:ind w:firstLine="420" w:firstLineChars="200"/>
            <w:rPr>
              <w:rFonts w:hint="eastAsia"/>
              <w:szCs w:val="21"/>
            </w:rPr>
          </w:pPr>
          <w:r>
            <w:rPr>
              <w:rFonts w:hint="eastAsia"/>
              <w:szCs w:val="21"/>
            </w:rPr>
            <w:t>①对于金融资产，信用损失为本公司应收取的合同现金流量与预期收取的现金流量之间差额的现值。</w:t>
          </w:r>
        </w:p>
        <w:p w14:paraId="37D9FFE4">
          <w:pPr>
            <w:ind w:firstLine="420" w:firstLineChars="200"/>
            <w:rPr>
              <w:rFonts w:hint="eastAsia"/>
              <w:szCs w:val="21"/>
            </w:rPr>
          </w:pPr>
          <w:r>
            <w:rPr>
              <w:rFonts w:hint="eastAsia"/>
              <w:szCs w:val="21"/>
            </w:rPr>
            <w:t>②对于租赁应收款项，信用损失为本公司应收取的合同现金流量与预期收取的现金流量之间差额的现值。</w:t>
          </w:r>
        </w:p>
        <w:p w14:paraId="413AAF89">
          <w:pPr>
            <w:ind w:firstLine="420" w:firstLineChars="200"/>
            <w:rPr>
              <w:rFonts w:hint="eastAsia"/>
              <w:szCs w:val="21"/>
            </w:rPr>
          </w:pPr>
          <w:r>
            <w:rPr>
              <w:rFonts w:hint="eastAsia"/>
              <w:szCs w:val="21"/>
            </w:rPr>
            <w:t>③对于财务担保合同，信用损失为本公司就该合同持有人发生的信用损失向其做出赔付的预计付款额，减去本公司预期向该合同持有人、债务人或任何其他方收取的金额之间差额的现值。</w:t>
          </w:r>
        </w:p>
        <w:p w14:paraId="036CEF38">
          <w:pPr>
            <w:ind w:firstLine="420" w:firstLineChars="200"/>
            <w:rPr>
              <w:rFonts w:hint="eastAsia"/>
              <w:szCs w:val="21"/>
            </w:rPr>
          </w:pPr>
          <w:r>
            <w:rPr>
              <w:rFonts w:hint="eastAsia"/>
              <w:szCs w:val="21"/>
            </w:rPr>
            <w:t>④对于资产负债表日已发生信用减值但并非购买或源生已发生信用减值的金融资产，信用损失为该金融资产账面余额与按原实际利率折现的估计未来现金流量的现值之间的差额。</w:t>
          </w:r>
        </w:p>
        <w:p w14:paraId="0521DFA9">
          <w:pPr>
            <w:ind w:firstLine="420" w:firstLineChars="200"/>
            <w:rPr>
              <w:rFonts w:hint="eastAsia"/>
              <w:szCs w:val="21"/>
            </w:rPr>
          </w:pPr>
          <w:r>
            <w:rPr>
              <w:rFonts w:hint="eastAsia"/>
              <w:szCs w:val="21"/>
            </w:rPr>
            <w:t>本公司计量金融工具预期信用损失的方法反映的因素包括：通过评价一系列可能的结果而确定的无偏概率加权平均金额；货币时间价值；在资产负债表日无须付出不必要的额外成本或努力即可获得的有关过去事项、当前状况以及未来经济状况预测的合理且有依据的信息。</w:t>
          </w:r>
        </w:p>
        <w:p w14:paraId="7F8DFF3A">
          <w:pPr>
            <w:ind w:firstLine="420" w:firstLineChars="200"/>
            <w:rPr>
              <w:rFonts w:hint="eastAsia"/>
              <w:szCs w:val="21"/>
            </w:rPr>
          </w:pPr>
          <w:r>
            <w:rPr>
              <w:rFonts w:hint="eastAsia"/>
              <w:szCs w:val="21"/>
            </w:rPr>
            <w:t>4）减记金融资产</w:t>
          </w:r>
        </w:p>
        <w:p w14:paraId="0585540D">
          <w:pPr>
            <w:ind w:firstLine="420" w:firstLineChars="200"/>
            <w:rPr>
              <w:rFonts w:hint="eastAsia"/>
              <w:szCs w:val="21"/>
            </w:rPr>
          </w:pPr>
          <w:r>
            <w:rPr>
              <w:rFonts w:hint="eastAsia"/>
              <w:szCs w:val="21"/>
            </w:rPr>
            <w:t>当本公司不再合理预期金融资产合同现金流量能够全部或部分收回的，直接减记该金融资产的账面余额。这种减记构成相关金融资产的终止确认。</w:t>
          </w:r>
        </w:p>
        <w:p w14:paraId="66F6337D">
          <w:pPr>
            <w:ind w:firstLine="420" w:firstLineChars="200"/>
            <w:rPr>
              <w:rFonts w:hint="eastAsia"/>
              <w:szCs w:val="21"/>
            </w:rPr>
          </w:pPr>
          <w:r>
            <w:rPr>
              <w:rFonts w:hint="eastAsia"/>
              <w:szCs w:val="21"/>
            </w:rPr>
            <w:t>（7）金融资产及金融负债的抵销</w:t>
          </w:r>
        </w:p>
        <w:p w14:paraId="0E22282B">
          <w:pPr>
            <w:ind w:firstLine="420" w:firstLineChars="200"/>
            <w:rPr>
              <w:rFonts w:hint="eastAsia"/>
              <w:szCs w:val="21"/>
            </w:rPr>
          </w:pPr>
          <w:r>
            <w:rPr>
              <w:rFonts w:hint="eastAsia"/>
              <w:szCs w:val="21"/>
            </w:rPr>
            <w:t>金融资产和金融负债在资产负债表内分别列示，没有相互抵销。但是，同时满足下列条件的，以相互抵销后的净额在资产负债表内列示：</w:t>
          </w:r>
        </w:p>
        <w:p w14:paraId="4F6BA05C">
          <w:pPr>
            <w:ind w:firstLine="420" w:firstLineChars="200"/>
            <w:rPr>
              <w:rFonts w:hint="eastAsia"/>
              <w:szCs w:val="21"/>
            </w:rPr>
          </w:pPr>
          <w:r>
            <w:rPr>
              <w:rFonts w:hint="eastAsia"/>
              <w:szCs w:val="21"/>
            </w:rPr>
            <w:t>1）本公司具有抵销已确认金额的法定权利，且该种法定权利是当前可执行的；</w:t>
          </w:r>
        </w:p>
        <w:p w14:paraId="255877FC">
          <w:pPr>
            <w:ind w:firstLine="420" w:firstLineChars="200"/>
            <w:rPr>
              <w:rFonts w:hint="eastAsia"/>
              <w:szCs w:val="21"/>
            </w:rPr>
          </w:pPr>
          <w:r>
            <w:rPr>
              <w:rFonts w:hint="eastAsia"/>
              <w:szCs w:val="21"/>
            </w:rPr>
            <w:t>2）本公司计划以净额结算，或同时变现该金融资产和清偿该金融负债。</w:t>
          </w:r>
        </w:p>
      </w:sdtContent>
    </w:sdt>
    <w:p w14:paraId="4DFFC3A1">
      <w:pPr>
        <w:rPr>
          <w:rFonts w:hint="eastAsia"/>
          <w:szCs w:val="21"/>
        </w:rPr>
      </w:pPr>
    </w:p>
    <w:p w14:paraId="6800E375">
      <w:pPr>
        <w:pStyle w:val="70"/>
        <w:numPr>
          <w:ilvl w:val="0"/>
          <w:numId w:val="101"/>
        </w:numPr>
      </w:pPr>
      <w:bookmarkStart w:id="217" w:name="_Hlk533667757"/>
      <w:r>
        <w:rPr>
          <w:rFonts w:hint="eastAsia" w:ascii="宋体" w:hAnsi="宋体" w:cs="宋体"/>
          <w:kern w:val="0"/>
          <w:szCs w:val="21"/>
        </w:rPr>
        <w:t>应收票据</w:t>
      </w:r>
    </w:p>
    <w:sdt>
      <w:sdtPr>
        <w:alias w:val="是否适用：应收票据_重要会计政策和估计[双击切换]"/>
        <w:tag w:val="_GBC_71282cbeee2f4e2784a0766b8ae627ef"/>
        <w:id w:val="-1481774202"/>
        <w:placeholder>
          <w:docPart w:val="GBC22222222222222222222222222222"/>
        </w:placeholder>
      </w:sdtPr>
      <w:sdtContent>
        <w:p w14:paraId="0522F5E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17"/>
    <w:p w14:paraId="2940055F">
      <w:pPr>
        <w:rPr>
          <w:rFonts w:hint="eastAsia" w:cs="Times New Roman"/>
          <w:b/>
          <w:kern w:val="2"/>
          <w:szCs w:val="28"/>
        </w:rPr>
      </w:pPr>
      <w:r>
        <w:rPr>
          <w:rFonts w:cs="Times New Roman"/>
          <w:b/>
          <w:kern w:val="2"/>
          <w:szCs w:val="28"/>
        </w:rPr>
        <w:t>按照信用风险特征组合计提坏账准备的组合类别及确定依据</w:t>
      </w:r>
    </w:p>
    <w:sdt>
      <w:sdtPr>
        <w:alias w:val="是否适用：应收票据按照信用风险特征组合计提坏账准备的组合类别及确定依据[双击切换]"/>
        <w:tag w:val="_GBC_bdbc02d09982499a9db8e87f1e92519c"/>
        <w:id w:val="-590479910"/>
        <w:placeholder>
          <w:docPart w:val="GBC22222222222222222222222222222"/>
        </w:placeholder>
      </w:sdtPr>
      <w:sdtContent>
        <w:p w14:paraId="181AC350">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应收票据按照信用风险特征组合计提坏账准备的组合类别及确定依据"/>
        <w:tag w:val="_GBC_753a33a28cdc45e4b5d0420bf9282a36"/>
        <w:id w:val="-152141348"/>
        <w:placeholder>
          <w:docPart w:val="GBC22222222222222222222222222222"/>
        </w:placeholder>
      </w:sdtPr>
      <w:sdtEndPr>
        <w:rPr>
          <w:szCs w:val="21"/>
        </w:rPr>
      </w:sdtEndPr>
      <w:sdtContent>
        <w:p w14:paraId="55C39792">
          <w:pPr>
            <w:ind w:firstLine="420" w:firstLineChars="200"/>
            <w:rPr>
              <w:rFonts w:hint="eastAsia"/>
              <w:szCs w:val="21"/>
            </w:rPr>
          </w:pPr>
          <w:r>
            <w:rPr>
              <w:rFonts w:hint="eastAsia"/>
              <w:szCs w:val="21"/>
            </w:rPr>
            <w:t>本公司对应收票据的预期信用损失的确定方法及会计处理方法详见本附注五、11.（6）金融工具减值。</w:t>
          </w:r>
        </w:p>
      </w:sdtContent>
    </w:sdt>
    <w:p w14:paraId="4B9AAF21">
      <w:pPr>
        <w:rPr>
          <w:rFonts w:hint="eastAsia" w:cs="Times New Roman"/>
          <w:b/>
          <w:bCs/>
          <w:kern w:val="2"/>
          <w:szCs w:val="28"/>
        </w:rPr>
      </w:pPr>
    </w:p>
    <w:p w14:paraId="083D5ED5">
      <w:pPr>
        <w:rPr>
          <w:rFonts w:hint="eastAsia" w:cs="Times New Roman"/>
          <w:b/>
          <w:kern w:val="2"/>
          <w:szCs w:val="28"/>
        </w:rPr>
      </w:pPr>
      <w:r>
        <w:rPr>
          <w:rFonts w:cs="Times New Roman"/>
          <w:b/>
          <w:kern w:val="2"/>
          <w:szCs w:val="28"/>
        </w:rPr>
        <w:t>基于账龄确认信用风险特征组合的账龄计算方法</w:t>
      </w:r>
    </w:p>
    <w:sdt>
      <w:sdtPr>
        <w:rPr>
          <w:szCs w:val="21"/>
        </w:rPr>
        <w:alias w:val="是否适用：应收票据基于账龄确认信用风险特征组合的账龄计算方法[双击切换]"/>
        <w:tag w:val="_GBC_4d2b71d4b5534e67ac5cf99b5efc3674"/>
        <w:id w:val="813072116"/>
        <w:placeholder>
          <w:docPart w:val="GBC22222222222222222222222222222"/>
        </w:placeholder>
      </w:sdtPr>
      <w:sdtEndPr>
        <w:rPr>
          <w:szCs w:val="21"/>
        </w:rPr>
      </w:sdtEndPr>
      <w:sdtContent>
        <w:p w14:paraId="0132855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A31B5BF">
      <w:pPr>
        <w:rPr>
          <w:rFonts w:hint="eastAsia" w:cs="Times New Roman"/>
          <w:b/>
          <w:bCs/>
          <w:kern w:val="2"/>
          <w:szCs w:val="28"/>
        </w:rPr>
      </w:pPr>
    </w:p>
    <w:p w14:paraId="301605C7">
      <w:pPr>
        <w:rPr>
          <w:rFonts w:hint="eastAsia" w:cs="Times New Roman"/>
          <w:b/>
          <w:kern w:val="2"/>
          <w:szCs w:val="28"/>
        </w:rPr>
      </w:pPr>
      <w:r>
        <w:rPr>
          <w:rFonts w:cs="Times New Roman"/>
          <w:b/>
          <w:kern w:val="2"/>
          <w:szCs w:val="28"/>
        </w:rPr>
        <w:t>按照单项计提坏账准备的单项计提判断标准</w:t>
      </w:r>
    </w:p>
    <w:sdt>
      <w:sdtPr>
        <w:rPr>
          <w:szCs w:val="21"/>
        </w:rPr>
        <w:alias w:val="是否适用：应收票据按照单项计提坏账准备的单项计提判断标准[双击切换]"/>
        <w:tag w:val="_GBC_acad24dddcfb47cb8bf9995785bdb5ca"/>
        <w:id w:val="-1034267216"/>
        <w:placeholder>
          <w:docPart w:val="GBC22222222222222222222222222222"/>
        </w:placeholder>
      </w:sdtPr>
      <w:sdtEndPr>
        <w:rPr>
          <w:szCs w:val="21"/>
        </w:rPr>
      </w:sdtEndPr>
      <w:sdtContent>
        <w:p w14:paraId="0CBAC71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474DF0C">
      <w:pPr>
        <w:rPr>
          <w:rFonts w:hint="eastAsia"/>
          <w:szCs w:val="21"/>
        </w:rPr>
      </w:pPr>
    </w:p>
    <w:p w14:paraId="429DCED0">
      <w:pPr>
        <w:pStyle w:val="70"/>
        <w:numPr>
          <w:ilvl w:val="0"/>
          <w:numId w:val="101"/>
        </w:numPr>
      </w:pPr>
      <w:bookmarkStart w:id="218" w:name="_Hlk533667783"/>
      <w:bookmarkStart w:id="219" w:name="_Hlk152690378"/>
      <w:r>
        <w:rPr>
          <w:rFonts w:hint="eastAsia" w:ascii="宋体" w:hAnsi="宋体" w:cs="宋体"/>
          <w:kern w:val="0"/>
          <w:szCs w:val="21"/>
        </w:rPr>
        <w:t>应收账款</w:t>
      </w:r>
    </w:p>
    <w:sdt>
      <w:sdtPr>
        <w:rPr>
          <w:rFonts w:hint="eastAsia"/>
        </w:rPr>
        <w:alias w:val="是否适用：应收账款_重要会计政策和估计[双击切换]"/>
        <w:tag w:val="_GBC_d0c8b3edf5e1401fa6e5edeeb4e121b6"/>
        <w:id w:val="-1444304160"/>
        <w:placeholder>
          <w:docPart w:val="GBC22222222222222222222222222222"/>
        </w:placeholder>
      </w:sdtPr>
      <w:sdtEndPr>
        <w:rPr>
          <w:rFonts w:hint="eastAsia"/>
        </w:rPr>
      </w:sdtEndPr>
      <w:sdtContent>
        <w:p w14:paraId="3B13DA5A">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bookmarkEnd w:id="218"/>
    <w:bookmarkEnd w:id="219"/>
    <w:p w14:paraId="03AC91E8">
      <w:pPr>
        <w:rPr>
          <w:rFonts w:hint="eastAsia" w:cs="Times New Roman"/>
          <w:b/>
          <w:kern w:val="2"/>
          <w:szCs w:val="28"/>
        </w:rPr>
      </w:pPr>
      <w:r>
        <w:rPr>
          <w:rFonts w:cs="Times New Roman"/>
          <w:b/>
          <w:kern w:val="2"/>
          <w:szCs w:val="28"/>
        </w:rPr>
        <w:t>按照信用风险特征组合计提坏账准备的组合类别及确定依据</w:t>
      </w:r>
    </w:p>
    <w:sdt>
      <w:sdtPr>
        <w:rPr>
          <w:szCs w:val="21"/>
        </w:rPr>
        <w:alias w:val="是否适用：应收账款按照信用风险特征组合计提坏账准备的组合类别及确定依据[双击切换]"/>
        <w:tag w:val="_GBC_bbe660c8a4484f56bb4d8ca560cf5f0d"/>
        <w:id w:val="-1397583655"/>
        <w:placeholder>
          <w:docPart w:val="GBC22222222222222222222222222222"/>
        </w:placeholder>
      </w:sdtPr>
      <w:sdtEndPr>
        <w:rPr>
          <w:szCs w:val="21"/>
        </w:rPr>
      </w:sdtEndPr>
      <w:sdtContent>
        <w:p w14:paraId="0E661147">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按照信用风险特征组合计提坏账准备的组合类别及确定依据"/>
        <w:tag w:val="_GBC_dc9b9edff6424bb9a8c3e45ddef1456d"/>
        <w:id w:val="761804215"/>
        <w:placeholder>
          <w:docPart w:val="GBC22222222222222222222222222222"/>
        </w:placeholder>
      </w:sdtPr>
      <w:sdtEndPr>
        <w:rPr>
          <w:szCs w:val="21"/>
        </w:rPr>
      </w:sdtEndPr>
      <w:sdtContent>
        <w:p w14:paraId="7CB199C5">
          <w:pPr>
            <w:ind w:firstLine="420" w:firstLineChars="200"/>
            <w:rPr>
              <w:rFonts w:hint="eastAsia"/>
              <w:szCs w:val="21"/>
            </w:rPr>
          </w:pPr>
          <w:r>
            <w:rPr>
              <w:rFonts w:hint="eastAsia"/>
              <w:szCs w:val="21"/>
            </w:rPr>
            <w:t>当在单项工具层面无法以合理成本评估预期信用损失的充分证据时，本公司参考历史信用损失经验，结合当前状况以及对未来经济状况的判断，依据信用风险特征将应收账款划分为若干组合，在组合基础上计算预期信用损失。确定组合的依据如下：</w:t>
          </w:r>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410"/>
            <w:gridCol w:w="4008"/>
          </w:tblGrid>
          <w:tr w14:paraId="5768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4C19F8D5">
                <w:pPr>
                  <w:widowControl w:val="0"/>
                  <w:jc w:val="both"/>
                  <w:rPr>
                    <w:rFonts w:hint="eastAsia"/>
                    <w:szCs w:val="21"/>
                  </w:rPr>
                </w:pPr>
                <w:r>
                  <w:rPr>
                    <w:rFonts w:ascii="Times New Roman" w:hAnsi="Times New Roman"/>
                  </w:rPr>
                  <w:t>组合名称</w:t>
                </w:r>
              </w:p>
            </w:tc>
            <w:tc>
              <w:tcPr>
                <w:tcW w:w="2410" w:type="dxa"/>
              </w:tcPr>
              <w:p w14:paraId="1B6BEDC8">
                <w:pPr>
                  <w:widowControl w:val="0"/>
                  <w:jc w:val="both"/>
                  <w:rPr>
                    <w:rFonts w:hint="eastAsia"/>
                    <w:szCs w:val="21"/>
                  </w:rPr>
                </w:pPr>
                <w:r>
                  <w:rPr>
                    <w:rFonts w:ascii="Times New Roman" w:hAnsi="Times New Roman"/>
                  </w:rPr>
                  <w:t>确定组合的依据</w:t>
                </w:r>
              </w:p>
            </w:tc>
            <w:tc>
              <w:tcPr>
                <w:tcW w:w="4008" w:type="dxa"/>
              </w:tcPr>
              <w:p w14:paraId="168DC270">
                <w:pPr>
                  <w:widowControl w:val="0"/>
                  <w:jc w:val="both"/>
                  <w:rPr>
                    <w:rFonts w:hint="eastAsia"/>
                    <w:szCs w:val="21"/>
                  </w:rPr>
                </w:pPr>
                <w:r>
                  <w:rPr>
                    <w:rFonts w:ascii="Times New Roman" w:hAnsi="Times New Roman"/>
                  </w:rPr>
                  <w:t>计提方法</w:t>
                </w:r>
              </w:p>
            </w:tc>
          </w:tr>
          <w:tr w14:paraId="2B00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40BF59A">
                <w:pPr>
                  <w:widowControl w:val="0"/>
                  <w:jc w:val="both"/>
                  <w:rPr>
                    <w:rFonts w:hint="eastAsia"/>
                    <w:szCs w:val="21"/>
                  </w:rPr>
                </w:pPr>
                <w:r>
                  <w:rPr>
                    <w:rFonts w:ascii="Times New Roman" w:hAnsi="Times New Roman"/>
                  </w:rPr>
                  <w:t>组合一军方、警方、政府职能部门等高信用水平单位应收款项组合</w:t>
                </w:r>
              </w:p>
            </w:tc>
            <w:tc>
              <w:tcPr>
                <w:tcW w:w="2410" w:type="dxa"/>
                <w:vAlign w:val="center"/>
              </w:tcPr>
              <w:p w14:paraId="69D9F72D">
                <w:pPr>
                  <w:widowControl w:val="0"/>
                  <w:jc w:val="both"/>
                  <w:rPr>
                    <w:rFonts w:hint="eastAsia"/>
                    <w:szCs w:val="21"/>
                  </w:rPr>
                </w:pPr>
                <w:r>
                  <w:rPr>
                    <w:rFonts w:ascii="Times New Roman" w:hAnsi="Times New Roman"/>
                  </w:rPr>
                  <w:t>应收军方、警方、政府职能部门等高信用水平单位款项</w:t>
                </w:r>
              </w:p>
            </w:tc>
            <w:tc>
              <w:tcPr>
                <w:tcW w:w="4008" w:type="dxa"/>
              </w:tcPr>
              <w:p w14:paraId="69EC5834">
                <w:pPr>
                  <w:widowControl w:val="0"/>
                  <w:jc w:val="both"/>
                  <w:rPr>
                    <w:rFonts w:hint="eastAsia"/>
                    <w:szCs w:val="21"/>
                  </w:rPr>
                </w:pPr>
                <w:r>
                  <w:rPr>
                    <w:rFonts w:ascii="Times New Roman" w:hAnsi="Times New Roman"/>
                  </w:rPr>
                  <w:t>参考历史信用损失经验，结合当前状况以及对未来经济状况的预测，通过违约风险敞口和未来</w:t>
                </w:r>
                <w:r>
                  <w:rPr>
                    <w:rFonts w:ascii="Times New Roman" w:hAnsi="Times New Roman" w:cs="Times New Roman"/>
                  </w:rPr>
                  <w:t>12</w:t>
                </w:r>
                <w:r>
                  <w:t>个月内或整个</w:t>
                </w:r>
                <w:r>
                  <w:rPr>
                    <w:rFonts w:hint="eastAsia"/>
                  </w:rPr>
                  <w:t>存</w:t>
                </w:r>
                <w:r>
                  <w:t>续期逾期信用损失率，计算逾期信用损失</w:t>
                </w:r>
              </w:p>
            </w:tc>
          </w:tr>
          <w:tr w14:paraId="4C1B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2258A81">
                <w:pPr>
                  <w:widowControl w:val="0"/>
                  <w:jc w:val="both"/>
                  <w:rPr>
                    <w:rFonts w:hint="eastAsia"/>
                    <w:szCs w:val="21"/>
                  </w:rPr>
                </w:pPr>
                <w:r>
                  <w:rPr>
                    <w:rFonts w:ascii="Times New Roman" w:hAnsi="Times New Roman"/>
                  </w:rPr>
                  <w:t>组合二关联方组合</w:t>
                </w:r>
              </w:p>
            </w:tc>
            <w:tc>
              <w:tcPr>
                <w:tcW w:w="2410" w:type="dxa"/>
                <w:vAlign w:val="center"/>
              </w:tcPr>
              <w:p w14:paraId="253F5DF7">
                <w:pPr>
                  <w:widowControl w:val="0"/>
                  <w:jc w:val="both"/>
                  <w:rPr>
                    <w:rFonts w:hint="eastAsia"/>
                    <w:szCs w:val="21"/>
                  </w:rPr>
                </w:pPr>
                <w:r>
                  <w:rPr>
                    <w:rFonts w:ascii="Times New Roman" w:hAnsi="Times New Roman"/>
                  </w:rPr>
                  <w:t>关联关系</w:t>
                </w:r>
              </w:p>
            </w:tc>
            <w:tc>
              <w:tcPr>
                <w:tcW w:w="4008" w:type="dxa"/>
              </w:tcPr>
              <w:p w14:paraId="0B04A42D">
                <w:pPr>
                  <w:widowControl w:val="0"/>
                  <w:jc w:val="both"/>
                  <w:rPr>
                    <w:rFonts w:hint="eastAsia"/>
                    <w:szCs w:val="21"/>
                  </w:rPr>
                </w:pPr>
                <w:r>
                  <w:rPr>
                    <w:rFonts w:ascii="Times New Roman" w:hAnsi="Times New Roman"/>
                  </w:rPr>
                  <w:t>参考历史信用损失经验，结合当前状况以及对未来经济状况的预测，通过违约风险敞口和未来</w:t>
                </w:r>
                <w:r>
                  <w:rPr>
                    <w:rFonts w:ascii="Times New Roman" w:hAnsi="Times New Roman" w:cs="Times New Roman"/>
                  </w:rPr>
                  <w:t>12</w:t>
                </w:r>
                <w:r>
                  <w:t>个月内或整个</w:t>
                </w:r>
                <w:r>
                  <w:rPr>
                    <w:rFonts w:hint="eastAsia"/>
                  </w:rPr>
                  <w:t>存</w:t>
                </w:r>
                <w:r>
                  <w:t>续期逾期信用损失率，计算逾期信用损失</w:t>
                </w:r>
              </w:p>
            </w:tc>
          </w:tr>
          <w:tr w14:paraId="3771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395E301">
                <w:pPr>
                  <w:widowControl w:val="0"/>
                  <w:jc w:val="both"/>
                  <w:rPr>
                    <w:rFonts w:hint="eastAsia"/>
                    <w:szCs w:val="21"/>
                  </w:rPr>
                </w:pPr>
                <w:r>
                  <w:rPr>
                    <w:rFonts w:ascii="Times New Roman" w:hAnsi="Times New Roman"/>
                  </w:rPr>
                  <w:t>组合三账龄组合</w:t>
                </w:r>
              </w:p>
            </w:tc>
            <w:tc>
              <w:tcPr>
                <w:tcW w:w="2410" w:type="dxa"/>
                <w:vAlign w:val="center"/>
              </w:tcPr>
              <w:p w14:paraId="683285F6">
                <w:pPr>
                  <w:widowControl w:val="0"/>
                  <w:jc w:val="both"/>
                  <w:rPr>
                    <w:rFonts w:hint="eastAsia"/>
                    <w:szCs w:val="21"/>
                  </w:rPr>
                </w:pPr>
                <w:r>
                  <w:rPr>
                    <w:rFonts w:ascii="Times New Roman" w:hAnsi="Times New Roman"/>
                  </w:rPr>
                  <w:t>账龄</w:t>
                </w:r>
              </w:p>
            </w:tc>
            <w:tc>
              <w:tcPr>
                <w:tcW w:w="4008" w:type="dxa"/>
              </w:tcPr>
              <w:p w14:paraId="754A1E15">
                <w:pPr>
                  <w:widowControl w:val="0"/>
                  <w:jc w:val="both"/>
                  <w:rPr>
                    <w:rFonts w:hint="eastAsia"/>
                    <w:szCs w:val="21"/>
                  </w:rPr>
                </w:pPr>
                <w:r>
                  <w:rPr>
                    <w:rFonts w:ascii="Times New Roman" w:hAnsi="Times New Roman"/>
                  </w:rPr>
                  <w:t>按账龄与未来</w:t>
                </w:r>
                <w:r>
                  <w:rPr>
                    <w:rFonts w:ascii="Times New Roman" w:hAnsi="Times New Roman" w:cs="Times New Roman"/>
                  </w:rPr>
                  <w:t>12</w:t>
                </w:r>
                <w:r>
                  <w:t>个月内或整个存续期预期信用损失率对照表计提</w:t>
                </w:r>
              </w:p>
            </w:tc>
          </w:tr>
        </w:tbl>
        <w:p w14:paraId="0451F6B6">
          <w:pPr>
            <w:rPr>
              <w:rFonts w:hint="eastAsia"/>
              <w:szCs w:val="21"/>
            </w:rPr>
          </w:pPr>
        </w:p>
      </w:sdtContent>
    </w:sdt>
    <w:p w14:paraId="4465179F">
      <w:pPr>
        <w:rPr>
          <w:rFonts w:hint="eastAsia" w:cs="Times New Roman"/>
          <w:b/>
          <w:bCs/>
          <w:kern w:val="2"/>
          <w:szCs w:val="28"/>
        </w:rPr>
      </w:pPr>
    </w:p>
    <w:p w14:paraId="75480EBE">
      <w:pPr>
        <w:rPr>
          <w:rFonts w:hint="eastAsia" w:cs="Times New Roman"/>
          <w:b/>
          <w:kern w:val="2"/>
          <w:szCs w:val="28"/>
        </w:rPr>
      </w:pPr>
      <w:r>
        <w:rPr>
          <w:rFonts w:cs="Times New Roman"/>
          <w:b/>
          <w:kern w:val="2"/>
          <w:szCs w:val="28"/>
        </w:rPr>
        <w:t>基于账龄确认信用风险特征组合的账龄计算方法</w:t>
      </w:r>
    </w:p>
    <w:sdt>
      <w:sdtPr>
        <w:rPr>
          <w:szCs w:val="21"/>
        </w:rPr>
        <w:alias w:val="是否适用：应收账款基于账龄确认信用风险特征组合的账龄计算方法[双击切换]"/>
        <w:tag w:val="_GBC_a894190385984ab79eb47091bc48cf44"/>
        <w:id w:val="-116536398"/>
        <w:placeholder>
          <w:docPart w:val="GBC22222222222222222222222222222"/>
        </w:placeholder>
      </w:sdtPr>
      <w:sdtEndPr>
        <w:rPr>
          <w:szCs w:val="21"/>
        </w:rPr>
      </w:sdtEndPr>
      <w:sdtContent>
        <w:p w14:paraId="686A8303">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基于账龄确认信用风险特征组合的账龄计算方法"/>
        <w:tag w:val="_GBC_5898846437ea4f198500076e05edd8ab"/>
        <w:id w:val="-556773570"/>
        <w:placeholder>
          <w:docPart w:val="GBC22222222222222222222222222222"/>
        </w:placeholder>
      </w:sdtPr>
      <w:sdtEndPr>
        <w:rPr>
          <w:szCs w:val="21"/>
        </w:rPr>
      </w:sdtEndPr>
      <w:sdtContent>
        <w:p w14:paraId="5930EAD2">
          <w:pPr>
            <w:ind w:firstLine="420" w:firstLineChars="200"/>
            <w:rPr>
              <w:rFonts w:hint="eastAsia"/>
              <w:szCs w:val="21"/>
            </w:rPr>
          </w:pPr>
          <w:r>
            <w:rPr>
              <w:rFonts w:hint="eastAsia"/>
              <w:szCs w:val="21"/>
            </w:rPr>
            <w:t>账龄组合的账龄与预期信用损失率对照表如下：</w:t>
          </w:r>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42B7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411" w:type="dxa"/>
                <w:vAlign w:val="center"/>
              </w:tcPr>
              <w:p w14:paraId="6AD083EF">
                <w:pPr>
                  <w:widowControl w:val="0"/>
                  <w:jc w:val="center"/>
                  <w:rPr>
                    <w:rFonts w:hint="eastAsia"/>
                    <w:b/>
                    <w:bCs/>
                    <w:szCs w:val="21"/>
                  </w:rPr>
                </w:pPr>
                <w:r>
                  <w:rPr>
                    <w:rFonts w:ascii="Times New Roman" w:hAnsi="Times New Roman"/>
                    <w:b/>
                    <w:bCs/>
                  </w:rPr>
                  <w:t>账龄</w:t>
                </w:r>
              </w:p>
            </w:tc>
            <w:tc>
              <w:tcPr>
                <w:tcW w:w="4412" w:type="dxa"/>
                <w:vAlign w:val="center"/>
              </w:tcPr>
              <w:p w14:paraId="5C62507F">
                <w:pPr>
                  <w:widowControl w:val="0"/>
                  <w:jc w:val="center"/>
                  <w:rPr>
                    <w:rFonts w:hint="eastAsia"/>
                    <w:b/>
                    <w:bCs/>
                    <w:szCs w:val="21"/>
                  </w:rPr>
                </w:pPr>
                <w:r>
                  <w:rPr>
                    <w:rFonts w:ascii="Times New Roman" w:hAnsi="Times New Roman"/>
                    <w:b/>
                    <w:bCs/>
                  </w:rPr>
                  <w:t>应收账款预期信用损失率（</w:t>
                </w:r>
                <w:r>
                  <w:rPr>
                    <w:rFonts w:ascii="Times New Roman" w:hAnsi="Times New Roman" w:cs="Times New Roman"/>
                    <w:b/>
                    <w:bCs/>
                  </w:rPr>
                  <w:t>%</w:t>
                </w:r>
                <w:r>
                  <w:rPr>
                    <w:b/>
                    <w:bCs/>
                  </w:rPr>
                  <w:t>）</w:t>
                </w:r>
              </w:p>
            </w:tc>
          </w:tr>
          <w:tr w14:paraId="0E02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6CD5C1C6">
                <w:pPr>
                  <w:widowControl w:val="0"/>
                  <w:jc w:val="both"/>
                  <w:rPr>
                    <w:rFonts w:hint="eastAsia"/>
                    <w:szCs w:val="21"/>
                  </w:rPr>
                </w:pPr>
                <w:r>
                  <w:rPr>
                    <w:rFonts w:ascii="Times New Roman" w:hAnsi="Times New Roman"/>
                  </w:rPr>
                  <w:t>1</w:t>
                </w:r>
                <w:r>
                  <w:t>年以内</w:t>
                </w:r>
              </w:p>
            </w:tc>
            <w:tc>
              <w:tcPr>
                <w:tcW w:w="4412" w:type="dxa"/>
              </w:tcPr>
              <w:p w14:paraId="5F77B25A">
                <w:pPr>
                  <w:widowControl w:val="0"/>
                  <w:jc w:val="both"/>
                  <w:rPr>
                    <w:rFonts w:hint="eastAsia"/>
                    <w:szCs w:val="21"/>
                  </w:rPr>
                </w:pPr>
              </w:p>
            </w:tc>
          </w:tr>
          <w:tr w14:paraId="32EA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03C36394">
                <w:pPr>
                  <w:widowControl w:val="0"/>
                  <w:jc w:val="both"/>
                  <w:rPr>
                    <w:rFonts w:hint="eastAsia"/>
                    <w:szCs w:val="21"/>
                  </w:rPr>
                </w:pPr>
                <w:r>
                  <w:rPr>
                    <w:rFonts w:ascii="Times New Roman" w:hAnsi="Times New Roman"/>
                  </w:rPr>
                  <w:t>1</w:t>
                </w:r>
                <w:r>
                  <w:t>－</w:t>
                </w:r>
                <w:r>
                  <w:rPr>
                    <w:rFonts w:ascii="Times New Roman" w:hAnsi="Times New Roman" w:cs="Times New Roman"/>
                  </w:rPr>
                  <w:t>2</w:t>
                </w:r>
                <w:r>
                  <w:t>年</w:t>
                </w:r>
              </w:p>
            </w:tc>
            <w:tc>
              <w:tcPr>
                <w:tcW w:w="4412" w:type="dxa"/>
                <w:vAlign w:val="center"/>
              </w:tcPr>
              <w:p w14:paraId="79CFC5F5">
                <w:pPr>
                  <w:widowControl w:val="0"/>
                  <w:jc w:val="center"/>
                  <w:rPr>
                    <w:rFonts w:hint="eastAsia"/>
                    <w:szCs w:val="21"/>
                  </w:rPr>
                </w:pPr>
                <w:r>
                  <w:rPr>
                    <w:rFonts w:ascii="Arial Narrow" w:hAnsi="Arial Narrow"/>
                  </w:rPr>
                  <w:t>20.00</w:t>
                </w:r>
              </w:p>
            </w:tc>
          </w:tr>
          <w:tr w14:paraId="3504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DD02E61">
                <w:pPr>
                  <w:widowControl w:val="0"/>
                  <w:jc w:val="both"/>
                  <w:rPr>
                    <w:rFonts w:hint="eastAsia"/>
                    <w:szCs w:val="21"/>
                  </w:rPr>
                </w:pPr>
                <w:r>
                  <w:rPr>
                    <w:rFonts w:ascii="Times New Roman" w:hAnsi="Times New Roman"/>
                  </w:rPr>
                  <w:t>2</w:t>
                </w:r>
                <w:r>
                  <w:t>－</w:t>
                </w:r>
                <w:r>
                  <w:rPr>
                    <w:rFonts w:ascii="Times New Roman" w:hAnsi="Times New Roman" w:cs="Times New Roman"/>
                  </w:rPr>
                  <w:t>3</w:t>
                </w:r>
                <w:r>
                  <w:t>年</w:t>
                </w:r>
              </w:p>
            </w:tc>
            <w:tc>
              <w:tcPr>
                <w:tcW w:w="4412" w:type="dxa"/>
                <w:vAlign w:val="center"/>
              </w:tcPr>
              <w:p w14:paraId="16903315">
                <w:pPr>
                  <w:widowControl w:val="0"/>
                  <w:jc w:val="center"/>
                  <w:rPr>
                    <w:rFonts w:hint="eastAsia"/>
                    <w:szCs w:val="21"/>
                  </w:rPr>
                </w:pPr>
                <w:r>
                  <w:rPr>
                    <w:rFonts w:ascii="Arial Narrow" w:hAnsi="Arial Narrow"/>
                  </w:rPr>
                  <w:t>50.00</w:t>
                </w:r>
              </w:p>
            </w:tc>
          </w:tr>
          <w:tr w14:paraId="0E93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02D989A4">
                <w:pPr>
                  <w:widowControl w:val="0"/>
                  <w:jc w:val="both"/>
                  <w:rPr>
                    <w:rFonts w:hint="eastAsia"/>
                    <w:szCs w:val="21"/>
                  </w:rPr>
                </w:pPr>
                <w:r>
                  <w:rPr>
                    <w:rFonts w:ascii="Times New Roman" w:hAnsi="Times New Roman"/>
                  </w:rPr>
                  <w:t>3</w:t>
                </w:r>
                <w:r>
                  <w:t>－</w:t>
                </w:r>
                <w:r>
                  <w:rPr>
                    <w:rFonts w:ascii="Times New Roman" w:hAnsi="Times New Roman" w:cs="Times New Roman"/>
                  </w:rPr>
                  <w:t>4</w:t>
                </w:r>
                <w:r>
                  <w:t>年</w:t>
                </w:r>
              </w:p>
            </w:tc>
            <w:tc>
              <w:tcPr>
                <w:tcW w:w="4412" w:type="dxa"/>
                <w:vAlign w:val="center"/>
              </w:tcPr>
              <w:p w14:paraId="6E820F59">
                <w:pPr>
                  <w:widowControl w:val="0"/>
                  <w:jc w:val="center"/>
                  <w:rPr>
                    <w:rFonts w:hint="eastAsia"/>
                    <w:szCs w:val="21"/>
                  </w:rPr>
                </w:pPr>
                <w:r>
                  <w:rPr>
                    <w:rFonts w:ascii="Arial Narrow" w:hAnsi="Arial Narrow"/>
                  </w:rPr>
                  <w:t>70.00</w:t>
                </w:r>
              </w:p>
            </w:tc>
          </w:tr>
          <w:tr w14:paraId="5476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562A422">
                <w:pPr>
                  <w:widowControl w:val="0"/>
                  <w:jc w:val="both"/>
                  <w:rPr>
                    <w:rFonts w:hint="eastAsia"/>
                    <w:szCs w:val="21"/>
                  </w:rPr>
                </w:pPr>
                <w:r>
                  <w:rPr>
                    <w:rFonts w:ascii="Times New Roman" w:hAnsi="Times New Roman"/>
                  </w:rPr>
                  <w:t>4</w:t>
                </w:r>
                <w:r>
                  <w:t>－</w:t>
                </w:r>
                <w:r>
                  <w:rPr>
                    <w:rFonts w:ascii="Times New Roman" w:hAnsi="Times New Roman" w:cs="Times New Roman"/>
                  </w:rPr>
                  <w:t>5</w:t>
                </w:r>
                <w:r>
                  <w:t>年</w:t>
                </w:r>
              </w:p>
            </w:tc>
            <w:tc>
              <w:tcPr>
                <w:tcW w:w="4412" w:type="dxa"/>
                <w:vAlign w:val="center"/>
              </w:tcPr>
              <w:p w14:paraId="443F88F7">
                <w:pPr>
                  <w:widowControl w:val="0"/>
                  <w:jc w:val="center"/>
                  <w:rPr>
                    <w:rFonts w:hint="eastAsia"/>
                    <w:szCs w:val="21"/>
                  </w:rPr>
                </w:pPr>
                <w:r>
                  <w:rPr>
                    <w:rFonts w:ascii="Arial Narrow" w:hAnsi="Arial Narrow"/>
                  </w:rPr>
                  <w:t>80.00</w:t>
                </w:r>
              </w:p>
            </w:tc>
          </w:tr>
          <w:tr w14:paraId="530D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583644D">
                <w:pPr>
                  <w:widowControl w:val="0"/>
                  <w:jc w:val="both"/>
                  <w:rPr>
                    <w:rFonts w:hint="eastAsia"/>
                    <w:szCs w:val="21"/>
                  </w:rPr>
                </w:pPr>
                <w:r>
                  <w:rPr>
                    <w:rFonts w:ascii="Times New Roman" w:hAnsi="Times New Roman"/>
                  </w:rPr>
                  <w:t>5</w:t>
                </w:r>
                <w:r>
                  <w:t>年以上</w:t>
                </w:r>
              </w:p>
            </w:tc>
            <w:tc>
              <w:tcPr>
                <w:tcW w:w="4412" w:type="dxa"/>
                <w:vAlign w:val="center"/>
              </w:tcPr>
              <w:p w14:paraId="2CABBA10">
                <w:pPr>
                  <w:widowControl w:val="0"/>
                  <w:jc w:val="center"/>
                  <w:rPr>
                    <w:rFonts w:hint="eastAsia"/>
                    <w:szCs w:val="21"/>
                  </w:rPr>
                </w:pPr>
                <w:r>
                  <w:rPr>
                    <w:rFonts w:ascii="Arial Narrow" w:hAnsi="Arial Narrow"/>
                  </w:rPr>
                  <w:t>100.00</w:t>
                </w:r>
              </w:p>
            </w:tc>
          </w:tr>
        </w:tbl>
        <w:p w14:paraId="07B81CDD">
          <w:pPr>
            <w:ind w:firstLine="420" w:firstLineChars="200"/>
            <w:rPr>
              <w:rFonts w:hint="eastAsia"/>
              <w:szCs w:val="21"/>
            </w:rPr>
          </w:pPr>
          <w:r>
            <w:rPr>
              <w:rFonts w:hint="eastAsia"/>
              <w:szCs w:val="21"/>
            </w:rPr>
            <w:t>应收账款账龄按先进先出法进行计算。</w:t>
          </w:r>
        </w:p>
      </w:sdtContent>
    </w:sdt>
    <w:p w14:paraId="44AD673C">
      <w:pPr>
        <w:rPr>
          <w:rFonts w:hint="eastAsia" w:cs="Times New Roman"/>
          <w:b/>
          <w:bCs/>
          <w:kern w:val="2"/>
          <w:szCs w:val="28"/>
        </w:rPr>
      </w:pPr>
    </w:p>
    <w:p w14:paraId="4B5E46AF">
      <w:pPr>
        <w:rPr>
          <w:rFonts w:hint="eastAsia" w:cs="Times New Roman"/>
          <w:b/>
          <w:kern w:val="2"/>
          <w:szCs w:val="28"/>
        </w:rPr>
      </w:pPr>
      <w:r>
        <w:rPr>
          <w:rFonts w:cs="Times New Roman"/>
          <w:b/>
          <w:kern w:val="2"/>
          <w:szCs w:val="28"/>
        </w:rPr>
        <w:t>按照单项计提坏账准备的认定单项计提判断标准</w:t>
      </w:r>
    </w:p>
    <w:sdt>
      <w:sdtPr>
        <w:rPr>
          <w:szCs w:val="21"/>
        </w:rPr>
        <w:alias w:val="是否适用：应收账款按照单项计提坏账准备的单项计提判断标准[双击切换]"/>
        <w:tag w:val="_GBC_f7afe786f25942689e4acaa1b3bcb415"/>
        <w:id w:val="1606539551"/>
        <w:placeholder>
          <w:docPart w:val="GBC22222222222222222222222222222"/>
        </w:placeholder>
      </w:sdtPr>
      <w:sdtEndPr>
        <w:rPr>
          <w:szCs w:val="21"/>
        </w:rPr>
      </w:sdtEndPr>
      <w:sdtContent>
        <w:p w14:paraId="7ACA71E6">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按照单项计提坏账准备的单项计提判断标准"/>
        <w:tag w:val="_GBC_599e453280664c169d8cffd0da6e21f5"/>
        <w:id w:val="-485785608"/>
        <w:placeholder>
          <w:docPart w:val="GBC22222222222222222222222222222"/>
        </w:placeholder>
      </w:sdtPr>
      <w:sdtEndPr>
        <w:rPr>
          <w:szCs w:val="21"/>
        </w:rPr>
      </w:sdtEndPr>
      <w:sdtContent>
        <w:p w14:paraId="43808BF3">
          <w:pPr>
            <w:ind w:firstLine="420" w:firstLineChars="200"/>
            <w:rPr>
              <w:rFonts w:hint="eastAsia"/>
              <w:szCs w:val="21"/>
            </w:rPr>
          </w:pPr>
          <w:r>
            <w:rPr>
              <w:rFonts w:hint="eastAsia"/>
              <w:szCs w:val="21"/>
            </w:rPr>
            <w:t>本公司对在单项工具层面能以合理成本评估预期信用损失的充分证据的应收账款单独确定其信用损失。</w:t>
          </w:r>
        </w:p>
      </w:sdtContent>
    </w:sdt>
    <w:p w14:paraId="3585CBCF">
      <w:pPr>
        <w:rPr>
          <w:rFonts w:hint="eastAsia"/>
          <w:szCs w:val="21"/>
        </w:rPr>
      </w:pPr>
    </w:p>
    <w:p w14:paraId="68E89891">
      <w:pPr>
        <w:pStyle w:val="70"/>
        <w:numPr>
          <w:ilvl w:val="0"/>
          <w:numId w:val="101"/>
        </w:numPr>
      </w:pPr>
      <w:bookmarkStart w:id="220" w:name="_Hlk24102310"/>
      <w:bookmarkStart w:id="221" w:name="_Hlk152690443"/>
      <w:r>
        <w:rPr>
          <w:rFonts w:hint="eastAsia"/>
        </w:rPr>
        <w:t>应收款项融资</w:t>
      </w:r>
    </w:p>
    <w:sdt>
      <w:sdtPr>
        <w:alias w:val="是否适用：应收款项融资_重要会计政策和估计[双击切换]"/>
        <w:tag w:val="_GBC_a2e41ba19b9541d683d17977f5a0e631"/>
        <w:id w:val="-1679264815"/>
        <w:placeholder>
          <w:docPart w:val="GBC22222222222222222222222222222"/>
        </w:placeholder>
      </w:sdtPr>
      <w:sdtContent>
        <w:p w14:paraId="3E31E0B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20"/>
    <w:bookmarkEnd w:id="221"/>
    <w:p w14:paraId="1A87D2B6">
      <w:pPr>
        <w:rPr>
          <w:rFonts w:hint="eastAsia" w:cs="Times New Roman"/>
          <w:b/>
          <w:kern w:val="2"/>
          <w:szCs w:val="28"/>
        </w:rPr>
      </w:pPr>
      <w:r>
        <w:rPr>
          <w:rFonts w:cs="Times New Roman"/>
          <w:b/>
          <w:kern w:val="2"/>
          <w:szCs w:val="28"/>
        </w:rPr>
        <w:t>按照信用风险特征组合计提坏账准备的组合类别及确定依据</w:t>
      </w:r>
    </w:p>
    <w:sdt>
      <w:sdtPr>
        <w:rPr>
          <w:szCs w:val="21"/>
        </w:rPr>
        <w:alias w:val="是否适用：应收款项融资按照信用风险特征组合计提坏账准备的组合类别及确定依据[双击切换]"/>
        <w:tag w:val="_GBC_96c4eeead8b040d79bbd069f3f4f2aec"/>
        <w:id w:val="2078869530"/>
        <w:placeholder>
          <w:docPart w:val="GBC22222222222222222222222222222"/>
        </w:placeholder>
      </w:sdtPr>
      <w:sdtEndPr>
        <w:rPr>
          <w:szCs w:val="21"/>
        </w:rPr>
      </w:sdtEndPr>
      <w:sdtContent>
        <w:p w14:paraId="67AB42FE">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款项融资按照信用风险特征组合计提坏账准备的组合类别及确定依据"/>
        <w:tag w:val="_GBC_37ff5d8320ca45f099eeaeeaaf6f1232"/>
        <w:id w:val="705681040"/>
        <w:placeholder>
          <w:docPart w:val="GBC22222222222222222222222222222"/>
        </w:placeholder>
      </w:sdtPr>
      <w:sdtEndPr>
        <w:rPr>
          <w:szCs w:val="21"/>
        </w:rPr>
      </w:sdtEndPr>
      <w:sdtContent>
        <w:p w14:paraId="3035F0ED">
          <w:pPr>
            <w:rPr>
              <w:rFonts w:hint="eastAsia"/>
              <w:szCs w:val="21"/>
            </w:rPr>
          </w:pPr>
          <w:r>
            <w:rPr>
              <w:rFonts w:hint="eastAsia"/>
              <w:szCs w:val="21"/>
            </w:rPr>
            <w:t>具体情况详见附注五、11、金融工具。</w:t>
          </w:r>
        </w:p>
      </w:sdtContent>
    </w:sdt>
    <w:p w14:paraId="20688818">
      <w:pPr>
        <w:rPr>
          <w:rFonts w:hint="eastAsia" w:cs="Times New Roman"/>
          <w:b/>
          <w:bCs/>
          <w:kern w:val="2"/>
          <w:szCs w:val="28"/>
        </w:rPr>
      </w:pPr>
    </w:p>
    <w:p w14:paraId="6539CBF2">
      <w:pPr>
        <w:rPr>
          <w:rFonts w:hint="eastAsia" w:cs="Times New Roman"/>
          <w:b/>
          <w:kern w:val="2"/>
          <w:szCs w:val="28"/>
        </w:rPr>
      </w:pPr>
      <w:r>
        <w:rPr>
          <w:rFonts w:cs="Times New Roman"/>
          <w:b/>
          <w:kern w:val="2"/>
          <w:szCs w:val="28"/>
        </w:rPr>
        <w:t>基于账龄确认信用风险特征组合的账龄计算方法</w:t>
      </w:r>
    </w:p>
    <w:sdt>
      <w:sdtPr>
        <w:rPr>
          <w:szCs w:val="21"/>
        </w:rPr>
        <w:alias w:val="是否适用：应收款项融资基于账龄确认信用风险特征组合的账龄计算方法[双击切换]"/>
        <w:tag w:val="_GBC_6088373057ea4aacb1a49ee381004fee"/>
        <w:id w:val="-884874174"/>
        <w:placeholder>
          <w:docPart w:val="GBC22222222222222222222222222222"/>
        </w:placeholder>
      </w:sdtPr>
      <w:sdtEndPr>
        <w:rPr>
          <w:szCs w:val="21"/>
        </w:rPr>
      </w:sdtEndPr>
      <w:sdtContent>
        <w:p w14:paraId="7551EAD6">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款项融资基于账龄确认信用风险特征组合的账龄计算方法"/>
        <w:tag w:val="_GBC_791d9201e6df4c76873947e9954a5b9b"/>
        <w:id w:val="659124826"/>
        <w:placeholder>
          <w:docPart w:val="GBC22222222222222222222222222222"/>
        </w:placeholder>
      </w:sdtPr>
      <w:sdtEndPr>
        <w:rPr>
          <w:szCs w:val="21"/>
        </w:rPr>
      </w:sdtEndPr>
      <w:sdtContent>
        <w:p w14:paraId="62AB1178">
          <w:pPr>
            <w:rPr>
              <w:rFonts w:hint="eastAsia"/>
              <w:szCs w:val="21"/>
            </w:rPr>
          </w:pPr>
          <w:r>
            <w:rPr>
              <w:rFonts w:hint="eastAsia"/>
              <w:szCs w:val="21"/>
            </w:rPr>
            <w:t>具体情况详见附注五、11、金融工具。</w:t>
          </w:r>
        </w:p>
      </w:sdtContent>
    </w:sdt>
    <w:p w14:paraId="57CA2101">
      <w:pPr>
        <w:rPr>
          <w:rFonts w:hint="eastAsia" w:cs="Times New Roman"/>
          <w:b/>
          <w:bCs/>
          <w:kern w:val="2"/>
          <w:szCs w:val="28"/>
        </w:rPr>
      </w:pPr>
    </w:p>
    <w:p w14:paraId="0060F93C">
      <w:pPr>
        <w:rPr>
          <w:rFonts w:hint="eastAsia" w:cs="Times New Roman"/>
          <w:b/>
          <w:kern w:val="2"/>
          <w:szCs w:val="28"/>
        </w:rPr>
      </w:pPr>
      <w:r>
        <w:rPr>
          <w:rFonts w:cs="Times New Roman"/>
          <w:b/>
          <w:kern w:val="2"/>
          <w:szCs w:val="28"/>
        </w:rPr>
        <w:t>按照单项计提坏账准备的单项计提判断标准</w:t>
      </w:r>
    </w:p>
    <w:sdt>
      <w:sdtPr>
        <w:rPr>
          <w:szCs w:val="21"/>
        </w:rPr>
        <w:alias w:val="是否适用：应收款项融资按照单项计提坏账准备的单项计提判断标准[双击切换]"/>
        <w:tag w:val="_GBC_ee8c0fdee21e477387bf47d167b126ff"/>
        <w:id w:val="999852068"/>
        <w:placeholder>
          <w:docPart w:val="GBC22222222222222222222222222222"/>
        </w:placeholder>
      </w:sdtPr>
      <w:sdtEndPr>
        <w:rPr>
          <w:szCs w:val="21"/>
        </w:rPr>
      </w:sdtEndPr>
      <w:sdtContent>
        <w:p w14:paraId="23462C6B">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款项融资按照单项计提坏账准备的单项计提判断标准"/>
        <w:tag w:val="_GBC_b3b8295d655949dc97afd6a5c34f9a9a"/>
        <w:id w:val="1003858166"/>
        <w:placeholder>
          <w:docPart w:val="GBC22222222222222222222222222222"/>
        </w:placeholder>
      </w:sdtPr>
      <w:sdtEndPr>
        <w:rPr>
          <w:szCs w:val="21"/>
        </w:rPr>
      </w:sdtEndPr>
      <w:sdtContent>
        <w:p w14:paraId="5622D27F">
          <w:pPr>
            <w:rPr>
              <w:rFonts w:hint="eastAsia"/>
              <w:szCs w:val="21"/>
            </w:rPr>
          </w:pPr>
          <w:r>
            <w:rPr>
              <w:rFonts w:hint="eastAsia"/>
              <w:szCs w:val="21"/>
            </w:rPr>
            <w:t>具体情况详见附注五、11、金融工具。</w:t>
          </w:r>
        </w:p>
      </w:sdtContent>
    </w:sdt>
    <w:p w14:paraId="10F24142">
      <w:pPr>
        <w:rPr>
          <w:rFonts w:hint="eastAsia"/>
        </w:rPr>
      </w:pPr>
    </w:p>
    <w:p w14:paraId="38BE42C4">
      <w:pPr>
        <w:pStyle w:val="70"/>
        <w:numPr>
          <w:ilvl w:val="0"/>
          <w:numId w:val="101"/>
        </w:numPr>
      </w:pPr>
      <w:bookmarkStart w:id="222" w:name="_Hlk533667836"/>
      <w:r>
        <w:rPr>
          <w:rFonts w:hint="eastAsia"/>
          <w:szCs w:val="21"/>
        </w:rPr>
        <w:t>其他应收款</w:t>
      </w:r>
    </w:p>
    <w:sdt>
      <w:sdtPr>
        <w:rPr>
          <w:rFonts w:hint="eastAsia"/>
        </w:rPr>
        <w:alias w:val="是否适用：其他应收款_重要会计政策和估计[双击切换]"/>
        <w:tag w:val="_GBC_bd9572d7068940d78105aa21662a4f54"/>
        <w:id w:val="952676539"/>
        <w:placeholder>
          <w:docPart w:val="GBC22222222222222222222222222222"/>
        </w:placeholder>
      </w:sdtPr>
      <w:sdtEndPr>
        <w:rPr>
          <w:rFonts w:hint="eastAsia"/>
        </w:rPr>
      </w:sdtEndPr>
      <w:sdtContent>
        <w:p w14:paraId="76141F1C">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bookmarkEnd w:id="222"/>
    <w:p w14:paraId="7CFA6111">
      <w:pPr>
        <w:rPr>
          <w:rFonts w:hint="eastAsia" w:cs="Times New Roman"/>
          <w:b/>
          <w:kern w:val="2"/>
          <w:szCs w:val="28"/>
        </w:rPr>
      </w:pPr>
      <w:r>
        <w:rPr>
          <w:rFonts w:cs="Times New Roman"/>
          <w:b/>
          <w:kern w:val="2"/>
          <w:szCs w:val="28"/>
        </w:rPr>
        <w:t>按照信用风险特征组合计提坏账准备的组合类别及确定依据</w:t>
      </w:r>
    </w:p>
    <w:sdt>
      <w:sdtPr>
        <w:rPr>
          <w:szCs w:val="21"/>
        </w:rPr>
        <w:alias w:val="是否适用：其他应收款按照信用风险特征组合计提坏账准备的组合类别及确定依据[双击切换]"/>
        <w:tag w:val="_GBC_f39444fc293a46c5ae832091674d34c9"/>
        <w:id w:val="1201201631"/>
        <w:placeholder>
          <w:docPart w:val="GBC22222222222222222222222222222"/>
        </w:placeholder>
      </w:sdtPr>
      <w:sdtEndPr>
        <w:rPr>
          <w:szCs w:val="21"/>
        </w:rPr>
      </w:sdtEndPr>
      <w:sdtContent>
        <w:p w14:paraId="2C6AB898">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按照信用风险特征组合计提坏账准备的组合类别及确定依据"/>
        <w:tag w:val="_GBC_6ff0352272b24125ac1ff7ce3ba2aa3b"/>
        <w:id w:val="-2118049477"/>
        <w:placeholder>
          <w:docPart w:val="GBC22222222222222222222222222222"/>
        </w:placeholder>
      </w:sdtPr>
      <w:sdtEndPr>
        <w:rPr>
          <w:szCs w:val="21"/>
        </w:rPr>
      </w:sdtEndPr>
      <w:sdtContent>
        <w:p w14:paraId="15387CF5">
          <w:pPr>
            <w:ind w:firstLine="420" w:firstLineChars="200"/>
            <w:rPr>
              <w:rFonts w:hint="eastAsia"/>
              <w:szCs w:val="21"/>
            </w:rPr>
          </w:pPr>
          <w:r>
            <w:rPr>
              <w:rFonts w:hint="eastAsia"/>
              <w:szCs w:val="21"/>
            </w:rPr>
            <w:t>当在单项工具层面无法以合理成本评估预期信用损失的充分证据时，本公司参考历史信用损失经验，结合当前状况以及对未来经济状况的判断，依据信用风险特征将其他应收款划分为若干组合，在组合基础上计算预期信用损失。确定组合的依据如下：</w:t>
          </w:r>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985"/>
            <w:gridCol w:w="4433"/>
          </w:tblGrid>
          <w:tr w14:paraId="1C8F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42123B28">
                <w:pPr>
                  <w:widowControl w:val="0"/>
                  <w:jc w:val="both"/>
                  <w:rPr>
                    <w:rFonts w:hint="eastAsia"/>
                    <w:szCs w:val="21"/>
                  </w:rPr>
                </w:pPr>
                <w:r>
                  <w:rPr>
                    <w:rFonts w:ascii="Times New Roman" w:hAnsi="Times New Roman"/>
                  </w:rPr>
                  <w:t>组合名称</w:t>
                </w:r>
              </w:p>
            </w:tc>
            <w:tc>
              <w:tcPr>
                <w:tcW w:w="1985" w:type="dxa"/>
              </w:tcPr>
              <w:p w14:paraId="50743443">
                <w:pPr>
                  <w:widowControl w:val="0"/>
                  <w:jc w:val="both"/>
                  <w:rPr>
                    <w:rFonts w:hint="eastAsia"/>
                    <w:szCs w:val="21"/>
                  </w:rPr>
                </w:pPr>
                <w:r>
                  <w:rPr>
                    <w:rFonts w:ascii="Times New Roman" w:hAnsi="Times New Roman"/>
                  </w:rPr>
                  <w:t>确定组合的依据</w:t>
                </w:r>
              </w:p>
            </w:tc>
            <w:tc>
              <w:tcPr>
                <w:tcW w:w="4433" w:type="dxa"/>
              </w:tcPr>
              <w:p w14:paraId="1505DA2A">
                <w:pPr>
                  <w:widowControl w:val="0"/>
                  <w:jc w:val="both"/>
                  <w:rPr>
                    <w:rFonts w:hint="eastAsia"/>
                    <w:szCs w:val="21"/>
                  </w:rPr>
                </w:pPr>
                <w:r>
                  <w:rPr>
                    <w:rFonts w:ascii="Times New Roman" w:hAnsi="Times New Roman"/>
                  </w:rPr>
                  <w:t>计提方法</w:t>
                </w:r>
              </w:p>
            </w:tc>
          </w:tr>
          <w:tr w14:paraId="2FDA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E7DF4C0">
                <w:pPr>
                  <w:widowControl w:val="0"/>
                  <w:jc w:val="both"/>
                  <w:rPr>
                    <w:rFonts w:hint="eastAsia"/>
                    <w:szCs w:val="21"/>
                  </w:rPr>
                </w:pPr>
                <w:r>
                  <w:rPr>
                    <w:rFonts w:ascii="Times New Roman" w:hAnsi="Times New Roman"/>
                  </w:rPr>
                  <w:t>组合一军方、警方、政府职能部门等高信用水平单位应收款项组合</w:t>
                </w:r>
              </w:p>
            </w:tc>
            <w:tc>
              <w:tcPr>
                <w:tcW w:w="1985" w:type="dxa"/>
                <w:vAlign w:val="center"/>
              </w:tcPr>
              <w:p w14:paraId="0123452B">
                <w:pPr>
                  <w:widowControl w:val="0"/>
                  <w:jc w:val="both"/>
                  <w:rPr>
                    <w:rFonts w:hint="eastAsia"/>
                    <w:szCs w:val="21"/>
                  </w:rPr>
                </w:pPr>
                <w:r>
                  <w:rPr>
                    <w:rFonts w:ascii="Times New Roman" w:hAnsi="Times New Roman"/>
                  </w:rPr>
                  <w:t>应收军方、警方、政府职能部门等高信用水平单位款项</w:t>
                </w:r>
              </w:p>
            </w:tc>
            <w:tc>
              <w:tcPr>
                <w:tcW w:w="4433" w:type="dxa"/>
              </w:tcPr>
              <w:p w14:paraId="412126D0">
                <w:pPr>
                  <w:widowControl w:val="0"/>
                  <w:jc w:val="both"/>
                  <w:rPr>
                    <w:rFonts w:hint="eastAsia"/>
                    <w:szCs w:val="21"/>
                  </w:rPr>
                </w:pPr>
                <w:r>
                  <w:rPr>
                    <w:rFonts w:ascii="Times New Roman" w:hAnsi="Times New Roman"/>
                  </w:rPr>
                  <w:t>参考历史信用损失经验，结合当前状况以及对未来经济状况的预测，通过违约风险敞口和整个续期逾期信用损失率，计算逾期信用损失</w:t>
                </w:r>
              </w:p>
            </w:tc>
          </w:tr>
          <w:tr w14:paraId="71F4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7632545">
                <w:pPr>
                  <w:widowControl w:val="0"/>
                  <w:jc w:val="both"/>
                  <w:rPr>
                    <w:rFonts w:hint="eastAsia"/>
                    <w:szCs w:val="21"/>
                  </w:rPr>
                </w:pPr>
                <w:r>
                  <w:rPr>
                    <w:rFonts w:ascii="Times New Roman" w:hAnsi="Times New Roman"/>
                  </w:rPr>
                  <w:t>组合二关联方组合</w:t>
                </w:r>
              </w:p>
            </w:tc>
            <w:tc>
              <w:tcPr>
                <w:tcW w:w="1985" w:type="dxa"/>
                <w:vAlign w:val="center"/>
              </w:tcPr>
              <w:p w14:paraId="3199B4F0">
                <w:pPr>
                  <w:widowControl w:val="0"/>
                  <w:jc w:val="both"/>
                  <w:rPr>
                    <w:rFonts w:hint="eastAsia"/>
                    <w:szCs w:val="21"/>
                  </w:rPr>
                </w:pPr>
                <w:r>
                  <w:rPr>
                    <w:rFonts w:ascii="Times New Roman" w:hAnsi="Times New Roman"/>
                  </w:rPr>
                  <w:t>关联关系</w:t>
                </w:r>
              </w:p>
            </w:tc>
            <w:tc>
              <w:tcPr>
                <w:tcW w:w="4433" w:type="dxa"/>
              </w:tcPr>
              <w:p w14:paraId="70BF322D">
                <w:pPr>
                  <w:widowControl w:val="0"/>
                  <w:jc w:val="both"/>
                  <w:rPr>
                    <w:rFonts w:hint="eastAsia"/>
                    <w:szCs w:val="21"/>
                  </w:rPr>
                </w:pPr>
                <w:r>
                  <w:rPr>
                    <w:rFonts w:ascii="Times New Roman" w:hAnsi="Times New Roman"/>
                  </w:rPr>
                  <w:t>参考历史信用损失经验，结合当前状况以及对未来经济状况的预测，通过违约风险敞口和整个续期逾期信用损失率，计算逾期信用损失</w:t>
                </w:r>
              </w:p>
            </w:tc>
          </w:tr>
          <w:tr w14:paraId="2A2B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AE0A286">
                <w:pPr>
                  <w:widowControl w:val="0"/>
                  <w:jc w:val="both"/>
                  <w:rPr>
                    <w:rFonts w:hint="eastAsia"/>
                    <w:szCs w:val="21"/>
                  </w:rPr>
                </w:pPr>
                <w:r>
                  <w:rPr>
                    <w:rFonts w:ascii="Times New Roman" w:hAnsi="Times New Roman"/>
                  </w:rPr>
                  <w:t>组合三账龄组合</w:t>
                </w:r>
              </w:p>
            </w:tc>
            <w:tc>
              <w:tcPr>
                <w:tcW w:w="1985" w:type="dxa"/>
                <w:vAlign w:val="center"/>
              </w:tcPr>
              <w:p w14:paraId="76C7D51B">
                <w:pPr>
                  <w:widowControl w:val="0"/>
                  <w:jc w:val="both"/>
                  <w:rPr>
                    <w:rFonts w:hint="eastAsia"/>
                    <w:szCs w:val="21"/>
                  </w:rPr>
                </w:pPr>
                <w:r>
                  <w:rPr>
                    <w:rFonts w:ascii="Times New Roman" w:hAnsi="Times New Roman"/>
                  </w:rPr>
                  <w:t>账龄</w:t>
                </w:r>
              </w:p>
            </w:tc>
            <w:tc>
              <w:tcPr>
                <w:tcW w:w="4433" w:type="dxa"/>
              </w:tcPr>
              <w:p w14:paraId="6B475242">
                <w:pPr>
                  <w:widowControl w:val="0"/>
                  <w:jc w:val="both"/>
                  <w:rPr>
                    <w:rFonts w:hint="eastAsia"/>
                    <w:szCs w:val="21"/>
                  </w:rPr>
                </w:pPr>
                <w:r>
                  <w:rPr>
                    <w:rFonts w:ascii="Times New Roman" w:hAnsi="Times New Roman"/>
                  </w:rPr>
                  <w:t>按账龄与整个存续期预期信用损失率对照表计提</w:t>
                </w:r>
              </w:p>
            </w:tc>
          </w:tr>
        </w:tbl>
        <w:p w14:paraId="3BF952F7">
          <w:pPr>
            <w:rPr>
              <w:rFonts w:hint="eastAsia"/>
              <w:szCs w:val="21"/>
            </w:rPr>
          </w:pPr>
        </w:p>
      </w:sdtContent>
    </w:sdt>
    <w:p w14:paraId="331E7F66">
      <w:pPr>
        <w:rPr>
          <w:rFonts w:hint="eastAsia" w:cs="Times New Roman"/>
          <w:b/>
          <w:bCs/>
          <w:kern w:val="2"/>
          <w:szCs w:val="28"/>
        </w:rPr>
      </w:pPr>
    </w:p>
    <w:p w14:paraId="340A2EF7">
      <w:pPr>
        <w:rPr>
          <w:rFonts w:hint="eastAsia" w:cs="Times New Roman"/>
          <w:b/>
          <w:kern w:val="2"/>
          <w:szCs w:val="28"/>
        </w:rPr>
      </w:pPr>
      <w:r>
        <w:rPr>
          <w:rFonts w:cs="Times New Roman"/>
          <w:b/>
          <w:kern w:val="2"/>
          <w:szCs w:val="28"/>
        </w:rPr>
        <w:t>基于账龄确认信用风险特征组合的账龄计算方法</w:t>
      </w:r>
    </w:p>
    <w:sdt>
      <w:sdtPr>
        <w:rPr>
          <w:szCs w:val="21"/>
        </w:rPr>
        <w:alias w:val="是否适用：其他应收款基于账龄确认信用风险特征组合的账龄计算方法[双击切换]"/>
        <w:tag w:val="_GBC_212b4fcf685f4b098f47723f38f926d2"/>
        <w:id w:val="797953481"/>
        <w:placeholder>
          <w:docPart w:val="GBC22222222222222222222222222222"/>
        </w:placeholder>
      </w:sdtPr>
      <w:sdtEndPr>
        <w:rPr>
          <w:szCs w:val="21"/>
        </w:rPr>
      </w:sdtEndPr>
      <w:sdtContent>
        <w:p w14:paraId="05B89B71">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基于账龄确认信用风险特征组合的账龄计算方法"/>
        <w:tag w:val="_GBC_80958ddf46f043c29fa2147d0266ca2b"/>
        <w:id w:val="108711640"/>
        <w:placeholder>
          <w:docPart w:val="GBC22222222222222222222222222222"/>
        </w:placeholder>
      </w:sdtPr>
      <w:sdtEndPr>
        <w:rPr>
          <w:szCs w:val="21"/>
        </w:rPr>
      </w:sdtEndPr>
      <w:sdtContent>
        <w:p w14:paraId="162FEC22">
          <w:pPr>
            <w:ind w:firstLine="420" w:firstLineChars="200"/>
            <w:rPr>
              <w:rFonts w:hint="eastAsia"/>
              <w:szCs w:val="21"/>
            </w:rPr>
          </w:pPr>
          <w:r>
            <w:rPr>
              <w:rFonts w:hint="eastAsia"/>
              <w:szCs w:val="21"/>
            </w:rPr>
            <w:t>账龄组合的账龄与预期信用损失率对照表如下：</w:t>
          </w:r>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3F01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411" w:type="dxa"/>
                <w:vAlign w:val="center"/>
              </w:tcPr>
              <w:p w14:paraId="3078D3FF">
                <w:pPr>
                  <w:widowControl w:val="0"/>
                  <w:jc w:val="center"/>
                  <w:rPr>
                    <w:rFonts w:hint="eastAsia"/>
                    <w:szCs w:val="21"/>
                  </w:rPr>
                </w:pPr>
                <w:r>
                  <w:rPr>
                    <w:rFonts w:ascii="Times New Roman" w:hAnsi="Times New Roman"/>
                  </w:rPr>
                  <w:t>账龄</w:t>
                </w:r>
              </w:p>
            </w:tc>
            <w:tc>
              <w:tcPr>
                <w:tcW w:w="4412" w:type="dxa"/>
                <w:vAlign w:val="center"/>
              </w:tcPr>
              <w:p w14:paraId="2669AC3D">
                <w:pPr>
                  <w:widowControl w:val="0"/>
                  <w:jc w:val="center"/>
                  <w:rPr>
                    <w:rFonts w:hint="eastAsia"/>
                    <w:szCs w:val="21"/>
                  </w:rPr>
                </w:pPr>
                <w:r>
                  <w:rPr>
                    <w:rFonts w:ascii="Times New Roman" w:hAnsi="Times New Roman"/>
                  </w:rPr>
                  <w:t>其他应收款预期信用损失率（</w:t>
                </w:r>
                <w:r>
                  <w:rPr>
                    <w:rFonts w:ascii="Times New Roman" w:hAnsi="Times New Roman" w:cs="Times New Roman"/>
                  </w:rPr>
                  <w:t>%</w:t>
                </w:r>
                <w:r>
                  <w:t>）</w:t>
                </w:r>
              </w:p>
            </w:tc>
          </w:tr>
          <w:tr w14:paraId="17A4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1F238EA1">
                <w:pPr>
                  <w:widowControl w:val="0"/>
                  <w:jc w:val="both"/>
                  <w:rPr>
                    <w:rFonts w:hint="eastAsia"/>
                    <w:szCs w:val="21"/>
                  </w:rPr>
                </w:pPr>
                <w:r>
                  <w:rPr>
                    <w:rFonts w:ascii="Times New Roman" w:hAnsi="Times New Roman"/>
                  </w:rPr>
                  <w:t>1</w:t>
                </w:r>
                <w:r>
                  <w:t>年以内</w:t>
                </w:r>
              </w:p>
            </w:tc>
            <w:tc>
              <w:tcPr>
                <w:tcW w:w="4412" w:type="dxa"/>
                <w:vAlign w:val="center"/>
              </w:tcPr>
              <w:p w14:paraId="322384A4">
                <w:pPr>
                  <w:widowControl w:val="0"/>
                  <w:jc w:val="both"/>
                  <w:rPr>
                    <w:rFonts w:hint="eastAsia"/>
                    <w:szCs w:val="21"/>
                  </w:rPr>
                </w:pPr>
              </w:p>
            </w:tc>
          </w:tr>
          <w:tr w14:paraId="3F76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340EA211">
                <w:pPr>
                  <w:widowControl w:val="0"/>
                  <w:jc w:val="both"/>
                  <w:rPr>
                    <w:rFonts w:hint="eastAsia"/>
                    <w:szCs w:val="21"/>
                  </w:rPr>
                </w:pPr>
                <w:r>
                  <w:rPr>
                    <w:rFonts w:ascii="Times New Roman" w:hAnsi="Times New Roman"/>
                  </w:rPr>
                  <w:t>1</w:t>
                </w:r>
                <w:r>
                  <w:t>－</w:t>
                </w:r>
                <w:r>
                  <w:rPr>
                    <w:rFonts w:ascii="Times New Roman" w:hAnsi="Times New Roman" w:cs="Times New Roman"/>
                  </w:rPr>
                  <w:t>2</w:t>
                </w:r>
                <w:r>
                  <w:t>年</w:t>
                </w:r>
              </w:p>
            </w:tc>
            <w:tc>
              <w:tcPr>
                <w:tcW w:w="4412" w:type="dxa"/>
                <w:vAlign w:val="center"/>
              </w:tcPr>
              <w:p w14:paraId="306C2292">
                <w:pPr>
                  <w:widowControl w:val="0"/>
                  <w:jc w:val="center"/>
                  <w:rPr>
                    <w:rFonts w:hint="eastAsia"/>
                    <w:szCs w:val="21"/>
                  </w:rPr>
                </w:pPr>
                <w:r>
                  <w:rPr>
                    <w:rFonts w:ascii="Arial Narrow" w:hAnsi="Arial Narrow"/>
                  </w:rPr>
                  <w:t>20.00</w:t>
                </w:r>
              </w:p>
            </w:tc>
          </w:tr>
          <w:tr w14:paraId="6C0B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52F934FC">
                <w:pPr>
                  <w:widowControl w:val="0"/>
                  <w:jc w:val="both"/>
                  <w:rPr>
                    <w:rFonts w:hint="eastAsia"/>
                    <w:szCs w:val="21"/>
                  </w:rPr>
                </w:pPr>
                <w:r>
                  <w:rPr>
                    <w:rFonts w:ascii="Times New Roman" w:hAnsi="Times New Roman"/>
                  </w:rPr>
                  <w:t>2</w:t>
                </w:r>
                <w:r>
                  <w:t>－</w:t>
                </w:r>
                <w:r>
                  <w:rPr>
                    <w:rFonts w:ascii="Times New Roman" w:hAnsi="Times New Roman" w:cs="Times New Roman"/>
                  </w:rPr>
                  <w:t>3</w:t>
                </w:r>
                <w:r>
                  <w:t>年</w:t>
                </w:r>
              </w:p>
            </w:tc>
            <w:tc>
              <w:tcPr>
                <w:tcW w:w="4412" w:type="dxa"/>
                <w:vAlign w:val="center"/>
              </w:tcPr>
              <w:p w14:paraId="3D727BFE">
                <w:pPr>
                  <w:widowControl w:val="0"/>
                  <w:jc w:val="center"/>
                  <w:rPr>
                    <w:rFonts w:hint="eastAsia"/>
                    <w:szCs w:val="21"/>
                  </w:rPr>
                </w:pPr>
                <w:r>
                  <w:rPr>
                    <w:rFonts w:ascii="Arial Narrow" w:hAnsi="Arial Narrow"/>
                  </w:rPr>
                  <w:t>50.00</w:t>
                </w:r>
              </w:p>
            </w:tc>
          </w:tr>
          <w:tr w14:paraId="2585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1251727B">
                <w:pPr>
                  <w:widowControl w:val="0"/>
                  <w:jc w:val="both"/>
                  <w:rPr>
                    <w:rFonts w:hint="eastAsia"/>
                    <w:szCs w:val="21"/>
                  </w:rPr>
                </w:pPr>
                <w:r>
                  <w:rPr>
                    <w:rFonts w:ascii="Times New Roman" w:hAnsi="Times New Roman"/>
                  </w:rPr>
                  <w:t>3</w:t>
                </w:r>
                <w:r>
                  <w:t>－</w:t>
                </w:r>
                <w:r>
                  <w:rPr>
                    <w:rFonts w:ascii="Times New Roman" w:hAnsi="Times New Roman" w:cs="Times New Roman"/>
                  </w:rPr>
                  <w:t>4</w:t>
                </w:r>
                <w:r>
                  <w:t>年</w:t>
                </w:r>
              </w:p>
            </w:tc>
            <w:tc>
              <w:tcPr>
                <w:tcW w:w="4412" w:type="dxa"/>
                <w:vAlign w:val="center"/>
              </w:tcPr>
              <w:p w14:paraId="59A18C02">
                <w:pPr>
                  <w:widowControl w:val="0"/>
                  <w:jc w:val="center"/>
                  <w:rPr>
                    <w:rFonts w:hint="eastAsia"/>
                    <w:szCs w:val="21"/>
                  </w:rPr>
                </w:pPr>
                <w:r>
                  <w:rPr>
                    <w:rFonts w:ascii="Arial Narrow" w:hAnsi="Arial Narrow"/>
                  </w:rPr>
                  <w:t>70.00</w:t>
                </w:r>
              </w:p>
            </w:tc>
          </w:tr>
          <w:tr w14:paraId="30FA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7D300A48">
                <w:pPr>
                  <w:widowControl w:val="0"/>
                  <w:jc w:val="both"/>
                  <w:rPr>
                    <w:rFonts w:hint="eastAsia"/>
                    <w:szCs w:val="21"/>
                  </w:rPr>
                </w:pPr>
                <w:r>
                  <w:rPr>
                    <w:rFonts w:ascii="Times New Roman" w:hAnsi="Times New Roman"/>
                  </w:rPr>
                  <w:t>4</w:t>
                </w:r>
                <w:r>
                  <w:t>－</w:t>
                </w:r>
                <w:r>
                  <w:rPr>
                    <w:rFonts w:ascii="Times New Roman" w:hAnsi="Times New Roman" w:cs="Times New Roman"/>
                  </w:rPr>
                  <w:t>5</w:t>
                </w:r>
                <w:r>
                  <w:t>年</w:t>
                </w:r>
              </w:p>
            </w:tc>
            <w:tc>
              <w:tcPr>
                <w:tcW w:w="4412" w:type="dxa"/>
                <w:vAlign w:val="center"/>
              </w:tcPr>
              <w:p w14:paraId="37075FFF">
                <w:pPr>
                  <w:widowControl w:val="0"/>
                  <w:jc w:val="center"/>
                  <w:rPr>
                    <w:rFonts w:hint="eastAsia"/>
                    <w:szCs w:val="21"/>
                  </w:rPr>
                </w:pPr>
                <w:r>
                  <w:rPr>
                    <w:rFonts w:ascii="Arial Narrow" w:hAnsi="Arial Narrow"/>
                  </w:rPr>
                  <w:t>80.00</w:t>
                </w:r>
              </w:p>
            </w:tc>
          </w:tr>
          <w:tr w14:paraId="246A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tcPr>
              <w:p w14:paraId="16F00CE5">
                <w:pPr>
                  <w:widowControl w:val="0"/>
                  <w:jc w:val="both"/>
                  <w:rPr>
                    <w:rFonts w:hint="eastAsia"/>
                    <w:szCs w:val="21"/>
                  </w:rPr>
                </w:pPr>
                <w:r>
                  <w:rPr>
                    <w:rFonts w:ascii="Times New Roman" w:hAnsi="Times New Roman"/>
                  </w:rPr>
                  <w:t>5</w:t>
                </w:r>
                <w:r>
                  <w:t>年以上</w:t>
                </w:r>
              </w:p>
            </w:tc>
            <w:tc>
              <w:tcPr>
                <w:tcW w:w="4412" w:type="dxa"/>
                <w:vAlign w:val="center"/>
              </w:tcPr>
              <w:p w14:paraId="122B5BBA">
                <w:pPr>
                  <w:widowControl w:val="0"/>
                  <w:jc w:val="center"/>
                  <w:rPr>
                    <w:rFonts w:hint="eastAsia"/>
                    <w:szCs w:val="21"/>
                  </w:rPr>
                </w:pPr>
                <w:r>
                  <w:rPr>
                    <w:rFonts w:ascii="Arial Narrow" w:hAnsi="Arial Narrow"/>
                  </w:rPr>
                  <w:t>100.00</w:t>
                </w:r>
              </w:p>
            </w:tc>
          </w:tr>
        </w:tbl>
        <w:p w14:paraId="5651F947">
          <w:pPr>
            <w:ind w:firstLine="420" w:firstLineChars="200"/>
            <w:rPr>
              <w:rFonts w:hint="eastAsia"/>
              <w:szCs w:val="21"/>
            </w:rPr>
          </w:pPr>
          <w:r>
            <w:rPr>
              <w:rFonts w:hint="eastAsia"/>
              <w:szCs w:val="21"/>
            </w:rPr>
            <w:t>其他应收款账龄按先进先出法进行计算。</w:t>
          </w:r>
        </w:p>
        <w:p w14:paraId="2D0F5A17">
          <w:pPr>
            <w:rPr>
              <w:rFonts w:hint="eastAsia"/>
              <w:szCs w:val="21"/>
            </w:rPr>
          </w:pPr>
        </w:p>
      </w:sdtContent>
    </w:sdt>
    <w:p w14:paraId="4782A307">
      <w:pPr>
        <w:rPr>
          <w:rFonts w:hint="eastAsia" w:cs="Times New Roman"/>
          <w:b/>
          <w:bCs/>
          <w:kern w:val="2"/>
          <w:szCs w:val="28"/>
        </w:rPr>
      </w:pPr>
    </w:p>
    <w:p w14:paraId="79B512BD">
      <w:pPr>
        <w:rPr>
          <w:rFonts w:hint="eastAsia" w:cs="Times New Roman"/>
          <w:b/>
          <w:kern w:val="2"/>
          <w:szCs w:val="28"/>
        </w:rPr>
      </w:pPr>
      <w:r>
        <w:rPr>
          <w:rFonts w:cs="Times New Roman"/>
          <w:b/>
          <w:kern w:val="2"/>
          <w:szCs w:val="28"/>
        </w:rPr>
        <w:t>按照单项计提坏账准备的单项计提判断标准</w:t>
      </w:r>
    </w:p>
    <w:sdt>
      <w:sdtPr>
        <w:rPr>
          <w:szCs w:val="21"/>
        </w:rPr>
        <w:alias w:val="是否适用：其他应收款按照单项计提坏账准备的单项计提判断标准[双击切换]"/>
        <w:tag w:val="_GBC_ba17d337469a42e78d387da6c2afd4e3"/>
        <w:id w:val="-1546513760"/>
        <w:placeholder>
          <w:docPart w:val="GBC22222222222222222222222222222"/>
        </w:placeholder>
      </w:sdtPr>
      <w:sdtEndPr>
        <w:rPr>
          <w:szCs w:val="21"/>
        </w:rPr>
      </w:sdtEndPr>
      <w:sdtContent>
        <w:p w14:paraId="329CDCA4">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按照单项计提坏账准备的单项计提判断标准"/>
        <w:tag w:val="_GBC_ab193709afff47ac84ee1dbf87f804f7"/>
        <w:id w:val="-891965026"/>
        <w:placeholder>
          <w:docPart w:val="GBC22222222222222222222222222222"/>
        </w:placeholder>
      </w:sdtPr>
      <w:sdtEndPr>
        <w:rPr>
          <w:szCs w:val="21"/>
        </w:rPr>
      </w:sdtEndPr>
      <w:sdtContent>
        <w:p w14:paraId="46C93C58">
          <w:pPr>
            <w:ind w:firstLine="420" w:firstLineChars="200"/>
            <w:rPr>
              <w:rFonts w:hint="eastAsia"/>
              <w:szCs w:val="21"/>
            </w:rPr>
          </w:pPr>
          <w:r>
            <w:rPr>
              <w:rFonts w:hint="eastAsia"/>
              <w:szCs w:val="21"/>
            </w:rPr>
            <w:t>对信用风险与组合信用风险显著不同的其他应收款，本公司按单项计提预期信用损失。本公司对在单项工具层面能以合理成本评估预期信用损失的充分证据的其他应收款单独确定其信用损失。</w:t>
          </w:r>
        </w:p>
      </w:sdtContent>
    </w:sdt>
    <w:p w14:paraId="311CE1B9">
      <w:pPr>
        <w:rPr>
          <w:rFonts w:hint="eastAsia"/>
          <w:szCs w:val="21"/>
        </w:rPr>
      </w:pPr>
    </w:p>
    <w:p w14:paraId="3C0C434F">
      <w:pPr>
        <w:pStyle w:val="70"/>
        <w:numPr>
          <w:ilvl w:val="0"/>
          <w:numId w:val="101"/>
        </w:numPr>
      </w:pPr>
      <w:r>
        <w:t>存货</w:t>
      </w:r>
    </w:p>
    <w:sdt>
      <w:sdtPr>
        <w:rPr>
          <w:rFonts w:hint="eastAsia"/>
          <w:szCs w:val="21"/>
        </w:rPr>
        <w:alias w:val="是否适用：存货_重要会计政策和估计[双击切换]"/>
        <w:tag w:val="_GBC_dcacbe0db27e4ea5b80fa4aefb3bdbac"/>
        <w:id w:val="1421139534"/>
        <w:placeholder>
          <w:docPart w:val="GBC22222222222222222222222222222"/>
        </w:placeholder>
      </w:sdtPr>
      <w:sdtEndPr>
        <w:rPr>
          <w:rFonts w:hint="eastAsia"/>
          <w:szCs w:val="21"/>
        </w:rPr>
      </w:sdtEndPr>
      <w:sdtContent>
        <w:p w14:paraId="3D7F040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C9F0E2">
      <w:pPr>
        <w:rPr>
          <w:rFonts w:hint="eastAsia" w:cs="Times New Roman"/>
          <w:b/>
          <w:kern w:val="2"/>
          <w:szCs w:val="28"/>
        </w:rPr>
      </w:pPr>
      <w:bookmarkStart w:id="223" w:name="_Hlk152678121"/>
      <w:r>
        <w:rPr>
          <w:rFonts w:cs="Times New Roman"/>
          <w:b/>
          <w:kern w:val="2"/>
          <w:szCs w:val="28"/>
        </w:rPr>
        <w:t>存货</w:t>
      </w:r>
      <w:r>
        <w:rPr>
          <w:rFonts w:hint="eastAsia" w:cs="Times New Roman"/>
          <w:b/>
          <w:kern w:val="2"/>
          <w:szCs w:val="28"/>
        </w:rPr>
        <w:t>类别、发出计价方法、盘存制度、低值易耗品和包装物的摊销方法</w:t>
      </w:r>
    </w:p>
    <w:bookmarkEnd w:id="223"/>
    <w:sdt>
      <w:sdtPr>
        <w:rPr>
          <w:szCs w:val="21"/>
        </w:rPr>
        <w:alias w:val="是否适用：存货类别、发出计价方法、盘存制度、低值易耗品和包装物的摊销方法[双击切换]"/>
        <w:tag w:val="_GBC_7a24117441bd45edbee63ef5c75fa013"/>
        <w:id w:val="-1118369291"/>
        <w:placeholder>
          <w:docPart w:val="GBC22222222222222222222222222222"/>
        </w:placeholder>
      </w:sdtPr>
      <w:sdtEndPr>
        <w:rPr>
          <w:szCs w:val="21"/>
        </w:rPr>
      </w:sdtEndPr>
      <w:sdtContent>
        <w:p w14:paraId="7A2AE95C">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类别、发出计价方法、盘存制度、低值易耗品和包装物的摊销方法"/>
        <w:tag w:val="_GBC_3fcd1bdad070400f9c9e3e5d4c064f2b"/>
        <w:id w:val="1480959297"/>
        <w:placeholder>
          <w:docPart w:val="GBC22222222222222222222222222222"/>
        </w:placeholder>
      </w:sdtPr>
      <w:sdtEndPr>
        <w:rPr>
          <w:szCs w:val="21"/>
        </w:rPr>
      </w:sdtEndPr>
      <w:sdtContent>
        <w:p w14:paraId="231006FB">
          <w:pPr>
            <w:ind w:firstLine="420" w:firstLineChars="200"/>
            <w:rPr>
              <w:rFonts w:hint="eastAsia"/>
              <w:szCs w:val="21"/>
            </w:rPr>
          </w:pPr>
          <w:r>
            <w:rPr>
              <w:rFonts w:hint="eastAsia"/>
              <w:szCs w:val="21"/>
            </w:rPr>
            <w:t>（1）存货类别</w:t>
          </w:r>
        </w:p>
        <w:p w14:paraId="38E88EEB">
          <w:pPr>
            <w:ind w:firstLine="420" w:firstLineChars="200"/>
            <w:rPr>
              <w:rFonts w:hint="eastAsia"/>
              <w:szCs w:val="21"/>
            </w:rPr>
          </w:pPr>
          <w:r>
            <w:rPr>
              <w:rFonts w:hint="eastAsia"/>
              <w:szCs w:val="21"/>
            </w:rPr>
            <w:t>存货是指本公司在日常活动中持有以备出售的产成品或商品、处在生产过程中的在产品、在生产过程或提供劳务过程中耗用的材料和物料等。主要包括原材料、周转材料、委托加工材料、在产品、自制半成品、产成品（库存商品）、发出商品等。</w:t>
          </w:r>
        </w:p>
        <w:p w14:paraId="4CBFAF01">
          <w:pPr>
            <w:ind w:firstLine="420" w:firstLineChars="200"/>
            <w:rPr>
              <w:rFonts w:hint="eastAsia"/>
              <w:szCs w:val="21"/>
            </w:rPr>
          </w:pPr>
          <w:r>
            <w:rPr>
              <w:rFonts w:hint="eastAsia"/>
              <w:szCs w:val="21"/>
            </w:rPr>
            <w:t>（2）存货发出计价方法</w:t>
          </w:r>
        </w:p>
        <w:p w14:paraId="70A986D6">
          <w:pPr>
            <w:ind w:firstLine="420" w:firstLineChars="200"/>
            <w:rPr>
              <w:rFonts w:hint="eastAsia"/>
              <w:szCs w:val="21"/>
            </w:rPr>
          </w:pPr>
          <w:r>
            <w:rPr>
              <w:rFonts w:hint="eastAsia"/>
              <w:szCs w:val="21"/>
            </w:rPr>
            <w:t>存货在取得时，按成本进行初始计量，包括采购成本、加工成本和其他成本。存货发出时按月末一次加权平均法计价。</w:t>
          </w:r>
        </w:p>
        <w:p w14:paraId="32A6B8E7">
          <w:pPr>
            <w:ind w:firstLine="420" w:firstLineChars="200"/>
            <w:rPr>
              <w:rFonts w:hint="eastAsia"/>
              <w:szCs w:val="21"/>
            </w:rPr>
          </w:pPr>
          <w:r>
            <w:rPr>
              <w:rFonts w:hint="eastAsia"/>
              <w:szCs w:val="21"/>
            </w:rPr>
            <w:t>（3）存货的盘存制度</w:t>
          </w:r>
        </w:p>
        <w:p w14:paraId="411044D1">
          <w:pPr>
            <w:ind w:firstLine="420" w:firstLineChars="200"/>
            <w:rPr>
              <w:rFonts w:hint="eastAsia"/>
              <w:szCs w:val="21"/>
            </w:rPr>
          </w:pPr>
          <w:r>
            <w:rPr>
              <w:rFonts w:hint="eastAsia"/>
              <w:szCs w:val="21"/>
            </w:rPr>
            <w:t>存货盘存制度为永续盘存制。</w:t>
          </w:r>
        </w:p>
        <w:p w14:paraId="282CEA08">
          <w:pPr>
            <w:ind w:firstLine="420" w:firstLineChars="200"/>
            <w:rPr>
              <w:rFonts w:hint="eastAsia"/>
              <w:szCs w:val="21"/>
            </w:rPr>
          </w:pPr>
          <w:r>
            <w:rPr>
              <w:rFonts w:hint="eastAsia"/>
              <w:szCs w:val="21"/>
            </w:rPr>
            <w:t>（4）低值易耗品和包装物的摊销方法</w:t>
          </w:r>
        </w:p>
        <w:p w14:paraId="5E1B0228">
          <w:pPr>
            <w:ind w:firstLine="420" w:firstLineChars="200"/>
            <w:rPr>
              <w:rFonts w:hint="eastAsia"/>
              <w:szCs w:val="21"/>
            </w:rPr>
          </w:pPr>
          <w:r>
            <w:rPr>
              <w:rFonts w:hint="eastAsia"/>
              <w:szCs w:val="21"/>
            </w:rPr>
            <w:t>1）低值易耗品采用一次转销法进行摊销；</w:t>
          </w:r>
        </w:p>
        <w:p w14:paraId="4D2E9CC9">
          <w:pPr>
            <w:ind w:firstLine="420" w:firstLineChars="200"/>
            <w:rPr>
              <w:rFonts w:hint="eastAsia"/>
              <w:szCs w:val="21"/>
            </w:rPr>
          </w:pPr>
          <w:r>
            <w:rPr>
              <w:rFonts w:hint="eastAsia"/>
              <w:szCs w:val="21"/>
            </w:rPr>
            <w:t>2）包装物采用一次转销法进行摊销。</w:t>
          </w:r>
        </w:p>
        <w:p w14:paraId="5B4777C4">
          <w:pPr>
            <w:ind w:firstLine="420" w:firstLineChars="200"/>
            <w:rPr>
              <w:rFonts w:hint="eastAsia"/>
              <w:szCs w:val="21"/>
            </w:rPr>
          </w:pPr>
          <w:r>
            <w:rPr>
              <w:rFonts w:hint="eastAsia"/>
              <w:szCs w:val="21"/>
            </w:rPr>
            <w:t>3）其他周转材料采用一次转销法进行摊销。</w:t>
          </w:r>
        </w:p>
      </w:sdtContent>
    </w:sdt>
    <w:p w14:paraId="5FCA7218">
      <w:pPr>
        <w:rPr>
          <w:rFonts w:hint="eastAsia" w:cs="Times New Roman"/>
          <w:szCs w:val="21"/>
        </w:rPr>
      </w:pPr>
    </w:p>
    <w:p w14:paraId="7487DF07">
      <w:pPr>
        <w:rPr>
          <w:rFonts w:hint="eastAsia" w:cs="Times New Roman"/>
          <w:b/>
          <w:kern w:val="2"/>
          <w:szCs w:val="28"/>
        </w:rPr>
      </w:pPr>
      <w:r>
        <w:rPr>
          <w:rFonts w:cs="Times New Roman"/>
          <w:b/>
          <w:kern w:val="2"/>
          <w:szCs w:val="28"/>
        </w:rPr>
        <w:t>存货跌价准备的确认标准和计提方法</w:t>
      </w:r>
    </w:p>
    <w:sdt>
      <w:sdtPr>
        <w:rPr>
          <w:szCs w:val="21"/>
        </w:rPr>
        <w:alias w:val="是否适用：存货跌价准备的确认标准和计提方法[双击切换]"/>
        <w:tag w:val="_GBC_6e8ebb9994fe404dba2a12ec5c785d83"/>
        <w:id w:val="223036003"/>
        <w:placeholder>
          <w:docPart w:val="GBC22222222222222222222222222222"/>
        </w:placeholder>
      </w:sdtPr>
      <w:sdtEndPr>
        <w:rPr>
          <w:szCs w:val="21"/>
        </w:rPr>
      </w:sdtEndPr>
      <w:sdtContent>
        <w:p w14:paraId="1B84075B">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跌价准备的确认标准和计提方法"/>
        <w:tag w:val="_GBC_94e79c0b2c2f4552b5ec962b8df1c2f0"/>
        <w:id w:val="323710981"/>
        <w:placeholder>
          <w:docPart w:val="GBC22222222222222222222222222222"/>
        </w:placeholder>
      </w:sdtPr>
      <w:sdtEndPr>
        <w:rPr>
          <w:szCs w:val="21"/>
        </w:rPr>
      </w:sdtEndPr>
      <w:sdtContent>
        <w:p w14:paraId="1BE6B393">
          <w:pPr>
            <w:ind w:firstLine="420" w:firstLineChars="200"/>
            <w:rPr>
              <w:rFonts w:hint="eastAsia"/>
              <w:szCs w:val="21"/>
            </w:rPr>
          </w:pPr>
          <w:r>
            <w:rPr>
              <w:rFonts w:hint="eastAsia"/>
              <w:szCs w:val="21"/>
            </w:rPr>
            <w:t>期末对存货进行全面清查后，按存货的成本与可变现净值孰低提取或调整存货跌价准备。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331AF29E">
          <w:pPr>
            <w:ind w:firstLine="420" w:firstLineChars="200"/>
            <w:rPr>
              <w:rFonts w:hint="eastAsia"/>
              <w:szCs w:val="21"/>
            </w:rPr>
          </w:pPr>
          <w:r>
            <w:rPr>
              <w:rFonts w:hint="eastAsia"/>
              <w:szCs w:val="21"/>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w:t>
          </w:r>
        </w:p>
      </w:sdtContent>
    </w:sdt>
    <w:p w14:paraId="2BDA78F5">
      <w:pPr>
        <w:rPr>
          <w:rFonts w:hint="eastAsia" w:cs="Times New Roman"/>
          <w:b/>
          <w:kern w:val="2"/>
          <w:szCs w:val="28"/>
        </w:rPr>
      </w:pPr>
    </w:p>
    <w:p w14:paraId="775F1582">
      <w:pPr>
        <w:rPr>
          <w:rFonts w:hint="eastAsia" w:cs="Times New Roman"/>
          <w:b/>
          <w:kern w:val="2"/>
          <w:szCs w:val="28"/>
        </w:rPr>
      </w:pPr>
      <w:r>
        <w:rPr>
          <w:rFonts w:cs="Times New Roman"/>
          <w:b/>
          <w:kern w:val="2"/>
          <w:szCs w:val="28"/>
        </w:rPr>
        <w:t>按照组合计提存货跌价准备的组合类别及确定依据</w:t>
      </w:r>
      <w:r>
        <w:rPr>
          <w:rFonts w:hint="eastAsia" w:cs="Times New Roman"/>
          <w:b/>
          <w:bCs/>
          <w:kern w:val="2"/>
          <w:szCs w:val="28"/>
        </w:rPr>
        <w:t>、</w:t>
      </w:r>
      <w:r>
        <w:rPr>
          <w:rFonts w:hint="eastAsia"/>
          <w:b/>
          <w:bCs/>
        </w:rPr>
        <w:t>不同类别存货可变现净值的确定依据</w:t>
      </w:r>
    </w:p>
    <w:sdt>
      <w:sdtPr>
        <w:rPr>
          <w:szCs w:val="21"/>
        </w:rPr>
        <w:alias w:val="是否适用：按照组合计提存货跌价准备的组合类别及确定依据、不同类别存货可变现净值的确定依据[双击切换]"/>
        <w:tag w:val="_GBC_497390f68e764f2baa3b06eda7d6c944"/>
        <w:id w:val="-687291140"/>
        <w:placeholder>
          <w:docPart w:val="GBC22222222222222222222222222222"/>
        </w:placeholder>
      </w:sdtPr>
      <w:sdtEndPr>
        <w:rPr>
          <w:szCs w:val="21"/>
        </w:rPr>
      </w:sdtEndPr>
      <w:sdtContent>
        <w:p w14:paraId="5EE45EA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A10F380">
      <w:pPr>
        <w:rPr>
          <w:rFonts w:hint="eastAsia" w:cs="Times New Roman"/>
          <w:b/>
          <w:kern w:val="2"/>
          <w:szCs w:val="28"/>
        </w:rPr>
      </w:pPr>
    </w:p>
    <w:p w14:paraId="775A81D6">
      <w:pPr>
        <w:rPr>
          <w:rFonts w:hint="eastAsia" w:cs="Times New Roman"/>
          <w:b/>
          <w:kern w:val="2"/>
          <w:szCs w:val="28"/>
        </w:rPr>
      </w:pPr>
      <w:r>
        <w:rPr>
          <w:rFonts w:cs="Times New Roman"/>
          <w:b/>
          <w:kern w:val="2"/>
          <w:szCs w:val="28"/>
        </w:rPr>
        <w:t>基于库龄确认存货可变现净值的各库龄组合可变现净值的计算方法和确定依据</w:t>
      </w:r>
    </w:p>
    <w:sdt>
      <w:sdtPr>
        <w:rPr>
          <w:szCs w:val="21"/>
        </w:rPr>
        <w:alias w:val="是否适用：基于库龄确认存货可变现净值的各库龄组合可变现净值的计算方法和确定依据[双击切换]"/>
        <w:tag w:val="_GBC_9d365dfe8a544c55a4c1edb1470b656d"/>
        <w:id w:val="1482272407"/>
        <w:placeholder>
          <w:docPart w:val="GBC22222222222222222222222222222"/>
        </w:placeholder>
      </w:sdtPr>
      <w:sdtEndPr>
        <w:rPr>
          <w:szCs w:val="21"/>
        </w:rPr>
      </w:sdtEndPr>
      <w:sdtContent>
        <w:p w14:paraId="729EBD6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ED632BA">
      <w:pPr>
        <w:rPr>
          <w:rFonts w:hint="eastAsia" w:cs="Times New Roman"/>
          <w:szCs w:val="21"/>
        </w:rPr>
      </w:pPr>
    </w:p>
    <w:p w14:paraId="0A64D686">
      <w:pPr>
        <w:pStyle w:val="70"/>
        <w:numPr>
          <w:ilvl w:val="0"/>
          <w:numId w:val="101"/>
        </w:numPr>
      </w:pPr>
      <w:bookmarkStart w:id="224" w:name="_Hlk533667851"/>
      <w:r>
        <w:rPr>
          <w:rFonts w:hint="eastAsia"/>
          <w:szCs w:val="21"/>
        </w:rPr>
        <w:t>合同资产</w:t>
      </w:r>
    </w:p>
    <w:sdt>
      <w:sdtPr>
        <w:rPr>
          <w:rFonts w:hint="eastAsia"/>
        </w:rPr>
        <w:alias w:val="是否适用：合同资产_重要会计政策和估计[双击切换]"/>
        <w:tag w:val="_GBC_5a88c6aff74e4eb184d0541279c7f45e"/>
        <w:id w:val="1166131697"/>
        <w:placeholder>
          <w:docPart w:val="GBC22222222222222222222222222222"/>
        </w:placeholder>
      </w:sdtPr>
      <w:sdtEndPr>
        <w:rPr>
          <w:rFonts w:hint="eastAsia"/>
        </w:rPr>
      </w:sdtEndPr>
      <w:sdtContent>
        <w:p w14:paraId="59869B0F">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1BF77A20">
      <w:pPr>
        <w:rPr>
          <w:rFonts w:hint="eastAsia" w:cs="Times New Roman"/>
          <w:b/>
          <w:kern w:val="2"/>
          <w:szCs w:val="28"/>
        </w:rPr>
      </w:pPr>
      <w:r>
        <w:rPr>
          <w:rFonts w:hint="eastAsia" w:cs="Times New Roman"/>
          <w:b/>
          <w:kern w:val="2"/>
          <w:szCs w:val="28"/>
        </w:rPr>
        <w:t>合同资产的确认方法及标准</w:t>
      </w:r>
    </w:p>
    <w:sdt>
      <w:sdtPr>
        <w:rPr>
          <w:szCs w:val="21"/>
        </w:rPr>
        <w:alias w:val="是否适用：合同资产的确定方法、摊销方法和减值测试方法[双击切换]"/>
        <w:tag w:val="_GBC_1b5df72f15664694ad46f712f5c33e91"/>
        <w:id w:val="-1433967894"/>
        <w:placeholder>
          <w:docPart w:val="GBC22222222222222222222222222222"/>
        </w:placeholder>
      </w:sdtPr>
      <w:sdtEndPr>
        <w:rPr>
          <w:szCs w:val="21"/>
        </w:rPr>
      </w:sdtEndPr>
      <w:sdtContent>
        <w:p w14:paraId="0014D1C8">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C082F4">
      <w:pPr>
        <w:ind w:firstLine="420" w:firstLineChars="200"/>
        <w:rPr>
          <w:rFonts w:hint="eastAsia"/>
          <w:szCs w:val="21"/>
        </w:rPr>
      </w:pPr>
      <w:sdt>
        <w:sdtPr>
          <w:rPr>
            <w:szCs w:val="21"/>
          </w:rPr>
          <w:alias w:val="合同资产的确定方法、摊销方法和减值测试方法"/>
          <w:tag w:val="_GBC_82d4491d0bbc4d81ab154bd0c0c35176"/>
          <w:id w:val="-48541181"/>
          <w:placeholder>
            <w:docPart w:val="GBC22222222222222222222222222222"/>
          </w:placeholder>
        </w:sdtPr>
        <w:sdtEndPr>
          <w:rPr>
            <w:szCs w:val="21"/>
          </w:rPr>
        </w:sdtEndPr>
        <w:sdtContent>
          <w:r>
            <w:rPr>
              <w:rFonts w:hint="eastAsia"/>
              <w:szCs w:val="21"/>
            </w:rPr>
            <w:t>本公司已向客户转让商品而有权收取对价的权利，且该权利取决于时间流逝之外的其他因素的，确认为合同资产。本公司拥有的无条件(即，仅取决于时间流逝)向客户收取对价的权利作为应收款项单独列示。</w:t>
          </w:r>
        </w:sdtContent>
      </w:sdt>
    </w:p>
    <w:p w14:paraId="296CA54F">
      <w:pPr>
        <w:rPr>
          <w:rFonts w:hint="eastAsia"/>
          <w:szCs w:val="21"/>
        </w:rPr>
      </w:pPr>
    </w:p>
    <w:bookmarkEnd w:id="224"/>
    <w:p w14:paraId="480E8092">
      <w:pPr>
        <w:rPr>
          <w:rFonts w:hint="eastAsia" w:cs="Times New Roman"/>
          <w:b/>
          <w:kern w:val="2"/>
          <w:szCs w:val="28"/>
        </w:rPr>
      </w:pPr>
      <w:r>
        <w:rPr>
          <w:rFonts w:cs="Times New Roman"/>
          <w:b/>
          <w:kern w:val="2"/>
          <w:szCs w:val="28"/>
        </w:rPr>
        <w:t>按照信用风险特征组合计提坏账准备的组合类别及确定依据</w:t>
      </w:r>
    </w:p>
    <w:sdt>
      <w:sdtPr>
        <w:rPr>
          <w:szCs w:val="21"/>
        </w:rPr>
        <w:alias w:val="是否适用：合同资产按照信用风险特征组合计提坏账准备的组合类别及确定依据[双击切换]"/>
        <w:tag w:val="_GBC_ebbe09c3657c4b539cc844981adf91e4"/>
        <w:id w:val="-1874530664"/>
        <w:placeholder>
          <w:docPart w:val="GBC22222222222222222222222222222"/>
        </w:placeholder>
      </w:sdtPr>
      <w:sdtEndPr>
        <w:rPr>
          <w:szCs w:val="21"/>
        </w:rPr>
      </w:sdtEndPr>
      <w:sdtContent>
        <w:p w14:paraId="6584445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E3E5A28">
      <w:pPr>
        <w:rPr>
          <w:rFonts w:hint="eastAsia" w:cs="Times New Roman"/>
          <w:b/>
          <w:bCs/>
          <w:kern w:val="2"/>
          <w:szCs w:val="28"/>
        </w:rPr>
      </w:pPr>
    </w:p>
    <w:p w14:paraId="59156BE0">
      <w:pPr>
        <w:rPr>
          <w:rFonts w:hint="eastAsia" w:cs="Times New Roman"/>
          <w:b/>
          <w:kern w:val="2"/>
          <w:szCs w:val="28"/>
        </w:rPr>
      </w:pPr>
      <w:r>
        <w:rPr>
          <w:rFonts w:cs="Times New Roman"/>
          <w:b/>
          <w:kern w:val="2"/>
          <w:szCs w:val="28"/>
        </w:rPr>
        <w:t>基于账龄确认信用风险特征组合的账龄计算方法</w:t>
      </w:r>
    </w:p>
    <w:sdt>
      <w:sdtPr>
        <w:rPr>
          <w:szCs w:val="21"/>
        </w:rPr>
        <w:alias w:val="是否适用：合同资产基于账龄确认信用风险特征组合的账龄计算方法[双击切换]"/>
        <w:tag w:val="_GBC_3400ff02bc46467bac74fee97f4388c5"/>
        <w:id w:val="-1631324729"/>
        <w:placeholder>
          <w:docPart w:val="GBC22222222222222222222222222222"/>
        </w:placeholder>
      </w:sdtPr>
      <w:sdtEndPr>
        <w:rPr>
          <w:szCs w:val="21"/>
        </w:rPr>
      </w:sdtEndPr>
      <w:sdtContent>
        <w:p w14:paraId="74D4FAF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9ACA4EE">
      <w:pPr>
        <w:rPr>
          <w:rFonts w:hint="eastAsia" w:cs="Times New Roman"/>
          <w:b/>
          <w:bCs/>
          <w:kern w:val="2"/>
          <w:szCs w:val="28"/>
        </w:rPr>
      </w:pPr>
    </w:p>
    <w:p w14:paraId="5F401826">
      <w:pPr>
        <w:rPr>
          <w:rFonts w:hint="eastAsia" w:cs="Times New Roman"/>
          <w:b/>
          <w:kern w:val="2"/>
          <w:szCs w:val="28"/>
        </w:rPr>
      </w:pPr>
      <w:r>
        <w:rPr>
          <w:rFonts w:cs="Times New Roman"/>
          <w:b/>
          <w:kern w:val="2"/>
          <w:szCs w:val="28"/>
        </w:rPr>
        <w:t>按照单项计提坏账准备的认定单项计提判断标准</w:t>
      </w:r>
    </w:p>
    <w:sdt>
      <w:sdtPr>
        <w:rPr>
          <w:szCs w:val="21"/>
        </w:rPr>
        <w:alias w:val="是否适用：合同资产按照单项计提坏账准备的单项计提判断标准[双击切换]"/>
        <w:tag w:val="_GBC_aec9a536d61144fa91c2f954c8ff8473"/>
        <w:id w:val="1094047605"/>
        <w:placeholder>
          <w:docPart w:val="GBC22222222222222222222222222222"/>
        </w:placeholder>
      </w:sdtPr>
      <w:sdtEndPr>
        <w:rPr>
          <w:szCs w:val="21"/>
        </w:rPr>
      </w:sdtEndPr>
      <w:sdtContent>
        <w:p w14:paraId="36FEA68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2483CB2">
      <w:pPr>
        <w:rPr>
          <w:rFonts w:hint="eastAsia"/>
          <w:szCs w:val="21"/>
        </w:rPr>
      </w:pPr>
    </w:p>
    <w:p w14:paraId="084D71D4">
      <w:pPr>
        <w:pStyle w:val="70"/>
        <w:numPr>
          <w:ilvl w:val="0"/>
          <w:numId w:val="101"/>
        </w:numPr>
      </w:pPr>
      <w:r>
        <w:rPr>
          <w:rFonts w:hint="eastAsia"/>
        </w:rPr>
        <w:t>持有</w:t>
      </w:r>
      <w:r>
        <w:rPr>
          <w:rFonts w:hint="eastAsia" w:ascii="宋体" w:hAnsi="宋体"/>
          <w:szCs w:val="21"/>
        </w:rPr>
        <w:t>待</w:t>
      </w:r>
      <w:r>
        <w:rPr>
          <w:rFonts w:ascii="宋体" w:hAnsi="宋体"/>
          <w:szCs w:val="21"/>
        </w:rPr>
        <w:t>售的非流动资产或处置组</w:t>
      </w:r>
    </w:p>
    <w:sdt>
      <w:sdtPr>
        <w:rPr>
          <w:szCs w:val="21"/>
        </w:rPr>
        <w:alias w:val="是否适用：持有待售的非流动资产或处置组[双击切换]"/>
        <w:tag w:val="_GBC_e7f5369a15ba4034bd2498c40687a411"/>
        <w:id w:val="60687074"/>
        <w:placeholder>
          <w:docPart w:val="GBC22222222222222222222222222222"/>
        </w:placeholder>
      </w:sdtPr>
      <w:sdtEndPr>
        <w:rPr>
          <w:szCs w:val="21"/>
        </w:rPr>
      </w:sdtEndPr>
      <w:sdtContent>
        <w:p w14:paraId="1E147A7B">
          <w:pPr>
            <w:rPr>
              <w:rFonts w:hint="eastAsia"/>
              <w:szCs w:val="21"/>
            </w:rPr>
          </w:pPr>
          <w:bookmarkStart w:id="225" w:name="_Hlk533151067"/>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有待售的非流动资产或处置组"/>
        <w:tag w:val="_GBC_e16c20842ee64f5b89c4184898380264"/>
        <w:id w:val="-822506807"/>
        <w:placeholder>
          <w:docPart w:val="GBC22222222222222222222222222222"/>
        </w:placeholder>
      </w:sdtPr>
      <w:sdtEndPr>
        <w:rPr>
          <w:szCs w:val="21"/>
        </w:rPr>
      </w:sdtEndPr>
      <w:sdtContent>
        <w:p w14:paraId="12AB7776">
          <w:pPr>
            <w:ind w:firstLine="420" w:firstLineChars="200"/>
            <w:rPr>
              <w:rFonts w:hint="eastAsia"/>
              <w:szCs w:val="21"/>
            </w:rPr>
          </w:pPr>
          <w:r>
            <w:rPr>
              <w:rFonts w:hint="eastAsia"/>
              <w:szCs w:val="21"/>
            </w:rPr>
            <w:t>资产负债表中持有待售的非流动资产或持有待售的处置组中的资产列示为持有待售资产，持有待售的处置组中的负债列示为持有待售负债。</w:t>
          </w:r>
        </w:p>
      </w:sdtContent>
    </w:sdt>
    <w:p w14:paraId="571294E0">
      <w:pPr>
        <w:rPr>
          <w:rFonts w:hint="eastAsia"/>
          <w:szCs w:val="21"/>
        </w:rPr>
      </w:pPr>
    </w:p>
    <w:bookmarkEnd w:id="225"/>
    <w:p w14:paraId="7EE63940">
      <w:pPr>
        <w:rPr>
          <w:rFonts w:hint="eastAsia" w:cs="Times New Roman"/>
          <w:b/>
          <w:kern w:val="2"/>
          <w:szCs w:val="21"/>
        </w:rPr>
      </w:pPr>
      <w:r>
        <w:rPr>
          <w:rFonts w:hint="eastAsia" w:cs="Times New Roman"/>
          <w:b/>
          <w:kern w:val="2"/>
          <w:szCs w:val="21"/>
        </w:rPr>
        <w:t>划分为持有待售的非流动资产或处置组的确认标准和会计处理方法</w:t>
      </w:r>
    </w:p>
    <w:sdt>
      <w:sdtPr>
        <w:rPr>
          <w:szCs w:val="21"/>
        </w:rPr>
        <w:alias w:val="是否适用：划分为持有待售的非流动资产或处置组的确认标准和会计处理方法[双击切换]"/>
        <w:tag w:val="_GBC_cf8b05c4ada54b2aac5743b74b5fdb45"/>
        <w:id w:val="-1939588557"/>
        <w:placeholder>
          <w:docPart w:val="GBC22222222222222222222222222222"/>
        </w:placeholder>
      </w:sdtPr>
      <w:sdtEndPr>
        <w:rPr>
          <w:szCs w:val="21"/>
        </w:rPr>
      </w:sdtEndPr>
      <w:sdtContent>
        <w:p w14:paraId="612F5152">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划分为持有待售的非流动资产或处置组的确认标准和会计处理方法"/>
        <w:tag w:val="_GBC_c6470b887f9546e5999bdc424f840526"/>
        <w:id w:val="294108255"/>
        <w:placeholder>
          <w:docPart w:val="GBC22222222222222222222222222222"/>
        </w:placeholder>
      </w:sdtPr>
      <w:sdtEndPr>
        <w:rPr>
          <w:szCs w:val="21"/>
        </w:rPr>
      </w:sdtEndPr>
      <w:sdtContent>
        <w:p w14:paraId="3A4B97CA">
          <w:pPr>
            <w:ind w:firstLine="420" w:firstLineChars="200"/>
            <w:rPr>
              <w:rFonts w:hint="eastAsia"/>
              <w:szCs w:val="21"/>
            </w:rPr>
          </w:pPr>
          <w:r>
            <w:rPr>
              <w:rFonts w:hint="eastAsia"/>
              <w:szCs w:val="21"/>
            </w:rPr>
            <w:t>(1)持有待售的非流动资产和处置组确认标准</w:t>
          </w:r>
        </w:p>
        <w:p w14:paraId="010AE15A">
          <w:pPr>
            <w:ind w:firstLine="420" w:firstLineChars="200"/>
            <w:rPr>
              <w:rFonts w:hint="eastAsia"/>
              <w:szCs w:val="21"/>
            </w:rPr>
          </w:pPr>
          <w:r>
            <w:rPr>
              <w:rFonts w:hint="eastAsia"/>
              <w:szCs w:val="21"/>
            </w:rPr>
            <w:t>本公司将同时满足下列条件的非流动资产或处置组确认为持有待售组成部分：</w:t>
          </w:r>
        </w:p>
        <w:p w14:paraId="1973D951">
          <w:pPr>
            <w:ind w:firstLine="420" w:firstLineChars="200"/>
            <w:rPr>
              <w:rFonts w:hint="eastAsia"/>
              <w:szCs w:val="21"/>
            </w:rPr>
          </w:pPr>
          <w:r>
            <w:rPr>
              <w:rFonts w:hint="eastAsia"/>
              <w:szCs w:val="21"/>
            </w:rPr>
            <w:t>①根据类似交易中出售此类资产或处置组的惯例，在当前状况下即可立即出售；</w:t>
          </w:r>
        </w:p>
        <w:p w14:paraId="0C64C4EF">
          <w:pPr>
            <w:ind w:firstLine="420" w:firstLineChars="200"/>
            <w:rPr>
              <w:rFonts w:hint="eastAsia"/>
              <w:szCs w:val="21"/>
            </w:rPr>
          </w:pPr>
          <w:r>
            <w:rPr>
              <w:rFonts w:hint="eastAsia"/>
              <w:szCs w:val="21"/>
            </w:rPr>
            <w:t>②出售极可能发生，即本公司已经就一项出售计划作出决议，并已获得监管部门批准【如适用】，且获得确定的购买承诺，预计出售将在一年内完成。</w:t>
          </w:r>
        </w:p>
        <w:p w14:paraId="10E3AEE6">
          <w:pPr>
            <w:ind w:firstLine="420" w:firstLineChars="200"/>
            <w:rPr>
              <w:rFonts w:hint="eastAsia"/>
              <w:szCs w:val="21"/>
            </w:rPr>
          </w:pPr>
          <w:r>
            <w:rPr>
              <w:rFonts w:hint="eastAsia"/>
              <w:szCs w:val="21"/>
            </w:rPr>
            <w:t>确定的购买承诺，是指本公司与其他方签订的具有法律约束力的购买协议，该协议包含交易价格、时间和足够严厉的违约惩罚等重要条款，使协议出现重大调整或者撤销的可能性极小。</w:t>
          </w:r>
        </w:p>
        <w:p w14:paraId="09B973E1">
          <w:pPr>
            <w:ind w:firstLine="420" w:firstLineChars="200"/>
            <w:rPr>
              <w:rFonts w:hint="eastAsia"/>
              <w:szCs w:val="21"/>
            </w:rPr>
          </w:pPr>
          <w:r>
            <w:rPr>
              <w:rFonts w:hint="eastAsia"/>
              <w:szCs w:val="21"/>
            </w:rPr>
            <w:t>（2）会计处理方法</w:t>
          </w:r>
        </w:p>
        <w:p w14:paraId="2A9F310E">
          <w:pPr>
            <w:ind w:firstLine="420" w:firstLineChars="200"/>
            <w:rPr>
              <w:rFonts w:hint="eastAsia"/>
              <w:szCs w:val="21"/>
            </w:rPr>
          </w:pPr>
          <w:r>
            <w:rPr>
              <w:rFonts w:hint="eastAsia"/>
              <w:szCs w:val="21"/>
            </w:rPr>
            <w:t>本公司对于持有待售的非流动资产或处置组不计提折旧或摊销，其账面价值高于公允价值减去出售费用后的净额的，应当将账面价值减记至公允价值减去出售费用后的净额，减记的金额确认为资产减值损失，计入当期损益，同时计提持有待售资产减值准备。</w:t>
          </w:r>
        </w:p>
        <w:p w14:paraId="3829ABA8">
          <w:pPr>
            <w:ind w:firstLine="420" w:firstLineChars="200"/>
            <w:rPr>
              <w:rFonts w:hint="eastAsia"/>
              <w:szCs w:val="21"/>
            </w:rPr>
          </w:pPr>
          <w:r>
            <w:rPr>
              <w:rFonts w:hint="eastAsia"/>
              <w:szCs w:val="21"/>
            </w:rPr>
            <w:t>对于取得日划分为持有待售类别的非流动资产或处置组，在初始计量时比较假定其不划分为持有待售类别情况下的初始计量金额和公允价值减去出售费用后的净额，以两者孰低计量。</w:t>
          </w:r>
        </w:p>
        <w:p w14:paraId="6F4FA767">
          <w:pPr>
            <w:ind w:firstLine="420" w:firstLineChars="200"/>
            <w:rPr>
              <w:rFonts w:hint="eastAsia"/>
              <w:szCs w:val="21"/>
            </w:rPr>
          </w:pPr>
          <w:r>
            <w:rPr>
              <w:rFonts w:hint="eastAsia"/>
              <w:szCs w:val="21"/>
            </w:rPr>
            <w:t>上述原则适用于所有非流动资产，但不包括采用公允价值模式进行后续计量的投资性房地产、采用公允价值减去出售费用后的净额计量的生物资产、职工薪酬形成的资产、递延所得税资产、由金融工具相关会计准则规范的金融资产、由保险合同相关会计准则规范的保险合同所产生的权利。</w:t>
          </w:r>
        </w:p>
      </w:sdtContent>
    </w:sdt>
    <w:p w14:paraId="5DD61AD8">
      <w:pPr>
        <w:rPr>
          <w:rFonts w:hint="eastAsia"/>
          <w:szCs w:val="21"/>
        </w:rPr>
      </w:pPr>
    </w:p>
    <w:p w14:paraId="79D0B731">
      <w:pPr>
        <w:rPr>
          <w:rFonts w:hint="eastAsia" w:cs="Times New Roman"/>
          <w:b/>
          <w:kern w:val="2"/>
          <w:szCs w:val="21"/>
        </w:rPr>
      </w:pPr>
      <w:r>
        <w:rPr>
          <w:rFonts w:cs="Times New Roman"/>
          <w:b/>
          <w:kern w:val="2"/>
          <w:szCs w:val="21"/>
        </w:rPr>
        <w:t>终止经营的认定标准和列报方法</w:t>
      </w:r>
    </w:p>
    <w:sdt>
      <w:sdtPr>
        <w:rPr>
          <w:szCs w:val="21"/>
        </w:rPr>
        <w:alias w:val="是否适用：终止经营的认定标准和列报方法[双击切换]"/>
        <w:tag w:val="_GBC_a323dd7cc84c4bd1bc42320036ce854b"/>
        <w:id w:val="-219281227"/>
        <w:placeholder>
          <w:docPart w:val="GBC22222222222222222222222222222"/>
        </w:placeholder>
      </w:sdtPr>
      <w:sdtEndPr>
        <w:rPr>
          <w:szCs w:val="21"/>
        </w:rPr>
      </w:sdtEndPr>
      <w:sdtContent>
        <w:p w14:paraId="3BA6BD3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6B6E9C4">
      <w:pPr>
        <w:rPr>
          <w:rFonts w:hint="eastAsia"/>
          <w:szCs w:val="21"/>
        </w:rPr>
      </w:pPr>
    </w:p>
    <w:p w14:paraId="3232A972">
      <w:pPr>
        <w:pStyle w:val="70"/>
        <w:numPr>
          <w:ilvl w:val="0"/>
          <w:numId w:val="101"/>
        </w:numPr>
      </w:pPr>
      <w:r>
        <w:t>长期股权投资</w:t>
      </w:r>
    </w:p>
    <w:sdt>
      <w:sdtPr>
        <w:rPr>
          <w:rFonts w:hint="eastAsia"/>
          <w:szCs w:val="21"/>
        </w:rPr>
        <w:alias w:val="是否适用：长期股权投资_重要会计政策和估计[双击切换]"/>
        <w:tag w:val="_GBC_990faa4da4e64a5389a573293ba4981b"/>
        <w:id w:val="1632744477"/>
        <w:placeholder>
          <w:docPart w:val="GBC22222222222222222222222222222"/>
        </w:placeholder>
      </w:sdtPr>
      <w:sdtEndPr>
        <w:rPr>
          <w:rFonts w:hint="eastAsia"/>
          <w:szCs w:val="21"/>
        </w:rPr>
      </w:sdtEndPr>
      <w:sdtContent>
        <w:p w14:paraId="5C9B387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长期股权投资的核算方法"/>
        <w:tag w:val="_GBC_3e77074cd50946b1bccdff9bc1c9556f"/>
        <w:id w:val="618269069"/>
        <w:placeholder>
          <w:docPart w:val="GBC22222222222222222222222222222"/>
        </w:placeholder>
      </w:sdtPr>
      <w:sdtEndPr>
        <w:rPr>
          <w:szCs w:val="21"/>
        </w:rPr>
      </w:sdtEndPr>
      <w:sdtContent>
        <w:p w14:paraId="472400F3">
          <w:pPr>
            <w:ind w:firstLine="420" w:firstLineChars="200"/>
            <w:rPr>
              <w:rFonts w:hint="eastAsia"/>
              <w:szCs w:val="21"/>
            </w:rPr>
          </w:pPr>
          <w:r>
            <w:rPr>
              <w:rFonts w:hint="eastAsia"/>
              <w:szCs w:val="21"/>
            </w:rPr>
            <w:t>（1）初始投资成本的确定</w:t>
          </w:r>
        </w:p>
        <w:p w14:paraId="4B454C0F">
          <w:pPr>
            <w:ind w:firstLine="420" w:firstLineChars="200"/>
            <w:rPr>
              <w:rFonts w:hint="eastAsia"/>
              <w:szCs w:val="21"/>
            </w:rPr>
          </w:pPr>
          <w:r>
            <w:rPr>
              <w:rFonts w:hint="eastAsia"/>
              <w:szCs w:val="21"/>
            </w:rPr>
            <w:t>1）企业合并形成的长期股权投资，具体会计政策详见本附注五、6.同一控制下和非同一控制下企业合并的会计处理方法。</w:t>
          </w:r>
        </w:p>
        <w:p w14:paraId="3C83B6DD">
          <w:pPr>
            <w:ind w:firstLine="420" w:firstLineChars="200"/>
            <w:rPr>
              <w:rFonts w:hint="eastAsia"/>
              <w:szCs w:val="21"/>
            </w:rPr>
          </w:pPr>
          <w:r>
            <w:rPr>
              <w:rFonts w:hint="eastAsia"/>
              <w:szCs w:val="21"/>
            </w:rPr>
            <w:t>2）其他方式取得的长期股权投资</w:t>
          </w:r>
        </w:p>
        <w:p w14:paraId="240B06D7">
          <w:pPr>
            <w:ind w:firstLine="420" w:firstLineChars="200"/>
            <w:rPr>
              <w:rFonts w:hint="eastAsia"/>
              <w:szCs w:val="21"/>
            </w:rPr>
          </w:pPr>
          <w:r>
            <w:rPr>
              <w:rFonts w:hint="eastAsia"/>
              <w:szCs w:val="21"/>
            </w:rPr>
            <w:t>以支付现金方式取得的长期股权投资，按照实际支付的购买价款作为初始投资成本。初始投资成本包括与取得长期股权投资直接相关的费用、税金及其他必要支出。</w:t>
          </w:r>
        </w:p>
        <w:p w14:paraId="561235AE">
          <w:pPr>
            <w:ind w:firstLine="420" w:firstLineChars="200"/>
            <w:rPr>
              <w:rFonts w:hint="eastAsia"/>
              <w:szCs w:val="21"/>
            </w:rPr>
          </w:pPr>
          <w:r>
            <w:rPr>
              <w:rFonts w:hint="eastAsia"/>
              <w:szCs w:val="21"/>
            </w:rPr>
            <w:t>以发行权益性证券取得的长期股权投资，按照发行权益性证券的公允价值作为初始投资成本；发行或取得自身权益工具时发生的交易费用，可直接归属于权益性交易的从权益中扣减。</w:t>
          </w:r>
        </w:p>
        <w:p w14:paraId="13A22A4E">
          <w:pPr>
            <w:ind w:firstLine="420" w:firstLineChars="200"/>
            <w:rPr>
              <w:rFonts w:hint="eastAsia"/>
              <w:szCs w:val="21"/>
            </w:rPr>
          </w:pPr>
          <w:r>
            <w:rPr>
              <w:rFonts w:hint="eastAsia"/>
              <w:szCs w:val="21"/>
            </w:rPr>
            <w:t>在非货币性资产交换具备商业实质和换入资产或换出资产的公允价值能够可靠计量的前提下，非货币性资产交换换入的长期股权投资以换出资产的公允价值为基础确定其初始投资成本，除非有确凿证据表明换入资产的公允价值更加可靠；不满足上述前提的非货币性资产交换，以换出资产的账面价值和应支付的相关税费作为换入长期股权投资的初始投资成本。</w:t>
          </w:r>
        </w:p>
        <w:p w14:paraId="4F3DC0DC">
          <w:pPr>
            <w:ind w:firstLine="420" w:firstLineChars="200"/>
            <w:rPr>
              <w:rFonts w:hint="eastAsia"/>
              <w:szCs w:val="21"/>
            </w:rPr>
          </w:pPr>
          <w:r>
            <w:rPr>
              <w:rFonts w:hint="eastAsia"/>
              <w:szCs w:val="21"/>
            </w:rPr>
            <w:t>通过债务重组取得的长期股权投资，其初始投资成本按照公允价值为基础确定。</w:t>
          </w:r>
        </w:p>
        <w:p w14:paraId="0F1C9F8D">
          <w:pPr>
            <w:ind w:firstLine="420" w:firstLineChars="200"/>
            <w:rPr>
              <w:rFonts w:hint="eastAsia"/>
              <w:szCs w:val="21"/>
            </w:rPr>
          </w:pPr>
          <w:r>
            <w:rPr>
              <w:rFonts w:hint="eastAsia"/>
              <w:szCs w:val="21"/>
            </w:rPr>
            <w:t>（2）后续计量及损益确认</w:t>
          </w:r>
        </w:p>
        <w:p w14:paraId="58219FB7">
          <w:pPr>
            <w:ind w:firstLine="420" w:firstLineChars="200"/>
            <w:rPr>
              <w:rFonts w:hint="eastAsia"/>
              <w:szCs w:val="21"/>
            </w:rPr>
          </w:pPr>
          <w:r>
            <w:rPr>
              <w:rFonts w:hint="eastAsia"/>
              <w:szCs w:val="21"/>
            </w:rPr>
            <w:t>1）成本法</w:t>
          </w:r>
        </w:p>
        <w:p w14:paraId="1CF911DD">
          <w:pPr>
            <w:ind w:firstLine="420" w:firstLineChars="200"/>
            <w:rPr>
              <w:rFonts w:hint="eastAsia"/>
              <w:szCs w:val="21"/>
            </w:rPr>
          </w:pPr>
          <w:r>
            <w:rPr>
              <w:rFonts w:hint="eastAsia"/>
              <w:szCs w:val="21"/>
            </w:rPr>
            <w:t>本公司能够对被投资单位实施控制的长期股权投资采用成本法核算，并按照初始投资成本计价，追加或收回投资调整长期股权投资的成本。</w:t>
          </w:r>
        </w:p>
        <w:p w14:paraId="1A2F11B8">
          <w:pPr>
            <w:ind w:firstLine="420" w:firstLineChars="200"/>
            <w:rPr>
              <w:rFonts w:hint="eastAsia"/>
              <w:szCs w:val="21"/>
            </w:rPr>
          </w:pPr>
          <w:r>
            <w:rPr>
              <w:rFonts w:hint="eastAsia"/>
              <w:szCs w:val="21"/>
            </w:rPr>
            <w:t>除取得投资时实际支付的价款或对价中包含的已宣告但尚未发放的现金股利或利润外，本公司按照享有被投资单位宣告分派的现金股利或利润确认为当期投资收益。</w:t>
          </w:r>
        </w:p>
        <w:p w14:paraId="1AC78FCB">
          <w:pPr>
            <w:ind w:firstLine="420" w:firstLineChars="200"/>
            <w:rPr>
              <w:rFonts w:hint="eastAsia"/>
              <w:szCs w:val="21"/>
            </w:rPr>
          </w:pPr>
          <w:r>
            <w:rPr>
              <w:rFonts w:hint="eastAsia"/>
              <w:szCs w:val="21"/>
            </w:rPr>
            <w:t>2）权益法</w:t>
          </w:r>
        </w:p>
        <w:p w14:paraId="74E43150">
          <w:pPr>
            <w:ind w:firstLine="420" w:firstLineChars="200"/>
            <w:rPr>
              <w:rFonts w:hint="eastAsia"/>
              <w:szCs w:val="21"/>
            </w:rPr>
          </w:pPr>
          <w:r>
            <w:rPr>
              <w:rFonts w:hint="eastAsia"/>
              <w:szCs w:val="21"/>
            </w:rPr>
            <w:t>本公司对联营企业和合营企业的长期股权投资采用权益法核算；对于其中一部分通过风险投资机构、共同基金、信托公司或包括投连险基金在内的类似主体间接持有的联营企业的权益性投资，采用公允价值计量且其变动计入损益。</w:t>
          </w:r>
        </w:p>
        <w:p w14:paraId="7144D0B5">
          <w:pPr>
            <w:ind w:firstLine="420" w:firstLineChars="200"/>
            <w:rPr>
              <w:rFonts w:hint="eastAsia"/>
              <w:szCs w:val="21"/>
            </w:rPr>
          </w:pPr>
          <w:r>
            <w:rPr>
              <w:rFonts w:hint="eastAsia"/>
              <w:szCs w:val="21"/>
            </w:rPr>
            <w:t>长期股权投资的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14:paraId="78079953">
          <w:pPr>
            <w:ind w:firstLine="420" w:firstLineChars="200"/>
            <w:rPr>
              <w:rFonts w:hint="eastAsia"/>
              <w:szCs w:val="21"/>
            </w:rPr>
          </w:pPr>
          <w:r>
            <w:rPr>
              <w:rFonts w:hint="eastAsia"/>
              <w:szCs w:val="21"/>
            </w:rPr>
            <w:t>本公司取得长期股权投资后，按照应享有或应分担的被投资单位实现的净损益和其他综合收益的份额，分别确认投资收益和其他综合收益，同时调整长期股权投资的账面价值；并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14:paraId="569202CE">
          <w:pPr>
            <w:ind w:firstLine="420" w:firstLineChars="200"/>
            <w:rPr>
              <w:rFonts w:hint="eastAsia"/>
              <w:szCs w:val="21"/>
            </w:rPr>
          </w:pPr>
          <w:r>
            <w:rPr>
              <w:rFonts w:hint="eastAsia"/>
              <w:szCs w:val="21"/>
            </w:rPr>
            <w:t>本公司在确认应享有被投资单位净损益的份额时，以取得投资时被投资单位各项可辨认资产等的公允价值为基础，对被投资单位的净利润进行调整后确认。本公司与联营企业、合营企业之间发生的未实现内部交易损益按照应享有的比例计算归属于本公司的部分予以抵销，在此基础上确认投资损益。</w:t>
          </w:r>
        </w:p>
        <w:p w14:paraId="3A828A34">
          <w:pPr>
            <w:ind w:firstLine="420" w:firstLineChars="200"/>
            <w:rPr>
              <w:rFonts w:hint="eastAsia"/>
              <w:szCs w:val="21"/>
            </w:rPr>
          </w:pPr>
          <w:r>
            <w:rPr>
              <w:rFonts w:hint="eastAsia"/>
              <w:szCs w:val="21"/>
            </w:rPr>
            <w:t>本公司确认应分担被投资单位发生的亏损时，按照以下顺序进行处理：首先，冲减长期股权投资的账面价值。其次，长期股权投资的账面价值不足以冲减的，以其他实质上构成【应明确“其他实质上构成投资”的具体内容和认定标准】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14:paraId="3CFCBFE9">
          <w:pPr>
            <w:ind w:firstLine="420" w:firstLineChars="200"/>
            <w:rPr>
              <w:rFonts w:hint="eastAsia"/>
              <w:szCs w:val="21"/>
            </w:rPr>
          </w:pPr>
          <w:r>
            <w:rPr>
              <w:rFonts w:hint="eastAsia"/>
              <w:szCs w:val="21"/>
            </w:rPr>
            <w:t>被投资单位以后期间实现盈利的，公司在扣除未确认的亏损分担额后，按与上述相反的顺序处理，减记已确认预计负债的账面余额、恢复其他实质上构成对被投资单位净投资的长期权益及长期股权投资的账面价值后，恢复确认投资收益。</w:t>
          </w:r>
        </w:p>
        <w:p w14:paraId="475B3160">
          <w:pPr>
            <w:ind w:firstLine="420" w:firstLineChars="200"/>
            <w:rPr>
              <w:rFonts w:hint="eastAsia"/>
              <w:szCs w:val="21"/>
            </w:rPr>
          </w:pPr>
          <w:r>
            <w:rPr>
              <w:rFonts w:hint="eastAsia"/>
              <w:szCs w:val="21"/>
            </w:rPr>
            <w:t>（3）长期股权投资核算方法的转换</w:t>
          </w:r>
        </w:p>
        <w:p w14:paraId="108200A7">
          <w:pPr>
            <w:ind w:firstLine="420" w:firstLineChars="200"/>
            <w:rPr>
              <w:rFonts w:hint="eastAsia"/>
              <w:szCs w:val="21"/>
            </w:rPr>
          </w:pPr>
          <w:r>
            <w:rPr>
              <w:rFonts w:hint="eastAsia"/>
              <w:szCs w:val="21"/>
            </w:rPr>
            <w:t>1）公允价值计量转权益法核算</w:t>
          </w:r>
        </w:p>
        <w:p w14:paraId="665FB2CC">
          <w:pPr>
            <w:ind w:firstLine="420" w:firstLineChars="200"/>
            <w:rPr>
              <w:rFonts w:hint="eastAsia"/>
              <w:szCs w:val="21"/>
            </w:rPr>
          </w:pPr>
          <w:r>
            <w:rPr>
              <w:rFonts w:hint="eastAsia"/>
              <w:szCs w:val="21"/>
            </w:rPr>
            <w:t>本公司原持有的对被投资单位不具有控制、共同控制或重大影响的按金融工具确认和计量准则进行会计处理的权益性投资，因追加投资等原因能够对被投资单位施加重大影响或实施共同控制但不构成控制的，按照《企业会计准则第22号——金融工具确认和计量》确定的原持有的股权投资的公允价值加上新增投资成本之和，作为改按权益法核算的初始投资成本。</w:t>
          </w:r>
        </w:p>
        <w:p w14:paraId="005B3BCB">
          <w:pPr>
            <w:ind w:firstLine="420" w:firstLineChars="200"/>
            <w:rPr>
              <w:rFonts w:hint="eastAsia"/>
              <w:szCs w:val="21"/>
            </w:rPr>
          </w:pPr>
          <w:r>
            <w:rPr>
              <w:rFonts w:hint="eastAsia"/>
              <w:szCs w:val="21"/>
            </w:rPr>
            <w:t>按权益法核算的初始投资成本小于按照追加投资后全新的持股比例计算确定的应享有被投资单位在追加投资日可辨认净资产公允价值份额之间的差额，调整长期股权投资的账面价值，并计入当期营业外收入。</w:t>
          </w:r>
        </w:p>
        <w:p w14:paraId="47117BA4">
          <w:pPr>
            <w:ind w:firstLine="420" w:firstLineChars="200"/>
            <w:rPr>
              <w:rFonts w:hint="eastAsia"/>
              <w:szCs w:val="21"/>
            </w:rPr>
          </w:pPr>
          <w:r>
            <w:rPr>
              <w:rFonts w:hint="eastAsia"/>
              <w:szCs w:val="21"/>
            </w:rPr>
            <w:t>2）公允价值计量或权益法核算转成本法核算</w:t>
          </w:r>
        </w:p>
        <w:p w14:paraId="04C11275">
          <w:pPr>
            <w:ind w:firstLine="420" w:firstLineChars="200"/>
            <w:rPr>
              <w:rFonts w:hint="eastAsia"/>
              <w:szCs w:val="21"/>
            </w:rPr>
          </w:pPr>
          <w:r>
            <w:rPr>
              <w:rFonts w:hint="eastAsia"/>
              <w:szCs w:val="21"/>
            </w:rPr>
            <w:t>本公司原持有的对被投资单位不具有控制、共同控制或重大影响的按金融工具确认和计量准则进行会计处理的权益性投资，或原持有对联营企业、合营企业的长期股权投资，因追加投资等原因能够对非同一控制下的被投资单位实施控制的，在编制个别财务报表时，按照原持有的股权投资账面价值加上新增投资成本之和，作为改按成本法核算的初始投资成本。</w:t>
          </w:r>
        </w:p>
        <w:p w14:paraId="7DEDC620">
          <w:pPr>
            <w:ind w:firstLine="420" w:firstLineChars="200"/>
            <w:rPr>
              <w:rFonts w:hint="eastAsia"/>
              <w:szCs w:val="21"/>
            </w:rPr>
          </w:pPr>
          <w:r>
            <w:rPr>
              <w:rFonts w:hint="eastAsia"/>
              <w:szCs w:val="21"/>
            </w:rPr>
            <w:t>购买日之前持有的股权投资因采用权益法核算而确认的其他综合收益，在处置该项投资时采用与被投资单位直接处置相关资产或负债相同的基础进行会计处理。</w:t>
          </w:r>
        </w:p>
        <w:p w14:paraId="25D6BF99">
          <w:pPr>
            <w:ind w:firstLine="420" w:firstLineChars="200"/>
            <w:rPr>
              <w:rFonts w:hint="eastAsia"/>
              <w:szCs w:val="21"/>
            </w:rPr>
          </w:pPr>
          <w:r>
            <w:rPr>
              <w:rFonts w:hint="eastAsia"/>
              <w:szCs w:val="21"/>
            </w:rPr>
            <w:t>购买日之前持有的股权投资按照《企业会计准则第22号——金融工具确认和计量》的有关规定进行会计处理的，原计入其他综合收益的累计公允价值变动在改按成本法核算时转入当期损益。</w:t>
          </w:r>
        </w:p>
        <w:p w14:paraId="3A8121BB">
          <w:pPr>
            <w:ind w:firstLine="420" w:firstLineChars="200"/>
            <w:rPr>
              <w:rFonts w:hint="eastAsia"/>
              <w:szCs w:val="21"/>
            </w:rPr>
          </w:pPr>
          <w:r>
            <w:rPr>
              <w:rFonts w:hint="eastAsia"/>
              <w:szCs w:val="21"/>
            </w:rPr>
            <w:t>3）权益法核算转公允价值计量</w:t>
          </w:r>
        </w:p>
        <w:p w14:paraId="06F7D1E9">
          <w:pPr>
            <w:ind w:firstLine="420" w:firstLineChars="200"/>
            <w:rPr>
              <w:rFonts w:hint="eastAsia"/>
              <w:szCs w:val="21"/>
            </w:rPr>
          </w:pPr>
          <w:r>
            <w:rPr>
              <w:rFonts w:hint="eastAsia"/>
              <w:szCs w:val="21"/>
            </w:rPr>
            <w:t>本公司因处置部分股权投资等原因丧失了对被投资单位的共同控制或重大影响的，处置后的剩余股权改按《企业会计准则第22号——金融工具确认和计量》核算，其在丧失共同控制或重大影响之日的公允价值与账面价值之间的差额计入当期损益。</w:t>
          </w:r>
        </w:p>
        <w:p w14:paraId="6C3C9C5A">
          <w:pPr>
            <w:ind w:firstLine="420" w:firstLineChars="200"/>
            <w:rPr>
              <w:rFonts w:hint="eastAsia"/>
              <w:szCs w:val="21"/>
            </w:rPr>
          </w:pPr>
          <w:r>
            <w:rPr>
              <w:rFonts w:hint="eastAsia"/>
              <w:szCs w:val="21"/>
            </w:rPr>
            <w:t>原股权投资因采用权益法核算而确认的其他综合收益，在终止采用权益法核算时采用与被投资单位直接处置相关资产或负债相同的基础进行会计处理。</w:t>
          </w:r>
        </w:p>
        <w:p w14:paraId="6C471830">
          <w:pPr>
            <w:ind w:firstLine="420" w:firstLineChars="200"/>
            <w:rPr>
              <w:rFonts w:hint="eastAsia"/>
              <w:szCs w:val="21"/>
            </w:rPr>
          </w:pPr>
          <w:r>
            <w:rPr>
              <w:rFonts w:hint="eastAsia"/>
              <w:szCs w:val="21"/>
            </w:rPr>
            <w:t>4）成本法转权益法</w:t>
          </w:r>
        </w:p>
        <w:p w14:paraId="7E77CE10">
          <w:pPr>
            <w:ind w:firstLine="420" w:firstLineChars="200"/>
            <w:rPr>
              <w:rFonts w:hint="eastAsia"/>
              <w:szCs w:val="21"/>
            </w:rPr>
          </w:pPr>
          <w:r>
            <w:rPr>
              <w:rFonts w:hint="eastAsia"/>
              <w:szCs w:val="21"/>
            </w:rPr>
            <w:t>本公司因处置部分权益性投资等原因丧失了对被投资单位的控制的，在编制个别财务报表时，处置后的剩余股权能够对被投资单位实施共同控制或施加重大影响的，改按权益法核算，并对该剩余股权视同自取得时即采用权益法核算进行调整。</w:t>
          </w:r>
        </w:p>
        <w:p w14:paraId="552939EA">
          <w:pPr>
            <w:ind w:firstLine="420" w:firstLineChars="200"/>
            <w:rPr>
              <w:rFonts w:hint="eastAsia"/>
              <w:szCs w:val="21"/>
            </w:rPr>
          </w:pPr>
          <w:r>
            <w:rPr>
              <w:rFonts w:hint="eastAsia"/>
              <w:szCs w:val="21"/>
            </w:rPr>
            <w:t>5）成本法转公允价值计量</w:t>
          </w:r>
        </w:p>
        <w:p w14:paraId="299FBAD3">
          <w:pPr>
            <w:ind w:firstLine="420" w:firstLineChars="200"/>
            <w:rPr>
              <w:rFonts w:hint="eastAsia"/>
              <w:szCs w:val="21"/>
            </w:rPr>
          </w:pPr>
          <w:r>
            <w:rPr>
              <w:rFonts w:hint="eastAsia"/>
              <w:szCs w:val="21"/>
            </w:rPr>
            <w:t>本公司因处置部分权益性投资等原因丧失了对被投资单位的控制的，在编制个别财务报表时，处置后的剩余股权不能对被投资单位实施共同控制或施加重大影响的，改按《企业会计准则第22号——金融工具确认和计量》的有关规定进行会计处理，其在丧失控制之日的公允价值与账面价值间的差额计入当期损益。</w:t>
          </w:r>
        </w:p>
        <w:p w14:paraId="6FCEEAF2">
          <w:pPr>
            <w:ind w:firstLine="420" w:firstLineChars="200"/>
            <w:rPr>
              <w:rFonts w:hint="eastAsia"/>
              <w:szCs w:val="21"/>
            </w:rPr>
          </w:pPr>
          <w:r>
            <w:rPr>
              <w:rFonts w:hint="eastAsia"/>
              <w:szCs w:val="21"/>
            </w:rPr>
            <w:t>（4）长期股权投资的处置</w:t>
          </w:r>
        </w:p>
        <w:p w14:paraId="70182BE4">
          <w:pPr>
            <w:ind w:firstLine="420" w:firstLineChars="200"/>
            <w:rPr>
              <w:rFonts w:hint="eastAsia"/>
              <w:szCs w:val="21"/>
            </w:rPr>
          </w:pPr>
          <w:r>
            <w:rPr>
              <w:rFonts w:hint="eastAsia"/>
              <w:szCs w:val="21"/>
            </w:rPr>
            <w:t>处置长期股权投资，其账面价值与实际取得价款之间的差额，应当计入当期损益。采用权益法核算的长期股权投资，在处置该项投资时，采用与被投资单位直接处置相关资产或负债相同的基础，按相应比例对原计入其他综合收益的部分进行会计处理。</w:t>
          </w:r>
        </w:p>
        <w:p w14:paraId="6A58ABE8">
          <w:pPr>
            <w:ind w:firstLine="420" w:firstLineChars="200"/>
            <w:rPr>
              <w:rFonts w:hint="eastAsia"/>
              <w:szCs w:val="21"/>
            </w:rPr>
          </w:pPr>
          <w:r>
            <w:rPr>
              <w:rFonts w:hint="eastAsia"/>
              <w:szCs w:val="21"/>
            </w:rPr>
            <w:t>处置对子公司股权投资的各项交易的条款、条件以及经济影响符合以下一种或多种情况，将多次交易事项作为一揽子交易进行会计处理：</w:t>
          </w:r>
        </w:p>
        <w:p w14:paraId="66C7DAA4">
          <w:pPr>
            <w:ind w:firstLine="420" w:firstLineChars="200"/>
            <w:rPr>
              <w:rFonts w:hint="eastAsia"/>
              <w:szCs w:val="21"/>
            </w:rPr>
          </w:pPr>
          <w:r>
            <w:rPr>
              <w:rFonts w:hint="eastAsia"/>
              <w:szCs w:val="21"/>
            </w:rPr>
            <w:t>①这些交易是同时或者在考虑了彼此影响的情况下订立的；</w:t>
          </w:r>
        </w:p>
        <w:p w14:paraId="1C1BACFB">
          <w:pPr>
            <w:ind w:firstLine="420" w:firstLineChars="200"/>
            <w:rPr>
              <w:rFonts w:hint="eastAsia"/>
              <w:szCs w:val="21"/>
            </w:rPr>
          </w:pPr>
          <w:r>
            <w:rPr>
              <w:rFonts w:hint="eastAsia"/>
              <w:szCs w:val="21"/>
            </w:rPr>
            <w:t>②这些交易整体才能达成一项完整的商业结果；</w:t>
          </w:r>
        </w:p>
        <w:p w14:paraId="6CC7E622">
          <w:pPr>
            <w:ind w:firstLine="420" w:firstLineChars="200"/>
            <w:rPr>
              <w:rFonts w:hint="eastAsia"/>
              <w:szCs w:val="21"/>
            </w:rPr>
          </w:pPr>
          <w:r>
            <w:rPr>
              <w:rFonts w:hint="eastAsia"/>
              <w:szCs w:val="21"/>
            </w:rPr>
            <w:t>③一项交易的发生取决于其他至少一项交易的发生；</w:t>
          </w:r>
        </w:p>
        <w:p w14:paraId="4BD49518">
          <w:pPr>
            <w:ind w:firstLine="420" w:firstLineChars="200"/>
            <w:rPr>
              <w:rFonts w:hint="eastAsia"/>
              <w:szCs w:val="21"/>
            </w:rPr>
          </w:pPr>
          <w:r>
            <w:rPr>
              <w:rFonts w:hint="eastAsia"/>
              <w:szCs w:val="21"/>
            </w:rPr>
            <w:t>④一项交易单独看是不经济的，但是和其他交易一并考虑时是经济的。</w:t>
          </w:r>
        </w:p>
        <w:p w14:paraId="3568A58B">
          <w:pPr>
            <w:ind w:firstLine="420" w:firstLineChars="200"/>
            <w:rPr>
              <w:rFonts w:hint="eastAsia"/>
              <w:szCs w:val="21"/>
            </w:rPr>
          </w:pPr>
          <w:r>
            <w:rPr>
              <w:rFonts w:hint="eastAsia"/>
              <w:szCs w:val="21"/>
            </w:rPr>
            <w:t>因处置部分股权投资或其他原因丧失了对原有子公司控制权的，不属于一揽子交易的，区分个别财务报表和合并财务报表进行相关会计处理：</w:t>
          </w:r>
        </w:p>
        <w:p w14:paraId="0AA38796">
          <w:pPr>
            <w:ind w:firstLine="420" w:firstLineChars="200"/>
            <w:rPr>
              <w:rFonts w:hint="eastAsia"/>
              <w:szCs w:val="21"/>
            </w:rPr>
          </w:pPr>
          <w:r>
            <w:rPr>
              <w:rFonts w:hint="eastAsia"/>
              <w:szCs w:val="21"/>
            </w:rPr>
            <w:t>1）在个别财务报表中，对于处置的股权，其账面价值与实际取得价款之间的差额计入当期损益。处置后的剩余股权能够对被投资单位实施共同控制或施加重大影响的，改按权益法核算，并对该剩余股权视同自取得时即采用权益法核算进行调整；处置后的剩余股权不能对被投资单位实施共同控制或施加重大影响的，改按《企业会计准则第22号——金融工具确认和计量》的有关规定进行会计处理，其在丧失控制之日的公允价值与账面价值间的差额计入当期损益。</w:t>
          </w:r>
        </w:p>
        <w:p w14:paraId="3E9540E9">
          <w:pPr>
            <w:ind w:firstLine="420" w:firstLineChars="200"/>
            <w:rPr>
              <w:rFonts w:hint="eastAsia"/>
              <w:szCs w:val="21"/>
            </w:rPr>
          </w:pPr>
          <w:r>
            <w:rPr>
              <w:rFonts w:hint="eastAsia"/>
              <w:szCs w:val="21"/>
            </w:rPr>
            <w:t>2）在合并财务报表中，对于在丧失对子公司控制权以前的各项交易，处置价款与处置长期股权投资相应对享有子公司自购买日或合并日开始持续计算的净资产份额之间的差额，调整资本公积（股本溢价），资本公积不足冲减的，调整留存收益；在丧失对子公司控制权时，对于剩余股权，按照其在丧失控制权日的公允价值进行重新计量。处置股权取得的对价与剩余股权公允价值之和，减去按原持股比例计算应享有原有子公司自购买日开始持续计算的净资产的份额之间的差额，计入丧失控制权当期的投资收益，同时冲减商誉。与原有子公司股权投资相关的其他综合收益等，在丧失控制权时转为当期投资收益。</w:t>
          </w:r>
        </w:p>
        <w:p w14:paraId="7EE8060E">
          <w:pPr>
            <w:ind w:firstLine="420" w:firstLineChars="200"/>
            <w:rPr>
              <w:rFonts w:hint="eastAsia"/>
              <w:szCs w:val="21"/>
            </w:rPr>
          </w:pPr>
          <w:r>
            <w:rPr>
              <w:rFonts w:hint="eastAsia"/>
              <w:szCs w:val="21"/>
            </w:rPr>
            <w:t>处置对子公司股权投资直至丧失控制权的各项交易属于一揽子交易的，将各项交易作为一项处置子公司股权投资并丧失控制权的交易进行会计处理，区分个别财务报表和合并财务报表进行相关会计处理：</w:t>
          </w:r>
        </w:p>
        <w:p w14:paraId="263D3801">
          <w:pPr>
            <w:ind w:firstLine="420" w:firstLineChars="200"/>
            <w:rPr>
              <w:rFonts w:hint="eastAsia"/>
              <w:szCs w:val="21"/>
            </w:rPr>
          </w:pPr>
          <w:r>
            <w:rPr>
              <w:rFonts w:hint="eastAsia"/>
              <w:szCs w:val="21"/>
            </w:rPr>
            <w:t>①在个别财务报表中，在丧失控制权之前每一次处置价款与处置的股权对应的长期股权投资账面价值之间的差额，确认为其他综合收益，在丧失控制权时一并转入丧失控制权当期的损益。</w:t>
          </w:r>
        </w:p>
        <w:p w14:paraId="159A4E04">
          <w:pPr>
            <w:ind w:firstLine="420" w:firstLineChars="200"/>
            <w:rPr>
              <w:rFonts w:hint="eastAsia"/>
              <w:szCs w:val="21"/>
            </w:rPr>
          </w:pPr>
          <w:r>
            <w:rPr>
              <w:rFonts w:hint="eastAsia"/>
              <w:szCs w:val="21"/>
            </w:rPr>
            <w:t>②在合并财务报表中，在丧失控制权之前每一次处置价款与处置投资对应的享有该子公司净资产份额的差额，确认为其他综合收益，在丧失控制权时一并转入丧失控制权当期的损益。</w:t>
          </w:r>
        </w:p>
        <w:p w14:paraId="5BAFA626">
          <w:pPr>
            <w:ind w:firstLine="420" w:firstLineChars="200"/>
            <w:rPr>
              <w:rFonts w:hint="eastAsia"/>
              <w:szCs w:val="21"/>
            </w:rPr>
          </w:pPr>
          <w:r>
            <w:rPr>
              <w:rFonts w:hint="eastAsia"/>
              <w:szCs w:val="21"/>
            </w:rPr>
            <w:t>（5）共同控制、重大影响的判断标准</w:t>
          </w:r>
        </w:p>
        <w:p w14:paraId="7C85F092">
          <w:pPr>
            <w:ind w:firstLine="420" w:firstLineChars="200"/>
            <w:rPr>
              <w:rFonts w:hint="eastAsia"/>
              <w:szCs w:val="21"/>
            </w:rPr>
          </w:pPr>
          <w:r>
            <w:rPr>
              <w:rFonts w:hint="eastAsia"/>
              <w:szCs w:val="21"/>
            </w:rPr>
            <w:t>如果本公司按照相关约定与其他参与方集体控制某项安排，并且对该安排回报具有重大影响的活动决策，需要经过分享控制权的参与方一致同意时才存在，则视为本公司与其他参与方共同控制某项安排，该安排即属于合营安排。</w:t>
          </w:r>
        </w:p>
        <w:p w14:paraId="396AF90A">
          <w:pPr>
            <w:ind w:firstLine="420" w:firstLineChars="200"/>
            <w:rPr>
              <w:rFonts w:hint="eastAsia"/>
              <w:szCs w:val="21"/>
            </w:rPr>
          </w:pPr>
          <w:r>
            <w:rPr>
              <w:rFonts w:hint="eastAsia"/>
              <w:szCs w:val="21"/>
            </w:rPr>
            <w:t>合营安排通过单独主体达成的，根据相关约定判断本公司对该单独主体的净资产享有权利时，将该单独主体作为合营企业，采用权益法核算。若根据相关约定判断本公司并非对该单独主体的净资产享有权利时，该单独主体作为共同经营，本公司确认与共同经营利益份额相关的项目，并按照相关企业会计准则的规定进行会计处理。</w:t>
          </w:r>
        </w:p>
        <w:p w14:paraId="49D1A344">
          <w:pPr>
            <w:ind w:firstLine="420" w:firstLineChars="200"/>
            <w:rPr>
              <w:rFonts w:hint="eastAsia"/>
              <w:szCs w:val="21"/>
            </w:rPr>
          </w:pPr>
          <w:r>
            <w:rPr>
              <w:rFonts w:hint="eastAsia"/>
              <w:szCs w:val="21"/>
            </w:rPr>
            <w:t>重大影响，是指投资方对被投资单位的财务和经营政策有参与决策的权力，但并不能够控制或者与其他方一起共同控制这些政策的制定。本公司通过以下一种或多种情形，并综合考虑所有事实和情况后，判断对被投资单位具有重大影响：（1）在被投资单位的董事会或类似权力机构中派有代表；（2）参与被投资单位财务和经营政策制定过程；（3）与被投资单位之间发生重要交易；（4）向被投资单位派出管理人员；（5）向被投资单位提供关键技术资料。</w:t>
          </w:r>
        </w:p>
      </w:sdtContent>
    </w:sdt>
    <w:p w14:paraId="0A713B7A">
      <w:pPr>
        <w:rPr>
          <w:rFonts w:hint="eastAsia"/>
          <w:szCs w:val="21"/>
        </w:rPr>
      </w:pPr>
    </w:p>
    <w:p w14:paraId="35036DA5">
      <w:pPr>
        <w:pStyle w:val="70"/>
        <w:numPr>
          <w:ilvl w:val="0"/>
          <w:numId w:val="101"/>
        </w:numPr>
      </w:pPr>
      <w:r>
        <w:t>投资性房地产</w:t>
      </w:r>
    </w:p>
    <w:p w14:paraId="5F9220DD">
      <w:pPr>
        <w:pStyle w:val="71"/>
        <w:numPr>
          <w:ilvl w:val="0"/>
          <w:numId w:val="102"/>
        </w:numPr>
        <w:rPr>
          <w:rFonts w:hint="eastAsia"/>
        </w:rPr>
      </w:pPr>
      <w:r>
        <w:rPr>
          <w:rFonts w:hint="eastAsia" w:ascii="宋体" w:hAnsi="宋体" w:cs="宋体"/>
          <w:kern w:val="0"/>
          <w:szCs w:val="24"/>
        </w:rPr>
        <w:t>如果</w:t>
      </w:r>
      <w:r>
        <w:rPr>
          <w:rFonts w:hint="eastAsia"/>
        </w:rPr>
        <w:t>采用成本计量模式的：</w:t>
      </w:r>
    </w:p>
    <w:p w14:paraId="0403BAE5">
      <w:pPr>
        <w:pStyle w:val="95"/>
        <w:rPr>
          <w:rFonts w:hint="eastAsia" w:ascii="宋体" w:hAnsi="宋体"/>
          <w:b w:val="0"/>
          <w:szCs w:val="21"/>
        </w:rPr>
      </w:pPr>
      <w:r>
        <w:rPr>
          <w:rFonts w:hint="eastAsia" w:ascii="宋体" w:hAnsi="宋体"/>
          <w:b w:val="0"/>
          <w:szCs w:val="21"/>
        </w:rPr>
        <w:t>折旧或摊销方法</w:t>
      </w:r>
    </w:p>
    <w:sdt>
      <w:sdtPr>
        <w:rPr>
          <w:szCs w:val="21"/>
        </w:rPr>
        <w:alias w:val="采用成本计量模式的折旧或摊销方法"/>
        <w:tag w:val="_GBC_5b2898357289426780691d99ea19aa67"/>
        <w:id w:val="-1579199139"/>
        <w:placeholder>
          <w:docPart w:val="GBC22222222222222222222222222222"/>
        </w:placeholder>
      </w:sdtPr>
      <w:sdtEndPr>
        <w:rPr>
          <w:szCs w:val="21"/>
        </w:rPr>
      </w:sdtEndPr>
      <w:sdtContent>
        <w:p w14:paraId="046F9063">
          <w:pPr>
            <w:ind w:firstLine="420" w:firstLineChars="200"/>
            <w:rPr>
              <w:rFonts w:hint="eastAsia"/>
              <w:szCs w:val="21"/>
            </w:rPr>
          </w:pPr>
          <w:r>
            <w:rPr>
              <w:rFonts w:hint="eastAsia"/>
              <w:szCs w:val="21"/>
            </w:rPr>
            <w:t>投资性房地产是指为赚取租金或资本增值，或两者兼有而持有的房地产，包括已出租的土地使用权、持有并准备增值后转让的土地使用权、已出租的建筑物。此外，对于本公司持有以备经营出租的空置建筑物，若董事会作出书面决议，明确表示将其用于经营出租且持有意图短期内不再发生变化的，也作为投资性房地产列报。</w:t>
          </w:r>
        </w:p>
        <w:p w14:paraId="4702E342">
          <w:pPr>
            <w:ind w:firstLine="420" w:firstLineChars="200"/>
            <w:rPr>
              <w:rFonts w:hint="eastAsia"/>
              <w:szCs w:val="21"/>
            </w:rPr>
          </w:pPr>
          <w:r>
            <w:rPr>
              <w:rFonts w:hint="eastAsia"/>
              <w:szCs w:val="21"/>
            </w:rPr>
            <w:t>本公司的投资性房地产按其成本作为入账价值，外购投资性房地产的成本包括购买价款、相关税费和可直接归属于该资产的其他支出；自行建造投资性房地产的成本，由建造该项资产达到预定可使用状态前所发生的必要支出构成。</w:t>
          </w:r>
        </w:p>
        <w:p w14:paraId="54D524C8">
          <w:pPr>
            <w:ind w:firstLine="420" w:firstLineChars="200"/>
            <w:rPr>
              <w:rFonts w:hint="eastAsia"/>
              <w:szCs w:val="21"/>
            </w:rPr>
          </w:pPr>
          <w:r>
            <w:rPr>
              <w:rFonts w:hint="eastAsia"/>
              <w:szCs w:val="21"/>
            </w:rPr>
            <w:t>本公司对投资性房地产采用成本模式进行后续计量，按其预计使用寿命及净残值率对建筑物和土地使用权计提折旧或摊销。</w:t>
          </w:r>
        </w:p>
        <w:p w14:paraId="0FF0E347">
          <w:pPr>
            <w:ind w:firstLine="420" w:firstLineChars="200"/>
            <w:rPr>
              <w:rFonts w:hint="eastAsia"/>
              <w:szCs w:val="21"/>
            </w:rPr>
          </w:pPr>
          <w:r>
            <w:rPr>
              <w:rFonts w:hint="eastAsia"/>
              <w:szCs w:val="21"/>
            </w:rPr>
            <w:t>投资性房地产的用途改变为自用时，自改变之日起，本公司将该投资性房地产转换为固定资产或无形资产。自用房地产的用途改变为赚取租金或资本增值时，自改变之日起，本公司将固定资产或无形资产转换为投资性房地产。发生转换时，以转换前的账面价值作为转换后的入账价值。</w:t>
          </w:r>
        </w:p>
        <w:p w14:paraId="1E25994B">
          <w:pPr>
            <w:ind w:firstLine="420" w:firstLineChars="200"/>
            <w:rPr>
              <w:rFonts w:hint="eastAsia"/>
              <w:szCs w:val="21"/>
            </w:rPr>
          </w:pPr>
          <w:r>
            <w:rPr>
              <w:rFonts w:hint="eastAsia"/>
              <w:szCs w:val="21"/>
            </w:rPr>
            <w:t>当投资性房地产被处置，或者永久退出使用且预计不能从其处置中取得经济利益时，终止确认该项投资性房地产。投资性房地产出售、转让、报废或毁损的处置收入扣除其账面价值和相关税费后的金额计入当期损益。</w:t>
          </w:r>
        </w:p>
      </w:sdtContent>
    </w:sdt>
    <w:p w14:paraId="23768B45">
      <w:pPr>
        <w:rPr>
          <w:rFonts w:hint="eastAsia"/>
          <w:szCs w:val="21"/>
        </w:rPr>
      </w:pPr>
    </w:p>
    <w:p w14:paraId="15C99250">
      <w:pPr>
        <w:pStyle w:val="70"/>
        <w:numPr>
          <w:ilvl w:val="0"/>
          <w:numId w:val="101"/>
        </w:numPr>
      </w:pPr>
      <w:r>
        <w:t>固定资产</w:t>
      </w:r>
    </w:p>
    <w:p w14:paraId="70FEBC09">
      <w:pPr>
        <w:pStyle w:val="71"/>
        <w:numPr>
          <w:ilvl w:val="0"/>
          <w:numId w:val="103"/>
        </w:numPr>
        <w:rPr>
          <w:rFonts w:hint="eastAsia"/>
        </w:rPr>
      </w:pPr>
      <w:r>
        <w:rPr>
          <w:rFonts w:hint="eastAsia"/>
        </w:rPr>
        <w:t>确认条件</w:t>
      </w:r>
    </w:p>
    <w:sdt>
      <w:sdtPr>
        <w:alias w:val="是否适用：固定资产确认条件[双击切换]"/>
        <w:tag w:val="_GBC_4c768c6eca804bab9e4fc027185bcda6"/>
        <w:id w:val="647553340"/>
        <w:placeholder>
          <w:docPart w:val="GBC22222222222222222222222222222"/>
        </w:placeholder>
      </w:sdtPr>
      <w:sdtContent>
        <w:p w14:paraId="77808F3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928011142"/>
        <w:placeholder>
          <w:docPart w:val="GBC22222222222222222222222222222"/>
        </w:placeholder>
      </w:sdtPr>
      <w:sdtEndPr>
        <w:rPr>
          <w:b/>
          <w:bCs/>
          <w:szCs w:val="21"/>
        </w:rPr>
      </w:sdtEndPr>
      <w:sdtContent>
        <w:p w14:paraId="31007860">
          <w:pPr>
            <w:ind w:firstLine="420" w:firstLineChars="200"/>
            <w:rPr>
              <w:rFonts w:hint="eastAsia"/>
              <w:bCs/>
              <w:szCs w:val="21"/>
            </w:rPr>
          </w:pPr>
          <w:r>
            <w:rPr>
              <w:rFonts w:hint="eastAsia"/>
              <w:bCs/>
              <w:szCs w:val="21"/>
            </w:rPr>
            <w:t>固定资产指为生产商品、提供劳务、出租或经营管理而持有，并且使用寿命超过一个会计年度的有形资产。固定资产在同时满足下列条件时予以确认：</w:t>
          </w:r>
        </w:p>
        <w:p w14:paraId="7A16C893">
          <w:pPr>
            <w:ind w:firstLine="420" w:firstLineChars="200"/>
            <w:rPr>
              <w:rFonts w:hint="eastAsia"/>
              <w:bCs/>
              <w:szCs w:val="21"/>
            </w:rPr>
          </w:pPr>
          <w:r>
            <w:rPr>
              <w:rFonts w:hint="eastAsia"/>
              <w:bCs/>
              <w:szCs w:val="21"/>
            </w:rPr>
            <w:t>1）与该固定资产有关的经济利益很可能流入企业；</w:t>
          </w:r>
        </w:p>
        <w:p w14:paraId="1A032B31">
          <w:pPr>
            <w:ind w:firstLine="420" w:firstLineChars="200"/>
            <w:rPr>
              <w:rFonts w:hint="eastAsia"/>
              <w:b/>
              <w:bCs/>
              <w:szCs w:val="21"/>
            </w:rPr>
          </w:pPr>
          <w:r>
            <w:rPr>
              <w:rFonts w:hint="eastAsia"/>
              <w:bCs/>
              <w:szCs w:val="21"/>
            </w:rPr>
            <w:t>2）该固定资产的成本能够可靠地计量。</w:t>
          </w:r>
        </w:p>
      </w:sdtContent>
    </w:sdt>
    <w:p w14:paraId="069CB42C">
      <w:pPr>
        <w:rPr>
          <w:rFonts w:hint="eastAsia"/>
          <w:szCs w:val="21"/>
        </w:rPr>
      </w:pPr>
    </w:p>
    <w:p w14:paraId="44B8A665">
      <w:pPr>
        <w:pStyle w:val="71"/>
        <w:numPr>
          <w:ilvl w:val="0"/>
          <w:numId w:val="103"/>
        </w:numPr>
        <w:rPr>
          <w:rFonts w:hint="eastAsia"/>
        </w:rPr>
      </w:pPr>
      <w:r>
        <w:rPr>
          <w:rFonts w:hint="eastAsia"/>
        </w:rPr>
        <w:t>折旧方法</w:t>
      </w:r>
    </w:p>
    <w:sdt>
      <w:sdtPr>
        <w:alias w:val="是否适用：固定资产折旧方法[双击切换]"/>
        <w:tag w:val="_GBC_f89f129fe73045168ebdc30031da9fdd"/>
        <w:id w:val="1281771376"/>
        <w:placeholder>
          <w:docPart w:val="GBC22222222222222222222222222222"/>
        </w:placeholder>
      </w:sdtPr>
      <w:sdtContent>
        <w:p w14:paraId="36BC4BA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1785"/>
        <w:gridCol w:w="1788"/>
        <w:gridCol w:w="1788"/>
        <w:gridCol w:w="1788"/>
      </w:tblGrid>
      <w:tr w14:paraId="3298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93b748ee97a4a8bae6f8263364d91d5"/>
            <w:id w:val="-144430965"/>
          </w:sdtPr>
          <w:sdtContent>
            <w:tc>
              <w:tcPr>
                <w:tcW w:w="949" w:type="pct"/>
                <w:vAlign w:val="center"/>
              </w:tcPr>
              <w:p w14:paraId="4C719B07">
                <w:pPr>
                  <w:jc w:val="center"/>
                  <w:rPr>
                    <w:rFonts w:hint="eastAsia"/>
                    <w:szCs w:val="21"/>
                  </w:rPr>
                </w:pPr>
                <w:r>
                  <w:rPr>
                    <w:szCs w:val="21"/>
                  </w:rPr>
                  <w:t>类别</w:t>
                </w:r>
              </w:p>
            </w:tc>
          </w:sdtContent>
        </w:sdt>
        <w:sdt>
          <w:sdtPr>
            <w:tag w:val="_PLD_8eb75a8ba4fb45a3be1c35e2609526fb"/>
            <w:id w:val="-1322659147"/>
          </w:sdtPr>
          <w:sdtContent>
            <w:tc>
              <w:tcPr>
                <w:tcW w:w="1012" w:type="pct"/>
                <w:vAlign w:val="center"/>
              </w:tcPr>
              <w:p w14:paraId="3D554B90">
                <w:pPr>
                  <w:jc w:val="center"/>
                  <w:rPr>
                    <w:rFonts w:hint="eastAsia"/>
                    <w:szCs w:val="21"/>
                  </w:rPr>
                </w:pPr>
                <w:r>
                  <w:rPr>
                    <w:rFonts w:hint="eastAsia"/>
                    <w:szCs w:val="21"/>
                  </w:rPr>
                  <w:t>折旧方法</w:t>
                </w:r>
              </w:p>
            </w:tc>
          </w:sdtContent>
        </w:sdt>
        <w:sdt>
          <w:sdtPr>
            <w:tag w:val="_PLD_288e4cb255e44ed98e0c53f336ac01e0"/>
            <w:id w:val="-894422481"/>
          </w:sdtPr>
          <w:sdtContent>
            <w:tc>
              <w:tcPr>
                <w:tcW w:w="1013" w:type="pct"/>
                <w:vAlign w:val="center"/>
              </w:tcPr>
              <w:p w14:paraId="0C409BFF">
                <w:pPr>
                  <w:jc w:val="center"/>
                  <w:rPr>
                    <w:rFonts w:hint="eastAsia"/>
                    <w:szCs w:val="21"/>
                  </w:rPr>
                </w:pPr>
                <w:r>
                  <w:rPr>
                    <w:szCs w:val="21"/>
                  </w:rPr>
                  <w:t>折旧年限（年）</w:t>
                </w:r>
              </w:p>
            </w:tc>
          </w:sdtContent>
        </w:sdt>
        <w:sdt>
          <w:sdtPr>
            <w:tag w:val="_PLD_b978331f5a784568b426597e450ebc7a"/>
            <w:id w:val="-2129310254"/>
          </w:sdtPr>
          <w:sdtContent>
            <w:tc>
              <w:tcPr>
                <w:tcW w:w="1013" w:type="pct"/>
                <w:vAlign w:val="center"/>
              </w:tcPr>
              <w:p w14:paraId="25AD4075">
                <w:pPr>
                  <w:jc w:val="center"/>
                  <w:rPr>
                    <w:rFonts w:hint="eastAsia"/>
                    <w:szCs w:val="21"/>
                  </w:rPr>
                </w:pPr>
                <w:r>
                  <w:rPr>
                    <w:szCs w:val="21"/>
                  </w:rPr>
                  <w:t>残值率</w:t>
                </w:r>
              </w:p>
            </w:tc>
          </w:sdtContent>
        </w:sdt>
        <w:sdt>
          <w:sdtPr>
            <w:tag w:val="_PLD_02921e2cbb3b427bb4fe2aba2949e56a"/>
            <w:id w:val="-910613121"/>
          </w:sdtPr>
          <w:sdtContent>
            <w:tc>
              <w:tcPr>
                <w:tcW w:w="1013" w:type="pct"/>
                <w:vAlign w:val="center"/>
              </w:tcPr>
              <w:p w14:paraId="028E928A">
                <w:pPr>
                  <w:jc w:val="center"/>
                  <w:rPr>
                    <w:rFonts w:hint="eastAsia"/>
                    <w:szCs w:val="21"/>
                  </w:rPr>
                </w:pPr>
                <w:r>
                  <w:rPr>
                    <w:szCs w:val="21"/>
                  </w:rPr>
                  <w:t>年折旧率</w:t>
                </w:r>
              </w:p>
            </w:tc>
          </w:sdtContent>
        </w:sdt>
      </w:tr>
      <w:tr w14:paraId="6CB3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tcPr>
          <w:p w14:paraId="194BB50B">
            <w:pPr>
              <w:rPr>
                <w:rFonts w:hint="eastAsia"/>
                <w:szCs w:val="21"/>
              </w:rPr>
            </w:pPr>
            <w:r>
              <w:rPr>
                <w:rFonts w:hint="eastAsia" w:cs="Times New Roman"/>
              </w:rPr>
              <w:t>房屋、建筑物</w:t>
            </w:r>
          </w:p>
        </w:tc>
        <w:tc>
          <w:tcPr>
            <w:tcW w:w="1012" w:type="pct"/>
            <w:vAlign w:val="center"/>
          </w:tcPr>
          <w:p w14:paraId="086D238B">
            <w:pPr>
              <w:rPr>
                <w:rFonts w:hint="eastAsia"/>
                <w:szCs w:val="21"/>
              </w:rPr>
            </w:pPr>
            <w:r>
              <w:rPr>
                <w:rFonts w:hint="eastAsia" w:cs="Times New Roman"/>
              </w:rPr>
              <w:t>年限平均法</w:t>
            </w:r>
          </w:p>
        </w:tc>
        <w:tc>
          <w:tcPr>
            <w:tcW w:w="1013" w:type="pct"/>
            <w:vAlign w:val="center"/>
          </w:tcPr>
          <w:p w14:paraId="5DF935FB">
            <w:pPr>
              <w:jc w:val="center"/>
              <w:rPr>
                <w:rFonts w:hint="eastAsia"/>
                <w:szCs w:val="21"/>
              </w:rPr>
            </w:pPr>
            <w:r>
              <w:rPr>
                <w:rFonts w:ascii="Arial Narrow" w:hAnsi="Arial Narrow"/>
              </w:rPr>
              <w:t>20-45</w:t>
            </w:r>
          </w:p>
        </w:tc>
        <w:tc>
          <w:tcPr>
            <w:tcW w:w="1013" w:type="pct"/>
            <w:vAlign w:val="center"/>
          </w:tcPr>
          <w:p w14:paraId="3C98B7A6">
            <w:pPr>
              <w:jc w:val="center"/>
              <w:rPr>
                <w:rFonts w:hint="eastAsia"/>
                <w:szCs w:val="21"/>
              </w:rPr>
            </w:pPr>
            <w:r>
              <w:rPr>
                <w:rFonts w:ascii="Arial Narrow" w:hAnsi="Arial Narrow"/>
              </w:rPr>
              <w:t>3%-5%</w:t>
            </w:r>
          </w:p>
        </w:tc>
        <w:tc>
          <w:tcPr>
            <w:tcW w:w="1013" w:type="pct"/>
            <w:vAlign w:val="center"/>
          </w:tcPr>
          <w:p w14:paraId="49CA307F">
            <w:pPr>
              <w:jc w:val="center"/>
              <w:rPr>
                <w:rFonts w:hint="eastAsia"/>
                <w:szCs w:val="21"/>
              </w:rPr>
            </w:pPr>
            <w:r>
              <w:rPr>
                <w:rFonts w:ascii="Arial Narrow" w:hAnsi="Arial Narrow"/>
              </w:rPr>
              <w:t>2.11%-4.85%</w:t>
            </w:r>
          </w:p>
        </w:tc>
      </w:tr>
      <w:tr w14:paraId="02CE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tcPr>
          <w:p w14:paraId="3961F2B4">
            <w:pPr>
              <w:rPr>
                <w:rFonts w:hint="eastAsia"/>
                <w:szCs w:val="21"/>
              </w:rPr>
            </w:pPr>
            <w:r>
              <w:rPr>
                <w:rFonts w:hint="eastAsia" w:cs="Times New Roman"/>
              </w:rPr>
              <w:t>机器设备</w:t>
            </w:r>
          </w:p>
        </w:tc>
        <w:tc>
          <w:tcPr>
            <w:tcW w:w="1012" w:type="pct"/>
            <w:vAlign w:val="center"/>
          </w:tcPr>
          <w:p w14:paraId="7DA8C0D3">
            <w:pPr>
              <w:rPr>
                <w:rFonts w:hint="eastAsia"/>
                <w:szCs w:val="21"/>
              </w:rPr>
            </w:pPr>
            <w:r>
              <w:rPr>
                <w:rFonts w:hint="eastAsia" w:cs="Times New Roman"/>
              </w:rPr>
              <w:t>年限平均法</w:t>
            </w:r>
          </w:p>
        </w:tc>
        <w:tc>
          <w:tcPr>
            <w:tcW w:w="1013" w:type="pct"/>
            <w:vAlign w:val="center"/>
          </w:tcPr>
          <w:p w14:paraId="4DFA4BE6">
            <w:pPr>
              <w:jc w:val="center"/>
              <w:rPr>
                <w:rFonts w:hint="eastAsia"/>
                <w:szCs w:val="21"/>
              </w:rPr>
            </w:pPr>
            <w:r>
              <w:rPr>
                <w:rFonts w:ascii="Arial Narrow" w:hAnsi="Arial Narrow"/>
              </w:rPr>
              <w:t>10-15</w:t>
            </w:r>
          </w:p>
        </w:tc>
        <w:tc>
          <w:tcPr>
            <w:tcW w:w="1013" w:type="pct"/>
            <w:vAlign w:val="center"/>
          </w:tcPr>
          <w:p w14:paraId="163E8A1A">
            <w:pPr>
              <w:jc w:val="center"/>
              <w:rPr>
                <w:rFonts w:hint="eastAsia"/>
                <w:szCs w:val="21"/>
              </w:rPr>
            </w:pPr>
            <w:r>
              <w:rPr>
                <w:rFonts w:ascii="Arial Narrow" w:hAnsi="Arial Narrow"/>
              </w:rPr>
              <w:t>3%</w:t>
            </w:r>
          </w:p>
        </w:tc>
        <w:tc>
          <w:tcPr>
            <w:tcW w:w="1013" w:type="pct"/>
            <w:vAlign w:val="center"/>
          </w:tcPr>
          <w:p w14:paraId="7844CF39">
            <w:pPr>
              <w:jc w:val="center"/>
              <w:rPr>
                <w:rFonts w:hint="eastAsia"/>
                <w:szCs w:val="21"/>
              </w:rPr>
            </w:pPr>
            <w:r>
              <w:rPr>
                <w:rFonts w:ascii="Arial Narrow" w:hAnsi="Arial Narrow"/>
              </w:rPr>
              <w:t>6.47%-9.70%</w:t>
            </w:r>
          </w:p>
        </w:tc>
      </w:tr>
      <w:tr w14:paraId="3E51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tcPr>
          <w:p w14:paraId="5069A49D">
            <w:pPr>
              <w:rPr>
                <w:rFonts w:hint="eastAsia"/>
                <w:szCs w:val="21"/>
              </w:rPr>
            </w:pPr>
            <w:r>
              <w:rPr>
                <w:rFonts w:hint="eastAsia" w:cs="Times New Roman"/>
              </w:rPr>
              <w:t>运输工具</w:t>
            </w:r>
          </w:p>
        </w:tc>
        <w:tc>
          <w:tcPr>
            <w:tcW w:w="1012" w:type="pct"/>
            <w:vAlign w:val="center"/>
          </w:tcPr>
          <w:p w14:paraId="7FDD0907">
            <w:pPr>
              <w:rPr>
                <w:rFonts w:hint="eastAsia"/>
                <w:szCs w:val="21"/>
              </w:rPr>
            </w:pPr>
            <w:r>
              <w:rPr>
                <w:rFonts w:hint="eastAsia" w:cs="Times New Roman"/>
              </w:rPr>
              <w:t>年限平均法</w:t>
            </w:r>
          </w:p>
        </w:tc>
        <w:tc>
          <w:tcPr>
            <w:tcW w:w="1013" w:type="pct"/>
            <w:vAlign w:val="center"/>
          </w:tcPr>
          <w:p w14:paraId="5DB05B42">
            <w:pPr>
              <w:jc w:val="center"/>
              <w:rPr>
                <w:rFonts w:hint="eastAsia"/>
                <w:szCs w:val="21"/>
              </w:rPr>
            </w:pPr>
            <w:r>
              <w:rPr>
                <w:rFonts w:ascii="Arial Narrow" w:hAnsi="Arial Narrow"/>
              </w:rPr>
              <w:t>6-10</w:t>
            </w:r>
          </w:p>
        </w:tc>
        <w:tc>
          <w:tcPr>
            <w:tcW w:w="1013" w:type="pct"/>
            <w:vAlign w:val="center"/>
          </w:tcPr>
          <w:p w14:paraId="51A9EDC9">
            <w:pPr>
              <w:jc w:val="center"/>
              <w:rPr>
                <w:rFonts w:hint="eastAsia"/>
                <w:szCs w:val="21"/>
              </w:rPr>
            </w:pPr>
            <w:r>
              <w:rPr>
                <w:rFonts w:ascii="Arial Narrow" w:hAnsi="Arial Narrow"/>
              </w:rPr>
              <w:t>0-3%</w:t>
            </w:r>
          </w:p>
        </w:tc>
        <w:tc>
          <w:tcPr>
            <w:tcW w:w="1013" w:type="pct"/>
            <w:vAlign w:val="center"/>
          </w:tcPr>
          <w:p w14:paraId="7F1406B1">
            <w:pPr>
              <w:jc w:val="center"/>
              <w:rPr>
                <w:rFonts w:hint="eastAsia"/>
                <w:szCs w:val="21"/>
              </w:rPr>
            </w:pPr>
            <w:r>
              <w:rPr>
                <w:rFonts w:ascii="Arial Narrow" w:hAnsi="Arial Narrow"/>
              </w:rPr>
              <w:t>9.70%-16.67%</w:t>
            </w:r>
          </w:p>
        </w:tc>
      </w:tr>
      <w:tr w14:paraId="3A5F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tcPr>
          <w:p w14:paraId="5DEE5CF9">
            <w:pPr>
              <w:rPr>
                <w:rFonts w:hint="eastAsia"/>
                <w:szCs w:val="21"/>
              </w:rPr>
            </w:pPr>
            <w:r>
              <w:rPr>
                <w:rFonts w:hint="eastAsia" w:cs="Times New Roman"/>
              </w:rPr>
              <w:t>其他</w:t>
            </w:r>
          </w:p>
        </w:tc>
        <w:tc>
          <w:tcPr>
            <w:tcW w:w="1012" w:type="pct"/>
            <w:vAlign w:val="center"/>
          </w:tcPr>
          <w:p w14:paraId="1C71A68F">
            <w:pPr>
              <w:rPr>
                <w:rFonts w:hint="eastAsia"/>
                <w:szCs w:val="21"/>
              </w:rPr>
            </w:pPr>
            <w:r>
              <w:rPr>
                <w:rFonts w:hint="eastAsia" w:cs="Times New Roman"/>
              </w:rPr>
              <w:t>年限平均法</w:t>
            </w:r>
          </w:p>
        </w:tc>
        <w:tc>
          <w:tcPr>
            <w:tcW w:w="1013" w:type="pct"/>
            <w:vAlign w:val="center"/>
          </w:tcPr>
          <w:p w14:paraId="4F0F7738">
            <w:pPr>
              <w:jc w:val="center"/>
              <w:rPr>
                <w:rFonts w:hint="eastAsia"/>
                <w:szCs w:val="21"/>
              </w:rPr>
            </w:pPr>
            <w:r>
              <w:rPr>
                <w:rFonts w:ascii="Arial Narrow" w:hAnsi="Arial Narrow"/>
              </w:rPr>
              <w:t>4-5</w:t>
            </w:r>
          </w:p>
        </w:tc>
        <w:tc>
          <w:tcPr>
            <w:tcW w:w="1013" w:type="pct"/>
            <w:vAlign w:val="center"/>
          </w:tcPr>
          <w:p w14:paraId="1F5D6CD2">
            <w:pPr>
              <w:jc w:val="center"/>
              <w:rPr>
                <w:rFonts w:hint="eastAsia"/>
                <w:szCs w:val="21"/>
              </w:rPr>
            </w:pPr>
            <w:r>
              <w:rPr>
                <w:rFonts w:ascii="Arial Narrow" w:hAnsi="Arial Narrow"/>
              </w:rPr>
              <w:t>0%</w:t>
            </w:r>
          </w:p>
        </w:tc>
        <w:tc>
          <w:tcPr>
            <w:tcW w:w="1013" w:type="pct"/>
            <w:vAlign w:val="center"/>
          </w:tcPr>
          <w:p w14:paraId="5E248715">
            <w:pPr>
              <w:jc w:val="center"/>
              <w:rPr>
                <w:rFonts w:hint="eastAsia"/>
                <w:szCs w:val="21"/>
              </w:rPr>
            </w:pPr>
            <w:r>
              <w:rPr>
                <w:rFonts w:ascii="Arial Narrow" w:hAnsi="Arial Narrow"/>
              </w:rPr>
              <w:t>20.00%-25.00%</w:t>
            </w:r>
          </w:p>
        </w:tc>
      </w:tr>
    </w:tbl>
    <w:p w14:paraId="6F3AA00F">
      <w:pPr>
        <w:rPr>
          <w:rFonts w:hint="eastAsia"/>
        </w:rPr>
      </w:pPr>
    </w:p>
    <w:p w14:paraId="34F35A4E">
      <w:pPr>
        <w:rPr>
          <w:rFonts w:hint="eastAsia"/>
        </w:rPr>
      </w:pPr>
    </w:p>
    <w:p w14:paraId="37EB96E3">
      <w:pPr>
        <w:ind w:firstLine="420" w:firstLineChars="200"/>
        <w:rPr>
          <w:rFonts w:hint="eastAsia"/>
        </w:rPr>
      </w:pPr>
    </w:p>
    <w:p w14:paraId="64086059">
      <w:pPr>
        <w:pStyle w:val="70"/>
        <w:numPr>
          <w:ilvl w:val="0"/>
          <w:numId w:val="101"/>
        </w:numPr>
      </w:pPr>
      <w:r>
        <w:t>在建工程</w:t>
      </w:r>
    </w:p>
    <w:sdt>
      <w:sdtPr>
        <w:rPr>
          <w:rFonts w:hint="eastAsia"/>
          <w:szCs w:val="21"/>
        </w:rPr>
        <w:alias w:val="是否适用：在建工程_重要会计政策和估计[双击切换]"/>
        <w:tag w:val="_GBC_00730441e5ea4f57b3cd3ff1ecc5c1bd"/>
        <w:id w:val="-878786676"/>
        <w:placeholder>
          <w:docPart w:val="GBC22222222222222222222222222222"/>
        </w:placeholder>
      </w:sdtPr>
      <w:sdtEndPr>
        <w:rPr>
          <w:rFonts w:hint="eastAsia"/>
          <w:szCs w:val="21"/>
        </w:rPr>
      </w:sdtEndPr>
      <w:sdtContent>
        <w:p w14:paraId="30652707">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1441135049"/>
        <w:placeholder>
          <w:docPart w:val="GBC22222222222222222222222222222"/>
        </w:placeholder>
      </w:sdtPr>
      <w:sdtEndPr>
        <w:rPr>
          <w:rFonts w:hint="eastAsia"/>
          <w:szCs w:val="21"/>
        </w:rPr>
      </w:sdtEndPr>
      <w:sdtContent>
        <w:p w14:paraId="3CF82B90">
          <w:pPr>
            <w:ind w:firstLine="420" w:firstLineChars="200"/>
            <w:rPr>
              <w:rFonts w:hint="eastAsia"/>
              <w:szCs w:val="21"/>
            </w:rPr>
          </w:pPr>
          <w:r>
            <w:rPr>
              <w:rFonts w:hint="eastAsia"/>
              <w:szCs w:val="21"/>
            </w:rPr>
            <w:t>（1）在建工程初始计量</w:t>
          </w:r>
        </w:p>
        <w:p w14:paraId="17ABF9F9">
          <w:pPr>
            <w:ind w:firstLine="420" w:firstLineChars="200"/>
            <w:rPr>
              <w:rFonts w:hint="eastAsia"/>
              <w:szCs w:val="21"/>
            </w:rPr>
          </w:pPr>
          <w:r>
            <w:rPr>
              <w:rFonts w:hint="eastAsia"/>
              <w:szCs w:val="21"/>
            </w:rPr>
            <w:t>本公司自行建造的在建工程按实际成本计价，实际成本由建造该项资产达到预定可使用状态前所发生的必要支出构成，包括工程用物资成本、人工成本、交纳的相关税费、应予资本化的借款费用以及应分摊的间接费用等。</w:t>
          </w:r>
        </w:p>
        <w:p w14:paraId="3BA183F3">
          <w:pPr>
            <w:ind w:firstLine="420" w:firstLineChars="200"/>
            <w:rPr>
              <w:rFonts w:hint="eastAsia"/>
              <w:szCs w:val="21"/>
            </w:rPr>
          </w:pPr>
          <w:r>
            <w:rPr>
              <w:rFonts w:hint="eastAsia"/>
              <w:szCs w:val="21"/>
            </w:rPr>
            <w:t>（2）在建工程结转为固定资产的标准和时点</w:t>
          </w:r>
        </w:p>
        <w:p w14:paraId="3396F237">
          <w:pPr>
            <w:ind w:firstLine="420" w:firstLineChars="200"/>
            <w:rPr>
              <w:rFonts w:hint="eastAsia"/>
              <w:szCs w:val="21"/>
            </w:rPr>
          </w:pPr>
          <w:r>
            <w:rPr>
              <w:rFonts w:hint="eastAsia"/>
              <w:szCs w:val="21"/>
            </w:rPr>
            <w:t>在建工程项目按建造该项资产达到预定可使用状态前所发生的全部支出，作为固定资产的入账价值。所建造的在建工程已达到预定可使用状态，但尚未办理竣工决算的，自达到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sdtContent>
    </w:sdt>
    <w:p w14:paraId="40D6E413">
      <w:pPr>
        <w:rPr>
          <w:rFonts w:hint="eastAsia"/>
          <w:szCs w:val="21"/>
        </w:rPr>
      </w:pPr>
    </w:p>
    <w:p w14:paraId="0EF87A4E">
      <w:pPr>
        <w:pStyle w:val="70"/>
        <w:numPr>
          <w:ilvl w:val="0"/>
          <w:numId w:val="101"/>
        </w:numPr>
      </w:pPr>
      <w:r>
        <w:t>借款费用</w:t>
      </w:r>
    </w:p>
    <w:sdt>
      <w:sdtPr>
        <w:rPr>
          <w:rFonts w:hint="eastAsia"/>
          <w:szCs w:val="21"/>
        </w:rPr>
        <w:alias w:val="是否适用：借款费用_重要会计政策和估计[双击切换]"/>
        <w:tag w:val="_GBC_84ea3b60fd54474487b81f25f176d989"/>
        <w:id w:val="-1292905808"/>
        <w:placeholder>
          <w:docPart w:val="GBC22222222222222222222222222222"/>
        </w:placeholder>
      </w:sdtPr>
      <w:sdtEndPr>
        <w:rPr>
          <w:rFonts w:hint="eastAsia"/>
          <w:szCs w:val="21"/>
        </w:rPr>
      </w:sdtEndPr>
      <w:sdtContent>
        <w:p w14:paraId="6D78CE29">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598302860"/>
        <w:placeholder>
          <w:docPart w:val="GBC22222222222222222222222222222"/>
        </w:placeholder>
      </w:sdtPr>
      <w:sdtEndPr>
        <w:rPr>
          <w:rFonts w:hint="eastAsia"/>
          <w:szCs w:val="21"/>
        </w:rPr>
      </w:sdtEndPr>
      <w:sdtContent>
        <w:p w14:paraId="45B7C2B0">
          <w:pPr>
            <w:ind w:firstLine="420" w:firstLineChars="200"/>
            <w:rPr>
              <w:rFonts w:hint="eastAsia"/>
              <w:szCs w:val="21"/>
            </w:rPr>
          </w:pPr>
          <w:r>
            <w:rPr>
              <w:rFonts w:hint="eastAsia"/>
              <w:szCs w:val="21"/>
            </w:rPr>
            <w:t>（1）借款费用资本化的确认原则</w:t>
          </w:r>
        </w:p>
        <w:p w14:paraId="35B4ADA2">
          <w:pPr>
            <w:ind w:firstLine="420" w:firstLineChars="200"/>
            <w:rPr>
              <w:rFonts w:hint="eastAsia"/>
              <w:szCs w:val="21"/>
            </w:rPr>
          </w:pPr>
          <w:r>
            <w:rPr>
              <w:rFonts w:hint="eastAsia"/>
              <w:szCs w:val="21"/>
            </w:rPr>
            <w:t>本公司发生的借款费用，可直接归属于符合资本化条件的资产的购建或者生产的，予以资本化，计入相关资产成本；其他借款费用，在发生时根据其发生额确认为费用，计入当期损益。</w:t>
          </w:r>
        </w:p>
        <w:p w14:paraId="6F75F591">
          <w:pPr>
            <w:ind w:firstLine="420" w:firstLineChars="200"/>
            <w:rPr>
              <w:rFonts w:hint="eastAsia"/>
              <w:szCs w:val="21"/>
            </w:rPr>
          </w:pPr>
          <w:r>
            <w:rPr>
              <w:rFonts w:hint="eastAsia"/>
              <w:szCs w:val="21"/>
            </w:rPr>
            <w:t>符合资本化条件的资产，是指需要经过相当长时间的购建或者生产活动才能达到预定可使用或者可销售状态的固定资产、投资性房地产和存货等资产。</w:t>
          </w:r>
        </w:p>
        <w:p w14:paraId="1B5AB417">
          <w:pPr>
            <w:ind w:firstLine="420" w:firstLineChars="200"/>
            <w:rPr>
              <w:rFonts w:hint="eastAsia"/>
              <w:szCs w:val="21"/>
            </w:rPr>
          </w:pPr>
          <w:r>
            <w:rPr>
              <w:rFonts w:hint="eastAsia"/>
              <w:szCs w:val="21"/>
            </w:rPr>
            <w:t>借款费用同时满足下列条件时开始资本化：</w:t>
          </w:r>
        </w:p>
        <w:p w14:paraId="01BB85F0">
          <w:pPr>
            <w:ind w:firstLine="420" w:firstLineChars="200"/>
            <w:rPr>
              <w:rFonts w:hint="eastAsia"/>
              <w:szCs w:val="21"/>
            </w:rPr>
          </w:pPr>
          <w:r>
            <w:rPr>
              <w:rFonts w:hint="eastAsia"/>
              <w:szCs w:val="21"/>
            </w:rPr>
            <w:t>1）资产支出已经发生，资产支出包括为购建或者生产符合资本化条件的资产而以支付现金、转移非现金资产或者承担带息债务形式发生的支出；</w:t>
          </w:r>
        </w:p>
        <w:p w14:paraId="120E08C7">
          <w:pPr>
            <w:ind w:firstLine="420" w:firstLineChars="200"/>
            <w:rPr>
              <w:rFonts w:hint="eastAsia"/>
              <w:szCs w:val="21"/>
            </w:rPr>
          </w:pPr>
          <w:r>
            <w:rPr>
              <w:rFonts w:hint="eastAsia"/>
              <w:szCs w:val="21"/>
            </w:rPr>
            <w:t>2）借款费用已经发生；</w:t>
          </w:r>
        </w:p>
        <w:p w14:paraId="3F7383CD">
          <w:pPr>
            <w:ind w:firstLine="420" w:firstLineChars="200"/>
            <w:rPr>
              <w:rFonts w:hint="eastAsia"/>
              <w:szCs w:val="21"/>
            </w:rPr>
          </w:pPr>
          <w:r>
            <w:rPr>
              <w:rFonts w:hint="eastAsia"/>
              <w:szCs w:val="21"/>
            </w:rPr>
            <w:t>3）为使资产达到预定可使用或者可销售状态所必要的购建或者生产活动已经开始。</w:t>
          </w:r>
        </w:p>
        <w:p w14:paraId="4D942138">
          <w:pPr>
            <w:ind w:firstLine="420" w:firstLineChars="200"/>
            <w:rPr>
              <w:rFonts w:hint="eastAsia"/>
              <w:szCs w:val="21"/>
            </w:rPr>
          </w:pPr>
          <w:r>
            <w:rPr>
              <w:rFonts w:hint="eastAsia"/>
              <w:szCs w:val="21"/>
            </w:rPr>
            <w:t>（2）借款费用资本化期间</w:t>
          </w:r>
        </w:p>
        <w:p w14:paraId="46CB41B4">
          <w:pPr>
            <w:ind w:firstLine="420" w:firstLineChars="200"/>
            <w:rPr>
              <w:rFonts w:hint="eastAsia"/>
              <w:szCs w:val="21"/>
            </w:rPr>
          </w:pPr>
          <w:r>
            <w:rPr>
              <w:rFonts w:hint="eastAsia"/>
              <w:szCs w:val="21"/>
            </w:rPr>
            <w:t>资本化期间，指从借款费用开始资本化时点到停止资本化时点的期间，借款费用暂停资本化的期间不包括在内。</w:t>
          </w:r>
        </w:p>
        <w:p w14:paraId="7EA4607E">
          <w:pPr>
            <w:ind w:firstLine="420" w:firstLineChars="200"/>
            <w:rPr>
              <w:rFonts w:hint="eastAsia"/>
              <w:szCs w:val="21"/>
            </w:rPr>
          </w:pPr>
          <w:r>
            <w:rPr>
              <w:rFonts w:hint="eastAsia"/>
              <w:szCs w:val="21"/>
            </w:rPr>
            <w:t>当购建或者生产符合资本化条件的资产达到预定可使用或者可销售状态时，借款费用停止资本化。</w:t>
          </w:r>
        </w:p>
        <w:p w14:paraId="0316B445">
          <w:pPr>
            <w:ind w:firstLine="420" w:firstLineChars="200"/>
            <w:rPr>
              <w:rFonts w:hint="eastAsia"/>
              <w:szCs w:val="21"/>
            </w:rPr>
          </w:pPr>
          <w:r>
            <w:rPr>
              <w:rFonts w:hint="eastAsia"/>
              <w:szCs w:val="21"/>
            </w:rPr>
            <w:t>当购建或者生产符合资本化条件的资产中部分项目分别完工且可单独使用时，该部分资产借款费用停止资本化。</w:t>
          </w:r>
        </w:p>
        <w:p w14:paraId="190E5D29">
          <w:pPr>
            <w:ind w:firstLine="420" w:firstLineChars="200"/>
            <w:rPr>
              <w:rFonts w:hint="eastAsia"/>
              <w:szCs w:val="21"/>
            </w:rPr>
          </w:pPr>
          <w:r>
            <w:rPr>
              <w:rFonts w:hint="eastAsia"/>
              <w:szCs w:val="21"/>
            </w:rPr>
            <w:t>购建或者生产的资产的各部分分别完工，但必须等到整体完工后才可使用或可对外销售的，在该资产整体完工时停止借款费用资本化。</w:t>
          </w:r>
        </w:p>
        <w:p w14:paraId="5718BA2C">
          <w:pPr>
            <w:ind w:firstLine="420" w:firstLineChars="200"/>
            <w:rPr>
              <w:rFonts w:hint="eastAsia"/>
              <w:szCs w:val="21"/>
            </w:rPr>
          </w:pPr>
          <w:r>
            <w:rPr>
              <w:rFonts w:hint="eastAsia"/>
              <w:szCs w:val="21"/>
            </w:rPr>
            <w:t>（3）暂停资本化期间</w:t>
          </w:r>
        </w:p>
        <w:p w14:paraId="6AAB1761">
          <w:pPr>
            <w:ind w:firstLine="420" w:firstLineChars="200"/>
            <w:rPr>
              <w:rFonts w:hint="eastAsia"/>
              <w:szCs w:val="21"/>
            </w:rPr>
          </w:pPr>
          <w:r>
            <w:rPr>
              <w:rFonts w:hint="eastAsia"/>
              <w:szCs w:val="21"/>
            </w:rPr>
            <w:t>符合资本化条件的资产在购建或生产过程中发生的非正常中断、且中断时间连续超过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14:paraId="40ACC592">
          <w:pPr>
            <w:ind w:firstLine="420" w:firstLineChars="200"/>
            <w:rPr>
              <w:rFonts w:hint="eastAsia"/>
              <w:szCs w:val="21"/>
            </w:rPr>
          </w:pPr>
          <w:r>
            <w:rPr>
              <w:rFonts w:hint="eastAsia"/>
              <w:szCs w:val="21"/>
            </w:rPr>
            <w:t>（4）借款费用资本化金额的计算方法</w:t>
          </w:r>
        </w:p>
        <w:p w14:paraId="3F244A01">
          <w:pPr>
            <w:ind w:firstLine="420" w:firstLineChars="200"/>
            <w:rPr>
              <w:rFonts w:hint="eastAsia"/>
              <w:szCs w:val="21"/>
            </w:rPr>
          </w:pPr>
          <w:r>
            <w:rPr>
              <w:rFonts w:hint="eastAsia"/>
              <w:szCs w:val="21"/>
            </w:rPr>
            <w:t>专门借款的利息费用（扣除尚未动用的借款资金存入银行取得的利息收入或者进行暂时性投资取得的投资收益）及其辅助费用在所购建或者生产的符合资本化条件的资产达到预定可使用或者可销售状态前，予以资本化。</w:t>
          </w:r>
        </w:p>
        <w:p w14:paraId="6E37EBA4">
          <w:pPr>
            <w:ind w:firstLine="420" w:firstLineChars="200"/>
            <w:rPr>
              <w:rFonts w:hint="eastAsia"/>
              <w:szCs w:val="21"/>
            </w:rPr>
          </w:pPr>
          <w:r>
            <w:rPr>
              <w:rFonts w:hint="eastAsia"/>
              <w:szCs w:val="21"/>
            </w:rPr>
            <w:t>根据累计资产支出超过专门借款部分的资产支出加权平均数乘以所占用一般借款的资本化率，计算确定一般借款应予资本化的利息金额。资本化率根据一般借款加权平均利率计算确定。</w:t>
          </w:r>
        </w:p>
        <w:p w14:paraId="4E89F434">
          <w:pPr>
            <w:ind w:firstLine="420" w:firstLineChars="200"/>
            <w:rPr>
              <w:rFonts w:hint="eastAsia" w:cs="Times New Roman"/>
              <w:kern w:val="2"/>
              <w:szCs w:val="21"/>
            </w:rPr>
          </w:pPr>
          <w:r>
            <w:rPr>
              <w:rFonts w:hint="eastAsia"/>
              <w:szCs w:val="21"/>
            </w:rPr>
            <w:t>借款存在折价或者溢价的，按照实际利率法确定每一会计期间应摊销的折价或者溢价金额，调整每期利息金额。</w:t>
          </w:r>
        </w:p>
      </w:sdtContent>
    </w:sdt>
    <w:p w14:paraId="1D6A4BBB">
      <w:pPr>
        <w:rPr>
          <w:rFonts w:hint="eastAsia"/>
          <w:szCs w:val="21"/>
        </w:rPr>
      </w:pPr>
    </w:p>
    <w:p w14:paraId="11E7FA6F">
      <w:pPr>
        <w:pStyle w:val="70"/>
        <w:numPr>
          <w:ilvl w:val="0"/>
          <w:numId w:val="101"/>
        </w:numPr>
      </w:pPr>
      <w:r>
        <w:t>生物资产</w:t>
      </w:r>
    </w:p>
    <w:sdt>
      <w:sdtPr>
        <w:rPr>
          <w:rFonts w:hint="eastAsia"/>
          <w:szCs w:val="21"/>
        </w:rPr>
        <w:alias w:val="是否适用：生物资产_重要会计政策和估计[双击切换]"/>
        <w:tag w:val="_GBC_f511e8d0a6dc417eb1d10eeecb5b05a5"/>
        <w:id w:val="817926748"/>
        <w:placeholder>
          <w:docPart w:val="GBC22222222222222222222222222222"/>
        </w:placeholder>
      </w:sdtPr>
      <w:sdtEndPr>
        <w:rPr>
          <w:rFonts w:hint="eastAsia"/>
          <w:szCs w:val="21"/>
        </w:rPr>
      </w:sdtEndPr>
      <w:sdtContent>
        <w:p w14:paraId="2C20475D">
          <w:pPr>
            <w:rPr>
              <w:rFonts w:hint="eastAsia" w:cs="Times New Roman"/>
              <w:kern w:val="2"/>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D5E9320">
      <w:pPr>
        <w:rPr>
          <w:rFonts w:hint="eastAsia"/>
          <w:szCs w:val="21"/>
        </w:rPr>
      </w:pPr>
    </w:p>
    <w:p w14:paraId="603F1262">
      <w:pPr>
        <w:pStyle w:val="70"/>
        <w:numPr>
          <w:ilvl w:val="0"/>
          <w:numId w:val="101"/>
        </w:numPr>
      </w:pPr>
      <w:r>
        <w:t>油气资产</w:t>
      </w:r>
    </w:p>
    <w:sdt>
      <w:sdtPr>
        <w:rPr>
          <w:rFonts w:hint="eastAsia"/>
          <w:szCs w:val="21"/>
        </w:rPr>
        <w:alias w:val="是否适用：油气资产_重要会计政策和估计[双击切换]"/>
        <w:tag w:val="_GBC_fb60dd1d8d2346fb9b2e461875c070c9"/>
        <w:id w:val="541638778"/>
        <w:placeholder>
          <w:docPart w:val="GBC22222222222222222222222222222"/>
        </w:placeholder>
      </w:sdtPr>
      <w:sdtEndPr>
        <w:rPr>
          <w:rFonts w:hint="eastAsia"/>
          <w:szCs w:val="21"/>
        </w:rPr>
      </w:sdtEndPr>
      <w:sdtContent>
        <w:p w14:paraId="1B129E6A">
          <w:pPr>
            <w:rPr>
              <w:rFonts w:hint="eastAsia" w:cs="Times New Roman"/>
              <w:kern w:val="2"/>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45405E0">
      <w:pPr>
        <w:rPr>
          <w:rFonts w:hint="eastAsia"/>
          <w:szCs w:val="21"/>
        </w:rPr>
      </w:pPr>
    </w:p>
    <w:p w14:paraId="16723327">
      <w:pPr>
        <w:pStyle w:val="70"/>
        <w:numPr>
          <w:ilvl w:val="0"/>
          <w:numId w:val="101"/>
        </w:numPr>
      </w:pPr>
      <w:r>
        <w:t>无形资产</w:t>
      </w:r>
    </w:p>
    <w:p w14:paraId="36210B4D">
      <w:pPr>
        <w:pStyle w:val="71"/>
        <w:numPr>
          <w:ilvl w:val="3"/>
          <w:numId w:val="104"/>
        </w:numPr>
        <w:ind w:left="426" w:hanging="426"/>
        <w:rPr>
          <w:rStyle w:val="98"/>
          <w:rFonts w:hint="eastAsia"/>
          <w:szCs w:val="28"/>
        </w:rPr>
      </w:pPr>
      <w:r>
        <w:rPr>
          <w:rFonts w:hint="eastAsia"/>
        </w:rPr>
        <w:t>使用寿命及其确定依据、估计情况、摊销方法</w:t>
      </w:r>
      <w:r>
        <w:rPr>
          <w:rStyle w:val="98"/>
          <w:rFonts w:hint="eastAsia"/>
        </w:rPr>
        <w:t>或复核程序</w:t>
      </w:r>
    </w:p>
    <w:sdt>
      <w:sdtPr>
        <w:alias w:val="是否适用：无形资产计价方法、使用寿命、减值测试[双击切换]"/>
        <w:tag w:val="_GBC_40df8c87b47d48bbbf73a71cc533a892"/>
        <w:id w:val="1611935820"/>
        <w:placeholder>
          <w:docPart w:val="GBC22222222222222222222222222222"/>
        </w:placeholder>
      </w:sdtPr>
      <w:sdtContent>
        <w:p w14:paraId="2CBB624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计价方法、使用寿命、减值测试"/>
        <w:tag w:val="_GBC_a9e64b18f452482eb6674ec605618dcc"/>
        <w:id w:val="863407109"/>
        <w:placeholder>
          <w:docPart w:val="GBC22222222222222222222222222222"/>
        </w:placeholder>
      </w:sdtPr>
      <w:sdtEndPr>
        <w:rPr>
          <w:szCs w:val="21"/>
        </w:rPr>
      </w:sdtEndPr>
      <w:sdtContent>
        <w:p w14:paraId="6990AB47">
          <w:pPr>
            <w:ind w:firstLine="420" w:firstLineChars="200"/>
            <w:rPr>
              <w:rFonts w:hint="eastAsia"/>
              <w:szCs w:val="21"/>
            </w:rPr>
          </w:pPr>
          <w:r>
            <w:rPr>
              <w:rFonts w:hint="eastAsia"/>
              <w:szCs w:val="21"/>
            </w:rPr>
            <w:t>本公司在取得无形资产时分析判断其使用寿命，划分为使用寿命有限和使用寿命不确定的无形资产。</w:t>
          </w:r>
        </w:p>
        <w:p w14:paraId="6E07A2A0">
          <w:pPr>
            <w:ind w:firstLine="420" w:firstLineChars="200"/>
            <w:rPr>
              <w:rFonts w:hint="eastAsia"/>
              <w:szCs w:val="21"/>
            </w:rPr>
          </w:pPr>
          <w:r>
            <w:rPr>
              <w:rFonts w:hint="eastAsia"/>
              <w:szCs w:val="21"/>
            </w:rPr>
            <w:t>①使用寿命有限的无形资产</w:t>
          </w:r>
        </w:p>
        <w:p w14:paraId="2BB67824">
          <w:pPr>
            <w:ind w:firstLine="420" w:firstLineChars="200"/>
            <w:rPr>
              <w:rFonts w:hint="eastAsia"/>
              <w:szCs w:val="21"/>
            </w:rPr>
          </w:pPr>
          <w:r>
            <w:rPr>
              <w:rFonts w:hint="eastAsia"/>
              <w:szCs w:val="21"/>
            </w:rPr>
            <w:t>对于使用寿命有限的无形资产，在为企业带来经济利益的期限内按直线法摊销。使用寿命有限的无形资产预计寿命及依据如下：</w:t>
          </w:r>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1"/>
            <w:gridCol w:w="2941"/>
            <w:gridCol w:w="2941"/>
          </w:tblGrid>
          <w:tr w14:paraId="53F8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tcPr>
              <w:p w14:paraId="4FE71138">
                <w:pPr>
                  <w:widowControl w:val="0"/>
                  <w:jc w:val="both"/>
                  <w:rPr>
                    <w:rFonts w:hint="eastAsia"/>
                    <w:szCs w:val="21"/>
                  </w:rPr>
                </w:pPr>
                <w:r>
                  <w:rPr>
                    <w:rFonts w:ascii="Times New Roman" w:hAnsi="Times New Roman"/>
                  </w:rPr>
                  <w:t>项目</w:t>
                </w:r>
              </w:p>
            </w:tc>
            <w:tc>
              <w:tcPr>
                <w:tcW w:w="2941" w:type="dxa"/>
              </w:tcPr>
              <w:p w14:paraId="6E8C614A">
                <w:pPr>
                  <w:widowControl w:val="0"/>
                  <w:jc w:val="both"/>
                  <w:rPr>
                    <w:rFonts w:hint="eastAsia"/>
                    <w:szCs w:val="21"/>
                  </w:rPr>
                </w:pPr>
                <w:r>
                  <w:rPr>
                    <w:rFonts w:ascii="Times New Roman" w:hAnsi="Times New Roman"/>
                  </w:rPr>
                  <w:t>预计使用寿命</w:t>
                </w:r>
              </w:p>
            </w:tc>
            <w:tc>
              <w:tcPr>
                <w:tcW w:w="2941" w:type="dxa"/>
              </w:tcPr>
              <w:p w14:paraId="1A7D4CD2">
                <w:pPr>
                  <w:widowControl w:val="0"/>
                  <w:jc w:val="both"/>
                  <w:rPr>
                    <w:rFonts w:hint="eastAsia"/>
                    <w:szCs w:val="21"/>
                  </w:rPr>
                </w:pPr>
                <w:r>
                  <w:rPr>
                    <w:rFonts w:ascii="Times New Roman" w:hAnsi="Times New Roman"/>
                  </w:rPr>
                  <w:t>依据</w:t>
                </w:r>
              </w:p>
            </w:tc>
          </w:tr>
          <w:tr w14:paraId="4899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tcPr>
              <w:p w14:paraId="0B11707F">
                <w:pPr>
                  <w:widowControl w:val="0"/>
                  <w:jc w:val="both"/>
                  <w:rPr>
                    <w:rFonts w:hint="eastAsia"/>
                    <w:szCs w:val="21"/>
                  </w:rPr>
                </w:pPr>
                <w:r>
                  <w:rPr>
                    <w:rFonts w:ascii="Times New Roman" w:hAnsi="Times New Roman"/>
                  </w:rPr>
                  <w:t>土地使用权</w:t>
                </w:r>
              </w:p>
            </w:tc>
            <w:tc>
              <w:tcPr>
                <w:tcW w:w="2941" w:type="dxa"/>
              </w:tcPr>
              <w:p w14:paraId="37158025">
                <w:pPr>
                  <w:widowControl w:val="0"/>
                  <w:jc w:val="both"/>
                  <w:rPr>
                    <w:rFonts w:hint="eastAsia"/>
                    <w:szCs w:val="21"/>
                  </w:rPr>
                </w:pPr>
                <w:r>
                  <w:rPr>
                    <w:rFonts w:ascii="Times New Roman" w:hAnsi="Times New Roman"/>
                  </w:rPr>
                  <w:t>按其出让年限平均摊销</w:t>
                </w:r>
              </w:p>
            </w:tc>
            <w:tc>
              <w:tcPr>
                <w:tcW w:w="2941" w:type="dxa"/>
              </w:tcPr>
              <w:p w14:paraId="4EE1D445">
                <w:pPr>
                  <w:widowControl w:val="0"/>
                  <w:jc w:val="both"/>
                  <w:rPr>
                    <w:rFonts w:hint="eastAsia"/>
                    <w:szCs w:val="21"/>
                  </w:rPr>
                </w:pPr>
                <w:r>
                  <w:rPr>
                    <w:rFonts w:ascii="Times New Roman" w:hAnsi="Times New Roman"/>
                  </w:rPr>
                  <w:t>受益年限</w:t>
                </w:r>
              </w:p>
            </w:tc>
          </w:tr>
          <w:tr w14:paraId="3520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tcPr>
              <w:p w14:paraId="3BBFD53A">
                <w:pPr>
                  <w:widowControl w:val="0"/>
                  <w:jc w:val="both"/>
                  <w:rPr>
                    <w:rFonts w:hint="eastAsia"/>
                    <w:szCs w:val="21"/>
                  </w:rPr>
                </w:pPr>
                <w:r>
                  <w:rPr>
                    <w:rFonts w:ascii="Times New Roman" w:hAnsi="Times New Roman"/>
                  </w:rPr>
                  <w:t>软件</w:t>
                </w:r>
              </w:p>
            </w:tc>
            <w:tc>
              <w:tcPr>
                <w:tcW w:w="2941" w:type="dxa"/>
              </w:tcPr>
              <w:p w14:paraId="4963D7FA">
                <w:pPr>
                  <w:widowControl w:val="0"/>
                  <w:jc w:val="both"/>
                  <w:rPr>
                    <w:rFonts w:hint="eastAsia"/>
                    <w:szCs w:val="21"/>
                  </w:rPr>
                </w:pPr>
                <w:r>
                  <w:rPr>
                    <w:rFonts w:ascii="Times New Roman" w:hAnsi="Times New Roman"/>
                  </w:rPr>
                  <w:t>5-10</w:t>
                </w:r>
                <w:r>
                  <w:t>年</w:t>
                </w:r>
              </w:p>
            </w:tc>
            <w:tc>
              <w:tcPr>
                <w:tcW w:w="2941" w:type="dxa"/>
              </w:tcPr>
              <w:p w14:paraId="16617DB8">
                <w:pPr>
                  <w:widowControl w:val="0"/>
                  <w:jc w:val="both"/>
                  <w:rPr>
                    <w:rFonts w:hint="eastAsia"/>
                    <w:szCs w:val="21"/>
                  </w:rPr>
                </w:pPr>
                <w:r>
                  <w:rPr>
                    <w:rFonts w:ascii="Times New Roman" w:hAnsi="Times New Roman"/>
                  </w:rPr>
                  <w:t>受益年限</w:t>
                </w:r>
              </w:p>
            </w:tc>
          </w:tr>
        </w:tbl>
        <w:p w14:paraId="128ED693">
          <w:pPr>
            <w:ind w:firstLine="420" w:firstLineChars="200"/>
            <w:rPr>
              <w:rFonts w:hint="eastAsia"/>
              <w:szCs w:val="21"/>
            </w:rPr>
          </w:pPr>
          <w:r>
            <w:rPr>
              <w:rFonts w:hint="eastAsia"/>
              <w:szCs w:val="21"/>
            </w:rPr>
            <w:t>每期末，对使用寿命有限的无形资产的使用寿命及摊销方法进行复核，如与原先估计数存在差异的，进行相应的调整。</w:t>
          </w:r>
        </w:p>
        <w:p w14:paraId="0CCA865E">
          <w:pPr>
            <w:ind w:firstLine="420" w:firstLineChars="200"/>
            <w:rPr>
              <w:rFonts w:hint="eastAsia"/>
              <w:szCs w:val="21"/>
            </w:rPr>
          </w:pPr>
          <w:r>
            <w:rPr>
              <w:rFonts w:hint="eastAsia"/>
              <w:szCs w:val="21"/>
            </w:rPr>
            <w:t>经复核，本期期末无形资产的使用寿命及摊销方法与以前估计未有不同。</w:t>
          </w:r>
        </w:p>
        <w:p w14:paraId="50918A21">
          <w:pPr>
            <w:ind w:firstLine="420" w:firstLineChars="200"/>
            <w:rPr>
              <w:rFonts w:hint="eastAsia"/>
              <w:szCs w:val="21"/>
            </w:rPr>
          </w:pPr>
          <w:r>
            <w:rPr>
              <w:rFonts w:hint="eastAsia"/>
              <w:szCs w:val="21"/>
            </w:rPr>
            <w:t>②使用寿命不确定的无形资产</w:t>
          </w:r>
        </w:p>
        <w:p w14:paraId="7A6D06DA">
          <w:pPr>
            <w:ind w:firstLine="420" w:firstLineChars="200"/>
            <w:rPr>
              <w:rFonts w:hint="eastAsia"/>
              <w:szCs w:val="21"/>
            </w:rPr>
          </w:pPr>
          <w:r>
            <w:rPr>
              <w:rFonts w:hint="eastAsia"/>
              <w:szCs w:val="21"/>
            </w:rPr>
            <w:t>无法预见无形资产为企业带来经济利益期限的，视为使用寿命不确定的无形资产。</w:t>
          </w:r>
        </w:p>
        <w:p w14:paraId="15B99A02">
          <w:pPr>
            <w:ind w:firstLine="420" w:firstLineChars="200"/>
            <w:rPr>
              <w:rFonts w:hint="eastAsia"/>
              <w:szCs w:val="21"/>
            </w:rPr>
          </w:pPr>
          <w:r>
            <w:rPr>
              <w:rFonts w:hint="eastAsia"/>
              <w:szCs w:val="21"/>
            </w:rPr>
            <w:t>对于使用寿命不确定的无形资产，在持有期间内不摊销，每期末对无形资产的寿命进行复核。如果有证据表明该无形资产为企业带来经济利益的期限是可预见的，则估计其使用寿命并按照使用寿命有限的无形资产的摊销政策进行摊销。如果期末重新复核后仍为不确定的，在每个会计期间继续进行减值测试。</w:t>
          </w:r>
        </w:p>
      </w:sdtContent>
    </w:sdt>
    <w:p w14:paraId="122BCCF4">
      <w:pPr>
        <w:rPr>
          <w:rFonts w:hint="eastAsia"/>
          <w:szCs w:val="21"/>
        </w:rPr>
      </w:pPr>
    </w:p>
    <w:p w14:paraId="3562783F">
      <w:pPr>
        <w:pStyle w:val="71"/>
        <w:numPr>
          <w:ilvl w:val="3"/>
          <w:numId w:val="104"/>
        </w:numPr>
        <w:ind w:left="426" w:hanging="426"/>
        <w:rPr>
          <w:rStyle w:val="98"/>
          <w:rFonts w:hint="eastAsia"/>
          <w:szCs w:val="28"/>
        </w:rPr>
      </w:pPr>
      <w:r>
        <w:rPr>
          <w:rFonts w:hint="eastAsia"/>
        </w:rPr>
        <w:t>研发支出的归集范围及相关会计处理方法</w:t>
      </w:r>
    </w:p>
    <w:sdt>
      <w:sdtPr>
        <w:alias w:val="是否适用：无形资产内部研究开发支出会计政策[双击切换]"/>
        <w:tag w:val="_GBC_8f6b939ea36a42808f60b7c024994f2b"/>
        <w:id w:val="-67967947"/>
        <w:placeholder>
          <w:docPart w:val="GBC22222222222222222222222222222"/>
        </w:placeholder>
      </w:sdtPr>
      <w:sdtContent>
        <w:p w14:paraId="1DABC6EE">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1099139656"/>
        <w:placeholder>
          <w:docPart w:val="GBC22222222222222222222222222222"/>
        </w:placeholder>
      </w:sdtPr>
      <w:sdtEndPr>
        <w:rPr>
          <w:szCs w:val="21"/>
        </w:rPr>
      </w:sdtEndPr>
      <w:sdtContent>
        <w:p w14:paraId="14083645">
          <w:pPr>
            <w:ind w:firstLine="420" w:firstLineChars="200"/>
            <w:rPr>
              <w:rFonts w:hint="eastAsia"/>
              <w:szCs w:val="21"/>
            </w:rPr>
          </w:pPr>
          <w:r>
            <w:rPr>
              <w:rFonts w:hint="eastAsia"/>
              <w:szCs w:val="21"/>
            </w:rPr>
            <w:t>1）划分公司内部研究开发项目的研究阶段和开发阶段具体标准</w:t>
          </w:r>
        </w:p>
        <w:p w14:paraId="1A16AEB0">
          <w:pPr>
            <w:ind w:firstLine="420" w:firstLineChars="200"/>
            <w:rPr>
              <w:rFonts w:hint="eastAsia"/>
              <w:szCs w:val="21"/>
            </w:rPr>
          </w:pPr>
          <w:r>
            <w:rPr>
              <w:rFonts w:hint="eastAsia"/>
              <w:szCs w:val="21"/>
            </w:rPr>
            <w:t>研究阶段：为获取并理解新的科学或技术知识等而进行的独创性的有计划调查、研究活动的阶段。</w:t>
          </w:r>
        </w:p>
        <w:p w14:paraId="7338638F">
          <w:pPr>
            <w:ind w:firstLine="420" w:firstLineChars="200"/>
            <w:rPr>
              <w:rFonts w:hint="eastAsia"/>
              <w:szCs w:val="21"/>
            </w:rPr>
          </w:pPr>
          <w:r>
            <w:rPr>
              <w:rFonts w:hint="eastAsia"/>
              <w:szCs w:val="21"/>
            </w:rPr>
            <w:t>开发阶段：在进行商业性生产或使用前，将研究成果或其他知识应用于某项计划或设计，以生产出新的或具有实质性改进的材料、装置、产品等活动的阶段。</w:t>
          </w:r>
        </w:p>
        <w:p w14:paraId="55506C0B">
          <w:pPr>
            <w:ind w:firstLine="420" w:firstLineChars="200"/>
            <w:rPr>
              <w:rFonts w:hint="eastAsia"/>
              <w:szCs w:val="21"/>
            </w:rPr>
          </w:pPr>
          <w:r>
            <w:rPr>
              <w:rFonts w:hint="eastAsia"/>
              <w:szCs w:val="21"/>
            </w:rPr>
            <w:t>内部研究开发项目研究阶段的支出，在发生时计入当期损益。</w:t>
          </w:r>
        </w:p>
        <w:p w14:paraId="094DCF05">
          <w:pPr>
            <w:ind w:firstLine="420" w:firstLineChars="200"/>
            <w:rPr>
              <w:rFonts w:hint="eastAsia"/>
              <w:szCs w:val="21"/>
            </w:rPr>
          </w:pPr>
          <w:r>
            <w:rPr>
              <w:rFonts w:hint="eastAsia"/>
              <w:szCs w:val="21"/>
            </w:rPr>
            <w:t>2）开发阶段支出符合资本化的具体标准</w:t>
          </w:r>
        </w:p>
        <w:p w14:paraId="090BB14F">
          <w:pPr>
            <w:ind w:firstLine="420" w:firstLineChars="200"/>
            <w:rPr>
              <w:rFonts w:hint="eastAsia"/>
              <w:szCs w:val="21"/>
            </w:rPr>
          </w:pPr>
          <w:r>
            <w:rPr>
              <w:rFonts w:hint="eastAsia"/>
              <w:szCs w:val="21"/>
            </w:rPr>
            <w:t>内部研究开发项目开发阶段的支出，同时满足下列条件时确认为无形资产：</w:t>
          </w:r>
        </w:p>
        <w:p w14:paraId="209DE9E9">
          <w:pPr>
            <w:ind w:firstLine="420" w:firstLineChars="200"/>
            <w:rPr>
              <w:rFonts w:hint="eastAsia"/>
              <w:szCs w:val="21"/>
            </w:rPr>
          </w:pPr>
          <w:r>
            <w:rPr>
              <w:rFonts w:hint="eastAsia"/>
              <w:szCs w:val="21"/>
            </w:rPr>
            <w:t>①完成该无形资产以使其能够使用或出售在技术上具有可行性；</w:t>
          </w:r>
        </w:p>
        <w:p w14:paraId="65234AB0">
          <w:pPr>
            <w:ind w:firstLine="420" w:firstLineChars="200"/>
            <w:rPr>
              <w:rFonts w:hint="eastAsia"/>
              <w:szCs w:val="21"/>
            </w:rPr>
          </w:pPr>
          <w:r>
            <w:rPr>
              <w:rFonts w:hint="eastAsia"/>
              <w:szCs w:val="21"/>
            </w:rPr>
            <w:t>②具有完成该无形资产并使用或出售的意图；</w:t>
          </w:r>
        </w:p>
        <w:p w14:paraId="15F520E0">
          <w:pPr>
            <w:ind w:firstLine="420" w:firstLineChars="200"/>
            <w:rPr>
              <w:rFonts w:hint="eastAsia"/>
              <w:szCs w:val="21"/>
            </w:rPr>
          </w:pPr>
          <w:r>
            <w:rPr>
              <w:rFonts w:hint="eastAsia"/>
              <w:szCs w:val="21"/>
            </w:rPr>
            <w:t>③无形资产产生经济利益的方式，包括能够证明运用该无形资产生产的产品存在市场或无形资产自身存在市场，无形资产将在内部使用的，能够证明其有用性；</w:t>
          </w:r>
        </w:p>
        <w:p w14:paraId="77FAEA2B">
          <w:pPr>
            <w:ind w:firstLine="420" w:firstLineChars="200"/>
            <w:rPr>
              <w:rFonts w:hint="eastAsia"/>
              <w:szCs w:val="21"/>
            </w:rPr>
          </w:pPr>
          <w:r>
            <w:rPr>
              <w:rFonts w:hint="eastAsia"/>
              <w:szCs w:val="21"/>
            </w:rPr>
            <w:t>④有足够的技术、财务资源和其他资源支持，以完成该无形资产的开发，并有能力使用或出售该无形资产；</w:t>
          </w:r>
        </w:p>
        <w:p w14:paraId="6FF667AF">
          <w:pPr>
            <w:ind w:firstLine="420" w:firstLineChars="200"/>
            <w:rPr>
              <w:rFonts w:hint="eastAsia"/>
              <w:szCs w:val="21"/>
            </w:rPr>
          </w:pPr>
          <w:r>
            <w:rPr>
              <w:rFonts w:hint="eastAsia"/>
              <w:szCs w:val="21"/>
            </w:rPr>
            <w:t>⑤归属于该无形资产开发阶段的支出能够可靠地计量。</w:t>
          </w:r>
        </w:p>
        <w:p w14:paraId="61FB5B38">
          <w:pPr>
            <w:ind w:firstLine="420" w:firstLineChars="200"/>
            <w:rPr>
              <w:rFonts w:hint="eastAsia"/>
              <w:szCs w:val="21"/>
            </w:rPr>
          </w:pPr>
          <w:r>
            <w:rPr>
              <w:rFonts w:hint="eastAsia"/>
              <w:szCs w:val="21"/>
            </w:rPr>
            <w:t>不满足上述条件的开发阶段的支出，于发生时计入当期损益。以前期间已计入损益的开发支出不在以后期间重新确认为资产。已资本化的开发阶段的支出在资产负债表上列示为开发支出，自该项目达到预定用途之日起转为无形资产。</w:t>
          </w:r>
        </w:p>
      </w:sdtContent>
    </w:sdt>
    <w:p w14:paraId="02E76D7B">
      <w:pPr>
        <w:rPr>
          <w:rFonts w:hint="eastAsia"/>
        </w:rPr>
      </w:pPr>
    </w:p>
    <w:p w14:paraId="035FBE03">
      <w:pPr>
        <w:pStyle w:val="70"/>
        <w:numPr>
          <w:ilvl w:val="0"/>
          <w:numId w:val="101"/>
        </w:num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140464687"/>
        <w:placeholder>
          <w:docPart w:val="GBC22222222222222222222222222222"/>
        </w:placeholder>
      </w:sdtPr>
      <w:sdtEndPr>
        <w:rPr>
          <w:rFonts w:hint="eastAsia"/>
          <w:szCs w:val="21"/>
        </w:rPr>
      </w:sdtEndPr>
      <w:sdtContent>
        <w:p w14:paraId="0B0920A8">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1760205793"/>
        <w:placeholder>
          <w:docPart w:val="GBC22222222222222222222222222222"/>
        </w:placeholder>
      </w:sdtPr>
      <w:sdtEndPr>
        <w:rPr>
          <w:rFonts w:hint="eastAsia"/>
          <w:szCs w:val="21"/>
        </w:rPr>
      </w:sdtEndPr>
      <w:sdtContent>
        <w:p w14:paraId="522012E2">
          <w:pPr>
            <w:ind w:firstLine="420" w:firstLineChars="200"/>
            <w:rPr>
              <w:rFonts w:hint="eastAsia"/>
              <w:szCs w:val="21"/>
            </w:rPr>
          </w:pPr>
          <w:r>
            <w:rPr>
              <w:rFonts w:hint="eastAsia"/>
              <w:szCs w:val="21"/>
            </w:rPr>
            <w:t>本公司在资产负债表日判断长期资产是否存在可能发生减值的迹象。如果长期资产存在减值迹象的，以单项资产为基础估计其可收回金额；难以对单项资产的可收回金额进行估计的，以该资产所属的资产组为基础确定资产组的可收回金额。</w:t>
          </w:r>
        </w:p>
        <w:p w14:paraId="338155F3">
          <w:pPr>
            <w:ind w:firstLine="420" w:firstLineChars="200"/>
            <w:rPr>
              <w:rFonts w:hint="eastAsia"/>
              <w:szCs w:val="21"/>
            </w:rPr>
          </w:pPr>
          <w:r>
            <w:rPr>
              <w:rFonts w:hint="eastAsia"/>
              <w:szCs w:val="21"/>
            </w:rPr>
            <w:t>资产可收回金额的估计，根据其公允价值减去处置费用后的净额与资产预计未来现金流量的现值两者之间较高者确定。</w:t>
          </w:r>
        </w:p>
        <w:p w14:paraId="03CB09B2">
          <w:pPr>
            <w:ind w:firstLine="420" w:firstLineChars="200"/>
            <w:rPr>
              <w:rFonts w:hint="eastAsia"/>
              <w:szCs w:val="21"/>
            </w:rPr>
          </w:pPr>
          <w:r>
            <w:rPr>
              <w:rFonts w:hint="eastAsia"/>
              <w:szCs w:val="21"/>
            </w:rPr>
            <w:t>可收回金额的计量结果表明，长期资产的可收回金额低于其账面价值的，将长期资产的账面价值减记至可收回金额，减记的金额确认为资产减值损失，计入当期损益，同时计提相应的资产减值准备。资产减值损失一经确认，在以后会计期间不得转回。</w:t>
          </w:r>
        </w:p>
        <w:p w14:paraId="1F3FB0E8">
          <w:pPr>
            <w:ind w:firstLine="420" w:firstLineChars="200"/>
            <w:rPr>
              <w:rFonts w:hint="eastAsia"/>
              <w:szCs w:val="21"/>
            </w:rPr>
          </w:pPr>
          <w:r>
            <w:rPr>
              <w:rFonts w:hint="eastAsia"/>
              <w:szCs w:val="21"/>
            </w:rPr>
            <w:t>资产减值损失确认后，减值资产的折旧或者摊销费用在未来期间作相应调整，以使该资产在剩余使用寿命内，系统地分摊调整后的资产账面价值（扣除预计净残值）。</w:t>
          </w:r>
        </w:p>
        <w:p w14:paraId="69727372">
          <w:pPr>
            <w:ind w:firstLine="420" w:firstLineChars="200"/>
            <w:rPr>
              <w:rFonts w:hint="eastAsia"/>
              <w:szCs w:val="21"/>
            </w:rPr>
          </w:pPr>
          <w:r>
            <w:rPr>
              <w:rFonts w:hint="eastAsia"/>
              <w:szCs w:val="21"/>
            </w:rPr>
            <w:t>因企业合并所形成的商誉和使用寿命不确定的无形资产，无论是否存在减值迹象，每年都进行减值测试。</w:t>
          </w:r>
        </w:p>
        <w:p w14:paraId="783693E7">
          <w:pPr>
            <w:ind w:firstLine="420" w:firstLineChars="200"/>
            <w:rPr>
              <w:rFonts w:hint="eastAsia"/>
              <w:szCs w:val="21"/>
            </w:rPr>
          </w:pPr>
          <w:r>
            <w:rPr>
              <w:rFonts w:hint="eastAsia"/>
              <w:szCs w:val="21"/>
            </w:rPr>
            <w:t>在对商誉进行减值测试时，将商誉的账面价值分摊至预期从企业合并的协同效应中受益的资产组或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与其可收回金额，如相关资产组或者资产组组合的可收回金额低于其账面价值的，确认商誉的减值损失。</w:t>
          </w:r>
        </w:p>
      </w:sdtContent>
    </w:sdt>
    <w:p w14:paraId="60D4EF6B">
      <w:pPr>
        <w:rPr>
          <w:rFonts w:hint="eastAsia"/>
          <w:szCs w:val="21"/>
        </w:rPr>
      </w:pPr>
    </w:p>
    <w:p w14:paraId="63F1C166">
      <w:pPr>
        <w:pStyle w:val="70"/>
        <w:numPr>
          <w:ilvl w:val="0"/>
          <w:numId w:val="101"/>
        </w:numPr>
      </w:pPr>
      <w:r>
        <w:t>长期待摊费用</w:t>
      </w:r>
    </w:p>
    <w:sdt>
      <w:sdtPr>
        <w:rPr>
          <w:rFonts w:hint="eastAsia"/>
          <w:szCs w:val="21"/>
        </w:rPr>
        <w:alias w:val="是否适用：长期待摊费用_重要会计政策和估计[双击切换]"/>
        <w:tag w:val="_GBC_5f2bbee5e66644d489f8d74ae8f96539"/>
        <w:id w:val="1409730316"/>
        <w:placeholder>
          <w:docPart w:val="GBC22222222222222222222222222222"/>
        </w:placeholder>
      </w:sdtPr>
      <w:sdtEndPr>
        <w:rPr>
          <w:rFonts w:hint="eastAsia"/>
          <w:szCs w:val="21"/>
        </w:rPr>
      </w:sdtEndPr>
      <w:sdtContent>
        <w:p w14:paraId="4C95449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859191407"/>
        <w:placeholder>
          <w:docPart w:val="GBC22222222222222222222222222222"/>
        </w:placeholder>
      </w:sdtPr>
      <w:sdtEndPr>
        <w:rPr>
          <w:rFonts w:hint="eastAsia"/>
          <w:szCs w:val="21"/>
        </w:rPr>
      </w:sdtEndPr>
      <w:sdtContent>
        <w:p w14:paraId="758862E5">
          <w:pPr>
            <w:ind w:firstLine="420" w:firstLineChars="200"/>
            <w:rPr>
              <w:rFonts w:hint="eastAsia"/>
              <w:szCs w:val="21"/>
            </w:rPr>
          </w:pPr>
          <w:r>
            <w:rPr>
              <w:rFonts w:hint="eastAsia"/>
              <w:szCs w:val="21"/>
            </w:rPr>
            <w:t>（1）摊销方法</w:t>
          </w:r>
        </w:p>
        <w:p w14:paraId="0C46F2E4">
          <w:pPr>
            <w:ind w:firstLine="420" w:firstLineChars="200"/>
            <w:rPr>
              <w:rFonts w:hint="eastAsia"/>
              <w:szCs w:val="21"/>
            </w:rPr>
          </w:pPr>
          <w:r>
            <w:rPr>
              <w:rFonts w:hint="eastAsia"/>
              <w:szCs w:val="21"/>
            </w:rPr>
            <w:t>长期待摊费用，是指本公司已经发生但应由本期和以后各期负担的分摊期限在1年以上的各项费用。长期待摊费用在受益期内按直线法分期摊销。</w:t>
          </w:r>
        </w:p>
        <w:p w14:paraId="18E0C682">
          <w:pPr>
            <w:ind w:firstLine="420" w:firstLineChars="200"/>
            <w:rPr>
              <w:rFonts w:hint="eastAsia"/>
              <w:szCs w:val="21"/>
            </w:rPr>
          </w:pPr>
          <w:r>
            <w:rPr>
              <w:rFonts w:hint="eastAsia"/>
              <w:szCs w:val="21"/>
            </w:rPr>
            <w:t>（2）摊销年限</w:t>
          </w:r>
        </w:p>
        <w:p w14:paraId="15761DB8">
          <w:pPr>
            <w:ind w:firstLine="420" w:firstLineChars="200"/>
            <w:rPr>
              <w:rFonts w:hint="eastAsia" w:cs="Times New Roman"/>
              <w:kern w:val="2"/>
              <w:szCs w:val="21"/>
            </w:rPr>
          </w:pPr>
          <w:r>
            <w:rPr>
              <w:rFonts w:hint="eastAsia"/>
              <w:szCs w:val="21"/>
            </w:rPr>
            <w:t>根据房屋租赁期限及预计受益期限确定摊销年限。</w:t>
          </w:r>
        </w:p>
      </w:sdtContent>
    </w:sdt>
    <w:p w14:paraId="6F5ED7C9">
      <w:pPr>
        <w:rPr>
          <w:rFonts w:hint="eastAsia"/>
          <w:szCs w:val="21"/>
        </w:rPr>
      </w:pPr>
    </w:p>
    <w:p w14:paraId="24891FD9">
      <w:pPr>
        <w:pStyle w:val="70"/>
        <w:numPr>
          <w:ilvl w:val="0"/>
          <w:numId w:val="101"/>
        </w:numPr>
      </w:pPr>
      <w:bookmarkStart w:id="226" w:name="_Hlk533668008"/>
      <w:r>
        <w:rPr>
          <w:rFonts w:hint="eastAsia"/>
          <w:szCs w:val="21"/>
        </w:rPr>
        <w:t>合同负债</w:t>
      </w:r>
    </w:p>
    <w:sdt>
      <w:sdtPr>
        <w:rPr>
          <w:szCs w:val="21"/>
        </w:rPr>
        <w:alias w:val="是否适用：合同负债的确定方法、摊销方法和减值测试方法[双击切换]"/>
        <w:tag w:val="_GBC_1d0f6a0a7f304d3f94158c9d73a7239a"/>
        <w:id w:val="132605901"/>
        <w:placeholder>
          <w:docPart w:val="GBC22222222222222222222222222222"/>
        </w:placeholder>
      </w:sdtPr>
      <w:sdtEndPr>
        <w:rPr>
          <w:szCs w:val="21"/>
        </w:rPr>
      </w:sdtEndPr>
      <w:sdtContent>
        <w:p w14:paraId="3B979BFA">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2479EFC">
      <w:pPr>
        <w:ind w:firstLine="420" w:firstLineChars="200"/>
        <w:rPr>
          <w:rFonts w:hint="eastAsia"/>
          <w:szCs w:val="21"/>
        </w:rPr>
      </w:pPr>
      <w:sdt>
        <w:sdtPr>
          <w:rPr>
            <w:szCs w:val="21"/>
          </w:rPr>
          <w:alias w:val="合同负债的确定方法、摊销方法和减值测试方法"/>
          <w:tag w:val="_GBC_0555b9144f6c494282d03f175d2fa19d"/>
          <w:id w:val="-2130687653"/>
          <w:placeholder>
            <w:docPart w:val="GBC22222222222222222222222222222"/>
          </w:placeholder>
        </w:sdtPr>
        <w:sdtEndPr>
          <w:rPr>
            <w:szCs w:val="21"/>
          </w:rPr>
        </w:sdtEndPr>
        <w:sdtContent>
          <w:r>
            <w:rPr>
              <w:rFonts w:hint="eastAsia"/>
              <w:szCs w:val="21"/>
            </w:rPr>
            <w:t>本公司将已收或应收客户对价而应向客户转让商品的义务部分确认为合同负债。</w:t>
          </w:r>
        </w:sdtContent>
      </w:sdt>
    </w:p>
    <w:p w14:paraId="50AB093B">
      <w:pPr>
        <w:rPr>
          <w:rFonts w:hint="eastAsia"/>
          <w:szCs w:val="21"/>
        </w:rPr>
      </w:pPr>
    </w:p>
    <w:bookmarkEnd w:id="226"/>
    <w:p w14:paraId="4C8DF48C">
      <w:pPr>
        <w:pStyle w:val="70"/>
        <w:numPr>
          <w:ilvl w:val="0"/>
          <w:numId w:val="101"/>
        </w:numPr>
      </w:pPr>
      <w:r>
        <w:rPr>
          <w:rFonts w:hint="eastAsia"/>
        </w:rPr>
        <w:t>职工薪酬</w:t>
      </w:r>
    </w:p>
    <w:p w14:paraId="7CEB9013">
      <w:pPr>
        <w:pStyle w:val="71"/>
        <w:numPr>
          <w:ilvl w:val="3"/>
          <w:numId w:val="105"/>
        </w:numPr>
        <w:ind w:left="426" w:hanging="426"/>
        <w:rPr>
          <w:rFonts w:hint="eastAsia"/>
        </w:rPr>
      </w:pPr>
      <w:r>
        <w:rPr>
          <w:rFonts w:hint="eastAsia"/>
        </w:rPr>
        <w:t>短期薪酬的会计处理方法</w:t>
      </w:r>
    </w:p>
    <w:sdt>
      <w:sdtPr>
        <w:rPr>
          <w:rFonts w:hint="eastAsia"/>
          <w:szCs w:val="21"/>
        </w:rPr>
        <w:alias w:val="是否适用：短期薪酬的会计处理方法[双击切换]"/>
        <w:tag w:val="_GBC_efadddc5ff4a48fb9432574c3528c6b3"/>
        <w:id w:val="1942724270"/>
        <w:placeholder>
          <w:docPart w:val="GBC22222222222222222222222222222"/>
        </w:placeholder>
      </w:sdtPr>
      <w:sdtEndPr>
        <w:rPr>
          <w:rFonts w:hint="eastAsia"/>
          <w:szCs w:val="21"/>
        </w:rPr>
      </w:sdtEndPr>
      <w:sdtContent>
        <w:p w14:paraId="74031459">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715576891"/>
        <w:placeholder>
          <w:docPart w:val="GBC22222222222222222222222222222"/>
        </w:placeholder>
      </w:sdtPr>
      <w:sdtEndPr>
        <w:rPr>
          <w:szCs w:val="21"/>
        </w:rPr>
      </w:sdtEndPr>
      <w:sdtContent>
        <w:p w14:paraId="35308674">
          <w:pPr>
            <w:ind w:firstLine="420" w:firstLineChars="200"/>
            <w:rPr>
              <w:rFonts w:hint="eastAsia"/>
              <w:szCs w:val="21"/>
            </w:rPr>
          </w:pPr>
          <w:r>
            <w:rPr>
              <w:rFonts w:hint="eastAsia"/>
              <w:szCs w:val="21"/>
            </w:rPr>
            <w:t>短期薪酬是指本公司在职工提供相关服务的年度报告期间结束后十二个月内需要全部予以支付的职工薪酬，离职后福利和辞退福利除外。本公司在职工提供服务的会计期间，将应付的短期薪酬确认为负债，并根据职工提供服务的受益对象计入相关资产成本和费用。</w:t>
          </w:r>
        </w:p>
      </w:sdtContent>
    </w:sdt>
    <w:p w14:paraId="21A2EE2E">
      <w:pPr>
        <w:rPr>
          <w:rFonts w:hint="eastAsia"/>
          <w:szCs w:val="21"/>
        </w:rPr>
      </w:pPr>
    </w:p>
    <w:p w14:paraId="02980C9E">
      <w:pPr>
        <w:pStyle w:val="71"/>
        <w:numPr>
          <w:ilvl w:val="3"/>
          <w:numId w:val="105"/>
        </w:numPr>
        <w:ind w:left="426" w:hanging="426"/>
        <w:rPr>
          <w:rFonts w:hint="eastAsia"/>
        </w:rPr>
      </w:pPr>
      <w:r>
        <w:rPr>
          <w:rFonts w:hint="eastAsia"/>
        </w:rPr>
        <w:t>离职后福利的会计处理方法</w:t>
      </w:r>
    </w:p>
    <w:sdt>
      <w:sdtPr>
        <w:rPr>
          <w:rFonts w:hint="eastAsia"/>
          <w:szCs w:val="21"/>
        </w:rPr>
        <w:alias w:val="是否适用：离职后福利的会计处理方法[双击切换]"/>
        <w:tag w:val="_GBC_64248844b1544474ae8d85d08e7479af"/>
        <w:id w:val="-1120143260"/>
        <w:placeholder>
          <w:docPart w:val="GBC22222222222222222222222222222"/>
        </w:placeholder>
      </w:sdtPr>
      <w:sdtEndPr>
        <w:rPr>
          <w:rFonts w:hint="eastAsia"/>
          <w:szCs w:val="21"/>
        </w:rPr>
      </w:sdtEndPr>
      <w:sdtContent>
        <w:p w14:paraId="1E28BBD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2058386179"/>
        <w:placeholder>
          <w:docPart w:val="GBC22222222222222222222222222222"/>
        </w:placeholder>
      </w:sdtPr>
      <w:sdtEndPr>
        <w:rPr>
          <w:szCs w:val="21"/>
        </w:rPr>
      </w:sdtEndPr>
      <w:sdtContent>
        <w:p w14:paraId="3688E6D6">
          <w:pPr>
            <w:ind w:firstLine="420" w:firstLineChars="200"/>
            <w:rPr>
              <w:rFonts w:hint="eastAsia"/>
              <w:szCs w:val="21"/>
            </w:rPr>
          </w:pPr>
          <w:r>
            <w:rPr>
              <w:rFonts w:hint="eastAsia"/>
              <w:szCs w:val="21"/>
            </w:rPr>
            <w:t>离职后福利是指本公司为获得职工提供的服务而在职工退休或与企业解除劳动关系后，提供的各种形式的报酬和福利，短期薪酬和辞退福利除外。</w:t>
          </w:r>
        </w:p>
        <w:p w14:paraId="3D0C6D5E">
          <w:pPr>
            <w:ind w:firstLine="420" w:firstLineChars="200"/>
            <w:rPr>
              <w:rFonts w:hint="eastAsia"/>
              <w:szCs w:val="21"/>
            </w:rPr>
          </w:pPr>
          <w:r>
            <w:rPr>
              <w:rFonts w:hint="eastAsia"/>
              <w:szCs w:val="21"/>
            </w:rPr>
            <w:t>本公司的离职后福利计划分类为设定提存计划和设定受益计划。</w:t>
          </w:r>
        </w:p>
        <w:p w14:paraId="20CC8FE2">
          <w:pPr>
            <w:ind w:firstLine="420" w:firstLineChars="200"/>
            <w:rPr>
              <w:rFonts w:hint="eastAsia"/>
              <w:szCs w:val="21"/>
            </w:rPr>
          </w:pPr>
          <w:r>
            <w:rPr>
              <w:rFonts w:hint="eastAsia"/>
              <w:szCs w:val="21"/>
            </w:rPr>
            <w:t>离职后福利设定提存计划主要为参加由各地劳动及社会保障机构组织实施的社会基本养老保险、失业保险等。</w:t>
          </w:r>
        </w:p>
        <w:p w14:paraId="1BBA70DD">
          <w:pPr>
            <w:ind w:firstLine="420" w:firstLineChars="200"/>
            <w:rPr>
              <w:rFonts w:hint="eastAsia"/>
              <w:szCs w:val="21"/>
            </w:rPr>
          </w:pPr>
          <w:r>
            <w:rPr>
              <w:rFonts w:hint="eastAsia"/>
              <w:szCs w:val="21"/>
            </w:rPr>
            <w:t>离职后福利设定受益计划主要为离退休人员支付的明确标准的统筹外福利、为去世员工遗属支付的生活费等。</w:t>
          </w:r>
        </w:p>
      </w:sdtContent>
    </w:sdt>
    <w:p w14:paraId="5A888548">
      <w:pPr>
        <w:rPr>
          <w:rFonts w:hint="eastAsia"/>
          <w:szCs w:val="21"/>
        </w:rPr>
      </w:pPr>
    </w:p>
    <w:p w14:paraId="426E016F">
      <w:pPr>
        <w:pStyle w:val="71"/>
        <w:numPr>
          <w:ilvl w:val="3"/>
          <w:numId w:val="105"/>
        </w:numPr>
        <w:ind w:left="426" w:hanging="426"/>
        <w:rPr>
          <w:rFonts w:hint="eastAsia"/>
        </w:rPr>
      </w:pPr>
      <w:r>
        <w:rPr>
          <w:rFonts w:hint="eastAsia"/>
        </w:rPr>
        <w:t>辞退福利的会计处理方法</w:t>
      </w:r>
    </w:p>
    <w:sdt>
      <w:sdtPr>
        <w:rPr>
          <w:rFonts w:hint="eastAsia"/>
          <w:szCs w:val="21"/>
        </w:rPr>
        <w:alias w:val="是否适用：辞退福利的会计处理方法[双击切换]"/>
        <w:tag w:val="_GBC_7a3bf6905df64c658fb0148a81f2964d"/>
        <w:id w:val="841824427"/>
        <w:placeholder>
          <w:docPart w:val="GBC22222222222222222222222222222"/>
        </w:placeholder>
      </w:sdtPr>
      <w:sdtEndPr>
        <w:rPr>
          <w:rFonts w:hint="eastAsia"/>
          <w:szCs w:val="21"/>
        </w:rPr>
      </w:sdtEndPr>
      <w:sdtContent>
        <w:p w14:paraId="1139D6D8">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22198528"/>
        <w:placeholder>
          <w:docPart w:val="GBC22222222222222222222222222222"/>
        </w:placeholder>
      </w:sdtPr>
      <w:sdtEndPr>
        <w:rPr>
          <w:szCs w:val="21"/>
        </w:rPr>
      </w:sdtEndPr>
      <w:sdtContent>
        <w:p w14:paraId="13261EAF">
          <w:pPr>
            <w:ind w:firstLine="420" w:firstLineChars="200"/>
            <w:rPr>
              <w:rFonts w:hint="eastAsia"/>
              <w:szCs w:val="21"/>
            </w:rPr>
          </w:pPr>
          <w:r>
            <w:rPr>
              <w:rFonts w:hint="eastAsia"/>
              <w:szCs w:val="21"/>
            </w:rPr>
            <w:t>辞退福利是指本公司在职工劳动合同到期之前解除与职工的劳动关系，或者为鼓励职工自愿接受裁减而给予职工的补偿，在本公司不能单方面撤回解除劳动关系计划或裁减建议时和确认与涉及支付辞退福利的重组相关的成本费用时两者孰早日，确认因解除与职工的劳动关系给予补偿而产生的负债，同时计入当期损益。</w:t>
          </w:r>
        </w:p>
        <w:p w14:paraId="72F3D5F0">
          <w:pPr>
            <w:ind w:firstLine="420" w:firstLineChars="200"/>
            <w:rPr>
              <w:rFonts w:hint="eastAsia"/>
              <w:szCs w:val="21"/>
            </w:rPr>
          </w:pPr>
          <w:r>
            <w:rPr>
              <w:rFonts w:hint="eastAsia"/>
              <w:szCs w:val="21"/>
            </w:rPr>
            <w:t>本公司向接受内部退休安排的职工提供内退福利。内退福利是指，向未达到国家规定的退休年龄、经本公司管理层批准自愿退出工作岗位的职工支付的工资及为其缴纳的社会保险费等。本公司自内部退休安排开始之日起至职工达到正常退休年龄止，向内退职工支付内部退养福利。对于内退福利，本公司比照辞退福利进行会计处理，在符合辞退福利相关确认条件时，将自职工停止提供服务日至正常退休日期间拟支付的内退职工工资和缴纳的社会保险费等，确认为负债，一次性计入当期损益。内退福利的精算假设变化及福利标准调整引起的差异于发生时计入当期损益。</w:t>
          </w:r>
        </w:p>
      </w:sdtContent>
    </w:sdt>
    <w:p w14:paraId="0F633E3E">
      <w:pPr>
        <w:rPr>
          <w:rFonts w:hint="eastAsia"/>
          <w:szCs w:val="21"/>
        </w:rPr>
      </w:pPr>
    </w:p>
    <w:p w14:paraId="6D579348">
      <w:pPr>
        <w:pStyle w:val="71"/>
        <w:numPr>
          <w:ilvl w:val="3"/>
          <w:numId w:val="105"/>
        </w:numPr>
        <w:ind w:left="426" w:hanging="426"/>
        <w:rPr>
          <w:rFonts w:hint="eastAsia"/>
        </w:rPr>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1370680911"/>
        <w:placeholder>
          <w:docPart w:val="GBC22222222222222222222222222222"/>
        </w:placeholder>
      </w:sdtPr>
      <w:sdtEndPr>
        <w:rPr>
          <w:rFonts w:hint="eastAsia"/>
          <w:szCs w:val="21"/>
        </w:rPr>
      </w:sdtEndPr>
      <w:sdtContent>
        <w:p w14:paraId="53BA2B4A">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264466612"/>
        <w:placeholder>
          <w:docPart w:val="GBC22222222222222222222222222222"/>
        </w:placeholder>
      </w:sdtPr>
      <w:sdtEndPr>
        <w:rPr>
          <w:szCs w:val="21"/>
        </w:rPr>
      </w:sdtEndPr>
      <w:sdtContent>
        <w:p w14:paraId="281B92B9">
          <w:pPr>
            <w:ind w:firstLine="420" w:firstLineChars="200"/>
            <w:rPr>
              <w:rFonts w:hint="eastAsia" w:cs="Times New Roman"/>
              <w:szCs w:val="21"/>
            </w:rPr>
          </w:pPr>
          <w:r>
            <w:rPr>
              <w:rFonts w:hint="eastAsia"/>
              <w:szCs w:val="21"/>
            </w:rPr>
            <w:t>其他长期职工福利是指除短期薪酬、离职后福利、辞退福利之外的其他所有职工福利。</w:t>
          </w:r>
        </w:p>
      </w:sdtContent>
    </w:sdt>
    <w:p w14:paraId="44D878B5">
      <w:pPr>
        <w:rPr>
          <w:rFonts w:hint="eastAsia" w:cs="Times New Roman"/>
          <w:szCs w:val="21"/>
        </w:rPr>
      </w:pPr>
    </w:p>
    <w:p w14:paraId="3F9B85C1">
      <w:pPr>
        <w:pStyle w:val="70"/>
        <w:numPr>
          <w:ilvl w:val="0"/>
          <w:numId w:val="101"/>
        </w:numPr>
      </w:pPr>
      <w:r>
        <w:t>预计负债</w:t>
      </w:r>
    </w:p>
    <w:sdt>
      <w:sdtPr>
        <w:rPr>
          <w:rFonts w:hint="eastAsia"/>
          <w:szCs w:val="21"/>
        </w:rPr>
        <w:alias w:val="是否适用：预计负债_重要会计政策和估计[双击切换]"/>
        <w:tag w:val="_GBC_546a7423773c46d2b57f08fc5fdbc638"/>
        <w:id w:val="-1446843549"/>
        <w:placeholder>
          <w:docPart w:val="GBC22222222222222222222222222222"/>
        </w:placeholder>
      </w:sdtPr>
      <w:sdtEndPr>
        <w:rPr>
          <w:rFonts w:hint="eastAsia"/>
          <w:szCs w:val="21"/>
        </w:rPr>
      </w:sdtEndPr>
      <w:sdtContent>
        <w:p w14:paraId="4C671A53">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569642540"/>
        <w:placeholder>
          <w:docPart w:val="GBC22222222222222222222222222222"/>
        </w:placeholder>
      </w:sdtPr>
      <w:sdtEndPr>
        <w:rPr>
          <w:rFonts w:hint="eastAsia"/>
          <w:szCs w:val="21"/>
        </w:rPr>
      </w:sdtEndPr>
      <w:sdtContent>
        <w:p w14:paraId="5EA4B1CA">
          <w:pPr>
            <w:ind w:firstLine="420" w:firstLineChars="200"/>
            <w:rPr>
              <w:rFonts w:hint="eastAsia"/>
              <w:szCs w:val="21"/>
            </w:rPr>
          </w:pPr>
          <w:r>
            <w:rPr>
              <w:rFonts w:hint="eastAsia"/>
              <w:szCs w:val="21"/>
            </w:rPr>
            <w:t>（1）预计负债的确认标准</w:t>
          </w:r>
        </w:p>
        <w:p w14:paraId="6F456EB1">
          <w:pPr>
            <w:ind w:firstLine="420" w:firstLineChars="200"/>
            <w:rPr>
              <w:rFonts w:hint="eastAsia"/>
              <w:szCs w:val="21"/>
            </w:rPr>
          </w:pPr>
          <w:r>
            <w:rPr>
              <w:rFonts w:hint="eastAsia"/>
              <w:szCs w:val="21"/>
            </w:rPr>
            <w:t>与或有事项相关的义务同时满足下列条件时，本公司确认为预计负债：</w:t>
          </w:r>
        </w:p>
        <w:p w14:paraId="55B4741C">
          <w:pPr>
            <w:ind w:firstLine="420" w:firstLineChars="200"/>
            <w:rPr>
              <w:rFonts w:hint="eastAsia"/>
              <w:szCs w:val="21"/>
            </w:rPr>
          </w:pPr>
          <w:r>
            <w:rPr>
              <w:rFonts w:hint="eastAsia"/>
              <w:szCs w:val="21"/>
            </w:rPr>
            <w:t>该义务是本公司承担的现时义务；</w:t>
          </w:r>
        </w:p>
        <w:p w14:paraId="06D74119">
          <w:pPr>
            <w:ind w:firstLine="420" w:firstLineChars="200"/>
            <w:rPr>
              <w:rFonts w:hint="eastAsia"/>
              <w:szCs w:val="21"/>
            </w:rPr>
          </w:pPr>
          <w:r>
            <w:rPr>
              <w:rFonts w:hint="eastAsia"/>
              <w:szCs w:val="21"/>
            </w:rPr>
            <w:t>履行该义务很可能导致经济利益流出本公司；</w:t>
          </w:r>
        </w:p>
        <w:p w14:paraId="0AE91747">
          <w:pPr>
            <w:ind w:firstLine="420" w:firstLineChars="200"/>
            <w:rPr>
              <w:rFonts w:hint="eastAsia"/>
              <w:szCs w:val="21"/>
            </w:rPr>
          </w:pPr>
          <w:r>
            <w:rPr>
              <w:rFonts w:hint="eastAsia"/>
              <w:szCs w:val="21"/>
            </w:rPr>
            <w:t>该义务的金额能够可靠地计量。</w:t>
          </w:r>
        </w:p>
        <w:p w14:paraId="2B2EC54D">
          <w:pPr>
            <w:ind w:firstLine="420" w:firstLineChars="200"/>
            <w:rPr>
              <w:rFonts w:hint="eastAsia"/>
              <w:szCs w:val="21"/>
            </w:rPr>
          </w:pPr>
          <w:r>
            <w:rPr>
              <w:rFonts w:hint="eastAsia"/>
              <w:szCs w:val="21"/>
            </w:rPr>
            <w:t>（2）预计负债的计量方法</w:t>
          </w:r>
        </w:p>
        <w:p w14:paraId="3C53F1E4">
          <w:pPr>
            <w:ind w:firstLine="420" w:firstLineChars="200"/>
            <w:rPr>
              <w:rFonts w:hint="eastAsia"/>
              <w:szCs w:val="21"/>
            </w:rPr>
          </w:pPr>
          <w:r>
            <w:rPr>
              <w:rFonts w:hint="eastAsia"/>
              <w:szCs w:val="21"/>
            </w:rPr>
            <w:t>本公司预计负债按履行相关现时义务所需的支出的最佳估计数进行初始计量。</w:t>
          </w:r>
        </w:p>
        <w:p w14:paraId="7B738646">
          <w:pPr>
            <w:ind w:firstLine="420" w:firstLineChars="200"/>
            <w:rPr>
              <w:rFonts w:hint="eastAsia"/>
              <w:szCs w:val="21"/>
            </w:rPr>
          </w:pPr>
          <w:r>
            <w:rPr>
              <w:rFonts w:hint="eastAsia"/>
              <w:szCs w:val="21"/>
            </w:rPr>
            <w:t>本公司在确定最佳估计数时，综合考虑与或有事项有关的风险、不确定性和货币时间价值等因素。对于货币时间价值影响重大的，通过对相关未来现金流出进行折现后确定最佳估计数。</w:t>
          </w:r>
        </w:p>
        <w:p w14:paraId="19F33274">
          <w:pPr>
            <w:ind w:firstLine="420" w:firstLineChars="200"/>
            <w:rPr>
              <w:rFonts w:hint="eastAsia"/>
              <w:szCs w:val="21"/>
            </w:rPr>
          </w:pPr>
          <w:r>
            <w:rPr>
              <w:rFonts w:hint="eastAsia"/>
              <w:szCs w:val="21"/>
            </w:rPr>
            <w:t>最佳估计数分别以下情况处理：</w:t>
          </w:r>
        </w:p>
        <w:p w14:paraId="21E34BE8">
          <w:pPr>
            <w:ind w:firstLine="420" w:firstLineChars="200"/>
            <w:rPr>
              <w:rFonts w:hint="eastAsia"/>
              <w:szCs w:val="21"/>
            </w:rPr>
          </w:pPr>
          <w:r>
            <w:rPr>
              <w:rFonts w:hint="eastAsia"/>
              <w:szCs w:val="21"/>
            </w:rPr>
            <w:t>所需支出存在一个连续范围（或区间），且该范围内各种结果发生的可能性相同的，则最佳估计数按照该范围的中间值即上下限金额的平均数确定。</w:t>
          </w:r>
        </w:p>
        <w:p w14:paraId="27E3CCDD">
          <w:pPr>
            <w:ind w:firstLine="420" w:firstLineChars="200"/>
            <w:rPr>
              <w:rFonts w:hint="eastAsia"/>
              <w:szCs w:val="21"/>
            </w:rPr>
          </w:pPr>
          <w:r>
            <w:rPr>
              <w:rFonts w:hint="eastAsia"/>
              <w:szCs w:val="21"/>
            </w:rPr>
            <w:t>所需支出不存在一个连续范围（或区间），或虽然存在一个连续范围但该范围内各种结果发生的可能性不相同的，如或有事项涉及单个项目的，则最佳估计数按照最可能发生金额确定；如或有事项涉及多个项目的，则最佳估计数按各种可能结果及相关概率计算确定。</w:t>
          </w:r>
        </w:p>
        <w:p w14:paraId="2A69BA7F">
          <w:pPr>
            <w:ind w:firstLine="420" w:firstLineChars="200"/>
            <w:rPr>
              <w:rFonts w:hint="eastAsia"/>
              <w:szCs w:val="21"/>
            </w:rPr>
          </w:pPr>
          <w:r>
            <w:rPr>
              <w:rFonts w:hint="eastAsia"/>
              <w:szCs w:val="21"/>
            </w:rPr>
            <w:t>本公司清偿预计负债所需支出全部或部分预期由第三方补偿的，补偿金额在基本确定能够收到时，作为资产单独确认，确认的补偿金额不超过预计负债的账面价值。</w:t>
          </w:r>
        </w:p>
      </w:sdtContent>
    </w:sdt>
    <w:p w14:paraId="35245388">
      <w:pPr>
        <w:rPr>
          <w:rFonts w:hint="eastAsia"/>
          <w:szCs w:val="21"/>
        </w:rPr>
      </w:pPr>
    </w:p>
    <w:p w14:paraId="4DA5677D">
      <w:pPr>
        <w:pStyle w:val="70"/>
        <w:numPr>
          <w:ilvl w:val="0"/>
          <w:numId w:val="101"/>
        </w:numPr>
      </w:pPr>
      <w:r>
        <w:rPr>
          <w:rFonts w:hint="eastAsia"/>
        </w:rPr>
        <w:t>股份支付</w:t>
      </w:r>
    </w:p>
    <w:sdt>
      <w:sdtPr>
        <w:rPr>
          <w:rFonts w:hint="eastAsia"/>
          <w:szCs w:val="21"/>
        </w:rPr>
        <w:alias w:val="是否适用：股份支付_重要会计政策和估计[双击切换]"/>
        <w:tag w:val="_GBC_7741eb89da65434190830ba1cd87e4dc"/>
        <w:id w:val="1081346112"/>
        <w:placeholder>
          <w:docPart w:val="GBC22222222222222222222222222222"/>
        </w:placeholder>
      </w:sdtPr>
      <w:sdtEndPr>
        <w:rPr>
          <w:rFonts w:hint="eastAsia"/>
          <w:szCs w:val="21"/>
        </w:rPr>
      </w:sdtEndPr>
      <w:sdtContent>
        <w:p w14:paraId="157927B0">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3F44D06">
      <w:pPr>
        <w:rPr>
          <w:rFonts w:hint="eastAsia"/>
          <w:szCs w:val="21"/>
        </w:rPr>
      </w:pPr>
    </w:p>
    <w:p w14:paraId="2E3BC0F6">
      <w:pPr>
        <w:pStyle w:val="70"/>
        <w:numPr>
          <w:ilvl w:val="0"/>
          <w:numId w:val="101"/>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830606803"/>
        <w:placeholder>
          <w:docPart w:val="GBC22222222222222222222222222222"/>
        </w:placeholder>
      </w:sdtPr>
      <w:sdtEndPr>
        <w:rPr>
          <w:rFonts w:hint="eastAsia"/>
          <w:szCs w:val="21"/>
        </w:rPr>
      </w:sdtEndPr>
      <w:sdtContent>
        <w:p w14:paraId="07345B3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E9BF630">
      <w:pPr>
        <w:rPr>
          <w:rFonts w:hint="eastAsia"/>
          <w:szCs w:val="21"/>
        </w:rPr>
      </w:pPr>
    </w:p>
    <w:p w14:paraId="40408BE5">
      <w:pPr>
        <w:pStyle w:val="70"/>
        <w:numPr>
          <w:ilvl w:val="0"/>
          <w:numId w:val="101"/>
        </w:numPr>
      </w:pPr>
      <w:bookmarkStart w:id="227" w:name="_Hlk533668053"/>
      <w:r>
        <w:rPr>
          <w:rFonts w:hint="eastAsia"/>
          <w:szCs w:val="21"/>
        </w:rPr>
        <w:t>收入</w:t>
      </w:r>
    </w:p>
    <w:p w14:paraId="07439ECC">
      <w:pPr>
        <w:pStyle w:val="71"/>
        <w:numPr>
          <w:ilvl w:val="3"/>
          <w:numId w:val="106"/>
        </w:numPr>
        <w:rPr>
          <w:rFonts w:hint="eastAsia"/>
          <w:szCs w:val="21"/>
        </w:rPr>
      </w:pPr>
      <w:r>
        <w:rPr>
          <w:rFonts w:hint="eastAsia"/>
          <w:szCs w:val="21"/>
        </w:rPr>
        <w:t>按照业务类型披露收入确认和计量所采用的会计政策</w:t>
      </w:r>
    </w:p>
    <w:sdt>
      <w:sdtPr>
        <w:rPr>
          <w:szCs w:val="21"/>
        </w:rPr>
        <w:alias w:val="是否适用：收入确认和计量所采用的会计政策[双击切换]"/>
        <w:tag w:val="_GBC_58b9f76eca7b4d9d8e5c5dfd0fba5c09"/>
        <w:id w:val="258496978"/>
        <w:placeholder>
          <w:docPart w:val="GBC22222222222222222222222222222"/>
        </w:placeholder>
      </w:sdtPr>
      <w:sdtEndPr>
        <w:rPr>
          <w:szCs w:val="21"/>
        </w:rPr>
      </w:sdtEndPr>
      <w:sdtContent>
        <w:p w14:paraId="482F99FA">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9ba2713a8f0a44ef9a4ee890aa13e0fb"/>
        <w:id w:val="292253950"/>
        <w:placeholder>
          <w:docPart w:val="GBC22222222222222222222222222222"/>
        </w:placeholder>
      </w:sdtPr>
      <w:sdtEndPr>
        <w:rPr>
          <w:szCs w:val="21"/>
        </w:rPr>
      </w:sdtEndPr>
      <w:sdtContent>
        <w:p w14:paraId="39AD6DEF">
          <w:pPr>
            <w:ind w:firstLine="420" w:firstLineChars="200"/>
            <w:rPr>
              <w:rFonts w:hint="eastAsia"/>
              <w:szCs w:val="21"/>
            </w:rPr>
          </w:pPr>
          <w:r>
            <w:rPr>
              <w:rFonts w:hint="eastAsia"/>
              <w:szCs w:val="21"/>
            </w:rPr>
            <w:t>1）收入确认的一般原则</w:t>
          </w:r>
        </w:p>
        <w:p w14:paraId="4D5F4C81">
          <w:pPr>
            <w:ind w:firstLine="420" w:firstLineChars="200"/>
            <w:rPr>
              <w:rFonts w:hint="eastAsia"/>
              <w:szCs w:val="21"/>
            </w:rPr>
          </w:pPr>
          <w:r>
            <w:rPr>
              <w:rFonts w:hint="eastAsia"/>
              <w:szCs w:val="21"/>
            </w:rPr>
            <w:t>本公司在履行了合同中的履约义务，即在客户取得相关商品或服务控制权时，按照分摊至该项履约义务的交易价格确认收入。</w:t>
          </w:r>
        </w:p>
        <w:p w14:paraId="5C06D32B">
          <w:pPr>
            <w:ind w:firstLine="420" w:firstLineChars="200"/>
            <w:rPr>
              <w:rFonts w:hint="eastAsia"/>
              <w:szCs w:val="21"/>
            </w:rPr>
          </w:pPr>
          <w:r>
            <w:rPr>
              <w:rFonts w:hint="eastAsia"/>
              <w:szCs w:val="21"/>
            </w:rPr>
            <w:t>履约义务，是指合同中本公司向客户转让可明确区分商品或服务的承诺。</w:t>
          </w:r>
        </w:p>
        <w:p w14:paraId="0CDFFE74">
          <w:pPr>
            <w:ind w:firstLine="420" w:firstLineChars="200"/>
            <w:rPr>
              <w:rFonts w:hint="eastAsia"/>
              <w:szCs w:val="21"/>
            </w:rPr>
          </w:pPr>
          <w:r>
            <w:rPr>
              <w:rFonts w:hint="eastAsia"/>
              <w:szCs w:val="21"/>
            </w:rPr>
            <w:t>取得相关商品控制权，是指能够主导该商品的使用并从中获得几乎全部的经济利益。</w:t>
          </w:r>
        </w:p>
        <w:p w14:paraId="083155DA">
          <w:pPr>
            <w:ind w:firstLine="420" w:firstLineChars="200"/>
            <w:rPr>
              <w:rFonts w:hint="eastAsia"/>
              <w:szCs w:val="21"/>
            </w:rPr>
          </w:pPr>
          <w:r>
            <w:rPr>
              <w:rFonts w:hint="eastAsia"/>
              <w:szCs w:val="21"/>
            </w:rPr>
            <w:t>本公司在合同开始日即对合同进行评估，识别该合同所包含的各单项履约义务，并确定各单项履约义务是在某一时段内履行，还是某一时点履行。满足下列条件之一的，属于在某一时间段内履行的履约义务，本公司按照履约进度，在一段时间内确认收入：①客户在本公司履约的同时即取得并消耗本公司履约所带来的经济利益；②客户能够控制本公司履约过程中在建的商品；③本公司履约过程中所产出的商品具有不可替代用途，且本公司在整个合同期间内有权就累计至今已完成的履约部分收取款项。否则，本公司在客户取得相关商品或服务控制权的时点确认收入。</w:t>
          </w:r>
        </w:p>
        <w:p w14:paraId="67B73807">
          <w:pPr>
            <w:ind w:firstLine="420" w:firstLineChars="200"/>
            <w:rPr>
              <w:rFonts w:hint="eastAsia"/>
              <w:szCs w:val="21"/>
            </w:rPr>
          </w:pPr>
          <w:r>
            <w:rPr>
              <w:rFonts w:hint="eastAsia"/>
              <w:szCs w:val="21"/>
            </w:rPr>
            <w:t>对于在某一时段内履行的履约义务，本公司根据商品和劳务的性质，采用产出法/投入法确定恰当的履约进度。产出法是根据已转移给客户的商品对于客户的价值确定履约进度（投入法是根据公司为履行履约义务的投入确定履约进度）。当履约进度不能合理确定时，公司已经发生的成本预计能够得到补偿的，按照已经发生的成本金额确认收入，直到履约进度能够合理确定为止。</w:t>
          </w:r>
        </w:p>
        <w:p w14:paraId="7AED4858">
          <w:pPr>
            <w:ind w:firstLine="420" w:firstLineChars="200"/>
            <w:rPr>
              <w:rFonts w:hint="eastAsia"/>
              <w:szCs w:val="21"/>
            </w:rPr>
          </w:pPr>
          <w:r>
            <w:rPr>
              <w:rFonts w:hint="eastAsia"/>
              <w:szCs w:val="21"/>
            </w:rPr>
            <w:t>2）收入确认的具体方法</w:t>
          </w:r>
        </w:p>
        <w:p w14:paraId="7BFD5612">
          <w:pPr>
            <w:ind w:firstLine="420" w:firstLineChars="200"/>
            <w:rPr>
              <w:rFonts w:hint="eastAsia"/>
              <w:szCs w:val="21"/>
            </w:rPr>
          </w:pPr>
          <w:r>
            <w:rPr>
              <w:rFonts w:hint="eastAsia"/>
              <w:szCs w:val="21"/>
            </w:rPr>
            <w:t>①军需品销售收入，在商品已发至购买方指定的接收单位，并取得接收单位验收回执后，确认收入。</w:t>
          </w:r>
        </w:p>
        <w:p w14:paraId="40DBE55A">
          <w:pPr>
            <w:ind w:firstLine="420" w:firstLineChars="200"/>
            <w:rPr>
              <w:rFonts w:hint="eastAsia"/>
              <w:szCs w:val="21"/>
            </w:rPr>
          </w:pPr>
          <w:r>
            <w:rPr>
              <w:rFonts w:hint="eastAsia"/>
              <w:szCs w:val="21"/>
            </w:rPr>
            <w:t>②民品销售收入，在向客户发货并经验收后确认收入。</w:t>
          </w:r>
        </w:p>
        <w:p w14:paraId="6532E98E">
          <w:pPr>
            <w:ind w:firstLine="420" w:firstLineChars="200"/>
            <w:rPr>
              <w:rFonts w:hint="eastAsia"/>
              <w:szCs w:val="21"/>
            </w:rPr>
          </w:pPr>
          <w:r>
            <w:rPr>
              <w:rFonts w:hint="eastAsia"/>
              <w:szCs w:val="21"/>
            </w:rPr>
            <w:t>合同或协议价款的收取采用递延方式，实质上具有融资性质的，按照应收的合同或协议价款的公允价值确定销售商品收入金额。</w:t>
          </w:r>
        </w:p>
      </w:sdtContent>
    </w:sdt>
    <w:p w14:paraId="6D36CF57">
      <w:pPr>
        <w:rPr>
          <w:rFonts w:hint="eastAsia"/>
          <w:szCs w:val="21"/>
        </w:rPr>
      </w:pPr>
    </w:p>
    <w:bookmarkEnd w:id="227"/>
    <w:p w14:paraId="6ABD25E1">
      <w:pPr>
        <w:pStyle w:val="71"/>
        <w:numPr>
          <w:ilvl w:val="3"/>
          <w:numId w:val="106"/>
        </w:numPr>
        <w:rPr>
          <w:rFonts w:hint="eastAsia"/>
          <w:szCs w:val="21"/>
        </w:rPr>
      </w:pPr>
      <w:bookmarkStart w:id="228" w:name="_Hlk533668087"/>
      <w:r>
        <w:rPr>
          <w:rFonts w:hint="eastAsia"/>
          <w:szCs w:val="21"/>
        </w:rPr>
        <w:t>同类业务采用不同经营模式涉及不同收入确认方式及计量方法</w:t>
      </w:r>
    </w:p>
    <w:sdt>
      <w:sdtPr>
        <w:rPr>
          <w:szCs w:val="21"/>
        </w:rPr>
        <w:alias w:val="是否适用：同类业务采用不同经营模式导致收入确认会计政策存在差异的情况[双击切换]"/>
        <w:tag w:val="_GBC_778cfed951bb4cf4997e2d67e4b1e3a9"/>
        <w:id w:val="611246801"/>
        <w:placeholder>
          <w:docPart w:val="GBC22222222222222222222222222222"/>
        </w:placeholder>
      </w:sdtPr>
      <w:sdtEndPr>
        <w:rPr>
          <w:szCs w:val="21"/>
        </w:rPr>
      </w:sdtEndPr>
      <w:sdtContent>
        <w:p w14:paraId="73976BB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30CAF7E">
      <w:pPr>
        <w:rPr>
          <w:rFonts w:hint="eastAsia"/>
          <w:szCs w:val="21"/>
        </w:rPr>
      </w:pPr>
    </w:p>
    <w:bookmarkEnd w:id="228"/>
    <w:p w14:paraId="68B51E0F">
      <w:pPr>
        <w:pStyle w:val="70"/>
        <w:numPr>
          <w:ilvl w:val="0"/>
          <w:numId w:val="101"/>
        </w:numPr>
      </w:pPr>
      <w:bookmarkStart w:id="229" w:name="_Hlk533668133"/>
      <w:r>
        <w:rPr>
          <w:rFonts w:hint="eastAsia"/>
          <w:szCs w:val="21"/>
        </w:rPr>
        <w:t>合同成本</w:t>
      </w:r>
    </w:p>
    <w:sdt>
      <w:sdtPr>
        <w:alias w:val="是否适用：合同成本_重要会计政策和估计[双击切换]"/>
        <w:tag w:val="_GBC_c5b4accd569d48e8a81ed05eb0bf64fb"/>
        <w:id w:val="-806093343"/>
        <w:placeholder>
          <w:docPart w:val="GBC22222222222222222222222222222"/>
        </w:placeholder>
      </w:sdtPr>
      <w:sdtContent>
        <w:p w14:paraId="074F0284">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74258d199b3d4540b8df00b35751b505"/>
        <w:id w:val="444579268"/>
        <w:placeholder>
          <w:docPart w:val="GBC22222222222222222222222222222"/>
        </w:placeholder>
      </w:sdtPr>
      <w:sdtContent>
        <w:p w14:paraId="6FFF6ACF">
          <w:pPr>
            <w:ind w:firstLine="420" w:firstLineChars="200"/>
            <w:rPr>
              <w:rFonts w:hint="eastAsia"/>
            </w:rPr>
          </w:pPr>
          <w:r>
            <w:rPr>
              <w:rFonts w:hint="eastAsia"/>
            </w:rPr>
            <w:t>（1）合同履约成本</w:t>
          </w:r>
        </w:p>
        <w:p w14:paraId="34B16DED">
          <w:pPr>
            <w:ind w:firstLine="420" w:firstLineChars="200"/>
            <w:rPr>
              <w:rFonts w:hint="eastAsia"/>
            </w:rPr>
          </w:pPr>
          <w:r>
            <w:rPr>
              <w:rFonts w:hint="eastAsia"/>
            </w:rPr>
            <w:t>本公司对于为履行合同发生的成本，不属于除收入准则外的其他企业会计准则范围且同时满足下列条件的作为合同履约成本确认为一项资产：</w:t>
          </w:r>
        </w:p>
        <w:p w14:paraId="15D2F823">
          <w:pPr>
            <w:ind w:firstLine="420" w:firstLineChars="200"/>
            <w:rPr>
              <w:rFonts w:hint="eastAsia"/>
            </w:rPr>
          </w:pPr>
          <w:r>
            <w:rPr>
              <w:rFonts w:hint="eastAsia"/>
            </w:rPr>
            <w:t>1）该成本与一份当前或预期取得的合同直接相关，包括直接人工、直接材料、制造费用（或类似费用）、明确由客户承担的成本以及仅因该合同而发生的其他成本；</w:t>
          </w:r>
        </w:p>
        <w:p w14:paraId="598624CA">
          <w:pPr>
            <w:ind w:firstLine="420" w:firstLineChars="200"/>
            <w:rPr>
              <w:rFonts w:hint="eastAsia"/>
            </w:rPr>
          </w:pPr>
          <w:r>
            <w:rPr>
              <w:rFonts w:hint="eastAsia"/>
            </w:rPr>
            <w:t>2）该成本增加了企业未来用于履行履约义务的资源。</w:t>
          </w:r>
        </w:p>
        <w:p w14:paraId="0A3E3D91">
          <w:pPr>
            <w:ind w:firstLine="420" w:firstLineChars="200"/>
            <w:rPr>
              <w:rFonts w:hint="eastAsia"/>
            </w:rPr>
          </w:pPr>
          <w:r>
            <w:rPr>
              <w:rFonts w:hint="eastAsia"/>
            </w:rPr>
            <w:t>3）该成本预期能够收回。</w:t>
          </w:r>
        </w:p>
        <w:p w14:paraId="10CC9189">
          <w:pPr>
            <w:ind w:firstLine="420" w:firstLineChars="200"/>
            <w:rPr>
              <w:rFonts w:hint="eastAsia"/>
            </w:rPr>
          </w:pPr>
          <w:r>
            <w:rPr>
              <w:rFonts w:hint="eastAsia"/>
            </w:rPr>
            <w:t>该资产根据其初始确认时摊销期限是否超过一个正常营业周期在存货或其他非流动资产中列报。</w:t>
          </w:r>
        </w:p>
        <w:p w14:paraId="12F7EE8B">
          <w:pPr>
            <w:ind w:firstLine="420" w:firstLineChars="200"/>
            <w:rPr>
              <w:rFonts w:hint="eastAsia"/>
            </w:rPr>
          </w:pPr>
          <w:r>
            <w:rPr>
              <w:rFonts w:hint="eastAsia"/>
            </w:rPr>
            <w:t>（2）合同取得成本</w:t>
          </w:r>
        </w:p>
        <w:p w14:paraId="4C86FFB2">
          <w:pPr>
            <w:ind w:firstLine="420" w:firstLineChars="200"/>
            <w:rPr>
              <w:rFonts w:hint="eastAsia"/>
            </w:rPr>
          </w:pPr>
          <w:r>
            <w:rPr>
              <w:rFonts w:hint="eastAsia"/>
            </w:rPr>
            <w:t>本公司为取得合同发生的增量成本预期能够收回的，作为合同取得成本确认为一项资产。增量成本是指本公司不取得合同就不会发生的成本，如销售佣金等。对于摊销期限不超过一年的，在发生时计入当期损益。</w:t>
          </w:r>
        </w:p>
        <w:p w14:paraId="720C2827">
          <w:pPr>
            <w:ind w:firstLine="420" w:firstLineChars="200"/>
            <w:rPr>
              <w:rFonts w:hint="eastAsia"/>
            </w:rPr>
          </w:pPr>
          <w:r>
            <w:rPr>
              <w:rFonts w:hint="eastAsia"/>
            </w:rPr>
            <w:t>（3）合同成本摊销</w:t>
          </w:r>
        </w:p>
        <w:p w14:paraId="576D4DDD">
          <w:pPr>
            <w:ind w:firstLine="420" w:firstLineChars="200"/>
            <w:rPr>
              <w:rFonts w:hint="eastAsia"/>
            </w:rPr>
          </w:pPr>
          <w:r>
            <w:rPr>
              <w:rFonts w:hint="eastAsia"/>
            </w:rPr>
            <w:t>上述与合同成本有关的资产，采用与该资产相关的商品或服务收入确认相同的基础，在履约义务履行的时点或按照履约义务的履约进度进行摊销，计入当期损益。</w:t>
          </w:r>
        </w:p>
        <w:p w14:paraId="1750EE21">
          <w:pPr>
            <w:ind w:firstLine="420" w:firstLineChars="200"/>
            <w:rPr>
              <w:rFonts w:hint="eastAsia"/>
            </w:rPr>
          </w:pPr>
          <w:r>
            <w:rPr>
              <w:rFonts w:hint="eastAsia"/>
            </w:rPr>
            <w:t>（4）合同成本减值</w:t>
          </w:r>
        </w:p>
        <w:p w14:paraId="16CC2F79">
          <w:pPr>
            <w:ind w:firstLine="420" w:firstLineChars="200"/>
            <w:rPr>
              <w:rFonts w:hint="eastAsia"/>
            </w:rPr>
          </w:pPr>
          <w:r>
            <w:rPr>
              <w:rFonts w:hint="eastAsia"/>
            </w:rPr>
            <w:t>上述与合同成本有关的资产，账面价值高于本公司因转让与该资产相关的商品预期能够取得剩余对价与为转让该相关商品估计将要发生的成本的差额的，超出部分应当计提减值准备，并确认为资产减值损失。</w:t>
          </w:r>
        </w:p>
        <w:p w14:paraId="7D2025FD">
          <w:pPr>
            <w:ind w:firstLine="420" w:firstLineChars="200"/>
            <w:rPr>
              <w:rFonts w:hint="eastAsia"/>
            </w:rPr>
          </w:pPr>
          <w:r>
            <w:rPr>
              <w:rFonts w:hint="eastAsia"/>
            </w:rPr>
            <w:t>计提减值准备后，如果以前期间减值的因素发生变化，使得上述两项差额高于该资产账面价值的，转回原已计提的资产减值准备，并计入当期损益，但转回后的资产账面价值不超过假定不计提减值准备情况下该资产在转回日的账面价值。</w:t>
          </w:r>
        </w:p>
      </w:sdtContent>
    </w:sdt>
    <w:p w14:paraId="555E6946">
      <w:pPr>
        <w:rPr>
          <w:rFonts w:hint="eastAsia"/>
          <w:szCs w:val="21"/>
        </w:rPr>
      </w:pPr>
    </w:p>
    <w:bookmarkEnd w:id="229"/>
    <w:p w14:paraId="21F980C4">
      <w:pPr>
        <w:pStyle w:val="70"/>
        <w:numPr>
          <w:ilvl w:val="0"/>
          <w:numId w:val="101"/>
        </w:numPr>
      </w:pPr>
      <w:bookmarkStart w:id="230" w:name="_Hlk533668149"/>
      <w:r>
        <w:t>政府补助</w:t>
      </w:r>
    </w:p>
    <w:sdt>
      <w:sdtPr>
        <w:alias w:val="是否适用：政府补助_重要会计政策和估计[双击切换]"/>
        <w:tag w:val="_GBC_d8ac76c6a68c49fb952fadc0e46c9ef4"/>
        <w:id w:val="2093820963"/>
        <w:placeholder>
          <w:docPart w:val="GBC22222222222222222222222222222"/>
        </w:placeholder>
      </w:sdtPr>
      <w:sdtContent>
        <w:p w14:paraId="7BCDACF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cbcbe4da2edd4cf1b6108f1c89e035f7"/>
        <w:id w:val="-1728599293"/>
        <w:placeholder>
          <w:docPart w:val="GBC22222222222222222222222222222"/>
        </w:placeholder>
      </w:sdtPr>
      <w:sdtContent>
        <w:p w14:paraId="4F386C46">
          <w:pPr>
            <w:ind w:firstLine="420" w:firstLineChars="200"/>
            <w:rPr>
              <w:rFonts w:hint="eastAsia"/>
            </w:rPr>
          </w:pPr>
          <w:r>
            <w:rPr>
              <w:rFonts w:hint="eastAsia"/>
            </w:rPr>
            <w:t>（1）类型</w:t>
          </w:r>
        </w:p>
        <w:p w14:paraId="429E8CFA">
          <w:pPr>
            <w:ind w:firstLine="420" w:firstLineChars="200"/>
            <w:rPr>
              <w:rFonts w:hint="eastAsia"/>
            </w:rPr>
          </w:pPr>
          <w:r>
            <w:rPr>
              <w:rFonts w:hint="eastAsia"/>
            </w:rPr>
            <w:t>政府补助，是本公司从政府无偿取得的货币性资产与非货币性资产。根据相关政府文件规定的补助对象，将政府补助划分为与资产相关的政府补助和与收益相关的政府补助。</w:t>
          </w:r>
        </w:p>
        <w:p w14:paraId="57931A9A">
          <w:pPr>
            <w:ind w:firstLine="420" w:firstLineChars="200"/>
            <w:rPr>
              <w:rFonts w:hint="eastAsia"/>
            </w:rPr>
          </w:pPr>
          <w:r>
            <w:rPr>
              <w:rFonts w:hint="eastAsia"/>
            </w:rPr>
            <w:t>对于政府文件未明确补助对象的政府补助，公司根据实际补助对象划分为与资产相关的政府补助或与收益相关的政府补助。</w:t>
          </w:r>
        </w:p>
        <w:p w14:paraId="4170603C">
          <w:pPr>
            <w:ind w:firstLine="420" w:firstLineChars="200"/>
            <w:rPr>
              <w:rFonts w:hint="eastAsia"/>
            </w:rPr>
          </w:pPr>
          <w:r>
            <w:rPr>
              <w:rFonts w:hint="eastAsia"/>
            </w:rPr>
            <w:t>与资产相关的政府补助，是指本公司取得的、用于购建或以其他方式形成长期资产的政府补助。与收益相关的政府补助，是指除与资产相关的政府补助之外的政府补助。</w:t>
          </w:r>
        </w:p>
        <w:p w14:paraId="0F28B2EB">
          <w:pPr>
            <w:ind w:firstLine="420" w:firstLineChars="200"/>
            <w:rPr>
              <w:rFonts w:hint="eastAsia"/>
            </w:rPr>
          </w:pPr>
          <w:r>
            <w:rPr>
              <w:rFonts w:hint="eastAsia"/>
            </w:rPr>
            <w:t>（2）政府补助的确认</w:t>
          </w:r>
        </w:p>
        <w:p w14:paraId="2764A209">
          <w:pPr>
            <w:ind w:firstLine="420" w:firstLineChars="200"/>
            <w:rPr>
              <w:rFonts w:hint="eastAsia"/>
            </w:rPr>
          </w:pPr>
          <w:r>
            <w:rPr>
              <w:rFonts w:hint="eastAsia"/>
            </w:rPr>
            <w:t>对期末有证据表明公司能够符合财政扶持政策规定的相关条件且预计能够收到财政扶持资金的，按应收金额确认政府补助。除此之外，政府补助均在实际收到时确认。</w:t>
          </w:r>
        </w:p>
        <w:p w14:paraId="5AA903BE">
          <w:pPr>
            <w:ind w:firstLine="420" w:firstLineChars="200"/>
            <w:rPr>
              <w:rFonts w:hint="eastAsia"/>
            </w:rPr>
          </w:pPr>
          <w:r>
            <w:rPr>
              <w:rFonts w:hint="eastAsia"/>
            </w:rPr>
            <w:t>政府补助为货币性资产的，按照收到或应收的金额计量。政府补助为非货币性资产的，按照公允价值计量；公允价值不能够可靠取得的，按照名义金额（人民币1元）计量。按照名义金额计量的政府补助，直接计入当期损益。</w:t>
          </w:r>
        </w:p>
        <w:p w14:paraId="21016D03">
          <w:pPr>
            <w:ind w:firstLine="420" w:firstLineChars="200"/>
            <w:rPr>
              <w:rFonts w:hint="eastAsia"/>
            </w:rPr>
          </w:pPr>
          <w:r>
            <w:rPr>
              <w:rFonts w:hint="eastAsia"/>
            </w:rPr>
            <w:t>（3）会计处理方法</w:t>
          </w:r>
        </w:p>
        <w:p w14:paraId="4EBFCF86">
          <w:pPr>
            <w:ind w:firstLine="420" w:firstLineChars="200"/>
            <w:rPr>
              <w:rFonts w:hint="eastAsia"/>
            </w:rPr>
          </w:pPr>
          <w:r>
            <w:rPr>
              <w:rFonts w:hint="eastAsia"/>
            </w:rPr>
            <w:t>本公司根据经济业务的实质，确定某一类政府补助业务应当采用总额法还是净额法进行会计处理。通常情况下，本公司对于同类或类似政府补助业务只选用一种方法，且对该业务一贯地运用该方法。</w:t>
          </w:r>
        </w:p>
        <w:p w14:paraId="2F8933CD">
          <w:pPr>
            <w:ind w:firstLine="420" w:firstLineChars="200"/>
            <w:rPr>
              <w:rFonts w:hint="eastAsia"/>
            </w:rPr>
          </w:pPr>
          <w:r>
            <w:rPr>
              <w:rFonts w:hint="eastAsia"/>
            </w:rPr>
            <w:t>与资产相关的政府补助，应当冲减相关资产的账面价值或确认为递延收益。与资产相关的政府补助确认为递延收益的，在所建造或购买资产使用寿命内按照合理、系统的方法分期计入损益。</w:t>
          </w:r>
        </w:p>
        <w:p w14:paraId="3D951D6F">
          <w:pPr>
            <w:ind w:firstLine="420" w:firstLineChars="200"/>
            <w:rPr>
              <w:rFonts w:hint="eastAsia"/>
            </w:rPr>
          </w:pPr>
          <w:r>
            <w:rPr>
              <w:rFonts w:hint="eastAsia"/>
            </w:rPr>
            <w:t>与收益相关的政府补助，用于补偿企业以后期间的相关费用或损失的，确认为递延收益，在确认相关费用或损失的期间计入当期损益或冲减相关成本；用于补偿企业已发生的相关费用或损失的，取得时直接计入当期损益或冲减相关成本。</w:t>
          </w:r>
        </w:p>
        <w:p w14:paraId="1C96FCA0">
          <w:pPr>
            <w:ind w:firstLine="420" w:firstLineChars="200"/>
            <w:rPr>
              <w:rFonts w:hint="eastAsia"/>
            </w:rPr>
          </w:pPr>
          <w:r>
            <w:rPr>
              <w:rFonts w:hint="eastAsia"/>
            </w:rPr>
            <w:t>与企业日常活动相关的政府补助计入其他收益或冲减相关成本费用；与企业日常活动无关的政府补助计入营业外收支。</w:t>
          </w:r>
        </w:p>
        <w:p w14:paraId="67663CAC">
          <w:pPr>
            <w:ind w:firstLine="420" w:firstLineChars="200"/>
            <w:rPr>
              <w:rFonts w:hint="eastAsia"/>
            </w:rPr>
          </w:pPr>
          <w:r>
            <w:rPr>
              <w:rFonts w:hint="eastAsia"/>
            </w:rPr>
            <w:t>收到与政策性优惠贷款贴息相关的政府补助冲减相关借款费用；取得贷款银行提供的政策性优惠利率贷款的，以实际收到的借款金额作为借款的入账价值，按照借款本金和该政策性优惠利率计算相关借款费用。</w:t>
          </w:r>
        </w:p>
        <w:p w14:paraId="1C71E17E">
          <w:pPr>
            <w:ind w:firstLine="420" w:firstLineChars="200"/>
            <w:rPr>
              <w:rFonts w:hint="eastAsia"/>
            </w:rPr>
          </w:pPr>
          <w:r>
            <w:rPr>
              <w:rFonts w:hint="eastAsia"/>
            </w:rPr>
            <w:t>已确认的政府补助需要返还时，初始确认时冲减相关资产账面价值的，调整资产账面价值；存在相关递延收益余额的，冲减相关递延收益账面余额，超出部分计入当期损益；不存在相关递延收益的，直接计入当期损益。</w:t>
          </w:r>
        </w:p>
      </w:sdtContent>
    </w:sdt>
    <w:p w14:paraId="57E45D30">
      <w:pPr>
        <w:rPr>
          <w:rFonts w:hint="eastAsia"/>
        </w:rPr>
      </w:pPr>
    </w:p>
    <w:bookmarkEnd w:id="230"/>
    <w:p w14:paraId="6ED7E00A">
      <w:pPr>
        <w:pStyle w:val="70"/>
        <w:numPr>
          <w:ilvl w:val="0"/>
          <w:numId w:val="101"/>
        </w:numPr>
      </w:pPr>
      <w:r>
        <w:t>递延所得税资产/递延所得税负债</w:t>
      </w:r>
    </w:p>
    <w:sdt>
      <w:sdtPr>
        <w:rPr>
          <w:rFonts w:hint="eastAsia"/>
          <w:szCs w:val="21"/>
        </w:rPr>
        <w:alias w:val="是否适用：所得税的会计处理方法[双击切换]"/>
        <w:tag w:val="_GBC_7e8295f4559b44568e5d37a6a605588c"/>
        <w:id w:val="108394572"/>
        <w:placeholder>
          <w:docPart w:val="GBC22222222222222222222222222222"/>
        </w:placeholder>
      </w:sdtPr>
      <w:sdtEndPr>
        <w:rPr>
          <w:rFonts w:hint="eastAsia"/>
          <w:szCs w:val="21"/>
        </w:rPr>
      </w:sdtEndPr>
      <w:sdtContent>
        <w:p w14:paraId="6ABAC529">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93911423"/>
        <w:placeholder>
          <w:docPart w:val="GBC22222222222222222222222222222"/>
        </w:placeholder>
      </w:sdtPr>
      <w:sdtEndPr>
        <w:rPr>
          <w:rFonts w:hint="eastAsia"/>
          <w:szCs w:val="21"/>
        </w:rPr>
      </w:sdtEndPr>
      <w:sdtContent>
        <w:p w14:paraId="4F421D73">
          <w:pPr>
            <w:ind w:firstLine="420" w:firstLineChars="200"/>
            <w:rPr>
              <w:rFonts w:hint="eastAsia"/>
              <w:szCs w:val="21"/>
            </w:rPr>
          </w:pPr>
          <w:r>
            <w:rPr>
              <w:rFonts w:hint="eastAsia"/>
              <w:szCs w:val="21"/>
            </w:rPr>
            <w:t>递延所得税资产和递延所得税负债根据资产和负债的计税基础与其账面价值的差额(暂时性差异)计算确认。于资产负债表日，递延所得税资产和递延所得税负债，按照预期收回该资产或清偿该负债期间的适用税率计量。</w:t>
          </w:r>
        </w:p>
        <w:p w14:paraId="36709BD8">
          <w:pPr>
            <w:ind w:firstLine="420" w:firstLineChars="200"/>
            <w:rPr>
              <w:rFonts w:hint="eastAsia"/>
              <w:szCs w:val="21"/>
            </w:rPr>
          </w:pPr>
          <w:r>
            <w:rPr>
              <w:rFonts w:hint="eastAsia"/>
              <w:szCs w:val="21"/>
            </w:rPr>
            <w:t>（1）确认递延所得税资产的依据</w:t>
          </w:r>
        </w:p>
        <w:p w14:paraId="191789DC">
          <w:pPr>
            <w:ind w:firstLine="420" w:firstLineChars="200"/>
            <w:rPr>
              <w:rFonts w:hint="eastAsia"/>
              <w:szCs w:val="21"/>
            </w:rPr>
          </w:pPr>
          <w:r>
            <w:rPr>
              <w:rFonts w:hint="eastAsia"/>
              <w:szCs w:val="21"/>
            </w:rPr>
            <w:t>本公司以很可能取得用来抵扣可抵扣暂时性差异、能够结转以后年度的可抵扣亏损和税款抵减的应纳税所得额为限，确认由可抵扣暂时性差异产生的递延所得税资产。但是，同时具有下列特征的交易中因资产或负债的初始确认所产生的递延所得税资产不予确认：1）该交易不是企业合并；2）交易发生时既不影响会计利润也不影响应纳税所得额或可抵扣亏损。</w:t>
          </w:r>
        </w:p>
        <w:p w14:paraId="37106EFA">
          <w:pPr>
            <w:ind w:firstLine="420" w:firstLineChars="200"/>
            <w:rPr>
              <w:rFonts w:hint="eastAsia"/>
              <w:szCs w:val="21"/>
            </w:rPr>
          </w:pPr>
          <w:r>
            <w:rPr>
              <w:rFonts w:hint="eastAsia"/>
              <w:szCs w:val="21"/>
            </w:rPr>
            <w:t>对于与联营企业投资相关的可抵扣暂时性差异，同时满足下列条件的，确认相应的递延所得税资产：暂时性差异在可预见的未来很可能转回，且未来很可能获得用来抵扣可抵扣暂时性差异的应纳税所得额。</w:t>
          </w:r>
        </w:p>
        <w:p w14:paraId="0C7E2D30">
          <w:pPr>
            <w:ind w:firstLine="420" w:firstLineChars="200"/>
            <w:rPr>
              <w:rFonts w:hint="eastAsia"/>
              <w:szCs w:val="21"/>
            </w:rPr>
          </w:pPr>
          <w:r>
            <w:rPr>
              <w:rFonts w:hint="eastAsia"/>
              <w:szCs w:val="21"/>
            </w:rPr>
            <w:t>（2）确认递延所得税负债的依据</w:t>
          </w:r>
        </w:p>
        <w:p w14:paraId="5F983F09">
          <w:pPr>
            <w:ind w:firstLine="420" w:firstLineChars="200"/>
            <w:rPr>
              <w:rFonts w:hint="eastAsia"/>
              <w:szCs w:val="21"/>
            </w:rPr>
          </w:pPr>
          <w:r>
            <w:rPr>
              <w:rFonts w:hint="eastAsia"/>
              <w:szCs w:val="21"/>
            </w:rPr>
            <w:t>公司将当期与以前期间应交未交的应纳税暂时性差异确认为递延所得税负债。但不包括：</w:t>
          </w:r>
        </w:p>
        <w:p w14:paraId="6EB729BD">
          <w:pPr>
            <w:ind w:firstLine="420" w:firstLineChars="200"/>
            <w:rPr>
              <w:rFonts w:hint="eastAsia"/>
              <w:szCs w:val="21"/>
            </w:rPr>
          </w:pPr>
          <w:r>
            <w:rPr>
              <w:rFonts w:hint="eastAsia"/>
              <w:szCs w:val="21"/>
            </w:rPr>
            <w:t>1）商誉的初始确认所形成的暂时性差异；</w:t>
          </w:r>
        </w:p>
        <w:p w14:paraId="03C91FF7">
          <w:pPr>
            <w:ind w:firstLine="420" w:firstLineChars="200"/>
            <w:rPr>
              <w:rFonts w:hint="eastAsia"/>
              <w:szCs w:val="21"/>
            </w:rPr>
          </w:pPr>
          <w:r>
            <w:rPr>
              <w:rFonts w:hint="eastAsia"/>
              <w:szCs w:val="21"/>
            </w:rPr>
            <w:t>2）非企业合并形成的交易或事项，且该交易或事项发生时既不影响会计利润，也不影响应纳税所得额（或可抵扣亏损）所形成的暂时性差异；</w:t>
          </w:r>
        </w:p>
        <w:p w14:paraId="55DBF436">
          <w:pPr>
            <w:ind w:firstLine="420" w:firstLineChars="200"/>
            <w:rPr>
              <w:rFonts w:hint="eastAsia"/>
              <w:szCs w:val="21"/>
            </w:rPr>
          </w:pPr>
          <w:r>
            <w:rPr>
              <w:rFonts w:hint="eastAsia"/>
              <w:szCs w:val="21"/>
            </w:rPr>
            <w:t>3）对于与子公司、联营企业投资相关的应纳税暂时性差异，该暂时性差异转回的时间能够控制并且该暂时性差异在可预见的未来很可能不会转回。</w:t>
          </w:r>
        </w:p>
        <w:p w14:paraId="72349F45">
          <w:pPr>
            <w:ind w:firstLine="420" w:firstLineChars="200"/>
            <w:rPr>
              <w:rFonts w:hint="eastAsia"/>
              <w:szCs w:val="21"/>
            </w:rPr>
          </w:pPr>
          <w:r>
            <w:rPr>
              <w:rFonts w:hint="eastAsia"/>
              <w:szCs w:val="21"/>
            </w:rPr>
            <w:t>（3）同时满足下列条件时，将递延所得税资产及递延所得税负债以抵销后的净额列示</w:t>
          </w:r>
        </w:p>
        <w:p w14:paraId="67CF0A3B">
          <w:pPr>
            <w:ind w:firstLine="420" w:firstLineChars="200"/>
            <w:rPr>
              <w:rFonts w:hint="eastAsia"/>
              <w:szCs w:val="21"/>
            </w:rPr>
          </w:pPr>
          <w:r>
            <w:rPr>
              <w:rFonts w:hint="eastAsia"/>
              <w:szCs w:val="21"/>
            </w:rPr>
            <w:t>1）企业拥有以净额结算当期所得税资产及当期所得税负债的法定权利；</w:t>
          </w:r>
        </w:p>
        <w:p w14:paraId="1A2A9488">
          <w:pPr>
            <w:ind w:firstLine="420" w:firstLineChars="200"/>
            <w:rPr>
              <w:rFonts w:hint="eastAsia"/>
              <w:szCs w:val="21"/>
            </w:rPr>
          </w:pPr>
          <w:r>
            <w:rPr>
              <w:rFonts w:hint="eastAsia"/>
              <w:szCs w:val="21"/>
            </w:rPr>
            <w:t>2）递延所得税资产和递延所得税负债是与同一税收征管部门对同一纳税主体征收的所得税相关或者对不同的纳税主体相关，但在未来每一具有重要性的递延所得税资产和递延所得税负债转回的期间内，涉及的纳税主体意图以净额结算当期所得税资产及当期所得税负债或是同时取得资产、清偿债务。</w:t>
          </w:r>
        </w:p>
      </w:sdtContent>
    </w:sdt>
    <w:p w14:paraId="6E90E8B0">
      <w:pPr>
        <w:rPr>
          <w:rFonts w:hint="eastAsia"/>
          <w:szCs w:val="21"/>
        </w:rPr>
      </w:pPr>
    </w:p>
    <w:p w14:paraId="483BAC7C">
      <w:pPr>
        <w:pStyle w:val="70"/>
        <w:numPr>
          <w:ilvl w:val="0"/>
          <w:numId w:val="101"/>
        </w:numPr>
      </w:pPr>
      <w:r>
        <w:t>租赁</w:t>
      </w:r>
    </w:p>
    <w:sdt>
      <w:sdtPr>
        <w:alias w:val="是否适用：租赁_重要会计政策和估计[双击切换]"/>
        <w:tag w:val="_GBC_6915a792f5f54d76bb3c5c2090ce337f"/>
        <w:id w:val="1680547612"/>
        <w:placeholder>
          <w:docPart w:val="GBC22222222222222222222222222222"/>
        </w:placeholder>
      </w:sdtPr>
      <w:sdtContent>
        <w:p w14:paraId="3454F753">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A102AB">
      <w:pPr>
        <w:rPr>
          <w:rFonts w:ascii="Calibri" w:hAnsi="Calibri" w:cs="Times New Roman"/>
          <w:b/>
          <w:kern w:val="2"/>
          <w:szCs w:val="32"/>
        </w:rPr>
      </w:pPr>
      <w:r>
        <w:rPr>
          <w:rFonts w:ascii="Calibri" w:hAnsi="Calibri" w:cs="Times New Roman"/>
          <w:b/>
          <w:kern w:val="2"/>
          <w:szCs w:val="32"/>
        </w:rPr>
        <w:t>作为承租方对短期租赁和低价值资产租赁进行简化处理的判断依据和会计处理方法</w:t>
      </w:r>
    </w:p>
    <w:sdt>
      <w:sdtPr>
        <w:rPr>
          <w:szCs w:val="21"/>
        </w:rPr>
        <w:alias w:val="是否适用：作为承租方对短期租赁和低价值资产租赁进行简化处理的判断依据和会计处理方法[双击切换]"/>
        <w:tag w:val="_GBC_96c8873101a04b4ab58dc379b95e7de7"/>
        <w:id w:val="-1257894642"/>
        <w:placeholder>
          <w:docPart w:val="GBC22222222222222222222222222222"/>
        </w:placeholder>
      </w:sdtPr>
      <w:sdtEndPr>
        <w:rPr>
          <w:szCs w:val="21"/>
        </w:rPr>
      </w:sdtEndPr>
      <w:sdtContent>
        <w:p w14:paraId="4DF039F4">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作为承租方对短期租赁和低价值资产租赁进行简化处理的判断依据和会计处理方法"/>
        <w:tag w:val="_GBC_608ebcbb99ad40879d4235963013eef6"/>
        <w:id w:val="454062779"/>
        <w:placeholder>
          <w:docPart w:val="GBC22222222222222222222222222222"/>
        </w:placeholder>
      </w:sdtPr>
      <w:sdtEndPr>
        <w:rPr>
          <w:szCs w:val="21"/>
        </w:rPr>
      </w:sdtEndPr>
      <w:sdtContent>
        <w:p w14:paraId="13EC2BB2">
          <w:pPr>
            <w:ind w:firstLine="420" w:firstLineChars="200"/>
            <w:rPr>
              <w:rFonts w:hint="eastAsia"/>
              <w:szCs w:val="21"/>
            </w:rPr>
          </w:pPr>
          <w:r>
            <w:rPr>
              <w:rFonts w:hint="eastAsia"/>
              <w:szCs w:val="21"/>
            </w:rPr>
            <w:t>短期租赁是指不包含购买选择权且租赁期不超过12个月的租赁。低价值资产租赁是指单项租赁资产为全新资产时价值较低的租赁。</w:t>
          </w:r>
        </w:p>
      </w:sdtContent>
    </w:sdt>
    <w:p w14:paraId="66550E46">
      <w:pPr>
        <w:rPr>
          <w:rFonts w:ascii="Calibri" w:hAnsi="Calibri" w:cs="Times New Roman"/>
          <w:kern w:val="2"/>
          <w:szCs w:val="32"/>
        </w:rPr>
      </w:pPr>
    </w:p>
    <w:p w14:paraId="68117FA0">
      <w:pPr>
        <w:rPr>
          <w:rFonts w:ascii="Calibri" w:hAnsi="Calibri" w:cs="Times New Roman"/>
          <w:b/>
          <w:kern w:val="2"/>
          <w:szCs w:val="32"/>
        </w:rPr>
      </w:pPr>
      <w:r>
        <w:rPr>
          <w:rFonts w:ascii="Calibri" w:hAnsi="Calibri" w:cs="Times New Roman"/>
          <w:b/>
          <w:kern w:val="2"/>
          <w:szCs w:val="32"/>
        </w:rPr>
        <w:t>作为出租方的租赁分类标准和会计处理方法</w:t>
      </w:r>
    </w:p>
    <w:sdt>
      <w:sdtPr>
        <w:rPr>
          <w:szCs w:val="21"/>
        </w:rPr>
        <w:alias w:val="是否适用：作为出租方的租赁分类标准和会计处理方法[双击切换]"/>
        <w:tag w:val="_GBC_4ce66446786b4db69563b4f1b2b86d89"/>
        <w:id w:val="-952936902"/>
        <w:placeholder>
          <w:docPart w:val="GBC22222222222222222222222222222"/>
        </w:placeholder>
      </w:sdtPr>
      <w:sdtEndPr>
        <w:rPr>
          <w:szCs w:val="21"/>
        </w:rPr>
      </w:sdtEndPr>
      <w:sdtContent>
        <w:p w14:paraId="025A020F">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作为出租方的租赁分类标准和会计处理方法"/>
        <w:tag w:val="_GBC_ca849938b2044c5a8ca6cd68a06181a3"/>
        <w:id w:val="1163655749"/>
        <w:placeholder>
          <w:docPart w:val="GBC22222222222222222222222222222"/>
        </w:placeholder>
      </w:sdtPr>
      <w:sdtEndPr>
        <w:rPr>
          <w:szCs w:val="21"/>
        </w:rPr>
      </w:sdtEndPr>
      <w:sdtContent>
        <w:p w14:paraId="7EEDAABD">
          <w:pPr>
            <w:ind w:firstLine="420" w:firstLineChars="200"/>
            <w:rPr>
              <w:rFonts w:hint="eastAsia"/>
              <w:szCs w:val="21"/>
            </w:rPr>
          </w:pPr>
          <w:r>
            <w:rPr>
              <w:rFonts w:hint="eastAsia"/>
              <w:szCs w:val="21"/>
            </w:rPr>
            <w:t>（1）租赁的分类</w:t>
          </w:r>
        </w:p>
        <w:p w14:paraId="7EBC0726">
          <w:pPr>
            <w:ind w:firstLine="420" w:firstLineChars="200"/>
            <w:rPr>
              <w:rFonts w:hint="eastAsia"/>
              <w:szCs w:val="21"/>
            </w:rPr>
          </w:pPr>
          <w:r>
            <w:rPr>
              <w:rFonts w:hint="eastAsia"/>
              <w:szCs w:val="21"/>
            </w:rPr>
            <w:t>本公司在租赁开始日将租赁分为融资租赁和经营租赁。融资租赁是指实质上转移了与租赁资产所有权有关的几乎全部风险和报酬的租赁，其所有权最终可能转移，也可能不转移。经营租赁是指除融资租赁以外的其他租赁。</w:t>
          </w:r>
        </w:p>
        <w:p w14:paraId="0E6B3A03">
          <w:pPr>
            <w:ind w:firstLine="420" w:firstLineChars="200"/>
            <w:rPr>
              <w:rFonts w:hint="eastAsia"/>
              <w:szCs w:val="21"/>
            </w:rPr>
          </w:pPr>
          <w:r>
            <w:rPr>
              <w:rFonts w:hint="eastAsia"/>
              <w:szCs w:val="21"/>
            </w:rPr>
            <w:t>一项租赁存在下列一种或多种情形的，本公司通常分类为融资租赁：</w:t>
          </w:r>
        </w:p>
        <w:p w14:paraId="429D4CA6">
          <w:pPr>
            <w:ind w:firstLine="420" w:firstLineChars="200"/>
            <w:rPr>
              <w:rFonts w:hint="eastAsia"/>
              <w:szCs w:val="21"/>
            </w:rPr>
          </w:pPr>
          <w:r>
            <w:rPr>
              <w:rFonts w:hint="eastAsia"/>
              <w:szCs w:val="21"/>
            </w:rPr>
            <w:t>A在租赁期届满时，租赁资产的所有权转移给承租人。</w:t>
          </w:r>
        </w:p>
        <w:p w14:paraId="279241B1">
          <w:pPr>
            <w:ind w:firstLine="420" w:firstLineChars="200"/>
            <w:rPr>
              <w:rFonts w:hint="eastAsia"/>
              <w:szCs w:val="21"/>
            </w:rPr>
          </w:pPr>
          <w:r>
            <w:rPr>
              <w:rFonts w:hint="eastAsia"/>
              <w:szCs w:val="21"/>
            </w:rPr>
            <w:t>B承租人有购买租赁资产的选择权，所订立的购买价款与预计行使选择权时租赁资产的公允价值相比足够低，因而在租赁开始日就可以合理确定承租人将行使该选择权。</w:t>
          </w:r>
        </w:p>
        <w:p w14:paraId="30EEDE6C">
          <w:pPr>
            <w:ind w:firstLine="420" w:firstLineChars="200"/>
            <w:rPr>
              <w:rFonts w:hint="eastAsia"/>
              <w:szCs w:val="21"/>
            </w:rPr>
          </w:pPr>
          <w:r>
            <w:rPr>
              <w:rFonts w:hint="eastAsia"/>
              <w:szCs w:val="21"/>
            </w:rPr>
            <w:t>C资产的所有权虽然不转移，但租赁期占租赁资产使用寿命的大部分。</w:t>
          </w:r>
        </w:p>
        <w:p w14:paraId="56D794C6">
          <w:pPr>
            <w:ind w:firstLine="420" w:firstLineChars="200"/>
            <w:rPr>
              <w:rFonts w:hint="eastAsia"/>
              <w:szCs w:val="21"/>
            </w:rPr>
          </w:pPr>
          <w:r>
            <w:rPr>
              <w:rFonts w:hint="eastAsia"/>
              <w:szCs w:val="21"/>
            </w:rPr>
            <w:t>D在租赁开始日，租赁收款额的现值几乎相当于租赁资产的公允价值。</w:t>
          </w:r>
        </w:p>
        <w:p w14:paraId="27734AF8">
          <w:pPr>
            <w:ind w:firstLine="420" w:firstLineChars="200"/>
            <w:rPr>
              <w:rFonts w:hint="eastAsia"/>
              <w:szCs w:val="21"/>
            </w:rPr>
          </w:pPr>
          <w:r>
            <w:rPr>
              <w:rFonts w:hint="eastAsia"/>
              <w:szCs w:val="21"/>
            </w:rPr>
            <w:t>E租赁资产性质特殊，如果不作较大改造，只有承租人才能使用。</w:t>
          </w:r>
        </w:p>
        <w:p w14:paraId="0D0FDA2C">
          <w:pPr>
            <w:ind w:firstLine="420" w:firstLineChars="200"/>
            <w:rPr>
              <w:rFonts w:hint="eastAsia"/>
              <w:szCs w:val="21"/>
            </w:rPr>
          </w:pPr>
          <w:r>
            <w:rPr>
              <w:rFonts w:hint="eastAsia"/>
              <w:szCs w:val="21"/>
            </w:rPr>
            <w:t>一项租赁存在下列一项或多项迹象的，本公司也可能分类为融资租赁：</w:t>
          </w:r>
        </w:p>
        <w:p w14:paraId="343187CD">
          <w:pPr>
            <w:ind w:firstLine="420" w:firstLineChars="200"/>
            <w:rPr>
              <w:rFonts w:hint="eastAsia"/>
              <w:szCs w:val="21"/>
            </w:rPr>
          </w:pPr>
          <w:r>
            <w:rPr>
              <w:rFonts w:hint="eastAsia"/>
              <w:szCs w:val="21"/>
            </w:rPr>
            <w:t>A若承租人撤销租赁，撤销租赁对出租人造成的损失由承租人承担。</w:t>
          </w:r>
        </w:p>
        <w:p w14:paraId="6B3397B1">
          <w:pPr>
            <w:ind w:firstLine="420" w:firstLineChars="200"/>
            <w:rPr>
              <w:rFonts w:hint="eastAsia"/>
              <w:szCs w:val="21"/>
            </w:rPr>
          </w:pPr>
          <w:r>
            <w:rPr>
              <w:rFonts w:hint="eastAsia"/>
              <w:szCs w:val="21"/>
            </w:rPr>
            <w:t>B资产余值的公允价值波动所产生的利得或损失归属于承租人。</w:t>
          </w:r>
        </w:p>
        <w:p w14:paraId="354F416F">
          <w:pPr>
            <w:ind w:firstLine="420" w:firstLineChars="200"/>
            <w:rPr>
              <w:rFonts w:hint="eastAsia"/>
              <w:szCs w:val="21"/>
            </w:rPr>
          </w:pPr>
          <w:r>
            <w:rPr>
              <w:rFonts w:hint="eastAsia"/>
              <w:szCs w:val="21"/>
            </w:rPr>
            <w:t>C承租人有能力以远低于市场水平的租金继续租赁至下一期间。</w:t>
          </w:r>
        </w:p>
        <w:p w14:paraId="3C8E1AF6">
          <w:pPr>
            <w:ind w:firstLine="420" w:firstLineChars="200"/>
            <w:rPr>
              <w:rFonts w:hint="eastAsia"/>
              <w:szCs w:val="21"/>
            </w:rPr>
          </w:pPr>
          <w:r>
            <w:rPr>
              <w:rFonts w:hint="eastAsia"/>
              <w:szCs w:val="21"/>
            </w:rPr>
            <w:t>（2）对融资租赁的会计处理</w:t>
          </w:r>
        </w:p>
        <w:p w14:paraId="32AD2ED4">
          <w:pPr>
            <w:ind w:firstLine="420" w:firstLineChars="200"/>
            <w:rPr>
              <w:rFonts w:hint="eastAsia"/>
              <w:szCs w:val="21"/>
            </w:rPr>
          </w:pPr>
          <w:r>
            <w:rPr>
              <w:rFonts w:hint="eastAsia"/>
              <w:szCs w:val="21"/>
            </w:rPr>
            <w:t>在租赁期开始日，本公司对融资租赁确认应收融资租赁款，并终止确认融资租赁资产。</w:t>
          </w:r>
        </w:p>
        <w:p w14:paraId="38EA3E3A">
          <w:pPr>
            <w:ind w:firstLine="420" w:firstLineChars="200"/>
            <w:rPr>
              <w:rFonts w:hint="eastAsia"/>
              <w:szCs w:val="21"/>
            </w:rPr>
          </w:pPr>
          <w:r>
            <w:rPr>
              <w:rFonts w:hint="eastAsia"/>
              <w:szCs w:val="21"/>
            </w:rPr>
            <w:t>应收融资租赁款初始计量时，以未担保余值和租赁期开始日尚未收到的租赁收款额按照租赁内含利率折现的现值之和作为应收融资租赁款的入账价值。租赁收款额包括：</w:t>
          </w:r>
        </w:p>
        <w:p w14:paraId="0D620E4A">
          <w:pPr>
            <w:ind w:firstLine="420" w:firstLineChars="200"/>
            <w:rPr>
              <w:rFonts w:hint="eastAsia"/>
              <w:szCs w:val="21"/>
            </w:rPr>
          </w:pPr>
          <w:r>
            <w:rPr>
              <w:rFonts w:hint="eastAsia"/>
              <w:szCs w:val="21"/>
            </w:rPr>
            <w:t>A扣除租赁激励相关金额后的固定付款额及实质固定付款额；</w:t>
          </w:r>
        </w:p>
        <w:p w14:paraId="05CAF0D9">
          <w:pPr>
            <w:ind w:firstLine="420" w:firstLineChars="200"/>
            <w:rPr>
              <w:rFonts w:hint="eastAsia"/>
              <w:szCs w:val="21"/>
            </w:rPr>
          </w:pPr>
          <w:r>
            <w:rPr>
              <w:rFonts w:hint="eastAsia"/>
              <w:szCs w:val="21"/>
            </w:rPr>
            <w:t>B取决于指数或比率的可变租赁付款额；</w:t>
          </w:r>
        </w:p>
        <w:p w14:paraId="55865EA4">
          <w:pPr>
            <w:ind w:firstLine="420" w:firstLineChars="200"/>
            <w:rPr>
              <w:rFonts w:hint="eastAsia"/>
              <w:szCs w:val="21"/>
            </w:rPr>
          </w:pPr>
          <w:r>
            <w:rPr>
              <w:rFonts w:hint="eastAsia"/>
              <w:szCs w:val="21"/>
            </w:rPr>
            <w:t>C合理确定承租人将行使购买选择权的情况下，租赁收款额包括购买选择权的行权价格；</w:t>
          </w:r>
        </w:p>
        <w:p w14:paraId="1EE9A10E">
          <w:pPr>
            <w:ind w:firstLine="420" w:firstLineChars="200"/>
            <w:rPr>
              <w:rFonts w:hint="eastAsia"/>
              <w:szCs w:val="21"/>
            </w:rPr>
          </w:pPr>
          <w:r>
            <w:rPr>
              <w:rFonts w:hint="eastAsia"/>
              <w:szCs w:val="21"/>
            </w:rPr>
            <w:t>D租赁期反映出承租人将行使终止租赁选择权的情况下，租赁收款额包括承租人行使终止租赁选择权需支付的款项；</w:t>
          </w:r>
        </w:p>
        <w:p w14:paraId="03D46A02">
          <w:pPr>
            <w:ind w:firstLine="420" w:firstLineChars="200"/>
            <w:rPr>
              <w:rFonts w:hint="eastAsia"/>
              <w:szCs w:val="21"/>
            </w:rPr>
          </w:pPr>
          <w:r>
            <w:rPr>
              <w:rFonts w:hint="eastAsia"/>
              <w:szCs w:val="21"/>
            </w:rPr>
            <w:t>E由承租人、与承租人有关的一方以及有经济能力履行担保义务的独立第三方向出租人提供的担保余值。</w:t>
          </w:r>
        </w:p>
        <w:p w14:paraId="06F392FD">
          <w:pPr>
            <w:ind w:firstLine="420" w:firstLineChars="200"/>
            <w:rPr>
              <w:rFonts w:hint="eastAsia"/>
              <w:szCs w:val="21"/>
            </w:rPr>
          </w:pPr>
          <w:r>
            <w:rPr>
              <w:rFonts w:hint="eastAsia"/>
              <w:szCs w:val="21"/>
            </w:rPr>
            <w:t>本公司按照固定的租赁内含利率计算并确认租赁期内各个期间的利息收入，所取得的未纳入租赁投资净额计量的可变租赁付款额在实际发生时计入当期损益。</w:t>
          </w:r>
        </w:p>
        <w:p w14:paraId="495AB998">
          <w:pPr>
            <w:ind w:firstLine="420" w:firstLineChars="200"/>
            <w:rPr>
              <w:rFonts w:hint="eastAsia"/>
              <w:szCs w:val="21"/>
            </w:rPr>
          </w:pPr>
          <w:r>
            <w:rPr>
              <w:rFonts w:hint="eastAsia"/>
              <w:szCs w:val="21"/>
            </w:rPr>
            <w:t>（3）对经营租赁的会计处理</w:t>
          </w:r>
        </w:p>
        <w:p w14:paraId="520DA043">
          <w:pPr>
            <w:ind w:firstLine="420" w:firstLineChars="200"/>
            <w:rPr>
              <w:rFonts w:hint="eastAsia"/>
              <w:szCs w:val="21"/>
            </w:rPr>
          </w:pPr>
          <w:r>
            <w:rPr>
              <w:rFonts w:hint="eastAsia"/>
              <w:szCs w:val="21"/>
            </w:rPr>
            <w:t>本公司在租赁期内各个期间采用直线法或其他系统合理的方法，将经营租赁的租赁收款额确认为租金收入；发生的与经营租赁有关的初始直接费用资本化，在租赁期内按照与租金收入确认相同的基础进行分摊，分期计入当期损益；取得的与经营租赁有关的未计入租赁收款额的可变租赁付款额，在实际发生时计入当期损益。</w:t>
          </w:r>
        </w:p>
      </w:sdtContent>
    </w:sdt>
    <w:p w14:paraId="6FCA07A0">
      <w:pPr>
        <w:rPr>
          <w:rFonts w:hint="eastAsia"/>
        </w:rPr>
      </w:pPr>
    </w:p>
    <w:p w14:paraId="34937B70">
      <w:pPr>
        <w:pStyle w:val="70"/>
        <w:numPr>
          <w:ilvl w:val="0"/>
          <w:numId w:val="101"/>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2038344739"/>
        <w:placeholder>
          <w:docPart w:val="GBC22222222222222222222222222222"/>
        </w:placeholder>
      </w:sdtPr>
      <w:sdtEndPr>
        <w:rPr>
          <w:rFonts w:hint="eastAsia"/>
          <w:szCs w:val="21"/>
        </w:rPr>
      </w:sdtEndPr>
      <w:sdtContent>
        <w:p w14:paraId="4877862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C61855E">
      <w:pPr>
        <w:rPr>
          <w:rFonts w:hint="eastAsia"/>
          <w:szCs w:val="21"/>
        </w:rPr>
      </w:pPr>
    </w:p>
    <w:p w14:paraId="344637C6">
      <w:pPr>
        <w:pStyle w:val="70"/>
        <w:numPr>
          <w:ilvl w:val="0"/>
          <w:numId w:val="101"/>
        </w:numPr>
      </w:pPr>
      <w:r>
        <w:rPr>
          <w:rFonts w:hint="eastAsia"/>
        </w:rPr>
        <w:t>重要</w:t>
      </w:r>
      <w:r>
        <w:t>会计政策</w:t>
      </w:r>
      <w:r>
        <w:rPr>
          <w:rFonts w:hint="eastAsia"/>
        </w:rPr>
        <w:t>和</w:t>
      </w:r>
      <w:r>
        <w:t>会计估计的变更</w:t>
      </w:r>
    </w:p>
    <w:p w14:paraId="04D66B7E">
      <w:pPr>
        <w:pStyle w:val="71"/>
        <w:numPr>
          <w:ilvl w:val="3"/>
          <w:numId w:val="107"/>
        </w:numPr>
        <w:ind w:left="426" w:hanging="426"/>
        <w:rPr>
          <w:rFonts w:hint="eastAsia"/>
        </w:rPr>
      </w:pPr>
      <w:r>
        <w:rPr>
          <w:rFonts w:hint="eastAsia"/>
        </w:rPr>
        <w:t>重要</w:t>
      </w:r>
      <w:r>
        <w:t>会计政策变更</w:t>
      </w:r>
    </w:p>
    <w:sdt>
      <w:sdtPr>
        <w:rPr>
          <w:szCs w:val="21"/>
        </w:rPr>
        <w:alias w:val="是否适用：重要会计政策变更[双击切换]"/>
        <w:tag w:val="_GBC_f1ebc580f60c4d30a80747190ffbec4f"/>
        <w:id w:val="-1746562604"/>
        <w:lock w:val="contentLocked"/>
        <w:placeholder>
          <w:docPart w:val="GBC22222222222222222222222222222"/>
        </w:placeholder>
      </w:sdtPr>
      <w:sdtEndPr>
        <w:rPr>
          <w:szCs w:val="21"/>
        </w:rPr>
      </w:sdtEndPr>
      <w:sdtContent>
        <w:p w14:paraId="30E67BF8">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C348CC0">
      <w:pPr>
        <w:rPr>
          <w:rFonts w:hint="eastAsia"/>
          <w:szCs w:val="21"/>
        </w:rPr>
      </w:pPr>
      <w:r>
        <w:rPr>
          <w:rFonts w:hint="eastAsia"/>
          <w:szCs w:val="21"/>
        </w:rPr>
        <w:t>其他说明：</w:t>
      </w:r>
    </w:p>
    <w:sdt>
      <w:sdtPr>
        <w:rPr>
          <w:szCs w:val="21"/>
        </w:rPr>
        <w:alias w:val="会计政策的变更的其他说明"/>
        <w:tag w:val="_GBC_93e2fc5a38cb45958eae783eee8d98c3"/>
        <w:id w:val="2093586880"/>
        <w:placeholder>
          <w:docPart w:val="DA610EB632BB40088A8A53CE733F3235"/>
        </w:placeholder>
      </w:sdtPr>
      <w:sdtEndPr>
        <w:rPr>
          <w:szCs w:val="21"/>
        </w:rPr>
      </w:sdtEndPr>
      <w:sdtContent>
        <w:p w14:paraId="179A3FBF">
          <w:pPr>
            <w:ind w:firstLine="420" w:firstLineChars="200"/>
            <w:rPr>
              <w:rFonts w:hint="eastAsia"/>
              <w:szCs w:val="21"/>
            </w:rPr>
          </w:pPr>
          <w:r>
            <w:rPr>
              <w:rFonts w:hint="eastAsia"/>
              <w:szCs w:val="21"/>
            </w:rPr>
            <w:t>1.公司自2024年1月1日起执行财政部颁布的《企业会计准则解释第17号》“关于流动负债与非流动负债的划分”规定，该项会计政策变更对公司财务报表无影响。</w:t>
          </w:r>
        </w:p>
        <w:p w14:paraId="138C2F1F">
          <w:pPr>
            <w:ind w:firstLine="420" w:firstLineChars="200"/>
            <w:rPr>
              <w:rFonts w:hint="eastAsia"/>
              <w:szCs w:val="21"/>
            </w:rPr>
          </w:pPr>
          <w:r>
            <w:rPr>
              <w:rFonts w:hint="eastAsia"/>
              <w:szCs w:val="21"/>
            </w:rPr>
            <w:t>2.公司自2024年1月1日起执行财政部颁布的《企业会计准则解释第17号》“关于供应商融资安排的披露”规定。该项会计政策变更对公司财务报表无影响。</w:t>
          </w:r>
        </w:p>
        <w:p w14:paraId="03F87C9A">
          <w:pPr>
            <w:ind w:firstLine="420" w:firstLineChars="200"/>
            <w:rPr>
              <w:rFonts w:hint="eastAsia"/>
              <w:szCs w:val="21"/>
            </w:rPr>
          </w:pPr>
          <w:r>
            <w:rPr>
              <w:rFonts w:hint="eastAsia"/>
              <w:szCs w:val="21"/>
            </w:rPr>
            <w:t>3.公司自2024年1月1日起执行财政部颁布的《企业会计准则解释第17号》“关于售后租回交易的会计处理”规定，该项会计政策变更对公司财务报表无影响。</w:t>
          </w:r>
        </w:p>
        <w:p w14:paraId="57084B69">
          <w:pPr>
            <w:ind w:firstLine="420" w:firstLineChars="200"/>
            <w:rPr>
              <w:rFonts w:hint="eastAsia"/>
              <w:szCs w:val="21"/>
            </w:rPr>
          </w:pPr>
          <w:r>
            <w:rPr>
              <w:rFonts w:hint="eastAsia"/>
              <w:szCs w:val="21"/>
            </w:rPr>
            <w:t>4.公司自2024年1月1日起执行财政部颁布的《企业会计准则解释第18号》“关于不属于单项履约义务的保证类质量保证的会计处理”规定,该项会计政策变更对公司财务报表无影响。</w:t>
          </w:r>
        </w:p>
      </w:sdtContent>
    </w:sdt>
    <w:p w14:paraId="661A0D28">
      <w:pPr>
        <w:rPr>
          <w:rFonts w:hint="eastAsia"/>
          <w:szCs w:val="21"/>
        </w:rPr>
      </w:pPr>
    </w:p>
    <w:p w14:paraId="1077B68A">
      <w:pPr>
        <w:rPr>
          <w:rFonts w:hint="eastAsia"/>
          <w:szCs w:val="21"/>
        </w:rPr>
      </w:pPr>
    </w:p>
    <w:p w14:paraId="5BA27B09">
      <w:pPr>
        <w:pStyle w:val="71"/>
        <w:numPr>
          <w:ilvl w:val="3"/>
          <w:numId w:val="107"/>
        </w:numPr>
        <w:ind w:left="426" w:hanging="426"/>
        <w:rPr>
          <w:rFonts w:hint="eastAsia"/>
        </w:rPr>
      </w:pPr>
      <w:r>
        <w:rPr>
          <w:rFonts w:hint="eastAsia"/>
        </w:rPr>
        <w:t>重要会计估计变更</w:t>
      </w:r>
    </w:p>
    <w:sdt>
      <w:sdtPr>
        <w:alias w:val="是否适用：重要会计估计变更[双击切换]"/>
        <w:tag w:val="_GBC_902f08bd36774074945386d2d1f9b67d"/>
        <w:id w:val="1231819980"/>
        <w:placeholder>
          <w:docPart w:val="GBC22222222222222222222222222222"/>
        </w:placeholder>
      </w:sdtPr>
      <w:sdtContent>
        <w:p w14:paraId="0356FD3D">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8ECB494">
      <w:pPr>
        <w:rPr>
          <w:rFonts w:hint="eastAsia"/>
          <w:szCs w:val="21"/>
        </w:rPr>
      </w:pPr>
    </w:p>
    <w:p w14:paraId="7BD84C22">
      <w:pPr>
        <w:rPr>
          <w:rFonts w:hint="eastAsia"/>
          <w:szCs w:val="21"/>
        </w:rPr>
      </w:pPr>
    </w:p>
    <w:p w14:paraId="33EDA14C">
      <w:pPr>
        <w:pStyle w:val="71"/>
        <w:numPr>
          <w:ilvl w:val="3"/>
          <w:numId w:val="107"/>
        </w:numPr>
        <w:ind w:left="426" w:hanging="426"/>
        <w:rPr>
          <w:rFonts w:hint="eastAsia"/>
        </w:rPr>
      </w:pPr>
      <w:bookmarkStart w:id="231" w:name="_Hlk10465969"/>
      <w:bookmarkEnd w:id="231"/>
      <w:bookmarkStart w:id="232" w:name="_Hlk24100246"/>
      <w:r>
        <w:rPr>
          <w:rFonts w:hint="eastAsia"/>
        </w:rPr>
        <w:t>2024年起首次执行新会计准则或准则解释等涉及调整首次执行当年年初的财务报表</w:t>
      </w:r>
    </w:p>
    <w:sdt>
      <w:sdtPr>
        <w:rPr>
          <w:rFonts w:hint="eastAsia"/>
        </w:rPr>
        <w:alias w:val="是否适用：首次执行新金融工具准则或新收入准则调整首次执行当年年初财务报表相关项目情况[双击切换]"/>
        <w:tag w:val="_GBC_e1701479a1654e0d9f4b2ffb99c13db0"/>
        <w:id w:val="757101734"/>
        <w:placeholder>
          <w:docPart w:val="GBC22222222222222222222222222222"/>
        </w:placeholder>
      </w:sdtPr>
      <w:sdtEndPr>
        <w:rPr>
          <w:rFonts w:hint="eastAsia"/>
        </w:rPr>
      </w:sdtEndPr>
      <w:sdtContent>
        <w:p w14:paraId="6D226F3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EF9D35E">
      <w:pPr>
        <w:rPr>
          <w:rFonts w:hint="eastAsia"/>
          <w:szCs w:val="21"/>
        </w:rPr>
      </w:pPr>
    </w:p>
    <w:bookmarkEnd w:id="232"/>
    <w:p w14:paraId="5D111E17">
      <w:pPr>
        <w:pStyle w:val="70"/>
        <w:numPr>
          <w:ilvl w:val="0"/>
          <w:numId w:val="101"/>
        </w:numPr>
      </w:pPr>
      <w:bookmarkStart w:id="233" w:name="_Hlk24100423"/>
      <w:bookmarkEnd w:id="233"/>
      <w:r>
        <w:rPr>
          <w:rFonts w:hint="eastAsia"/>
        </w:rPr>
        <w:t>其他</w:t>
      </w:r>
    </w:p>
    <w:sdt>
      <w:sdtPr>
        <w:rPr>
          <w:rFonts w:hint="eastAsia"/>
          <w:szCs w:val="21"/>
        </w:rPr>
        <w:alias w:val="是否适用：公司主要会计政策、会计估计和前期差错的其他说明[双击切换]"/>
        <w:tag w:val="_GBC_bcb348c2b015461e9de30ce69ad888ae"/>
        <w:id w:val="1348602397"/>
        <w:placeholder>
          <w:docPart w:val="GBC22222222222222222222222222222"/>
        </w:placeholder>
      </w:sdtPr>
      <w:sdtEndPr>
        <w:rPr>
          <w:rFonts w:hint="eastAsia"/>
          <w:szCs w:val="21"/>
        </w:rPr>
      </w:sdtEndPr>
      <w:sdtContent>
        <w:p w14:paraId="7767C59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313FC1C">
      <w:pPr>
        <w:rPr>
          <w:rFonts w:hint="eastAsia"/>
          <w:szCs w:val="21"/>
        </w:rPr>
      </w:pPr>
    </w:p>
    <w:p w14:paraId="10BB9850">
      <w:pPr>
        <w:pStyle w:val="69"/>
        <w:numPr>
          <w:ilvl w:val="0"/>
          <w:numId w:val="87"/>
        </w:numPr>
        <w:rPr>
          <w:rFonts w:hint="eastAsia" w:ascii="宋体" w:hAnsi="宋体"/>
        </w:rPr>
      </w:pPr>
      <w:r>
        <w:rPr>
          <w:rFonts w:hint="eastAsia"/>
        </w:rPr>
        <w:t>税项</w:t>
      </w:r>
    </w:p>
    <w:p w14:paraId="07CEFC40">
      <w:pPr>
        <w:pStyle w:val="70"/>
        <w:numPr>
          <w:ilvl w:val="0"/>
          <w:numId w:val="108"/>
        </w:numPr>
        <w:tabs>
          <w:tab w:val="left" w:pos="546"/>
        </w:tabs>
      </w:pPr>
      <w:r>
        <w:t>主要税种及税率</w:t>
      </w:r>
    </w:p>
    <w:p w14:paraId="2AAFC5CB">
      <w:pPr>
        <w:rPr>
          <w:rFonts w:hint="eastAsia"/>
        </w:rPr>
      </w:pPr>
      <w:r>
        <w:t>主要税种及税率</w:t>
      </w:r>
      <w:r>
        <w:rPr>
          <w:rFonts w:hint="eastAsia"/>
        </w:rPr>
        <w:t>情况</w:t>
      </w:r>
    </w:p>
    <w:sdt>
      <w:sdtPr>
        <w:alias w:val="是否适用：主要税种及税率情况 [双击切换]"/>
        <w:tag w:val="_GBC_f900f926144b41b9ba020b5a24aff3c0"/>
        <w:id w:val="885444157"/>
        <w:placeholder>
          <w:docPart w:val="GBC22222222222222222222222222222"/>
        </w:placeholder>
      </w:sdtPr>
      <w:sdtContent>
        <w:p w14:paraId="3443CC79">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4394"/>
        <w:gridCol w:w="2449"/>
      </w:tblGrid>
      <w:tr w14:paraId="45FB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5758c089ae1414f99b1cc36321c29a1"/>
            <w:id w:val="1953514264"/>
          </w:sdtPr>
          <w:sdtContent>
            <w:tc>
              <w:tcPr>
                <w:tcW w:w="1122" w:type="pct"/>
                <w:vAlign w:val="center"/>
              </w:tcPr>
              <w:p w14:paraId="2807FBA0">
                <w:pPr>
                  <w:jc w:val="center"/>
                  <w:rPr>
                    <w:rFonts w:hint="eastAsia"/>
                    <w:szCs w:val="21"/>
                  </w:rPr>
                </w:pPr>
                <w:r>
                  <w:rPr>
                    <w:szCs w:val="21"/>
                  </w:rPr>
                  <w:t>税种</w:t>
                </w:r>
              </w:p>
            </w:tc>
          </w:sdtContent>
        </w:sdt>
        <w:sdt>
          <w:sdtPr>
            <w:tag w:val="_PLD_0e1599c84a4d47cc8f6f9b3d3069a1bd"/>
            <w:id w:val="1423529740"/>
          </w:sdtPr>
          <w:sdtContent>
            <w:tc>
              <w:tcPr>
                <w:tcW w:w="2490" w:type="pct"/>
                <w:vAlign w:val="center"/>
              </w:tcPr>
              <w:p w14:paraId="554CEF68">
                <w:pPr>
                  <w:jc w:val="center"/>
                  <w:rPr>
                    <w:rFonts w:hint="eastAsia"/>
                    <w:szCs w:val="21"/>
                  </w:rPr>
                </w:pPr>
                <w:r>
                  <w:rPr>
                    <w:szCs w:val="21"/>
                  </w:rPr>
                  <w:t>计税依据</w:t>
                </w:r>
              </w:p>
            </w:tc>
          </w:sdtContent>
        </w:sdt>
        <w:sdt>
          <w:sdtPr>
            <w:tag w:val="_PLD_74e07bcec6714b078c64caa53447462a"/>
            <w:id w:val="-1245719942"/>
          </w:sdtPr>
          <w:sdtContent>
            <w:tc>
              <w:tcPr>
                <w:tcW w:w="1388" w:type="pct"/>
                <w:vAlign w:val="center"/>
              </w:tcPr>
              <w:p w14:paraId="03895129">
                <w:pPr>
                  <w:jc w:val="center"/>
                  <w:rPr>
                    <w:rFonts w:hint="eastAsia"/>
                    <w:szCs w:val="21"/>
                  </w:rPr>
                </w:pPr>
                <w:r>
                  <w:rPr>
                    <w:szCs w:val="21"/>
                  </w:rPr>
                  <w:t>税率</w:t>
                </w:r>
              </w:p>
            </w:tc>
          </w:sdtContent>
        </w:sdt>
      </w:tr>
      <w:tr w14:paraId="74EC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tcPr>
          <w:p w14:paraId="53C67D80">
            <w:pPr>
              <w:rPr>
                <w:rFonts w:hint="eastAsia"/>
                <w:szCs w:val="21"/>
              </w:rPr>
            </w:pPr>
            <w:r>
              <w:rPr>
                <w:szCs w:val="21"/>
              </w:rPr>
              <w:t>增值税</w:t>
            </w:r>
          </w:p>
        </w:tc>
        <w:tc>
          <w:tcPr>
            <w:tcW w:w="2490" w:type="pct"/>
          </w:tcPr>
          <w:p w14:paraId="00C9880C">
            <w:pPr>
              <w:rPr>
                <w:rFonts w:hint="eastAsia"/>
                <w:szCs w:val="21"/>
              </w:rPr>
            </w:pPr>
            <w:r>
              <w:rPr>
                <w:rFonts w:hint="eastAsia"/>
              </w:rPr>
              <w:t>按税法规定计算的销售货物和应税劳务收入为基础计算销项税额，在扣除当期允许抵扣的进项税额后，差额部分为应交增值税</w:t>
            </w:r>
          </w:p>
        </w:tc>
        <w:tc>
          <w:tcPr>
            <w:tcW w:w="1388" w:type="pct"/>
          </w:tcPr>
          <w:p w14:paraId="4E74E117">
            <w:pPr>
              <w:rPr>
                <w:rFonts w:hint="eastAsia"/>
                <w:szCs w:val="21"/>
              </w:rPr>
            </w:pPr>
            <w:r>
              <w:rPr>
                <w:rFonts w:hint="eastAsia"/>
              </w:rPr>
              <w:t>3%、5%、6%、9%、13%</w:t>
            </w:r>
          </w:p>
        </w:tc>
      </w:tr>
      <w:tr w14:paraId="5F5D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tcPr>
          <w:p w14:paraId="5977D9F6">
            <w:pPr>
              <w:rPr>
                <w:rFonts w:hint="eastAsia"/>
                <w:szCs w:val="21"/>
              </w:rPr>
            </w:pPr>
            <w:r>
              <w:rPr>
                <w:szCs w:val="21"/>
              </w:rPr>
              <w:t>城市维护建设税</w:t>
            </w:r>
          </w:p>
        </w:tc>
        <w:tc>
          <w:tcPr>
            <w:tcW w:w="2490" w:type="pct"/>
          </w:tcPr>
          <w:p w14:paraId="65F18F6D">
            <w:pPr>
              <w:rPr>
                <w:rFonts w:hint="eastAsia"/>
                <w:szCs w:val="21"/>
              </w:rPr>
            </w:pPr>
            <w:r>
              <w:rPr>
                <w:rFonts w:hint="eastAsia"/>
              </w:rPr>
              <w:t>按实际缴纳的增值税及消费税计缴</w:t>
            </w:r>
          </w:p>
        </w:tc>
        <w:tc>
          <w:tcPr>
            <w:tcW w:w="1388" w:type="pct"/>
          </w:tcPr>
          <w:p w14:paraId="7F18395C">
            <w:pPr>
              <w:rPr>
                <w:rFonts w:hint="eastAsia"/>
                <w:szCs w:val="21"/>
              </w:rPr>
            </w:pPr>
            <w:r>
              <w:rPr>
                <w:rFonts w:hint="eastAsia"/>
              </w:rPr>
              <w:t>5%、7%</w:t>
            </w:r>
          </w:p>
        </w:tc>
      </w:tr>
      <w:tr w14:paraId="225A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pct"/>
          </w:tcPr>
          <w:p w14:paraId="22EED95B">
            <w:pPr>
              <w:rPr>
                <w:rFonts w:hint="eastAsia"/>
                <w:szCs w:val="21"/>
              </w:rPr>
            </w:pPr>
            <w:r>
              <w:rPr>
                <w:szCs w:val="21"/>
              </w:rPr>
              <w:t>企业所得税</w:t>
            </w:r>
          </w:p>
        </w:tc>
        <w:tc>
          <w:tcPr>
            <w:tcW w:w="2490" w:type="pct"/>
          </w:tcPr>
          <w:p w14:paraId="401545D6">
            <w:pPr>
              <w:rPr>
                <w:rFonts w:hint="eastAsia"/>
                <w:szCs w:val="21"/>
              </w:rPr>
            </w:pPr>
            <w:r>
              <w:rPr>
                <w:rFonts w:hint="eastAsia"/>
              </w:rPr>
              <w:t>应纳税所得额</w:t>
            </w:r>
          </w:p>
        </w:tc>
        <w:tc>
          <w:tcPr>
            <w:tcW w:w="1388" w:type="pct"/>
          </w:tcPr>
          <w:p w14:paraId="0B24EB0D">
            <w:pPr>
              <w:rPr>
                <w:rFonts w:hint="eastAsia"/>
                <w:szCs w:val="21"/>
              </w:rPr>
            </w:pPr>
            <w:r>
              <w:rPr>
                <w:rFonts w:hint="eastAsia"/>
              </w:rPr>
              <w:t>15%、20%、25%</w:t>
            </w:r>
          </w:p>
        </w:tc>
      </w:tr>
    </w:tbl>
    <w:p w14:paraId="274277D3">
      <w:pPr>
        <w:rPr>
          <w:rFonts w:hint="eastAsia"/>
          <w:szCs w:val="21"/>
        </w:rPr>
      </w:pPr>
    </w:p>
    <w:p w14:paraId="3BFB997E">
      <w:pPr>
        <w:rPr>
          <w:rFonts w:hint="eastAsia"/>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19079762"/>
        <w:placeholder>
          <w:docPart w:val="GBC22222222222222222222222222222"/>
        </w:placeholder>
      </w:sdtPr>
      <w:sdtEndPr>
        <w:rPr>
          <w:szCs w:val="21"/>
        </w:rPr>
      </w:sdtEndPr>
      <w:sdtContent>
        <w:p w14:paraId="3E3C4752">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7"/>
        <w:gridCol w:w="4336"/>
      </w:tblGrid>
      <w:tr w14:paraId="06DA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45211f01b9764dbc9a13b86554731418"/>
            <w:id w:val="505478652"/>
          </w:sdtPr>
          <w:sdtContent>
            <w:tc>
              <w:tcPr>
                <w:tcW w:w="2543" w:type="pct"/>
                <w:shd w:val="clear" w:color="auto" w:fill="auto"/>
                <w:vAlign w:val="center"/>
              </w:tcPr>
              <w:p w14:paraId="5F195275">
                <w:pPr>
                  <w:jc w:val="center"/>
                  <w:rPr>
                    <w:rFonts w:hint="eastAsia"/>
                    <w:szCs w:val="21"/>
                  </w:rPr>
                </w:pPr>
                <w:r>
                  <w:rPr>
                    <w:rFonts w:hint="eastAsia"/>
                    <w:szCs w:val="21"/>
                  </w:rPr>
                  <w:t>纳税主体名称</w:t>
                </w:r>
              </w:p>
            </w:tc>
          </w:sdtContent>
        </w:sdt>
        <w:sdt>
          <w:sdtPr>
            <w:tag w:val="_PLD_f364076e1daa46149b120da21925a155"/>
            <w:id w:val="583724342"/>
          </w:sdtPr>
          <w:sdtContent>
            <w:tc>
              <w:tcPr>
                <w:tcW w:w="2457" w:type="pct"/>
                <w:shd w:val="clear" w:color="auto" w:fill="auto"/>
                <w:vAlign w:val="center"/>
              </w:tcPr>
              <w:p w14:paraId="697D4C09">
                <w:pPr>
                  <w:jc w:val="center"/>
                  <w:rPr>
                    <w:rFonts w:hint="eastAsia"/>
                    <w:szCs w:val="21"/>
                  </w:rPr>
                </w:pPr>
                <w:r>
                  <w:rPr>
                    <w:rFonts w:hint="eastAsia"/>
                    <w:szCs w:val="21"/>
                  </w:rPr>
                  <w:t>所得税税率（%）</w:t>
                </w:r>
              </w:p>
            </w:tc>
          </w:sdtContent>
        </w:sdt>
      </w:tr>
      <w:tr w14:paraId="0720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16DA4DB9">
            <w:pPr>
              <w:rPr>
                <w:rFonts w:hint="eastAsia"/>
                <w:szCs w:val="21"/>
              </w:rPr>
            </w:pPr>
            <w:r>
              <w:t>内蒙古际华森普利服装皮业有限公司</w:t>
            </w:r>
          </w:p>
        </w:tc>
        <w:tc>
          <w:tcPr>
            <w:tcW w:w="2457" w:type="pct"/>
            <w:shd w:val="clear" w:color="auto" w:fill="auto"/>
          </w:tcPr>
          <w:p w14:paraId="4FE45F17">
            <w:pPr>
              <w:jc w:val="right"/>
              <w:rPr>
                <w:rFonts w:hint="eastAsia"/>
                <w:szCs w:val="21"/>
              </w:rPr>
            </w:pPr>
            <w:r>
              <w:t>15</w:t>
            </w:r>
          </w:p>
        </w:tc>
      </w:tr>
      <w:tr w14:paraId="6CCA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0F972FE7">
            <w:pPr>
              <w:rPr>
                <w:rFonts w:hint="eastAsia"/>
                <w:szCs w:val="21"/>
              </w:rPr>
            </w:pPr>
            <w:r>
              <w:t>际华三五三六实业有限公司</w:t>
            </w:r>
          </w:p>
        </w:tc>
        <w:tc>
          <w:tcPr>
            <w:tcW w:w="2457" w:type="pct"/>
            <w:shd w:val="clear" w:color="auto" w:fill="auto"/>
          </w:tcPr>
          <w:p w14:paraId="36155E2D">
            <w:pPr>
              <w:jc w:val="right"/>
              <w:rPr>
                <w:rFonts w:hint="eastAsia"/>
                <w:szCs w:val="21"/>
              </w:rPr>
            </w:pPr>
            <w:r>
              <w:t>15</w:t>
            </w:r>
          </w:p>
        </w:tc>
      </w:tr>
      <w:tr w14:paraId="742F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7459C40">
            <w:pPr>
              <w:rPr>
                <w:rFonts w:hint="eastAsia"/>
                <w:szCs w:val="21"/>
              </w:rPr>
            </w:pPr>
            <w:r>
              <w:t>际华制鞋工业有限公司</w:t>
            </w:r>
          </w:p>
        </w:tc>
        <w:tc>
          <w:tcPr>
            <w:tcW w:w="2457" w:type="pct"/>
            <w:shd w:val="clear" w:color="auto" w:fill="auto"/>
          </w:tcPr>
          <w:p w14:paraId="048818E6">
            <w:pPr>
              <w:jc w:val="right"/>
              <w:rPr>
                <w:rFonts w:hint="eastAsia"/>
                <w:szCs w:val="21"/>
              </w:rPr>
            </w:pPr>
            <w:r>
              <w:t>15</w:t>
            </w:r>
          </w:p>
        </w:tc>
      </w:tr>
      <w:tr w14:paraId="7A5C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69EF350E">
            <w:pPr>
              <w:rPr>
                <w:rFonts w:hint="eastAsia"/>
                <w:szCs w:val="21"/>
              </w:rPr>
            </w:pPr>
            <w:r>
              <w:t>际华三五一二皮革服装有限公司</w:t>
            </w:r>
          </w:p>
        </w:tc>
        <w:tc>
          <w:tcPr>
            <w:tcW w:w="2457" w:type="pct"/>
            <w:shd w:val="clear" w:color="auto" w:fill="auto"/>
          </w:tcPr>
          <w:p w14:paraId="18D339C6">
            <w:pPr>
              <w:jc w:val="right"/>
              <w:rPr>
                <w:rFonts w:hint="eastAsia"/>
                <w:szCs w:val="21"/>
              </w:rPr>
            </w:pPr>
            <w:r>
              <w:t>15</w:t>
            </w:r>
          </w:p>
        </w:tc>
      </w:tr>
      <w:tr w14:paraId="0FCA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9458E6E">
            <w:pPr>
              <w:rPr>
                <w:rFonts w:hint="eastAsia"/>
                <w:szCs w:val="21"/>
              </w:rPr>
            </w:pPr>
            <w:r>
              <w:t>新疆际华七五五五职业装有限公司</w:t>
            </w:r>
          </w:p>
        </w:tc>
        <w:tc>
          <w:tcPr>
            <w:tcW w:w="2457" w:type="pct"/>
            <w:shd w:val="clear" w:color="auto" w:fill="auto"/>
          </w:tcPr>
          <w:p w14:paraId="3C75D71F">
            <w:pPr>
              <w:jc w:val="right"/>
              <w:rPr>
                <w:rFonts w:hint="eastAsia"/>
                <w:szCs w:val="21"/>
              </w:rPr>
            </w:pPr>
            <w:r>
              <w:t>15</w:t>
            </w:r>
          </w:p>
        </w:tc>
      </w:tr>
      <w:tr w14:paraId="6131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6889E001">
            <w:pPr>
              <w:rPr>
                <w:rFonts w:hint="eastAsia"/>
                <w:szCs w:val="21"/>
              </w:rPr>
            </w:pPr>
            <w:r>
              <w:t>际华三五四二纺织有限公司</w:t>
            </w:r>
          </w:p>
        </w:tc>
        <w:tc>
          <w:tcPr>
            <w:tcW w:w="2457" w:type="pct"/>
            <w:shd w:val="clear" w:color="auto" w:fill="auto"/>
          </w:tcPr>
          <w:p w14:paraId="0C6386A5">
            <w:pPr>
              <w:jc w:val="right"/>
              <w:rPr>
                <w:rFonts w:hint="eastAsia"/>
                <w:szCs w:val="21"/>
              </w:rPr>
            </w:pPr>
            <w:r>
              <w:t>15</w:t>
            </w:r>
          </w:p>
        </w:tc>
      </w:tr>
      <w:tr w14:paraId="01FA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3C7AB9D">
            <w:pPr>
              <w:rPr>
                <w:rFonts w:hint="eastAsia"/>
                <w:szCs w:val="21"/>
              </w:rPr>
            </w:pPr>
            <w:r>
              <w:t>际华三五四三针织服饰有限公司</w:t>
            </w:r>
          </w:p>
        </w:tc>
        <w:tc>
          <w:tcPr>
            <w:tcW w:w="2457" w:type="pct"/>
            <w:shd w:val="clear" w:color="auto" w:fill="auto"/>
          </w:tcPr>
          <w:p w14:paraId="0E0F74A3">
            <w:pPr>
              <w:jc w:val="right"/>
              <w:rPr>
                <w:rFonts w:hint="eastAsia"/>
                <w:szCs w:val="21"/>
              </w:rPr>
            </w:pPr>
            <w:r>
              <w:t>15</w:t>
            </w:r>
          </w:p>
        </w:tc>
      </w:tr>
      <w:tr w14:paraId="6130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C464825">
            <w:pPr>
              <w:rPr>
                <w:rFonts w:hint="eastAsia"/>
                <w:szCs w:val="21"/>
              </w:rPr>
            </w:pPr>
            <w:r>
              <w:t>湖北际华针织有限公司</w:t>
            </w:r>
          </w:p>
        </w:tc>
        <w:tc>
          <w:tcPr>
            <w:tcW w:w="2457" w:type="pct"/>
            <w:shd w:val="clear" w:color="auto" w:fill="auto"/>
          </w:tcPr>
          <w:p w14:paraId="2F4ABC90">
            <w:pPr>
              <w:jc w:val="right"/>
              <w:rPr>
                <w:rFonts w:hint="eastAsia"/>
                <w:szCs w:val="21"/>
              </w:rPr>
            </w:pPr>
            <w:r>
              <w:t>15</w:t>
            </w:r>
          </w:p>
        </w:tc>
      </w:tr>
      <w:tr w14:paraId="164C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2567FB95">
            <w:pPr>
              <w:rPr>
                <w:rFonts w:hint="eastAsia"/>
                <w:szCs w:val="21"/>
              </w:rPr>
            </w:pPr>
            <w:r>
              <w:t>际华三五二二装具饰品有限公司</w:t>
            </w:r>
          </w:p>
        </w:tc>
        <w:tc>
          <w:tcPr>
            <w:tcW w:w="2457" w:type="pct"/>
            <w:shd w:val="clear" w:color="auto" w:fill="auto"/>
          </w:tcPr>
          <w:p w14:paraId="212B5447">
            <w:pPr>
              <w:jc w:val="right"/>
              <w:rPr>
                <w:rFonts w:hint="eastAsia"/>
                <w:szCs w:val="21"/>
              </w:rPr>
            </w:pPr>
            <w:r>
              <w:t>15</w:t>
            </w:r>
          </w:p>
        </w:tc>
      </w:tr>
      <w:tr w14:paraId="0141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21A3A847">
            <w:pPr>
              <w:rPr>
                <w:rFonts w:hint="eastAsia"/>
                <w:szCs w:val="21"/>
              </w:rPr>
            </w:pPr>
            <w:r>
              <w:t>南京际华三五二一环保科技有限公司</w:t>
            </w:r>
          </w:p>
        </w:tc>
        <w:tc>
          <w:tcPr>
            <w:tcW w:w="2457" w:type="pct"/>
            <w:shd w:val="clear" w:color="auto" w:fill="auto"/>
          </w:tcPr>
          <w:p w14:paraId="1E7B74ED">
            <w:pPr>
              <w:jc w:val="right"/>
              <w:rPr>
                <w:rFonts w:hint="eastAsia"/>
                <w:szCs w:val="21"/>
              </w:rPr>
            </w:pPr>
            <w:r>
              <w:t>15</w:t>
            </w:r>
          </w:p>
        </w:tc>
      </w:tr>
      <w:tr w14:paraId="2515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4500D574">
            <w:pPr>
              <w:rPr>
                <w:rFonts w:hint="eastAsia"/>
                <w:szCs w:val="21"/>
              </w:rPr>
            </w:pPr>
            <w:r>
              <w:t>际华三五零二职业装有限公司</w:t>
            </w:r>
          </w:p>
        </w:tc>
        <w:tc>
          <w:tcPr>
            <w:tcW w:w="2457" w:type="pct"/>
            <w:shd w:val="clear" w:color="auto" w:fill="auto"/>
          </w:tcPr>
          <w:p w14:paraId="4C098A8C">
            <w:pPr>
              <w:jc w:val="right"/>
              <w:rPr>
                <w:rFonts w:hint="eastAsia"/>
                <w:szCs w:val="21"/>
              </w:rPr>
            </w:pPr>
            <w:r>
              <w:t>15</w:t>
            </w:r>
          </w:p>
        </w:tc>
      </w:tr>
      <w:tr w14:paraId="5143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299280F">
            <w:pPr>
              <w:rPr>
                <w:rFonts w:hint="eastAsia"/>
                <w:szCs w:val="21"/>
              </w:rPr>
            </w:pPr>
            <w:r>
              <w:t>际华三五零六纺织服装有限公司</w:t>
            </w:r>
          </w:p>
        </w:tc>
        <w:tc>
          <w:tcPr>
            <w:tcW w:w="2457" w:type="pct"/>
            <w:shd w:val="clear" w:color="auto" w:fill="auto"/>
          </w:tcPr>
          <w:p w14:paraId="38A29BE5">
            <w:pPr>
              <w:jc w:val="right"/>
              <w:rPr>
                <w:rFonts w:hint="eastAsia"/>
                <w:szCs w:val="21"/>
              </w:rPr>
            </w:pPr>
            <w:r>
              <w:t>15</w:t>
            </w:r>
          </w:p>
        </w:tc>
      </w:tr>
      <w:tr w14:paraId="2D02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230109DA">
            <w:pPr>
              <w:rPr>
                <w:rFonts w:hint="eastAsia"/>
                <w:szCs w:val="21"/>
              </w:rPr>
            </w:pPr>
            <w:r>
              <w:t>际华三五零九纺织有限公司</w:t>
            </w:r>
          </w:p>
        </w:tc>
        <w:tc>
          <w:tcPr>
            <w:tcW w:w="2457" w:type="pct"/>
            <w:shd w:val="clear" w:color="auto" w:fill="auto"/>
          </w:tcPr>
          <w:p w14:paraId="79E3A371">
            <w:pPr>
              <w:jc w:val="right"/>
              <w:rPr>
                <w:rFonts w:hint="eastAsia"/>
                <w:szCs w:val="21"/>
              </w:rPr>
            </w:pPr>
            <w:r>
              <w:t>15</w:t>
            </w:r>
          </w:p>
        </w:tc>
      </w:tr>
      <w:tr w14:paraId="7FEB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47E6CD53">
            <w:pPr>
              <w:rPr>
                <w:rFonts w:hint="eastAsia"/>
                <w:szCs w:val="21"/>
              </w:rPr>
            </w:pPr>
            <w:r>
              <w:t>际华橡胶工业有限公司</w:t>
            </w:r>
          </w:p>
        </w:tc>
        <w:tc>
          <w:tcPr>
            <w:tcW w:w="2457" w:type="pct"/>
            <w:shd w:val="clear" w:color="auto" w:fill="auto"/>
          </w:tcPr>
          <w:p w14:paraId="7C5FBD38">
            <w:pPr>
              <w:jc w:val="right"/>
              <w:rPr>
                <w:rFonts w:hint="eastAsia"/>
                <w:szCs w:val="21"/>
              </w:rPr>
            </w:pPr>
            <w:r>
              <w:t>15</w:t>
            </w:r>
          </w:p>
        </w:tc>
      </w:tr>
      <w:tr w14:paraId="509F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64E52CB">
            <w:pPr>
              <w:rPr>
                <w:rFonts w:hint="eastAsia"/>
                <w:szCs w:val="21"/>
              </w:rPr>
            </w:pPr>
            <w:r>
              <w:t>际华三五一五皮革皮鞋有限公司</w:t>
            </w:r>
          </w:p>
        </w:tc>
        <w:tc>
          <w:tcPr>
            <w:tcW w:w="2457" w:type="pct"/>
            <w:shd w:val="clear" w:color="auto" w:fill="auto"/>
          </w:tcPr>
          <w:p w14:paraId="35CB3AE5">
            <w:pPr>
              <w:jc w:val="right"/>
              <w:rPr>
                <w:rFonts w:hint="eastAsia"/>
                <w:szCs w:val="21"/>
              </w:rPr>
            </w:pPr>
            <w:r>
              <w:t>15</w:t>
            </w:r>
          </w:p>
        </w:tc>
      </w:tr>
      <w:tr w14:paraId="0693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06AD7C53">
            <w:pPr>
              <w:rPr>
                <w:rFonts w:hint="eastAsia"/>
                <w:szCs w:val="21"/>
              </w:rPr>
            </w:pPr>
            <w:r>
              <w:t>际华三五一三实业有限公司</w:t>
            </w:r>
          </w:p>
        </w:tc>
        <w:tc>
          <w:tcPr>
            <w:tcW w:w="2457" w:type="pct"/>
            <w:shd w:val="clear" w:color="auto" w:fill="auto"/>
          </w:tcPr>
          <w:p w14:paraId="4887389F">
            <w:pPr>
              <w:jc w:val="right"/>
              <w:rPr>
                <w:rFonts w:hint="eastAsia"/>
                <w:szCs w:val="21"/>
              </w:rPr>
            </w:pPr>
            <w:r>
              <w:t>15</w:t>
            </w:r>
          </w:p>
        </w:tc>
      </w:tr>
      <w:tr w14:paraId="32E0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5437229">
            <w:pPr>
              <w:rPr>
                <w:rFonts w:hint="eastAsia"/>
                <w:szCs w:val="21"/>
              </w:rPr>
            </w:pPr>
            <w:r>
              <w:t>南京际华三五二一特种装备有限公司</w:t>
            </w:r>
          </w:p>
        </w:tc>
        <w:tc>
          <w:tcPr>
            <w:tcW w:w="2457" w:type="pct"/>
            <w:shd w:val="clear" w:color="auto" w:fill="auto"/>
          </w:tcPr>
          <w:p w14:paraId="377F8A14">
            <w:pPr>
              <w:jc w:val="right"/>
              <w:rPr>
                <w:rFonts w:hint="eastAsia"/>
                <w:szCs w:val="21"/>
              </w:rPr>
            </w:pPr>
            <w:r>
              <w:t>15</w:t>
            </w:r>
          </w:p>
        </w:tc>
      </w:tr>
      <w:tr w14:paraId="4D92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9DAA5D3">
            <w:pPr>
              <w:rPr>
                <w:rFonts w:hint="eastAsia"/>
                <w:szCs w:val="21"/>
              </w:rPr>
            </w:pPr>
            <w:r>
              <w:t>际华三五一四制革制鞋有限公司</w:t>
            </w:r>
          </w:p>
        </w:tc>
        <w:tc>
          <w:tcPr>
            <w:tcW w:w="2457" w:type="pct"/>
            <w:shd w:val="clear" w:color="auto" w:fill="auto"/>
          </w:tcPr>
          <w:p w14:paraId="54189181">
            <w:pPr>
              <w:jc w:val="right"/>
              <w:rPr>
                <w:rFonts w:hint="eastAsia"/>
                <w:szCs w:val="21"/>
              </w:rPr>
            </w:pPr>
            <w:r>
              <w:t>15</w:t>
            </w:r>
          </w:p>
        </w:tc>
      </w:tr>
      <w:tr w14:paraId="3041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14C7284B">
            <w:pPr>
              <w:rPr>
                <w:rFonts w:hint="eastAsia"/>
                <w:szCs w:val="21"/>
              </w:rPr>
            </w:pPr>
            <w:r>
              <w:t>际华三五三九制鞋有限公司</w:t>
            </w:r>
          </w:p>
        </w:tc>
        <w:tc>
          <w:tcPr>
            <w:tcW w:w="2457" w:type="pct"/>
            <w:shd w:val="clear" w:color="auto" w:fill="auto"/>
          </w:tcPr>
          <w:p w14:paraId="3761713B">
            <w:pPr>
              <w:jc w:val="right"/>
              <w:rPr>
                <w:rFonts w:hint="eastAsia"/>
                <w:szCs w:val="21"/>
              </w:rPr>
            </w:pPr>
            <w:r>
              <w:t>15</w:t>
            </w:r>
          </w:p>
        </w:tc>
      </w:tr>
      <w:tr w14:paraId="4346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63028E0F">
            <w:pPr>
              <w:rPr>
                <w:rFonts w:hint="eastAsia"/>
                <w:szCs w:val="21"/>
              </w:rPr>
            </w:pPr>
            <w:r>
              <w:t>际华三五三四制衣有限公司</w:t>
            </w:r>
          </w:p>
        </w:tc>
        <w:tc>
          <w:tcPr>
            <w:tcW w:w="2457" w:type="pct"/>
            <w:shd w:val="clear" w:color="auto" w:fill="auto"/>
          </w:tcPr>
          <w:p w14:paraId="7410CAEF">
            <w:pPr>
              <w:jc w:val="right"/>
              <w:rPr>
                <w:rFonts w:hint="eastAsia"/>
                <w:szCs w:val="21"/>
              </w:rPr>
            </w:pPr>
            <w:r>
              <w:t>15</w:t>
            </w:r>
          </w:p>
        </w:tc>
      </w:tr>
      <w:tr w14:paraId="12D7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60C71B4">
            <w:pPr>
              <w:rPr>
                <w:rFonts w:hint="eastAsia"/>
                <w:szCs w:val="21"/>
              </w:rPr>
            </w:pPr>
            <w:r>
              <w:t>呼图壁县万源棉业有限公司</w:t>
            </w:r>
          </w:p>
        </w:tc>
        <w:tc>
          <w:tcPr>
            <w:tcW w:w="2457" w:type="pct"/>
            <w:shd w:val="clear" w:color="auto" w:fill="auto"/>
          </w:tcPr>
          <w:p w14:paraId="5672F2BC">
            <w:pPr>
              <w:jc w:val="right"/>
              <w:rPr>
                <w:rFonts w:hint="eastAsia"/>
                <w:szCs w:val="21"/>
              </w:rPr>
            </w:pPr>
            <w:r>
              <w:t>农产品加工免征企业所得税</w:t>
            </w:r>
          </w:p>
        </w:tc>
      </w:tr>
      <w:tr w14:paraId="04FD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5E8D14EF">
            <w:pPr>
              <w:rPr>
                <w:rFonts w:hint="eastAsia"/>
                <w:szCs w:val="21"/>
              </w:rPr>
            </w:pPr>
            <w:r>
              <w:t>际华海外投资有限公司</w:t>
            </w:r>
          </w:p>
        </w:tc>
        <w:tc>
          <w:tcPr>
            <w:tcW w:w="2457" w:type="pct"/>
            <w:shd w:val="clear" w:color="auto" w:fill="auto"/>
          </w:tcPr>
          <w:p w14:paraId="6568EA9D">
            <w:pPr>
              <w:jc w:val="right"/>
              <w:rPr>
                <w:rFonts w:hint="eastAsia"/>
                <w:szCs w:val="21"/>
              </w:rPr>
            </w:pPr>
            <w:r>
              <w:t>16.5</w:t>
            </w:r>
          </w:p>
        </w:tc>
      </w:tr>
      <w:tr w14:paraId="5758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0D671C42">
            <w:pPr>
              <w:rPr>
                <w:rFonts w:hint="eastAsia"/>
                <w:szCs w:val="21"/>
              </w:rPr>
            </w:pPr>
            <w:r>
              <w:t>新疆际华科技产业发展有限公司</w:t>
            </w:r>
          </w:p>
        </w:tc>
        <w:tc>
          <w:tcPr>
            <w:tcW w:w="2457" w:type="pct"/>
            <w:shd w:val="clear" w:color="auto" w:fill="auto"/>
          </w:tcPr>
          <w:p w14:paraId="47B3C9F9">
            <w:pPr>
              <w:jc w:val="right"/>
              <w:rPr>
                <w:rFonts w:hint="eastAsia"/>
                <w:szCs w:val="21"/>
              </w:rPr>
            </w:pPr>
            <w:r>
              <w:t>20</w:t>
            </w:r>
          </w:p>
        </w:tc>
      </w:tr>
      <w:tr w14:paraId="46E3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6ABFA370">
            <w:pPr>
              <w:rPr>
                <w:rFonts w:hint="eastAsia"/>
                <w:szCs w:val="21"/>
              </w:rPr>
            </w:pPr>
            <w:r>
              <w:t>南京际华五三零二服饰装具有限责任公司</w:t>
            </w:r>
          </w:p>
        </w:tc>
        <w:tc>
          <w:tcPr>
            <w:tcW w:w="2457" w:type="pct"/>
            <w:shd w:val="clear" w:color="auto" w:fill="auto"/>
          </w:tcPr>
          <w:p w14:paraId="54EDEE81">
            <w:pPr>
              <w:jc w:val="right"/>
              <w:rPr>
                <w:rFonts w:hint="eastAsia"/>
                <w:szCs w:val="21"/>
              </w:rPr>
            </w:pPr>
            <w:r>
              <w:t>15</w:t>
            </w:r>
          </w:p>
        </w:tc>
      </w:tr>
      <w:tr w14:paraId="0553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29E9D442">
            <w:pPr>
              <w:rPr>
                <w:rFonts w:hint="eastAsia"/>
                <w:szCs w:val="21"/>
              </w:rPr>
            </w:pPr>
            <w:r>
              <w:t>南京际华国润过滤技术有限公司</w:t>
            </w:r>
          </w:p>
        </w:tc>
        <w:tc>
          <w:tcPr>
            <w:tcW w:w="2457" w:type="pct"/>
            <w:shd w:val="clear" w:color="auto" w:fill="auto"/>
          </w:tcPr>
          <w:p w14:paraId="0A80AC04">
            <w:pPr>
              <w:jc w:val="right"/>
              <w:rPr>
                <w:rFonts w:hint="eastAsia"/>
                <w:szCs w:val="21"/>
              </w:rPr>
            </w:pPr>
            <w:r>
              <w:t>20</w:t>
            </w:r>
          </w:p>
        </w:tc>
      </w:tr>
      <w:tr w14:paraId="3338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79E8A8C9">
            <w:pPr>
              <w:rPr>
                <w:rFonts w:hint="eastAsia"/>
                <w:szCs w:val="21"/>
              </w:rPr>
            </w:pPr>
            <w:r>
              <w:t>新兴际华国际贸易（天津）有限公司</w:t>
            </w:r>
          </w:p>
        </w:tc>
        <w:tc>
          <w:tcPr>
            <w:tcW w:w="2457" w:type="pct"/>
            <w:shd w:val="clear" w:color="auto" w:fill="auto"/>
          </w:tcPr>
          <w:p w14:paraId="6DA021AD">
            <w:pPr>
              <w:jc w:val="right"/>
              <w:rPr>
                <w:rFonts w:hint="eastAsia"/>
                <w:szCs w:val="21"/>
              </w:rPr>
            </w:pPr>
            <w:r>
              <w:t>20</w:t>
            </w:r>
          </w:p>
        </w:tc>
      </w:tr>
      <w:tr w14:paraId="12A6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589F145">
            <w:pPr>
              <w:rPr>
                <w:rFonts w:hint="eastAsia"/>
                <w:szCs w:val="21"/>
              </w:rPr>
            </w:pPr>
            <w:r>
              <w:t>际华（内蒙古）新能源发展有限公司</w:t>
            </w:r>
          </w:p>
        </w:tc>
        <w:tc>
          <w:tcPr>
            <w:tcW w:w="2457" w:type="pct"/>
            <w:shd w:val="clear" w:color="auto" w:fill="auto"/>
          </w:tcPr>
          <w:p w14:paraId="07F9BBD0">
            <w:pPr>
              <w:jc w:val="right"/>
              <w:rPr>
                <w:rFonts w:hint="eastAsia"/>
                <w:szCs w:val="21"/>
              </w:rPr>
            </w:pPr>
            <w:r>
              <w:t>20</w:t>
            </w:r>
          </w:p>
        </w:tc>
      </w:tr>
      <w:tr w14:paraId="5609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22835B18">
            <w:pPr>
              <w:rPr>
                <w:rFonts w:hint="eastAsia"/>
                <w:szCs w:val="21"/>
              </w:rPr>
            </w:pPr>
            <w:r>
              <w:rPr>
                <w:rFonts w:hint="eastAsia"/>
                <w:szCs w:val="21"/>
              </w:rPr>
              <w:t>南京际华三五〇三服装有限公司</w:t>
            </w:r>
          </w:p>
        </w:tc>
        <w:tc>
          <w:tcPr>
            <w:tcW w:w="2457" w:type="pct"/>
            <w:shd w:val="clear" w:color="auto" w:fill="auto"/>
          </w:tcPr>
          <w:p w14:paraId="244A6B75">
            <w:pPr>
              <w:jc w:val="right"/>
              <w:rPr>
                <w:rFonts w:hint="eastAsia"/>
                <w:szCs w:val="21"/>
              </w:rPr>
            </w:pPr>
            <w:r>
              <w:rPr>
                <w:rFonts w:hint="eastAsia"/>
                <w:szCs w:val="21"/>
              </w:rPr>
              <w:t>15</w:t>
            </w:r>
          </w:p>
        </w:tc>
      </w:tr>
      <w:tr w14:paraId="7950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3" w:type="pct"/>
            <w:shd w:val="clear" w:color="auto" w:fill="auto"/>
            <w:vAlign w:val="center"/>
          </w:tcPr>
          <w:p w14:paraId="3787D368">
            <w:pPr>
              <w:rPr>
                <w:rFonts w:hint="eastAsia"/>
                <w:szCs w:val="21"/>
              </w:rPr>
            </w:pPr>
            <w:r>
              <w:t>除上述以外的其他纳税主体</w:t>
            </w:r>
          </w:p>
        </w:tc>
        <w:tc>
          <w:tcPr>
            <w:tcW w:w="2457" w:type="pct"/>
            <w:shd w:val="clear" w:color="auto" w:fill="auto"/>
          </w:tcPr>
          <w:p w14:paraId="70C60F93">
            <w:pPr>
              <w:jc w:val="right"/>
              <w:rPr>
                <w:rFonts w:hint="eastAsia"/>
                <w:szCs w:val="21"/>
              </w:rPr>
            </w:pPr>
            <w:r>
              <w:t>25</w:t>
            </w:r>
          </w:p>
        </w:tc>
      </w:tr>
    </w:tbl>
    <w:p w14:paraId="1659809A">
      <w:pPr>
        <w:rPr>
          <w:rFonts w:hint="eastAsia"/>
        </w:rPr>
      </w:pPr>
    </w:p>
    <w:p w14:paraId="52FBEDB3">
      <w:pPr>
        <w:pStyle w:val="70"/>
        <w:numPr>
          <w:ilvl w:val="0"/>
          <w:numId w:val="108"/>
        </w:numPr>
        <w:tabs>
          <w:tab w:val="left" w:pos="546"/>
        </w:tabs>
      </w:pPr>
      <w:r>
        <w:t>税收优惠</w:t>
      </w:r>
    </w:p>
    <w:sdt>
      <w:sdtPr>
        <w:rPr>
          <w:rFonts w:hint="eastAsia"/>
          <w:szCs w:val="21"/>
        </w:rPr>
        <w:alias w:val="是否适用：税收优惠[双击切换]"/>
        <w:tag w:val="_GBC_7b649dcf8ab54475bffc51edb3c33588"/>
        <w:id w:val="-1563639312"/>
        <w:placeholder>
          <w:docPart w:val="GBC22222222222222222222222222222"/>
        </w:placeholder>
      </w:sdtPr>
      <w:sdtEndPr>
        <w:rPr>
          <w:rFonts w:hint="eastAsia"/>
          <w:szCs w:val="21"/>
        </w:rPr>
      </w:sdtEndPr>
      <w:sdtContent>
        <w:p w14:paraId="25DAD57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957721191"/>
        <w:placeholder>
          <w:docPart w:val="GBC22222222222222222222222222222"/>
        </w:placeholder>
      </w:sdtPr>
      <w:sdtEndPr>
        <w:rPr>
          <w:rFonts w:hint="eastAsia"/>
          <w:szCs w:val="21"/>
        </w:rPr>
      </w:sdtEndPr>
      <w:sdtContent>
        <w:p w14:paraId="1951D5FE">
          <w:pPr>
            <w:ind w:firstLine="420" w:firstLineChars="200"/>
            <w:rPr>
              <w:rFonts w:hint="eastAsia"/>
              <w:szCs w:val="21"/>
            </w:rPr>
          </w:pPr>
          <w:r>
            <w:rPr>
              <w:rFonts w:hint="eastAsia"/>
              <w:szCs w:val="21"/>
            </w:rPr>
            <w:t>（1）符合西部大开发有关税收优惠政策的规定</w:t>
          </w:r>
        </w:p>
        <w:p w14:paraId="738B2B31">
          <w:pPr>
            <w:ind w:firstLine="420" w:firstLineChars="200"/>
            <w:rPr>
              <w:rFonts w:hint="eastAsia"/>
              <w:szCs w:val="21"/>
            </w:rPr>
          </w:pPr>
          <w:r>
            <w:rPr>
              <w:rFonts w:hint="eastAsia"/>
              <w:szCs w:val="21"/>
            </w:rPr>
            <w:t>1）根据《关于延续西部大开发企业所得税政策的公告》（财政部、税务总局、国家发展改革委公告2020年第23号），本公司子公司内蒙古际华森普利服装皮业有限公司享受西部大开发企业所得税优惠（减按15%税率征收）政策。</w:t>
          </w:r>
        </w:p>
        <w:p w14:paraId="3D04E04D">
          <w:pPr>
            <w:ind w:firstLine="420" w:firstLineChars="200"/>
            <w:rPr>
              <w:rFonts w:hint="eastAsia"/>
              <w:szCs w:val="21"/>
            </w:rPr>
          </w:pPr>
          <w:r>
            <w:rPr>
              <w:rFonts w:hint="eastAsia"/>
              <w:szCs w:val="21"/>
            </w:rPr>
            <w:t>2）根据《关于延续西部大开发企业所得税政策的公告》（财政部、税务总局、国家发展改革委公告2020年第23号），本公司子公司际华三五三六实业有限公司享受西部大开发企业所得税优惠（减按15%税率征收）政策。</w:t>
          </w:r>
        </w:p>
        <w:p w14:paraId="7F1DBA38">
          <w:pPr>
            <w:ind w:firstLine="420" w:firstLineChars="200"/>
            <w:rPr>
              <w:rFonts w:hint="eastAsia"/>
              <w:szCs w:val="21"/>
            </w:rPr>
          </w:pPr>
          <w:r>
            <w:rPr>
              <w:rFonts w:hint="eastAsia"/>
              <w:szCs w:val="21"/>
            </w:rPr>
            <w:t>3）根据《关于延续西部大开发企业所得税政策的公告》（财政部、税务总局、国家发展改革委公告2020年第23号），本公司子公司际华三五一二皮革服装有限公司享受西部大开发企业所得税优惠（减按15%税率征收）的政策。</w:t>
          </w:r>
        </w:p>
        <w:p w14:paraId="327DE4CA">
          <w:pPr>
            <w:ind w:firstLine="420" w:firstLineChars="200"/>
            <w:rPr>
              <w:rFonts w:hint="eastAsia"/>
              <w:szCs w:val="21"/>
            </w:rPr>
          </w:pPr>
          <w:r>
            <w:rPr>
              <w:rFonts w:hint="eastAsia"/>
              <w:szCs w:val="21"/>
            </w:rPr>
            <w:t>4）根据《关于延续西部大开发企业所得税政策的公告》（财政部、税务总局、国家发展改革委公告2020年第23号），本公司子公司新疆际华七五五五职业装有限公司享受西部大开发企业所得税优惠（减按15%税率征收）的政策。</w:t>
          </w:r>
        </w:p>
        <w:p w14:paraId="22BEE955">
          <w:pPr>
            <w:ind w:firstLine="420" w:firstLineChars="200"/>
            <w:rPr>
              <w:rFonts w:hint="eastAsia"/>
              <w:szCs w:val="21"/>
            </w:rPr>
          </w:pPr>
          <w:r>
            <w:rPr>
              <w:rFonts w:hint="eastAsia"/>
              <w:szCs w:val="21"/>
            </w:rPr>
            <w:t>（2）符合高新技术企业有关税收优惠政策的规定</w:t>
          </w:r>
        </w:p>
        <w:p w14:paraId="110A3474">
          <w:pPr>
            <w:ind w:firstLine="420" w:firstLineChars="200"/>
            <w:rPr>
              <w:rFonts w:hint="eastAsia"/>
              <w:szCs w:val="21"/>
            </w:rPr>
          </w:pPr>
          <w:r>
            <w:rPr>
              <w:rFonts w:hint="eastAsia"/>
              <w:szCs w:val="21"/>
            </w:rPr>
            <w:t>1）根据《高新技术企业认定管理办法》（国科发火〔2016〕32号）和《高新技术企业认定管理工作指引》（国科发火〔2016〕195号）有关规定，本公司子公司际华三五四二纺织有限公司被认定为高新技术企业，2023年通过复审，高新技术企业证书编号：GR202342007498，2023年至2025年企业所得税按15%计征。</w:t>
          </w:r>
        </w:p>
        <w:p w14:paraId="4F8B000F">
          <w:pPr>
            <w:ind w:firstLine="420" w:firstLineChars="200"/>
            <w:rPr>
              <w:rFonts w:hint="eastAsia"/>
              <w:szCs w:val="21"/>
            </w:rPr>
          </w:pPr>
          <w:r>
            <w:rPr>
              <w:rFonts w:hint="eastAsia"/>
              <w:szCs w:val="21"/>
            </w:rPr>
            <w:t>2）根据河北省高新技术企业认定管理工作领导小组冀高认（2018）1号文件的通知，本公司子公司际华三五四三针织服饰有限公司高新技术企业资格认定通过，并发放了新的高新技术企业证书，证书编号（GR202013001783），有效期三年，2023年通过复审，证书编号：GR202313000498。公司自2023年起至2025年按照15%税率征收企业所得税。</w:t>
          </w:r>
        </w:p>
        <w:p w14:paraId="228E28F3">
          <w:pPr>
            <w:ind w:firstLine="420" w:firstLineChars="200"/>
            <w:rPr>
              <w:rFonts w:hint="eastAsia"/>
              <w:szCs w:val="21"/>
            </w:rPr>
          </w:pPr>
          <w:r>
            <w:rPr>
              <w:rFonts w:hint="eastAsia"/>
              <w:szCs w:val="21"/>
            </w:rPr>
            <w:t>3）际华三五四三针织服饰有限公司子公司湖北际华针织有限公司高新技术企业资格认定通过，并发放了新的高新技术企业证书，证书编号（GR202042004160），有效期三年。2023年通过复审，证书编号：GR202342000781。公司自2023年起至2025年按照15%税率征收企业所得税。</w:t>
          </w:r>
        </w:p>
        <w:p w14:paraId="42C5C287">
          <w:pPr>
            <w:ind w:firstLine="420" w:firstLineChars="200"/>
            <w:rPr>
              <w:rFonts w:hint="eastAsia"/>
              <w:szCs w:val="21"/>
            </w:rPr>
          </w:pPr>
          <w:r>
            <w:rPr>
              <w:rFonts w:hint="eastAsia"/>
              <w:szCs w:val="21"/>
            </w:rPr>
            <w:t>4）本公司子公司际华三五二二装具饰品有限公司被认定为天津市2008年第三批高新技术企业， 2023年12月8日通过复审，高新技术企业证书号：GR202312003470，企业所得税减按15%计征。</w:t>
          </w:r>
        </w:p>
        <w:p w14:paraId="37C47D20">
          <w:pPr>
            <w:ind w:firstLine="420" w:firstLineChars="200"/>
            <w:rPr>
              <w:rFonts w:hint="eastAsia"/>
              <w:szCs w:val="21"/>
            </w:rPr>
          </w:pPr>
          <w:r>
            <w:rPr>
              <w:rFonts w:hint="eastAsia"/>
              <w:szCs w:val="21"/>
            </w:rPr>
            <w:t>5）本公司子公司南京际华三五二一环保科技有限公司2018年11月28日取得高新技术企业证书，</w:t>
          </w:r>
          <w:bookmarkStart w:id="234" w:name="OLE_LINK7"/>
          <w:r>
            <w:rPr>
              <w:rFonts w:hint="eastAsia"/>
              <w:szCs w:val="21"/>
            </w:rPr>
            <w:t>2024年12月通过复审，</w:t>
          </w:r>
          <w:bookmarkEnd w:id="234"/>
          <w:r>
            <w:rPr>
              <w:rFonts w:hint="eastAsia"/>
              <w:szCs w:val="21"/>
            </w:rPr>
            <w:t>高新技术企业证书编号： GR202432015161，企业所得税减按15%计征。</w:t>
          </w:r>
        </w:p>
        <w:p w14:paraId="0801046D">
          <w:pPr>
            <w:ind w:firstLine="420" w:firstLineChars="200"/>
            <w:rPr>
              <w:rFonts w:hint="eastAsia"/>
              <w:szCs w:val="21"/>
            </w:rPr>
          </w:pPr>
          <w:r>
            <w:rPr>
              <w:rFonts w:hint="eastAsia"/>
              <w:szCs w:val="21"/>
            </w:rPr>
            <w:t>6）本公司子公司际华三五零二职业装有限公司2020年11月5日取得河北省科学技术厅、财政厅、税务局颁发的证书编号为GR202013002361号高新技术企业证书，有效期3年，2023年通过复审，证书编号：GR202313000806，按照税法规定企业所得税享受15%的优惠税率。</w:t>
          </w:r>
        </w:p>
        <w:p w14:paraId="2A138E3C">
          <w:pPr>
            <w:ind w:firstLine="420" w:firstLineChars="200"/>
            <w:rPr>
              <w:rFonts w:hint="eastAsia"/>
              <w:szCs w:val="21"/>
            </w:rPr>
          </w:pPr>
          <w:r>
            <w:rPr>
              <w:rFonts w:hint="eastAsia"/>
              <w:szCs w:val="21"/>
            </w:rPr>
            <w:t>7）本公司子公司际华三五零九纺织有限公司2018年11月15日获得由湖北省科学技术厅、湖北省财政厅和湖北省税务局联合下发的高新技术企业证书，证书编号GR201842000589，有效期为期三年，企业所得税减按15%计征。2021年重新认定为高新技术企业，证书编号GR202142004969。</w:t>
          </w:r>
        </w:p>
        <w:p w14:paraId="4B4455F5">
          <w:pPr>
            <w:ind w:firstLine="420" w:firstLineChars="200"/>
            <w:rPr>
              <w:rFonts w:hint="eastAsia"/>
              <w:szCs w:val="21"/>
            </w:rPr>
          </w:pPr>
          <w:r>
            <w:rPr>
              <w:rFonts w:hint="eastAsia"/>
              <w:szCs w:val="21"/>
            </w:rPr>
            <w:t>8）本公司子公司际华橡胶工业有限公司于2019年9月被认定为高新技术企业，企业所得税减按15%计征，有效期三年。2022年到期后重新认定为高新技术企业，证书编号GR202243000909。</w:t>
          </w:r>
        </w:p>
        <w:p w14:paraId="17A280C2">
          <w:pPr>
            <w:ind w:firstLine="420" w:firstLineChars="200"/>
            <w:rPr>
              <w:rFonts w:hint="eastAsia"/>
              <w:szCs w:val="21"/>
            </w:rPr>
          </w:pPr>
          <w:r>
            <w:rPr>
              <w:rFonts w:hint="eastAsia"/>
              <w:szCs w:val="21"/>
            </w:rPr>
            <w:t>9）本公司子公司际华三五三四制衣有限公司于2022年经山西省科学技术厅、山西省财政厅、国家税务总局山西省税务局认定为高新技术企业，有效期三年，证书编号为：GR202214000959。该公司2022年至2024年企业所得税减按15%计征。</w:t>
          </w:r>
        </w:p>
        <w:p w14:paraId="50324367">
          <w:pPr>
            <w:ind w:firstLine="420" w:firstLineChars="200"/>
            <w:rPr>
              <w:rFonts w:hint="eastAsia"/>
              <w:szCs w:val="21"/>
            </w:rPr>
          </w:pPr>
          <w:r>
            <w:rPr>
              <w:rFonts w:hint="eastAsia"/>
              <w:szCs w:val="21"/>
            </w:rPr>
            <w:t>10）本公司子公司际华三五一五皮革皮鞋有限公司于2020年经河南省科技厅、河南省财政厅、河南省税务局组织认定为高新技术企业，2023年通过复审，证书编号: GR202341001069。该公司2023年至2025年企业所得税减按15%计征。</w:t>
          </w:r>
        </w:p>
        <w:p w14:paraId="3350B7B6">
          <w:pPr>
            <w:ind w:firstLine="420" w:firstLineChars="200"/>
            <w:rPr>
              <w:rFonts w:hint="eastAsia"/>
              <w:szCs w:val="21"/>
            </w:rPr>
          </w:pPr>
          <w:r>
            <w:rPr>
              <w:rFonts w:hint="eastAsia"/>
              <w:szCs w:val="21"/>
            </w:rPr>
            <w:t>11）本公司子公司际华三五一三实业有限公司于2016年经陕西省科技厅、陕西省财政厅、陕西省税务局组织认定为高新技术企业，2022年11月证书到期后已重新申请成功，于2022年11月4日取得高新技术企业证书，有效期三年，证书编号：GR202261002065，企业所得税减按15%计征。</w:t>
          </w:r>
        </w:p>
        <w:p w14:paraId="3AA48D2C">
          <w:pPr>
            <w:ind w:firstLine="420" w:firstLineChars="200"/>
            <w:rPr>
              <w:rFonts w:hint="eastAsia"/>
              <w:szCs w:val="21"/>
            </w:rPr>
          </w:pPr>
          <w:r>
            <w:rPr>
              <w:rFonts w:hint="eastAsia"/>
              <w:szCs w:val="21"/>
            </w:rPr>
            <w:t>12）本公司子公司南京际华三五二一特种装备有限公司2019年11月7日取得高新技术企业证书，有效期三年。高新技术企业证书编号：GR201932000761。2022年10月证书到期后已重新申请成功，证书编号：GR202232000009，企业所得税减按15%计征。</w:t>
          </w:r>
        </w:p>
        <w:p w14:paraId="7C40887F">
          <w:pPr>
            <w:ind w:firstLine="420" w:firstLineChars="200"/>
            <w:rPr>
              <w:rFonts w:hint="eastAsia"/>
              <w:szCs w:val="21"/>
            </w:rPr>
          </w:pPr>
          <w:r>
            <w:rPr>
              <w:rFonts w:hint="eastAsia"/>
              <w:szCs w:val="21"/>
            </w:rPr>
            <w:t>13）本公司子公司际华三五一四制革制鞋有限公司于2020年经河北省科技厅、河北省财政厅、河北省税务局组织认定为高新技术企业， 2023年通过复审，高新技术企业证书编号：GR202313001687。该公司2023年至2025年企业所得税减按15%计征。</w:t>
          </w:r>
        </w:p>
        <w:p w14:paraId="0AA7FC5C">
          <w:pPr>
            <w:ind w:firstLine="420" w:firstLineChars="200"/>
            <w:rPr>
              <w:rFonts w:hint="eastAsia"/>
              <w:szCs w:val="21"/>
            </w:rPr>
          </w:pPr>
          <w:r>
            <w:rPr>
              <w:rFonts w:hint="eastAsia"/>
              <w:szCs w:val="21"/>
            </w:rPr>
            <w:t>14）本公司子公司际华三五三九制鞋有限公司于2020年10月9日经重庆市科学技术委员会、重庆市财政局、重庆市税务局联合认定为高新技术企业，证书编号为GR202051100278，有效期三年。2023年通过复审，证书编号：GR202351102571。该公司减按15%的税率计缴企业所得税。</w:t>
          </w:r>
        </w:p>
        <w:p w14:paraId="69890513">
          <w:pPr>
            <w:ind w:firstLine="420" w:firstLineChars="200"/>
            <w:rPr>
              <w:rFonts w:hint="eastAsia"/>
              <w:szCs w:val="21"/>
            </w:rPr>
          </w:pPr>
          <w:r>
            <w:rPr>
              <w:rFonts w:hint="eastAsia"/>
              <w:szCs w:val="21"/>
            </w:rPr>
            <w:t>15）本公司子公司际华三五零六纺织服装有限公司于2021年12月3日经湖北省科学技术厅、湖北省财政厅、国家税务总局湖北省税务局联合认定为高新技术企业，证书编号为GR202142004732，有效期三年，该公司企业所得税减按15%计征。</w:t>
          </w:r>
        </w:p>
        <w:p w14:paraId="489497D2">
          <w:pPr>
            <w:ind w:firstLine="420" w:firstLineChars="200"/>
            <w:rPr>
              <w:rFonts w:hint="eastAsia"/>
              <w:szCs w:val="21"/>
            </w:rPr>
          </w:pPr>
          <w:r>
            <w:rPr>
              <w:rFonts w:hint="eastAsia"/>
              <w:szCs w:val="21"/>
            </w:rPr>
            <w:t>16）本公司子公司际华制鞋工业有限公司于2021年11月15日经贵州省科学技术厅、贵州省财政厅、国家税务总局贵州省税务局联合认定为高新技术企业，2024年12月通过复审，证书编号为GR202452000130，有效期三年，企业所得税减按15%计征。</w:t>
          </w:r>
        </w:p>
        <w:p w14:paraId="07913F0A">
          <w:pPr>
            <w:ind w:firstLine="420" w:firstLineChars="200"/>
            <w:rPr>
              <w:rFonts w:hint="eastAsia"/>
              <w:szCs w:val="21"/>
            </w:rPr>
          </w:pPr>
          <w:r>
            <w:rPr>
              <w:rFonts w:hint="eastAsia"/>
              <w:szCs w:val="21"/>
            </w:rPr>
            <w:t>17）本公司子公司南京际华五三零二服饰装具有限责任公司2023年12月13日取得高新技术企业证书，高新技术企业证书编号：GR202332009848，有效期三年。该公司2023年至2025年企业所得税减按15%计征。</w:t>
          </w:r>
        </w:p>
        <w:p w14:paraId="445EF342">
          <w:pPr>
            <w:ind w:firstLine="420" w:firstLineChars="200"/>
            <w:rPr>
              <w:rFonts w:hint="eastAsia"/>
              <w:szCs w:val="21"/>
            </w:rPr>
          </w:pPr>
          <w:r>
            <w:rPr>
              <w:rFonts w:hint="eastAsia"/>
              <w:szCs w:val="21"/>
            </w:rPr>
            <w:t>18）本公司子公司南京际华三五〇三服装有限公司2024年12月16日取得高新技术企业证书，高新技术企业证书编号：GR202432011287，有效期三年，企业所得税减按15%计征。</w:t>
          </w:r>
        </w:p>
        <w:p w14:paraId="27D03073">
          <w:pPr>
            <w:ind w:firstLine="420" w:firstLineChars="200"/>
            <w:rPr>
              <w:rFonts w:hint="eastAsia"/>
              <w:szCs w:val="21"/>
            </w:rPr>
          </w:pPr>
        </w:p>
        <w:p w14:paraId="6A2C1DC0">
          <w:pPr>
            <w:ind w:firstLine="420" w:firstLineChars="200"/>
            <w:rPr>
              <w:rFonts w:hint="eastAsia"/>
              <w:szCs w:val="21"/>
            </w:rPr>
          </w:pPr>
          <w:r>
            <w:rPr>
              <w:rFonts w:hint="eastAsia"/>
              <w:szCs w:val="21"/>
            </w:rPr>
            <w:t>（3）符合减免税有关税收优惠政策的规定</w:t>
          </w:r>
        </w:p>
        <w:p w14:paraId="397E34A7">
          <w:pPr>
            <w:ind w:firstLine="420" w:firstLineChars="200"/>
            <w:rPr>
              <w:rFonts w:hint="eastAsia"/>
              <w:szCs w:val="21"/>
            </w:rPr>
          </w:pPr>
          <w:r>
            <w:rPr>
              <w:rFonts w:hint="eastAsia"/>
              <w:szCs w:val="21"/>
            </w:rPr>
            <w:t>1）据财税[2008]149号文件《关于发布享受企业所得税优惠政策的农产品初加工范围（试行）的通知》，本公司子公司呼图壁县万源棉业有限公司属于免征农产品加工企业所得税的范围，免征农产品加工企业所得税。企业所得税减免有效期为：2008年1月1日至2024年9月30日。</w:t>
          </w:r>
        </w:p>
        <w:p w14:paraId="39B6C5B5">
          <w:pPr>
            <w:ind w:firstLine="420" w:firstLineChars="200"/>
            <w:rPr>
              <w:rFonts w:hint="eastAsia"/>
              <w:szCs w:val="21"/>
            </w:rPr>
          </w:pPr>
          <w:r>
            <w:rPr>
              <w:rFonts w:hint="eastAsia"/>
              <w:szCs w:val="21"/>
            </w:rPr>
            <w:t>2）据《财政部 税务总局关于小微企业和个体工商户所得税优惠政策的公告》（财政部 税务总局公告2023年第6号）、《财政部税务总局关于进一步实施小微企业所得税优惠政策的公告》（财政部税务总局公告2022 年第13号）等规定，从2023年1月1日至2024年12月31日，年应纳税所得额不超过100万元的部分，减按25%计入应纳税所得额，按20%的税率缴纳企业所得税；自2022年1月1日至2024年12月31日，对小型微利企业应纳税所得额超过100万元但不超过 300 万元的部分，减按 25%计入应纳税所得额，按20%的税率缴纳企业所得税。据《财政部税务总局关于进一步支持小微企业和个体工商户发展有关税费政策的公告》（财政部税务总局公告2023年第12号）：自2023年1月1日至2027年12月31日，对增值税小规模纳税人、小型微利企业和个体工商户减半征收资源税(不含水资源税)、城市维护建设税、房产税、城镇土地使用税、印花税(不含证券交易印花税)、耕地占用税和教育费附加、地方教育附加。</w:t>
          </w:r>
        </w:p>
        <w:p w14:paraId="33CB7ED5">
          <w:pPr>
            <w:ind w:firstLine="420" w:firstLineChars="200"/>
            <w:rPr>
              <w:rFonts w:hint="eastAsia"/>
              <w:szCs w:val="21"/>
            </w:rPr>
          </w:pPr>
          <w:r>
            <w:rPr>
              <w:rFonts w:hint="eastAsia"/>
              <w:szCs w:val="21"/>
            </w:rPr>
            <w:t>本公司子公司新疆际华科技产业发展有限公司、南京际华国润过滤技术有限公司、新兴际华国际贸易（天津）有限公司、际华（内蒙古）新能源发展有限公司本年度符合小型微利企业标准，享受小微企业税收优惠。</w:t>
          </w:r>
        </w:p>
        <w:p w14:paraId="20CD6F32">
          <w:pPr>
            <w:ind w:firstLine="420" w:firstLineChars="200"/>
            <w:rPr>
              <w:rFonts w:hint="eastAsia"/>
              <w:szCs w:val="21"/>
            </w:rPr>
          </w:pPr>
          <w:r>
            <w:rPr>
              <w:rFonts w:hint="eastAsia"/>
              <w:szCs w:val="21"/>
            </w:rPr>
            <w:t>3）据《财政部税务总局关于先进制造业企业增值税加计抵减政策的公告》（财政部税务总局公告2023年第43号），自2023年1月1日至2027年12月31日，允许先进制造业企业按照当期可抵扣进项税额加计5%抵减应纳增值税税额。本公司子公司际华三五零二职业装有限公司、际华三五零六纺织服装有限公司、际华三五一二皮革服装有限公司、际华三五一三实业有限公司、际华三五一四制革制鞋有限公司、际华三五一五皮革皮鞋有限公司、南京际华三五二一特种装备有限公司、南京际华三五二一环保科技有限公司、际华三五零九纺织有限公司、际华三五四二纺织有限公司、际华三五三四制衣有限公司、际华三五三六实业有限公司、际华三五四三针织服饰有限公司、湖北际华针织有限公司、新疆际华七五五五职业装有限公司、际华三五二二装具饰品有限公司，享受上述增值税加计抵减优惠政策。</w:t>
          </w:r>
        </w:p>
        <w:p w14:paraId="573B8C6B">
          <w:pPr>
            <w:ind w:firstLine="420" w:firstLineChars="200"/>
            <w:rPr>
              <w:rFonts w:hint="eastAsia"/>
              <w:szCs w:val="21"/>
            </w:rPr>
          </w:pPr>
          <w:r>
            <w:rPr>
              <w:rFonts w:hint="eastAsia"/>
              <w:szCs w:val="21"/>
            </w:rPr>
            <w:t>4）据《关于进一步扶持自主就业退役士兵创业就业有关税收政策的公告》（财政部 税务总局 退役军人事务部公告2023年第14号），自2023年1月1日至2027年12月31日，企业招用自主就业退役士兵，与其签订1年以上期限劳动合同并依法缴纳社会保险费的，自签订劳动合同并缴纳社会保险当月起，在3年内按实际招用人数予以定额依次扣减增值税、城市维护建设税、教育费附加、地方教育附加和企业所得税优惠。定额标准为每人每年6,000元，最高可上浮 50%，各省、自治区、直辖市人民政府可根据本地区实际情况在此幅度内确定具体定额标准。本公司子公司际华三五零六纺织服装有限公司、南京际华三五二一特种装备有限公司、南京际华三五二一环保科技有限公司、湖北际华针织有限公司，享受上述优惠政策。</w:t>
          </w:r>
        </w:p>
      </w:sdtContent>
    </w:sdt>
    <w:p w14:paraId="2286D770">
      <w:pPr>
        <w:rPr>
          <w:rFonts w:hint="eastAsia" w:asciiTheme="minorEastAsia" w:hAnsiTheme="minorEastAsia" w:eastAsiaTheme="minorEastAsia"/>
          <w:szCs w:val="21"/>
        </w:rPr>
      </w:pPr>
    </w:p>
    <w:p w14:paraId="2A03B31D">
      <w:pPr>
        <w:pStyle w:val="70"/>
        <w:numPr>
          <w:ilvl w:val="0"/>
          <w:numId w:val="108"/>
        </w:numPr>
        <w:tabs>
          <w:tab w:val="left" w:pos="546"/>
        </w:tabs>
      </w:pPr>
      <w:r>
        <w:t>其他</w:t>
      </w:r>
    </w:p>
    <w:sdt>
      <w:sdtPr>
        <w:rPr>
          <w:rFonts w:hint="eastAsia"/>
          <w:szCs w:val="21"/>
        </w:rPr>
        <w:alias w:val="是否适用：税项说明[双击切换]"/>
        <w:tag w:val="_GBC_cb15d487e8d84ad7877bd8820156d381"/>
        <w:id w:val="807218039"/>
        <w:placeholder>
          <w:docPart w:val="GBC22222222222222222222222222222"/>
        </w:placeholder>
      </w:sdtPr>
      <w:sdtEndPr>
        <w:rPr>
          <w:rFonts w:hint="eastAsia"/>
          <w:szCs w:val="21"/>
        </w:rPr>
      </w:sdtEndPr>
      <w:sdtContent>
        <w:p w14:paraId="402E881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426DB34">
      <w:pPr>
        <w:rPr>
          <w:rFonts w:hint="eastAsia"/>
        </w:rPr>
      </w:pPr>
    </w:p>
    <w:p w14:paraId="71B42A5C">
      <w:pPr>
        <w:pStyle w:val="69"/>
        <w:numPr>
          <w:ilvl w:val="0"/>
          <w:numId w:val="87"/>
        </w:numPr>
        <w:rPr>
          <w:rFonts w:hint="eastAsia" w:ascii="宋体" w:hAnsi="宋体"/>
        </w:rPr>
      </w:pPr>
      <w:r>
        <w:rPr>
          <w:rFonts w:hint="eastAsia"/>
        </w:rPr>
        <w:t>合并财务报表项目注释</w:t>
      </w:r>
    </w:p>
    <w:p w14:paraId="2B68102F">
      <w:pPr>
        <w:keepNext/>
        <w:keepLines/>
        <w:widowControl w:val="0"/>
        <w:numPr>
          <w:ilvl w:val="0"/>
          <w:numId w:val="109"/>
        </w:numPr>
        <w:spacing w:before="60" w:line="360" w:lineRule="auto"/>
        <w:jc w:val="both"/>
        <w:outlineLvl w:val="2"/>
        <w:rPr>
          <w:rFonts w:ascii="Calibri" w:hAnsi="Calibri" w:cs="Times New Roman"/>
          <w:b/>
          <w:bCs/>
          <w:kern w:val="2"/>
          <w:szCs w:val="21"/>
        </w:rPr>
      </w:pPr>
      <w:r>
        <w:rPr>
          <w:rFonts w:ascii="Calibri" w:hAnsi="Calibri" w:cs="Times New Roman"/>
          <w:b/>
          <w:bCs/>
          <w:kern w:val="2"/>
          <w:szCs w:val="21"/>
        </w:rPr>
        <w:t>货币资金</w:t>
      </w:r>
    </w:p>
    <w:sdt>
      <w:sdtPr>
        <w:rPr>
          <w:rFonts w:hint="eastAsia"/>
          <w:szCs w:val="21"/>
        </w:rPr>
        <w:alias w:val="是否适用：货币资金[双击切换]"/>
        <w:tag w:val="_GBC_7583a9a918ef405ba2d26448cc628ff5"/>
        <w:id w:val="1130599018"/>
        <w:placeholder>
          <w:docPart w:val="DF3C463E39684AE0860A02C8F71BDF50"/>
        </w:placeholder>
      </w:sdtPr>
      <w:sdtEndPr>
        <w:rPr>
          <w:rFonts w:hint="eastAsia"/>
          <w:szCs w:val="21"/>
        </w:rPr>
      </w:sdtEndPr>
      <w:sdtContent>
        <w:p w14:paraId="5241B6B6">
          <w:pPr>
            <w:snapToGrid w:val="0"/>
            <w:spacing w:line="240" w:lineRule="atLeast"/>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E0B4394">
      <w:pPr>
        <w:snapToGrid w:val="0"/>
        <w:spacing w:line="240" w:lineRule="atLeast"/>
        <w:jc w:val="right"/>
        <w:rPr>
          <w:rFonts w:hint="eastAsia"/>
          <w:szCs w:val="21"/>
        </w:rPr>
      </w:pPr>
      <w:r>
        <w:rPr>
          <w:rFonts w:hint="eastAsia"/>
          <w:szCs w:val="21"/>
        </w:rPr>
        <w:t>单位：</w:t>
      </w:r>
      <w:sdt>
        <w:sdtPr>
          <w:rPr>
            <w:rFonts w:hint="eastAsia"/>
            <w:szCs w:val="21"/>
          </w:rPr>
          <w:alias w:val="单位：财务附注：货币资金"/>
          <w:tag w:val="_GBC_837f4fb04cac4b8aa6bed7dc457a1486"/>
          <w:id w:val="1349682851"/>
          <w:placeholder>
            <w:docPart w:val="DF3C463E39684AE0860A02C8F71BDF5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1993324703"/>
          <w:placeholder>
            <w:docPart w:val="DF3C463E39684AE0860A02C8F71BDF5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216"/>
        <w:gridCol w:w="3291"/>
        <w:gridCol w:w="3316"/>
      </w:tblGrid>
      <w:tr w14:paraId="6FAE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640e7daf451b4f14ba49162bfbbd1e72"/>
            <w:id w:val="-1583289564"/>
          </w:sdtPr>
          <w:sdtContent>
            <w:tc>
              <w:tcPr>
                <w:tcW w:w="1256" w:type="pct"/>
                <w:shd w:val="clear" w:color="auto" w:fill="auto"/>
                <w:vAlign w:val="center"/>
              </w:tcPr>
              <w:p w14:paraId="512C47FA">
                <w:pPr>
                  <w:autoSpaceDE w:val="0"/>
                  <w:autoSpaceDN w:val="0"/>
                  <w:adjustRightInd w:val="0"/>
                  <w:snapToGrid w:val="0"/>
                  <w:spacing w:line="240" w:lineRule="atLeast"/>
                  <w:jc w:val="center"/>
                  <w:rPr>
                    <w:rFonts w:hint="eastAsia"/>
                    <w:szCs w:val="21"/>
                  </w:rPr>
                </w:pPr>
                <w:r>
                  <w:rPr>
                    <w:rFonts w:hint="eastAsia"/>
                    <w:szCs w:val="21"/>
                  </w:rPr>
                  <w:t>项目</w:t>
                </w:r>
              </w:p>
            </w:tc>
          </w:sdtContent>
        </w:sdt>
        <w:sdt>
          <w:sdtPr>
            <w:tag w:val="_PLD_79d1e78073b542bda1ea85bf8925b2cd"/>
            <w:id w:val="1049186877"/>
          </w:sdtPr>
          <w:sdtContent>
            <w:tc>
              <w:tcPr>
                <w:tcW w:w="1865" w:type="pct"/>
                <w:shd w:val="clear" w:color="auto" w:fill="auto"/>
                <w:vAlign w:val="center"/>
              </w:tcPr>
              <w:p w14:paraId="2AD2190A">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725adef951424bb094850d632de69fd0"/>
            <w:id w:val="1179774265"/>
          </w:sdtPr>
          <w:sdtContent>
            <w:tc>
              <w:tcPr>
                <w:tcW w:w="1879" w:type="pct"/>
                <w:shd w:val="clear" w:color="auto" w:fill="auto"/>
                <w:vAlign w:val="center"/>
              </w:tcPr>
              <w:p w14:paraId="59175897">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360E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55b07f50e1e44a558dc393086d2f0e7f"/>
            <w:id w:val="36638833"/>
          </w:sdtPr>
          <w:sdtContent>
            <w:tc>
              <w:tcPr>
                <w:tcW w:w="1256" w:type="pct"/>
                <w:shd w:val="clear" w:color="auto" w:fill="auto"/>
              </w:tcPr>
              <w:p w14:paraId="16BFD6CF">
                <w:pPr>
                  <w:autoSpaceDE w:val="0"/>
                  <w:autoSpaceDN w:val="0"/>
                  <w:adjustRightInd w:val="0"/>
                  <w:snapToGrid w:val="0"/>
                  <w:spacing w:line="240" w:lineRule="atLeast"/>
                  <w:rPr>
                    <w:rFonts w:hint="eastAsia"/>
                    <w:szCs w:val="21"/>
                  </w:rPr>
                </w:pPr>
                <w:r>
                  <w:rPr>
                    <w:rFonts w:hint="eastAsia"/>
                    <w:szCs w:val="21"/>
                  </w:rPr>
                  <w:t>库存现金</w:t>
                </w:r>
              </w:p>
            </w:tc>
          </w:sdtContent>
        </w:sdt>
        <w:tc>
          <w:tcPr>
            <w:tcW w:w="1865" w:type="pct"/>
            <w:shd w:val="clear" w:color="auto" w:fill="auto"/>
            <w:vAlign w:val="center"/>
          </w:tcPr>
          <w:p w14:paraId="58A070D4">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10,209.00 </w:t>
            </w:r>
          </w:p>
        </w:tc>
        <w:tc>
          <w:tcPr>
            <w:tcW w:w="1879" w:type="pct"/>
            <w:shd w:val="clear" w:color="auto" w:fill="auto"/>
            <w:vAlign w:val="center"/>
          </w:tcPr>
          <w:p w14:paraId="1E15669C">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24,807.30 </w:t>
            </w:r>
          </w:p>
        </w:tc>
      </w:tr>
      <w:tr w14:paraId="3779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29d0fc45c2044da8ab0120f52fea8366"/>
            <w:id w:val="225112293"/>
          </w:sdtPr>
          <w:sdtContent>
            <w:tc>
              <w:tcPr>
                <w:tcW w:w="1256" w:type="pct"/>
                <w:shd w:val="clear" w:color="auto" w:fill="auto"/>
              </w:tcPr>
              <w:p w14:paraId="595D4529">
                <w:pPr>
                  <w:autoSpaceDE w:val="0"/>
                  <w:autoSpaceDN w:val="0"/>
                  <w:adjustRightInd w:val="0"/>
                  <w:snapToGrid w:val="0"/>
                  <w:spacing w:line="240" w:lineRule="atLeast"/>
                  <w:rPr>
                    <w:rFonts w:hint="eastAsia"/>
                    <w:szCs w:val="21"/>
                  </w:rPr>
                </w:pPr>
                <w:r>
                  <w:rPr>
                    <w:rFonts w:hint="eastAsia"/>
                    <w:szCs w:val="21"/>
                  </w:rPr>
                  <w:t>银行存款</w:t>
                </w:r>
              </w:p>
            </w:tc>
          </w:sdtContent>
        </w:sdt>
        <w:tc>
          <w:tcPr>
            <w:tcW w:w="1865" w:type="pct"/>
            <w:shd w:val="clear" w:color="auto" w:fill="auto"/>
            <w:vAlign w:val="center"/>
          </w:tcPr>
          <w:p w14:paraId="6A332E27">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2,009,412,921.46 </w:t>
            </w:r>
          </w:p>
        </w:tc>
        <w:tc>
          <w:tcPr>
            <w:tcW w:w="1879" w:type="pct"/>
            <w:shd w:val="clear" w:color="auto" w:fill="auto"/>
            <w:vAlign w:val="center"/>
          </w:tcPr>
          <w:p w14:paraId="487E7C76">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2,975,915,097.34 </w:t>
            </w:r>
          </w:p>
        </w:tc>
      </w:tr>
      <w:tr w14:paraId="372D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c1e18aed267f4e76a33b93512faddc98"/>
            <w:id w:val="-575590242"/>
          </w:sdtPr>
          <w:sdtContent>
            <w:tc>
              <w:tcPr>
                <w:tcW w:w="1256" w:type="pct"/>
                <w:shd w:val="clear" w:color="auto" w:fill="auto"/>
              </w:tcPr>
              <w:p w14:paraId="50729C98">
                <w:pPr>
                  <w:autoSpaceDE w:val="0"/>
                  <w:autoSpaceDN w:val="0"/>
                  <w:adjustRightInd w:val="0"/>
                  <w:snapToGrid w:val="0"/>
                  <w:spacing w:line="240" w:lineRule="atLeast"/>
                  <w:rPr>
                    <w:rFonts w:hint="eastAsia"/>
                    <w:szCs w:val="21"/>
                  </w:rPr>
                </w:pPr>
                <w:r>
                  <w:rPr>
                    <w:rFonts w:hint="eastAsia"/>
                    <w:szCs w:val="21"/>
                  </w:rPr>
                  <w:t>其他货币资金</w:t>
                </w:r>
              </w:p>
            </w:tc>
          </w:sdtContent>
        </w:sdt>
        <w:tc>
          <w:tcPr>
            <w:tcW w:w="1865" w:type="pct"/>
            <w:shd w:val="clear" w:color="auto" w:fill="auto"/>
            <w:vAlign w:val="center"/>
          </w:tcPr>
          <w:p w14:paraId="57EE5AFE">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245,041,253.26 </w:t>
            </w:r>
          </w:p>
        </w:tc>
        <w:tc>
          <w:tcPr>
            <w:tcW w:w="1879" w:type="pct"/>
            <w:shd w:val="clear" w:color="auto" w:fill="auto"/>
            <w:vAlign w:val="center"/>
          </w:tcPr>
          <w:p w14:paraId="6E25B210">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313,802,376.19 </w:t>
            </w:r>
          </w:p>
        </w:tc>
      </w:tr>
      <w:tr w14:paraId="4DDF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sdt>
            <w:sdtPr>
              <w:tag w:val="_PLD_42f986b776434fa68dd7d6c75e9619b4"/>
              <w:id w:val="1801654297"/>
            </w:sdtPr>
            <w:sdtContent>
              <w:p w14:paraId="56D7BAAE">
                <w:pPr>
                  <w:autoSpaceDE w:val="0"/>
                  <w:autoSpaceDN w:val="0"/>
                  <w:adjustRightInd w:val="0"/>
                  <w:snapToGrid w:val="0"/>
                  <w:spacing w:line="240" w:lineRule="atLeast"/>
                  <w:rPr>
                    <w:rFonts w:hint="eastAsia"/>
                  </w:rPr>
                </w:pPr>
                <w:r>
                  <w:rPr>
                    <w:rFonts w:hint="eastAsia"/>
                  </w:rPr>
                  <w:t>存放财务公司存款</w:t>
                </w:r>
              </w:p>
            </w:sdtContent>
          </w:sdt>
        </w:tc>
        <w:tc>
          <w:tcPr>
            <w:tcW w:w="1865" w:type="pct"/>
            <w:shd w:val="clear" w:color="auto" w:fill="auto"/>
            <w:vAlign w:val="center"/>
          </w:tcPr>
          <w:p w14:paraId="2D219B73">
            <w:pPr>
              <w:tabs>
                <w:tab w:val="left" w:pos="2350"/>
              </w:tabs>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3,351,736,657.29 </w:t>
            </w:r>
          </w:p>
        </w:tc>
        <w:tc>
          <w:tcPr>
            <w:tcW w:w="1879" w:type="pct"/>
            <w:shd w:val="clear" w:color="auto" w:fill="auto"/>
            <w:vAlign w:val="center"/>
          </w:tcPr>
          <w:p w14:paraId="7D555660">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3,485,877,870.41 </w:t>
            </w:r>
          </w:p>
        </w:tc>
      </w:tr>
      <w:tr w14:paraId="60CC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4aea35e6574448b9a1396c2c1b22290f"/>
            <w:id w:val="-601797140"/>
          </w:sdtPr>
          <w:sdtContent>
            <w:tc>
              <w:tcPr>
                <w:tcW w:w="1256" w:type="pct"/>
                <w:shd w:val="clear" w:color="auto" w:fill="auto"/>
                <w:vAlign w:val="center"/>
              </w:tcPr>
              <w:p w14:paraId="18C89BB5">
                <w:pPr>
                  <w:autoSpaceDE w:val="0"/>
                  <w:autoSpaceDN w:val="0"/>
                  <w:adjustRightInd w:val="0"/>
                  <w:snapToGrid w:val="0"/>
                  <w:spacing w:line="240" w:lineRule="atLeast"/>
                  <w:rPr>
                    <w:rFonts w:hint="eastAsia"/>
                    <w:szCs w:val="21"/>
                  </w:rPr>
                </w:pPr>
                <w:r>
                  <w:rPr>
                    <w:rFonts w:hint="eastAsia"/>
                    <w:szCs w:val="21"/>
                  </w:rPr>
                  <w:t>合计</w:t>
                </w:r>
              </w:p>
            </w:tc>
          </w:sdtContent>
        </w:sdt>
        <w:tc>
          <w:tcPr>
            <w:tcW w:w="1865" w:type="pct"/>
            <w:shd w:val="clear" w:color="auto" w:fill="auto"/>
            <w:vAlign w:val="center"/>
          </w:tcPr>
          <w:p w14:paraId="630A1C29">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5,606,201,041.01 </w:t>
            </w:r>
          </w:p>
        </w:tc>
        <w:tc>
          <w:tcPr>
            <w:tcW w:w="1879" w:type="pct"/>
            <w:shd w:val="clear" w:color="auto" w:fill="auto"/>
            <w:vAlign w:val="center"/>
          </w:tcPr>
          <w:p w14:paraId="15E72D95">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6,775,620,151.24 </w:t>
            </w:r>
          </w:p>
        </w:tc>
      </w:tr>
      <w:tr w14:paraId="6EB6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de21157aed743d5a01686780a359fcc"/>
            <w:id w:val="-1206709269"/>
          </w:sdtPr>
          <w:sdtContent>
            <w:tc>
              <w:tcPr>
                <w:tcW w:w="1256" w:type="pct"/>
                <w:shd w:val="clear" w:color="auto" w:fill="auto"/>
              </w:tcPr>
              <w:p w14:paraId="1F999E55">
                <w:pPr>
                  <w:autoSpaceDE w:val="0"/>
                  <w:autoSpaceDN w:val="0"/>
                  <w:adjustRightInd w:val="0"/>
                  <w:snapToGrid w:val="0"/>
                  <w:ind w:firstLine="420" w:firstLineChars="200"/>
                  <w:rPr>
                    <w:rFonts w:hint="eastAsia"/>
                    <w:szCs w:val="21"/>
                  </w:rPr>
                </w:pPr>
                <w:r>
                  <w:rPr>
                    <w:rFonts w:hint="eastAsia"/>
                    <w:szCs w:val="21"/>
                  </w:rPr>
                  <w:t>其中：存放在境外的款项总额</w:t>
                </w:r>
              </w:p>
            </w:tc>
          </w:sdtContent>
        </w:sdt>
        <w:tc>
          <w:tcPr>
            <w:tcW w:w="1865" w:type="pct"/>
            <w:shd w:val="clear" w:color="auto" w:fill="auto"/>
            <w:vAlign w:val="center"/>
          </w:tcPr>
          <w:p w14:paraId="635BD8FA">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42,679,515.87 </w:t>
            </w:r>
          </w:p>
        </w:tc>
        <w:tc>
          <w:tcPr>
            <w:tcW w:w="1879" w:type="pct"/>
            <w:shd w:val="clear" w:color="auto" w:fill="auto"/>
            <w:vAlign w:val="center"/>
          </w:tcPr>
          <w:p w14:paraId="559FCE34">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 xml:space="preserve">38,817,090.62 </w:t>
            </w:r>
          </w:p>
        </w:tc>
      </w:tr>
    </w:tbl>
    <w:p w14:paraId="6ADF7A79">
      <w:pPr>
        <w:rPr>
          <w:rFonts w:hint="eastAsia"/>
        </w:rPr>
      </w:pPr>
    </w:p>
    <w:p w14:paraId="1A6A5DFC">
      <w:pPr>
        <w:rPr>
          <w:rFonts w:hint="eastAsia"/>
          <w:szCs w:val="21"/>
        </w:rPr>
      </w:pPr>
      <w:r>
        <w:rPr>
          <w:rFonts w:hint="eastAsia"/>
          <w:szCs w:val="21"/>
        </w:rPr>
        <w:t>其他说明：</w:t>
      </w:r>
    </w:p>
    <w:sdt>
      <w:sdtPr>
        <w:rPr>
          <w:szCs w:val="21"/>
        </w:rPr>
        <w:alias w:val="货币资金的说明"/>
        <w:tag w:val="_GBC_672a863055084dfabbc1ba40f04a68b4"/>
        <w:id w:val="1522046417"/>
        <w:placeholder>
          <w:docPart w:val="DF3C463E39684AE0860A02C8F71BDF50"/>
        </w:placeholder>
      </w:sdtPr>
      <w:sdtEndPr>
        <w:rPr>
          <w:szCs w:val="21"/>
        </w:rPr>
      </w:sdtEndPr>
      <w:sdtContent>
        <w:p w14:paraId="6886BBB8">
          <w:pPr>
            <w:rPr>
              <w:rFonts w:hint="eastAsia"/>
              <w:szCs w:val="21"/>
            </w:rPr>
          </w:pPr>
          <w:r>
            <w:rPr>
              <w:rFonts w:hint="eastAsia"/>
              <w:szCs w:val="21"/>
            </w:rPr>
            <w:t>其中受限制的货币资金明细如下：</w:t>
          </w:r>
        </w:p>
        <w:p w14:paraId="17A6E404">
          <w:pPr>
            <w:snapToGrid w:val="0"/>
            <w:spacing w:line="240" w:lineRule="atLeast"/>
            <w:jc w:val="right"/>
            <w:rPr>
              <w:rFonts w:hint="eastAsia"/>
              <w:szCs w:val="21"/>
            </w:rPr>
          </w:pPr>
          <w:r>
            <w:rPr>
              <w:rFonts w:hint="eastAsia"/>
              <w:szCs w:val="21"/>
            </w:rPr>
            <w:t>单位：</w:t>
          </w:r>
          <w:sdt>
            <w:sdtPr>
              <w:rPr>
                <w:rFonts w:hint="eastAsia"/>
                <w:szCs w:val="21"/>
              </w:rPr>
              <w:alias w:val="单位：财务附注：货币资金"/>
              <w:tag w:val="_GBC_837f4fb04cac4b8aa6bed7dc457a1486"/>
              <w:id w:val="-1018928053"/>
              <w:placeholder>
                <w:docPart w:val="28E584A71ACD45209FE1731CCE5A82AF"/>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381565070"/>
              <w:placeholder>
                <w:docPart w:val="28E584A71ACD45209FE1731CCE5A82AF"/>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216"/>
            <w:gridCol w:w="3291"/>
            <w:gridCol w:w="3316"/>
          </w:tblGrid>
          <w:tr w14:paraId="624C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blHeader/>
            </w:trPr>
            <w:sdt>
              <w:sdtPr>
                <w:tag w:val="_PLD_640e7daf451b4f14ba49162bfbbd1e72"/>
                <w:id w:val="-364361887"/>
              </w:sdtPr>
              <w:sdtContent>
                <w:tc>
                  <w:tcPr>
                    <w:tcW w:w="1256" w:type="pct"/>
                    <w:shd w:val="clear" w:color="auto" w:fill="auto"/>
                    <w:vAlign w:val="center"/>
                  </w:tcPr>
                  <w:p w14:paraId="049EFAF3">
                    <w:pPr>
                      <w:autoSpaceDE w:val="0"/>
                      <w:autoSpaceDN w:val="0"/>
                      <w:adjustRightInd w:val="0"/>
                      <w:snapToGrid w:val="0"/>
                      <w:spacing w:line="240" w:lineRule="atLeast"/>
                      <w:jc w:val="center"/>
                      <w:rPr>
                        <w:rFonts w:hint="eastAsia"/>
                        <w:szCs w:val="21"/>
                      </w:rPr>
                    </w:pPr>
                    <w:r>
                      <w:rPr>
                        <w:rFonts w:hint="eastAsia"/>
                        <w:szCs w:val="21"/>
                      </w:rPr>
                      <w:t>项目</w:t>
                    </w:r>
                  </w:p>
                </w:tc>
              </w:sdtContent>
            </w:sdt>
            <w:sdt>
              <w:sdtPr>
                <w:tag w:val="_PLD_79d1e78073b542bda1ea85bf8925b2cd"/>
                <w:id w:val="-1464264508"/>
              </w:sdtPr>
              <w:sdtContent>
                <w:tc>
                  <w:tcPr>
                    <w:tcW w:w="1865" w:type="pct"/>
                    <w:shd w:val="clear" w:color="auto" w:fill="auto"/>
                    <w:vAlign w:val="center"/>
                  </w:tcPr>
                  <w:p w14:paraId="620DEF14">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725adef951424bb094850d632de69fd0"/>
                <w:id w:val="1572934877"/>
              </w:sdtPr>
              <w:sdtContent>
                <w:tc>
                  <w:tcPr>
                    <w:tcW w:w="1879" w:type="pct"/>
                    <w:shd w:val="clear" w:color="auto" w:fill="auto"/>
                    <w:vAlign w:val="center"/>
                  </w:tcPr>
                  <w:p w14:paraId="4B99B1F3">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1986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2E25E08C">
                <w:pPr>
                  <w:autoSpaceDE w:val="0"/>
                  <w:autoSpaceDN w:val="0"/>
                  <w:adjustRightInd w:val="0"/>
                  <w:snapToGrid w:val="0"/>
                  <w:spacing w:line="240" w:lineRule="atLeast"/>
                  <w:rPr>
                    <w:rFonts w:hint="eastAsia"/>
                    <w:szCs w:val="21"/>
                  </w:rPr>
                </w:pPr>
                <w:r>
                  <w:t>银行承兑汇票保证金</w:t>
                </w:r>
              </w:p>
            </w:tc>
            <w:tc>
              <w:tcPr>
                <w:tcW w:w="1865" w:type="pct"/>
                <w:shd w:val="clear" w:color="auto" w:fill="auto"/>
              </w:tcPr>
              <w:p w14:paraId="7E241FF1">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148,807,304.77</w:t>
                </w:r>
              </w:p>
            </w:tc>
            <w:tc>
              <w:tcPr>
                <w:tcW w:w="1879" w:type="pct"/>
                <w:shd w:val="clear" w:color="auto" w:fill="auto"/>
              </w:tcPr>
              <w:p w14:paraId="4AEA4C86">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187,667,711.24</w:t>
                </w:r>
              </w:p>
            </w:tc>
          </w:tr>
          <w:tr w14:paraId="4659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580732CD">
                <w:pPr>
                  <w:autoSpaceDE w:val="0"/>
                  <w:autoSpaceDN w:val="0"/>
                  <w:adjustRightInd w:val="0"/>
                  <w:snapToGrid w:val="0"/>
                  <w:spacing w:line="240" w:lineRule="atLeast"/>
                  <w:rPr>
                    <w:rFonts w:hint="eastAsia"/>
                    <w:szCs w:val="21"/>
                  </w:rPr>
                </w:pPr>
                <w:r>
                  <w:t>保函保证金</w:t>
                </w:r>
              </w:p>
            </w:tc>
            <w:tc>
              <w:tcPr>
                <w:tcW w:w="1865" w:type="pct"/>
                <w:shd w:val="clear" w:color="auto" w:fill="auto"/>
              </w:tcPr>
              <w:p w14:paraId="2734BA84">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82,590,826.27</w:t>
                </w:r>
              </w:p>
            </w:tc>
            <w:tc>
              <w:tcPr>
                <w:tcW w:w="1879" w:type="pct"/>
                <w:shd w:val="clear" w:color="auto" w:fill="auto"/>
              </w:tcPr>
              <w:p w14:paraId="2CE41DD7">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72,650,315.27</w:t>
                </w:r>
              </w:p>
            </w:tc>
          </w:tr>
          <w:tr w14:paraId="649B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741BE44B">
                <w:pPr>
                  <w:autoSpaceDE w:val="0"/>
                  <w:autoSpaceDN w:val="0"/>
                  <w:adjustRightInd w:val="0"/>
                  <w:snapToGrid w:val="0"/>
                  <w:spacing w:line="240" w:lineRule="atLeast"/>
                  <w:rPr>
                    <w:rFonts w:hint="eastAsia"/>
                    <w:szCs w:val="21"/>
                  </w:rPr>
                </w:pPr>
                <w:r>
                  <w:t>履约保证金</w:t>
                </w:r>
              </w:p>
            </w:tc>
            <w:tc>
              <w:tcPr>
                <w:tcW w:w="1865" w:type="pct"/>
                <w:shd w:val="clear" w:color="auto" w:fill="auto"/>
              </w:tcPr>
              <w:p w14:paraId="6D120B27">
                <w:pPr>
                  <w:autoSpaceDE w:val="0"/>
                  <w:autoSpaceDN w:val="0"/>
                  <w:adjustRightInd w:val="0"/>
                  <w:snapToGrid w:val="0"/>
                  <w:spacing w:line="240" w:lineRule="atLeast"/>
                  <w:jc w:val="right"/>
                  <w:rPr>
                    <w:rFonts w:hint="eastAsia"/>
                    <w:szCs w:val="21"/>
                  </w:rPr>
                </w:pPr>
              </w:p>
            </w:tc>
            <w:tc>
              <w:tcPr>
                <w:tcW w:w="1879" w:type="pct"/>
                <w:shd w:val="clear" w:color="auto" w:fill="auto"/>
              </w:tcPr>
              <w:p w14:paraId="6842C563">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7,455,741.16</w:t>
                </w:r>
              </w:p>
            </w:tc>
          </w:tr>
          <w:tr w14:paraId="21BB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34316394">
                <w:pPr>
                  <w:autoSpaceDE w:val="0"/>
                  <w:autoSpaceDN w:val="0"/>
                  <w:adjustRightInd w:val="0"/>
                  <w:snapToGrid w:val="0"/>
                  <w:spacing w:line="240" w:lineRule="atLeast"/>
                  <w:rPr>
                    <w:rFonts w:hint="eastAsia"/>
                  </w:rPr>
                </w:pPr>
                <w:r>
                  <w:t>住房维修基金</w:t>
                </w:r>
              </w:p>
            </w:tc>
            <w:tc>
              <w:tcPr>
                <w:tcW w:w="1865" w:type="pct"/>
                <w:shd w:val="clear" w:color="auto" w:fill="auto"/>
              </w:tcPr>
              <w:p w14:paraId="65C5E1AE">
                <w:pPr>
                  <w:tabs>
                    <w:tab w:val="left" w:pos="2350"/>
                  </w:tabs>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1,353,459.06</w:t>
                </w:r>
              </w:p>
            </w:tc>
            <w:tc>
              <w:tcPr>
                <w:tcW w:w="1879" w:type="pct"/>
                <w:shd w:val="clear" w:color="auto" w:fill="auto"/>
              </w:tcPr>
              <w:p w14:paraId="736FC3E6">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2,337,780.98</w:t>
                </w:r>
              </w:p>
            </w:tc>
          </w:tr>
          <w:tr w14:paraId="3390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26A45E70">
                <w:pPr>
                  <w:autoSpaceDE w:val="0"/>
                  <w:autoSpaceDN w:val="0"/>
                  <w:adjustRightInd w:val="0"/>
                  <w:snapToGrid w:val="0"/>
                  <w:spacing w:line="240" w:lineRule="atLeast"/>
                  <w:rPr>
                    <w:rFonts w:hint="eastAsia"/>
                  </w:rPr>
                </w:pPr>
                <w:r>
                  <w:t>冻结的银行存款</w:t>
                </w:r>
              </w:p>
            </w:tc>
            <w:tc>
              <w:tcPr>
                <w:tcW w:w="1865" w:type="pct"/>
                <w:shd w:val="clear" w:color="auto" w:fill="auto"/>
              </w:tcPr>
              <w:p w14:paraId="0AC7ABAF">
                <w:pPr>
                  <w:tabs>
                    <w:tab w:val="left" w:pos="2350"/>
                  </w:tabs>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5,435,998.49</w:t>
                </w:r>
              </w:p>
            </w:tc>
            <w:tc>
              <w:tcPr>
                <w:tcW w:w="1879" w:type="pct"/>
                <w:shd w:val="clear" w:color="auto" w:fill="auto"/>
              </w:tcPr>
              <w:p w14:paraId="29120682">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3,941,382.73</w:t>
                </w:r>
              </w:p>
            </w:tc>
          </w:tr>
          <w:tr w14:paraId="08DB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63223A15">
                <w:pPr>
                  <w:autoSpaceDE w:val="0"/>
                  <w:autoSpaceDN w:val="0"/>
                  <w:adjustRightInd w:val="0"/>
                  <w:snapToGrid w:val="0"/>
                  <w:spacing w:line="240" w:lineRule="atLeast"/>
                  <w:rPr>
                    <w:rFonts w:hint="eastAsia"/>
                  </w:rPr>
                </w:pPr>
                <w:r>
                  <w:t>其他</w:t>
                </w:r>
              </w:p>
            </w:tc>
            <w:tc>
              <w:tcPr>
                <w:tcW w:w="1865" w:type="pct"/>
                <w:shd w:val="clear" w:color="auto" w:fill="auto"/>
              </w:tcPr>
              <w:p w14:paraId="331B312A">
                <w:pPr>
                  <w:tabs>
                    <w:tab w:val="left" w:pos="2350"/>
                  </w:tabs>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2,469,850.05</w:t>
                </w:r>
              </w:p>
            </w:tc>
            <w:tc>
              <w:tcPr>
                <w:tcW w:w="1879" w:type="pct"/>
                <w:shd w:val="clear" w:color="auto" w:fill="auto"/>
              </w:tcPr>
              <w:p w14:paraId="3539E390">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5,940,548.23</w:t>
                </w:r>
              </w:p>
            </w:tc>
          </w:tr>
          <w:tr w14:paraId="3A50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shd w:val="clear" w:color="auto" w:fill="auto"/>
              </w:tcPr>
              <w:p w14:paraId="745AD8B6">
                <w:pPr>
                  <w:autoSpaceDE w:val="0"/>
                  <w:autoSpaceDN w:val="0"/>
                  <w:adjustRightInd w:val="0"/>
                  <w:snapToGrid w:val="0"/>
                  <w:spacing w:line="240" w:lineRule="atLeast"/>
                  <w:rPr>
                    <w:rFonts w:hint="eastAsia"/>
                  </w:rPr>
                </w:pPr>
                <w:r>
                  <w:t>合计</w:t>
                </w:r>
              </w:p>
            </w:tc>
            <w:tc>
              <w:tcPr>
                <w:tcW w:w="1865" w:type="pct"/>
                <w:shd w:val="clear" w:color="auto" w:fill="auto"/>
              </w:tcPr>
              <w:p w14:paraId="5C38B6C0">
                <w:pPr>
                  <w:tabs>
                    <w:tab w:val="left" w:pos="2350"/>
                  </w:tabs>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240,657,438.64</w:t>
                </w:r>
              </w:p>
            </w:tc>
            <w:tc>
              <w:tcPr>
                <w:tcW w:w="1879" w:type="pct"/>
                <w:shd w:val="clear" w:color="auto" w:fill="auto"/>
              </w:tcPr>
              <w:p w14:paraId="06C7CEAD">
                <w:pPr>
                  <w:autoSpaceDE w:val="0"/>
                  <w:autoSpaceDN w:val="0"/>
                  <w:adjustRightInd w:val="0"/>
                  <w:snapToGrid w:val="0"/>
                  <w:spacing w:line="240" w:lineRule="atLeast"/>
                  <w:jc w:val="right"/>
                  <w:rPr>
                    <w:rFonts w:hint="eastAsia"/>
                    <w:szCs w:val="21"/>
                  </w:rPr>
                </w:pPr>
                <w:r>
                  <w:rPr>
                    <w:rFonts w:ascii="Arial Narrow" w:hAnsi="Arial Narrow" w:eastAsia="等线"/>
                    <w:color w:val="000000"/>
                    <w:szCs w:val="21"/>
                  </w:rPr>
                  <w:t>279,993,479.61</w:t>
                </w:r>
              </w:p>
            </w:tc>
          </w:tr>
        </w:tbl>
        <w:p w14:paraId="59BA214E">
          <w:pPr>
            <w:rPr>
              <w:rFonts w:hint="eastAsia"/>
              <w:szCs w:val="21"/>
            </w:rPr>
          </w:pPr>
        </w:p>
      </w:sdtContent>
    </w:sdt>
    <w:p w14:paraId="318041DD">
      <w:pPr>
        <w:rPr>
          <w:rFonts w:hint="eastAsia"/>
          <w:szCs w:val="21"/>
        </w:rPr>
      </w:pPr>
    </w:p>
    <w:p w14:paraId="206B84CB">
      <w:pPr>
        <w:pStyle w:val="70"/>
        <w:numPr>
          <w:ilvl w:val="0"/>
          <w:numId w:val="109"/>
        </w:numPr>
        <w:rPr>
          <w:szCs w:val="21"/>
        </w:rPr>
      </w:pPr>
      <w:r>
        <w:rPr>
          <w:szCs w:val="21"/>
        </w:rPr>
        <w:t>交易性金融资产</w:t>
      </w:r>
    </w:p>
    <w:sdt>
      <w:sdtPr>
        <w:alias w:val="是否适用：交易性金融资产[双击切换]"/>
        <w:tag w:val="_GBC_c852c730c6fa4a3e8930f5cbbab9909f"/>
        <w:id w:val="-735699139"/>
        <w:placeholder>
          <w:docPart w:val="GBC22222222222222222222222222222"/>
        </w:placeholder>
      </w:sdtPr>
      <w:sdtContent>
        <w:p w14:paraId="57D21A7D">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4F16D6">
      <w:pPr>
        <w:ind w:left="420" w:right="44"/>
        <w:jc w:val="right"/>
        <w:rPr>
          <w:rFonts w:hint="eastAsia"/>
        </w:rPr>
      </w:pPr>
      <w:r>
        <w:rPr>
          <w:rFonts w:hint="eastAsia"/>
        </w:rPr>
        <w:t xml:space="preserve">  </w:t>
      </w:r>
      <w:r>
        <w:t xml:space="preserve">  </w:t>
      </w:r>
      <w:r>
        <w:rPr>
          <w:rFonts w:hint="eastAsia"/>
        </w:rPr>
        <w:t>单位：</w:t>
      </w:r>
      <w:sdt>
        <w:sdtPr>
          <w:rPr>
            <w:rFonts w:hint="eastAsia"/>
          </w:rPr>
          <w:alias w:val="单位：财务附注：交易性金融资产"/>
          <w:tag w:val="_GBC_cba5007820a8401a8539607d9d055f75"/>
          <w:id w:val="-15461399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交易性金融资产"/>
          <w:tag w:val="_GBC_e8e3367ec5e14f73842c7a3ca8b264a2"/>
          <w:id w:val="8937764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8"/>
        <w:gridCol w:w="2017"/>
        <w:gridCol w:w="2035"/>
        <w:gridCol w:w="2033"/>
      </w:tblGrid>
      <w:tr w14:paraId="7A6F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b99f59eccaa43478dfbfc184cd2ce48"/>
            <w:id w:val="1972403981"/>
          </w:sdtPr>
          <w:sdtContent>
            <w:tc>
              <w:tcPr>
                <w:tcW w:w="1552" w:type="pct"/>
                <w:shd w:val="clear" w:color="auto" w:fill="auto"/>
                <w:vAlign w:val="center"/>
              </w:tcPr>
              <w:p w14:paraId="1F2BD906">
                <w:pPr>
                  <w:jc w:val="center"/>
                  <w:rPr>
                    <w:rFonts w:hint="eastAsia"/>
                    <w:szCs w:val="21"/>
                  </w:rPr>
                </w:pPr>
                <w:r>
                  <w:rPr>
                    <w:rFonts w:hint="eastAsia"/>
                    <w:szCs w:val="21"/>
                  </w:rPr>
                  <w:t>项目</w:t>
                </w:r>
              </w:p>
            </w:tc>
          </w:sdtContent>
        </w:sdt>
        <w:sdt>
          <w:sdtPr>
            <w:tag w:val="_PLD_caf9d9000b3e44c1817249ef4121d5db"/>
            <w:id w:val="2108766848"/>
          </w:sdtPr>
          <w:sdtContent>
            <w:tc>
              <w:tcPr>
                <w:tcW w:w="1143" w:type="pct"/>
                <w:shd w:val="clear" w:color="auto" w:fill="auto"/>
                <w:vAlign w:val="center"/>
              </w:tcPr>
              <w:p w14:paraId="70318761">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fd58d8f4bb044aef9b5735371503f591"/>
            <w:id w:val="-1680798036"/>
          </w:sdtPr>
          <w:sdtContent>
            <w:tc>
              <w:tcPr>
                <w:tcW w:w="1153" w:type="pct"/>
                <w:shd w:val="clear" w:color="auto" w:fill="auto"/>
                <w:vAlign w:val="center"/>
              </w:tcPr>
              <w:p w14:paraId="37238A07">
                <w:pPr>
                  <w:autoSpaceDE w:val="0"/>
                  <w:autoSpaceDN w:val="0"/>
                  <w:adjustRightInd w:val="0"/>
                  <w:snapToGrid w:val="0"/>
                  <w:spacing w:line="240" w:lineRule="atLeast"/>
                  <w:jc w:val="center"/>
                  <w:rPr>
                    <w:rFonts w:hint="eastAsia"/>
                    <w:szCs w:val="21"/>
                  </w:rPr>
                </w:pPr>
                <w:r>
                  <w:rPr>
                    <w:rFonts w:hint="eastAsia"/>
                    <w:szCs w:val="21"/>
                  </w:rPr>
                  <w:t>期初余额</w:t>
                </w:r>
              </w:p>
            </w:tc>
          </w:sdtContent>
        </w:sdt>
        <w:tc>
          <w:tcPr>
            <w:tcW w:w="1152" w:type="pct"/>
          </w:tcPr>
          <w:sdt>
            <w:sdtPr>
              <w:tag w:val="_PLD_e55b7f6937ab489e93d6d5561f99f11e"/>
              <w:id w:val="578864773"/>
            </w:sdtPr>
            <w:sdtContent>
              <w:p w14:paraId="6972F6B2">
                <w:pPr>
                  <w:autoSpaceDE w:val="0"/>
                  <w:autoSpaceDN w:val="0"/>
                  <w:adjustRightInd w:val="0"/>
                  <w:snapToGrid w:val="0"/>
                  <w:spacing w:line="240" w:lineRule="atLeast"/>
                  <w:jc w:val="center"/>
                  <w:rPr>
                    <w:rFonts w:hint="eastAsia"/>
                  </w:rPr>
                </w:pPr>
                <w:r>
                  <w:rPr>
                    <w:rFonts w:hint="eastAsia"/>
                  </w:rPr>
                  <w:t>指定理由和依据</w:t>
                </w:r>
              </w:p>
            </w:sdtContent>
          </w:sdt>
        </w:tc>
      </w:tr>
      <w:tr w14:paraId="6DF3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pct"/>
            <w:shd w:val="clear" w:color="auto" w:fill="auto"/>
          </w:tcPr>
          <w:p w14:paraId="108ADDA0">
            <w:pPr>
              <w:autoSpaceDE w:val="0"/>
              <w:autoSpaceDN w:val="0"/>
              <w:adjustRightInd w:val="0"/>
              <w:rPr>
                <w:rFonts w:hint="eastAsia"/>
                <w:szCs w:val="21"/>
              </w:rPr>
            </w:pPr>
            <w:r>
              <w:rPr>
                <w:rFonts w:hint="eastAsia"/>
                <w:szCs w:val="21"/>
              </w:rPr>
              <w:t>以公允价值计量且其变动计入当期损益的金融资产</w:t>
            </w:r>
          </w:p>
        </w:tc>
        <w:tc>
          <w:tcPr>
            <w:tcW w:w="1143" w:type="pct"/>
            <w:shd w:val="clear" w:color="auto" w:fill="auto"/>
            <w:vAlign w:val="center"/>
          </w:tcPr>
          <w:p w14:paraId="3A6505BD">
            <w:pPr>
              <w:jc w:val="right"/>
              <w:rPr>
                <w:rFonts w:hint="eastAsia"/>
                <w:szCs w:val="21"/>
              </w:rPr>
            </w:pPr>
            <w:r>
              <w:rPr>
                <w:rFonts w:ascii="Arial Narrow" w:hAnsi="Arial Narrow" w:eastAsia="等线"/>
                <w:color w:val="000000"/>
                <w:szCs w:val="21"/>
              </w:rPr>
              <w:t>630,009.80</w:t>
            </w:r>
          </w:p>
        </w:tc>
        <w:tc>
          <w:tcPr>
            <w:tcW w:w="1153" w:type="pct"/>
            <w:shd w:val="clear" w:color="auto" w:fill="auto"/>
            <w:vAlign w:val="center"/>
          </w:tcPr>
          <w:p w14:paraId="5099E97E">
            <w:pPr>
              <w:jc w:val="right"/>
              <w:rPr>
                <w:rFonts w:hint="eastAsia"/>
                <w:szCs w:val="21"/>
              </w:rPr>
            </w:pPr>
            <w:r>
              <w:rPr>
                <w:rFonts w:ascii="Arial Narrow" w:hAnsi="Arial Narrow" w:eastAsia="等线"/>
                <w:color w:val="000000"/>
                <w:szCs w:val="21"/>
              </w:rPr>
              <w:t>630,009.80</w:t>
            </w:r>
          </w:p>
        </w:tc>
        <w:tc>
          <w:tcPr>
            <w:tcW w:w="1152" w:type="pct"/>
          </w:tcPr>
          <w:p w14:paraId="3B9F6BB4">
            <w:pPr>
              <w:jc w:val="right"/>
              <w:rPr>
                <w:rFonts w:hint="eastAsia"/>
                <w:szCs w:val="21"/>
              </w:rPr>
            </w:pPr>
            <w:r>
              <w:rPr>
                <w:rFonts w:hint="eastAsia"/>
                <w:szCs w:val="21"/>
              </w:rPr>
              <w:t>/</w:t>
            </w:r>
          </w:p>
        </w:tc>
      </w:tr>
      <w:tr w14:paraId="694A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47bedd0b80c463ab365e4b926d8c081"/>
            <w:id w:val="897558452"/>
          </w:sdtPr>
          <w:sdtContent>
            <w:tc>
              <w:tcPr>
                <w:tcW w:w="5000" w:type="pct"/>
                <w:gridSpan w:val="4"/>
                <w:shd w:val="clear" w:color="auto" w:fill="auto"/>
              </w:tcPr>
              <w:p w14:paraId="372388F6">
                <w:pPr>
                  <w:rPr>
                    <w:rFonts w:hint="eastAsia"/>
                    <w:szCs w:val="21"/>
                  </w:rPr>
                </w:pPr>
                <w:r>
                  <w:rPr>
                    <w:rFonts w:hint="eastAsia"/>
                    <w:szCs w:val="21"/>
                  </w:rPr>
                  <w:t>其中：</w:t>
                </w:r>
              </w:p>
            </w:tc>
          </w:sdtContent>
        </w:sdt>
      </w:tr>
      <w:tr w14:paraId="5E80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pct"/>
            <w:shd w:val="clear" w:color="auto" w:fill="auto"/>
          </w:tcPr>
          <w:p w14:paraId="5C70BC5B">
            <w:pPr>
              <w:autoSpaceDE w:val="0"/>
              <w:autoSpaceDN w:val="0"/>
              <w:adjustRightInd w:val="0"/>
              <w:ind w:firstLine="567" w:firstLineChars="270"/>
              <w:rPr>
                <w:rFonts w:hint="eastAsia"/>
                <w:szCs w:val="21"/>
              </w:rPr>
            </w:pPr>
            <w:r>
              <w:rPr>
                <w:rStyle w:val="134"/>
                <w:rFonts w:hint="default"/>
              </w:rPr>
              <w:t>权益工具投资</w:t>
            </w:r>
          </w:p>
        </w:tc>
        <w:tc>
          <w:tcPr>
            <w:tcW w:w="1143" w:type="pct"/>
            <w:shd w:val="clear" w:color="auto" w:fill="auto"/>
          </w:tcPr>
          <w:p w14:paraId="6BF6CA65">
            <w:pPr>
              <w:jc w:val="right"/>
              <w:rPr>
                <w:rFonts w:hint="eastAsia"/>
                <w:szCs w:val="21"/>
              </w:rPr>
            </w:pPr>
            <w:r>
              <w:rPr>
                <w:rFonts w:ascii="Arial Narrow" w:hAnsi="Arial Narrow" w:eastAsia="等线"/>
                <w:color w:val="000000"/>
                <w:szCs w:val="21"/>
              </w:rPr>
              <w:t>630,009.80</w:t>
            </w:r>
          </w:p>
        </w:tc>
        <w:tc>
          <w:tcPr>
            <w:tcW w:w="1153" w:type="pct"/>
            <w:shd w:val="clear" w:color="auto" w:fill="auto"/>
          </w:tcPr>
          <w:p w14:paraId="75BF6EA3">
            <w:pPr>
              <w:jc w:val="right"/>
              <w:rPr>
                <w:rFonts w:hint="eastAsia"/>
                <w:szCs w:val="21"/>
              </w:rPr>
            </w:pPr>
            <w:r>
              <w:rPr>
                <w:rFonts w:ascii="Arial Narrow" w:hAnsi="Arial Narrow" w:eastAsia="等线"/>
                <w:color w:val="000000"/>
                <w:szCs w:val="21"/>
              </w:rPr>
              <w:t>630,009.80</w:t>
            </w:r>
          </w:p>
        </w:tc>
        <w:tc>
          <w:tcPr>
            <w:tcW w:w="1152" w:type="pct"/>
          </w:tcPr>
          <w:p w14:paraId="4C045D6C">
            <w:pPr>
              <w:jc w:val="right"/>
              <w:rPr>
                <w:rFonts w:hint="eastAsia"/>
                <w:szCs w:val="21"/>
              </w:rPr>
            </w:pPr>
            <w:r>
              <w:rPr>
                <w:rFonts w:hint="eastAsia"/>
                <w:szCs w:val="21"/>
              </w:rPr>
              <w:t>/</w:t>
            </w:r>
          </w:p>
        </w:tc>
      </w:tr>
      <w:tr w14:paraId="2797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pct"/>
            <w:shd w:val="clear" w:color="auto" w:fill="auto"/>
            <w:vAlign w:val="center"/>
          </w:tcPr>
          <w:p w14:paraId="1CA1BE27">
            <w:pPr>
              <w:jc w:val="center"/>
              <w:rPr>
                <w:rFonts w:hint="eastAsia"/>
                <w:szCs w:val="21"/>
              </w:rPr>
            </w:pPr>
            <w:r>
              <w:rPr>
                <w:rFonts w:hint="eastAsia"/>
                <w:szCs w:val="21"/>
              </w:rPr>
              <w:t>合计</w:t>
            </w:r>
          </w:p>
        </w:tc>
        <w:tc>
          <w:tcPr>
            <w:tcW w:w="1143" w:type="pct"/>
            <w:shd w:val="clear" w:color="auto" w:fill="auto"/>
          </w:tcPr>
          <w:p w14:paraId="04089ED6">
            <w:pPr>
              <w:jc w:val="right"/>
              <w:rPr>
                <w:rFonts w:hint="eastAsia"/>
                <w:szCs w:val="21"/>
              </w:rPr>
            </w:pPr>
            <w:r>
              <w:rPr>
                <w:rFonts w:ascii="Arial Narrow" w:hAnsi="Arial Narrow" w:eastAsia="等线"/>
                <w:color w:val="000000"/>
                <w:szCs w:val="21"/>
              </w:rPr>
              <w:t>630,009.80</w:t>
            </w:r>
          </w:p>
        </w:tc>
        <w:tc>
          <w:tcPr>
            <w:tcW w:w="1153" w:type="pct"/>
            <w:shd w:val="clear" w:color="auto" w:fill="auto"/>
          </w:tcPr>
          <w:p w14:paraId="59C221DA">
            <w:pPr>
              <w:jc w:val="right"/>
              <w:rPr>
                <w:rFonts w:hint="eastAsia"/>
                <w:szCs w:val="21"/>
              </w:rPr>
            </w:pPr>
            <w:r>
              <w:rPr>
                <w:rFonts w:ascii="Arial Narrow" w:hAnsi="Arial Narrow" w:eastAsia="等线"/>
                <w:color w:val="000000"/>
                <w:szCs w:val="21"/>
              </w:rPr>
              <w:t>630,009.80</w:t>
            </w:r>
          </w:p>
        </w:tc>
        <w:tc>
          <w:tcPr>
            <w:tcW w:w="1152" w:type="pct"/>
          </w:tcPr>
          <w:p w14:paraId="0799852F">
            <w:pPr>
              <w:jc w:val="right"/>
              <w:rPr>
                <w:rFonts w:hint="eastAsia"/>
                <w:szCs w:val="21"/>
              </w:rPr>
            </w:pPr>
            <w:r>
              <w:rPr>
                <w:rFonts w:hint="eastAsia"/>
                <w:szCs w:val="21"/>
              </w:rPr>
              <w:t>/</w:t>
            </w:r>
          </w:p>
        </w:tc>
      </w:tr>
    </w:tbl>
    <w:p w14:paraId="6BA0AA59">
      <w:pPr>
        <w:rPr>
          <w:rFonts w:hint="eastAsia"/>
        </w:rPr>
      </w:pPr>
      <w:r>
        <w:rPr>
          <w:rFonts w:hint="eastAsia"/>
        </w:rPr>
        <w:t>其他</w:t>
      </w:r>
      <w:r>
        <w:t>说明：</w:t>
      </w:r>
    </w:p>
    <w:sdt>
      <w:sdtPr>
        <w:alias w:val="是否适用：交易性金融资产的说明[双击切换]"/>
        <w:tag w:val="_GBC_9bed9315a85147e7ac11c2b4bac78358"/>
        <w:id w:val="154109873"/>
        <w:placeholder>
          <w:docPart w:val="GBC22222222222222222222222222222"/>
        </w:placeholder>
      </w:sdtPr>
      <w:sdtContent>
        <w:p w14:paraId="4BFC6CB1">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DE2AD26">
      <w:pPr>
        <w:rPr>
          <w:rFonts w:hint="eastAsia"/>
          <w:szCs w:val="21"/>
        </w:rPr>
      </w:pPr>
    </w:p>
    <w:p w14:paraId="6C196564">
      <w:pPr>
        <w:pStyle w:val="70"/>
        <w:numPr>
          <w:ilvl w:val="0"/>
          <w:numId w:val="109"/>
        </w:numPr>
        <w:rPr>
          <w:szCs w:val="21"/>
        </w:rPr>
      </w:pPr>
      <w:r>
        <w:rPr>
          <w:szCs w:val="21"/>
        </w:rPr>
        <w:t>衍生金融资产</w:t>
      </w:r>
    </w:p>
    <w:sdt>
      <w:sdtPr>
        <w:alias w:val="是否适用：衍生金融资产[双击切换]"/>
        <w:tag w:val="_GBC_d17bfaab262c4a499d0afca62045c5e0"/>
        <w:id w:val="-251044790"/>
        <w:placeholder>
          <w:docPart w:val="GBC22222222222222222222222222222"/>
        </w:placeholder>
      </w:sdtPr>
      <w:sdtContent>
        <w:p w14:paraId="25539E52">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7656BD6">
      <w:pPr>
        <w:snapToGrid w:val="0"/>
        <w:spacing w:line="240" w:lineRule="atLeast"/>
        <w:ind w:left="1470" w:right="25" w:rightChars="12" w:hanging="1470" w:hangingChars="700"/>
        <w:rPr>
          <w:rFonts w:hint="eastAsia"/>
          <w:szCs w:val="21"/>
        </w:rPr>
      </w:pPr>
    </w:p>
    <w:p w14:paraId="08E6FA77">
      <w:pPr>
        <w:pStyle w:val="70"/>
        <w:numPr>
          <w:ilvl w:val="0"/>
          <w:numId w:val="109"/>
        </w:numPr>
        <w:rPr>
          <w:szCs w:val="21"/>
        </w:rPr>
      </w:pPr>
      <w:r>
        <w:rPr>
          <w:szCs w:val="21"/>
        </w:rPr>
        <w:t>应收票据</w:t>
      </w:r>
    </w:p>
    <w:p w14:paraId="4560058B">
      <w:pPr>
        <w:keepNext/>
        <w:keepLines/>
        <w:widowControl w:val="0"/>
        <w:numPr>
          <w:ilvl w:val="3"/>
          <w:numId w:val="110"/>
        </w:numPr>
        <w:spacing w:before="60" w:line="360" w:lineRule="auto"/>
        <w:ind w:left="426" w:hanging="426"/>
        <w:jc w:val="both"/>
        <w:outlineLvl w:val="3"/>
        <w:rPr>
          <w:rFonts w:hint="eastAsia" w:cs="Times New Roman" w:asciiTheme="minorEastAsia" w:hAnsiTheme="minorEastAsia" w:eastAsiaTheme="minorEastAsia"/>
          <w:b/>
          <w:bCs/>
          <w:kern w:val="2"/>
          <w:szCs w:val="28"/>
        </w:rPr>
      </w:pPr>
      <w:r>
        <w:rPr>
          <w:rFonts w:hint="eastAsia" w:cs="Times New Roman" w:asciiTheme="minorEastAsia" w:hAnsiTheme="minorEastAsia" w:eastAsiaTheme="minorEastAsia"/>
          <w:b/>
          <w:bCs/>
          <w:kern w:val="2"/>
          <w:szCs w:val="28"/>
        </w:rPr>
        <w:t>应收票据分类列示</w:t>
      </w:r>
    </w:p>
    <w:sdt>
      <w:sdtPr>
        <w:alias w:val="是否适用：应收票据分类列示[双击切换]"/>
        <w:tag w:val="_GBC_bdf010020d484a01ae60c52d7465a06a"/>
        <w:id w:val="1677836294"/>
        <w:placeholder>
          <w:docPart w:val="EE18C971995A4A3A82F9B8FBF85A38C8"/>
        </w:placeholder>
      </w:sdtPr>
      <w:sdtContent>
        <w:p w14:paraId="0FC17213">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B420ECF">
      <w:pPr>
        <w:snapToGrid w:val="0"/>
        <w:spacing w:line="240" w:lineRule="atLeast"/>
        <w:jc w:val="right"/>
        <w:rPr>
          <w:rFonts w:hint="eastAsia"/>
          <w:szCs w:val="21"/>
        </w:rPr>
      </w:pPr>
      <w:r>
        <w:rPr>
          <w:rFonts w:hint="eastAsia"/>
          <w:szCs w:val="21"/>
        </w:rPr>
        <w:t>单位：</w:t>
      </w:r>
      <w:sdt>
        <w:sdtPr>
          <w:rPr>
            <w:rFonts w:hint="eastAsia"/>
            <w:szCs w:val="21"/>
          </w:rPr>
          <w:alias w:val="单位：财务附注：应收票据分类"/>
          <w:tag w:val="_GBC_4fa3399364a4449485326bfdb1de5245"/>
          <w:id w:val="268439566"/>
          <w:placeholder>
            <w:docPart w:val="EE18C971995A4A3A82F9B8FBF85A38C8"/>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070231220"/>
          <w:placeholder>
            <w:docPart w:val="EE18C971995A4A3A82F9B8FBF85A38C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14"/>
        <w:gridCol w:w="3048"/>
        <w:gridCol w:w="2861"/>
      </w:tblGrid>
      <w:tr w14:paraId="60C1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d44f6beac5e4b8688c30e166c6780c8"/>
            <w:id w:val="1329873072"/>
          </w:sdtPr>
          <w:sdtContent>
            <w:tc>
              <w:tcPr>
                <w:tcW w:w="1651" w:type="pct"/>
                <w:vAlign w:val="center"/>
              </w:tcPr>
              <w:p w14:paraId="003ECEC1">
                <w:pPr>
                  <w:autoSpaceDE w:val="0"/>
                  <w:autoSpaceDN w:val="0"/>
                  <w:adjustRightInd w:val="0"/>
                  <w:snapToGrid w:val="0"/>
                  <w:spacing w:line="240" w:lineRule="atLeast"/>
                  <w:jc w:val="center"/>
                  <w:rPr>
                    <w:rFonts w:hint="eastAsia"/>
                    <w:szCs w:val="21"/>
                  </w:rPr>
                </w:pPr>
                <w:r>
                  <w:rPr>
                    <w:rFonts w:hint="eastAsia"/>
                    <w:szCs w:val="21"/>
                  </w:rPr>
                  <w:t>项目</w:t>
                </w:r>
              </w:p>
            </w:tc>
          </w:sdtContent>
        </w:sdt>
        <w:sdt>
          <w:sdtPr>
            <w:tag w:val="_PLD_dea2f5c6a1cb487287096a3435e5e8de"/>
            <w:id w:val="-103964829"/>
          </w:sdtPr>
          <w:sdtContent>
            <w:tc>
              <w:tcPr>
                <w:tcW w:w="1727" w:type="pct"/>
                <w:vAlign w:val="center"/>
              </w:tcPr>
              <w:p w14:paraId="048E7465">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5d16922842b04d10836d1bc80b3b3b4e"/>
            <w:id w:val="-307711436"/>
          </w:sdtPr>
          <w:sdtContent>
            <w:tc>
              <w:tcPr>
                <w:tcW w:w="1621" w:type="pct"/>
                <w:vAlign w:val="center"/>
              </w:tcPr>
              <w:p w14:paraId="6813F599">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5842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6a83fc5bb974487788e5e58a59a3eb5f"/>
            <w:id w:val="-445692012"/>
          </w:sdtPr>
          <w:sdtContent>
            <w:tc>
              <w:tcPr>
                <w:tcW w:w="1651" w:type="pct"/>
              </w:tcPr>
              <w:p w14:paraId="05AAD989">
                <w:pPr>
                  <w:autoSpaceDE w:val="0"/>
                  <w:autoSpaceDN w:val="0"/>
                  <w:adjustRightInd w:val="0"/>
                  <w:snapToGrid w:val="0"/>
                  <w:spacing w:line="240" w:lineRule="atLeast"/>
                  <w:rPr>
                    <w:rFonts w:hint="eastAsia"/>
                    <w:szCs w:val="21"/>
                  </w:rPr>
                </w:pPr>
                <w:r>
                  <w:rPr>
                    <w:rFonts w:hint="eastAsia"/>
                    <w:szCs w:val="21"/>
                  </w:rPr>
                  <w:t>银行承兑票据</w:t>
                </w:r>
              </w:p>
            </w:tc>
          </w:sdtContent>
        </w:sdt>
        <w:tc>
          <w:tcPr>
            <w:tcW w:w="1727" w:type="pct"/>
          </w:tcPr>
          <w:p w14:paraId="0668132C">
            <w:pPr>
              <w:ind w:right="13"/>
              <w:jc w:val="right"/>
              <w:rPr>
                <w:rFonts w:hint="eastAsia"/>
                <w:szCs w:val="21"/>
              </w:rPr>
            </w:pPr>
            <w:r>
              <w:rPr>
                <w:rFonts w:ascii="Arial Narrow" w:hAnsi="Arial Narrow" w:eastAsia="等线"/>
                <w:color w:val="000000"/>
                <w:szCs w:val="21"/>
              </w:rPr>
              <w:t>38,018,663.35</w:t>
            </w:r>
          </w:p>
        </w:tc>
        <w:tc>
          <w:tcPr>
            <w:tcW w:w="1621" w:type="pct"/>
          </w:tcPr>
          <w:p w14:paraId="61B42D83">
            <w:pPr>
              <w:ind w:right="13"/>
              <w:jc w:val="right"/>
              <w:rPr>
                <w:rFonts w:hint="eastAsia"/>
                <w:szCs w:val="21"/>
              </w:rPr>
            </w:pPr>
            <w:r>
              <w:rPr>
                <w:rFonts w:ascii="Arial Narrow" w:hAnsi="Arial Narrow" w:eastAsia="等线"/>
                <w:color w:val="000000"/>
                <w:szCs w:val="21"/>
              </w:rPr>
              <w:t>35,066,885.13</w:t>
            </w:r>
          </w:p>
        </w:tc>
      </w:tr>
      <w:tr w14:paraId="3E14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aad9336fa56348e9b260b413a50411a8"/>
            <w:id w:val="1309826010"/>
          </w:sdtPr>
          <w:sdtContent>
            <w:tc>
              <w:tcPr>
                <w:tcW w:w="1651" w:type="pct"/>
              </w:tcPr>
              <w:p w14:paraId="1B73FCBE">
                <w:pPr>
                  <w:autoSpaceDE w:val="0"/>
                  <w:autoSpaceDN w:val="0"/>
                  <w:adjustRightInd w:val="0"/>
                  <w:snapToGrid w:val="0"/>
                  <w:spacing w:line="240" w:lineRule="atLeast"/>
                  <w:rPr>
                    <w:rFonts w:hint="eastAsia"/>
                    <w:szCs w:val="21"/>
                  </w:rPr>
                </w:pPr>
                <w:r>
                  <w:rPr>
                    <w:rFonts w:hint="eastAsia"/>
                    <w:szCs w:val="21"/>
                  </w:rPr>
                  <w:t>商业承兑票据</w:t>
                </w:r>
              </w:p>
            </w:tc>
          </w:sdtContent>
        </w:sdt>
        <w:tc>
          <w:tcPr>
            <w:tcW w:w="1727" w:type="pct"/>
          </w:tcPr>
          <w:p w14:paraId="4BB3BA86">
            <w:pPr>
              <w:ind w:right="13"/>
              <w:jc w:val="right"/>
              <w:rPr>
                <w:rFonts w:hint="eastAsia"/>
                <w:szCs w:val="21"/>
              </w:rPr>
            </w:pPr>
            <w:r>
              <w:rPr>
                <w:rFonts w:ascii="Arial Narrow" w:hAnsi="Arial Narrow" w:eastAsia="等线"/>
                <w:color w:val="000000"/>
                <w:szCs w:val="21"/>
              </w:rPr>
              <w:t>26,645,948.48</w:t>
            </w:r>
          </w:p>
        </w:tc>
        <w:tc>
          <w:tcPr>
            <w:tcW w:w="1621" w:type="pct"/>
          </w:tcPr>
          <w:p w14:paraId="490774AE">
            <w:pPr>
              <w:ind w:right="13"/>
              <w:jc w:val="right"/>
              <w:rPr>
                <w:rFonts w:hint="eastAsia"/>
                <w:szCs w:val="21"/>
              </w:rPr>
            </w:pPr>
            <w:r>
              <w:rPr>
                <w:rFonts w:ascii="Arial Narrow" w:hAnsi="Arial Narrow" w:eastAsia="等线"/>
                <w:color w:val="000000"/>
                <w:szCs w:val="21"/>
              </w:rPr>
              <w:t>28,559,439.88</w:t>
            </w:r>
          </w:p>
        </w:tc>
      </w:tr>
      <w:sdt>
        <w:sdtPr>
          <w:rPr>
            <w:rFonts w:hint="eastAsia"/>
            <w:szCs w:val="21"/>
          </w:rPr>
          <w:alias w:val="应收票据明细"/>
          <w:tag w:val="_TUP_95bc3e2ae8fa48eb8d897a4e992c7af2"/>
          <w:id w:val="161900680"/>
          <w:placeholder>
            <w:docPart w:val="038C13919FCE498E8AD3036FD0F6A352"/>
          </w:placeholder>
        </w:sdtPr>
        <w:sdtEndPr>
          <w:rPr>
            <w:rFonts w:hint="default" w:ascii="Arial Narrow" w:hAnsi="Arial Narrow" w:eastAsia="等线"/>
            <w:color w:val="000000"/>
            <w:szCs w:val="21"/>
          </w:rPr>
        </w:sdtEndPr>
        <w:sdtContent>
          <w:tr w14:paraId="6BF8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51" w:type="pct"/>
              </w:tcPr>
              <w:p w14:paraId="23604B94">
                <w:pPr>
                  <w:autoSpaceDE w:val="0"/>
                  <w:autoSpaceDN w:val="0"/>
                  <w:adjustRightInd w:val="0"/>
                  <w:snapToGrid w:val="0"/>
                  <w:spacing w:line="240" w:lineRule="atLeast"/>
                  <w:rPr>
                    <w:rFonts w:hint="eastAsia"/>
                    <w:szCs w:val="21"/>
                  </w:rPr>
                </w:pPr>
                <w:r>
                  <w:rPr>
                    <w:rFonts w:hint="eastAsia"/>
                    <w:szCs w:val="21"/>
                  </w:rPr>
                  <w:t>财务公司承兑汇票</w:t>
                </w:r>
              </w:p>
            </w:tc>
            <w:tc>
              <w:tcPr>
                <w:tcW w:w="1727" w:type="pct"/>
              </w:tcPr>
              <w:p w14:paraId="40402629">
                <w:pPr>
                  <w:ind w:right="13"/>
                  <w:jc w:val="right"/>
                  <w:rPr>
                    <w:rFonts w:hint="eastAsia"/>
                    <w:szCs w:val="21"/>
                  </w:rPr>
                </w:pPr>
                <w:r>
                  <w:rPr>
                    <w:rFonts w:ascii="Arial Narrow" w:hAnsi="Arial Narrow" w:eastAsia="等线"/>
                    <w:color w:val="000000"/>
                    <w:szCs w:val="21"/>
                  </w:rPr>
                  <w:t>323,570.02</w:t>
                </w:r>
              </w:p>
            </w:tc>
            <w:tc>
              <w:tcPr>
                <w:tcW w:w="1621" w:type="pct"/>
              </w:tcPr>
              <w:p w14:paraId="7804D1FA">
                <w:pPr>
                  <w:ind w:right="13"/>
                  <w:jc w:val="right"/>
                  <w:rPr>
                    <w:rFonts w:hint="eastAsia"/>
                    <w:szCs w:val="21"/>
                  </w:rPr>
                </w:pPr>
                <w:r>
                  <w:rPr>
                    <w:rFonts w:ascii="Arial Narrow" w:hAnsi="Arial Narrow" w:eastAsia="等线"/>
                    <w:color w:val="000000"/>
                    <w:szCs w:val="21"/>
                  </w:rPr>
                  <w:t>12,093,620.15</w:t>
                </w:r>
              </w:p>
            </w:tc>
          </w:tr>
        </w:sdtContent>
      </w:sdt>
      <w:tr w14:paraId="2394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dfdd4d3895f64e489d74e6caea548a3b"/>
            <w:id w:val="-720130462"/>
          </w:sdtPr>
          <w:sdtContent>
            <w:tc>
              <w:tcPr>
                <w:tcW w:w="1651" w:type="pct"/>
                <w:vAlign w:val="center"/>
              </w:tcPr>
              <w:p w14:paraId="2348A1B2">
                <w:pPr>
                  <w:autoSpaceDE w:val="0"/>
                  <w:autoSpaceDN w:val="0"/>
                  <w:adjustRightInd w:val="0"/>
                  <w:snapToGrid w:val="0"/>
                  <w:spacing w:line="240" w:lineRule="atLeast"/>
                  <w:jc w:val="center"/>
                  <w:rPr>
                    <w:rFonts w:hint="eastAsia"/>
                    <w:szCs w:val="21"/>
                  </w:rPr>
                </w:pPr>
                <w:r>
                  <w:rPr>
                    <w:rFonts w:hint="eastAsia"/>
                    <w:szCs w:val="21"/>
                  </w:rPr>
                  <w:t>合计</w:t>
                </w:r>
              </w:p>
            </w:tc>
          </w:sdtContent>
        </w:sdt>
        <w:tc>
          <w:tcPr>
            <w:tcW w:w="1727" w:type="pct"/>
          </w:tcPr>
          <w:p w14:paraId="346FFCB0">
            <w:pPr>
              <w:jc w:val="right"/>
              <w:rPr>
                <w:rFonts w:hint="eastAsia"/>
                <w:szCs w:val="21"/>
              </w:rPr>
            </w:pPr>
            <w:r>
              <w:rPr>
                <w:rFonts w:ascii="Arial Narrow" w:hAnsi="Arial Narrow" w:eastAsia="等线"/>
                <w:color w:val="000000"/>
                <w:szCs w:val="21"/>
              </w:rPr>
              <w:t>64,988,181.85</w:t>
            </w:r>
          </w:p>
        </w:tc>
        <w:tc>
          <w:tcPr>
            <w:tcW w:w="1621" w:type="pct"/>
          </w:tcPr>
          <w:p w14:paraId="473DA94E">
            <w:pPr>
              <w:autoSpaceDE w:val="0"/>
              <w:autoSpaceDN w:val="0"/>
              <w:adjustRightInd w:val="0"/>
              <w:jc w:val="right"/>
              <w:rPr>
                <w:rFonts w:hint="eastAsia"/>
                <w:szCs w:val="21"/>
              </w:rPr>
            </w:pPr>
            <w:r>
              <w:rPr>
                <w:rFonts w:ascii="Arial Narrow" w:hAnsi="Arial Narrow" w:eastAsia="等线"/>
                <w:color w:val="000000"/>
                <w:szCs w:val="21"/>
              </w:rPr>
              <w:t>75,719,945.16</w:t>
            </w:r>
          </w:p>
        </w:tc>
      </w:tr>
    </w:tbl>
    <w:p w14:paraId="224C92AC">
      <w:pPr>
        <w:snapToGrid w:val="0"/>
        <w:spacing w:line="240" w:lineRule="atLeast"/>
        <w:rPr>
          <w:rFonts w:hint="eastAsia"/>
          <w:szCs w:val="21"/>
        </w:rPr>
      </w:pPr>
    </w:p>
    <w:p w14:paraId="61DD3AF3">
      <w:pPr>
        <w:snapToGrid w:val="0"/>
        <w:spacing w:line="240" w:lineRule="atLeast"/>
        <w:rPr>
          <w:rFonts w:hint="eastAsia"/>
          <w:szCs w:val="21"/>
        </w:rPr>
      </w:pPr>
    </w:p>
    <w:p w14:paraId="2475BC99">
      <w:pPr>
        <w:pStyle w:val="71"/>
        <w:numPr>
          <w:ilvl w:val="3"/>
          <w:numId w:val="110"/>
        </w:numPr>
        <w:ind w:left="426" w:hanging="426"/>
        <w:rPr>
          <w:rFonts w:hint="eastAsia"/>
        </w:rPr>
      </w:pPr>
      <w:r>
        <w:rPr>
          <w:rFonts w:hint="eastAsia"/>
        </w:rPr>
        <w:t>期末公司已质押的应收票据</w:t>
      </w:r>
    </w:p>
    <w:sdt>
      <w:sdtPr>
        <w:alias w:val="是否适用：期末公司已质押的应收票据[双击切换]"/>
        <w:tag w:val="_GBC_5281ffb2b9304a49a6db0c913bbaac53"/>
        <w:id w:val="-137727423"/>
        <w:placeholder>
          <w:docPart w:val="GBC22222222222222222222222222222"/>
        </w:placeholder>
      </w:sdtPr>
      <w:sdtContent>
        <w:p w14:paraId="394A6E09">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9536606">
      <w:pPr>
        <w:rPr>
          <w:rFonts w:hint="eastAsia"/>
          <w:szCs w:val="21"/>
        </w:rPr>
      </w:pPr>
    </w:p>
    <w:p w14:paraId="04391CDD">
      <w:pPr>
        <w:keepNext/>
        <w:keepLines/>
        <w:widowControl w:val="0"/>
        <w:numPr>
          <w:ilvl w:val="3"/>
          <w:numId w:val="110"/>
        </w:numPr>
        <w:spacing w:before="60" w:line="360" w:lineRule="auto"/>
        <w:ind w:left="426" w:hanging="426"/>
        <w:jc w:val="both"/>
        <w:outlineLvl w:val="3"/>
        <w:rPr>
          <w:rFonts w:hint="eastAsia" w:cs="Times New Roman" w:asciiTheme="minorEastAsia" w:hAnsiTheme="minorEastAsia" w:eastAsiaTheme="minorEastAsia"/>
          <w:b/>
          <w:bCs/>
          <w:kern w:val="2"/>
          <w:szCs w:val="28"/>
        </w:rPr>
      </w:pPr>
      <w:r>
        <w:rPr>
          <w:rFonts w:hint="eastAsia" w:cs="Times New Roman" w:asciiTheme="minorEastAsia" w:hAnsiTheme="minorEastAsia" w:eastAsiaTheme="minorEastAsia"/>
          <w:b/>
          <w:bCs/>
          <w:kern w:val="2"/>
          <w:szCs w:val="28"/>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2856266"/>
        <w:placeholder>
          <w:docPart w:val="17B36559071A41B3A85372836F1A5813"/>
        </w:placeholder>
      </w:sdtPr>
      <w:sdtContent>
        <w:p w14:paraId="1E15087B">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7F30C84">
      <w:pPr>
        <w:jc w:val="right"/>
        <w:rPr>
          <w:rFonts w:hint="eastAsia"/>
        </w:rPr>
      </w:pPr>
      <w:r>
        <w:rPr>
          <w:rFonts w:hint="eastAsia"/>
        </w:rPr>
        <w:t>单位：</w:t>
      </w:r>
      <w:sdt>
        <w:sdtPr>
          <w:rPr>
            <w:rFonts w:hint="eastAsia"/>
          </w:rPr>
          <w:alias w:val="单位：财务附注：期末公司已背书或贴现且在资产负债表日尚未到期的应收票据"/>
          <w:tag w:val="_GBC_bc7717964169410893520d1c7b6cffbc"/>
          <w:id w:val="-2054455809"/>
          <w:placeholder>
            <w:docPart w:val="17B36559071A41B3A85372836F1A5813"/>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89984424"/>
          <w:placeholder>
            <w:docPart w:val="17B36559071A41B3A85372836F1A581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6"/>
        <w:gridCol w:w="2973"/>
        <w:gridCol w:w="3044"/>
      </w:tblGrid>
      <w:tr w14:paraId="2038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6a87ff67e5b45fd8796a3a35ba8193e"/>
            <w:id w:val="546954870"/>
          </w:sdtPr>
          <w:sdtContent>
            <w:tc>
              <w:tcPr>
                <w:tcW w:w="1590" w:type="pct"/>
                <w:shd w:val="clear" w:color="auto" w:fill="auto"/>
                <w:vAlign w:val="center"/>
              </w:tcPr>
              <w:p w14:paraId="3233F67D">
                <w:pPr>
                  <w:jc w:val="center"/>
                  <w:rPr>
                    <w:rFonts w:hint="eastAsia"/>
                    <w:szCs w:val="21"/>
                  </w:rPr>
                </w:pPr>
                <w:r>
                  <w:rPr>
                    <w:rFonts w:hint="eastAsia"/>
                    <w:szCs w:val="21"/>
                  </w:rPr>
                  <w:t>项目</w:t>
                </w:r>
              </w:p>
            </w:tc>
          </w:sdtContent>
        </w:sdt>
        <w:sdt>
          <w:sdtPr>
            <w:tag w:val="_PLD_f9150e3257574b5dab33b7c7a9c74bd0"/>
            <w:id w:val="-1231148156"/>
          </w:sdtPr>
          <w:sdtContent>
            <w:tc>
              <w:tcPr>
                <w:tcW w:w="1685" w:type="pct"/>
                <w:shd w:val="clear" w:color="auto" w:fill="auto"/>
                <w:vAlign w:val="center"/>
              </w:tcPr>
              <w:p w14:paraId="0E83E308">
                <w:pPr>
                  <w:jc w:val="center"/>
                  <w:rPr>
                    <w:rFonts w:hint="eastAsia"/>
                    <w:szCs w:val="21"/>
                  </w:rPr>
                </w:pPr>
                <w:r>
                  <w:rPr>
                    <w:rFonts w:hint="eastAsia"/>
                    <w:szCs w:val="21"/>
                  </w:rPr>
                  <w:t>期末终止确认金额</w:t>
                </w:r>
              </w:p>
            </w:tc>
          </w:sdtContent>
        </w:sdt>
        <w:sdt>
          <w:sdtPr>
            <w:tag w:val="_PLD_4f99e6fe1d4c4c57bab686890f8d0f57"/>
            <w:id w:val="-1377535564"/>
          </w:sdtPr>
          <w:sdtContent>
            <w:tc>
              <w:tcPr>
                <w:tcW w:w="1725" w:type="pct"/>
                <w:shd w:val="clear" w:color="auto" w:fill="auto"/>
                <w:vAlign w:val="center"/>
              </w:tcPr>
              <w:p w14:paraId="74A95BEB">
                <w:pPr>
                  <w:jc w:val="center"/>
                  <w:rPr>
                    <w:rFonts w:hint="eastAsia"/>
                    <w:szCs w:val="21"/>
                  </w:rPr>
                </w:pPr>
                <w:r>
                  <w:rPr>
                    <w:rFonts w:hint="eastAsia"/>
                    <w:szCs w:val="21"/>
                  </w:rPr>
                  <w:t>期末未终止确认金额</w:t>
                </w:r>
              </w:p>
            </w:tc>
          </w:sdtContent>
        </w:sdt>
      </w:tr>
      <w:tr w14:paraId="5A7F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shd w:val="clear" w:color="auto" w:fill="auto"/>
          </w:tcPr>
          <w:p w14:paraId="28812811">
            <w:pPr>
              <w:rPr>
                <w:rFonts w:hint="eastAsia"/>
                <w:szCs w:val="21"/>
              </w:rPr>
            </w:pPr>
            <w:r>
              <w:rPr>
                <w:rFonts w:hint="eastAsia"/>
              </w:rPr>
              <w:t>银行承兑票据</w:t>
            </w:r>
          </w:p>
        </w:tc>
        <w:tc>
          <w:tcPr>
            <w:tcW w:w="1685" w:type="pct"/>
            <w:shd w:val="clear" w:color="auto" w:fill="auto"/>
          </w:tcPr>
          <w:p w14:paraId="7DEAD25D">
            <w:pPr>
              <w:jc w:val="right"/>
              <w:rPr>
                <w:rFonts w:hint="eastAsia"/>
                <w:szCs w:val="21"/>
              </w:rPr>
            </w:pPr>
            <w:r>
              <w:rPr>
                <w:rFonts w:ascii="Arial Narrow" w:hAnsi="Arial Narrow" w:eastAsia="等线"/>
                <w:color w:val="000000"/>
                <w:szCs w:val="21"/>
              </w:rPr>
              <w:t>229,318,360.85</w:t>
            </w:r>
          </w:p>
        </w:tc>
        <w:tc>
          <w:tcPr>
            <w:tcW w:w="1725" w:type="pct"/>
            <w:shd w:val="clear" w:color="auto" w:fill="auto"/>
          </w:tcPr>
          <w:p w14:paraId="349530D9">
            <w:pPr>
              <w:jc w:val="right"/>
              <w:rPr>
                <w:rFonts w:hint="eastAsia"/>
                <w:szCs w:val="21"/>
              </w:rPr>
            </w:pPr>
          </w:p>
        </w:tc>
      </w:tr>
      <w:tr w14:paraId="4EF6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shd w:val="clear" w:color="auto" w:fill="auto"/>
          </w:tcPr>
          <w:p w14:paraId="720646BA">
            <w:pPr>
              <w:rPr>
                <w:rFonts w:hint="eastAsia"/>
              </w:rPr>
            </w:pPr>
            <w:r>
              <w:rPr>
                <w:rFonts w:hint="eastAsia"/>
              </w:rPr>
              <w:t>商业承兑票据</w:t>
            </w:r>
          </w:p>
        </w:tc>
        <w:tc>
          <w:tcPr>
            <w:tcW w:w="1685" w:type="pct"/>
            <w:shd w:val="clear" w:color="auto" w:fill="auto"/>
          </w:tcPr>
          <w:p w14:paraId="75D436B1">
            <w:pPr>
              <w:jc w:val="right"/>
              <w:rPr>
                <w:rFonts w:hint="eastAsia"/>
                <w:szCs w:val="21"/>
              </w:rPr>
            </w:pPr>
          </w:p>
        </w:tc>
        <w:tc>
          <w:tcPr>
            <w:tcW w:w="1725" w:type="pct"/>
            <w:shd w:val="clear" w:color="auto" w:fill="auto"/>
          </w:tcPr>
          <w:p w14:paraId="69431E82">
            <w:pPr>
              <w:jc w:val="right"/>
              <w:rPr>
                <w:rFonts w:hint="eastAsia"/>
                <w:szCs w:val="21"/>
              </w:rPr>
            </w:pPr>
            <w:r>
              <w:rPr>
                <w:rFonts w:ascii="Arial Narrow" w:hAnsi="Arial Narrow" w:eastAsia="等线"/>
                <w:color w:val="000000"/>
                <w:szCs w:val="21"/>
              </w:rPr>
              <w:t>6,033,977.09</w:t>
            </w:r>
          </w:p>
        </w:tc>
      </w:tr>
      <w:sdt>
        <w:sdtPr>
          <w:rPr>
            <w:rFonts w:hint="eastAsia"/>
            <w:szCs w:val="21"/>
          </w:rPr>
          <w:alias w:val="公司已背书或贴现且在资产负债表日尚未到期的应收票据明细"/>
          <w:tag w:val="_TUP_b290a3671af94ab2a9b6935d80fe74d3"/>
          <w:id w:val="1269825907"/>
          <w:placeholder>
            <w:docPart w:val="1FF75262F8BC4476ADA784BA190CC899"/>
          </w:placeholder>
        </w:sdtPr>
        <w:sdtEndPr>
          <w:rPr>
            <w:rFonts w:hint="eastAsia"/>
            <w:szCs w:val="21"/>
            <w:highlight w:val="cyan"/>
          </w:rPr>
        </w:sdtEndPr>
        <w:sdtContent>
          <w:tr w14:paraId="16AD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shd w:val="clear" w:color="auto" w:fill="auto"/>
              </w:tcPr>
              <w:p w14:paraId="58C03BC7">
                <w:pPr>
                  <w:rPr>
                    <w:rFonts w:hint="eastAsia"/>
                  </w:rPr>
                </w:pPr>
                <w:r>
                  <w:rPr>
                    <w:rFonts w:hint="eastAsia"/>
                    <w:szCs w:val="21"/>
                  </w:rPr>
                  <w:t>财务公司承兑汇票</w:t>
                </w:r>
              </w:p>
            </w:tc>
            <w:tc>
              <w:tcPr>
                <w:tcW w:w="1685" w:type="pct"/>
                <w:shd w:val="clear" w:color="auto" w:fill="auto"/>
              </w:tcPr>
              <w:p w14:paraId="61C213CA">
                <w:pPr>
                  <w:jc w:val="right"/>
                  <w:rPr>
                    <w:rFonts w:hint="eastAsia"/>
                    <w:szCs w:val="21"/>
                  </w:rPr>
                </w:pPr>
                <w:r>
                  <w:rPr>
                    <w:rFonts w:ascii="Arial Narrow" w:hAnsi="Arial Narrow" w:eastAsia="等线"/>
                    <w:color w:val="000000"/>
                    <w:szCs w:val="21"/>
                  </w:rPr>
                  <w:t>53,526,984.43</w:t>
                </w:r>
              </w:p>
            </w:tc>
            <w:tc>
              <w:tcPr>
                <w:tcW w:w="1725" w:type="pct"/>
                <w:shd w:val="clear" w:color="auto" w:fill="auto"/>
              </w:tcPr>
              <w:p w14:paraId="6D7E05B2">
                <w:pPr>
                  <w:jc w:val="right"/>
                  <w:rPr>
                    <w:rFonts w:hint="eastAsia"/>
                    <w:szCs w:val="21"/>
                    <w:highlight w:val="cyan"/>
                  </w:rPr>
                </w:pPr>
              </w:p>
            </w:tc>
          </w:tr>
        </w:sdtContent>
      </w:sdt>
      <w:tr w14:paraId="6899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shd w:val="clear" w:color="auto" w:fill="auto"/>
            <w:vAlign w:val="center"/>
          </w:tcPr>
          <w:p w14:paraId="12DC8A1A">
            <w:pPr>
              <w:jc w:val="center"/>
              <w:rPr>
                <w:rFonts w:hint="eastAsia"/>
              </w:rPr>
            </w:pPr>
            <w:r>
              <w:rPr>
                <w:rFonts w:hint="eastAsia"/>
              </w:rPr>
              <w:t>合计</w:t>
            </w:r>
          </w:p>
        </w:tc>
        <w:tc>
          <w:tcPr>
            <w:tcW w:w="1685" w:type="pct"/>
            <w:shd w:val="clear" w:color="auto" w:fill="auto"/>
          </w:tcPr>
          <w:p w14:paraId="31AACF87">
            <w:pPr>
              <w:jc w:val="right"/>
              <w:rPr>
                <w:rFonts w:hint="eastAsia"/>
                <w:szCs w:val="21"/>
              </w:rPr>
            </w:pPr>
            <w:r>
              <w:rPr>
                <w:rFonts w:ascii="Arial Narrow" w:hAnsi="Arial Narrow" w:eastAsia="等线"/>
                <w:color w:val="000000"/>
                <w:szCs w:val="21"/>
              </w:rPr>
              <w:t>282,845,345.28</w:t>
            </w:r>
          </w:p>
        </w:tc>
        <w:tc>
          <w:tcPr>
            <w:tcW w:w="1725" w:type="pct"/>
            <w:shd w:val="clear" w:color="auto" w:fill="auto"/>
          </w:tcPr>
          <w:p w14:paraId="00E83DD9">
            <w:pPr>
              <w:jc w:val="right"/>
              <w:rPr>
                <w:rFonts w:hint="eastAsia"/>
                <w:szCs w:val="21"/>
              </w:rPr>
            </w:pPr>
            <w:r>
              <w:rPr>
                <w:rFonts w:ascii="Arial Narrow" w:hAnsi="Arial Narrow" w:eastAsia="等线"/>
                <w:color w:val="000000"/>
                <w:szCs w:val="21"/>
              </w:rPr>
              <w:t>6,033,977.09</w:t>
            </w:r>
          </w:p>
        </w:tc>
      </w:tr>
    </w:tbl>
    <w:p w14:paraId="5C0969F8">
      <w:pPr>
        <w:rPr>
          <w:rFonts w:ascii="Times New Roman" w:hAnsi="Times New Roman" w:cs="Times New Roman"/>
          <w:kern w:val="2"/>
        </w:rPr>
      </w:pPr>
    </w:p>
    <w:p w14:paraId="29130EDD">
      <w:pPr>
        <w:rPr>
          <w:rFonts w:ascii="Times New Roman" w:hAnsi="Times New Roman" w:cs="Times New Roman"/>
          <w:kern w:val="2"/>
        </w:rPr>
      </w:pPr>
    </w:p>
    <w:p w14:paraId="2DA41B45">
      <w:pPr>
        <w:pStyle w:val="71"/>
        <w:numPr>
          <w:ilvl w:val="3"/>
          <w:numId w:val="110"/>
        </w:numPr>
        <w:ind w:left="426" w:hanging="426"/>
        <w:rPr>
          <w:rFonts w:hint="eastAsia"/>
        </w:rPr>
      </w:pPr>
      <w:bookmarkStart w:id="235" w:name="_Hlk533596246"/>
      <w:r>
        <w:rPr>
          <w:rFonts w:hint="eastAsia"/>
        </w:rPr>
        <w:t>按坏账计提方法分类披露</w:t>
      </w:r>
    </w:p>
    <w:sdt>
      <w:sdtPr>
        <w:alias w:val="是否适用：应收票据按坏账计提方法分类披露[双击切换]"/>
        <w:tag w:val="_GBC_806abc31b942462ba4b46f92c99312a5"/>
        <w:id w:val="299276473"/>
        <w:placeholder>
          <w:docPart w:val="GBC22222222222222222222222222222"/>
        </w:placeholder>
      </w:sdtPr>
      <w:sdtContent>
        <w:p w14:paraId="5198E34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BB9316F">
      <w:pPr>
        <w:rPr>
          <w:rFonts w:hint="eastAsia"/>
        </w:rPr>
      </w:pPr>
      <w:bookmarkStart w:id="236" w:name="_Hlk533511527"/>
    </w:p>
    <w:bookmarkEnd w:id="235"/>
    <w:bookmarkEnd w:id="236"/>
    <w:p w14:paraId="715419A5">
      <w:pPr>
        <w:rPr>
          <w:rFonts w:hint="eastAsia"/>
        </w:rPr>
      </w:pPr>
      <w:r>
        <w:rPr>
          <w:rFonts w:hint="eastAsia"/>
        </w:rPr>
        <w:t>按单项计提坏账准备：</w:t>
      </w:r>
    </w:p>
    <w:sdt>
      <w:sdtPr>
        <w:rPr>
          <w:rFonts w:hint="eastAsia"/>
        </w:rPr>
        <w:alias w:val="是否适用：按单项计提坏账准备的应收票据详细情况[双击切换]"/>
        <w:tag w:val="_GBC_9f41f638de8f4c42b9d00ca6755931fb"/>
        <w:id w:val="1164134264"/>
        <w:placeholder>
          <w:docPart w:val="GBC22222222222222222222222222222"/>
        </w:placeholder>
      </w:sdtPr>
      <w:sdtEndPr>
        <w:rPr>
          <w:rFonts w:hint="eastAsia"/>
        </w:rPr>
      </w:sdtEndPr>
      <w:sdtContent>
        <w:p w14:paraId="4268BCA3">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D0DF8CF">
      <w:pPr>
        <w:rPr>
          <w:rFonts w:hint="eastAsia"/>
          <w:szCs w:val="21"/>
        </w:rPr>
      </w:pPr>
      <w:bookmarkStart w:id="237" w:name="_Hlk533597423"/>
    </w:p>
    <w:p w14:paraId="6C0EC32F">
      <w:pPr>
        <w:rPr>
          <w:rFonts w:hint="eastAsia"/>
          <w:szCs w:val="21"/>
        </w:rPr>
      </w:pPr>
    </w:p>
    <w:bookmarkEnd w:id="237"/>
    <w:sdt>
      <w:sdtPr>
        <w:tag w:val="_PLD_c5822df72e094b5083c45a32639c6995"/>
        <w:id w:val="526375795"/>
      </w:sdtPr>
      <w:sdtContent>
        <w:p w14:paraId="0D62E5CD">
          <w:pPr>
            <w:rPr>
              <w:rFonts w:asciiTheme="minorHAnsi" w:hAnsiTheme="minorHAnsi" w:cstheme="minorBidi"/>
              <w:bCs/>
              <w:szCs w:val="22"/>
            </w:rPr>
          </w:pPr>
          <w:r>
            <w:rPr>
              <w:rFonts w:hint="eastAsia" w:asciiTheme="minorHAnsi" w:hAnsiTheme="minorHAnsi" w:cstheme="minorBidi"/>
              <w:bCs/>
              <w:szCs w:val="22"/>
            </w:rPr>
            <w:t>按组合计提坏账准备：</w:t>
          </w:r>
        </w:p>
      </w:sdtContent>
    </w:sdt>
    <w:sdt>
      <w:sdtPr>
        <w:rPr>
          <w:rFonts w:hint="eastAsia" w:asciiTheme="minorHAnsi" w:hAnsiTheme="minorHAnsi" w:cstheme="minorBidi"/>
          <w:bCs/>
          <w:szCs w:val="22"/>
        </w:rPr>
        <w:alias w:val="是否适用：按组合计提坏账准备的应收票据详细情况[双击切换]"/>
        <w:tag w:val="_GBC_6007da8f43a241c5b804069722b7b005"/>
        <w:id w:val="731043168"/>
        <w:placeholder>
          <w:docPart w:val="GBC22222222222222222222222222222"/>
        </w:placeholder>
      </w:sdtPr>
      <w:sdtEndPr>
        <w:rPr>
          <w:rFonts w:hint="eastAsia" w:asciiTheme="minorHAnsi" w:hAnsiTheme="minorHAnsi" w:cstheme="minorBidi"/>
          <w:bCs/>
          <w:szCs w:val="22"/>
        </w:rPr>
      </w:sdtEndPr>
      <w:sdtContent>
        <w:p w14:paraId="2616A98A">
          <w:pPr>
            <w:rPr>
              <w:rFonts w:hint="eastAsia"/>
              <w:szCs w:val="21"/>
            </w:rPr>
          </w:pPr>
          <w:r>
            <w:rPr>
              <w:rFonts w:cstheme="minorBidi"/>
              <w:bCs/>
              <w:szCs w:val="22"/>
            </w:rPr>
            <w:fldChar w:fldCharType="begin"/>
          </w:r>
          <w:r>
            <w:rPr>
              <w:rFonts w:hint="eastAsia"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hint="eastAsia" w:cstheme="minorBidi"/>
              <w:bCs/>
              <w:szCs w:val="22"/>
            </w:rPr>
            <w:instrText xml:space="preserve"> MACROBUTTON  SnrToggleCheckbox √不适用 </w:instrText>
          </w:r>
          <w:r>
            <w:rPr>
              <w:rFonts w:cstheme="minorBidi"/>
              <w:bCs/>
              <w:szCs w:val="22"/>
            </w:rPr>
            <w:fldChar w:fldCharType="end"/>
          </w:r>
        </w:p>
      </w:sdtContent>
    </w:sdt>
    <w:p w14:paraId="55716CDC">
      <w:pPr>
        <w:rPr>
          <w:rFonts w:hint="eastAsia"/>
          <w:szCs w:val="21"/>
        </w:rPr>
      </w:pPr>
      <w:bookmarkStart w:id="238" w:name="_Hlk533601037"/>
    </w:p>
    <w:p w14:paraId="7B6A26EF">
      <w:pPr>
        <w:rPr>
          <w:rFonts w:asciiTheme="minorHAnsi" w:hAnsiTheme="minorHAnsi" w:cstheme="minorBidi"/>
          <w:b/>
          <w:bCs/>
          <w:szCs w:val="22"/>
        </w:rPr>
      </w:pPr>
    </w:p>
    <w:bookmarkEnd w:id="238"/>
    <w:p w14:paraId="3264980F">
      <w:pPr>
        <w:rPr>
          <w:rFonts w:hint="eastAsia" w:cstheme="minorBidi"/>
          <w:bCs/>
          <w:szCs w:val="22"/>
        </w:rPr>
      </w:pPr>
      <w:bookmarkStart w:id="239" w:name="_Hlk153356892"/>
      <w:r>
        <w:rPr>
          <w:rFonts w:hint="eastAsia" w:cstheme="minorBidi"/>
          <w:bCs/>
          <w:szCs w:val="22"/>
        </w:rPr>
        <w:t>按预期信用损失一般模型计提坏账准备</w:t>
      </w:r>
    </w:p>
    <w:sdt>
      <w:sdtPr>
        <w:rPr>
          <w:rFonts w:cstheme="minorBidi"/>
          <w:bCs/>
          <w:szCs w:val="22"/>
        </w:rPr>
        <w:alias w:val="是否适用：按预期信用损失一般模型计提坏账准备[双击切换]"/>
        <w:tag w:val="_GBC_8365966006504a25b2c8db13d573e88d"/>
        <w:id w:val="650406179"/>
        <w:placeholder>
          <w:docPart w:val="GBC22222222222222222222222222222"/>
        </w:placeholder>
      </w:sdtPr>
      <w:sdtEndPr>
        <w:rPr>
          <w:rFonts w:cstheme="minorBidi"/>
          <w:bCs/>
          <w:szCs w:val="22"/>
        </w:rPr>
      </w:sdtEndPr>
      <w:sdtContent>
        <w:p w14:paraId="09D06558">
          <w:pPr>
            <w:rPr>
              <w:rFonts w:hint="eastAsia" w:cstheme="minorBidi"/>
              <w:bCs/>
              <w:szCs w:val="22"/>
            </w:rPr>
          </w:pPr>
          <w:r>
            <w:rPr>
              <w:rFonts w:cstheme="minorBidi"/>
              <w:bCs/>
              <w:szCs w:val="22"/>
            </w:rPr>
            <w:fldChar w:fldCharType="begin"/>
          </w:r>
          <w:r>
            <w:rPr>
              <w:rFonts w:hint="eastAsia"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hint="eastAsia" w:cstheme="minorBidi"/>
              <w:bCs/>
              <w:szCs w:val="22"/>
            </w:rPr>
            <w:instrText xml:space="preserve"> MACROBUTTON  SnrToggleCheckbox √不适用 </w:instrText>
          </w:r>
          <w:r>
            <w:rPr>
              <w:rFonts w:cstheme="minorBidi"/>
              <w:bCs/>
              <w:szCs w:val="22"/>
            </w:rPr>
            <w:fldChar w:fldCharType="end"/>
          </w:r>
        </w:p>
      </w:sdtContent>
    </w:sdt>
    <w:p w14:paraId="5BCB7A80">
      <w:pPr>
        <w:rPr>
          <w:rFonts w:hint="eastAsia"/>
          <w:szCs w:val="21"/>
        </w:rPr>
      </w:pPr>
    </w:p>
    <w:p w14:paraId="1ACC98A5">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各阶段划分依据和坏账准备计提比例"/>
        <w:tag w:val="_GBC_64b745b874a741e0959d6b23dbf1c56a"/>
        <w:id w:val="-1102338468"/>
        <w:placeholder>
          <w:docPart w:val="GBC22222222222222222222222222222"/>
        </w:placeholder>
      </w:sdtPr>
      <w:sdtEndPr>
        <w:rPr>
          <w:rFonts w:cs="Times New Roman"/>
          <w:bCs/>
          <w:szCs w:val="22"/>
        </w:rPr>
      </w:sdtEndPr>
      <w:sdtContent>
        <w:p w14:paraId="3608A3D8">
          <w:pPr>
            <w:rPr>
              <w:rFonts w:hint="eastAsia" w:cs="Times New Roman"/>
              <w:bCs/>
              <w:szCs w:val="22"/>
            </w:rPr>
          </w:pPr>
          <w:r>
            <w:rPr>
              <w:rFonts w:hint="eastAsia" w:cs="Times New Roman"/>
              <w:bCs/>
              <w:szCs w:val="22"/>
            </w:rPr>
            <w:t>无</w:t>
          </w:r>
        </w:p>
      </w:sdtContent>
    </w:sdt>
    <w:p w14:paraId="04826E43">
      <w:pPr>
        <w:rPr>
          <w:rFonts w:asciiTheme="minorHAnsi" w:hAnsiTheme="minorHAnsi" w:cstheme="minorBidi"/>
          <w:b/>
          <w:bCs/>
          <w:szCs w:val="22"/>
        </w:rPr>
      </w:pPr>
    </w:p>
    <w:p w14:paraId="1ACCBD2F">
      <w:pPr>
        <w:pStyle w:val="123"/>
      </w:pPr>
      <w:r>
        <w:rPr>
          <w:rFonts w:hint="eastAsia"/>
        </w:rPr>
        <w:t>对本期发生损失准备变动的应收票据账面余额显著变动的情况说明：</w:t>
      </w:r>
    </w:p>
    <w:sdt>
      <w:sdtPr>
        <w:rPr>
          <w:szCs w:val="21"/>
        </w:rPr>
        <w:alias w:val="是否适用：对本期发生损失准备变动的账面余额显著变动的情况说明[双击切换]"/>
        <w:tag w:val="_GBC_2f34fd35c9654c8fa0b6583125cc946c"/>
        <w:id w:val="-1960635681"/>
        <w:placeholder>
          <w:docPart w:val="GBC22222222222222222222222222222"/>
        </w:placeholder>
      </w:sdtPr>
      <w:sdtEndPr>
        <w:rPr>
          <w:szCs w:val="21"/>
        </w:rPr>
      </w:sdtEndPr>
      <w:sdtContent>
        <w:p w14:paraId="179FBD4F">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62E3007">
      <w:pPr>
        <w:rPr>
          <w:rFonts w:asciiTheme="minorHAnsi" w:hAnsiTheme="minorHAnsi" w:cstheme="minorBidi"/>
          <w:b/>
          <w:bCs/>
          <w:szCs w:val="22"/>
        </w:rPr>
      </w:pPr>
    </w:p>
    <w:bookmarkEnd w:id="239"/>
    <w:p w14:paraId="14F55C74">
      <w:pPr>
        <w:pStyle w:val="71"/>
        <w:numPr>
          <w:ilvl w:val="3"/>
          <w:numId w:val="110"/>
        </w:numPr>
        <w:ind w:left="426" w:hanging="426"/>
        <w:rPr>
          <w:rFonts w:hint="eastAsia"/>
        </w:rPr>
      </w:pPr>
      <w:bookmarkStart w:id="240" w:name="_Hlk154148795"/>
      <w:bookmarkStart w:id="241" w:name="_Hlk532980547"/>
      <w:r>
        <w:rPr>
          <w:rFonts w:hint="eastAsia"/>
        </w:rPr>
        <w:t>坏账准备的情况</w:t>
      </w:r>
    </w:p>
    <w:sdt>
      <w:sdtPr>
        <w:alias w:val="是否适用：应收票据坏账准备情况[双击切换]"/>
        <w:tag w:val="_GBC_3c7b44ae9e3b4aa6a67012163093206f"/>
        <w:id w:val="1473630853"/>
        <w:placeholder>
          <w:docPart w:val="GBC22222222222222222222222222222"/>
        </w:placeholder>
      </w:sdtPr>
      <w:sdtContent>
        <w:p w14:paraId="396163D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EB31A0B">
      <w:pPr>
        <w:rPr>
          <w:rFonts w:hint="eastAsia"/>
          <w:szCs w:val="21"/>
        </w:rPr>
      </w:pPr>
    </w:p>
    <w:p w14:paraId="683F9C4C">
      <w:pPr>
        <w:rPr>
          <w:rFonts w:hint="eastAsia"/>
        </w:rPr>
      </w:pPr>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1741704217"/>
        <w:placeholder>
          <w:docPart w:val="GBC22222222222222222222222222222"/>
        </w:placeholder>
      </w:sdtPr>
      <w:sdtEndPr>
        <w:rPr>
          <w:rFonts w:hint="eastAsia"/>
        </w:rPr>
      </w:sdtEndPr>
      <w:sdtContent>
        <w:p w14:paraId="54A087E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80FF9C6">
      <w:pPr>
        <w:rPr>
          <w:rFonts w:hint="eastAsia"/>
        </w:rPr>
      </w:pPr>
    </w:p>
    <w:p w14:paraId="64031B63">
      <w:pPr>
        <w:rPr>
          <w:rFonts w:hint="eastAsia"/>
        </w:rPr>
      </w:pPr>
      <w:r>
        <w:rPr>
          <w:rFonts w:hint="eastAsia"/>
        </w:rPr>
        <w:t>其他说明：</w:t>
      </w:r>
    </w:p>
    <w:sdt>
      <w:sdtPr>
        <w:rPr>
          <w:rFonts w:cstheme="minorBidi"/>
          <w:bCs/>
          <w:szCs w:val="22"/>
        </w:rPr>
        <w:alias w:val="应收票据坏账准备的其他说明"/>
        <w:tag w:val="_GBC_861db5fd771c449390c4ea436bc9ad1e"/>
        <w:id w:val="-143134760"/>
        <w:placeholder>
          <w:docPart w:val="GBC22222222222222222222222222222"/>
        </w:placeholder>
      </w:sdtPr>
      <w:sdtEndPr>
        <w:rPr>
          <w:rFonts w:asciiTheme="minorHAnsi" w:hAnsiTheme="minorHAnsi" w:cstheme="minorBidi"/>
          <w:b/>
          <w:bCs/>
          <w:szCs w:val="22"/>
        </w:rPr>
      </w:sdtEndPr>
      <w:sdtContent>
        <w:p w14:paraId="663E9F65">
          <w:pPr>
            <w:rPr>
              <w:rFonts w:asciiTheme="minorHAnsi" w:hAnsiTheme="minorHAnsi" w:cstheme="minorBidi"/>
              <w:b/>
              <w:bCs/>
              <w:szCs w:val="22"/>
            </w:rPr>
          </w:pPr>
          <w:r>
            <w:rPr>
              <w:rFonts w:hint="eastAsia" w:cstheme="minorBidi"/>
              <w:bCs/>
              <w:szCs w:val="22"/>
            </w:rPr>
            <w:t>无</w:t>
          </w:r>
        </w:p>
      </w:sdtContent>
    </w:sdt>
    <w:p w14:paraId="0B75DE41">
      <w:pPr>
        <w:rPr>
          <w:rFonts w:asciiTheme="minorHAnsi" w:hAnsiTheme="minorHAnsi" w:cstheme="minorBidi"/>
          <w:b/>
          <w:bCs/>
          <w:szCs w:val="22"/>
        </w:rPr>
      </w:pPr>
    </w:p>
    <w:bookmarkEnd w:id="240"/>
    <w:bookmarkEnd w:id="241"/>
    <w:p w14:paraId="43DC210E">
      <w:pPr>
        <w:pStyle w:val="71"/>
        <w:numPr>
          <w:ilvl w:val="3"/>
          <w:numId w:val="110"/>
        </w:numPr>
        <w:ind w:left="426" w:hanging="426"/>
        <w:rPr>
          <w:rFonts w:hint="eastAsia"/>
        </w:rPr>
      </w:pPr>
      <w:bookmarkStart w:id="242" w:name="_Hlk152837614"/>
      <w:bookmarkStart w:id="243" w:name="_Hlk532982011"/>
      <w:r>
        <w:rPr>
          <w:rFonts w:hint="eastAsia"/>
        </w:rPr>
        <w:t>本期实际核销的应收票据情况</w:t>
      </w:r>
    </w:p>
    <w:sdt>
      <w:sdtPr>
        <w:alias w:val="是否适用：实际核销的应收票据[双击切换]"/>
        <w:tag w:val="_GBC_a0d8af67abfc4a1698fd198064d3b108"/>
        <w:id w:val="-1489008133"/>
        <w:placeholder>
          <w:docPart w:val="GBC22222222222222222222222222222"/>
        </w:placeholder>
      </w:sdtPr>
      <w:sdtContent>
        <w:p w14:paraId="1124AD3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7DDF9EB">
      <w:pPr>
        <w:rPr>
          <w:rFonts w:hint="eastAsia"/>
          <w:szCs w:val="21"/>
        </w:rPr>
      </w:pPr>
    </w:p>
    <w:bookmarkEnd w:id="242"/>
    <w:p w14:paraId="4714B5BF">
      <w:pPr>
        <w:rPr>
          <w:rFonts w:hint="eastAsia"/>
          <w:szCs w:val="21"/>
        </w:rPr>
      </w:pPr>
      <w:bookmarkStart w:id="244" w:name="_Hlk152837635"/>
      <w:r>
        <w:rPr>
          <w:rFonts w:hint="eastAsia"/>
          <w:szCs w:val="21"/>
        </w:rPr>
        <w:t>其中重要的应收票据核销情况：</w:t>
      </w:r>
    </w:p>
    <w:sdt>
      <w:sdtPr>
        <w:rPr>
          <w:szCs w:val="21"/>
        </w:rPr>
        <w:alias w:val="是否适用：重要的应收票据核销[双击切换]"/>
        <w:tag w:val="_GBC_8a4eb0fe2cd044db955869f172508ff4"/>
        <w:id w:val="-930814742"/>
        <w:placeholder>
          <w:docPart w:val="GBC22222222222222222222222222222"/>
        </w:placeholder>
      </w:sdtPr>
      <w:sdtEndPr>
        <w:rPr>
          <w:szCs w:val="21"/>
        </w:rPr>
      </w:sdtEndPr>
      <w:sdtContent>
        <w:p w14:paraId="053264E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D99C9BE">
      <w:pPr>
        <w:rPr>
          <w:rFonts w:hint="eastAsia"/>
          <w:szCs w:val="21"/>
        </w:rPr>
      </w:pPr>
    </w:p>
    <w:bookmarkEnd w:id="244"/>
    <w:p w14:paraId="7954F1B6">
      <w:pPr>
        <w:snapToGrid w:val="0"/>
        <w:spacing w:line="240" w:lineRule="atLeast"/>
        <w:rPr>
          <w:rFonts w:hint="eastAsia"/>
          <w:szCs w:val="21"/>
        </w:rPr>
      </w:pPr>
      <w:bookmarkStart w:id="245" w:name="_Hlk152837641"/>
      <w:r>
        <w:rPr>
          <w:rFonts w:hint="eastAsia"/>
          <w:szCs w:val="21"/>
        </w:rPr>
        <w:t>应收票据核销说明：</w:t>
      </w:r>
    </w:p>
    <w:sdt>
      <w:sdtPr>
        <w:rPr>
          <w:rFonts w:asciiTheme="minorHAnsi" w:hAnsiTheme="minorHAnsi" w:cstheme="minorBidi"/>
          <w:bCs/>
          <w:szCs w:val="22"/>
        </w:rPr>
        <w:alias w:val="是否适用：应收票据核销说明[双击切换]"/>
        <w:tag w:val="_GBC_8e9a6863f024409f96d0d85cebbd362b"/>
        <w:id w:val="1602528456"/>
        <w:placeholder>
          <w:docPart w:val="GBC22222222222222222222222222222"/>
        </w:placeholder>
      </w:sdtPr>
      <w:sdtEndPr>
        <w:rPr>
          <w:rFonts w:asciiTheme="minorHAnsi" w:hAnsiTheme="minorHAnsi" w:cstheme="minorBidi"/>
          <w:bCs/>
          <w:szCs w:val="22"/>
        </w:rPr>
      </w:sdtEndPr>
      <w:sdtContent>
        <w:p w14:paraId="3CF6145D">
          <w:pPr>
            <w:rPr>
              <w:rFonts w:asciiTheme="minorHAnsi" w:hAnsiTheme="minorHAnsi" w:cstheme="minorBidi"/>
              <w:bCs/>
              <w:szCs w:val="22"/>
            </w:rPr>
          </w:pPr>
          <w:r>
            <w:rPr>
              <w:rFonts w:cstheme="minorBidi"/>
              <w:bCs/>
              <w:szCs w:val="22"/>
            </w:rPr>
            <w:fldChar w:fldCharType="begin"/>
          </w:r>
          <w:r>
            <w:rPr>
              <w:rFonts w:hint="eastAsia"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hint="eastAsia" w:cstheme="minorBidi"/>
              <w:bCs/>
              <w:szCs w:val="22"/>
            </w:rPr>
            <w:instrText xml:space="preserve"> MACROBUTTON  SnrToggleCheckbox √不适用 </w:instrText>
          </w:r>
          <w:r>
            <w:rPr>
              <w:rFonts w:cstheme="minorBidi"/>
              <w:bCs/>
              <w:szCs w:val="22"/>
            </w:rPr>
            <w:fldChar w:fldCharType="end"/>
          </w:r>
        </w:p>
      </w:sdtContent>
    </w:sdt>
    <w:p w14:paraId="47781857">
      <w:pPr>
        <w:rPr>
          <w:rFonts w:asciiTheme="minorHAnsi" w:hAnsiTheme="minorHAnsi" w:cstheme="minorBidi"/>
          <w:b/>
          <w:bCs/>
          <w:szCs w:val="22"/>
        </w:rPr>
      </w:pPr>
    </w:p>
    <w:bookmarkEnd w:id="243"/>
    <w:bookmarkEnd w:id="245"/>
    <w:p w14:paraId="654A924D">
      <w:pPr>
        <w:rPr>
          <w:rFonts w:hint="eastAsia"/>
        </w:rPr>
      </w:pPr>
      <w:r>
        <w:rPr>
          <w:rFonts w:hint="eastAsia"/>
        </w:rPr>
        <w:t>其他说明：</w:t>
      </w:r>
    </w:p>
    <w:sdt>
      <w:sdtPr>
        <w:alias w:val="是否适用：应收票据的说明[双击切换]"/>
        <w:tag w:val="_GBC_dc21e09520924a5db7020ba029631550"/>
        <w:id w:val="-552313175"/>
        <w:placeholder>
          <w:docPart w:val="GBC22222222222222222222222222222"/>
        </w:placeholder>
      </w:sdtPr>
      <w:sdtContent>
        <w:p w14:paraId="18AB4CB9">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EAB1C29">
      <w:pPr>
        <w:snapToGrid w:val="0"/>
        <w:spacing w:line="240" w:lineRule="atLeast"/>
        <w:rPr>
          <w:rFonts w:hint="eastAsia"/>
          <w:szCs w:val="21"/>
        </w:rPr>
      </w:pPr>
    </w:p>
    <w:p w14:paraId="522A9D4A">
      <w:pPr>
        <w:snapToGrid w:val="0"/>
        <w:spacing w:line="240" w:lineRule="atLeast"/>
        <w:rPr>
          <w:rFonts w:hint="eastAsia"/>
          <w:szCs w:val="21"/>
        </w:rPr>
      </w:pPr>
    </w:p>
    <w:p w14:paraId="205CB767">
      <w:pPr>
        <w:snapToGrid w:val="0"/>
        <w:spacing w:line="240" w:lineRule="atLeast"/>
        <w:rPr>
          <w:rFonts w:hint="eastAsia"/>
          <w:szCs w:val="21"/>
        </w:rPr>
      </w:pPr>
    </w:p>
    <w:p w14:paraId="0873B3AF">
      <w:pPr>
        <w:snapToGrid w:val="0"/>
        <w:spacing w:line="240" w:lineRule="atLeast"/>
        <w:rPr>
          <w:rFonts w:hint="eastAsia"/>
          <w:szCs w:val="21"/>
        </w:rPr>
      </w:pPr>
    </w:p>
    <w:p w14:paraId="59CCCEFD">
      <w:pPr>
        <w:snapToGrid w:val="0"/>
        <w:spacing w:line="240" w:lineRule="atLeast"/>
        <w:rPr>
          <w:rFonts w:hint="eastAsia"/>
          <w:szCs w:val="21"/>
        </w:rPr>
      </w:pPr>
    </w:p>
    <w:p w14:paraId="056451A0">
      <w:pPr>
        <w:pStyle w:val="70"/>
        <w:numPr>
          <w:ilvl w:val="0"/>
          <w:numId w:val="109"/>
        </w:numPr>
        <w:rPr>
          <w:szCs w:val="21"/>
        </w:rPr>
      </w:pPr>
      <w:r>
        <w:rPr>
          <w:szCs w:val="21"/>
        </w:rPr>
        <w:t>应收账款</w:t>
      </w:r>
    </w:p>
    <w:p w14:paraId="749C1CFF">
      <w:pPr>
        <w:pStyle w:val="71"/>
        <w:numPr>
          <w:ilvl w:val="3"/>
          <w:numId w:val="111"/>
        </w:numPr>
        <w:ind w:left="426" w:hanging="426"/>
        <w:rPr>
          <w:rFonts w:hint="eastAsia"/>
        </w:rPr>
      </w:pPr>
      <w:r>
        <w:rPr>
          <w:rFonts w:hint="eastAsia"/>
        </w:rPr>
        <w:t>按账龄披露</w:t>
      </w:r>
    </w:p>
    <w:sdt>
      <w:sdtPr>
        <w:rPr>
          <w:rFonts w:hint="eastAsia"/>
          <w:szCs w:val="21"/>
        </w:rPr>
        <w:alias w:val="是否适用：组合中，按账龄分析法计提坏账准备的应收账款[双击切换]"/>
        <w:tag w:val="_GBC_f6086903419d448ab27bc2735b69674a"/>
        <w:id w:val="-522551896"/>
        <w:placeholder>
          <w:docPart w:val="GBC22222222222222222222222222222"/>
        </w:placeholder>
      </w:sdtPr>
      <w:sdtEndPr>
        <w:rPr>
          <w:rFonts w:hint="eastAsia"/>
          <w:szCs w:val="21"/>
        </w:rPr>
      </w:sdtEndPr>
      <w:sdtContent>
        <w:p w14:paraId="2411537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7BC5E70">
      <w:pPr>
        <w:jc w:val="right"/>
        <w:rPr>
          <w:rFonts w:hint="eastAsia"/>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18853173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380b2c118777445781c47a562212f944"/>
          <w:id w:val="-104336637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975"/>
        <w:gridCol w:w="2975"/>
      </w:tblGrid>
      <w:tr w14:paraId="5E8A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987827fb8f754c15801979884cb78127"/>
            <w:id w:val="884982801"/>
          </w:sdtPr>
          <w:sdtContent>
            <w:tc>
              <w:tcPr>
                <w:tcW w:w="1628" w:type="pct"/>
                <w:tcBorders>
                  <w:top w:val="single" w:color="auto" w:sz="4" w:space="0"/>
                  <w:left w:val="single" w:color="auto" w:sz="4" w:space="0"/>
                  <w:bottom w:val="single" w:color="auto" w:sz="4" w:space="0"/>
                  <w:right w:val="single" w:color="auto" w:sz="4" w:space="0"/>
                </w:tcBorders>
                <w:vAlign w:val="center"/>
              </w:tcPr>
              <w:p w14:paraId="207FD6D7">
                <w:pPr>
                  <w:jc w:val="center"/>
                  <w:rPr>
                    <w:rFonts w:hint="eastAsia"/>
                    <w:szCs w:val="21"/>
                  </w:rPr>
                </w:pPr>
                <w:r>
                  <w:rPr>
                    <w:rFonts w:hint="eastAsia"/>
                    <w:szCs w:val="21"/>
                  </w:rPr>
                  <w:t>账龄</w:t>
                </w:r>
              </w:p>
            </w:tc>
          </w:sdtContent>
        </w:sdt>
        <w:sdt>
          <w:sdtPr>
            <w:tag w:val="_PLD_53a2def126e844eabd4ea223442a8a87"/>
            <w:id w:val="657738209"/>
          </w:sdtPr>
          <w:sdtContent>
            <w:tc>
              <w:tcPr>
                <w:tcW w:w="1686" w:type="pct"/>
                <w:tcBorders>
                  <w:top w:val="single" w:color="auto" w:sz="4" w:space="0"/>
                  <w:left w:val="single" w:color="auto" w:sz="4" w:space="0"/>
                  <w:bottom w:val="single" w:color="auto" w:sz="4" w:space="0"/>
                  <w:right w:val="single" w:color="auto" w:sz="4" w:space="0"/>
                </w:tcBorders>
                <w:vAlign w:val="center"/>
              </w:tcPr>
              <w:p w14:paraId="6361BC03">
                <w:pPr>
                  <w:jc w:val="center"/>
                  <w:rPr>
                    <w:rFonts w:hint="eastAsia"/>
                    <w:szCs w:val="21"/>
                  </w:rPr>
                </w:pPr>
                <w:r>
                  <w:rPr>
                    <w:rFonts w:hint="eastAsia"/>
                    <w:szCs w:val="21"/>
                  </w:rPr>
                  <w:t>期末账面余额</w:t>
                </w:r>
              </w:p>
            </w:tc>
          </w:sdtContent>
        </w:sdt>
        <w:sdt>
          <w:sdtPr>
            <w:tag w:val="_PLD_a827d93406c24ad3bf1a17438f1117c1"/>
            <w:id w:val="-1860104320"/>
          </w:sdtPr>
          <w:sdtContent>
            <w:tc>
              <w:tcPr>
                <w:tcW w:w="1686" w:type="pct"/>
                <w:tcBorders>
                  <w:top w:val="single" w:color="auto" w:sz="4" w:space="0"/>
                  <w:left w:val="single" w:color="auto" w:sz="4" w:space="0"/>
                  <w:bottom w:val="single" w:color="auto" w:sz="4" w:space="0"/>
                  <w:right w:val="single" w:color="auto" w:sz="4" w:space="0"/>
                </w:tcBorders>
              </w:tcPr>
              <w:p w14:paraId="3776AAFD">
                <w:pPr>
                  <w:jc w:val="center"/>
                  <w:rPr>
                    <w:rFonts w:hint="eastAsia"/>
                  </w:rPr>
                </w:pPr>
                <w:r>
                  <w:rPr>
                    <w:rFonts w:hint="eastAsia"/>
                  </w:rPr>
                  <w:t>期初账面余额</w:t>
                </w:r>
              </w:p>
            </w:tc>
          </w:sdtContent>
        </w:sdt>
      </w:tr>
      <w:tr w14:paraId="28A0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6E9008EC">
            <w:pPr>
              <w:rPr>
                <w:rFonts w:hint="eastAsia"/>
                <w:szCs w:val="21"/>
              </w:rPr>
            </w:pPr>
            <w:r>
              <w:rPr>
                <w:rFonts w:hint="eastAsia"/>
                <w:szCs w:val="21"/>
              </w:rPr>
              <w:t>1年以内</w:t>
            </w:r>
          </w:p>
        </w:tc>
        <w:tc>
          <w:tcPr>
            <w:tcW w:w="1686" w:type="pct"/>
            <w:tcBorders>
              <w:top w:val="single" w:color="auto" w:sz="4" w:space="0"/>
              <w:left w:val="single" w:color="auto" w:sz="4" w:space="0"/>
              <w:bottom w:val="single" w:color="auto" w:sz="4" w:space="0"/>
              <w:right w:val="single" w:color="auto" w:sz="4" w:space="0"/>
            </w:tcBorders>
            <w:vAlign w:val="center"/>
          </w:tcPr>
          <w:p w14:paraId="26B33EAC">
            <w:pPr>
              <w:jc w:val="right"/>
              <w:rPr>
                <w:rFonts w:hint="eastAsia"/>
                <w:szCs w:val="21"/>
              </w:rPr>
            </w:pPr>
            <w:r>
              <w:rPr>
                <w:rFonts w:ascii="Arial Narrow" w:hAnsi="Arial Narrow" w:eastAsia="等线"/>
                <w:color w:val="000000"/>
                <w:szCs w:val="21"/>
              </w:rPr>
              <w:t xml:space="preserve">2,612,277,017.66 </w:t>
            </w:r>
          </w:p>
        </w:tc>
        <w:tc>
          <w:tcPr>
            <w:tcW w:w="1686" w:type="pct"/>
            <w:tcBorders>
              <w:top w:val="single" w:color="auto" w:sz="4" w:space="0"/>
              <w:left w:val="single" w:color="auto" w:sz="4" w:space="0"/>
              <w:bottom w:val="single" w:color="auto" w:sz="4" w:space="0"/>
              <w:right w:val="single" w:color="auto" w:sz="4" w:space="0"/>
            </w:tcBorders>
            <w:vAlign w:val="center"/>
          </w:tcPr>
          <w:p w14:paraId="4578068E">
            <w:pPr>
              <w:jc w:val="right"/>
              <w:rPr>
                <w:rFonts w:hint="eastAsia"/>
                <w:szCs w:val="21"/>
              </w:rPr>
            </w:pPr>
            <w:r>
              <w:rPr>
                <w:rFonts w:ascii="Arial Narrow" w:hAnsi="Arial Narrow" w:eastAsia="等线"/>
                <w:color w:val="000000"/>
                <w:szCs w:val="21"/>
              </w:rPr>
              <w:t xml:space="preserve">2,757,582,263.33 </w:t>
            </w:r>
          </w:p>
        </w:tc>
      </w:tr>
      <w:tr w14:paraId="71E9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4672F503">
            <w:pPr>
              <w:rPr>
                <w:rFonts w:hint="eastAsia"/>
                <w:szCs w:val="21"/>
              </w:rPr>
            </w:pPr>
            <w:r>
              <w:rPr>
                <w:rFonts w:hint="eastAsia"/>
                <w:szCs w:val="21"/>
              </w:rPr>
              <w:t>1年以内小计</w:t>
            </w:r>
          </w:p>
        </w:tc>
        <w:tc>
          <w:tcPr>
            <w:tcW w:w="1686" w:type="pct"/>
            <w:tcBorders>
              <w:top w:val="single" w:color="auto" w:sz="4" w:space="0"/>
              <w:left w:val="single" w:color="auto" w:sz="4" w:space="0"/>
              <w:bottom w:val="single" w:color="auto" w:sz="4" w:space="0"/>
              <w:right w:val="single" w:color="auto" w:sz="4" w:space="0"/>
            </w:tcBorders>
            <w:vAlign w:val="center"/>
          </w:tcPr>
          <w:p w14:paraId="432E478F">
            <w:pPr>
              <w:jc w:val="right"/>
              <w:rPr>
                <w:rFonts w:hint="eastAsia"/>
                <w:szCs w:val="21"/>
              </w:rPr>
            </w:pPr>
            <w:r>
              <w:rPr>
                <w:rFonts w:ascii="Arial Narrow" w:hAnsi="Arial Narrow" w:eastAsia="等线"/>
                <w:color w:val="000000"/>
                <w:szCs w:val="21"/>
              </w:rPr>
              <w:t xml:space="preserve">2,612,277,017.66 </w:t>
            </w:r>
          </w:p>
        </w:tc>
        <w:tc>
          <w:tcPr>
            <w:tcW w:w="1686" w:type="pct"/>
            <w:tcBorders>
              <w:top w:val="single" w:color="auto" w:sz="4" w:space="0"/>
              <w:left w:val="single" w:color="auto" w:sz="4" w:space="0"/>
              <w:bottom w:val="single" w:color="auto" w:sz="4" w:space="0"/>
              <w:right w:val="single" w:color="auto" w:sz="4" w:space="0"/>
            </w:tcBorders>
            <w:vAlign w:val="center"/>
          </w:tcPr>
          <w:p w14:paraId="617C2020">
            <w:pPr>
              <w:jc w:val="right"/>
              <w:rPr>
                <w:rFonts w:hint="eastAsia"/>
                <w:szCs w:val="21"/>
              </w:rPr>
            </w:pPr>
            <w:r>
              <w:rPr>
                <w:rFonts w:ascii="Arial Narrow" w:hAnsi="Arial Narrow" w:eastAsia="等线"/>
                <w:color w:val="000000"/>
                <w:szCs w:val="21"/>
              </w:rPr>
              <w:t xml:space="preserve">2,757,582,263.33 </w:t>
            </w:r>
          </w:p>
        </w:tc>
      </w:tr>
      <w:tr w14:paraId="0FB2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1DCA1004">
            <w:pPr>
              <w:rPr>
                <w:rFonts w:hint="eastAsia"/>
                <w:szCs w:val="21"/>
              </w:rPr>
            </w:pPr>
            <w:r>
              <w:rPr>
                <w:rFonts w:hint="eastAsia"/>
                <w:szCs w:val="21"/>
              </w:rPr>
              <w:t>1至2年</w:t>
            </w:r>
          </w:p>
        </w:tc>
        <w:tc>
          <w:tcPr>
            <w:tcW w:w="1686" w:type="pct"/>
            <w:tcBorders>
              <w:top w:val="single" w:color="auto" w:sz="4" w:space="0"/>
              <w:left w:val="single" w:color="auto" w:sz="4" w:space="0"/>
              <w:bottom w:val="single" w:color="auto" w:sz="4" w:space="0"/>
              <w:right w:val="single" w:color="auto" w:sz="4" w:space="0"/>
            </w:tcBorders>
            <w:vAlign w:val="center"/>
          </w:tcPr>
          <w:p w14:paraId="6BD52DB6">
            <w:pPr>
              <w:jc w:val="right"/>
              <w:rPr>
                <w:rFonts w:hint="eastAsia"/>
                <w:szCs w:val="21"/>
              </w:rPr>
            </w:pPr>
            <w:r>
              <w:rPr>
                <w:rFonts w:ascii="Arial Narrow" w:hAnsi="Arial Narrow" w:eastAsia="等线"/>
                <w:color w:val="000000"/>
                <w:szCs w:val="21"/>
              </w:rPr>
              <w:t xml:space="preserve">270,775,378.42 </w:t>
            </w:r>
          </w:p>
        </w:tc>
        <w:tc>
          <w:tcPr>
            <w:tcW w:w="1686" w:type="pct"/>
            <w:tcBorders>
              <w:top w:val="single" w:color="auto" w:sz="4" w:space="0"/>
              <w:left w:val="single" w:color="auto" w:sz="4" w:space="0"/>
              <w:bottom w:val="single" w:color="auto" w:sz="4" w:space="0"/>
              <w:right w:val="single" w:color="auto" w:sz="4" w:space="0"/>
            </w:tcBorders>
            <w:vAlign w:val="center"/>
          </w:tcPr>
          <w:p w14:paraId="6C478B29">
            <w:pPr>
              <w:jc w:val="right"/>
              <w:rPr>
                <w:rFonts w:hint="eastAsia"/>
                <w:szCs w:val="21"/>
              </w:rPr>
            </w:pPr>
            <w:r>
              <w:rPr>
                <w:rFonts w:ascii="Arial Narrow" w:hAnsi="Arial Narrow" w:eastAsia="等线"/>
                <w:color w:val="000000"/>
                <w:szCs w:val="21"/>
              </w:rPr>
              <w:t xml:space="preserve">196,450,013.75 </w:t>
            </w:r>
          </w:p>
        </w:tc>
      </w:tr>
      <w:tr w14:paraId="4D80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52E6A97C">
            <w:pPr>
              <w:rPr>
                <w:rFonts w:hint="eastAsia"/>
                <w:szCs w:val="21"/>
              </w:rPr>
            </w:pPr>
            <w:r>
              <w:rPr>
                <w:rFonts w:hint="eastAsia"/>
                <w:szCs w:val="21"/>
              </w:rPr>
              <w:t>2至3年</w:t>
            </w:r>
          </w:p>
        </w:tc>
        <w:tc>
          <w:tcPr>
            <w:tcW w:w="1686" w:type="pct"/>
            <w:tcBorders>
              <w:top w:val="single" w:color="auto" w:sz="4" w:space="0"/>
              <w:left w:val="single" w:color="auto" w:sz="4" w:space="0"/>
              <w:bottom w:val="single" w:color="auto" w:sz="4" w:space="0"/>
              <w:right w:val="single" w:color="auto" w:sz="4" w:space="0"/>
            </w:tcBorders>
            <w:vAlign w:val="center"/>
          </w:tcPr>
          <w:p w14:paraId="7600D54E">
            <w:pPr>
              <w:jc w:val="right"/>
              <w:rPr>
                <w:rFonts w:hint="eastAsia"/>
                <w:szCs w:val="21"/>
              </w:rPr>
            </w:pPr>
            <w:r>
              <w:rPr>
                <w:rFonts w:ascii="Arial Narrow" w:hAnsi="Arial Narrow" w:eastAsia="等线"/>
                <w:color w:val="000000"/>
                <w:szCs w:val="21"/>
              </w:rPr>
              <w:t xml:space="preserve">101,372,233.13 </w:t>
            </w:r>
          </w:p>
        </w:tc>
        <w:tc>
          <w:tcPr>
            <w:tcW w:w="1686" w:type="pct"/>
            <w:tcBorders>
              <w:top w:val="single" w:color="auto" w:sz="4" w:space="0"/>
              <w:left w:val="single" w:color="auto" w:sz="4" w:space="0"/>
              <w:bottom w:val="single" w:color="auto" w:sz="4" w:space="0"/>
              <w:right w:val="single" w:color="auto" w:sz="4" w:space="0"/>
            </w:tcBorders>
            <w:vAlign w:val="center"/>
          </w:tcPr>
          <w:p w14:paraId="19041AAF">
            <w:pPr>
              <w:jc w:val="right"/>
              <w:rPr>
                <w:rFonts w:hint="eastAsia"/>
                <w:szCs w:val="21"/>
              </w:rPr>
            </w:pPr>
            <w:r>
              <w:rPr>
                <w:rFonts w:ascii="Arial Narrow" w:hAnsi="Arial Narrow" w:eastAsia="等线"/>
                <w:color w:val="000000"/>
                <w:szCs w:val="21"/>
              </w:rPr>
              <w:t xml:space="preserve">76,998,618.37 </w:t>
            </w:r>
          </w:p>
        </w:tc>
      </w:tr>
      <w:tr w14:paraId="307B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707A7436">
            <w:pPr>
              <w:rPr>
                <w:rFonts w:hint="eastAsia"/>
                <w:szCs w:val="21"/>
              </w:rPr>
            </w:pPr>
            <w:r>
              <w:rPr>
                <w:rFonts w:hint="eastAsia"/>
                <w:szCs w:val="21"/>
              </w:rPr>
              <w:t>3至4年</w:t>
            </w:r>
          </w:p>
        </w:tc>
        <w:tc>
          <w:tcPr>
            <w:tcW w:w="1686" w:type="pct"/>
            <w:tcBorders>
              <w:top w:val="single" w:color="auto" w:sz="4" w:space="0"/>
              <w:left w:val="single" w:color="auto" w:sz="4" w:space="0"/>
              <w:bottom w:val="single" w:color="auto" w:sz="4" w:space="0"/>
              <w:right w:val="single" w:color="auto" w:sz="4" w:space="0"/>
            </w:tcBorders>
            <w:vAlign w:val="center"/>
          </w:tcPr>
          <w:p w14:paraId="24C93049">
            <w:pPr>
              <w:jc w:val="right"/>
              <w:rPr>
                <w:rFonts w:hint="eastAsia"/>
                <w:szCs w:val="21"/>
              </w:rPr>
            </w:pPr>
            <w:r>
              <w:rPr>
                <w:rFonts w:ascii="Arial Narrow" w:hAnsi="Arial Narrow" w:eastAsia="等线"/>
                <w:color w:val="000000"/>
                <w:szCs w:val="21"/>
              </w:rPr>
              <w:t xml:space="preserve">70,036,773.82 </w:t>
            </w:r>
          </w:p>
        </w:tc>
        <w:tc>
          <w:tcPr>
            <w:tcW w:w="1686" w:type="pct"/>
            <w:tcBorders>
              <w:top w:val="single" w:color="auto" w:sz="4" w:space="0"/>
              <w:left w:val="single" w:color="auto" w:sz="4" w:space="0"/>
              <w:bottom w:val="single" w:color="auto" w:sz="4" w:space="0"/>
              <w:right w:val="single" w:color="auto" w:sz="4" w:space="0"/>
            </w:tcBorders>
            <w:vAlign w:val="center"/>
          </w:tcPr>
          <w:p w14:paraId="554E1B56">
            <w:pPr>
              <w:jc w:val="right"/>
              <w:rPr>
                <w:rFonts w:hint="eastAsia"/>
                <w:szCs w:val="21"/>
              </w:rPr>
            </w:pPr>
            <w:r>
              <w:rPr>
                <w:rFonts w:ascii="Arial Narrow" w:hAnsi="Arial Narrow" w:eastAsia="等线"/>
                <w:color w:val="000000"/>
                <w:szCs w:val="21"/>
              </w:rPr>
              <w:t xml:space="preserve">74,980,965.52 </w:t>
            </w:r>
          </w:p>
        </w:tc>
      </w:tr>
      <w:tr w14:paraId="3ACB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121B0C60">
            <w:pPr>
              <w:rPr>
                <w:rFonts w:hint="eastAsia"/>
                <w:szCs w:val="21"/>
              </w:rPr>
            </w:pPr>
            <w:r>
              <w:rPr>
                <w:rFonts w:hint="eastAsia"/>
                <w:szCs w:val="21"/>
              </w:rPr>
              <w:t>4至5年</w:t>
            </w:r>
          </w:p>
        </w:tc>
        <w:tc>
          <w:tcPr>
            <w:tcW w:w="1686" w:type="pct"/>
            <w:tcBorders>
              <w:top w:val="single" w:color="auto" w:sz="4" w:space="0"/>
              <w:left w:val="single" w:color="auto" w:sz="4" w:space="0"/>
              <w:bottom w:val="single" w:color="auto" w:sz="4" w:space="0"/>
              <w:right w:val="single" w:color="auto" w:sz="4" w:space="0"/>
            </w:tcBorders>
            <w:vAlign w:val="center"/>
          </w:tcPr>
          <w:p w14:paraId="32B68B74">
            <w:pPr>
              <w:jc w:val="right"/>
              <w:rPr>
                <w:rFonts w:hint="eastAsia"/>
                <w:szCs w:val="21"/>
              </w:rPr>
            </w:pPr>
            <w:r>
              <w:rPr>
                <w:rFonts w:ascii="Arial Narrow" w:hAnsi="Arial Narrow" w:eastAsia="等线"/>
                <w:color w:val="000000"/>
                <w:szCs w:val="21"/>
              </w:rPr>
              <w:t xml:space="preserve">73,980,933.70 </w:t>
            </w:r>
          </w:p>
        </w:tc>
        <w:tc>
          <w:tcPr>
            <w:tcW w:w="1686" w:type="pct"/>
            <w:tcBorders>
              <w:top w:val="single" w:color="auto" w:sz="4" w:space="0"/>
              <w:left w:val="single" w:color="auto" w:sz="4" w:space="0"/>
              <w:bottom w:val="single" w:color="auto" w:sz="4" w:space="0"/>
              <w:right w:val="single" w:color="auto" w:sz="4" w:space="0"/>
            </w:tcBorders>
            <w:vAlign w:val="center"/>
          </w:tcPr>
          <w:p w14:paraId="2010AD0C">
            <w:pPr>
              <w:jc w:val="right"/>
              <w:rPr>
                <w:rFonts w:hint="eastAsia"/>
                <w:szCs w:val="21"/>
              </w:rPr>
            </w:pPr>
            <w:r>
              <w:rPr>
                <w:rFonts w:ascii="Arial Narrow" w:hAnsi="Arial Narrow" w:eastAsia="等线"/>
                <w:color w:val="000000"/>
                <w:szCs w:val="21"/>
              </w:rPr>
              <w:t xml:space="preserve">49,823,430.63 </w:t>
            </w:r>
          </w:p>
        </w:tc>
      </w:tr>
      <w:tr w14:paraId="0D76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261EBB49">
            <w:pPr>
              <w:rPr>
                <w:rFonts w:hint="eastAsia"/>
                <w:szCs w:val="21"/>
              </w:rPr>
            </w:pPr>
            <w:r>
              <w:rPr>
                <w:rFonts w:hint="eastAsia"/>
                <w:szCs w:val="21"/>
              </w:rPr>
              <w:t>5年以上</w:t>
            </w:r>
          </w:p>
        </w:tc>
        <w:tc>
          <w:tcPr>
            <w:tcW w:w="1686" w:type="pct"/>
            <w:tcBorders>
              <w:top w:val="single" w:color="auto" w:sz="4" w:space="0"/>
              <w:left w:val="single" w:color="auto" w:sz="4" w:space="0"/>
              <w:bottom w:val="single" w:color="auto" w:sz="4" w:space="0"/>
              <w:right w:val="single" w:color="auto" w:sz="4" w:space="0"/>
            </w:tcBorders>
            <w:vAlign w:val="center"/>
          </w:tcPr>
          <w:p w14:paraId="0403B4CB">
            <w:pPr>
              <w:jc w:val="right"/>
              <w:rPr>
                <w:rFonts w:hint="eastAsia"/>
                <w:szCs w:val="21"/>
              </w:rPr>
            </w:pPr>
            <w:r>
              <w:rPr>
                <w:rFonts w:ascii="Arial Narrow" w:hAnsi="Arial Narrow" w:eastAsia="等线"/>
                <w:color w:val="000000"/>
                <w:szCs w:val="21"/>
              </w:rPr>
              <w:t xml:space="preserve">302,724,615.31 </w:t>
            </w:r>
          </w:p>
        </w:tc>
        <w:tc>
          <w:tcPr>
            <w:tcW w:w="1686" w:type="pct"/>
            <w:tcBorders>
              <w:top w:val="single" w:color="auto" w:sz="4" w:space="0"/>
              <w:left w:val="single" w:color="auto" w:sz="4" w:space="0"/>
              <w:bottom w:val="single" w:color="auto" w:sz="4" w:space="0"/>
              <w:right w:val="single" w:color="auto" w:sz="4" w:space="0"/>
            </w:tcBorders>
            <w:vAlign w:val="center"/>
          </w:tcPr>
          <w:p w14:paraId="1D3B77FC">
            <w:pPr>
              <w:jc w:val="right"/>
              <w:rPr>
                <w:rFonts w:hint="eastAsia"/>
                <w:szCs w:val="21"/>
              </w:rPr>
            </w:pPr>
            <w:r>
              <w:rPr>
                <w:rFonts w:ascii="Arial Narrow" w:hAnsi="Arial Narrow" w:eastAsia="等线"/>
                <w:color w:val="000000"/>
                <w:szCs w:val="21"/>
              </w:rPr>
              <w:t xml:space="preserve">276,829,292.16 </w:t>
            </w:r>
          </w:p>
        </w:tc>
      </w:tr>
      <w:tr w14:paraId="6C09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vAlign w:val="center"/>
          </w:tcPr>
          <w:p w14:paraId="085D114C">
            <w:pPr>
              <w:jc w:val="center"/>
              <w:rPr>
                <w:rFonts w:hint="eastAsia"/>
                <w:szCs w:val="21"/>
              </w:rPr>
            </w:pPr>
            <w:r>
              <w:rPr>
                <w:rFonts w:hint="eastAsia"/>
                <w:szCs w:val="21"/>
              </w:rPr>
              <w:t>合计</w:t>
            </w:r>
          </w:p>
        </w:tc>
        <w:tc>
          <w:tcPr>
            <w:tcW w:w="1686" w:type="pct"/>
            <w:tcBorders>
              <w:top w:val="single" w:color="auto" w:sz="4" w:space="0"/>
              <w:left w:val="single" w:color="auto" w:sz="4" w:space="0"/>
              <w:bottom w:val="single" w:color="auto" w:sz="4" w:space="0"/>
              <w:right w:val="single" w:color="auto" w:sz="4" w:space="0"/>
            </w:tcBorders>
            <w:vAlign w:val="center"/>
          </w:tcPr>
          <w:p w14:paraId="756D4FFF">
            <w:pPr>
              <w:jc w:val="right"/>
              <w:rPr>
                <w:rFonts w:hint="eastAsia"/>
                <w:szCs w:val="21"/>
              </w:rPr>
            </w:pPr>
            <w:r>
              <w:rPr>
                <w:rFonts w:ascii="Arial Narrow" w:hAnsi="Arial Narrow" w:eastAsia="等线"/>
                <w:color w:val="000000"/>
                <w:szCs w:val="21"/>
              </w:rPr>
              <w:t xml:space="preserve">3,431,166,952.04 </w:t>
            </w:r>
          </w:p>
        </w:tc>
        <w:tc>
          <w:tcPr>
            <w:tcW w:w="1686" w:type="pct"/>
            <w:tcBorders>
              <w:top w:val="single" w:color="auto" w:sz="4" w:space="0"/>
              <w:left w:val="single" w:color="auto" w:sz="4" w:space="0"/>
              <w:bottom w:val="single" w:color="auto" w:sz="4" w:space="0"/>
              <w:right w:val="single" w:color="auto" w:sz="4" w:space="0"/>
            </w:tcBorders>
            <w:vAlign w:val="center"/>
          </w:tcPr>
          <w:p w14:paraId="7DA2DD19">
            <w:pPr>
              <w:jc w:val="right"/>
              <w:rPr>
                <w:rFonts w:hint="eastAsia"/>
                <w:szCs w:val="21"/>
              </w:rPr>
            </w:pPr>
            <w:r>
              <w:rPr>
                <w:rFonts w:ascii="Arial Narrow" w:hAnsi="Arial Narrow" w:eastAsia="等线"/>
                <w:color w:val="000000"/>
                <w:szCs w:val="21"/>
              </w:rPr>
              <w:t xml:space="preserve">3,432,664,583.76 </w:t>
            </w:r>
          </w:p>
        </w:tc>
      </w:tr>
    </w:tbl>
    <w:p w14:paraId="3A25CDB7">
      <w:pPr>
        <w:rPr>
          <w:rFonts w:hint="eastAsia"/>
        </w:rPr>
        <w:sectPr>
          <w:pgSz w:w="11906" w:h="16838"/>
          <w:pgMar w:top="1440" w:right="1797" w:bottom="1525" w:left="1276" w:header="856" w:footer="992" w:gutter="0"/>
          <w:cols w:space="425" w:num="1"/>
          <w:docGrid w:linePitch="312" w:charSpace="0"/>
        </w:sectPr>
      </w:pPr>
    </w:p>
    <w:p w14:paraId="310B7037">
      <w:pPr>
        <w:rPr>
          <w:rFonts w:hint="eastAsia"/>
        </w:rPr>
      </w:pPr>
    </w:p>
    <w:p w14:paraId="1EDCCC2B">
      <w:pPr>
        <w:pStyle w:val="71"/>
        <w:numPr>
          <w:ilvl w:val="3"/>
          <w:numId w:val="111"/>
        </w:numPr>
        <w:ind w:left="426" w:hanging="426"/>
        <w:rPr>
          <w:rFonts w:hint="eastAsia"/>
        </w:rPr>
      </w:pPr>
      <w:bookmarkStart w:id="246" w:name="_Hlk533601584"/>
      <w:r>
        <w:rPr>
          <w:rFonts w:hint="eastAsia"/>
        </w:rPr>
        <w:t>按坏账计提方法分类披露</w:t>
      </w:r>
    </w:p>
    <w:sdt>
      <w:sdtPr>
        <w:alias w:val="是否适用：应收账款分类披露[双击切换]"/>
        <w:tag w:val="_GBC_5532cbb0484a40fcb185be4bb8709d46"/>
        <w:id w:val="-207955397"/>
        <w:placeholder>
          <w:docPart w:val="GBC22222222222222222222222222222"/>
        </w:placeholder>
      </w:sdtPr>
      <w:sdtContent>
        <w:p w14:paraId="17914D76">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55786A">
      <w:pPr>
        <w:pStyle w:val="109"/>
        <w:autoSpaceDE w:val="0"/>
        <w:autoSpaceDN w:val="0"/>
        <w:adjustRightInd w:val="0"/>
        <w:ind w:left="425" w:right="105" w:firstLine="0" w:firstLineChars="0"/>
        <w:jc w:val="right"/>
        <w:rPr>
          <w:szCs w:val="21"/>
        </w:rPr>
      </w:pPr>
      <w:r>
        <w:rPr>
          <w:rFonts w:hint="eastAsia"/>
          <w:szCs w:val="21"/>
        </w:rPr>
        <w:t>单位：</w:t>
      </w:r>
      <w:sdt>
        <w:sdtPr>
          <w:rPr>
            <w:rFonts w:hint="eastAsia"/>
            <w:szCs w:val="21"/>
          </w:rPr>
          <w:alias w:val="单位：财务附注：应收账款按种类披露"/>
          <w:tag w:val="_GBC_9672a88fa94c441f9769b560659b37f6"/>
          <w:id w:val="17086091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45ed90b2e73740bfa8c1f5d7d12ff35e"/>
          <w:id w:val="14169076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1558"/>
        <w:gridCol w:w="647"/>
        <w:gridCol w:w="1672"/>
        <w:gridCol w:w="726"/>
        <w:gridCol w:w="1569"/>
        <w:gridCol w:w="1672"/>
        <w:gridCol w:w="649"/>
        <w:gridCol w:w="1672"/>
        <w:gridCol w:w="729"/>
        <w:gridCol w:w="1569"/>
      </w:tblGrid>
      <w:tr w14:paraId="1C8A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f8d5a19b9b724da98e30475a6df20be9"/>
            <w:id w:val="-611120340"/>
          </w:sdtPr>
          <w:sdtContent>
            <w:tc>
              <w:tcPr>
                <w:tcW w:w="505" w:type="pct"/>
                <w:vMerge w:val="restart"/>
                <w:tcBorders>
                  <w:top w:val="single" w:color="auto" w:sz="4" w:space="0"/>
                  <w:left w:val="single" w:color="auto" w:sz="4" w:space="0"/>
                  <w:right w:val="single" w:color="auto" w:sz="4" w:space="0"/>
                </w:tcBorders>
                <w:vAlign w:val="center"/>
              </w:tcPr>
              <w:p w14:paraId="35F95E77">
                <w:pPr>
                  <w:jc w:val="center"/>
                  <w:rPr>
                    <w:rFonts w:hint="eastAsia"/>
                    <w:szCs w:val="21"/>
                  </w:rPr>
                </w:pPr>
                <w:r>
                  <w:rPr>
                    <w:rFonts w:hint="eastAsia"/>
                    <w:szCs w:val="21"/>
                  </w:rPr>
                  <w:t>类别</w:t>
                </w:r>
              </w:p>
            </w:tc>
          </w:sdtContent>
        </w:sdt>
        <w:sdt>
          <w:sdtPr>
            <w:tag w:val="_PLD_8e6cd64a5cc84d259bab748be3f49169"/>
            <w:id w:val="-726596815"/>
          </w:sdtPr>
          <w:sdtContent>
            <w:tc>
              <w:tcPr>
                <w:tcW w:w="2226" w:type="pct"/>
                <w:gridSpan w:val="5"/>
                <w:tcBorders>
                  <w:top w:val="single" w:color="auto" w:sz="4" w:space="0"/>
                  <w:left w:val="single" w:color="auto" w:sz="4" w:space="0"/>
                  <w:right w:val="single" w:color="auto" w:sz="4" w:space="0"/>
                </w:tcBorders>
                <w:vAlign w:val="center"/>
              </w:tcPr>
              <w:p w14:paraId="3AA9BA8C">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f3718624b866493ab3b8d8edadf10560"/>
            <w:id w:val="-1072808784"/>
          </w:sdtPr>
          <w:sdtContent>
            <w:tc>
              <w:tcPr>
                <w:tcW w:w="2269" w:type="pct"/>
                <w:gridSpan w:val="5"/>
                <w:tcBorders>
                  <w:top w:val="single" w:color="auto" w:sz="4" w:space="0"/>
                  <w:left w:val="single" w:color="auto" w:sz="4" w:space="0"/>
                  <w:right w:val="single" w:color="auto" w:sz="4" w:space="0"/>
                </w:tcBorders>
                <w:vAlign w:val="center"/>
              </w:tcPr>
              <w:p w14:paraId="1C6652FF">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2051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505" w:type="pct"/>
            <w:vMerge w:val="continue"/>
            <w:tcBorders>
              <w:left w:val="single" w:color="auto" w:sz="4" w:space="0"/>
              <w:right w:val="single" w:color="auto" w:sz="4" w:space="0"/>
            </w:tcBorders>
            <w:vAlign w:val="center"/>
          </w:tcPr>
          <w:p w14:paraId="10438D2D">
            <w:pPr>
              <w:rPr>
                <w:rFonts w:hint="eastAsia"/>
                <w:szCs w:val="21"/>
              </w:rPr>
            </w:pPr>
          </w:p>
        </w:tc>
        <w:sdt>
          <w:sdtPr>
            <w:tag w:val="_PLD_696c52ce758e49deb616a7fb8df8ee20"/>
            <w:id w:val="1828329005"/>
          </w:sdtPr>
          <w:sdtContent>
            <w:tc>
              <w:tcPr>
                <w:tcW w:w="795" w:type="pct"/>
                <w:gridSpan w:val="2"/>
                <w:tcBorders>
                  <w:top w:val="single" w:color="auto" w:sz="4" w:space="0"/>
                  <w:left w:val="single" w:color="auto" w:sz="4" w:space="0"/>
                  <w:bottom w:val="single" w:color="auto" w:sz="4" w:space="0"/>
                  <w:right w:val="single" w:color="auto" w:sz="4" w:space="0"/>
                </w:tcBorders>
                <w:vAlign w:val="center"/>
              </w:tcPr>
              <w:p w14:paraId="0A8BAFC6">
                <w:pPr>
                  <w:jc w:val="center"/>
                  <w:rPr>
                    <w:rFonts w:hint="eastAsia"/>
                    <w:szCs w:val="21"/>
                  </w:rPr>
                </w:pPr>
                <w:r>
                  <w:rPr>
                    <w:rFonts w:hint="eastAsia"/>
                    <w:szCs w:val="21"/>
                  </w:rPr>
                  <w:t>账面余额</w:t>
                </w:r>
              </w:p>
            </w:tc>
          </w:sdtContent>
        </w:sdt>
        <w:sdt>
          <w:sdtPr>
            <w:tag w:val="_PLD_1ca261fa1763424688ba2be8550f43e1"/>
            <w:id w:val="-129018136"/>
          </w:sdtPr>
          <w:sdtContent>
            <w:tc>
              <w:tcPr>
                <w:tcW w:w="865" w:type="pct"/>
                <w:gridSpan w:val="2"/>
                <w:tcBorders>
                  <w:top w:val="single" w:color="auto" w:sz="4" w:space="0"/>
                  <w:left w:val="single" w:color="auto" w:sz="4" w:space="0"/>
                  <w:bottom w:val="single" w:color="auto" w:sz="4" w:space="0"/>
                  <w:right w:val="single" w:color="auto" w:sz="4" w:space="0"/>
                </w:tcBorders>
                <w:vAlign w:val="center"/>
              </w:tcPr>
              <w:p w14:paraId="2BE2E9CA">
                <w:pPr>
                  <w:jc w:val="center"/>
                  <w:rPr>
                    <w:rFonts w:hint="eastAsia"/>
                    <w:szCs w:val="21"/>
                  </w:rPr>
                </w:pPr>
                <w:r>
                  <w:rPr>
                    <w:rFonts w:hint="eastAsia"/>
                    <w:szCs w:val="21"/>
                  </w:rPr>
                  <w:t>坏账准备</w:t>
                </w:r>
              </w:p>
            </w:tc>
          </w:sdtContent>
        </w:sdt>
        <w:sdt>
          <w:sdtPr>
            <w:tag w:val="_PLD_caaf7fb85a4a432890635f2eb9c38cd5"/>
            <w:id w:val="1736441883"/>
          </w:sdtPr>
          <w:sdtContent>
            <w:tc>
              <w:tcPr>
                <w:tcW w:w="566" w:type="pct"/>
                <w:vMerge w:val="restart"/>
                <w:tcBorders>
                  <w:top w:val="single" w:color="auto" w:sz="4" w:space="0"/>
                  <w:left w:val="single" w:color="auto" w:sz="4" w:space="0"/>
                  <w:right w:val="single" w:color="auto" w:sz="4" w:space="0"/>
                </w:tcBorders>
                <w:vAlign w:val="center"/>
              </w:tcPr>
              <w:p w14:paraId="3B2FC054">
                <w:pPr>
                  <w:jc w:val="center"/>
                  <w:rPr>
                    <w:rFonts w:hint="eastAsia"/>
                    <w:szCs w:val="21"/>
                  </w:rPr>
                </w:pPr>
                <w:r>
                  <w:rPr>
                    <w:rFonts w:hint="eastAsia"/>
                    <w:szCs w:val="21"/>
                  </w:rPr>
                  <w:t>账面</w:t>
                </w:r>
              </w:p>
              <w:p w14:paraId="31F2171B">
                <w:pPr>
                  <w:jc w:val="center"/>
                  <w:rPr>
                    <w:rFonts w:hint="eastAsia"/>
                    <w:szCs w:val="21"/>
                  </w:rPr>
                </w:pPr>
                <w:r>
                  <w:rPr>
                    <w:rFonts w:hint="eastAsia"/>
                    <w:szCs w:val="21"/>
                  </w:rPr>
                  <w:t>价值</w:t>
                </w:r>
              </w:p>
            </w:tc>
          </w:sdtContent>
        </w:sdt>
        <w:sdt>
          <w:sdtPr>
            <w:tag w:val="_PLD_f01498a5d6634d7ab63dd393e266902a"/>
            <w:id w:val="1484131830"/>
          </w:sdtPr>
          <w:sdtContent>
            <w:tc>
              <w:tcPr>
                <w:tcW w:w="837" w:type="pct"/>
                <w:gridSpan w:val="2"/>
                <w:tcBorders>
                  <w:top w:val="single" w:color="auto" w:sz="4" w:space="0"/>
                  <w:left w:val="single" w:color="auto" w:sz="4" w:space="0"/>
                  <w:right w:val="single" w:color="auto" w:sz="4" w:space="0"/>
                </w:tcBorders>
                <w:vAlign w:val="center"/>
              </w:tcPr>
              <w:p w14:paraId="2F6D3051">
                <w:pPr>
                  <w:jc w:val="center"/>
                  <w:rPr>
                    <w:rFonts w:hint="eastAsia"/>
                    <w:szCs w:val="21"/>
                  </w:rPr>
                </w:pPr>
                <w:r>
                  <w:rPr>
                    <w:rFonts w:hint="eastAsia"/>
                    <w:szCs w:val="21"/>
                  </w:rPr>
                  <w:t>账面余额</w:t>
                </w:r>
              </w:p>
            </w:tc>
          </w:sdtContent>
        </w:sdt>
        <w:sdt>
          <w:sdtPr>
            <w:tag w:val="_PLD_e9336373677a4e1781b6e81f705c1bec"/>
            <w:id w:val="-317259277"/>
          </w:sdtPr>
          <w:sdtContent>
            <w:tc>
              <w:tcPr>
                <w:tcW w:w="866" w:type="pct"/>
                <w:gridSpan w:val="2"/>
                <w:tcBorders>
                  <w:top w:val="single" w:color="auto" w:sz="4" w:space="0"/>
                  <w:left w:val="single" w:color="auto" w:sz="4" w:space="0"/>
                  <w:right w:val="single" w:color="auto" w:sz="4" w:space="0"/>
                </w:tcBorders>
                <w:vAlign w:val="center"/>
              </w:tcPr>
              <w:p w14:paraId="0AE34E2C">
                <w:pPr>
                  <w:jc w:val="center"/>
                  <w:rPr>
                    <w:rFonts w:hint="eastAsia"/>
                    <w:szCs w:val="21"/>
                  </w:rPr>
                </w:pPr>
                <w:r>
                  <w:rPr>
                    <w:rFonts w:hint="eastAsia"/>
                    <w:szCs w:val="21"/>
                  </w:rPr>
                  <w:t>坏账准备</w:t>
                </w:r>
              </w:p>
            </w:tc>
          </w:sdtContent>
        </w:sdt>
        <w:sdt>
          <w:sdtPr>
            <w:tag w:val="_PLD_09bacc527e7b4910a0c82606fe4a5754"/>
            <w:id w:val="301816598"/>
          </w:sdtPr>
          <w:sdtContent>
            <w:tc>
              <w:tcPr>
                <w:tcW w:w="566" w:type="pct"/>
                <w:vMerge w:val="restart"/>
                <w:tcBorders>
                  <w:top w:val="single" w:color="auto" w:sz="4" w:space="0"/>
                  <w:left w:val="single" w:color="auto" w:sz="4" w:space="0"/>
                  <w:right w:val="single" w:color="auto" w:sz="4" w:space="0"/>
                </w:tcBorders>
                <w:vAlign w:val="center"/>
              </w:tcPr>
              <w:p w14:paraId="4D3AB10B">
                <w:pPr>
                  <w:jc w:val="center"/>
                  <w:rPr>
                    <w:rFonts w:hint="eastAsia"/>
                    <w:szCs w:val="21"/>
                  </w:rPr>
                </w:pPr>
                <w:r>
                  <w:rPr>
                    <w:rFonts w:hint="eastAsia"/>
                    <w:szCs w:val="21"/>
                  </w:rPr>
                  <w:t>账面</w:t>
                </w:r>
              </w:p>
              <w:p w14:paraId="5FA6E2A3">
                <w:pPr>
                  <w:jc w:val="center"/>
                  <w:rPr>
                    <w:rFonts w:hint="eastAsia"/>
                    <w:szCs w:val="21"/>
                  </w:rPr>
                </w:pPr>
                <w:r>
                  <w:rPr>
                    <w:rFonts w:hint="eastAsia"/>
                    <w:szCs w:val="21"/>
                  </w:rPr>
                  <w:t>价值</w:t>
                </w:r>
              </w:p>
            </w:tc>
          </w:sdtContent>
        </w:sdt>
      </w:tr>
      <w:tr w14:paraId="15A6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05" w:type="pct"/>
            <w:vMerge w:val="continue"/>
            <w:tcBorders>
              <w:left w:val="single" w:color="auto" w:sz="4" w:space="0"/>
              <w:bottom w:val="single" w:color="auto" w:sz="4" w:space="0"/>
              <w:right w:val="single" w:color="auto" w:sz="4" w:space="0"/>
            </w:tcBorders>
            <w:vAlign w:val="center"/>
          </w:tcPr>
          <w:p w14:paraId="70B9BD14">
            <w:pPr>
              <w:rPr>
                <w:rFonts w:hint="eastAsia"/>
                <w:szCs w:val="21"/>
              </w:rPr>
            </w:pPr>
          </w:p>
        </w:tc>
        <w:sdt>
          <w:sdtPr>
            <w:tag w:val="_PLD_9a908e63a38c4885ae2f80c1b860b93a"/>
            <w:id w:val="-1062008601"/>
          </w:sdtPr>
          <w:sdtContent>
            <w:tc>
              <w:tcPr>
                <w:tcW w:w="562" w:type="pct"/>
                <w:tcBorders>
                  <w:left w:val="single" w:color="auto" w:sz="4" w:space="0"/>
                  <w:bottom w:val="single" w:color="auto" w:sz="4" w:space="0"/>
                  <w:right w:val="single" w:color="auto" w:sz="4" w:space="0"/>
                </w:tcBorders>
                <w:vAlign w:val="center"/>
              </w:tcPr>
              <w:p w14:paraId="209796C9">
                <w:pPr>
                  <w:jc w:val="center"/>
                  <w:rPr>
                    <w:rFonts w:hint="eastAsia"/>
                    <w:szCs w:val="21"/>
                  </w:rPr>
                </w:pPr>
                <w:r>
                  <w:rPr>
                    <w:rFonts w:hint="eastAsia"/>
                    <w:szCs w:val="21"/>
                  </w:rPr>
                  <w:t>金额</w:t>
                </w:r>
              </w:p>
            </w:tc>
          </w:sdtContent>
        </w:sdt>
        <w:sdt>
          <w:sdtPr>
            <w:tag w:val="_PLD_df211ff0344e48aa8266bff852c13d4a"/>
            <w:id w:val="-640805257"/>
          </w:sdtPr>
          <w:sdtContent>
            <w:tc>
              <w:tcPr>
                <w:tcW w:w="233" w:type="pct"/>
                <w:tcBorders>
                  <w:left w:val="single" w:color="auto" w:sz="4" w:space="0"/>
                  <w:bottom w:val="single" w:color="auto" w:sz="4" w:space="0"/>
                  <w:right w:val="single" w:color="auto" w:sz="4" w:space="0"/>
                </w:tcBorders>
                <w:vAlign w:val="center"/>
              </w:tcPr>
              <w:p w14:paraId="728073DC">
                <w:pPr>
                  <w:jc w:val="center"/>
                  <w:rPr>
                    <w:rFonts w:hint="eastAsia"/>
                    <w:szCs w:val="21"/>
                  </w:rPr>
                </w:pPr>
                <w:r>
                  <w:rPr>
                    <w:rFonts w:hint="eastAsia"/>
                    <w:szCs w:val="21"/>
                  </w:rPr>
                  <w:t>比例</w:t>
                </w:r>
                <w:r>
                  <w:rPr>
                    <w:szCs w:val="21"/>
                  </w:rPr>
                  <w:t>(%)</w:t>
                </w:r>
              </w:p>
            </w:tc>
          </w:sdtContent>
        </w:sdt>
        <w:sdt>
          <w:sdtPr>
            <w:tag w:val="_PLD_bc7278fbd5c542a3abfb9a55090a49e0"/>
            <w:id w:val="322707723"/>
          </w:sdtPr>
          <w:sdtContent>
            <w:tc>
              <w:tcPr>
                <w:tcW w:w="603" w:type="pct"/>
                <w:tcBorders>
                  <w:left w:val="single" w:color="auto" w:sz="4" w:space="0"/>
                  <w:bottom w:val="single" w:color="auto" w:sz="4" w:space="0"/>
                  <w:right w:val="single" w:color="auto" w:sz="4" w:space="0"/>
                </w:tcBorders>
                <w:vAlign w:val="center"/>
              </w:tcPr>
              <w:p w14:paraId="44E9ACC4">
                <w:pPr>
                  <w:jc w:val="center"/>
                  <w:rPr>
                    <w:rFonts w:hint="eastAsia"/>
                    <w:szCs w:val="21"/>
                  </w:rPr>
                </w:pPr>
                <w:r>
                  <w:rPr>
                    <w:rFonts w:hint="eastAsia"/>
                    <w:szCs w:val="21"/>
                  </w:rPr>
                  <w:t>金额</w:t>
                </w:r>
              </w:p>
            </w:tc>
          </w:sdtContent>
        </w:sdt>
        <w:sdt>
          <w:sdtPr>
            <w:tag w:val="_PLD_98f107e07b5b44938d61d6b0984d9e2b"/>
            <w:id w:val="-297999171"/>
          </w:sdtPr>
          <w:sdtContent>
            <w:tc>
              <w:tcPr>
                <w:tcW w:w="262" w:type="pct"/>
                <w:tcBorders>
                  <w:left w:val="single" w:color="auto" w:sz="4" w:space="0"/>
                  <w:bottom w:val="single" w:color="auto" w:sz="4" w:space="0"/>
                  <w:right w:val="single" w:color="auto" w:sz="4" w:space="0"/>
                </w:tcBorders>
                <w:vAlign w:val="center"/>
              </w:tcPr>
              <w:p w14:paraId="5395C021">
                <w:pPr>
                  <w:jc w:val="center"/>
                  <w:rPr>
                    <w:rFonts w:hint="eastAsia"/>
                    <w:szCs w:val="21"/>
                  </w:rPr>
                </w:pPr>
                <w:r>
                  <w:rPr>
                    <w:rFonts w:hint="eastAsia"/>
                    <w:szCs w:val="21"/>
                  </w:rPr>
                  <w:t>计提比例</w:t>
                </w:r>
                <w:r>
                  <w:rPr>
                    <w:szCs w:val="21"/>
                  </w:rPr>
                  <w:t>(%)</w:t>
                </w:r>
              </w:p>
            </w:tc>
          </w:sdtContent>
        </w:sdt>
        <w:tc>
          <w:tcPr>
            <w:tcW w:w="566" w:type="pct"/>
            <w:vMerge w:val="continue"/>
            <w:tcBorders>
              <w:left w:val="single" w:color="auto" w:sz="4" w:space="0"/>
              <w:bottom w:val="single" w:color="auto" w:sz="4" w:space="0"/>
              <w:right w:val="single" w:color="auto" w:sz="4" w:space="0"/>
            </w:tcBorders>
            <w:vAlign w:val="center"/>
          </w:tcPr>
          <w:p w14:paraId="32F8A587">
            <w:pPr>
              <w:jc w:val="center"/>
              <w:rPr>
                <w:rFonts w:hint="eastAsia"/>
                <w:szCs w:val="21"/>
              </w:rPr>
            </w:pPr>
          </w:p>
        </w:tc>
        <w:sdt>
          <w:sdtPr>
            <w:tag w:val="_PLD_27c35a851bfc461b93652bdd1c4da46e"/>
            <w:id w:val="-1633243148"/>
          </w:sdtPr>
          <w:sdtContent>
            <w:tc>
              <w:tcPr>
                <w:tcW w:w="603" w:type="pct"/>
                <w:tcBorders>
                  <w:left w:val="single" w:color="auto" w:sz="4" w:space="0"/>
                  <w:bottom w:val="single" w:color="auto" w:sz="4" w:space="0"/>
                  <w:right w:val="single" w:color="auto" w:sz="4" w:space="0"/>
                </w:tcBorders>
                <w:vAlign w:val="center"/>
              </w:tcPr>
              <w:p w14:paraId="07F30955">
                <w:pPr>
                  <w:jc w:val="center"/>
                  <w:rPr>
                    <w:rFonts w:hint="eastAsia"/>
                    <w:szCs w:val="21"/>
                  </w:rPr>
                </w:pPr>
                <w:r>
                  <w:rPr>
                    <w:rFonts w:hint="eastAsia"/>
                    <w:szCs w:val="21"/>
                  </w:rPr>
                  <w:t>金额</w:t>
                </w:r>
              </w:p>
            </w:tc>
          </w:sdtContent>
        </w:sdt>
        <w:sdt>
          <w:sdtPr>
            <w:tag w:val="_PLD_8cdcb4d0cfc74ea299eeda00998b7eed"/>
            <w:id w:val="-1795664105"/>
          </w:sdtPr>
          <w:sdtContent>
            <w:tc>
              <w:tcPr>
                <w:tcW w:w="234" w:type="pct"/>
                <w:tcBorders>
                  <w:left w:val="single" w:color="auto" w:sz="4" w:space="0"/>
                  <w:bottom w:val="single" w:color="auto" w:sz="4" w:space="0"/>
                  <w:right w:val="single" w:color="auto" w:sz="4" w:space="0"/>
                </w:tcBorders>
                <w:vAlign w:val="center"/>
              </w:tcPr>
              <w:p w14:paraId="11B9BAD4">
                <w:pPr>
                  <w:jc w:val="center"/>
                  <w:rPr>
                    <w:rFonts w:hint="eastAsia"/>
                    <w:szCs w:val="21"/>
                  </w:rPr>
                </w:pPr>
                <w:r>
                  <w:rPr>
                    <w:rFonts w:hint="eastAsia"/>
                    <w:szCs w:val="21"/>
                  </w:rPr>
                  <w:t>比例</w:t>
                </w:r>
                <w:r>
                  <w:rPr>
                    <w:szCs w:val="21"/>
                  </w:rPr>
                  <w:t>(%)</w:t>
                </w:r>
              </w:p>
            </w:tc>
          </w:sdtContent>
        </w:sdt>
        <w:sdt>
          <w:sdtPr>
            <w:tag w:val="_PLD_205ec069d7004eaba20d3af25a7dfeda"/>
            <w:id w:val="1546795017"/>
          </w:sdtPr>
          <w:sdtContent>
            <w:tc>
              <w:tcPr>
                <w:tcW w:w="603" w:type="pct"/>
                <w:tcBorders>
                  <w:left w:val="single" w:color="auto" w:sz="4" w:space="0"/>
                  <w:bottom w:val="single" w:color="auto" w:sz="4" w:space="0"/>
                  <w:right w:val="single" w:color="auto" w:sz="4" w:space="0"/>
                </w:tcBorders>
                <w:vAlign w:val="center"/>
              </w:tcPr>
              <w:p w14:paraId="1D410C4B">
                <w:pPr>
                  <w:jc w:val="center"/>
                  <w:rPr>
                    <w:rFonts w:hint="eastAsia"/>
                    <w:szCs w:val="21"/>
                  </w:rPr>
                </w:pPr>
                <w:r>
                  <w:rPr>
                    <w:rFonts w:hint="eastAsia"/>
                    <w:szCs w:val="21"/>
                  </w:rPr>
                  <w:t>金额</w:t>
                </w:r>
              </w:p>
            </w:tc>
          </w:sdtContent>
        </w:sdt>
        <w:sdt>
          <w:sdtPr>
            <w:tag w:val="_PLD_cee6517bce154e26a5f2a917cc143a54"/>
            <w:id w:val="344905037"/>
          </w:sdtPr>
          <w:sdtContent>
            <w:tc>
              <w:tcPr>
                <w:tcW w:w="263" w:type="pct"/>
                <w:tcBorders>
                  <w:left w:val="single" w:color="auto" w:sz="4" w:space="0"/>
                  <w:bottom w:val="single" w:color="auto" w:sz="4" w:space="0"/>
                  <w:right w:val="single" w:color="auto" w:sz="4" w:space="0"/>
                </w:tcBorders>
                <w:vAlign w:val="center"/>
              </w:tcPr>
              <w:p w14:paraId="63815257">
                <w:pPr>
                  <w:jc w:val="center"/>
                  <w:rPr>
                    <w:rFonts w:hint="eastAsia"/>
                    <w:szCs w:val="21"/>
                  </w:rPr>
                </w:pPr>
                <w:r>
                  <w:rPr>
                    <w:rFonts w:hint="eastAsia"/>
                    <w:szCs w:val="21"/>
                  </w:rPr>
                  <w:t>计提比例</w:t>
                </w:r>
                <w:r>
                  <w:rPr>
                    <w:szCs w:val="21"/>
                  </w:rPr>
                  <w:t>(%)</w:t>
                </w:r>
              </w:p>
            </w:tc>
          </w:sdtContent>
        </w:sdt>
        <w:tc>
          <w:tcPr>
            <w:tcW w:w="566" w:type="pct"/>
            <w:vMerge w:val="continue"/>
            <w:tcBorders>
              <w:left w:val="single" w:color="auto" w:sz="4" w:space="0"/>
              <w:bottom w:val="single" w:color="auto" w:sz="4" w:space="0"/>
              <w:right w:val="single" w:color="auto" w:sz="4" w:space="0"/>
            </w:tcBorders>
          </w:tcPr>
          <w:p w14:paraId="7340BD2D">
            <w:pPr>
              <w:jc w:val="center"/>
              <w:rPr>
                <w:rFonts w:hint="eastAsia"/>
                <w:szCs w:val="21"/>
              </w:rPr>
            </w:pPr>
          </w:p>
        </w:tc>
      </w:tr>
      <w:tr w14:paraId="5F95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5" w:type="pct"/>
            <w:tcBorders>
              <w:top w:val="single" w:color="auto" w:sz="4" w:space="0"/>
              <w:left w:val="single" w:color="auto" w:sz="4" w:space="0"/>
              <w:bottom w:val="single" w:color="auto" w:sz="4" w:space="0"/>
              <w:right w:val="single" w:color="auto" w:sz="4" w:space="0"/>
            </w:tcBorders>
            <w:vAlign w:val="center"/>
          </w:tcPr>
          <w:p w14:paraId="2B7AC26C">
            <w:pPr>
              <w:rPr>
                <w:rFonts w:hint="eastAsia"/>
                <w:szCs w:val="21"/>
              </w:rPr>
            </w:pPr>
            <w:r>
              <w:rPr>
                <w:rFonts w:hint="eastAsia"/>
                <w:szCs w:val="21"/>
              </w:rPr>
              <w:t>按单项计提坏账准备</w:t>
            </w:r>
          </w:p>
        </w:tc>
        <w:tc>
          <w:tcPr>
            <w:tcW w:w="562" w:type="pct"/>
            <w:tcBorders>
              <w:top w:val="single" w:color="auto" w:sz="4" w:space="0"/>
              <w:left w:val="single" w:color="auto" w:sz="4" w:space="0"/>
              <w:bottom w:val="single" w:color="auto" w:sz="4" w:space="0"/>
              <w:right w:val="single" w:color="auto" w:sz="4" w:space="0"/>
            </w:tcBorders>
            <w:vAlign w:val="center"/>
          </w:tcPr>
          <w:p w14:paraId="1F817969">
            <w:pPr>
              <w:jc w:val="right"/>
              <w:rPr>
                <w:rFonts w:ascii="Arial Narrow" w:hAnsi="Arial Narrow"/>
                <w:sz w:val="18"/>
                <w:szCs w:val="18"/>
              </w:rPr>
            </w:pPr>
            <w:r>
              <w:rPr>
                <w:rFonts w:ascii="Arial Narrow" w:hAnsi="Arial Narrow" w:eastAsia="等线"/>
                <w:color w:val="000000"/>
                <w:szCs w:val="21"/>
              </w:rPr>
              <w:t xml:space="preserve">215,314,102.91 </w:t>
            </w:r>
          </w:p>
        </w:tc>
        <w:tc>
          <w:tcPr>
            <w:tcW w:w="233" w:type="pct"/>
            <w:tcBorders>
              <w:top w:val="single" w:color="auto" w:sz="4" w:space="0"/>
              <w:left w:val="single" w:color="auto" w:sz="4" w:space="0"/>
              <w:bottom w:val="single" w:color="auto" w:sz="4" w:space="0"/>
              <w:right w:val="single" w:color="auto" w:sz="4" w:space="0"/>
            </w:tcBorders>
            <w:vAlign w:val="center"/>
          </w:tcPr>
          <w:p w14:paraId="451B7242">
            <w:pPr>
              <w:jc w:val="right"/>
              <w:rPr>
                <w:rFonts w:ascii="Arial Narrow" w:hAnsi="Arial Narrow"/>
                <w:sz w:val="18"/>
                <w:szCs w:val="18"/>
              </w:rPr>
            </w:pPr>
            <w:r>
              <w:rPr>
                <w:rFonts w:ascii="Arial Narrow" w:hAnsi="Arial Narrow" w:eastAsia="等线"/>
                <w:color w:val="000000"/>
                <w:szCs w:val="21"/>
              </w:rPr>
              <w:t xml:space="preserve">6.28 </w:t>
            </w:r>
          </w:p>
        </w:tc>
        <w:tc>
          <w:tcPr>
            <w:tcW w:w="603" w:type="pct"/>
            <w:tcBorders>
              <w:top w:val="single" w:color="auto" w:sz="4" w:space="0"/>
              <w:left w:val="single" w:color="auto" w:sz="4" w:space="0"/>
              <w:bottom w:val="single" w:color="auto" w:sz="4" w:space="0"/>
              <w:right w:val="single" w:color="auto" w:sz="4" w:space="0"/>
            </w:tcBorders>
            <w:vAlign w:val="center"/>
          </w:tcPr>
          <w:p w14:paraId="48FB21E5">
            <w:pPr>
              <w:jc w:val="right"/>
              <w:rPr>
                <w:rFonts w:ascii="Arial Narrow" w:hAnsi="Arial Narrow"/>
                <w:sz w:val="18"/>
                <w:szCs w:val="18"/>
              </w:rPr>
            </w:pPr>
            <w:r>
              <w:rPr>
                <w:rFonts w:ascii="Arial Narrow" w:hAnsi="Arial Narrow" w:eastAsia="等线"/>
                <w:color w:val="000000"/>
                <w:szCs w:val="21"/>
              </w:rPr>
              <w:t xml:space="preserve">204,343,818.91 </w:t>
            </w:r>
          </w:p>
        </w:tc>
        <w:tc>
          <w:tcPr>
            <w:tcW w:w="262" w:type="pct"/>
            <w:tcBorders>
              <w:top w:val="single" w:color="auto" w:sz="4" w:space="0"/>
              <w:left w:val="single" w:color="auto" w:sz="4" w:space="0"/>
              <w:bottom w:val="single" w:color="auto" w:sz="4" w:space="0"/>
              <w:right w:val="single" w:color="auto" w:sz="4" w:space="0"/>
            </w:tcBorders>
            <w:vAlign w:val="center"/>
          </w:tcPr>
          <w:p w14:paraId="655038D0">
            <w:pPr>
              <w:jc w:val="right"/>
              <w:rPr>
                <w:rFonts w:ascii="Arial Narrow" w:hAnsi="Arial Narrow"/>
                <w:sz w:val="18"/>
                <w:szCs w:val="18"/>
              </w:rPr>
            </w:pPr>
            <w:r>
              <w:rPr>
                <w:rFonts w:ascii="Arial Narrow" w:hAnsi="Arial Narrow" w:eastAsia="等线"/>
                <w:color w:val="000000"/>
                <w:szCs w:val="21"/>
              </w:rPr>
              <w:t xml:space="preserve">94.90 </w:t>
            </w:r>
          </w:p>
        </w:tc>
        <w:tc>
          <w:tcPr>
            <w:tcW w:w="566" w:type="pct"/>
            <w:tcBorders>
              <w:top w:val="single" w:color="auto" w:sz="4" w:space="0"/>
              <w:left w:val="single" w:color="auto" w:sz="4" w:space="0"/>
              <w:bottom w:val="single" w:color="auto" w:sz="4" w:space="0"/>
              <w:right w:val="single" w:color="auto" w:sz="4" w:space="0"/>
            </w:tcBorders>
            <w:vAlign w:val="center"/>
          </w:tcPr>
          <w:p w14:paraId="51A06F9C">
            <w:pPr>
              <w:jc w:val="right"/>
              <w:rPr>
                <w:rFonts w:ascii="Arial Narrow" w:hAnsi="Arial Narrow"/>
                <w:sz w:val="18"/>
                <w:szCs w:val="18"/>
              </w:rPr>
            </w:pPr>
            <w:r>
              <w:rPr>
                <w:rFonts w:ascii="Arial Narrow" w:hAnsi="Arial Narrow" w:eastAsia="等线"/>
                <w:color w:val="000000"/>
                <w:szCs w:val="21"/>
              </w:rPr>
              <w:t xml:space="preserve">10,970,284.00 </w:t>
            </w:r>
          </w:p>
        </w:tc>
        <w:tc>
          <w:tcPr>
            <w:tcW w:w="603" w:type="pct"/>
            <w:tcBorders>
              <w:top w:val="single" w:color="auto" w:sz="4" w:space="0"/>
              <w:left w:val="single" w:color="auto" w:sz="4" w:space="0"/>
              <w:bottom w:val="single" w:color="auto" w:sz="4" w:space="0"/>
              <w:right w:val="single" w:color="auto" w:sz="4" w:space="0"/>
            </w:tcBorders>
            <w:vAlign w:val="center"/>
          </w:tcPr>
          <w:p w14:paraId="12E68AAB">
            <w:pPr>
              <w:jc w:val="right"/>
              <w:rPr>
                <w:rFonts w:ascii="Arial Narrow" w:hAnsi="Arial Narrow"/>
                <w:sz w:val="18"/>
                <w:szCs w:val="18"/>
              </w:rPr>
            </w:pPr>
            <w:r>
              <w:rPr>
                <w:rFonts w:ascii="Arial Narrow" w:hAnsi="Arial Narrow" w:eastAsia="等线"/>
                <w:color w:val="000000"/>
                <w:szCs w:val="21"/>
              </w:rPr>
              <w:t xml:space="preserve">126,706,493.55 </w:t>
            </w:r>
          </w:p>
        </w:tc>
        <w:tc>
          <w:tcPr>
            <w:tcW w:w="234" w:type="pct"/>
            <w:tcBorders>
              <w:top w:val="single" w:color="auto" w:sz="4" w:space="0"/>
              <w:left w:val="single" w:color="auto" w:sz="4" w:space="0"/>
              <w:bottom w:val="single" w:color="auto" w:sz="4" w:space="0"/>
              <w:right w:val="single" w:color="auto" w:sz="4" w:space="0"/>
            </w:tcBorders>
            <w:vAlign w:val="center"/>
          </w:tcPr>
          <w:p w14:paraId="3162712D">
            <w:pPr>
              <w:jc w:val="right"/>
              <w:rPr>
                <w:rFonts w:ascii="Arial Narrow" w:hAnsi="Arial Narrow"/>
                <w:sz w:val="18"/>
                <w:szCs w:val="18"/>
              </w:rPr>
            </w:pPr>
            <w:r>
              <w:rPr>
                <w:rFonts w:ascii="Arial Narrow" w:hAnsi="Arial Narrow" w:eastAsia="等线"/>
                <w:color w:val="000000"/>
                <w:szCs w:val="21"/>
              </w:rPr>
              <w:t xml:space="preserve">3.69 </w:t>
            </w:r>
          </w:p>
        </w:tc>
        <w:tc>
          <w:tcPr>
            <w:tcW w:w="603" w:type="pct"/>
            <w:tcBorders>
              <w:top w:val="single" w:color="auto" w:sz="4" w:space="0"/>
              <w:left w:val="single" w:color="auto" w:sz="4" w:space="0"/>
              <w:bottom w:val="single" w:color="auto" w:sz="4" w:space="0"/>
              <w:right w:val="single" w:color="auto" w:sz="4" w:space="0"/>
            </w:tcBorders>
            <w:vAlign w:val="center"/>
          </w:tcPr>
          <w:p w14:paraId="289CA7E3">
            <w:pPr>
              <w:jc w:val="right"/>
              <w:rPr>
                <w:rFonts w:ascii="Arial Narrow" w:hAnsi="Arial Narrow"/>
                <w:sz w:val="18"/>
                <w:szCs w:val="18"/>
              </w:rPr>
            </w:pPr>
            <w:r>
              <w:rPr>
                <w:rFonts w:ascii="Arial Narrow" w:hAnsi="Arial Narrow" w:eastAsia="等线"/>
                <w:color w:val="000000"/>
                <w:szCs w:val="21"/>
              </w:rPr>
              <w:t xml:space="preserve">102,036,326.62 </w:t>
            </w:r>
          </w:p>
        </w:tc>
        <w:tc>
          <w:tcPr>
            <w:tcW w:w="263" w:type="pct"/>
            <w:tcBorders>
              <w:top w:val="single" w:color="auto" w:sz="4" w:space="0"/>
              <w:left w:val="single" w:color="auto" w:sz="4" w:space="0"/>
              <w:bottom w:val="single" w:color="auto" w:sz="4" w:space="0"/>
              <w:right w:val="single" w:color="auto" w:sz="4" w:space="0"/>
            </w:tcBorders>
            <w:vAlign w:val="center"/>
          </w:tcPr>
          <w:p w14:paraId="1CE16F75">
            <w:pPr>
              <w:jc w:val="right"/>
              <w:rPr>
                <w:rFonts w:ascii="Arial Narrow" w:hAnsi="Arial Narrow"/>
                <w:sz w:val="18"/>
                <w:szCs w:val="18"/>
              </w:rPr>
            </w:pPr>
            <w:r>
              <w:rPr>
                <w:rFonts w:ascii="Arial Narrow" w:hAnsi="Arial Narrow" w:eastAsia="等线"/>
                <w:color w:val="000000"/>
                <w:szCs w:val="21"/>
              </w:rPr>
              <w:t xml:space="preserve">80.53 </w:t>
            </w:r>
          </w:p>
        </w:tc>
        <w:tc>
          <w:tcPr>
            <w:tcW w:w="566" w:type="pct"/>
            <w:tcBorders>
              <w:top w:val="single" w:color="auto" w:sz="4" w:space="0"/>
              <w:left w:val="single" w:color="auto" w:sz="4" w:space="0"/>
              <w:bottom w:val="single" w:color="auto" w:sz="4" w:space="0"/>
              <w:right w:val="single" w:color="auto" w:sz="4" w:space="0"/>
            </w:tcBorders>
            <w:vAlign w:val="center"/>
          </w:tcPr>
          <w:p w14:paraId="0F7D93A1">
            <w:pPr>
              <w:jc w:val="right"/>
              <w:rPr>
                <w:rFonts w:ascii="Arial Narrow" w:hAnsi="Arial Narrow"/>
                <w:sz w:val="18"/>
                <w:szCs w:val="18"/>
              </w:rPr>
            </w:pPr>
            <w:r>
              <w:rPr>
                <w:rFonts w:ascii="Arial Narrow" w:hAnsi="Arial Narrow" w:eastAsia="等线"/>
                <w:color w:val="000000"/>
                <w:szCs w:val="21"/>
              </w:rPr>
              <w:t xml:space="preserve">24,670,166.93 </w:t>
            </w:r>
          </w:p>
        </w:tc>
      </w:tr>
      <w:tr w14:paraId="24B1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2843924a07e24276b2592afce851b5fd"/>
            <w:id w:val="1201975844"/>
          </w:sdtPr>
          <w:sdtContent>
            <w:tc>
              <w:tcPr>
                <w:tcW w:w="5000" w:type="pct"/>
                <w:gridSpan w:val="11"/>
                <w:tcBorders>
                  <w:top w:val="single" w:color="auto" w:sz="4" w:space="0"/>
                  <w:left w:val="single" w:color="auto" w:sz="4" w:space="0"/>
                  <w:bottom w:val="single" w:color="auto" w:sz="4" w:space="0"/>
                  <w:right w:val="single" w:color="auto" w:sz="4" w:space="0"/>
                </w:tcBorders>
                <w:vAlign w:val="center"/>
              </w:tcPr>
              <w:p w14:paraId="7B4BC42A">
                <w:pPr>
                  <w:jc w:val="both"/>
                  <w:rPr>
                    <w:rFonts w:hint="eastAsia"/>
                    <w:szCs w:val="21"/>
                  </w:rPr>
                </w:pPr>
                <w:r>
                  <w:rPr>
                    <w:rFonts w:hint="eastAsia"/>
                    <w:szCs w:val="21"/>
                  </w:rPr>
                  <w:t>其中：</w:t>
                </w:r>
              </w:p>
            </w:tc>
          </w:sdtContent>
        </w:sdt>
      </w:tr>
      <w:tr w14:paraId="7072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5" w:type="pct"/>
            <w:tcBorders>
              <w:top w:val="single" w:color="auto" w:sz="4" w:space="0"/>
              <w:left w:val="single" w:color="auto" w:sz="4" w:space="0"/>
              <w:bottom w:val="single" w:color="auto" w:sz="4" w:space="0"/>
              <w:right w:val="single" w:color="auto" w:sz="4" w:space="0"/>
            </w:tcBorders>
            <w:vAlign w:val="center"/>
          </w:tcPr>
          <w:p w14:paraId="58B8D71B">
            <w:pPr>
              <w:rPr>
                <w:rFonts w:hint="eastAsia"/>
                <w:szCs w:val="21"/>
              </w:rPr>
            </w:pPr>
            <w:r>
              <w:rPr>
                <w:rFonts w:hint="eastAsia"/>
                <w:szCs w:val="21"/>
              </w:rPr>
              <w:t>按组合计提坏账准备</w:t>
            </w:r>
          </w:p>
        </w:tc>
        <w:tc>
          <w:tcPr>
            <w:tcW w:w="562" w:type="pct"/>
            <w:tcBorders>
              <w:top w:val="single" w:color="auto" w:sz="4" w:space="0"/>
              <w:left w:val="single" w:color="auto" w:sz="4" w:space="0"/>
              <w:bottom w:val="single" w:color="auto" w:sz="4" w:space="0"/>
              <w:right w:val="single" w:color="auto" w:sz="4" w:space="0"/>
            </w:tcBorders>
            <w:vAlign w:val="center"/>
          </w:tcPr>
          <w:p w14:paraId="4620FD6D">
            <w:pPr>
              <w:jc w:val="right"/>
              <w:rPr>
                <w:rFonts w:ascii="Arial Narrow" w:hAnsi="Arial Narrow"/>
                <w:sz w:val="18"/>
                <w:szCs w:val="18"/>
              </w:rPr>
            </w:pPr>
            <w:r>
              <w:rPr>
                <w:rFonts w:ascii="Arial Narrow" w:hAnsi="Arial Narrow" w:eastAsia="等线"/>
                <w:color w:val="000000"/>
                <w:szCs w:val="21"/>
              </w:rPr>
              <w:t xml:space="preserve">3,215,852,849.13 </w:t>
            </w:r>
          </w:p>
        </w:tc>
        <w:tc>
          <w:tcPr>
            <w:tcW w:w="233" w:type="pct"/>
            <w:tcBorders>
              <w:top w:val="single" w:color="auto" w:sz="4" w:space="0"/>
              <w:left w:val="single" w:color="auto" w:sz="4" w:space="0"/>
              <w:bottom w:val="single" w:color="auto" w:sz="4" w:space="0"/>
              <w:right w:val="single" w:color="auto" w:sz="4" w:space="0"/>
            </w:tcBorders>
            <w:vAlign w:val="center"/>
          </w:tcPr>
          <w:p w14:paraId="7AA71789">
            <w:pPr>
              <w:jc w:val="right"/>
              <w:rPr>
                <w:rFonts w:ascii="Arial Narrow" w:hAnsi="Arial Narrow"/>
                <w:sz w:val="18"/>
                <w:szCs w:val="18"/>
              </w:rPr>
            </w:pPr>
            <w:r>
              <w:rPr>
                <w:rFonts w:ascii="Arial Narrow" w:hAnsi="Arial Narrow" w:eastAsia="等线"/>
                <w:color w:val="000000"/>
                <w:szCs w:val="21"/>
              </w:rPr>
              <w:t xml:space="preserve">93.72 </w:t>
            </w:r>
          </w:p>
        </w:tc>
        <w:tc>
          <w:tcPr>
            <w:tcW w:w="603" w:type="pct"/>
            <w:tcBorders>
              <w:top w:val="single" w:color="auto" w:sz="4" w:space="0"/>
              <w:left w:val="single" w:color="auto" w:sz="4" w:space="0"/>
              <w:bottom w:val="single" w:color="auto" w:sz="4" w:space="0"/>
              <w:right w:val="single" w:color="auto" w:sz="4" w:space="0"/>
            </w:tcBorders>
            <w:vAlign w:val="center"/>
          </w:tcPr>
          <w:p w14:paraId="773ED3E9">
            <w:pPr>
              <w:jc w:val="right"/>
              <w:rPr>
                <w:rFonts w:ascii="Arial Narrow" w:hAnsi="Arial Narrow"/>
                <w:sz w:val="18"/>
                <w:szCs w:val="18"/>
              </w:rPr>
            </w:pPr>
            <w:r>
              <w:rPr>
                <w:rFonts w:ascii="Arial Narrow" w:hAnsi="Arial Narrow" w:eastAsia="等线"/>
                <w:color w:val="000000"/>
                <w:szCs w:val="21"/>
              </w:rPr>
              <w:t xml:space="preserve">306,158,655.66 </w:t>
            </w:r>
          </w:p>
        </w:tc>
        <w:tc>
          <w:tcPr>
            <w:tcW w:w="262" w:type="pct"/>
            <w:tcBorders>
              <w:top w:val="single" w:color="auto" w:sz="4" w:space="0"/>
              <w:left w:val="single" w:color="auto" w:sz="4" w:space="0"/>
              <w:bottom w:val="single" w:color="auto" w:sz="4" w:space="0"/>
              <w:right w:val="single" w:color="auto" w:sz="4" w:space="0"/>
            </w:tcBorders>
            <w:vAlign w:val="center"/>
          </w:tcPr>
          <w:p w14:paraId="40547646">
            <w:pPr>
              <w:jc w:val="right"/>
              <w:rPr>
                <w:rFonts w:ascii="Arial Narrow" w:hAnsi="Arial Narrow"/>
                <w:sz w:val="18"/>
                <w:szCs w:val="18"/>
              </w:rPr>
            </w:pPr>
            <w:r>
              <w:rPr>
                <w:rFonts w:ascii="Arial Narrow" w:hAnsi="Arial Narrow" w:eastAsia="等线"/>
                <w:color w:val="000000"/>
                <w:szCs w:val="21"/>
              </w:rPr>
              <w:t xml:space="preserve">9.52 </w:t>
            </w:r>
          </w:p>
        </w:tc>
        <w:tc>
          <w:tcPr>
            <w:tcW w:w="566" w:type="pct"/>
            <w:tcBorders>
              <w:top w:val="single" w:color="auto" w:sz="4" w:space="0"/>
              <w:left w:val="single" w:color="auto" w:sz="4" w:space="0"/>
              <w:bottom w:val="single" w:color="auto" w:sz="4" w:space="0"/>
              <w:right w:val="single" w:color="auto" w:sz="4" w:space="0"/>
            </w:tcBorders>
            <w:vAlign w:val="center"/>
          </w:tcPr>
          <w:p w14:paraId="034A332D">
            <w:pPr>
              <w:jc w:val="right"/>
              <w:rPr>
                <w:rFonts w:ascii="Arial Narrow" w:hAnsi="Arial Narrow"/>
                <w:sz w:val="18"/>
                <w:szCs w:val="18"/>
              </w:rPr>
            </w:pPr>
            <w:r>
              <w:rPr>
                <w:rFonts w:ascii="Arial Narrow" w:hAnsi="Arial Narrow" w:eastAsia="等线"/>
                <w:color w:val="000000"/>
                <w:szCs w:val="21"/>
              </w:rPr>
              <w:t xml:space="preserve">2,909,694,193.47 </w:t>
            </w:r>
          </w:p>
        </w:tc>
        <w:tc>
          <w:tcPr>
            <w:tcW w:w="603" w:type="pct"/>
            <w:tcBorders>
              <w:top w:val="single" w:color="auto" w:sz="4" w:space="0"/>
              <w:left w:val="single" w:color="auto" w:sz="4" w:space="0"/>
              <w:bottom w:val="single" w:color="auto" w:sz="4" w:space="0"/>
              <w:right w:val="single" w:color="auto" w:sz="4" w:space="0"/>
            </w:tcBorders>
            <w:vAlign w:val="center"/>
          </w:tcPr>
          <w:p w14:paraId="5099ED5C">
            <w:pPr>
              <w:jc w:val="right"/>
              <w:rPr>
                <w:rFonts w:ascii="Arial Narrow" w:hAnsi="Arial Narrow"/>
                <w:sz w:val="18"/>
                <w:szCs w:val="18"/>
              </w:rPr>
            </w:pPr>
            <w:r>
              <w:rPr>
                <w:rFonts w:ascii="Arial Narrow" w:hAnsi="Arial Narrow" w:eastAsia="等线"/>
                <w:color w:val="000000"/>
                <w:szCs w:val="21"/>
              </w:rPr>
              <w:t xml:space="preserve">3,305,958,090.21 </w:t>
            </w:r>
          </w:p>
        </w:tc>
        <w:tc>
          <w:tcPr>
            <w:tcW w:w="234" w:type="pct"/>
            <w:tcBorders>
              <w:top w:val="single" w:color="auto" w:sz="4" w:space="0"/>
              <w:left w:val="single" w:color="auto" w:sz="4" w:space="0"/>
              <w:bottom w:val="single" w:color="auto" w:sz="4" w:space="0"/>
              <w:right w:val="single" w:color="auto" w:sz="4" w:space="0"/>
            </w:tcBorders>
            <w:vAlign w:val="center"/>
          </w:tcPr>
          <w:p w14:paraId="3C33BC1D">
            <w:pPr>
              <w:jc w:val="right"/>
              <w:rPr>
                <w:rFonts w:ascii="Arial Narrow" w:hAnsi="Arial Narrow"/>
                <w:sz w:val="18"/>
                <w:szCs w:val="18"/>
              </w:rPr>
            </w:pPr>
            <w:r>
              <w:rPr>
                <w:rFonts w:ascii="Arial Narrow" w:hAnsi="Arial Narrow" w:eastAsia="等线"/>
                <w:color w:val="000000"/>
                <w:szCs w:val="21"/>
              </w:rPr>
              <w:t xml:space="preserve">96.31 </w:t>
            </w:r>
          </w:p>
        </w:tc>
        <w:tc>
          <w:tcPr>
            <w:tcW w:w="603" w:type="pct"/>
            <w:tcBorders>
              <w:top w:val="single" w:color="auto" w:sz="4" w:space="0"/>
              <w:left w:val="single" w:color="auto" w:sz="4" w:space="0"/>
              <w:bottom w:val="single" w:color="auto" w:sz="4" w:space="0"/>
              <w:right w:val="single" w:color="auto" w:sz="4" w:space="0"/>
            </w:tcBorders>
            <w:vAlign w:val="center"/>
          </w:tcPr>
          <w:p w14:paraId="27C47F46">
            <w:pPr>
              <w:jc w:val="right"/>
              <w:rPr>
                <w:rFonts w:ascii="Arial Narrow" w:hAnsi="Arial Narrow"/>
                <w:sz w:val="18"/>
                <w:szCs w:val="18"/>
              </w:rPr>
            </w:pPr>
            <w:r>
              <w:rPr>
                <w:rFonts w:ascii="Arial Narrow" w:hAnsi="Arial Narrow" w:eastAsia="等线"/>
                <w:color w:val="000000"/>
                <w:szCs w:val="21"/>
              </w:rPr>
              <w:t xml:space="preserve">299,819,393.05 </w:t>
            </w:r>
          </w:p>
        </w:tc>
        <w:tc>
          <w:tcPr>
            <w:tcW w:w="263" w:type="pct"/>
            <w:tcBorders>
              <w:top w:val="single" w:color="auto" w:sz="4" w:space="0"/>
              <w:left w:val="single" w:color="auto" w:sz="4" w:space="0"/>
              <w:bottom w:val="single" w:color="auto" w:sz="4" w:space="0"/>
              <w:right w:val="single" w:color="auto" w:sz="4" w:space="0"/>
            </w:tcBorders>
            <w:vAlign w:val="center"/>
          </w:tcPr>
          <w:p w14:paraId="385378FF">
            <w:pPr>
              <w:jc w:val="right"/>
              <w:rPr>
                <w:rFonts w:ascii="Arial Narrow" w:hAnsi="Arial Narrow"/>
                <w:sz w:val="18"/>
                <w:szCs w:val="18"/>
              </w:rPr>
            </w:pPr>
            <w:r>
              <w:rPr>
                <w:rFonts w:ascii="Arial Narrow" w:hAnsi="Arial Narrow" w:eastAsia="等线"/>
                <w:color w:val="000000"/>
                <w:szCs w:val="21"/>
              </w:rPr>
              <w:t xml:space="preserve">9.07 </w:t>
            </w:r>
          </w:p>
        </w:tc>
        <w:tc>
          <w:tcPr>
            <w:tcW w:w="566" w:type="pct"/>
            <w:tcBorders>
              <w:top w:val="single" w:color="auto" w:sz="4" w:space="0"/>
              <w:left w:val="single" w:color="auto" w:sz="4" w:space="0"/>
              <w:bottom w:val="single" w:color="auto" w:sz="4" w:space="0"/>
              <w:right w:val="single" w:color="auto" w:sz="4" w:space="0"/>
            </w:tcBorders>
            <w:vAlign w:val="center"/>
          </w:tcPr>
          <w:p w14:paraId="75559CEF">
            <w:pPr>
              <w:jc w:val="right"/>
              <w:rPr>
                <w:rFonts w:ascii="Arial Narrow" w:hAnsi="Arial Narrow"/>
                <w:sz w:val="18"/>
                <w:szCs w:val="18"/>
              </w:rPr>
            </w:pPr>
            <w:r>
              <w:rPr>
                <w:rFonts w:ascii="Arial Narrow" w:hAnsi="Arial Narrow" w:eastAsia="等线"/>
                <w:color w:val="000000"/>
                <w:szCs w:val="21"/>
              </w:rPr>
              <w:t xml:space="preserve">3,006,138,697.16 </w:t>
            </w:r>
          </w:p>
        </w:tc>
      </w:tr>
      <w:tr w14:paraId="251E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e0cfa8fc80147608db7db4b7ce1db69"/>
            <w:id w:val="1738826604"/>
          </w:sdtPr>
          <w:sdtContent>
            <w:tc>
              <w:tcPr>
                <w:tcW w:w="5000" w:type="pct"/>
                <w:gridSpan w:val="11"/>
                <w:tcBorders>
                  <w:top w:val="single" w:color="auto" w:sz="4" w:space="0"/>
                  <w:left w:val="single" w:color="auto" w:sz="4" w:space="0"/>
                  <w:bottom w:val="single" w:color="auto" w:sz="4" w:space="0"/>
                  <w:right w:val="single" w:color="auto" w:sz="4" w:space="0"/>
                </w:tcBorders>
                <w:vAlign w:val="center"/>
              </w:tcPr>
              <w:p w14:paraId="7222337F">
                <w:pPr>
                  <w:jc w:val="both"/>
                  <w:rPr>
                    <w:rFonts w:hint="eastAsia"/>
                    <w:szCs w:val="21"/>
                  </w:rPr>
                </w:pPr>
                <w:r>
                  <w:rPr>
                    <w:rFonts w:hint="eastAsia"/>
                    <w:szCs w:val="21"/>
                  </w:rPr>
                  <w:t>其中：</w:t>
                </w:r>
              </w:p>
            </w:tc>
          </w:sdtContent>
        </w:sdt>
      </w:tr>
      <w:tr w14:paraId="69A6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szCs w:val="21"/>
            </w:rPr>
            <w:alias w:val="按组合计提坏账准备的应收账款明细-组合名称"/>
            <w:tag w:val="_GBC_a216a551f9d54c89b88dad6bcecd942d"/>
            <w:id w:val="1962306445"/>
          </w:sdtPr>
          <w:sdtEndPr>
            <w:rPr>
              <w:szCs w:val="21"/>
            </w:rPr>
          </w:sdtEndPr>
          <w:sdtContent>
            <w:tc>
              <w:tcPr>
                <w:tcW w:w="505" w:type="pct"/>
                <w:tcBorders>
                  <w:top w:val="single" w:color="auto" w:sz="4" w:space="0"/>
                  <w:left w:val="single" w:color="auto" w:sz="4" w:space="0"/>
                  <w:bottom w:val="single" w:color="auto" w:sz="4" w:space="0"/>
                  <w:right w:val="single" w:color="auto" w:sz="4" w:space="0"/>
                </w:tcBorders>
                <w:vAlign w:val="center"/>
              </w:tcPr>
              <w:p w14:paraId="218D416C">
                <w:pPr>
                  <w:jc w:val="both"/>
                  <w:rPr>
                    <w:rFonts w:hint="eastAsia"/>
                    <w:color w:val="808080"/>
                    <w:szCs w:val="21"/>
                  </w:rPr>
                </w:pPr>
                <w:r>
                  <w:rPr>
                    <w:rFonts w:hint="eastAsia"/>
                    <w:szCs w:val="21"/>
                  </w:rPr>
                  <w:t>其中：组合1军方、警方、政府职能部门等高信用水平单位应收账款组合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4313901F">
            <w:pPr>
              <w:jc w:val="right"/>
              <w:rPr>
                <w:rFonts w:hint="eastAsia"/>
                <w:sz w:val="18"/>
                <w:szCs w:val="18"/>
              </w:rPr>
            </w:pPr>
            <w:r>
              <w:rPr>
                <w:rFonts w:ascii="Arial Narrow" w:hAnsi="Arial Narrow" w:eastAsia="等线"/>
                <w:color w:val="000000"/>
                <w:szCs w:val="21"/>
              </w:rPr>
              <w:t xml:space="preserve">1,591,332,946.10 </w:t>
            </w:r>
          </w:p>
        </w:tc>
        <w:tc>
          <w:tcPr>
            <w:tcW w:w="233" w:type="pct"/>
            <w:tcBorders>
              <w:top w:val="single" w:color="auto" w:sz="4" w:space="0"/>
              <w:left w:val="single" w:color="auto" w:sz="4" w:space="0"/>
              <w:bottom w:val="single" w:color="auto" w:sz="4" w:space="0"/>
              <w:right w:val="single" w:color="auto" w:sz="4" w:space="0"/>
            </w:tcBorders>
            <w:vAlign w:val="center"/>
          </w:tcPr>
          <w:p w14:paraId="608CBE77">
            <w:pPr>
              <w:jc w:val="right"/>
              <w:rPr>
                <w:rFonts w:hint="eastAsia"/>
                <w:sz w:val="18"/>
                <w:szCs w:val="18"/>
              </w:rPr>
            </w:pPr>
            <w:r>
              <w:rPr>
                <w:rFonts w:ascii="Arial Narrow" w:hAnsi="Arial Narrow" w:eastAsia="等线"/>
                <w:color w:val="000000"/>
                <w:szCs w:val="21"/>
              </w:rPr>
              <w:t xml:space="preserve">46.37 </w:t>
            </w:r>
          </w:p>
        </w:tc>
        <w:tc>
          <w:tcPr>
            <w:tcW w:w="603" w:type="pct"/>
            <w:tcBorders>
              <w:top w:val="single" w:color="auto" w:sz="4" w:space="0"/>
              <w:left w:val="single" w:color="auto" w:sz="4" w:space="0"/>
              <w:bottom w:val="single" w:color="auto" w:sz="4" w:space="0"/>
              <w:right w:val="single" w:color="auto" w:sz="4" w:space="0"/>
            </w:tcBorders>
            <w:vAlign w:val="center"/>
          </w:tcPr>
          <w:p w14:paraId="1273C6D5">
            <w:pPr>
              <w:jc w:val="right"/>
              <w:rPr>
                <w:rFonts w:hint="eastAsia"/>
                <w:sz w:val="18"/>
                <w:szCs w:val="18"/>
              </w:rPr>
            </w:pPr>
            <w:r>
              <w:rPr>
                <w:rFonts w:ascii="Arial Narrow" w:hAnsi="Arial Narrow" w:eastAsia="等线"/>
                <w:color w:val="000000"/>
                <w:szCs w:val="21"/>
              </w:rPr>
              <w:t xml:space="preserve">21,400,358.60 </w:t>
            </w:r>
          </w:p>
        </w:tc>
        <w:tc>
          <w:tcPr>
            <w:tcW w:w="262" w:type="pct"/>
            <w:tcBorders>
              <w:top w:val="single" w:color="auto" w:sz="4" w:space="0"/>
              <w:left w:val="single" w:color="auto" w:sz="4" w:space="0"/>
              <w:bottom w:val="single" w:color="auto" w:sz="4" w:space="0"/>
              <w:right w:val="single" w:color="auto" w:sz="4" w:space="0"/>
            </w:tcBorders>
            <w:vAlign w:val="center"/>
          </w:tcPr>
          <w:p w14:paraId="7E9F868F">
            <w:pPr>
              <w:jc w:val="right"/>
              <w:rPr>
                <w:rFonts w:hint="eastAsia"/>
                <w:sz w:val="18"/>
                <w:szCs w:val="18"/>
              </w:rPr>
            </w:pPr>
            <w:r>
              <w:rPr>
                <w:rFonts w:ascii="Arial Narrow" w:hAnsi="Arial Narrow" w:eastAsia="等线"/>
                <w:color w:val="000000"/>
                <w:szCs w:val="21"/>
              </w:rPr>
              <w:t xml:space="preserve">1.34 </w:t>
            </w:r>
          </w:p>
        </w:tc>
        <w:tc>
          <w:tcPr>
            <w:tcW w:w="566" w:type="pct"/>
            <w:tcBorders>
              <w:top w:val="single" w:color="auto" w:sz="4" w:space="0"/>
              <w:left w:val="single" w:color="auto" w:sz="4" w:space="0"/>
              <w:bottom w:val="single" w:color="auto" w:sz="4" w:space="0"/>
              <w:right w:val="single" w:color="auto" w:sz="4" w:space="0"/>
            </w:tcBorders>
            <w:vAlign w:val="center"/>
          </w:tcPr>
          <w:p w14:paraId="48FA0A18">
            <w:pPr>
              <w:jc w:val="right"/>
              <w:rPr>
                <w:rFonts w:hint="eastAsia"/>
                <w:sz w:val="18"/>
                <w:szCs w:val="18"/>
              </w:rPr>
            </w:pPr>
            <w:r>
              <w:rPr>
                <w:rFonts w:ascii="Arial Narrow" w:hAnsi="Arial Narrow" w:eastAsia="等线"/>
                <w:color w:val="000000"/>
                <w:szCs w:val="21"/>
              </w:rPr>
              <w:t xml:space="preserve">1,569,932,587.50 </w:t>
            </w:r>
          </w:p>
        </w:tc>
        <w:tc>
          <w:tcPr>
            <w:tcW w:w="603" w:type="pct"/>
            <w:tcBorders>
              <w:top w:val="single" w:color="auto" w:sz="4" w:space="0"/>
              <w:left w:val="single" w:color="auto" w:sz="4" w:space="0"/>
              <w:bottom w:val="single" w:color="auto" w:sz="4" w:space="0"/>
              <w:right w:val="single" w:color="auto" w:sz="4" w:space="0"/>
            </w:tcBorders>
            <w:vAlign w:val="center"/>
          </w:tcPr>
          <w:p w14:paraId="3B621528">
            <w:pPr>
              <w:jc w:val="right"/>
              <w:rPr>
                <w:rFonts w:hint="eastAsia"/>
                <w:sz w:val="18"/>
                <w:szCs w:val="18"/>
              </w:rPr>
            </w:pPr>
            <w:r>
              <w:rPr>
                <w:rFonts w:ascii="Arial Narrow" w:hAnsi="Arial Narrow" w:eastAsia="等线"/>
                <w:color w:val="000000"/>
                <w:szCs w:val="21"/>
              </w:rPr>
              <w:t xml:space="preserve">2,113,295,326.60 </w:t>
            </w:r>
          </w:p>
        </w:tc>
        <w:tc>
          <w:tcPr>
            <w:tcW w:w="234" w:type="pct"/>
            <w:tcBorders>
              <w:top w:val="single" w:color="auto" w:sz="4" w:space="0"/>
              <w:left w:val="single" w:color="auto" w:sz="4" w:space="0"/>
              <w:bottom w:val="single" w:color="auto" w:sz="4" w:space="0"/>
              <w:right w:val="single" w:color="auto" w:sz="4" w:space="0"/>
            </w:tcBorders>
            <w:vAlign w:val="center"/>
          </w:tcPr>
          <w:p w14:paraId="3CD28296">
            <w:pPr>
              <w:jc w:val="right"/>
              <w:rPr>
                <w:rFonts w:hint="eastAsia"/>
                <w:sz w:val="18"/>
                <w:szCs w:val="18"/>
              </w:rPr>
            </w:pPr>
            <w:r>
              <w:rPr>
                <w:rFonts w:ascii="Arial Narrow" w:hAnsi="Arial Narrow" w:eastAsia="等线"/>
                <w:color w:val="000000"/>
                <w:szCs w:val="21"/>
              </w:rPr>
              <w:t xml:space="preserve">61.57 </w:t>
            </w:r>
          </w:p>
        </w:tc>
        <w:tc>
          <w:tcPr>
            <w:tcW w:w="603" w:type="pct"/>
            <w:tcBorders>
              <w:top w:val="single" w:color="auto" w:sz="4" w:space="0"/>
              <w:left w:val="single" w:color="auto" w:sz="4" w:space="0"/>
              <w:bottom w:val="single" w:color="auto" w:sz="4" w:space="0"/>
              <w:right w:val="single" w:color="auto" w:sz="4" w:space="0"/>
            </w:tcBorders>
            <w:vAlign w:val="center"/>
          </w:tcPr>
          <w:p w14:paraId="72E89346">
            <w:pPr>
              <w:jc w:val="right"/>
              <w:rPr>
                <w:rFonts w:hint="eastAsia"/>
                <w:sz w:val="18"/>
                <w:szCs w:val="18"/>
              </w:rPr>
            </w:pPr>
            <w:r>
              <w:rPr>
                <w:rFonts w:ascii="Arial Narrow" w:hAnsi="Arial Narrow" w:eastAsia="等线"/>
                <w:color w:val="000000"/>
                <w:szCs w:val="21"/>
              </w:rPr>
              <w:t xml:space="preserve">10,628,529.76 </w:t>
            </w:r>
          </w:p>
        </w:tc>
        <w:tc>
          <w:tcPr>
            <w:tcW w:w="263" w:type="pct"/>
            <w:tcBorders>
              <w:top w:val="single" w:color="auto" w:sz="4" w:space="0"/>
              <w:left w:val="single" w:color="auto" w:sz="4" w:space="0"/>
              <w:bottom w:val="single" w:color="auto" w:sz="4" w:space="0"/>
              <w:right w:val="single" w:color="auto" w:sz="4" w:space="0"/>
            </w:tcBorders>
            <w:vAlign w:val="center"/>
          </w:tcPr>
          <w:p w14:paraId="5F66DC03">
            <w:pPr>
              <w:jc w:val="right"/>
              <w:rPr>
                <w:rFonts w:hint="eastAsia"/>
                <w:sz w:val="18"/>
                <w:szCs w:val="18"/>
              </w:rPr>
            </w:pPr>
            <w:r>
              <w:rPr>
                <w:rFonts w:ascii="Arial Narrow" w:hAnsi="Arial Narrow" w:eastAsia="等线"/>
                <w:color w:val="000000"/>
                <w:szCs w:val="21"/>
              </w:rPr>
              <w:t xml:space="preserve">0.50 </w:t>
            </w:r>
          </w:p>
        </w:tc>
        <w:tc>
          <w:tcPr>
            <w:tcW w:w="566" w:type="pct"/>
            <w:tcBorders>
              <w:top w:val="single" w:color="auto" w:sz="4" w:space="0"/>
              <w:left w:val="single" w:color="auto" w:sz="4" w:space="0"/>
              <w:bottom w:val="single" w:color="auto" w:sz="4" w:space="0"/>
              <w:right w:val="single" w:color="auto" w:sz="4" w:space="0"/>
            </w:tcBorders>
            <w:vAlign w:val="center"/>
          </w:tcPr>
          <w:p w14:paraId="08135B66">
            <w:pPr>
              <w:jc w:val="right"/>
              <w:rPr>
                <w:rFonts w:hint="eastAsia"/>
                <w:sz w:val="18"/>
                <w:szCs w:val="18"/>
              </w:rPr>
            </w:pPr>
            <w:r>
              <w:rPr>
                <w:rFonts w:ascii="Arial Narrow" w:hAnsi="Arial Narrow" w:eastAsia="等线"/>
                <w:color w:val="000000"/>
                <w:szCs w:val="21"/>
              </w:rPr>
              <w:t xml:space="preserve">2,102,666,796.84 </w:t>
            </w:r>
          </w:p>
        </w:tc>
      </w:tr>
      <w:tr w14:paraId="26B0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szCs w:val="21"/>
            </w:rPr>
            <w:alias w:val="按组合计提坏账准备的应收账款明细-组合名称"/>
            <w:tag w:val="_GBC_a216a551f9d54c89b88dad6bcecd942d"/>
            <w:id w:val="1527912775"/>
          </w:sdtPr>
          <w:sdtEndPr>
            <w:rPr>
              <w:szCs w:val="21"/>
            </w:rPr>
          </w:sdtEndPr>
          <w:sdtContent>
            <w:tc>
              <w:tcPr>
                <w:tcW w:w="505" w:type="pct"/>
                <w:tcBorders>
                  <w:top w:val="single" w:color="auto" w:sz="4" w:space="0"/>
                  <w:left w:val="single" w:color="auto" w:sz="4" w:space="0"/>
                  <w:bottom w:val="single" w:color="auto" w:sz="4" w:space="0"/>
                  <w:right w:val="single" w:color="auto" w:sz="4" w:space="0"/>
                </w:tcBorders>
                <w:vAlign w:val="center"/>
              </w:tcPr>
              <w:p w14:paraId="11F9DB00">
                <w:pPr>
                  <w:jc w:val="both"/>
                  <w:rPr>
                    <w:rFonts w:hint="eastAsia"/>
                    <w:szCs w:val="21"/>
                  </w:rPr>
                </w:pPr>
                <w:r>
                  <w:rPr>
                    <w:rFonts w:hint="eastAsia"/>
                    <w:szCs w:val="21"/>
                  </w:rPr>
                  <w:t>组合2关联方组合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395356DB">
            <w:pPr>
              <w:jc w:val="right"/>
              <w:rPr>
                <w:rFonts w:hint="eastAsia"/>
                <w:sz w:val="18"/>
                <w:szCs w:val="18"/>
              </w:rPr>
            </w:pPr>
            <w:r>
              <w:rPr>
                <w:rFonts w:ascii="Arial Narrow" w:hAnsi="Arial Narrow" w:eastAsia="等线"/>
                <w:color w:val="000000"/>
                <w:szCs w:val="21"/>
              </w:rPr>
              <w:t xml:space="preserve">67,457,180.97 </w:t>
            </w:r>
          </w:p>
        </w:tc>
        <w:tc>
          <w:tcPr>
            <w:tcW w:w="233" w:type="pct"/>
            <w:tcBorders>
              <w:top w:val="single" w:color="auto" w:sz="4" w:space="0"/>
              <w:left w:val="single" w:color="auto" w:sz="4" w:space="0"/>
              <w:bottom w:val="single" w:color="auto" w:sz="4" w:space="0"/>
              <w:right w:val="single" w:color="auto" w:sz="4" w:space="0"/>
            </w:tcBorders>
            <w:vAlign w:val="center"/>
          </w:tcPr>
          <w:p w14:paraId="4D37F0D1">
            <w:pPr>
              <w:jc w:val="right"/>
              <w:rPr>
                <w:rFonts w:hint="eastAsia"/>
                <w:sz w:val="18"/>
                <w:szCs w:val="18"/>
              </w:rPr>
            </w:pPr>
            <w:r>
              <w:rPr>
                <w:rFonts w:ascii="Arial Narrow" w:hAnsi="Arial Narrow" w:eastAsia="等线"/>
                <w:color w:val="000000"/>
                <w:szCs w:val="21"/>
              </w:rPr>
              <w:t xml:space="preserve">1.97 </w:t>
            </w:r>
          </w:p>
        </w:tc>
        <w:tc>
          <w:tcPr>
            <w:tcW w:w="603" w:type="pct"/>
            <w:tcBorders>
              <w:top w:val="single" w:color="auto" w:sz="4" w:space="0"/>
              <w:left w:val="single" w:color="auto" w:sz="4" w:space="0"/>
              <w:bottom w:val="single" w:color="auto" w:sz="4" w:space="0"/>
              <w:right w:val="single" w:color="auto" w:sz="4" w:space="0"/>
            </w:tcBorders>
            <w:vAlign w:val="center"/>
          </w:tcPr>
          <w:p w14:paraId="761E52EC">
            <w:pPr>
              <w:jc w:val="right"/>
              <w:rPr>
                <w:rFonts w:hint="eastAsia"/>
                <w:sz w:val="18"/>
                <w:szCs w:val="18"/>
              </w:rPr>
            </w:pPr>
            <w:r>
              <w:rPr>
                <w:rFonts w:ascii="Arial Narrow" w:hAnsi="Arial Narrow" w:eastAsia="等线"/>
                <w:color w:val="000000"/>
                <w:szCs w:val="21"/>
              </w:rPr>
              <w:t xml:space="preserve">10,094,254.87 </w:t>
            </w:r>
          </w:p>
        </w:tc>
        <w:tc>
          <w:tcPr>
            <w:tcW w:w="262" w:type="pct"/>
            <w:tcBorders>
              <w:top w:val="single" w:color="auto" w:sz="4" w:space="0"/>
              <w:left w:val="single" w:color="auto" w:sz="4" w:space="0"/>
              <w:bottom w:val="single" w:color="auto" w:sz="4" w:space="0"/>
              <w:right w:val="single" w:color="auto" w:sz="4" w:space="0"/>
            </w:tcBorders>
            <w:vAlign w:val="center"/>
          </w:tcPr>
          <w:p w14:paraId="04600F24">
            <w:pPr>
              <w:jc w:val="right"/>
              <w:rPr>
                <w:rFonts w:hint="eastAsia"/>
                <w:sz w:val="18"/>
                <w:szCs w:val="18"/>
              </w:rPr>
            </w:pPr>
            <w:r>
              <w:rPr>
                <w:rFonts w:ascii="Arial Narrow" w:hAnsi="Arial Narrow" w:eastAsia="等线"/>
                <w:color w:val="000000"/>
                <w:szCs w:val="21"/>
              </w:rPr>
              <w:t xml:space="preserve">14.96 </w:t>
            </w:r>
          </w:p>
        </w:tc>
        <w:tc>
          <w:tcPr>
            <w:tcW w:w="566" w:type="pct"/>
            <w:tcBorders>
              <w:top w:val="single" w:color="auto" w:sz="4" w:space="0"/>
              <w:left w:val="single" w:color="auto" w:sz="4" w:space="0"/>
              <w:bottom w:val="single" w:color="auto" w:sz="4" w:space="0"/>
              <w:right w:val="single" w:color="auto" w:sz="4" w:space="0"/>
            </w:tcBorders>
            <w:vAlign w:val="center"/>
          </w:tcPr>
          <w:p w14:paraId="74317EAA">
            <w:pPr>
              <w:jc w:val="right"/>
              <w:rPr>
                <w:rFonts w:hint="eastAsia"/>
                <w:sz w:val="18"/>
                <w:szCs w:val="18"/>
              </w:rPr>
            </w:pPr>
            <w:r>
              <w:rPr>
                <w:rFonts w:ascii="Arial Narrow" w:hAnsi="Arial Narrow" w:eastAsia="等线"/>
                <w:color w:val="000000"/>
                <w:szCs w:val="21"/>
              </w:rPr>
              <w:t xml:space="preserve">57,362,926.10 </w:t>
            </w:r>
          </w:p>
        </w:tc>
        <w:tc>
          <w:tcPr>
            <w:tcW w:w="603" w:type="pct"/>
            <w:tcBorders>
              <w:top w:val="single" w:color="auto" w:sz="4" w:space="0"/>
              <w:left w:val="single" w:color="auto" w:sz="4" w:space="0"/>
              <w:bottom w:val="single" w:color="auto" w:sz="4" w:space="0"/>
              <w:right w:val="single" w:color="auto" w:sz="4" w:space="0"/>
            </w:tcBorders>
            <w:vAlign w:val="center"/>
          </w:tcPr>
          <w:p w14:paraId="29D52E81">
            <w:pPr>
              <w:jc w:val="right"/>
              <w:rPr>
                <w:rFonts w:hint="eastAsia"/>
                <w:sz w:val="18"/>
                <w:szCs w:val="18"/>
              </w:rPr>
            </w:pPr>
            <w:r>
              <w:rPr>
                <w:rFonts w:ascii="Arial Narrow" w:hAnsi="Arial Narrow" w:eastAsia="等线"/>
                <w:color w:val="000000"/>
                <w:szCs w:val="21"/>
              </w:rPr>
              <w:t xml:space="preserve">52,937,866.23 </w:t>
            </w:r>
          </w:p>
        </w:tc>
        <w:tc>
          <w:tcPr>
            <w:tcW w:w="234" w:type="pct"/>
            <w:tcBorders>
              <w:top w:val="single" w:color="auto" w:sz="4" w:space="0"/>
              <w:left w:val="single" w:color="auto" w:sz="4" w:space="0"/>
              <w:bottom w:val="single" w:color="auto" w:sz="4" w:space="0"/>
              <w:right w:val="single" w:color="auto" w:sz="4" w:space="0"/>
            </w:tcBorders>
            <w:vAlign w:val="center"/>
          </w:tcPr>
          <w:p w14:paraId="7265D052">
            <w:pPr>
              <w:jc w:val="right"/>
              <w:rPr>
                <w:rFonts w:hint="eastAsia"/>
                <w:sz w:val="18"/>
                <w:szCs w:val="18"/>
              </w:rPr>
            </w:pPr>
            <w:r>
              <w:rPr>
                <w:rFonts w:ascii="Arial Narrow" w:hAnsi="Arial Narrow" w:eastAsia="等线"/>
                <w:color w:val="000000"/>
                <w:szCs w:val="21"/>
              </w:rPr>
              <w:t xml:space="preserve">1.54 </w:t>
            </w:r>
          </w:p>
        </w:tc>
        <w:tc>
          <w:tcPr>
            <w:tcW w:w="603" w:type="pct"/>
            <w:tcBorders>
              <w:top w:val="single" w:color="auto" w:sz="4" w:space="0"/>
              <w:left w:val="single" w:color="auto" w:sz="4" w:space="0"/>
              <w:bottom w:val="single" w:color="auto" w:sz="4" w:space="0"/>
              <w:right w:val="single" w:color="auto" w:sz="4" w:space="0"/>
            </w:tcBorders>
            <w:vAlign w:val="center"/>
          </w:tcPr>
          <w:p w14:paraId="46F5C23D">
            <w:pPr>
              <w:jc w:val="right"/>
              <w:rPr>
                <w:rFonts w:hint="eastAsia"/>
                <w:sz w:val="18"/>
                <w:szCs w:val="18"/>
              </w:rPr>
            </w:pPr>
            <w:r>
              <w:rPr>
                <w:rFonts w:ascii="Arial Narrow" w:hAnsi="Arial Narrow" w:eastAsia="等线"/>
                <w:color w:val="000000"/>
                <w:szCs w:val="21"/>
              </w:rPr>
              <w:t xml:space="preserve">8,466,921.59 </w:t>
            </w:r>
          </w:p>
        </w:tc>
        <w:tc>
          <w:tcPr>
            <w:tcW w:w="263" w:type="pct"/>
            <w:tcBorders>
              <w:top w:val="single" w:color="auto" w:sz="4" w:space="0"/>
              <w:left w:val="single" w:color="auto" w:sz="4" w:space="0"/>
              <w:bottom w:val="single" w:color="auto" w:sz="4" w:space="0"/>
              <w:right w:val="single" w:color="auto" w:sz="4" w:space="0"/>
            </w:tcBorders>
            <w:vAlign w:val="center"/>
          </w:tcPr>
          <w:p w14:paraId="5D298017">
            <w:pPr>
              <w:jc w:val="right"/>
              <w:rPr>
                <w:rFonts w:hint="eastAsia"/>
                <w:sz w:val="18"/>
                <w:szCs w:val="18"/>
              </w:rPr>
            </w:pPr>
            <w:r>
              <w:rPr>
                <w:rFonts w:ascii="Arial Narrow" w:hAnsi="Arial Narrow" w:eastAsia="等线"/>
                <w:color w:val="000000"/>
                <w:szCs w:val="21"/>
              </w:rPr>
              <w:t xml:space="preserve">15.99 </w:t>
            </w:r>
          </w:p>
        </w:tc>
        <w:tc>
          <w:tcPr>
            <w:tcW w:w="566" w:type="pct"/>
            <w:tcBorders>
              <w:top w:val="single" w:color="auto" w:sz="4" w:space="0"/>
              <w:left w:val="single" w:color="auto" w:sz="4" w:space="0"/>
              <w:bottom w:val="single" w:color="auto" w:sz="4" w:space="0"/>
              <w:right w:val="single" w:color="auto" w:sz="4" w:space="0"/>
            </w:tcBorders>
            <w:vAlign w:val="center"/>
          </w:tcPr>
          <w:p w14:paraId="1C23DBB5">
            <w:pPr>
              <w:jc w:val="right"/>
              <w:rPr>
                <w:rFonts w:hint="eastAsia"/>
                <w:sz w:val="18"/>
                <w:szCs w:val="18"/>
              </w:rPr>
            </w:pPr>
            <w:r>
              <w:rPr>
                <w:rFonts w:ascii="Arial Narrow" w:hAnsi="Arial Narrow" w:eastAsia="等线"/>
                <w:color w:val="000000"/>
                <w:szCs w:val="21"/>
              </w:rPr>
              <w:t xml:space="preserve">44,470,944.64 </w:t>
            </w:r>
          </w:p>
        </w:tc>
      </w:tr>
      <w:tr w14:paraId="2687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szCs w:val="21"/>
            </w:rPr>
            <w:alias w:val="按组合计提坏账准备的应收账款明细-组合名称"/>
            <w:tag w:val="_GBC_a216a551f9d54c89b88dad6bcecd942d"/>
            <w:id w:val="50580156"/>
          </w:sdtPr>
          <w:sdtEndPr>
            <w:rPr>
              <w:szCs w:val="21"/>
            </w:rPr>
          </w:sdtEndPr>
          <w:sdtContent>
            <w:tc>
              <w:tcPr>
                <w:tcW w:w="505" w:type="pct"/>
                <w:tcBorders>
                  <w:top w:val="single" w:color="auto" w:sz="4" w:space="0"/>
                  <w:left w:val="single" w:color="auto" w:sz="4" w:space="0"/>
                  <w:bottom w:val="single" w:color="auto" w:sz="4" w:space="0"/>
                  <w:right w:val="single" w:color="auto" w:sz="4" w:space="0"/>
                </w:tcBorders>
                <w:vAlign w:val="center"/>
              </w:tcPr>
              <w:p w14:paraId="240C3B73">
                <w:pPr>
                  <w:jc w:val="both"/>
                  <w:rPr>
                    <w:rFonts w:hint="eastAsia"/>
                    <w:color w:val="808080"/>
                    <w:szCs w:val="21"/>
                  </w:rPr>
                </w:pPr>
                <w:r>
                  <w:rPr>
                    <w:rFonts w:hint="eastAsia"/>
                    <w:szCs w:val="21"/>
                  </w:rPr>
                  <w:t>组合3账龄组合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04516586">
            <w:pPr>
              <w:jc w:val="right"/>
              <w:rPr>
                <w:rFonts w:hint="eastAsia"/>
                <w:sz w:val="18"/>
                <w:szCs w:val="18"/>
              </w:rPr>
            </w:pPr>
            <w:r>
              <w:rPr>
                <w:rFonts w:ascii="Arial Narrow" w:hAnsi="Arial Narrow" w:eastAsia="等线"/>
                <w:color w:val="000000"/>
                <w:szCs w:val="21"/>
              </w:rPr>
              <w:t xml:space="preserve">1,557,062,722.06 </w:t>
            </w:r>
          </w:p>
        </w:tc>
        <w:tc>
          <w:tcPr>
            <w:tcW w:w="233" w:type="pct"/>
            <w:tcBorders>
              <w:top w:val="single" w:color="auto" w:sz="4" w:space="0"/>
              <w:left w:val="single" w:color="auto" w:sz="4" w:space="0"/>
              <w:bottom w:val="single" w:color="auto" w:sz="4" w:space="0"/>
              <w:right w:val="single" w:color="auto" w:sz="4" w:space="0"/>
            </w:tcBorders>
            <w:vAlign w:val="center"/>
          </w:tcPr>
          <w:p w14:paraId="41B088BE">
            <w:pPr>
              <w:jc w:val="right"/>
              <w:rPr>
                <w:rFonts w:hint="eastAsia"/>
                <w:sz w:val="18"/>
                <w:szCs w:val="18"/>
              </w:rPr>
            </w:pPr>
            <w:r>
              <w:rPr>
                <w:rFonts w:ascii="Arial Narrow" w:hAnsi="Arial Narrow" w:eastAsia="等线"/>
                <w:color w:val="000000"/>
                <w:szCs w:val="21"/>
              </w:rPr>
              <w:t xml:space="preserve">45.38 </w:t>
            </w:r>
          </w:p>
        </w:tc>
        <w:tc>
          <w:tcPr>
            <w:tcW w:w="603" w:type="pct"/>
            <w:tcBorders>
              <w:top w:val="single" w:color="auto" w:sz="4" w:space="0"/>
              <w:left w:val="single" w:color="auto" w:sz="4" w:space="0"/>
              <w:bottom w:val="single" w:color="auto" w:sz="4" w:space="0"/>
              <w:right w:val="single" w:color="auto" w:sz="4" w:space="0"/>
            </w:tcBorders>
            <w:vAlign w:val="center"/>
          </w:tcPr>
          <w:p w14:paraId="2C7AAA4E">
            <w:pPr>
              <w:jc w:val="right"/>
              <w:rPr>
                <w:rFonts w:hint="eastAsia"/>
                <w:sz w:val="18"/>
                <w:szCs w:val="18"/>
              </w:rPr>
            </w:pPr>
            <w:r>
              <w:rPr>
                <w:rFonts w:ascii="Arial Narrow" w:hAnsi="Arial Narrow" w:eastAsia="等线"/>
                <w:color w:val="000000"/>
                <w:szCs w:val="21"/>
              </w:rPr>
              <w:t xml:space="preserve">274,664,042.19 </w:t>
            </w:r>
          </w:p>
        </w:tc>
        <w:tc>
          <w:tcPr>
            <w:tcW w:w="262" w:type="pct"/>
            <w:tcBorders>
              <w:top w:val="single" w:color="auto" w:sz="4" w:space="0"/>
              <w:left w:val="single" w:color="auto" w:sz="4" w:space="0"/>
              <w:bottom w:val="single" w:color="auto" w:sz="4" w:space="0"/>
              <w:right w:val="single" w:color="auto" w:sz="4" w:space="0"/>
            </w:tcBorders>
            <w:vAlign w:val="center"/>
          </w:tcPr>
          <w:p w14:paraId="78E43E89">
            <w:pPr>
              <w:jc w:val="right"/>
              <w:rPr>
                <w:rFonts w:hint="eastAsia"/>
                <w:sz w:val="18"/>
                <w:szCs w:val="18"/>
              </w:rPr>
            </w:pPr>
            <w:r>
              <w:rPr>
                <w:rFonts w:ascii="Arial Narrow" w:hAnsi="Arial Narrow" w:eastAsia="等线"/>
                <w:color w:val="000000"/>
                <w:szCs w:val="21"/>
              </w:rPr>
              <w:t xml:space="preserve">17.64 </w:t>
            </w:r>
          </w:p>
        </w:tc>
        <w:tc>
          <w:tcPr>
            <w:tcW w:w="566" w:type="pct"/>
            <w:tcBorders>
              <w:top w:val="single" w:color="auto" w:sz="4" w:space="0"/>
              <w:left w:val="single" w:color="auto" w:sz="4" w:space="0"/>
              <w:bottom w:val="single" w:color="auto" w:sz="4" w:space="0"/>
              <w:right w:val="single" w:color="auto" w:sz="4" w:space="0"/>
            </w:tcBorders>
            <w:vAlign w:val="center"/>
          </w:tcPr>
          <w:p w14:paraId="6740038E">
            <w:pPr>
              <w:jc w:val="right"/>
              <w:rPr>
                <w:rFonts w:hint="eastAsia"/>
                <w:sz w:val="18"/>
                <w:szCs w:val="18"/>
              </w:rPr>
            </w:pPr>
            <w:r>
              <w:rPr>
                <w:rFonts w:ascii="Arial Narrow" w:hAnsi="Arial Narrow" w:eastAsia="等线"/>
                <w:color w:val="000000"/>
                <w:szCs w:val="21"/>
              </w:rPr>
              <w:t xml:space="preserve">1,282,398,679.87 </w:t>
            </w:r>
          </w:p>
        </w:tc>
        <w:tc>
          <w:tcPr>
            <w:tcW w:w="603" w:type="pct"/>
            <w:tcBorders>
              <w:top w:val="single" w:color="auto" w:sz="4" w:space="0"/>
              <w:left w:val="single" w:color="auto" w:sz="4" w:space="0"/>
              <w:bottom w:val="single" w:color="auto" w:sz="4" w:space="0"/>
              <w:right w:val="single" w:color="auto" w:sz="4" w:space="0"/>
            </w:tcBorders>
            <w:vAlign w:val="center"/>
          </w:tcPr>
          <w:p w14:paraId="1DD54D1C">
            <w:pPr>
              <w:jc w:val="right"/>
              <w:rPr>
                <w:rFonts w:hint="eastAsia"/>
                <w:sz w:val="18"/>
                <w:szCs w:val="18"/>
              </w:rPr>
            </w:pPr>
            <w:r>
              <w:rPr>
                <w:rFonts w:ascii="Arial Narrow" w:hAnsi="Arial Narrow" w:eastAsia="等线"/>
                <w:color w:val="000000"/>
                <w:szCs w:val="21"/>
              </w:rPr>
              <w:t xml:space="preserve">1,139,724,897.38 </w:t>
            </w:r>
          </w:p>
        </w:tc>
        <w:tc>
          <w:tcPr>
            <w:tcW w:w="234" w:type="pct"/>
            <w:tcBorders>
              <w:top w:val="single" w:color="auto" w:sz="4" w:space="0"/>
              <w:left w:val="single" w:color="auto" w:sz="4" w:space="0"/>
              <w:bottom w:val="single" w:color="auto" w:sz="4" w:space="0"/>
              <w:right w:val="single" w:color="auto" w:sz="4" w:space="0"/>
            </w:tcBorders>
            <w:vAlign w:val="center"/>
          </w:tcPr>
          <w:p w14:paraId="1AFBDB94">
            <w:pPr>
              <w:jc w:val="right"/>
              <w:rPr>
                <w:rFonts w:hint="eastAsia"/>
                <w:sz w:val="18"/>
                <w:szCs w:val="18"/>
              </w:rPr>
            </w:pPr>
            <w:r>
              <w:rPr>
                <w:rFonts w:ascii="Arial Narrow" w:hAnsi="Arial Narrow" w:eastAsia="等线"/>
                <w:color w:val="000000"/>
                <w:szCs w:val="21"/>
              </w:rPr>
              <w:t xml:space="preserve">33.20 </w:t>
            </w:r>
          </w:p>
        </w:tc>
        <w:tc>
          <w:tcPr>
            <w:tcW w:w="603" w:type="pct"/>
            <w:tcBorders>
              <w:top w:val="single" w:color="auto" w:sz="4" w:space="0"/>
              <w:left w:val="single" w:color="auto" w:sz="4" w:space="0"/>
              <w:bottom w:val="single" w:color="auto" w:sz="4" w:space="0"/>
              <w:right w:val="single" w:color="auto" w:sz="4" w:space="0"/>
            </w:tcBorders>
            <w:vAlign w:val="center"/>
          </w:tcPr>
          <w:p w14:paraId="4B237D47">
            <w:pPr>
              <w:jc w:val="right"/>
              <w:rPr>
                <w:rFonts w:hint="eastAsia"/>
                <w:sz w:val="18"/>
                <w:szCs w:val="18"/>
              </w:rPr>
            </w:pPr>
            <w:r>
              <w:rPr>
                <w:rFonts w:ascii="Arial Narrow" w:hAnsi="Arial Narrow" w:eastAsia="等线"/>
                <w:color w:val="000000"/>
                <w:szCs w:val="21"/>
              </w:rPr>
              <w:t xml:space="preserve">280,723,941.70 </w:t>
            </w:r>
          </w:p>
        </w:tc>
        <w:tc>
          <w:tcPr>
            <w:tcW w:w="263" w:type="pct"/>
            <w:tcBorders>
              <w:top w:val="single" w:color="auto" w:sz="4" w:space="0"/>
              <w:left w:val="single" w:color="auto" w:sz="4" w:space="0"/>
              <w:bottom w:val="single" w:color="auto" w:sz="4" w:space="0"/>
              <w:right w:val="single" w:color="auto" w:sz="4" w:space="0"/>
            </w:tcBorders>
            <w:vAlign w:val="center"/>
          </w:tcPr>
          <w:p w14:paraId="2B89F5B2">
            <w:pPr>
              <w:jc w:val="right"/>
              <w:rPr>
                <w:rFonts w:hint="eastAsia"/>
                <w:sz w:val="18"/>
                <w:szCs w:val="18"/>
              </w:rPr>
            </w:pPr>
            <w:r>
              <w:rPr>
                <w:rFonts w:ascii="Arial Narrow" w:hAnsi="Arial Narrow" w:eastAsia="等线"/>
                <w:color w:val="000000"/>
                <w:szCs w:val="21"/>
              </w:rPr>
              <w:t xml:space="preserve">24.63 </w:t>
            </w:r>
          </w:p>
        </w:tc>
        <w:tc>
          <w:tcPr>
            <w:tcW w:w="566" w:type="pct"/>
            <w:tcBorders>
              <w:top w:val="single" w:color="auto" w:sz="4" w:space="0"/>
              <w:left w:val="single" w:color="auto" w:sz="4" w:space="0"/>
              <w:bottom w:val="single" w:color="auto" w:sz="4" w:space="0"/>
              <w:right w:val="single" w:color="auto" w:sz="4" w:space="0"/>
            </w:tcBorders>
            <w:vAlign w:val="center"/>
          </w:tcPr>
          <w:p w14:paraId="66A36C87">
            <w:pPr>
              <w:jc w:val="right"/>
              <w:rPr>
                <w:rFonts w:hint="eastAsia"/>
                <w:sz w:val="18"/>
                <w:szCs w:val="18"/>
              </w:rPr>
            </w:pPr>
            <w:r>
              <w:rPr>
                <w:rFonts w:ascii="Arial Narrow" w:hAnsi="Arial Narrow" w:eastAsia="等线"/>
                <w:color w:val="000000"/>
                <w:szCs w:val="21"/>
              </w:rPr>
              <w:t xml:space="preserve">859,000,955.68 </w:t>
            </w:r>
          </w:p>
        </w:tc>
      </w:tr>
      <w:tr w14:paraId="1022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5" w:type="pct"/>
            <w:tcBorders>
              <w:top w:val="single" w:color="auto" w:sz="4" w:space="0"/>
              <w:left w:val="single" w:color="auto" w:sz="4" w:space="0"/>
              <w:bottom w:val="single" w:color="auto" w:sz="4" w:space="0"/>
              <w:right w:val="single" w:color="auto" w:sz="4" w:space="0"/>
            </w:tcBorders>
            <w:vAlign w:val="center"/>
          </w:tcPr>
          <w:p w14:paraId="327E4585">
            <w:pPr>
              <w:autoSpaceDE w:val="0"/>
              <w:autoSpaceDN w:val="0"/>
              <w:adjustRightInd w:val="0"/>
              <w:jc w:val="center"/>
              <w:rPr>
                <w:rFonts w:hint="eastAsia"/>
                <w:szCs w:val="21"/>
              </w:rPr>
            </w:pPr>
            <w:r>
              <w:rPr>
                <w:rFonts w:hint="eastAsia"/>
                <w:szCs w:val="21"/>
              </w:rPr>
              <w:t>合计</w:t>
            </w:r>
          </w:p>
        </w:tc>
        <w:tc>
          <w:tcPr>
            <w:tcW w:w="562" w:type="pct"/>
            <w:tcBorders>
              <w:top w:val="single" w:color="auto" w:sz="4" w:space="0"/>
              <w:left w:val="single" w:color="auto" w:sz="4" w:space="0"/>
              <w:bottom w:val="single" w:color="auto" w:sz="4" w:space="0"/>
              <w:right w:val="single" w:color="auto" w:sz="4" w:space="0"/>
            </w:tcBorders>
            <w:vAlign w:val="center"/>
          </w:tcPr>
          <w:p w14:paraId="313DE020">
            <w:pPr>
              <w:jc w:val="right"/>
              <w:rPr>
                <w:rFonts w:hint="eastAsia"/>
                <w:sz w:val="18"/>
                <w:szCs w:val="18"/>
              </w:rPr>
            </w:pPr>
            <w:r>
              <w:rPr>
                <w:rFonts w:ascii="Arial Narrow" w:hAnsi="Arial Narrow" w:eastAsia="等线"/>
                <w:color w:val="000000"/>
                <w:szCs w:val="21"/>
              </w:rPr>
              <w:t xml:space="preserve">3,431,166,952.04 </w:t>
            </w:r>
          </w:p>
        </w:tc>
        <w:tc>
          <w:tcPr>
            <w:tcW w:w="233" w:type="pct"/>
            <w:tcBorders>
              <w:top w:val="single" w:color="auto" w:sz="4" w:space="0"/>
              <w:left w:val="single" w:color="auto" w:sz="4" w:space="0"/>
              <w:bottom w:val="single" w:color="auto" w:sz="4" w:space="0"/>
              <w:right w:val="single" w:color="auto" w:sz="4" w:space="0"/>
            </w:tcBorders>
            <w:vAlign w:val="center"/>
          </w:tcPr>
          <w:p w14:paraId="2DCBF92D">
            <w:pPr>
              <w:jc w:val="right"/>
              <w:rPr>
                <w:rFonts w:hint="eastAsia"/>
                <w:sz w:val="18"/>
                <w:szCs w:val="18"/>
              </w:rPr>
            </w:pPr>
            <w:r>
              <w:rPr>
                <w:rFonts w:ascii="Arial Narrow" w:hAnsi="Arial Narrow" w:eastAsia="等线"/>
                <w:color w:val="000000"/>
                <w:szCs w:val="21"/>
              </w:rPr>
              <w:t>/</w:t>
            </w:r>
          </w:p>
        </w:tc>
        <w:tc>
          <w:tcPr>
            <w:tcW w:w="603" w:type="pct"/>
            <w:tcBorders>
              <w:top w:val="single" w:color="auto" w:sz="4" w:space="0"/>
              <w:left w:val="single" w:color="auto" w:sz="4" w:space="0"/>
              <w:bottom w:val="single" w:color="auto" w:sz="4" w:space="0"/>
              <w:right w:val="single" w:color="auto" w:sz="4" w:space="0"/>
            </w:tcBorders>
            <w:vAlign w:val="center"/>
          </w:tcPr>
          <w:p w14:paraId="05230D1E">
            <w:pPr>
              <w:jc w:val="right"/>
              <w:rPr>
                <w:rFonts w:hint="eastAsia"/>
                <w:sz w:val="18"/>
                <w:szCs w:val="18"/>
              </w:rPr>
            </w:pPr>
            <w:r>
              <w:rPr>
                <w:rFonts w:ascii="Arial Narrow" w:hAnsi="Arial Narrow" w:eastAsia="等线"/>
                <w:color w:val="000000"/>
                <w:szCs w:val="21"/>
              </w:rPr>
              <w:t xml:space="preserve">510,502,474.57 </w:t>
            </w:r>
          </w:p>
        </w:tc>
        <w:tc>
          <w:tcPr>
            <w:tcW w:w="262" w:type="pct"/>
            <w:tcBorders>
              <w:top w:val="single" w:color="auto" w:sz="4" w:space="0"/>
              <w:left w:val="single" w:color="auto" w:sz="4" w:space="0"/>
              <w:bottom w:val="single" w:color="auto" w:sz="4" w:space="0"/>
              <w:right w:val="single" w:color="auto" w:sz="4" w:space="0"/>
            </w:tcBorders>
            <w:vAlign w:val="center"/>
          </w:tcPr>
          <w:p w14:paraId="2CBADC3D">
            <w:pPr>
              <w:jc w:val="right"/>
              <w:rPr>
                <w:rFonts w:hint="eastAsia"/>
                <w:sz w:val="18"/>
                <w:szCs w:val="18"/>
              </w:rPr>
            </w:pPr>
            <w:r>
              <w:rPr>
                <w:rFonts w:ascii="Arial Narrow" w:hAnsi="Arial Narrow" w:eastAsia="等线"/>
                <w:color w:val="000000"/>
                <w:szCs w:val="21"/>
              </w:rPr>
              <w:t>/</w:t>
            </w:r>
          </w:p>
        </w:tc>
        <w:tc>
          <w:tcPr>
            <w:tcW w:w="566" w:type="pct"/>
            <w:tcBorders>
              <w:top w:val="single" w:color="auto" w:sz="4" w:space="0"/>
              <w:left w:val="single" w:color="auto" w:sz="4" w:space="0"/>
              <w:bottom w:val="single" w:color="auto" w:sz="4" w:space="0"/>
              <w:right w:val="single" w:color="auto" w:sz="4" w:space="0"/>
            </w:tcBorders>
            <w:vAlign w:val="center"/>
          </w:tcPr>
          <w:p w14:paraId="179FEDAC">
            <w:pPr>
              <w:jc w:val="right"/>
              <w:rPr>
                <w:rFonts w:hint="eastAsia"/>
                <w:sz w:val="18"/>
                <w:szCs w:val="18"/>
              </w:rPr>
            </w:pPr>
            <w:r>
              <w:rPr>
                <w:rFonts w:ascii="Arial Narrow" w:hAnsi="Arial Narrow" w:eastAsia="等线"/>
                <w:color w:val="000000"/>
                <w:szCs w:val="21"/>
              </w:rPr>
              <w:t xml:space="preserve">2,920,664,477.47 </w:t>
            </w:r>
          </w:p>
        </w:tc>
        <w:tc>
          <w:tcPr>
            <w:tcW w:w="603" w:type="pct"/>
            <w:tcBorders>
              <w:top w:val="single" w:color="auto" w:sz="4" w:space="0"/>
              <w:left w:val="single" w:color="auto" w:sz="4" w:space="0"/>
              <w:bottom w:val="single" w:color="auto" w:sz="4" w:space="0"/>
              <w:right w:val="single" w:color="auto" w:sz="4" w:space="0"/>
            </w:tcBorders>
            <w:vAlign w:val="center"/>
          </w:tcPr>
          <w:p w14:paraId="6D6DAD55">
            <w:pPr>
              <w:jc w:val="right"/>
              <w:rPr>
                <w:rFonts w:hint="eastAsia"/>
                <w:sz w:val="18"/>
                <w:szCs w:val="18"/>
              </w:rPr>
            </w:pPr>
            <w:r>
              <w:rPr>
                <w:rFonts w:ascii="Arial Narrow" w:hAnsi="Arial Narrow" w:eastAsia="等线"/>
                <w:color w:val="000000"/>
                <w:szCs w:val="21"/>
              </w:rPr>
              <w:t xml:space="preserve">3,432,664,583.76 </w:t>
            </w:r>
          </w:p>
        </w:tc>
        <w:tc>
          <w:tcPr>
            <w:tcW w:w="234" w:type="pct"/>
            <w:tcBorders>
              <w:top w:val="single" w:color="auto" w:sz="4" w:space="0"/>
              <w:left w:val="single" w:color="auto" w:sz="4" w:space="0"/>
              <w:bottom w:val="single" w:color="auto" w:sz="4" w:space="0"/>
              <w:right w:val="single" w:color="auto" w:sz="4" w:space="0"/>
            </w:tcBorders>
            <w:vAlign w:val="center"/>
          </w:tcPr>
          <w:p w14:paraId="239F8B85">
            <w:pPr>
              <w:jc w:val="right"/>
              <w:rPr>
                <w:rFonts w:hint="eastAsia"/>
                <w:sz w:val="18"/>
                <w:szCs w:val="18"/>
              </w:rPr>
            </w:pPr>
            <w:r>
              <w:rPr>
                <w:rFonts w:ascii="Arial Narrow" w:hAnsi="Arial Narrow" w:eastAsia="等线"/>
                <w:color w:val="000000"/>
                <w:szCs w:val="21"/>
              </w:rPr>
              <w:t>/</w:t>
            </w:r>
          </w:p>
        </w:tc>
        <w:tc>
          <w:tcPr>
            <w:tcW w:w="603" w:type="pct"/>
            <w:tcBorders>
              <w:top w:val="single" w:color="auto" w:sz="4" w:space="0"/>
              <w:left w:val="single" w:color="auto" w:sz="4" w:space="0"/>
              <w:bottom w:val="single" w:color="auto" w:sz="4" w:space="0"/>
              <w:right w:val="single" w:color="auto" w:sz="4" w:space="0"/>
            </w:tcBorders>
            <w:vAlign w:val="center"/>
          </w:tcPr>
          <w:p w14:paraId="3AB827B0">
            <w:pPr>
              <w:jc w:val="right"/>
              <w:rPr>
                <w:rFonts w:hint="eastAsia"/>
                <w:sz w:val="18"/>
                <w:szCs w:val="18"/>
              </w:rPr>
            </w:pPr>
            <w:r>
              <w:rPr>
                <w:rFonts w:ascii="Arial Narrow" w:hAnsi="Arial Narrow" w:eastAsia="等线"/>
                <w:color w:val="000000"/>
                <w:szCs w:val="21"/>
              </w:rPr>
              <w:t xml:space="preserve">401,855,719.67 </w:t>
            </w:r>
          </w:p>
        </w:tc>
        <w:tc>
          <w:tcPr>
            <w:tcW w:w="263" w:type="pct"/>
            <w:tcBorders>
              <w:top w:val="single" w:color="auto" w:sz="4" w:space="0"/>
              <w:left w:val="single" w:color="auto" w:sz="4" w:space="0"/>
              <w:bottom w:val="single" w:color="auto" w:sz="4" w:space="0"/>
              <w:right w:val="single" w:color="auto" w:sz="4" w:space="0"/>
            </w:tcBorders>
            <w:vAlign w:val="center"/>
          </w:tcPr>
          <w:p w14:paraId="45D75185">
            <w:pPr>
              <w:jc w:val="right"/>
              <w:rPr>
                <w:rFonts w:hint="eastAsia"/>
                <w:sz w:val="18"/>
                <w:szCs w:val="18"/>
              </w:rPr>
            </w:pPr>
            <w:r>
              <w:rPr>
                <w:rFonts w:ascii="Arial Narrow" w:hAnsi="Arial Narrow" w:eastAsia="等线"/>
                <w:color w:val="000000"/>
                <w:szCs w:val="21"/>
              </w:rPr>
              <w:t>/</w:t>
            </w:r>
          </w:p>
        </w:tc>
        <w:tc>
          <w:tcPr>
            <w:tcW w:w="566" w:type="pct"/>
            <w:tcBorders>
              <w:top w:val="single" w:color="auto" w:sz="4" w:space="0"/>
              <w:left w:val="single" w:color="auto" w:sz="4" w:space="0"/>
              <w:bottom w:val="single" w:color="auto" w:sz="4" w:space="0"/>
              <w:right w:val="single" w:color="auto" w:sz="4" w:space="0"/>
            </w:tcBorders>
            <w:vAlign w:val="center"/>
          </w:tcPr>
          <w:p w14:paraId="705F3933">
            <w:pPr>
              <w:jc w:val="right"/>
              <w:rPr>
                <w:rFonts w:hint="eastAsia"/>
                <w:sz w:val="18"/>
                <w:szCs w:val="18"/>
              </w:rPr>
            </w:pPr>
            <w:r>
              <w:rPr>
                <w:rFonts w:ascii="Arial Narrow" w:hAnsi="Arial Narrow" w:eastAsia="等线"/>
                <w:color w:val="000000"/>
                <w:szCs w:val="21"/>
              </w:rPr>
              <w:t xml:space="preserve">3,030,808,864.09 </w:t>
            </w:r>
          </w:p>
        </w:tc>
      </w:tr>
    </w:tbl>
    <w:p w14:paraId="0E862761">
      <w:pPr>
        <w:rPr>
          <w:rFonts w:hint="eastAsia"/>
        </w:rPr>
      </w:pPr>
    </w:p>
    <w:bookmarkEnd w:id="246"/>
    <w:p w14:paraId="689DE36C">
      <w:pPr>
        <w:rPr>
          <w:rFonts w:hint="eastAsia"/>
          <w:szCs w:val="21"/>
        </w:rPr>
        <w:sectPr>
          <w:pgSz w:w="16838" w:h="11906" w:orient="landscape"/>
          <w:pgMar w:top="1276" w:right="1440" w:bottom="1797" w:left="1525" w:header="856" w:footer="992" w:gutter="0"/>
          <w:cols w:space="425" w:num="1"/>
          <w:docGrid w:linePitch="312" w:charSpace="0"/>
        </w:sectPr>
      </w:pPr>
      <w:bookmarkStart w:id="247" w:name="_Hlk533606785"/>
    </w:p>
    <w:p w14:paraId="4BA17055">
      <w:pPr>
        <w:rPr>
          <w:rFonts w:hint="eastAsia"/>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46117960"/>
        <w:placeholder>
          <w:docPart w:val="GBC22222222222222222222222222222"/>
        </w:placeholder>
      </w:sdtPr>
      <w:sdtEndPr>
        <w:rPr>
          <w:rFonts w:hint="eastAsia"/>
        </w:rPr>
      </w:sdtEndPr>
      <w:sdtContent>
        <w:p w14:paraId="0B5F3A49">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5F4BA7FB">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单项计提坏账准备的应收账款详细情况"/>
          <w:tag w:val="_GBC_895a0edb0a3a4e12b8b3c0e2c547284e"/>
          <w:id w:val="-17771683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ceb9b753925d4115a51bdbcf043dc1b2"/>
          <w:id w:val="5252947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7"/>
        <w:gridCol w:w="1657"/>
        <w:gridCol w:w="1659"/>
        <w:gridCol w:w="1657"/>
        <w:gridCol w:w="1803"/>
      </w:tblGrid>
      <w:tr w14:paraId="7651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97fa41067b8749859d9b8b001dab9dde"/>
            <w:id w:val="-2107188211"/>
          </w:sdtPr>
          <w:sdtEndPr>
            <w:rPr>
              <w:rFonts w:ascii="Arial Narrow" w:hAnsi="Arial Narrow" w:eastAsiaTheme="minorEastAsia"/>
            </w:rPr>
          </w:sdtEndPr>
          <w:sdtContent>
            <w:tc>
              <w:tcPr>
                <w:tcW w:w="1160" w:type="pct"/>
                <w:vMerge w:val="restart"/>
                <w:vAlign w:val="center"/>
              </w:tcPr>
              <w:p w14:paraId="6E66B851">
                <w:pPr>
                  <w:jc w:val="center"/>
                  <w:rPr>
                    <w:rFonts w:ascii="Arial Narrow" w:hAnsi="Arial Narrow" w:eastAsiaTheme="minorEastAsia"/>
                    <w:szCs w:val="21"/>
                  </w:rPr>
                </w:pPr>
                <w:r>
                  <w:rPr>
                    <w:rFonts w:ascii="Arial Narrow" w:hAnsi="Arial Narrow" w:eastAsiaTheme="minorEastAsia"/>
                    <w:szCs w:val="21"/>
                  </w:rPr>
                  <w:t>名称</w:t>
                </w:r>
              </w:p>
            </w:tc>
          </w:sdtContent>
        </w:sdt>
        <w:sdt>
          <w:sdtPr>
            <w:rPr>
              <w:rFonts w:ascii="Arial Narrow" w:hAnsi="Arial Narrow" w:eastAsiaTheme="minorEastAsia"/>
            </w:rPr>
            <w:tag w:val="_PLD_53121e07f76046af9290059d0b8136d4"/>
            <w:id w:val="1333179791"/>
          </w:sdtPr>
          <w:sdtEndPr>
            <w:rPr>
              <w:rFonts w:ascii="Arial Narrow" w:hAnsi="Arial Narrow" w:eastAsiaTheme="minorEastAsia"/>
            </w:rPr>
          </w:sdtEndPr>
          <w:sdtContent>
            <w:tc>
              <w:tcPr>
                <w:tcW w:w="3840" w:type="pct"/>
                <w:gridSpan w:val="4"/>
                <w:vAlign w:val="center"/>
              </w:tcPr>
              <w:p w14:paraId="75B9DC9B">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671A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Merge w:val="continue"/>
          </w:tcPr>
          <w:p w14:paraId="1FE39C7F">
            <w:pPr>
              <w:jc w:val="center"/>
              <w:rPr>
                <w:rFonts w:ascii="Arial Narrow" w:hAnsi="Arial Narrow" w:eastAsiaTheme="minorEastAsia"/>
                <w:szCs w:val="21"/>
              </w:rPr>
            </w:pPr>
          </w:p>
        </w:tc>
        <w:sdt>
          <w:sdtPr>
            <w:rPr>
              <w:rFonts w:ascii="Arial Narrow" w:hAnsi="Arial Narrow" w:eastAsiaTheme="minorEastAsia"/>
            </w:rPr>
            <w:tag w:val="_PLD_89b2d64d2083464fae141734d17523d3"/>
            <w:id w:val="-2130620750"/>
          </w:sdtPr>
          <w:sdtEndPr>
            <w:rPr>
              <w:rFonts w:ascii="Arial Narrow" w:hAnsi="Arial Narrow" w:eastAsiaTheme="minorEastAsia"/>
            </w:rPr>
          </w:sdtEndPr>
          <w:sdtContent>
            <w:tc>
              <w:tcPr>
                <w:tcW w:w="939" w:type="pct"/>
                <w:vAlign w:val="center"/>
              </w:tcPr>
              <w:p w14:paraId="79F783A2">
                <w:pPr>
                  <w:jc w:val="center"/>
                  <w:rPr>
                    <w:rFonts w:ascii="Arial Narrow" w:hAnsi="Arial Narrow" w:eastAsiaTheme="minorEastAsia"/>
                    <w:szCs w:val="21"/>
                  </w:rPr>
                </w:pPr>
                <w:r>
                  <w:rPr>
                    <w:rFonts w:ascii="Arial Narrow" w:hAnsi="Arial Narrow" w:eastAsiaTheme="minorEastAsia"/>
                    <w:szCs w:val="21"/>
                  </w:rPr>
                  <w:t>账面余额</w:t>
                </w:r>
              </w:p>
            </w:tc>
          </w:sdtContent>
        </w:sdt>
        <w:sdt>
          <w:sdtPr>
            <w:rPr>
              <w:rFonts w:ascii="Arial Narrow" w:hAnsi="Arial Narrow" w:eastAsiaTheme="minorEastAsia"/>
            </w:rPr>
            <w:tag w:val="_PLD_ace529544c544606915552a352f0e13b"/>
            <w:id w:val="1787697813"/>
          </w:sdtPr>
          <w:sdtEndPr>
            <w:rPr>
              <w:rFonts w:ascii="Arial Narrow" w:hAnsi="Arial Narrow" w:eastAsiaTheme="minorEastAsia"/>
            </w:rPr>
          </w:sdtEndPr>
          <w:sdtContent>
            <w:tc>
              <w:tcPr>
                <w:tcW w:w="940" w:type="pct"/>
                <w:vAlign w:val="center"/>
              </w:tcPr>
              <w:p w14:paraId="2781D357">
                <w:pPr>
                  <w:jc w:val="center"/>
                  <w:rPr>
                    <w:rFonts w:ascii="Arial Narrow" w:hAnsi="Arial Narrow" w:eastAsiaTheme="minorEastAsia"/>
                    <w:szCs w:val="21"/>
                  </w:rPr>
                </w:pPr>
                <w:r>
                  <w:rPr>
                    <w:rFonts w:ascii="Arial Narrow" w:hAnsi="Arial Narrow" w:eastAsiaTheme="minorEastAsia"/>
                    <w:szCs w:val="21"/>
                  </w:rPr>
                  <w:t>坏账准备</w:t>
                </w:r>
              </w:p>
            </w:tc>
          </w:sdtContent>
        </w:sdt>
        <w:sdt>
          <w:sdtPr>
            <w:rPr>
              <w:rFonts w:ascii="Arial Narrow" w:hAnsi="Arial Narrow" w:eastAsiaTheme="minorEastAsia"/>
            </w:rPr>
            <w:tag w:val="_PLD_8fd7658c68a540cf9892f97231c626d7"/>
            <w:id w:val="84428674"/>
          </w:sdtPr>
          <w:sdtEndPr>
            <w:rPr>
              <w:rFonts w:ascii="Arial Narrow" w:hAnsi="Arial Narrow" w:eastAsiaTheme="minorEastAsia"/>
            </w:rPr>
          </w:sdtEndPr>
          <w:sdtContent>
            <w:tc>
              <w:tcPr>
                <w:tcW w:w="939" w:type="pct"/>
                <w:vAlign w:val="center"/>
              </w:tcPr>
              <w:p w14:paraId="3A958341">
                <w:pPr>
                  <w:jc w:val="center"/>
                  <w:rPr>
                    <w:rFonts w:ascii="Arial Narrow" w:hAnsi="Arial Narrow" w:eastAsiaTheme="minorEastAsia"/>
                    <w:szCs w:val="21"/>
                  </w:rPr>
                </w:pPr>
                <w:r>
                  <w:rPr>
                    <w:rFonts w:ascii="Arial Narrow" w:hAnsi="Arial Narrow" w:eastAsiaTheme="minorEastAsia"/>
                    <w:szCs w:val="21"/>
                  </w:rPr>
                  <w:t>计提比例（%）</w:t>
                </w:r>
              </w:p>
            </w:tc>
          </w:sdtContent>
        </w:sdt>
        <w:sdt>
          <w:sdtPr>
            <w:rPr>
              <w:rFonts w:ascii="Arial Narrow" w:hAnsi="Arial Narrow" w:eastAsiaTheme="minorEastAsia"/>
            </w:rPr>
            <w:tag w:val="_PLD_e9726e8171bb463ba9719bc643c14988"/>
            <w:id w:val="-1436349449"/>
          </w:sdtPr>
          <w:sdtEndPr>
            <w:rPr>
              <w:rFonts w:ascii="Arial Narrow" w:hAnsi="Arial Narrow" w:eastAsiaTheme="minorEastAsia"/>
            </w:rPr>
          </w:sdtEndPr>
          <w:sdtContent>
            <w:tc>
              <w:tcPr>
                <w:tcW w:w="1022" w:type="pct"/>
                <w:vAlign w:val="center"/>
              </w:tcPr>
              <w:p w14:paraId="14D91581">
                <w:pPr>
                  <w:jc w:val="center"/>
                  <w:rPr>
                    <w:rFonts w:ascii="Arial Narrow" w:hAnsi="Arial Narrow" w:eastAsiaTheme="minorEastAsia"/>
                    <w:szCs w:val="21"/>
                  </w:rPr>
                </w:pPr>
                <w:r>
                  <w:rPr>
                    <w:rFonts w:ascii="Arial Narrow" w:hAnsi="Arial Narrow" w:eastAsiaTheme="minorEastAsia"/>
                    <w:szCs w:val="21"/>
                  </w:rPr>
                  <w:t>计提理由</w:t>
                </w:r>
              </w:p>
            </w:tc>
          </w:sdtContent>
        </w:sdt>
      </w:tr>
      <w:tr w14:paraId="3FB2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0699EC5D">
            <w:pPr>
              <w:rPr>
                <w:rFonts w:ascii="Arial Narrow" w:hAnsi="Arial Narrow" w:eastAsiaTheme="minorEastAsia"/>
                <w:szCs w:val="21"/>
              </w:rPr>
            </w:pPr>
            <w:r>
              <w:rPr>
                <w:rFonts w:ascii="Arial Narrow" w:hAnsi="Arial Narrow" w:eastAsiaTheme="minorEastAsia"/>
                <w:szCs w:val="21"/>
              </w:rPr>
              <w:t>湖南启明鞋业有限公司</w:t>
            </w:r>
          </w:p>
        </w:tc>
        <w:tc>
          <w:tcPr>
            <w:tcW w:w="939" w:type="pct"/>
            <w:vAlign w:val="center"/>
          </w:tcPr>
          <w:p w14:paraId="5A0D7058">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40,030,029.66 </w:t>
            </w:r>
          </w:p>
        </w:tc>
        <w:tc>
          <w:tcPr>
            <w:tcW w:w="940" w:type="pct"/>
            <w:vAlign w:val="center"/>
          </w:tcPr>
          <w:p w14:paraId="509BC18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40,030,029.66 </w:t>
            </w:r>
          </w:p>
        </w:tc>
        <w:tc>
          <w:tcPr>
            <w:tcW w:w="939" w:type="pct"/>
            <w:vAlign w:val="center"/>
          </w:tcPr>
          <w:p w14:paraId="025C1E8E">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100.00 </w:t>
            </w:r>
          </w:p>
        </w:tc>
        <w:tc>
          <w:tcPr>
            <w:tcW w:w="1022" w:type="pct"/>
            <w:vAlign w:val="center"/>
          </w:tcPr>
          <w:p w14:paraId="230CDE24">
            <w:pP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预计无法收回</w:t>
            </w:r>
          </w:p>
        </w:tc>
      </w:tr>
      <w:tr w14:paraId="2EB1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4B5007B4">
            <w:pPr>
              <w:rPr>
                <w:rFonts w:ascii="Arial Narrow" w:hAnsi="Arial Narrow" w:eastAsiaTheme="minorEastAsia"/>
                <w:szCs w:val="21"/>
              </w:rPr>
            </w:pPr>
            <w:r>
              <w:rPr>
                <w:rFonts w:ascii="Arial Narrow" w:hAnsi="Arial Narrow" w:eastAsiaTheme="minorEastAsia"/>
                <w:szCs w:val="21"/>
              </w:rPr>
              <w:t>恩施山寨皮革有限公司</w:t>
            </w:r>
          </w:p>
        </w:tc>
        <w:tc>
          <w:tcPr>
            <w:tcW w:w="939" w:type="pct"/>
            <w:vAlign w:val="center"/>
          </w:tcPr>
          <w:p w14:paraId="5844614D">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34,920,943.50 </w:t>
            </w:r>
          </w:p>
        </w:tc>
        <w:tc>
          <w:tcPr>
            <w:tcW w:w="940" w:type="pct"/>
            <w:vAlign w:val="center"/>
          </w:tcPr>
          <w:p w14:paraId="5255A9CD">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34,920,943.50 </w:t>
            </w:r>
          </w:p>
        </w:tc>
        <w:tc>
          <w:tcPr>
            <w:tcW w:w="939" w:type="pct"/>
            <w:vAlign w:val="center"/>
          </w:tcPr>
          <w:p w14:paraId="3B600DB7">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 xml:space="preserve">100.00 </w:t>
            </w:r>
          </w:p>
        </w:tc>
        <w:tc>
          <w:tcPr>
            <w:tcW w:w="1022" w:type="pct"/>
            <w:vAlign w:val="center"/>
          </w:tcPr>
          <w:p w14:paraId="6EFB0310">
            <w:pP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预计无法收回</w:t>
            </w:r>
          </w:p>
        </w:tc>
      </w:tr>
      <w:tr w14:paraId="5D61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69553CCA">
            <w:pPr>
              <w:rPr>
                <w:rFonts w:ascii="Arial Narrow" w:hAnsi="Arial Narrow" w:eastAsiaTheme="minorEastAsia"/>
                <w:szCs w:val="21"/>
              </w:rPr>
            </w:pPr>
            <w:r>
              <w:rPr>
                <w:rFonts w:ascii="Arial Narrow" w:hAnsi="Arial Narrow" w:eastAsiaTheme="minorEastAsia"/>
                <w:szCs w:val="21"/>
              </w:rPr>
              <w:t>福建裕兴纺织原料有限公司</w:t>
            </w:r>
          </w:p>
        </w:tc>
        <w:tc>
          <w:tcPr>
            <w:tcW w:w="939" w:type="pct"/>
            <w:vAlign w:val="center"/>
          </w:tcPr>
          <w:p w14:paraId="0609F258">
            <w:pPr>
              <w:jc w:val="right"/>
              <w:rPr>
                <w:rFonts w:ascii="Arial Narrow" w:hAnsi="Arial Narrow" w:eastAsiaTheme="minorEastAsia"/>
                <w:szCs w:val="21"/>
              </w:rPr>
            </w:pPr>
            <w:r>
              <w:rPr>
                <w:rFonts w:ascii="Arial Narrow" w:hAnsi="Arial Narrow" w:eastAsiaTheme="minorEastAsia"/>
                <w:color w:val="000000"/>
                <w:szCs w:val="21"/>
              </w:rPr>
              <w:t xml:space="preserve">24,668,987.46 </w:t>
            </w:r>
          </w:p>
        </w:tc>
        <w:tc>
          <w:tcPr>
            <w:tcW w:w="940" w:type="pct"/>
            <w:vAlign w:val="center"/>
          </w:tcPr>
          <w:p w14:paraId="46A2CF18">
            <w:pPr>
              <w:jc w:val="right"/>
              <w:rPr>
                <w:rFonts w:ascii="Arial Narrow" w:hAnsi="Arial Narrow" w:eastAsiaTheme="minorEastAsia"/>
                <w:szCs w:val="21"/>
              </w:rPr>
            </w:pPr>
            <w:r>
              <w:rPr>
                <w:rFonts w:ascii="Arial Narrow" w:hAnsi="Arial Narrow" w:eastAsiaTheme="minorEastAsia"/>
                <w:color w:val="000000"/>
                <w:szCs w:val="21"/>
              </w:rPr>
              <w:t xml:space="preserve">24,668,987.46 </w:t>
            </w:r>
          </w:p>
        </w:tc>
        <w:tc>
          <w:tcPr>
            <w:tcW w:w="939" w:type="pct"/>
            <w:vAlign w:val="center"/>
          </w:tcPr>
          <w:p w14:paraId="6EEF9D3D">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79701EF9">
            <w:pPr>
              <w:rPr>
                <w:rFonts w:ascii="Arial Narrow" w:hAnsi="Arial Narrow" w:eastAsiaTheme="minorEastAsia"/>
                <w:szCs w:val="21"/>
              </w:rPr>
            </w:pPr>
            <w:r>
              <w:rPr>
                <w:rFonts w:ascii="Arial Narrow" w:hAnsi="Arial Narrow" w:eastAsiaTheme="minorEastAsia"/>
                <w:color w:val="000000"/>
                <w:szCs w:val="21"/>
              </w:rPr>
              <w:t>预计无法收回</w:t>
            </w:r>
          </w:p>
        </w:tc>
      </w:tr>
      <w:tr w14:paraId="7FFB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74FC48D4">
            <w:pPr>
              <w:rPr>
                <w:rFonts w:ascii="Arial Narrow" w:hAnsi="Arial Narrow" w:eastAsiaTheme="minorEastAsia"/>
                <w:szCs w:val="21"/>
              </w:rPr>
            </w:pPr>
            <w:r>
              <w:rPr>
                <w:rFonts w:ascii="Arial Narrow" w:hAnsi="Arial Narrow" w:eastAsiaTheme="minorEastAsia"/>
                <w:szCs w:val="21"/>
              </w:rPr>
              <w:t>湖北炳彰科技有限公司</w:t>
            </w:r>
          </w:p>
        </w:tc>
        <w:tc>
          <w:tcPr>
            <w:tcW w:w="939" w:type="pct"/>
            <w:vAlign w:val="center"/>
          </w:tcPr>
          <w:p w14:paraId="0D82E940">
            <w:pPr>
              <w:jc w:val="right"/>
              <w:rPr>
                <w:rFonts w:ascii="Arial Narrow" w:hAnsi="Arial Narrow" w:eastAsiaTheme="minorEastAsia"/>
                <w:szCs w:val="21"/>
              </w:rPr>
            </w:pPr>
            <w:r>
              <w:rPr>
                <w:rFonts w:ascii="Arial Narrow" w:hAnsi="Arial Narrow" w:eastAsiaTheme="minorEastAsia"/>
                <w:color w:val="000000"/>
                <w:szCs w:val="21"/>
              </w:rPr>
              <w:t xml:space="preserve">20,985,425.97 </w:t>
            </w:r>
          </w:p>
        </w:tc>
        <w:tc>
          <w:tcPr>
            <w:tcW w:w="940" w:type="pct"/>
            <w:vAlign w:val="center"/>
          </w:tcPr>
          <w:p w14:paraId="723AF604">
            <w:pPr>
              <w:jc w:val="right"/>
              <w:rPr>
                <w:rFonts w:ascii="Arial Narrow" w:hAnsi="Arial Narrow" w:eastAsiaTheme="minorEastAsia"/>
                <w:szCs w:val="21"/>
              </w:rPr>
            </w:pPr>
            <w:r>
              <w:rPr>
                <w:rFonts w:ascii="Arial Narrow" w:hAnsi="Arial Narrow" w:eastAsiaTheme="minorEastAsia"/>
                <w:color w:val="000000"/>
                <w:szCs w:val="21"/>
              </w:rPr>
              <w:t xml:space="preserve">10,015,141.97 </w:t>
            </w:r>
          </w:p>
        </w:tc>
        <w:tc>
          <w:tcPr>
            <w:tcW w:w="939" w:type="pct"/>
            <w:vAlign w:val="center"/>
          </w:tcPr>
          <w:p w14:paraId="5AFCF961">
            <w:pPr>
              <w:jc w:val="right"/>
              <w:rPr>
                <w:rFonts w:ascii="Arial Narrow" w:hAnsi="Arial Narrow" w:eastAsiaTheme="minorEastAsia"/>
                <w:szCs w:val="21"/>
              </w:rPr>
            </w:pPr>
            <w:r>
              <w:rPr>
                <w:rFonts w:ascii="Arial Narrow" w:hAnsi="Arial Narrow" w:eastAsiaTheme="minorEastAsia"/>
                <w:color w:val="000000"/>
                <w:szCs w:val="21"/>
              </w:rPr>
              <w:t xml:space="preserve">47.72 </w:t>
            </w:r>
          </w:p>
        </w:tc>
        <w:tc>
          <w:tcPr>
            <w:tcW w:w="1022" w:type="pct"/>
            <w:vAlign w:val="center"/>
          </w:tcPr>
          <w:p w14:paraId="35F7D6E1">
            <w:pPr>
              <w:rPr>
                <w:rFonts w:ascii="Arial Narrow" w:hAnsi="Arial Narrow" w:eastAsiaTheme="minorEastAsia"/>
                <w:szCs w:val="21"/>
              </w:rPr>
            </w:pPr>
            <w:r>
              <w:rPr>
                <w:rFonts w:ascii="Arial Narrow" w:hAnsi="Arial Narrow" w:eastAsiaTheme="minorEastAsia"/>
                <w:color w:val="000000"/>
                <w:szCs w:val="21"/>
              </w:rPr>
              <w:t>抵押资产现值不能完全覆盖账面价值</w:t>
            </w:r>
          </w:p>
        </w:tc>
      </w:tr>
      <w:tr w14:paraId="5699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66795A53">
            <w:pPr>
              <w:rPr>
                <w:rFonts w:ascii="Arial Narrow" w:hAnsi="Arial Narrow" w:eastAsiaTheme="minorEastAsia"/>
                <w:szCs w:val="21"/>
              </w:rPr>
            </w:pPr>
            <w:r>
              <w:rPr>
                <w:rFonts w:ascii="Arial Narrow" w:hAnsi="Arial Narrow" w:eastAsiaTheme="minorEastAsia"/>
                <w:szCs w:val="21"/>
              </w:rPr>
              <w:t>肃宁卓尔纺织制品有限公司</w:t>
            </w:r>
          </w:p>
        </w:tc>
        <w:tc>
          <w:tcPr>
            <w:tcW w:w="939" w:type="pct"/>
            <w:vAlign w:val="center"/>
          </w:tcPr>
          <w:p w14:paraId="588B10D2">
            <w:pPr>
              <w:jc w:val="right"/>
              <w:rPr>
                <w:rFonts w:ascii="Arial Narrow" w:hAnsi="Arial Narrow" w:eastAsiaTheme="minorEastAsia"/>
                <w:szCs w:val="21"/>
              </w:rPr>
            </w:pPr>
            <w:r>
              <w:rPr>
                <w:rFonts w:ascii="Arial Narrow" w:hAnsi="Arial Narrow" w:eastAsiaTheme="minorEastAsia"/>
                <w:color w:val="000000"/>
                <w:szCs w:val="21"/>
              </w:rPr>
              <w:t xml:space="preserve">20,111,937.62 </w:t>
            </w:r>
          </w:p>
        </w:tc>
        <w:tc>
          <w:tcPr>
            <w:tcW w:w="940" w:type="pct"/>
            <w:vAlign w:val="center"/>
          </w:tcPr>
          <w:p w14:paraId="6A112CFE">
            <w:pPr>
              <w:jc w:val="right"/>
              <w:rPr>
                <w:rFonts w:ascii="Arial Narrow" w:hAnsi="Arial Narrow" w:eastAsiaTheme="minorEastAsia"/>
                <w:szCs w:val="21"/>
              </w:rPr>
            </w:pPr>
            <w:r>
              <w:rPr>
                <w:rFonts w:ascii="Arial Narrow" w:hAnsi="Arial Narrow" w:eastAsiaTheme="minorEastAsia"/>
                <w:color w:val="000000"/>
                <w:szCs w:val="21"/>
              </w:rPr>
              <w:t xml:space="preserve">20,111,937.62 </w:t>
            </w:r>
          </w:p>
        </w:tc>
        <w:tc>
          <w:tcPr>
            <w:tcW w:w="939" w:type="pct"/>
            <w:vAlign w:val="center"/>
          </w:tcPr>
          <w:p w14:paraId="2FF7EAE9">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54FBAFEE">
            <w:pPr>
              <w:rPr>
                <w:rFonts w:ascii="Arial Narrow" w:hAnsi="Arial Narrow" w:eastAsiaTheme="minorEastAsia"/>
                <w:szCs w:val="21"/>
              </w:rPr>
            </w:pPr>
            <w:r>
              <w:rPr>
                <w:rFonts w:ascii="Arial Narrow" w:hAnsi="Arial Narrow" w:eastAsiaTheme="minorEastAsia"/>
                <w:color w:val="000000"/>
                <w:szCs w:val="21"/>
              </w:rPr>
              <w:t>预计无法收回</w:t>
            </w:r>
          </w:p>
        </w:tc>
      </w:tr>
      <w:tr w14:paraId="5D69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4AC66F25">
            <w:pPr>
              <w:rPr>
                <w:rFonts w:ascii="Arial Narrow" w:hAnsi="Arial Narrow" w:eastAsiaTheme="minorEastAsia"/>
                <w:szCs w:val="21"/>
              </w:rPr>
            </w:pPr>
            <w:r>
              <w:rPr>
                <w:rFonts w:ascii="Arial Narrow" w:hAnsi="Arial Narrow" w:eastAsiaTheme="minorEastAsia"/>
                <w:szCs w:val="21"/>
              </w:rPr>
              <w:t>际华（芜湖）农业科技发展有限责任公司</w:t>
            </w:r>
          </w:p>
        </w:tc>
        <w:tc>
          <w:tcPr>
            <w:tcW w:w="939" w:type="pct"/>
            <w:vAlign w:val="center"/>
          </w:tcPr>
          <w:p w14:paraId="39A2AEFD">
            <w:pPr>
              <w:jc w:val="right"/>
              <w:rPr>
                <w:rFonts w:ascii="Arial Narrow" w:hAnsi="Arial Narrow" w:eastAsiaTheme="minorEastAsia"/>
                <w:szCs w:val="21"/>
              </w:rPr>
            </w:pPr>
            <w:r>
              <w:rPr>
                <w:rFonts w:ascii="Arial Narrow" w:hAnsi="Arial Narrow" w:eastAsiaTheme="minorEastAsia"/>
                <w:color w:val="000000"/>
                <w:szCs w:val="21"/>
              </w:rPr>
              <w:t xml:space="preserve">11,528,801.00 </w:t>
            </w:r>
          </w:p>
        </w:tc>
        <w:tc>
          <w:tcPr>
            <w:tcW w:w="940" w:type="pct"/>
            <w:vAlign w:val="center"/>
          </w:tcPr>
          <w:p w14:paraId="312003DE">
            <w:pPr>
              <w:jc w:val="right"/>
              <w:rPr>
                <w:rFonts w:ascii="Arial Narrow" w:hAnsi="Arial Narrow" w:eastAsiaTheme="minorEastAsia"/>
                <w:szCs w:val="21"/>
              </w:rPr>
            </w:pPr>
            <w:r>
              <w:rPr>
                <w:rFonts w:ascii="Arial Narrow" w:hAnsi="Arial Narrow" w:eastAsiaTheme="minorEastAsia"/>
                <w:color w:val="000000"/>
                <w:szCs w:val="21"/>
              </w:rPr>
              <w:t xml:space="preserve">11,528,801.00 </w:t>
            </w:r>
          </w:p>
        </w:tc>
        <w:tc>
          <w:tcPr>
            <w:tcW w:w="939" w:type="pct"/>
            <w:vAlign w:val="center"/>
          </w:tcPr>
          <w:p w14:paraId="34411AF7">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40B43BDD">
            <w:pPr>
              <w:rPr>
                <w:rFonts w:ascii="Arial Narrow" w:hAnsi="Arial Narrow" w:eastAsiaTheme="minorEastAsia"/>
                <w:szCs w:val="21"/>
              </w:rPr>
            </w:pPr>
            <w:r>
              <w:rPr>
                <w:rFonts w:ascii="Arial Narrow" w:hAnsi="Arial Narrow" w:eastAsiaTheme="minorEastAsia"/>
                <w:color w:val="000000"/>
                <w:szCs w:val="21"/>
              </w:rPr>
              <w:t>预计无法收回</w:t>
            </w:r>
          </w:p>
        </w:tc>
      </w:tr>
      <w:tr w14:paraId="5EA0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2FBD0743">
            <w:pPr>
              <w:rPr>
                <w:rFonts w:ascii="Arial Narrow" w:hAnsi="Arial Narrow" w:eastAsiaTheme="minorEastAsia"/>
                <w:szCs w:val="21"/>
              </w:rPr>
            </w:pPr>
            <w:r>
              <w:rPr>
                <w:rFonts w:ascii="Arial Narrow" w:hAnsi="Arial Narrow" w:eastAsiaTheme="minorEastAsia"/>
                <w:szCs w:val="21"/>
              </w:rPr>
              <w:t>江苏久德能源有限公司</w:t>
            </w:r>
          </w:p>
        </w:tc>
        <w:tc>
          <w:tcPr>
            <w:tcW w:w="939" w:type="pct"/>
            <w:vAlign w:val="center"/>
          </w:tcPr>
          <w:p w14:paraId="01CC7421">
            <w:pPr>
              <w:jc w:val="right"/>
              <w:rPr>
                <w:rFonts w:ascii="Arial Narrow" w:hAnsi="Arial Narrow" w:eastAsiaTheme="minorEastAsia"/>
                <w:szCs w:val="21"/>
              </w:rPr>
            </w:pPr>
            <w:r>
              <w:rPr>
                <w:rFonts w:ascii="Arial Narrow" w:hAnsi="Arial Narrow" w:eastAsiaTheme="minorEastAsia"/>
                <w:color w:val="000000"/>
                <w:szCs w:val="21"/>
              </w:rPr>
              <w:t xml:space="preserve">7,711,980.50 </w:t>
            </w:r>
          </w:p>
        </w:tc>
        <w:tc>
          <w:tcPr>
            <w:tcW w:w="940" w:type="pct"/>
            <w:vAlign w:val="center"/>
          </w:tcPr>
          <w:p w14:paraId="1B8FC0DA">
            <w:pPr>
              <w:jc w:val="right"/>
              <w:rPr>
                <w:rFonts w:ascii="Arial Narrow" w:hAnsi="Arial Narrow" w:eastAsiaTheme="minorEastAsia"/>
                <w:szCs w:val="21"/>
              </w:rPr>
            </w:pPr>
            <w:r>
              <w:rPr>
                <w:rFonts w:ascii="Arial Narrow" w:hAnsi="Arial Narrow" w:eastAsiaTheme="minorEastAsia"/>
                <w:color w:val="000000"/>
                <w:szCs w:val="21"/>
              </w:rPr>
              <w:t xml:space="preserve">7,711,980.50 </w:t>
            </w:r>
          </w:p>
        </w:tc>
        <w:tc>
          <w:tcPr>
            <w:tcW w:w="939" w:type="pct"/>
            <w:vAlign w:val="center"/>
          </w:tcPr>
          <w:p w14:paraId="74E61AC6">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3A9E1BE3">
            <w:pPr>
              <w:rPr>
                <w:rFonts w:ascii="Arial Narrow" w:hAnsi="Arial Narrow" w:eastAsiaTheme="minorEastAsia"/>
                <w:szCs w:val="21"/>
              </w:rPr>
            </w:pPr>
            <w:r>
              <w:rPr>
                <w:rFonts w:ascii="Arial Narrow" w:hAnsi="Arial Narrow" w:eastAsiaTheme="minorEastAsia"/>
                <w:color w:val="000000"/>
                <w:szCs w:val="21"/>
              </w:rPr>
              <w:t>预计无法收回</w:t>
            </w:r>
          </w:p>
        </w:tc>
      </w:tr>
      <w:tr w14:paraId="0300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5159C6B8">
            <w:pPr>
              <w:rPr>
                <w:rFonts w:ascii="Arial Narrow" w:hAnsi="Arial Narrow" w:eastAsiaTheme="minorEastAsia"/>
                <w:szCs w:val="21"/>
              </w:rPr>
            </w:pPr>
            <w:r>
              <w:rPr>
                <w:rFonts w:ascii="Arial Narrow" w:hAnsi="Arial Narrow" w:eastAsiaTheme="minorEastAsia"/>
                <w:szCs w:val="21"/>
              </w:rPr>
              <w:t>秦皇岛睿港煤炭物流有限公司</w:t>
            </w:r>
          </w:p>
        </w:tc>
        <w:tc>
          <w:tcPr>
            <w:tcW w:w="939" w:type="pct"/>
            <w:vAlign w:val="center"/>
          </w:tcPr>
          <w:p w14:paraId="7C296612">
            <w:pPr>
              <w:jc w:val="right"/>
              <w:rPr>
                <w:rFonts w:ascii="Arial Narrow" w:hAnsi="Arial Narrow" w:eastAsiaTheme="minorEastAsia"/>
                <w:szCs w:val="21"/>
              </w:rPr>
            </w:pPr>
            <w:r>
              <w:rPr>
                <w:rFonts w:ascii="Arial Narrow" w:hAnsi="Arial Narrow" w:eastAsiaTheme="minorEastAsia"/>
                <w:color w:val="000000"/>
                <w:szCs w:val="21"/>
              </w:rPr>
              <w:t xml:space="preserve">7,020,200.00 </w:t>
            </w:r>
          </w:p>
        </w:tc>
        <w:tc>
          <w:tcPr>
            <w:tcW w:w="940" w:type="pct"/>
            <w:vAlign w:val="center"/>
          </w:tcPr>
          <w:p w14:paraId="5B3DA996">
            <w:pPr>
              <w:jc w:val="right"/>
              <w:rPr>
                <w:rFonts w:ascii="Arial Narrow" w:hAnsi="Arial Narrow" w:eastAsiaTheme="minorEastAsia"/>
                <w:szCs w:val="21"/>
              </w:rPr>
            </w:pPr>
            <w:r>
              <w:rPr>
                <w:rFonts w:ascii="Arial Narrow" w:hAnsi="Arial Narrow" w:eastAsiaTheme="minorEastAsia"/>
                <w:color w:val="000000"/>
                <w:szCs w:val="21"/>
              </w:rPr>
              <w:t xml:space="preserve">7,020,200.00 </w:t>
            </w:r>
          </w:p>
        </w:tc>
        <w:tc>
          <w:tcPr>
            <w:tcW w:w="939" w:type="pct"/>
            <w:vAlign w:val="center"/>
          </w:tcPr>
          <w:p w14:paraId="679FD2CE">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79671794">
            <w:pPr>
              <w:rPr>
                <w:rFonts w:ascii="Arial Narrow" w:hAnsi="Arial Narrow" w:eastAsiaTheme="minorEastAsia"/>
                <w:szCs w:val="21"/>
              </w:rPr>
            </w:pPr>
            <w:r>
              <w:rPr>
                <w:rFonts w:ascii="Arial Narrow" w:hAnsi="Arial Narrow" w:eastAsiaTheme="minorEastAsia"/>
                <w:color w:val="000000"/>
                <w:szCs w:val="21"/>
              </w:rPr>
              <w:t>预计无法收回</w:t>
            </w:r>
          </w:p>
        </w:tc>
      </w:tr>
      <w:tr w14:paraId="2FB6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437FC747">
            <w:pPr>
              <w:rPr>
                <w:rFonts w:ascii="Arial Narrow" w:hAnsi="Arial Narrow" w:eastAsiaTheme="minorEastAsia"/>
                <w:szCs w:val="21"/>
              </w:rPr>
            </w:pPr>
            <w:r>
              <w:rPr>
                <w:rFonts w:ascii="Arial Narrow" w:hAnsi="Arial Narrow" w:eastAsiaTheme="minorEastAsia"/>
                <w:szCs w:val="21"/>
              </w:rPr>
              <w:t>山东中泰金属板材有限公司</w:t>
            </w:r>
          </w:p>
        </w:tc>
        <w:tc>
          <w:tcPr>
            <w:tcW w:w="939" w:type="pct"/>
            <w:vAlign w:val="center"/>
          </w:tcPr>
          <w:p w14:paraId="180CB96D">
            <w:pPr>
              <w:jc w:val="right"/>
              <w:rPr>
                <w:rFonts w:ascii="Arial Narrow" w:hAnsi="Arial Narrow" w:eastAsiaTheme="minorEastAsia"/>
                <w:szCs w:val="21"/>
              </w:rPr>
            </w:pPr>
            <w:r>
              <w:rPr>
                <w:rFonts w:ascii="Arial Narrow" w:hAnsi="Arial Narrow" w:eastAsiaTheme="minorEastAsia"/>
                <w:color w:val="000000"/>
                <w:szCs w:val="21"/>
              </w:rPr>
              <w:t xml:space="preserve">6,797,050.86 </w:t>
            </w:r>
          </w:p>
        </w:tc>
        <w:tc>
          <w:tcPr>
            <w:tcW w:w="940" w:type="pct"/>
            <w:vAlign w:val="center"/>
          </w:tcPr>
          <w:p w14:paraId="3B3251C8">
            <w:pPr>
              <w:jc w:val="right"/>
              <w:rPr>
                <w:rFonts w:ascii="Arial Narrow" w:hAnsi="Arial Narrow" w:eastAsiaTheme="minorEastAsia"/>
                <w:szCs w:val="21"/>
              </w:rPr>
            </w:pPr>
            <w:r>
              <w:rPr>
                <w:rFonts w:ascii="Arial Narrow" w:hAnsi="Arial Narrow" w:eastAsiaTheme="minorEastAsia"/>
                <w:color w:val="000000"/>
                <w:szCs w:val="21"/>
              </w:rPr>
              <w:t xml:space="preserve">6,797,050.86 </w:t>
            </w:r>
          </w:p>
        </w:tc>
        <w:tc>
          <w:tcPr>
            <w:tcW w:w="939" w:type="pct"/>
            <w:vAlign w:val="center"/>
          </w:tcPr>
          <w:p w14:paraId="14782E91">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619F1A09">
            <w:pPr>
              <w:rPr>
                <w:rFonts w:ascii="Arial Narrow" w:hAnsi="Arial Narrow" w:eastAsiaTheme="minorEastAsia"/>
                <w:szCs w:val="21"/>
              </w:rPr>
            </w:pPr>
            <w:r>
              <w:rPr>
                <w:rFonts w:ascii="Arial Narrow" w:hAnsi="Arial Narrow" w:eastAsiaTheme="minorEastAsia"/>
                <w:color w:val="000000"/>
                <w:szCs w:val="21"/>
              </w:rPr>
              <w:t>预计无法收回</w:t>
            </w:r>
          </w:p>
        </w:tc>
      </w:tr>
      <w:tr w14:paraId="3561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0E6FE342">
            <w:pPr>
              <w:rPr>
                <w:rFonts w:ascii="Arial Narrow" w:hAnsi="Arial Narrow" w:eastAsiaTheme="minorEastAsia"/>
                <w:szCs w:val="21"/>
              </w:rPr>
            </w:pPr>
            <w:r>
              <w:rPr>
                <w:rFonts w:ascii="Arial Narrow" w:hAnsi="Arial Narrow" w:eastAsiaTheme="minorEastAsia"/>
                <w:szCs w:val="21"/>
              </w:rPr>
              <w:t>其他</w:t>
            </w:r>
          </w:p>
        </w:tc>
        <w:tc>
          <w:tcPr>
            <w:tcW w:w="939" w:type="pct"/>
            <w:vAlign w:val="center"/>
          </w:tcPr>
          <w:p w14:paraId="756E1CFC">
            <w:pPr>
              <w:jc w:val="right"/>
              <w:rPr>
                <w:rFonts w:ascii="Arial Narrow" w:hAnsi="Arial Narrow" w:eastAsiaTheme="minorEastAsia"/>
                <w:szCs w:val="21"/>
              </w:rPr>
            </w:pPr>
            <w:r>
              <w:rPr>
                <w:rFonts w:ascii="Arial Narrow" w:hAnsi="Arial Narrow" w:eastAsiaTheme="minorEastAsia"/>
                <w:color w:val="000000"/>
                <w:szCs w:val="21"/>
              </w:rPr>
              <w:t xml:space="preserve">41,538,746.34 </w:t>
            </w:r>
          </w:p>
        </w:tc>
        <w:tc>
          <w:tcPr>
            <w:tcW w:w="940" w:type="pct"/>
            <w:vAlign w:val="center"/>
          </w:tcPr>
          <w:p w14:paraId="1C5AF0BA">
            <w:pPr>
              <w:jc w:val="right"/>
              <w:rPr>
                <w:rFonts w:ascii="Arial Narrow" w:hAnsi="Arial Narrow" w:eastAsiaTheme="minorEastAsia"/>
                <w:szCs w:val="21"/>
              </w:rPr>
            </w:pPr>
            <w:r>
              <w:rPr>
                <w:rFonts w:ascii="Arial Narrow" w:hAnsi="Arial Narrow" w:eastAsiaTheme="minorEastAsia"/>
                <w:color w:val="000000"/>
                <w:szCs w:val="21"/>
              </w:rPr>
              <w:t xml:space="preserve">41,538,746.34 </w:t>
            </w:r>
          </w:p>
        </w:tc>
        <w:tc>
          <w:tcPr>
            <w:tcW w:w="939" w:type="pct"/>
            <w:vAlign w:val="center"/>
          </w:tcPr>
          <w:p w14:paraId="67D1C8BD">
            <w:pPr>
              <w:jc w:val="right"/>
              <w:rPr>
                <w:rFonts w:ascii="Arial Narrow" w:hAnsi="Arial Narrow" w:eastAsiaTheme="minorEastAsia"/>
                <w:szCs w:val="21"/>
              </w:rPr>
            </w:pPr>
            <w:r>
              <w:rPr>
                <w:rFonts w:ascii="Arial Narrow" w:hAnsi="Arial Narrow" w:eastAsiaTheme="minorEastAsia"/>
                <w:color w:val="000000"/>
                <w:szCs w:val="21"/>
              </w:rPr>
              <w:t xml:space="preserve">100.00 </w:t>
            </w:r>
          </w:p>
        </w:tc>
        <w:tc>
          <w:tcPr>
            <w:tcW w:w="1022" w:type="pct"/>
            <w:vAlign w:val="center"/>
          </w:tcPr>
          <w:p w14:paraId="760EEB33">
            <w:pPr>
              <w:rPr>
                <w:rFonts w:ascii="Arial Narrow" w:hAnsi="Arial Narrow" w:eastAsiaTheme="minorEastAsia"/>
                <w:szCs w:val="21"/>
              </w:rPr>
            </w:pPr>
            <w:r>
              <w:rPr>
                <w:rFonts w:ascii="Arial Narrow" w:hAnsi="Arial Narrow" w:eastAsiaTheme="minorEastAsia"/>
                <w:color w:val="000000"/>
                <w:szCs w:val="21"/>
              </w:rPr>
              <w:t>预计无法收回</w:t>
            </w:r>
          </w:p>
        </w:tc>
      </w:tr>
      <w:tr w14:paraId="726D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623325D2">
            <w:pPr>
              <w:jc w:val="center"/>
              <w:rPr>
                <w:rFonts w:ascii="Arial Narrow" w:hAnsi="Arial Narrow" w:eastAsiaTheme="minorEastAsia"/>
                <w:szCs w:val="21"/>
              </w:rPr>
            </w:pPr>
            <w:r>
              <w:rPr>
                <w:rFonts w:ascii="Arial Narrow" w:hAnsi="Arial Narrow" w:eastAsiaTheme="minorEastAsia"/>
                <w:szCs w:val="21"/>
              </w:rPr>
              <w:t>合计</w:t>
            </w:r>
          </w:p>
        </w:tc>
        <w:tc>
          <w:tcPr>
            <w:tcW w:w="939" w:type="pct"/>
            <w:vAlign w:val="center"/>
          </w:tcPr>
          <w:p w14:paraId="5F3EC839">
            <w:pPr>
              <w:jc w:val="right"/>
              <w:rPr>
                <w:rFonts w:ascii="Arial Narrow" w:hAnsi="Arial Narrow" w:eastAsiaTheme="minorEastAsia"/>
                <w:szCs w:val="21"/>
              </w:rPr>
            </w:pPr>
            <w:r>
              <w:rPr>
                <w:rFonts w:ascii="Arial Narrow" w:hAnsi="Arial Narrow" w:eastAsiaTheme="minorEastAsia"/>
                <w:color w:val="000000"/>
                <w:szCs w:val="21"/>
              </w:rPr>
              <w:t xml:space="preserve">215,314,102.91 </w:t>
            </w:r>
          </w:p>
        </w:tc>
        <w:tc>
          <w:tcPr>
            <w:tcW w:w="940" w:type="pct"/>
            <w:vAlign w:val="center"/>
          </w:tcPr>
          <w:p w14:paraId="069411DF">
            <w:pPr>
              <w:jc w:val="right"/>
              <w:rPr>
                <w:rFonts w:ascii="Arial Narrow" w:hAnsi="Arial Narrow" w:eastAsiaTheme="minorEastAsia"/>
                <w:szCs w:val="21"/>
              </w:rPr>
            </w:pPr>
            <w:r>
              <w:rPr>
                <w:rFonts w:ascii="Arial Narrow" w:hAnsi="Arial Narrow" w:eastAsiaTheme="minorEastAsia"/>
                <w:color w:val="000000"/>
                <w:szCs w:val="21"/>
              </w:rPr>
              <w:t xml:space="preserve">204,343,818.91 </w:t>
            </w:r>
          </w:p>
        </w:tc>
        <w:tc>
          <w:tcPr>
            <w:tcW w:w="939" w:type="pct"/>
            <w:vAlign w:val="center"/>
          </w:tcPr>
          <w:p w14:paraId="797E3F59">
            <w:pPr>
              <w:jc w:val="right"/>
              <w:rPr>
                <w:rFonts w:ascii="Arial Narrow" w:hAnsi="Arial Narrow" w:eastAsiaTheme="minorEastAsia"/>
                <w:szCs w:val="21"/>
              </w:rPr>
            </w:pPr>
            <w:r>
              <w:rPr>
                <w:rFonts w:ascii="Arial Narrow" w:hAnsi="Arial Narrow" w:eastAsiaTheme="minorEastAsia"/>
                <w:color w:val="000000"/>
                <w:szCs w:val="21"/>
              </w:rPr>
              <w:t xml:space="preserve">94.90 </w:t>
            </w:r>
          </w:p>
        </w:tc>
        <w:tc>
          <w:tcPr>
            <w:tcW w:w="1022" w:type="pct"/>
            <w:vAlign w:val="center"/>
          </w:tcPr>
          <w:p w14:paraId="7B512108">
            <w:pPr>
              <w:jc w:val="center"/>
              <w:rPr>
                <w:rFonts w:ascii="Arial Narrow" w:hAnsi="Arial Narrow" w:eastAsiaTheme="minorEastAsia"/>
                <w:szCs w:val="21"/>
              </w:rPr>
            </w:pPr>
            <w:r>
              <w:rPr>
                <w:rFonts w:ascii="Arial Narrow" w:hAnsi="Arial Narrow" w:eastAsiaTheme="minorEastAsia"/>
                <w:szCs w:val="21"/>
              </w:rPr>
              <w:t>/</w:t>
            </w:r>
          </w:p>
        </w:tc>
      </w:tr>
    </w:tbl>
    <w:p w14:paraId="5E5A9C44">
      <w:pPr>
        <w:rPr>
          <w:rFonts w:hint="eastAsia"/>
        </w:rPr>
      </w:pPr>
    </w:p>
    <w:p w14:paraId="0BB82270">
      <w:pPr>
        <w:rPr>
          <w:rFonts w:hint="eastAsia"/>
          <w:szCs w:val="21"/>
        </w:rPr>
      </w:pPr>
      <w:r>
        <w:rPr>
          <w:rFonts w:hint="eastAsia"/>
          <w:szCs w:val="21"/>
        </w:rPr>
        <w:t>按单项计提坏账准备的说明：</w:t>
      </w:r>
    </w:p>
    <w:sdt>
      <w:sdtPr>
        <w:rPr>
          <w:szCs w:val="21"/>
        </w:rPr>
        <w:alias w:val="是否适用：按单项计提坏账准备的应收账款说明[双击切换]"/>
        <w:tag w:val="_GBC_e665d0e996124f458355f06bf32118ca"/>
        <w:id w:val="1056359123"/>
        <w:placeholder>
          <w:docPart w:val="GBC22222222222222222222222222222"/>
        </w:placeholder>
      </w:sdtPr>
      <w:sdtEndPr>
        <w:rPr>
          <w:szCs w:val="21"/>
        </w:rPr>
      </w:sdtEndPr>
      <w:sdtContent>
        <w:p w14:paraId="5B0E3633">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B422ECC">
      <w:pPr>
        <w:rPr>
          <w:rFonts w:hint="eastAsia"/>
        </w:rPr>
      </w:pPr>
    </w:p>
    <w:bookmarkEnd w:id="247"/>
    <w:sdt>
      <w:sdtPr>
        <w:tag w:val="_PLD_21b31dda4e9f44bd901ccb9e126e1392"/>
        <w:id w:val="1822231828"/>
      </w:sdtPr>
      <w:sdtContent>
        <w:p w14:paraId="450A3402">
          <w:pPr>
            <w:rPr>
              <w:rFonts w:hint="eastAsia"/>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232127292"/>
        <w:placeholder>
          <w:docPart w:val="GBC22222222222222222222222222222"/>
        </w:placeholder>
      </w:sdtPr>
      <w:sdtEndPr>
        <w:rPr>
          <w:rFonts w:hint="eastAsia"/>
        </w:rPr>
      </w:sdtEndPr>
      <w:sdtContent>
        <w:p w14:paraId="3379F9C8">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69704B50">
      <w:pPr>
        <w:rPr>
          <w:rFonts w:hint="eastAsia"/>
          <w:szCs w:val="21"/>
        </w:rPr>
      </w:pPr>
      <w:bookmarkStart w:id="248" w:name="_Hlk533607573"/>
      <w:r>
        <w:rPr>
          <w:rFonts w:hint="eastAsia"/>
          <w:szCs w:val="21"/>
        </w:rPr>
        <w:t>组合计提项目：</w:t>
      </w:r>
      <w:sdt>
        <w:sdtPr>
          <w:rPr>
            <w:rFonts w:hint="eastAsia"/>
            <w:szCs w:val="21"/>
          </w:rPr>
          <w:alias w:val="按组合计提坏账准备的应收账款明细-组合名称"/>
          <w:tag w:val="_GBC_a99af83acd7e492a99d5eed2536b8adb"/>
          <w:id w:val="-1760668001"/>
          <w:placeholder>
            <w:docPart w:val="GBC22222222222222222222222222222"/>
          </w:placeholder>
          <w:comboBox>
            <w:listItem w:displayText="其中：组合1军方、警方、政府职能部门等高信用水平单位应收账款组合" w:value="其中：组合1军方、警方、政府职能部门等高信用水平单位应收账款组合"/>
            <w:listItem w:displayText="组合2关联方组合" w:value="组合2关联方组合"/>
            <w:listItem w:displayText="组合3账龄组合" w:value="组合3账龄组合"/>
          </w:comboBox>
        </w:sdtPr>
        <w:sdtEndPr>
          <w:rPr>
            <w:rFonts w:hint="eastAsia"/>
            <w:szCs w:val="21"/>
          </w:rPr>
        </w:sdtEndPr>
        <w:sdtContent>
          <w:r>
            <w:rPr>
              <w:rFonts w:hint="eastAsia"/>
              <w:szCs w:val="21"/>
            </w:rPr>
            <w:t>其中：组合1军方、警方、政府职能部门等高信用水平单位应收账款组合</w:t>
          </w:r>
        </w:sdtContent>
      </w:sdt>
    </w:p>
    <w:p w14:paraId="14063E37">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组合计提坏账准备的应收账款详细情况"/>
          <w:tag w:val="_GBC_048426f3fbc6488d9ff13660d47dce88"/>
          <w:id w:val="16804607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1295260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4B2D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6fac25a376f4d4b884d95c8c8b4cdbd"/>
            <w:id w:val="1747614634"/>
          </w:sdtPr>
          <w:sdtContent>
            <w:tc>
              <w:tcPr>
                <w:tcW w:w="1158" w:type="pct"/>
                <w:vMerge w:val="restart"/>
                <w:vAlign w:val="center"/>
              </w:tcPr>
              <w:p w14:paraId="4E8D8B03">
                <w:pPr>
                  <w:jc w:val="center"/>
                  <w:rPr>
                    <w:rFonts w:hint="eastAsia"/>
                    <w:szCs w:val="21"/>
                  </w:rPr>
                </w:pPr>
                <w:r>
                  <w:rPr>
                    <w:rFonts w:hint="eastAsia"/>
                    <w:szCs w:val="21"/>
                  </w:rPr>
                  <w:t>名称</w:t>
                </w:r>
              </w:p>
            </w:tc>
          </w:sdtContent>
        </w:sdt>
        <w:sdt>
          <w:sdtPr>
            <w:tag w:val="_PLD_2ea73da2ba22410090605fad4228c06a"/>
            <w:id w:val="1936171907"/>
          </w:sdtPr>
          <w:sdtContent>
            <w:tc>
              <w:tcPr>
                <w:tcW w:w="3842" w:type="pct"/>
                <w:gridSpan w:val="3"/>
                <w:vAlign w:val="center"/>
              </w:tcPr>
              <w:p w14:paraId="271AD36C">
                <w:pPr>
                  <w:jc w:val="center"/>
                  <w:rPr>
                    <w:rFonts w:hint="eastAsia"/>
                    <w:szCs w:val="21"/>
                  </w:rPr>
                </w:pPr>
                <w:r>
                  <w:rPr>
                    <w:rFonts w:hint="eastAsia"/>
                    <w:szCs w:val="21"/>
                  </w:rPr>
                  <w:t>期末余额</w:t>
                </w:r>
              </w:p>
            </w:tc>
          </w:sdtContent>
        </w:sdt>
      </w:tr>
      <w:tr w14:paraId="71E3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3280BDCF">
            <w:pPr>
              <w:jc w:val="center"/>
              <w:rPr>
                <w:rFonts w:hint="eastAsia"/>
                <w:szCs w:val="21"/>
              </w:rPr>
            </w:pPr>
          </w:p>
        </w:tc>
        <w:sdt>
          <w:sdtPr>
            <w:tag w:val="_PLD_841eb33e3b60464dbe6b3cefac602503"/>
            <w:id w:val="1206759156"/>
          </w:sdtPr>
          <w:sdtContent>
            <w:tc>
              <w:tcPr>
                <w:tcW w:w="1276" w:type="pct"/>
                <w:vAlign w:val="center"/>
              </w:tcPr>
              <w:p w14:paraId="0FFE7B87">
                <w:pPr>
                  <w:jc w:val="center"/>
                  <w:rPr>
                    <w:rFonts w:hint="eastAsia"/>
                    <w:szCs w:val="21"/>
                  </w:rPr>
                </w:pPr>
                <w:r>
                  <w:rPr>
                    <w:rFonts w:hint="eastAsia"/>
                    <w:szCs w:val="21"/>
                  </w:rPr>
                  <w:t>应收账款</w:t>
                </w:r>
              </w:p>
            </w:tc>
          </w:sdtContent>
        </w:sdt>
        <w:sdt>
          <w:sdtPr>
            <w:tag w:val="_PLD_b28da65f0aac478c80ab20a817d350ac"/>
            <w:id w:val="790860572"/>
          </w:sdtPr>
          <w:sdtContent>
            <w:tc>
              <w:tcPr>
                <w:tcW w:w="1299" w:type="pct"/>
                <w:vAlign w:val="center"/>
              </w:tcPr>
              <w:p w14:paraId="30D5AEE7">
                <w:pPr>
                  <w:jc w:val="center"/>
                  <w:rPr>
                    <w:rFonts w:hint="eastAsia"/>
                    <w:szCs w:val="21"/>
                  </w:rPr>
                </w:pPr>
                <w:r>
                  <w:rPr>
                    <w:rFonts w:hint="eastAsia"/>
                    <w:szCs w:val="21"/>
                  </w:rPr>
                  <w:t>坏账准备</w:t>
                </w:r>
              </w:p>
            </w:tc>
          </w:sdtContent>
        </w:sdt>
        <w:sdt>
          <w:sdtPr>
            <w:tag w:val="_PLD_98321f537bf94701b17705eae6c543e2"/>
            <w:id w:val="84745832"/>
          </w:sdtPr>
          <w:sdtContent>
            <w:tc>
              <w:tcPr>
                <w:tcW w:w="1267" w:type="pct"/>
                <w:vAlign w:val="center"/>
              </w:tcPr>
              <w:p w14:paraId="10A3AAFD">
                <w:pPr>
                  <w:jc w:val="center"/>
                  <w:rPr>
                    <w:rFonts w:hint="eastAsia"/>
                    <w:szCs w:val="21"/>
                  </w:rPr>
                </w:pPr>
                <w:r>
                  <w:rPr>
                    <w:szCs w:val="21"/>
                  </w:rPr>
                  <w:t>计提比例</w:t>
                </w:r>
                <w:r>
                  <w:rPr>
                    <w:rFonts w:hint="eastAsia"/>
                    <w:szCs w:val="21"/>
                  </w:rPr>
                  <w:t>（%）</w:t>
                </w:r>
              </w:p>
            </w:tc>
          </w:sdtContent>
        </w:sdt>
      </w:tr>
      <w:tr w14:paraId="5CC6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B30E63D">
            <w:pPr>
              <w:rPr>
                <w:rFonts w:hint="eastAsia"/>
                <w:szCs w:val="21"/>
              </w:rPr>
            </w:pPr>
            <w:r>
              <w:rPr>
                <w:rFonts w:hint="eastAsia"/>
                <w:color w:val="000000"/>
                <w:szCs w:val="21"/>
              </w:rPr>
              <w:t>1年以内</w:t>
            </w:r>
          </w:p>
        </w:tc>
        <w:tc>
          <w:tcPr>
            <w:tcW w:w="1276" w:type="pct"/>
          </w:tcPr>
          <w:p w14:paraId="5DFD98E3">
            <w:pPr>
              <w:jc w:val="right"/>
              <w:rPr>
                <w:rFonts w:hint="eastAsia"/>
                <w:szCs w:val="21"/>
              </w:rPr>
            </w:pPr>
            <w:r>
              <w:rPr>
                <w:rFonts w:ascii="Arial Narrow" w:hAnsi="Arial Narrow" w:eastAsia="等线"/>
                <w:color w:val="000000"/>
                <w:szCs w:val="21"/>
              </w:rPr>
              <w:t xml:space="preserve">1,400,091,788.89 </w:t>
            </w:r>
          </w:p>
        </w:tc>
        <w:tc>
          <w:tcPr>
            <w:tcW w:w="1299" w:type="pct"/>
          </w:tcPr>
          <w:p w14:paraId="64DF176D">
            <w:pPr>
              <w:jc w:val="right"/>
              <w:rPr>
                <w:rFonts w:hint="eastAsia"/>
                <w:szCs w:val="21"/>
              </w:rPr>
            </w:pPr>
            <w:r>
              <w:rPr>
                <w:rFonts w:ascii="Arial Narrow" w:hAnsi="Arial Narrow" w:eastAsia="等线"/>
                <w:color w:val="000000"/>
                <w:szCs w:val="21"/>
              </w:rPr>
              <w:t xml:space="preserve">3,495,428.61 </w:t>
            </w:r>
          </w:p>
        </w:tc>
        <w:tc>
          <w:tcPr>
            <w:tcW w:w="1267" w:type="pct"/>
          </w:tcPr>
          <w:p w14:paraId="5D929E11">
            <w:pPr>
              <w:jc w:val="right"/>
              <w:rPr>
                <w:rFonts w:hint="eastAsia"/>
                <w:szCs w:val="21"/>
              </w:rPr>
            </w:pPr>
            <w:r>
              <w:rPr>
                <w:rFonts w:ascii="Arial Narrow" w:hAnsi="Arial Narrow" w:eastAsia="等线"/>
                <w:color w:val="000000"/>
                <w:szCs w:val="21"/>
              </w:rPr>
              <w:t xml:space="preserve">0.25 </w:t>
            </w:r>
          </w:p>
        </w:tc>
      </w:tr>
      <w:tr w14:paraId="0556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6273193">
            <w:pPr>
              <w:rPr>
                <w:rFonts w:hint="eastAsia"/>
                <w:szCs w:val="21"/>
              </w:rPr>
            </w:pPr>
            <w:r>
              <w:rPr>
                <w:rFonts w:hint="eastAsia"/>
                <w:color w:val="000000"/>
                <w:szCs w:val="21"/>
              </w:rPr>
              <w:t>1－2年</w:t>
            </w:r>
          </w:p>
        </w:tc>
        <w:tc>
          <w:tcPr>
            <w:tcW w:w="1276" w:type="pct"/>
          </w:tcPr>
          <w:p w14:paraId="48A59E95">
            <w:pPr>
              <w:jc w:val="right"/>
              <w:rPr>
                <w:rFonts w:hint="eastAsia"/>
                <w:szCs w:val="21"/>
              </w:rPr>
            </w:pPr>
            <w:r>
              <w:rPr>
                <w:rFonts w:ascii="Arial Narrow" w:hAnsi="Arial Narrow" w:eastAsia="等线"/>
                <w:color w:val="000000"/>
                <w:szCs w:val="21"/>
              </w:rPr>
              <w:t xml:space="preserve">118,647,090.78 </w:t>
            </w:r>
          </w:p>
        </w:tc>
        <w:tc>
          <w:tcPr>
            <w:tcW w:w="1299" w:type="pct"/>
          </w:tcPr>
          <w:p w14:paraId="14C18D3A">
            <w:pPr>
              <w:jc w:val="right"/>
              <w:rPr>
                <w:rFonts w:hint="eastAsia"/>
                <w:szCs w:val="21"/>
              </w:rPr>
            </w:pPr>
            <w:r>
              <w:rPr>
                <w:rFonts w:ascii="Arial Narrow" w:hAnsi="Arial Narrow" w:eastAsia="等线"/>
                <w:color w:val="000000"/>
                <w:szCs w:val="21"/>
              </w:rPr>
              <w:t xml:space="preserve">3,534,359.03 </w:t>
            </w:r>
          </w:p>
        </w:tc>
        <w:tc>
          <w:tcPr>
            <w:tcW w:w="1267" w:type="pct"/>
          </w:tcPr>
          <w:p w14:paraId="6053AE67">
            <w:pPr>
              <w:jc w:val="right"/>
              <w:rPr>
                <w:rFonts w:hint="eastAsia"/>
                <w:szCs w:val="21"/>
              </w:rPr>
            </w:pPr>
            <w:r>
              <w:rPr>
                <w:rFonts w:ascii="Arial Narrow" w:hAnsi="Arial Narrow" w:eastAsia="等线"/>
                <w:color w:val="000000"/>
                <w:szCs w:val="21"/>
              </w:rPr>
              <w:t xml:space="preserve">2.98 </w:t>
            </w:r>
          </w:p>
        </w:tc>
      </w:tr>
      <w:tr w14:paraId="50BC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AF80DAC">
            <w:pPr>
              <w:rPr>
                <w:rFonts w:hint="eastAsia"/>
                <w:szCs w:val="21"/>
              </w:rPr>
            </w:pPr>
            <w:r>
              <w:rPr>
                <w:rFonts w:hint="eastAsia"/>
                <w:color w:val="000000"/>
                <w:szCs w:val="21"/>
              </w:rPr>
              <w:t>2－3年</w:t>
            </w:r>
          </w:p>
        </w:tc>
        <w:tc>
          <w:tcPr>
            <w:tcW w:w="1276" w:type="pct"/>
          </w:tcPr>
          <w:p w14:paraId="39314997">
            <w:pPr>
              <w:jc w:val="right"/>
              <w:rPr>
                <w:rFonts w:hint="eastAsia"/>
                <w:szCs w:val="21"/>
              </w:rPr>
            </w:pPr>
            <w:r>
              <w:rPr>
                <w:rFonts w:ascii="Arial Narrow" w:hAnsi="Arial Narrow" w:eastAsia="等线"/>
                <w:color w:val="000000"/>
                <w:szCs w:val="21"/>
              </w:rPr>
              <w:t xml:space="preserve">27,142,287.59 </w:t>
            </w:r>
          </w:p>
        </w:tc>
        <w:tc>
          <w:tcPr>
            <w:tcW w:w="1299" w:type="pct"/>
          </w:tcPr>
          <w:p w14:paraId="32E0F1FC">
            <w:pPr>
              <w:jc w:val="right"/>
              <w:rPr>
                <w:rFonts w:hint="eastAsia"/>
                <w:szCs w:val="21"/>
              </w:rPr>
            </w:pPr>
            <w:r>
              <w:rPr>
                <w:rFonts w:ascii="Arial Narrow" w:hAnsi="Arial Narrow" w:eastAsia="等线"/>
                <w:color w:val="000000"/>
                <w:szCs w:val="21"/>
              </w:rPr>
              <w:t xml:space="preserve">1,993,973.73 </w:t>
            </w:r>
          </w:p>
        </w:tc>
        <w:tc>
          <w:tcPr>
            <w:tcW w:w="1267" w:type="pct"/>
          </w:tcPr>
          <w:p w14:paraId="7AB01900">
            <w:pPr>
              <w:jc w:val="right"/>
              <w:rPr>
                <w:rFonts w:hint="eastAsia"/>
                <w:szCs w:val="21"/>
              </w:rPr>
            </w:pPr>
            <w:r>
              <w:rPr>
                <w:rFonts w:ascii="Arial Narrow" w:hAnsi="Arial Narrow" w:eastAsia="等线"/>
                <w:color w:val="000000"/>
                <w:szCs w:val="21"/>
              </w:rPr>
              <w:t xml:space="preserve">7.35 </w:t>
            </w:r>
          </w:p>
        </w:tc>
      </w:tr>
      <w:tr w14:paraId="16BE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2E87E4F">
            <w:pPr>
              <w:rPr>
                <w:rFonts w:hint="eastAsia"/>
                <w:szCs w:val="21"/>
              </w:rPr>
            </w:pPr>
            <w:r>
              <w:rPr>
                <w:rFonts w:hint="eastAsia"/>
                <w:color w:val="000000"/>
                <w:szCs w:val="21"/>
              </w:rPr>
              <w:t>3－4年</w:t>
            </w:r>
          </w:p>
        </w:tc>
        <w:tc>
          <w:tcPr>
            <w:tcW w:w="1276" w:type="pct"/>
          </w:tcPr>
          <w:p w14:paraId="7C42666D">
            <w:pPr>
              <w:jc w:val="right"/>
              <w:rPr>
                <w:rFonts w:hint="eastAsia"/>
                <w:szCs w:val="21"/>
              </w:rPr>
            </w:pPr>
            <w:r>
              <w:rPr>
                <w:rFonts w:ascii="Arial Narrow" w:hAnsi="Arial Narrow" w:eastAsia="等线"/>
                <w:color w:val="000000"/>
                <w:szCs w:val="21"/>
              </w:rPr>
              <w:t xml:space="preserve">33,814,598.72 </w:t>
            </w:r>
          </w:p>
        </w:tc>
        <w:tc>
          <w:tcPr>
            <w:tcW w:w="1299" w:type="pct"/>
          </w:tcPr>
          <w:p w14:paraId="1A60599D">
            <w:pPr>
              <w:jc w:val="right"/>
              <w:rPr>
                <w:rFonts w:hint="eastAsia"/>
                <w:szCs w:val="21"/>
              </w:rPr>
            </w:pPr>
            <w:r>
              <w:rPr>
                <w:rFonts w:ascii="Arial Narrow" w:hAnsi="Arial Narrow" w:eastAsia="等线"/>
                <w:color w:val="000000"/>
                <w:szCs w:val="21"/>
              </w:rPr>
              <w:t xml:space="preserve">4,160,579.21 </w:t>
            </w:r>
          </w:p>
        </w:tc>
        <w:tc>
          <w:tcPr>
            <w:tcW w:w="1267" w:type="pct"/>
          </w:tcPr>
          <w:p w14:paraId="7D5A92CE">
            <w:pPr>
              <w:jc w:val="right"/>
              <w:rPr>
                <w:rFonts w:hint="eastAsia"/>
                <w:szCs w:val="21"/>
              </w:rPr>
            </w:pPr>
            <w:r>
              <w:rPr>
                <w:rFonts w:ascii="Arial Narrow" w:hAnsi="Arial Narrow" w:eastAsia="等线"/>
                <w:color w:val="000000"/>
                <w:szCs w:val="21"/>
              </w:rPr>
              <w:t xml:space="preserve">12.30 </w:t>
            </w:r>
          </w:p>
        </w:tc>
      </w:tr>
      <w:tr w14:paraId="4610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AD0BF9D">
            <w:pPr>
              <w:rPr>
                <w:rFonts w:hint="eastAsia"/>
                <w:szCs w:val="21"/>
              </w:rPr>
            </w:pPr>
            <w:r>
              <w:rPr>
                <w:rFonts w:hint="eastAsia"/>
                <w:color w:val="000000"/>
                <w:szCs w:val="21"/>
              </w:rPr>
              <w:t>4－5年</w:t>
            </w:r>
          </w:p>
        </w:tc>
        <w:tc>
          <w:tcPr>
            <w:tcW w:w="1276" w:type="pct"/>
          </w:tcPr>
          <w:p w14:paraId="7553C84B">
            <w:pPr>
              <w:jc w:val="right"/>
              <w:rPr>
                <w:rFonts w:hint="eastAsia"/>
                <w:szCs w:val="21"/>
              </w:rPr>
            </w:pPr>
            <w:r>
              <w:rPr>
                <w:rFonts w:ascii="Arial Narrow" w:hAnsi="Arial Narrow" w:eastAsia="等线"/>
                <w:color w:val="000000"/>
                <w:szCs w:val="21"/>
              </w:rPr>
              <w:t xml:space="preserve">4,359,020.41 </w:t>
            </w:r>
          </w:p>
        </w:tc>
        <w:tc>
          <w:tcPr>
            <w:tcW w:w="1299" w:type="pct"/>
          </w:tcPr>
          <w:p w14:paraId="2A37D26B">
            <w:pPr>
              <w:jc w:val="right"/>
              <w:rPr>
                <w:rFonts w:hint="eastAsia"/>
                <w:szCs w:val="21"/>
              </w:rPr>
            </w:pPr>
            <w:r>
              <w:rPr>
                <w:rFonts w:ascii="Arial Narrow" w:hAnsi="Arial Narrow" w:eastAsia="等线"/>
                <w:color w:val="000000"/>
                <w:szCs w:val="21"/>
              </w:rPr>
              <w:t xml:space="preserve">937,858.31 </w:t>
            </w:r>
          </w:p>
        </w:tc>
        <w:tc>
          <w:tcPr>
            <w:tcW w:w="1267" w:type="pct"/>
          </w:tcPr>
          <w:p w14:paraId="3A901F60">
            <w:pPr>
              <w:jc w:val="right"/>
              <w:rPr>
                <w:rFonts w:hint="eastAsia"/>
                <w:szCs w:val="21"/>
              </w:rPr>
            </w:pPr>
            <w:r>
              <w:rPr>
                <w:rFonts w:ascii="Arial Narrow" w:hAnsi="Arial Narrow" w:eastAsia="等线"/>
                <w:color w:val="000000"/>
                <w:szCs w:val="21"/>
              </w:rPr>
              <w:t xml:space="preserve">21.52 </w:t>
            </w:r>
          </w:p>
        </w:tc>
      </w:tr>
      <w:tr w14:paraId="030A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3B84E2A">
            <w:pPr>
              <w:rPr>
                <w:rFonts w:hint="eastAsia"/>
                <w:szCs w:val="21"/>
              </w:rPr>
            </w:pPr>
            <w:r>
              <w:rPr>
                <w:rFonts w:hint="eastAsia"/>
                <w:color w:val="000000"/>
                <w:szCs w:val="21"/>
              </w:rPr>
              <w:t>5年以上</w:t>
            </w:r>
          </w:p>
        </w:tc>
        <w:tc>
          <w:tcPr>
            <w:tcW w:w="1276" w:type="pct"/>
          </w:tcPr>
          <w:p w14:paraId="609B84E9">
            <w:pPr>
              <w:jc w:val="right"/>
              <w:rPr>
                <w:rFonts w:hint="eastAsia"/>
                <w:szCs w:val="21"/>
              </w:rPr>
            </w:pPr>
            <w:r>
              <w:rPr>
                <w:rFonts w:ascii="Arial Narrow" w:hAnsi="Arial Narrow" w:eastAsia="等线"/>
                <w:color w:val="000000"/>
                <w:szCs w:val="21"/>
              </w:rPr>
              <w:t xml:space="preserve">7,278,159.71 </w:t>
            </w:r>
          </w:p>
        </w:tc>
        <w:tc>
          <w:tcPr>
            <w:tcW w:w="1299" w:type="pct"/>
          </w:tcPr>
          <w:p w14:paraId="4946CED0">
            <w:pPr>
              <w:jc w:val="right"/>
              <w:rPr>
                <w:rFonts w:hint="eastAsia"/>
                <w:szCs w:val="21"/>
              </w:rPr>
            </w:pPr>
            <w:r>
              <w:rPr>
                <w:rFonts w:ascii="Arial Narrow" w:hAnsi="Arial Narrow" w:eastAsia="等线"/>
                <w:color w:val="000000"/>
                <w:szCs w:val="21"/>
              </w:rPr>
              <w:t xml:space="preserve">7,278,159.71 </w:t>
            </w:r>
          </w:p>
        </w:tc>
        <w:tc>
          <w:tcPr>
            <w:tcW w:w="1267" w:type="pct"/>
          </w:tcPr>
          <w:p w14:paraId="3C78D82E">
            <w:pPr>
              <w:jc w:val="right"/>
              <w:rPr>
                <w:rFonts w:hint="eastAsia"/>
                <w:szCs w:val="21"/>
              </w:rPr>
            </w:pPr>
            <w:r>
              <w:rPr>
                <w:rFonts w:ascii="Arial Narrow" w:hAnsi="Arial Narrow" w:eastAsia="等线"/>
                <w:color w:val="000000"/>
                <w:szCs w:val="21"/>
              </w:rPr>
              <w:t xml:space="preserve">100.00 </w:t>
            </w:r>
          </w:p>
        </w:tc>
      </w:tr>
      <w:tr w14:paraId="685B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39B91272">
            <w:pPr>
              <w:jc w:val="center"/>
              <w:rPr>
                <w:rFonts w:hint="eastAsia"/>
                <w:szCs w:val="21"/>
              </w:rPr>
            </w:pPr>
            <w:r>
              <w:rPr>
                <w:rFonts w:hint="eastAsia"/>
                <w:szCs w:val="21"/>
              </w:rPr>
              <w:t>合计</w:t>
            </w:r>
          </w:p>
        </w:tc>
        <w:tc>
          <w:tcPr>
            <w:tcW w:w="1276" w:type="pct"/>
          </w:tcPr>
          <w:p w14:paraId="0C0583E6">
            <w:pPr>
              <w:jc w:val="right"/>
              <w:rPr>
                <w:rFonts w:hint="eastAsia"/>
                <w:szCs w:val="21"/>
              </w:rPr>
            </w:pPr>
            <w:r>
              <w:rPr>
                <w:rFonts w:ascii="Arial Narrow" w:hAnsi="Arial Narrow" w:eastAsia="等线"/>
                <w:color w:val="000000"/>
                <w:szCs w:val="21"/>
              </w:rPr>
              <w:t xml:space="preserve">1,591,332,946.10 </w:t>
            </w:r>
          </w:p>
        </w:tc>
        <w:tc>
          <w:tcPr>
            <w:tcW w:w="1299" w:type="pct"/>
          </w:tcPr>
          <w:p w14:paraId="4AA1C8EC">
            <w:pPr>
              <w:jc w:val="right"/>
              <w:rPr>
                <w:rFonts w:hint="eastAsia"/>
                <w:szCs w:val="21"/>
              </w:rPr>
            </w:pPr>
            <w:r>
              <w:rPr>
                <w:rFonts w:ascii="Arial Narrow" w:hAnsi="Arial Narrow" w:eastAsia="等线"/>
                <w:color w:val="000000"/>
                <w:szCs w:val="21"/>
              </w:rPr>
              <w:t xml:space="preserve">21,400,358.60 </w:t>
            </w:r>
          </w:p>
        </w:tc>
        <w:tc>
          <w:tcPr>
            <w:tcW w:w="1267" w:type="pct"/>
          </w:tcPr>
          <w:p w14:paraId="3BA5F2AE">
            <w:pPr>
              <w:jc w:val="right"/>
              <w:rPr>
                <w:rFonts w:hint="eastAsia"/>
                <w:szCs w:val="21"/>
              </w:rPr>
            </w:pPr>
            <w:r>
              <w:rPr>
                <w:rFonts w:ascii="Arial Narrow" w:hAnsi="Arial Narrow" w:eastAsia="等线"/>
                <w:color w:val="000000"/>
                <w:szCs w:val="21"/>
              </w:rPr>
              <w:t xml:space="preserve">1.34 </w:t>
            </w:r>
          </w:p>
        </w:tc>
      </w:tr>
    </w:tbl>
    <w:p w14:paraId="26F1186A">
      <w:pPr>
        <w:rPr>
          <w:rFonts w:hint="eastAsia"/>
          <w:szCs w:val="21"/>
        </w:rPr>
      </w:pPr>
      <w:r>
        <w:rPr>
          <w:rFonts w:hint="eastAsia"/>
          <w:szCs w:val="21"/>
        </w:rPr>
        <w:t>按组合计提坏账准备的说明：</w:t>
      </w:r>
    </w:p>
    <w:sdt>
      <w:sdtPr>
        <w:rPr>
          <w:szCs w:val="21"/>
        </w:rPr>
        <w:alias w:val="是否适用：按组合计提坏账准备的应收账款确认标准[双击切换]"/>
        <w:tag w:val="_GBC_d256dc36994548098f599f5c34cca3f5"/>
        <w:id w:val="-633340430"/>
        <w:placeholder>
          <w:docPart w:val="GBC22222222222222222222222222222"/>
        </w:placeholder>
      </w:sdtPr>
      <w:sdtEndPr>
        <w:rPr>
          <w:szCs w:val="21"/>
        </w:rPr>
      </w:sdtEndPr>
      <w:sdtContent>
        <w:p w14:paraId="2DCA81C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9A8486B">
      <w:pPr>
        <w:ind w:firstLine="420" w:firstLineChars="200"/>
        <w:rPr>
          <w:rFonts w:hint="eastAsia"/>
          <w:szCs w:val="21"/>
        </w:rPr>
      </w:pPr>
    </w:p>
    <w:p w14:paraId="5BE14094">
      <w:pPr>
        <w:ind w:firstLine="420" w:firstLineChars="200"/>
        <w:rPr>
          <w:rFonts w:hint="eastAsia"/>
          <w:szCs w:val="21"/>
        </w:rPr>
      </w:pPr>
    </w:p>
    <w:p w14:paraId="5C4A5CBA">
      <w:pPr>
        <w:ind w:firstLine="420" w:firstLineChars="200"/>
        <w:rPr>
          <w:rFonts w:hint="eastAsia"/>
          <w:szCs w:val="21"/>
        </w:rPr>
      </w:pPr>
    </w:p>
    <w:p w14:paraId="05BA32AA">
      <w:pPr>
        <w:ind w:firstLine="420" w:firstLineChars="200"/>
        <w:rPr>
          <w:rFonts w:hint="eastAsia"/>
          <w:szCs w:val="21"/>
        </w:rPr>
      </w:pPr>
    </w:p>
    <w:p w14:paraId="01D0FA33">
      <w:pPr>
        <w:rPr>
          <w:rFonts w:hint="eastAsia"/>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1486243246"/>
          <w:comboBox>
            <w:listItem w:displayText="其中：组合1军方、警方、政府职能部门等高信用水平单位应收账款组合" w:value="其中：组合1军方、警方、政府职能部门等高信用水平单位应收账款组合"/>
            <w:listItem w:displayText="组合2关联方组合" w:value="组合2关联方组合"/>
            <w:listItem w:displayText="组合3账龄组合" w:value="组合3账龄组合"/>
          </w:comboBox>
        </w:sdtPr>
        <w:sdtEndPr>
          <w:rPr>
            <w:rFonts w:hint="eastAsia"/>
            <w:szCs w:val="21"/>
          </w:rPr>
        </w:sdtEndPr>
        <w:sdtContent>
          <w:r>
            <w:rPr>
              <w:rFonts w:hint="eastAsia"/>
              <w:szCs w:val="21"/>
            </w:rPr>
            <w:t>组合2关联方组合</w:t>
          </w:r>
        </w:sdtContent>
      </w:sdt>
    </w:p>
    <w:p w14:paraId="491B3518">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组合计提坏账准备的应收账款详细情况"/>
          <w:tag w:val="_GBC_048426f3fbc6488d9ff13660d47dce88"/>
          <w:id w:val="1243690178"/>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100625657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12E9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6fac25a376f4d4b884d95c8c8b4cdbd"/>
            <w:id w:val="-2116439136"/>
          </w:sdtPr>
          <w:sdtContent>
            <w:tc>
              <w:tcPr>
                <w:tcW w:w="1158" w:type="pct"/>
                <w:vMerge w:val="restart"/>
                <w:vAlign w:val="center"/>
              </w:tcPr>
              <w:p w14:paraId="33D0A6E6">
                <w:pPr>
                  <w:jc w:val="center"/>
                  <w:rPr>
                    <w:rFonts w:hint="eastAsia"/>
                    <w:szCs w:val="21"/>
                  </w:rPr>
                </w:pPr>
                <w:r>
                  <w:rPr>
                    <w:rFonts w:hint="eastAsia"/>
                    <w:szCs w:val="21"/>
                  </w:rPr>
                  <w:t>名称</w:t>
                </w:r>
              </w:p>
            </w:tc>
          </w:sdtContent>
        </w:sdt>
        <w:sdt>
          <w:sdtPr>
            <w:tag w:val="_PLD_2ea73da2ba22410090605fad4228c06a"/>
            <w:id w:val="1966624627"/>
          </w:sdtPr>
          <w:sdtContent>
            <w:tc>
              <w:tcPr>
                <w:tcW w:w="3842" w:type="pct"/>
                <w:gridSpan w:val="3"/>
                <w:vAlign w:val="center"/>
              </w:tcPr>
              <w:p w14:paraId="669F937A">
                <w:pPr>
                  <w:jc w:val="center"/>
                  <w:rPr>
                    <w:rFonts w:hint="eastAsia"/>
                    <w:szCs w:val="21"/>
                  </w:rPr>
                </w:pPr>
                <w:r>
                  <w:rPr>
                    <w:rFonts w:hint="eastAsia"/>
                    <w:szCs w:val="21"/>
                  </w:rPr>
                  <w:t>期末余额</w:t>
                </w:r>
              </w:p>
            </w:tc>
          </w:sdtContent>
        </w:sdt>
      </w:tr>
      <w:tr w14:paraId="3C81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29757F90">
            <w:pPr>
              <w:jc w:val="center"/>
              <w:rPr>
                <w:rFonts w:hint="eastAsia"/>
                <w:szCs w:val="21"/>
              </w:rPr>
            </w:pPr>
          </w:p>
        </w:tc>
        <w:sdt>
          <w:sdtPr>
            <w:tag w:val="_PLD_841eb33e3b60464dbe6b3cefac602503"/>
            <w:id w:val="1320389619"/>
          </w:sdtPr>
          <w:sdtContent>
            <w:tc>
              <w:tcPr>
                <w:tcW w:w="1276" w:type="pct"/>
                <w:vAlign w:val="center"/>
              </w:tcPr>
              <w:p w14:paraId="1BAB7056">
                <w:pPr>
                  <w:jc w:val="center"/>
                  <w:rPr>
                    <w:rFonts w:hint="eastAsia"/>
                    <w:szCs w:val="21"/>
                  </w:rPr>
                </w:pPr>
                <w:r>
                  <w:rPr>
                    <w:rFonts w:hint="eastAsia"/>
                    <w:szCs w:val="21"/>
                  </w:rPr>
                  <w:t>应收账款</w:t>
                </w:r>
              </w:p>
            </w:tc>
          </w:sdtContent>
        </w:sdt>
        <w:sdt>
          <w:sdtPr>
            <w:tag w:val="_PLD_b28da65f0aac478c80ab20a817d350ac"/>
            <w:id w:val="1139996612"/>
          </w:sdtPr>
          <w:sdtContent>
            <w:tc>
              <w:tcPr>
                <w:tcW w:w="1299" w:type="pct"/>
                <w:vAlign w:val="center"/>
              </w:tcPr>
              <w:p w14:paraId="1B014F7D">
                <w:pPr>
                  <w:jc w:val="center"/>
                  <w:rPr>
                    <w:rFonts w:hint="eastAsia"/>
                    <w:szCs w:val="21"/>
                  </w:rPr>
                </w:pPr>
                <w:r>
                  <w:rPr>
                    <w:rFonts w:hint="eastAsia"/>
                    <w:szCs w:val="21"/>
                  </w:rPr>
                  <w:t>坏账准备</w:t>
                </w:r>
              </w:p>
            </w:tc>
          </w:sdtContent>
        </w:sdt>
        <w:sdt>
          <w:sdtPr>
            <w:tag w:val="_PLD_98321f537bf94701b17705eae6c543e2"/>
            <w:id w:val="2113167755"/>
          </w:sdtPr>
          <w:sdtContent>
            <w:tc>
              <w:tcPr>
                <w:tcW w:w="1267" w:type="pct"/>
                <w:vAlign w:val="center"/>
              </w:tcPr>
              <w:p w14:paraId="1C532363">
                <w:pPr>
                  <w:jc w:val="center"/>
                  <w:rPr>
                    <w:rFonts w:hint="eastAsia"/>
                    <w:szCs w:val="21"/>
                  </w:rPr>
                </w:pPr>
                <w:r>
                  <w:rPr>
                    <w:szCs w:val="21"/>
                  </w:rPr>
                  <w:t>计提比例</w:t>
                </w:r>
                <w:r>
                  <w:rPr>
                    <w:rFonts w:hint="eastAsia"/>
                    <w:szCs w:val="21"/>
                  </w:rPr>
                  <w:t>（%）</w:t>
                </w:r>
              </w:p>
            </w:tc>
          </w:sdtContent>
        </w:sdt>
      </w:tr>
      <w:tr w14:paraId="071A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978F536">
            <w:pPr>
              <w:rPr>
                <w:rFonts w:hint="eastAsia"/>
                <w:szCs w:val="21"/>
              </w:rPr>
            </w:pPr>
            <w:r>
              <w:rPr>
                <w:rFonts w:hint="eastAsia"/>
                <w:color w:val="000000"/>
                <w:szCs w:val="21"/>
              </w:rPr>
              <w:t>1年以内</w:t>
            </w:r>
          </w:p>
        </w:tc>
        <w:tc>
          <w:tcPr>
            <w:tcW w:w="1276" w:type="pct"/>
          </w:tcPr>
          <w:p w14:paraId="2063E1E6">
            <w:pPr>
              <w:jc w:val="right"/>
              <w:rPr>
                <w:rFonts w:hint="eastAsia"/>
                <w:szCs w:val="21"/>
              </w:rPr>
            </w:pPr>
            <w:r>
              <w:rPr>
                <w:rFonts w:ascii="Arial Narrow" w:hAnsi="Arial Narrow" w:eastAsia="等线"/>
                <w:color w:val="000000"/>
                <w:szCs w:val="21"/>
              </w:rPr>
              <w:t xml:space="preserve">42,293,903.37 </w:t>
            </w:r>
          </w:p>
        </w:tc>
        <w:tc>
          <w:tcPr>
            <w:tcW w:w="1299" w:type="pct"/>
          </w:tcPr>
          <w:p w14:paraId="32DE00C2">
            <w:pPr>
              <w:jc w:val="right"/>
              <w:rPr>
                <w:rFonts w:hint="eastAsia"/>
                <w:szCs w:val="21"/>
              </w:rPr>
            </w:pPr>
            <w:r>
              <w:rPr>
                <w:rFonts w:ascii="Arial Narrow" w:hAnsi="Arial Narrow" w:eastAsia="等线"/>
                <w:color w:val="000000"/>
                <w:szCs w:val="21"/>
              </w:rPr>
              <w:t xml:space="preserve">1,713,663.11 </w:t>
            </w:r>
          </w:p>
        </w:tc>
        <w:tc>
          <w:tcPr>
            <w:tcW w:w="1267" w:type="pct"/>
          </w:tcPr>
          <w:p w14:paraId="09CFE1E7">
            <w:pPr>
              <w:jc w:val="right"/>
              <w:rPr>
                <w:rFonts w:hint="eastAsia"/>
                <w:szCs w:val="21"/>
              </w:rPr>
            </w:pPr>
            <w:r>
              <w:rPr>
                <w:rFonts w:ascii="Arial Narrow" w:hAnsi="Arial Narrow" w:eastAsia="等线"/>
                <w:color w:val="000000"/>
                <w:szCs w:val="21"/>
              </w:rPr>
              <w:t xml:space="preserve">4.05 </w:t>
            </w:r>
          </w:p>
        </w:tc>
      </w:tr>
      <w:tr w14:paraId="3787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F1A723B">
            <w:pPr>
              <w:rPr>
                <w:rFonts w:hint="eastAsia"/>
                <w:szCs w:val="21"/>
              </w:rPr>
            </w:pPr>
            <w:r>
              <w:rPr>
                <w:rFonts w:hint="eastAsia"/>
                <w:color w:val="000000"/>
                <w:szCs w:val="21"/>
              </w:rPr>
              <w:t>1－2年</w:t>
            </w:r>
          </w:p>
        </w:tc>
        <w:tc>
          <w:tcPr>
            <w:tcW w:w="1276" w:type="pct"/>
          </w:tcPr>
          <w:p w14:paraId="549D083D">
            <w:pPr>
              <w:jc w:val="right"/>
              <w:rPr>
                <w:rFonts w:hint="eastAsia"/>
                <w:szCs w:val="21"/>
              </w:rPr>
            </w:pPr>
            <w:r>
              <w:rPr>
                <w:rFonts w:ascii="Arial Narrow" w:hAnsi="Arial Narrow" w:eastAsia="等线"/>
                <w:color w:val="000000"/>
                <w:szCs w:val="21"/>
              </w:rPr>
              <w:t xml:space="preserve">6,593,487.92 </w:t>
            </w:r>
          </w:p>
        </w:tc>
        <w:tc>
          <w:tcPr>
            <w:tcW w:w="1299" w:type="pct"/>
          </w:tcPr>
          <w:p w14:paraId="2751FEF4">
            <w:pPr>
              <w:jc w:val="right"/>
              <w:rPr>
                <w:rFonts w:hint="eastAsia"/>
                <w:szCs w:val="21"/>
              </w:rPr>
            </w:pPr>
            <w:r>
              <w:rPr>
                <w:rFonts w:ascii="Arial Narrow" w:hAnsi="Arial Narrow" w:eastAsia="等线"/>
                <w:color w:val="000000"/>
                <w:szCs w:val="21"/>
              </w:rPr>
              <w:t xml:space="preserve">1,206,560.84 </w:t>
            </w:r>
          </w:p>
        </w:tc>
        <w:tc>
          <w:tcPr>
            <w:tcW w:w="1267" w:type="pct"/>
          </w:tcPr>
          <w:p w14:paraId="0FAE949C">
            <w:pPr>
              <w:jc w:val="right"/>
              <w:rPr>
                <w:rFonts w:hint="eastAsia"/>
                <w:szCs w:val="21"/>
              </w:rPr>
            </w:pPr>
            <w:r>
              <w:rPr>
                <w:rFonts w:ascii="Arial Narrow" w:hAnsi="Arial Narrow" w:eastAsia="等线"/>
                <w:color w:val="000000"/>
                <w:szCs w:val="21"/>
              </w:rPr>
              <w:t xml:space="preserve">18.30 </w:t>
            </w:r>
          </w:p>
        </w:tc>
      </w:tr>
      <w:tr w14:paraId="6CAC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E5CDC3B">
            <w:pPr>
              <w:rPr>
                <w:rFonts w:hint="eastAsia"/>
                <w:szCs w:val="21"/>
              </w:rPr>
            </w:pPr>
            <w:r>
              <w:rPr>
                <w:rFonts w:hint="eastAsia"/>
                <w:color w:val="000000"/>
                <w:szCs w:val="21"/>
              </w:rPr>
              <w:t>2－3年</w:t>
            </w:r>
          </w:p>
        </w:tc>
        <w:tc>
          <w:tcPr>
            <w:tcW w:w="1276" w:type="pct"/>
          </w:tcPr>
          <w:p w14:paraId="0B799722">
            <w:pPr>
              <w:jc w:val="right"/>
              <w:rPr>
                <w:rFonts w:hint="eastAsia"/>
                <w:szCs w:val="21"/>
              </w:rPr>
            </w:pPr>
            <w:r>
              <w:rPr>
                <w:rFonts w:ascii="Arial Narrow" w:hAnsi="Arial Narrow" w:eastAsia="等线"/>
                <w:color w:val="000000"/>
                <w:szCs w:val="21"/>
              </w:rPr>
              <w:t xml:space="preserve">16,037,785.88 </w:t>
            </w:r>
          </w:p>
        </w:tc>
        <w:tc>
          <w:tcPr>
            <w:tcW w:w="1299" w:type="pct"/>
          </w:tcPr>
          <w:p w14:paraId="52A7A2B5">
            <w:pPr>
              <w:jc w:val="right"/>
              <w:rPr>
                <w:rFonts w:hint="eastAsia"/>
                <w:szCs w:val="21"/>
              </w:rPr>
            </w:pPr>
            <w:r>
              <w:rPr>
                <w:rFonts w:ascii="Arial Narrow" w:hAnsi="Arial Narrow" w:eastAsia="等线"/>
                <w:color w:val="000000"/>
                <w:szCs w:val="21"/>
              </w:rPr>
              <w:t xml:space="preserve">5,144,639.39 </w:t>
            </w:r>
          </w:p>
        </w:tc>
        <w:tc>
          <w:tcPr>
            <w:tcW w:w="1267" w:type="pct"/>
          </w:tcPr>
          <w:p w14:paraId="0419CBCE">
            <w:pPr>
              <w:jc w:val="right"/>
              <w:rPr>
                <w:rFonts w:hint="eastAsia"/>
                <w:szCs w:val="21"/>
              </w:rPr>
            </w:pPr>
            <w:r>
              <w:rPr>
                <w:rFonts w:ascii="Arial Narrow" w:hAnsi="Arial Narrow" w:eastAsia="等线"/>
                <w:color w:val="000000"/>
                <w:szCs w:val="21"/>
              </w:rPr>
              <w:t xml:space="preserve">32.08 </w:t>
            </w:r>
          </w:p>
        </w:tc>
      </w:tr>
      <w:tr w14:paraId="3513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EF396C4">
            <w:pPr>
              <w:rPr>
                <w:rFonts w:hint="eastAsia"/>
                <w:szCs w:val="21"/>
              </w:rPr>
            </w:pPr>
            <w:r>
              <w:rPr>
                <w:rFonts w:hint="eastAsia"/>
                <w:color w:val="000000"/>
                <w:szCs w:val="21"/>
              </w:rPr>
              <w:t>3－4年</w:t>
            </w:r>
          </w:p>
        </w:tc>
        <w:tc>
          <w:tcPr>
            <w:tcW w:w="1276" w:type="pct"/>
          </w:tcPr>
          <w:p w14:paraId="31EB8A9C">
            <w:pPr>
              <w:jc w:val="right"/>
              <w:rPr>
                <w:rFonts w:hint="eastAsia"/>
                <w:szCs w:val="21"/>
              </w:rPr>
            </w:pPr>
          </w:p>
        </w:tc>
        <w:tc>
          <w:tcPr>
            <w:tcW w:w="1299" w:type="pct"/>
          </w:tcPr>
          <w:p w14:paraId="34315F5C">
            <w:pPr>
              <w:jc w:val="right"/>
              <w:rPr>
                <w:rFonts w:hint="eastAsia"/>
                <w:szCs w:val="21"/>
              </w:rPr>
            </w:pPr>
          </w:p>
        </w:tc>
        <w:tc>
          <w:tcPr>
            <w:tcW w:w="1267" w:type="pct"/>
          </w:tcPr>
          <w:p w14:paraId="65241A58">
            <w:pPr>
              <w:jc w:val="right"/>
              <w:rPr>
                <w:rFonts w:hint="eastAsia"/>
                <w:szCs w:val="21"/>
              </w:rPr>
            </w:pPr>
          </w:p>
        </w:tc>
      </w:tr>
      <w:tr w14:paraId="1807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7FC04EB">
            <w:pPr>
              <w:rPr>
                <w:rFonts w:hint="eastAsia"/>
                <w:szCs w:val="21"/>
              </w:rPr>
            </w:pPr>
            <w:r>
              <w:rPr>
                <w:rFonts w:hint="eastAsia"/>
                <w:color w:val="000000"/>
                <w:szCs w:val="21"/>
              </w:rPr>
              <w:t>4－5年</w:t>
            </w:r>
          </w:p>
        </w:tc>
        <w:tc>
          <w:tcPr>
            <w:tcW w:w="1276" w:type="pct"/>
          </w:tcPr>
          <w:p w14:paraId="2A558117">
            <w:pPr>
              <w:jc w:val="right"/>
              <w:rPr>
                <w:rFonts w:hint="eastAsia"/>
                <w:szCs w:val="21"/>
              </w:rPr>
            </w:pPr>
            <w:r>
              <w:rPr>
                <w:rFonts w:ascii="Arial Narrow" w:hAnsi="Arial Narrow" w:eastAsia="等线"/>
                <w:color w:val="000000"/>
                <w:szCs w:val="21"/>
              </w:rPr>
              <w:t xml:space="preserve">1,122,927.65 </w:t>
            </w:r>
          </w:p>
        </w:tc>
        <w:tc>
          <w:tcPr>
            <w:tcW w:w="1299" w:type="pct"/>
          </w:tcPr>
          <w:p w14:paraId="2D462167">
            <w:pPr>
              <w:jc w:val="right"/>
              <w:rPr>
                <w:rFonts w:hint="eastAsia"/>
                <w:szCs w:val="21"/>
              </w:rPr>
            </w:pPr>
            <w:r>
              <w:rPr>
                <w:rFonts w:ascii="Arial Narrow" w:hAnsi="Arial Narrow" w:eastAsia="等线"/>
                <w:color w:val="000000"/>
                <w:szCs w:val="21"/>
              </w:rPr>
              <w:t xml:space="preserve">620,315.38 </w:t>
            </w:r>
          </w:p>
        </w:tc>
        <w:tc>
          <w:tcPr>
            <w:tcW w:w="1267" w:type="pct"/>
          </w:tcPr>
          <w:p w14:paraId="767C4248">
            <w:pPr>
              <w:jc w:val="right"/>
              <w:rPr>
                <w:rFonts w:hint="eastAsia"/>
                <w:szCs w:val="21"/>
              </w:rPr>
            </w:pPr>
            <w:r>
              <w:rPr>
                <w:rFonts w:ascii="Arial Narrow" w:hAnsi="Arial Narrow" w:eastAsia="等线"/>
                <w:color w:val="000000"/>
                <w:szCs w:val="21"/>
              </w:rPr>
              <w:t xml:space="preserve">55.24 </w:t>
            </w:r>
          </w:p>
        </w:tc>
      </w:tr>
      <w:tr w14:paraId="5AAA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DF0848F">
            <w:pPr>
              <w:rPr>
                <w:rFonts w:hint="eastAsia"/>
                <w:szCs w:val="21"/>
              </w:rPr>
            </w:pPr>
            <w:r>
              <w:rPr>
                <w:rFonts w:hint="eastAsia"/>
                <w:color w:val="000000"/>
                <w:szCs w:val="21"/>
              </w:rPr>
              <w:t>5年以上</w:t>
            </w:r>
          </w:p>
        </w:tc>
        <w:tc>
          <w:tcPr>
            <w:tcW w:w="1276" w:type="pct"/>
          </w:tcPr>
          <w:p w14:paraId="0F1A7004">
            <w:pPr>
              <w:jc w:val="right"/>
              <w:rPr>
                <w:rFonts w:hint="eastAsia"/>
                <w:szCs w:val="21"/>
              </w:rPr>
            </w:pPr>
            <w:r>
              <w:rPr>
                <w:rFonts w:ascii="Arial Narrow" w:hAnsi="Arial Narrow" w:eastAsia="等线"/>
                <w:color w:val="000000"/>
                <w:szCs w:val="21"/>
              </w:rPr>
              <w:t xml:space="preserve">1,409,076.15 </w:t>
            </w:r>
          </w:p>
        </w:tc>
        <w:tc>
          <w:tcPr>
            <w:tcW w:w="1299" w:type="pct"/>
          </w:tcPr>
          <w:p w14:paraId="04480BEB">
            <w:pPr>
              <w:jc w:val="right"/>
              <w:rPr>
                <w:rFonts w:hint="eastAsia"/>
                <w:szCs w:val="21"/>
              </w:rPr>
            </w:pPr>
            <w:r>
              <w:rPr>
                <w:rFonts w:ascii="Arial Narrow" w:hAnsi="Arial Narrow" w:eastAsia="等线"/>
                <w:color w:val="000000"/>
                <w:szCs w:val="21"/>
              </w:rPr>
              <w:t xml:space="preserve">1,409,076.15 </w:t>
            </w:r>
          </w:p>
        </w:tc>
        <w:tc>
          <w:tcPr>
            <w:tcW w:w="1267" w:type="pct"/>
          </w:tcPr>
          <w:p w14:paraId="5AFDEE44">
            <w:pPr>
              <w:jc w:val="right"/>
              <w:rPr>
                <w:rFonts w:hint="eastAsia"/>
                <w:szCs w:val="21"/>
              </w:rPr>
            </w:pPr>
            <w:r>
              <w:rPr>
                <w:rFonts w:ascii="Arial Narrow" w:hAnsi="Arial Narrow" w:eastAsia="等线"/>
                <w:color w:val="000000"/>
                <w:szCs w:val="21"/>
              </w:rPr>
              <w:t xml:space="preserve">100.00 </w:t>
            </w:r>
          </w:p>
        </w:tc>
      </w:tr>
      <w:tr w14:paraId="2424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5CF7C4CD">
            <w:pPr>
              <w:jc w:val="center"/>
              <w:rPr>
                <w:rFonts w:hint="eastAsia"/>
                <w:szCs w:val="21"/>
              </w:rPr>
            </w:pPr>
            <w:r>
              <w:rPr>
                <w:rFonts w:hint="eastAsia"/>
                <w:szCs w:val="21"/>
              </w:rPr>
              <w:t>合计</w:t>
            </w:r>
          </w:p>
        </w:tc>
        <w:tc>
          <w:tcPr>
            <w:tcW w:w="1276" w:type="pct"/>
          </w:tcPr>
          <w:p w14:paraId="2845D0CE">
            <w:pPr>
              <w:jc w:val="right"/>
              <w:rPr>
                <w:rFonts w:hint="eastAsia"/>
                <w:szCs w:val="21"/>
              </w:rPr>
            </w:pPr>
            <w:r>
              <w:rPr>
                <w:rFonts w:ascii="Arial Narrow" w:hAnsi="Arial Narrow" w:eastAsia="等线"/>
                <w:color w:val="000000"/>
                <w:szCs w:val="21"/>
              </w:rPr>
              <w:t xml:space="preserve">67,457,180.97 </w:t>
            </w:r>
          </w:p>
        </w:tc>
        <w:tc>
          <w:tcPr>
            <w:tcW w:w="1299" w:type="pct"/>
          </w:tcPr>
          <w:p w14:paraId="19682AA2">
            <w:pPr>
              <w:jc w:val="right"/>
              <w:rPr>
                <w:rFonts w:hint="eastAsia"/>
                <w:szCs w:val="21"/>
              </w:rPr>
            </w:pPr>
            <w:r>
              <w:rPr>
                <w:rFonts w:ascii="Arial Narrow" w:hAnsi="Arial Narrow" w:eastAsia="等线"/>
                <w:color w:val="000000"/>
                <w:szCs w:val="21"/>
              </w:rPr>
              <w:t xml:space="preserve">10,094,254.87 </w:t>
            </w:r>
          </w:p>
        </w:tc>
        <w:tc>
          <w:tcPr>
            <w:tcW w:w="1267" w:type="pct"/>
          </w:tcPr>
          <w:p w14:paraId="4C383A61">
            <w:pPr>
              <w:jc w:val="right"/>
              <w:rPr>
                <w:rFonts w:hint="eastAsia"/>
                <w:szCs w:val="21"/>
              </w:rPr>
            </w:pPr>
            <w:r>
              <w:rPr>
                <w:rFonts w:ascii="Arial Narrow" w:hAnsi="Arial Narrow" w:eastAsia="等线"/>
                <w:color w:val="000000"/>
                <w:szCs w:val="21"/>
              </w:rPr>
              <w:t xml:space="preserve">14.96 </w:t>
            </w:r>
          </w:p>
        </w:tc>
      </w:tr>
    </w:tbl>
    <w:p w14:paraId="260B2DAC">
      <w:pPr>
        <w:rPr>
          <w:rFonts w:hint="eastAsia"/>
          <w:szCs w:val="21"/>
        </w:rPr>
      </w:pPr>
      <w:r>
        <w:rPr>
          <w:rFonts w:hint="eastAsia"/>
          <w:szCs w:val="21"/>
        </w:rPr>
        <w:t>按组合计提坏账准备的说明：</w:t>
      </w:r>
    </w:p>
    <w:sdt>
      <w:sdtPr>
        <w:rPr>
          <w:szCs w:val="21"/>
        </w:rPr>
        <w:alias w:val="是否适用：按组合计提坏账准备的应收账款确认标准[双击切换]"/>
        <w:tag w:val="_GBC_d256dc36994548098f599f5c34cca3f5"/>
        <w:id w:val="2008862979"/>
      </w:sdtPr>
      <w:sdtEndPr>
        <w:rPr>
          <w:szCs w:val="21"/>
        </w:rPr>
      </w:sdtEndPr>
      <w:sdtContent>
        <w:p w14:paraId="15E3E3F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2AD7BAE">
      <w:pPr>
        <w:rPr>
          <w:rFonts w:hint="eastAsia"/>
        </w:rPr>
      </w:pPr>
    </w:p>
    <w:p w14:paraId="15187BE7">
      <w:pPr>
        <w:rPr>
          <w:rFonts w:hint="eastAsia"/>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672644315"/>
          <w:comboBox>
            <w:listItem w:displayText="其中：组合1军方、警方、政府职能部门等高信用水平单位应收账款组合" w:value="其中：组合1军方、警方、政府职能部门等高信用水平单位应收账款组合"/>
            <w:listItem w:displayText="组合2关联方组合" w:value="组合2关联方组合"/>
            <w:listItem w:displayText="组合3账龄组合" w:value="组合3账龄组合"/>
          </w:comboBox>
        </w:sdtPr>
        <w:sdtEndPr>
          <w:rPr>
            <w:rFonts w:hint="eastAsia"/>
            <w:szCs w:val="21"/>
          </w:rPr>
        </w:sdtEndPr>
        <w:sdtContent>
          <w:r>
            <w:rPr>
              <w:rFonts w:hint="eastAsia"/>
              <w:szCs w:val="21"/>
            </w:rPr>
            <w:t>组合3账龄组合</w:t>
          </w:r>
        </w:sdtContent>
      </w:sdt>
    </w:p>
    <w:p w14:paraId="6755FFA4">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组合计提坏账准备的应收账款详细情况"/>
          <w:tag w:val="_GBC_048426f3fbc6488d9ff13660d47dce88"/>
          <w:id w:val="732047539"/>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140120383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796E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6fac25a376f4d4b884d95c8c8b4cdbd"/>
            <w:id w:val="-6301362"/>
          </w:sdtPr>
          <w:sdtContent>
            <w:tc>
              <w:tcPr>
                <w:tcW w:w="1158" w:type="pct"/>
                <w:vMerge w:val="restart"/>
                <w:vAlign w:val="center"/>
              </w:tcPr>
              <w:p w14:paraId="693D35A8">
                <w:pPr>
                  <w:jc w:val="center"/>
                  <w:rPr>
                    <w:rFonts w:hint="eastAsia"/>
                    <w:szCs w:val="21"/>
                  </w:rPr>
                </w:pPr>
                <w:r>
                  <w:rPr>
                    <w:rFonts w:hint="eastAsia"/>
                    <w:szCs w:val="21"/>
                  </w:rPr>
                  <w:t>名称</w:t>
                </w:r>
              </w:p>
            </w:tc>
          </w:sdtContent>
        </w:sdt>
        <w:sdt>
          <w:sdtPr>
            <w:tag w:val="_PLD_2ea73da2ba22410090605fad4228c06a"/>
            <w:id w:val="-224064100"/>
          </w:sdtPr>
          <w:sdtContent>
            <w:tc>
              <w:tcPr>
                <w:tcW w:w="3842" w:type="pct"/>
                <w:gridSpan w:val="3"/>
                <w:vAlign w:val="center"/>
              </w:tcPr>
              <w:p w14:paraId="6C404A44">
                <w:pPr>
                  <w:jc w:val="center"/>
                  <w:rPr>
                    <w:rFonts w:hint="eastAsia"/>
                    <w:szCs w:val="21"/>
                  </w:rPr>
                </w:pPr>
                <w:r>
                  <w:rPr>
                    <w:rFonts w:hint="eastAsia"/>
                    <w:szCs w:val="21"/>
                  </w:rPr>
                  <w:t>期末余额</w:t>
                </w:r>
              </w:p>
            </w:tc>
          </w:sdtContent>
        </w:sdt>
      </w:tr>
      <w:tr w14:paraId="7680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0C8ADA9E">
            <w:pPr>
              <w:jc w:val="center"/>
              <w:rPr>
                <w:rFonts w:hint="eastAsia"/>
                <w:szCs w:val="21"/>
              </w:rPr>
            </w:pPr>
          </w:p>
        </w:tc>
        <w:sdt>
          <w:sdtPr>
            <w:tag w:val="_PLD_841eb33e3b60464dbe6b3cefac602503"/>
            <w:id w:val="1605146725"/>
          </w:sdtPr>
          <w:sdtContent>
            <w:tc>
              <w:tcPr>
                <w:tcW w:w="1276" w:type="pct"/>
                <w:vAlign w:val="center"/>
              </w:tcPr>
              <w:p w14:paraId="45F1A143">
                <w:pPr>
                  <w:jc w:val="center"/>
                  <w:rPr>
                    <w:rFonts w:hint="eastAsia"/>
                    <w:szCs w:val="21"/>
                  </w:rPr>
                </w:pPr>
                <w:r>
                  <w:rPr>
                    <w:rFonts w:hint="eastAsia"/>
                    <w:szCs w:val="21"/>
                  </w:rPr>
                  <w:t>应收账款</w:t>
                </w:r>
              </w:p>
            </w:tc>
          </w:sdtContent>
        </w:sdt>
        <w:sdt>
          <w:sdtPr>
            <w:tag w:val="_PLD_b28da65f0aac478c80ab20a817d350ac"/>
            <w:id w:val="-1023628758"/>
          </w:sdtPr>
          <w:sdtContent>
            <w:tc>
              <w:tcPr>
                <w:tcW w:w="1299" w:type="pct"/>
                <w:vAlign w:val="center"/>
              </w:tcPr>
              <w:p w14:paraId="61C45437">
                <w:pPr>
                  <w:jc w:val="center"/>
                  <w:rPr>
                    <w:rFonts w:hint="eastAsia"/>
                    <w:szCs w:val="21"/>
                  </w:rPr>
                </w:pPr>
                <w:r>
                  <w:rPr>
                    <w:rFonts w:hint="eastAsia"/>
                    <w:szCs w:val="21"/>
                  </w:rPr>
                  <w:t>坏账准备</w:t>
                </w:r>
              </w:p>
            </w:tc>
          </w:sdtContent>
        </w:sdt>
        <w:sdt>
          <w:sdtPr>
            <w:tag w:val="_PLD_98321f537bf94701b17705eae6c543e2"/>
            <w:id w:val="1747378922"/>
          </w:sdtPr>
          <w:sdtContent>
            <w:tc>
              <w:tcPr>
                <w:tcW w:w="1267" w:type="pct"/>
                <w:vAlign w:val="center"/>
              </w:tcPr>
              <w:p w14:paraId="43DFA9C2">
                <w:pPr>
                  <w:jc w:val="center"/>
                  <w:rPr>
                    <w:rFonts w:hint="eastAsia"/>
                    <w:szCs w:val="21"/>
                  </w:rPr>
                </w:pPr>
                <w:r>
                  <w:rPr>
                    <w:szCs w:val="21"/>
                  </w:rPr>
                  <w:t>计提比例</w:t>
                </w:r>
                <w:r>
                  <w:rPr>
                    <w:rFonts w:hint="eastAsia"/>
                    <w:szCs w:val="21"/>
                  </w:rPr>
                  <w:t>（%）</w:t>
                </w:r>
              </w:p>
            </w:tc>
          </w:sdtContent>
        </w:sdt>
      </w:tr>
      <w:tr w14:paraId="37BD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146DE6C">
            <w:pPr>
              <w:rPr>
                <w:rFonts w:hint="eastAsia"/>
                <w:szCs w:val="21"/>
              </w:rPr>
            </w:pPr>
            <w:r>
              <w:rPr>
                <w:rFonts w:hint="eastAsia"/>
                <w:color w:val="000000"/>
                <w:szCs w:val="21"/>
              </w:rPr>
              <w:t>1年以内</w:t>
            </w:r>
          </w:p>
        </w:tc>
        <w:tc>
          <w:tcPr>
            <w:tcW w:w="1276" w:type="pct"/>
          </w:tcPr>
          <w:p w14:paraId="06CF9C7F">
            <w:pPr>
              <w:jc w:val="right"/>
              <w:rPr>
                <w:rFonts w:hint="eastAsia"/>
                <w:szCs w:val="21"/>
              </w:rPr>
            </w:pPr>
            <w:r>
              <w:rPr>
                <w:rFonts w:ascii="Arial Narrow" w:hAnsi="Arial Narrow" w:eastAsia="等线"/>
                <w:color w:val="000000"/>
                <w:szCs w:val="21"/>
              </w:rPr>
              <w:t xml:space="preserve">1,161,412,125.28 </w:t>
            </w:r>
          </w:p>
        </w:tc>
        <w:tc>
          <w:tcPr>
            <w:tcW w:w="1299" w:type="pct"/>
          </w:tcPr>
          <w:p w14:paraId="65B35DA5">
            <w:pPr>
              <w:jc w:val="right"/>
              <w:rPr>
                <w:rFonts w:hint="eastAsia"/>
                <w:szCs w:val="21"/>
              </w:rPr>
            </w:pPr>
          </w:p>
        </w:tc>
        <w:tc>
          <w:tcPr>
            <w:tcW w:w="1267" w:type="pct"/>
          </w:tcPr>
          <w:p w14:paraId="2D1C74E9">
            <w:pPr>
              <w:jc w:val="right"/>
              <w:rPr>
                <w:rFonts w:hint="eastAsia"/>
                <w:szCs w:val="21"/>
              </w:rPr>
            </w:pPr>
          </w:p>
        </w:tc>
      </w:tr>
      <w:tr w14:paraId="0624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65A8AD66">
            <w:pPr>
              <w:rPr>
                <w:rFonts w:hint="eastAsia"/>
                <w:szCs w:val="21"/>
              </w:rPr>
            </w:pPr>
            <w:r>
              <w:rPr>
                <w:rFonts w:hint="eastAsia"/>
                <w:color w:val="000000"/>
                <w:szCs w:val="21"/>
              </w:rPr>
              <w:t>1－2年</w:t>
            </w:r>
          </w:p>
        </w:tc>
        <w:tc>
          <w:tcPr>
            <w:tcW w:w="1276" w:type="pct"/>
          </w:tcPr>
          <w:p w14:paraId="1310FFF1">
            <w:pPr>
              <w:jc w:val="right"/>
              <w:rPr>
                <w:rFonts w:hint="eastAsia"/>
                <w:szCs w:val="21"/>
              </w:rPr>
            </w:pPr>
            <w:r>
              <w:rPr>
                <w:rFonts w:ascii="Arial Narrow" w:hAnsi="Arial Narrow" w:eastAsia="等线"/>
                <w:color w:val="000000"/>
                <w:szCs w:val="21"/>
              </w:rPr>
              <w:t xml:space="preserve">120,013,028.29 </w:t>
            </w:r>
          </w:p>
        </w:tc>
        <w:tc>
          <w:tcPr>
            <w:tcW w:w="1299" w:type="pct"/>
          </w:tcPr>
          <w:p w14:paraId="0E378AE2">
            <w:pPr>
              <w:jc w:val="right"/>
              <w:rPr>
                <w:rFonts w:hint="eastAsia"/>
                <w:szCs w:val="21"/>
              </w:rPr>
            </w:pPr>
            <w:r>
              <w:rPr>
                <w:rFonts w:ascii="Arial Narrow" w:hAnsi="Arial Narrow" w:eastAsia="等线"/>
                <w:color w:val="000000"/>
                <w:szCs w:val="21"/>
              </w:rPr>
              <w:t xml:space="preserve">24,002,605.67 </w:t>
            </w:r>
          </w:p>
        </w:tc>
        <w:tc>
          <w:tcPr>
            <w:tcW w:w="1267" w:type="pct"/>
          </w:tcPr>
          <w:p w14:paraId="03D7BAC6">
            <w:pPr>
              <w:jc w:val="right"/>
              <w:rPr>
                <w:rFonts w:hint="eastAsia"/>
                <w:szCs w:val="21"/>
              </w:rPr>
            </w:pPr>
            <w:r>
              <w:rPr>
                <w:rFonts w:ascii="Arial Narrow" w:hAnsi="Arial Narrow" w:eastAsia="等线"/>
                <w:color w:val="000000"/>
                <w:szCs w:val="21"/>
              </w:rPr>
              <w:t xml:space="preserve">20.00 </w:t>
            </w:r>
          </w:p>
        </w:tc>
      </w:tr>
      <w:tr w14:paraId="3493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5FD7960">
            <w:pPr>
              <w:rPr>
                <w:rFonts w:hint="eastAsia"/>
                <w:szCs w:val="21"/>
              </w:rPr>
            </w:pPr>
            <w:r>
              <w:rPr>
                <w:rFonts w:hint="eastAsia"/>
                <w:color w:val="000000"/>
                <w:szCs w:val="21"/>
              </w:rPr>
              <w:t>2－3年</w:t>
            </w:r>
          </w:p>
        </w:tc>
        <w:tc>
          <w:tcPr>
            <w:tcW w:w="1276" w:type="pct"/>
          </w:tcPr>
          <w:p w14:paraId="78263276">
            <w:pPr>
              <w:jc w:val="right"/>
              <w:rPr>
                <w:rFonts w:hint="eastAsia"/>
                <w:szCs w:val="21"/>
              </w:rPr>
            </w:pPr>
            <w:r>
              <w:rPr>
                <w:rFonts w:ascii="Arial Narrow" w:hAnsi="Arial Narrow" w:eastAsia="等线"/>
                <w:color w:val="000000"/>
                <w:szCs w:val="21"/>
              </w:rPr>
              <w:t xml:space="preserve">33,357,134.71 </w:t>
            </w:r>
          </w:p>
        </w:tc>
        <w:tc>
          <w:tcPr>
            <w:tcW w:w="1299" w:type="pct"/>
          </w:tcPr>
          <w:p w14:paraId="6C6AC9DB">
            <w:pPr>
              <w:jc w:val="right"/>
              <w:rPr>
                <w:rFonts w:hint="eastAsia"/>
                <w:szCs w:val="21"/>
              </w:rPr>
            </w:pPr>
            <w:r>
              <w:rPr>
                <w:rFonts w:ascii="Arial Narrow" w:hAnsi="Arial Narrow" w:eastAsia="等线"/>
                <w:color w:val="000000"/>
                <w:szCs w:val="21"/>
              </w:rPr>
              <w:t xml:space="preserve">16,678,567.42 </w:t>
            </w:r>
          </w:p>
        </w:tc>
        <w:tc>
          <w:tcPr>
            <w:tcW w:w="1267" w:type="pct"/>
          </w:tcPr>
          <w:p w14:paraId="57CED377">
            <w:pPr>
              <w:jc w:val="right"/>
              <w:rPr>
                <w:rFonts w:hint="eastAsia"/>
                <w:szCs w:val="21"/>
              </w:rPr>
            </w:pPr>
            <w:r>
              <w:rPr>
                <w:rFonts w:ascii="Arial Narrow" w:hAnsi="Arial Narrow" w:eastAsia="等线"/>
                <w:color w:val="000000"/>
                <w:szCs w:val="21"/>
              </w:rPr>
              <w:t xml:space="preserve">50.00 </w:t>
            </w:r>
          </w:p>
        </w:tc>
      </w:tr>
      <w:tr w14:paraId="3AB0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3525B72">
            <w:pPr>
              <w:rPr>
                <w:rFonts w:hint="eastAsia"/>
                <w:szCs w:val="21"/>
              </w:rPr>
            </w:pPr>
            <w:r>
              <w:rPr>
                <w:rFonts w:hint="eastAsia"/>
                <w:color w:val="000000"/>
                <w:szCs w:val="21"/>
              </w:rPr>
              <w:t>3－4年</w:t>
            </w:r>
          </w:p>
        </w:tc>
        <w:tc>
          <w:tcPr>
            <w:tcW w:w="1276" w:type="pct"/>
          </w:tcPr>
          <w:p w14:paraId="498B02AC">
            <w:pPr>
              <w:jc w:val="right"/>
              <w:rPr>
                <w:rFonts w:hint="eastAsia"/>
                <w:szCs w:val="21"/>
              </w:rPr>
            </w:pPr>
            <w:r>
              <w:rPr>
                <w:rFonts w:ascii="Arial Narrow" w:hAnsi="Arial Narrow" w:eastAsia="等线"/>
                <w:color w:val="000000"/>
                <w:szCs w:val="21"/>
              </w:rPr>
              <w:t xml:space="preserve">17,719,223.31 </w:t>
            </w:r>
          </w:p>
        </w:tc>
        <w:tc>
          <w:tcPr>
            <w:tcW w:w="1299" w:type="pct"/>
          </w:tcPr>
          <w:p w14:paraId="74F26DA7">
            <w:pPr>
              <w:jc w:val="right"/>
              <w:rPr>
                <w:rFonts w:hint="eastAsia"/>
                <w:szCs w:val="21"/>
              </w:rPr>
            </w:pPr>
            <w:r>
              <w:rPr>
                <w:rFonts w:ascii="Arial Narrow" w:hAnsi="Arial Narrow" w:eastAsia="等线"/>
                <w:color w:val="000000"/>
                <w:szCs w:val="21"/>
              </w:rPr>
              <w:t xml:space="preserve">12,403,456.34 </w:t>
            </w:r>
          </w:p>
        </w:tc>
        <w:tc>
          <w:tcPr>
            <w:tcW w:w="1267" w:type="pct"/>
          </w:tcPr>
          <w:p w14:paraId="13659276">
            <w:pPr>
              <w:jc w:val="right"/>
              <w:rPr>
                <w:rFonts w:hint="eastAsia"/>
                <w:szCs w:val="21"/>
              </w:rPr>
            </w:pPr>
            <w:r>
              <w:rPr>
                <w:rFonts w:ascii="Arial Narrow" w:hAnsi="Arial Narrow" w:eastAsia="等线"/>
                <w:color w:val="000000"/>
                <w:szCs w:val="21"/>
              </w:rPr>
              <w:t xml:space="preserve">70.00 </w:t>
            </w:r>
          </w:p>
        </w:tc>
      </w:tr>
      <w:tr w14:paraId="320A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6C80562">
            <w:pPr>
              <w:rPr>
                <w:rFonts w:hint="eastAsia"/>
                <w:szCs w:val="21"/>
              </w:rPr>
            </w:pPr>
            <w:r>
              <w:rPr>
                <w:rFonts w:hint="eastAsia"/>
                <w:color w:val="000000"/>
                <w:szCs w:val="21"/>
              </w:rPr>
              <w:t>4－5年</w:t>
            </w:r>
          </w:p>
        </w:tc>
        <w:tc>
          <w:tcPr>
            <w:tcW w:w="1276" w:type="pct"/>
          </w:tcPr>
          <w:p w14:paraId="02836DED">
            <w:pPr>
              <w:jc w:val="right"/>
              <w:rPr>
                <w:rFonts w:hint="eastAsia"/>
                <w:szCs w:val="21"/>
              </w:rPr>
            </w:pPr>
            <w:r>
              <w:rPr>
                <w:rFonts w:ascii="Arial Narrow" w:hAnsi="Arial Narrow" w:eastAsia="等线"/>
                <w:color w:val="000000"/>
                <w:szCs w:val="21"/>
              </w:rPr>
              <w:t xml:space="preserve">14,908,988.52 </w:t>
            </w:r>
          </w:p>
        </w:tc>
        <w:tc>
          <w:tcPr>
            <w:tcW w:w="1299" w:type="pct"/>
          </w:tcPr>
          <w:p w14:paraId="071CD11A">
            <w:pPr>
              <w:jc w:val="right"/>
              <w:rPr>
                <w:rFonts w:hint="eastAsia"/>
                <w:szCs w:val="21"/>
              </w:rPr>
            </w:pPr>
            <w:r>
              <w:rPr>
                <w:rFonts w:ascii="Arial Narrow" w:hAnsi="Arial Narrow" w:eastAsia="等线"/>
                <w:color w:val="000000"/>
                <w:szCs w:val="21"/>
              </w:rPr>
              <w:t xml:space="preserve">11,927,190.82 </w:t>
            </w:r>
          </w:p>
        </w:tc>
        <w:tc>
          <w:tcPr>
            <w:tcW w:w="1267" w:type="pct"/>
          </w:tcPr>
          <w:p w14:paraId="778E882B">
            <w:pPr>
              <w:jc w:val="right"/>
              <w:rPr>
                <w:rFonts w:hint="eastAsia"/>
                <w:szCs w:val="21"/>
              </w:rPr>
            </w:pPr>
            <w:r>
              <w:rPr>
                <w:rFonts w:ascii="Arial Narrow" w:hAnsi="Arial Narrow" w:eastAsia="等线"/>
                <w:color w:val="000000"/>
                <w:szCs w:val="21"/>
              </w:rPr>
              <w:t xml:space="preserve">80.00 </w:t>
            </w:r>
          </w:p>
        </w:tc>
      </w:tr>
      <w:tr w14:paraId="02FC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7623EB4">
            <w:pPr>
              <w:rPr>
                <w:rFonts w:hint="eastAsia"/>
                <w:szCs w:val="21"/>
              </w:rPr>
            </w:pPr>
            <w:r>
              <w:rPr>
                <w:rFonts w:hint="eastAsia"/>
                <w:color w:val="000000"/>
                <w:szCs w:val="21"/>
              </w:rPr>
              <w:t>5年以上</w:t>
            </w:r>
          </w:p>
        </w:tc>
        <w:tc>
          <w:tcPr>
            <w:tcW w:w="1276" w:type="pct"/>
          </w:tcPr>
          <w:p w14:paraId="5F0C2CCC">
            <w:pPr>
              <w:jc w:val="right"/>
              <w:rPr>
                <w:rFonts w:hint="eastAsia"/>
                <w:szCs w:val="21"/>
              </w:rPr>
            </w:pPr>
            <w:r>
              <w:rPr>
                <w:rFonts w:ascii="Arial Narrow" w:hAnsi="Arial Narrow" w:eastAsia="等线"/>
                <w:color w:val="000000"/>
                <w:szCs w:val="21"/>
              </w:rPr>
              <w:t xml:space="preserve">209,652,221.95 </w:t>
            </w:r>
          </w:p>
        </w:tc>
        <w:tc>
          <w:tcPr>
            <w:tcW w:w="1299" w:type="pct"/>
          </w:tcPr>
          <w:p w14:paraId="711F6ACB">
            <w:pPr>
              <w:jc w:val="right"/>
              <w:rPr>
                <w:rFonts w:hint="eastAsia"/>
                <w:szCs w:val="21"/>
              </w:rPr>
            </w:pPr>
            <w:r>
              <w:rPr>
                <w:rFonts w:ascii="Arial Narrow" w:hAnsi="Arial Narrow" w:eastAsia="等线"/>
                <w:color w:val="000000"/>
                <w:szCs w:val="21"/>
              </w:rPr>
              <w:t xml:space="preserve">209,652,221.94 </w:t>
            </w:r>
          </w:p>
        </w:tc>
        <w:tc>
          <w:tcPr>
            <w:tcW w:w="1267" w:type="pct"/>
          </w:tcPr>
          <w:p w14:paraId="5D50E209">
            <w:pPr>
              <w:jc w:val="right"/>
              <w:rPr>
                <w:rFonts w:hint="eastAsia"/>
                <w:szCs w:val="21"/>
              </w:rPr>
            </w:pPr>
            <w:r>
              <w:rPr>
                <w:rFonts w:ascii="Arial Narrow" w:hAnsi="Arial Narrow" w:eastAsia="等线"/>
                <w:color w:val="000000"/>
                <w:szCs w:val="21"/>
              </w:rPr>
              <w:t xml:space="preserve">100.00 </w:t>
            </w:r>
          </w:p>
        </w:tc>
      </w:tr>
      <w:tr w14:paraId="19DC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239D030E">
            <w:pPr>
              <w:jc w:val="center"/>
              <w:rPr>
                <w:rFonts w:hint="eastAsia"/>
                <w:szCs w:val="21"/>
              </w:rPr>
            </w:pPr>
            <w:r>
              <w:rPr>
                <w:rFonts w:hint="eastAsia"/>
                <w:szCs w:val="21"/>
              </w:rPr>
              <w:t>合计</w:t>
            </w:r>
          </w:p>
        </w:tc>
        <w:tc>
          <w:tcPr>
            <w:tcW w:w="1276" w:type="pct"/>
          </w:tcPr>
          <w:p w14:paraId="598AE91C">
            <w:pPr>
              <w:jc w:val="right"/>
              <w:rPr>
                <w:rFonts w:hint="eastAsia"/>
                <w:szCs w:val="21"/>
              </w:rPr>
            </w:pPr>
            <w:r>
              <w:rPr>
                <w:rFonts w:ascii="Arial Narrow" w:hAnsi="Arial Narrow" w:eastAsia="等线"/>
                <w:color w:val="000000"/>
                <w:szCs w:val="21"/>
              </w:rPr>
              <w:t xml:space="preserve">1,557,062,722.06 </w:t>
            </w:r>
          </w:p>
        </w:tc>
        <w:tc>
          <w:tcPr>
            <w:tcW w:w="1299" w:type="pct"/>
          </w:tcPr>
          <w:p w14:paraId="411DAA6B">
            <w:pPr>
              <w:jc w:val="right"/>
              <w:rPr>
                <w:rFonts w:hint="eastAsia"/>
                <w:szCs w:val="21"/>
              </w:rPr>
            </w:pPr>
            <w:r>
              <w:rPr>
                <w:rFonts w:ascii="Arial Narrow" w:hAnsi="Arial Narrow" w:eastAsia="等线"/>
                <w:color w:val="000000"/>
                <w:szCs w:val="21"/>
              </w:rPr>
              <w:t xml:space="preserve">274,664,042.19 </w:t>
            </w:r>
          </w:p>
        </w:tc>
        <w:tc>
          <w:tcPr>
            <w:tcW w:w="1267" w:type="pct"/>
          </w:tcPr>
          <w:p w14:paraId="2A1F9D25">
            <w:pPr>
              <w:jc w:val="right"/>
              <w:rPr>
                <w:rFonts w:hint="eastAsia"/>
                <w:szCs w:val="21"/>
              </w:rPr>
            </w:pPr>
            <w:r>
              <w:rPr>
                <w:rFonts w:ascii="Arial Narrow" w:hAnsi="Arial Narrow" w:eastAsia="等线"/>
                <w:color w:val="000000"/>
                <w:szCs w:val="21"/>
              </w:rPr>
              <w:t xml:space="preserve">17.64 </w:t>
            </w:r>
          </w:p>
        </w:tc>
      </w:tr>
    </w:tbl>
    <w:p w14:paraId="354976D1">
      <w:pPr>
        <w:rPr>
          <w:rFonts w:hint="eastAsia"/>
          <w:szCs w:val="21"/>
        </w:rPr>
      </w:pPr>
      <w:r>
        <w:rPr>
          <w:rFonts w:hint="eastAsia"/>
          <w:szCs w:val="21"/>
        </w:rPr>
        <w:t>按组合计提坏账准备的说明：</w:t>
      </w:r>
    </w:p>
    <w:sdt>
      <w:sdtPr>
        <w:rPr>
          <w:szCs w:val="21"/>
        </w:rPr>
        <w:alias w:val="是否适用：按组合计提坏账准备的应收账款确认标准[双击切换]"/>
        <w:tag w:val="_GBC_d256dc36994548098f599f5c34cca3f5"/>
        <w:id w:val="-1695993211"/>
      </w:sdtPr>
      <w:sdtEndPr>
        <w:rPr>
          <w:szCs w:val="21"/>
        </w:rPr>
      </w:sdtEndPr>
      <w:sdtContent>
        <w:p w14:paraId="5E5FFEA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3BA0904">
      <w:pPr>
        <w:rPr>
          <w:rFonts w:hint="eastAsia"/>
        </w:rPr>
      </w:pPr>
    </w:p>
    <w:p w14:paraId="4CE2893D">
      <w:pPr>
        <w:rPr>
          <w:rFonts w:hint="eastAsia"/>
        </w:rPr>
      </w:pPr>
    </w:p>
    <w:bookmarkEnd w:id="248"/>
    <w:p w14:paraId="29B7B4FD">
      <w:pPr>
        <w:rPr>
          <w:rFonts w:hint="eastAsia" w:cstheme="minorBidi"/>
          <w:bCs/>
          <w:szCs w:val="22"/>
        </w:rPr>
      </w:pPr>
      <w:bookmarkStart w:id="249" w:name="_Hlk154134618"/>
      <w:bookmarkStart w:id="250" w:name="_Hlk153357523"/>
      <w:r>
        <w:rPr>
          <w:rFonts w:hint="eastAsia" w:cstheme="minorBidi"/>
          <w:bCs/>
          <w:szCs w:val="22"/>
        </w:rPr>
        <w:t>按预期信用损失一般模型计提坏账准备</w:t>
      </w:r>
    </w:p>
    <w:sdt>
      <w:sdtPr>
        <w:rPr>
          <w:rFonts w:cstheme="minorBidi"/>
          <w:bCs/>
          <w:szCs w:val="22"/>
        </w:rPr>
        <w:alias w:val="是否适用：按预期信用损失一般模型计提坏账准备[双击切换]"/>
        <w:tag w:val="_GBC_8d4cb2336033407eaff135a13955b32a"/>
        <w:id w:val="-1661382433"/>
        <w:placeholder>
          <w:docPart w:val="GBC22222222222222222222222222222"/>
        </w:placeholder>
      </w:sdtPr>
      <w:sdtEndPr>
        <w:rPr>
          <w:rFonts w:cstheme="minorBidi"/>
          <w:bCs/>
          <w:szCs w:val="22"/>
        </w:rPr>
      </w:sdtEndPr>
      <w:sdtContent>
        <w:p w14:paraId="07A720DC">
          <w:pPr>
            <w:rPr>
              <w:rFonts w:hint="eastAsia"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31A44E52">
      <w:pPr>
        <w:autoSpaceDE w:val="0"/>
        <w:autoSpaceDN w:val="0"/>
        <w:adjustRightInd w:val="0"/>
        <w:ind w:left="181" w:leftChars="86" w:right="105" w:rightChars="50"/>
        <w:jc w:val="right"/>
        <w:rPr>
          <w:rFonts w:hint="eastAsia"/>
          <w:szCs w:val="21"/>
        </w:rPr>
      </w:pPr>
      <w:r>
        <w:rPr>
          <w:rFonts w:hint="eastAsia"/>
          <w:szCs w:val="21"/>
        </w:rPr>
        <w:t>单位：</w:t>
      </w:r>
      <w:sdt>
        <w:sdtPr>
          <w:rPr>
            <w:rFonts w:hint="eastAsia"/>
            <w:szCs w:val="21"/>
          </w:rPr>
          <w:alias w:val="单位：按预期信用损失一般模型计提坏账准备"/>
          <w:tag w:val="_GBC_c337745900904fbe8aa455eb3ce6d289"/>
          <w:id w:val="-53526997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预期信用损失一般模型计提坏账准备"/>
          <w:tag w:val="_GBC_ed85746b078542da9469e30503aaf7f7"/>
          <w:id w:val="14493530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1643"/>
        <w:gridCol w:w="1595"/>
        <w:gridCol w:w="1869"/>
        <w:gridCol w:w="1867"/>
      </w:tblGrid>
      <w:tr w14:paraId="3648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4ba6b67eabb43d8abd5f8af97b017a2"/>
            <w:id w:val="-1577353868"/>
          </w:sdtPr>
          <w:sdtContent>
            <w:tc>
              <w:tcPr>
                <w:tcW w:w="1048" w:type="pct"/>
                <w:vMerge w:val="restart"/>
                <w:vAlign w:val="center"/>
              </w:tcPr>
              <w:p w14:paraId="075D74B0">
                <w:pPr>
                  <w:pStyle w:val="50"/>
                  <w:spacing w:after="0" w:line="240" w:lineRule="auto"/>
                  <w:ind w:left="181" w:leftChars="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坏账准备</w:t>
                </w:r>
              </w:p>
            </w:tc>
          </w:sdtContent>
        </w:sdt>
        <w:sdt>
          <w:sdtPr>
            <w:tag w:val="_PLD_88131560bdec4f73aa42380d05024bd0"/>
            <w:id w:val="717396696"/>
          </w:sdtPr>
          <w:sdtContent>
            <w:tc>
              <w:tcPr>
                <w:tcW w:w="931" w:type="pct"/>
                <w:vAlign w:val="center"/>
              </w:tcPr>
              <w:p w14:paraId="27522FB3">
                <w:pPr>
                  <w:pStyle w:val="50"/>
                  <w:spacing w:after="0" w:line="240" w:lineRule="auto"/>
                  <w:ind w:left="181" w:leftChars="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第一阶段</w:t>
                </w:r>
              </w:p>
            </w:tc>
          </w:sdtContent>
        </w:sdt>
        <w:sdt>
          <w:sdtPr>
            <w:tag w:val="_PLD_5b1bebf15a5d4dbd963b48612d8c6fe6"/>
            <w:id w:val="-1641030739"/>
          </w:sdtPr>
          <w:sdtContent>
            <w:tc>
              <w:tcPr>
                <w:tcW w:w="904" w:type="pct"/>
                <w:vAlign w:val="center"/>
              </w:tcPr>
              <w:p w14:paraId="16FC9C81">
                <w:pPr>
                  <w:pStyle w:val="50"/>
                  <w:spacing w:after="0" w:line="240" w:lineRule="auto"/>
                  <w:ind w:left="181" w:leftChars="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第二阶段</w:t>
                </w:r>
              </w:p>
            </w:tc>
          </w:sdtContent>
        </w:sdt>
        <w:sdt>
          <w:sdtPr>
            <w:tag w:val="_PLD_e82cb638896345df914a30bd1b7acd8b"/>
            <w:id w:val="-201330138"/>
          </w:sdtPr>
          <w:sdtContent>
            <w:tc>
              <w:tcPr>
                <w:tcW w:w="1059" w:type="pct"/>
                <w:vAlign w:val="center"/>
              </w:tcPr>
              <w:p w14:paraId="740CB65C">
                <w:pPr>
                  <w:pStyle w:val="50"/>
                  <w:spacing w:after="0" w:line="240" w:lineRule="auto"/>
                  <w:ind w:left="181" w:leftChars="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第三阶段</w:t>
                </w:r>
              </w:p>
            </w:tc>
          </w:sdtContent>
        </w:sdt>
        <w:sdt>
          <w:sdtPr>
            <w:tag w:val="_PLD_62580083b0b24c9cb0a2e5049c53b902"/>
            <w:id w:val="56600393"/>
          </w:sdtPr>
          <w:sdtContent>
            <w:tc>
              <w:tcPr>
                <w:tcW w:w="1058" w:type="pct"/>
                <w:vMerge w:val="restart"/>
                <w:vAlign w:val="center"/>
              </w:tcPr>
              <w:p w14:paraId="26BCDBCA">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合计</w:t>
                </w:r>
              </w:p>
            </w:tc>
          </w:sdtContent>
        </w:sdt>
      </w:tr>
      <w:tr w14:paraId="46E1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Merge w:val="continue"/>
            <w:vAlign w:val="center"/>
          </w:tcPr>
          <w:p w14:paraId="18150EA6">
            <w:pPr>
              <w:ind w:left="181" w:leftChars="86"/>
              <w:jc w:val="center"/>
              <w:rPr>
                <w:rFonts w:hint="eastAsia"/>
                <w:color w:val="008000"/>
                <w:szCs w:val="21"/>
              </w:rPr>
            </w:pPr>
          </w:p>
        </w:tc>
        <w:sdt>
          <w:sdtPr>
            <w:tag w:val="_PLD_497ad1bed2034ccfa5f07aa37b8487b1"/>
            <w:id w:val="259657583"/>
          </w:sdtPr>
          <w:sdtContent>
            <w:tc>
              <w:tcPr>
                <w:tcW w:w="931" w:type="pct"/>
                <w:vAlign w:val="center"/>
              </w:tcPr>
              <w:p w14:paraId="7ADFAB93">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未来12个月预期信用损失</w:t>
                </w:r>
              </w:p>
            </w:tc>
          </w:sdtContent>
        </w:sdt>
        <w:sdt>
          <w:sdtPr>
            <w:tag w:val="_PLD_eaf31ebcf5b548a9bcb4933d4a8c282f"/>
            <w:id w:val="1374429665"/>
          </w:sdtPr>
          <w:sdtContent>
            <w:tc>
              <w:tcPr>
                <w:tcW w:w="904" w:type="pct"/>
                <w:vAlign w:val="center"/>
              </w:tcPr>
              <w:p w14:paraId="71C62C39">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整个存续期预期信用损失(未发生信用减值)</w:t>
                </w:r>
              </w:p>
            </w:tc>
          </w:sdtContent>
        </w:sdt>
        <w:sdt>
          <w:sdtPr>
            <w:tag w:val="_PLD_0f97fb646a8643d5b68244b27283c549"/>
            <w:id w:val="-91933987"/>
          </w:sdtPr>
          <w:sdtContent>
            <w:tc>
              <w:tcPr>
                <w:tcW w:w="1059" w:type="pct"/>
                <w:vAlign w:val="center"/>
              </w:tcPr>
              <w:p w14:paraId="5A9B706E">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整个存续期预期信用损失(已发生信用减值)</w:t>
                </w:r>
              </w:p>
            </w:tc>
          </w:sdtContent>
        </w:sdt>
        <w:tc>
          <w:tcPr>
            <w:tcW w:w="1058" w:type="pct"/>
            <w:vMerge w:val="continue"/>
            <w:vAlign w:val="center"/>
          </w:tcPr>
          <w:p w14:paraId="18351131">
            <w:pPr>
              <w:ind w:left="181" w:leftChars="86"/>
              <w:jc w:val="center"/>
              <w:rPr>
                <w:rFonts w:hint="eastAsia"/>
                <w:color w:val="008000"/>
                <w:szCs w:val="21"/>
              </w:rPr>
            </w:pPr>
          </w:p>
        </w:tc>
      </w:tr>
      <w:tr w14:paraId="7FE2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4B805336">
            <w:pPr>
              <w:pStyle w:val="50"/>
              <w:spacing w:after="0" w:line="240" w:lineRule="auto"/>
              <w:rPr>
                <w:rFonts w:hint="eastAsia" w:ascii="宋体" w:hAnsi="宋体" w:eastAsia="宋体" w:cs="宋体"/>
                <w:sz w:val="21"/>
                <w:szCs w:val="21"/>
                <w:lang w:eastAsia="zh-CN"/>
              </w:rPr>
            </w:pPr>
            <w:r>
              <w:rPr>
                <w:rFonts w:ascii="宋体" w:hAnsi="宋体" w:eastAsia="宋体" w:cs="宋体"/>
                <w:sz w:val="21"/>
                <w:szCs w:val="21"/>
                <w:lang w:eastAsia="zh-CN"/>
              </w:rPr>
              <w:t>2024年</w:t>
            </w:r>
            <w:r>
              <w:rPr>
                <w:rFonts w:hint="eastAsia" w:ascii="宋体" w:hAnsi="宋体" w:eastAsia="宋体" w:cs="宋体"/>
                <w:sz w:val="21"/>
                <w:szCs w:val="21"/>
                <w:lang w:eastAsia="zh-CN"/>
              </w:rPr>
              <w:t>1月1日余额</w:t>
            </w:r>
          </w:p>
        </w:tc>
        <w:tc>
          <w:tcPr>
            <w:tcW w:w="931" w:type="pct"/>
            <w:vAlign w:val="center"/>
          </w:tcPr>
          <w:p w14:paraId="15051F6D">
            <w:pPr>
              <w:ind w:left="181" w:leftChars="86"/>
              <w:jc w:val="right"/>
              <w:rPr>
                <w:rFonts w:hint="eastAsia"/>
                <w:szCs w:val="21"/>
              </w:rPr>
            </w:pPr>
            <w:r>
              <w:rPr>
                <w:rFonts w:ascii="Arial Narrow" w:hAnsi="Arial Narrow" w:eastAsia="等线"/>
                <w:color w:val="000000"/>
                <w:szCs w:val="21"/>
              </w:rPr>
              <w:t xml:space="preserve">299,819,393.05 </w:t>
            </w:r>
          </w:p>
        </w:tc>
        <w:tc>
          <w:tcPr>
            <w:tcW w:w="904" w:type="pct"/>
            <w:vAlign w:val="center"/>
          </w:tcPr>
          <w:p w14:paraId="00936627">
            <w:pPr>
              <w:ind w:left="181" w:leftChars="86"/>
              <w:jc w:val="right"/>
              <w:rPr>
                <w:rFonts w:hint="eastAsia"/>
                <w:szCs w:val="21"/>
              </w:rPr>
            </w:pPr>
          </w:p>
        </w:tc>
        <w:tc>
          <w:tcPr>
            <w:tcW w:w="1059" w:type="pct"/>
            <w:vAlign w:val="center"/>
          </w:tcPr>
          <w:p w14:paraId="31C29992">
            <w:pPr>
              <w:ind w:left="181" w:leftChars="86"/>
              <w:jc w:val="right"/>
              <w:rPr>
                <w:rFonts w:hint="eastAsia"/>
                <w:szCs w:val="21"/>
              </w:rPr>
            </w:pPr>
            <w:r>
              <w:rPr>
                <w:rFonts w:ascii="Arial Narrow" w:hAnsi="Arial Narrow" w:eastAsia="等线"/>
                <w:color w:val="000000"/>
                <w:szCs w:val="21"/>
              </w:rPr>
              <w:t xml:space="preserve">102,036,326.62 </w:t>
            </w:r>
          </w:p>
        </w:tc>
        <w:tc>
          <w:tcPr>
            <w:tcW w:w="1058" w:type="pct"/>
            <w:vAlign w:val="center"/>
          </w:tcPr>
          <w:p w14:paraId="118A40BF">
            <w:pPr>
              <w:ind w:left="181" w:leftChars="86"/>
              <w:jc w:val="right"/>
              <w:rPr>
                <w:rFonts w:hint="eastAsia"/>
                <w:szCs w:val="21"/>
              </w:rPr>
            </w:pPr>
            <w:r>
              <w:rPr>
                <w:rFonts w:ascii="Arial Narrow" w:hAnsi="Arial Narrow" w:eastAsia="等线"/>
                <w:color w:val="000000"/>
                <w:szCs w:val="21"/>
              </w:rPr>
              <w:t xml:space="preserve">401,855,719.67 </w:t>
            </w:r>
          </w:p>
        </w:tc>
      </w:tr>
      <w:tr w14:paraId="1D71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67FF5355">
            <w:pPr>
              <w:pStyle w:val="50"/>
              <w:spacing w:after="0"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本期计提</w:t>
            </w:r>
          </w:p>
        </w:tc>
        <w:tc>
          <w:tcPr>
            <w:tcW w:w="931" w:type="pct"/>
            <w:vAlign w:val="center"/>
          </w:tcPr>
          <w:p w14:paraId="492CD4A5">
            <w:pPr>
              <w:ind w:left="181" w:leftChars="86"/>
              <w:jc w:val="right"/>
              <w:rPr>
                <w:rFonts w:hint="eastAsia"/>
                <w:szCs w:val="21"/>
              </w:rPr>
            </w:pPr>
            <w:r>
              <w:rPr>
                <w:rFonts w:ascii="Arial Narrow" w:hAnsi="Arial Narrow" w:eastAsia="等线"/>
                <w:color w:val="000000"/>
                <w:szCs w:val="21"/>
              </w:rPr>
              <w:t xml:space="preserve">7,070,346.46 </w:t>
            </w:r>
          </w:p>
        </w:tc>
        <w:tc>
          <w:tcPr>
            <w:tcW w:w="904" w:type="pct"/>
            <w:vAlign w:val="center"/>
          </w:tcPr>
          <w:p w14:paraId="57E6A5F1">
            <w:pPr>
              <w:ind w:left="181" w:leftChars="86"/>
              <w:jc w:val="right"/>
              <w:rPr>
                <w:rFonts w:hint="eastAsia"/>
                <w:szCs w:val="21"/>
              </w:rPr>
            </w:pPr>
          </w:p>
        </w:tc>
        <w:tc>
          <w:tcPr>
            <w:tcW w:w="1059" w:type="pct"/>
            <w:vAlign w:val="center"/>
          </w:tcPr>
          <w:p w14:paraId="4678ECE3">
            <w:pPr>
              <w:ind w:left="181" w:leftChars="86"/>
              <w:jc w:val="right"/>
              <w:rPr>
                <w:rFonts w:hint="eastAsia"/>
                <w:szCs w:val="21"/>
              </w:rPr>
            </w:pPr>
            <w:r>
              <w:rPr>
                <w:rFonts w:ascii="Arial Narrow" w:hAnsi="Arial Narrow" w:eastAsia="等线"/>
                <w:color w:val="000000"/>
                <w:szCs w:val="21"/>
              </w:rPr>
              <w:t xml:space="preserve">102,005,410.89 </w:t>
            </w:r>
          </w:p>
        </w:tc>
        <w:tc>
          <w:tcPr>
            <w:tcW w:w="1058" w:type="pct"/>
            <w:vAlign w:val="center"/>
          </w:tcPr>
          <w:p w14:paraId="28248E3E">
            <w:pPr>
              <w:ind w:left="181" w:leftChars="86"/>
              <w:jc w:val="right"/>
              <w:rPr>
                <w:rFonts w:hint="eastAsia"/>
                <w:szCs w:val="21"/>
              </w:rPr>
            </w:pPr>
            <w:r>
              <w:rPr>
                <w:rFonts w:ascii="Arial Narrow" w:hAnsi="Arial Narrow" w:eastAsia="等线"/>
                <w:color w:val="000000"/>
                <w:szCs w:val="21"/>
              </w:rPr>
              <w:t xml:space="preserve">109,075,757.35 </w:t>
            </w:r>
          </w:p>
        </w:tc>
      </w:tr>
      <w:tr w14:paraId="3D3F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2C66B1B9">
            <w:pPr>
              <w:pStyle w:val="50"/>
              <w:spacing w:after="0" w:line="240" w:lineRule="auto"/>
              <w:rPr>
                <w:rFonts w:hint="eastAsia" w:ascii="宋体" w:hAnsi="宋体" w:eastAsia="宋体"/>
                <w:sz w:val="21"/>
              </w:rPr>
            </w:pPr>
            <w:r>
              <w:rPr>
                <w:rFonts w:hint="eastAsia" w:ascii="宋体" w:hAnsi="宋体" w:eastAsia="宋体"/>
                <w:sz w:val="21"/>
              </w:rPr>
              <w:t>本期转回</w:t>
            </w:r>
          </w:p>
        </w:tc>
        <w:tc>
          <w:tcPr>
            <w:tcW w:w="931" w:type="pct"/>
            <w:vAlign w:val="center"/>
          </w:tcPr>
          <w:p w14:paraId="7ABCBE7A">
            <w:pPr>
              <w:ind w:left="181" w:leftChars="86"/>
              <w:jc w:val="right"/>
              <w:rPr>
                <w:rFonts w:hint="eastAsia"/>
                <w:szCs w:val="21"/>
              </w:rPr>
            </w:pPr>
          </w:p>
        </w:tc>
        <w:tc>
          <w:tcPr>
            <w:tcW w:w="904" w:type="pct"/>
            <w:vAlign w:val="center"/>
          </w:tcPr>
          <w:p w14:paraId="35E437F8">
            <w:pPr>
              <w:ind w:left="181" w:leftChars="86"/>
              <w:jc w:val="right"/>
              <w:rPr>
                <w:rFonts w:hint="eastAsia"/>
                <w:szCs w:val="21"/>
              </w:rPr>
            </w:pPr>
          </w:p>
        </w:tc>
        <w:tc>
          <w:tcPr>
            <w:tcW w:w="1059" w:type="pct"/>
            <w:vAlign w:val="center"/>
          </w:tcPr>
          <w:p w14:paraId="0F44036F">
            <w:pPr>
              <w:ind w:left="181" w:leftChars="86"/>
              <w:jc w:val="right"/>
              <w:rPr>
                <w:rFonts w:hint="eastAsia"/>
                <w:szCs w:val="21"/>
              </w:rPr>
            </w:pPr>
            <w:r>
              <w:rPr>
                <w:rFonts w:ascii="Arial Narrow" w:hAnsi="Arial Narrow" w:eastAsia="等线"/>
                <w:color w:val="000000"/>
                <w:szCs w:val="21"/>
              </w:rPr>
              <w:t xml:space="preserve">232,246.70 </w:t>
            </w:r>
          </w:p>
        </w:tc>
        <w:tc>
          <w:tcPr>
            <w:tcW w:w="1058" w:type="pct"/>
            <w:vAlign w:val="center"/>
          </w:tcPr>
          <w:p w14:paraId="3F4460BD">
            <w:pPr>
              <w:ind w:left="181" w:leftChars="86"/>
              <w:jc w:val="right"/>
              <w:rPr>
                <w:rFonts w:hint="eastAsia"/>
                <w:szCs w:val="21"/>
              </w:rPr>
            </w:pPr>
            <w:r>
              <w:rPr>
                <w:rFonts w:ascii="Arial Narrow" w:hAnsi="Arial Narrow" w:eastAsia="等线"/>
                <w:color w:val="000000"/>
                <w:szCs w:val="21"/>
              </w:rPr>
              <w:t xml:space="preserve">232,246.70 </w:t>
            </w:r>
          </w:p>
        </w:tc>
      </w:tr>
      <w:tr w14:paraId="2EC4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5A8BBA6F">
            <w:pPr>
              <w:pStyle w:val="50"/>
              <w:spacing w:after="0"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本期转销</w:t>
            </w:r>
          </w:p>
        </w:tc>
        <w:tc>
          <w:tcPr>
            <w:tcW w:w="931" w:type="pct"/>
            <w:vAlign w:val="center"/>
          </w:tcPr>
          <w:p w14:paraId="3D7C12F6">
            <w:pPr>
              <w:ind w:left="181" w:leftChars="86"/>
              <w:jc w:val="right"/>
              <w:rPr>
                <w:rFonts w:hint="eastAsia"/>
                <w:szCs w:val="21"/>
              </w:rPr>
            </w:pPr>
          </w:p>
        </w:tc>
        <w:tc>
          <w:tcPr>
            <w:tcW w:w="904" w:type="pct"/>
            <w:vAlign w:val="center"/>
          </w:tcPr>
          <w:p w14:paraId="5BF02AA7">
            <w:pPr>
              <w:ind w:left="181" w:leftChars="86"/>
              <w:jc w:val="right"/>
              <w:rPr>
                <w:rFonts w:hint="eastAsia"/>
                <w:szCs w:val="21"/>
              </w:rPr>
            </w:pPr>
          </w:p>
        </w:tc>
        <w:tc>
          <w:tcPr>
            <w:tcW w:w="1059" w:type="pct"/>
            <w:vAlign w:val="center"/>
          </w:tcPr>
          <w:p w14:paraId="27A126DB">
            <w:pPr>
              <w:ind w:left="181" w:leftChars="86"/>
              <w:jc w:val="right"/>
              <w:rPr>
                <w:rFonts w:hint="eastAsia"/>
                <w:szCs w:val="21"/>
              </w:rPr>
            </w:pPr>
          </w:p>
        </w:tc>
        <w:tc>
          <w:tcPr>
            <w:tcW w:w="1058" w:type="pct"/>
            <w:vAlign w:val="center"/>
          </w:tcPr>
          <w:p w14:paraId="6C5C5F65">
            <w:pPr>
              <w:ind w:left="181" w:leftChars="86"/>
              <w:jc w:val="right"/>
              <w:rPr>
                <w:rFonts w:hint="eastAsia"/>
                <w:szCs w:val="21"/>
              </w:rPr>
            </w:pPr>
          </w:p>
        </w:tc>
      </w:tr>
      <w:tr w14:paraId="5A23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47B8A3F9">
            <w:pPr>
              <w:pStyle w:val="50"/>
              <w:spacing w:after="0" w:line="240" w:lineRule="auto"/>
              <w:rPr>
                <w:rFonts w:hint="eastAsia"/>
              </w:rPr>
            </w:pPr>
            <w:r>
              <w:rPr>
                <w:rFonts w:hint="eastAsia" w:ascii="宋体" w:hAnsi="宋体" w:eastAsia="宋体" w:cs="宋体"/>
                <w:sz w:val="21"/>
                <w:szCs w:val="21"/>
                <w:lang w:eastAsia="zh-CN"/>
              </w:rPr>
              <w:t>本期核销</w:t>
            </w:r>
          </w:p>
        </w:tc>
        <w:tc>
          <w:tcPr>
            <w:tcW w:w="931" w:type="pct"/>
            <w:vAlign w:val="center"/>
          </w:tcPr>
          <w:p w14:paraId="1177741B">
            <w:pPr>
              <w:ind w:left="181" w:leftChars="86"/>
              <w:jc w:val="right"/>
              <w:rPr>
                <w:rFonts w:hint="eastAsia"/>
                <w:szCs w:val="21"/>
              </w:rPr>
            </w:pPr>
            <w:r>
              <w:rPr>
                <w:rFonts w:ascii="Arial Narrow" w:hAnsi="Arial Narrow" w:eastAsia="等线"/>
                <w:color w:val="000000"/>
                <w:szCs w:val="21"/>
              </w:rPr>
              <w:t xml:space="preserve">844,338.54 </w:t>
            </w:r>
          </w:p>
        </w:tc>
        <w:tc>
          <w:tcPr>
            <w:tcW w:w="904" w:type="pct"/>
            <w:vAlign w:val="center"/>
          </w:tcPr>
          <w:p w14:paraId="2EADF1D2">
            <w:pPr>
              <w:ind w:left="181" w:leftChars="86"/>
              <w:jc w:val="right"/>
              <w:rPr>
                <w:rFonts w:hint="eastAsia"/>
                <w:szCs w:val="21"/>
              </w:rPr>
            </w:pPr>
          </w:p>
        </w:tc>
        <w:tc>
          <w:tcPr>
            <w:tcW w:w="1059" w:type="pct"/>
            <w:vAlign w:val="center"/>
          </w:tcPr>
          <w:p w14:paraId="6222E01A">
            <w:pPr>
              <w:ind w:left="181" w:leftChars="86"/>
              <w:jc w:val="right"/>
              <w:rPr>
                <w:rFonts w:hint="eastAsia"/>
                <w:szCs w:val="21"/>
              </w:rPr>
            </w:pPr>
          </w:p>
        </w:tc>
        <w:tc>
          <w:tcPr>
            <w:tcW w:w="1058" w:type="pct"/>
            <w:vAlign w:val="center"/>
          </w:tcPr>
          <w:p w14:paraId="6EFC24FA">
            <w:pPr>
              <w:ind w:left="181" w:leftChars="86"/>
              <w:jc w:val="right"/>
              <w:rPr>
                <w:rFonts w:hint="eastAsia"/>
                <w:szCs w:val="21"/>
              </w:rPr>
            </w:pPr>
            <w:r>
              <w:rPr>
                <w:rFonts w:ascii="Arial Narrow" w:hAnsi="Arial Narrow" w:eastAsia="等线"/>
                <w:color w:val="000000"/>
                <w:szCs w:val="21"/>
              </w:rPr>
              <w:t xml:space="preserve">844,338.54 </w:t>
            </w:r>
          </w:p>
        </w:tc>
      </w:tr>
      <w:tr w14:paraId="713A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1E407208">
            <w:pPr>
              <w:pStyle w:val="50"/>
              <w:spacing w:after="0"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其他变动</w:t>
            </w:r>
          </w:p>
        </w:tc>
        <w:tc>
          <w:tcPr>
            <w:tcW w:w="931" w:type="pct"/>
            <w:vAlign w:val="center"/>
          </w:tcPr>
          <w:p w14:paraId="29636F2E">
            <w:pPr>
              <w:ind w:left="181" w:leftChars="86"/>
              <w:jc w:val="right"/>
              <w:rPr>
                <w:rFonts w:hint="eastAsia"/>
                <w:szCs w:val="21"/>
              </w:rPr>
            </w:pPr>
            <w:r>
              <w:rPr>
                <w:rFonts w:ascii="Arial Narrow" w:hAnsi="Arial Narrow" w:eastAsia="等线"/>
                <w:color w:val="000000"/>
                <w:szCs w:val="21"/>
              </w:rPr>
              <w:t xml:space="preserve">113,254.69 </w:t>
            </w:r>
          </w:p>
        </w:tc>
        <w:tc>
          <w:tcPr>
            <w:tcW w:w="904" w:type="pct"/>
            <w:vAlign w:val="center"/>
          </w:tcPr>
          <w:p w14:paraId="66ACFC1E">
            <w:pPr>
              <w:ind w:left="181" w:leftChars="86"/>
              <w:jc w:val="right"/>
              <w:rPr>
                <w:rFonts w:hint="eastAsia"/>
                <w:szCs w:val="21"/>
              </w:rPr>
            </w:pPr>
          </w:p>
        </w:tc>
        <w:tc>
          <w:tcPr>
            <w:tcW w:w="1059" w:type="pct"/>
            <w:vAlign w:val="center"/>
          </w:tcPr>
          <w:p w14:paraId="155104E2">
            <w:pPr>
              <w:ind w:left="181" w:leftChars="86"/>
              <w:jc w:val="right"/>
              <w:rPr>
                <w:rFonts w:hint="eastAsia"/>
                <w:szCs w:val="21"/>
              </w:rPr>
            </w:pPr>
            <w:r>
              <w:rPr>
                <w:rFonts w:ascii="Arial Narrow" w:hAnsi="Arial Narrow" w:eastAsia="等线"/>
                <w:color w:val="000000"/>
                <w:szCs w:val="21"/>
              </w:rPr>
              <w:t xml:space="preserve">534,328.10 </w:t>
            </w:r>
          </w:p>
        </w:tc>
        <w:tc>
          <w:tcPr>
            <w:tcW w:w="1058" w:type="pct"/>
            <w:vAlign w:val="center"/>
          </w:tcPr>
          <w:p w14:paraId="603520D9">
            <w:pPr>
              <w:ind w:left="181" w:leftChars="86"/>
              <w:jc w:val="right"/>
              <w:rPr>
                <w:rFonts w:hint="eastAsia"/>
                <w:szCs w:val="21"/>
              </w:rPr>
            </w:pPr>
            <w:r>
              <w:rPr>
                <w:rFonts w:ascii="Arial Narrow" w:hAnsi="Arial Narrow" w:eastAsia="等线"/>
                <w:color w:val="000000"/>
                <w:szCs w:val="21"/>
              </w:rPr>
              <w:t xml:space="preserve">647,582.79 </w:t>
            </w:r>
          </w:p>
        </w:tc>
      </w:tr>
      <w:tr w14:paraId="59ED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pct"/>
            <w:vAlign w:val="center"/>
          </w:tcPr>
          <w:p w14:paraId="5E1EC247">
            <w:pPr>
              <w:pStyle w:val="50"/>
              <w:spacing w:after="0" w:line="240" w:lineRule="auto"/>
              <w:rPr>
                <w:rFonts w:hint="eastAsia" w:ascii="宋体" w:hAnsi="宋体" w:eastAsia="宋体" w:cs="宋体"/>
                <w:sz w:val="21"/>
                <w:szCs w:val="21"/>
                <w:lang w:eastAsia="zh-CN"/>
              </w:rPr>
            </w:pPr>
            <w:r>
              <w:rPr>
                <w:rFonts w:ascii="宋体" w:hAnsi="宋体" w:eastAsia="宋体" w:cs="宋体"/>
                <w:sz w:val="21"/>
                <w:szCs w:val="21"/>
                <w:lang w:eastAsia="zh-CN"/>
              </w:rPr>
              <w:t>2024年12月31日</w:t>
            </w:r>
            <w:r>
              <w:rPr>
                <w:rFonts w:hint="eastAsia" w:ascii="宋体" w:hAnsi="宋体" w:eastAsia="宋体" w:cs="宋体"/>
                <w:sz w:val="21"/>
                <w:szCs w:val="21"/>
                <w:lang w:eastAsia="zh-CN"/>
              </w:rPr>
              <w:t>余额</w:t>
            </w:r>
          </w:p>
        </w:tc>
        <w:tc>
          <w:tcPr>
            <w:tcW w:w="931" w:type="pct"/>
            <w:vAlign w:val="center"/>
          </w:tcPr>
          <w:p w14:paraId="5D10015F">
            <w:pPr>
              <w:ind w:left="181" w:leftChars="86"/>
              <w:jc w:val="right"/>
              <w:rPr>
                <w:rFonts w:hint="eastAsia"/>
                <w:szCs w:val="21"/>
              </w:rPr>
            </w:pPr>
            <w:r>
              <w:rPr>
                <w:rFonts w:ascii="Arial Narrow" w:hAnsi="Arial Narrow" w:eastAsia="等线"/>
                <w:color w:val="000000"/>
                <w:szCs w:val="21"/>
              </w:rPr>
              <w:t xml:space="preserve">306,158,655.66 </w:t>
            </w:r>
          </w:p>
        </w:tc>
        <w:tc>
          <w:tcPr>
            <w:tcW w:w="904" w:type="pct"/>
            <w:vAlign w:val="center"/>
          </w:tcPr>
          <w:p w14:paraId="4A1182B6">
            <w:pPr>
              <w:ind w:left="181" w:leftChars="86"/>
              <w:jc w:val="right"/>
              <w:rPr>
                <w:rFonts w:hint="eastAsia"/>
                <w:szCs w:val="21"/>
              </w:rPr>
            </w:pPr>
          </w:p>
        </w:tc>
        <w:tc>
          <w:tcPr>
            <w:tcW w:w="1059" w:type="pct"/>
            <w:vAlign w:val="center"/>
          </w:tcPr>
          <w:p w14:paraId="1CD05ADC">
            <w:pPr>
              <w:ind w:left="181" w:leftChars="86"/>
              <w:jc w:val="right"/>
              <w:rPr>
                <w:rFonts w:hint="eastAsia"/>
                <w:szCs w:val="21"/>
              </w:rPr>
            </w:pPr>
            <w:r>
              <w:rPr>
                <w:rFonts w:ascii="Arial Narrow" w:hAnsi="Arial Narrow" w:eastAsia="等线"/>
                <w:color w:val="000000"/>
                <w:szCs w:val="21"/>
              </w:rPr>
              <w:t xml:space="preserve">204,343,818.91 </w:t>
            </w:r>
          </w:p>
        </w:tc>
        <w:tc>
          <w:tcPr>
            <w:tcW w:w="1058" w:type="pct"/>
            <w:vAlign w:val="center"/>
          </w:tcPr>
          <w:p w14:paraId="003A5C21">
            <w:pPr>
              <w:ind w:left="181" w:leftChars="86"/>
              <w:jc w:val="right"/>
              <w:rPr>
                <w:rFonts w:hint="eastAsia"/>
                <w:szCs w:val="21"/>
              </w:rPr>
            </w:pPr>
            <w:r>
              <w:rPr>
                <w:rFonts w:ascii="Arial Narrow" w:hAnsi="Arial Narrow" w:eastAsia="等线"/>
                <w:color w:val="000000"/>
                <w:szCs w:val="21"/>
              </w:rPr>
              <w:t xml:space="preserve">510,502,474.57 </w:t>
            </w:r>
          </w:p>
        </w:tc>
      </w:tr>
    </w:tbl>
    <w:p w14:paraId="750927D1">
      <w:pPr>
        <w:autoSpaceDE w:val="0"/>
        <w:autoSpaceDN w:val="0"/>
        <w:adjustRightInd w:val="0"/>
        <w:ind w:right="105" w:rightChars="50"/>
        <w:rPr>
          <w:rFonts w:hint="eastAsia"/>
          <w:szCs w:val="21"/>
        </w:rPr>
      </w:pPr>
    </w:p>
    <w:p w14:paraId="7B497987">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各阶段划分依据和坏账准备计提比例"/>
        <w:tag w:val="_GBC_fefa2e57cd9349fba804e9f0aa553bb9"/>
        <w:id w:val="-1620448149"/>
        <w:placeholder>
          <w:docPart w:val="GBC22222222222222222222222222222"/>
        </w:placeholder>
      </w:sdtPr>
      <w:sdtEndPr>
        <w:rPr>
          <w:rFonts w:cs="Times New Roman"/>
          <w:bCs/>
          <w:szCs w:val="22"/>
        </w:rPr>
      </w:sdtEndPr>
      <w:sdtContent>
        <w:p w14:paraId="6C3B171D">
          <w:pPr>
            <w:rPr>
              <w:rFonts w:hint="eastAsia" w:cs="Times New Roman"/>
              <w:bCs/>
              <w:szCs w:val="22"/>
            </w:rPr>
          </w:pPr>
          <w:r>
            <w:rPr>
              <w:rFonts w:hint="eastAsia" w:cs="Times New Roman"/>
              <w:bCs/>
              <w:szCs w:val="22"/>
            </w:rPr>
            <w:t xml:space="preserve">各阶段划分依据和坏账准备计提比例 </w:t>
          </w:r>
        </w:p>
        <w:p w14:paraId="4CC832F1">
          <w:pPr>
            <w:rPr>
              <w:rFonts w:hint="eastAsia" w:cs="Times New Roman"/>
              <w:bCs/>
              <w:szCs w:val="22"/>
            </w:rPr>
          </w:pPr>
          <w:r>
            <w:rPr>
              <w:rFonts w:hint="eastAsia" w:cs="Times New Roman"/>
              <w:bCs/>
              <w:szCs w:val="22"/>
            </w:rPr>
            <w:t>具体内容详见五、13</w:t>
          </w:r>
        </w:p>
      </w:sdtContent>
    </w:sdt>
    <w:p w14:paraId="37572DFB">
      <w:pPr>
        <w:rPr>
          <w:rFonts w:asciiTheme="minorHAnsi" w:hAnsiTheme="minorHAnsi" w:cstheme="minorBidi"/>
          <w:b/>
          <w:bCs/>
          <w:szCs w:val="22"/>
        </w:rPr>
      </w:pPr>
    </w:p>
    <w:p w14:paraId="268BB546">
      <w:pPr>
        <w:pStyle w:val="123"/>
      </w:pPr>
      <w:r>
        <w:rPr>
          <w:rFonts w:hint="eastAsia"/>
        </w:rPr>
        <w:t>对本期发生损失准备变动的应收账款账面余额显著变动的情况说明：</w:t>
      </w:r>
    </w:p>
    <w:sdt>
      <w:sdtPr>
        <w:rPr>
          <w:szCs w:val="21"/>
        </w:rPr>
        <w:alias w:val="是否适用：对本期发生损失准备变动的账面余额显著变动的情况说明[双击切换]"/>
        <w:tag w:val="_GBC_253db3108f924621ad49e8a14b359867"/>
        <w:id w:val="674460968"/>
        <w:placeholder>
          <w:docPart w:val="GBC22222222222222222222222222222"/>
        </w:placeholder>
      </w:sdtPr>
      <w:sdtEndPr>
        <w:rPr>
          <w:szCs w:val="21"/>
        </w:rPr>
      </w:sdtEndPr>
      <w:sdtContent>
        <w:p w14:paraId="5C77A49E">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4F32354">
      <w:pPr>
        <w:rPr>
          <w:rFonts w:asciiTheme="minorHAnsi" w:hAnsiTheme="minorHAnsi" w:cstheme="minorBidi"/>
          <w:b/>
          <w:bCs/>
          <w:szCs w:val="22"/>
        </w:rPr>
      </w:pPr>
    </w:p>
    <w:bookmarkEnd w:id="249"/>
    <w:bookmarkEnd w:id="250"/>
    <w:p w14:paraId="2E9F36DE">
      <w:pPr>
        <w:pStyle w:val="71"/>
        <w:numPr>
          <w:ilvl w:val="3"/>
          <w:numId w:val="111"/>
        </w:numPr>
        <w:ind w:left="426" w:hanging="426"/>
        <w:rPr>
          <w:rFonts w:hint="eastAsia"/>
        </w:rPr>
      </w:pPr>
      <w:bookmarkStart w:id="251" w:name="_Hlk532991911"/>
      <w:r>
        <w:rPr>
          <w:rFonts w:hint="eastAsia"/>
        </w:rPr>
        <w:t>坏账准备的情况</w:t>
      </w:r>
    </w:p>
    <w:sdt>
      <w:sdtPr>
        <w:alias w:val="是否适用：应收账款坏账准备[双击切换]"/>
        <w:tag w:val="_GBC_9f417fa21150444abc4efab15ee99d53"/>
        <w:id w:val="-398905029"/>
        <w:placeholder>
          <w:docPart w:val="GBC22222222222222222222222222222"/>
        </w:placeholder>
      </w:sdtPr>
      <w:sdtContent>
        <w:p w14:paraId="2D08A51C">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B3016F">
      <w:pPr>
        <w:pStyle w:val="109"/>
        <w:snapToGrid w:val="0"/>
        <w:spacing w:line="240" w:lineRule="atLeast"/>
        <w:ind w:left="425" w:firstLine="0" w:firstLineChars="0"/>
        <w:jc w:val="right"/>
        <w:rPr>
          <w:szCs w:val="21"/>
        </w:rPr>
      </w:pPr>
      <w:r>
        <w:rPr>
          <w:rFonts w:hint="eastAsia"/>
          <w:szCs w:val="21"/>
        </w:rPr>
        <w:t>单位：</w:t>
      </w:r>
      <w:sdt>
        <w:sdtPr>
          <w:rPr>
            <w:rFonts w:hint="eastAsia"/>
            <w:szCs w:val="21"/>
          </w:rPr>
          <w:alias w:val="单位：应收账款坏账准备"/>
          <w:tag w:val="_GBC_c27d9b760b54449682d5a777e36369c3"/>
          <w:id w:val="-1190716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应收账款坏账准备"/>
          <w:tag w:val="_GBC_0ea3ceddf10d4313a5111e5088ac98cf"/>
          <w:id w:val="-15291035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044"/>
        <w:gridCol w:w="1424"/>
        <w:gridCol w:w="1424"/>
        <w:gridCol w:w="1329"/>
        <w:gridCol w:w="1089"/>
        <w:gridCol w:w="1089"/>
        <w:gridCol w:w="1424"/>
      </w:tblGrid>
      <w:tr w14:paraId="3279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rPr>
            <w:tag w:val="_PLD_4744c2787819466dad3d228aea9d34a1"/>
            <w:id w:val="1851829567"/>
          </w:sdtPr>
          <w:sdtEndPr>
            <w:rPr>
              <w:rFonts w:ascii="Arial Narrow" w:hAnsi="Arial Narrow" w:eastAsiaTheme="minorEastAsia"/>
            </w:rPr>
          </w:sdtEndPr>
          <w:sdtContent>
            <w:tc>
              <w:tcPr>
                <w:tcW w:w="592" w:type="pct"/>
                <w:vMerge w:val="restart"/>
                <w:shd w:val="clear" w:color="auto" w:fill="FFFFFF"/>
                <w:vAlign w:val="center"/>
              </w:tcPr>
              <w:p w14:paraId="514AC621">
                <w:pPr>
                  <w:widowControl w:val="0"/>
                  <w:jc w:val="center"/>
                  <w:rPr>
                    <w:rFonts w:ascii="Arial Narrow" w:hAnsi="Arial Narrow" w:eastAsiaTheme="minorEastAsia"/>
                  </w:rPr>
                </w:pPr>
                <w:r>
                  <w:rPr>
                    <w:rFonts w:ascii="Arial Narrow" w:hAnsi="Arial Narrow" w:eastAsiaTheme="minorEastAsia"/>
                  </w:rPr>
                  <w:t>类别</w:t>
                </w:r>
              </w:p>
            </w:tc>
          </w:sdtContent>
        </w:sdt>
        <w:sdt>
          <w:sdtPr>
            <w:rPr>
              <w:rFonts w:ascii="Arial Narrow" w:hAnsi="Arial Narrow" w:eastAsiaTheme="minorEastAsia"/>
            </w:rPr>
            <w:tag w:val="_PLD_c730e797b90345869cdb1a0f449d27c4"/>
            <w:id w:val="-1268467662"/>
          </w:sdtPr>
          <w:sdtEndPr>
            <w:rPr>
              <w:rFonts w:ascii="Arial Narrow" w:hAnsi="Arial Narrow" w:eastAsiaTheme="minorEastAsia"/>
            </w:rPr>
          </w:sdtEndPr>
          <w:sdtContent>
            <w:tc>
              <w:tcPr>
                <w:tcW w:w="807" w:type="pct"/>
                <w:vMerge w:val="restart"/>
                <w:shd w:val="clear" w:color="auto" w:fill="FFFFFF"/>
                <w:vAlign w:val="center"/>
              </w:tcPr>
              <w:p w14:paraId="3C9FD2C7">
                <w:pPr>
                  <w:widowControl w:val="0"/>
                  <w:jc w:val="center"/>
                  <w:rPr>
                    <w:rFonts w:ascii="Arial Narrow" w:hAnsi="Arial Narrow" w:eastAsiaTheme="minorEastAsia"/>
                  </w:rPr>
                </w:pPr>
                <w:r>
                  <w:rPr>
                    <w:rFonts w:ascii="Arial Narrow" w:hAnsi="Arial Narrow" w:eastAsiaTheme="minorEastAsia"/>
                  </w:rPr>
                  <w:t>期初余额</w:t>
                </w:r>
              </w:p>
            </w:tc>
          </w:sdtContent>
        </w:sdt>
        <w:sdt>
          <w:sdtPr>
            <w:rPr>
              <w:rFonts w:ascii="Arial Narrow" w:hAnsi="Arial Narrow" w:eastAsiaTheme="minorEastAsia"/>
            </w:rPr>
            <w:tag w:val="_PLD_b648ee5a72ff43aabfa5e5467354f612"/>
            <w:id w:val="-989705659"/>
          </w:sdtPr>
          <w:sdtEndPr>
            <w:rPr>
              <w:rFonts w:ascii="Arial Narrow" w:hAnsi="Arial Narrow" w:eastAsiaTheme="minorEastAsia"/>
            </w:rPr>
          </w:sdtEndPr>
          <w:sdtContent>
            <w:tc>
              <w:tcPr>
                <w:tcW w:w="2794" w:type="pct"/>
                <w:gridSpan w:val="4"/>
                <w:shd w:val="clear" w:color="auto" w:fill="FFFFFF"/>
                <w:vAlign w:val="center"/>
              </w:tcPr>
              <w:p w14:paraId="5A66009F">
                <w:pPr>
                  <w:widowControl w:val="0"/>
                  <w:jc w:val="center"/>
                  <w:rPr>
                    <w:rFonts w:ascii="Arial Narrow" w:hAnsi="Arial Narrow" w:eastAsiaTheme="minorEastAsia"/>
                  </w:rPr>
                </w:pPr>
                <w:r>
                  <w:rPr>
                    <w:rFonts w:ascii="Arial Narrow" w:hAnsi="Arial Narrow" w:eastAsiaTheme="minorEastAsia"/>
                  </w:rPr>
                  <w:t>本期变动金额</w:t>
                </w:r>
              </w:p>
            </w:tc>
          </w:sdtContent>
        </w:sdt>
        <w:sdt>
          <w:sdtPr>
            <w:rPr>
              <w:rFonts w:ascii="Arial Narrow" w:hAnsi="Arial Narrow" w:eastAsiaTheme="minorEastAsia"/>
            </w:rPr>
            <w:tag w:val="_PLD_670842119a0446778c0343318379e7bb"/>
            <w:id w:val="-2128457552"/>
          </w:sdtPr>
          <w:sdtEndPr>
            <w:rPr>
              <w:rFonts w:ascii="Arial Narrow" w:hAnsi="Arial Narrow" w:eastAsiaTheme="minorEastAsia"/>
            </w:rPr>
          </w:sdtEndPr>
          <w:sdtContent>
            <w:tc>
              <w:tcPr>
                <w:tcW w:w="807" w:type="pct"/>
                <w:vMerge w:val="restart"/>
                <w:shd w:val="clear" w:color="auto" w:fill="FFFFFF"/>
                <w:vAlign w:val="center"/>
              </w:tcPr>
              <w:p w14:paraId="1632B5EC">
                <w:pPr>
                  <w:widowControl w:val="0"/>
                  <w:jc w:val="center"/>
                  <w:rPr>
                    <w:rFonts w:ascii="Arial Narrow" w:hAnsi="Arial Narrow" w:eastAsiaTheme="minorEastAsia"/>
                  </w:rPr>
                </w:pPr>
                <w:r>
                  <w:rPr>
                    <w:rFonts w:ascii="Arial Narrow" w:hAnsi="Arial Narrow" w:eastAsiaTheme="minorEastAsia"/>
                  </w:rPr>
                  <w:t>期末余额</w:t>
                </w:r>
              </w:p>
            </w:tc>
          </w:sdtContent>
        </w:sdt>
      </w:tr>
      <w:tr w14:paraId="1EA8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592" w:type="pct"/>
            <w:vMerge w:val="continue"/>
            <w:shd w:val="clear" w:color="auto" w:fill="FFFFFF"/>
          </w:tcPr>
          <w:p w14:paraId="063776A8">
            <w:pPr>
              <w:widowControl w:val="0"/>
              <w:jc w:val="center"/>
              <w:rPr>
                <w:rFonts w:ascii="Arial Narrow" w:hAnsi="Arial Narrow" w:eastAsiaTheme="minorEastAsia"/>
              </w:rPr>
            </w:pPr>
          </w:p>
        </w:tc>
        <w:tc>
          <w:tcPr>
            <w:tcW w:w="807" w:type="pct"/>
            <w:vMerge w:val="continue"/>
            <w:shd w:val="clear" w:color="auto" w:fill="FFFFFF"/>
          </w:tcPr>
          <w:p w14:paraId="18CFB61E">
            <w:pPr>
              <w:widowControl w:val="0"/>
              <w:jc w:val="center"/>
              <w:rPr>
                <w:rFonts w:ascii="Arial Narrow" w:hAnsi="Arial Narrow" w:eastAsiaTheme="minorEastAsia"/>
              </w:rPr>
            </w:pPr>
          </w:p>
        </w:tc>
        <w:sdt>
          <w:sdtPr>
            <w:rPr>
              <w:rFonts w:ascii="Arial Narrow" w:hAnsi="Arial Narrow" w:eastAsiaTheme="minorEastAsia"/>
            </w:rPr>
            <w:tag w:val="_PLD_9f89b7b6eb974ea9b6438eecb96ab8d7"/>
            <w:id w:val="-1060091076"/>
          </w:sdtPr>
          <w:sdtEndPr>
            <w:rPr>
              <w:rFonts w:ascii="Arial Narrow" w:hAnsi="Arial Narrow" w:eastAsiaTheme="minorEastAsia"/>
            </w:rPr>
          </w:sdtEndPr>
          <w:sdtContent>
            <w:tc>
              <w:tcPr>
                <w:tcW w:w="807" w:type="pct"/>
                <w:shd w:val="clear" w:color="auto" w:fill="FFFFFF"/>
                <w:vAlign w:val="center"/>
              </w:tcPr>
              <w:p w14:paraId="738A6161">
                <w:pPr>
                  <w:widowControl w:val="0"/>
                  <w:jc w:val="center"/>
                  <w:rPr>
                    <w:rFonts w:ascii="Arial Narrow" w:hAnsi="Arial Narrow" w:eastAsiaTheme="minorEastAsia"/>
                  </w:rPr>
                </w:pPr>
                <w:r>
                  <w:rPr>
                    <w:rFonts w:ascii="Arial Narrow" w:hAnsi="Arial Narrow" w:eastAsiaTheme="minorEastAsia"/>
                  </w:rPr>
                  <w:t>计提</w:t>
                </w:r>
              </w:p>
            </w:tc>
          </w:sdtContent>
        </w:sdt>
        <w:sdt>
          <w:sdtPr>
            <w:rPr>
              <w:rFonts w:ascii="Arial Narrow" w:hAnsi="Arial Narrow" w:eastAsiaTheme="minorEastAsia"/>
            </w:rPr>
            <w:tag w:val="_PLD_d83025520e1c49cb905bac81a5fe67a9"/>
            <w:id w:val="-1798746326"/>
          </w:sdtPr>
          <w:sdtEndPr>
            <w:rPr>
              <w:rFonts w:ascii="Arial Narrow" w:hAnsi="Arial Narrow" w:eastAsiaTheme="minorEastAsia"/>
            </w:rPr>
          </w:sdtEndPr>
          <w:sdtContent>
            <w:tc>
              <w:tcPr>
                <w:tcW w:w="753" w:type="pct"/>
                <w:shd w:val="clear" w:color="auto" w:fill="FFFFFF"/>
                <w:vAlign w:val="center"/>
              </w:tcPr>
              <w:p w14:paraId="1EC6C731">
                <w:pPr>
                  <w:widowControl w:val="0"/>
                  <w:jc w:val="center"/>
                  <w:rPr>
                    <w:rFonts w:ascii="Arial Narrow" w:hAnsi="Arial Narrow" w:eastAsiaTheme="minorEastAsia"/>
                  </w:rPr>
                </w:pPr>
                <w:r>
                  <w:rPr>
                    <w:rFonts w:ascii="Arial Narrow" w:hAnsi="Arial Narrow" w:eastAsiaTheme="minorEastAsia"/>
                  </w:rPr>
                  <w:t>收回或转回</w:t>
                </w:r>
              </w:p>
            </w:tc>
          </w:sdtContent>
        </w:sdt>
        <w:tc>
          <w:tcPr>
            <w:tcW w:w="617" w:type="pct"/>
            <w:shd w:val="clear" w:color="auto" w:fill="FFFFFF"/>
            <w:vAlign w:val="center"/>
          </w:tcPr>
          <w:sdt>
            <w:sdtPr>
              <w:rPr>
                <w:rFonts w:ascii="Arial Narrow" w:hAnsi="Arial Narrow" w:eastAsiaTheme="minorEastAsia"/>
              </w:rPr>
              <w:tag w:val="_PLD_43341cdf094c434589f9f5a4eeb8fb4a"/>
              <w:id w:val="1383594692"/>
            </w:sdtPr>
            <w:sdtEndPr>
              <w:rPr>
                <w:rFonts w:ascii="Arial Narrow" w:hAnsi="Arial Narrow" w:eastAsiaTheme="minorEastAsia"/>
              </w:rPr>
            </w:sdtEndPr>
            <w:sdtContent>
              <w:p w14:paraId="4AD46D81">
                <w:pPr>
                  <w:widowControl w:val="0"/>
                  <w:jc w:val="center"/>
                  <w:rPr>
                    <w:rFonts w:ascii="Arial Narrow" w:hAnsi="Arial Narrow" w:eastAsiaTheme="minorEastAsia"/>
                  </w:rPr>
                </w:pPr>
                <w:r>
                  <w:rPr>
                    <w:rFonts w:ascii="Arial Narrow" w:hAnsi="Arial Narrow" w:eastAsiaTheme="minorEastAsia"/>
                  </w:rPr>
                  <w:t>转销或核销</w:t>
                </w:r>
              </w:p>
            </w:sdtContent>
          </w:sdt>
        </w:tc>
        <w:tc>
          <w:tcPr>
            <w:tcW w:w="617" w:type="pct"/>
            <w:shd w:val="clear" w:color="auto" w:fill="FFFFFF"/>
            <w:vAlign w:val="center"/>
          </w:tcPr>
          <w:sdt>
            <w:sdtPr>
              <w:rPr>
                <w:rFonts w:ascii="Arial Narrow" w:hAnsi="Arial Narrow" w:eastAsiaTheme="minorEastAsia"/>
              </w:rPr>
              <w:tag w:val="_PLD_4105509cd7cf412981897dd91879a014"/>
              <w:id w:val="-712030925"/>
            </w:sdtPr>
            <w:sdtEndPr>
              <w:rPr>
                <w:rFonts w:ascii="Arial Narrow" w:hAnsi="Arial Narrow" w:eastAsiaTheme="minorEastAsia"/>
              </w:rPr>
            </w:sdtEndPr>
            <w:sdtContent>
              <w:p w14:paraId="5279CB5F">
                <w:pPr>
                  <w:widowControl w:val="0"/>
                  <w:jc w:val="center"/>
                  <w:rPr>
                    <w:rFonts w:ascii="Arial Narrow" w:hAnsi="Arial Narrow" w:eastAsiaTheme="minorEastAsia"/>
                  </w:rPr>
                </w:pPr>
                <w:r>
                  <w:rPr>
                    <w:rFonts w:ascii="Arial Narrow" w:hAnsi="Arial Narrow" w:eastAsiaTheme="minorEastAsia"/>
                  </w:rPr>
                  <w:t>其他变动</w:t>
                </w:r>
              </w:p>
            </w:sdtContent>
          </w:sdt>
        </w:tc>
        <w:tc>
          <w:tcPr>
            <w:tcW w:w="807" w:type="pct"/>
            <w:vMerge w:val="continue"/>
            <w:shd w:val="clear" w:color="auto" w:fill="FFFFFF"/>
          </w:tcPr>
          <w:p w14:paraId="257BEFBA">
            <w:pPr>
              <w:widowControl w:val="0"/>
              <w:jc w:val="right"/>
              <w:rPr>
                <w:rFonts w:ascii="Arial Narrow" w:hAnsi="Arial Narrow" w:eastAsiaTheme="minorEastAsia"/>
              </w:rPr>
            </w:pPr>
          </w:p>
        </w:tc>
      </w:tr>
      <w:tr w14:paraId="7DB9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592" w:type="pct"/>
            <w:shd w:val="clear" w:color="auto" w:fill="auto"/>
          </w:tcPr>
          <w:p w14:paraId="418A1C0D">
            <w:pPr>
              <w:widowControl w:val="0"/>
              <w:rPr>
                <w:rFonts w:ascii="Arial Narrow" w:hAnsi="Arial Narrow" w:eastAsiaTheme="minorEastAsia"/>
              </w:rPr>
            </w:pPr>
            <w:r>
              <w:rPr>
                <w:rFonts w:ascii="Arial Narrow" w:hAnsi="Arial Narrow" w:eastAsiaTheme="minorEastAsia"/>
                <w:color w:val="000000"/>
                <w:szCs w:val="21"/>
              </w:rPr>
              <w:t>单项计提预期信用损失的应收账款</w:t>
            </w:r>
          </w:p>
        </w:tc>
        <w:tc>
          <w:tcPr>
            <w:tcW w:w="807" w:type="pct"/>
            <w:shd w:val="clear" w:color="auto" w:fill="auto"/>
            <w:vAlign w:val="center"/>
          </w:tcPr>
          <w:p w14:paraId="6A62FDBB">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102,036,326.62 </w:t>
            </w:r>
          </w:p>
        </w:tc>
        <w:tc>
          <w:tcPr>
            <w:tcW w:w="807" w:type="pct"/>
            <w:shd w:val="clear" w:color="auto" w:fill="auto"/>
            <w:vAlign w:val="center"/>
          </w:tcPr>
          <w:p w14:paraId="72ACD50F">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102,005,410.89 </w:t>
            </w:r>
          </w:p>
        </w:tc>
        <w:tc>
          <w:tcPr>
            <w:tcW w:w="753" w:type="pct"/>
            <w:shd w:val="clear" w:color="auto" w:fill="auto"/>
            <w:vAlign w:val="center"/>
          </w:tcPr>
          <w:p w14:paraId="6B769064">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232,246.70 </w:t>
            </w:r>
          </w:p>
        </w:tc>
        <w:tc>
          <w:tcPr>
            <w:tcW w:w="617" w:type="pct"/>
            <w:vAlign w:val="center"/>
          </w:tcPr>
          <w:p w14:paraId="3E8E348E">
            <w:pPr>
              <w:widowControl w:val="0"/>
              <w:jc w:val="right"/>
              <w:rPr>
                <w:rFonts w:ascii="Arial Narrow" w:hAnsi="Arial Narrow" w:eastAsiaTheme="minorEastAsia"/>
                <w:sz w:val="18"/>
                <w:szCs w:val="18"/>
              </w:rPr>
            </w:pPr>
          </w:p>
        </w:tc>
        <w:tc>
          <w:tcPr>
            <w:tcW w:w="617" w:type="pct"/>
            <w:vAlign w:val="center"/>
          </w:tcPr>
          <w:p w14:paraId="7082F889">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534,328.10 </w:t>
            </w:r>
          </w:p>
        </w:tc>
        <w:tc>
          <w:tcPr>
            <w:tcW w:w="807" w:type="pct"/>
            <w:shd w:val="clear" w:color="auto" w:fill="auto"/>
            <w:vAlign w:val="center"/>
          </w:tcPr>
          <w:p w14:paraId="6B858E83">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204,343,818.91 </w:t>
            </w:r>
          </w:p>
        </w:tc>
      </w:tr>
      <w:tr w14:paraId="27E9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592" w:type="pct"/>
            <w:shd w:val="clear" w:color="auto" w:fill="auto"/>
          </w:tcPr>
          <w:p w14:paraId="42905BAB">
            <w:pPr>
              <w:widowControl w:val="0"/>
              <w:rPr>
                <w:rFonts w:ascii="Arial Narrow" w:hAnsi="Arial Narrow" w:eastAsiaTheme="minorEastAsia"/>
              </w:rPr>
            </w:pPr>
            <w:r>
              <w:rPr>
                <w:rFonts w:ascii="Arial Narrow" w:hAnsi="Arial Narrow" w:eastAsiaTheme="minorEastAsia"/>
                <w:color w:val="000000"/>
                <w:szCs w:val="21"/>
              </w:rPr>
              <w:t>按组合计提预期信用损失的应收账款</w:t>
            </w:r>
          </w:p>
        </w:tc>
        <w:tc>
          <w:tcPr>
            <w:tcW w:w="807" w:type="pct"/>
            <w:shd w:val="clear" w:color="auto" w:fill="auto"/>
            <w:vAlign w:val="center"/>
          </w:tcPr>
          <w:p w14:paraId="371997F2">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299,819,393.05 </w:t>
            </w:r>
          </w:p>
        </w:tc>
        <w:tc>
          <w:tcPr>
            <w:tcW w:w="807" w:type="pct"/>
            <w:shd w:val="clear" w:color="auto" w:fill="auto"/>
            <w:vAlign w:val="center"/>
          </w:tcPr>
          <w:p w14:paraId="6BE6FD2C">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7,070,346.46 </w:t>
            </w:r>
          </w:p>
        </w:tc>
        <w:tc>
          <w:tcPr>
            <w:tcW w:w="753" w:type="pct"/>
            <w:shd w:val="clear" w:color="auto" w:fill="auto"/>
            <w:vAlign w:val="center"/>
          </w:tcPr>
          <w:p w14:paraId="178B6E28">
            <w:pPr>
              <w:widowControl w:val="0"/>
              <w:jc w:val="right"/>
              <w:rPr>
                <w:rFonts w:ascii="Arial Narrow" w:hAnsi="Arial Narrow" w:eastAsiaTheme="minorEastAsia"/>
                <w:sz w:val="18"/>
                <w:szCs w:val="18"/>
              </w:rPr>
            </w:pPr>
          </w:p>
        </w:tc>
        <w:tc>
          <w:tcPr>
            <w:tcW w:w="617" w:type="pct"/>
            <w:vAlign w:val="center"/>
          </w:tcPr>
          <w:p w14:paraId="5B0DC108">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844,338.54 </w:t>
            </w:r>
          </w:p>
        </w:tc>
        <w:tc>
          <w:tcPr>
            <w:tcW w:w="617" w:type="pct"/>
            <w:vAlign w:val="center"/>
          </w:tcPr>
          <w:p w14:paraId="39B33B34">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113,254.69 </w:t>
            </w:r>
          </w:p>
        </w:tc>
        <w:tc>
          <w:tcPr>
            <w:tcW w:w="807" w:type="pct"/>
            <w:shd w:val="clear" w:color="auto" w:fill="auto"/>
            <w:vAlign w:val="center"/>
          </w:tcPr>
          <w:p w14:paraId="2BF317ED">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306,158,655.66 </w:t>
            </w:r>
          </w:p>
        </w:tc>
      </w:tr>
      <w:tr w14:paraId="17E3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592" w:type="pct"/>
            <w:shd w:val="clear" w:color="auto" w:fill="auto"/>
          </w:tcPr>
          <w:p w14:paraId="4C2C4393">
            <w:pPr>
              <w:widowControl w:val="0"/>
              <w:jc w:val="center"/>
              <w:rPr>
                <w:rFonts w:ascii="Arial Narrow" w:hAnsi="Arial Narrow" w:eastAsiaTheme="minorEastAsia"/>
              </w:rPr>
            </w:pPr>
            <w:r>
              <w:rPr>
                <w:rFonts w:ascii="Arial Narrow" w:hAnsi="Arial Narrow" w:eastAsiaTheme="minorEastAsia"/>
              </w:rPr>
              <w:t>合计</w:t>
            </w:r>
          </w:p>
        </w:tc>
        <w:tc>
          <w:tcPr>
            <w:tcW w:w="807" w:type="pct"/>
            <w:shd w:val="clear" w:color="auto" w:fill="auto"/>
            <w:vAlign w:val="center"/>
          </w:tcPr>
          <w:p w14:paraId="5929419B">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401,855,719.67 </w:t>
            </w:r>
          </w:p>
        </w:tc>
        <w:tc>
          <w:tcPr>
            <w:tcW w:w="807" w:type="pct"/>
            <w:shd w:val="clear" w:color="auto" w:fill="auto"/>
            <w:vAlign w:val="center"/>
          </w:tcPr>
          <w:p w14:paraId="1EC6C408">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109,075,757.35 </w:t>
            </w:r>
          </w:p>
        </w:tc>
        <w:tc>
          <w:tcPr>
            <w:tcW w:w="753" w:type="pct"/>
            <w:shd w:val="clear" w:color="auto" w:fill="auto"/>
            <w:vAlign w:val="center"/>
          </w:tcPr>
          <w:p w14:paraId="4A5B2FE3">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232,246.70 </w:t>
            </w:r>
          </w:p>
        </w:tc>
        <w:tc>
          <w:tcPr>
            <w:tcW w:w="617" w:type="pct"/>
            <w:vAlign w:val="center"/>
          </w:tcPr>
          <w:p w14:paraId="2748EE29">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844,338.54 </w:t>
            </w:r>
          </w:p>
        </w:tc>
        <w:tc>
          <w:tcPr>
            <w:tcW w:w="617" w:type="pct"/>
            <w:vAlign w:val="center"/>
          </w:tcPr>
          <w:p w14:paraId="33E55471">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647,582.79 </w:t>
            </w:r>
          </w:p>
        </w:tc>
        <w:tc>
          <w:tcPr>
            <w:tcW w:w="807" w:type="pct"/>
            <w:shd w:val="clear" w:color="auto" w:fill="auto"/>
            <w:vAlign w:val="center"/>
          </w:tcPr>
          <w:p w14:paraId="7FE539B4">
            <w:pPr>
              <w:widowControl w:val="0"/>
              <w:jc w:val="right"/>
              <w:rPr>
                <w:rFonts w:ascii="Arial Narrow" w:hAnsi="Arial Narrow" w:eastAsiaTheme="minorEastAsia"/>
                <w:sz w:val="18"/>
                <w:szCs w:val="18"/>
              </w:rPr>
            </w:pPr>
            <w:r>
              <w:rPr>
                <w:rFonts w:ascii="Arial Narrow" w:hAnsi="Arial Narrow" w:eastAsiaTheme="minorEastAsia"/>
                <w:color w:val="000000"/>
                <w:szCs w:val="21"/>
              </w:rPr>
              <w:t xml:space="preserve">510,502,474.57 </w:t>
            </w:r>
          </w:p>
        </w:tc>
      </w:tr>
    </w:tbl>
    <w:p w14:paraId="16545C08">
      <w:pPr>
        <w:pStyle w:val="123"/>
      </w:pPr>
    </w:p>
    <w:bookmarkEnd w:id="251"/>
    <w:p w14:paraId="3D5B67E3">
      <w:pPr>
        <w:rPr>
          <w:rFonts w:hint="eastAsia"/>
        </w:rPr>
      </w:pPr>
      <w:r>
        <w:rPr>
          <w:rFonts w:hint="eastAsia"/>
        </w:rPr>
        <w:t>其中本期坏账准备收回或转回金额重要的：</w:t>
      </w:r>
    </w:p>
    <w:sdt>
      <w:sdtPr>
        <w:alias w:val="是否适用：其中本期坏账准备收回或转回金额重要的[双击切换]"/>
        <w:tag w:val="_GBC_6da74212535e450f9d1465f00dddd00b"/>
        <w:id w:val="411889441"/>
        <w:placeholder>
          <w:docPart w:val="GBC22222222222222222222222222222"/>
        </w:placeholder>
      </w:sdtPr>
      <w:sdtContent>
        <w:p w14:paraId="60411F41">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6EAD5DC">
      <w:pPr>
        <w:rPr>
          <w:rFonts w:hint="eastAsia"/>
        </w:rPr>
      </w:pPr>
    </w:p>
    <w:p w14:paraId="128B00A1">
      <w:pPr>
        <w:rPr>
          <w:rFonts w:hint="eastAsia"/>
        </w:rPr>
      </w:pPr>
      <w:r>
        <w:rPr>
          <w:rFonts w:hint="eastAsia"/>
        </w:rPr>
        <w:t>其他说明：</w:t>
      </w:r>
    </w:p>
    <w:sdt>
      <w:sdtPr>
        <w:alias w:val="应收账款坏账准备情况的说明"/>
        <w:tag w:val="_GBC_497841b0d4bf4697928b74836200c0fa"/>
        <w:id w:val="-477920064"/>
        <w:placeholder>
          <w:docPart w:val="GBC22222222222222222222222222222"/>
        </w:placeholder>
      </w:sdtPr>
      <w:sdtContent>
        <w:p w14:paraId="79A3E438">
          <w:pPr>
            <w:ind w:right="42" w:rightChars="20"/>
            <w:rPr>
              <w:rFonts w:hint="eastAsia"/>
            </w:rPr>
          </w:pPr>
          <w:r>
            <w:rPr>
              <w:rFonts w:hint="eastAsia"/>
            </w:rPr>
            <w:t>无</w:t>
          </w:r>
        </w:p>
      </w:sdtContent>
    </w:sdt>
    <w:p w14:paraId="1F774057">
      <w:pPr>
        <w:ind w:right="-1594" w:rightChars="-759"/>
        <w:rPr>
          <w:rFonts w:hint="eastAsia"/>
        </w:rPr>
      </w:pPr>
    </w:p>
    <w:p w14:paraId="3CEC1728">
      <w:pPr>
        <w:pStyle w:val="71"/>
        <w:numPr>
          <w:ilvl w:val="3"/>
          <w:numId w:val="111"/>
        </w:numPr>
        <w:ind w:left="426" w:hanging="426"/>
        <w:rPr>
          <w:rFonts w:hint="eastAsia"/>
        </w:rPr>
      </w:pPr>
      <w:r>
        <w:rPr>
          <w:rFonts w:hint="eastAsia"/>
        </w:rPr>
        <w:t>本期实际核销的应收账款情况</w:t>
      </w:r>
    </w:p>
    <w:sdt>
      <w:sdtPr>
        <w:alias w:val="是否适用：本期实际核销的应收账款情况[双击切换]"/>
        <w:tag w:val="_GBC_a6ff40b990b34b00968a4938eac82a74"/>
        <w:id w:val="500864199"/>
        <w:placeholder>
          <w:docPart w:val="GBC22222222222222222222222222222"/>
        </w:placeholder>
      </w:sdtPr>
      <w:sdtContent>
        <w:p w14:paraId="4841334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859B551">
      <w:pPr>
        <w:jc w:val="right"/>
        <w:rPr>
          <w:rFonts w:hint="eastAsia"/>
          <w:szCs w:val="21"/>
        </w:rPr>
      </w:pPr>
      <w:r>
        <w:rPr>
          <w:rFonts w:hint="eastAsia"/>
          <w:szCs w:val="21"/>
        </w:rPr>
        <w:t>单位：</w:t>
      </w:r>
      <w:sdt>
        <w:sdtPr>
          <w:rPr>
            <w:rFonts w:hint="eastAsia"/>
            <w:szCs w:val="21"/>
          </w:rPr>
          <w:alias w:val="单位：财务附注：本报告期实际核销的应收款项情况"/>
          <w:tag w:val="_GBC_120829dd17474bb7a477e3113cdeaa92"/>
          <w:id w:val="-2263815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2119290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6"/>
        <w:gridCol w:w="4657"/>
      </w:tblGrid>
      <w:tr w14:paraId="55F9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b31b4d2de9bc4878bfaf030b4ac7f864"/>
            <w:id w:val="-2073491074"/>
          </w:sdtPr>
          <w:sdtEndPr>
            <w:rPr>
              <w:rFonts w:ascii="Arial Narrow" w:hAnsi="Arial Narrow" w:eastAsiaTheme="minorEastAsia"/>
            </w:rPr>
          </w:sdtEndPr>
          <w:sdtContent>
            <w:tc>
              <w:tcPr>
                <w:tcW w:w="2361" w:type="pct"/>
                <w:vAlign w:val="center"/>
              </w:tcPr>
              <w:p w14:paraId="748D9B92">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8157ba5967c14e4e821de564c4546b40"/>
            <w:id w:val="2113936365"/>
          </w:sdtPr>
          <w:sdtEndPr>
            <w:rPr>
              <w:rFonts w:ascii="Arial Narrow" w:hAnsi="Arial Narrow" w:eastAsiaTheme="minorEastAsia"/>
            </w:rPr>
          </w:sdtEndPr>
          <w:sdtContent>
            <w:tc>
              <w:tcPr>
                <w:tcW w:w="2639" w:type="pct"/>
              </w:tcPr>
              <w:p w14:paraId="77962440">
                <w:pPr>
                  <w:jc w:val="center"/>
                  <w:rPr>
                    <w:rFonts w:ascii="Arial Narrow" w:hAnsi="Arial Narrow" w:eastAsiaTheme="minorEastAsia"/>
                    <w:szCs w:val="21"/>
                  </w:rPr>
                </w:pPr>
                <w:r>
                  <w:rPr>
                    <w:rFonts w:ascii="Arial Narrow" w:hAnsi="Arial Narrow" w:eastAsiaTheme="minorEastAsia"/>
                    <w:szCs w:val="21"/>
                  </w:rPr>
                  <w:t>核销金额</w:t>
                </w:r>
              </w:p>
            </w:tc>
          </w:sdtContent>
        </w:sdt>
      </w:tr>
      <w:tr w14:paraId="7326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1" w:type="pct"/>
          </w:tcPr>
          <w:p w14:paraId="64A0E4FE">
            <w:pPr>
              <w:rPr>
                <w:rFonts w:ascii="Arial Narrow" w:hAnsi="Arial Narrow" w:eastAsiaTheme="minorEastAsia"/>
                <w:szCs w:val="21"/>
              </w:rPr>
            </w:pPr>
            <w:r>
              <w:rPr>
                <w:rFonts w:ascii="Arial Narrow" w:hAnsi="Arial Narrow" w:eastAsiaTheme="minorEastAsia"/>
                <w:szCs w:val="21"/>
              </w:rPr>
              <w:t>实际核销的应收账款</w:t>
            </w:r>
          </w:p>
        </w:tc>
        <w:tc>
          <w:tcPr>
            <w:tcW w:w="2639" w:type="pct"/>
          </w:tcPr>
          <w:p w14:paraId="0B7DC622">
            <w:pPr>
              <w:jc w:val="right"/>
              <w:rPr>
                <w:rFonts w:ascii="Arial Narrow" w:hAnsi="Arial Narrow" w:eastAsiaTheme="minorEastAsia"/>
                <w:szCs w:val="21"/>
              </w:rPr>
            </w:pPr>
            <w:r>
              <w:rPr>
                <w:rFonts w:ascii="Arial Narrow" w:hAnsi="Arial Narrow" w:eastAsiaTheme="minorEastAsia"/>
                <w:szCs w:val="21"/>
              </w:rPr>
              <w:t>844,338.54</w:t>
            </w:r>
          </w:p>
        </w:tc>
      </w:tr>
    </w:tbl>
    <w:p w14:paraId="30FB7CF2">
      <w:pPr>
        <w:rPr>
          <w:rFonts w:hint="eastAsia"/>
          <w:szCs w:val="21"/>
        </w:rPr>
      </w:pPr>
    </w:p>
    <w:p w14:paraId="3AF51FDD">
      <w:pPr>
        <w:rPr>
          <w:rFonts w:hint="eastAsia"/>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1765598652"/>
        <w:placeholder>
          <w:docPart w:val="GBC22222222222222222222222222222"/>
        </w:placeholder>
      </w:sdtPr>
      <w:sdtEndPr>
        <w:rPr>
          <w:szCs w:val="21"/>
        </w:rPr>
      </w:sdtEndPr>
      <w:sdtContent>
        <w:p w14:paraId="36611EF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F8E41F2">
      <w:pPr>
        <w:rPr>
          <w:rFonts w:hint="eastAsia"/>
          <w:szCs w:val="21"/>
        </w:rPr>
      </w:pPr>
    </w:p>
    <w:p w14:paraId="46EE322A">
      <w:pPr>
        <w:snapToGrid w:val="0"/>
        <w:spacing w:line="240" w:lineRule="atLeast"/>
        <w:rPr>
          <w:rFonts w:hint="eastAsia"/>
          <w:szCs w:val="21"/>
        </w:rPr>
      </w:pPr>
      <w:r>
        <w:rPr>
          <w:rFonts w:hint="eastAsia"/>
          <w:szCs w:val="21"/>
        </w:rPr>
        <w:t>应收账款核销说明：</w:t>
      </w:r>
    </w:p>
    <w:sdt>
      <w:sdtPr>
        <w:rPr>
          <w:szCs w:val="21"/>
        </w:rPr>
        <w:alias w:val="是否适用：应收账款核销说明[双击切换]"/>
        <w:tag w:val="_GBC_e00d0b458c1b4b5f99d670e3f2a2b2e2"/>
        <w:id w:val="5797944"/>
        <w:placeholder>
          <w:docPart w:val="GBC22222222222222222222222222222"/>
        </w:placeholder>
      </w:sdtPr>
      <w:sdtEndPr>
        <w:rPr>
          <w:szCs w:val="21"/>
        </w:rPr>
      </w:sdtEndPr>
      <w:sdtContent>
        <w:p w14:paraId="21CE6B21">
          <w:pPr>
            <w:snapToGrid w:val="0"/>
            <w:spacing w:line="240" w:lineRule="atLeast"/>
            <w:rPr>
              <w:rFonts w:hint="eastAsia"/>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6F088BD">
      <w:pPr>
        <w:rPr>
          <w:rFonts w:hint="eastAsia"/>
        </w:rPr>
      </w:pPr>
    </w:p>
    <w:p w14:paraId="23C1AA86">
      <w:pPr>
        <w:rPr>
          <w:rFonts w:hint="eastAsia"/>
        </w:rPr>
      </w:pPr>
    </w:p>
    <w:p w14:paraId="3907DD83">
      <w:pPr>
        <w:rPr>
          <w:rFonts w:hint="eastAsia"/>
        </w:rPr>
      </w:pPr>
    </w:p>
    <w:p w14:paraId="3F5C4ED3">
      <w:pPr>
        <w:rPr>
          <w:rFonts w:hint="eastAsia"/>
        </w:rPr>
      </w:pPr>
    </w:p>
    <w:p w14:paraId="2AD60D11">
      <w:pPr>
        <w:rPr>
          <w:rFonts w:hint="eastAsia"/>
        </w:rPr>
      </w:pPr>
    </w:p>
    <w:p w14:paraId="156CEE63">
      <w:pPr>
        <w:rPr>
          <w:rFonts w:hint="eastAsia"/>
        </w:rPr>
      </w:pPr>
    </w:p>
    <w:p w14:paraId="5BDC5645">
      <w:pPr>
        <w:rPr>
          <w:rFonts w:hint="eastAsia"/>
        </w:rPr>
      </w:pPr>
    </w:p>
    <w:p w14:paraId="54BA7388">
      <w:pPr>
        <w:pStyle w:val="71"/>
        <w:numPr>
          <w:ilvl w:val="3"/>
          <w:numId w:val="111"/>
        </w:numPr>
        <w:ind w:left="426" w:hanging="426"/>
        <w:rPr>
          <w:rFonts w:hint="eastAsia"/>
        </w:rPr>
      </w:pPr>
      <w:r>
        <w:rPr>
          <w:rFonts w:hint="eastAsia"/>
        </w:rPr>
        <w:t>按欠款方归集的期末余额前五名的应收账款和合同资产情况</w:t>
      </w:r>
    </w:p>
    <w:sdt>
      <w:sdtPr>
        <w:rPr>
          <w:rFonts w:hint="eastAsia"/>
          <w:szCs w:val="21"/>
        </w:rPr>
        <w:alias w:val="是否适用：按欠款方归集的期末余额前五名的应收账款情况[双击切换]"/>
        <w:tag w:val="_GBC_384d0a1c7eac41bb9693117cbe9c7e5b"/>
        <w:id w:val="1415594591"/>
        <w:placeholder>
          <w:docPart w:val="GBC22222222222222222222222222222"/>
        </w:placeholder>
      </w:sdtPr>
      <w:sdtEndPr>
        <w:rPr>
          <w:rFonts w:hint="eastAsia"/>
          <w:szCs w:val="21"/>
        </w:rPr>
      </w:sdtEndPr>
      <w:sdtContent>
        <w:p w14:paraId="0FEEFD14">
          <w:pPr>
            <w:snapToGrid w:val="0"/>
            <w:spacing w:line="240" w:lineRule="atLeast"/>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6FA57B">
      <w:pPr>
        <w:snapToGrid w:val="0"/>
        <w:spacing w:line="240" w:lineRule="atLeast"/>
        <w:jc w:val="right"/>
        <w:rPr>
          <w:rFonts w:hint="eastAsia"/>
          <w:szCs w:val="21"/>
        </w:rPr>
      </w:pPr>
      <w:r>
        <w:rPr>
          <w:rFonts w:hint="eastAsia"/>
          <w:szCs w:val="21"/>
        </w:rPr>
        <w:t>单位：</w:t>
      </w:r>
      <w:sdt>
        <w:sdtPr>
          <w:rPr>
            <w:szCs w:val="21"/>
          </w:rPr>
          <w:alias w:val="单位：财务附注：应收账款前五名欠款情况"/>
          <w:tag w:val="_GBC_95040abe54a0489f8b830082545a50f5"/>
          <w:id w:val="-172598285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rFonts w:hint="eastAsia"/>
            <w:szCs w:val="21"/>
          </w:rPr>
          <w:alias w:val="币种：财务附注：应收账款前五名欠款情况"/>
          <w:tag w:val="_GBC_2e7ff062f76c406d86d744597244f24c"/>
          <w:id w:val="852773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1"/>
        <w:gridCol w:w="1631"/>
        <w:gridCol w:w="1410"/>
        <w:gridCol w:w="1557"/>
        <w:gridCol w:w="1408"/>
        <w:gridCol w:w="1406"/>
      </w:tblGrid>
      <w:tr w14:paraId="7BBE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393da722a1e6440ebfe654baf23b690e"/>
            <w:id w:val="1053654885"/>
          </w:sdtPr>
          <w:sdtContent>
            <w:tc>
              <w:tcPr>
                <w:tcW w:w="799" w:type="pct"/>
                <w:vAlign w:val="center"/>
              </w:tcPr>
              <w:p w14:paraId="7C2C48E1">
                <w:pPr>
                  <w:ind w:right="105"/>
                  <w:jc w:val="center"/>
                  <w:rPr>
                    <w:rFonts w:hint="eastAsia"/>
                    <w:szCs w:val="21"/>
                  </w:rPr>
                </w:pPr>
                <w:r>
                  <w:rPr>
                    <w:rFonts w:hint="eastAsia"/>
                    <w:szCs w:val="21"/>
                  </w:rPr>
                  <w:t>单位名称</w:t>
                </w:r>
              </w:p>
            </w:tc>
          </w:sdtContent>
        </w:sdt>
        <w:sdt>
          <w:sdtPr>
            <w:tag w:val="_PLD_e14b89c8ccbc4e1fbb83ed437d4f7c27"/>
            <w:id w:val="-1287811017"/>
          </w:sdtPr>
          <w:sdtContent>
            <w:tc>
              <w:tcPr>
                <w:tcW w:w="924" w:type="pct"/>
                <w:vAlign w:val="center"/>
              </w:tcPr>
              <w:p w14:paraId="49F4E0D7">
                <w:pPr>
                  <w:ind w:right="73"/>
                  <w:jc w:val="center"/>
                  <w:rPr>
                    <w:rFonts w:hint="eastAsia"/>
                    <w:szCs w:val="21"/>
                  </w:rPr>
                </w:pPr>
                <w:r>
                  <w:rPr>
                    <w:rFonts w:hint="eastAsia"/>
                    <w:szCs w:val="21"/>
                  </w:rPr>
                  <w:t>应收账款期末余额</w:t>
                </w:r>
              </w:p>
            </w:tc>
          </w:sdtContent>
        </w:sdt>
        <w:sdt>
          <w:sdtPr>
            <w:tag w:val="_PLD_9e781bfbeaa241238adba8f92d150259"/>
            <w:id w:val="-306622273"/>
          </w:sdtPr>
          <w:sdtContent>
            <w:tc>
              <w:tcPr>
                <w:tcW w:w="799" w:type="pct"/>
                <w:vAlign w:val="center"/>
              </w:tcPr>
              <w:p w14:paraId="526270BF">
                <w:pPr>
                  <w:jc w:val="center"/>
                  <w:rPr>
                    <w:rFonts w:hint="eastAsia"/>
                    <w:szCs w:val="21"/>
                  </w:rPr>
                </w:pPr>
                <w:r>
                  <w:rPr>
                    <w:rFonts w:hint="eastAsia"/>
                    <w:szCs w:val="21"/>
                  </w:rPr>
                  <w:t>合同资产期末余额</w:t>
                </w:r>
              </w:p>
            </w:tc>
          </w:sdtContent>
        </w:sdt>
        <w:sdt>
          <w:sdtPr>
            <w:tag w:val="_PLD_666c0ccb3f21467e9e36a3c674bf8485"/>
            <w:id w:val="267361978"/>
          </w:sdtPr>
          <w:sdtContent>
            <w:tc>
              <w:tcPr>
                <w:tcW w:w="882" w:type="pct"/>
                <w:vAlign w:val="center"/>
              </w:tcPr>
              <w:p w14:paraId="258C24A8">
                <w:pPr>
                  <w:jc w:val="center"/>
                  <w:rPr>
                    <w:rFonts w:hint="eastAsia"/>
                    <w:szCs w:val="21"/>
                  </w:rPr>
                </w:pPr>
                <w:r>
                  <w:rPr>
                    <w:rFonts w:hint="eastAsia"/>
                    <w:szCs w:val="21"/>
                  </w:rPr>
                  <w:t>应收账款和合同资产期末余额</w:t>
                </w:r>
              </w:p>
            </w:tc>
          </w:sdtContent>
        </w:sdt>
        <w:sdt>
          <w:sdtPr>
            <w:tag w:val="_PLD_8b734501e3a344dda6644cb9d228c237"/>
            <w:id w:val="-1316022920"/>
          </w:sdtPr>
          <w:sdtContent>
            <w:tc>
              <w:tcPr>
                <w:tcW w:w="798" w:type="pct"/>
                <w:vAlign w:val="center"/>
              </w:tcPr>
              <w:p w14:paraId="0C670FA2">
                <w:pPr>
                  <w:jc w:val="center"/>
                  <w:rPr>
                    <w:rFonts w:hint="eastAsia"/>
                    <w:szCs w:val="21"/>
                  </w:rPr>
                </w:pPr>
                <w:r>
                  <w:rPr>
                    <w:rFonts w:hint="eastAsia"/>
                    <w:szCs w:val="21"/>
                  </w:rPr>
                  <w:t>占应收账款和合同资产期末余额合计数的比例（%）</w:t>
                </w:r>
              </w:p>
            </w:tc>
          </w:sdtContent>
        </w:sdt>
        <w:sdt>
          <w:sdtPr>
            <w:tag w:val="_PLD_e198f1b6108c4fccacfc45ea46e8ff41"/>
            <w:id w:val="-450014441"/>
          </w:sdtPr>
          <w:sdtContent>
            <w:tc>
              <w:tcPr>
                <w:tcW w:w="797" w:type="pct"/>
                <w:vAlign w:val="center"/>
              </w:tcPr>
              <w:p w14:paraId="68CF8215">
                <w:pPr>
                  <w:jc w:val="center"/>
                  <w:rPr>
                    <w:rFonts w:hint="eastAsia"/>
                    <w:szCs w:val="21"/>
                  </w:rPr>
                </w:pPr>
                <w:r>
                  <w:rPr>
                    <w:rFonts w:hint="eastAsia"/>
                    <w:szCs w:val="21"/>
                  </w:rPr>
                  <w:t>坏账准备期末余额</w:t>
                </w:r>
              </w:p>
            </w:tc>
          </w:sdtContent>
        </w:sdt>
      </w:tr>
      <w:tr w14:paraId="7842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vAlign w:val="center"/>
          </w:tcPr>
          <w:p w14:paraId="4C44FB8A">
            <w:pPr>
              <w:ind w:right="105"/>
              <w:rPr>
                <w:rFonts w:hint="eastAsia"/>
                <w:szCs w:val="21"/>
              </w:rPr>
            </w:pPr>
            <w:r>
              <w:rPr>
                <w:rFonts w:hint="eastAsia"/>
                <w:color w:val="000000"/>
                <w:szCs w:val="21"/>
              </w:rPr>
              <w:t>客户一</w:t>
            </w:r>
          </w:p>
        </w:tc>
        <w:tc>
          <w:tcPr>
            <w:tcW w:w="924" w:type="pct"/>
            <w:vAlign w:val="center"/>
          </w:tcPr>
          <w:p w14:paraId="0D72C68F">
            <w:pPr>
              <w:ind w:right="73"/>
              <w:jc w:val="right"/>
              <w:rPr>
                <w:rFonts w:hint="eastAsia"/>
                <w:szCs w:val="21"/>
              </w:rPr>
            </w:pPr>
            <w:r>
              <w:rPr>
                <w:rFonts w:ascii="Arial Narrow" w:hAnsi="Arial Narrow" w:eastAsia="等线"/>
                <w:color w:val="000000"/>
                <w:szCs w:val="21"/>
              </w:rPr>
              <w:t xml:space="preserve">1,062,139,719.94 </w:t>
            </w:r>
          </w:p>
        </w:tc>
        <w:tc>
          <w:tcPr>
            <w:tcW w:w="799" w:type="pct"/>
            <w:vAlign w:val="center"/>
          </w:tcPr>
          <w:p w14:paraId="0738253C">
            <w:pPr>
              <w:jc w:val="right"/>
              <w:rPr>
                <w:rFonts w:hint="eastAsia"/>
                <w:szCs w:val="21"/>
              </w:rPr>
            </w:pPr>
          </w:p>
        </w:tc>
        <w:tc>
          <w:tcPr>
            <w:tcW w:w="882" w:type="pct"/>
            <w:vAlign w:val="center"/>
          </w:tcPr>
          <w:p w14:paraId="0FF914A4">
            <w:pPr>
              <w:jc w:val="right"/>
              <w:rPr>
                <w:rFonts w:hint="eastAsia"/>
                <w:szCs w:val="21"/>
              </w:rPr>
            </w:pPr>
            <w:r>
              <w:rPr>
                <w:rFonts w:ascii="Arial Narrow" w:hAnsi="Arial Narrow" w:eastAsia="等线"/>
                <w:color w:val="000000"/>
                <w:szCs w:val="21"/>
              </w:rPr>
              <w:t xml:space="preserve">1,062,139,719.94 </w:t>
            </w:r>
          </w:p>
        </w:tc>
        <w:tc>
          <w:tcPr>
            <w:tcW w:w="798" w:type="pct"/>
            <w:vAlign w:val="center"/>
          </w:tcPr>
          <w:p w14:paraId="619980A3">
            <w:pPr>
              <w:jc w:val="right"/>
              <w:rPr>
                <w:rFonts w:hint="eastAsia"/>
                <w:szCs w:val="21"/>
              </w:rPr>
            </w:pPr>
            <w:r>
              <w:rPr>
                <w:rFonts w:ascii="Arial Narrow" w:hAnsi="Arial Narrow" w:eastAsia="等线"/>
                <w:color w:val="000000"/>
                <w:szCs w:val="21"/>
              </w:rPr>
              <w:t xml:space="preserve">30.96 </w:t>
            </w:r>
          </w:p>
        </w:tc>
        <w:tc>
          <w:tcPr>
            <w:tcW w:w="797" w:type="pct"/>
            <w:vAlign w:val="center"/>
          </w:tcPr>
          <w:p w14:paraId="58E8DBBC">
            <w:pPr>
              <w:jc w:val="right"/>
              <w:rPr>
                <w:rFonts w:hint="eastAsia"/>
                <w:szCs w:val="21"/>
              </w:rPr>
            </w:pPr>
            <w:r>
              <w:rPr>
                <w:rFonts w:ascii="Arial Narrow" w:hAnsi="Arial Narrow" w:eastAsia="等线"/>
                <w:color w:val="000000"/>
                <w:szCs w:val="21"/>
              </w:rPr>
              <w:t xml:space="preserve">11,484,840.56 </w:t>
            </w:r>
          </w:p>
        </w:tc>
      </w:tr>
      <w:tr w14:paraId="3947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vAlign w:val="center"/>
          </w:tcPr>
          <w:p w14:paraId="3418C2AB">
            <w:pPr>
              <w:ind w:right="105"/>
              <w:rPr>
                <w:rFonts w:hint="eastAsia"/>
                <w:szCs w:val="21"/>
              </w:rPr>
            </w:pPr>
            <w:r>
              <w:rPr>
                <w:rFonts w:hint="eastAsia"/>
                <w:color w:val="000000"/>
                <w:szCs w:val="21"/>
              </w:rPr>
              <w:t>客户二</w:t>
            </w:r>
          </w:p>
        </w:tc>
        <w:tc>
          <w:tcPr>
            <w:tcW w:w="924" w:type="pct"/>
            <w:vAlign w:val="center"/>
          </w:tcPr>
          <w:p w14:paraId="34F0E7AC">
            <w:pPr>
              <w:ind w:right="73"/>
              <w:jc w:val="right"/>
              <w:rPr>
                <w:rFonts w:hint="eastAsia"/>
                <w:szCs w:val="21"/>
              </w:rPr>
            </w:pPr>
            <w:r>
              <w:rPr>
                <w:rFonts w:ascii="Arial Narrow" w:hAnsi="Arial Narrow" w:eastAsia="等线"/>
                <w:color w:val="000000"/>
                <w:szCs w:val="21"/>
              </w:rPr>
              <w:t xml:space="preserve">382,734,906.69 </w:t>
            </w:r>
          </w:p>
        </w:tc>
        <w:tc>
          <w:tcPr>
            <w:tcW w:w="799" w:type="pct"/>
            <w:vAlign w:val="center"/>
          </w:tcPr>
          <w:p w14:paraId="18F48B40">
            <w:pPr>
              <w:jc w:val="right"/>
              <w:rPr>
                <w:rFonts w:hint="eastAsia"/>
                <w:szCs w:val="21"/>
              </w:rPr>
            </w:pPr>
          </w:p>
        </w:tc>
        <w:tc>
          <w:tcPr>
            <w:tcW w:w="882" w:type="pct"/>
            <w:vAlign w:val="center"/>
          </w:tcPr>
          <w:p w14:paraId="788EE0F3">
            <w:pPr>
              <w:jc w:val="right"/>
              <w:rPr>
                <w:rFonts w:hint="eastAsia"/>
                <w:szCs w:val="21"/>
              </w:rPr>
            </w:pPr>
            <w:r>
              <w:rPr>
                <w:rFonts w:ascii="Arial Narrow" w:hAnsi="Arial Narrow" w:eastAsia="等线"/>
                <w:color w:val="000000"/>
                <w:szCs w:val="21"/>
              </w:rPr>
              <w:t xml:space="preserve">382,734,906.69 </w:t>
            </w:r>
          </w:p>
        </w:tc>
        <w:tc>
          <w:tcPr>
            <w:tcW w:w="798" w:type="pct"/>
            <w:vAlign w:val="center"/>
          </w:tcPr>
          <w:p w14:paraId="1C58CE27">
            <w:pPr>
              <w:jc w:val="right"/>
              <w:rPr>
                <w:rFonts w:hint="eastAsia"/>
                <w:szCs w:val="21"/>
              </w:rPr>
            </w:pPr>
            <w:r>
              <w:rPr>
                <w:rFonts w:ascii="Arial Narrow" w:hAnsi="Arial Narrow" w:eastAsia="等线"/>
                <w:color w:val="000000"/>
                <w:szCs w:val="21"/>
              </w:rPr>
              <w:t xml:space="preserve">11.15 </w:t>
            </w:r>
          </w:p>
        </w:tc>
        <w:tc>
          <w:tcPr>
            <w:tcW w:w="797" w:type="pct"/>
            <w:vAlign w:val="center"/>
          </w:tcPr>
          <w:p w14:paraId="15E97C05">
            <w:pPr>
              <w:jc w:val="right"/>
              <w:rPr>
                <w:rFonts w:hint="eastAsia"/>
                <w:szCs w:val="21"/>
              </w:rPr>
            </w:pPr>
            <w:r>
              <w:rPr>
                <w:rFonts w:ascii="Arial Narrow" w:hAnsi="Arial Narrow" w:eastAsia="等线"/>
                <w:color w:val="000000"/>
                <w:szCs w:val="21"/>
              </w:rPr>
              <w:t xml:space="preserve">1,112,455.89 </w:t>
            </w:r>
          </w:p>
        </w:tc>
      </w:tr>
      <w:tr w14:paraId="1D5F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vAlign w:val="center"/>
          </w:tcPr>
          <w:p w14:paraId="6A783621">
            <w:pPr>
              <w:ind w:right="105"/>
              <w:rPr>
                <w:rFonts w:hint="eastAsia"/>
                <w:szCs w:val="21"/>
              </w:rPr>
            </w:pPr>
            <w:r>
              <w:rPr>
                <w:rFonts w:hint="eastAsia"/>
                <w:color w:val="000000"/>
                <w:szCs w:val="21"/>
              </w:rPr>
              <w:t>客户三</w:t>
            </w:r>
          </w:p>
        </w:tc>
        <w:tc>
          <w:tcPr>
            <w:tcW w:w="924" w:type="pct"/>
            <w:vAlign w:val="center"/>
          </w:tcPr>
          <w:p w14:paraId="20C1718C">
            <w:pPr>
              <w:ind w:right="73"/>
              <w:jc w:val="right"/>
              <w:rPr>
                <w:rFonts w:hint="eastAsia"/>
                <w:szCs w:val="21"/>
              </w:rPr>
            </w:pPr>
            <w:r>
              <w:rPr>
                <w:rFonts w:ascii="Arial Narrow" w:hAnsi="Arial Narrow" w:eastAsia="等线"/>
                <w:color w:val="000000"/>
                <w:szCs w:val="21"/>
              </w:rPr>
              <w:t xml:space="preserve">79,536,026.27 </w:t>
            </w:r>
          </w:p>
        </w:tc>
        <w:tc>
          <w:tcPr>
            <w:tcW w:w="799" w:type="pct"/>
            <w:vAlign w:val="center"/>
          </w:tcPr>
          <w:p w14:paraId="382DCE5E">
            <w:pPr>
              <w:jc w:val="right"/>
              <w:rPr>
                <w:rFonts w:hint="eastAsia"/>
                <w:szCs w:val="21"/>
              </w:rPr>
            </w:pPr>
          </w:p>
        </w:tc>
        <w:tc>
          <w:tcPr>
            <w:tcW w:w="882" w:type="pct"/>
            <w:vAlign w:val="center"/>
          </w:tcPr>
          <w:p w14:paraId="5052C311">
            <w:pPr>
              <w:jc w:val="right"/>
              <w:rPr>
                <w:rFonts w:hint="eastAsia"/>
                <w:szCs w:val="21"/>
              </w:rPr>
            </w:pPr>
            <w:r>
              <w:rPr>
                <w:rFonts w:ascii="Arial Narrow" w:hAnsi="Arial Narrow" w:eastAsia="等线"/>
                <w:color w:val="000000"/>
                <w:szCs w:val="21"/>
              </w:rPr>
              <w:t xml:space="preserve">79,536,026.27 </w:t>
            </w:r>
          </w:p>
        </w:tc>
        <w:tc>
          <w:tcPr>
            <w:tcW w:w="798" w:type="pct"/>
            <w:vAlign w:val="center"/>
          </w:tcPr>
          <w:p w14:paraId="121231A1">
            <w:pPr>
              <w:jc w:val="right"/>
              <w:rPr>
                <w:rFonts w:hint="eastAsia"/>
                <w:szCs w:val="21"/>
              </w:rPr>
            </w:pPr>
            <w:r>
              <w:rPr>
                <w:rFonts w:ascii="Arial Narrow" w:hAnsi="Arial Narrow" w:eastAsia="等线"/>
                <w:color w:val="000000"/>
                <w:szCs w:val="21"/>
              </w:rPr>
              <w:t xml:space="preserve">2.32 </w:t>
            </w:r>
          </w:p>
        </w:tc>
        <w:tc>
          <w:tcPr>
            <w:tcW w:w="797" w:type="pct"/>
            <w:vAlign w:val="center"/>
          </w:tcPr>
          <w:p w14:paraId="5F06A7C8">
            <w:pPr>
              <w:jc w:val="right"/>
              <w:rPr>
                <w:rFonts w:hint="eastAsia"/>
                <w:szCs w:val="21"/>
              </w:rPr>
            </w:pPr>
            <w:r>
              <w:rPr>
                <w:rFonts w:ascii="Arial Narrow" w:hAnsi="Arial Narrow" w:eastAsia="等线"/>
                <w:color w:val="000000"/>
                <w:szCs w:val="21"/>
              </w:rPr>
              <w:t xml:space="preserve">112,540.30 </w:t>
            </w:r>
          </w:p>
        </w:tc>
      </w:tr>
      <w:tr w14:paraId="0249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vAlign w:val="center"/>
          </w:tcPr>
          <w:p w14:paraId="0D574FBE">
            <w:pPr>
              <w:ind w:right="105"/>
              <w:rPr>
                <w:rFonts w:hint="eastAsia"/>
                <w:szCs w:val="21"/>
              </w:rPr>
            </w:pPr>
            <w:r>
              <w:rPr>
                <w:rFonts w:hint="eastAsia"/>
                <w:color w:val="000000"/>
                <w:szCs w:val="21"/>
              </w:rPr>
              <w:t>客户四</w:t>
            </w:r>
          </w:p>
        </w:tc>
        <w:tc>
          <w:tcPr>
            <w:tcW w:w="924" w:type="pct"/>
            <w:vAlign w:val="center"/>
          </w:tcPr>
          <w:p w14:paraId="699AD7C8">
            <w:pPr>
              <w:ind w:right="73"/>
              <w:jc w:val="right"/>
              <w:rPr>
                <w:rFonts w:hint="eastAsia"/>
                <w:szCs w:val="21"/>
              </w:rPr>
            </w:pPr>
            <w:r>
              <w:rPr>
                <w:rFonts w:ascii="Arial Narrow" w:hAnsi="Arial Narrow" w:eastAsia="等线"/>
                <w:color w:val="000000"/>
                <w:szCs w:val="21"/>
              </w:rPr>
              <w:t xml:space="preserve">69,804,734.48 </w:t>
            </w:r>
          </w:p>
        </w:tc>
        <w:tc>
          <w:tcPr>
            <w:tcW w:w="799" w:type="pct"/>
            <w:vAlign w:val="center"/>
          </w:tcPr>
          <w:p w14:paraId="7454F07D">
            <w:pPr>
              <w:jc w:val="right"/>
              <w:rPr>
                <w:rFonts w:hint="eastAsia"/>
                <w:szCs w:val="21"/>
              </w:rPr>
            </w:pPr>
          </w:p>
        </w:tc>
        <w:tc>
          <w:tcPr>
            <w:tcW w:w="882" w:type="pct"/>
            <w:vAlign w:val="center"/>
          </w:tcPr>
          <w:p w14:paraId="799AEDA2">
            <w:pPr>
              <w:jc w:val="right"/>
              <w:rPr>
                <w:rFonts w:hint="eastAsia"/>
                <w:szCs w:val="21"/>
              </w:rPr>
            </w:pPr>
            <w:r>
              <w:rPr>
                <w:rFonts w:ascii="Arial Narrow" w:hAnsi="Arial Narrow" w:eastAsia="等线"/>
                <w:color w:val="000000"/>
                <w:szCs w:val="21"/>
              </w:rPr>
              <w:t xml:space="preserve">69,804,734.48 </w:t>
            </w:r>
          </w:p>
        </w:tc>
        <w:tc>
          <w:tcPr>
            <w:tcW w:w="798" w:type="pct"/>
            <w:vAlign w:val="center"/>
          </w:tcPr>
          <w:p w14:paraId="479B545D">
            <w:pPr>
              <w:jc w:val="right"/>
              <w:rPr>
                <w:rFonts w:hint="eastAsia"/>
                <w:szCs w:val="21"/>
              </w:rPr>
            </w:pPr>
            <w:r>
              <w:rPr>
                <w:rFonts w:ascii="Arial Narrow" w:hAnsi="Arial Narrow" w:eastAsia="等线"/>
                <w:color w:val="000000"/>
                <w:szCs w:val="21"/>
              </w:rPr>
              <w:t xml:space="preserve">2.03 </w:t>
            </w:r>
          </w:p>
        </w:tc>
        <w:tc>
          <w:tcPr>
            <w:tcW w:w="797" w:type="pct"/>
            <w:vAlign w:val="center"/>
          </w:tcPr>
          <w:p w14:paraId="2D005F02">
            <w:pPr>
              <w:jc w:val="right"/>
              <w:rPr>
                <w:rFonts w:hint="eastAsia"/>
                <w:szCs w:val="21"/>
              </w:rPr>
            </w:pPr>
            <w:r>
              <w:rPr>
                <w:rFonts w:ascii="Arial Narrow" w:hAnsi="Arial Narrow" w:eastAsia="等线"/>
                <w:color w:val="000000"/>
                <w:szCs w:val="21"/>
              </w:rPr>
              <w:t xml:space="preserve">526,101.51 </w:t>
            </w:r>
          </w:p>
        </w:tc>
      </w:tr>
      <w:tr w14:paraId="32D5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vAlign w:val="center"/>
          </w:tcPr>
          <w:p w14:paraId="2CEA56B1">
            <w:pPr>
              <w:ind w:right="105"/>
              <w:rPr>
                <w:rFonts w:hint="eastAsia"/>
                <w:szCs w:val="21"/>
              </w:rPr>
            </w:pPr>
            <w:r>
              <w:rPr>
                <w:rFonts w:hint="eastAsia"/>
                <w:color w:val="000000"/>
                <w:szCs w:val="21"/>
              </w:rPr>
              <w:t>客户五</w:t>
            </w:r>
          </w:p>
        </w:tc>
        <w:tc>
          <w:tcPr>
            <w:tcW w:w="924" w:type="pct"/>
            <w:vAlign w:val="center"/>
          </w:tcPr>
          <w:p w14:paraId="350C86EA">
            <w:pPr>
              <w:ind w:right="73"/>
              <w:jc w:val="right"/>
              <w:rPr>
                <w:rFonts w:hint="eastAsia"/>
                <w:szCs w:val="21"/>
              </w:rPr>
            </w:pPr>
            <w:r>
              <w:rPr>
                <w:rFonts w:ascii="Arial Narrow" w:hAnsi="Arial Narrow" w:eastAsia="等线"/>
                <w:color w:val="000000"/>
                <w:szCs w:val="21"/>
              </w:rPr>
              <w:t xml:space="preserve">63,499,863.93 </w:t>
            </w:r>
          </w:p>
        </w:tc>
        <w:tc>
          <w:tcPr>
            <w:tcW w:w="799" w:type="pct"/>
            <w:vAlign w:val="center"/>
          </w:tcPr>
          <w:p w14:paraId="3CA084D7">
            <w:pPr>
              <w:jc w:val="right"/>
              <w:rPr>
                <w:rFonts w:hint="eastAsia"/>
                <w:szCs w:val="21"/>
              </w:rPr>
            </w:pPr>
          </w:p>
        </w:tc>
        <w:tc>
          <w:tcPr>
            <w:tcW w:w="882" w:type="pct"/>
            <w:vAlign w:val="center"/>
          </w:tcPr>
          <w:p w14:paraId="75151108">
            <w:pPr>
              <w:jc w:val="right"/>
              <w:rPr>
                <w:rFonts w:hint="eastAsia"/>
                <w:szCs w:val="21"/>
              </w:rPr>
            </w:pPr>
            <w:r>
              <w:rPr>
                <w:rFonts w:ascii="Arial Narrow" w:hAnsi="Arial Narrow" w:eastAsia="等线"/>
                <w:color w:val="000000"/>
                <w:szCs w:val="21"/>
              </w:rPr>
              <w:t xml:space="preserve">63,499,863.93 </w:t>
            </w:r>
          </w:p>
        </w:tc>
        <w:tc>
          <w:tcPr>
            <w:tcW w:w="798" w:type="pct"/>
            <w:vAlign w:val="center"/>
          </w:tcPr>
          <w:p w14:paraId="443B5372">
            <w:pPr>
              <w:jc w:val="right"/>
              <w:rPr>
                <w:rFonts w:hint="eastAsia"/>
                <w:szCs w:val="21"/>
              </w:rPr>
            </w:pPr>
            <w:r>
              <w:rPr>
                <w:rFonts w:ascii="Arial Narrow" w:hAnsi="Arial Narrow" w:eastAsia="等线"/>
                <w:color w:val="000000"/>
                <w:szCs w:val="21"/>
              </w:rPr>
              <w:t xml:space="preserve">1.85 </w:t>
            </w:r>
          </w:p>
        </w:tc>
        <w:tc>
          <w:tcPr>
            <w:tcW w:w="797" w:type="pct"/>
            <w:vAlign w:val="center"/>
          </w:tcPr>
          <w:p w14:paraId="32FD19DA">
            <w:pPr>
              <w:jc w:val="right"/>
              <w:rPr>
                <w:rFonts w:hint="eastAsia"/>
                <w:szCs w:val="21"/>
              </w:rPr>
            </w:pPr>
            <w:r>
              <w:rPr>
                <w:rFonts w:ascii="Arial Narrow" w:hAnsi="Arial Narrow" w:eastAsia="等线"/>
                <w:color w:val="000000"/>
                <w:szCs w:val="21"/>
              </w:rPr>
              <w:t xml:space="preserve">63,499,863.93 </w:t>
            </w:r>
          </w:p>
        </w:tc>
      </w:tr>
      <w:tr w14:paraId="3700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99" w:type="pct"/>
          </w:tcPr>
          <w:p w14:paraId="44ABDDA9">
            <w:pPr>
              <w:ind w:right="105"/>
              <w:jc w:val="center"/>
              <w:rPr>
                <w:rFonts w:hint="eastAsia"/>
                <w:szCs w:val="21"/>
              </w:rPr>
            </w:pPr>
            <w:r>
              <w:rPr>
                <w:rFonts w:hint="eastAsia"/>
                <w:szCs w:val="21"/>
              </w:rPr>
              <w:t>合计</w:t>
            </w:r>
          </w:p>
        </w:tc>
        <w:tc>
          <w:tcPr>
            <w:tcW w:w="924" w:type="pct"/>
            <w:vAlign w:val="center"/>
          </w:tcPr>
          <w:p w14:paraId="10637C9B">
            <w:pPr>
              <w:ind w:right="73"/>
              <w:jc w:val="right"/>
              <w:rPr>
                <w:rFonts w:hint="eastAsia"/>
                <w:szCs w:val="21"/>
              </w:rPr>
            </w:pPr>
            <w:r>
              <w:rPr>
                <w:rFonts w:ascii="Arial Narrow" w:hAnsi="Arial Narrow" w:eastAsia="等线"/>
                <w:color w:val="000000"/>
                <w:szCs w:val="21"/>
              </w:rPr>
              <w:t xml:space="preserve">1,657,715,251.31 </w:t>
            </w:r>
          </w:p>
        </w:tc>
        <w:tc>
          <w:tcPr>
            <w:tcW w:w="799" w:type="pct"/>
            <w:vAlign w:val="center"/>
          </w:tcPr>
          <w:p w14:paraId="53B0027A">
            <w:pPr>
              <w:jc w:val="right"/>
              <w:rPr>
                <w:rFonts w:hint="eastAsia"/>
                <w:szCs w:val="21"/>
              </w:rPr>
            </w:pPr>
          </w:p>
        </w:tc>
        <w:tc>
          <w:tcPr>
            <w:tcW w:w="882" w:type="pct"/>
            <w:vAlign w:val="center"/>
          </w:tcPr>
          <w:p w14:paraId="225BD6B1">
            <w:pPr>
              <w:jc w:val="right"/>
              <w:rPr>
                <w:rFonts w:hint="eastAsia"/>
                <w:szCs w:val="21"/>
              </w:rPr>
            </w:pPr>
            <w:r>
              <w:rPr>
                <w:rFonts w:ascii="Arial Narrow" w:hAnsi="Arial Narrow" w:eastAsia="等线"/>
                <w:color w:val="000000"/>
                <w:szCs w:val="21"/>
              </w:rPr>
              <w:t xml:space="preserve">1,657,715,251.31 </w:t>
            </w:r>
          </w:p>
        </w:tc>
        <w:tc>
          <w:tcPr>
            <w:tcW w:w="798" w:type="pct"/>
            <w:vAlign w:val="center"/>
          </w:tcPr>
          <w:p w14:paraId="38480C02">
            <w:pPr>
              <w:jc w:val="right"/>
              <w:rPr>
                <w:rFonts w:hint="eastAsia"/>
                <w:szCs w:val="21"/>
              </w:rPr>
            </w:pPr>
            <w:r>
              <w:rPr>
                <w:rFonts w:ascii="Arial Narrow" w:hAnsi="Arial Narrow" w:eastAsia="等线"/>
                <w:color w:val="000000"/>
                <w:szCs w:val="21"/>
              </w:rPr>
              <w:t xml:space="preserve">48.31 </w:t>
            </w:r>
          </w:p>
        </w:tc>
        <w:tc>
          <w:tcPr>
            <w:tcW w:w="797" w:type="pct"/>
            <w:vAlign w:val="center"/>
          </w:tcPr>
          <w:p w14:paraId="3F017C0C">
            <w:pPr>
              <w:jc w:val="right"/>
              <w:rPr>
                <w:rFonts w:hint="eastAsia"/>
                <w:szCs w:val="21"/>
              </w:rPr>
            </w:pPr>
            <w:r>
              <w:rPr>
                <w:rFonts w:ascii="Arial Narrow" w:hAnsi="Arial Narrow" w:eastAsia="等线"/>
                <w:color w:val="000000"/>
                <w:szCs w:val="21"/>
              </w:rPr>
              <w:t xml:space="preserve">76,735,802.19 </w:t>
            </w:r>
          </w:p>
        </w:tc>
      </w:tr>
    </w:tbl>
    <w:p w14:paraId="30AA213C">
      <w:pPr>
        <w:rPr>
          <w:rFonts w:hint="eastAsia"/>
        </w:rPr>
      </w:pPr>
    </w:p>
    <w:p w14:paraId="09C9CECC">
      <w:pPr>
        <w:snapToGrid w:val="0"/>
        <w:spacing w:line="240" w:lineRule="atLeast"/>
        <w:rPr>
          <w:rFonts w:hint="eastAsia"/>
          <w:szCs w:val="21"/>
        </w:rPr>
      </w:pPr>
      <w:r>
        <w:rPr>
          <w:rFonts w:hint="eastAsia"/>
          <w:szCs w:val="21"/>
        </w:rPr>
        <w:t>其他说明：</w:t>
      </w:r>
    </w:p>
    <w:sdt>
      <w:sdtPr>
        <w:rPr>
          <w:szCs w:val="21"/>
        </w:rPr>
        <w:alias w:val="按欠款方归集的期末余额前五名的应收账款情况的说明"/>
        <w:tag w:val="_GBC_c00993263f034b6b95498635f166760d"/>
        <w:id w:val="-178352123"/>
        <w:placeholder>
          <w:docPart w:val="GBC22222222222222222222222222222"/>
        </w:placeholder>
      </w:sdtPr>
      <w:sdtEndPr>
        <w:rPr>
          <w:szCs w:val="21"/>
        </w:rPr>
      </w:sdtEndPr>
      <w:sdtContent>
        <w:p w14:paraId="1E0F0CFA">
          <w:pPr>
            <w:snapToGrid w:val="0"/>
            <w:spacing w:line="240" w:lineRule="atLeast"/>
            <w:rPr>
              <w:rFonts w:hint="eastAsia"/>
              <w:szCs w:val="21"/>
            </w:rPr>
          </w:pPr>
          <w:r>
            <w:rPr>
              <w:rFonts w:hint="eastAsia"/>
              <w:szCs w:val="21"/>
            </w:rPr>
            <w:t>无</w:t>
          </w:r>
        </w:p>
      </w:sdtContent>
    </w:sdt>
    <w:p w14:paraId="42719462">
      <w:pPr>
        <w:snapToGrid w:val="0"/>
        <w:spacing w:line="240" w:lineRule="atLeast"/>
        <w:rPr>
          <w:rFonts w:hint="eastAsia"/>
          <w:szCs w:val="21"/>
        </w:rPr>
      </w:pPr>
    </w:p>
    <w:p w14:paraId="1A564AF8">
      <w:pPr>
        <w:snapToGrid w:val="0"/>
        <w:spacing w:line="240" w:lineRule="atLeast"/>
        <w:rPr>
          <w:rFonts w:hint="eastAsia"/>
        </w:rPr>
      </w:pPr>
      <w:r>
        <w:rPr>
          <w:rFonts w:hint="eastAsia"/>
        </w:rPr>
        <w:t>其他</w:t>
      </w:r>
      <w:r>
        <w:t>说明：</w:t>
      </w:r>
    </w:p>
    <w:sdt>
      <w:sdtPr>
        <w:rPr>
          <w:rFonts w:hint="eastAsia"/>
        </w:rPr>
        <w:alias w:val="是否适用：应收账款其他说明[双击切换]"/>
        <w:tag w:val="_GBC_c8da833d28234be8913330da9ab8f46c"/>
        <w:id w:val="2097896072"/>
        <w:placeholder>
          <w:docPart w:val="GBC22222222222222222222222222222"/>
        </w:placeholder>
      </w:sdtPr>
      <w:sdtEndPr>
        <w:rPr>
          <w:rFonts w:hint="eastAsia"/>
        </w:rPr>
      </w:sdtEndPr>
      <w:sdtContent>
        <w:p w14:paraId="7FFF2133">
          <w:pPr>
            <w:snapToGrid w:val="0"/>
            <w:spacing w:line="240" w:lineRule="atLeast"/>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9A9B01D">
      <w:pPr>
        <w:rPr>
          <w:rFonts w:hint="eastAsia"/>
          <w:szCs w:val="21"/>
        </w:rPr>
      </w:pPr>
    </w:p>
    <w:p w14:paraId="7DD63BD9">
      <w:pPr>
        <w:pStyle w:val="70"/>
        <w:numPr>
          <w:ilvl w:val="0"/>
          <w:numId w:val="109"/>
        </w:numPr>
        <w:rPr>
          <w:szCs w:val="21"/>
        </w:rPr>
      </w:pPr>
      <w:bookmarkStart w:id="252" w:name="_Hlk533409560"/>
      <w:r>
        <w:rPr>
          <w:szCs w:val="21"/>
        </w:rPr>
        <w:t>合同资产</w:t>
      </w:r>
    </w:p>
    <w:p w14:paraId="1EC2E2A7">
      <w:pPr>
        <w:pStyle w:val="71"/>
        <w:numPr>
          <w:ilvl w:val="3"/>
          <w:numId w:val="112"/>
        </w:numPr>
        <w:ind w:left="426" w:hanging="426"/>
        <w:rPr>
          <w:rFonts w:hint="eastAsia"/>
        </w:rPr>
      </w:pPr>
      <w:bookmarkStart w:id="253" w:name="_Hlk532992678"/>
      <w:r>
        <w:rPr>
          <w:rFonts w:hint="eastAsia"/>
        </w:rPr>
        <w:t>合同资产情况</w:t>
      </w:r>
    </w:p>
    <w:sdt>
      <w:sdtPr>
        <w:alias w:val="是否适用：合同资产情况[双击切换]"/>
        <w:tag w:val="_GBC_71da29cd2c0f4ec4a2849d6760e0ec90"/>
        <w:id w:val="1051261361"/>
        <w:placeholder>
          <w:docPart w:val="GBC22222222222222222222222222222"/>
        </w:placeholder>
      </w:sdtPr>
      <w:sdtContent>
        <w:p w14:paraId="5A183AE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A5F2394">
      <w:pPr>
        <w:rPr>
          <w:rFonts w:hint="eastAsia"/>
        </w:rPr>
      </w:pPr>
    </w:p>
    <w:bookmarkEnd w:id="252"/>
    <w:bookmarkEnd w:id="253"/>
    <w:p w14:paraId="6E98B07E">
      <w:pPr>
        <w:pStyle w:val="71"/>
        <w:numPr>
          <w:ilvl w:val="3"/>
          <w:numId w:val="112"/>
        </w:numPr>
        <w:ind w:left="426" w:hanging="426"/>
        <w:rPr>
          <w:rFonts w:hint="eastAsia"/>
        </w:rPr>
      </w:pPr>
      <w:bookmarkStart w:id="254" w:name="_Hlk532993169"/>
      <w:r>
        <w:rPr>
          <w:rFonts w:hint="eastAsia"/>
        </w:rPr>
        <w:t>报告期内账面价值发生重大变动的金额和原因</w:t>
      </w:r>
    </w:p>
    <w:sdt>
      <w:sdtPr>
        <w:rPr>
          <w:szCs w:val="21"/>
        </w:rPr>
        <w:alias w:val="是否适用：合同资产账面价值发生重大变动[双击切换]"/>
        <w:tag w:val="_GBC_d707053a57f34cbab810279b617bfcc7"/>
        <w:id w:val="1860083558"/>
        <w:placeholder>
          <w:docPart w:val="GBC22222222222222222222222222222"/>
        </w:placeholder>
      </w:sdtPr>
      <w:sdtEndPr>
        <w:rPr>
          <w:szCs w:val="21"/>
        </w:rPr>
      </w:sdtEndPr>
      <w:sdtContent>
        <w:p w14:paraId="64FA2F8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7EDD96D">
      <w:pPr>
        <w:rPr>
          <w:rFonts w:hint="eastAsia"/>
        </w:rPr>
      </w:pPr>
    </w:p>
    <w:p w14:paraId="6CFE4267">
      <w:pPr>
        <w:pStyle w:val="71"/>
        <w:numPr>
          <w:ilvl w:val="3"/>
          <w:numId w:val="112"/>
        </w:numPr>
        <w:ind w:left="426" w:hanging="426"/>
        <w:rPr>
          <w:rFonts w:hint="eastAsia"/>
        </w:rPr>
      </w:pPr>
      <w:bookmarkStart w:id="255" w:name="_Hlk153378989"/>
      <w:r>
        <w:rPr>
          <w:rFonts w:hint="eastAsia"/>
        </w:rPr>
        <w:t>按坏账计提方法分类披露</w:t>
      </w:r>
    </w:p>
    <w:sdt>
      <w:sdtPr>
        <w:alias w:val="是否适用：按坏账计提方法分类披露[双击切换]"/>
        <w:tag w:val="_GBC_6dd4a97ab67f497ba65822d927d1d29e"/>
        <w:id w:val="1812138957"/>
        <w:placeholder>
          <w:docPart w:val="GBC22222222222222222222222222222"/>
        </w:placeholder>
      </w:sdtPr>
      <w:sdtContent>
        <w:p w14:paraId="324192A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800BEF5">
      <w:pPr>
        <w:rPr>
          <w:rFonts w:hint="eastAsia"/>
        </w:rPr>
      </w:pPr>
    </w:p>
    <w:p w14:paraId="18A2FB90">
      <w:pPr>
        <w:rPr>
          <w:rFonts w:hint="eastAsia"/>
        </w:rPr>
      </w:pPr>
      <w:r>
        <w:rPr>
          <w:rFonts w:hint="eastAsia"/>
        </w:rPr>
        <w:t>按单项计提坏账准备：</w:t>
      </w:r>
    </w:p>
    <w:sdt>
      <w:sdtPr>
        <w:alias w:val="是否适用：按单项计提坏账准备的详细情况[双击切换]"/>
        <w:tag w:val="_GBC_0ab170ec63fb435387c8b835e9d77a54"/>
        <w:id w:val="-181205108"/>
        <w:placeholder>
          <w:docPart w:val="GBC22222222222222222222222222222"/>
        </w:placeholder>
      </w:sdtPr>
      <w:sdtContent>
        <w:p w14:paraId="4856F9B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A8B6958">
      <w:pPr>
        <w:rPr>
          <w:rFonts w:hint="eastAsia"/>
          <w:szCs w:val="21"/>
        </w:rPr>
      </w:pPr>
    </w:p>
    <w:p w14:paraId="22459829">
      <w:pPr>
        <w:rPr>
          <w:rFonts w:hint="eastAsia"/>
          <w:szCs w:val="21"/>
        </w:rPr>
      </w:pPr>
      <w:r>
        <w:rPr>
          <w:rFonts w:hint="eastAsia"/>
          <w:szCs w:val="21"/>
        </w:rPr>
        <w:t>按单项计提坏账准备的说明：</w:t>
      </w:r>
    </w:p>
    <w:sdt>
      <w:sdtPr>
        <w:rPr>
          <w:szCs w:val="21"/>
        </w:rPr>
        <w:alias w:val="是否适用：按单项计提坏账准备的说明[双击切换]"/>
        <w:tag w:val="_GBC_0aa7517d534e4bfeae4b430fe21b3412"/>
        <w:id w:val="-911843752"/>
        <w:placeholder>
          <w:docPart w:val="GBC22222222222222222222222222222"/>
        </w:placeholder>
      </w:sdtPr>
      <w:sdtEndPr>
        <w:rPr>
          <w:szCs w:val="21"/>
        </w:rPr>
      </w:sdtEndPr>
      <w:sdtContent>
        <w:p w14:paraId="6EF9BD0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DD5437A">
      <w:pPr>
        <w:rPr>
          <w:rFonts w:hint="eastAsia"/>
          <w:szCs w:val="21"/>
        </w:rPr>
      </w:pPr>
    </w:p>
    <w:p w14:paraId="798A976D">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按组合计提坏账准备的详细情况[双击切换]"/>
        <w:tag w:val="_GBC_dd62dad60e90472bb2ac73e80b2edb97"/>
        <w:id w:val="-1413078193"/>
        <w:placeholder>
          <w:docPart w:val="GBC22222222222222222222222222222"/>
        </w:placeholder>
      </w:sdtPr>
      <w:sdtEndPr>
        <w:rPr>
          <w:rFonts w:ascii="Calibri" w:hAnsi="Calibri" w:cs="Times New Roman"/>
          <w:bCs/>
          <w:szCs w:val="22"/>
        </w:rPr>
      </w:sdtEndPr>
      <w:sdtContent>
        <w:p w14:paraId="54E03765">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6A0643D9">
      <w:pPr>
        <w:rPr>
          <w:rFonts w:hint="eastAsia"/>
          <w:szCs w:val="21"/>
        </w:rPr>
      </w:pPr>
    </w:p>
    <w:p w14:paraId="0D65CF13">
      <w:pPr>
        <w:rPr>
          <w:rFonts w:ascii="Calibri" w:hAnsi="Calibri" w:cs="Times New Roman"/>
          <w:b/>
          <w:bCs/>
          <w:szCs w:val="22"/>
        </w:rPr>
      </w:pPr>
    </w:p>
    <w:bookmarkEnd w:id="255"/>
    <w:p w14:paraId="15C5CD51">
      <w:pPr>
        <w:rPr>
          <w:rFonts w:hint="eastAsia" w:cstheme="minorBidi"/>
          <w:bCs/>
          <w:szCs w:val="22"/>
        </w:rPr>
      </w:pPr>
      <w:bookmarkStart w:id="256" w:name="_Hlk154135145"/>
      <w:bookmarkStart w:id="257" w:name="_Hlk153379126"/>
      <w:r>
        <w:rPr>
          <w:rFonts w:hint="eastAsia" w:cstheme="minorBidi"/>
          <w:bCs/>
          <w:szCs w:val="22"/>
        </w:rPr>
        <w:t>按预期信用损失一般模型计提坏账准备</w:t>
      </w:r>
    </w:p>
    <w:sdt>
      <w:sdtPr>
        <w:rPr>
          <w:rFonts w:cstheme="minorBidi"/>
          <w:bCs/>
          <w:szCs w:val="22"/>
        </w:rPr>
        <w:alias w:val="是否适用：按预期信用损失一般模型计提坏账准备[双击切换]"/>
        <w:tag w:val="_GBC_af66bce1fada4aaa845a8f566731a4cf"/>
        <w:id w:val="-684601589"/>
        <w:placeholder>
          <w:docPart w:val="GBC22222222222222222222222222222"/>
        </w:placeholder>
      </w:sdtPr>
      <w:sdtEndPr>
        <w:rPr>
          <w:rFonts w:cstheme="minorBidi"/>
          <w:bCs/>
          <w:szCs w:val="22"/>
        </w:rPr>
      </w:sdtEndPr>
      <w:sdtContent>
        <w:p w14:paraId="008A8386">
          <w:pPr>
            <w:rPr>
              <w:rFonts w:hint="eastAsia" w:cstheme="minorBidi"/>
              <w:bCs/>
              <w:szCs w:val="22"/>
            </w:rPr>
          </w:pPr>
          <w:r>
            <w:rPr>
              <w:rFonts w:cstheme="minorBidi"/>
              <w:bCs/>
              <w:szCs w:val="22"/>
            </w:rPr>
            <w:fldChar w:fldCharType="begin"/>
          </w:r>
          <w:r>
            <w:rPr>
              <w:rFonts w:hint="eastAsia"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hint="eastAsia" w:cstheme="minorBidi"/>
              <w:bCs/>
              <w:szCs w:val="22"/>
            </w:rPr>
            <w:instrText xml:space="preserve"> MACROBUTTON  SnrToggleCheckbox √不适用 </w:instrText>
          </w:r>
          <w:r>
            <w:rPr>
              <w:rFonts w:cstheme="minorBidi"/>
              <w:bCs/>
              <w:szCs w:val="22"/>
            </w:rPr>
            <w:fldChar w:fldCharType="end"/>
          </w:r>
        </w:p>
      </w:sdtContent>
    </w:sdt>
    <w:p w14:paraId="4AD52D89">
      <w:pPr>
        <w:rPr>
          <w:rFonts w:hint="eastAsia"/>
          <w:szCs w:val="21"/>
        </w:rPr>
      </w:pPr>
    </w:p>
    <w:p w14:paraId="5CE4526B">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各阶段划分依据和坏账准备计提比例"/>
        <w:tag w:val="_GBC_a54eb55cbb24473b8392e013b4be1c8a"/>
        <w:id w:val="1005627733"/>
        <w:placeholder>
          <w:docPart w:val="GBC22222222222222222222222222222"/>
        </w:placeholder>
      </w:sdtPr>
      <w:sdtEndPr>
        <w:rPr>
          <w:rFonts w:cs="Times New Roman"/>
          <w:bCs/>
          <w:szCs w:val="22"/>
        </w:rPr>
      </w:sdtEndPr>
      <w:sdtContent>
        <w:p w14:paraId="3E3AA931">
          <w:pPr>
            <w:rPr>
              <w:rFonts w:hint="eastAsia" w:cs="Times New Roman"/>
              <w:bCs/>
              <w:szCs w:val="22"/>
            </w:rPr>
          </w:pPr>
          <w:r>
            <w:rPr>
              <w:rFonts w:hint="eastAsia" w:cs="Times New Roman"/>
              <w:bCs/>
              <w:szCs w:val="22"/>
            </w:rPr>
            <w:t>无</w:t>
          </w:r>
        </w:p>
      </w:sdtContent>
    </w:sdt>
    <w:p w14:paraId="6B798554">
      <w:pPr>
        <w:pStyle w:val="123"/>
        <w:rPr>
          <w:rFonts w:hint="eastAsia" w:ascii="宋体" w:hAnsi="宋体" w:cs="宋体"/>
          <w:kern w:val="0"/>
          <w:szCs w:val="24"/>
        </w:rPr>
      </w:pPr>
    </w:p>
    <w:p w14:paraId="2FFCE120">
      <w:pPr>
        <w:pStyle w:val="123"/>
      </w:pPr>
      <w:r>
        <w:rPr>
          <w:rFonts w:hint="eastAsia"/>
        </w:rPr>
        <w:t>对本期发生损失准备变动的合同资产账面余额显著变动的情况说明：</w:t>
      </w:r>
    </w:p>
    <w:sdt>
      <w:sdtPr>
        <w:rPr>
          <w:szCs w:val="21"/>
        </w:rPr>
        <w:alias w:val="是否适用：对本期发生损失准备变动的账面余额显著变动的情况说明[双击切换]"/>
        <w:tag w:val="_GBC_5d2109eaa8194f47bcc2f4bbd6c081ae"/>
        <w:id w:val="2080163252"/>
        <w:placeholder>
          <w:docPart w:val="GBC22222222222222222222222222222"/>
        </w:placeholder>
      </w:sdtPr>
      <w:sdtEndPr>
        <w:rPr>
          <w:szCs w:val="21"/>
        </w:rPr>
      </w:sdtEndPr>
      <w:sdtContent>
        <w:p w14:paraId="4C8FCDD6">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3D85A3E">
      <w:pPr>
        <w:rPr>
          <w:rFonts w:asciiTheme="minorHAnsi" w:hAnsiTheme="minorHAnsi" w:cstheme="minorBidi"/>
          <w:b/>
          <w:bCs/>
          <w:szCs w:val="22"/>
        </w:rPr>
      </w:pPr>
    </w:p>
    <w:bookmarkEnd w:id="254"/>
    <w:bookmarkEnd w:id="256"/>
    <w:bookmarkEnd w:id="257"/>
    <w:p w14:paraId="5E0ACBA5">
      <w:pPr>
        <w:pStyle w:val="71"/>
        <w:numPr>
          <w:ilvl w:val="3"/>
          <w:numId w:val="112"/>
        </w:numPr>
        <w:ind w:left="426" w:hanging="426"/>
        <w:rPr>
          <w:rFonts w:hint="eastAsia"/>
        </w:rPr>
      </w:pPr>
      <w:bookmarkStart w:id="258" w:name="_Hlk533847869"/>
      <w:r>
        <w:rPr>
          <w:rFonts w:hint="eastAsia"/>
        </w:rPr>
        <w:t>本期合同资产计提坏账准备情况</w:t>
      </w:r>
    </w:p>
    <w:sdt>
      <w:sdtPr>
        <w:rPr>
          <w:szCs w:val="21"/>
        </w:rPr>
        <w:alias w:val="是否适用：合同资产减值准备[双击切换]"/>
        <w:tag w:val="_GBC_7a32a2cf2788460d8c760b8ac21cef48"/>
        <w:id w:val="-473676962"/>
        <w:placeholder>
          <w:docPart w:val="GBC22222222222222222222222222222"/>
        </w:placeholder>
      </w:sdtPr>
      <w:sdtEndPr>
        <w:rPr>
          <w:szCs w:val="21"/>
        </w:rPr>
      </w:sdtEndPr>
      <w:sdtContent>
        <w:p w14:paraId="588497A6">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497DF6D">
      <w:pPr>
        <w:autoSpaceDE w:val="0"/>
        <w:autoSpaceDN w:val="0"/>
        <w:adjustRightInd w:val="0"/>
        <w:ind w:right="105" w:rightChars="50"/>
        <w:rPr>
          <w:rFonts w:hint="eastAsia"/>
          <w:szCs w:val="21"/>
        </w:rPr>
      </w:pPr>
      <w:bookmarkStart w:id="259" w:name="_Hlk182483958"/>
    </w:p>
    <w:bookmarkEnd w:id="259"/>
    <w:p w14:paraId="71BAA7F3">
      <w:pPr>
        <w:rPr>
          <w:rFonts w:hint="eastAsia"/>
        </w:rPr>
      </w:pPr>
      <w:bookmarkStart w:id="260" w:name="_Hlk153379287"/>
      <w:r>
        <w:rPr>
          <w:rFonts w:hint="eastAsia"/>
        </w:rPr>
        <w:t>其中本期坏账准备收回或转回金额重要的：</w:t>
      </w:r>
    </w:p>
    <w:sdt>
      <w:sdtPr>
        <w:alias w:val="是否适用：本期坏账准备收回或转回金额重要的[双击切换]"/>
        <w:tag w:val="_GBC_40c6e5cd3d9b48fa9d8ddf51159f73e3"/>
        <w:id w:val="-905684005"/>
        <w:placeholder>
          <w:docPart w:val="GBC22222222222222222222222222222"/>
        </w:placeholder>
      </w:sdtPr>
      <w:sdtContent>
        <w:p w14:paraId="3809A7D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DA780A0">
      <w:pPr>
        <w:rPr>
          <w:rFonts w:hint="eastAsia"/>
        </w:rPr>
      </w:pPr>
    </w:p>
    <w:p w14:paraId="6AC20829">
      <w:pPr>
        <w:rPr>
          <w:rFonts w:hint="eastAsia"/>
        </w:rPr>
      </w:pPr>
      <w:r>
        <w:rPr>
          <w:rFonts w:hint="eastAsia"/>
        </w:rPr>
        <w:t>其他说明：</w:t>
      </w:r>
    </w:p>
    <w:sdt>
      <w:sdtPr>
        <w:alias w:val="坏账准备情况的说明"/>
        <w:tag w:val="_GBC_eaa032ce9f4b4651bc1d170afdd0f594"/>
        <w:id w:val="730967001"/>
        <w:placeholder>
          <w:docPart w:val="GBC22222222222222222222222222222"/>
        </w:placeholder>
      </w:sdtPr>
      <w:sdtContent>
        <w:p w14:paraId="30BFFF9C">
          <w:pPr>
            <w:ind w:right="42" w:rightChars="20"/>
            <w:rPr>
              <w:rFonts w:hint="eastAsia"/>
            </w:rPr>
          </w:pPr>
          <w:r>
            <w:rPr>
              <w:rFonts w:hint="eastAsia"/>
            </w:rPr>
            <w:t>无</w:t>
          </w:r>
        </w:p>
      </w:sdtContent>
    </w:sdt>
    <w:p w14:paraId="50BDE108">
      <w:pPr>
        <w:ind w:right="-1594" w:rightChars="-759"/>
        <w:rPr>
          <w:rFonts w:hint="eastAsia"/>
        </w:rPr>
      </w:pPr>
    </w:p>
    <w:bookmarkEnd w:id="260"/>
    <w:p w14:paraId="1F6ED630">
      <w:pPr>
        <w:pStyle w:val="71"/>
        <w:numPr>
          <w:ilvl w:val="3"/>
          <w:numId w:val="112"/>
        </w:numPr>
        <w:ind w:left="426" w:hanging="426"/>
        <w:rPr>
          <w:rFonts w:hint="eastAsia"/>
        </w:rPr>
      </w:pPr>
      <w:bookmarkStart w:id="261" w:name="_Hlk153379426"/>
      <w:r>
        <w:rPr>
          <w:rFonts w:hint="eastAsia"/>
        </w:rPr>
        <w:t>本期实际核销的合同资产情况</w:t>
      </w:r>
    </w:p>
    <w:sdt>
      <w:sdtPr>
        <w:alias w:val="是否适用：实际核销的情况[双击切换]"/>
        <w:tag w:val="_GBC_d2036f8632c6441bbae156d4fcc0a1bb"/>
        <w:id w:val="-36431815"/>
        <w:placeholder>
          <w:docPart w:val="GBC22222222222222222222222222222"/>
        </w:placeholder>
      </w:sdtPr>
      <w:sdtContent>
        <w:p w14:paraId="0C10960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71797CF">
      <w:pPr>
        <w:rPr>
          <w:rFonts w:hint="eastAsia"/>
          <w:szCs w:val="21"/>
        </w:rPr>
      </w:pPr>
    </w:p>
    <w:p w14:paraId="7357BB1E">
      <w:pPr>
        <w:rPr>
          <w:rFonts w:hint="eastAsia"/>
          <w:szCs w:val="21"/>
        </w:rPr>
      </w:pPr>
      <w:r>
        <w:rPr>
          <w:rFonts w:hint="eastAsia"/>
          <w:szCs w:val="21"/>
        </w:rPr>
        <w:t>其中重要的合同资产核销情况</w:t>
      </w:r>
    </w:p>
    <w:sdt>
      <w:sdtPr>
        <w:rPr>
          <w:rFonts w:hint="eastAsia"/>
          <w:szCs w:val="21"/>
        </w:rPr>
        <w:alias w:val="是否适用：重要的核销情况[双击切换]"/>
        <w:tag w:val="_GBC_a32f8e56eb4941f98078bbae5f9968b0"/>
        <w:id w:val="-1810929778"/>
        <w:placeholder>
          <w:docPart w:val="GBC22222222222222222222222222222"/>
        </w:placeholder>
      </w:sdtPr>
      <w:sdtEndPr>
        <w:rPr>
          <w:rFonts w:hint="eastAsia"/>
          <w:szCs w:val="21"/>
        </w:rPr>
      </w:sdtEndPr>
      <w:sdtContent>
        <w:p w14:paraId="3B48C9C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45BAD87">
      <w:pPr>
        <w:rPr>
          <w:rFonts w:hint="eastAsia"/>
          <w:szCs w:val="21"/>
        </w:rPr>
      </w:pPr>
    </w:p>
    <w:p w14:paraId="7272025A">
      <w:pPr>
        <w:snapToGrid w:val="0"/>
        <w:spacing w:line="240" w:lineRule="atLeast"/>
        <w:rPr>
          <w:rFonts w:hint="eastAsia"/>
          <w:szCs w:val="21"/>
        </w:rPr>
      </w:pPr>
      <w:r>
        <w:rPr>
          <w:rFonts w:hint="eastAsia"/>
          <w:szCs w:val="21"/>
        </w:rPr>
        <w:t>合同资产核销说明：</w:t>
      </w:r>
    </w:p>
    <w:sdt>
      <w:sdtPr>
        <w:rPr>
          <w:szCs w:val="21"/>
        </w:rPr>
        <w:alias w:val="是否适用：核销说明[双击切换]"/>
        <w:tag w:val="_GBC_837b8448d70d489b99f47e83a77e0bef"/>
        <w:id w:val="3175883"/>
        <w:placeholder>
          <w:docPart w:val="GBC22222222222222222222222222222"/>
        </w:placeholder>
      </w:sdtPr>
      <w:sdtEndPr>
        <w:rPr>
          <w:szCs w:val="21"/>
        </w:rPr>
      </w:sdtEndPr>
      <w:sdtContent>
        <w:p w14:paraId="65651C32">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2F79CCD">
      <w:pPr>
        <w:rPr>
          <w:rFonts w:hint="eastAsia"/>
          <w:szCs w:val="21"/>
        </w:rPr>
      </w:pPr>
    </w:p>
    <w:bookmarkEnd w:id="258"/>
    <w:bookmarkEnd w:id="261"/>
    <w:p w14:paraId="2047613B">
      <w:pPr>
        <w:rPr>
          <w:rFonts w:hint="eastAsia"/>
          <w:szCs w:val="21"/>
        </w:rPr>
      </w:pPr>
      <w:r>
        <w:rPr>
          <w:rFonts w:hint="eastAsia"/>
          <w:szCs w:val="21"/>
        </w:rPr>
        <w:t>其他说明：</w:t>
      </w:r>
    </w:p>
    <w:sdt>
      <w:sdtPr>
        <w:rPr>
          <w:szCs w:val="21"/>
        </w:rPr>
        <w:alias w:val="是否适用：合同资产其他说明[双击切换]"/>
        <w:tag w:val="_GBC_92ce0006559b479d93e7dbde6e8efca4"/>
        <w:id w:val="904260911"/>
        <w:placeholder>
          <w:docPart w:val="GBC22222222222222222222222222222"/>
        </w:placeholder>
      </w:sdtPr>
      <w:sdtEndPr>
        <w:rPr>
          <w:szCs w:val="21"/>
        </w:rPr>
      </w:sdtEndPr>
      <w:sdtContent>
        <w:p w14:paraId="10A52A9C">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B605B8B">
      <w:pPr>
        <w:rPr>
          <w:rFonts w:hint="eastAsia"/>
        </w:rPr>
      </w:pPr>
    </w:p>
    <w:p w14:paraId="2AA4B82B">
      <w:pPr>
        <w:pStyle w:val="70"/>
        <w:numPr>
          <w:ilvl w:val="0"/>
          <w:numId w:val="109"/>
        </w:numPr>
        <w:rPr>
          <w:szCs w:val="21"/>
        </w:rPr>
      </w:pPr>
      <w:bookmarkStart w:id="262" w:name="_Hlk24102175"/>
      <w:r>
        <w:rPr>
          <w:szCs w:val="21"/>
        </w:rPr>
        <w:t>应收款项融资</w:t>
      </w:r>
    </w:p>
    <w:p w14:paraId="0C3A06D7">
      <w:pPr>
        <w:pStyle w:val="71"/>
        <w:numPr>
          <w:ilvl w:val="0"/>
          <w:numId w:val="113"/>
        </w:numPr>
        <w:rPr>
          <w:rFonts w:hint="eastAsia"/>
        </w:rPr>
      </w:pPr>
      <w:r>
        <w:rPr>
          <w:rFonts w:hint="eastAsia"/>
        </w:rPr>
        <w:t>应收款项融资分类列示</w:t>
      </w:r>
    </w:p>
    <w:sdt>
      <w:sdtPr>
        <w:rPr>
          <w:szCs w:val="21"/>
        </w:rPr>
        <w:alias w:val="是否适用：应收款项融资[双击切换]"/>
        <w:tag w:val="_GBC_e38b7d767cdd4e9f8dd5f7f6ea2330da"/>
        <w:id w:val="-1675573014"/>
        <w:placeholder>
          <w:docPart w:val="GBC22222222222222222222222222222"/>
        </w:placeholder>
      </w:sdtPr>
      <w:sdtEndPr>
        <w:rPr>
          <w:szCs w:val="21"/>
        </w:rPr>
      </w:sdtEndPr>
      <w:sdtContent>
        <w:p w14:paraId="292528F1">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1A0804B">
      <w:pPr>
        <w:ind w:left="420" w:right="-98"/>
        <w:jc w:val="right"/>
        <w:rPr>
          <w:rFonts w:hint="eastAsia"/>
        </w:rPr>
      </w:pPr>
      <w:r>
        <w:rPr>
          <w:rFonts w:hint="eastAsia"/>
        </w:rPr>
        <w:t xml:space="preserve">  单位：</w:t>
      </w:r>
      <w:sdt>
        <w:sdtPr>
          <w:rPr>
            <w:rFonts w:hint="eastAsia"/>
          </w:rPr>
          <w:alias w:val="单位：应收款项融资"/>
          <w:tag w:val="_GBC_718fb908b95f48ec84742dfac4338fd4"/>
          <w:id w:val="37574531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应收款项融资"/>
          <w:tag w:val="_GBC_e0c43db94ecc4e51b884c86496138ea2"/>
          <w:id w:val="4739617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4"/>
        <w:gridCol w:w="2825"/>
        <w:gridCol w:w="2834"/>
      </w:tblGrid>
      <w:tr w14:paraId="4497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3e528ffb61e4b53acdd40b3208f06a9"/>
            <w:id w:val="1125356403"/>
          </w:sdtPr>
          <w:sdtContent>
            <w:tc>
              <w:tcPr>
                <w:tcW w:w="1793" w:type="pct"/>
                <w:shd w:val="clear" w:color="auto" w:fill="auto"/>
                <w:vAlign w:val="center"/>
              </w:tcPr>
              <w:p w14:paraId="738A3574">
                <w:pPr>
                  <w:jc w:val="center"/>
                  <w:rPr>
                    <w:rFonts w:hint="eastAsia"/>
                    <w:szCs w:val="21"/>
                  </w:rPr>
                </w:pPr>
                <w:bookmarkStart w:id="263" w:name="_Hlk12969247"/>
                <w:bookmarkStart w:id="264" w:name="_Hlk13057555"/>
                <w:r>
                  <w:rPr>
                    <w:rFonts w:hint="eastAsia"/>
                    <w:szCs w:val="21"/>
                  </w:rPr>
                  <w:t>项目</w:t>
                </w:r>
              </w:p>
            </w:tc>
          </w:sdtContent>
        </w:sdt>
        <w:sdt>
          <w:sdtPr>
            <w:tag w:val="_PLD_8d81c1822e774f6081deb29ea5466dc8"/>
            <w:id w:val="18980704"/>
          </w:sdtPr>
          <w:sdtContent>
            <w:tc>
              <w:tcPr>
                <w:tcW w:w="1601" w:type="pct"/>
                <w:shd w:val="clear" w:color="auto" w:fill="auto"/>
                <w:vAlign w:val="center"/>
              </w:tcPr>
              <w:p w14:paraId="183196AF">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c1ad8d0386f942b4b74733e3287ad275"/>
            <w:id w:val="-2019918603"/>
          </w:sdtPr>
          <w:sdtContent>
            <w:tc>
              <w:tcPr>
                <w:tcW w:w="1606" w:type="pct"/>
                <w:shd w:val="clear" w:color="auto" w:fill="auto"/>
                <w:vAlign w:val="center"/>
              </w:tcPr>
              <w:p w14:paraId="416E6EA6">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2A35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shd w:val="clear" w:color="auto" w:fill="auto"/>
          </w:tcPr>
          <w:p w14:paraId="07760DD6">
            <w:pPr>
              <w:autoSpaceDE w:val="0"/>
              <w:autoSpaceDN w:val="0"/>
              <w:adjustRightInd w:val="0"/>
              <w:rPr>
                <w:rFonts w:hint="eastAsia"/>
                <w:szCs w:val="21"/>
              </w:rPr>
            </w:pPr>
            <w:r>
              <w:t>银行承兑汇票</w:t>
            </w:r>
          </w:p>
        </w:tc>
        <w:tc>
          <w:tcPr>
            <w:tcW w:w="1601" w:type="pct"/>
            <w:shd w:val="clear" w:color="auto" w:fill="auto"/>
          </w:tcPr>
          <w:p w14:paraId="56FD8496">
            <w:pPr>
              <w:jc w:val="right"/>
              <w:rPr>
                <w:rFonts w:hint="eastAsia"/>
                <w:szCs w:val="21"/>
              </w:rPr>
            </w:pPr>
            <w:r>
              <w:rPr>
                <w:rFonts w:ascii="Arial Narrow" w:hAnsi="Arial Narrow" w:eastAsia="等线"/>
                <w:color w:val="000000"/>
                <w:szCs w:val="21"/>
              </w:rPr>
              <w:t xml:space="preserve">20,627,331.54 </w:t>
            </w:r>
          </w:p>
        </w:tc>
        <w:tc>
          <w:tcPr>
            <w:tcW w:w="1606" w:type="pct"/>
            <w:shd w:val="clear" w:color="auto" w:fill="auto"/>
          </w:tcPr>
          <w:p w14:paraId="56D45106">
            <w:pPr>
              <w:jc w:val="right"/>
              <w:rPr>
                <w:rFonts w:hint="eastAsia"/>
                <w:szCs w:val="21"/>
              </w:rPr>
            </w:pPr>
            <w:r>
              <w:rPr>
                <w:rFonts w:ascii="Arial Narrow" w:hAnsi="Arial Narrow" w:eastAsia="等线"/>
                <w:color w:val="000000"/>
                <w:szCs w:val="21"/>
              </w:rPr>
              <w:t xml:space="preserve">31,461,490.81 </w:t>
            </w:r>
          </w:p>
        </w:tc>
      </w:tr>
      <w:tr w14:paraId="2D58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shd w:val="clear" w:color="auto" w:fill="auto"/>
            <w:vAlign w:val="center"/>
          </w:tcPr>
          <w:p w14:paraId="36E61A56">
            <w:pPr>
              <w:jc w:val="center"/>
              <w:rPr>
                <w:rFonts w:hint="eastAsia"/>
                <w:szCs w:val="21"/>
              </w:rPr>
            </w:pPr>
            <w:r>
              <w:rPr>
                <w:rFonts w:hint="eastAsia"/>
                <w:szCs w:val="21"/>
              </w:rPr>
              <w:t>合计</w:t>
            </w:r>
          </w:p>
        </w:tc>
        <w:tc>
          <w:tcPr>
            <w:tcW w:w="1601" w:type="pct"/>
            <w:shd w:val="clear" w:color="auto" w:fill="auto"/>
          </w:tcPr>
          <w:p w14:paraId="348D1C5A">
            <w:pPr>
              <w:jc w:val="right"/>
              <w:rPr>
                <w:rFonts w:hint="eastAsia"/>
                <w:szCs w:val="21"/>
              </w:rPr>
            </w:pPr>
            <w:r>
              <w:rPr>
                <w:rFonts w:ascii="Arial Narrow" w:hAnsi="Arial Narrow" w:eastAsia="等线"/>
                <w:color w:val="000000"/>
                <w:szCs w:val="21"/>
              </w:rPr>
              <w:t xml:space="preserve">20,627,331.54 </w:t>
            </w:r>
          </w:p>
        </w:tc>
        <w:tc>
          <w:tcPr>
            <w:tcW w:w="1606" w:type="pct"/>
            <w:shd w:val="clear" w:color="auto" w:fill="auto"/>
          </w:tcPr>
          <w:p w14:paraId="24856AA2">
            <w:pPr>
              <w:jc w:val="right"/>
              <w:rPr>
                <w:rFonts w:hint="eastAsia"/>
                <w:szCs w:val="21"/>
              </w:rPr>
            </w:pPr>
            <w:r>
              <w:rPr>
                <w:rFonts w:ascii="Arial Narrow" w:hAnsi="Arial Narrow" w:eastAsia="等线"/>
                <w:color w:val="000000"/>
                <w:szCs w:val="21"/>
              </w:rPr>
              <w:t xml:space="preserve">31,461,490.81 </w:t>
            </w:r>
          </w:p>
        </w:tc>
      </w:tr>
    </w:tbl>
    <w:p w14:paraId="3B803C52">
      <w:pPr>
        <w:rPr>
          <w:rFonts w:hint="eastAsia"/>
        </w:rPr>
      </w:pPr>
    </w:p>
    <w:p w14:paraId="2EF9E9B1">
      <w:pPr>
        <w:pStyle w:val="71"/>
        <w:numPr>
          <w:ilvl w:val="0"/>
          <w:numId w:val="113"/>
        </w:numPr>
        <w:rPr>
          <w:rFonts w:hint="eastAsia"/>
        </w:rPr>
      </w:pPr>
      <w:r>
        <w:rPr>
          <w:rFonts w:hint="eastAsia"/>
        </w:rPr>
        <w:t>期末公司已质押的应收款项融资</w:t>
      </w:r>
    </w:p>
    <w:sdt>
      <w:sdtPr>
        <w:alias w:val="是否适用：期末公司已质押的应收款项融资[双击切换]"/>
        <w:tag w:val="_GBC_31b898cd43844d68932063bb1e6347a8"/>
        <w:id w:val="433945821"/>
        <w:placeholder>
          <w:docPart w:val="GBC22222222222222222222222222222"/>
        </w:placeholder>
      </w:sdtPr>
      <w:sdtContent>
        <w:p w14:paraId="220D615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0BE8013">
      <w:pPr>
        <w:rPr>
          <w:rFonts w:hint="eastAsia"/>
          <w:szCs w:val="21"/>
        </w:rPr>
      </w:pPr>
    </w:p>
    <w:p w14:paraId="765AF63A">
      <w:pPr>
        <w:pStyle w:val="71"/>
        <w:numPr>
          <w:ilvl w:val="0"/>
          <w:numId w:val="113"/>
        </w:numPr>
        <w:rPr>
          <w:rFonts w:hint="eastAsia"/>
        </w:rPr>
      </w:pPr>
      <w:r>
        <w:rPr>
          <w:rFonts w:hint="eastAsia"/>
        </w:rPr>
        <w:t>期末公司已背书或贴现且在资产负债表日尚未到期的应收款项融资</w:t>
      </w:r>
    </w:p>
    <w:sdt>
      <w:sdtPr>
        <w:alias w:val="是否适用：期末公司已背书或贴现且在资产负债表日尚未到期的应收款项融资[双击切换]"/>
        <w:tag w:val="_GBC_6aad06646df44df888f953be7f5703c6"/>
        <w:id w:val="2037154330"/>
        <w:placeholder>
          <w:docPart w:val="GBC22222222222222222222222222222"/>
        </w:placeholder>
      </w:sdtPr>
      <w:sdtContent>
        <w:p w14:paraId="1AA509CE">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75EBB1">
      <w:pPr>
        <w:jc w:val="right"/>
        <w:rPr>
          <w:rFonts w:hint="eastAsia"/>
          <w:szCs w:val="21"/>
        </w:rPr>
      </w:pPr>
      <w:r>
        <w:rPr>
          <w:rFonts w:hint="eastAsia"/>
          <w:szCs w:val="21"/>
        </w:rPr>
        <w:t>单位：</w:t>
      </w:r>
      <w:sdt>
        <w:sdtPr>
          <w:rPr>
            <w:rFonts w:hint="eastAsia"/>
            <w:szCs w:val="21"/>
          </w:rPr>
          <w:alias w:val="单位：期末公司已背书或贴现且在资产负债表日尚未到期的应收款项融资"/>
          <w:tag w:val="_GBC_93228107c43a481da9506f790cd8af92"/>
          <w:id w:val="177805449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期末公司已背书或贴现且在资产负债表日尚未到期的应收款项融资"/>
          <w:tag w:val="_GBC_321f16b9d20241dd9a8da269a46b1e36"/>
          <w:id w:val="-15990068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7"/>
        <w:gridCol w:w="3050"/>
        <w:gridCol w:w="3122"/>
      </w:tblGrid>
      <w:tr w14:paraId="4F11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3b7f0ccb35e48099a6f7696604b4e21"/>
            <w:id w:val="-272331161"/>
          </w:sdtPr>
          <w:sdtContent>
            <w:tc>
              <w:tcPr>
                <w:tcW w:w="2877" w:type="dxa"/>
                <w:shd w:val="clear" w:color="auto" w:fill="auto"/>
                <w:vAlign w:val="center"/>
              </w:tcPr>
              <w:p w14:paraId="6EDFC68E">
                <w:pPr>
                  <w:jc w:val="center"/>
                  <w:rPr>
                    <w:rFonts w:hint="eastAsia"/>
                    <w:szCs w:val="21"/>
                  </w:rPr>
                </w:pPr>
                <w:r>
                  <w:rPr>
                    <w:rFonts w:hint="eastAsia"/>
                    <w:szCs w:val="21"/>
                  </w:rPr>
                  <w:t>项目</w:t>
                </w:r>
              </w:p>
            </w:tc>
          </w:sdtContent>
        </w:sdt>
        <w:sdt>
          <w:sdtPr>
            <w:tag w:val="_PLD_149743054c254feca84017182a25be7d"/>
            <w:id w:val="1686169742"/>
          </w:sdtPr>
          <w:sdtContent>
            <w:tc>
              <w:tcPr>
                <w:tcW w:w="3050" w:type="dxa"/>
                <w:shd w:val="clear" w:color="auto" w:fill="auto"/>
                <w:vAlign w:val="center"/>
              </w:tcPr>
              <w:p w14:paraId="19D12CF3">
                <w:pPr>
                  <w:jc w:val="center"/>
                  <w:rPr>
                    <w:rFonts w:hint="eastAsia"/>
                    <w:szCs w:val="21"/>
                  </w:rPr>
                </w:pPr>
                <w:r>
                  <w:rPr>
                    <w:rFonts w:hint="eastAsia"/>
                    <w:szCs w:val="21"/>
                  </w:rPr>
                  <w:t>期末终止确认金额</w:t>
                </w:r>
              </w:p>
            </w:tc>
          </w:sdtContent>
        </w:sdt>
        <w:sdt>
          <w:sdtPr>
            <w:tag w:val="_PLD_9f59617eec3d4ee4b21512d75b778f97"/>
            <w:id w:val="-237402111"/>
          </w:sdtPr>
          <w:sdtContent>
            <w:tc>
              <w:tcPr>
                <w:tcW w:w="3122" w:type="dxa"/>
                <w:shd w:val="clear" w:color="auto" w:fill="auto"/>
                <w:vAlign w:val="center"/>
              </w:tcPr>
              <w:p w14:paraId="08B62765">
                <w:pPr>
                  <w:jc w:val="center"/>
                  <w:rPr>
                    <w:rFonts w:hint="eastAsia"/>
                    <w:szCs w:val="21"/>
                  </w:rPr>
                </w:pPr>
                <w:r>
                  <w:rPr>
                    <w:rFonts w:hint="eastAsia"/>
                    <w:szCs w:val="21"/>
                  </w:rPr>
                  <w:t>期末未终止确认金额</w:t>
                </w:r>
              </w:p>
            </w:tc>
          </w:sdtContent>
        </w:sdt>
      </w:tr>
      <w:tr w14:paraId="23C2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shd w:val="clear" w:color="auto" w:fill="auto"/>
          </w:tcPr>
          <w:p w14:paraId="7FE08A82">
            <w:pPr>
              <w:rPr>
                <w:rFonts w:hint="eastAsia"/>
                <w:szCs w:val="21"/>
              </w:rPr>
            </w:pPr>
            <w:r>
              <w:rPr>
                <w:rFonts w:ascii="Arial Narrow" w:hAnsi="Arial Narrow" w:eastAsia="等线"/>
                <w:color w:val="000000"/>
                <w:szCs w:val="21"/>
              </w:rPr>
              <w:t>银行承兑汇票</w:t>
            </w:r>
          </w:p>
        </w:tc>
        <w:tc>
          <w:tcPr>
            <w:tcW w:w="3050" w:type="dxa"/>
            <w:shd w:val="clear" w:color="auto" w:fill="auto"/>
          </w:tcPr>
          <w:p w14:paraId="642E8945">
            <w:pPr>
              <w:jc w:val="right"/>
              <w:rPr>
                <w:rFonts w:hint="eastAsia"/>
                <w:szCs w:val="21"/>
              </w:rPr>
            </w:pPr>
            <w:r>
              <w:rPr>
                <w:rFonts w:ascii="Arial Narrow" w:hAnsi="Arial Narrow" w:eastAsia="等线"/>
                <w:color w:val="000000"/>
                <w:szCs w:val="21"/>
              </w:rPr>
              <w:t xml:space="preserve">26,008,371.57 </w:t>
            </w:r>
          </w:p>
        </w:tc>
        <w:tc>
          <w:tcPr>
            <w:tcW w:w="3122" w:type="dxa"/>
            <w:shd w:val="clear" w:color="auto" w:fill="auto"/>
          </w:tcPr>
          <w:p w14:paraId="68551992">
            <w:pPr>
              <w:jc w:val="right"/>
              <w:rPr>
                <w:rFonts w:hint="eastAsia"/>
                <w:szCs w:val="21"/>
              </w:rPr>
            </w:pPr>
          </w:p>
        </w:tc>
      </w:tr>
      <w:tr w14:paraId="6F57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shd w:val="clear" w:color="auto" w:fill="auto"/>
            <w:vAlign w:val="center"/>
          </w:tcPr>
          <w:p w14:paraId="600BB54B">
            <w:pPr>
              <w:jc w:val="center"/>
              <w:rPr>
                <w:rFonts w:hint="eastAsia"/>
              </w:rPr>
            </w:pPr>
            <w:r>
              <w:rPr>
                <w:rFonts w:hint="eastAsia"/>
              </w:rPr>
              <w:t>合计</w:t>
            </w:r>
          </w:p>
        </w:tc>
        <w:tc>
          <w:tcPr>
            <w:tcW w:w="3050" w:type="dxa"/>
            <w:shd w:val="clear" w:color="auto" w:fill="auto"/>
          </w:tcPr>
          <w:p w14:paraId="3C36E2BA">
            <w:pPr>
              <w:jc w:val="right"/>
              <w:rPr>
                <w:rFonts w:hint="eastAsia"/>
                <w:szCs w:val="21"/>
              </w:rPr>
            </w:pPr>
            <w:r>
              <w:rPr>
                <w:rFonts w:ascii="Arial Narrow" w:hAnsi="Arial Narrow" w:eastAsia="等线"/>
                <w:color w:val="000000"/>
                <w:szCs w:val="21"/>
              </w:rPr>
              <w:t xml:space="preserve">26,008,371.57 </w:t>
            </w:r>
          </w:p>
        </w:tc>
        <w:tc>
          <w:tcPr>
            <w:tcW w:w="3122" w:type="dxa"/>
            <w:shd w:val="clear" w:color="auto" w:fill="auto"/>
          </w:tcPr>
          <w:p w14:paraId="20A4DA4E">
            <w:pPr>
              <w:jc w:val="right"/>
              <w:rPr>
                <w:rFonts w:hint="eastAsia"/>
                <w:szCs w:val="21"/>
              </w:rPr>
            </w:pPr>
          </w:p>
        </w:tc>
      </w:tr>
    </w:tbl>
    <w:p w14:paraId="10F81D42">
      <w:pPr>
        <w:rPr>
          <w:rFonts w:hint="eastAsia"/>
          <w:szCs w:val="21"/>
        </w:rPr>
      </w:pPr>
    </w:p>
    <w:p w14:paraId="19873762">
      <w:pPr>
        <w:pStyle w:val="71"/>
        <w:numPr>
          <w:ilvl w:val="0"/>
          <w:numId w:val="113"/>
        </w:numPr>
        <w:rPr>
          <w:rFonts w:hint="eastAsia"/>
        </w:rPr>
      </w:pPr>
      <w:r>
        <w:rPr>
          <w:rFonts w:hint="eastAsia"/>
        </w:rPr>
        <w:t>按坏账计提方法分类披露</w:t>
      </w:r>
    </w:p>
    <w:sdt>
      <w:sdtPr>
        <w:alias w:val="是否适用：按坏账计提方法分类披露[双击切换]"/>
        <w:tag w:val="_GBC_bb62f97adc6849f2b3d956a701e7fa7d"/>
        <w:id w:val="-376779360"/>
        <w:placeholder>
          <w:docPart w:val="GBC22222222222222222222222222222"/>
        </w:placeholder>
      </w:sdtPr>
      <w:sdtContent>
        <w:p w14:paraId="2C2955B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C254637">
      <w:pPr>
        <w:rPr>
          <w:rFonts w:hint="eastAsia"/>
        </w:rPr>
      </w:pPr>
    </w:p>
    <w:p w14:paraId="04E3F6FD">
      <w:pPr>
        <w:rPr>
          <w:rFonts w:hint="eastAsia"/>
        </w:rPr>
      </w:pPr>
      <w:r>
        <w:rPr>
          <w:rFonts w:hint="eastAsia"/>
        </w:rPr>
        <w:t>按单项计提坏账准备：</w:t>
      </w:r>
    </w:p>
    <w:sdt>
      <w:sdtPr>
        <w:alias w:val="是否适用：按单项计提坏账准备的详细情况[双击切换]"/>
        <w:tag w:val="_GBC_65f67a26c8854813ab351f644b5cb549"/>
        <w:id w:val="-344327433"/>
        <w:placeholder>
          <w:docPart w:val="GBC22222222222222222222222222222"/>
        </w:placeholder>
      </w:sdtPr>
      <w:sdtContent>
        <w:p w14:paraId="731EBEF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F32656E">
      <w:pPr>
        <w:rPr>
          <w:rFonts w:hint="eastAsia"/>
          <w:szCs w:val="21"/>
        </w:rPr>
      </w:pPr>
    </w:p>
    <w:p w14:paraId="25CDDEED">
      <w:pPr>
        <w:rPr>
          <w:rFonts w:hint="eastAsia"/>
          <w:szCs w:val="21"/>
        </w:rPr>
      </w:pPr>
      <w:r>
        <w:rPr>
          <w:rFonts w:hint="eastAsia"/>
          <w:szCs w:val="21"/>
        </w:rPr>
        <w:t>按单项计提坏账准备的说明：</w:t>
      </w:r>
    </w:p>
    <w:sdt>
      <w:sdtPr>
        <w:rPr>
          <w:szCs w:val="21"/>
        </w:rPr>
        <w:alias w:val="是否适用：按单项计提坏账准备的说明[双击切换]"/>
        <w:tag w:val="_GBC_d2e6ec1c09f24f3f8d01b46d2d307db0"/>
        <w:id w:val="852311997"/>
        <w:placeholder>
          <w:docPart w:val="GBC22222222222222222222222222222"/>
        </w:placeholder>
      </w:sdtPr>
      <w:sdtEndPr>
        <w:rPr>
          <w:szCs w:val="21"/>
        </w:rPr>
      </w:sdtEndPr>
      <w:sdtContent>
        <w:p w14:paraId="72B5F26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9221910">
      <w:pPr>
        <w:rPr>
          <w:rFonts w:hint="eastAsia"/>
          <w:szCs w:val="21"/>
        </w:rPr>
      </w:pPr>
    </w:p>
    <w:p w14:paraId="3C285028">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按组合计提坏账准备的详细情况[双击切换]"/>
        <w:tag w:val="_GBC_8f072c0ad15941d789bf25455711e72b"/>
        <w:id w:val="-1885322940"/>
        <w:placeholder>
          <w:docPart w:val="GBC22222222222222222222222222222"/>
        </w:placeholder>
      </w:sdtPr>
      <w:sdtEndPr>
        <w:rPr>
          <w:rFonts w:ascii="Calibri" w:hAnsi="Calibri" w:cs="Times New Roman"/>
          <w:bCs/>
          <w:szCs w:val="22"/>
        </w:rPr>
      </w:sdtEndPr>
      <w:sdtContent>
        <w:p w14:paraId="7197E419">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2BEB88BE">
      <w:pPr>
        <w:rPr>
          <w:rFonts w:hint="eastAsia"/>
          <w:szCs w:val="21"/>
        </w:rPr>
      </w:pPr>
    </w:p>
    <w:p w14:paraId="05E9BB51">
      <w:pPr>
        <w:rPr>
          <w:rFonts w:ascii="Calibri" w:hAnsi="Calibri" w:cs="Times New Roman"/>
          <w:b/>
          <w:bCs/>
          <w:szCs w:val="22"/>
        </w:rPr>
      </w:pPr>
    </w:p>
    <w:p w14:paraId="72C3C12E">
      <w:pPr>
        <w:rPr>
          <w:rFonts w:hint="eastAsia" w:cstheme="minorBidi"/>
          <w:bCs/>
          <w:szCs w:val="22"/>
        </w:rPr>
      </w:pPr>
      <w:bookmarkStart w:id="265" w:name="_Hlk154134692"/>
      <w:bookmarkStart w:id="266" w:name="_Hlk153372713"/>
      <w:r>
        <w:rPr>
          <w:rFonts w:hint="eastAsia" w:cstheme="minorBidi"/>
          <w:bCs/>
          <w:szCs w:val="22"/>
        </w:rPr>
        <w:t>按预期信用损失一般模型计提坏账准备</w:t>
      </w:r>
    </w:p>
    <w:sdt>
      <w:sdtPr>
        <w:rPr>
          <w:rFonts w:cstheme="minorBidi"/>
          <w:bCs/>
          <w:szCs w:val="22"/>
        </w:rPr>
        <w:alias w:val="是否适用：按预期信用损失一般模型计提坏账准备[双击切换]"/>
        <w:tag w:val="_GBC_711e992fa6a34dd7aa5a5725743204fa"/>
        <w:id w:val="553741555"/>
        <w:placeholder>
          <w:docPart w:val="GBC22222222222222222222222222222"/>
        </w:placeholder>
      </w:sdtPr>
      <w:sdtEndPr>
        <w:rPr>
          <w:rFonts w:cstheme="minorBidi"/>
          <w:bCs/>
          <w:szCs w:val="22"/>
        </w:rPr>
      </w:sdtEndPr>
      <w:sdtContent>
        <w:p w14:paraId="47E372C3">
          <w:pPr>
            <w:rPr>
              <w:rFonts w:hint="eastAsia" w:cstheme="minorBidi"/>
              <w:bCs/>
              <w:szCs w:val="22"/>
            </w:rPr>
          </w:pPr>
          <w:r>
            <w:rPr>
              <w:rFonts w:cstheme="minorBidi"/>
              <w:bCs/>
              <w:szCs w:val="22"/>
            </w:rPr>
            <w:fldChar w:fldCharType="begin"/>
          </w:r>
          <w:r>
            <w:rPr>
              <w:rFonts w:hint="eastAsia"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hint="eastAsia" w:cstheme="minorBidi"/>
              <w:bCs/>
              <w:szCs w:val="22"/>
            </w:rPr>
            <w:instrText xml:space="preserve"> MACROBUTTON  SnrToggleCheckbox √不适用 </w:instrText>
          </w:r>
          <w:r>
            <w:rPr>
              <w:rFonts w:cstheme="minorBidi"/>
              <w:bCs/>
              <w:szCs w:val="22"/>
            </w:rPr>
            <w:fldChar w:fldCharType="end"/>
          </w:r>
        </w:p>
      </w:sdtContent>
    </w:sdt>
    <w:p w14:paraId="00195CEF">
      <w:pPr>
        <w:rPr>
          <w:rFonts w:hint="eastAsia"/>
          <w:szCs w:val="21"/>
        </w:rPr>
      </w:pPr>
    </w:p>
    <w:p w14:paraId="7BB67A47">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各阶段划分依据和坏账准备计提比例"/>
        <w:tag w:val="_GBC_2bf6f4d4451c46a9a45370b7317253a2"/>
        <w:id w:val="228741768"/>
        <w:placeholder>
          <w:docPart w:val="GBC22222222222222222222222222222"/>
        </w:placeholder>
      </w:sdtPr>
      <w:sdtEndPr>
        <w:rPr>
          <w:rFonts w:cs="Times New Roman"/>
          <w:bCs/>
          <w:szCs w:val="22"/>
        </w:rPr>
      </w:sdtEndPr>
      <w:sdtContent>
        <w:p w14:paraId="227DF506">
          <w:pPr>
            <w:rPr>
              <w:rFonts w:hint="eastAsia" w:cs="Times New Roman"/>
              <w:bCs/>
              <w:szCs w:val="22"/>
            </w:rPr>
          </w:pPr>
          <w:r>
            <w:rPr>
              <w:rFonts w:hint="eastAsia" w:cs="Times New Roman"/>
              <w:bCs/>
              <w:szCs w:val="22"/>
            </w:rPr>
            <w:t>无</w:t>
          </w:r>
        </w:p>
      </w:sdtContent>
    </w:sdt>
    <w:p w14:paraId="552DAB24">
      <w:pPr>
        <w:rPr>
          <w:rFonts w:asciiTheme="minorHAnsi" w:hAnsiTheme="minorHAnsi" w:cstheme="minorBidi"/>
          <w:b/>
          <w:bCs/>
          <w:szCs w:val="22"/>
        </w:rPr>
      </w:pPr>
    </w:p>
    <w:p w14:paraId="540B5440">
      <w:pPr>
        <w:pStyle w:val="123"/>
      </w:pPr>
      <w:r>
        <w:rPr>
          <w:rFonts w:hint="eastAsia"/>
        </w:rPr>
        <w:t>对本期发生损失准备变动的应收款项融资账面余额显著变动的情况说明：</w:t>
      </w:r>
    </w:p>
    <w:sdt>
      <w:sdtPr>
        <w:rPr>
          <w:szCs w:val="21"/>
        </w:rPr>
        <w:alias w:val="是否适用：对本期发生损失准备变动的账面余额显著变动的情况说明[双击切换]"/>
        <w:tag w:val="_GBC_14de6d8177254b0abb86a102aa2886f9"/>
        <w:id w:val="-1941518850"/>
        <w:placeholder>
          <w:docPart w:val="GBC22222222222222222222222222222"/>
        </w:placeholder>
      </w:sdtPr>
      <w:sdtEndPr>
        <w:rPr>
          <w:szCs w:val="21"/>
        </w:rPr>
      </w:sdtEndPr>
      <w:sdtContent>
        <w:p w14:paraId="4EF16D7D">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F023F09">
      <w:pPr>
        <w:rPr>
          <w:rFonts w:asciiTheme="minorHAnsi" w:hAnsiTheme="minorHAnsi" w:cstheme="minorBidi"/>
          <w:b/>
          <w:bCs/>
          <w:szCs w:val="22"/>
        </w:rPr>
      </w:pPr>
    </w:p>
    <w:bookmarkEnd w:id="265"/>
    <w:bookmarkEnd w:id="266"/>
    <w:p w14:paraId="343901F4">
      <w:pPr>
        <w:pStyle w:val="71"/>
        <w:numPr>
          <w:ilvl w:val="0"/>
          <w:numId w:val="113"/>
        </w:numPr>
        <w:rPr>
          <w:rFonts w:hint="eastAsia"/>
        </w:rPr>
      </w:pPr>
      <w:r>
        <w:rPr>
          <w:rFonts w:hint="eastAsia"/>
        </w:rPr>
        <w:t>坏账准备的情况</w:t>
      </w:r>
    </w:p>
    <w:sdt>
      <w:sdtPr>
        <w:alias w:val="是否适用：坏账准备情况[双击切换]"/>
        <w:tag w:val="_GBC_9eb14f08b86f4a7096cd60413baf3092"/>
        <w:id w:val="173542434"/>
        <w:placeholder>
          <w:docPart w:val="GBC22222222222222222222222222222"/>
        </w:placeholder>
      </w:sdtPr>
      <w:sdtContent>
        <w:p w14:paraId="5E0CFF2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0B64909">
      <w:pPr>
        <w:rPr>
          <w:rFonts w:hint="eastAsia"/>
        </w:rPr>
      </w:pPr>
    </w:p>
    <w:p w14:paraId="33A57D52">
      <w:pPr>
        <w:rPr>
          <w:rFonts w:hint="eastAsia"/>
        </w:rPr>
      </w:pPr>
      <w:r>
        <w:rPr>
          <w:rFonts w:hint="eastAsia"/>
        </w:rPr>
        <w:t>其中本期坏账准备收回或转回金额重要的：</w:t>
      </w:r>
    </w:p>
    <w:sdt>
      <w:sdtPr>
        <w:alias w:val="是否适用：本期坏账准备收回或转回金额重要的[双击切换]"/>
        <w:tag w:val="_GBC_2b51db20288a43b39962432da30280fe"/>
        <w:id w:val="-1109582660"/>
        <w:placeholder>
          <w:docPart w:val="GBC22222222222222222222222222222"/>
        </w:placeholder>
      </w:sdtPr>
      <w:sdtContent>
        <w:p w14:paraId="4E8ECC8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1611E46">
      <w:pPr>
        <w:rPr>
          <w:rFonts w:hint="eastAsia"/>
        </w:rPr>
      </w:pPr>
    </w:p>
    <w:p w14:paraId="7E1773A8">
      <w:pPr>
        <w:rPr>
          <w:rFonts w:hint="eastAsia"/>
        </w:rPr>
      </w:pPr>
      <w:r>
        <w:rPr>
          <w:rFonts w:hint="eastAsia"/>
        </w:rPr>
        <w:t>其他说明：</w:t>
      </w:r>
    </w:p>
    <w:sdt>
      <w:sdtPr>
        <w:alias w:val="坏账准备情况的说明"/>
        <w:tag w:val="_GBC_e8b4225586244ec9b8d5ae0de000f4e4"/>
        <w:id w:val="-1201476438"/>
        <w:placeholder>
          <w:docPart w:val="GBC22222222222222222222222222222"/>
        </w:placeholder>
      </w:sdtPr>
      <w:sdtContent>
        <w:p w14:paraId="64BCF0A3">
          <w:pPr>
            <w:ind w:right="42" w:rightChars="20"/>
            <w:rPr>
              <w:rFonts w:hint="eastAsia"/>
            </w:rPr>
          </w:pPr>
          <w:r>
            <w:rPr>
              <w:rFonts w:hint="eastAsia"/>
            </w:rPr>
            <w:t>无</w:t>
          </w:r>
        </w:p>
      </w:sdtContent>
    </w:sdt>
    <w:p w14:paraId="3F6879C0">
      <w:pPr>
        <w:ind w:right="-1594" w:rightChars="-759"/>
        <w:rPr>
          <w:rFonts w:hint="eastAsia"/>
        </w:rPr>
      </w:pPr>
    </w:p>
    <w:p w14:paraId="2613A11B">
      <w:pPr>
        <w:pStyle w:val="71"/>
        <w:numPr>
          <w:ilvl w:val="0"/>
          <w:numId w:val="113"/>
        </w:numPr>
        <w:rPr>
          <w:rFonts w:hint="eastAsia"/>
        </w:rPr>
      </w:pPr>
      <w:r>
        <w:rPr>
          <w:rFonts w:hint="eastAsia"/>
        </w:rPr>
        <w:t>本期实际核销的应收款项融资情况</w:t>
      </w:r>
    </w:p>
    <w:sdt>
      <w:sdtPr>
        <w:alias w:val="是否适用：实际核销的情况[双击切换]"/>
        <w:tag w:val="_GBC_4075b47847034ec5b4b4aeeb85217687"/>
        <w:id w:val="-1606870890"/>
        <w:placeholder>
          <w:docPart w:val="GBC22222222222222222222222222222"/>
        </w:placeholder>
      </w:sdtPr>
      <w:sdtContent>
        <w:p w14:paraId="0C05D13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FF59539">
      <w:pPr>
        <w:rPr>
          <w:rFonts w:hint="eastAsia"/>
          <w:szCs w:val="21"/>
        </w:rPr>
      </w:pPr>
    </w:p>
    <w:p w14:paraId="5636F08F">
      <w:pPr>
        <w:rPr>
          <w:rFonts w:hint="eastAsia"/>
          <w:szCs w:val="21"/>
        </w:rPr>
      </w:pPr>
      <w:r>
        <w:rPr>
          <w:rFonts w:hint="eastAsia"/>
          <w:szCs w:val="21"/>
        </w:rPr>
        <w:t>其中重要的应收款项融资核销情况</w:t>
      </w:r>
    </w:p>
    <w:sdt>
      <w:sdtPr>
        <w:rPr>
          <w:rFonts w:hint="eastAsia"/>
          <w:szCs w:val="21"/>
        </w:rPr>
        <w:alias w:val="是否适用：重要的核销情况[双击切换]"/>
        <w:tag w:val="_GBC_a1c05dd99dc343f883b67997da317840"/>
        <w:id w:val="2075931406"/>
        <w:placeholder>
          <w:docPart w:val="GBC22222222222222222222222222222"/>
        </w:placeholder>
      </w:sdtPr>
      <w:sdtEndPr>
        <w:rPr>
          <w:rFonts w:hint="eastAsia"/>
          <w:szCs w:val="21"/>
        </w:rPr>
      </w:sdtEndPr>
      <w:sdtContent>
        <w:p w14:paraId="07E5132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9FACE14">
      <w:pPr>
        <w:rPr>
          <w:rFonts w:hint="eastAsia"/>
          <w:szCs w:val="21"/>
        </w:rPr>
      </w:pPr>
    </w:p>
    <w:p w14:paraId="7A1DAF5D">
      <w:pPr>
        <w:snapToGrid w:val="0"/>
        <w:spacing w:line="240" w:lineRule="atLeast"/>
        <w:rPr>
          <w:rFonts w:hint="eastAsia"/>
          <w:szCs w:val="21"/>
        </w:rPr>
      </w:pPr>
      <w:r>
        <w:rPr>
          <w:rFonts w:hint="eastAsia"/>
          <w:szCs w:val="21"/>
        </w:rPr>
        <w:t>核销说明：</w:t>
      </w:r>
    </w:p>
    <w:sdt>
      <w:sdtPr>
        <w:rPr>
          <w:szCs w:val="21"/>
        </w:rPr>
        <w:alias w:val="是否适用：核销说明[双击切换]"/>
        <w:tag w:val="_GBC_960239b4d8f94352ba13280d190272c1"/>
        <w:id w:val="-325435090"/>
        <w:placeholder>
          <w:docPart w:val="GBC22222222222222222222222222222"/>
        </w:placeholder>
      </w:sdtPr>
      <w:sdtEndPr>
        <w:rPr>
          <w:szCs w:val="21"/>
        </w:rPr>
      </w:sdtEndPr>
      <w:sdtContent>
        <w:p w14:paraId="4D8FD155">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15E89CA">
      <w:pPr>
        <w:rPr>
          <w:rFonts w:hint="eastAsia"/>
        </w:rPr>
      </w:pPr>
    </w:p>
    <w:p w14:paraId="42D8D10A">
      <w:pPr>
        <w:pStyle w:val="71"/>
        <w:numPr>
          <w:ilvl w:val="0"/>
          <w:numId w:val="113"/>
        </w:numPr>
        <w:rPr>
          <w:rFonts w:hint="eastAsia"/>
        </w:rPr>
      </w:pPr>
      <w:r>
        <w:rPr>
          <w:rFonts w:hint="eastAsia"/>
        </w:rPr>
        <w:t>应收款项融资本期增减变动及公允价值变动情况：</w:t>
      </w:r>
    </w:p>
    <w:sdt>
      <w:sdtPr>
        <w:rPr>
          <w:rFonts w:hint="eastAsia"/>
        </w:rPr>
        <w:alias w:val="是否适用：应收款项融资本期增减变动及公允价值变动情况[双击切换]"/>
        <w:tag w:val="_GBC_1265a117176c43939de7d6d1e043f692"/>
        <w:id w:val="-854497408"/>
        <w:placeholder>
          <w:docPart w:val="GBC22222222222222222222222222222"/>
        </w:placeholder>
      </w:sdtPr>
      <w:sdtEndPr>
        <w:rPr>
          <w:rFonts w:hint="eastAsia"/>
        </w:rPr>
      </w:sdtEndPr>
      <w:sdtContent>
        <w:p w14:paraId="0FBAEE9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16104CF">
      <w:pPr>
        <w:rPr>
          <w:rFonts w:hint="eastAsia"/>
        </w:rPr>
      </w:pPr>
    </w:p>
    <w:bookmarkEnd w:id="262"/>
    <w:bookmarkEnd w:id="263"/>
    <w:bookmarkEnd w:id="264"/>
    <w:p w14:paraId="520231C5">
      <w:pPr>
        <w:pStyle w:val="71"/>
        <w:numPr>
          <w:ilvl w:val="0"/>
          <w:numId w:val="113"/>
        </w:numPr>
        <w:rPr>
          <w:rFonts w:hint="eastAsia"/>
        </w:rPr>
      </w:pPr>
      <w:r>
        <w:rPr>
          <w:rFonts w:hint="eastAsia"/>
        </w:rPr>
        <w:t>其他说明</w:t>
      </w:r>
    </w:p>
    <w:sdt>
      <w:sdtPr>
        <w:rPr>
          <w:rFonts w:hint="eastAsia"/>
        </w:rPr>
        <w:alias w:val="是否适用：应收款项融资其他说明[双击切换]"/>
        <w:tag w:val="_GBC_19d5ef5dfbe64f2d98d9ab83a2e48c14"/>
        <w:id w:val="-106972177"/>
        <w:placeholder>
          <w:docPart w:val="GBC22222222222222222222222222222"/>
        </w:placeholder>
      </w:sdtPr>
      <w:sdtEndPr>
        <w:rPr>
          <w:rFonts w:hint="eastAsia"/>
        </w:rPr>
      </w:sdtEndPr>
      <w:sdtContent>
        <w:p w14:paraId="554C7A45">
          <w:pPr>
            <w:rPr>
              <w:rFonts w:hint="eastAsia"/>
              <w:szCs w:val="21"/>
            </w:rPr>
          </w:pPr>
          <w:bookmarkStart w:id="267" w:name="_Hlk13057390"/>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267"/>
    <w:p w14:paraId="71FB90C4">
      <w:pPr>
        <w:rPr>
          <w:rFonts w:hint="eastAsia"/>
          <w:szCs w:val="21"/>
        </w:rPr>
      </w:pPr>
    </w:p>
    <w:p w14:paraId="5AED9807">
      <w:pPr>
        <w:pStyle w:val="70"/>
        <w:numPr>
          <w:ilvl w:val="0"/>
          <w:numId w:val="109"/>
        </w:numPr>
        <w:rPr>
          <w:szCs w:val="21"/>
        </w:rPr>
      </w:pPr>
      <w:r>
        <w:rPr>
          <w:szCs w:val="21"/>
        </w:rPr>
        <w:t>预付款项</w:t>
      </w:r>
    </w:p>
    <w:p w14:paraId="67EE22E0">
      <w:pPr>
        <w:pStyle w:val="71"/>
        <w:numPr>
          <w:ilvl w:val="3"/>
          <w:numId w:val="114"/>
        </w:numPr>
        <w:ind w:left="426" w:hanging="426"/>
        <w:rPr>
          <w:rFonts w:hint="eastAsia"/>
        </w:rPr>
      </w:pPr>
      <w:r>
        <w:rPr>
          <w:rFonts w:hint="eastAsia"/>
        </w:rPr>
        <w:t>预付款项按账龄列示</w:t>
      </w:r>
    </w:p>
    <w:sdt>
      <w:sdtPr>
        <w:rPr>
          <w:rFonts w:hint="eastAsia"/>
        </w:rPr>
        <w:alias w:val="是否适用：预付款项按账龄列示[双击切换]"/>
        <w:tag w:val="_GBC_9c50af2eedb44a33921bab4a9f5ef35c"/>
        <w:id w:val="761877901"/>
        <w:placeholder>
          <w:docPart w:val="GBC22222222222222222222222222222"/>
        </w:placeholder>
      </w:sdtPr>
      <w:sdtEndPr>
        <w:rPr>
          <w:rFonts w:hint="eastAsia"/>
        </w:rPr>
      </w:sdtEndPr>
      <w:sdtContent>
        <w:p w14:paraId="35BCDF84">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29D79343">
      <w:pPr>
        <w:jc w:val="right"/>
        <w:rPr>
          <w:rFonts w:hint="eastAsia"/>
          <w:b/>
          <w:szCs w:val="21"/>
        </w:rPr>
      </w:pPr>
      <w:r>
        <w:rPr>
          <w:rFonts w:hint="eastAsia"/>
          <w:szCs w:val="21"/>
        </w:rPr>
        <w:t>单位：</w:t>
      </w:r>
      <w:sdt>
        <w:sdtPr>
          <w:rPr>
            <w:rFonts w:hint="eastAsia"/>
            <w:szCs w:val="21"/>
          </w:rPr>
          <w:alias w:val="单位：财务附注：预付账款账龄"/>
          <w:tag w:val="_GBC_25e874c523c14d528beabbdb96c27981"/>
          <w:id w:val="14112771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8959523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349"/>
        <w:gridCol w:w="1876"/>
        <w:gridCol w:w="1862"/>
        <w:gridCol w:w="1860"/>
        <w:gridCol w:w="1876"/>
      </w:tblGrid>
      <w:tr w14:paraId="048A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37" w:hRule="atLeast"/>
        </w:trPr>
        <w:sdt>
          <w:sdtPr>
            <w:tag w:val="_PLD_497c76328aa14442bd9ed8d02efaffdc"/>
            <w:id w:val="-1658370083"/>
          </w:sdtPr>
          <w:sdtContent>
            <w:tc>
              <w:tcPr>
                <w:tcW w:w="764" w:type="pct"/>
                <w:vMerge w:val="restart"/>
                <w:vAlign w:val="center"/>
              </w:tcPr>
              <w:p w14:paraId="4E392FAE">
                <w:pPr>
                  <w:ind w:right="5"/>
                  <w:jc w:val="center"/>
                  <w:rPr>
                    <w:rFonts w:hint="eastAsia"/>
                    <w:szCs w:val="21"/>
                  </w:rPr>
                </w:pPr>
                <w:r>
                  <w:rPr>
                    <w:rFonts w:hint="eastAsia"/>
                    <w:szCs w:val="21"/>
                  </w:rPr>
                  <w:t>账龄</w:t>
                </w:r>
              </w:p>
            </w:tc>
          </w:sdtContent>
        </w:sdt>
        <w:sdt>
          <w:sdtPr>
            <w:tag w:val="_PLD_3c7cef9fd55549768916decb59114918"/>
            <w:id w:val="890313473"/>
          </w:sdtPr>
          <w:sdtContent>
            <w:tc>
              <w:tcPr>
                <w:tcW w:w="2118" w:type="pct"/>
                <w:gridSpan w:val="2"/>
                <w:vAlign w:val="center"/>
              </w:tcPr>
              <w:p w14:paraId="02E704D9">
                <w:pPr>
                  <w:ind w:right="5"/>
                  <w:jc w:val="center"/>
                  <w:rPr>
                    <w:rFonts w:hint="eastAsia"/>
                    <w:szCs w:val="21"/>
                  </w:rPr>
                </w:pPr>
                <w:r>
                  <w:rPr>
                    <w:rFonts w:hint="eastAsia"/>
                    <w:szCs w:val="21"/>
                  </w:rPr>
                  <w:t>期末余额</w:t>
                </w:r>
              </w:p>
            </w:tc>
          </w:sdtContent>
        </w:sdt>
        <w:sdt>
          <w:sdtPr>
            <w:tag w:val="_PLD_3338d9aea932468fa8faa1bef2db4526"/>
            <w:id w:val="1298262131"/>
          </w:sdtPr>
          <w:sdtContent>
            <w:tc>
              <w:tcPr>
                <w:tcW w:w="2117" w:type="pct"/>
                <w:gridSpan w:val="2"/>
                <w:vAlign w:val="center"/>
              </w:tcPr>
              <w:p w14:paraId="73B1BC1D">
                <w:pPr>
                  <w:ind w:right="5"/>
                  <w:jc w:val="center"/>
                  <w:rPr>
                    <w:rFonts w:hint="eastAsia"/>
                    <w:szCs w:val="21"/>
                  </w:rPr>
                </w:pPr>
                <w:r>
                  <w:rPr>
                    <w:rFonts w:hint="eastAsia"/>
                    <w:szCs w:val="21"/>
                  </w:rPr>
                  <w:t>期初余额</w:t>
                </w:r>
              </w:p>
            </w:tc>
          </w:sdtContent>
        </w:sdt>
      </w:tr>
      <w:tr w14:paraId="2ABD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764" w:type="pct"/>
            <w:vMerge w:val="continue"/>
          </w:tcPr>
          <w:p w14:paraId="568587D5">
            <w:pPr>
              <w:rPr>
                <w:rFonts w:hint="eastAsia"/>
                <w:szCs w:val="21"/>
              </w:rPr>
            </w:pPr>
          </w:p>
        </w:tc>
        <w:sdt>
          <w:sdtPr>
            <w:tag w:val="_PLD_2b1b05d61c574fe485d979f04a81c8c9"/>
            <w:id w:val="-230543991"/>
          </w:sdtPr>
          <w:sdtContent>
            <w:tc>
              <w:tcPr>
                <w:tcW w:w="1063" w:type="pct"/>
                <w:vAlign w:val="center"/>
              </w:tcPr>
              <w:p w14:paraId="5BB8E439">
                <w:pPr>
                  <w:ind w:right="5"/>
                  <w:jc w:val="center"/>
                  <w:rPr>
                    <w:rFonts w:hint="eastAsia"/>
                    <w:szCs w:val="21"/>
                  </w:rPr>
                </w:pPr>
                <w:r>
                  <w:rPr>
                    <w:rFonts w:hint="eastAsia"/>
                    <w:szCs w:val="21"/>
                  </w:rPr>
                  <w:t>金额</w:t>
                </w:r>
              </w:p>
            </w:tc>
          </w:sdtContent>
        </w:sdt>
        <w:sdt>
          <w:sdtPr>
            <w:tag w:val="_PLD_7faf25028eff45ce8c6bf33a9060f296"/>
            <w:id w:val="1072776607"/>
          </w:sdtPr>
          <w:sdtContent>
            <w:tc>
              <w:tcPr>
                <w:tcW w:w="1055" w:type="pct"/>
                <w:vAlign w:val="center"/>
              </w:tcPr>
              <w:p w14:paraId="5F18437C">
                <w:pPr>
                  <w:ind w:right="5"/>
                  <w:jc w:val="center"/>
                  <w:rPr>
                    <w:rFonts w:hint="eastAsia"/>
                    <w:szCs w:val="21"/>
                  </w:rPr>
                </w:pPr>
                <w:r>
                  <w:rPr>
                    <w:rFonts w:hint="eastAsia"/>
                    <w:szCs w:val="21"/>
                  </w:rPr>
                  <w:t>比例</w:t>
                </w:r>
                <w:r>
                  <w:rPr>
                    <w:szCs w:val="21"/>
                  </w:rPr>
                  <w:t>(%)</w:t>
                </w:r>
              </w:p>
            </w:tc>
          </w:sdtContent>
        </w:sdt>
        <w:sdt>
          <w:sdtPr>
            <w:tag w:val="_PLD_56219e7f20ba4e60b1a3edd32c1c534e"/>
            <w:id w:val="732277285"/>
          </w:sdtPr>
          <w:sdtContent>
            <w:tc>
              <w:tcPr>
                <w:tcW w:w="1054" w:type="pct"/>
                <w:vAlign w:val="center"/>
              </w:tcPr>
              <w:p w14:paraId="40E1D1A6">
                <w:pPr>
                  <w:ind w:right="5"/>
                  <w:jc w:val="center"/>
                  <w:rPr>
                    <w:rFonts w:hint="eastAsia"/>
                    <w:szCs w:val="21"/>
                  </w:rPr>
                </w:pPr>
                <w:r>
                  <w:rPr>
                    <w:rFonts w:hint="eastAsia"/>
                    <w:szCs w:val="21"/>
                  </w:rPr>
                  <w:t>金额</w:t>
                </w:r>
              </w:p>
            </w:tc>
          </w:sdtContent>
        </w:sdt>
        <w:sdt>
          <w:sdtPr>
            <w:tag w:val="_PLD_430fca228ced43ada83018b2091f7abf"/>
            <w:id w:val="-1038810110"/>
          </w:sdtPr>
          <w:sdtContent>
            <w:tc>
              <w:tcPr>
                <w:tcW w:w="1063" w:type="pct"/>
                <w:vAlign w:val="center"/>
              </w:tcPr>
              <w:p w14:paraId="3234B2D5">
                <w:pPr>
                  <w:ind w:right="5"/>
                  <w:jc w:val="center"/>
                  <w:rPr>
                    <w:rFonts w:hint="eastAsia"/>
                    <w:szCs w:val="21"/>
                  </w:rPr>
                </w:pPr>
                <w:r>
                  <w:rPr>
                    <w:rFonts w:hint="eastAsia"/>
                    <w:szCs w:val="21"/>
                  </w:rPr>
                  <w:t>比例</w:t>
                </w:r>
                <w:r>
                  <w:rPr>
                    <w:szCs w:val="21"/>
                  </w:rPr>
                  <w:t>(%)</w:t>
                </w:r>
              </w:p>
            </w:tc>
          </w:sdtContent>
        </w:sdt>
      </w:tr>
      <w:tr w14:paraId="632A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99" w:hRule="atLeast"/>
        </w:trPr>
        <w:tc>
          <w:tcPr>
            <w:tcW w:w="764" w:type="pct"/>
          </w:tcPr>
          <w:p w14:paraId="4115A0DE">
            <w:pPr>
              <w:ind w:right="5"/>
              <w:rPr>
                <w:rFonts w:hint="eastAsia"/>
                <w:szCs w:val="21"/>
              </w:rPr>
            </w:pPr>
            <w:r>
              <w:rPr>
                <w:rFonts w:hint="eastAsia"/>
                <w:szCs w:val="21"/>
              </w:rPr>
              <w:t>1年以内</w:t>
            </w:r>
          </w:p>
        </w:tc>
        <w:tc>
          <w:tcPr>
            <w:tcW w:w="1063" w:type="pct"/>
          </w:tcPr>
          <w:p w14:paraId="75C946F4">
            <w:pPr>
              <w:ind w:right="5"/>
              <w:jc w:val="right"/>
              <w:rPr>
                <w:rFonts w:hint="eastAsia"/>
                <w:szCs w:val="21"/>
              </w:rPr>
            </w:pPr>
            <w:r>
              <w:rPr>
                <w:rFonts w:ascii="Arial Narrow" w:hAnsi="Arial Narrow" w:eastAsia="等线"/>
                <w:color w:val="000000"/>
                <w:szCs w:val="21"/>
              </w:rPr>
              <w:t xml:space="preserve">117,647,205.80 </w:t>
            </w:r>
          </w:p>
        </w:tc>
        <w:tc>
          <w:tcPr>
            <w:tcW w:w="1055" w:type="pct"/>
          </w:tcPr>
          <w:p w14:paraId="45B3E478">
            <w:pPr>
              <w:ind w:right="5"/>
              <w:jc w:val="right"/>
              <w:rPr>
                <w:rFonts w:hint="eastAsia"/>
                <w:szCs w:val="21"/>
              </w:rPr>
            </w:pPr>
            <w:r>
              <w:rPr>
                <w:rFonts w:ascii="Arial Narrow" w:hAnsi="Arial Narrow" w:eastAsia="等线"/>
                <w:color w:val="000000"/>
                <w:szCs w:val="21"/>
              </w:rPr>
              <w:t xml:space="preserve">80.18 </w:t>
            </w:r>
          </w:p>
        </w:tc>
        <w:tc>
          <w:tcPr>
            <w:tcW w:w="1054" w:type="pct"/>
          </w:tcPr>
          <w:p w14:paraId="2150A3BE">
            <w:pPr>
              <w:ind w:right="5"/>
              <w:jc w:val="right"/>
              <w:rPr>
                <w:rFonts w:hint="eastAsia"/>
                <w:szCs w:val="21"/>
              </w:rPr>
            </w:pPr>
            <w:r>
              <w:rPr>
                <w:rFonts w:ascii="Arial Narrow" w:hAnsi="Arial Narrow" w:eastAsia="等线"/>
                <w:color w:val="000000"/>
                <w:szCs w:val="21"/>
              </w:rPr>
              <w:t xml:space="preserve">170,588,011.07 </w:t>
            </w:r>
          </w:p>
        </w:tc>
        <w:tc>
          <w:tcPr>
            <w:tcW w:w="1063" w:type="pct"/>
          </w:tcPr>
          <w:p w14:paraId="2DA662D4">
            <w:pPr>
              <w:ind w:right="5"/>
              <w:jc w:val="right"/>
              <w:rPr>
                <w:rFonts w:hint="eastAsia"/>
                <w:szCs w:val="21"/>
              </w:rPr>
            </w:pPr>
            <w:r>
              <w:rPr>
                <w:rFonts w:ascii="Arial Narrow" w:hAnsi="Arial Narrow" w:eastAsia="等线"/>
                <w:color w:val="000000"/>
                <w:szCs w:val="21"/>
              </w:rPr>
              <w:t xml:space="preserve">77.34 </w:t>
            </w:r>
          </w:p>
        </w:tc>
      </w:tr>
      <w:tr w14:paraId="0DBD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764" w:type="pct"/>
          </w:tcPr>
          <w:p w14:paraId="60F4735B">
            <w:pPr>
              <w:ind w:right="5"/>
              <w:rPr>
                <w:rFonts w:hint="eastAsia"/>
                <w:szCs w:val="21"/>
              </w:rPr>
            </w:pPr>
            <w:r>
              <w:rPr>
                <w:rFonts w:hint="eastAsia"/>
                <w:szCs w:val="21"/>
              </w:rPr>
              <w:t>1至2年</w:t>
            </w:r>
          </w:p>
        </w:tc>
        <w:tc>
          <w:tcPr>
            <w:tcW w:w="1063" w:type="pct"/>
          </w:tcPr>
          <w:p w14:paraId="1CFA5B47">
            <w:pPr>
              <w:ind w:right="5"/>
              <w:jc w:val="right"/>
              <w:rPr>
                <w:rFonts w:hint="eastAsia"/>
                <w:szCs w:val="21"/>
              </w:rPr>
            </w:pPr>
            <w:r>
              <w:rPr>
                <w:rFonts w:ascii="Arial Narrow" w:hAnsi="Arial Narrow" w:eastAsia="等线"/>
                <w:color w:val="000000"/>
                <w:szCs w:val="21"/>
              </w:rPr>
              <w:t xml:space="preserve">11,143,737.74 </w:t>
            </w:r>
          </w:p>
        </w:tc>
        <w:tc>
          <w:tcPr>
            <w:tcW w:w="1055" w:type="pct"/>
          </w:tcPr>
          <w:p w14:paraId="4B8C77E0">
            <w:pPr>
              <w:ind w:right="5"/>
              <w:jc w:val="right"/>
              <w:rPr>
                <w:rFonts w:hint="eastAsia"/>
                <w:szCs w:val="21"/>
              </w:rPr>
            </w:pPr>
            <w:r>
              <w:rPr>
                <w:rFonts w:ascii="Arial Narrow" w:hAnsi="Arial Narrow" w:eastAsia="等线"/>
                <w:color w:val="000000"/>
                <w:szCs w:val="21"/>
              </w:rPr>
              <w:t xml:space="preserve">7.59 </w:t>
            </w:r>
          </w:p>
        </w:tc>
        <w:tc>
          <w:tcPr>
            <w:tcW w:w="1054" w:type="pct"/>
          </w:tcPr>
          <w:p w14:paraId="66DFB858">
            <w:pPr>
              <w:ind w:right="5"/>
              <w:jc w:val="right"/>
              <w:rPr>
                <w:rFonts w:hint="eastAsia"/>
                <w:szCs w:val="21"/>
              </w:rPr>
            </w:pPr>
            <w:r>
              <w:rPr>
                <w:rFonts w:ascii="Arial Narrow" w:hAnsi="Arial Narrow" w:eastAsia="等线"/>
                <w:color w:val="000000"/>
                <w:szCs w:val="21"/>
              </w:rPr>
              <w:t xml:space="preserve">24,885,570.08 </w:t>
            </w:r>
          </w:p>
        </w:tc>
        <w:tc>
          <w:tcPr>
            <w:tcW w:w="1063" w:type="pct"/>
          </w:tcPr>
          <w:p w14:paraId="2FAFFE5B">
            <w:pPr>
              <w:ind w:right="5"/>
              <w:jc w:val="right"/>
              <w:rPr>
                <w:rFonts w:hint="eastAsia"/>
                <w:szCs w:val="21"/>
              </w:rPr>
            </w:pPr>
            <w:r>
              <w:rPr>
                <w:rFonts w:ascii="Arial Narrow" w:hAnsi="Arial Narrow" w:eastAsia="等线"/>
                <w:color w:val="000000"/>
                <w:szCs w:val="21"/>
              </w:rPr>
              <w:t xml:space="preserve">11.28 </w:t>
            </w:r>
          </w:p>
        </w:tc>
      </w:tr>
      <w:tr w14:paraId="4EE0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764" w:type="pct"/>
          </w:tcPr>
          <w:p w14:paraId="43DF43BE">
            <w:pPr>
              <w:ind w:right="5"/>
              <w:rPr>
                <w:rFonts w:hint="eastAsia"/>
                <w:szCs w:val="21"/>
              </w:rPr>
            </w:pPr>
            <w:r>
              <w:rPr>
                <w:rFonts w:hint="eastAsia"/>
                <w:szCs w:val="21"/>
              </w:rPr>
              <w:t>2至3年</w:t>
            </w:r>
          </w:p>
        </w:tc>
        <w:tc>
          <w:tcPr>
            <w:tcW w:w="1063" w:type="pct"/>
          </w:tcPr>
          <w:p w14:paraId="6736B9E5">
            <w:pPr>
              <w:ind w:right="5"/>
              <w:jc w:val="right"/>
              <w:rPr>
                <w:rFonts w:hint="eastAsia"/>
                <w:szCs w:val="21"/>
              </w:rPr>
            </w:pPr>
            <w:r>
              <w:rPr>
                <w:rFonts w:ascii="Arial Narrow" w:hAnsi="Arial Narrow" w:eastAsia="等线"/>
                <w:color w:val="000000"/>
                <w:szCs w:val="21"/>
              </w:rPr>
              <w:t xml:space="preserve">4,499,544.67 </w:t>
            </w:r>
          </w:p>
        </w:tc>
        <w:tc>
          <w:tcPr>
            <w:tcW w:w="1055" w:type="pct"/>
          </w:tcPr>
          <w:p w14:paraId="39867948">
            <w:pPr>
              <w:ind w:right="5"/>
              <w:jc w:val="right"/>
              <w:rPr>
                <w:rFonts w:hint="eastAsia"/>
                <w:szCs w:val="21"/>
              </w:rPr>
            </w:pPr>
            <w:r>
              <w:rPr>
                <w:rFonts w:ascii="Arial Narrow" w:hAnsi="Arial Narrow" w:eastAsia="等线"/>
                <w:color w:val="000000"/>
                <w:szCs w:val="21"/>
              </w:rPr>
              <w:t xml:space="preserve">3.07 </w:t>
            </w:r>
          </w:p>
        </w:tc>
        <w:tc>
          <w:tcPr>
            <w:tcW w:w="1054" w:type="pct"/>
          </w:tcPr>
          <w:p w14:paraId="76E798FE">
            <w:pPr>
              <w:ind w:right="5"/>
              <w:jc w:val="right"/>
              <w:rPr>
                <w:rFonts w:hint="eastAsia"/>
                <w:szCs w:val="21"/>
              </w:rPr>
            </w:pPr>
            <w:r>
              <w:rPr>
                <w:rFonts w:ascii="Arial Narrow" w:hAnsi="Arial Narrow" w:eastAsia="等线"/>
                <w:color w:val="000000"/>
                <w:szCs w:val="21"/>
              </w:rPr>
              <w:t xml:space="preserve">12,933,407.42 </w:t>
            </w:r>
          </w:p>
        </w:tc>
        <w:tc>
          <w:tcPr>
            <w:tcW w:w="1063" w:type="pct"/>
          </w:tcPr>
          <w:p w14:paraId="2DE5404F">
            <w:pPr>
              <w:ind w:right="5"/>
              <w:jc w:val="right"/>
              <w:rPr>
                <w:rFonts w:hint="eastAsia"/>
                <w:szCs w:val="21"/>
              </w:rPr>
            </w:pPr>
            <w:r>
              <w:rPr>
                <w:rFonts w:ascii="Arial Narrow" w:hAnsi="Arial Narrow" w:eastAsia="等线"/>
                <w:color w:val="000000"/>
                <w:szCs w:val="21"/>
              </w:rPr>
              <w:t xml:space="preserve">5.86 </w:t>
            </w:r>
          </w:p>
        </w:tc>
      </w:tr>
      <w:tr w14:paraId="2699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764" w:type="pct"/>
          </w:tcPr>
          <w:p w14:paraId="266D3053">
            <w:pPr>
              <w:ind w:right="5"/>
              <w:rPr>
                <w:rFonts w:hint="eastAsia"/>
                <w:szCs w:val="21"/>
              </w:rPr>
            </w:pPr>
            <w:r>
              <w:rPr>
                <w:rFonts w:hint="eastAsia"/>
                <w:szCs w:val="21"/>
              </w:rPr>
              <w:t>3年以上</w:t>
            </w:r>
          </w:p>
        </w:tc>
        <w:tc>
          <w:tcPr>
            <w:tcW w:w="1063" w:type="pct"/>
          </w:tcPr>
          <w:p w14:paraId="45E3A3AA">
            <w:pPr>
              <w:ind w:right="5"/>
              <w:jc w:val="right"/>
              <w:rPr>
                <w:rFonts w:hint="eastAsia"/>
                <w:szCs w:val="21"/>
              </w:rPr>
            </w:pPr>
            <w:r>
              <w:rPr>
                <w:rFonts w:ascii="Arial Narrow" w:hAnsi="Arial Narrow" w:eastAsia="等线"/>
                <w:color w:val="000000"/>
                <w:szCs w:val="21"/>
              </w:rPr>
              <w:t xml:space="preserve">13,434,492.66 </w:t>
            </w:r>
          </w:p>
        </w:tc>
        <w:tc>
          <w:tcPr>
            <w:tcW w:w="1055" w:type="pct"/>
          </w:tcPr>
          <w:p w14:paraId="490A7D7C">
            <w:pPr>
              <w:ind w:right="5"/>
              <w:jc w:val="right"/>
              <w:rPr>
                <w:rFonts w:hint="eastAsia"/>
                <w:szCs w:val="21"/>
              </w:rPr>
            </w:pPr>
            <w:r>
              <w:rPr>
                <w:rFonts w:ascii="Arial Narrow" w:hAnsi="Arial Narrow" w:eastAsia="等线"/>
                <w:color w:val="000000"/>
                <w:szCs w:val="21"/>
              </w:rPr>
              <w:t xml:space="preserve">9.16 </w:t>
            </w:r>
          </w:p>
        </w:tc>
        <w:tc>
          <w:tcPr>
            <w:tcW w:w="1054" w:type="pct"/>
          </w:tcPr>
          <w:p w14:paraId="327CD7E3">
            <w:pPr>
              <w:ind w:right="5"/>
              <w:jc w:val="right"/>
              <w:rPr>
                <w:rFonts w:hint="eastAsia"/>
                <w:szCs w:val="21"/>
              </w:rPr>
            </w:pPr>
            <w:r>
              <w:rPr>
                <w:rFonts w:ascii="Arial Narrow" w:hAnsi="Arial Narrow" w:eastAsia="等线"/>
                <w:color w:val="000000"/>
                <w:szCs w:val="21"/>
              </w:rPr>
              <w:t xml:space="preserve">12,175,430.70 </w:t>
            </w:r>
          </w:p>
        </w:tc>
        <w:tc>
          <w:tcPr>
            <w:tcW w:w="1063" w:type="pct"/>
          </w:tcPr>
          <w:p w14:paraId="7A72F122">
            <w:pPr>
              <w:ind w:right="5"/>
              <w:jc w:val="right"/>
              <w:rPr>
                <w:rFonts w:hint="eastAsia"/>
                <w:szCs w:val="21"/>
              </w:rPr>
            </w:pPr>
            <w:r>
              <w:rPr>
                <w:rFonts w:ascii="Arial Narrow" w:hAnsi="Arial Narrow" w:eastAsia="等线"/>
                <w:color w:val="000000"/>
                <w:szCs w:val="21"/>
              </w:rPr>
              <w:t xml:space="preserve">5.52 </w:t>
            </w:r>
          </w:p>
        </w:tc>
      </w:tr>
      <w:tr w14:paraId="0E10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764" w:type="pct"/>
          </w:tcPr>
          <w:p w14:paraId="6FB146A4">
            <w:pPr>
              <w:ind w:right="5"/>
              <w:jc w:val="center"/>
              <w:rPr>
                <w:rFonts w:hint="eastAsia"/>
                <w:szCs w:val="21"/>
              </w:rPr>
            </w:pPr>
            <w:r>
              <w:rPr>
                <w:rFonts w:hint="eastAsia"/>
                <w:szCs w:val="21"/>
              </w:rPr>
              <w:t>合计</w:t>
            </w:r>
          </w:p>
        </w:tc>
        <w:tc>
          <w:tcPr>
            <w:tcW w:w="1063" w:type="pct"/>
          </w:tcPr>
          <w:p w14:paraId="7EEFFA5C">
            <w:pPr>
              <w:ind w:right="5"/>
              <w:jc w:val="right"/>
              <w:rPr>
                <w:rFonts w:hint="eastAsia"/>
                <w:szCs w:val="21"/>
              </w:rPr>
            </w:pPr>
            <w:r>
              <w:rPr>
                <w:rFonts w:ascii="Arial Narrow" w:hAnsi="Arial Narrow" w:eastAsia="等线"/>
                <w:color w:val="000000"/>
                <w:szCs w:val="21"/>
              </w:rPr>
              <w:t xml:space="preserve">146,724,980.87 </w:t>
            </w:r>
          </w:p>
        </w:tc>
        <w:tc>
          <w:tcPr>
            <w:tcW w:w="1055" w:type="pct"/>
          </w:tcPr>
          <w:p w14:paraId="57649421">
            <w:pPr>
              <w:ind w:right="5"/>
              <w:jc w:val="right"/>
              <w:rPr>
                <w:rFonts w:hint="eastAsia"/>
                <w:szCs w:val="21"/>
              </w:rPr>
            </w:pPr>
            <w:r>
              <w:rPr>
                <w:rFonts w:ascii="Arial Narrow" w:hAnsi="Arial Narrow" w:eastAsia="等线"/>
                <w:color w:val="000000"/>
                <w:szCs w:val="21"/>
              </w:rPr>
              <w:t xml:space="preserve">100.00 </w:t>
            </w:r>
          </w:p>
        </w:tc>
        <w:tc>
          <w:tcPr>
            <w:tcW w:w="1054" w:type="pct"/>
          </w:tcPr>
          <w:p w14:paraId="4893A7CE">
            <w:pPr>
              <w:ind w:right="5"/>
              <w:jc w:val="right"/>
              <w:rPr>
                <w:rFonts w:hint="eastAsia"/>
                <w:szCs w:val="21"/>
              </w:rPr>
            </w:pPr>
            <w:r>
              <w:rPr>
                <w:rFonts w:ascii="Arial Narrow" w:hAnsi="Arial Narrow" w:eastAsia="等线"/>
                <w:color w:val="000000"/>
                <w:szCs w:val="21"/>
              </w:rPr>
              <w:t xml:space="preserve">220,582,419.27 </w:t>
            </w:r>
          </w:p>
        </w:tc>
        <w:tc>
          <w:tcPr>
            <w:tcW w:w="1063" w:type="pct"/>
          </w:tcPr>
          <w:p w14:paraId="6399604D">
            <w:pPr>
              <w:ind w:right="5"/>
              <w:jc w:val="right"/>
              <w:rPr>
                <w:rFonts w:hint="eastAsia"/>
                <w:szCs w:val="21"/>
              </w:rPr>
            </w:pPr>
            <w:r>
              <w:rPr>
                <w:rFonts w:ascii="Arial Narrow" w:hAnsi="Arial Narrow" w:eastAsia="等线"/>
                <w:color w:val="000000"/>
                <w:szCs w:val="21"/>
              </w:rPr>
              <w:t xml:space="preserve">100.00 </w:t>
            </w:r>
          </w:p>
        </w:tc>
      </w:tr>
    </w:tbl>
    <w:p w14:paraId="248CEBA1">
      <w:pPr>
        <w:rPr>
          <w:rFonts w:hint="eastAsia"/>
          <w:szCs w:val="21"/>
        </w:rPr>
      </w:pPr>
      <w:r>
        <w:t>账</w:t>
      </w:r>
      <w:r>
        <w:rPr>
          <w:rFonts w:hint="eastAsia"/>
          <w:szCs w:val="21"/>
        </w:rPr>
        <w:t>龄超过1年且金额重要的预付款项未及时结算原因</w:t>
      </w:r>
      <w:r>
        <w:rPr>
          <w:szCs w:val="21"/>
        </w:rPr>
        <w:t>的说明：</w:t>
      </w:r>
    </w:p>
    <w:sdt>
      <w:sdtPr>
        <w:rPr>
          <w:rFonts w:hint="eastAsia"/>
        </w:rPr>
        <w:alias w:val="账龄超过1年且金额重要的预付款项未及时结算原因的说明"/>
        <w:tag w:val="_GBC_21bfefabbdb8489685d0bb3ee64c2ca5"/>
        <w:id w:val="988833765"/>
        <w:placeholder>
          <w:docPart w:val="GBC22222222222222222222222222222"/>
        </w:placeholder>
      </w:sdtPr>
      <w:sdtEndPr>
        <w:rPr>
          <w:rFonts w:hint="eastAsia"/>
        </w:rPr>
      </w:sdtEndPr>
      <w:sdtContent>
        <w:p w14:paraId="07C25907">
          <w:pPr>
            <w:jc w:val="right"/>
            <w:rPr>
              <w:rFonts w:hint="eastAsia"/>
            </w:rPr>
          </w:pPr>
          <w:r>
            <w:rPr>
              <w:rFonts w:hint="eastAsia"/>
              <w:szCs w:val="21"/>
            </w:rPr>
            <w:t>单位：</w:t>
          </w:r>
          <w:sdt>
            <w:sdtPr>
              <w:rPr>
                <w:rFonts w:hint="eastAsia"/>
                <w:szCs w:val="21"/>
              </w:rPr>
              <w:alias w:val="单位：财务附注：预付账款账龄"/>
              <w:tag w:val="_GBC_25e874c523c14d528beabbdb96c27981"/>
              <w:id w:val="463017808"/>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72714279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gridCol w:w="1559"/>
            <w:gridCol w:w="1276"/>
            <w:gridCol w:w="2024"/>
          </w:tblGrid>
          <w:tr w14:paraId="1A95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1F08299F">
                <w:pPr>
                  <w:widowControl w:val="0"/>
                  <w:jc w:val="center"/>
                  <w:rPr>
                    <w:rFonts w:ascii="Arial Narrow" w:hAnsi="Arial Narrow" w:eastAsiaTheme="minorEastAsia"/>
                  </w:rPr>
                </w:pPr>
                <w:bookmarkStart w:id="268" w:name="_Hlk194158845"/>
                <w:r>
                  <w:rPr>
                    <w:rFonts w:ascii="Arial Narrow" w:hAnsi="Arial Narrow" w:eastAsiaTheme="minorEastAsia"/>
                  </w:rPr>
                  <w:t>单位名称</w:t>
                </w:r>
              </w:p>
            </w:tc>
            <w:tc>
              <w:tcPr>
                <w:tcW w:w="883" w:type="pct"/>
              </w:tcPr>
              <w:p w14:paraId="17317A1A">
                <w:pPr>
                  <w:widowControl w:val="0"/>
                  <w:jc w:val="center"/>
                  <w:rPr>
                    <w:rFonts w:ascii="Arial Narrow" w:hAnsi="Arial Narrow" w:eastAsiaTheme="minorEastAsia"/>
                  </w:rPr>
                </w:pPr>
                <w:r>
                  <w:rPr>
                    <w:rFonts w:ascii="Arial Narrow" w:hAnsi="Arial Narrow" w:eastAsiaTheme="minorEastAsia"/>
                  </w:rPr>
                  <w:t>期末余额</w:t>
                </w:r>
              </w:p>
            </w:tc>
            <w:tc>
              <w:tcPr>
                <w:tcW w:w="723" w:type="pct"/>
              </w:tcPr>
              <w:p w14:paraId="6025F9E8">
                <w:pPr>
                  <w:widowControl w:val="0"/>
                  <w:jc w:val="center"/>
                  <w:rPr>
                    <w:rFonts w:ascii="Arial Narrow" w:hAnsi="Arial Narrow" w:eastAsiaTheme="minorEastAsia"/>
                  </w:rPr>
                </w:pPr>
                <w:r>
                  <w:rPr>
                    <w:rFonts w:ascii="Arial Narrow" w:hAnsi="Arial Narrow" w:eastAsiaTheme="minorEastAsia"/>
                  </w:rPr>
                  <w:t>账龄</w:t>
                </w:r>
              </w:p>
            </w:tc>
            <w:tc>
              <w:tcPr>
                <w:tcW w:w="1147" w:type="pct"/>
              </w:tcPr>
              <w:p w14:paraId="2BF1178B">
                <w:pPr>
                  <w:widowControl w:val="0"/>
                  <w:jc w:val="center"/>
                  <w:rPr>
                    <w:rFonts w:ascii="Arial Narrow" w:hAnsi="Arial Narrow" w:eastAsiaTheme="minorEastAsia"/>
                  </w:rPr>
                </w:pPr>
                <w:r>
                  <w:rPr>
                    <w:rFonts w:ascii="Arial Narrow" w:hAnsi="Arial Narrow" w:eastAsiaTheme="minorEastAsia"/>
                  </w:rPr>
                  <w:t>未及时结算原因</w:t>
                </w:r>
              </w:p>
            </w:tc>
          </w:tr>
          <w:tr w14:paraId="3B6A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01F64F2C">
                <w:pPr>
                  <w:widowControl w:val="0"/>
                  <w:jc w:val="both"/>
                  <w:rPr>
                    <w:rFonts w:ascii="Arial Narrow" w:hAnsi="Arial Narrow" w:eastAsiaTheme="minorEastAsia"/>
                  </w:rPr>
                </w:pPr>
                <w:r>
                  <w:rPr>
                    <w:rFonts w:ascii="Arial Narrow" w:hAnsi="Arial Narrow" w:eastAsiaTheme="minorEastAsia"/>
                    <w:color w:val="000000"/>
                    <w:szCs w:val="21"/>
                  </w:rPr>
                  <w:t>北京腾奥世杰工贸有限公司</w:t>
                </w:r>
              </w:p>
            </w:tc>
            <w:tc>
              <w:tcPr>
                <w:tcW w:w="883" w:type="pct"/>
                <w:vAlign w:val="center"/>
              </w:tcPr>
              <w:p w14:paraId="614806C7">
                <w:pPr>
                  <w:widowControl w:val="0"/>
                  <w:jc w:val="right"/>
                  <w:rPr>
                    <w:rFonts w:ascii="Arial Narrow" w:hAnsi="Arial Narrow" w:eastAsiaTheme="minorEastAsia"/>
                  </w:rPr>
                </w:pPr>
                <w:r>
                  <w:rPr>
                    <w:rFonts w:ascii="Arial Narrow" w:hAnsi="Arial Narrow" w:eastAsiaTheme="minorEastAsia"/>
                    <w:color w:val="000000"/>
                    <w:szCs w:val="21"/>
                  </w:rPr>
                  <w:t xml:space="preserve">3,768,772.85 </w:t>
                </w:r>
              </w:p>
            </w:tc>
            <w:tc>
              <w:tcPr>
                <w:tcW w:w="723" w:type="pct"/>
                <w:vAlign w:val="center"/>
              </w:tcPr>
              <w:p w14:paraId="2338D830">
                <w:pPr>
                  <w:widowControl w:val="0"/>
                  <w:jc w:val="center"/>
                  <w:rPr>
                    <w:rFonts w:ascii="Arial Narrow" w:hAnsi="Arial Narrow" w:eastAsiaTheme="minorEastAsia"/>
                  </w:rPr>
                </w:pPr>
                <w:r>
                  <w:rPr>
                    <w:rFonts w:ascii="Arial Narrow" w:hAnsi="Arial Narrow" w:eastAsiaTheme="minorEastAsia"/>
                    <w:color w:val="000000"/>
                    <w:szCs w:val="21"/>
                  </w:rPr>
                  <w:t>3年以上</w:t>
                </w:r>
              </w:p>
            </w:tc>
            <w:tc>
              <w:tcPr>
                <w:tcW w:w="1147" w:type="pct"/>
                <w:vAlign w:val="center"/>
              </w:tcPr>
              <w:p w14:paraId="56CA7663">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6947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0BDC0CB0">
                <w:pPr>
                  <w:widowControl w:val="0"/>
                  <w:jc w:val="both"/>
                  <w:rPr>
                    <w:rFonts w:ascii="Arial Narrow" w:hAnsi="Arial Narrow" w:eastAsiaTheme="minorEastAsia"/>
                  </w:rPr>
                </w:pPr>
                <w:r>
                  <w:rPr>
                    <w:rFonts w:ascii="Arial Narrow" w:hAnsi="Arial Narrow" w:eastAsiaTheme="minorEastAsia"/>
                    <w:color w:val="000000"/>
                    <w:szCs w:val="21"/>
                  </w:rPr>
                  <w:t>河南省远航制鞋有限公司</w:t>
                </w:r>
              </w:p>
            </w:tc>
            <w:tc>
              <w:tcPr>
                <w:tcW w:w="883" w:type="pct"/>
                <w:vAlign w:val="center"/>
              </w:tcPr>
              <w:p w14:paraId="13DF7A0E">
                <w:pPr>
                  <w:widowControl w:val="0"/>
                  <w:jc w:val="right"/>
                  <w:rPr>
                    <w:rFonts w:ascii="Arial Narrow" w:hAnsi="Arial Narrow" w:eastAsiaTheme="minorEastAsia"/>
                  </w:rPr>
                </w:pPr>
                <w:r>
                  <w:rPr>
                    <w:rFonts w:ascii="Arial Narrow" w:hAnsi="Arial Narrow" w:eastAsiaTheme="minorEastAsia"/>
                    <w:color w:val="000000"/>
                    <w:szCs w:val="21"/>
                  </w:rPr>
                  <w:t xml:space="preserve">2,798,524.57 </w:t>
                </w:r>
              </w:p>
            </w:tc>
            <w:tc>
              <w:tcPr>
                <w:tcW w:w="723" w:type="pct"/>
                <w:vAlign w:val="center"/>
              </w:tcPr>
              <w:p w14:paraId="7F5A34D0">
                <w:pPr>
                  <w:widowControl w:val="0"/>
                  <w:jc w:val="center"/>
                  <w:rPr>
                    <w:rFonts w:ascii="Arial Narrow" w:hAnsi="Arial Narrow" w:eastAsiaTheme="minorEastAsia"/>
                  </w:rPr>
                </w:pPr>
                <w:r>
                  <w:rPr>
                    <w:rFonts w:ascii="Arial Narrow" w:hAnsi="Arial Narrow" w:eastAsiaTheme="minorEastAsia"/>
                    <w:color w:val="000000"/>
                    <w:szCs w:val="21"/>
                  </w:rPr>
                  <w:t>1-2年</w:t>
                </w:r>
              </w:p>
            </w:tc>
            <w:tc>
              <w:tcPr>
                <w:tcW w:w="1147" w:type="pct"/>
                <w:vAlign w:val="center"/>
              </w:tcPr>
              <w:p w14:paraId="42A90593">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7E8E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0EE10414">
                <w:pPr>
                  <w:widowControl w:val="0"/>
                  <w:jc w:val="both"/>
                  <w:rPr>
                    <w:rFonts w:ascii="Arial Narrow" w:hAnsi="Arial Narrow" w:eastAsiaTheme="minorEastAsia"/>
                  </w:rPr>
                </w:pPr>
                <w:r>
                  <w:rPr>
                    <w:rFonts w:ascii="Arial Narrow" w:hAnsi="Arial Narrow" w:eastAsiaTheme="minorEastAsia"/>
                    <w:color w:val="000000"/>
                    <w:szCs w:val="21"/>
                  </w:rPr>
                  <w:t>重庆竞博鞋业有限责任公司</w:t>
                </w:r>
              </w:p>
            </w:tc>
            <w:tc>
              <w:tcPr>
                <w:tcW w:w="883" w:type="pct"/>
                <w:vAlign w:val="center"/>
              </w:tcPr>
              <w:p w14:paraId="69663DBE">
                <w:pPr>
                  <w:widowControl w:val="0"/>
                  <w:jc w:val="right"/>
                  <w:rPr>
                    <w:rFonts w:ascii="Arial Narrow" w:hAnsi="Arial Narrow" w:eastAsiaTheme="minorEastAsia"/>
                  </w:rPr>
                </w:pPr>
                <w:r>
                  <w:rPr>
                    <w:rFonts w:ascii="Arial Narrow" w:hAnsi="Arial Narrow" w:eastAsiaTheme="minorEastAsia"/>
                    <w:color w:val="000000"/>
                    <w:szCs w:val="21"/>
                  </w:rPr>
                  <w:t xml:space="preserve">1,760,579.60 </w:t>
                </w:r>
              </w:p>
            </w:tc>
            <w:tc>
              <w:tcPr>
                <w:tcW w:w="723" w:type="pct"/>
                <w:vAlign w:val="center"/>
              </w:tcPr>
              <w:p w14:paraId="125B90FF">
                <w:pPr>
                  <w:widowControl w:val="0"/>
                  <w:jc w:val="center"/>
                  <w:rPr>
                    <w:rFonts w:ascii="Arial Narrow" w:hAnsi="Arial Narrow" w:eastAsiaTheme="minorEastAsia"/>
                  </w:rPr>
                </w:pPr>
                <w:r>
                  <w:rPr>
                    <w:rFonts w:ascii="Arial Narrow" w:hAnsi="Arial Narrow" w:eastAsiaTheme="minorEastAsia"/>
                    <w:color w:val="000000"/>
                    <w:szCs w:val="21"/>
                  </w:rPr>
                  <w:t>1-2年</w:t>
                </w:r>
              </w:p>
            </w:tc>
            <w:tc>
              <w:tcPr>
                <w:tcW w:w="1147" w:type="pct"/>
                <w:vAlign w:val="center"/>
              </w:tcPr>
              <w:p w14:paraId="5DD63A7C">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2624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7AC72346">
                <w:pPr>
                  <w:widowControl w:val="0"/>
                  <w:jc w:val="both"/>
                  <w:rPr>
                    <w:rFonts w:ascii="Arial Narrow" w:hAnsi="Arial Narrow" w:eastAsiaTheme="minorEastAsia"/>
                  </w:rPr>
                </w:pPr>
                <w:r>
                  <w:rPr>
                    <w:rFonts w:ascii="Arial Narrow" w:hAnsi="Arial Narrow" w:eastAsiaTheme="minorEastAsia"/>
                    <w:color w:val="000000"/>
                    <w:szCs w:val="21"/>
                  </w:rPr>
                  <w:t>宁城腾达制衣有限责任公司</w:t>
                </w:r>
              </w:p>
            </w:tc>
            <w:tc>
              <w:tcPr>
                <w:tcW w:w="883" w:type="pct"/>
                <w:vAlign w:val="center"/>
              </w:tcPr>
              <w:p w14:paraId="44A12100">
                <w:pPr>
                  <w:widowControl w:val="0"/>
                  <w:jc w:val="right"/>
                  <w:rPr>
                    <w:rFonts w:ascii="Arial Narrow" w:hAnsi="Arial Narrow" w:eastAsiaTheme="minorEastAsia"/>
                  </w:rPr>
                </w:pPr>
                <w:r>
                  <w:rPr>
                    <w:rFonts w:ascii="Arial Narrow" w:hAnsi="Arial Narrow" w:eastAsiaTheme="minorEastAsia"/>
                    <w:color w:val="000000"/>
                    <w:szCs w:val="21"/>
                  </w:rPr>
                  <w:t xml:space="preserve">1,200,264.27 </w:t>
                </w:r>
              </w:p>
            </w:tc>
            <w:tc>
              <w:tcPr>
                <w:tcW w:w="723" w:type="pct"/>
                <w:vAlign w:val="center"/>
              </w:tcPr>
              <w:p w14:paraId="747BDE7B">
                <w:pPr>
                  <w:widowControl w:val="0"/>
                  <w:jc w:val="center"/>
                  <w:rPr>
                    <w:rFonts w:ascii="Arial Narrow" w:hAnsi="Arial Narrow" w:eastAsiaTheme="minorEastAsia"/>
                  </w:rPr>
                </w:pPr>
                <w:r>
                  <w:rPr>
                    <w:rFonts w:ascii="Arial Narrow" w:hAnsi="Arial Narrow" w:eastAsiaTheme="minorEastAsia"/>
                    <w:color w:val="000000"/>
                    <w:szCs w:val="21"/>
                  </w:rPr>
                  <w:t>1-2年</w:t>
                </w:r>
              </w:p>
            </w:tc>
            <w:tc>
              <w:tcPr>
                <w:tcW w:w="1147" w:type="pct"/>
                <w:vAlign w:val="center"/>
              </w:tcPr>
              <w:p w14:paraId="4F12FA96">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54B8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4B7C75A8">
                <w:pPr>
                  <w:widowControl w:val="0"/>
                  <w:jc w:val="both"/>
                  <w:rPr>
                    <w:rFonts w:ascii="Arial Narrow" w:hAnsi="Arial Narrow" w:eastAsiaTheme="minorEastAsia"/>
                  </w:rPr>
                </w:pPr>
                <w:r>
                  <w:rPr>
                    <w:rFonts w:ascii="Arial Narrow" w:hAnsi="Arial Narrow" w:eastAsiaTheme="minorEastAsia"/>
                    <w:color w:val="000000"/>
                    <w:szCs w:val="21"/>
                  </w:rPr>
                  <w:t>北京万华鑫荣聚氨酯科技发展有限公司</w:t>
                </w:r>
              </w:p>
            </w:tc>
            <w:tc>
              <w:tcPr>
                <w:tcW w:w="883" w:type="pct"/>
                <w:vAlign w:val="center"/>
              </w:tcPr>
              <w:p w14:paraId="00BA7E0F">
                <w:pPr>
                  <w:widowControl w:val="0"/>
                  <w:jc w:val="right"/>
                  <w:rPr>
                    <w:rFonts w:ascii="Arial Narrow" w:hAnsi="Arial Narrow" w:eastAsiaTheme="minorEastAsia"/>
                  </w:rPr>
                </w:pPr>
                <w:r>
                  <w:rPr>
                    <w:rFonts w:ascii="Arial Narrow" w:hAnsi="Arial Narrow" w:eastAsiaTheme="minorEastAsia"/>
                    <w:color w:val="000000"/>
                    <w:szCs w:val="21"/>
                  </w:rPr>
                  <w:t xml:space="preserve">1,113,054.61 </w:t>
                </w:r>
              </w:p>
            </w:tc>
            <w:tc>
              <w:tcPr>
                <w:tcW w:w="723" w:type="pct"/>
                <w:vAlign w:val="center"/>
              </w:tcPr>
              <w:p w14:paraId="0D82B8A1">
                <w:pPr>
                  <w:widowControl w:val="0"/>
                  <w:jc w:val="center"/>
                  <w:rPr>
                    <w:rFonts w:ascii="Arial Narrow" w:hAnsi="Arial Narrow" w:eastAsiaTheme="minorEastAsia"/>
                  </w:rPr>
                </w:pPr>
                <w:r>
                  <w:rPr>
                    <w:rFonts w:ascii="Arial Narrow" w:hAnsi="Arial Narrow" w:eastAsiaTheme="minorEastAsia"/>
                    <w:color w:val="000000"/>
                    <w:szCs w:val="21"/>
                  </w:rPr>
                  <w:t>3年以上</w:t>
                </w:r>
              </w:p>
            </w:tc>
            <w:tc>
              <w:tcPr>
                <w:tcW w:w="1147" w:type="pct"/>
                <w:vAlign w:val="center"/>
              </w:tcPr>
              <w:p w14:paraId="6AF1AE49">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406F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0EF0611D">
                <w:pPr>
                  <w:widowControl w:val="0"/>
                  <w:jc w:val="both"/>
                  <w:rPr>
                    <w:rFonts w:ascii="Arial Narrow" w:hAnsi="Arial Narrow" w:eastAsiaTheme="minorEastAsia"/>
                  </w:rPr>
                </w:pPr>
                <w:r>
                  <w:rPr>
                    <w:rFonts w:ascii="Arial Narrow" w:hAnsi="Arial Narrow" w:eastAsiaTheme="minorEastAsia"/>
                    <w:color w:val="000000"/>
                    <w:szCs w:val="21"/>
                  </w:rPr>
                  <w:t>金猴集团威海皮具有限公司</w:t>
                </w:r>
              </w:p>
            </w:tc>
            <w:tc>
              <w:tcPr>
                <w:tcW w:w="883" w:type="pct"/>
                <w:vAlign w:val="center"/>
              </w:tcPr>
              <w:p w14:paraId="36CA5932">
                <w:pPr>
                  <w:widowControl w:val="0"/>
                  <w:jc w:val="right"/>
                  <w:rPr>
                    <w:rFonts w:ascii="Arial Narrow" w:hAnsi="Arial Narrow" w:eastAsiaTheme="minorEastAsia"/>
                  </w:rPr>
                </w:pPr>
                <w:r>
                  <w:rPr>
                    <w:rFonts w:ascii="Arial Narrow" w:hAnsi="Arial Narrow" w:eastAsiaTheme="minorEastAsia"/>
                    <w:color w:val="000000"/>
                    <w:szCs w:val="21"/>
                  </w:rPr>
                  <w:t xml:space="preserve">1,105,814.00 </w:t>
                </w:r>
              </w:p>
            </w:tc>
            <w:tc>
              <w:tcPr>
                <w:tcW w:w="723" w:type="pct"/>
                <w:vAlign w:val="center"/>
              </w:tcPr>
              <w:p w14:paraId="0BCCADD5">
                <w:pPr>
                  <w:widowControl w:val="0"/>
                  <w:jc w:val="center"/>
                  <w:rPr>
                    <w:rFonts w:ascii="Arial Narrow" w:hAnsi="Arial Narrow" w:eastAsiaTheme="minorEastAsia"/>
                  </w:rPr>
                </w:pPr>
                <w:r>
                  <w:rPr>
                    <w:rFonts w:ascii="Arial Narrow" w:hAnsi="Arial Narrow" w:eastAsiaTheme="minorEastAsia"/>
                    <w:color w:val="000000"/>
                    <w:szCs w:val="21"/>
                  </w:rPr>
                  <w:t>3年以上</w:t>
                </w:r>
              </w:p>
            </w:tc>
            <w:tc>
              <w:tcPr>
                <w:tcW w:w="1147" w:type="pct"/>
                <w:vAlign w:val="center"/>
              </w:tcPr>
              <w:p w14:paraId="46356F9D">
                <w:pPr>
                  <w:widowControl w:val="0"/>
                  <w:jc w:val="both"/>
                  <w:rPr>
                    <w:rFonts w:ascii="Arial Narrow" w:hAnsi="Arial Narrow" w:eastAsiaTheme="minorEastAsia"/>
                  </w:rPr>
                </w:pPr>
                <w:r>
                  <w:rPr>
                    <w:rFonts w:ascii="Arial Narrow" w:hAnsi="Arial Narrow" w:eastAsiaTheme="minorEastAsia"/>
                    <w:color w:val="000000"/>
                    <w:szCs w:val="21"/>
                  </w:rPr>
                  <w:t>尚未结算</w:t>
                </w:r>
              </w:p>
            </w:tc>
          </w:tr>
          <w:tr w14:paraId="6B04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1D923493">
                <w:pPr>
                  <w:widowControl w:val="0"/>
                  <w:jc w:val="both"/>
                  <w:rPr>
                    <w:rFonts w:ascii="Arial Narrow" w:hAnsi="Arial Narrow" w:eastAsiaTheme="minorEastAsia"/>
                  </w:rPr>
                </w:pPr>
                <w:r>
                  <w:rPr>
                    <w:rFonts w:ascii="Arial Narrow" w:hAnsi="Arial Narrow" w:eastAsiaTheme="minorEastAsia"/>
                  </w:rPr>
                  <w:t>合计</w:t>
                </w:r>
              </w:p>
            </w:tc>
            <w:tc>
              <w:tcPr>
                <w:tcW w:w="883" w:type="pct"/>
                <w:vAlign w:val="center"/>
              </w:tcPr>
              <w:p w14:paraId="0CF7BAE8">
                <w:pPr>
                  <w:widowControl w:val="0"/>
                  <w:jc w:val="right"/>
                  <w:rPr>
                    <w:rFonts w:ascii="Arial Narrow" w:hAnsi="Arial Narrow" w:eastAsiaTheme="minorEastAsia"/>
                  </w:rPr>
                </w:pPr>
                <w:r>
                  <w:rPr>
                    <w:rFonts w:ascii="Arial Narrow" w:hAnsi="Arial Narrow" w:eastAsiaTheme="minorEastAsia"/>
                    <w:color w:val="000000"/>
                    <w:szCs w:val="21"/>
                  </w:rPr>
                  <w:t xml:space="preserve">11,747,009.90 </w:t>
                </w:r>
              </w:p>
            </w:tc>
            <w:tc>
              <w:tcPr>
                <w:tcW w:w="723" w:type="pct"/>
              </w:tcPr>
              <w:p w14:paraId="16C9FF0C">
                <w:pPr>
                  <w:widowControl w:val="0"/>
                  <w:jc w:val="both"/>
                  <w:rPr>
                    <w:rFonts w:ascii="Arial Narrow" w:hAnsi="Arial Narrow" w:eastAsiaTheme="minorEastAsia"/>
                  </w:rPr>
                </w:pPr>
                <w:r>
                  <w:rPr>
                    <w:rFonts w:ascii="Arial Narrow" w:hAnsi="Arial Narrow" w:eastAsiaTheme="minorEastAsia"/>
                  </w:rPr>
                  <w:t>—</w:t>
                </w:r>
              </w:p>
            </w:tc>
            <w:tc>
              <w:tcPr>
                <w:tcW w:w="1147" w:type="pct"/>
              </w:tcPr>
              <w:p w14:paraId="5E4A1BA4">
                <w:pPr>
                  <w:widowControl w:val="0"/>
                  <w:jc w:val="both"/>
                  <w:rPr>
                    <w:rFonts w:ascii="Arial Narrow" w:hAnsi="Arial Narrow" w:eastAsiaTheme="minorEastAsia"/>
                  </w:rPr>
                </w:pPr>
                <w:r>
                  <w:rPr>
                    <w:rFonts w:ascii="Arial Narrow" w:hAnsi="Arial Narrow" w:eastAsiaTheme="minorEastAsia"/>
                  </w:rPr>
                  <w:t>—</w:t>
                </w:r>
              </w:p>
            </w:tc>
          </w:tr>
        </w:tbl>
        <w:p w14:paraId="5C430E9A">
          <w:pPr>
            <w:rPr>
              <w:rFonts w:hint="eastAsia"/>
            </w:rPr>
          </w:pPr>
        </w:p>
      </w:sdtContent>
    </w:sdt>
    <w:bookmarkEnd w:id="268"/>
    <w:p w14:paraId="01836E56">
      <w:pPr>
        <w:rPr>
          <w:rFonts w:hint="eastAsia"/>
        </w:rPr>
      </w:pPr>
    </w:p>
    <w:p w14:paraId="2A2C8560">
      <w:pPr>
        <w:pStyle w:val="71"/>
        <w:numPr>
          <w:ilvl w:val="3"/>
          <w:numId w:val="114"/>
        </w:numPr>
        <w:ind w:left="426" w:hanging="426"/>
        <w:rPr>
          <w:rFonts w:hint="eastAsia"/>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305905787"/>
        <w:placeholder>
          <w:docPart w:val="GBC22222222222222222222222222222"/>
        </w:placeholder>
      </w:sdtPr>
      <w:sdtEndPr>
        <w:rPr>
          <w:rFonts w:hint="eastAsia"/>
          <w:szCs w:val="21"/>
        </w:rPr>
      </w:sdtEndPr>
      <w:sdtContent>
        <w:p w14:paraId="09058D32">
          <w:pPr>
            <w:snapToGrid w:val="0"/>
            <w:spacing w:line="240" w:lineRule="atLeast"/>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06638F">
      <w:pPr>
        <w:snapToGrid w:val="0"/>
        <w:spacing w:line="240" w:lineRule="atLeast"/>
        <w:jc w:val="right"/>
        <w:rPr>
          <w:rFonts w:hint="eastAsia"/>
          <w:szCs w:val="21"/>
        </w:rPr>
      </w:pPr>
      <w:r>
        <w:rPr>
          <w:rFonts w:hint="eastAsia"/>
          <w:szCs w:val="21"/>
        </w:rPr>
        <w:t>单位：</w:t>
      </w:r>
      <w:sdt>
        <w:sdtPr>
          <w:rPr>
            <w:rFonts w:hint="eastAsia"/>
            <w:szCs w:val="21"/>
          </w:rPr>
          <w:alias w:val="单位：按预付对象归集的期末余额前五名的预付款情况"/>
          <w:tag w:val="_GBC_1bbaf3870d2242f8a1ec8260382d458c"/>
          <w:id w:val="-202755320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预付对象归集的期末余额前五名的预付款情况"/>
          <w:tag w:val="_GBC_77617525e63041b99aaabf038d02c871"/>
          <w:id w:val="-12609032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2335"/>
        <w:gridCol w:w="2938"/>
      </w:tblGrid>
      <w:tr w14:paraId="139B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0ab17d7ae0014b6192c9dd0e6d3d3a25"/>
            <w:id w:val="1914509117"/>
          </w:sdtPr>
          <w:sdtEndPr>
            <w:rPr>
              <w:rFonts w:ascii="Arial Narrow" w:hAnsi="Arial Narrow" w:eastAsiaTheme="minorEastAsia"/>
            </w:rPr>
          </w:sdtEndPr>
          <w:sdtContent>
            <w:tc>
              <w:tcPr>
                <w:tcW w:w="2008" w:type="pct"/>
                <w:vAlign w:val="center"/>
              </w:tcPr>
              <w:p w14:paraId="51264378">
                <w:pPr>
                  <w:ind w:right="105"/>
                  <w:jc w:val="center"/>
                  <w:rPr>
                    <w:rFonts w:ascii="Arial Narrow" w:hAnsi="Arial Narrow" w:eastAsiaTheme="minorEastAsia"/>
                    <w:szCs w:val="21"/>
                  </w:rPr>
                </w:pPr>
                <w:r>
                  <w:rPr>
                    <w:rFonts w:ascii="Arial Narrow" w:hAnsi="Arial Narrow" w:eastAsiaTheme="minorEastAsia"/>
                    <w:szCs w:val="21"/>
                  </w:rPr>
                  <w:t>单位名称</w:t>
                </w:r>
              </w:p>
            </w:tc>
          </w:sdtContent>
        </w:sdt>
        <w:sdt>
          <w:sdtPr>
            <w:rPr>
              <w:rFonts w:ascii="Arial Narrow" w:hAnsi="Arial Narrow" w:eastAsiaTheme="minorEastAsia"/>
            </w:rPr>
            <w:tag w:val="_PLD_cdd4a1e632c94d14908eb36a620946a9"/>
            <w:id w:val="-811948292"/>
          </w:sdtPr>
          <w:sdtEndPr>
            <w:rPr>
              <w:rFonts w:ascii="Arial Narrow" w:hAnsi="Arial Narrow" w:eastAsiaTheme="minorEastAsia"/>
            </w:rPr>
          </w:sdtEndPr>
          <w:sdtContent>
            <w:tc>
              <w:tcPr>
                <w:tcW w:w="1325" w:type="pct"/>
                <w:vAlign w:val="center"/>
              </w:tcPr>
              <w:p w14:paraId="43F744F9">
                <w:pPr>
                  <w:ind w:right="73"/>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c9db34035f63426095900b82cc8a8131"/>
            <w:id w:val="1654174523"/>
          </w:sdtPr>
          <w:sdtEndPr>
            <w:rPr>
              <w:rFonts w:ascii="Arial Narrow" w:hAnsi="Arial Narrow" w:eastAsiaTheme="minorEastAsia"/>
            </w:rPr>
          </w:sdtEndPr>
          <w:sdtContent>
            <w:tc>
              <w:tcPr>
                <w:tcW w:w="1667" w:type="pct"/>
                <w:vAlign w:val="center"/>
              </w:tcPr>
              <w:p w14:paraId="001DD5AF">
                <w:pPr>
                  <w:jc w:val="center"/>
                  <w:rPr>
                    <w:rFonts w:ascii="Arial Narrow" w:hAnsi="Arial Narrow" w:eastAsiaTheme="minorEastAsia"/>
                    <w:szCs w:val="21"/>
                  </w:rPr>
                </w:pPr>
                <w:r>
                  <w:rPr>
                    <w:rFonts w:ascii="Arial Narrow" w:hAnsi="Arial Narrow" w:eastAsiaTheme="minorEastAsia"/>
                    <w:szCs w:val="21"/>
                  </w:rPr>
                  <w:t>占预付款项期末余额合计数的比例(%)</w:t>
                </w:r>
              </w:p>
            </w:tc>
          </w:sdtContent>
        </w:sdt>
      </w:tr>
      <w:tr w14:paraId="5F39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4778A11F">
            <w:pPr>
              <w:ind w:right="105"/>
              <w:rPr>
                <w:rFonts w:ascii="Arial Narrow" w:hAnsi="Arial Narrow" w:eastAsiaTheme="minorEastAsia"/>
                <w:szCs w:val="21"/>
              </w:rPr>
            </w:pPr>
            <w:r>
              <w:rPr>
                <w:rFonts w:ascii="Arial Narrow" w:hAnsi="Arial Narrow" w:eastAsiaTheme="minorEastAsia"/>
                <w:color w:val="000000"/>
                <w:szCs w:val="21"/>
              </w:rPr>
              <w:t>建湖县亮者鞋业有限公司</w:t>
            </w:r>
          </w:p>
        </w:tc>
        <w:tc>
          <w:tcPr>
            <w:tcW w:w="1325" w:type="pct"/>
            <w:vAlign w:val="center"/>
          </w:tcPr>
          <w:p w14:paraId="79C9FA21">
            <w:pPr>
              <w:ind w:right="73"/>
              <w:jc w:val="right"/>
              <w:rPr>
                <w:rFonts w:ascii="Arial Narrow" w:hAnsi="Arial Narrow" w:eastAsiaTheme="minorEastAsia"/>
                <w:szCs w:val="21"/>
              </w:rPr>
            </w:pPr>
            <w:r>
              <w:rPr>
                <w:rFonts w:ascii="Arial Narrow" w:hAnsi="Arial Narrow" w:eastAsiaTheme="minorEastAsia"/>
                <w:color w:val="000000"/>
                <w:szCs w:val="21"/>
              </w:rPr>
              <w:t xml:space="preserve">13,760,880.00 </w:t>
            </w:r>
          </w:p>
        </w:tc>
        <w:tc>
          <w:tcPr>
            <w:tcW w:w="1667" w:type="pct"/>
            <w:vAlign w:val="center"/>
          </w:tcPr>
          <w:p w14:paraId="548DCE88">
            <w:pPr>
              <w:jc w:val="right"/>
              <w:rPr>
                <w:rFonts w:ascii="Arial Narrow" w:hAnsi="Arial Narrow" w:eastAsiaTheme="minorEastAsia"/>
                <w:szCs w:val="21"/>
              </w:rPr>
            </w:pPr>
            <w:r>
              <w:rPr>
                <w:rFonts w:ascii="Arial Narrow" w:hAnsi="Arial Narrow" w:eastAsiaTheme="minorEastAsia"/>
                <w:color w:val="000000"/>
                <w:szCs w:val="21"/>
              </w:rPr>
              <w:t xml:space="preserve">9.38 </w:t>
            </w:r>
          </w:p>
        </w:tc>
      </w:tr>
      <w:tr w14:paraId="6256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7C2D8D04">
            <w:pPr>
              <w:ind w:right="105"/>
              <w:rPr>
                <w:rFonts w:ascii="Arial Narrow" w:hAnsi="Arial Narrow" w:eastAsiaTheme="minorEastAsia"/>
                <w:szCs w:val="21"/>
              </w:rPr>
            </w:pPr>
            <w:r>
              <w:rPr>
                <w:rFonts w:ascii="Arial Narrow" w:hAnsi="Arial Narrow" w:eastAsiaTheme="minorEastAsia"/>
                <w:color w:val="000000"/>
                <w:szCs w:val="21"/>
              </w:rPr>
              <w:t>重庆竞博鞋业有限责任公司</w:t>
            </w:r>
          </w:p>
        </w:tc>
        <w:tc>
          <w:tcPr>
            <w:tcW w:w="1325" w:type="pct"/>
            <w:vAlign w:val="center"/>
          </w:tcPr>
          <w:p w14:paraId="7A87C0AB">
            <w:pPr>
              <w:ind w:right="73"/>
              <w:jc w:val="right"/>
              <w:rPr>
                <w:rFonts w:ascii="Arial Narrow" w:hAnsi="Arial Narrow" w:eastAsiaTheme="minorEastAsia"/>
                <w:szCs w:val="21"/>
              </w:rPr>
            </w:pPr>
            <w:r>
              <w:rPr>
                <w:rFonts w:ascii="Arial Narrow" w:hAnsi="Arial Narrow" w:eastAsiaTheme="minorEastAsia"/>
                <w:color w:val="000000"/>
                <w:szCs w:val="21"/>
              </w:rPr>
              <w:t xml:space="preserve">4,165,834.14 </w:t>
            </w:r>
          </w:p>
        </w:tc>
        <w:tc>
          <w:tcPr>
            <w:tcW w:w="1667" w:type="pct"/>
            <w:vAlign w:val="center"/>
          </w:tcPr>
          <w:p w14:paraId="44F767D1">
            <w:pPr>
              <w:jc w:val="right"/>
              <w:rPr>
                <w:rFonts w:ascii="Arial Narrow" w:hAnsi="Arial Narrow" w:eastAsiaTheme="minorEastAsia"/>
                <w:szCs w:val="21"/>
              </w:rPr>
            </w:pPr>
            <w:r>
              <w:rPr>
                <w:rFonts w:ascii="Arial Narrow" w:hAnsi="Arial Narrow" w:eastAsiaTheme="minorEastAsia"/>
                <w:color w:val="000000"/>
                <w:szCs w:val="21"/>
              </w:rPr>
              <w:t xml:space="preserve">2.84 </w:t>
            </w:r>
          </w:p>
        </w:tc>
      </w:tr>
      <w:tr w14:paraId="264A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3F9041A3">
            <w:pPr>
              <w:ind w:right="105"/>
              <w:rPr>
                <w:rFonts w:ascii="Arial Narrow" w:hAnsi="Arial Narrow" w:eastAsiaTheme="minorEastAsia"/>
                <w:szCs w:val="21"/>
              </w:rPr>
            </w:pPr>
            <w:r>
              <w:rPr>
                <w:rFonts w:ascii="Arial Narrow" w:hAnsi="Arial Narrow" w:eastAsiaTheme="minorEastAsia"/>
                <w:color w:val="000000"/>
                <w:szCs w:val="21"/>
              </w:rPr>
              <w:t>北京腾奥世杰工贸有限公司</w:t>
            </w:r>
          </w:p>
        </w:tc>
        <w:tc>
          <w:tcPr>
            <w:tcW w:w="1325" w:type="pct"/>
            <w:vAlign w:val="center"/>
          </w:tcPr>
          <w:p w14:paraId="1C32D42C">
            <w:pPr>
              <w:ind w:right="73"/>
              <w:jc w:val="right"/>
              <w:rPr>
                <w:rFonts w:ascii="Arial Narrow" w:hAnsi="Arial Narrow" w:eastAsiaTheme="minorEastAsia"/>
                <w:szCs w:val="21"/>
              </w:rPr>
            </w:pPr>
            <w:r>
              <w:rPr>
                <w:rFonts w:ascii="Arial Narrow" w:hAnsi="Arial Narrow" w:eastAsiaTheme="minorEastAsia"/>
                <w:color w:val="000000"/>
                <w:szCs w:val="21"/>
              </w:rPr>
              <w:t xml:space="preserve">3,768,772.85 </w:t>
            </w:r>
          </w:p>
        </w:tc>
        <w:tc>
          <w:tcPr>
            <w:tcW w:w="1667" w:type="pct"/>
            <w:vAlign w:val="center"/>
          </w:tcPr>
          <w:p w14:paraId="65025A2C">
            <w:pPr>
              <w:jc w:val="right"/>
              <w:rPr>
                <w:rFonts w:ascii="Arial Narrow" w:hAnsi="Arial Narrow" w:eastAsiaTheme="minorEastAsia"/>
                <w:szCs w:val="21"/>
              </w:rPr>
            </w:pPr>
            <w:r>
              <w:rPr>
                <w:rFonts w:ascii="Arial Narrow" w:hAnsi="Arial Narrow" w:eastAsiaTheme="minorEastAsia"/>
                <w:color w:val="000000"/>
                <w:szCs w:val="21"/>
              </w:rPr>
              <w:t xml:space="preserve">2.57 </w:t>
            </w:r>
          </w:p>
        </w:tc>
      </w:tr>
      <w:tr w14:paraId="5D19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13B24349">
            <w:pPr>
              <w:ind w:right="105"/>
              <w:rPr>
                <w:rFonts w:ascii="Arial Narrow" w:hAnsi="Arial Narrow" w:eastAsiaTheme="minorEastAsia"/>
                <w:szCs w:val="21"/>
              </w:rPr>
            </w:pPr>
            <w:r>
              <w:rPr>
                <w:rFonts w:ascii="Arial Narrow" w:hAnsi="Arial Narrow" w:eastAsiaTheme="minorEastAsia"/>
                <w:color w:val="000000"/>
                <w:szCs w:val="21"/>
              </w:rPr>
              <w:t>河南省远航制鞋有限公司</w:t>
            </w:r>
          </w:p>
        </w:tc>
        <w:tc>
          <w:tcPr>
            <w:tcW w:w="1325" w:type="pct"/>
            <w:vAlign w:val="center"/>
          </w:tcPr>
          <w:p w14:paraId="38CBFE25">
            <w:pPr>
              <w:ind w:right="73"/>
              <w:jc w:val="right"/>
              <w:rPr>
                <w:rFonts w:ascii="Arial Narrow" w:hAnsi="Arial Narrow" w:eastAsiaTheme="minorEastAsia"/>
                <w:szCs w:val="21"/>
              </w:rPr>
            </w:pPr>
            <w:r>
              <w:rPr>
                <w:rFonts w:ascii="Arial Narrow" w:hAnsi="Arial Narrow" w:eastAsiaTheme="minorEastAsia"/>
                <w:color w:val="000000"/>
                <w:szCs w:val="21"/>
              </w:rPr>
              <w:t xml:space="preserve">2,993,210.53 </w:t>
            </w:r>
          </w:p>
        </w:tc>
        <w:tc>
          <w:tcPr>
            <w:tcW w:w="1667" w:type="pct"/>
            <w:vAlign w:val="center"/>
          </w:tcPr>
          <w:p w14:paraId="04E194E1">
            <w:pPr>
              <w:jc w:val="right"/>
              <w:rPr>
                <w:rFonts w:ascii="Arial Narrow" w:hAnsi="Arial Narrow" w:eastAsiaTheme="minorEastAsia"/>
                <w:szCs w:val="21"/>
              </w:rPr>
            </w:pPr>
            <w:r>
              <w:rPr>
                <w:rFonts w:ascii="Arial Narrow" w:hAnsi="Arial Narrow" w:eastAsiaTheme="minorEastAsia"/>
                <w:color w:val="000000"/>
                <w:szCs w:val="21"/>
              </w:rPr>
              <w:t xml:space="preserve">2.04 </w:t>
            </w:r>
          </w:p>
        </w:tc>
      </w:tr>
      <w:tr w14:paraId="18BD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2A82B921">
            <w:pPr>
              <w:ind w:right="105"/>
              <w:rPr>
                <w:rFonts w:ascii="Arial Narrow" w:hAnsi="Arial Narrow" w:eastAsiaTheme="minorEastAsia"/>
                <w:szCs w:val="21"/>
              </w:rPr>
            </w:pPr>
            <w:r>
              <w:rPr>
                <w:rFonts w:ascii="Arial Narrow" w:hAnsi="Arial Narrow" w:eastAsiaTheme="minorEastAsia"/>
                <w:color w:val="000000"/>
                <w:szCs w:val="21"/>
              </w:rPr>
              <w:t>老河口市誉鑫纺织原料有限公司</w:t>
            </w:r>
          </w:p>
        </w:tc>
        <w:tc>
          <w:tcPr>
            <w:tcW w:w="1325" w:type="pct"/>
            <w:vAlign w:val="center"/>
          </w:tcPr>
          <w:p w14:paraId="7404FE6D">
            <w:pPr>
              <w:ind w:right="73"/>
              <w:jc w:val="right"/>
              <w:rPr>
                <w:rFonts w:ascii="Arial Narrow" w:hAnsi="Arial Narrow" w:eastAsiaTheme="minorEastAsia"/>
                <w:szCs w:val="21"/>
              </w:rPr>
            </w:pPr>
            <w:r>
              <w:rPr>
                <w:rFonts w:ascii="Arial Narrow" w:hAnsi="Arial Narrow" w:eastAsiaTheme="minorEastAsia"/>
                <w:color w:val="000000"/>
                <w:szCs w:val="21"/>
              </w:rPr>
              <w:t xml:space="preserve">2,938,323.43 </w:t>
            </w:r>
          </w:p>
        </w:tc>
        <w:tc>
          <w:tcPr>
            <w:tcW w:w="1667" w:type="pct"/>
            <w:vAlign w:val="center"/>
          </w:tcPr>
          <w:p w14:paraId="7EA19AD3">
            <w:pPr>
              <w:jc w:val="right"/>
              <w:rPr>
                <w:rFonts w:ascii="Arial Narrow" w:hAnsi="Arial Narrow" w:eastAsiaTheme="minorEastAsia"/>
                <w:szCs w:val="21"/>
              </w:rPr>
            </w:pPr>
            <w:r>
              <w:rPr>
                <w:rFonts w:ascii="Arial Narrow" w:hAnsi="Arial Narrow" w:eastAsiaTheme="minorEastAsia"/>
                <w:color w:val="000000"/>
                <w:szCs w:val="21"/>
              </w:rPr>
              <w:t xml:space="preserve">2.00 </w:t>
            </w:r>
          </w:p>
        </w:tc>
      </w:tr>
      <w:tr w14:paraId="1D16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008" w:type="pct"/>
          </w:tcPr>
          <w:p w14:paraId="38239912">
            <w:pPr>
              <w:ind w:right="105"/>
              <w:jc w:val="center"/>
              <w:rPr>
                <w:rFonts w:ascii="Arial Narrow" w:hAnsi="Arial Narrow" w:eastAsiaTheme="minorEastAsia"/>
                <w:szCs w:val="21"/>
              </w:rPr>
            </w:pPr>
            <w:r>
              <w:rPr>
                <w:rFonts w:ascii="Arial Narrow" w:hAnsi="Arial Narrow" w:eastAsiaTheme="minorEastAsia"/>
                <w:szCs w:val="21"/>
              </w:rPr>
              <w:t>合计</w:t>
            </w:r>
          </w:p>
        </w:tc>
        <w:tc>
          <w:tcPr>
            <w:tcW w:w="1325" w:type="pct"/>
            <w:vAlign w:val="center"/>
          </w:tcPr>
          <w:p w14:paraId="48B40F9F">
            <w:pPr>
              <w:ind w:right="73"/>
              <w:jc w:val="right"/>
              <w:rPr>
                <w:rFonts w:ascii="Arial Narrow" w:hAnsi="Arial Narrow" w:eastAsiaTheme="minorEastAsia"/>
                <w:szCs w:val="21"/>
              </w:rPr>
            </w:pPr>
            <w:r>
              <w:rPr>
                <w:rFonts w:ascii="Arial Narrow" w:hAnsi="Arial Narrow" w:eastAsiaTheme="minorEastAsia"/>
                <w:color w:val="000000"/>
                <w:szCs w:val="21"/>
              </w:rPr>
              <w:t xml:space="preserve">27,627,020.95 </w:t>
            </w:r>
          </w:p>
        </w:tc>
        <w:tc>
          <w:tcPr>
            <w:tcW w:w="1667" w:type="pct"/>
            <w:vAlign w:val="center"/>
          </w:tcPr>
          <w:p w14:paraId="3EC81690">
            <w:pPr>
              <w:jc w:val="right"/>
              <w:rPr>
                <w:rFonts w:ascii="Arial Narrow" w:hAnsi="Arial Narrow" w:eastAsiaTheme="minorEastAsia"/>
                <w:szCs w:val="21"/>
              </w:rPr>
            </w:pPr>
            <w:r>
              <w:rPr>
                <w:rFonts w:ascii="Arial Narrow" w:hAnsi="Arial Narrow" w:eastAsiaTheme="minorEastAsia"/>
                <w:color w:val="000000"/>
                <w:szCs w:val="21"/>
              </w:rPr>
              <w:t xml:space="preserve">18.83 </w:t>
            </w:r>
          </w:p>
        </w:tc>
      </w:tr>
    </w:tbl>
    <w:p w14:paraId="7D126A70">
      <w:pPr>
        <w:snapToGrid w:val="0"/>
        <w:spacing w:line="240" w:lineRule="atLeast"/>
        <w:rPr>
          <w:rFonts w:hint="eastAsia"/>
          <w:szCs w:val="21"/>
        </w:rPr>
      </w:pPr>
    </w:p>
    <w:p w14:paraId="468A3370">
      <w:pPr>
        <w:snapToGrid w:val="0"/>
        <w:spacing w:line="240" w:lineRule="atLeast"/>
        <w:rPr>
          <w:rFonts w:hint="eastAsia"/>
          <w:szCs w:val="21"/>
        </w:rPr>
      </w:pPr>
      <w:r>
        <w:rPr>
          <w:rFonts w:hint="eastAsia"/>
          <w:szCs w:val="21"/>
        </w:rPr>
        <w:t>其他说明：</w:t>
      </w:r>
    </w:p>
    <w:sdt>
      <w:sdtPr>
        <w:rPr>
          <w:szCs w:val="21"/>
        </w:rPr>
        <w:alias w:val="按预付对象归集的期末余额前五名的预付款情况的说明"/>
        <w:tag w:val="_GBC_01cbdc0115484d88931f2dbcc9e0aa2b"/>
        <w:id w:val="1183868906"/>
        <w:placeholder>
          <w:docPart w:val="GBC22222222222222222222222222222"/>
        </w:placeholder>
      </w:sdtPr>
      <w:sdtEndPr>
        <w:rPr>
          <w:szCs w:val="21"/>
        </w:rPr>
      </w:sdtEndPr>
      <w:sdtContent>
        <w:p w14:paraId="3EE42721">
          <w:pPr>
            <w:snapToGrid w:val="0"/>
            <w:spacing w:line="240" w:lineRule="atLeast"/>
            <w:rPr>
              <w:rFonts w:hint="eastAsia"/>
              <w:szCs w:val="21"/>
            </w:rPr>
          </w:pPr>
          <w:r>
            <w:rPr>
              <w:rFonts w:hint="eastAsia"/>
              <w:szCs w:val="21"/>
            </w:rPr>
            <w:t>无</w:t>
          </w:r>
        </w:p>
      </w:sdtContent>
    </w:sdt>
    <w:p w14:paraId="51BDF5DA">
      <w:pPr>
        <w:snapToGrid w:val="0"/>
        <w:spacing w:line="240" w:lineRule="atLeast"/>
        <w:rPr>
          <w:rFonts w:hint="eastAsia"/>
          <w:szCs w:val="21"/>
        </w:rPr>
      </w:pPr>
    </w:p>
    <w:p w14:paraId="7F8D965D">
      <w:pPr>
        <w:rPr>
          <w:rFonts w:hint="eastAsia"/>
        </w:rPr>
      </w:pPr>
      <w:r>
        <w:rPr>
          <w:rFonts w:hint="eastAsia"/>
        </w:rPr>
        <w:t>其他说明：</w:t>
      </w:r>
    </w:p>
    <w:sdt>
      <w:sdtPr>
        <w:rPr>
          <w:rFonts w:hint="eastAsia"/>
          <w:szCs w:val="21"/>
        </w:rPr>
        <w:alias w:val="是否适用：预付帐款的说明[双击切换]"/>
        <w:tag w:val="_GBC_292d88b78b6d439981e508e0126d8061"/>
        <w:id w:val="-652598007"/>
        <w:placeholder>
          <w:docPart w:val="GBC22222222222222222222222222222"/>
        </w:placeholder>
      </w:sdtPr>
      <w:sdtEndPr>
        <w:rPr>
          <w:rFonts w:hint="eastAsia"/>
          <w:szCs w:val="21"/>
        </w:rPr>
      </w:sdtEndPr>
      <w:sdtContent>
        <w:p w14:paraId="0D949B1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90F2E0E">
      <w:pPr>
        <w:rPr>
          <w:rFonts w:hint="eastAsia"/>
          <w:szCs w:val="21"/>
        </w:rPr>
      </w:pPr>
    </w:p>
    <w:p w14:paraId="7666A15B">
      <w:pPr>
        <w:pStyle w:val="70"/>
        <w:numPr>
          <w:ilvl w:val="0"/>
          <w:numId w:val="109"/>
        </w:numPr>
        <w:rPr>
          <w:szCs w:val="21"/>
        </w:rPr>
      </w:pPr>
      <w:r>
        <w:rPr>
          <w:szCs w:val="21"/>
        </w:rPr>
        <w:t>其他应收款</w:t>
      </w:r>
    </w:p>
    <w:p w14:paraId="5A490AD5">
      <w:pPr>
        <w:pStyle w:val="71"/>
        <w:rPr>
          <w:rFonts w:hint="eastAsia"/>
        </w:rPr>
      </w:pPr>
      <w:bookmarkStart w:id="269" w:name="_Hlk532906090"/>
      <w:r>
        <w:rPr>
          <w:rFonts w:hint="eastAsia" w:ascii="宋体" w:hAnsi="宋体" w:eastAsia="宋体" w:cs="宋体"/>
          <w:kern w:val="0"/>
          <w:szCs w:val="24"/>
        </w:rPr>
        <w:t>项目列示</w:t>
      </w:r>
    </w:p>
    <w:sdt>
      <w:sdtPr>
        <w:alias w:val="是否适用：其他应收款分类列示[双击切换]"/>
        <w:tag w:val="_GBC_5cf24a2049f64010a4df1f0db5a97234"/>
        <w:id w:val="153648818"/>
        <w:placeholder>
          <w:docPart w:val="GBC22222222222222222222222222222"/>
        </w:placeholder>
      </w:sdtPr>
      <w:sdtContent>
        <w:p w14:paraId="3F316113">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65EB9E">
      <w:pPr>
        <w:jc w:val="right"/>
        <w:rPr>
          <w:rFonts w:hint="eastAsia"/>
          <w:szCs w:val="21"/>
        </w:rPr>
      </w:pPr>
      <w:r>
        <w:rPr>
          <w:rFonts w:hint="eastAsia"/>
          <w:szCs w:val="21"/>
        </w:rPr>
        <w:t>单位：</w:t>
      </w:r>
      <w:sdt>
        <w:sdtPr>
          <w:rPr>
            <w:rFonts w:hint="eastAsia"/>
            <w:szCs w:val="21"/>
          </w:rPr>
          <w:alias w:val="单位：其他应收款分类列示"/>
          <w:tag w:val="_GBC_7f9aa6546943491ca0ac8585be1822b5"/>
          <w:id w:val="-9908713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04bd5c819b004daf9b35f05cdd98046d"/>
          <w:id w:val="-9591859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13"/>
        <w:gridCol w:w="2862"/>
        <w:gridCol w:w="2848"/>
      </w:tblGrid>
      <w:tr w14:paraId="5534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4377dcbf8fc04365884311b6628ee70c"/>
            <w:id w:val="879370603"/>
          </w:sdtPr>
          <w:sdtContent>
            <w:tc>
              <w:tcPr>
                <w:tcW w:w="1764" w:type="pct"/>
                <w:vAlign w:val="center"/>
              </w:tcPr>
              <w:p w14:paraId="350D04CF">
                <w:pPr>
                  <w:jc w:val="center"/>
                  <w:rPr>
                    <w:rFonts w:hint="eastAsia"/>
                    <w:szCs w:val="21"/>
                  </w:rPr>
                </w:pPr>
                <w:r>
                  <w:rPr>
                    <w:rFonts w:hint="eastAsia"/>
                    <w:szCs w:val="21"/>
                  </w:rPr>
                  <w:t>项目</w:t>
                </w:r>
              </w:p>
            </w:tc>
          </w:sdtContent>
        </w:sdt>
        <w:sdt>
          <w:sdtPr>
            <w:tag w:val="_PLD_9eed799cfa4b445abd6bf2c21c8e53d1"/>
            <w:id w:val="1127512182"/>
          </w:sdtPr>
          <w:sdtContent>
            <w:tc>
              <w:tcPr>
                <w:tcW w:w="1622" w:type="pct"/>
                <w:vAlign w:val="center"/>
              </w:tcPr>
              <w:p w14:paraId="4F7E4F11">
                <w:pPr>
                  <w:jc w:val="center"/>
                  <w:rPr>
                    <w:rFonts w:hint="eastAsia"/>
                    <w:szCs w:val="21"/>
                  </w:rPr>
                </w:pPr>
                <w:r>
                  <w:rPr>
                    <w:rFonts w:hint="eastAsia"/>
                    <w:szCs w:val="21"/>
                  </w:rPr>
                  <w:t>期末余额</w:t>
                </w:r>
              </w:p>
            </w:tc>
          </w:sdtContent>
        </w:sdt>
        <w:sdt>
          <w:sdtPr>
            <w:tag w:val="_PLD_200365ee1196470e91075b949a7f5552"/>
            <w:id w:val="-1427651709"/>
          </w:sdtPr>
          <w:sdtContent>
            <w:tc>
              <w:tcPr>
                <w:tcW w:w="1614" w:type="pct"/>
                <w:vAlign w:val="center"/>
              </w:tcPr>
              <w:p w14:paraId="3BAC1F29">
                <w:pPr>
                  <w:jc w:val="center"/>
                  <w:rPr>
                    <w:rFonts w:hint="eastAsia"/>
                    <w:szCs w:val="21"/>
                  </w:rPr>
                </w:pPr>
                <w:r>
                  <w:rPr>
                    <w:rFonts w:hint="eastAsia"/>
                    <w:szCs w:val="21"/>
                  </w:rPr>
                  <w:t>期初余额</w:t>
                </w:r>
              </w:p>
            </w:tc>
          </w:sdtContent>
        </w:sdt>
      </w:tr>
      <w:tr w14:paraId="3387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4EF6100C">
            <w:pPr>
              <w:ind w:right="5"/>
              <w:rPr>
                <w:rFonts w:hint="eastAsia"/>
                <w:szCs w:val="21"/>
              </w:rPr>
            </w:pPr>
            <w:r>
              <w:rPr>
                <w:rFonts w:hint="eastAsia"/>
                <w:szCs w:val="21"/>
              </w:rPr>
              <w:t>应收利息</w:t>
            </w:r>
          </w:p>
        </w:tc>
        <w:tc>
          <w:tcPr>
            <w:tcW w:w="1622" w:type="pct"/>
          </w:tcPr>
          <w:p w14:paraId="50D2894E">
            <w:pPr>
              <w:ind w:right="5"/>
              <w:jc w:val="right"/>
              <w:rPr>
                <w:rFonts w:hint="eastAsia"/>
                <w:szCs w:val="21"/>
              </w:rPr>
            </w:pPr>
          </w:p>
        </w:tc>
        <w:tc>
          <w:tcPr>
            <w:tcW w:w="1614" w:type="pct"/>
          </w:tcPr>
          <w:p w14:paraId="37EA5339">
            <w:pPr>
              <w:ind w:right="5"/>
              <w:jc w:val="right"/>
              <w:rPr>
                <w:rFonts w:hint="eastAsia"/>
                <w:szCs w:val="21"/>
              </w:rPr>
            </w:pPr>
          </w:p>
        </w:tc>
      </w:tr>
      <w:tr w14:paraId="369A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6FAE464D">
            <w:pPr>
              <w:ind w:right="5"/>
              <w:rPr>
                <w:rFonts w:hint="eastAsia"/>
                <w:szCs w:val="21"/>
              </w:rPr>
            </w:pPr>
            <w:r>
              <w:rPr>
                <w:rFonts w:hint="eastAsia"/>
                <w:szCs w:val="21"/>
              </w:rPr>
              <w:t>应收股利</w:t>
            </w:r>
          </w:p>
        </w:tc>
        <w:tc>
          <w:tcPr>
            <w:tcW w:w="1622" w:type="pct"/>
          </w:tcPr>
          <w:p w14:paraId="0BCBDA6F">
            <w:pPr>
              <w:ind w:right="5"/>
              <w:jc w:val="right"/>
              <w:rPr>
                <w:rFonts w:hint="eastAsia"/>
                <w:szCs w:val="21"/>
              </w:rPr>
            </w:pPr>
            <w:r>
              <w:rPr>
                <w:rFonts w:ascii="Arial Narrow" w:hAnsi="Arial Narrow" w:eastAsia="等线"/>
                <w:color w:val="000000"/>
                <w:szCs w:val="21"/>
              </w:rPr>
              <w:t xml:space="preserve">52,107,547.75 </w:t>
            </w:r>
          </w:p>
        </w:tc>
        <w:tc>
          <w:tcPr>
            <w:tcW w:w="1614" w:type="pct"/>
          </w:tcPr>
          <w:p w14:paraId="26877B83">
            <w:pPr>
              <w:ind w:right="5"/>
              <w:jc w:val="right"/>
              <w:rPr>
                <w:rFonts w:hint="eastAsia"/>
                <w:szCs w:val="21"/>
              </w:rPr>
            </w:pPr>
            <w:r>
              <w:rPr>
                <w:rFonts w:ascii="Arial Narrow" w:hAnsi="Arial Narrow" w:eastAsia="等线"/>
                <w:color w:val="000000"/>
                <w:szCs w:val="21"/>
              </w:rPr>
              <w:t xml:space="preserve">55,225,500.00 </w:t>
            </w:r>
          </w:p>
        </w:tc>
      </w:tr>
      <w:tr w14:paraId="0962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5357AFC3">
            <w:pPr>
              <w:ind w:right="5"/>
              <w:rPr>
                <w:rFonts w:hint="eastAsia"/>
                <w:szCs w:val="21"/>
              </w:rPr>
            </w:pPr>
            <w:r>
              <w:rPr>
                <w:rFonts w:hint="eastAsia"/>
                <w:szCs w:val="21"/>
              </w:rPr>
              <w:t>其他应收款</w:t>
            </w:r>
          </w:p>
        </w:tc>
        <w:tc>
          <w:tcPr>
            <w:tcW w:w="1622" w:type="pct"/>
          </w:tcPr>
          <w:p w14:paraId="65FEA959">
            <w:pPr>
              <w:ind w:right="5"/>
              <w:jc w:val="right"/>
              <w:rPr>
                <w:rFonts w:hint="eastAsia"/>
                <w:szCs w:val="21"/>
              </w:rPr>
            </w:pPr>
            <w:r>
              <w:rPr>
                <w:rFonts w:ascii="Arial Narrow" w:hAnsi="Arial Narrow" w:eastAsia="等线"/>
                <w:color w:val="000000"/>
                <w:szCs w:val="21"/>
              </w:rPr>
              <w:t xml:space="preserve">592,465,302.23 </w:t>
            </w:r>
          </w:p>
        </w:tc>
        <w:tc>
          <w:tcPr>
            <w:tcW w:w="1614" w:type="pct"/>
          </w:tcPr>
          <w:p w14:paraId="75B3AF8B">
            <w:pPr>
              <w:ind w:right="5"/>
              <w:jc w:val="right"/>
              <w:rPr>
                <w:rFonts w:hint="eastAsia"/>
                <w:szCs w:val="21"/>
              </w:rPr>
            </w:pPr>
            <w:r>
              <w:rPr>
                <w:rFonts w:ascii="Arial Narrow" w:hAnsi="Arial Narrow" w:eastAsia="等线"/>
                <w:color w:val="000000"/>
                <w:szCs w:val="21"/>
              </w:rPr>
              <w:t xml:space="preserve">1,221,726,538.37 </w:t>
            </w:r>
          </w:p>
        </w:tc>
      </w:tr>
      <w:tr w14:paraId="5945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1D9BC216">
            <w:pPr>
              <w:autoSpaceDE w:val="0"/>
              <w:autoSpaceDN w:val="0"/>
              <w:adjustRightInd w:val="0"/>
              <w:rPr>
                <w:rFonts w:hint="eastAsia"/>
                <w:szCs w:val="21"/>
              </w:rPr>
            </w:pPr>
            <w:r>
              <w:rPr>
                <w:rFonts w:hint="eastAsia"/>
                <w:szCs w:val="21"/>
              </w:rPr>
              <w:t>合计</w:t>
            </w:r>
          </w:p>
        </w:tc>
        <w:tc>
          <w:tcPr>
            <w:tcW w:w="1622" w:type="pct"/>
          </w:tcPr>
          <w:p w14:paraId="7B718C92">
            <w:pPr>
              <w:jc w:val="right"/>
              <w:rPr>
                <w:rFonts w:hint="eastAsia"/>
                <w:szCs w:val="21"/>
              </w:rPr>
            </w:pPr>
            <w:r>
              <w:rPr>
                <w:rFonts w:ascii="Arial Narrow" w:hAnsi="Arial Narrow" w:eastAsia="等线"/>
                <w:color w:val="000000"/>
                <w:szCs w:val="21"/>
              </w:rPr>
              <w:t xml:space="preserve">644,572,849.98 </w:t>
            </w:r>
          </w:p>
        </w:tc>
        <w:tc>
          <w:tcPr>
            <w:tcW w:w="1614" w:type="pct"/>
          </w:tcPr>
          <w:p w14:paraId="4E2AC149">
            <w:pPr>
              <w:jc w:val="right"/>
              <w:rPr>
                <w:rFonts w:hint="eastAsia"/>
                <w:szCs w:val="21"/>
              </w:rPr>
            </w:pPr>
            <w:r>
              <w:rPr>
                <w:rFonts w:ascii="Arial Narrow" w:hAnsi="Arial Narrow" w:eastAsia="等线"/>
                <w:color w:val="000000"/>
                <w:szCs w:val="21"/>
              </w:rPr>
              <w:t xml:space="preserve">1,276,952,038.37 </w:t>
            </w:r>
          </w:p>
        </w:tc>
      </w:tr>
    </w:tbl>
    <w:p w14:paraId="6D391E84">
      <w:pPr>
        <w:rPr>
          <w:rFonts w:hint="eastAsia"/>
        </w:rPr>
      </w:pPr>
    </w:p>
    <w:bookmarkEnd w:id="269"/>
    <w:p w14:paraId="4354B2A7">
      <w:pPr>
        <w:rPr>
          <w:rFonts w:hint="eastAsia"/>
          <w:szCs w:val="21"/>
        </w:rPr>
      </w:pPr>
      <w:bookmarkStart w:id="270" w:name="_Hlk532906097"/>
      <w:r>
        <w:rPr>
          <w:rFonts w:hint="eastAsia"/>
          <w:szCs w:val="21"/>
        </w:rPr>
        <w:t>其他说明</w:t>
      </w:r>
      <w:bookmarkEnd w:id="270"/>
      <w:r>
        <w:rPr>
          <w:rFonts w:hint="eastAsia"/>
          <w:szCs w:val="21"/>
        </w:rPr>
        <w:t>：</w:t>
      </w:r>
    </w:p>
    <w:sdt>
      <w:sdtPr>
        <w:rPr>
          <w:szCs w:val="21"/>
        </w:rPr>
        <w:alias w:val="是否适用：其他应收款分类列示其他说明[双击切换]"/>
        <w:tag w:val="_GBC_87a25d8043fc4fcfac6a8c802b58dfc7"/>
        <w:id w:val="-1051764879"/>
        <w:placeholder>
          <w:docPart w:val="GBC22222222222222222222222222222"/>
        </w:placeholder>
      </w:sdtPr>
      <w:sdtEndPr>
        <w:rPr>
          <w:szCs w:val="21"/>
        </w:rPr>
      </w:sdtEndPr>
      <w:sdtContent>
        <w:p w14:paraId="4840839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E051870">
      <w:pPr>
        <w:rPr>
          <w:rFonts w:hint="eastAsia"/>
          <w:szCs w:val="21"/>
        </w:rPr>
      </w:pPr>
    </w:p>
    <w:p w14:paraId="54875FB2">
      <w:pPr>
        <w:pStyle w:val="71"/>
        <w:ind w:left="360" w:hanging="360"/>
        <w:rPr>
          <w:rFonts w:hint="eastAsia"/>
        </w:rPr>
      </w:pPr>
      <w:r>
        <w:rPr>
          <w:rFonts w:hint="eastAsia"/>
        </w:rPr>
        <w:t>应收利息</w:t>
      </w:r>
    </w:p>
    <w:p w14:paraId="686F15CA">
      <w:pPr>
        <w:pStyle w:val="72"/>
        <w:numPr>
          <w:ilvl w:val="0"/>
          <w:numId w:val="115"/>
        </w:numPr>
        <w:ind w:leftChars="0"/>
      </w:pPr>
      <w:r>
        <w:rPr>
          <w:rFonts w:hint="eastAsia"/>
        </w:rPr>
        <w:t>应收利息分类</w:t>
      </w:r>
    </w:p>
    <w:sdt>
      <w:sdtPr>
        <w:alias w:val="是否适用：应收利息分类[双击切换]"/>
        <w:tag w:val="_GBC_83217ec91e3240eeb9ff337eca1b11bb"/>
        <w:id w:val="-809627166"/>
        <w:placeholder>
          <w:docPart w:val="GBC22222222222222222222222222222"/>
        </w:placeholder>
      </w:sdtPr>
      <w:sdtContent>
        <w:p w14:paraId="484FD89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0FB90BB">
      <w:pPr>
        <w:rPr>
          <w:rFonts w:hint="eastAsia"/>
          <w:szCs w:val="21"/>
        </w:rPr>
      </w:pPr>
    </w:p>
    <w:p w14:paraId="3A352D97">
      <w:pPr>
        <w:pStyle w:val="72"/>
        <w:numPr>
          <w:ilvl w:val="0"/>
          <w:numId w:val="115"/>
        </w:numPr>
        <w:ind w:leftChars="0"/>
      </w:pPr>
      <w:r>
        <w:rPr>
          <w:rFonts w:hint="eastAsia"/>
        </w:rPr>
        <w:t>重要逾期利息</w:t>
      </w:r>
    </w:p>
    <w:sdt>
      <w:sdtPr>
        <w:alias w:val="是否适用：重要逾期利息[双击切换]"/>
        <w:tag w:val="_GBC_4720cbb6fd9144c2b14ef7120e6159be"/>
        <w:id w:val="1177461998"/>
        <w:placeholder>
          <w:docPart w:val="GBC22222222222222222222222222222"/>
        </w:placeholder>
      </w:sdtPr>
      <w:sdtContent>
        <w:p w14:paraId="1794427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06175EB">
      <w:pPr>
        <w:rPr>
          <w:rFonts w:hint="eastAsia"/>
        </w:rPr>
      </w:pPr>
    </w:p>
    <w:p w14:paraId="2DC7C99F">
      <w:pPr>
        <w:pStyle w:val="72"/>
        <w:numPr>
          <w:ilvl w:val="0"/>
          <w:numId w:val="115"/>
        </w:numPr>
        <w:ind w:leftChars="0"/>
      </w:pPr>
      <w:bookmarkStart w:id="271" w:name="_Hlk153374831"/>
      <w:r>
        <w:rPr>
          <w:rFonts w:hint="eastAsia"/>
        </w:rPr>
        <w:t>按坏账计提方法分类披露</w:t>
      </w:r>
    </w:p>
    <w:sdt>
      <w:sdtPr>
        <w:alias w:val="是否适用：按坏账计提方法分类披露[双击切换]"/>
        <w:tag w:val="_GBC_4dfa1c3f378a461fb32dcc384b94c01c"/>
        <w:id w:val="-1668395368"/>
        <w:placeholder>
          <w:docPart w:val="GBC22222222222222222222222222222"/>
        </w:placeholder>
      </w:sdtPr>
      <w:sdtContent>
        <w:p w14:paraId="0272B25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FBBD034">
      <w:pPr>
        <w:rPr>
          <w:rFonts w:hint="eastAsia"/>
        </w:rPr>
      </w:pPr>
    </w:p>
    <w:p w14:paraId="0531A801">
      <w:pPr>
        <w:rPr>
          <w:rFonts w:hint="eastAsia"/>
        </w:rPr>
      </w:pPr>
      <w:r>
        <w:rPr>
          <w:rFonts w:hint="eastAsia"/>
        </w:rPr>
        <w:t>按单项计提坏账准备：</w:t>
      </w:r>
    </w:p>
    <w:sdt>
      <w:sdtPr>
        <w:alias w:val="是否适用：按单项计提坏账准备的详细情况[双击切换]"/>
        <w:tag w:val="_GBC_f555101264ef4acba1df68e54d30175a"/>
        <w:id w:val="1607160650"/>
        <w:placeholder>
          <w:docPart w:val="GBC22222222222222222222222222222"/>
        </w:placeholder>
      </w:sdtPr>
      <w:sdtContent>
        <w:p w14:paraId="591D8A5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B9B96F3">
      <w:pPr>
        <w:rPr>
          <w:rFonts w:hint="eastAsia"/>
          <w:szCs w:val="21"/>
        </w:rPr>
      </w:pPr>
    </w:p>
    <w:p w14:paraId="2BB87289">
      <w:pPr>
        <w:rPr>
          <w:rFonts w:hint="eastAsia"/>
          <w:szCs w:val="21"/>
        </w:rPr>
      </w:pPr>
      <w:r>
        <w:rPr>
          <w:rFonts w:hint="eastAsia"/>
          <w:szCs w:val="21"/>
        </w:rPr>
        <w:t>按单项计提坏账准备的说明：</w:t>
      </w:r>
    </w:p>
    <w:sdt>
      <w:sdtPr>
        <w:rPr>
          <w:szCs w:val="21"/>
        </w:rPr>
        <w:alias w:val="是否适用：按单项计提坏账准备的说明[双击切换]"/>
        <w:tag w:val="_GBC_e7140d40a6d84e56957900180d1e6af2"/>
        <w:id w:val="-1684193454"/>
        <w:placeholder>
          <w:docPart w:val="GBC22222222222222222222222222222"/>
        </w:placeholder>
      </w:sdtPr>
      <w:sdtEndPr>
        <w:rPr>
          <w:szCs w:val="21"/>
        </w:rPr>
      </w:sdtEndPr>
      <w:sdtContent>
        <w:p w14:paraId="78129FF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D909B6D">
      <w:pPr>
        <w:rPr>
          <w:rFonts w:hint="eastAsia"/>
          <w:szCs w:val="21"/>
        </w:rPr>
      </w:pPr>
    </w:p>
    <w:p w14:paraId="2FA7A1CE">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按组合计提坏账准备的详细情况[双击切换]"/>
        <w:tag w:val="_GBC_ee220409efb74ad0a4dffa7172a6bdf0"/>
        <w:id w:val="-1863351174"/>
        <w:placeholder>
          <w:docPart w:val="GBC22222222222222222222222222222"/>
        </w:placeholder>
      </w:sdtPr>
      <w:sdtEndPr>
        <w:rPr>
          <w:rFonts w:ascii="Calibri" w:hAnsi="Calibri" w:cs="Times New Roman"/>
          <w:bCs/>
          <w:szCs w:val="22"/>
        </w:rPr>
      </w:sdtEndPr>
      <w:sdtContent>
        <w:p w14:paraId="4CF72364">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5B5CD071">
      <w:pPr>
        <w:rPr>
          <w:rFonts w:hint="eastAsia"/>
          <w:szCs w:val="21"/>
        </w:rPr>
      </w:pPr>
    </w:p>
    <w:p w14:paraId="12B56FE5">
      <w:pPr>
        <w:rPr>
          <w:rFonts w:ascii="Calibri" w:hAnsi="Calibri" w:cs="Times New Roman"/>
          <w:b/>
          <w:bCs/>
          <w:szCs w:val="22"/>
        </w:rPr>
      </w:pPr>
    </w:p>
    <w:bookmarkEnd w:id="271"/>
    <w:p w14:paraId="55926CCC">
      <w:pPr>
        <w:pStyle w:val="72"/>
        <w:numPr>
          <w:ilvl w:val="0"/>
          <w:numId w:val="115"/>
        </w:numPr>
        <w:ind w:leftChars="0"/>
      </w:pPr>
      <w:bookmarkStart w:id="272" w:name="_Hlk533867290"/>
      <w:r>
        <w:rPr>
          <w:rFonts w:hint="eastAsia"/>
        </w:rPr>
        <w:t>按预期信用损失一般模型计提坏账准备</w:t>
      </w:r>
    </w:p>
    <w:sdt>
      <w:sdtPr>
        <w:rPr>
          <w:szCs w:val="21"/>
        </w:rPr>
        <w:alias w:val="是否适用：应收利息坏账准备调节表[双击切换]"/>
        <w:tag w:val="_GBC_2926f106217b4c11a5fe606b79f60d83"/>
        <w:id w:val="-1815710489"/>
        <w:placeholder>
          <w:docPart w:val="GBC22222222222222222222222222222"/>
        </w:placeholder>
      </w:sdtPr>
      <w:sdtEndPr>
        <w:rPr>
          <w:szCs w:val="21"/>
        </w:rPr>
      </w:sdtEndPr>
      <w:sdtContent>
        <w:p w14:paraId="71E3A91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EBA632D">
      <w:pPr>
        <w:rPr>
          <w:rFonts w:hint="eastAsia"/>
          <w:szCs w:val="21"/>
        </w:rPr>
      </w:pPr>
    </w:p>
    <w:p w14:paraId="45DB8A69">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应收利息各阶段划分依据和坏账准备计提比例"/>
        <w:tag w:val="_GBC_59f57028d34346fc91962be3047fd594"/>
        <w:id w:val="640922115"/>
        <w:placeholder>
          <w:docPart w:val="GBC22222222222222222222222222222"/>
        </w:placeholder>
      </w:sdtPr>
      <w:sdtEndPr>
        <w:rPr>
          <w:rFonts w:cs="Times New Roman"/>
          <w:bCs/>
          <w:szCs w:val="22"/>
        </w:rPr>
      </w:sdtEndPr>
      <w:sdtContent>
        <w:p w14:paraId="1259C613">
          <w:pPr>
            <w:rPr>
              <w:rFonts w:hint="eastAsia" w:cs="Times New Roman"/>
              <w:bCs/>
              <w:szCs w:val="22"/>
            </w:rPr>
          </w:pPr>
          <w:r>
            <w:rPr>
              <w:rFonts w:hint="eastAsia" w:cs="Times New Roman"/>
              <w:bCs/>
              <w:szCs w:val="22"/>
            </w:rPr>
            <w:t>无</w:t>
          </w:r>
        </w:p>
      </w:sdtContent>
    </w:sdt>
    <w:p w14:paraId="191077E8">
      <w:pPr>
        <w:rPr>
          <w:rFonts w:hint="eastAsia" w:cs="Times New Roman"/>
          <w:bCs/>
          <w:szCs w:val="22"/>
        </w:rPr>
      </w:pPr>
    </w:p>
    <w:p w14:paraId="27D4D12E">
      <w:pPr>
        <w:autoSpaceDE w:val="0"/>
        <w:autoSpaceDN w:val="0"/>
        <w:adjustRightInd w:val="0"/>
        <w:ind w:right="105" w:rightChars="50"/>
        <w:rPr>
          <w:rFonts w:hint="eastAsia"/>
          <w:szCs w:val="21"/>
        </w:rPr>
      </w:pPr>
    </w:p>
    <w:p w14:paraId="2A6999A5">
      <w:pPr>
        <w:pStyle w:val="123"/>
      </w:pPr>
      <w:r>
        <w:rPr>
          <w:rFonts w:hint="eastAsia"/>
        </w:rPr>
        <w:t>对本期发生损失准备变动的应收利息账面余额显著变动的情况说明：</w:t>
      </w:r>
    </w:p>
    <w:sdt>
      <w:sdtPr>
        <w:rPr>
          <w:szCs w:val="21"/>
        </w:rPr>
        <w:alias w:val="是否适用：应收利息本期发生损失准备变动且账面余额显著变动的情况说明[双击切换]"/>
        <w:tag w:val="_GBC_07d71685a64f4800b3e351083fc5c9ae"/>
        <w:id w:val="2095201619"/>
        <w:placeholder>
          <w:docPart w:val="GBC22222222222222222222222222222"/>
        </w:placeholder>
      </w:sdtPr>
      <w:sdtEndPr>
        <w:rPr>
          <w:szCs w:val="21"/>
        </w:rPr>
      </w:sdtEndPr>
      <w:sdtContent>
        <w:p w14:paraId="71E97BB6">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53BDCE5">
      <w:pPr>
        <w:autoSpaceDE w:val="0"/>
        <w:autoSpaceDN w:val="0"/>
        <w:adjustRightInd w:val="0"/>
        <w:ind w:right="105" w:rightChars="50"/>
        <w:rPr>
          <w:rFonts w:hint="eastAsia"/>
          <w:szCs w:val="21"/>
        </w:rPr>
      </w:pPr>
    </w:p>
    <w:bookmarkEnd w:id="272"/>
    <w:p w14:paraId="049606B3">
      <w:pPr>
        <w:pStyle w:val="72"/>
        <w:numPr>
          <w:ilvl w:val="0"/>
          <w:numId w:val="115"/>
        </w:numPr>
        <w:ind w:leftChars="0"/>
      </w:pPr>
      <w:bookmarkStart w:id="273" w:name="_Hlk153375041"/>
      <w:r>
        <w:rPr>
          <w:rFonts w:hint="eastAsia"/>
        </w:rPr>
        <w:t>坏账准备的情况</w:t>
      </w:r>
    </w:p>
    <w:sdt>
      <w:sdtPr>
        <w:alias w:val="是否适用：坏账准备情况[双击切换]"/>
        <w:tag w:val="_GBC_faf892fca7fd4a8ebcdef2231ff828bc"/>
        <w:id w:val="-259535221"/>
        <w:placeholder>
          <w:docPart w:val="GBC22222222222222222222222222222"/>
        </w:placeholder>
      </w:sdtPr>
      <w:sdtContent>
        <w:p w14:paraId="2BA7F4C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C83EFE1">
      <w:pPr>
        <w:rPr>
          <w:rFonts w:hint="eastAsia"/>
        </w:rPr>
      </w:pPr>
    </w:p>
    <w:p w14:paraId="65669D9B">
      <w:pPr>
        <w:rPr>
          <w:rFonts w:hint="eastAsia"/>
        </w:rPr>
      </w:pPr>
      <w:r>
        <w:rPr>
          <w:rFonts w:hint="eastAsia"/>
        </w:rPr>
        <w:t>其中本期坏账准备收回或转回金额重要的：</w:t>
      </w:r>
    </w:p>
    <w:sdt>
      <w:sdtPr>
        <w:alias w:val="是否适用：本期坏账准备收回或转回金额重要的[双击切换]"/>
        <w:tag w:val="_GBC_5a2d052a52b74bb7a867cb7ad62574c9"/>
        <w:id w:val="216487186"/>
        <w:placeholder>
          <w:docPart w:val="GBC22222222222222222222222222222"/>
        </w:placeholder>
      </w:sdtPr>
      <w:sdtContent>
        <w:p w14:paraId="142A7B1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29213F1">
      <w:pPr>
        <w:rPr>
          <w:rFonts w:hint="eastAsia"/>
        </w:rPr>
      </w:pPr>
    </w:p>
    <w:p w14:paraId="01A55AB1">
      <w:pPr>
        <w:rPr>
          <w:rFonts w:hint="eastAsia"/>
        </w:rPr>
      </w:pPr>
      <w:r>
        <w:rPr>
          <w:rFonts w:hint="eastAsia"/>
        </w:rPr>
        <w:t>其他说明：</w:t>
      </w:r>
    </w:p>
    <w:sdt>
      <w:sdtPr>
        <w:alias w:val="坏账准备情况的说明"/>
        <w:tag w:val="_GBC_79d8ee00a1ce479db5cb5285f72aaea4"/>
        <w:id w:val="-62644674"/>
        <w:placeholder>
          <w:docPart w:val="GBC22222222222222222222222222222"/>
        </w:placeholder>
      </w:sdtPr>
      <w:sdtContent>
        <w:p w14:paraId="3F94F8D0">
          <w:pPr>
            <w:ind w:right="42" w:rightChars="20"/>
            <w:rPr>
              <w:rFonts w:hint="eastAsia"/>
            </w:rPr>
          </w:pPr>
          <w:r>
            <w:rPr>
              <w:rFonts w:hint="eastAsia"/>
            </w:rPr>
            <w:t>无</w:t>
          </w:r>
        </w:p>
      </w:sdtContent>
    </w:sdt>
    <w:p w14:paraId="511A2C76">
      <w:pPr>
        <w:ind w:right="-1594" w:rightChars="-759"/>
        <w:rPr>
          <w:rFonts w:hint="eastAsia"/>
        </w:rPr>
      </w:pPr>
    </w:p>
    <w:p w14:paraId="74289B8E">
      <w:pPr>
        <w:pStyle w:val="72"/>
        <w:numPr>
          <w:ilvl w:val="0"/>
          <w:numId w:val="115"/>
        </w:numPr>
        <w:ind w:leftChars="0"/>
      </w:pPr>
      <w:r>
        <w:rPr>
          <w:rFonts w:hint="eastAsia"/>
        </w:rPr>
        <w:t>本期实际核销的应收利息情况</w:t>
      </w:r>
    </w:p>
    <w:sdt>
      <w:sdtPr>
        <w:alias w:val="是否适用：实际核销的情况[双击切换]"/>
        <w:tag w:val="_GBC_d4fcf512bafe4a40a1f75d78eee0f333"/>
        <w:id w:val="-2011976496"/>
        <w:placeholder>
          <w:docPart w:val="GBC22222222222222222222222222222"/>
        </w:placeholder>
      </w:sdtPr>
      <w:sdtContent>
        <w:p w14:paraId="0127E30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512F2DE">
      <w:pPr>
        <w:rPr>
          <w:rFonts w:hint="eastAsia"/>
          <w:szCs w:val="21"/>
        </w:rPr>
      </w:pPr>
    </w:p>
    <w:p w14:paraId="723E589D">
      <w:pPr>
        <w:rPr>
          <w:rFonts w:hint="eastAsia"/>
          <w:szCs w:val="21"/>
        </w:rPr>
      </w:pPr>
      <w:r>
        <w:rPr>
          <w:rFonts w:hint="eastAsia"/>
          <w:szCs w:val="21"/>
        </w:rPr>
        <w:t>其中重要的应收利息核销情况</w:t>
      </w:r>
    </w:p>
    <w:sdt>
      <w:sdtPr>
        <w:rPr>
          <w:rFonts w:hint="eastAsia"/>
          <w:szCs w:val="21"/>
        </w:rPr>
        <w:alias w:val="是否适用：重要的核销情况[双击切换]"/>
        <w:tag w:val="_GBC_2cc69a5549814fd6aee1164366f580ec"/>
        <w:id w:val="136308980"/>
        <w:placeholder>
          <w:docPart w:val="GBC22222222222222222222222222222"/>
        </w:placeholder>
      </w:sdtPr>
      <w:sdtEndPr>
        <w:rPr>
          <w:rFonts w:hint="eastAsia"/>
          <w:szCs w:val="21"/>
        </w:rPr>
      </w:sdtEndPr>
      <w:sdtContent>
        <w:p w14:paraId="6EC92DF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1D7CB44">
      <w:pPr>
        <w:rPr>
          <w:rFonts w:hint="eastAsia"/>
          <w:szCs w:val="21"/>
        </w:rPr>
      </w:pPr>
    </w:p>
    <w:p w14:paraId="36F66C06">
      <w:pPr>
        <w:snapToGrid w:val="0"/>
        <w:spacing w:line="240" w:lineRule="atLeast"/>
        <w:rPr>
          <w:rFonts w:hint="eastAsia"/>
          <w:szCs w:val="21"/>
        </w:rPr>
      </w:pPr>
      <w:r>
        <w:rPr>
          <w:rFonts w:hint="eastAsia"/>
          <w:szCs w:val="21"/>
        </w:rPr>
        <w:t>核销说明：</w:t>
      </w:r>
    </w:p>
    <w:sdt>
      <w:sdtPr>
        <w:rPr>
          <w:szCs w:val="21"/>
        </w:rPr>
        <w:alias w:val="是否适用：核销说明[双击切换]"/>
        <w:tag w:val="_GBC_d8b86767c1604cb69ee84c043aa1b8dc"/>
        <w:id w:val="1014041274"/>
        <w:placeholder>
          <w:docPart w:val="GBC22222222222222222222222222222"/>
        </w:placeholder>
      </w:sdtPr>
      <w:sdtEndPr>
        <w:rPr>
          <w:szCs w:val="21"/>
        </w:rPr>
      </w:sdtEndPr>
      <w:sdtContent>
        <w:p w14:paraId="228F5FD1">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15BABC4">
      <w:pPr>
        <w:rPr>
          <w:rFonts w:hint="eastAsia"/>
        </w:rPr>
      </w:pPr>
    </w:p>
    <w:bookmarkEnd w:id="273"/>
    <w:p w14:paraId="64D96C0C">
      <w:pPr>
        <w:rPr>
          <w:rFonts w:hint="eastAsia"/>
        </w:rPr>
      </w:pPr>
      <w:r>
        <w:rPr>
          <w:rFonts w:hint="eastAsia"/>
        </w:rPr>
        <w:t>其他说明：</w:t>
      </w:r>
    </w:p>
    <w:sdt>
      <w:sdtPr>
        <w:rPr>
          <w:rFonts w:hint="eastAsia"/>
          <w:szCs w:val="21"/>
        </w:rPr>
        <w:alias w:val="是否适用：应收利息的说明[双击切换]"/>
        <w:tag w:val="_GBC_353af20a1db84c639b0e03e660c37a48"/>
        <w:id w:val="-790980682"/>
        <w:placeholder>
          <w:docPart w:val="GBC22222222222222222222222222222"/>
        </w:placeholder>
      </w:sdtPr>
      <w:sdtEndPr>
        <w:rPr>
          <w:rFonts w:hint="eastAsia"/>
          <w:szCs w:val="21"/>
        </w:rPr>
      </w:sdtEndPr>
      <w:sdtContent>
        <w:p w14:paraId="6525FD0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D6A05BB">
      <w:pPr>
        <w:rPr>
          <w:rFonts w:hint="eastAsia"/>
          <w:szCs w:val="21"/>
        </w:rPr>
      </w:pPr>
    </w:p>
    <w:p w14:paraId="676ADC9B">
      <w:pPr>
        <w:pStyle w:val="71"/>
        <w:ind w:left="360" w:hanging="360"/>
        <w:rPr>
          <w:rFonts w:hint="eastAsia"/>
        </w:rPr>
      </w:pPr>
      <w:r>
        <w:rPr>
          <w:rFonts w:hint="eastAsia"/>
        </w:rPr>
        <w:t>应收股利</w:t>
      </w:r>
    </w:p>
    <w:p w14:paraId="099E01F3">
      <w:pPr>
        <w:pStyle w:val="72"/>
        <w:numPr>
          <w:ilvl w:val="0"/>
          <w:numId w:val="116"/>
        </w:numPr>
        <w:ind w:leftChars="0"/>
      </w:pPr>
      <w:r>
        <w:rPr>
          <w:rFonts w:hint="eastAsia"/>
        </w:rPr>
        <w:t>应收股利</w:t>
      </w:r>
    </w:p>
    <w:sdt>
      <w:sdtPr>
        <w:alias w:val="是否适用：应收股利[双击切换]"/>
        <w:tag w:val="_GBC_c0f7b0360a644690b0472107042df17a"/>
        <w:id w:val="2095039459"/>
        <w:placeholder>
          <w:docPart w:val="GBC22222222222222222222222222222"/>
        </w:placeholder>
      </w:sdtPr>
      <w:sdtContent>
        <w:p w14:paraId="0DBD806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9F2A616">
      <w:pPr>
        <w:jc w:val="right"/>
        <w:rPr>
          <w:rFonts w:hint="eastAsia"/>
          <w:szCs w:val="21"/>
        </w:rPr>
      </w:pPr>
      <w:r>
        <w:rPr>
          <w:rFonts w:hint="eastAsia"/>
          <w:szCs w:val="21"/>
        </w:rPr>
        <w:t>单位：</w:t>
      </w:r>
      <w:sdt>
        <w:sdtPr>
          <w:rPr>
            <w:rFonts w:hint="eastAsia"/>
            <w:szCs w:val="21"/>
          </w:rPr>
          <w:alias w:val="单位：财务附注：应收股利"/>
          <w:tag w:val="_GBC_50f835a1df1e48409cac94b31300ae2b"/>
          <w:id w:val="9912164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应收股利"/>
          <w:tag w:val="_GBC_51a26d58ea414110b611fe682d0ba316"/>
          <w:id w:val="3505380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1962"/>
        <w:gridCol w:w="2755"/>
      </w:tblGrid>
      <w:tr w14:paraId="68C9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39a83912b1814ce587a6aa2bfcc20d43"/>
            <w:id w:val="-258988407"/>
          </w:sdtPr>
          <w:sdtContent>
            <w:tc>
              <w:tcPr>
                <w:tcW w:w="2327" w:type="pct"/>
                <w:vAlign w:val="center"/>
              </w:tcPr>
              <w:p w14:paraId="11734EC8">
                <w:pPr>
                  <w:jc w:val="center"/>
                  <w:rPr>
                    <w:rFonts w:hint="eastAsia"/>
                    <w:szCs w:val="21"/>
                  </w:rPr>
                </w:pPr>
                <w:r>
                  <w:rPr>
                    <w:rFonts w:hint="eastAsia"/>
                    <w:szCs w:val="21"/>
                  </w:rPr>
                  <w:t>项目(或被投资单位)</w:t>
                </w:r>
              </w:p>
            </w:tc>
          </w:sdtContent>
        </w:sdt>
        <w:sdt>
          <w:sdtPr>
            <w:tag w:val="_PLD_de504ddfb0d74b04930d73922e81793f"/>
            <w:id w:val="-1441143015"/>
          </w:sdtPr>
          <w:sdtContent>
            <w:tc>
              <w:tcPr>
                <w:tcW w:w="1112" w:type="pct"/>
                <w:vAlign w:val="center"/>
              </w:tcPr>
              <w:p w14:paraId="0FA21385">
                <w:pPr>
                  <w:jc w:val="center"/>
                  <w:rPr>
                    <w:rFonts w:hint="eastAsia"/>
                    <w:szCs w:val="21"/>
                  </w:rPr>
                </w:pPr>
                <w:r>
                  <w:rPr>
                    <w:rFonts w:hint="eastAsia"/>
                    <w:szCs w:val="21"/>
                  </w:rPr>
                  <w:t>期末余额</w:t>
                </w:r>
              </w:p>
            </w:tc>
          </w:sdtContent>
        </w:sdt>
        <w:sdt>
          <w:sdtPr>
            <w:tag w:val="_PLD_06fe10e4c67542f3ae16fdf0e6912fbc"/>
            <w:id w:val="636307736"/>
          </w:sdtPr>
          <w:sdtContent>
            <w:tc>
              <w:tcPr>
                <w:tcW w:w="1561" w:type="pct"/>
                <w:vAlign w:val="center"/>
              </w:tcPr>
              <w:p w14:paraId="57D38605">
                <w:pPr>
                  <w:jc w:val="center"/>
                  <w:rPr>
                    <w:rFonts w:hint="eastAsia"/>
                    <w:szCs w:val="21"/>
                  </w:rPr>
                </w:pPr>
                <w:r>
                  <w:rPr>
                    <w:rFonts w:hint="eastAsia"/>
                    <w:szCs w:val="21"/>
                  </w:rPr>
                  <w:t>期初余额</w:t>
                </w:r>
              </w:p>
            </w:tc>
          </w:sdtContent>
        </w:sdt>
      </w:tr>
      <w:tr w14:paraId="12D9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pct"/>
          </w:tcPr>
          <w:p w14:paraId="0D30854F">
            <w:pPr>
              <w:rPr>
                <w:rFonts w:hint="eastAsia"/>
                <w:szCs w:val="21"/>
              </w:rPr>
            </w:pPr>
            <w:r>
              <w:t>新兴际华投资有限公司</w:t>
            </w:r>
          </w:p>
        </w:tc>
        <w:tc>
          <w:tcPr>
            <w:tcW w:w="1112" w:type="pct"/>
          </w:tcPr>
          <w:p w14:paraId="1976E811">
            <w:pPr>
              <w:jc w:val="right"/>
              <w:rPr>
                <w:rFonts w:hint="eastAsia"/>
                <w:szCs w:val="21"/>
              </w:rPr>
            </w:pPr>
            <w:r>
              <w:rPr>
                <w:rFonts w:ascii="Arial Narrow" w:hAnsi="Arial Narrow" w:eastAsia="等线"/>
                <w:color w:val="000000"/>
                <w:szCs w:val="21"/>
              </w:rPr>
              <w:t xml:space="preserve">52,107,547.75 </w:t>
            </w:r>
          </w:p>
        </w:tc>
        <w:tc>
          <w:tcPr>
            <w:tcW w:w="1561" w:type="pct"/>
          </w:tcPr>
          <w:p w14:paraId="01B188C8">
            <w:pPr>
              <w:jc w:val="right"/>
              <w:rPr>
                <w:rFonts w:hint="eastAsia"/>
                <w:szCs w:val="21"/>
              </w:rPr>
            </w:pPr>
            <w:r>
              <w:rPr>
                <w:rFonts w:ascii="Arial Narrow" w:hAnsi="Arial Narrow" w:eastAsia="等线"/>
                <w:color w:val="000000"/>
                <w:szCs w:val="21"/>
              </w:rPr>
              <w:t xml:space="preserve">52,590,000.00 </w:t>
            </w:r>
          </w:p>
        </w:tc>
      </w:tr>
      <w:tr w14:paraId="6546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pct"/>
          </w:tcPr>
          <w:p w14:paraId="2A178E5C">
            <w:pPr>
              <w:rPr>
                <w:rFonts w:hint="eastAsia"/>
                <w:szCs w:val="21"/>
              </w:rPr>
            </w:pPr>
            <w:r>
              <w:t>南京英斯瑞德高分子材料</w:t>
            </w:r>
            <w:r>
              <w:rPr>
                <w:rFonts w:hint="eastAsia"/>
              </w:rPr>
              <w:t>股份</w:t>
            </w:r>
            <w:r>
              <w:t>有限公司</w:t>
            </w:r>
          </w:p>
        </w:tc>
        <w:tc>
          <w:tcPr>
            <w:tcW w:w="1112" w:type="pct"/>
          </w:tcPr>
          <w:p w14:paraId="64BD23E8">
            <w:pPr>
              <w:jc w:val="right"/>
              <w:rPr>
                <w:rFonts w:hint="eastAsia"/>
                <w:szCs w:val="21"/>
              </w:rPr>
            </w:pPr>
          </w:p>
        </w:tc>
        <w:tc>
          <w:tcPr>
            <w:tcW w:w="1561" w:type="pct"/>
          </w:tcPr>
          <w:p w14:paraId="471755DF">
            <w:pPr>
              <w:jc w:val="right"/>
              <w:rPr>
                <w:rFonts w:hint="eastAsia"/>
                <w:szCs w:val="21"/>
              </w:rPr>
            </w:pPr>
            <w:r>
              <w:rPr>
                <w:rFonts w:ascii="Arial Narrow" w:hAnsi="Arial Narrow" w:eastAsia="等线"/>
                <w:color w:val="000000"/>
                <w:szCs w:val="21"/>
              </w:rPr>
              <w:t xml:space="preserve">2,635,500.00 </w:t>
            </w:r>
          </w:p>
        </w:tc>
      </w:tr>
      <w:tr w14:paraId="5E89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7" w:type="pct"/>
            <w:vAlign w:val="center"/>
          </w:tcPr>
          <w:p w14:paraId="4CDF681F">
            <w:pPr>
              <w:jc w:val="center"/>
              <w:rPr>
                <w:rFonts w:hint="eastAsia"/>
                <w:szCs w:val="21"/>
              </w:rPr>
            </w:pPr>
            <w:r>
              <w:rPr>
                <w:rFonts w:hint="eastAsia"/>
                <w:szCs w:val="21"/>
              </w:rPr>
              <w:t>合计</w:t>
            </w:r>
          </w:p>
        </w:tc>
        <w:tc>
          <w:tcPr>
            <w:tcW w:w="1112" w:type="pct"/>
          </w:tcPr>
          <w:p w14:paraId="31AA3F3C">
            <w:pPr>
              <w:jc w:val="right"/>
              <w:rPr>
                <w:rFonts w:hint="eastAsia"/>
                <w:szCs w:val="21"/>
              </w:rPr>
            </w:pPr>
            <w:r>
              <w:rPr>
                <w:rFonts w:ascii="Arial Narrow" w:hAnsi="Arial Narrow" w:eastAsia="等线"/>
                <w:color w:val="000000"/>
                <w:szCs w:val="21"/>
              </w:rPr>
              <w:t xml:space="preserve">52,107,547.75 </w:t>
            </w:r>
          </w:p>
        </w:tc>
        <w:tc>
          <w:tcPr>
            <w:tcW w:w="1561" w:type="pct"/>
          </w:tcPr>
          <w:p w14:paraId="6B48AFB2">
            <w:pPr>
              <w:jc w:val="right"/>
              <w:rPr>
                <w:rFonts w:hint="eastAsia"/>
                <w:szCs w:val="21"/>
              </w:rPr>
            </w:pPr>
            <w:r>
              <w:rPr>
                <w:rFonts w:ascii="Arial Narrow" w:hAnsi="Arial Narrow" w:eastAsia="等线"/>
                <w:color w:val="000000"/>
                <w:szCs w:val="21"/>
              </w:rPr>
              <w:t xml:space="preserve">55,225,500.00 </w:t>
            </w:r>
          </w:p>
        </w:tc>
      </w:tr>
    </w:tbl>
    <w:p w14:paraId="4E2E09D1">
      <w:pPr>
        <w:rPr>
          <w:rFonts w:hint="eastAsia"/>
        </w:rPr>
      </w:pPr>
    </w:p>
    <w:p w14:paraId="5DA5707D">
      <w:pPr>
        <w:pStyle w:val="72"/>
        <w:numPr>
          <w:ilvl w:val="0"/>
          <w:numId w:val="116"/>
        </w:numPr>
        <w:ind w:leftChars="0"/>
      </w:pPr>
      <w:r>
        <w:rPr>
          <w:rFonts w:hint="eastAsia"/>
        </w:rPr>
        <w:t>重要的账龄超过1年的应收股利</w:t>
      </w:r>
    </w:p>
    <w:p w14:paraId="2ED954C3">
      <w:pPr>
        <w:rPr>
          <w:rFonts w:hint="eastAsia"/>
          <w:szCs w:val="21"/>
        </w:rPr>
      </w:pPr>
      <w:sdt>
        <w:sdtPr>
          <w:rPr>
            <w:rFonts w:hint="eastAsia"/>
            <w:szCs w:val="21"/>
          </w:rPr>
          <w:alias w:val="是否适用：重要的账龄超过1年的应收股利[双击切换]"/>
          <w:tag w:val="_GBC_d46c4e6d2f2e4e20b430a619bde9abe8"/>
          <w:id w:val="2024732021"/>
          <w:placeholder>
            <w:docPart w:val="GBC22222222222222222222222222222"/>
          </w:placeholder>
        </w:sdtPr>
        <w:sdtEndPr>
          <w:rPr>
            <w:rFonts w:hint="eastAsia"/>
            <w:szCs w:val="21"/>
          </w:rPr>
        </w:sdtEndPr>
        <w:sdtContent>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sdtContent>
      </w:sdt>
    </w:p>
    <w:p w14:paraId="62957F26">
      <w:pPr>
        <w:jc w:val="right"/>
        <w:rPr>
          <w:rFonts w:hint="eastAsia"/>
          <w:szCs w:val="21"/>
        </w:rPr>
      </w:pPr>
      <w:r>
        <w:rPr>
          <w:rFonts w:hint="eastAsia"/>
          <w:szCs w:val="21"/>
        </w:rPr>
        <w:t>单位：</w:t>
      </w:r>
      <w:sdt>
        <w:sdtPr>
          <w:rPr>
            <w:rFonts w:hint="eastAsia"/>
            <w:szCs w:val="21"/>
          </w:rPr>
          <w:alias w:val="单位：财务附注：重要的账龄超过1年的应收股利"/>
          <w:tag w:val="_GBC_04848cb0745549e0b5c64527aa5d6ac8"/>
          <w:id w:val="-3869511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重要的账龄超过1年的应收股利"/>
          <w:tag w:val="_GBC_998ac82ccb7243f795f84184c125f77b"/>
          <w:id w:val="20316000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13" w:type="dxa"/>
          <w:bottom w:w="0" w:type="dxa"/>
          <w:right w:w="113" w:type="dxa"/>
        </w:tblCellMar>
      </w:tblPr>
      <w:tblGrid>
        <w:gridCol w:w="2401"/>
        <w:gridCol w:w="1559"/>
        <w:gridCol w:w="1702"/>
        <w:gridCol w:w="1418"/>
        <w:gridCol w:w="1737"/>
      </w:tblGrid>
      <w:tr w14:paraId="18DF4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sdt>
          <w:sdtPr>
            <w:tag w:val="_PLD_4c950ed3234549f1942480783d74d97c"/>
            <w:id w:val="-965503868"/>
          </w:sdtPr>
          <w:sdtContent>
            <w:tc>
              <w:tcPr>
                <w:tcW w:w="1362" w:type="pct"/>
                <w:vAlign w:val="center"/>
              </w:tcPr>
              <w:p w14:paraId="6A6606D9">
                <w:pPr>
                  <w:autoSpaceDE w:val="0"/>
                  <w:autoSpaceDN w:val="0"/>
                  <w:adjustRightInd w:val="0"/>
                  <w:snapToGrid w:val="0"/>
                  <w:spacing w:line="240" w:lineRule="atLeast"/>
                  <w:jc w:val="center"/>
                  <w:rPr>
                    <w:rFonts w:hint="eastAsia"/>
                    <w:szCs w:val="21"/>
                  </w:rPr>
                </w:pPr>
                <w:bookmarkStart w:id="274" w:name="_Hlk153377225"/>
                <w:r>
                  <w:rPr>
                    <w:rFonts w:hint="eastAsia"/>
                    <w:szCs w:val="21"/>
                  </w:rPr>
                  <w:t>项目(或被投资单位)</w:t>
                </w:r>
              </w:p>
            </w:tc>
          </w:sdtContent>
        </w:sdt>
        <w:sdt>
          <w:sdtPr>
            <w:tag w:val="_PLD_718dc79420da471ba577ae0c31bde3ff"/>
            <w:id w:val="-342012229"/>
          </w:sdtPr>
          <w:sdtContent>
            <w:tc>
              <w:tcPr>
                <w:tcW w:w="884" w:type="pct"/>
                <w:tcBorders>
                  <w:right w:val="single" w:color="auto" w:sz="4" w:space="0"/>
                </w:tcBorders>
                <w:vAlign w:val="center"/>
              </w:tcPr>
              <w:p w14:paraId="6721B2F5">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2ab7351e2ff84ba4831de9038e12296f"/>
            <w:id w:val="-1146506619"/>
          </w:sdtPr>
          <w:sdtContent>
            <w:tc>
              <w:tcPr>
                <w:tcW w:w="965" w:type="pct"/>
                <w:tcBorders>
                  <w:left w:val="single" w:color="auto" w:sz="4" w:space="0"/>
                </w:tcBorders>
                <w:vAlign w:val="center"/>
              </w:tcPr>
              <w:p w14:paraId="12DB5213">
                <w:pPr>
                  <w:autoSpaceDE w:val="0"/>
                  <w:autoSpaceDN w:val="0"/>
                  <w:adjustRightInd w:val="0"/>
                  <w:snapToGrid w:val="0"/>
                  <w:spacing w:line="240" w:lineRule="atLeast"/>
                  <w:jc w:val="center"/>
                  <w:rPr>
                    <w:rFonts w:hint="eastAsia"/>
                    <w:szCs w:val="21"/>
                  </w:rPr>
                </w:pPr>
                <w:r>
                  <w:rPr>
                    <w:rFonts w:hint="eastAsia"/>
                    <w:szCs w:val="21"/>
                  </w:rPr>
                  <w:t>账龄</w:t>
                </w:r>
              </w:p>
            </w:tc>
          </w:sdtContent>
        </w:sdt>
        <w:sdt>
          <w:sdtPr>
            <w:tag w:val="_PLD_2d5ad2d6c2a74f6eba0c1faba1555f1b"/>
            <w:id w:val="75016677"/>
          </w:sdtPr>
          <w:sdtContent>
            <w:tc>
              <w:tcPr>
                <w:tcW w:w="804" w:type="pct"/>
                <w:vAlign w:val="center"/>
              </w:tcPr>
              <w:p w14:paraId="02E85A0E">
                <w:pPr>
                  <w:autoSpaceDE w:val="0"/>
                  <w:autoSpaceDN w:val="0"/>
                  <w:adjustRightInd w:val="0"/>
                  <w:snapToGrid w:val="0"/>
                  <w:spacing w:line="240" w:lineRule="atLeast"/>
                  <w:jc w:val="center"/>
                  <w:rPr>
                    <w:rFonts w:hint="eastAsia"/>
                    <w:szCs w:val="21"/>
                  </w:rPr>
                </w:pPr>
                <w:r>
                  <w:rPr>
                    <w:rFonts w:hint="eastAsia"/>
                    <w:szCs w:val="21"/>
                  </w:rPr>
                  <w:t>未收回的原因</w:t>
                </w:r>
              </w:p>
            </w:tc>
          </w:sdtContent>
        </w:sdt>
        <w:sdt>
          <w:sdtPr>
            <w:tag w:val="_PLD_c10c41b00b924e3bacb0fea3fee53ff9"/>
            <w:id w:val="274064859"/>
          </w:sdtPr>
          <w:sdtContent>
            <w:tc>
              <w:tcPr>
                <w:tcW w:w="985" w:type="pct"/>
                <w:vAlign w:val="center"/>
              </w:tcPr>
              <w:p w14:paraId="26D37293">
                <w:pPr>
                  <w:autoSpaceDE w:val="0"/>
                  <w:autoSpaceDN w:val="0"/>
                  <w:adjustRightInd w:val="0"/>
                  <w:snapToGrid w:val="0"/>
                  <w:spacing w:line="240" w:lineRule="atLeast"/>
                  <w:jc w:val="center"/>
                  <w:rPr>
                    <w:rFonts w:hint="eastAsia"/>
                    <w:szCs w:val="21"/>
                  </w:rPr>
                </w:pPr>
                <w:r>
                  <w:rPr>
                    <w:rFonts w:hint="eastAsia"/>
                    <w:szCs w:val="21"/>
                  </w:rPr>
                  <w:t>是否发生减值及其判断依据</w:t>
                </w:r>
              </w:p>
            </w:tc>
          </w:sdtContent>
        </w:sdt>
      </w:tr>
      <w:tr w14:paraId="0E2E2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1362" w:type="pct"/>
            <w:vAlign w:val="center"/>
          </w:tcPr>
          <w:p w14:paraId="47C1246F">
            <w:pPr>
              <w:jc w:val="center"/>
              <w:rPr>
                <w:rFonts w:hint="eastAsia"/>
                <w:szCs w:val="21"/>
              </w:rPr>
            </w:pPr>
            <w:r>
              <w:t>新兴际华投资有限公司</w:t>
            </w:r>
          </w:p>
        </w:tc>
        <w:tc>
          <w:tcPr>
            <w:tcW w:w="884" w:type="pct"/>
            <w:tcBorders>
              <w:right w:val="single" w:color="auto" w:sz="4" w:space="0"/>
            </w:tcBorders>
            <w:vAlign w:val="center"/>
          </w:tcPr>
          <w:p w14:paraId="579F8C44">
            <w:pPr>
              <w:autoSpaceDE w:val="0"/>
              <w:autoSpaceDN w:val="0"/>
              <w:adjustRightInd w:val="0"/>
              <w:snapToGrid w:val="0"/>
              <w:spacing w:line="240" w:lineRule="atLeast"/>
              <w:jc w:val="right"/>
              <w:rPr>
                <w:rFonts w:hint="eastAsia"/>
                <w:szCs w:val="21"/>
              </w:rPr>
            </w:pPr>
            <w:r>
              <w:rPr>
                <w:rFonts w:ascii="Arial Narrow" w:hAnsi="Arial Narrow" w:eastAsiaTheme="minorEastAsia"/>
                <w:color w:val="000000"/>
                <w:szCs w:val="21"/>
              </w:rPr>
              <w:t>44,854,927.40</w:t>
            </w:r>
          </w:p>
        </w:tc>
        <w:tc>
          <w:tcPr>
            <w:tcW w:w="965" w:type="pct"/>
            <w:tcBorders>
              <w:left w:val="single" w:color="auto" w:sz="4" w:space="0"/>
            </w:tcBorders>
            <w:vAlign w:val="center"/>
          </w:tcPr>
          <w:p w14:paraId="1ED4F3A8">
            <w:pPr>
              <w:autoSpaceDE w:val="0"/>
              <w:autoSpaceDN w:val="0"/>
              <w:adjustRightInd w:val="0"/>
              <w:snapToGrid w:val="0"/>
              <w:spacing w:line="240" w:lineRule="atLeast"/>
              <w:ind w:right="105" w:rightChars="50"/>
              <w:jc w:val="center"/>
              <w:rPr>
                <w:rFonts w:ascii="Arial Narrow" w:hAnsi="Arial Narrow" w:eastAsia="等线"/>
                <w:color w:val="000000"/>
                <w:szCs w:val="21"/>
              </w:rPr>
            </w:pPr>
            <w:r>
              <w:rPr>
                <w:rFonts w:ascii="Arial Narrow" w:hAnsi="Arial Narrow" w:eastAsiaTheme="minorEastAsia"/>
                <w:color w:val="000000"/>
                <w:szCs w:val="21"/>
              </w:rPr>
              <w:t>2-3年</w:t>
            </w:r>
          </w:p>
        </w:tc>
        <w:tc>
          <w:tcPr>
            <w:tcW w:w="804" w:type="pct"/>
            <w:vAlign w:val="center"/>
          </w:tcPr>
          <w:p w14:paraId="6A943D89">
            <w:pPr>
              <w:autoSpaceDE w:val="0"/>
              <w:autoSpaceDN w:val="0"/>
              <w:adjustRightInd w:val="0"/>
              <w:snapToGrid w:val="0"/>
              <w:spacing w:line="240" w:lineRule="atLeast"/>
              <w:jc w:val="center"/>
              <w:rPr>
                <w:rFonts w:hint="eastAsia"/>
                <w:szCs w:val="21"/>
              </w:rPr>
            </w:pPr>
            <w:r>
              <w:rPr>
                <w:rFonts w:ascii="Arial Narrow" w:hAnsi="Arial Narrow" w:eastAsia="等线"/>
                <w:color w:val="000000"/>
                <w:szCs w:val="21"/>
              </w:rPr>
              <w:t>尚未发放</w:t>
            </w:r>
          </w:p>
        </w:tc>
        <w:tc>
          <w:tcPr>
            <w:tcW w:w="985" w:type="pct"/>
            <w:vAlign w:val="center"/>
          </w:tcPr>
          <w:p w14:paraId="540991E0">
            <w:pPr>
              <w:autoSpaceDE w:val="0"/>
              <w:autoSpaceDN w:val="0"/>
              <w:adjustRightInd w:val="0"/>
              <w:snapToGrid w:val="0"/>
              <w:spacing w:line="240" w:lineRule="atLeast"/>
              <w:jc w:val="center"/>
              <w:rPr>
                <w:rFonts w:hint="eastAsia"/>
                <w:szCs w:val="21"/>
              </w:rPr>
            </w:pPr>
            <w:r>
              <w:rPr>
                <w:rFonts w:ascii="Arial Narrow" w:hAnsi="Arial Narrow" w:eastAsia="等线"/>
                <w:color w:val="000000"/>
                <w:szCs w:val="21"/>
              </w:rPr>
              <w:t>否</w:t>
            </w:r>
          </w:p>
        </w:tc>
      </w:tr>
      <w:tr w14:paraId="64DCA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1362" w:type="pct"/>
          </w:tcPr>
          <w:p w14:paraId="247362AB">
            <w:pPr>
              <w:autoSpaceDE w:val="0"/>
              <w:autoSpaceDN w:val="0"/>
              <w:adjustRightInd w:val="0"/>
              <w:snapToGrid w:val="0"/>
              <w:spacing w:line="240" w:lineRule="atLeast"/>
              <w:jc w:val="center"/>
              <w:rPr>
                <w:rFonts w:hint="eastAsia"/>
                <w:szCs w:val="21"/>
              </w:rPr>
            </w:pPr>
            <w:r>
              <w:rPr>
                <w:rFonts w:hint="eastAsia"/>
                <w:szCs w:val="21"/>
              </w:rPr>
              <w:t>合计</w:t>
            </w:r>
          </w:p>
        </w:tc>
        <w:tc>
          <w:tcPr>
            <w:tcW w:w="884" w:type="pct"/>
            <w:tcBorders>
              <w:right w:val="single" w:color="auto" w:sz="4" w:space="0"/>
            </w:tcBorders>
            <w:vAlign w:val="center"/>
          </w:tcPr>
          <w:p w14:paraId="799CF0E4">
            <w:pPr>
              <w:jc w:val="right"/>
              <w:rPr>
                <w:rFonts w:hint="eastAsia"/>
                <w:szCs w:val="21"/>
              </w:rPr>
            </w:pPr>
            <w:r>
              <w:rPr>
                <w:rFonts w:hint="eastAsia" w:ascii="Arial Narrow" w:hAnsi="Arial Narrow" w:eastAsia="等线"/>
                <w:color w:val="000000"/>
                <w:szCs w:val="21"/>
              </w:rPr>
              <w:t>44,854,927.40</w:t>
            </w:r>
            <w:r>
              <w:rPr>
                <w:rFonts w:ascii="Arial Narrow" w:hAnsi="Arial Narrow" w:eastAsia="等线"/>
                <w:color w:val="000000"/>
                <w:szCs w:val="21"/>
              </w:rPr>
              <w:t xml:space="preserve"> </w:t>
            </w:r>
          </w:p>
        </w:tc>
        <w:tc>
          <w:tcPr>
            <w:tcW w:w="965" w:type="pct"/>
            <w:tcBorders>
              <w:left w:val="single" w:color="auto" w:sz="4" w:space="0"/>
            </w:tcBorders>
          </w:tcPr>
          <w:p w14:paraId="14D25291">
            <w:pPr>
              <w:jc w:val="center"/>
              <w:rPr>
                <w:rFonts w:hint="eastAsia"/>
                <w:color w:val="008000"/>
                <w:szCs w:val="21"/>
              </w:rPr>
            </w:pPr>
            <w:r>
              <w:rPr>
                <w:rFonts w:hint="eastAsia"/>
                <w:szCs w:val="21"/>
              </w:rPr>
              <w:t>/</w:t>
            </w:r>
          </w:p>
        </w:tc>
        <w:tc>
          <w:tcPr>
            <w:tcW w:w="804" w:type="pct"/>
          </w:tcPr>
          <w:p w14:paraId="63B64257">
            <w:pPr>
              <w:jc w:val="center"/>
              <w:rPr>
                <w:rFonts w:hint="eastAsia"/>
                <w:szCs w:val="21"/>
              </w:rPr>
            </w:pPr>
            <w:r>
              <w:rPr>
                <w:rFonts w:hint="eastAsia"/>
                <w:szCs w:val="21"/>
              </w:rPr>
              <w:t>/</w:t>
            </w:r>
          </w:p>
        </w:tc>
        <w:tc>
          <w:tcPr>
            <w:tcW w:w="985" w:type="pct"/>
          </w:tcPr>
          <w:p w14:paraId="621BF040">
            <w:pPr>
              <w:jc w:val="center"/>
              <w:rPr>
                <w:rFonts w:hint="eastAsia"/>
                <w:szCs w:val="21"/>
              </w:rPr>
            </w:pPr>
            <w:r>
              <w:rPr>
                <w:rFonts w:hint="eastAsia"/>
                <w:szCs w:val="21"/>
              </w:rPr>
              <w:t>/</w:t>
            </w:r>
          </w:p>
        </w:tc>
      </w:tr>
    </w:tbl>
    <w:p w14:paraId="014A67F1">
      <w:pPr>
        <w:rPr>
          <w:rFonts w:hint="eastAsia"/>
        </w:rPr>
      </w:pPr>
    </w:p>
    <w:p w14:paraId="634CA880">
      <w:pPr>
        <w:pStyle w:val="72"/>
        <w:numPr>
          <w:ilvl w:val="0"/>
          <w:numId w:val="116"/>
        </w:numPr>
        <w:ind w:leftChars="0"/>
      </w:pPr>
      <w:r>
        <w:rPr>
          <w:rFonts w:hint="eastAsia"/>
        </w:rPr>
        <w:t>按坏账计提方法分类披露</w:t>
      </w:r>
    </w:p>
    <w:sdt>
      <w:sdtPr>
        <w:alias w:val="是否适用：按坏账计提方法分类披露[双击切换]"/>
        <w:tag w:val="_GBC_ad0add93fbe54bc5984d3fdcd19c4070"/>
        <w:id w:val="2111306436"/>
        <w:placeholder>
          <w:docPart w:val="GBC22222222222222222222222222222"/>
        </w:placeholder>
      </w:sdtPr>
      <w:sdtContent>
        <w:p w14:paraId="2B265D8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C3A4512">
      <w:pPr>
        <w:rPr>
          <w:rFonts w:hint="eastAsia"/>
        </w:rPr>
      </w:pPr>
    </w:p>
    <w:p w14:paraId="79DF93BB">
      <w:pPr>
        <w:rPr>
          <w:rFonts w:hint="eastAsia"/>
        </w:rPr>
      </w:pPr>
      <w:r>
        <w:rPr>
          <w:rFonts w:hint="eastAsia"/>
        </w:rPr>
        <w:t>按单项计提坏账准备：</w:t>
      </w:r>
    </w:p>
    <w:sdt>
      <w:sdtPr>
        <w:alias w:val="是否适用：按单项计提坏账准备的详细情况[双击切换]"/>
        <w:tag w:val="_GBC_0715807534664009b6e06e12b5244cb0"/>
        <w:id w:val="-1919010328"/>
        <w:placeholder>
          <w:docPart w:val="GBC22222222222222222222222222222"/>
        </w:placeholder>
      </w:sdtPr>
      <w:sdtContent>
        <w:p w14:paraId="1CC50FB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0C624DB">
      <w:pPr>
        <w:rPr>
          <w:rFonts w:hint="eastAsia"/>
          <w:szCs w:val="21"/>
        </w:rPr>
      </w:pPr>
    </w:p>
    <w:p w14:paraId="6835A35A">
      <w:pPr>
        <w:rPr>
          <w:rFonts w:hint="eastAsia"/>
          <w:szCs w:val="21"/>
        </w:rPr>
      </w:pPr>
      <w:r>
        <w:rPr>
          <w:rFonts w:hint="eastAsia"/>
          <w:szCs w:val="21"/>
        </w:rPr>
        <w:t>按单项计提坏账准备的说明：</w:t>
      </w:r>
    </w:p>
    <w:sdt>
      <w:sdtPr>
        <w:rPr>
          <w:szCs w:val="21"/>
        </w:rPr>
        <w:alias w:val="是否适用：按单项计提坏账准备的说明[双击切换]"/>
        <w:tag w:val="_GBC_22fd3e53fab548e0b8db7ad77d176da5"/>
        <w:id w:val="-971674445"/>
        <w:placeholder>
          <w:docPart w:val="GBC22222222222222222222222222222"/>
        </w:placeholder>
      </w:sdtPr>
      <w:sdtEndPr>
        <w:rPr>
          <w:szCs w:val="21"/>
        </w:rPr>
      </w:sdtEndPr>
      <w:sdtContent>
        <w:p w14:paraId="692C016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83F9713">
      <w:pPr>
        <w:rPr>
          <w:rFonts w:hint="eastAsia"/>
          <w:szCs w:val="21"/>
        </w:rPr>
      </w:pPr>
    </w:p>
    <w:p w14:paraId="1A93A3FF">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按组合计提坏账准备的详细情况[双击切换]"/>
        <w:tag w:val="_GBC_3fb2695da2d2471f82cd62f8736c521e"/>
        <w:id w:val="1895773533"/>
        <w:placeholder>
          <w:docPart w:val="GBC22222222222222222222222222222"/>
        </w:placeholder>
      </w:sdtPr>
      <w:sdtEndPr>
        <w:rPr>
          <w:rFonts w:ascii="Calibri" w:hAnsi="Calibri" w:cs="Times New Roman"/>
          <w:bCs/>
          <w:szCs w:val="22"/>
        </w:rPr>
      </w:sdtEndPr>
      <w:sdtContent>
        <w:p w14:paraId="2D073D49">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17EB25F3">
      <w:pPr>
        <w:rPr>
          <w:rFonts w:hint="eastAsia"/>
          <w:szCs w:val="21"/>
        </w:rPr>
      </w:pPr>
    </w:p>
    <w:p w14:paraId="331B95B9">
      <w:pPr>
        <w:rPr>
          <w:rFonts w:ascii="Calibri" w:hAnsi="Calibri" w:cs="Times New Roman"/>
          <w:b/>
          <w:bCs/>
          <w:szCs w:val="22"/>
        </w:rPr>
      </w:pPr>
    </w:p>
    <w:bookmarkEnd w:id="274"/>
    <w:p w14:paraId="444BA7C2">
      <w:pPr>
        <w:pStyle w:val="72"/>
        <w:numPr>
          <w:ilvl w:val="0"/>
          <w:numId w:val="116"/>
        </w:numPr>
        <w:ind w:leftChars="0"/>
      </w:pPr>
      <w:bookmarkStart w:id="275" w:name="_Hlk533421146"/>
      <w:r>
        <w:rPr>
          <w:rFonts w:hint="eastAsia"/>
        </w:rPr>
        <w:t xml:space="preserve">按预期信用损失一般模型计提坏账准备 </w:t>
      </w:r>
    </w:p>
    <w:sdt>
      <w:sdtPr>
        <w:alias w:val="是否适用：应收股利坏账准备调节表[双击切换]"/>
        <w:tag w:val="_GBC_847cf15503744e02b8ac7395c17d2da6"/>
        <w:id w:val="-1963642185"/>
        <w:placeholder>
          <w:docPart w:val="GBC22222222222222222222222222222"/>
        </w:placeholder>
      </w:sdtPr>
      <w:sdtContent>
        <w:p w14:paraId="6D37BE8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26FF8BC">
      <w:pPr>
        <w:rPr>
          <w:rFonts w:hint="eastAsia"/>
          <w:szCs w:val="21"/>
        </w:rPr>
      </w:pPr>
    </w:p>
    <w:p w14:paraId="0E94214D">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应收股利各阶段划分依据和坏账准备计提比例"/>
        <w:tag w:val="_GBC_0e68af3552e84111bee1ae1542bcf907"/>
        <w:id w:val="-198009815"/>
        <w:placeholder>
          <w:docPart w:val="GBC22222222222222222222222222222"/>
        </w:placeholder>
      </w:sdtPr>
      <w:sdtEndPr>
        <w:rPr>
          <w:rFonts w:cs="Times New Roman"/>
          <w:bCs/>
          <w:szCs w:val="22"/>
        </w:rPr>
      </w:sdtEndPr>
      <w:sdtContent>
        <w:p w14:paraId="63CE308E">
          <w:pPr>
            <w:rPr>
              <w:rFonts w:hint="eastAsia" w:cs="Times New Roman"/>
              <w:bCs/>
              <w:szCs w:val="22"/>
            </w:rPr>
          </w:pPr>
          <w:r>
            <w:rPr>
              <w:rFonts w:hint="eastAsia" w:cs="Times New Roman"/>
              <w:bCs/>
              <w:szCs w:val="22"/>
            </w:rPr>
            <w:t>无</w:t>
          </w:r>
        </w:p>
      </w:sdtContent>
    </w:sdt>
    <w:p w14:paraId="7829B084">
      <w:pPr>
        <w:autoSpaceDE w:val="0"/>
        <w:autoSpaceDN w:val="0"/>
        <w:adjustRightInd w:val="0"/>
        <w:ind w:right="105" w:rightChars="50"/>
        <w:rPr>
          <w:rFonts w:hint="eastAsia"/>
          <w:szCs w:val="21"/>
        </w:rPr>
      </w:pPr>
    </w:p>
    <w:p w14:paraId="7265BE99">
      <w:pPr>
        <w:pStyle w:val="123"/>
      </w:pPr>
      <w:r>
        <w:rPr>
          <w:rFonts w:hint="eastAsia"/>
        </w:rPr>
        <w:t>对本期发生损失准备变动的应收股利账面余额显著变动的情况说明：</w:t>
      </w:r>
    </w:p>
    <w:sdt>
      <w:sdtPr>
        <w:rPr>
          <w:szCs w:val="21"/>
        </w:rPr>
        <w:alias w:val="是否适用：应收股利本期发生损失准备变动且账面余额显著变动的情况说明[双击切换]"/>
        <w:tag w:val="_GBC_f431acf85fd94f1eb2cd4d70b0f69b2c"/>
        <w:id w:val="1148707645"/>
        <w:placeholder>
          <w:docPart w:val="GBC22222222222222222222222222222"/>
        </w:placeholder>
      </w:sdtPr>
      <w:sdtEndPr>
        <w:rPr>
          <w:szCs w:val="21"/>
        </w:rPr>
      </w:sdtEndPr>
      <w:sdtContent>
        <w:p w14:paraId="7A2A1ED2">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CED4F95">
      <w:pPr>
        <w:autoSpaceDE w:val="0"/>
        <w:autoSpaceDN w:val="0"/>
        <w:adjustRightInd w:val="0"/>
        <w:ind w:right="105" w:rightChars="50"/>
        <w:rPr>
          <w:rFonts w:hint="eastAsia"/>
          <w:szCs w:val="21"/>
        </w:rPr>
      </w:pPr>
    </w:p>
    <w:bookmarkEnd w:id="275"/>
    <w:p w14:paraId="7712D32E">
      <w:pPr>
        <w:pStyle w:val="72"/>
        <w:numPr>
          <w:ilvl w:val="0"/>
          <w:numId w:val="116"/>
        </w:numPr>
        <w:ind w:leftChars="0"/>
      </w:pPr>
      <w:bookmarkStart w:id="276" w:name="_Hlk153377452"/>
      <w:r>
        <w:rPr>
          <w:rFonts w:hint="eastAsia"/>
        </w:rPr>
        <w:t>坏账准备的情况</w:t>
      </w:r>
    </w:p>
    <w:sdt>
      <w:sdtPr>
        <w:alias w:val="是否适用：坏账准备情况[双击切换]"/>
        <w:tag w:val="_GBC_3425c1c233b1473ca1aaf53c81088091"/>
        <w:id w:val="83348618"/>
        <w:placeholder>
          <w:docPart w:val="GBC22222222222222222222222222222"/>
        </w:placeholder>
      </w:sdtPr>
      <w:sdtContent>
        <w:p w14:paraId="0FE1C7E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9879C8F">
      <w:pPr>
        <w:rPr>
          <w:rFonts w:hint="eastAsia"/>
        </w:rPr>
      </w:pPr>
    </w:p>
    <w:p w14:paraId="63BE5283">
      <w:pPr>
        <w:rPr>
          <w:rFonts w:hint="eastAsia"/>
        </w:rPr>
      </w:pPr>
      <w:r>
        <w:rPr>
          <w:rFonts w:hint="eastAsia"/>
        </w:rPr>
        <w:t>其中本期坏账准备收回或转回金额重要的：</w:t>
      </w:r>
    </w:p>
    <w:sdt>
      <w:sdtPr>
        <w:alias w:val="是否适用：本期坏账准备收回或转回金额重要的[双击切换]"/>
        <w:tag w:val="_GBC_d8ca1b67740e4a2e8d7777b8dee9c902"/>
        <w:id w:val="693037881"/>
        <w:placeholder>
          <w:docPart w:val="GBC22222222222222222222222222222"/>
        </w:placeholder>
      </w:sdtPr>
      <w:sdtContent>
        <w:p w14:paraId="1DFC6E7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A18C950">
      <w:pPr>
        <w:rPr>
          <w:rFonts w:hint="eastAsia"/>
        </w:rPr>
      </w:pPr>
    </w:p>
    <w:p w14:paraId="650DC486">
      <w:pPr>
        <w:rPr>
          <w:rFonts w:hint="eastAsia"/>
        </w:rPr>
      </w:pPr>
      <w:r>
        <w:rPr>
          <w:rFonts w:hint="eastAsia"/>
        </w:rPr>
        <w:t>其他说明：</w:t>
      </w:r>
    </w:p>
    <w:sdt>
      <w:sdtPr>
        <w:alias w:val="坏账准备情况的说明"/>
        <w:tag w:val="_GBC_104cb6ff4d2044ffaa8bbdd64dd76905"/>
        <w:id w:val="1570155110"/>
        <w:placeholder>
          <w:docPart w:val="GBC22222222222222222222222222222"/>
        </w:placeholder>
      </w:sdtPr>
      <w:sdtContent>
        <w:p w14:paraId="5C392CB5">
          <w:pPr>
            <w:ind w:right="42" w:rightChars="20"/>
            <w:rPr>
              <w:rFonts w:hint="eastAsia"/>
            </w:rPr>
          </w:pPr>
          <w:r>
            <w:rPr>
              <w:rFonts w:hint="eastAsia"/>
            </w:rPr>
            <w:t>无</w:t>
          </w:r>
        </w:p>
      </w:sdtContent>
    </w:sdt>
    <w:p w14:paraId="18750867">
      <w:pPr>
        <w:ind w:right="-1594" w:rightChars="-759"/>
        <w:rPr>
          <w:rFonts w:hint="eastAsia"/>
        </w:rPr>
      </w:pPr>
    </w:p>
    <w:p w14:paraId="5CD0196E">
      <w:pPr>
        <w:pStyle w:val="72"/>
        <w:numPr>
          <w:ilvl w:val="0"/>
          <w:numId w:val="116"/>
        </w:numPr>
        <w:ind w:leftChars="0"/>
      </w:pPr>
      <w:r>
        <w:rPr>
          <w:rFonts w:hint="eastAsia"/>
        </w:rPr>
        <w:t>本期实际核销的应收股利情况</w:t>
      </w:r>
    </w:p>
    <w:sdt>
      <w:sdtPr>
        <w:alias w:val="是否适用：实际核销的情况[双击切换]"/>
        <w:tag w:val="_GBC_affd5e7be1cd4edaac5e7416308656eb"/>
        <w:id w:val="1681769424"/>
        <w:placeholder>
          <w:docPart w:val="GBC22222222222222222222222222222"/>
        </w:placeholder>
      </w:sdtPr>
      <w:sdtContent>
        <w:p w14:paraId="5266826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1B06B4D">
      <w:pPr>
        <w:rPr>
          <w:rFonts w:hint="eastAsia"/>
          <w:szCs w:val="21"/>
        </w:rPr>
      </w:pPr>
    </w:p>
    <w:p w14:paraId="41A66577">
      <w:pPr>
        <w:rPr>
          <w:rFonts w:hint="eastAsia"/>
          <w:szCs w:val="21"/>
        </w:rPr>
      </w:pPr>
      <w:r>
        <w:rPr>
          <w:rFonts w:hint="eastAsia"/>
          <w:szCs w:val="21"/>
        </w:rPr>
        <w:t>其中重要的应收股利核销情况</w:t>
      </w:r>
    </w:p>
    <w:sdt>
      <w:sdtPr>
        <w:rPr>
          <w:rFonts w:hint="eastAsia"/>
          <w:szCs w:val="21"/>
        </w:rPr>
        <w:alias w:val="是否适用：重要的核销情况[双击切换]"/>
        <w:tag w:val="_GBC_a09dafd42ae74d3fae2308963d62171e"/>
        <w:id w:val="1492674993"/>
        <w:placeholder>
          <w:docPart w:val="GBC22222222222222222222222222222"/>
        </w:placeholder>
      </w:sdtPr>
      <w:sdtEndPr>
        <w:rPr>
          <w:rFonts w:hint="eastAsia"/>
          <w:szCs w:val="21"/>
        </w:rPr>
      </w:sdtEndPr>
      <w:sdtContent>
        <w:p w14:paraId="1254D96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5EE46DC">
      <w:pPr>
        <w:rPr>
          <w:rFonts w:hint="eastAsia"/>
          <w:szCs w:val="21"/>
        </w:rPr>
      </w:pPr>
    </w:p>
    <w:p w14:paraId="5C25C665">
      <w:pPr>
        <w:snapToGrid w:val="0"/>
        <w:spacing w:line="240" w:lineRule="atLeast"/>
        <w:rPr>
          <w:rFonts w:hint="eastAsia"/>
          <w:szCs w:val="21"/>
        </w:rPr>
      </w:pPr>
      <w:r>
        <w:rPr>
          <w:rFonts w:hint="eastAsia"/>
          <w:szCs w:val="21"/>
        </w:rPr>
        <w:t>核销说明：</w:t>
      </w:r>
    </w:p>
    <w:sdt>
      <w:sdtPr>
        <w:rPr>
          <w:szCs w:val="21"/>
        </w:rPr>
        <w:alias w:val="是否适用：核销说明[双击切换]"/>
        <w:tag w:val="_GBC_fd7a575bc84240be8d95e73a6c70d53d"/>
        <w:id w:val="-58244832"/>
        <w:placeholder>
          <w:docPart w:val="GBC22222222222222222222222222222"/>
        </w:placeholder>
      </w:sdtPr>
      <w:sdtEndPr>
        <w:rPr>
          <w:szCs w:val="21"/>
        </w:rPr>
      </w:sdtEndPr>
      <w:sdtContent>
        <w:p w14:paraId="14C63B58">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3DF69E6">
      <w:pPr>
        <w:rPr>
          <w:rFonts w:hint="eastAsia"/>
        </w:rPr>
      </w:pPr>
    </w:p>
    <w:bookmarkEnd w:id="276"/>
    <w:p w14:paraId="7CEE689A">
      <w:pPr>
        <w:rPr>
          <w:rFonts w:hint="eastAsia"/>
          <w:szCs w:val="21"/>
        </w:rPr>
      </w:pPr>
      <w:r>
        <w:rPr>
          <w:rFonts w:hint="eastAsia"/>
          <w:szCs w:val="21"/>
        </w:rPr>
        <w:t>其他说明：</w:t>
      </w:r>
    </w:p>
    <w:p w14:paraId="0636F772">
      <w:pPr>
        <w:rPr>
          <w:rFonts w:hint="eastAsia"/>
          <w:szCs w:val="21"/>
        </w:rPr>
      </w:pPr>
      <w:sdt>
        <w:sdtPr>
          <w:rPr>
            <w:szCs w:val="21"/>
          </w:rPr>
          <w:alias w:val="是否适用：应收股利的说明[双击切换]"/>
          <w:tag w:val="_GBC_22314d2cdf794d5f90af92f13665da22"/>
          <w:id w:val="-1242173768"/>
          <w:placeholder>
            <w:docPart w:val="GBC22222222222222222222222222222"/>
          </w:placeholder>
        </w:sdtPr>
        <w:sdtEndPr>
          <w:rPr>
            <w:szCs w:val="21"/>
          </w:rPr>
        </w:sdtEndPr>
        <w:sdtContent>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p w14:paraId="05BF8E02">
      <w:pPr>
        <w:snapToGrid w:val="0"/>
        <w:spacing w:line="240" w:lineRule="atLeast"/>
        <w:ind w:right="25" w:rightChars="12"/>
        <w:rPr>
          <w:rFonts w:hint="eastAsia"/>
          <w:color w:val="FF0000"/>
          <w:szCs w:val="21"/>
        </w:rPr>
      </w:pPr>
    </w:p>
    <w:p w14:paraId="20B7A20B">
      <w:pPr>
        <w:pStyle w:val="71"/>
        <w:ind w:left="360" w:hanging="360"/>
        <w:rPr>
          <w:rFonts w:hint="eastAsia"/>
        </w:rPr>
      </w:pPr>
      <w:r>
        <w:rPr>
          <w:rFonts w:hint="eastAsia"/>
        </w:rPr>
        <w:t>其他应收款</w:t>
      </w:r>
    </w:p>
    <w:p w14:paraId="3FD04621">
      <w:pPr>
        <w:pStyle w:val="72"/>
        <w:numPr>
          <w:ilvl w:val="0"/>
          <w:numId w:val="117"/>
        </w:numPr>
        <w:ind w:leftChars="0"/>
      </w:pPr>
      <w:bookmarkStart w:id="277" w:name="_Hlk533421204"/>
      <w:r>
        <w:rPr>
          <w:rFonts w:hint="eastAsia"/>
        </w:rPr>
        <w:t>按账龄披露</w:t>
      </w:r>
      <w:bookmarkEnd w:id="277"/>
    </w:p>
    <w:sdt>
      <w:sdtPr>
        <w:rPr>
          <w:rFonts w:hint="eastAsia"/>
          <w:szCs w:val="21"/>
        </w:rPr>
        <w:alias w:val="是否适用：组合中，按账龄分析法计提坏账准备的其他应收账款[双击切换]"/>
        <w:tag w:val="_GBC_b46a4e720a884c40b402c5b30a4f4432"/>
        <w:id w:val="-2064716531"/>
        <w:placeholder>
          <w:docPart w:val="GBC22222222222222222222222222222"/>
        </w:placeholder>
      </w:sdtPr>
      <w:sdtEndPr>
        <w:rPr>
          <w:rFonts w:hint="eastAsia"/>
          <w:szCs w:val="21"/>
        </w:rPr>
      </w:sdtEndPr>
      <w:sdtContent>
        <w:p w14:paraId="341F3A6E">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D114AA8">
      <w:pPr>
        <w:jc w:val="right"/>
        <w:rPr>
          <w:rFonts w:hint="eastAsia"/>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ca37718de0645da8a1de40ee1bb1597"/>
          <w:id w:val="-21014123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eccd3e1ac8d04ff882b9e0189e7dd629"/>
          <w:id w:val="-433131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93"/>
        <w:gridCol w:w="2915"/>
        <w:gridCol w:w="2915"/>
      </w:tblGrid>
      <w:tr w14:paraId="7206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693c274d2774e098d4e6f0b6ce787c4"/>
            <w:id w:val="829183821"/>
          </w:sdtPr>
          <w:sdtContent>
            <w:tc>
              <w:tcPr>
                <w:tcW w:w="1696" w:type="pct"/>
                <w:tcBorders>
                  <w:top w:val="single" w:color="auto" w:sz="4" w:space="0"/>
                  <w:left w:val="single" w:color="auto" w:sz="4" w:space="0"/>
                  <w:bottom w:val="single" w:color="auto" w:sz="4" w:space="0"/>
                  <w:right w:val="single" w:color="auto" w:sz="4" w:space="0"/>
                </w:tcBorders>
                <w:vAlign w:val="center"/>
              </w:tcPr>
              <w:p w14:paraId="0B69C775">
                <w:pPr>
                  <w:jc w:val="center"/>
                  <w:rPr>
                    <w:rFonts w:hint="eastAsia"/>
                    <w:szCs w:val="21"/>
                  </w:rPr>
                </w:pPr>
                <w:r>
                  <w:rPr>
                    <w:rFonts w:hint="eastAsia"/>
                    <w:szCs w:val="21"/>
                  </w:rPr>
                  <w:t>账龄</w:t>
                </w:r>
              </w:p>
            </w:tc>
          </w:sdtContent>
        </w:sdt>
        <w:sdt>
          <w:sdtPr>
            <w:tag w:val="_PLD_592d3cc76c64401da21e664b374ad045"/>
            <w:id w:val="1787996626"/>
          </w:sdtPr>
          <w:sdtContent>
            <w:tc>
              <w:tcPr>
                <w:tcW w:w="1652" w:type="pct"/>
                <w:tcBorders>
                  <w:top w:val="single" w:color="auto" w:sz="4" w:space="0"/>
                  <w:left w:val="single" w:color="auto" w:sz="4" w:space="0"/>
                  <w:bottom w:val="single" w:color="auto" w:sz="4" w:space="0"/>
                  <w:right w:val="single" w:color="auto" w:sz="4" w:space="0"/>
                </w:tcBorders>
                <w:vAlign w:val="center"/>
              </w:tcPr>
              <w:p w14:paraId="74157E5C">
                <w:pPr>
                  <w:jc w:val="center"/>
                  <w:rPr>
                    <w:rFonts w:hint="eastAsia"/>
                    <w:szCs w:val="21"/>
                  </w:rPr>
                </w:pPr>
                <w:r>
                  <w:rPr>
                    <w:rFonts w:hint="eastAsia"/>
                    <w:szCs w:val="21"/>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tag w:val="_PLD_9bcf94b318874d63924c35d852b5b3c8"/>
              <w:id w:val="777059557"/>
            </w:sdtPr>
            <w:sdtContent>
              <w:p w14:paraId="779D8BBA">
                <w:pPr>
                  <w:jc w:val="center"/>
                  <w:rPr>
                    <w:rFonts w:hint="eastAsia"/>
                  </w:rPr>
                </w:pPr>
                <w:r>
                  <w:rPr>
                    <w:rFonts w:hint="eastAsia"/>
                  </w:rPr>
                  <w:t>期初账面余额</w:t>
                </w:r>
              </w:p>
            </w:sdtContent>
          </w:sdt>
        </w:tc>
      </w:tr>
      <w:tr w14:paraId="4E40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2E871E7F">
            <w:pPr>
              <w:rPr>
                <w:rFonts w:hint="eastAsia"/>
                <w:szCs w:val="21"/>
              </w:rPr>
            </w:pPr>
            <w:r>
              <w:rPr>
                <w:rFonts w:hint="eastAsia"/>
                <w:szCs w:val="21"/>
              </w:rPr>
              <w:t>1年以内</w:t>
            </w:r>
          </w:p>
        </w:tc>
        <w:tc>
          <w:tcPr>
            <w:tcW w:w="1652" w:type="pct"/>
            <w:tcBorders>
              <w:top w:val="single" w:color="auto" w:sz="4" w:space="0"/>
              <w:left w:val="single" w:color="auto" w:sz="4" w:space="0"/>
              <w:bottom w:val="single" w:color="auto" w:sz="4" w:space="0"/>
              <w:right w:val="single" w:color="auto" w:sz="4" w:space="0"/>
            </w:tcBorders>
            <w:vAlign w:val="center"/>
          </w:tcPr>
          <w:p w14:paraId="10A9A92F">
            <w:pPr>
              <w:jc w:val="right"/>
              <w:rPr>
                <w:rFonts w:hint="eastAsia"/>
                <w:szCs w:val="21"/>
              </w:rPr>
            </w:pPr>
            <w:r>
              <w:rPr>
                <w:rFonts w:ascii="Arial Narrow" w:hAnsi="Arial Narrow" w:eastAsia="等线"/>
                <w:color w:val="000000"/>
                <w:szCs w:val="21"/>
              </w:rPr>
              <w:t xml:space="preserve">211,009,198.67 </w:t>
            </w:r>
          </w:p>
        </w:tc>
        <w:tc>
          <w:tcPr>
            <w:tcW w:w="1652" w:type="pct"/>
            <w:tcBorders>
              <w:top w:val="single" w:color="auto" w:sz="4" w:space="0"/>
              <w:left w:val="single" w:color="auto" w:sz="4" w:space="0"/>
              <w:bottom w:val="single" w:color="auto" w:sz="4" w:space="0"/>
              <w:right w:val="single" w:color="auto" w:sz="4" w:space="0"/>
            </w:tcBorders>
            <w:vAlign w:val="center"/>
          </w:tcPr>
          <w:p w14:paraId="57CC28A5">
            <w:pPr>
              <w:jc w:val="right"/>
              <w:rPr>
                <w:rFonts w:hint="eastAsia"/>
                <w:szCs w:val="21"/>
              </w:rPr>
            </w:pPr>
            <w:r>
              <w:rPr>
                <w:rFonts w:ascii="Arial Narrow" w:hAnsi="Arial Narrow" w:eastAsia="等线"/>
                <w:color w:val="000000"/>
                <w:szCs w:val="21"/>
              </w:rPr>
              <w:t xml:space="preserve">391,392,023.61 </w:t>
            </w:r>
          </w:p>
        </w:tc>
      </w:tr>
      <w:tr w14:paraId="4174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0D42B026">
            <w:pPr>
              <w:rPr>
                <w:rFonts w:hint="eastAsia"/>
                <w:szCs w:val="21"/>
              </w:rPr>
            </w:pPr>
            <w:r>
              <w:rPr>
                <w:rFonts w:hint="eastAsia"/>
                <w:szCs w:val="21"/>
              </w:rPr>
              <w:t>1年以内小计</w:t>
            </w:r>
          </w:p>
        </w:tc>
        <w:tc>
          <w:tcPr>
            <w:tcW w:w="1652" w:type="pct"/>
            <w:tcBorders>
              <w:top w:val="single" w:color="auto" w:sz="4" w:space="0"/>
              <w:left w:val="single" w:color="auto" w:sz="4" w:space="0"/>
              <w:bottom w:val="single" w:color="auto" w:sz="4" w:space="0"/>
              <w:right w:val="single" w:color="auto" w:sz="4" w:space="0"/>
            </w:tcBorders>
            <w:vAlign w:val="center"/>
          </w:tcPr>
          <w:p w14:paraId="526C6324">
            <w:pPr>
              <w:jc w:val="right"/>
              <w:rPr>
                <w:rFonts w:hint="eastAsia"/>
                <w:szCs w:val="21"/>
              </w:rPr>
            </w:pPr>
            <w:r>
              <w:rPr>
                <w:rFonts w:ascii="Arial Narrow" w:hAnsi="Arial Narrow" w:eastAsia="等线"/>
                <w:color w:val="000000"/>
                <w:szCs w:val="21"/>
              </w:rPr>
              <w:t xml:space="preserve">211,009,198.67 </w:t>
            </w:r>
          </w:p>
        </w:tc>
        <w:tc>
          <w:tcPr>
            <w:tcW w:w="1652" w:type="pct"/>
            <w:tcBorders>
              <w:top w:val="single" w:color="auto" w:sz="4" w:space="0"/>
              <w:left w:val="single" w:color="auto" w:sz="4" w:space="0"/>
              <w:bottom w:val="single" w:color="auto" w:sz="4" w:space="0"/>
              <w:right w:val="single" w:color="auto" w:sz="4" w:space="0"/>
            </w:tcBorders>
            <w:vAlign w:val="center"/>
          </w:tcPr>
          <w:p w14:paraId="232444E8">
            <w:pPr>
              <w:jc w:val="right"/>
              <w:rPr>
                <w:rFonts w:hint="eastAsia"/>
                <w:szCs w:val="21"/>
              </w:rPr>
            </w:pPr>
            <w:r>
              <w:rPr>
                <w:rFonts w:ascii="Arial Narrow" w:hAnsi="Arial Narrow" w:eastAsia="等线"/>
                <w:color w:val="000000"/>
                <w:szCs w:val="21"/>
              </w:rPr>
              <w:t xml:space="preserve">391,392,023.61 </w:t>
            </w:r>
          </w:p>
        </w:tc>
      </w:tr>
      <w:tr w14:paraId="5E18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21691B85">
            <w:pPr>
              <w:rPr>
                <w:rFonts w:hint="eastAsia"/>
                <w:szCs w:val="21"/>
              </w:rPr>
            </w:pPr>
            <w:r>
              <w:rPr>
                <w:rFonts w:hint="eastAsia"/>
                <w:szCs w:val="21"/>
              </w:rPr>
              <w:t>1至2年</w:t>
            </w:r>
          </w:p>
        </w:tc>
        <w:tc>
          <w:tcPr>
            <w:tcW w:w="1652" w:type="pct"/>
            <w:tcBorders>
              <w:top w:val="single" w:color="auto" w:sz="4" w:space="0"/>
              <w:left w:val="single" w:color="auto" w:sz="4" w:space="0"/>
              <w:bottom w:val="single" w:color="auto" w:sz="4" w:space="0"/>
              <w:right w:val="single" w:color="auto" w:sz="4" w:space="0"/>
            </w:tcBorders>
            <w:vAlign w:val="center"/>
          </w:tcPr>
          <w:p w14:paraId="585189BE">
            <w:pPr>
              <w:jc w:val="right"/>
              <w:rPr>
                <w:rFonts w:hint="eastAsia"/>
                <w:szCs w:val="21"/>
              </w:rPr>
            </w:pPr>
            <w:r>
              <w:rPr>
                <w:rFonts w:ascii="Arial Narrow" w:hAnsi="Arial Narrow" w:eastAsia="等线"/>
                <w:color w:val="000000"/>
                <w:szCs w:val="21"/>
              </w:rPr>
              <w:t xml:space="preserve">139,539,147.22 </w:t>
            </w:r>
          </w:p>
        </w:tc>
        <w:tc>
          <w:tcPr>
            <w:tcW w:w="1652" w:type="pct"/>
            <w:tcBorders>
              <w:top w:val="single" w:color="auto" w:sz="4" w:space="0"/>
              <w:left w:val="single" w:color="auto" w:sz="4" w:space="0"/>
              <w:bottom w:val="single" w:color="auto" w:sz="4" w:space="0"/>
              <w:right w:val="single" w:color="auto" w:sz="4" w:space="0"/>
            </w:tcBorders>
            <w:vAlign w:val="center"/>
          </w:tcPr>
          <w:p w14:paraId="4B1E225A">
            <w:pPr>
              <w:jc w:val="right"/>
              <w:rPr>
                <w:rFonts w:hint="eastAsia"/>
                <w:szCs w:val="21"/>
              </w:rPr>
            </w:pPr>
            <w:r>
              <w:rPr>
                <w:rFonts w:ascii="Arial Narrow" w:hAnsi="Arial Narrow" w:eastAsia="等线"/>
                <w:color w:val="000000"/>
                <w:szCs w:val="21"/>
              </w:rPr>
              <w:t xml:space="preserve">193,237,992.96 </w:t>
            </w:r>
          </w:p>
        </w:tc>
      </w:tr>
      <w:tr w14:paraId="6EE0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75785B15">
            <w:pPr>
              <w:rPr>
                <w:rFonts w:hint="eastAsia"/>
                <w:szCs w:val="21"/>
              </w:rPr>
            </w:pPr>
            <w:r>
              <w:rPr>
                <w:rFonts w:hint="eastAsia"/>
                <w:szCs w:val="21"/>
              </w:rPr>
              <w:t>2至3年</w:t>
            </w:r>
          </w:p>
        </w:tc>
        <w:tc>
          <w:tcPr>
            <w:tcW w:w="1652" w:type="pct"/>
            <w:tcBorders>
              <w:top w:val="single" w:color="auto" w:sz="4" w:space="0"/>
              <w:left w:val="single" w:color="auto" w:sz="4" w:space="0"/>
              <w:bottom w:val="single" w:color="auto" w:sz="4" w:space="0"/>
              <w:right w:val="single" w:color="auto" w:sz="4" w:space="0"/>
            </w:tcBorders>
            <w:vAlign w:val="center"/>
          </w:tcPr>
          <w:p w14:paraId="254B374E">
            <w:pPr>
              <w:jc w:val="right"/>
              <w:rPr>
                <w:rFonts w:hint="eastAsia"/>
                <w:szCs w:val="21"/>
              </w:rPr>
            </w:pPr>
            <w:r>
              <w:rPr>
                <w:rFonts w:ascii="Arial Narrow" w:hAnsi="Arial Narrow" w:eastAsia="等线"/>
                <w:color w:val="000000"/>
                <w:szCs w:val="21"/>
              </w:rPr>
              <w:t xml:space="preserve">161,707,101.44 </w:t>
            </w:r>
          </w:p>
        </w:tc>
        <w:tc>
          <w:tcPr>
            <w:tcW w:w="1652" w:type="pct"/>
            <w:tcBorders>
              <w:top w:val="single" w:color="auto" w:sz="4" w:space="0"/>
              <w:left w:val="single" w:color="auto" w:sz="4" w:space="0"/>
              <w:bottom w:val="single" w:color="auto" w:sz="4" w:space="0"/>
              <w:right w:val="single" w:color="auto" w:sz="4" w:space="0"/>
            </w:tcBorders>
            <w:vAlign w:val="center"/>
          </w:tcPr>
          <w:p w14:paraId="51957CC8">
            <w:pPr>
              <w:jc w:val="right"/>
              <w:rPr>
                <w:rFonts w:hint="eastAsia"/>
                <w:szCs w:val="21"/>
              </w:rPr>
            </w:pPr>
            <w:r>
              <w:rPr>
                <w:rFonts w:ascii="Arial Narrow" w:hAnsi="Arial Narrow" w:eastAsia="等线"/>
                <w:color w:val="000000"/>
                <w:szCs w:val="21"/>
              </w:rPr>
              <w:t xml:space="preserve">112,861,684.42 </w:t>
            </w:r>
          </w:p>
        </w:tc>
      </w:tr>
      <w:tr w14:paraId="3919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63AD89E">
            <w:pPr>
              <w:rPr>
                <w:rFonts w:hint="eastAsia"/>
                <w:szCs w:val="21"/>
              </w:rPr>
            </w:pPr>
            <w:r>
              <w:rPr>
                <w:rFonts w:hint="eastAsia"/>
                <w:szCs w:val="21"/>
              </w:rPr>
              <w:t>3至4年</w:t>
            </w:r>
          </w:p>
        </w:tc>
        <w:tc>
          <w:tcPr>
            <w:tcW w:w="1652" w:type="pct"/>
            <w:tcBorders>
              <w:top w:val="single" w:color="auto" w:sz="4" w:space="0"/>
              <w:left w:val="single" w:color="auto" w:sz="4" w:space="0"/>
              <w:bottom w:val="single" w:color="auto" w:sz="4" w:space="0"/>
              <w:right w:val="single" w:color="auto" w:sz="4" w:space="0"/>
            </w:tcBorders>
            <w:vAlign w:val="center"/>
          </w:tcPr>
          <w:p w14:paraId="2A950CF3">
            <w:pPr>
              <w:jc w:val="right"/>
              <w:rPr>
                <w:rFonts w:hint="eastAsia"/>
                <w:szCs w:val="21"/>
              </w:rPr>
            </w:pPr>
            <w:r>
              <w:rPr>
                <w:rFonts w:ascii="Arial Narrow" w:hAnsi="Arial Narrow" w:eastAsia="等线"/>
                <w:color w:val="000000"/>
                <w:szCs w:val="21"/>
              </w:rPr>
              <w:t xml:space="preserve">106,915,200.36 </w:t>
            </w:r>
          </w:p>
        </w:tc>
        <w:tc>
          <w:tcPr>
            <w:tcW w:w="1652" w:type="pct"/>
            <w:tcBorders>
              <w:top w:val="single" w:color="auto" w:sz="4" w:space="0"/>
              <w:left w:val="single" w:color="auto" w:sz="4" w:space="0"/>
              <w:bottom w:val="single" w:color="auto" w:sz="4" w:space="0"/>
              <w:right w:val="single" w:color="auto" w:sz="4" w:space="0"/>
            </w:tcBorders>
            <w:vAlign w:val="center"/>
          </w:tcPr>
          <w:p w14:paraId="331EA12B">
            <w:pPr>
              <w:jc w:val="right"/>
              <w:rPr>
                <w:rFonts w:hint="eastAsia"/>
                <w:szCs w:val="21"/>
              </w:rPr>
            </w:pPr>
            <w:r>
              <w:rPr>
                <w:rFonts w:ascii="Arial Narrow" w:hAnsi="Arial Narrow" w:eastAsia="等线"/>
                <w:color w:val="000000"/>
                <w:szCs w:val="21"/>
              </w:rPr>
              <w:t xml:space="preserve">754,258,029.37 </w:t>
            </w:r>
          </w:p>
        </w:tc>
      </w:tr>
      <w:tr w14:paraId="1647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295234E6">
            <w:pPr>
              <w:rPr>
                <w:rFonts w:hint="eastAsia"/>
                <w:szCs w:val="21"/>
              </w:rPr>
            </w:pPr>
            <w:r>
              <w:rPr>
                <w:rFonts w:hint="eastAsia"/>
                <w:szCs w:val="21"/>
              </w:rPr>
              <w:t>4至5年</w:t>
            </w:r>
          </w:p>
        </w:tc>
        <w:tc>
          <w:tcPr>
            <w:tcW w:w="1652" w:type="pct"/>
            <w:tcBorders>
              <w:top w:val="single" w:color="auto" w:sz="4" w:space="0"/>
              <w:left w:val="single" w:color="auto" w:sz="4" w:space="0"/>
              <w:bottom w:val="single" w:color="auto" w:sz="4" w:space="0"/>
              <w:right w:val="single" w:color="auto" w:sz="4" w:space="0"/>
            </w:tcBorders>
            <w:vAlign w:val="center"/>
          </w:tcPr>
          <w:p w14:paraId="51C42F06">
            <w:pPr>
              <w:jc w:val="right"/>
              <w:rPr>
                <w:rFonts w:hint="eastAsia"/>
                <w:szCs w:val="21"/>
              </w:rPr>
            </w:pPr>
            <w:r>
              <w:rPr>
                <w:rFonts w:ascii="Arial Narrow" w:hAnsi="Arial Narrow" w:eastAsia="等线"/>
                <w:color w:val="000000"/>
                <w:szCs w:val="21"/>
              </w:rPr>
              <w:t xml:space="preserve">667,922,594.12 </w:t>
            </w:r>
          </w:p>
        </w:tc>
        <w:tc>
          <w:tcPr>
            <w:tcW w:w="1652" w:type="pct"/>
            <w:tcBorders>
              <w:top w:val="single" w:color="auto" w:sz="4" w:space="0"/>
              <w:left w:val="single" w:color="auto" w:sz="4" w:space="0"/>
              <w:bottom w:val="single" w:color="auto" w:sz="4" w:space="0"/>
              <w:right w:val="single" w:color="auto" w:sz="4" w:space="0"/>
            </w:tcBorders>
            <w:vAlign w:val="center"/>
          </w:tcPr>
          <w:p w14:paraId="6E4CE05A">
            <w:pPr>
              <w:jc w:val="right"/>
              <w:rPr>
                <w:rFonts w:hint="eastAsia"/>
                <w:szCs w:val="21"/>
              </w:rPr>
            </w:pPr>
            <w:r>
              <w:rPr>
                <w:rFonts w:ascii="Arial Narrow" w:hAnsi="Arial Narrow" w:eastAsia="等线"/>
                <w:color w:val="000000"/>
                <w:szCs w:val="21"/>
              </w:rPr>
              <w:t xml:space="preserve">211,746,377.85 </w:t>
            </w:r>
          </w:p>
        </w:tc>
      </w:tr>
      <w:tr w14:paraId="6EF3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EA18D56">
            <w:pPr>
              <w:rPr>
                <w:rFonts w:hint="eastAsia"/>
                <w:szCs w:val="21"/>
              </w:rPr>
            </w:pPr>
            <w:r>
              <w:rPr>
                <w:rFonts w:hint="eastAsia"/>
                <w:szCs w:val="21"/>
              </w:rPr>
              <w:t>5年以上</w:t>
            </w:r>
          </w:p>
        </w:tc>
        <w:tc>
          <w:tcPr>
            <w:tcW w:w="1652" w:type="pct"/>
            <w:tcBorders>
              <w:top w:val="single" w:color="auto" w:sz="4" w:space="0"/>
              <w:left w:val="single" w:color="auto" w:sz="4" w:space="0"/>
              <w:bottom w:val="single" w:color="auto" w:sz="4" w:space="0"/>
              <w:right w:val="single" w:color="auto" w:sz="4" w:space="0"/>
            </w:tcBorders>
            <w:vAlign w:val="center"/>
          </w:tcPr>
          <w:p w14:paraId="76B806CA">
            <w:pPr>
              <w:jc w:val="right"/>
              <w:rPr>
                <w:rFonts w:hint="eastAsia"/>
                <w:szCs w:val="21"/>
              </w:rPr>
            </w:pPr>
            <w:r>
              <w:rPr>
                <w:rFonts w:ascii="Arial Narrow" w:hAnsi="Arial Narrow" w:eastAsia="等线"/>
                <w:color w:val="000000"/>
                <w:szCs w:val="21"/>
              </w:rPr>
              <w:t xml:space="preserve">789,580,447.10 </w:t>
            </w:r>
          </w:p>
        </w:tc>
        <w:tc>
          <w:tcPr>
            <w:tcW w:w="1652" w:type="pct"/>
            <w:tcBorders>
              <w:top w:val="single" w:color="auto" w:sz="4" w:space="0"/>
              <w:left w:val="single" w:color="auto" w:sz="4" w:space="0"/>
              <w:bottom w:val="single" w:color="auto" w:sz="4" w:space="0"/>
              <w:right w:val="single" w:color="auto" w:sz="4" w:space="0"/>
            </w:tcBorders>
            <w:vAlign w:val="center"/>
          </w:tcPr>
          <w:p w14:paraId="0CE95877">
            <w:pPr>
              <w:jc w:val="right"/>
              <w:rPr>
                <w:rFonts w:hint="eastAsia"/>
                <w:szCs w:val="21"/>
              </w:rPr>
            </w:pPr>
            <w:r>
              <w:rPr>
                <w:rFonts w:ascii="Arial Narrow" w:hAnsi="Arial Narrow" w:eastAsia="等线"/>
                <w:color w:val="000000"/>
                <w:szCs w:val="21"/>
              </w:rPr>
              <w:t xml:space="preserve">762,125,160.13 </w:t>
            </w:r>
          </w:p>
        </w:tc>
      </w:tr>
      <w:tr w14:paraId="0F86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14:paraId="3FB16F81">
            <w:pPr>
              <w:jc w:val="center"/>
              <w:rPr>
                <w:rFonts w:hint="eastAsia"/>
                <w:szCs w:val="21"/>
              </w:rPr>
            </w:pPr>
            <w:r>
              <w:rPr>
                <w:rFonts w:hint="eastAsia"/>
                <w:szCs w:val="21"/>
              </w:rPr>
              <w:t>合计</w:t>
            </w:r>
          </w:p>
        </w:tc>
        <w:tc>
          <w:tcPr>
            <w:tcW w:w="1652" w:type="pct"/>
            <w:tcBorders>
              <w:top w:val="single" w:color="auto" w:sz="4" w:space="0"/>
              <w:left w:val="single" w:color="auto" w:sz="4" w:space="0"/>
              <w:bottom w:val="single" w:color="auto" w:sz="4" w:space="0"/>
              <w:right w:val="single" w:color="auto" w:sz="4" w:space="0"/>
            </w:tcBorders>
            <w:vAlign w:val="center"/>
          </w:tcPr>
          <w:p w14:paraId="150F7664">
            <w:pPr>
              <w:jc w:val="right"/>
              <w:rPr>
                <w:rFonts w:hint="eastAsia"/>
                <w:szCs w:val="21"/>
              </w:rPr>
            </w:pPr>
            <w:r>
              <w:rPr>
                <w:rFonts w:ascii="Arial Narrow" w:hAnsi="Arial Narrow" w:eastAsia="等线"/>
                <w:color w:val="000000"/>
                <w:szCs w:val="21"/>
              </w:rPr>
              <w:t xml:space="preserve">2,076,673,688.91 </w:t>
            </w:r>
          </w:p>
        </w:tc>
        <w:tc>
          <w:tcPr>
            <w:tcW w:w="1652" w:type="pct"/>
            <w:tcBorders>
              <w:top w:val="single" w:color="auto" w:sz="4" w:space="0"/>
              <w:left w:val="single" w:color="auto" w:sz="4" w:space="0"/>
              <w:bottom w:val="single" w:color="auto" w:sz="4" w:space="0"/>
              <w:right w:val="single" w:color="auto" w:sz="4" w:space="0"/>
            </w:tcBorders>
            <w:vAlign w:val="center"/>
          </w:tcPr>
          <w:p w14:paraId="0D3D9B98">
            <w:pPr>
              <w:jc w:val="right"/>
              <w:rPr>
                <w:rFonts w:hint="eastAsia"/>
                <w:szCs w:val="21"/>
              </w:rPr>
            </w:pPr>
            <w:r>
              <w:rPr>
                <w:rFonts w:ascii="Arial Narrow" w:hAnsi="Arial Narrow" w:eastAsia="等线"/>
                <w:color w:val="000000"/>
                <w:szCs w:val="21"/>
              </w:rPr>
              <w:t xml:space="preserve">2,425,621,268.34 </w:t>
            </w:r>
          </w:p>
        </w:tc>
      </w:tr>
    </w:tbl>
    <w:p w14:paraId="42281580">
      <w:pPr>
        <w:rPr>
          <w:rFonts w:hint="eastAsia"/>
        </w:rPr>
      </w:pPr>
    </w:p>
    <w:p w14:paraId="16CD95EF">
      <w:pPr>
        <w:pStyle w:val="72"/>
        <w:numPr>
          <w:ilvl w:val="0"/>
          <w:numId w:val="117"/>
        </w:numPr>
        <w:ind w:leftChars="0"/>
      </w:pPr>
      <w:r>
        <w:rPr>
          <w:rFonts w:hint="eastAsia"/>
        </w:rPr>
        <w:t>按款项性质分类情况</w:t>
      </w:r>
    </w:p>
    <w:p w14:paraId="67FDC1C5">
      <w:pPr>
        <w:rPr>
          <w:rFonts w:hint="eastAsia"/>
        </w:rPr>
      </w:pPr>
      <w:sdt>
        <w:sdtPr>
          <w:alias w:val="是否适用：其他应收款按款项性质分类情况[双击切换]"/>
          <w:tag w:val="_GBC_f8f8208812d5412eb0a2fdddf1a9d330"/>
          <w:id w:val="1307203222"/>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0CFF9B81">
      <w:pPr>
        <w:jc w:val="right"/>
        <w:rPr>
          <w:rFonts w:hint="eastAsia"/>
        </w:rPr>
      </w:pPr>
      <w:r>
        <w:rPr>
          <w:rFonts w:hint="eastAsia"/>
        </w:rPr>
        <w:t>单位：</w:t>
      </w:r>
      <w:sdt>
        <w:sdtPr>
          <w:rPr>
            <w:rFonts w:hint="eastAsia"/>
          </w:rPr>
          <w:alias w:val="单位：财务附注：其他应收款按款项性质分类情况"/>
          <w:tag w:val="_GBC_6e3e3b79e1a6467e8f5cdcabc0a95e4a"/>
          <w:id w:val="1652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10607477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906"/>
        <w:gridCol w:w="2917"/>
      </w:tblGrid>
      <w:tr w14:paraId="3265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rPr>
            <w:tag w:val="_PLD_e3e4ae09c73a4371a49803278d537455"/>
            <w:id w:val="1231265235"/>
          </w:sdtPr>
          <w:sdtEndPr>
            <w:rPr>
              <w:rFonts w:ascii="Arial Narrow" w:hAnsi="Arial Narrow" w:eastAsiaTheme="minorEastAsia"/>
            </w:rPr>
          </w:sdtEndPr>
          <w:sdtContent>
            <w:tc>
              <w:tcPr>
                <w:tcW w:w="1700" w:type="pct"/>
                <w:shd w:val="clear" w:color="auto" w:fill="auto"/>
                <w:vAlign w:val="center"/>
              </w:tcPr>
              <w:p w14:paraId="54666BB7">
                <w:pPr>
                  <w:jc w:val="center"/>
                  <w:rPr>
                    <w:rFonts w:ascii="Arial Narrow" w:hAnsi="Arial Narrow" w:eastAsiaTheme="minorEastAsia"/>
                  </w:rPr>
                </w:pPr>
                <w:bookmarkStart w:id="278" w:name="_Hlk533867880"/>
                <w:r>
                  <w:rPr>
                    <w:rFonts w:ascii="Arial Narrow" w:hAnsi="Arial Narrow" w:eastAsiaTheme="minorEastAsia"/>
                  </w:rPr>
                  <w:t>款项性质</w:t>
                </w:r>
              </w:p>
            </w:tc>
          </w:sdtContent>
        </w:sdt>
        <w:sdt>
          <w:sdtPr>
            <w:rPr>
              <w:rFonts w:ascii="Arial Narrow" w:hAnsi="Arial Narrow" w:eastAsiaTheme="minorEastAsia"/>
            </w:rPr>
            <w:tag w:val="_PLD_166416173edb4a39b34c47c78d0dc766"/>
            <w:id w:val="-13535065"/>
          </w:sdtPr>
          <w:sdtEndPr>
            <w:rPr>
              <w:rFonts w:ascii="Arial Narrow" w:hAnsi="Arial Narrow" w:eastAsiaTheme="minorEastAsia"/>
            </w:rPr>
          </w:sdtEndPr>
          <w:sdtContent>
            <w:tc>
              <w:tcPr>
                <w:tcW w:w="1647" w:type="pct"/>
                <w:shd w:val="clear" w:color="auto" w:fill="auto"/>
                <w:vAlign w:val="center"/>
              </w:tcPr>
              <w:p w14:paraId="783F2D8F">
                <w:pPr>
                  <w:jc w:val="center"/>
                  <w:rPr>
                    <w:rFonts w:ascii="Arial Narrow" w:hAnsi="Arial Narrow" w:eastAsiaTheme="minorEastAsia"/>
                  </w:rPr>
                </w:pPr>
                <w:r>
                  <w:rPr>
                    <w:rFonts w:ascii="Arial Narrow" w:hAnsi="Arial Narrow" w:eastAsiaTheme="minorEastAsia"/>
                  </w:rPr>
                  <w:t>期末账面余额</w:t>
                </w:r>
              </w:p>
            </w:tc>
          </w:sdtContent>
        </w:sdt>
        <w:sdt>
          <w:sdtPr>
            <w:rPr>
              <w:rFonts w:ascii="Arial Narrow" w:hAnsi="Arial Narrow" w:eastAsiaTheme="minorEastAsia"/>
            </w:rPr>
            <w:tag w:val="_PLD_a78baace40634aeaaff4786c955e1f60"/>
            <w:id w:val="-96105101"/>
          </w:sdtPr>
          <w:sdtEndPr>
            <w:rPr>
              <w:rFonts w:ascii="Arial Narrow" w:hAnsi="Arial Narrow" w:eastAsiaTheme="minorEastAsia"/>
            </w:rPr>
          </w:sdtEndPr>
          <w:sdtContent>
            <w:tc>
              <w:tcPr>
                <w:tcW w:w="1653" w:type="pct"/>
                <w:shd w:val="clear" w:color="auto" w:fill="auto"/>
                <w:vAlign w:val="center"/>
              </w:tcPr>
              <w:p w14:paraId="2AC3BE3D">
                <w:pPr>
                  <w:jc w:val="center"/>
                  <w:rPr>
                    <w:rFonts w:ascii="Arial Narrow" w:hAnsi="Arial Narrow" w:eastAsiaTheme="minorEastAsia"/>
                  </w:rPr>
                </w:pPr>
                <w:r>
                  <w:rPr>
                    <w:rFonts w:ascii="Arial Narrow" w:hAnsi="Arial Narrow" w:eastAsiaTheme="minorEastAsia"/>
                  </w:rPr>
                  <w:t>期初账面余额</w:t>
                </w:r>
              </w:p>
            </w:tc>
          </w:sdtContent>
        </w:sdt>
      </w:tr>
      <w:tr w14:paraId="56D4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09F17C82">
            <w:pPr>
              <w:rPr>
                <w:rFonts w:ascii="Arial Narrow" w:hAnsi="Arial Narrow" w:eastAsiaTheme="minorEastAsia"/>
              </w:rPr>
            </w:pPr>
            <w:r>
              <w:rPr>
                <w:rFonts w:ascii="Arial Narrow" w:hAnsi="Arial Narrow" w:eastAsiaTheme="minorEastAsia"/>
                <w:color w:val="000000"/>
                <w:szCs w:val="21"/>
              </w:rPr>
              <w:t>往来款</w:t>
            </w:r>
          </w:p>
        </w:tc>
        <w:tc>
          <w:tcPr>
            <w:tcW w:w="1647" w:type="pct"/>
            <w:shd w:val="clear" w:color="auto" w:fill="auto"/>
            <w:vAlign w:val="center"/>
          </w:tcPr>
          <w:p w14:paraId="10424F3C">
            <w:pPr>
              <w:jc w:val="right"/>
              <w:rPr>
                <w:rFonts w:ascii="Arial Narrow" w:hAnsi="Arial Narrow" w:eastAsiaTheme="minorEastAsia"/>
                <w:szCs w:val="21"/>
              </w:rPr>
            </w:pPr>
            <w:r>
              <w:rPr>
                <w:rFonts w:ascii="Arial Narrow" w:hAnsi="Arial Narrow" w:eastAsiaTheme="minorEastAsia"/>
                <w:color w:val="000000"/>
                <w:szCs w:val="21"/>
              </w:rPr>
              <w:t xml:space="preserve">1,323,669,160.28 </w:t>
            </w:r>
          </w:p>
        </w:tc>
        <w:tc>
          <w:tcPr>
            <w:tcW w:w="1653" w:type="pct"/>
            <w:shd w:val="clear" w:color="auto" w:fill="auto"/>
            <w:vAlign w:val="center"/>
          </w:tcPr>
          <w:p w14:paraId="5AE679A0">
            <w:pPr>
              <w:jc w:val="right"/>
              <w:rPr>
                <w:rFonts w:ascii="Arial Narrow" w:hAnsi="Arial Narrow" w:eastAsiaTheme="minorEastAsia"/>
              </w:rPr>
            </w:pPr>
            <w:r>
              <w:rPr>
                <w:rFonts w:ascii="Arial Narrow" w:hAnsi="Arial Narrow" w:eastAsiaTheme="minorEastAsia"/>
                <w:color w:val="000000"/>
                <w:szCs w:val="21"/>
              </w:rPr>
              <w:t xml:space="preserve">1,335,242,923.72 </w:t>
            </w:r>
          </w:p>
        </w:tc>
      </w:tr>
      <w:tr w14:paraId="3DB6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3F5ED8AD">
            <w:pPr>
              <w:rPr>
                <w:rFonts w:ascii="Arial Narrow" w:hAnsi="Arial Narrow" w:eastAsiaTheme="minorEastAsia"/>
              </w:rPr>
            </w:pPr>
            <w:r>
              <w:rPr>
                <w:rFonts w:ascii="Arial Narrow" w:hAnsi="Arial Narrow" w:eastAsiaTheme="minorEastAsia"/>
                <w:color w:val="000000"/>
                <w:szCs w:val="21"/>
              </w:rPr>
              <w:t>涉诉往来款</w:t>
            </w:r>
          </w:p>
        </w:tc>
        <w:tc>
          <w:tcPr>
            <w:tcW w:w="1647" w:type="pct"/>
            <w:shd w:val="clear" w:color="auto" w:fill="auto"/>
            <w:vAlign w:val="center"/>
          </w:tcPr>
          <w:p w14:paraId="34AB2AC2">
            <w:pPr>
              <w:jc w:val="right"/>
              <w:rPr>
                <w:rFonts w:ascii="Arial Narrow" w:hAnsi="Arial Narrow" w:eastAsiaTheme="minorEastAsia"/>
                <w:szCs w:val="21"/>
              </w:rPr>
            </w:pPr>
            <w:r>
              <w:rPr>
                <w:rFonts w:ascii="Arial Narrow" w:hAnsi="Arial Narrow" w:eastAsiaTheme="minorEastAsia"/>
                <w:color w:val="000000"/>
                <w:szCs w:val="21"/>
              </w:rPr>
              <w:t xml:space="preserve">480,528,300.00 </w:t>
            </w:r>
          </w:p>
        </w:tc>
        <w:tc>
          <w:tcPr>
            <w:tcW w:w="1653" w:type="pct"/>
            <w:shd w:val="clear" w:color="auto" w:fill="auto"/>
            <w:vAlign w:val="center"/>
          </w:tcPr>
          <w:p w14:paraId="25941A03">
            <w:pPr>
              <w:jc w:val="right"/>
              <w:rPr>
                <w:rFonts w:ascii="Arial Narrow" w:hAnsi="Arial Narrow" w:eastAsiaTheme="minorEastAsia"/>
              </w:rPr>
            </w:pPr>
            <w:r>
              <w:rPr>
                <w:rFonts w:ascii="Arial Narrow" w:hAnsi="Arial Narrow" w:eastAsiaTheme="minorEastAsia"/>
                <w:color w:val="000000"/>
                <w:szCs w:val="21"/>
              </w:rPr>
              <w:t xml:space="preserve">480,528,300.00 </w:t>
            </w:r>
          </w:p>
        </w:tc>
      </w:tr>
      <w:tr w14:paraId="615B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24439F1B">
            <w:pPr>
              <w:rPr>
                <w:rFonts w:ascii="Arial Narrow" w:hAnsi="Arial Narrow" w:eastAsiaTheme="minorEastAsia"/>
              </w:rPr>
            </w:pPr>
            <w:r>
              <w:rPr>
                <w:rFonts w:ascii="Arial Narrow" w:hAnsi="Arial Narrow" w:eastAsiaTheme="minorEastAsia"/>
              </w:rPr>
              <w:t>资产处置款</w:t>
            </w:r>
          </w:p>
        </w:tc>
        <w:tc>
          <w:tcPr>
            <w:tcW w:w="1647" w:type="pct"/>
            <w:shd w:val="clear" w:color="auto" w:fill="auto"/>
            <w:vAlign w:val="center"/>
          </w:tcPr>
          <w:p w14:paraId="513B843B">
            <w:pPr>
              <w:jc w:val="right"/>
              <w:rPr>
                <w:rFonts w:ascii="Arial Narrow" w:hAnsi="Arial Narrow" w:eastAsiaTheme="minorEastAsia"/>
                <w:szCs w:val="21"/>
              </w:rPr>
            </w:pPr>
          </w:p>
        </w:tc>
        <w:tc>
          <w:tcPr>
            <w:tcW w:w="1653" w:type="pct"/>
            <w:shd w:val="clear" w:color="auto" w:fill="auto"/>
            <w:vAlign w:val="center"/>
          </w:tcPr>
          <w:p w14:paraId="734CB8D3">
            <w:pPr>
              <w:jc w:val="right"/>
              <w:rPr>
                <w:rFonts w:ascii="Arial Narrow" w:hAnsi="Arial Narrow" w:eastAsiaTheme="minorEastAsia"/>
              </w:rPr>
            </w:pPr>
            <w:r>
              <w:rPr>
                <w:rFonts w:ascii="Arial Narrow" w:hAnsi="Arial Narrow" w:eastAsiaTheme="minorEastAsia"/>
                <w:color w:val="000000"/>
                <w:szCs w:val="21"/>
              </w:rPr>
              <w:t xml:space="preserve">276,600,000.00 </w:t>
            </w:r>
          </w:p>
        </w:tc>
      </w:tr>
      <w:tr w14:paraId="53D2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0E0AF460">
            <w:pPr>
              <w:rPr>
                <w:rFonts w:ascii="Arial Narrow" w:hAnsi="Arial Narrow" w:eastAsiaTheme="minorEastAsia"/>
              </w:rPr>
            </w:pPr>
            <w:r>
              <w:rPr>
                <w:rFonts w:ascii="Arial Narrow" w:hAnsi="Arial Narrow" w:eastAsiaTheme="minorEastAsia"/>
              </w:rPr>
              <w:t>押金及保证金</w:t>
            </w:r>
          </w:p>
        </w:tc>
        <w:tc>
          <w:tcPr>
            <w:tcW w:w="1647" w:type="pct"/>
            <w:shd w:val="clear" w:color="auto" w:fill="auto"/>
            <w:vAlign w:val="center"/>
          </w:tcPr>
          <w:p w14:paraId="554DCAC2">
            <w:pPr>
              <w:jc w:val="right"/>
              <w:rPr>
                <w:rFonts w:ascii="Arial Narrow" w:hAnsi="Arial Narrow" w:eastAsiaTheme="minorEastAsia"/>
                <w:szCs w:val="21"/>
              </w:rPr>
            </w:pPr>
            <w:r>
              <w:rPr>
                <w:rFonts w:ascii="Arial Narrow" w:hAnsi="Arial Narrow" w:eastAsiaTheme="minorEastAsia"/>
                <w:color w:val="000000"/>
                <w:szCs w:val="21"/>
              </w:rPr>
              <w:t xml:space="preserve">200,490,769.26 </w:t>
            </w:r>
          </w:p>
        </w:tc>
        <w:tc>
          <w:tcPr>
            <w:tcW w:w="1653" w:type="pct"/>
            <w:shd w:val="clear" w:color="auto" w:fill="auto"/>
            <w:vAlign w:val="center"/>
          </w:tcPr>
          <w:p w14:paraId="2468640C">
            <w:pPr>
              <w:jc w:val="right"/>
              <w:rPr>
                <w:rFonts w:ascii="Arial Narrow" w:hAnsi="Arial Narrow" w:eastAsiaTheme="minorEastAsia"/>
              </w:rPr>
            </w:pPr>
            <w:r>
              <w:rPr>
                <w:rFonts w:ascii="Arial Narrow" w:hAnsi="Arial Narrow" w:eastAsiaTheme="minorEastAsia"/>
                <w:color w:val="000000"/>
                <w:szCs w:val="21"/>
              </w:rPr>
              <w:t xml:space="preserve">229,367,519.82 </w:t>
            </w:r>
          </w:p>
        </w:tc>
      </w:tr>
      <w:tr w14:paraId="7B55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5CBECBC3">
            <w:pPr>
              <w:rPr>
                <w:rFonts w:ascii="Arial Narrow" w:hAnsi="Arial Narrow" w:eastAsiaTheme="minorEastAsia"/>
              </w:rPr>
            </w:pPr>
            <w:r>
              <w:rPr>
                <w:rFonts w:ascii="Arial Narrow" w:hAnsi="Arial Narrow" w:eastAsiaTheme="minorEastAsia"/>
              </w:rPr>
              <w:t>应收出口退税款</w:t>
            </w:r>
          </w:p>
        </w:tc>
        <w:tc>
          <w:tcPr>
            <w:tcW w:w="1647" w:type="pct"/>
            <w:shd w:val="clear" w:color="auto" w:fill="auto"/>
            <w:vAlign w:val="center"/>
          </w:tcPr>
          <w:p w14:paraId="1E9BE5FD">
            <w:pPr>
              <w:jc w:val="right"/>
              <w:rPr>
                <w:rFonts w:ascii="Arial Narrow" w:hAnsi="Arial Narrow" w:eastAsiaTheme="minorEastAsia"/>
                <w:szCs w:val="21"/>
              </w:rPr>
            </w:pPr>
            <w:r>
              <w:rPr>
                <w:rFonts w:ascii="Arial Narrow" w:hAnsi="Arial Narrow" w:eastAsiaTheme="minorEastAsia"/>
                <w:color w:val="000000"/>
                <w:szCs w:val="21"/>
              </w:rPr>
              <w:t xml:space="preserve">14,365,284.72 </w:t>
            </w:r>
          </w:p>
        </w:tc>
        <w:tc>
          <w:tcPr>
            <w:tcW w:w="1653" w:type="pct"/>
            <w:shd w:val="clear" w:color="auto" w:fill="auto"/>
            <w:vAlign w:val="center"/>
          </w:tcPr>
          <w:p w14:paraId="5DD2CED5">
            <w:pPr>
              <w:jc w:val="right"/>
              <w:rPr>
                <w:rFonts w:ascii="Arial Narrow" w:hAnsi="Arial Narrow" w:eastAsiaTheme="minorEastAsia"/>
              </w:rPr>
            </w:pPr>
            <w:r>
              <w:rPr>
                <w:rFonts w:ascii="Arial Narrow" w:hAnsi="Arial Narrow" w:eastAsiaTheme="minorEastAsia"/>
                <w:color w:val="000000"/>
                <w:szCs w:val="21"/>
              </w:rPr>
              <w:t xml:space="preserve">29,378,999.12 </w:t>
            </w:r>
          </w:p>
        </w:tc>
      </w:tr>
      <w:tr w14:paraId="140B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233B2AF3">
            <w:pPr>
              <w:rPr>
                <w:rFonts w:ascii="Arial Narrow" w:hAnsi="Arial Narrow" w:eastAsiaTheme="minorEastAsia"/>
              </w:rPr>
            </w:pPr>
            <w:r>
              <w:rPr>
                <w:rFonts w:ascii="Arial Narrow" w:hAnsi="Arial Narrow" w:eastAsiaTheme="minorEastAsia"/>
              </w:rPr>
              <w:t>代垫款</w:t>
            </w:r>
          </w:p>
        </w:tc>
        <w:tc>
          <w:tcPr>
            <w:tcW w:w="1647" w:type="pct"/>
            <w:shd w:val="clear" w:color="auto" w:fill="auto"/>
            <w:vAlign w:val="center"/>
          </w:tcPr>
          <w:p w14:paraId="2FEB7CD4">
            <w:pPr>
              <w:jc w:val="right"/>
              <w:rPr>
                <w:rFonts w:ascii="Arial Narrow" w:hAnsi="Arial Narrow" w:eastAsiaTheme="minorEastAsia"/>
                <w:szCs w:val="21"/>
              </w:rPr>
            </w:pPr>
            <w:r>
              <w:rPr>
                <w:rFonts w:ascii="Arial Narrow" w:hAnsi="Arial Narrow" w:eastAsiaTheme="minorEastAsia"/>
                <w:color w:val="000000"/>
                <w:szCs w:val="21"/>
              </w:rPr>
              <w:t xml:space="preserve">16,845,246.31 </w:t>
            </w:r>
          </w:p>
        </w:tc>
        <w:tc>
          <w:tcPr>
            <w:tcW w:w="1653" w:type="pct"/>
            <w:shd w:val="clear" w:color="auto" w:fill="auto"/>
            <w:vAlign w:val="center"/>
          </w:tcPr>
          <w:p w14:paraId="78208E9B">
            <w:pPr>
              <w:jc w:val="right"/>
              <w:rPr>
                <w:rFonts w:ascii="Arial Narrow" w:hAnsi="Arial Narrow" w:eastAsiaTheme="minorEastAsia"/>
              </w:rPr>
            </w:pPr>
            <w:r>
              <w:rPr>
                <w:rFonts w:ascii="Arial Narrow" w:hAnsi="Arial Narrow" w:eastAsiaTheme="minorEastAsia"/>
                <w:color w:val="000000"/>
                <w:szCs w:val="21"/>
              </w:rPr>
              <w:t xml:space="preserve">23,997,042.49 </w:t>
            </w:r>
          </w:p>
        </w:tc>
      </w:tr>
      <w:tr w14:paraId="31A0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2051711F">
            <w:pPr>
              <w:rPr>
                <w:rFonts w:ascii="Arial Narrow" w:hAnsi="Arial Narrow" w:eastAsiaTheme="minorEastAsia"/>
              </w:rPr>
            </w:pPr>
            <w:r>
              <w:rPr>
                <w:rFonts w:ascii="Arial Narrow" w:hAnsi="Arial Narrow" w:eastAsiaTheme="minorEastAsia"/>
              </w:rPr>
              <w:t>备用金</w:t>
            </w:r>
          </w:p>
        </w:tc>
        <w:tc>
          <w:tcPr>
            <w:tcW w:w="1647" w:type="pct"/>
            <w:shd w:val="clear" w:color="auto" w:fill="auto"/>
            <w:vAlign w:val="center"/>
          </w:tcPr>
          <w:p w14:paraId="6F6D6D4D">
            <w:pPr>
              <w:jc w:val="right"/>
              <w:rPr>
                <w:rFonts w:ascii="Arial Narrow" w:hAnsi="Arial Narrow" w:eastAsiaTheme="minorEastAsia"/>
                <w:szCs w:val="21"/>
              </w:rPr>
            </w:pPr>
            <w:r>
              <w:rPr>
                <w:rFonts w:ascii="Arial Narrow" w:hAnsi="Arial Narrow" w:eastAsiaTheme="minorEastAsia"/>
                <w:color w:val="000000"/>
                <w:szCs w:val="21"/>
              </w:rPr>
              <w:t xml:space="preserve">9,566,810.55 </w:t>
            </w:r>
          </w:p>
        </w:tc>
        <w:tc>
          <w:tcPr>
            <w:tcW w:w="1653" w:type="pct"/>
            <w:shd w:val="clear" w:color="auto" w:fill="auto"/>
            <w:vAlign w:val="center"/>
          </w:tcPr>
          <w:p w14:paraId="54072845">
            <w:pPr>
              <w:jc w:val="right"/>
              <w:rPr>
                <w:rFonts w:ascii="Arial Narrow" w:hAnsi="Arial Narrow" w:eastAsiaTheme="minorEastAsia"/>
              </w:rPr>
            </w:pPr>
            <w:r>
              <w:rPr>
                <w:rFonts w:ascii="Arial Narrow" w:hAnsi="Arial Narrow" w:eastAsiaTheme="minorEastAsia"/>
                <w:color w:val="000000"/>
                <w:szCs w:val="21"/>
              </w:rPr>
              <w:t xml:space="preserve">11,435,501.19 </w:t>
            </w:r>
          </w:p>
        </w:tc>
      </w:tr>
      <w:tr w14:paraId="7D30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7EB164A3">
            <w:pPr>
              <w:rPr>
                <w:rFonts w:ascii="Arial Narrow" w:hAnsi="Arial Narrow" w:eastAsiaTheme="minorEastAsia"/>
              </w:rPr>
            </w:pPr>
            <w:r>
              <w:rPr>
                <w:rFonts w:ascii="Arial Narrow" w:hAnsi="Arial Narrow" w:eastAsiaTheme="minorEastAsia"/>
              </w:rPr>
              <w:t>其他</w:t>
            </w:r>
          </w:p>
        </w:tc>
        <w:tc>
          <w:tcPr>
            <w:tcW w:w="1647" w:type="pct"/>
            <w:shd w:val="clear" w:color="auto" w:fill="auto"/>
            <w:vAlign w:val="center"/>
          </w:tcPr>
          <w:p w14:paraId="766ECB28">
            <w:pPr>
              <w:jc w:val="right"/>
              <w:rPr>
                <w:rFonts w:ascii="Arial Narrow" w:hAnsi="Arial Narrow" w:eastAsiaTheme="minorEastAsia"/>
                <w:szCs w:val="21"/>
              </w:rPr>
            </w:pPr>
            <w:r>
              <w:rPr>
                <w:rFonts w:ascii="Arial Narrow" w:hAnsi="Arial Narrow" w:eastAsiaTheme="minorEastAsia"/>
                <w:color w:val="000000"/>
                <w:szCs w:val="21"/>
              </w:rPr>
              <w:t xml:space="preserve">31,208,117.79 </w:t>
            </w:r>
          </w:p>
        </w:tc>
        <w:tc>
          <w:tcPr>
            <w:tcW w:w="1653" w:type="pct"/>
            <w:shd w:val="clear" w:color="auto" w:fill="auto"/>
            <w:vAlign w:val="center"/>
          </w:tcPr>
          <w:p w14:paraId="1374A6CF">
            <w:pPr>
              <w:jc w:val="right"/>
              <w:rPr>
                <w:rFonts w:ascii="Arial Narrow" w:hAnsi="Arial Narrow" w:eastAsiaTheme="minorEastAsia"/>
              </w:rPr>
            </w:pPr>
            <w:r>
              <w:rPr>
                <w:rFonts w:ascii="Arial Narrow" w:hAnsi="Arial Narrow" w:eastAsiaTheme="minorEastAsia"/>
                <w:color w:val="000000"/>
                <w:szCs w:val="21"/>
              </w:rPr>
              <w:t xml:space="preserve">39,070,982.00 </w:t>
            </w:r>
          </w:p>
        </w:tc>
      </w:tr>
      <w:tr w14:paraId="49F2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shd w:val="clear" w:color="auto" w:fill="auto"/>
          </w:tcPr>
          <w:p w14:paraId="37AD9ED0">
            <w:pPr>
              <w:jc w:val="center"/>
              <w:rPr>
                <w:rFonts w:ascii="Arial Narrow" w:hAnsi="Arial Narrow" w:eastAsiaTheme="minorEastAsia"/>
              </w:rPr>
            </w:pPr>
            <w:r>
              <w:rPr>
                <w:rFonts w:ascii="Arial Narrow" w:hAnsi="Arial Narrow" w:eastAsiaTheme="minorEastAsia"/>
              </w:rPr>
              <w:t>合计</w:t>
            </w:r>
          </w:p>
        </w:tc>
        <w:tc>
          <w:tcPr>
            <w:tcW w:w="1647" w:type="pct"/>
            <w:shd w:val="clear" w:color="auto" w:fill="auto"/>
            <w:vAlign w:val="center"/>
          </w:tcPr>
          <w:p w14:paraId="1AB25C1E">
            <w:pPr>
              <w:jc w:val="right"/>
              <w:rPr>
                <w:rFonts w:ascii="Arial Narrow" w:hAnsi="Arial Narrow" w:eastAsiaTheme="minorEastAsia"/>
              </w:rPr>
            </w:pPr>
            <w:r>
              <w:rPr>
                <w:rFonts w:ascii="Arial Narrow" w:hAnsi="Arial Narrow" w:eastAsiaTheme="minorEastAsia"/>
                <w:color w:val="000000"/>
                <w:szCs w:val="21"/>
              </w:rPr>
              <w:t xml:space="preserve">2,076,673,688.91 </w:t>
            </w:r>
          </w:p>
        </w:tc>
        <w:tc>
          <w:tcPr>
            <w:tcW w:w="1653" w:type="pct"/>
            <w:shd w:val="clear" w:color="auto" w:fill="auto"/>
            <w:vAlign w:val="center"/>
          </w:tcPr>
          <w:p w14:paraId="4784BA79">
            <w:pPr>
              <w:jc w:val="right"/>
              <w:rPr>
                <w:rFonts w:ascii="Arial Narrow" w:hAnsi="Arial Narrow" w:eastAsiaTheme="minorEastAsia"/>
              </w:rPr>
            </w:pPr>
            <w:r>
              <w:rPr>
                <w:rFonts w:ascii="Arial Narrow" w:hAnsi="Arial Narrow" w:eastAsiaTheme="minorEastAsia"/>
                <w:color w:val="000000"/>
                <w:szCs w:val="21"/>
              </w:rPr>
              <w:t xml:space="preserve">2,425,621,268.34 </w:t>
            </w:r>
          </w:p>
        </w:tc>
      </w:tr>
    </w:tbl>
    <w:p w14:paraId="78A6E33F">
      <w:pPr>
        <w:rPr>
          <w:rFonts w:hint="eastAsia"/>
        </w:rPr>
      </w:pPr>
    </w:p>
    <w:p w14:paraId="49940B14">
      <w:pPr>
        <w:pStyle w:val="72"/>
        <w:numPr>
          <w:ilvl w:val="0"/>
          <w:numId w:val="117"/>
        </w:numPr>
        <w:ind w:leftChars="0"/>
      </w:pPr>
      <w:r>
        <w:rPr>
          <w:rFonts w:hint="eastAsia"/>
        </w:rPr>
        <w:t>坏账准备计提情况</w:t>
      </w:r>
    </w:p>
    <w:sdt>
      <w:sdtPr>
        <w:rPr>
          <w:szCs w:val="21"/>
        </w:rPr>
        <w:alias w:val="是否适用：其他应收款坏账准备调节表[双击切换]"/>
        <w:tag w:val="_GBC_89d7c1af9f504137a919fea1a314fa80"/>
        <w:id w:val="-1049382859"/>
        <w:placeholder>
          <w:docPart w:val="GBC22222222222222222222222222222"/>
        </w:placeholder>
      </w:sdtPr>
      <w:sdtEndPr>
        <w:rPr>
          <w:szCs w:val="21"/>
        </w:rPr>
      </w:sdtEndPr>
      <w:sdtContent>
        <w:p w14:paraId="4F79CED0">
          <w:pPr>
            <w:rPr>
              <w:rFonts w:hint="eastAsia"/>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FFE585">
      <w:pPr>
        <w:autoSpaceDE w:val="0"/>
        <w:autoSpaceDN w:val="0"/>
        <w:adjustRightInd w:val="0"/>
        <w:ind w:right="105" w:rightChars="50"/>
        <w:jc w:val="right"/>
        <w:rPr>
          <w:rFonts w:hint="eastAsia"/>
          <w:szCs w:val="21"/>
        </w:rPr>
      </w:pPr>
      <w:r>
        <w:rPr>
          <w:rFonts w:hint="eastAsia"/>
          <w:szCs w:val="21"/>
        </w:rPr>
        <w:t>单位：</w:t>
      </w:r>
      <w:sdt>
        <w:sdtPr>
          <w:rPr>
            <w:rFonts w:hint="eastAsia"/>
            <w:szCs w:val="21"/>
          </w:rPr>
          <w:alias w:val="单位：其他应收款坏账准备调节表"/>
          <w:tag w:val="_GBC_1e902dc07fc44240af1ff69475733c28"/>
          <w:id w:val="9873590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5e93354ddb8841df82a0d16f2f5b44ae"/>
          <w:id w:val="-2535130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521"/>
        <w:gridCol w:w="1936"/>
        <w:gridCol w:w="1936"/>
        <w:gridCol w:w="1664"/>
      </w:tblGrid>
      <w:tr w14:paraId="7D8D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f734c3456a843bda898d16924c52045"/>
            <w:id w:val="-356196253"/>
          </w:sdtPr>
          <w:sdtContent>
            <w:tc>
              <w:tcPr>
                <w:tcW w:w="1001" w:type="pct"/>
                <w:vMerge w:val="restart"/>
                <w:vAlign w:val="center"/>
              </w:tcPr>
              <w:p w14:paraId="0A14DEA2">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坏账准备</w:t>
                </w:r>
              </w:p>
            </w:tc>
          </w:sdtContent>
        </w:sdt>
        <w:sdt>
          <w:sdtPr>
            <w:tag w:val="_PLD_cc2d5e47d032466f8f32fd4edec15e33"/>
            <w:id w:val="-1554460518"/>
          </w:sdtPr>
          <w:sdtContent>
            <w:tc>
              <w:tcPr>
                <w:tcW w:w="862" w:type="pct"/>
                <w:vAlign w:val="center"/>
              </w:tcPr>
              <w:p w14:paraId="5DADB2FC">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第一阶段</w:t>
                </w:r>
              </w:p>
            </w:tc>
          </w:sdtContent>
        </w:sdt>
        <w:sdt>
          <w:sdtPr>
            <w:tag w:val="_PLD_f7ffd31ab3534493bb75ab7d04c0c751"/>
            <w:id w:val="230823783"/>
          </w:sdtPr>
          <w:sdtContent>
            <w:tc>
              <w:tcPr>
                <w:tcW w:w="1097" w:type="pct"/>
                <w:vAlign w:val="center"/>
              </w:tcPr>
              <w:p w14:paraId="6BB847FC">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第二阶段</w:t>
                </w:r>
              </w:p>
            </w:tc>
          </w:sdtContent>
        </w:sdt>
        <w:sdt>
          <w:sdtPr>
            <w:tag w:val="_PLD_b787de87168848159cb3a46726196c34"/>
            <w:id w:val="502864311"/>
          </w:sdtPr>
          <w:sdtContent>
            <w:tc>
              <w:tcPr>
                <w:tcW w:w="1097" w:type="pct"/>
                <w:vAlign w:val="center"/>
              </w:tcPr>
              <w:p w14:paraId="17AE719B">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第三阶段</w:t>
                </w:r>
              </w:p>
            </w:tc>
          </w:sdtContent>
        </w:sdt>
        <w:sdt>
          <w:sdtPr>
            <w:tag w:val="_PLD_3b31af1f922741a8874346a86f3e2d25"/>
            <w:id w:val="-884171810"/>
          </w:sdtPr>
          <w:sdtContent>
            <w:tc>
              <w:tcPr>
                <w:tcW w:w="943" w:type="pct"/>
                <w:vMerge w:val="restart"/>
                <w:vAlign w:val="center"/>
              </w:tcPr>
              <w:p w14:paraId="1A48FFE2">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合计</w:t>
                </w:r>
              </w:p>
            </w:tc>
          </w:sdtContent>
        </w:sdt>
      </w:tr>
      <w:tr w14:paraId="139B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vAlign w:val="center"/>
          </w:tcPr>
          <w:p w14:paraId="2DF2FA42">
            <w:pPr>
              <w:jc w:val="center"/>
              <w:rPr>
                <w:rFonts w:hint="eastAsia"/>
                <w:color w:val="008000"/>
                <w:szCs w:val="21"/>
              </w:rPr>
            </w:pPr>
          </w:p>
        </w:tc>
        <w:sdt>
          <w:sdtPr>
            <w:tag w:val="_PLD_7158bbb0fd6b45478d53b382f0c1a5e9"/>
            <w:id w:val="-37594423"/>
          </w:sdtPr>
          <w:sdtContent>
            <w:tc>
              <w:tcPr>
                <w:tcW w:w="862" w:type="pct"/>
                <w:vAlign w:val="center"/>
              </w:tcPr>
              <w:p w14:paraId="5D777763">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未来12个月预期信用损失</w:t>
                </w:r>
              </w:p>
            </w:tc>
          </w:sdtContent>
        </w:sdt>
        <w:sdt>
          <w:sdtPr>
            <w:tag w:val="_PLD_a456fd5785a44d89b944d155197986fc"/>
            <w:id w:val="904719283"/>
          </w:sdtPr>
          <w:sdtContent>
            <w:tc>
              <w:tcPr>
                <w:tcW w:w="1097" w:type="pct"/>
                <w:vAlign w:val="center"/>
              </w:tcPr>
              <w:p w14:paraId="4B2C00C2">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整个存续期预期信用损失(未发生信用减值)</w:t>
                </w:r>
              </w:p>
            </w:tc>
          </w:sdtContent>
        </w:sdt>
        <w:sdt>
          <w:sdtPr>
            <w:tag w:val="_PLD_fb9265a3aa334f7ab93242b9630540b0"/>
            <w:id w:val="-1874069059"/>
          </w:sdtPr>
          <w:sdtContent>
            <w:tc>
              <w:tcPr>
                <w:tcW w:w="1097" w:type="pct"/>
                <w:vAlign w:val="center"/>
              </w:tcPr>
              <w:p w14:paraId="7225EC9D">
                <w:pPr>
                  <w:pStyle w:val="50"/>
                  <w:spacing w:after="0"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整个存续期预期信用损失(已发生信用减值)</w:t>
                </w:r>
              </w:p>
            </w:tc>
          </w:sdtContent>
        </w:sdt>
        <w:tc>
          <w:tcPr>
            <w:tcW w:w="943" w:type="pct"/>
            <w:vMerge w:val="continue"/>
            <w:vAlign w:val="center"/>
          </w:tcPr>
          <w:p w14:paraId="33F33095">
            <w:pPr>
              <w:jc w:val="center"/>
              <w:rPr>
                <w:rFonts w:hint="eastAsia"/>
                <w:color w:val="008000"/>
                <w:szCs w:val="21"/>
              </w:rPr>
            </w:pPr>
          </w:p>
        </w:tc>
      </w:tr>
      <w:tr w14:paraId="060E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18421BC">
            <w:pPr>
              <w:pStyle w:val="50"/>
              <w:spacing w:after="0" w:line="240" w:lineRule="auto"/>
              <w:jc w:val="both"/>
              <w:rPr>
                <w:rFonts w:hint="eastAsia" w:ascii="宋体" w:hAnsi="宋体" w:eastAsia="宋体" w:cs="宋体"/>
                <w:sz w:val="21"/>
                <w:szCs w:val="21"/>
                <w:lang w:eastAsia="zh-CN"/>
              </w:rPr>
            </w:pPr>
            <w:r>
              <w:rPr>
                <w:rFonts w:ascii="宋体" w:hAnsi="宋体" w:eastAsia="宋体" w:cs="宋体"/>
                <w:sz w:val="21"/>
                <w:szCs w:val="21"/>
                <w:lang w:eastAsia="zh-CN"/>
              </w:rPr>
              <w:t>2024年</w:t>
            </w:r>
            <w:r>
              <w:rPr>
                <w:rFonts w:hint="eastAsia" w:ascii="宋体" w:hAnsi="宋体" w:eastAsia="宋体" w:cs="宋体"/>
                <w:sz w:val="21"/>
                <w:szCs w:val="21"/>
                <w:lang w:eastAsia="zh-CN"/>
              </w:rPr>
              <w:t>1月1日余额</w:t>
            </w:r>
          </w:p>
        </w:tc>
        <w:tc>
          <w:tcPr>
            <w:tcW w:w="862" w:type="pct"/>
            <w:vAlign w:val="center"/>
          </w:tcPr>
          <w:p w14:paraId="550F0515">
            <w:pPr>
              <w:jc w:val="right"/>
              <w:rPr>
                <w:rFonts w:hint="eastAsia"/>
                <w:szCs w:val="21"/>
              </w:rPr>
            </w:pPr>
            <w:r>
              <w:rPr>
                <w:rFonts w:ascii="Arial Narrow" w:hAnsi="Arial Narrow" w:eastAsia="等线"/>
                <w:color w:val="000000"/>
                <w:szCs w:val="21"/>
              </w:rPr>
              <w:t xml:space="preserve">80,289,186.96 </w:t>
            </w:r>
          </w:p>
        </w:tc>
        <w:tc>
          <w:tcPr>
            <w:tcW w:w="1097" w:type="pct"/>
            <w:vAlign w:val="center"/>
          </w:tcPr>
          <w:p w14:paraId="3C42E406">
            <w:pPr>
              <w:jc w:val="right"/>
              <w:rPr>
                <w:rFonts w:hint="eastAsia"/>
                <w:szCs w:val="21"/>
              </w:rPr>
            </w:pPr>
          </w:p>
        </w:tc>
        <w:tc>
          <w:tcPr>
            <w:tcW w:w="1097" w:type="pct"/>
            <w:vAlign w:val="center"/>
          </w:tcPr>
          <w:p w14:paraId="6D329B82">
            <w:pPr>
              <w:jc w:val="right"/>
              <w:rPr>
                <w:rFonts w:hint="eastAsia"/>
                <w:szCs w:val="21"/>
              </w:rPr>
            </w:pPr>
            <w:r>
              <w:rPr>
                <w:rFonts w:ascii="Arial Narrow" w:hAnsi="Arial Narrow" w:eastAsia="等线"/>
                <w:color w:val="000000"/>
                <w:szCs w:val="21"/>
              </w:rPr>
              <w:t xml:space="preserve">1,123,605,543.01 </w:t>
            </w:r>
          </w:p>
        </w:tc>
        <w:tc>
          <w:tcPr>
            <w:tcW w:w="943" w:type="pct"/>
            <w:vAlign w:val="center"/>
          </w:tcPr>
          <w:p w14:paraId="4984C88E">
            <w:pPr>
              <w:jc w:val="right"/>
              <w:rPr>
                <w:rFonts w:hint="eastAsia"/>
                <w:szCs w:val="21"/>
              </w:rPr>
            </w:pPr>
            <w:r>
              <w:rPr>
                <w:rFonts w:ascii="Arial Narrow" w:hAnsi="Arial Narrow" w:eastAsia="等线"/>
                <w:color w:val="000000"/>
                <w:szCs w:val="21"/>
              </w:rPr>
              <w:t xml:space="preserve">1,203,894,729.97 </w:t>
            </w:r>
          </w:p>
        </w:tc>
      </w:tr>
      <w:tr w14:paraId="115F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01C21BB8">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2024年1月1日余额在本期</w:t>
            </w:r>
          </w:p>
        </w:tc>
        <w:tc>
          <w:tcPr>
            <w:tcW w:w="862" w:type="pct"/>
            <w:vAlign w:val="center"/>
          </w:tcPr>
          <w:p w14:paraId="0EAE1E77">
            <w:pPr>
              <w:jc w:val="right"/>
              <w:rPr>
                <w:rFonts w:hint="eastAsia"/>
                <w:szCs w:val="21"/>
              </w:rPr>
            </w:pPr>
          </w:p>
        </w:tc>
        <w:tc>
          <w:tcPr>
            <w:tcW w:w="1097" w:type="pct"/>
            <w:vAlign w:val="center"/>
          </w:tcPr>
          <w:p w14:paraId="48D36CAF">
            <w:pPr>
              <w:jc w:val="right"/>
              <w:rPr>
                <w:rFonts w:hint="eastAsia"/>
                <w:szCs w:val="21"/>
              </w:rPr>
            </w:pPr>
          </w:p>
        </w:tc>
        <w:tc>
          <w:tcPr>
            <w:tcW w:w="1097" w:type="pct"/>
            <w:vAlign w:val="center"/>
          </w:tcPr>
          <w:p w14:paraId="71FD61EB">
            <w:pPr>
              <w:jc w:val="right"/>
              <w:rPr>
                <w:rFonts w:hint="eastAsia"/>
                <w:szCs w:val="21"/>
              </w:rPr>
            </w:pPr>
          </w:p>
        </w:tc>
        <w:tc>
          <w:tcPr>
            <w:tcW w:w="943" w:type="pct"/>
            <w:vAlign w:val="center"/>
          </w:tcPr>
          <w:p w14:paraId="20A2673D">
            <w:pPr>
              <w:jc w:val="right"/>
              <w:rPr>
                <w:rFonts w:hint="eastAsia"/>
                <w:szCs w:val="21"/>
              </w:rPr>
            </w:pPr>
          </w:p>
        </w:tc>
      </w:tr>
      <w:tr w14:paraId="49A4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12CDAA1">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--转入第二阶段</w:t>
            </w:r>
          </w:p>
        </w:tc>
        <w:tc>
          <w:tcPr>
            <w:tcW w:w="862" w:type="pct"/>
            <w:vAlign w:val="center"/>
          </w:tcPr>
          <w:p w14:paraId="00CC0046">
            <w:pPr>
              <w:jc w:val="right"/>
              <w:rPr>
                <w:rFonts w:hint="eastAsia"/>
                <w:szCs w:val="21"/>
              </w:rPr>
            </w:pPr>
          </w:p>
        </w:tc>
        <w:tc>
          <w:tcPr>
            <w:tcW w:w="1097" w:type="pct"/>
            <w:vAlign w:val="center"/>
          </w:tcPr>
          <w:p w14:paraId="2D33303C">
            <w:pPr>
              <w:jc w:val="right"/>
              <w:rPr>
                <w:rFonts w:hint="eastAsia"/>
                <w:szCs w:val="21"/>
              </w:rPr>
            </w:pPr>
          </w:p>
        </w:tc>
        <w:tc>
          <w:tcPr>
            <w:tcW w:w="1097" w:type="pct"/>
            <w:vAlign w:val="center"/>
          </w:tcPr>
          <w:p w14:paraId="1FCE271F">
            <w:pPr>
              <w:jc w:val="right"/>
              <w:rPr>
                <w:rFonts w:hint="eastAsia"/>
                <w:szCs w:val="21"/>
              </w:rPr>
            </w:pPr>
          </w:p>
        </w:tc>
        <w:tc>
          <w:tcPr>
            <w:tcW w:w="943" w:type="pct"/>
            <w:vAlign w:val="center"/>
          </w:tcPr>
          <w:p w14:paraId="42BF8D84">
            <w:pPr>
              <w:jc w:val="right"/>
              <w:rPr>
                <w:rFonts w:hint="eastAsia"/>
                <w:szCs w:val="21"/>
              </w:rPr>
            </w:pPr>
          </w:p>
        </w:tc>
      </w:tr>
      <w:tr w14:paraId="387E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45D8009">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--转入第三阶段</w:t>
            </w:r>
          </w:p>
        </w:tc>
        <w:tc>
          <w:tcPr>
            <w:tcW w:w="862" w:type="pct"/>
            <w:vAlign w:val="center"/>
          </w:tcPr>
          <w:p w14:paraId="2205C8B1">
            <w:pPr>
              <w:jc w:val="right"/>
              <w:rPr>
                <w:rFonts w:hint="eastAsia"/>
                <w:szCs w:val="21"/>
              </w:rPr>
            </w:pPr>
            <w:r>
              <w:rPr>
                <w:rFonts w:ascii="Arial Narrow" w:hAnsi="Arial Narrow" w:eastAsia="等线"/>
                <w:color w:val="000000"/>
                <w:szCs w:val="21"/>
              </w:rPr>
              <w:t xml:space="preserve">-2,070,400.00 </w:t>
            </w:r>
          </w:p>
        </w:tc>
        <w:tc>
          <w:tcPr>
            <w:tcW w:w="1097" w:type="pct"/>
            <w:vAlign w:val="center"/>
          </w:tcPr>
          <w:p w14:paraId="52F0E599">
            <w:pPr>
              <w:jc w:val="right"/>
              <w:rPr>
                <w:rFonts w:hint="eastAsia"/>
                <w:szCs w:val="21"/>
              </w:rPr>
            </w:pPr>
          </w:p>
        </w:tc>
        <w:tc>
          <w:tcPr>
            <w:tcW w:w="1097" w:type="pct"/>
            <w:vAlign w:val="center"/>
          </w:tcPr>
          <w:p w14:paraId="7EA4FA5E">
            <w:pPr>
              <w:jc w:val="right"/>
              <w:rPr>
                <w:rFonts w:hint="eastAsia"/>
                <w:szCs w:val="21"/>
              </w:rPr>
            </w:pPr>
            <w:r>
              <w:rPr>
                <w:rFonts w:ascii="Arial Narrow" w:hAnsi="Arial Narrow" w:eastAsia="等线"/>
                <w:color w:val="000000"/>
                <w:szCs w:val="21"/>
              </w:rPr>
              <w:t xml:space="preserve">2,070,400.00 </w:t>
            </w:r>
          </w:p>
        </w:tc>
        <w:tc>
          <w:tcPr>
            <w:tcW w:w="943" w:type="pct"/>
            <w:vAlign w:val="center"/>
          </w:tcPr>
          <w:p w14:paraId="1A25D58C">
            <w:pPr>
              <w:jc w:val="right"/>
              <w:rPr>
                <w:rFonts w:hint="eastAsia"/>
                <w:szCs w:val="21"/>
              </w:rPr>
            </w:pPr>
          </w:p>
        </w:tc>
      </w:tr>
      <w:tr w14:paraId="3D6F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3C10315">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本期计提</w:t>
            </w:r>
          </w:p>
        </w:tc>
        <w:tc>
          <w:tcPr>
            <w:tcW w:w="862" w:type="pct"/>
            <w:vAlign w:val="center"/>
          </w:tcPr>
          <w:p w14:paraId="2EA02D2C">
            <w:pPr>
              <w:jc w:val="right"/>
              <w:rPr>
                <w:rFonts w:hint="eastAsia"/>
                <w:szCs w:val="21"/>
              </w:rPr>
            </w:pPr>
            <w:r>
              <w:rPr>
                <w:rFonts w:ascii="Arial Narrow" w:hAnsi="Arial Narrow" w:eastAsia="等线"/>
                <w:color w:val="000000"/>
                <w:szCs w:val="21"/>
              </w:rPr>
              <w:t xml:space="preserve">49,665,563.61 </w:t>
            </w:r>
          </w:p>
        </w:tc>
        <w:tc>
          <w:tcPr>
            <w:tcW w:w="1097" w:type="pct"/>
            <w:vAlign w:val="center"/>
          </w:tcPr>
          <w:p w14:paraId="51F1C414">
            <w:pPr>
              <w:jc w:val="right"/>
              <w:rPr>
                <w:rFonts w:hint="eastAsia"/>
                <w:szCs w:val="21"/>
              </w:rPr>
            </w:pPr>
          </w:p>
        </w:tc>
        <w:tc>
          <w:tcPr>
            <w:tcW w:w="1097" w:type="pct"/>
            <w:vAlign w:val="center"/>
          </w:tcPr>
          <w:p w14:paraId="42FC1DF7">
            <w:pPr>
              <w:jc w:val="right"/>
              <w:rPr>
                <w:rFonts w:hint="eastAsia"/>
                <w:szCs w:val="21"/>
              </w:rPr>
            </w:pPr>
            <w:r>
              <w:rPr>
                <w:rFonts w:ascii="Arial Narrow" w:hAnsi="Arial Narrow" w:eastAsia="等线"/>
                <w:color w:val="000000"/>
                <w:szCs w:val="21"/>
              </w:rPr>
              <w:t xml:space="preserve">245,876,461.09 </w:t>
            </w:r>
          </w:p>
        </w:tc>
        <w:tc>
          <w:tcPr>
            <w:tcW w:w="943" w:type="pct"/>
            <w:vAlign w:val="center"/>
          </w:tcPr>
          <w:p w14:paraId="5D165961">
            <w:pPr>
              <w:jc w:val="right"/>
              <w:rPr>
                <w:rFonts w:hint="eastAsia"/>
                <w:szCs w:val="21"/>
              </w:rPr>
            </w:pPr>
            <w:r>
              <w:rPr>
                <w:rFonts w:ascii="Arial Narrow" w:hAnsi="Arial Narrow" w:eastAsia="等线"/>
                <w:color w:val="000000"/>
                <w:szCs w:val="21"/>
              </w:rPr>
              <w:t xml:space="preserve">295,542,024.70 </w:t>
            </w:r>
          </w:p>
        </w:tc>
      </w:tr>
      <w:tr w14:paraId="76A6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06AA12C1">
            <w:pPr>
              <w:pStyle w:val="50"/>
              <w:spacing w:after="0" w:line="240" w:lineRule="auto"/>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lang w:eastAsia="zh-CN"/>
              </w:rPr>
              <w:t>本期转回</w:t>
            </w:r>
          </w:p>
        </w:tc>
        <w:tc>
          <w:tcPr>
            <w:tcW w:w="862" w:type="pct"/>
            <w:vAlign w:val="center"/>
          </w:tcPr>
          <w:p w14:paraId="459E28C4">
            <w:pPr>
              <w:jc w:val="right"/>
              <w:rPr>
                <w:rFonts w:hint="eastAsia"/>
                <w:szCs w:val="21"/>
              </w:rPr>
            </w:pPr>
          </w:p>
        </w:tc>
        <w:tc>
          <w:tcPr>
            <w:tcW w:w="1097" w:type="pct"/>
            <w:vAlign w:val="center"/>
          </w:tcPr>
          <w:p w14:paraId="5F8EB8F3">
            <w:pPr>
              <w:jc w:val="right"/>
              <w:rPr>
                <w:rFonts w:hint="eastAsia"/>
                <w:szCs w:val="21"/>
              </w:rPr>
            </w:pPr>
          </w:p>
        </w:tc>
        <w:tc>
          <w:tcPr>
            <w:tcW w:w="1097" w:type="pct"/>
            <w:vAlign w:val="center"/>
          </w:tcPr>
          <w:p w14:paraId="015A22A4">
            <w:pPr>
              <w:jc w:val="right"/>
              <w:rPr>
                <w:rFonts w:hint="eastAsia"/>
                <w:szCs w:val="21"/>
              </w:rPr>
            </w:pPr>
            <w:r>
              <w:rPr>
                <w:rFonts w:ascii="Arial Narrow" w:hAnsi="Arial Narrow" w:eastAsia="等线"/>
                <w:color w:val="000000"/>
                <w:szCs w:val="21"/>
              </w:rPr>
              <w:t xml:space="preserve">2,375,197.96 </w:t>
            </w:r>
          </w:p>
        </w:tc>
        <w:tc>
          <w:tcPr>
            <w:tcW w:w="943" w:type="pct"/>
            <w:vAlign w:val="center"/>
          </w:tcPr>
          <w:p w14:paraId="79EF9151">
            <w:pPr>
              <w:jc w:val="right"/>
              <w:rPr>
                <w:rFonts w:hint="eastAsia"/>
                <w:szCs w:val="21"/>
              </w:rPr>
            </w:pPr>
            <w:r>
              <w:rPr>
                <w:rFonts w:ascii="Arial Narrow" w:hAnsi="Arial Narrow" w:eastAsia="等线"/>
                <w:color w:val="000000"/>
                <w:szCs w:val="21"/>
              </w:rPr>
              <w:t xml:space="preserve">2,375,197.96 </w:t>
            </w:r>
          </w:p>
        </w:tc>
      </w:tr>
      <w:tr w14:paraId="16E1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7690855D">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本期转销</w:t>
            </w:r>
          </w:p>
        </w:tc>
        <w:tc>
          <w:tcPr>
            <w:tcW w:w="862" w:type="pct"/>
            <w:vAlign w:val="center"/>
          </w:tcPr>
          <w:p w14:paraId="21593274">
            <w:pPr>
              <w:jc w:val="right"/>
              <w:rPr>
                <w:rFonts w:hint="eastAsia"/>
                <w:szCs w:val="21"/>
              </w:rPr>
            </w:pPr>
          </w:p>
        </w:tc>
        <w:tc>
          <w:tcPr>
            <w:tcW w:w="1097" w:type="pct"/>
            <w:vAlign w:val="center"/>
          </w:tcPr>
          <w:p w14:paraId="75F154BE">
            <w:pPr>
              <w:jc w:val="right"/>
              <w:rPr>
                <w:rFonts w:hint="eastAsia"/>
                <w:szCs w:val="21"/>
              </w:rPr>
            </w:pPr>
          </w:p>
        </w:tc>
        <w:tc>
          <w:tcPr>
            <w:tcW w:w="1097" w:type="pct"/>
            <w:vAlign w:val="center"/>
          </w:tcPr>
          <w:p w14:paraId="464CFD9A">
            <w:pPr>
              <w:jc w:val="right"/>
              <w:rPr>
                <w:rFonts w:hint="eastAsia"/>
                <w:szCs w:val="21"/>
              </w:rPr>
            </w:pPr>
          </w:p>
        </w:tc>
        <w:tc>
          <w:tcPr>
            <w:tcW w:w="943" w:type="pct"/>
            <w:vAlign w:val="center"/>
          </w:tcPr>
          <w:p w14:paraId="12A9CB19">
            <w:pPr>
              <w:jc w:val="right"/>
              <w:rPr>
                <w:rFonts w:hint="eastAsia"/>
                <w:szCs w:val="21"/>
              </w:rPr>
            </w:pPr>
          </w:p>
        </w:tc>
      </w:tr>
      <w:tr w14:paraId="2319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5ACF0EBF">
            <w:pPr>
              <w:pStyle w:val="50"/>
              <w:spacing w:after="0" w:line="240" w:lineRule="auto"/>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lang w:eastAsia="zh-CN"/>
              </w:rPr>
              <w:t>本期核销</w:t>
            </w:r>
          </w:p>
        </w:tc>
        <w:tc>
          <w:tcPr>
            <w:tcW w:w="862" w:type="pct"/>
            <w:vAlign w:val="center"/>
          </w:tcPr>
          <w:p w14:paraId="547595E5">
            <w:pPr>
              <w:jc w:val="right"/>
              <w:rPr>
                <w:rFonts w:hint="eastAsia"/>
                <w:szCs w:val="21"/>
              </w:rPr>
            </w:pPr>
            <w:r>
              <w:rPr>
                <w:rFonts w:ascii="Arial Narrow" w:hAnsi="Arial Narrow" w:eastAsia="等线"/>
                <w:color w:val="000000"/>
                <w:szCs w:val="21"/>
              </w:rPr>
              <w:t xml:space="preserve">6,179,870.46 </w:t>
            </w:r>
          </w:p>
        </w:tc>
        <w:tc>
          <w:tcPr>
            <w:tcW w:w="1097" w:type="pct"/>
            <w:vAlign w:val="center"/>
          </w:tcPr>
          <w:p w14:paraId="3E044A3C">
            <w:pPr>
              <w:jc w:val="right"/>
              <w:rPr>
                <w:rFonts w:hint="eastAsia"/>
                <w:szCs w:val="21"/>
              </w:rPr>
            </w:pPr>
          </w:p>
        </w:tc>
        <w:tc>
          <w:tcPr>
            <w:tcW w:w="1097" w:type="pct"/>
            <w:vAlign w:val="center"/>
          </w:tcPr>
          <w:p w14:paraId="45A0A3AF">
            <w:pPr>
              <w:jc w:val="right"/>
              <w:rPr>
                <w:rFonts w:hint="eastAsia"/>
                <w:szCs w:val="21"/>
              </w:rPr>
            </w:pPr>
          </w:p>
        </w:tc>
        <w:tc>
          <w:tcPr>
            <w:tcW w:w="943" w:type="pct"/>
            <w:vAlign w:val="center"/>
          </w:tcPr>
          <w:p w14:paraId="3EB439C8">
            <w:pPr>
              <w:jc w:val="right"/>
              <w:rPr>
                <w:rFonts w:hint="eastAsia"/>
                <w:szCs w:val="21"/>
              </w:rPr>
            </w:pPr>
            <w:r>
              <w:rPr>
                <w:rFonts w:ascii="Arial Narrow" w:hAnsi="Arial Narrow" w:eastAsia="等线"/>
                <w:color w:val="000000"/>
                <w:szCs w:val="21"/>
              </w:rPr>
              <w:t xml:space="preserve">6,179,870.46 </w:t>
            </w:r>
          </w:p>
        </w:tc>
      </w:tr>
      <w:tr w14:paraId="3919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22596860">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其他变动</w:t>
            </w:r>
          </w:p>
        </w:tc>
        <w:tc>
          <w:tcPr>
            <w:tcW w:w="862" w:type="pct"/>
            <w:vAlign w:val="center"/>
          </w:tcPr>
          <w:p w14:paraId="5B05F2A8">
            <w:pPr>
              <w:jc w:val="right"/>
              <w:rPr>
                <w:rFonts w:hint="eastAsia"/>
                <w:szCs w:val="21"/>
              </w:rPr>
            </w:pPr>
          </w:p>
        </w:tc>
        <w:tc>
          <w:tcPr>
            <w:tcW w:w="1097" w:type="pct"/>
            <w:vAlign w:val="center"/>
          </w:tcPr>
          <w:p w14:paraId="0E3AF153">
            <w:pPr>
              <w:jc w:val="right"/>
              <w:rPr>
                <w:rFonts w:hint="eastAsia"/>
                <w:szCs w:val="21"/>
              </w:rPr>
            </w:pPr>
          </w:p>
        </w:tc>
        <w:tc>
          <w:tcPr>
            <w:tcW w:w="1097" w:type="pct"/>
            <w:vAlign w:val="center"/>
          </w:tcPr>
          <w:p w14:paraId="0648ABE9">
            <w:pPr>
              <w:jc w:val="right"/>
              <w:rPr>
                <w:rFonts w:hint="eastAsia"/>
                <w:szCs w:val="21"/>
              </w:rPr>
            </w:pPr>
            <w:r>
              <w:rPr>
                <w:rFonts w:ascii="Arial Narrow" w:hAnsi="Arial Narrow" w:eastAsia="等线"/>
                <w:color w:val="000000"/>
                <w:szCs w:val="21"/>
              </w:rPr>
              <w:t xml:space="preserve">-6,673,299.57 </w:t>
            </w:r>
          </w:p>
        </w:tc>
        <w:tc>
          <w:tcPr>
            <w:tcW w:w="943" w:type="pct"/>
            <w:vAlign w:val="center"/>
          </w:tcPr>
          <w:p w14:paraId="2CF7CA4F">
            <w:pPr>
              <w:jc w:val="right"/>
              <w:rPr>
                <w:rFonts w:hint="eastAsia"/>
                <w:szCs w:val="21"/>
              </w:rPr>
            </w:pPr>
            <w:r>
              <w:rPr>
                <w:rFonts w:ascii="Arial Narrow" w:hAnsi="Arial Narrow" w:eastAsia="等线"/>
                <w:color w:val="000000"/>
                <w:szCs w:val="21"/>
              </w:rPr>
              <w:t xml:space="preserve">-6,673,299.57 </w:t>
            </w:r>
          </w:p>
        </w:tc>
      </w:tr>
      <w:tr w14:paraId="1EE6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081B9F9">
            <w:pPr>
              <w:pStyle w:val="50"/>
              <w:spacing w:after="0" w:line="240" w:lineRule="auto"/>
              <w:rPr>
                <w:rFonts w:hint="eastAsia" w:ascii="宋体" w:hAnsi="宋体" w:eastAsia="宋体" w:cs="宋体"/>
                <w:sz w:val="21"/>
                <w:szCs w:val="21"/>
                <w:lang w:eastAsia="zh-CN"/>
              </w:rPr>
            </w:pPr>
            <w:r>
              <w:rPr>
                <w:rFonts w:ascii="宋体" w:hAnsi="宋体" w:eastAsia="宋体" w:cs="宋体"/>
                <w:sz w:val="21"/>
                <w:szCs w:val="21"/>
                <w:lang w:eastAsia="zh-CN"/>
              </w:rPr>
              <w:t>2024年12月31日</w:t>
            </w:r>
            <w:r>
              <w:rPr>
                <w:rFonts w:hint="eastAsia" w:ascii="宋体" w:hAnsi="宋体" w:eastAsia="宋体" w:cs="宋体"/>
                <w:sz w:val="21"/>
                <w:szCs w:val="21"/>
                <w:lang w:eastAsia="zh-CN"/>
              </w:rPr>
              <w:t>余额</w:t>
            </w:r>
          </w:p>
        </w:tc>
        <w:tc>
          <w:tcPr>
            <w:tcW w:w="862" w:type="pct"/>
            <w:vAlign w:val="center"/>
          </w:tcPr>
          <w:p w14:paraId="5BC848E4">
            <w:pPr>
              <w:jc w:val="right"/>
              <w:rPr>
                <w:rFonts w:hint="eastAsia"/>
                <w:szCs w:val="21"/>
              </w:rPr>
            </w:pPr>
            <w:r>
              <w:rPr>
                <w:rFonts w:ascii="Arial Narrow" w:hAnsi="Arial Narrow" w:eastAsia="等线"/>
                <w:color w:val="000000"/>
                <w:szCs w:val="21"/>
              </w:rPr>
              <w:t xml:space="preserve">121,704,480.11 </w:t>
            </w:r>
          </w:p>
        </w:tc>
        <w:tc>
          <w:tcPr>
            <w:tcW w:w="1097" w:type="pct"/>
            <w:vAlign w:val="center"/>
          </w:tcPr>
          <w:p w14:paraId="2DA13EF3">
            <w:pPr>
              <w:jc w:val="right"/>
              <w:rPr>
                <w:rFonts w:hint="eastAsia"/>
                <w:szCs w:val="21"/>
              </w:rPr>
            </w:pPr>
          </w:p>
        </w:tc>
        <w:tc>
          <w:tcPr>
            <w:tcW w:w="1097" w:type="pct"/>
            <w:vAlign w:val="center"/>
          </w:tcPr>
          <w:p w14:paraId="1DF8CE3D">
            <w:pPr>
              <w:jc w:val="right"/>
              <w:rPr>
                <w:rFonts w:hint="eastAsia"/>
                <w:szCs w:val="21"/>
              </w:rPr>
            </w:pPr>
            <w:r>
              <w:rPr>
                <w:rFonts w:ascii="Arial Narrow" w:hAnsi="Arial Narrow" w:eastAsia="等线"/>
                <w:color w:val="000000"/>
                <w:szCs w:val="21"/>
              </w:rPr>
              <w:t xml:space="preserve">1,362,503,906.57 </w:t>
            </w:r>
          </w:p>
        </w:tc>
        <w:tc>
          <w:tcPr>
            <w:tcW w:w="943" w:type="pct"/>
            <w:vAlign w:val="center"/>
          </w:tcPr>
          <w:p w14:paraId="6D0CCB74">
            <w:pPr>
              <w:jc w:val="right"/>
              <w:rPr>
                <w:rFonts w:hint="eastAsia"/>
                <w:szCs w:val="21"/>
              </w:rPr>
            </w:pPr>
            <w:r>
              <w:rPr>
                <w:rFonts w:ascii="Arial Narrow" w:hAnsi="Arial Narrow" w:eastAsia="等线"/>
                <w:color w:val="000000"/>
                <w:szCs w:val="21"/>
              </w:rPr>
              <w:t xml:space="preserve">1,484,208,386.68 </w:t>
            </w:r>
          </w:p>
        </w:tc>
      </w:tr>
    </w:tbl>
    <w:p w14:paraId="4111A87C">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其他应收款各阶段划分依据和坏账准备计提比例"/>
        <w:tag w:val="_GBC_d878dae05a464cf69eea4a309bb1cd21"/>
        <w:id w:val="989071182"/>
        <w:placeholder>
          <w:docPart w:val="GBC22222222222222222222222222222"/>
        </w:placeholder>
      </w:sdtPr>
      <w:sdtEndPr>
        <w:rPr>
          <w:rFonts w:cs="Times New Roman"/>
          <w:bCs/>
          <w:szCs w:val="22"/>
        </w:rPr>
      </w:sdtEndPr>
      <w:sdtContent>
        <w:p w14:paraId="5D797AC8">
          <w:pPr>
            <w:rPr>
              <w:rFonts w:hint="eastAsia" w:cs="Times New Roman"/>
              <w:bCs/>
              <w:szCs w:val="22"/>
            </w:rPr>
          </w:pPr>
          <w:r>
            <w:rPr>
              <w:rFonts w:hint="eastAsia" w:cs="Times New Roman"/>
              <w:bCs/>
              <w:szCs w:val="22"/>
            </w:rPr>
            <w:t>无</w:t>
          </w:r>
        </w:p>
      </w:sdtContent>
    </w:sdt>
    <w:p w14:paraId="18682D6A">
      <w:pPr>
        <w:rPr>
          <w:rFonts w:hint="eastAsia"/>
        </w:rPr>
      </w:pPr>
    </w:p>
    <w:p w14:paraId="6FA2FE6B">
      <w:pPr>
        <w:pStyle w:val="12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2008860353"/>
        <w:placeholder>
          <w:docPart w:val="GBC22222222222222222222222222222"/>
        </w:placeholder>
      </w:sdtPr>
      <w:sdtContent>
        <w:p w14:paraId="3DDF723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02D504B">
      <w:pPr>
        <w:rPr>
          <w:rFonts w:hint="eastAsia"/>
        </w:rPr>
      </w:pPr>
    </w:p>
    <w:bookmarkEnd w:id="278"/>
    <w:p w14:paraId="256E1C72">
      <w:pPr>
        <w:rPr>
          <w:rFonts w:hint="eastAsia"/>
        </w:rPr>
      </w:pPr>
      <w:bookmarkStart w:id="279" w:name="_Hlk534806817"/>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443438be92c7443db5842cb1e5d811cd"/>
        <w:id w:val="1115551997"/>
        <w:placeholder>
          <w:docPart w:val="GBC22222222222222222222222222222"/>
        </w:placeholder>
      </w:sdtPr>
      <w:sdtContent>
        <w:p w14:paraId="7887BEA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AAAB23E">
      <w:pPr>
        <w:rPr>
          <w:rFonts w:hint="eastAsia"/>
        </w:rPr>
      </w:pPr>
    </w:p>
    <w:bookmarkEnd w:id="279"/>
    <w:p w14:paraId="51849B69">
      <w:pPr>
        <w:pStyle w:val="72"/>
        <w:numPr>
          <w:ilvl w:val="0"/>
          <w:numId w:val="117"/>
        </w:numPr>
        <w:ind w:leftChars="0"/>
      </w:pPr>
      <w:bookmarkStart w:id="280" w:name="_Hlk532831394"/>
      <w:r>
        <w:rPr>
          <w:rFonts w:hint="eastAsia"/>
        </w:rPr>
        <w:t>坏账准备的情况</w:t>
      </w:r>
    </w:p>
    <w:sdt>
      <w:sdtPr>
        <w:alias w:val="是否适用：其他应收款坏账准备[双击切换]"/>
        <w:tag w:val="_GBC_524ff4c8c6e549ef8e2bf00ca72ddbb6"/>
        <w:id w:val="2104231108"/>
        <w:placeholder>
          <w:docPart w:val="GBC22222222222222222222222222222"/>
        </w:placeholder>
      </w:sdtPr>
      <w:sdtContent>
        <w:p w14:paraId="674AEF66">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CEF73E">
      <w:pPr>
        <w:pStyle w:val="109"/>
        <w:snapToGrid w:val="0"/>
        <w:spacing w:line="240" w:lineRule="atLeast"/>
        <w:ind w:left="425" w:firstLine="0" w:firstLineChars="0"/>
        <w:jc w:val="right"/>
        <w:rPr>
          <w:szCs w:val="21"/>
        </w:rPr>
      </w:pPr>
      <w:r>
        <w:rPr>
          <w:rFonts w:hint="eastAsia"/>
          <w:szCs w:val="21"/>
        </w:rPr>
        <w:t>单位：</w:t>
      </w:r>
      <w:sdt>
        <w:sdtPr>
          <w:rPr>
            <w:rFonts w:hint="eastAsia"/>
            <w:szCs w:val="21"/>
          </w:rPr>
          <w:alias w:val="单位：其他应收款坏账准备"/>
          <w:tag w:val="_GBC_a1cc48852f8047719c9f4b9326a997e3"/>
          <w:id w:val="6820913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
          <w:tag w:val="_GBC_cc05d2791f5f4983a0b6c04ec0989295"/>
          <w:id w:val="11270464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436"/>
        <w:gridCol w:w="1503"/>
        <w:gridCol w:w="1548"/>
        <w:gridCol w:w="1184"/>
        <w:gridCol w:w="1184"/>
        <w:gridCol w:w="1465"/>
        <w:gridCol w:w="1503"/>
      </w:tblGrid>
      <w:tr w14:paraId="3760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26385dc5e422410c8676e4fee82120cb"/>
            <w:id w:val="-2118060230"/>
          </w:sdtPr>
          <w:sdtContent>
            <w:tc>
              <w:tcPr>
                <w:tcW w:w="247" w:type="pct"/>
                <w:vMerge w:val="restart"/>
                <w:shd w:val="clear" w:color="auto" w:fill="FFFFFF"/>
                <w:vAlign w:val="center"/>
              </w:tcPr>
              <w:p w14:paraId="5EEFE189">
                <w:pPr>
                  <w:widowControl w:val="0"/>
                  <w:jc w:val="center"/>
                  <w:rPr>
                    <w:rFonts w:hint="eastAsia"/>
                  </w:rPr>
                </w:pPr>
                <w:r>
                  <w:t>类别</w:t>
                </w:r>
              </w:p>
            </w:tc>
          </w:sdtContent>
        </w:sdt>
        <w:sdt>
          <w:sdtPr>
            <w:tag w:val="_PLD_325dd74545cb4f67921ea1cc7ed20a2b"/>
            <w:id w:val="-925261294"/>
          </w:sdtPr>
          <w:sdtContent>
            <w:tc>
              <w:tcPr>
                <w:tcW w:w="852" w:type="pct"/>
                <w:vMerge w:val="restart"/>
                <w:shd w:val="clear" w:color="auto" w:fill="FFFFFF"/>
                <w:vAlign w:val="center"/>
              </w:tcPr>
              <w:p w14:paraId="33AC20B5">
                <w:pPr>
                  <w:widowControl w:val="0"/>
                  <w:jc w:val="center"/>
                  <w:rPr>
                    <w:rFonts w:hint="eastAsia"/>
                  </w:rPr>
                </w:pPr>
                <w:r>
                  <w:t>期初余额</w:t>
                </w:r>
              </w:p>
            </w:tc>
          </w:sdtContent>
        </w:sdt>
        <w:sdt>
          <w:sdtPr>
            <w:tag w:val="_PLD_d513696ccf0b46ccb4ea6d2ef23dbbd2"/>
            <w:id w:val="-350188409"/>
          </w:sdtPr>
          <w:sdtContent>
            <w:tc>
              <w:tcPr>
                <w:tcW w:w="3049" w:type="pct"/>
                <w:gridSpan w:val="4"/>
                <w:shd w:val="clear" w:color="auto" w:fill="FFFFFF"/>
                <w:vAlign w:val="center"/>
              </w:tcPr>
              <w:p w14:paraId="6D6F94B8">
                <w:pPr>
                  <w:widowControl w:val="0"/>
                  <w:jc w:val="center"/>
                  <w:rPr>
                    <w:rFonts w:hint="eastAsia"/>
                  </w:rPr>
                </w:pPr>
                <w:r>
                  <w:rPr>
                    <w:rFonts w:hint="eastAsia"/>
                  </w:rPr>
                  <w:t>本期变动</w:t>
                </w:r>
                <w:r>
                  <w:t>金额</w:t>
                </w:r>
              </w:p>
            </w:tc>
          </w:sdtContent>
        </w:sdt>
        <w:sdt>
          <w:sdtPr>
            <w:tag w:val="_PLD_20b48d7d53584edf917ab5d4207d6a9c"/>
            <w:id w:val="2124185570"/>
          </w:sdtPr>
          <w:sdtContent>
            <w:tc>
              <w:tcPr>
                <w:tcW w:w="852" w:type="pct"/>
                <w:vMerge w:val="restart"/>
                <w:shd w:val="clear" w:color="auto" w:fill="FFFFFF"/>
                <w:vAlign w:val="center"/>
              </w:tcPr>
              <w:p w14:paraId="6CA9564B">
                <w:pPr>
                  <w:widowControl w:val="0"/>
                  <w:jc w:val="center"/>
                  <w:rPr>
                    <w:rFonts w:hint="eastAsia"/>
                  </w:rPr>
                </w:pPr>
                <w:r>
                  <w:t>期末余额</w:t>
                </w:r>
              </w:p>
            </w:tc>
          </w:sdtContent>
        </w:sdt>
      </w:tr>
      <w:tr w14:paraId="77D7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247" w:type="pct"/>
            <w:vMerge w:val="continue"/>
            <w:shd w:val="clear" w:color="auto" w:fill="FFFFFF"/>
          </w:tcPr>
          <w:p w14:paraId="0B447E57">
            <w:pPr>
              <w:widowControl w:val="0"/>
              <w:jc w:val="center"/>
              <w:rPr>
                <w:rFonts w:hint="eastAsia"/>
              </w:rPr>
            </w:pPr>
          </w:p>
        </w:tc>
        <w:tc>
          <w:tcPr>
            <w:tcW w:w="852" w:type="pct"/>
            <w:vMerge w:val="continue"/>
            <w:shd w:val="clear" w:color="auto" w:fill="FFFFFF"/>
          </w:tcPr>
          <w:p w14:paraId="5DAF7691">
            <w:pPr>
              <w:widowControl w:val="0"/>
              <w:jc w:val="center"/>
              <w:rPr>
                <w:rFonts w:hint="eastAsia"/>
              </w:rPr>
            </w:pPr>
          </w:p>
        </w:tc>
        <w:sdt>
          <w:sdtPr>
            <w:tag w:val="_PLD_97824acb5c834e9fbe6cf8e4b6cac761"/>
            <w:id w:val="1484357466"/>
          </w:sdtPr>
          <w:sdtContent>
            <w:tc>
              <w:tcPr>
                <w:tcW w:w="904" w:type="pct"/>
                <w:shd w:val="clear" w:color="auto" w:fill="FFFFFF"/>
                <w:vAlign w:val="center"/>
              </w:tcPr>
              <w:p w14:paraId="2F6483E6">
                <w:pPr>
                  <w:widowControl w:val="0"/>
                  <w:jc w:val="center"/>
                  <w:rPr>
                    <w:rFonts w:hint="eastAsia"/>
                  </w:rPr>
                </w:pPr>
                <w:r>
                  <w:t>计提</w:t>
                </w:r>
              </w:p>
            </w:tc>
          </w:sdtContent>
        </w:sdt>
        <w:sdt>
          <w:sdtPr>
            <w:tag w:val="_PLD_233002cee9bc4108842b58a08731b243"/>
            <w:id w:val="-195928948"/>
          </w:sdtPr>
          <w:sdtContent>
            <w:tc>
              <w:tcPr>
                <w:tcW w:w="671" w:type="pct"/>
                <w:shd w:val="clear" w:color="auto" w:fill="FFFFFF"/>
                <w:vAlign w:val="center"/>
              </w:tcPr>
              <w:p w14:paraId="3E24E59F">
                <w:pPr>
                  <w:widowControl w:val="0"/>
                  <w:jc w:val="center"/>
                  <w:rPr>
                    <w:rFonts w:hint="eastAsia"/>
                  </w:rPr>
                </w:pPr>
                <w:r>
                  <w:rPr>
                    <w:rFonts w:hint="eastAsia"/>
                  </w:rPr>
                  <w:t>收回或转回</w:t>
                </w:r>
              </w:p>
            </w:tc>
          </w:sdtContent>
        </w:sdt>
        <w:sdt>
          <w:sdtPr>
            <w:tag w:val="_PLD_6bcdf2328a584128aba90aa75e33c767"/>
            <w:id w:val="-857657453"/>
          </w:sdtPr>
          <w:sdtContent>
            <w:tc>
              <w:tcPr>
                <w:tcW w:w="617" w:type="pct"/>
                <w:shd w:val="clear" w:color="auto" w:fill="FFFFFF"/>
                <w:vAlign w:val="center"/>
              </w:tcPr>
              <w:p w14:paraId="2889E126">
                <w:pPr>
                  <w:widowControl w:val="0"/>
                  <w:jc w:val="center"/>
                  <w:rPr>
                    <w:rFonts w:hint="eastAsia"/>
                  </w:rPr>
                </w:pPr>
                <w:r>
                  <w:rPr>
                    <w:rFonts w:hint="eastAsia"/>
                  </w:rPr>
                  <w:t>转销或核销</w:t>
                </w:r>
              </w:p>
            </w:tc>
          </w:sdtContent>
        </w:sdt>
        <w:tc>
          <w:tcPr>
            <w:tcW w:w="857" w:type="pct"/>
            <w:shd w:val="clear" w:color="auto" w:fill="FFFFFF"/>
            <w:vAlign w:val="center"/>
          </w:tcPr>
          <w:sdt>
            <w:sdtPr>
              <w:tag w:val="_PLD_da684cd2e7cd4d42baf40bc9d95a0ce8"/>
              <w:id w:val="1829091396"/>
            </w:sdtPr>
            <w:sdtContent>
              <w:p w14:paraId="4C8F4738">
                <w:pPr>
                  <w:widowControl w:val="0"/>
                  <w:jc w:val="center"/>
                  <w:rPr>
                    <w:rFonts w:hint="eastAsia"/>
                  </w:rPr>
                </w:pPr>
                <w:r>
                  <w:rPr>
                    <w:rFonts w:hint="eastAsia"/>
                  </w:rPr>
                  <w:t>其他变动</w:t>
                </w:r>
              </w:p>
            </w:sdtContent>
          </w:sdt>
        </w:tc>
        <w:tc>
          <w:tcPr>
            <w:tcW w:w="852" w:type="pct"/>
            <w:vMerge w:val="continue"/>
            <w:shd w:val="clear" w:color="auto" w:fill="FFFFFF"/>
          </w:tcPr>
          <w:p w14:paraId="2FAC1612">
            <w:pPr>
              <w:widowControl w:val="0"/>
              <w:jc w:val="right"/>
              <w:rPr>
                <w:rFonts w:hint="eastAsia"/>
              </w:rPr>
            </w:pPr>
          </w:p>
        </w:tc>
      </w:tr>
      <w:tr w14:paraId="6C99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247" w:type="pct"/>
            <w:shd w:val="clear" w:color="auto" w:fill="auto"/>
          </w:tcPr>
          <w:p w14:paraId="230F9AF9">
            <w:pPr>
              <w:widowControl w:val="0"/>
              <w:rPr>
                <w:rFonts w:hint="eastAsia"/>
              </w:rPr>
            </w:pPr>
            <w:r>
              <w:rPr>
                <w:rFonts w:hint="eastAsia"/>
                <w:color w:val="000000"/>
                <w:szCs w:val="21"/>
              </w:rPr>
              <w:t>坏账准备</w:t>
            </w:r>
          </w:p>
        </w:tc>
        <w:tc>
          <w:tcPr>
            <w:tcW w:w="852" w:type="pct"/>
            <w:shd w:val="clear" w:color="auto" w:fill="auto"/>
            <w:vAlign w:val="center"/>
          </w:tcPr>
          <w:p w14:paraId="28B90478">
            <w:pPr>
              <w:widowControl w:val="0"/>
              <w:jc w:val="right"/>
              <w:rPr>
                <w:rFonts w:hint="eastAsia"/>
                <w:sz w:val="20"/>
                <w:szCs w:val="20"/>
              </w:rPr>
            </w:pPr>
            <w:r>
              <w:rPr>
                <w:rFonts w:ascii="Arial Narrow" w:hAnsi="Arial Narrow" w:eastAsia="等线"/>
                <w:color w:val="000000"/>
                <w:sz w:val="20"/>
                <w:szCs w:val="20"/>
              </w:rPr>
              <w:t xml:space="preserve">1,203,894,729.97 </w:t>
            </w:r>
          </w:p>
        </w:tc>
        <w:tc>
          <w:tcPr>
            <w:tcW w:w="904" w:type="pct"/>
            <w:shd w:val="clear" w:color="auto" w:fill="auto"/>
            <w:vAlign w:val="center"/>
          </w:tcPr>
          <w:p w14:paraId="5CED4A68">
            <w:pPr>
              <w:widowControl w:val="0"/>
              <w:jc w:val="right"/>
              <w:rPr>
                <w:rFonts w:hint="eastAsia"/>
                <w:sz w:val="20"/>
                <w:szCs w:val="20"/>
              </w:rPr>
            </w:pPr>
            <w:r>
              <w:rPr>
                <w:rFonts w:ascii="Arial Narrow" w:hAnsi="Arial Narrow" w:eastAsia="等线"/>
                <w:color w:val="000000"/>
                <w:sz w:val="20"/>
                <w:szCs w:val="20"/>
              </w:rPr>
              <w:t xml:space="preserve">295,542,024.70 </w:t>
            </w:r>
          </w:p>
        </w:tc>
        <w:tc>
          <w:tcPr>
            <w:tcW w:w="671" w:type="pct"/>
            <w:shd w:val="clear" w:color="auto" w:fill="auto"/>
            <w:vAlign w:val="center"/>
          </w:tcPr>
          <w:p w14:paraId="164C5751">
            <w:pPr>
              <w:widowControl w:val="0"/>
              <w:jc w:val="right"/>
              <w:rPr>
                <w:rFonts w:hint="eastAsia"/>
                <w:sz w:val="20"/>
                <w:szCs w:val="20"/>
              </w:rPr>
            </w:pPr>
            <w:r>
              <w:rPr>
                <w:rFonts w:ascii="Arial Narrow" w:hAnsi="Arial Narrow" w:eastAsia="等线"/>
                <w:color w:val="000000"/>
                <w:sz w:val="20"/>
                <w:szCs w:val="20"/>
              </w:rPr>
              <w:t xml:space="preserve">2,375,197.96 </w:t>
            </w:r>
          </w:p>
        </w:tc>
        <w:tc>
          <w:tcPr>
            <w:tcW w:w="617" w:type="pct"/>
            <w:vAlign w:val="center"/>
          </w:tcPr>
          <w:p w14:paraId="09BE889C">
            <w:pPr>
              <w:widowControl w:val="0"/>
              <w:jc w:val="right"/>
              <w:rPr>
                <w:rFonts w:hint="eastAsia"/>
                <w:sz w:val="20"/>
                <w:szCs w:val="20"/>
              </w:rPr>
            </w:pPr>
            <w:r>
              <w:rPr>
                <w:rFonts w:ascii="Arial Narrow" w:hAnsi="Arial Narrow" w:eastAsia="等线"/>
                <w:color w:val="000000"/>
                <w:sz w:val="20"/>
                <w:szCs w:val="20"/>
              </w:rPr>
              <w:t xml:space="preserve">6,179,870.46 </w:t>
            </w:r>
          </w:p>
        </w:tc>
        <w:tc>
          <w:tcPr>
            <w:tcW w:w="857" w:type="pct"/>
            <w:vAlign w:val="center"/>
          </w:tcPr>
          <w:p w14:paraId="6D8B7567">
            <w:pPr>
              <w:widowControl w:val="0"/>
              <w:jc w:val="right"/>
              <w:rPr>
                <w:rFonts w:hint="eastAsia"/>
                <w:sz w:val="20"/>
                <w:szCs w:val="20"/>
              </w:rPr>
            </w:pPr>
            <w:r>
              <w:rPr>
                <w:rFonts w:ascii="Arial Narrow" w:hAnsi="Arial Narrow" w:eastAsia="等线"/>
                <w:color w:val="000000"/>
                <w:sz w:val="20"/>
                <w:szCs w:val="20"/>
              </w:rPr>
              <w:t xml:space="preserve">-6,673,299.57 </w:t>
            </w:r>
          </w:p>
        </w:tc>
        <w:tc>
          <w:tcPr>
            <w:tcW w:w="852" w:type="pct"/>
            <w:shd w:val="clear" w:color="auto" w:fill="auto"/>
            <w:vAlign w:val="center"/>
          </w:tcPr>
          <w:p w14:paraId="1A23DB1E">
            <w:pPr>
              <w:widowControl w:val="0"/>
              <w:jc w:val="right"/>
              <w:rPr>
                <w:rFonts w:hint="eastAsia"/>
                <w:sz w:val="20"/>
                <w:szCs w:val="20"/>
              </w:rPr>
            </w:pPr>
            <w:r>
              <w:rPr>
                <w:rFonts w:ascii="Arial Narrow" w:hAnsi="Arial Narrow" w:eastAsia="等线"/>
                <w:color w:val="000000"/>
                <w:sz w:val="20"/>
                <w:szCs w:val="20"/>
              </w:rPr>
              <w:t xml:space="preserve">1,484,208,386.68 </w:t>
            </w:r>
          </w:p>
        </w:tc>
      </w:tr>
      <w:tr w14:paraId="64C0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247" w:type="pct"/>
            <w:shd w:val="clear" w:color="auto" w:fill="auto"/>
          </w:tcPr>
          <w:p w14:paraId="53DF3197">
            <w:pPr>
              <w:widowControl w:val="0"/>
              <w:jc w:val="center"/>
              <w:rPr>
                <w:rFonts w:hint="eastAsia"/>
              </w:rPr>
            </w:pPr>
            <w:r>
              <w:rPr>
                <w:rFonts w:hint="eastAsia"/>
              </w:rPr>
              <w:t>合计</w:t>
            </w:r>
          </w:p>
        </w:tc>
        <w:tc>
          <w:tcPr>
            <w:tcW w:w="852" w:type="pct"/>
            <w:shd w:val="clear" w:color="auto" w:fill="auto"/>
            <w:vAlign w:val="center"/>
          </w:tcPr>
          <w:p w14:paraId="347E558F">
            <w:pPr>
              <w:widowControl w:val="0"/>
              <w:jc w:val="right"/>
              <w:rPr>
                <w:rFonts w:hint="eastAsia"/>
                <w:sz w:val="20"/>
                <w:szCs w:val="20"/>
              </w:rPr>
            </w:pPr>
            <w:r>
              <w:rPr>
                <w:rFonts w:ascii="Arial Narrow" w:hAnsi="Arial Narrow" w:eastAsia="等线"/>
                <w:color w:val="000000"/>
                <w:sz w:val="20"/>
                <w:szCs w:val="20"/>
              </w:rPr>
              <w:t xml:space="preserve">1,203,894,729.97 </w:t>
            </w:r>
          </w:p>
        </w:tc>
        <w:tc>
          <w:tcPr>
            <w:tcW w:w="904" w:type="pct"/>
            <w:shd w:val="clear" w:color="auto" w:fill="auto"/>
            <w:vAlign w:val="center"/>
          </w:tcPr>
          <w:p w14:paraId="6DA51168">
            <w:pPr>
              <w:widowControl w:val="0"/>
              <w:jc w:val="right"/>
              <w:rPr>
                <w:rFonts w:hint="eastAsia"/>
                <w:sz w:val="20"/>
                <w:szCs w:val="20"/>
              </w:rPr>
            </w:pPr>
            <w:r>
              <w:rPr>
                <w:rFonts w:ascii="Arial Narrow" w:hAnsi="Arial Narrow" w:eastAsia="等线"/>
                <w:color w:val="000000"/>
                <w:sz w:val="20"/>
                <w:szCs w:val="20"/>
              </w:rPr>
              <w:t xml:space="preserve">295,542,024.70 </w:t>
            </w:r>
          </w:p>
        </w:tc>
        <w:tc>
          <w:tcPr>
            <w:tcW w:w="671" w:type="pct"/>
            <w:shd w:val="clear" w:color="auto" w:fill="auto"/>
            <w:vAlign w:val="center"/>
          </w:tcPr>
          <w:p w14:paraId="7099C767">
            <w:pPr>
              <w:widowControl w:val="0"/>
              <w:jc w:val="right"/>
              <w:rPr>
                <w:rFonts w:hint="eastAsia"/>
                <w:sz w:val="20"/>
                <w:szCs w:val="20"/>
              </w:rPr>
            </w:pPr>
            <w:r>
              <w:rPr>
                <w:rFonts w:ascii="Arial Narrow" w:hAnsi="Arial Narrow" w:eastAsia="等线"/>
                <w:color w:val="000000"/>
                <w:sz w:val="20"/>
                <w:szCs w:val="20"/>
              </w:rPr>
              <w:t xml:space="preserve">2,375,197.96 </w:t>
            </w:r>
          </w:p>
        </w:tc>
        <w:tc>
          <w:tcPr>
            <w:tcW w:w="617" w:type="pct"/>
            <w:vAlign w:val="center"/>
          </w:tcPr>
          <w:p w14:paraId="5683A7BD">
            <w:pPr>
              <w:widowControl w:val="0"/>
              <w:jc w:val="right"/>
              <w:rPr>
                <w:rFonts w:hint="eastAsia"/>
                <w:sz w:val="20"/>
                <w:szCs w:val="20"/>
              </w:rPr>
            </w:pPr>
            <w:r>
              <w:rPr>
                <w:rFonts w:ascii="Arial Narrow" w:hAnsi="Arial Narrow" w:eastAsia="等线"/>
                <w:color w:val="000000"/>
                <w:sz w:val="20"/>
                <w:szCs w:val="20"/>
              </w:rPr>
              <w:t xml:space="preserve">6,179,870.46 </w:t>
            </w:r>
          </w:p>
        </w:tc>
        <w:tc>
          <w:tcPr>
            <w:tcW w:w="857" w:type="pct"/>
            <w:vAlign w:val="center"/>
          </w:tcPr>
          <w:p w14:paraId="13C6D81A">
            <w:pPr>
              <w:widowControl w:val="0"/>
              <w:jc w:val="right"/>
              <w:rPr>
                <w:rFonts w:hint="eastAsia"/>
                <w:sz w:val="20"/>
                <w:szCs w:val="20"/>
              </w:rPr>
            </w:pPr>
            <w:r>
              <w:rPr>
                <w:rFonts w:ascii="Arial Narrow" w:hAnsi="Arial Narrow" w:eastAsia="等线"/>
                <w:color w:val="000000"/>
                <w:sz w:val="20"/>
                <w:szCs w:val="20"/>
              </w:rPr>
              <w:t xml:space="preserve">-6,673,299.57 </w:t>
            </w:r>
          </w:p>
        </w:tc>
        <w:tc>
          <w:tcPr>
            <w:tcW w:w="852" w:type="pct"/>
            <w:shd w:val="clear" w:color="auto" w:fill="auto"/>
            <w:vAlign w:val="center"/>
          </w:tcPr>
          <w:p w14:paraId="4E5D1A23">
            <w:pPr>
              <w:widowControl w:val="0"/>
              <w:jc w:val="right"/>
              <w:rPr>
                <w:rFonts w:hint="eastAsia"/>
                <w:sz w:val="20"/>
                <w:szCs w:val="20"/>
              </w:rPr>
            </w:pPr>
            <w:r>
              <w:rPr>
                <w:rFonts w:ascii="Arial Narrow" w:hAnsi="Arial Narrow" w:eastAsia="等线"/>
                <w:color w:val="000000"/>
                <w:sz w:val="20"/>
                <w:szCs w:val="20"/>
              </w:rPr>
              <w:t xml:space="preserve">1,484,208,386.68 </w:t>
            </w:r>
          </w:p>
        </w:tc>
      </w:tr>
    </w:tbl>
    <w:p w14:paraId="4A4DF2B9">
      <w:pPr>
        <w:rPr>
          <w:rFonts w:hint="eastAsia"/>
        </w:rPr>
      </w:pPr>
    </w:p>
    <w:p w14:paraId="2B657927">
      <w:pPr>
        <w:rPr>
          <w:rFonts w:hint="eastAsia"/>
        </w:rPr>
      </w:pPr>
      <w:bookmarkStart w:id="281" w:name="_Hlk154157836"/>
      <w:r>
        <w:rPr>
          <w:rFonts w:hint="eastAsia"/>
        </w:rPr>
        <w:t>其中本期坏账准备转回或收回金额重要的：</w:t>
      </w:r>
    </w:p>
    <w:sdt>
      <w:sdtPr>
        <w:alias w:val="是否适用：其中本期其他应收账款坏账准备收回或转回金额重要的[双击切换]"/>
        <w:tag w:val="_GBC_c99a80b9a36440d7b9ed3ce899868361"/>
        <w:id w:val="1761399210"/>
        <w:placeholder>
          <w:docPart w:val="GBC22222222222222222222222222222"/>
        </w:placeholder>
      </w:sdtPr>
      <w:sdtContent>
        <w:p w14:paraId="545C053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E4B69BF">
      <w:pPr>
        <w:rPr>
          <w:rFonts w:hint="eastAsia"/>
        </w:rPr>
      </w:pPr>
    </w:p>
    <w:p w14:paraId="6940C766">
      <w:pPr>
        <w:rPr>
          <w:rFonts w:hint="eastAsia"/>
        </w:rPr>
      </w:pPr>
      <w:r>
        <w:rPr>
          <w:rFonts w:hint="eastAsia"/>
        </w:rPr>
        <w:t>其他说明：</w:t>
      </w:r>
    </w:p>
    <w:sdt>
      <w:sdtPr>
        <w:rPr>
          <w:highlight w:val="yellow"/>
        </w:rPr>
        <w:alias w:val="其他应收款坏账准备情况的说明"/>
        <w:tag w:val="_GBC_ea3d549b97f449188fd9e2f767cdcd6c"/>
        <w:id w:val="1772124687"/>
        <w:placeholder>
          <w:docPart w:val="GBC22222222222222222222222222222"/>
        </w:placeholder>
      </w:sdtPr>
      <w:sdtEndPr>
        <w:rPr>
          <w:highlight w:val="none"/>
        </w:rPr>
      </w:sdtEndPr>
      <w:sdtContent>
        <w:p w14:paraId="752E8BA3">
          <w:pPr>
            <w:rPr>
              <w:rFonts w:hint="eastAsia"/>
            </w:rPr>
          </w:pPr>
          <w:r>
            <w:rPr>
              <w:rFonts w:hint="eastAsia"/>
            </w:rPr>
            <w:t>无</w:t>
          </w:r>
        </w:p>
      </w:sdtContent>
    </w:sdt>
    <w:bookmarkEnd w:id="280"/>
    <w:bookmarkEnd w:id="281"/>
    <w:p w14:paraId="15AFE886">
      <w:pPr>
        <w:pStyle w:val="72"/>
        <w:numPr>
          <w:ilvl w:val="0"/>
          <w:numId w:val="117"/>
        </w:numPr>
        <w:ind w:leftChars="0"/>
      </w:pPr>
      <w:r>
        <w:rPr>
          <w:rFonts w:hint="eastAsia"/>
        </w:rPr>
        <w:t>本期实际核销的其他应收款情况</w:t>
      </w:r>
    </w:p>
    <w:sdt>
      <w:sdtPr>
        <w:alias w:val="是否适用：本期实际核销的其他应收款情况[双击切换]"/>
        <w:tag w:val="_GBC_2ce86125d6b94b148fa674141e6497b1"/>
        <w:id w:val="-350571829"/>
        <w:placeholder>
          <w:docPart w:val="GBC22222222222222222222222222222"/>
        </w:placeholder>
      </w:sdtPr>
      <w:sdtContent>
        <w:p w14:paraId="18781D5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30A8971">
      <w:pPr>
        <w:jc w:val="right"/>
        <w:rPr>
          <w:rFonts w:hint="eastAsia"/>
          <w:szCs w:val="21"/>
        </w:rPr>
      </w:pPr>
      <w:r>
        <w:rPr>
          <w:rFonts w:hint="eastAsia"/>
          <w:szCs w:val="21"/>
        </w:rPr>
        <w:t>单位：</w:t>
      </w:r>
      <w:sdt>
        <w:sdtPr>
          <w:rPr>
            <w:rFonts w:hint="eastAsia"/>
            <w:szCs w:val="21"/>
          </w:rPr>
          <w:alias w:val="单位：财务附注：本报告期实际核销的其他应收款项情况"/>
          <w:tag w:val="_GBC_b44e35ef641b42dbb8431fa4625a2457"/>
          <w:id w:val="18593062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10445962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394"/>
        <w:gridCol w:w="4429"/>
      </w:tblGrid>
      <w:tr w14:paraId="506D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37dfaf7051a145ae922646054d926a0e"/>
            <w:id w:val="-1358492680"/>
          </w:sdtPr>
          <w:sdtContent>
            <w:tc>
              <w:tcPr>
                <w:tcW w:w="2490" w:type="pct"/>
              </w:tcPr>
              <w:p w14:paraId="56479109">
                <w:pPr>
                  <w:ind w:right="73"/>
                  <w:jc w:val="center"/>
                  <w:rPr>
                    <w:rFonts w:hint="eastAsia"/>
                    <w:szCs w:val="21"/>
                  </w:rPr>
                </w:pPr>
                <w:r>
                  <w:rPr>
                    <w:rFonts w:hint="eastAsia"/>
                    <w:szCs w:val="21"/>
                  </w:rPr>
                  <w:t>项目</w:t>
                </w:r>
              </w:p>
            </w:tc>
          </w:sdtContent>
        </w:sdt>
        <w:sdt>
          <w:sdtPr>
            <w:tag w:val="_PLD_57b56183aec749d9a0e8479977704a0b"/>
            <w:id w:val="1638987609"/>
          </w:sdtPr>
          <w:sdtContent>
            <w:tc>
              <w:tcPr>
                <w:tcW w:w="2510" w:type="pct"/>
              </w:tcPr>
              <w:p w14:paraId="1293F012">
                <w:pPr>
                  <w:ind w:right="73"/>
                  <w:jc w:val="center"/>
                  <w:rPr>
                    <w:rFonts w:hint="eastAsia"/>
                    <w:szCs w:val="21"/>
                  </w:rPr>
                </w:pPr>
                <w:r>
                  <w:rPr>
                    <w:rFonts w:hint="eastAsia"/>
                    <w:szCs w:val="21"/>
                  </w:rPr>
                  <w:t>核销金额</w:t>
                </w:r>
              </w:p>
            </w:tc>
          </w:sdtContent>
        </w:sdt>
      </w:tr>
      <w:tr w14:paraId="7F8C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490" w:type="pct"/>
          </w:tcPr>
          <w:p w14:paraId="19DE4992">
            <w:pPr>
              <w:ind w:right="73"/>
              <w:rPr>
                <w:rFonts w:hint="eastAsia"/>
                <w:szCs w:val="21"/>
              </w:rPr>
            </w:pPr>
            <w:r>
              <w:rPr>
                <w:rFonts w:hint="eastAsia"/>
                <w:szCs w:val="21"/>
              </w:rPr>
              <w:t>实际核销的其他应收款</w:t>
            </w:r>
          </w:p>
        </w:tc>
        <w:tc>
          <w:tcPr>
            <w:tcW w:w="2510" w:type="pct"/>
            <w:vAlign w:val="center"/>
          </w:tcPr>
          <w:p w14:paraId="7FB93755">
            <w:pPr>
              <w:ind w:right="73"/>
              <w:jc w:val="right"/>
              <w:rPr>
                <w:rFonts w:ascii="Arial Narrow" w:hAnsi="Arial Narrow"/>
                <w:szCs w:val="21"/>
              </w:rPr>
            </w:pPr>
            <w:r>
              <w:rPr>
                <w:rFonts w:ascii="Arial Narrow" w:hAnsi="Arial Narrow"/>
                <w:szCs w:val="21"/>
              </w:rPr>
              <w:t>6,179,870.46</w:t>
            </w:r>
          </w:p>
        </w:tc>
      </w:tr>
    </w:tbl>
    <w:p w14:paraId="54F4A9FF">
      <w:pPr>
        <w:rPr>
          <w:rFonts w:hint="eastAsia"/>
          <w:szCs w:val="21"/>
        </w:rPr>
      </w:pPr>
    </w:p>
    <w:p w14:paraId="492A8BF4">
      <w:pPr>
        <w:rPr>
          <w:rFonts w:hint="eastAsia"/>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1869277696"/>
        <w:placeholder>
          <w:docPart w:val="GBC22222222222222222222222222222"/>
        </w:placeholder>
      </w:sdtPr>
      <w:sdtEndPr>
        <w:rPr>
          <w:szCs w:val="21"/>
        </w:rPr>
      </w:sdtEndPr>
      <w:sdtContent>
        <w:p w14:paraId="0047F433">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36FF2DC">
      <w:pPr>
        <w:jc w:val="right"/>
        <w:rPr>
          <w:rFonts w:hint="eastAsia"/>
          <w:szCs w:val="21"/>
        </w:rPr>
      </w:pPr>
      <w:r>
        <w:rPr>
          <w:rFonts w:hint="eastAsia"/>
          <w:szCs w:val="21"/>
        </w:rPr>
        <w:t>单位：</w:t>
      </w:r>
      <w:sdt>
        <w:sdtPr>
          <w:rPr>
            <w:rFonts w:hint="eastAsia"/>
            <w:szCs w:val="21"/>
          </w:rPr>
          <w:alias w:val="单位：财务附注：重要的其他应收账款核销情况"/>
          <w:tag w:val="_GBC_2ba624a41490414fa1cf15c47aa464b7"/>
          <w:id w:val="12274138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重要的其他应收账款核销情况"/>
          <w:tag w:val="_GBC_9fb7c57030f54bb4b1a264ab6cc1497d"/>
          <w:id w:val="20407024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1405"/>
        <w:gridCol w:w="1475"/>
        <w:gridCol w:w="1293"/>
        <w:gridCol w:w="1498"/>
        <w:gridCol w:w="1599"/>
      </w:tblGrid>
      <w:tr w14:paraId="2FE4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2184ea9a5dbf45c4ba014b2f6fa3fc93"/>
            <w:id w:val="-918402807"/>
          </w:sdtPr>
          <w:sdtEndPr>
            <w:rPr>
              <w:rFonts w:ascii="Arial Narrow" w:hAnsi="Arial Narrow" w:eastAsiaTheme="minorEastAsia"/>
            </w:rPr>
          </w:sdtEndPr>
          <w:sdtContent>
            <w:tc>
              <w:tcPr>
                <w:tcW w:w="880" w:type="pct"/>
                <w:shd w:val="clear" w:color="auto" w:fill="auto"/>
                <w:vAlign w:val="center"/>
              </w:tcPr>
              <w:p w14:paraId="58C4D3D0">
                <w:pPr>
                  <w:jc w:val="center"/>
                  <w:rPr>
                    <w:rFonts w:ascii="Arial Narrow" w:hAnsi="Arial Narrow" w:eastAsiaTheme="minorEastAsia"/>
                    <w:szCs w:val="21"/>
                  </w:rPr>
                </w:pPr>
                <w:r>
                  <w:rPr>
                    <w:rFonts w:ascii="Arial Narrow" w:hAnsi="Arial Narrow" w:eastAsiaTheme="minorEastAsia"/>
                    <w:szCs w:val="21"/>
                  </w:rPr>
                  <w:t>单位名称</w:t>
                </w:r>
              </w:p>
            </w:tc>
          </w:sdtContent>
        </w:sdt>
        <w:sdt>
          <w:sdtPr>
            <w:rPr>
              <w:rFonts w:ascii="Arial Narrow" w:hAnsi="Arial Narrow" w:eastAsiaTheme="minorEastAsia"/>
            </w:rPr>
            <w:tag w:val="_PLD_9b69402b5fdd4a91844568505c88f991"/>
            <w:id w:val="-1218202993"/>
          </w:sdtPr>
          <w:sdtEndPr>
            <w:rPr>
              <w:rFonts w:ascii="Arial Narrow" w:hAnsi="Arial Narrow" w:eastAsiaTheme="minorEastAsia"/>
            </w:rPr>
          </w:sdtEndPr>
          <w:sdtContent>
            <w:tc>
              <w:tcPr>
                <w:tcW w:w="796" w:type="pct"/>
                <w:shd w:val="clear" w:color="auto" w:fill="auto"/>
                <w:vAlign w:val="center"/>
              </w:tcPr>
              <w:p w14:paraId="11FEBE63">
                <w:pPr>
                  <w:jc w:val="center"/>
                  <w:rPr>
                    <w:rFonts w:ascii="Arial Narrow" w:hAnsi="Arial Narrow" w:eastAsiaTheme="minorEastAsia"/>
                    <w:szCs w:val="21"/>
                  </w:rPr>
                </w:pPr>
                <w:r>
                  <w:rPr>
                    <w:rFonts w:ascii="Arial Narrow" w:hAnsi="Arial Narrow" w:eastAsiaTheme="minorEastAsia"/>
                    <w:szCs w:val="21"/>
                  </w:rPr>
                  <w:t>其他应收款性质</w:t>
                </w:r>
              </w:p>
            </w:tc>
          </w:sdtContent>
        </w:sdt>
        <w:sdt>
          <w:sdtPr>
            <w:rPr>
              <w:rFonts w:ascii="Arial Narrow" w:hAnsi="Arial Narrow" w:eastAsiaTheme="minorEastAsia"/>
            </w:rPr>
            <w:tag w:val="_PLD_6eae3ef7bd3543d58882285508f9ec59"/>
            <w:id w:val="-2031716870"/>
          </w:sdtPr>
          <w:sdtEndPr>
            <w:rPr>
              <w:rFonts w:ascii="Arial Narrow" w:hAnsi="Arial Narrow" w:eastAsiaTheme="minorEastAsia"/>
            </w:rPr>
          </w:sdtEndPr>
          <w:sdtContent>
            <w:tc>
              <w:tcPr>
                <w:tcW w:w="836" w:type="pct"/>
                <w:tcBorders>
                  <w:bottom w:val="single" w:color="auto" w:sz="4" w:space="0"/>
                </w:tcBorders>
                <w:shd w:val="clear" w:color="auto" w:fill="auto"/>
                <w:vAlign w:val="center"/>
              </w:tcPr>
              <w:p w14:paraId="74DA9E0C">
                <w:pPr>
                  <w:jc w:val="center"/>
                  <w:rPr>
                    <w:rFonts w:ascii="Arial Narrow" w:hAnsi="Arial Narrow" w:eastAsiaTheme="minorEastAsia"/>
                    <w:szCs w:val="21"/>
                  </w:rPr>
                </w:pPr>
                <w:r>
                  <w:rPr>
                    <w:rFonts w:ascii="Arial Narrow" w:hAnsi="Arial Narrow" w:eastAsiaTheme="minorEastAsia"/>
                    <w:szCs w:val="21"/>
                  </w:rPr>
                  <w:t>核销金额</w:t>
                </w:r>
              </w:p>
            </w:tc>
          </w:sdtContent>
        </w:sdt>
        <w:sdt>
          <w:sdtPr>
            <w:rPr>
              <w:rFonts w:ascii="Arial Narrow" w:hAnsi="Arial Narrow" w:eastAsiaTheme="minorEastAsia"/>
            </w:rPr>
            <w:tag w:val="_PLD_787c4e3814d04c798ccca9025bcaff47"/>
            <w:id w:val="1498698289"/>
          </w:sdtPr>
          <w:sdtEndPr>
            <w:rPr>
              <w:rFonts w:ascii="Arial Narrow" w:hAnsi="Arial Narrow" w:eastAsiaTheme="minorEastAsia"/>
            </w:rPr>
          </w:sdtEndPr>
          <w:sdtContent>
            <w:tc>
              <w:tcPr>
                <w:tcW w:w="733" w:type="pct"/>
                <w:shd w:val="clear" w:color="auto" w:fill="auto"/>
                <w:vAlign w:val="center"/>
              </w:tcPr>
              <w:p w14:paraId="01EE3A82">
                <w:pPr>
                  <w:jc w:val="center"/>
                  <w:rPr>
                    <w:rFonts w:ascii="Arial Narrow" w:hAnsi="Arial Narrow" w:eastAsiaTheme="minorEastAsia"/>
                    <w:szCs w:val="21"/>
                  </w:rPr>
                </w:pPr>
                <w:r>
                  <w:rPr>
                    <w:rFonts w:ascii="Arial Narrow" w:hAnsi="Arial Narrow" w:eastAsiaTheme="minorEastAsia"/>
                    <w:szCs w:val="21"/>
                  </w:rPr>
                  <w:t>核销原因</w:t>
                </w:r>
              </w:p>
            </w:tc>
          </w:sdtContent>
        </w:sdt>
        <w:sdt>
          <w:sdtPr>
            <w:rPr>
              <w:rFonts w:ascii="Arial Narrow" w:hAnsi="Arial Narrow" w:eastAsiaTheme="minorEastAsia"/>
            </w:rPr>
            <w:tag w:val="_PLD_0e166e7f1ab94190b8207226bc7e6cb5"/>
            <w:id w:val="1976948559"/>
          </w:sdtPr>
          <w:sdtEndPr>
            <w:rPr>
              <w:rFonts w:ascii="Arial Narrow" w:hAnsi="Arial Narrow" w:eastAsiaTheme="minorEastAsia"/>
            </w:rPr>
          </w:sdtEndPr>
          <w:sdtContent>
            <w:tc>
              <w:tcPr>
                <w:tcW w:w="849" w:type="pct"/>
                <w:shd w:val="clear" w:color="auto" w:fill="auto"/>
                <w:vAlign w:val="center"/>
              </w:tcPr>
              <w:p w14:paraId="2B47425A">
                <w:pPr>
                  <w:jc w:val="center"/>
                  <w:rPr>
                    <w:rFonts w:ascii="Arial Narrow" w:hAnsi="Arial Narrow" w:eastAsiaTheme="minorEastAsia"/>
                    <w:szCs w:val="21"/>
                  </w:rPr>
                </w:pPr>
                <w:r>
                  <w:rPr>
                    <w:rFonts w:ascii="Arial Narrow" w:hAnsi="Arial Narrow" w:eastAsiaTheme="minorEastAsia"/>
                    <w:szCs w:val="21"/>
                  </w:rPr>
                  <w:t>履行的核销程序</w:t>
                </w:r>
              </w:p>
            </w:tc>
          </w:sdtContent>
        </w:sdt>
        <w:sdt>
          <w:sdtPr>
            <w:rPr>
              <w:rFonts w:ascii="Arial Narrow" w:hAnsi="Arial Narrow" w:eastAsiaTheme="minorEastAsia"/>
            </w:rPr>
            <w:tag w:val="_PLD_5ddd0b419ba1467c85c3578b7ef32935"/>
            <w:id w:val="1808655075"/>
          </w:sdtPr>
          <w:sdtEndPr>
            <w:rPr>
              <w:rFonts w:ascii="Arial Narrow" w:hAnsi="Arial Narrow" w:eastAsiaTheme="minorEastAsia"/>
            </w:rPr>
          </w:sdtEndPr>
          <w:sdtContent>
            <w:tc>
              <w:tcPr>
                <w:tcW w:w="906" w:type="pct"/>
                <w:shd w:val="clear" w:color="auto" w:fill="auto"/>
                <w:vAlign w:val="center"/>
              </w:tcPr>
              <w:p w14:paraId="67C94838">
                <w:pPr>
                  <w:jc w:val="center"/>
                  <w:rPr>
                    <w:rFonts w:ascii="Arial Narrow" w:hAnsi="Arial Narrow" w:eastAsiaTheme="minorEastAsia"/>
                    <w:szCs w:val="21"/>
                  </w:rPr>
                </w:pPr>
                <w:r>
                  <w:rPr>
                    <w:rFonts w:ascii="Arial Narrow" w:hAnsi="Arial Narrow" w:eastAsiaTheme="minorEastAsia"/>
                    <w:szCs w:val="21"/>
                  </w:rPr>
                  <w:t>款项是否由关联交易产生</w:t>
                </w:r>
              </w:p>
            </w:tc>
          </w:sdtContent>
        </w:sdt>
      </w:tr>
      <w:tr w14:paraId="19BF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pct"/>
            <w:shd w:val="clear" w:color="auto" w:fill="auto"/>
            <w:vAlign w:val="center"/>
          </w:tcPr>
          <w:p w14:paraId="697B7BDF">
            <w:pPr>
              <w:rPr>
                <w:rFonts w:ascii="Arial Narrow" w:hAnsi="Arial Narrow" w:eastAsiaTheme="minorEastAsia"/>
                <w:szCs w:val="21"/>
              </w:rPr>
            </w:pPr>
            <w:r>
              <w:rPr>
                <w:rFonts w:ascii="Arial Narrow" w:hAnsi="Arial Narrow" w:eastAsiaTheme="minorEastAsia"/>
                <w:color w:val="000000"/>
                <w:szCs w:val="21"/>
              </w:rPr>
              <w:t>包头市浩源煤炭有限责任公司</w:t>
            </w:r>
          </w:p>
        </w:tc>
        <w:tc>
          <w:tcPr>
            <w:tcW w:w="796" w:type="pct"/>
            <w:tcBorders>
              <w:bottom w:val="single" w:color="auto" w:sz="4" w:space="0"/>
            </w:tcBorders>
            <w:shd w:val="clear" w:color="auto" w:fill="auto"/>
            <w:vAlign w:val="center"/>
          </w:tcPr>
          <w:p w14:paraId="414C0C34">
            <w:pPr>
              <w:rPr>
                <w:rFonts w:ascii="Arial Narrow" w:hAnsi="Arial Narrow" w:eastAsiaTheme="minorEastAsia"/>
                <w:szCs w:val="21"/>
              </w:rPr>
            </w:pPr>
            <w:r>
              <w:rPr>
                <w:rFonts w:ascii="Arial Narrow" w:hAnsi="Arial Narrow" w:eastAsiaTheme="minorEastAsia"/>
                <w:color w:val="000000"/>
                <w:szCs w:val="21"/>
              </w:rPr>
              <w:t>应收保证金</w:t>
            </w:r>
          </w:p>
        </w:tc>
        <w:tc>
          <w:tcPr>
            <w:tcW w:w="836" w:type="pct"/>
            <w:tcBorders>
              <w:bottom w:val="single" w:color="auto" w:sz="4" w:space="0"/>
            </w:tcBorders>
            <w:shd w:val="clear" w:color="auto" w:fill="auto"/>
            <w:vAlign w:val="center"/>
          </w:tcPr>
          <w:p w14:paraId="1D7CF9D7">
            <w:pPr>
              <w:jc w:val="right"/>
              <w:rPr>
                <w:rFonts w:ascii="Arial Narrow" w:hAnsi="Arial Narrow" w:eastAsiaTheme="minorEastAsia"/>
                <w:szCs w:val="21"/>
              </w:rPr>
            </w:pPr>
            <w:r>
              <w:rPr>
                <w:rFonts w:ascii="Arial Narrow" w:hAnsi="Arial Narrow" w:eastAsiaTheme="minorEastAsia"/>
                <w:color w:val="000000"/>
                <w:szCs w:val="21"/>
              </w:rPr>
              <w:t xml:space="preserve">6,123,218.28 </w:t>
            </w:r>
          </w:p>
        </w:tc>
        <w:tc>
          <w:tcPr>
            <w:tcW w:w="733" w:type="pct"/>
            <w:tcBorders>
              <w:bottom w:val="single" w:color="auto" w:sz="4" w:space="0"/>
            </w:tcBorders>
            <w:shd w:val="clear" w:color="auto" w:fill="auto"/>
            <w:vAlign w:val="center"/>
          </w:tcPr>
          <w:p w14:paraId="5E896380">
            <w:pPr>
              <w:rPr>
                <w:rFonts w:ascii="Arial Narrow" w:hAnsi="Arial Narrow" w:eastAsiaTheme="minorEastAsia"/>
                <w:szCs w:val="21"/>
              </w:rPr>
            </w:pPr>
            <w:r>
              <w:rPr>
                <w:rFonts w:hint="eastAsia" w:ascii="Arial Narrow" w:hAnsi="Arial Narrow" w:eastAsiaTheme="minorEastAsia"/>
                <w:color w:val="000000"/>
                <w:szCs w:val="21"/>
              </w:rPr>
              <w:t>工商吊销、</w:t>
            </w:r>
            <w:r>
              <w:rPr>
                <w:rFonts w:ascii="Arial Narrow" w:hAnsi="Arial Narrow" w:eastAsiaTheme="minorEastAsia"/>
                <w:color w:val="000000"/>
                <w:szCs w:val="21"/>
              </w:rPr>
              <w:t>超过15年以上</w:t>
            </w:r>
          </w:p>
        </w:tc>
        <w:tc>
          <w:tcPr>
            <w:tcW w:w="849" w:type="pct"/>
            <w:tcBorders>
              <w:bottom w:val="single" w:color="auto" w:sz="4" w:space="0"/>
            </w:tcBorders>
            <w:shd w:val="clear" w:color="auto" w:fill="auto"/>
            <w:vAlign w:val="center"/>
          </w:tcPr>
          <w:p w14:paraId="57BB20C2">
            <w:pPr>
              <w:rPr>
                <w:rFonts w:ascii="Arial Narrow" w:hAnsi="Arial Narrow" w:eastAsiaTheme="minorEastAsia"/>
                <w:szCs w:val="21"/>
              </w:rPr>
            </w:pPr>
            <w:r>
              <w:rPr>
                <w:rFonts w:hint="eastAsia" w:ascii="Arial Narrow" w:hAnsi="Arial Narrow" w:eastAsiaTheme="minorEastAsia"/>
                <w:color w:val="000000"/>
                <w:szCs w:val="21"/>
              </w:rPr>
              <w:t>所属企业</w:t>
            </w:r>
            <w:r>
              <w:rPr>
                <w:rFonts w:ascii="Arial Narrow" w:hAnsi="Arial Narrow" w:eastAsiaTheme="minorEastAsia"/>
                <w:color w:val="000000"/>
                <w:szCs w:val="21"/>
              </w:rPr>
              <w:t>总经理办公会议</w:t>
            </w:r>
          </w:p>
        </w:tc>
        <w:tc>
          <w:tcPr>
            <w:tcW w:w="906" w:type="pct"/>
            <w:tcBorders>
              <w:bottom w:val="single" w:color="auto" w:sz="4" w:space="0"/>
            </w:tcBorders>
            <w:shd w:val="clear" w:color="auto" w:fill="auto"/>
            <w:vAlign w:val="center"/>
          </w:tcPr>
          <w:p w14:paraId="40E48499">
            <w:pPr>
              <w:rPr>
                <w:rFonts w:ascii="Arial Narrow" w:hAnsi="Arial Narrow" w:eastAsiaTheme="minorEastAsia"/>
                <w:szCs w:val="21"/>
              </w:rPr>
            </w:pPr>
            <w:r>
              <w:rPr>
                <w:rFonts w:ascii="Arial Narrow" w:hAnsi="Arial Narrow" w:eastAsiaTheme="minorEastAsia"/>
                <w:color w:val="000000"/>
                <w:szCs w:val="21"/>
              </w:rPr>
              <w:t>否</w:t>
            </w:r>
          </w:p>
        </w:tc>
      </w:tr>
      <w:tr w14:paraId="4322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pct"/>
            <w:shd w:val="clear" w:color="auto" w:fill="auto"/>
            <w:vAlign w:val="center"/>
          </w:tcPr>
          <w:p w14:paraId="3938EE2B">
            <w:pPr>
              <w:jc w:val="center"/>
              <w:rPr>
                <w:rFonts w:ascii="Arial Narrow" w:hAnsi="Arial Narrow" w:eastAsiaTheme="minorEastAsia"/>
                <w:szCs w:val="21"/>
              </w:rPr>
            </w:pPr>
            <w:r>
              <w:rPr>
                <w:rFonts w:ascii="Arial Narrow" w:hAnsi="Arial Narrow" w:eastAsiaTheme="minorEastAsia"/>
                <w:szCs w:val="21"/>
              </w:rPr>
              <w:t>合计</w:t>
            </w:r>
          </w:p>
        </w:tc>
        <w:tc>
          <w:tcPr>
            <w:tcW w:w="796" w:type="pct"/>
            <w:shd w:val="clear" w:color="auto" w:fill="auto"/>
          </w:tcPr>
          <w:p w14:paraId="5815AB94">
            <w:pPr>
              <w:jc w:val="center"/>
              <w:rPr>
                <w:rFonts w:ascii="Arial Narrow" w:hAnsi="Arial Narrow" w:eastAsiaTheme="minorEastAsia"/>
                <w:szCs w:val="21"/>
              </w:rPr>
            </w:pPr>
            <w:r>
              <w:rPr>
                <w:rFonts w:ascii="Arial Narrow" w:hAnsi="Arial Narrow" w:eastAsiaTheme="minorEastAsia"/>
                <w:szCs w:val="21"/>
              </w:rPr>
              <w:t>/</w:t>
            </w:r>
          </w:p>
        </w:tc>
        <w:tc>
          <w:tcPr>
            <w:tcW w:w="836" w:type="pct"/>
            <w:shd w:val="clear" w:color="auto" w:fill="auto"/>
            <w:vAlign w:val="center"/>
          </w:tcPr>
          <w:p w14:paraId="5264434D">
            <w:pPr>
              <w:jc w:val="right"/>
              <w:rPr>
                <w:rFonts w:ascii="Arial Narrow" w:hAnsi="Arial Narrow" w:eastAsiaTheme="minorEastAsia"/>
                <w:szCs w:val="21"/>
              </w:rPr>
            </w:pPr>
            <w:r>
              <w:rPr>
                <w:rFonts w:ascii="Arial Narrow" w:hAnsi="Arial Narrow" w:eastAsiaTheme="minorEastAsia"/>
                <w:color w:val="000000"/>
                <w:szCs w:val="21"/>
              </w:rPr>
              <w:t xml:space="preserve">6,123,218.28 </w:t>
            </w:r>
          </w:p>
        </w:tc>
        <w:tc>
          <w:tcPr>
            <w:tcW w:w="733" w:type="pct"/>
            <w:shd w:val="clear" w:color="auto" w:fill="auto"/>
          </w:tcPr>
          <w:p w14:paraId="6B76C872">
            <w:pPr>
              <w:jc w:val="center"/>
              <w:rPr>
                <w:rFonts w:ascii="Arial Narrow" w:hAnsi="Arial Narrow" w:eastAsiaTheme="minorEastAsia"/>
                <w:szCs w:val="21"/>
              </w:rPr>
            </w:pPr>
            <w:r>
              <w:rPr>
                <w:rFonts w:ascii="Arial Narrow" w:hAnsi="Arial Narrow" w:eastAsiaTheme="minorEastAsia"/>
                <w:szCs w:val="21"/>
              </w:rPr>
              <w:t>/</w:t>
            </w:r>
          </w:p>
        </w:tc>
        <w:tc>
          <w:tcPr>
            <w:tcW w:w="849" w:type="pct"/>
            <w:shd w:val="clear" w:color="auto" w:fill="auto"/>
          </w:tcPr>
          <w:p w14:paraId="46F4B7B2">
            <w:pPr>
              <w:jc w:val="center"/>
              <w:rPr>
                <w:rFonts w:ascii="Arial Narrow" w:hAnsi="Arial Narrow" w:eastAsiaTheme="minorEastAsia"/>
                <w:szCs w:val="21"/>
              </w:rPr>
            </w:pPr>
            <w:r>
              <w:rPr>
                <w:rFonts w:ascii="Arial Narrow" w:hAnsi="Arial Narrow" w:eastAsiaTheme="minorEastAsia"/>
                <w:szCs w:val="21"/>
              </w:rPr>
              <w:t>/</w:t>
            </w:r>
          </w:p>
        </w:tc>
        <w:tc>
          <w:tcPr>
            <w:tcW w:w="906" w:type="pct"/>
            <w:shd w:val="clear" w:color="auto" w:fill="auto"/>
          </w:tcPr>
          <w:p w14:paraId="3538124A">
            <w:pPr>
              <w:jc w:val="center"/>
              <w:rPr>
                <w:rFonts w:ascii="Arial Narrow" w:hAnsi="Arial Narrow" w:eastAsiaTheme="minorEastAsia"/>
                <w:szCs w:val="21"/>
              </w:rPr>
            </w:pPr>
            <w:r>
              <w:rPr>
                <w:rFonts w:ascii="Arial Narrow" w:hAnsi="Arial Narrow" w:eastAsiaTheme="minorEastAsia"/>
                <w:szCs w:val="21"/>
              </w:rPr>
              <w:t>/</w:t>
            </w:r>
          </w:p>
        </w:tc>
      </w:tr>
    </w:tbl>
    <w:p w14:paraId="19C59FAC">
      <w:pPr>
        <w:snapToGrid w:val="0"/>
        <w:spacing w:line="240" w:lineRule="atLeast"/>
        <w:rPr>
          <w:rFonts w:hint="eastAsia"/>
          <w:szCs w:val="21"/>
        </w:rPr>
      </w:pPr>
    </w:p>
    <w:p w14:paraId="4D8B388A">
      <w:pPr>
        <w:snapToGrid w:val="0"/>
        <w:spacing w:line="240" w:lineRule="atLeast"/>
        <w:rPr>
          <w:rFonts w:hint="eastAsia"/>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2141946968"/>
        <w:placeholder>
          <w:docPart w:val="GBC22222222222222222222222222222"/>
        </w:placeholder>
      </w:sdtPr>
      <w:sdtEndPr>
        <w:rPr>
          <w:szCs w:val="21"/>
        </w:rPr>
      </w:sdtEndPr>
      <w:sdtContent>
        <w:p w14:paraId="7104E2AB">
          <w:pPr>
            <w:snapToGrid w:val="0"/>
            <w:spacing w:line="240" w:lineRule="atLeast"/>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378A079">
      <w:pPr>
        <w:snapToGrid w:val="0"/>
        <w:spacing w:line="240" w:lineRule="atLeast"/>
        <w:rPr>
          <w:rFonts w:hint="eastAsia"/>
          <w:szCs w:val="21"/>
        </w:rPr>
      </w:pPr>
      <w:sdt>
        <w:sdtPr>
          <w:rPr>
            <w:szCs w:val="21"/>
          </w:rPr>
          <w:alias w:val="其他应收款冲销坏帐明细的说明"/>
          <w:tag w:val="_GBC_351df66de7814b7bb5dc9f4adee6772f"/>
          <w:id w:val="970325245"/>
          <w:placeholder>
            <w:docPart w:val="GBC22222222222222222222222222222"/>
          </w:placeholder>
        </w:sdtPr>
        <w:sdtEndPr>
          <w:rPr>
            <w:szCs w:val="21"/>
          </w:rPr>
        </w:sdtEndPr>
        <w:sdtContent>
          <w:r>
            <w:rPr>
              <w:rFonts w:hint="eastAsia"/>
              <w:szCs w:val="21"/>
            </w:rPr>
            <w:t>无</w:t>
          </w:r>
        </w:sdtContent>
      </w:sdt>
    </w:p>
    <w:p w14:paraId="25B12098">
      <w:pPr>
        <w:snapToGrid w:val="0"/>
        <w:spacing w:line="240" w:lineRule="atLeast"/>
        <w:rPr>
          <w:rFonts w:hint="eastAsia"/>
          <w:szCs w:val="21"/>
        </w:rPr>
      </w:pPr>
    </w:p>
    <w:p w14:paraId="173C2A82">
      <w:pPr>
        <w:pStyle w:val="72"/>
        <w:numPr>
          <w:ilvl w:val="0"/>
          <w:numId w:val="117"/>
        </w:numPr>
        <w:ind w:leftChars="0"/>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474215054"/>
        <w:placeholder>
          <w:docPart w:val="GBC22222222222222222222222222222"/>
        </w:placeholder>
      </w:sdtPr>
      <w:sdtContent>
        <w:p w14:paraId="7A37750B">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923390">
      <w:pPr>
        <w:jc w:val="right"/>
        <w:rPr>
          <w:rFonts w:hint="eastAsia"/>
        </w:rPr>
      </w:pPr>
      <w:r>
        <w:rPr>
          <w:rFonts w:hint="eastAsia"/>
        </w:rPr>
        <w:t>单位：</w:t>
      </w:r>
      <w:sdt>
        <w:sdtPr>
          <w:rPr>
            <w:rFonts w:hint="eastAsia"/>
          </w:rPr>
          <w:alias w:val="单位财务附注：其他应收账款前五名欠款情况"/>
          <w:tag w:val="_GBC_06f7a71e039445228d80a5741df4c4f7"/>
          <w:id w:val="2758434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4742574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7"/>
        <w:gridCol w:w="1557"/>
        <w:gridCol w:w="1558"/>
        <w:gridCol w:w="1419"/>
        <w:gridCol w:w="1121"/>
        <w:gridCol w:w="1611"/>
      </w:tblGrid>
      <w:tr w14:paraId="46E9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f30fc2dc8886472699c892f0395ab05e"/>
            <w:id w:val="1395770799"/>
          </w:sdtPr>
          <w:sdtEndPr>
            <w:rPr>
              <w:rFonts w:ascii="Arial Narrow" w:hAnsi="Arial Narrow" w:eastAsiaTheme="minorEastAsia"/>
            </w:rPr>
          </w:sdtEndPr>
          <w:sdtContent>
            <w:tc>
              <w:tcPr>
                <w:tcW w:w="882" w:type="pct"/>
                <w:vAlign w:val="center"/>
              </w:tcPr>
              <w:p w14:paraId="4FD0EBDC">
                <w:pPr>
                  <w:ind w:right="105"/>
                  <w:jc w:val="center"/>
                  <w:rPr>
                    <w:rFonts w:ascii="Arial Narrow" w:hAnsi="Arial Narrow" w:eastAsiaTheme="minorEastAsia"/>
                    <w:szCs w:val="21"/>
                  </w:rPr>
                </w:pPr>
                <w:r>
                  <w:rPr>
                    <w:rFonts w:ascii="Arial Narrow" w:hAnsi="Arial Narrow" w:eastAsiaTheme="minorEastAsia"/>
                    <w:szCs w:val="21"/>
                  </w:rPr>
                  <w:t>单位名称</w:t>
                </w:r>
              </w:p>
            </w:tc>
          </w:sdtContent>
        </w:sdt>
        <w:sdt>
          <w:sdtPr>
            <w:rPr>
              <w:rFonts w:ascii="Arial Narrow" w:hAnsi="Arial Narrow" w:eastAsiaTheme="minorEastAsia"/>
            </w:rPr>
            <w:tag w:val="_PLD_1bc905abb4bf4c679b9fbe0a7587d651"/>
            <w:id w:val="555435088"/>
          </w:sdtPr>
          <w:sdtEndPr>
            <w:rPr>
              <w:rFonts w:ascii="Arial Narrow" w:hAnsi="Arial Narrow" w:eastAsiaTheme="minorEastAsia"/>
            </w:rPr>
          </w:sdtEndPr>
          <w:sdtContent>
            <w:tc>
              <w:tcPr>
                <w:tcW w:w="882" w:type="pct"/>
                <w:vAlign w:val="center"/>
              </w:tcPr>
              <w:p w14:paraId="1CF53AE1">
                <w:pPr>
                  <w:ind w:right="73"/>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055b75c0a3cf450e995ac7e13fdc0c08"/>
            <w:id w:val="-243258990"/>
          </w:sdtPr>
          <w:sdtEndPr>
            <w:rPr>
              <w:rFonts w:ascii="Arial Narrow" w:hAnsi="Arial Narrow" w:eastAsiaTheme="minorEastAsia"/>
            </w:rPr>
          </w:sdtEndPr>
          <w:sdtContent>
            <w:tc>
              <w:tcPr>
                <w:tcW w:w="883" w:type="pct"/>
                <w:vAlign w:val="center"/>
              </w:tcPr>
              <w:p w14:paraId="06E0890E">
                <w:pPr>
                  <w:jc w:val="center"/>
                  <w:rPr>
                    <w:rFonts w:ascii="Arial Narrow" w:hAnsi="Arial Narrow" w:eastAsiaTheme="minorEastAsia"/>
                    <w:szCs w:val="21"/>
                  </w:rPr>
                </w:pPr>
                <w:r>
                  <w:rPr>
                    <w:rFonts w:ascii="Arial Narrow" w:hAnsi="Arial Narrow" w:eastAsiaTheme="minorEastAsia"/>
                    <w:szCs w:val="21"/>
                  </w:rPr>
                  <w:t>占其他应收款期末余额合计数的比例(%)</w:t>
                </w:r>
              </w:p>
            </w:tc>
          </w:sdtContent>
        </w:sdt>
        <w:sdt>
          <w:sdtPr>
            <w:rPr>
              <w:rFonts w:ascii="Arial Narrow" w:hAnsi="Arial Narrow" w:eastAsiaTheme="minorEastAsia"/>
            </w:rPr>
            <w:tag w:val="_PLD_44129b8132114de2a4d33c4acb8af98f"/>
            <w:id w:val="401254526"/>
          </w:sdtPr>
          <w:sdtEndPr>
            <w:rPr>
              <w:rFonts w:ascii="Arial Narrow" w:hAnsi="Arial Narrow" w:eastAsiaTheme="minorEastAsia"/>
            </w:rPr>
          </w:sdtEndPr>
          <w:sdtContent>
            <w:tc>
              <w:tcPr>
                <w:tcW w:w="804" w:type="pct"/>
                <w:vAlign w:val="center"/>
              </w:tcPr>
              <w:p w14:paraId="6EF6A437">
                <w:pPr>
                  <w:ind w:right="73"/>
                  <w:jc w:val="center"/>
                  <w:rPr>
                    <w:rFonts w:ascii="Arial Narrow" w:hAnsi="Arial Narrow" w:eastAsiaTheme="minorEastAsia"/>
                    <w:szCs w:val="21"/>
                  </w:rPr>
                </w:pPr>
                <w:r>
                  <w:rPr>
                    <w:rFonts w:ascii="Arial Narrow" w:hAnsi="Arial Narrow" w:eastAsiaTheme="minorEastAsia"/>
                    <w:szCs w:val="21"/>
                  </w:rPr>
                  <w:t>款项的性质</w:t>
                </w:r>
              </w:p>
            </w:tc>
          </w:sdtContent>
        </w:sdt>
        <w:sdt>
          <w:sdtPr>
            <w:rPr>
              <w:rFonts w:ascii="Arial Narrow" w:hAnsi="Arial Narrow" w:eastAsiaTheme="minorEastAsia"/>
            </w:rPr>
            <w:tag w:val="_PLD_d9231de346f74815b1bc7c82527b1ef5"/>
            <w:id w:val="1250244491"/>
          </w:sdtPr>
          <w:sdtEndPr>
            <w:rPr>
              <w:rFonts w:ascii="Arial Narrow" w:hAnsi="Arial Narrow" w:eastAsiaTheme="minorEastAsia"/>
            </w:rPr>
          </w:sdtEndPr>
          <w:sdtContent>
            <w:tc>
              <w:tcPr>
                <w:tcW w:w="635" w:type="pct"/>
                <w:vAlign w:val="center"/>
              </w:tcPr>
              <w:p w14:paraId="0706D2C9">
                <w:pPr>
                  <w:ind w:right="73"/>
                  <w:jc w:val="center"/>
                  <w:rPr>
                    <w:rFonts w:ascii="Arial Narrow" w:hAnsi="Arial Narrow" w:eastAsiaTheme="minorEastAsia"/>
                    <w:szCs w:val="21"/>
                  </w:rPr>
                </w:pPr>
                <w:r>
                  <w:rPr>
                    <w:rFonts w:ascii="Arial Narrow" w:hAnsi="Arial Narrow" w:eastAsiaTheme="minorEastAsia"/>
                    <w:szCs w:val="21"/>
                  </w:rPr>
                  <w:t>账龄</w:t>
                </w:r>
              </w:p>
            </w:tc>
          </w:sdtContent>
        </w:sdt>
        <w:sdt>
          <w:sdtPr>
            <w:rPr>
              <w:rFonts w:ascii="Arial Narrow" w:hAnsi="Arial Narrow" w:eastAsiaTheme="minorEastAsia"/>
            </w:rPr>
            <w:tag w:val="_PLD_a7951a260c094fc8b8b64f2d1e6a933e"/>
            <w:id w:val="624660284"/>
          </w:sdtPr>
          <w:sdtEndPr>
            <w:rPr>
              <w:rFonts w:ascii="Arial Narrow" w:hAnsi="Arial Narrow" w:eastAsiaTheme="minorEastAsia"/>
            </w:rPr>
          </w:sdtEndPr>
          <w:sdtContent>
            <w:tc>
              <w:tcPr>
                <w:tcW w:w="913" w:type="pct"/>
                <w:vAlign w:val="center"/>
              </w:tcPr>
              <w:p w14:paraId="2BD125CA">
                <w:pPr>
                  <w:jc w:val="center"/>
                  <w:rPr>
                    <w:rFonts w:ascii="Arial Narrow" w:hAnsi="Arial Narrow" w:eastAsiaTheme="minorEastAsia"/>
                    <w:szCs w:val="21"/>
                  </w:rPr>
                </w:pPr>
                <w:r>
                  <w:rPr>
                    <w:rFonts w:ascii="Arial Narrow" w:hAnsi="Arial Narrow" w:eastAsiaTheme="minorEastAsia"/>
                    <w:szCs w:val="21"/>
                  </w:rPr>
                  <w:t>坏账准备</w:t>
                </w:r>
              </w:p>
              <w:p w14:paraId="11A375C6">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00EF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vAlign w:val="center"/>
          </w:tcPr>
          <w:p w14:paraId="1929DB3A">
            <w:pPr>
              <w:ind w:right="105"/>
              <w:jc w:val="center"/>
              <w:rPr>
                <w:rFonts w:ascii="Arial Narrow" w:hAnsi="Arial Narrow" w:eastAsiaTheme="minorEastAsia"/>
                <w:szCs w:val="21"/>
              </w:rPr>
            </w:pPr>
            <w:r>
              <w:rPr>
                <w:rFonts w:hint="eastAsia" w:ascii="Arial Narrow" w:hAnsi="Arial Narrow" w:eastAsiaTheme="minorEastAsia"/>
                <w:color w:val="000000"/>
                <w:szCs w:val="21"/>
              </w:rPr>
              <w:t>债务人一</w:t>
            </w:r>
          </w:p>
        </w:tc>
        <w:tc>
          <w:tcPr>
            <w:tcW w:w="882" w:type="pct"/>
            <w:vAlign w:val="center"/>
          </w:tcPr>
          <w:p w14:paraId="75CBFD22">
            <w:pPr>
              <w:ind w:right="73"/>
              <w:jc w:val="right"/>
              <w:rPr>
                <w:rFonts w:ascii="Arial Narrow" w:hAnsi="Arial Narrow" w:eastAsiaTheme="minorEastAsia"/>
                <w:szCs w:val="21"/>
              </w:rPr>
            </w:pPr>
            <w:r>
              <w:rPr>
                <w:rFonts w:ascii="Arial Narrow" w:hAnsi="Arial Narrow" w:eastAsiaTheme="minorEastAsia"/>
                <w:color w:val="000000"/>
                <w:szCs w:val="21"/>
              </w:rPr>
              <w:t xml:space="preserve">480,528,300.00 </w:t>
            </w:r>
          </w:p>
        </w:tc>
        <w:tc>
          <w:tcPr>
            <w:tcW w:w="883" w:type="pct"/>
            <w:vAlign w:val="center"/>
          </w:tcPr>
          <w:p w14:paraId="2DBB02FB">
            <w:pPr>
              <w:jc w:val="right"/>
              <w:rPr>
                <w:rFonts w:ascii="Arial Narrow" w:hAnsi="Arial Narrow" w:eastAsiaTheme="minorEastAsia"/>
                <w:szCs w:val="21"/>
              </w:rPr>
            </w:pPr>
            <w:r>
              <w:rPr>
                <w:rFonts w:ascii="Arial Narrow" w:hAnsi="Arial Narrow" w:eastAsiaTheme="minorEastAsia"/>
                <w:color w:val="000000"/>
                <w:szCs w:val="21"/>
              </w:rPr>
              <w:t xml:space="preserve">23.14 </w:t>
            </w:r>
          </w:p>
        </w:tc>
        <w:tc>
          <w:tcPr>
            <w:tcW w:w="804" w:type="pct"/>
            <w:vAlign w:val="center"/>
          </w:tcPr>
          <w:p w14:paraId="7A6E13F2">
            <w:pPr>
              <w:ind w:right="73"/>
              <w:rPr>
                <w:rFonts w:ascii="Arial Narrow" w:hAnsi="Arial Narrow" w:eastAsiaTheme="minorEastAsia"/>
                <w:szCs w:val="21"/>
              </w:rPr>
            </w:pPr>
            <w:r>
              <w:rPr>
                <w:rFonts w:hint="eastAsia" w:ascii="Arial Narrow" w:hAnsi="Arial Narrow" w:eastAsiaTheme="minorEastAsia"/>
                <w:color w:val="000000"/>
                <w:szCs w:val="21"/>
              </w:rPr>
              <w:t>涉诉</w:t>
            </w:r>
            <w:r>
              <w:rPr>
                <w:rFonts w:ascii="Arial Narrow" w:hAnsi="Arial Narrow" w:eastAsiaTheme="minorEastAsia"/>
                <w:color w:val="000000"/>
                <w:szCs w:val="21"/>
              </w:rPr>
              <w:t>往来款</w:t>
            </w:r>
          </w:p>
        </w:tc>
        <w:tc>
          <w:tcPr>
            <w:tcW w:w="635" w:type="pct"/>
            <w:vAlign w:val="center"/>
          </w:tcPr>
          <w:p w14:paraId="6C003707">
            <w:pPr>
              <w:ind w:right="73"/>
              <w:rPr>
                <w:rFonts w:ascii="Arial Narrow" w:hAnsi="Arial Narrow" w:eastAsiaTheme="minorEastAsia"/>
                <w:szCs w:val="21"/>
              </w:rPr>
            </w:pPr>
            <w:r>
              <w:rPr>
                <w:rFonts w:ascii="Arial Narrow" w:hAnsi="Arial Narrow" w:eastAsiaTheme="minorEastAsia"/>
                <w:color w:val="000000"/>
                <w:szCs w:val="21"/>
              </w:rPr>
              <w:t>4-5年</w:t>
            </w:r>
          </w:p>
        </w:tc>
        <w:tc>
          <w:tcPr>
            <w:tcW w:w="913" w:type="pct"/>
            <w:vAlign w:val="center"/>
          </w:tcPr>
          <w:p w14:paraId="5F4BFB28">
            <w:pPr>
              <w:jc w:val="right"/>
              <w:rPr>
                <w:rFonts w:ascii="Arial Narrow" w:hAnsi="Arial Narrow" w:eastAsiaTheme="minorEastAsia"/>
                <w:szCs w:val="21"/>
              </w:rPr>
            </w:pPr>
            <w:r>
              <w:rPr>
                <w:rFonts w:ascii="Arial Narrow" w:hAnsi="Arial Narrow" w:eastAsiaTheme="minorEastAsia"/>
                <w:color w:val="000000"/>
                <w:szCs w:val="21"/>
              </w:rPr>
              <w:t xml:space="preserve">353,670,368.00 </w:t>
            </w:r>
          </w:p>
        </w:tc>
      </w:tr>
      <w:tr w14:paraId="563D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vAlign w:val="center"/>
          </w:tcPr>
          <w:p w14:paraId="2496D96D">
            <w:pPr>
              <w:ind w:right="105"/>
              <w:jc w:val="center"/>
              <w:rPr>
                <w:rFonts w:ascii="Arial Narrow" w:hAnsi="Arial Narrow" w:eastAsiaTheme="minorEastAsia"/>
                <w:szCs w:val="21"/>
              </w:rPr>
            </w:pPr>
            <w:r>
              <w:rPr>
                <w:rFonts w:hint="eastAsia" w:ascii="Arial Narrow" w:hAnsi="Arial Narrow" w:eastAsiaTheme="minorEastAsia"/>
                <w:color w:val="000000"/>
                <w:szCs w:val="21"/>
              </w:rPr>
              <w:t>债务人二</w:t>
            </w:r>
          </w:p>
        </w:tc>
        <w:tc>
          <w:tcPr>
            <w:tcW w:w="882" w:type="pct"/>
            <w:vAlign w:val="center"/>
          </w:tcPr>
          <w:p w14:paraId="4A1FE0C5">
            <w:pPr>
              <w:ind w:right="73"/>
              <w:jc w:val="right"/>
              <w:rPr>
                <w:rFonts w:ascii="Arial Narrow" w:hAnsi="Arial Narrow" w:eastAsiaTheme="minorEastAsia"/>
                <w:szCs w:val="21"/>
              </w:rPr>
            </w:pPr>
            <w:r>
              <w:rPr>
                <w:rFonts w:ascii="Arial Narrow" w:hAnsi="Arial Narrow" w:eastAsiaTheme="minorEastAsia"/>
                <w:color w:val="000000"/>
                <w:szCs w:val="21"/>
              </w:rPr>
              <w:t xml:space="preserve">208,180,775.20 </w:t>
            </w:r>
          </w:p>
        </w:tc>
        <w:tc>
          <w:tcPr>
            <w:tcW w:w="883" w:type="pct"/>
            <w:vAlign w:val="center"/>
          </w:tcPr>
          <w:p w14:paraId="43FECBEB">
            <w:pPr>
              <w:jc w:val="right"/>
              <w:rPr>
                <w:rFonts w:ascii="Arial Narrow" w:hAnsi="Arial Narrow" w:eastAsiaTheme="minorEastAsia"/>
                <w:szCs w:val="21"/>
              </w:rPr>
            </w:pPr>
            <w:r>
              <w:rPr>
                <w:rFonts w:ascii="Arial Narrow" w:hAnsi="Arial Narrow" w:eastAsiaTheme="minorEastAsia"/>
                <w:color w:val="000000"/>
                <w:szCs w:val="21"/>
              </w:rPr>
              <w:t xml:space="preserve">10.03 </w:t>
            </w:r>
          </w:p>
        </w:tc>
        <w:tc>
          <w:tcPr>
            <w:tcW w:w="804" w:type="pct"/>
            <w:vAlign w:val="center"/>
          </w:tcPr>
          <w:p w14:paraId="20E1D4DC">
            <w:pPr>
              <w:ind w:right="73"/>
              <w:rPr>
                <w:rFonts w:ascii="Arial Narrow" w:hAnsi="Arial Narrow" w:eastAsiaTheme="minorEastAsia"/>
                <w:szCs w:val="21"/>
              </w:rPr>
            </w:pPr>
            <w:r>
              <w:rPr>
                <w:rFonts w:ascii="Arial Narrow" w:hAnsi="Arial Narrow" w:eastAsiaTheme="minorEastAsia"/>
                <w:color w:val="000000"/>
                <w:szCs w:val="21"/>
              </w:rPr>
              <w:t>往来款</w:t>
            </w:r>
          </w:p>
        </w:tc>
        <w:tc>
          <w:tcPr>
            <w:tcW w:w="635" w:type="pct"/>
            <w:vAlign w:val="center"/>
          </w:tcPr>
          <w:p w14:paraId="12AFB146">
            <w:pPr>
              <w:ind w:right="73"/>
              <w:rPr>
                <w:rFonts w:ascii="Arial Narrow" w:hAnsi="Arial Narrow" w:eastAsiaTheme="minorEastAsia"/>
                <w:szCs w:val="21"/>
              </w:rPr>
            </w:pPr>
            <w:r>
              <w:rPr>
                <w:rFonts w:ascii="Arial Narrow" w:hAnsi="Arial Narrow" w:eastAsiaTheme="minorEastAsia"/>
                <w:color w:val="000000"/>
                <w:szCs w:val="21"/>
              </w:rPr>
              <w:t>5年以上</w:t>
            </w:r>
          </w:p>
        </w:tc>
        <w:tc>
          <w:tcPr>
            <w:tcW w:w="913" w:type="pct"/>
            <w:vAlign w:val="center"/>
          </w:tcPr>
          <w:p w14:paraId="79308A7D">
            <w:pPr>
              <w:jc w:val="right"/>
              <w:rPr>
                <w:rFonts w:ascii="Arial Narrow" w:hAnsi="Arial Narrow" w:eastAsiaTheme="minorEastAsia"/>
                <w:szCs w:val="21"/>
              </w:rPr>
            </w:pPr>
            <w:r>
              <w:rPr>
                <w:rFonts w:ascii="Arial Narrow" w:hAnsi="Arial Narrow" w:eastAsiaTheme="minorEastAsia"/>
                <w:color w:val="000000"/>
                <w:szCs w:val="21"/>
              </w:rPr>
              <w:t xml:space="preserve">208,180,775.20 </w:t>
            </w:r>
          </w:p>
        </w:tc>
      </w:tr>
      <w:tr w14:paraId="0397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vAlign w:val="center"/>
          </w:tcPr>
          <w:p w14:paraId="2C2C5CC6">
            <w:pPr>
              <w:ind w:right="105"/>
              <w:jc w:val="center"/>
              <w:rPr>
                <w:rFonts w:ascii="Arial Narrow" w:hAnsi="Arial Narrow" w:eastAsiaTheme="minorEastAsia"/>
                <w:szCs w:val="21"/>
              </w:rPr>
            </w:pPr>
            <w:r>
              <w:rPr>
                <w:rFonts w:hint="eastAsia" w:ascii="Arial Narrow" w:hAnsi="Arial Narrow" w:eastAsiaTheme="minorEastAsia"/>
                <w:color w:val="000000"/>
                <w:szCs w:val="21"/>
              </w:rPr>
              <w:t>债务人三</w:t>
            </w:r>
          </w:p>
        </w:tc>
        <w:tc>
          <w:tcPr>
            <w:tcW w:w="882" w:type="pct"/>
            <w:vAlign w:val="center"/>
          </w:tcPr>
          <w:p w14:paraId="3CEFEB53">
            <w:pPr>
              <w:ind w:right="73"/>
              <w:jc w:val="right"/>
              <w:rPr>
                <w:rFonts w:ascii="Arial Narrow" w:hAnsi="Arial Narrow" w:eastAsiaTheme="minorEastAsia"/>
                <w:szCs w:val="21"/>
              </w:rPr>
            </w:pPr>
            <w:r>
              <w:rPr>
                <w:rFonts w:ascii="Arial Narrow" w:hAnsi="Arial Narrow" w:eastAsiaTheme="minorEastAsia"/>
                <w:color w:val="000000"/>
                <w:szCs w:val="21"/>
              </w:rPr>
              <w:t xml:space="preserve">120,283,479.69 </w:t>
            </w:r>
          </w:p>
        </w:tc>
        <w:tc>
          <w:tcPr>
            <w:tcW w:w="883" w:type="pct"/>
            <w:vAlign w:val="center"/>
          </w:tcPr>
          <w:p w14:paraId="5B23AF5C">
            <w:pPr>
              <w:jc w:val="right"/>
              <w:rPr>
                <w:rFonts w:ascii="Arial Narrow" w:hAnsi="Arial Narrow" w:eastAsiaTheme="minorEastAsia"/>
                <w:szCs w:val="21"/>
              </w:rPr>
            </w:pPr>
            <w:r>
              <w:rPr>
                <w:rFonts w:ascii="Arial Narrow" w:hAnsi="Arial Narrow" w:eastAsiaTheme="minorEastAsia"/>
                <w:color w:val="000000"/>
                <w:szCs w:val="21"/>
              </w:rPr>
              <w:t xml:space="preserve">5.79 </w:t>
            </w:r>
          </w:p>
        </w:tc>
        <w:tc>
          <w:tcPr>
            <w:tcW w:w="804" w:type="pct"/>
            <w:vAlign w:val="center"/>
          </w:tcPr>
          <w:p w14:paraId="030B3EF5">
            <w:pPr>
              <w:ind w:right="73"/>
              <w:rPr>
                <w:rFonts w:ascii="Arial Narrow" w:hAnsi="Arial Narrow" w:eastAsiaTheme="minorEastAsia"/>
                <w:szCs w:val="21"/>
              </w:rPr>
            </w:pPr>
            <w:r>
              <w:rPr>
                <w:rFonts w:ascii="Arial Narrow" w:hAnsi="Arial Narrow" w:eastAsiaTheme="minorEastAsia"/>
                <w:color w:val="000000"/>
                <w:szCs w:val="21"/>
              </w:rPr>
              <w:t>往来款</w:t>
            </w:r>
          </w:p>
        </w:tc>
        <w:tc>
          <w:tcPr>
            <w:tcW w:w="635" w:type="pct"/>
            <w:vAlign w:val="center"/>
          </w:tcPr>
          <w:p w14:paraId="617AEB02">
            <w:pPr>
              <w:ind w:right="73"/>
              <w:rPr>
                <w:rFonts w:ascii="Arial Narrow" w:hAnsi="Arial Narrow" w:eastAsiaTheme="minorEastAsia"/>
                <w:szCs w:val="21"/>
              </w:rPr>
            </w:pPr>
            <w:r>
              <w:rPr>
                <w:rFonts w:ascii="Arial Narrow" w:hAnsi="Arial Narrow" w:eastAsiaTheme="minorEastAsia"/>
                <w:color w:val="000000"/>
                <w:szCs w:val="21"/>
              </w:rPr>
              <w:t>5年以上</w:t>
            </w:r>
          </w:p>
        </w:tc>
        <w:tc>
          <w:tcPr>
            <w:tcW w:w="913" w:type="pct"/>
            <w:vAlign w:val="center"/>
          </w:tcPr>
          <w:p w14:paraId="439699CC">
            <w:pPr>
              <w:jc w:val="right"/>
              <w:rPr>
                <w:rFonts w:ascii="Arial Narrow" w:hAnsi="Arial Narrow" w:eastAsiaTheme="minorEastAsia"/>
                <w:szCs w:val="21"/>
              </w:rPr>
            </w:pPr>
            <w:r>
              <w:rPr>
                <w:rFonts w:ascii="Arial Narrow" w:hAnsi="Arial Narrow" w:eastAsiaTheme="minorEastAsia"/>
                <w:color w:val="000000"/>
                <w:szCs w:val="21"/>
              </w:rPr>
              <w:t xml:space="preserve">120,283,479.69 </w:t>
            </w:r>
          </w:p>
        </w:tc>
      </w:tr>
      <w:tr w14:paraId="0D12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vAlign w:val="center"/>
          </w:tcPr>
          <w:p w14:paraId="49811283">
            <w:pPr>
              <w:ind w:right="105"/>
              <w:jc w:val="center"/>
              <w:rPr>
                <w:rFonts w:ascii="Arial Narrow" w:hAnsi="Arial Narrow" w:eastAsiaTheme="minorEastAsia"/>
                <w:szCs w:val="21"/>
              </w:rPr>
            </w:pPr>
            <w:r>
              <w:rPr>
                <w:rFonts w:hint="eastAsia" w:ascii="Arial Narrow" w:hAnsi="Arial Narrow" w:eastAsiaTheme="minorEastAsia"/>
                <w:color w:val="000000"/>
                <w:szCs w:val="21"/>
              </w:rPr>
              <w:t>债务人四</w:t>
            </w:r>
          </w:p>
        </w:tc>
        <w:tc>
          <w:tcPr>
            <w:tcW w:w="882" w:type="pct"/>
            <w:vAlign w:val="center"/>
          </w:tcPr>
          <w:p w14:paraId="77AFF71D">
            <w:pPr>
              <w:ind w:right="73"/>
              <w:jc w:val="right"/>
              <w:rPr>
                <w:rFonts w:ascii="Arial Narrow" w:hAnsi="Arial Narrow" w:eastAsiaTheme="minorEastAsia"/>
                <w:szCs w:val="21"/>
              </w:rPr>
            </w:pPr>
            <w:r>
              <w:rPr>
                <w:rFonts w:ascii="Arial Narrow" w:hAnsi="Arial Narrow" w:eastAsiaTheme="minorEastAsia"/>
                <w:color w:val="000000"/>
                <w:szCs w:val="21"/>
              </w:rPr>
              <w:t xml:space="preserve">103,786,567.99 </w:t>
            </w:r>
          </w:p>
        </w:tc>
        <w:tc>
          <w:tcPr>
            <w:tcW w:w="883" w:type="pct"/>
            <w:vAlign w:val="center"/>
          </w:tcPr>
          <w:p w14:paraId="34A81756">
            <w:pPr>
              <w:jc w:val="right"/>
              <w:rPr>
                <w:rFonts w:ascii="Arial Narrow" w:hAnsi="Arial Narrow" w:eastAsiaTheme="minorEastAsia"/>
                <w:szCs w:val="21"/>
              </w:rPr>
            </w:pPr>
            <w:r>
              <w:rPr>
                <w:rFonts w:ascii="Arial Narrow" w:hAnsi="Arial Narrow" w:eastAsiaTheme="minorEastAsia"/>
                <w:color w:val="000000"/>
                <w:szCs w:val="21"/>
              </w:rPr>
              <w:t xml:space="preserve">5.00 </w:t>
            </w:r>
          </w:p>
        </w:tc>
        <w:tc>
          <w:tcPr>
            <w:tcW w:w="804" w:type="pct"/>
            <w:vAlign w:val="center"/>
          </w:tcPr>
          <w:p w14:paraId="2F940533">
            <w:pPr>
              <w:ind w:right="73"/>
              <w:rPr>
                <w:rFonts w:ascii="Arial Narrow" w:hAnsi="Arial Narrow" w:eastAsiaTheme="minorEastAsia"/>
                <w:szCs w:val="21"/>
              </w:rPr>
            </w:pPr>
            <w:r>
              <w:rPr>
                <w:rFonts w:ascii="Arial Narrow" w:hAnsi="Arial Narrow" w:eastAsiaTheme="minorEastAsia"/>
                <w:color w:val="000000"/>
                <w:szCs w:val="21"/>
              </w:rPr>
              <w:t>往来款</w:t>
            </w:r>
          </w:p>
        </w:tc>
        <w:tc>
          <w:tcPr>
            <w:tcW w:w="635" w:type="pct"/>
            <w:vAlign w:val="center"/>
          </w:tcPr>
          <w:p w14:paraId="5C984FE4">
            <w:pPr>
              <w:ind w:right="73"/>
              <w:rPr>
                <w:rFonts w:ascii="Arial Narrow" w:hAnsi="Arial Narrow" w:eastAsiaTheme="minorEastAsia"/>
                <w:szCs w:val="21"/>
              </w:rPr>
            </w:pPr>
            <w:r>
              <w:rPr>
                <w:rFonts w:ascii="Arial Narrow" w:hAnsi="Arial Narrow" w:eastAsiaTheme="minorEastAsia"/>
                <w:color w:val="000000"/>
                <w:szCs w:val="21"/>
              </w:rPr>
              <w:t>1-5年</w:t>
            </w:r>
          </w:p>
        </w:tc>
        <w:tc>
          <w:tcPr>
            <w:tcW w:w="913" w:type="pct"/>
            <w:vAlign w:val="center"/>
          </w:tcPr>
          <w:p w14:paraId="5A3DB9EA">
            <w:pPr>
              <w:jc w:val="right"/>
              <w:rPr>
                <w:rFonts w:ascii="Arial Narrow" w:hAnsi="Arial Narrow" w:eastAsiaTheme="minorEastAsia"/>
                <w:szCs w:val="21"/>
              </w:rPr>
            </w:pPr>
            <w:r>
              <w:rPr>
                <w:rFonts w:ascii="Arial Narrow" w:hAnsi="Arial Narrow" w:eastAsiaTheme="minorEastAsia"/>
                <w:color w:val="000000"/>
                <w:szCs w:val="21"/>
              </w:rPr>
              <w:t xml:space="preserve">103,786,567.99 </w:t>
            </w:r>
          </w:p>
        </w:tc>
      </w:tr>
      <w:tr w14:paraId="03D3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vAlign w:val="center"/>
          </w:tcPr>
          <w:p w14:paraId="6E8D0713">
            <w:pPr>
              <w:ind w:right="105"/>
              <w:jc w:val="center"/>
              <w:rPr>
                <w:rFonts w:ascii="Arial Narrow" w:hAnsi="Arial Narrow" w:eastAsiaTheme="minorEastAsia"/>
                <w:szCs w:val="21"/>
              </w:rPr>
            </w:pPr>
            <w:r>
              <w:rPr>
                <w:rFonts w:hint="eastAsia" w:ascii="Arial Narrow" w:hAnsi="Arial Narrow" w:eastAsiaTheme="minorEastAsia"/>
                <w:color w:val="000000"/>
                <w:szCs w:val="21"/>
              </w:rPr>
              <w:t>债务人五</w:t>
            </w:r>
          </w:p>
        </w:tc>
        <w:tc>
          <w:tcPr>
            <w:tcW w:w="882" w:type="pct"/>
            <w:vAlign w:val="center"/>
          </w:tcPr>
          <w:p w14:paraId="33556229">
            <w:pPr>
              <w:ind w:right="73"/>
              <w:jc w:val="right"/>
              <w:rPr>
                <w:rFonts w:ascii="Arial Narrow" w:hAnsi="Arial Narrow" w:eastAsiaTheme="minorEastAsia"/>
                <w:szCs w:val="21"/>
              </w:rPr>
            </w:pPr>
            <w:r>
              <w:rPr>
                <w:rFonts w:ascii="Arial Narrow" w:hAnsi="Arial Narrow" w:eastAsiaTheme="minorEastAsia"/>
                <w:color w:val="000000"/>
                <w:szCs w:val="21"/>
              </w:rPr>
              <w:t xml:space="preserve">63,633,872.83 </w:t>
            </w:r>
          </w:p>
        </w:tc>
        <w:tc>
          <w:tcPr>
            <w:tcW w:w="883" w:type="pct"/>
            <w:vAlign w:val="center"/>
          </w:tcPr>
          <w:p w14:paraId="6DA38074">
            <w:pPr>
              <w:jc w:val="right"/>
              <w:rPr>
                <w:rFonts w:ascii="Arial Narrow" w:hAnsi="Arial Narrow" w:eastAsiaTheme="minorEastAsia"/>
                <w:szCs w:val="21"/>
              </w:rPr>
            </w:pPr>
            <w:r>
              <w:rPr>
                <w:rFonts w:ascii="Arial Narrow" w:hAnsi="Arial Narrow" w:eastAsiaTheme="minorEastAsia"/>
                <w:color w:val="000000"/>
                <w:szCs w:val="21"/>
              </w:rPr>
              <w:t xml:space="preserve">3.06 </w:t>
            </w:r>
          </w:p>
        </w:tc>
        <w:tc>
          <w:tcPr>
            <w:tcW w:w="804" w:type="pct"/>
            <w:vAlign w:val="center"/>
          </w:tcPr>
          <w:p w14:paraId="3483DFDF">
            <w:pPr>
              <w:ind w:right="73"/>
              <w:rPr>
                <w:rFonts w:ascii="Arial Narrow" w:hAnsi="Arial Narrow" w:eastAsiaTheme="minorEastAsia"/>
                <w:szCs w:val="21"/>
              </w:rPr>
            </w:pPr>
            <w:r>
              <w:rPr>
                <w:rFonts w:ascii="Arial Narrow" w:hAnsi="Arial Narrow" w:eastAsiaTheme="minorEastAsia"/>
                <w:color w:val="000000"/>
                <w:szCs w:val="21"/>
              </w:rPr>
              <w:t>往来款</w:t>
            </w:r>
          </w:p>
        </w:tc>
        <w:tc>
          <w:tcPr>
            <w:tcW w:w="635" w:type="pct"/>
            <w:vAlign w:val="center"/>
          </w:tcPr>
          <w:p w14:paraId="4230400F">
            <w:pPr>
              <w:ind w:right="73"/>
              <w:rPr>
                <w:rFonts w:ascii="Arial Narrow" w:hAnsi="Arial Narrow" w:eastAsiaTheme="minorEastAsia"/>
                <w:szCs w:val="21"/>
              </w:rPr>
            </w:pPr>
            <w:r>
              <w:rPr>
                <w:rFonts w:ascii="Arial Narrow" w:hAnsi="Arial Narrow" w:eastAsiaTheme="minorEastAsia"/>
                <w:color w:val="000000"/>
                <w:szCs w:val="21"/>
              </w:rPr>
              <w:t>5年以上</w:t>
            </w:r>
          </w:p>
        </w:tc>
        <w:tc>
          <w:tcPr>
            <w:tcW w:w="913" w:type="pct"/>
            <w:vAlign w:val="center"/>
          </w:tcPr>
          <w:p w14:paraId="50165551">
            <w:pPr>
              <w:jc w:val="right"/>
              <w:rPr>
                <w:rFonts w:ascii="Arial Narrow" w:hAnsi="Arial Narrow" w:eastAsiaTheme="minorEastAsia"/>
                <w:szCs w:val="21"/>
              </w:rPr>
            </w:pPr>
            <w:r>
              <w:rPr>
                <w:rFonts w:ascii="Arial Narrow" w:hAnsi="Arial Narrow" w:eastAsiaTheme="minorEastAsia"/>
                <w:color w:val="000000"/>
                <w:szCs w:val="21"/>
              </w:rPr>
              <w:t xml:space="preserve">63,633,872.83 </w:t>
            </w:r>
          </w:p>
        </w:tc>
      </w:tr>
      <w:tr w14:paraId="238E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2" w:type="pct"/>
          </w:tcPr>
          <w:p w14:paraId="72EE5DC4">
            <w:pPr>
              <w:ind w:right="105"/>
              <w:jc w:val="center"/>
              <w:rPr>
                <w:rFonts w:ascii="Arial Narrow" w:hAnsi="Arial Narrow" w:eastAsiaTheme="minorEastAsia"/>
                <w:szCs w:val="21"/>
              </w:rPr>
            </w:pPr>
            <w:r>
              <w:rPr>
                <w:rFonts w:ascii="Arial Narrow" w:hAnsi="Arial Narrow" w:eastAsiaTheme="minorEastAsia"/>
                <w:szCs w:val="21"/>
              </w:rPr>
              <w:t>合计</w:t>
            </w:r>
          </w:p>
        </w:tc>
        <w:tc>
          <w:tcPr>
            <w:tcW w:w="882" w:type="pct"/>
            <w:vAlign w:val="center"/>
          </w:tcPr>
          <w:p w14:paraId="3D902F4D">
            <w:pPr>
              <w:ind w:right="73"/>
              <w:jc w:val="right"/>
              <w:rPr>
                <w:rFonts w:ascii="Arial Narrow" w:hAnsi="Arial Narrow" w:eastAsiaTheme="minorEastAsia"/>
                <w:szCs w:val="21"/>
              </w:rPr>
            </w:pPr>
            <w:r>
              <w:rPr>
                <w:rFonts w:ascii="Arial Narrow" w:hAnsi="Arial Narrow" w:eastAsiaTheme="minorEastAsia"/>
                <w:color w:val="000000"/>
                <w:szCs w:val="21"/>
              </w:rPr>
              <w:t xml:space="preserve">976,412,995.71 </w:t>
            </w:r>
          </w:p>
        </w:tc>
        <w:tc>
          <w:tcPr>
            <w:tcW w:w="883" w:type="pct"/>
            <w:vAlign w:val="center"/>
          </w:tcPr>
          <w:p w14:paraId="5F7363A1">
            <w:pPr>
              <w:jc w:val="right"/>
              <w:rPr>
                <w:rFonts w:ascii="Arial Narrow" w:hAnsi="Arial Narrow" w:eastAsiaTheme="minorEastAsia"/>
                <w:szCs w:val="21"/>
              </w:rPr>
            </w:pPr>
            <w:r>
              <w:rPr>
                <w:rFonts w:ascii="Arial Narrow" w:hAnsi="Arial Narrow" w:eastAsiaTheme="minorEastAsia"/>
                <w:color w:val="000000"/>
                <w:szCs w:val="21"/>
              </w:rPr>
              <w:t xml:space="preserve">47.02 </w:t>
            </w:r>
          </w:p>
        </w:tc>
        <w:tc>
          <w:tcPr>
            <w:tcW w:w="804" w:type="pct"/>
          </w:tcPr>
          <w:p w14:paraId="68C1FC57">
            <w:pPr>
              <w:ind w:right="73"/>
              <w:jc w:val="center"/>
              <w:rPr>
                <w:rFonts w:ascii="Arial Narrow" w:hAnsi="Arial Narrow" w:eastAsiaTheme="minorEastAsia"/>
                <w:szCs w:val="21"/>
              </w:rPr>
            </w:pPr>
            <w:r>
              <w:rPr>
                <w:rFonts w:ascii="Arial Narrow" w:hAnsi="Arial Narrow" w:eastAsiaTheme="minorEastAsia"/>
                <w:szCs w:val="21"/>
              </w:rPr>
              <w:t>/</w:t>
            </w:r>
          </w:p>
        </w:tc>
        <w:tc>
          <w:tcPr>
            <w:tcW w:w="635" w:type="pct"/>
          </w:tcPr>
          <w:p w14:paraId="74FA822C">
            <w:pPr>
              <w:ind w:right="73"/>
              <w:jc w:val="center"/>
              <w:rPr>
                <w:rFonts w:ascii="Arial Narrow" w:hAnsi="Arial Narrow" w:eastAsiaTheme="minorEastAsia"/>
                <w:szCs w:val="21"/>
              </w:rPr>
            </w:pPr>
            <w:r>
              <w:rPr>
                <w:rFonts w:ascii="Arial Narrow" w:hAnsi="Arial Narrow" w:eastAsiaTheme="minorEastAsia"/>
                <w:szCs w:val="21"/>
              </w:rPr>
              <w:t>/</w:t>
            </w:r>
          </w:p>
        </w:tc>
        <w:tc>
          <w:tcPr>
            <w:tcW w:w="913" w:type="pct"/>
            <w:vAlign w:val="center"/>
          </w:tcPr>
          <w:p w14:paraId="4960D9C1">
            <w:pPr>
              <w:jc w:val="right"/>
              <w:rPr>
                <w:rFonts w:ascii="Arial Narrow" w:hAnsi="Arial Narrow" w:eastAsiaTheme="minorEastAsia"/>
                <w:szCs w:val="21"/>
              </w:rPr>
            </w:pPr>
            <w:r>
              <w:rPr>
                <w:rFonts w:ascii="Arial Narrow" w:hAnsi="Arial Narrow" w:eastAsiaTheme="minorEastAsia"/>
                <w:color w:val="000000"/>
                <w:szCs w:val="21"/>
              </w:rPr>
              <w:t xml:space="preserve">849,555,063.71 </w:t>
            </w:r>
          </w:p>
        </w:tc>
      </w:tr>
    </w:tbl>
    <w:p w14:paraId="319ECB85">
      <w:pPr>
        <w:snapToGrid w:val="0"/>
        <w:spacing w:line="240" w:lineRule="atLeast"/>
        <w:rPr>
          <w:rFonts w:hint="eastAsia"/>
        </w:rPr>
      </w:pPr>
    </w:p>
    <w:p w14:paraId="33F27B05">
      <w:pPr>
        <w:pStyle w:val="72"/>
        <w:numPr>
          <w:ilvl w:val="0"/>
          <w:numId w:val="117"/>
        </w:numPr>
        <w:ind w:leftChars="0"/>
      </w:pPr>
      <w:r>
        <w:rPr>
          <w:rFonts w:hint="eastAsia"/>
        </w:rPr>
        <w:t>因资金集中管理而列报于其他应收款</w:t>
      </w:r>
    </w:p>
    <w:sdt>
      <w:sdtPr>
        <w:alias w:val="是否适用：因资金集中管理而列报于其他应收款[双击切换]"/>
        <w:tag w:val="_GBC_b8da09aaaa6f41fc9a0da9e70575d260"/>
        <w:id w:val="1530605409"/>
        <w:placeholder>
          <w:docPart w:val="GBC22222222222222222222222222222"/>
        </w:placeholder>
      </w:sdtPr>
      <w:sdtContent>
        <w:p w14:paraId="74595820">
          <w:pPr>
            <w:snapToGrid w:val="0"/>
            <w:spacing w:line="240" w:lineRule="atLeast"/>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6569BE0">
      <w:pPr>
        <w:snapToGrid w:val="0"/>
        <w:spacing w:line="240" w:lineRule="atLeast"/>
        <w:rPr>
          <w:rFonts w:hint="eastAsia"/>
        </w:rPr>
      </w:pPr>
    </w:p>
    <w:p w14:paraId="2296BBE3">
      <w:pPr>
        <w:rPr>
          <w:rFonts w:hint="eastAsia"/>
        </w:rPr>
      </w:pPr>
      <w:r>
        <w:rPr>
          <w:rFonts w:hint="eastAsia"/>
        </w:rPr>
        <w:t>其他</w:t>
      </w:r>
      <w:r>
        <w:t>说明：</w:t>
      </w:r>
    </w:p>
    <w:sdt>
      <w:sdtPr>
        <w:rPr>
          <w:rFonts w:hint="eastAsia"/>
          <w:szCs w:val="21"/>
        </w:rPr>
        <w:alias w:val="是否适用：其他应收款的其他说明[双击切换]"/>
        <w:tag w:val="_GBC_f19370687b664bbeafd6d2809311f81e"/>
        <w:id w:val="-303618082"/>
        <w:placeholder>
          <w:docPart w:val="GBC22222222222222222222222222222"/>
        </w:placeholder>
      </w:sdtPr>
      <w:sdtEndPr>
        <w:rPr>
          <w:rFonts w:hint="eastAsia"/>
          <w:szCs w:val="21"/>
        </w:rPr>
      </w:sdtEndPr>
      <w:sdtContent>
        <w:p w14:paraId="62CED9C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6F9DAB6">
      <w:pPr>
        <w:rPr>
          <w:rFonts w:hint="eastAsia"/>
          <w:szCs w:val="21"/>
        </w:rPr>
        <w:sectPr>
          <w:pgSz w:w="11906" w:h="16838"/>
          <w:pgMar w:top="1440" w:right="1797" w:bottom="1525" w:left="1276" w:header="856" w:footer="992" w:gutter="0"/>
          <w:cols w:space="425" w:num="1"/>
          <w:docGrid w:linePitch="312" w:charSpace="0"/>
        </w:sectPr>
      </w:pPr>
    </w:p>
    <w:p w14:paraId="3485E324">
      <w:pPr>
        <w:rPr>
          <w:rFonts w:hint="eastAsia"/>
          <w:szCs w:val="21"/>
        </w:rPr>
      </w:pPr>
    </w:p>
    <w:p w14:paraId="0F679DDE">
      <w:pPr>
        <w:pStyle w:val="70"/>
        <w:numPr>
          <w:ilvl w:val="0"/>
          <w:numId w:val="109"/>
        </w:numPr>
        <w:rPr>
          <w:szCs w:val="21"/>
        </w:rPr>
      </w:pPr>
      <w:r>
        <w:rPr>
          <w:szCs w:val="21"/>
        </w:rPr>
        <w:t>存货</w:t>
      </w:r>
    </w:p>
    <w:p w14:paraId="1520138F">
      <w:pPr>
        <w:pStyle w:val="71"/>
        <w:numPr>
          <w:ilvl w:val="3"/>
          <w:numId w:val="118"/>
        </w:numPr>
        <w:ind w:left="426" w:hanging="426"/>
        <w:rPr>
          <w:rFonts w:hint="eastAsia"/>
        </w:rPr>
      </w:pPr>
      <w:bookmarkStart w:id="282" w:name="_Hlk532992451"/>
      <w:bookmarkStart w:id="283" w:name="_Hlk24116366"/>
      <w:r>
        <w:rPr>
          <w:rFonts w:hint="eastAsia"/>
        </w:rPr>
        <w:t>存货分类</w:t>
      </w:r>
    </w:p>
    <w:sdt>
      <w:sdtPr>
        <w:alias w:val="是否适用：存货分类[双击切换]"/>
        <w:tag w:val="_GBC_357bbe1b1f034d20ba175209243f1121"/>
        <w:id w:val="-899511996"/>
        <w:placeholder>
          <w:docPart w:val="GBC22222222222222222222222222222"/>
        </w:placeholder>
      </w:sdtPr>
      <w:sdtContent>
        <w:p w14:paraId="0A9B1A7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53D019">
      <w:pPr>
        <w:jc w:val="right"/>
        <w:rPr>
          <w:rFonts w:hint="eastAsia"/>
          <w:szCs w:val="21"/>
        </w:rPr>
      </w:pPr>
      <w:r>
        <w:rPr>
          <w:rFonts w:hint="eastAsia"/>
          <w:szCs w:val="21"/>
        </w:rPr>
        <w:t>单位：</w:t>
      </w:r>
      <w:sdt>
        <w:sdtPr>
          <w:rPr>
            <w:rFonts w:hint="eastAsia"/>
            <w:szCs w:val="21"/>
          </w:rPr>
          <w:alias w:val="单位：财务附注：存货分类"/>
          <w:tag w:val="_GBC_d8d041ff281d42b2825673de12d9cf99"/>
          <w:id w:val="13089027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2806121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1706"/>
        <w:gridCol w:w="1960"/>
        <w:gridCol w:w="2154"/>
        <w:gridCol w:w="2154"/>
        <w:gridCol w:w="1960"/>
        <w:gridCol w:w="2154"/>
      </w:tblGrid>
      <w:tr w14:paraId="74FA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7ef81863f9f475b86b8ee43ac7e9274"/>
            <w:id w:val="830720036"/>
          </w:sdtPr>
          <w:sdtContent>
            <w:tc>
              <w:tcPr>
                <w:tcW w:w="640" w:type="pct"/>
                <w:vMerge w:val="restart"/>
                <w:vAlign w:val="center"/>
              </w:tcPr>
              <w:p w14:paraId="5963531B">
                <w:pPr>
                  <w:jc w:val="center"/>
                  <w:rPr>
                    <w:rFonts w:hint="eastAsia"/>
                    <w:szCs w:val="21"/>
                  </w:rPr>
                </w:pPr>
                <w:r>
                  <w:rPr>
                    <w:rFonts w:hint="eastAsia"/>
                    <w:szCs w:val="21"/>
                  </w:rPr>
                  <w:t>项目</w:t>
                </w:r>
              </w:p>
            </w:tc>
          </w:sdtContent>
        </w:sdt>
        <w:sdt>
          <w:sdtPr>
            <w:tag w:val="_PLD_68fbd4316a69442d924038f565882f99"/>
            <w:id w:val="2067296666"/>
          </w:sdtPr>
          <w:sdtContent>
            <w:tc>
              <w:tcPr>
                <w:tcW w:w="2099" w:type="pct"/>
                <w:gridSpan w:val="3"/>
                <w:vAlign w:val="center"/>
              </w:tcPr>
              <w:p w14:paraId="52780EBF">
                <w:pPr>
                  <w:jc w:val="center"/>
                  <w:rPr>
                    <w:rFonts w:hint="eastAsia"/>
                    <w:szCs w:val="21"/>
                  </w:rPr>
                </w:pPr>
                <w:r>
                  <w:rPr>
                    <w:rFonts w:hint="eastAsia"/>
                    <w:szCs w:val="21"/>
                  </w:rPr>
                  <w:t>期末余额</w:t>
                </w:r>
              </w:p>
            </w:tc>
          </w:sdtContent>
        </w:sdt>
        <w:sdt>
          <w:sdtPr>
            <w:tag w:val="_PLD_39f6313de32c45ce95b6a2ef18238d4a"/>
            <w:id w:val="-2004267803"/>
          </w:sdtPr>
          <w:sdtContent>
            <w:tc>
              <w:tcPr>
                <w:tcW w:w="2261" w:type="pct"/>
                <w:gridSpan w:val="3"/>
                <w:vAlign w:val="center"/>
              </w:tcPr>
              <w:p w14:paraId="62DA8A5B">
                <w:pPr>
                  <w:jc w:val="center"/>
                  <w:rPr>
                    <w:rFonts w:hint="eastAsia"/>
                    <w:szCs w:val="21"/>
                  </w:rPr>
                </w:pPr>
                <w:r>
                  <w:rPr>
                    <w:rFonts w:hint="eastAsia"/>
                    <w:szCs w:val="21"/>
                  </w:rPr>
                  <w:t>期初余额</w:t>
                </w:r>
              </w:p>
            </w:tc>
          </w:sdtContent>
        </w:sdt>
      </w:tr>
      <w:tr w14:paraId="2751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Merge w:val="continue"/>
            <w:vAlign w:val="center"/>
          </w:tcPr>
          <w:p w14:paraId="4D91F085">
            <w:pPr>
              <w:ind w:right="5"/>
              <w:jc w:val="center"/>
              <w:rPr>
                <w:rFonts w:hint="eastAsia"/>
                <w:szCs w:val="21"/>
              </w:rPr>
            </w:pPr>
          </w:p>
        </w:tc>
        <w:sdt>
          <w:sdtPr>
            <w:tag w:val="_PLD_73436d894fc444d5b519a3b75a689324"/>
            <w:id w:val="807976864"/>
          </w:sdtPr>
          <w:sdtContent>
            <w:tc>
              <w:tcPr>
                <w:tcW w:w="615" w:type="pct"/>
                <w:vAlign w:val="center"/>
              </w:tcPr>
              <w:p w14:paraId="72C4FA8D">
                <w:pPr>
                  <w:ind w:right="5"/>
                  <w:jc w:val="center"/>
                  <w:rPr>
                    <w:rFonts w:hint="eastAsia"/>
                    <w:szCs w:val="21"/>
                  </w:rPr>
                </w:pPr>
                <w:r>
                  <w:rPr>
                    <w:rFonts w:hint="eastAsia"/>
                    <w:szCs w:val="21"/>
                  </w:rPr>
                  <w:t>账面余额</w:t>
                </w:r>
              </w:p>
            </w:tc>
          </w:sdtContent>
        </w:sdt>
        <w:tc>
          <w:tcPr>
            <w:tcW w:w="707" w:type="pct"/>
            <w:vAlign w:val="center"/>
          </w:tcPr>
          <w:p w14:paraId="09CCE411">
            <w:pPr>
              <w:ind w:right="5"/>
              <w:jc w:val="center"/>
              <w:rPr>
                <w:rFonts w:hint="eastAsia"/>
                <w:szCs w:val="21"/>
              </w:rPr>
            </w:pPr>
            <w:sdt>
              <w:sdtPr>
                <w:tag w:val="_PLD_09cd496fa8624ad4a9538b5b209e6d5a"/>
                <w:id w:val="-982764720"/>
              </w:sdtPr>
              <w:sdtContent>
                <w:r>
                  <w:rPr>
                    <w:rFonts w:hint="eastAsia"/>
                    <w:szCs w:val="21"/>
                  </w:rPr>
                  <w:t>存货跌价准备</w:t>
                </w:r>
                <w:r>
                  <w:rPr>
                    <w:szCs w:val="21"/>
                  </w:rPr>
                  <w:t>/合同履约成本减值准备</w:t>
                </w:r>
              </w:sdtContent>
            </w:sdt>
          </w:p>
        </w:tc>
        <w:sdt>
          <w:sdtPr>
            <w:tag w:val="_PLD_2c7532c412cf491899c310ef9902157e"/>
            <w:id w:val="-565177063"/>
          </w:sdtPr>
          <w:sdtContent>
            <w:tc>
              <w:tcPr>
                <w:tcW w:w="777" w:type="pct"/>
                <w:vAlign w:val="center"/>
              </w:tcPr>
              <w:p w14:paraId="145628EF">
                <w:pPr>
                  <w:ind w:right="5"/>
                  <w:jc w:val="center"/>
                  <w:rPr>
                    <w:rFonts w:hint="eastAsia"/>
                    <w:szCs w:val="21"/>
                  </w:rPr>
                </w:pPr>
                <w:r>
                  <w:rPr>
                    <w:rFonts w:hint="eastAsia"/>
                    <w:szCs w:val="21"/>
                  </w:rPr>
                  <w:t>账面价值</w:t>
                </w:r>
              </w:p>
            </w:tc>
          </w:sdtContent>
        </w:sdt>
        <w:sdt>
          <w:sdtPr>
            <w:tag w:val="_PLD_6c2924a6d3da466f96c5c2e2f2d81de1"/>
            <w:id w:val="-1666780682"/>
          </w:sdtPr>
          <w:sdtContent>
            <w:tc>
              <w:tcPr>
                <w:tcW w:w="777" w:type="pct"/>
                <w:vAlign w:val="center"/>
              </w:tcPr>
              <w:p w14:paraId="486D1A9C">
                <w:pPr>
                  <w:ind w:right="5"/>
                  <w:jc w:val="center"/>
                  <w:rPr>
                    <w:rFonts w:hint="eastAsia"/>
                    <w:szCs w:val="21"/>
                  </w:rPr>
                </w:pPr>
                <w:r>
                  <w:rPr>
                    <w:rFonts w:hint="eastAsia"/>
                    <w:szCs w:val="21"/>
                  </w:rPr>
                  <w:t>账面余额</w:t>
                </w:r>
              </w:p>
            </w:tc>
          </w:sdtContent>
        </w:sdt>
        <w:tc>
          <w:tcPr>
            <w:tcW w:w="707" w:type="pct"/>
            <w:vAlign w:val="center"/>
          </w:tcPr>
          <w:p w14:paraId="1CA2BEF2">
            <w:pPr>
              <w:ind w:right="5"/>
              <w:jc w:val="center"/>
              <w:rPr>
                <w:rFonts w:hint="eastAsia"/>
                <w:szCs w:val="21"/>
              </w:rPr>
            </w:pPr>
            <w:sdt>
              <w:sdtPr>
                <w:tag w:val="_PLD_e5df78ba36d146dfb7eedab7ddd98031"/>
                <w:id w:val="-596328920"/>
              </w:sdtPr>
              <w:sdtContent>
                <w:r>
                  <w:rPr>
                    <w:rFonts w:hint="eastAsia"/>
                  </w:rPr>
                  <w:t>存货跌价准备</w:t>
                </w:r>
                <w:r>
                  <w:rPr>
                    <w:szCs w:val="21"/>
                  </w:rPr>
                  <w:t>/合同履约成本减值准备</w:t>
                </w:r>
              </w:sdtContent>
            </w:sdt>
          </w:p>
        </w:tc>
        <w:sdt>
          <w:sdtPr>
            <w:tag w:val="_PLD_ba07e513b5504e03b2dcef7d8421fa16"/>
            <w:id w:val="2101220531"/>
          </w:sdtPr>
          <w:sdtContent>
            <w:tc>
              <w:tcPr>
                <w:tcW w:w="777" w:type="pct"/>
                <w:vAlign w:val="center"/>
              </w:tcPr>
              <w:p w14:paraId="2A840F73">
                <w:pPr>
                  <w:ind w:right="5"/>
                  <w:jc w:val="center"/>
                  <w:rPr>
                    <w:rFonts w:hint="eastAsia"/>
                    <w:szCs w:val="21"/>
                  </w:rPr>
                </w:pPr>
                <w:r>
                  <w:rPr>
                    <w:rFonts w:hint="eastAsia"/>
                    <w:szCs w:val="21"/>
                  </w:rPr>
                  <w:t>账面价值</w:t>
                </w:r>
              </w:p>
            </w:tc>
          </w:sdtContent>
        </w:sdt>
      </w:tr>
      <w:tr w14:paraId="03D5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7B6F0409">
            <w:pPr>
              <w:ind w:right="5"/>
              <w:rPr>
                <w:rFonts w:hint="eastAsia"/>
                <w:szCs w:val="21"/>
              </w:rPr>
            </w:pPr>
            <w:r>
              <w:rPr>
                <w:rStyle w:val="134"/>
                <w:rFonts w:hint="default"/>
              </w:rPr>
              <w:t>原材料</w:t>
            </w:r>
          </w:p>
        </w:tc>
        <w:tc>
          <w:tcPr>
            <w:tcW w:w="615" w:type="pct"/>
            <w:vAlign w:val="center"/>
          </w:tcPr>
          <w:p w14:paraId="6CFACF6B">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480,119,116.67 </w:t>
            </w:r>
          </w:p>
        </w:tc>
        <w:tc>
          <w:tcPr>
            <w:tcW w:w="707" w:type="pct"/>
            <w:vAlign w:val="center"/>
          </w:tcPr>
          <w:p w14:paraId="6CF42957">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115,615,145.55 </w:t>
            </w:r>
          </w:p>
        </w:tc>
        <w:tc>
          <w:tcPr>
            <w:tcW w:w="777" w:type="pct"/>
            <w:vAlign w:val="center"/>
          </w:tcPr>
          <w:p w14:paraId="6DE2D6F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364,503,971.12 </w:t>
            </w:r>
          </w:p>
        </w:tc>
        <w:tc>
          <w:tcPr>
            <w:tcW w:w="777" w:type="pct"/>
            <w:vAlign w:val="center"/>
          </w:tcPr>
          <w:p w14:paraId="325E361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536,898,284.40 </w:t>
            </w:r>
          </w:p>
        </w:tc>
        <w:tc>
          <w:tcPr>
            <w:tcW w:w="707" w:type="pct"/>
            <w:vAlign w:val="center"/>
          </w:tcPr>
          <w:p w14:paraId="634D371D">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67,559,770.49 </w:t>
            </w:r>
          </w:p>
        </w:tc>
        <w:tc>
          <w:tcPr>
            <w:tcW w:w="777" w:type="pct"/>
            <w:vAlign w:val="center"/>
          </w:tcPr>
          <w:p w14:paraId="244846ED">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469,338,513.91 </w:t>
            </w:r>
          </w:p>
        </w:tc>
      </w:tr>
      <w:tr w14:paraId="6281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3A6B19F7">
            <w:pPr>
              <w:ind w:right="5"/>
              <w:rPr>
                <w:rFonts w:hint="eastAsia"/>
                <w:szCs w:val="21"/>
              </w:rPr>
            </w:pPr>
            <w:r>
              <w:rPr>
                <w:rStyle w:val="134"/>
                <w:rFonts w:hint="default"/>
              </w:rPr>
              <w:t>在产品</w:t>
            </w:r>
          </w:p>
        </w:tc>
        <w:tc>
          <w:tcPr>
            <w:tcW w:w="615" w:type="pct"/>
            <w:vAlign w:val="center"/>
          </w:tcPr>
          <w:p w14:paraId="39CFF39F">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335,719,270.18 </w:t>
            </w:r>
          </w:p>
        </w:tc>
        <w:tc>
          <w:tcPr>
            <w:tcW w:w="707" w:type="pct"/>
            <w:vAlign w:val="center"/>
          </w:tcPr>
          <w:p w14:paraId="79C1DAE6">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4,795,834.59 </w:t>
            </w:r>
          </w:p>
        </w:tc>
        <w:tc>
          <w:tcPr>
            <w:tcW w:w="777" w:type="pct"/>
            <w:vAlign w:val="center"/>
          </w:tcPr>
          <w:p w14:paraId="1CF795F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330,923,435.59 </w:t>
            </w:r>
          </w:p>
        </w:tc>
        <w:tc>
          <w:tcPr>
            <w:tcW w:w="777" w:type="pct"/>
            <w:vAlign w:val="center"/>
          </w:tcPr>
          <w:p w14:paraId="61416B5D">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525,617,915.39 </w:t>
            </w:r>
          </w:p>
        </w:tc>
        <w:tc>
          <w:tcPr>
            <w:tcW w:w="707" w:type="pct"/>
            <w:vAlign w:val="center"/>
          </w:tcPr>
          <w:p w14:paraId="25C0BCEF">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5,630,574.23 </w:t>
            </w:r>
          </w:p>
        </w:tc>
        <w:tc>
          <w:tcPr>
            <w:tcW w:w="777" w:type="pct"/>
            <w:vAlign w:val="center"/>
          </w:tcPr>
          <w:p w14:paraId="6E1CD0BF">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519,987,341.16 </w:t>
            </w:r>
          </w:p>
        </w:tc>
      </w:tr>
      <w:tr w14:paraId="3713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10566DAE">
            <w:pPr>
              <w:ind w:right="5"/>
              <w:rPr>
                <w:rFonts w:hint="eastAsia"/>
                <w:szCs w:val="21"/>
              </w:rPr>
            </w:pPr>
            <w:r>
              <w:rPr>
                <w:rStyle w:val="134"/>
                <w:rFonts w:hint="default"/>
              </w:rPr>
              <w:t>库存商品</w:t>
            </w:r>
          </w:p>
        </w:tc>
        <w:tc>
          <w:tcPr>
            <w:tcW w:w="615" w:type="pct"/>
            <w:vAlign w:val="center"/>
          </w:tcPr>
          <w:p w14:paraId="5EBA5652">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1,970,296,723.26 </w:t>
            </w:r>
          </w:p>
        </w:tc>
        <w:tc>
          <w:tcPr>
            <w:tcW w:w="707" w:type="pct"/>
            <w:vAlign w:val="center"/>
          </w:tcPr>
          <w:p w14:paraId="2D8E64C7">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598,909,251.18 </w:t>
            </w:r>
          </w:p>
        </w:tc>
        <w:tc>
          <w:tcPr>
            <w:tcW w:w="777" w:type="pct"/>
            <w:vAlign w:val="center"/>
          </w:tcPr>
          <w:p w14:paraId="4ABCE9B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1,371,387,472.08 </w:t>
            </w:r>
          </w:p>
        </w:tc>
        <w:tc>
          <w:tcPr>
            <w:tcW w:w="777" w:type="pct"/>
            <w:vAlign w:val="center"/>
          </w:tcPr>
          <w:p w14:paraId="4C5F70B1">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2,721,151,357.46 </w:t>
            </w:r>
          </w:p>
        </w:tc>
        <w:tc>
          <w:tcPr>
            <w:tcW w:w="707" w:type="pct"/>
            <w:vAlign w:val="center"/>
          </w:tcPr>
          <w:p w14:paraId="04731444">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252,016,587.66 </w:t>
            </w:r>
          </w:p>
        </w:tc>
        <w:tc>
          <w:tcPr>
            <w:tcW w:w="777" w:type="pct"/>
            <w:vAlign w:val="center"/>
          </w:tcPr>
          <w:p w14:paraId="4DDD1FA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2,469,134,769.80 </w:t>
            </w:r>
          </w:p>
        </w:tc>
      </w:tr>
      <w:tr w14:paraId="2C30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0419E776">
            <w:pPr>
              <w:autoSpaceDE w:val="0"/>
              <w:autoSpaceDN w:val="0"/>
              <w:adjustRightInd w:val="0"/>
              <w:rPr>
                <w:rFonts w:hint="eastAsia"/>
                <w:szCs w:val="21"/>
              </w:rPr>
            </w:pPr>
            <w:r>
              <w:rPr>
                <w:rStyle w:val="134"/>
                <w:rFonts w:hint="default"/>
              </w:rPr>
              <w:t>周转材料</w:t>
            </w:r>
          </w:p>
        </w:tc>
        <w:tc>
          <w:tcPr>
            <w:tcW w:w="615" w:type="pct"/>
            <w:vAlign w:val="center"/>
          </w:tcPr>
          <w:p w14:paraId="70D13D61">
            <w:pPr>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2,228,027.95 </w:t>
            </w:r>
          </w:p>
        </w:tc>
        <w:tc>
          <w:tcPr>
            <w:tcW w:w="707" w:type="pct"/>
            <w:vAlign w:val="center"/>
          </w:tcPr>
          <w:p w14:paraId="262CB630">
            <w:pPr>
              <w:jc w:val="right"/>
              <w:rPr>
                <w:rFonts w:ascii="Arial Narrow" w:hAnsi="Arial Narrow"/>
                <w:color w:val="000000" w:themeColor="text1"/>
                <w:szCs w:val="21"/>
                <w14:textFill>
                  <w14:solidFill>
                    <w14:schemeClr w14:val="tx1"/>
                  </w14:solidFill>
                </w14:textFill>
              </w:rPr>
            </w:pPr>
          </w:p>
        </w:tc>
        <w:tc>
          <w:tcPr>
            <w:tcW w:w="777" w:type="pct"/>
            <w:vAlign w:val="center"/>
          </w:tcPr>
          <w:p w14:paraId="1C562455">
            <w:pPr>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2,228,027.95 </w:t>
            </w:r>
          </w:p>
        </w:tc>
        <w:tc>
          <w:tcPr>
            <w:tcW w:w="777" w:type="pct"/>
            <w:vAlign w:val="center"/>
          </w:tcPr>
          <w:p w14:paraId="2FBCA300">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4,572,487.16 </w:t>
            </w:r>
          </w:p>
        </w:tc>
        <w:tc>
          <w:tcPr>
            <w:tcW w:w="707" w:type="pct"/>
            <w:vAlign w:val="center"/>
          </w:tcPr>
          <w:p w14:paraId="72C613D5">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42,813.25 </w:t>
            </w:r>
          </w:p>
        </w:tc>
        <w:tc>
          <w:tcPr>
            <w:tcW w:w="777" w:type="pct"/>
            <w:vAlign w:val="center"/>
          </w:tcPr>
          <w:p w14:paraId="33F3D49B">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4,529,673.91 </w:t>
            </w:r>
          </w:p>
        </w:tc>
      </w:tr>
      <w:tr w14:paraId="7690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4A5ACFA7">
            <w:pPr>
              <w:autoSpaceDE w:val="0"/>
              <w:autoSpaceDN w:val="0"/>
              <w:adjustRightInd w:val="0"/>
              <w:rPr>
                <w:rFonts w:hint="eastAsia"/>
                <w:szCs w:val="21"/>
              </w:rPr>
            </w:pPr>
            <w:r>
              <w:rPr>
                <w:rFonts w:ascii="Arial Narrow" w:hAnsi="Arial Narrow" w:eastAsia="等线"/>
                <w:color w:val="000000"/>
                <w:szCs w:val="21"/>
              </w:rPr>
              <w:t>发出商品</w:t>
            </w:r>
          </w:p>
        </w:tc>
        <w:tc>
          <w:tcPr>
            <w:tcW w:w="615" w:type="pct"/>
            <w:vAlign w:val="center"/>
          </w:tcPr>
          <w:p w14:paraId="18DD09C5">
            <w:pPr>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161,042,797.29 </w:t>
            </w:r>
          </w:p>
        </w:tc>
        <w:tc>
          <w:tcPr>
            <w:tcW w:w="707" w:type="pct"/>
            <w:vAlign w:val="center"/>
          </w:tcPr>
          <w:p w14:paraId="72CC84B5">
            <w:pPr>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55,355,789.28 </w:t>
            </w:r>
          </w:p>
        </w:tc>
        <w:tc>
          <w:tcPr>
            <w:tcW w:w="777" w:type="pct"/>
            <w:vAlign w:val="center"/>
          </w:tcPr>
          <w:p w14:paraId="2B0C1229">
            <w:pPr>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105,687,008.01 </w:t>
            </w:r>
          </w:p>
        </w:tc>
        <w:tc>
          <w:tcPr>
            <w:tcW w:w="777" w:type="pct"/>
            <w:vAlign w:val="center"/>
          </w:tcPr>
          <w:p w14:paraId="092172DC">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320,402,053.37 </w:t>
            </w:r>
          </w:p>
        </w:tc>
        <w:tc>
          <w:tcPr>
            <w:tcW w:w="707" w:type="pct"/>
            <w:vAlign w:val="center"/>
          </w:tcPr>
          <w:p w14:paraId="63400BBB">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51,568,643.33 </w:t>
            </w:r>
          </w:p>
        </w:tc>
        <w:tc>
          <w:tcPr>
            <w:tcW w:w="777" w:type="pct"/>
            <w:vAlign w:val="center"/>
          </w:tcPr>
          <w:p w14:paraId="2B0EEC69">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268,833,410.04 </w:t>
            </w:r>
          </w:p>
        </w:tc>
      </w:tr>
      <w:tr w14:paraId="3F03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18C2EC70">
            <w:pPr>
              <w:autoSpaceDE w:val="0"/>
              <w:autoSpaceDN w:val="0"/>
              <w:adjustRightInd w:val="0"/>
              <w:rPr>
                <w:rFonts w:hint="eastAsia"/>
              </w:rPr>
            </w:pPr>
            <w:r>
              <w:rPr>
                <w:rFonts w:ascii="Arial Narrow" w:hAnsi="Arial Narrow" w:eastAsia="等线"/>
                <w:color w:val="000000"/>
                <w:szCs w:val="21"/>
              </w:rPr>
              <w:t>委托加工物资</w:t>
            </w:r>
          </w:p>
        </w:tc>
        <w:tc>
          <w:tcPr>
            <w:tcW w:w="615" w:type="pct"/>
            <w:vAlign w:val="center"/>
          </w:tcPr>
          <w:p w14:paraId="08F54A7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59,392,507.40 </w:t>
            </w:r>
          </w:p>
        </w:tc>
        <w:tc>
          <w:tcPr>
            <w:tcW w:w="707" w:type="pct"/>
            <w:vAlign w:val="center"/>
          </w:tcPr>
          <w:p w14:paraId="4535D560">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10,515,209.15 </w:t>
            </w:r>
          </w:p>
        </w:tc>
        <w:tc>
          <w:tcPr>
            <w:tcW w:w="777" w:type="pct"/>
            <w:vAlign w:val="center"/>
          </w:tcPr>
          <w:p w14:paraId="3D47952C">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48,877,298.25 </w:t>
            </w:r>
          </w:p>
        </w:tc>
        <w:tc>
          <w:tcPr>
            <w:tcW w:w="777" w:type="pct"/>
            <w:vAlign w:val="center"/>
          </w:tcPr>
          <w:p w14:paraId="7E3295E4">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80,832,622.35 </w:t>
            </w:r>
          </w:p>
        </w:tc>
        <w:tc>
          <w:tcPr>
            <w:tcW w:w="707" w:type="pct"/>
            <w:vAlign w:val="center"/>
          </w:tcPr>
          <w:p w14:paraId="75AD5505">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10,088,948.47 </w:t>
            </w:r>
          </w:p>
        </w:tc>
        <w:tc>
          <w:tcPr>
            <w:tcW w:w="777" w:type="pct"/>
            <w:vAlign w:val="center"/>
          </w:tcPr>
          <w:p w14:paraId="15A3912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70,743,673.88 </w:t>
            </w:r>
          </w:p>
        </w:tc>
      </w:tr>
      <w:tr w14:paraId="7E0C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7DB5C4CC">
            <w:pPr>
              <w:ind w:right="5"/>
              <w:rPr>
                <w:rFonts w:hint="eastAsia"/>
                <w:szCs w:val="21"/>
              </w:rPr>
            </w:pPr>
            <w:r>
              <w:rPr>
                <w:rFonts w:ascii="Arial Narrow" w:hAnsi="Arial Narrow" w:eastAsia="等线"/>
                <w:color w:val="000000"/>
                <w:szCs w:val="21"/>
              </w:rPr>
              <w:t>自制半成品</w:t>
            </w:r>
          </w:p>
        </w:tc>
        <w:tc>
          <w:tcPr>
            <w:tcW w:w="615" w:type="pct"/>
            <w:vAlign w:val="center"/>
          </w:tcPr>
          <w:p w14:paraId="414BCFAE">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45,970,269.80 </w:t>
            </w:r>
          </w:p>
        </w:tc>
        <w:tc>
          <w:tcPr>
            <w:tcW w:w="707" w:type="pct"/>
            <w:vAlign w:val="center"/>
          </w:tcPr>
          <w:p w14:paraId="146B0C92">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25,396,190.19 </w:t>
            </w:r>
          </w:p>
        </w:tc>
        <w:tc>
          <w:tcPr>
            <w:tcW w:w="777" w:type="pct"/>
            <w:vAlign w:val="center"/>
          </w:tcPr>
          <w:p w14:paraId="69CE0604">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20,574,079.61 </w:t>
            </w:r>
          </w:p>
        </w:tc>
        <w:tc>
          <w:tcPr>
            <w:tcW w:w="777" w:type="pct"/>
            <w:vAlign w:val="center"/>
          </w:tcPr>
          <w:p w14:paraId="1FC9C48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37,762,006.10 </w:t>
            </w:r>
          </w:p>
        </w:tc>
        <w:tc>
          <w:tcPr>
            <w:tcW w:w="707" w:type="pct"/>
            <w:vAlign w:val="center"/>
          </w:tcPr>
          <w:p w14:paraId="1A848F2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3,105,965.99 </w:t>
            </w:r>
          </w:p>
        </w:tc>
        <w:tc>
          <w:tcPr>
            <w:tcW w:w="777" w:type="pct"/>
            <w:vAlign w:val="center"/>
          </w:tcPr>
          <w:p w14:paraId="6A73F85F">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34,656,040.11 </w:t>
            </w:r>
          </w:p>
        </w:tc>
      </w:tr>
      <w:tr w14:paraId="21B8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23C87FBD">
            <w:pPr>
              <w:ind w:right="5"/>
              <w:rPr>
                <w:rFonts w:hint="eastAsia"/>
                <w:szCs w:val="21"/>
              </w:rPr>
            </w:pPr>
            <w:r>
              <w:rPr>
                <w:rFonts w:ascii="Arial Narrow" w:hAnsi="Arial Narrow" w:eastAsia="等线"/>
                <w:color w:val="000000"/>
                <w:szCs w:val="21"/>
              </w:rPr>
              <w:t>开发成本</w:t>
            </w:r>
          </w:p>
        </w:tc>
        <w:tc>
          <w:tcPr>
            <w:tcW w:w="615" w:type="pct"/>
            <w:vAlign w:val="center"/>
          </w:tcPr>
          <w:p w14:paraId="5DD92AC8">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363,552,665.70 </w:t>
            </w:r>
          </w:p>
        </w:tc>
        <w:tc>
          <w:tcPr>
            <w:tcW w:w="707" w:type="pct"/>
            <w:vAlign w:val="center"/>
          </w:tcPr>
          <w:p w14:paraId="6F4B328A">
            <w:pPr>
              <w:ind w:right="5"/>
              <w:jc w:val="right"/>
              <w:rPr>
                <w:rFonts w:ascii="Arial Narrow" w:hAnsi="Arial Narrow"/>
                <w:color w:val="000000" w:themeColor="text1"/>
                <w:szCs w:val="21"/>
                <w14:textFill>
                  <w14:solidFill>
                    <w14:schemeClr w14:val="tx1"/>
                  </w14:solidFill>
                </w14:textFill>
              </w:rPr>
            </w:pPr>
          </w:p>
        </w:tc>
        <w:tc>
          <w:tcPr>
            <w:tcW w:w="777" w:type="pct"/>
            <w:vAlign w:val="center"/>
          </w:tcPr>
          <w:p w14:paraId="32DEC9F3">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363,552,665.70 </w:t>
            </w:r>
          </w:p>
        </w:tc>
        <w:tc>
          <w:tcPr>
            <w:tcW w:w="777" w:type="pct"/>
            <w:vAlign w:val="center"/>
          </w:tcPr>
          <w:p w14:paraId="27F645D2">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280,783,351.96 </w:t>
            </w:r>
          </w:p>
        </w:tc>
        <w:tc>
          <w:tcPr>
            <w:tcW w:w="707" w:type="pct"/>
            <w:vAlign w:val="center"/>
          </w:tcPr>
          <w:p w14:paraId="2DE15B43">
            <w:pPr>
              <w:ind w:right="5"/>
              <w:jc w:val="right"/>
              <w:rPr>
                <w:rFonts w:ascii="Arial Narrow" w:hAnsi="Arial Narrow"/>
                <w:color w:val="000000" w:themeColor="text1"/>
                <w:szCs w:val="21"/>
                <w14:textFill>
                  <w14:solidFill>
                    <w14:schemeClr w14:val="tx1"/>
                  </w14:solidFill>
                </w14:textFill>
              </w:rPr>
            </w:pPr>
          </w:p>
        </w:tc>
        <w:tc>
          <w:tcPr>
            <w:tcW w:w="777" w:type="pct"/>
            <w:vAlign w:val="center"/>
          </w:tcPr>
          <w:p w14:paraId="3976E83D">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280,783,351.96 </w:t>
            </w:r>
          </w:p>
        </w:tc>
      </w:tr>
      <w:tr w14:paraId="18ED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bottom"/>
          </w:tcPr>
          <w:p w14:paraId="0A9CD9DA">
            <w:pPr>
              <w:ind w:right="5"/>
              <w:rPr>
                <w:rFonts w:hint="eastAsia"/>
                <w:szCs w:val="21"/>
              </w:rPr>
            </w:pPr>
            <w:r>
              <w:rPr>
                <w:rFonts w:ascii="Arial Narrow" w:hAnsi="Arial Narrow" w:eastAsia="等线"/>
                <w:color w:val="000000"/>
                <w:szCs w:val="21"/>
              </w:rPr>
              <w:t>开发产品</w:t>
            </w:r>
          </w:p>
        </w:tc>
        <w:tc>
          <w:tcPr>
            <w:tcW w:w="615" w:type="pct"/>
            <w:vAlign w:val="center"/>
          </w:tcPr>
          <w:p w14:paraId="3E5E479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15,623,223.99 </w:t>
            </w:r>
          </w:p>
        </w:tc>
        <w:tc>
          <w:tcPr>
            <w:tcW w:w="707" w:type="pct"/>
            <w:vAlign w:val="center"/>
          </w:tcPr>
          <w:p w14:paraId="41EDBCC1">
            <w:pPr>
              <w:ind w:right="5"/>
              <w:jc w:val="right"/>
              <w:rPr>
                <w:rFonts w:ascii="Arial Narrow" w:hAnsi="Arial Narrow"/>
                <w:color w:val="000000" w:themeColor="text1"/>
                <w:szCs w:val="21"/>
                <w14:textFill>
                  <w14:solidFill>
                    <w14:schemeClr w14:val="tx1"/>
                  </w14:solidFill>
                </w14:textFill>
              </w:rPr>
            </w:pPr>
          </w:p>
        </w:tc>
        <w:tc>
          <w:tcPr>
            <w:tcW w:w="777" w:type="pct"/>
            <w:vAlign w:val="center"/>
          </w:tcPr>
          <w:p w14:paraId="586F21D6">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15,623,223.99 </w:t>
            </w:r>
          </w:p>
        </w:tc>
        <w:tc>
          <w:tcPr>
            <w:tcW w:w="777" w:type="pct"/>
            <w:vAlign w:val="center"/>
          </w:tcPr>
          <w:p w14:paraId="3A71F3E5">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15,645,575.92 </w:t>
            </w:r>
          </w:p>
        </w:tc>
        <w:tc>
          <w:tcPr>
            <w:tcW w:w="707" w:type="pct"/>
            <w:vAlign w:val="center"/>
          </w:tcPr>
          <w:p w14:paraId="40A67A46">
            <w:pPr>
              <w:ind w:right="5"/>
              <w:jc w:val="right"/>
              <w:rPr>
                <w:rFonts w:ascii="Arial Narrow" w:hAnsi="Arial Narrow"/>
                <w:color w:val="000000" w:themeColor="text1"/>
                <w:szCs w:val="21"/>
                <w14:textFill>
                  <w14:solidFill>
                    <w14:schemeClr w14:val="tx1"/>
                  </w14:solidFill>
                </w14:textFill>
              </w:rPr>
            </w:pPr>
          </w:p>
        </w:tc>
        <w:tc>
          <w:tcPr>
            <w:tcW w:w="777" w:type="pct"/>
            <w:vAlign w:val="center"/>
          </w:tcPr>
          <w:p w14:paraId="4DADA05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15,645,575.92 </w:t>
            </w:r>
          </w:p>
        </w:tc>
      </w:tr>
      <w:tr w14:paraId="41CB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0" w:type="pct"/>
            <w:vAlign w:val="center"/>
          </w:tcPr>
          <w:p w14:paraId="2BA3D768">
            <w:pPr>
              <w:ind w:right="5"/>
              <w:jc w:val="center"/>
              <w:rPr>
                <w:rFonts w:hint="eastAsia"/>
                <w:szCs w:val="21"/>
              </w:rPr>
            </w:pPr>
            <w:r>
              <w:rPr>
                <w:rFonts w:hint="eastAsia"/>
                <w:szCs w:val="21"/>
              </w:rPr>
              <w:t>合计</w:t>
            </w:r>
          </w:p>
        </w:tc>
        <w:tc>
          <w:tcPr>
            <w:tcW w:w="615" w:type="pct"/>
            <w:vAlign w:val="center"/>
          </w:tcPr>
          <w:p w14:paraId="478B8C91">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3,433,944,602.24 </w:t>
            </w:r>
          </w:p>
        </w:tc>
        <w:tc>
          <w:tcPr>
            <w:tcW w:w="707" w:type="pct"/>
            <w:vAlign w:val="center"/>
          </w:tcPr>
          <w:p w14:paraId="4F9C8412">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810,587,419.94 </w:t>
            </w:r>
          </w:p>
        </w:tc>
        <w:tc>
          <w:tcPr>
            <w:tcW w:w="777" w:type="pct"/>
            <w:vAlign w:val="center"/>
          </w:tcPr>
          <w:p w14:paraId="428387DF">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2,623,357,182.30 </w:t>
            </w:r>
          </w:p>
        </w:tc>
        <w:tc>
          <w:tcPr>
            <w:tcW w:w="777" w:type="pct"/>
            <w:vAlign w:val="center"/>
          </w:tcPr>
          <w:p w14:paraId="4B004DFA">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4,523,665,654.11 </w:t>
            </w:r>
          </w:p>
        </w:tc>
        <w:tc>
          <w:tcPr>
            <w:tcW w:w="707" w:type="pct"/>
            <w:vAlign w:val="center"/>
          </w:tcPr>
          <w:p w14:paraId="65BC5319">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390,013,303.42 </w:t>
            </w:r>
          </w:p>
        </w:tc>
        <w:tc>
          <w:tcPr>
            <w:tcW w:w="777" w:type="pct"/>
            <w:vAlign w:val="center"/>
          </w:tcPr>
          <w:p w14:paraId="04CCD9C6">
            <w:pPr>
              <w:ind w:right="5"/>
              <w:jc w:val="right"/>
              <w:rPr>
                <w:rFonts w:ascii="Arial Narrow" w:hAnsi="Arial Narrow"/>
                <w:color w:val="000000" w:themeColor="text1"/>
                <w:szCs w:val="21"/>
                <w14:textFill>
                  <w14:solidFill>
                    <w14:schemeClr w14:val="tx1"/>
                  </w14:solidFill>
                </w14:textFill>
              </w:rPr>
            </w:pPr>
            <w:r>
              <w:rPr>
                <w:rFonts w:ascii="Arial Narrow" w:hAnsi="Arial Narrow" w:eastAsia="等线"/>
                <w:color w:val="000000" w:themeColor="text1"/>
                <w:szCs w:val="21"/>
                <w14:textFill>
                  <w14:solidFill>
                    <w14:schemeClr w14:val="tx1"/>
                  </w14:solidFill>
                </w14:textFill>
              </w:rPr>
              <w:t xml:space="preserve">4,133,652,350.69 </w:t>
            </w:r>
          </w:p>
        </w:tc>
      </w:tr>
    </w:tbl>
    <w:p w14:paraId="2E412D73">
      <w:pPr>
        <w:rPr>
          <w:rFonts w:hint="eastAsia"/>
          <w:szCs w:val="21"/>
        </w:rPr>
      </w:pPr>
    </w:p>
    <w:p w14:paraId="4B25E1AB">
      <w:pPr>
        <w:rPr>
          <w:rFonts w:hint="eastAsia"/>
          <w:szCs w:val="21"/>
        </w:rPr>
      </w:pPr>
    </w:p>
    <w:p w14:paraId="0DF376C3">
      <w:pPr>
        <w:rPr>
          <w:rFonts w:hint="eastAsia"/>
          <w:szCs w:val="21"/>
        </w:rPr>
      </w:pPr>
    </w:p>
    <w:bookmarkEnd w:id="282"/>
    <w:bookmarkEnd w:id="283"/>
    <w:p w14:paraId="1579712B">
      <w:pPr>
        <w:pStyle w:val="71"/>
        <w:numPr>
          <w:ilvl w:val="3"/>
          <w:numId w:val="118"/>
        </w:numPr>
        <w:ind w:left="426" w:hanging="426"/>
        <w:rPr>
          <w:rFonts w:hint="eastAsia"/>
        </w:rPr>
      </w:pPr>
      <w:bookmarkStart w:id="284" w:name="_Hlk182484983"/>
      <w:r>
        <w:rPr>
          <w:rFonts w:hint="eastAsia"/>
        </w:rPr>
        <w:t>确认为存货的数据资源</w:t>
      </w:r>
    </w:p>
    <w:sdt>
      <w:sdtPr>
        <w:rPr>
          <w:rFonts w:hint="eastAsia"/>
          <w:color w:val="000000" w:themeColor="text1"/>
          <w14:textFill>
            <w14:solidFill>
              <w14:schemeClr w14:val="tx1"/>
            </w14:solidFill>
          </w14:textFill>
        </w:rPr>
        <w:alias w:val="是否适用：确认为存货的数据资源[双击切换]"/>
        <w:tag w:val="_GBC_a7d9b8c6ebca4003bf262295877405d7"/>
        <w:id w:val="1368417903"/>
        <w:placeholder>
          <w:docPart w:val="GBC22222222222222222222222222222"/>
        </w:placeholder>
      </w:sdtPr>
      <w:sdtEndPr>
        <w:rPr>
          <w:rFonts w:hint="eastAsia"/>
          <w:color w:val="000000" w:themeColor="text1"/>
          <w14:textFill>
            <w14:solidFill>
              <w14:schemeClr w14:val="tx1"/>
            </w14:solidFill>
          </w14:textFill>
        </w:rPr>
      </w:sdtEndPr>
      <w:sdtContent>
        <w:p w14:paraId="6EF730AC">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29884AC7">
      <w:pPr>
        <w:rPr>
          <w:rFonts w:hint="eastAsia"/>
          <w:color w:val="000000" w:themeColor="text1"/>
          <w14:textFill>
            <w14:solidFill>
              <w14:schemeClr w14:val="tx1"/>
            </w14:solidFill>
          </w14:textFill>
        </w:rPr>
      </w:pPr>
    </w:p>
    <w:p w14:paraId="2AADCC9B">
      <w:pPr>
        <w:rPr>
          <w:rFonts w:hint="eastAsia"/>
          <w:color w:val="000000" w:themeColor="text1"/>
          <w14:textFill>
            <w14:solidFill>
              <w14:schemeClr w14:val="tx1"/>
            </w14:solidFill>
          </w14:textFill>
        </w:rPr>
      </w:pPr>
    </w:p>
    <w:p w14:paraId="7A12B813">
      <w:pPr>
        <w:rPr>
          <w:rFonts w:hint="eastAsia"/>
          <w:color w:val="000000" w:themeColor="text1"/>
          <w14:textFill>
            <w14:solidFill>
              <w14:schemeClr w14:val="tx1"/>
            </w14:solidFill>
          </w14:textFill>
        </w:rPr>
      </w:pPr>
    </w:p>
    <w:p w14:paraId="02C4D947">
      <w:pPr>
        <w:rPr>
          <w:rFonts w:hint="eastAsia"/>
          <w:color w:val="000000" w:themeColor="text1"/>
          <w14:textFill>
            <w14:solidFill>
              <w14:schemeClr w14:val="tx1"/>
            </w14:solidFill>
          </w14:textFill>
        </w:rPr>
      </w:pPr>
    </w:p>
    <w:p w14:paraId="7379D752">
      <w:pPr>
        <w:rPr>
          <w:rFonts w:hint="eastAsia"/>
          <w:color w:val="000000" w:themeColor="text1"/>
          <w14:textFill>
            <w14:solidFill>
              <w14:schemeClr w14:val="tx1"/>
            </w14:solidFill>
          </w14:textFill>
        </w:rPr>
      </w:pPr>
    </w:p>
    <w:bookmarkEnd w:id="284"/>
    <w:p w14:paraId="6CA97088">
      <w:pPr>
        <w:pStyle w:val="71"/>
        <w:numPr>
          <w:ilvl w:val="3"/>
          <w:numId w:val="118"/>
        </w:numPr>
        <w:ind w:left="426" w:hanging="426"/>
        <w:rPr>
          <w:rFonts w:hint="eastAsia"/>
        </w:rPr>
      </w:pPr>
      <w:bookmarkStart w:id="285" w:name="_Hlk533079150"/>
      <w:r>
        <w:rPr>
          <w:rFonts w:hint="eastAsia"/>
        </w:rPr>
        <w:t>存货跌价准备及合同履约成本减值准备</w:t>
      </w:r>
    </w:p>
    <w:sdt>
      <w:sdtPr>
        <w:alias w:val="是否适用：存货跌价准备[双击切换]"/>
        <w:tag w:val="_GBC_c61866b530ae491eb21bee1edd36619e"/>
        <w:id w:val="282398391"/>
        <w:placeholder>
          <w:docPart w:val="GBC22222222222222222222222222222"/>
        </w:placeholder>
      </w:sdtPr>
      <w:sdtContent>
        <w:p w14:paraId="3B4F131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39CDCD5">
      <w:pPr>
        <w:jc w:val="right"/>
        <w:rPr>
          <w:rFonts w:hint="eastAsia"/>
          <w:szCs w:val="21"/>
        </w:rPr>
      </w:pPr>
      <w:r>
        <w:rPr>
          <w:rFonts w:hint="eastAsia"/>
          <w:szCs w:val="21"/>
        </w:rPr>
        <w:t>单位：</w:t>
      </w:r>
      <w:sdt>
        <w:sdtPr>
          <w:rPr>
            <w:rFonts w:hint="eastAsia"/>
            <w:szCs w:val="21"/>
          </w:rPr>
          <w:alias w:val="单位：存货跌价准备"/>
          <w:tag w:val="_GBC_2d3e3a5e2ff44ef3bbef756054f246f3"/>
          <w:id w:val="-5512395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6647532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bookmarkEnd w:id="285"/>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6"/>
        <w:gridCol w:w="2530"/>
        <w:gridCol w:w="2555"/>
        <w:gridCol w:w="2570"/>
        <w:gridCol w:w="2542"/>
      </w:tblGrid>
      <w:tr w14:paraId="3E25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sdt>
          <w:sdtPr>
            <w:tag w:val="_PLD_4ac7cc4fa4994c1db43ed3b367defc13"/>
            <w:id w:val="904029073"/>
          </w:sdtPr>
          <w:sdtContent>
            <w:tc>
              <w:tcPr>
                <w:tcW w:w="1320" w:type="pct"/>
                <w:vMerge w:val="restart"/>
                <w:tcBorders>
                  <w:top w:val="single" w:color="auto" w:sz="4" w:space="0"/>
                  <w:left w:val="single" w:color="auto" w:sz="4" w:space="0"/>
                  <w:bottom w:val="single" w:color="auto" w:sz="4" w:space="0"/>
                  <w:right w:val="single" w:color="auto" w:sz="4" w:space="0"/>
                </w:tcBorders>
                <w:vAlign w:val="center"/>
              </w:tcPr>
              <w:p w14:paraId="6FB2E483">
                <w:pPr>
                  <w:jc w:val="center"/>
                  <w:rPr>
                    <w:rFonts w:hint="eastAsia"/>
                    <w:szCs w:val="21"/>
                  </w:rPr>
                </w:pPr>
                <w:r>
                  <w:rPr>
                    <w:rFonts w:hint="eastAsia"/>
                    <w:szCs w:val="21"/>
                  </w:rPr>
                  <w:t>项目</w:t>
                </w:r>
              </w:p>
            </w:tc>
          </w:sdtContent>
        </w:sdt>
        <w:sdt>
          <w:sdtPr>
            <w:tag w:val="_PLD_7a2e758257864908b13bf89a561f9b5a"/>
            <w:id w:val="196366346"/>
          </w:sdtPr>
          <w:sdtContent>
            <w:tc>
              <w:tcPr>
                <w:tcW w:w="911" w:type="pct"/>
                <w:vMerge w:val="restart"/>
                <w:tcBorders>
                  <w:top w:val="single" w:color="auto" w:sz="4" w:space="0"/>
                  <w:left w:val="single" w:color="auto" w:sz="4" w:space="0"/>
                  <w:bottom w:val="single" w:color="auto" w:sz="4" w:space="0"/>
                  <w:right w:val="single" w:color="auto" w:sz="4" w:space="0"/>
                </w:tcBorders>
                <w:vAlign w:val="center"/>
              </w:tcPr>
              <w:p w14:paraId="3CF5671B">
                <w:pPr>
                  <w:jc w:val="center"/>
                  <w:rPr>
                    <w:rFonts w:hint="eastAsia"/>
                    <w:szCs w:val="21"/>
                  </w:rPr>
                </w:pPr>
                <w:r>
                  <w:rPr>
                    <w:rFonts w:hint="eastAsia"/>
                    <w:szCs w:val="21"/>
                  </w:rPr>
                  <w:t>期初余额</w:t>
                </w:r>
              </w:p>
            </w:tc>
          </w:sdtContent>
        </w:sdt>
        <w:sdt>
          <w:sdtPr>
            <w:tag w:val="_PLD_d95d27d30a6440b5ba0d3798473f422e"/>
            <w:id w:val="-502971416"/>
          </w:sdtPr>
          <w:sdtContent>
            <w:tc>
              <w:tcPr>
                <w:tcW w:w="920" w:type="pct"/>
                <w:tcBorders>
                  <w:top w:val="single" w:color="auto" w:sz="4" w:space="0"/>
                  <w:left w:val="single" w:color="auto" w:sz="4" w:space="0"/>
                  <w:right w:val="single" w:color="auto" w:sz="4" w:space="0"/>
                </w:tcBorders>
                <w:vAlign w:val="center"/>
              </w:tcPr>
              <w:p w14:paraId="2D8157D8">
                <w:pPr>
                  <w:jc w:val="center"/>
                  <w:rPr>
                    <w:rFonts w:hint="eastAsia"/>
                    <w:szCs w:val="21"/>
                  </w:rPr>
                </w:pPr>
                <w:r>
                  <w:rPr>
                    <w:rFonts w:hint="eastAsia"/>
                    <w:szCs w:val="21"/>
                  </w:rPr>
                  <w:t>本期增加金额</w:t>
                </w:r>
              </w:p>
            </w:tc>
          </w:sdtContent>
        </w:sdt>
        <w:sdt>
          <w:sdtPr>
            <w:tag w:val="_PLD_cb7d37811bf944e4a7bb31b4366efaeb"/>
            <w:id w:val="1657957289"/>
          </w:sdtPr>
          <w:sdtContent>
            <w:tc>
              <w:tcPr>
                <w:tcW w:w="926" w:type="pct"/>
                <w:tcBorders>
                  <w:top w:val="single" w:color="auto" w:sz="4" w:space="0"/>
                  <w:left w:val="single" w:color="auto" w:sz="4" w:space="0"/>
                  <w:right w:val="single" w:color="auto" w:sz="4" w:space="0"/>
                </w:tcBorders>
                <w:vAlign w:val="center"/>
              </w:tcPr>
              <w:p w14:paraId="5613B58F">
                <w:pPr>
                  <w:jc w:val="center"/>
                  <w:rPr>
                    <w:rFonts w:hint="eastAsia"/>
                    <w:szCs w:val="21"/>
                  </w:rPr>
                </w:pPr>
                <w:r>
                  <w:rPr>
                    <w:rFonts w:hint="eastAsia"/>
                    <w:szCs w:val="21"/>
                  </w:rPr>
                  <w:t>本期减少金额</w:t>
                </w:r>
              </w:p>
            </w:tc>
          </w:sdtContent>
        </w:sdt>
        <w:sdt>
          <w:sdtPr>
            <w:tag w:val="_PLD_b2523ee7f028451790c9f2ef6e216a59"/>
            <w:id w:val="-2029704511"/>
          </w:sdtPr>
          <w:sdtContent>
            <w:tc>
              <w:tcPr>
                <w:tcW w:w="916" w:type="pct"/>
                <w:vMerge w:val="restart"/>
                <w:tcBorders>
                  <w:top w:val="single" w:color="auto" w:sz="4" w:space="0"/>
                  <w:left w:val="single" w:color="auto" w:sz="4" w:space="0"/>
                  <w:bottom w:val="single" w:color="auto" w:sz="4" w:space="0"/>
                  <w:right w:val="single" w:color="auto" w:sz="4" w:space="0"/>
                </w:tcBorders>
                <w:vAlign w:val="center"/>
              </w:tcPr>
              <w:p w14:paraId="4D2922B7">
                <w:pPr>
                  <w:jc w:val="center"/>
                  <w:rPr>
                    <w:rFonts w:hint="eastAsia"/>
                    <w:szCs w:val="21"/>
                  </w:rPr>
                </w:pPr>
                <w:r>
                  <w:rPr>
                    <w:rFonts w:hint="eastAsia"/>
                    <w:szCs w:val="21"/>
                  </w:rPr>
                  <w:t>期末余额</w:t>
                </w:r>
              </w:p>
            </w:tc>
          </w:sdtContent>
        </w:sdt>
      </w:tr>
      <w:tr w14:paraId="0A33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320" w:type="pct"/>
            <w:vMerge w:val="continue"/>
            <w:tcBorders>
              <w:top w:val="single" w:color="auto" w:sz="4" w:space="0"/>
              <w:left w:val="single" w:color="auto" w:sz="4" w:space="0"/>
              <w:bottom w:val="single" w:color="auto" w:sz="4" w:space="0"/>
              <w:right w:val="single" w:color="auto" w:sz="4" w:space="0"/>
            </w:tcBorders>
            <w:vAlign w:val="center"/>
          </w:tcPr>
          <w:p w14:paraId="426AB3A5">
            <w:pPr>
              <w:jc w:val="center"/>
              <w:rPr>
                <w:rFonts w:hint="eastAsia"/>
                <w:szCs w:val="21"/>
              </w:rPr>
            </w:pPr>
          </w:p>
        </w:tc>
        <w:tc>
          <w:tcPr>
            <w:tcW w:w="911" w:type="pct"/>
            <w:vMerge w:val="continue"/>
            <w:tcBorders>
              <w:top w:val="single" w:color="auto" w:sz="4" w:space="0"/>
              <w:left w:val="single" w:color="auto" w:sz="4" w:space="0"/>
              <w:bottom w:val="single" w:color="auto" w:sz="4" w:space="0"/>
              <w:right w:val="single" w:color="auto" w:sz="4" w:space="0"/>
            </w:tcBorders>
            <w:vAlign w:val="center"/>
          </w:tcPr>
          <w:p w14:paraId="127A9DB5">
            <w:pPr>
              <w:jc w:val="center"/>
              <w:rPr>
                <w:rFonts w:hint="eastAsia"/>
                <w:szCs w:val="21"/>
              </w:rPr>
            </w:pPr>
          </w:p>
        </w:tc>
        <w:sdt>
          <w:sdtPr>
            <w:tag w:val="_PLD_16a8dea59b924b23a28ea45988190955"/>
            <w:id w:val="-2024086636"/>
          </w:sdtPr>
          <w:sdtContent>
            <w:tc>
              <w:tcPr>
                <w:tcW w:w="920" w:type="pct"/>
                <w:tcBorders>
                  <w:left w:val="single" w:color="auto" w:sz="4" w:space="0"/>
                  <w:bottom w:val="single" w:color="auto" w:sz="4" w:space="0"/>
                  <w:right w:val="single" w:color="auto" w:sz="4" w:space="0"/>
                </w:tcBorders>
                <w:vAlign w:val="center"/>
              </w:tcPr>
              <w:p w14:paraId="0500D74A">
                <w:pPr>
                  <w:jc w:val="center"/>
                  <w:rPr>
                    <w:rFonts w:hint="eastAsia"/>
                    <w:szCs w:val="21"/>
                  </w:rPr>
                </w:pPr>
                <w:r>
                  <w:rPr>
                    <w:rFonts w:hint="eastAsia"/>
                    <w:szCs w:val="21"/>
                  </w:rPr>
                  <w:t>计提</w:t>
                </w:r>
              </w:p>
            </w:tc>
          </w:sdtContent>
        </w:sdt>
        <w:sdt>
          <w:sdtPr>
            <w:tag w:val="_PLD_1928b16982a747c59a563fa4d086d9fc"/>
            <w:id w:val="-1988236526"/>
          </w:sdtPr>
          <w:sdtContent>
            <w:tc>
              <w:tcPr>
                <w:tcW w:w="926" w:type="pct"/>
                <w:tcBorders>
                  <w:top w:val="single" w:color="auto" w:sz="4" w:space="0"/>
                  <w:left w:val="single" w:color="auto" w:sz="4" w:space="0"/>
                  <w:bottom w:val="single" w:color="auto" w:sz="4" w:space="0"/>
                  <w:right w:val="single" w:color="auto" w:sz="4" w:space="0"/>
                </w:tcBorders>
                <w:vAlign w:val="center"/>
              </w:tcPr>
              <w:p w14:paraId="0C4FDDA5">
                <w:pPr>
                  <w:jc w:val="center"/>
                  <w:rPr>
                    <w:rFonts w:hint="eastAsia"/>
                    <w:szCs w:val="21"/>
                  </w:rPr>
                </w:pPr>
                <w:r>
                  <w:rPr>
                    <w:rFonts w:hint="eastAsia"/>
                    <w:szCs w:val="21"/>
                  </w:rPr>
                  <w:t>转回或转销</w:t>
                </w:r>
              </w:p>
            </w:tc>
          </w:sdtContent>
        </w:sdt>
        <w:tc>
          <w:tcPr>
            <w:tcW w:w="916" w:type="pct"/>
            <w:vMerge w:val="continue"/>
            <w:tcBorders>
              <w:top w:val="single" w:color="auto" w:sz="4" w:space="0"/>
              <w:left w:val="single" w:color="auto" w:sz="4" w:space="0"/>
              <w:bottom w:val="single" w:color="auto" w:sz="4" w:space="0"/>
              <w:right w:val="single" w:color="auto" w:sz="4" w:space="0"/>
            </w:tcBorders>
            <w:vAlign w:val="center"/>
          </w:tcPr>
          <w:p w14:paraId="6EF6B969">
            <w:pPr>
              <w:jc w:val="center"/>
              <w:rPr>
                <w:rFonts w:hint="eastAsia"/>
                <w:szCs w:val="21"/>
              </w:rPr>
            </w:pPr>
          </w:p>
        </w:tc>
      </w:tr>
      <w:tr w14:paraId="3A37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060C51AA">
            <w:pPr>
              <w:rPr>
                <w:rFonts w:hint="eastAsia"/>
                <w:szCs w:val="21"/>
              </w:rPr>
            </w:pPr>
            <w:r>
              <w:t>原材料</w:t>
            </w:r>
          </w:p>
        </w:tc>
        <w:tc>
          <w:tcPr>
            <w:tcW w:w="911" w:type="pct"/>
            <w:tcBorders>
              <w:top w:val="single" w:color="auto" w:sz="4" w:space="0"/>
              <w:left w:val="single" w:color="auto" w:sz="4" w:space="0"/>
              <w:bottom w:val="single" w:color="auto" w:sz="4" w:space="0"/>
              <w:right w:val="single" w:color="auto" w:sz="4" w:space="0"/>
            </w:tcBorders>
            <w:vAlign w:val="center"/>
          </w:tcPr>
          <w:p w14:paraId="21A5AB8B">
            <w:pPr>
              <w:ind w:right="5"/>
              <w:jc w:val="right"/>
              <w:rPr>
                <w:rFonts w:hint="eastAsia"/>
                <w:szCs w:val="21"/>
              </w:rPr>
            </w:pPr>
            <w:r>
              <w:rPr>
                <w:rFonts w:ascii="Arial Narrow" w:hAnsi="Arial Narrow" w:eastAsia="等线"/>
                <w:color w:val="000000"/>
                <w:szCs w:val="21"/>
              </w:rPr>
              <w:t xml:space="preserve">67,559,770.49 </w:t>
            </w:r>
          </w:p>
        </w:tc>
        <w:tc>
          <w:tcPr>
            <w:tcW w:w="920" w:type="pct"/>
            <w:tcBorders>
              <w:top w:val="single" w:color="auto" w:sz="4" w:space="0"/>
              <w:left w:val="single" w:color="auto" w:sz="4" w:space="0"/>
              <w:bottom w:val="single" w:color="auto" w:sz="4" w:space="0"/>
              <w:right w:val="single" w:color="auto" w:sz="4" w:space="0"/>
            </w:tcBorders>
            <w:vAlign w:val="center"/>
          </w:tcPr>
          <w:p w14:paraId="6BB2C398">
            <w:pPr>
              <w:jc w:val="right"/>
              <w:rPr>
                <w:rFonts w:hint="eastAsia"/>
                <w:szCs w:val="21"/>
              </w:rPr>
            </w:pPr>
            <w:r>
              <w:rPr>
                <w:rFonts w:ascii="Arial Narrow" w:hAnsi="Arial Narrow" w:eastAsia="等线"/>
                <w:color w:val="000000"/>
                <w:szCs w:val="21"/>
              </w:rPr>
              <w:t xml:space="preserve">67,898,842.13 </w:t>
            </w:r>
          </w:p>
        </w:tc>
        <w:tc>
          <w:tcPr>
            <w:tcW w:w="926" w:type="pct"/>
            <w:tcBorders>
              <w:top w:val="single" w:color="auto" w:sz="4" w:space="0"/>
              <w:left w:val="single" w:color="auto" w:sz="4" w:space="0"/>
              <w:bottom w:val="single" w:color="auto" w:sz="4" w:space="0"/>
              <w:right w:val="single" w:color="auto" w:sz="4" w:space="0"/>
            </w:tcBorders>
            <w:vAlign w:val="center"/>
          </w:tcPr>
          <w:p w14:paraId="44067EBA">
            <w:pPr>
              <w:jc w:val="right"/>
              <w:rPr>
                <w:rFonts w:hint="eastAsia"/>
                <w:szCs w:val="21"/>
              </w:rPr>
            </w:pPr>
            <w:r>
              <w:rPr>
                <w:rFonts w:ascii="Arial Narrow" w:hAnsi="Arial Narrow" w:eastAsia="等线"/>
                <w:color w:val="000000"/>
                <w:szCs w:val="21"/>
              </w:rPr>
              <w:t xml:space="preserve">19,843,467.07 </w:t>
            </w:r>
          </w:p>
        </w:tc>
        <w:tc>
          <w:tcPr>
            <w:tcW w:w="916" w:type="pct"/>
            <w:tcBorders>
              <w:top w:val="single" w:color="auto" w:sz="4" w:space="0"/>
              <w:left w:val="single" w:color="auto" w:sz="4" w:space="0"/>
              <w:bottom w:val="single" w:color="auto" w:sz="4" w:space="0"/>
              <w:right w:val="single" w:color="auto" w:sz="4" w:space="0"/>
            </w:tcBorders>
            <w:vAlign w:val="center"/>
          </w:tcPr>
          <w:p w14:paraId="48387D9C">
            <w:pPr>
              <w:ind w:right="5"/>
              <w:jc w:val="right"/>
              <w:rPr>
                <w:rFonts w:hint="eastAsia"/>
                <w:szCs w:val="21"/>
              </w:rPr>
            </w:pPr>
            <w:r>
              <w:rPr>
                <w:rFonts w:ascii="Arial Narrow" w:hAnsi="Arial Narrow" w:eastAsia="等线"/>
                <w:color w:val="000000"/>
                <w:szCs w:val="21"/>
              </w:rPr>
              <w:t xml:space="preserve">115,615,145.55 </w:t>
            </w:r>
          </w:p>
        </w:tc>
      </w:tr>
      <w:tr w14:paraId="355E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05FE2DF1">
            <w:pPr>
              <w:rPr>
                <w:rFonts w:hint="eastAsia"/>
                <w:szCs w:val="21"/>
              </w:rPr>
            </w:pPr>
            <w:r>
              <w:t>在产品</w:t>
            </w:r>
          </w:p>
        </w:tc>
        <w:tc>
          <w:tcPr>
            <w:tcW w:w="911" w:type="pct"/>
            <w:tcBorders>
              <w:top w:val="single" w:color="auto" w:sz="4" w:space="0"/>
              <w:left w:val="single" w:color="auto" w:sz="4" w:space="0"/>
              <w:bottom w:val="single" w:color="auto" w:sz="4" w:space="0"/>
              <w:right w:val="single" w:color="auto" w:sz="4" w:space="0"/>
            </w:tcBorders>
            <w:vAlign w:val="center"/>
          </w:tcPr>
          <w:p w14:paraId="03353BCA">
            <w:pPr>
              <w:ind w:right="5"/>
              <w:jc w:val="right"/>
              <w:rPr>
                <w:rFonts w:hint="eastAsia"/>
                <w:szCs w:val="21"/>
              </w:rPr>
            </w:pPr>
            <w:r>
              <w:rPr>
                <w:rFonts w:ascii="Arial Narrow" w:hAnsi="Arial Narrow" w:eastAsia="等线"/>
                <w:color w:val="000000"/>
                <w:szCs w:val="21"/>
              </w:rPr>
              <w:t xml:space="preserve">5,630,574.23 </w:t>
            </w:r>
          </w:p>
        </w:tc>
        <w:tc>
          <w:tcPr>
            <w:tcW w:w="920" w:type="pct"/>
            <w:tcBorders>
              <w:top w:val="single" w:color="auto" w:sz="4" w:space="0"/>
              <w:left w:val="single" w:color="auto" w:sz="4" w:space="0"/>
              <w:bottom w:val="single" w:color="auto" w:sz="4" w:space="0"/>
              <w:right w:val="single" w:color="auto" w:sz="4" w:space="0"/>
            </w:tcBorders>
            <w:vAlign w:val="center"/>
          </w:tcPr>
          <w:p w14:paraId="2C436191">
            <w:pPr>
              <w:jc w:val="right"/>
              <w:rPr>
                <w:rFonts w:hint="eastAsia"/>
                <w:szCs w:val="21"/>
              </w:rPr>
            </w:pPr>
          </w:p>
        </w:tc>
        <w:tc>
          <w:tcPr>
            <w:tcW w:w="926" w:type="pct"/>
            <w:tcBorders>
              <w:top w:val="single" w:color="auto" w:sz="4" w:space="0"/>
              <w:left w:val="single" w:color="auto" w:sz="4" w:space="0"/>
              <w:bottom w:val="single" w:color="auto" w:sz="4" w:space="0"/>
              <w:right w:val="single" w:color="auto" w:sz="4" w:space="0"/>
            </w:tcBorders>
            <w:vAlign w:val="center"/>
          </w:tcPr>
          <w:p w14:paraId="3002BF76">
            <w:pPr>
              <w:jc w:val="right"/>
              <w:rPr>
                <w:rFonts w:hint="eastAsia"/>
                <w:szCs w:val="21"/>
              </w:rPr>
            </w:pPr>
            <w:r>
              <w:rPr>
                <w:rFonts w:ascii="Arial Narrow" w:hAnsi="Arial Narrow" w:eastAsia="等线"/>
                <w:color w:val="000000"/>
                <w:szCs w:val="21"/>
              </w:rPr>
              <w:t xml:space="preserve">834,739.64 </w:t>
            </w:r>
          </w:p>
        </w:tc>
        <w:tc>
          <w:tcPr>
            <w:tcW w:w="916" w:type="pct"/>
            <w:tcBorders>
              <w:top w:val="single" w:color="auto" w:sz="4" w:space="0"/>
              <w:left w:val="single" w:color="auto" w:sz="4" w:space="0"/>
              <w:bottom w:val="single" w:color="auto" w:sz="4" w:space="0"/>
              <w:right w:val="single" w:color="auto" w:sz="4" w:space="0"/>
            </w:tcBorders>
            <w:vAlign w:val="center"/>
          </w:tcPr>
          <w:p w14:paraId="7477DCCB">
            <w:pPr>
              <w:ind w:right="5"/>
              <w:jc w:val="right"/>
              <w:rPr>
                <w:rFonts w:hint="eastAsia"/>
                <w:szCs w:val="21"/>
              </w:rPr>
            </w:pPr>
            <w:r>
              <w:rPr>
                <w:rFonts w:ascii="Arial Narrow" w:hAnsi="Arial Narrow" w:eastAsia="等线"/>
                <w:color w:val="000000"/>
                <w:szCs w:val="21"/>
              </w:rPr>
              <w:t xml:space="preserve">4,795,834.59 </w:t>
            </w:r>
          </w:p>
        </w:tc>
      </w:tr>
      <w:tr w14:paraId="2519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7D4FEED1">
            <w:pPr>
              <w:rPr>
                <w:rFonts w:hint="eastAsia"/>
                <w:szCs w:val="21"/>
              </w:rPr>
            </w:pPr>
            <w:r>
              <w:t>库存商品</w:t>
            </w:r>
          </w:p>
        </w:tc>
        <w:tc>
          <w:tcPr>
            <w:tcW w:w="911" w:type="pct"/>
            <w:tcBorders>
              <w:top w:val="single" w:color="auto" w:sz="4" w:space="0"/>
              <w:left w:val="single" w:color="auto" w:sz="4" w:space="0"/>
              <w:bottom w:val="single" w:color="auto" w:sz="4" w:space="0"/>
              <w:right w:val="single" w:color="auto" w:sz="4" w:space="0"/>
            </w:tcBorders>
            <w:vAlign w:val="center"/>
          </w:tcPr>
          <w:p w14:paraId="7E89C5A7">
            <w:pPr>
              <w:ind w:right="5"/>
              <w:jc w:val="right"/>
              <w:rPr>
                <w:rFonts w:hint="eastAsia"/>
                <w:szCs w:val="21"/>
              </w:rPr>
            </w:pPr>
            <w:r>
              <w:rPr>
                <w:rFonts w:ascii="Arial Narrow" w:hAnsi="Arial Narrow" w:eastAsia="等线"/>
                <w:color w:val="000000"/>
                <w:szCs w:val="21"/>
              </w:rPr>
              <w:t xml:space="preserve">252,016,587.66 </w:t>
            </w:r>
          </w:p>
        </w:tc>
        <w:tc>
          <w:tcPr>
            <w:tcW w:w="920" w:type="pct"/>
            <w:tcBorders>
              <w:top w:val="single" w:color="auto" w:sz="4" w:space="0"/>
              <w:left w:val="single" w:color="auto" w:sz="4" w:space="0"/>
              <w:bottom w:val="single" w:color="auto" w:sz="4" w:space="0"/>
              <w:right w:val="single" w:color="auto" w:sz="4" w:space="0"/>
            </w:tcBorders>
            <w:vAlign w:val="center"/>
          </w:tcPr>
          <w:p w14:paraId="06709015">
            <w:pPr>
              <w:jc w:val="right"/>
              <w:rPr>
                <w:rFonts w:hint="eastAsia"/>
                <w:szCs w:val="21"/>
              </w:rPr>
            </w:pPr>
            <w:r>
              <w:rPr>
                <w:rFonts w:ascii="Arial Narrow" w:hAnsi="Arial Narrow" w:eastAsia="等线"/>
                <w:color w:val="000000"/>
                <w:szCs w:val="21"/>
              </w:rPr>
              <w:t xml:space="preserve">433,931,385.80 </w:t>
            </w:r>
          </w:p>
        </w:tc>
        <w:tc>
          <w:tcPr>
            <w:tcW w:w="926" w:type="pct"/>
            <w:tcBorders>
              <w:top w:val="single" w:color="auto" w:sz="4" w:space="0"/>
              <w:left w:val="single" w:color="auto" w:sz="4" w:space="0"/>
              <w:bottom w:val="single" w:color="auto" w:sz="4" w:space="0"/>
              <w:right w:val="single" w:color="auto" w:sz="4" w:space="0"/>
            </w:tcBorders>
            <w:vAlign w:val="center"/>
          </w:tcPr>
          <w:p w14:paraId="27542536">
            <w:pPr>
              <w:jc w:val="right"/>
              <w:rPr>
                <w:rFonts w:hint="eastAsia"/>
                <w:szCs w:val="21"/>
              </w:rPr>
            </w:pPr>
            <w:r>
              <w:rPr>
                <w:rFonts w:ascii="Arial Narrow" w:hAnsi="Arial Narrow" w:eastAsia="等线"/>
                <w:color w:val="000000"/>
                <w:szCs w:val="21"/>
              </w:rPr>
              <w:t xml:space="preserve">87,038,722.28 </w:t>
            </w:r>
          </w:p>
        </w:tc>
        <w:tc>
          <w:tcPr>
            <w:tcW w:w="916" w:type="pct"/>
            <w:tcBorders>
              <w:top w:val="single" w:color="auto" w:sz="4" w:space="0"/>
              <w:left w:val="single" w:color="auto" w:sz="4" w:space="0"/>
              <w:bottom w:val="single" w:color="auto" w:sz="4" w:space="0"/>
              <w:right w:val="single" w:color="auto" w:sz="4" w:space="0"/>
            </w:tcBorders>
            <w:vAlign w:val="center"/>
          </w:tcPr>
          <w:p w14:paraId="62244934">
            <w:pPr>
              <w:ind w:right="5"/>
              <w:jc w:val="right"/>
              <w:rPr>
                <w:rFonts w:hint="eastAsia"/>
                <w:szCs w:val="21"/>
              </w:rPr>
            </w:pPr>
            <w:r>
              <w:rPr>
                <w:rFonts w:ascii="Arial Narrow" w:hAnsi="Arial Narrow" w:eastAsia="等线"/>
                <w:color w:val="000000"/>
                <w:szCs w:val="21"/>
              </w:rPr>
              <w:t xml:space="preserve">598,909,251.18 </w:t>
            </w:r>
          </w:p>
        </w:tc>
      </w:tr>
      <w:tr w14:paraId="25B8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54AFD695">
            <w:pPr>
              <w:rPr>
                <w:rFonts w:hint="eastAsia"/>
                <w:szCs w:val="21"/>
              </w:rPr>
            </w:pPr>
            <w:r>
              <w:t>周转材料</w:t>
            </w:r>
          </w:p>
        </w:tc>
        <w:tc>
          <w:tcPr>
            <w:tcW w:w="911" w:type="pct"/>
            <w:tcBorders>
              <w:top w:val="single" w:color="auto" w:sz="4" w:space="0"/>
              <w:left w:val="single" w:color="auto" w:sz="4" w:space="0"/>
              <w:bottom w:val="single" w:color="auto" w:sz="4" w:space="0"/>
              <w:right w:val="single" w:color="auto" w:sz="4" w:space="0"/>
            </w:tcBorders>
            <w:vAlign w:val="center"/>
          </w:tcPr>
          <w:p w14:paraId="78C7FB8D">
            <w:pPr>
              <w:ind w:right="5"/>
              <w:jc w:val="right"/>
              <w:rPr>
                <w:rFonts w:hint="eastAsia"/>
                <w:szCs w:val="21"/>
              </w:rPr>
            </w:pPr>
            <w:r>
              <w:rPr>
                <w:rFonts w:ascii="Arial Narrow" w:hAnsi="Arial Narrow" w:eastAsia="等线"/>
                <w:color w:val="000000"/>
                <w:szCs w:val="21"/>
              </w:rPr>
              <w:t xml:space="preserve">42,813.25 </w:t>
            </w:r>
          </w:p>
        </w:tc>
        <w:tc>
          <w:tcPr>
            <w:tcW w:w="920" w:type="pct"/>
            <w:tcBorders>
              <w:top w:val="single" w:color="auto" w:sz="4" w:space="0"/>
              <w:left w:val="single" w:color="auto" w:sz="4" w:space="0"/>
              <w:bottom w:val="single" w:color="auto" w:sz="4" w:space="0"/>
              <w:right w:val="single" w:color="auto" w:sz="4" w:space="0"/>
            </w:tcBorders>
            <w:vAlign w:val="center"/>
          </w:tcPr>
          <w:p w14:paraId="2B0A3FDE">
            <w:pPr>
              <w:jc w:val="right"/>
              <w:rPr>
                <w:rFonts w:hint="eastAsia"/>
                <w:szCs w:val="21"/>
              </w:rPr>
            </w:pPr>
          </w:p>
        </w:tc>
        <w:tc>
          <w:tcPr>
            <w:tcW w:w="926" w:type="pct"/>
            <w:tcBorders>
              <w:top w:val="single" w:color="auto" w:sz="4" w:space="0"/>
              <w:left w:val="single" w:color="auto" w:sz="4" w:space="0"/>
              <w:bottom w:val="single" w:color="auto" w:sz="4" w:space="0"/>
              <w:right w:val="single" w:color="auto" w:sz="4" w:space="0"/>
            </w:tcBorders>
            <w:vAlign w:val="center"/>
          </w:tcPr>
          <w:p w14:paraId="4340F400">
            <w:pPr>
              <w:jc w:val="right"/>
              <w:rPr>
                <w:rFonts w:hint="eastAsia"/>
                <w:szCs w:val="21"/>
              </w:rPr>
            </w:pPr>
            <w:r>
              <w:rPr>
                <w:rFonts w:ascii="Arial Narrow" w:hAnsi="Arial Narrow" w:eastAsia="等线"/>
                <w:color w:val="000000"/>
                <w:szCs w:val="21"/>
              </w:rPr>
              <w:t xml:space="preserve">42,813.25 </w:t>
            </w:r>
          </w:p>
        </w:tc>
        <w:tc>
          <w:tcPr>
            <w:tcW w:w="916" w:type="pct"/>
            <w:tcBorders>
              <w:top w:val="single" w:color="auto" w:sz="4" w:space="0"/>
              <w:left w:val="single" w:color="auto" w:sz="4" w:space="0"/>
              <w:bottom w:val="single" w:color="auto" w:sz="4" w:space="0"/>
              <w:right w:val="single" w:color="auto" w:sz="4" w:space="0"/>
            </w:tcBorders>
            <w:vAlign w:val="center"/>
          </w:tcPr>
          <w:p w14:paraId="2DDD815D">
            <w:pPr>
              <w:jc w:val="right"/>
              <w:rPr>
                <w:rFonts w:hint="eastAsia"/>
                <w:szCs w:val="21"/>
              </w:rPr>
            </w:pPr>
          </w:p>
        </w:tc>
      </w:tr>
      <w:tr w14:paraId="1951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33FA868B">
            <w:pPr>
              <w:rPr>
                <w:rFonts w:hint="eastAsia"/>
                <w:szCs w:val="21"/>
              </w:rPr>
            </w:pPr>
            <w:r>
              <w:rPr>
                <w:rFonts w:ascii="Arial Narrow" w:hAnsi="Arial Narrow" w:eastAsia="等线"/>
                <w:color w:val="000000"/>
                <w:szCs w:val="21"/>
              </w:rPr>
              <w:t>发出商品</w:t>
            </w:r>
          </w:p>
        </w:tc>
        <w:tc>
          <w:tcPr>
            <w:tcW w:w="911" w:type="pct"/>
            <w:tcBorders>
              <w:top w:val="single" w:color="auto" w:sz="4" w:space="0"/>
              <w:left w:val="single" w:color="auto" w:sz="4" w:space="0"/>
              <w:bottom w:val="single" w:color="auto" w:sz="4" w:space="0"/>
              <w:right w:val="single" w:color="auto" w:sz="4" w:space="0"/>
            </w:tcBorders>
            <w:vAlign w:val="center"/>
          </w:tcPr>
          <w:p w14:paraId="2D086255">
            <w:pPr>
              <w:ind w:right="5"/>
              <w:jc w:val="right"/>
              <w:rPr>
                <w:rFonts w:hint="eastAsia"/>
                <w:szCs w:val="21"/>
              </w:rPr>
            </w:pPr>
            <w:r>
              <w:rPr>
                <w:rFonts w:ascii="Arial Narrow" w:hAnsi="Arial Narrow" w:eastAsia="等线"/>
                <w:color w:val="000000"/>
                <w:szCs w:val="21"/>
              </w:rPr>
              <w:t xml:space="preserve">51,568,643.33 </w:t>
            </w:r>
          </w:p>
        </w:tc>
        <w:tc>
          <w:tcPr>
            <w:tcW w:w="920" w:type="pct"/>
            <w:tcBorders>
              <w:top w:val="single" w:color="auto" w:sz="4" w:space="0"/>
              <w:left w:val="single" w:color="auto" w:sz="4" w:space="0"/>
              <w:bottom w:val="single" w:color="auto" w:sz="4" w:space="0"/>
              <w:right w:val="single" w:color="auto" w:sz="4" w:space="0"/>
            </w:tcBorders>
            <w:vAlign w:val="center"/>
          </w:tcPr>
          <w:p w14:paraId="35B11692">
            <w:pPr>
              <w:jc w:val="right"/>
              <w:rPr>
                <w:rFonts w:hint="eastAsia"/>
                <w:szCs w:val="21"/>
              </w:rPr>
            </w:pPr>
            <w:r>
              <w:rPr>
                <w:rFonts w:ascii="Arial Narrow" w:hAnsi="Arial Narrow" w:eastAsia="等线"/>
                <w:color w:val="000000"/>
                <w:szCs w:val="21"/>
              </w:rPr>
              <w:t xml:space="preserve">3,787,145.95 </w:t>
            </w:r>
          </w:p>
        </w:tc>
        <w:tc>
          <w:tcPr>
            <w:tcW w:w="926" w:type="pct"/>
            <w:tcBorders>
              <w:top w:val="single" w:color="auto" w:sz="4" w:space="0"/>
              <w:left w:val="single" w:color="auto" w:sz="4" w:space="0"/>
              <w:bottom w:val="single" w:color="auto" w:sz="4" w:space="0"/>
              <w:right w:val="single" w:color="auto" w:sz="4" w:space="0"/>
            </w:tcBorders>
            <w:vAlign w:val="center"/>
          </w:tcPr>
          <w:p w14:paraId="65BBA1A6">
            <w:pPr>
              <w:jc w:val="right"/>
              <w:rPr>
                <w:rFonts w:hint="eastAsia"/>
                <w:szCs w:val="21"/>
              </w:rPr>
            </w:pPr>
          </w:p>
        </w:tc>
        <w:tc>
          <w:tcPr>
            <w:tcW w:w="916" w:type="pct"/>
            <w:tcBorders>
              <w:top w:val="single" w:color="auto" w:sz="4" w:space="0"/>
              <w:left w:val="single" w:color="auto" w:sz="4" w:space="0"/>
              <w:bottom w:val="single" w:color="auto" w:sz="4" w:space="0"/>
              <w:right w:val="single" w:color="auto" w:sz="4" w:space="0"/>
            </w:tcBorders>
            <w:vAlign w:val="center"/>
          </w:tcPr>
          <w:p w14:paraId="6A354980">
            <w:pPr>
              <w:jc w:val="right"/>
              <w:rPr>
                <w:rFonts w:hint="eastAsia"/>
                <w:szCs w:val="21"/>
              </w:rPr>
            </w:pPr>
            <w:r>
              <w:rPr>
                <w:rFonts w:ascii="Arial Narrow" w:hAnsi="Arial Narrow" w:eastAsia="等线"/>
                <w:color w:val="000000"/>
                <w:szCs w:val="21"/>
              </w:rPr>
              <w:t xml:space="preserve">55,355,789.28 </w:t>
            </w:r>
          </w:p>
        </w:tc>
      </w:tr>
      <w:tr w14:paraId="51D2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6A518123">
            <w:pPr>
              <w:rPr>
                <w:rFonts w:hint="eastAsia"/>
              </w:rPr>
            </w:pPr>
            <w:r>
              <w:rPr>
                <w:rFonts w:ascii="Arial Narrow" w:hAnsi="Arial Narrow" w:eastAsia="等线"/>
                <w:color w:val="000000"/>
                <w:szCs w:val="21"/>
              </w:rPr>
              <w:t>委托加工物资</w:t>
            </w:r>
          </w:p>
        </w:tc>
        <w:tc>
          <w:tcPr>
            <w:tcW w:w="911" w:type="pct"/>
            <w:tcBorders>
              <w:top w:val="single" w:color="auto" w:sz="4" w:space="0"/>
              <w:left w:val="single" w:color="auto" w:sz="4" w:space="0"/>
              <w:bottom w:val="single" w:color="auto" w:sz="4" w:space="0"/>
              <w:right w:val="single" w:color="auto" w:sz="4" w:space="0"/>
            </w:tcBorders>
            <w:vAlign w:val="center"/>
          </w:tcPr>
          <w:p w14:paraId="53D3F900">
            <w:pPr>
              <w:ind w:right="5"/>
              <w:jc w:val="right"/>
              <w:rPr>
                <w:rFonts w:hint="eastAsia"/>
                <w:szCs w:val="21"/>
              </w:rPr>
            </w:pPr>
            <w:r>
              <w:rPr>
                <w:rFonts w:ascii="Arial Narrow" w:hAnsi="Arial Narrow" w:eastAsia="等线"/>
                <w:color w:val="000000"/>
                <w:szCs w:val="21"/>
              </w:rPr>
              <w:t xml:space="preserve">10,088,948.47 </w:t>
            </w:r>
          </w:p>
        </w:tc>
        <w:tc>
          <w:tcPr>
            <w:tcW w:w="920" w:type="pct"/>
            <w:tcBorders>
              <w:top w:val="single" w:color="auto" w:sz="4" w:space="0"/>
              <w:left w:val="single" w:color="auto" w:sz="4" w:space="0"/>
              <w:bottom w:val="single" w:color="auto" w:sz="4" w:space="0"/>
              <w:right w:val="single" w:color="auto" w:sz="4" w:space="0"/>
            </w:tcBorders>
            <w:vAlign w:val="center"/>
          </w:tcPr>
          <w:p w14:paraId="06045450">
            <w:pPr>
              <w:jc w:val="right"/>
              <w:rPr>
                <w:rFonts w:hint="eastAsia"/>
                <w:szCs w:val="21"/>
              </w:rPr>
            </w:pPr>
            <w:r>
              <w:rPr>
                <w:rFonts w:ascii="Arial Narrow" w:hAnsi="Arial Narrow" w:eastAsia="等线"/>
                <w:color w:val="000000"/>
                <w:szCs w:val="21"/>
              </w:rPr>
              <w:t xml:space="preserve">426,260.68 </w:t>
            </w:r>
          </w:p>
        </w:tc>
        <w:tc>
          <w:tcPr>
            <w:tcW w:w="926" w:type="pct"/>
            <w:tcBorders>
              <w:top w:val="single" w:color="auto" w:sz="4" w:space="0"/>
              <w:left w:val="single" w:color="auto" w:sz="4" w:space="0"/>
              <w:bottom w:val="single" w:color="auto" w:sz="4" w:space="0"/>
              <w:right w:val="single" w:color="auto" w:sz="4" w:space="0"/>
            </w:tcBorders>
            <w:vAlign w:val="center"/>
          </w:tcPr>
          <w:p w14:paraId="6F233655">
            <w:pPr>
              <w:jc w:val="right"/>
              <w:rPr>
                <w:rFonts w:hint="eastAsia"/>
                <w:szCs w:val="21"/>
              </w:rPr>
            </w:pPr>
          </w:p>
        </w:tc>
        <w:tc>
          <w:tcPr>
            <w:tcW w:w="916" w:type="pct"/>
            <w:tcBorders>
              <w:top w:val="single" w:color="auto" w:sz="4" w:space="0"/>
              <w:left w:val="single" w:color="auto" w:sz="4" w:space="0"/>
              <w:bottom w:val="single" w:color="auto" w:sz="4" w:space="0"/>
              <w:right w:val="single" w:color="auto" w:sz="4" w:space="0"/>
            </w:tcBorders>
            <w:vAlign w:val="center"/>
          </w:tcPr>
          <w:p w14:paraId="34E860B4">
            <w:pPr>
              <w:jc w:val="right"/>
              <w:rPr>
                <w:rFonts w:hint="eastAsia"/>
                <w:szCs w:val="21"/>
              </w:rPr>
            </w:pPr>
            <w:r>
              <w:rPr>
                <w:rFonts w:ascii="Arial Narrow" w:hAnsi="Arial Narrow" w:eastAsia="等线"/>
                <w:color w:val="000000"/>
                <w:szCs w:val="21"/>
              </w:rPr>
              <w:t xml:space="preserve">10,515,209.15 </w:t>
            </w:r>
          </w:p>
        </w:tc>
      </w:tr>
      <w:tr w14:paraId="405C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17D456E8">
            <w:pPr>
              <w:rPr>
                <w:rFonts w:hint="eastAsia"/>
                <w:szCs w:val="21"/>
              </w:rPr>
            </w:pPr>
            <w:r>
              <w:rPr>
                <w:rFonts w:ascii="Arial Narrow" w:hAnsi="Arial Narrow" w:eastAsia="等线"/>
                <w:color w:val="000000"/>
                <w:szCs w:val="21"/>
              </w:rPr>
              <w:t>自制半成品</w:t>
            </w:r>
          </w:p>
        </w:tc>
        <w:tc>
          <w:tcPr>
            <w:tcW w:w="911" w:type="pct"/>
            <w:tcBorders>
              <w:top w:val="single" w:color="auto" w:sz="4" w:space="0"/>
              <w:left w:val="single" w:color="auto" w:sz="4" w:space="0"/>
              <w:bottom w:val="single" w:color="auto" w:sz="4" w:space="0"/>
              <w:right w:val="single" w:color="auto" w:sz="4" w:space="0"/>
            </w:tcBorders>
            <w:vAlign w:val="center"/>
          </w:tcPr>
          <w:p w14:paraId="4816BE00">
            <w:pPr>
              <w:ind w:right="5"/>
              <w:jc w:val="right"/>
              <w:rPr>
                <w:rFonts w:hint="eastAsia"/>
                <w:szCs w:val="21"/>
              </w:rPr>
            </w:pPr>
            <w:r>
              <w:rPr>
                <w:rFonts w:ascii="Arial Narrow" w:hAnsi="Arial Narrow" w:eastAsia="等线"/>
                <w:color w:val="000000"/>
                <w:szCs w:val="21"/>
              </w:rPr>
              <w:t xml:space="preserve">3,105,965.99 </w:t>
            </w:r>
          </w:p>
        </w:tc>
        <w:tc>
          <w:tcPr>
            <w:tcW w:w="920" w:type="pct"/>
            <w:tcBorders>
              <w:top w:val="single" w:color="auto" w:sz="4" w:space="0"/>
              <w:left w:val="single" w:color="auto" w:sz="4" w:space="0"/>
              <w:bottom w:val="single" w:color="auto" w:sz="4" w:space="0"/>
              <w:right w:val="single" w:color="auto" w:sz="4" w:space="0"/>
            </w:tcBorders>
            <w:vAlign w:val="center"/>
          </w:tcPr>
          <w:p w14:paraId="2B83D6ED">
            <w:pPr>
              <w:jc w:val="right"/>
              <w:rPr>
                <w:rFonts w:hint="eastAsia"/>
                <w:szCs w:val="21"/>
              </w:rPr>
            </w:pPr>
            <w:r>
              <w:rPr>
                <w:rFonts w:ascii="Arial Narrow" w:hAnsi="Arial Narrow" w:eastAsia="等线"/>
                <w:color w:val="000000"/>
                <w:szCs w:val="21"/>
              </w:rPr>
              <w:t xml:space="preserve">24,651,759.78 </w:t>
            </w:r>
          </w:p>
        </w:tc>
        <w:tc>
          <w:tcPr>
            <w:tcW w:w="926" w:type="pct"/>
            <w:tcBorders>
              <w:top w:val="single" w:color="auto" w:sz="4" w:space="0"/>
              <w:left w:val="single" w:color="auto" w:sz="4" w:space="0"/>
              <w:bottom w:val="single" w:color="auto" w:sz="4" w:space="0"/>
              <w:right w:val="single" w:color="auto" w:sz="4" w:space="0"/>
            </w:tcBorders>
            <w:vAlign w:val="center"/>
          </w:tcPr>
          <w:p w14:paraId="7BD8FC2A">
            <w:pPr>
              <w:jc w:val="right"/>
              <w:rPr>
                <w:rFonts w:hint="eastAsia"/>
                <w:szCs w:val="21"/>
              </w:rPr>
            </w:pPr>
            <w:r>
              <w:rPr>
                <w:rFonts w:ascii="Arial Narrow" w:hAnsi="Arial Narrow" w:eastAsia="等线"/>
                <w:color w:val="000000"/>
                <w:szCs w:val="21"/>
              </w:rPr>
              <w:t xml:space="preserve">2,361,535.58 </w:t>
            </w:r>
          </w:p>
        </w:tc>
        <w:tc>
          <w:tcPr>
            <w:tcW w:w="916" w:type="pct"/>
            <w:tcBorders>
              <w:top w:val="single" w:color="auto" w:sz="4" w:space="0"/>
              <w:left w:val="single" w:color="auto" w:sz="4" w:space="0"/>
              <w:bottom w:val="single" w:color="auto" w:sz="4" w:space="0"/>
              <w:right w:val="single" w:color="auto" w:sz="4" w:space="0"/>
            </w:tcBorders>
            <w:vAlign w:val="center"/>
          </w:tcPr>
          <w:p w14:paraId="4E4ECEB1">
            <w:pPr>
              <w:ind w:right="5"/>
              <w:jc w:val="right"/>
              <w:rPr>
                <w:rFonts w:hint="eastAsia"/>
                <w:szCs w:val="21"/>
              </w:rPr>
            </w:pPr>
            <w:r>
              <w:rPr>
                <w:rFonts w:ascii="Arial Narrow" w:hAnsi="Arial Narrow" w:eastAsia="等线"/>
                <w:color w:val="000000"/>
                <w:szCs w:val="21"/>
              </w:rPr>
              <w:t xml:space="preserve">25,396,190.19 </w:t>
            </w:r>
          </w:p>
        </w:tc>
      </w:tr>
      <w:tr w14:paraId="63E4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2FAF310F">
            <w:pPr>
              <w:rPr>
                <w:rFonts w:hint="eastAsia"/>
                <w:szCs w:val="21"/>
              </w:rPr>
            </w:pPr>
            <w:r>
              <w:rPr>
                <w:rFonts w:ascii="Arial Narrow" w:hAnsi="Arial Narrow" w:eastAsia="等线"/>
                <w:color w:val="000000"/>
                <w:szCs w:val="21"/>
              </w:rPr>
              <w:t>开发成本</w:t>
            </w:r>
          </w:p>
        </w:tc>
        <w:tc>
          <w:tcPr>
            <w:tcW w:w="911" w:type="pct"/>
            <w:tcBorders>
              <w:top w:val="single" w:color="auto" w:sz="4" w:space="0"/>
              <w:left w:val="single" w:color="auto" w:sz="4" w:space="0"/>
              <w:bottom w:val="single" w:color="auto" w:sz="4" w:space="0"/>
              <w:right w:val="single" w:color="auto" w:sz="4" w:space="0"/>
            </w:tcBorders>
            <w:vAlign w:val="center"/>
          </w:tcPr>
          <w:p w14:paraId="6EF9CCF6">
            <w:pPr>
              <w:ind w:right="5"/>
              <w:jc w:val="right"/>
              <w:rPr>
                <w:rFonts w:hint="eastAsia"/>
                <w:szCs w:val="21"/>
              </w:rPr>
            </w:pPr>
          </w:p>
        </w:tc>
        <w:tc>
          <w:tcPr>
            <w:tcW w:w="920" w:type="pct"/>
            <w:tcBorders>
              <w:top w:val="single" w:color="auto" w:sz="4" w:space="0"/>
              <w:left w:val="single" w:color="auto" w:sz="4" w:space="0"/>
              <w:bottom w:val="single" w:color="auto" w:sz="4" w:space="0"/>
              <w:right w:val="single" w:color="auto" w:sz="4" w:space="0"/>
            </w:tcBorders>
            <w:vAlign w:val="center"/>
          </w:tcPr>
          <w:p w14:paraId="0038E245">
            <w:pPr>
              <w:jc w:val="right"/>
              <w:rPr>
                <w:rFonts w:hint="eastAsia"/>
                <w:szCs w:val="21"/>
              </w:rPr>
            </w:pPr>
          </w:p>
        </w:tc>
        <w:tc>
          <w:tcPr>
            <w:tcW w:w="926" w:type="pct"/>
            <w:tcBorders>
              <w:top w:val="single" w:color="auto" w:sz="4" w:space="0"/>
              <w:left w:val="single" w:color="auto" w:sz="4" w:space="0"/>
              <w:bottom w:val="single" w:color="auto" w:sz="4" w:space="0"/>
              <w:right w:val="single" w:color="auto" w:sz="4" w:space="0"/>
            </w:tcBorders>
            <w:vAlign w:val="center"/>
          </w:tcPr>
          <w:p w14:paraId="214D2FEF">
            <w:pPr>
              <w:jc w:val="right"/>
              <w:rPr>
                <w:rFonts w:hint="eastAsia"/>
                <w:szCs w:val="21"/>
              </w:rPr>
            </w:pPr>
          </w:p>
        </w:tc>
        <w:tc>
          <w:tcPr>
            <w:tcW w:w="916" w:type="pct"/>
            <w:tcBorders>
              <w:top w:val="single" w:color="auto" w:sz="4" w:space="0"/>
              <w:left w:val="single" w:color="auto" w:sz="4" w:space="0"/>
              <w:bottom w:val="single" w:color="auto" w:sz="4" w:space="0"/>
              <w:right w:val="single" w:color="auto" w:sz="4" w:space="0"/>
            </w:tcBorders>
            <w:vAlign w:val="center"/>
          </w:tcPr>
          <w:p w14:paraId="2934A683">
            <w:pPr>
              <w:ind w:right="5"/>
              <w:jc w:val="right"/>
              <w:rPr>
                <w:rFonts w:hint="eastAsia"/>
                <w:szCs w:val="21"/>
              </w:rPr>
            </w:pPr>
          </w:p>
        </w:tc>
      </w:tr>
      <w:tr w14:paraId="4672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bottom"/>
          </w:tcPr>
          <w:p w14:paraId="5B44104E">
            <w:pPr>
              <w:rPr>
                <w:rFonts w:hint="eastAsia"/>
                <w:szCs w:val="21"/>
              </w:rPr>
            </w:pPr>
            <w:r>
              <w:rPr>
                <w:rFonts w:ascii="Arial Narrow" w:hAnsi="Arial Narrow" w:eastAsia="等线"/>
                <w:color w:val="000000"/>
                <w:szCs w:val="21"/>
              </w:rPr>
              <w:t>开发产品</w:t>
            </w:r>
          </w:p>
        </w:tc>
        <w:tc>
          <w:tcPr>
            <w:tcW w:w="911" w:type="pct"/>
            <w:tcBorders>
              <w:top w:val="single" w:color="auto" w:sz="4" w:space="0"/>
              <w:left w:val="single" w:color="auto" w:sz="4" w:space="0"/>
              <w:bottom w:val="single" w:color="auto" w:sz="4" w:space="0"/>
              <w:right w:val="single" w:color="auto" w:sz="4" w:space="0"/>
            </w:tcBorders>
            <w:vAlign w:val="center"/>
          </w:tcPr>
          <w:p w14:paraId="5D325C46">
            <w:pPr>
              <w:ind w:right="5"/>
              <w:jc w:val="right"/>
              <w:rPr>
                <w:rFonts w:hint="eastAsia"/>
                <w:szCs w:val="21"/>
              </w:rPr>
            </w:pPr>
          </w:p>
        </w:tc>
        <w:tc>
          <w:tcPr>
            <w:tcW w:w="920" w:type="pct"/>
            <w:tcBorders>
              <w:top w:val="single" w:color="auto" w:sz="4" w:space="0"/>
              <w:left w:val="single" w:color="auto" w:sz="4" w:space="0"/>
              <w:bottom w:val="single" w:color="auto" w:sz="4" w:space="0"/>
              <w:right w:val="single" w:color="auto" w:sz="4" w:space="0"/>
            </w:tcBorders>
            <w:vAlign w:val="center"/>
          </w:tcPr>
          <w:p w14:paraId="700ABE65">
            <w:pPr>
              <w:jc w:val="right"/>
              <w:rPr>
                <w:rFonts w:hint="eastAsia"/>
                <w:szCs w:val="21"/>
              </w:rPr>
            </w:pPr>
          </w:p>
        </w:tc>
        <w:tc>
          <w:tcPr>
            <w:tcW w:w="926" w:type="pct"/>
            <w:tcBorders>
              <w:top w:val="single" w:color="auto" w:sz="4" w:space="0"/>
              <w:left w:val="single" w:color="auto" w:sz="4" w:space="0"/>
              <w:bottom w:val="single" w:color="auto" w:sz="4" w:space="0"/>
              <w:right w:val="single" w:color="auto" w:sz="4" w:space="0"/>
            </w:tcBorders>
            <w:vAlign w:val="center"/>
          </w:tcPr>
          <w:p w14:paraId="67372824">
            <w:pPr>
              <w:jc w:val="right"/>
              <w:rPr>
                <w:rFonts w:hint="eastAsia"/>
                <w:szCs w:val="21"/>
              </w:rPr>
            </w:pPr>
          </w:p>
        </w:tc>
        <w:tc>
          <w:tcPr>
            <w:tcW w:w="916" w:type="pct"/>
            <w:tcBorders>
              <w:top w:val="single" w:color="auto" w:sz="4" w:space="0"/>
              <w:left w:val="single" w:color="auto" w:sz="4" w:space="0"/>
              <w:bottom w:val="single" w:color="auto" w:sz="4" w:space="0"/>
              <w:right w:val="single" w:color="auto" w:sz="4" w:space="0"/>
            </w:tcBorders>
            <w:vAlign w:val="center"/>
          </w:tcPr>
          <w:p w14:paraId="4A0BEC3B">
            <w:pPr>
              <w:ind w:right="5"/>
              <w:jc w:val="right"/>
              <w:rPr>
                <w:rFonts w:hint="eastAsia"/>
                <w:szCs w:val="21"/>
              </w:rPr>
            </w:pPr>
          </w:p>
        </w:tc>
      </w:tr>
      <w:tr w14:paraId="2C48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20" w:type="pct"/>
            <w:tcBorders>
              <w:top w:val="single" w:color="auto" w:sz="4" w:space="0"/>
              <w:left w:val="single" w:color="auto" w:sz="4" w:space="0"/>
              <w:bottom w:val="single" w:color="auto" w:sz="4" w:space="0"/>
              <w:right w:val="single" w:color="auto" w:sz="4" w:space="0"/>
            </w:tcBorders>
            <w:vAlign w:val="center"/>
          </w:tcPr>
          <w:p w14:paraId="303E37F0">
            <w:pPr>
              <w:jc w:val="center"/>
              <w:rPr>
                <w:rFonts w:hint="eastAsia"/>
                <w:szCs w:val="21"/>
              </w:rPr>
            </w:pPr>
            <w:r>
              <w:rPr>
                <w:rFonts w:hint="eastAsia"/>
                <w:szCs w:val="21"/>
              </w:rPr>
              <w:t>合计</w:t>
            </w:r>
          </w:p>
        </w:tc>
        <w:tc>
          <w:tcPr>
            <w:tcW w:w="911" w:type="pct"/>
            <w:tcBorders>
              <w:top w:val="single" w:color="auto" w:sz="4" w:space="0"/>
              <w:left w:val="single" w:color="auto" w:sz="4" w:space="0"/>
              <w:bottom w:val="single" w:color="auto" w:sz="4" w:space="0"/>
              <w:right w:val="single" w:color="auto" w:sz="4" w:space="0"/>
            </w:tcBorders>
            <w:vAlign w:val="center"/>
          </w:tcPr>
          <w:p w14:paraId="5DF4BB2B">
            <w:pPr>
              <w:ind w:right="5"/>
              <w:jc w:val="right"/>
              <w:rPr>
                <w:rFonts w:hint="eastAsia"/>
                <w:szCs w:val="21"/>
              </w:rPr>
            </w:pPr>
            <w:r>
              <w:rPr>
                <w:rFonts w:ascii="Arial Narrow" w:hAnsi="Arial Narrow" w:eastAsia="等线"/>
                <w:color w:val="000000"/>
                <w:szCs w:val="21"/>
              </w:rPr>
              <w:t xml:space="preserve">390,013,303.42 </w:t>
            </w:r>
          </w:p>
        </w:tc>
        <w:tc>
          <w:tcPr>
            <w:tcW w:w="920" w:type="pct"/>
            <w:tcBorders>
              <w:top w:val="single" w:color="auto" w:sz="4" w:space="0"/>
              <w:left w:val="single" w:color="auto" w:sz="4" w:space="0"/>
              <w:bottom w:val="single" w:color="auto" w:sz="4" w:space="0"/>
              <w:right w:val="single" w:color="auto" w:sz="4" w:space="0"/>
            </w:tcBorders>
            <w:vAlign w:val="center"/>
          </w:tcPr>
          <w:p w14:paraId="10BD3751">
            <w:pPr>
              <w:jc w:val="right"/>
              <w:rPr>
                <w:rFonts w:hint="eastAsia"/>
                <w:szCs w:val="21"/>
              </w:rPr>
            </w:pPr>
            <w:r>
              <w:rPr>
                <w:rFonts w:ascii="Arial Narrow" w:hAnsi="Arial Narrow" w:eastAsia="等线"/>
                <w:color w:val="000000"/>
                <w:szCs w:val="21"/>
              </w:rPr>
              <w:t xml:space="preserve">530,695,394.34 </w:t>
            </w:r>
          </w:p>
        </w:tc>
        <w:tc>
          <w:tcPr>
            <w:tcW w:w="926" w:type="pct"/>
            <w:tcBorders>
              <w:top w:val="single" w:color="auto" w:sz="4" w:space="0"/>
              <w:left w:val="single" w:color="auto" w:sz="4" w:space="0"/>
              <w:bottom w:val="single" w:color="auto" w:sz="4" w:space="0"/>
              <w:right w:val="single" w:color="auto" w:sz="4" w:space="0"/>
            </w:tcBorders>
            <w:vAlign w:val="center"/>
          </w:tcPr>
          <w:p w14:paraId="45FFD7F8">
            <w:pPr>
              <w:jc w:val="right"/>
              <w:rPr>
                <w:rFonts w:hint="eastAsia"/>
                <w:szCs w:val="21"/>
              </w:rPr>
            </w:pPr>
            <w:r>
              <w:rPr>
                <w:rFonts w:ascii="Arial Narrow" w:hAnsi="Arial Narrow" w:eastAsia="等线"/>
                <w:color w:val="000000"/>
                <w:szCs w:val="21"/>
              </w:rPr>
              <w:t xml:space="preserve">110,121,277.82 </w:t>
            </w:r>
          </w:p>
        </w:tc>
        <w:tc>
          <w:tcPr>
            <w:tcW w:w="916" w:type="pct"/>
            <w:tcBorders>
              <w:top w:val="single" w:color="auto" w:sz="4" w:space="0"/>
              <w:left w:val="single" w:color="auto" w:sz="4" w:space="0"/>
              <w:bottom w:val="single" w:color="auto" w:sz="4" w:space="0"/>
              <w:right w:val="single" w:color="auto" w:sz="4" w:space="0"/>
            </w:tcBorders>
            <w:vAlign w:val="center"/>
          </w:tcPr>
          <w:p w14:paraId="030D321E">
            <w:pPr>
              <w:ind w:right="5"/>
              <w:jc w:val="right"/>
              <w:rPr>
                <w:rFonts w:hint="eastAsia"/>
                <w:szCs w:val="21"/>
              </w:rPr>
            </w:pPr>
            <w:r>
              <w:rPr>
                <w:rFonts w:ascii="Arial Narrow" w:hAnsi="Arial Narrow" w:eastAsia="等线"/>
                <w:color w:val="000000"/>
                <w:szCs w:val="21"/>
              </w:rPr>
              <w:t xml:space="preserve">810,587,419.94 </w:t>
            </w:r>
          </w:p>
        </w:tc>
      </w:tr>
    </w:tbl>
    <w:p w14:paraId="70B32D89">
      <w:pPr>
        <w:rPr>
          <w:rFonts w:hint="eastAsia"/>
        </w:rPr>
      </w:pPr>
    </w:p>
    <w:p w14:paraId="3D4E0948">
      <w:pPr>
        <w:rPr>
          <w:rFonts w:hint="eastAsia"/>
        </w:rPr>
      </w:pPr>
      <w:r>
        <w:t>本期转回或转销存货跌价准备的原因</w:t>
      </w:r>
    </w:p>
    <w:sdt>
      <w:sdtPr>
        <w:rPr>
          <w:szCs w:val="21"/>
        </w:rPr>
        <w:alias w:val="是否适用：本期转回或转销存货跌价准备的原因[双击切换]"/>
        <w:tag w:val="_GBC_91edca895f07450c8e82d2352caede25"/>
        <w:id w:val="-1749410922"/>
        <w:placeholder>
          <w:docPart w:val="GBC22222222222222222222222222222"/>
        </w:placeholder>
      </w:sdtPr>
      <w:sdtEndPr>
        <w:rPr>
          <w:szCs w:val="21"/>
        </w:rPr>
      </w:sdtEndPr>
      <w:sdtContent>
        <w:p w14:paraId="678F96B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sdt>
      <w:sdtPr>
        <w:alias w:val="本期转回或转销存货跌价准备的原因"/>
        <w:tag w:val="_GBC_fbdc95fc52944622930b173756172429"/>
        <w:id w:val="-2064253966"/>
        <w:placeholder>
          <w:docPart w:val="0D88037EBF314D59B9CF9DFA47DA0E0A"/>
        </w:placeholder>
      </w:sdtPr>
      <w:sdtContent>
        <w:p w14:paraId="63C7B933">
          <w:pPr>
            <w:ind w:firstLine="420" w:firstLineChars="200"/>
            <w:rPr>
              <w:rFonts w:hint="eastAsia"/>
            </w:rPr>
          </w:pPr>
          <w:r>
            <w:rPr>
              <w:rFonts w:hint="eastAsia"/>
            </w:rPr>
            <w:t>本期将已计提存货跌价准备的存货耗用、售出</w:t>
          </w:r>
        </w:p>
      </w:sdtContent>
    </w:sdt>
    <w:p w14:paraId="0A95E6A4">
      <w:pPr>
        <w:rPr>
          <w:rFonts w:hint="eastAsia"/>
        </w:rPr>
      </w:pPr>
    </w:p>
    <w:p w14:paraId="33BDD43B">
      <w:pPr>
        <w:rPr>
          <w:rFonts w:hint="eastAsia"/>
        </w:rPr>
      </w:pPr>
      <w:r>
        <w:rPr>
          <w:rFonts w:hint="eastAsia"/>
        </w:rPr>
        <w:t>按组合计提存货跌价准备</w:t>
      </w:r>
    </w:p>
    <w:sdt>
      <w:sdtPr>
        <w:alias w:val="是否适用：按组合计提存货跌价准备[双击切换]"/>
        <w:tag w:val="_GBC_7654282f8cf847d8a55f8274afb7a726"/>
        <w:id w:val="-187377488"/>
        <w:placeholder>
          <w:docPart w:val="GBC22222222222222222222222222222"/>
        </w:placeholder>
      </w:sdtPr>
      <w:sdtContent>
        <w:p w14:paraId="444C280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2991288">
      <w:pPr>
        <w:rPr>
          <w:rFonts w:hint="eastAsia"/>
        </w:rPr>
      </w:pPr>
    </w:p>
    <w:p w14:paraId="38A96A4B">
      <w:pPr>
        <w:rPr>
          <w:rFonts w:hint="eastAsia"/>
        </w:rPr>
      </w:pPr>
      <w:r>
        <w:rPr>
          <w:rFonts w:hint="eastAsia"/>
        </w:rPr>
        <w:t>按组合计提存货跌价准备的计提标准</w:t>
      </w:r>
    </w:p>
    <w:sdt>
      <w:sdtPr>
        <w:alias w:val="是否适用：按组合计提存货跌价准备的计提标准[双击切换]"/>
        <w:tag w:val="_GBC_5ff59a2951ec4f938d7af938cd197e63"/>
        <w:id w:val="1374415836"/>
        <w:placeholder>
          <w:docPart w:val="GBC22222222222222222222222222222"/>
        </w:placeholder>
      </w:sdtPr>
      <w:sdtContent>
        <w:p w14:paraId="296A363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AAF3D36">
      <w:pPr>
        <w:rPr>
          <w:rFonts w:hint="eastAsia"/>
        </w:rPr>
      </w:pPr>
    </w:p>
    <w:p w14:paraId="5FCC4144">
      <w:pPr>
        <w:pStyle w:val="71"/>
        <w:numPr>
          <w:ilvl w:val="3"/>
          <w:numId w:val="118"/>
        </w:numPr>
        <w:ind w:left="426" w:hanging="426"/>
        <w:rPr>
          <w:rFonts w:hint="eastAsia"/>
        </w:rPr>
      </w:pPr>
      <w:r>
        <w:rPr>
          <w:rFonts w:hint="eastAsia"/>
        </w:rPr>
        <w:t>存货期末余额含有的借款费用资本化金额及其计算标准和依据</w:t>
      </w:r>
    </w:p>
    <w:sdt>
      <w:sdtPr>
        <w:rPr>
          <w:rFonts w:hint="eastAsia"/>
        </w:rPr>
        <w:alias w:val="是否适用：存货期末余额含有借款费用资本化金额的说明[双击切换]"/>
        <w:tag w:val="_GBC_ff19f47f98f34678926b471a6f0d6b3f"/>
        <w:id w:val="-755589715"/>
        <w:placeholder>
          <w:docPart w:val="GBC22222222222222222222222222222"/>
        </w:placeholder>
      </w:sdtPr>
      <w:sdtEndPr>
        <w:rPr>
          <w:rFonts w:hint="eastAsia"/>
        </w:rPr>
      </w:sdtEndPr>
      <w:sdtContent>
        <w:p w14:paraId="6562F71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0AE70EC">
      <w:pPr>
        <w:rPr>
          <w:rFonts w:hint="eastAsia"/>
        </w:rPr>
      </w:pPr>
    </w:p>
    <w:p w14:paraId="5F2EC45B">
      <w:pPr>
        <w:pStyle w:val="71"/>
        <w:numPr>
          <w:ilvl w:val="3"/>
          <w:numId w:val="118"/>
        </w:numPr>
        <w:ind w:left="426" w:hanging="426"/>
        <w:rPr>
          <w:rFonts w:hint="eastAsia"/>
        </w:rPr>
      </w:pPr>
      <w:r>
        <w:rPr>
          <w:rFonts w:hint="eastAsia"/>
        </w:rPr>
        <w:t>合同履约成本本期摊销金额的说明</w:t>
      </w:r>
    </w:p>
    <w:sdt>
      <w:sdtPr>
        <w:alias w:val="是否适用：合同履约成本本期摊销金额的说明[双击切换]"/>
        <w:tag w:val="_GBC_7532d5a15e3d45fa8d69ad2921659b13"/>
        <w:id w:val="1617715050"/>
        <w:placeholder>
          <w:docPart w:val="GBC22222222222222222222222222222"/>
        </w:placeholder>
      </w:sdtPr>
      <w:sdtContent>
        <w:p w14:paraId="63067DA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B105A2D">
      <w:pPr>
        <w:rPr>
          <w:rFonts w:hint="eastAsia"/>
        </w:rPr>
      </w:pPr>
    </w:p>
    <w:p w14:paraId="0D601B49">
      <w:pPr>
        <w:rPr>
          <w:rFonts w:hint="eastAsia"/>
        </w:rPr>
      </w:pPr>
      <w:r>
        <w:rPr>
          <w:rFonts w:hint="eastAsia"/>
        </w:rPr>
        <w:t>其他说明：</w:t>
      </w:r>
    </w:p>
    <w:sdt>
      <w:sdtPr>
        <w:rPr>
          <w:rFonts w:hint="eastAsia"/>
        </w:rPr>
        <w:alias w:val="是否适用：建造合同形成的已完工未结算资产的其他说明[双击切换]"/>
        <w:tag w:val="_GBC_441099179b66496e99c8de04f24782ad"/>
        <w:id w:val="-1036037977"/>
        <w:placeholder>
          <w:docPart w:val="GBC22222222222222222222222222222"/>
        </w:placeholder>
      </w:sdtPr>
      <w:sdtEndPr>
        <w:rPr>
          <w:rFonts w:hint="eastAsia"/>
        </w:rPr>
      </w:sdtEndPr>
      <w:sdtContent>
        <w:p w14:paraId="3B037611">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sdt>
      <w:sdtPr>
        <w:rPr>
          <w:rFonts w:hint="eastAsia"/>
        </w:rPr>
        <w:alias w:val="建造合同形成的已完工未结算资产的其他说明"/>
        <w:tag w:val="_GBC_ad567d0ec9e34520b2f4ffefcd20c285"/>
        <w:id w:val="776908174"/>
        <w:placeholder>
          <w:docPart w:val="GBC22222222222222222222222222222"/>
        </w:placeholder>
      </w:sdtPr>
      <w:sdtEndPr>
        <w:rPr>
          <w:rFonts w:hint="eastAsia"/>
        </w:rPr>
      </w:sdtEndPr>
      <w:sdtContent>
        <w:p w14:paraId="0ED54D02">
          <w:pPr>
            <w:rPr>
              <w:rFonts w:hint="eastAsia"/>
              <w:b/>
              <w:bCs/>
            </w:rPr>
          </w:pPr>
          <w:r>
            <w:rPr>
              <w:rFonts w:hint="eastAsia"/>
              <w:b/>
              <w:bCs/>
            </w:rPr>
            <w:t>开发成本</w:t>
          </w:r>
        </w:p>
        <w:p w14:paraId="5048131B">
          <w:pPr>
            <w:jc w:val="right"/>
            <w:rPr>
              <w:rFonts w:hint="eastAsia"/>
            </w:rPr>
          </w:pPr>
          <w:r>
            <w:rPr>
              <w:rFonts w:hint="eastAsia"/>
            </w:rPr>
            <w:t>单位：</w:t>
          </w:r>
          <w:sdt>
            <w:sdtPr>
              <w:rPr>
                <w:rFonts w:hint="eastAsia"/>
              </w:rPr>
              <w:alias w:val="单位：财务附注：划分为持有待售的资产"/>
              <w:tag w:val="_GBC_2a97e8fb82d54e1185361d12811f739a"/>
              <w:id w:val="1938948120"/>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万元</w:t>
              </w:r>
            </w:sdtContent>
          </w:sdt>
          <w:r>
            <w:rPr>
              <w:rFonts w:hint="eastAsia"/>
            </w:rPr>
            <w:t xml:space="preserve">  币种：</w:t>
          </w:r>
          <w:sdt>
            <w:sdtPr>
              <w:rPr>
                <w:rFonts w:hint="eastAsia"/>
              </w:rPr>
              <w:alias w:val="币种：财务附注：划分为持有待售的资产"/>
              <w:tag w:val="_GBC_da0ec2ce939d4d8b829421418e06e862"/>
              <w:id w:val="-41540244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558"/>
            <w:gridCol w:w="1702"/>
            <w:gridCol w:w="1700"/>
            <w:gridCol w:w="1420"/>
            <w:gridCol w:w="1275"/>
            <w:gridCol w:w="1503"/>
            <w:gridCol w:w="1733"/>
          </w:tblGrid>
          <w:tr w14:paraId="5DF6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0A779068">
                <w:pPr>
                  <w:widowControl w:val="0"/>
                  <w:jc w:val="both"/>
                  <w:rPr>
                    <w:rFonts w:hint="eastAsia"/>
                  </w:rPr>
                </w:pPr>
                <w:r>
                  <w:rPr>
                    <w:rFonts w:hint="eastAsia"/>
                  </w:rPr>
                  <w:t>项目名称</w:t>
                </w:r>
              </w:p>
            </w:tc>
            <w:tc>
              <w:tcPr>
                <w:tcW w:w="562" w:type="pct"/>
              </w:tcPr>
              <w:p w14:paraId="27EBAA31">
                <w:pPr>
                  <w:widowControl w:val="0"/>
                  <w:jc w:val="both"/>
                  <w:rPr>
                    <w:rFonts w:hint="eastAsia"/>
                  </w:rPr>
                </w:pPr>
                <w:r>
                  <w:rPr>
                    <w:rFonts w:hint="eastAsia"/>
                  </w:rPr>
                  <w:t>开工时间</w:t>
                </w:r>
              </w:p>
            </w:tc>
            <w:tc>
              <w:tcPr>
                <w:tcW w:w="614" w:type="pct"/>
              </w:tcPr>
              <w:p w14:paraId="16ECED6C">
                <w:pPr>
                  <w:widowControl w:val="0"/>
                  <w:jc w:val="both"/>
                  <w:rPr>
                    <w:rFonts w:hint="eastAsia"/>
                  </w:rPr>
                </w:pPr>
                <w:r>
                  <w:rPr>
                    <w:rFonts w:hint="eastAsia"/>
                  </w:rPr>
                  <w:t>预计竣工时间</w:t>
                </w:r>
              </w:p>
            </w:tc>
            <w:tc>
              <w:tcPr>
                <w:tcW w:w="613" w:type="pct"/>
              </w:tcPr>
              <w:p w14:paraId="1A5D16FD">
                <w:pPr>
                  <w:widowControl w:val="0"/>
                  <w:jc w:val="both"/>
                  <w:rPr>
                    <w:rFonts w:hint="eastAsia"/>
                  </w:rPr>
                </w:pPr>
                <w:r>
                  <w:rPr>
                    <w:rFonts w:hint="eastAsia"/>
                  </w:rPr>
                  <w:t>预计投资总额</w:t>
                </w:r>
              </w:p>
            </w:tc>
            <w:tc>
              <w:tcPr>
                <w:tcW w:w="512" w:type="pct"/>
              </w:tcPr>
              <w:p w14:paraId="20AFD152">
                <w:pPr>
                  <w:widowControl w:val="0"/>
                  <w:jc w:val="both"/>
                  <w:rPr>
                    <w:rFonts w:hint="eastAsia"/>
                  </w:rPr>
                </w:pPr>
                <w:r>
                  <w:rPr>
                    <w:rFonts w:hint="eastAsia"/>
                  </w:rPr>
                  <w:t>期初余额</w:t>
                </w:r>
              </w:p>
            </w:tc>
            <w:tc>
              <w:tcPr>
                <w:tcW w:w="460" w:type="pct"/>
              </w:tcPr>
              <w:p w14:paraId="004797B8">
                <w:pPr>
                  <w:widowControl w:val="0"/>
                  <w:jc w:val="both"/>
                  <w:rPr>
                    <w:rFonts w:hint="eastAsia"/>
                  </w:rPr>
                </w:pPr>
                <w:r>
                  <w:rPr>
                    <w:rFonts w:hint="eastAsia"/>
                  </w:rPr>
                  <w:t>本期增加</w:t>
                </w:r>
              </w:p>
            </w:tc>
            <w:tc>
              <w:tcPr>
                <w:tcW w:w="542" w:type="pct"/>
              </w:tcPr>
              <w:p w14:paraId="55941CF9">
                <w:pPr>
                  <w:widowControl w:val="0"/>
                  <w:jc w:val="both"/>
                  <w:rPr>
                    <w:rFonts w:hint="eastAsia"/>
                  </w:rPr>
                </w:pPr>
                <w:r>
                  <w:rPr>
                    <w:rFonts w:hint="eastAsia"/>
                  </w:rPr>
                  <w:t>期末余额</w:t>
                </w:r>
              </w:p>
            </w:tc>
            <w:tc>
              <w:tcPr>
                <w:tcW w:w="625" w:type="pct"/>
              </w:tcPr>
              <w:p w14:paraId="2E285FF7">
                <w:pPr>
                  <w:widowControl w:val="0"/>
                  <w:jc w:val="both"/>
                  <w:rPr>
                    <w:rFonts w:hint="eastAsia"/>
                  </w:rPr>
                </w:pPr>
                <w:r>
                  <w:rPr>
                    <w:rFonts w:hint="eastAsia"/>
                  </w:rPr>
                  <w:t>资金来源</w:t>
                </w:r>
              </w:p>
            </w:tc>
          </w:tr>
          <w:tr w14:paraId="5CBF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4D8DAD9C">
                <w:pPr>
                  <w:widowControl w:val="0"/>
                  <w:jc w:val="both"/>
                  <w:rPr>
                    <w:rFonts w:hint="eastAsia"/>
                  </w:rPr>
                </w:pPr>
                <w:r>
                  <w:rPr>
                    <w:rFonts w:hint="eastAsia"/>
                    <w:color w:val="000000"/>
                    <w:szCs w:val="21"/>
                  </w:rPr>
                  <w:t>三五三六际华云端项目</w:t>
                </w:r>
              </w:p>
            </w:tc>
            <w:tc>
              <w:tcPr>
                <w:tcW w:w="562" w:type="pct"/>
                <w:vAlign w:val="bottom"/>
              </w:tcPr>
              <w:p w14:paraId="4F4A2040">
                <w:pPr>
                  <w:widowControl w:val="0"/>
                  <w:jc w:val="both"/>
                  <w:rPr>
                    <w:rFonts w:hint="eastAsia"/>
                  </w:rPr>
                </w:pPr>
                <w:r>
                  <w:rPr>
                    <w:rFonts w:ascii="Arial Narrow" w:hAnsi="Arial Narrow" w:eastAsia="等线"/>
                    <w:color w:val="000000"/>
                    <w:szCs w:val="21"/>
                  </w:rPr>
                  <w:t>2018年1月</w:t>
                </w:r>
              </w:p>
            </w:tc>
            <w:tc>
              <w:tcPr>
                <w:tcW w:w="614" w:type="pct"/>
                <w:vAlign w:val="bottom"/>
              </w:tcPr>
              <w:p w14:paraId="69C40446">
                <w:pPr>
                  <w:widowControl w:val="0"/>
                  <w:jc w:val="both"/>
                  <w:rPr>
                    <w:rFonts w:hint="eastAsia"/>
                  </w:rPr>
                </w:pPr>
                <w:r>
                  <w:rPr>
                    <w:rFonts w:ascii="Arial Narrow" w:hAnsi="Arial Narrow" w:eastAsia="等线"/>
                    <w:color w:val="000000"/>
                    <w:szCs w:val="21"/>
                  </w:rPr>
                  <w:t>2025年12月</w:t>
                </w:r>
              </w:p>
            </w:tc>
            <w:tc>
              <w:tcPr>
                <w:tcW w:w="613" w:type="pct"/>
                <w:vAlign w:val="center"/>
              </w:tcPr>
              <w:p w14:paraId="1FE4E725">
                <w:pPr>
                  <w:widowControl w:val="0"/>
                  <w:jc w:val="right"/>
                  <w:rPr>
                    <w:rFonts w:hint="eastAsia"/>
                  </w:rPr>
                </w:pPr>
                <w:r>
                  <w:rPr>
                    <w:rFonts w:ascii="Arial Narrow" w:hAnsi="Arial Narrow" w:eastAsia="等线"/>
                    <w:color w:val="000000"/>
                    <w:szCs w:val="21"/>
                  </w:rPr>
                  <w:t>46,000.00</w:t>
                </w:r>
              </w:p>
            </w:tc>
            <w:tc>
              <w:tcPr>
                <w:tcW w:w="512" w:type="pct"/>
                <w:vAlign w:val="center"/>
              </w:tcPr>
              <w:p w14:paraId="12F397A2">
                <w:pPr>
                  <w:widowControl w:val="0"/>
                  <w:jc w:val="right"/>
                  <w:rPr>
                    <w:rFonts w:hint="eastAsia"/>
                  </w:rPr>
                </w:pPr>
                <w:r>
                  <w:rPr>
                    <w:rFonts w:ascii="Arial Narrow" w:hAnsi="Arial Narrow" w:eastAsia="等线"/>
                    <w:color w:val="000000"/>
                    <w:szCs w:val="21"/>
                  </w:rPr>
                  <w:t>26,093.01</w:t>
                </w:r>
              </w:p>
            </w:tc>
            <w:tc>
              <w:tcPr>
                <w:tcW w:w="460" w:type="pct"/>
                <w:vAlign w:val="center"/>
              </w:tcPr>
              <w:p w14:paraId="2B8437A1">
                <w:pPr>
                  <w:widowControl w:val="0"/>
                  <w:jc w:val="right"/>
                  <w:rPr>
                    <w:rFonts w:hint="eastAsia"/>
                  </w:rPr>
                </w:pPr>
                <w:r>
                  <w:rPr>
                    <w:rFonts w:ascii="Arial Narrow" w:hAnsi="Arial Narrow" w:eastAsia="等线"/>
                    <w:color w:val="000000"/>
                    <w:szCs w:val="21"/>
                  </w:rPr>
                  <w:t>8,276.93</w:t>
                </w:r>
              </w:p>
            </w:tc>
            <w:tc>
              <w:tcPr>
                <w:tcW w:w="542" w:type="pct"/>
                <w:vAlign w:val="center"/>
              </w:tcPr>
              <w:p w14:paraId="0A56F661">
                <w:pPr>
                  <w:widowControl w:val="0"/>
                  <w:jc w:val="right"/>
                  <w:rPr>
                    <w:rFonts w:hint="eastAsia"/>
                  </w:rPr>
                </w:pPr>
                <w:r>
                  <w:rPr>
                    <w:rFonts w:ascii="Arial Narrow" w:hAnsi="Arial Narrow" w:eastAsia="等线"/>
                    <w:color w:val="000000"/>
                    <w:szCs w:val="21"/>
                  </w:rPr>
                  <w:t>34,369.94</w:t>
                </w:r>
              </w:p>
            </w:tc>
            <w:tc>
              <w:tcPr>
                <w:tcW w:w="625" w:type="pct"/>
                <w:vAlign w:val="bottom"/>
              </w:tcPr>
              <w:p w14:paraId="4536A760">
                <w:pPr>
                  <w:widowControl w:val="0"/>
                  <w:jc w:val="both"/>
                  <w:rPr>
                    <w:rFonts w:hint="eastAsia"/>
                  </w:rPr>
                </w:pPr>
                <w:r>
                  <w:rPr>
                    <w:rFonts w:hint="eastAsia"/>
                    <w:color w:val="000000"/>
                    <w:szCs w:val="21"/>
                  </w:rPr>
                  <w:t>借款、自筹</w:t>
                </w:r>
              </w:p>
            </w:tc>
          </w:tr>
          <w:tr w14:paraId="5C68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4BF20914">
                <w:pPr>
                  <w:widowControl w:val="0"/>
                  <w:jc w:val="both"/>
                  <w:rPr>
                    <w:rFonts w:hint="eastAsia"/>
                  </w:rPr>
                </w:pPr>
                <w:r>
                  <w:rPr>
                    <w:rFonts w:hint="eastAsia"/>
                    <w:color w:val="000000"/>
                    <w:szCs w:val="21"/>
                  </w:rPr>
                  <w:t>三五三四二期工程</w:t>
                </w:r>
              </w:p>
            </w:tc>
            <w:tc>
              <w:tcPr>
                <w:tcW w:w="562" w:type="pct"/>
                <w:vAlign w:val="bottom"/>
              </w:tcPr>
              <w:p w14:paraId="1F532B72">
                <w:pPr>
                  <w:widowControl w:val="0"/>
                  <w:jc w:val="both"/>
                  <w:rPr>
                    <w:rFonts w:hint="eastAsia"/>
                  </w:rPr>
                </w:pPr>
                <w:r>
                  <w:rPr>
                    <w:rFonts w:ascii="Arial Narrow" w:hAnsi="Arial Narrow" w:eastAsia="等线"/>
                    <w:color w:val="000000"/>
                    <w:szCs w:val="21"/>
                  </w:rPr>
                  <w:t>2013年9月</w:t>
                </w:r>
              </w:p>
            </w:tc>
            <w:tc>
              <w:tcPr>
                <w:tcW w:w="614" w:type="pct"/>
                <w:vAlign w:val="bottom"/>
              </w:tcPr>
              <w:p w14:paraId="54B66C76">
                <w:pPr>
                  <w:widowControl w:val="0"/>
                  <w:jc w:val="both"/>
                  <w:rPr>
                    <w:rFonts w:hint="eastAsia"/>
                  </w:rPr>
                </w:pPr>
                <w:r>
                  <w:rPr>
                    <w:rFonts w:ascii="Arial Narrow" w:hAnsi="Arial Narrow" w:eastAsia="等线"/>
                    <w:color w:val="000000"/>
                    <w:szCs w:val="21"/>
                  </w:rPr>
                  <w:t>202</w:t>
                </w:r>
                <w:r>
                  <w:rPr>
                    <w:rFonts w:hint="eastAsia" w:ascii="Arial Narrow" w:hAnsi="Arial Narrow" w:eastAsia="等线"/>
                    <w:color w:val="000000"/>
                    <w:szCs w:val="21"/>
                  </w:rPr>
                  <w:t>5</w:t>
                </w:r>
                <w:r>
                  <w:rPr>
                    <w:rFonts w:ascii="Arial Narrow" w:hAnsi="Arial Narrow" w:eastAsia="等线"/>
                    <w:color w:val="000000"/>
                    <w:szCs w:val="21"/>
                  </w:rPr>
                  <w:t>年12月</w:t>
                </w:r>
              </w:p>
            </w:tc>
            <w:tc>
              <w:tcPr>
                <w:tcW w:w="613" w:type="pct"/>
                <w:vAlign w:val="center"/>
              </w:tcPr>
              <w:p w14:paraId="756BBF9C">
                <w:pPr>
                  <w:widowControl w:val="0"/>
                  <w:jc w:val="right"/>
                  <w:rPr>
                    <w:rFonts w:hint="eastAsia"/>
                  </w:rPr>
                </w:pPr>
                <w:r>
                  <w:rPr>
                    <w:rFonts w:ascii="Arial Narrow" w:hAnsi="Arial Narrow" w:eastAsia="等线"/>
                    <w:color w:val="000000"/>
                    <w:szCs w:val="21"/>
                  </w:rPr>
                  <w:t>13,825.00</w:t>
                </w:r>
              </w:p>
            </w:tc>
            <w:tc>
              <w:tcPr>
                <w:tcW w:w="512" w:type="pct"/>
                <w:vAlign w:val="center"/>
              </w:tcPr>
              <w:p w14:paraId="54585516">
                <w:pPr>
                  <w:widowControl w:val="0"/>
                  <w:jc w:val="right"/>
                  <w:rPr>
                    <w:rFonts w:hint="eastAsia"/>
                  </w:rPr>
                </w:pPr>
                <w:r>
                  <w:rPr>
                    <w:rFonts w:ascii="Arial Narrow" w:hAnsi="Arial Narrow" w:eastAsia="等线"/>
                    <w:color w:val="000000"/>
                    <w:szCs w:val="21"/>
                  </w:rPr>
                  <w:t>1,985.33</w:t>
                </w:r>
              </w:p>
            </w:tc>
            <w:tc>
              <w:tcPr>
                <w:tcW w:w="460" w:type="pct"/>
                <w:vAlign w:val="center"/>
              </w:tcPr>
              <w:p w14:paraId="41A2AE38">
                <w:pPr>
                  <w:widowControl w:val="0"/>
                  <w:jc w:val="right"/>
                  <w:rPr>
                    <w:rFonts w:hint="eastAsia"/>
                  </w:rPr>
                </w:pPr>
              </w:p>
            </w:tc>
            <w:tc>
              <w:tcPr>
                <w:tcW w:w="542" w:type="pct"/>
                <w:vAlign w:val="center"/>
              </w:tcPr>
              <w:p w14:paraId="19027F93">
                <w:pPr>
                  <w:widowControl w:val="0"/>
                  <w:jc w:val="right"/>
                  <w:rPr>
                    <w:rFonts w:hint="eastAsia"/>
                  </w:rPr>
                </w:pPr>
                <w:r>
                  <w:rPr>
                    <w:rFonts w:ascii="Arial Narrow" w:hAnsi="Arial Narrow" w:eastAsia="等线"/>
                    <w:color w:val="000000"/>
                    <w:szCs w:val="21"/>
                  </w:rPr>
                  <w:t>1,985.33</w:t>
                </w:r>
              </w:p>
            </w:tc>
            <w:tc>
              <w:tcPr>
                <w:tcW w:w="625" w:type="pct"/>
                <w:vAlign w:val="bottom"/>
              </w:tcPr>
              <w:p w14:paraId="0FE4ED17">
                <w:pPr>
                  <w:widowControl w:val="0"/>
                  <w:jc w:val="both"/>
                  <w:rPr>
                    <w:rFonts w:hint="eastAsia"/>
                  </w:rPr>
                </w:pPr>
                <w:r>
                  <w:rPr>
                    <w:rFonts w:hint="eastAsia"/>
                    <w:color w:val="000000"/>
                    <w:szCs w:val="21"/>
                  </w:rPr>
                  <w:t>自筹</w:t>
                </w:r>
              </w:p>
            </w:tc>
          </w:tr>
          <w:tr w14:paraId="5DBB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Pr>
              <w:p w14:paraId="2A0AD757">
                <w:pPr>
                  <w:widowControl w:val="0"/>
                  <w:jc w:val="both"/>
                  <w:rPr>
                    <w:rFonts w:hint="eastAsia"/>
                  </w:rPr>
                </w:pPr>
                <w:r>
                  <w:rPr>
                    <w:rFonts w:hint="eastAsia"/>
                    <w:color w:val="000000"/>
                    <w:szCs w:val="21"/>
                  </w:rPr>
                  <w:t>合计</w:t>
                </w:r>
              </w:p>
            </w:tc>
            <w:tc>
              <w:tcPr>
                <w:tcW w:w="562" w:type="pct"/>
                <w:vAlign w:val="bottom"/>
              </w:tcPr>
              <w:p w14:paraId="7CF3F227">
                <w:pPr>
                  <w:widowControl w:val="0"/>
                  <w:jc w:val="both"/>
                  <w:rPr>
                    <w:rFonts w:hint="eastAsia"/>
                  </w:rPr>
                </w:pPr>
              </w:p>
            </w:tc>
            <w:tc>
              <w:tcPr>
                <w:tcW w:w="614" w:type="pct"/>
                <w:vAlign w:val="bottom"/>
              </w:tcPr>
              <w:p w14:paraId="359DC24C">
                <w:pPr>
                  <w:widowControl w:val="0"/>
                  <w:jc w:val="both"/>
                  <w:rPr>
                    <w:rFonts w:hint="eastAsia"/>
                  </w:rPr>
                </w:pPr>
              </w:p>
            </w:tc>
            <w:tc>
              <w:tcPr>
                <w:tcW w:w="613" w:type="pct"/>
                <w:vAlign w:val="center"/>
              </w:tcPr>
              <w:p w14:paraId="0033A878">
                <w:pPr>
                  <w:widowControl w:val="0"/>
                  <w:jc w:val="right"/>
                  <w:rPr>
                    <w:rFonts w:hint="eastAsia"/>
                  </w:rPr>
                </w:pPr>
                <w:r>
                  <w:rPr>
                    <w:rFonts w:ascii="Arial Narrow" w:hAnsi="Arial Narrow" w:eastAsia="等线"/>
                    <w:color w:val="000000"/>
                    <w:szCs w:val="21"/>
                  </w:rPr>
                  <w:t>59,825.00</w:t>
                </w:r>
              </w:p>
            </w:tc>
            <w:tc>
              <w:tcPr>
                <w:tcW w:w="512" w:type="pct"/>
                <w:vAlign w:val="center"/>
              </w:tcPr>
              <w:p w14:paraId="2FE63396">
                <w:pPr>
                  <w:widowControl w:val="0"/>
                  <w:jc w:val="right"/>
                  <w:rPr>
                    <w:rFonts w:hint="eastAsia"/>
                  </w:rPr>
                </w:pPr>
                <w:r>
                  <w:rPr>
                    <w:rFonts w:ascii="Arial Narrow" w:hAnsi="Arial Narrow" w:eastAsia="等线"/>
                    <w:color w:val="000000"/>
                    <w:szCs w:val="21"/>
                  </w:rPr>
                  <w:t>28,078.34</w:t>
                </w:r>
              </w:p>
            </w:tc>
            <w:tc>
              <w:tcPr>
                <w:tcW w:w="460" w:type="pct"/>
                <w:vAlign w:val="center"/>
              </w:tcPr>
              <w:p w14:paraId="58D2A250">
                <w:pPr>
                  <w:widowControl w:val="0"/>
                  <w:jc w:val="right"/>
                  <w:rPr>
                    <w:rFonts w:hint="eastAsia"/>
                  </w:rPr>
                </w:pPr>
                <w:r>
                  <w:rPr>
                    <w:rFonts w:ascii="Arial Narrow" w:hAnsi="Arial Narrow" w:eastAsia="等线"/>
                    <w:color w:val="000000"/>
                    <w:szCs w:val="21"/>
                  </w:rPr>
                  <w:t>8,276.93</w:t>
                </w:r>
              </w:p>
            </w:tc>
            <w:tc>
              <w:tcPr>
                <w:tcW w:w="542" w:type="pct"/>
                <w:vAlign w:val="center"/>
              </w:tcPr>
              <w:p w14:paraId="23A9C30A">
                <w:pPr>
                  <w:widowControl w:val="0"/>
                  <w:jc w:val="right"/>
                  <w:rPr>
                    <w:rFonts w:hint="eastAsia"/>
                  </w:rPr>
                </w:pPr>
                <w:r>
                  <w:rPr>
                    <w:rFonts w:ascii="Arial Narrow" w:hAnsi="Arial Narrow" w:eastAsia="等线"/>
                    <w:color w:val="000000"/>
                    <w:szCs w:val="21"/>
                  </w:rPr>
                  <w:t>36,355.27</w:t>
                </w:r>
              </w:p>
            </w:tc>
            <w:tc>
              <w:tcPr>
                <w:tcW w:w="625" w:type="pct"/>
                <w:vAlign w:val="bottom"/>
              </w:tcPr>
              <w:p w14:paraId="42AC0EAE">
                <w:pPr>
                  <w:widowControl w:val="0"/>
                  <w:jc w:val="both"/>
                  <w:rPr>
                    <w:rFonts w:hint="eastAsia"/>
                  </w:rPr>
                </w:pPr>
              </w:p>
            </w:tc>
          </w:tr>
        </w:tbl>
        <w:p w14:paraId="59A4D3FC">
          <w:pPr>
            <w:rPr>
              <w:rFonts w:hint="eastAsia"/>
            </w:rPr>
          </w:pPr>
        </w:p>
        <w:p w14:paraId="643E2A08">
          <w:pPr>
            <w:rPr>
              <w:rFonts w:hint="eastAsia"/>
            </w:rPr>
          </w:pPr>
        </w:p>
        <w:p w14:paraId="3FD65253">
          <w:pPr>
            <w:rPr>
              <w:rFonts w:hint="eastAsia"/>
              <w:b/>
              <w:bCs/>
            </w:rPr>
          </w:pPr>
          <w:r>
            <w:rPr>
              <w:rFonts w:hint="eastAsia"/>
              <w:b/>
              <w:bCs/>
            </w:rPr>
            <w:t>开发产品</w:t>
          </w:r>
        </w:p>
        <w:p w14:paraId="7DAFD644">
          <w:pPr>
            <w:jc w:val="right"/>
            <w:rPr>
              <w:rFonts w:hint="eastAsia"/>
            </w:rPr>
          </w:pPr>
          <w:r>
            <w:rPr>
              <w:rFonts w:hint="eastAsia"/>
            </w:rPr>
            <w:t>单位：</w:t>
          </w:r>
          <w:sdt>
            <w:sdtPr>
              <w:rPr>
                <w:rFonts w:hint="eastAsia"/>
              </w:rPr>
              <w:alias w:val="单位：财务附注：划分为持有待售的资产"/>
              <w:tag w:val="_GBC_2a97e8fb82d54e1185361d12811f739a"/>
              <w:id w:val="-825902436"/>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万元</w:t>
              </w:r>
            </w:sdtContent>
          </w:sdt>
          <w:r>
            <w:rPr>
              <w:rFonts w:hint="eastAsia"/>
            </w:rPr>
            <w:t xml:space="preserve">  币种：</w:t>
          </w:r>
          <w:sdt>
            <w:sdtPr>
              <w:rPr>
                <w:rFonts w:hint="eastAsia"/>
              </w:rPr>
              <w:alias w:val="币种：财务附注：划分为持有待售的资产"/>
              <w:tag w:val="_GBC_da0ec2ce939d4d8b829421418e06e862"/>
              <w:id w:val="129040815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7"/>
            <w:gridCol w:w="2097"/>
            <w:gridCol w:w="2241"/>
            <w:gridCol w:w="2238"/>
            <w:gridCol w:w="1957"/>
            <w:gridCol w:w="1813"/>
          </w:tblGrid>
          <w:tr w14:paraId="068C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8" w:type="pct"/>
                <w:vAlign w:val="bottom"/>
              </w:tcPr>
              <w:p w14:paraId="1B47A8B4">
                <w:pPr>
                  <w:widowControl w:val="0"/>
                  <w:jc w:val="both"/>
                  <w:rPr>
                    <w:rFonts w:hint="eastAsia"/>
                  </w:rPr>
                </w:pPr>
                <w:r>
                  <w:rPr>
                    <w:rFonts w:hint="eastAsia"/>
                    <w:color w:val="000000"/>
                    <w:szCs w:val="21"/>
                  </w:rPr>
                  <w:t>项目名称</w:t>
                </w:r>
              </w:p>
            </w:tc>
            <w:tc>
              <w:tcPr>
                <w:tcW w:w="756" w:type="pct"/>
                <w:vAlign w:val="bottom"/>
              </w:tcPr>
              <w:p w14:paraId="271FBFF5">
                <w:pPr>
                  <w:widowControl w:val="0"/>
                  <w:jc w:val="both"/>
                  <w:rPr>
                    <w:rFonts w:hint="eastAsia"/>
                  </w:rPr>
                </w:pPr>
                <w:r>
                  <w:rPr>
                    <w:rFonts w:hint="eastAsia"/>
                    <w:color w:val="000000"/>
                    <w:szCs w:val="21"/>
                  </w:rPr>
                  <w:t>竣工时间</w:t>
                </w:r>
              </w:p>
            </w:tc>
            <w:tc>
              <w:tcPr>
                <w:tcW w:w="808" w:type="pct"/>
                <w:vAlign w:val="bottom"/>
              </w:tcPr>
              <w:p w14:paraId="0813E72F">
                <w:pPr>
                  <w:widowControl w:val="0"/>
                  <w:jc w:val="both"/>
                  <w:rPr>
                    <w:rFonts w:hint="eastAsia"/>
                  </w:rPr>
                </w:pPr>
                <w:r>
                  <w:rPr>
                    <w:rFonts w:hint="eastAsia"/>
                    <w:color w:val="000000"/>
                    <w:szCs w:val="21"/>
                  </w:rPr>
                  <w:t>期初余额</w:t>
                </w:r>
              </w:p>
            </w:tc>
            <w:tc>
              <w:tcPr>
                <w:tcW w:w="807" w:type="pct"/>
                <w:vAlign w:val="bottom"/>
              </w:tcPr>
              <w:p w14:paraId="7E98ACFE">
                <w:pPr>
                  <w:widowControl w:val="0"/>
                  <w:jc w:val="both"/>
                  <w:rPr>
                    <w:rFonts w:hint="eastAsia"/>
                  </w:rPr>
                </w:pPr>
                <w:r>
                  <w:rPr>
                    <w:rFonts w:hint="eastAsia"/>
                    <w:color w:val="000000"/>
                    <w:szCs w:val="21"/>
                  </w:rPr>
                  <w:t>本期增加</w:t>
                </w:r>
              </w:p>
            </w:tc>
            <w:tc>
              <w:tcPr>
                <w:tcW w:w="706" w:type="pct"/>
                <w:vAlign w:val="bottom"/>
              </w:tcPr>
              <w:p w14:paraId="423191F2">
                <w:pPr>
                  <w:widowControl w:val="0"/>
                  <w:jc w:val="both"/>
                  <w:rPr>
                    <w:rFonts w:hint="eastAsia"/>
                  </w:rPr>
                </w:pPr>
                <w:r>
                  <w:rPr>
                    <w:rFonts w:hint="eastAsia"/>
                    <w:color w:val="000000"/>
                    <w:szCs w:val="21"/>
                  </w:rPr>
                  <w:t>本期减少</w:t>
                </w:r>
              </w:p>
            </w:tc>
            <w:tc>
              <w:tcPr>
                <w:tcW w:w="654" w:type="pct"/>
                <w:vAlign w:val="bottom"/>
              </w:tcPr>
              <w:p w14:paraId="02B8CC8E">
                <w:pPr>
                  <w:widowControl w:val="0"/>
                  <w:jc w:val="both"/>
                  <w:rPr>
                    <w:rFonts w:hint="eastAsia"/>
                  </w:rPr>
                </w:pPr>
                <w:r>
                  <w:rPr>
                    <w:rFonts w:hint="eastAsia"/>
                    <w:color w:val="000000"/>
                    <w:szCs w:val="21"/>
                  </w:rPr>
                  <w:t>期末余额</w:t>
                </w:r>
              </w:p>
            </w:tc>
          </w:tr>
          <w:tr w14:paraId="3B3C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8" w:type="pct"/>
              </w:tcPr>
              <w:p w14:paraId="483528C9">
                <w:pPr>
                  <w:widowControl w:val="0"/>
                  <w:jc w:val="both"/>
                  <w:rPr>
                    <w:rFonts w:hint="eastAsia"/>
                  </w:rPr>
                </w:pPr>
                <w:r>
                  <w:rPr>
                    <w:rFonts w:hint="eastAsia"/>
                    <w:color w:val="000000"/>
                    <w:szCs w:val="21"/>
                  </w:rPr>
                  <w:t>三五三四一期工程</w:t>
                </w:r>
              </w:p>
            </w:tc>
            <w:tc>
              <w:tcPr>
                <w:tcW w:w="756" w:type="pct"/>
                <w:vAlign w:val="bottom"/>
              </w:tcPr>
              <w:p w14:paraId="3A6A953B">
                <w:pPr>
                  <w:widowControl w:val="0"/>
                  <w:jc w:val="both"/>
                  <w:rPr>
                    <w:rFonts w:hint="eastAsia"/>
                  </w:rPr>
                </w:pPr>
                <w:r>
                  <w:rPr>
                    <w:rFonts w:ascii="Arial Narrow" w:hAnsi="Arial Narrow" w:eastAsia="等线"/>
                    <w:color w:val="000000"/>
                    <w:szCs w:val="21"/>
                  </w:rPr>
                  <w:t>2022年6月</w:t>
                </w:r>
              </w:p>
            </w:tc>
            <w:tc>
              <w:tcPr>
                <w:tcW w:w="808" w:type="pct"/>
                <w:vAlign w:val="center"/>
              </w:tcPr>
              <w:p w14:paraId="25EBCA68">
                <w:pPr>
                  <w:widowControl w:val="0"/>
                  <w:jc w:val="right"/>
                  <w:rPr>
                    <w:rFonts w:hint="eastAsia"/>
                  </w:rPr>
                </w:pPr>
                <w:r>
                  <w:rPr>
                    <w:rFonts w:ascii="Arial Narrow" w:hAnsi="Arial Narrow" w:eastAsia="等线"/>
                    <w:color w:val="000000"/>
                    <w:szCs w:val="21"/>
                  </w:rPr>
                  <w:t>1,564.56</w:t>
                </w:r>
              </w:p>
            </w:tc>
            <w:tc>
              <w:tcPr>
                <w:tcW w:w="807" w:type="pct"/>
                <w:vAlign w:val="center"/>
              </w:tcPr>
              <w:p w14:paraId="61C0C6AE">
                <w:pPr>
                  <w:widowControl w:val="0"/>
                  <w:jc w:val="right"/>
                  <w:rPr>
                    <w:rFonts w:hint="eastAsia"/>
                  </w:rPr>
                </w:pPr>
              </w:p>
            </w:tc>
            <w:tc>
              <w:tcPr>
                <w:tcW w:w="706" w:type="pct"/>
                <w:vAlign w:val="center"/>
              </w:tcPr>
              <w:p w14:paraId="3B92E551">
                <w:pPr>
                  <w:widowControl w:val="0"/>
                  <w:jc w:val="right"/>
                  <w:rPr>
                    <w:rFonts w:hint="eastAsia"/>
                  </w:rPr>
                </w:pPr>
                <w:r>
                  <w:rPr>
                    <w:rFonts w:ascii="Arial Narrow" w:hAnsi="Arial Narrow" w:eastAsia="等线"/>
                    <w:color w:val="000000"/>
                    <w:szCs w:val="21"/>
                  </w:rPr>
                  <w:t>2.24</w:t>
                </w:r>
              </w:p>
            </w:tc>
            <w:tc>
              <w:tcPr>
                <w:tcW w:w="654" w:type="pct"/>
                <w:vAlign w:val="center"/>
              </w:tcPr>
              <w:p w14:paraId="0D7421AE">
                <w:pPr>
                  <w:widowControl w:val="0"/>
                  <w:jc w:val="right"/>
                  <w:rPr>
                    <w:rFonts w:hint="eastAsia"/>
                  </w:rPr>
                </w:pPr>
                <w:r>
                  <w:rPr>
                    <w:rFonts w:ascii="Arial Narrow" w:hAnsi="Arial Narrow" w:eastAsia="等线"/>
                    <w:color w:val="000000"/>
                    <w:szCs w:val="21"/>
                  </w:rPr>
                  <w:t>1,562.32</w:t>
                </w:r>
              </w:p>
            </w:tc>
          </w:tr>
        </w:tbl>
        <w:p w14:paraId="763393F6">
          <w:pPr>
            <w:rPr>
              <w:rFonts w:hint="eastAsia"/>
            </w:rPr>
          </w:pPr>
        </w:p>
        <w:p w14:paraId="6FD87624">
          <w:pPr>
            <w:rPr>
              <w:rFonts w:hint="eastAsia"/>
            </w:rPr>
          </w:pPr>
        </w:p>
        <w:p w14:paraId="7CEAD05A">
          <w:pPr>
            <w:rPr>
              <w:rFonts w:hint="eastAsia"/>
            </w:rPr>
          </w:pPr>
        </w:p>
      </w:sdtContent>
    </w:sdt>
    <w:p w14:paraId="4E9CDCC4">
      <w:pPr>
        <w:rPr>
          <w:rFonts w:ascii="Times New Roman" w:hAnsi="Times New Roman"/>
        </w:rPr>
        <w:sectPr>
          <w:pgSz w:w="16838" w:h="11906" w:orient="landscape"/>
          <w:pgMar w:top="1276" w:right="1440" w:bottom="1797" w:left="1525" w:header="856" w:footer="992" w:gutter="0"/>
          <w:cols w:space="425" w:num="1"/>
          <w:docGrid w:linePitch="312" w:charSpace="0"/>
        </w:sectPr>
      </w:pPr>
    </w:p>
    <w:p w14:paraId="727B8AE4">
      <w:pPr>
        <w:pStyle w:val="70"/>
        <w:numPr>
          <w:ilvl w:val="0"/>
          <w:numId w:val="109"/>
        </w:numPr>
        <w:rPr>
          <w:szCs w:val="21"/>
        </w:rPr>
      </w:pPr>
      <w:bookmarkStart w:id="286" w:name="_Hlk24380621"/>
      <w:r>
        <w:rPr>
          <w:szCs w:val="21"/>
        </w:rPr>
        <w:t>持有待售资产</w:t>
      </w:r>
    </w:p>
    <w:sdt>
      <w:sdtPr>
        <w:alias w:val="是否适用：划分为持有待售的资产[双击切换]"/>
        <w:tag w:val="_GBC_78f2c13384374d8eb0edd5d62d86bc52"/>
        <w:id w:val="-1776548512"/>
        <w:placeholder>
          <w:docPart w:val="GBC22222222222222222222222222222"/>
        </w:placeholder>
      </w:sdtPr>
      <w:sdtContent>
        <w:p w14:paraId="088C480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5DCD399">
      <w:pPr>
        <w:rPr>
          <w:rFonts w:hint="eastAsia"/>
        </w:rPr>
      </w:pPr>
    </w:p>
    <w:bookmarkEnd w:id="286"/>
    <w:p w14:paraId="61BB85DA">
      <w:pPr>
        <w:pStyle w:val="70"/>
        <w:numPr>
          <w:ilvl w:val="0"/>
          <w:numId w:val="109"/>
        </w:numPr>
        <w:ind w:left="0" w:firstLine="0"/>
        <w:rPr>
          <w:szCs w:val="21"/>
        </w:rPr>
      </w:pPr>
      <w:bookmarkStart w:id="287" w:name="_Hlk533608872"/>
      <w:r>
        <w:rPr>
          <w:szCs w:val="21"/>
        </w:rPr>
        <w:t>一年内到期的非流动资产</w:t>
      </w:r>
    </w:p>
    <w:sdt>
      <w:sdtPr>
        <w:alias w:val="是否适用：一年内到期的非流动资产[双击切换]"/>
        <w:tag w:val="_GBC_ed2c28c8d4014bbb85fa424cc20fe6d7"/>
        <w:id w:val="2142535062"/>
        <w:placeholder>
          <w:docPart w:val="GBC22222222222222222222222222222"/>
        </w:placeholder>
      </w:sdtPr>
      <w:sdtContent>
        <w:p w14:paraId="7AA21A20">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DF0C84E">
      <w:pPr>
        <w:rPr>
          <w:rFonts w:hint="eastAsia"/>
        </w:rPr>
      </w:pPr>
    </w:p>
    <w:p w14:paraId="37D14240">
      <w:pPr>
        <w:pStyle w:val="71"/>
        <w:rPr>
          <w:rFonts w:hint="eastAsia"/>
        </w:rPr>
      </w:pPr>
      <w:r>
        <w:rPr>
          <w:rFonts w:hint="eastAsia"/>
        </w:rPr>
        <w:t>一年内到期的债权投资</w:t>
      </w:r>
    </w:p>
    <w:sdt>
      <w:sdtPr>
        <w:alias w:val="是否适用：一年内到期的债权投资[双击切换]"/>
        <w:tag w:val="_GBC_21106d2d4b32436eb1949dc414c4e6e2"/>
        <w:id w:val="944883780"/>
        <w:placeholder>
          <w:docPart w:val="GBC22222222222222222222222222222"/>
        </w:placeholder>
      </w:sdtPr>
      <w:sdtContent>
        <w:p w14:paraId="71E7583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A3B9AC9">
      <w:pPr>
        <w:pStyle w:val="71"/>
        <w:rPr>
          <w:rFonts w:hint="eastAsia"/>
        </w:rPr>
      </w:pPr>
      <w:r>
        <w:rPr>
          <w:rFonts w:hint="eastAsia"/>
        </w:rPr>
        <w:t>一年内到期的其他债权投资</w:t>
      </w:r>
    </w:p>
    <w:sdt>
      <w:sdtPr>
        <w:alias w:val="是否适用：一年内到期的其他债权投资[双击切换]"/>
        <w:tag w:val="_GBC_7e23007806f94dceb2b97ed0f5d1e010"/>
        <w:id w:val="1213387474"/>
        <w:placeholder>
          <w:docPart w:val="GBC22222222222222222222222222222"/>
        </w:placeholder>
      </w:sdtPr>
      <w:sdtContent>
        <w:p w14:paraId="0BADF02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55AD152">
      <w:pPr>
        <w:ind w:right="210"/>
        <w:rPr>
          <w:rFonts w:hint="eastAsia"/>
          <w:szCs w:val="21"/>
        </w:rPr>
      </w:pPr>
      <w:r>
        <w:rPr>
          <w:rFonts w:hint="eastAsia"/>
        </w:rPr>
        <w:t>一年内到期的非流动资产的其他</w:t>
      </w:r>
      <w:r>
        <w:rPr>
          <w:rFonts w:hint="eastAsia"/>
          <w:szCs w:val="21"/>
        </w:rPr>
        <w:t>说明：</w:t>
      </w:r>
    </w:p>
    <w:sdt>
      <w:sdtPr>
        <w:alias w:val="一年内到期的非流动资产其他说明"/>
        <w:tag w:val="_GBC_aebddb0e62fa4ec48ab98b4bc4575935"/>
        <w:id w:val="830720458"/>
        <w:placeholder>
          <w:docPart w:val="GBC22222222222222222222222222222"/>
        </w:placeholder>
      </w:sdtPr>
      <w:sdtContent>
        <w:p w14:paraId="081CED0A">
          <w:pPr>
            <w:ind w:right="210"/>
            <w:rPr>
              <w:rFonts w:hint="eastAsia"/>
            </w:rPr>
          </w:pPr>
          <w:r>
            <w:rPr>
              <w:rFonts w:hint="eastAsia"/>
            </w:rPr>
            <w:t>无</w:t>
          </w:r>
        </w:p>
      </w:sdtContent>
    </w:sdt>
    <w:p w14:paraId="58BE5F97">
      <w:pPr>
        <w:ind w:right="210"/>
        <w:rPr>
          <w:rFonts w:hint="eastAsia"/>
        </w:rPr>
      </w:pPr>
    </w:p>
    <w:bookmarkEnd w:id="287"/>
    <w:p w14:paraId="1A65FE39">
      <w:pPr>
        <w:pStyle w:val="70"/>
        <w:numPr>
          <w:ilvl w:val="0"/>
          <w:numId w:val="109"/>
        </w:numPr>
        <w:rPr>
          <w:szCs w:val="21"/>
        </w:rPr>
      </w:pPr>
      <w:bookmarkStart w:id="288" w:name="_Hlk533609053"/>
      <w:r>
        <w:rPr>
          <w:szCs w:val="21"/>
        </w:rPr>
        <w:t>其他流动资产</w:t>
      </w:r>
    </w:p>
    <w:sdt>
      <w:sdtPr>
        <w:alias w:val="是否适用：其他流动资产[双击切换]"/>
        <w:tag w:val="_GBC_49fe7514f24d4f7fbf009ae51ff98d5a"/>
        <w:id w:val="-1124456456"/>
        <w:placeholder>
          <w:docPart w:val="GBC22222222222222222222222222222"/>
        </w:placeholder>
      </w:sdtPr>
      <w:sdtContent>
        <w:p w14:paraId="55D6866E">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1F00CDE">
      <w:pPr>
        <w:jc w:val="right"/>
        <w:rPr>
          <w:rFonts w:hint="eastAsia"/>
        </w:rPr>
      </w:pPr>
      <w:r>
        <w:rPr>
          <w:rFonts w:hint="eastAsia"/>
        </w:rPr>
        <w:t>单位：</w:t>
      </w:r>
      <w:sdt>
        <w:sdtPr>
          <w:rPr>
            <w:rFonts w:hint="eastAsia"/>
          </w:rPr>
          <w:alias w:val="单位：其他流动资产"/>
          <w:tag w:val="_GBC_8aa27294471c4172ba97de2c15d029c6"/>
          <w:id w:val="-12546589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4718340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4"/>
        <w:gridCol w:w="2845"/>
        <w:gridCol w:w="2774"/>
      </w:tblGrid>
      <w:tr w14:paraId="20F4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34f889fb3794268b1f04c9534377486"/>
            <w:id w:val="-657000533"/>
          </w:sdtPr>
          <w:sdtContent>
            <w:tc>
              <w:tcPr>
                <w:tcW w:w="1816" w:type="pct"/>
                <w:shd w:val="clear" w:color="auto" w:fill="auto"/>
                <w:vAlign w:val="center"/>
              </w:tcPr>
              <w:p w14:paraId="112A7180">
                <w:pPr>
                  <w:jc w:val="center"/>
                  <w:rPr>
                    <w:rFonts w:hint="eastAsia"/>
                    <w:szCs w:val="21"/>
                  </w:rPr>
                </w:pPr>
                <w:bookmarkStart w:id="289" w:name="_Hlk533421736"/>
                <w:r>
                  <w:rPr>
                    <w:rFonts w:hint="eastAsia"/>
                    <w:szCs w:val="21"/>
                  </w:rPr>
                  <w:t>项目</w:t>
                </w:r>
              </w:p>
            </w:tc>
          </w:sdtContent>
        </w:sdt>
        <w:sdt>
          <w:sdtPr>
            <w:tag w:val="_PLD_97b9b7e912e14a06b24f532e76914900"/>
            <w:id w:val="-1151825381"/>
          </w:sdtPr>
          <w:sdtContent>
            <w:tc>
              <w:tcPr>
                <w:tcW w:w="1612" w:type="pct"/>
                <w:shd w:val="clear" w:color="auto" w:fill="auto"/>
                <w:vAlign w:val="center"/>
              </w:tcPr>
              <w:p w14:paraId="2450EE9A">
                <w:pPr>
                  <w:jc w:val="center"/>
                  <w:rPr>
                    <w:rFonts w:hint="eastAsia"/>
                    <w:szCs w:val="21"/>
                  </w:rPr>
                </w:pPr>
                <w:r>
                  <w:rPr>
                    <w:rFonts w:hint="eastAsia"/>
                    <w:szCs w:val="21"/>
                  </w:rPr>
                  <w:t>期末余额</w:t>
                </w:r>
              </w:p>
            </w:tc>
          </w:sdtContent>
        </w:sdt>
        <w:sdt>
          <w:sdtPr>
            <w:tag w:val="_PLD_c02c94d4c7614f3cadd2972514fb87f4"/>
            <w:id w:val="-1696765573"/>
          </w:sdtPr>
          <w:sdtContent>
            <w:tc>
              <w:tcPr>
                <w:tcW w:w="1572" w:type="pct"/>
                <w:shd w:val="clear" w:color="auto" w:fill="auto"/>
                <w:vAlign w:val="center"/>
              </w:tcPr>
              <w:p w14:paraId="4FDE5F23">
                <w:pPr>
                  <w:jc w:val="center"/>
                  <w:rPr>
                    <w:rFonts w:hint="eastAsia"/>
                    <w:szCs w:val="21"/>
                  </w:rPr>
                </w:pPr>
                <w:r>
                  <w:rPr>
                    <w:rFonts w:hint="eastAsia"/>
                    <w:szCs w:val="21"/>
                  </w:rPr>
                  <w:t>期初余额</w:t>
                </w:r>
              </w:p>
            </w:tc>
          </w:sdtContent>
        </w:sdt>
      </w:tr>
      <w:tr w14:paraId="725F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shd w:val="clear" w:color="auto" w:fill="auto"/>
            <w:vAlign w:val="bottom"/>
          </w:tcPr>
          <w:p w14:paraId="6605A578">
            <w:pPr>
              <w:rPr>
                <w:rFonts w:hint="eastAsia"/>
              </w:rPr>
            </w:pPr>
            <w:r>
              <w:rPr>
                <w:rFonts w:ascii="Arial Narrow" w:hAnsi="Arial Narrow" w:eastAsia="等线"/>
                <w:color w:val="000000"/>
                <w:szCs w:val="21"/>
              </w:rPr>
              <w:t>增值税留抵税额</w:t>
            </w:r>
          </w:p>
        </w:tc>
        <w:tc>
          <w:tcPr>
            <w:tcW w:w="1612" w:type="pct"/>
            <w:shd w:val="clear" w:color="auto" w:fill="auto"/>
            <w:vAlign w:val="bottom"/>
          </w:tcPr>
          <w:p w14:paraId="01A9C9F5">
            <w:pPr>
              <w:jc w:val="right"/>
              <w:rPr>
                <w:rFonts w:hint="eastAsia"/>
              </w:rPr>
            </w:pPr>
            <w:r>
              <w:rPr>
                <w:rFonts w:ascii="Arial Narrow" w:hAnsi="Arial Narrow" w:eastAsia="等线"/>
                <w:color w:val="000000"/>
                <w:szCs w:val="21"/>
              </w:rPr>
              <w:t>262,557,606.25</w:t>
            </w:r>
          </w:p>
        </w:tc>
        <w:tc>
          <w:tcPr>
            <w:tcW w:w="1572" w:type="pct"/>
            <w:shd w:val="clear" w:color="auto" w:fill="auto"/>
            <w:vAlign w:val="bottom"/>
          </w:tcPr>
          <w:p w14:paraId="69B57BEA">
            <w:pPr>
              <w:jc w:val="right"/>
              <w:rPr>
                <w:rFonts w:hint="eastAsia"/>
              </w:rPr>
            </w:pPr>
            <w:r>
              <w:rPr>
                <w:rFonts w:ascii="Arial Narrow" w:hAnsi="Arial Narrow" w:eastAsia="等线"/>
                <w:color w:val="000000"/>
                <w:szCs w:val="21"/>
              </w:rPr>
              <w:t>234,202,689.72</w:t>
            </w:r>
          </w:p>
        </w:tc>
      </w:tr>
      <w:tr w14:paraId="63B7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shd w:val="clear" w:color="auto" w:fill="auto"/>
            <w:vAlign w:val="bottom"/>
          </w:tcPr>
          <w:p w14:paraId="5E0498C3">
            <w:pPr>
              <w:rPr>
                <w:rFonts w:hint="eastAsia"/>
              </w:rPr>
            </w:pPr>
            <w:r>
              <w:rPr>
                <w:rFonts w:ascii="Arial Narrow" w:hAnsi="Arial Narrow" w:eastAsia="等线"/>
                <w:color w:val="000000"/>
                <w:szCs w:val="21"/>
              </w:rPr>
              <w:t>预缴税金</w:t>
            </w:r>
          </w:p>
        </w:tc>
        <w:tc>
          <w:tcPr>
            <w:tcW w:w="1612" w:type="pct"/>
            <w:shd w:val="clear" w:color="auto" w:fill="auto"/>
            <w:vAlign w:val="bottom"/>
          </w:tcPr>
          <w:p w14:paraId="71654EDF">
            <w:pPr>
              <w:jc w:val="right"/>
              <w:rPr>
                <w:rFonts w:hint="eastAsia"/>
              </w:rPr>
            </w:pPr>
            <w:r>
              <w:rPr>
                <w:rFonts w:ascii="Arial Narrow" w:hAnsi="Arial Narrow" w:eastAsia="等线"/>
                <w:color w:val="000000"/>
                <w:szCs w:val="21"/>
              </w:rPr>
              <w:t>32,277,940.16</w:t>
            </w:r>
          </w:p>
        </w:tc>
        <w:tc>
          <w:tcPr>
            <w:tcW w:w="1572" w:type="pct"/>
            <w:shd w:val="clear" w:color="auto" w:fill="auto"/>
            <w:vAlign w:val="bottom"/>
          </w:tcPr>
          <w:p w14:paraId="568FBFA4">
            <w:pPr>
              <w:jc w:val="right"/>
              <w:rPr>
                <w:rFonts w:hint="eastAsia"/>
              </w:rPr>
            </w:pPr>
            <w:r>
              <w:rPr>
                <w:rFonts w:ascii="Arial Narrow" w:hAnsi="Arial Narrow" w:eastAsia="等线"/>
                <w:color w:val="000000"/>
                <w:szCs w:val="21"/>
              </w:rPr>
              <w:t>22,239,980.28</w:t>
            </w:r>
          </w:p>
        </w:tc>
      </w:tr>
      <w:tr w14:paraId="48B5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shd w:val="clear" w:color="auto" w:fill="auto"/>
            <w:vAlign w:val="center"/>
          </w:tcPr>
          <w:p w14:paraId="72C2AB9F">
            <w:pPr>
              <w:snapToGrid w:val="0"/>
              <w:ind w:left="-107" w:leftChars="-51"/>
              <w:jc w:val="center"/>
              <w:rPr>
                <w:rFonts w:hint="eastAsia"/>
                <w:szCs w:val="21"/>
              </w:rPr>
            </w:pPr>
            <w:r>
              <w:rPr>
                <w:rFonts w:hint="eastAsia"/>
                <w:szCs w:val="21"/>
              </w:rPr>
              <w:t>合计</w:t>
            </w:r>
          </w:p>
        </w:tc>
        <w:tc>
          <w:tcPr>
            <w:tcW w:w="1612" w:type="pct"/>
            <w:shd w:val="clear" w:color="auto" w:fill="auto"/>
            <w:vAlign w:val="bottom"/>
          </w:tcPr>
          <w:p w14:paraId="313EDA64">
            <w:pPr>
              <w:snapToGrid w:val="0"/>
              <w:jc w:val="right"/>
              <w:rPr>
                <w:rFonts w:hint="eastAsia"/>
                <w:szCs w:val="21"/>
              </w:rPr>
            </w:pPr>
            <w:r>
              <w:rPr>
                <w:rFonts w:ascii="Arial Narrow" w:hAnsi="Arial Narrow" w:eastAsia="等线"/>
                <w:color w:val="000000"/>
                <w:szCs w:val="21"/>
              </w:rPr>
              <w:t>294,835,546.41</w:t>
            </w:r>
          </w:p>
        </w:tc>
        <w:tc>
          <w:tcPr>
            <w:tcW w:w="1572" w:type="pct"/>
            <w:shd w:val="clear" w:color="auto" w:fill="auto"/>
            <w:vAlign w:val="bottom"/>
          </w:tcPr>
          <w:p w14:paraId="534CE9E5">
            <w:pPr>
              <w:snapToGrid w:val="0"/>
              <w:jc w:val="right"/>
              <w:rPr>
                <w:rFonts w:hint="eastAsia"/>
                <w:szCs w:val="21"/>
              </w:rPr>
            </w:pPr>
            <w:r>
              <w:rPr>
                <w:rFonts w:ascii="Arial Narrow" w:hAnsi="Arial Narrow" w:eastAsia="等线"/>
                <w:color w:val="000000"/>
                <w:szCs w:val="21"/>
              </w:rPr>
              <w:t>256,442,670.00</w:t>
            </w:r>
          </w:p>
        </w:tc>
      </w:tr>
      <w:bookmarkEnd w:id="289"/>
    </w:tbl>
    <w:p w14:paraId="044D99D0">
      <w:pPr>
        <w:rPr>
          <w:rFonts w:hint="eastAsia"/>
        </w:rPr>
      </w:pPr>
      <w:r>
        <w:rPr>
          <w:rFonts w:hint="eastAsia"/>
        </w:rPr>
        <w:t>其他说明：</w:t>
      </w:r>
    </w:p>
    <w:sdt>
      <w:sdtPr>
        <w:rPr>
          <w:rFonts w:hint="eastAsia"/>
        </w:rPr>
        <w:alias w:val="其他流动资产说明"/>
        <w:tag w:val="_GBC_6b66243025624716a85c25ca534f7d52"/>
        <w:id w:val="-526872220"/>
        <w:placeholder>
          <w:docPart w:val="GBC22222222222222222222222222222"/>
        </w:placeholder>
      </w:sdtPr>
      <w:sdtEndPr>
        <w:rPr>
          <w:rFonts w:hint="eastAsia"/>
        </w:rPr>
      </w:sdtEndPr>
      <w:sdtContent>
        <w:p w14:paraId="30126A86">
          <w:pPr>
            <w:rPr>
              <w:rFonts w:hint="eastAsia"/>
            </w:rPr>
          </w:pPr>
          <w:r>
            <w:rPr>
              <w:rFonts w:hint="eastAsia"/>
            </w:rPr>
            <w:t>无</w:t>
          </w:r>
        </w:p>
      </w:sdtContent>
    </w:sdt>
    <w:p w14:paraId="4D8D65BB">
      <w:pPr>
        <w:rPr>
          <w:rFonts w:hint="eastAsia"/>
        </w:rPr>
      </w:pPr>
    </w:p>
    <w:bookmarkEnd w:id="288"/>
    <w:p w14:paraId="4484829C">
      <w:pPr>
        <w:pStyle w:val="70"/>
        <w:numPr>
          <w:ilvl w:val="0"/>
          <w:numId w:val="109"/>
        </w:numPr>
        <w:rPr>
          <w:szCs w:val="21"/>
        </w:rPr>
      </w:pPr>
      <w:bookmarkStart w:id="290" w:name="_Hlk533409588"/>
      <w:r>
        <w:rPr>
          <w:szCs w:val="21"/>
        </w:rPr>
        <w:t>债权投资</w:t>
      </w:r>
    </w:p>
    <w:p w14:paraId="2A93860C">
      <w:pPr>
        <w:pStyle w:val="71"/>
        <w:numPr>
          <w:ilvl w:val="3"/>
          <w:numId w:val="119"/>
        </w:numPr>
        <w:ind w:left="426" w:hanging="426"/>
        <w:rPr>
          <w:rFonts w:hint="eastAsia"/>
        </w:rPr>
      </w:pPr>
      <w:bookmarkStart w:id="291" w:name="_Hlk532993723"/>
      <w:r>
        <w:rPr>
          <w:rFonts w:hint="eastAsia"/>
        </w:rPr>
        <w:t>债权投资情况</w:t>
      </w:r>
    </w:p>
    <w:sdt>
      <w:sdtPr>
        <w:alias w:val="是否适用：以摊余成本计量的长期债权投资[双击切换]"/>
        <w:tag w:val="_GBC_dbc7f90615cc46578228904cb4aa1cff"/>
        <w:id w:val="448678150"/>
        <w:placeholder>
          <w:docPart w:val="GBC22222222222222222222222222222"/>
        </w:placeholder>
      </w:sdtPr>
      <w:sdtContent>
        <w:p w14:paraId="071B900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3AF8CCF">
      <w:pPr>
        <w:rPr>
          <w:rFonts w:hint="eastAsia"/>
          <w:szCs w:val="21"/>
        </w:rPr>
      </w:pPr>
    </w:p>
    <w:p w14:paraId="4770CCCF">
      <w:pPr>
        <w:rPr>
          <w:rFonts w:hint="eastAsia"/>
          <w:szCs w:val="21"/>
        </w:rPr>
      </w:pPr>
      <w:bookmarkStart w:id="292" w:name="_Hlk153455457"/>
      <w:r>
        <w:rPr>
          <w:rFonts w:hint="eastAsia"/>
          <w:szCs w:val="21"/>
        </w:rPr>
        <w:t>债权投资减值准备本期变动情况</w:t>
      </w:r>
    </w:p>
    <w:sdt>
      <w:sdtPr>
        <w:alias w:val="是否适用：减值准备本期变动情况[双击切换]"/>
        <w:tag w:val="_GBC_87c0bbb5863948af834604c8aeaf814f"/>
        <w:id w:val="-998566597"/>
        <w:placeholder>
          <w:docPart w:val="GBC22222222222222222222222222222"/>
        </w:placeholder>
      </w:sdtPr>
      <w:sdtContent>
        <w:p w14:paraId="54A0907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1DDD701">
      <w:pPr>
        <w:rPr>
          <w:rFonts w:hint="eastAsia"/>
          <w:szCs w:val="21"/>
        </w:rPr>
      </w:pPr>
    </w:p>
    <w:bookmarkEnd w:id="292"/>
    <w:p w14:paraId="2ED1F4A0">
      <w:pPr>
        <w:pStyle w:val="71"/>
        <w:numPr>
          <w:ilvl w:val="3"/>
          <w:numId w:val="119"/>
        </w:numPr>
        <w:ind w:left="426" w:hanging="426"/>
        <w:rPr>
          <w:rFonts w:hint="eastAsia"/>
        </w:rPr>
      </w:pPr>
      <w:bookmarkStart w:id="293" w:name="_Hlk532994191"/>
      <w:r>
        <w:rPr>
          <w:rFonts w:hint="eastAsia"/>
        </w:rPr>
        <w:t>期末重要的债权投资</w:t>
      </w:r>
    </w:p>
    <w:sdt>
      <w:sdtPr>
        <w:alias w:val="是否适用：重要的债权投资[双击切换]"/>
        <w:tag w:val="_GBC_ca6db275ff8944c2900ec34693d6ebf6"/>
        <w:id w:val="-683054218"/>
        <w:placeholder>
          <w:docPart w:val="GBC22222222222222222222222222222"/>
        </w:placeholder>
      </w:sdtPr>
      <w:sdtContent>
        <w:p w14:paraId="63DBF3D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EA58A4F">
      <w:pPr>
        <w:rPr>
          <w:rFonts w:hint="eastAsia"/>
          <w:szCs w:val="21"/>
        </w:rPr>
      </w:pPr>
    </w:p>
    <w:bookmarkEnd w:id="290"/>
    <w:bookmarkEnd w:id="291"/>
    <w:bookmarkEnd w:id="293"/>
    <w:p w14:paraId="0825CFE8">
      <w:pPr>
        <w:pStyle w:val="71"/>
        <w:numPr>
          <w:ilvl w:val="3"/>
          <w:numId w:val="119"/>
        </w:numPr>
        <w:ind w:left="426" w:hanging="426"/>
        <w:rPr>
          <w:rFonts w:hint="eastAsia"/>
        </w:rPr>
      </w:pPr>
      <w:bookmarkStart w:id="294" w:name="_Hlk533872317"/>
      <w:r>
        <w:rPr>
          <w:rFonts w:hint="eastAsia"/>
        </w:rPr>
        <w:t>减值准备计提情况</w:t>
      </w:r>
    </w:p>
    <w:sdt>
      <w:sdtPr>
        <w:alias w:val="是否适用：债权投资减值准备调节表[双击切换]"/>
        <w:tag w:val="_GBC_686136d6dd874d559865e7aa5dd1a835"/>
        <w:id w:val="-517937612"/>
        <w:placeholder>
          <w:docPart w:val="GBC22222222222222222222222222222"/>
        </w:placeholder>
      </w:sdtPr>
      <w:sdtContent>
        <w:p w14:paraId="2A1C5FA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C7FD12A">
      <w:pPr>
        <w:rPr>
          <w:rFonts w:hint="eastAsia"/>
        </w:rPr>
      </w:pPr>
    </w:p>
    <w:p w14:paraId="1D8D954F">
      <w:pPr>
        <w:rPr>
          <w:rFonts w:hint="eastAsia"/>
        </w:rPr>
      </w:pPr>
      <w:r>
        <w:rPr>
          <w:rFonts w:hint="eastAsia"/>
        </w:rPr>
        <w:t>各阶段划分依据和减值准备计提比例：</w:t>
      </w:r>
    </w:p>
    <w:sdt>
      <w:sdtPr>
        <w:alias w:val="债权投资各阶段划分依据和减值准备计提比例"/>
        <w:tag w:val="_GBC_60f5cb3d88a34c9d9e0fb015def585fa"/>
        <w:id w:val="-853105443"/>
        <w:placeholder>
          <w:docPart w:val="GBC22222222222222222222222222222"/>
        </w:placeholder>
      </w:sdtPr>
      <w:sdtContent>
        <w:p w14:paraId="5BA5A7CD">
          <w:pPr>
            <w:rPr>
              <w:rFonts w:hint="eastAsia"/>
            </w:rPr>
          </w:pPr>
          <w:r>
            <w:rPr>
              <w:rFonts w:hint="eastAsia"/>
            </w:rPr>
            <w:t>无</w:t>
          </w:r>
        </w:p>
      </w:sdtContent>
    </w:sdt>
    <w:p w14:paraId="7D2354D6">
      <w:pPr>
        <w:rPr>
          <w:rFonts w:hint="eastAsia"/>
        </w:rPr>
      </w:pPr>
    </w:p>
    <w:p w14:paraId="4F7A8F20">
      <w:pPr>
        <w:pStyle w:val="123"/>
      </w:pPr>
      <w:r>
        <w:rPr>
          <w:rFonts w:hint="eastAsia"/>
        </w:rPr>
        <w:t>对本期发生损失准备变动的债权投资账面余额显著变动的情况说明：</w:t>
      </w:r>
    </w:p>
    <w:sdt>
      <w:sdtPr>
        <w:rPr>
          <w:szCs w:val="21"/>
        </w:rPr>
        <w:alias w:val="是否适用：债权投资本期发生损失准备变动且账面余额显著变动的情况说明[双击切换]"/>
        <w:tag w:val="_GBC_5f05e251eb914f049048988a9e9168df"/>
        <w:id w:val="331956534"/>
        <w:placeholder>
          <w:docPart w:val="GBC22222222222222222222222222222"/>
        </w:placeholder>
      </w:sdtPr>
      <w:sdtEndPr>
        <w:rPr>
          <w:szCs w:val="21"/>
        </w:rPr>
      </w:sdtEndPr>
      <w:sdtContent>
        <w:p w14:paraId="244E4DD5">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B0CB6DF">
      <w:pPr>
        <w:autoSpaceDE w:val="0"/>
        <w:autoSpaceDN w:val="0"/>
        <w:adjustRightInd w:val="0"/>
        <w:ind w:right="105" w:rightChars="50"/>
        <w:rPr>
          <w:rFonts w:hint="eastAsia"/>
          <w:szCs w:val="21"/>
        </w:rPr>
      </w:pPr>
    </w:p>
    <w:bookmarkEnd w:id="294"/>
    <w:p w14:paraId="61D088B0">
      <w:pPr>
        <w:pStyle w:val="123"/>
      </w:pPr>
      <w:r>
        <w:rPr>
          <w:rFonts w:hint="eastAsia"/>
        </w:rPr>
        <w:t>本</w:t>
      </w:r>
      <w:r>
        <w:t>期减</w:t>
      </w:r>
      <w:r>
        <w:rPr>
          <w:rFonts w:hint="eastAsia"/>
        </w:rPr>
        <w:t>值</w:t>
      </w:r>
      <w:r>
        <w:t>准备计提金额以及评估金融工具的</w:t>
      </w:r>
      <w:r>
        <w:rPr>
          <w:rFonts w:hint="eastAsia"/>
        </w:rPr>
        <w:t>信用风险是否显著增加的采用依据</w:t>
      </w:r>
    </w:p>
    <w:sdt>
      <w:sdtPr>
        <w:rPr>
          <w:szCs w:val="21"/>
        </w:rPr>
        <w:alias w:val="是否适用：债权投资减值准备计提金额以及评估金融工具的信用风险显著增加的采用依据[双击切换]"/>
        <w:tag w:val="_GBC_799f699e556f4272acd7681b17e4ede5"/>
        <w:id w:val="-74676687"/>
        <w:placeholder>
          <w:docPart w:val="GBC22222222222222222222222222222"/>
        </w:placeholder>
      </w:sdtPr>
      <w:sdtEndPr>
        <w:rPr>
          <w:szCs w:val="21"/>
        </w:rPr>
      </w:sdtEndPr>
      <w:sdtContent>
        <w:p w14:paraId="06F9FED4">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FB1B041">
      <w:pPr>
        <w:rPr>
          <w:rFonts w:hint="eastAsia"/>
        </w:rPr>
      </w:pPr>
    </w:p>
    <w:p w14:paraId="1EC39205">
      <w:pPr>
        <w:pStyle w:val="71"/>
        <w:numPr>
          <w:ilvl w:val="3"/>
          <w:numId w:val="119"/>
        </w:numPr>
        <w:ind w:left="426" w:hanging="426"/>
        <w:rPr>
          <w:rFonts w:hint="eastAsia"/>
        </w:rPr>
      </w:pPr>
      <w:bookmarkStart w:id="295" w:name="_Hlk153455555"/>
      <w:r>
        <w:rPr>
          <w:rFonts w:hint="eastAsia"/>
        </w:rPr>
        <w:t>本期实际的核销债权投资情况</w:t>
      </w:r>
    </w:p>
    <w:sdt>
      <w:sdtPr>
        <w:alias w:val="是否适用：实际核销的情况[双击切换]"/>
        <w:tag w:val="_GBC_fc91e5e5672d4b4eb2e0779a0867e84c"/>
        <w:id w:val="1434788474"/>
        <w:placeholder>
          <w:docPart w:val="GBC22222222222222222222222222222"/>
        </w:placeholder>
      </w:sdtPr>
      <w:sdtContent>
        <w:p w14:paraId="490FF75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D30A99B">
      <w:pPr>
        <w:rPr>
          <w:rFonts w:hint="eastAsia"/>
          <w:szCs w:val="21"/>
        </w:rPr>
      </w:pPr>
    </w:p>
    <w:p w14:paraId="0490FB49">
      <w:pPr>
        <w:rPr>
          <w:rFonts w:hint="eastAsia"/>
          <w:szCs w:val="21"/>
        </w:rPr>
      </w:pPr>
      <w:r>
        <w:rPr>
          <w:rFonts w:hint="eastAsia"/>
          <w:szCs w:val="21"/>
        </w:rPr>
        <w:t>其中重要的</w:t>
      </w:r>
      <w:r>
        <w:rPr>
          <w:rFonts w:hint="eastAsia"/>
        </w:rPr>
        <w:t>债权投资</w:t>
      </w:r>
      <w:r>
        <w:t>情况</w:t>
      </w:r>
      <w:r>
        <w:rPr>
          <w:rFonts w:hint="eastAsia"/>
          <w:szCs w:val="21"/>
        </w:rPr>
        <w:t>核销情况</w:t>
      </w:r>
    </w:p>
    <w:sdt>
      <w:sdtPr>
        <w:rPr>
          <w:rFonts w:hint="eastAsia"/>
          <w:szCs w:val="21"/>
        </w:rPr>
        <w:alias w:val="是否适用：重要的核销情况[双击切换]"/>
        <w:tag w:val="_GBC_b1835377ab8f4324a0ddc492f3da304c"/>
        <w:id w:val="-122776343"/>
        <w:placeholder>
          <w:docPart w:val="GBC22222222222222222222222222222"/>
        </w:placeholder>
      </w:sdtPr>
      <w:sdtEndPr>
        <w:rPr>
          <w:rFonts w:hint="eastAsia"/>
          <w:szCs w:val="21"/>
        </w:rPr>
      </w:sdtEndPr>
      <w:sdtContent>
        <w:p w14:paraId="35B3279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1CC5335">
      <w:pPr>
        <w:rPr>
          <w:rFonts w:hint="eastAsia"/>
          <w:szCs w:val="21"/>
        </w:rPr>
      </w:pPr>
    </w:p>
    <w:p w14:paraId="3502991C">
      <w:pPr>
        <w:snapToGrid w:val="0"/>
        <w:spacing w:line="240" w:lineRule="atLeast"/>
        <w:rPr>
          <w:rFonts w:hint="eastAsia"/>
          <w:szCs w:val="21"/>
        </w:rPr>
      </w:pPr>
      <w:r>
        <w:rPr>
          <w:rFonts w:hint="eastAsia"/>
        </w:rPr>
        <w:t>债权投资的</w:t>
      </w:r>
      <w:r>
        <w:rPr>
          <w:rFonts w:hint="eastAsia"/>
          <w:szCs w:val="21"/>
        </w:rPr>
        <w:t>核销说明：</w:t>
      </w:r>
    </w:p>
    <w:sdt>
      <w:sdtPr>
        <w:rPr>
          <w:szCs w:val="21"/>
        </w:rPr>
        <w:alias w:val="是否适用：核销说明[双击切换]"/>
        <w:tag w:val="_GBC_f135d5c946cc473182fa418ce9c408ae"/>
        <w:id w:val="273210748"/>
        <w:placeholder>
          <w:docPart w:val="GBC22222222222222222222222222222"/>
        </w:placeholder>
      </w:sdtPr>
      <w:sdtEndPr>
        <w:rPr>
          <w:szCs w:val="21"/>
        </w:rPr>
      </w:sdtEndPr>
      <w:sdtContent>
        <w:p w14:paraId="24D59201">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04EE603">
      <w:pPr>
        <w:rPr>
          <w:rFonts w:hint="eastAsia"/>
          <w:szCs w:val="21"/>
        </w:rPr>
      </w:pPr>
    </w:p>
    <w:bookmarkEnd w:id="295"/>
    <w:p w14:paraId="5DDADD06">
      <w:pPr>
        <w:rPr>
          <w:rFonts w:hint="eastAsia"/>
          <w:szCs w:val="21"/>
        </w:rPr>
      </w:pPr>
      <w:r>
        <w:rPr>
          <w:rFonts w:hint="eastAsia"/>
          <w:szCs w:val="21"/>
        </w:rPr>
        <w:t>其他说明：</w:t>
      </w:r>
    </w:p>
    <w:sdt>
      <w:sdtPr>
        <w:alias w:val="是否适用：债权投资其他说明[双击切换]"/>
        <w:tag w:val="_GBC_17cf4c675aec4f36816c24c079df205c"/>
        <w:id w:val="1247232272"/>
        <w:placeholder>
          <w:docPart w:val="GBC22222222222222222222222222222"/>
        </w:placeholder>
      </w:sdtPr>
      <w:sdtContent>
        <w:p w14:paraId="2791BCAE">
          <w:pPr>
            <w:ind w:right="210"/>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D0037EE">
      <w:pPr>
        <w:ind w:right="210"/>
        <w:rPr>
          <w:rFonts w:hint="eastAsia"/>
        </w:rPr>
      </w:pPr>
    </w:p>
    <w:p w14:paraId="2C6E5B56">
      <w:pPr>
        <w:pStyle w:val="70"/>
        <w:numPr>
          <w:ilvl w:val="0"/>
          <w:numId w:val="109"/>
        </w:numPr>
        <w:rPr>
          <w:szCs w:val="21"/>
        </w:rPr>
      </w:pPr>
      <w:r>
        <w:rPr>
          <w:szCs w:val="21"/>
        </w:rPr>
        <w:t>其他债权投资</w:t>
      </w:r>
    </w:p>
    <w:p w14:paraId="20B2BCB9">
      <w:pPr>
        <w:pStyle w:val="71"/>
        <w:numPr>
          <w:ilvl w:val="3"/>
          <w:numId w:val="120"/>
        </w:numPr>
        <w:ind w:left="426" w:hanging="426"/>
        <w:rPr>
          <w:rFonts w:hint="eastAsia"/>
        </w:rPr>
      </w:pPr>
      <w:r>
        <w:rPr>
          <w:rFonts w:hint="eastAsia"/>
        </w:rPr>
        <w:t>其他债权投资情况</w:t>
      </w:r>
    </w:p>
    <w:sdt>
      <w:sdtPr>
        <w:alias w:val="是否适用：其他债权投资情况[双击切换]"/>
        <w:tag w:val="_GBC_23599130a9db43be881f1fb4a46d3b7e"/>
        <w:id w:val="1329789291"/>
        <w:placeholder>
          <w:docPart w:val="GBC22222222222222222222222222222"/>
        </w:placeholder>
      </w:sdtPr>
      <w:sdtContent>
        <w:p w14:paraId="58D8A71B">
          <w:pPr>
            <w:ind w:right="210"/>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CDB3B0F">
      <w:pPr>
        <w:ind w:right="210"/>
        <w:rPr>
          <w:rFonts w:hint="eastAsia"/>
        </w:rPr>
      </w:pPr>
    </w:p>
    <w:p w14:paraId="0A8F93F3">
      <w:pPr>
        <w:rPr>
          <w:rFonts w:hint="eastAsia"/>
          <w:szCs w:val="21"/>
        </w:rPr>
      </w:pPr>
      <w:bookmarkStart w:id="296" w:name="_Hlk153455695"/>
      <w:r>
        <w:rPr>
          <w:rFonts w:hint="eastAsia"/>
          <w:szCs w:val="21"/>
        </w:rPr>
        <w:t>其他债权投资减值准备本期变动情况</w:t>
      </w:r>
    </w:p>
    <w:sdt>
      <w:sdtPr>
        <w:alias w:val="是否适用：减值准备本期变动情况[双击切换]"/>
        <w:tag w:val="_GBC_3e5ec98f577f4409b379fbfcb3b1cc79"/>
        <w:id w:val="-446931011"/>
        <w:placeholder>
          <w:docPart w:val="GBC22222222222222222222222222222"/>
        </w:placeholder>
      </w:sdtPr>
      <w:sdtContent>
        <w:p w14:paraId="0E788849">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296"/>
    <w:p w14:paraId="41110C25">
      <w:pPr>
        <w:rPr>
          <w:rFonts w:hint="eastAsia"/>
          <w:szCs w:val="21"/>
        </w:rPr>
      </w:pPr>
    </w:p>
    <w:p w14:paraId="460BC70D">
      <w:pPr>
        <w:pStyle w:val="71"/>
        <w:numPr>
          <w:ilvl w:val="3"/>
          <w:numId w:val="120"/>
        </w:numPr>
        <w:ind w:left="426" w:hanging="426"/>
        <w:rPr>
          <w:rFonts w:hint="eastAsia"/>
        </w:rPr>
      </w:pPr>
      <w:bookmarkStart w:id="297" w:name="_Hlk533848078"/>
      <w:r>
        <w:rPr>
          <w:rFonts w:hint="eastAsia"/>
        </w:rPr>
        <w:t>期末重要的其他债权投资</w:t>
      </w:r>
    </w:p>
    <w:sdt>
      <w:sdtPr>
        <w:alias w:val="是否适用：重要的其他债权投资[双击切换]"/>
        <w:tag w:val="_GBC_bb82f40f19284b2489199fbaa477b35c"/>
        <w:id w:val="579496007"/>
        <w:placeholder>
          <w:docPart w:val="GBC22222222222222222222222222222"/>
        </w:placeholder>
      </w:sdtPr>
      <w:sdtContent>
        <w:p w14:paraId="057C502B">
          <w:pPr>
            <w:ind w:right="210"/>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D366202">
      <w:pPr>
        <w:ind w:right="210"/>
        <w:rPr>
          <w:rFonts w:hint="eastAsia"/>
        </w:rPr>
      </w:pPr>
    </w:p>
    <w:bookmarkEnd w:id="297"/>
    <w:p w14:paraId="0D1C382C">
      <w:pPr>
        <w:pStyle w:val="71"/>
        <w:numPr>
          <w:ilvl w:val="3"/>
          <w:numId w:val="120"/>
        </w:numPr>
        <w:ind w:left="426" w:hanging="426"/>
        <w:rPr>
          <w:rFonts w:hint="eastAsia"/>
        </w:rPr>
      </w:pPr>
      <w:bookmarkStart w:id="298" w:name="_Hlk533872678"/>
      <w:r>
        <w:rPr>
          <w:rFonts w:hint="eastAsia"/>
        </w:rPr>
        <w:t>减值准备计提情况</w:t>
      </w:r>
    </w:p>
    <w:sdt>
      <w:sdtPr>
        <w:alias w:val="是否适用：其他债权投资减值准备调节表[双击切换]"/>
        <w:tag w:val="_GBC_4fb0e145a1004885abb87d20ed68a2ed"/>
        <w:id w:val="-899662145"/>
        <w:placeholder>
          <w:docPart w:val="GBC22222222222222222222222222222"/>
        </w:placeholder>
      </w:sdtPr>
      <w:sdtContent>
        <w:p w14:paraId="0ABFBBA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3D7A2DF">
      <w:pPr>
        <w:rPr>
          <w:rFonts w:hint="eastAsia"/>
        </w:rPr>
      </w:pPr>
    </w:p>
    <w:p w14:paraId="788E96B5">
      <w:pPr>
        <w:rPr>
          <w:rFonts w:hint="eastAsia"/>
        </w:rPr>
      </w:pPr>
      <w:r>
        <w:rPr>
          <w:rFonts w:hint="eastAsia"/>
        </w:rPr>
        <w:t>各阶段划分依据和减值准备计提比例：</w:t>
      </w:r>
    </w:p>
    <w:sdt>
      <w:sdtPr>
        <w:rPr>
          <w:rFonts w:hint="eastAsia"/>
        </w:rPr>
        <w:alias w:val="其他债权投资各阶段划分依据和减值准备计提比例"/>
        <w:tag w:val="_GBC_7a6f88a666dd4467adf9d3fa4f8e9354"/>
        <w:id w:val="-1996021768"/>
        <w:placeholder>
          <w:docPart w:val="GBC22222222222222222222222222222"/>
        </w:placeholder>
      </w:sdtPr>
      <w:sdtEndPr>
        <w:rPr>
          <w:rFonts w:hint="eastAsia"/>
        </w:rPr>
      </w:sdtEndPr>
      <w:sdtContent>
        <w:p w14:paraId="1138A1EE">
          <w:pPr>
            <w:rPr>
              <w:rFonts w:hint="eastAsia"/>
            </w:rPr>
          </w:pPr>
          <w:r>
            <w:rPr>
              <w:rFonts w:hint="eastAsia"/>
            </w:rPr>
            <w:t>无</w:t>
          </w:r>
        </w:p>
      </w:sdtContent>
    </w:sdt>
    <w:p w14:paraId="44A8EAD2">
      <w:pPr>
        <w:rPr>
          <w:rFonts w:hint="eastAsia"/>
        </w:rPr>
      </w:pPr>
    </w:p>
    <w:p w14:paraId="1F455F72">
      <w:pPr>
        <w:pStyle w:val="123"/>
      </w:pPr>
      <w:r>
        <w:rPr>
          <w:rFonts w:hint="eastAsia"/>
        </w:rPr>
        <w:t>对本期发生损失准备变动的其他债权投资账面余额显著变动的情况说明：</w:t>
      </w:r>
    </w:p>
    <w:sdt>
      <w:sdtPr>
        <w:alias w:val="是否适用：其他债权投资本期发生损失准备变动且账面余额显著变动的情况说明[双击切换]"/>
        <w:tag w:val="_GBC_e9e1f5d4f63f46a18295ea4060322e59"/>
        <w:id w:val="-1249422381"/>
        <w:placeholder>
          <w:docPart w:val="GBC22222222222222222222222222222"/>
        </w:placeholder>
      </w:sdtPr>
      <w:sdtContent>
        <w:p w14:paraId="07876D4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177F6DC">
      <w:pPr>
        <w:rPr>
          <w:rFonts w:hint="eastAsia"/>
        </w:rPr>
      </w:pPr>
    </w:p>
    <w:bookmarkEnd w:id="298"/>
    <w:p w14:paraId="22464D5C">
      <w:pPr>
        <w:pStyle w:val="123"/>
      </w:pPr>
      <w:bookmarkStart w:id="299" w:name="_Hlk533848073"/>
      <w:r>
        <w:rPr>
          <w:rFonts w:hint="eastAsia"/>
        </w:rPr>
        <w:t>本期减值准备计提金额以及评估金融工具的信用风险是否显著增加的采用依据</w:t>
      </w:r>
    </w:p>
    <w:sdt>
      <w:sdtPr>
        <w:alias w:val="是否适用：其他债权投资本期坏账准备计提金额以及评估金融工具的信用风险显著增加的采用依据[双击切换]"/>
        <w:tag w:val="_GBC_e7060850bcfb44fb91c77f959b237378"/>
        <w:id w:val="645940885"/>
        <w:placeholder>
          <w:docPart w:val="GBC22222222222222222222222222222"/>
        </w:placeholder>
      </w:sdtPr>
      <w:sdtContent>
        <w:p w14:paraId="285B2689">
          <w:pPr>
            <w:ind w:right="210"/>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BE2166F">
      <w:pPr>
        <w:ind w:right="210"/>
        <w:rPr>
          <w:rFonts w:hint="eastAsia"/>
        </w:rPr>
      </w:pPr>
    </w:p>
    <w:bookmarkEnd w:id="299"/>
    <w:p w14:paraId="3B8370CC">
      <w:pPr>
        <w:pStyle w:val="71"/>
        <w:numPr>
          <w:ilvl w:val="3"/>
          <w:numId w:val="120"/>
        </w:numPr>
        <w:ind w:left="426" w:hanging="426"/>
        <w:rPr>
          <w:rFonts w:hint="eastAsia"/>
        </w:rPr>
      </w:pPr>
      <w:bookmarkStart w:id="300" w:name="_Hlk153456989"/>
      <w:r>
        <w:rPr>
          <w:rFonts w:hint="eastAsia"/>
        </w:rPr>
        <w:t>本期实际核销的其他债权投资情况</w:t>
      </w:r>
    </w:p>
    <w:sdt>
      <w:sdtPr>
        <w:alias w:val="是否适用：实际核销的情况[双击切换]"/>
        <w:tag w:val="_GBC_7ae85c2d27ec44faaa716fc50cbdc0bf"/>
        <w:id w:val="358785402"/>
        <w:placeholder>
          <w:docPart w:val="GBC22222222222222222222222222222"/>
        </w:placeholder>
      </w:sdtPr>
      <w:sdtContent>
        <w:p w14:paraId="04D513E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DFCF118">
      <w:pPr>
        <w:rPr>
          <w:rFonts w:hint="eastAsia"/>
          <w:szCs w:val="21"/>
        </w:rPr>
      </w:pPr>
    </w:p>
    <w:p w14:paraId="7D698E1C">
      <w:pPr>
        <w:rPr>
          <w:rFonts w:hint="eastAsia"/>
          <w:szCs w:val="21"/>
        </w:rPr>
      </w:pPr>
      <w:r>
        <w:rPr>
          <w:rFonts w:hint="eastAsia"/>
          <w:szCs w:val="21"/>
        </w:rPr>
        <w:t>其中重要的其他</w:t>
      </w:r>
      <w:r>
        <w:rPr>
          <w:rFonts w:hint="eastAsia"/>
        </w:rPr>
        <w:t>债权投资</w:t>
      </w:r>
      <w:r>
        <w:t>情况</w:t>
      </w:r>
      <w:r>
        <w:rPr>
          <w:rFonts w:hint="eastAsia"/>
          <w:szCs w:val="21"/>
        </w:rPr>
        <w:t>核销情况</w:t>
      </w:r>
    </w:p>
    <w:sdt>
      <w:sdtPr>
        <w:rPr>
          <w:rFonts w:hint="eastAsia"/>
          <w:szCs w:val="21"/>
        </w:rPr>
        <w:alias w:val="是否适用：重要的核销情况[双击切换]"/>
        <w:tag w:val="_GBC_d4c60ae51ff54b7399e4fd6edd2e8504"/>
        <w:id w:val="835807840"/>
        <w:placeholder>
          <w:docPart w:val="GBC22222222222222222222222222222"/>
        </w:placeholder>
      </w:sdtPr>
      <w:sdtEndPr>
        <w:rPr>
          <w:rFonts w:hint="eastAsia"/>
          <w:szCs w:val="21"/>
        </w:rPr>
      </w:sdtEndPr>
      <w:sdtContent>
        <w:p w14:paraId="21C423E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F1055EE">
      <w:pPr>
        <w:rPr>
          <w:rFonts w:hint="eastAsia"/>
          <w:szCs w:val="21"/>
        </w:rPr>
      </w:pPr>
    </w:p>
    <w:p w14:paraId="7CA1C58E">
      <w:pPr>
        <w:snapToGrid w:val="0"/>
        <w:spacing w:line="240" w:lineRule="atLeast"/>
        <w:rPr>
          <w:rFonts w:hint="eastAsia"/>
          <w:szCs w:val="21"/>
        </w:rPr>
      </w:pPr>
      <w:r>
        <w:rPr>
          <w:rFonts w:hint="eastAsia"/>
        </w:rPr>
        <w:t>其他债权投资的</w:t>
      </w:r>
      <w:r>
        <w:rPr>
          <w:rFonts w:hint="eastAsia"/>
          <w:szCs w:val="21"/>
        </w:rPr>
        <w:t>核销说明：</w:t>
      </w:r>
    </w:p>
    <w:sdt>
      <w:sdtPr>
        <w:rPr>
          <w:szCs w:val="21"/>
        </w:rPr>
        <w:alias w:val="是否适用：核销说明[双击切换]"/>
        <w:tag w:val="_GBC_689ae117433c459c8a9722be4d19d604"/>
        <w:id w:val="954905794"/>
        <w:placeholder>
          <w:docPart w:val="GBC22222222222222222222222222222"/>
        </w:placeholder>
      </w:sdtPr>
      <w:sdtEndPr>
        <w:rPr>
          <w:szCs w:val="21"/>
        </w:rPr>
      </w:sdtEndPr>
      <w:sdtContent>
        <w:p w14:paraId="5041BEDA">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5439873">
      <w:pPr>
        <w:rPr>
          <w:rFonts w:hint="eastAsia"/>
          <w:szCs w:val="21"/>
        </w:rPr>
      </w:pPr>
    </w:p>
    <w:bookmarkEnd w:id="300"/>
    <w:p w14:paraId="0D3C32CC">
      <w:pPr>
        <w:rPr>
          <w:rFonts w:hint="eastAsia"/>
        </w:rPr>
      </w:pPr>
      <w:bookmarkStart w:id="301" w:name="_Hlk533848097"/>
      <w:r>
        <w:rPr>
          <w:rFonts w:hint="eastAsia"/>
        </w:rPr>
        <w:t>其他说明：</w:t>
      </w:r>
      <w:bookmarkEnd w:id="301"/>
    </w:p>
    <w:sdt>
      <w:sdtPr>
        <w:alias w:val="是否适用：其他债权投资其他说明[双击切换]"/>
        <w:tag w:val="_GBC_ce8084fd599f45febc44624db662adaa"/>
        <w:id w:val="-933901479"/>
        <w:placeholder>
          <w:docPart w:val="GBC22222222222222222222222222222"/>
        </w:placeholder>
      </w:sdtPr>
      <w:sdtContent>
        <w:p w14:paraId="07E50F1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70903ED">
      <w:pPr>
        <w:rPr>
          <w:rFonts w:hint="eastAsia"/>
        </w:rPr>
        <w:sectPr>
          <w:pgSz w:w="11906" w:h="16838"/>
          <w:pgMar w:top="1440" w:right="1797" w:bottom="1525" w:left="1276" w:header="856" w:footer="992" w:gutter="0"/>
          <w:cols w:space="425" w:num="1"/>
          <w:docGrid w:linePitch="312" w:charSpace="0"/>
        </w:sectPr>
      </w:pPr>
    </w:p>
    <w:p w14:paraId="79800718">
      <w:pPr>
        <w:rPr>
          <w:rFonts w:hint="eastAsia"/>
        </w:rPr>
      </w:pPr>
    </w:p>
    <w:p w14:paraId="3F9D1097">
      <w:pPr>
        <w:pStyle w:val="70"/>
        <w:numPr>
          <w:ilvl w:val="0"/>
          <w:numId w:val="109"/>
        </w:numPr>
        <w:ind w:left="0" w:firstLine="0"/>
        <w:rPr>
          <w:szCs w:val="21"/>
        </w:rPr>
      </w:pPr>
      <w:r>
        <w:rPr>
          <w:szCs w:val="21"/>
        </w:rPr>
        <w:t>长期应收款</w:t>
      </w:r>
    </w:p>
    <w:p w14:paraId="079247DA">
      <w:pPr>
        <w:pStyle w:val="71"/>
        <w:numPr>
          <w:ilvl w:val="3"/>
          <w:numId w:val="121"/>
        </w:numPr>
        <w:ind w:left="426" w:hanging="426"/>
        <w:rPr>
          <w:rFonts w:hint="eastAsia"/>
        </w:rPr>
      </w:pPr>
      <w:r>
        <w:rPr>
          <w:rFonts w:hint="eastAsia"/>
        </w:rPr>
        <w:t>长期应收款情况</w:t>
      </w:r>
    </w:p>
    <w:sdt>
      <w:sdtPr>
        <w:alias w:val="是否适用：长期应收款情况[双击切换]"/>
        <w:tag w:val="_GBC_0c54e576828240c482e58c8a9f7cd173"/>
        <w:id w:val="1814446055"/>
        <w:placeholder>
          <w:docPart w:val="GBC22222222222222222222222222222"/>
        </w:placeholder>
      </w:sdtPr>
      <w:sdtContent>
        <w:p w14:paraId="11DB2541">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F30E4CA">
      <w:pPr>
        <w:jc w:val="right"/>
        <w:rPr>
          <w:rFonts w:hint="eastAsia"/>
          <w:szCs w:val="21"/>
        </w:rPr>
      </w:pPr>
      <w:r>
        <w:rPr>
          <w:rFonts w:hint="eastAsia"/>
          <w:szCs w:val="21"/>
        </w:rPr>
        <w:t>单位：</w:t>
      </w:r>
      <w:sdt>
        <w:sdtPr>
          <w:rPr>
            <w:rFonts w:hint="eastAsia"/>
            <w:szCs w:val="21"/>
          </w:rPr>
          <w:alias w:val="单位：财务附注：长期应收款"/>
          <w:tag w:val="_GBC_83e90e099c524c00ad00f3262465133a"/>
          <w:id w:val="-10600886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580220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3"/>
        <w:gridCol w:w="1417"/>
        <w:gridCol w:w="1716"/>
        <w:gridCol w:w="1971"/>
        <w:gridCol w:w="1971"/>
        <w:gridCol w:w="1841"/>
        <w:gridCol w:w="1974"/>
      </w:tblGrid>
      <w:tr w14:paraId="6D5D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579a5a5db414628bc47ed54fb917eb5"/>
            <w:id w:val="2047716747"/>
          </w:sdtPr>
          <w:sdtContent>
            <w:tc>
              <w:tcPr>
                <w:tcW w:w="1072" w:type="pct"/>
                <w:vMerge w:val="restart"/>
                <w:tcBorders>
                  <w:top w:val="single" w:color="auto" w:sz="4" w:space="0"/>
                  <w:left w:val="single" w:color="auto" w:sz="4" w:space="0"/>
                  <w:right w:val="single" w:color="auto" w:sz="4" w:space="0"/>
                </w:tcBorders>
                <w:shd w:val="clear" w:color="auto" w:fill="auto"/>
                <w:vAlign w:val="center"/>
              </w:tcPr>
              <w:p w14:paraId="7A7DC02D">
                <w:pPr>
                  <w:jc w:val="center"/>
                  <w:rPr>
                    <w:rFonts w:hint="eastAsia"/>
                    <w:szCs w:val="21"/>
                  </w:rPr>
                </w:pPr>
                <w:bookmarkStart w:id="302" w:name="_Hlk153457348"/>
                <w:r>
                  <w:rPr>
                    <w:rFonts w:hint="eastAsia"/>
                    <w:szCs w:val="21"/>
                  </w:rPr>
                  <w:t>项目</w:t>
                </w:r>
              </w:p>
            </w:tc>
          </w:sdtContent>
        </w:sdt>
        <w:sdt>
          <w:sdtPr>
            <w:tag w:val="_PLD_9a36ea2203424631bf208c9515121cc2"/>
            <w:id w:val="601144369"/>
          </w:sdtPr>
          <w:sdtContent>
            <w:tc>
              <w:tcPr>
                <w:tcW w:w="184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426BAB">
                <w:pPr>
                  <w:jc w:val="center"/>
                  <w:rPr>
                    <w:rFonts w:hint="eastAsia"/>
                    <w:szCs w:val="21"/>
                  </w:rPr>
                </w:pPr>
                <w:r>
                  <w:rPr>
                    <w:rFonts w:hint="eastAsia"/>
                    <w:szCs w:val="21"/>
                  </w:rPr>
                  <w:t>期末余额</w:t>
                </w:r>
              </w:p>
            </w:tc>
          </w:sdtContent>
        </w:sdt>
        <w:sdt>
          <w:sdtPr>
            <w:tag w:val="_PLD_03d144ce33e04be682481d2a013c13af"/>
            <w:id w:val="475110988"/>
          </w:sdtPr>
          <w:sdtContent>
            <w:tc>
              <w:tcPr>
                <w:tcW w:w="208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295990">
                <w:pPr>
                  <w:jc w:val="center"/>
                  <w:rPr>
                    <w:rFonts w:hint="eastAsia"/>
                    <w:szCs w:val="21"/>
                  </w:rPr>
                </w:pPr>
                <w:r>
                  <w:rPr>
                    <w:rFonts w:hint="eastAsia"/>
                    <w:szCs w:val="21"/>
                  </w:rPr>
                  <w:t>期初余额</w:t>
                </w:r>
              </w:p>
            </w:tc>
          </w:sdtContent>
        </w:sdt>
      </w:tr>
      <w:tr w14:paraId="5A25F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vMerge w:val="continue"/>
            <w:tcBorders>
              <w:left w:val="single" w:color="auto" w:sz="4" w:space="0"/>
              <w:bottom w:val="single" w:color="auto" w:sz="6" w:space="0"/>
              <w:right w:val="single" w:color="auto" w:sz="4" w:space="0"/>
            </w:tcBorders>
            <w:shd w:val="clear" w:color="auto" w:fill="auto"/>
            <w:vAlign w:val="center"/>
          </w:tcPr>
          <w:p w14:paraId="3CB65326">
            <w:pPr>
              <w:jc w:val="center"/>
              <w:rPr>
                <w:rFonts w:hint="eastAsia"/>
                <w:szCs w:val="21"/>
              </w:rPr>
            </w:pPr>
          </w:p>
        </w:tc>
        <w:sdt>
          <w:sdtPr>
            <w:tag w:val="_PLD_c0fe744fa9744e57b65a03499c0b9370"/>
            <w:id w:val="-1863666945"/>
          </w:sdtPr>
          <w:sdtContent>
            <w:tc>
              <w:tcPr>
                <w:tcW w:w="511" w:type="pct"/>
                <w:tcBorders>
                  <w:left w:val="single" w:color="auto" w:sz="4" w:space="0"/>
                  <w:bottom w:val="single" w:color="auto" w:sz="6" w:space="0"/>
                </w:tcBorders>
                <w:shd w:val="clear" w:color="auto" w:fill="auto"/>
                <w:vAlign w:val="center"/>
              </w:tcPr>
              <w:p w14:paraId="39A0AA1A">
                <w:pPr>
                  <w:jc w:val="center"/>
                  <w:rPr>
                    <w:rFonts w:hint="eastAsia"/>
                    <w:szCs w:val="21"/>
                  </w:rPr>
                </w:pPr>
                <w:r>
                  <w:rPr>
                    <w:rFonts w:hint="eastAsia"/>
                    <w:szCs w:val="21"/>
                  </w:rPr>
                  <w:t>账面余额</w:t>
                </w:r>
              </w:p>
            </w:tc>
          </w:sdtContent>
        </w:sdt>
        <w:sdt>
          <w:sdtPr>
            <w:tag w:val="_PLD_77ffaa95600c4c8d82666d2fa1a55587"/>
            <w:id w:val="1036548076"/>
          </w:sdtPr>
          <w:sdtContent>
            <w:tc>
              <w:tcPr>
                <w:tcW w:w="619" w:type="pct"/>
                <w:tcBorders>
                  <w:bottom w:val="single" w:color="auto" w:sz="6" w:space="0"/>
                </w:tcBorders>
                <w:shd w:val="clear" w:color="auto" w:fill="auto"/>
                <w:vAlign w:val="center"/>
              </w:tcPr>
              <w:p w14:paraId="63AA845B">
                <w:pPr>
                  <w:jc w:val="center"/>
                  <w:rPr>
                    <w:rFonts w:hint="eastAsia"/>
                    <w:szCs w:val="21"/>
                  </w:rPr>
                </w:pPr>
                <w:r>
                  <w:rPr>
                    <w:rFonts w:hint="eastAsia"/>
                    <w:szCs w:val="21"/>
                  </w:rPr>
                  <w:t>坏账准备</w:t>
                </w:r>
              </w:p>
            </w:tc>
          </w:sdtContent>
        </w:sdt>
        <w:sdt>
          <w:sdtPr>
            <w:tag w:val="_PLD_b4a8209a5fa445268b4557f9b0cea931"/>
            <w:id w:val="-210033507"/>
          </w:sdtPr>
          <w:sdtContent>
            <w:tc>
              <w:tcPr>
                <w:tcW w:w="711" w:type="pct"/>
                <w:tcBorders>
                  <w:bottom w:val="single" w:color="auto" w:sz="6" w:space="0"/>
                </w:tcBorders>
                <w:shd w:val="clear" w:color="auto" w:fill="auto"/>
                <w:vAlign w:val="center"/>
              </w:tcPr>
              <w:p w14:paraId="1FA479E4">
                <w:pPr>
                  <w:jc w:val="center"/>
                  <w:rPr>
                    <w:rFonts w:hint="eastAsia"/>
                    <w:szCs w:val="21"/>
                  </w:rPr>
                </w:pPr>
                <w:r>
                  <w:rPr>
                    <w:rFonts w:hint="eastAsia"/>
                    <w:szCs w:val="21"/>
                  </w:rPr>
                  <w:t>账面价值</w:t>
                </w:r>
              </w:p>
            </w:tc>
          </w:sdtContent>
        </w:sdt>
        <w:sdt>
          <w:sdtPr>
            <w:tag w:val="_PLD_8f25a17bc1634cc893a4d67aa1847b6a"/>
            <w:id w:val="-73971072"/>
          </w:sdtPr>
          <w:sdtContent>
            <w:tc>
              <w:tcPr>
                <w:tcW w:w="711" w:type="pct"/>
                <w:tcBorders>
                  <w:bottom w:val="single" w:color="auto" w:sz="6" w:space="0"/>
                </w:tcBorders>
                <w:shd w:val="clear" w:color="auto" w:fill="auto"/>
                <w:vAlign w:val="center"/>
              </w:tcPr>
              <w:p w14:paraId="03E4E9B6">
                <w:pPr>
                  <w:jc w:val="center"/>
                  <w:rPr>
                    <w:rFonts w:hint="eastAsia"/>
                    <w:szCs w:val="21"/>
                  </w:rPr>
                </w:pPr>
                <w:r>
                  <w:rPr>
                    <w:rFonts w:hint="eastAsia"/>
                    <w:szCs w:val="21"/>
                  </w:rPr>
                  <w:t>账面余额</w:t>
                </w:r>
              </w:p>
            </w:tc>
          </w:sdtContent>
        </w:sdt>
        <w:sdt>
          <w:sdtPr>
            <w:tag w:val="_PLD_a654b9f6a8cf4e1797c1b5ccb7073aa0"/>
            <w:id w:val="-1857963006"/>
          </w:sdtPr>
          <w:sdtContent>
            <w:tc>
              <w:tcPr>
                <w:tcW w:w="664" w:type="pct"/>
                <w:tcBorders>
                  <w:bottom w:val="single" w:color="auto" w:sz="6" w:space="0"/>
                </w:tcBorders>
                <w:shd w:val="clear" w:color="auto" w:fill="auto"/>
                <w:vAlign w:val="center"/>
              </w:tcPr>
              <w:p w14:paraId="7FE6A256">
                <w:pPr>
                  <w:jc w:val="center"/>
                  <w:rPr>
                    <w:rFonts w:hint="eastAsia"/>
                    <w:szCs w:val="21"/>
                  </w:rPr>
                </w:pPr>
                <w:r>
                  <w:rPr>
                    <w:rFonts w:hint="eastAsia"/>
                    <w:szCs w:val="21"/>
                  </w:rPr>
                  <w:t>坏账准备</w:t>
                </w:r>
              </w:p>
            </w:tc>
          </w:sdtContent>
        </w:sdt>
        <w:sdt>
          <w:sdtPr>
            <w:tag w:val="_PLD_bccad3095dd04c1e9d8e38cc94818670"/>
            <w:id w:val="-341160419"/>
          </w:sdtPr>
          <w:sdtContent>
            <w:tc>
              <w:tcPr>
                <w:tcW w:w="712" w:type="pct"/>
                <w:tcBorders>
                  <w:bottom w:val="single" w:color="auto" w:sz="6" w:space="0"/>
                  <w:right w:val="single" w:color="auto" w:sz="4" w:space="0"/>
                </w:tcBorders>
                <w:shd w:val="clear" w:color="auto" w:fill="auto"/>
                <w:vAlign w:val="center"/>
              </w:tcPr>
              <w:p w14:paraId="4DEEB86C">
                <w:pPr>
                  <w:jc w:val="center"/>
                  <w:rPr>
                    <w:rFonts w:hint="eastAsia"/>
                    <w:szCs w:val="21"/>
                  </w:rPr>
                </w:pPr>
                <w:r>
                  <w:rPr>
                    <w:rFonts w:hint="eastAsia"/>
                    <w:szCs w:val="21"/>
                  </w:rPr>
                  <w:t>账面价值</w:t>
                </w:r>
              </w:p>
            </w:tc>
          </w:sdtContent>
        </w:sdt>
      </w:tr>
      <w:tr w14:paraId="5D190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29EF8E99">
            <w:pPr>
              <w:jc w:val="both"/>
              <w:rPr>
                <w:rFonts w:hint="eastAsia"/>
                <w:sz w:val="18"/>
                <w:szCs w:val="18"/>
              </w:rPr>
            </w:pPr>
            <w:r>
              <w:rPr>
                <w:rFonts w:hint="eastAsia"/>
                <w:sz w:val="18"/>
                <w:szCs w:val="18"/>
              </w:rPr>
              <w:t>分期收款销售商品</w:t>
            </w:r>
          </w:p>
        </w:tc>
        <w:tc>
          <w:tcPr>
            <w:tcW w:w="511" w:type="pct"/>
            <w:shd w:val="clear" w:color="auto" w:fill="auto"/>
            <w:vAlign w:val="bottom"/>
          </w:tcPr>
          <w:p w14:paraId="663E4A2A">
            <w:pPr>
              <w:ind w:right="105" w:rightChars="50"/>
              <w:jc w:val="right"/>
              <w:rPr>
                <w:rFonts w:hint="eastAsia"/>
                <w:sz w:val="18"/>
                <w:szCs w:val="18"/>
              </w:rPr>
            </w:pPr>
            <w:r>
              <w:rPr>
                <w:rFonts w:ascii="Arial Narrow" w:hAnsi="Arial Narrow" w:eastAsia="等线"/>
                <w:color w:val="000000"/>
                <w:szCs w:val="21"/>
              </w:rPr>
              <w:t>149,461,734.98</w:t>
            </w:r>
          </w:p>
        </w:tc>
        <w:tc>
          <w:tcPr>
            <w:tcW w:w="619" w:type="pct"/>
            <w:shd w:val="clear" w:color="auto" w:fill="auto"/>
            <w:vAlign w:val="bottom"/>
          </w:tcPr>
          <w:p w14:paraId="7EB00B24">
            <w:pPr>
              <w:ind w:right="105" w:rightChars="50"/>
              <w:jc w:val="right"/>
              <w:rPr>
                <w:rFonts w:hint="eastAsia"/>
                <w:sz w:val="18"/>
                <w:szCs w:val="18"/>
              </w:rPr>
            </w:pPr>
            <w:r>
              <w:rPr>
                <w:rFonts w:ascii="Arial Narrow" w:hAnsi="Arial Narrow" w:eastAsia="等线"/>
                <w:color w:val="000000"/>
                <w:szCs w:val="21"/>
              </w:rPr>
              <w:t>77,339,381.98</w:t>
            </w:r>
          </w:p>
        </w:tc>
        <w:tc>
          <w:tcPr>
            <w:tcW w:w="711" w:type="pct"/>
            <w:shd w:val="clear" w:color="auto" w:fill="auto"/>
            <w:vAlign w:val="bottom"/>
          </w:tcPr>
          <w:p w14:paraId="42A854C5">
            <w:pPr>
              <w:ind w:right="105" w:rightChars="50"/>
              <w:jc w:val="right"/>
              <w:rPr>
                <w:rFonts w:hint="eastAsia"/>
                <w:sz w:val="18"/>
                <w:szCs w:val="18"/>
              </w:rPr>
            </w:pPr>
            <w:r>
              <w:rPr>
                <w:rFonts w:ascii="Arial Narrow" w:hAnsi="Arial Narrow" w:eastAsia="等线"/>
                <w:color w:val="000000"/>
                <w:szCs w:val="21"/>
              </w:rPr>
              <w:t>72,122,353.00</w:t>
            </w:r>
          </w:p>
        </w:tc>
        <w:tc>
          <w:tcPr>
            <w:tcW w:w="711" w:type="pct"/>
            <w:shd w:val="clear" w:color="auto" w:fill="auto"/>
            <w:vAlign w:val="bottom"/>
          </w:tcPr>
          <w:p w14:paraId="4EC8EA99">
            <w:pPr>
              <w:ind w:right="105" w:rightChars="50"/>
              <w:jc w:val="right"/>
              <w:rPr>
                <w:rFonts w:hint="eastAsia"/>
                <w:sz w:val="18"/>
                <w:szCs w:val="18"/>
              </w:rPr>
            </w:pPr>
            <w:r>
              <w:rPr>
                <w:rFonts w:ascii="Arial Narrow" w:hAnsi="Arial Narrow" w:eastAsia="等线"/>
                <w:color w:val="000000"/>
                <w:szCs w:val="21"/>
              </w:rPr>
              <w:t>134,006,166.56</w:t>
            </w:r>
          </w:p>
        </w:tc>
        <w:tc>
          <w:tcPr>
            <w:tcW w:w="664" w:type="pct"/>
            <w:shd w:val="clear" w:color="auto" w:fill="auto"/>
            <w:vAlign w:val="bottom"/>
          </w:tcPr>
          <w:p w14:paraId="0CDCD20B">
            <w:pPr>
              <w:ind w:right="105" w:rightChars="50"/>
              <w:jc w:val="right"/>
              <w:rPr>
                <w:rFonts w:hint="eastAsia"/>
                <w:sz w:val="18"/>
                <w:szCs w:val="18"/>
              </w:rPr>
            </w:pPr>
            <w:r>
              <w:rPr>
                <w:rFonts w:ascii="Arial Narrow" w:hAnsi="Arial Narrow" w:eastAsia="等线"/>
                <w:color w:val="000000"/>
                <w:szCs w:val="21"/>
              </w:rPr>
              <w:t>52,834,806.80</w:t>
            </w:r>
          </w:p>
        </w:tc>
        <w:tc>
          <w:tcPr>
            <w:tcW w:w="712" w:type="pct"/>
            <w:tcBorders>
              <w:right w:val="single" w:color="auto" w:sz="4" w:space="0"/>
            </w:tcBorders>
            <w:shd w:val="clear" w:color="auto" w:fill="auto"/>
            <w:vAlign w:val="bottom"/>
          </w:tcPr>
          <w:p w14:paraId="0E729709">
            <w:pPr>
              <w:ind w:right="105" w:rightChars="50"/>
              <w:jc w:val="right"/>
              <w:rPr>
                <w:rFonts w:hint="eastAsia"/>
                <w:sz w:val="18"/>
                <w:szCs w:val="18"/>
              </w:rPr>
            </w:pPr>
            <w:r>
              <w:rPr>
                <w:rFonts w:ascii="Arial Narrow" w:hAnsi="Arial Narrow" w:eastAsia="等线"/>
                <w:color w:val="000000"/>
                <w:szCs w:val="21"/>
              </w:rPr>
              <w:t>81,171,359.76</w:t>
            </w:r>
          </w:p>
        </w:tc>
      </w:tr>
      <w:tr w14:paraId="074F1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06C6BE6E">
            <w:pPr>
              <w:jc w:val="both"/>
              <w:rPr>
                <w:rFonts w:hint="eastAsia"/>
                <w:sz w:val="18"/>
                <w:szCs w:val="18"/>
                <w:highlight w:val="yellow"/>
              </w:rPr>
            </w:pPr>
            <w:r>
              <w:rPr>
                <w:rFonts w:hint="eastAsia"/>
                <w:sz w:val="18"/>
                <w:szCs w:val="18"/>
              </w:rPr>
              <w:t>天津市永信房屋拆迁有限责任公司</w:t>
            </w:r>
          </w:p>
        </w:tc>
        <w:tc>
          <w:tcPr>
            <w:tcW w:w="511" w:type="pct"/>
            <w:shd w:val="clear" w:color="auto" w:fill="auto"/>
            <w:vAlign w:val="bottom"/>
          </w:tcPr>
          <w:p w14:paraId="11844433">
            <w:pPr>
              <w:ind w:right="105" w:rightChars="50"/>
              <w:jc w:val="right"/>
              <w:rPr>
                <w:rFonts w:hint="eastAsia"/>
                <w:sz w:val="18"/>
                <w:szCs w:val="18"/>
                <w:highlight w:val="yellow"/>
              </w:rPr>
            </w:pPr>
            <w:r>
              <w:rPr>
                <w:rFonts w:ascii="Arial Narrow" w:hAnsi="Arial Narrow" w:eastAsia="等线"/>
                <w:color w:val="000000"/>
                <w:szCs w:val="21"/>
              </w:rPr>
              <w:t>168,000,000.00</w:t>
            </w:r>
          </w:p>
        </w:tc>
        <w:tc>
          <w:tcPr>
            <w:tcW w:w="619" w:type="pct"/>
            <w:shd w:val="clear" w:color="auto" w:fill="auto"/>
            <w:vAlign w:val="bottom"/>
          </w:tcPr>
          <w:p w14:paraId="1A3921E3">
            <w:pPr>
              <w:ind w:right="105" w:rightChars="50"/>
              <w:jc w:val="right"/>
              <w:rPr>
                <w:rFonts w:hint="eastAsia"/>
                <w:sz w:val="18"/>
                <w:szCs w:val="18"/>
                <w:highlight w:val="yellow"/>
              </w:rPr>
            </w:pPr>
            <w:r>
              <w:rPr>
                <w:rFonts w:ascii="Arial Narrow" w:hAnsi="Arial Narrow" w:eastAsia="等线"/>
                <w:color w:val="000000"/>
                <w:szCs w:val="21"/>
              </w:rPr>
              <w:t>26,825,584.69</w:t>
            </w:r>
          </w:p>
        </w:tc>
        <w:tc>
          <w:tcPr>
            <w:tcW w:w="711" w:type="pct"/>
            <w:shd w:val="clear" w:color="auto" w:fill="auto"/>
            <w:vAlign w:val="bottom"/>
          </w:tcPr>
          <w:p w14:paraId="1CD5AE46">
            <w:pPr>
              <w:ind w:right="105" w:rightChars="50"/>
              <w:jc w:val="right"/>
              <w:rPr>
                <w:rFonts w:hint="eastAsia"/>
                <w:sz w:val="18"/>
                <w:szCs w:val="18"/>
                <w:highlight w:val="yellow"/>
              </w:rPr>
            </w:pPr>
            <w:r>
              <w:rPr>
                <w:rFonts w:ascii="Arial Narrow" w:hAnsi="Arial Narrow" w:eastAsia="等线"/>
                <w:color w:val="000000"/>
                <w:szCs w:val="21"/>
              </w:rPr>
              <w:t>141,174,415.31</w:t>
            </w:r>
          </w:p>
        </w:tc>
        <w:tc>
          <w:tcPr>
            <w:tcW w:w="711" w:type="pct"/>
            <w:shd w:val="clear" w:color="auto" w:fill="auto"/>
            <w:vAlign w:val="bottom"/>
          </w:tcPr>
          <w:p w14:paraId="4C8B7EBB">
            <w:pPr>
              <w:ind w:right="105" w:rightChars="50"/>
              <w:jc w:val="right"/>
              <w:rPr>
                <w:rFonts w:hint="eastAsia"/>
                <w:sz w:val="18"/>
                <w:szCs w:val="18"/>
                <w:highlight w:val="yellow"/>
              </w:rPr>
            </w:pPr>
            <w:r>
              <w:rPr>
                <w:rFonts w:ascii="Arial Narrow" w:hAnsi="Arial Narrow" w:eastAsia="等线"/>
                <w:color w:val="000000"/>
                <w:szCs w:val="21"/>
              </w:rPr>
              <w:t>200,000,000.00</w:t>
            </w:r>
          </w:p>
        </w:tc>
        <w:tc>
          <w:tcPr>
            <w:tcW w:w="664" w:type="pct"/>
            <w:shd w:val="clear" w:color="auto" w:fill="auto"/>
            <w:vAlign w:val="bottom"/>
          </w:tcPr>
          <w:p w14:paraId="1E89BAD4">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24D12A43">
            <w:pPr>
              <w:ind w:right="105" w:rightChars="50"/>
              <w:jc w:val="right"/>
              <w:rPr>
                <w:rFonts w:hint="eastAsia"/>
                <w:sz w:val="18"/>
                <w:szCs w:val="18"/>
                <w:highlight w:val="yellow"/>
              </w:rPr>
            </w:pPr>
            <w:r>
              <w:rPr>
                <w:rFonts w:ascii="Arial Narrow" w:hAnsi="Arial Narrow" w:eastAsia="等线"/>
                <w:color w:val="000000"/>
                <w:szCs w:val="21"/>
              </w:rPr>
              <w:t>200,000,000.00</w:t>
            </w:r>
          </w:p>
        </w:tc>
      </w:tr>
      <w:tr w14:paraId="5D0D7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01563173">
            <w:pPr>
              <w:jc w:val="both"/>
              <w:rPr>
                <w:rFonts w:hint="eastAsia"/>
                <w:sz w:val="18"/>
                <w:szCs w:val="18"/>
                <w:highlight w:val="yellow"/>
              </w:rPr>
            </w:pPr>
            <w:r>
              <w:rPr>
                <w:sz w:val="18"/>
                <w:szCs w:val="18"/>
              </w:rPr>
              <w:t>武汉星辰房地产开发有限公司</w:t>
            </w:r>
          </w:p>
        </w:tc>
        <w:tc>
          <w:tcPr>
            <w:tcW w:w="511" w:type="pct"/>
            <w:shd w:val="clear" w:color="auto" w:fill="auto"/>
            <w:vAlign w:val="bottom"/>
          </w:tcPr>
          <w:p w14:paraId="62B3B608">
            <w:pPr>
              <w:ind w:right="105" w:rightChars="50"/>
              <w:jc w:val="right"/>
              <w:rPr>
                <w:rFonts w:hint="eastAsia"/>
                <w:sz w:val="18"/>
                <w:szCs w:val="18"/>
                <w:highlight w:val="yellow"/>
              </w:rPr>
            </w:pPr>
            <w:r>
              <w:rPr>
                <w:rFonts w:ascii="Arial Narrow" w:hAnsi="Arial Narrow" w:eastAsia="等线"/>
                <w:color w:val="000000"/>
                <w:szCs w:val="21"/>
              </w:rPr>
              <w:t>206,268,393.63</w:t>
            </w:r>
          </w:p>
        </w:tc>
        <w:tc>
          <w:tcPr>
            <w:tcW w:w="619" w:type="pct"/>
            <w:shd w:val="clear" w:color="auto" w:fill="auto"/>
            <w:vAlign w:val="bottom"/>
          </w:tcPr>
          <w:p w14:paraId="235B4606">
            <w:pPr>
              <w:ind w:right="105" w:rightChars="50"/>
              <w:jc w:val="right"/>
              <w:rPr>
                <w:rFonts w:hint="eastAsia"/>
                <w:sz w:val="18"/>
                <w:szCs w:val="18"/>
                <w:highlight w:val="yellow"/>
              </w:rPr>
            </w:pPr>
          </w:p>
        </w:tc>
        <w:tc>
          <w:tcPr>
            <w:tcW w:w="711" w:type="pct"/>
            <w:shd w:val="clear" w:color="auto" w:fill="auto"/>
            <w:vAlign w:val="bottom"/>
          </w:tcPr>
          <w:p w14:paraId="7F9A0F72">
            <w:pPr>
              <w:ind w:right="105" w:rightChars="50"/>
              <w:jc w:val="right"/>
              <w:rPr>
                <w:rFonts w:hint="eastAsia"/>
                <w:sz w:val="18"/>
                <w:szCs w:val="18"/>
                <w:highlight w:val="yellow"/>
              </w:rPr>
            </w:pPr>
            <w:r>
              <w:rPr>
                <w:rFonts w:ascii="Arial Narrow" w:hAnsi="Arial Narrow" w:eastAsia="等线"/>
                <w:color w:val="000000"/>
                <w:szCs w:val="21"/>
              </w:rPr>
              <w:t>206,268,393.63</w:t>
            </w:r>
          </w:p>
        </w:tc>
        <w:tc>
          <w:tcPr>
            <w:tcW w:w="711" w:type="pct"/>
            <w:shd w:val="clear" w:color="auto" w:fill="auto"/>
            <w:vAlign w:val="bottom"/>
          </w:tcPr>
          <w:p w14:paraId="544F7C41">
            <w:pPr>
              <w:ind w:right="105" w:rightChars="50"/>
              <w:jc w:val="right"/>
              <w:rPr>
                <w:rFonts w:hint="eastAsia"/>
                <w:sz w:val="18"/>
                <w:szCs w:val="18"/>
                <w:highlight w:val="yellow"/>
              </w:rPr>
            </w:pPr>
            <w:r>
              <w:rPr>
                <w:rFonts w:ascii="Arial Narrow" w:hAnsi="Arial Narrow" w:eastAsia="等线"/>
                <w:color w:val="000000"/>
                <w:szCs w:val="21"/>
              </w:rPr>
              <w:t>206,268,393.63</w:t>
            </w:r>
          </w:p>
        </w:tc>
        <w:tc>
          <w:tcPr>
            <w:tcW w:w="664" w:type="pct"/>
            <w:shd w:val="clear" w:color="auto" w:fill="auto"/>
            <w:vAlign w:val="bottom"/>
          </w:tcPr>
          <w:p w14:paraId="085E9C90">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30A8F6B6">
            <w:pPr>
              <w:ind w:right="105" w:rightChars="50"/>
              <w:jc w:val="right"/>
              <w:rPr>
                <w:rFonts w:hint="eastAsia"/>
                <w:sz w:val="18"/>
                <w:szCs w:val="18"/>
                <w:highlight w:val="yellow"/>
              </w:rPr>
            </w:pPr>
            <w:r>
              <w:rPr>
                <w:rFonts w:ascii="Arial Narrow" w:hAnsi="Arial Narrow" w:eastAsia="等线"/>
                <w:color w:val="000000"/>
                <w:szCs w:val="21"/>
              </w:rPr>
              <w:t>206,268,393.63</w:t>
            </w:r>
          </w:p>
        </w:tc>
      </w:tr>
      <w:tr w14:paraId="0679E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68E83A36">
            <w:pPr>
              <w:jc w:val="both"/>
              <w:rPr>
                <w:rFonts w:hint="eastAsia"/>
                <w:sz w:val="18"/>
                <w:szCs w:val="18"/>
                <w:highlight w:val="yellow"/>
              </w:rPr>
            </w:pPr>
            <w:r>
              <w:rPr>
                <w:sz w:val="18"/>
                <w:szCs w:val="18"/>
              </w:rPr>
              <w:t>西安长刚置业有限责任公司</w:t>
            </w:r>
          </w:p>
        </w:tc>
        <w:tc>
          <w:tcPr>
            <w:tcW w:w="511" w:type="pct"/>
            <w:shd w:val="clear" w:color="auto" w:fill="auto"/>
            <w:vAlign w:val="bottom"/>
          </w:tcPr>
          <w:p w14:paraId="300E0674">
            <w:pPr>
              <w:ind w:right="105" w:rightChars="50"/>
              <w:jc w:val="right"/>
              <w:rPr>
                <w:rFonts w:hint="eastAsia"/>
                <w:sz w:val="18"/>
                <w:szCs w:val="18"/>
                <w:highlight w:val="yellow"/>
              </w:rPr>
            </w:pPr>
            <w:r>
              <w:rPr>
                <w:rFonts w:ascii="Arial Narrow" w:hAnsi="Arial Narrow" w:eastAsia="等线"/>
                <w:color w:val="000000"/>
                <w:szCs w:val="21"/>
              </w:rPr>
              <w:t>5,910,000.00</w:t>
            </w:r>
          </w:p>
        </w:tc>
        <w:tc>
          <w:tcPr>
            <w:tcW w:w="619" w:type="pct"/>
            <w:shd w:val="clear" w:color="auto" w:fill="auto"/>
            <w:vAlign w:val="bottom"/>
          </w:tcPr>
          <w:p w14:paraId="251A6C01">
            <w:pPr>
              <w:ind w:right="105" w:rightChars="50"/>
              <w:jc w:val="right"/>
              <w:rPr>
                <w:rFonts w:hint="eastAsia"/>
                <w:sz w:val="18"/>
                <w:szCs w:val="18"/>
                <w:highlight w:val="yellow"/>
              </w:rPr>
            </w:pPr>
            <w:r>
              <w:rPr>
                <w:rFonts w:ascii="Arial Narrow" w:hAnsi="Arial Narrow" w:eastAsia="等线"/>
                <w:color w:val="000000"/>
                <w:szCs w:val="21"/>
              </w:rPr>
              <w:t>5,910,000.00</w:t>
            </w:r>
          </w:p>
        </w:tc>
        <w:tc>
          <w:tcPr>
            <w:tcW w:w="711" w:type="pct"/>
            <w:shd w:val="clear" w:color="auto" w:fill="auto"/>
            <w:vAlign w:val="bottom"/>
          </w:tcPr>
          <w:p w14:paraId="01AE305E">
            <w:pPr>
              <w:ind w:right="105" w:rightChars="50"/>
              <w:jc w:val="right"/>
              <w:rPr>
                <w:rFonts w:hint="eastAsia"/>
                <w:sz w:val="18"/>
                <w:szCs w:val="18"/>
                <w:highlight w:val="yellow"/>
              </w:rPr>
            </w:pPr>
          </w:p>
        </w:tc>
        <w:tc>
          <w:tcPr>
            <w:tcW w:w="711" w:type="pct"/>
            <w:shd w:val="clear" w:color="auto" w:fill="auto"/>
            <w:vAlign w:val="bottom"/>
          </w:tcPr>
          <w:p w14:paraId="12823D00">
            <w:pPr>
              <w:ind w:right="105" w:rightChars="50"/>
              <w:jc w:val="right"/>
              <w:rPr>
                <w:rFonts w:hint="eastAsia"/>
                <w:sz w:val="18"/>
                <w:szCs w:val="18"/>
                <w:highlight w:val="yellow"/>
              </w:rPr>
            </w:pPr>
            <w:r>
              <w:rPr>
                <w:rFonts w:ascii="Arial Narrow" w:hAnsi="Arial Narrow" w:eastAsia="等线"/>
                <w:color w:val="000000"/>
                <w:szCs w:val="21"/>
              </w:rPr>
              <w:t>5,910,000.00</w:t>
            </w:r>
          </w:p>
        </w:tc>
        <w:tc>
          <w:tcPr>
            <w:tcW w:w="664" w:type="pct"/>
            <w:shd w:val="clear" w:color="auto" w:fill="auto"/>
            <w:vAlign w:val="bottom"/>
          </w:tcPr>
          <w:p w14:paraId="296ADAFB">
            <w:pPr>
              <w:ind w:right="105" w:rightChars="50"/>
              <w:jc w:val="right"/>
              <w:rPr>
                <w:rFonts w:hint="eastAsia"/>
                <w:sz w:val="18"/>
                <w:szCs w:val="18"/>
                <w:highlight w:val="yellow"/>
              </w:rPr>
            </w:pPr>
            <w:r>
              <w:rPr>
                <w:rFonts w:ascii="Arial Narrow" w:hAnsi="Arial Narrow" w:eastAsia="等线"/>
                <w:color w:val="000000"/>
                <w:szCs w:val="21"/>
              </w:rPr>
              <w:t>5,910,000.00</w:t>
            </w:r>
          </w:p>
        </w:tc>
        <w:tc>
          <w:tcPr>
            <w:tcW w:w="712" w:type="pct"/>
            <w:tcBorders>
              <w:right w:val="single" w:color="auto" w:sz="4" w:space="0"/>
            </w:tcBorders>
            <w:shd w:val="clear" w:color="auto" w:fill="auto"/>
            <w:vAlign w:val="bottom"/>
          </w:tcPr>
          <w:p w14:paraId="035F9F96">
            <w:pPr>
              <w:ind w:right="105" w:rightChars="50"/>
              <w:jc w:val="right"/>
              <w:rPr>
                <w:rFonts w:hint="eastAsia"/>
                <w:sz w:val="18"/>
                <w:szCs w:val="18"/>
                <w:highlight w:val="yellow"/>
              </w:rPr>
            </w:pPr>
          </w:p>
        </w:tc>
      </w:tr>
      <w:tr w14:paraId="5B354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0E8B925D">
            <w:pPr>
              <w:jc w:val="both"/>
              <w:rPr>
                <w:rFonts w:hint="eastAsia"/>
                <w:sz w:val="18"/>
                <w:szCs w:val="18"/>
                <w:highlight w:val="yellow"/>
              </w:rPr>
            </w:pPr>
            <w:r>
              <w:rPr>
                <w:sz w:val="18"/>
                <w:szCs w:val="18"/>
              </w:rPr>
              <w:t>江宁科学园发展有限公司</w:t>
            </w:r>
          </w:p>
        </w:tc>
        <w:tc>
          <w:tcPr>
            <w:tcW w:w="511" w:type="pct"/>
            <w:shd w:val="clear" w:color="auto" w:fill="auto"/>
            <w:vAlign w:val="bottom"/>
          </w:tcPr>
          <w:p w14:paraId="1B7ABF2C">
            <w:pPr>
              <w:ind w:right="105" w:rightChars="50"/>
              <w:jc w:val="right"/>
              <w:rPr>
                <w:rFonts w:hint="eastAsia"/>
                <w:sz w:val="18"/>
                <w:szCs w:val="18"/>
                <w:highlight w:val="yellow"/>
              </w:rPr>
            </w:pPr>
            <w:r>
              <w:rPr>
                <w:rFonts w:ascii="Arial Narrow" w:hAnsi="Arial Narrow" w:eastAsia="等线"/>
                <w:color w:val="000000"/>
                <w:szCs w:val="21"/>
              </w:rPr>
              <w:t>140,000,000.00</w:t>
            </w:r>
          </w:p>
        </w:tc>
        <w:tc>
          <w:tcPr>
            <w:tcW w:w="619" w:type="pct"/>
            <w:shd w:val="clear" w:color="auto" w:fill="auto"/>
            <w:vAlign w:val="bottom"/>
          </w:tcPr>
          <w:p w14:paraId="4F04B61A">
            <w:pPr>
              <w:ind w:right="105" w:rightChars="50"/>
              <w:jc w:val="right"/>
              <w:rPr>
                <w:rFonts w:hint="eastAsia"/>
                <w:sz w:val="18"/>
                <w:szCs w:val="18"/>
                <w:highlight w:val="yellow"/>
              </w:rPr>
            </w:pPr>
            <w:r>
              <w:rPr>
                <w:rFonts w:ascii="Arial Narrow" w:hAnsi="Arial Narrow" w:eastAsia="等线"/>
                <w:color w:val="000000"/>
                <w:szCs w:val="21"/>
              </w:rPr>
              <w:t>9,178,643.53</w:t>
            </w:r>
          </w:p>
        </w:tc>
        <w:tc>
          <w:tcPr>
            <w:tcW w:w="711" w:type="pct"/>
            <w:shd w:val="clear" w:color="auto" w:fill="auto"/>
            <w:vAlign w:val="bottom"/>
          </w:tcPr>
          <w:p w14:paraId="02CAE95A">
            <w:pPr>
              <w:ind w:right="105" w:rightChars="50"/>
              <w:jc w:val="right"/>
              <w:rPr>
                <w:rFonts w:hint="eastAsia"/>
                <w:sz w:val="18"/>
                <w:szCs w:val="18"/>
                <w:highlight w:val="yellow"/>
              </w:rPr>
            </w:pPr>
            <w:r>
              <w:rPr>
                <w:rFonts w:ascii="Arial Narrow" w:hAnsi="Arial Narrow" w:eastAsia="等线"/>
                <w:color w:val="000000"/>
                <w:szCs w:val="21"/>
              </w:rPr>
              <w:t>130,821,356.47</w:t>
            </w:r>
          </w:p>
        </w:tc>
        <w:tc>
          <w:tcPr>
            <w:tcW w:w="711" w:type="pct"/>
            <w:shd w:val="clear" w:color="auto" w:fill="auto"/>
            <w:vAlign w:val="bottom"/>
          </w:tcPr>
          <w:p w14:paraId="3D66D65F">
            <w:pPr>
              <w:ind w:right="105" w:rightChars="50"/>
              <w:jc w:val="right"/>
              <w:rPr>
                <w:rFonts w:hint="eastAsia"/>
                <w:sz w:val="18"/>
                <w:szCs w:val="18"/>
                <w:highlight w:val="yellow"/>
              </w:rPr>
            </w:pPr>
            <w:r>
              <w:rPr>
                <w:rFonts w:ascii="Arial Narrow" w:hAnsi="Arial Narrow" w:eastAsia="等线"/>
                <w:color w:val="000000"/>
                <w:szCs w:val="21"/>
              </w:rPr>
              <w:t>140,000,000.00</w:t>
            </w:r>
          </w:p>
        </w:tc>
        <w:tc>
          <w:tcPr>
            <w:tcW w:w="664" w:type="pct"/>
            <w:shd w:val="clear" w:color="auto" w:fill="auto"/>
            <w:vAlign w:val="bottom"/>
          </w:tcPr>
          <w:p w14:paraId="2D3AC897">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432E1DAD">
            <w:pPr>
              <w:ind w:right="105" w:rightChars="50"/>
              <w:jc w:val="right"/>
              <w:rPr>
                <w:rFonts w:hint="eastAsia"/>
                <w:sz w:val="18"/>
                <w:szCs w:val="18"/>
                <w:highlight w:val="yellow"/>
              </w:rPr>
            </w:pPr>
            <w:r>
              <w:rPr>
                <w:rFonts w:ascii="Arial Narrow" w:hAnsi="Arial Narrow" w:eastAsia="等线"/>
                <w:color w:val="000000"/>
                <w:szCs w:val="21"/>
              </w:rPr>
              <w:t>140,000,000.00</w:t>
            </w:r>
          </w:p>
        </w:tc>
      </w:tr>
      <w:tr w14:paraId="22DE7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250B7DF6">
            <w:pPr>
              <w:jc w:val="both"/>
              <w:rPr>
                <w:rFonts w:hint="eastAsia"/>
                <w:sz w:val="18"/>
                <w:szCs w:val="18"/>
                <w:highlight w:val="yellow"/>
              </w:rPr>
            </w:pPr>
            <w:r>
              <w:rPr>
                <w:sz w:val="18"/>
                <w:szCs w:val="18"/>
              </w:rPr>
              <w:t>岳阳市土地储备中心</w:t>
            </w:r>
          </w:p>
        </w:tc>
        <w:tc>
          <w:tcPr>
            <w:tcW w:w="511" w:type="pct"/>
            <w:shd w:val="clear" w:color="auto" w:fill="auto"/>
            <w:vAlign w:val="bottom"/>
          </w:tcPr>
          <w:p w14:paraId="44EBFB7E">
            <w:pPr>
              <w:ind w:right="105" w:rightChars="50"/>
              <w:jc w:val="right"/>
              <w:rPr>
                <w:rFonts w:hint="eastAsia"/>
                <w:sz w:val="18"/>
                <w:szCs w:val="18"/>
                <w:highlight w:val="yellow"/>
              </w:rPr>
            </w:pPr>
            <w:r>
              <w:rPr>
                <w:rFonts w:ascii="Arial Narrow" w:hAnsi="Arial Narrow" w:eastAsia="等线"/>
                <w:color w:val="000000"/>
                <w:szCs w:val="21"/>
              </w:rPr>
              <w:t>228,745,700.00</w:t>
            </w:r>
          </w:p>
        </w:tc>
        <w:tc>
          <w:tcPr>
            <w:tcW w:w="619" w:type="pct"/>
            <w:shd w:val="clear" w:color="auto" w:fill="auto"/>
            <w:vAlign w:val="bottom"/>
          </w:tcPr>
          <w:p w14:paraId="2C1BE24C">
            <w:pPr>
              <w:ind w:right="105" w:rightChars="50"/>
              <w:jc w:val="right"/>
              <w:rPr>
                <w:rFonts w:hint="eastAsia"/>
                <w:sz w:val="18"/>
                <w:szCs w:val="18"/>
                <w:highlight w:val="yellow"/>
              </w:rPr>
            </w:pPr>
            <w:r>
              <w:rPr>
                <w:rFonts w:ascii="Arial Narrow" w:hAnsi="Arial Narrow" w:eastAsia="等线"/>
                <w:color w:val="000000"/>
                <w:szCs w:val="21"/>
              </w:rPr>
              <w:t>35,122,458.27</w:t>
            </w:r>
          </w:p>
        </w:tc>
        <w:tc>
          <w:tcPr>
            <w:tcW w:w="711" w:type="pct"/>
            <w:shd w:val="clear" w:color="auto" w:fill="auto"/>
            <w:vAlign w:val="bottom"/>
          </w:tcPr>
          <w:p w14:paraId="44C54910">
            <w:pPr>
              <w:ind w:right="105" w:rightChars="50"/>
              <w:jc w:val="right"/>
              <w:rPr>
                <w:rFonts w:hint="eastAsia"/>
                <w:sz w:val="18"/>
                <w:szCs w:val="18"/>
                <w:highlight w:val="yellow"/>
              </w:rPr>
            </w:pPr>
            <w:r>
              <w:rPr>
                <w:rFonts w:ascii="Arial Narrow" w:hAnsi="Arial Narrow" w:eastAsia="等线"/>
                <w:color w:val="000000"/>
                <w:szCs w:val="21"/>
              </w:rPr>
              <w:t>193,623,241.73</w:t>
            </w:r>
          </w:p>
        </w:tc>
        <w:tc>
          <w:tcPr>
            <w:tcW w:w="711" w:type="pct"/>
            <w:shd w:val="clear" w:color="auto" w:fill="auto"/>
            <w:vAlign w:val="bottom"/>
          </w:tcPr>
          <w:p w14:paraId="5F90C147">
            <w:pPr>
              <w:ind w:right="105" w:rightChars="50"/>
              <w:jc w:val="right"/>
              <w:rPr>
                <w:rFonts w:hint="eastAsia"/>
                <w:sz w:val="18"/>
                <w:szCs w:val="18"/>
                <w:highlight w:val="yellow"/>
              </w:rPr>
            </w:pPr>
          </w:p>
        </w:tc>
        <w:tc>
          <w:tcPr>
            <w:tcW w:w="664" w:type="pct"/>
            <w:shd w:val="clear" w:color="auto" w:fill="auto"/>
            <w:vAlign w:val="bottom"/>
          </w:tcPr>
          <w:p w14:paraId="4F53B229">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58E6A1EA">
            <w:pPr>
              <w:ind w:right="105" w:rightChars="50"/>
              <w:jc w:val="right"/>
              <w:rPr>
                <w:rFonts w:hint="eastAsia"/>
                <w:sz w:val="18"/>
                <w:szCs w:val="18"/>
                <w:highlight w:val="yellow"/>
              </w:rPr>
            </w:pPr>
          </w:p>
        </w:tc>
      </w:tr>
      <w:tr w14:paraId="74E38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4ABE306F">
            <w:pPr>
              <w:jc w:val="both"/>
              <w:rPr>
                <w:rFonts w:hint="eastAsia"/>
                <w:sz w:val="18"/>
                <w:szCs w:val="18"/>
                <w:highlight w:val="yellow"/>
              </w:rPr>
            </w:pPr>
            <w:r>
              <w:rPr>
                <w:sz w:val="18"/>
                <w:szCs w:val="18"/>
              </w:rPr>
              <w:t>BOT项目款项</w:t>
            </w:r>
          </w:p>
        </w:tc>
        <w:tc>
          <w:tcPr>
            <w:tcW w:w="511" w:type="pct"/>
            <w:shd w:val="clear" w:color="auto" w:fill="auto"/>
            <w:vAlign w:val="bottom"/>
          </w:tcPr>
          <w:p w14:paraId="7D54E4D1">
            <w:pPr>
              <w:ind w:right="105" w:rightChars="50"/>
              <w:jc w:val="right"/>
              <w:rPr>
                <w:rFonts w:hint="eastAsia"/>
                <w:sz w:val="18"/>
                <w:szCs w:val="18"/>
                <w:highlight w:val="yellow"/>
              </w:rPr>
            </w:pPr>
          </w:p>
        </w:tc>
        <w:tc>
          <w:tcPr>
            <w:tcW w:w="619" w:type="pct"/>
            <w:shd w:val="clear" w:color="auto" w:fill="auto"/>
            <w:vAlign w:val="bottom"/>
          </w:tcPr>
          <w:p w14:paraId="3CDB259B">
            <w:pPr>
              <w:ind w:right="105" w:rightChars="50"/>
              <w:jc w:val="right"/>
              <w:rPr>
                <w:rFonts w:hint="eastAsia"/>
                <w:sz w:val="18"/>
                <w:szCs w:val="18"/>
                <w:highlight w:val="yellow"/>
              </w:rPr>
            </w:pPr>
          </w:p>
        </w:tc>
        <w:tc>
          <w:tcPr>
            <w:tcW w:w="711" w:type="pct"/>
            <w:shd w:val="clear" w:color="auto" w:fill="auto"/>
            <w:vAlign w:val="bottom"/>
          </w:tcPr>
          <w:p w14:paraId="3E3E7291">
            <w:pPr>
              <w:ind w:right="105" w:rightChars="50"/>
              <w:jc w:val="right"/>
              <w:rPr>
                <w:rFonts w:hint="eastAsia"/>
                <w:sz w:val="18"/>
                <w:szCs w:val="18"/>
                <w:highlight w:val="yellow"/>
              </w:rPr>
            </w:pPr>
          </w:p>
        </w:tc>
        <w:tc>
          <w:tcPr>
            <w:tcW w:w="711" w:type="pct"/>
            <w:shd w:val="clear" w:color="auto" w:fill="auto"/>
            <w:vAlign w:val="bottom"/>
          </w:tcPr>
          <w:p w14:paraId="7CBDF48C">
            <w:pPr>
              <w:ind w:right="105" w:rightChars="50"/>
              <w:jc w:val="right"/>
              <w:rPr>
                <w:rFonts w:hint="eastAsia"/>
                <w:sz w:val="18"/>
                <w:szCs w:val="18"/>
                <w:highlight w:val="yellow"/>
              </w:rPr>
            </w:pPr>
            <w:r>
              <w:rPr>
                <w:rFonts w:ascii="Arial Narrow" w:hAnsi="Arial Narrow" w:eastAsia="等线"/>
                <w:color w:val="000000"/>
                <w:szCs w:val="21"/>
              </w:rPr>
              <w:t>23,627,652.19</w:t>
            </w:r>
          </w:p>
        </w:tc>
        <w:tc>
          <w:tcPr>
            <w:tcW w:w="664" w:type="pct"/>
            <w:shd w:val="clear" w:color="auto" w:fill="auto"/>
            <w:vAlign w:val="bottom"/>
          </w:tcPr>
          <w:p w14:paraId="1E5B90D4">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39CFD322">
            <w:pPr>
              <w:ind w:right="105" w:rightChars="50"/>
              <w:jc w:val="right"/>
              <w:rPr>
                <w:rFonts w:hint="eastAsia"/>
                <w:sz w:val="18"/>
                <w:szCs w:val="18"/>
                <w:highlight w:val="yellow"/>
              </w:rPr>
            </w:pPr>
            <w:r>
              <w:rPr>
                <w:rFonts w:ascii="Arial Narrow" w:hAnsi="Arial Narrow" w:eastAsia="等线"/>
                <w:color w:val="000000"/>
                <w:szCs w:val="21"/>
              </w:rPr>
              <w:t>23,627,652.19</w:t>
            </w:r>
          </w:p>
        </w:tc>
      </w:tr>
      <w:tr w14:paraId="308B1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580EBA47">
            <w:pPr>
              <w:jc w:val="both"/>
              <w:rPr>
                <w:rFonts w:hint="eastAsia"/>
                <w:sz w:val="18"/>
                <w:szCs w:val="18"/>
                <w:highlight w:val="yellow"/>
              </w:rPr>
            </w:pPr>
            <w:r>
              <w:rPr>
                <w:sz w:val="18"/>
                <w:szCs w:val="18"/>
              </w:rPr>
              <w:t>减：一年内到期的长期应收款</w:t>
            </w:r>
          </w:p>
        </w:tc>
        <w:tc>
          <w:tcPr>
            <w:tcW w:w="511" w:type="pct"/>
            <w:shd w:val="clear" w:color="auto" w:fill="auto"/>
            <w:vAlign w:val="bottom"/>
          </w:tcPr>
          <w:p w14:paraId="480D12EE">
            <w:pPr>
              <w:ind w:right="105" w:rightChars="50"/>
              <w:jc w:val="right"/>
              <w:rPr>
                <w:rFonts w:hint="eastAsia"/>
                <w:sz w:val="18"/>
                <w:szCs w:val="18"/>
                <w:highlight w:val="yellow"/>
              </w:rPr>
            </w:pPr>
          </w:p>
        </w:tc>
        <w:tc>
          <w:tcPr>
            <w:tcW w:w="619" w:type="pct"/>
            <w:shd w:val="clear" w:color="auto" w:fill="auto"/>
            <w:vAlign w:val="bottom"/>
          </w:tcPr>
          <w:p w14:paraId="389C05D5">
            <w:pPr>
              <w:ind w:right="105" w:rightChars="50"/>
              <w:jc w:val="right"/>
              <w:rPr>
                <w:rFonts w:hint="eastAsia"/>
                <w:sz w:val="18"/>
                <w:szCs w:val="18"/>
                <w:highlight w:val="yellow"/>
              </w:rPr>
            </w:pPr>
          </w:p>
        </w:tc>
        <w:tc>
          <w:tcPr>
            <w:tcW w:w="711" w:type="pct"/>
            <w:shd w:val="clear" w:color="auto" w:fill="auto"/>
            <w:vAlign w:val="bottom"/>
          </w:tcPr>
          <w:p w14:paraId="5498A042">
            <w:pPr>
              <w:ind w:right="105" w:rightChars="50"/>
              <w:jc w:val="right"/>
              <w:rPr>
                <w:rFonts w:hint="eastAsia"/>
                <w:sz w:val="18"/>
                <w:szCs w:val="18"/>
                <w:highlight w:val="yellow"/>
              </w:rPr>
            </w:pPr>
          </w:p>
        </w:tc>
        <w:tc>
          <w:tcPr>
            <w:tcW w:w="711" w:type="pct"/>
            <w:shd w:val="clear" w:color="auto" w:fill="auto"/>
            <w:vAlign w:val="bottom"/>
          </w:tcPr>
          <w:p w14:paraId="7E48E2AF">
            <w:pPr>
              <w:ind w:right="105" w:rightChars="50"/>
              <w:jc w:val="right"/>
              <w:rPr>
                <w:rFonts w:hint="eastAsia"/>
                <w:sz w:val="18"/>
                <w:szCs w:val="18"/>
                <w:highlight w:val="yellow"/>
              </w:rPr>
            </w:pPr>
            <w:r>
              <w:rPr>
                <w:rFonts w:ascii="Arial Narrow" w:hAnsi="Arial Narrow" w:eastAsia="等线"/>
                <w:color w:val="000000"/>
                <w:szCs w:val="21"/>
              </w:rPr>
              <w:t>-23,627,652.19</w:t>
            </w:r>
          </w:p>
        </w:tc>
        <w:tc>
          <w:tcPr>
            <w:tcW w:w="664" w:type="pct"/>
            <w:shd w:val="clear" w:color="auto" w:fill="auto"/>
            <w:vAlign w:val="bottom"/>
          </w:tcPr>
          <w:p w14:paraId="4D2D4431">
            <w:pPr>
              <w:ind w:right="105" w:rightChars="50"/>
              <w:jc w:val="right"/>
              <w:rPr>
                <w:rFonts w:hint="eastAsia"/>
                <w:sz w:val="18"/>
                <w:szCs w:val="18"/>
                <w:highlight w:val="yellow"/>
              </w:rPr>
            </w:pPr>
          </w:p>
        </w:tc>
        <w:tc>
          <w:tcPr>
            <w:tcW w:w="712" w:type="pct"/>
            <w:tcBorders>
              <w:right w:val="single" w:color="auto" w:sz="4" w:space="0"/>
            </w:tcBorders>
            <w:shd w:val="clear" w:color="auto" w:fill="auto"/>
            <w:vAlign w:val="bottom"/>
          </w:tcPr>
          <w:p w14:paraId="5C9DE5F0">
            <w:pPr>
              <w:ind w:right="105" w:rightChars="50"/>
              <w:jc w:val="right"/>
              <w:rPr>
                <w:rFonts w:hint="eastAsia"/>
                <w:sz w:val="18"/>
                <w:szCs w:val="18"/>
                <w:highlight w:val="yellow"/>
              </w:rPr>
            </w:pPr>
            <w:r>
              <w:rPr>
                <w:rFonts w:ascii="Arial Narrow" w:hAnsi="Arial Narrow" w:eastAsia="等线"/>
                <w:color w:val="000000"/>
                <w:szCs w:val="21"/>
              </w:rPr>
              <w:t>-23,627,652.19</w:t>
            </w:r>
          </w:p>
        </w:tc>
      </w:tr>
      <w:tr w14:paraId="42555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1" w:type="dxa"/>
            <w:bottom w:w="0" w:type="dxa"/>
            <w:right w:w="31" w:type="dxa"/>
          </w:tblCellMar>
        </w:tblPrEx>
        <w:trPr>
          <w:cantSplit/>
        </w:trPr>
        <w:tc>
          <w:tcPr>
            <w:tcW w:w="1072" w:type="pct"/>
            <w:shd w:val="clear" w:color="auto" w:fill="auto"/>
            <w:vAlign w:val="center"/>
          </w:tcPr>
          <w:p w14:paraId="62CD9633">
            <w:pPr>
              <w:jc w:val="center"/>
              <w:rPr>
                <w:rFonts w:hint="eastAsia"/>
                <w:sz w:val="18"/>
                <w:szCs w:val="18"/>
              </w:rPr>
            </w:pPr>
            <w:r>
              <w:rPr>
                <w:rFonts w:hint="eastAsia"/>
                <w:sz w:val="18"/>
                <w:szCs w:val="18"/>
              </w:rPr>
              <w:t>合计</w:t>
            </w:r>
          </w:p>
        </w:tc>
        <w:tc>
          <w:tcPr>
            <w:tcW w:w="511" w:type="pct"/>
            <w:shd w:val="clear" w:color="auto" w:fill="auto"/>
            <w:vAlign w:val="bottom"/>
          </w:tcPr>
          <w:p w14:paraId="0408189E">
            <w:pPr>
              <w:ind w:right="105" w:rightChars="50"/>
              <w:jc w:val="right"/>
              <w:rPr>
                <w:rFonts w:hint="eastAsia"/>
                <w:sz w:val="18"/>
                <w:szCs w:val="18"/>
              </w:rPr>
            </w:pPr>
            <w:r>
              <w:rPr>
                <w:rFonts w:ascii="Arial Narrow" w:hAnsi="Arial Narrow" w:eastAsia="等线"/>
                <w:color w:val="000000"/>
                <w:szCs w:val="21"/>
              </w:rPr>
              <w:t>898,385,828.61</w:t>
            </w:r>
          </w:p>
        </w:tc>
        <w:tc>
          <w:tcPr>
            <w:tcW w:w="619" w:type="pct"/>
            <w:shd w:val="clear" w:color="auto" w:fill="auto"/>
            <w:vAlign w:val="bottom"/>
          </w:tcPr>
          <w:p w14:paraId="45A52310">
            <w:pPr>
              <w:ind w:right="105" w:rightChars="50"/>
              <w:jc w:val="right"/>
              <w:rPr>
                <w:rFonts w:hint="eastAsia"/>
                <w:sz w:val="18"/>
                <w:szCs w:val="18"/>
              </w:rPr>
            </w:pPr>
            <w:r>
              <w:rPr>
                <w:rFonts w:ascii="Arial Narrow" w:hAnsi="Arial Narrow" w:eastAsia="等线"/>
                <w:color w:val="000000"/>
                <w:szCs w:val="21"/>
              </w:rPr>
              <w:t>154,376,068.47</w:t>
            </w:r>
          </w:p>
        </w:tc>
        <w:tc>
          <w:tcPr>
            <w:tcW w:w="711" w:type="pct"/>
            <w:shd w:val="clear" w:color="auto" w:fill="auto"/>
            <w:vAlign w:val="bottom"/>
          </w:tcPr>
          <w:p w14:paraId="6B3F0975">
            <w:pPr>
              <w:ind w:right="105" w:rightChars="50"/>
              <w:jc w:val="right"/>
              <w:rPr>
                <w:rFonts w:hint="eastAsia"/>
                <w:sz w:val="18"/>
                <w:szCs w:val="18"/>
              </w:rPr>
            </w:pPr>
            <w:r>
              <w:rPr>
                <w:rFonts w:ascii="Arial Narrow" w:hAnsi="Arial Narrow" w:eastAsia="等线"/>
                <w:color w:val="000000"/>
                <w:szCs w:val="21"/>
              </w:rPr>
              <w:t>744,009,760.14</w:t>
            </w:r>
          </w:p>
        </w:tc>
        <w:tc>
          <w:tcPr>
            <w:tcW w:w="711" w:type="pct"/>
            <w:shd w:val="clear" w:color="auto" w:fill="auto"/>
            <w:vAlign w:val="bottom"/>
          </w:tcPr>
          <w:p w14:paraId="6C5AB5E0">
            <w:pPr>
              <w:ind w:right="105" w:rightChars="50"/>
              <w:jc w:val="right"/>
              <w:rPr>
                <w:rFonts w:hint="eastAsia"/>
                <w:sz w:val="18"/>
                <w:szCs w:val="18"/>
              </w:rPr>
            </w:pPr>
            <w:r>
              <w:rPr>
                <w:rFonts w:ascii="Arial Narrow" w:hAnsi="Arial Narrow" w:eastAsia="等线"/>
                <w:color w:val="000000"/>
                <w:szCs w:val="21"/>
              </w:rPr>
              <w:t>686,184,560.19</w:t>
            </w:r>
          </w:p>
        </w:tc>
        <w:tc>
          <w:tcPr>
            <w:tcW w:w="664" w:type="pct"/>
            <w:shd w:val="clear" w:color="auto" w:fill="auto"/>
            <w:vAlign w:val="bottom"/>
          </w:tcPr>
          <w:p w14:paraId="6F0053A0">
            <w:pPr>
              <w:ind w:right="105" w:rightChars="50"/>
              <w:jc w:val="right"/>
              <w:rPr>
                <w:rFonts w:hint="eastAsia"/>
                <w:sz w:val="18"/>
                <w:szCs w:val="18"/>
              </w:rPr>
            </w:pPr>
            <w:r>
              <w:rPr>
                <w:rFonts w:ascii="Arial Narrow" w:hAnsi="Arial Narrow" w:eastAsia="等线"/>
                <w:color w:val="000000"/>
                <w:szCs w:val="21"/>
              </w:rPr>
              <w:t>58,744,806.80</w:t>
            </w:r>
          </w:p>
        </w:tc>
        <w:tc>
          <w:tcPr>
            <w:tcW w:w="712" w:type="pct"/>
            <w:tcBorders>
              <w:right w:val="single" w:color="auto" w:sz="4" w:space="0"/>
            </w:tcBorders>
            <w:shd w:val="clear" w:color="auto" w:fill="auto"/>
            <w:vAlign w:val="bottom"/>
          </w:tcPr>
          <w:p w14:paraId="7A9507B3">
            <w:pPr>
              <w:ind w:right="105" w:rightChars="50"/>
              <w:jc w:val="right"/>
              <w:rPr>
                <w:rFonts w:hint="eastAsia"/>
                <w:sz w:val="18"/>
                <w:szCs w:val="18"/>
              </w:rPr>
            </w:pPr>
            <w:r>
              <w:rPr>
                <w:rFonts w:ascii="Arial Narrow" w:hAnsi="Arial Narrow" w:eastAsia="等线"/>
                <w:color w:val="000000"/>
                <w:szCs w:val="21"/>
              </w:rPr>
              <w:t>627,439,753.39</w:t>
            </w:r>
          </w:p>
        </w:tc>
      </w:tr>
    </w:tbl>
    <w:p w14:paraId="5E24252A">
      <w:pPr>
        <w:rPr>
          <w:rFonts w:hint="eastAsia"/>
        </w:rPr>
      </w:pPr>
    </w:p>
    <w:p w14:paraId="34E46DA2">
      <w:pPr>
        <w:rPr>
          <w:rFonts w:hint="eastAsia"/>
        </w:rPr>
        <w:sectPr>
          <w:pgSz w:w="16838" w:h="11906" w:orient="landscape"/>
          <w:pgMar w:top="1276" w:right="1440" w:bottom="1797" w:left="1525" w:header="856" w:footer="992" w:gutter="0"/>
          <w:cols w:space="425" w:num="1"/>
          <w:docGrid w:linePitch="312" w:charSpace="0"/>
        </w:sectPr>
      </w:pPr>
    </w:p>
    <w:p w14:paraId="6FCF78B5">
      <w:pPr>
        <w:rPr>
          <w:rFonts w:hint="eastAsia"/>
        </w:rPr>
      </w:pPr>
    </w:p>
    <w:p w14:paraId="33124F64">
      <w:pPr>
        <w:pStyle w:val="71"/>
        <w:numPr>
          <w:ilvl w:val="3"/>
          <w:numId w:val="121"/>
        </w:numPr>
        <w:ind w:left="426" w:hanging="426"/>
        <w:rPr>
          <w:rFonts w:hint="eastAsia"/>
        </w:rPr>
      </w:pPr>
      <w:r>
        <w:rPr>
          <w:rFonts w:hint="eastAsia"/>
        </w:rPr>
        <w:t>按坏账计提方法分类披露</w:t>
      </w:r>
    </w:p>
    <w:sdt>
      <w:sdtPr>
        <w:alias w:val="是否适用：按坏账计提方法分类披露[双击切换]"/>
        <w:tag w:val="_GBC_b88f58fcc61342f3b795c44388b6782b"/>
        <w:id w:val="-84303223"/>
        <w:placeholder>
          <w:docPart w:val="GBC22222222222222222222222222222"/>
        </w:placeholder>
      </w:sdtPr>
      <w:sdtContent>
        <w:p w14:paraId="607C8EA3">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78DEDB">
      <w:pPr>
        <w:pStyle w:val="109"/>
        <w:autoSpaceDE w:val="0"/>
        <w:autoSpaceDN w:val="0"/>
        <w:adjustRightInd w:val="0"/>
        <w:ind w:left="425" w:right="105" w:firstLine="0" w:firstLineChars="0"/>
        <w:jc w:val="right"/>
        <w:rPr>
          <w:szCs w:val="21"/>
        </w:rPr>
      </w:pPr>
      <w:r>
        <w:rPr>
          <w:rFonts w:hint="eastAsia"/>
          <w:szCs w:val="21"/>
        </w:rPr>
        <w:t>单位：</w:t>
      </w:r>
      <w:sdt>
        <w:sdtPr>
          <w:rPr>
            <w:rFonts w:hint="eastAsia"/>
            <w:szCs w:val="21"/>
          </w:rPr>
          <w:alias w:val="单位：按坏账计提方法分类披露"/>
          <w:tag w:val="_GBC_bd420b8bfb1348be9783552f5fd7a05e"/>
          <w:id w:val="-132472981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坏账计提方法分类披露"/>
          <w:tag w:val="_GBC_3ac94de7648b4b0f979b720c33955d79"/>
          <w:id w:val="-4429272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417"/>
        <w:gridCol w:w="851"/>
        <w:gridCol w:w="1417"/>
        <w:gridCol w:w="993"/>
        <w:gridCol w:w="1558"/>
        <w:gridCol w:w="1417"/>
        <w:gridCol w:w="851"/>
        <w:gridCol w:w="1334"/>
        <w:gridCol w:w="1056"/>
        <w:gridCol w:w="1414"/>
      </w:tblGrid>
      <w:tr w14:paraId="70C5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c1f44ed4b1a04d33962261a361bb9b1b"/>
            <w:id w:val="-1505512038"/>
          </w:sdtPr>
          <w:sdtContent>
            <w:tc>
              <w:tcPr>
                <w:tcW w:w="561" w:type="pct"/>
                <w:vMerge w:val="restart"/>
                <w:tcBorders>
                  <w:top w:val="single" w:color="auto" w:sz="4" w:space="0"/>
                  <w:left w:val="single" w:color="auto" w:sz="4" w:space="0"/>
                  <w:right w:val="single" w:color="auto" w:sz="4" w:space="0"/>
                </w:tcBorders>
                <w:vAlign w:val="center"/>
              </w:tcPr>
              <w:p w14:paraId="290A30A8">
                <w:pPr>
                  <w:jc w:val="center"/>
                  <w:rPr>
                    <w:rFonts w:hint="eastAsia"/>
                    <w:szCs w:val="21"/>
                  </w:rPr>
                </w:pPr>
                <w:r>
                  <w:rPr>
                    <w:rFonts w:hint="eastAsia"/>
                    <w:szCs w:val="21"/>
                  </w:rPr>
                  <w:t>类别</w:t>
                </w:r>
              </w:p>
            </w:tc>
          </w:sdtContent>
        </w:sdt>
        <w:sdt>
          <w:sdtPr>
            <w:tag w:val="_PLD_a9d390643c964401aa5f9b3500e0b907"/>
            <w:id w:val="1005259136"/>
          </w:sdtPr>
          <w:sdtContent>
            <w:tc>
              <w:tcPr>
                <w:tcW w:w="2249" w:type="pct"/>
                <w:gridSpan w:val="5"/>
                <w:tcBorders>
                  <w:top w:val="single" w:color="auto" w:sz="4" w:space="0"/>
                  <w:left w:val="single" w:color="auto" w:sz="4" w:space="0"/>
                  <w:right w:val="single" w:color="auto" w:sz="4" w:space="0"/>
                </w:tcBorders>
                <w:vAlign w:val="center"/>
              </w:tcPr>
              <w:p w14:paraId="06F9603F">
                <w:pPr>
                  <w:autoSpaceDE w:val="0"/>
                  <w:autoSpaceDN w:val="0"/>
                  <w:adjustRightInd w:val="0"/>
                  <w:snapToGrid w:val="0"/>
                  <w:spacing w:line="240" w:lineRule="atLeast"/>
                  <w:jc w:val="center"/>
                  <w:rPr>
                    <w:rFonts w:hint="eastAsia"/>
                    <w:szCs w:val="21"/>
                  </w:rPr>
                </w:pPr>
                <w:r>
                  <w:rPr>
                    <w:rFonts w:hint="eastAsia"/>
                    <w:szCs w:val="21"/>
                  </w:rPr>
                  <w:t>期末余额</w:t>
                </w:r>
              </w:p>
            </w:tc>
          </w:sdtContent>
        </w:sdt>
        <w:sdt>
          <w:sdtPr>
            <w:tag w:val="_PLD_1648e2d0a2e043a1b5e331d43977d521"/>
            <w:id w:val="-952401274"/>
          </w:sdtPr>
          <w:sdtContent>
            <w:tc>
              <w:tcPr>
                <w:tcW w:w="2190" w:type="pct"/>
                <w:gridSpan w:val="5"/>
                <w:tcBorders>
                  <w:top w:val="single" w:color="auto" w:sz="4" w:space="0"/>
                  <w:left w:val="single" w:color="auto" w:sz="4" w:space="0"/>
                  <w:right w:val="single" w:color="auto" w:sz="4" w:space="0"/>
                </w:tcBorders>
                <w:vAlign w:val="center"/>
              </w:tcPr>
              <w:p w14:paraId="27EE01BE">
                <w:pPr>
                  <w:autoSpaceDE w:val="0"/>
                  <w:autoSpaceDN w:val="0"/>
                  <w:adjustRightInd w:val="0"/>
                  <w:snapToGrid w:val="0"/>
                  <w:spacing w:line="240" w:lineRule="atLeast"/>
                  <w:jc w:val="center"/>
                  <w:rPr>
                    <w:rFonts w:hint="eastAsia"/>
                    <w:szCs w:val="21"/>
                  </w:rPr>
                </w:pPr>
                <w:r>
                  <w:rPr>
                    <w:rFonts w:hint="eastAsia"/>
                    <w:szCs w:val="21"/>
                  </w:rPr>
                  <w:t>期初余额</w:t>
                </w:r>
              </w:p>
            </w:tc>
          </w:sdtContent>
        </w:sdt>
      </w:tr>
      <w:tr w14:paraId="0094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561" w:type="pct"/>
            <w:vMerge w:val="continue"/>
            <w:tcBorders>
              <w:left w:val="single" w:color="auto" w:sz="4" w:space="0"/>
              <w:right w:val="single" w:color="auto" w:sz="4" w:space="0"/>
            </w:tcBorders>
            <w:vAlign w:val="center"/>
          </w:tcPr>
          <w:p w14:paraId="67B128B8">
            <w:pPr>
              <w:rPr>
                <w:rFonts w:hint="eastAsia"/>
                <w:szCs w:val="21"/>
              </w:rPr>
            </w:pPr>
          </w:p>
        </w:tc>
        <w:sdt>
          <w:sdtPr>
            <w:tag w:val="_PLD_3728122722094c6c87dbbc3d1d8391b6"/>
            <w:id w:val="-1641179089"/>
          </w:sdtPr>
          <w:sdtContent>
            <w:tc>
              <w:tcPr>
                <w:tcW w:w="818" w:type="pct"/>
                <w:gridSpan w:val="2"/>
                <w:tcBorders>
                  <w:top w:val="single" w:color="auto" w:sz="4" w:space="0"/>
                  <w:left w:val="single" w:color="auto" w:sz="4" w:space="0"/>
                  <w:bottom w:val="single" w:color="auto" w:sz="4" w:space="0"/>
                  <w:right w:val="single" w:color="auto" w:sz="4" w:space="0"/>
                </w:tcBorders>
                <w:vAlign w:val="center"/>
              </w:tcPr>
              <w:p w14:paraId="12740279">
                <w:pPr>
                  <w:jc w:val="center"/>
                  <w:rPr>
                    <w:rFonts w:hint="eastAsia"/>
                    <w:szCs w:val="21"/>
                  </w:rPr>
                </w:pPr>
                <w:r>
                  <w:rPr>
                    <w:rFonts w:hint="eastAsia"/>
                    <w:szCs w:val="21"/>
                  </w:rPr>
                  <w:t>账面余额</w:t>
                </w:r>
              </w:p>
            </w:tc>
          </w:sdtContent>
        </w:sdt>
        <w:sdt>
          <w:sdtPr>
            <w:tag w:val="_PLD_45cda725567e44bf952a7c8d03586e93"/>
            <w:id w:val="-1455860934"/>
          </w:sdtPr>
          <w:sdtContent>
            <w:tc>
              <w:tcPr>
                <w:tcW w:w="869" w:type="pct"/>
                <w:gridSpan w:val="2"/>
                <w:tcBorders>
                  <w:top w:val="single" w:color="auto" w:sz="4" w:space="0"/>
                  <w:left w:val="single" w:color="auto" w:sz="4" w:space="0"/>
                  <w:bottom w:val="single" w:color="auto" w:sz="4" w:space="0"/>
                  <w:right w:val="single" w:color="auto" w:sz="4" w:space="0"/>
                </w:tcBorders>
                <w:vAlign w:val="center"/>
              </w:tcPr>
              <w:p w14:paraId="078F9774">
                <w:pPr>
                  <w:jc w:val="center"/>
                  <w:rPr>
                    <w:rFonts w:hint="eastAsia"/>
                    <w:szCs w:val="21"/>
                  </w:rPr>
                </w:pPr>
                <w:r>
                  <w:rPr>
                    <w:rFonts w:hint="eastAsia"/>
                    <w:szCs w:val="21"/>
                  </w:rPr>
                  <w:t>坏账准备</w:t>
                </w:r>
              </w:p>
            </w:tc>
          </w:sdtContent>
        </w:sdt>
        <w:sdt>
          <w:sdtPr>
            <w:tag w:val="_PLD_b5d693e10b584218a2fcb7c20c5f82d8"/>
            <w:id w:val="520903497"/>
          </w:sdtPr>
          <w:sdtContent>
            <w:tc>
              <w:tcPr>
                <w:tcW w:w="562" w:type="pct"/>
                <w:vMerge w:val="restart"/>
                <w:tcBorders>
                  <w:top w:val="single" w:color="auto" w:sz="4" w:space="0"/>
                  <w:left w:val="single" w:color="auto" w:sz="4" w:space="0"/>
                  <w:right w:val="single" w:color="auto" w:sz="4" w:space="0"/>
                </w:tcBorders>
                <w:vAlign w:val="center"/>
              </w:tcPr>
              <w:p w14:paraId="2AB1F929">
                <w:pPr>
                  <w:jc w:val="center"/>
                  <w:rPr>
                    <w:rFonts w:hint="eastAsia"/>
                    <w:szCs w:val="21"/>
                  </w:rPr>
                </w:pPr>
                <w:r>
                  <w:rPr>
                    <w:rFonts w:hint="eastAsia"/>
                    <w:szCs w:val="21"/>
                  </w:rPr>
                  <w:t>账面</w:t>
                </w:r>
              </w:p>
              <w:p w14:paraId="08B06055">
                <w:pPr>
                  <w:jc w:val="center"/>
                  <w:rPr>
                    <w:rFonts w:hint="eastAsia"/>
                    <w:szCs w:val="21"/>
                  </w:rPr>
                </w:pPr>
                <w:r>
                  <w:rPr>
                    <w:rFonts w:hint="eastAsia"/>
                    <w:szCs w:val="21"/>
                  </w:rPr>
                  <w:t>价值</w:t>
                </w:r>
              </w:p>
            </w:tc>
          </w:sdtContent>
        </w:sdt>
        <w:sdt>
          <w:sdtPr>
            <w:tag w:val="_PLD_91cf019e97d04cb7980e45e7ee7f25c6"/>
            <w:id w:val="1185403891"/>
          </w:sdtPr>
          <w:sdtContent>
            <w:tc>
              <w:tcPr>
                <w:tcW w:w="818" w:type="pct"/>
                <w:gridSpan w:val="2"/>
                <w:tcBorders>
                  <w:top w:val="single" w:color="auto" w:sz="4" w:space="0"/>
                  <w:left w:val="single" w:color="auto" w:sz="4" w:space="0"/>
                  <w:right w:val="single" w:color="auto" w:sz="4" w:space="0"/>
                </w:tcBorders>
                <w:vAlign w:val="center"/>
              </w:tcPr>
              <w:p w14:paraId="716C4676">
                <w:pPr>
                  <w:jc w:val="center"/>
                  <w:rPr>
                    <w:rFonts w:hint="eastAsia"/>
                    <w:szCs w:val="21"/>
                  </w:rPr>
                </w:pPr>
                <w:r>
                  <w:rPr>
                    <w:rFonts w:hint="eastAsia"/>
                    <w:szCs w:val="21"/>
                  </w:rPr>
                  <w:t>账面余额</w:t>
                </w:r>
              </w:p>
            </w:tc>
          </w:sdtContent>
        </w:sdt>
        <w:sdt>
          <w:sdtPr>
            <w:tag w:val="_PLD_a0939ab7fd2844cda721292f9bdbe8a9"/>
            <w:id w:val="1862554238"/>
          </w:sdtPr>
          <w:sdtContent>
            <w:tc>
              <w:tcPr>
                <w:tcW w:w="862" w:type="pct"/>
                <w:gridSpan w:val="2"/>
                <w:tcBorders>
                  <w:top w:val="single" w:color="auto" w:sz="4" w:space="0"/>
                  <w:left w:val="single" w:color="auto" w:sz="4" w:space="0"/>
                  <w:right w:val="single" w:color="auto" w:sz="4" w:space="0"/>
                </w:tcBorders>
                <w:vAlign w:val="center"/>
              </w:tcPr>
              <w:p w14:paraId="61D815CD">
                <w:pPr>
                  <w:jc w:val="center"/>
                  <w:rPr>
                    <w:rFonts w:hint="eastAsia"/>
                    <w:szCs w:val="21"/>
                  </w:rPr>
                </w:pPr>
                <w:r>
                  <w:rPr>
                    <w:rFonts w:hint="eastAsia"/>
                    <w:szCs w:val="21"/>
                  </w:rPr>
                  <w:t>坏账准备</w:t>
                </w:r>
              </w:p>
            </w:tc>
          </w:sdtContent>
        </w:sdt>
        <w:sdt>
          <w:sdtPr>
            <w:tag w:val="_PLD_57c2a684efce445789de9538ca62e055"/>
            <w:id w:val="70310965"/>
          </w:sdtPr>
          <w:sdtContent>
            <w:tc>
              <w:tcPr>
                <w:tcW w:w="510" w:type="pct"/>
                <w:vMerge w:val="restart"/>
                <w:tcBorders>
                  <w:top w:val="single" w:color="auto" w:sz="4" w:space="0"/>
                  <w:left w:val="single" w:color="auto" w:sz="4" w:space="0"/>
                  <w:right w:val="single" w:color="auto" w:sz="4" w:space="0"/>
                </w:tcBorders>
                <w:vAlign w:val="center"/>
              </w:tcPr>
              <w:p w14:paraId="39C939E8">
                <w:pPr>
                  <w:jc w:val="center"/>
                  <w:rPr>
                    <w:rFonts w:hint="eastAsia"/>
                    <w:szCs w:val="21"/>
                  </w:rPr>
                </w:pPr>
                <w:r>
                  <w:rPr>
                    <w:rFonts w:hint="eastAsia"/>
                    <w:szCs w:val="21"/>
                  </w:rPr>
                  <w:t>账面</w:t>
                </w:r>
              </w:p>
              <w:p w14:paraId="77BF4A5A">
                <w:pPr>
                  <w:jc w:val="center"/>
                  <w:rPr>
                    <w:rFonts w:hint="eastAsia"/>
                    <w:szCs w:val="21"/>
                  </w:rPr>
                </w:pPr>
                <w:r>
                  <w:rPr>
                    <w:rFonts w:hint="eastAsia"/>
                    <w:szCs w:val="21"/>
                  </w:rPr>
                  <w:t>价值</w:t>
                </w:r>
              </w:p>
            </w:tc>
          </w:sdtContent>
        </w:sdt>
      </w:tr>
      <w:tr w14:paraId="64A1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61" w:type="pct"/>
            <w:vMerge w:val="continue"/>
            <w:tcBorders>
              <w:left w:val="single" w:color="auto" w:sz="4" w:space="0"/>
              <w:bottom w:val="single" w:color="auto" w:sz="4" w:space="0"/>
              <w:right w:val="single" w:color="auto" w:sz="4" w:space="0"/>
            </w:tcBorders>
            <w:vAlign w:val="center"/>
          </w:tcPr>
          <w:p w14:paraId="545D4E15">
            <w:pPr>
              <w:rPr>
                <w:rFonts w:hint="eastAsia"/>
                <w:szCs w:val="21"/>
              </w:rPr>
            </w:pPr>
          </w:p>
        </w:tc>
        <w:sdt>
          <w:sdtPr>
            <w:tag w:val="_PLD_79f42c5148e442c4896219a8569d3c88"/>
            <w:id w:val="1002244983"/>
          </w:sdtPr>
          <w:sdtContent>
            <w:tc>
              <w:tcPr>
                <w:tcW w:w="511" w:type="pct"/>
                <w:tcBorders>
                  <w:left w:val="single" w:color="auto" w:sz="4" w:space="0"/>
                  <w:bottom w:val="single" w:color="auto" w:sz="4" w:space="0"/>
                  <w:right w:val="single" w:color="auto" w:sz="4" w:space="0"/>
                </w:tcBorders>
                <w:vAlign w:val="center"/>
              </w:tcPr>
              <w:p w14:paraId="1A894B5B">
                <w:pPr>
                  <w:jc w:val="center"/>
                  <w:rPr>
                    <w:rFonts w:hint="eastAsia"/>
                    <w:szCs w:val="21"/>
                  </w:rPr>
                </w:pPr>
                <w:r>
                  <w:rPr>
                    <w:rFonts w:hint="eastAsia"/>
                    <w:szCs w:val="21"/>
                  </w:rPr>
                  <w:t>金额</w:t>
                </w:r>
              </w:p>
            </w:tc>
          </w:sdtContent>
        </w:sdt>
        <w:sdt>
          <w:sdtPr>
            <w:tag w:val="_PLD_b2812c729f8b42eb8ec4be1270c8bef7"/>
            <w:id w:val="610562530"/>
          </w:sdtPr>
          <w:sdtContent>
            <w:tc>
              <w:tcPr>
                <w:tcW w:w="307" w:type="pct"/>
                <w:tcBorders>
                  <w:left w:val="single" w:color="auto" w:sz="4" w:space="0"/>
                  <w:bottom w:val="single" w:color="auto" w:sz="4" w:space="0"/>
                  <w:right w:val="single" w:color="auto" w:sz="4" w:space="0"/>
                </w:tcBorders>
                <w:vAlign w:val="center"/>
              </w:tcPr>
              <w:p w14:paraId="201CAB31">
                <w:pPr>
                  <w:jc w:val="center"/>
                  <w:rPr>
                    <w:rFonts w:hint="eastAsia"/>
                    <w:szCs w:val="21"/>
                  </w:rPr>
                </w:pPr>
                <w:r>
                  <w:rPr>
                    <w:rFonts w:hint="eastAsia"/>
                    <w:szCs w:val="21"/>
                  </w:rPr>
                  <w:t>比例</w:t>
                </w:r>
                <w:r>
                  <w:rPr>
                    <w:szCs w:val="21"/>
                  </w:rPr>
                  <w:t>(%)</w:t>
                </w:r>
              </w:p>
            </w:tc>
          </w:sdtContent>
        </w:sdt>
        <w:sdt>
          <w:sdtPr>
            <w:tag w:val="_PLD_e53419d2dc934e91bc0da11a8e5064ef"/>
            <w:id w:val="1461843459"/>
          </w:sdtPr>
          <w:sdtContent>
            <w:tc>
              <w:tcPr>
                <w:tcW w:w="511" w:type="pct"/>
                <w:tcBorders>
                  <w:left w:val="single" w:color="auto" w:sz="4" w:space="0"/>
                  <w:bottom w:val="single" w:color="auto" w:sz="4" w:space="0"/>
                  <w:right w:val="single" w:color="auto" w:sz="4" w:space="0"/>
                </w:tcBorders>
                <w:vAlign w:val="center"/>
              </w:tcPr>
              <w:p w14:paraId="06E03512">
                <w:pPr>
                  <w:jc w:val="center"/>
                  <w:rPr>
                    <w:rFonts w:hint="eastAsia"/>
                    <w:szCs w:val="21"/>
                  </w:rPr>
                </w:pPr>
                <w:r>
                  <w:rPr>
                    <w:rFonts w:hint="eastAsia"/>
                    <w:szCs w:val="21"/>
                  </w:rPr>
                  <w:t>金额</w:t>
                </w:r>
              </w:p>
            </w:tc>
          </w:sdtContent>
        </w:sdt>
        <w:sdt>
          <w:sdtPr>
            <w:tag w:val="_PLD_8fc1623422b24a81b3dc15cd79f7512f"/>
            <w:id w:val="969711292"/>
          </w:sdtPr>
          <w:sdtContent>
            <w:tc>
              <w:tcPr>
                <w:tcW w:w="358" w:type="pct"/>
                <w:tcBorders>
                  <w:left w:val="single" w:color="auto" w:sz="4" w:space="0"/>
                  <w:bottom w:val="single" w:color="auto" w:sz="4" w:space="0"/>
                  <w:right w:val="single" w:color="auto" w:sz="4" w:space="0"/>
                </w:tcBorders>
                <w:vAlign w:val="center"/>
              </w:tcPr>
              <w:p w14:paraId="6260A4D7">
                <w:pPr>
                  <w:jc w:val="center"/>
                  <w:rPr>
                    <w:rFonts w:hint="eastAsia"/>
                    <w:szCs w:val="21"/>
                  </w:rPr>
                </w:pPr>
                <w:r>
                  <w:rPr>
                    <w:rFonts w:hint="eastAsia"/>
                    <w:szCs w:val="21"/>
                  </w:rPr>
                  <w:t>计提比例</w:t>
                </w:r>
                <w:r>
                  <w:rPr>
                    <w:szCs w:val="21"/>
                  </w:rPr>
                  <w:t>(%)</w:t>
                </w:r>
              </w:p>
            </w:tc>
          </w:sdtContent>
        </w:sdt>
        <w:tc>
          <w:tcPr>
            <w:tcW w:w="562" w:type="pct"/>
            <w:vMerge w:val="continue"/>
            <w:tcBorders>
              <w:left w:val="single" w:color="auto" w:sz="4" w:space="0"/>
              <w:bottom w:val="single" w:color="auto" w:sz="4" w:space="0"/>
              <w:right w:val="single" w:color="auto" w:sz="4" w:space="0"/>
            </w:tcBorders>
            <w:vAlign w:val="center"/>
          </w:tcPr>
          <w:p w14:paraId="30A0B9E0">
            <w:pPr>
              <w:jc w:val="center"/>
              <w:rPr>
                <w:rFonts w:hint="eastAsia"/>
                <w:szCs w:val="21"/>
              </w:rPr>
            </w:pPr>
          </w:p>
        </w:tc>
        <w:sdt>
          <w:sdtPr>
            <w:tag w:val="_PLD_9f3942e9c0ba424695638f4161f4e42d"/>
            <w:id w:val="-482849786"/>
          </w:sdtPr>
          <w:sdtContent>
            <w:tc>
              <w:tcPr>
                <w:tcW w:w="511" w:type="pct"/>
                <w:tcBorders>
                  <w:left w:val="single" w:color="auto" w:sz="4" w:space="0"/>
                  <w:bottom w:val="single" w:color="auto" w:sz="4" w:space="0"/>
                  <w:right w:val="single" w:color="auto" w:sz="4" w:space="0"/>
                </w:tcBorders>
                <w:vAlign w:val="center"/>
              </w:tcPr>
              <w:p w14:paraId="2107A430">
                <w:pPr>
                  <w:jc w:val="center"/>
                  <w:rPr>
                    <w:rFonts w:hint="eastAsia"/>
                    <w:szCs w:val="21"/>
                  </w:rPr>
                </w:pPr>
                <w:r>
                  <w:rPr>
                    <w:rFonts w:hint="eastAsia"/>
                    <w:szCs w:val="21"/>
                  </w:rPr>
                  <w:t>金额</w:t>
                </w:r>
              </w:p>
            </w:tc>
          </w:sdtContent>
        </w:sdt>
        <w:sdt>
          <w:sdtPr>
            <w:tag w:val="_PLD_f3235b18b60547df8e3d3385802089f4"/>
            <w:id w:val="-459107749"/>
          </w:sdtPr>
          <w:sdtContent>
            <w:tc>
              <w:tcPr>
                <w:tcW w:w="307" w:type="pct"/>
                <w:tcBorders>
                  <w:left w:val="single" w:color="auto" w:sz="4" w:space="0"/>
                  <w:bottom w:val="single" w:color="auto" w:sz="4" w:space="0"/>
                  <w:right w:val="single" w:color="auto" w:sz="4" w:space="0"/>
                </w:tcBorders>
                <w:vAlign w:val="center"/>
              </w:tcPr>
              <w:p w14:paraId="3D3288CC">
                <w:pPr>
                  <w:jc w:val="center"/>
                  <w:rPr>
                    <w:rFonts w:hint="eastAsia"/>
                    <w:szCs w:val="21"/>
                  </w:rPr>
                </w:pPr>
                <w:r>
                  <w:rPr>
                    <w:rFonts w:hint="eastAsia"/>
                    <w:szCs w:val="21"/>
                  </w:rPr>
                  <w:t>比例</w:t>
                </w:r>
                <w:r>
                  <w:rPr>
                    <w:szCs w:val="21"/>
                  </w:rPr>
                  <w:t>(%)</w:t>
                </w:r>
              </w:p>
            </w:tc>
          </w:sdtContent>
        </w:sdt>
        <w:sdt>
          <w:sdtPr>
            <w:tag w:val="_PLD_95314b7a1e474331887eccdfdd39852f"/>
            <w:id w:val="51889948"/>
          </w:sdtPr>
          <w:sdtContent>
            <w:tc>
              <w:tcPr>
                <w:tcW w:w="481" w:type="pct"/>
                <w:tcBorders>
                  <w:left w:val="single" w:color="auto" w:sz="4" w:space="0"/>
                  <w:bottom w:val="single" w:color="auto" w:sz="4" w:space="0"/>
                  <w:right w:val="single" w:color="auto" w:sz="4" w:space="0"/>
                </w:tcBorders>
                <w:vAlign w:val="center"/>
              </w:tcPr>
              <w:p w14:paraId="56B6DF43">
                <w:pPr>
                  <w:jc w:val="center"/>
                  <w:rPr>
                    <w:rFonts w:hint="eastAsia"/>
                    <w:szCs w:val="21"/>
                  </w:rPr>
                </w:pPr>
                <w:r>
                  <w:rPr>
                    <w:rFonts w:hint="eastAsia"/>
                    <w:szCs w:val="21"/>
                  </w:rPr>
                  <w:t>金额</w:t>
                </w:r>
              </w:p>
            </w:tc>
          </w:sdtContent>
        </w:sdt>
        <w:sdt>
          <w:sdtPr>
            <w:tag w:val="_PLD_39204f5cc16e488ba0242450ae9e4aad"/>
            <w:id w:val="-260380710"/>
          </w:sdtPr>
          <w:sdtContent>
            <w:tc>
              <w:tcPr>
                <w:tcW w:w="381" w:type="pct"/>
                <w:tcBorders>
                  <w:left w:val="single" w:color="auto" w:sz="4" w:space="0"/>
                  <w:bottom w:val="single" w:color="auto" w:sz="4" w:space="0"/>
                  <w:right w:val="single" w:color="auto" w:sz="4" w:space="0"/>
                </w:tcBorders>
                <w:vAlign w:val="center"/>
              </w:tcPr>
              <w:p w14:paraId="409FEF6C">
                <w:pPr>
                  <w:jc w:val="center"/>
                  <w:rPr>
                    <w:rFonts w:hint="eastAsia"/>
                    <w:szCs w:val="21"/>
                  </w:rPr>
                </w:pPr>
                <w:r>
                  <w:rPr>
                    <w:rFonts w:hint="eastAsia"/>
                    <w:szCs w:val="21"/>
                  </w:rPr>
                  <w:t>计提比例</w:t>
                </w:r>
                <w:r>
                  <w:rPr>
                    <w:szCs w:val="21"/>
                  </w:rPr>
                  <w:t>(%)</w:t>
                </w:r>
              </w:p>
            </w:tc>
          </w:sdtContent>
        </w:sdt>
        <w:tc>
          <w:tcPr>
            <w:tcW w:w="510" w:type="pct"/>
            <w:vMerge w:val="continue"/>
            <w:tcBorders>
              <w:left w:val="single" w:color="auto" w:sz="4" w:space="0"/>
              <w:bottom w:val="single" w:color="auto" w:sz="4" w:space="0"/>
              <w:right w:val="single" w:color="auto" w:sz="4" w:space="0"/>
            </w:tcBorders>
            <w:vAlign w:val="center"/>
          </w:tcPr>
          <w:p w14:paraId="52B0D328">
            <w:pPr>
              <w:jc w:val="center"/>
              <w:rPr>
                <w:rFonts w:hint="eastAsia"/>
                <w:szCs w:val="21"/>
              </w:rPr>
            </w:pPr>
          </w:p>
        </w:tc>
      </w:tr>
      <w:tr w14:paraId="18FE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61" w:type="pct"/>
            <w:tcBorders>
              <w:top w:val="single" w:color="auto" w:sz="4" w:space="0"/>
              <w:left w:val="single" w:color="auto" w:sz="4" w:space="0"/>
              <w:bottom w:val="single" w:color="auto" w:sz="4" w:space="0"/>
              <w:right w:val="single" w:color="auto" w:sz="4" w:space="0"/>
            </w:tcBorders>
            <w:vAlign w:val="center"/>
          </w:tcPr>
          <w:p w14:paraId="239D25CE">
            <w:pPr>
              <w:rPr>
                <w:rFonts w:hint="eastAsia"/>
                <w:szCs w:val="21"/>
              </w:rPr>
            </w:pPr>
            <w:r>
              <w:rPr>
                <w:rFonts w:hint="eastAsia"/>
                <w:szCs w:val="21"/>
              </w:rPr>
              <w:t>按单项计提坏账准备</w:t>
            </w:r>
          </w:p>
        </w:tc>
        <w:tc>
          <w:tcPr>
            <w:tcW w:w="511" w:type="pct"/>
            <w:tcBorders>
              <w:top w:val="single" w:color="auto" w:sz="4" w:space="0"/>
              <w:left w:val="single" w:color="auto" w:sz="4" w:space="0"/>
              <w:bottom w:val="single" w:color="auto" w:sz="4" w:space="0"/>
              <w:right w:val="single" w:color="auto" w:sz="4" w:space="0"/>
            </w:tcBorders>
            <w:vAlign w:val="center"/>
          </w:tcPr>
          <w:p w14:paraId="5EC017D7">
            <w:pPr>
              <w:jc w:val="right"/>
              <w:rPr>
                <w:rFonts w:hint="eastAsia"/>
                <w:sz w:val="18"/>
                <w:szCs w:val="18"/>
              </w:rPr>
            </w:pPr>
            <w:r>
              <w:rPr>
                <w:rFonts w:ascii="Arial Narrow" w:hAnsi="Arial Narrow" w:eastAsia="等线"/>
                <w:color w:val="000000"/>
                <w:szCs w:val="21"/>
              </w:rPr>
              <w:t>748,924,093.63</w:t>
            </w:r>
          </w:p>
        </w:tc>
        <w:tc>
          <w:tcPr>
            <w:tcW w:w="307" w:type="pct"/>
            <w:tcBorders>
              <w:top w:val="single" w:color="auto" w:sz="4" w:space="0"/>
              <w:left w:val="single" w:color="auto" w:sz="4" w:space="0"/>
              <w:bottom w:val="single" w:color="auto" w:sz="4" w:space="0"/>
              <w:right w:val="single" w:color="auto" w:sz="4" w:space="0"/>
            </w:tcBorders>
            <w:vAlign w:val="center"/>
          </w:tcPr>
          <w:p w14:paraId="0A5F824D">
            <w:pPr>
              <w:jc w:val="right"/>
              <w:rPr>
                <w:rFonts w:hint="eastAsia"/>
                <w:sz w:val="18"/>
                <w:szCs w:val="18"/>
              </w:rPr>
            </w:pPr>
            <w:r>
              <w:rPr>
                <w:rFonts w:ascii="Arial Narrow" w:hAnsi="Arial Narrow" w:eastAsia="等线"/>
                <w:color w:val="000000"/>
                <w:szCs w:val="21"/>
              </w:rPr>
              <w:t>83.36</w:t>
            </w:r>
          </w:p>
        </w:tc>
        <w:tc>
          <w:tcPr>
            <w:tcW w:w="511" w:type="pct"/>
            <w:tcBorders>
              <w:top w:val="single" w:color="auto" w:sz="4" w:space="0"/>
              <w:left w:val="single" w:color="auto" w:sz="4" w:space="0"/>
              <w:bottom w:val="single" w:color="auto" w:sz="4" w:space="0"/>
              <w:right w:val="single" w:color="auto" w:sz="4" w:space="0"/>
            </w:tcBorders>
            <w:vAlign w:val="center"/>
          </w:tcPr>
          <w:p w14:paraId="0D168CBB">
            <w:pPr>
              <w:jc w:val="right"/>
              <w:rPr>
                <w:rFonts w:hint="eastAsia"/>
                <w:sz w:val="18"/>
                <w:szCs w:val="18"/>
              </w:rPr>
            </w:pPr>
            <w:r>
              <w:rPr>
                <w:rFonts w:ascii="Arial Narrow" w:hAnsi="Arial Narrow" w:eastAsia="等线"/>
                <w:color w:val="000000"/>
                <w:szCs w:val="21"/>
              </w:rPr>
              <w:t>77,036,686.49</w:t>
            </w:r>
          </w:p>
        </w:tc>
        <w:tc>
          <w:tcPr>
            <w:tcW w:w="358" w:type="pct"/>
            <w:tcBorders>
              <w:top w:val="single" w:color="auto" w:sz="4" w:space="0"/>
              <w:left w:val="single" w:color="auto" w:sz="4" w:space="0"/>
              <w:bottom w:val="single" w:color="auto" w:sz="4" w:space="0"/>
              <w:right w:val="single" w:color="auto" w:sz="4" w:space="0"/>
            </w:tcBorders>
            <w:vAlign w:val="center"/>
          </w:tcPr>
          <w:p w14:paraId="3521A3B9">
            <w:pPr>
              <w:jc w:val="right"/>
              <w:rPr>
                <w:rFonts w:hint="eastAsia"/>
                <w:sz w:val="18"/>
                <w:szCs w:val="18"/>
              </w:rPr>
            </w:pPr>
            <w:r>
              <w:rPr>
                <w:rFonts w:ascii="Arial Narrow" w:hAnsi="Arial Narrow" w:eastAsia="等线"/>
                <w:color w:val="000000"/>
                <w:szCs w:val="21"/>
              </w:rPr>
              <w:t>10.29</w:t>
            </w:r>
          </w:p>
        </w:tc>
        <w:tc>
          <w:tcPr>
            <w:tcW w:w="562" w:type="pct"/>
            <w:tcBorders>
              <w:top w:val="single" w:color="auto" w:sz="4" w:space="0"/>
              <w:left w:val="single" w:color="auto" w:sz="4" w:space="0"/>
              <w:bottom w:val="single" w:color="auto" w:sz="4" w:space="0"/>
              <w:right w:val="single" w:color="auto" w:sz="4" w:space="0"/>
            </w:tcBorders>
            <w:vAlign w:val="center"/>
          </w:tcPr>
          <w:p w14:paraId="6692B61D">
            <w:pPr>
              <w:jc w:val="right"/>
              <w:rPr>
                <w:rFonts w:hint="eastAsia"/>
                <w:sz w:val="18"/>
                <w:szCs w:val="18"/>
              </w:rPr>
            </w:pPr>
            <w:r>
              <w:rPr>
                <w:rFonts w:ascii="Arial Narrow" w:hAnsi="Arial Narrow" w:eastAsia="等线"/>
                <w:color w:val="000000"/>
                <w:szCs w:val="21"/>
              </w:rPr>
              <w:t>671,887,407.14</w:t>
            </w:r>
          </w:p>
        </w:tc>
        <w:tc>
          <w:tcPr>
            <w:tcW w:w="511" w:type="pct"/>
            <w:tcBorders>
              <w:top w:val="single" w:color="auto" w:sz="4" w:space="0"/>
              <w:left w:val="single" w:color="auto" w:sz="4" w:space="0"/>
              <w:bottom w:val="single" w:color="auto" w:sz="4" w:space="0"/>
              <w:right w:val="single" w:color="auto" w:sz="4" w:space="0"/>
            </w:tcBorders>
            <w:vAlign w:val="center"/>
          </w:tcPr>
          <w:p w14:paraId="2561626F">
            <w:pPr>
              <w:jc w:val="right"/>
              <w:rPr>
                <w:rFonts w:hint="eastAsia"/>
                <w:sz w:val="18"/>
                <w:szCs w:val="18"/>
              </w:rPr>
            </w:pPr>
            <w:r>
              <w:rPr>
                <w:rFonts w:ascii="Arial Narrow" w:hAnsi="Arial Narrow" w:eastAsia="等线"/>
                <w:color w:val="000000"/>
                <w:szCs w:val="21"/>
              </w:rPr>
              <w:t>552,178,393.63</w:t>
            </w:r>
          </w:p>
        </w:tc>
        <w:tc>
          <w:tcPr>
            <w:tcW w:w="307" w:type="pct"/>
            <w:tcBorders>
              <w:top w:val="single" w:color="auto" w:sz="4" w:space="0"/>
              <w:left w:val="single" w:color="auto" w:sz="4" w:space="0"/>
              <w:bottom w:val="single" w:color="auto" w:sz="4" w:space="0"/>
              <w:right w:val="single" w:color="auto" w:sz="4" w:space="0"/>
            </w:tcBorders>
            <w:vAlign w:val="center"/>
          </w:tcPr>
          <w:p w14:paraId="240A0562">
            <w:pPr>
              <w:jc w:val="right"/>
              <w:rPr>
                <w:rFonts w:hint="eastAsia"/>
                <w:sz w:val="18"/>
                <w:szCs w:val="18"/>
              </w:rPr>
            </w:pPr>
            <w:r>
              <w:rPr>
                <w:rFonts w:ascii="Arial Narrow" w:hAnsi="Arial Narrow" w:eastAsia="等线"/>
                <w:color w:val="000000"/>
                <w:szCs w:val="21"/>
              </w:rPr>
              <w:t>80.47</w:t>
            </w:r>
          </w:p>
        </w:tc>
        <w:tc>
          <w:tcPr>
            <w:tcW w:w="481" w:type="pct"/>
            <w:tcBorders>
              <w:top w:val="single" w:color="auto" w:sz="4" w:space="0"/>
              <w:left w:val="single" w:color="auto" w:sz="4" w:space="0"/>
              <w:bottom w:val="single" w:color="auto" w:sz="4" w:space="0"/>
              <w:right w:val="single" w:color="auto" w:sz="4" w:space="0"/>
            </w:tcBorders>
            <w:vAlign w:val="center"/>
          </w:tcPr>
          <w:p w14:paraId="2F7D37E6">
            <w:pPr>
              <w:jc w:val="right"/>
              <w:rPr>
                <w:rFonts w:hint="eastAsia"/>
                <w:sz w:val="18"/>
                <w:szCs w:val="18"/>
              </w:rPr>
            </w:pPr>
            <w:r>
              <w:rPr>
                <w:rFonts w:ascii="Arial Narrow" w:hAnsi="Arial Narrow" w:eastAsia="等线"/>
                <w:color w:val="000000"/>
                <w:szCs w:val="21"/>
              </w:rPr>
              <w:t>5,910,000.00</w:t>
            </w:r>
          </w:p>
        </w:tc>
        <w:tc>
          <w:tcPr>
            <w:tcW w:w="381" w:type="pct"/>
            <w:tcBorders>
              <w:top w:val="single" w:color="auto" w:sz="4" w:space="0"/>
              <w:left w:val="single" w:color="auto" w:sz="4" w:space="0"/>
              <w:bottom w:val="single" w:color="auto" w:sz="4" w:space="0"/>
              <w:right w:val="single" w:color="auto" w:sz="4" w:space="0"/>
            </w:tcBorders>
            <w:vAlign w:val="center"/>
          </w:tcPr>
          <w:p w14:paraId="71D64E57">
            <w:pPr>
              <w:jc w:val="right"/>
              <w:rPr>
                <w:rFonts w:hint="eastAsia"/>
                <w:sz w:val="18"/>
                <w:szCs w:val="18"/>
              </w:rPr>
            </w:pPr>
            <w:r>
              <w:rPr>
                <w:rFonts w:ascii="Arial Narrow" w:hAnsi="Arial Narrow" w:eastAsia="等线"/>
                <w:color w:val="000000"/>
                <w:szCs w:val="21"/>
              </w:rPr>
              <w:t>1.07</w:t>
            </w:r>
          </w:p>
        </w:tc>
        <w:tc>
          <w:tcPr>
            <w:tcW w:w="510" w:type="pct"/>
            <w:tcBorders>
              <w:top w:val="single" w:color="auto" w:sz="4" w:space="0"/>
              <w:left w:val="single" w:color="auto" w:sz="4" w:space="0"/>
              <w:bottom w:val="single" w:color="auto" w:sz="4" w:space="0"/>
              <w:right w:val="single" w:color="auto" w:sz="4" w:space="0"/>
            </w:tcBorders>
            <w:vAlign w:val="center"/>
          </w:tcPr>
          <w:p w14:paraId="45884D00">
            <w:pPr>
              <w:jc w:val="right"/>
              <w:rPr>
                <w:rFonts w:hint="eastAsia"/>
                <w:sz w:val="18"/>
                <w:szCs w:val="18"/>
              </w:rPr>
            </w:pPr>
            <w:r>
              <w:rPr>
                <w:rFonts w:ascii="Arial Narrow" w:hAnsi="Arial Narrow" w:eastAsia="等线"/>
                <w:color w:val="000000"/>
                <w:szCs w:val="21"/>
              </w:rPr>
              <w:t>546,268,393.63</w:t>
            </w:r>
          </w:p>
        </w:tc>
      </w:tr>
      <w:tr w14:paraId="2C7B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vAlign w:val="center"/>
          </w:tcPr>
          <w:sdt>
            <w:sdtPr>
              <w:rPr>
                <w:sz w:val="18"/>
                <w:szCs w:val="18"/>
              </w:rPr>
              <w:tag w:val="_PLD_34974f3c7fb04e16a1fe7aa4186d9a25"/>
              <w:id w:val="-7208812"/>
            </w:sdtPr>
            <w:sdtEndPr>
              <w:rPr>
                <w:sz w:val="18"/>
                <w:szCs w:val="18"/>
              </w:rPr>
            </w:sdtEndPr>
            <w:sdtContent>
              <w:p w14:paraId="040AC6D9">
                <w:pPr>
                  <w:jc w:val="both"/>
                  <w:rPr>
                    <w:rFonts w:hint="eastAsia"/>
                    <w:sz w:val="18"/>
                    <w:szCs w:val="18"/>
                  </w:rPr>
                </w:pPr>
                <w:r>
                  <w:rPr>
                    <w:rFonts w:hint="eastAsia"/>
                    <w:sz w:val="18"/>
                    <w:szCs w:val="18"/>
                  </w:rPr>
                  <w:t>其中：</w:t>
                </w:r>
              </w:p>
            </w:sdtContent>
          </w:sdt>
        </w:tc>
      </w:tr>
      <w:tr w14:paraId="3F2B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61" w:type="pct"/>
            <w:tcBorders>
              <w:top w:val="single" w:color="auto" w:sz="4" w:space="0"/>
              <w:left w:val="single" w:color="auto" w:sz="4" w:space="0"/>
              <w:bottom w:val="single" w:color="auto" w:sz="4" w:space="0"/>
              <w:right w:val="single" w:color="auto" w:sz="4" w:space="0"/>
            </w:tcBorders>
            <w:vAlign w:val="center"/>
          </w:tcPr>
          <w:p w14:paraId="021F5105">
            <w:pPr>
              <w:rPr>
                <w:rFonts w:hint="eastAsia"/>
                <w:szCs w:val="21"/>
              </w:rPr>
            </w:pPr>
            <w:r>
              <w:rPr>
                <w:rFonts w:hint="eastAsia"/>
                <w:szCs w:val="21"/>
              </w:rPr>
              <w:t>按组合计提坏账准备</w:t>
            </w:r>
          </w:p>
        </w:tc>
        <w:tc>
          <w:tcPr>
            <w:tcW w:w="511" w:type="pct"/>
            <w:tcBorders>
              <w:top w:val="single" w:color="auto" w:sz="4" w:space="0"/>
              <w:left w:val="single" w:color="auto" w:sz="4" w:space="0"/>
              <w:bottom w:val="single" w:color="auto" w:sz="4" w:space="0"/>
              <w:right w:val="single" w:color="auto" w:sz="4" w:space="0"/>
            </w:tcBorders>
            <w:vAlign w:val="center"/>
          </w:tcPr>
          <w:p w14:paraId="0673E11F">
            <w:pPr>
              <w:jc w:val="right"/>
              <w:rPr>
                <w:rFonts w:hint="eastAsia"/>
                <w:sz w:val="18"/>
                <w:szCs w:val="18"/>
              </w:rPr>
            </w:pPr>
            <w:r>
              <w:rPr>
                <w:rFonts w:ascii="Arial Narrow" w:hAnsi="Arial Narrow" w:eastAsia="等线"/>
                <w:color w:val="000000"/>
                <w:szCs w:val="21"/>
              </w:rPr>
              <w:t>149,461,734.98</w:t>
            </w:r>
          </w:p>
        </w:tc>
        <w:tc>
          <w:tcPr>
            <w:tcW w:w="307" w:type="pct"/>
            <w:tcBorders>
              <w:top w:val="single" w:color="auto" w:sz="4" w:space="0"/>
              <w:left w:val="single" w:color="auto" w:sz="4" w:space="0"/>
              <w:bottom w:val="single" w:color="auto" w:sz="4" w:space="0"/>
              <w:right w:val="single" w:color="auto" w:sz="4" w:space="0"/>
            </w:tcBorders>
            <w:vAlign w:val="center"/>
          </w:tcPr>
          <w:p w14:paraId="26900D80">
            <w:pPr>
              <w:jc w:val="right"/>
              <w:rPr>
                <w:rFonts w:hint="eastAsia"/>
                <w:sz w:val="18"/>
                <w:szCs w:val="18"/>
              </w:rPr>
            </w:pPr>
            <w:r>
              <w:rPr>
                <w:rFonts w:ascii="Arial Narrow" w:hAnsi="Arial Narrow" w:eastAsia="等线"/>
                <w:color w:val="000000"/>
                <w:szCs w:val="21"/>
              </w:rPr>
              <w:t>16.64</w:t>
            </w:r>
          </w:p>
        </w:tc>
        <w:tc>
          <w:tcPr>
            <w:tcW w:w="511" w:type="pct"/>
            <w:tcBorders>
              <w:top w:val="single" w:color="auto" w:sz="4" w:space="0"/>
              <w:left w:val="single" w:color="auto" w:sz="4" w:space="0"/>
              <w:bottom w:val="single" w:color="auto" w:sz="4" w:space="0"/>
              <w:right w:val="single" w:color="auto" w:sz="4" w:space="0"/>
            </w:tcBorders>
            <w:vAlign w:val="center"/>
          </w:tcPr>
          <w:p w14:paraId="7F62AA8C">
            <w:pPr>
              <w:jc w:val="right"/>
              <w:rPr>
                <w:rFonts w:hint="eastAsia"/>
                <w:sz w:val="18"/>
                <w:szCs w:val="18"/>
              </w:rPr>
            </w:pPr>
            <w:r>
              <w:rPr>
                <w:rFonts w:ascii="Arial Narrow" w:hAnsi="Arial Narrow" w:eastAsia="等线"/>
                <w:color w:val="000000"/>
                <w:szCs w:val="21"/>
              </w:rPr>
              <w:t>77,339,381.98</w:t>
            </w:r>
          </w:p>
        </w:tc>
        <w:tc>
          <w:tcPr>
            <w:tcW w:w="358" w:type="pct"/>
            <w:tcBorders>
              <w:top w:val="single" w:color="auto" w:sz="4" w:space="0"/>
              <w:left w:val="single" w:color="auto" w:sz="4" w:space="0"/>
              <w:bottom w:val="single" w:color="auto" w:sz="4" w:space="0"/>
              <w:right w:val="single" w:color="auto" w:sz="4" w:space="0"/>
            </w:tcBorders>
            <w:vAlign w:val="center"/>
          </w:tcPr>
          <w:p w14:paraId="0735C39F">
            <w:pPr>
              <w:jc w:val="right"/>
              <w:rPr>
                <w:rFonts w:hint="eastAsia"/>
                <w:sz w:val="18"/>
                <w:szCs w:val="18"/>
              </w:rPr>
            </w:pPr>
            <w:r>
              <w:rPr>
                <w:rFonts w:ascii="Arial Narrow" w:hAnsi="Arial Narrow" w:eastAsia="等线"/>
                <w:color w:val="000000"/>
                <w:szCs w:val="21"/>
              </w:rPr>
              <w:t>51.75</w:t>
            </w:r>
          </w:p>
        </w:tc>
        <w:tc>
          <w:tcPr>
            <w:tcW w:w="562" w:type="pct"/>
            <w:tcBorders>
              <w:top w:val="single" w:color="auto" w:sz="4" w:space="0"/>
              <w:left w:val="single" w:color="auto" w:sz="4" w:space="0"/>
              <w:bottom w:val="single" w:color="auto" w:sz="4" w:space="0"/>
              <w:right w:val="single" w:color="auto" w:sz="4" w:space="0"/>
            </w:tcBorders>
            <w:vAlign w:val="center"/>
          </w:tcPr>
          <w:p w14:paraId="349E6548">
            <w:pPr>
              <w:jc w:val="right"/>
              <w:rPr>
                <w:rFonts w:hint="eastAsia"/>
                <w:sz w:val="18"/>
                <w:szCs w:val="18"/>
              </w:rPr>
            </w:pPr>
            <w:r>
              <w:rPr>
                <w:rFonts w:ascii="Arial Narrow" w:hAnsi="Arial Narrow" w:eastAsia="等线"/>
                <w:color w:val="000000"/>
                <w:szCs w:val="21"/>
              </w:rPr>
              <w:t>72,122,353.00</w:t>
            </w:r>
          </w:p>
        </w:tc>
        <w:tc>
          <w:tcPr>
            <w:tcW w:w="511" w:type="pct"/>
            <w:tcBorders>
              <w:top w:val="single" w:color="auto" w:sz="4" w:space="0"/>
              <w:left w:val="single" w:color="auto" w:sz="4" w:space="0"/>
              <w:bottom w:val="single" w:color="auto" w:sz="4" w:space="0"/>
              <w:right w:val="single" w:color="auto" w:sz="4" w:space="0"/>
            </w:tcBorders>
            <w:vAlign w:val="center"/>
          </w:tcPr>
          <w:p w14:paraId="3BA04FAD">
            <w:pPr>
              <w:jc w:val="right"/>
              <w:rPr>
                <w:rFonts w:hint="eastAsia"/>
                <w:sz w:val="18"/>
                <w:szCs w:val="18"/>
              </w:rPr>
            </w:pPr>
            <w:r>
              <w:rPr>
                <w:rFonts w:ascii="Arial Narrow" w:hAnsi="Arial Narrow" w:eastAsia="等线"/>
                <w:color w:val="000000"/>
                <w:szCs w:val="21"/>
              </w:rPr>
              <w:t>134,006,166.56</w:t>
            </w:r>
          </w:p>
        </w:tc>
        <w:tc>
          <w:tcPr>
            <w:tcW w:w="307" w:type="pct"/>
            <w:tcBorders>
              <w:top w:val="single" w:color="auto" w:sz="4" w:space="0"/>
              <w:left w:val="single" w:color="auto" w:sz="4" w:space="0"/>
              <w:bottom w:val="single" w:color="auto" w:sz="4" w:space="0"/>
              <w:right w:val="single" w:color="auto" w:sz="4" w:space="0"/>
            </w:tcBorders>
            <w:vAlign w:val="center"/>
          </w:tcPr>
          <w:p w14:paraId="101D757E">
            <w:pPr>
              <w:jc w:val="right"/>
              <w:rPr>
                <w:rFonts w:hint="eastAsia"/>
                <w:sz w:val="18"/>
                <w:szCs w:val="18"/>
              </w:rPr>
            </w:pPr>
            <w:r>
              <w:rPr>
                <w:rFonts w:ascii="Arial Narrow" w:hAnsi="Arial Narrow" w:eastAsia="等线"/>
                <w:color w:val="000000"/>
                <w:szCs w:val="21"/>
              </w:rPr>
              <w:t>19.53</w:t>
            </w:r>
          </w:p>
        </w:tc>
        <w:tc>
          <w:tcPr>
            <w:tcW w:w="481" w:type="pct"/>
            <w:tcBorders>
              <w:top w:val="single" w:color="auto" w:sz="4" w:space="0"/>
              <w:left w:val="single" w:color="auto" w:sz="4" w:space="0"/>
              <w:bottom w:val="single" w:color="auto" w:sz="4" w:space="0"/>
              <w:right w:val="single" w:color="auto" w:sz="4" w:space="0"/>
            </w:tcBorders>
            <w:vAlign w:val="center"/>
          </w:tcPr>
          <w:p w14:paraId="55312DDA">
            <w:pPr>
              <w:jc w:val="right"/>
              <w:rPr>
                <w:rFonts w:hint="eastAsia"/>
                <w:sz w:val="18"/>
                <w:szCs w:val="18"/>
              </w:rPr>
            </w:pPr>
            <w:r>
              <w:rPr>
                <w:rFonts w:ascii="Arial Narrow" w:hAnsi="Arial Narrow" w:eastAsia="等线"/>
                <w:color w:val="000000"/>
                <w:szCs w:val="21"/>
              </w:rPr>
              <w:t>52,834,806.80</w:t>
            </w:r>
          </w:p>
        </w:tc>
        <w:tc>
          <w:tcPr>
            <w:tcW w:w="381" w:type="pct"/>
            <w:tcBorders>
              <w:top w:val="single" w:color="auto" w:sz="4" w:space="0"/>
              <w:left w:val="single" w:color="auto" w:sz="4" w:space="0"/>
              <w:bottom w:val="single" w:color="auto" w:sz="4" w:space="0"/>
              <w:right w:val="single" w:color="auto" w:sz="4" w:space="0"/>
            </w:tcBorders>
            <w:vAlign w:val="center"/>
          </w:tcPr>
          <w:p w14:paraId="5AB8DE2F">
            <w:pPr>
              <w:jc w:val="right"/>
              <w:rPr>
                <w:rFonts w:hint="eastAsia"/>
                <w:sz w:val="18"/>
                <w:szCs w:val="18"/>
              </w:rPr>
            </w:pPr>
            <w:r>
              <w:rPr>
                <w:rFonts w:ascii="Arial Narrow" w:hAnsi="Arial Narrow" w:eastAsia="等线"/>
                <w:color w:val="000000"/>
                <w:szCs w:val="21"/>
              </w:rPr>
              <w:t>39.43</w:t>
            </w:r>
          </w:p>
        </w:tc>
        <w:tc>
          <w:tcPr>
            <w:tcW w:w="510" w:type="pct"/>
            <w:tcBorders>
              <w:top w:val="single" w:color="auto" w:sz="4" w:space="0"/>
              <w:left w:val="single" w:color="auto" w:sz="4" w:space="0"/>
              <w:bottom w:val="single" w:color="auto" w:sz="4" w:space="0"/>
              <w:right w:val="single" w:color="auto" w:sz="4" w:space="0"/>
            </w:tcBorders>
            <w:vAlign w:val="center"/>
          </w:tcPr>
          <w:p w14:paraId="013090B0">
            <w:pPr>
              <w:jc w:val="right"/>
              <w:rPr>
                <w:rFonts w:hint="eastAsia"/>
                <w:sz w:val="18"/>
                <w:szCs w:val="18"/>
              </w:rPr>
            </w:pPr>
            <w:r>
              <w:rPr>
                <w:rFonts w:ascii="Arial Narrow" w:hAnsi="Arial Narrow" w:eastAsia="等线"/>
                <w:color w:val="000000"/>
                <w:szCs w:val="21"/>
              </w:rPr>
              <w:t>81,171,359.76</w:t>
            </w:r>
          </w:p>
        </w:tc>
      </w:tr>
      <w:tr w14:paraId="3D78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vAlign w:val="center"/>
          </w:tcPr>
          <w:sdt>
            <w:sdtPr>
              <w:rPr>
                <w:sz w:val="18"/>
                <w:szCs w:val="18"/>
              </w:rPr>
              <w:tag w:val="_PLD_ad470efcf54b471d8dc2d7182e6ecb22"/>
              <w:id w:val="1767348177"/>
            </w:sdtPr>
            <w:sdtEndPr>
              <w:rPr>
                <w:sz w:val="18"/>
                <w:szCs w:val="18"/>
              </w:rPr>
            </w:sdtEndPr>
            <w:sdtContent>
              <w:p w14:paraId="7D443A2E">
                <w:pPr>
                  <w:jc w:val="both"/>
                  <w:rPr>
                    <w:rFonts w:hint="eastAsia"/>
                    <w:sz w:val="18"/>
                    <w:szCs w:val="18"/>
                  </w:rPr>
                </w:pPr>
                <w:r>
                  <w:rPr>
                    <w:rFonts w:hint="eastAsia"/>
                    <w:sz w:val="18"/>
                    <w:szCs w:val="18"/>
                  </w:rPr>
                  <w:t>其中：</w:t>
                </w:r>
              </w:p>
            </w:sdtContent>
          </w:sdt>
        </w:tc>
      </w:tr>
      <w:tr w14:paraId="1A97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szCs w:val="21"/>
            </w:rPr>
            <w:alias w:val="按组合计提坏账准备的明细-类别"/>
            <w:tag w:val="_GBC_e6d2224258b44ee19fe7c5d33300feb7"/>
            <w:id w:val="-1792585169"/>
          </w:sdtPr>
          <w:sdtEndPr>
            <w:rPr>
              <w:szCs w:val="21"/>
            </w:rPr>
          </w:sdtEndPr>
          <w:sdtContent>
            <w:tc>
              <w:tcPr>
                <w:tcW w:w="561" w:type="pct"/>
                <w:tcBorders>
                  <w:top w:val="single" w:color="auto" w:sz="4" w:space="0"/>
                  <w:left w:val="single" w:color="auto" w:sz="4" w:space="0"/>
                  <w:bottom w:val="single" w:color="auto" w:sz="4" w:space="0"/>
                  <w:right w:val="single" w:color="auto" w:sz="4" w:space="0"/>
                </w:tcBorders>
                <w:vAlign w:val="center"/>
              </w:tcPr>
              <w:p w14:paraId="63327183">
                <w:pPr>
                  <w:jc w:val="both"/>
                  <w:rPr>
                    <w:rFonts w:hint="eastAsia"/>
                    <w:szCs w:val="21"/>
                  </w:rPr>
                </w:pPr>
                <w:r>
                  <w:rPr>
                    <w:rFonts w:hint="eastAsia"/>
                    <w:szCs w:val="21"/>
                  </w:rPr>
                  <w:t>账龄组合</w:t>
                </w:r>
              </w:p>
            </w:tc>
          </w:sdtContent>
        </w:sdt>
        <w:tc>
          <w:tcPr>
            <w:tcW w:w="511" w:type="pct"/>
            <w:tcBorders>
              <w:top w:val="single" w:color="auto" w:sz="4" w:space="0"/>
              <w:left w:val="single" w:color="auto" w:sz="4" w:space="0"/>
              <w:bottom w:val="single" w:color="auto" w:sz="4" w:space="0"/>
              <w:right w:val="single" w:color="auto" w:sz="4" w:space="0"/>
            </w:tcBorders>
            <w:vAlign w:val="center"/>
          </w:tcPr>
          <w:p w14:paraId="21399073">
            <w:pPr>
              <w:jc w:val="right"/>
              <w:rPr>
                <w:rFonts w:hint="eastAsia"/>
                <w:sz w:val="18"/>
                <w:szCs w:val="18"/>
              </w:rPr>
            </w:pPr>
            <w:r>
              <w:rPr>
                <w:rFonts w:ascii="Arial Narrow" w:hAnsi="Arial Narrow" w:eastAsia="等线"/>
                <w:color w:val="000000"/>
                <w:szCs w:val="21"/>
              </w:rPr>
              <w:t>149,461,734.98</w:t>
            </w:r>
          </w:p>
        </w:tc>
        <w:tc>
          <w:tcPr>
            <w:tcW w:w="307" w:type="pct"/>
            <w:tcBorders>
              <w:top w:val="single" w:color="auto" w:sz="4" w:space="0"/>
              <w:left w:val="single" w:color="auto" w:sz="4" w:space="0"/>
              <w:bottom w:val="single" w:color="auto" w:sz="4" w:space="0"/>
              <w:right w:val="single" w:color="auto" w:sz="4" w:space="0"/>
            </w:tcBorders>
            <w:vAlign w:val="center"/>
          </w:tcPr>
          <w:p w14:paraId="386747CC">
            <w:pPr>
              <w:jc w:val="right"/>
              <w:rPr>
                <w:rFonts w:hint="eastAsia"/>
                <w:sz w:val="18"/>
                <w:szCs w:val="18"/>
              </w:rPr>
            </w:pPr>
            <w:r>
              <w:rPr>
                <w:rFonts w:ascii="Arial Narrow" w:hAnsi="Arial Narrow" w:eastAsia="等线"/>
                <w:color w:val="000000"/>
                <w:szCs w:val="21"/>
              </w:rPr>
              <w:t>16.64</w:t>
            </w:r>
          </w:p>
        </w:tc>
        <w:tc>
          <w:tcPr>
            <w:tcW w:w="511" w:type="pct"/>
            <w:tcBorders>
              <w:top w:val="single" w:color="auto" w:sz="4" w:space="0"/>
              <w:left w:val="single" w:color="auto" w:sz="4" w:space="0"/>
              <w:bottom w:val="single" w:color="auto" w:sz="4" w:space="0"/>
              <w:right w:val="single" w:color="auto" w:sz="4" w:space="0"/>
            </w:tcBorders>
            <w:vAlign w:val="center"/>
          </w:tcPr>
          <w:p w14:paraId="6D3A238A">
            <w:pPr>
              <w:jc w:val="right"/>
              <w:rPr>
                <w:rFonts w:hint="eastAsia"/>
                <w:sz w:val="18"/>
                <w:szCs w:val="18"/>
              </w:rPr>
            </w:pPr>
            <w:r>
              <w:rPr>
                <w:rFonts w:ascii="Arial Narrow" w:hAnsi="Arial Narrow" w:eastAsia="等线"/>
                <w:color w:val="000000"/>
                <w:szCs w:val="21"/>
              </w:rPr>
              <w:t>77,339,381.98</w:t>
            </w:r>
          </w:p>
        </w:tc>
        <w:tc>
          <w:tcPr>
            <w:tcW w:w="358" w:type="pct"/>
            <w:tcBorders>
              <w:top w:val="single" w:color="auto" w:sz="4" w:space="0"/>
              <w:left w:val="single" w:color="auto" w:sz="4" w:space="0"/>
              <w:bottom w:val="single" w:color="auto" w:sz="4" w:space="0"/>
              <w:right w:val="single" w:color="auto" w:sz="4" w:space="0"/>
            </w:tcBorders>
            <w:vAlign w:val="center"/>
          </w:tcPr>
          <w:p w14:paraId="6A725B71">
            <w:pPr>
              <w:jc w:val="right"/>
              <w:rPr>
                <w:rFonts w:hint="eastAsia"/>
                <w:sz w:val="18"/>
                <w:szCs w:val="18"/>
              </w:rPr>
            </w:pPr>
            <w:r>
              <w:rPr>
                <w:rFonts w:ascii="Arial Narrow" w:hAnsi="Arial Narrow" w:eastAsia="等线"/>
                <w:color w:val="000000"/>
                <w:szCs w:val="21"/>
              </w:rPr>
              <w:t>51.75</w:t>
            </w:r>
          </w:p>
        </w:tc>
        <w:tc>
          <w:tcPr>
            <w:tcW w:w="562" w:type="pct"/>
            <w:tcBorders>
              <w:top w:val="single" w:color="auto" w:sz="4" w:space="0"/>
              <w:left w:val="single" w:color="auto" w:sz="4" w:space="0"/>
              <w:bottom w:val="single" w:color="auto" w:sz="4" w:space="0"/>
              <w:right w:val="single" w:color="auto" w:sz="4" w:space="0"/>
            </w:tcBorders>
            <w:vAlign w:val="center"/>
          </w:tcPr>
          <w:p w14:paraId="402AF70F">
            <w:pPr>
              <w:jc w:val="right"/>
              <w:rPr>
                <w:rFonts w:hint="eastAsia"/>
                <w:sz w:val="18"/>
                <w:szCs w:val="18"/>
              </w:rPr>
            </w:pPr>
            <w:r>
              <w:rPr>
                <w:rFonts w:ascii="Arial Narrow" w:hAnsi="Arial Narrow" w:eastAsia="等线"/>
                <w:color w:val="000000"/>
                <w:szCs w:val="21"/>
              </w:rPr>
              <w:t>72,122,353.00</w:t>
            </w:r>
          </w:p>
        </w:tc>
        <w:tc>
          <w:tcPr>
            <w:tcW w:w="511" w:type="pct"/>
            <w:tcBorders>
              <w:top w:val="single" w:color="auto" w:sz="4" w:space="0"/>
              <w:left w:val="single" w:color="auto" w:sz="4" w:space="0"/>
              <w:bottom w:val="single" w:color="auto" w:sz="4" w:space="0"/>
              <w:right w:val="single" w:color="auto" w:sz="4" w:space="0"/>
            </w:tcBorders>
            <w:vAlign w:val="center"/>
          </w:tcPr>
          <w:p w14:paraId="4B54E1B3">
            <w:pPr>
              <w:jc w:val="right"/>
              <w:rPr>
                <w:rFonts w:hint="eastAsia"/>
                <w:sz w:val="18"/>
                <w:szCs w:val="18"/>
              </w:rPr>
            </w:pPr>
            <w:r>
              <w:rPr>
                <w:rFonts w:ascii="Arial Narrow" w:hAnsi="Arial Narrow" w:eastAsia="等线"/>
                <w:color w:val="000000"/>
                <w:szCs w:val="21"/>
              </w:rPr>
              <w:t>134,006,166.56</w:t>
            </w:r>
          </w:p>
        </w:tc>
        <w:tc>
          <w:tcPr>
            <w:tcW w:w="307" w:type="pct"/>
            <w:tcBorders>
              <w:top w:val="single" w:color="auto" w:sz="4" w:space="0"/>
              <w:left w:val="single" w:color="auto" w:sz="4" w:space="0"/>
              <w:bottom w:val="single" w:color="auto" w:sz="4" w:space="0"/>
              <w:right w:val="single" w:color="auto" w:sz="4" w:space="0"/>
            </w:tcBorders>
            <w:vAlign w:val="center"/>
          </w:tcPr>
          <w:p w14:paraId="12637569">
            <w:pPr>
              <w:jc w:val="right"/>
              <w:rPr>
                <w:rFonts w:hint="eastAsia"/>
                <w:sz w:val="18"/>
                <w:szCs w:val="18"/>
              </w:rPr>
            </w:pPr>
            <w:r>
              <w:rPr>
                <w:rFonts w:ascii="Arial Narrow" w:hAnsi="Arial Narrow" w:eastAsia="等线"/>
                <w:color w:val="000000"/>
                <w:szCs w:val="21"/>
              </w:rPr>
              <w:t>19.53</w:t>
            </w:r>
          </w:p>
        </w:tc>
        <w:tc>
          <w:tcPr>
            <w:tcW w:w="481" w:type="pct"/>
            <w:tcBorders>
              <w:top w:val="single" w:color="auto" w:sz="4" w:space="0"/>
              <w:left w:val="single" w:color="auto" w:sz="4" w:space="0"/>
              <w:bottom w:val="single" w:color="auto" w:sz="4" w:space="0"/>
              <w:right w:val="single" w:color="auto" w:sz="4" w:space="0"/>
            </w:tcBorders>
            <w:vAlign w:val="center"/>
          </w:tcPr>
          <w:p w14:paraId="0C9BE768">
            <w:pPr>
              <w:jc w:val="right"/>
              <w:rPr>
                <w:rFonts w:hint="eastAsia"/>
                <w:sz w:val="18"/>
                <w:szCs w:val="18"/>
              </w:rPr>
            </w:pPr>
            <w:r>
              <w:rPr>
                <w:rFonts w:ascii="Arial Narrow" w:hAnsi="Arial Narrow" w:eastAsia="等线"/>
                <w:color w:val="000000"/>
                <w:szCs w:val="21"/>
              </w:rPr>
              <w:t>52,834,806.80</w:t>
            </w:r>
          </w:p>
        </w:tc>
        <w:tc>
          <w:tcPr>
            <w:tcW w:w="381" w:type="pct"/>
            <w:tcBorders>
              <w:top w:val="single" w:color="auto" w:sz="4" w:space="0"/>
              <w:left w:val="single" w:color="auto" w:sz="4" w:space="0"/>
              <w:bottom w:val="single" w:color="auto" w:sz="4" w:space="0"/>
              <w:right w:val="single" w:color="auto" w:sz="4" w:space="0"/>
            </w:tcBorders>
            <w:vAlign w:val="center"/>
          </w:tcPr>
          <w:p w14:paraId="54094557">
            <w:pPr>
              <w:jc w:val="right"/>
              <w:rPr>
                <w:rFonts w:hint="eastAsia"/>
                <w:sz w:val="18"/>
                <w:szCs w:val="18"/>
              </w:rPr>
            </w:pPr>
            <w:r>
              <w:rPr>
                <w:rFonts w:ascii="Arial Narrow" w:hAnsi="Arial Narrow" w:eastAsia="等线"/>
                <w:color w:val="000000"/>
                <w:szCs w:val="21"/>
              </w:rPr>
              <w:t>39.43</w:t>
            </w:r>
          </w:p>
        </w:tc>
        <w:tc>
          <w:tcPr>
            <w:tcW w:w="510" w:type="pct"/>
            <w:tcBorders>
              <w:top w:val="single" w:color="auto" w:sz="4" w:space="0"/>
              <w:left w:val="single" w:color="auto" w:sz="4" w:space="0"/>
              <w:bottom w:val="single" w:color="auto" w:sz="4" w:space="0"/>
              <w:right w:val="single" w:color="auto" w:sz="4" w:space="0"/>
            </w:tcBorders>
            <w:vAlign w:val="center"/>
          </w:tcPr>
          <w:p w14:paraId="02B5FC2B">
            <w:pPr>
              <w:jc w:val="right"/>
              <w:rPr>
                <w:rFonts w:hint="eastAsia"/>
                <w:sz w:val="18"/>
                <w:szCs w:val="18"/>
              </w:rPr>
            </w:pPr>
            <w:r>
              <w:rPr>
                <w:rFonts w:ascii="Arial Narrow" w:hAnsi="Arial Narrow" w:eastAsia="等线"/>
                <w:color w:val="000000"/>
                <w:szCs w:val="21"/>
              </w:rPr>
              <w:t>81,171,359.76</w:t>
            </w:r>
          </w:p>
        </w:tc>
      </w:tr>
      <w:tr w14:paraId="3966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61" w:type="pct"/>
            <w:tcBorders>
              <w:top w:val="single" w:color="auto" w:sz="4" w:space="0"/>
              <w:left w:val="single" w:color="auto" w:sz="4" w:space="0"/>
              <w:bottom w:val="single" w:color="auto" w:sz="4" w:space="0"/>
              <w:right w:val="single" w:color="auto" w:sz="4" w:space="0"/>
            </w:tcBorders>
            <w:vAlign w:val="center"/>
          </w:tcPr>
          <w:p w14:paraId="2F8FF836">
            <w:pPr>
              <w:autoSpaceDE w:val="0"/>
              <w:autoSpaceDN w:val="0"/>
              <w:adjustRightInd w:val="0"/>
              <w:jc w:val="center"/>
              <w:rPr>
                <w:rFonts w:hint="eastAsia"/>
                <w:szCs w:val="21"/>
              </w:rPr>
            </w:pPr>
            <w:r>
              <w:rPr>
                <w:rFonts w:hint="eastAsia"/>
                <w:szCs w:val="21"/>
              </w:rPr>
              <w:t>合计</w:t>
            </w:r>
          </w:p>
        </w:tc>
        <w:tc>
          <w:tcPr>
            <w:tcW w:w="511" w:type="pct"/>
            <w:tcBorders>
              <w:top w:val="single" w:color="auto" w:sz="4" w:space="0"/>
              <w:left w:val="single" w:color="auto" w:sz="4" w:space="0"/>
              <w:bottom w:val="single" w:color="auto" w:sz="4" w:space="0"/>
              <w:right w:val="single" w:color="auto" w:sz="4" w:space="0"/>
            </w:tcBorders>
            <w:vAlign w:val="center"/>
          </w:tcPr>
          <w:p w14:paraId="4131EE7B">
            <w:pPr>
              <w:jc w:val="right"/>
              <w:rPr>
                <w:rFonts w:hint="eastAsia"/>
                <w:sz w:val="18"/>
                <w:szCs w:val="18"/>
              </w:rPr>
            </w:pPr>
            <w:r>
              <w:rPr>
                <w:rFonts w:ascii="Arial Narrow" w:hAnsi="Arial Narrow" w:eastAsia="等线"/>
                <w:color w:val="000000"/>
                <w:szCs w:val="21"/>
              </w:rPr>
              <w:t>898,385,828.61</w:t>
            </w:r>
          </w:p>
        </w:tc>
        <w:tc>
          <w:tcPr>
            <w:tcW w:w="307" w:type="pct"/>
            <w:tcBorders>
              <w:top w:val="single" w:color="auto" w:sz="4" w:space="0"/>
              <w:left w:val="single" w:color="auto" w:sz="4" w:space="0"/>
              <w:bottom w:val="single" w:color="auto" w:sz="4" w:space="0"/>
              <w:right w:val="single" w:color="auto" w:sz="4" w:space="0"/>
            </w:tcBorders>
            <w:vAlign w:val="center"/>
          </w:tcPr>
          <w:p w14:paraId="3396CDBC">
            <w:pPr>
              <w:jc w:val="right"/>
              <w:rPr>
                <w:rFonts w:hint="eastAsia"/>
                <w:sz w:val="18"/>
                <w:szCs w:val="18"/>
              </w:rPr>
            </w:pPr>
            <w:r>
              <w:rPr>
                <w:rFonts w:ascii="Arial Narrow" w:hAnsi="Arial Narrow" w:eastAsia="等线"/>
                <w:color w:val="000000"/>
                <w:szCs w:val="21"/>
              </w:rPr>
              <w:t>/</w:t>
            </w:r>
          </w:p>
        </w:tc>
        <w:tc>
          <w:tcPr>
            <w:tcW w:w="511" w:type="pct"/>
            <w:tcBorders>
              <w:top w:val="single" w:color="auto" w:sz="4" w:space="0"/>
              <w:left w:val="single" w:color="auto" w:sz="4" w:space="0"/>
              <w:bottom w:val="single" w:color="auto" w:sz="4" w:space="0"/>
              <w:right w:val="single" w:color="auto" w:sz="4" w:space="0"/>
            </w:tcBorders>
            <w:vAlign w:val="center"/>
          </w:tcPr>
          <w:p w14:paraId="3B5F7219">
            <w:pPr>
              <w:jc w:val="right"/>
              <w:rPr>
                <w:rFonts w:hint="eastAsia"/>
                <w:sz w:val="18"/>
                <w:szCs w:val="18"/>
              </w:rPr>
            </w:pPr>
            <w:r>
              <w:rPr>
                <w:rFonts w:ascii="Arial Narrow" w:hAnsi="Arial Narrow" w:eastAsia="等线"/>
                <w:color w:val="000000"/>
                <w:szCs w:val="21"/>
              </w:rPr>
              <w:t>154,376,068.47</w:t>
            </w:r>
          </w:p>
        </w:tc>
        <w:tc>
          <w:tcPr>
            <w:tcW w:w="358" w:type="pct"/>
            <w:tcBorders>
              <w:top w:val="single" w:color="auto" w:sz="4" w:space="0"/>
              <w:left w:val="single" w:color="auto" w:sz="4" w:space="0"/>
              <w:bottom w:val="single" w:color="auto" w:sz="4" w:space="0"/>
              <w:right w:val="single" w:color="auto" w:sz="4" w:space="0"/>
            </w:tcBorders>
            <w:vAlign w:val="center"/>
          </w:tcPr>
          <w:p w14:paraId="57A909E3">
            <w:pPr>
              <w:jc w:val="right"/>
              <w:rPr>
                <w:rFonts w:hint="eastAsia"/>
                <w:sz w:val="18"/>
                <w:szCs w:val="18"/>
              </w:rPr>
            </w:pPr>
            <w:r>
              <w:rPr>
                <w:rFonts w:ascii="Arial Narrow" w:hAnsi="Arial Narrow" w:eastAsia="等线"/>
                <w:color w:val="000000"/>
                <w:szCs w:val="21"/>
              </w:rPr>
              <w:t>/</w:t>
            </w:r>
          </w:p>
        </w:tc>
        <w:tc>
          <w:tcPr>
            <w:tcW w:w="562" w:type="pct"/>
            <w:tcBorders>
              <w:top w:val="single" w:color="auto" w:sz="4" w:space="0"/>
              <w:left w:val="single" w:color="auto" w:sz="4" w:space="0"/>
              <w:bottom w:val="single" w:color="auto" w:sz="4" w:space="0"/>
              <w:right w:val="single" w:color="auto" w:sz="4" w:space="0"/>
            </w:tcBorders>
            <w:vAlign w:val="center"/>
          </w:tcPr>
          <w:p w14:paraId="0AED3D62">
            <w:pPr>
              <w:jc w:val="right"/>
              <w:rPr>
                <w:rFonts w:hint="eastAsia"/>
                <w:sz w:val="18"/>
                <w:szCs w:val="18"/>
                <w:highlight w:val="yellow"/>
              </w:rPr>
            </w:pPr>
            <w:r>
              <w:rPr>
                <w:rFonts w:ascii="Arial Narrow" w:hAnsi="Arial Narrow" w:eastAsia="等线"/>
                <w:color w:val="000000"/>
                <w:szCs w:val="21"/>
              </w:rPr>
              <w:t>744,009,760.14</w:t>
            </w:r>
          </w:p>
        </w:tc>
        <w:tc>
          <w:tcPr>
            <w:tcW w:w="511" w:type="pct"/>
            <w:tcBorders>
              <w:top w:val="single" w:color="auto" w:sz="4" w:space="0"/>
              <w:left w:val="single" w:color="auto" w:sz="4" w:space="0"/>
              <w:bottom w:val="single" w:color="auto" w:sz="4" w:space="0"/>
              <w:right w:val="single" w:color="auto" w:sz="4" w:space="0"/>
            </w:tcBorders>
            <w:vAlign w:val="center"/>
          </w:tcPr>
          <w:p w14:paraId="4A588C01">
            <w:pPr>
              <w:jc w:val="right"/>
              <w:rPr>
                <w:rFonts w:hint="eastAsia"/>
                <w:sz w:val="18"/>
                <w:szCs w:val="18"/>
                <w:highlight w:val="yellow"/>
              </w:rPr>
            </w:pPr>
            <w:r>
              <w:rPr>
                <w:rFonts w:ascii="Arial Narrow" w:hAnsi="Arial Narrow" w:eastAsia="等线"/>
                <w:color w:val="000000"/>
                <w:szCs w:val="21"/>
              </w:rPr>
              <w:t>686,184,560.19</w:t>
            </w:r>
          </w:p>
        </w:tc>
        <w:tc>
          <w:tcPr>
            <w:tcW w:w="307" w:type="pct"/>
            <w:tcBorders>
              <w:top w:val="single" w:color="auto" w:sz="4" w:space="0"/>
              <w:left w:val="single" w:color="auto" w:sz="4" w:space="0"/>
              <w:bottom w:val="single" w:color="auto" w:sz="4" w:space="0"/>
              <w:right w:val="single" w:color="auto" w:sz="4" w:space="0"/>
            </w:tcBorders>
            <w:vAlign w:val="center"/>
          </w:tcPr>
          <w:p w14:paraId="41FFCD11">
            <w:pPr>
              <w:jc w:val="right"/>
              <w:rPr>
                <w:rFonts w:hint="eastAsia"/>
                <w:sz w:val="18"/>
                <w:szCs w:val="18"/>
              </w:rPr>
            </w:pPr>
            <w:r>
              <w:rPr>
                <w:rFonts w:ascii="Arial Narrow" w:hAnsi="Arial Narrow" w:eastAsia="等线"/>
                <w:color w:val="000000"/>
                <w:szCs w:val="21"/>
              </w:rPr>
              <w:t>/</w:t>
            </w:r>
          </w:p>
        </w:tc>
        <w:tc>
          <w:tcPr>
            <w:tcW w:w="481" w:type="pct"/>
            <w:tcBorders>
              <w:top w:val="single" w:color="auto" w:sz="4" w:space="0"/>
              <w:left w:val="single" w:color="auto" w:sz="4" w:space="0"/>
              <w:bottom w:val="single" w:color="auto" w:sz="4" w:space="0"/>
              <w:right w:val="single" w:color="auto" w:sz="4" w:space="0"/>
            </w:tcBorders>
            <w:vAlign w:val="center"/>
          </w:tcPr>
          <w:p w14:paraId="0D6AE2B1">
            <w:pPr>
              <w:jc w:val="right"/>
              <w:rPr>
                <w:rFonts w:hint="eastAsia"/>
                <w:sz w:val="18"/>
                <w:szCs w:val="18"/>
              </w:rPr>
            </w:pPr>
            <w:r>
              <w:rPr>
                <w:rFonts w:ascii="Arial Narrow" w:hAnsi="Arial Narrow" w:eastAsia="等线"/>
                <w:color w:val="000000"/>
                <w:szCs w:val="21"/>
              </w:rPr>
              <w:t>58,744,806.80</w:t>
            </w:r>
          </w:p>
        </w:tc>
        <w:tc>
          <w:tcPr>
            <w:tcW w:w="381" w:type="pct"/>
            <w:tcBorders>
              <w:top w:val="single" w:color="auto" w:sz="4" w:space="0"/>
              <w:left w:val="single" w:color="auto" w:sz="4" w:space="0"/>
              <w:bottom w:val="single" w:color="auto" w:sz="4" w:space="0"/>
              <w:right w:val="single" w:color="auto" w:sz="4" w:space="0"/>
            </w:tcBorders>
            <w:vAlign w:val="center"/>
          </w:tcPr>
          <w:p w14:paraId="588747C9">
            <w:pPr>
              <w:jc w:val="right"/>
              <w:rPr>
                <w:rFonts w:hint="eastAsia"/>
                <w:sz w:val="18"/>
                <w:szCs w:val="18"/>
              </w:rPr>
            </w:pPr>
            <w:r>
              <w:rPr>
                <w:rFonts w:ascii="Arial Narrow" w:hAnsi="Arial Narrow" w:eastAsia="等线"/>
                <w:color w:val="000000"/>
                <w:szCs w:val="21"/>
              </w:rPr>
              <w:t>/</w:t>
            </w:r>
          </w:p>
        </w:tc>
        <w:tc>
          <w:tcPr>
            <w:tcW w:w="510" w:type="pct"/>
            <w:tcBorders>
              <w:top w:val="single" w:color="auto" w:sz="4" w:space="0"/>
              <w:left w:val="single" w:color="auto" w:sz="4" w:space="0"/>
              <w:bottom w:val="single" w:color="auto" w:sz="4" w:space="0"/>
              <w:right w:val="single" w:color="auto" w:sz="4" w:space="0"/>
            </w:tcBorders>
            <w:vAlign w:val="center"/>
          </w:tcPr>
          <w:p w14:paraId="58D9DFA8">
            <w:pPr>
              <w:jc w:val="right"/>
              <w:rPr>
                <w:rFonts w:hint="eastAsia"/>
                <w:sz w:val="18"/>
                <w:szCs w:val="18"/>
              </w:rPr>
            </w:pPr>
            <w:r>
              <w:rPr>
                <w:rFonts w:ascii="Arial Narrow" w:hAnsi="Arial Narrow" w:eastAsia="等线"/>
                <w:color w:val="000000"/>
                <w:szCs w:val="21"/>
              </w:rPr>
              <w:t>627,439,753.39</w:t>
            </w:r>
          </w:p>
        </w:tc>
      </w:tr>
    </w:tbl>
    <w:p w14:paraId="1E6E6522">
      <w:pPr>
        <w:rPr>
          <w:rFonts w:hint="eastAsia"/>
        </w:rPr>
        <w:sectPr>
          <w:pgSz w:w="16838" w:h="11906" w:orient="landscape"/>
          <w:pgMar w:top="1276" w:right="1440" w:bottom="1797" w:left="1525" w:header="856" w:footer="992" w:gutter="0"/>
          <w:cols w:space="425" w:num="1"/>
          <w:docGrid w:linePitch="312" w:charSpace="0"/>
        </w:sectPr>
      </w:pPr>
    </w:p>
    <w:p w14:paraId="1B98360C">
      <w:pPr>
        <w:rPr>
          <w:rFonts w:hint="eastAsia"/>
        </w:rPr>
      </w:pPr>
    </w:p>
    <w:p w14:paraId="395E2A20">
      <w:pPr>
        <w:rPr>
          <w:rFonts w:hint="eastAsia"/>
        </w:rPr>
      </w:pPr>
      <w:r>
        <w:rPr>
          <w:rFonts w:hint="eastAsia"/>
        </w:rPr>
        <w:t>按单项计提坏账准备：</w:t>
      </w:r>
    </w:p>
    <w:sdt>
      <w:sdtPr>
        <w:alias w:val="是否适用：按单项计提坏账准备的详细情况[双击切换]"/>
        <w:tag w:val="_GBC_19243c464e23496a87380a02fccd7f4a"/>
        <w:id w:val="1422518596"/>
        <w:placeholder>
          <w:docPart w:val="GBC22222222222222222222222222222"/>
        </w:placeholder>
      </w:sdtPr>
      <w:sdtContent>
        <w:p w14:paraId="6C82D734">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86CDF7">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单项计提坏账准备的详细情况"/>
          <w:tag w:val="_GBC_479316beb9af444a84a80086b6bec79c"/>
          <w:id w:val="116296702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详细情况"/>
          <w:tag w:val="_GBC_3fc3bd12bcef4864b7a2ca83f70d8399"/>
          <w:id w:val="19388628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7"/>
        <w:gridCol w:w="1657"/>
        <w:gridCol w:w="1659"/>
        <w:gridCol w:w="1657"/>
        <w:gridCol w:w="1803"/>
      </w:tblGrid>
      <w:tr w14:paraId="04A6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dd9e42dfd244a4da2807e2b9395a9b2"/>
            <w:id w:val="-973828326"/>
          </w:sdtPr>
          <w:sdtContent>
            <w:tc>
              <w:tcPr>
                <w:tcW w:w="1160" w:type="pct"/>
                <w:vMerge w:val="restart"/>
                <w:vAlign w:val="center"/>
              </w:tcPr>
              <w:p w14:paraId="3898621C">
                <w:pPr>
                  <w:jc w:val="center"/>
                  <w:rPr>
                    <w:rFonts w:hint="eastAsia"/>
                    <w:szCs w:val="21"/>
                  </w:rPr>
                </w:pPr>
                <w:r>
                  <w:rPr>
                    <w:rFonts w:hint="eastAsia"/>
                    <w:szCs w:val="21"/>
                  </w:rPr>
                  <w:t>名称</w:t>
                </w:r>
              </w:p>
            </w:tc>
          </w:sdtContent>
        </w:sdt>
        <w:sdt>
          <w:sdtPr>
            <w:tag w:val="_PLD_177586ff85054362902d92c4c1b4850f"/>
            <w:id w:val="653420431"/>
          </w:sdtPr>
          <w:sdtContent>
            <w:tc>
              <w:tcPr>
                <w:tcW w:w="3840" w:type="pct"/>
                <w:gridSpan w:val="4"/>
                <w:vAlign w:val="center"/>
              </w:tcPr>
              <w:p w14:paraId="48F89CDF">
                <w:pPr>
                  <w:jc w:val="center"/>
                  <w:rPr>
                    <w:rFonts w:hint="eastAsia"/>
                    <w:szCs w:val="21"/>
                  </w:rPr>
                </w:pPr>
                <w:r>
                  <w:rPr>
                    <w:rFonts w:hint="eastAsia"/>
                    <w:szCs w:val="21"/>
                  </w:rPr>
                  <w:t>期末余额</w:t>
                </w:r>
              </w:p>
            </w:tc>
          </w:sdtContent>
        </w:sdt>
      </w:tr>
      <w:tr w14:paraId="36DE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Merge w:val="continue"/>
          </w:tcPr>
          <w:p w14:paraId="114DA592">
            <w:pPr>
              <w:jc w:val="center"/>
              <w:rPr>
                <w:rFonts w:hint="eastAsia"/>
                <w:szCs w:val="21"/>
              </w:rPr>
            </w:pPr>
          </w:p>
        </w:tc>
        <w:sdt>
          <w:sdtPr>
            <w:tag w:val="_PLD_92832fe72761493dac1520e61953ceee"/>
            <w:id w:val="889469685"/>
          </w:sdtPr>
          <w:sdtContent>
            <w:tc>
              <w:tcPr>
                <w:tcW w:w="939" w:type="pct"/>
                <w:vAlign w:val="center"/>
              </w:tcPr>
              <w:p w14:paraId="6AD598EB">
                <w:pPr>
                  <w:jc w:val="center"/>
                  <w:rPr>
                    <w:rFonts w:hint="eastAsia"/>
                    <w:szCs w:val="21"/>
                  </w:rPr>
                </w:pPr>
                <w:r>
                  <w:rPr>
                    <w:rFonts w:hint="eastAsia"/>
                    <w:szCs w:val="21"/>
                  </w:rPr>
                  <w:t>账面余额</w:t>
                </w:r>
              </w:p>
            </w:tc>
          </w:sdtContent>
        </w:sdt>
        <w:sdt>
          <w:sdtPr>
            <w:tag w:val="_PLD_03a2137b4a2546ea88e5903549f09638"/>
            <w:id w:val="383688254"/>
          </w:sdtPr>
          <w:sdtContent>
            <w:tc>
              <w:tcPr>
                <w:tcW w:w="940" w:type="pct"/>
                <w:vAlign w:val="center"/>
              </w:tcPr>
              <w:p w14:paraId="1F586922">
                <w:pPr>
                  <w:jc w:val="center"/>
                  <w:rPr>
                    <w:rFonts w:hint="eastAsia"/>
                    <w:szCs w:val="21"/>
                  </w:rPr>
                </w:pPr>
                <w:r>
                  <w:rPr>
                    <w:rFonts w:hint="eastAsia"/>
                    <w:szCs w:val="21"/>
                  </w:rPr>
                  <w:t>坏账准备</w:t>
                </w:r>
              </w:p>
            </w:tc>
          </w:sdtContent>
        </w:sdt>
        <w:sdt>
          <w:sdtPr>
            <w:tag w:val="_PLD_e03dad019f8b420faafac90a05cd5069"/>
            <w:id w:val="256097979"/>
          </w:sdtPr>
          <w:sdtEndPr>
            <w:rPr>
              <w:rFonts w:hint="eastAsia"/>
            </w:rPr>
          </w:sdtEndPr>
          <w:sdtContent>
            <w:tc>
              <w:tcPr>
                <w:tcW w:w="939" w:type="pct"/>
                <w:vAlign w:val="center"/>
              </w:tcPr>
              <w:p w14:paraId="1DC5F746">
                <w:pPr>
                  <w:jc w:val="center"/>
                  <w:rPr>
                    <w:rFonts w:hint="eastAsia"/>
                    <w:szCs w:val="21"/>
                  </w:rPr>
                </w:pPr>
                <w:r>
                  <w:rPr>
                    <w:szCs w:val="21"/>
                  </w:rPr>
                  <w:t>计提比例</w:t>
                </w:r>
                <w:r>
                  <w:rPr>
                    <w:rFonts w:hint="eastAsia"/>
                    <w:szCs w:val="21"/>
                  </w:rPr>
                  <w:t>（%）</w:t>
                </w:r>
              </w:p>
            </w:tc>
          </w:sdtContent>
        </w:sdt>
        <w:sdt>
          <w:sdtPr>
            <w:tag w:val="_PLD_40e16163136f4c6badac6835ff3bd16b"/>
            <w:id w:val="2033610126"/>
          </w:sdtPr>
          <w:sdtContent>
            <w:tc>
              <w:tcPr>
                <w:tcW w:w="1022" w:type="pct"/>
                <w:vAlign w:val="center"/>
              </w:tcPr>
              <w:p w14:paraId="4EABFB91">
                <w:pPr>
                  <w:jc w:val="center"/>
                  <w:rPr>
                    <w:rFonts w:hint="eastAsia"/>
                    <w:szCs w:val="21"/>
                  </w:rPr>
                </w:pPr>
                <w:r>
                  <w:rPr>
                    <w:rFonts w:hint="eastAsia"/>
                    <w:szCs w:val="21"/>
                  </w:rPr>
                  <w:t>计提理由</w:t>
                </w:r>
              </w:p>
            </w:tc>
          </w:sdtContent>
        </w:sdt>
      </w:tr>
      <w:tr w14:paraId="3FA3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198F812E">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岳阳市土地储备中心</w:t>
            </w:r>
          </w:p>
        </w:tc>
        <w:tc>
          <w:tcPr>
            <w:tcW w:w="939" w:type="pct"/>
            <w:vAlign w:val="center"/>
          </w:tcPr>
          <w:p w14:paraId="315B9183">
            <w:pPr>
              <w:jc w:val="right"/>
              <w:rPr>
                <w:rFonts w:hint="eastAsia"/>
                <w:szCs w:val="21"/>
              </w:rPr>
            </w:pPr>
            <w:r>
              <w:rPr>
                <w:rFonts w:ascii="Arial Narrow" w:hAnsi="Arial Narrow" w:eastAsia="等线"/>
                <w:color w:val="000000"/>
                <w:szCs w:val="21"/>
              </w:rPr>
              <w:t>228,745,700.00</w:t>
            </w:r>
          </w:p>
        </w:tc>
        <w:tc>
          <w:tcPr>
            <w:tcW w:w="940" w:type="pct"/>
            <w:vAlign w:val="center"/>
          </w:tcPr>
          <w:p w14:paraId="20EA133A">
            <w:pPr>
              <w:jc w:val="right"/>
              <w:rPr>
                <w:rFonts w:hint="eastAsia"/>
                <w:szCs w:val="21"/>
              </w:rPr>
            </w:pPr>
            <w:r>
              <w:rPr>
                <w:rFonts w:ascii="Arial Narrow" w:hAnsi="Arial Narrow" w:eastAsia="等线"/>
                <w:color w:val="000000"/>
                <w:szCs w:val="21"/>
              </w:rPr>
              <w:t>35,122,458.27</w:t>
            </w:r>
          </w:p>
        </w:tc>
        <w:tc>
          <w:tcPr>
            <w:tcW w:w="939" w:type="pct"/>
            <w:vAlign w:val="center"/>
          </w:tcPr>
          <w:p w14:paraId="4EF05A3B">
            <w:pPr>
              <w:jc w:val="center"/>
              <w:rPr>
                <w:rFonts w:hint="eastAsia"/>
                <w:szCs w:val="21"/>
              </w:rPr>
            </w:pPr>
            <w:r>
              <w:rPr>
                <w:rFonts w:ascii="Arial Narrow" w:hAnsi="Arial Narrow" w:eastAsia="等线"/>
                <w:color w:val="000000"/>
                <w:szCs w:val="21"/>
              </w:rPr>
              <w:t>15.35</w:t>
            </w:r>
          </w:p>
        </w:tc>
        <w:tc>
          <w:tcPr>
            <w:tcW w:w="1022" w:type="pct"/>
            <w:vAlign w:val="center"/>
          </w:tcPr>
          <w:p w14:paraId="75C2722E">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还款计划</w:t>
            </w:r>
          </w:p>
        </w:tc>
      </w:tr>
      <w:tr w14:paraId="6538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268EE1AE">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武汉星辰房地产开发有限公司</w:t>
            </w:r>
          </w:p>
        </w:tc>
        <w:tc>
          <w:tcPr>
            <w:tcW w:w="939" w:type="pct"/>
            <w:vAlign w:val="center"/>
          </w:tcPr>
          <w:p w14:paraId="5274875B">
            <w:pPr>
              <w:jc w:val="right"/>
              <w:rPr>
                <w:rFonts w:hint="eastAsia"/>
                <w:szCs w:val="21"/>
              </w:rPr>
            </w:pPr>
            <w:r>
              <w:rPr>
                <w:rFonts w:ascii="Arial Narrow" w:hAnsi="Arial Narrow" w:eastAsia="等线"/>
                <w:color w:val="000000"/>
                <w:szCs w:val="21"/>
              </w:rPr>
              <w:t>206,268,393.63</w:t>
            </w:r>
          </w:p>
        </w:tc>
        <w:tc>
          <w:tcPr>
            <w:tcW w:w="940" w:type="pct"/>
            <w:vAlign w:val="center"/>
          </w:tcPr>
          <w:p w14:paraId="5B79A245">
            <w:pPr>
              <w:jc w:val="right"/>
              <w:rPr>
                <w:rFonts w:hint="eastAsia"/>
                <w:szCs w:val="21"/>
              </w:rPr>
            </w:pPr>
          </w:p>
        </w:tc>
        <w:tc>
          <w:tcPr>
            <w:tcW w:w="939" w:type="pct"/>
            <w:vAlign w:val="center"/>
          </w:tcPr>
          <w:p w14:paraId="645326B4">
            <w:pPr>
              <w:jc w:val="center"/>
              <w:rPr>
                <w:rFonts w:hint="eastAsia"/>
                <w:szCs w:val="21"/>
              </w:rPr>
            </w:pPr>
          </w:p>
        </w:tc>
        <w:tc>
          <w:tcPr>
            <w:tcW w:w="1022" w:type="pct"/>
            <w:vAlign w:val="center"/>
          </w:tcPr>
          <w:p w14:paraId="6500A7F9">
            <w:pPr>
              <w:jc w:val="center"/>
              <w:rPr>
                <w:rFonts w:hint="eastAsia" w:asciiTheme="minorEastAsia" w:hAnsiTheme="minorEastAsia" w:eastAsiaTheme="minorEastAsia"/>
                <w:szCs w:val="21"/>
              </w:rPr>
            </w:pPr>
            <w:r>
              <w:rPr>
                <w:rFonts w:hint="eastAsia" w:asciiTheme="minorEastAsia" w:hAnsiTheme="minorEastAsia" w:eastAsiaTheme="minorEastAsia"/>
                <w:color w:val="000000"/>
                <w:szCs w:val="21"/>
              </w:rPr>
              <w:t>/</w:t>
            </w:r>
          </w:p>
        </w:tc>
      </w:tr>
      <w:tr w14:paraId="0C51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0C0BB8F4">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天津市永信房屋拆迁有限责任公司</w:t>
            </w:r>
          </w:p>
        </w:tc>
        <w:tc>
          <w:tcPr>
            <w:tcW w:w="939" w:type="pct"/>
            <w:vAlign w:val="center"/>
          </w:tcPr>
          <w:p w14:paraId="38C3290B">
            <w:pPr>
              <w:jc w:val="right"/>
              <w:rPr>
                <w:rFonts w:hint="eastAsia"/>
                <w:szCs w:val="21"/>
              </w:rPr>
            </w:pPr>
            <w:r>
              <w:rPr>
                <w:rFonts w:ascii="Arial Narrow" w:hAnsi="Arial Narrow" w:eastAsia="等线"/>
                <w:color w:val="000000"/>
                <w:szCs w:val="21"/>
              </w:rPr>
              <w:t>168,000,000.00</w:t>
            </w:r>
          </w:p>
        </w:tc>
        <w:tc>
          <w:tcPr>
            <w:tcW w:w="940" w:type="pct"/>
            <w:vAlign w:val="center"/>
          </w:tcPr>
          <w:p w14:paraId="320A61C4">
            <w:pPr>
              <w:jc w:val="right"/>
              <w:rPr>
                <w:rFonts w:hint="eastAsia"/>
                <w:szCs w:val="21"/>
              </w:rPr>
            </w:pPr>
            <w:r>
              <w:rPr>
                <w:rFonts w:ascii="Arial Narrow" w:hAnsi="Arial Narrow" w:eastAsia="等线"/>
                <w:color w:val="000000"/>
                <w:szCs w:val="21"/>
              </w:rPr>
              <w:t>26,825,584.69</w:t>
            </w:r>
          </w:p>
        </w:tc>
        <w:tc>
          <w:tcPr>
            <w:tcW w:w="939" w:type="pct"/>
            <w:vAlign w:val="center"/>
          </w:tcPr>
          <w:p w14:paraId="53555CB7">
            <w:pPr>
              <w:jc w:val="center"/>
              <w:rPr>
                <w:rFonts w:hint="eastAsia"/>
                <w:szCs w:val="21"/>
              </w:rPr>
            </w:pPr>
            <w:r>
              <w:rPr>
                <w:rFonts w:ascii="Arial Narrow" w:hAnsi="Arial Narrow" w:eastAsia="等线"/>
                <w:color w:val="000000"/>
                <w:szCs w:val="21"/>
              </w:rPr>
              <w:t>15.97</w:t>
            </w:r>
          </w:p>
        </w:tc>
        <w:tc>
          <w:tcPr>
            <w:tcW w:w="1022" w:type="pct"/>
            <w:vAlign w:val="center"/>
          </w:tcPr>
          <w:p w14:paraId="0CD2C162">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还款计划</w:t>
            </w:r>
          </w:p>
        </w:tc>
      </w:tr>
      <w:tr w14:paraId="14AC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02C67902">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南京江宁科学园发展有限公司</w:t>
            </w:r>
          </w:p>
        </w:tc>
        <w:tc>
          <w:tcPr>
            <w:tcW w:w="939" w:type="pct"/>
            <w:vAlign w:val="center"/>
          </w:tcPr>
          <w:p w14:paraId="131CF79A">
            <w:pPr>
              <w:jc w:val="right"/>
              <w:rPr>
                <w:rFonts w:hint="eastAsia"/>
                <w:szCs w:val="21"/>
              </w:rPr>
            </w:pPr>
            <w:r>
              <w:rPr>
                <w:rFonts w:ascii="Arial Narrow" w:hAnsi="Arial Narrow" w:eastAsia="等线"/>
                <w:color w:val="000000"/>
                <w:szCs w:val="21"/>
              </w:rPr>
              <w:t>140,000,000.00</w:t>
            </w:r>
          </w:p>
        </w:tc>
        <w:tc>
          <w:tcPr>
            <w:tcW w:w="940" w:type="pct"/>
            <w:vAlign w:val="center"/>
          </w:tcPr>
          <w:p w14:paraId="5953996D">
            <w:pPr>
              <w:jc w:val="right"/>
              <w:rPr>
                <w:rFonts w:hint="eastAsia"/>
                <w:szCs w:val="21"/>
              </w:rPr>
            </w:pPr>
            <w:r>
              <w:rPr>
                <w:rFonts w:ascii="Arial Narrow" w:hAnsi="Arial Narrow" w:eastAsia="等线"/>
                <w:color w:val="000000"/>
                <w:szCs w:val="21"/>
              </w:rPr>
              <w:t>9,178,643.53</w:t>
            </w:r>
          </w:p>
        </w:tc>
        <w:tc>
          <w:tcPr>
            <w:tcW w:w="939" w:type="pct"/>
            <w:vAlign w:val="center"/>
          </w:tcPr>
          <w:p w14:paraId="7731CA34">
            <w:pPr>
              <w:jc w:val="center"/>
              <w:rPr>
                <w:rFonts w:hint="eastAsia"/>
                <w:szCs w:val="21"/>
              </w:rPr>
            </w:pPr>
            <w:r>
              <w:rPr>
                <w:rFonts w:ascii="Arial Narrow" w:hAnsi="Arial Narrow" w:eastAsia="等线"/>
                <w:color w:val="000000"/>
                <w:szCs w:val="21"/>
              </w:rPr>
              <w:t>6.56</w:t>
            </w:r>
          </w:p>
        </w:tc>
        <w:tc>
          <w:tcPr>
            <w:tcW w:w="1022" w:type="pct"/>
            <w:vAlign w:val="center"/>
          </w:tcPr>
          <w:p w14:paraId="4C272467">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还款计划</w:t>
            </w:r>
          </w:p>
        </w:tc>
      </w:tr>
      <w:tr w14:paraId="7A1A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76B57D26">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西安长刚置业有限责任公司</w:t>
            </w:r>
          </w:p>
        </w:tc>
        <w:tc>
          <w:tcPr>
            <w:tcW w:w="939" w:type="pct"/>
            <w:vAlign w:val="center"/>
          </w:tcPr>
          <w:p w14:paraId="2B8F1431">
            <w:pPr>
              <w:jc w:val="right"/>
              <w:rPr>
                <w:rFonts w:hint="eastAsia"/>
                <w:szCs w:val="21"/>
              </w:rPr>
            </w:pPr>
            <w:r>
              <w:rPr>
                <w:rFonts w:ascii="Arial Narrow" w:hAnsi="Arial Narrow" w:eastAsia="等线"/>
                <w:color w:val="000000"/>
                <w:szCs w:val="21"/>
              </w:rPr>
              <w:t>5,910,000.00</w:t>
            </w:r>
          </w:p>
        </w:tc>
        <w:tc>
          <w:tcPr>
            <w:tcW w:w="940" w:type="pct"/>
            <w:vAlign w:val="center"/>
          </w:tcPr>
          <w:p w14:paraId="2B06592B">
            <w:pPr>
              <w:jc w:val="right"/>
              <w:rPr>
                <w:rFonts w:hint="eastAsia"/>
                <w:szCs w:val="21"/>
              </w:rPr>
            </w:pPr>
            <w:r>
              <w:rPr>
                <w:rFonts w:ascii="Arial Narrow" w:hAnsi="Arial Narrow" w:eastAsia="等线"/>
                <w:color w:val="000000"/>
                <w:szCs w:val="21"/>
              </w:rPr>
              <w:t>5,910,000.00</w:t>
            </w:r>
          </w:p>
        </w:tc>
        <w:tc>
          <w:tcPr>
            <w:tcW w:w="939" w:type="pct"/>
            <w:vAlign w:val="center"/>
          </w:tcPr>
          <w:p w14:paraId="2D979765">
            <w:pPr>
              <w:jc w:val="center"/>
              <w:rPr>
                <w:rFonts w:hint="eastAsia"/>
                <w:szCs w:val="21"/>
              </w:rPr>
            </w:pPr>
            <w:r>
              <w:rPr>
                <w:rFonts w:ascii="Arial Narrow" w:hAnsi="Arial Narrow" w:eastAsia="等线"/>
                <w:color w:val="000000"/>
                <w:szCs w:val="21"/>
              </w:rPr>
              <w:t>100.00</w:t>
            </w:r>
          </w:p>
        </w:tc>
        <w:tc>
          <w:tcPr>
            <w:tcW w:w="1022" w:type="pct"/>
            <w:vAlign w:val="center"/>
          </w:tcPr>
          <w:p w14:paraId="2B97D030">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无可执行财产</w:t>
            </w:r>
          </w:p>
        </w:tc>
      </w:tr>
      <w:tr w14:paraId="1F88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center"/>
          </w:tcPr>
          <w:p w14:paraId="69AFA55E">
            <w:pPr>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939" w:type="pct"/>
            <w:vAlign w:val="center"/>
          </w:tcPr>
          <w:p w14:paraId="1267FD77">
            <w:pPr>
              <w:jc w:val="right"/>
              <w:rPr>
                <w:rFonts w:hint="eastAsia"/>
                <w:szCs w:val="21"/>
              </w:rPr>
            </w:pPr>
            <w:r>
              <w:rPr>
                <w:rFonts w:ascii="Arial Narrow" w:hAnsi="Arial Narrow" w:eastAsia="等线"/>
                <w:color w:val="000000"/>
                <w:szCs w:val="21"/>
              </w:rPr>
              <w:t>748,924,093.63</w:t>
            </w:r>
          </w:p>
        </w:tc>
        <w:tc>
          <w:tcPr>
            <w:tcW w:w="940" w:type="pct"/>
            <w:vAlign w:val="center"/>
          </w:tcPr>
          <w:p w14:paraId="3A736A70">
            <w:pPr>
              <w:jc w:val="right"/>
              <w:rPr>
                <w:rFonts w:hint="eastAsia"/>
                <w:szCs w:val="21"/>
              </w:rPr>
            </w:pPr>
            <w:r>
              <w:rPr>
                <w:rFonts w:ascii="Arial Narrow" w:hAnsi="Arial Narrow" w:eastAsia="等线"/>
                <w:color w:val="000000"/>
                <w:szCs w:val="21"/>
              </w:rPr>
              <w:t>77,036,686.49</w:t>
            </w:r>
          </w:p>
        </w:tc>
        <w:tc>
          <w:tcPr>
            <w:tcW w:w="939" w:type="pct"/>
            <w:vAlign w:val="center"/>
          </w:tcPr>
          <w:p w14:paraId="78C72AF8">
            <w:pPr>
              <w:jc w:val="center"/>
              <w:rPr>
                <w:rFonts w:hint="eastAsia"/>
                <w:szCs w:val="21"/>
              </w:rPr>
            </w:pPr>
            <w:r>
              <w:rPr>
                <w:rFonts w:ascii="Arial Narrow" w:hAnsi="Arial Narrow" w:eastAsia="等线"/>
                <w:color w:val="000000"/>
                <w:szCs w:val="21"/>
              </w:rPr>
              <w:t>10.29</w:t>
            </w:r>
          </w:p>
        </w:tc>
        <w:tc>
          <w:tcPr>
            <w:tcW w:w="1022" w:type="pct"/>
            <w:vAlign w:val="center"/>
          </w:tcPr>
          <w:p w14:paraId="0BC85599">
            <w:pPr>
              <w:jc w:val="center"/>
              <w:rPr>
                <w:rFonts w:hint="eastAsia" w:cs="Times New Roman"/>
                <w:bCs/>
                <w:szCs w:val="22"/>
              </w:rPr>
            </w:pPr>
            <w:r>
              <w:rPr>
                <w:rFonts w:hint="eastAsia" w:cs="Times New Roman"/>
                <w:bCs/>
                <w:szCs w:val="22"/>
              </w:rPr>
              <w:t>/</w:t>
            </w:r>
          </w:p>
        </w:tc>
      </w:tr>
    </w:tbl>
    <w:p w14:paraId="51825BAD">
      <w:pPr>
        <w:rPr>
          <w:rFonts w:hint="eastAsia"/>
          <w:szCs w:val="21"/>
        </w:rPr>
      </w:pPr>
      <w:r>
        <w:rPr>
          <w:rFonts w:hint="eastAsia"/>
          <w:szCs w:val="21"/>
        </w:rPr>
        <w:t>按单项计提坏账准备的说明：</w:t>
      </w:r>
    </w:p>
    <w:sdt>
      <w:sdtPr>
        <w:rPr>
          <w:szCs w:val="21"/>
        </w:rPr>
        <w:alias w:val="是否适用：按单项计提坏账准备的说明[双击切换]"/>
        <w:tag w:val="_GBC_ee6f2bb0912a4ff4a6aa0561400844a8"/>
        <w:id w:val="1258864449"/>
        <w:placeholder>
          <w:docPart w:val="GBC22222222222222222222222222222"/>
        </w:placeholder>
      </w:sdtPr>
      <w:sdtEndPr>
        <w:rPr>
          <w:szCs w:val="21"/>
        </w:rPr>
      </w:sdtEndPr>
      <w:sdtContent>
        <w:p w14:paraId="59A863F0">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C0ED6B7">
      <w:pPr>
        <w:rPr>
          <w:rFonts w:hint="eastAsia"/>
          <w:szCs w:val="21"/>
        </w:rPr>
      </w:pPr>
    </w:p>
    <w:p w14:paraId="504FECDE">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highlight w:val="yellow"/>
        </w:rPr>
        <w:alias w:val="是否适用：按组合计提坏账准备的详细情况[双击切换]"/>
        <w:tag w:val="_GBC_e6c71fc91a6941b5af515956aed70086"/>
        <w:id w:val="-2137013970"/>
        <w:placeholder>
          <w:docPart w:val="GBC22222222222222222222222222222"/>
        </w:placeholder>
      </w:sdtPr>
      <w:sdtEndPr>
        <w:rPr>
          <w:rFonts w:ascii="Calibri" w:hAnsi="Calibri" w:cs="Times New Roman"/>
          <w:bCs/>
          <w:szCs w:val="22"/>
          <w:highlight w:val="none"/>
        </w:rPr>
      </w:sdtEndPr>
      <w:sdtContent>
        <w:p w14:paraId="253ED7F1">
          <w:pPr>
            <w:rPr>
              <w:rFonts w:ascii="Calibri" w:hAnsi="Calibri" w:cs="Times New Roman"/>
              <w:bCs/>
              <w:szCs w:val="22"/>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2B8BE9A1">
      <w:pPr>
        <w:rPr>
          <w:rFonts w:ascii="Calibri" w:hAnsi="Calibri" w:cs="Times New Roman"/>
          <w:bCs/>
          <w:szCs w:val="22"/>
        </w:rPr>
      </w:pPr>
      <w:r>
        <w:rPr>
          <w:rFonts w:hint="eastAsia"/>
        </w:rPr>
        <w:t>组合计提项目</w:t>
      </w:r>
      <w:r>
        <w:rPr>
          <w:rFonts w:hint="eastAsia" w:ascii="Calibri" w:hAnsi="Calibri" w:cs="Times New Roman"/>
          <w:bCs/>
          <w:szCs w:val="22"/>
        </w:rPr>
        <w:t>：</w:t>
      </w:r>
      <w:sdt>
        <w:sdtPr>
          <w:rPr>
            <w:rFonts w:hint="eastAsia" w:ascii="Calibri" w:hAnsi="Calibri" w:cs="Times New Roman"/>
            <w:bCs/>
            <w:szCs w:val="22"/>
          </w:rPr>
          <w:alias w:val="按组合计提坏账准备的明细-类别"/>
          <w:tag w:val="_GBC_5a34b4b0f751449bbf61b61007c30748"/>
          <w:id w:val="1585875524"/>
          <w:placeholder>
            <w:docPart w:val="800A941C143C4EBD80E079FFE8E99627"/>
          </w:placeholder>
          <w:comboBox>
            <w:listItem w:displayText="账龄组合" w:value="账龄组合"/>
          </w:comboBox>
        </w:sdtPr>
        <w:sdtEndPr>
          <w:rPr>
            <w:rFonts w:hint="eastAsia" w:ascii="Calibri" w:hAnsi="Calibri" w:cs="Times New Roman"/>
            <w:bCs/>
            <w:szCs w:val="22"/>
          </w:rPr>
        </w:sdtEndPr>
        <w:sdtContent>
          <w:r>
            <w:rPr>
              <w:rFonts w:hint="eastAsia" w:ascii="Calibri" w:hAnsi="Calibri" w:cs="Times New Roman"/>
              <w:bCs/>
              <w:szCs w:val="22"/>
            </w:rPr>
            <w:t>账龄组合</w:t>
          </w:r>
        </w:sdtContent>
      </w:sdt>
    </w:p>
    <w:p w14:paraId="318E9BA8">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按组合计提坏账准备的详细名称"/>
          <w:tag w:val="_GBC_aba9e62fc6e24c4c8787552671b664f0"/>
          <w:id w:val="-1539273870"/>
          <w:placeholder>
            <w:docPart w:val="800A941C143C4EBD80E079FFE8E99627"/>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详细名称"/>
          <w:tag w:val="_GBC_8d266eb0aa3b45bcbc86a927ecdc2a43"/>
          <w:id w:val="-100181952"/>
          <w:placeholder>
            <w:docPart w:val="800A941C143C4EBD80E079FFE8E9962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r>
        <w:rPr>
          <w:szCs w:val="21"/>
        </w:rPr>
        <w:t xml:space="preserve"> </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5B10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c8a445344dc4b2e8c37dea0da347164"/>
            <w:id w:val="-242019135"/>
          </w:sdtPr>
          <w:sdtContent>
            <w:tc>
              <w:tcPr>
                <w:tcW w:w="1158" w:type="pct"/>
                <w:vMerge w:val="restart"/>
                <w:vAlign w:val="center"/>
              </w:tcPr>
              <w:p w14:paraId="46F65186">
                <w:pPr>
                  <w:jc w:val="center"/>
                  <w:rPr>
                    <w:rFonts w:hint="eastAsia"/>
                    <w:szCs w:val="21"/>
                  </w:rPr>
                </w:pPr>
                <w:r>
                  <w:rPr>
                    <w:rFonts w:hint="eastAsia"/>
                    <w:szCs w:val="21"/>
                  </w:rPr>
                  <w:t>名称</w:t>
                </w:r>
              </w:p>
            </w:tc>
          </w:sdtContent>
        </w:sdt>
        <w:sdt>
          <w:sdtPr>
            <w:tag w:val="_PLD_5c3a56726789430a84420ffc89325f16"/>
            <w:id w:val="1967305042"/>
          </w:sdtPr>
          <w:sdtContent>
            <w:tc>
              <w:tcPr>
                <w:tcW w:w="3842" w:type="pct"/>
                <w:gridSpan w:val="3"/>
                <w:vAlign w:val="center"/>
              </w:tcPr>
              <w:p w14:paraId="72A2652F">
                <w:pPr>
                  <w:jc w:val="center"/>
                  <w:rPr>
                    <w:rFonts w:hint="eastAsia"/>
                    <w:szCs w:val="21"/>
                  </w:rPr>
                </w:pPr>
                <w:r>
                  <w:rPr>
                    <w:rFonts w:hint="eastAsia"/>
                    <w:szCs w:val="21"/>
                  </w:rPr>
                  <w:t>期末余额</w:t>
                </w:r>
              </w:p>
            </w:tc>
          </w:sdtContent>
        </w:sdt>
      </w:tr>
      <w:tr w14:paraId="5C38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2795F546">
            <w:pPr>
              <w:jc w:val="center"/>
              <w:rPr>
                <w:rFonts w:hint="eastAsia"/>
                <w:szCs w:val="21"/>
              </w:rPr>
            </w:pPr>
          </w:p>
        </w:tc>
        <w:sdt>
          <w:sdtPr>
            <w:tag w:val="_PLD_de84ce709bbe44e98299c25f8c9f3251"/>
            <w:id w:val="54511143"/>
          </w:sdtPr>
          <w:sdtContent>
            <w:tc>
              <w:tcPr>
                <w:tcW w:w="1276" w:type="pct"/>
                <w:vAlign w:val="center"/>
              </w:tcPr>
              <w:p w14:paraId="3EEF373A">
                <w:pPr>
                  <w:jc w:val="center"/>
                  <w:rPr>
                    <w:rFonts w:hint="eastAsia"/>
                    <w:szCs w:val="21"/>
                  </w:rPr>
                </w:pPr>
                <w:r>
                  <w:rPr>
                    <w:rFonts w:hint="eastAsia"/>
                    <w:szCs w:val="21"/>
                  </w:rPr>
                  <w:t>长期应收款</w:t>
                </w:r>
              </w:p>
            </w:tc>
          </w:sdtContent>
        </w:sdt>
        <w:sdt>
          <w:sdtPr>
            <w:tag w:val="_PLD_524554fda3c8446ea63120695b5b835d"/>
            <w:id w:val="666911050"/>
          </w:sdtPr>
          <w:sdtContent>
            <w:tc>
              <w:tcPr>
                <w:tcW w:w="1299" w:type="pct"/>
                <w:vAlign w:val="center"/>
              </w:tcPr>
              <w:p w14:paraId="7A2679C5">
                <w:pPr>
                  <w:jc w:val="center"/>
                  <w:rPr>
                    <w:rFonts w:hint="eastAsia"/>
                    <w:szCs w:val="21"/>
                  </w:rPr>
                </w:pPr>
                <w:r>
                  <w:rPr>
                    <w:rFonts w:hint="eastAsia"/>
                    <w:szCs w:val="21"/>
                  </w:rPr>
                  <w:t>坏账准备</w:t>
                </w:r>
              </w:p>
            </w:tc>
          </w:sdtContent>
        </w:sdt>
        <w:sdt>
          <w:sdtPr>
            <w:tag w:val="_PLD_d31f2327edec413883bd411f7c5a936c"/>
            <w:id w:val="320479936"/>
          </w:sdtPr>
          <w:sdtEndPr>
            <w:rPr>
              <w:rFonts w:hint="eastAsia"/>
            </w:rPr>
          </w:sdtEndPr>
          <w:sdtContent>
            <w:tc>
              <w:tcPr>
                <w:tcW w:w="1267" w:type="pct"/>
                <w:vAlign w:val="center"/>
              </w:tcPr>
              <w:p w14:paraId="311A6245">
                <w:pPr>
                  <w:jc w:val="center"/>
                  <w:rPr>
                    <w:rFonts w:hint="eastAsia"/>
                    <w:szCs w:val="21"/>
                  </w:rPr>
                </w:pPr>
                <w:r>
                  <w:rPr>
                    <w:szCs w:val="21"/>
                  </w:rPr>
                  <w:t>计提比例</w:t>
                </w:r>
                <w:r>
                  <w:rPr>
                    <w:rFonts w:hint="eastAsia"/>
                    <w:szCs w:val="21"/>
                  </w:rPr>
                  <w:t>（%）</w:t>
                </w:r>
              </w:p>
            </w:tc>
          </w:sdtContent>
        </w:sdt>
      </w:tr>
      <w:tr w14:paraId="0800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64C204E">
            <w:pPr>
              <w:rPr>
                <w:rFonts w:hint="eastAsia"/>
                <w:szCs w:val="21"/>
              </w:rPr>
            </w:pPr>
            <w:r>
              <w:rPr>
                <w:rFonts w:hint="eastAsia"/>
                <w:color w:val="000000"/>
                <w:szCs w:val="21"/>
              </w:rPr>
              <w:t>账龄组合</w:t>
            </w:r>
          </w:p>
        </w:tc>
        <w:tc>
          <w:tcPr>
            <w:tcW w:w="1276" w:type="pct"/>
            <w:vAlign w:val="bottom"/>
          </w:tcPr>
          <w:p w14:paraId="31801725">
            <w:pPr>
              <w:jc w:val="right"/>
              <w:rPr>
                <w:rFonts w:hint="eastAsia"/>
                <w:szCs w:val="21"/>
              </w:rPr>
            </w:pPr>
            <w:r>
              <w:rPr>
                <w:rFonts w:ascii="Arial Narrow" w:hAnsi="Arial Narrow" w:eastAsia="等线"/>
                <w:color w:val="000000"/>
                <w:szCs w:val="21"/>
              </w:rPr>
              <w:t>149,461,734.98</w:t>
            </w:r>
          </w:p>
        </w:tc>
        <w:tc>
          <w:tcPr>
            <w:tcW w:w="1299" w:type="pct"/>
            <w:vAlign w:val="bottom"/>
          </w:tcPr>
          <w:p w14:paraId="1A04B2DF">
            <w:pPr>
              <w:jc w:val="right"/>
              <w:rPr>
                <w:rFonts w:hint="eastAsia"/>
                <w:szCs w:val="21"/>
              </w:rPr>
            </w:pPr>
            <w:r>
              <w:rPr>
                <w:rFonts w:ascii="Arial Narrow" w:hAnsi="Arial Narrow" w:eastAsia="等线"/>
                <w:color w:val="000000"/>
                <w:szCs w:val="21"/>
              </w:rPr>
              <w:t>77,339,381.98</w:t>
            </w:r>
          </w:p>
        </w:tc>
        <w:tc>
          <w:tcPr>
            <w:tcW w:w="1267" w:type="pct"/>
            <w:vAlign w:val="bottom"/>
          </w:tcPr>
          <w:p w14:paraId="414ED2FA">
            <w:pPr>
              <w:jc w:val="right"/>
              <w:rPr>
                <w:rFonts w:hint="eastAsia"/>
                <w:szCs w:val="21"/>
              </w:rPr>
            </w:pPr>
            <w:r>
              <w:rPr>
                <w:rFonts w:ascii="Arial Narrow" w:hAnsi="Arial Narrow" w:eastAsia="等线"/>
                <w:color w:val="000000"/>
                <w:szCs w:val="21"/>
              </w:rPr>
              <w:t>51.75</w:t>
            </w:r>
          </w:p>
        </w:tc>
      </w:tr>
      <w:tr w14:paraId="5A4C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5557C3E5">
            <w:pPr>
              <w:jc w:val="center"/>
              <w:rPr>
                <w:rFonts w:hint="eastAsia"/>
                <w:szCs w:val="21"/>
              </w:rPr>
            </w:pPr>
            <w:r>
              <w:rPr>
                <w:rFonts w:hint="eastAsia"/>
                <w:szCs w:val="21"/>
              </w:rPr>
              <w:t>合计</w:t>
            </w:r>
          </w:p>
        </w:tc>
        <w:tc>
          <w:tcPr>
            <w:tcW w:w="1276" w:type="pct"/>
            <w:vAlign w:val="bottom"/>
          </w:tcPr>
          <w:p w14:paraId="2302FEBC">
            <w:pPr>
              <w:jc w:val="right"/>
              <w:rPr>
                <w:rFonts w:hint="eastAsia"/>
                <w:szCs w:val="21"/>
              </w:rPr>
            </w:pPr>
            <w:r>
              <w:rPr>
                <w:rFonts w:ascii="Arial Narrow" w:hAnsi="Arial Narrow" w:eastAsia="等线"/>
                <w:color w:val="000000"/>
                <w:szCs w:val="21"/>
              </w:rPr>
              <w:t>149,461,734.98</w:t>
            </w:r>
          </w:p>
        </w:tc>
        <w:tc>
          <w:tcPr>
            <w:tcW w:w="1299" w:type="pct"/>
            <w:vAlign w:val="bottom"/>
          </w:tcPr>
          <w:p w14:paraId="44F34445">
            <w:pPr>
              <w:jc w:val="right"/>
              <w:rPr>
                <w:rFonts w:hint="eastAsia"/>
                <w:szCs w:val="21"/>
              </w:rPr>
            </w:pPr>
            <w:r>
              <w:rPr>
                <w:rFonts w:ascii="Arial Narrow" w:hAnsi="Arial Narrow" w:eastAsia="等线"/>
                <w:color w:val="000000"/>
                <w:szCs w:val="21"/>
              </w:rPr>
              <w:t>77,339,381.98</w:t>
            </w:r>
          </w:p>
        </w:tc>
        <w:tc>
          <w:tcPr>
            <w:tcW w:w="1267" w:type="pct"/>
            <w:vAlign w:val="bottom"/>
          </w:tcPr>
          <w:p w14:paraId="438ED9F7">
            <w:pPr>
              <w:jc w:val="right"/>
              <w:rPr>
                <w:rFonts w:hint="eastAsia"/>
                <w:szCs w:val="21"/>
              </w:rPr>
            </w:pPr>
            <w:r>
              <w:rPr>
                <w:rFonts w:ascii="Arial Narrow" w:hAnsi="Arial Narrow" w:eastAsia="等线"/>
                <w:color w:val="000000"/>
                <w:szCs w:val="21"/>
              </w:rPr>
              <w:t>51.75</w:t>
            </w:r>
          </w:p>
        </w:tc>
      </w:tr>
    </w:tbl>
    <w:p w14:paraId="4CF52AFE">
      <w:pPr>
        <w:rPr>
          <w:rFonts w:hint="eastAsia"/>
          <w:szCs w:val="21"/>
        </w:rPr>
      </w:pPr>
      <w:r>
        <w:rPr>
          <w:rFonts w:hint="eastAsia"/>
          <w:szCs w:val="21"/>
        </w:rPr>
        <w:t>按组合计提坏账准备的说明</w:t>
      </w:r>
    </w:p>
    <w:sdt>
      <w:sdtPr>
        <w:rPr>
          <w:szCs w:val="21"/>
        </w:rPr>
        <w:alias w:val="是否适用：按组合计提坏账准备的的说明[双击切换]"/>
        <w:tag w:val="_GBC_620a3d7141cf4520bcfc563c9e619000"/>
        <w:id w:val="1569155852"/>
        <w:placeholder>
          <w:docPart w:val="800A941C143C4EBD80E079FFE8E99627"/>
        </w:placeholder>
      </w:sdtPr>
      <w:sdtEndPr>
        <w:rPr>
          <w:szCs w:val="21"/>
        </w:rPr>
      </w:sdtEndPr>
      <w:sdtContent>
        <w:p w14:paraId="747F3686">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249DF47">
      <w:pPr>
        <w:rPr>
          <w:rFonts w:hint="eastAsia"/>
          <w:szCs w:val="21"/>
        </w:rPr>
      </w:pPr>
    </w:p>
    <w:p w14:paraId="07075973">
      <w:pPr>
        <w:rPr>
          <w:rFonts w:ascii="Calibri" w:hAnsi="Calibri" w:cs="Times New Roman"/>
          <w:b/>
          <w:bCs/>
          <w:szCs w:val="22"/>
        </w:rPr>
      </w:pPr>
    </w:p>
    <w:bookmarkEnd w:id="302"/>
    <w:p w14:paraId="3FFF3C29">
      <w:pPr>
        <w:pStyle w:val="71"/>
        <w:numPr>
          <w:ilvl w:val="3"/>
          <w:numId w:val="121"/>
        </w:numPr>
        <w:ind w:left="426" w:hanging="426"/>
        <w:rPr>
          <w:rFonts w:hint="eastAsia"/>
        </w:rPr>
      </w:pPr>
      <w:bookmarkStart w:id="303" w:name="_Hlk533872428"/>
      <w:r>
        <w:rPr>
          <w:rFonts w:hint="eastAsia"/>
        </w:rPr>
        <w:t>按预期信用损失一般模型计提坏账准备</w:t>
      </w:r>
    </w:p>
    <w:sdt>
      <w:sdtPr>
        <w:alias w:val="是否适用：长期应收款坏账准备调节表[双击切换]"/>
        <w:tag w:val="_GBC_83c414b79fa243258be4f4c6998e475c"/>
        <w:id w:val="256561259"/>
        <w:placeholder>
          <w:docPart w:val="GBC22222222222222222222222222222"/>
        </w:placeholder>
      </w:sdtPr>
      <w:sdtContent>
        <w:p w14:paraId="3DB3D141">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6F74B8">
      <w:pPr>
        <w:autoSpaceDE w:val="0"/>
        <w:autoSpaceDN w:val="0"/>
        <w:adjustRightInd w:val="0"/>
        <w:ind w:right="105" w:rightChars="50"/>
        <w:jc w:val="right"/>
        <w:rPr>
          <w:rFonts w:hint="eastAsia"/>
          <w:szCs w:val="21"/>
        </w:rPr>
      </w:pPr>
      <w:r>
        <w:rPr>
          <w:rFonts w:hint="eastAsia"/>
          <w:szCs w:val="21"/>
        </w:rPr>
        <w:t>单位：</w:t>
      </w:r>
      <w:sdt>
        <w:sdtPr>
          <w:rPr>
            <w:rFonts w:hint="eastAsia"/>
            <w:szCs w:val="21"/>
          </w:rPr>
          <w:alias w:val="单位：长期应收款坏账准备调节表"/>
          <w:tag w:val="_GBC_7d2528c518494f00b0f6d9873d82b6b8"/>
          <w:id w:val="522757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长期应收款坏账准备调节表"/>
          <w:tag w:val="_GBC_5c4daf2984c3464ea5f009d8fc6503d4"/>
          <w:id w:val="-13239572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521"/>
        <w:gridCol w:w="1936"/>
        <w:gridCol w:w="1936"/>
        <w:gridCol w:w="1664"/>
      </w:tblGrid>
      <w:tr w14:paraId="64E5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e254a36bf74b8aa6d62ff3627bc51c"/>
            <w:id w:val="-55009706"/>
          </w:sdtPr>
          <w:sdtContent>
            <w:tc>
              <w:tcPr>
                <w:tcW w:w="1001" w:type="pct"/>
                <w:vMerge w:val="restart"/>
                <w:vAlign w:val="center"/>
              </w:tcPr>
              <w:p w14:paraId="6CDD82F8">
                <w:pPr>
                  <w:jc w:val="center"/>
                  <w:rPr>
                    <w:rFonts w:hint="eastAsia"/>
                    <w:szCs w:val="21"/>
                  </w:rPr>
                </w:pPr>
                <w:r>
                  <w:rPr>
                    <w:rFonts w:hint="eastAsia"/>
                  </w:rPr>
                  <w:t>坏账</w:t>
                </w:r>
                <w:r>
                  <w:t>准备</w:t>
                </w:r>
              </w:p>
            </w:tc>
          </w:sdtContent>
        </w:sdt>
        <w:sdt>
          <w:sdtPr>
            <w:tag w:val="_PLD_6728ea3d5ef54c4dbe708cf82174dd20"/>
            <w:id w:val="-1334144336"/>
          </w:sdtPr>
          <w:sdtContent>
            <w:tc>
              <w:tcPr>
                <w:tcW w:w="862" w:type="pct"/>
                <w:vAlign w:val="center"/>
              </w:tcPr>
              <w:p w14:paraId="08F652EB">
                <w:pPr>
                  <w:jc w:val="center"/>
                  <w:rPr>
                    <w:rFonts w:hint="eastAsia"/>
                    <w:szCs w:val="21"/>
                  </w:rPr>
                </w:pPr>
                <w:r>
                  <w:t>第一阶段</w:t>
                </w:r>
              </w:p>
            </w:tc>
          </w:sdtContent>
        </w:sdt>
        <w:sdt>
          <w:sdtPr>
            <w:tag w:val="_PLD_02047fc355b74a09b8b179812acc2694"/>
            <w:id w:val="-950388254"/>
          </w:sdtPr>
          <w:sdtContent>
            <w:tc>
              <w:tcPr>
                <w:tcW w:w="1097" w:type="pct"/>
                <w:vAlign w:val="center"/>
              </w:tcPr>
              <w:p w14:paraId="6CD7A75B">
                <w:pPr>
                  <w:jc w:val="center"/>
                  <w:rPr>
                    <w:rFonts w:hint="eastAsia"/>
                    <w:szCs w:val="21"/>
                  </w:rPr>
                </w:pPr>
                <w:r>
                  <w:t>第二阶段</w:t>
                </w:r>
              </w:p>
            </w:tc>
          </w:sdtContent>
        </w:sdt>
        <w:sdt>
          <w:sdtPr>
            <w:tag w:val="_PLD_e5935642877d42508a235dc58315a0f2"/>
            <w:id w:val="-529716277"/>
          </w:sdtPr>
          <w:sdtContent>
            <w:tc>
              <w:tcPr>
                <w:tcW w:w="1097" w:type="pct"/>
                <w:vAlign w:val="center"/>
              </w:tcPr>
              <w:p w14:paraId="283C51C9">
                <w:pPr>
                  <w:jc w:val="center"/>
                  <w:rPr>
                    <w:rFonts w:hint="eastAsia"/>
                    <w:szCs w:val="21"/>
                  </w:rPr>
                </w:pPr>
                <w:r>
                  <w:t>第三阶段</w:t>
                </w:r>
              </w:p>
            </w:tc>
          </w:sdtContent>
        </w:sdt>
        <w:sdt>
          <w:sdtPr>
            <w:tag w:val="_PLD_97eac4c32ede4977b86fdf2a821830f1"/>
            <w:id w:val="1280994960"/>
          </w:sdtPr>
          <w:sdtContent>
            <w:tc>
              <w:tcPr>
                <w:tcW w:w="943" w:type="pct"/>
                <w:vMerge w:val="restart"/>
                <w:vAlign w:val="center"/>
              </w:tcPr>
              <w:p w14:paraId="2D1A4C16">
                <w:pPr>
                  <w:jc w:val="center"/>
                  <w:rPr>
                    <w:rFonts w:hint="eastAsia"/>
                    <w:szCs w:val="21"/>
                  </w:rPr>
                </w:pPr>
                <w:r>
                  <w:t>合计</w:t>
                </w:r>
              </w:p>
            </w:tc>
          </w:sdtContent>
        </w:sdt>
      </w:tr>
      <w:tr w14:paraId="7F7E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vAlign w:val="center"/>
          </w:tcPr>
          <w:p w14:paraId="5947A838">
            <w:pPr>
              <w:pStyle w:val="50"/>
              <w:spacing w:after="0" w:line="240" w:lineRule="auto"/>
              <w:jc w:val="both"/>
              <w:rPr>
                <w:rFonts w:hint="eastAsia" w:ascii="宋体" w:hAnsi="宋体" w:eastAsia="宋体" w:cs="宋体"/>
                <w:sz w:val="21"/>
                <w:szCs w:val="21"/>
                <w:lang w:eastAsia="zh-CN"/>
              </w:rPr>
            </w:pPr>
          </w:p>
        </w:tc>
        <w:sdt>
          <w:sdtPr>
            <w:tag w:val="_PLD_a2c40398df0245aca8ae9b95349e294a"/>
            <w:id w:val="-590389974"/>
          </w:sdtPr>
          <w:sdtContent>
            <w:tc>
              <w:tcPr>
                <w:tcW w:w="862" w:type="pct"/>
                <w:vAlign w:val="center"/>
              </w:tcPr>
              <w:p w14:paraId="2D0D5326">
                <w:pPr>
                  <w:jc w:val="center"/>
                  <w:rPr>
                    <w:rFonts w:hint="eastAsia"/>
                    <w:szCs w:val="21"/>
                  </w:rPr>
                </w:pPr>
                <w:r>
                  <w:t>未来12个月预期信用损失</w:t>
                </w:r>
              </w:p>
            </w:tc>
          </w:sdtContent>
        </w:sdt>
        <w:sdt>
          <w:sdtPr>
            <w:tag w:val="_PLD_0e42fbfea225447ba1a604708ea0e5cb"/>
            <w:id w:val="1918361718"/>
          </w:sdtPr>
          <w:sdtContent>
            <w:tc>
              <w:tcPr>
                <w:tcW w:w="1097" w:type="pct"/>
                <w:vAlign w:val="center"/>
              </w:tcPr>
              <w:p w14:paraId="733B945F">
                <w:pPr>
                  <w:jc w:val="center"/>
                  <w:rPr>
                    <w:rFonts w:hint="eastAsia"/>
                    <w:szCs w:val="21"/>
                  </w:rPr>
                </w:pPr>
                <w:r>
                  <w:t>整个存续期预期信用损失(未发生信用减值)</w:t>
                </w:r>
              </w:p>
            </w:tc>
          </w:sdtContent>
        </w:sdt>
        <w:sdt>
          <w:sdtPr>
            <w:tag w:val="_PLD_80c9178ef7da44f9a0fbcd79a28d1369"/>
            <w:id w:val="1929465533"/>
          </w:sdtPr>
          <w:sdtContent>
            <w:tc>
              <w:tcPr>
                <w:tcW w:w="1097" w:type="pct"/>
                <w:vAlign w:val="center"/>
              </w:tcPr>
              <w:p w14:paraId="4FB7E9DC">
                <w:pPr>
                  <w:jc w:val="center"/>
                  <w:rPr>
                    <w:rFonts w:hint="eastAsia"/>
                    <w:szCs w:val="21"/>
                  </w:rPr>
                </w:pPr>
                <w:r>
                  <w:t>整个存续期预期信用损失(已发生信用减值)</w:t>
                </w:r>
              </w:p>
            </w:tc>
          </w:sdtContent>
        </w:sdt>
        <w:tc>
          <w:tcPr>
            <w:tcW w:w="943" w:type="pct"/>
            <w:vMerge w:val="continue"/>
            <w:vAlign w:val="center"/>
          </w:tcPr>
          <w:p w14:paraId="5D9385BF">
            <w:pPr>
              <w:jc w:val="center"/>
              <w:rPr>
                <w:rFonts w:hint="eastAsia"/>
                <w:szCs w:val="21"/>
              </w:rPr>
            </w:pPr>
          </w:p>
        </w:tc>
      </w:tr>
      <w:tr w14:paraId="500F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3ECA7D1D">
            <w:pPr>
              <w:pStyle w:val="50"/>
              <w:spacing w:after="0" w:line="240" w:lineRule="auto"/>
              <w:jc w:val="both"/>
              <w:rPr>
                <w:rFonts w:hint="eastAsia" w:ascii="宋体" w:hAnsi="宋体" w:eastAsia="宋体" w:cs="宋体"/>
                <w:sz w:val="21"/>
                <w:szCs w:val="21"/>
                <w:lang w:eastAsia="zh-CN"/>
              </w:rPr>
            </w:pPr>
            <w:r>
              <w:rPr>
                <w:rFonts w:ascii="宋体" w:hAnsi="宋体" w:eastAsia="宋体" w:cs="宋体"/>
                <w:sz w:val="21"/>
                <w:szCs w:val="21"/>
                <w:lang w:eastAsia="zh-CN"/>
              </w:rPr>
              <w:t>2024年</w:t>
            </w:r>
            <w:r>
              <w:rPr>
                <w:rFonts w:hint="eastAsia" w:ascii="宋体" w:hAnsi="宋体" w:eastAsia="宋体" w:cs="宋体"/>
                <w:sz w:val="21"/>
                <w:szCs w:val="21"/>
                <w:lang w:eastAsia="zh-CN"/>
              </w:rPr>
              <w:t>1月1日余额</w:t>
            </w:r>
          </w:p>
        </w:tc>
        <w:tc>
          <w:tcPr>
            <w:tcW w:w="862" w:type="pct"/>
            <w:vAlign w:val="center"/>
          </w:tcPr>
          <w:p w14:paraId="792E8E09">
            <w:pPr>
              <w:jc w:val="right"/>
              <w:rPr>
                <w:rFonts w:hint="eastAsia"/>
                <w:szCs w:val="21"/>
              </w:rPr>
            </w:pPr>
            <w:r>
              <w:rPr>
                <w:rFonts w:ascii="Arial Narrow" w:hAnsi="Arial Narrow" w:eastAsia="等线"/>
                <w:color w:val="000000"/>
                <w:szCs w:val="21"/>
              </w:rPr>
              <w:t>52,834,806.80</w:t>
            </w:r>
          </w:p>
        </w:tc>
        <w:tc>
          <w:tcPr>
            <w:tcW w:w="1097" w:type="pct"/>
            <w:vAlign w:val="center"/>
          </w:tcPr>
          <w:p w14:paraId="0A0BDA92">
            <w:pPr>
              <w:jc w:val="right"/>
              <w:rPr>
                <w:rFonts w:hint="eastAsia"/>
                <w:szCs w:val="21"/>
              </w:rPr>
            </w:pPr>
          </w:p>
        </w:tc>
        <w:tc>
          <w:tcPr>
            <w:tcW w:w="1097" w:type="pct"/>
            <w:vAlign w:val="center"/>
          </w:tcPr>
          <w:p w14:paraId="03CCCAB7">
            <w:pPr>
              <w:jc w:val="right"/>
              <w:rPr>
                <w:rFonts w:hint="eastAsia"/>
                <w:szCs w:val="21"/>
              </w:rPr>
            </w:pPr>
            <w:r>
              <w:rPr>
                <w:rFonts w:ascii="Arial Narrow" w:hAnsi="Arial Narrow" w:eastAsia="等线"/>
                <w:color w:val="000000"/>
                <w:szCs w:val="21"/>
              </w:rPr>
              <w:t>5,910,000.00</w:t>
            </w:r>
          </w:p>
        </w:tc>
        <w:tc>
          <w:tcPr>
            <w:tcW w:w="943" w:type="pct"/>
            <w:vAlign w:val="center"/>
          </w:tcPr>
          <w:p w14:paraId="62898062">
            <w:pPr>
              <w:jc w:val="right"/>
              <w:rPr>
                <w:rFonts w:hint="eastAsia"/>
                <w:szCs w:val="21"/>
              </w:rPr>
            </w:pPr>
            <w:r>
              <w:rPr>
                <w:rFonts w:ascii="Arial Narrow" w:hAnsi="Arial Narrow" w:eastAsia="等线"/>
                <w:color w:val="000000"/>
                <w:szCs w:val="21"/>
              </w:rPr>
              <w:t>58,744,806.80</w:t>
            </w:r>
          </w:p>
        </w:tc>
      </w:tr>
      <w:tr w14:paraId="00AE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6EBBA467">
            <w:pPr>
              <w:pStyle w:val="50"/>
              <w:spacing w:after="0" w:line="24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本期计提</w:t>
            </w:r>
          </w:p>
        </w:tc>
        <w:tc>
          <w:tcPr>
            <w:tcW w:w="862" w:type="pct"/>
            <w:vAlign w:val="center"/>
          </w:tcPr>
          <w:p w14:paraId="2F9EE62D">
            <w:pPr>
              <w:jc w:val="right"/>
              <w:rPr>
                <w:rFonts w:hint="eastAsia"/>
                <w:szCs w:val="21"/>
              </w:rPr>
            </w:pPr>
            <w:r>
              <w:rPr>
                <w:rFonts w:ascii="Arial Narrow" w:hAnsi="Arial Narrow" w:eastAsia="等线"/>
                <w:color w:val="000000"/>
                <w:szCs w:val="21"/>
              </w:rPr>
              <w:t>24,504,575.18</w:t>
            </w:r>
          </w:p>
        </w:tc>
        <w:tc>
          <w:tcPr>
            <w:tcW w:w="1097" w:type="pct"/>
            <w:vAlign w:val="center"/>
          </w:tcPr>
          <w:p w14:paraId="7DF10F68">
            <w:pPr>
              <w:jc w:val="right"/>
              <w:rPr>
                <w:rFonts w:hint="eastAsia"/>
                <w:szCs w:val="21"/>
              </w:rPr>
            </w:pPr>
          </w:p>
        </w:tc>
        <w:tc>
          <w:tcPr>
            <w:tcW w:w="1097" w:type="pct"/>
            <w:vAlign w:val="center"/>
          </w:tcPr>
          <w:p w14:paraId="23E8F86D">
            <w:pPr>
              <w:jc w:val="right"/>
              <w:rPr>
                <w:rFonts w:hint="eastAsia"/>
                <w:szCs w:val="21"/>
              </w:rPr>
            </w:pPr>
            <w:r>
              <w:rPr>
                <w:rFonts w:ascii="Arial Narrow" w:hAnsi="Arial Narrow" w:eastAsia="等线"/>
                <w:color w:val="000000"/>
                <w:szCs w:val="21"/>
              </w:rPr>
              <w:t>71,126,686.49</w:t>
            </w:r>
          </w:p>
        </w:tc>
        <w:tc>
          <w:tcPr>
            <w:tcW w:w="943" w:type="pct"/>
            <w:vAlign w:val="center"/>
          </w:tcPr>
          <w:p w14:paraId="3B8F39F3">
            <w:pPr>
              <w:jc w:val="right"/>
              <w:rPr>
                <w:rFonts w:hint="eastAsia"/>
                <w:szCs w:val="21"/>
              </w:rPr>
            </w:pPr>
            <w:r>
              <w:rPr>
                <w:rFonts w:ascii="Arial Narrow" w:hAnsi="Arial Narrow" w:eastAsia="等线"/>
                <w:color w:val="000000"/>
                <w:szCs w:val="21"/>
              </w:rPr>
              <w:t>95,631,261.67</w:t>
            </w:r>
          </w:p>
        </w:tc>
      </w:tr>
      <w:tr w14:paraId="0867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14:paraId="18D1DE08">
            <w:pPr>
              <w:pStyle w:val="50"/>
              <w:spacing w:after="0" w:line="240" w:lineRule="auto"/>
              <w:rPr>
                <w:rFonts w:hint="eastAsia" w:ascii="宋体" w:hAnsi="宋体" w:eastAsia="宋体" w:cs="宋体"/>
                <w:sz w:val="21"/>
                <w:szCs w:val="21"/>
                <w:lang w:eastAsia="zh-CN"/>
              </w:rPr>
            </w:pPr>
            <w:r>
              <w:rPr>
                <w:rFonts w:ascii="宋体" w:hAnsi="宋体" w:eastAsia="宋体" w:cs="宋体"/>
                <w:sz w:val="21"/>
                <w:szCs w:val="21"/>
                <w:lang w:eastAsia="zh-CN"/>
              </w:rPr>
              <w:t>2024年12月31日</w:t>
            </w:r>
            <w:r>
              <w:rPr>
                <w:rFonts w:hint="eastAsia" w:ascii="宋体" w:hAnsi="宋体" w:eastAsia="宋体" w:cs="宋体"/>
                <w:sz w:val="21"/>
                <w:szCs w:val="21"/>
                <w:lang w:eastAsia="zh-CN"/>
              </w:rPr>
              <w:t>余额</w:t>
            </w:r>
          </w:p>
        </w:tc>
        <w:tc>
          <w:tcPr>
            <w:tcW w:w="862" w:type="pct"/>
            <w:vAlign w:val="center"/>
          </w:tcPr>
          <w:p w14:paraId="463FA243">
            <w:pPr>
              <w:jc w:val="right"/>
              <w:rPr>
                <w:rFonts w:hint="eastAsia"/>
                <w:szCs w:val="21"/>
              </w:rPr>
            </w:pPr>
            <w:r>
              <w:rPr>
                <w:rFonts w:ascii="Arial Narrow" w:hAnsi="Arial Narrow" w:eastAsia="等线"/>
                <w:color w:val="000000"/>
                <w:szCs w:val="21"/>
              </w:rPr>
              <w:t>77,339,381.98</w:t>
            </w:r>
          </w:p>
        </w:tc>
        <w:tc>
          <w:tcPr>
            <w:tcW w:w="1097" w:type="pct"/>
            <w:vAlign w:val="center"/>
          </w:tcPr>
          <w:p w14:paraId="1240B783">
            <w:pPr>
              <w:jc w:val="right"/>
              <w:rPr>
                <w:rFonts w:hint="eastAsia"/>
                <w:szCs w:val="21"/>
              </w:rPr>
            </w:pPr>
          </w:p>
        </w:tc>
        <w:tc>
          <w:tcPr>
            <w:tcW w:w="1097" w:type="pct"/>
            <w:vAlign w:val="center"/>
          </w:tcPr>
          <w:p w14:paraId="57CCE7E4">
            <w:pPr>
              <w:jc w:val="right"/>
              <w:rPr>
                <w:rFonts w:hint="eastAsia"/>
                <w:szCs w:val="21"/>
              </w:rPr>
            </w:pPr>
            <w:r>
              <w:rPr>
                <w:rFonts w:ascii="Arial Narrow" w:hAnsi="Arial Narrow" w:eastAsia="等线"/>
                <w:color w:val="000000"/>
                <w:szCs w:val="21"/>
              </w:rPr>
              <w:t>77,036,686.49</w:t>
            </w:r>
          </w:p>
        </w:tc>
        <w:tc>
          <w:tcPr>
            <w:tcW w:w="943" w:type="pct"/>
            <w:vAlign w:val="center"/>
          </w:tcPr>
          <w:p w14:paraId="6AE904B8">
            <w:pPr>
              <w:jc w:val="right"/>
              <w:rPr>
                <w:rFonts w:hint="eastAsia"/>
                <w:szCs w:val="21"/>
              </w:rPr>
            </w:pPr>
            <w:r>
              <w:rPr>
                <w:rFonts w:ascii="Arial Narrow" w:hAnsi="Arial Narrow" w:eastAsia="等线"/>
                <w:color w:val="000000"/>
                <w:szCs w:val="21"/>
              </w:rPr>
              <w:t>154,376,068.47</w:t>
            </w:r>
          </w:p>
        </w:tc>
      </w:tr>
    </w:tbl>
    <w:p w14:paraId="7289347C">
      <w:pPr>
        <w:rPr>
          <w:rFonts w:hint="eastAsia"/>
        </w:rPr>
      </w:pPr>
    </w:p>
    <w:p w14:paraId="14AF6ACA">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长期应收款各阶段划分依据和减值准备计提比例"/>
        <w:tag w:val="_GBC_1ce93281b7234898b8b1b4056be89182"/>
        <w:id w:val="37402219"/>
        <w:placeholder>
          <w:docPart w:val="GBC22222222222222222222222222222"/>
        </w:placeholder>
      </w:sdtPr>
      <w:sdtEndPr>
        <w:rPr>
          <w:rFonts w:cs="Times New Roman"/>
          <w:bCs/>
          <w:szCs w:val="22"/>
        </w:rPr>
      </w:sdtEndPr>
      <w:sdtContent>
        <w:p w14:paraId="28A09709">
          <w:pPr>
            <w:rPr>
              <w:rFonts w:hint="eastAsia" w:cs="Times New Roman"/>
              <w:bCs/>
              <w:szCs w:val="22"/>
            </w:rPr>
          </w:pPr>
          <w:r>
            <w:rPr>
              <w:rFonts w:hint="eastAsia" w:cs="Times New Roman"/>
              <w:bCs/>
              <w:szCs w:val="22"/>
            </w:rPr>
            <w:t>无</w:t>
          </w:r>
        </w:p>
      </w:sdtContent>
    </w:sdt>
    <w:p w14:paraId="33CEEAF8">
      <w:pPr>
        <w:rPr>
          <w:rFonts w:hint="eastAsia"/>
        </w:rPr>
      </w:pPr>
    </w:p>
    <w:p w14:paraId="2418F680">
      <w:pPr>
        <w:pStyle w:val="123"/>
      </w:pPr>
      <w:r>
        <w:rPr>
          <w:rFonts w:hint="eastAsia"/>
        </w:rPr>
        <w:t>对本期发生损失准备变动的长期应收款账面余额显著变动的情况说明：</w:t>
      </w:r>
    </w:p>
    <w:sdt>
      <w:sdtPr>
        <w:rPr>
          <w:szCs w:val="21"/>
        </w:rPr>
        <w:alias w:val="是否适用：长期应收款本期发生损失准备变动且账面余额显著变动的情况说明[双击切换]"/>
        <w:tag w:val="_GBC_8e2c1b904a3a4c10829d424151d47109"/>
        <w:id w:val="-1635786446"/>
        <w:placeholder>
          <w:docPart w:val="GBC22222222222222222222222222222"/>
        </w:placeholder>
      </w:sdtPr>
      <w:sdtEndPr>
        <w:rPr>
          <w:szCs w:val="21"/>
        </w:rPr>
      </w:sdtEndPr>
      <w:sdtContent>
        <w:p w14:paraId="1F7D88C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7E18794">
      <w:pPr>
        <w:rPr>
          <w:rFonts w:hint="eastAsia"/>
          <w:szCs w:val="21"/>
        </w:rPr>
      </w:pPr>
    </w:p>
    <w:bookmarkEnd w:id="303"/>
    <w:p w14:paraId="721AE1AD">
      <w:pPr>
        <w:pStyle w:val="123"/>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314802481"/>
        <w:placeholder>
          <w:docPart w:val="GBC22222222222222222222222222222"/>
        </w:placeholder>
      </w:sdtPr>
      <w:sdtEndPr>
        <w:rPr>
          <w:szCs w:val="21"/>
        </w:rPr>
      </w:sdtEndPr>
      <w:sdtContent>
        <w:p w14:paraId="0C4D996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802F736">
      <w:pPr>
        <w:rPr>
          <w:rFonts w:hint="eastAsia"/>
          <w:szCs w:val="21"/>
        </w:rPr>
      </w:pPr>
    </w:p>
    <w:p w14:paraId="44D29095">
      <w:pPr>
        <w:pStyle w:val="71"/>
        <w:numPr>
          <w:ilvl w:val="3"/>
          <w:numId w:val="121"/>
        </w:numPr>
        <w:ind w:left="426" w:hanging="426"/>
        <w:rPr>
          <w:rFonts w:hint="eastAsia"/>
        </w:rPr>
      </w:pPr>
      <w:bookmarkStart w:id="304" w:name="_Hlk154131356"/>
      <w:bookmarkStart w:id="305" w:name="_Hlk153457634"/>
      <w:r>
        <w:rPr>
          <w:rFonts w:hint="eastAsia"/>
        </w:rPr>
        <w:t>坏账准备的情况</w:t>
      </w:r>
    </w:p>
    <w:sdt>
      <w:sdtPr>
        <w:alias w:val="是否适用：坏账准备情况[双击切换]"/>
        <w:tag w:val="_GBC_1878fe8dd18b4d7f9eb1b263bc7833d1"/>
        <w:id w:val="1648618915"/>
        <w:placeholder>
          <w:docPart w:val="GBC22222222222222222222222222222"/>
        </w:placeholder>
      </w:sdtPr>
      <w:sdtContent>
        <w:p w14:paraId="5D018649">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89766A">
      <w:pPr>
        <w:pStyle w:val="109"/>
        <w:snapToGrid w:val="0"/>
        <w:spacing w:line="240" w:lineRule="atLeast"/>
        <w:ind w:left="425" w:firstLine="0" w:firstLineChars="0"/>
        <w:jc w:val="right"/>
        <w:rPr>
          <w:szCs w:val="21"/>
        </w:rPr>
      </w:pPr>
      <w:r>
        <w:rPr>
          <w:rFonts w:hint="eastAsia"/>
          <w:szCs w:val="21"/>
        </w:rPr>
        <w:t>单位：</w:t>
      </w:r>
      <w:sdt>
        <w:sdtPr>
          <w:rPr>
            <w:rFonts w:hint="eastAsia"/>
            <w:szCs w:val="21"/>
          </w:rPr>
          <w:alias w:val="单位：坏账准备情况"/>
          <w:tag w:val="_GBC_bc8d00c0d3174cfcb352620f1eb8a667"/>
          <w:id w:val="10353715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坏账准备情况"/>
          <w:tag w:val="_GBC_91b48dea1a804a74bee76eea04035acd"/>
          <w:id w:val="15484232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365"/>
        <w:gridCol w:w="1328"/>
        <w:gridCol w:w="1328"/>
        <w:gridCol w:w="1103"/>
        <w:gridCol w:w="1140"/>
        <w:gridCol w:w="1135"/>
        <w:gridCol w:w="1424"/>
      </w:tblGrid>
      <w:tr w14:paraId="6729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1b57eec9eb0c4064b8160bee3fcae2b4"/>
            <w:id w:val="265819459"/>
          </w:sdtPr>
          <w:sdtContent>
            <w:tc>
              <w:tcPr>
                <w:tcW w:w="774" w:type="pct"/>
                <w:vMerge w:val="restart"/>
                <w:shd w:val="clear" w:color="auto" w:fill="FFFFFF"/>
                <w:vAlign w:val="center"/>
              </w:tcPr>
              <w:p w14:paraId="1A907675">
                <w:pPr>
                  <w:widowControl w:val="0"/>
                  <w:jc w:val="center"/>
                  <w:rPr>
                    <w:rFonts w:hint="eastAsia"/>
                  </w:rPr>
                </w:pPr>
                <w:r>
                  <w:t>类别</w:t>
                </w:r>
              </w:p>
            </w:tc>
          </w:sdtContent>
        </w:sdt>
        <w:sdt>
          <w:sdtPr>
            <w:tag w:val="_PLD_35b59bfd9c7d401382d341cb7fd9f429"/>
            <w:id w:val="-341476539"/>
          </w:sdtPr>
          <w:sdtContent>
            <w:tc>
              <w:tcPr>
                <w:tcW w:w="753" w:type="pct"/>
                <w:vMerge w:val="restart"/>
                <w:shd w:val="clear" w:color="auto" w:fill="FFFFFF"/>
                <w:vAlign w:val="center"/>
              </w:tcPr>
              <w:p w14:paraId="331D37F4">
                <w:pPr>
                  <w:widowControl w:val="0"/>
                  <w:jc w:val="center"/>
                  <w:rPr>
                    <w:rFonts w:hint="eastAsia"/>
                  </w:rPr>
                </w:pPr>
                <w:r>
                  <w:t>期初余额</w:t>
                </w:r>
              </w:p>
            </w:tc>
          </w:sdtContent>
        </w:sdt>
        <w:sdt>
          <w:sdtPr>
            <w:tag w:val="_PLD_f832a927fbc74b77a4b316e48dd5b52d"/>
            <w:id w:val="1772812722"/>
          </w:sdtPr>
          <w:sdtContent>
            <w:tc>
              <w:tcPr>
                <w:tcW w:w="2667" w:type="pct"/>
                <w:gridSpan w:val="4"/>
                <w:shd w:val="clear" w:color="auto" w:fill="FFFFFF"/>
                <w:vAlign w:val="center"/>
              </w:tcPr>
              <w:p w14:paraId="02F85021">
                <w:pPr>
                  <w:widowControl w:val="0"/>
                  <w:jc w:val="center"/>
                  <w:rPr>
                    <w:rFonts w:hint="eastAsia"/>
                  </w:rPr>
                </w:pPr>
                <w:r>
                  <w:rPr>
                    <w:rFonts w:hint="eastAsia"/>
                  </w:rPr>
                  <w:t>本期变动</w:t>
                </w:r>
                <w:r>
                  <w:t>金额</w:t>
                </w:r>
              </w:p>
            </w:tc>
          </w:sdtContent>
        </w:sdt>
        <w:tc>
          <w:tcPr>
            <w:tcW w:w="807" w:type="pct"/>
            <w:vMerge w:val="restart"/>
            <w:shd w:val="clear" w:color="auto" w:fill="FFFFFF"/>
            <w:vAlign w:val="center"/>
          </w:tcPr>
          <w:sdt>
            <w:sdtPr>
              <w:tag w:val="_PLD_ccc97add96524818a21d9404254ba0a1"/>
              <w:id w:val="-1920936920"/>
            </w:sdtPr>
            <w:sdtContent>
              <w:p w14:paraId="0B26B638">
                <w:pPr>
                  <w:widowControl w:val="0"/>
                  <w:jc w:val="center"/>
                  <w:rPr>
                    <w:rFonts w:hint="eastAsia"/>
                  </w:rPr>
                </w:pPr>
                <w:r>
                  <w:t>期末余额</w:t>
                </w:r>
              </w:p>
            </w:sdtContent>
          </w:sdt>
        </w:tc>
      </w:tr>
      <w:tr w14:paraId="5F86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4" w:type="pct"/>
            <w:vMerge w:val="continue"/>
            <w:shd w:val="clear" w:color="auto" w:fill="FFFFFF"/>
          </w:tcPr>
          <w:p w14:paraId="30BB1C35">
            <w:pPr>
              <w:widowControl w:val="0"/>
              <w:jc w:val="center"/>
              <w:rPr>
                <w:rFonts w:hint="eastAsia"/>
              </w:rPr>
            </w:pPr>
          </w:p>
        </w:tc>
        <w:tc>
          <w:tcPr>
            <w:tcW w:w="753" w:type="pct"/>
            <w:vMerge w:val="continue"/>
            <w:shd w:val="clear" w:color="auto" w:fill="FFFFFF"/>
          </w:tcPr>
          <w:p w14:paraId="1535FD3D">
            <w:pPr>
              <w:widowControl w:val="0"/>
              <w:jc w:val="center"/>
              <w:rPr>
                <w:rFonts w:hint="eastAsia"/>
              </w:rPr>
            </w:pPr>
          </w:p>
        </w:tc>
        <w:sdt>
          <w:sdtPr>
            <w:tag w:val="_PLD_8c73657619504c478224bb03d05744fb"/>
            <w:id w:val="1580950725"/>
          </w:sdtPr>
          <w:sdtContent>
            <w:tc>
              <w:tcPr>
                <w:tcW w:w="753" w:type="pct"/>
                <w:shd w:val="clear" w:color="auto" w:fill="FFFFFF"/>
                <w:vAlign w:val="center"/>
              </w:tcPr>
              <w:p w14:paraId="5340DAC9">
                <w:pPr>
                  <w:widowControl w:val="0"/>
                  <w:jc w:val="center"/>
                  <w:rPr>
                    <w:rFonts w:hint="eastAsia"/>
                  </w:rPr>
                </w:pPr>
                <w:r>
                  <w:t>计提</w:t>
                </w:r>
              </w:p>
            </w:tc>
          </w:sdtContent>
        </w:sdt>
        <w:sdt>
          <w:sdtPr>
            <w:tag w:val="_PLD_022cda494f134770bf3ef208bf599998"/>
            <w:id w:val="620501501"/>
          </w:sdtPr>
          <w:sdtContent>
            <w:tc>
              <w:tcPr>
                <w:tcW w:w="625" w:type="pct"/>
                <w:shd w:val="clear" w:color="auto" w:fill="FFFFFF"/>
                <w:vAlign w:val="center"/>
              </w:tcPr>
              <w:p w14:paraId="7A1631C0">
                <w:pPr>
                  <w:widowControl w:val="0"/>
                  <w:jc w:val="center"/>
                  <w:rPr>
                    <w:rFonts w:hint="eastAsia"/>
                  </w:rPr>
                </w:pPr>
                <w:r>
                  <w:rPr>
                    <w:rFonts w:hint="eastAsia"/>
                  </w:rPr>
                  <w:t>收回或转回</w:t>
                </w:r>
              </w:p>
            </w:tc>
          </w:sdtContent>
        </w:sdt>
        <w:sdt>
          <w:sdtPr>
            <w:tag w:val="_PLD_3c73b120957a4df8af659b57c66c504b"/>
            <w:id w:val="1316764283"/>
          </w:sdtPr>
          <w:sdtContent>
            <w:tc>
              <w:tcPr>
                <w:tcW w:w="646" w:type="pct"/>
                <w:shd w:val="clear" w:color="auto" w:fill="FFFFFF"/>
                <w:vAlign w:val="center"/>
              </w:tcPr>
              <w:p w14:paraId="407F7FB2">
                <w:pPr>
                  <w:widowControl w:val="0"/>
                  <w:jc w:val="center"/>
                  <w:rPr>
                    <w:rFonts w:hint="eastAsia"/>
                  </w:rPr>
                </w:pPr>
                <w:r>
                  <w:rPr>
                    <w:rFonts w:hint="eastAsia"/>
                  </w:rPr>
                  <w:t>转销或核销</w:t>
                </w:r>
              </w:p>
            </w:tc>
          </w:sdtContent>
        </w:sdt>
        <w:sdt>
          <w:sdtPr>
            <w:tag w:val="_PLD_3a826535e5024414812e143b3ba426dc"/>
            <w:id w:val="-507286111"/>
          </w:sdtPr>
          <w:sdtContent>
            <w:tc>
              <w:tcPr>
                <w:tcW w:w="643" w:type="pct"/>
                <w:shd w:val="clear" w:color="auto" w:fill="FFFFFF"/>
                <w:vAlign w:val="center"/>
              </w:tcPr>
              <w:p w14:paraId="7652ADB2">
                <w:pPr>
                  <w:widowControl w:val="0"/>
                  <w:jc w:val="center"/>
                  <w:rPr>
                    <w:rFonts w:hint="eastAsia"/>
                  </w:rPr>
                </w:pPr>
                <w:r>
                  <w:rPr>
                    <w:rFonts w:hint="eastAsia"/>
                  </w:rPr>
                  <w:t>其他变动</w:t>
                </w:r>
              </w:p>
            </w:tc>
          </w:sdtContent>
        </w:sdt>
        <w:tc>
          <w:tcPr>
            <w:tcW w:w="807" w:type="pct"/>
            <w:vMerge w:val="continue"/>
            <w:shd w:val="clear" w:color="auto" w:fill="FFFFFF"/>
          </w:tcPr>
          <w:p w14:paraId="5CDE844B">
            <w:pPr>
              <w:widowControl w:val="0"/>
              <w:jc w:val="right"/>
              <w:rPr>
                <w:rFonts w:hint="eastAsia"/>
              </w:rPr>
            </w:pPr>
          </w:p>
        </w:tc>
      </w:tr>
      <w:tr w14:paraId="7E4F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4" w:type="pct"/>
            <w:shd w:val="clear" w:color="auto" w:fill="auto"/>
          </w:tcPr>
          <w:p w14:paraId="34419E38">
            <w:pPr>
              <w:widowControl w:val="0"/>
              <w:rPr>
                <w:rFonts w:hint="eastAsia"/>
              </w:rPr>
            </w:pPr>
            <w:r>
              <w:rPr>
                <w:rFonts w:ascii="Arial Narrow" w:hAnsi="Arial Narrow" w:eastAsia="等线"/>
                <w:color w:val="000000"/>
                <w:szCs w:val="21"/>
              </w:rPr>
              <w:t>单项计提坏账准备</w:t>
            </w:r>
          </w:p>
        </w:tc>
        <w:tc>
          <w:tcPr>
            <w:tcW w:w="753" w:type="pct"/>
            <w:shd w:val="clear" w:color="auto" w:fill="auto"/>
            <w:vAlign w:val="center"/>
          </w:tcPr>
          <w:p w14:paraId="545F8875">
            <w:pPr>
              <w:widowControl w:val="0"/>
              <w:jc w:val="right"/>
              <w:rPr>
                <w:rFonts w:hint="eastAsia"/>
              </w:rPr>
            </w:pPr>
            <w:r>
              <w:rPr>
                <w:rFonts w:ascii="Arial Narrow" w:hAnsi="Arial Narrow" w:eastAsia="等线"/>
                <w:color w:val="000000"/>
                <w:szCs w:val="21"/>
              </w:rPr>
              <w:t>5,910,000.00</w:t>
            </w:r>
          </w:p>
        </w:tc>
        <w:tc>
          <w:tcPr>
            <w:tcW w:w="753" w:type="pct"/>
            <w:shd w:val="clear" w:color="auto" w:fill="auto"/>
            <w:vAlign w:val="center"/>
          </w:tcPr>
          <w:p w14:paraId="7002E098">
            <w:pPr>
              <w:widowControl w:val="0"/>
              <w:jc w:val="right"/>
              <w:rPr>
                <w:rFonts w:hint="eastAsia"/>
              </w:rPr>
            </w:pPr>
            <w:r>
              <w:rPr>
                <w:rFonts w:ascii="Arial Narrow" w:hAnsi="Arial Narrow" w:eastAsia="等线"/>
                <w:color w:val="000000"/>
                <w:szCs w:val="21"/>
              </w:rPr>
              <w:t>71,126,686.49</w:t>
            </w:r>
          </w:p>
        </w:tc>
        <w:tc>
          <w:tcPr>
            <w:tcW w:w="625" w:type="pct"/>
            <w:shd w:val="clear" w:color="auto" w:fill="auto"/>
            <w:vAlign w:val="center"/>
          </w:tcPr>
          <w:p w14:paraId="396F1D3B">
            <w:pPr>
              <w:widowControl w:val="0"/>
              <w:jc w:val="right"/>
              <w:rPr>
                <w:rFonts w:hint="eastAsia"/>
              </w:rPr>
            </w:pPr>
          </w:p>
        </w:tc>
        <w:tc>
          <w:tcPr>
            <w:tcW w:w="646" w:type="pct"/>
            <w:vAlign w:val="center"/>
          </w:tcPr>
          <w:p w14:paraId="76C13D91">
            <w:pPr>
              <w:widowControl w:val="0"/>
              <w:jc w:val="right"/>
              <w:rPr>
                <w:rFonts w:hint="eastAsia"/>
              </w:rPr>
            </w:pPr>
          </w:p>
        </w:tc>
        <w:tc>
          <w:tcPr>
            <w:tcW w:w="643" w:type="pct"/>
            <w:vAlign w:val="center"/>
          </w:tcPr>
          <w:p w14:paraId="6E63DB69">
            <w:pPr>
              <w:widowControl w:val="0"/>
              <w:jc w:val="right"/>
              <w:rPr>
                <w:rFonts w:hint="eastAsia"/>
              </w:rPr>
            </w:pPr>
          </w:p>
        </w:tc>
        <w:tc>
          <w:tcPr>
            <w:tcW w:w="807" w:type="pct"/>
            <w:shd w:val="clear" w:color="auto" w:fill="auto"/>
            <w:vAlign w:val="center"/>
          </w:tcPr>
          <w:p w14:paraId="07E52F2D">
            <w:pPr>
              <w:widowControl w:val="0"/>
              <w:jc w:val="right"/>
              <w:rPr>
                <w:rFonts w:hint="eastAsia"/>
              </w:rPr>
            </w:pPr>
            <w:r>
              <w:rPr>
                <w:rFonts w:ascii="Arial Narrow" w:hAnsi="Arial Narrow" w:eastAsia="等线"/>
                <w:color w:val="000000"/>
                <w:szCs w:val="21"/>
              </w:rPr>
              <w:t>77,036,686.49</w:t>
            </w:r>
          </w:p>
        </w:tc>
      </w:tr>
      <w:tr w14:paraId="0BE4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4" w:type="pct"/>
            <w:shd w:val="clear" w:color="auto" w:fill="auto"/>
          </w:tcPr>
          <w:p w14:paraId="4E7BC3BC">
            <w:pPr>
              <w:widowControl w:val="0"/>
              <w:rPr>
                <w:rFonts w:hint="eastAsia"/>
              </w:rPr>
            </w:pPr>
            <w:r>
              <w:rPr>
                <w:rFonts w:ascii="Arial Narrow" w:hAnsi="Arial Narrow" w:eastAsia="等线"/>
                <w:color w:val="000000"/>
                <w:szCs w:val="21"/>
              </w:rPr>
              <w:t>按组合计提坏账准备</w:t>
            </w:r>
          </w:p>
        </w:tc>
        <w:tc>
          <w:tcPr>
            <w:tcW w:w="753" w:type="pct"/>
            <w:shd w:val="clear" w:color="auto" w:fill="auto"/>
            <w:vAlign w:val="center"/>
          </w:tcPr>
          <w:p w14:paraId="7D10DA23">
            <w:pPr>
              <w:widowControl w:val="0"/>
              <w:jc w:val="right"/>
              <w:rPr>
                <w:rFonts w:hint="eastAsia"/>
              </w:rPr>
            </w:pPr>
            <w:r>
              <w:rPr>
                <w:rFonts w:ascii="Arial Narrow" w:hAnsi="Arial Narrow" w:eastAsia="等线"/>
                <w:color w:val="000000"/>
                <w:szCs w:val="21"/>
              </w:rPr>
              <w:t>52,834,806.80</w:t>
            </w:r>
          </w:p>
        </w:tc>
        <w:tc>
          <w:tcPr>
            <w:tcW w:w="753" w:type="pct"/>
            <w:shd w:val="clear" w:color="auto" w:fill="auto"/>
            <w:vAlign w:val="center"/>
          </w:tcPr>
          <w:p w14:paraId="0A8D5E90">
            <w:pPr>
              <w:widowControl w:val="0"/>
              <w:jc w:val="right"/>
              <w:rPr>
                <w:rFonts w:hint="eastAsia"/>
              </w:rPr>
            </w:pPr>
            <w:r>
              <w:rPr>
                <w:rFonts w:ascii="Arial Narrow" w:hAnsi="Arial Narrow" w:eastAsia="等线"/>
                <w:color w:val="000000"/>
                <w:szCs w:val="21"/>
              </w:rPr>
              <w:t>24,504,575.18</w:t>
            </w:r>
          </w:p>
        </w:tc>
        <w:tc>
          <w:tcPr>
            <w:tcW w:w="625" w:type="pct"/>
            <w:shd w:val="clear" w:color="auto" w:fill="auto"/>
            <w:vAlign w:val="center"/>
          </w:tcPr>
          <w:p w14:paraId="6C7178E0">
            <w:pPr>
              <w:widowControl w:val="0"/>
              <w:jc w:val="right"/>
              <w:rPr>
                <w:rFonts w:hint="eastAsia"/>
              </w:rPr>
            </w:pPr>
          </w:p>
        </w:tc>
        <w:tc>
          <w:tcPr>
            <w:tcW w:w="646" w:type="pct"/>
            <w:vAlign w:val="center"/>
          </w:tcPr>
          <w:p w14:paraId="58371CEA">
            <w:pPr>
              <w:widowControl w:val="0"/>
              <w:jc w:val="right"/>
              <w:rPr>
                <w:rFonts w:hint="eastAsia"/>
              </w:rPr>
            </w:pPr>
          </w:p>
        </w:tc>
        <w:tc>
          <w:tcPr>
            <w:tcW w:w="643" w:type="pct"/>
            <w:vAlign w:val="center"/>
          </w:tcPr>
          <w:p w14:paraId="555D1A71">
            <w:pPr>
              <w:widowControl w:val="0"/>
              <w:jc w:val="right"/>
              <w:rPr>
                <w:rFonts w:hint="eastAsia"/>
              </w:rPr>
            </w:pPr>
          </w:p>
        </w:tc>
        <w:tc>
          <w:tcPr>
            <w:tcW w:w="807" w:type="pct"/>
            <w:shd w:val="clear" w:color="auto" w:fill="auto"/>
            <w:vAlign w:val="center"/>
          </w:tcPr>
          <w:p w14:paraId="6FCC4E4B">
            <w:pPr>
              <w:widowControl w:val="0"/>
              <w:jc w:val="right"/>
              <w:rPr>
                <w:rFonts w:hint="eastAsia"/>
              </w:rPr>
            </w:pPr>
            <w:r>
              <w:rPr>
                <w:rFonts w:ascii="Arial Narrow" w:hAnsi="Arial Narrow" w:eastAsia="等线"/>
                <w:color w:val="000000"/>
                <w:szCs w:val="21"/>
              </w:rPr>
              <w:t>77,339,381.98</w:t>
            </w:r>
          </w:p>
        </w:tc>
      </w:tr>
      <w:tr w14:paraId="110A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4" w:type="pct"/>
            <w:shd w:val="clear" w:color="auto" w:fill="auto"/>
          </w:tcPr>
          <w:p w14:paraId="5A023FA5">
            <w:pPr>
              <w:widowControl w:val="0"/>
              <w:jc w:val="center"/>
              <w:rPr>
                <w:rFonts w:hint="eastAsia"/>
              </w:rPr>
            </w:pPr>
            <w:r>
              <w:rPr>
                <w:rFonts w:hint="eastAsia"/>
              </w:rPr>
              <w:t>合计</w:t>
            </w:r>
          </w:p>
        </w:tc>
        <w:tc>
          <w:tcPr>
            <w:tcW w:w="753" w:type="pct"/>
            <w:shd w:val="clear" w:color="auto" w:fill="auto"/>
            <w:vAlign w:val="center"/>
          </w:tcPr>
          <w:p w14:paraId="23508671">
            <w:pPr>
              <w:widowControl w:val="0"/>
              <w:jc w:val="right"/>
              <w:rPr>
                <w:rFonts w:hint="eastAsia"/>
              </w:rPr>
            </w:pPr>
            <w:r>
              <w:rPr>
                <w:rFonts w:ascii="Arial Narrow" w:hAnsi="Arial Narrow" w:eastAsia="等线"/>
                <w:color w:val="000000"/>
                <w:szCs w:val="21"/>
              </w:rPr>
              <w:t>58,744,806.80</w:t>
            </w:r>
          </w:p>
        </w:tc>
        <w:tc>
          <w:tcPr>
            <w:tcW w:w="753" w:type="pct"/>
            <w:shd w:val="clear" w:color="auto" w:fill="auto"/>
            <w:vAlign w:val="center"/>
          </w:tcPr>
          <w:p w14:paraId="63426D4C">
            <w:pPr>
              <w:widowControl w:val="0"/>
              <w:jc w:val="right"/>
              <w:rPr>
                <w:rFonts w:hint="eastAsia"/>
              </w:rPr>
            </w:pPr>
            <w:r>
              <w:rPr>
                <w:rFonts w:ascii="Arial Narrow" w:hAnsi="Arial Narrow" w:eastAsia="等线"/>
                <w:color w:val="000000"/>
                <w:szCs w:val="21"/>
              </w:rPr>
              <w:t>95,631,261.67</w:t>
            </w:r>
          </w:p>
        </w:tc>
        <w:tc>
          <w:tcPr>
            <w:tcW w:w="625" w:type="pct"/>
            <w:shd w:val="clear" w:color="auto" w:fill="auto"/>
            <w:vAlign w:val="center"/>
          </w:tcPr>
          <w:p w14:paraId="0667EB0F">
            <w:pPr>
              <w:widowControl w:val="0"/>
              <w:jc w:val="right"/>
              <w:rPr>
                <w:rFonts w:hint="eastAsia"/>
              </w:rPr>
            </w:pPr>
          </w:p>
        </w:tc>
        <w:tc>
          <w:tcPr>
            <w:tcW w:w="646" w:type="pct"/>
            <w:vAlign w:val="center"/>
          </w:tcPr>
          <w:p w14:paraId="5BB147E2">
            <w:pPr>
              <w:widowControl w:val="0"/>
              <w:jc w:val="right"/>
              <w:rPr>
                <w:rFonts w:hint="eastAsia"/>
              </w:rPr>
            </w:pPr>
          </w:p>
        </w:tc>
        <w:tc>
          <w:tcPr>
            <w:tcW w:w="643" w:type="pct"/>
            <w:vAlign w:val="center"/>
          </w:tcPr>
          <w:p w14:paraId="3B1F941A">
            <w:pPr>
              <w:widowControl w:val="0"/>
              <w:jc w:val="right"/>
              <w:rPr>
                <w:rFonts w:hint="eastAsia"/>
              </w:rPr>
            </w:pPr>
          </w:p>
        </w:tc>
        <w:tc>
          <w:tcPr>
            <w:tcW w:w="807" w:type="pct"/>
            <w:shd w:val="clear" w:color="auto" w:fill="auto"/>
            <w:vAlign w:val="center"/>
          </w:tcPr>
          <w:p w14:paraId="45816B9B">
            <w:pPr>
              <w:widowControl w:val="0"/>
              <w:jc w:val="right"/>
              <w:rPr>
                <w:rFonts w:hint="eastAsia"/>
              </w:rPr>
            </w:pPr>
            <w:r>
              <w:rPr>
                <w:rFonts w:ascii="Arial Narrow" w:hAnsi="Arial Narrow" w:eastAsia="等线"/>
                <w:color w:val="000000"/>
                <w:szCs w:val="21"/>
              </w:rPr>
              <w:t>154,376,068.47</w:t>
            </w:r>
          </w:p>
        </w:tc>
      </w:tr>
    </w:tbl>
    <w:p w14:paraId="47FDD0BE">
      <w:pPr>
        <w:pStyle w:val="123"/>
      </w:pPr>
    </w:p>
    <w:bookmarkEnd w:id="304"/>
    <w:p w14:paraId="6F3DD3F3">
      <w:pPr>
        <w:rPr>
          <w:rFonts w:hint="eastAsia"/>
        </w:rPr>
      </w:pPr>
      <w:r>
        <w:rPr>
          <w:rFonts w:hint="eastAsia"/>
        </w:rPr>
        <w:t>其中本期坏账准备收回或转回金额重要的：</w:t>
      </w:r>
    </w:p>
    <w:sdt>
      <w:sdtPr>
        <w:alias w:val="是否适用：本期坏账准备收回或转回金额重要的[双击切换]"/>
        <w:tag w:val="_GBC_b4e3b5deca584587a596a753699de6b7"/>
        <w:id w:val="123664044"/>
        <w:placeholder>
          <w:docPart w:val="GBC22222222222222222222222222222"/>
        </w:placeholder>
      </w:sdtPr>
      <w:sdtContent>
        <w:p w14:paraId="30A72E9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C970A4F">
      <w:pPr>
        <w:rPr>
          <w:rFonts w:hint="eastAsia"/>
        </w:rPr>
      </w:pPr>
    </w:p>
    <w:p w14:paraId="3F6FD76D">
      <w:pPr>
        <w:rPr>
          <w:rFonts w:hint="eastAsia"/>
        </w:rPr>
      </w:pPr>
      <w:r>
        <w:rPr>
          <w:rFonts w:hint="eastAsia"/>
        </w:rPr>
        <w:t>其他说明：</w:t>
      </w:r>
    </w:p>
    <w:sdt>
      <w:sdtPr>
        <w:alias w:val="坏账准备情况的说明"/>
        <w:tag w:val="_GBC_b5a80a414fe14b5c9e4001ca8a0f4bbf"/>
        <w:id w:val="-1694995456"/>
        <w:placeholder>
          <w:docPart w:val="GBC22222222222222222222222222222"/>
        </w:placeholder>
      </w:sdtPr>
      <w:sdtContent>
        <w:p w14:paraId="40A833A9">
          <w:pPr>
            <w:ind w:right="42" w:rightChars="20"/>
            <w:rPr>
              <w:rFonts w:hint="eastAsia"/>
            </w:rPr>
          </w:pPr>
          <w:r>
            <w:rPr>
              <w:rFonts w:hint="eastAsia"/>
            </w:rPr>
            <w:t>无</w:t>
          </w:r>
        </w:p>
      </w:sdtContent>
    </w:sdt>
    <w:p w14:paraId="0FD2AF24">
      <w:pPr>
        <w:ind w:right="-1594" w:rightChars="-759"/>
        <w:rPr>
          <w:rFonts w:hint="eastAsia"/>
        </w:rPr>
      </w:pPr>
    </w:p>
    <w:p w14:paraId="2095BC44">
      <w:pPr>
        <w:pStyle w:val="71"/>
        <w:numPr>
          <w:ilvl w:val="3"/>
          <w:numId w:val="121"/>
        </w:numPr>
        <w:ind w:left="426" w:hanging="426"/>
        <w:rPr>
          <w:rFonts w:hint="eastAsia"/>
        </w:rPr>
      </w:pPr>
      <w:r>
        <w:rPr>
          <w:rFonts w:hint="eastAsia"/>
        </w:rPr>
        <w:t>本期实际核销的长期应收款情况</w:t>
      </w:r>
    </w:p>
    <w:sdt>
      <w:sdtPr>
        <w:alias w:val="是否适用：实际核销的情况[双击切换]"/>
        <w:tag w:val="_GBC_e9d4e4f95df144d1beb521844e7c35e7"/>
        <w:id w:val="-1923405774"/>
        <w:placeholder>
          <w:docPart w:val="GBC22222222222222222222222222222"/>
        </w:placeholder>
      </w:sdtPr>
      <w:sdtContent>
        <w:p w14:paraId="592366E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08E0F62">
      <w:pPr>
        <w:rPr>
          <w:rFonts w:hint="eastAsia"/>
          <w:szCs w:val="21"/>
        </w:rPr>
      </w:pPr>
    </w:p>
    <w:p w14:paraId="3E2F6457">
      <w:pPr>
        <w:rPr>
          <w:rFonts w:hint="eastAsia"/>
          <w:szCs w:val="21"/>
        </w:rPr>
      </w:pPr>
      <w:r>
        <w:rPr>
          <w:rFonts w:hint="eastAsia"/>
          <w:szCs w:val="21"/>
        </w:rPr>
        <w:t>其中重要的长期应收款核销情况</w:t>
      </w:r>
    </w:p>
    <w:sdt>
      <w:sdtPr>
        <w:rPr>
          <w:rFonts w:hint="eastAsia"/>
          <w:szCs w:val="21"/>
        </w:rPr>
        <w:alias w:val="是否适用：重要的核销情况[双击切换]"/>
        <w:tag w:val="_GBC_17fbcf123507404b9fc25df0517e3788"/>
        <w:id w:val="1471246443"/>
        <w:placeholder>
          <w:docPart w:val="GBC22222222222222222222222222222"/>
        </w:placeholder>
      </w:sdtPr>
      <w:sdtEndPr>
        <w:rPr>
          <w:rFonts w:hint="eastAsia"/>
          <w:szCs w:val="21"/>
        </w:rPr>
      </w:sdtEndPr>
      <w:sdtContent>
        <w:p w14:paraId="11B2291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624B89F">
      <w:pPr>
        <w:rPr>
          <w:rFonts w:hint="eastAsia"/>
          <w:szCs w:val="21"/>
        </w:rPr>
      </w:pPr>
    </w:p>
    <w:p w14:paraId="7ADEF8D8">
      <w:pPr>
        <w:snapToGrid w:val="0"/>
        <w:spacing w:line="240" w:lineRule="atLeast"/>
        <w:rPr>
          <w:rFonts w:hint="eastAsia"/>
          <w:szCs w:val="21"/>
        </w:rPr>
      </w:pPr>
      <w:r>
        <w:rPr>
          <w:rFonts w:hint="eastAsia"/>
          <w:szCs w:val="21"/>
        </w:rPr>
        <w:t>长期应收款核销说明：</w:t>
      </w:r>
    </w:p>
    <w:sdt>
      <w:sdtPr>
        <w:rPr>
          <w:szCs w:val="21"/>
        </w:rPr>
        <w:alias w:val="是否适用：核销说明[双击切换]"/>
        <w:tag w:val="_GBC_b5e2283b2a954039b963ac2506245e4d"/>
        <w:id w:val="446127034"/>
        <w:placeholder>
          <w:docPart w:val="GBC22222222222222222222222222222"/>
        </w:placeholder>
      </w:sdtPr>
      <w:sdtEndPr>
        <w:rPr>
          <w:szCs w:val="21"/>
        </w:rPr>
      </w:sdtEndPr>
      <w:sdtContent>
        <w:p w14:paraId="55DB0980">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F0868D6">
      <w:pPr>
        <w:rPr>
          <w:rFonts w:hint="eastAsia"/>
          <w:szCs w:val="21"/>
        </w:rPr>
      </w:pPr>
    </w:p>
    <w:bookmarkEnd w:id="305"/>
    <w:p w14:paraId="10AAC4D1">
      <w:pPr>
        <w:rPr>
          <w:rFonts w:hint="eastAsia"/>
          <w:szCs w:val="21"/>
        </w:rPr>
      </w:pPr>
      <w:r>
        <w:rPr>
          <w:rFonts w:hint="eastAsia"/>
          <w:szCs w:val="21"/>
        </w:rPr>
        <w:t>其他说明：</w:t>
      </w:r>
    </w:p>
    <w:sdt>
      <w:sdtPr>
        <w:rPr>
          <w:szCs w:val="21"/>
        </w:rPr>
        <w:alias w:val="是否适用：长期应收款的其他说明[双击切换]"/>
        <w:tag w:val="_GBC_374ef9a861254142b9ef8519d87eb5ac"/>
        <w:id w:val="1044871538"/>
        <w:placeholder>
          <w:docPart w:val="GBC22222222222222222222222222222"/>
        </w:placeholder>
      </w:sdtPr>
      <w:sdtEndPr>
        <w:rPr>
          <w:szCs w:val="21"/>
        </w:rPr>
      </w:sdtEndPr>
      <w:sdtContent>
        <w:p w14:paraId="6ADEB0B6">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18E0B02">
      <w:pPr>
        <w:rPr>
          <w:rFonts w:hint="eastAsia"/>
          <w:szCs w:val="21"/>
        </w:rPr>
        <w:sectPr>
          <w:pgSz w:w="11906" w:h="16838"/>
          <w:pgMar w:top="1440" w:right="1797" w:bottom="1525" w:left="1276" w:header="856" w:footer="992" w:gutter="0"/>
          <w:cols w:space="425" w:num="1"/>
          <w:docGrid w:linePitch="312" w:charSpace="0"/>
        </w:sectPr>
      </w:pPr>
    </w:p>
    <w:p w14:paraId="7C2E3425">
      <w:pPr>
        <w:rPr>
          <w:rFonts w:hint="eastAsia"/>
          <w:szCs w:val="21"/>
        </w:rPr>
      </w:pPr>
    </w:p>
    <w:p w14:paraId="1393744B">
      <w:pPr>
        <w:pStyle w:val="70"/>
        <w:numPr>
          <w:ilvl w:val="0"/>
          <w:numId w:val="109"/>
        </w:numPr>
        <w:rPr>
          <w:szCs w:val="21"/>
        </w:rPr>
      </w:pPr>
      <w:r>
        <w:rPr>
          <w:szCs w:val="21"/>
        </w:rPr>
        <w:t>长期股权投资</w:t>
      </w:r>
    </w:p>
    <w:p w14:paraId="1AE116AC">
      <w:pPr>
        <w:pStyle w:val="71"/>
        <w:numPr>
          <w:ilvl w:val="0"/>
          <w:numId w:val="122"/>
        </w:numPr>
        <w:rPr>
          <w:rFonts w:hint="eastAsia"/>
        </w:rPr>
      </w:pPr>
      <w:bookmarkStart w:id="306" w:name="_Hlk152856977"/>
      <w:r>
        <w:rPr>
          <w:rFonts w:hint="eastAsia"/>
        </w:rPr>
        <w:t>长期股权投资情况</w:t>
      </w:r>
    </w:p>
    <w:p w14:paraId="482F8B84">
      <w:pPr>
        <w:rPr>
          <w:rFonts w:hint="eastAsia"/>
        </w:rPr>
      </w:pPr>
      <w:sdt>
        <w:sdtPr>
          <w:rPr>
            <w:rFonts w:hint="eastAsia"/>
          </w:rPr>
          <w:alias w:val="是否适用：长期股权投资[双击切换]"/>
          <w:tag w:val="_GBC_94e2c461d3d34280a0a5f1e908656d3e"/>
          <w:id w:val="2000680509"/>
          <w:placeholder>
            <w:docPart w:val="GBC22222222222222222222222222222"/>
          </w:placeholder>
        </w:sdtPr>
        <w:sdtEndPr>
          <w:rPr>
            <w:rFonts w:hint="eastAsia"/>
          </w:rPr>
        </w:sdtEnd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63082848">
      <w:pPr>
        <w:jc w:val="right"/>
        <w:rPr>
          <w:rFonts w:hint="eastAsia"/>
          <w:szCs w:val="21"/>
        </w:rPr>
      </w:pPr>
      <w:r>
        <w:rPr>
          <w:rFonts w:hint="eastAsia"/>
          <w:szCs w:val="21"/>
        </w:rPr>
        <w:t>单位：</w:t>
      </w:r>
      <w:sdt>
        <w:sdtPr>
          <w:rPr>
            <w:rFonts w:hint="eastAsia"/>
            <w:szCs w:val="21"/>
          </w:rPr>
          <w:alias w:val="单位：财务附注：长期股权投资"/>
          <w:tag w:val="_GBC_9ef1128bd666425898c1d0386f4940f0"/>
          <w:id w:val="-4672069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1258292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bookmarkEnd w:id="306"/>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3"/>
        <w:gridCol w:w="1774"/>
        <w:gridCol w:w="2304"/>
        <w:gridCol w:w="2287"/>
        <w:gridCol w:w="2279"/>
        <w:gridCol w:w="2246"/>
      </w:tblGrid>
      <w:tr w14:paraId="0C6C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904000e8ce384d4988e09c22d5f8f725"/>
            <w:id w:val="-1406908338"/>
          </w:sdtPr>
          <w:sdtContent>
            <w:tc>
              <w:tcPr>
                <w:tcW w:w="1072" w:type="pct"/>
                <w:vMerge w:val="restart"/>
                <w:tcBorders>
                  <w:top w:val="single" w:color="auto" w:sz="4" w:space="0"/>
                  <w:left w:val="single" w:color="auto" w:sz="4" w:space="0"/>
                  <w:right w:val="single" w:color="auto" w:sz="4" w:space="0"/>
                </w:tcBorders>
                <w:shd w:val="clear" w:color="auto" w:fill="auto"/>
                <w:vAlign w:val="center"/>
              </w:tcPr>
              <w:p w14:paraId="5F4A96C1">
                <w:pPr>
                  <w:jc w:val="center"/>
                  <w:rPr>
                    <w:rFonts w:hint="eastAsia"/>
                    <w:szCs w:val="21"/>
                  </w:rPr>
                </w:pPr>
                <w:r>
                  <w:rPr>
                    <w:rFonts w:hint="eastAsia"/>
                    <w:szCs w:val="21"/>
                  </w:rPr>
                  <w:t>被投资单位</w:t>
                </w:r>
              </w:p>
            </w:tc>
          </w:sdtContent>
        </w:sdt>
        <w:sdt>
          <w:sdtPr>
            <w:tag w:val="_PLD_2325481f20324f949b4d5af7cfe3ea45"/>
            <w:id w:val="931555136"/>
          </w:sdtPr>
          <w:sdtContent>
            <w:tc>
              <w:tcPr>
                <w:tcW w:w="640" w:type="pct"/>
                <w:vMerge w:val="restart"/>
                <w:tcBorders>
                  <w:top w:val="single" w:color="auto" w:sz="4" w:space="0"/>
                  <w:left w:val="single" w:color="auto" w:sz="4" w:space="0"/>
                  <w:right w:val="single" w:color="auto" w:sz="4" w:space="0"/>
                </w:tcBorders>
                <w:shd w:val="clear" w:color="auto" w:fill="auto"/>
                <w:vAlign w:val="center"/>
              </w:tcPr>
              <w:p w14:paraId="4B8652F0">
                <w:pPr>
                  <w:jc w:val="center"/>
                  <w:rPr>
                    <w:rFonts w:hint="eastAsia"/>
                    <w:szCs w:val="21"/>
                  </w:rPr>
                </w:pPr>
                <w:r>
                  <w:rPr>
                    <w:rFonts w:hint="eastAsia"/>
                    <w:szCs w:val="21"/>
                  </w:rPr>
                  <w:t>期初</w:t>
                </w:r>
              </w:p>
              <w:p w14:paraId="7B289F72">
                <w:pPr>
                  <w:jc w:val="center"/>
                  <w:rPr>
                    <w:rFonts w:hint="eastAsia"/>
                    <w:szCs w:val="21"/>
                  </w:rPr>
                </w:pPr>
                <w:r>
                  <w:rPr>
                    <w:rFonts w:hint="eastAsia"/>
                    <w:szCs w:val="21"/>
                  </w:rPr>
                  <w:t>余额</w:t>
                </w:r>
              </w:p>
            </w:tc>
          </w:sdtContent>
        </w:sdt>
        <w:sdt>
          <w:sdtPr>
            <w:tag w:val="_PLD_62e0836260734d34965d8070b1a6f2dd"/>
            <w:id w:val="1235751697"/>
          </w:sdtPr>
          <w:sdtContent>
            <w:tc>
              <w:tcPr>
                <w:tcW w:w="165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79C595">
                <w:pPr>
                  <w:jc w:val="center"/>
                  <w:rPr>
                    <w:rFonts w:hint="eastAsia"/>
                    <w:szCs w:val="21"/>
                  </w:rPr>
                </w:pPr>
                <w:r>
                  <w:rPr>
                    <w:rFonts w:hint="eastAsia"/>
                    <w:szCs w:val="21"/>
                  </w:rPr>
                  <w:t>本期增减变动</w:t>
                </w:r>
              </w:p>
            </w:tc>
          </w:sdtContent>
        </w:sdt>
        <w:sdt>
          <w:sdtPr>
            <w:tag w:val="_PLD_7b9429fc29b64f4c83eea02ed0cad7ba"/>
            <w:id w:val="-1207327091"/>
          </w:sdtPr>
          <w:sdtContent>
            <w:tc>
              <w:tcPr>
                <w:tcW w:w="822" w:type="pct"/>
                <w:vMerge w:val="restart"/>
                <w:tcBorders>
                  <w:top w:val="single" w:color="auto" w:sz="4" w:space="0"/>
                  <w:left w:val="single" w:color="auto" w:sz="4" w:space="0"/>
                  <w:right w:val="single" w:color="auto" w:sz="4" w:space="0"/>
                </w:tcBorders>
                <w:shd w:val="clear" w:color="auto" w:fill="auto"/>
                <w:vAlign w:val="center"/>
              </w:tcPr>
              <w:p w14:paraId="3A9DD7FF">
                <w:pPr>
                  <w:jc w:val="center"/>
                  <w:rPr>
                    <w:rFonts w:hint="eastAsia"/>
                    <w:szCs w:val="21"/>
                  </w:rPr>
                </w:pPr>
                <w:r>
                  <w:rPr>
                    <w:rFonts w:hint="eastAsia"/>
                    <w:szCs w:val="21"/>
                  </w:rPr>
                  <w:t>期末</w:t>
                </w:r>
              </w:p>
              <w:p w14:paraId="54741692">
                <w:pPr>
                  <w:jc w:val="center"/>
                  <w:rPr>
                    <w:rFonts w:hint="eastAsia"/>
                    <w:szCs w:val="21"/>
                  </w:rPr>
                </w:pPr>
                <w:r>
                  <w:rPr>
                    <w:rFonts w:hint="eastAsia"/>
                    <w:szCs w:val="21"/>
                  </w:rPr>
                  <w:t>余额</w:t>
                </w:r>
              </w:p>
            </w:tc>
          </w:sdtContent>
        </w:sdt>
        <w:sdt>
          <w:sdtPr>
            <w:tag w:val="_PLD_79298dc466f54a239357520005d5d0d6"/>
            <w:id w:val="-670018325"/>
          </w:sdtPr>
          <w:sdtContent>
            <w:tc>
              <w:tcPr>
                <w:tcW w:w="810" w:type="pct"/>
                <w:vMerge w:val="restart"/>
                <w:tcBorders>
                  <w:top w:val="single" w:color="auto" w:sz="4" w:space="0"/>
                  <w:left w:val="single" w:color="auto" w:sz="4" w:space="0"/>
                  <w:right w:val="single" w:color="auto" w:sz="4" w:space="0"/>
                </w:tcBorders>
                <w:shd w:val="clear" w:color="auto" w:fill="auto"/>
                <w:vAlign w:val="center"/>
              </w:tcPr>
              <w:p w14:paraId="0492BD14">
                <w:pPr>
                  <w:jc w:val="center"/>
                  <w:rPr>
                    <w:rFonts w:hint="eastAsia"/>
                    <w:szCs w:val="21"/>
                  </w:rPr>
                </w:pPr>
                <w:r>
                  <w:rPr>
                    <w:rFonts w:hint="eastAsia"/>
                    <w:szCs w:val="21"/>
                  </w:rPr>
                  <w:t>减值准备期末余额</w:t>
                </w:r>
              </w:p>
            </w:tc>
          </w:sdtContent>
        </w:sdt>
      </w:tr>
      <w:tr w14:paraId="5069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vMerge w:val="continue"/>
            <w:tcBorders>
              <w:left w:val="single" w:color="auto" w:sz="4" w:space="0"/>
              <w:bottom w:val="single" w:color="auto" w:sz="4" w:space="0"/>
              <w:right w:val="single" w:color="auto" w:sz="4" w:space="0"/>
            </w:tcBorders>
            <w:shd w:val="clear" w:color="auto" w:fill="auto"/>
          </w:tcPr>
          <w:p w14:paraId="33CBFC6A">
            <w:pPr>
              <w:jc w:val="center"/>
              <w:rPr>
                <w:rFonts w:hint="eastAsia"/>
                <w:szCs w:val="21"/>
              </w:rPr>
            </w:pPr>
          </w:p>
        </w:tc>
        <w:tc>
          <w:tcPr>
            <w:tcW w:w="640" w:type="pct"/>
            <w:vMerge w:val="continue"/>
            <w:tcBorders>
              <w:left w:val="single" w:color="auto" w:sz="4" w:space="0"/>
              <w:bottom w:val="single" w:color="auto" w:sz="4" w:space="0"/>
              <w:right w:val="single" w:color="auto" w:sz="4" w:space="0"/>
            </w:tcBorders>
            <w:shd w:val="clear" w:color="auto" w:fill="auto"/>
          </w:tcPr>
          <w:p w14:paraId="339F2B5A">
            <w:pPr>
              <w:jc w:val="center"/>
              <w:rPr>
                <w:rFonts w:hint="eastAsia"/>
                <w:szCs w:val="21"/>
              </w:rPr>
            </w:pPr>
          </w:p>
        </w:tc>
        <w:sdt>
          <w:sdtPr>
            <w:tag w:val="_PLD_6b1aa2f12a4b43c9acfdfe03af1b69b5"/>
            <w:id w:val="918295813"/>
          </w:sdtPr>
          <w:sdtContent>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7C4EE20D">
                <w:pPr>
                  <w:jc w:val="center"/>
                  <w:rPr>
                    <w:rFonts w:hint="eastAsia"/>
                    <w:szCs w:val="21"/>
                  </w:rPr>
                </w:pPr>
                <w:r>
                  <w:rPr>
                    <w:rFonts w:hint="eastAsia"/>
                    <w:szCs w:val="21"/>
                  </w:rPr>
                  <w:t>权益法下确认的投资损益</w:t>
                </w:r>
              </w:p>
            </w:tc>
          </w:sdtContent>
        </w:sdt>
        <w:sdt>
          <w:sdtPr>
            <w:tag w:val="_PLD_050d96d5e62f42b9bb4f13a2ca047503"/>
            <w:id w:val="-663783479"/>
          </w:sdtPr>
          <w:sdtContent>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7942FC10">
                <w:pPr>
                  <w:jc w:val="center"/>
                  <w:rPr>
                    <w:rFonts w:hint="eastAsia"/>
                    <w:szCs w:val="21"/>
                  </w:rPr>
                </w:pPr>
                <w:r>
                  <w:rPr>
                    <w:rFonts w:hint="eastAsia"/>
                    <w:szCs w:val="21"/>
                  </w:rPr>
                  <w:t>计提减值准备</w:t>
                </w:r>
              </w:p>
            </w:tc>
          </w:sdtContent>
        </w:sdt>
        <w:tc>
          <w:tcPr>
            <w:tcW w:w="822" w:type="pct"/>
            <w:vMerge w:val="continue"/>
            <w:tcBorders>
              <w:left w:val="single" w:color="auto" w:sz="4" w:space="0"/>
              <w:bottom w:val="single" w:color="auto" w:sz="4" w:space="0"/>
              <w:right w:val="single" w:color="auto" w:sz="4" w:space="0"/>
            </w:tcBorders>
            <w:shd w:val="clear" w:color="auto" w:fill="auto"/>
            <w:vAlign w:val="center"/>
          </w:tcPr>
          <w:p w14:paraId="19CCEF05">
            <w:pPr>
              <w:jc w:val="center"/>
              <w:rPr>
                <w:rFonts w:hint="eastAsia"/>
                <w:szCs w:val="21"/>
              </w:rPr>
            </w:pPr>
          </w:p>
        </w:tc>
        <w:tc>
          <w:tcPr>
            <w:tcW w:w="810" w:type="pct"/>
            <w:vMerge w:val="continue"/>
            <w:tcBorders>
              <w:left w:val="single" w:color="auto" w:sz="4" w:space="0"/>
              <w:bottom w:val="single" w:color="auto" w:sz="4" w:space="0"/>
              <w:right w:val="single" w:color="auto" w:sz="4" w:space="0"/>
            </w:tcBorders>
            <w:shd w:val="clear" w:color="auto" w:fill="auto"/>
            <w:vAlign w:val="center"/>
          </w:tcPr>
          <w:p w14:paraId="65FA5A5F">
            <w:pPr>
              <w:jc w:val="center"/>
              <w:rPr>
                <w:rFonts w:hint="eastAsia"/>
                <w:szCs w:val="21"/>
              </w:rPr>
            </w:pPr>
          </w:p>
        </w:tc>
      </w:tr>
      <w:tr w14:paraId="42B0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5b755e14b594e4c91e0b7c9ecb32e60"/>
            <w:id w:val="1471562308"/>
          </w:sdtPr>
          <w:sdtContent>
            <w:tc>
              <w:tcPr>
                <w:tcW w:w="5000" w:type="pct"/>
                <w:gridSpan w:val="6"/>
                <w:tcBorders>
                  <w:top w:val="single" w:color="auto" w:sz="4" w:space="0"/>
                  <w:left w:val="single" w:color="auto" w:sz="4" w:space="0"/>
                  <w:bottom w:val="single" w:color="auto" w:sz="4" w:space="0"/>
                  <w:right w:val="single" w:color="auto" w:sz="4" w:space="0"/>
                </w:tcBorders>
                <w:shd w:val="clear" w:color="auto" w:fill="auto"/>
              </w:tcPr>
              <w:p w14:paraId="07E6F776">
                <w:pPr>
                  <w:jc w:val="both"/>
                  <w:rPr>
                    <w:rFonts w:hint="eastAsia"/>
                    <w:szCs w:val="21"/>
                  </w:rPr>
                </w:pPr>
                <w:r>
                  <w:rPr>
                    <w:rFonts w:hint="eastAsia"/>
                    <w:szCs w:val="21"/>
                  </w:rPr>
                  <w:t>一、合营企业</w:t>
                </w:r>
              </w:p>
            </w:tc>
          </w:sdtContent>
        </w:sdt>
      </w:tr>
      <w:tr w14:paraId="2EB6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c448562bca04f23a9ec97848768cd82"/>
            <w:id w:val="-2010898567"/>
          </w:sdtPr>
          <w:sdtContent>
            <w:tc>
              <w:tcPr>
                <w:tcW w:w="5000" w:type="pct"/>
                <w:gridSpan w:val="6"/>
                <w:tcBorders>
                  <w:top w:val="single" w:color="auto" w:sz="4" w:space="0"/>
                  <w:left w:val="single" w:color="auto" w:sz="4" w:space="0"/>
                  <w:bottom w:val="single" w:color="auto" w:sz="4" w:space="0"/>
                  <w:right w:val="single" w:color="auto" w:sz="4" w:space="0"/>
                </w:tcBorders>
                <w:shd w:val="clear" w:color="auto" w:fill="auto"/>
              </w:tcPr>
              <w:p w14:paraId="7B3155D1">
                <w:pPr>
                  <w:jc w:val="both"/>
                  <w:rPr>
                    <w:rFonts w:hint="eastAsia"/>
                    <w:szCs w:val="21"/>
                  </w:rPr>
                </w:pPr>
                <w:r>
                  <w:rPr>
                    <w:rFonts w:hint="eastAsia"/>
                    <w:szCs w:val="21"/>
                  </w:rPr>
                  <w:t>二、联营企业</w:t>
                </w:r>
              </w:p>
            </w:tc>
          </w:sdtContent>
        </w:sdt>
      </w:tr>
      <w:tr w14:paraId="2FB6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1D10FF1E">
            <w:pPr>
              <w:jc w:val="both"/>
              <w:rPr>
                <w:rFonts w:hint="eastAsia"/>
                <w:szCs w:val="21"/>
              </w:rPr>
            </w:pPr>
            <w:r>
              <w:rPr>
                <w:rStyle w:val="141"/>
                <w:rFonts w:hint="default"/>
              </w:rPr>
              <w:t>南京英斯瑞德高分子材料</w:t>
            </w:r>
            <w:r>
              <w:rPr>
                <w:rStyle w:val="137"/>
                <w:rFonts w:hint="default"/>
              </w:rPr>
              <w:t>股份</w:t>
            </w:r>
            <w:r>
              <w:rPr>
                <w:rStyle w:val="141"/>
                <w:rFonts w:hint="default"/>
              </w:rPr>
              <w:t>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3017DDB1">
            <w:pPr>
              <w:jc w:val="right"/>
              <w:rPr>
                <w:rFonts w:ascii="Arial Narrow" w:hAnsi="Arial Narrow"/>
                <w:szCs w:val="21"/>
              </w:rPr>
            </w:pPr>
            <w:r>
              <w:rPr>
                <w:rFonts w:ascii="Arial Narrow" w:hAnsi="Arial Narrow" w:eastAsia="等线"/>
                <w:color w:val="000000"/>
                <w:szCs w:val="21"/>
              </w:rPr>
              <w:t>7,369,960.49</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1EA0A732">
            <w:pPr>
              <w:jc w:val="right"/>
              <w:rPr>
                <w:rFonts w:ascii="Arial Narrow" w:hAnsi="Arial Narrow"/>
                <w:szCs w:val="21"/>
              </w:rPr>
            </w:pPr>
            <w:r>
              <w:rPr>
                <w:rFonts w:ascii="Arial Narrow" w:hAnsi="Arial Narrow" w:eastAsia="等线"/>
                <w:color w:val="000000"/>
                <w:szCs w:val="21"/>
              </w:rPr>
              <w:t>238,453.38</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143ADF1E">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18E2CFC">
            <w:pPr>
              <w:jc w:val="right"/>
              <w:rPr>
                <w:rFonts w:ascii="Arial Narrow" w:hAnsi="Arial Narrow"/>
                <w:szCs w:val="21"/>
              </w:rPr>
            </w:pPr>
            <w:r>
              <w:rPr>
                <w:rFonts w:ascii="Arial Narrow" w:hAnsi="Arial Narrow" w:eastAsia="等线"/>
                <w:color w:val="000000"/>
                <w:szCs w:val="21"/>
              </w:rPr>
              <w:t>7,608,413.87</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36608408">
            <w:pPr>
              <w:jc w:val="right"/>
              <w:rPr>
                <w:rFonts w:ascii="Arial Narrow" w:hAnsi="Arial Narrow"/>
                <w:szCs w:val="21"/>
              </w:rPr>
            </w:pPr>
          </w:p>
        </w:tc>
      </w:tr>
      <w:tr w14:paraId="59D9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74642FC3">
            <w:pPr>
              <w:jc w:val="both"/>
              <w:rPr>
                <w:rFonts w:hint="eastAsia"/>
                <w:szCs w:val="21"/>
              </w:rPr>
            </w:pPr>
            <w:r>
              <w:rPr>
                <w:rFonts w:ascii="Arial Narrow" w:hAnsi="Arial Narrow" w:eastAsia="等线"/>
                <w:color w:val="000000"/>
                <w:szCs w:val="21"/>
              </w:rPr>
              <w:t>河北玄德智能科技发展股份有限公司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428948BF">
            <w:pPr>
              <w:jc w:val="right"/>
              <w:rPr>
                <w:rFonts w:ascii="Arial Narrow" w:hAnsi="Arial Narrow"/>
                <w:szCs w:val="21"/>
              </w:rPr>
            </w:pPr>
            <w:r>
              <w:rPr>
                <w:rFonts w:ascii="Arial Narrow" w:hAnsi="Arial Narrow" w:eastAsia="等线"/>
                <w:color w:val="000000"/>
                <w:szCs w:val="21"/>
              </w:rPr>
              <w:t>18,569,393.69</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27B8996F">
            <w:pPr>
              <w:jc w:val="right"/>
              <w:rPr>
                <w:rFonts w:ascii="Arial Narrow" w:hAnsi="Arial Narrow"/>
                <w:szCs w:val="21"/>
              </w:rPr>
            </w:pPr>
            <w:r>
              <w:rPr>
                <w:rFonts w:ascii="Arial Narrow" w:hAnsi="Arial Narrow" w:eastAsia="等线"/>
                <w:color w:val="000000"/>
                <w:szCs w:val="21"/>
              </w:rPr>
              <w:t>-4,596,781.02</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6FE30D30">
            <w:pPr>
              <w:jc w:val="right"/>
              <w:rPr>
                <w:rFonts w:ascii="Arial Narrow" w:hAnsi="Arial Narrow"/>
                <w:szCs w:val="21"/>
              </w:rPr>
            </w:pPr>
            <w:r>
              <w:rPr>
                <w:rFonts w:ascii="Arial Narrow" w:hAnsi="Arial Narrow" w:eastAsia="等线"/>
                <w:color w:val="000000"/>
                <w:szCs w:val="21"/>
              </w:rPr>
              <w:t>3,302,612.67</w:t>
            </w: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747DF0C8">
            <w:pPr>
              <w:jc w:val="right"/>
              <w:rPr>
                <w:rFonts w:ascii="Arial Narrow" w:hAnsi="Arial Narrow"/>
                <w:szCs w:val="21"/>
              </w:rPr>
            </w:pPr>
            <w:r>
              <w:rPr>
                <w:rFonts w:ascii="Arial Narrow" w:hAnsi="Arial Narrow" w:eastAsia="等线"/>
                <w:color w:val="000000"/>
                <w:szCs w:val="21"/>
              </w:rPr>
              <w:t>10,670,000.00</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1E8B1CB9">
            <w:pPr>
              <w:jc w:val="right"/>
              <w:rPr>
                <w:rFonts w:ascii="Arial Narrow" w:hAnsi="Arial Narrow"/>
                <w:szCs w:val="21"/>
              </w:rPr>
            </w:pPr>
            <w:r>
              <w:rPr>
                <w:rFonts w:ascii="Arial Narrow" w:hAnsi="Arial Narrow" w:eastAsia="等线"/>
                <w:color w:val="000000"/>
                <w:szCs w:val="21"/>
              </w:rPr>
              <w:t>3,302,612.67</w:t>
            </w:r>
          </w:p>
        </w:tc>
      </w:tr>
      <w:tr w14:paraId="4D63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0DD9EB32">
            <w:pPr>
              <w:jc w:val="both"/>
              <w:rPr>
                <w:rFonts w:hint="eastAsia"/>
                <w:szCs w:val="21"/>
              </w:rPr>
            </w:pPr>
            <w:r>
              <w:rPr>
                <w:rFonts w:ascii="Arial Narrow" w:hAnsi="Arial Narrow" w:eastAsia="等线"/>
                <w:color w:val="000000"/>
                <w:szCs w:val="21"/>
              </w:rPr>
              <w:t>际华洁能（天津）环保科技发展有限公司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7C2090F0">
            <w:pPr>
              <w:jc w:val="right"/>
              <w:rPr>
                <w:rFonts w:ascii="Arial Narrow" w:hAnsi="Arial Narrow"/>
                <w:szCs w:val="21"/>
              </w:rPr>
            </w:pPr>
            <w:r>
              <w:rPr>
                <w:rFonts w:ascii="Arial Narrow" w:hAnsi="Arial Narrow" w:eastAsia="等线"/>
                <w:color w:val="000000"/>
                <w:szCs w:val="21"/>
              </w:rPr>
              <w:t>640,360.43</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086534BD">
            <w:pPr>
              <w:jc w:val="right"/>
              <w:rPr>
                <w:rFonts w:ascii="Arial Narrow" w:hAnsi="Arial Narrow"/>
                <w:szCs w:val="21"/>
              </w:rPr>
            </w:pPr>
            <w:r>
              <w:rPr>
                <w:rFonts w:ascii="Arial Narrow" w:hAnsi="Arial Narrow" w:eastAsia="等线"/>
                <w:color w:val="000000"/>
                <w:szCs w:val="21"/>
              </w:rPr>
              <w:t>-640,360.43</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2DA4D95A">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28332F5C">
            <w:pPr>
              <w:jc w:val="right"/>
              <w:rPr>
                <w:rFonts w:ascii="Arial Narrow" w:hAnsi="Arial Narrow"/>
                <w:szCs w:val="21"/>
              </w:rPr>
            </w:pP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4EAC91D8">
            <w:pPr>
              <w:jc w:val="right"/>
              <w:rPr>
                <w:rFonts w:ascii="Arial Narrow" w:hAnsi="Arial Narrow"/>
                <w:szCs w:val="21"/>
              </w:rPr>
            </w:pPr>
          </w:p>
        </w:tc>
      </w:tr>
      <w:tr w14:paraId="5C63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0F4F179F">
            <w:pPr>
              <w:jc w:val="both"/>
              <w:rPr>
                <w:rFonts w:hint="eastAsia"/>
                <w:szCs w:val="21"/>
              </w:rPr>
            </w:pPr>
            <w:r>
              <w:rPr>
                <w:rFonts w:ascii="Arial Narrow" w:hAnsi="Arial Narrow" w:eastAsia="等线"/>
                <w:color w:val="000000"/>
                <w:szCs w:val="21"/>
              </w:rPr>
              <w:t>邢台诚达房地产开发有限公司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6849E05D">
            <w:pPr>
              <w:jc w:val="right"/>
              <w:rPr>
                <w:rFonts w:ascii="Arial Narrow" w:hAnsi="Arial Narrow"/>
                <w:szCs w:val="21"/>
              </w:rPr>
            </w:pPr>
            <w:r>
              <w:rPr>
                <w:rFonts w:ascii="Arial Narrow" w:hAnsi="Arial Narrow" w:eastAsia="等线"/>
                <w:color w:val="000000"/>
                <w:szCs w:val="21"/>
              </w:rPr>
              <w:t>4,805,898.10</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75313310">
            <w:pPr>
              <w:jc w:val="right"/>
              <w:rPr>
                <w:rFonts w:ascii="Arial Narrow" w:hAnsi="Arial Narrow"/>
                <w:szCs w:val="21"/>
              </w:rPr>
            </w:pPr>
            <w:r>
              <w:rPr>
                <w:rFonts w:ascii="Arial Narrow" w:hAnsi="Arial Narrow" w:eastAsia="等线"/>
                <w:color w:val="000000"/>
                <w:szCs w:val="21"/>
              </w:rPr>
              <w:t>-386,927.20</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7B80E080">
            <w:pPr>
              <w:jc w:val="right"/>
              <w:rPr>
                <w:rFonts w:ascii="Arial Narrow" w:hAnsi="Arial Narrow"/>
                <w:szCs w:val="21"/>
              </w:rPr>
            </w:pPr>
            <w:r>
              <w:rPr>
                <w:rFonts w:ascii="Arial Narrow" w:hAnsi="Arial Narrow" w:eastAsia="等线"/>
                <w:color w:val="000000"/>
                <w:szCs w:val="21"/>
              </w:rPr>
              <w:t>4,418,970.90</w:t>
            </w: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1A3179BA">
            <w:pPr>
              <w:jc w:val="right"/>
              <w:rPr>
                <w:rFonts w:ascii="Arial Narrow" w:hAnsi="Arial Narrow"/>
                <w:szCs w:val="21"/>
              </w:rPr>
            </w:pP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77178558">
            <w:pPr>
              <w:jc w:val="right"/>
              <w:rPr>
                <w:rFonts w:ascii="Arial Narrow" w:hAnsi="Arial Narrow"/>
                <w:szCs w:val="21"/>
              </w:rPr>
            </w:pPr>
            <w:r>
              <w:rPr>
                <w:rFonts w:ascii="Arial Narrow" w:hAnsi="Arial Narrow" w:eastAsia="等线"/>
                <w:color w:val="000000"/>
                <w:szCs w:val="21"/>
              </w:rPr>
              <w:t>4,418,970.90</w:t>
            </w:r>
          </w:p>
        </w:tc>
      </w:tr>
      <w:tr w14:paraId="0528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71CC5661">
            <w:pPr>
              <w:jc w:val="both"/>
              <w:rPr>
                <w:rFonts w:hint="eastAsia"/>
                <w:szCs w:val="21"/>
              </w:rPr>
            </w:pPr>
            <w:r>
              <w:rPr>
                <w:rFonts w:ascii="Arial Narrow" w:hAnsi="Arial Narrow" w:eastAsia="等线"/>
                <w:color w:val="000000"/>
                <w:szCs w:val="21"/>
              </w:rPr>
              <w:t>湖北际华置业有限公司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471ABC47">
            <w:pPr>
              <w:jc w:val="right"/>
              <w:rPr>
                <w:rFonts w:ascii="Arial Narrow" w:hAnsi="Arial Narrow"/>
                <w:szCs w:val="21"/>
              </w:rPr>
            </w:pPr>
            <w:r>
              <w:rPr>
                <w:rFonts w:ascii="Arial Narrow" w:hAnsi="Arial Narrow" w:eastAsia="等线"/>
                <w:color w:val="000000"/>
                <w:szCs w:val="21"/>
              </w:rPr>
              <w:t>1,859,682.79</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67B5BF24">
            <w:pPr>
              <w:jc w:val="right"/>
              <w:rPr>
                <w:rFonts w:ascii="Arial Narrow" w:hAnsi="Arial Narrow"/>
                <w:szCs w:val="21"/>
              </w:rPr>
            </w:pPr>
            <w:r>
              <w:rPr>
                <w:rFonts w:ascii="Arial Narrow" w:hAnsi="Arial Narrow" w:eastAsia="等线"/>
                <w:color w:val="000000"/>
                <w:szCs w:val="21"/>
              </w:rPr>
              <w:t>-1,859,682.79</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4272AFA1">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44C88E60">
            <w:pPr>
              <w:jc w:val="right"/>
              <w:rPr>
                <w:rFonts w:ascii="Arial Narrow" w:hAnsi="Arial Narrow"/>
                <w:szCs w:val="21"/>
              </w:rPr>
            </w:pP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5D0ADF60">
            <w:pPr>
              <w:jc w:val="right"/>
              <w:rPr>
                <w:rFonts w:ascii="Arial Narrow" w:hAnsi="Arial Narrow"/>
                <w:szCs w:val="21"/>
              </w:rPr>
            </w:pPr>
          </w:p>
        </w:tc>
      </w:tr>
      <w:tr w14:paraId="1A3A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76EA0114">
            <w:pPr>
              <w:jc w:val="both"/>
              <w:rPr>
                <w:rFonts w:hint="eastAsia"/>
                <w:szCs w:val="21"/>
              </w:rPr>
            </w:pPr>
            <w:r>
              <w:rPr>
                <w:rFonts w:hint="eastAsia"/>
                <w:color w:val="000000"/>
                <w:szCs w:val="21"/>
              </w:rPr>
              <w:t>湖南中晟高分子新材料有限公司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0A384372">
            <w:pPr>
              <w:jc w:val="right"/>
              <w:rPr>
                <w:rFonts w:ascii="Arial Narrow" w:hAnsi="Arial Narrow"/>
                <w:szCs w:val="21"/>
              </w:rPr>
            </w:pPr>
            <w:r>
              <w:rPr>
                <w:rFonts w:ascii="Arial Narrow" w:hAnsi="Arial Narrow" w:eastAsia="等线"/>
                <w:color w:val="000000"/>
                <w:szCs w:val="21"/>
              </w:rPr>
              <w:t>36,926,870.56</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2B802489">
            <w:pPr>
              <w:jc w:val="right"/>
              <w:rPr>
                <w:rFonts w:ascii="Arial Narrow" w:hAnsi="Arial Narrow"/>
                <w:szCs w:val="21"/>
              </w:rPr>
            </w:pPr>
            <w:r>
              <w:rPr>
                <w:rFonts w:ascii="Arial Narrow" w:hAnsi="Arial Narrow" w:eastAsia="等线"/>
                <w:color w:val="000000"/>
                <w:szCs w:val="21"/>
              </w:rPr>
              <w:t>-8,264,466.53</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6E06777B">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0922901D">
            <w:pPr>
              <w:jc w:val="right"/>
              <w:rPr>
                <w:rFonts w:ascii="Arial Narrow" w:hAnsi="Arial Narrow"/>
                <w:szCs w:val="21"/>
              </w:rPr>
            </w:pPr>
            <w:r>
              <w:rPr>
                <w:rFonts w:ascii="Arial Narrow" w:hAnsi="Arial Narrow" w:eastAsia="等线"/>
                <w:color w:val="000000"/>
                <w:szCs w:val="21"/>
              </w:rPr>
              <w:t>28,662,404.03</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0DFF67B4">
            <w:pPr>
              <w:jc w:val="right"/>
              <w:rPr>
                <w:rFonts w:ascii="Arial Narrow" w:hAnsi="Arial Narrow"/>
                <w:szCs w:val="21"/>
              </w:rPr>
            </w:pPr>
          </w:p>
        </w:tc>
      </w:tr>
      <w:tr w14:paraId="63ED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4267892C">
            <w:pPr>
              <w:jc w:val="both"/>
              <w:rPr>
                <w:rFonts w:hint="eastAsia"/>
                <w:szCs w:val="21"/>
              </w:rPr>
            </w:pPr>
            <w:r>
              <w:rPr>
                <w:rFonts w:hint="eastAsia"/>
                <w:color w:val="000000"/>
                <w:szCs w:val="21"/>
              </w:rPr>
              <w:t>新兴际华科技（天津）有限公司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19063F4B">
            <w:pPr>
              <w:jc w:val="right"/>
              <w:rPr>
                <w:rFonts w:ascii="Arial Narrow" w:hAnsi="Arial Narrow"/>
                <w:szCs w:val="21"/>
              </w:rPr>
            </w:pPr>
            <w:r>
              <w:rPr>
                <w:rFonts w:ascii="Arial Narrow" w:hAnsi="Arial Narrow" w:eastAsia="等线"/>
                <w:color w:val="000000"/>
                <w:szCs w:val="21"/>
              </w:rPr>
              <w:t>2,000,000.00</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1FB6DFB6">
            <w:pPr>
              <w:jc w:val="right"/>
              <w:rPr>
                <w:rFonts w:ascii="Arial Narrow" w:hAnsi="Arial Narrow"/>
                <w:szCs w:val="21"/>
              </w:rPr>
            </w:pPr>
            <w:r>
              <w:rPr>
                <w:rFonts w:ascii="Arial Narrow" w:hAnsi="Arial Narrow" w:eastAsia="等线"/>
                <w:color w:val="000000"/>
                <w:szCs w:val="21"/>
              </w:rPr>
              <w:t>-931,160.74</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45B11D30">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6B98CA2">
            <w:pPr>
              <w:jc w:val="right"/>
              <w:rPr>
                <w:rFonts w:ascii="Arial Narrow" w:hAnsi="Arial Narrow"/>
                <w:szCs w:val="21"/>
              </w:rPr>
            </w:pPr>
            <w:r>
              <w:rPr>
                <w:rFonts w:ascii="Arial Narrow" w:hAnsi="Arial Narrow" w:eastAsia="等线"/>
                <w:color w:val="000000"/>
                <w:szCs w:val="21"/>
              </w:rPr>
              <w:t>1,068,839.26</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075506A9">
            <w:pPr>
              <w:jc w:val="right"/>
              <w:rPr>
                <w:rFonts w:ascii="Arial Narrow" w:hAnsi="Arial Narrow"/>
                <w:szCs w:val="21"/>
              </w:rPr>
            </w:pPr>
          </w:p>
        </w:tc>
      </w:tr>
      <w:tr w14:paraId="307F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bottom"/>
          </w:tcPr>
          <w:p w14:paraId="1DC1A44F">
            <w:pPr>
              <w:jc w:val="both"/>
              <w:rPr>
                <w:rFonts w:hint="eastAsia"/>
                <w:szCs w:val="21"/>
              </w:rPr>
            </w:pPr>
            <w:r>
              <w:rPr>
                <w:rFonts w:ascii="Arial Narrow" w:hAnsi="Arial Narrow" w:eastAsia="等线"/>
                <w:color w:val="000000"/>
                <w:szCs w:val="21"/>
              </w:rPr>
              <w:t>宜昌际华仙女服饰有限公司</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28C91E07">
            <w:pPr>
              <w:jc w:val="right"/>
              <w:rPr>
                <w:rFonts w:ascii="Arial Narrow" w:hAnsi="Arial Narrow"/>
                <w:szCs w:val="21"/>
              </w:rPr>
            </w:pPr>
            <w:r>
              <w:rPr>
                <w:rFonts w:ascii="Arial Narrow" w:hAnsi="Arial Narrow" w:eastAsia="等线"/>
                <w:color w:val="000000"/>
                <w:szCs w:val="21"/>
              </w:rPr>
              <w:t>20,757,391.08</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4691B647">
            <w:pPr>
              <w:jc w:val="right"/>
              <w:rPr>
                <w:rFonts w:ascii="Arial Narrow" w:hAnsi="Arial Narrow"/>
                <w:szCs w:val="21"/>
              </w:rPr>
            </w:pPr>
            <w:r>
              <w:rPr>
                <w:rFonts w:ascii="Arial Narrow" w:hAnsi="Arial Narrow" w:eastAsia="等线"/>
                <w:color w:val="000000"/>
                <w:szCs w:val="21"/>
              </w:rPr>
              <w:t>-20,757,391.08</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5F0AA36C">
            <w:pPr>
              <w:jc w:val="right"/>
              <w:rPr>
                <w:rFonts w:ascii="Arial Narrow" w:hAnsi="Arial Narrow"/>
                <w:szCs w:val="21"/>
              </w:rPr>
            </w:pP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62C5A13">
            <w:pPr>
              <w:jc w:val="right"/>
              <w:rPr>
                <w:rFonts w:ascii="Arial Narrow" w:hAnsi="Arial Narrow"/>
                <w:szCs w:val="21"/>
              </w:rPr>
            </w:pP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5E885DB2">
            <w:pPr>
              <w:jc w:val="right"/>
              <w:rPr>
                <w:rFonts w:ascii="Arial Narrow" w:hAnsi="Arial Narrow"/>
                <w:szCs w:val="21"/>
              </w:rPr>
            </w:pPr>
          </w:p>
        </w:tc>
      </w:tr>
      <w:tr w14:paraId="1010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23330A55">
            <w:pPr>
              <w:jc w:val="both"/>
              <w:rPr>
                <w:rFonts w:hint="eastAsia"/>
                <w:szCs w:val="21"/>
              </w:rPr>
            </w:pPr>
            <w:r>
              <w:rPr>
                <w:rFonts w:hint="eastAsia"/>
                <w:szCs w:val="21"/>
              </w:rPr>
              <w:t>小计</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7820303F">
            <w:pPr>
              <w:jc w:val="right"/>
              <w:rPr>
                <w:rFonts w:ascii="Arial Narrow" w:hAnsi="Arial Narrow"/>
                <w:szCs w:val="21"/>
              </w:rPr>
            </w:pPr>
            <w:r>
              <w:rPr>
                <w:rFonts w:ascii="Arial Narrow" w:hAnsi="Arial Narrow" w:eastAsia="等线"/>
                <w:color w:val="000000"/>
                <w:szCs w:val="21"/>
              </w:rPr>
              <w:t>92,929,557.14</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05E7EB22">
            <w:pPr>
              <w:jc w:val="right"/>
              <w:rPr>
                <w:rFonts w:ascii="Arial Narrow" w:hAnsi="Arial Narrow"/>
                <w:szCs w:val="21"/>
              </w:rPr>
            </w:pPr>
            <w:r>
              <w:rPr>
                <w:rFonts w:ascii="Arial Narrow" w:hAnsi="Arial Narrow" w:eastAsia="等线"/>
                <w:color w:val="000000"/>
                <w:szCs w:val="21"/>
              </w:rPr>
              <w:t>-37,198,316.41</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2D342FC6">
            <w:pPr>
              <w:jc w:val="right"/>
              <w:rPr>
                <w:rFonts w:ascii="Arial Narrow" w:hAnsi="Arial Narrow"/>
                <w:szCs w:val="21"/>
              </w:rPr>
            </w:pPr>
            <w:r>
              <w:rPr>
                <w:rFonts w:ascii="Arial Narrow" w:hAnsi="Arial Narrow" w:eastAsia="等线"/>
                <w:color w:val="000000"/>
                <w:szCs w:val="21"/>
              </w:rPr>
              <w:t>7,721,583.57</w:t>
            </w: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46199027">
            <w:pPr>
              <w:jc w:val="right"/>
              <w:rPr>
                <w:rFonts w:ascii="Arial Narrow" w:hAnsi="Arial Narrow"/>
                <w:szCs w:val="21"/>
              </w:rPr>
            </w:pPr>
            <w:r>
              <w:rPr>
                <w:rFonts w:ascii="Arial Narrow" w:hAnsi="Arial Narrow" w:eastAsia="等线"/>
                <w:color w:val="000000"/>
                <w:szCs w:val="21"/>
              </w:rPr>
              <w:t>48,009,657.16</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5DBBFE1C">
            <w:pPr>
              <w:jc w:val="right"/>
              <w:rPr>
                <w:rFonts w:ascii="Arial Narrow" w:hAnsi="Arial Narrow"/>
                <w:szCs w:val="21"/>
              </w:rPr>
            </w:pPr>
            <w:r>
              <w:rPr>
                <w:rFonts w:ascii="Arial Narrow" w:hAnsi="Arial Narrow" w:eastAsia="等线"/>
                <w:color w:val="000000"/>
                <w:szCs w:val="21"/>
              </w:rPr>
              <w:t>7,721,583.57</w:t>
            </w:r>
          </w:p>
        </w:tc>
      </w:tr>
      <w:tr w14:paraId="00CD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5F1E1821">
            <w:pPr>
              <w:jc w:val="center"/>
              <w:rPr>
                <w:rFonts w:hint="eastAsia"/>
                <w:szCs w:val="21"/>
              </w:rPr>
            </w:pPr>
            <w:r>
              <w:rPr>
                <w:rFonts w:hint="eastAsia"/>
                <w:szCs w:val="21"/>
              </w:rPr>
              <w:t>合计</w:t>
            </w:r>
          </w:p>
        </w:tc>
        <w:tc>
          <w:tcPr>
            <w:tcW w:w="640" w:type="pct"/>
            <w:tcBorders>
              <w:top w:val="single" w:color="auto" w:sz="4" w:space="0"/>
              <w:left w:val="single" w:color="auto" w:sz="4" w:space="0"/>
              <w:bottom w:val="single" w:color="auto" w:sz="4" w:space="0"/>
              <w:right w:val="single" w:color="auto" w:sz="4" w:space="0"/>
            </w:tcBorders>
            <w:shd w:val="clear" w:color="auto" w:fill="auto"/>
            <w:vAlign w:val="center"/>
          </w:tcPr>
          <w:p w14:paraId="20908B19">
            <w:pPr>
              <w:jc w:val="right"/>
              <w:rPr>
                <w:rFonts w:ascii="Arial Narrow" w:hAnsi="Arial Narrow"/>
                <w:szCs w:val="21"/>
              </w:rPr>
            </w:pPr>
            <w:r>
              <w:rPr>
                <w:rFonts w:ascii="Arial Narrow" w:hAnsi="Arial Narrow" w:eastAsia="等线"/>
                <w:color w:val="000000"/>
                <w:szCs w:val="21"/>
              </w:rPr>
              <w:t>92,929,557.14</w:t>
            </w:r>
          </w:p>
        </w:tc>
        <w:tc>
          <w:tcPr>
            <w:tcW w:w="831" w:type="pct"/>
            <w:tcBorders>
              <w:top w:val="single" w:color="auto" w:sz="4" w:space="0"/>
              <w:left w:val="single" w:color="auto" w:sz="4" w:space="0"/>
              <w:bottom w:val="single" w:color="auto" w:sz="4" w:space="0"/>
              <w:right w:val="single" w:color="auto" w:sz="4" w:space="0"/>
            </w:tcBorders>
            <w:shd w:val="clear" w:color="auto" w:fill="auto"/>
            <w:vAlign w:val="center"/>
          </w:tcPr>
          <w:p w14:paraId="64350124">
            <w:pPr>
              <w:jc w:val="right"/>
              <w:rPr>
                <w:rFonts w:ascii="Arial Narrow" w:hAnsi="Arial Narrow"/>
                <w:szCs w:val="21"/>
              </w:rPr>
            </w:pPr>
            <w:r>
              <w:rPr>
                <w:rFonts w:ascii="Arial Narrow" w:hAnsi="Arial Narrow" w:eastAsia="等线"/>
                <w:color w:val="000000"/>
                <w:szCs w:val="21"/>
              </w:rPr>
              <w:t>-37,198,316.41</w:t>
            </w:r>
          </w:p>
        </w:tc>
        <w:tc>
          <w:tcPr>
            <w:tcW w:w="824" w:type="pct"/>
            <w:tcBorders>
              <w:top w:val="single" w:color="auto" w:sz="4" w:space="0"/>
              <w:left w:val="single" w:color="auto" w:sz="4" w:space="0"/>
              <w:bottom w:val="single" w:color="auto" w:sz="4" w:space="0"/>
              <w:right w:val="single" w:color="auto" w:sz="4" w:space="0"/>
            </w:tcBorders>
            <w:shd w:val="clear" w:color="auto" w:fill="auto"/>
            <w:vAlign w:val="center"/>
          </w:tcPr>
          <w:p w14:paraId="6079B1B8">
            <w:pPr>
              <w:jc w:val="right"/>
              <w:rPr>
                <w:rFonts w:ascii="Arial Narrow" w:hAnsi="Arial Narrow"/>
                <w:szCs w:val="21"/>
              </w:rPr>
            </w:pPr>
            <w:r>
              <w:rPr>
                <w:rFonts w:ascii="Arial Narrow" w:hAnsi="Arial Narrow" w:eastAsia="等线"/>
                <w:color w:val="000000"/>
                <w:szCs w:val="21"/>
              </w:rPr>
              <w:t>7,721,583.57</w:t>
            </w:r>
          </w:p>
        </w:tc>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7A3D269">
            <w:pPr>
              <w:jc w:val="right"/>
              <w:rPr>
                <w:rFonts w:ascii="Arial Narrow" w:hAnsi="Arial Narrow"/>
                <w:szCs w:val="21"/>
              </w:rPr>
            </w:pPr>
            <w:r>
              <w:rPr>
                <w:rFonts w:ascii="Arial Narrow" w:hAnsi="Arial Narrow" w:eastAsia="等线"/>
                <w:color w:val="000000"/>
                <w:szCs w:val="21"/>
              </w:rPr>
              <w:t>48,009,657.16</w:t>
            </w:r>
          </w:p>
        </w:tc>
        <w:tc>
          <w:tcPr>
            <w:tcW w:w="810" w:type="pct"/>
            <w:tcBorders>
              <w:top w:val="single" w:color="auto" w:sz="4" w:space="0"/>
              <w:left w:val="single" w:color="auto" w:sz="4" w:space="0"/>
              <w:bottom w:val="single" w:color="auto" w:sz="4" w:space="0"/>
              <w:right w:val="single" w:color="auto" w:sz="4" w:space="0"/>
            </w:tcBorders>
            <w:shd w:val="clear" w:color="auto" w:fill="auto"/>
            <w:vAlign w:val="center"/>
          </w:tcPr>
          <w:p w14:paraId="22CBD592">
            <w:pPr>
              <w:jc w:val="right"/>
              <w:rPr>
                <w:rFonts w:ascii="Arial Narrow" w:hAnsi="Arial Narrow"/>
                <w:szCs w:val="21"/>
              </w:rPr>
            </w:pPr>
            <w:r>
              <w:rPr>
                <w:rFonts w:ascii="Arial Narrow" w:hAnsi="Arial Narrow" w:eastAsia="等线"/>
                <w:color w:val="000000"/>
                <w:szCs w:val="21"/>
              </w:rPr>
              <w:t>7,721,583.57</w:t>
            </w:r>
          </w:p>
        </w:tc>
      </w:tr>
    </w:tbl>
    <w:p w14:paraId="550CF6EE">
      <w:pPr>
        <w:rPr>
          <w:rFonts w:hint="eastAsia"/>
        </w:rPr>
      </w:pPr>
    </w:p>
    <w:p w14:paraId="21C1BC50">
      <w:pPr>
        <w:snapToGrid w:val="0"/>
        <w:spacing w:line="240" w:lineRule="atLeast"/>
        <w:ind w:firstLine="420" w:firstLineChars="200"/>
        <w:rPr>
          <w:rFonts w:hint="eastAsia"/>
          <w:szCs w:val="21"/>
        </w:rPr>
      </w:pPr>
      <w:r>
        <w:rPr>
          <w:rFonts w:hint="eastAsia"/>
          <w:szCs w:val="21"/>
        </w:rPr>
        <w:t>注：河北际华玄德智能科技股份有限公司已于2025年更名为河北玄德智能科技发展股份有限公司；际华中晟材料科技（岳阳）有限公司已于2025年更名为湖南中晟高分子新材料有限公司。</w:t>
      </w:r>
    </w:p>
    <w:p w14:paraId="2061FF2A">
      <w:pPr>
        <w:pStyle w:val="71"/>
        <w:numPr>
          <w:ilvl w:val="0"/>
          <w:numId w:val="122"/>
        </w:numPr>
        <w:rPr>
          <w:rFonts w:hint="eastAsia"/>
        </w:rPr>
      </w:pPr>
      <w:r>
        <w:rPr>
          <w:rFonts w:hint="eastAsia"/>
        </w:rPr>
        <w:t>长期股权投资的减值测试情况</w:t>
      </w:r>
    </w:p>
    <w:sdt>
      <w:sdtPr>
        <w:alias w:val="是否适用：减值测试情况[双击切换]"/>
        <w:tag w:val="_GBC_869bca5d4169451086ae6ff386220647"/>
        <w:id w:val="-1577669011"/>
        <w:placeholder>
          <w:docPart w:val="GBC22222222222222222222222222222"/>
        </w:placeholder>
      </w:sdtPr>
      <w:sdtContent>
        <w:p w14:paraId="6A86A74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CC3166">
      <w:pPr>
        <w:snapToGrid w:val="0"/>
        <w:spacing w:line="240" w:lineRule="atLeast"/>
        <w:rPr>
          <w:rFonts w:hint="eastAsia"/>
          <w:b/>
          <w:szCs w:val="21"/>
        </w:rPr>
      </w:pPr>
    </w:p>
    <w:p w14:paraId="168FF165">
      <w:pPr>
        <w:pStyle w:val="72"/>
        <w:ind w:left="105"/>
      </w:pPr>
      <w:r>
        <w:rPr>
          <w:rFonts w:hint="eastAsia"/>
        </w:rPr>
        <w:t>可收回金额按公允价值减去处置费用后的净额确定</w:t>
      </w:r>
    </w:p>
    <w:sdt>
      <w:sdtPr>
        <w:alias w:val="是否适用：可收回金额按公允价值减去处置费用后的净额确定[双击切换]"/>
        <w:tag w:val="_GBC_5d79f5b7f9de47cfa1786c77c4f54e32"/>
        <w:id w:val="-51542630"/>
        <w:placeholder>
          <w:docPart w:val="GBC22222222222222222222222222222"/>
        </w:placeholder>
      </w:sdtPr>
      <w:sdtContent>
        <w:p w14:paraId="2B2C734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4F3E7C">
      <w:pPr>
        <w:jc w:val="right"/>
        <w:rPr>
          <w:rFonts w:hint="eastAsia"/>
        </w:rPr>
      </w:pPr>
      <w:r>
        <w:rPr>
          <w:rFonts w:hint="eastAsia"/>
        </w:rPr>
        <w:t>单位：</w:t>
      </w:r>
      <w:sdt>
        <w:sdtPr>
          <w:rPr>
            <w:rFonts w:hint="eastAsia"/>
          </w:rPr>
          <w:alias w:val="单位：可收回金额按公允价值减去处置费用后的净额确定"/>
          <w:tag w:val="_GBC_f31cf3a84530411495271075945b30de"/>
          <w:id w:val="-115821722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公允价值减去处置费用后的净额确定"/>
          <w:tag w:val="_GBC_00f17d77538b46d2b41d6a12da6ee861"/>
          <w:id w:val="14852760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1555"/>
        <w:gridCol w:w="1417"/>
        <w:gridCol w:w="1558"/>
        <w:gridCol w:w="2978"/>
        <w:gridCol w:w="1841"/>
        <w:gridCol w:w="2529"/>
      </w:tblGrid>
      <w:tr w14:paraId="39C4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27e3dc33aba46b58afd590e2ab011fc"/>
            <w:id w:val="1595972212"/>
          </w:sdtPr>
          <w:sdtContent>
            <w:tc>
              <w:tcPr>
                <w:tcW w:w="716" w:type="pct"/>
                <w:shd w:val="clear" w:color="auto" w:fill="auto"/>
                <w:vAlign w:val="center"/>
              </w:tcPr>
              <w:p w14:paraId="721D1720">
                <w:pPr>
                  <w:widowControl w:val="0"/>
                  <w:snapToGrid w:val="0"/>
                  <w:spacing w:line="240" w:lineRule="atLeast"/>
                  <w:jc w:val="center"/>
                  <w:rPr>
                    <w:rFonts w:hint="eastAsia"/>
                    <w:szCs w:val="21"/>
                  </w:rPr>
                </w:pPr>
                <w:r>
                  <w:rPr>
                    <w:rFonts w:hint="eastAsia"/>
                    <w:szCs w:val="21"/>
                  </w:rPr>
                  <w:t>项目</w:t>
                </w:r>
              </w:p>
            </w:tc>
          </w:sdtContent>
        </w:sdt>
        <w:sdt>
          <w:sdtPr>
            <w:tag w:val="_PLD_ca4a99d4f73e4b61beba5f299efe8054"/>
            <w:id w:val="-1198773317"/>
          </w:sdtPr>
          <w:sdtContent>
            <w:tc>
              <w:tcPr>
                <w:tcW w:w="561" w:type="pct"/>
                <w:vAlign w:val="center"/>
              </w:tcPr>
              <w:p w14:paraId="610D1F08">
                <w:pPr>
                  <w:widowControl w:val="0"/>
                  <w:snapToGrid w:val="0"/>
                  <w:spacing w:line="240" w:lineRule="atLeast"/>
                  <w:jc w:val="center"/>
                  <w:rPr>
                    <w:rFonts w:hint="eastAsia"/>
                    <w:szCs w:val="21"/>
                  </w:rPr>
                </w:pPr>
                <w:r>
                  <w:rPr>
                    <w:rFonts w:hint="eastAsia"/>
                    <w:szCs w:val="21"/>
                  </w:rPr>
                  <w:t>账面价值</w:t>
                </w:r>
              </w:p>
            </w:tc>
          </w:sdtContent>
        </w:sdt>
        <w:sdt>
          <w:sdtPr>
            <w:tag w:val="_PLD_1990c5fa81da456ebabd5c61581ffff1"/>
            <w:id w:val="-161396255"/>
          </w:sdtPr>
          <w:sdtContent>
            <w:tc>
              <w:tcPr>
                <w:tcW w:w="511" w:type="pct"/>
                <w:vAlign w:val="center"/>
              </w:tcPr>
              <w:p w14:paraId="4F6C7236">
                <w:pPr>
                  <w:widowControl w:val="0"/>
                  <w:snapToGrid w:val="0"/>
                  <w:spacing w:line="240" w:lineRule="atLeast"/>
                  <w:jc w:val="center"/>
                  <w:rPr>
                    <w:rFonts w:hint="eastAsia"/>
                    <w:szCs w:val="21"/>
                  </w:rPr>
                </w:pPr>
                <w:r>
                  <w:rPr>
                    <w:rFonts w:hint="eastAsia"/>
                    <w:szCs w:val="21"/>
                  </w:rPr>
                  <w:t>可收回金额</w:t>
                </w:r>
              </w:p>
            </w:tc>
          </w:sdtContent>
        </w:sdt>
        <w:sdt>
          <w:sdtPr>
            <w:tag w:val="_PLD_4b3836e9522445878f01408ac43ee739"/>
            <w:id w:val="-1882625619"/>
          </w:sdtPr>
          <w:sdtContent>
            <w:tc>
              <w:tcPr>
                <w:tcW w:w="562" w:type="pct"/>
                <w:vAlign w:val="center"/>
              </w:tcPr>
              <w:p w14:paraId="0E666892">
                <w:pPr>
                  <w:widowControl w:val="0"/>
                  <w:snapToGrid w:val="0"/>
                  <w:spacing w:line="240" w:lineRule="atLeast"/>
                  <w:jc w:val="center"/>
                  <w:rPr>
                    <w:rFonts w:hint="eastAsia"/>
                    <w:szCs w:val="21"/>
                  </w:rPr>
                </w:pPr>
                <w:r>
                  <w:rPr>
                    <w:rFonts w:hint="eastAsia"/>
                    <w:szCs w:val="21"/>
                  </w:rPr>
                  <w:t>减值金额</w:t>
                </w:r>
              </w:p>
            </w:tc>
          </w:sdtContent>
        </w:sdt>
        <w:sdt>
          <w:sdtPr>
            <w:tag w:val="_PLD_6d59a8df1b84459189eaf50bc4522ae5"/>
            <w:id w:val="1909035966"/>
          </w:sdtPr>
          <w:sdtContent>
            <w:tc>
              <w:tcPr>
                <w:tcW w:w="1074" w:type="pct"/>
                <w:shd w:val="clear" w:color="auto" w:fill="auto"/>
                <w:vAlign w:val="center"/>
              </w:tcPr>
              <w:p w14:paraId="09C6728C">
                <w:pPr>
                  <w:widowControl w:val="0"/>
                  <w:snapToGrid w:val="0"/>
                  <w:spacing w:line="240" w:lineRule="atLeast"/>
                  <w:jc w:val="center"/>
                  <w:rPr>
                    <w:rFonts w:hint="eastAsia"/>
                    <w:szCs w:val="21"/>
                  </w:rPr>
                </w:pPr>
                <w:r>
                  <w:rPr>
                    <w:rFonts w:hint="eastAsia"/>
                    <w:szCs w:val="21"/>
                  </w:rPr>
                  <w:t>公允价值和处置费用的确定方式</w:t>
                </w:r>
              </w:p>
            </w:tc>
          </w:sdtContent>
        </w:sdt>
        <w:sdt>
          <w:sdtPr>
            <w:tag w:val="_PLD_d048aa502de749ccbf28e9de91944c38"/>
            <w:id w:val="1068386950"/>
          </w:sdtPr>
          <w:sdtContent>
            <w:tc>
              <w:tcPr>
                <w:tcW w:w="664" w:type="pct"/>
                <w:shd w:val="clear" w:color="auto" w:fill="auto"/>
                <w:vAlign w:val="center"/>
              </w:tcPr>
              <w:p w14:paraId="1D251F9B">
                <w:pPr>
                  <w:widowControl w:val="0"/>
                  <w:snapToGrid w:val="0"/>
                  <w:spacing w:line="240" w:lineRule="atLeast"/>
                  <w:jc w:val="center"/>
                  <w:rPr>
                    <w:rFonts w:hint="eastAsia"/>
                    <w:szCs w:val="21"/>
                  </w:rPr>
                </w:pPr>
                <w:r>
                  <w:rPr>
                    <w:rFonts w:hint="eastAsia"/>
                    <w:szCs w:val="21"/>
                  </w:rPr>
                  <w:t>关键参数</w:t>
                </w:r>
              </w:p>
            </w:tc>
          </w:sdtContent>
        </w:sdt>
        <w:sdt>
          <w:sdtPr>
            <w:tag w:val="_PLD_e32af775b4b640c09f678ba0d990c92f"/>
            <w:id w:val="1220083500"/>
          </w:sdtPr>
          <w:sdtContent>
            <w:tc>
              <w:tcPr>
                <w:tcW w:w="912" w:type="pct"/>
                <w:shd w:val="clear" w:color="auto" w:fill="auto"/>
                <w:vAlign w:val="center"/>
              </w:tcPr>
              <w:p w14:paraId="343A405F">
                <w:pPr>
                  <w:widowControl w:val="0"/>
                  <w:snapToGrid w:val="0"/>
                  <w:spacing w:line="240" w:lineRule="atLeast"/>
                  <w:jc w:val="center"/>
                  <w:rPr>
                    <w:rFonts w:hint="eastAsia"/>
                    <w:szCs w:val="21"/>
                  </w:rPr>
                </w:pPr>
                <w:r>
                  <w:rPr>
                    <w:rFonts w:hint="eastAsia"/>
                    <w:szCs w:val="21"/>
                  </w:rPr>
                  <w:t>关键参数的确定依据</w:t>
                </w:r>
              </w:p>
            </w:tc>
          </w:sdtContent>
        </w:sdt>
      </w:tr>
      <w:tr w14:paraId="3CBF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pct"/>
            <w:shd w:val="clear" w:color="auto" w:fill="auto"/>
            <w:vAlign w:val="center"/>
          </w:tcPr>
          <w:p w14:paraId="39B648F3">
            <w:pPr>
              <w:widowControl w:val="0"/>
              <w:snapToGrid w:val="0"/>
              <w:spacing w:line="240" w:lineRule="atLeast"/>
              <w:jc w:val="center"/>
              <w:rPr>
                <w:rFonts w:ascii="Arial Narrow" w:hAnsi="Arial Narrow" w:eastAsiaTheme="minorEastAsia"/>
                <w:szCs w:val="21"/>
              </w:rPr>
            </w:pPr>
            <w:r>
              <w:rPr>
                <w:rFonts w:ascii="Arial Narrow" w:hAnsi="Arial Narrow" w:eastAsiaTheme="minorEastAsia"/>
                <w:color w:val="000000"/>
                <w:szCs w:val="21"/>
              </w:rPr>
              <w:t>河北玄德智能科技发展股份有限公司</w:t>
            </w:r>
          </w:p>
        </w:tc>
        <w:tc>
          <w:tcPr>
            <w:tcW w:w="561" w:type="pct"/>
            <w:vAlign w:val="center"/>
          </w:tcPr>
          <w:p w14:paraId="211961B4">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13,972,612.67</w:t>
            </w:r>
          </w:p>
        </w:tc>
        <w:tc>
          <w:tcPr>
            <w:tcW w:w="511" w:type="pct"/>
            <w:vAlign w:val="center"/>
          </w:tcPr>
          <w:p w14:paraId="65C5FE8B">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10,670,000.00</w:t>
            </w:r>
          </w:p>
        </w:tc>
        <w:tc>
          <w:tcPr>
            <w:tcW w:w="562" w:type="pct"/>
            <w:vAlign w:val="center"/>
          </w:tcPr>
          <w:p w14:paraId="77C317A0">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3,302,612.67</w:t>
            </w:r>
          </w:p>
        </w:tc>
        <w:tc>
          <w:tcPr>
            <w:tcW w:w="1074" w:type="pct"/>
            <w:shd w:val="clear" w:color="auto" w:fill="auto"/>
            <w:vAlign w:val="center"/>
          </w:tcPr>
          <w:p w14:paraId="126E3C01">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公允价值采用市场价格；处置费用为资产处置费用</w:t>
            </w:r>
            <w:r>
              <w:rPr>
                <w:rFonts w:hint="eastAsia" w:ascii="Arial Narrow" w:hAnsi="Arial Narrow" w:eastAsiaTheme="minorEastAsia"/>
                <w:color w:val="000000"/>
                <w:szCs w:val="21"/>
              </w:rPr>
              <w:t>，</w:t>
            </w:r>
            <w:r>
              <w:rPr>
                <w:rFonts w:ascii="Arial Narrow" w:hAnsi="Arial Narrow" w:eastAsiaTheme="minorEastAsia"/>
                <w:color w:val="000000"/>
                <w:szCs w:val="21"/>
              </w:rPr>
              <w:t>包括律师、审计、评估等中介机构费用和交易环节的印花税。</w:t>
            </w:r>
          </w:p>
        </w:tc>
        <w:tc>
          <w:tcPr>
            <w:tcW w:w="664" w:type="pct"/>
            <w:shd w:val="clear" w:color="auto" w:fill="auto"/>
            <w:vAlign w:val="center"/>
          </w:tcPr>
          <w:p w14:paraId="2A00B4FA">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市场价格、重置成本、成新率、处置费用率3%</w:t>
            </w:r>
          </w:p>
        </w:tc>
        <w:tc>
          <w:tcPr>
            <w:tcW w:w="912" w:type="pct"/>
            <w:shd w:val="clear" w:color="auto" w:fill="auto"/>
            <w:vAlign w:val="center"/>
          </w:tcPr>
          <w:p w14:paraId="782BA0A6">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市场价格、重置成本、成新率：通过市场询价，以及资产使用年限和现场勘查情况综合确认；处置费用率：包括律师、审计、评估等中介机构费用和交易环节的印花税</w:t>
            </w:r>
          </w:p>
        </w:tc>
      </w:tr>
      <w:tr w14:paraId="04D4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pct"/>
            <w:shd w:val="clear" w:color="auto" w:fill="auto"/>
            <w:vAlign w:val="center"/>
          </w:tcPr>
          <w:p w14:paraId="082CB9D6">
            <w:pPr>
              <w:widowControl w:val="0"/>
              <w:snapToGrid w:val="0"/>
              <w:spacing w:line="240" w:lineRule="atLeast"/>
              <w:jc w:val="center"/>
              <w:rPr>
                <w:rFonts w:ascii="Arial Narrow" w:hAnsi="Arial Narrow" w:eastAsiaTheme="minorEastAsia"/>
                <w:szCs w:val="21"/>
              </w:rPr>
            </w:pPr>
            <w:r>
              <w:rPr>
                <w:rFonts w:ascii="Arial Narrow" w:hAnsi="Arial Narrow" w:eastAsiaTheme="minorEastAsia"/>
                <w:color w:val="000000"/>
                <w:szCs w:val="21"/>
              </w:rPr>
              <w:t>邢台诚达房地产开发有限公司</w:t>
            </w:r>
          </w:p>
        </w:tc>
        <w:tc>
          <w:tcPr>
            <w:tcW w:w="561" w:type="pct"/>
            <w:vAlign w:val="center"/>
          </w:tcPr>
          <w:p w14:paraId="36E204A2">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4,418,970.90</w:t>
            </w:r>
          </w:p>
        </w:tc>
        <w:tc>
          <w:tcPr>
            <w:tcW w:w="511" w:type="pct"/>
            <w:vAlign w:val="center"/>
          </w:tcPr>
          <w:p w14:paraId="17D8960B">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0</w:t>
            </w:r>
          </w:p>
        </w:tc>
        <w:tc>
          <w:tcPr>
            <w:tcW w:w="562" w:type="pct"/>
            <w:vAlign w:val="center"/>
          </w:tcPr>
          <w:p w14:paraId="6B00D9A4">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 w:val="22"/>
                <w:szCs w:val="22"/>
              </w:rPr>
              <w:t>4,418,970.90</w:t>
            </w:r>
          </w:p>
        </w:tc>
        <w:tc>
          <w:tcPr>
            <w:tcW w:w="1074" w:type="pct"/>
            <w:shd w:val="clear" w:color="auto" w:fill="auto"/>
            <w:vAlign w:val="center"/>
          </w:tcPr>
          <w:p w14:paraId="1AAA6AE2">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公允价值采用市场价格；处置费用为资产处置费用</w:t>
            </w:r>
            <w:r>
              <w:rPr>
                <w:rFonts w:hint="eastAsia" w:ascii="Arial Narrow" w:hAnsi="Arial Narrow" w:eastAsiaTheme="minorEastAsia"/>
                <w:color w:val="000000"/>
                <w:szCs w:val="21"/>
              </w:rPr>
              <w:t>，</w:t>
            </w:r>
            <w:r>
              <w:rPr>
                <w:rFonts w:ascii="Arial Narrow" w:hAnsi="Arial Narrow" w:eastAsiaTheme="minorEastAsia"/>
                <w:color w:val="000000"/>
                <w:szCs w:val="21"/>
              </w:rPr>
              <w:t>包括律师、审计、评估等中介机构费用和交易环节的印花税。</w:t>
            </w:r>
          </w:p>
        </w:tc>
        <w:tc>
          <w:tcPr>
            <w:tcW w:w="664" w:type="pct"/>
            <w:shd w:val="clear" w:color="auto" w:fill="auto"/>
            <w:vAlign w:val="center"/>
          </w:tcPr>
          <w:p w14:paraId="16D30EC9">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市场价格、重置成本、成新率、处置费用</w:t>
            </w:r>
          </w:p>
        </w:tc>
        <w:tc>
          <w:tcPr>
            <w:tcW w:w="912" w:type="pct"/>
            <w:shd w:val="clear" w:color="auto" w:fill="auto"/>
            <w:vAlign w:val="center"/>
          </w:tcPr>
          <w:p w14:paraId="39EAEEB7">
            <w:pPr>
              <w:widowControl w:val="0"/>
              <w:snapToGrid w:val="0"/>
              <w:spacing w:line="240" w:lineRule="atLeast"/>
              <w:jc w:val="both"/>
              <w:rPr>
                <w:rFonts w:ascii="Arial Narrow" w:hAnsi="Arial Narrow" w:eastAsiaTheme="minorEastAsia"/>
                <w:szCs w:val="21"/>
              </w:rPr>
            </w:pPr>
            <w:r>
              <w:rPr>
                <w:rFonts w:ascii="Arial Narrow" w:hAnsi="Arial Narrow" w:eastAsiaTheme="minorEastAsia"/>
                <w:color w:val="000000"/>
                <w:szCs w:val="21"/>
              </w:rPr>
              <w:t>市场价格、重置成本、成新率：通过市场询价，以及资产使用年限和现场勘查情况综合确认；处置费用：包括律师、审计、评估等中介机构费用和交易环节的印花税</w:t>
            </w:r>
          </w:p>
        </w:tc>
      </w:tr>
      <w:tr w14:paraId="7C3B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16" w:type="pct"/>
            <w:shd w:val="clear" w:color="auto" w:fill="auto"/>
            <w:vAlign w:val="center"/>
          </w:tcPr>
          <w:p w14:paraId="6F803083">
            <w:pPr>
              <w:widowControl w:val="0"/>
              <w:snapToGrid w:val="0"/>
              <w:spacing w:line="240" w:lineRule="atLeast"/>
              <w:jc w:val="center"/>
              <w:rPr>
                <w:rFonts w:hint="eastAsia"/>
                <w:szCs w:val="21"/>
              </w:rPr>
            </w:pPr>
            <w:r>
              <w:rPr>
                <w:szCs w:val="21"/>
              </w:rPr>
              <w:t>合计</w:t>
            </w:r>
          </w:p>
        </w:tc>
        <w:tc>
          <w:tcPr>
            <w:tcW w:w="561" w:type="pct"/>
            <w:vAlign w:val="center"/>
          </w:tcPr>
          <w:p w14:paraId="23D1FEEA">
            <w:pPr>
              <w:widowControl w:val="0"/>
              <w:snapToGrid w:val="0"/>
              <w:spacing w:line="240" w:lineRule="atLeast"/>
              <w:jc w:val="right"/>
              <w:rPr>
                <w:rFonts w:hint="eastAsia"/>
                <w:szCs w:val="21"/>
              </w:rPr>
            </w:pPr>
            <w:r>
              <w:rPr>
                <w:rFonts w:ascii="Arial Narrow" w:hAnsi="Arial Narrow" w:eastAsia="等线"/>
                <w:color w:val="000000"/>
                <w:sz w:val="22"/>
                <w:szCs w:val="22"/>
              </w:rPr>
              <w:t>18,391,583.57</w:t>
            </w:r>
          </w:p>
        </w:tc>
        <w:tc>
          <w:tcPr>
            <w:tcW w:w="511" w:type="pct"/>
            <w:vAlign w:val="center"/>
          </w:tcPr>
          <w:p w14:paraId="4A2D0B15">
            <w:pPr>
              <w:widowControl w:val="0"/>
              <w:snapToGrid w:val="0"/>
              <w:spacing w:line="240" w:lineRule="atLeast"/>
              <w:jc w:val="right"/>
              <w:rPr>
                <w:rFonts w:hint="eastAsia"/>
                <w:szCs w:val="21"/>
              </w:rPr>
            </w:pPr>
            <w:r>
              <w:rPr>
                <w:rFonts w:hint="eastAsia" w:ascii="Arial Narrow" w:hAnsi="Arial Narrow" w:eastAsia="等线"/>
                <w:color w:val="000000"/>
                <w:sz w:val="22"/>
                <w:szCs w:val="22"/>
              </w:rPr>
              <w:t>10,670,000.00</w:t>
            </w:r>
          </w:p>
        </w:tc>
        <w:tc>
          <w:tcPr>
            <w:tcW w:w="562" w:type="pct"/>
            <w:vAlign w:val="center"/>
          </w:tcPr>
          <w:p w14:paraId="3D0F07AF">
            <w:pPr>
              <w:widowControl w:val="0"/>
              <w:snapToGrid w:val="0"/>
              <w:spacing w:line="240" w:lineRule="atLeast"/>
              <w:jc w:val="right"/>
              <w:rPr>
                <w:rFonts w:hint="eastAsia"/>
                <w:szCs w:val="21"/>
              </w:rPr>
            </w:pPr>
            <w:r>
              <w:rPr>
                <w:rFonts w:ascii="Arial Narrow" w:hAnsi="Arial Narrow" w:eastAsia="等线"/>
                <w:color w:val="000000"/>
                <w:sz w:val="22"/>
                <w:szCs w:val="22"/>
              </w:rPr>
              <w:t>7,721,583.57</w:t>
            </w:r>
          </w:p>
        </w:tc>
        <w:tc>
          <w:tcPr>
            <w:tcW w:w="1074" w:type="pct"/>
            <w:shd w:val="clear" w:color="auto" w:fill="auto"/>
          </w:tcPr>
          <w:p w14:paraId="04A6A35D">
            <w:pPr>
              <w:widowControl w:val="0"/>
              <w:snapToGrid w:val="0"/>
              <w:spacing w:line="240" w:lineRule="atLeast"/>
              <w:jc w:val="center"/>
              <w:rPr>
                <w:rFonts w:hint="eastAsia"/>
                <w:szCs w:val="21"/>
              </w:rPr>
            </w:pPr>
            <w:r>
              <w:rPr>
                <w:rFonts w:hint="eastAsia"/>
                <w:szCs w:val="21"/>
              </w:rPr>
              <w:t>/</w:t>
            </w:r>
          </w:p>
        </w:tc>
        <w:tc>
          <w:tcPr>
            <w:tcW w:w="664" w:type="pct"/>
            <w:shd w:val="clear" w:color="auto" w:fill="auto"/>
          </w:tcPr>
          <w:p w14:paraId="07D5D1A6">
            <w:pPr>
              <w:widowControl w:val="0"/>
              <w:snapToGrid w:val="0"/>
              <w:spacing w:line="240" w:lineRule="atLeast"/>
              <w:jc w:val="center"/>
              <w:rPr>
                <w:rFonts w:hint="eastAsia"/>
                <w:szCs w:val="21"/>
              </w:rPr>
            </w:pPr>
            <w:r>
              <w:rPr>
                <w:rFonts w:hint="eastAsia"/>
                <w:szCs w:val="21"/>
              </w:rPr>
              <w:t>/</w:t>
            </w:r>
          </w:p>
        </w:tc>
        <w:tc>
          <w:tcPr>
            <w:tcW w:w="912" w:type="pct"/>
            <w:shd w:val="clear" w:color="auto" w:fill="auto"/>
          </w:tcPr>
          <w:p w14:paraId="30D87CE3">
            <w:pPr>
              <w:widowControl w:val="0"/>
              <w:snapToGrid w:val="0"/>
              <w:spacing w:line="240" w:lineRule="atLeast"/>
              <w:jc w:val="center"/>
              <w:rPr>
                <w:rFonts w:hint="eastAsia"/>
                <w:szCs w:val="21"/>
              </w:rPr>
            </w:pPr>
            <w:r>
              <w:rPr>
                <w:rFonts w:hint="eastAsia"/>
                <w:szCs w:val="21"/>
              </w:rPr>
              <w:t>/</w:t>
            </w:r>
          </w:p>
        </w:tc>
      </w:tr>
    </w:tbl>
    <w:p w14:paraId="1DCFCF98">
      <w:pPr>
        <w:snapToGrid w:val="0"/>
        <w:spacing w:line="240" w:lineRule="atLeast"/>
        <w:rPr>
          <w:rFonts w:hint="eastAsia"/>
          <w:szCs w:val="21"/>
        </w:rPr>
      </w:pPr>
    </w:p>
    <w:p w14:paraId="485BB50A">
      <w:pPr>
        <w:pStyle w:val="72"/>
        <w:ind w:left="105"/>
      </w:pPr>
      <w:r>
        <w:rPr>
          <w:rFonts w:hint="eastAsia"/>
        </w:rPr>
        <w:t>可收回金额按预计未来现金流量的现值确定</w:t>
      </w:r>
    </w:p>
    <w:sdt>
      <w:sdtPr>
        <w:rPr>
          <w:rFonts w:hint="eastAsia"/>
        </w:rPr>
        <w:alias w:val="是否适用：可收回金额按预计未来现金流量的现值确定[双击切换]"/>
        <w:tag w:val="_GBC_9c34e274367e466a9303b2bac84fe555"/>
        <w:id w:val="-1260454042"/>
        <w:placeholder>
          <w:docPart w:val="GBC22222222222222222222222222222"/>
        </w:placeholder>
      </w:sdtPr>
      <w:sdtEndPr>
        <w:rPr>
          <w:rFonts w:hint="eastAsia"/>
        </w:rPr>
      </w:sdtEndPr>
      <w:sdtContent>
        <w:p w14:paraId="3CF58F7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1B43968">
      <w:pPr>
        <w:rPr>
          <w:rFonts w:hint="eastAsia"/>
        </w:rPr>
      </w:pPr>
    </w:p>
    <w:p w14:paraId="338D4FCD">
      <w:pPr>
        <w:pStyle w:val="72"/>
        <w:ind w:left="105"/>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c3e8603325834699a6bb2289afd95ba7"/>
        <w:id w:val="1401029612"/>
        <w:placeholder>
          <w:docPart w:val="GBC22222222222222222222222222222"/>
        </w:placeholder>
      </w:sdtPr>
      <w:sdtContent>
        <w:p w14:paraId="2DD3B74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E2AC096">
      <w:pPr>
        <w:snapToGrid w:val="0"/>
        <w:spacing w:line="240" w:lineRule="atLeast"/>
        <w:rPr>
          <w:rFonts w:hint="eastAsia"/>
          <w:szCs w:val="21"/>
        </w:rPr>
      </w:pPr>
    </w:p>
    <w:p w14:paraId="392B1143">
      <w:pPr>
        <w:pStyle w:val="72"/>
        <w:ind w:left="105"/>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f1e50d30deb44faca454e96c06d70792"/>
        <w:id w:val="-1241712475"/>
        <w:placeholder>
          <w:docPart w:val="GBC22222222222222222222222222222"/>
        </w:placeholder>
      </w:sdtPr>
      <w:sdtContent>
        <w:p w14:paraId="31CE4F1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2BD30F2">
      <w:pPr>
        <w:snapToGrid w:val="0"/>
        <w:spacing w:line="240" w:lineRule="atLeast"/>
        <w:rPr>
          <w:rFonts w:hint="eastAsia"/>
          <w:szCs w:val="21"/>
        </w:rPr>
      </w:pPr>
    </w:p>
    <w:p w14:paraId="3F0B9CF7">
      <w:pPr>
        <w:snapToGrid w:val="0"/>
        <w:spacing w:line="240" w:lineRule="atLeast"/>
        <w:rPr>
          <w:rFonts w:hint="eastAsia"/>
          <w:szCs w:val="21"/>
        </w:rPr>
      </w:pPr>
      <w:r>
        <w:rPr>
          <w:rFonts w:hint="eastAsia"/>
          <w:szCs w:val="21"/>
        </w:rPr>
        <w:t>其他说明：</w:t>
      </w:r>
    </w:p>
    <w:p w14:paraId="3B917C88">
      <w:pPr>
        <w:snapToGrid w:val="0"/>
        <w:spacing w:line="240" w:lineRule="atLeast"/>
        <w:rPr>
          <w:rFonts w:hint="eastAsia"/>
          <w:szCs w:val="21"/>
        </w:rPr>
      </w:pPr>
      <w:sdt>
        <w:sdtPr>
          <w:rPr>
            <w:szCs w:val="21"/>
          </w:rPr>
          <w:alias w:val="长期股票投资的说明"/>
          <w:tag w:val="_GBC_4023b747651f4831814ee17f68bb62d6"/>
          <w:id w:val="1226262678"/>
          <w:placeholder>
            <w:docPart w:val="GBC22222222222222222222222222222"/>
          </w:placeholder>
        </w:sdtPr>
        <w:sdtEndPr>
          <w:rPr>
            <w:szCs w:val="21"/>
          </w:rPr>
        </w:sdtEndPr>
        <w:sdtContent>
          <w:r>
            <w:rPr>
              <w:rFonts w:hint="eastAsia"/>
              <w:szCs w:val="21"/>
            </w:rPr>
            <w:t>无</w:t>
          </w:r>
        </w:sdtContent>
      </w:sdt>
    </w:p>
    <w:p w14:paraId="30F6782C">
      <w:pPr>
        <w:snapToGrid w:val="0"/>
        <w:spacing w:line="240" w:lineRule="atLeast"/>
        <w:rPr>
          <w:rFonts w:hint="eastAsia"/>
          <w:szCs w:val="21"/>
        </w:rPr>
      </w:pPr>
    </w:p>
    <w:p w14:paraId="7A6CFAAF">
      <w:pPr>
        <w:pStyle w:val="70"/>
        <w:numPr>
          <w:ilvl w:val="0"/>
          <w:numId w:val="109"/>
        </w:numPr>
        <w:rPr>
          <w:szCs w:val="21"/>
        </w:rPr>
      </w:pPr>
      <w:bookmarkStart w:id="307" w:name="_Hlk533409702"/>
      <w:bookmarkStart w:id="308" w:name="_Hlk152858292"/>
      <w:r>
        <w:rPr>
          <w:szCs w:val="21"/>
        </w:rPr>
        <w:t>其他权益工具投资</w:t>
      </w:r>
    </w:p>
    <w:p w14:paraId="41DA0F73">
      <w:pPr>
        <w:pStyle w:val="71"/>
        <w:numPr>
          <w:ilvl w:val="3"/>
          <w:numId w:val="123"/>
        </w:numPr>
        <w:ind w:left="426" w:hanging="426"/>
        <w:rPr>
          <w:rFonts w:hint="eastAsia"/>
        </w:rPr>
      </w:pPr>
      <w:bookmarkStart w:id="309" w:name="_Hlk532994936"/>
      <w:r>
        <w:rPr>
          <w:rFonts w:hint="eastAsia"/>
        </w:rPr>
        <w:t>其他权益工具投资情况</w:t>
      </w:r>
    </w:p>
    <w:sdt>
      <w:sdtPr>
        <w:alias w:val="是否适用：其他权益工具投资情况[双击切换]"/>
        <w:tag w:val="_GBC_d086d5c38ce84090b98eac90481c97aa"/>
        <w:id w:val="-190295809"/>
        <w:placeholder>
          <w:docPart w:val="GBC22222222222222222222222222222"/>
        </w:placeholder>
      </w:sdtPr>
      <w:sdtContent>
        <w:p w14:paraId="658F7CA0">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ACFBC3">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其他权益工具投资情况"/>
          <w:tag w:val="_GBC_afada4c07d144e589675aeac548ff1d0"/>
          <w:id w:val="-18146388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其他权益工具投资情况"/>
          <w:tag w:val="_GBC_b0fd0da2e6914f91b6f9923463f182a5"/>
          <w:id w:val="18261566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bookmarkEnd w:id="307"/>
    <w:bookmarkEnd w:id="308"/>
    <w:bookmarkEnd w:id="309"/>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917"/>
        <w:gridCol w:w="1770"/>
        <w:gridCol w:w="1559"/>
        <w:gridCol w:w="2190"/>
        <w:gridCol w:w="1508"/>
        <w:gridCol w:w="1508"/>
        <w:gridCol w:w="1494"/>
      </w:tblGrid>
      <w:tr w14:paraId="4CD4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f1e4cd012be4666a6aee1d8ddb3d5fc"/>
            <w:id w:val="-1233781517"/>
          </w:sdtPr>
          <w:sdtContent>
            <w:tc>
              <w:tcPr>
                <w:tcW w:w="689" w:type="pct"/>
                <w:vMerge w:val="restart"/>
                <w:tcBorders>
                  <w:top w:val="single" w:color="auto" w:sz="4" w:space="0"/>
                  <w:left w:val="single" w:color="auto" w:sz="4" w:space="0"/>
                  <w:right w:val="single" w:color="auto" w:sz="4" w:space="0"/>
                </w:tcBorders>
                <w:shd w:val="clear" w:color="auto" w:fill="auto"/>
                <w:vAlign w:val="center"/>
              </w:tcPr>
              <w:p w14:paraId="03DB87E5">
                <w:pPr>
                  <w:jc w:val="center"/>
                  <w:rPr>
                    <w:rFonts w:hint="eastAsia"/>
                    <w:szCs w:val="21"/>
                  </w:rPr>
                </w:pPr>
                <w:r>
                  <w:rPr>
                    <w:rFonts w:hint="eastAsia"/>
                    <w:szCs w:val="21"/>
                  </w:rPr>
                  <w:t>项目</w:t>
                </w:r>
              </w:p>
            </w:tc>
          </w:sdtContent>
        </w:sdt>
        <w:sdt>
          <w:sdtPr>
            <w:tag w:val="_PLD_cd86550f752a4870b5ecfa3ace922f6d"/>
            <w:id w:val="1619803287"/>
          </w:sdtPr>
          <w:sdtContent>
            <w:tc>
              <w:tcPr>
                <w:tcW w:w="689" w:type="pct"/>
                <w:vMerge w:val="restart"/>
                <w:tcBorders>
                  <w:top w:val="single" w:color="auto" w:sz="4" w:space="0"/>
                  <w:left w:val="single" w:color="auto" w:sz="4" w:space="0"/>
                  <w:right w:val="single" w:color="auto" w:sz="4" w:space="0"/>
                </w:tcBorders>
                <w:shd w:val="clear" w:color="auto" w:fill="auto"/>
                <w:vAlign w:val="center"/>
              </w:tcPr>
              <w:p w14:paraId="17F915F7">
                <w:pPr>
                  <w:jc w:val="center"/>
                  <w:rPr>
                    <w:rFonts w:hint="eastAsia"/>
                    <w:szCs w:val="21"/>
                  </w:rPr>
                </w:pPr>
                <w:r>
                  <w:rPr>
                    <w:rFonts w:hint="eastAsia"/>
                    <w:szCs w:val="21"/>
                  </w:rPr>
                  <w:t>期初</w:t>
                </w:r>
              </w:p>
              <w:p w14:paraId="49CC59EE">
                <w:pPr>
                  <w:jc w:val="center"/>
                  <w:rPr>
                    <w:rFonts w:hint="eastAsia"/>
                    <w:szCs w:val="21"/>
                  </w:rPr>
                </w:pPr>
                <w:r>
                  <w:rPr>
                    <w:rFonts w:hint="eastAsia"/>
                    <w:szCs w:val="21"/>
                  </w:rPr>
                  <w:t>余额</w:t>
                </w:r>
              </w:p>
            </w:tc>
          </w:sdtContent>
        </w:sdt>
        <w:sdt>
          <w:sdtPr>
            <w:tag w:val="_PLD_379e5b07c94943c082f8141e69827eb8"/>
            <w:id w:val="-1338763548"/>
          </w:sdtPr>
          <w:sdtContent>
            <w:tc>
              <w:tcPr>
                <w:tcW w:w="11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A2D7F4">
                <w:pPr>
                  <w:jc w:val="center"/>
                  <w:rPr>
                    <w:rFonts w:hint="eastAsia"/>
                    <w:szCs w:val="21"/>
                  </w:rPr>
                </w:pPr>
                <w:r>
                  <w:rPr>
                    <w:rFonts w:hint="eastAsia"/>
                    <w:szCs w:val="21"/>
                  </w:rPr>
                  <w:t>本期增减变动</w:t>
                </w:r>
              </w:p>
            </w:tc>
          </w:sdtContent>
        </w:sdt>
        <w:sdt>
          <w:sdtPr>
            <w:tag w:val="_PLD_ac415aedc9c6446485bac805332ca59b"/>
            <w:id w:val="-2109888355"/>
          </w:sdtPr>
          <w:sdtContent>
            <w:tc>
              <w:tcPr>
                <w:tcW w:w="787" w:type="pct"/>
                <w:vMerge w:val="restart"/>
                <w:tcBorders>
                  <w:top w:val="single" w:color="auto" w:sz="4" w:space="0"/>
                  <w:left w:val="single" w:color="auto" w:sz="4" w:space="0"/>
                  <w:right w:val="single" w:color="auto" w:sz="4" w:space="0"/>
                </w:tcBorders>
                <w:shd w:val="clear" w:color="auto" w:fill="auto"/>
                <w:vAlign w:val="center"/>
              </w:tcPr>
              <w:p w14:paraId="654372F8">
                <w:pPr>
                  <w:jc w:val="center"/>
                  <w:rPr>
                    <w:rFonts w:hint="eastAsia"/>
                    <w:szCs w:val="21"/>
                  </w:rPr>
                </w:pPr>
                <w:r>
                  <w:rPr>
                    <w:rFonts w:hint="eastAsia"/>
                    <w:szCs w:val="21"/>
                  </w:rPr>
                  <w:t>期末</w:t>
                </w:r>
              </w:p>
              <w:p w14:paraId="679E914C">
                <w:pPr>
                  <w:jc w:val="center"/>
                  <w:rPr>
                    <w:rFonts w:hint="eastAsia"/>
                    <w:szCs w:val="21"/>
                  </w:rPr>
                </w:pPr>
                <w:r>
                  <w:rPr>
                    <w:rFonts w:hint="eastAsia"/>
                    <w:szCs w:val="21"/>
                  </w:rPr>
                  <w:t>余额</w:t>
                </w:r>
              </w:p>
            </w:tc>
          </w:sdtContent>
        </w:sdt>
        <w:sdt>
          <w:sdtPr>
            <w:tag w:val="_PLD_d139f6e8adbe4eb2bd13c29bba65a2f9"/>
            <w:id w:val="-480229680"/>
          </w:sdtPr>
          <w:sdtContent>
            <w:tc>
              <w:tcPr>
                <w:tcW w:w="542" w:type="pct"/>
                <w:vMerge w:val="restart"/>
                <w:tcBorders>
                  <w:top w:val="single" w:color="auto" w:sz="4" w:space="0"/>
                  <w:left w:val="single" w:color="auto" w:sz="4" w:space="0"/>
                  <w:right w:val="single" w:color="auto" w:sz="4" w:space="0"/>
                </w:tcBorders>
                <w:vAlign w:val="center"/>
              </w:tcPr>
              <w:p w14:paraId="4938FE74">
                <w:pPr>
                  <w:jc w:val="center"/>
                  <w:rPr>
                    <w:rFonts w:hint="eastAsia"/>
                    <w:szCs w:val="21"/>
                  </w:rPr>
                </w:pPr>
                <w:r>
                  <w:rPr>
                    <w:rFonts w:hint="eastAsia"/>
                    <w:szCs w:val="21"/>
                  </w:rPr>
                  <w:t>本期确认的股利收入</w:t>
                </w:r>
              </w:p>
            </w:tc>
          </w:sdtContent>
        </w:sdt>
        <w:sdt>
          <w:sdtPr>
            <w:tag w:val="_PLD_e1975ba88e6f4c8d8d6ca2c971af1701"/>
            <w:id w:val="-928114695"/>
          </w:sdtPr>
          <w:sdtContent>
            <w:tc>
              <w:tcPr>
                <w:tcW w:w="542" w:type="pct"/>
                <w:vMerge w:val="restart"/>
                <w:tcBorders>
                  <w:top w:val="single" w:color="auto" w:sz="4" w:space="0"/>
                  <w:left w:val="single" w:color="auto" w:sz="4" w:space="0"/>
                  <w:right w:val="single" w:color="auto" w:sz="4" w:space="0"/>
                </w:tcBorders>
                <w:vAlign w:val="center"/>
              </w:tcPr>
              <w:p w14:paraId="2A868CEC">
                <w:pPr>
                  <w:jc w:val="center"/>
                  <w:rPr>
                    <w:rFonts w:hint="eastAsia"/>
                    <w:szCs w:val="21"/>
                  </w:rPr>
                </w:pPr>
                <w:r>
                  <w:rPr>
                    <w:rFonts w:hint="eastAsia"/>
                    <w:szCs w:val="21"/>
                  </w:rPr>
                  <w:t>累计计入其他综合收益的损失</w:t>
                </w:r>
              </w:p>
            </w:tc>
          </w:sdtContent>
        </w:sdt>
        <w:sdt>
          <w:sdtPr>
            <w:tag w:val="_PLD_22e80ab64b37459ebc83e5b928d25051"/>
            <w:id w:val="-33437287"/>
          </w:sdtPr>
          <w:sdtContent>
            <w:tc>
              <w:tcPr>
                <w:tcW w:w="537" w:type="pct"/>
                <w:vMerge w:val="restart"/>
                <w:tcBorders>
                  <w:top w:val="single" w:color="auto" w:sz="4" w:space="0"/>
                  <w:left w:val="single" w:color="auto" w:sz="4" w:space="0"/>
                  <w:right w:val="single" w:color="auto" w:sz="4" w:space="0"/>
                </w:tcBorders>
                <w:shd w:val="clear" w:color="auto" w:fill="auto"/>
                <w:vAlign w:val="center"/>
              </w:tcPr>
              <w:p w14:paraId="06D8F8FA">
                <w:pPr>
                  <w:jc w:val="center"/>
                  <w:rPr>
                    <w:rFonts w:hint="eastAsia"/>
                    <w:szCs w:val="21"/>
                  </w:rPr>
                </w:pPr>
                <w:r>
                  <w:rPr>
                    <w:rFonts w:hint="eastAsia"/>
                  </w:rPr>
                  <w:t>指定为以公允价值计量且其变动计入其他综合收益的原因</w:t>
                </w:r>
              </w:p>
            </w:tc>
          </w:sdtContent>
        </w:sdt>
      </w:tr>
      <w:tr w14:paraId="0436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vMerge w:val="continue"/>
            <w:tcBorders>
              <w:left w:val="single" w:color="auto" w:sz="4" w:space="0"/>
              <w:bottom w:val="single" w:color="auto" w:sz="4" w:space="0"/>
              <w:right w:val="single" w:color="auto" w:sz="4" w:space="0"/>
            </w:tcBorders>
            <w:shd w:val="clear" w:color="auto" w:fill="auto"/>
          </w:tcPr>
          <w:p w14:paraId="07C09B1C">
            <w:pPr>
              <w:jc w:val="center"/>
              <w:rPr>
                <w:rFonts w:hint="eastAsia"/>
                <w:szCs w:val="21"/>
              </w:rPr>
            </w:pPr>
          </w:p>
        </w:tc>
        <w:tc>
          <w:tcPr>
            <w:tcW w:w="689" w:type="pct"/>
            <w:vMerge w:val="continue"/>
            <w:tcBorders>
              <w:left w:val="single" w:color="auto" w:sz="4" w:space="0"/>
              <w:bottom w:val="single" w:color="auto" w:sz="4" w:space="0"/>
              <w:right w:val="single" w:color="auto" w:sz="4" w:space="0"/>
            </w:tcBorders>
            <w:shd w:val="clear" w:color="auto" w:fill="auto"/>
          </w:tcPr>
          <w:p w14:paraId="030B3D7E">
            <w:pPr>
              <w:jc w:val="center"/>
              <w:rPr>
                <w:rFonts w:hint="eastAsia"/>
                <w:szCs w:val="21"/>
              </w:rPr>
            </w:pPr>
          </w:p>
        </w:tc>
        <w:sdt>
          <w:sdtPr>
            <w:tag w:val="_PLD_35b99bcd41834275ae207d04ef825953"/>
            <w:id w:val="1860004927"/>
          </w:sdtPr>
          <w:sdtContent>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142C6B7">
                <w:pPr>
                  <w:jc w:val="center"/>
                  <w:rPr>
                    <w:rFonts w:hint="eastAsia"/>
                    <w:szCs w:val="21"/>
                  </w:rPr>
                </w:pPr>
                <w:r>
                  <w:rPr>
                    <w:rFonts w:hint="eastAsia"/>
                    <w:szCs w:val="21"/>
                  </w:rPr>
                  <w:t>减少投资</w:t>
                </w:r>
              </w:p>
            </w:tc>
          </w:sdtContent>
        </w:sdt>
        <w:sdt>
          <w:sdtPr>
            <w:tag w:val="_PLD_34c6f06bd6ce4dec84766a6723567bb2"/>
            <w:id w:val="-1043289186"/>
          </w:sdtPr>
          <w:sdtContent>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59CE404F">
                <w:pPr>
                  <w:jc w:val="center"/>
                  <w:rPr>
                    <w:rFonts w:hint="eastAsia"/>
                    <w:szCs w:val="21"/>
                  </w:rPr>
                </w:pPr>
                <w:r>
                  <w:rPr>
                    <w:rFonts w:hint="eastAsia"/>
                    <w:szCs w:val="21"/>
                  </w:rPr>
                  <w:t>本期计入其他综合收益的损失</w:t>
                </w:r>
              </w:p>
            </w:tc>
          </w:sdtContent>
        </w:sdt>
        <w:tc>
          <w:tcPr>
            <w:tcW w:w="787" w:type="pct"/>
            <w:vMerge w:val="continue"/>
            <w:tcBorders>
              <w:left w:val="single" w:color="auto" w:sz="4" w:space="0"/>
              <w:bottom w:val="single" w:color="auto" w:sz="4" w:space="0"/>
              <w:right w:val="single" w:color="auto" w:sz="4" w:space="0"/>
            </w:tcBorders>
            <w:shd w:val="clear" w:color="auto" w:fill="auto"/>
            <w:vAlign w:val="center"/>
          </w:tcPr>
          <w:p w14:paraId="588601C5">
            <w:pPr>
              <w:jc w:val="center"/>
              <w:rPr>
                <w:rFonts w:hint="eastAsia"/>
                <w:szCs w:val="21"/>
              </w:rPr>
            </w:pPr>
          </w:p>
        </w:tc>
        <w:tc>
          <w:tcPr>
            <w:tcW w:w="542" w:type="pct"/>
            <w:vMerge w:val="continue"/>
            <w:tcBorders>
              <w:left w:val="single" w:color="auto" w:sz="4" w:space="0"/>
              <w:bottom w:val="single" w:color="auto" w:sz="4" w:space="0"/>
              <w:right w:val="single" w:color="auto" w:sz="4" w:space="0"/>
            </w:tcBorders>
          </w:tcPr>
          <w:p w14:paraId="27FED210">
            <w:pPr>
              <w:jc w:val="center"/>
              <w:rPr>
                <w:rFonts w:hint="eastAsia"/>
                <w:szCs w:val="21"/>
              </w:rPr>
            </w:pPr>
          </w:p>
        </w:tc>
        <w:tc>
          <w:tcPr>
            <w:tcW w:w="542" w:type="pct"/>
            <w:vMerge w:val="continue"/>
            <w:tcBorders>
              <w:left w:val="single" w:color="auto" w:sz="4" w:space="0"/>
              <w:bottom w:val="single" w:color="auto" w:sz="4" w:space="0"/>
              <w:right w:val="single" w:color="auto" w:sz="4" w:space="0"/>
            </w:tcBorders>
          </w:tcPr>
          <w:p w14:paraId="75CD6E13">
            <w:pPr>
              <w:jc w:val="center"/>
              <w:rPr>
                <w:rFonts w:hint="eastAsia"/>
                <w:szCs w:val="21"/>
              </w:rPr>
            </w:pPr>
          </w:p>
        </w:tc>
        <w:tc>
          <w:tcPr>
            <w:tcW w:w="537" w:type="pct"/>
            <w:vMerge w:val="continue"/>
            <w:tcBorders>
              <w:left w:val="single" w:color="auto" w:sz="4" w:space="0"/>
              <w:bottom w:val="single" w:color="auto" w:sz="4" w:space="0"/>
              <w:right w:val="single" w:color="auto" w:sz="4" w:space="0"/>
            </w:tcBorders>
            <w:shd w:val="clear" w:color="auto" w:fill="auto"/>
            <w:vAlign w:val="center"/>
          </w:tcPr>
          <w:p w14:paraId="6504CCEE">
            <w:pPr>
              <w:jc w:val="center"/>
              <w:rPr>
                <w:rFonts w:hint="eastAsia"/>
                <w:szCs w:val="21"/>
              </w:rPr>
            </w:pPr>
          </w:p>
        </w:tc>
      </w:tr>
      <w:tr w14:paraId="7821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tcBorders>
              <w:top w:val="single" w:color="auto" w:sz="4" w:space="0"/>
              <w:left w:val="single" w:color="auto" w:sz="4" w:space="0"/>
              <w:bottom w:val="single" w:color="auto" w:sz="4" w:space="0"/>
              <w:right w:val="single" w:color="auto" w:sz="4" w:space="0"/>
            </w:tcBorders>
            <w:shd w:val="clear" w:color="auto" w:fill="auto"/>
          </w:tcPr>
          <w:p w14:paraId="41B2D8FC">
            <w:pPr>
              <w:rPr>
                <w:rFonts w:ascii="Arial Narrow" w:hAnsi="Arial Narrow"/>
                <w:szCs w:val="21"/>
              </w:rPr>
            </w:pPr>
            <w:r>
              <w:rPr>
                <w:rFonts w:ascii="Arial Narrow" w:hAnsi="Arial Narrow"/>
                <w:color w:val="000000"/>
                <w:szCs w:val="21"/>
              </w:rPr>
              <w:t>新兴际华投资有限公司</w:t>
            </w:r>
          </w:p>
        </w:tc>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053B1D08">
            <w:pPr>
              <w:jc w:val="right"/>
              <w:rPr>
                <w:rFonts w:ascii="Arial Narrow" w:hAnsi="Arial Narrow"/>
                <w:sz w:val="20"/>
                <w:szCs w:val="20"/>
              </w:rPr>
            </w:pPr>
            <w:r>
              <w:rPr>
                <w:rFonts w:ascii="Arial Narrow" w:hAnsi="Arial Narrow"/>
                <w:color w:val="000000"/>
                <w:szCs w:val="22"/>
              </w:rPr>
              <w:t>608,684,979.37</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47D57B72">
            <w:pPr>
              <w:jc w:val="right"/>
              <w:rPr>
                <w:rFonts w:ascii="Arial Narrow" w:hAnsi="Arial Narrow"/>
                <w:sz w:val="20"/>
                <w:szCs w:val="20"/>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3ED9F73">
            <w:pPr>
              <w:jc w:val="right"/>
              <w:rPr>
                <w:rFonts w:ascii="Arial Narrow" w:hAnsi="Arial Narrow"/>
                <w:sz w:val="20"/>
                <w:szCs w:val="20"/>
              </w:rPr>
            </w:pPr>
            <w:r>
              <w:rPr>
                <w:rFonts w:ascii="Arial Narrow" w:hAnsi="Arial Narrow"/>
                <w:color w:val="000000"/>
                <w:szCs w:val="22"/>
              </w:rPr>
              <w:t>111,585,367.37</w:t>
            </w: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14:paraId="2E0AF338">
            <w:pPr>
              <w:jc w:val="right"/>
              <w:rPr>
                <w:rFonts w:ascii="Arial Narrow" w:hAnsi="Arial Narrow"/>
                <w:sz w:val="20"/>
                <w:szCs w:val="20"/>
              </w:rPr>
            </w:pPr>
            <w:r>
              <w:rPr>
                <w:rFonts w:ascii="Arial Narrow" w:hAnsi="Arial Narrow"/>
                <w:color w:val="000000"/>
                <w:szCs w:val="22"/>
              </w:rPr>
              <w:t>497,099,612.00</w:t>
            </w:r>
          </w:p>
        </w:tc>
        <w:tc>
          <w:tcPr>
            <w:tcW w:w="542" w:type="pct"/>
            <w:tcBorders>
              <w:top w:val="single" w:color="auto" w:sz="4" w:space="0"/>
              <w:left w:val="single" w:color="auto" w:sz="4" w:space="0"/>
              <w:bottom w:val="single" w:color="auto" w:sz="4" w:space="0"/>
              <w:right w:val="single" w:color="auto" w:sz="4" w:space="0"/>
            </w:tcBorders>
            <w:vAlign w:val="center"/>
          </w:tcPr>
          <w:p w14:paraId="75216928">
            <w:pPr>
              <w:jc w:val="right"/>
              <w:rPr>
                <w:rFonts w:ascii="Arial Narrow" w:hAnsi="Arial Narrow"/>
                <w:sz w:val="20"/>
                <w:szCs w:val="20"/>
              </w:rPr>
            </w:pPr>
            <w:r>
              <w:rPr>
                <w:rFonts w:ascii="Arial Narrow" w:hAnsi="Arial Narrow"/>
                <w:color w:val="000000"/>
                <w:szCs w:val="22"/>
              </w:rPr>
              <w:t>7,252,620.35</w:t>
            </w:r>
          </w:p>
        </w:tc>
        <w:tc>
          <w:tcPr>
            <w:tcW w:w="542" w:type="pct"/>
            <w:tcBorders>
              <w:top w:val="single" w:color="auto" w:sz="4" w:space="0"/>
              <w:left w:val="single" w:color="auto" w:sz="4" w:space="0"/>
              <w:bottom w:val="single" w:color="auto" w:sz="4" w:space="0"/>
              <w:right w:val="single" w:color="auto" w:sz="4" w:space="0"/>
            </w:tcBorders>
            <w:vAlign w:val="center"/>
          </w:tcPr>
          <w:p w14:paraId="1DCC1E1E">
            <w:pPr>
              <w:jc w:val="right"/>
              <w:rPr>
                <w:rFonts w:ascii="Arial Narrow" w:hAnsi="Arial Narrow"/>
                <w:sz w:val="20"/>
                <w:szCs w:val="20"/>
              </w:rPr>
            </w:pPr>
            <w:r>
              <w:rPr>
                <w:rFonts w:ascii="Arial Narrow" w:hAnsi="Arial Narrow"/>
                <w:color w:val="000000"/>
                <w:szCs w:val="22"/>
              </w:rPr>
              <w:t>225,999,968.83</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AAC1EAB">
            <w:pPr>
              <w:jc w:val="both"/>
              <w:rPr>
                <w:rFonts w:ascii="Arial Narrow" w:hAnsi="Arial Narrow"/>
                <w:sz w:val="20"/>
                <w:szCs w:val="20"/>
              </w:rPr>
            </w:pPr>
            <w:r>
              <w:rPr>
                <w:rFonts w:hint="eastAsia" w:ascii="Arial Narrow" w:hAnsi="Arial Narrow"/>
                <w:sz w:val="20"/>
                <w:szCs w:val="20"/>
              </w:rPr>
              <w:t>非交易性权益工具</w:t>
            </w:r>
          </w:p>
        </w:tc>
      </w:tr>
      <w:tr w14:paraId="0945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tcBorders>
              <w:top w:val="single" w:color="auto" w:sz="4" w:space="0"/>
              <w:left w:val="single" w:color="auto" w:sz="4" w:space="0"/>
              <w:bottom w:val="single" w:color="auto" w:sz="4" w:space="0"/>
              <w:right w:val="single" w:color="auto" w:sz="4" w:space="0"/>
            </w:tcBorders>
            <w:shd w:val="clear" w:color="auto" w:fill="auto"/>
          </w:tcPr>
          <w:p w14:paraId="33AD4F11">
            <w:pPr>
              <w:rPr>
                <w:rFonts w:ascii="Arial Narrow" w:hAnsi="Arial Narrow"/>
                <w:szCs w:val="21"/>
              </w:rPr>
            </w:pPr>
            <w:r>
              <w:rPr>
                <w:rFonts w:ascii="Arial Narrow" w:hAnsi="Arial Narrow"/>
                <w:color w:val="000000"/>
                <w:szCs w:val="21"/>
              </w:rPr>
              <w:t>青海省博鸿化工科技股份有限公司</w:t>
            </w:r>
          </w:p>
        </w:tc>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1ABF0696">
            <w:pPr>
              <w:jc w:val="right"/>
              <w:rPr>
                <w:rFonts w:ascii="Arial Narrow" w:hAnsi="Arial Narrow"/>
                <w:sz w:val="20"/>
                <w:szCs w:val="20"/>
              </w:rPr>
            </w:pPr>
            <w:r>
              <w:rPr>
                <w:rFonts w:ascii="Arial Narrow" w:hAnsi="Arial Narrow"/>
                <w:color w:val="000000"/>
                <w:szCs w:val="22"/>
              </w:rPr>
              <w:t>22,286,800.00</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D6C5FF1">
            <w:pPr>
              <w:jc w:val="right"/>
              <w:rPr>
                <w:rFonts w:ascii="Arial Narrow" w:hAnsi="Arial Narrow"/>
                <w:sz w:val="20"/>
                <w:szCs w:val="20"/>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31A963EA">
            <w:pPr>
              <w:jc w:val="right"/>
              <w:rPr>
                <w:rFonts w:ascii="Arial Narrow" w:hAnsi="Arial Narrow"/>
                <w:sz w:val="20"/>
                <w:szCs w:val="20"/>
              </w:rPr>
            </w:pP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14:paraId="4A6AC6CC">
            <w:pPr>
              <w:jc w:val="right"/>
              <w:rPr>
                <w:rFonts w:ascii="Arial Narrow" w:hAnsi="Arial Narrow"/>
                <w:sz w:val="20"/>
                <w:szCs w:val="20"/>
              </w:rPr>
            </w:pPr>
            <w:r>
              <w:rPr>
                <w:rFonts w:ascii="Arial Narrow" w:hAnsi="Arial Narrow"/>
                <w:color w:val="000000"/>
                <w:szCs w:val="22"/>
              </w:rPr>
              <w:t>22,286,800.00</w:t>
            </w:r>
          </w:p>
        </w:tc>
        <w:tc>
          <w:tcPr>
            <w:tcW w:w="542" w:type="pct"/>
            <w:tcBorders>
              <w:top w:val="single" w:color="auto" w:sz="4" w:space="0"/>
              <w:left w:val="single" w:color="auto" w:sz="4" w:space="0"/>
              <w:bottom w:val="single" w:color="auto" w:sz="4" w:space="0"/>
              <w:right w:val="single" w:color="auto" w:sz="4" w:space="0"/>
            </w:tcBorders>
            <w:vAlign w:val="center"/>
          </w:tcPr>
          <w:p w14:paraId="7D596230">
            <w:pPr>
              <w:jc w:val="right"/>
              <w:rPr>
                <w:rFonts w:ascii="Arial Narrow" w:hAnsi="Arial Narrow"/>
                <w:sz w:val="20"/>
                <w:szCs w:val="20"/>
              </w:rPr>
            </w:pPr>
          </w:p>
        </w:tc>
        <w:tc>
          <w:tcPr>
            <w:tcW w:w="542" w:type="pct"/>
            <w:tcBorders>
              <w:top w:val="single" w:color="auto" w:sz="4" w:space="0"/>
              <w:left w:val="single" w:color="auto" w:sz="4" w:space="0"/>
              <w:bottom w:val="single" w:color="auto" w:sz="4" w:space="0"/>
              <w:right w:val="single" w:color="auto" w:sz="4" w:space="0"/>
            </w:tcBorders>
            <w:vAlign w:val="center"/>
          </w:tcPr>
          <w:p w14:paraId="6918C2B9">
            <w:pPr>
              <w:jc w:val="right"/>
              <w:rPr>
                <w:rFonts w:ascii="Arial Narrow" w:hAnsi="Arial Narrow"/>
                <w:sz w:val="20"/>
                <w:szCs w:val="20"/>
              </w:rPr>
            </w:pP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75F313A3">
            <w:pPr>
              <w:jc w:val="both"/>
              <w:rPr>
                <w:rFonts w:ascii="Arial Narrow" w:hAnsi="Arial Narrow"/>
                <w:sz w:val="20"/>
                <w:szCs w:val="20"/>
              </w:rPr>
            </w:pPr>
            <w:r>
              <w:rPr>
                <w:rFonts w:hint="eastAsia" w:ascii="Arial Narrow" w:hAnsi="Arial Narrow"/>
                <w:sz w:val="20"/>
                <w:szCs w:val="20"/>
              </w:rPr>
              <w:t>非交易性权益工具</w:t>
            </w:r>
          </w:p>
        </w:tc>
      </w:tr>
      <w:tr w14:paraId="389C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tcBorders>
              <w:top w:val="single" w:color="auto" w:sz="4" w:space="0"/>
              <w:left w:val="single" w:color="auto" w:sz="4" w:space="0"/>
              <w:bottom w:val="single" w:color="auto" w:sz="4" w:space="0"/>
              <w:right w:val="single" w:color="auto" w:sz="4" w:space="0"/>
            </w:tcBorders>
            <w:shd w:val="clear" w:color="auto" w:fill="auto"/>
          </w:tcPr>
          <w:p w14:paraId="42740DD3">
            <w:pPr>
              <w:rPr>
                <w:rFonts w:ascii="Arial Narrow" w:hAnsi="Arial Narrow"/>
                <w:szCs w:val="21"/>
              </w:rPr>
            </w:pPr>
            <w:r>
              <w:rPr>
                <w:rFonts w:ascii="Arial Narrow" w:hAnsi="Arial Narrow"/>
                <w:color w:val="000000"/>
                <w:szCs w:val="21"/>
              </w:rPr>
              <w:t>安徽锦源复合材料环保科技有限公司</w:t>
            </w:r>
          </w:p>
        </w:tc>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79432E6B">
            <w:pPr>
              <w:jc w:val="right"/>
              <w:rPr>
                <w:rFonts w:ascii="Arial Narrow" w:hAnsi="Arial Narrow"/>
                <w:sz w:val="20"/>
                <w:szCs w:val="20"/>
              </w:rPr>
            </w:pPr>
            <w:r>
              <w:rPr>
                <w:rFonts w:ascii="Arial Narrow" w:hAnsi="Arial Narrow"/>
                <w:color w:val="000000"/>
                <w:szCs w:val="22"/>
              </w:rPr>
              <w:t>595,208.71</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158A5C0">
            <w:pPr>
              <w:jc w:val="right"/>
              <w:rPr>
                <w:rFonts w:ascii="Arial Narrow" w:hAnsi="Arial Narrow"/>
                <w:sz w:val="20"/>
                <w:szCs w:val="20"/>
              </w:rPr>
            </w:pP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60DB795C">
            <w:pPr>
              <w:jc w:val="right"/>
              <w:rPr>
                <w:rFonts w:ascii="Arial Narrow" w:hAnsi="Arial Narrow"/>
                <w:sz w:val="20"/>
                <w:szCs w:val="20"/>
              </w:rPr>
            </w:pP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14:paraId="5ECBAA9E">
            <w:pPr>
              <w:jc w:val="right"/>
              <w:rPr>
                <w:rFonts w:ascii="Arial Narrow" w:hAnsi="Arial Narrow"/>
                <w:sz w:val="20"/>
                <w:szCs w:val="20"/>
              </w:rPr>
            </w:pPr>
            <w:r>
              <w:rPr>
                <w:rFonts w:ascii="Arial Narrow" w:hAnsi="Arial Narrow"/>
                <w:color w:val="000000"/>
                <w:szCs w:val="22"/>
              </w:rPr>
              <w:t>595,208.71</w:t>
            </w:r>
          </w:p>
        </w:tc>
        <w:tc>
          <w:tcPr>
            <w:tcW w:w="542" w:type="pct"/>
            <w:tcBorders>
              <w:top w:val="single" w:color="auto" w:sz="4" w:space="0"/>
              <w:left w:val="single" w:color="auto" w:sz="4" w:space="0"/>
              <w:bottom w:val="single" w:color="auto" w:sz="4" w:space="0"/>
              <w:right w:val="single" w:color="auto" w:sz="4" w:space="0"/>
            </w:tcBorders>
            <w:vAlign w:val="center"/>
          </w:tcPr>
          <w:p w14:paraId="465D5454">
            <w:pPr>
              <w:jc w:val="right"/>
              <w:rPr>
                <w:rFonts w:ascii="Arial Narrow" w:hAnsi="Arial Narrow"/>
                <w:sz w:val="20"/>
                <w:szCs w:val="20"/>
              </w:rPr>
            </w:pPr>
          </w:p>
        </w:tc>
        <w:tc>
          <w:tcPr>
            <w:tcW w:w="542" w:type="pct"/>
            <w:tcBorders>
              <w:top w:val="single" w:color="auto" w:sz="4" w:space="0"/>
              <w:left w:val="single" w:color="auto" w:sz="4" w:space="0"/>
              <w:bottom w:val="single" w:color="auto" w:sz="4" w:space="0"/>
              <w:right w:val="single" w:color="auto" w:sz="4" w:space="0"/>
            </w:tcBorders>
            <w:vAlign w:val="center"/>
          </w:tcPr>
          <w:p w14:paraId="0578E7B2">
            <w:pPr>
              <w:jc w:val="right"/>
              <w:rPr>
                <w:rFonts w:ascii="Arial Narrow" w:hAnsi="Arial Narrow"/>
                <w:sz w:val="20"/>
                <w:szCs w:val="20"/>
              </w:rPr>
            </w:pP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0A5D4E97">
            <w:pPr>
              <w:jc w:val="both"/>
              <w:rPr>
                <w:rFonts w:ascii="Arial Narrow" w:hAnsi="Arial Narrow"/>
                <w:sz w:val="20"/>
                <w:szCs w:val="20"/>
              </w:rPr>
            </w:pPr>
            <w:r>
              <w:rPr>
                <w:rFonts w:hint="eastAsia" w:ascii="Arial Narrow" w:hAnsi="Arial Narrow"/>
                <w:sz w:val="20"/>
                <w:szCs w:val="20"/>
              </w:rPr>
              <w:t>非交易性权益工具</w:t>
            </w:r>
          </w:p>
        </w:tc>
      </w:tr>
      <w:tr w14:paraId="05FD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tcBorders>
              <w:top w:val="single" w:color="auto" w:sz="4" w:space="0"/>
              <w:left w:val="single" w:color="auto" w:sz="4" w:space="0"/>
              <w:bottom w:val="single" w:color="auto" w:sz="4" w:space="0"/>
              <w:right w:val="single" w:color="auto" w:sz="4" w:space="0"/>
            </w:tcBorders>
            <w:shd w:val="clear" w:color="auto" w:fill="auto"/>
          </w:tcPr>
          <w:p w14:paraId="6E11271C">
            <w:pPr>
              <w:rPr>
                <w:rFonts w:ascii="Arial Narrow" w:hAnsi="Arial Narrow"/>
                <w:szCs w:val="21"/>
              </w:rPr>
            </w:pPr>
            <w:r>
              <w:rPr>
                <w:rFonts w:ascii="Arial Narrow" w:hAnsi="Arial Narrow"/>
                <w:color w:val="000000"/>
                <w:szCs w:val="21"/>
              </w:rPr>
              <w:t>海南航空控股股份有限公司</w:t>
            </w:r>
          </w:p>
        </w:tc>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23163CA2">
            <w:pPr>
              <w:jc w:val="right"/>
              <w:rPr>
                <w:rFonts w:ascii="Arial Narrow" w:hAnsi="Arial Narrow"/>
                <w:sz w:val="20"/>
                <w:szCs w:val="20"/>
              </w:rPr>
            </w:pPr>
            <w:r>
              <w:rPr>
                <w:rFonts w:ascii="Arial Narrow" w:hAnsi="Arial Narrow"/>
                <w:color w:val="000000"/>
                <w:szCs w:val="22"/>
              </w:rPr>
              <w:t>150,171.18</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720D637">
            <w:pPr>
              <w:jc w:val="right"/>
              <w:rPr>
                <w:rFonts w:ascii="Arial Narrow" w:hAnsi="Arial Narrow"/>
                <w:sz w:val="20"/>
                <w:szCs w:val="20"/>
              </w:rPr>
            </w:pPr>
            <w:r>
              <w:rPr>
                <w:rFonts w:ascii="Arial Narrow" w:hAnsi="Arial Narrow"/>
                <w:color w:val="000000"/>
                <w:szCs w:val="22"/>
              </w:rPr>
              <w:t>112,507.78</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31C6BAC6">
            <w:pPr>
              <w:jc w:val="right"/>
              <w:rPr>
                <w:rFonts w:ascii="Arial Narrow" w:hAnsi="Arial Narrow"/>
                <w:sz w:val="20"/>
                <w:szCs w:val="20"/>
              </w:rPr>
            </w:pPr>
            <w:r>
              <w:rPr>
                <w:rFonts w:ascii="Arial Narrow" w:hAnsi="Arial Narrow"/>
                <w:color w:val="000000"/>
                <w:szCs w:val="22"/>
              </w:rPr>
              <w:t>37,663.40</w:t>
            </w: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14:paraId="2FF7F9A6">
            <w:pPr>
              <w:jc w:val="right"/>
              <w:rPr>
                <w:rFonts w:ascii="Arial Narrow" w:hAnsi="Arial Narrow"/>
                <w:sz w:val="20"/>
                <w:szCs w:val="20"/>
              </w:rPr>
            </w:pPr>
          </w:p>
        </w:tc>
        <w:tc>
          <w:tcPr>
            <w:tcW w:w="542" w:type="pct"/>
            <w:tcBorders>
              <w:top w:val="single" w:color="auto" w:sz="4" w:space="0"/>
              <w:left w:val="single" w:color="auto" w:sz="4" w:space="0"/>
              <w:bottom w:val="single" w:color="auto" w:sz="4" w:space="0"/>
              <w:right w:val="single" w:color="auto" w:sz="4" w:space="0"/>
            </w:tcBorders>
            <w:vAlign w:val="center"/>
          </w:tcPr>
          <w:p w14:paraId="5731263A">
            <w:pPr>
              <w:jc w:val="right"/>
              <w:rPr>
                <w:rFonts w:ascii="Arial Narrow" w:hAnsi="Arial Narrow"/>
                <w:sz w:val="20"/>
                <w:szCs w:val="20"/>
              </w:rPr>
            </w:pPr>
          </w:p>
        </w:tc>
        <w:tc>
          <w:tcPr>
            <w:tcW w:w="542" w:type="pct"/>
            <w:tcBorders>
              <w:top w:val="single" w:color="auto" w:sz="4" w:space="0"/>
              <w:left w:val="single" w:color="auto" w:sz="4" w:space="0"/>
              <w:bottom w:val="single" w:color="auto" w:sz="4" w:space="0"/>
              <w:right w:val="single" w:color="auto" w:sz="4" w:space="0"/>
            </w:tcBorders>
            <w:vAlign w:val="center"/>
          </w:tcPr>
          <w:p w14:paraId="13945F82">
            <w:pPr>
              <w:jc w:val="right"/>
              <w:rPr>
                <w:rFonts w:ascii="Arial Narrow" w:hAnsi="Arial Narrow"/>
                <w:sz w:val="20"/>
                <w:szCs w:val="20"/>
              </w:rPr>
            </w:pP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3E20A8F0">
            <w:pPr>
              <w:jc w:val="both"/>
              <w:rPr>
                <w:rFonts w:ascii="Arial Narrow" w:hAnsi="Arial Narrow"/>
                <w:sz w:val="20"/>
                <w:szCs w:val="20"/>
              </w:rPr>
            </w:pPr>
            <w:r>
              <w:rPr>
                <w:rFonts w:hint="eastAsia" w:ascii="Arial Narrow" w:hAnsi="Arial Narrow"/>
                <w:sz w:val="20"/>
                <w:szCs w:val="20"/>
              </w:rPr>
              <w:t>非交易性权益工具</w:t>
            </w:r>
          </w:p>
        </w:tc>
      </w:tr>
      <w:tr w14:paraId="689D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73CF91FE">
            <w:pPr>
              <w:jc w:val="center"/>
              <w:rPr>
                <w:rFonts w:ascii="Arial Narrow" w:hAnsi="Arial Narrow"/>
                <w:szCs w:val="21"/>
              </w:rPr>
            </w:pPr>
            <w:r>
              <w:rPr>
                <w:rFonts w:ascii="Arial Narrow" w:hAnsi="Arial Narrow"/>
                <w:szCs w:val="21"/>
              </w:rPr>
              <w:t>合计</w:t>
            </w:r>
          </w:p>
        </w:tc>
        <w:tc>
          <w:tcPr>
            <w:tcW w:w="689" w:type="pct"/>
            <w:tcBorders>
              <w:top w:val="single" w:color="auto" w:sz="4" w:space="0"/>
              <w:left w:val="single" w:color="auto" w:sz="4" w:space="0"/>
              <w:bottom w:val="single" w:color="auto" w:sz="4" w:space="0"/>
              <w:right w:val="single" w:color="auto" w:sz="4" w:space="0"/>
            </w:tcBorders>
            <w:shd w:val="clear" w:color="auto" w:fill="auto"/>
            <w:vAlign w:val="center"/>
          </w:tcPr>
          <w:p w14:paraId="7D20AC64">
            <w:pPr>
              <w:jc w:val="right"/>
              <w:rPr>
                <w:rFonts w:ascii="Arial Narrow" w:hAnsi="Arial Narrow"/>
                <w:sz w:val="20"/>
                <w:szCs w:val="20"/>
              </w:rPr>
            </w:pPr>
            <w:r>
              <w:rPr>
                <w:rFonts w:ascii="Arial Narrow" w:hAnsi="Arial Narrow"/>
                <w:color w:val="000000"/>
                <w:szCs w:val="22"/>
              </w:rPr>
              <w:t>631,717,159.26</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982608D">
            <w:pPr>
              <w:jc w:val="right"/>
              <w:rPr>
                <w:rFonts w:ascii="Arial Narrow" w:hAnsi="Arial Narrow"/>
                <w:sz w:val="20"/>
                <w:szCs w:val="20"/>
              </w:rPr>
            </w:pPr>
            <w:r>
              <w:rPr>
                <w:rFonts w:ascii="Arial Narrow" w:hAnsi="Arial Narrow"/>
                <w:color w:val="000000"/>
                <w:szCs w:val="22"/>
              </w:rPr>
              <w:t>112,507.78</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49BEF489">
            <w:pPr>
              <w:jc w:val="right"/>
              <w:rPr>
                <w:rFonts w:ascii="Arial Narrow" w:hAnsi="Arial Narrow"/>
                <w:sz w:val="20"/>
                <w:szCs w:val="20"/>
              </w:rPr>
            </w:pPr>
            <w:r>
              <w:rPr>
                <w:rFonts w:ascii="Arial Narrow" w:hAnsi="Arial Narrow"/>
                <w:color w:val="000000"/>
                <w:szCs w:val="22"/>
              </w:rPr>
              <w:t>111,623,030.77</w:t>
            </w:r>
          </w:p>
        </w:tc>
        <w:tc>
          <w:tcPr>
            <w:tcW w:w="787" w:type="pct"/>
            <w:tcBorders>
              <w:top w:val="single" w:color="auto" w:sz="4" w:space="0"/>
              <w:left w:val="single" w:color="auto" w:sz="4" w:space="0"/>
              <w:bottom w:val="single" w:color="auto" w:sz="4" w:space="0"/>
              <w:right w:val="single" w:color="auto" w:sz="4" w:space="0"/>
            </w:tcBorders>
            <w:shd w:val="clear" w:color="auto" w:fill="auto"/>
            <w:vAlign w:val="center"/>
          </w:tcPr>
          <w:p w14:paraId="3DB81A84">
            <w:pPr>
              <w:jc w:val="right"/>
              <w:rPr>
                <w:rFonts w:ascii="Arial Narrow" w:hAnsi="Arial Narrow"/>
                <w:sz w:val="20"/>
                <w:szCs w:val="20"/>
              </w:rPr>
            </w:pPr>
            <w:r>
              <w:rPr>
                <w:rFonts w:ascii="Arial Narrow" w:hAnsi="Arial Narrow"/>
                <w:color w:val="000000"/>
                <w:szCs w:val="22"/>
              </w:rPr>
              <w:t>519,981,620.71</w:t>
            </w:r>
          </w:p>
        </w:tc>
        <w:tc>
          <w:tcPr>
            <w:tcW w:w="542" w:type="pct"/>
            <w:tcBorders>
              <w:top w:val="single" w:color="auto" w:sz="4" w:space="0"/>
              <w:left w:val="single" w:color="auto" w:sz="4" w:space="0"/>
              <w:bottom w:val="single" w:color="auto" w:sz="4" w:space="0"/>
              <w:right w:val="single" w:color="auto" w:sz="4" w:space="0"/>
            </w:tcBorders>
            <w:vAlign w:val="center"/>
          </w:tcPr>
          <w:p w14:paraId="5ADDFF43">
            <w:pPr>
              <w:jc w:val="right"/>
              <w:rPr>
                <w:rFonts w:ascii="Arial Narrow" w:hAnsi="Arial Narrow"/>
                <w:sz w:val="20"/>
                <w:szCs w:val="20"/>
              </w:rPr>
            </w:pPr>
            <w:r>
              <w:rPr>
                <w:rFonts w:ascii="Arial Narrow" w:hAnsi="Arial Narrow"/>
                <w:color w:val="000000"/>
                <w:szCs w:val="22"/>
              </w:rPr>
              <w:t>7,252,620.35</w:t>
            </w:r>
          </w:p>
        </w:tc>
        <w:tc>
          <w:tcPr>
            <w:tcW w:w="542" w:type="pct"/>
            <w:tcBorders>
              <w:top w:val="single" w:color="auto" w:sz="4" w:space="0"/>
              <w:left w:val="single" w:color="auto" w:sz="4" w:space="0"/>
              <w:bottom w:val="single" w:color="auto" w:sz="4" w:space="0"/>
              <w:right w:val="single" w:color="auto" w:sz="4" w:space="0"/>
            </w:tcBorders>
            <w:vAlign w:val="center"/>
          </w:tcPr>
          <w:p w14:paraId="119687DB">
            <w:pPr>
              <w:jc w:val="right"/>
              <w:rPr>
                <w:rFonts w:ascii="Arial Narrow" w:hAnsi="Arial Narrow"/>
                <w:sz w:val="20"/>
                <w:szCs w:val="20"/>
              </w:rPr>
            </w:pPr>
            <w:r>
              <w:rPr>
                <w:rFonts w:ascii="Arial Narrow" w:hAnsi="Arial Narrow"/>
                <w:color w:val="000000"/>
                <w:szCs w:val="22"/>
              </w:rPr>
              <w:t>225,999,968.83</w:t>
            </w:r>
          </w:p>
        </w:tc>
        <w:tc>
          <w:tcPr>
            <w:tcW w:w="537" w:type="pct"/>
            <w:tcBorders>
              <w:top w:val="single" w:color="auto" w:sz="4" w:space="0"/>
              <w:left w:val="single" w:color="auto" w:sz="4" w:space="0"/>
              <w:bottom w:val="single" w:color="auto" w:sz="4" w:space="0"/>
              <w:right w:val="single" w:color="auto" w:sz="4" w:space="0"/>
            </w:tcBorders>
            <w:shd w:val="clear" w:color="auto" w:fill="auto"/>
            <w:vAlign w:val="center"/>
          </w:tcPr>
          <w:p w14:paraId="56E6A038">
            <w:pPr>
              <w:jc w:val="right"/>
              <w:rPr>
                <w:rFonts w:ascii="Arial Narrow" w:hAnsi="Arial Narrow"/>
                <w:sz w:val="20"/>
                <w:szCs w:val="20"/>
              </w:rPr>
            </w:pPr>
            <w:r>
              <w:rPr>
                <w:rFonts w:ascii="Arial Narrow" w:hAnsi="Arial Narrow"/>
                <w:color w:val="000000"/>
                <w:sz w:val="20"/>
                <w:szCs w:val="20"/>
              </w:rPr>
              <w:t>/</w:t>
            </w:r>
          </w:p>
        </w:tc>
      </w:tr>
    </w:tbl>
    <w:p w14:paraId="59809667">
      <w:pPr>
        <w:rPr>
          <w:rFonts w:hint="eastAsia"/>
        </w:rPr>
        <w:sectPr>
          <w:pgSz w:w="16838" w:h="11906" w:orient="landscape"/>
          <w:pgMar w:top="1276" w:right="1440" w:bottom="1797" w:left="1525" w:header="856" w:footer="992" w:gutter="0"/>
          <w:cols w:space="425" w:num="1"/>
          <w:docGrid w:linePitch="312" w:charSpace="0"/>
        </w:sectPr>
      </w:pPr>
    </w:p>
    <w:p w14:paraId="7852A152">
      <w:pPr>
        <w:rPr>
          <w:rFonts w:hint="eastAsia"/>
        </w:rPr>
      </w:pPr>
    </w:p>
    <w:p w14:paraId="005527DC">
      <w:pPr>
        <w:pStyle w:val="71"/>
        <w:numPr>
          <w:ilvl w:val="3"/>
          <w:numId w:val="123"/>
        </w:numPr>
        <w:ind w:left="426" w:hanging="426"/>
        <w:rPr>
          <w:rFonts w:hint="eastAsia"/>
        </w:rPr>
      </w:pPr>
      <w:r>
        <w:rPr>
          <w:rFonts w:hint="eastAsia"/>
        </w:rPr>
        <w:t>本期存在终止确认的情况说明</w:t>
      </w:r>
    </w:p>
    <w:sdt>
      <w:sdtPr>
        <w:alias w:val="是否适用：本期存在终止确认的情况说明[双击切换]"/>
        <w:tag w:val="_GBC_27e93a66690f439284ed9d6df3a9bd6c"/>
        <w:id w:val="-579130205"/>
        <w:placeholder>
          <w:docPart w:val="GBC22222222222222222222222222222"/>
        </w:placeholder>
      </w:sdtPr>
      <w:sdtContent>
        <w:p w14:paraId="5DE6E049">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3747A7">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本期存在终止确认的情况说明"/>
          <w:tag w:val="_GBC_759c11ecec1d4205a78fc472337b6631"/>
          <w:id w:val="-150689418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本期存在终止确认的情况说明"/>
          <w:tag w:val="_GBC_cc186d82ed5045959ead4bf8df997425"/>
          <w:id w:val="-11921432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2217"/>
        <w:gridCol w:w="2445"/>
        <w:gridCol w:w="2089"/>
      </w:tblGrid>
      <w:tr w14:paraId="1E30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Cs w:val="21"/>
            </w:rPr>
            <w:tag w:val="_PLD_4151626802a342299aa82a6d36518152"/>
            <w:id w:val="369887939"/>
          </w:sdtPr>
          <w:sdtEndPr>
            <w:rPr>
              <w:szCs w:val="21"/>
            </w:rPr>
          </w:sdtEndPr>
          <w:sdtContent>
            <w:tc>
              <w:tcPr>
                <w:tcW w:w="3335" w:type="dxa"/>
                <w:shd w:val="clear" w:color="auto" w:fill="auto"/>
                <w:vAlign w:val="center"/>
              </w:tcPr>
              <w:p w14:paraId="7E0C7038">
                <w:pPr>
                  <w:pStyle w:val="109"/>
                  <w:ind w:firstLine="0" w:firstLineChars="0"/>
                  <w:jc w:val="center"/>
                  <w:rPr>
                    <w:szCs w:val="21"/>
                  </w:rPr>
                </w:pPr>
                <w:r>
                  <w:rPr>
                    <w:rFonts w:hint="eastAsia"/>
                    <w:szCs w:val="21"/>
                  </w:rPr>
                  <w:t>项目</w:t>
                </w:r>
              </w:p>
            </w:tc>
          </w:sdtContent>
        </w:sdt>
        <w:sdt>
          <w:sdtPr>
            <w:rPr>
              <w:szCs w:val="21"/>
            </w:rPr>
            <w:tag w:val="_PLD_1053f64a84e049cc872f5ab9238f18f5"/>
            <w:id w:val="529151334"/>
          </w:sdtPr>
          <w:sdtEndPr>
            <w:rPr>
              <w:szCs w:val="21"/>
            </w:rPr>
          </w:sdtEndPr>
          <w:sdtContent>
            <w:tc>
              <w:tcPr>
                <w:tcW w:w="3593" w:type="dxa"/>
                <w:shd w:val="clear" w:color="auto" w:fill="auto"/>
                <w:vAlign w:val="center"/>
              </w:tcPr>
              <w:p w14:paraId="3E3A0BEF">
                <w:pPr>
                  <w:pStyle w:val="109"/>
                  <w:ind w:firstLine="0" w:firstLineChars="0"/>
                  <w:jc w:val="center"/>
                  <w:rPr>
                    <w:szCs w:val="21"/>
                  </w:rPr>
                </w:pPr>
                <w:r>
                  <w:rPr>
                    <w:rFonts w:hint="eastAsia"/>
                    <w:szCs w:val="21"/>
                  </w:rPr>
                  <w:t>因终止确认转入留存收益的累计利得</w:t>
                </w:r>
              </w:p>
            </w:tc>
          </w:sdtContent>
        </w:sdt>
        <w:sdt>
          <w:sdtPr>
            <w:rPr>
              <w:szCs w:val="21"/>
            </w:rPr>
            <w:tag w:val="_PLD_7e31b1b77b6641c8aeadd3fa03f6005c"/>
            <w:id w:val="-399360497"/>
          </w:sdtPr>
          <w:sdtEndPr>
            <w:rPr>
              <w:szCs w:val="21"/>
            </w:rPr>
          </w:sdtEndPr>
          <w:sdtContent>
            <w:tc>
              <w:tcPr>
                <w:tcW w:w="3568" w:type="dxa"/>
                <w:shd w:val="clear" w:color="auto" w:fill="auto"/>
                <w:vAlign w:val="center"/>
              </w:tcPr>
              <w:p w14:paraId="53E8967B">
                <w:pPr>
                  <w:pStyle w:val="109"/>
                  <w:ind w:firstLine="0" w:firstLineChars="0"/>
                  <w:jc w:val="center"/>
                  <w:rPr>
                    <w:szCs w:val="21"/>
                  </w:rPr>
                </w:pPr>
                <w:r>
                  <w:rPr>
                    <w:rFonts w:hint="eastAsia"/>
                    <w:szCs w:val="21"/>
                  </w:rPr>
                  <w:t>因终止确认转入留存收益的累计损失</w:t>
                </w:r>
              </w:p>
            </w:tc>
          </w:sdtContent>
        </w:sdt>
        <w:sdt>
          <w:sdtPr>
            <w:rPr>
              <w:szCs w:val="21"/>
            </w:rPr>
            <w:tag w:val="_PLD_80f4dcb3c7594eda8417f4104945820e"/>
            <w:id w:val="449046032"/>
          </w:sdtPr>
          <w:sdtEndPr>
            <w:rPr>
              <w:szCs w:val="21"/>
            </w:rPr>
          </w:sdtEndPr>
          <w:sdtContent>
            <w:tc>
              <w:tcPr>
                <w:tcW w:w="3367" w:type="dxa"/>
                <w:shd w:val="clear" w:color="auto" w:fill="auto"/>
                <w:vAlign w:val="center"/>
              </w:tcPr>
              <w:p w14:paraId="1CE1D18A">
                <w:pPr>
                  <w:pStyle w:val="109"/>
                  <w:ind w:firstLine="0" w:firstLineChars="0"/>
                  <w:jc w:val="center"/>
                  <w:rPr>
                    <w:szCs w:val="21"/>
                  </w:rPr>
                </w:pPr>
                <w:r>
                  <w:rPr>
                    <w:rFonts w:hint="eastAsia"/>
                    <w:szCs w:val="21"/>
                  </w:rPr>
                  <w:t>终止确认的原因</w:t>
                </w:r>
              </w:p>
            </w:tc>
          </w:sdtContent>
        </w:sdt>
      </w:tr>
      <w:tr w14:paraId="07B4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5" w:type="dxa"/>
            <w:shd w:val="clear" w:color="auto" w:fill="auto"/>
          </w:tcPr>
          <w:p w14:paraId="41132803">
            <w:pPr>
              <w:pStyle w:val="109"/>
              <w:ind w:firstLine="0" w:firstLineChars="0"/>
              <w:jc w:val="left"/>
              <w:rPr>
                <w:szCs w:val="21"/>
              </w:rPr>
            </w:pPr>
            <w:r>
              <w:rPr>
                <w:szCs w:val="21"/>
              </w:rPr>
              <w:t>海南航空控股股份有限公司</w:t>
            </w:r>
          </w:p>
        </w:tc>
        <w:tc>
          <w:tcPr>
            <w:tcW w:w="3593" w:type="dxa"/>
            <w:shd w:val="clear" w:color="auto" w:fill="auto"/>
            <w:vAlign w:val="center"/>
          </w:tcPr>
          <w:p w14:paraId="16F2DA07">
            <w:pPr>
              <w:pStyle w:val="109"/>
              <w:ind w:firstLine="0" w:firstLineChars="0"/>
              <w:jc w:val="right"/>
              <w:rPr>
                <w:rFonts w:ascii="Arial Narrow" w:hAnsi="Arial Narrow"/>
                <w:szCs w:val="21"/>
              </w:rPr>
            </w:pPr>
          </w:p>
        </w:tc>
        <w:tc>
          <w:tcPr>
            <w:tcW w:w="3568" w:type="dxa"/>
            <w:shd w:val="clear" w:color="auto" w:fill="auto"/>
            <w:vAlign w:val="center"/>
          </w:tcPr>
          <w:p w14:paraId="7DA2F756">
            <w:pPr>
              <w:pStyle w:val="109"/>
              <w:ind w:firstLine="0" w:firstLineChars="0"/>
              <w:jc w:val="right"/>
              <w:rPr>
                <w:rFonts w:ascii="Arial Narrow" w:hAnsi="Arial Narrow"/>
                <w:szCs w:val="21"/>
              </w:rPr>
            </w:pPr>
            <w:r>
              <w:rPr>
                <w:rFonts w:ascii="Arial Narrow" w:hAnsi="Arial Narrow"/>
                <w:szCs w:val="21"/>
              </w:rPr>
              <w:t>92,470.40</w:t>
            </w:r>
          </w:p>
        </w:tc>
        <w:tc>
          <w:tcPr>
            <w:tcW w:w="3367" w:type="dxa"/>
            <w:shd w:val="clear" w:color="auto" w:fill="auto"/>
            <w:vAlign w:val="center"/>
          </w:tcPr>
          <w:p w14:paraId="6FF7924E">
            <w:pPr>
              <w:pStyle w:val="109"/>
              <w:ind w:firstLine="0" w:firstLineChars="0"/>
              <w:jc w:val="center"/>
              <w:rPr>
                <w:szCs w:val="21"/>
              </w:rPr>
            </w:pPr>
            <w:r>
              <w:rPr>
                <w:szCs w:val="21"/>
              </w:rPr>
              <w:t>处置</w:t>
            </w:r>
          </w:p>
        </w:tc>
      </w:tr>
      <w:tr w14:paraId="333D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5" w:type="dxa"/>
            <w:shd w:val="clear" w:color="auto" w:fill="auto"/>
          </w:tcPr>
          <w:p w14:paraId="31B4F047">
            <w:pPr>
              <w:pStyle w:val="109"/>
              <w:ind w:firstLine="0" w:firstLineChars="0"/>
              <w:jc w:val="center"/>
              <w:rPr>
                <w:szCs w:val="21"/>
              </w:rPr>
            </w:pPr>
            <w:r>
              <w:rPr>
                <w:rFonts w:hint="eastAsia"/>
                <w:szCs w:val="21"/>
              </w:rPr>
              <w:t>合计</w:t>
            </w:r>
          </w:p>
        </w:tc>
        <w:tc>
          <w:tcPr>
            <w:tcW w:w="3593" w:type="dxa"/>
            <w:shd w:val="clear" w:color="auto" w:fill="auto"/>
            <w:vAlign w:val="center"/>
          </w:tcPr>
          <w:p w14:paraId="05729BF4">
            <w:pPr>
              <w:pStyle w:val="109"/>
              <w:ind w:firstLine="0" w:firstLineChars="0"/>
              <w:jc w:val="right"/>
              <w:rPr>
                <w:rFonts w:ascii="Arial Narrow" w:hAnsi="Arial Narrow"/>
                <w:szCs w:val="21"/>
              </w:rPr>
            </w:pPr>
          </w:p>
        </w:tc>
        <w:tc>
          <w:tcPr>
            <w:tcW w:w="3568" w:type="dxa"/>
            <w:shd w:val="clear" w:color="auto" w:fill="auto"/>
            <w:vAlign w:val="center"/>
          </w:tcPr>
          <w:p w14:paraId="18D5900C">
            <w:pPr>
              <w:pStyle w:val="109"/>
              <w:ind w:firstLine="0" w:firstLineChars="0"/>
              <w:jc w:val="right"/>
              <w:rPr>
                <w:rFonts w:ascii="Arial Narrow" w:hAnsi="Arial Narrow"/>
                <w:szCs w:val="21"/>
              </w:rPr>
            </w:pPr>
            <w:r>
              <w:rPr>
                <w:rFonts w:ascii="Arial Narrow" w:hAnsi="Arial Narrow" w:eastAsia="等线"/>
                <w:color w:val="000000"/>
                <w:szCs w:val="21"/>
              </w:rPr>
              <w:t>92,470.40</w:t>
            </w:r>
          </w:p>
        </w:tc>
        <w:tc>
          <w:tcPr>
            <w:tcW w:w="3367" w:type="dxa"/>
            <w:shd w:val="clear" w:color="auto" w:fill="auto"/>
          </w:tcPr>
          <w:p w14:paraId="5403DCDF">
            <w:pPr>
              <w:pStyle w:val="109"/>
              <w:ind w:firstLine="0" w:firstLineChars="0"/>
              <w:jc w:val="center"/>
              <w:rPr>
                <w:szCs w:val="21"/>
              </w:rPr>
            </w:pPr>
            <w:r>
              <w:rPr>
                <w:rFonts w:hint="eastAsia"/>
                <w:szCs w:val="21"/>
              </w:rPr>
              <w:t>/</w:t>
            </w:r>
          </w:p>
        </w:tc>
      </w:tr>
    </w:tbl>
    <w:p w14:paraId="4FC9B2DF">
      <w:pPr>
        <w:rPr>
          <w:rFonts w:hint="eastAsia"/>
        </w:rPr>
      </w:pPr>
    </w:p>
    <w:p w14:paraId="6164DEBE">
      <w:pPr>
        <w:rPr>
          <w:rFonts w:hint="eastAsia"/>
        </w:rPr>
      </w:pPr>
      <w:r>
        <w:rPr>
          <w:rFonts w:hint="eastAsia"/>
        </w:rPr>
        <w:t>其他</w:t>
      </w:r>
      <w:r>
        <w:t>说明</w:t>
      </w:r>
      <w:r>
        <w:rPr>
          <w:rFonts w:hint="eastAsia"/>
        </w:rPr>
        <w:t>：</w:t>
      </w:r>
    </w:p>
    <w:sdt>
      <w:sdtPr>
        <w:alias w:val="是否适用：其他权益工具投资其他说明[双击切换]"/>
        <w:tag w:val="_GBC_217dff5073ff4a12b86d342292038452"/>
        <w:id w:val="1535149423"/>
        <w:placeholder>
          <w:docPart w:val="GBC22222222222222222222222222222"/>
        </w:placeholder>
      </w:sdtPr>
      <w:sdtContent>
        <w:p w14:paraId="32C1CAE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9DE2A44">
      <w:pPr>
        <w:rPr>
          <w:rFonts w:hint="eastAsia"/>
          <w:szCs w:val="21"/>
        </w:rPr>
      </w:pPr>
    </w:p>
    <w:p w14:paraId="284CDD79">
      <w:pPr>
        <w:pStyle w:val="70"/>
        <w:numPr>
          <w:ilvl w:val="0"/>
          <w:numId w:val="109"/>
        </w:numPr>
        <w:rPr>
          <w:szCs w:val="21"/>
        </w:rPr>
      </w:pPr>
      <w:bookmarkStart w:id="310" w:name="_Hlk533409746"/>
      <w:r>
        <w:rPr>
          <w:szCs w:val="21"/>
        </w:rPr>
        <w:t>其他非流动金融资产</w:t>
      </w:r>
    </w:p>
    <w:sdt>
      <w:sdtPr>
        <w:alias w:val="是否适用：其他非流动金融资产[双击切换]"/>
        <w:tag w:val="_GBC_6b599068045d444b87b686a3b6690bf1"/>
        <w:id w:val="1428309532"/>
        <w:placeholder>
          <w:docPart w:val="GBC22222222222222222222222222222"/>
        </w:placeholder>
      </w:sdtPr>
      <w:sdtContent>
        <w:p w14:paraId="229900D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66F2742">
      <w:pPr>
        <w:rPr>
          <w:rFonts w:hint="eastAsia"/>
        </w:rPr>
      </w:pPr>
    </w:p>
    <w:bookmarkEnd w:id="310"/>
    <w:p w14:paraId="62C2EE62">
      <w:pPr>
        <w:rPr>
          <w:rFonts w:hint="eastAsia"/>
        </w:rPr>
      </w:pPr>
      <w:r>
        <w:rPr>
          <w:rFonts w:hint="eastAsia"/>
        </w:rPr>
        <w:t>其他</w:t>
      </w:r>
      <w:r>
        <w:t>说明</w:t>
      </w:r>
      <w:r>
        <w:rPr>
          <w:rFonts w:hint="eastAsia"/>
        </w:rPr>
        <w:t>：</w:t>
      </w:r>
    </w:p>
    <w:sdt>
      <w:sdtPr>
        <w:rPr>
          <w:szCs w:val="21"/>
        </w:rPr>
        <w:alias w:val="是否适用：其他非流动金融资产其他说明[双击切换]"/>
        <w:tag w:val="_GBC_037912ebdd3b4e80b4b66cf88f8cb3e7"/>
        <w:id w:val="-188606962"/>
        <w:placeholder>
          <w:docPart w:val="GBC22222222222222222222222222222"/>
        </w:placeholder>
      </w:sdtPr>
      <w:sdtEndPr>
        <w:rPr>
          <w:szCs w:val="21"/>
        </w:rPr>
      </w:sdtEndPr>
      <w:sdtContent>
        <w:p w14:paraId="1237383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B7459F0">
      <w:pPr>
        <w:snapToGrid w:val="0"/>
        <w:spacing w:line="240" w:lineRule="atLeast"/>
        <w:rPr>
          <w:rFonts w:hint="eastAsia"/>
          <w:szCs w:val="21"/>
        </w:rPr>
      </w:pPr>
    </w:p>
    <w:p w14:paraId="69AB42B9">
      <w:pPr>
        <w:pStyle w:val="70"/>
        <w:numPr>
          <w:ilvl w:val="0"/>
          <w:numId w:val="109"/>
        </w:numPr>
        <w:rPr>
          <w:szCs w:val="21"/>
        </w:rPr>
      </w:pPr>
      <w:r>
        <w:rPr>
          <w:szCs w:val="21"/>
        </w:rPr>
        <w:t>投资性房地产</w:t>
      </w:r>
    </w:p>
    <w:p w14:paraId="6A2B9AD5">
      <w:pPr>
        <w:rPr>
          <w:rFonts w:hint="eastAsia"/>
        </w:rPr>
      </w:pPr>
      <w:r>
        <w:t>投资性房地产</w:t>
      </w:r>
      <w:r>
        <w:rPr>
          <w:rFonts w:hint="eastAsia"/>
        </w:rPr>
        <w:t>计量模式</w:t>
      </w:r>
    </w:p>
    <w:p w14:paraId="25DFBF3D">
      <w:pPr>
        <w:pStyle w:val="71"/>
        <w:numPr>
          <w:ilvl w:val="3"/>
          <w:numId w:val="124"/>
        </w:numPr>
        <w:ind w:left="426" w:hanging="426"/>
        <w:rPr>
          <w:rFonts w:hint="eastAsia"/>
        </w:rPr>
      </w:pPr>
      <w:r>
        <w:rPr>
          <w:rFonts w:hint="eastAsia"/>
        </w:rPr>
        <w:t>采用成本计量模式的投资性房地产</w:t>
      </w:r>
    </w:p>
    <w:p w14:paraId="13B8432E">
      <w:pPr>
        <w:jc w:val="right"/>
        <w:rPr>
          <w:rFonts w:hint="eastAsia"/>
          <w:szCs w:val="21"/>
        </w:rPr>
      </w:pPr>
      <w:r>
        <w:rPr>
          <w:rFonts w:hint="eastAsia"/>
          <w:szCs w:val="21"/>
        </w:rPr>
        <w:t>单位：</w:t>
      </w:r>
      <w:sdt>
        <w:sdtPr>
          <w:rPr>
            <w:rFonts w:hint="eastAsia"/>
            <w:szCs w:val="21"/>
          </w:rPr>
          <w:alias w:val="单位：财务附注：投资性房地产"/>
          <w:tag w:val="_GBC_eb1db4bb3f154f52938b7c4bb5edbd80"/>
          <w:id w:val="19013908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5990594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3"/>
        <w:gridCol w:w="2172"/>
        <w:gridCol w:w="1860"/>
        <w:gridCol w:w="2178"/>
      </w:tblGrid>
      <w:tr w14:paraId="4474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trPr>
        <w:sdt>
          <w:sdtPr>
            <w:tag w:val="_PLD_6c12dd4f07e84f0eb6257919933bd416"/>
            <w:id w:val="422692396"/>
          </w:sdtPr>
          <w:sdtContent>
            <w:tc>
              <w:tcPr>
                <w:tcW w:w="1481" w:type="pct"/>
                <w:tcBorders>
                  <w:top w:val="single" w:color="auto" w:sz="4" w:space="0"/>
                  <w:left w:val="single" w:color="auto" w:sz="4" w:space="0"/>
                  <w:bottom w:val="single" w:color="auto" w:sz="4" w:space="0"/>
                  <w:right w:val="single" w:color="auto" w:sz="4" w:space="0"/>
                </w:tcBorders>
                <w:shd w:val="clear" w:color="auto" w:fill="auto"/>
                <w:vAlign w:val="center"/>
              </w:tcPr>
              <w:p w14:paraId="047DAF5E">
                <w:pPr>
                  <w:jc w:val="center"/>
                  <w:rPr>
                    <w:rFonts w:hint="eastAsia"/>
                    <w:szCs w:val="21"/>
                  </w:rPr>
                </w:pPr>
                <w:r>
                  <w:rPr>
                    <w:rFonts w:hint="eastAsia"/>
                    <w:szCs w:val="21"/>
                  </w:rPr>
                  <w:t>项目</w:t>
                </w:r>
              </w:p>
            </w:tc>
          </w:sdtContent>
        </w:sdt>
        <w:sdt>
          <w:sdtPr>
            <w:tag w:val="_PLD_4d654f9f882a4621a32482a463b6b80f"/>
            <w:id w:val="-605876744"/>
          </w:sdtPr>
          <w:sdtContent>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64BD4F23">
                <w:pPr>
                  <w:jc w:val="center"/>
                  <w:rPr>
                    <w:rFonts w:hint="eastAsia"/>
                    <w:szCs w:val="21"/>
                  </w:rPr>
                </w:pPr>
                <w:r>
                  <w:rPr>
                    <w:rFonts w:hint="eastAsia"/>
                    <w:szCs w:val="21"/>
                  </w:rPr>
                  <w:t>房屋、建筑物</w:t>
                </w:r>
              </w:p>
            </w:tc>
          </w:sdtContent>
        </w:sdt>
        <w:sdt>
          <w:sdtPr>
            <w:tag w:val="_PLD_e67580bbd978417792c1b582fb588aa3"/>
            <w:id w:val="468021549"/>
          </w:sdtPr>
          <w:sdtContent>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D91CF13">
                <w:pPr>
                  <w:jc w:val="center"/>
                  <w:rPr>
                    <w:rFonts w:hint="eastAsia"/>
                    <w:szCs w:val="21"/>
                  </w:rPr>
                </w:pPr>
                <w:r>
                  <w:rPr>
                    <w:rFonts w:hint="eastAsia"/>
                    <w:szCs w:val="21"/>
                  </w:rPr>
                  <w:t>土地使用权</w:t>
                </w:r>
              </w:p>
            </w:tc>
          </w:sdtContent>
        </w:sdt>
        <w:sdt>
          <w:sdtPr>
            <w:tag w:val="_PLD_fd303a2077a34c63b3d342e813f2cfd7"/>
            <w:id w:val="-579605229"/>
          </w:sdtPr>
          <w:sdtContent>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DC1F22D">
                <w:pPr>
                  <w:jc w:val="center"/>
                  <w:rPr>
                    <w:rFonts w:hint="eastAsia"/>
                    <w:szCs w:val="21"/>
                  </w:rPr>
                </w:pPr>
                <w:r>
                  <w:rPr>
                    <w:rFonts w:hint="eastAsia"/>
                    <w:szCs w:val="21"/>
                  </w:rPr>
                  <w:t>合计</w:t>
                </w:r>
              </w:p>
            </w:tc>
          </w:sdtContent>
        </w:sdt>
      </w:tr>
      <w:tr w14:paraId="5D89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a195350d4b924a2ab316232cbfe918bf"/>
            <w:id w:val="1589880590"/>
          </w:sdt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19DEE7">
                <w:pPr>
                  <w:jc w:val="both"/>
                  <w:rPr>
                    <w:rFonts w:hint="eastAsia"/>
                    <w:szCs w:val="21"/>
                  </w:rPr>
                </w:pPr>
                <w:r>
                  <w:rPr>
                    <w:rFonts w:hint="eastAsia"/>
                    <w:szCs w:val="21"/>
                  </w:rPr>
                  <w:t>一、账面原值</w:t>
                </w:r>
              </w:p>
            </w:tc>
          </w:sdtContent>
        </w:sdt>
      </w:tr>
      <w:tr w14:paraId="3C1F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721BF811">
            <w:pPr>
              <w:ind w:firstLine="315" w:firstLineChars="150"/>
              <w:rPr>
                <w:rFonts w:hint="eastAsia"/>
                <w:szCs w:val="21"/>
              </w:rPr>
            </w:pPr>
            <w:r>
              <w:rPr>
                <w:szCs w:val="21"/>
              </w:rPr>
              <w:t>1.</w:t>
            </w:r>
            <w:r>
              <w:rPr>
                <w:rFonts w:hint="eastAsia"/>
                <w:szCs w:val="21"/>
              </w:rPr>
              <w:t>期初余额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6089060">
            <w:pPr>
              <w:jc w:val="right"/>
              <w:rPr>
                <w:rFonts w:hint="eastAsia"/>
                <w:szCs w:val="21"/>
              </w:rPr>
            </w:pPr>
            <w:r>
              <w:rPr>
                <w:rFonts w:ascii="Arial Narrow" w:hAnsi="Arial Narrow" w:eastAsia="等线"/>
                <w:color w:val="000000"/>
                <w:szCs w:val="22"/>
              </w:rPr>
              <w:t>1,002,277,433.83</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1977172">
            <w:pPr>
              <w:jc w:val="right"/>
              <w:rPr>
                <w:rFonts w:hint="eastAsia"/>
                <w:szCs w:val="21"/>
              </w:rPr>
            </w:pPr>
            <w:r>
              <w:rPr>
                <w:rFonts w:ascii="Arial Narrow" w:hAnsi="Arial Narrow" w:eastAsia="等线"/>
                <w:color w:val="000000"/>
                <w:szCs w:val="22"/>
              </w:rPr>
              <w:t>13,286,502.02</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29E7C93B">
            <w:pPr>
              <w:jc w:val="right"/>
              <w:rPr>
                <w:rFonts w:hint="eastAsia"/>
                <w:szCs w:val="21"/>
              </w:rPr>
            </w:pPr>
            <w:r>
              <w:rPr>
                <w:rFonts w:ascii="Arial Narrow" w:hAnsi="Arial Narrow" w:eastAsia="等线"/>
                <w:color w:val="000000"/>
                <w:szCs w:val="22"/>
              </w:rPr>
              <w:t>1,015,563,935.85</w:t>
            </w:r>
          </w:p>
        </w:tc>
      </w:tr>
      <w:tr w14:paraId="67CC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2264F4DF">
            <w:pPr>
              <w:ind w:firstLine="315" w:firstLineChars="150"/>
              <w:rPr>
                <w:rFonts w:hint="eastAsia"/>
                <w:szCs w:val="21"/>
              </w:rPr>
            </w:pPr>
            <w:r>
              <w:rPr>
                <w:szCs w:val="21"/>
              </w:rPr>
              <w:t>2.</w:t>
            </w:r>
            <w:r>
              <w:rPr>
                <w:rFonts w:hint="eastAsia"/>
                <w:szCs w:val="21"/>
              </w:rPr>
              <w:t>本期增加金额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1612D2E6">
            <w:pPr>
              <w:jc w:val="right"/>
              <w:rPr>
                <w:rFonts w:hint="eastAsia"/>
                <w:szCs w:val="21"/>
              </w:rPr>
            </w:pPr>
            <w:r>
              <w:rPr>
                <w:rFonts w:ascii="Arial Narrow" w:hAnsi="Arial Narrow" w:eastAsia="等线"/>
                <w:color w:val="000000"/>
                <w:szCs w:val="22"/>
              </w:rPr>
              <w:t>35,268,532.39</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6B318AC2">
            <w:pPr>
              <w:jc w:val="right"/>
              <w:rPr>
                <w:rFonts w:hint="eastAsia"/>
                <w:szCs w:val="21"/>
              </w:rPr>
            </w:pPr>
            <w:r>
              <w:rPr>
                <w:rFonts w:ascii="Arial Narrow" w:hAnsi="Arial Narrow" w:eastAsia="等线"/>
                <w:color w:val="000000"/>
                <w:szCs w:val="22"/>
              </w:rPr>
              <w:t>3,957,201.86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6A52012">
            <w:pPr>
              <w:jc w:val="right"/>
              <w:rPr>
                <w:rFonts w:hint="eastAsia"/>
                <w:szCs w:val="21"/>
              </w:rPr>
            </w:pPr>
            <w:r>
              <w:rPr>
                <w:rFonts w:ascii="Arial Narrow" w:hAnsi="Arial Narrow" w:eastAsia="等线"/>
                <w:color w:val="000000"/>
                <w:szCs w:val="22"/>
              </w:rPr>
              <w:t>39,225,734.25</w:t>
            </w:r>
          </w:p>
        </w:tc>
      </w:tr>
      <w:tr w14:paraId="3BDE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239D9F90">
            <w:pPr>
              <w:ind w:firstLine="315" w:firstLineChars="150"/>
              <w:rPr>
                <w:rFonts w:hint="eastAsia"/>
                <w:szCs w:val="21"/>
              </w:rPr>
            </w:pPr>
            <w:r>
              <w:rPr>
                <w:rFonts w:hint="eastAsia"/>
                <w:szCs w:val="21"/>
              </w:rPr>
              <w:t>（1）外购</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70FF0B3C">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35EF848">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D67A2D1">
            <w:pPr>
              <w:jc w:val="right"/>
              <w:rPr>
                <w:rFonts w:hint="eastAsia"/>
                <w:szCs w:val="21"/>
              </w:rPr>
            </w:pPr>
          </w:p>
        </w:tc>
      </w:tr>
      <w:tr w14:paraId="0534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53E86FFA">
            <w:pPr>
              <w:ind w:firstLine="315" w:firstLineChars="150"/>
              <w:rPr>
                <w:rFonts w:hint="eastAsia"/>
                <w:szCs w:val="21"/>
              </w:rPr>
            </w:pPr>
            <w:r>
              <w:rPr>
                <w:rFonts w:hint="eastAsia"/>
                <w:szCs w:val="21"/>
              </w:rPr>
              <w:t>（2）存货\固定资产\在建工程转入</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171C9B32">
            <w:pPr>
              <w:jc w:val="right"/>
              <w:rPr>
                <w:rFonts w:hint="eastAsia"/>
                <w:szCs w:val="21"/>
              </w:rPr>
            </w:pPr>
            <w:r>
              <w:rPr>
                <w:rFonts w:ascii="Arial Narrow" w:hAnsi="Arial Narrow" w:eastAsia="等线"/>
                <w:color w:val="000000"/>
                <w:szCs w:val="22"/>
              </w:rPr>
              <w:t>35,268,532.39</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F7A8AAE">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5B2713EB">
            <w:pPr>
              <w:jc w:val="right"/>
              <w:rPr>
                <w:rFonts w:hint="eastAsia"/>
                <w:szCs w:val="21"/>
              </w:rPr>
            </w:pPr>
            <w:r>
              <w:rPr>
                <w:rFonts w:ascii="Arial Narrow" w:hAnsi="Arial Narrow" w:eastAsia="等线"/>
                <w:color w:val="000000"/>
                <w:szCs w:val="22"/>
              </w:rPr>
              <w:t>35,268,532.39</w:t>
            </w:r>
          </w:p>
        </w:tc>
      </w:tr>
      <w:tr w14:paraId="3CE3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92FD9FA">
            <w:pPr>
              <w:ind w:firstLine="315" w:firstLineChars="150"/>
              <w:rPr>
                <w:rFonts w:hint="eastAsia"/>
                <w:szCs w:val="21"/>
              </w:rPr>
            </w:pPr>
            <w:r>
              <w:rPr>
                <w:rFonts w:hint="eastAsia"/>
                <w:szCs w:val="21"/>
              </w:rPr>
              <w:t>（3）其他增加</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7BCA0C08">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13C824D">
            <w:pPr>
              <w:jc w:val="right"/>
              <w:rPr>
                <w:rFonts w:hint="eastAsia"/>
                <w:szCs w:val="21"/>
              </w:rPr>
            </w:pPr>
            <w:r>
              <w:rPr>
                <w:rFonts w:ascii="Arial Narrow" w:hAnsi="Arial Narrow" w:eastAsia="等线"/>
                <w:color w:val="000000"/>
                <w:szCs w:val="22"/>
              </w:rPr>
              <w:t>3,957,201.86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595F6CF5">
            <w:pPr>
              <w:jc w:val="right"/>
              <w:rPr>
                <w:rFonts w:hint="eastAsia"/>
                <w:szCs w:val="21"/>
              </w:rPr>
            </w:pPr>
            <w:r>
              <w:rPr>
                <w:rFonts w:ascii="Arial Narrow" w:hAnsi="Arial Narrow" w:eastAsia="等线"/>
                <w:color w:val="000000"/>
                <w:szCs w:val="22"/>
              </w:rPr>
              <w:t>3,957,201.86</w:t>
            </w:r>
          </w:p>
        </w:tc>
      </w:tr>
      <w:tr w14:paraId="5A99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0C44547A">
            <w:pPr>
              <w:ind w:firstLine="315" w:firstLineChars="150"/>
              <w:rPr>
                <w:rFonts w:hint="eastAsia"/>
                <w:szCs w:val="21"/>
              </w:rPr>
            </w:pPr>
            <w:r>
              <w:rPr>
                <w:rFonts w:hint="eastAsia"/>
                <w:szCs w:val="21"/>
              </w:rPr>
              <w:t>3.本期减少金额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4698C76">
            <w:pPr>
              <w:jc w:val="right"/>
              <w:rPr>
                <w:rFonts w:hint="eastAsia"/>
                <w:szCs w:val="21"/>
              </w:rPr>
            </w:pPr>
            <w:r>
              <w:rPr>
                <w:rFonts w:ascii="Arial Narrow" w:hAnsi="Arial Narrow" w:eastAsia="等线"/>
                <w:color w:val="000000"/>
                <w:szCs w:val="22"/>
              </w:rPr>
              <w:t>10,972,922.48</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503E50ED">
            <w:pPr>
              <w:jc w:val="right"/>
              <w:rPr>
                <w:rFonts w:hint="eastAsia"/>
                <w:szCs w:val="21"/>
              </w:rPr>
            </w:pPr>
            <w:r>
              <w:rPr>
                <w:rFonts w:ascii="Arial Narrow" w:hAnsi="Arial Narrow" w:eastAsia="等线"/>
                <w:color w:val="000000"/>
                <w:szCs w:val="22"/>
              </w:rPr>
              <w:t>2,596,986.96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01B36792">
            <w:pPr>
              <w:jc w:val="right"/>
              <w:rPr>
                <w:rFonts w:hint="eastAsia"/>
                <w:szCs w:val="21"/>
              </w:rPr>
            </w:pPr>
            <w:r>
              <w:rPr>
                <w:rFonts w:ascii="Arial Narrow" w:hAnsi="Arial Narrow" w:eastAsia="等线"/>
                <w:color w:val="000000"/>
                <w:szCs w:val="22"/>
              </w:rPr>
              <w:t>13,569,909.44</w:t>
            </w:r>
          </w:p>
        </w:tc>
      </w:tr>
      <w:tr w14:paraId="13FC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C8EE59C">
            <w:pPr>
              <w:ind w:firstLine="315" w:firstLineChars="150"/>
              <w:rPr>
                <w:rFonts w:hint="eastAsia"/>
                <w:szCs w:val="21"/>
              </w:rPr>
            </w:pPr>
            <w:r>
              <w:rPr>
                <w:rFonts w:hint="eastAsia"/>
                <w:szCs w:val="21"/>
              </w:rPr>
              <w:t>（1）处置</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510B570E">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B179591">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12D1C195">
            <w:pPr>
              <w:jc w:val="right"/>
              <w:rPr>
                <w:rFonts w:hint="eastAsia"/>
                <w:szCs w:val="21"/>
              </w:rPr>
            </w:pPr>
          </w:p>
        </w:tc>
      </w:tr>
      <w:tr w14:paraId="4B69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4B431DE9">
            <w:pPr>
              <w:ind w:firstLine="315" w:firstLineChars="150"/>
              <w:rPr>
                <w:rFonts w:hint="eastAsia"/>
                <w:szCs w:val="21"/>
              </w:rPr>
            </w:pPr>
            <w:r>
              <w:rPr>
                <w:rFonts w:hint="eastAsia"/>
                <w:szCs w:val="21"/>
              </w:rPr>
              <w:t>（2）其他转出</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68DF57D2">
            <w:pPr>
              <w:jc w:val="right"/>
              <w:rPr>
                <w:rFonts w:hint="eastAsia"/>
                <w:szCs w:val="21"/>
              </w:rPr>
            </w:pPr>
            <w:r>
              <w:rPr>
                <w:rFonts w:ascii="Arial Narrow" w:hAnsi="Arial Narrow" w:eastAsia="等线"/>
                <w:color w:val="000000"/>
                <w:szCs w:val="22"/>
              </w:rPr>
              <w:t>10,972,922.48</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5B390DDF">
            <w:pPr>
              <w:jc w:val="right"/>
              <w:rPr>
                <w:rFonts w:hint="eastAsia"/>
                <w:szCs w:val="21"/>
              </w:rPr>
            </w:pPr>
            <w:r>
              <w:rPr>
                <w:rFonts w:ascii="Arial Narrow" w:hAnsi="Arial Narrow" w:eastAsia="等线"/>
                <w:color w:val="000000"/>
                <w:szCs w:val="22"/>
              </w:rPr>
              <w:t>2,596,986.96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36D60425">
            <w:pPr>
              <w:jc w:val="right"/>
              <w:rPr>
                <w:rFonts w:hint="eastAsia"/>
                <w:szCs w:val="21"/>
              </w:rPr>
            </w:pPr>
            <w:r>
              <w:rPr>
                <w:rFonts w:ascii="Arial Narrow" w:hAnsi="Arial Narrow" w:eastAsia="等线"/>
                <w:color w:val="000000"/>
                <w:szCs w:val="22"/>
              </w:rPr>
              <w:t>13,569,909.44</w:t>
            </w:r>
          </w:p>
        </w:tc>
      </w:tr>
      <w:tr w14:paraId="620A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7038DDB">
            <w:pPr>
              <w:ind w:firstLine="420" w:firstLineChars="200"/>
              <w:rPr>
                <w:rFonts w:hint="eastAsia"/>
                <w:szCs w:val="21"/>
              </w:rPr>
            </w:pPr>
            <w:r>
              <w:rPr>
                <w:rFonts w:hint="eastAsia"/>
                <w:szCs w:val="21"/>
              </w:rPr>
              <w:t>4.期末余额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1E65D1E5">
            <w:pPr>
              <w:jc w:val="right"/>
              <w:rPr>
                <w:rFonts w:hint="eastAsia"/>
                <w:szCs w:val="21"/>
              </w:rPr>
            </w:pPr>
            <w:r>
              <w:rPr>
                <w:rFonts w:ascii="Arial Narrow" w:hAnsi="Arial Narrow" w:eastAsia="等线"/>
                <w:color w:val="000000"/>
                <w:szCs w:val="22"/>
              </w:rPr>
              <w:t>1,026,573,043.74</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331EEAC">
            <w:pPr>
              <w:jc w:val="right"/>
              <w:rPr>
                <w:rFonts w:hint="eastAsia"/>
                <w:szCs w:val="21"/>
              </w:rPr>
            </w:pPr>
            <w:r>
              <w:rPr>
                <w:rFonts w:ascii="Arial Narrow" w:hAnsi="Arial Narrow" w:eastAsia="等线"/>
                <w:color w:val="000000"/>
                <w:szCs w:val="22"/>
              </w:rPr>
              <w:t>14,646,716.92</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D9E03F7">
            <w:pPr>
              <w:jc w:val="right"/>
              <w:rPr>
                <w:rFonts w:hint="eastAsia"/>
                <w:szCs w:val="21"/>
              </w:rPr>
            </w:pPr>
            <w:r>
              <w:rPr>
                <w:rFonts w:ascii="Arial Narrow" w:hAnsi="Arial Narrow" w:eastAsia="等线"/>
                <w:color w:val="000000"/>
                <w:szCs w:val="22"/>
              </w:rPr>
              <w:t>1,041,219,760.66</w:t>
            </w:r>
          </w:p>
        </w:tc>
      </w:tr>
      <w:tr w14:paraId="1E17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3940980b8e4d4252a71ae8341bbdfc46"/>
            <w:id w:val="809283960"/>
          </w:sdt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F903E7">
                <w:pPr>
                  <w:jc w:val="both"/>
                  <w:rPr>
                    <w:rFonts w:hint="eastAsia"/>
                    <w:szCs w:val="21"/>
                  </w:rPr>
                </w:pPr>
                <w:r>
                  <w:rPr>
                    <w:rFonts w:hint="eastAsia"/>
                    <w:szCs w:val="21"/>
                  </w:rPr>
                  <w:t>二、累计折旧和累计摊销</w:t>
                </w:r>
              </w:p>
            </w:tc>
          </w:sdtContent>
        </w:sdt>
      </w:tr>
      <w:tr w14:paraId="3B54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0B9839F3">
            <w:pPr>
              <w:ind w:firstLine="420" w:firstLineChars="200"/>
              <w:rPr>
                <w:rFonts w:hint="eastAsia"/>
                <w:szCs w:val="21"/>
              </w:rPr>
            </w:pPr>
            <w:r>
              <w:rPr>
                <w:szCs w:val="21"/>
              </w:rPr>
              <w:t>1.</w:t>
            </w:r>
            <w:r>
              <w:rPr>
                <w:rFonts w:hint="eastAsia"/>
                <w:szCs w:val="21"/>
              </w:rPr>
              <w:t>期初余额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69F3DBF8">
            <w:pPr>
              <w:jc w:val="right"/>
              <w:rPr>
                <w:rFonts w:hint="eastAsia"/>
                <w:szCs w:val="21"/>
              </w:rPr>
            </w:pPr>
            <w:r>
              <w:rPr>
                <w:rFonts w:ascii="Arial Narrow" w:hAnsi="Arial Narrow" w:eastAsia="等线"/>
                <w:color w:val="000000"/>
                <w:szCs w:val="22"/>
              </w:rPr>
              <w:t>218,987,545.66</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B4A97E1">
            <w:pPr>
              <w:jc w:val="right"/>
              <w:rPr>
                <w:rFonts w:hint="eastAsia"/>
                <w:szCs w:val="21"/>
              </w:rPr>
            </w:pPr>
            <w:r>
              <w:rPr>
                <w:rFonts w:ascii="Arial Narrow" w:hAnsi="Arial Narrow" w:eastAsia="等线"/>
                <w:color w:val="000000"/>
                <w:szCs w:val="22"/>
              </w:rPr>
              <w:t>1,254,439.80</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07B163F7">
            <w:pPr>
              <w:jc w:val="right"/>
              <w:rPr>
                <w:rFonts w:hint="eastAsia"/>
                <w:szCs w:val="21"/>
              </w:rPr>
            </w:pPr>
            <w:r>
              <w:rPr>
                <w:rFonts w:ascii="Arial Narrow" w:hAnsi="Arial Narrow" w:eastAsia="等线"/>
                <w:color w:val="000000"/>
                <w:szCs w:val="22"/>
              </w:rPr>
              <w:t>220,241,985.46</w:t>
            </w:r>
          </w:p>
        </w:tc>
      </w:tr>
      <w:tr w14:paraId="22F0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A167FA7">
            <w:pPr>
              <w:ind w:firstLine="420" w:firstLineChars="200"/>
              <w:rPr>
                <w:rFonts w:hint="eastAsia"/>
                <w:szCs w:val="21"/>
              </w:rPr>
            </w:pPr>
            <w:r>
              <w:rPr>
                <w:szCs w:val="21"/>
              </w:rPr>
              <w:t>2.</w:t>
            </w:r>
            <w:r>
              <w:rPr>
                <w:rFonts w:hint="eastAsia"/>
                <w:szCs w:val="21"/>
              </w:rPr>
              <w:t>本期增加金额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0C2BF32D">
            <w:pPr>
              <w:jc w:val="right"/>
              <w:rPr>
                <w:rFonts w:hint="eastAsia"/>
                <w:szCs w:val="21"/>
              </w:rPr>
            </w:pPr>
            <w:r>
              <w:rPr>
                <w:rFonts w:ascii="Arial Narrow" w:hAnsi="Arial Narrow" w:eastAsia="等线"/>
                <w:color w:val="000000"/>
                <w:szCs w:val="22"/>
              </w:rPr>
              <w:t>37,891,452.14</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D1CC018">
            <w:pPr>
              <w:jc w:val="right"/>
              <w:rPr>
                <w:rFonts w:hint="eastAsia"/>
                <w:szCs w:val="21"/>
              </w:rPr>
            </w:pPr>
            <w:r>
              <w:rPr>
                <w:rFonts w:ascii="Arial Narrow" w:hAnsi="Arial Narrow" w:eastAsia="等线"/>
                <w:color w:val="000000"/>
                <w:szCs w:val="22"/>
              </w:rPr>
              <w:t>1,344,152.03</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23021BC8">
            <w:pPr>
              <w:jc w:val="right"/>
              <w:rPr>
                <w:rFonts w:hint="eastAsia"/>
                <w:szCs w:val="21"/>
              </w:rPr>
            </w:pPr>
            <w:r>
              <w:rPr>
                <w:rFonts w:ascii="Arial Narrow" w:hAnsi="Arial Narrow" w:eastAsia="等线"/>
                <w:color w:val="000000"/>
                <w:szCs w:val="22"/>
              </w:rPr>
              <w:t>39,235,604.17</w:t>
            </w:r>
          </w:p>
        </w:tc>
      </w:tr>
      <w:tr w14:paraId="7337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01F51365">
            <w:pPr>
              <w:ind w:firstLine="315" w:firstLineChars="150"/>
              <w:rPr>
                <w:rFonts w:hint="eastAsia"/>
                <w:szCs w:val="21"/>
              </w:rPr>
            </w:pPr>
            <w:r>
              <w:rPr>
                <w:rFonts w:hint="eastAsia"/>
                <w:szCs w:val="21"/>
              </w:rPr>
              <w:t>（1）计提或摊销</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1F5B2C1">
            <w:pPr>
              <w:jc w:val="right"/>
              <w:rPr>
                <w:rFonts w:hint="eastAsia"/>
                <w:szCs w:val="21"/>
              </w:rPr>
            </w:pPr>
            <w:r>
              <w:rPr>
                <w:rFonts w:ascii="Arial Narrow" w:hAnsi="Arial Narrow" w:eastAsia="等线"/>
                <w:color w:val="000000"/>
                <w:szCs w:val="22"/>
              </w:rPr>
              <w:t>36,384,045.72</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9D75E46">
            <w:pPr>
              <w:jc w:val="right"/>
              <w:rPr>
                <w:rFonts w:hint="eastAsia"/>
                <w:szCs w:val="21"/>
              </w:rPr>
            </w:pPr>
            <w:r>
              <w:rPr>
                <w:rFonts w:ascii="Arial Narrow" w:hAnsi="Arial Narrow" w:eastAsia="等线"/>
                <w:color w:val="000000"/>
                <w:szCs w:val="22"/>
              </w:rPr>
              <w:t>277,279.47</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16486AD7">
            <w:pPr>
              <w:jc w:val="right"/>
              <w:rPr>
                <w:rFonts w:hint="eastAsia"/>
                <w:szCs w:val="21"/>
              </w:rPr>
            </w:pPr>
            <w:r>
              <w:rPr>
                <w:rFonts w:ascii="Arial Narrow" w:hAnsi="Arial Narrow" w:eastAsia="等线"/>
                <w:color w:val="000000"/>
                <w:szCs w:val="22"/>
              </w:rPr>
              <w:t>36,661,325.19</w:t>
            </w:r>
          </w:p>
        </w:tc>
      </w:tr>
      <w:tr w14:paraId="0CE3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10C17F3">
            <w:pPr>
              <w:ind w:firstLine="420" w:firstLineChars="200"/>
              <w:rPr>
                <w:rFonts w:hint="eastAsia"/>
                <w:szCs w:val="21"/>
              </w:rPr>
            </w:pPr>
            <w:r>
              <w:rPr>
                <w:rFonts w:hint="eastAsia"/>
                <w:szCs w:val="21"/>
              </w:rPr>
              <w:t>（2）其他增加</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7FF8425">
            <w:pPr>
              <w:jc w:val="right"/>
              <w:rPr>
                <w:rFonts w:hint="eastAsia"/>
                <w:szCs w:val="21"/>
              </w:rPr>
            </w:pPr>
            <w:r>
              <w:rPr>
                <w:rFonts w:ascii="Arial Narrow" w:hAnsi="Arial Narrow" w:eastAsia="等线"/>
                <w:color w:val="000000"/>
                <w:szCs w:val="22"/>
              </w:rPr>
              <w:t>1,507,406.42</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607D4220">
            <w:pPr>
              <w:jc w:val="right"/>
              <w:rPr>
                <w:rFonts w:hint="eastAsia"/>
                <w:szCs w:val="21"/>
              </w:rPr>
            </w:pPr>
            <w:r>
              <w:rPr>
                <w:rFonts w:ascii="Arial Narrow" w:hAnsi="Arial Narrow" w:eastAsia="等线"/>
                <w:color w:val="000000"/>
                <w:szCs w:val="22"/>
              </w:rPr>
              <w:t>1,066,872.56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405EB8CA">
            <w:pPr>
              <w:jc w:val="right"/>
              <w:rPr>
                <w:rFonts w:hint="eastAsia"/>
                <w:szCs w:val="21"/>
              </w:rPr>
            </w:pPr>
            <w:r>
              <w:rPr>
                <w:rFonts w:ascii="Arial Narrow" w:hAnsi="Arial Narrow" w:eastAsia="等线"/>
                <w:color w:val="000000"/>
                <w:szCs w:val="22"/>
              </w:rPr>
              <w:t>2,574,278.98</w:t>
            </w:r>
          </w:p>
        </w:tc>
      </w:tr>
      <w:tr w14:paraId="04D9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219B6B5B">
            <w:pPr>
              <w:ind w:firstLine="420" w:firstLineChars="200"/>
              <w:rPr>
                <w:rFonts w:hint="eastAsia"/>
                <w:szCs w:val="21"/>
              </w:rPr>
            </w:pPr>
            <w:r>
              <w:rPr>
                <w:rFonts w:hint="eastAsia"/>
                <w:szCs w:val="21"/>
              </w:rPr>
              <w:t>3.本期减少金额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62723575">
            <w:pPr>
              <w:jc w:val="right"/>
              <w:rPr>
                <w:rFonts w:hint="eastAsia"/>
                <w:szCs w:val="21"/>
              </w:rPr>
            </w:pPr>
            <w:r>
              <w:rPr>
                <w:rFonts w:ascii="Arial Narrow" w:hAnsi="Arial Narrow" w:eastAsia="等线"/>
                <w:color w:val="000000"/>
                <w:szCs w:val="22"/>
              </w:rPr>
              <w:t>2,041,099.61</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5279BA92">
            <w:pPr>
              <w:jc w:val="right"/>
              <w:rPr>
                <w:rFonts w:hint="eastAsia"/>
                <w:szCs w:val="21"/>
              </w:rPr>
            </w:pPr>
            <w:r>
              <w:rPr>
                <w:rFonts w:ascii="Arial Narrow" w:hAnsi="Arial Narrow" w:eastAsia="等线"/>
                <w:color w:val="000000"/>
                <w:szCs w:val="22"/>
              </w:rPr>
              <w:t>255,796.76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22F7508D">
            <w:pPr>
              <w:jc w:val="right"/>
              <w:rPr>
                <w:rFonts w:hint="eastAsia"/>
                <w:szCs w:val="21"/>
              </w:rPr>
            </w:pPr>
            <w:r>
              <w:rPr>
                <w:rFonts w:ascii="Arial Narrow" w:hAnsi="Arial Narrow" w:eastAsia="等线"/>
                <w:color w:val="000000"/>
                <w:szCs w:val="22"/>
              </w:rPr>
              <w:t>2,296,896.37</w:t>
            </w:r>
          </w:p>
        </w:tc>
      </w:tr>
      <w:tr w14:paraId="504E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A1B4B2D">
            <w:pPr>
              <w:ind w:firstLine="315" w:firstLineChars="150"/>
              <w:rPr>
                <w:rFonts w:hint="eastAsia"/>
                <w:szCs w:val="21"/>
              </w:rPr>
            </w:pPr>
            <w:r>
              <w:rPr>
                <w:rFonts w:hint="eastAsia"/>
                <w:szCs w:val="21"/>
              </w:rPr>
              <w:t>（1）处置</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441FDDEE">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591D279">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16442BB9">
            <w:pPr>
              <w:jc w:val="right"/>
              <w:rPr>
                <w:rFonts w:hint="eastAsia"/>
                <w:szCs w:val="21"/>
              </w:rPr>
            </w:pPr>
          </w:p>
        </w:tc>
      </w:tr>
      <w:tr w14:paraId="53FA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60730418">
            <w:pPr>
              <w:ind w:firstLine="315" w:firstLineChars="150"/>
              <w:rPr>
                <w:rFonts w:hint="eastAsia"/>
                <w:szCs w:val="21"/>
              </w:rPr>
            </w:pPr>
            <w:r>
              <w:rPr>
                <w:rFonts w:hint="eastAsia"/>
                <w:szCs w:val="21"/>
              </w:rPr>
              <w:t>（2）其他转出</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770F206">
            <w:pPr>
              <w:jc w:val="right"/>
              <w:rPr>
                <w:rFonts w:hint="eastAsia"/>
                <w:szCs w:val="21"/>
              </w:rPr>
            </w:pPr>
            <w:r>
              <w:rPr>
                <w:rFonts w:ascii="Arial Narrow" w:hAnsi="Arial Narrow" w:eastAsia="等线"/>
                <w:color w:val="000000"/>
                <w:szCs w:val="22"/>
              </w:rPr>
              <w:t>2,041,099.61</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30199D7">
            <w:pPr>
              <w:jc w:val="right"/>
              <w:rPr>
                <w:rFonts w:hint="eastAsia"/>
                <w:szCs w:val="21"/>
              </w:rPr>
            </w:pPr>
            <w:r>
              <w:rPr>
                <w:rFonts w:ascii="Arial Narrow" w:hAnsi="Arial Narrow" w:eastAsia="等线"/>
                <w:color w:val="000000"/>
                <w:szCs w:val="22"/>
              </w:rPr>
              <w:t>255,796.76</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F776F6C">
            <w:pPr>
              <w:jc w:val="right"/>
              <w:rPr>
                <w:rFonts w:hint="eastAsia"/>
                <w:szCs w:val="21"/>
              </w:rPr>
            </w:pPr>
            <w:r>
              <w:rPr>
                <w:rFonts w:ascii="Arial Narrow" w:hAnsi="Arial Narrow" w:eastAsia="等线"/>
                <w:color w:val="000000"/>
                <w:szCs w:val="22"/>
              </w:rPr>
              <w:t>2,296,896.37</w:t>
            </w:r>
          </w:p>
        </w:tc>
      </w:tr>
      <w:tr w14:paraId="09B3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47C4E0E7">
            <w:pPr>
              <w:ind w:firstLine="420" w:firstLineChars="200"/>
              <w:rPr>
                <w:rFonts w:hint="eastAsia"/>
                <w:szCs w:val="21"/>
              </w:rPr>
            </w:pPr>
            <w:r>
              <w:rPr>
                <w:rFonts w:hint="eastAsia"/>
                <w:szCs w:val="21"/>
              </w:rPr>
              <w:t>4.期末余额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66F4E05F">
            <w:pPr>
              <w:jc w:val="right"/>
              <w:rPr>
                <w:rFonts w:hint="eastAsia"/>
                <w:szCs w:val="21"/>
              </w:rPr>
            </w:pPr>
            <w:r>
              <w:rPr>
                <w:rFonts w:ascii="Arial Narrow" w:hAnsi="Arial Narrow" w:eastAsia="等线"/>
                <w:color w:val="000000"/>
                <w:szCs w:val="22"/>
              </w:rPr>
              <w:t>254,837,898.19</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5B509046">
            <w:pPr>
              <w:jc w:val="right"/>
              <w:rPr>
                <w:rFonts w:hint="eastAsia"/>
                <w:szCs w:val="21"/>
              </w:rPr>
            </w:pPr>
            <w:r>
              <w:rPr>
                <w:rFonts w:ascii="Arial Narrow" w:hAnsi="Arial Narrow" w:eastAsia="等线"/>
                <w:color w:val="000000"/>
                <w:szCs w:val="22"/>
              </w:rPr>
              <w:t>2,342,795.07</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3CBBBF9F">
            <w:pPr>
              <w:jc w:val="right"/>
              <w:rPr>
                <w:rFonts w:hint="eastAsia"/>
                <w:szCs w:val="21"/>
              </w:rPr>
            </w:pPr>
            <w:r>
              <w:rPr>
                <w:rFonts w:ascii="Arial Narrow" w:hAnsi="Arial Narrow" w:eastAsia="等线"/>
                <w:color w:val="000000"/>
                <w:szCs w:val="22"/>
              </w:rPr>
              <w:t>257,180,693.26</w:t>
            </w:r>
          </w:p>
        </w:tc>
      </w:tr>
      <w:tr w14:paraId="6A46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sdt>
          <w:sdtPr>
            <w:tag w:val="_PLD_c10b5aad27764e4b8d082d8300c71859"/>
            <w:id w:val="-1529715452"/>
          </w:sdt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4884184">
                <w:pPr>
                  <w:jc w:val="both"/>
                  <w:rPr>
                    <w:rFonts w:hint="eastAsia"/>
                    <w:szCs w:val="21"/>
                  </w:rPr>
                </w:pPr>
                <w:r>
                  <w:rPr>
                    <w:rFonts w:hint="eastAsia"/>
                    <w:szCs w:val="21"/>
                  </w:rPr>
                  <w:t>三、减值准备</w:t>
                </w:r>
              </w:p>
            </w:tc>
          </w:sdtContent>
        </w:sdt>
      </w:tr>
      <w:tr w14:paraId="651D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23260BF5">
            <w:pPr>
              <w:ind w:firstLine="420" w:firstLineChars="200"/>
              <w:rPr>
                <w:rFonts w:hint="eastAsia"/>
                <w:szCs w:val="21"/>
              </w:rPr>
            </w:pPr>
            <w:r>
              <w:rPr>
                <w:szCs w:val="21"/>
              </w:rPr>
              <w:t>1.</w:t>
            </w:r>
            <w:r>
              <w:rPr>
                <w:rFonts w:hint="eastAsia"/>
                <w:szCs w:val="21"/>
              </w:rPr>
              <w:t>期初余额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05A56C7B">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63F602F">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3859B913">
            <w:pPr>
              <w:jc w:val="right"/>
              <w:rPr>
                <w:rFonts w:hint="eastAsia"/>
                <w:szCs w:val="21"/>
              </w:rPr>
            </w:pPr>
          </w:p>
        </w:tc>
      </w:tr>
      <w:tr w14:paraId="6B58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47D18FE0">
            <w:pPr>
              <w:ind w:firstLine="420" w:firstLineChars="200"/>
              <w:rPr>
                <w:rFonts w:hint="eastAsia"/>
                <w:szCs w:val="21"/>
              </w:rPr>
            </w:pPr>
            <w:r>
              <w:rPr>
                <w:szCs w:val="21"/>
              </w:rPr>
              <w:t>2.</w:t>
            </w:r>
            <w:r>
              <w:rPr>
                <w:rFonts w:hint="eastAsia"/>
                <w:szCs w:val="21"/>
              </w:rPr>
              <w:t>本期增加金额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4D896422">
            <w:pPr>
              <w:jc w:val="right"/>
              <w:rPr>
                <w:rFonts w:hint="eastAsia"/>
                <w:szCs w:val="21"/>
              </w:rPr>
            </w:pPr>
            <w:r>
              <w:rPr>
                <w:rFonts w:ascii="Arial Narrow" w:hAnsi="Arial Narrow" w:eastAsia="等线"/>
                <w:color w:val="000000"/>
                <w:szCs w:val="22"/>
              </w:rPr>
              <w:t>123,387,062.68</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2AD34B70">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0701CE6C">
            <w:pPr>
              <w:jc w:val="right"/>
              <w:rPr>
                <w:rFonts w:hint="eastAsia"/>
                <w:szCs w:val="21"/>
              </w:rPr>
            </w:pPr>
            <w:r>
              <w:rPr>
                <w:rFonts w:ascii="Arial Narrow" w:hAnsi="Arial Narrow" w:eastAsia="等线"/>
                <w:color w:val="000000"/>
                <w:szCs w:val="22"/>
              </w:rPr>
              <w:t>123,387,062.68</w:t>
            </w:r>
          </w:p>
        </w:tc>
      </w:tr>
      <w:tr w14:paraId="0E4F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4864D0C0">
            <w:pPr>
              <w:ind w:firstLine="315" w:firstLineChars="150"/>
              <w:rPr>
                <w:rFonts w:hint="eastAsia"/>
                <w:szCs w:val="21"/>
              </w:rPr>
            </w:pPr>
            <w:r>
              <w:rPr>
                <w:rFonts w:hint="eastAsia"/>
                <w:szCs w:val="21"/>
              </w:rPr>
              <w:t>（1）计提</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5EA937AE">
            <w:pPr>
              <w:jc w:val="right"/>
              <w:rPr>
                <w:rFonts w:hint="eastAsia"/>
                <w:szCs w:val="21"/>
              </w:rPr>
            </w:pPr>
            <w:r>
              <w:rPr>
                <w:rFonts w:ascii="Arial Narrow" w:hAnsi="Arial Narrow" w:eastAsia="等线"/>
                <w:color w:val="000000"/>
                <w:szCs w:val="22"/>
              </w:rPr>
              <w:t>123,387,062.68</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CC9F790">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0B2B11A1">
            <w:pPr>
              <w:jc w:val="right"/>
              <w:rPr>
                <w:rFonts w:hint="eastAsia"/>
                <w:szCs w:val="21"/>
              </w:rPr>
            </w:pPr>
            <w:r>
              <w:rPr>
                <w:rFonts w:ascii="Arial Narrow" w:hAnsi="Arial Narrow" w:eastAsia="等线"/>
                <w:color w:val="000000"/>
                <w:szCs w:val="22"/>
              </w:rPr>
              <w:t>123,387,062.68</w:t>
            </w:r>
          </w:p>
        </w:tc>
      </w:tr>
      <w:tr w14:paraId="58A1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45B9E6A4">
            <w:pPr>
              <w:ind w:firstLine="420" w:firstLineChars="200"/>
              <w:rPr>
                <w:rFonts w:hint="eastAsia"/>
                <w:szCs w:val="21"/>
              </w:rPr>
            </w:pPr>
            <w:r>
              <w:rPr>
                <w:rFonts w:hint="eastAsia"/>
                <w:szCs w:val="21"/>
              </w:rPr>
              <w:t>3、本期减少金额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07D201A4">
            <w:pPr>
              <w:jc w:val="right"/>
              <w:rPr>
                <w:rFonts w:hint="eastAsia"/>
                <w:szCs w:val="21"/>
              </w:rPr>
            </w:pP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E959ED0">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6CFA47CF">
            <w:pPr>
              <w:jc w:val="right"/>
              <w:rPr>
                <w:rFonts w:hint="eastAsia"/>
                <w:szCs w:val="21"/>
              </w:rPr>
            </w:pPr>
          </w:p>
        </w:tc>
      </w:tr>
      <w:tr w14:paraId="215C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2B6BB733">
            <w:pPr>
              <w:ind w:firstLine="420" w:firstLineChars="200"/>
              <w:rPr>
                <w:rFonts w:hint="eastAsia"/>
                <w:szCs w:val="21"/>
              </w:rPr>
            </w:pPr>
            <w:r>
              <w:rPr>
                <w:rFonts w:hint="eastAsia"/>
                <w:szCs w:val="21"/>
              </w:rPr>
              <w:t>4.期末余额</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5E5FF0D3">
            <w:pPr>
              <w:jc w:val="right"/>
              <w:rPr>
                <w:rFonts w:hint="eastAsia"/>
                <w:szCs w:val="21"/>
              </w:rPr>
            </w:pPr>
            <w:r>
              <w:rPr>
                <w:rFonts w:ascii="Arial Narrow" w:hAnsi="Arial Narrow" w:eastAsia="等线"/>
                <w:color w:val="000000"/>
                <w:szCs w:val="22"/>
              </w:rPr>
              <w:t>123,387,062.68</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21A6AB91">
            <w:pPr>
              <w:jc w:val="right"/>
              <w:rPr>
                <w:rFonts w:hint="eastAsia"/>
                <w:szCs w:val="21"/>
              </w:rPr>
            </w:pP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12109625">
            <w:pPr>
              <w:jc w:val="right"/>
              <w:rPr>
                <w:rFonts w:hint="eastAsia"/>
                <w:szCs w:val="21"/>
              </w:rPr>
            </w:pPr>
            <w:r>
              <w:rPr>
                <w:rFonts w:ascii="Arial Narrow" w:hAnsi="Arial Narrow" w:eastAsia="等线"/>
                <w:color w:val="000000"/>
                <w:szCs w:val="22"/>
              </w:rPr>
              <w:t>123,387,062.68</w:t>
            </w:r>
          </w:p>
        </w:tc>
      </w:tr>
      <w:tr w14:paraId="55B1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5ad25d173a164f90a33b80cf52189833"/>
            <w:id w:val="-1685358628"/>
          </w:sdt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123CE61">
                <w:pPr>
                  <w:jc w:val="both"/>
                  <w:rPr>
                    <w:rFonts w:hint="eastAsia"/>
                    <w:szCs w:val="21"/>
                  </w:rPr>
                </w:pPr>
                <w:r>
                  <w:rPr>
                    <w:rFonts w:hint="eastAsia"/>
                    <w:szCs w:val="21"/>
                  </w:rPr>
                  <w:t>四、账面价值</w:t>
                </w:r>
              </w:p>
            </w:tc>
          </w:sdtContent>
        </w:sdt>
      </w:tr>
      <w:tr w14:paraId="7143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046730D3">
            <w:pPr>
              <w:ind w:firstLine="315" w:firstLineChars="150"/>
              <w:rPr>
                <w:rFonts w:hint="eastAsia"/>
                <w:szCs w:val="21"/>
              </w:rPr>
            </w:pPr>
            <w:r>
              <w:rPr>
                <w:szCs w:val="21"/>
              </w:rPr>
              <w:t>1.</w:t>
            </w:r>
            <w:r>
              <w:rPr>
                <w:rFonts w:hint="eastAsia"/>
                <w:szCs w:val="21"/>
              </w:rPr>
              <w:t>期末账面价值</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05C8AE5A">
            <w:pPr>
              <w:jc w:val="right"/>
              <w:rPr>
                <w:rFonts w:hint="eastAsia"/>
                <w:szCs w:val="21"/>
              </w:rPr>
            </w:pPr>
            <w:r>
              <w:rPr>
                <w:rFonts w:ascii="Arial Narrow" w:hAnsi="Arial Narrow" w:eastAsia="等线"/>
                <w:color w:val="000000"/>
                <w:szCs w:val="22"/>
              </w:rPr>
              <w:t>648,348,082.87</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ED55FCC">
            <w:pPr>
              <w:jc w:val="right"/>
              <w:rPr>
                <w:rFonts w:hint="eastAsia"/>
                <w:szCs w:val="21"/>
              </w:rPr>
            </w:pPr>
            <w:r>
              <w:rPr>
                <w:rFonts w:ascii="Arial Narrow" w:hAnsi="Arial Narrow" w:eastAsia="等线"/>
                <w:color w:val="000000"/>
                <w:szCs w:val="22"/>
              </w:rPr>
              <w:t>12,303,921.85</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5AC922A6">
            <w:pPr>
              <w:jc w:val="right"/>
              <w:rPr>
                <w:rFonts w:hint="eastAsia"/>
                <w:szCs w:val="21"/>
              </w:rPr>
            </w:pPr>
            <w:r>
              <w:rPr>
                <w:rFonts w:ascii="Arial Narrow" w:hAnsi="Arial Narrow" w:eastAsia="等线"/>
                <w:color w:val="000000"/>
                <w:szCs w:val="22"/>
              </w:rPr>
              <w:t>660,652,004.72</w:t>
            </w:r>
          </w:p>
        </w:tc>
      </w:tr>
      <w:tr w14:paraId="1A2A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481" w:type="pct"/>
            <w:tcBorders>
              <w:top w:val="single" w:color="auto" w:sz="4" w:space="0"/>
              <w:left w:val="single" w:color="auto" w:sz="4" w:space="0"/>
              <w:bottom w:val="single" w:color="auto" w:sz="4" w:space="0"/>
              <w:right w:val="single" w:color="auto" w:sz="4" w:space="0"/>
            </w:tcBorders>
            <w:shd w:val="clear" w:color="auto" w:fill="auto"/>
          </w:tcPr>
          <w:p w14:paraId="361AD919">
            <w:pPr>
              <w:ind w:firstLine="315" w:firstLineChars="150"/>
              <w:rPr>
                <w:rFonts w:hint="eastAsia"/>
                <w:szCs w:val="21"/>
              </w:rPr>
            </w:pPr>
            <w:r>
              <w:rPr>
                <w:szCs w:val="21"/>
              </w:rPr>
              <w:t>2.</w:t>
            </w:r>
            <w:r>
              <w:rPr>
                <w:rFonts w:hint="eastAsia"/>
                <w:szCs w:val="21"/>
              </w:rPr>
              <w:t>期初账面价值</w:t>
            </w:r>
          </w:p>
        </w:tc>
        <w:tc>
          <w:tcPr>
            <w:tcW w:w="1231" w:type="pct"/>
            <w:tcBorders>
              <w:top w:val="single" w:color="auto" w:sz="4" w:space="0"/>
              <w:left w:val="single" w:color="auto" w:sz="4" w:space="0"/>
              <w:bottom w:val="single" w:color="auto" w:sz="4" w:space="0"/>
              <w:right w:val="single" w:color="auto" w:sz="4" w:space="0"/>
            </w:tcBorders>
            <w:shd w:val="clear" w:color="auto" w:fill="auto"/>
            <w:vAlign w:val="center"/>
          </w:tcPr>
          <w:p w14:paraId="3F075425">
            <w:pPr>
              <w:jc w:val="right"/>
              <w:rPr>
                <w:rFonts w:hint="eastAsia"/>
                <w:szCs w:val="21"/>
              </w:rPr>
            </w:pPr>
            <w:r>
              <w:rPr>
                <w:rFonts w:ascii="Arial Narrow" w:hAnsi="Arial Narrow" w:eastAsia="等线"/>
                <w:color w:val="000000"/>
                <w:szCs w:val="22"/>
              </w:rPr>
              <w:t>783,289,888.17</w:t>
            </w:r>
          </w:p>
        </w:tc>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733F4E6">
            <w:pPr>
              <w:jc w:val="right"/>
              <w:rPr>
                <w:rFonts w:hint="eastAsia"/>
                <w:szCs w:val="21"/>
              </w:rPr>
            </w:pPr>
            <w:r>
              <w:rPr>
                <w:rFonts w:ascii="Arial Narrow" w:hAnsi="Arial Narrow" w:eastAsia="等线"/>
                <w:color w:val="000000"/>
                <w:szCs w:val="22"/>
              </w:rPr>
              <w:t>12,032,062.22</w:t>
            </w:r>
          </w:p>
        </w:tc>
        <w:tc>
          <w:tcPr>
            <w:tcW w:w="1234" w:type="pct"/>
            <w:tcBorders>
              <w:top w:val="single" w:color="auto" w:sz="4" w:space="0"/>
              <w:left w:val="single" w:color="auto" w:sz="4" w:space="0"/>
              <w:bottom w:val="single" w:color="auto" w:sz="4" w:space="0"/>
              <w:right w:val="single" w:color="auto" w:sz="4" w:space="0"/>
            </w:tcBorders>
            <w:shd w:val="clear" w:color="auto" w:fill="auto"/>
            <w:vAlign w:val="center"/>
          </w:tcPr>
          <w:p w14:paraId="3F46CCC8">
            <w:pPr>
              <w:jc w:val="right"/>
              <w:rPr>
                <w:rFonts w:hint="eastAsia"/>
                <w:szCs w:val="21"/>
              </w:rPr>
            </w:pPr>
            <w:r>
              <w:rPr>
                <w:rFonts w:ascii="Arial Narrow" w:hAnsi="Arial Narrow" w:eastAsia="等线"/>
                <w:color w:val="000000"/>
                <w:szCs w:val="22"/>
              </w:rPr>
              <w:t>795,321,950.39</w:t>
            </w:r>
          </w:p>
        </w:tc>
      </w:tr>
    </w:tbl>
    <w:p w14:paraId="7DFD996F">
      <w:pPr>
        <w:rPr>
          <w:rFonts w:hint="eastAsia"/>
        </w:rPr>
      </w:pPr>
    </w:p>
    <w:p w14:paraId="38A82CE5">
      <w:pPr>
        <w:pStyle w:val="71"/>
        <w:numPr>
          <w:ilvl w:val="3"/>
          <w:numId w:val="124"/>
        </w:numPr>
        <w:ind w:left="426" w:hanging="426"/>
        <w:rPr>
          <w:rFonts w:hint="eastAsia"/>
        </w:rPr>
      </w:pPr>
      <w:r>
        <w:rPr>
          <w:rFonts w:hint="eastAsia"/>
        </w:rPr>
        <w:t>未办妥产权证书的投资性房地产情况</w:t>
      </w:r>
    </w:p>
    <w:p w14:paraId="26CF2C94">
      <w:pPr>
        <w:rPr>
          <w:rFonts w:hint="eastAsia"/>
        </w:rPr>
      </w:pPr>
      <w:sdt>
        <w:sdtPr>
          <w:alias w:val="是否适用：未办妥产权证书的投资性房地产情况[双击切换]"/>
          <w:tag w:val="_GBC_31ec2c57d73a48d2816267a8606d05e0"/>
          <w:id w:val="-1752652238"/>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74EDE601">
      <w:pPr>
        <w:jc w:val="right"/>
        <w:rPr>
          <w:rFonts w:hint="eastAsia"/>
        </w:rPr>
      </w:pPr>
      <w:r>
        <w:rPr>
          <w:rFonts w:hint="eastAsia"/>
        </w:rPr>
        <w:t>单位：</w:t>
      </w:r>
      <w:sdt>
        <w:sdtPr>
          <w:rPr>
            <w:rFonts w:hint="eastAsia"/>
          </w:rPr>
          <w:alias w:val="单位：财务附注：未办妥产权证书的投资性房地产情况"/>
          <w:tag w:val="_GBC_da0857fd0c5b429282c9825ce4dcb130"/>
          <w:id w:val="6494075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未办妥产权证书的投资性房地产情况"/>
          <w:tag w:val="_GBC_b660de92e9744974a46d7841240845ce"/>
          <w:id w:val="-2832681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2"/>
        <w:gridCol w:w="1701"/>
        <w:gridCol w:w="2590"/>
      </w:tblGrid>
      <w:tr w14:paraId="5712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290dd4592bc94037a75462b5bd83b71f"/>
            <w:id w:val="72327980"/>
          </w:sdtPr>
          <w:sdtEndPr>
            <w:rPr>
              <w:rFonts w:ascii="Arial Narrow" w:hAnsi="Arial Narrow" w:eastAsiaTheme="minorEastAsia"/>
              <w:szCs w:val="21"/>
            </w:rPr>
          </w:sdtEndPr>
          <w:sdtContent>
            <w:tc>
              <w:tcPr>
                <w:tcW w:w="2568" w:type="pct"/>
                <w:shd w:val="clear" w:color="auto" w:fill="auto"/>
                <w:vAlign w:val="center"/>
              </w:tcPr>
              <w:p w14:paraId="659DB610">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d7f50ec9b85240e286f0ceebbc25d187"/>
            <w:id w:val="561752097"/>
          </w:sdtPr>
          <w:sdtEndPr>
            <w:rPr>
              <w:rFonts w:ascii="Arial Narrow" w:hAnsi="Arial Narrow" w:eastAsiaTheme="minorEastAsia"/>
              <w:szCs w:val="21"/>
            </w:rPr>
          </w:sdtEndPr>
          <w:sdtContent>
            <w:tc>
              <w:tcPr>
                <w:tcW w:w="964" w:type="pct"/>
                <w:shd w:val="clear" w:color="auto" w:fill="auto"/>
                <w:vAlign w:val="center"/>
              </w:tcPr>
              <w:p w14:paraId="6E5E6DD5">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szCs w:val="21"/>
                  </w:rPr>
                  <w:t>账面价值</w:t>
                </w:r>
              </w:p>
            </w:tc>
          </w:sdtContent>
        </w:sdt>
        <w:sdt>
          <w:sdtPr>
            <w:rPr>
              <w:rFonts w:ascii="Arial Narrow" w:hAnsi="Arial Narrow" w:eastAsiaTheme="minorEastAsia"/>
              <w:szCs w:val="21"/>
            </w:rPr>
            <w:tag w:val="_PLD_dbe3f73088a244bfb17b1595dce6f717"/>
            <w:id w:val="1682083622"/>
          </w:sdtPr>
          <w:sdtEndPr>
            <w:rPr>
              <w:rFonts w:ascii="Arial Narrow" w:hAnsi="Arial Narrow" w:eastAsiaTheme="minorEastAsia"/>
              <w:szCs w:val="21"/>
            </w:rPr>
          </w:sdtEndPr>
          <w:sdtContent>
            <w:tc>
              <w:tcPr>
                <w:tcW w:w="1468" w:type="pct"/>
                <w:shd w:val="clear" w:color="auto" w:fill="auto"/>
                <w:vAlign w:val="center"/>
              </w:tcPr>
              <w:p w14:paraId="37A88568">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szCs w:val="21"/>
                  </w:rPr>
                  <w:t>未办妥产权证书原因</w:t>
                </w:r>
              </w:p>
            </w:tc>
          </w:sdtContent>
        </w:sdt>
      </w:tr>
      <w:tr w14:paraId="41A8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043DF368">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重庆际华目的地中心实业有限公司房屋建筑物</w:t>
            </w:r>
          </w:p>
        </w:tc>
        <w:tc>
          <w:tcPr>
            <w:tcW w:w="964" w:type="pct"/>
            <w:shd w:val="clear" w:color="auto" w:fill="auto"/>
            <w:vAlign w:val="center"/>
          </w:tcPr>
          <w:p w14:paraId="57AF8085">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104,488,540.48</w:t>
            </w:r>
          </w:p>
        </w:tc>
        <w:tc>
          <w:tcPr>
            <w:tcW w:w="1468" w:type="pct"/>
            <w:shd w:val="clear" w:color="auto" w:fill="auto"/>
            <w:vAlign w:val="center"/>
          </w:tcPr>
          <w:p w14:paraId="02E260D0">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12E9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38A21CB2">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际华三五一三实业有限公司新兴际华大厦</w:t>
            </w:r>
          </w:p>
        </w:tc>
        <w:tc>
          <w:tcPr>
            <w:tcW w:w="964" w:type="pct"/>
            <w:shd w:val="clear" w:color="auto" w:fill="auto"/>
            <w:vAlign w:val="center"/>
          </w:tcPr>
          <w:p w14:paraId="3E339B33">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97,398,748.76</w:t>
            </w:r>
          </w:p>
        </w:tc>
        <w:tc>
          <w:tcPr>
            <w:tcW w:w="1468" w:type="pct"/>
            <w:shd w:val="clear" w:color="auto" w:fill="auto"/>
            <w:vAlign w:val="center"/>
          </w:tcPr>
          <w:p w14:paraId="5CD5D8C1">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46CF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5781B1C7">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际华三五零六纺织服装有限公司同馨商务大厦(2、6、10层)</w:t>
            </w:r>
          </w:p>
        </w:tc>
        <w:tc>
          <w:tcPr>
            <w:tcW w:w="964" w:type="pct"/>
            <w:shd w:val="clear" w:color="auto" w:fill="auto"/>
            <w:vAlign w:val="center"/>
          </w:tcPr>
          <w:p w14:paraId="258E08B8">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52,518,750.00</w:t>
            </w:r>
          </w:p>
        </w:tc>
        <w:tc>
          <w:tcPr>
            <w:tcW w:w="1468" w:type="pct"/>
            <w:shd w:val="clear" w:color="auto" w:fill="auto"/>
            <w:vAlign w:val="center"/>
          </w:tcPr>
          <w:p w14:paraId="54F1441F">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3A8C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456B50E2">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际华三五一二皮革服装有限公司新区行政楼、综合楼、高档礼服车间、食堂</w:t>
            </w:r>
          </w:p>
        </w:tc>
        <w:tc>
          <w:tcPr>
            <w:tcW w:w="964" w:type="pct"/>
            <w:shd w:val="clear" w:color="auto" w:fill="auto"/>
            <w:vAlign w:val="center"/>
          </w:tcPr>
          <w:p w14:paraId="410AD128">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51,195,489.44</w:t>
            </w:r>
          </w:p>
        </w:tc>
        <w:tc>
          <w:tcPr>
            <w:tcW w:w="1468" w:type="pct"/>
            <w:shd w:val="clear" w:color="auto" w:fill="auto"/>
            <w:vAlign w:val="center"/>
          </w:tcPr>
          <w:p w14:paraId="5706CA51">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7E17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5C5F850A">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际华三五一一实业有限公司昆明花园门面房</w:t>
            </w:r>
          </w:p>
        </w:tc>
        <w:tc>
          <w:tcPr>
            <w:tcW w:w="964" w:type="pct"/>
            <w:shd w:val="clear" w:color="auto" w:fill="auto"/>
            <w:vAlign w:val="center"/>
          </w:tcPr>
          <w:p w14:paraId="577FBE54">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40,426,848.77</w:t>
            </w:r>
          </w:p>
        </w:tc>
        <w:tc>
          <w:tcPr>
            <w:tcW w:w="1468" w:type="pct"/>
            <w:shd w:val="clear" w:color="auto" w:fill="auto"/>
            <w:vAlign w:val="center"/>
          </w:tcPr>
          <w:p w14:paraId="5AB5735B">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77EB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466C24B3">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color w:val="000000"/>
                <w:szCs w:val="21"/>
              </w:rPr>
              <w:t>际华三五三四制衣有限公司9号U型工房</w:t>
            </w:r>
          </w:p>
        </w:tc>
        <w:tc>
          <w:tcPr>
            <w:tcW w:w="964" w:type="pct"/>
            <w:shd w:val="clear" w:color="auto" w:fill="auto"/>
            <w:vAlign w:val="center"/>
          </w:tcPr>
          <w:p w14:paraId="3DC8BAB9">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11,668,385.40</w:t>
            </w:r>
          </w:p>
        </w:tc>
        <w:tc>
          <w:tcPr>
            <w:tcW w:w="1468" w:type="pct"/>
            <w:shd w:val="clear" w:color="auto" w:fill="auto"/>
            <w:vAlign w:val="center"/>
          </w:tcPr>
          <w:p w14:paraId="58B020EC">
            <w:pPr>
              <w:tabs>
                <w:tab w:val="right" w:pos="3690"/>
                <w:tab w:val="right" w:pos="5130"/>
                <w:tab w:val="right" w:pos="6030"/>
                <w:tab w:val="right" w:pos="7650"/>
                <w:tab w:val="right" w:pos="9270"/>
              </w:tabs>
              <w:adjustRightInd w:val="0"/>
              <w:snapToGrid w:val="0"/>
              <w:jc w:val="both"/>
              <w:rPr>
                <w:rFonts w:ascii="Arial Narrow" w:hAnsi="Arial Narrow" w:eastAsiaTheme="minorEastAsia"/>
                <w:szCs w:val="21"/>
              </w:rPr>
            </w:pPr>
            <w:r>
              <w:rPr>
                <w:rFonts w:ascii="Arial Narrow" w:hAnsi="Arial Narrow" w:eastAsiaTheme="minorEastAsia"/>
                <w:color w:val="000000"/>
                <w:szCs w:val="21"/>
              </w:rPr>
              <w:t>正在办理中</w:t>
            </w:r>
          </w:p>
        </w:tc>
      </w:tr>
      <w:tr w14:paraId="32E3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shd w:val="clear" w:color="auto" w:fill="auto"/>
          </w:tcPr>
          <w:p w14:paraId="7F1AD24F">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color w:val="000000"/>
                <w:szCs w:val="21"/>
              </w:rPr>
              <w:t>合计</w:t>
            </w:r>
          </w:p>
        </w:tc>
        <w:tc>
          <w:tcPr>
            <w:tcW w:w="964" w:type="pct"/>
            <w:shd w:val="clear" w:color="auto" w:fill="auto"/>
            <w:vAlign w:val="center"/>
          </w:tcPr>
          <w:p w14:paraId="43030E18">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357,696,762.85</w:t>
            </w:r>
          </w:p>
        </w:tc>
        <w:tc>
          <w:tcPr>
            <w:tcW w:w="1468" w:type="pct"/>
            <w:shd w:val="clear" w:color="auto" w:fill="auto"/>
          </w:tcPr>
          <w:p w14:paraId="6740900C">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p>
        </w:tc>
      </w:tr>
    </w:tbl>
    <w:p w14:paraId="4D83B538">
      <w:pPr>
        <w:rPr>
          <w:rFonts w:hint="eastAsia" w:cstheme="minorBidi"/>
          <w:kern w:val="2"/>
          <w:szCs w:val="21"/>
        </w:rPr>
      </w:pPr>
    </w:p>
    <w:p w14:paraId="50CBF2AB">
      <w:pPr>
        <w:pStyle w:val="71"/>
        <w:numPr>
          <w:ilvl w:val="3"/>
          <w:numId w:val="124"/>
        </w:numPr>
        <w:ind w:left="426" w:hanging="426"/>
        <w:rPr>
          <w:rFonts w:hint="eastAsia"/>
        </w:rPr>
      </w:pPr>
      <w:bookmarkStart w:id="311" w:name="_Hlk153460290"/>
      <w:r>
        <w:rPr>
          <w:rFonts w:hint="eastAsia"/>
        </w:rPr>
        <w:t>采用成本计量模式的投资性房地产的减值测试情况</w:t>
      </w:r>
    </w:p>
    <w:sdt>
      <w:sdtPr>
        <w:alias w:val="是否适用：减值测试情况[双击切换]"/>
        <w:tag w:val="_GBC_373a9d68c3e14bb29f489d169fab52f2"/>
        <w:id w:val="227425596"/>
        <w:placeholder>
          <w:docPart w:val="GBC22222222222222222222222222222"/>
        </w:placeholder>
      </w:sdtPr>
      <w:sdtContent>
        <w:p w14:paraId="3B297558">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878809">
      <w:pPr>
        <w:snapToGrid w:val="0"/>
        <w:spacing w:line="240" w:lineRule="atLeast"/>
        <w:rPr>
          <w:rFonts w:hint="eastAsia"/>
          <w:b/>
          <w:szCs w:val="21"/>
        </w:rPr>
      </w:pPr>
    </w:p>
    <w:p w14:paraId="2A7A9DA8">
      <w:pPr>
        <w:pStyle w:val="72"/>
        <w:ind w:left="0" w:leftChars="0"/>
      </w:pPr>
      <w:r>
        <w:rPr>
          <w:rFonts w:hint="eastAsia"/>
        </w:rPr>
        <w:t>可收回金额按公允价值减去处置费用后的净额确定</w:t>
      </w:r>
    </w:p>
    <w:sdt>
      <w:sdtPr>
        <w:alias w:val="是否适用：可收回金额按公允价值减去处置费用后的净额确定[双击切换]"/>
        <w:tag w:val="_GBC_3be67b0087dd42c48b53abff6a26fc1d"/>
        <w:id w:val="1832708253"/>
        <w:placeholder>
          <w:docPart w:val="GBC22222222222222222222222222222"/>
        </w:placeholder>
      </w:sdtPr>
      <w:sdtContent>
        <w:p w14:paraId="2C58E43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C024600">
      <w:pPr>
        <w:rPr>
          <w:rFonts w:hint="eastAsia"/>
          <w:szCs w:val="21"/>
        </w:rPr>
        <w:sectPr>
          <w:pgSz w:w="11906" w:h="16838"/>
          <w:pgMar w:top="1440" w:right="1797" w:bottom="1525" w:left="1276" w:header="856" w:footer="992" w:gutter="0"/>
          <w:cols w:space="425" w:num="1"/>
          <w:docGrid w:linePitch="312" w:charSpace="0"/>
        </w:sectPr>
      </w:pPr>
    </w:p>
    <w:p w14:paraId="69381A59">
      <w:pPr>
        <w:pStyle w:val="72"/>
        <w:ind w:left="0" w:leftChars="0"/>
      </w:pPr>
      <w:r>
        <w:rPr>
          <w:rFonts w:hint="eastAsia"/>
        </w:rPr>
        <w:t>可收回金额按预计未来现金流量的现值确定</w:t>
      </w:r>
    </w:p>
    <w:sdt>
      <w:sdtPr>
        <w:rPr>
          <w:rFonts w:hint="eastAsia"/>
        </w:rPr>
        <w:alias w:val="是否适用：可收回金额按预计未来现金流量的现值确定[双击切换]"/>
        <w:tag w:val="_GBC_63c10c4a40934190a454e28fdd968fc0"/>
        <w:id w:val="804593967"/>
        <w:placeholder>
          <w:docPart w:val="GBC22222222222222222222222222222"/>
        </w:placeholder>
      </w:sdtPr>
      <w:sdtEndPr>
        <w:rPr>
          <w:rFonts w:hint="eastAsia"/>
        </w:rPr>
      </w:sdtEndPr>
      <w:sdtContent>
        <w:p w14:paraId="2857B8A7">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48539CDC">
      <w:pPr>
        <w:jc w:val="right"/>
        <w:rPr>
          <w:rFonts w:hint="eastAsia"/>
        </w:rPr>
      </w:pPr>
      <w:r>
        <w:rPr>
          <w:rFonts w:hint="eastAsia"/>
        </w:rPr>
        <w:t>单位：</w:t>
      </w:r>
      <w:sdt>
        <w:sdtPr>
          <w:rPr>
            <w:rFonts w:hint="eastAsia"/>
          </w:rPr>
          <w:alias w:val="单位：可收回金额按预计未来现金流量的现值确定"/>
          <w:tag w:val="_GBC_ed06081c1e764015a15350152b465b28"/>
          <w:id w:val="176833980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预计未来现金流量的现值确定"/>
          <w:tag w:val="_GBC_388b10c852194ca0bfb824a0f5c2ab81"/>
          <w:id w:val="11281200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1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701"/>
        <w:gridCol w:w="1872"/>
        <w:gridCol w:w="1789"/>
        <w:gridCol w:w="889"/>
        <w:gridCol w:w="2006"/>
        <w:gridCol w:w="2106"/>
        <w:gridCol w:w="1903"/>
      </w:tblGrid>
      <w:tr w14:paraId="45D0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83fdffae8ccd403f8cf9841593341130"/>
            <w:id w:val="98925607"/>
          </w:sdtPr>
          <w:sdtEndPr>
            <w:rPr>
              <w:rFonts w:ascii="Arial Narrow" w:hAnsi="Arial Narrow" w:eastAsiaTheme="minorEastAsia"/>
              <w:szCs w:val="21"/>
            </w:rPr>
          </w:sdtEndPr>
          <w:sdtContent>
            <w:tc>
              <w:tcPr>
                <w:tcW w:w="695" w:type="pct"/>
                <w:shd w:val="clear" w:color="auto" w:fill="auto"/>
                <w:vAlign w:val="center"/>
              </w:tcPr>
              <w:p w14:paraId="4AB5749F">
                <w:pPr>
                  <w:snapToGrid w:val="0"/>
                  <w:spacing w:line="240" w:lineRule="atLeast"/>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46713aeee61f43f88a66a9f327683544"/>
            <w:id w:val="988206967"/>
          </w:sdtPr>
          <w:sdtEndPr>
            <w:rPr>
              <w:rFonts w:ascii="Arial Narrow" w:hAnsi="Arial Narrow" w:eastAsiaTheme="minorEastAsia"/>
              <w:szCs w:val="21"/>
            </w:rPr>
          </w:sdtEndPr>
          <w:sdtContent>
            <w:tc>
              <w:tcPr>
                <w:tcW w:w="597" w:type="pct"/>
                <w:vAlign w:val="center"/>
              </w:tcPr>
              <w:p w14:paraId="2E47C34A">
                <w:pPr>
                  <w:snapToGrid w:val="0"/>
                  <w:spacing w:line="240" w:lineRule="atLeast"/>
                  <w:jc w:val="center"/>
                  <w:rPr>
                    <w:rFonts w:ascii="Arial Narrow" w:hAnsi="Arial Narrow" w:eastAsiaTheme="minorEastAsia"/>
                    <w:szCs w:val="21"/>
                  </w:rPr>
                </w:pPr>
                <w:r>
                  <w:rPr>
                    <w:rFonts w:ascii="Arial Narrow" w:hAnsi="Arial Narrow" w:eastAsiaTheme="minorEastAsia"/>
                    <w:szCs w:val="21"/>
                  </w:rPr>
                  <w:t>账面价值</w:t>
                </w:r>
              </w:p>
            </w:tc>
          </w:sdtContent>
        </w:sdt>
        <w:sdt>
          <w:sdtPr>
            <w:rPr>
              <w:rFonts w:ascii="Arial Narrow" w:hAnsi="Arial Narrow" w:eastAsiaTheme="minorEastAsia"/>
              <w:szCs w:val="21"/>
            </w:rPr>
            <w:tag w:val="_PLD_c209f0bc1b734a4e915d971a7a3fa164"/>
            <w:id w:val="1187176403"/>
          </w:sdtPr>
          <w:sdtEndPr>
            <w:rPr>
              <w:rFonts w:ascii="Arial Narrow" w:hAnsi="Arial Narrow" w:eastAsiaTheme="minorEastAsia"/>
              <w:szCs w:val="21"/>
            </w:rPr>
          </w:sdtEndPr>
          <w:sdtContent>
            <w:tc>
              <w:tcPr>
                <w:tcW w:w="657" w:type="pct"/>
                <w:vAlign w:val="center"/>
              </w:tcPr>
              <w:p w14:paraId="121BCB52">
                <w:pPr>
                  <w:snapToGrid w:val="0"/>
                  <w:spacing w:line="240" w:lineRule="atLeast"/>
                  <w:jc w:val="center"/>
                  <w:rPr>
                    <w:rFonts w:ascii="Arial Narrow" w:hAnsi="Arial Narrow" w:eastAsiaTheme="minorEastAsia"/>
                    <w:szCs w:val="21"/>
                  </w:rPr>
                </w:pPr>
                <w:r>
                  <w:rPr>
                    <w:rFonts w:ascii="Arial Narrow" w:hAnsi="Arial Narrow" w:eastAsiaTheme="minorEastAsia"/>
                    <w:szCs w:val="21"/>
                  </w:rPr>
                  <w:t>可收回金额</w:t>
                </w:r>
              </w:p>
            </w:tc>
          </w:sdtContent>
        </w:sdt>
        <w:sdt>
          <w:sdtPr>
            <w:rPr>
              <w:rFonts w:ascii="Arial Narrow" w:hAnsi="Arial Narrow" w:eastAsiaTheme="minorEastAsia"/>
              <w:szCs w:val="21"/>
            </w:rPr>
            <w:tag w:val="_PLD_6e93e92a9b8242848a3600775b7625da"/>
            <w:id w:val="215097249"/>
          </w:sdtPr>
          <w:sdtEndPr>
            <w:rPr>
              <w:rFonts w:ascii="Arial Narrow" w:hAnsi="Arial Narrow" w:eastAsiaTheme="minorEastAsia"/>
              <w:szCs w:val="21"/>
            </w:rPr>
          </w:sdtEndPr>
          <w:sdtContent>
            <w:tc>
              <w:tcPr>
                <w:tcW w:w="628" w:type="pct"/>
                <w:vAlign w:val="center"/>
              </w:tcPr>
              <w:p w14:paraId="4F53CFAC">
                <w:pPr>
                  <w:snapToGrid w:val="0"/>
                  <w:spacing w:line="240" w:lineRule="atLeast"/>
                  <w:jc w:val="center"/>
                  <w:rPr>
                    <w:rFonts w:ascii="Arial Narrow" w:hAnsi="Arial Narrow" w:eastAsiaTheme="minorEastAsia"/>
                    <w:szCs w:val="21"/>
                  </w:rPr>
                </w:pPr>
                <w:r>
                  <w:rPr>
                    <w:rFonts w:ascii="Arial Narrow" w:hAnsi="Arial Narrow" w:eastAsiaTheme="minorEastAsia"/>
                    <w:szCs w:val="21"/>
                  </w:rPr>
                  <w:t>减值金额</w:t>
                </w:r>
              </w:p>
            </w:tc>
          </w:sdtContent>
        </w:sdt>
        <w:sdt>
          <w:sdtPr>
            <w:rPr>
              <w:rFonts w:ascii="Arial Narrow" w:hAnsi="Arial Narrow" w:eastAsiaTheme="minorEastAsia"/>
              <w:szCs w:val="21"/>
            </w:rPr>
            <w:tag w:val="_PLD_f3c836fad64646b8b7d57d24b76a9218"/>
            <w:id w:val="-1477601086"/>
          </w:sdtPr>
          <w:sdtEndPr>
            <w:rPr>
              <w:rFonts w:ascii="Arial Narrow" w:hAnsi="Arial Narrow" w:eastAsiaTheme="minorEastAsia"/>
              <w:szCs w:val="21"/>
            </w:rPr>
          </w:sdtEndPr>
          <w:sdtContent>
            <w:tc>
              <w:tcPr>
                <w:tcW w:w="312" w:type="pct"/>
                <w:shd w:val="clear" w:color="auto" w:fill="auto"/>
                <w:vAlign w:val="center"/>
              </w:tcPr>
              <w:p w14:paraId="5D52CCE1">
                <w:pPr>
                  <w:snapToGrid w:val="0"/>
                  <w:spacing w:line="240" w:lineRule="atLeast"/>
                  <w:jc w:val="center"/>
                  <w:rPr>
                    <w:rFonts w:ascii="Arial Narrow" w:hAnsi="Arial Narrow" w:eastAsiaTheme="minorEastAsia"/>
                    <w:szCs w:val="21"/>
                  </w:rPr>
                </w:pPr>
                <w:r>
                  <w:rPr>
                    <w:rFonts w:ascii="Arial Narrow" w:hAnsi="Arial Narrow" w:eastAsiaTheme="minorEastAsia"/>
                    <w:szCs w:val="21"/>
                  </w:rPr>
                  <w:t>预测期的年限</w:t>
                </w:r>
              </w:p>
            </w:tc>
          </w:sdtContent>
        </w:sdt>
        <w:sdt>
          <w:sdtPr>
            <w:rPr>
              <w:rFonts w:ascii="Arial Narrow" w:hAnsi="Arial Narrow" w:eastAsiaTheme="minorEastAsia"/>
              <w:szCs w:val="21"/>
            </w:rPr>
            <w:tag w:val="_PLD_b25aba7928144d679ec40dcc12d12ce3"/>
            <w:id w:val="-1653055084"/>
          </w:sdtPr>
          <w:sdtEndPr>
            <w:rPr>
              <w:rFonts w:ascii="Arial Narrow" w:hAnsi="Arial Narrow" w:eastAsiaTheme="minorEastAsia"/>
              <w:szCs w:val="21"/>
            </w:rPr>
          </w:sdtEndPr>
          <w:sdtContent>
            <w:tc>
              <w:tcPr>
                <w:tcW w:w="704" w:type="pct"/>
                <w:shd w:val="clear" w:color="auto" w:fill="auto"/>
                <w:vAlign w:val="center"/>
              </w:tcPr>
              <w:p w14:paraId="4C8AB3F2">
                <w:pPr>
                  <w:snapToGrid w:val="0"/>
                  <w:spacing w:line="240" w:lineRule="atLeast"/>
                  <w:jc w:val="center"/>
                  <w:rPr>
                    <w:rFonts w:ascii="Arial Narrow" w:hAnsi="Arial Narrow" w:eastAsiaTheme="minorEastAsia"/>
                    <w:szCs w:val="21"/>
                  </w:rPr>
                </w:pPr>
                <w:r>
                  <w:rPr>
                    <w:rFonts w:ascii="Arial Narrow" w:hAnsi="Arial Narrow" w:eastAsiaTheme="minorEastAsia"/>
                    <w:szCs w:val="21"/>
                  </w:rPr>
                  <w:t>预测期的关键参数</w:t>
                </w:r>
              </w:p>
            </w:tc>
          </w:sdtContent>
        </w:sdt>
        <w:sdt>
          <w:sdtPr>
            <w:rPr>
              <w:rFonts w:ascii="Arial Narrow" w:hAnsi="Arial Narrow" w:eastAsiaTheme="minorEastAsia"/>
              <w:szCs w:val="21"/>
            </w:rPr>
            <w:tag w:val="_PLD_9c82f1411bc1494ab1f0639397395486"/>
            <w:id w:val="-1103797998"/>
          </w:sdtPr>
          <w:sdtEndPr>
            <w:rPr>
              <w:rFonts w:ascii="Arial Narrow" w:hAnsi="Arial Narrow" w:eastAsiaTheme="minorEastAsia"/>
              <w:szCs w:val="21"/>
            </w:rPr>
          </w:sdtEndPr>
          <w:sdtContent>
            <w:tc>
              <w:tcPr>
                <w:tcW w:w="739" w:type="pct"/>
                <w:shd w:val="clear" w:color="auto" w:fill="auto"/>
                <w:vAlign w:val="center"/>
              </w:tcPr>
              <w:p w14:paraId="00262D73">
                <w:pPr>
                  <w:snapToGrid w:val="0"/>
                  <w:spacing w:line="240" w:lineRule="atLeast"/>
                  <w:jc w:val="center"/>
                  <w:rPr>
                    <w:rFonts w:ascii="Arial Narrow" w:hAnsi="Arial Narrow" w:eastAsiaTheme="minorEastAsia"/>
                    <w:szCs w:val="21"/>
                  </w:rPr>
                </w:pPr>
                <w:r>
                  <w:rPr>
                    <w:rFonts w:ascii="Arial Narrow" w:hAnsi="Arial Narrow" w:eastAsiaTheme="minorEastAsia"/>
                    <w:szCs w:val="21"/>
                  </w:rPr>
                  <w:t>稳定期的关键参数</w:t>
                </w:r>
              </w:p>
            </w:tc>
          </w:sdtContent>
        </w:sdt>
        <w:sdt>
          <w:sdtPr>
            <w:rPr>
              <w:rFonts w:ascii="Arial Narrow" w:hAnsi="Arial Narrow" w:eastAsiaTheme="minorEastAsia"/>
              <w:szCs w:val="21"/>
            </w:rPr>
            <w:tag w:val="_PLD_1bc4109534fb4fe5b10b0924b37e0b63"/>
            <w:id w:val="1402566898"/>
          </w:sdtPr>
          <w:sdtEndPr>
            <w:rPr>
              <w:rFonts w:ascii="Arial Narrow" w:hAnsi="Arial Narrow" w:eastAsiaTheme="minorEastAsia"/>
              <w:szCs w:val="21"/>
            </w:rPr>
          </w:sdtEndPr>
          <w:sdtContent>
            <w:tc>
              <w:tcPr>
                <w:tcW w:w="668" w:type="pct"/>
                <w:shd w:val="clear" w:color="auto" w:fill="auto"/>
              </w:tcPr>
              <w:p w14:paraId="53AA42C8">
                <w:pPr>
                  <w:snapToGrid w:val="0"/>
                  <w:spacing w:line="240" w:lineRule="atLeast"/>
                  <w:jc w:val="center"/>
                  <w:rPr>
                    <w:rFonts w:ascii="Arial Narrow" w:hAnsi="Arial Narrow" w:eastAsiaTheme="minorEastAsia"/>
                    <w:b/>
                    <w:szCs w:val="21"/>
                  </w:rPr>
                </w:pPr>
                <w:r>
                  <w:rPr>
                    <w:rFonts w:ascii="Arial Narrow" w:hAnsi="Arial Narrow" w:eastAsiaTheme="minorEastAsia"/>
                    <w:szCs w:val="21"/>
                  </w:rPr>
                  <w:t>稳定期的关键参数的确定依据</w:t>
                </w:r>
              </w:p>
            </w:tc>
          </w:sdtContent>
        </w:sdt>
      </w:tr>
      <w:tr w14:paraId="354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shd w:val="clear" w:color="auto" w:fill="auto"/>
            <w:vAlign w:val="center"/>
          </w:tcPr>
          <w:p w14:paraId="794A2146">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重庆际华园项目</w:t>
            </w:r>
          </w:p>
        </w:tc>
        <w:tc>
          <w:tcPr>
            <w:tcW w:w="597" w:type="pct"/>
            <w:vAlign w:val="center"/>
          </w:tcPr>
          <w:p w14:paraId="2BEB753D">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192,070,408.25</w:t>
            </w:r>
          </w:p>
        </w:tc>
        <w:tc>
          <w:tcPr>
            <w:tcW w:w="657" w:type="pct"/>
            <w:vAlign w:val="center"/>
          </w:tcPr>
          <w:p w14:paraId="02FD73EA">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106,260,182.32</w:t>
            </w:r>
          </w:p>
        </w:tc>
        <w:tc>
          <w:tcPr>
            <w:tcW w:w="628" w:type="pct"/>
            <w:vAlign w:val="center"/>
          </w:tcPr>
          <w:p w14:paraId="505487D0">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85,810,225.93</w:t>
            </w:r>
          </w:p>
        </w:tc>
        <w:tc>
          <w:tcPr>
            <w:tcW w:w="312" w:type="pct"/>
            <w:shd w:val="clear" w:color="auto" w:fill="auto"/>
            <w:vAlign w:val="center"/>
          </w:tcPr>
          <w:p w14:paraId="55EB0C0F">
            <w:pPr>
              <w:snapToGrid w:val="0"/>
              <w:spacing w:line="240" w:lineRule="atLeast"/>
              <w:jc w:val="center"/>
              <w:rPr>
                <w:rFonts w:ascii="Arial Narrow" w:hAnsi="Arial Narrow" w:eastAsiaTheme="minorEastAsia"/>
                <w:szCs w:val="21"/>
                <w:highlight w:val="yellow"/>
              </w:rPr>
            </w:pPr>
            <w:r>
              <w:rPr>
                <w:rFonts w:ascii="Arial Narrow" w:hAnsi="Arial Narrow" w:eastAsiaTheme="minorEastAsia"/>
                <w:color w:val="000000"/>
                <w:szCs w:val="21"/>
              </w:rPr>
              <w:t>5年</w:t>
            </w:r>
          </w:p>
        </w:tc>
        <w:tc>
          <w:tcPr>
            <w:tcW w:w="704" w:type="pct"/>
            <w:shd w:val="clear" w:color="auto" w:fill="auto"/>
            <w:vAlign w:val="center"/>
          </w:tcPr>
          <w:p w14:paraId="353A6F98">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收入平均增长率7%；税前折现率6.68%</w:t>
            </w:r>
          </w:p>
        </w:tc>
        <w:tc>
          <w:tcPr>
            <w:tcW w:w="739" w:type="pct"/>
            <w:shd w:val="clear" w:color="auto" w:fill="auto"/>
            <w:vAlign w:val="center"/>
          </w:tcPr>
          <w:p w14:paraId="1DD7F363">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根据项目土地剩余使用期</w:t>
            </w:r>
            <w:r>
              <w:rPr>
                <w:rFonts w:hint="eastAsia" w:ascii="Arial Narrow" w:hAnsi="Arial Narrow" w:eastAsiaTheme="minorEastAsia"/>
                <w:color w:val="000000"/>
                <w:szCs w:val="21"/>
              </w:rPr>
              <w:t>确定稳定期年限</w:t>
            </w:r>
            <w:r>
              <w:rPr>
                <w:rFonts w:ascii="Arial Narrow" w:hAnsi="Arial Narrow" w:eastAsiaTheme="minorEastAsia"/>
                <w:color w:val="000000"/>
                <w:szCs w:val="21"/>
              </w:rPr>
              <w:t>；收入平均增长率5%；税前折现率6.68%</w:t>
            </w:r>
          </w:p>
        </w:tc>
        <w:tc>
          <w:tcPr>
            <w:tcW w:w="668" w:type="pct"/>
            <w:shd w:val="clear" w:color="auto" w:fill="auto"/>
            <w:vAlign w:val="center"/>
          </w:tcPr>
          <w:p w14:paraId="00A0D64A">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资产组组合过去业绩走势、对未来发展的规划及对市场的发展预期</w:t>
            </w:r>
          </w:p>
        </w:tc>
      </w:tr>
      <w:tr w14:paraId="448C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shd w:val="clear" w:color="auto" w:fill="auto"/>
            <w:vAlign w:val="center"/>
          </w:tcPr>
          <w:p w14:paraId="60BEE611">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井陉项目、抚宁项目投资性房地产</w:t>
            </w:r>
          </w:p>
        </w:tc>
        <w:tc>
          <w:tcPr>
            <w:tcW w:w="597" w:type="pct"/>
            <w:vAlign w:val="center"/>
          </w:tcPr>
          <w:p w14:paraId="168D1121">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188,423,036.75</w:t>
            </w:r>
          </w:p>
        </w:tc>
        <w:tc>
          <w:tcPr>
            <w:tcW w:w="657" w:type="pct"/>
            <w:vAlign w:val="center"/>
          </w:tcPr>
          <w:p w14:paraId="3CD6CCD8">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150,846,200.00</w:t>
            </w:r>
          </w:p>
        </w:tc>
        <w:tc>
          <w:tcPr>
            <w:tcW w:w="628" w:type="pct"/>
            <w:vAlign w:val="center"/>
          </w:tcPr>
          <w:p w14:paraId="177D5A9B">
            <w:pPr>
              <w:snapToGrid w:val="0"/>
              <w:spacing w:line="240" w:lineRule="atLeast"/>
              <w:jc w:val="right"/>
              <w:rPr>
                <w:rFonts w:ascii="Arial Narrow" w:hAnsi="Arial Narrow" w:eastAsiaTheme="minorEastAsia"/>
                <w:szCs w:val="21"/>
                <w:highlight w:val="yellow"/>
              </w:rPr>
            </w:pPr>
            <w:r>
              <w:rPr>
                <w:rFonts w:ascii="Arial Narrow" w:hAnsi="Arial Narrow" w:eastAsiaTheme="minorEastAsia"/>
                <w:color w:val="000000"/>
                <w:szCs w:val="21"/>
              </w:rPr>
              <w:t>37,576,836.75</w:t>
            </w:r>
          </w:p>
        </w:tc>
        <w:tc>
          <w:tcPr>
            <w:tcW w:w="312" w:type="pct"/>
            <w:shd w:val="clear" w:color="auto" w:fill="auto"/>
            <w:vAlign w:val="center"/>
          </w:tcPr>
          <w:p w14:paraId="3F09A182">
            <w:pPr>
              <w:snapToGrid w:val="0"/>
              <w:spacing w:line="240" w:lineRule="atLeast"/>
              <w:jc w:val="center"/>
              <w:rPr>
                <w:rFonts w:ascii="Arial Narrow" w:hAnsi="Arial Narrow" w:eastAsiaTheme="minorEastAsia"/>
                <w:szCs w:val="21"/>
                <w:highlight w:val="yellow"/>
              </w:rPr>
            </w:pPr>
            <w:r>
              <w:rPr>
                <w:rFonts w:ascii="Arial Narrow" w:hAnsi="Arial Narrow" w:eastAsiaTheme="minorEastAsia"/>
                <w:color w:val="000000"/>
                <w:szCs w:val="21"/>
              </w:rPr>
              <w:t>8年</w:t>
            </w:r>
          </w:p>
        </w:tc>
        <w:tc>
          <w:tcPr>
            <w:tcW w:w="704" w:type="pct"/>
            <w:shd w:val="clear" w:color="auto" w:fill="auto"/>
            <w:vAlign w:val="center"/>
          </w:tcPr>
          <w:p w14:paraId="6F85D0B7">
            <w:pPr>
              <w:snapToGrid w:val="0"/>
              <w:spacing w:line="240" w:lineRule="atLeast"/>
              <w:jc w:val="both"/>
              <w:rPr>
                <w:rFonts w:ascii="Arial Narrow" w:hAnsi="Arial Narrow" w:eastAsiaTheme="minorEastAsia"/>
                <w:szCs w:val="21"/>
                <w:highlight w:val="yellow"/>
              </w:rPr>
            </w:pPr>
            <w:r>
              <w:rPr>
                <w:rFonts w:hint="eastAsia" w:ascii="Arial Narrow" w:hAnsi="Arial Narrow" w:eastAsiaTheme="minorEastAsia"/>
                <w:color w:val="000000"/>
                <w:szCs w:val="21"/>
              </w:rPr>
              <w:t>收入：</w:t>
            </w:r>
            <w:r>
              <w:rPr>
                <w:rFonts w:ascii="Arial Narrow" w:hAnsi="Arial Narrow" w:eastAsiaTheme="minorEastAsia"/>
                <w:color w:val="000000"/>
                <w:szCs w:val="21"/>
              </w:rPr>
              <w:t>租约期内房产按照现有租约规定的租金标准计算，对于租约期外的租金，采用市场法估算房产客观租金；税前折现率7%</w:t>
            </w:r>
          </w:p>
        </w:tc>
        <w:tc>
          <w:tcPr>
            <w:tcW w:w="739" w:type="pct"/>
            <w:shd w:val="clear" w:color="auto" w:fill="auto"/>
            <w:vAlign w:val="center"/>
          </w:tcPr>
          <w:p w14:paraId="7BA4EA2C">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根据房产证及不动产权证上的到期日确定稳定期年限；年租金增长率为2%；税前折现率7%</w:t>
            </w:r>
          </w:p>
        </w:tc>
        <w:tc>
          <w:tcPr>
            <w:tcW w:w="668" w:type="pct"/>
            <w:shd w:val="clear" w:color="auto" w:fill="auto"/>
            <w:vAlign w:val="center"/>
          </w:tcPr>
          <w:p w14:paraId="00B89732">
            <w:pPr>
              <w:snapToGrid w:val="0"/>
              <w:spacing w:line="240" w:lineRule="atLeast"/>
              <w:jc w:val="both"/>
              <w:rPr>
                <w:rFonts w:ascii="Arial Narrow" w:hAnsi="Arial Narrow" w:eastAsiaTheme="minorEastAsia"/>
                <w:szCs w:val="21"/>
                <w:highlight w:val="yellow"/>
              </w:rPr>
            </w:pPr>
            <w:r>
              <w:rPr>
                <w:rFonts w:ascii="Arial Narrow" w:hAnsi="Arial Narrow" w:eastAsiaTheme="minorEastAsia"/>
                <w:color w:val="000000"/>
                <w:szCs w:val="21"/>
              </w:rPr>
              <w:t>租约期内房产按照现有租约规定的租金标准计算，对于租约期外的租金，采用市场法估算委估房产客观租金</w:t>
            </w:r>
          </w:p>
        </w:tc>
      </w:tr>
      <w:tr w14:paraId="1593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shd w:val="clear" w:color="auto" w:fill="auto"/>
            <w:vAlign w:val="center"/>
          </w:tcPr>
          <w:p w14:paraId="6F6D60CE">
            <w:pPr>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tc>
          <w:tcPr>
            <w:tcW w:w="597" w:type="pct"/>
            <w:vAlign w:val="center"/>
          </w:tcPr>
          <w:p w14:paraId="5227ABC8">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380,493,445.00</w:t>
            </w:r>
          </w:p>
        </w:tc>
        <w:tc>
          <w:tcPr>
            <w:tcW w:w="657" w:type="pct"/>
            <w:vAlign w:val="center"/>
          </w:tcPr>
          <w:p w14:paraId="56F5F5B1">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257,106,382.32</w:t>
            </w:r>
          </w:p>
        </w:tc>
        <w:tc>
          <w:tcPr>
            <w:tcW w:w="628" w:type="pct"/>
            <w:vAlign w:val="center"/>
          </w:tcPr>
          <w:p w14:paraId="34DF5F91">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123,387,062.68</w:t>
            </w:r>
          </w:p>
        </w:tc>
        <w:tc>
          <w:tcPr>
            <w:tcW w:w="312" w:type="pct"/>
            <w:shd w:val="clear" w:color="auto" w:fill="auto"/>
            <w:vAlign w:val="center"/>
          </w:tcPr>
          <w:p w14:paraId="78621676">
            <w:pPr>
              <w:snapToGrid w:val="0"/>
              <w:spacing w:line="240" w:lineRule="atLeast"/>
              <w:jc w:val="center"/>
              <w:rPr>
                <w:rFonts w:ascii="Arial Narrow" w:hAnsi="Arial Narrow" w:eastAsiaTheme="minorEastAsia"/>
                <w:szCs w:val="21"/>
              </w:rPr>
            </w:pPr>
            <w:r>
              <w:rPr>
                <w:rFonts w:ascii="Arial Narrow" w:hAnsi="Arial Narrow" w:eastAsiaTheme="minorEastAsia"/>
                <w:szCs w:val="21"/>
              </w:rPr>
              <w:t>/</w:t>
            </w:r>
          </w:p>
        </w:tc>
        <w:tc>
          <w:tcPr>
            <w:tcW w:w="704" w:type="pct"/>
            <w:shd w:val="clear" w:color="auto" w:fill="auto"/>
            <w:vAlign w:val="center"/>
          </w:tcPr>
          <w:p w14:paraId="6604B66F">
            <w:pPr>
              <w:snapToGrid w:val="0"/>
              <w:spacing w:line="240" w:lineRule="atLeast"/>
              <w:jc w:val="center"/>
              <w:rPr>
                <w:rFonts w:ascii="Arial Narrow" w:hAnsi="Arial Narrow" w:eastAsiaTheme="minorEastAsia"/>
                <w:szCs w:val="21"/>
              </w:rPr>
            </w:pPr>
            <w:r>
              <w:rPr>
                <w:rFonts w:ascii="Arial Narrow" w:hAnsi="Arial Narrow" w:eastAsiaTheme="minorEastAsia"/>
                <w:szCs w:val="21"/>
              </w:rPr>
              <w:t>/</w:t>
            </w:r>
          </w:p>
        </w:tc>
        <w:tc>
          <w:tcPr>
            <w:tcW w:w="739" w:type="pct"/>
            <w:shd w:val="clear" w:color="auto" w:fill="auto"/>
            <w:vAlign w:val="center"/>
          </w:tcPr>
          <w:p w14:paraId="5DD7AD0B">
            <w:pPr>
              <w:snapToGrid w:val="0"/>
              <w:spacing w:line="240" w:lineRule="atLeast"/>
              <w:jc w:val="center"/>
              <w:rPr>
                <w:rFonts w:ascii="Arial Narrow" w:hAnsi="Arial Narrow" w:eastAsiaTheme="minorEastAsia"/>
                <w:szCs w:val="21"/>
              </w:rPr>
            </w:pPr>
            <w:r>
              <w:rPr>
                <w:rFonts w:ascii="Arial Narrow" w:hAnsi="Arial Narrow" w:eastAsiaTheme="minorEastAsia"/>
                <w:szCs w:val="21"/>
              </w:rPr>
              <w:t>/</w:t>
            </w:r>
          </w:p>
        </w:tc>
        <w:tc>
          <w:tcPr>
            <w:tcW w:w="668" w:type="pct"/>
            <w:shd w:val="clear" w:color="auto" w:fill="auto"/>
            <w:vAlign w:val="center"/>
          </w:tcPr>
          <w:p w14:paraId="36166E57">
            <w:pPr>
              <w:snapToGrid w:val="0"/>
              <w:spacing w:line="240" w:lineRule="atLeast"/>
              <w:jc w:val="center"/>
              <w:rPr>
                <w:rFonts w:ascii="Arial Narrow" w:hAnsi="Arial Narrow" w:eastAsiaTheme="minorEastAsia"/>
                <w:szCs w:val="21"/>
              </w:rPr>
            </w:pPr>
            <w:r>
              <w:rPr>
                <w:rFonts w:ascii="Arial Narrow" w:hAnsi="Arial Narrow" w:eastAsiaTheme="minorEastAsia"/>
                <w:szCs w:val="21"/>
              </w:rPr>
              <w:t>/</w:t>
            </w:r>
          </w:p>
        </w:tc>
      </w:tr>
    </w:tbl>
    <w:p w14:paraId="63910184">
      <w:pPr>
        <w:rPr>
          <w:rFonts w:hint="eastAsia"/>
        </w:rPr>
      </w:pPr>
    </w:p>
    <w:p w14:paraId="4CF411F9">
      <w:pPr>
        <w:pStyle w:val="72"/>
        <w:ind w:left="0" w:leftChars="0"/>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635e9b1ccab8440eb0212cfebcd31b38"/>
        <w:id w:val="662353110"/>
        <w:placeholder>
          <w:docPart w:val="GBC22222222222222222222222222222"/>
        </w:placeholder>
      </w:sdtPr>
      <w:sdtEndPr>
        <w:rPr>
          <w:highlight w:val="yellow"/>
        </w:rPr>
      </w:sdtEndPr>
      <w:sdtContent>
        <w:p w14:paraId="3B625D4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7A10179">
      <w:pPr>
        <w:snapToGrid w:val="0"/>
        <w:spacing w:line="240" w:lineRule="atLeast"/>
        <w:rPr>
          <w:rFonts w:hint="eastAsia"/>
          <w:szCs w:val="21"/>
        </w:rPr>
      </w:pPr>
    </w:p>
    <w:p w14:paraId="06C25DE5">
      <w:pPr>
        <w:pStyle w:val="72"/>
        <w:ind w:left="0" w:leftChars="0"/>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f12cdcc96dbc4c67858aed4e0f2967af"/>
        <w:id w:val="-547070557"/>
        <w:placeholder>
          <w:docPart w:val="GBC22222222222222222222222222222"/>
        </w:placeholder>
      </w:sdtPr>
      <w:sdtContent>
        <w:p w14:paraId="26E3019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sdt>
      <w:sdtPr>
        <w:alias w:val="公司以前年度减值测试采用信息与当年实际情况明显不一致的差异原因"/>
        <w:tag w:val="_GBC_e791562bae7b4251a42dbe6aca545e6f"/>
        <w:id w:val="2074532491"/>
        <w:placeholder>
          <w:docPart w:val="622D94878E3B4679AB658FA0598BD4F0"/>
        </w:placeholder>
      </w:sdtPr>
      <w:sdtEndPr>
        <w:rPr>
          <w:highlight w:val="yellow"/>
        </w:rPr>
      </w:sdtEndPr>
      <w:sdtContent>
        <w:p w14:paraId="6663C94F">
          <w:pPr>
            <w:ind w:firstLine="420" w:firstLineChars="200"/>
            <w:rPr>
              <w:rFonts w:hint="eastAsia"/>
            </w:rPr>
          </w:pPr>
          <w:r>
            <w:rPr>
              <w:rFonts w:hint="eastAsia"/>
            </w:rPr>
            <w:t>重庆际华园项目：2023年是委托新兴际华资产经营管理有限公司盘活的第一个完整年度，2023年末评估是基于对际华园专业化盘活和持续经营进行的评估。2024年公司在综合研判商业地产未来发展趋势，认为际华园项目扭亏难度较大，权衡继续投入的风险和聚焦主业发展的资金需求，决定终止际华园项目，并择机退出房地产项目，上述原因导致际华园项目预测假设及关键参数发生变化。</w:t>
          </w:r>
        </w:p>
      </w:sdtContent>
    </w:sdt>
    <w:p w14:paraId="6DC1A55F">
      <w:pPr>
        <w:snapToGrid w:val="0"/>
        <w:spacing w:line="240" w:lineRule="atLeast"/>
        <w:rPr>
          <w:rFonts w:hint="eastAsia"/>
          <w:szCs w:val="21"/>
        </w:rPr>
      </w:pPr>
    </w:p>
    <w:bookmarkEnd w:id="311"/>
    <w:p w14:paraId="38F21656">
      <w:pPr>
        <w:rPr>
          <w:rFonts w:hint="eastAsia"/>
          <w:szCs w:val="21"/>
        </w:rPr>
      </w:pPr>
      <w:bookmarkStart w:id="312" w:name="_Hlk152860822"/>
      <w:r>
        <w:rPr>
          <w:rFonts w:hint="eastAsia"/>
          <w:szCs w:val="21"/>
        </w:rPr>
        <w:t>其他说明：</w:t>
      </w:r>
    </w:p>
    <w:sdt>
      <w:sdtPr>
        <w:rPr>
          <w:szCs w:val="21"/>
        </w:rPr>
        <w:alias w:val="是否适用：投资性房地产的说明[双击切换]"/>
        <w:tag w:val="_GBC_06b6501d8ce04b8993205409ee63cc68"/>
        <w:id w:val="-1877543316"/>
        <w:placeholder>
          <w:docPart w:val="GBC22222222222222222222222222222"/>
        </w:placeholder>
      </w:sdtPr>
      <w:sdtEndPr>
        <w:rPr>
          <w:szCs w:val="21"/>
        </w:rPr>
      </w:sdtEndPr>
      <w:sdtContent>
        <w:p w14:paraId="20755E8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C546936">
      <w:pPr>
        <w:rPr>
          <w:rFonts w:hint="eastAsia" w:cstheme="minorBidi"/>
          <w:kern w:val="2"/>
          <w:szCs w:val="21"/>
        </w:rPr>
        <w:sectPr>
          <w:pgSz w:w="16838" w:h="11906" w:orient="landscape"/>
          <w:pgMar w:top="1276" w:right="1440" w:bottom="1797" w:left="1525" w:header="856" w:footer="992" w:gutter="0"/>
          <w:cols w:space="425" w:num="1"/>
          <w:docGrid w:linePitch="312" w:charSpace="0"/>
        </w:sectPr>
      </w:pPr>
    </w:p>
    <w:p w14:paraId="51B8C2CD">
      <w:pPr>
        <w:rPr>
          <w:rFonts w:hint="eastAsia" w:cstheme="minorBidi"/>
          <w:kern w:val="2"/>
          <w:szCs w:val="21"/>
        </w:rPr>
      </w:pPr>
    </w:p>
    <w:bookmarkEnd w:id="312"/>
    <w:p w14:paraId="3816172D">
      <w:pPr>
        <w:pStyle w:val="70"/>
        <w:numPr>
          <w:ilvl w:val="0"/>
          <w:numId w:val="109"/>
        </w:numPr>
        <w:rPr>
          <w:szCs w:val="21"/>
        </w:rPr>
      </w:pPr>
      <w:r>
        <w:rPr>
          <w:szCs w:val="21"/>
        </w:rPr>
        <w:t>固定资产</w:t>
      </w:r>
    </w:p>
    <w:p w14:paraId="4283F7FB">
      <w:pPr>
        <w:pStyle w:val="71"/>
        <w:rPr>
          <w:rFonts w:hint="eastAsia"/>
        </w:rPr>
      </w:pPr>
      <w:bookmarkStart w:id="313" w:name="_Hlk532907583"/>
      <w:r>
        <w:rPr>
          <w:rFonts w:hint="eastAsia"/>
        </w:rPr>
        <w:t>项目列示</w:t>
      </w:r>
    </w:p>
    <w:sdt>
      <w:sdtPr>
        <w:alias w:val="是否适用：固定资产分类列示[双击切换]"/>
        <w:tag w:val="_GBC_aa56cf68790e4b9d866b3ea7d6d8073d"/>
        <w:id w:val="45429032"/>
        <w:placeholder>
          <w:docPart w:val="GBC22222222222222222222222222222"/>
        </w:placeholder>
      </w:sdtPr>
      <w:sdtContent>
        <w:p w14:paraId="5BCD41D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636690">
      <w:pPr>
        <w:jc w:val="right"/>
        <w:rPr>
          <w:rFonts w:hint="eastAsia"/>
          <w:szCs w:val="21"/>
        </w:rPr>
      </w:pPr>
      <w:r>
        <w:rPr>
          <w:rFonts w:hint="eastAsia"/>
          <w:szCs w:val="21"/>
        </w:rPr>
        <w:t>单位：</w:t>
      </w:r>
      <w:sdt>
        <w:sdtPr>
          <w:rPr>
            <w:rFonts w:hint="eastAsia"/>
            <w:szCs w:val="21"/>
          </w:rPr>
          <w:alias w:val="单位：固定资产分类列示"/>
          <w:tag w:val="_GBC_857b5f6755c84b5aa235351580358065"/>
          <w:id w:val="2887166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726c882708c540a4a7832f00029fe5d4"/>
          <w:id w:val="-7874368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3D6C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1c8e68343ee4b7fa02f5422a7fad5c0"/>
            <w:id w:val="-123936645"/>
          </w:sdtPr>
          <w:sdtContent>
            <w:tc>
              <w:tcPr>
                <w:tcW w:w="1828" w:type="pct"/>
                <w:shd w:val="clear" w:color="auto" w:fill="auto"/>
                <w:vAlign w:val="center"/>
              </w:tcPr>
              <w:p w14:paraId="3C628884">
                <w:pPr>
                  <w:tabs>
                    <w:tab w:val="right" w:pos="3690"/>
                    <w:tab w:val="right" w:pos="5130"/>
                    <w:tab w:val="right" w:pos="6030"/>
                    <w:tab w:val="right" w:pos="7650"/>
                    <w:tab w:val="right" w:pos="9270"/>
                  </w:tabs>
                  <w:adjustRightInd w:val="0"/>
                  <w:snapToGrid w:val="0"/>
                  <w:jc w:val="center"/>
                  <w:rPr>
                    <w:rFonts w:hint="eastAsia"/>
                    <w:szCs w:val="21"/>
                  </w:rPr>
                </w:pPr>
                <w:r>
                  <w:rPr>
                    <w:rFonts w:hint="eastAsia"/>
                    <w:szCs w:val="21"/>
                  </w:rPr>
                  <w:t>项目</w:t>
                </w:r>
              </w:p>
            </w:tc>
          </w:sdtContent>
        </w:sdt>
        <w:sdt>
          <w:sdtPr>
            <w:tag w:val="_PLD_a7d9e039146b4c3ab8e71ba63a4ca55d"/>
            <w:id w:val="1190953668"/>
          </w:sdtPr>
          <w:sdtContent>
            <w:tc>
              <w:tcPr>
                <w:tcW w:w="1582" w:type="pct"/>
                <w:shd w:val="clear" w:color="auto" w:fill="auto"/>
                <w:vAlign w:val="center"/>
              </w:tcPr>
              <w:p w14:paraId="2B1C0081">
                <w:pPr>
                  <w:jc w:val="center"/>
                  <w:rPr>
                    <w:rFonts w:hint="eastAsia"/>
                    <w:szCs w:val="21"/>
                  </w:rPr>
                </w:pPr>
                <w:r>
                  <w:rPr>
                    <w:rFonts w:hint="eastAsia"/>
                    <w:szCs w:val="21"/>
                  </w:rPr>
                  <w:t>期末余额</w:t>
                </w:r>
              </w:p>
            </w:tc>
          </w:sdtContent>
        </w:sdt>
        <w:sdt>
          <w:sdtPr>
            <w:tag w:val="_PLD_a075f0130f1f4334b8370490adf71764"/>
            <w:id w:val="-454255286"/>
          </w:sdtPr>
          <w:sdtContent>
            <w:tc>
              <w:tcPr>
                <w:tcW w:w="1590" w:type="pct"/>
                <w:shd w:val="clear" w:color="auto" w:fill="auto"/>
                <w:vAlign w:val="center"/>
              </w:tcPr>
              <w:p w14:paraId="6C4C1274">
                <w:pPr>
                  <w:jc w:val="center"/>
                  <w:rPr>
                    <w:rFonts w:hint="eastAsia"/>
                    <w:szCs w:val="21"/>
                  </w:rPr>
                </w:pPr>
                <w:r>
                  <w:rPr>
                    <w:rFonts w:hint="eastAsia"/>
                    <w:szCs w:val="21"/>
                  </w:rPr>
                  <w:t>期初余额</w:t>
                </w:r>
              </w:p>
            </w:tc>
          </w:sdtContent>
        </w:sdt>
      </w:tr>
      <w:tr w14:paraId="693B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12BA2B80">
            <w:pPr>
              <w:tabs>
                <w:tab w:val="right" w:pos="3690"/>
                <w:tab w:val="right" w:pos="5130"/>
                <w:tab w:val="right" w:pos="6030"/>
                <w:tab w:val="right" w:pos="7650"/>
                <w:tab w:val="right" w:pos="9270"/>
              </w:tabs>
              <w:adjustRightInd w:val="0"/>
              <w:snapToGrid w:val="0"/>
              <w:rPr>
                <w:rFonts w:hint="eastAsia"/>
                <w:szCs w:val="21"/>
              </w:rPr>
            </w:pPr>
            <w:r>
              <w:rPr>
                <w:rFonts w:hint="eastAsia"/>
                <w:szCs w:val="21"/>
              </w:rPr>
              <w:t>固定资产</w:t>
            </w:r>
          </w:p>
        </w:tc>
        <w:tc>
          <w:tcPr>
            <w:tcW w:w="1582" w:type="pct"/>
            <w:shd w:val="clear" w:color="auto" w:fill="auto"/>
            <w:vAlign w:val="bottom"/>
          </w:tcPr>
          <w:p w14:paraId="0B23888C">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4,015,619,946.00</w:t>
            </w:r>
          </w:p>
        </w:tc>
        <w:tc>
          <w:tcPr>
            <w:tcW w:w="1590" w:type="pct"/>
            <w:shd w:val="clear" w:color="auto" w:fill="auto"/>
            <w:vAlign w:val="bottom"/>
          </w:tcPr>
          <w:p w14:paraId="6D3A1B6E">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3,755,523,046.47</w:t>
            </w:r>
          </w:p>
        </w:tc>
      </w:tr>
      <w:tr w14:paraId="7971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vAlign w:val="center"/>
          </w:tcPr>
          <w:p w14:paraId="6A17CFE2">
            <w:pPr>
              <w:tabs>
                <w:tab w:val="right" w:pos="3690"/>
                <w:tab w:val="right" w:pos="5130"/>
                <w:tab w:val="right" w:pos="6030"/>
                <w:tab w:val="right" w:pos="7650"/>
                <w:tab w:val="right" w:pos="9270"/>
              </w:tabs>
              <w:adjustRightInd w:val="0"/>
              <w:snapToGrid w:val="0"/>
              <w:jc w:val="center"/>
              <w:rPr>
                <w:rFonts w:hint="eastAsia"/>
                <w:szCs w:val="21"/>
              </w:rPr>
            </w:pPr>
            <w:r>
              <w:rPr>
                <w:rFonts w:hint="eastAsia"/>
                <w:szCs w:val="21"/>
              </w:rPr>
              <w:t>合计</w:t>
            </w:r>
          </w:p>
        </w:tc>
        <w:tc>
          <w:tcPr>
            <w:tcW w:w="1582" w:type="pct"/>
            <w:shd w:val="clear" w:color="auto" w:fill="auto"/>
            <w:vAlign w:val="bottom"/>
          </w:tcPr>
          <w:p w14:paraId="2E8F010C">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4,015,619,946.00</w:t>
            </w:r>
          </w:p>
        </w:tc>
        <w:tc>
          <w:tcPr>
            <w:tcW w:w="1590" w:type="pct"/>
            <w:shd w:val="clear" w:color="auto" w:fill="auto"/>
            <w:vAlign w:val="bottom"/>
          </w:tcPr>
          <w:p w14:paraId="3F27EB12">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3,755,523,046.47</w:t>
            </w:r>
          </w:p>
        </w:tc>
      </w:tr>
    </w:tbl>
    <w:p w14:paraId="24178620">
      <w:pPr>
        <w:rPr>
          <w:rFonts w:hint="eastAsia"/>
          <w:b/>
        </w:rPr>
      </w:pPr>
    </w:p>
    <w:bookmarkEnd w:id="313"/>
    <w:p w14:paraId="35814262">
      <w:pPr>
        <w:rPr>
          <w:rFonts w:hint="eastAsia"/>
          <w:szCs w:val="21"/>
        </w:rPr>
      </w:pPr>
      <w:r>
        <w:rPr>
          <w:rFonts w:hint="eastAsia"/>
          <w:szCs w:val="21"/>
        </w:rPr>
        <w:t>其他说明：</w:t>
      </w:r>
    </w:p>
    <w:sdt>
      <w:sdtPr>
        <w:rPr>
          <w:szCs w:val="21"/>
        </w:rPr>
        <w:alias w:val="是否适用：固定资产分类列示其他说明[双击切换]"/>
        <w:tag w:val="_GBC_242c272ba3a1435aacea1f45ade5a2e0"/>
        <w:id w:val="-1943222385"/>
        <w:placeholder>
          <w:docPart w:val="GBC22222222222222222222222222222"/>
        </w:placeholder>
      </w:sdtPr>
      <w:sdtEndPr>
        <w:rPr>
          <w:szCs w:val="21"/>
        </w:rPr>
      </w:sdtEndPr>
      <w:sdtContent>
        <w:p w14:paraId="3510A13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A0666B1">
      <w:pPr>
        <w:rPr>
          <w:rFonts w:hint="eastAsia"/>
          <w:szCs w:val="21"/>
        </w:rPr>
      </w:pPr>
    </w:p>
    <w:p w14:paraId="429E83B8">
      <w:pPr>
        <w:pStyle w:val="71"/>
        <w:ind w:left="360" w:hanging="360"/>
        <w:rPr>
          <w:rFonts w:hint="eastAsia"/>
        </w:rPr>
      </w:pPr>
      <w:r>
        <w:rPr>
          <w:rFonts w:hint="eastAsia"/>
        </w:rPr>
        <w:t>固定资产</w:t>
      </w:r>
    </w:p>
    <w:p w14:paraId="56300781">
      <w:pPr>
        <w:pStyle w:val="72"/>
        <w:numPr>
          <w:ilvl w:val="0"/>
          <w:numId w:val="125"/>
        </w:numPr>
        <w:ind w:leftChars="0"/>
      </w:pPr>
      <w:r>
        <w:rPr>
          <w:rFonts w:hint="eastAsia"/>
        </w:rPr>
        <w:t>固定资产情况</w:t>
      </w:r>
    </w:p>
    <w:sdt>
      <w:sdtPr>
        <w:alias w:val="是否适用：固定资产情况[双击切换]"/>
        <w:tag w:val="_GBC_a44afb7019ae43b7a273970cf76154a3"/>
        <w:id w:val="611871146"/>
        <w:placeholder>
          <w:docPart w:val="GBC22222222222222222222222222222"/>
        </w:placeholder>
      </w:sdtPr>
      <w:sdtContent>
        <w:p w14:paraId="0B9CBBA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D7BCB4">
      <w:pPr>
        <w:autoSpaceDE w:val="0"/>
        <w:autoSpaceDN w:val="0"/>
        <w:adjustRightInd w:val="0"/>
        <w:jc w:val="right"/>
        <w:rPr>
          <w:rFonts w:hint="eastAsia"/>
          <w:szCs w:val="21"/>
        </w:rPr>
      </w:pPr>
      <w:r>
        <w:rPr>
          <w:rFonts w:hint="eastAsia"/>
          <w:szCs w:val="21"/>
        </w:rPr>
        <w:t>单位：</w:t>
      </w:r>
      <w:sdt>
        <w:sdtPr>
          <w:rPr>
            <w:rFonts w:hint="eastAsia"/>
            <w:szCs w:val="21"/>
          </w:rPr>
          <w:alias w:val="单位：财务附注：固定资产情况"/>
          <w:tag w:val="_GBC_6aff6dff3e7c47e2891bcccce5ef5b8c"/>
          <w:id w:val="-3238241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1226116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839"/>
        <w:gridCol w:w="1419"/>
        <w:gridCol w:w="1408"/>
        <w:gridCol w:w="1172"/>
        <w:gridCol w:w="1422"/>
        <w:gridCol w:w="1563"/>
      </w:tblGrid>
      <w:tr w14:paraId="5A93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sz w:val="18"/>
              <w:szCs w:val="18"/>
            </w:rPr>
            <w:tag w:val="_PLD_0431b88b9ff14ebb90e5715c273e1c1d"/>
            <w:id w:val="764344773"/>
          </w:sdtPr>
          <w:sdtEndPr>
            <w:rPr>
              <w:sz w:val="18"/>
              <w:szCs w:val="18"/>
            </w:rPr>
          </w:sdtEndPr>
          <w:sdtContent>
            <w:tc>
              <w:tcPr>
                <w:tcW w:w="1042" w:type="pct"/>
                <w:shd w:val="clear" w:color="auto" w:fill="auto"/>
                <w:vAlign w:val="center"/>
              </w:tcPr>
              <w:p w14:paraId="6D6F005B">
                <w:pPr>
                  <w:jc w:val="center"/>
                  <w:rPr>
                    <w:rFonts w:hint="eastAsia"/>
                    <w:sz w:val="18"/>
                    <w:szCs w:val="18"/>
                  </w:rPr>
                </w:pPr>
                <w:r>
                  <w:rPr>
                    <w:rFonts w:hint="eastAsia"/>
                    <w:sz w:val="18"/>
                    <w:szCs w:val="18"/>
                  </w:rPr>
                  <w:t>项目</w:t>
                </w:r>
              </w:p>
            </w:tc>
          </w:sdtContent>
        </w:sdt>
        <w:sdt>
          <w:sdtPr>
            <w:rPr>
              <w:rFonts w:hint="eastAsia"/>
              <w:sz w:val="18"/>
              <w:szCs w:val="18"/>
            </w:rPr>
            <w:alias w:val="固定资产情况明细-项目名称"/>
            <w:tag w:val="_GBC_d421638fcfb34bbba0e548b4cb719a06"/>
            <w:id w:val="1828014511"/>
            <w:text/>
          </w:sdtPr>
          <w:sdtEndPr>
            <w:rPr>
              <w:rFonts w:hint="eastAsia"/>
              <w:sz w:val="18"/>
              <w:szCs w:val="18"/>
            </w:rPr>
          </w:sdtEndPr>
          <w:sdtContent>
            <w:tc>
              <w:tcPr>
                <w:tcW w:w="804" w:type="pct"/>
                <w:shd w:val="clear" w:color="auto" w:fill="auto"/>
                <w:vAlign w:val="center"/>
              </w:tcPr>
              <w:p w14:paraId="566DA163">
                <w:pPr>
                  <w:jc w:val="center"/>
                  <w:rPr>
                    <w:rFonts w:hint="eastAsia"/>
                    <w:sz w:val="18"/>
                    <w:szCs w:val="18"/>
                  </w:rPr>
                </w:pPr>
                <w:r>
                  <w:rPr>
                    <w:rFonts w:hint="eastAsia"/>
                    <w:sz w:val="18"/>
                    <w:szCs w:val="18"/>
                  </w:rPr>
                  <w:t>房屋及建筑物</w:t>
                </w:r>
              </w:p>
            </w:tc>
          </w:sdtContent>
        </w:sdt>
        <w:sdt>
          <w:sdtPr>
            <w:rPr>
              <w:rFonts w:hint="eastAsia"/>
              <w:sz w:val="18"/>
              <w:szCs w:val="18"/>
            </w:rPr>
            <w:alias w:val="固定资产情况明细-项目名称"/>
            <w:tag w:val="_GBC_d421638fcfb34bbba0e548b4cb719a06"/>
            <w:id w:val="130685991"/>
            <w:text/>
          </w:sdtPr>
          <w:sdtEndPr>
            <w:rPr>
              <w:rFonts w:hint="eastAsia"/>
              <w:sz w:val="18"/>
              <w:szCs w:val="18"/>
            </w:rPr>
          </w:sdtEndPr>
          <w:sdtContent>
            <w:tc>
              <w:tcPr>
                <w:tcW w:w="798" w:type="pct"/>
                <w:shd w:val="clear" w:color="auto" w:fill="auto"/>
                <w:vAlign w:val="center"/>
              </w:tcPr>
              <w:p w14:paraId="46D53665">
                <w:pPr>
                  <w:jc w:val="center"/>
                  <w:rPr>
                    <w:rFonts w:hint="eastAsia"/>
                    <w:sz w:val="18"/>
                    <w:szCs w:val="18"/>
                  </w:rPr>
                </w:pPr>
                <w:r>
                  <w:rPr>
                    <w:rFonts w:hint="eastAsia"/>
                    <w:sz w:val="18"/>
                    <w:szCs w:val="18"/>
                  </w:rPr>
                  <w:t>机器设备</w:t>
                </w:r>
              </w:p>
            </w:tc>
          </w:sdtContent>
        </w:sdt>
        <w:sdt>
          <w:sdtPr>
            <w:rPr>
              <w:rFonts w:hint="eastAsia"/>
              <w:sz w:val="18"/>
              <w:szCs w:val="18"/>
            </w:rPr>
            <w:alias w:val="固定资产情况明细-项目名称"/>
            <w:tag w:val="_GBC_d421638fcfb34bbba0e548b4cb719a06"/>
            <w:id w:val="1110083043"/>
            <w:text/>
          </w:sdtPr>
          <w:sdtEndPr>
            <w:rPr>
              <w:rFonts w:hint="eastAsia"/>
              <w:sz w:val="18"/>
              <w:szCs w:val="18"/>
            </w:rPr>
          </w:sdtEndPr>
          <w:sdtContent>
            <w:tc>
              <w:tcPr>
                <w:tcW w:w="664" w:type="pct"/>
                <w:shd w:val="clear" w:color="auto" w:fill="auto"/>
                <w:vAlign w:val="center"/>
              </w:tcPr>
              <w:p w14:paraId="7C949BF3">
                <w:pPr>
                  <w:jc w:val="center"/>
                  <w:rPr>
                    <w:rFonts w:hint="eastAsia"/>
                    <w:sz w:val="18"/>
                    <w:szCs w:val="18"/>
                  </w:rPr>
                </w:pPr>
                <w:r>
                  <w:rPr>
                    <w:rFonts w:hint="eastAsia"/>
                    <w:sz w:val="18"/>
                    <w:szCs w:val="18"/>
                  </w:rPr>
                  <w:t>运输工具</w:t>
                </w:r>
              </w:p>
            </w:tc>
          </w:sdtContent>
        </w:sdt>
        <w:sdt>
          <w:sdtPr>
            <w:rPr>
              <w:rFonts w:hint="eastAsia"/>
              <w:sz w:val="18"/>
              <w:szCs w:val="18"/>
            </w:rPr>
            <w:alias w:val="固定资产情况明细-项目名称"/>
            <w:tag w:val="_GBC_d421638fcfb34bbba0e548b4cb719a06"/>
            <w:id w:val="-1139030311"/>
            <w:text/>
          </w:sdtPr>
          <w:sdtEndPr>
            <w:rPr>
              <w:rFonts w:hint="eastAsia"/>
              <w:sz w:val="18"/>
              <w:szCs w:val="18"/>
            </w:rPr>
          </w:sdtEndPr>
          <w:sdtContent>
            <w:tc>
              <w:tcPr>
                <w:tcW w:w="806" w:type="pct"/>
                <w:shd w:val="clear" w:color="auto" w:fill="auto"/>
                <w:vAlign w:val="center"/>
              </w:tcPr>
              <w:p w14:paraId="6C2FC29E">
                <w:pPr>
                  <w:jc w:val="center"/>
                  <w:rPr>
                    <w:rFonts w:hint="eastAsia"/>
                    <w:sz w:val="18"/>
                    <w:szCs w:val="18"/>
                  </w:rPr>
                </w:pPr>
                <w:r>
                  <w:rPr>
                    <w:rFonts w:hint="eastAsia"/>
                    <w:sz w:val="18"/>
                    <w:szCs w:val="18"/>
                  </w:rPr>
                  <w:t>其他</w:t>
                </w:r>
              </w:p>
            </w:tc>
          </w:sdtContent>
        </w:sdt>
        <w:sdt>
          <w:sdtPr>
            <w:rPr>
              <w:sz w:val="18"/>
              <w:szCs w:val="18"/>
            </w:rPr>
            <w:tag w:val="_PLD_44989fc4cd3d46cc990c4d1941405a11"/>
            <w:id w:val="-369218500"/>
          </w:sdtPr>
          <w:sdtEndPr>
            <w:rPr>
              <w:sz w:val="18"/>
              <w:szCs w:val="18"/>
            </w:rPr>
          </w:sdtEndPr>
          <w:sdtContent>
            <w:tc>
              <w:tcPr>
                <w:tcW w:w="887" w:type="pct"/>
                <w:shd w:val="clear" w:color="auto" w:fill="auto"/>
                <w:vAlign w:val="center"/>
              </w:tcPr>
              <w:p w14:paraId="7F4A25A6">
                <w:pPr>
                  <w:jc w:val="center"/>
                  <w:rPr>
                    <w:rFonts w:hint="eastAsia"/>
                    <w:sz w:val="18"/>
                    <w:szCs w:val="18"/>
                  </w:rPr>
                </w:pPr>
                <w:r>
                  <w:rPr>
                    <w:rFonts w:hint="eastAsia"/>
                    <w:sz w:val="18"/>
                    <w:szCs w:val="18"/>
                  </w:rPr>
                  <w:t>合计</w:t>
                </w:r>
              </w:p>
            </w:tc>
          </w:sdtContent>
        </w:sdt>
      </w:tr>
      <w:tr w14:paraId="3607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sz w:val="18"/>
              <w:szCs w:val="18"/>
            </w:rPr>
            <w:tag w:val="_PLD_baa91289996942f0a3579319b339b24d"/>
            <w:id w:val="1193349132"/>
          </w:sdtPr>
          <w:sdtEndPr>
            <w:rPr>
              <w:sz w:val="18"/>
              <w:szCs w:val="18"/>
            </w:rPr>
          </w:sdtEndPr>
          <w:sdtContent>
            <w:tc>
              <w:tcPr>
                <w:tcW w:w="5000" w:type="pct"/>
                <w:gridSpan w:val="6"/>
                <w:shd w:val="clear" w:color="auto" w:fill="auto"/>
              </w:tcPr>
              <w:p w14:paraId="610C7593">
                <w:pPr>
                  <w:rPr>
                    <w:rFonts w:hint="eastAsia"/>
                    <w:sz w:val="18"/>
                    <w:szCs w:val="18"/>
                  </w:rPr>
                </w:pPr>
                <w:r>
                  <w:rPr>
                    <w:rFonts w:hint="eastAsia"/>
                    <w:sz w:val="18"/>
                    <w:szCs w:val="18"/>
                  </w:rPr>
                  <w:t>一、账面原值：</w:t>
                </w:r>
              </w:p>
            </w:tc>
          </w:sdtContent>
        </w:sdt>
      </w:tr>
      <w:tr w14:paraId="5016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574A73EC">
            <w:pPr>
              <w:rPr>
                <w:rFonts w:ascii="Arial Narrow" w:hAnsi="Arial Narrow"/>
                <w:sz w:val="18"/>
                <w:szCs w:val="18"/>
              </w:rPr>
            </w:pPr>
            <w:r>
              <w:rPr>
                <w:rFonts w:ascii="Arial Narrow" w:hAnsi="Arial Narrow"/>
                <w:sz w:val="18"/>
                <w:szCs w:val="18"/>
              </w:rPr>
              <w:t>1.期初余额</w:t>
            </w:r>
          </w:p>
        </w:tc>
        <w:tc>
          <w:tcPr>
            <w:tcW w:w="804" w:type="pct"/>
            <w:shd w:val="clear" w:color="auto" w:fill="auto"/>
            <w:vAlign w:val="center"/>
          </w:tcPr>
          <w:p w14:paraId="5E4E1294">
            <w:pPr>
              <w:jc w:val="right"/>
              <w:rPr>
                <w:rFonts w:ascii="Arial Narrow" w:hAnsi="Arial Narrow"/>
                <w:sz w:val="18"/>
                <w:szCs w:val="18"/>
              </w:rPr>
            </w:pPr>
            <w:r>
              <w:rPr>
                <w:rFonts w:ascii="Arial Narrow" w:hAnsi="Arial Narrow" w:eastAsia="等线"/>
                <w:color w:val="000000"/>
                <w:sz w:val="18"/>
                <w:szCs w:val="18"/>
              </w:rPr>
              <w:t>3,964,289,182.04</w:t>
            </w:r>
          </w:p>
        </w:tc>
        <w:tc>
          <w:tcPr>
            <w:tcW w:w="798" w:type="pct"/>
            <w:shd w:val="clear" w:color="auto" w:fill="auto"/>
            <w:vAlign w:val="center"/>
          </w:tcPr>
          <w:p w14:paraId="742B9C8B">
            <w:pPr>
              <w:jc w:val="right"/>
              <w:rPr>
                <w:rFonts w:ascii="Arial Narrow" w:hAnsi="Arial Narrow"/>
                <w:sz w:val="18"/>
                <w:szCs w:val="18"/>
              </w:rPr>
            </w:pPr>
            <w:r>
              <w:rPr>
                <w:rFonts w:ascii="Arial Narrow" w:hAnsi="Arial Narrow" w:eastAsia="等线"/>
                <w:color w:val="000000"/>
                <w:sz w:val="18"/>
                <w:szCs w:val="18"/>
              </w:rPr>
              <w:t>2,870,619,943.86</w:t>
            </w:r>
          </w:p>
        </w:tc>
        <w:tc>
          <w:tcPr>
            <w:tcW w:w="664" w:type="pct"/>
            <w:shd w:val="clear" w:color="auto" w:fill="auto"/>
            <w:vAlign w:val="center"/>
          </w:tcPr>
          <w:p w14:paraId="48216619">
            <w:pPr>
              <w:jc w:val="right"/>
              <w:rPr>
                <w:rFonts w:ascii="Arial Narrow" w:hAnsi="Arial Narrow"/>
                <w:sz w:val="18"/>
                <w:szCs w:val="18"/>
              </w:rPr>
            </w:pPr>
            <w:r>
              <w:rPr>
                <w:rFonts w:ascii="Arial Narrow" w:hAnsi="Arial Narrow" w:eastAsia="等线"/>
                <w:color w:val="000000"/>
                <w:sz w:val="18"/>
                <w:szCs w:val="18"/>
              </w:rPr>
              <w:t>66,094,932.88</w:t>
            </w:r>
          </w:p>
        </w:tc>
        <w:tc>
          <w:tcPr>
            <w:tcW w:w="806" w:type="pct"/>
            <w:shd w:val="clear" w:color="auto" w:fill="auto"/>
            <w:vAlign w:val="center"/>
          </w:tcPr>
          <w:p w14:paraId="4456B29C">
            <w:pPr>
              <w:jc w:val="right"/>
              <w:rPr>
                <w:rFonts w:ascii="Arial Narrow" w:hAnsi="Arial Narrow"/>
                <w:sz w:val="18"/>
                <w:szCs w:val="18"/>
              </w:rPr>
            </w:pPr>
            <w:r>
              <w:rPr>
                <w:rFonts w:ascii="Arial Narrow" w:hAnsi="Arial Narrow" w:eastAsia="等线"/>
                <w:color w:val="000000"/>
                <w:sz w:val="18"/>
                <w:szCs w:val="18"/>
              </w:rPr>
              <w:t>174,057,180.67</w:t>
            </w:r>
          </w:p>
        </w:tc>
        <w:tc>
          <w:tcPr>
            <w:tcW w:w="887" w:type="pct"/>
            <w:shd w:val="clear" w:color="auto" w:fill="auto"/>
            <w:vAlign w:val="center"/>
          </w:tcPr>
          <w:p w14:paraId="4D0EE93B">
            <w:pPr>
              <w:jc w:val="right"/>
              <w:rPr>
                <w:rFonts w:ascii="Arial Narrow" w:hAnsi="Arial Narrow"/>
                <w:sz w:val="18"/>
                <w:szCs w:val="18"/>
              </w:rPr>
            </w:pPr>
            <w:r>
              <w:rPr>
                <w:rFonts w:ascii="Arial Narrow" w:hAnsi="Arial Narrow" w:eastAsia="等线"/>
                <w:color w:val="000000"/>
                <w:sz w:val="18"/>
                <w:szCs w:val="18"/>
              </w:rPr>
              <w:t>7,075,061,239.45</w:t>
            </w:r>
          </w:p>
        </w:tc>
      </w:tr>
      <w:tr w14:paraId="429E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54BBDD8">
            <w:pPr>
              <w:rPr>
                <w:rFonts w:ascii="Arial Narrow" w:hAnsi="Arial Narrow"/>
                <w:sz w:val="18"/>
                <w:szCs w:val="18"/>
              </w:rPr>
            </w:pPr>
            <w:r>
              <w:rPr>
                <w:rFonts w:ascii="Arial Narrow" w:hAnsi="Arial Narrow"/>
                <w:sz w:val="18"/>
                <w:szCs w:val="18"/>
              </w:rPr>
              <w:t>2.本期增加金额</w:t>
            </w:r>
          </w:p>
        </w:tc>
        <w:tc>
          <w:tcPr>
            <w:tcW w:w="804" w:type="pct"/>
            <w:shd w:val="clear" w:color="auto" w:fill="auto"/>
            <w:vAlign w:val="center"/>
          </w:tcPr>
          <w:p w14:paraId="45BEC6EF">
            <w:pPr>
              <w:jc w:val="right"/>
              <w:rPr>
                <w:rFonts w:ascii="Arial Narrow" w:hAnsi="Arial Narrow"/>
                <w:sz w:val="18"/>
                <w:szCs w:val="18"/>
              </w:rPr>
            </w:pPr>
            <w:r>
              <w:rPr>
                <w:rFonts w:ascii="Arial Narrow" w:hAnsi="Arial Narrow" w:eastAsia="等线"/>
                <w:color w:val="000000"/>
                <w:sz w:val="18"/>
                <w:szCs w:val="18"/>
              </w:rPr>
              <w:t>893,900,842.51</w:t>
            </w:r>
          </w:p>
        </w:tc>
        <w:tc>
          <w:tcPr>
            <w:tcW w:w="798" w:type="pct"/>
            <w:shd w:val="clear" w:color="auto" w:fill="auto"/>
            <w:vAlign w:val="center"/>
          </w:tcPr>
          <w:p w14:paraId="42E292E5">
            <w:pPr>
              <w:jc w:val="right"/>
              <w:rPr>
                <w:rFonts w:ascii="Arial Narrow" w:hAnsi="Arial Narrow"/>
                <w:sz w:val="18"/>
                <w:szCs w:val="18"/>
              </w:rPr>
            </w:pPr>
            <w:r>
              <w:rPr>
                <w:rFonts w:ascii="Arial Narrow" w:hAnsi="Arial Narrow" w:eastAsia="等线"/>
                <w:color w:val="000000"/>
                <w:sz w:val="18"/>
                <w:szCs w:val="18"/>
              </w:rPr>
              <w:t>174,419,314.17</w:t>
            </w:r>
          </w:p>
        </w:tc>
        <w:tc>
          <w:tcPr>
            <w:tcW w:w="664" w:type="pct"/>
            <w:shd w:val="clear" w:color="auto" w:fill="auto"/>
            <w:vAlign w:val="center"/>
          </w:tcPr>
          <w:p w14:paraId="092A2D64">
            <w:pPr>
              <w:jc w:val="right"/>
              <w:rPr>
                <w:rFonts w:ascii="Arial Narrow" w:hAnsi="Arial Narrow"/>
                <w:sz w:val="18"/>
                <w:szCs w:val="18"/>
              </w:rPr>
            </w:pPr>
            <w:r>
              <w:rPr>
                <w:rFonts w:ascii="Arial Narrow" w:hAnsi="Arial Narrow" w:eastAsia="等线"/>
                <w:color w:val="000000"/>
                <w:sz w:val="18"/>
                <w:szCs w:val="18"/>
              </w:rPr>
              <w:t>2,472,046.99</w:t>
            </w:r>
          </w:p>
        </w:tc>
        <w:tc>
          <w:tcPr>
            <w:tcW w:w="806" w:type="pct"/>
            <w:shd w:val="clear" w:color="auto" w:fill="auto"/>
            <w:vAlign w:val="center"/>
          </w:tcPr>
          <w:p w14:paraId="321C12C5">
            <w:pPr>
              <w:jc w:val="right"/>
              <w:rPr>
                <w:rFonts w:ascii="Arial Narrow" w:hAnsi="Arial Narrow"/>
                <w:sz w:val="18"/>
                <w:szCs w:val="18"/>
              </w:rPr>
            </w:pPr>
            <w:r>
              <w:rPr>
                <w:rFonts w:ascii="Arial Narrow" w:hAnsi="Arial Narrow" w:eastAsia="等线"/>
                <w:color w:val="000000"/>
                <w:sz w:val="18"/>
                <w:szCs w:val="18"/>
              </w:rPr>
              <w:t>136,479,173.57</w:t>
            </w:r>
          </w:p>
        </w:tc>
        <w:tc>
          <w:tcPr>
            <w:tcW w:w="887" w:type="pct"/>
            <w:shd w:val="clear" w:color="auto" w:fill="auto"/>
            <w:vAlign w:val="center"/>
          </w:tcPr>
          <w:p w14:paraId="7A08E74E">
            <w:pPr>
              <w:jc w:val="right"/>
              <w:rPr>
                <w:rFonts w:ascii="Arial Narrow" w:hAnsi="Arial Narrow"/>
                <w:sz w:val="18"/>
                <w:szCs w:val="18"/>
              </w:rPr>
            </w:pPr>
            <w:r>
              <w:rPr>
                <w:rFonts w:ascii="Arial Narrow" w:hAnsi="Arial Narrow" w:eastAsia="等线"/>
                <w:color w:val="000000"/>
                <w:sz w:val="18"/>
                <w:szCs w:val="18"/>
              </w:rPr>
              <w:t>1,207,271,377.24</w:t>
            </w:r>
          </w:p>
        </w:tc>
      </w:tr>
      <w:tr w14:paraId="3BBD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580A02BD">
            <w:pPr>
              <w:rPr>
                <w:rFonts w:ascii="Arial Narrow" w:hAnsi="Arial Narrow"/>
                <w:sz w:val="18"/>
                <w:szCs w:val="18"/>
              </w:rPr>
            </w:pPr>
            <w:r>
              <w:rPr>
                <w:rFonts w:ascii="Arial Narrow" w:hAnsi="Arial Narrow"/>
                <w:sz w:val="18"/>
                <w:szCs w:val="18"/>
              </w:rPr>
              <w:t>（1）购置</w:t>
            </w:r>
          </w:p>
        </w:tc>
        <w:tc>
          <w:tcPr>
            <w:tcW w:w="804" w:type="pct"/>
            <w:shd w:val="clear" w:color="auto" w:fill="auto"/>
            <w:vAlign w:val="center"/>
          </w:tcPr>
          <w:p w14:paraId="131804B3">
            <w:pPr>
              <w:jc w:val="right"/>
              <w:rPr>
                <w:rFonts w:ascii="Arial Narrow" w:hAnsi="Arial Narrow"/>
                <w:sz w:val="18"/>
                <w:szCs w:val="18"/>
              </w:rPr>
            </w:pPr>
            <w:r>
              <w:rPr>
                <w:rFonts w:ascii="Arial Narrow" w:hAnsi="Arial Narrow" w:eastAsia="等线"/>
                <w:color w:val="000000"/>
                <w:sz w:val="18"/>
                <w:szCs w:val="18"/>
              </w:rPr>
              <w:t>357,448,678.78</w:t>
            </w:r>
          </w:p>
        </w:tc>
        <w:tc>
          <w:tcPr>
            <w:tcW w:w="798" w:type="pct"/>
            <w:shd w:val="clear" w:color="auto" w:fill="auto"/>
            <w:vAlign w:val="center"/>
          </w:tcPr>
          <w:p w14:paraId="1B78FA0E">
            <w:pPr>
              <w:jc w:val="right"/>
              <w:rPr>
                <w:rFonts w:ascii="Arial Narrow" w:hAnsi="Arial Narrow"/>
                <w:sz w:val="18"/>
                <w:szCs w:val="18"/>
              </w:rPr>
            </w:pPr>
            <w:r>
              <w:rPr>
                <w:rFonts w:ascii="Arial Narrow" w:hAnsi="Arial Narrow" w:eastAsia="等线"/>
                <w:color w:val="000000"/>
                <w:sz w:val="18"/>
                <w:szCs w:val="18"/>
              </w:rPr>
              <w:t>62,050,540.43</w:t>
            </w:r>
          </w:p>
        </w:tc>
        <w:tc>
          <w:tcPr>
            <w:tcW w:w="664" w:type="pct"/>
            <w:shd w:val="clear" w:color="auto" w:fill="auto"/>
            <w:vAlign w:val="center"/>
          </w:tcPr>
          <w:p w14:paraId="0B1DB951">
            <w:pPr>
              <w:jc w:val="right"/>
              <w:rPr>
                <w:rFonts w:ascii="Arial Narrow" w:hAnsi="Arial Narrow"/>
                <w:sz w:val="18"/>
                <w:szCs w:val="18"/>
              </w:rPr>
            </w:pPr>
            <w:r>
              <w:rPr>
                <w:rFonts w:ascii="Arial Narrow" w:hAnsi="Arial Narrow" w:eastAsia="等线"/>
                <w:color w:val="000000"/>
                <w:sz w:val="18"/>
                <w:szCs w:val="18"/>
              </w:rPr>
              <w:t>2,472,046.99</w:t>
            </w:r>
          </w:p>
        </w:tc>
        <w:tc>
          <w:tcPr>
            <w:tcW w:w="806" w:type="pct"/>
            <w:shd w:val="clear" w:color="auto" w:fill="auto"/>
            <w:vAlign w:val="center"/>
          </w:tcPr>
          <w:p w14:paraId="0E5AFDD2">
            <w:pPr>
              <w:jc w:val="right"/>
              <w:rPr>
                <w:rFonts w:ascii="Arial Narrow" w:hAnsi="Arial Narrow"/>
                <w:sz w:val="18"/>
                <w:szCs w:val="18"/>
              </w:rPr>
            </w:pPr>
            <w:r>
              <w:rPr>
                <w:rFonts w:ascii="Arial Narrow" w:hAnsi="Arial Narrow" w:eastAsia="等线"/>
                <w:color w:val="000000"/>
                <w:sz w:val="18"/>
                <w:szCs w:val="18"/>
              </w:rPr>
              <w:t>17,191,668.24</w:t>
            </w:r>
          </w:p>
        </w:tc>
        <w:tc>
          <w:tcPr>
            <w:tcW w:w="887" w:type="pct"/>
            <w:shd w:val="clear" w:color="auto" w:fill="auto"/>
            <w:vAlign w:val="center"/>
          </w:tcPr>
          <w:p w14:paraId="53C806E7">
            <w:pPr>
              <w:jc w:val="right"/>
              <w:rPr>
                <w:rFonts w:ascii="Arial Narrow" w:hAnsi="Arial Narrow"/>
                <w:sz w:val="18"/>
                <w:szCs w:val="18"/>
              </w:rPr>
            </w:pPr>
            <w:r>
              <w:rPr>
                <w:rFonts w:ascii="Arial Narrow" w:hAnsi="Arial Narrow" w:eastAsia="等线"/>
                <w:color w:val="000000"/>
                <w:sz w:val="18"/>
                <w:szCs w:val="18"/>
              </w:rPr>
              <w:t>439,162,934.44</w:t>
            </w:r>
          </w:p>
        </w:tc>
      </w:tr>
      <w:tr w14:paraId="500A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769B08FD">
            <w:pPr>
              <w:rPr>
                <w:rFonts w:ascii="Arial Narrow" w:hAnsi="Arial Narrow"/>
                <w:sz w:val="18"/>
                <w:szCs w:val="18"/>
              </w:rPr>
            </w:pPr>
            <w:r>
              <w:rPr>
                <w:rFonts w:ascii="Arial Narrow" w:hAnsi="Arial Narrow"/>
                <w:sz w:val="18"/>
                <w:szCs w:val="18"/>
              </w:rPr>
              <w:t>（2）在建工程转入</w:t>
            </w:r>
          </w:p>
        </w:tc>
        <w:tc>
          <w:tcPr>
            <w:tcW w:w="804" w:type="pct"/>
            <w:shd w:val="clear" w:color="auto" w:fill="auto"/>
            <w:vAlign w:val="center"/>
          </w:tcPr>
          <w:p w14:paraId="34B4CDEB">
            <w:pPr>
              <w:jc w:val="right"/>
              <w:rPr>
                <w:rFonts w:ascii="Arial Narrow" w:hAnsi="Arial Narrow"/>
                <w:sz w:val="18"/>
                <w:szCs w:val="18"/>
              </w:rPr>
            </w:pPr>
            <w:r>
              <w:rPr>
                <w:rFonts w:ascii="Arial Narrow" w:hAnsi="Arial Narrow" w:eastAsia="等线"/>
                <w:color w:val="000000"/>
                <w:sz w:val="18"/>
                <w:szCs w:val="18"/>
              </w:rPr>
              <w:t>524,610,050.68</w:t>
            </w:r>
          </w:p>
        </w:tc>
        <w:tc>
          <w:tcPr>
            <w:tcW w:w="798" w:type="pct"/>
            <w:shd w:val="clear" w:color="auto" w:fill="auto"/>
            <w:vAlign w:val="center"/>
          </w:tcPr>
          <w:p w14:paraId="174C7B87">
            <w:pPr>
              <w:jc w:val="right"/>
              <w:rPr>
                <w:rFonts w:ascii="Arial Narrow" w:hAnsi="Arial Narrow"/>
                <w:sz w:val="18"/>
                <w:szCs w:val="18"/>
              </w:rPr>
            </w:pPr>
            <w:r>
              <w:rPr>
                <w:rFonts w:ascii="Arial Narrow" w:hAnsi="Arial Narrow" w:eastAsia="等线"/>
                <w:color w:val="000000"/>
                <w:sz w:val="18"/>
                <w:szCs w:val="18"/>
              </w:rPr>
              <w:t>112,368,773.74</w:t>
            </w:r>
          </w:p>
        </w:tc>
        <w:tc>
          <w:tcPr>
            <w:tcW w:w="664" w:type="pct"/>
            <w:shd w:val="clear" w:color="auto" w:fill="auto"/>
            <w:vAlign w:val="center"/>
          </w:tcPr>
          <w:p w14:paraId="6C2BA4A2">
            <w:pPr>
              <w:jc w:val="right"/>
              <w:rPr>
                <w:rFonts w:ascii="Arial Narrow" w:hAnsi="Arial Narrow"/>
                <w:sz w:val="18"/>
                <w:szCs w:val="18"/>
              </w:rPr>
            </w:pPr>
          </w:p>
        </w:tc>
        <w:tc>
          <w:tcPr>
            <w:tcW w:w="806" w:type="pct"/>
            <w:shd w:val="clear" w:color="auto" w:fill="auto"/>
            <w:vAlign w:val="center"/>
          </w:tcPr>
          <w:p w14:paraId="6157DCB3">
            <w:pPr>
              <w:jc w:val="right"/>
              <w:rPr>
                <w:rFonts w:ascii="Arial Narrow" w:hAnsi="Arial Narrow"/>
                <w:sz w:val="18"/>
                <w:szCs w:val="18"/>
              </w:rPr>
            </w:pPr>
            <w:r>
              <w:rPr>
                <w:rFonts w:ascii="Arial Narrow" w:hAnsi="Arial Narrow" w:eastAsia="等线"/>
                <w:color w:val="000000"/>
                <w:sz w:val="18"/>
                <w:szCs w:val="18"/>
              </w:rPr>
              <w:t>119,217,505.33</w:t>
            </w:r>
          </w:p>
        </w:tc>
        <w:tc>
          <w:tcPr>
            <w:tcW w:w="887" w:type="pct"/>
            <w:shd w:val="clear" w:color="auto" w:fill="auto"/>
            <w:vAlign w:val="center"/>
          </w:tcPr>
          <w:p w14:paraId="02BAB6FE">
            <w:pPr>
              <w:jc w:val="right"/>
              <w:rPr>
                <w:rFonts w:ascii="Arial Narrow" w:hAnsi="Arial Narrow"/>
                <w:sz w:val="18"/>
                <w:szCs w:val="18"/>
              </w:rPr>
            </w:pPr>
            <w:r>
              <w:rPr>
                <w:rFonts w:ascii="Arial Narrow" w:hAnsi="Arial Narrow" w:eastAsia="等线"/>
                <w:color w:val="000000"/>
                <w:sz w:val="18"/>
                <w:szCs w:val="18"/>
              </w:rPr>
              <w:t>756,196,329.75</w:t>
            </w:r>
          </w:p>
        </w:tc>
      </w:tr>
      <w:tr w14:paraId="1C36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5D124F9B">
            <w:pPr>
              <w:rPr>
                <w:rFonts w:ascii="Arial Narrow" w:hAnsi="Arial Narrow"/>
                <w:sz w:val="18"/>
                <w:szCs w:val="18"/>
              </w:rPr>
            </w:pPr>
            <w:r>
              <w:rPr>
                <w:rFonts w:ascii="Arial Narrow" w:hAnsi="Arial Narrow"/>
                <w:sz w:val="18"/>
                <w:szCs w:val="18"/>
              </w:rPr>
              <w:t>（</w:t>
            </w:r>
            <w:r>
              <w:rPr>
                <w:rFonts w:hint="eastAsia" w:ascii="Arial Narrow" w:hAnsi="Arial Narrow"/>
                <w:sz w:val="18"/>
                <w:szCs w:val="18"/>
              </w:rPr>
              <w:t>3</w:t>
            </w:r>
            <w:r>
              <w:rPr>
                <w:rFonts w:ascii="Arial Narrow" w:hAnsi="Arial Narrow"/>
                <w:sz w:val="18"/>
                <w:szCs w:val="18"/>
              </w:rPr>
              <w:t>）其他增加</w:t>
            </w:r>
          </w:p>
        </w:tc>
        <w:tc>
          <w:tcPr>
            <w:tcW w:w="804" w:type="pct"/>
            <w:shd w:val="clear" w:color="auto" w:fill="auto"/>
            <w:vAlign w:val="center"/>
          </w:tcPr>
          <w:p w14:paraId="2284DBC1">
            <w:pPr>
              <w:jc w:val="right"/>
              <w:rPr>
                <w:rFonts w:ascii="Arial Narrow" w:hAnsi="Arial Narrow"/>
                <w:sz w:val="18"/>
                <w:szCs w:val="18"/>
              </w:rPr>
            </w:pPr>
            <w:r>
              <w:rPr>
                <w:rFonts w:ascii="Arial Narrow" w:hAnsi="Arial Narrow" w:eastAsia="等线"/>
                <w:color w:val="000000"/>
                <w:sz w:val="18"/>
                <w:szCs w:val="18"/>
              </w:rPr>
              <w:t>11,842,113.05</w:t>
            </w:r>
          </w:p>
        </w:tc>
        <w:tc>
          <w:tcPr>
            <w:tcW w:w="798" w:type="pct"/>
            <w:shd w:val="clear" w:color="auto" w:fill="auto"/>
            <w:vAlign w:val="center"/>
          </w:tcPr>
          <w:p w14:paraId="5DEF4AE9">
            <w:pPr>
              <w:jc w:val="right"/>
              <w:rPr>
                <w:rFonts w:ascii="Arial Narrow" w:hAnsi="Arial Narrow"/>
                <w:sz w:val="18"/>
                <w:szCs w:val="18"/>
              </w:rPr>
            </w:pPr>
          </w:p>
        </w:tc>
        <w:tc>
          <w:tcPr>
            <w:tcW w:w="664" w:type="pct"/>
            <w:shd w:val="clear" w:color="auto" w:fill="auto"/>
            <w:vAlign w:val="center"/>
          </w:tcPr>
          <w:p w14:paraId="4019B7A4">
            <w:pPr>
              <w:jc w:val="right"/>
              <w:rPr>
                <w:rFonts w:ascii="Arial Narrow" w:hAnsi="Arial Narrow"/>
                <w:sz w:val="18"/>
                <w:szCs w:val="18"/>
              </w:rPr>
            </w:pPr>
          </w:p>
        </w:tc>
        <w:tc>
          <w:tcPr>
            <w:tcW w:w="806" w:type="pct"/>
            <w:shd w:val="clear" w:color="auto" w:fill="auto"/>
            <w:vAlign w:val="center"/>
          </w:tcPr>
          <w:p w14:paraId="35A6F71B">
            <w:pPr>
              <w:jc w:val="right"/>
              <w:rPr>
                <w:rFonts w:ascii="Arial Narrow" w:hAnsi="Arial Narrow"/>
                <w:sz w:val="18"/>
                <w:szCs w:val="18"/>
              </w:rPr>
            </w:pPr>
            <w:r>
              <w:rPr>
                <w:rFonts w:ascii="Arial Narrow" w:hAnsi="Arial Narrow" w:eastAsia="等线"/>
                <w:color w:val="000000"/>
                <w:sz w:val="18"/>
                <w:szCs w:val="18"/>
              </w:rPr>
              <w:t>70,000.00</w:t>
            </w:r>
          </w:p>
        </w:tc>
        <w:tc>
          <w:tcPr>
            <w:tcW w:w="887" w:type="pct"/>
            <w:shd w:val="clear" w:color="auto" w:fill="auto"/>
            <w:vAlign w:val="center"/>
          </w:tcPr>
          <w:p w14:paraId="61628931">
            <w:pPr>
              <w:jc w:val="right"/>
              <w:rPr>
                <w:rFonts w:ascii="Arial Narrow" w:hAnsi="Arial Narrow"/>
                <w:sz w:val="18"/>
                <w:szCs w:val="18"/>
              </w:rPr>
            </w:pPr>
            <w:r>
              <w:rPr>
                <w:rFonts w:ascii="Arial Narrow" w:hAnsi="Arial Narrow" w:eastAsia="等线"/>
                <w:color w:val="000000"/>
                <w:sz w:val="18"/>
                <w:szCs w:val="18"/>
              </w:rPr>
              <w:t>11,912,113.05</w:t>
            </w:r>
          </w:p>
        </w:tc>
      </w:tr>
      <w:tr w14:paraId="701C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59D003AA">
            <w:pPr>
              <w:rPr>
                <w:rFonts w:ascii="Arial Narrow" w:hAnsi="Arial Narrow"/>
                <w:sz w:val="18"/>
                <w:szCs w:val="18"/>
              </w:rPr>
            </w:pPr>
            <w:r>
              <w:rPr>
                <w:rFonts w:ascii="Arial Narrow" w:hAnsi="Arial Narrow"/>
                <w:sz w:val="18"/>
                <w:szCs w:val="18"/>
              </w:rPr>
              <w:t>3.本期减少金额</w:t>
            </w:r>
          </w:p>
        </w:tc>
        <w:tc>
          <w:tcPr>
            <w:tcW w:w="804" w:type="pct"/>
            <w:shd w:val="clear" w:color="auto" w:fill="auto"/>
            <w:vAlign w:val="center"/>
          </w:tcPr>
          <w:p w14:paraId="1C2973D1">
            <w:pPr>
              <w:jc w:val="right"/>
              <w:rPr>
                <w:rFonts w:ascii="Arial Narrow" w:hAnsi="Arial Narrow"/>
                <w:sz w:val="18"/>
                <w:szCs w:val="18"/>
              </w:rPr>
            </w:pPr>
            <w:r>
              <w:rPr>
                <w:rFonts w:ascii="Arial Narrow" w:hAnsi="Arial Narrow" w:eastAsia="等线"/>
                <w:color w:val="000000"/>
                <w:sz w:val="18"/>
                <w:szCs w:val="18"/>
              </w:rPr>
              <w:t>32,669,152.26</w:t>
            </w:r>
          </w:p>
        </w:tc>
        <w:tc>
          <w:tcPr>
            <w:tcW w:w="798" w:type="pct"/>
            <w:shd w:val="clear" w:color="auto" w:fill="auto"/>
            <w:vAlign w:val="center"/>
          </w:tcPr>
          <w:p w14:paraId="7D4CD158">
            <w:pPr>
              <w:jc w:val="right"/>
              <w:rPr>
                <w:rFonts w:ascii="Arial Narrow" w:hAnsi="Arial Narrow"/>
                <w:sz w:val="18"/>
                <w:szCs w:val="18"/>
              </w:rPr>
            </w:pPr>
            <w:r>
              <w:rPr>
                <w:rFonts w:ascii="Arial Narrow" w:hAnsi="Arial Narrow" w:eastAsia="等线"/>
                <w:color w:val="000000"/>
                <w:sz w:val="18"/>
                <w:szCs w:val="18"/>
              </w:rPr>
              <w:t>34,873,760.21</w:t>
            </w:r>
          </w:p>
        </w:tc>
        <w:tc>
          <w:tcPr>
            <w:tcW w:w="664" w:type="pct"/>
            <w:shd w:val="clear" w:color="auto" w:fill="auto"/>
            <w:vAlign w:val="center"/>
          </w:tcPr>
          <w:p w14:paraId="0708148F">
            <w:pPr>
              <w:jc w:val="right"/>
              <w:rPr>
                <w:rFonts w:ascii="Arial Narrow" w:hAnsi="Arial Narrow"/>
                <w:sz w:val="18"/>
                <w:szCs w:val="18"/>
              </w:rPr>
            </w:pPr>
            <w:r>
              <w:rPr>
                <w:rFonts w:ascii="Arial Narrow" w:hAnsi="Arial Narrow" w:eastAsia="等线"/>
                <w:color w:val="000000"/>
                <w:sz w:val="18"/>
                <w:szCs w:val="18"/>
              </w:rPr>
              <w:t>4,650,969.20</w:t>
            </w:r>
          </w:p>
        </w:tc>
        <w:tc>
          <w:tcPr>
            <w:tcW w:w="806" w:type="pct"/>
            <w:shd w:val="clear" w:color="auto" w:fill="auto"/>
            <w:vAlign w:val="center"/>
          </w:tcPr>
          <w:p w14:paraId="5C096187">
            <w:pPr>
              <w:jc w:val="right"/>
              <w:rPr>
                <w:rFonts w:ascii="Arial Narrow" w:hAnsi="Arial Narrow"/>
                <w:sz w:val="18"/>
                <w:szCs w:val="18"/>
              </w:rPr>
            </w:pPr>
            <w:r>
              <w:rPr>
                <w:rFonts w:ascii="Arial Narrow" w:hAnsi="Arial Narrow" w:eastAsia="等线"/>
                <w:color w:val="000000"/>
                <w:sz w:val="18"/>
                <w:szCs w:val="18"/>
              </w:rPr>
              <w:t>9,480,961.67</w:t>
            </w:r>
          </w:p>
        </w:tc>
        <w:tc>
          <w:tcPr>
            <w:tcW w:w="887" w:type="pct"/>
            <w:shd w:val="clear" w:color="auto" w:fill="auto"/>
            <w:vAlign w:val="center"/>
          </w:tcPr>
          <w:p w14:paraId="6EEF5EFE">
            <w:pPr>
              <w:jc w:val="right"/>
              <w:rPr>
                <w:rFonts w:ascii="Arial Narrow" w:hAnsi="Arial Narrow"/>
                <w:sz w:val="18"/>
                <w:szCs w:val="18"/>
              </w:rPr>
            </w:pPr>
            <w:r>
              <w:rPr>
                <w:rFonts w:ascii="Arial Narrow" w:hAnsi="Arial Narrow" w:eastAsia="等线"/>
                <w:color w:val="000000"/>
                <w:sz w:val="18"/>
                <w:szCs w:val="18"/>
              </w:rPr>
              <w:t>81,674,843.34</w:t>
            </w:r>
          </w:p>
        </w:tc>
      </w:tr>
      <w:tr w14:paraId="54B6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2F01444">
            <w:pPr>
              <w:rPr>
                <w:rFonts w:ascii="Arial Narrow" w:hAnsi="Arial Narrow"/>
                <w:sz w:val="18"/>
                <w:szCs w:val="18"/>
              </w:rPr>
            </w:pPr>
            <w:r>
              <w:rPr>
                <w:rFonts w:ascii="Arial Narrow" w:hAnsi="Arial Narrow"/>
                <w:sz w:val="18"/>
                <w:szCs w:val="18"/>
              </w:rPr>
              <w:t>（1）处置或报废</w:t>
            </w:r>
          </w:p>
        </w:tc>
        <w:tc>
          <w:tcPr>
            <w:tcW w:w="804" w:type="pct"/>
            <w:shd w:val="clear" w:color="auto" w:fill="auto"/>
            <w:vAlign w:val="center"/>
          </w:tcPr>
          <w:p w14:paraId="4F461871">
            <w:pPr>
              <w:jc w:val="right"/>
              <w:rPr>
                <w:rFonts w:ascii="Arial Narrow" w:hAnsi="Arial Narrow"/>
                <w:sz w:val="18"/>
                <w:szCs w:val="18"/>
              </w:rPr>
            </w:pPr>
            <w:r>
              <w:rPr>
                <w:rFonts w:ascii="Arial Narrow" w:hAnsi="Arial Narrow" w:eastAsia="等线"/>
                <w:color w:val="000000"/>
                <w:sz w:val="18"/>
                <w:szCs w:val="18"/>
              </w:rPr>
              <w:t>1,807,003.40</w:t>
            </w:r>
          </w:p>
        </w:tc>
        <w:tc>
          <w:tcPr>
            <w:tcW w:w="798" w:type="pct"/>
            <w:shd w:val="clear" w:color="auto" w:fill="auto"/>
            <w:vAlign w:val="center"/>
          </w:tcPr>
          <w:p w14:paraId="4F24998B">
            <w:pPr>
              <w:jc w:val="right"/>
              <w:rPr>
                <w:rFonts w:ascii="Arial Narrow" w:hAnsi="Arial Narrow"/>
                <w:sz w:val="18"/>
                <w:szCs w:val="18"/>
              </w:rPr>
            </w:pPr>
            <w:r>
              <w:rPr>
                <w:rFonts w:ascii="Arial Narrow" w:hAnsi="Arial Narrow" w:eastAsia="等线"/>
                <w:color w:val="000000"/>
                <w:sz w:val="18"/>
                <w:szCs w:val="18"/>
              </w:rPr>
              <w:t>34,751,380.24</w:t>
            </w:r>
          </w:p>
        </w:tc>
        <w:tc>
          <w:tcPr>
            <w:tcW w:w="664" w:type="pct"/>
            <w:shd w:val="clear" w:color="auto" w:fill="auto"/>
            <w:vAlign w:val="center"/>
          </w:tcPr>
          <w:p w14:paraId="4A2348F4">
            <w:pPr>
              <w:jc w:val="right"/>
              <w:rPr>
                <w:rFonts w:ascii="Arial Narrow" w:hAnsi="Arial Narrow"/>
                <w:sz w:val="18"/>
                <w:szCs w:val="18"/>
              </w:rPr>
            </w:pPr>
            <w:r>
              <w:rPr>
                <w:rFonts w:ascii="Arial Narrow" w:hAnsi="Arial Narrow" w:eastAsia="等线"/>
                <w:color w:val="000000"/>
                <w:sz w:val="18"/>
                <w:szCs w:val="18"/>
              </w:rPr>
              <w:t>4,650,969.20</w:t>
            </w:r>
          </w:p>
        </w:tc>
        <w:tc>
          <w:tcPr>
            <w:tcW w:w="806" w:type="pct"/>
            <w:shd w:val="clear" w:color="auto" w:fill="auto"/>
            <w:vAlign w:val="center"/>
          </w:tcPr>
          <w:p w14:paraId="46B2A237">
            <w:pPr>
              <w:jc w:val="right"/>
              <w:rPr>
                <w:rFonts w:ascii="Arial Narrow" w:hAnsi="Arial Narrow"/>
                <w:sz w:val="18"/>
                <w:szCs w:val="18"/>
              </w:rPr>
            </w:pPr>
            <w:r>
              <w:rPr>
                <w:rFonts w:ascii="Arial Narrow" w:hAnsi="Arial Narrow" w:eastAsia="等线"/>
                <w:color w:val="000000"/>
                <w:sz w:val="18"/>
                <w:szCs w:val="18"/>
              </w:rPr>
              <w:t>7,782,946.64</w:t>
            </w:r>
          </w:p>
        </w:tc>
        <w:tc>
          <w:tcPr>
            <w:tcW w:w="887" w:type="pct"/>
            <w:shd w:val="clear" w:color="auto" w:fill="auto"/>
            <w:vAlign w:val="center"/>
          </w:tcPr>
          <w:p w14:paraId="4E05EF32">
            <w:pPr>
              <w:jc w:val="right"/>
              <w:rPr>
                <w:rFonts w:ascii="Arial Narrow" w:hAnsi="Arial Narrow"/>
                <w:sz w:val="18"/>
                <w:szCs w:val="18"/>
              </w:rPr>
            </w:pPr>
            <w:r>
              <w:rPr>
                <w:rFonts w:ascii="Arial Narrow" w:hAnsi="Arial Narrow" w:eastAsia="等线"/>
                <w:color w:val="000000"/>
                <w:sz w:val="18"/>
                <w:szCs w:val="18"/>
              </w:rPr>
              <w:t>48,992,299.48</w:t>
            </w:r>
          </w:p>
        </w:tc>
      </w:tr>
      <w:tr w14:paraId="35C0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vAlign w:val="center"/>
          </w:tcPr>
          <w:p w14:paraId="6E14FA95">
            <w:pPr>
              <w:rPr>
                <w:rFonts w:ascii="Arial Narrow" w:hAnsi="Arial Narrow"/>
                <w:sz w:val="18"/>
                <w:szCs w:val="18"/>
              </w:rPr>
            </w:pPr>
            <w:r>
              <w:rPr>
                <w:rFonts w:ascii="Arial Narrow" w:hAnsi="Arial Narrow"/>
                <w:sz w:val="18"/>
                <w:szCs w:val="18"/>
              </w:rPr>
              <w:t>（2）其他减少</w:t>
            </w:r>
          </w:p>
        </w:tc>
        <w:tc>
          <w:tcPr>
            <w:tcW w:w="804" w:type="pct"/>
            <w:shd w:val="clear" w:color="auto" w:fill="auto"/>
            <w:vAlign w:val="center"/>
          </w:tcPr>
          <w:p w14:paraId="35DE0D9B">
            <w:pPr>
              <w:jc w:val="right"/>
              <w:rPr>
                <w:rFonts w:ascii="Arial Narrow" w:hAnsi="Arial Narrow"/>
                <w:sz w:val="18"/>
                <w:szCs w:val="18"/>
              </w:rPr>
            </w:pPr>
            <w:r>
              <w:rPr>
                <w:rFonts w:ascii="Arial Narrow" w:hAnsi="Arial Narrow" w:eastAsia="等线"/>
                <w:color w:val="000000"/>
                <w:sz w:val="18"/>
                <w:szCs w:val="18"/>
              </w:rPr>
              <w:t>30,862,148.86</w:t>
            </w:r>
          </w:p>
        </w:tc>
        <w:tc>
          <w:tcPr>
            <w:tcW w:w="798" w:type="pct"/>
            <w:shd w:val="clear" w:color="auto" w:fill="auto"/>
            <w:vAlign w:val="center"/>
          </w:tcPr>
          <w:p w14:paraId="22BCC74E">
            <w:pPr>
              <w:jc w:val="right"/>
              <w:rPr>
                <w:rFonts w:ascii="Arial Narrow" w:hAnsi="Arial Narrow"/>
                <w:sz w:val="18"/>
                <w:szCs w:val="18"/>
              </w:rPr>
            </w:pPr>
            <w:r>
              <w:rPr>
                <w:rFonts w:ascii="Arial Narrow" w:hAnsi="Arial Narrow" w:eastAsia="等线"/>
                <w:color w:val="000000"/>
                <w:sz w:val="18"/>
                <w:szCs w:val="18"/>
              </w:rPr>
              <w:t>122,379.97</w:t>
            </w:r>
          </w:p>
        </w:tc>
        <w:tc>
          <w:tcPr>
            <w:tcW w:w="664" w:type="pct"/>
            <w:shd w:val="clear" w:color="auto" w:fill="auto"/>
            <w:vAlign w:val="center"/>
          </w:tcPr>
          <w:p w14:paraId="3F36C690">
            <w:pPr>
              <w:jc w:val="right"/>
              <w:rPr>
                <w:rFonts w:ascii="Arial Narrow" w:hAnsi="Arial Narrow"/>
                <w:sz w:val="18"/>
                <w:szCs w:val="18"/>
              </w:rPr>
            </w:pPr>
          </w:p>
        </w:tc>
        <w:tc>
          <w:tcPr>
            <w:tcW w:w="806" w:type="pct"/>
            <w:shd w:val="clear" w:color="auto" w:fill="auto"/>
            <w:vAlign w:val="center"/>
          </w:tcPr>
          <w:p w14:paraId="336C6A3D">
            <w:pPr>
              <w:jc w:val="right"/>
              <w:rPr>
                <w:rFonts w:ascii="Arial Narrow" w:hAnsi="Arial Narrow"/>
                <w:sz w:val="18"/>
                <w:szCs w:val="18"/>
              </w:rPr>
            </w:pPr>
            <w:r>
              <w:rPr>
                <w:rFonts w:ascii="Arial Narrow" w:hAnsi="Arial Narrow" w:eastAsia="等线"/>
                <w:color w:val="000000"/>
                <w:sz w:val="18"/>
                <w:szCs w:val="18"/>
              </w:rPr>
              <w:t>1,698,015.03</w:t>
            </w:r>
          </w:p>
        </w:tc>
        <w:tc>
          <w:tcPr>
            <w:tcW w:w="887" w:type="pct"/>
            <w:shd w:val="clear" w:color="auto" w:fill="auto"/>
            <w:vAlign w:val="center"/>
          </w:tcPr>
          <w:p w14:paraId="61347D86">
            <w:pPr>
              <w:jc w:val="right"/>
              <w:rPr>
                <w:rFonts w:ascii="Arial Narrow" w:hAnsi="Arial Narrow"/>
                <w:sz w:val="18"/>
                <w:szCs w:val="18"/>
              </w:rPr>
            </w:pPr>
            <w:r>
              <w:rPr>
                <w:rFonts w:ascii="Arial Narrow" w:hAnsi="Arial Narrow" w:eastAsia="等线"/>
                <w:color w:val="000000"/>
                <w:sz w:val="18"/>
                <w:szCs w:val="18"/>
              </w:rPr>
              <w:t>32,682,543.86</w:t>
            </w:r>
          </w:p>
        </w:tc>
      </w:tr>
      <w:tr w14:paraId="39BD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316E58DC">
            <w:pPr>
              <w:rPr>
                <w:rFonts w:ascii="Arial Narrow" w:hAnsi="Arial Narrow"/>
                <w:sz w:val="18"/>
                <w:szCs w:val="18"/>
              </w:rPr>
            </w:pPr>
            <w:r>
              <w:rPr>
                <w:rFonts w:ascii="Arial Narrow" w:hAnsi="Arial Narrow"/>
                <w:sz w:val="18"/>
                <w:szCs w:val="18"/>
              </w:rPr>
              <w:t>4.期末余额</w:t>
            </w:r>
          </w:p>
        </w:tc>
        <w:tc>
          <w:tcPr>
            <w:tcW w:w="804" w:type="pct"/>
            <w:shd w:val="clear" w:color="auto" w:fill="auto"/>
            <w:vAlign w:val="center"/>
          </w:tcPr>
          <w:p w14:paraId="7153BB86">
            <w:pPr>
              <w:jc w:val="right"/>
              <w:rPr>
                <w:rFonts w:ascii="Arial Narrow" w:hAnsi="Arial Narrow"/>
                <w:sz w:val="18"/>
                <w:szCs w:val="18"/>
              </w:rPr>
            </w:pPr>
            <w:r>
              <w:rPr>
                <w:rFonts w:ascii="Arial Narrow" w:hAnsi="Arial Narrow" w:eastAsia="等线"/>
                <w:color w:val="000000"/>
                <w:sz w:val="18"/>
                <w:szCs w:val="18"/>
              </w:rPr>
              <w:t>4,825,520,872.29</w:t>
            </w:r>
          </w:p>
        </w:tc>
        <w:tc>
          <w:tcPr>
            <w:tcW w:w="798" w:type="pct"/>
            <w:shd w:val="clear" w:color="auto" w:fill="auto"/>
            <w:vAlign w:val="center"/>
          </w:tcPr>
          <w:p w14:paraId="344DE816">
            <w:pPr>
              <w:jc w:val="right"/>
              <w:rPr>
                <w:rFonts w:ascii="Arial Narrow" w:hAnsi="Arial Narrow"/>
                <w:sz w:val="18"/>
                <w:szCs w:val="18"/>
              </w:rPr>
            </w:pPr>
            <w:r>
              <w:rPr>
                <w:rFonts w:ascii="Arial Narrow" w:hAnsi="Arial Narrow" w:eastAsia="等线"/>
                <w:color w:val="000000"/>
                <w:sz w:val="18"/>
                <w:szCs w:val="18"/>
              </w:rPr>
              <w:t>3,010,165,497.82</w:t>
            </w:r>
          </w:p>
        </w:tc>
        <w:tc>
          <w:tcPr>
            <w:tcW w:w="664" w:type="pct"/>
            <w:shd w:val="clear" w:color="auto" w:fill="auto"/>
            <w:vAlign w:val="center"/>
          </w:tcPr>
          <w:p w14:paraId="2BCD56C1">
            <w:pPr>
              <w:jc w:val="right"/>
              <w:rPr>
                <w:rFonts w:ascii="Arial Narrow" w:hAnsi="Arial Narrow"/>
                <w:sz w:val="18"/>
                <w:szCs w:val="18"/>
              </w:rPr>
            </w:pPr>
            <w:r>
              <w:rPr>
                <w:rFonts w:ascii="Arial Narrow" w:hAnsi="Arial Narrow" w:eastAsia="等线"/>
                <w:color w:val="000000"/>
                <w:sz w:val="18"/>
                <w:szCs w:val="18"/>
              </w:rPr>
              <w:t>63,916,010.67</w:t>
            </w:r>
          </w:p>
        </w:tc>
        <w:tc>
          <w:tcPr>
            <w:tcW w:w="806" w:type="pct"/>
            <w:shd w:val="clear" w:color="auto" w:fill="auto"/>
            <w:vAlign w:val="center"/>
          </w:tcPr>
          <w:p w14:paraId="7F85FDE1">
            <w:pPr>
              <w:jc w:val="right"/>
              <w:rPr>
                <w:rFonts w:ascii="Arial Narrow" w:hAnsi="Arial Narrow"/>
                <w:sz w:val="18"/>
                <w:szCs w:val="18"/>
              </w:rPr>
            </w:pPr>
            <w:r>
              <w:rPr>
                <w:rFonts w:ascii="Arial Narrow" w:hAnsi="Arial Narrow" w:eastAsia="等线"/>
                <w:color w:val="000000"/>
                <w:sz w:val="18"/>
                <w:szCs w:val="18"/>
              </w:rPr>
              <w:t>301,055,392.57</w:t>
            </w:r>
          </w:p>
        </w:tc>
        <w:tc>
          <w:tcPr>
            <w:tcW w:w="887" w:type="pct"/>
            <w:shd w:val="clear" w:color="auto" w:fill="auto"/>
            <w:vAlign w:val="center"/>
          </w:tcPr>
          <w:p w14:paraId="5269A3C9">
            <w:pPr>
              <w:jc w:val="right"/>
              <w:rPr>
                <w:rFonts w:ascii="Arial Narrow" w:hAnsi="Arial Narrow"/>
                <w:sz w:val="18"/>
                <w:szCs w:val="18"/>
              </w:rPr>
            </w:pPr>
            <w:r>
              <w:rPr>
                <w:rFonts w:ascii="Arial Narrow" w:hAnsi="Arial Narrow" w:eastAsia="等线"/>
                <w:color w:val="000000"/>
                <w:sz w:val="18"/>
                <w:szCs w:val="18"/>
              </w:rPr>
              <w:t>8,200,657,773.35</w:t>
            </w:r>
          </w:p>
        </w:tc>
      </w:tr>
      <w:tr w14:paraId="5636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sz w:val="18"/>
              <w:szCs w:val="18"/>
            </w:rPr>
            <w:tag w:val="_PLD_14f44e7a4341414ca27a4047f9622e44"/>
            <w:id w:val="-488097753"/>
          </w:sdtPr>
          <w:sdtEndPr>
            <w:rPr>
              <w:rFonts w:ascii="Arial Narrow" w:hAnsi="Arial Narrow"/>
              <w:sz w:val="18"/>
              <w:szCs w:val="18"/>
            </w:rPr>
          </w:sdtEndPr>
          <w:sdtContent>
            <w:tc>
              <w:tcPr>
                <w:tcW w:w="5000" w:type="pct"/>
                <w:gridSpan w:val="6"/>
                <w:shd w:val="clear" w:color="auto" w:fill="auto"/>
              </w:tcPr>
              <w:p w14:paraId="2DDB6ED0">
                <w:pPr>
                  <w:rPr>
                    <w:rFonts w:ascii="Arial Narrow" w:hAnsi="Arial Narrow"/>
                    <w:sz w:val="18"/>
                    <w:szCs w:val="18"/>
                  </w:rPr>
                </w:pPr>
                <w:r>
                  <w:rPr>
                    <w:rFonts w:ascii="Arial Narrow" w:hAnsi="Arial Narrow"/>
                    <w:sz w:val="18"/>
                    <w:szCs w:val="18"/>
                  </w:rPr>
                  <w:t>二、累计折旧</w:t>
                </w:r>
              </w:p>
            </w:tc>
          </w:sdtContent>
        </w:sdt>
      </w:tr>
      <w:tr w14:paraId="394E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161DF2AE">
            <w:pPr>
              <w:rPr>
                <w:rFonts w:ascii="Arial Narrow" w:hAnsi="Arial Narrow"/>
                <w:sz w:val="18"/>
                <w:szCs w:val="18"/>
              </w:rPr>
            </w:pPr>
            <w:r>
              <w:rPr>
                <w:rFonts w:ascii="Arial Narrow" w:hAnsi="Arial Narrow"/>
                <w:sz w:val="18"/>
                <w:szCs w:val="18"/>
              </w:rPr>
              <w:t>1.期初余额</w:t>
            </w:r>
          </w:p>
        </w:tc>
        <w:tc>
          <w:tcPr>
            <w:tcW w:w="804" w:type="pct"/>
            <w:shd w:val="clear" w:color="auto" w:fill="auto"/>
            <w:vAlign w:val="center"/>
          </w:tcPr>
          <w:p w14:paraId="15F3B5EF">
            <w:pPr>
              <w:jc w:val="right"/>
              <w:rPr>
                <w:rFonts w:ascii="Arial Narrow" w:hAnsi="Arial Narrow"/>
                <w:sz w:val="18"/>
                <w:szCs w:val="18"/>
              </w:rPr>
            </w:pPr>
            <w:r>
              <w:rPr>
                <w:rFonts w:ascii="Arial Narrow" w:hAnsi="Arial Narrow" w:eastAsia="等线"/>
                <w:color w:val="000000"/>
                <w:sz w:val="18"/>
                <w:szCs w:val="18"/>
              </w:rPr>
              <w:t>1,209,380,454.14</w:t>
            </w:r>
          </w:p>
        </w:tc>
        <w:tc>
          <w:tcPr>
            <w:tcW w:w="798" w:type="pct"/>
            <w:shd w:val="clear" w:color="auto" w:fill="auto"/>
            <w:vAlign w:val="center"/>
          </w:tcPr>
          <w:p w14:paraId="4197588F">
            <w:pPr>
              <w:jc w:val="right"/>
              <w:rPr>
                <w:rFonts w:ascii="Arial Narrow" w:hAnsi="Arial Narrow"/>
                <w:sz w:val="18"/>
                <w:szCs w:val="18"/>
              </w:rPr>
            </w:pPr>
            <w:r>
              <w:rPr>
                <w:rFonts w:ascii="Arial Narrow" w:hAnsi="Arial Narrow" w:eastAsia="等线"/>
                <w:color w:val="000000"/>
                <w:sz w:val="18"/>
                <w:szCs w:val="18"/>
              </w:rPr>
              <w:t>1,927,878,307.97</w:t>
            </w:r>
          </w:p>
        </w:tc>
        <w:tc>
          <w:tcPr>
            <w:tcW w:w="664" w:type="pct"/>
            <w:shd w:val="clear" w:color="auto" w:fill="auto"/>
            <w:vAlign w:val="center"/>
          </w:tcPr>
          <w:p w14:paraId="662D2B68">
            <w:pPr>
              <w:jc w:val="right"/>
              <w:rPr>
                <w:rFonts w:ascii="Arial Narrow" w:hAnsi="Arial Narrow"/>
                <w:sz w:val="18"/>
                <w:szCs w:val="18"/>
              </w:rPr>
            </w:pPr>
            <w:r>
              <w:rPr>
                <w:rFonts w:ascii="Arial Narrow" w:hAnsi="Arial Narrow" w:eastAsia="等线"/>
                <w:color w:val="000000"/>
                <w:sz w:val="18"/>
                <w:szCs w:val="18"/>
              </w:rPr>
              <w:t>51,778,006.78</w:t>
            </w:r>
          </w:p>
        </w:tc>
        <w:tc>
          <w:tcPr>
            <w:tcW w:w="806" w:type="pct"/>
            <w:shd w:val="clear" w:color="auto" w:fill="auto"/>
            <w:vAlign w:val="center"/>
          </w:tcPr>
          <w:p w14:paraId="6DE71D3B">
            <w:pPr>
              <w:jc w:val="right"/>
              <w:rPr>
                <w:rFonts w:ascii="Arial Narrow" w:hAnsi="Arial Narrow"/>
                <w:sz w:val="18"/>
                <w:szCs w:val="18"/>
              </w:rPr>
            </w:pPr>
            <w:r>
              <w:rPr>
                <w:rFonts w:ascii="Arial Narrow" w:hAnsi="Arial Narrow" w:eastAsia="等线"/>
                <w:color w:val="000000"/>
                <w:sz w:val="18"/>
                <w:szCs w:val="18"/>
              </w:rPr>
              <w:t>130,066,451.56</w:t>
            </w:r>
          </w:p>
        </w:tc>
        <w:tc>
          <w:tcPr>
            <w:tcW w:w="887" w:type="pct"/>
            <w:shd w:val="clear" w:color="auto" w:fill="auto"/>
            <w:vAlign w:val="center"/>
          </w:tcPr>
          <w:p w14:paraId="56594237">
            <w:pPr>
              <w:jc w:val="right"/>
              <w:rPr>
                <w:rFonts w:ascii="Arial Narrow" w:hAnsi="Arial Narrow"/>
                <w:sz w:val="18"/>
                <w:szCs w:val="18"/>
              </w:rPr>
            </w:pPr>
            <w:r>
              <w:rPr>
                <w:rFonts w:ascii="Arial Narrow" w:hAnsi="Arial Narrow" w:eastAsia="等线"/>
                <w:color w:val="000000"/>
                <w:sz w:val="18"/>
                <w:szCs w:val="18"/>
              </w:rPr>
              <w:t>3,319,103,220.45</w:t>
            </w:r>
          </w:p>
        </w:tc>
      </w:tr>
      <w:tr w14:paraId="17B4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34DB41F">
            <w:pPr>
              <w:rPr>
                <w:rFonts w:ascii="Arial Narrow" w:hAnsi="Arial Narrow"/>
                <w:sz w:val="18"/>
                <w:szCs w:val="18"/>
              </w:rPr>
            </w:pPr>
            <w:r>
              <w:rPr>
                <w:rFonts w:ascii="Arial Narrow" w:hAnsi="Arial Narrow"/>
                <w:sz w:val="18"/>
                <w:szCs w:val="18"/>
              </w:rPr>
              <w:t>2.本期增加金额</w:t>
            </w:r>
          </w:p>
        </w:tc>
        <w:tc>
          <w:tcPr>
            <w:tcW w:w="804" w:type="pct"/>
            <w:shd w:val="clear" w:color="auto" w:fill="auto"/>
            <w:vAlign w:val="center"/>
          </w:tcPr>
          <w:p w14:paraId="5703AE5A">
            <w:pPr>
              <w:jc w:val="right"/>
              <w:rPr>
                <w:rFonts w:ascii="Arial Narrow" w:hAnsi="Arial Narrow"/>
                <w:sz w:val="18"/>
                <w:szCs w:val="18"/>
              </w:rPr>
            </w:pPr>
            <w:r>
              <w:rPr>
                <w:rFonts w:ascii="Arial Narrow" w:hAnsi="Arial Narrow" w:eastAsia="等线"/>
                <w:color w:val="000000"/>
                <w:sz w:val="18"/>
                <w:szCs w:val="18"/>
              </w:rPr>
              <w:t>127,104,802.44</w:t>
            </w:r>
          </w:p>
        </w:tc>
        <w:tc>
          <w:tcPr>
            <w:tcW w:w="798" w:type="pct"/>
            <w:shd w:val="clear" w:color="auto" w:fill="auto"/>
            <w:vAlign w:val="center"/>
          </w:tcPr>
          <w:p w14:paraId="4344892A">
            <w:pPr>
              <w:jc w:val="right"/>
              <w:rPr>
                <w:rFonts w:ascii="Arial Narrow" w:hAnsi="Arial Narrow"/>
                <w:sz w:val="18"/>
                <w:szCs w:val="18"/>
              </w:rPr>
            </w:pPr>
            <w:r>
              <w:rPr>
                <w:rFonts w:ascii="Arial Narrow" w:hAnsi="Arial Narrow" w:eastAsia="等线"/>
                <w:color w:val="000000"/>
                <w:sz w:val="18"/>
                <w:szCs w:val="18"/>
              </w:rPr>
              <w:t>147,039,264.33</w:t>
            </w:r>
          </w:p>
        </w:tc>
        <w:tc>
          <w:tcPr>
            <w:tcW w:w="664" w:type="pct"/>
            <w:shd w:val="clear" w:color="auto" w:fill="auto"/>
            <w:vAlign w:val="center"/>
          </w:tcPr>
          <w:p w14:paraId="374EF244">
            <w:pPr>
              <w:jc w:val="right"/>
              <w:rPr>
                <w:rFonts w:ascii="Arial Narrow" w:hAnsi="Arial Narrow"/>
                <w:sz w:val="18"/>
                <w:szCs w:val="18"/>
              </w:rPr>
            </w:pPr>
            <w:r>
              <w:rPr>
                <w:rFonts w:ascii="Arial Narrow" w:hAnsi="Arial Narrow" w:eastAsia="等线"/>
                <w:color w:val="000000"/>
                <w:sz w:val="18"/>
                <w:szCs w:val="18"/>
              </w:rPr>
              <w:t>3,318,765.15</w:t>
            </w:r>
          </w:p>
        </w:tc>
        <w:tc>
          <w:tcPr>
            <w:tcW w:w="806" w:type="pct"/>
            <w:shd w:val="clear" w:color="auto" w:fill="auto"/>
            <w:vAlign w:val="center"/>
          </w:tcPr>
          <w:p w14:paraId="6AB0E4A8">
            <w:pPr>
              <w:jc w:val="right"/>
              <w:rPr>
                <w:rFonts w:ascii="Arial Narrow" w:hAnsi="Arial Narrow"/>
                <w:sz w:val="18"/>
                <w:szCs w:val="18"/>
              </w:rPr>
            </w:pPr>
            <w:r>
              <w:rPr>
                <w:rFonts w:ascii="Arial Narrow" w:hAnsi="Arial Narrow" w:eastAsia="等线"/>
                <w:color w:val="000000"/>
                <w:sz w:val="18"/>
                <w:szCs w:val="18"/>
              </w:rPr>
              <w:t>14,960,708.04</w:t>
            </w:r>
          </w:p>
        </w:tc>
        <w:tc>
          <w:tcPr>
            <w:tcW w:w="887" w:type="pct"/>
            <w:shd w:val="clear" w:color="auto" w:fill="auto"/>
            <w:vAlign w:val="center"/>
          </w:tcPr>
          <w:p w14:paraId="1F40E596">
            <w:pPr>
              <w:jc w:val="right"/>
              <w:rPr>
                <w:rFonts w:ascii="Arial Narrow" w:hAnsi="Arial Narrow"/>
                <w:sz w:val="18"/>
                <w:szCs w:val="18"/>
              </w:rPr>
            </w:pPr>
            <w:r>
              <w:rPr>
                <w:rFonts w:ascii="Arial Narrow" w:hAnsi="Arial Narrow" w:eastAsia="等线"/>
                <w:color w:val="000000"/>
                <w:sz w:val="18"/>
                <w:szCs w:val="18"/>
              </w:rPr>
              <w:t>292,423,539.96</w:t>
            </w:r>
          </w:p>
        </w:tc>
      </w:tr>
      <w:tr w14:paraId="7770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20D2F55">
            <w:pPr>
              <w:rPr>
                <w:rFonts w:ascii="Arial Narrow" w:hAnsi="Arial Narrow"/>
                <w:sz w:val="18"/>
                <w:szCs w:val="18"/>
              </w:rPr>
            </w:pPr>
            <w:r>
              <w:rPr>
                <w:rFonts w:ascii="Arial Narrow" w:hAnsi="Arial Narrow"/>
                <w:sz w:val="18"/>
                <w:szCs w:val="18"/>
              </w:rPr>
              <w:t>（1）计提</w:t>
            </w:r>
          </w:p>
        </w:tc>
        <w:tc>
          <w:tcPr>
            <w:tcW w:w="804" w:type="pct"/>
            <w:shd w:val="clear" w:color="auto" w:fill="auto"/>
            <w:vAlign w:val="center"/>
          </w:tcPr>
          <w:p w14:paraId="4EDD86F3">
            <w:pPr>
              <w:jc w:val="right"/>
              <w:rPr>
                <w:rFonts w:ascii="Arial Narrow" w:hAnsi="Arial Narrow"/>
                <w:sz w:val="18"/>
                <w:szCs w:val="18"/>
              </w:rPr>
            </w:pPr>
            <w:r>
              <w:rPr>
                <w:rFonts w:ascii="Arial Narrow" w:hAnsi="Arial Narrow" w:eastAsia="等线"/>
                <w:color w:val="000000"/>
                <w:sz w:val="18"/>
                <w:szCs w:val="18"/>
              </w:rPr>
              <w:t>124,863,242.35</w:t>
            </w:r>
          </w:p>
        </w:tc>
        <w:tc>
          <w:tcPr>
            <w:tcW w:w="798" w:type="pct"/>
            <w:shd w:val="clear" w:color="auto" w:fill="auto"/>
            <w:vAlign w:val="center"/>
          </w:tcPr>
          <w:p w14:paraId="238F0587">
            <w:pPr>
              <w:jc w:val="right"/>
              <w:rPr>
                <w:rFonts w:ascii="Arial Narrow" w:hAnsi="Arial Narrow"/>
                <w:sz w:val="18"/>
                <w:szCs w:val="18"/>
              </w:rPr>
            </w:pPr>
            <w:r>
              <w:rPr>
                <w:rFonts w:ascii="Arial Narrow" w:hAnsi="Arial Narrow" w:eastAsia="等线"/>
                <w:color w:val="000000"/>
                <w:sz w:val="18"/>
                <w:szCs w:val="18"/>
              </w:rPr>
              <w:t>147,039,264.33</w:t>
            </w:r>
          </w:p>
        </w:tc>
        <w:tc>
          <w:tcPr>
            <w:tcW w:w="664" w:type="pct"/>
            <w:shd w:val="clear" w:color="auto" w:fill="auto"/>
            <w:vAlign w:val="center"/>
          </w:tcPr>
          <w:p w14:paraId="40D3D014">
            <w:pPr>
              <w:jc w:val="right"/>
              <w:rPr>
                <w:rFonts w:ascii="Arial Narrow" w:hAnsi="Arial Narrow"/>
                <w:sz w:val="18"/>
                <w:szCs w:val="18"/>
              </w:rPr>
            </w:pPr>
            <w:r>
              <w:rPr>
                <w:rFonts w:ascii="Arial Narrow" w:hAnsi="Arial Narrow" w:eastAsia="等线"/>
                <w:color w:val="000000"/>
                <w:sz w:val="18"/>
                <w:szCs w:val="18"/>
              </w:rPr>
              <w:t>3,318,765.15</w:t>
            </w:r>
          </w:p>
        </w:tc>
        <w:tc>
          <w:tcPr>
            <w:tcW w:w="806" w:type="pct"/>
            <w:shd w:val="clear" w:color="auto" w:fill="auto"/>
            <w:vAlign w:val="center"/>
          </w:tcPr>
          <w:p w14:paraId="18E26669">
            <w:pPr>
              <w:jc w:val="right"/>
              <w:rPr>
                <w:rFonts w:ascii="Arial Narrow" w:hAnsi="Arial Narrow"/>
                <w:sz w:val="18"/>
                <w:szCs w:val="18"/>
              </w:rPr>
            </w:pPr>
            <w:r>
              <w:rPr>
                <w:rFonts w:ascii="Arial Narrow" w:hAnsi="Arial Narrow" w:eastAsia="等线"/>
                <w:color w:val="000000"/>
                <w:sz w:val="18"/>
                <w:szCs w:val="18"/>
              </w:rPr>
              <w:t>14,960,708.04</w:t>
            </w:r>
          </w:p>
        </w:tc>
        <w:tc>
          <w:tcPr>
            <w:tcW w:w="887" w:type="pct"/>
            <w:shd w:val="clear" w:color="auto" w:fill="auto"/>
            <w:vAlign w:val="center"/>
          </w:tcPr>
          <w:p w14:paraId="407F8723">
            <w:pPr>
              <w:jc w:val="right"/>
              <w:rPr>
                <w:rFonts w:ascii="Arial Narrow" w:hAnsi="Arial Narrow"/>
                <w:sz w:val="18"/>
                <w:szCs w:val="18"/>
              </w:rPr>
            </w:pPr>
            <w:r>
              <w:rPr>
                <w:rFonts w:ascii="Arial Narrow" w:hAnsi="Arial Narrow" w:eastAsia="等线"/>
                <w:color w:val="000000"/>
                <w:sz w:val="18"/>
                <w:szCs w:val="18"/>
              </w:rPr>
              <w:t>290,181,979.87</w:t>
            </w:r>
          </w:p>
        </w:tc>
      </w:tr>
      <w:tr w14:paraId="1393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233C19D4">
            <w:pPr>
              <w:rPr>
                <w:rFonts w:ascii="Arial Narrow" w:hAnsi="Arial Narrow"/>
                <w:sz w:val="18"/>
                <w:szCs w:val="18"/>
              </w:rPr>
            </w:pPr>
            <w:r>
              <w:rPr>
                <w:rFonts w:ascii="Arial Narrow" w:hAnsi="Arial Narrow"/>
                <w:sz w:val="18"/>
                <w:szCs w:val="18"/>
              </w:rPr>
              <w:t>（2）其他增加</w:t>
            </w:r>
          </w:p>
        </w:tc>
        <w:tc>
          <w:tcPr>
            <w:tcW w:w="804" w:type="pct"/>
            <w:shd w:val="clear" w:color="auto" w:fill="auto"/>
            <w:vAlign w:val="center"/>
          </w:tcPr>
          <w:p w14:paraId="53B7B175">
            <w:pPr>
              <w:jc w:val="right"/>
              <w:rPr>
                <w:rFonts w:ascii="Arial Narrow" w:hAnsi="Arial Narrow"/>
                <w:sz w:val="18"/>
                <w:szCs w:val="18"/>
              </w:rPr>
            </w:pPr>
            <w:r>
              <w:rPr>
                <w:rFonts w:ascii="Arial Narrow" w:hAnsi="Arial Narrow" w:eastAsia="等线"/>
                <w:color w:val="000000"/>
                <w:sz w:val="18"/>
                <w:szCs w:val="18"/>
              </w:rPr>
              <w:t>2,241,560.09</w:t>
            </w:r>
          </w:p>
        </w:tc>
        <w:tc>
          <w:tcPr>
            <w:tcW w:w="798" w:type="pct"/>
            <w:shd w:val="clear" w:color="auto" w:fill="auto"/>
            <w:vAlign w:val="center"/>
          </w:tcPr>
          <w:p w14:paraId="491FAE5E">
            <w:pPr>
              <w:jc w:val="right"/>
              <w:rPr>
                <w:rFonts w:ascii="Arial Narrow" w:hAnsi="Arial Narrow"/>
                <w:sz w:val="18"/>
                <w:szCs w:val="18"/>
              </w:rPr>
            </w:pPr>
          </w:p>
        </w:tc>
        <w:tc>
          <w:tcPr>
            <w:tcW w:w="664" w:type="pct"/>
            <w:shd w:val="clear" w:color="auto" w:fill="auto"/>
            <w:vAlign w:val="center"/>
          </w:tcPr>
          <w:p w14:paraId="5F713652">
            <w:pPr>
              <w:jc w:val="right"/>
              <w:rPr>
                <w:rFonts w:ascii="Arial Narrow" w:hAnsi="Arial Narrow"/>
                <w:sz w:val="18"/>
                <w:szCs w:val="18"/>
              </w:rPr>
            </w:pPr>
          </w:p>
        </w:tc>
        <w:tc>
          <w:tcPr>
            <w:tcW w:w="806" w:type="pct"/>
            <w:shd w:val="clear" w:color="auto" w:fill="auto"/>
            <w:vAlign w:val="center"/>
          </w:tcPr>
          <w:p w14:paraId="153DD064">
            <w:pPr>
              <w:jc w:val="right"/>
              <w:rPr>
                <w:rFonts w:ascii="Arial Narrow" w:hAnsi="Arial Narrow"/>
                <w:sz w:val="18"/>
                <w:szCs w:val="18"/>
              </w:rPr>
            </w:pPr>
          </w:p>
        </w:tc>
        <w:tc>
          <w:tcPr>
            <w:tcW w:w="887" w:type="pct"/>
            <w:shd w:val="clear" w:color="auto" w:fill="auto"/>
            <w:vAlign w:val="center"/>
          </w:tcPr>
          <w:p w14:paraId="7F7055AE">
            <w:pPr>
              <w:jc w:val="right"/>
              <w:rPr>
                <w:rFonts w:ascii="Arial Narrow" w:hAnsi="Arial Narrow"/>
                <w:sz w:val="18"/>
                <w:szCs w:val="18"/>
              </w:rPr>
            </w:pPr>
            <w:r>
              <w:rPr>
                <w:rFonts w:ascii="Arial Narrow" w:hAnsi="Arial Narrow" w:eastAsia="等线"/>
                <w:color w:val="000000"/>
                <w:sz w:val="18"/>
                <w:szCs w:val="18"/>
              </w:rPr>
              <w:t>2,241,560.09</w:t>
            </w:r>
          </w:p>
        </w:tc>
      </w:tr>
      <w:tr w14:paraId="2027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0FE60EF">
            <w:pPr>
              <w:rPr>
                <w:rFonts w:ascii="Arial Narrow" w:hAnsi="Arial Narrow"/>
                <w:sz w:val="18"/>
                <w:szCs w:val="18"/>
              </w:rPr>
            </w:pPr>
            <w:r>
              <w:rPr>
                <w:rFonts w:ascii="Arial Narrow" w:hAnsi="Arial Narrow"/>
                <w:sz w:val="18"/>
                <w:szCs w:val="18"/>
              </w:rPr>
              <w:t>3.本期减少金额</w:t>
            </w:r>
          </w:p>
        </w:tc>
        <w:tc>
          <w:tcPr>
            <w:tcW w:w="804" w:type="pct"/>
            <w:shd w:val="clear" w:color="auto" w:fill="auto"/>
            <w:vAlign w:val="center"/>
          </w:tcPr>
          <w:p w14:paraId="39D951B8">
            <w:pPr>
              <w:jc w:val="right"/>
              <w:rPr>
                <w:rFonts w:ascii="Arial Narrow" w:hAnsi="Arial Narrow"/>
                <w:sz w:val="18"/>
                <w:szCs w:val="18"/>
              </w:rPr>
            </w:pPr>
            <w:r>
              <w:rPr>
                <w:rFonts w:ascii="Arial Narrow" w:hAnsi="Arial Narrow" w:eastAsia="等线"/>
                <w:color w:val="000000"/>
                <w:sz w:val="18"/>
                <w:szCs w:val="18"/>
              </w:rPr>
              <w:t>11,707,318.12</w:t>
            </w:r>
          </w:p>
        </w:tc>
        <w:tc>
          <w:tcPr>
            <w:tcW w:w="798" w:type="pct"/>
            <w:shd w:val="clear" w:color="auto" w:fill="auto"/>
            <w:vAlign w:val="center"/>
          </w:tcPr>
          <w:p w14:paraId="6120CFB7">
            <w:pPr>
              <w:jc w:val="right"/>
              <w:rPr>
                <w:rFonts w:ascii="Arial Narrow" w:hAnsi="Arial Narrow"/>
                <w:sz w:val="18"/>
                <w:szCs w:val="18"/>
              </w:rPr>
            </w:pPr>
            <w:r>
              <w:rPr>
                <w:rFonts w:ascii="Arial Narrow" w:hAnsi="Arial Narrow" w:eastAsia="等线"/>
                <w:color w:val="000000"/>
                <w:sz w:val="18"/>
                <w:szCs w:val="18"/>
              </w:rPr>
              <w:t>33,682,335.89</w:t>
            </w:r>
          </w:p>
        </w:tc>
        <w:tc>
          <w:tcPr>
            <w:tcW w:w="664" w:type="pct"/>
            <w:shd w:val="clear" w:color="auto" w:fill="auto"/>
            <w:vAlign w:val="center"/>
          </w:tcPr>
          <w:p w14:paraId="42CD9CE9">
            <w:pPr>
              <w:jc w:val="right"/>
              <w:rPr>
                <w:rFonts w:ascii="Arial Narrow" w:hAnsi="Arial Narrow"/>
                <w:sz w:val="18"/>
                <w:szCs w:val="18"/>
              </w:rPr>
            </w:pPr>
            <w:r>
              <w:rPr>
                <w:rFonts w:ascii="Arial Narrow" w:hAnsi="Arial Narrow" w:eastAsia="等线"/>
                <w:color w:val="000000"/>
                <w:sz w:val="18"/>
                <w:szCs w:val="18"/>
              </w:rPr>
              <w:t>4,394,442.84</w:t>
            </w:r>
          </w:p>
        </w:tc>
        <w:tc>
          <w:tcPr>
            <w:tcW w:w="806" w:type="pct"/>
            <w:shd w:val="clear" w:color="auto" w:fill="auto"/>
            <w:vAlign w:val="center"/>
          </w:tcPr>
          <w:p w14:paraId="65097307">
            <w:pPr>
              <w:jc w:val="right"/>
              <w:rPr>
                <w:rFonts w:ascii="Arial Narrow" w:hAnsi="Arial Narrow"/>
                <w:sz w:val="18"/>
                <w:szCs w:val="18"/>
              </w:rPr>
            </w:pPr>
            <w:r>
              <w:rPr>
                <w:rFonts w:ascii="Arial Narrow" w:hAnsi="Arial Narrow" w:eastAsia="等线"/>
                <w:color w:val="000000"/>
                <w:sz w:val="18"/>
                <w:szCs w:val="18"/>
              </w:rPr>
              <w:t>7,108,669.40</w:t>
            </w:r>
          </w:p>
        </w:tc>
        <w:tc>
          <w:tcPr>
            <w:tcW w:w="887" w:type="pct"/>
            <w:shd w:val="clear" w:color="auto" w:fill="auto"/>
            <w:vAlign w:val="center"/>
          </w:tcPr>
          <w:p w14:paraId="368ED253">
            <w:pPr>
              <w:jc w:val="right"/>
              <w:rPr>
                <w:rFonts w:ascii="Arial Narrow" w:hAnsi="Arial Narrow"/>
                <w:sz w:val="18"/>
                <w:szCs w:val="18"/>
              </w:rPr>
            </w:pPr>
            <w:r>
              <w:rPr>
                <w:rFonts w:ascii="Arial Narrow" w:hAnsi="Arial Narrow" w:eastAsia="等线"/>
                <w:color w:val="000000"/>
                <w:sz w:val="18"/>
                <w:szCs w:val="18"/>
              </w:rPr>
              <w:t>56,892,766.25</w:t>
            </w:r>
          </w:p>
        </w:tc>
      </w:tr>
      <w:tr w14:paraId="3009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2593F4EB">
            <w:pPr>
              <w:rPr>
                <w:rFonts w:ascii="Arial Narrow" w:hAnsi="Arial Narrow"/>
                <w:sz w:val="18"/>
                <w:szCs w:val="18"/>
              </w:rPr>
            </w:pPr>
            <w:r>
              <w:rPr>
                <w:rFonts w:ascii="Arial Narrow" w:hAnsi="Arial Narrow"/>
                <w:sz w:val="18"/>
                <w:szCs w:val="18"/>
              </w:rPr>
              <w:t>（1）处置或报废</w:t>
            </w:r>
          </w:p>
        </w:tc>
        <w:tc>
          <w:tcPr>
            <w:tcW w:w="804" w:type="pct"/>
            <w:shd w:val="clear" w:color="auto" w:fill="auto"/>
            <w:vAlign w:val="center"/>
          </w:tcPr>
          <w:p w14:paraId="3827A27B">
            <w:pPr>
              <w:jc w:val="right"/>
              <w:rPr>
                <w:rFonts w:ascii="Arial Narrow" w:hAnsi="Arial Narrow"/>
                <w:sz w:val="18"/>
                <w:szCs w:val="18"/>
              </w:rPr>
            </w:pPr>
            <w:r>
              <w:rPr>
                <w:rFonts w:ascii="Arial Narrow" w:hAnsi="Arial Narrow" w:eastAsia="等线"/>
                <w:color w:val="000000"/>
                <w:sz w:val="18"/>
                <w:szCs w:val="18"/>
              </w:rPr>
              <w:t>1,685,970.67</w:t>
            </w:r>
          </w:p>
        </w:tc>
        <w:tc>
          <w:tcPr>
            <w:tcW w:w="798" w:type="pct"/>
            <w:shd w:val="clear" w:color="auto" w:fill="auto"/>
            <w:vAlign w:val="center"/>
          </w:tcPr>
          <w:p w14:paraId="63910A9E">
            <w:pPr>
              <w:jc w:val="right"/>
              <w:rPr>
                <w:rFonts w:ascii="Arial Narrow" w:hAnsi="Arial Narrow"/>
                <w:sz w:val="18"/>
                <w:szCs w:val="18"/>
              </w:rPr>
            </w:pPr>
            <w:r>
              <w:rPr>
                <w:rFonts w:ascii="Arial Narrow" w:hAnsi="Arial Narrow" w:eastAsia="等线"/>
                <w:color w:val="000000"/>
                <w:sz w:val="18"/>
                <w:szCs w:val="18"/>
              </w:rPr>
              <w:t>33,565,157.63</w:t>
            </w:r>
          </w:p>
        </w:tc>
        <w:tc>
          <w:tcPr>
            <w:tcW w:w="664" w:type="pct"/>
            <w:shd w:val="clear" w:color="auto" w:fill="auto"/>
            <w:vAlign w:val="center"/>
          </w:tcPr>
          <w:p w14:paraId="4E51499B">
            <w:pPr>
              <w:jc w:val="right"/>
              <w:rPr>
                <w:rFonts w:ascii="Arial Narrow" w:hAnsi="Arial Narrow"/>
                <w:sz w:val="18"/>
                <w:szCs w:val="18"/>
              </w:rPr>
            </w:pPr>
            <w:r>
              <w:rPr>
                <w:rFonts w:ascii="Arial Narrow" w:hAnsi="Arial Narrow" w:eastAsia="等线"/>
                <w:color w:val="000000"/>
                <w:sz w:val="18"/>
                <w:szCs w:val="18"/>
              </w:rPr>
              <w:t>4,394,442.84</w:t>
            </w:r>
          </w:p>
        </w:tc>
        <w:tc>
          <w:tcPr>
            <w:tcW w:w="806" w:type="pct"/>
            <w:shd w:val="clear" w:color="auto" w:fill="auto"/>
            <w:vAlign w:val="center"/>
          </w:tcPr>
          <w:p w14:paraId="1F81A2F7">
            <w:pPr>
              <w:jc w:val="right"/>
              <w:rPr>
                <w:rFonts w:ascii="Arial Narrow" w:hAnsi="Arial Narrow"/>
                <w:sz w:val="18"/>
                <w:szCs w:val="18"/>
              </w:rPr>
            </w:pPr>
            <w:r>
              <w:rPr>
                <w:rFonts w:ascii="Arial Narrow" w:hAnsi="Arial Narrow" w:eastAsia="等线"/>
                <w:color w:val="000000"/>
                <w:sz w:val="18"/>
                <w:szCs w:val="18"/>
              </w:rPr>
              <w:t>6,929,362.03</w:t>
            </w:r>
          </w:p>
        </w:tc>
        <w:tc>
          <w:tcPr>
            <w:tcW w:w="887" w:type="pct"/>
            <w:shd w:val="clear" w:color="auto" w:fill="auto"/>
            <w:vAlign w:val="center"/>
          </w:tcPr>
          <w:p w14:paraId="4B55A789">
            <w:pPr>
              <w:jc w:val="right"/>
              <w:rPr>
                <w:rFonts w:ascii="Arial Narrow" w:hAnsi="Arial Narrow"/>
                <w:sz w:val="18"/>
                <w:szCs w:val="18"/>
              </w:rPr>
            </w:pPr>
            <w:r>
              <w:rPr>
                <w:rFonts w:ascii="Arial Narrow" w:hAnsi="Arial Narrow" w:eastAsia="等线"/>
                <w:color w:val="000000"/>
                <w:sz w:val="18"/>
                <w:szCs w:val="18"/>
              </w:rPr>
              <w:t>46,574,933.17</w:t>
            </w:r>
          </w:p>
        </w:tc>
      </w:tr>
      <w:tr w14:paraId="43F0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65B9F3E7">
            <w:pPr>
              <w:rPr>
                <w:rFonts w:ascii="Arial Narrow" w:hAnsi="Arial Narrow"/>
                <w:sz w:val="18"/>
                <w:szCs w:val="18"/>
              </w:rPr>
            </w:pPr>
            <w:r>
              <w:rPr>
                <w:rFonts w:ascii="Arial Narrow" w:hAnsi="Arial Narrow"/>
                <w:sz w:val="18"/>
                <w:szCs w:val="18"/>
              </w:rPr>
              <w:t>（2）其他减少</w:t>
            </w:r>
          </w:p>
        </w:tc>
        <w:tc>
          <w:tcPr>
            <w:tcW w:w="804" w:type="pct"/>
            <w:shd w:val="clear" w:color="auto" w:fill="auto"/>
            <w:vAlign w:val="center"/>
          </w:tcPr>
          <w:p w14:paraId="29CED610">
            <w:pPr>
              <w:jc w:val="right"/>
              <w:rPr>
                <w:rFonts w:ascii="Arial Narrow" w:hAnsi="Arial Narrow"/>
                <w:sz w:val="18"/>
                <w:szCs w:val="18"/>
              </w:rPr>
            </w:pPr>
            <w:r>
              <w:rPr>
                <w:rFonts w:ascii="Arial Narrow" w:hAnsi="Arial Narrow" w:eastAsia="等线"/>
                <w:color w:val="000000"/>
                <w:sz w:val="18"/>
                <w:szCs w:val="18"/>
              </w:rPr>
              <w:t>10,021,347.45</w:t>
            </w:r>
          </w:p>
        </w:tc>
        <w:tc>
          <w:tcPr>
            <w:tcW w:w="798" w:type="pct"/>
            <w:shd w:val="clear" w:color="auto" w:fill="auto"/>
            <w:vAlign w:val="center"/>
          </w:tcPr>
          <w:p w14:paraId="7EF6E1ED">
            <w:pPr>
              <w:jc w:val="right"/>
              <w:rPr>
                <w:rFonts w:ascii="Arial Narrow" w:hAnsi="Arial Narrow"/>
                <w:sz w:val="18"/>
                <w:szCs w:val="18"/>
              </w:rPr>
            </w:pPr>
            <w:r>
              <w:rPr>
                <w:rFonts w:ascii="Arial Narrow" w:hAnsi="Arial Narrow" w:eastAsia="等线"/>
                <w:color w:val="000000"/>
                <w:sz w:val="18"/>
                <w:szCs w:val="18"/>
              </w:rPr>
              <w:t>117,178.26</w:t>
            </w:r>
          </w:p>
        </w:tc>
        <w:tc>
          <w:tcPr>
            <w:tcW w:w="664" w:type="pct"/>
            <w:shd w:val="clear" w:color="auto" w:fill="auto"/>
            <w:vAlign w:val="center"/>
          </w:tcPr>
          <w:p w14:paraId="60463130">
            <w:pPr>
              <w:jc w:val="right"/>
              <w:rPr>
                <w:rFonts w:ascii="Arial Narrow" w:hAnsi="Arial Narrow"/>
                <w:sz w:val="18"/>
                <w:szCs w:val="18"/>
              </w:rPr>
            </w:pPr>
          </w:p>
        </w:tc>
        <w:tc>
          <w:tcPr>
            <w:tcW w:w="806" w:type="pct"/>
            <w:shd w:val="clear" w:color="auto" w:fill="auto"/>
            <w:vAlign w:val="center"/>
          </w:tcPr>
          <w:p w14:paraId="7FD9F472">
            <w:pPr>
              <w:jc w:val="right"/>
              <w:rPr>
                <w:rFonts w:ascii="Arial Narrow" w:hAnsi="Arial Narrow"/>
                <w:sz w:val="18"/>
                <w:szCs w:val="18"/>
              </w:rPr>
            </w:pPr>
            <w:r>
              <w:rPr>
                <w:rFonts w:ascii="Arial Narrow" w:hAnsi="Arial Narrow" w:eastAsia="等线"/>
                <w:color w:val="000000"/>
                <w:sz w:val="18"/>
                <w:szCs w:val="18"/>
              </w:rPr>
              <w:t>179,307.37</w:t>
            </w:r>
          </w:p>
        </w:tc>
        <w:tc>
          <w:tcPr>
            <w:tcW w:w="887" w:type="pct"/>
            <w:shd w:val="clear" w:color="auto" w:fill="auto"/>
            <w:vAlign w:val="center"/>
          </w:tcPr>
          <w:p w14:paraId="6783BCD6">
            <w:pPr>
              <w:jc w:val="right"/>
              <w:rPr>
                <w:rFonts w:ascii="Arial Narrow" w:hAnsi="Arial Narrow"/>
                <w:sz w:val="18"/>
                <w:szCs w:val="18"/>
              </w:rPr>
            </w:pPr>
            <w:r>
              <w:rPr>
                <w:rFonts w:ascii="Arial Narrow" w:hAnsi="Arial Narrow" w:eastAsia="等线"/>
                <w:color w:val="000000"/>
                <w:sz w:val="18"/>
                <w:szCs w:val="18"/>
              </w:rPr>
              <w:t>10,317,833.08</w:t>
            </w:r>
          </w:p>
        </w:tc>
      </w:tr>
      <w:tr w14:paraId="1808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3B4197A9">
            <w:pPr>
              <w:rPr>
                <w:rFonts w:ascii="Arial Narrow" w:hAnsi="Arial Narrow"/>
                <w:sz w:val="18"/>
                <w:szCs w:val="18"/>
              </w:rPr>
            </w:pPr>
            <w:r>
              <w:rPr>
                <w:rFonts w:ascii="Arial Narrow" w:hAnsi="Arial Narrow"/>
                <w:sz w:val="18"/>
                <w:szCs w:val="18"/>
              </w:rPr>
              <w:t>4.期末余额</w:t>
            </w:r>
          </w:p>
        </w:tc>
        <w:tc>
          <w:tcPr>
            <w:tcW w:w="804" w:type="pct"/>
            <w:shd w:val="clear" w:color="auto" w:fill="auto"/>
            <w:vAlign w:val="center"/>
          </w:tcPr>
          <w:p w14:paraId="5E640336">
            <w:pPr>
              <w:jc w:val="right"/>
              <w:rPr>
                <w:rFonts w:ascii="Arial Narrow" w:hAnsi="Arial Narrow"/>
                <w:sz w:val="18"/>
                <w:szCs w:val="18"/>
              </w:rPr>
            </w:pPr>
            <w:r>
              <w:rPr>
                <w:rFonts w:ascii="Arial Narrow" w:hAnsi="Arial Narrow" w:eastAsia="等线"/>
                <w:color w:val="000000"/>
                <w:sz w:val="18"/>
                <w:szCs w:val="18"/>
              </w:rPr>
              <w:t>1,324,777,938.46</w:t>
            </w:r>
          </w:p>
        </w:tc>
        <w:tc>
          <w:tcPr>
            <w:tcW w:w="798" w:type="pct"/>
            <w:shd w:val="clear" w:color="auto" w:fill="auto"/>
            <w:vAlign w:val="center"/>
          </w:tcPr>
          <w:p w14:paraId="3DDC2022">
            <w:pPr>
              <w:jc w:val="right"/>
              <w:rPr>
                <w:rFonts w:ascii="Arial Narrow" w:hAnsi="Arial Narrow"/>
                <w:sz w:val="18"/>
                <w:szCs w:val="18"/>
              </w:rPr>
            </w:pPr>
            <w:r>
              <w:rPr>
                <w:rFonts w:ascii="Arial Narrow" w:hAnsi="Arial Narrow" w:eastAsia="等线"/>
                <w:color w:val="000000"/>
                <w:sz w:val="18"/>
                <w:szCs w:val="18"/>
              </w:rPr>
              <w:t>2,041,235,236.41</w:t>
            </w:r>
          </w:p>
        </w:tc>
        <w:tc>
          <w:tcPr>
            <w:tcW w:w="664" w:type="pct"/>
            <w:shd w:val="clear" w:color="auto" w:fill="auto"/>
            <w:vAlign w:val="center"/>
          </w:tcPr>
          <w:p w14:paraId="40C9994F">
            <w:pPr>
              <w:jc w:val="right"/>
              <w:rPr>
                <w:rFonts w:ascii="Arial Narrow" w:hAnsi="Arial Narrow"/>
                <w:sz w:val="18"/>
                <w:szCs w:val="18"/>
              </w:rPr>
            </w:pPr>
            <w:r>
              <w:rPr>
                <w:rFonts w:ascii="Arial Narrow" w:hAnsi="Arial Narrow" w:eastAsia="等线"/>
                <w:color w:val="000000"/>
                <w:sz w:val="18"/>
                <w:szCs w:val="18"/>
              </w:rPr>
              <w:t>50,702,329.09</w:t>
            </w:r>
          </w:p>
        </w:tc>
        <w:tc>
          <w:tcPr>
            <w:tcW w:w="806" w:type="pct"/>
            <w:shd w:val="clear" w:color="auto" w:fill="auto"/>
            <w:vAlign w:val="center"/>
          </w:tcPr>
          <w:p w14:paraId="110B4731">
            <w:pPr>
              <w:jc w:val="right"/>
              <w:rPr>
                <w:rFonts w:ascii="Arial Narrow" w:hAnsi="Arial Narrow"/>
                <w:sz w:val="18"/>
                <w:szCs w:val="18"/>
              </w:rPr>
            </w:pPr>
            <w:r>
              <w:rPr>
                <w:rFonts w:ascii="Arial Narrow" w:hAnsi="Arial Narrow" w:eastAsia="等线"/>
                <w:color w:val="000000"/>
                <w:sz w:val="18"/>
                <w:szCs w:val="18"/>
              </w:rPr>
              <w:t>137,918,490.20</w:t>
            </w:r>
          </w:p>
        </w:tc>
        <w:tc>
          <w:tcPr>
            <w:tcW w:w="887" w:type="pct"/>
            <w:shd w:val="clear" w:color="auto" w:fill="auto"/>
            <w:vAlign w:val="center"/>
          </w:tcPr>
          <w:p w14:paraId="78B6CDF5">
            <w:pPr>
              <w:jc w:val="right"/>
              <w:rPr>
                <w:rFonts w:ascii="Arial Narrow" w:hAnsi="Arial Narrow"/>
                <w:sz w:val="18"/>
                <w:szCs w:val="18"/>
              </w:rPr>
            </w:pPr>
            <w:r>
              <w:rPr>
                <w:rFonts w:ascii="Arial Narrow" w:hAnsi="Arial Narrow" w:eastAsia="等线"/>
                <w:color w:val="000000"/>
                <w:sz w:val="18"/>
                <w:szCs w:val="18"/>
              </w:rPr>
              <w:t>3,554,633,994.16</w:t>
            </w:r>
          </w:p>
        </w:tc>
      </w:tr>
      <w:tr w14:paraId="0B97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sz w:val="18"/>
              <w:szCs w:val="18"/>
            </w:rPr>
            <w:tag w:val="_PLD_b98cd9e8075a44b28b16fc9fd4c3c81f"/>
            <w:id w:val="-2144034213"/>
          </w:sdtPr>
          <w:sdtEndPr>
            <w:rPr>
              <w:rFonts w:ascii="Arial Narrow" w:hAnsi="Arial Narrow"/>
              <w:sz w:val="18"/>
              <w:szCs w:val="18"/>
            </w:rPr>
          </w:sdtEndPr>
          <w:sdtContent>
            <w:tc>
              <w:tcPr>
                <w:tcW w:w="5000" w:type="pct"/>
                <w:gridSpan w:val="6"/>
                <w:shd w:val="clear" w:color="auto" w:fill="auto"/>
              </w:tcPr>
              <w:p w14:paraId="0B064BD6">
                <w:pPr>
                  <w:rPr>
                    <w:rFonts w:ascii="Arial Narrow" w:hAnsi="Arial Narrow"/>
                    <w:sz w:val="18"/>
                    <w:szCs w:val="18"/>
                  </w:rPr>
                </w:pPr>
                <w:r>
                  <w:rPr>
                    <w:rFonts w:ascii="Arial Narrow" w:hAnsi="Arial Narrow"/>
                    <w:sz w:val="18"/>
                    <w:szCs w:val="18"/>
                  </w:rPr>
                  <w:t>三、减值准备</w:t>
                </w:r>
              </w:p>
            </w:tc>
          </w:sdtContent>
        </w:sdt>
      </w:tr>
      <w:tr w14:paraId="014A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60B8D798">
            <w:pPr>
              <w:rPr>
                <w:rFonts w:ascii="Arial Narrow" w:hAnsi="Arial Narrow"/>
                <w:sz w:val="18"/>
                <w:szCs w:val="18"/>
              </w:rPr>
            </w:pPr>
            <w:r>
              <w:rPr>
                <w:rFonts w:ascii="Arial Narrow" w:hAnsi="Arial Narrow"/>
                <w:sz w:val="18"/>
                <w:szCs w:val="18"/>
              </w:rPr>
              <w:t>1.期初余额</w:t>
            </w:r>
          </w:p>
        </w:tc>
        <w:tc>
          <w:tcPr>
            <w:tcW w:w="804" w:type="pct"/>
            <w:shd w:val="clear" w:color="auto" w:fill="auto"/>
            <w:vAlign w:val="center"/>
          </w:tcPr>
          <w:p w14:paraId="2E33C653">
            <w:pPr>
              <w:jc w:val="right"/>
              <w:rPr>
                <w:rFonts w:ascii="Arial Narrow" w:hAnsi="Arial Narrow"/>
                <w:sz w:val="18"/>
                <w:szCs w:val="18"/>
              </w:rPr>
            </w:pPr>
            <w:r>
              <w:rPr>
                <w:rFonts w:ascii="Arial Narrow" w:hAnsi="Arial Narrow" w:eastAsia="等线"/>
                <w:color w:val="000000"/>
                <w:sz w:val="18"/>
                <w:szCs w:val="18"/>
              </w:rPr>
              <w:t>380,650.94</w:t>
            </w:r>
          </w:p>
        </w:tc>
        <w:tc>
          <w:tcPr>
            <w:tcW w:w="798" w:type="pct"/>
            <w:shd w:val="clear" w:color="auto" w:fill="auto"/>
            <w:vAlign w:val="center"/>
          </w:tcPr>
          <w:p w14:paraId="134C2B68">
            <w:pPr>
              <w:jc w:val="right"/>
              <w:rPr>
                <w:rFonts w:ascii="Arial Narrow" w:hAnsi="Arial Narrow"/>
                <w:sz w:val="18"/>
                <w:szCs w:val="18"/>
              </w:rPr>
            </w:pPr>
            <w:r>
              <w:rPr>
                <w:rFonts w:ascii="Arial Narrow" w:hAnsi="Arial Narrow" w:eastAsia="等线"/>
                <w:color w:val="000000"/>
                <w:sz w:val="18"/>
                <w:szCs w:val="18"/>
              </w:rPr>
              <w:t>49,140.29</w:t>
            </w:r>
          </w:p>
        </w:tc>
        <w:tc>
          <w:tcPr>
            <w:tcW w:w="664" w:type="pct"/>
            <w:shd w:val="clear" w:color="auto" w:fill="auto"/>
            <w:vAlign w:val="center"/>
          </w:tcPr>
          <w:p w14:paraId="6C29F2AB">
            <w:pPr>
              <w:jc w:val="right"/>
              <w:rPr>
                <w:rFonts w:ascii="Arial Narrow" w:hAnsi="Arial Narrow"/>
                <w:sz w:val="18"/>
                <w:szCs w:val="18"/>
              </w:rPr>
            </w:pPr>
          </w:p>
        </w:tc>
        <w:tc>
          <w:tcPr>
            <w:tcW w:w="806" w:type="pct"/>
            <w:shd w:val="clear" w:color="auto" w:fill="auto"/>
            <w:vAlign w:val="center"/>
          </w:tcPr>
          <w:p w14:paraId="204F8BAD">
            <w:pPr>
              <w:jc w:val="right"/>
              <w:rPr>
                <w:rFonts w:ascii="Arial Narrow" w:hAnsi="Arial Narrow"/>
                <w:sz w:val="18"/>
                <w:szCs w:val="18"/>
              </w:rPr>
            </w:pPr>
            <w:r>
              <w:rPr>
                <w:rFonts w:ascii="Arial Narrow" w:hAnsi="Arial Narrow" w:eastAsia="等线"/>
                <w:color w:val="000000"/>
                <w:sz w:val="18"/>
                <w:szCs w:val="18"/>
              </w:rPr>
              <w:t>5,181.30</w:t>
            </w:r>
          </w:p>
        </w:tc>
        <w:tc>
          <w:tcPr>
            <w:tcW w:w="887" w:type="pct"/>
            <w:shd w:val="clear" w:color="auto" w:fill="auto"/>
            <w:vAlign w:val="center"/>
          </w:tcPr>
          <w:p w14:paraId="26AE2193">
            <w:pPr>
              <w:jc w:val="right"/>
              <w:rPr>
                <w:rFonts w:ascii="Arial Narrow" w:hAnsi="Arial Narrow"/>
                <w:sz w:val="18"/>
                <w:szCs w:val="18"/>
              </w:rPr>
            </w:pPr>
            <w:r>
              <w:rPr>
                <w:rFonts w:ascii="Arial Narrow" w:hAnsi="Arial Narrow" w:eastAsia="等线"/>
                <w:color w:val="000000"/>
                <w:sz w:val="18"/>
                <w:szCs w:val="18"/>
              </w:rPr>
              <w:t>434,972.53</w:t>
            </w:r>
          </w:p>
        </w:tc>
      </w:tr>
      <w:tr w14:paraId="32CF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2BD8D4C3">
            <w:pPr>
              <w:rPr>
                <w:rFonts w:ascii="Arial Narrow" w:hAnsi="Arial Narrow"/>
                <w:sz w:val="18"/>
                <w:szCs w:val="18"/>
              </w:rPr>
            </w:pPr>
            <w:r>
              <w:rPr>
                <w:rFonts w:ascii="Arial Narrow" w:hAnsi="Arial Narrow"/>
                <w:sz w:val="18"/>
                <w:szCs w:val="18"/>
              </w:rPr>
              <w:t>2.本期增加金额</w:t>
            </w:r>
          </w:p>
        </w:tc>
        <w:tc>
          <w:tcPr>
            <w:tcW w:w="804" w:type="pct"/>
            <w:shd w:val="clear" w:color="auto" w:fill="auto"/>
            <w:vAlign w:val="center"/>
          </w:tcPr>
          <w:p w14:paraId="3867164E">
            <w:pPr>
              <w:jc w:val="right"/>
              <w:rPr>
                <w:rFonts w:ascii="Arial Narrow" w:hAnsi="Arial Narrow"/>
                <w:sz w:val="18"/>
                <w:szCs w:val="18"/>
              </w:rPr>
            </w:pPr>
            <w:r>
              <w:rPr>
                <w:rFonts w:ascii="Arial Narrow" w:hAnsi="Arial Narrow" w:eastAsia="等线"/>
                <w:color w:val="000000"/>
                <w:sz w:val="18"/>
                <w:szCs w:val="18"/>
              </w:rPr>
              <w:t>453,569,756.02</w:t>
            </w:r>
          </w:p>
        </w:tc>
        <w:tc>
          <w:tcPr>
            <w:tcW w:w="798" w:type="pct"/>
            <w:shd w:val="clear" w:color="auto" w:fill="auto"/>
            <w:vAlign w:val="center"/>
          </w:tcPr>
          <w:p w14:paraId="65CF8F07">
            <w:pPr>
              <w:jc w:val="right"/>
              <w:rPr>
                <w:rFonts w:ascii="Arial Narrow" w:hAnsi="Arial Narrow"/>
                <w:sz w:val="18"/>
                <w:szCs w:val="18"/>
              </w:rPr>
            </w:pPr>
            <w:r>
              <w:rPr>
                <w:rFonts w:ascii="Arial Narrow" w:hAnsi="Arial Narrow" w:eastAsia="等线"/>
                <w:color w:val="000000"/>
                <w:sz w:val="18"/>
                <w:szCs w:val="18"/>
              </w:rPr>
              <w:t>72,710,657.68</w:t>
            </w:r>
          </w:p>
        </w:tc>
        <w:tc>
          <w:tcPr>
            <w:tcW w:w="664" w:type="pct"/>
            <w:shd w:val="clear" w:color="auto" w:fill="auto"/>
            <w:vAlign w:val="center"/>
          </w:tcPr>
          <w:p w14:paraId="66AEFC39">
            <w:pPr>
              <w:jc w:val="right"/>
              <w:rPr>
                <w:rFonts w:ascii="Arial Narrow" w:hAnsi="Arial Narrow"/>
                <w:sz w:val="18"/>
                <w:szCs w:val="18"/>
              </w:rPr>
            </w:pPr>
            <w:r>
              <w:rPr>
                <w:rFonts w:ascii="Arial Narrow" w:hAnsi="Arial Narrow" w:eastAsia="等线"/>
                <w:color w:val="000000"/>
                <w:sz w:val="18"/>
                <w:szCs w:val="18"/>
              </w:rPr>
              <w:t>111,411.62</w:t>
            </w:r>
          </w:p>
        </w:tc>
        <w:tc>
          <w:tcPr>
            <w:tcW w:w="806" w:type="pct"/>
            <w:shd w:val="clear" w:color="auto" w:fill="auto"/>
            <w:vAlign w:val="center"/>
          </w:tcPr>
          <w:p w14:paraId="620EFA23">
            <w:pPr>
              <w:jc w:val="right"/>
              <w:rPr>
                <w:rFonts w:ascii="Arial Narrow" w:hAnsi="Arial Narrow"/>
                <w:sz w:val="18"/>
                <w:szCs w:val="18"/>
              </w:rPr>
            </w:pPr>
            <w:r>
              <w:rPr>
                <w:rFonts w:ascii="Arial Narrow" w:hAnsi="Arial Narrow" w:eastAsia="等线"/>
                <w:color w:val="000000"/>
                <w:sz w:val="18"/>
                <w:szCs w:val="18"/>
              </w:rPr>
              <w:t>103,577,035.34</w:t>
            </w:r>
          </w:p>
        </w:tc>
        <w:tc>
          <w:tcPr>
            <w:tcW w:w="887" w:type="pct"/>
            <w:shd w:val="clear" w:color="auto" w:fill="auto"/>
            <w:vAlign w:val="center"/>
          </w:tcPr>
          <w:p w14:paraId="739EEBFA">
            <w:pPr>
              <w:jc w:val="right"/>
              <w:rPr>
                <w:rFonts w:ascii="Arial Narrow" w:hAnsi="Arial Narrow"/>
                <w:sz w:val="18"/>
                <w:szCs w:val="18"/>
              </w:rPr>
            </w:pPr>
            <w:r>
              <w:rPr>
                <w:rFonts w:ascii="Arial Narrow" w:hAnsi="Arial Narrow" w:eastAsia="等线"/>
                <w:color w:val="000000"/>
                <w:sz w:val="18"/>
                <w:szCs w:val="18"/>
              </w:rPr>
              <w:t>629,968,860.66</w:t>
            </w:r>
          </w:p>
        </w:tc>
      </w:tr>
      <w:tr w14:paraId="458D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65F1685D">
            <w:pPr>
              <w:rPr>
                <w:rFonts w:ascii="Arial Narrow" w:hAnsi="Arial Narrow"/>
                <w:sz w:val="18"/>
                <w:szCs w:val="18"/>
              </w:rPr>
            </w:pPr>
            <w:r>
              <w:rPr>
                <w:rFonts w:ascii="Arial Narrow" w:hAnsi="Arial Narrow"/>
                <w:sz w:val="18"/>
                <w:szCs w:val="18"/>
              </w:rPr>
              <w:t>（1）计提</w:t>
            </w:r>
          </w:p>
        </w:tc>
        <w:tc>
          <w:tcPr>
            <w:tcW w:w="804" w:type="pct"/>
            <w:shd w:val="clear" w:color="auto" w:fill="auto"/>
            <w:vAlign w:val="center"/>
          </w:tcPr>
          <w:p w14:paraId="793D9418">
            <w:pPr>
              <w:jc w:val="right"/>
              <w:rPr>
                <w:rFonts w:ascii="Arial Narrow" w:hAnsi="Arial Narrow"/>
                <w:sz w:val="18"/>
                <w:szCs w:val="18"/>
              </w:rPr>
            </w:pPr>
            <w:r>
              <w:rPr>
                <w:rFonts w:ascii="Arial Narrow" w:hAnsi="Arial Narrow" w:eastAsia="等线"/>
                <w:color w:val="000000"/>
                <w:sz w:val="18"/>
                <w:szCs w:val="18"/>
              </w:rPr>
              <w:t>453,569,756.02</w:t>
            </w:r>
          </w:p>
        </w:tc>
        <w:tc>
          <w:tcPr>
            <w:tcW w:w="798" w:type="pct"/>
            <w:shd w:val="clear" w:color="auto" w:fill="auto"/>
            <w:vAlign w:val="center"/>
          </w:tcPr>
          <w:p w14:paraId="4A675487">
            <w:pPr>
              <w:jc w:val="right"/>
              <w:rPr>
                <w:rFonts w:ascii="Arial Narrow" w:hAnsi="Arial Narrow"/>
                <w:sz w:val="18"/>
                <w:szCs w:val="18"/>
              </w:rPr>
            </w:pPr>
            <w:r>
              <w:rPr>
                <w:rFonts w:ascii="Arial Narrow" w:hAnsi="Arial Narrow" w:eastAsia="等线"/>
                <w:color w:val="000000"/>
                <w:sz w:val="18"/>
                <w:szCs w:val="18"/>
              </w:rPr>
              <w:t>72,710,657.68</w:t>
            </w:r>
          </w:p>
        </w:tc>
        <w:tc>
          <w:tcPr>
            <w:tcW w:w="664" w:type="pct"/>
            <w:shd w:val="clear" w:color="auto" w:fill="auto"/>
            <w:vAlign w:val="center"/>
          </w:tcPr>
          <w:p w14:paraId="7922A9F6">
            <w:pPr>
              <w:jc w:val="right"/>
              <w:rPr>
                <w:rFonts w:ascii="Arial Narrow" w:hAnsi="Arial Narrow"/>
                <w:sz w:val="18"/>
                <w:szCs w:val="18"/>
              </w:rPr>
            </w:pPr>
            <w:r>
              <w:rPr>
                <w:rFonts w:ascii="Arial Narrow" w:hAnsi="Arial Narrow" w:eastAsia="等线"/>
                <w:color w:val="000000"/>
                <w:sz w:val="18"/>
                <w:szCs w:val="18"/>
              </w:rPr>
              <w:t>111,411.62</w:t>
            </w:r>
          </w:p>
        </w:tc>
        <w:tc>
          <w:tcPr>
            <w:tcW w:w="806" w:type="pct"/>
            <w:shd w:val="clear" w:color="auto" w:fill="auto"/>
            <w:vAlign w:val="center"/>
          </w:tcPr>
          <w:p w14:paraId="41DF4A4A">
            <w:pPr>
              <w:jc w:val="right"/>
              <w:rPr>
                <w:rFonts w:ascii="Arial Narrow" w:hAnsi="Arial Narrow"/>
                <w:sz w:val="18"/>
                <w:szCs w:val="18"/>
              </w:rPr>
            </w:pPr>
            <w:r>
              <w:rPr>
                <w:rFonts w:ascii="Arial Narrow" w:hAnsi="Arial Narrow" w:eastAsia="等线"/>
                <w:color w:val="000000"/>
                <w:sz w:val="18"/>
                <w:szCs w:val="18"/>
              </w:rPr>
              <w:t>103,577,035.34</w:t>
            </w:r>
          </w:p>
        </w:tc>
        <w:tc>
          <w:tcPr>
            <w:tcW w:w="887" w:type="pct"/>
            <w:shd w:val="clear" w:color="auto" w:fill="auto"/>
            <w:vAlign w:val="center"/>
          </w:tcPr>
          <w:p w14:paraId="2E31BF8B">
            <w:pPr>
              <w:jc w:val="right"/>
              <w:rPr>
                <w:rFonts w:ascii="Arial Narrow" w:hAnsi="Arial Narrow"/>
                <w:sz w:val="18"/>
                <w:szCs w:val="18"/>
              </w:rPr>
            </w:pPr>
            <w:r>
              <w:rPr>
                <w:rFonts w:ascii="Arial Narrow" w:hAnsi="Arial Narrow" w:eastAsia="等线"/>
                <w:color w:val="000000"/>
                <w:sz w:val="18"/>
                <w:szCs w:val="18"/>
              </w:rPr>
              <w:t>629,968,860.66</w:t>
            </w:r>
          </w:p>
        </w:tc>
      </w:tr>
      <w:tr w14:paraId="4919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60AA7F54">
            <w:pPr>
              <w:rPr>
                <w:rFonts w:ascii="Arial Narrow" w:hAnsi="Arial Narrow"/>
                <w:sz w:val="18"/>
                <w:szCs w:val="18"/>
              </w:rPr>
            </w:pPr>
            <w:r>
              <w:rPr>
                <w:rFonts w:ascii="Arial Narrow" w:hAnsi="Arial Narrow"/>
                <w:sz w:val="18"/>
                <w:szCs w:val="18"/>
              </w:rPr>
              <w:t>3.本期减少金额</w:t>
            </w:r>
          </w:p>
        </w:tc>
        <w:tc>
          <w:tcPr>
            <w:tcW w:w="804" w:type="pct"/>
            <w:shd w:val="clear" w:color="auto" w:fill="auto"/>
            <w:vAlign w:val="center"/>
          </w:tcPr>
          <w:p w14:paraId="07E3B06E">
            <w:pPr>
              <w:jc w:val="right"/>
              <w:rPr>
                <w:rFonts w:ascii="Arial Narrow" w:hAnsi="Arial Narrow"/>
                <w:sz w:val="18"/>
                <w:szCs w:val="18"/>
              </w:rPr>
            </w:pPr>
          </w:p>
        </w:tc>
        <w:tc>
          <w:tcPr>
            <w:tcW w:w="798" w:type="pct"/>
            <w:shd w:val="clear" w:color="auto" w:fill="auto"/>
            <w:vAlign w:val="center"/>
          </w:tcPr>
          <w:p w14:paraId="44F4298D">
            <w:pPr>
              <w:jc w:val="right"/>
              <w:rPr>
                <w:rFonts w:ascii="Arial Narrow" w:hAnsi="Arial Narrow"/>
                <w:sz w:val="18"/>
                <w:szCs w:val="18"/>
              </w:rPr>
            </w:pPr>
          </w:p>
        </w:tc>
        <w:tc>
          <w:tcPr>
            <w:tcW w:w="664" w:type="pct"/>
            <w:shd w:val="clear" w:color="auto" w:fill="auto"/>
            <w:vAlign w:val="center"/>
          </w:tcPr>
          <w:p w14:paraId="65EAEBE6">
            <w:pPr>
              <w:jc w:val="right"/>
              <w:rPr>
                <w:rFonts w:ascii="Arial Narrow" w:hAnsi="Arial Narrow"/>
                <w:sz w:val="18"/>
                <w:szCs w:val="18"/>
              </w:rPr>
            </w:pPr>
          </w:p>
        </w:tc>
        <w:tc>
          <w:tcPr>
            <w:tcW w:w="806" w:type="pct"/>
            <w:shd w:val="clear" w:color="auto" w:fill="auto"/>
            <w:vAlign w:val="center"/>
          </w:tcPr>
          <w:p w14:paraId="0068C30E">
            <w:pPr>
              <w:jc w:val="right"/>
              <w:rPr>
                <w:rFonts w:ascii="Arial Narrow" w:hAnsi="Arial Narrow"/>
                <w:sz w:val="18"/>
                <w:szCs w:val="18"/>
              </w:rPr>
            </w:pPr>
          </w:p>
        </w:tc>
        <w:tc>
          <w:tcPr>
            <w:tcW w:w="887" w:type="pct"/>
            <w:shd w:val="clear" w:color="auto" w:fill="auto"/>
            <w:vAlign w:val="center"/>
          </w:tcPr>
          <w:p w14:paraId="4E0FA429">
            <w:pPr>
              <w:jc w:val="right"/>
              <w:rPr>
                <w:rFonts w:ascii="Arial Narrow" w:hAnsi="Arial Narrow"/>
                <w:sz w:val="18"/>
                <w:szCs w:val="18"/>
              </w:rPr>
            </w:pPr>
          </w:p>
        </w:tc>
      </w:tr>
      <w:tr w14:paraId="1164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23EA510F">
            <w:pPr>
              <w:rPr>
                <w:rFonts w:ascii="Arial Narrow" w:hAnsi="Arial Narrow"/>
                <w:sz w:val="18"/>
                <w:szCs w:val="18"/>
              </w:rPr>
            </w:pPr>
            <w:r>
              <w:rPr>
                <w:rFonts w:ascii="Arial Narrow" w:hAnsi="Arial Narrow"/>
                <w:sz w:val="18"/>
                <w:szCs w:val="18"/>
              </w:rPr>
              <w:t>4.期末余额</w:t>
            </w:r>
          </w:p>
        </w:tc>
        <w:tc>
          <w:tcPr>
            <w:tcW w:w="804" w:type="pct"/>
            <w:shd w:val="clear" w:color="auto" w:fill="auto"/>
            <w:vAlign w:val="center"/>
          </w:tcPr>
          <w:p w14:paraId="6F346BB0">
            <w:pPr>
              <w:jc w:val="right"/>
              <w:rPr>
                <w:rFonts w:ascii="Arial Narrow" w:hAnsi="Arial Narrow"/>
                <w:sz w:val="18"/>
                <w:szCs w:val="18"/>
              </w:rPr>
            </w:pPr>
            <w:r>
              <w:rPr>
                <w:rFonts w:ascii="Arial Narrow" w:hAnsi="Arial Narrow" w:eastAsia="等线"/>
                <w:color w:val="000000"/>
                <w:sz w:val="18"/>
                <w:szCs w:val="18"/>
              </w:rPr>
              <w:t>453,950,406.96</w:t>
            </w:r>
          </w:p>
        </w:tc>
        <w:tc>
          <w:tcPr>
            <w:tcW w:w="798" w:type="pct"/>
            <w:shd w:val="clear" w:color="auto" w:fill="auto"/>
            <w:vAlign w:val="center"/>
          </w:tcPr>
          <w:p w14:paraId="49142477">
            <w:pPr>
              <w:jc w:val="right"/>
              <w:rPr>
                <w:rFonts w:ascii="Arial Narrow" w:hAnsi="Arial Narrow"/>
                <w:sz w:val="18"/>
                <w:szCs w:val="18"/>
              </w:rPr>
            </w:pPr>
            <w:r>
              <w:rPr>
                <w:rFonts w:ascii="Arial Narrow" w:hAnsi="Arial Narrow" w:eastAsia="等线"/>
                <w:color w:val="000000"/>
                <w:sz w:val="18"/>
                <w:szCs w:val="18"/>
              </w:rPr>
              <w:t>72,759,797.97</w:t>
            </w:r>
          </w:p>
        </w:tc>
        <w:tc>
          <w:tcPr>
            <w:tcW w:w="664" w:type="pct"/>
            <w:shd w:val="clear" w:color="auto" w:fill="auto"/>
            <w:vAlign w:val="center"/>
          </w:tcPr>
          <w:p w14:paraId="24C7C7DE">
            <w:pPr>
              <w:jc w:val="right"/>
              <w:rPr>
                <w:rFonts w:ascii="Arial Narrow" w:hAnsi="Arial Narrow"/>
                <w:sz w:val="18"/>
                <w:szCs w:val="18"/>
              </w:rPr>
            </w:pPr>
            <w:r>
              <w:rPr>
                <w:rFonts w:ascii="Arial Narrow" w:hAnsi="Arial Narrow" w:eastAsia="等线"/>
                <w:color w:val="000000"/>
                <w:sz w:val="18"/>
                <w:szCs w:val="18"/>
              </w:rPr>
              <w:t>111,411.62</w:t>
            </w:r>
          </w:p>
        </w:tc>
        <w:tc>
          <w:tcPr>
            <w:tcW w:w="806" w:type="pct"/>
            <w:shd w:val="clear" w:color="auto" w:fill="auto"/>
            <w:vAlign w:val="center"/>
          </w:tcPr>
          <w:p w14:paraId="1F4B52F0">
            <w:pPr>
              <w:jc w:val="right"/>
              <w:rPr>
                <w:rFonts w:ascii="Arial Narrow" w:hAnsi="Arial Narrow"/>
                <w:sz w:val="18"/>
                <w:szCs w:val="18"/>
              </w:rPr>
            </w:pPr>
            <w:r>
              <w:rPr>
                <w:rFonts w:ascii="Arial Narrow" w:hAnsi="Arial Narrow" w:eastAsia="等线"/>
                <w:color w:val="000000"/>
                <w:sz w:val="18"/>
                <w:szCs w:val="18"/>
              </w:rPr>
              <w:t>103,582,216.64</w:t>
            </w:r>
          </w:p>
        </w:tc>
        <w:tc>
          <w:tcPr>
            <w:tcW w:w="887" w:type="pct"/>
            <w:shd w:val="clear" w:color="auto" w:fill="auto"/>
            <w:vAlign w:val="center"/>
          </w:tcPr>
          <w:p w14:paraId="27B97903">
            <w:pPr>
              <w:jc w:val="right"/>
              <w:rPr>
                <w:rFonts w:ascii="Arial Narrow" w:hAnsi="Arial Narrow"/>
                <w:sz w:val="18"/>
                <w:szCs w:val="18"/>
              </w:rPr>
            </w:pPr>
            <w:r>
              <w:rPr>
                <w:rFonts w:ascii="Arial Narrow" w:hAnsi="Arial Narrow" w:eastAsia="等线"/>
                <w:color w:val="000000"/>
                <w:sz w:val="18"/>
                <w:szCs w:val="18"/>
              </w:rPr>
              <w:t>630,403,833.19</w:t>
            </w:r>
          </w:p>
        </w:tc>
      </w:tr>
      <w:tr w14:paraId="5F59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sz w:val="18"/>
              <w:szCs w:val="18"/>
            </w:rPr>
            <w:tag w:val="_PLD_e1d51c426bd84ffbb9a1a19b00d3b374"/>
            <w:id w:val="-747494331"/>
          </w:sdtPr>
          <w:sdtEndPr>
            <w:rPr>
              <w:rFonts w:ascii="Arial Narrow" w:hAnsi="Arial Narrow"/>
              <w:sz w:val="18"/>
              <w:szCs w:val="18"/>
            </w:rPr>
          </w:sdtEndPr>
          <w:sdtContent>
            <w:tc>
              <w:tcPr>
                <w:tcW w:w="5000" w:type="pct"/>
                <w:gridSpan w:val="6"/>
                <w:shd w:val="clear" w:color="auto" w:fill="auto"/>
              </w:tcPr>
              <w:p w14:paraId="4A5CA602">
                <w:pPr>
                  <w:rPr>
                    <w:rFonts w:ascii="Arial Narrow" w:hAnsi="Arial Narrow"/>
                    <w:sz w:val="18"/>
                    <w:szCs w:val="18"/>
                  </w:rPr>
                </w:pPr>
                <w:r>
                  <w:rPr>
                    <w:rFonts w:ascii="Arial Narrow" w:hAnsi="Arial Narrow"/>
                    <w:sz w:val="18"/>
                    <w:szCs w:val="18"/>
                  </w:rPr>
                  <w:t>四、账面价值</w:t>
                </w:r>
              </w:p>
            </w:tc>
          </w:sdtContent>
        </w:sdt>
      </w:tr>
      <w:tr w14:paraId="5E03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075DBEE4">
            <w:pPr>
              <w:rPr>
                <w:rFonts w:ascii="Arial Narrow" w:hAnsi="Arial Narrow"/>
                <w:sz w:val="18"/>
                <w:szCs w:val="18"/>
              </w:rPr>
            </w:pPr>
            <w:r>
              <w:rPr>
                <w:rFonts w:ascii="Arial Narrow" w:hAnsi="Arial Narrow"/>
                <w:sz w:val="18"/>
                <w:szCs w:val="18"/>
              </w:rPr>
              <w:t>1.期末账面价值</w:t>
            </w:r>
          </w:p>
        </w:tc>
        <w:tc>
          <w:tcPr>
            <w:tcW w:w="804" w:type="pct"/>
            <w:shd w:val="clear" w:color="auto" w:fill="auto"/>
            <w:vAlign w:val="center"/>
          </w:tcPr>
          <w:p w14:paraId="3270F6F6">
            <w:pPr>
              <w:jc w:val="right"/>
              <w:rPr>
                <w:rFonts w:ascii="Arial Narrow" w:hAnsi="Arial Narrow"/>
                <w:sz w:val="18"/>
                <w:szCs w:val="18"/>
              </w:rPr>
            </w:pPr>
            <w:r>
              <w:rPr>
                <w:rFonts w:ascii="Arial Narrow" w:hAnsi="Arial Narrow" w:eastAsia="等线"/>
                <w:color w:val="000000"/>
                <w:sz w:val="18"/>
                <w:szCs w:val="18"/>
              </w:rPr>
              <w:t>3,046,792,526.87</w:t>
            </w:r>
          </w:p>
        </w:tc>
        <w:tc>
          <w:tcPr>
            <w:tcW w:w="798" w:type="pct"/>
            <w:shd w:val="clear" w:color="auto" w:fill="auto"/>
            <w:vAlign w:val="center"/>
          </w:tcPr>
          <w:p w14:paraId="32BF15CF">
            <w:pPr>
              <w:jc w:val="right"/>
              <w:rPr>
                <w:rFonts w:ascii="Arial Narrow" w:hAnsi="Arial Narrow"/>
                <w:sz w:val="18"/>
                <w:szCs w:val="18"/>
              </w:rPr>
            </w:pPr>
            <w:r>
              <w:rPr>
                <w:rFonts w:ascii="Arial Narrow" w:hAnsi="Arial Narrow" w:eastAsia="等线"/>
                <w:color w:val="000000"/>
                <w:sz w:val="18"/>
                <w:szCs w:val="18"/>
              </w:rPr>
              <w:t>896,170,463.44</w:t>
            </w:r>
          </w:p>
        </w:tc>
        <w:tc>
          <w:tcPr>
            <w:tcW w:w="664" w:type="pct"/>
            <w:shd w:val="clear" w:color="auto" w:fill="auto"/>
            <w:vAlign w:val="center"/>
          </w:tcPr>
          <w:p w14:paraId="67B462E4">
            <w:pPr>
              <w:jc w:val="right"/>
              <w:rPr>
                <w:rFonts w:ascii="Arial Narrow" w:hAnsi="Arial Narrow"/>
                <w:sz w:val="18"/>
                <w:szCs w:val="18"/>
              </w:rPr>
            </w:pPr>
            <w:r>
              <w:rPr>
                <w:rFonts w:ascii="Arial Narrow" w:hAnsi="Arial Narrow" w:eastAsia="等线"/>
                <w:color w:val="000000"/>
                <w:sz w:val="18"/>
                <w:szCs w:val="18"/>
              </w:rPr>
              <w:t>13,102,269.96</w:t>
            </w:r>
          </w:p>
        </w:tc>
        <w:tc>
          <w:tcPr>
            <w:tcW w:w="806" w:type="pct"/>
            <w:shd w:val="clear" w:color="auto" w:fill="auto"/>
            <w:vAlign w:val="center"/>
          </w:tcPr>
          <w:p w14:paraId="0E42A39E">
            <w:pPr>
              <w:jc w:val="right"/>
              <w:rPr>
                <w:rFonts w:ascii="Arial Narrow" w:hAnsi="Arial Narrow"/>
                <w:sz w:val="18"/>
                <w:szCs w:val="18"/>
              </w:rPr>
            </w:pPr>
            <w:r>
              <w:rPr>
                <w:rFonts w:ascii="Arial Narrow" w:hAnsi="Arial Narrow" w:eastAsia="等线"/>
                <w:color w:val="000000"/>
                <w:sz w:val="18"/>
                <w:szCs w:val="18"/>
              </w:rPr>
              <w:t>59,554,685.73</w:t>
            </w:r>
          </w:p>
        </w:tc>
        <w:tc>
          <w:tcPr>
            <w:tcW w:w="887" w:type="pct"/>
            <w:shd w:val="clear" w:color="auto" w:fill="auto"/>
            <w:vAlign w:val="center"/>
          </w:tcPr>
          <w:p w14:paraId="2D8B8F42">
            <w:pPr>
              <w:jc w:val="right"/>
              <w:rPr>
                <w:rFonts w:ascii="Arial Narrow" w:hAnsi="Arial Narrow"/>
                <w:sz w:val="18"/>
                <w:szCs w:val="18"/>
              </w:rPr>
            </w:pPr>
            <w:r>
              <w:rPr>
                <w:rFonts w:ascii="Arial Narrow" w:hAnsi="Arial Narrow" w:eastAsia="等线"/>
                <w:color w:val="000000"/>
                <w:sz w:val="18"/>
                <w:szCs w:val="18"/>
              </w:rPr>
              <w:t>4,015,619,946.00</w:t>
            </w:r>
          </w:p>
        </w:tc>
      </w:tr>
      <w:tr w14:paraId="4465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42" w:type="pct"/>
            <w:shd w:val="clear" w:color="auto" w:fill="auto"/>
          </w:tcPr>
          <w:p w14:paraId="4E0D9A52">
            <w:pPr>
              <w:rPr>
                <w:rFonts w:ascii="Arial Narrow" w:hAnsi="Arial Narrow"/>
                <w:sz w:val="18"/>
                <w:szCs w:val="18"/>
              </w:rPr>
            </w:pPr>
            <w:r>
              <w:rPr>
                <w:rFonts w:ascii="Arial Narrow" w:hAnsi="Arial Narrow"/>
                <w:sz w:val="18"/>
                <w:szCs w:val="18"/>
              </w:rPr>
              <w:t>2.期初账面价值</w:t>
            </w:r>
          </w:p>
        </w:tc>
        <w:tc>
          <w:tcPr>
            <w:tcW w:w="804" w:type="pct"/>
            <w:shd w:val="clear" w:color="auto" w:fill="auto"/>
            <w:vAlign w:val="center"/>
          </w:tcPr>
          <w:p w14:paraId="7AE62BA7">
            <w:pPr>
              <w:jc w:val="right"/>
              <w:rPr>
                <w:rFonts w:ascii="Arial Narrow" w:hAnsi="Arial Narrow"/>
                <w:sz w:val="18"/>
                <w:szCs w:val="18"/>
              </w:rPr>
            </w:pPr>
            <w:r>
              <w:rPr>
                <w:rFonts w:ascii="Arial Narrow" w:hAnsi="Arial Narrow" w:eastAsia="等线"/>
                <w:color w:val="000000"/>
                <w:sz w:val="18"/>
                <w:szCs w:val="18"/>
              </w:rPr>
              <w:t>2,754,528,076.96</w:t>
            </w:r>
          </w:p>
        </w:tc>
        <w:tc>
          <w:tcPr>
            <w:tcW w:w="798" w:type="pct"/>
            <w:shd w:val="clear" w:color="auto" w:fill="auto"/>
            <w:vAlign w:val="center"/>
          </w:tcPr>
          <w:p w14:paraId="6B25AD23">
            <w:pPr>
              <w:jc w:val="right"/>
              <w:rPr>
                <w:rFonts w:ascii="Arial Narrow" w:hAnsi="Arial Narrow"/>
                <w:sz w:val="18"/>
                <w:szCs w:val="18"/>
              </w:rPr>
            </w:pPr>
            <w:r>
              <w:rPr>
                <w:rFonts w:ascii="Arial Narrow" w:hAnsi="Arial Narrow" w:eastAsia="等线"/>
                <w:color w:val="000000"/>
                <w:sz w:val="18"/>
                <w:szCs w:val="18"/>
              </w:rPr>
              <w:t>942,692,495.60</w:t>
            </w:r>
          </w:p>
        </w:tc>
        <w:tc>
          <w:tcPr>
            <w:tcW w:w="664" w:type="pct"/>
            <w:shd w:val="clear" w:color="auto" w:fill="auto"/>
            <w:vAlign w:val="center"/>
          </w:tcPr>
          <w:p w14:paraId="1F700124">
            <w:pPr>
              <w:jc w:val="right"/>
              <w:rPr>
                <w:rFonts w:ascii="Arial Narrow" w:hAnsi="Arial Narrow"/>
                <w:sz w:val="18"/>
                <w:szCs w:val="18"/>
              </w:rPr>
            </w:pPr>
            <w:r>
              <w:rPr>
                <w:rFonts w:ascii="Arial Narrow" w:hAnsi="Arial Narrow" w:eastAsia="等线"/>
                <w:color w:val="000000"/>
                <w:sz w:val="18"/>
                <w:szCs w:val="18"/>
              </w:rPr>
              <w:t>14,316,926.10</w:t>
            </w:r>
          </w:p>
        </w:tc>
        <w:tc>
          <w:tcPr>
            <w:tcW w:w="806" w:type="pct"/>
            <w:shd w:val="clear" w:color="auto" w:fill="auto"/>
            <w:vAlign w:val="center"/>
          </w:tcPr>
          <w:p w14:paraId="26E88B6F">
            <w:pPr>
              <w:jc w:val="right"/>
              <w:rPr>
                <w:rFonts w:ascii="Arial Narrow" w:hAnsi="Arial Narrow"/>
                <w:sz w:val="18"/>
                <w:szCs w:val="18"/>
              </w:rPr>
            </w:pPr>
            <w:r>
              <w:rPr>
                <w:rFonts w:ascii="Arial Narrow" w:hAnsi="Arial Narrow" w:eastAsia="等线"/>
                <w:color w:val="000000"/>
                <w:sz w:val="18"/>
                <w:szCs w:val="18"/>
              </w:rPr>
              <w:t>43,985,547.81</w:t>
            </w:r>
          </w:p>
        </w:tc>
        <w:tc>
          <w:tcPr>
            <w:tcW w:w="887" w:type="pct"/>
            <w:shd w:val="clear" w:color="auto" w:fill="auto"/>
            <w:vAlign w:val="center"/>
          </w:tcPr>
          <w:p w14:paraId="4239F47F">
            <w:pPr>
              <w:jc w:val="right"/>
              <w:rPr>
                <w:rFonts w:ascii="Arial Narrow" w:hAnsi="Arial Narrow"/>
                <w:sz w:val="18"/>
                <w:szCs w:val="18"/>
              </w:rPr>
            </w:pPr>
            <w:r>
              <w:rPr>
                <w:rFonts w:ascii="Arial Narrow" w:hAnsi="Arial Narrow" w:eastAsia="等线"/>
                <w:color w:val="000000"/>
                <w:sz w:val="18"/>
                <w:szCs w:val="18"/>
              </w:rPr>
              <w:t>3,755,523,046.47</w:t>
            </w:r>
          </w:p>
        </w:tc>
      </w:tr>
    </w:tbl>
    <w:p w14:paraId="03A3F296">
      <w:pPr>
        <w:rPr>
          <w:rFonts w:hint="eastAsia"/>
          <w:szCs w:val="21"/>
        </w:rPr>
      </w:pPr>
    </w:p>
    <w:p w14:paraId="439E1160">
      <w:pPr>
        <w:pStyle w:val="72"/>
        <w:numPr>
          <w:ilvl w:val="0"/>
          <w:numId w:val="125"/>
        </w:numPr>
        <w:ind w:leftChars="0"/>
      </w:pPr>
      <w:r>
        <w:rPr>
          <w:rFonts w:hint="eastAsia"/>
        </w:rPr>
        <w:t>暂时闲置的固定资产情况</w:t>
      </w:r>
    </w:p>
    <w:sdt>
      <w:sdtPr>
        <w:alias w:val="是否适用：暂时闲置的固定资产情况[双击切换]"/>
        <w:tag w:val="_GBC_2fdfdf37e427442eb50e14c905c59fbe"/>
        <w:id w:val="-859976802"/>
        <w:placeholder>
          <w:docPart w:val="GBC22222222222222222222222222222"/>
        </w:placeholder>
      </w:sdtPr>
      <w:sdtContent>
        <w:p w14:paraId="6DB9357B">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BB347AD">
      <w:pPr>
        <w:jc w:val="right"/>
        <w:rPr>
          <w:rFonts w:hint="eastAsia"/>
          <w:szCs w:val="21"/>
        </w:rPr>
      </w:pPr>
    </w:p>
    <w:p w14:paraId="336C1E06">
      <w:pPr>
        <w:jc w:val="right"/>
        <w:rPr>
          <w:rFonts w:hint="eastAsia"/>
          <w:szCs w:val="21"/>
        </w:rPr>
      </w:pPr>
    </w:p>
    <w:p w14:paraId="2E96B605">
      <w:pPr>
        <w:jc w:val="right"/>
        <w:rPr>
          <w:rFonts w:hint="eastAsia"/>
          <w:szCs w:val="21"/>
        </w:rPr>
      </w:pPr>
      <w:r>
        <w:rPr>
          <w:rFonts w:hint="eastAsia"/>
          <w:szCs w:val="21"/>
        </w:rPr>
        <w:t>单位：</w:t>
      </w:r>
      <w:sdt>
        <w:sdtPr>
          <w:rPr>
            <w:rFonts w:hint="eastAsia"/>
            <w:szCs w:val="21"/>
          </w:rPr>
          <w:alias w:val="单位：财务附注：暂时闲置的固定资产情况"/>
          <w:tag w:val="_GBC_6dabaeb6a3874771a8d0fcbe052546a4"/>
          <w:id w:val="-458039816"/>
          <w:placeholder>
            <w:docPart w:val="2F54D5535795434CBDF40144FF32E477"/>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暂时闲置的固定资产情况"/>
          <w:tag w:val="_GBC_a724ad4bebc04f169fc256086e73dcfe"/>
          <w:id w:val="-654989373"/>
          <w:placeholder>
            <w:docPart w:val="2F54D5535795434CBDF40144FF32E47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8917"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1483"/>
        <w:gridCol w:w="1397"/>
        <w:gridCol w:w="1442"/>
        <w:gridCol w:w="1473"/>
        <w:gridCol w:w="1814"/>
      </w:tblGrid>
      <w:tr w14:paraId="3009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d6a8e4b7ed145adb8eb3248d2339d1b"/>
            <w:id w:val="1389311626"/>
          </w:sdtPr>
          <w:sdtContent>
            <w:tc>
              <w:tcPr>
                <w:tcW w:w="1308" w:type="dxa"/>
                <w:tcBorders>
                  <w:top w:val="single" w:color="auto" w:sz="4" w:space="0"/>
                  <w:left w:val="single" w:color="auto" w:sz="4" w:space="0"/>
                  <w:bottom w:val="single" w:color="auto" w:sz="4" w:space="0"/>
                  <w:right w:val="single" w:color="auto" w:sz="4" w:space="0"/>
                </w:tcBorders>
                <w:vAlign w:val="center"/>
              </w:tcPr>
              <w:p w14:paraId="23DD2FF6">
                <w:pPr>
                  <w:jc w:val="center"/>
                  <w:rPr>
                    <w:rFonts w:hint="eastAsia"/>
                    <w:szCs w:val="21"/>
                  </w:rPr>
                </w:pPr>
                <w:r>
                  <w:rPr>
                    <w:rFonts w:hint="eastAsia"/>
                    <w:szCs w:val="21"/>
                  </w:rPr>
                  <w:t>项目</w:t>
                </w:r>
              </w:p>
            </w:tc>
          </w:sdtContent>
        </w:sdt>
        <w:sdt>
          <w:sdtPr>
            <w:tag w:val="_PLD_6a3b700ee3594fa49e62d22604b7487b"/>
            <w:id w:val="-1485386116"/>
          </w:sdtPr>
          <w:sdtContent>
            <w:tc>
              <w:tcPr>
                <w:tcW w:w="1483" w:type="dxa"/>
                <w:tcBorders>
                  <w:top w:val="single" w:color="auto" w:sz="4" w:space="0"/>
                  <w:left w:val="single" w:color="auto" w:sz="4" w:space="0"/>
                  <w:bottom w:val="single" w:color="auto" w:sz="4" w:space="0"/>
                  <w:right w:val="single" w:color="auto" w:sz="4" w:space="0"/>
                </w:tcBorders>
                <w:vAlign w:val="center"/>
              </w:tcPr>
              <w:p w14:paraId="7785AE41">
                <w:pPr>
                  <w:jc w:val="center"/>
                  <w:rPr>
                    <w:rFonts w:hint="eastAsia"/>
                    <w:szCs w:val="21"/>
                  </w:rPr>
                </w:pPr>
                <w:r>
                  <w:rPr>
                    <w:rFonts w:hint="eastAsia"/>
                    <w:szCs w:val="21"/>
                  </w:rPr>
                  <w:t>账面原值</w:t>
                </w:r>
              </w:p>
            </w:tc>
          </w:sdtContent>
        </w:sdt>
        <w:sdt>
          <w:sdtPr>
            <w:tag w:val="_PLD_487d391ad0db4d809e8dec919d77d088"/>
            <w:id w:val="-833453918"/>
          </w:sdtPr>
          <w:sdtContent>
            <w:tc>
              <w:tcPr>
                <w:tcW w:w="1397" w:type="dxa"/>
                <w:tcBorders>
                  <w:top w:val="single" w:color="auto" w:sz="4" w:space="0"/>
                  <w:left w:val="single" w:color="auto" w:sz="4" w:space="0"/>
                  <w:bottom w:val="single" w:color="auto" w:sz="4" w:space="0"/>
                  <w:right w:val="single" w:color="auto" w:sz="4" w:space="0"/>
                </w:tcBorders>
                <w:vAlign w:val="center"/>
              </w:tcPr>
              <w:p w14:paraId="5E7AF52A">
                <w:pPr>
                  <w:jc w:val="center"/>
                  <w:rPr>
                    <w:rFonts w:hint="eastAsia"/>
                    <w:szCs w:val="21"/>
                  </w:rPr>
                </w:pPr>
                <w:r>
                  <w:rPr>
                    <w:rFonts w:hint="eastAsia"/>
                    <w:szCs w:val="21"/>
                  </w:rPr>
                  <w:t>累计折旧</w:t>
                </w:r>
              </w:p>
            </w:tc>
          </w:sdtContent>
        </w:sdt>
        <w:sdt>
          <w:sdtPr>
            <w:tag w:val="_PLD_395f38b65a1e4bc2987bc181f3714aac"/>
            <w:id w:val="523454361"/>
          </w:sdtPr>
          <w:sdtContent>
            <w:tc>
              <w:tcPr>
                <w:tcW w:w="1442" w:type="dxa"/>
                <w:tcBorders>
                  <w:top w:val="single" w:color="auto" w:sz="4" w:space="0"/>
                  <w:left w:val="single" w:color="auto" w:sz="4" w:space="0"/>
                  <w:bottom w:val="single" w:color="auto" w:sz="4" w:space="0"/>
                  <w:right w:val="single" w:color="auto" w:sz="4" w:space="0"/>
                </w:tcBorders>
                <w:vAlign w:val="center"/>
              </w:tcPr>
              <w:p w14:paraId="2E1C2859">
                <w:pPr>
                  <w:jc w:val="center"/>
                  <w:rPr>
                    <w:rFonts w:hint="eastAsia"/>
                    <w:szCs w:val="21"/>
                  </w:rPr>
                </w:pPr>
                <w:r>
                  <w:rPr>
                    <w:rFonts w:hint="eastAsia"/>
                    <w:szCs w:val="21"/>
                  </w:rPr>
                  <w:t>减值准备</w:t>
                </w:r>
              </w:p>
            </w:tc>
          </w:sdtContent>
        </w:sdt>
        <w:sdt>
          <w:sdtPr>
            <w:tag w:val="_PLD_151ce060870441baa6ac3f4c38e60b30"/>
            <w:id w:val="376589590"/>
          </w:sdtPr>
          <w:sdtContent>
            <w:tc>
              <w:tcPr>
                <w:tcW w:w="1473" w:type="dxa"/>
                <w:tcBorders>
                  <w:top w:val="single" w:color="auto" w:sz="4" w:space="0"/>
                  <w:left w:val="single" w:color="auto" w:sz="4" w:space="0"/>
                  <w:bottom w:val="single" w:color="auto" w:sz="4" w:space="0"/>
                  <w:right w:val="single" w:color="auto" w:sz="4" w:space="0"/>
                </w:tcBorders>
                <w:vAlign w:val="center"/>
              </w:tcPr>
              <w:p w14:paraId="09449AE1">
                <w:pPr>
                  <w:jc w:val="center"/>
                  <w:rPr>
                    <w:rFonts w:hint="eastAsia"/>
                    <w:szCs w:val="21"/>
                  </w:rPr>
                </w:pPr>
                <w:r>
                  <w:rPr>
                    <w:rFonts w:hint="eastAsia"/>
                    <w:szCs w:val="21"/>
                  </w:rPr>
                  <w:t>账面价值</w:t>
                </w:r>
              </w:p>
            </w:tc>
          </w:sdtContent>
        </w:sdt>
        <w:sdt>
          <w:sdtPr>
            <w:tag w:val="_PLD_577f17503b2444c19b15b20c0eb7f637"/>
            <w:id w:val="-1484082590"/>
          </w:sdtPr>
          <w:sdtContent>
            <w:tc>
              <w:tcPr>
                <w:tcW w:w="1814" w:type="dxa"/>
                <w:tcBorders>
                  <w:top w:val="single" w:color="auto" w:sz="4" w:space="0"/>
                  <w:left w:val="single" w:color="auto" w:sz="4" w:space="0"/>
                  <w:bottom w:val="single" w:color="auto" w:sz="4" w:space="0"/>
                  <w:right w:val="single" w:color="auto" w:sz="4" w:space="0"/>
                </w:tcBorders>
                <w:vAlign w:val="center"/>
              </w:tcPr>
              <w:p w14:paraId="27F65439">
                <w:pPr>
                  <w:jc w:val="center"/>
                  <w:rPr>
                    <w:rFonts w:hint="eastAsia"/>
                    <w:szCs w:val="21"/>
                  </w:rPr>
                </w:pPr>
                <w:r>
                  <w:rPr>
                    <w:rFonts w:hint="eastAsia"/>
                    <w:szCs w:val="21"/>
                  </w:rPr>
                  <w:t>备注</w:t>
                </w:r>
              </w:p>
            </w:tc>
          </w:sdtContent>
        </w:sdt>
      </w:tr>
      <w:tr w14:paraId="1781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tcBorders>
              <w:top w:val="single" w:color="auto" w:sz="4" w:space="0"/>
              <w:left w:val="single" w:color="auto" w:sz="4" w:space="0"/>
              <w:bottom w:val="single" w:color="auto" w:sz="4" w:space="0"/>
              <w:right w:val="single" w:color="auto" w:sz="4" w:space="0"/>
            </w:tcBorders>
          </w:tcPr>
          <w:p w14:paraId="071CB52F">
            <w:pPr>
              <w:rPr>
                <w:rFonts w:hint="eastAsia"/>
                <w:szCs w:val="21"/>
              </w:rPr>
            </w:pPr>
            <w:r>
              <w:t>机器设备</w:t>
            </w:r>
          </w:p>
        </w:tc>
        <w:tc>
          <w:tcPr>
            <w:tcW w:w="1483" w:type="dxa"/>
            <w:tcBorders>
              <w:top w:val="single" w:color="auto" w:sz="4" w:space="0"/>
              <w:left w:val="single" w:color="auto" w:sz="4" w:space="0"/>
              <w:bottom w:val="single" w:color="auto" w:sz="4" w:space="0"/>
              <w:right w:val="single" w:color="auto" w:sz="4" w:space="0"/>
            </w:tcBorders>
            <w:vAlign w:val="center"/>
          </w:tcPr>
          <w:p w14:paraId="735F6D57">
            <w:pPr>
              <w:jc w:val="right"/>
              <w:rPr>
                <w:rFonts w:hint="eastAsia"/>
                <w:szCs w:val="21"/>
              </w:rPr>
            </w:pPr>
            <w:r>
              <w:rPr>
                <w:rFonts w:ascii="Arial Narrow" w:hAnsi="Arial Narrow" w:eastAsia="等线"/>
                <w:color w:val="000000"/>
                <w:sz w:val="22"/>
                <w:szCs w:val="22"/>
              </w:rPr>
              <w:t>10,567,191.07</w:t>
            </w:r>
          </w:p>
        </w:tc>
        <w:tc>
          <w:tcPr>
            <w:tcW w:w="1397" w:type="dxa"/>
            <w:tcBorders>
              <w:top w:val="single" w:color="auto" w:sz="4" w:space="0"/>
              <w:left w:val="single" w:color="auto" w:sz="4" w:space="0"/>
              <w:bottom w:val="single" w:color="auto" w:sz="4" w:space="0"/>
              <w:right w:val="single" w:color="auto" w:sz="4" w:space="0"/>
            </w:tcBorders>
            <w:vAlign w:val="center"/>
          </w:tcPr>
          <w:p w14:paraId="2EF29552">
            <w:pPr>
              <w:jc w:val="right"/>
              <w:rPr>
                <w:rFonts w:hint="eastAsia"/>
                <w:szCs w:val="21"/>
              </w:rPr>
            </w:pPr>
            <w:r>
              <w:rPr>
                <w:rFonts w:ascii="Arial Narrow" w:hAnsi="Arial Narrow" w:eastAsia="等线"/>
                <w:color w:val="000000"/>
                <w:sz w:val="22"/>
                <w:szCs w:val="22"/>
              </w:rPr>
              <w:t>6,380,239.71</w:t>
            </w:r>
          </w:p>
        </w:tc>
        <w:tc>
          <w:tcPr>
            <w:tcW w:w="1442" w:type="dxa"/>
            <w:tcBorders>
              <w:top w:val="single" w:color="auto" w:sz="4" w:space="0"/>
              <w:left w:val="single" w:color="auto" w:sz="4" w:space="0"/>
              <w:bottom w:val="single" w:color="auto" w:sz="4" w:space="0"/>
              <w:right w:val="single" w:color="auto" w:sz="4" w:space="0"/>
            </w:tcBorders>
            <w:vAlign w:val="center"/>
          </w:tcPr>
          <w:p w14:paraId="2B57483A">
            <w:pPr>
              <w:jc w:val="right"/>
              <w:rPr>
                <w:rFonts w:hint="eastAsia"/>
                <w:szCs w:val="21"/>
              </w:rPr>
            </w:pPr>
            <w:r>
              <w:rPr>
                <w:rFonts w:ascii="Arial Narrow" w:hAnsi="Arial Narrow" w:eastAsia="等线"/>
                <w:color w:val="000000"/>
                <w:sz w:val="22"/>
                <w:szCs w:val="22"/>
              </w:rPr>
              <w:t>2,965,166.52</w:t>
            </w:r>
          </w:p>
        </w:tc>
        <w:tc>
          <w:tcPr>
            <w:tcW w:w="1473" w:type="dxa"/>
            <w:tcBorders>
              <w:top w:val="single" w:color="auto" w:sz="4" w:space="0"/>
              <w:left w:val="single" w:color="auto" w:sz="4" w:space="0"/>
              <w:bottom w:val="single" w:color="auto" w:sz="4" w:space="0"/>
              <w:right w:val="single" w:color="auto" w:sz="4" w:space="0"/>
            </w:tcBorders>
            <w:vAlign w:val="center"/>
          </w:tcPr>
          <w:p w14:paraId="4E7A9FF4">
            <w:pPr>
              <w:jc w:val="right"/>
              <w:rPr>
                <w:rFonts w:hint="eastAsia"/>
                <w:szCs w:val="21"/>
              </w:rPr>
            </w:pPr>
            <w:r>
              <w:rPr>
                <w:rFonts w:ascii="Arial Narrow" w:hAnsi="Arial Narrow" w:eastAsia="等线"/>
                <w:color w:val="000000"/>
                <w:sz w:val="22"/>
                <w:szCs w:val="22"/>
              </w:rPr>
              <w:t>1,221,784.84</w:t>
            </w:r>
          </w:p>
        </w:tc>
        <w:tc>
          <w:tcPr>
            <w:tcW w:w="1814" w:type="dxa"/>
            <w:tcBorders>
              <w:top w:val="single" w:color="auto" w:sz="4" w:space="0"/>
              <w:left w:val="single" w:color="auto" w:sz="4" w:space="0"/>
              <w:bottom w:val="single" w:color="auto" w:sz="4" w:space="0"/>
              <w:right w:val="single" w:color="auto" w:sz="4" w:space="0"/>
            </w:tcBorders>
          </w:tcPr>
          <w:p w14:paraId="51572709">
            <w:pPr>
              <w:rPr>
                <w:rFonts w:hint="eastAsia"/>
                <w:szCs w:val="21"/>
              </w:rPr>
            </w:pPr>
          </w:p>
        </w:tc>
      </w:tr>
      <w:tr w14:paraId="29CC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tcBorders>
              <w:top w:val="single" w:color="auto" w:sz="4" w:space="0"/>
              <w:left w:val="single" w:color="auto" w:sz="4" w:space="0"/>
              <w:bottom w:val="single" w:color="auto" w:sz="4" w:space="0"/>
              <w:right w:val="single" w:color="auto" w:sz="4" w:space="0"/>
            </w:tcBorders>
          </w:tcPr>
          <w:p w14:paraId="59F87EDA">
            <w:pPr>
              <w:jc w:val="center"/>
              <w:rPr>
                <w:rFonts w:hint="eastAsia"/>
                <w:szCs w:val="21"/>
              </w:rPr>
            </w:pPr>
            <w:r>
              <w:t>合计</w:t>
            </w:r>
          </w:p>
        </w:tc>
        <w:tc>
          <w:tcPr>
            <w:tcW w:w="1483" w:type="dxa"/>
            <w:tcBorders>
              <w:top w:val="single" w:color="auto" w:sz="4" w:space="0"/>
              <w:left w:val="single" w:color="auto" w:sz="4" w:space="0"/>
              <w:bottom w:val="single" w:color="auto" w:sz="4" w:space="0"/>
              <w:right w:val="single" w:color="auto" w:sz="4" w:space="0"/>
            </w:tcBorders>
            <w:vAlign w:val="center"/>
          </w:tcPr>
          <w:p w14:paraId="2D274591">
            <w:pPr>
              <w:jc w:val="right"/>
              <w:rPr>
                <w:rFonts w:hint="eastAsia"/>
                <w:szCs w:val="21"/>
              </w:rPr>
            </w:pPr>
            <w:r>
              <w:rPr>
                <w:rFonts w:ascii="Arial Narrow" w:hAnsi="Arial Narrow" w:eastAsia="等线"/>
                <w:color w:val="000000"/>
                <w:sz w:val="22"/>
                <w:szCs w:val="22"/>
              </w:rPr>
              <w:t>10,567,191.07</w:t>
            </w:r>
          </w:p>
        </w:tc>
        <w:tc>
          <w:tcPr>
            <w:tcW w:w="1397" w:type="dxa"/>
            <w:tcBorders>
              <w:top w:val="single" w:color="auto" w:sz="4" w:space="0"/>
              <w:left w:val="single" w:color="auto" w:sz="4" w:space="0"/>
              <w:bottom w:val="single" w:color="auto" w:sz="4" w:space="0"/>
              <w:right w:val="single" w:color="auto" w:sz="4" w:space="0"/>
            </w:tcBorders>
            <w:vAlign w:val="center"/>
          </w:tcPr>
          <w:p w14:paraId="56A49362">
            <w:pPr>
              <w:jc w:val="right"/>
              <w:rPr>
                <w:rFonts w:hint="eastAsia"/>
                <w:szCs w:val="21"/>
              </w:rPr>
            </w:pPr>
            <w:r>
              <w:rPr>
                <w:rFonts w:ascii="Arial Narrow" w:hAnsi="Arial Narrow" w:eastAsia="等线"/>
                <w:color w:val="000000"/>
                <w:sz w:val="22"/>
                <w:szCs w:val="22"/>
              </w:rPr>
              <w:t>6,380,239.71</w:t>
            </w:r>
          </w:p>
        </w:tc>
        <w:tc>
          <w:tcPr>
            <w:tcW w:w="1442" w:type="dxa"/>
            <w:tcBorders>
              <w:top w:val="single" w:color="auto" w:sz="4" w:space="0"/>
              <w:left w:val="single" w:color="auto" w:sz="4" w:space="0"/>
              <w:bottom w:val="single" w:color="auto" w:sz="4" w:space="0"/>
              <w:right w:val="single" w:color="auto" w:sz="4" w:space="0"/>
            </w:tcBorders>
            <w:vAlign w:val="center"/>
          </w:tcPr>
          <w:p w14:paraId="02B6E9ED">
            <w:pPr>
              <w:jc w:val="right"/>
              <w:rPr>
                <w:rFonts w:hint="eastAsia"/>
                <w:szCs w:val="21"/>
              </w:rPr>
            </w:pPr>
            <w:r>
              <w:rPr>
                <w:rFonts w:ascii="Arial Narrow" w:hAnsi="Arial Narrow" w:eastAsia="等线"/>
                <w:color w:val="000000"/>
                <w:sz w:val="22"/>
                <w:szCs w:val="22"/>
              </w:rPr>
              <w:t>2,965,166.52</w:t>
            </w:r>
          </w:p>
        </w:tc>
        <w:tc>
          <w:tcPr>
            <w:tcW w:w="1473" w:type="dxa"/>
            <w:tcBorders>
              <w:top w:val="single" w:color="auto" w:sz="4" w:space="0"/>
              <w:left w:val="single" w:color="auto" w:sz="4" w:space="0"/>
              <w:bottom w:val="single" w:color="auto" w:sz="4" w:space="0"/>
              <w:right w:val="single" w:color="auto" w:sz="4" w:space="0"/>
            </w:tcBorders>
            <w:vAlign w:val="center"/>
          </w:tcPr>
          <w:p w14:paraId="3E38DBF9">
            <w:pPr>
              <w:jc w:val="right"/>
              <w:rPr>
                <w:rFonts w:hint="eastAsia"/>
                <w:szCs w:val="21"/>
              </w:rPr>
            </w:pPr>
            <w:r>
              <w:rPr>
                <w:rFonts w:ascii="Arial Narrow" w:hAnsi="Arial Narrow" w:eastAsia="等线"/>
                <w:color w:val="000000"/>
                <w:sz w:val="22"/>
                <w:szCs w:val="22"/>
              </w:rPr>
              <w:t>1,221,784.84</w:t>
            </w:r>
          </w:p>
        </w:tc>
        <w:tc>
          <w:tcPr>
            <w:tcW w:w="1814" w:type="dxa"/>
            <w:tcBorders>
              <w:top w:val="single" w:color="auto" w:sz="4" w:space="0"/>
              <w:left w:val="single" w:color="auto" w:sz="4" w:space="0"/>
              <w:bottom w:val="single" w:color="auto" w:sz="4" w:space="0"/>
              <w:right w:val="single" w:color="auto" w:sz="4" w:space="0"/>
            </w:tcBorders>
          </w:tcPr>
          <w:p w14:paraId="265BC61D">
            <w:pPr>
              <w:rPr>
                <w:rFonts w:hint="eastAsia"/>
                <w:szCs w:val="21"/>
              </w:rPr>
            </w:pPr>
          </w:p>
        </w:tc>
      </w:tr>
    </w:tbl>
    <w:p w14:paraId="13D55926">
      <w:pPr>
        <w:rPr>
          <w:rFonts w:hint="eastAsia"/>
        </w:rPr>
      </w:pPr>
    </w:p>
    <w:p w14:paraId="3920D93E">
      <w:pPr>
        <w:rPr>
          <w:rFonts w:hint="eastAsia"/>
        </w:rPr>
      </w:pPr>
    </w:p>
    <w:p w14:paraId="7545997B">
      <w:pPr>
        <w:pStyle w:val="72"/>
        <w:numPr>
          <w:ilvl w:val="0"/>
          <w:numId w:val="125"/>
        </w:numPr>
        <w:ind w:leftChars="0"/>
      </w:pPr>
      <w:r>
        <w:rPr>
          <w:rFonts w:hint="eastAsia"/>
        </w:rPr>
        <w:t>通过经营租赁租出的固定资产</w:t>
      </w:r>
    </w:p>
    <w:sdt>
      <w:sdtPr>
        <w:alias w:val="是否适用：通过经营租赁租出的固定资产[双击切换]"/>
        <w:tag w:val="_GBC_c2ddde62aad742b6997b43c9077b5c4b"/>
        <w:id w:val="-182509732"/>
        <w:placeholder>
          <w:docPart w:val="GBC22222222222222222222222222222"/>
        </w:placeholder>
      </w:sdtPr>
      <w:sdtContent>
        <w:p w14:paraId="30CEA48C">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388A6BD">
      <w:pPr>
        <w:rPr>
          <w:rFonts w:hint="eastAsia"/>
        </w:rPr>
      </w:pPr>
    </w:p>
    <w:p w14:paraId="3D2CD41F">
      <w:pPr>
        <w:pStyle w:val="72"/>
        <w:numPr>
          <w:ilvl w:val="0"/>
          <w:numId w:val="125"/>
        </w:numPr>
        <w:ind w:leftChars="0"/>
      </w:pPr>
      <w:r>
        <w:rPr>
          <w:rFonts w:hint="eastAsia"/>
        </w:rPr>
        <w:t>未办妥产权证书的固定资产情况</w:t>
      </w:r>
    </w:p>
    <w:p w14:paraId="7BD28831">
      <w:pPr>
        <w:rPr>
          <w:rFonts w:hint="eastAsia"/>
        </w:rPr>
      </w:pPr>
      <w:sdt>
        <w:sdtPr>
          <w:alias w:val="是否适用：未办妥产权证书的固定资产情况[双击切换]"/>
          <w:tag w:val="_GBC_46625a97c34c4326af56ee4f005058fb"/>
          <w:id w:val="1356845713"/>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56BFC552">
      <w:pPr>
        <w:jc w:val="right"/>
        <w:rPr>
          <w:rFonts w:hint="eastAsia"/>
        </w:rPr>
      </w:pPr>
      <w:r>
        <w:rPr>
          <w:rFonts w:hint="eastAsia"/>
        </w:rPr>
        <w:t>单位：</w:t>
      </w:r>
      <w:sdt>
        <w:sdtPr>
          <w:rPr>
            <w:rFonts w:hint="eastAsia"/>
          </w:rPr>
          <w:alias w:val="单位：财务附注：未办妥产权证书的固定资产情况"/>
          <w:tag w:val="_GBC_af0b65f779a444509a345fcc235c4e13"/>
          <w:id w:val="19457228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3400920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1"/>
        <w:gridCol w:w="1703"/>
        <w:gridCol w:w="2589"/>
      </w:tblGrid>
      <w:tr w14:paraId="0EF4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ajorEastAsia"/>
              <w:szCs w:val="21"/>
            </w:rPr>
            <w:tag w:val="_PLD_3112d13ed7a04a10bce803acc672660e"/>
            <w:id w:val="1235433076"/>
          </w:sdtPr>
          <w:sdtEndPr>
            <w:rPr>
              <w:rFonts w:ascii="Arial Narrow" w:hAnsi="Arial Narrow" w:eastAsiaTheme="majorEastAsia"/>
              <w:szCs w:val="21"/>
            </w:rPr>
          </w:sdtEndPr>
          <w:sdtContent>
            <w:tc>
              <w:tcPr>
                <w:tcW w:w="2568" w:type="pct"/>
                <w:vAlign w:val="center"/>
              </w:tcPr>
              <w:p w14:paraId="1601CF01">
                <w:pPr>
                  <w:jc w:val="center"/>
                  <w:rPr>
                    <w:rFonts w:ascii="Arial Narrow" w:hAnsi="Arial Narrow" w:eastAsiaTheme="majorEastAsia"/>
                    <w:szCs w:val="21"/>
                  </w:rPr>
                </w:pPr>
                <w:r>
                  <w:rPr>
                    <w:rFonts w:ascii="Arial Narrow" w:hAnsi="Arial Narrow" w:eastAsiaTheme="majorEastAsia"/>
                    <w:szCs w:val="21"/>
                  </w:rPr>
                  <w:t>项目</w:t>
                </w:r>
              </w:p>
            </w:tc>
          </w:sdtContent>
        </w:sdt>
        <w:sdt>
          <w:sdtPr>
            <w:rPr>
              <w:rFonts w:ascii="Arial Narrow" w:hAnsi="Arial Narrow" w:eastAsiaTheme="majorEastAsia"/>
              <w:szCs w:val="21"/>
            </w:rPr>
            <w:tag w:val="_PLD_5fca73223de74724a06b56d07c06e26b"/>
            <w:id w:val="1227729222"/>
          </w:sdtPr>
          <w:sdtEndPr>
            <w:rPr>
              <w:rFonts w:ascii="Arial Narrow" w:hAnsi="Arial Narrow" w:eastAsiaTheme="majorEastAsia"/>
              <w:szCs w:val="21"/>
            </w:rPr>
          </w:sdtEndPr>
          <w:sdtContent>
            <w:tc>
              <w:tcPr>
                <w:tcW w:w="965" w:type="pct"/>
                <w:vAlign w:val="center"/>
              </w:tcPr>
              <w:p w14:paraId="5E6F28A3">
                <w:pPr>
                  <w:jc w:val="center"/>
                  <w:rPr>
                    <w:rFonts w:ascii="Arial Narrow" w:hAnsi="Arial Narrow" w:eastAsiaTheme="majorEastAsia"/>
                    <w:szCs w:val="21"/>
                  </w:rPr>
                </w:pPr>
                <w:r>
                  <w:rPr>
                    <w:rFonts w:ascii="Arial Narrow" w:hAnsi="Arial Narrow" w:eastAsiaTheme="majorEastAsia"/>
                    <w:szCs w:val="21"/>
                  </w:rPr>
                  <w:t>账面价值</w:t>
                </w:r>
              </w:p>
            </w:tc>
          </w:sdtContent>
        </w:sdt>
        <w:sdt>
          <w:sdtPr>
            <w:rPr>
              <w:rFonts w:ascii="Arial Narrow" w:hAnsi="Arial Narrow" w:eastAsiaTheme="majorEastAsia"/>
              <w:szCs w:val="21"/>
            </w:rPr>
            <w:tag w:val="_PLD_0f07869ee4694758ae54754a2afb45dd"/>
            <w:id w:val="845829092"/>
          </w:sdtPr>
          <w:sdtEndPr>
            <w:rPr>
              <w:rFonts w:ascii="Arial Narrow" w:hAnsi="Arial Narrow" w:eastAsiaTheme="majorEastAsia"/>
              <w:szCs w:val="21"/>
            </w:rPr>
          </w:sdtEndPr>
          <w:sdtContent>
            <w:tc>
              <w:tcPr>
                <w:tcW w:w="1468" w:type="pct"/>
                <w:vAlign w:val="center"/>
              </w:tcPr>
              <w:p w14:paraId="6976D5CC">
                <w:pPr>
                  <w:jc w:val="center"/>
                  <w:rPr>
                    <w:rFonts w:ascii="Arial Narrow" w:hAnsi="Arial Narrow" w:eastAsiaTheme="majorEastAsia"/>
                    <w:szCs w:val="21"/>
                  </w:rPr>
                </w:pPr>
                <w:r>
                  <w:rPr>
                    <w:rFonts w:ascii="Arial Narrow" w:hAnsi="Arial Narrow" w:eastAsiaTheme="majorEastAsia"/>
                    <w:szCs w:val="21"/>
                  </w:rPr>
                  <w:t>未办妥产权证书的原因</w:t>
                </w:r>
              </w:p>
            </w:tc>
          </w:sdtContent>
        </w:sdt>
      </w:tr>
      <w:tr w14:paraId="7DDF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612DAF06">
            <w:pPr>
              <w:rPr>
                <w:rFonts w:ascii="Arial Narrow" w:hAnsi="Arial Narrow" w:eastAsiaTheme="majorEastAsia"/>
                <w:szCs w:val="21"/>
              </w:rPr>
            </w:pPr>
            <w:r>
              <w:rPr>
                <w:rFonts w:ascii="Arial Narrow" w:hAnsi="Arial Narrow" w:eastAsiaTheme="majorEastAsia"/>
                <w:color w:val="000000"/>
                <w:szCs w:val="21"/>
              </w:rPr>
              <w:t>际华橡胶工业有限公司房屋建筑物</w:t>
            </w:r>
          </w:p>
        </w:tc>
        <w:tc>
          <w:tcPr>
            <w:tcW w:w="965" w:type="pct"/>
            <w:vAlign w:val="center"/>
          </w:tcPr>
          <w:p w14:paraId="30A06920">
            <w:pPr>
              <w:jc w:val="right"/>
              <w:rPr>
                <w:rFonts w:ascii="Arial Narrow" w:hAnsi="Arial Narrow" w:eastAsiaTheme="majorEastAsia"/>
                <w:szCs w:val="21"/>
              </w:rPr>
            </w:pPr>
            <w:r>
              <w:rPr>
                <w:rFonts w:ascii="Arial Narrow" w:hAnsi="Arial Narrow" w:eastAsiaTheme="majorEastAsia"/>
                <w:color w:val="000000"/>
                <w:szCs w:val="21"/>
              </w:rPr>
              <w:t>233,619,874.05</w:t>
            </w:r>
          </w:p>
        </w:tc>
        <w:tc>
          <w:tcPr>
            <w:tcW w:w="1468" w:type="pct"/>
            <w:vAlign w:val="center"/>
          </w:tcPr>
          <w:p w14:paraId="14EDB257">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7A18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7F0D6481">
            <w:pPr>
              <w:rPr>
                <w:rFonts w:ascii="Arial Narrow" w:hAnsi="Arial Narrow" w:eastAsiaTheme="majorEastAsia"/>
                <w:szCs w:val="21"/>
              </w:rPr>
            </w:pPr>
            <w:r>
              <w:rPr>
                <w:rFonts w:ascii="Arial Narrow" w:hAnsi="Arial Narrow" w:eastAsiaTheme="majorEastAsia"/>
                <w:color w:val="000000"/>
                <w:szCs w:val="21"/>
              </w:rPr>
              <w:t>际华制鞋工业有限公司房屋建筑物</w:t>
            </w:r>
          </w:p>
        </w:tc>
        <w:tc>
          <w:tcPr>
            <w:tcW w:w="965" w:type="pct"/>
            <w:vAlign w:val="center"/>
          </w:tcPr>
          <w:p w14:paraId="3FD5A013">
            <w:pPr>
              <w:jc w:val="right"/>
              <w:rPr>
                <w:rFonts w:ascii="Arial Narrow" w:hAnsi="Arial Narrow" w:eastAsiaTheme="majorEastAsia"/>
                <w:szCs w:val="21"/>
              </w:rPr>
            </w:pPr>
            <w:r>
              <w:rPr>
                <w:rFonts w:ascii="Arial Narrow" w:hAnsi="Arial Narrow" w:eastAsiaTheme="majorEastAsia"/>
                <w:color w:val="000000"/>
                <w:szCs w:val="21"/>
              </w:rPr>
              <w:t>12,525,460.40</w:t>
            </w:r>
          </w:p>
        </w:tc>
        <w:tc>
          <w:tcPr>
            <w:tcW w:w="1468" w:type="pct"/>
            <w:vAlign w:val="center"/>
          </w:tcPr>
          <w:p w14:paraId="016AD272">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4E61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61AB5E65">
            <w:pPr>
              <w:rPr>
                <w:rFonts w:ascii="Arial Narrow" w:hAnsi="Arial Narrow" w:eastAsiaTheme="majorEastAsia"/>
                <w:szCs w:val="21"/>
              </w:rPr>
            </w:pPr>
            <w:r>
              <w:rPr>
                <w:rFonts w:ascii="Arial Narrow" w:hAnsi="Arial Narrow" w:eastAsiaTheme="majorEastAsia"/>
                <w:color w:val="000000"/>
                <w:szCs w:val="21"/>
              </w:rPr>
              <w:t>际华三五三六实业有限公司房屋建筑物</w:t>
            </w:r>
          </w:p>
        </w:tc>
        <w:tc>
          <w:tcPr>
            <w:tcW w:w="965" w:type="pct"/>
            <w:vAlign w:val="center"/>
          </w:tcPr>
          <w:p w14:paraId="06513065">
            <w:pPr>
              <w:jc w:val="right"/>
              <w:rPr>
                <w:rFonts w:ascii="Arial Narrow" w:hAnsi="Arial Narrow" w:eastAsiaTheme="majorEastAsia"/>
                <w:szCs w:val="21"/>
              </w:rPr>
            </w:pPr>
            <w:r>
              <w:rPr>
                <w:rFonts w:ascii="Arial Narrow" w:hAnsi="Arial Narrow" w:eastAsiaTheme="majorEastAsia"/>
                <w:color w:val="000000"/>
                <w:szCs w:val="21"/>
              </w:rPr>
              <w:t>94,930,278.35</w:t>
            </w:r>
          </w:p>
        </w:tc>
        <w:tc>
          <w:tcPr>
            <w:tcW w:w="1468" w:type="pct"/>
            <w:vAlign w:val="center"/>
          </w:tcPr>
          <w:p w14:paraId="73BA5526">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4072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0188CC4A">
            <w:pPr>
              <w:rPr>
                <w:rFonts w:ascii="Arial Narrow" w:hAnsi="Arial Narrow" w:eastAsiaTheme="majorEastAsia"/>
                <w:szCs w:val="21"/>
              </w:rPr>
            </w:pPr>
            <w:r>
              <w:rPr>
                <w:rFonts w:ascii="Arial Narrow" w:hAnsi="Arial Narrow" w:eastAsiaTheme="majorEastAsia"/>
                <w:color w:val="000000"/>
                <w:szCs w:val="21"/>
              </w:rPr>
              <w:t>际华三五一三实业有限公司房屋建筑物</w:t>
            </w:r>
          </w:p>
        </w:tc>
        <w:tc>
          <w:tcPr>
            <w:tcW w:w="965" w:type="pct"/>
            <w:vAlign w:val="center"/>
          </w:tcPr>
          <w:p w14:paraId="7811EA67">
            <w:pPr>
              <w:jc w:val="right"/>
              <w:rPr>
                <w:rFonts w:ascii="Arial Narrow" w:hAnsi="Arial Narrow" w:eastAsiaTheme="majorEastAsia"/>
                <w:szCs w:val="21"/>
              </w:rPr>
            </w:pPr>
            <w:r>
              <w:rPr>
                <w:rFonts w:ascii="Arial Narrow" w:hAnsi="Arial Narrow" w:eastAsiaTheme="majorEastAsia"/>
                <w:color w:val="000000"/>
                <w:szCs w:val="21"/>
              </w:rPr>
              <w:t>89,863,941.38</w:t>
            </w:r>
          </w:p>
        </w:tc>
        <w:tc>
          <w:tcPr>
            <w:tcW w:w="1468" w:type="pct"/>
            <w:vAlign w:val="center"/>
          </w:tcPr>
          <w:p w14:paraId="625A621C">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1183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70C0BDF2">
            <w:pPr>
              <w:rPr>
                <w:rFonts w:ascii="Arial Narrow" w:hAnsi="Arial Narrow" w:eastAsiaTheme="majorEastAsia"/>
                <w:szCs w:val="21"/>
              </w:rPr>
            </w:pPr>
            <w:r>
              <w:rPr>
                <w:rFonts w:ascii="Arial Narrow" w:hAnsi="Arial Narrow" w:eastAsiaTheme="majorEastAsia"/>
                <w:color w:val="000000"/>
                <w:szCs w:val="21"/>
              </w:rPr>
              <w:t>际华三五一二皮革服装有限公司新区厂房</w:t>
            </w:r>
          </w:p>
        </w:tc>
        <w:tc>
          <w:tcPr>
            <w:tcW w:w="965" w:type="pct"/>
            <w:vAlign w:val="center"/>
          </w:tcPr>
          <w:p w14:paraId="2D43E9D2">
            <w:pPr>
              <w:jc w:val="right"/>
              <w:rPr>
                <w:rFonts w:ascii="Arial Narrow" w:hAnsi="Arial Narrow" w:eastAsiaTheme="majorEastAsia"/>
                <w:szCs w:val="21"/>
              </w:rPr>
            </w:pPr>
            <w:r>
              <w:rPr>
                <w:rFonts w:ascii="Arial Narrow" w:hAnsi="Arial Narrow" w:eastAsiaTheme="majorEastAsia"/>
                <w:color w:val="000000"/>
                <w:szCs w:val="21"/>
              </w:rPr>
              <w:t>76,321,663.18</w:t>
            </w:r>
          </w:p>
        </w:tc>
        <w:tc>
          <w:tcPr>
            <w:tcW w:w="1468" w:type="pct"/>
            <w:vAlign w:val="center"/>
          </w:tcPr>
          <w:p w14:paraId="216DEF56">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241A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288CE53A">
            <w:pPr>
              <w:rPr>
                <w:rFonts w:ascii="Arial Narrow" w:hAnsi="Arial Narrow" w:eastAsiaTheme="majorEastAsia"/>
                <w:szCs w:val="21"/>
              </w:rPr>
            </w:pPr>
            <w:r>
              <w:rPr>
                <w:rFonts w:ascii="Arial Narrow" w:hAnsi="Arial Narrow" w:eastAsiaTheme="majorEastAsia"/>
                <w:color w:val="000000"/>
                <w:szCs w:val="21"/>
              </w:rPr>
              <w:t>重庆际华目的地中心实业有限公司房屋建筑物</w:t>
            </w:r>
          </w:p>
        </w:tc>
        <w:tc>
          <w:tcPr>
            <w:tcW w:w="965" w:type="pct"/>
            <w:vAlign w:val="center"/>
          </w:tcPr>
          <w:p w14:paraId="4042A2A9">
            <w:pPr>
              <w:jc w:val="right"/>
              <w:rPr>
                <w:rFonts w:ascii="Arial Narrow" w:hAnsi="Arial Narrow" w:eastAsiaTheme="majorEastAsia"/>
                <w:szCs w:val="21"/>
              </w:rPr>
            </w:pPr>
            <w:r>
              <w:rPr>
                <w:rFonts w:ascii="Arial Narrow" w:hAnsi="Arial Narrow" w:eastAsiaTheme="majorEastAsia"/>
                <w:color w:val="000000"/>
                <w:szCs w:val="21"/>
              </w:rPr>
              <w:t>45,085,127.40</w:t>
            </w:r>
          </w:p>
        </w:tc>
        <w:tc>
          <w:tcPr>
            <w:tcW w:w="1468" w:type="pct"/>
            <w:vAlign w:val="center"/>
          </w:tcPr>
          <w:p w14:paraId="5766F6E6">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5ACF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41A2169B">
            <w:pPr>
              <w:rPr>
                <w:rFonts w:ascii="Arial Narrow" w:hAnsi="Arial Narrow" w:eastAsiaTheme="majorEastAsia"/>
                <w:szCs w:val="21"/>
              </w:rPr>
            </w:pPr>
            <w:r>
              <w:rPr>
                <w:rFonts w:ascii="Arial Narrow" w:hAnsi="Arial Narrow" w:eastAsiaTheme="majorEastAsia"/>
                <w:color w:val="000000"/>
                <w:szCs w:val="21"/>
              </w:rPr>
              <w:t>际华三五四三针织服饰有限公司房屋建筑物</w:t>
            </w:r>
          </w:p>
        </w:tc>
        <w:tc>
          <w:tcPr>
            <w:tcW w:w="965" w:type="pct"/>
            <w:vAlign w:val="center"/>
          </w:tcPr>
          <w:p w14:paraId="024A0EA1">
            <w:pPr>
              <w:jc w:val="right"/>
              <w:rPr>
                <w:rFonts w:ascii="Arial Narrow" w:hAnsi="Arial Narrow" w:eastAsiaTheme="majorEastAsia"/>
                <w:szCs w:val="21"/>
              </w:rPr>
            </w:pPr>
            <w:r>
              <w:rPr>
                <w:rFonts w:ascii="Arial Narrow" w:hAnsi="Arial Narrow" w:eastAsiaTheme="majorEastAsia"/>
                <w:color w:val="000000"/>
                <w:szCs w:val="21"/>
              </w:rPr>
              <w:t>36,185,170.58</w:t>
            </w:r>
          </w:p>
        </w:tc>
        <w:tc>
          <w:tcPr>
            <w:tcW w:w="1468" w:type="pct"/>
            <w:vAlign w:val="center"/>
          </w:tcPr>
          <w:p w14:paraId="6E1FF38D">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3921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1044548D">
            <w:pPr>
              <w:rPr>
                <w:rFonts w:ascii="Arial Narrow" w:hAnsi="Arial Narrow" w:eastAsiaTheme="majorEastAsia"/>
                <w:szCs w:val="21"/>
              </w:rPr>
            </w:pPr>
            <w:r>
              <w:rPr>
                <w:rFonts w:ascii="Arial Narrow" w:hAnsi="Arial Narrow" w:eastAsiaTheme="majorEastAsia"/>
                <w:color w:val="000000"/>
                <w:szCs w:val="21"/>
              </w:rPr>
              <w:t>长春际华投资建设有限公司房屋建筑物</w:t>
            </w:r>
          </w:p>
        </w:tc>
        <w:tc>
          <w:tcPr>
            <w:tcW w:w="965" w:type="pct"/>
            <w:vAlign w:val="center"/>
          </w:tcPr>
          <w:p w14:paraId="286C534E">
            <w:pPr>
              <w:jc w:val="right"/>
              <w:rPr>
                <w:rFonts w:ascii="Arial Narrow" w:hAnsi="Arial Narrow" w:eastAsiaTheme="majorEastAsia"/>
                <w:szCs w:val="21"/>
              </w:rPr>
            </w:pPr>
            <w:r>
              <w:rPr>
                <w:rFonts w:ascii="Arial Narrow" w:hAnsi="Arial Narrow" w:eastAsiaTheme="majorEastAsia"/>
                <w:color w:val="000000"/>
                <w:szCs w:val="21"/>
              </w:rPr>
              <w:t>20,498,281.73</w:t>
            </w:r>
          </w:p>
        </w:tc>
        <w:tc>
          <w:tcPr>
            <w:tcW w:w="1468" w:type="pct"/>
            <w:vAlign w:val="center"/>
          </w:tcPr>
          <w:p w14:paraId="5EC4A602">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2E0F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41865F52">
            <w:pPr>
              <w:rPr>
                <w:rFonts w:ascii="Arial Narrow" w:hAnsi="Arial Narrow" w:eastAsiaTheme="majorEastAsia"/>
                <w:szCs w:val="21"/>
              </w:rPr>
            </w:pPr>
            <w:r>
              <w:rPr>
                <w:rFonts w:ascii="Arial Narrow" w:hAnsi="Arial Narrow" w:eastAsiaTheme="majorEastAsia"/>
                <w:color w:val="000000"/>
                <w:szCs w:val="21"/>
              </w:rPr>
              <w:t>际华三五零二职业装有限公司房屋建筑物</w:t>
            </w:r>
          </w:p>
        </w:tc>
        <w:tc>
          <w:tcPr>
            <w:tcW w:w="965" w:type="pct"/>
            <w:vAlign w:val="center"/>
          </w:tcPr>
          <w:p w14:paraId="5B03A20E">
            <w:pPr>
              <w:jc w:val="right"/>
              <w:rPr>
                <w:rFonts w:ascii="Arial Narrow" w:hAnsi="Arial Narrow" w:eastAsiaTheme="majorEastAsia"/>
                <w:szCs w:val="21"/>
              </w:rPr>
            </w:pPr>
            <w:r>
              <w:rPr>
                <w:rFonts w:ascii="Arial Narrow" w:hAnsi="Arial Narrow" w:eastAsiaTheme="majorEastAsia"/>
                <w:color w:val="000000"/>
                <w:szCs w:val="21"/>
              </w:rPr>
              <w:t>12,262,336.86</w:t>
            </w:r>
          </w:p>
        </w:tc>
        <w:tc>
          <w:tcPr>
            <w:tcW w:w="1468" w:type="pct"/>
            <w:vAlign w:val="center"/>
          </w:tcPr>
          <w:p w14:paraId="356CE80D">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2F1B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7D3BAD1E">
            <w:pPr>
              <w:rPr>
                <w:rFonts w:ascii="Arial Narrow" w:hAnsi="Arial Narrow" w:eastAsiaTheme="majorEastAsia"/>
                <w:szCs w:val="21"/>
              </w:rPr>
            </w:pPr>
            <w:r>
              <w:rPr>
                <w:rFonts w:ascii="Arial Narrow" w:hAnsi="Arial Narrow" w:eastAsiaTheme="majorEastAsia"/>
                <w:color w:val="000000"/>
                <w:szCs w:val="21"/>
              </w:rPr>
              <w:t>际华三五一四制革制鞋有限公司房屋建筑物</w:t>
            </w:r>
          </w:p>
        </w:tc>
        <w:tc>
          <w:tcPr>
            <w:tcW w:w="965" w:type="pct"/>
            <w:vAlign w:val="center"/>
          </w:tcPr>
          <w:p w14:paraId="756D6343">
            <w:pPr>
              <w:jc w:val="right"/>
              <w:rPr>
                <w:rFonts w:ascii="Arial Narrow" w:hAnsi="Arial Narrow" w:eastAsiaTheme="majorEastAsia"/>
                <w:szCs w:val="21"/>
              </w:rPr>
            </w:pPr>
            <w:r>
              <w:rPr>
                <w:rFonts w:ascii="Arial Narrow" w:hAnsi="Arial Narrow" w:eastAsiaTheme="majorEastAsia"/>
                <w:color w:val="000000"/>
                <w:szCs w:val="21"/>
              </w:rPr>
              <w:t>5,750,320.38</w:t>
            </w:r>
          </w:p>
        </w:tc>
        <w:tc>
          <w:tcPr>
            <w:tcW w:w="1468" w:type="pct"/>
            <w:vAlign w:val="center"/>
          </w:tcPr>
          <w:p w14:paraId="0085FBDA">
            <w:pPr>
              <w:jc w:val="center"/>
              <w:rPr>
                <w:rFonts w:ascii="Arial Narrow" w:hAnsi="Arial Narrow" w:eastAsiaTheme="majorEastAsia"/>
                <w:szCs w:val="21"/>
              </w:rPr>
            </w:pPr>
            <w:r>
              <w:rPr>
                <w:rFonts w:ascii="Arial Narrow" w:hAnsi="Arial Narrow" w:eastAsiaTheme="majorEastAsia"/>
                <w:color w:val="000000"/>
                <w:szCs w:val="21"/>
              </w:rPr>
              <w:t>正在办理中</w:t>
            </w:r>
          </w:p>
        </w:tc>
      </w:tr>
      <w:tr w14:paraId="0096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pct"/>
          </w:tcPr>
          <w:p w14:paraId="1CA76363">
            <w:pPr>
              <w:jc w:val="center"/>
              <w:rPr>
                <w:rFonts w:ascii="Arial Narrow" w:hAnsi="Arial Narrow" w:eastAsiaTheme="majorEastAsia"/>
                <w:szCs w:val="21"/>
              </w:rPr>
            </w:pPr>
            <w:r>
              <w:rPr>
                <w:rFonts w:ascii="Arial Narrow" w:hAnsi="Arial Narrow" w:eastAsiaTheme="majorEastAsia"/>
                <w:color w:val="000000"/>
                <w:szCs w:val="21"/>
              </w:rPr>
              <w:t>小  计</w:t>
            </w:r>
          </w:p>
        </w:tc>
        <w:tc>
          <w:tcPr>
            <w:tcW w:w="965" w:type="pct"/>
            <w:vAlign w:val="center"/>
          </w:tcPr>
          <w:p w14:paraId="5C9C9E56">
            <w:pPr>
              <w:jc w:val="right"/>
              <w:rPr>
                <w:rFonts w:ascii="Arial Narrow" w:hAnsi="Arial Narrow" w:eastAsiaTheme="majorEastAsia"/>
                <w:szCs w:val="21"/>
              </w:rPr>
            </w:pPr>
            <w:r>
              <w:rPr>
                <w:rFonts w:ascii="Arial Narrow" w:hAnsi="Arial Narrow" w:eastAsiaTheme="majorEastAsia"/>
                <w:color w:val="000000"/>
                <w:szCs w:val="21"/>
              </w:rPr>
              <w:t>627,042,454.31</w:t>
            </w:r>
          </w:p>
        </w:tc>
        <w:tc>
          <w:tcPr>
            <w:tcW w:w="1468" w:type="pct"/>
          </w:tcPr>
          <w:p w14:paraId="7F732D1E">
            <w:pPr>
              <w:rPr>
                <w:rFonts w:ascii="Arial Narrow" w:hAnsi="Arial Narrow" w:eastAsiaTheme="majorEastAsia"/>
                <w:szCs w:val="21"/>
              </w:rPr>
            </w:pPr>
          </w:p>
        </w:tc>
      </w:tr>
    </w:tbl>
    <w:p w14:paraId="24BA0381">
      <w:pPr>
        <w:rPr>
          <w:rFonts w:hint="eastAsia"/>
        </w:rPr>
      </w:pPr>
    </w:p>
    <w:p w14:paraId="0F25434F">
      <w:pPr>
        <w:pStyle w:val="72"/>
        <w:numPr>
          <w:ilvl w:val="0"/>
          <w:numId w:val="125"/>
        </w:numPr>
        <w:ind w:leftChars="0"/>
      </w:pPr>
      <w:bookmarkStart w:id="314" w:name="_Hlk153460880"/>
      <w:r>
        <w:rPr>
          <w:rFonts w:hint="eastAsia"/>
        </w:rPr>
        <w:t>固定资产的减值测试情况</w:t>
      </w:r>
    </w:p>
    <w:sdt>
      <w:sdtPr>
        <w:alias w:val="是否适用：减值测试情况[双击切换]"/>
        <w:tag w:val="_GBC_d1f21a00be1347f697689e4105263cab"/>
        <w:id w:val="-1368830887"/>
        <w:placeholder>
          <w:docPart w:val="GBC22222222222222222222222222222"/>
        </w:placeholder>
      </w:sdtPr>
      <w:sdtContent>
        <w:p w14:paraId="2393E034">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0CEEB3">
      <w:pPr>
        <w:snapToGrid w:val="0"/>
        <w:spacing w:line="240" w:lineRule="atLeast"/>
        <w:rPr>
          <w:rFonts w:hint="eastAsia"/>
          <w:b/>
          <w:szCs w:val="21"/>
        </w:rPr>
      </w:pPr>
    </w:p>
    <w:p w14:paraId="3A2E31A1">
      <w:pPr>
        <w:pStyle w:val="73"/>
        <w:ind w:left="105"/>
      </w:pPr>
      <w:r>
        <w:rPr>
          <w:rFonts w:hint="eastAsia"/>
        </w:rPr>
        <w:t>可收回金额按公允价值减去处置费用后的净额确定</w:t>
      </w:r>
    </w:p>
    <w:sdt>
      <w:sdtPr>
        <w:alias w:val="是否适用：可收回金额按公允价值减去处置费用后的净额确定[双击切换]"/>
        <w:tag w:val="_GBC_aec0e7ccc02e434bb7a5dfe43b1c37d3"/>
        <w:id w:val="885374279"/>
        <w:placeholder>
          <w:docPart w:val="GBC22222222222222222222222222222"/>
        </w:placeholder>
      </w:sdtPr>
      <w:sdtContent>
        <w:p w14:paraId="1932B6D9">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9D4FA4">
      <w:pPr>
        <w:jc w:val="right"/>
        <w:rPr>
          <w:rFonts w:hint="eastAsia"/>
        </w:rPr>
      </w:pPr>
      <w:r>
        <w:rPr>
          <w:rFonts w:hint="eastAsia"/>
        </w:rPr>
        <w:t>单位：</w:t>
      </w:r>
      <w:sdt>
        <w:sdtPr>
          <w:rPr>
            <w:rFonts w:hint="eastAsia"/>
          </w:rPr>
          <w:alias w:val="单位：可收回金额按公允价值减去处置费用后的净额确定"/>
          <w:tag w:val="_GBC_b671e685845642338af2e0770e3e971b"/>
          <w:id w:val="-132650314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公允价值减去处置费用后的净额确定"/>
          <w:tag w:val="_GBC_82fc6808460c4d9b894dfe84f24e6d24"/>
          <w:id w:val="10689202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222"/>
        <w:gridCol w:w="1222"/>
        <w:gridCol w:w="1225"/>
        <w:gridCol w:w="1264"/>
        <w:gridCol w:w="1123"/>
        <w:gridCol w:w="1728"/>
      </w:tblGrid>
      <w:tr w14:paraId="14F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szCs w:val="21"/>
            </w:rPr>
            <w:tag w:val="_PLD_185ab148e74943118f88963f8976a4d9"/>
            <w:id w:val="1966622021"/>
          </w:sdtPr>
          <w:sdtEndPr>
            <w:rPr>
              <w:szCs w:val="21"/>
            </w:rPr>
          </w:sdtEndPr>
          <w:sdtContent>
            <w:tc>
              <w:tcPr>
                <w:tcW w:w="596" w:type="pct"/>
                <w:shd w:val="clear" w:color="auto" w:fill="auto"/>
                <w:vAlign w:val="center"/>
              </w:tcPr>
              <w:p w14:paraId="330511E2">
                <w:pPr>
                  <w:widowControl w:val="0"/>
                  <w:snapToGrid w:val="0"/>
                  <w:spacing w:line="240" w:lineRule="atLeast"/>
                  <w:jc w:val="center"/>
                  <w:rPr>
                    <w:rFonts w:hint="eastAsia"/>
                    <w:szCs w:val="21"/>
                  </w:rPr>
                </w:pPr>
                <w:r>
                  <w:rPr>
                    <w:rFonts w:hint="eastAsia"/>
                    <w:szCs w:val="21"/>
                  </w:rPr>
                  <w:t>项目</w:t>
                </w:r>
              </w:p>
            </w:tc>
          </w:sdtContent>
        </w:sdt>
        <w:sdt>
          <w:sdtPr>
            <w:rPr>
              <w:szCs w:val="21"/>
            </w:rPr>
            <w:tag w:val="_PLD_80f6ee1d3ff94c58af55d2f540a6baaa"/>
            <w:id w:val="-1010762947"/>
          </w:sdtPr>
          <w:sdtEndPr>
            <w:rPr>
              <w:szCs w:val="21"/>
            </w:rPr>
          </w:sdtEndPr>
          <w:sdtContent>
            <w:tc>
              <w:tcPr>
                <w:tcW w:w="685" w:type="pct"/>
                <w:vAlign w:val="center"/>
              </w:tcPr>
              <w:p w14:paraId="648BD3A1">
                <w:pPr>
                  <w:widowControl w:val="0"/>
                  <w:snapToGrid w:val="0"/>
                  <w:spacing w:line="240" w:lineRule="atLeast"/>
                  <w:jc w:val="center"/>
                  <w:rPr>
                    <w:rFonts w:hint="eastAsia"/>
                    <w:szCs w:val="21"/>
                  </w:rPr>
                </w:pPr>
                <w:r>
                  <w:rPr>
                    <w:rFonts w:hint="eastAsia"/>
                    <w:szCs w:val="21"/>
                  </w:rPr>
                  <w:t>账面价值</w:t>
                </w:r>
              </w:p>
            </w:tc>
          </w:sdtContent>
        </w:sdt>
        <w:sdt>
          <w:sdtPr>
            <w:rPr>
              <w:szCs w:val="21"/>
            </w:rPr>
            <w:tag w:val="_PLD_2c31dcde77474c8eb3b52ebee9b554e2"/>
            <w:id w:val="-957487375"/>
          </w:sdtPr>
          <w:sdtEndPr>
            <w:rPr>
              <w:szCs w:val="21"/>
            </w:rPr>
          </w:sdtEndPr>
          <w:sdtContent>
            <w:tc>
              <w:tcPr>
                <w:tcW w:w="665" w:type="pct"/>
                <w:vAlign w:val="center"/>
              </w:tcPr>
              <w:p w14:paraId="6109DF87">
                <w:pPr>
                  <w:widowControl w:val="0"/>
                  <w:snapToGrid w:val="0"/>
                  <w:spacing w:line="240" w:lineRule="atLeast"/>
                  <w:jc w:val="center"/>
                  <w:rPr>
                    <w:rFonts w:hint="eastAsia"/>
                    <w:szCs w:val="21"/>
                  </w:rPr>
                </w:pPr>
                <w:r>
                  <w:rPr>
                    <w:rFonts w:hint="eastAsia"/>
                    <w:szCs w:val="21"/>
                  </w:rPr>
                  <w:t>可收回</w:t>
                </w:r>
              </w:p>
              <w:p w14:paraId="6342C118">
                <w:pPr>
                  <w:widowControl w:val="0"/>
                  <w:snapToGrid w:val="0"/>
                  <w:spacing w:line="240" w:lineRule="atLeast"/>
                  <w:jc w:val="center"/>
                  <w:rPr>
                    <w:rFonts w:hint="eastAsia"/>
                    <w:szCs w:val="21"/>
                  </w:rPr>
                </w:pPr>
                <w:r>
                  <w:rPr>
                    <w:rFonts w:hint="eastAsia"/>
                    <w:szCs w:val="21"/>
                  </w:rPr>
                  <w:t>金额</w:t>
                </w:r>
              </w:p>
            </w:tc>
          </w:sdtContent>
        </w:sdt>
        <w:sdt>
          <w:sdtPr>
            <w:rPr>
              <w:szCs w:val="21"/>
            </w:rPr>
            <w:tag w:val="_PLD_77c67fc8fa904b82a85f28d04122b47d"/>
            <w:id w:val="354153751"/>
          </w:sdtPr>
          <w:sdtEndPr>
            <w:rPr>
              <w:szCs w:val="21"/>
            </w:rPr>
          </w:sdtEndPr>
          <w:sdtContent>
            <w:tc>
              <w:tcPr>
                <w:tcW w:w="701" w:type="pct"/>
                <w:vAlign w:val="center"/>
              </w:tcPr>
              <w:p w14:paraId="12F6AE5B">
                <w:pPr>
                  <w:widowControl w:val="0"/>
                  <w:snapToGrid w:val="0"/>
                  <w:spacing w:line="240" w:lineRule="atLeast"/>
                  <w:jc w:val="center"/>
                  <w:rPr>
                    <w:rFonts w:hint="eastAsia"/>
                    <w:szCs w:val="21"/>
                  </w:rPr>
                </w:pPr>
                <w:r>
                  <w:rPr>
                    <w:rFonts w:hint="eastAsia"/>
                    <w:szCs w:val="21"/>
                  </w:rPr>
                  <w:t>减值金额</w:t>
                </w:r>
              </w:p>
            </w:tc>
          </w:sdtContent>
        </w:sdt>
        <w:sdt>
          <w:sdtPr>
            <w:rPr>
              <w:szCs w:val="21"/>
            </w:rPr>
            <w:tag w:val="_PLD_812c42bc9387455595d79a7a41d28c92"/>
            <w:id w:val="-584839406"/>
          </w:sdtPr>
          <w:sdtEndPr>
            <w:rPr>
              <w:szCs w:val="21"/>
            </w:rPr>
          </w:sdtEndPr>
          <w:sdtContent>
            <w:tc>
              <w:tcPr>
                <w:tcW w:w="723" w:type="pct"/>
                <w:shd w:val="clear" w:color="auto" w:fill="auto"/>
                <w:vAlign w:val="center"/>
              </w:tcPr>
              <w:p w14:paraId="1C8B9D78">
                <w:pPr>
                  <w:widowControl w:val="0"/>
                  <w:snapToGrid w:val="0"/>
                  <w:spacing w:line="240" w:lineRule="atLeast"/>
                  <w:jc w:val="center"/>
                  <w:rPr>
                    <w:rFonts w:hint="eastAsia"/>
                    <w:szCs w:val="21"/>
                  </w:rPr>
                </w:pPr>
                <w:r>
                  <w:rPr>
                    <w:rFonts w:hint="eastAsia"/>
                    <w:szCs w:val="21"/>
                  </w:rPr>
                  <w:t>公允价值和处置费用的确定方式</w:t>
                </w:r>
              </w:p>
            </w:tc>
          </w:sdtContent>
        </w:sdt>
        <w:sdt>
          <w:sdtPr>
            <w:rPr>
              <w:szCs w:val="21"/>
            </w:rPr>
            <w:tag w:val="_PLD_636a3aa038834682b1c09dcfc76a19e6"/>
            <w:id w:val="2118710730"/>
          </w:sdtPr>
          <w:sdtEndPr>
            <w:rPr>
              <w:szCs w:val="21"/>
            </w:rPr>
          </w:sdtEndPr>
          <w:sdtContent>
            <w:tc>
              <w:tcPr>
                <w:tcW w:w="643" w:type="pct"/>
                <w:shd w:val="clear" w:color="auto" w:fill="auto"/>
                <w:vAlign w:val="center"/>
              </w:tcPr>
              <w:p w14:paraId="3324D837">
                <w:pPr>
                  <w:widowControl w:val="0"/>
                  <w:snapToGrid w:val="0"/>
                  <w:spacing w:line="240" w:lineRule="atLeast"/>
                  <w:jc w:val="center"/>
                  <w:rPr>
                    <w:rFonts w:hint="eastAsia"/>
                    <w:szCs w:val="21"/>
                  </w:rPr>
                </w:pPr>
                <w:r>
                  <w:rPr>
                    <w:rFonts w:hint="eastAsia"/>
                    <w:szCs w:val="21"/>
                  </w:rPr>
                  <w:t>关键参数</w:t>
                </w:r>
              </w:p>
            </w:tc>
          </w:sdtContent>
        </w:sdt>
        <w:sdt>
          <w:sdtPr>
            <w:rPr>
              <w:szCs w:val="21"/>
            </w:rPr>
            <w:tag w:val="_PLD_3c290a2cf8904647926456887b2e2d35"/>
            <w:id w:val="-1588152033"/>
          </w:sdtPr>
          <w:sdtEndPr>
            <w:rPr>
              <w:szCs w:val="21"/>
            </w:rPr>
          </w:sdtEndPr>
          <w:sdtContent>
            <w:tc>
              <w:tcPr>
                <w:tcW w:w="986" w:type="pct"/>
                <w:shd w:val="clear" w:color="auto" w:fill="auto"/>
                <w:vAlign w:val="center"/>
              </w:tcPr>
              <w:p w14:paraId="278784BB">
                <w:pPr>
                  <w:widowControl w:val="0"/>
                  <w:snapToGrid w:val="0"/>
                  <w:spacing w:line="240" w:lineRule="atLeast"/>
                  <w:jc w:val="center"/>
                  <w:rPr>
                    <w:rFonts w:hint="eastAsia"/>
                    <w:szCs w:val="21"/>
                  </w:rPr>
                </w:pPr>
                <w:r>
                  <w:rPr>
                    <w:rFonts w:hint="eastAsia"/>
                    <w:szCs w:val="21"/>
                  </w:rPr>
                  <w:t>关键参数的确定依据</w:t>
                </w:r>
              </w:p>
            </w:tc>
          </w:sdtContent>
        </w:sdt>
      </w:tr>
      <w:tr w14:paraId="11C8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14:paraId="1B6B4AF1">
            <w:pPr>
              <w:widowControl w:val="0"/>
              <w:snapToGrid w:val="0"/>
              <w:spacing w:line="240" w:lineRule="atLeast"/>
              <w:jc w:val="both"/>
              <w:rPr>
                <w:rFonts w:hint="eastAsia" w:asciiTheme="minorEastAsia" w:hAnsiTheme="minorEastAsia" w:eastAsiaTheme="minorEastAsia"/>
                <w:szCs w:val="21"/>
              </w:rPr>
            </w:pPr>
            <w:r>
              <w:rPr>
                <w:rFonts w:hint="eastAsia" w:asciiTheme="minorEastAsia" w:hAnsiTheme="minorEastAsia" w:eastAsiaTheme="minorEastAsia"/>
                <w:color w:val="000000"/>
                <w:szCs w:val="21"/>
              </w:rPr>
              <w:t>际华橡胶工业有限公司机器设备</w:t>
            </w:r>
          </w:p>
        </w:tc>
        <w:tc>
          <w:tcPr>
            <w:tcW w:w="685" w:type="pct"/>
            <w:vAlign w:val="center"/>
          </w:tcPr>
          <w:p w14:paraId="7E26BCB0">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4,186,951.36</w:t>
            </w:r>
          </w:p>
        </w:tc>
        <w:tc>
          <w:tcPr>
            <w:tcW w:w="665" w:type="pct"/>
            <w:vAlign w:val="center"/>
          </w:tcPr>
          <w:p w14:paraId="2F21B488">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1,244,401.00</w:t>
            </w:r>
          </w:p>
        </w:tc>
        <w:tc>
          <w:tcPr>
            <w:tcW w:w="701" w:type="pct"/>
            <w:vAlign w:val="center"/>
          </w:tcPr>
          <w:p w14:paraId="3B17A457">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2,942,550.36</w:t>
            </w:r>
          </w:p>
        </w:tc>
        <w:tc>
          <w:tcPr>
            <w:tcW w:w="723" w:type="pct"/>
            <w:shd w:val="clear" w:color="auto" w:fill="auto"/>
            <w:vAlign w:val="center"/>
          </w:tcPr>
          <w:p w14:paraId="15087CC4">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市场询价</w:t>
            </w:r>
          </w:p>
        </w:tc>
        <w:tc>
          <w:tcPr>
            <w:tcW w:w="643" w:type="pct"/>
            <w:shd w:val="clear" w:color="auto" w:fill="auto"/>
            <w:vAlign w:val="center"/>
          </w:tcPr>
          <w:p w14:paraId="01A738E8">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市场单价</w:t>
            </w:r>
          </w:p>
        </w:tc>
        <w:tc>
          <w:tcPr>
            <w:tcW w:w="986" w:type="pct"/>
            <w:shd w:val="clear" w:color="auto" w:fill="auto"/>
            <w:vAlign w:val="center"/>
          </w:tcPr>
          <w:p w14:paraId="073EDD9F">
            <w:pPr>
              <w:widowControl w:val="0"/>
              <w:snapToGrid w:val="0"/>
              <w:spacing w:line="240" w:lineRule="atLeast"/>
              <w:jc w:val="both"/>
              <w:rPr>
                <w:rFonts w:hint="eastAsia" w:asciiTheme="minorEastAsia" w:hAnsiTheme="minorEastAsia" w:eastAsiaTheme="minorEastAsia"/>
                <w:szCs w:val="21"/>
              </w:rPr>
            </w:pPr>
            <w:r>
              <w:rPr>
                <w:rFonts w:asciiTheme="minorEastAsia" w:hAnsiTheme="minorEastAsia" w:eastAsiaTheme="minorEastAsia"/>
                <w:color w:val="000000"/>
                <w:szCs w:val="21"/>
              </w:rPr>
              <w:t>采用市场询价途径确定其重置成本；根据设备耐用年限和实际使用年限确定年限成新率；对设备进行现场勘察、查阅相关资料确定成新率</w:t>
            </w:r>
          </w:p>
        </w:tc>
      </w:tr>
      <w:tr w14:paraId="6CBE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14:paraId="201B1B1E">
            <w:pPr>
              <w:widowControl w:val="0"/>
              <w:snapToGrid w:val="0"/>
              <w:spacing w:line="240" w:lineRule="atLeast"/>
              <w:jc w:val="both"/>
              <w:rPr>
                <w:rFonts w:hint="eastAsia" w:asciiTheme="minorEastAsia" w:hAnsiTheme="minorEastAsia" w:eastAsiaTheme="minorEastAsia"/>
                <w:szCs w:val="21"/>
              </w:rPr>
            </w:pPr>
            <w:r>
              <w:rPr>
                <w:rFonts w:asciiTheme="minorEastAsia" w:hAnsiTheme="minorEastAsia" w:eastAsiaTheme="minorEastAsia"/>
                <w:color w:val="000000"/>
                <w:szCs w:val="21"/>
              </w:rPr>
              <w:t>际华制鞋工业有限公司房屋及建筑物</w:t>
            </w:r>
          </w:p>
        </w:tc>
        <w:tc>
          <w:tcPr>
            <w:tcW w:w="685" w:type="pct"/>
            <w:vAlign w:val="center"/>
          </w:tcPr>
          <w:p w14:paraId="4AEC20B2">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4,837,679.01</w:t>
            </w:r>
          </w:p>
        </w:tc>
        <w:tc>
          <w:tcPr>
            <w:tcW w:w="665" w:type="pct"/>
            <w:vAlign w:val="center"/>
          </w:tcPr>
          <w:p w14:paraId="5FAF1B7D">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2,584,785.05</w:t>
            </w:r>
          </w:p>
        </w:tc>
        <w:tc>
          <w:tcPr>
            <w:tcW w:w="701" w:type="pct"/>
            <w:vAlign w:val="center"/>
          </w:tcPr>
          <w:p w14:paraId="5BBE678B">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2,252,893.96</w:t>
            </w:r>
          </w:p>
        </w:tc>
        <w:tc>
          <w:tcPr>
            <w:tcW w:w="723" w:type="pct"/>
            <w:shd w:val="clear" w:color="auto" w:fill="auto"/>
            <w:vAlign w:val="center"/>
          </w:tcPr>
          <w:p w14:paraId="3297373C">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市场询价</w:t>
            </w:r>
          </w:p>
        </w:tc>
        <w:tc>
          <w:tcPr>
            <w:tcW w:w="643" w:type="pct"/>
            <w:shd w:val="clear" w:color="auto" w:fill="auto"/>
            <w:vAlign w:val="center"/>
          </w:tcPr>
          <w:p w14:paraId="6E2EB64F">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市场单价</w:t>
            </w:r>
          </w:p>
        </w:tc>
        <w:tc>
          <w:tcPr>
            <w:tcW w:w="986" w:type="pct"/>
            <w:shd w:val="clear" w:color="auto" w:fill="auto"/>
            <w:vAlign w:val="center"/>
          </w:tcPr>
          <w:p w14:paraId="1114F9C6">
            <w:pPr>
              <w:widowControl w:val="0"/>
              <w:snapToGrid w:val="0"/>
              <w:spacing w:line="240" w:lineRule="atLeast"/>
              <w:jc w:val="both"/>
              <w:rPr>
                <w:rFonts w:hint="eastAsia" w:asciiTheme="minorEastAsia" w:hAnsiTheme="minorEastAsia" w:eastAsiaTheme="minorEastAsia"/>
                <w:szCs w:val="21"/>
              </w:rPr>
            </w:pPr>
            <w:r>
              <w:rPr>
                <w:rFonts w:asciiTheme="minorEastAsia" w:hAnsiTheme="minorEastAsia" w:eastAsiaTheme="minorEastAsia"/>
                <w:color w:val="000000"/>
                <w:szCs w:val="21"/>
              </w:rPr>
              <w:t>资产的重置成本减去实体性贬值、功能性贬值和经济性贬值</w:t>
            </w:r>
          </w:p>
        </w:tc>
      </w:tr>
      <w:tr w14:paraId="43E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vAlign w:val="center"/>
          </w:tcPr>
          <w:p w14:paraId="62287777">
            <w:pPr>
              <w:widowControl w:val="0"/>
              <w:snapToGrid w:val="0"/>
              <w:spacing w:line="240" w:lineRule="atLeast"/>
              <w:jc w:val="both"/>
              <w:rPr>
                <w:rFonts w:hint="eastAsia" w:asciiTheme="minorEastAsia" w:hAnsiTheme="minorEastAsia" w:eastAsiaTheme="minorEastAsia"/>
                <w:szCs w:val="21"/>
              </w:rPr>
            </w:pPr>
            <w:r>
              <w:rPr>
                <w:rFonts w:asciiTheme="minorEastAsia" w:hAnsiTheme="minorEastAsia" w:eastAsiaTheme="minorEastAsia"/>
                <w:color w:val="000000"/>
                <w:szCs w:val="21"/>
              </w:rPr>
              <w:t>际华制鞋工业有限公司机器设备</w:t>
            </w:r>
          </w:p>
        </w:tc>
        <w:tc>
          <w:tcPr>
            <w:tcW w:w="685" w:type="pct"/>
            <w:vAlign w:val="center"/>
          </w:tcPr>
          <w:p w14:paraId="457C0C0D">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223,476.54</w:t>
            </w:r>
          </w:p>
        </w:tc>
        <w:tc>
          <w:tcPr>
            <w:tcW w:w="665" w:type="pct"/>
            <w:vAlign w:val="center"/>
          </w:tcPr>
          <w:p w14:paraId="42E71B99">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77,496.85</w:t>
            </w:r>
          </w:p>
        </w:tc>
        <w:tc>
          <w:tcPr>
            <w:tcW w:w="701" w:type="pct"/>
            <w:vAlign w:val="center"/>
          </w:tcPr>
          <w:p w14:paraId="371AA45C">
            <w:pPr>
              <w:widowControl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145,979.69</w:t>
            </w:r>
          </w:p>
        </w:tc>
        <w:tc>
          <w:tcPr>
            <w:tcW w:w="723" w:type="pct"/>
            <w:shd w:val="clear" w:color="auto" w:fill="auto"/>
            <w:vAlign w:val="center"/>
          </w:tcPr>
          <w:p w14:paraId="142026DB">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市场询价</w:t>
            </w:r>
          </w:p>
        </w:tc>
        <w:tc>
          <w:tcPr>
            <w:tcW w:w="643" w:type="pct"/>
            <w:shd w:val="clear" w:color="auto" w:fill="auto"/>
            <w:vAlign w:val="center"/>
          </w:tcPr>
          <w:p w14:paraId="307F5356">
            <w:pPr>
              <w:widowControl w:val="0"/>
              <w:snapToGrid w:val="0"/>
              <w:spacing w:line="240" w:lineRule="atLeast"/>
              <w:jc w:val="center"/>
              <w:rPr>
                <w:rFonts w:hint="eastAsia" w:asciiTheme="minorEastAsia" w:hAnsiTheme="minorEastAsia" w:eastAsiaTheme="minorEastAsia"/>
                <w:szCs w:val="21"/>
              </w:rPr>
            </w:pPr>
            <w:r>
              <w:rPr>
                <w:rFonts w:asciiTheme="minorEastAsia" w:hAnsiTheme="minorEastAsia" w:eastAsiaTheme="minorEastAsia"/>
                <w:color w:val="000000"/>
                <w:szCs w:val="21"/>
              </w:rPr>
              <w:t>市场单价</w:t>
            </w:r>
          </w:p>
        </w:tc>
        <w:tc>
          <w:tcPr>
            <w:tcW w:w="986" w:type="pct"/>
            <w:shd w:val="clear" w:color="auto" w:fill="auto"/>
            <w:vAlign w:val="center"/>
          </w:tcPr>
          <w:p w14:paraId="1FACD16D">
            <w:pPr>
              <w:widowControl w:val="0"/>
              <w:snapToGrid w:val="0"/>
              <w:spacing w:line="240" w:lineRule="atLeast"/>
              <w:jc w:val="both"/>
              <w:rPr>
                <w:rFonts w:hint="eastAsia" w:asciiTheme="minorEastAsia" w:hAnsiTheme="minorEastAsia" w:eastAsiaTheme="minorEastAsia"/>
                <w:szCs w:val="21"/>
              </w:rPr>
            </w:pPr>
            <w:r>
              <w:rPr>
                <w:rFonts w:asciiTheme="minorEastAsia" w:hAnsiTheme="minorEastAsia" w:eastAsiaTheme="minorEastAsia"/>
                <w:color w:val="000000"/>
                <w:szCs w:val="21"/>
              </w:rPr>
              <w:t>资产的重置成本减去实体性贬值、功能性贬值和经济性贬值</w:t>
            </w:r>
          </w:p>
        </w:tc>
      </w:tr>
      <w:tr w14:paraId="75D3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pct"/>
            <w:shd w:val="clear" w:color="auto" w:fill="auto"/>
          </w:tcPr>
          <w:p w14:paraId="2B252397">
            <w:pPr>
              <w:widowControl w:val="0"/>
              <w:snapToGrid w:val="0"/>
              <w:spacing w:line="240" w:lineRule="atLeast"/>
              <w:jc w:val="center"/>
              <w:rPr>
                <w:rFonts w:hint="eastAsia"/>
                <w:szCs w:val="21"/>
              </w:rPr>
            </w:pPr>
            <w:r>
              <w:rPr>
                <w:szCs w:val="21"/>
              </w:rPr>
              <w:t>合计</w:t>
            </w:r>
          </w:p>
        </w:tc>
        <w:tc>
          <w:tcPr>
            <w:tcW w:w="685" w:type="pct"/>
            <w:vAlign w:val="center"/>
          </w:tcPr>
          <w:p w14:paraId="4AD31585">
            <w:pPr>
              <w:widowControl w:val="0"/>
              <w:snapToGrid w:val="0"/>
              <w:spacing w:line="240" w:lineRule="atLeast"/>
              <w:jc w:val="right"/>
              <w:rPr>
                <w:rFonts w:ascii="Arial Narrow" w:hAnsi="Arial Narrow"/>
                <w:szCs w:val="21"/>
              </w:rPr>
            </w:pPr>
            <w:r>
              <w:rPr>
                <w:rFonts w:ascii="Arial Narrow" w:hAnsi="Arial Narrow" w:eastAsia="等线"/>
                <w:color w:val="000000"/>
                <w:szCs w:val="21"/>
              </w:rPr>
              <w:t>9,248,106.91</w:t>
            </w:r>
          </w:p>
        </w:tc>
        <w:tc>
          <w:tcPr>
            <w:tcW w:w="665" w:type="pct"/>
            <w:vAlign w:val="center"/>
          </w:tcPr>
          <w:p w14:paraId="1EED7BF7">
            <w:pPr>
              <w:widowControl w:val="0"/>
              <w:snapToGrid w:val="0"/>
              <w:spacing w:line="240" w:lineRule="atLeast"/>
              <w:jc w:val="right"/>
              <w:rPr>
                <w:rFonts w:ascii="Arial Narrow" w:hAnsi="Arial Narrow"/>
                <w:szCs w:val="21"/>
              </w:rPr>
            </w:pPr>
            <w:r>
              <w:rPr>
                <w:rFonts w:ascii="Arial Narrow" w:hAnsi="Arial Narrow" w:eastAsia="等线"/>
                <w:color w:val="000000"/>
                <w:szCs w:val="21"/>
              </w:rPr>
              <w:t>3,906,682.90</w:t>
            </w:r>
          </w:p>
        </w:tc>
        <w:tc>
          <w:tcPr>
            <w:tcW w:w="701" w:type="pct"/>
            <w:vAlign w:val="center"/>
          </w:tcPr>
          <w:p w14:paraId="17B974BF">
            <w:pPr>
              <w:widowControl w:val="0"/>
              <w:snapToGrid w:val="0"/>
              <w:spacing w:line="240" w:lineRule="atLeast"/>
              <w:jc w:val="right"/>
              <w:rPr>
                <w:rFonts w:ascii="Arial Narrow" w:hAnsi="Arial Narrow"/>
                <w:szCs w:val="21"/>
              </w:rPr>
            </w:pPr>
            <w:r>
              <w:rPr>
                <w:rFonts w:ascii="Arial Narrow" w:hAnsi="Arial Narrow" w:eastAsia="等线"/>
                <w:color w:val="000000"/>
                <w:szCs w:val="21"/>
              </w:rPr>
              <w:t>5,341,424.01</w:t>
            </w:r>
          </w:p>
        </w:tc>
        <w:tc>
          <w:tcPr>
            <w:tcW w:w="723" w:type="pct"/>
            <w:shd w:val="clear" w:color="auto" w:fill="auto"/>
          </w:tcPr>
          <w:p w14:paraId="40C077D6">
            <w:pPr>
              <w:widowControl w:val="0"/>
              <w:snapToGrid w:val="0"/>
              <w:spacing w:line="240" w:lineRule="atLeast"/>
              <w:jc w:val="center"/>
              <w:rPr>
                <w:rFonts w:hint="eastAsia"/>
                <w:szCs w:val="21"/>
              </w:rPr>
            </w:pPr>
            <w:r>
              <w:rPr>
                <w:rFonts w:hint="eastAsia"/>
                <w:szCs w:val="21"/>
              </w:rPr>
              <w:t>/</w:t>
            </w:r>
          </w:p>
        </w:tc>
        <w:tc>
          <w:tcPr>
            <w:tcW w:w="643" w:type="pct"/>
            <w:shd w:val="clear" w:color="auto" w:fill="auto"/>
          </w:tcPr>
          <w:p w14:paraId="32C22C47">
            <w:pPr>
              <w:widowControl w:val="0"/>
              <w:snapToGrid w:val="0"/>
              <w:spacing w:line="240" w:lineRule="atLeast"/>
              <w:jc w:val="center"/>
              <w:rPr>
                <w:rFonts w:hint="eastAsia"/>
                <w:szCs w:val="21"/>
              </w:rPr>
            </w:pPr>
            <w:r>
              <w:rPr>
                <w:rFonts w:hint="eastAsia"/>
                <w:szCs w:val="21"/>
              </w:rPr>
              <w:t>/</w:t>
            </w:r>
          </w:p>
        </w:tc>
        <w:tc>
          <w:tcPr>
            <w:tcW w:w="986" w:type="pct"/>
            <w:shd w:val="clear" w:color="auto" w:fill="auto"/>
          </w:tcPr>
          <w:p w14:paraId="5E2969F8">
            <w:pPr>
              <w:widowControl w:val="0"/>
              <w:snapToGrid w:val="0"/>
              <w:spacing w:line="240" w:lineRule="atLeast"/>
              <w:jc w:val="center"/>
              <w:rPr>
                <w:rFonts w:hint="eastAsia"/>
                <w:szCs w:val="21"/>
              </w:rPr>
            </w:pPr>
            <w:r>
              <w:rPr>
                <w:rFonts w:hint="eastAsia"/>
                <w:szCs w:val="21"/>
              </w:rPr>
              <w:t>/</w:t>
            </w:r>
          </w:p>
        </w:tc>
      </w:tr>
    </w:tbl>
    <w:p w14:paraId="459333EC">
      <w:pPr>
        <w:snapToGrid w:val="0"/>
        <w:spacing w:line="240" w:lineRule="atLeast"/>
        <w:rPr>
          <w:rFonts w:hint="eastAsia"/>
          <w:szCs w:val="21"/>
        </w:rPr>
      </w:pPr>
    </w:p>
    <w:p w14:paraId="3B3BB163">
      <w:pPr>
        <w:pStyle w:val="73"/>
        <w:ind w:left="105"/>
      </w:pPr>
      <w:r>
        <w:rPr>
          <w:rFonts w:hint="eastAsia"/>
        </w:rPr>
        <w:t>可收回金额按预计未来现金流量的现值确定</w:t>
      </w:r>
    </w:p>
    <w:sdt>
      <w:sdtPr>
        <w:rPr>
          <w:rFonts w:hint="eastAsia"/>
        </w:rPr>
        <w:alias w:val="是否适用：可收回金额按预计未来现金流量的现值确定[双击切换]"/>
        <w:tag w:val="_GBC_b055a04d423142e49f0ae9a4c4233c8f"/>
        <w:id w:val="996528515"/>
        <w:placeholder>
          <w:docPart w:val="GBC22222222222222222222222222222"/>
        </w:placeholder>
      </w:sdtPr>
      <w:sdtEndPr>
        <w:rPr>
          <w:rFonts w:hint="eastAsia"/>
        </w:rPr>
      </w:sdtEndPr>
      <w:sdtContent>
        <w:p w14:paraId="7C10F5D5">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31B3E889">
      <w:pPr>
        <w:jc w:val="right"/>
        <w:rPr>
          <w:rFonts w:hint="eastAsia"/>
        </w:rPr>
      </w:pPr>
      <w:r>
        <w:rPr>
          <w:rFonts w:hint="eastAsia"/>
        </w:rPr>
        <w:t>单位：</w:t>
      </w:r>
      <w:sdt>
        <w:sdtPr>
          <w:rPr>
            <w:rFonts w:hint="eastAsia"/>
          </w:rPr>
          <w:alias w:val="单位：可收回金额按预计未来现金流量的现值确定"/>
          <w:tag w:val="_GBC_5d04430203654c6f93a675f34f6b70ba"/>
          <w:id w:val="-36822336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预计未来现金流量的现值确定"/>
          <w:tag w:val="_GBC_f1d48b24fbb048e1a0786678f8172f55"/>
          <w:id w:val="-7204455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243"/>
        <w:gridCol w:w="1243"/>
        <w:gridCol w:w="1243"/>
        <w:gridCol w:w="594"/>
        <w:gridCol w:w="1275"/>
        <w:gridCol w:w="1135"/>
        <w:gridCol w:w="1173"/>
      </w:tblGrid>
      <w:tr w14:paraId="1698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8"/>
              <w:szCs w:val="18"/>
            </w:rPr>
            <w:tag w:val="_PLD_7cb5cc8e548640f794aa7540505929e0"/>
            <w:id w:val="221652548"/>
          </w:sdtPr>
          <w:sdtEndPr>
            <w:rPr>
              <w:sz w:val="18"/>
              <w:szCs w:val="18"/>
            </w:rPr>
          </w:sdtEndPr>
          <w:sdtContent>
            <w:tc>
              <w:tcPr>
                <w:tcW w:w="520" w:type="pct"/>
                <w:shd w:val="clear" w:color="auto" w:fill="auto"/>
                <w:vAlign w:val="center"/>
              </w:tcPr>
              <w:p w14:paraId="5DECA8DC">
                <w:pPr>
                  <w:snapToGrid w:val="0"/>
                  <w:spacing w:line="240" w:lineRule="atLeast"/>
                  <w:jc w:val="center"/>
                  <w:rPr>
                    <w:rFonts w:hint="eastAsia"/>
                    <w:sz w:val="18"/>
                    <w:szCs w:val="18"/>
                  </w:rPr>
                </w:pPr>
                <w:r>
                  <w:rPr>
                    <w:rFonts w:hint="eastAsia"/>
                    <w:sz w:val="18"/>
                    <w:szCs w:val="18"/>
                  </w:rPr>
                  <w:t>项目</w:t>
                </w:r>
              </w:p>
            </w:tc>
          </w:sdtContent>
        </w:sdt>
        <w:sdt>
          <w:sdtPr>
            <w:rPr>
              <w:sz w:val="18"/>
              <w:szCs w:val="18"/>
            </w:rPr>
            <w:tag w:val="_PLD_07498fc3e4be491bbe9db5eaf17baac2"/>
            <w:id w:val="1527360631"/>
          </w:sdtPr>
          <w:sdtEndPr>
            <w:rPr>
              <w:sz w:val="18"/>
              <w:szCs w:val="18"/>
            </w:rPr>
          </w:sdtEndPr>
          <w:sdtContent>
            <w:tc>
              <w:tcPr>
                <w:tcW w:w="704" w:type="pct"/>
                <w:vAlign w:val="center"/>
              </w:tcPr>
              <w:p w14:paraId="5B16D8A3">
                <w:pPr>
                  <w:snapToGrid w:val="0"/>
                  <w:spacing w:line="240" w:lineRule="atLeast"/>
                  <w:jc w:val="center"/>
                  <w:rPr>
                    <w:rFonts w:hint="eastAsia"/>
                    <w:sz w:val="18"/>
                    <w:szCs w:val="18"/>
                  </w:rPr>
                </w:pPr>
                <w:r>
                  <w:rPr>
                    <w:sz w:val="18"/>
                    <w:szCs w:val="18"/>
                  </w:rPr>
                  <w:t>账面价值</w:t>
                </w:r>
              </w:p>
            </w:tc>
          </w:sdtContent>
        </w:sdt>
        <w:sdt>
          <w:sdtPr>
            <w:rPr>
              <w:sz w:val="18"/>
              <w:szCs w:val="18"/>
            </w:rPr>
            <w:tag w:val="_PLD_9acf099c6fe04d2d894419b2e1efea9e"/>
            <w:id w:val="-1042822016"/>
          </w:sdtPr>
          <w:sdtEndPr>
            <w:rPr>
              <w:sz w:val="18"/>
              <w:szCs w:val="18"/>
            </w:rPr>
          </w:sdtEndPr>
          <w:sdtContent>
            <w:tc>
              <w:tcPr>
                <w:tcW w:w="704" w:type="pct"/>
                <w:vAlign w:val="center"/>
              </w:tcPr>
              <w:p w14:paraId="1681C174">
                <w:pPr>
                  <w:snapToGrid w:val="0"/>
                  <w:spacing w:line="240" w:lineRule="atLeast"/>
                  <w:jc w:val="center"/>
                  <w:rPr>
                    <w:rFonts w:hint="eastAsia"/>
                    <w:sz w:val="18"/>
                    <w:szCs w:val="18"/>
                  </w:rPr>
                </w:pPr>
                <w:r>
                  <w:rPr>
                    <w:sz w:val="18"/>
                    <w:szCs w:val="18"/>
                  </w:rPr>
                  <w:t>可收回金额</w:t>
                </w:r>
              </w:p>
            </w:tc>
          </w:sdtContent>
        </w:sdt>
        <w:sdt>
          <w:sdtPr>
            <w:rPr>
              <w:sz w:val="18"/>
              <w:szCs w:val="18"/>
            </w:rPr>
            <w:tag w:val="_PLD_83cde01b571a4a9c983b79e1bbaab3a0"/>
            <w:id w:val="-1442216667"/>
          </w:sdtPr>
          <w:sdtEndPr>
            <w:rPr>
              <w:sz w:val="18"/>
              <w:szCs w:val="18"/>
            </w:rPr>
          </w:sdtEndPr>
          <w:sdtContent>
            <w:tc>
              <w:tcPr>
                <w:tcW w:w="704" w:type="pct"/>
                <w:vAlign w:val="center"/>
              </w:tcPr>
              <w:p w14:paraId="0AE7499F">
                <w:pPr>
                  <w:snapToGrid w:val="0"/>
                  <w:spacing w:line="240" w:lineRule="atLeast"/>
                  <w:jc w:val="center"/>
                  <w:rPr>
                    <w:rFonts w:hint="eastAsia"/>
                    <w:sz w:val="18"/>
                    <w:szCs w:val="18"/>
                  </w:rPr>
                </w:pPr>
                <w:r>
                  <w:rPr>
                    <w:sz w:val="18"/>
                    <w:szCs w:val="18"/>
                  </w:rPr>
                  <w:t>减值金额</w:t>
                </w:r>
              </w:p>
            </w:tc>
          </w:sdtContent>
        </w:sdt>
        <w:sdt>
          <w:sdtPr>
            <w:rPr>
              <w:sz w:val="18"/>
              <w:szCs w:val="18"/>
            </w:rPr>
            <w:tag w:val="_PLD_8163d80c7f9e47c983c0c53eecd84c4c"/>
            <w:id w:val="1285463314"/>
          </w:sdtPr>
          <w:sdtEndPr>
            <w:rPr>
              <w:sz w:val="18"/>
              <w:szCs w:val="18"/>
            </w:rPr>
          </w:sdtEndPr>
          <w:sdtContent>
            <w:tc>
              <w:tcPr>
                <w:tcW w:w="337" w:type="pct"/>
                <w:shd w:val="clear" w:color="auto" w:fill="auto"/>
                <w:vAlign w:val="center"/>
              </w:tcPr>
              <w:p w14:paraId="6600215E">
                <w:pPr>
                  <w:snapToGrid w:val="0"/>
                  <w:spacing w:line="240" w:lineRule="atLeast"/>
                  <w:jc w:val="center"/>
                  <w:rPr>
                    <w:rFonts w:hint="eastAsia"/>
                    <w:sz w:val="18"/>
                    <w:szCs w:val="18"/>
                  </w:rPr>
                </w:pPr>
                <w:r>
                  <w:rPr>
                    <w:rFonts w:hint="eastAsia"/>
                    <w:sz w:val="18"/>
                    <w:szCs w:val="18"/>
                  </w:rPr>
                  <w:t>预测期的年限</w:t>
                </w:r>
              </w:p>
            </w:tc>
          </w:sdtContent>
        </w:sdt>
        <w:sdt>
          <w:sdtPr>
            <w:rPr>
              <w:sz w:val="18"/>
              <w:szCs w:val="18"/>
            </w:rPr>
            <w:tag w:val="_PLD_8a05a4cf342b488db2bd60c335335e2a"/>
            <w:id w:val="578327825"/>
          </w:sdtPr>
          <w:sdtEndPr>
            <w:rPr>
              <w:sz w:val="18"/>
              <w:szCs w:val="18"/>
            </w:rPr>
          </w:sdtEndPr>
          <w:sdtContent>
            <w:tc>
              <w:tcPr>
                <w:tcW w:w="723" w:type="pct"/>
                <w:shd w:val="clear" w:color="auto" w:fill="auto"/>
                <w:vAlign w:val="center"/>
              </w:tcPr>
              <w:p w14:paraId="2E0CED5D">
                <w:pPr>
                  <w:snapToGrid w:val="0"/>
                  <w:spacing w:line="240" w:lineRule="atLeast"/>
                  <w:jc w:val="center"/>
                  <w:rPr>
                    <w:rFonts w:hint="eastAsia"/>
                    <w:sz w:val="18"/>
                    <w:szCs w:val="18"/>
                  </w:rPr>
                </w:pPr>
                <w:r>
                  <w:rPr>
                    <w:rFonts w:hint="eastAsia"/>
                    <w:sz w:val="18"/>
                    <w:szCs w:val="18"/>
                  </w:rPr>
                  <w:t>预测期的关键参数</w:t>
                </w:r>
              </w:p>
            </w:tc>
          </w:sdtContent>
        </w:sdt>
        <w:sdt>
          <w:sdtPr>
            <w:rPr>
              <w:sz w:val="18"/>
              <w:szCs w:val="18"/>
            </w:rPr>
            <w:tag w:val="_PLD_b326c4617c154fa59358d9aba53bbf45"/>
            <w:id w:val="234204052"/>
          </w:sdtPr>
          <w:sdtEndPr>
            <w:rPr>
              <w:sz w:val="18"/>
              <w:szCs w:val="18"/>
            </w:rPr>
          </w:sdtEndPr>
          <w:sdtContent>
            <w:tc>
              <w:tcPr>
                <w:tcW w:w="643" w:type="pct"/>
                <w:shd w:val="clear" w:color="auto" w:fill="auto"/>
                <w:vAlign w:val="center"/>
              </w:tcPr>
              <w:p w14:paraId="40FAD6F0">
                <w:pPr>
                  <w:snapToGrid w:val="0"/>
                  <w:spacing w:line="240" w:lineRule="atLeast"/>
                  <w:jc w:val="center"/>
                  <w:rPr>
                    <w:rFonts w:hint="eastAsia"/>
                    <w:sz w:val="18"/>
                    <w:szCs w:val="18"/>
                  </w:rPr>
                </w:pPr>
                <w:r>
                  <w:rPr>
                    <w:rFonts w:hint="eastAsia"/>
                    <w:sz w:val="18"/>
                    <w:szCs w:val="18"/>
                  </w:rPr>
                  <w:t>稳定期的关键参数</w:t>
                </w:r>
              </w:p>
            </w:tc>
          </w:sdtContent>
        </w:sdt>
        <w:sdt>
          <w:sdtPr>
            <w:rPr>
              <w:sz w:val="18"/>
              <w:szCs w:val="18"/>
            </w:rPr>
            <w:tag w:val="_PLD_1609917664d84a3c94d0cee61a7aee7f"/>
            <w:id w:val="-1131091513"/>
          </w:sdtPr>
          <w:sdtEndPr>
            <w:rPr>
              <w:sz w:val="18"/>
              <w:szCs w:val="18"/>
            </w:rPr>
          </w:sdtEndPr>
          <w:sdtContent>
            <w:tc>
              <w:tcPr>
                <w:tcW w:w="665" w:type="pct"/>
                <w:shd w:val="clear" w:color="auto" w:fill="auto"/>
              </w:tcPr>
              <w:p w14:paraId="721479F8">
                <w:pPr>
                  <w:snapToGrid w:val="0"/>
                  <w:spacing w:line="240" w:lineRule="atLeast"/>
                  <w:jc w:val="center"/>
                  <w:rPr>
                    <w:rFonts w:hint="eastAsia"/>
                    <w:b/>
                    <w:sz w:val="18"/>
                    <w:szCs w:val="18"/>
                  </w:rPr>
                </w:pPr>
                <w:r>
                  <w:rPr>
                    <w:rFonts w:hint="eastAsia"/>
                    <w:sz w:val="18"/>
                    <w:szCs w:val="18"/>
                  </w:rPr>
                  <w:t>稳定期的关键参数的确定依据</w:t>
                </w:r>
              </w:p>
            </w:tc>
          </w:sdtContent>
        </w:sdt>
      </w:tr>
      <w:tr w14:paraId="28FD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shd w:val="clear" w:color="auto" w:fill="auto"/>
            <w:vAlign w:val="center"/>
          </w:tcPr>
          <w:p w14:paraId="637FC92B">
            <w:pPr>
              <w:snapToGrid w:val="0"/>
              <w:spacing w:line="240" w:lineRule="atLeast"/>
              <w:jc w:val="both"/>
              <w:rPr>
                <w:rFonts w:hint="eastAsia"/>
                <w:sz w:val="18"/>
                <w:szCs w:val="18"/>
              </w:rPr>
            </w:pPr>
            <w:r>
              <w:rPr>
                <w:rFonts w:ascii="Arial Narrow" w:hAnsi="Arial Narrow" w:eastAsia="等线"/>
                <w:color w:val="000000"/>
                <w:sz w:val="18"/>
                <w:szCs w:val="18"/>
              </w:rPr>
              <w:t>长春际华园项目</w:t>
            </w:r>
          </w:p>
        </w:tc>
        <w:tc>
          <w:tcPr>
            <w:tcW w:w="704" w:type="pct"/>
            <w:vAlign w:val="center"/>
          </w:tcPr>
          <w:p w14:paraId="385555A2">
            <w:pPr>
              <w:snapToGrid w:val="0"/>
              <w:spacing w:line="240" w:lineRule="atLeast"/>
              <w:jc w:val="right"/>
              <w:rPr>
                <w:rFonts w:hint="eastAsia"/>
                <w:sz w:val="18"/>
                <w:szCs w:val="18"/>
              </w:rPr>
            </w:pPr>
            <w:r>
              <w:rPr>
                <w:rFonts w:ascii="Arial Narrow" w:hAnsi="Arial Narrow" w:eastAsia="等线"/>
                <w:color w:val="000000"/>
                <w:sz w:val="18"/>
                <w:szCs w:val="18"/>
              </w:rPr>
              <w:t>406,422,524.72</w:t>
            </w:r>
          </w:p>
        </w:tc>
        <w:tc>
          <w:tcPr>
            <w:tcW w:w="704" w:type="pct"/>
            <w:vAlign w:val="center"/>
          </w:tcPr>
          <w:p w14:paraId="3CC2E79E">
            <w:pPr>
              <w:snapToGrid w:val="0"/>
              <w:spacing w:line="240" w:lineRule="atLeast"/>
              <w:jc w:val="right"/>
              <w:rPr>
                <w:rFonts w:hint="eastAsia"/>
                <w:sz w:val="18"/>
                <w:szCs w:val="18"/>
              </w:rPr>
            </w:pPr>
            <w:r>
              <w:rPr>
                <w:rFonts w:ascii="Arial Narrow" w:hAnsi="Arial Narrow" w:eastAsia="等线"/>
                <w:color w:val="000000"/>
                <w:sz w:val="18"/>
                <w:szCs w:val="18"/>
              </w:rPr>
              <w:t>39,680,778.02</w:t>
            </w:r>
          </w:p>
        </w:tc>
        <w:tc>
          <w:tcPr>
            <w:tcW w:w="704" w:type="pct"/>
            <w:vAlign w:val="center"/>
          </w:tcPr>
          <w:p w14:paraId="1C3C61FB">
            <w:pPr>
              <w:snapToGrid w:val="0"/>
              <w:spacing w:line="240" w:lineRule="atLeast"/>
              <w:jc w:val="right"/>
              <w:rPr>
                <w:rFonts w:hint="eastAsia"/>
                <w:sz w:val="18"/>
                <w:szCs w:val="18"/>
              </w:rPr>
            </w:pPr>
            <w:r>
              <w:rPr>
                <w:rFonts w:ascii="Arial Narrow" w:hAnsi="Arial Narrow" w:eastAsia="等线"/>
                <w:color w:val="000000"/>
                <w:sz w:val="18"/>
                <w:szCs w:val="18"/>
              </w:rPr>
              <w:t>366,741,746.70</w:t>
            </w:r>
          </w:p>
        </w:tc>
        <w:tc>
          <w:tcPr>
            <w:tcW w:w="337" w:type="pct"/>
            <w:shd w:val="clear" w:color="auto" w:fill="auto"/>
            <w:vAlign w:val="center"/>
          </w:tcPr>
          <w:p w14:paraId="53879BE5">
            <w:pPr>
              <w:snapToGrid w:val="0"/>
              <w:spacing w:line="240" w:lineRule="atLeast"/>
              <w:rPr>
                <w:rFonts w:hint="eastAsia"/>
                <w:sz w:val="18"/>
                <w:szCs w:val="18"/>
              </w:rPr>
            </w:pPr>
            <w:r>
              <w:rPr>
                <w:rFonts w:ascii="Arial Narrow" w:hAnsi="Arial Narrow" w:eastAsia="等线"/>
                <w:color w:val="000000"/>
                <w:sz w:val="18"/>
                <w:szCs w:val="18"/>
              </w:rPr>
              <w:t>5年</w:t>
            </w:r>
          </w:p>
        </w:tc>
        <w:tc>
          <w:tcPr>
            <w:tcW w:w="723" w:type="pct"/>
            <w:shd w:val="clear" w:color="auto" w:fill="auto"/>
            <w:vAlign w:val="center"/>
          </w:tcPr>
          <w:p w14:paraId="1474857F">
            <w:pPr>
              <w:snapToGrid w:val="0"/>
              <w:spacing w:line="240" w:lineRule="atLeast"/>
              <w:rPr>
                <w:rFonts w:hint="eastAsia"/>
                <w:sz w:val="18"/>
                <w:szCs w:val="18"/>
              </w:rPr>
            </w:pPr>
            <w:r>
              <w:rPr>
                <w:rFonts w:ascii="Arial Narrow" w:hAnsi="Arial Narrow" w:eastAsia="等线"/>
                <w:color w:val="000000"/>
                <w:sz w:val="18"/>
                <w:szCs w:val="18"/>
              </w:rPr>
              <w:t>收入平均增长率10%；税前折现率6.68%</w:t>
            </w:r>
          </w:p>
        </w:tc>
        <w:tc>
          <w:tcPr>
            <w:tcW w:w="643" w:type="pct"/>
            <w:shd w:val="clear" w:color="auto" w:fill="auto"/>
            <w:vAlign w:val="center"/>
          </w:tcPr>
          <w:p w14:paraId="553222CA">
            <w:pPr>
              <w:snapToGrid w:val="0"/>
              <w:spacing w:line="240" w:lineRule="atLeast"/>
              <w:rPr>
                <w:rFonts w:hint="eastAsia"/>
                <w:sz w:val="18"/>
                <w:szCs w:val="18"/>
              </w:rPr>
            </w:pPr>
            <w:r>
              <w:rPr>
                <w:rFonts w:ascii="Arial Narrow" w:hAnsi="Arial Narrow" w:eastAsia="等线"/>
                <w:color w:val="000000"/>
                <w:sz w:val="18"/>
                <w:szCs w:val="18"/>
              </w:rPr>
              <w:t>根据项目土地剩余使用期确定</w:t>
            </w:r>
            <w:r>
              <w:rPr>
                <w:rFonts w:hint="eastAsia" w:ascii="Arial Narrow" w:hAnsi="Arial Narrow" w:eastAsia="等线"/>
                <w:color w:val="000000"/>
                <w:sz w:val="18"/>
                <w:szCs w:val="18"/>
              </w:rPr>
              <w:t>稳定期</w:t>
            </w:r>
            <w:r>
              <w:rPr>
                <w:rFonts w:ascii="Arial Narrow" w:hAnsi="Arial Narrow" w:eastAsia="等线"/>
                <w:color w:val="000000"/>
                <w:sz w:val="18"/>
                <w:szCs w:val="18"/>
              </w:rPr>
              <w:t>；收入平均增长率5%，税前折现率6.68%</w:t>
            </w:r>
          </w:p>
        </w:tc>
        <w:tc>
          <w:tcPr>
            <w:tcW w:w="665" w:type="pct"/>
            <w:shd w:val="clear" w:color="auto" w:fill="auto"/>
            <w:vAlign w:val="center"/>
          </w:tcPr>
          <w:p w14:paraId="7F6D8E6C">
            <w:pPr>
              <w:snapToGrid w:val="0"/>
              <w:spacing w:line="240" w:lineRule="atLeast"/>
              <w:rPr>
                <w:rFonts w:hint="eastAsia"/>
                <w:sz w:val="18"/>
                <w:szCs w:val="18"/>
              </w:rPr>
            </w:pPr>
            <w:r>
              <w:rPr>
                <w:rFonts w:ascii="Arial Narrow" w:hAnsi="Arial Narrow" w:eastAsia="等线"/>
                <w:color w:val="000000"/>
                <w:sz w:val="18"/>
                <w:szCs w:val="18"/>
              </w:rPr>
              <w:t>资产组组合过去业绩走势、对未来发展的规划及对市场的发展预期</w:t>
            </w:r>
          </w:p>
        </w:tc>
      </w:tr>
      <w:tr w14:paraId="3193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shd w:val="clear" w:color="auto" w:fill="auto"/>
            <w:vAlign w:val="center"/>
          </w:tcPr>
          <w:p w14:paraId="2BA5DEC3">
            <w:pPr>
              <w:snapToGrid w:val="0"/>
              <w:spacing w:line="240" w:lineRule="atLeast"/>
              <w:jc w:val="both"/>
              <w:rPr>
                <w:rFonts w:hint="eastAsia"/>
                <w:sz w:val="18"/>
                <w:szCs w:val="18"/>
              </w:rPr>
            </w:pPr>
            <w:r>
              <w:rPr>
                <w:rFonts w:ascii="Arial Narrow" w:hAnsi="Arial Narrow" w:eastAsia="等线"/>
                <w:color w:val="000000"/>
                <w:sz w:val="18"/>
                <w:szCs w:val="18"/>
              </w:rPr>
              <w:t>重庆际华园项目</w:t>
            </w:r>
          </w:p>
        </w:tc>
        <w:tc>
          <w:tcPr>
            <w:tcW w:w="704" w:type="pct"/>
            <w:vAlign w:val="center"/>
          </w:tcPr>
          <w:p w14:paraId="155FAAF8">
            <w:pPr>
              <w:snapToGrid w:val="0"/>
              <w:spacing w:line="240" w:lineRule="atLeast"/>
              <w:jc w:val="right"/>
              <w:rPr>
                <w:rFonts w:hint="eastAsia"/>
                <w:sz w:val="18"/>
                <w:szCs w:val="18"/>
              </w:rPr>
            </w:pPr>
            <w:r>
              <w:rPr>
                <w:rFonts w:ascii="Arial Narrow" w:hAnsi="Arial Narrow" w:eastAsia="等线"/>
                <w:color w:val="000000"/>
                <w:sz w:val="18"/>
                <w:szCs w:val="18"/>
              </w:rPr>
              <w:t>577,229,685.81</w:t>
            </w:r>
          </w:p>
        </w:tc>
        <w:tc>
          <w:tcPr>
            <w:tcW w:w="704" w:type="pct"/>
            <w:vAlign w:val="center"/>
          </w:tcPr>
          <w:p w14:paraId="122EB48D">
            <w:pPr>
              <w:snapToGrid w:val="0"/>
              <w:spacing w:line="240" w:lineRule="atLeast"/>
              <w:jc w:val="right"/>
              <w:rPr>
                <w:rFonts w:hint="eastAsia"/>
                <w:sz w:val="18"/>
                <w:szCs w:val="18"/>
              </w:rPr>
            </w:pPr>
            <w:r>
              <w:rPr>
                <w:rFonts w:ascii="Arial Narrow" w:hAnsi="Arial Narrow" w:eastAsia="等线"/>
                <w:color w:val="000000"/>
                <w:sz w:val="18"/>
                <w:szCs w:val="18"/>
              </w:rPr>
              <w:t>319,343,995.86</w:t>
            </w:r>
          </w:p>
        </w:tc>
        <w:tc>
          <w:tcPr>
            <w:tcW w:w="704" w:type="pct"/>
            <w:vAlign w:val="center"/>
          </w:tcPr>
          <w:p w14:paraId="24D15180">
            <w:pPr>
              <w:snapToGrid w:val="0"/>
              <w:spacing w:line="240" w:lineRule="atLeast"/>
              <w:jc w:val="right"/>
              <w:rPr>
                <w:rFonts w:hint="eastAsia"/>
                <w:sz w:val="18"/>
                <w:szCs w:val="18"/>
              </w:rPr>
            </w:pPr>
            <w:r>
              <w:rPr>
                <w:rFonts w:ascii="Arial Narrow" w:hAnsi="Arial Narrow" w:eastAsia="等线"/>
                <w:color w:val="000000"/>
                <w:sz w:val="18"/>
                <w:szCs w:val="18"/>
              </w:rPr>
              <w:t>257,885,689.95</w:t>
            </w:r>
          </w:p>
        </w:tc>
        <w:tc>
          <w:tcPr>
            <w:tcW w:w="337" w:type="pct"/>
            <w:shd w:val="clear" w:color="auto" w:fill="auto"/>
            <w:vAlign w:val="center"/>
          </w:tcPr>
          <w:p w14:paraId="0D3071E5">
            <w:pPr>
              <w:snapToGrid w:val="0"/>
              <w:spacing w:line="240" w:lineRule="atLeast"/>
              <w:rPr>
                <w:rFonts w:hint="eastAsia"/>
                <w:sz w:val="18"/>
                <w:szCs w:val="18"/>
              </w:rPr>
            </w:pPr>
            <w:r>
              <w:rPr>
                <w:rFonts w:ascii="Arial Narrow" w:hAnsi="Arial Narrow" w:eastAsia="等线"/>
                <w:color w:val="000000"/>
                <w:sz w:val="18"/>
                <w:szCs w:val="18"/>
              </w:rPr>
              <w:t>5年</w:t>
            </w:r>
          </w:p>
        </w:tc>
        <w:tc>
          <w:tcPr>
            <w:tcW w:w="723" w:type="pct"/>
            <w:shd w:val="clear" w:color="auto" w:fill="auto"/>
            <w:vAlign w:val="center"/>
          </w:tcPr>
          <w:p w14:paraId="168E223B">
            <w:pPr>
              <w:snapToGrid w:val="0"/>
              <w:spacing w:line="240" w:lineRule="atLeast"/>
              <w:rPr>
                <w:rFonts w:hint="eastAsia"/>
                <w:sz w:val="18"/>
                <w:szCs w:val="18"/>
              </w:rPr>
            </w:pPr>
            <w:r>
              <w:rPr>
                <w:rFonts w:ascii="Arial Narrow" w:hAnsi="Arial Narrow" w:eastAsia="等线"/>
                <w:color w:val="000000"/>
                <w:sz w:val="18"/>
                <w:szCs w:val="18"/>
              </w:rPr>
              <w:t>收入平均增长率</w:t>
            </w:r>
            <w:r>
              <w:rPr>
                <w:rFonts w:hint="eastAsia" w:ascii="Arial Narrow" w:hAnsi="Arial Narrow" w:eastAsia="等线"/>
                <w:color w:val="000000"/>
                <w:sz w:val="18"/>
                <w:szCs w:val="18"/>
              </w:rPr>
              <w:t>7</w:t>
            </w:r>
            <w:r>
              <w:rPr>
                <w:rFonts w:ascii="Arial Narrow" w:hAnsi="Arial Narrow" w:eastAsia="等线"/>
                <w:color w:val="000000"/>
                <w:sz w:val="18"/>
                <w:szCs w:val="18"/>
              </w:rPr>
              <w:t>%；税前折现率6.68%</w:t>
            </w:r>
          </w:p>
        </w:tc>
        <w:tc>
          <w:tcPr>
            <w:tcW w:w="643" w:type="pct"/>
            <w:shd w:val="clear" w:color="auto" w:fill="auto"/>
            <w:vAlign w:val="center"/>
          </w:tcPr>
          <w:p w14:paraId="65C3E236">
            <w:pPr>
              <w:snapToGrid w:val="0"/>
              <w:spacing w:line="240" w:lineRule="atLeast"/>
              <w:rPr>
                <w:rFonts w:hint="eastAsia"/>
                <w:sz w:val="18"/>
                <w:szCs w:val="18"/>
              </w:rPr>
            </w:pPr>
            <w:r>
              <w:rPr>
                <w:rFonts w:ascii="Arial Narrow" w:hAnsi="Arial Narrow" w:eastAsia="等线"/>
                <w:color w:val="000000"/>
                <w:sz w:val="18"/>
                <w:szCs w:val="18"/>
              </w:rPr>
              <w:t>根据项目土地剩余使用期</w:t>
            </w:r>
            <w:r>
              <w:rPr>
                <w:rFonts w:hint="eastAsia" w:ascii="Arial Narrow" w:hAnsi="Arial Narrow" w:eastAsia="等线"/>
                <w:color w:val="000000"/>
                <w:sz w:val="18"/>
                <w:szCs w:val="18"/>
              </w:rPr>
              <w:t>确定稳定期</w:t>
            </w:r>
            <w:r>
              <w:rPr>
                <w:rFonts w:ascii="Arial Narrow" w:hAnsi="Arial Narrow" w:eastAsia="等线"/>
                <w:color w:val="000000"/>
                <w:sz w:val="18"/>
                <w:szCs w:val="18"/>
              </w:rPr>
              <w:t>；收入平均增长率5%；税前折现率6.68%</w:t>
            </w:r>
          </w:p>
        </w:tc>
        <w:tc>
          <w:tcPr>
            <w:tcW w:w="665" w:type="pct"/>
            <w:shd w:val="clear" w:color="auto" w:fill="auto"/>
            <w:vAlign w:val="center"/>
          </w:tcPr>
          <w:p w14:paraId="26CA14F9">
            <w:pPr>
              <w:snapToGrid w:val="0"/>
              <w:spacing w:line="240" w:lineRule="atLeast"/>
              <w:rPr>
                <w:rFonts w:hint="eastAsia"/>
                <w:sz w:val="18"/>
                <w:szCs w:val="18"/>
              </w:rPr>
            </w:pPr>
            <w:r>
              <w:rPr>
                <w:rFonts w:ascii="Arial Narrow" w:hAnsi="Arial Narrow" w:eastAsia="等线"/>
                <w:color w:val="000000"/>
                <w:sz w:val="18"/>
                <w:szCs w:val="18"/>
              </w:rPr>
              <w:t>资产组组合过去业绩走势、对未来发展的规划及对市场的发展预期</w:t>
            </w:r>
          </w:p>
        </w:tc>
      </w:tr>
      <w:tr w14:paraId="2878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pct"/>
            <w:shd w:val="clear" w:color="auto" w:fill="auto"/>
            <w:vAlign w:val="center"/>
          </w:tcPr>
          <w:p w14:paraId="7F2674D9">
            <w:pPr>
              <w:snapToGrid w:val="0"/>
              <w:spacing w:line="240" w:lineRule="atLeast"/>
              <w:jc w:val="center"/>
              <w:rPr>
                <w:rFonts w:hint="eastAsia"/>
                <w:sz w:val="18"/>
                <w:szCs w:val="18"/>
              </w:rPr>
            </w:pPr>
            <w:r>
              <w:rPr>
                <w:sz w:val="18"/>
                <w:szCs w:val="18"/>
              </w:rPr>
              <w:t>合计</w:t>
            </w:r>
          </w:p>
        </w:tc>
        <w:tc>
          <w:tcPr>
            <w:tcW w:w="704" w:type="pct"/>
            <w:vAlign w:val="center"/>
          </w:tcPr>
          <w:p w14:paraId="015DA6A4">
            <w:pPr>
              <w:snapToGrid w:val="0"/>
              <w:spacing w:line="240" w:lineRule="atLeast"/>
              <w:jc w:val="right"/>
              <w:rPr>
                <w:rFonts w:hint="eastAsia"/>
                <w:sz w:val="18"/>
                <w:szCs w:val="18"/>
              </w:rPr>
            </w:pPr>
            <w:r>
              <w:rPr>
                <w:rFonts w:ascii="Arial Narrow" w:hAnsi="Arial Narrow" w:eastAsia="等线"/>
                <w:color w:val="000000"/>
                <w:sz w:val="18"/>
                <w:szCs w:val="18"/>
              </w:rPr>
              <w:t>983,652,210.53</w:t>
            </w:r>
          </w:p>
        </w:tc>
        <w:tc>
          <w:tcPr>
            <w:tcW w:w="704" w:type="pct"/>
            <w:vAlign w:val="center"/>
          </w:tcPr>
          <w:p w14:paraId="00CE9429">
            <w:pPr>
              <w:snapToGrid w:val="0"/>
              <w:spacing w:line="240" w:lineRule="atLeast"/>
              <w:jc w:val="right"/>
              <w:rPr>
                <w:rFonts w:hint="eastAsia"/>
                <w:sz w:val="18"/>
                <w:szCs w:val="18"/>
              </w:rPr>
            </w:pPr>
            <w:r>
              <w:rPr>
                <w:rFonts w:ascii="Arial Narrow" w:hAnsi="Arial Narrow" w:eastAsia="等线"/>
                <w:color w:val="000000"/>
                <w:sz w:val="18"/>
                <w:szCs w:val="18"/>
              </w:rPr>
              <w:t>359,024,773.88</w:t>
            </w:r>
          </w:p>
        </w:tc>
        <w:tc>
          <w:tcPr>
            <w:tcW w:w="704" w:type="pct"/>
            <w:vAlign w:val="center"/>
          </w:tcPr>
          <w:p w14:paraId="10168D50">
            <w:pPr>
              <w:snapToGrid w:val="0"/>
              <w:spacing w:line="240" w:lineRule="atLeast"/>
              <w:jc w:val="right"/>
              <w:rPr>
                <w:rFonts w:hint="eastAsia"/>
                <w:sz w:val="18"/>
                <w:szCs w:val="18"/>
              </w:rPr>
            </w:pPr>
            <w:r>
              <w:rPr>
                <w:rFonts w:ascii="Arial Narrow" w:hAnsi="Arial Narrow" w:eastAsia="等线"/>
                <w:color w:val="000000"/>
                <w:sz w:val="18"/>
                <w:szCs w:val="18"/>
              </w:rPr>
              <w:t>624,627,436.65</w:t>
            </w:r>
          </w:p>
        </w:tc>
        <w:tc>
          <w:tcPr>
            <w:tcW w:w="337" w:type="pct"/>
            <w:shd w:val="clear" w:color="auto" w:fill="auto"/>
            <w:vAlign w:val="center"/>
          </w:tcPr>
          <w:p w14:paraId="4C37FFAD">
            <w:pPr>
              <w:snapToGrid w:val="0"/>
              <w:spacing w:line="240" w:lineRule="atLeast"/>
              <w:jc w:val="center"/>
              <w:rPr>
                <w:rFonts w:hint="eastAsia"/>
                <w:sz w:val="18"/>
                <w:szCs w:val="18"/>
              </w:rPr>
            </w:pPr>
            <w:r>
              <w:rPr>
                <w:sz w:val="18"/>
                <w:szCs w:val="18"/>
              </w:rPr>
              <w:t>/</w:t>
            </w:r>
          </w:p>
        </w:tc>
        <w:tc>
          <w:tcPr>
            <w:tcW w:w="723" w:type="pct"/>
            <w:shd w:val="clear" w:color="auto" w:fill="auto"/>
            <w:vAlign w:val="center"/>
          </w:tcPr>
          <w:p w14:paraId="1B587797">
            <w:pPr>
              <w:snapToGrid w:val="0"/>
              <w:spacing w:line="240" w:lineRule="atLeast"/>
              <w:jc w:val="center"/>
              <w:rPr>
                <w:rFonts w:hint="eastAsia"/>
                <w:sz w:val="18"/>
                <w:szCs w:val="18"/>
              </w:rPr>
            </w:pPr>
            <w:r>
              <w:rPr>
                <w:sz w:val="18"/>
                <w:szCs w:val="18"/>
              </w:rPr>
              <w:t>/</w:t>
            </w:r>
          </w:p>
        </w:tc>
        <w:tc>
          <w:tcPr>
            <w:tcW w:w="643" w:type="pct"/>
            <w:shd w:val="clear" w:color="auto" w:fill="auto"/>
            <w:vAlign w:val="center"/>
          </w:tcPr>
          <w:p w14:paraId="2BF08EA9">
            <w:pPr>
              <w:snapToGrid w:val="0"/>
              <w:spacing w:line="240" w:lineRule="atLeast"/>
              <w:jc w:val="center"/>
              <w:rPr>
                <w:rFonts w:hint="eastAsia"/>
                <w:sz w:val="18"/>
                <w:szCs w:val="18"/>
              </w:rPr>
            </w:pPr>
            <w:r>
              <w:rPr>
                <w:sz w:val="18"/>
                <w:szCs w:val="18"/>
              </w:rPr>
              <w:t>/</w:t>
            </w:r>
          </w:p>
        </w:tc>
        <w:tc>
          <w:tcPr>
            <w:tcW w:w="665" w:type="pct"/>
            <w:shd w:val="clear" w:color="auto" w:fill="auto"/>
            <w:vAlign w:val="center"/>
          </w:tcPr>
          <w:p w14:paraId="469DA2B7">
            <w:pPr>
              <w:snapToGrid w:val="0"/>
              <w:spacing w:line="240" w:lineRule="atLeast"/>
              <w:jc w:val="center"/>
              <w:rPr>
                <w:rFonts w:hint="eastAsia"/>
                <w:sz w:val="18"/>
                <w:szCs w:val="18"/>
              </w:rPr>
            </w:pPr>
            <w:r>
              <w:rPr>
                <w:sz w:val="18"/>
                <w:szCs w:val="18"/>
              </w:rPr>
              <w:t>/</w:t>
            </w:r>
          </w:p>
        </w:tc>
      </w:tr>
    </w:tbl>
    <w:p w14:paraId="233A9E70">
      <w:pPr>
        <w:rPr>
          <w:rFonts w:hint="eastAsia"/>
        </w:rPr>
      </w:pPr>
    </w:p>
    <w:p w14:paraId="1ADCF3C6">
      <w:pPr>
        <w:pStyle w:val="73"/>
        <w:ind w:left="105"/>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ba56aaa91cde4124a94058c2d90e3a2f"/>
        <w:id w:val="-732392452"/>
        <w:placeholder>
          <w:docPart w:val="GBC22222222222222222222222222222"/>
        </w:placeholder>
      </w:sdtPr>
      <w:sdtContent>
        <w:p w14:paraId="70149A8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4DA1612">
      <w:pPr>
        <w:snapToGrid w:val="0"/>
        <w:spacing w:line="240" w:lineRule="atLeast"/>
        <w:rPr>
          <w:rFonts w:hint="eastAsia"/>
          <w:szCs w:val="21"/>
        </w:rPr>
      </w:pPr>
    </w:p>
    <w:p w14:paraId="4D8D8CB3">
      <w:pPr>
        <w:pStyle w:val="73"/>
        <w:ind w:left="105"/>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f36374ae92164ce4ba5e4bcf3c57e9e9"/>
        <w:id w:val="-102581267"/>
        <w:placeholder>
          <w:docPart w:val="GBC22222222222222222222222222222"/>
        </w:placeholder>
      </w:sdtPr>
      <w:sdtContent>
        <w:p w14:paraId="4A5B98E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以前年度减值测试采用信息与当年实际情况明显不一致的差异原因"/>
        <w:tag w:val="_GBC_0493fab9e96245c2a17147f41ab4b3bd"/>
        <w:id w:val="-854719443"/>
        <w:placeholder>
          <w:docPart w:val="GBC22222222222222222222222222222"/>
        </w:placeholder>
      </w:sdtPr>
      <w:sdtEndPr>
        <w:rPr>
          <w:highlight w:val="yellow"/>
        </w:rPr>
      </w:sdtEndPr>
      <w:sdtContent>
        <w:p w14:paraId="5CEB7271">
          <w:pPr>
            <w:ind w:firstLine="420" w:firstLineChars="200"/>
            <w:rPr>
              <w:rFonts w:hint="eastAsia"/>
            </w:rPr>
          </w:pPr>
          <w:r>
            <w:rPr>
              <w:rFonts w:hint="eastAsia"/>
            </w:rPr>
            <w:t>重庆际华园项目、长春际华园项目：2023年是委托新兴际华资产经营管理有限公司盘活的第一个完整年度，2023年末评估是基于对际华园专业化盘活和持续经营进行的评估。2024年公司在综合研判商业地产未来发展趋势，认为际华园项目扭亏难度较大，权衡继续投入的风险和聚焦主业发展的资金需求，决定终止际华园项目，并择机退出房地产项目，上述原因导致际华园项目预测假设及关键参数发生变化。</w:t>
          </w:r>
        </w:p>
      </w:sdtContent>
    </w:sdt>
    <w:p w14:paraId="6E3D6DC7">
      <w:pPr>
        <w:snapToGrid w:val="0"/>
        <w:spacing w:line="240" w:lineRule="atLeast"/>
        <w:rPr>
          <w:rFonts w:hint="eastAsia"/>
          <w:szCs w:val="21"/>
        </w:rPr>
      </w:pPr>
    </w:p>
    <w:bookmarkEnd w:id="314"/>
    <w:p w14:paraId="45A96354">
      <w:pPr>
        <w:rPr>
          <w:rFonts w:hint="eastAsia"/>
          <w:szCs w:val="21"/>
        </w:rPr>
      </w:pPr>
      <w:r>
        <w:rPr>
          <w:rFonts w:hint="eastAsia"/>
          <w:szCs w:val="21"/>
        </w:rPr>
        <w:t>其他说明：</w:t>
      </w:r>
    </w:p>
    <w:sdt>
      <w:sdtPr>
        <w:rPr>
          <w:szCs w:val="21"/>
        </w:rPr>
        <w:alias w:val="是否适用：固定资产的说明[双击切换]"/>
        <w:tag w:val="_GBC_a7ec4df8fd354d7d9980e0f731a85e12"/>
        <w:id w:val="-2146339774"/>
        <w:placeholder>
          <w:docPart w:val="GBC22222222222222222222222222222"/>
        </w:placeholder>
      </w:sdtPr>
      <w:sdtEndPr>
        <w:rPr>
          <w:szCs w:val="21"/>
        </w:rPr>
      </w:sdtEndPr>
      <w:sdtContent>
        <w:p w14:paraId="5702603F">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1333AC3">
      <w:pPr>
        <w:rPr>
          <w:rFonts w:hint="eastAsia"/>
          <w:szCs w:val="21"/>
        </w:rPr>
      </w:pPr>
    </w:p>
    <w:p w14:paraId="75621790">
      <w:pPr>
        <w:pStyle w:val="71"/>
        <w:ind w:left="360" w:hanging="360"/>
        <w:rPr>
          <w:rFonts w:hint="eastAsia"/>
        </w:rPr>
      </w:pPr>
      <w:r>
        <w:rPr>
          <w:rFonts w:hint="eastAsia"/>
        </w:rPr>
        <w:t>固定资产清理</w:t>
      </w:r>
    </w:p>
    <w:sdt>
      <w:sdtPr>
        <w:alias w:val="是否适用：固定资产清理[双击切换]"/>
        <w:tag w:val="_GBC_e3c92a1042004e36882d16145109bd0e"/>
        <w:id w:val="1755400696"/>
        <w:placeholder>
          <w:docPart w:val="GBC22222222222222222222222222222"/>
        </w:placeholder>
      </w:sdtPr>
      <w:sdtContent>
        <w:p w14:paraId="4F2EEF84">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D30722D">
      <w:pPr>
        <w:rPr>
          <w:rFonts w:hint="eastAsia"/>
          <w:szCs w:val="21"/>
        </w:rPr>
      </w:pPr>
    </w:p>
    <w:p w14:paraId="3698F6B9">
      <w:pPr>
        <w:rPr>
          <w:rFonts w:hint="eastAsia"/>
          <w:szCs w:val="21"/>
        </w:rPr>
      </w:pPr>
    </w:p>
    <w:p w14:paraId="253DF0E6">
      <w:pPr>
        <w:pStyle w:val="70"/>
        <w:numPr>
          <w:ilvl w:val="0"/>
          <w:numId w:val="109"/>
        </w:numPr>
        <w:rPr>
          <w:szCs w:val="21"/>
        </w:rPr>
      </w:pPr>
      <w:r>
        <w:rPr>
          <w:szCs w:val="21"/>
        </w:rPr>
        <w:t>在建工程</w:t>
      </w:r>
      <w:bookmarkStart w:id="315" w:name="_Hlk532914352"/>
    </w:p>
    <w:p w14:paraId="544F6B4A">
      <w:pPr>
        <w:pStyle w:val="71"/>
        <w:rPr>
          <w:rFonts w:hint="eastAsia" w:ascii="宋体" w:hAnsi="宋体"/>
          <w:szCs w:val="21"/>
        </w:rPr>
      </w:pPr>
      <w:r>
        <w:rPr>
          <w:rFonts w:hint="eastAsia"/>
        </w:rPr>
        <w:t>项目列示</w:t>
      </w:r>
    </w:p>
    <w:sdt>
      <w:sdtPr>
        <w:alias w:val="是否适用：在建工程分类列示[双击切换]"/>
        <w:tag w:val="_GBC_c1e2db0ea96a470497d3e7b3545f11ff"/>
        <w:id w:val="359319582"/>
        <w:placeholder>
          <w:docPart w:val="GBC22222222222222222222222222222"/>
        </w:placeholder>
      </w:sdtPr>
      <w:sdtContent>
        <w:p w14:paraId="05D3D78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FFB06E">
      <w:pPr>
        <w:jc w:val="right"/>
        <w:rPr>
          <w:rFonts w:hint="eastAsia"/>
          <w:szCs w:val="21"/>
        </w:rPr>
      </w:pPr>
      <w:r>
        <w:rPr>
          <w:rFonts w:hint="eastAsia"/>
          <w:szCs w:val="21"/>
        </w:rPr>
        <w:t>单位：</w:t>
      </w:r>
      <w:sdt>
        <w:sdtPr>
          <w:rPr>
            <w:rFonts w:hint="eastAsia"/>
            <w:szCs w:val="21"/>
          </w:rPr>
          <w:alias w:val="单位：在建工程分类列示"/>
          <w:tag w:val="_GBC_c3fc0d9041a1447580d30c51269288ae"/>
          <w:id w:val="-168134906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bdb2a3deae044179993a80635469bb5"/>
          <w:id w:val="-20306268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13"/>
        <w:gridCol w:w="2862"/>
        <w:gridCol w:w="2848"/>
      </w:tblGrid>
      <w:tr w14:paraId="6148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e3fac3cdac65475ca8ba6bb772e3b841"/>
            <w:id w:val="1673446515"/>
          </w:sdtPr>
          <w:sdtContent>
            <w:tc>
              <w:tcPr>
                <w:tcW w:w="1764" w:type="pct"/>
                <w:vAlign w:val="center"/>
              </w:tcPr>
              <w:p w14:paraId="2E203EC2">
                <w:pPr>
                  <w:jc w:val="center"/>
                  <w:rPr>
                    <w:rFonts w:hint="eastAsia"/>
                    <w:szCs w:val="21"/>
                  </w:rPr>
                </w:pPr>
                <w:r>
                  <w:rPr>
                    <w:rFonts w:hint="eastAsia"/>
                    <w:szCs w:val="21"/>
                  </w:rPr>
                  <w:t>项目</w:t>
                </w:r>
              </w:p>
            </w:tc>
          </w:sdtContent>
        </w:sdt>
        <w:sdt>
          <w:sdtPr>
            <w:tag w:val="_PLD_4e98919cdcd84191b541b2ee895e77bf"/>
            <w:id w:val="-861588104"/>
          </w:sdtPr>
          <w:sdtContent>
            <w:tc>
              <w:tcPr>
                <w:tcW w:w="1622" w:type="pct"/>
                <w:vAlign w:val="center"/>
              </w:tcPr>
              <w:p w14:paraId="2614674E">
                <w:pPr>
                  <w:jc w:val="center"/>
                  <w:rPr>
                    <w:rFonts w:hint="eastAsia"/>
                    <w:szCs w:val="21"/>
                  </w:rPr>
                </w:pPr>
                <w:r>
                  <w:rPr>
                    <w:rFonts w:hint="eastAsia"/>
                    <w:szCs w:val="21"/>
                  </w:rPr>
                  <w:t>期末余额</w:t>
                </w:r>
              </w:p>
            </w:tc>
          </w:sdtContent>
        </w:sdt>
        <w:sdt>
          <w:sdtPr>
            <w:tag w:val="_PLD_4ce0928269bc47149a98320193bd0b0a"/>
            <w:id w:val="2139455422"/>
          </w:sdtPr>
          <w:sdtContent>
            <w:tc>
              <w:tcPr>
                <w:tcW w:w="1614" w:type="pct"/>
                <w:vAlign w:val="center"/>
              </w:tcPr>
              <w:p w14:paraId="77CBD21B">
                <w:pPr>
                  <w:jc w:val="center"/>
                  <w:rPr>
                    <w:rFonts w:hint="eastAsia"/>
                    <w:szCs w:val="21"/>
                  </w:rPr>
                </w:pPr>
                <w:r>
                  <w:rPr>
                    <w:rFonts w:hint="eastAsia"/>
                    <w:szCs w:val="21"/>
                  </w:rPr>
                  <w:t>期初余额</w:t>
                </w:r>
              </w:p>
            </w:tc>
          </w:sdtContent>
        </w:sdt>
      </w:tr>
      <w:tr w14:paraId="4A77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2DD3B187">
            <w:pPr>
              <w:tabs>
                <w:tab w:val="right" w:pos="3690"/>
                <w:tab w:val="right" w:pos="5130"/>
                <w:tab w:val="right" w:pos="6030"/>
                <w:tab w:val="right" w:pos="7650"/>
                <w:tab w:val="right" w:pos="9270"/>
              </w:tabs>
              <w:adjustRightInd w:val="0"/>
              <w:snapToGrid w:val="0"/>
              <w:rPr>
                <w:rFonts w:hint="eastAsia"/>
                <w:szCs w:val="21"/>
              </w:rPr>
            </w:pPr>
            <w:r>
              <w:rPr>
                <w:rFonts w:hint="eastAsia"/>
                <w:szCs w:val="21"/>
              </w:rPr>
              <w:t>在建工程</w:t>
            </w:r>
          </w:p>
        </w:tc>
        <w:tc>
          <w:tcPr>
            <w:tcW w:w="1622" w:type="pct"/>
            <w:vAlign w:val="bottom"/>
          </w:tcPr>
          <w:p w14:paraId="2D4E4E54">
            <w:pPr>
              <w:ind w:right="5"/>
              <w:jc w:val="right"/>
              <w:rPr>
                <w:rFonts w:hint="eastAsia"/>
                <w:szCs w:val="21"/>
              </w:rPr>
            </w:pPr>
            <w:r>
              <w:rPr>
                <w:rFonts w:ascii="Arial Narrow" w:hAnsi="Arial Narrow" w:eastAsia="等线"/>
                <w:color w:val="000000"/>
                <w:sz w:val="22"/>
                <w:szCs w:val="22"/>
              </w:rPr>
              <w:t>275,601,526.58</w:t>
            </w:r>
          </w:p>
        </w:tc>
        <w:tc>
          <w:tcPr>
            <w:tcW w:w="1614" w:type="pct"/>
            <w:vAlign w:val="bottom"/>
          </w:tcPr>
          <w:p w14:paraId="301FAE87">
            <w:pPr>
              <w:ind w:right="5"/>
              <w:jc w:val="right"/>
              <w:rPr>
                <w:rFonts w:hint="eastAsia"/>
                <w:szCs w:val="21"/>
              </w:rPr>
            </w:pPr>
            <w:r>
              <w:rPr>
                <w:rFonts w:ascii="Arial Narrow" w:hAnsi="Arial Narrow" w:eastAsia="等线"/>
                <w:color w:val="000000"/>
                <w:sz w:val="22"/>
                <w:szCs w:val="22"/>
              </w:rPr>
              <w:t>1,427,687,716.18</w:t>
            </w:r>
          </w:p>
        </w:tc>
      </w:tr>
      <w:tr w14:paraId="0D89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vAlign w:val="center"/>
          </w:tcPr>
          <w:p w14:paraId="5D97A603">
            <w:pPr>
              <w:autoSpaceDE w:val="0"/>
              <w:autoSpaceDN w:val="0"/>
              <w:adjustRightInd w:val="0"/>
              <w:jc w:val="center"/>
              <w:rPr>
                <w:rFonts w:hint="eastAsia"/>
                <w:szCs w:val="21"/>
              </w:rPr>
            </w:pPr>
            <w:r>
              <w:rPr>
                <w:rFonts w:hint="eastAsia"/>
                <w:szCs w:val="21"/>
              </w:rPr>
              <w:t>合计</w:t>
            </w:r>
          </w:p>
        </w:tc>
        <w:tc>
          <w:tcPr>
            <w:tcW w:w="1622" w:type="pct"/>
            <w:vAlign w:val="bottom"/>
          </w:tcPr>
          <w:p w14:paraId="1DC8BA54">
            <w:pPr>
              <w:jc w:val="right"/>
              <w:rPr>
                <w:rFonts w:hint="eastAsia"/>
                <w:szCs w:val="21"/>
              </w:rPr>
            </w:pPr>
            <w:r>
              <w:rPr>
                <w:rFonts w:ascii="Arial Narrow" w:hAnsi="Arial Narrow" w:eastAsia="等线"/>
                <w:color w:val="000000"/>
                <w:sz w:val="22"/>
                <w:szCs w:val="22"/>
              </w:rPr>
              <w:t>275,601,526.58</w:t>
            </w:r>
          </w:p>
        </w:tc>
        <w:tc>
          <w:tcPr>
            <w:tcW w:w="1614" w:type="pct"/>
            <w:vAlign w:val="bottom"/>
          </w:tcPr>
          <w:p w14:paraId="38A0D7F2">
            <w:pPr>
              <w:ind w:right="5"/>
              <w:jc w:val="right"/>
              <w:rPr>
                <w:rFonts w:hint="eastAsia"/>
                <w:szCs w:val="21"/>
              </w:rPr>
            </w:pPr>
            <w:r>
              <w:rPr>
                <w:rFonts w:ascii="Arial Narrow" w:hAnsi="Arial Narrow" w:eastAsia="等线"/>
                <w:color w:val="000000"/>
                <w:sz w:val="22"/>
                <w:szCs w:val="22"/>
              </w:rPr>
              <w:t>1,427,687,716.18</w:t>
            </w:r>
          </w:p>
        </w:tc>
      </w:tr>
    </w:tbl>
    <w:p w14:paraId="64337735">
      <w:pPr>
        <w:rPr>
          <w:rFonts w:hint="eastAsia"/>
        </w:rPr>
      </w:pPr>
    </w:p>
    <w:bookmarkEnd w:id="315"/>
    <w:p w14:paraId="25710C9D">
      <w:pPr>
        <w:rPr>
          <w:rFonts w:hint="eastAsia"/>
          <w:szCs w:val="21"/>
        </w:rPr>
      </w:pPr>
      <w:bookmarkStart w:id="316" w:name="_Hlk532915382"/>
      <w:r>
        <w:rPr>
          <w:rFonts w:hint="eastAsia"/>
          <w:szCs w:val="21"/>
        </w:rPr>
        <w:t>其他说明：</w:t>
      </w:r>
    </w:p>
    <w:p w14:paraId="2AE80A35">
      <w:pPr>
        <w:rPr>
          <w:rFonts w:hint="eastAsia"/>
          <w:szCs w:val="21"/>
        </w:rPr>
      </w:pPr>
      <w:sdt>
        <w:sdtPr>
          <w:rPr>
            <w:szCs w:val="21"/>
          </w:rPr>
          <w:alias w:val="是否适用：在建工程分类列示其他说明[双击切换]"/>
          <w:tag w:val="_GBC_97da24841dd24220bc5206311fc28039"/>
          <w:id w:val="-448547811"/>
          <w:placeholder>
            <w:docPart w:val="GBC22222222222222222222222222222"/>
          </w:placeholder>
        </w:sdtPr>
        <w:sdtEndPr>
          <w:rPr>
            <w:szCs w:val="21"/>
          </w:rPr>
        </w:sdtEndPr>
        <w:sdtContent>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bookmarkEnd w:id="316"/>
    <w:p w14:paraId="230F6C6A">
      <w:pPr>
        <w:rPr>
          <w:rFonts w:hint="eastAsia"/>
          <w:szCs w:val="21"/>
        </w:rPr>
        <w:sectPr>
          <w:pgSz w:w="11906" w:h="16838"/>
          <w:pgMar w:top="1440" w:right="1797" w:bottom="1525" w:left="1276" w:header="856" w:footer="992" w:gutter="0"/>
          <w:cols w:space="425" w:num="1"/>
          <w:docGrid w:linePitch="312" w:charSpace="0"/>
        </w:sectPr>
      </w:pPr>
    </w:p>
    <w:p w14:paraId="22DC5BB6">
      <w:pPr>
        <w:rPr>
          <w:rFonts w:hint="eastAsia"/>
          <w:szCs w:val="21"/>
        </w:rPr>
      </w:pPr>
    </w:p>
    <w:p w14:paraId="7AB72164">
      <w:pPr>
        <w:pStyle w:val="71"/>
        <w:ind w:left="360" w:hanging="360"/>
        <w:rPr>
          <w:rFonts w:hint="eastAsia"/>
        </w:rPr>
      </w:pPr>
      <w:r>
        <w:rPr>
          <w:rFonts w:hint="eastAsia"/>
        </w:rPr>
        <w:t>在建工程</w:t>
      </w:r>
    </w:p>
    <w:p w14:paraId="5E88F615">
      <w:pPr>
        <w:pStyle w:val="72"/>
        <w:numPr>
          <w:ilvl w:val="0"/>
          <w:numId w:val="126"/>
        </w:numPr>
        <w:ind w:leftChars="0"/>
      </w:pPr>
      <w:r>
        <w:rPr>
          <w:rFonts w:hint="eastAsia"/>
        </w:rPr>
        <w:t>在建工程情况</w:t>
      </w:r>
    </w:p>
    <w:sdt>
      <w:sdtPr>
        <w:alias w:val="是否适用：在建工程情况[双击切换]"/>
        <w:tag w:val="_GBC_3d1e0f4f19d8472c9f5250b0ba025185"/>
        <w:id w:val="628518646"/>
        <w:placeholder>
          <w:docPart w:val="GBC22222222222222222222222222222"/>
        </w:placeholder>
      </w:sdtPr>
      <w:sdtContent>
        <w:p w14:paraId="47556E1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36DB98E">
      <w:pPr>
        <w:jc w:val="right"/>
        <w:rPr>
          <w:rFonts w:hint="eastAsia"/>
          <w:szCs w:val="21"/>
        </w:rPr>
      </w:pPr>
      <w:r>
        <w:rPr>
          <w:rFonts w:hint="eastAsia"/>
          <w:szCs w:val="21"/>
        </w:rPr>
        <w:t>单位：</w:t>
      </w:r>
      <w:sdt>
        <w:sdtPr>
          <w:rPr>
            <w:rFonts w:hint="eastAsia"/>
            <w:szCs w:val="21"/>
          </w:rPr>
          <w:alias w:val="单位：财务附注：在建工程"/>
          <w:tag w:val="_GBC_c20f70bc9d1e4476bd65c1988111664f"/>
          <w:id w:val="9158253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5038625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1"/>
        <w:gridCol w:w="1808"/>
        <w:gridCol w:w="1808"/>
        <w:gridCol w:w="1788"/>
        <w:gridCol w:w="1896"/>
        <w:gridCol w:w="1808"/>
        <w:gridCol w:w="1894"/>
      </w:tblGrid>
      <w:tr w14:paraId="6045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sdt>
          <w:sdtPr>
            <w:rPr>
              <w:rFonts w:ascii="Arial Narrow" w:hAnsi="Arial Narrow" w:eastAsiaTheme="minorEastAsia"/>
              <w:szCs w:val="21"/>
            </w:rPr>
            <w:tag w:val="_PLD_64c6d788b0564cf39dd83135bd94fa33"/>
            <w:id w:val="-400755305"/>
          </w:sdtPr>
          <w:sdtEndPr>
            <w:rPr>
              <w:rFonts w:ascii="Arial Narrow" w:hAnsi="Arial Narrow" w:eastAsiaTheme="minorEastAsia"/>
              <w:szCs w:val="21"/>
            </w:rPr>
          </w:sdtEndPr>
          <w:sdtContent>
            <w:tc>
              <w:tcPr>
                <w:tcW w:w="1032" w:type="pct"/>
                <w:vMerge w:val="restart"/>
                <w:vAlign w:val="center"/>
              </w:tcPr>
              <w:p w14:paraId="13745BD3">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0f8aeba685c643d8bbe995cb6221e768"/>
            <w:id w:val="201146249"/>
          </w:sdtPr>
          <w:sdtEndPr>
            <w:rPr>
              <w:rFonts w:ascii="Arial Narrow" w:hAnsi="Arial Narrow" w:eastAsiaTheme="minorEastAsia"/>
              <w:szCs w:val="21"/>
            </w:rPr>
          </w:sdtEndPr>
          <w:sdtContent>
            <w:tc>
              <w:tcPr>
                <w:tcW w:w="1949" w:type="pct"/>
                <w:gridSpan w:val="3"/>
                <w:vAlign w:val="center"/>
              </w:tcPr>
              <w:p w14:paraId="71F35BF5">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87e3270219434e9f8494ce0079d505fd"/>
            <w:id w:val="-1270703729"/>
          </w:sdtPr>
          <w:sdtEndPr>
            <w:rPr>
              <w:rFonts w:ascii="Arial Narrow" w:hAnsi="Arial Narrow" w:eastAsiaTheme="minorEastAsia"/>
              <w:szCs w:val="21"/>
            </w:rPr>
          </w:sdtEndPr>
          <w:sdtContent>
            <w:tc>
              <w:tcPr>
                <w:tcW w:w="2019" w:type="pct"/>
                <w:gridSpan w:val="3"/>
                <w:vAlign w:val="center"/>
              </w:tcPr>
              <w:p w14:paraId="201BA996">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6C12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32" w:type="pct"/>
            <w:vMerge w:val="continue"/>
            <w:vAlign w:val="center"/>
          </w:tcPr>
          <w:p w14:paraId="6A742B1F">
            <w:pPr>
              <w:tabs>
                <w:tab w:val="left" w:pos="420"/>
              </w:tabs>
              <w:ind w:left="420" w:hanging="420"/>
              <w:jc w:val="center"/>
              <w:rPr>
                <w:rFonts w:ascii="Arial Narrow" w:hAnsi="Arial Narrow" w:eastAsiaTheme="minorEastAsia"/>
                <w:szCs w:val="21"/>
              </w:rPr>
            </w:pPr>
          </w:p>
        </w:tc>
        <w:sdt>
          <w:sdtPr>
            <w:rPr>
              <w:rFonts w:ascii="Arial Narrow" w:hAnsi="Arial Narrow" w:eastAsiaTheme="minorEastAsia"/>
              <w:szCs w:val="21"/>
            </w:rPr>
            <w:tag w:val="_PLD_38fd2fe6396a41ae994e421a6ad8573a"/>
            <w:id w:val="1680919343"/>
          </w:sdtPr>
          <w:sdtEndPr>
            <w:rPr>
              <w:rFonts w:ascii="Arial Narrow" w:hAnsi="Arial Narrow" w:eastAsiaTheme="minorEastAsia"/>
              <w:szCs w:val="21"/>
            </w:rPr>
          </w:sdtEndPr>
          <w:sdtContent>
            <w:tc>
              <w:tcPr>
                <w:tcW w:w="652" w:type="pct"/>
                <w:vAlign w:val="center"/>
              </w:tcPr>
              <w:p w14:paraId="05A73F13">
                <w:pPr>
                  <w:tabs>
                    <w:tab w:val="left" w:pos="420"/>
                  </w:tabs>
                  <w:ind w:left="420" w:hanging="420"/>
                  <w:jc w:val="center"/>
                  <w:rPr>
                    <w:rFonts w:ascii="Arial Narrow" w:hAnsi="Arial Narrow" w:eastAsiaTheme="minorEastAsia"/>
                    <w:szCs w:val="21"/>
                  </w:rPr>
                </w:pPr>
                <w:r>
                  <w:rPr>
                    <w:rFonts w:ascii="Arial Narrow" w:hAnsi="Arial Narrow" w:eastAsiaTheme="minorEastAsia"/>
                    <w:szCs w:val="21"/>
                  </w:rPr>
                  <w:t>账面余额</w:t>
                </w:r>
              </w:p>
            </w:tc>
          </w:sdtContent>
        </w:sdt>
        <w:sdt>
          <w:sdtPr>
            <w:rPr>
              <w:rFonts w:ascii="Arial Narrow" w:hAnsi="Arial Narrow" w:eastAsiaTheme="minorEastAsia"/>
            </w:rPr>
            <w:tag w:val="_PLD_efb5f565ae7d43338576e6ba69d207b2"/>
            <w:id w:val="714467156"/>
          </w:sdtPr>
          <w:sdtEndPr>
            <w:rPr>
              <w:rFonts w:ascii="Arial Narrow" w:hAnsi="Arial Narrow" w:eastAsiaTheme="minorEastAsia"/>
            </w:rPr>
          </w:sdtEndPr>
          <w:sdtContent>
            <w:tc>
              <w:tcPr>
                <w:tcW w:w="652" w:type="pct"/>
                <w:vAlign w:val="center"/>
              </w:tcPr>
              <w:p w14:paraId="7C2B6436">
                <w:pPr>
                  <w:pStyle w:val="86"/>
                  <w:spacing w:line="240" w:lineRule="auto"/>
                  <w:jc w:val="center"/>
                  <w:rPr>
                    <w:rFonts w:ascii="Arial Narrow" w:hAnsi="Arial Narrow" w:eastAsiaTheme="minorEastAsia"/>
                  </w:rPr>
                </w:pPr>
                <w:r>
                  <w:rPr>
                    <w:rFonts w:ascii="Arial Narrow" w:hAnsi="Arial Narrow" w:eastAsiaTheme="minorEastAsia"/>
                  </w:rPr>
                  <w:t>减值准备</w:t>
                </w:r>
              </w:p>
            </w:tc>
          </w:sdtContent>
        </w:sdt>
        <w:sdt>
          <w:sdtPr>
            <w:rPr>
              <w:rFonts w:ascii="Arial Narrow" w:hAnsi="Arial Narrow" w:eastAsiaTheme="minorEastAsia"/>
            </w:rPr>
            <w:tag w:val="_PLD_74e2fff2faeb4e10b56ba612a8b3b4e8"/>
            <w:id w:val="-22950271"/>
          </w:sdtPr>
          <w:sdtEndPr>
            <w:rPr>
              <w:rFonts w:ascii="Arial Narrow" w:hAnsi="Arial Narrow" w:eastAsiaTheme="minorEastAsia"/>
            </w:rPr>
          </w:sdtEndPr>
          <w:sdtContent>
            <w:tc>
              <w:tcPr>
                <w:tcW w:w="645" w:type="pct"/>
                <w:vAlign w:val="center"/>
              </w:tcPr>
              <w:p w14:paraId="27B0612E">
                <w:pPr>
                  <w:pStyle w:val="86"/>
                  <w:spacing w:line="240" w:lineRule="auto"/>
                  <w:jc w:val="center"/>
                  <w:rPr>
                    <w:rFonts w:ascii="Arial Narrow" w:hAnsi="Arial Narrow" w:eastAsiaTheme="minorEastAsia"/>
                  </w:rPr>
                </w:pPr>
                <w:r>
                  <w:rPr>
                    <w:rFonts w:ascii="Arial Narrow" w:hAnsi="Arial Narrow" w:eastAsiaTheme="minorEastAsia"/>
                  </w:rPr>
                  <w:t>账面价值</w:t>
                </w:r>
              </w:p>
            </w:tc>
          </w:sdtContent>
        </w:sdt>
        <w:sdt>
          <w:sdtPr>
            <w:rPr>
              <w:rFonts w:ascii="Arial Narrow" w:hAnsi="Arial Narrow" w:eastAsiaTheme="minorEastAsia"/>
              <w:szCs w:val="21"/>
            </w:rPr>
            <w:tag w:val="_PLD_320b5c6e751a40cb8f8d6cb989669680"/>
            <w:id w:val="-2113966330"/>
          </w:sdtPr>
          <w:sdtEndPr>
            <w:rPr>
              <w:rFonts w:ascii="Arial Narrow" w:hAnsi="Arial Narrow" w:eastAsiaTheme="minorEastAsia"/>
              <w:szCs w:val="21"/>
            </w:rPr>
          </w:sdtEndPr>
          <w:sdtContent>
            <w:tc>
              <w:tcPr>
                <w:tcW w:w="684" w:type="pct"/>
                <w:vAlign w:val="center"/>
              </w:tcPr>
              <w:p w14:paraId="348CFB67">
                <w:pPr>
                  <w:tabs>
                    <w:tab w:val="left" w:pos="420"/>
                  </w:tabs>
                  <w:ind w:left="420" w:hanging="420"/>
                  <w:jc w:val="center"/>
                  <w:rPr>
                    <w:rFonts w:ascii="Arial Narrow" w:hAnsi="Arial Narrow" w:eastAsiaTheme="minorEastAsia"/>
                    <w:szCs w:val="21"/>
                  </w:rPr>
                </w:pPr>
                <w:r>
                  <w:rPr>
                    <w:rFonts w:ascii="Arial Narrow" w:hAnsi="Arial Narrow" w:eastAsiaTheme="minorEastAsia"/>
                    <w:szCs w:val="21"/>
                  </w:rPr>
                  <w:t>账面余额</w:t>
                </w:r>
              </w:p>
            </w:tc>
          </w:sdtContent>
        </w:sdt>
        <w:sdt>
          <w:sdtPr>
            <w:rPr>
              <w:rFonts w:ascii="Arial Narrow" w:hAnsi="Arial Narrow" w:eastAsiaTheme="minorEastAsia"/>
            </w:rPr>
            <w:tag w:val="_PLD_887f924a18a14763b7d38b336e4eca91"/>
            <w:id w:val="-2085747690"/>
          </w:sdtPr>
          <w:sdtEndPr>
            <w:rPr>
              <w:rFonts w:ascii="Arial Narrow" w:hAnsi="Arial Narrow" w:eastAsiaTheme="minorEastAsia"/>
            </w:rPr>
          </w:sdtEndPr>
          <w:sdtContent>
            <w:tc>
              <w:tcPr>
                <w:tcW w:w="652" w:type="pct"/>
                <w:vAlign w:val="center"/>
              </w:tcPr>
              <w:p w14:paraId="1F956228">
                <w:pPr>
                  <w:pStyle w:val="86"/>
                  <w:spacing w:line="240" w:lineRule="auto"/>
                  <w:jc w:val="center"/>
                  <w:rPr>
                    <w:rFonts w:ascii="Arial Narrow" w:hAnsi="Arial Narrow" w:eastAsiaTheme="minorEastAsia"/>
                  </w:rPr>
                </w:pPr>
                <w:r>
                  <w:rPr>
                    <w:rFonts w:ascii="Arial Narrow" w:hAnsi="Arial Narrow" w:eastAsiaTheme="minorEastAsia"/>
                  </w:rPr>
                  <w:t>减值准备</w:t>
                </w:r>
              </w:p>
            </w:tc>
          </w:sdtContent>
        </w:sdt>
        <w:sdt>
          <w:sdtPr>
            <w:rPr>
              <w:rFonts w:ascii="Arial Narrow" w:hAnsi="Arial Narrow" w:eastAsiaTheme="minorEastAsia"/>
            </w:rPr>
            <w:tag w:val="_PLD_56d3163c60044998bf2f3d80a83c26a6"/>
            <w:id w:val="457225435"/>
          </w:sdtPr>
          <w:sdtEndPr>
            <w:rPr>
              <w:rFonts w:ascii="Arial Narrow" w:hAnsi="Arial Narrow" w:eastAsiaTheme="minorEastAsia"/>
            </w:rPr>
          </w:sdtEndPr>
          <w:sdtContent>
            <w:tc>
              <w:tcPr>
                <w:tcW w:w="683" w:type="pct"/>
                <w:vAlign w:val="center"/>
              </w:tcPr>
              <w:p w14:paraId="40E353CD">
                <w:pPr>
                  <w:pStyle w:val="86"/>
                  <w:spacing w:line="240" w:lineRule="auto"/>
                  <w:jc w:val="center"/>
                  <w:rPr>
                    <w:rFonts w:ascii="Arial Narrow" w:hAnsi="Arial Narrow" w:eastAsiaTheme="minorEastAsia"/>
                  </w:rPr>
                </w:pPr>
                <w:r>
                  <w:rPr>
                    <w:rFonts w:ascii="Arial Narrow" w:hAnsi="Arial Narrow" w:eastAsiaTheme="minorEastAsia"/>
                  </w:rPr>
                  <w:t>账面价值</w:t>
                </w:r>
              </w:p>
            </w:tc>
          </w:sdtContent>
        </w:sdt>
      </w:tr>
      <w:tr w14:paraId="197D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2381B913">
            <w:pPr>
              <w:rPr>
                <w:rFonts w:ascii="Arial Narrow" w:hAnsi="Arial Narrow" w:eastAsiaTheme="minorEastAsia"/>
                <w:szCs w:val="21"/>
              </w:rPr>
            </w:pPr>
            <w:r>
              <w:rPr>
                <w:rFonts w:ascii="Arial Narrow" w:hAnsi="Arial Narrow" w:eastAsiaTheme="minorEastAsia"/>
                <w:color w:val="000000"/>
                <w:szCs w:val="21"/>
              </w:rPr>
              <w:t>长春目的地中心</w:t>
            </w:r>
          </w:p>
        </w:tc>
        <w:tc>
          <w:tcPr>
            <w:tcW w:w="652" w:type="pct"/>
            <w:vAlign w:val="center"/>
          </w:tcPr>
          <w:p w14:paraId="42A5DCCD">
            <w:pPr>
              <w:ind w:right="105"/>
              <w:jc w:val="right"/>
              <w:rPr>
                <w:rFonts w:ascii="Arial Narrow" w:hAnsi="Arial Narrow" w:eastAsiaTheme="minorEastAsia"/>
                <w:szCs w:val="21"/>
              </w:rPr>
            </w:pPr>
            <w:r>
              <w:rPr>
                <w:rFonts w:ascii="Arial Narrow" w:hAnsi="Arial Narrow" w:eastAsiaTheme="minorEastAsia"/>
                <w:color w:val="000000"/>
                <w:szCs w:val="21"/>
              </w:rPr>
              <w:t>775,853,575.34</w:t>
            </w:r>
          </w:p>
        </w:tc>
        <w:tc>
          <w:tcPr>
            <w:tcW w:w="652" w:type="pct"/>
            <w:vAlign w:val="center"/>
          </w:tcPr>
          <w:p w14:paraId="70148893">
            <w:pPr>
              <w:ind w:right="73"/>
              <w:jc w:val="right"/>
              <w:rPr>
                <w:rFonts w:ascii="Arial Narrow" w:hAnsi="Arial Narrow" w:eastAsiaTheme="minorEastAsia"/>
                <w:szCs w:val="21"/>
              </w:rPr>
            </w:pPr>
            <w:r>
              <w:rPr>
                <w:rFonts w:ascii="Arial Narrow" w:hAnsi="Arial Narrow" w:eastAsiaTheme="minorEastAsia"/>
                <w:color w:val="000000"/>
                <w:szCs w:val="21"/>
              </w:rPr>
              <w:t>700,103,655.93</w:t>
            </w:r>
          </w:p>
        </w:tc>
        <w:tc>
          <w:tcPr>
            <w:tcW w:w="645" w:type="pct"/>
            <w:vAlign w:val="center"/>
          </w:tcPr>
          <w:p w14:paraId="5EC86304">
            <w:pPr>
              <w:ind w:right="73"/>
              <w:jc w:val="right"/>
              <w:rPr>
                <w:rFonts w:ascii="Arial Narrow" w:hAnsi="Arial Narrow" w:eastAsiaTheme="minorEastAsia"/>
                <w:szCs w:val="21"/>
              </w:rPr>
            </w:pPr>
            <w:r>
              <w:rPr>
                <w:rFonts w:ascii="Arial Narrow" w:hAnsi="Arial Narrow" w:eastAsiaTheme="minorEastAsia"/>
                <w:color w:val="000000"/>
                <w:szCs w:val="21"/>
              </w:rPr>
              <w:t>75,749,919.41</w:t>
            </w:r>
          </w:p>
        </w:tc>
        <w:tc>
          <w:tcPr>
            <w:tcW w:w="684" w:type="pct"/>
            <w:vAlign w:val="center"/>
          </w:tcPr>
          <w:p w14:paraId="488B74C8">
            <w:pPr>
              <w:jc w:val="right"/>
              <w:rPr>
                <w:rFonts w:ascii="Arial Narrow" w:hAnsi="Arial Narrow" w:eastAsiaTheme="minorEastAsia"/>
                <w:szCs w:val="21"/>
              </w:rPr>
            </w:pPr>
            <w:r>
              <w:rPr>
                <w:rFonts w:ascii="Arial Narrow" w:hAnsi="Arial Narrow" w:eastAsiaTheme="minorEastAsia"/>
                <w:color w:val="000000"/>
                <w:szCs w:val="21"/>
              </w:rPr>
              <w:t>1,180,821,794.91</w:t>
            </w:r>
          </w:p>
        </w:tc>
        <w:tc>
          <w:tcPr>
            <w:tcW w:w="652" w:type="pct"/>
            <w:vAlign w:val="center"/>
          </w:tcPr>
          <w:p w14:paraId="290BFED0">
            <w:pPr>
              <w:jc w:val="right"/>
              <w:rPr>
                <w:rFonts w:ascii="Arial Narrow" w:hAnsi="Arial Narrow" w:eastAsiaTheme="minorEastAsia"/>
                <w:szCs w:val="21"/>
              </w:rPr>
            </w:pPr>
          </w:p>
        </w:tc>
        <w:tc>
          <w:tcPr>
            <w:tcW w:w="683" w:type="pct"/>
            <w:vAlign w:val="center"/>
          </w:tcPr>
          <w:p w14:paraId="4C3B4974">
            <w:pPr>
              <w:jc w:val="right"/>
              <w:rPr>
                <w:rFonts w:ascii="Arial Narrow" w:hAnsi="Arial Narrow" w:eastAsiaTheme="minorEastAsia"/>
                <w:szCs w:val="21"/>
              </w:rPr>
            </w:pPr>
            <w:r>
              <w:rPr>
                <w:rFonts w:ascii="Arial Narrow" w:hAnsi="Arial Narrow" w:eastAsiaTheme="minorEastAsia"/>
                <w:color w:val="000000"/>
                <w:szCs w:val="21"/>
              </w:rPr>
              <w:t>1,180,821,794.91</w:t>
            </w:r>
          </w:p>
        </w:tc>
      </w:tr>
      <w:tr w14:paraId="73B3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3A6A458">
            <w:pPr>
              <w:rPr>
                <w:rFonts w:ascii="Arial Narrow" w:hAnsi="Arial Narrow" w:eastAsiaTheme="minorEastAsia"/>
                <w:szCs w:val="21"/>
              </w:rPr>
            </w:pPr>
            <w:r>
              <w:rPr>
                <w:rFonts w:ascii="Arial Narrow" w:hAnsi="Arial Narrow" w:eastAsiaTheme="minorEastAsia"/>
                <w:color w:val="000000"/>
                <w:szCs w:val="21"/>
              </w:rPr>
              <w:t>际华三五一五皮革皮鞋有限公司新区建设项目</w:t>
            </w:r>
          </w:p>
        </w:tc>
        <w:tc>
          <w:tcPr>
            <w:tcW w:w="652" w:type="pct"/>
            <w:vAlign w:val="center"/>
          </w:tcPr>
          <w:p w14:paraId="1AFB96EB">
            <w:pPr>
              <w:ind w:right="105"/>
              <w:jc w:val="right"/>
              <w:rPr>
                <w:rFonts w:ascii="Arial Narrow" w:hAnsi="Arial Narrow" w:eastAsiaTheme="minorEastAsia"/>
                <w:szCs w:val="21"/>
              </w:rPr>
            </w:pPr>
            <w:r>
              <w:rPr>
                <w:rFonts w:ascii="Arial Narrow" w:hAnsi="Arial Narrow" w:eastAsiaTheme="minorEastAsia"/>
                <w:color w:val="000000"/>
                <w:szCs w:val="21"/>
              </w:rPr>
              <w:t>49,931,611.23</w:t>
            </w:r>
          </w:p>
        </w:tc>
        <w:tc>
          <w:tcPr>
            <w:tcW w:w="652" w:type="pct"/>
            <w:vAlign w:val="center"/>
          </w:tcPr>
          <w:p w14:paraId="40D96BC5">
            <w:pPr>
              <w:ind w:right="73"/>
              <w:jc w:val="right"/>
              <w:rPr>
                <w:rFonts w:ascii="Arial Narrow" w:hAnsi="Arial Narrow" w:eastAsiaTheme="minorEastAsia"/>
                <w:szCs w:val="21"/>
              </w:rPr>
            </w:pPr>
          </w:p>
        </w:tc>
        <w:tc>
          <w:tcPr>
            <w:tcW w:w="645" w:type="pct"/>
            <w:vAlign w:val="center"/>
          </w:tcPr>
          <w:p w14:paraId="70083975">
            <w:pPr>
              <w:ind w:right="73"/>
              <w:jc w:val="right"/>
              <w:rPr>
                <w:rFonts w:ascii="Arial Narrow" w:hAnsi="Arial Narrow" w:eastAsiaTheme="minorEastAsia"/>
                <w:szCs w:val="21"/>
              </w:rPr>
            </w:pPr>
            <w:r>
              <w:rPr>
                <w:rFonts w:ascii="Arial Narrow" w:hAnsi="Arial Narrow" w:eastAsiaTheme="minorEastAsia"/>
                <w:color w:val="000000"/>
                <w:szCs w:val="21"/>
              </w:rPr>
              <w:t>49,931,611.23</w:t>
            </w:r>
          </w:p>
        </w:tc>
        <w:tc>
          <w:tcPr>
            <w:tcW w:w="684" w:type="pct"/>
            <w:vAlign w:val="center"/>
          </w:tcPr>
          <w:p w14:paraId="069135FE">
            <w:pPr>
              <w:jc w:val="right"/>
              <w:rPr>
                <w:rFonts w:ascii="Arial Narrow" w:hAnsi="Arial Narrow" w:eastAsiaTheme="minorEastAsia"/>
                <w:szCs w:val="21"/>
              </w:rPr>
            </w:pPr>
            <w:r>
              <w:rPr>
                <w:rFonts w:ascii="Arial Narrow" w:hAnsi="Arial Narrow" w:eastAsiaTheme="minorEastAsia"/>
                <w:color w:val="000000"/>
                <w:szCs w:val="21"/>
              </w:rPr>
              <w:t>19,957,151.24</w:t>
            </w:r>
          </w:p>
        </w:tc>
        <w:tc>
          <w:tcPr>
            <w:tcW w:w="652" w:type="pct"/>
            <w:vAlign w:val="center"/>
          </w:tcPr>
          <w:p w14:paraId="0BD107C0">
            <w:pPr>
              <w:jc w:val="right"/>
              <w:rPr>
                <w:rFonts w:ascii="Arial Narrow" w:hAnsi="Arial Narrow" w:eastAsiaTheme="minorEastAsia"/>
                <w:szCs w:val="21"/>
              </w:rPr>
            </w:pPr>
          </w:p>
        </w:tc>
        <w:tc>
          <w:tcPr>
            <w:tcW w:w="683" w:type="pct"/>
            <w:vAlign w:val="center"/>
          </w:tcPr>
          <w:p w14:paraId="6D23063F">
            <w:pPr>
              <w:jc w:val="right"/>
              <w:rPr>
                <w:rFonts w:ascii="Arial Narrow" w:hAnsi="Arial Narrow" w:eastAsiaTheme="minorEastAsia"/>
                <w:szCs w:val="21"/>
              </w:rPr>
            </w:pPr>
            <w:r>
              <w:rPr>
                <w:rFonts w:ascii="Arial Narrow" w:hAnsi="Arial Narrow" w:eastAsiaTheme="minorEastAsia"/>
                <w:color w:val="000000"/>
                <w:szCs w:val="21"/>
              </w:rPr>
              <w:t>19,957,151.24</w:t>
            </w:r>
          </w:p>
        </w:tc>
      </w:tr>
      <w:tr w14:paraId="536C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44BC2D71">
            <w:pPr>
              <w:rPr>
                <w:rFonts w:ascii="Arial Narrow" w:hAnsi="Arial Narrow" w:eastAsiaTheme="minorEastAsia"/>
                <w:szCs w:val="21"/>
              </w:rPr>
            </w:pPr>
            <w:r>
              <w:rPr>
                <w:rFonts w:ascii="Arial Narrow" w:hAnsi="Arial Narrow" w:eastAsiaTheme="minorEastAsia"/>
                <w:color w:val="000000"/>
                <w:szCs w:val="21"/>
              </w:rPr>
              <w:t>三五零二职业装研发中心项目</w:t>
            </w:r>
          </w:p>
        </w:tc>
        <w:tc>
          <w:tcPr>
            <w:tcW w:w="652" w:type="pct"/>
            <w:vAlign w:val="center"/>
          </w:tcPr>
          <w:p w14:paraId="02282B09">
            <w:pPr>
              <w:ind w:right="105"/>
              <w:jc w:val="right"/>
              <w:rPr>
                <w:rFonts w:ascii="Arial Narrow" w:hAnsi="Arial Narrow" w:eastAsiaTheme="minorEastAsia"/>
                <w:szCs w:val="21"/>
              </w:rPr>
            </w:pPr>
            <w:r>
              <w:rPr>
                <w:rFonts w:ascii="Arial Narrow" w:hAnsi="Arial Narrow" w:eastAsiaTheme="minorEastAsia"/>
                <w:color w:val="000000"/>
                <w:szCs w:val="21"/>
              </w:rPr>
              <w:t>18,255,124.28</w:t>
            </w:r>
          </w:p>
        </w:tc>
        <w:tc>
          <w:tcPr>
            <w:tcW w:w="652" w:type="pct"/>
            <w:vAlign w:val="center"/>
          </w:tcPr>
          <w:p w14:paraId="5A07A9B9">
            <w:pPr>
              <w:ind w:right="73"/>
              <w:jc w:val="right"/>
              <w:rPr>
                <w:rFonts w:ascii="Arial Narrow" w:hAnsi="Arial Narrow" w:eastAsiaTheme="minorEastAsia"/>
                <w:szCs w:val="21"/>
              </w:rPr>
            </w:pPr>
          </w:p>
        </w:tc>
        <w:tc>
          <w:tcPr>
            <w:tcW w:w="645" w:type="pct"/>
            <w:vAlign w:val="center"/>
          </w:tcPr>
          <w:p w14:paraId="7306F38D">
            <w:pPr>
              <w:ind w:right="73"/>
              <w:jc w:val="right"/>
              <w:rPr>
                <w:rFonts w:ascii="Arial Narrow" w:hAnsi="Arial Narrow" w:eastAsiaTheme="minorEastAsia"/>
                <w:szCs w:val="21"/>
              </w:rPr>
            </w:pPr>
            <w:r>
              <w:rPr>
                <w:rFonts w:ascii="Arial Narrow" w:hAnsi="Arial Narrow" w:eastAsiaTheme="minorEastAsia"/>
                <w:color w:val="000000"/>
                <w:szCs w:val="21"/>
              </w:rPr>
              <w:t>18,255,124.28</w:t>
            </w:r>
          </w:p>
        </w:tc>
        <w:tc>
          <w:tcPr>
            <w:tcW w:w="684" w:type="pct"/>
            <w:vAlign w:val="center"/>
          </w:tcPr>
          <w:p w14:paraId="6CBA54CB">
            <w:pPr>
              <w:jc w:val="right"/>
              <w:rPr>
                <w:rFonts w:ascii="Arial Narrow" w:hAnsi="Arial Narrow" w:eastAsiaTheme="minorEastAsia"/>
                <w:szCs w:val="21"/>
              </w:rPr>
            </w:pPr>
            <w:r>
              <w:rPr>
                <w:rFonts w:ascii="Arial Narrow" w:hAnsi="Arial Narrow" w:eastAsiaTheme="minorEastAsia"/>
                <w:color w:val="000000"/>
                <w:szCs w:val="21"/>
              </w:rPr>
              <w:t>400,471.69</w:t>
            </w:r>
          </w:p>
        </w:tc>
        <w:tc>
          <w:tcPr>
            <w:tcW w:w="652" w:type="pct"/>
            <w:vAlign w:val="center"/>
          </w:tcPr>
          <w:p w14:paraId="4353D13A">
            <w:pPr>
              <w:jc w:val="right"/>
              <w:rPr>
                <w:rFonts w:ascii="Arial Narrow" w:hAnsi="Arial Narrow" w:eastAsiaTheme="minorEastAsia"/>
                <w:szCs w:val="21"/>
              </w:rPr>
            </w:pPr>
          </w:p>
        </w:tc>
        <w:tc>
          <w:tcPr>
            <w:tcW w:w="683" w:type="pct"/>
            <w:vAlign w:val="center"/>
          </w:tcPr>
          <w:p w14:paraId="018E840D">
            <w:pPr>
              <w:jc w:val="right"/>
              <w:rPr>
                <w:rFonts w:ascii="Arial Narrow" w:hAnsi="Arial Narrow" w:eastAsiaTheme="minorEastAsia"/>
                <w:szCs w:val="21"/>
              </w:rPr>
            </w:pPr>
            <w:r>
              <w:rPr>
                <w:rFonts w:ascii="Arial Narrow" w:hAnsi="Arial Narrow" w:eastAsiaTheme="minorEastAsia"/>
                <w:color w:val="000000"/>
                <w:szCs w:val="21"/>
              </w:rPr>
              <w:t>400,471.69</w:t>
            </w:r>
          </w:p>
        </w:tc>
      </w:tr>
      <w:tr w14:paraId="1872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772967A0">
            <w:pPr>
              <w:rPr>
                <w:rFonts w:ascii="Arial Narrow" w:hAnsi="Arial Narrow" w:eastAsiaTheme="minorEastAsia"/>
                <w:szCs w:val="21"/>
              </w:rPr>
            </w:pPr>
            <w:r>
              <w:rPr>
                <w:rFonts w:ascii="Arial Narrow" w:hAnsi="Arial Narrow" w:eastAsiaTheme="minorEastAsia"/>
                <w:color w:val="000000"/>
                <w:szCs w:val="21"/>
              </w:rPr>
              <w:t>际华三五三四制衣有限公司服装智能升级改造</w:t>
            </w:r>
          </w:p>
        </w:tc>
        <w:tc>
          <w:tcPr>
            <w:tcW w:w="652" w:type="pct"/>
            <w:vAlign w:val="center"/>
          </w:tcPr>
          <w:p w14:paraId="0A79610F">
            <w:pPr>
              <w:ind w:right="105"/>
              <w:jc w:val="right"/>
              <w:rPr>
                <w:rFonts w:ascii="Arial Narrow" w:hAnsi="Arial Narrow" w:eastAsiaTheme="minorEastAsia"/>
                <w:szCs w:val="21"/>
              </w:rPr>
            </w:pPr>
            <w:r>
              <w:rPr>
                <w:rFonts w:ascii="Arial Narrow" w:hAnsi="Arial Narrow" w:eastAsiaTheme="minorEastAsia"/>
                <w:color w:val="000000"/>
                <w:szCs w:val="21"/>
              </w:rPr>
              <w:t>17,561,064.35</w:t>
            </w:r>
          </w:p>
        </w:tc>
        <w:tc>
          <w:tcPr>
            <w:tcW w:w="652" w:type="pct"/>
            <w:vAlign w:val="center"/>
          </w:tcPr>
          <w:p w14:paraId="6D8D40B5">
            <w:pPr>
              <w:ind w:right="73"/>
              <w:jc w:val="right"/>
              <w:rPr>
                <w:rFonts w:ascii="Arial Narrow" w:hAnsi="Arial Narrow" w:eastAsiaTheme="minorEastAsia"/>
                <w:szCs w:val="21"/>
              </w:rPr>
            </w:pPr>
          </w:p>
        </w:tc>
        <w:tc>
          <w:tcPr>
            <w:tcW w:w="645" w:type="pct"/>
            <w:vAlign w:val="center"/>
          </w:tcPr>
          <w:p w14:paraId="5EF84BCD">
            <w:pPr>
              <w:ind w:right="73"/>
              <w:jc w:val="right"/>
              <w:rPr>
                <w:rFonts w:ascii="Arial Narrow" w:hAnsi="Arial Narrow" w:eastAsiaTheme="minorEastAsia"/>
                <w:szCs w:val="21"/>
              </w:rPr>
            </w:pPr>
            <w:r>
              <w:rPr>
                <w:rFonts w:ascii="Arial Narrow" w:hAnsi="Arial Narrow" w:eastAsiaTheme="minorEastAsia"/>
                <w:color w:val="000000"/>
                <w:szCs w:val="21"/>
              </w:rPr>
              <w:t>17,561,064.35</w:t>
            </w:r>
          </w:p>
        </w:tc>
        <w:tc>
          <w:tcPr>
            <w:tcW w:w="684" w:type="pct"/>
            <w:vAlign w:val="center"/>
          </w:tcPr>
          <w:p w14:paraId="7680CE9C">
            <w:pPr>
              <w:jc w:val="right"/>
              <w:rPr>
                <w:rFonts w:ascii="Arial Narrow" w:hAnsi="Arial Narrow" w:eastAsiaTheme="minorEastAsia"/>
                <w:szCs w:val="21"/>
              </w:rPr>
            </w:pPr>
          </w:p>
        </w:tc>
        <w:tc>
          <w:tcPr>
            <w:tcW w:w="652" w:type="pct"/>
            <w:vAlign w:val="center"/>
          </w:tcPr>
          <w:p w14:paraId="46834064">
            <w:pPr>
              <w:jc w:val="right"/>
              <w:rPr>
                <w:rFonts w:ascii="Arial Narrow" w:hAnsi="Arial Narrow" w:eastAsiaTheme="minorEastAsia"/>
                <w:szCs w:val="21"/>
              </w:rPr>
            </w:pPr>
          </w:p>
        </w:tc>
        <w:tc>
          <w:tcPr>
            <w:tcW w:w="683" w:type="pct"/>
            <w:vAlign w:val="center"/>
          </w:tcPr>
          <w:p w14:paraId="344A10C6">
            <w:pPr>
              <w:jc w:val="right"/>
              <w:rPr>
                <w:rFonts w:ascii="Arial Narrow" w:hAnsi="Arial Narrow" w:eastAsiaTheme="minorEastAsia"/>
                <w:szCs w:val="21"/>
              </w:rPr>
            </w:pPr>
          </w:p>
        </w:tc>
      </w:tr>
      <w:tr w14:paraId="08D8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43579D83">
            <w:pPr>
              <w:rPr>
                <w:rFonts w:ascii="Arial Narrow" w:hAnsi="Arial Narrow" w:eastAsiaTheme="minorEastAsia"/>
                <w:szCs w:val="21"/>
              </w:rPr>
            </w:pPr>
            <w:r>
              <w:rPr>
                <w:rFonts w:ascii="Arial Narrow" w:hAnsi="Arial Narrow" w:eastAsiaTheme="minorEastAsia"/>
                <w:color w:val="000000"/>
                <w:szCs w:val="21"/>
              </w:rPr>
              <w:t>三五零二西服设备</w:t>
            </w:r>
          </w:p>
        </w:tc>
        <w:tc>
          <w:tcPr>
            <w:tcW w:w="652" w:type="pct"/>
            <w:vAlign w:val="center"/>
          </w:tcPr>
          <w:p w14:paraId="13427898">
            <w:pPr>
              <w:ind w:right="105"/>
              <w:jc w:val="right"/>
              <w:rPr>
                <w:rFonts w:ascii="Arial Narrow" w:hAnsi="Arial Narrow" w:eastAsiaTheme="minorEastAsia"/>
                <w:szCs w:val="21"/>
              </w:rPr>
            </w:pPr>
            <w:r>
              <w:rPr>
                <w:rFonts w:ascii="Arial Narrow" w:hAnsi="Arial Narrow" w:eastAsiaTheme="minorEastAsia"/>
                <w:color w:val="000000"/>
                <w:szCs w:val="21"/>
              </w:rPr>
              <w:t>16,395,840.71</w:t>
            </w:r>
          </w:p>
        </w:tc>
        <w:tc>
          <w:tcPr>
            <w:tcW w:w="652" w:type="pct"/>
            <w:vAlign w:val="center"/>
          </w:tcPr>
          <w:p w14:paraId="78191610">
            <w:pPr>
              <w:ind w:right="73"/>
              <w:jc w:val="right"/>
              <w:rPr>
                <w:rFonts w:ascii="Arial Narrow" w:hAnsi="Arial Narrow" w:eastAsiaTheme="minorEastAsia"/>
                <w:szCs w:val="21"/>
              </w:rPr>
            </w:pPr>
          </w:p>
        </w:tc>
        <w:tc>
          <w:tcPr>
            <w:tcW w:w="645" w:type="pct"/>
            <w:vAlign w:val="center"/>
          </w:tcPr>
          <w:p w14:paraId="75706283">
            <w:pPr>
              <w:ind w:right="73"/>
              <w:jc w:val="right"/>
              <w:rPr>
                <w:rFonts w:ascii="Arial Narrow" w:hAnsi="Arial Narrow" w:eastAsiaTheme="minorEastAsia"/>
                <w:szCs w:val="21"/>
              </w:rPr>
            </w:pPr>
            <w:r>
              <w:rPr>
                <w:rFonts w:ascii="Arial Narrow" w:hAnsi="Arial Narrow" w:eastAsiaTheme="minorEastAsia"/>
                <w:color w:val="000000"/>
                <w:szCs w:val="21"/>
              </w:rPr>
              <w:t>16,395,840.71</w:t>
            </w:r>
          </w:p>
        </w:tc>
        <w:tc>
          <w:tcPr>
            <w:tcW w:w="684" w:type="pct"/>
            <w:vAlign w:val="center"/>
          </w:tcPr>
          <w:p w14:paraId="738041C9">
            <w:pPr>
              <w:jc w:val="right"/>
              <w:rPr>
                <w:rFonts w:ascii="Arial Narrow" w:hAnsi="Arial Narrow" w:eastAsiaTheme="minorEastAsia"/>
                <w:szCs w:val="21"/>
              </w:rPr>
            </w:pPr>
          </w:p>
        </w:tc>
        <w:tc>
          <w:tcPr>
            <w:tcW w:w="652" w:type="pct"/>
            <w:vAlign w:val="center"/>
          </w:tcPr>
          <w:p w14:paraId="1A68A226">
            <w:pPr>
              <w:jc w:val="right"/>
              <w:rPr>
                <w:rFonts w:ascii="Arial Narrow" w:hAnsi="Arial Narrow" w:eastAsiaTheme="minorEastAsia"/>
                <w:szCs w:val="21"/>
              </w:rPr>
            </w:pPr>
          </w:p>
        </w:tc>
        <w:tc>
          <w:tcPr>
            <w:tcW w:w="683" w:type="pct"/>
            <w:vAlign w:val="center"/>
          </w:tcPr>
          <w:p w14:paraId="3B215576">
            <w:pPr>
              <w:jc w:val="right"/>
              <w:rPr>
                <w:rFonts w:ascii="Arial Narrow" w:hAnsi="Arial Narrow" w:eastAsiaTheme="minorEastAsia"/>
                <w:szCs w:val="21"/>
              </w:rPr>
            </w:pPr>
          </w:p>
        </w:tc>
      </w:tr>
      <w:tr w14:paraId="1D13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62C6FA88">
            <w:pPr>
              <w:rPr>
                <w:rFonts w:ascii="Arial Narrow" w:hAnsi="Arial Narrow" w:eastAsiaTheme="minorEastAsia"/>
                <w:szCs w:val="21"/>
              </w:rPr>
            </w:pPr>
            <w:r>
              <w:rPr>
                <w:rFonts w:ascii="Arial Narrow" w:hAnsi="Arial Narrow" w:eastAsiaTheme="minorEastAsia"/>
                <w:color w:val="000000"/>
                <w:szCs w:val="21"/>
              </w:rPr>
              <w:t>际华三五一四制革制鞋SWYS030鞋靴生产集约化智能化项目</w:t>
            </w:r>
          </w:p>
        </w:tc>
        <w:tc>
          <w:tcPr>
            <w:tcW w:w="652" w:type="pct"/>
            <w:vAlign w:val="center"/>
          </w:tcPr>
          <w:p w14:paraId="06862EE4">
            <w:pPr>
              <w:ind w:right="105"/>
              <w:jc w:val="right"/>
              <w:rPr>
                <w:rFonts w:ascii="Arial Narrow" w:hAnsi="Arial Narrow" w:eastAsiaTheme="minorEastAsia"/>
                <w:szCs w:val="21"/>
              </w:rPr>
            </w:pPr>
            <w:r>
              <w:rPr>
                <w:rFonts w:ascii="Arial Narrow" w:hAnsi="Arial Narrow" w:eastAsiaTheme="minorEastAsia"/>
                <w:color w:val="000000"/>
                <w:szCs w:val="21"/>
              </w:rPr>
              <w:t>11,023,008.85</w:t>
            </w:r>
          </w:p>
        </w:tc>
        <w:tc>
          <w:tcPr>
            <w:tcW w:w="652" w:type="pct"/>
            <w:vAlign w:val="center"/>
          </w:tcPr>
          <w:p w14:paraId="64C1A17D">
            <w:pPr>
              <w:ind w:right="73"/>
              <w:jc w:val="right"/>
              <w:rPr>
                <w:rFonts w:ascii="Arial Narrow" w:hAnsi="Arial Narrow" w:eastAsiaTheme="minorEastAsia"/>
                <w:szCs w:val="21"/>
              </w:rPr>
            </w:pPr>
          </w:p>
        </w:tc>
        <w:tc>
          <w:tcPr>
            <w:tcW w:w="645" w:type="pct"/>
            <w:vAlign w:val="center"/>
          </w:tcPr>
          <w:p w14:paraId="735D2F3E">
            <w:pPr>
              <w:ind w:right="73"/>
              <w:jc w:val="right"/>
              <w:rPr>
                <w:rFonts w:ascii="Arial Narrow" w:hAnsi="Arial Narrow" w:eastAsiaTheme="minorEastAsia"/>
                <w:szCs w:val="21"/>
              </w:rPr>
            </w:pPr>
            <w:r>
              <w:rPr>
                <w:rFonts w:ascii="Arial Narrow" w:hAnsi="Arial Narrow" w:eastAsiaTheme="minorEastAsia"/>
                <w:color w:val="000000"/>
                <w:szCs w:val="21"/>
              </w:rPr>
              <w:t>11,023,008.85</w:t>
            </w:r>
          </w:p>
        </w:tc>
        <w:tc>
          <w:tcPr>
            <w:tcW w:w="684" w:type="pct"/>
            <w:vAlign w:val="center"/>
          </w:tcPr>
          <w:p w14:paraId="58EA60DF">
            <w:pPr>
              <w:jc w:val="right"/>
              <w:rPr>
                <w:rFonts w:ascii="Arial Narrow" w:hAnsi="Arial Narrow" w:eastAsiaTheme="minorEastAsia"/>
                <w:szCs w:val="21"/>
              </w:rPr>
            </w:pPr>
          </w:p>
        </w:tc>
        <w:tc>
          <w:tcPr>
            <w:tcW w:w="652" w:type="pct"/>
            <w:vAlign w:val="center"/>
          </w:tcPr>
          <w:p w14:paraId="329334E3">
            <w:pPr>
              <w:jc w:val="right"/>
              <w:rPr>
                <w:rFonts w:ascii="Arial Narrow" w:hAnsi="Arial Narrow" w:eastAsiaTheme="minorEastAsia"/>
                <w:szCs w:val="21"/>
              </w:rPr>
            </w:pPr>
          </w:p>
        </w:tc>
        <w:tc>
          <w:tcPr>
            <w:tcW w:w="683" w:type="pct"/>
            <w:vAlign w:val="center"/>
          </w:tcPr>
          <w:p w14:paraId="5460B531">
            <w:pPr>
              <w:jc w:val="right"/>
              <w:rPr>
                <w:rFonts w:ascii="Arial Narrow" w:hAnsi="Arial Narrow" w:eastAsiaTheme="minorEastAsia"/>
                <w:szCs w:val="21"/>
              </w:rPr>
            </w:pPr>
          </w:p>
        </w:tc>
      </w:tr>
      <w:tr w14:paraId="3DAD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05FE9E8C">
            <w:pPr>
              <w:rPr>
                <w:rFonts w:ascii="Arial Narrow" w:hAnsi="Arial Narrow" w:eastAsiaTheme="minorEastAsia"/>
                <w:szCs w:val="21"/>
              </w:rPr>
            </w:pPr>
            <w:r>
              <w:rPr>
                <w:rFonts w:ascii="Arial Narrow" w:hAnsi="Arial Narrow" w:eastAsiaTheme="minorEastAsia"/>
                <w:color w:val="000000"/>
                <w:szCs w:val="21"/>
              </w:rPr>
              <w:t>三五二一际华玻纤复合滤料生产线</w:t>
            </w:r>
          </w:p>
        </w:tc>
        <w:tc>
          <w:tcPr>
            <w:tcW w:w="652" w:type="pct"/>
            <w:vAlign w:val="center"/>
          </w:tcPr>
          <w:p w14:paraId="141516BC">
            <w:pPr>
              <w:ind w:right="105"/>
              <w:jc w:val="right"/>
              <w:rPr>
                <w:rFonts w:ascii="Arial Narrow" w:hAnsi="Arial Narrow" w:eastAsiaTheme="minorEastAsia"/>
                <w:szCs w:val="21"/>
              </w:rPr>
            </w:pPr>
            <w:r>
              <w:rPr>
                <w:rFonts w:ascii="Arial Narrow" w:hAnsi="Arial Narrow" w:eastAsiaTheme="minorEastAsia"/>
                <w:color w:val="000000"/>
                <w:szCs w:val="21"/>
              </w:rPr>
              <w:t>8,420,086.73</w:t>
            </w:r>
          </w:p>
        </w:tc>
        <w:tc>
          <w:tcPr>
            <w:tcW w:w="652" w:type="pct"/>
            <w:vAlign w:val="center"/>
          </w:tcPr>
          <w:p w14:paraId="0815F4C8">
            <w:pPr>
              <w:ind w:right="73"/>
              <w:jc w:val="right"/>
              <w:rPr>
                <w:rFonts w:ascii="Arial Narrow" w:hAnsi="Arial Narrow" w:eastAsiaTheme="minorEastAsia"/>
                <w:szCs w:val="21"/>
              </w:rPr>
            </w:pPr>
          </w:p>
        </w:tc>
        <w:tc>
          <w:tcPr>
            <w:tcW w:w="645" w:type="pct"/>
            <w:vAlign w:val="center"/>
          </w:tcPr>
          <w:p w14:paraId="4D5C3EE6">
            <w:pPr>
              <w:ind w:right="73"/>
              <w:jc w:val="right"/>
              <w:rPr>
                <w:rFonts w:ascii="Arial Narrow" w:hAnsi="Arial Narrow" w:eastAsiaTheme="minorEastAsia"/>
                <w:szCs w:val="21"/>
              </w:rPr>
            </w:pPr>
            <w:r>
              <w:rPr>
                <w:rFonts w:ascii="Arial Narrow" w:hAnsi="Arial Narrow" w:eastAsiaTheme="minorEastAsia"/>
                <w:color w:val="000000"/>
                <w:szCs w:val="21"/>
              </w:rPr>
              <w:t>8,420,086.73</w:t>
            </w:r>
          </w:p>
        </w:tc>
        <w:tc>
          <w:tcPr>
            <w:tcW w:w="684" w:type="pct"/>
            <w:vAlign w:val="center"/>
          </w:tcPr>
          <w:p w14:paraId="66E5D7C4">
            <w:pPr>
              <w:jc w:val="right"/>
              <w:rPr>
                <w:rFonts w:ascii="Arial Narrow" w:hAnsi="Arial Narrow" w:eastAsiaTheme="minorEastAsia"/>
                <w:szCs w:val="21"/>
              </w:rPr>
            </w:pPr>
          </w:p>
        </w:tc>
        <w:tc>
          <w:tcPr>
            <w:tcW w:w="652" w:type="pct"/>
            <w:vAlign w:val="center"/>
          </w:tcPr>
          <w:p w14:paraId="1A936EB8">
            <w:pPr>
              <w:jc w:val="right"/>
              <w:rPr>
                <w:rFonts w:ascii="Arial Narrow" w:hAnsi="Arial Narrow" w:eastAsiaTheme="minorEastAsia"/>
                <w:szCs w:val="21"/>
              </w:rPr>
            </w:pPr>
          </w:p>
        </w:tc>
        <w:tc>
          <w:tcPr>
            <w:tcW w:w="683" w:type="pct"/>
            <w:vAlign w:val="center"/>
          </w:tcPr>
          <w:p w14:paraId="250B4DA1">
            <w:pPr>
              <w:jc w:val="right"/>
              <w:rPr>
                <w:rFonts w:ascii="Arial Narrow" w:hAnsi="Arial Narrow" w:eastAsiaTheme="minorEastAsia"/>
                <w:szCs w:val="21"/>
              </w:rPr>
            </w:pPr>
          </w:p>
        </w:tc>
      </w:tr>
      <w:tr w14:paraId="1A74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4CE2A8C3">
            <w:pPr>
              <w:rPr>
                <w:rFonts w:ascii="Arial Narrow" w:hAnsi="Arial Narrow" w:eastAsiaTheme="minorEastAsia"/>
                <w:szCs w:val="21"/>
              </w:rPr>
            </w:pPr>
            <w:r>
              <w:rPr>
                <w:rFonts w:ascii="Arial Narrow" w:hAnsi="Arial Narrow" w:eastAsiaTheme="minorEastAsia"/>
                <w:color w:val="000000"/>
                <w:szCs w:val="21"/>
              </w:rPr>
              <w:t>重庆际华目的地中心一期项目工程</w:t>
            </w:r>
          </w:p>
        </w:tc>
        <w:tc>
          <w:tcPr>
            <w:tcW w:w="652" w:type="pct"/>
            <w:vAlign w:val="center"/>
          </w:tcPr>
          <w:p w14:paraId="2E71228C">
            <w:pPr>
              <w:ind w:right="105"/>
              <w:jc w:val="right"/>
              <w:rPr>
                <w:rFonts w:ascii="Arial Narrow" w:hAnsi="Arial Narrow" w:eastAsiaTheme="minorEastAsia"/>
                <w:szCs w:val="21"/>
              </w:rPr>
            </w:pPr>
            <w:r>
              <w:rPr>
                <w:rFonts w:ascii="Arial Narrow" w:hAnsi="Arial Narrow" w:eastAsiaTheme="minorEastAsia"/>
                <w:color w:val="000000"/>
                <w:szCs w:val="21"/>
              </w:rPr>
              <w:t>13,677,460.22</w:t>
            </w:r>
          </w:p>
        </w:tc>
        <w:tc>
          <w:tcPr>
            <w:tcW w:w="652" w:type="pct"/>
            <w:vAlign w:val="center"/>
          </w:tcPr>
          <w:p w14:paraId="4547294E">
            <w:pPr>
              <w:ind w:right="73"/>
              <w:jc w:val="right"/>
              <w:rPr>
                <w:rFonts w:ascii="Arial Narrow" w:hAnsi="Arial Narrow" w:eastAsiaTheme="minorEastAsia"/>
                <w:szCs w:val="21"/>
              </w:rPr>
            </w:pPr>
            <w:r>
              <w:rPr>
                <w:rFonts w:ascii="Arial Narrow" w:hAnsi="Arial Narrow" w:eastAsiaTheme="minorEastAsia"/>
                <w:color w:val="000000"/>
                <w:szCs w:val="21"/>
              </w:rPr>
              <w:t>6,110,602.68</w:t>
            </w:r>
          </w:p>
        </w:tc>
        <w:tc>
          <w:tcPr>
            <w:tcW w:w="645" w:type="pct"/>
            <w:vAlign w:val="center"/>
          </w:tcPr>
          <w:p w14:paraId="56086402">
            <w:pPr>
              <w:ind w:right="73"/>
              <w:jc w:val="right"/>
              <w:rPr>
                <w:rFonts w:ascii="Arial Narrow" w:hAnsi="Arial Narrow" w:eastAsiaTheme="minorEastAsia"/>
                <w:szCs w:val="21"/>
              </w:rPr>
            </w:pPr>
            <w:r>
              <w:rPr>
                <w:rFonts w:ascii="Arial Narrow" w:hAnsi="Arial Narrow" w:eastAsiaTheme="minorEastAsia"/>
                <w:color w:val="000000"/>
                <w:szCs w:val="21"/>
              </w:rPr>
              <w:t>7,566,857.54</w:t>
            </w:r>
          </w:p>
        </w:tc>
        <w:tc>
          <w:tcPr>
            <w:tcW w:w="684" w:type="pct"/>
            <w:vAlign w:val="center"/>
          </w:tcPr>
          <w:p w14:paraId="1AF1964B">
            <w:pPr>
              <w:jc w:val="right"/>
              <w:rPr>
                <w:rFonts w:ascii="Arial Narrow" w:hAnsi="Arial Narrow" w:eastAsiaTheme="minorEastAsia"/>
                <w:szCs w:val="21"/>
              </w:rPr>
            </w:pPr>
            <w:r>
              <w:rPr>
                <w:rFonts w:ascii="Arial Narrow" w:hAnsi="Arial Narrow" w:eastAsiaTheme="minorEastAsia"/>
                <w:color w:val="000000"/>
                <w:szCs w:val="21"/>
              </w:rPr>
              <w:t>14,640,354.73</w:t>
            </w:r>
          </w:p>
        </w:tc>
        <w:tc>
          <w:tcPr>
            <w:tcW w:w="652" w:type="pct"/>
            <w:vAlign w:val="center"/>
          </w:tcPr>
          <w:p w14:paraId="411F6E7F">
            <w:pPr>
              <w:jc w:val="right"/>
              <w:rPr>
                <w:rFonts w:ascii="Arial Narrow" w:hAnsi="Arial Narrow" w:eastAsiaTheme="minorEastAsia"/>
                <w:szCs w:val="21"/>
              </w:rPr>
            </w:pPr>
          </w:p>
        </w:tc>
        <w:tc>
          <w:tcPr>
            <w:tcW w:w="683" w:type="pct"/>
            <w:vAlign w:val="center"/>
          </w:tcPr>
          <w:p w14:paraId="6DDEE144">
            <w:pPr>
              <w:jc w:val="right"/>
              <w:rPr>
                <w:rFonts w:ascii="Arial Narrow" w:hAnsi="Arial Narrow" w:eastAsiaTheme="minorEastAsia"/>
                <w:szCs w:val="21"/>
              </w:rPr>
            </w:pPr>
            <w:r>
              <w:rPr>
                <w:rFonts w:ascii="Arial Narrow" w:hAnsi="Arial Narrow" w:eastAsiaTheme="minorEastAsia"/>
                <w:color w:val="000000"/>
                <w:szCs w:val="21"/>
              </w:rPr>
              <w:t>14,640,354.73</w:t>
            </w:r>
          </w:p>
        </w:tc>
      </w:tr>
      <w:tr w14:paraId="12AC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960CE23">
            <w:pPr>
              <w:rPr>
                <w:rFonts w:ascii="Arial Narrow" w:hAnsi="Arial Narrow" w:eastAsiaTheme="minorEastAsia"/>
                <w:szCs w:val="21"/>
              </w:rPr>
            </w:pPr>
            <w:r>
              <w:rPr>
                <w:rFonts w:ascii="Arial Narrow" w:hAnsi="Arial Narrow" w:eastAsiaTheme="minorEastAsia"/>
                <w:color w:val="000000"/>
                <w:szCs w:val="21"/>
              </w:rPr>
              <w:t>三五二一际华滨江二期项目过渡</w:t>
            </w:r>
          </w:p>
        </w:tc>
        <w:tc>
          <w:tcPr>
            <w:tcW w:w="652" w:type="pct"/>
            <w:vAlign w:val="center"/>
          </w:tcPr>
          <w:p w14:paraId="51D0DE72">
            <w:pPr>
              <w:ind w:right="105"/>
              <w:jc w:val="right"/>
              <w:rPr>
                <w:rFonts w:ascii="Arial Narrow" w:hAnsi="Arial Narrow" w:eastAsiaTheme="minorEastAsia"/>
                <w:szCs w:val="21"/>
              </w:rPr>
            </w:pPr>
            <w:r>
              <w:rPr>
                <w:rFonts w:ascii="Arial Narrow" w:hAnsi="Arial Narrow" w:eastAsiaTheme="minorEastAsia"/>
                <w:color w:val="000000"/>
                <w:szCs w:val="21"/>
              </w:rPr>
              <w:t>4,131,218.21</w:t>
            </w:r>
          </w:p>
        </w:tc>
        <w:tc>
          <w:tcPr>
            <w:tcW w:w="652" w:type="pct"/>
            <w:vAlign w:val="center"/>
          </w:tcPr>
          <w:p w14:paraId="54F28B10">
            <w:pPr>
              <w:ind w:right="73"/>
              <w:jc w:val="right"/>
              <w:rPr>
                <w:rFonts w:ascii="Arial Narrow" w:hAnsi="Arial Narrow" w:eastAsiaTheme="minorEastAsia"/>
                <w:szCs w:val="21"/>
              </w:rPr>
            </w:pPr>
          </w:p>
        </w:tc>
        <w:tc>
          <w:tcPr>
            <w:tcW w:w="645" w:type="pct"/>
            <w:vAlign w:val="center"/>
          </w:tcPr>
          <w:p w14:paraId="77CDC1DF">
            <w:pPr>
              <w:ind w:right="73"/>
              <w:jc w:val="right"/>
              <w:rPr>
                <w:rFonts w:ascii="Arial Narrow" w:hAnsi="Arial Narrow" w:eastAsiaTheme="minorEastAsia"/>
                <w:szCs w:val="21"/>
              </w:rPr>
            </w:pPr>
            <w:r>
              <w:rPr>
                <w:rFonts w:ascii="Arial Narrow" w:hAnsi="Arial Narrow" w:eastAsiaTheme="minorEastAsia"/>
                <w:color w:val="000000"/>
                <w:szCs w:val="21"/>
              </w:rPr>
              <w:t>4,131,218.21</w:t>
            </w:r>
          </w:p>
        </w:tc>
        <w:tc>
          <w:tcPr>
            <w:tcW w:w="684" w:type="pct"/>
            <w:vAlign w:val="center"/>
          </w:tcPr>
          <w:p w14:paraId="2B9378C8">
            <w:pPr>
              <w:jc w:val="right"/>
              <w:rPr>
                <w:rFonts w:ascii="Arial Narrow" w:hAnsi="Arial Narrow" w:eastAsiaTheme="minorEastAsia"/>
                <w:szCs w:val="21"/>
              </w:rPr>
            </w:pPr>
          </w:p>
        </w:tc>
        <w:tc>
          <w:tcPr>
            <w:tcW w:w="652" w:type="pct"/>
            <w:vAlign w:val="center"/>
          </w:tcPr>
          <w:p w14:paraId="538D525E">
            <w:pPr>
              <w:jc w:val="right"/>
              <w:rPr>
                <w:rFonts w:ascii="Arial Narrow" w:hAnsi="Arial Narrow" w:eastAsiaTheme="minorEastAsia"/>
                <w:szCs w:val="21"/>
              </w:rPr>
            </w:pPr>
          </w:p>
        </w:tc>
        <w:tc>
          <w:tcPr>
            <w:tcW w:w="683" w:type="pct"/>
            <w:vAlign w:val="center"/>
          </w:tcPr>
          <w:p w14:paraId="6F9DC573">
            <w:pPr>
              <w:jc w:val="right"/>
              <w:rPr>
                <w:rFonts w:ascii="Arial Narrow" w:hAnsi="Arial Narrow" w:eastAsiaTheme="minorEastAsia"/>
                <w:szCs w:val="21"/>
              </w:rPr>
            </w:pPr>
          </w:p>
        </w:tc>
      </w:tr>
      <w:tr w14:paraId="204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2FBF4DC">
            <w:pPr>
              <w:rPr>
                <w:rFonts w:ascii="Arial Narrow" w:hAnsi="Arial Narrow" w:eastAsiaTheme="minorEastAsia"/>
                <w:szCs w:val="21"/>
              </w:rPr>
            </w:pPr>
            <w:r>
              <w:rPr>
                <w:rFonts w:ascii="Arial Narrow" w:hAnsi="Arial Narrow" w:eastAsiaTheme="minorEastAsia"/>
                <w:color w:val="000000"/>
                <w:szCs w:val="21"/>
              </w:rPr>
              <w:t>际华三五一三实业有限公司-零购设备</w:t>
            </w:r>
          </w:p>
        </w:tc>
        <w:tc>
          <w:tcPr>
            <w:tcW w:w="652" w:type="pct"/>
            <w:vAlign w:val="center"/>
          </w:tcPr>
          <w:p w14:paraId="06ED7C82">
            <w:pPr>
              <w:ind w:right="105"/>
              <w:jc w:val="right"/>
              <w:rPr>
                <w:rFonts w:ascii="Arial Narrow" w:hAnsi="Arial Narrow" w:eastAsiaTheme="minorEastAsia"/>
                <w:szCs w:val="21"/>
              </w:rPr>
            </w:pPr>
            <w:r>
              <w:rPr>
                <w:rFonts w:ascii="Arial Narrow" w:hAnsi="Arial Narrow" w:eastAsiaTheme="minorEastAsia"/>
                <w:color w:val="000000"/>
                <w:szCs w:val="21"/>
              </w:rPr>
              <w:t>3,843,733.92</w:t>
            </w:r>
          </w:p>
        </w:tc>
        <w:tc>
          <w:tcPr>
            <w:tcW w:w="652" w:type="pct"/>
            <w:vAlign w:val="center"/>
          </w:tcPr>
          <w:p w14:paraId="5FCE3FDF">
            <w:pPr>
              <w:ind w:right="73"/>
              <w:jc w:val="right"/>
              <w:rPr>
                <w:rFonts w:ascii="Arial Narrow" w:hAnsi="Arial Narrow" w:eastAsiaTheme="minorEastAsia"/>
                <w:szCs w:val="21"/>
              </w:rPr>
            </w:pPr>
          </w:p>
        </w:tc>
        <w:tc>
          <w:tcPr>
            <w:tcW w:w="645" w:type="pct"/>
            <w:vAlign w:val="center"/>
          </w:tcPr>
          <w:p w14:paraId="06753425">
            <w:pPr>
              <w:ind w:right="73"/>
              <w:jc w:val="right"/>
              <w:rPr>
                <w:rFonts w:ascii="Arial Narrow" w:hAnsi="Arial Narrow" w:eastAsiaTheme="minorEastAsia"/>
                <w:szCs w:val="21"/>
              </w:rPr>
            </w:pPr>
            <w:r>
              <w:rPr>
                <w:rFonts w:ascii="Arial Narrow" w:hAnsi="Arial Narrow" w:eastAsiaTheme="minorEastAsia"/>
                <w:color w:val="000000"/>
                <w:szCs w:val="21"/>
              </w:rPr>
              <w:t>3,843,733.92</w:t>
            </w:r>
          </w:p>
        </w:tc>
        <w:tc>
          <w:tcPr>
            <w:tcW w:w="684" w:type="pct"/>
            <w:vAlign w:val="center"/>
          </w:tcPr>
          <w:p w14:paraId="595E12A8">
            <w:pPr>
              <w:jc w:val="right"/>
              <w:rPr>
                <w:rFonts w:ascii="Arial Narrow" w:hAnsi="Arial Narrow" w:eastAsiaTheme="minorEastAsia"/>
                <w:szCs w:val="21"/>
              </w:rPr>
            </w:pPr>
            <w:r>
              <w:rPr>
                <w:rFonts w:ascii="Arial Narrow" w:hAnsi="Arial Narrow" w:eastAsiaTheme="minorEastAsia"/>
                <w:color w:val="000000"/>
                <w:szCs w:val="21"/>
              </w:rPr>
              <w:t>1,332,491.80</w:t>
            </w:r>
          </w:p>
        </w:tc>
        <w:tc>
          <w:tcPr>
            <w:tcW w:w="652" w:type="pct"/>
            <w:vAlign w:val="center"/>
          </w:tcPr>
          <w:p w14:paraId="08FE9F1C">
            <w:pPr>
              <w:jc w:val="right"/>
              <w:rPr>
                <w:rFonts w:ascii="Arial Narrow" w:hAnsi="Arial Narrow" w:eastAsiaTheme="minorEastAsia"/>
                <w:szCs w:val="21"/>
              </w:rPr>
            </w:pPr>
          </w:p>
        </w:tc>
        <w:tc>
          <w:tcPr>
            <w:tcW w:w="683" w:type="pct"/>
            <w:vAlign w:val="center"/>
          </w:tcPr>
          <w:p w14:paraId="2B2AB41D">
            <w:pPr>
              <w:jc w:val="right"/>
              <w:rPr>
                <w:rFonts w:ascii="Arial Narrow" w:hAnsi="Arial Narrow" w:eastAsiaTheme="minorEastAsia"/>
                <w:szCs w:val="21"/>
              </w:rPr>
            </w:pPr>
            <w:r>
              <w:rPr>
                <w:rFonts w:ascii="Arial Narrow" w:hAnsi="Arial Narrow" w:eastAsiaTheme="minorEastAsia"/>
                <w:color w:val="000000"/>
                <w:szCs w:val="21"/>
              </w:rPr>
              <w:t>1,332,491.80</w:t>
            </w:r>
          </w:p>
        </w:tc>
      </w:tr>
      <w:tr w14:paraId="6DDE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D1BFDF3">
            <w:pPr>
              <w:rPr>
                <w:rFonts w:ascii="Arial Narrow" w:hAnsi="Arial Narrow" w:eastAsiaTheme="minorEastAsia"/>
                <w:szCs w:val="21"/>
              </w:rPr>
            </w:pPr>
            <w:r>
              <w:rPr>
                <w:rFonts w:ascii="Arial Narrow" w:hAnsi="Arial Narrow" w:eastAsiaTheme="minorEastAsia"/>
                <w:color w:val="000000"/>
                <w:szCs w:val="21"/>
              </w:rPr>
              <w:t>三五四三自动输送料项目</w:t>
            </w:r>
          </w:p>
        </w:tc>
        <w:tc>
          <w:tcPr>
            <w:tcW w:w="652" w:type="pct"/>
            <w:vAlign w:val="center"/>
          </w:tcPr>
          <w:p w14:paraId="75EA2CD0">
            <w:pPr>
              <w:ind w:right="105"/>
              <w:jc w:val="right"/>
              <w:rPr>
                <w:rFonts w:ascii="Arial Narrow" w:hAnsi="Arial Narrow" w:eastAsiaTheme="minorEastAsia"/>
                <w:szCs w:val="21"/>
              </w:rPr>
            </w:pPr>
            <w:r>
              <w:rPr>
                <w:rFonts w:ascii="Arial Narrow" w:hAnsi="Arial Narrow" w:eastAsiaTheme="minorEastAsia"/>
                <w:color w:val="000000"/>
                <w:szCs w:val="21"/>
              </w:rPr>
              <w:t>3,577,557.32</w:t>
            </w:r>
          </w:p>
        </w:tc>
        <w:tc>
          <w:tcPr>
            <w:tcW w:w="652" w:type="pct"/>
            <w:vAlign w:val="center"/>
          </w:tcPr>
          <w:p w14:paraId="33C62A17">
            <w:pPr>
              <w:ind w:right="73"/>
              <w:jc w:val="right"/>
              <w:rPr>
                <w:rFonts w:ascii="Arial Narrow" w:hAnsi="Arial Narrow" w:eastAsiaTheme="minorEastAsia"/>
                <w:szCs w:val="21"/>
              </w:rPr>
            </w:pPr>
          </w:p>
        </w:tc>
        <w:tc>
          <w:tcPr>
            <w:tcW w:w="645" w:type="pct"/>
            <w:vAlign w:val="center"/>
          </w:tcPr>
          <w:p w14:paraId="54497804">
            <w:pPr>
              <w:ind w:right="73"/>
              <w:jc w:val="right"/>
              <w:rPr>
                <w:rFonts w:ascii="Arial Narrow" w:hAnsi="Arial Narrow" w:eastAsiaTheme="minorEastAsia"/>
                <w:szCs w:val="21"/>
              </w:rPr>
            </w:pPr>
            <w:r>
              <w:rPr>
                <w:rFonts w:ascii="Arial Narrow" w:hAnsi="Arial Narrow" w:eastAsiaTheme="minorEastAsia"/>
                <w:color w:val="000000"/>
                <w:szCs w:val="21"/>
              </w:rPr>
              <w:t>3,577,557.32</w:t>
            </w:r>
          </w:p>
        </w:tc>
        <w:tc>
          <w:tcPr>
            <w:tcW w:w="684" w:type="pct"/>
            <w:vAlign w:val="center"/>
          </w:tcPr>
          <w:p w14:paraId="218E0C1E">
            <w:pPr>
              <w:jc w:val="right"/>
              <w:rPr>
                <w:rFonts w:ascii="Arial Narrow" w:hAnsi="Arial Narrow" w:eastAsiaTheme="minorEastAsia"/>
                <w:szCs w:val="21"/>
              </w:rPr>
            </w:pPr>
          </w:p>
        </w:tc>
        <w:tc>
          <w:tcPr>
            <w:tcW w:w="652" w:type="pct"/>
            <w:vAlign w:val="center"/>
          </w:tcPr>
          <w:p w14:paraId="6173AC7E">
            <w:pPr>
              <w:jc w:val="right"/>
              <w:rPr>
                <w:rFonts w:ascii="Arial Narrow" w:hAnsi="Arial Narrow" w:eastAsiaTheme="minorEastAsia"/>
                <w:szCs w:val="21"/>
              </w:rPr>
            </w:pPr>
          </w:p>
        </w:tc>
        <w:tc>
          <w:tcPr>
            <w:tcW w:w="683" w:type="pct"/>
            <w:vAlign w:val="center"/>
          </w:tcPr>
          <w:p w14:paraId="2DAD568F">
            <w:pPr>
              <w:jc w:val="right"/>
              <w:rPr>
                <w:rFonts w:ascii="Arial Narrow" w:hAnsi="Arial Narrow" w:eastAsiaTheme="minorEastAsia"/>
                <w:szCs w:val="21"/>
              </w:rPr>
            </w:pPr>
          </w:p>
        </w:tc>
      </w:tr>
      <w:tr w14:paraId="522B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5422072D">
            <w:pPr>
              <w:rPr>
                <w:rFonts w:ascii="Arial Narrow" w:hAnsi="Arial Narrow" w:eastAsiaTheme="minorEastAsia"/>
                <w:szCs w:val="21"/>
              </w:rPr>
            </w:pPr>
            <w:r>
              <w:rPr>
                <w:rFonts w:ascii="Arial Narrow" w:hAnsi="Arial Narrow" w:eastAsiaTheme="minorEastAsia"/>
                <w:color w:val="000000"/>
                <w:szCs w:val="21"/>
              </w:rPr>
              <w:t>际华三五一三实业有限公司产线改造升级</w:t>
            </w:r>
          </w:p>
        </w:tc>
        <w:tc>
          <w:tcPr>
            <w:tcW w:w="652" w:type="pct"/>
            <w:vAlign w:val="center"/>
          </w:tcPr>
          <w:p w14:paraId="387A298E">
            <w:pPr>
              <w:ind w:right="105"/>
              <w:jc w:val="right"/>
              <w:rPr>
                <w:rFonts w:ascii="Arial Narrow" w:hAnsi="Arial Narrow" w:eastAsiaTheme="minorEastAsia"/>
                <w:szCs w:val="21"/>
              </w:rPr>
            </w:pPr>
            <w:r>
              <w:rPr>
                <w:rFonts w:ascii="Arial Narrow" w:hAnsi="Arial Narrow" w:eastAsiaTheme="minorEastAsia"/>
                <w:color w:val="000000"/>
                <w:szCs w:val="21"/>
              </w:rPr>
              <w:t>3,172,920.35</w:t>
            </w:r>
          </w:p>
        </w:tc>
        <w:tc>
          <w:tcPr>
            <w:tcW w:w="652" w:type="pct"/>
            <w:vAlign w:val="center"/>
          </w:tcPr>
          <w:p w14:paraId="41990F1E">
            <w:pPr>
              <w:ind w:right="73"/>
              <w:jc w:val="right"/>
              <w:rPr>
                <w:rFonts w:ascii="Arial Narrow" w:hAnsi="Arial Narrow" w:eastAsiaTheme="minorEastAsia"/>
                <w:szCs w:val="21"/>
              </w:rPr>
            </w:pPr>
          </w:p>
        </w:tc>
        <w:tc>
          <w:tcPr>
            <w:tcW w:w="645" w:type="pct"/>
            <w:vAlign w:val="center"/>
          </w:tcPr>
          <w:p w14:paraId="27E5C645">
            <w:pPr>
              <w:ind w:right="73"/>
              <w:jc w:val="right"/>
              <w:rPr>
                <w:rFonts w:ascii="Arial Narrow" w:hAnsi="Arial Narrow" w:eastAsiaTheme="minorEastAsia"/>
                <w:szCs w:val="21"/>
              </w:rPr>
            </w:pPr>
            <w:r>
              <w:rPr>
                <w:rFonts w:ascii="Arial Narrow" w:hAnsi="Arial Narrow" w:eastAsiaTheme="minorEastAsia"/>
                <w:color w:val="000000"/>
                <w:szCs w:val="21"/>
              </w:rPr>
              <w:t>3,172,920.35</w:t>
            </w:r>
          </w:p>
        </w:tc>
        <w:tc>
          <w:tcPr>
            <w:tcW w:w="684" w:type="pct"/>
            <w:vAlign w:val="center"/>
          </w:tcPr>
          <w:p w14:paraId="34F40CC6">
            <w:pPr>
              <w:jc w:val="right"/>
              <w:rPr>
                <w:rFonts w:ascii="Arial Narrow" w:hAnsi="Arial Narrow" w:eastAsiaTheme="minorEastAsia"/>
                <w:szCs w:val="21"/>
              </w:rPr>
            </w:pPr>
          </w:p>
        </w:tc>
        <w:tc>
          <w:tcPr>
            <w:tcW w:w="652" w:type="pct"/>
            <w:vAlign w:val="center"/>
          </w:tcPr>
          <w:p w14:paraId="119ADB41">
            <w:pPr>
              <w:jc w:val="right"/>
              <w:rPr>
                <w:rFonts w:ascii="Arial Narrow" w:hAnsi="Arial Narrow" w:eastAsiaTheme="minorEastAsia"/>
                <w:szCs w:val="21"/>
              </w:rPr>
            </w:pPr>
          </w:p>
        </w:tc>
        <w:tc>
          <w:tcPr>
            <w:tcW w:w="683" w:type="pct"/>
            <w:vAlign w:val="center"/>
          </w:tcPr>
          <w:p w14:paraId="7CD9FF7C">
            <w:pPr>
              <w:jc w:val="right"/>
              <w:rPr>
                <w:rFonts w:ascii="Arial Narrow" w:hAnsi="Arial Narrow" w:eastAsiaTheme="minorEastAsia"/>
                <w:szCs w:val="21"/>
              </w:rPr>
            </w:pPr>
          </w:p>
        </w:tc>
      </w:tr>
      <w:tr w14:paraId="1F1C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1FC67B7E">
            <w:pPr>
              <w:rPr>
                <w:rFonts w:ascii="Arial Narrow" w:hAnsi="Arial Narrow" w:eastAsiaTheme="minorEastAsia"/>
                <w:szCs w:val="21"/>
              </w:rPr>
            </w:pPr>
            <w:r>
              <w:rPr>
                <w:rFonts w:ascii="Arial Narrow" w:hAnsi="Arial Narrow" w:eastAsiaTheme="minorEastAsia"/>
                <w:color w:val="000000"/>
                <w:szCs w:val="21"/>
              </w:rPr>
              <w:t>际华三五三四制衣有限公司空港物流园项目</w:t>
            </w:r>
          </w:p>
        </w:tc>
        <w:tc>
          <w:tcPr>
            <w:tcW w:w="652" w:type="pct"/>
            <w:vAlign w:val="center"/>
          </w:tcPr>
          <w:p w14:paraId="1C7C6299">
            <w:pPr>
              <w:ind w:right="105"/>
              <w:jc w:val="right"/>
              <w:rPr>
                <w:rFonts w:ascii="Arial Narrow" w:hAnsi="Arial Narrow" w:eastAsiaTheme="minorEastAsia"/>
                <w:szCs w:val="21"/>
              </w:rPr>
            </w:pPr>
            <w:r>
              <w:rPr>
                <w:rFonts w:ascii="Arial Narrow" w:hAnsi="Arial Narrow" w:eastAsiaTheme="minorEastAsia"/>
                <w:color w:val="000000"/>
                <w:szCs w:val="21"/>
              </w:rPr>
              <w:t>2,723,001.20</w:t>
            </w:r>
          </w:p>
        </w:tc>
        <w:tc>
          <w:tcPr>
            <w:tcW w:w="652" w:type="pct"/>
            <w:vAlign w:val="center"/>
          </w:tcPr>
          <w:p w14:paraId="6ADF488B">
            <w:pPr>
              <w:ind w:right="73"/>
              <w:jc w:val="right"/>
              <w:rPr>
                <w:rFonts w:ascii="Arial Narrow" w:hAnsi="Arial Narrow" w:eastAsiaTheme="minorEastAsia"/>
                <w:szCs w:val="21"/>
              </w:rPr>
            </w:pPr>
          </w:p>
        </w:tc>
        <w:tc>
          <w:tcPr>
            <w:tcW w:w="645" w:type="pct"/>
            <w:vAlign w:val="center"/>
          </w:tcPr>
          <w:p w14:paraId="12EEE8D8">
            <w:pPr>
              <w:ind w:right="73"/>
              <w:jc w:val="right"/>
              <w:rPr>
                <w:rFonts w:ascii="Arial Narrow" w:hAnsi="Arial Narrow" w:eastAsiaTheme="minorEastAsia"/>
                <w:szCs w:val="21"/>
              </w:rPr>
            </w:pPr>
            <w:r>
              <w:rPr>
                <w:rFonts w:ascii="Arial Narrow" w:hAnsi="Arial Narrow" w:eastAsiaTheme="minorEastAsia"/>
                <w:color w:val="000000"/>
                <w:szCs w:val="21"/>
              </w:rPr>
              <w:t>2,723,001.20</w:t>
            </w:r>
          </w:p>
        </w:tc>
        <w:tc>
          <w:tcPr>
            <w:tcW w:w="684" w:type="pct"/>
            <w:vAlign w:val="center"/>
          </w:tcPr>
          <w:p w14:paraId="7267731E">
            <w:pPr>
              <w:jc w:val="right"/>
              <w:rPr>
                <w:rFonts w:ascii="Arial Narrow" w:hAnsi="Arial Narrow" w:eastAsiaTheme="minorEastAsia"/>
                <w:szCs w:val="21"/>
              </w:rPr>
            </w:pPr>
            <w:r>
              <w:rPr>
                <w:rFonts w:ascii="Arial Narrow" w:hAnsi="Arial Narrow" w:eastAsiaTheme="minorEastAsia"/>
                <w:color w:val="000000"/>
                <w:szCs w:val="21"/>
              </w:rPr>
              <w:t>2,340,452.39</w:t>
            </w:r>
          </w:p>
        </w:tc>
        <w:tc>
          <w:tcPr>
            <w:tcW w:w="652" w:type="pct"/>
            <w:vAlign w:val="center"/>
          </w:tcPr>
          <w:p w14:paraId="05B83F23">
            <w:pPr>
              <w:jc w:val="right"/>
              <w:rPr>
                <w:rFonts w:ascii="Arial Narrow" w:hAnsi="Arial Narrow" w:eastAsiaTheme="minorEastAsia"/>
                <w:szCs w:val="21"/>
              </w:rPr>
            </w:pPr>
          </w:p>
        </w:tc>
        <w:tc>
          <w:tcPr>
            <w:tcW w:w="683" w:type="pct"/>
            <w:vAlign w:val="center"/>
          </w:tcPr>
          <w:p w14:paraId="085AD14C">
            <w:pPr>
              <w:jc w:val="right"/>
              <w:rPr>
                <w:rFonts w:ascii="Arial Narrow" w:hAnsi="Arial Narrow" w:eastAsiaTheme="minorEastAsia"/>
                <w:szCs w:val="21"/>
              </w:rPr>
            </w:pPr>
            <w:r>
              <w:rPr>
                <w:rFonts w:ascii="Arial Narrow" w:hAnsi="Arial Narrow" w:eastAsiaTheme="minorEastAsia"/>
                <w:color w:val="000000"/>
                <w:szCs w:val="21"/>
              </w:rPr>
              <w:t>2,340,452.39</w:t>
            </w:r>
          </w:p>
        </w:tc>
      </w:tr>
      <w:tr w14:paraId="0AB8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54EE6D8F">
            <w:pPr>
              <w:rPr>
                <w:rFonts w:ascii="Arial Narrow" w:hAnsi="Arial Narrow" w:eastAsiaTheme="minorEastAsia"/>
                <w:szCs w:val="21"/>
              </w:rPr>
            </w:pPr>
            <w:r>
              <w:rPr>
                <w:rFonts w:ascii="Arial Narrow" w:hAnsi="Arial Narrow" w:eastAsiaTheme="minorEastAsia"/>
                <w:color w:val="000000"/>
                <w:szCs w:val="21"/>
              </w:rPr>
              <w:t>际华三五三六实业有限公司功能性工装智能生产线改造项目</w:t>
            </w:r>
          </w:p>
        </w:tc>
        <w:tc>
          <w:tcPr>
            <w:tcW w:w="652" w:type="pct"/>
            <w:vAlign w:val="center"/>
          </w:tcPr>
          <w:p w14:paraId="59EDE668">
            <w:pPr>
              <w:ind w:right="105"/>
              <w:jc w:val="right"/>
              <w:rPr>
                <w:rFonts w:ascii="Arial Narrow" w:hAnsi="Arial Narrow" w:eastAsiaTheme="minorEastAsia"/>
                <w:szCs w:val="21"/>
              </w:rPr>
            </w:pPr>
            <w:r>
              <w:rPr>
                <w:rFonts w:ascii="Arial Narrow" w:hAnsi="Arial Narrow" w:eastAsiaTheme="minorEastAsia"/>
                <w:color w:val="000000"/>
                <w:szCs w:val="21"/>
              </w:rPr>
              <w:t>2,682,142.05</w:t>
            </w:r>
          </w:p>
        </w:tc>
        <w:tc>
          <w:tcPr>
            <w:tcW w:w="652" w:type="pct"/>
            <w:vAlign w:val="center"/>
          </w:tcPr>
          <w:p w14:paraId="16AD0D5C">
            <w:pPr>
              <w:ind w:right="73"/>
              <w:jc w:val="right"/>
              <w:rPr>
                <w:rFonts w:ascii="Arial Narrow" w:hAnsi="Arial Narrow" w:eastAsiaTheme="minorEastAsia"/>
                <w:szCs w:val="21"/>
              </w:rPr>
            </w:pPr>
          </w:p>
        </w:tc>
        <w:tc>
          <w:tcPr>
            <w:tcW w:w="645" w:type="pct"/>
            <w:vAlign w:val="center"/>
          </w:tcPr>
          <w:p w14:paraId="07E63347">
            <w:pPr>
              <w:ind w:right="73"/>
              <w:jc w:val="right"/>
              <w:rPr>
                <w:rFonts w:ascii="Arial Narrow" w:hAnsi="Arial Narrow" w:eastAsiaTheme="minorEastAsia"/>
                <w:szCs w:val="21"/>
              </w:rPr>
            </w:pPr>
            <w:r>
              <w:rPr>
                <w:rFonts w:ascii="Arial Narrow" w:hAnsi="Arial Narrow" w:eastAsiaTheme="minorEastAsia"/>
                <w:color w:val="000000"/>
                <w:szCs w:val="21"/>
              </w:rPr>
              <w:t>2,682,142.05</w:t>
            </w:r>
          </w:p>
        </w:tc>
        <w:tc>
          <w:tcPr>
            <w:tcW w:w="684" w:type="pct"/>
            <w:vAlign w:val="center"/>
          </w:tcPr>
          <w:p w14:paraId="2549EEC1">
            <w:pPr>
              <w:jc w:val="right"/>
              <w:rPr>
                <w:rFonts w:ascii="Arial Narrow" w:hAnsi="Arial Narrow" w:eastAsiaTheme="minorEastAsia"/>
                <w:szCs w:val="21"/>
              </w:rPr>
            </w:pPr>
          </w:p>
        </w:tc>
        <w:tc>
          <w:tcPr>
            <w:tcW w:w="652" w:type="pct"/>
            <w:vAlign w:val="center"/>
          </w:tcPr>
          <w:p w14:paraId="2059324A">
            <w:pPr>
              <w:jc w:val="right"/>
              <w:rPr>
                <w:rFonts w:ascii="Arial Narrow" w:hAnsi="Arial Narrow" w:eastAsiaTheme="minorEastAsia"/>
                <w:szCs w:val="21"/>
              </w:rPr>
            </w:pPr>
          </w:p>
        </w:tc>
        <w:tc>
          <w:tcPr>
            <w:tcW w:w="683" w:type="pct"/>
            <w:vAlign w:val="center"/>
          </w:tcPr>
          <w:p w14:paraId="18EB0200">
            <w:pPr>
              <w:jc w:val="right"/>
              <w:rPr>
                <w:rFonts w:ascii="Arial Narrow" w:hAnsi="Arial Narrow" w:eastAsiaTheme="minorEastAsia"/>
                <w:szCs w:val="21"/>
              </w:rPr>
            </w:pPr>
          </w:p>
        </w:tc>
      </w:tr>
      <w:tr w14:paraId="699D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4BB89176">
            <w:pPr>
              <w:rPr>
                <w:rFonts w:ascii="Arial Narrow" w:hAnsi="Arial Narrow" w:eastAsiaTheme="minorEastAsia"/>
                <w:szCs w:val="21"/>
              </w:rPr>
            </w:pPr>
            <w:r>
              <w:rPr>
                <w:rFonts w:ascii="Arial Narrow" w:hAnsi="Arial Narrow" w:eastAsiaTheme="minorEastAsia"/>
                <w:color w:val="000000"/>
                <w:szCs w:val="21"/>
              </w:rPr>
              <w:t>湖北际华针织有限公司消防系统/整改工程</w:t>
            </w:r>
          </w:p>
        </w:tc>
        <w:tc>
          <w:tcPr>
            <w:tcW w:w="652" w:type="pct"/>
            <w:vAlign w:val="center"/>
          </w:tcPr>
          <w:p w14:paraId="02B13423">
            <w:pPr>
              <w:ind w:right="105"/>
              <w:jc w:val="right"/>
              <w:rPr>
                <w:rFonts w:ascii="Arial Narrow" w:hAnsi="Arial Narrow" w:eastAsiaTheme="minorEastAsia"/>
                <w:szCs w:val="21"/>
              </w:rPr>
            </w:pPr>
            <w:r>
              <w:rPr>
                <w:rFonts w:ascii="Arial Narrow" w:hAnsi="Arial Narrow" w:eastAsiaTheme="minorEastAsia"/>
                <w:color w:val="000000"/>
                <w:szCs w:val="21"/>
              </w:rPr>
              <w:t>2,207,265.54</w:t>
            </w:r>
          </w:p>
        </w:tc>
        <w:tc>
          <w:tcPr>
            <w:tcW w:w="652" w:type="pct"/>
            <w:vAlign w:val="center"/>
          </w:tcPr>
          <w:p w14:paraId="6329D524">
            <w:pPr>
              <w:ind w:right="73"/>
              <w:jc w:val="right"/>
              <w:rPr>
                <w:rFonts w:ascii="Arial Narrow" w:hAnsi="Arial Narrow" w:eastAsiaTheme="minorEastAsia"/>
                <w:szCs w:val="21"/>
              </w:rPr>
            </w:pPr>
          </w:p>
        </w:tc>
        <w:tc>
          <w:tcPr>
            <w:tcW w:w="645" w:type="pct"/>
            <w:vAlign w:val="center"/>
          </w:tcPr>
          <w:p w14:paraId="56E2A949">
            <w:pPr>
              <w:ind w:right="73"/>
              <w:jc w:val="right"/>
              <w:rPr>
                <w:rFonts w:ascii="Arial Narrow" w:hAnsi="Arial Narrow" w:eastAsiaTheme="minorEastAsia"/>
                <w:szCs w:val="21"/>
              </w:rPr>
            </w:pPr>
            <w:r>
              <w:rPr>
                <w:rFonts w:ascii="Arial Narrow" w:hAnsi="Arial Narrow" w:eastAsiaTheme="minorEastAsia"/>
                <w:color w:val="000000"/>
                <w:szCs w:val="21"/>
              </w:rPr>
              <w:t>2,207,265.54</w:t>
            </w:r>
          </w:p>
        </w:tc>
        <w:tc>
          <w:tcPr>
            <w:tcW w:w="684" w:type="pct"/>
            <w:vAlign w:val="center"/>
          </w:tcPr>
          <w:p w14:paraId="508532E1">
            <w:pPr>
              <w:jc w:val="right"/>
              <w:rPr>
                <w:rFonts w:ascii="Arial Narrow" w:hAnsi="Arial Narrow" w:eastAsiaTheme="minorEastAsia"/>
                <w:szCs w:val="21"/>
              </w:rPr>
            </w:pPr>
          </w:p>
        </w:tc>
        <w:tc>
          <w:tcPr>
            <w:tcW w:w="652" w:type="pct"/>
            <w:vAlign w:val="center"/>
          </w:tcPr>
          <w:p w14:paraId="20FDC805">
            <w:pPr>
              <w:jc w:val="right"/>
              <w:rPr>
                <w:rFonts w:ascii="Arial Narrow" w:hAnsi="Arial Narrow" w:eastAsiaTheme="minorEastAsia"/>
                <w:szCs w:val="21"/>
              </w:rPr>
            </w:pPr>
          </w:p>
        </w:tc>
        <w:tc>
          <w:tcPr>
            <w:tcW w:w="683" w:type="pct"/>
            <w:vAlign w:val="center"/>
          </w:tcPr>
          <w:p w14:paraId="42EF18F8">
            <w:pPr>
              <w:jc w:val="right"/>
              <w:rPr>
                <w:rFonts w:ascii="Arial Narrow" w:hAnsi="Arial Narrow" w:eastAsiaTheme="minorEastAsia"/>
                <w:szCs w:val="21"/>
              </w:rPr>
            </w:pPr>
          </w:p>
        </w:tc>
      </w:tr>
      <w:tr w14:paraId="37D1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213D614">
            <w:pPr>
              <w:rPr>
                <w:rFonts w:ascii="Arial Narrow" w:hAnsi="Arial Narrow" w:eastAsiaTheme="minorEastAsia"/>
                <w:szCs w:val="21"/>
              </w:rPr>
            </w:pPr>
            <w:r>
              <w:rPr>
                <w:rFonts w:ascii="Arial Narrow" w:hAnsi="Arial Narrow" w:eastAsiaTheme="minorEastAsia"/>
                <w:color w:val="000000"/>
                <w:szCs w:val="21"/>
              </w:rPr>
              <w:t>三五四三电脑商标机</w:t>
            </w:r>
          </w:p>
        </w:tc>
        <w:tc>
          <w:tcPr>
            <w:tcW w:w="652" w:type="pct"/>
            <w:vAlign w:val="center"/>
          </w:tcPr>
          <w:p w14:paraId="3E089CBA">
            <w:pPr>
              <w:ind w:right="105"/>
              <w:jc w:val="right"/>
              <w:rPr>
                <w:rFonts w:ascii="Arial Narrow" w:hAnsi="Arial Narrow" w:eastAsiaTheme="minorEastAsia"/>
                <w:szCs w:val="21"/>
              </w:rPr>
            </w:pPr>
            <w:r>
              <w:rPr>
                <w:rFonts w:ascii="Arial Narrow" w:hAnsi="Arial Narrow" w:eastAsiaTheme="minorEastAsia"/>
                <w:color w:val="000000"/>
                <w:szCs w:val="21"/>
              </w:rPr>
              <w:t>1,732,743.36</w:t>
            </w:r>
          </w:p>
        </w:tc>
        <w:tc>
          <w:tcPr>
            <w:tcW w:w="652" w:type="pct"/>
            <w:vAlign w:val="center"/>
          </w:tcPr>
          <w:p w14:paraId="6B714EC7">
            <w:pPr>
              <w:ind w:right="73"/>
              <w:jc w:val="right"/>
              <w:rPr>
                <w:rFonts w:ascii="Arial Narrow" w:hAnsi="Arial Narrow" w:eastAsiaTheme="minorEastAsia"/>
                <w:szCs w:val="21"/>
              </w:rPr>
            </w:pPr>
          </w:p>
        </w:tc>
        <w:tc>
          <w:tcPr>
            <w:tcW w:w="645" w:type="pct"/>
            <w:vAlign w:val="center"/>
          </w:tcPr>
          <w:p w14:paraId="74E825DF">
            <w:pPr>
              <w:ind w:right="73"/>
              <w:jc w:val="right"/>
              <w:rPr>
                <w:rFonts w:ascii="Arial Narrow" w:hAnsi="Arial Narrow" w:eastAsiaTheme="minorEastAsia"/>
                <w:szCs w:val="21"/>
              </w:rPr>
            </w:pPr>
            <w:r>
              <w:rPr>
                <w:rFonts w:ascii="Arial Narrow" w:hAnsi="Arial Narrow" w:eastAsiaTheme="minorEastAsia"/>
                <w:color w:val="000000"/>
                <w:szCs w:val="21"/>
              </w:rPr>
              <w:t>1,732,743.36</w:t>
            </w:r>
          </w:p>
        </w:tc>
        <w:tc>
          <w:tcPr>
            <w:tcW w:w="684" w:type="pct"/>
            <w:vAlign w:val="center"/>
          </w:tcPr>
          <w:p w14:paraId="0901C657">
            <w:pPr>
              <w:jc w:val="right"/>
              <w:rPr>
                <w:rFonts w:ascii="Arial Narrow" w:hAnsi="Arial Narrow" w:eastAsiaTheme="minorEastAsia"/>
                <w:szCs w:val="21"/>
              </w:rPr>
            </w:pPr>
          </w:p>
        </w:tc>
        <w:tc>
          <w:tcPr>
            <w:tcW w:w="652" w:type="pct"/>
            <w:vAlign w:val="center"/>
          </w:tcPr>
          <w:p w14:paraId="2422A17E">
            <w:pPr>
              <w:jc w:val="right"/>
              <w:rPr>
                <w:rFonts w:ascii="Arial Narrow" w:hAnsi="Arial Narrow" w:eastAsiaTheme="minorEastAsia"/>
                <w:szCs w:val="21"/>
              </w:rPr>
            </w:pPr>
          </w:p>
        </w:tc>
        <w:tc>
          <w:tcPr>
            <w:tcW w:w="683" w:type="pct"/>
            <w:vAlign w:val="center"/>
          </w:tcPr>
          <w:p w14:paraId="5F9A26DA">
            <w:pPr>
              <w:jc w:val="right"/>
              <w:rPr>
                <w:rFonts w:ascii="Arial Narrow" w:hAnsi="Arial Narrow" w:eastAsiaTheme="minorEastAsia"/>
                <w:szCs w:val="21"/>
              </w:rPr>
            </w:pPr>
          </w:p>
        </w:tc>
      </w:tr>
      <w:tr w14:paraId="23D7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715313B2">
            <w:pPr>
              <w:rPr>
                <w:rFonts w:ascii="Arial Narrow" w:hAnsi="Arial Narrow" w:eastAsiaTheme="minorEastAsia"/>
                <w:szCs w:val="21"/>
              </w:rPr>
            </w:pPr>
            <w:r>
              <w:rPr>
                <w:rFonts w:ascii="Arial Narrow" w:hAnsi="Arial Narrow" w:eastAsiaTheme="minorEastAsia"/>
                <w:color w:val="000000"/>
                <w:szCs w:val="21"/>
              </w:rPr>
              <w:t>际华三五三四制衣有限公司消防工程改造（6-9、公寓大楼5-12）</w:t>
            </w:r>
          </w:p>
        </w:tc>
        <w:tc>
          <w:tcPr>
            <w:tcW w:w="652" w:type="pct"/>
            <w:vAlign w:val="center"/>
          </w:tcPr>
          <w:p w14:paraId="1B277FCA">
            <w:pPr>
              <w:ind w:right="105"/>
              <w:jc w:val="right"/>
              <w:rPr>
                <w:rFonts w:ascii="Arial Narrow" w:hAnsi="Arial Narrow" w:eastAsiaTheme="minorEastAsia"/>
                <w:szCs w:val="21"/>
              </w:rPr>
            </w:pPr>
            <w:r>
              <w:rPr>
                <w:rFonts w:ascii="Arial Narrow" w:hAnsi="Arial Narrow" w:eastAsiaTheme="minorEastAsia"/>
                <w:color w:val="000000"/>
                <w:szCs w:val="21"/>
              </w:rPr>
              <w:t>1,053,211.01</w:t>
            </w:r>
          </w:p>
        </w:tc>
        <w:tc>
          <w:tcPr>
            <w:tcW w:w="652" w:type="pct"/>
            <w:vAlign w:val="center"/>
          </w:tcPr>
          <w:p w14:paraId="555E200E">
            <w:pPr>
              <w:ind w:right="73"/>
              <w:jc w:val="right"/>
              <w:rPr>
                <w:rFonts w:ascii="Arial Narrow" w:hAnsi="Arial Narrow" w:eastAsiaTheme="minorEastAsia"/>
                <w:szCs w:val="21"/>
              </w:rPr>
            </w:pPr>
          </w:p>
        </w:tc>
        <w:tc>
          <w:tcPr>
            <w:tcW w:w="645" w:type="pct"/>
            <w:vAlign w:val="center"/>
          </w:tcPr>
          <w:p w14:paraId="1700915B">
            <w:pPr>
              <w:ind w:right="73"/>
              <w:jc w:val="right"/>
              <w:rPr>
                <w:rFonts w:ascii="Arial Narrow" w:hAnsi="Arial Narrow" w:eastAsiaTheme="minorEastAsia"/>
                <w:szCs w:val="21"/>
              </w:rPr>
            </w:pPr>
            <w:r>
              <w:rPr>
                <w:rFonts w:ascii="Arial Narrow" w:hAnsi="Arial Narrow" w:eastAsiaTheme="minorEastAsia"/>
                <w:color w:val="000000"/>
                <w:szCs w:val="21"/>
              </w:rPr>
              <w:t>1,053,211.01</w:t>
            </w:r>
          </w:p>
        </w:tc>
        <w:tc>
          <w:tcPr>
            <w:tcW w:w="684" w:type="pct"/>
            <w:vAlign w:val="center"/>
          </w:tcPr>
          <w:p w14:paraId="0BD5027D">
            <w:pPr>
              <w:jc w:val="right"/>
              <w:rPr>
                <w:rFonts w:ascii="Arial Narrow" w:hAnsi="Arial Narrow" w:eastAsiaTheme="minorEastAsia"/>
                <w:szCs w:val="21"/>
              </w:rPr>
            </w:pPr>
          </w:p>
        </w:tc>
        <w:tc>
          <w:tcPr>
            <w:tcW w:w="652" w:type="pct"/>
            <w:vAlign w:val="center"/>
          </w:tcPr>
          <w:p w14:paraId="05CD3241">
            <w:pPr>
              <w:jc w:val="right"/>
              <w:rPr>
                <w:rFonts w:ascii="Arial Narrow" w:hAnsi="Arial Narrow" w:eastAsiaTheme="minorEastAsia"/>
                <w:szCs w:val="21"/>
              </w:rPr>
            </w:pPr>
          </w:p>
        </w:tc>
        <w:tc>
          <w:tcPr>
            <w:tcW w:w="683" w:type="pct"/>
            <w:vAlign w:val="center"/>
          </w:tcPr>
          <w:p w14:paraId="2C0DADF9">
            <w:pPr>
              <w:jc w:val="right"/>
              <w:rPr>
                <w:rFonts w:ascii="Arial Narrow" w:hAnsi="Arial Narrow" w:eastAsiaTheme="minorEastAsia"/>
                <w:szCs w:val="21"/>
              </w:rPr>
            </w:pPr>
          </w:p>
        </w:tc>
      </w:tr>
      <w:tr w14:paraId="3C17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6CC0A1E">
            <w:pPr>
              <w:rPr>
                <w:rFonts w:ascii="Arial Narrow" w:hAnsi="Arial Narrow" w:eastAsiaTheme="minorEastAsia"/>
                <w:szCs w:val="21"/>
              </w:rPr>
            </w:pPr>
            <w:r>
              <w:rPr>
                <w:rFonts w:ascii="Arial Narrow" w:hAnsi="Arial Narrow" w:eastAsiaTheme="minorEastAsia"/>
                <w:color w:val="000000"/>
                <w:szCs w:val="21"/>
              </w:rPr>
              <w:t>新疆华锦生态纺织印染项目</w:t>
            </w:r>
          </w:p>
        </w:tc>
        <w:tc>
          <w:tcPr>
            <w:tcW w:w="652" w:type="pct"/>
            <w:vAlign w:val="center"/>
          </w:tcPr>
          <w:p w14:paraId="4CACFC16">
            <w:pPr>
              <w:ind w:right="105"/>
              <w:jc w:val="right"/>
              <w:rPr>
                <w:rFonts w:ascii="Arial Narrow" w:hAnsi="Arial Narrow" w:eastAsiaTheme="minorEastAsia"/>
                <w:szCs w:val="21"/>
              </w:rPr>
            </w:pPr>
            <w:r>
              <w:rPr>
                <w:rFonts w:ascii="Arial Narrow" w:hAnsi="Arial Narrow" w:eastAsiaTheme="minorEastAsia"/>
                <w:color w:val="000000"/>
                <w:szCs w:val="21"/>
              </w:rPr>
              <w:t>1,037,622.23</w:t>
            </w:r>
          </w:p>
        </w:tc>
        <w:tc>
          <w:tcPr>
            <w:tcW w:w="652" w:type="pct"/>
            <w:vAlign w:val="center"/>
          </w:tcPr>
          <w:p w14:paraId="234FB402">
            <w:pPr>
              <w:ind w:right="73"/>
              <w:jc w:val="right"/>
              <w:rPr>
                <w:rFonts w:ascii="Arial Narrow" w:hAnsi="Arial Narrow" w:eastAsiaTheme="minorEastAsia"/>
                <w:szCs w:val="21"/>
              </w:rPr>
            </w:pPr>
          </w:p>
        </w:tc>
        <w:tc>
          <w:tcPr>
            <w:tcW w:w="645" w:type="pct"/>
            <w:vAlign w:val="center"/>
          </w:tcPr>
          <w:p w14:paraId="43B9664D">
            <w:pPr>
              <w:ind w:right="73"/>
              <w:jc w:val="right"/>
              <w:rPr>
                <w:rFonts w:ascii="Arial Narrow" w:hAnsi="Arial Narrow" w:eastAsiaTheme="minorEastAsia"/>
                <w:szCs w:val="21"/>
              </w:rPr>
            </w:pPr>
            <w:r>
              <w:rPr>
                <w:rFonts w:ascii="Arial Narrow" w:hAnsi="Arial Narrow" w:eastAsiaTheme="minorEastAsia"/>
                <w:color w:val="000000"/>
                <w:szCs w:val="21"/>
              </w:rPr>
              <w:t>1,037,622.23</w:t>
            </w:r>
          </w:p>
        </w:tc>
        <w:tc>
          <w:tcPr>
            <w:tcW w:w="684" w:type="pct"/>
            <w:vAlign w:val="center"/>
          </w:tcPr>
          <w:p w14:paraId="3A966CF1">
            <w:pPr>
              <w:jc w:val="right"/>
              <w:rPr>
                <w:rFonts w:ascii="Arial Narrow" w:hAnsi="Arial Narrow" w:eastAsiaTheme="minorEastAsia"/>
                <w:szCs w:val="21"/>
              </w:rPr>
            </w:pPr>
          </w:p>
        </w:tc>
        <w:tc>
          <w:tcPr>
            <w:tcW w:w="652" w:type="pct"/>
            <w:vAlign w:val="center"/>
          </w:tcPr>
          <w:p w14:paraId="37DE32A4">
            <w:pPr>
              <w:jc w:val="right"/>
              <w:rPr>
                <w:rFonts w:ascii="Arial Narrow" w:hAnsi="Arial Narrow" w:eastAsiaTheme="minorEastAsia"/>
                <w:szCs w:val="21"/>
              </w:rPr>
            </w:pPr>
          </w:p>
        </w:tc>
        <w:tc>
          <w:tcPr>
            <w:tcW w:w="683" w:type="pct"/>
            <w:vAlign w:val="center"/>
          </w:tcPr>
          <w:p w14:paraId="6249964B">
            <w:pPr>
              <w:jc w:val="right"/>
              <w:rPr>
                <w:rFonts w:ascii="Arial Narrow" w:hAnsi="Arial Narrow" w:eastAsiaTheme="minorEastAsia"/>
                <w:szCs w:val="21"/>
              </w:rPr>
            </w:pPr>
          </w:p>
        </w:tc>
      </w:tr>
      <w:tr w14:paraId="2B35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6C7290B2">
            <w:pPr>
              <w:rPr>
                <w:rFonts w:ascii="Arial Narrow" w:hAnsi="Arial Narrow" w:eastAsiaTheme="minorEastAsia"/>
                <w:szCs w:val="21"/>
              </w:rPr>
            </w:pPr>
            <w:r>
              <w:rPr>
                <w:rFonts w:ascii="Arial Narrow" w:hAnsi="Arial Narrow" w:eastAsiaTheme="minorEastAsia"/>
                <w:color w:val="000000"/>
                <w:szCs w:val="21"/>
              </w:rPr>
              <w:t>际华橡胶工业有限公司-产业园项目</w:t>
            </w:r>
          </w:p>
        </w:tc>
        <w:tc>
          <w:tcPr>
            <w:tcW w:w="652" w:type="pct"/>
            <w:vAlign w:val="center"/>
          </w:tcPr>
          <w:p w14:paraId="0225EFAF">
            <w:pPr>
              <w:ind w:right="105"/>
              <w:jc w:val="right"/>
              <w:rPr>
                <w:rFonts w:ascii="Arial Narrow" w:hAnsi="Arial Narrow" w:eastAsiaTheme="minorEastAsia"/>
                <w:szCs w:val="21"/>
              </w:rPr>
            </w:pPr>
            <w:r>
              <w:rPr>
                <w:rFonts w:ascii="Arial Narrow" w:hAnsi="Arial Narrow" w:eastAsiaTheme="minorEastAsia"/>
                <w:color w:val="000000"/>
                <w:szCs w:val="21"/>
              </w:rPr>
              <w:t>995,952.82</w:t>
            </w:r>
          </w:p>
        </w:tc>
        <w:tc>
          <w:tcPr>
            <w:tcW w:w="652" w:type="pct"/>
            <w:vAlign w:val="center"/>
          </w:tcPr>
          <w:p w14:paraId="0468B929">
            <w:pPr>
              <w:ind w:right="73"/>
              <w:jc w:val="right"/>
              <w:rPr>
                <w:rFonts w:ascii="Arial Narrow" w:hAnsi="Arial Narrow" w:eastAsiaTheme="minorEastAsia"/>
                <w:szCs w:val="21"/>
              </w:rPr>
            </w:pPr>
          </w:p>
        </w:tc>
        <w:tc>
          <w:tcPr>
            <w:tcW w:w="645" w:type="pct"/>
            <w:vAlign w:val="center"/>
          </w:tcPr>
          <w:p w14:paraId="4094104C">
            <w:pPr>
              <w:ind w:right="73"/>
              <w:jc w:val="right"/>
              <w:rPr>
                <w:rFonts w:ascii="Arial Narrow" w:hAnsi="Arial Narrow" w:eastAsiaTheme="minorEastAsia"/>
                <w:szCs w:val="21"/>
              </w:rPr>
            </w:pPr>
            <w:r>
              <w:rPr>
                <w:rFonts w:ascii="Arial Narrow" w:hAnsi="Arial Narrow" w:eastAsiaTheme="minorEastAsia"/>
                <w:color w:val="000000"/>
                <w:szCs w:val="21"/>
              </w:rPr>
              <w:t>995,952.82</w:t>
            </w:r>
          </w:p>
        </w:tc>
        <w:tc>
          <w:tcPr>
            <w:tcW w:w="684" w:type="pct"/>
            <w:vAlign w:val="center"/>
          </w:tcPr>
          <w:p w14:paraId="0B41F923">
            <w:pPr>
              <w:jc w:val="right"/>
              <w:rPr>
                <w:rFonts w:ascii="Arial Narrow" w:hAnsi="Arial Narrow" w:eastAsiaTheme="minorEastAsia"/>
                <w:szCs w:val="21"/>
              </w:rPr>
            </w:pPr>
            <w:r>
              <w:rPr>
                <w:rFonts w:ascii="Arial Narrow" w:hAnsi="Arial Narrow" w:eastAsiaTheme="minorEastAsia"/>
                <w:color w:val="000000"/>
                <w:szCs w:val="21"/>
              </w:rPr>
              <w:t>4,490,101.67</w:t>
            </w:r>
          </w:p>
        </w:tc>
        <w:tc>
          <w:tcPr>
            <w:tcW w:w="652" w:type="pct"/>
            <w:vAlign w:val="center"/>
          </w:tcPr>
          <w:p w14:paraId="7CFF6D7B">
            <w:pPr>
              <w:jc w:val="right"/>
              <w:rPr>
                <w:rFonts w:ascii="Arial Narrow" w:hAnsi="Arial Narrow" w:eastAsiaTheme="minorEastAsia"/>
                <w:szCs w:val="21"/>
              </w:rPr>
            </w:pPr>
          </w:p>
        </w:tc>
        <w:tc>
          <w:tcPr>
            <w:tcW w:w="683" w:type="pct"/>
            <w:vAlign w:val="center"/>
          </w:tcPr>
          <w:p w14:paraId="6E18099B">
            <w:pPr>
              <w:jc w:val="right"/>
              <w:rPr>
                <w:rFonts w:ascii="Arial Narrow" w:hAnsi="Arial Narrow" w:eastAsiaTheme="minorEastAsia"/>
                <w:szCs w:val="21"/>
              </w:rPr>
            </w:pPr>
            <w:r>
              <w:rPr>
                <w:rFonts w:ascii="Arial Narrow" w:hAnsi="Arial Narrow" w:eastAsiaTheme="minorEastAsia"/>
                <w:color w:val="000000"/>
                <w:szCs w:val="21"/>
              </w:rPr>
              <w:t>4,490,101.67</w:t>
            </w:r>
          </w:p>
        </w:tc>
      </w:tr>
      <w:tr w14:paraId="0000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1221F6CC">
            <w:pPr>
              <w:rPr>
                <w:rFonts w:ascii="Arial Narrow" w:hAnsi="Arial Narrow" w:eastAsiaTheme="minorEastAsia"/>
                <w:szCs w:val="21"/>
              </w:rPr>
            </w:pPr>
            <w:r>
              <w:rPr>
                <w:rFonts w:ascii="Arial Narrow" w:hAnsi="Arial Narrow" w:eastAsiaTheme="minorEastAsia"/>
                <w:color w:val="000000"/>
                <w:szCs w:val="21"/>
              </w:rPr>
              <w:t>际华三五一四制革制鞋SWYS031南工房四层改造</w:t>
            </w:r>
          </w:p>
        </w:tc>
        <w:tc>
          <w:tcPr>
            <w:tcW w:w="652" w:type="pct"/>
            <w:vAlign w:val="center"/>
          </w:tcPr>
          <w:p w14:paraId="3C05A802">
            <w:pPr>
              <w:ind w:right="105"/>
              <w:jc w:val="right"/>
              <w:rPr>
                <w:rFonts w:ascii="Arial Narrow" w:hAnsi="Arial Narrow" w:eastAsiaTheme="minorEastAsia"/>
                <w:szCs w:val="21"/>
              </w:rPr>
            </w:pPr>
            <w:r>
              <w:rPr>
                <w:rFonts w:ascii="Arial Narrow" w:hAnsi="Arial Narrow" w:eastAsiaTheme="minorEastAsia"/>
                <w:color w:val="000000"/>
                <w:szCs w:val="21"/>
              </w:rPr>
              <w:t>173,673.28</w:t>
            </w:r>
          </w:p>
        </w:tc>
        <w:tc>
          <w:tcPr>
            <w:tcW w:w="652" w:type="pct"/>
            <w:vAlign w:val="center"/>
          </w:tcPr>
          <w:p w14:paraId="400B1B89">
            <w:pPr>
              <w:ind w:right="73"/>
              <w:jc w:val="right"/>
              <w:rPr>
                <w:rFonts w:ascii="Arial Narrow" w:hAnsi="Arial Narrow" w:eastAsiaTheme="minorEastAsia"/>
                <w:szCs w:val="21"/>
              </w:rPr>
            </w:pPr>
          </w:p>
        </w:tc>
        <w:tc>
          <w:tcPr>
            <w:tcW w:w="645" w:type="pct"/>
            <w:vAlign w:val="center"/>
          </w:tcPr>
          <w:p w14:paraId="052C2333">
            <w:pPr>
              <w:ind w:right="73"/>
              <w:jc w:val="right"/>
              <w:rPr>
                <w:rFonts w:ascii="Arial Narrow" w:hAnsi="Arial Narrow" w:eastAsiaTheme="minorEastAsia"/>
                <w:szCs w:val="21"/>
              </w:rPr>
            </w:pPr>
            <w:r>
              <w:rPr>
                <w:rFonts w:ascii="Arial Narrow" w:hAnsi="Arial Narrow" w:eastAsiaTheme="minorEastAsia"/>
                <w:color w:val="000000"/>
                <w:szCs w:val="21"/>
              </w:rPr>
              <w:t>173,673.28</w:t>
            </w:r>
          </w:p>
        </w:tc>
        <w:tc>
          <w:tcPr>
            <w:tcW w:w="684" w:type="pct"/>
            <w:vAlign w:val="center"/>
          </w:tcPr>
          <w:p w14:paraId="094F197F">
            <w:pPr>
              <w:jc w:val="right"/>
              <w:rPr>
                <w:rFonts w:ascii="Arial Narrow" w:hAnsi="Arial Narrow" w:eastAsiaTheme="minorEastAsia"/>
                <w:szCs w:val="21"/>
              </w:rPr>
            </w:pPr>
          </w:p>
        </w:tc>
        <w:tc>
          <w:tcPr>
            <w:tcW w:w="652" w:type="pct"/>
            <w:vAlign w:val="center"/>
          </w:tcPr>
          <w:p w14:paraId="3A91D8EE">
            <w:pPr>
              <w:jc w:val="right"/>
              <w:rPr>
                <w:rFonts w:ascii="Arial Narrow" w:hAnsi="Arial Narrow" w:eastAsiaTheme="minorEastAsia"/>
                <w:szCs w:val="21"/>
              </w:rPr>
            </w:pPr>
          </w:p>
        </w:tc>
        <w:tc>
          <w:tcPr>
            <w:tcW w:w="683" w:type="pct"/>
            <w:vAlign w:val="center"/>
          </w:tcPr>
          <w:p w14:paraId="083BFA5B">
            <w:pPr>
              <w:jc w:val="right"/>
              <w:rPr>
                <w:rFonts w:ascii="Arial Narrow" w:hAnsi="Arial Narrow" w:eastAsiaTheme="minorEastAsia"/>
                <w:szCs w:val="21"/>
              </w:rPr>
            </w:pPr>
          </w:p>
        </w:tc>
      </w:tr>
      <w:tr w14:paraId="19DB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151E22D3">
            <w:pPr>
              <w:rPr>
                <w:rFonts w:ascii="Arial Narrow" w:hAnsi="Arial Narrow" w:eastAsiaTheme="minorEastAsia"/>
                <w:szCs w:val="21"/>
              </w:rPr>
            </w:pPr>
            <w:r>
              <w:rPr>
                <w:rFonts w:ascii="Arial Narrow" w:hAnsi="Arial Narrow" w:eastAsiaTheme="minorEastAsia"/>
                <w:color w:val="000000"/>
                <w:szCs w:val="21"/>
              </w:rPr>
              <w:t>三五零二际华华北特种防护装备生产研发项目-设备</w:t>
            </w:r>
          </w:p>
        </w:tc>
        <w:tc>
          <w:tcPr>
            <w:tcW w:w="652" w:type="pct"/>
            <w:vAlign w:val="center"/>
          </w:tcPr>
          <w:p w14:paraId="402AAB14">
            <w:pPr>
              <w:ind w:right="105"/>
              <w:jc w:val="right"/>
              <w:rPr>
                <w:rFonts w:ascii="Arial Narrow" w:hAnsi="Arial Narrow" w:eastAsiaTheme="minorEastAsia"/>
                <w:szCs w:val="21"/>
              </w:rPr>
            </w:pPr>
            <w:r>
              <w:rPr>
                <w:rFonts w:ascii="Arial Narrow" w:hAnsi="Arial Narrow" w:eastAsiaTheme="minorEastAsia"/>
                <w:color w:val="000000"/>
                <w:szCs w:val="21"/>
              </w:rPr>
              <w:t>19,557.52</w:t>
            </w:r>
          </w:p>
        </w:tc>
        <w:tc>
          <w:tcPr>
            <w:tcW w:w="652" w:type="pct"/>
            <w:vAlign w:val="center"/>
          </w:tcPr>
          <w:p w14:paraId="3FF20179">
            <w:pPr>
              <w:ind w:right="73"/>
              <w:jc w:val="right"/>
              <w:rPr>
                <w:rFonts w:ascii="Arial Narrow" w:hAnsi="Arial Narrow" w:eastAsiaTheme="minorEastAsia"/>
                <w:szCs w:val="21"/>
              </w:rPr>
            </w:pPr>
          </w:p>
        </w:tc>
        <w:tc>
          <w:tcPr>
            <w:tcW w:w="645" w:type="pct"/>
            <w:vAlign w:val="center"/>
          </w:tcPr>
          <w:p w14:paraId="422F4551">
            <w:pPr>
              <w:ind w:right="73"/>
              <w:jc w:val="right"/>
              <w:rPr>
                <w:rFonts w:ascii="Arial Narrow" w:hAnsi="Arial Narrow" w:eastAsiaTheme="minorEastAsia"/>
                <w:szCs w:val="21"/>
              </w:rPr>
            </w:pPr>
            <w:r>
              <w:rPr>
                <w:rFonts w:ascii="Arial Narrow" w:hAnsi="Arial Narrow" w:eastAsiaTheme="minorEastAsia"/>
                <w:color w:val="000000"/>
                <w:szCs w:val="21"/>
              </w:rPr>
              <w:t>19,557.52</w:t>
            </w:r>
          </w:p>
        </w:tc>
        <w:tc>
          <w:tcPr>
            <w:tcW w:w="684" w:type="pct"/>
            <w:vAlign w:val="center"/>
          </w:tcPr>
          <w:p w14:paraId="2A82FD68">
            <w:pPr>
              <w:jc w:val="right"/>
              <w:rPr>
                <w:rFonts w:ascii="Arial Narrow" w:hAnsi="Arial Narrow" w:eastAsiaTheme="minorEastAsia"/>
                <w:szCs w:val="21"/>
              </w:rPr>
            </w:pPr>
            <w:r>
              <w:rPr>
                <w:rFonts w:ascii="Arial Narrow" w:hAnsi="Arial Narrow" w:eastAsiaTheme="minorEastAsia"/>
                <w:color w:val="000000"/>
                <w:szCs w:val="21"/>
              </w:rPr>
              <w:t>2,219,468.72</w:t>
            </w:r>
          </w:p>
        </w:tc>
        <w:tc>
          <w:tcPr>
            <w:tcW w:w="652" w:type="pct"/>
            <w:vAlign w:val="center"/>
          </w:tcPr>
          <w:p w14:paraId="7E405578">
            <w:pPr>
              <w:jc w:val="right"/>
              <w:rPr>
                <w:rFonts w:ascii="Arial Narrow" w:hAnsi="Arial Narrow" w:eastAsiaTheme="minorEastAsia"/>
                <w:szCs w:val="21"/>
              </w:rPr>
            </w:pPr>
          </w:p>
        </w:tc>
        <w:tc>
          <w:tcPr>
            <w:tcW w:w="683" w:type="pct"/>
            <w:vAlign w:val="center"/>
          </w:tcPr>
          <w:p w14:paraId="051BE2DF">
            <w:pPr>
              <w:jc w:val="right"/>
              <w:rPr>
                <w:rFonts w:ascii="Arial Narrow" w:hAnsi="Arial Narrow" w:eastAsiaTheme="minorEastAsia"/>
                <w:szCs w:val="21"/>
              </w:rPr>
            </w:pPr>
            <w:r>
              <w:rPr>
                <w:rFonts w:ascii="Arial Narrow" w:hAnsi="Arial Narrow" w:eastAsiaTheme="minorEastAsia"/>
                <w:color w:val="000000"/>
                <w:szCs w:val="21"/>
              </w:rPr>
              <w:t>2,219,468.72</w:t>
            </w:r>
          </w:p>
        </w:tc>
      </w:tr>
      <w:tr w14:paraId="7451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0BC678C">
            <w:pPr>
              <w:rPr>
                <w:rFonts w:ascii="Arial Narrow" w:hAnsi="Arial Narrow" w:eastAsiaTheme="minorEastAsia"/>
                <w:szCs w:val="21"/>
              </w:rPr>
            </w:pPr>
            <w:r>
              <w:rPr>
                <w:rFonts w:ascii="Arial Narrow" w:hAnsi="Arial Narrow" w:eastAsiaTheme="minorEastAsia"/>
                <w:color w:val="000000"/>
                <w:szCs w:val="21"/>
              </w:rPr>
              <w:t>三五二一际华特种防护与应急保障基地项目</w:t>
            </w:r>
          </w:p>
        </w:tc>
        <w:tc>
          <w:tcPr>
            <w:tcW w:w="652" w:type="pct"/>
            <w:vAlign w:val="center"/>
          </w:tcPr>
          <w:p w14:paraId="46DD386E">
            <w:pPr>
              <w:ind w:right="105"/>
              <w:jc w:val="right"/>
              <w:rPr>
                <w:rFonts w:ascii="Arial Narrow" w:hAnsi="Arial Narrow" w:eastAsiaTheme="minorEastAsia"/>
                <w:szCs w:val="21"/>
              </w:rPr>
            </w:pPr>
            <w:r>
              <w:rPr>
                <w:rFonts w:ascii="Arial Narrow" w:hAnsi="Arial Narrow" w:eastAsiaTheme="minorEastAsia"/>
                <w:color w:val="000000"/>
                <w:szCs w:val="21"/>
              </w:rPr>
              <w:t>11,109.02</w:t>
            </w:r>
          </w:p>
        </w:tc>
        <w:tc>
          <w:tcPr>
            <w:tcW w:w="652" w:type="pct"/>
            <w:vAlign w:val="center"/>
          </w:tcPr>
          <w:p w14:paraId="2FCAB43F">
            <w:pPr>
              <w:ind w:right="73"/>
              <w:jc w:val="right"/>
              <w:rPr>
                <w:rFonts w:ascii="Arial Narrow" w:hAnsi="Arial Narrow" w:eastAsiaTheme="minorEastAsia"/>
                <w:szCs w:val="21"/>
              </w:rPr>
            </w:pPr>
          </w:p>
        </w:tc>
        <w:tc>
          <w:tcPr>
            <w:tcW w:w="645" w:type="pct"/>
            <w:vAlign w:val="center"/>
          </w:tcPr>
          <w:p w14:paraId="0E719807">
            <w:pPr>
              <w:ind w:right="73"/>
              <w:jc w:val="right"/>
              <w:rPr>
                <w:rFonts w:ascii="Arial Narrow" w:hAnsi="Arial Narrow" w:eastAsiaTheme="minorEastAsia"/>
                <w:szCs w:val="21"/>
              </w:rPr>
            </w:pPr>
            <w:r>
              <w:rPr>
                <w:rFonts w:ascii="Arial Narrow" w:hAnsi="Arial Narrow" w:eastAsiaTheme="minorEastAsia"/>
                <w:color w:val="000000"/>
                <w:szCs w:val="21"/>
              </w:rPr>
              <w:t>11,109.02</w:t>
            </w:r>
          </w:p>
        </w:tc>
        <w:tc>
          <w:tcPr>
            <w:tcW w:w="684" w:type="pct"/>
            <w:vAlign w:val="center"/>
          </w:tcPr>
          <w:p w14:paraId="36E1EE6E">
            <w:pPr>
              <w:jc w:val="right"/>
              <w:rPr>
                <w:rFonts w:ascii="Arial Narrow" w:hAnsi="Arial Narrow" w:eastAsiaTheme="minorEastAsia"/>
                <w:szCs w:val="21"/>
              </w:rPr>
            </w:pPr>
            <w:r>
              <w:rPr>
                <w:rFonts w:ascii="Arial Narrow" w:hAnsi="Arial Narrow" w:eastAsiaTheme="minorEastAsia"/>
                <w:color w:val="000000"/>
                <w:szCs w:val="21"/>
              </w:rPr>
              <w:t>61,316,073.38</w:t>
            </w:r>
          </w:p>
        </w:tc>
        <w:tc>
          <w:tcPr>
            <w:tcW w:w="652" w:type="pct"/>
            <w:vAlign w:val="center"/>
          </w:tcPr>
          <w:p w14:paraId="1484BA0C">
            <w:pPr>
              <w:jc w:val="right"/>
              <w:rPr>
                <w:rFonts w:ascii="Arial Narrow" w:hAnsi="Arial Narrow" w:eastAsiaTheme="minorEastAsia"/>
                <w:szCs w:val="21"/>
              </w:rPr>
            </w:pPr>
          </w:p>
        </w:tc>
        <w:tc>
          <w:tcPr>
            <w:tcW w:w="683" w:type="pct"/>
            <w:vAlign w:val="center"/>
          </w:tcPr>
          <w:p w14:paraId="42E207CB">
            <w:pPr>
              <w:jc w:val="right"/>
              <w:rPr>
                <w:rFonts w:ascii="Arial Narrow" w:hAnsi="Arial Narrow" w:eastAsiaTheme="minorEastAsia"/>
                <w:szCs w:val="21"/>
              </w:rPr>
            </w:pPr>
            <w:r>
              <w:rPr>
                <w:rFonts w:ascii="Arial Narrow" w:hAnsi="Arial Narrow" w:eastAsiaTheme="minorEastAsia"/>
                <w:color w:val="000000"/>
                <w:szCs w:val="21"/>
              </w:rPr>
              <w:t>61,316,073.38</w:t>
            </w:r>
          </w:p>
        </w:tc>
      </w:tr>
      <w:tr w14:paraId="347C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0A663D7D">
            <w:pPr>
              <w:rPr>
                <w:rFonts w:ascii="Arial Narrow" w:hAnsi="Arial Narrow" w:eastAsiaTheme="minorEastAsia"/>
                <w:szCs w:val="21"/>
              </w:rPr>
            </w:pPr>
            <w:r>
              <w:rPr>
                <w:rFonts w:ascii="Arial Narrow" w:hAnsi="Arial Narrow" w:eastAsiaTheme="minorEastAsia"/>
                <w:color w:val="000000"/>
                <w:szCs w:val="21"/>
              </w:rPr>
              <w:t>三五四二公司研发大楼及实验室</w:t>
            </w:r>
          </w:p>
        </w:tc>
        <w:tc>
          <w:tcPr>
            <w:tcW w:w="652" w:type="pct"/>
            <w:vAlign w:val="center"/>
          </w:tcPr>
          <w:p w14:paraId="0F519A10">
            <w:pPr>
              <w:ind w:right="105"/>
              <w:jc w:val="right"/>
              <w:rPr>
                <w:rFonts w:ascii="Arial Narrow" w:hAnsi="Arial Narrow" w:eastAsiaTheme="minorEastAsia"/>
                <w:szCs w:val="21"/>
              </w:rPr>
            </w:pPr>
            <w:r>
              <w:rPr>
                <w:rFonts w:ascii="Arial Narrow" w:hAnsi="Arial Narrow" w:eastAsiaTheme="minorEastAsia"/>
                <w:color w:val="000000"/>
                <w:szCs w:val="21"/>
              </w:rPr>
              <w:t>40,847,725.77</w:t>
            </w:r>
          </w:p>
        </w:tc>
        <w:tc>
          <w:tcPr>
            <w:tcW w:w="652" w:type="pct"/>
            <w:vAlign w:val="center"/>
          </w:tcPr>
          <w:p w14:paraId="48900D63">
            <w:pPr>
              <w:ind w:right="73"/>
              <w:jc w:val="right"/>
              <w:rPr>
                <w:rFonts w:ascii="Arial Narrow" w:hAnsi="Arial Narrow" w:eastAsiaTheme="minorEastAsia"/>
                <w:szCs w:val="21"/>
              </w:rPr>
            </w:pPr>
          </w:p>
        </w:tc>
        <w:tc>
          <w:tcPr>
            <w:tcW w:w="645" w:type="pct"/>
            <w:vAlign w:val="center"/>
          </w:tcPr>
          <w:p w14:paraId="595E63EF">
            <w:pPr>
              <w:ind w:right="73"/>
              <w:jc w:val="right"/>
              <w:rPr>
                <w:rFonts w:ascii="Arial Narrow" w:hAnsi="Arial Narrow" w:eastAsiaTheme="minorEastAsia"/>
                <w:szCs w:val="21"/>
              </w:rPr>
            </w:pPr>
            <w:r>
              <w:rPr>
                <w:rFonts w:ascii="Arial Narrow" w:hAnsi="Arial Narrow" w:eastAsiaTheme="minorEastAsia"/>
                <w:color w:val="000000"/>
                <w:szCs w:val="21"/>
              </w:rPr>
              <w:t>40,847,725.77</w:t>
            </w:r>
          </w:p>
        </w:tc>
        <w:tc>
          <w:tcPr>
            <w:tcW w:w="684" w:type="pct"/>
            <w:vAlign w:val="center"/>
          </w:tcPr>
          <w:p w14:paraId="152CA0EB">
            <w:pPr>
              <w:jc w:val="right"/>
              <w:rPr>
                <w:rFonts w:ascii="Arial Narrow" w:hAnsi="Arial Narrow" w:eastAsiaTheme="minorEastAsia"/>
                <w:szCs w:val="21"/>
              </w:rPr>
            </w:pPr>
            <w:r>
              <w:rPr>
                <w:rFonts w:ascii="Arial Narrow" w:hAnsi="Arial Narrow" w:eastAsiaTheme="minorEastAsia"/>
                <w:color w:val="000000"/>
                <w:szCs w:val="21"/>
              </w:rPr>
              <w:t>108,256.88</w:t>
            </w:r>
          </w:p>
        </w:tc>
        <w:tc>
          <w:tcPr>
            <w:tcW w:w="652" w:type="pct"/>
            <w:vAlign w:val="center"/>
          </w:tcPr>
          <w:p w14:paraId="6C2609B8">
            <w:pPr>
              <w:jc w:val="right"/>
              <w:rPr>
                <w:rFonts w:ascii="Arial Narrow" w:hAnsi="Arial Narrow" w:eastAsiaTheme="minorEastAsia"/>
                <w:szCs w:val="21"/>
              </w:rPr>
            </w:pPr>
          </w:p>
        </w:tc>
        <w:tc>
          <w:tcPr>
            <w:tcW w:w="683" w:type="pct"/>
            <w:vAlign w:val="center"/>
          </w:tcPr>
          <w:p w14:paraId="0A4FDA73">
            <w:pPr>
              <w:jc w:val="right"/>
              <w:rPr>
                <w:rFonts w:ascii="Arial Narrow" w:hAnsi="Arial Narrow" w:eastAsiaTheme="minorEastAsia"/>
                <w:szCs w:val="21"/>
              </w:rPr>
            </w:pPr>
            <w:r>
              <w:rPr>
                <w:rFonts w:ascii="Arial Narrow" w:hAnsi="Arial Narrow" w:eastAsiaTheme="minorEastAsia"/>
                <w:color w:val="000000"/>
                <w:szCs w:val="21"/>
              </w:rPr>
              <w:t>108,256.88</w:t>
            </w:r>
          </w:p>
        </w:tc>
      </w:tr>
      <w:tr w14:paraId="28FE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45D1FD3B">
            <w:pPr>
              <w:rPr>
                <w:rFonts w:ascii="Arial Narrow" w:hAnsi="Arial Narrow" w:eastAsiaTheme="minorEastAsia"/>
                <w:szCs w:val="21"/>
              </w:rPr>
            </w:pPr>
            <w:r>
              <w:rPr>
                <w:rFonts w:ascii="Arial Narrow" w:hAnsi="Arial Narrow" w:eastAsiaTheme="minorEastAsia"/>
                <w:color w:val="000000"/>
                <w:szCs w:val="21"/>
              </w:rPr>
              <w:t>际华三五四二纺织有限公司工业园项目</w:t>
            </w:r>
          </w:p>
        </w:tc>
        <w:tc>
          <w:tcPr>
            <w:tcW w:w="652" w:type="pct"/>
            <w:vAlign w:val="center"/>
          </w:tcPr>
          <w:p w14:paraId="23ECA4C4">
            <w:pPr>
              <w:ind w:right="105"/>
              <w:jc w:val="right"/>
              <w:rPr>
                <w:rFonts w:ascii="Arial Narrow" w:hAnsi="Arial Narrow" w:eastAsiaTheme="minorEastAsia"/>
                <w:szCs w:val="21"/>
              </w:rPr>
            </w:pPr>
          </w:p>
        </w:tc>
        <w:tc>
          <w:tcPr>
            <w:tcW w:w="652" w:type="pct"/>
            <w:vAlign w:val="center"/>
          </w:tcPr>
          <w:p w14:paraId="4879AEFF">
            <w:pPr>
              <w:ind w:right="73"/>
              <w:jc w:val="right"/>
              <w:rPr>
                <w:rFonts w:ascii="Arial Narrow" w:hAnsi="Arial Narrow" w:eastAsiaTheme="minorEastAsia"/>
                <w:szCs w:val="21"/>
              </w:rPr>
            </w:pPr>
          </w:p>
        </w:tc>
        <w:tc>
          <w:tcPr>
            <w:tcW w:w="645" w:type="pct"/>
            <w:vAlign w:val="center"/>
          </w:tcPr>
          <w:p w14:paraId="7F3B4486">
            <w:pPr>
              <w:ind w:right="73"/>
              <w:jc w:val="right"/>
              <w:rPr>
                <w:rFonts w:ascii="Arial Narrow" w:hAnsi="Arial Narrow" w:eastAsiaTheme="minorEastAsia"/>
                <w:szCs w:val="21"/>
              </w:rPr>
            </w:pPr>
          </w:p>
        </w:tc>
        <w:tc>
          <w:tcPr>
            <w:tcW w:w="684" w:type="pct"/>
            <w:vAlign w:val="center"/>
          </w:tcPr>
          <w:p w14:paraId="1FC0CB5B">
            <w:pPr>
              <w:jc w:val="right"/>
              <w:rPr>
                <w:rFonts w:ascii="Arial Narrow" w:hAnsi="Arial Narrow" w:eastAsiaTheme="minorEastAsia"/>
                <w:szCs w:val="21"/>
              </w:rPr>
            </w:pPr>
            <w:r>
              <w:rPr>
                <w:rFonts w:ascii="Arial Narrow" w:hAnsi="Arial Narrow" w:eastAsiaTheme="minorEastAsia"/>
                <w:color w:val="000000"/>
                <w:szCs w:val="21"/>
              </w:rPr>
              <w:t>46,375,727.69</w:t>
            </w:r>
          </w:p>
        </w:tc>
        <w:tc>
          <w:tcPr>
            <w:tcW w:w="652" w:type="pct"/>
            <w:vAlign w:val="center"/>
          </w:tcPr>
          <w:p w14:paraId="42463381">
            <w:pPr>
              <w:jc w:val="right"/>
              <w:rPr>
                <w:rFonts w:ascii="Arial Narrow" w:hAnsi="Arial Narrow" w:eastAsiaTheme="minorEastAsia"/>
                <w:szCs w:val="21"/>
              </w:rPr>
            </w:pPr>
          </w:p>
        </w:tc>
        <w:tc>
          <w:tcPr>
            <w:tcW w:w="683" w:type="pct"/>
            <w:vAlign w:val="center"/>
          </w:tcPr>
          <w:p w14:paraId="1A32C6B7">
            <w:pPr>
              <w:jc w:val="right"/>
              <w:rPr>
                <w:rFonts w:ascii="Arial Narrow" w:hAnsi="Arial Narrow" w:eastAsiaTheme="minorEastAsia"/>
                <w:szCs w:val="21"/>
              </w:rPr>
            </w:pPr>
            <w:r>
              <w:rPr>
                <w:rFonts w:ascii="Arial Narrow" w:hAnsi="Arial Narrow" w:eastAsiaTheme="minorEastAsia"/>
                <w:color w:val="000000"/>
                <w:szCs w:val="21"/>
              </w:rPr>
              <w:t>46,375,727.69</w:t>
            </w:r>
          </w:p>
        </w:tc>
      </w:tr>
      <w:tr w14:paraId="2F99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5D79A926">
            <w:pPr>
              <w:rPr>
                <w:rFonts w:ascii="Arial Narrow" w:hAnsi="Arial Narrow" w:eastAsiaTheme="minorEastAsia"/>
                <w:szCs w:val="21"/>
              </w:rPr>
            </w:pPr>
            <w:r>
              <w:rPr>
                <w:rFonts w:ascii="Arial Narrow" w:hAnsi="Arial Narrow" w:eastAsiaTheme="minorEastAsia"/>
                <w:color w:val="000000"/>
                <w:szCs w:val="21"/>
              </w:rPr>
              <w:t>三五二一石门坎装具工房消防改造工程</w:t>
            </w:r>
          </w:p>
        </w:tc>
        <w:tc>
          <w:tcPr>
            <w:tcW w:w="652" w:type="pct"/>
            <w:vAlign w:val="center"/>
          </w:tcPr>
          <w:p w14:paraId="1F5B0AB9">
            <w:pPr>
              <w:ind w:right="105"/>
              <w:jc w:val="right"/>
              <w:rPr>
                <w:rFonts w:ascii="Arial Narrow" w:hAnsi="Arial Narrow" w:eastAsiaTheme="minorEastAsia"/>
                <w:szCs w:val="21"/>
              </w:rPr>
            </w:pPr>
          </w:p>
        </w:tc>
        <w:tc>
          <w:tcPr>
            <w:tcW w:w="652" w:type="pct"/>
            <w:vAlign w:val="center"/>
          </w:tcPr>
          <w:p w14:paraId="02B70E9D">
            <w:pPr>
              <w:ind w:right="73"/>
              <w:jc w:val="right"/>
              <w:rPr>
                <w:rFonts w:ascii="Arial Narrow" w:hAnsi="Arial Narrow" w:eastAsiaTheme="minorEastAsia"/>
                <w:szCs w:val="21"/>
              </w:rPr>
            </w:pPr>
          </w:p>
        </w:tc>
        <w:tc>
          <w:tcPr>
            <w:tcW w:w="645" w:type="pct"/>
            <w:vAlign w:val="center"/>
          </w:tcPr>
          <w:p w14:paraId="43B84160">
            <w:pPr>
              <w:ind w:right="73"/>
              <w:jc w:val="right"/>
              <w:rPr>
                <w:rFonts w:ascii="Arial Narrow" w:hAnsi="Arial Narrow" w:eastAsiaTheme="minorEastAsia"/>
                <w:szCs w:val="21"/>
              </w:rPr>
            </w:pPr>
          </w:p>
        </w:tc>
        <w:tc>
          <w:tcPr>
            <w:tcW w:w="684" w:type="pct"/>
            <w:vAlign w:val="center"/>
          </w:tcPr>
          <w:p w14:paraId="0EB0DD64">
            <w:pPr>
              <w:jc w:val="right"/>
              <w:rPr>
                <w:rFonts w:ascii="Arial Narrow" w:hAnsi="Arial Narrow" w:eastAsiaTheme="minorEastAsia"/>
                <w:szCs w:val="21"/>
              </w:rPr>
            </w:pPr>
            <w:r>
              <w:rPr>
                <w:rFonts w:ascii="Arial Narrow" w:hAnsi="Arial Narrow" w:eastAsiaTheme="minorEastAsia"/>
                <w:color w:val="000000"/>
                <w:szCs w:val="21"/>
              </w:rPr>
              <w:t>2,334,308.50</w:t>
            </w:r>
          </w:p>
        </w:tc>
        <w:tc>
          <w:tcPr>
            <w:tcW w:w="652" w:type="pct"/>
            <w:vAlign w:val="center"/>
          </w:tcPr>
          <w:p w14:paraId="322A03D2">
            <w:pPr>
              <w:jc w:val="right"/>
              <w:rPr>
                <w:rFonts w:ascii="Arial Narrow" w:hAnsi="Arial Narrow" w:eastAsiaTheme="minorEastAsia"/>
                <w:szCs w:val="21"/>
              </w:rPr>
            </w:pPr>
          </w:p>
        </w:tc>
        <w:tc>
          <w:tcPr>
            <w:tcW w:w="683" w:type="pct"/>
            <w:vAlign w:val="center"/>
          </w:tcPr>
          <w:p w14:paraId="10E15580">
            <w:pPr>
              <w:jc w:val="right"/>
              <w:rPr>
                <w:rFonts w:ascii="Arial Narrow" w:hAnsi="Arial Narrow" w:eastAsiaTheme="minorEastAsia"/>
                <w:szCs w:val="21"/>
              </w:rPr>
            </w:pPr>
            <w:r>
              <w:rPr>
                <w:rFonts w:ascii="Arial Narrow" w:hAnsi="Arial Narrow" w:eastAsiaTheme="minorEastAsia"/>
                <w:color w:val="000000"/>
                <w:szCs w:val="21"/>
              </w:rPr>
              <w:t>2,334,308.50</w:t>
            </w:r>
          </w:p>
        </w:tc>
      </w:tr>
      <w:tr w14:paraId="078E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6F8A4922">
            <w:pPr>
              <w:rPr>
                <w:rFonts w:ascii="Arial Narrow" w:hAnsi="Arial Narrow" w:eastAsiaTheme="minorEastAsia"/>
                <w:szCs w:val="21"/>
              </w:rPr>
            </w:pPr>
            <w:r>
              <w:rPr>
                <w:rFonts w:ascii="Arial Narrow" w:hAnsi="Arial Narrow" w:eastAsiaTheme="minorEastAsia"/>
                <w:color w:val="000000"/>
                <w:szCs w:val="21"/>
              </w:rPr>
              <w:t>三五零二际华华北特种防护装备生产研发基地</w:t>
            </w:r>
          </w:p>
        </w:tc>
        <w:tc>
          <w:tcPr>
            <w:tcW w:w="652" w:type="pct"/>
            <w:vAlign w:val="center"/>
          </w:tcPr>
          <w:p w14:paraId="272492FE">
            <w:pPr>
              <w:ind w:right="105"/>
              <w:jc w:val="right"/>
              <w:rPr>
                <w:rFonts w:ascii="Arial Narrow" w:hAnsi="Arial Narrow" w:eastAsiaTheme="minorEastAsia"/>
                <w:szCs w:val="21"/>
              </w:rPr>
            </w:pPr>
          </w:p>
        </w:tc>
        <w:tc>
          <w:tcPr>
            <w:tcW w:w="652" w:type="pct"/>
            <w:vAlign w:val="center"/>
          </w:tcPr>
          <w:p w14:paraId="4127D4A5">
            <w:pPr>
              <w:ind w:right="73"/>
              <w:jc w:val="right"/>
              <w:rPr>
                <w:rFonts w:ascii="Arial Narrow" w:hAnsi="Arial Narrow" w:eastAsiaTheme="minorEastAsia"/>
                <w:szCs w:val="21"/>
              </w:rPr>
            </w:pPr>
          </w:p>
        </w:tc>
        <w:tc>
          <w:tcPr>
            <w:tcW w:w="645" w:type="pct"/>
            <w:vAlign w:val="center"/>
          </w:tcPr>
          <w:p w14:paraId="30158486">
            <w:pPr>
              <w:ind w:right="73"/>
              <w:jc w:val="right"/>
              <w:rPr>
                <w:rFonts w:ascii="Arial Narrow" w:hAnsi="Arial Narrow" w:eastAsiaTheme="minorEastAsia"/>
                <w:szCs w:val="21"/>
              </w:rPr>
            </w:pPr>
          </w:p>
        </w:tc>
        <w:tc>
          <w:tcPr>
            <w:tcW w:w="684" w:type="pct"/>
            <w:vAlign w:val="center"/>
          </w:tcPr>
          <w:p w14:paraId="4489E691">
            <w:pPr>
              <w:jc w:val="right"/>
              <w:rPr>
                <w:rFonts w:ascii="Arial Narrow" w:hAnsi="Arial Narrow" w:eastAsiaTheme="minorEastAsia"/>
                <w:szCs w:val="21"/>
              </w:rPr>
            </w:pPr>
            <w:r>
              <w:rPr>
                <w:rFonts w:ascii="Arial Narrow" w:hAnsi="Arial Narrow" w:eastAsiaTheme="minorEastAsia"/>
                <w:color w:val="000000"/>
                <w:szCs w:val="21"/>
              </w:rPr>
              <w:t>45,805,210.94</w:t>
            </w:r>
          </w:p>
        </w:tc>
        <w:tc>
          <w:tcPr>
            <w:tcW w:w="652" w:type="pct"/>
            <w:vAlign w:val="center"/>
          </w:tcPr>
          <w:p w14:paraId="795F1300">
            <w:pPr>
              <w:jc w:val="right"/>
              <w:rPr>
                <w:rFonts w:ascii="Arial Narrow" w:hAnsi="Arial Narrow" w:eastAsiaTheme="minorEastAsia"/>
                <w:szCs w:val="21"/>
              </w:rPr>
            </w:pPr>
          </w:p>
        </w:tc>
        <w:tc>
          <w:tcPr>
            <w:tcW w:w="683" w:type="pct"/>
            <w:vAlign w:val="center"/>
          </w:tcPr>
          <w:p w14:paraId="4F68EE65">
            <w:pPr>
              <w:jc w:val="right"/>
              <w:rPr>
                <w:rFonts w:ascii="Arial Narrow" w:hAnsi="Arial Narrow" w:eastAsiaTheme="minorEastAsia"/>
                <w:szCs w:val="21"/>
              </w:rPr>
            </w:pPr>
            <w:r>
              <w:rPr>
                <w:rFonts w:ascii="Arial Narrow" w:hAnsi="Arial Narrow" w:eastAsiaTheme="minorEastAsia"/>
                <w:color w:val="000000"/>
                <w:szCs w:val="21"/>
              </w:rPr>
              <w:t>45,805,210.94</w:t>
            </w:r>
          </w:p>
        </w:tc>
      </w:tr>
      <w:tr w14:paraId="625A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175A91FB">
            <w:pPr>
              <w:rPr>
                <w:rFonts w:ascii="Arial Narrow" w:hAnsi="Arial Narrow" w:eastAsiaTheme="minorEastAsia"/>
                <w:szCs w:val="21"/>
              </w:rPr>
            </w:pPr>
            <w:r>
              <w:rPr>
                <w:rFonts w:ascii="Arial Narrow" w:hAnsi="Arial Narrow" w:eastAsiaTheme="minorEastAsia"/>
                <w:color w:val="000000"/>
                <w:szCs w:val="21"/>
              </w:rPr>
              <w:t>三五四三-拉幅定型机</w:t>
            </w:r>
          </w:p>
        </w:tc>
        <w:tc>
          <w:tcPr>
            <w:tcW w:w="652" w:type="pct"/>
            <w:vAlign w:val="center"/>
          </w:tcPr>
          <w:p w14:paraId="089F103F">
            <w:pPr>
              <w:ind w:right="105"/>
              <w:jc w:val="right"/>
              <w:rPr>
                <w:rFonts w:ascii="Arial Narrow" w:hAnsi="Arial Narrow" w:eastAsiaTheme="minorEastAsia"/>
                <w:szCs w:val="21"/>
              </w:rPr>
            </w:pPr>
          </w:p>
        </w:tc>
        <w:tc>
          <w:tcPr>
            <w:tcW w:w="652" w:type="pct"/>
            <w:vAlign w:val="center"/>
          </w:tcPr>
          <w:p w14:paraId="593EEDFE">
            <w:pPr>
              <w:ind w:right="73"/>
              <w:jc w:val="right"/>
              <w:rPr>
                <w:rFonts w:ascii="Arial Narrow" w:hAnsi="Arial Narrow" w:eastAsiaTheme="minorEastAsia"/>
                <w:szCs w:val="21"/>
              </w:rPr>
            </w:pPr>
          </w:p>
        </w:tc>
        <w:tc>
          <w:tcPr>
            <w:tcW w:w="645" w:type="pct"/>
            <w:vAlign w:val="center"/>
          </w:tcPr>
          <w:p w14:paraId="5E3D1073">
            <w:pPr>
              <w:ind w:right="73"/>
              <w:jc w:val="right"/>
              <w:rPr>
                <w:rFonts w:ascii="Arial Narrow" w:hAnsi="Arial Narrow" w:eastAsiaTheme="minorEastAsia"/>
                <w:szCs w:val="21"/>
              </w:rPr>
            </w:pPr>
          </w:p>
        </w:tc>
        <w:tc>
          <w:tcPr>
            <w:tcW w:w="684" w:type="pct"/>
            <w:vAlign w:val="center"/>
          </w:tcPr>
          <w:p w14:paraId="67ACEA2F">
            <w:pPr>
              <w:jc w:val="right"/>
              <w:rPr>
                <w:rFonts w:ascii="Arial Narrow" w:hAnsi="Arial Narrow" w:eastAsiaTheme="minorEastAsia"/>
                <w:szCs w:val="21"/>
              </w:rPr>
            </w:pPr>
            <w:r>
              <w:rPr>
                <w:rFonts w:ascii="Arial Narrow" w:hAnsi="Arial Narrow" w:eastAsiaTheme="minorEastAsia"/>
                <w:color w:val="000000"/>
                <w:szCs w:val="21"/>
              </w:rPr>
              <w:t>6,669,718.73</w:t>
            </w:r>
          </w:p>
        </w:tc>
        <w:tc>
          <w:tcPr>
            <w:tcW w:w="652" w:type="pct"/>
            <w:vAlign w:val="center"/>
          </w:tcPr>
          <w:p w14:paraId="6FA1082E">
            <w:pPr>
              <w:jc w:val="right"/>
              <w:rPr>
                <w:rFonts w:ascii="Arial Narrow" w:hAnsi="Arial Narrow" w:eastAsiaTheme="minorEastAsia"/>
                <w:szCs w:val="21"/>
              </w:rPr>
            </w:pPr>
          </w:p>
        </w:tc>
        <w:tc>
          <w:tcPr>
            <w:tcW w:w="683" w:type="pct"/>
            <w:vAlign w:val="center"/>
          </w:tcPr>
          <w:p w14:paraId="0FC3B743">
            <w:pPr>
              <w:jc w:val="right"/>
              <w:rPr>
                <w:rFonts w:ascii="Arial Narrow" w:hAnsi="Arial Narrow" w:eastAsiaTheme="minorEastAsia"/>
                <w:szCs w:val="21"/>
              </w:rPr>
            </w:pPr>
            <w:r>
              <w:rPr>
                <w:rFonts w:ascii="Arial Narrow" w:hAnsi="Arial Narrow" w:eastAsiaTheme="minorEastAsia"/>
                <w:color w:val="000000"/>
                <w:szCs w:val="21"/>
              </w:rPr>
              <w:t>6,669,718.73</w:t>
            </w:r>
          </w:p>
        </w:tc>
      </w:tr>
      <w:tr w14:paraId="3A33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0D4294B3">
            <w:pPr>
              <w:rPr>
                <w:rFonts w:ascii="Arial Narrow" w:hAnsi="Arial Narrow" w:eastAsiaTheme="minorEastAsia"/>
                <w:szCs w:val="21"/>
              </w:rPr>
            </w:pPr>
            <w:r>
              <w:rPr>
                <w:rFonts w:ascii="Arial Narrow" w:hAnsi="Arial Narrow" w:eastAsiaTheme="minorEastAsia"/>
                <w:color w:val="000000"/>
                <w:szCs w:val="21"/>
              </w:rPr>
              <w:t>三五一五功能鞋检测与研发中心</w:t>
            </w:r>
          </w:p>
        </w:tc>
        <w:tc>
          <w:tcPr>
            <w:tcW w:w="652" w:type="pct"/>
            <w:vAlign w:val="center"/>
          </w:tcPr>
          <w:p w14:paraId="4E4F4A94">
            <w:pPr>
              <w:ind w:right="105"/>
              <w:jc w:val="right"/>
              <w:rPr>
                <w:rFonts w:ascii="Arial Narrow" w:hAnsi="Arial Narrow" w:eastAsiaTheme="minorEastAsia"/>
                <w:szCs w:val="21"/>
              </w:rPr>
            </w:pPr>
          </w:p>
        </w:tc>
        <w:tc>
          <w:tcPr>
            <w:tcW w:w="652" w:type="pct"/>
            <w:vAlign w:val="center"/>
          </w:tcPr>
          <w:p w14:paraId="52ECE868">
            <w:pPr>
              <w:ind w:right="73"/>
              <w:jc w:val="right"/>
              <w:rPr>
                <w:rFonts w:ascii="Arial Narrow" w:hAnsi="Arial Narrow" w:eastAsiaTheme="minorEastAsia"/>
                <w:szCs w:val="21"/>
              </w:rPr>
            </w:pPr>
          </w:p>
        </w:tc>
        <w:tc>
          <w:tcPr>
            <w:tcW w:w="645" w:type="pct"/>
            <w:vAlign w:val="center"/>
          </w:tcPr>
          <w:p w14:paraId="659CB30C">
            <w:pPr>
              <w:ind w:right="73"/>
              <w:jc w:val="right"/>
              <w:rPr>
                <w:rFonts w:ascii="Arial Narrow" w:hAnsi="Arial Narrow" w:eastAsiaTheme="minorEastAsia"/>
                <w:szCs w:val="21"/>
              </w:rPr>
            </w:pPr>
          </w:p>
        </w:tc>
        <w:tc>
          <w:tcPr>
            <w:tcW w:w="684" w:type="pct"/>
            <w:vAlign w:val="center"/>
          </w:tcPr>
          <w:p w14:paraId="478DC853">
            <w:pPr>
              <w:jc w:val="right"/>
              <w:rPr>
                <w:rFonts w:ascii="Arial Narrow" w:hAnsi="Arial Narrow" w:eastAsiaTheme="minorEastAsia"/>
                <w:szCs w:val="21"/>
              </w:rPr>
            </w:pPr>
            <w:r>
              <w:rPr>
                <w:rFonts w:ascii="Arial Narrow" w:hAnsi="Arial Narrow" w:eastAsiaTheme="minorEastAsia"/>
                <w:color w:val="000000"/>
                <w:szCs w:val="21"/>
              </w:rPr>
              <w:t>18,946,527.40</w:t>
            </w:r>
          </w:p>
        </w:tc>
        <w:tc>
          <w:tcPr>
            <w:tcW w:w="652" w:type="pct"/>
            <w:vAlign w:val="center"/>
          </w:tcPr>
          <w:p w14:paraId="254AE063">
            <w:pPr>
              <w:jc w:val="right"/>
              <w:rPr>
                <w:rFonts w:ascii="Arial Narrow" w:hAnsi="Arial Narrow" w:eastAsiaTheme="minorEastAsia"/>
                <w:szCs w:val="21"/>
              </w:rPr>
            </w:pPr>
          </w:p>
        </w:tc>
        <w:tc>
          <w:tcPr>
            <w:tcW w:w="683" w:type="pct"/>
            <w:vAlign w:val="center"/>
          </w:tcPr>
          <w:p w14:paraId="448EED56">
            <w:pPr>
              <w:jc w:val="right"/>
              <w:rPr>
                <w:rFonts w:ascii="Arial Narrow" w:hAnsi="Arial Narrow" w:eastAsiaTheme="minorEastAsia"/>
                <w:szCs w:val="21"/>
              </w:rPr>
            </w:pPr>
            <w:r>
              <w:rPr>
                <w:rFonts w:ascii="Arial Narrow" w:hAnsi="Arial Narrow" w:eastAsiaTheme="minorEastAsia"/>
                <w:color w:val="000000"/>
                <w:szCs w:val="21"/>
              </w:rPr>
              <w:t>18,946,527.40</w:t>
            </w:r>
          </w:p>
        </w:tc>
      </w:tr>
      <w:tr w14:paraId="7F01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6A3BFEB3">
            <w:pPr>
              <w:rPr>
                <w:rFonts w:ascii="Arial Narrow" w:hAnsi="Arial Narrow" w:eastAsiaTheme="minorEastAsia"/>
                <w:szCs w:val="21"/>
              </w:rPr>
            </w:pPr>
            <w:r>
              <w:rPr>
                <w:rFonts w:ascii="Arial Narrow" w:hAnsi="Arial Narrow" w:eastAsiaTheme="minorEastAsia"/>
                <w:color w:val="000000"/>
                <w:szCs w:val="21"/>
              </w:rPr>
              <w:t>橡胶工业公租房项目</w:t>
            </w:r>
          </w:p>
        </w:tc>
        <w:tc>
          <w:tcPr>
            <w:tcW w:w="652" w:type="pct"/>
            <w:vAlign w:val="center"/>
          </w:tcPr>
          <w:p w14:paraId="1AA70813">
            <w:pPr>
              <w:ind w:right="105"/>
              <w:jc w:val="right"/>
              <w:rPr>
                <w:rFonts w:ascii="Arial Narrow" w:hAnsi="Arial Narrow" w:eastAsiaTheme="minorEastAsia"/>
                <w:szCs w:val="21"/>
              </w:rPr>
            </w:pPr>
            <w:r>
              <w:rPr>
                <w:rFonts w:ascii="Arial Narrow" w:hAnsi="Arial Narrow" w:eastAsiaTheme="minorEastAsia"/>
                <w:color w:val="000000"/>
                <w:szCs w:val="21"/>
              </w:rPr>
              <w:t>8,242,971.51</w:t>
            </w:r>
          </w:p>
        </w:tc>
        <w:tc>
          <w:tcPr>
            <w:tcW w:w="652" w:type="pct"/>
            <w:vAlign w:val="center"/>
          </w:tcPr>
          <w:p w14:paraId="14ED7BB9">
            <w:pPr>
              <w:ind w:right="73"/>
              <w:jc w:val="right"/>
              <w:rPr>
                <w:rFonts w:ascii="Arial Narrow" w:hAnsi="Arial Narrow" w:eastAsiaTheme="minorEastAsia"/>
                <w:szCs w:val="21"/>
              </w:rPr>
            </w:pPr>
            <w:r>
              <w:rPr>
                <w:rFonts w:ascii="Arial Narrow" w:hAnsi="Arial Narrow" w:eastAsiaTheme="minorEastAsia"/>
                <w:color w:val="000000"/>
                <w:szCs w:val="21"/>
              </w:rPr>
              <w:t>8,242,971.51</w:t>
            </w:r>
          </w:p>
        </w:tc>
        <w:tc>
          <w:tcPr>
            <w:tcW w:w="645" w:type="pct"/>
            <w:vAlign w:val="center"/>
          </w:tcPr>
          <w:p w14:paraId="75B0323C">
            <w:pPr>
              <w:ind w:right="73"/>
              <w:jc w:val="right"/>
              <w:rPr>
                <w:rFonts w:ascii="Arial Narrow" w:hAnsi="Arial Narrow" w:eastAsiaTheme="minorEastAsia"/>
                <w:szCs w:val="21"/>
              </w:rPr>
            </w:pPr>
          </w:p>
        </w:tc>
        <w:tc>
          <w:tcPr>
            <w:tcW w:w="684" w:type="pct"/>
            <w:vAlign w:val="center"/>
          </w:tcPr>
          <w:p w14:paraId="03841353">
            <w:pPr>
              <w:jc w:val="right"/>
              <w:rPr>
                <w:rFonts w:ascii="Arial Narrow" w:hAnsi="Arial Narrow" w:eastAsiaTheme="minorEastAsia"/>
                <w:szCs w:val="21"/>
              </w:rPr>
            </w:pPr>
            <w:r>
              <w:rPr>
                <w:rFonts w:ascii="Arial Narrow" w:hAnsi="Arial Narrow" w:eastAsiaTheme="minorEastAsia"/>
                <w:color w:val="000000"/>
                <w:szCs w:val="21"/>
              </w:rPr>
              <w:t>8,238,701.51</w:t>
            </w:r>
          </w:p>
        </w:tc>
        <w:tc>
          <w:tcPr>
            <w:tcW w:w="652" w:type="pct"/>
            <w:vAlign w:val="center"/>
          </w:tcPr>
          <w:p w14:paraId="7CE5FD70">
            <w:pPr>
              <w:jc w:val="right"/>
              <w:rPr>
                <w:rFonts w:ascii="Arial Narrow" w:hAnsi="Arial Narrow" w:eastAsiaTheme="minorEastAsia"/>
                <w:szCs w:val="21"/>
              </w:rPr>
            </w:pPr>
          </w:p>
        </w:tc>
        <w:tc>
          <w:tcPr>
            <w:tcW w:w="683" w:type="pct"/>
            <w:vAlign w:val="center"/>
          </w:tcPr>
          <w:p w14:paraId="1E38AAED">
            <w:pPr>
              <w:jc w:val="right"/>
              <w:rPr>
                <w:rFonts w:ascii="Arial Narrow" w:hAnsi="Arial Narrow" w:eastAsiaTheme="minorEastAsia"/>
                <w:szCs w:val="21"/>
              </w:rPr>
            </w:pPr>
            <w:r>
              <w:rPr>
                <w:rFonts w:ascii="Arial Narrow" w:hAnsi="Arial Narrow" w:eastAsiaTheme="minorEastAsia"/>
                <w:color w:val="000000"/>
                <w:szCs w:val="21"/>
              </w:rPr>
              <w:t>8,238,701.51</w:t>
            </w:r>
          </w:p>
        </w:tc>
      </w:tr>
      <w:tr w14:paraId="3FC3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3B2D0EBB">
            <w:pPr>
              <w:rPr>
                <w:rFonts w:ascii="Arial Narrow" w:hAnsi="Arial Narrow" w:eastAsiaTheme="minorEastAsia"/>
                <w:szCs w:val="21"/>
              </w:rPr>
            </w:pPr>
            <w:r>
              <w:rPr>
                <w:rFonts w:ascii="Arial Narrow" w:hAnsi="Arial Narrow" w:eastAsiaTheme="minorEastAsia"/>
                <w:color w:val="000000"/>
                <w:szCs w:val="21"/>
              </w:rPr>
              <w:t>橡胶工业在安装设备</w:t>
            </w:r>
          </w:p>
        </w:tc>
        <w:tc>
          <w:tcPr>
            <w:tcW w:w="652" w:type="pct"/>
            <w:vAlign w:val="center"/>
          </w:tcPr>
          <w:p w14:paraId="4A9AE297">
            <w:pPr>
              <w:ind w:right="105"/>
              <w:jc w:val="right"/>
              <w:rPr>
                <w:rFonts w:ascii="Arial Narrow" w:hAnsi="Arial Narrow" w:eastAsiaTheme="minorEastAsia"/>
                <w:szCs w:val="21"/>
              </w:rPr>
            </w:pPr>
          </w:p>
        </w:tc>
        <w:tc>
          <w:tcPr>
            <w:tcW w:w="652" w:type="pct"/>
            <w:vAlign w:val="center"/>
          </w:tcPr>
          <w:p w14:paraId="32F39FB6">
            <w:pPr>
              <w:ind w:right="73"/>
              <w:jc w:val="right"/>
              <w:rPr>
                <w:rFonts w:ascii="Arial Narrow" w:hAnsi="Arial Narrow" w:eastAsiaTheme="minorEastAsia"/>
                <w:szCs w:val="21"/>
              </w:rPr>
            </w:pPr>
          </w:p>
        </w:tc>
        <w:tc>
          <w:tcPr>
            <w:tcW w:w="645" w:type="pct"/>
            <w:vAlign w:val="center"/>
          </w:tcPr>
          <w:p w14:paraId="4742CF53">
            <w:pPr>
              <w:ind w:right="73"/>
              <w:jc w:val="right"/>
              <w:rPr>
                <w:rFonts w:ascii="Arial Narrow" w:hAnsi="Arial Narrow" w:eastAsiaTheme="minorEastAsia"/>
                <w:szCs w:val="21"/>
              </w:rPr>
            </w:pPr>
          </w:p>
        </w:tc>
        <w:tc>
          <w:tcPr>
            <w:tcW w:w="684" w:type="pct"/>
            <w:vAlign w:val="center"/>
          </w:tcPr>
          <w:p w14:paraId="6918848F">
            <w:pPr>
              <w:jc w:val="right"/>
              <w:rPr>
                <w:rFonts w:ascii="Arial Narrow" w:hAnsi="Arial Narrow" w:eastAsiaTheme="minorEastAsia"/>
                <w:szCs w:val="21"/>
              </w:rPr>
            </w:pPr>
            <w:r>
              <w:rPr>
                <w:rFonts w:ascii="Arial Narrow" w:hAnsi="Arial Narrow" w:eastAsiaTheme="minorEastAsia"/>
                <w:color w:val="000000"/>
                <w:szCs w:val="21"/>
              </w:rPr>
              <w:t>2,433,070.96</w:t>
            </w:r>
          </w:p>
        </w:tc>
        <w:tc>
          <w:tcPr>
            <w:tcW w:w="652" w:type="pct"/>
            <w:vAlign w:val="center"/>
          </w:tcPr>
          <w:p w14:paraId="6CA240E2">
            <w:pPr>
              <w:jc w:val="right"/>
              <w:rPr>
                <w:rFonts w:ascii="Arial Narrow" w:hAnsi="Arial Narrow" w:eastAsiaTheme="minorEastAsia"/>
                <w:szCs w:val="21"/>
              </w:rPr>
            </w:pPr>
          </w:p>
        </w:tc>
        <w:tc>
          <w:tcPr>
            <w:tcW w:w="683" w:type="pct"/>
            <w:vAlign w:val="center"/>
          </w:tcPr>
          <w:p w14:paraId="279FFD43">
            <w:pPr>
              <w:jc w:val="right"/>
              <w:rPr>
                <w:rFonts w:ascii="Arial Narrow" w:hAnsi="Arial Narrow" w:eastAsiaTheme="minorEastAsia"/>
                <w:szCs w:val="21"/>
              </w:rPr>
            </w:pPr>
            <w:r>
              <w:rPr>
                <w:rFonts w:ascii="Arial Narrow" w:hAnsi="Arial Narrow" w:eastAsiaTheme="minorEastAsia"/>
                <w:color w:val="000000"/>
                <w:szCs w:val="21"/>
              </w:rPr>
              <w:t>2,433,070.96</w:t>
            </w:r>
          </w:p>
        </w:tc>
      </w:tr>
      <w:tr w14:paraId="4F94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219F44D1">
            <w:pPr>
              <w:rPr>
                <w:rFonts w:ascii="Arial Narrow" w:hAnsi="Arial Narrow" w:eastAsiaTheme="minorEastAsia"/>
                <w:color w:val="000000"/>
                <w:szCs w:val="21"/>
              </w:rPr>
            </w:pPr>
            <w:r>
              <w:rPr>
                <w:rFonts w:ascii="Arial Narrow" w:hAnsi="Arial Narrow" w:eastAsiaTheme="minorEastAsia"/>
                <w:color w:val="000000"/>
                <w:szCs w:val="21"/>
              </w:rPr>
              <w:t>重庆目的地 CQJH005002 滑雪场酒店</w:t>
            </w:r>
          </w:p>
        </w:tc>
        <w:tc>
          <w:tcPr>
            <w:tcW w:w="652" w:type="pct"/>
            <w:vAlign w:val="center"/>
          </w:tcPr>
          <w:p w14:paraId="761FCF21">
            <w:pPr>
              <w:ind w:right="105"/>
              <w:jc w:val="right"/>
              <w:rPr>
                <w:rFonts w:ascii="Arial Narrow" w:hAnsi="Arial Narrow" w:eastAsiaTheme="minorEastAsia"/>
                <w:szCs w:val="21"/>
              </w:rPr>
            </w:pPr>
          </w:p>
        </w:tc>
        <w:tc>
          <w:tcPr>
            <w:tcW w:w="652" w:type="pct"/>
            <w:vAlign w:val="center"/>
          </w:tcPr>
          <w:p w14:paraId="3D5A1096">
            <w:pPr>
              <w:ind w:right="73"/>
              <w:jc w:val="right"/>
              <w:rPr>
                <w:rFonts w:ascii="Arial Narrow" w:hAnsi="Arial Narrow" w:eastAsiaTheme="minorEastAsia"/>
                <w:szCs w:val="21"/>
              </w:rPr>
            </w:pPr>
          </w:p>
        </w:tc>
        <w:tc>
          <w:tcPr>
            <w:tcW w:w="645" w:type="pct"/>
            <w:vAlign w:val="center"/>
          </w:tcPr>
          <w:p w14:paraId="433B1E0A">
            <w:pPr>
              <w:ind w:right="73"/>
              <w:jc w:val="right"/>
              <w:rPr>
                <w:rFonts w:ascii="Arial Narrow" w:hAnsi="Arial Narrow" w:eastAsiaTheme="minorEastAsia"/>
                <w:szCs w:val="21"/>
              </w:rPr>
            </w:pPr>
          </w:p>
        </w:tc>
        <w:tc>
          <w:tcPr>
            <w:tcW w:w="684" w:type="pct"/>
            <w:vAlign w:val="center"/>
          </w:tcPr>
          <w:p w14:paraId="4DFC2D6A">
            <w:pPr>
              <w:jc w:val="right"/>
              <w:rPr>
                <w:rFonts w:ascii="Arial Narrow" w:hAnsi="Arial Narrow" w:eastAsiaTheme="minorEastAsia"/>
                <w:color w:val="000000"/>
                <w:szCs w:val="21"/>
              </w:rPr>
            </w:pPr>
            <w:r>
              <w:rPr>
                <w:rFonts w:ascii="Arial Narrow" w:hAnsi="Arial Narrow" w:eastAsiaTheme="minorEastAsia"/>
                <w:color w:val="000000"/>
                <w:szCs w:val="21"/>
              </w:rPr>
              <w:t>1,679,974.62</w:t>
            </w:r>
          </w:p>
        </w:tc>
        <w:tc>
          <w:tcPr>
            <w:tcW w:w="652" w:type="pct"/>
            <w:vAlign w:val="center"/>
          </w:tcPr>
          <w:p w14:paraId="5E6715CB">
            <w:pPr>
              <w:jc w:val="right"/>
              <w:rPr>
                <w:rFonts w:ascii="Arial Narrow" w:hAnsi="Arial Narrow" w:eastAsiaTheme="minorEastAsia"/>
                <w:szCs w:val="21"/>
              </w:rPr>
            </w:pPr>
          </w:p>
        </w:tc>
        <w:tc>
          <w:tcPr>
            <w:tcW w:w="683" w:type="pct"/>
            <w:vAlign w:val="center"/>
          </w:tcPr>
          <w:p w14:paraId="33BC083B">
            <w:pPr>
              <w:jc w:val="right"/>
              <w:rPr>
                <w:rFonts w:ascii="Arial Narrow" w:hAnsi="Arial Narrow" w:eastAsiaTheme="minorEastAsia"/>
                <w:color w:val="000000"/>
                <w:szCs w:val="21"/>
              </w:rPr>
            </w:pPr>
            <w:r>
              <w:rPr>
                <w:rFonts w:ascii="Arial Narrow" w:hAnsi="Arial Narrow" w:eastAsiaTheme="minorEastAsia"/>
                <w:color w:val="000000"/>
                <w:szCs w:val="21"/>
              </w:rPr>
              <w:t>1,679,974.62</w:t>
            </w:r>
          </w:p>
        </w:tc>
      </w:tr>
      <w:tr w14:paraId="3761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tcPr>
          <w:p w14:paraId="253A9D61">
            <w:pPr>
              <w:rPr>
                <w:rFonts w:ascii="Arial Narrow" w:hAnsi="Arial Narrow" w:eastAsiaTheme="minorEastAsia"/>
                <w:color w:val="000000"/>
                <w:szCs w:val="21"/>
              </w:rPr>
            </w:pPr>
            <w:r>
              <w:rPr>
                <w:rFonts w:ascii="Arial Narrow" w:hAnsi="Arial Narrow" w:eastAsiaTheme="minorEastAsia"/>
                <w:color w:val="000000"/>
                <w:szCs w:val="21"/>
              </w:rPr>
              <w:t>其他</w:t>
            </w:r>
          </w:p>
        </w:tc>
        <w:tc>
          <w:tcPr>
            <w:tcW w:w="652" w:type="pct"/>
            <w:vAlign w:val="center"/>
          </w:tcPr>
          <w:p w14:paraId="54B45C1E">
            <w:pPr>
              <w:ind w:right="105"/>
              <w:jc w:val="right"/>
              <w:rPr>
                <w:rFonts w:ascii="Arial Narrow" w:hAnsi="Arial Narrow" w:eastAsiaTheme="minorEastAsia"/>
                <w:szCs w:val="21"/>
              </w:rPr>
            </w:pPr>
            <w:r>
              <w:rPr>
                <w:rFonts w:ascii="Arial Narrow" w:hAnsi="Arial Narrow" w:eastAsiaTheme="minorEastAsia"/>
                <w:color w:val="000000"/>
                <w:szCs w:val="21"/>
              </w:rPr>
              <w:t>4,860,282.56</w:t>
            </w:r>
          </w:p>
        </w:tc>
        <w:tc>
          <w:tcPr>
            <w:tcW w:w="652" w:type="pct"/>
            <w:vAlign w:val="center"/>
          </w:tcPr>
          <w:p w14:paraId="263EC87C">
            <w:pPr>
              <w:ind w:right="73"/>
              <w:jc w:val="right"/>
              <w:rPr>
                <w:rFonts w:ascii="Arial Narrow" w:hAnsi="Arial Narrow" w:eastAsiaTheme="minorEastAsia"/>
                <w:szCs w:val="21"/>
              </w:rPr>
            </w:pPr>
            <w:r>
              <w:rPr>
                <w:rFonts w:ascii="Arial Narrow" w:hAnsi="Arial Narrow" w:eastAsiaTheme="minorEastAsia"/>
                <w:color w:val="000000"/>
                <w:szCs w:val="21"/>
              </w:rPr>
              <w:t>2,371,702.68</w:t>
            </w:r>
          </w:p>
        </w:tc>
        <w:tc>
          <w:tcPr>
            <w:tcW w:w="645" w:type="pct"/>
            <w:vAlign w:val="center"/>
          </w:tcPr>
          <w:p w14:paraId="519E11DD">
            <w:pPr>
              <w:ind w:right="73"/>
              <w:jc w:val="right"/>
              <w:rPr>
                <w:rFonts w:ascii="Arial Narrow" w:hAnsi="Arial Narrow" w:eastAsiaTheme="minorEastAsia"/>
                <w:szCs w:val="21"/>
              </w:rPr>
            </w:pPr>
            <w:r>
              <w:rPr>
                <w:rFonts w:ascii="Arial Narrow" w:hAnsi="Arial Narrow" w:eastAsiaTheme="minorEastAsia"/>
                <w:color w:val="000000"/>
                <w:szCs w:val="21"/>
              </w:rPr>
              <w:t>2,488,579.88</w:t>
            </w:r>
          </w:p>
        </w:tc>
        <w:tc>
          <w:tcPr>
            <w:tcW w:w="684" w:type="pct"/>
            <w:vAlign w:val="center"/>
          </w:tcPr>
          <w:p w14:paraId="38203CCD">
            <w:pPr>
              <w:jc w:val="right"/>
              <w:rPr>
                <w:rFonts w:ascii="Arial Narrow" w:hAnsi="Arial Narrow" w:eastAsiaTheme="minorEastAsia"/>
                <w:color w:val="000000"/>
                <w:szCs w:val="21"/>
              </w:rPr>
            </w:pPr>
            <w:r>
              <w:rPr>
                <w:rFonts w:ascii="Arial Narrow" w:hAnsi="Arial Narrow" w:eastAsiaTheme="minorEastAsia"/>
                <w:color w:val="000000"/>
                <w:szCs w:val="21"/>
              </w:rPr>
              <w:t>9,949,561.10</w:t>
            </w:r>
          </w:p>
        </w:tc>
        <w:tc>
          <w:tcPr>
            <w:tcW w:w="652" w:type="pct"/>
            <w:vAlign w:val="center"/>
          </w:tcPr>
          <w:p w14:paraId="47C9656E">
            <w:pPr>
              <w:jc w:val="right"/>
              <w:rPr>
                <w:rFonts w:ascii="Arial Narrow" w:hAnsi="Arial Narrow" w:eastAsiaTheme="minorEastAsia"/>
                <w:szCs w:val="21"/>
              </w:rPr>
            </w:pPr>
            <w:r>
              <w:rPr>
                <w:rFonts w:ascii="Arial Narrow" w:hAnsi="Arial Narrow" w:eastAsiaTheme="minorEastAsia"/>
                <w:color w:val="000000"/>
                <w:szCs w:val="21"/>
              </w:rPr>
              <w:t>2,371,702.68</w:t>
            </w:r>
          </w:p>
        </w:tc>
        <w:tc>
          <w:tcPr>
            <w:tcW w:w="683" w:type="pct"/>
            <w:vAlign w:val="center"/>
          </w:tcPr>
          <w:p w14:paraId="14450874">
            <w:pPr>
              <w:jc w:val="right"/>
              <w:rPr>
                <w:rFonts w:ascii="Arial Narrow" w:hAnsi="Arial Narrow" w:eastAsiaTheme="minorEastAsia"/>
                <w:color w:val="000000"/>
                <w:szCs w:val="21"/>
              </w:rPr>
            </w:pPr>
            <w:r>
              <w:rPr>
                <w:rFonts w:ascii="Arial Narrow" w:hAnsi="Arial Narrow" w:eastAsiaTheme="minorEastAsia"/>
                <w:color w:val="000000"/>
                <w:szCs w:val="21"/>
              </w:rPr>
              <w:t>7,577,858.42</w:t>
            </w:r>
          </w:p>
        </w:tc>
      </w:tr>
      <w:tr w14:paraId="3149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32" w:type="pct"/>
            <w:vAlign w:val="center"/>
          </w:tcPr>
          <w:p w14:paraId="547BD2CB">
            <w:pPr>
              <w:jc w:val="center"/>
              <w:rPr>
                <w:rFonts w:ascii="Arial Narrow" w:hAnsi="Arial Narrow" w:eastAsiaTheme="minorEastAsia"/>
                <w:szCs w:val="21"/>
              </w:rPr>
            </w:pPr>
            <w:r>
              <w:rPr>
                <w:rFonts w:ascii="Arial Narrow" w:hAnsi="Arial Narrow" w:eastAsiaTheme="minorEastAsia"/>
                <w:szCs w:val="21"/>
              </w:rPr>
              <w:t>合计</w:t>
            </w:r>
          </w:p>
        </w:tc>
        <w:tc>
          <w:tcPr>
            <w:tcW w:w="652" w:type="pct"/>
            <w:vAlign w:val="center"/>
          </w:tcPr>
          <w:p w14:paraId="2D5295E1">
            <w:pPr>
              <w:ind w:right="105"/>
              <w:jc w:val="right"/>
              <w:rPr>
                <w:rFonts w:ascii="Arial Narrow" w:hAnsi="Arial Narrow" w:eastAsiaTheme="minorEastAsia"/>
                <w:szCs w:val="21"/>
              </w:rPr>
            </w:pPr>
            <w:r>
              <w:rPr>
                <w:rFonts w:ascii="Arial Narrow" w:hAnsi="Arial Narrow" w:eastAsiaTheme="minorEastAsia"/>
                <w:color w:val="000000"/>
                <w:szCs w:val="21"/>
              </w:rPr>
              <w:t>992,430,459.38</w:t>
            </w:r>
          </w:p>
        </w:tc>
        <w:tc>
          <w:tcPr>
            <w:tcW w:w="652" w:type="pct"/>
            <w:vAlign w:val="center"/>
          </w:tcPr>
          <w:p w14:paraId="544CB44D">
            <w:pPr>
              <w:ind w:right="73"/>
              <w:jc w:val="right"/>
              <w:rPr>
                <w:rFonts w:ascii="Arial Narrow" w:hAnsi="Arial Narrow" w:eastAsiaTheme="minorEastAsia"/>
                <w:szCs w:val="21"/>
              </w:rPr>
            </w:pPr>
            <w:r>
              <w:rPr>
                <w:rFonts w:ascii="Arial Narrow" w:hAnsi="Arial Narrow" w:eastAsiaTheme="minorEastAsia"/>
                <w:color w:val="000000"/>
                <w:szCs w:val="21"/>
              </w:rPr>
              <w:t>716,828,932.80</w:t>
            </w:r>
          </w:p>
        </w:tc>
        <w:tc>
          <w:tcPr>
            <w:tcW w:w="645" w:type="pct"/>
            <w:vAlign w:val="center"/>
          </w:tcPr>
          <w:p w14:paraId="1DADC677">
            <w:pPr>
              <w:ind w:right="73"/>
              <w:jc w:val="right"/>
              <w:rPr>
                <w:rFonts w:ascii="Arial Narrow" w:hAnsi="Arial Narrow" w:eastAsiaTheme="minorEastAsia"/>
                <w:szCs w:val="21"/>
              </w:rPr>
            </w:pPr>
            <w:r>
              <w:rPr>
                <w:rFonts w:ascii="Arial Narrow" w:hAnsi="Arial Narrow" w:eastAsiaTheme="minorEastAsia"/>
                <w:color w:val="000000"/>
                <w:szCs w:val="21"/>
              </w:rPr>
              <w:t>275,601,526.58</w:t>
            </w:r>
          </w:p>
        </w:tc>
        <w:tc>
          <w:tcPr>
            <w:tcW w:w="684" w:type="pct"/>
            <w:vAlign w:val="center"/>
          </w:tcPr>
          <w:p w14:paraId="2EA38A90">
            <w:pPr>
              <w:jc w:val="right"/>
              <w:rPr>
                <w:rFonts w:ascii="Arial Narrow" w:hAnsi="Arial Narrow" w:eastAsiaTheme="minorEastAsia"/>
                <w:szCs w:val="21"/>
              </w:rPr>
            </w:pPr>
            <w:r>
              <w:rPr>
                <w:rFonts w:ascii="Arial Narrow" w:hAnsi="Arial Narrow" w:eastAsiaTheme="minorEastAsia"/>
                <w:color w:val="000000"/>
                <w:szCs w:val="21"/>
              </w:rPr>
              <w:t>1,430,059,418.86</w:t>
            </w:r>
          </w:p>
        </w:tc>
        <w:tc>
          <w:tcPr>
            <w:tcW w:w="652" w:type="pct"/>
            <w:vAlign w:val="center"/>
          </w:tcPr>
          <w:p w14:paraId="53078D27">
            <w:pPr>
              <w:jc w:val="right"/>
              <w:rPr>
                <w:rFonts w:ascii="Arial Narrow" w:hAnsi="Arial Narrow" w:eastAsiaTheme="minorEastAsia"/>
                <w:szCs w:val="21"/>
              </w:rPr>
            </w:pPr>
            <w:r>
              <w:rPr>
                <w:rFonts w:ascii="Arial Narrow" w:hAnsi="Arial Narrow" w:eastAsiaTheme="minorEastAsia"/>
                <w:color w:val="000000"/>
                <w:szCs w:val="21"/>
              </w:rPr>
              <w:t>2,371,702.68</w:t>
            </w:r>
          </w:p>
        </w:tc>
        <w:tc>
          <w:tcPr>
            <w:tcW w:w="683" w:type="pct"/>
            <w:vAlign w:val="center"/>
          </w:tcPr>
          <w:p w14:paraId="63BEFF03">
            <w:pPr>
              <w:jc w:val="right"/>
              <w:rPr>
                <w:rFonts w:ascii="Arial Narrow" w:hAnsi="Arial Narrow" w:eastAsiaTheme="minorEastAsia"/>
                <w:szCs w:val="21"/>
              </w:rPr>
            </w:pPr>
            <w:r>
              <w:rPr>
                <w:rFonts w:ascii="Arial Narrow" w:hAnsi="Arial Narrow" w:eastAsiaTheme="minorEastAsia"/>
                <w:color w:val="000000"/>
                <w:szCs w:val="21"/>
              </w:rPr>
              <w:t>1,427,687,716.18</w:t>
            </w:r>
          </w:p>
        </w:tc>
      </w:tr>
    </w:tbl>
    <w:p w14:paraId="7E29FC3F">
      <w:pPr>
        <w:rPr>
          <w:rFonts w:hint="eastAsia"/>
        </w:rPr>
      </w:pPr>
    </w:p>
    <w:p w14:paraId="2BBF08C8">
      <w:pPr>
        <w:pStyle w:val="72"/>
        <w:numPr>
          <w:ilvl w:val="0"/>
          <w:numId w:val="126"/>
        </w:numPr>
        <w:ind w:leftChars="0"/>
      </w:pPr>
      <w:r>
        <w:rPr>
          <w:rFonts w:hint="eastAsia"/>
        </w:rPr>
        <w:t>重要在建工程项目本期变动情况</w:t>
      </w:r>
    </w:p>
    <w:sdt>
      <w:sdtPr>
        <w:alias w:val="是否适用：重要在建工程项目本期变动情况[双击切换]"/>
        <w:tag w:val="_GBC_964f4529e8234c358a8541e8c4754ec8"/>
        <w:id w:val="-1551843077"/>
        <w:placeholder>
          <w:docPart w:val="GBC22222222222222222222222222222"/>
        </w:placeholder>
      </w:sdtPr>
      <w:sdtContent>
        <w:p w14:paraId="5AC098E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9B7A5C0">
      <w:pPr>
        <w:jc w:val="right"/>
        <w:rPr>
          <w:rFonts w:hint="eastAsia"/>
          <w:szCs w:val="21"/>
        </w:rPr>
      </w:pPr>
      <w:r>
        <w:rPr>
          <w:rFonts w:hint="eastAsia"/>
          <w:szCs w:val="21"/>
        </w:rPr>
        <w:t>单位：</w:t>
      </w:r>
      <w:sdt>
        <w:sdtPr>
          <w:rPr>
            <w:rFonts w:hint="eastAsia"/>
            <w:szCs w:val="21"/>
          </w:rPr>
          <w:alias w:val="单位：财务附注：在建工程项目变动情况"/>
          <w:tag w:val="_GBC_9057dff5be8544c398fdbd55cff334f7"/>
          <w:id w:val="-10575450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财务附注：在建工程项目变动情况"/>
          <w:tag w:val="_GBC_110e0fe0dd4f471bae83a62e58e88d74"/>
          <w:id w:val="-9833127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2"/>
        <w:gridCol w:w="1295"/>
        <w:gridCol w:w="1295"/>
        <w:gridCol w:w="1178"/>
        <w:gridCol w:w="1192"/>
        <w:gridCol w:w="1195"/>
        <w:gridCol w:w="1178"/>
        <w:gridCol w:w="948"/>
        <w:gridCol w:w="837"/>
        <w:gridCol w:w="1303"/>
      </w:tblGrid>
      <w:tr w14:paraId="6496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0072ffbc51294cefbe17dde844d0e5ed"/>
            <w:id w:val="2138600378"/>
          </w:sdtPr>
          <w:sdtEndPr>
            <w:rPr>
              <w:rFonts w:ascii="Arial Narrow" w:hAnsi="Arial Narrow" w:eastAsiaTheme="minorEastAsia"/>
            </w:rPr>
          </w:sdtEndPr>
          <w:sdtContent>
            <w:tc>
              <w:tcPr>
                <w:tcW w:w="1241" w:type="pct"/>
                <w:shd w:val="clear" w:color="auto" w:fill="auto"/>
                <w:vAlign w:val="center"/>
              </w:tcPr>
              <w:p w14:paraId="055E6E93">
                <w:pPr>
                  <w:jc w:val="center"/>
                  <w:rPr>
                    <w:rFonts w:ascii="Arial Narrow" w:hAnsi="Arial Narrow" w:eastAsiaTheme="minorEastAsia"/>
                    <w:szCs w:val="21"/>
                  </w:rPr>
                </w:pPr>
                <w:r>
                  <w:rPr>
                    <w:rFonts w:ascii="Arial Narrow" w:hAnsi="Arial Narrow" w:eastAsiaTheme="minorEastAsia"/>
                    <w:szCs w:val="21"/>
                  </w:rPr>
                  <w:t>项目名称</w:t>
                </w:r>
              </w:p>
            </w:tc>
          </w:sdtContent>
        </w:sdt>
        <w:sdt>
          <w:sdtPr>
            <w:rPr>
              <w:rFonts w:ascii="Arial Narrow" w:hAnsi="Arial Narrow" w:eastAsiaTheme="minorEastAsia"/>
            </w:rPr>
            <w:tag w:val="_PLD_6349ea6a696f4d27b00b071275a38ea5"/>
            <w:id w:val="-216742487"/>
          </w:sdtPr>
          <w:sdtEndPr>
            <w:rPr>
              <w:rFonts w:ascii="Arial Narrow" w:hAnsi="Arial Narrow" w:eastAsiaTheme="minorEastAsia"/>
            </w:rPr>
          </w:sdtEndPr>
          <w:sdtContent>
            <w:tc>
              <w:tcPr>
                <w:tcW w:w="467" w:type="pct"/>
                <w:shd w:val="clear" w:color="auto" w:fill="auto"/>
                <w:vAlign w:val="center"/>
              </w:tcPr>
              <w:p w14:paraId="12C4BD3F">
                <w:pPr>
                  <w:jc w:val="center"/>
                  <w:rPr>
                    <w:rFonts w:ascii="Arial Narrow" w:hAnsi="Arial Narrow" w:eastAsiaTheme="minorEastAsia"/>
                    <w:szCs w:val="21"/>
                  </w:rPr>
                </w:pPr>
                <w:r>
                  <w:rPr>
                    <w:rFonts w:ascii="Arial Narrow" w:hAnsi="Arial Narrow" w:eastAsiaTheme="minorEastAsia"/>
                    <w:szCs w:val="21"/>
                  </w:rPr>
                  <w:t>预算数</w:t>
                </w:r>
              </w:p>
            </w:tc>
          </w:sdtContent>
        </w:sdt>
        <w:sdt>
          <w:sdtPr>
            <w:rPr>
              <w:rFonts w:ascii="Arial Narrow" w:hAnsi="Arial Narrow" w:eastAsiaTheme="minorEastAsia"/>
            </w:rPr>
            <w:tag w:val="_PLD_392420deb7e94f0a8026947a325da4f4"/>
            <w:id w:val="1003855594"/>
          </w:sdtPr>
          <w:sdtEndPr>
            <w:rPr>
              <w:rFonts w:ascii="Arial Narrow" w:hAnsi="Arial Narrow" w:eastAsiaTheme="minorEastAsia"/>
            </w:rPr>
          </w:sdtEndPr>
          <w:sdtContent>
            <w:tc>
              <w:tcPr>
                <w:tcW w:w="467" w:type="pct"/>
                <w:shd w:val="clear" w:color="auto" w:fill="auto"/>
                <w:vAlign w:val="center"/>
              </w:tcPr>
              <w:p w14:paraId="209CC413">
                <w:pPr>
                  <w:jc w:val="center"/>
                  <w:rPr>
                    <w:rFonts w:ascii="Arial Narrow" w:hAnsi="Arial Narrow" w:eastAsiaTheme="minorEastAsia"/>
                    <w:szCs w:val="21"/>
                  </w:rPr>
                </w:pPr>
                <w:r>
                  <w:rPr>
                    <w:rFonts w:ascii="Arial Narrow" w:hAnsi="Arial Narrow" w:eastAsiaTheme="minorEastAsia"/>
                    <w:szCs w:val="21"/>
                  </w:rPr>
                  <w:t>期初</w:t>
                </w:r>
              </w:p>
              <w:p w14:paraId="391ACA7F">
                <w:pPr>
                  <w:jc w:val="center"/>
                  <w:rPr>
                    <w:rFonts w:ascii="Arial Narrow" w:hAnsi="Arial Narrow" w:eastAsiaTheme="minorEastAsia"/>
                    <w:szCs w:val="21"/>
                  </w:rPr>
                </w:pPr>
                <w:r>
                  <w:rPr>
                    <w:rFonts w:ascii="Arial Narrow" w:hAnsi="Arial Narrow" w:eastAsiaTheme="minorEastAsia"/>
                    <w:szCs w:val="21"/>
                  </w:rPr>
                  <w:t>余额</w:t>
                </w:r>
              </w:p>
            </w:tc>
          </w:sdtContent>
        </w:sdt>
        <w:sdt>
          <w:sdtPr>
            <w:rPr>
              <w:rFonts w:ascii="Arial Narrow" w:hAnsi="Arial Narrow" w:eastAsiaTheme="minorEastAsia"/>
            </w:rPr>
            <w:tag w:val="_PLD_de4faed3465b4da6b8ac35d7e677431c"/>
            <w:id w:val="-468911373"/>
          </w:sdtPr>
          <w:sdtEndPr>
            <w:rPr>
              <w:rFonts w:ascii="Arial Narrow" w:hAnsi="Arial Narrow" w:eastAsiaTheme="minorEastAsia"/>
            </w:rPr>
          </w:sdtEndPr>
          <w:sdtContent>
            <w:tc>
              <w:tcPr>
                <w:tcW w:w="425" w:type="pct"/>
                <w:shd w:val="clear" w:color="auto" w:fill="auto"/>
                <w:vAlign w:val="center"/>
              </w:tcPr>
              <w:p w14:paraId="53D72973">
                <w:pPr>
                  <w:jc w:val="center"/>
                  <w:rPr>
                    <w:rFonts w:ascii="Arial Narrow" w:hAnsi="Arial Narrow" w:eastAsiaTheme="minorEastAsia"/>
                    <w:szCs w:val="21"/>
                  </w:rPr>
                </w:pPr>
                <w:r>
                  <w:rPr>
                    <w:rFonts w:ascii="Arial Narrow" w:hAnsi="Arial Narrow" w:eastAsiaTheme="minorEastAsia"/>
                    <w:szCs w:val="21"/>
                  </w:rPr>
                  <w:t>本期增加金额</w:t>
                </w:r>
              </w:p>
            </w:tc>
          </w:sdtContent>
        </w:sdt>
        <w:sdt>
          <w:sdtPr>
            <w:rPr>
              <w:rFonts w:ascii="Arial Narrow" w:hAnsi="Arial Narrow" w:eastAsiaTheme="minorEastAsia"/>
            </w:rPr>
            <w:tag w:val="_PLD_51ce4224316b4f4b99a8fb0c8e4500a5"/>
            <w:id w:val="-1612816235"/>
          </w:sdtPr>
          <w:sdtEndPr>
            <w:rPr>
              <w:rFonts w:ascii="Arial Narrow" w:hAnsi="Arial Narrow" w:eastAsiaTheme="minorEastAsia"/>
            </w:rPr>
          </w:sdtEndPr>
          <w:sdtContent>
            <w:tc>
              <w:tcPr>
                <w:tcW w:w="430" w:type="pct"/>
                <w:shd w:val="clear" w:color="auto" w:fill="auto"/>
                <w:vAlign w:val="center"/>
              </w:tcPr>
              <w:p w14:paraId="005E0D47">
                <w:pPr>
                  <w:jc w:val="center"/>
                  <w:rPr>
                    <w:rFonts w:ascii="Arial Narrow" w:hAnsi="Arial Narrow" w:eastAsiaTheme="minorEastAsia"/>
                    <w:szCs w:val="21"/>
                  </w:rPr>
                </w:pPr>
                <w:r>
                  <w:rPr>
                    <w:rFonts w:ascii="Arial Narrow" w:hAnsi="Arial Narrow" w:eastAsiaTheme="minorEastAsia"/>
                    <w:szCs w:val="21"/>
                  </w:rPr>
                  <w:t>本期转入固定资产金额</w:t>
                </w:r>
              </w:p>
            </w:tc>
          </w:sdtContent>
        </w:sdt>
        <w:sdt>
          <w:sdtPr>
            <w:rPr>
              <w:rFonts w:ascii="Arial Narrow" w:hAnsi="Arial Narrow" w:eastAsiaTheme="minorEastAsia"/>
            </w:rPr>
            <w:tag w:val="_PLD_d80ffbe10b944f57a31723041ffbcbdf"/>
            <w:id w:val="2067831166"/>
          </w:sdtPr>
          <w:sdtEndPr>
            <w:rPr>
              <w:rFonts w:ascii="Arial Narrow" w:hAnsi="Arial Narrow" w:eastAsiaTheme="minorEastAsia"/>
            </w:rPr>
          </w:sdtEndPr>
          <w:sdtContent>
            <w:tc>
              <w:tcPr>
                <w:tcW w:w="431" w:type="pct"/>
                <w:shd w:val="clear" w:color="auto" w:fill="auto"/>
                <w:vAlign w:val="center"/>
              </w:tcPr>
              <w:p w14:paraId="333010DF">
                <w:pPr>
                  <w:jc w:val="center"/>
                  <w:rPr>
                    <w:rFonts w:ascii="Arial Narrow" w:hAnsi="Arial Narrow" w:eastAsiaTheme="minorEastAsia"/>
                    <w:szCs w:val="21"/>
                  </w:rPr>
                </w:pPr>
                <w:r>
                  <w:rPr>
                    <w:rFonts w:ascii="Arial Narrow" w:hAnsi="Arial Narrow" w:eastAsiaTheme="minorEastAsia"/>
                    <w:szCs w:val="21"/>
                  </w:rPr>
                  <w:t>本期其他减少金额</w:t>
                </w:r>
              </w:p>
            </w:tc>
          </w:sdtContent>
        </w:sdt>
        <w:sdt>
          <w:sdtPr>
            <w:rPr>
              <w:rFonts w:ascii="Arial Narrow" w:hAnsi="Arial Narrow" w:eastAsiaTheme="minorEastAsia"/>
            </w:rPr>
            <w:tag w:val="_PLD_c8b617c64ad64a03834695d9bc0b8d2f"/>
            <w:id w:val="-749118345"/>
          </w:sdtPr>
          <w:sdtEndPr>
            <w:rPr>
              <w:rFonts w:ascii="Arial Narrow" w:hAnsi="Arial Narrow" w:eastAsiaTheme="minorEastAsia"/>
            </w:rPr>
          </w:sdtEndPr>
          <w:sdtContent>
            <w:tc>
              <w:tcPr>
                <w:tcW w:w="425" w:type="pct"/>
                <w:vAlign w:val="center"/>
              </w:tcPr>
              <w:p w14:paraId="5603F7B4">
                <w:pPr>
                  <w:jc w:val="center"/>
                  <w:rPr>
                    <w:rFonts w:ascii="Arial Narrow" w:hAnsi="Arial Narrow" w:eastAsiaTheme="minorEastAsia"/>
                    <w:szCs w:val="21"/>
                  </w:rPr>
                </w:pPr>
                <w:r>
                  <w:rPr>
                    <w:rFonts w:ascii="Arial Narrow" w:hAnsi="Arial Narrow" w:eastAsiaTheme="minorEastAsia"/>
                    <w:szCs w:val="21"/>
                  </w:rPr>
                  <w:t>期末</w:t>
                </w:r>
              </w:p>
              <w:p w14:paraId="7142A18F">
                <w:pPr>
                  <w:jc w:val="center"/>
                  <w:rPr>
                    <w:rFonts w:ascii="Arial Narrow" w:hAnsi="Arial Narrow" w:eastAsiaTheme="minorEastAsia"/>
                    <w:szCs w:val="21"/>
                  </w:rPr>
                </w:pPr>
                <w:r>
                  <w:rPr>
                    <w:rFonts w:ascii="Arial Narrow" w:hAnsi="Arial Narrow" w:eastAsiaTheme="minorEastAsia"/>
                    <w:szCs w:val="21"/>
                  </w:rPr>
                  <w:t>余额</w:t>
                </w:r>
              </w:p>
            </w:tc>
          </w:sdtContent>
        </w:sdt>
        <w:sdt>
          <w:sdtPr>
            <w:rPr>
              <w:rFonts w:ascii="Arial Narrow" w:hAnsi="Arial Narrow" w:eastAsiaTheme="minorEastAsia"/>
            </w:rPr>
            <w:tag w:val="_PLD_738551d97ef741f093f852402c423e47"/>
            <w:id w:val="-1776933386"/>
          </w:sdtPr>
          <w:sdtEndPr>
            <w:rPr>
              <w:rFonts w:ascii="Arial Narrow" w:hAnsi="Arial Narrow" w:eastAsiaTheme="minorEastAsia"/>
            </w:rPr>
          </w:sdtEndPr>
          <w:sdtContent>
            <w:tc>
              <w:tcPr>
                <w:tcW w:w="342" w:type="pct"/>
                <w:shd w:val="clear" w:color="auto" w:fill="auto"/>
                <w:vAlign w:val="center"/>
              </w:tcPr>
              <w:p w14:paraId="243CDDBE">
                <w:pPr>
                  <w:jc w:val="center"/>
                  <w:rPr>
                    <w:rFonts w:ascii="Arial Narrow" w:hAnsi="Arial Narrow" w:eastAsiaTheme="minorEastAsia"/>
                    <w:szCs w:val="21"/>
                  </w:rPr>
                </w:pPr>
                <w:r>
                  <w:rPr>
                    <w:rFonts w:ascii="Arial Narrow" w:hAnsi="Arial Narrow" w:eastAsiaTheme="minorEastAsia"/>
                    <w:szCs w:val="21"/>
                  </w:rPr>
                  <w:t>工程累计投入占预算比例(%)</w:t>
                </w:r>
              </w:p>
            </w:tc>
          </w:sdtContent>
        </w:sdt>
        <w:sdt>
          <w:sdtPr>
            <w:rPr>
              <w:rFonts w:ascii="Arial Narrow" w:hAnsi="Arial Narrow" w:eastAsiaTheme="minorEastAsia"/>
            </w:rPr>
            <w:tag w:val="_PLD_0f7f749f98e74f33ae9032c17002d136"/>
            <w:id w:val="-1421947652"/>
          </w:sdtPr>
          <w:sdtEndPr>
            <w:rPr>
              <w:rFonts w:ascii="Arial Narrow" w:hAnsi="Arial Narrow" w:eastAsiaTheme="minorEastAsia"/>
            </w:rPr>
          </w:sdtEndPr>
          <w:sdtContent>
            <w:tc>
              <w:tcPr>
                <w:tcW w:w="302" w:type="pct"/>
                <w:shd w:val="clear" w:color="auto" w:fill="auto"/>
                <w:vAlign w:val="center"/>
              </w:tcPr>
              <w:p w14:paraId="4E137FFD">
                <w:pPr>
                  <w:jc w:val="center"/>
                  <w:rPr>
                    <w:rFonts w:ascii="Arial Narrow" w:hAnsi="Arial Narrow" w:eastAsiaTheme="minorEastAsia"/>
                    <w:szCs w:val="21"/>
                  </w:rPr>
                </w:pPr>
                <w:r>
                  <w:rPr>
                    <w:rFonts w:ascii="Arial Narrow" w:hAnsi="Arial Narrow" w:eastAsiaTheme="minorEastAsia"/>
                    <w:szCs w:val="21"/>
                  </w:rPr>
                  <w:t>工程进度</w:t>
                </w:r>
              </w:p>
            </w:tc>
          </w:sdtContent>
        </w:sdt>
        <w:sdt>
          <w:sdtPr>
            <w:rPr>
              <w:rFonts w:ascii="Arial Narrow" w:hAnsi="Arial Narrow" w:eastAsiaTheme="minorEastAsia"/>
            </w:rPr>
            <w:tag w:val="_PLD_6015e39597424a7ea59d45da3ff56e99"/>
            <w:id w:val="1844509715"/>
          </w:sdtPr>
          <w:sdtEndPr>
            <w:rPr>
              <w:rFonts w:ascii="Arial Narrow" w:hAnsi="Arial Narrow" w:eastAsiaTheme="minorEastAsia"/>
            </w:rPr>
          </w:sdtEndPr>
          <w:sdtContent>
            <w:tc>
              <w:tcPr>
                <w:tcW w:w="470" w:type="pct"/>
                <w:shd w:val="clear" w:color="auto" w:fill="auto"/>
                <w:vAlign w:val="center"/>
              </w:tcPr>
              <w:p w14:paraId="427383DB">
                <w:pPr>
                  <w:jc w:val="center"/>
                  <w:rPr>
                    <w:rFonts w:ascii="Arial Narrow" w:hAnsi="Arial Narrow" w:eastAsiaTheme="minorEastAsia"/>
                    <w:szCs w:val="21"/>
                  </w:rPr>
                </w:pPr>
                <w:r>
                  <w:rPr>
                    <w:rFonts w:ascii="Arial Narrow" w:hAnsi="Arial Narrow" w:eastAsiaTheme="minorEastAsia"/>
                    <w:szCs w:val="21"/>
                  </w:rPr>
                  <w:t>资金来源</w:t>
                </w:r>
              </w:p>
            </w:tc>
          </w:sdtContent>
        </w:sdt>
      </w:tr>
      <w:tr w14:paraId="303F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1" w:type="pct"/>
            <w:shd w:val="clear" w:color="auto" w:fill="auto"/>
            <w:vAlign w:val="center"/>
          </w:tcPr>
          <w:p w14:paraId="760A975E">
            <w:pPr>
              <w:rPr>
                <w:rFonts w:ascii="Arial Narrow" w:hAnsi="Arial Narrow" w:eastAsiaTheme="minorEastAsia"/>
                <w:sz w:val="18"/>
                <w:szCs w:val="18"/>
              </w:rPr>
            </w:pPr>
            <w:r>
              <w:rPr>
                <w:rFonts w:ascii="Arial Narrow" w:hAnsi="Arial Narrow" w:eastAsiaTheme="minorEastAsia"/>
                <w:color w:val="000000"/>
                <w:szCs w:val="21"/>
              </w:rPr>
              <w:t>长春目的地中心</w:t>
            </w:r>
          </w:p>
        </w:tc>
        <w:tc>
          <w:tcPr>
            <w:tcW w:w="467" w:type="pct"/>
            <w:shd w:val="clear" w:color="auto" w:fill="auto"/>
            <w:vAlign w:val="center"/>
          </w:tcPr>
          <w:p w14:paraId="0F5DE225">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158,630.00</w:t>
            </w:r>
          </w:p>
        </w:tc>
        <w:tc>
          <w:tcPr>
            <w:tcW w:w="467" w:type="pct"/>
            <w:shd w:val="clear" w:color="auto" w:fill="auto"/>
            <w:vAlign w:val="center"/>
          </w:tcPr>
          <w:p w14:paraId="1FB9559F">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118,082.18</w:t>
            </w:r>
          </w:p>
        </w:tc>
        <w:tc>
          <w:tcPr>
            <w:tcW w:w="425" w:type="pct"/>
            <w:shd w:val="clear" w:color="auto" w:fill="auto"/>
            <w:vAlign w:val="center"/>
          </w:tcPr>
          <w:p w14:paraId="241686BC">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1,774.74</w:t>
            </w:r>
          </w:p>
        </w:tc>
        <w:tc>
          <w:tcPr>
            <w:tcW w:w="430" w:type="pct"/>
            <w:shd w:val="clear" w:color="auto" w:fill="auto"/>
            <w:vAlign w:val="center"/>
          </w:tcPr>
          <w:p w14:paraId="0F3BA933">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39,881.78</w:t>
            </w:r>
          </w:p>
        </w:tc>
        <w:tc>
          <w:tcPr>
            <w:tcW w:w="431" w:type="pct"/>
            <w:shd w:val="clear" w:color="auto" w:fill="auto"/>
            <w:vAlign w:val="center"/>
          </w:tcPr>
          <w:p w14:paraId="7ED6C744">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2,389.78</w:t>
            </w:r>
          </w:p>
        </w:tc>
        <w:tc>
          <w:tcPr>
            <w:tcW w:w="425" w:type="pct"/>
            <w:vAlign w:val="center"/>
          </w:tcPr>
          <w:p w14:paraId="10A76F52">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77,585.36</w:t>
            </w:r>
          </w:p>
        </w:tc>
        <w:tc>
          <w:tcPr>
            <w:tcW w:w="342" w:type="pct"/>
            <w:shd w:val="clear" w:color="auto" w:fill="auto"/>
            <w:vAlign w:val="center"/>
          </w:tcPr>
          <w:p w14:paraId="02665AC2">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87.37</w:t>
            </w:r>
          </w:p>
        </w:tc>
        <w:tc>
          <w:tcPr>
            <w:tcW w:w="302" w:type="pct"/>
            <w:shd w:val="clear" w:color="auto" w:fill="auto"/>
            <w:vAlign w:val="center"/>
          </w:tcPr>
          <w:p w14:paraId="2BB48045">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99.65</w:t>
            </w:r>
          </w:p>
        </w:tc>
        <w:tc>
          <w:tcPr>
            <w:tcW w:w="470" w:type="pct"/>
            <w:shd w:val="clear" w:color="auto" w:fill="auto"/>
            <w:vAlign w:val="center"/>
          </w:tcPr>
          <w:p w14:paraId="619BC771">
            <w:pPr>
              <w:jc w:val="center"/>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自有资金、募集资金</w:t>
            </w:r>
          </w:p>
        </w:tc>
      </w:tr>
      <w:tr w14:paraId="0B40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1" w:type="pct"/>
            <w:shd w:val="clear" w:color="auto" w:fill="auto"/>
            <w:vAlign w:val="center"/>
          </w:tcPr>
          <w:p w14:paraId="37254D30">
            <w:pPr>
              <w:rPr>
                <w:rFonts w:ascii="Arial Narrow" w:hAnsi="Arial Narrow" w:eastAsiaTheme="minorEastAsia"/>
                <w:sz w:val="18"/>
                <w:szCs w:val="18"/>
              </w:rPr>
            </w:pPr>
            <w:r>
              <w:rPr>
                <w:rFonts w:ascii="Arial Narrow" w:hAnsi="Arial Narrow" w:eastAsiaTheme="minorEastAsia"/>
                <w:color w:val="000000"/>
                <w:szCs w:val="21"/>
              </w:rPr>
              <w:t>际华三五一五皮革皮鞋有限公司新区建设项目</w:t>
            </w:r>
          </w:p>
        </w:tc>
        <w:tc>
          <w:tcPr>
            <w:tcW w:w="467" w:type="pct"/>
            <w:shd w:val="clear" w:color="auto" w:fill="auto"/>
            <w:vAlign w:val="center"/>
          </w:tcPr>
          <w:p w14:paraId="2D0EF3DE">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9,750.00</w:t>
            </w:r>
          </w:p>
        </w:tc>
        <w:tc>
          <w:tcPr>
            <w:tcW w:w="467" w:type="pct"/>
            <w:shd w:val="clear" w:color="auto" w:fill="auto"/>
            <w:vAlign w:val="center"/>
          </w:tcPr>
          <w:p w14:paraId="31AE65CA">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1,995.72</w:t>
            </w:r>
          </w:p>
        </w:tc>
        <w:tc>
          <w:tcPr>
            <w:tcW w:w="425" w:type="pct"/>
            <w:shd w:val="clear" w:color="auto" w:fill="auto"/>
            <w:vAlign w:val="center"/>
          </w:tcPr>
          <w:p w14:paraId="0A83BD91">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3,905.08</w:t>
            </w:r>
          </w:p>
        </w:tc>
        <w:tc>
          <w:tcPr>
            <w:tcW w:w="430" w:type="pct"/>
            <w:shd w:val="clear" w:color="auto" w:fill="auto"/>
            <w:vAlign w:val="center"/>
          </w:tcPr>
          <w:p w14:paraId="7B0C2C94">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907.64</w:t>
            </w:r>
          </w:p>
        </w:tc>
        <w:tc>
          <w:tcPr>
            <w:tcW w:w="431" w:type="pct"/>
            <w:shd w:val="clear" w:color="auto" w:fill="auto"/>
            <w:vAlign w:val="center"/>
          </w:tcPr>
          <w:p w14:paraId="1D171FDB">
            <w:pPr>
              <w:jc w:val="right"/>
              <w:rPr>
                <w:rFonts w:ascii="Arial Narrow" w:hAnsi="Arial Narrow" w:eastAsiaTheme="minorEastAsia"/>
                <w:color w:val="000000" w:themeColor="text1"/>
                <w:sz w:val="18"/>
                <w:szCs w:val="18"/>
                <w14:textFill>
                  <w14:solidFill>
                    <w14:schemeClr w14:val="tx1"/>
                  </w14:solidFill>
                </w14:textFill>
              </w:rPr>
            </w:pPr>
          </w:p>
        </w:tc>
        <w:tc>
          <w:tcPr>
            <w:tcW w:w="425" w:type="pct"/>
            <w:vAlign w:val="center"/>
          </w:tcPr>
          <w:p w14:paraId="1B2DD23A">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4,993.16</w:t>
            </w:r>
          </w:p>
        </w:tc>
        <w:tc>
          <w:tcPr>
            <w:tcW w:w="342" w:type="pct"/>
            <w:shd w:val="clear" w:color="auto" w:fill="auto"/>
            <w:vAlign w:val="center"/>
          </w:tcPr>
          <w:p w14:paraId="47E6C15A">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86.50</w:t>
            </w:r>
          </w:p>
        </w:tc>
        <w:tc>
          <w:tcPr>
            <w:tcW w:w="302" w:type="pct"/>
            <w:shd w:val="clear" w:color="auto" w:fill="auto"/>
            <w:vAlign w:val="center"/>
          </w:tcPr>
          <w:p w14:paraId="7A948211">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96.00</w:t>
            </w:r>
          </w:p>
        </w:tc>
        <w:tc>
          <w:tcPr>
            <w:tcW w:w="470" w:type="pct"/>
            <w:shd w:val="clear" w:color="auto" w:fill="auto"/>
            <w:vAlign w:val="center"/>
          </w:tcPr>
          <w:p w14:paraId="0185F623">
            <w:pPr>
              <w:jc w:val="center"/>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自有资金</w:t>
            </w:r>
          </w:p>
        </w:tc>
      </w:tr>
      <w:tr w14:paraId="447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1" w:type="pct"/>
            <w:shd w:val="clear" w:color="auto" w:fill="auto"/>
            <w:vAlign w:val="center"/>
          </w:tcPr>
          <w:p w14:paraId="13344715">
            <w:pPr>
              <w:rPr>
                <w:rFonts w:ascii="Arial Narrow" w:hAnsi="Arial Narrow" w:eastAsiaTheme="minorEastAsia"/>
                <w:sz w:val="18"/>
                <w:szCs w:val="18"/>
              </w:rPr>
            </w:pPr>
            <w:r>
              <w:rPr>
                <w:rFonts w:ascii="Arial Narrow" w:hAnsi="Arial Narrow" w:eastAsiaTheme="minorEastAsia"/>
                <w:color w:val="000000"/>
                <w:szCs w:val="21"/>
              </w:rPr>
              <w:t>三五四二公司研发大楼及实验室</w:t>
            </w:r>
          </w:p>
        </w:tc>
        <w:tc>
          <w:tcPr>
            <w:tcW w:w="467" w:type="pct"/>
            <w:shd w:val="clear" w:color="auto" w:fill="auto"/>
            <w:vAlign w:val="center"/>
          </w:tcPr>
          <w:p w14:paraId="5797B497">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7,739.60</w:t>
            </w:r>
          </w:p>
        </w:tc>
        <w:tc>
          <w:tcPr>
            <w:tcW w:w="467" w:type="pct"/>
            <w:shd w:val="clear" w:color="auto" w:fill="auto"/>
            <w:vAlign w:val="center"/>
          </w:tcPr>
          <w:p w14:paraId="71F7E087">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10.83</w:t>
            </w:r>
          </w:p>
        </w:tc>
        <w:tc>
          <w:tcPr>
            <w:tcW w:w="425" w:type="pct"/>
            <w:shd w:val="clear" w:color="auto" w:fill="auto"/>
            <w:vAlign w:val="center"/>
          </w:tcPr>
          <w:p w14:paraId="4D6D9121">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4,073.94</w:t>
            </w:r>
          </w:p>
        </w:tc>
        <w:tc>
          <w:tcPr>
            <w:tcW w:w="430" w:type="pct"/>
            <w:shd w:val="clear" w:color="auto" w:fill="auto"/>
            <w:vAlign w:val="center"/>
          </w:tcPr>
          <w:p w14:paraId="7F658304">
            <w:pPr>
              <w:jc w:val="right"/>
              <w:rPr>
                <w:rFonts w:ascii="Arial Narrow" w:hAnsi="Arial Narrow" w:eastAsiaTheme="minorEastAsia"/>
                <w:color w:val="000000" w:themeColor="text1"/>
                <w:sz w:val="18"/>
                <w:szCs w:val="18"/>
                <w14:textFill>
                  <w14:solidFill>
                    <w14:schemeClr w14:val="tx1"/>
                  </w14:solidFill>
                </w14:textFill>
              </w:rPr>
            </w:pPr>
          </w:p>
        </w:tc>
        <w:tc>
          <w:tcPr>
            <w:tcW w:w="431" w:type="pct"/>
            <w:shd w:val="clear" w:color="auto" w:fill="auto"/>
            <w:vAlign w:val="center"/>
          </w:tcPr>
          <w:p w14:paraId="74601D19">
            <w:pPr>
              <w:jc w:val="right"/>
              <w:rPr>
                <w:rFonts w:ascii="Arial Narrow" w:hAnsi="Arial Narrow" w:eastAsiaTheme="minorEastAsia"/>
                <w:color w:val="000000" w:themeColor="text1"/>
                <w:sz w:val="18"/>
                <w:szCs w:val="18"/>
                <w14:textFill>
                  <w14:solidFill>
                    <w14:schemeClr w14:val="tx1"/>
                  </w14:solidFill>
                </w14:textFill>
              </w:rPr>
            </w:pPr>
          </w:p>
        </w:tc>
        <w:tc>
          <w:tcPr>
            <w:tcW w:w="425" w:type="pct"/>
            <w:vAlign w:val="center"/>
          </w:tcPr>
          <w:p w14:paraId="2649309C">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4,084.77</w:t>
            </w:r>
          </w:p>
        </w:tc>
        <w:tc>
          <w:tcPr>
            <w:tcW w:w="342" w:type="pct"/>
            <w:shd w:val="clear" w:color="auto" w:fill="auto"/>
            <w:vAlign w:val="center"/>
          </w:tcPr>
          <w:p w14:paraId="60DA9322">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54.50</w:t>
            </w:r>
          </w:p>
        </w:tc>
        <w:tc>
          <w:tcPr>
            <w:tcW w:w="302" w:type="pct"/>
            <w:shd w:val="clear" w:color="auto" w:fill="auto"/>
            <w:vAlign w:val="center"/>
          </w:tcPr>
          <w:p w14:paraId="3C4B5D9D">
            <w:pPr>
              <w:jc w:val="right"/>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87.15</w:t>
            </w:r>
          </w:p>
        </w:tc>
        <w:tc>
          <w:tcPr>
            <w:tcW w:w="470" w:type="pct"/>
            <w:shd w:val="clear" w:color="auto" w:fill="auto"/>
            <w:vAlign w:val="center"/>
          </w:tcPr>
          <w:p w14:paraId="086C797A">
            <w:pPr>
              <w:jc w:val="center"/>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22"/>
                <w:szCs w:val="22"/>
                <w14:textFill>
                  <w14:solidFill>
                    <w14:schemeClr w14:val="tx1"/>
                  </w14:solidFill>
                </w14:textFill>
              </w:rPr>
              <w:t>自有资金、募集资金</w:t>
            </w:r>
          </w:p>
        </w:tc>
      </w:tr>
      <w:tr w14:paraId="77A2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41" w:type="pct"/>
            <w:shd w:val="clear" w:color="auto" w:fill="auto"/>
            <w:vAlign w:val="center"/>
          </w:tcPr>
          <w:p w14:paraId="01ADD251">
            <w:pPr>
              <w:jc w:val="center"/>
              <w:rPr>
                <w:rFonts w:ascii="Arial Narrow" w:hAnsi="Arial Narrow" w:eastAsiaTheme="minorEastAsia"/>
                <w:szCs w:val="21"/>
              </w:rPr>
            </w:pPr>
            <w:r>
              <w:rPr>
                <w:rFonts w:ascii="Arial Narrow" w:hAnsi="Arial Narrow" w:eastAsiaTheme="minorEastAsia"/>
                <w:szCs w:val="21"/>
              </w:rPr>
              <w:t>合计</w:t>
            </w:r>
          </w:p>
        </w:tc>
        <w:tc>
          <w:tcPr>
            <w:tcW w:w="467" w:type="pct"/>
            <w:shd w:val="clear" w:color="auto" w:fill="auto"/>
            <w:vAlign w:val="center"/>
          </w:tcPr>
          <w:p w14:paraId="046A1990">
            <w:pPr>
              <w:jc w:val="right"/>
              <w:rPr>
                <w:rFonts w:ascii="Arial Narrow" w:hAnsi="Arial Narrow" w:eastAsiaTheme="minorEastAsia"/>
                <w:sz w:val="18"/>
                <w:szCs w:val="18"/>
              </w:rPr>
            </w:pPr>
            <w:r>
              <w:rPr>
                <w:rFonts w:ascii="Arial Narrow" w:hAnsi="Arial Narrow" w:eastAsiaTheme="minorEastAsia"/>
                <w:color w:val="000000"/>
                <w:sz w:val="22"/>
                <w:szCs w:val="22"/>
              </w:rPr>
              <w:t>176,119.60</w:t>
            </w:r>
          </w:p>
        </w:tc>
        <w:tc>
          <w:tcPr>
            <w:tcW w:w="467" w:type="pct"/>
            <w:shd w:val="clear" w:color="auto" w:fill="auto"/>
            <w:vAlign w:val="center"/>
          </w:tcPr>
          <w:p w14:paraId="75635C43">
            <w:pPr>
              <w:jc w:val="right"/>
              <w:rPr>
                <w:rFonts w:ascii="Arial Narrow" w:hAnsi="Arial Narrow" w:eastAsiaTheme="minorEastAsia"/>
                <w:sz w:val="18"/>
                <w:szCs w:val="18"/>
              </w:rPr>
            </w:pPr>
            <w:r>
              <w:rPr>
                <w:rFonts w:ascii="Arial Narrow" w:hAnsi="Arial Narrow" w:eastAsiaTheme="minorEastAsia"/>
                <w:color w:val="000000"/>
                <w:sz w:val="22"/>
                <w:szCs w:val="22"/>
              </w:rPr>
              <w:t>120,088.73</w:t>
            </w:r>
          </w:p>
        </w:tc>
        <w:tc>
          <w:tcPr>
            <w:tcW w:w="425" w:type="pct"/>
            <w:shd w:val="clear" w:color="auto" w:fill="auto"/>
            <w:vAlign w:val="center"/>
          </w:tcPr>
          <w:p w14:paraId="7FD77AF3">
            <w:pPr>
              <w:jc w:val="right"/>
              <w:rPr>
                <w:rFonts w:ascii="Arial Narrow" w:hAnsi="Arial Narrow" w:eastAsiaTheme="minorEastAsia"/>
                <w:sz w:val="18"/>
                <w:szCs w:val="18"/>
              </w:rPr>
            </w:pPr>
            <w:r>
              <w:rPr>
                <w:rFonts w:ascii="Arial Narrow" w:hAnsi="Arial Narrow" w:eastAsiaTheme="minorEastAsia"/>
                <w:color w:val="000000"/>
                <w:sz w:val="22"/>
                <w:szCs w:val="22"/>
              </w:rPr>
              <w:t>9,753.76</w:t>
            </w:r>
          </w:p>
        </w:tc>
        <w:tc>
          <w:tcPr>
            <w:tcW w:w="430" w:type="pct"/>
            <w:shd w:val="clear" w:color="auto" w:fill="auto"/>
            <w:vAlign w:val="center"/>
          </w:tcPr>
          <w:p w14:paraId="0894C0AE">
            <w:pPr>
              <w:jc w:val="right"/>
              <w:rPr>
                <w:rFonts w:ascii="Arial Narrow" w:hAnsi="Arial Narrow" w:eastAsiaTheme="minorEastAsia"/>
                <w:sz w:val="18"/>
                <w:szCs w:val="18"/>
              </w:rPr>
            </w:pPr>
            <w:r>
              <w:rPr>
                <w:rFonts w:ascii="Arial Narrow" w:hAnsi="Arial Narrow" w:eastAsiaTheme="minorEastAsia"/>
                <w:color w:val="000000"/>
                <w:sz w:val="22"/>
                <w:szCs w:val="22"/>
              </w:rPr>
              <w:t>40,789.42</w:t>
            </w:r>
          </w:p>
        </w:tc>
        <w:tc>
          <w:tcPr>
            <w:tcW w:w="431" w:type="pct"/>
            <w:shd w:val="clear" w:color="auto" w:fill="auto"/>
            <w:vAlign w:val="center"/>
          </w:tcPr>
          <w:p w14:paraId="4DB08530">
            <w:pPr>
              <w:jc w:val="right"/>
              <w:rPr>
                <w:rFonts w:ascii="Arial Narrow" w:hAnsi="Arial Narrow" w:eastAsiaTheme="minorEastAsia"/>
                <w:sz w:val="18"/>
                <w:szCs w:val="18"/>
              </w:rPr>
            </w:pPr>
            <w:r>
              <w:rPr>
                <w:rFonts w:ascii="Arial Narrow" w:hAnsi="Arial Narrow" w:eastAsiaTheme="minorEastAsia"/>
                <w:color w:val="000000"/>
                <w:sz w:val="22"/>
                <w:szCs w:val="22"/>
              </w:rPr>
              <w:t>2,389.78</w:t>
            </w:r>
          </w:p>
        </w:tc>
        <w:tc>
          <w:tcPr>
            <w:tcW w:w="425" w:type="pct"/>
            <w:vAlign w:val="center"/>
          </w:tcPr>
          <w:p w14:paraId="07F26233">
            <w:pPr>
              <w:jc w:val="right"/>
              <w:rPr>
                <w:rFonts w:ascii="Arial Narrow" w:hAnsi="Arial Narrow" w:eastAsiaTheme="minorEastAsia"/>
                <w:sz w:val="18"/>
                <w:szCs w:val="18"/>
              </w:rPr>
            </w:pPr>
            <w:r>
              <w:rPr>
                <w:rFonts w:ascii="Arial Narrow" w:hAnsi="Arial Narrow" w:eastAsiaTheme="minorEastAsia"/>
                <w:color w:val="000000"/>
                <w:sz w:val="22"/>
                <w:szCs w:val="22"/>
              </w:rPr>
              <w:t>86,663.29</w:t>
            </w:r>
          </w:p>
        </w:tc>
        <w:tc>
          <w:tcPr>
            <w:tcW w:w="342" w:type="pct"/>
            <w:shd w:val="clear" w:color="auto" w:fill="auto"/>
            <w:vAlign w:val="center"/>
          </w:tcPr>
          <w:p w14:paraId="78ADF73F">
            <w:pPr>
              <w:jc w:val="right"/>
              <w:rPr>
                <w:rFonts w:ascii="Arial Narrow" w:hAnsi="Arial Narrow" w:eastAsiaTheme="minorEastAsia"/>
                <w:sz w:val="18"/>
                <w:szCs w:val="18"/>
              </w:rPr>
            </w:pPr>
            <w:r>
              <w:rPr>
                <w:rFonts w:ascii="Arial Narrow" w:hAnsi="Arial Narrow" w:eastAsiaTheme="minorEastAsia"/>
                <w:color w:val="000000"/>
                <w:szCs w:val="21"/>
              </w:rPr>
              <w:t>/</w:t>
            </w:r>
          </w:p>
        </w:tc>
        <w:tc>
          <w:tcPr>
            <w:tcW w:w="302" w:type="pct"/>
            <w:shd w:val="clear" w:color="auto" w:fill="auto"/>
            <w:vAlign w:val="center"/>
          </w:tcPr>
          <w:p w14:paraId="44F318FB">
            <w:pPr>
              <w:jc w:val="right"/>
              <w:rPr>
                <w:rFonts w:ascii="Arial Narrow" w:hAnsi="Arial Narrow" w:eastAsiaTheme="minorEastAsia"/>
                <w:sz w:val="18"/>
                <w:szCs w:val="18"/>
              </w:rPr>
            </w:pPr>
            <w:r>
              <w:rPr>
                <w:rFonts w:ascii="Arial Narrow" w:hAnsi="Arial Narrow" w:eastAsiaTheme="minorEastAsia"/>
                <w:color w:val="000000"/>
                <w:szCs w:val="21"/>
              </w:rPr>
              <w:t>/</w:t>
            </w:r>
          </w:p>
        </w:tc>
        <w:tc>
          <w:tcPr>
            <w:tcW w:w="470" w:type="pct"/>
            <w:shd w:val="clear" w:color="auto" w:fill="auto"/>
            <w:vAlign w:val="center"/>
          </w:tcPr>
          <w:p w14:paraId="5DC20762">
            <w:pPr>
              <w:jc w:val="right"/>
              <w:rPr>
                <w:rFonts w:ascii="Arial Narrow" w:hAnsi="Arial Narrow" w:eastAsiaTheme="minorEastAsia"/>
                <w:szCs w:val="21"/>
              </w:rPr>
            </w:pPr>
            <w:r>
              <w:rPr>
                <w:rFonts w:ascii="Arial Narrow" w:hAnsi="Arial Narrow" w:eastAsiaTheme="minorEastAsia"/>
                <w:color w:val="000000"/>
                <w:szCs w:val="21"/>
              </w:rPr>
              <w:t>/</w:t>
            </w:r>
          </w:p>
        </w:tc>
      </w:tr>
    </w:tbl>
    <w:p w14:paraId="1FD48647">
      <w:pPr>
        <w:snapToGrid w:val="0"/>
        <w:spacing w:line="240" w:lineRule="atLeast"/>
        <w:rPr>
          <w:rFonts w:hint="eastAsia"/>
          <w:szCs w:val="21"/>
        </w:rPr>
      </w:pPr>
    </w:p>
    <w:p w14:paraId="3730100F">
      <w:pPr>
        <w:pStyle w:val="72"/>
        <w:numPr>
          <w:ilvl w:val="0"/>
          <w:numId w:val="126"/>
        </w:numPr>
        <w:ind w:leftChars="0"/>
      </w:pPr>
      <w:r>
        <w:rPr>
          <w:rFonts w:hint="eastAsia"/>
        </w:rPr>
        <w:t>本期计提在建工程减值准备情况</w:t>
      </w:r>
    </w:p>
    <w:sdt>
      <w:sdtPr>
        <w:alias w:val="是否适用：本期计提在建工程减值准备情况[双击切换]"/>
        <w:tag w:val="_GBC_f0a78e682a314d34a7b55dd88c219307"/>
        <w:id w:val="-1029259542"/>
        <w:placeholder>
          <w:docPart w:val="GBC22222222222222222222222222222"/>
        </w:placeholder>
      </w:sdtPr>
      <w:sdtContent>
        <w:p w14:paraId="49E4E71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83314D">
      <w:pPr>
        <w:spacing w:line="360" w:lineRule="exact"/>
        <w:jc w:val="right"/>
        <w:rPr>
          <w:rFonts w:hint="eastAsia"/>
          <w:szCs w:val="21"/>
        </w:rPr>
      </w:pPr>
      <w:r>
        <w:rPr>
          <w:rFonts w:hint="eastAsia"/>
          <w:szCs w:val="21"/>
        </w:rPr>
        <w:t>单位：</w:t>
      </w:r>
      <w:sdt>
        <w:sdtPr>
          <w:rPr>
            <w:rFonts w:hint="eastAsia"/>
            <w:szCs w:val="21"/>
          </w:rPr>
          <w:alias w:val="单位：财务附注：在建工程减值准备"/>
          <w:tag w:val="_GBC_8d07728a10e04fe8975346f691b08703"/>
          <w:id w:val="21032213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在建工程减值准备"/>
          <w:tag w:val="_GBC_dcac5a7bb0554146902fd010b31997cd"/>
          <w:id w:val="-18816962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13" w:type="dxa"/>
          <w:bottom w:w="0" w:type="dxa"/>
          <w:right w:w="113" w:type="dxa"/>
        </w:tblCellMar>
      </w:tblPr>
      <w:tblGrid>
        <w:gridCol w:w="2926"/>
        <w:gridCol w:w="2055"/>
        <w:gridCol w:w="2055"/>
        <w:gridCol w:w="2055"/>
        <w:gridCol w:w="4776"/>
      </w:tblGrid>
      <w:tr w14:paraId="60A484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Height w:val="280" w:hRule="atLeast"/>
          <w:tblHeader/>
        </w:trPr>
        <w:sdt>
          <w:sdtPr>
            <w:rPr>
              <w:rFonts w:ascii="Arial Narrow" w:hAnsi="Arial Narrow" w:eastAsiaTheme="majorEastAsia"/>
              <w:szCs w:val="21"/>
            </w:rPr>
            <w:tag w:val="_PLD_ca5fca2bcae54c8d81b3befb48b8bf1c"/>
            <w:id w:val="-1890951661"/>
          </w:sdtPr>
          <w:sdtEndPr>
            <w:rPr>
              <w:rFonts w:ascii="Arial Narrow" w:hAnsi="Arial Narrow" w:eastAsiaTheme="majorEastAsia"/>
              <w:szCs w:val="21"/>
            </w:rPr>
          </w:sdtEndPr>
          <w:sdtContent>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5D075B25">
                <w:pPr>
                  <w:jc w:val="center"/>
                  <w:rPr>
                    <w:rFonts w:ascii="Arial Narrow" w:hAnsi="Arial Narrow" w:eastAsiaTheme="majorEastAsia"/>
                    <w:szCs w:val="21"/>
                  </w:rPr>
                </w:pPr>
                <w:r>
                  <w:rPr>
                    <w:rFonts w:ascii="Arial Narrow" w:hAnsi="Arial Narrow" w:eastAsiaTheme="majorEastAsia"/>
                    <w:szCs w:val="21"/>
                  </w:rPr>
                  <w:t>项目</w:t>
                </w:r>
              </w:p>
            </w:tc>
          </w:sdtContent>
        </w:sdt>
        <w:sdt>
          <w:sdtPr>
            <w:rPr>
              <w:rFonts w:ascii="Arial Narrow" w:hAnsi="Arial Narrow" w:eastAsiaTheme="majorEastAsia"/>
              <w:szCs w:val="21"/>
            </w:rPr>
            <w:tag w:val="_PLD_28dd15af0114424f8f5185950c3635bc"/>
            <w:id w:val="1668520581"/>
          </w:sdtPr>
          <w:sdtEndPr>
            <w:rPr>
              <w:rFonts w:ascii="Arial Narrow" w:hAnsi="Arial Narrow" w:eastAsiaTheme="majorEastAsia"/>
              <w:szCs w:val="21"/>
            </w:rPr>
          </w:sdtEndPr>
          <w:sdtContent>
            <w:tc>
              <w:tcPr>
                <w:tcW w:w="741" w:type="pct"/>
                <w:tcBorders>
                  <w:top w:val="single" w:color="auto" w:sz="2" w:space="0"/>
                  <w:left w:val="single" w:color="auto" w:sz="2" w:space="0"/>
                  <w:bottom w:val="single" w:color="auto" w:sz="2" w:space="0"/>
                  <w:right w:val="single" w:color="auto" w:sz="2" w:space="0"/>
                </w:tcBorders>
              </w:tcPr>
              <w:p w14:paraId="7E408429">
                <w:pPr>
                  <w:jc w:val="center"/>
                  <w:rPr>
                    <w:rFonts w:ascii="Arial Narrow" w:hAnsi="Arial Narrow" w:eastAsiaTheme="majorEastAsia"/>
                    <w:szCs w:val="21"/>
                  </w:rPr>
                </w:pPr>
                <w:r>
                  <w:rPr>
                    <w:rFonts w:ascii="Arial Narrow" w:hAnsi="Arial Narrow" w:eastAsiaTheme="majorEastAsia"/>
                    <w:szCs w:val="21"/>
                  </w:rPr>
                  <w:t>期初余额</w:t>
                </w:r>
              </w:p>
            </w:tc>
          </w:sdtContent>
        </w:sdt>
        <w:sdt>
          <w:sdtPr>
            <w:rPr>
              <w:rFonts w:ascii="Arial Narrow" w:hAnsi="Arial Narrow" w:eastAsiaTheme="majorEastAsia"/>
              <w:szCs w:val="21"/>
            </w:rPr>
            <w:tag w:val="_PLD_ec3d7160e0da43cdacd9d2ec22f977da"/>
            <w:id w:val="799580653"/>
          </w:sdtPr>
          <w:sdtEndPr>
            <w:rPr>
              <w:rFonts w:ascii="Arial Narrow" w:hAnsi="Arial Narrow" w:eastAsiaTheme="majorEastAsia"/>
              <w:szCs w:val="21"/>
            </w:rPr>
          </w:sdtEndPr>
          <w:sdtContent>
            <w:tc>
              <w:tcPr>
                <w:tcW w:w="741" w:type="pct"/>
                <w:tcBorders>
                  <w:top w:val="single" w:color="auto" w:sz="2" w:space="0"/>
                  <w:left w:val="single" w:color="auto" w:sz="2" w:space="0"/>
                  <w:bottom w:val="single" w:color="auto" w:sz="2" w:space="0"/>
                  <w:right w:val="single" w:color="auto" w:sz="2" w:space="0"/>
                </w:tcBorders>
              </w:tcPr>
              <w:p w14:paraId="0C1B246A">
                <w:pPr>
                  <w:jc w:val="center"/>
                  <w:rPr>
                    <w:rFonts w:ascii="Arial Narrow" w:hAnsi="Arial Narrow" w:eastAsiaTheme="majorEastAsia"/>
                    <w:szCs w:val="21"/>
                  </w:rPr>
                </w:pPr>
                <w:r>
                  <w:rPr>
                    <w:rFonts w:ascii="Arial Narrow" w:hAnsi="Arial Narrow" w:eastAsiaTheme="majorEastAsia"/>
                    <w:szCs w:val="21"/>
                  </w:rPr>
                  <w:t>本期增加</w:t>
                </w:r>
              </w:p>
            </w:tc>
          </w:sdtContent>
        </w:sdt>
        <w:sdt>
          <w:sdtPr>
            <w:rPr>
              <w:rFonts w:ascii="Arial Narrow" w:hAnsi="Arial Narrow" w:eastAsiaTheme="majorEastAsia"/>
              <w:szCs w:val="21"/>
            </w:rPr>
            <w:tag w:val="_PLD_a48d3febdc3b43778ed5bbd8e0c30ba0"/>
            <w:id w:val="-1040059068"/>
          </w:sdtPr>
          <w:sdtEndPr>
            <w:rPr>
              <w:rFonts w:ascii="Arial Narrow" w:hAnsi="Arial Narrow" w:eastAsiaTheme="majorEastAsia"/>
              <w:szCs w:val="21"/>
            </w:rPr>
          </w:sdtEndPr>
          <w:sdtContent>
            <w:tc>
              <w:tcPr>
                <w:tcW w:w="741" w:type="pct"/>
                <w:tcBorders>
                  <w:top w:val="single" w:color="auto" w:sz="2" w:space="0"/>
                  <w:left w:val="single" w:color="auto" w:sz="2" w:space="0"/>
                  <w:bottom w:val="single" w:color="auto" w:sz="2" w:space="0"/>
                  <w:right w:val="single" w:color="auto" w:sz="2" w:space="0"/>
                </w:tcBorders>
              </w:tcPr>
              <w:p w14:paraId="1AD7EBBD">
                <w:pPr>
                  <w:jc w:val="center"/>
                  <w:rPr>
                    <w:rFonts w:ascii="Arial Narrow" w:hAnsi="Arial Narrow" w:eastAsiaTheme="majorEastAsia"/>
                    <w:szCs w:val="21"/>
                  </w:rPr>
                </w:pPr>
                <w:r>
                  <w:rPr>
                    <w:rFonts w:ascii="Arial Narrow" w:hAnsi="Arial Narrow" w:eastAsiaTheme="majorEastAsia"/>
                    <w:szCs w:val="21"/>
                  </w:rPr>
                  <w:t>期末余额</w:t>
                </w:r>
              </w:p>
            </w:tc>
          </w:sdtContent>
        </w:sdt>
        <w:sdt>
          <w:sdtPr>
            <w:rPr>
              <w:rFonts w:ascii="Arial Narrow" w:hAnsi="Arial Narrow" w:eastAsiaTheme="majorEastAsia"/>
              <w:szCs w:val="21"/>
            </w:rPr>
            <w:tag w:val="_PLD_671763ef665249248712c4c3426bd61e"/>
            <w:id w:val="-1770614985"/>
          </w:sdtPr>
          <w:sdtEndPr>
            <w:rPr>
              <w:rFonts w:ascii="Arial Narrow" w:hAnsi="Arial Narrow" w:eastAsiaTheme="majorEastAsia"/>
              <w:szCs w:val="21"/>
            </w:rPr>
          </w:sdtEndPr>
          <w:sdtContent>
            <w:tc>
              <w:tcPr>
                <w:tcW w:w="1722" w:type="pct"/>
                <w:tcBorders>
                  <w:top w:val="single" w:color="auto" w:sz="2" w:space="0"/>
                  <w:left w:val="single" w:color="auto" w:sz="2" w:space="0"/>
                  <w:bottom w:val="single" w:color="auto" w:sz="2" w:space="0"/>
                  <w:right w:val="single" w:color="auto" w:sz="2" w:space="0"/>
                </w:tcBorders>
                <w:shd w:val="clear" w:color="auto" w:fill="auto"/>
                <w:vAlign w:val="center"/>
              </w:tcPr>
              <w:p w14:paraId="687B637C">
                <w:pPr>
                  <w:jc w:val="center"/>
                  <w:rPr>
                    <w:rFonts w:ascii="Arial Narrow" w:hAnsi="Arial Narrow" w:eastAsiaTheme="majorEastAsia"/>
                    <w:szCs w:val="21"/>
                  </w:rPr>
                </w:pPr>
                <w:r>
                  <w:rPr>
                    <w:rFonts w:ascii="Arial Narrow" w:hAnsi="Arial Narrow" w:eastAsiaTheme="majorEastAsia"/>
                    <w:szCs w:val="21"/>
                  </w:rPr>
                  <w:t>计提原因</w:t>
                </w:r>
              </w:p>
            </w:tc>
          </w:sdtContent>
        </w:sdt>
      </w:tr>
      <w:tr w14:paraId="00BCE1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2271B2C3">
            <w:pPr>
              <w:jc w:val="both"/>
              <w:rPr>
                <w:rFonts w:ascii="Arial Narrow" w:hAnsi="Arial Narrow" w:eastAsiaTheme="majorEastAsia"/>
                <w:szCs w:val="21"/>
              </w:rPr>
            </w:pPr>
            <w:r>
              <w:rPr>
                <w:rFonts w:ascii="Arial Narrow" w:hAnsi="Arial Narrow" w:eastAsiaTheme="majorEastAsia"/>
                <w:color w:val="000000"/>
                <w:szCs w:val="21"/>
              </w:rPr>
              <w:t>长春目的地中心</w:t>
            </w:r>
          </w:p>
        </w:tc>
        <w:tc>
          <w:tcPr>
            <w:tcW w:w="741" w:type="pct"/>
            <w:tcBorders>
              <w:top w:val="single" w:color="auto" w:sz="2" w:space="0"/>
              <w:left w:val="single" w:color="auto" w:sz="2" w:space="0"/>
              <w:bottom w:val="single" w:color="auto" w:sz="2" w:space="0"/>
              <w:right w:val="single" w:color="auto" w:sz="2" w:space="0"/>
            </w:tcBorders>
            <w:vAlign w:val="center"/>
          </w:tcPr>
          <w:p w14:paraId="7EE3A8D2">
            <w:pPr>
              <w:jc w:val="right"/>
              <w:rPr>
                <w:rFonts w:ascii="Arial Narrow" w:hAnsi="Arial Narrow" w:eastAsiaTheme="majorEastAsia"/>
                <w:szCs w:val="21"/>
              </w:rPr>
            </w:pPr>
          </w:p>
        </w:tc>
        <w:tc>
          <w:tcPr>
            <w:tcW w:w="741" w:type="pct"/>
            <w:tcBorders>
              <w:top w:val="single" w:color="auto" w:sz="2" w:space="0"/>
              <w:left w:val="single" w:color="auto" w:sz="2" w:space="0"/>
              <w:bottom w:val="single" w:color="auto" w:sz="2" w:space="0"/>
              <w:right w:val="single" w:color="auto" w:sz="2" w:space="0"/>
            </w:tcBorders>
            <w:vAlign w:val="center"/>
          </w:tcPr>
          <w:p w14:paraId="7ED07327">
            <w:pPr>
              <w:jc w:val="right"/>
              <w:rPr>
                <w:rFonts w:ascii="Arial Narrow" w:hAnsi="Arial Narrow" w:eastAsiaTheme="majorEastAsia"/>
                <w:szCs w:val="21"/>
              </w:rPr>
            </w:pPr>
            <w:r>
              <w:rPr>
                <w:rFonts w:ascii="Arial Narrow" w:hAnsi="Arial Narrow" w:eastAsiaTheme="majorEastAsia"/>
                <w:color w:val="000000"/>
                <w:szCs w:val="21"/>
              </w:rPr>
              <w:t>700,103,655.93</w:t>
            </w:r>
          </w:p>
        </w:tc>
        <w:tc>
          <w:tcPr>
            <w:tcW w:w="741" w:type="pct"/>
            <w:tcBorders>
              <w:top w:val="single" w:color="auto" w:sz="2" w:space="0"/>
              <w:left w:val="single" w:color="auto" w:sz="2" w:space="0"/>
              <w:bottom w:val="single" w:color="auto" w:sz="2" w:space="0"/>
              <w:right w:val="single" w:color="auto" w:sz="2" w:space="0"/>
            </w:tcBorders>
            <w:vAlign w:val="center"/>
          </w:tcPr>
          <w:p w14:paraId="7D75B535">
            <w:pPr>
              <w:jc w:val="right"/>
              <w:rPr>
                <w:rFonts w:ascii="Arial Narrow" w:hAnsi="Arial Narrow" w:eastAsiaTheme="majorEastAsia"/>
                <w:szCs w:val="21"/>
              </w:rPr>
            </w:pPr>
            <w:r>
              <w:rPr>
                <w:rFonts w:ascii="Arial Narrow" w:hAnsi="Arial Narrow" w:eastAsiaTheme="majorEastAsia"/>
                <w:color w:val="000000"/>
                <w:szCs w:val="21"/>
              </w:rPr>
              <w:t>700,103,655.93</w:t>
            </w:r>
          </w:p>
        </w:tc>
        <w:tc>
          <w:tcPr>
            <w:tcW w:w="1722" w:type="pct"/>
            <w:tcBorders>
              <w:top w:val="single" w:color="auto" w:sz="2" w:space="0"/>
              <w:left w:val="single" w:color="auto" w:sz="2" w:space="0"/>
              <w:bottom w:val="single" w:color="auto" w:sz="2" w:space="0"/>
              <w:right w:val="single" w:color="auto" w:sz="2" w:space="0"/>
            </w:tcBorders>
            <w:shd w:val="clear" w:color="auto" w:fill="auto"/>
            <w:vAlign w:val="center"/>
          </w:tcPr>
          <w:p w14:paraId="27B5B3BB">
            <w:pPr>
              <w:jc w:val="both"/>
              <w:rPr>
                <w:rFonts w:ascii="Arial Narrow" w:hAnsi="Arial Narrow" w:eastAsiaTheme="majorEastAsia"/>
                <w:szCs w:val="21"/>
              </w:rPr>
            </w:pPr>
            <w:r>
              <w:rPr>
                <w:rFonts w:ascii="Arial Narrow" w:hAnsi="Arial Narrow" w:eastAsiaTheme="majorEastAsia"/>
                <w:szCs w:val="21"/>
              </w:rPr>
              <w:t>预计可收回金额低于账面价值</w:t>
            </w:r>
          </w:p>
        </w:tc>
      </w:tr>
      <w:tr w14:paraId="571182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5EF61333">
            <w:pPr>
              <w:jc w:val="both"/>
              <w:rPr>
                <w:rFonts w:ascii="Arial Narrow" w:hAnsi="Arial Narrow" w:eastAsiaTheme="majorEastAsia"/>
                <w:szCs w:val="21"/>
              </w:rPr>
            </w:pPr>
            <w:r>
              <w:rPr>
                <w:rFonts w:ascii="Arial Narrow" w:hAnsi="Arial Narrow" w:eastAsiaTheme="majorEastAsia"/>
                <w:color w:val="000000"/>
                <w:szCs w:val="21"/>
              </w:rPr>
              <w:t>橡胶工业公租房项目</w:t>
            </w:r>
          </w:p>
        </w:tc>
        <w:tc>
          <w:tcPr>
            <w:tcW w:w="741" w:type="pct"/>
            <w:tcBorders>
              <w:top w:val="single" w:color="auto" w:sz="2" w:space="0"/>
              <w:left w:val="single" w:color="auto" w:sz="2" w:space="0"/>
              <w:bottom w:val="single" w:color="auto" w:sz="2" w:space="0"/>
              <w:right w:val="single" w:color="auto" w:sz="2" w:space="0"/>
            </w:tcBorders>
            <w:vAlign w:val="center"/>
          </w:tcPr>
          <w:p w14:paraId="214B843D">
            <w:pPr>
              <w:jc w:val="right"/>
              <w:rPr>
                <w:rFonts w:ascii="Arial Narrow" w:hAnsi="Arial Narrow" w:eastAsiaTheme="majorEastAsia"/>
                <w:szCs w:val="21"/>
              </w:rPr>
            </w:pPr>
          </w:p>
        </w:tc>
        <w:tc>
          <w:tcPr>
            <w:tcW w:w="741" w:type="pct"/>
            <w:tcBorders>
              <w:top w:val="single" w:color="auto" w:sz="2" w:space="0"/>
              <w:left w:val="single" w:color="auto" w:sz="2" w:space="0"/>
              <w:bottom w:val="single" w:color="auto" w:sz="2" w:space="0"/>
              <w:right w:val="single" w:color="auto" w:sz="2" w:space="0"/>
            </w:tcBorders>
            <w:vAlign w:val="center"/>
          </w:tcPr>
          <w:p w14:paraId="691CE389">
            <w:pPr>
              <w:jc w:val="right"/>
              <w:rPr>
                <w:rFonts w:ascii="Arial Narrow" w:hAnsi="Arial Narrow" w:eastAsiaTheme="majorEastAsia"/>
                <w:szCs w:val="21"/>
              </w:rPr>
            </w:pPr>
            <w:r>
              <w:rPr>
                <w:rFonts w:ascii="Arial Narrow" w:hAnsi="Arial Narrow" w:eastAsiaTheme="majorEastAsia"/>
                <w:color w:val="000000"/>
                <w:szCs w:val="21"/>
              </w:rPr>
              <w:t>8,242,971.51</w:t>
            </w:r>
          </w:p>
        </w:tc>
        <w:tc>
          <w:tcPr>
            <w:tcW w:w="741" w:type="pct"/>
            <w:tcBorders>
              <w:top w:val="single" w:color="auto" w:sz="2" w:space="0"/>
              <w:left w:val="single" w:color="auto" w:sz="2" w:space="0"/>
              <w:bottom w:val="single" w:color="auto" w:sz="2" w:space="0"/>
              <w:right w:val="single" w:color="auto" w:sz="2" w:space="0"/>
            </w:tcBorders>
            <w:vAlign w:val="center"/>
          </w:tcPr>
          <w:p w14:paraId="2722B9FA">
            <w:pPr>
              <w:jc w:val="right"/>
              <w:rPr>
                <w:rFonts w:ascii="Arial Narrow" w:hAnsi="Arial Narrow" w:eastAsiaTheme="majorEastAsia"/>
                <w:szCs w:val="21"/>
              </w:rPr>
            </w:pPr>
            <w:r>
              <w:rPr>
                <w:rFonts w:ascii="Arial Narrow" w:hAnsi="Arial Narrow" w:eastAsiaTheme="majorEastAsia"/>
                <w:color w:val="000000"/>
                <w:szCs w:val="21"/>
              </w:rPr>
              <w:t>8,242,971.51</w:t>
            </w:r>
          </w:p>
        </w:tc>
        <w:tc>
          <w:tcPr>
            <w:tcW w:w="1722" w:type="pct"/>
            <w:tcBorders>
              <w:top w:val="single" w:color="auto" w:sz="2" w:space="0"/>
              <w:left w:val="single" w:color="auto" w:sz="2" w:space="0"/>
              <w:bottom w:val="single" w:color="auto" w:sz="2" w:space="0"/>
              <w:right w:val="single" w:color="auto" w:sz="2" w:space="0"/>
            </w:tcBorders>
            <w:shd w:val="clear" w:color="auto" w:fill="auto"/>
            <w:vAlign w:val="center"/>
          </w:tcPr>
          <w:p w14:paraId="7A457E77">
            <w:pPr>
              <w:jc w:val="both"/>
              <w:rPr>
                <w:rFonts w:ascii="Arial Narrow" w:hAnsi="Arial Narrow" w:eastAsiaTheme="majorEastAsia"/>
                <w:szCs w:val="21"/>
              </w:rPr>
            </w:pPr>
            <w:r>
              <w:rPr>
                <w:rFonts w:ascii="Arial Narrow" w:hAnsi="Arial Narrow" w:eastAsiaTheme="majorEastAsia"/>
                <w:szCs w:val="21"/>
              </w:rPr>
              <w:t>预计可收回金额低于账面价值</w:t>
            </w:r>
          </w:p>
        </w:tc>
      </w:tr>
      <w:tr w14:paraId="0CE2C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423816BA">
            <w:pPr>
              <w:jc w:val="both"/>
              <w:rPr>
                <w:rFonts w:ascii="Arial Narrow" w:hAnsi="Arial Narrow" w:eastAsiaTheme="majorEastAsia"/>
                <w:szCs w:val="21"/>
              </w:rPr>
            </w:pPr>
            <w:r>
              <w:rPr>
                <w:rFonts w:ascii="Arial Narrow" w:hAnsi="Arial Narrow" w:eastAsiaTheme="majorEastAsia"/>
                <w:color w:val="000000"/>
                <w:szCs w:val="21"/>
              </w:rPr>
              <w:t>中心一期项目工程</w:t>
            </w:r>
          </w:p>
        </w:tc>
        <w:tc>
          <w:tcPr>
            <w:tcW w:w="741" w:type="pct"/>
            <w:tcBorders>
              <w:top w:val="single" w:color="auto" w:sz="2" w:space="0"/>
              <w:left w:val="single" w:color="auto" w:sz="2" w:space="0"/>
              <w:bottom w:val="single" w:color="auto" w:sz="2" w:space="0"/>
              <w:right w:val="single" w:color="auto" w:sz="2" w:space="0"/>
            </w:tcBorders>
            <w:vAlign w:val="center"/>
          </w:tcPr>
          <w:p w14:paraId="7CCCC199">
            <w:pPr>
              <w:jc w:val="right"/>
              <w:rPr>
                <w:rFonts w:ascii="Arial Narrow" w:hAnsi="Arial Narrow" w:eastAsiaTheme="majorEastAsia"/>
                <w:szCs w:val="21"/>
              </w:rPr>
            </w:pPr>
          </w:p>
        </w:tc>
        <w:tc>
          <w:tcPr>
            <w:tcW w:w="741" w:type="pct"/>
            <w:tcBorders>
              <w:top w:val="single" w:color="auto" w:sz="2" w:space="0"/>
              <w:left w:val="single" w:color="auto" w:sz="2" w:space="0"/>
              <w:bottom w:val="single" w:color="auto" w:sz="2" w:space="0"/>
              <w:right w:val="single" w:color="auto" w:sz="2" w:space="0"/>
            </w:tcBorders>
            <w:vAlign w:val="center"/>
          </w:tcPr>
          <w:p w14:paraId="562BF73A">
            <w:pPr>
              <w:jc w:val="right"/>
              <w:rPr>
                <w:rFonts w:ascii="Arial Narrow" w:hAnsi="Arial Narrow" w:eastAsiaTheme="majorEastAsia"/>
                <w:szCs w:val="21"/>
              </w:rPr>
            </w:pPr>
            <w:r>
              <w:rPr>
                <w:rFonts w:ascii="Arial Narrow" w:hAnsi="Arial Narrow" w:eastAsiaTheme="majorEastAsia"/>
                <w:color w:val="000000"/>
                <w:szCs w:val="21"/>
              </w:rPr>
              <w:t>6,110,602.68</w:t>
            </w:r>
          </w:p>
        </w:tc>
        <w:tc>
          <w:tcPr>
            <w:tcW w:w="741" w:type="pct"/>
            <w:tcBorders>
              <w:top w:val="single" w:color="auto" w:sz="2" w:space="0"/>
              <w:left w:val="single" w:color="auto" w:sz="2" w:space="0"/>
              <w:bottom w:val="single" w:color="auto" w:sz="2" w:space="0"/>
              <w:right w:val="single" w:color="auto" w:sz="2" w:space="0"/>
            </w:tcBorders>
            <w:vAlign w:val="center"/>
          </w:tcPr>
          <w:p w14:paraId="0D9233F9">
            <w:pPr>
              <w:jc w:val="right"/>
              <w:rPr>
                <w:rFonts w:ascii="Arial Narrow" w:hAnsi="Arial Narrow" w:eastAsiaTheme="majorEastAsia"/>
                <w:szCs w:val="21"/>
              </w:rPr>
            </w:pPr>
            <w:r>
              <w:rPr>
                <w:rFonts w:ascii="Arial Narrow" w:hAnsi="Arial Narrow" w:eastAsiaTheme="majorEastAsia"/>
                <w:color w:val="000000"/>
                <w:szCs w:val="21"/>
              </w:rPr>
              <w:t>6,110,602.68</w:t>
            </w:r>
          </w:p>
        </w:tc>
        <w:tc>
          <w:tcPr>
            <w:tcW w:w="1722" w:type="pct"/>
            <w:tcBorders>
              <w:top w:val="single" w:color="auto" w:sz="2" w:space="0"/>
              <w:left w:val="single" w:color="auto" w:sz="2" w:space="0"/>
              <w:bottom w:val="single" w:color="auto" w:sz="2" w:space="0"/>
              <w:right w:val="single" w:color="auto" w:sz="2" w:space="0"/>
            </w:tcBorders>
            <w:shd w:val="clear" w:color="auto" w:fill="auto"/>
            <w:vAlign w:val="center"/>
          </w:tcPr>
          <w:p w14:paraId="3CE08889">
            <w:pPr>
              <w:jc w:val="both"/>
              <w:rPr>
                <w:rFonts w:ascii="Arial Narrow" w:hAnsi="Arial Narrow" w:eastAsiaTheme="majorEastAsia"/>
                <w:szCs w:val="21"/>
              </w:rPr>
            </w:pPr>
            <w:r>
              <w:rPr>
                <w:rFonts w:ascii="Arial Narrow" w:hAnsi="Arial Narrow" w:eastAsiaTheme="majorEastAsia"/>
                <w:szCs w:val="21"/>
              </w:rPr>
              <w:t>预计可收回金额低于账面价值</w:t>
            </w:r>
          </w:p>
        </w:tc>
      </w:tr>
      <w:tr w14:paraId="7FDBB2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693613E0">
            <w:pPr>
              <w:jc w:val="both"/>
              <w:rPr>
                <w:rFonts w:ascii="Arial Narrow" w:hAnsi="Arial Narrow" w:eastAsiaTheme="majorEastAsia"/>
                <w:szCs w:val="21"/>
              </w:rPr>
            </w:pPr>
            <w:r>
              <w:rPr>
                <w:rFonts w:ascii="Arial Narrow" w:hAnsi="Arial Narrow" w:eastAsiaTheme="majorEastAsia"/>
                <w:color w:val="000000"/>
                <w:szCs w:val="21"/>
              </w:rPr>
              <w:t>其他</w:t>
            </w:r>
          </w:p>
        </w:tc>
        <w:tc>
          <w:tcPr>
            <w:tcW w:w="741" w:type="pct"/>
            <w:tcBorders>
              <w:top w:val="single" w:color="auto" w:sz="2" w:space="0"/>
              <w:left w:val="single" w:color="auto" w:sz="2" w:space="0"/>
              <w:bottom w:val="single" w:color="auto" w:sz="2" w:space="0"/>
              <w:right w:val="single" w:color="auto" w:sz="2" w:space="0"/>
            </w:tcBorders>
            <w:vAlign w:val="center"/>
          </w:tcPr>
          <w:p w14:paraId="5AA57355">
            <w:pPr>
              <w:jc w:val="right"/>
              <w:rPr>
                <w:rFonts w:ascii="Arial Narrow" w:hAnsi="Arial Narrow" w:eastAsiaTheme="majorEastAsia"/>
                <w:szCs w:val="21"/>
              </w:rPr>
            </w:pPr>
            <w:r>
              <w:rPr>
                <w:rFonts w:ascii="Arial Narrow" w:hAnsi="Arial Narrow" w:eastAsiaTheme="majorEastAsia"/>
                <w:color w:val="000000"/>
                <w:szCs w:val="21"/>
              </w:rPr>
              <w:t>2,371,702.68</w:t>
            </w:r>
          </w:p>
        </w:tc>
        <w:tc>
          <w:tcPr>
            <w:tcW w:w="741" w:type="pct"/>
            <w:tcBorders>
              <w:top w:val="single" w:color="auto" w:sz="2" w:space="0"/>
              <w:left w:val="single" w:color="auto" w:sz="2" w:space="0"/>
              <w:bottom w:val="single" w:color="auto" w:sz="2" w:space="0"/>
              <w:right w:val="single" w:color="auto" w:sz="2" w:space="0"/>
            </w:tcBorders>
            <w:vAlign w:val="center"/>
          </w:tcPr>
          <w:p w14:paraId="18466BF5">
            <w:pPr>
              <w:jc w:val="right"/>
              <w:rPr>
                <w:rFonts w:ascii="Arial Narrow" w:hAnsi="Arial Narrow" w:eastAsiaTheme="majorEastAsia"/>
                <w:szCs w:val="21"/>
              </w:rPr>
            </w:pPr>
          </w:p>
        </w:tc>
        <w:tc>
          <w:tcPr>
            <w:tcW w:w="741" w:type="pct"/>
            <w:tcBorders>
              <w:top w:val="single" w:color="auto" w:sz="2" w:space="0"/>
              <w:left w:val="single" w:color="auto" w:sz="2" w:space="0"/>
              <w:bottom w:val="single" w:color="auto" w:sz="2" w:space="0"/>
              <w:right w:val="single" w:color="auto" w:sz="2" w:space="0"/>
            </w:tcBorders>
            <w:vAlign w:val="center"/>
          </w:tcPr>
          <w:p w14:paraId="34CF9192">
            <w:pPr>
              <w:jc w:val="right"/>
              <w:rPr>
                <w:rFonts w:ascii="Arial Narrow" w:hAnsi="Arial Narrow" w:eastAsiaTheme="majorEastAsia"/>
                <w:szCs w:val="21"/>
              </w:rPr>
            </w:pPr>
            <w:r>
              <w:rPr>
                <w:rFonts w:ascii="Arial Narrow" w:hAnsi="Arial Narrow" w:eastAsiaTheme="majorEastAsia"/>
                <w:color w:val="000000"/>
                <w:szCs w:val="21"/>
              </w:rPr>
              <w:t>2,371,702.68</w:t>
            </w:r>
          </w:p>
        </w:tc>
        <w:tc>
          <w:tcPr>
            <w:tcW w:w="1722" w:type="pct"/>
            <w:tcBorders>
              <w:top w:val="single" w:color="auto" w:sz="2" w:space="0"/>
              <w:left w:val="single" w:color="auto" w:sz="2" w:space="0"/>
              <w:bottom w:val="single" w:color="auto" w:sz="2" w:space="0"/>
              <w:right w:val="single" w:color="auto" w:sz="2" w:space="0"/>
            </w:tcBorders>
            <w:shd w:val="clear" w:color="auto" w:fill="auto"/>
            <w:vAlign w:val="center"/>
          </w:tcPr>
          <w:p w14:paraId="1A1056B9">
            <w:pPr>
              <w:jc w:val="both"/>
              <w:rPr>
                <w:rFonts w:ascii="Arial Narrow" w:hAnsi="Arial Narrow" w:eastAsiaTheme="majorEastAsia"/>
                <w:szCs w:val="21"/>
              </w:rPr>
            </w:pPr>
            <w:r>
              <w:rPr>
                <w:rFonts w:ascii="Arial Narrow" w:hAnsi="Arial Narrow" w:eastAsiaTheme="majorEastAsia"/>
                <w:szCs w:val="21"/>
              </w:rPr>
              <w:t>预计可收回金额低于账面价值</w:t>
            </w:r>
          </w:p>
        </w:tc>
      </w:tr>
      <w:tr w14:paraId="3B2178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1055" w:type="pct"/>
            <w:tcBorders>
              <w:top w:val="single" w:color="auto" w:sz="2" w:space="0"/>
              <w:left w:val="single" w:color="auto" w:sz="2" w:space="0"/>
              <w:bottom w:val="single" w:color="auto" w:sz="2" w:space="0"/>
              <w:right w:val="single" w:color="auto" w:sz="2" w:space="0"/>
            </w:tcBorders>
            <w:shd w:val="clear" w:color="auto" w:fill="auto"/>
            <w:vAlign w:val="center"/>
          </w:tcPr>
          <w:p w14:paraId="2A498093">
            <w:pPr>
              <w:jc w:val="center"/>
              <w:rPr>
                <w:rFonts w:ascii="Arial Narrow" w:hAnsi="Arial Narrow" w:eastAsiaTheme="majorEastAsia"/>
                <w:szCs w:val="21"/>
              </w:rPr>
            </w:pPr>
            <w:r>
              <w:rPr>
                <w:rFonts w:ascii="Arial Narrow" w:hAnsi="Arial Narrow" w:eastAsiaTheme="majorEastAsia"/>
                <w:szCs w:val="21"/>
              </w:rPr>
              <w:t>合计</w:t>
            </w:r>
          </w:p>
        </w:tc>
        <w:tc>
          <w:tcPr>
            <w:tcW w:w="741" w:type="pct"/>
            <w:tcBorders>
              <w:top w:val="single" w:color="auto" w:sz="2" w:space="0"/>
              <w:left w:val="single" w:color="auto" w:sz="2" w:space="0"/>
              <w:bottom w:val="single" w:color="auto" w:sz="2" w:space="0"/>
              <w:right w:val="single" w:color="auto" w:sz="2" w:space="0"/>
            </w:tcBorders>
            <w:vAlign w:val="center"/>
          </w:tcPr>
          <w:p w14:paraId="60D64C8F">
            <w:pPr>
              <w:jc w:val="right"/>
              <w:rPr>
                <w:rFonts w:ascii="Arial Narrow" w:hAnsi="Arial Narrow" w:eastAsiaTheme="majorEastAsia"/>
                <w:szCs w:val="21"/>
              </w:rPr>
            </w:pPr>
            <w:r>
              <w:rPr>
                <w:rFonts w:ascii="Arial Narrow" w:hAnsi="Arial Narrow" w:eastAsiaTheme="majorEastAsia"/>
                <w:color w:val="000000"/>
                <w:szCs w:val="21"/>
              </w:rPr>
              <w:t>2,371,702.68</w:t>
            </w:r>
          </w:p>
        </w:tc>
        <w:tc>
          <w:tcPr>
            <w:tcW w:w="741" w:type="pct"/>
            <w:tcBorders>
              <w:top w:val="single" w:color="auto" w:sz="2" w:space="0"/>
              <w:left w:val="single" w:color="auto" w:sz="2" w:space="0"/>
              <w:bottom w:val="single" w:color="auto" w:sz="2" w:space="0"/>
              <w:right w:val="single" w:color="auto" w:sz="2" w:space="0"/>
            </w:tcBorders>
            <w:vAlign w:val="center"/>
          </w:tcPr>
          <w:p w14:paraId="1843FCE4">
            <w:pPr>
              <w:jc w:val="right"/>
              <w:rPr>
                <w:rFonts w:ascii="Arial Narrow" w:hAnsi="Arial Narrow" w:eastAsiaTheme="majorEastAsia"/>
                <w:szCs w:val="21"/>
              </w:rPr>
            </w:pPr>
            <w:r>
              <w:rPr>
                <w:rFonts w:ascii="Arial Narrow" w:hAnsi="Arial Narrow" w:eastAsiaTheme="majorEastAsia"/>
                <w:color w:val="000000"/>
                <w:szCs w:val="21"/>
              </w:rPr>
              <w:t>714,457,230.12</w:t>
            </w:r>
          </w:p>
        </w:tc>
        <w:tc>
          <w:tcPr>
            <w:tcW w:w="741" w:type="pct"/>
            <w:tcBorders>
              <w:top w:val="single" w:color="auto" w:sz="2" w:space="0"/>
              <w:left w:val="single" w:color="auto" w:sz="2" w:space="0"/>
              <w:bottom w:val="single" w:color="auto" w:sz="2" w:space="0"/>
              <w:right w:val="single" w:color="auto" w:sz="2" w:space="0"/>
            </w:tcBorders>
            <w:vAlign w:val="center"/>
          </w:tcPr>
          <w:p w14:paraId="362919D9">
            <w:pPr>
              <w:jc w:val="right"/>
              <w:rPr>
                <w:rFonts w:ascii="Arial Narrow" w:hAnsi="Arial Narrow" w:eastAsiaTheme="majorEastAsia"/>
                <w:szCs w:val="21"/>
              </w:rPr>
            </w:pPr>
            <w:r>
              <w:rPr>
                <w:rFonts w:ascii="Arial Narrow" w:hAnsi="Arial Narrow" w:eastAsiaTheme="majorEastAsia"/>
                <w:color w:val="000000"/>
                <w:szCs w:val="21"/>
              </w:rPr>
              <w:t>716,828,932.80</w:t>
            </w:r>
          </w:p>
        </w:tc>
        <w:tc>
          <w:tcPr>
            <w:tcW w:w="1722" w:type="pct"/>
            <w:tcBorders>
              <w:top w:val="single" w:color="auto" w:sz="2" w:space="0"/>
              <w:left w:val="single" w:color="auto" w:sz="2" w:space="0"/>
              <w:bottom w:val="single" w:color="auto" w:sz="2" w:space="0"/>
              <w:right w:val="single" w:color="auto" w:sz="2" w:space="0"/>
            </w:tcBorders>
            <w:shd w:val="clear" w:color="auto" w:fill="auto"/>
          </w:tcPr>
          <w:p w14:paraId="61D17279">
            <w:pPr>
              <w:jc w:val="center"/>
              <w:rPr>
                <w:rFonts w:ascii="Arial Narrow" w:hAnsi="Arial Narrow" w:eastAsiaTheme="majorEastAsia"/>
                <w:szCs w:val="21"/>
              </w:rPr>
            </w:pPr>
            <w:r>
              <w:rPr>
                <w:rFonts w:ascii="Arial Narrow" w:hAnsi="Arial Narrow" w:eastAsiaTheme="majorEastAsia"/>
                <w:szCs w:val="21"/>
              </w:rPr>
              <w:t>/</w:t>
            </w:r>
          </w:p>
        </w:tc>
      </w:tr>
    </w:tbl>
    <w:p w14:paraId="0E0E34F8">
      <w:pPr>
        <w:rPr>
          <w:rFonts w:asciiTheme="minorHAnsi" w:hAnsiTheme="minorHAnsi" w:cstheme="minorBidi"/>
          <w:kern w:val="2"/>
          <w:szCs w:val="22"/>
        </w:rPr>
      </w:pPr>
    </w:p>
    <w:p w14:paraId="5212D726">
      <w:pPr>
        <w:pStyle w:val="72"/>
        <w:numPr>
          <w:ilvl w:val="0"/>
          <w:numId w:val="126"/>
        </w:numPr>
        <w:ind w:leftChars="0"/>
      </w:pPr>
      <w:bookmarkStart w:id="317" w:name="_Hlk153461314"/>
      <w:r>
        <w:rPr>
          <w:rFonts w:hint="eastAsia"/>
        </w:rPr>
        <w:t>在建工程的减值测试情况</w:t>
      </w:r>
    </w:p>
    <w:sdt>
      <w:sdtPr>
        <w:alias w:val="是否适用：减值测试情况[双击切换]"/>
        <w:tag w:val="_GBC_d3e3ceb3450d42e8a3d61da2c2d7d3cb"/>
        <w:id w:val="-2116976927"/>
        <w:placeholder>
          <w:docPart w:val="GBC22222222222222222222222222222"/>
        </w:placeholder>
      </w:sdtPr>
      <w:sdtContent>
        <w:p w14:paraId="37D4AA7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9C7304">
      <w:pPr>
        <w:snapToGrid w:val="0"/>
        <w:spacing w:line="240" w:lineRule="atLeast"/>
        <w:rPr>
          <w:rFonts w:hint="eastAsia"/>
          <w:b/>
          <w:szCs w:val="21"/>
        </w:rPr>
      </w:pPr>
    </w:p>
    <w:p w14:paraId="30F54DDA">
      <w:pPr>
        <w:pStyle w:val="73"/>
        <w:ind w:left="105"/>
      </w:pPr>
      <w:r>
        <w:rPr>
          <w:rFonts w:hint="eastAsia"/>
        </w:rPr>
        <w:t>可收回金额按公允价值减去处置费用后的净额确定</w:t>
      </w:r>
    </w:p>
    <w:sdt>
      <w:sdtPr>
        <w:alias w:val="是否适用：可收回金额按公允价值减去处置费用后的净额确定[双击切换]"/>
        <w:tag w:val="_GBC_5d3bced30472464198eed0ab56e1e93b"/>
        <w:id w:val="-891193294"/>
        <w:placeholder>
          <w:docPart w:val="GBC22222222222222222222222222222"/>
        </w:placeholder>
      </w:sdtPr>
      <w:sdtContent>
        <w:p w14:paraId="4DB85F2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27A63A">
      <w:pPr>
        <w:jc w:val="right"/>
        <w:rPr>
          <w:rFonts w:hint="eastAsia"/>
        </w:rPr>
      </w:pPr>
      <w:r>
        <w:rPr>
          <w:rFonts w:hint="eastAsia"/>
        </w:rPr>
        <w:t>单位：</w:t>
      </w:r>
      <w:sdt>
        <w:sdtPr>
          <w:rPr>
            <w:rFonts w:hint="eastAsia"/>
          </w:rPr>
          <w:alias w:val="单位：可收回金额按公允价值减去处置费用后的净额确定"/>
          <w:tag w:val="_GBC_3cd145868ff3490f8a376ebb1a943ace"/>
          <w:id w:val="207731681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公允价值减去处置费用后的净额确定"/>
          <w:tag w:val="_GBC_1dde991923cf4bfe84fa40213687fc88"/>
          <w:id w:val="-6479750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986"/>
        <w:gridCol w:w="1694"/>
        <w:gridCol w:w="1980"/>
        <w:gridCol w:w="1980"/>
        <w:gridCol w:w="1980"/>
        <w:gridCol w:w="1980"/>
      </w:tblGrid>
      <w:tr w14:paraId="6F0F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8f8d54b88e5468785e0b7c12ddce21d"/>
            <w:id w:val="-868212960"/>
          </w:sdtPr>
          <w:sdtContent>
            <w:tc>
              <w:tcPr>
                <w:tcW w:w="816" w:type="pct"/>
                <w:shd w:val="clear" w:color="auto" w:fill="auto"/>
                <w:vAlign w:val="center"/>
              </w:tcPr>
              <w:p w14:paraId="4D20BBFD">
                <w:pPr>
                  <w:widowControl w:val="0"/>
                  <w:snapToGrid w:val="0"/>
                  <w:spacing w:line="240" w:lineRule="atLeast"/>
                  <w:jc w:val="center"/>
                  <w:rPr>
                    <w:rFonts w:hint="eastAsia"/>
                    <w:szCs w:val="21"/>
                  </w:rPr>
                </w:pPr>
                <w:r>
                  <w:rPr>
                    <w:rFonts w:hint="eastAsia"/>
                    <w:szCs w:val="21"/>
                  </w:rPr>
                  <w:t>项目</w:t>
                </w:r>
              </w:p>
            </w:tc>
          </w:sdtContent>
        </w:sdt>
        <w:sdt>
          <w:sdtPr>
            <w:tag w:val="_PLD_009827f9d29b405eab229d0b13086ac5"/>
            <w:id w:val="1293715823"/>
          </w:sdtPr>
          <w:sdtContent>
            <w:tc>
              <w:tcPr>
                <w:tcW w:w="716" w:type="pct"/>
                <w:vAlign w:val="center"/>
              </w:tcPr>
              <w:p w14:paraId="7BD8A63C">
                <w:pPr>
                  <w:widowControl w:val="0"/>
                  <w:snapToGrid w:val="0"/>
                  <w:spacing w:line="240" w:lineRule="atLeast"/>
                  <w:jc w:val="center"/>
                  <w:rPr>
                    <w:rFonts w:hint="eastAsia"/>
                    <w:szCs w:val="21"/>
                  </w:rPr>
                </w:pPr>
                <w:r>
                  <w:rPr>
                    <w:rFonts w:hint="eastAsia"/>
                    <w:szCs w:val="21"/>
                  </w:rPr>
                  <w:t>账面价值</w:t>
                </w:r>
              </w:p>
            </w:tc>
          </w:sdtContent>
        </w:sdt>
        <w:sdt>
          <w:sdtPr>
            <w:tag w:val="_PLD_e4abfaf63399454481002c5b6c563ab6"/>
            <w:id w:val="-1053459875"/>
          </w:sdtPr>
          <w:sdtContent>
            <w:tc>
              <w:tcPr>
                <w:tcW w:w="611" w:type="pct"/>
                <w:vAlign w:val="center"/>
              </w:tcPr>
              <w:p w14:paraId="416E3705">
                <w:pPr>
                  <w:widowControl w:val="0"/>
                  <w:snapToGrid w:val="0"/>
                  <w:spacing w:line="240" w:lineRule="atLeast"/>
                  <w:jc w:val="center"/>
                  <w:rPr>
                    <w:rFonts w:hint="eastAsia"/>
                    <w:szCs w:val="21"/>
                  </w:rPr>
                </w:pPr>
                <w:r>
                  <w:rPr>
                    <w:rFonts w:hint="eastAsia"/>
                    <w:szCs w:val="21"/>
                  </w:rPr>
                  <w:t>可收回金额</w:t>
                </w:r>
              </w:p>
            </w:tc>
          </w:sdtContent>
        </w:sdt>
        <w:sdt>
          <w:sdtPr>
            <w:tag w:val="_PLD_9f018510ed2a4aefa42ca831a177c280"/>
            <w:id w:val="-1846781076"/>
          </w:sdtPr>
          <w:sdtContent>
            <w:tc>
              <w:tcPr>
                <w:tcW w:w="714" w:type="pct"/>
                <w:vAlign w:val="center"/>
              </w:tcPr>
              <w:p w14:paraId="3C4191F5">
                <w:pPr>
                  <w:widowControl w:val="0"/>
                  <w:snapToGrid w:val="0"/>
                  <w:spacing w:line="240" w:lineRule="atLeast"/>
                  <w:jc w:val="center"/>
                  <w:rPr>
                    <w:rFonts w:hint="eastAsia"/>
                    <w:szCs w:val="21"/>
                  </w:rPr>
                </w:pPr>
                <w:r>
                  <w:rPr>
                    <w:rFonts w:hint="eastAsia"/>
                    <w:szCs w:val="21"/>
                  </w:rPr>
                  <w:t>减值金额</w:t>
                </w:r>
              </w:p>
            </w:tc>
          </w:sdtContent>
        </w:sdt>
        <w:sdt>
          <w:sdtPr>
            <w:tag w:val="_PLD_e2ddddf1a8254cfaa6e99b7515598bce"/>
            <w:id w:val="-1847159548"/>
          </w:sdtPr>
          <w:sdtContent>
            <w:tc>
              <w:tcPr>
                <w:tcW w:w="714" w:type="pct"/>
                <w:shd w:val="clear" w:color="auto" w:fill="auto"/>
                <w:vAlign w:val="center"/>
              </w:tcPr>
              <w:p w14:paraId="3A89475C">
                <w:pPr>
                  <w:widowControl w:val="0"/>
                  <w:snapToGrid w:val="0"/>
                  <w:spacing w:line="240" w:lineRule="atLeast"/>
                  <w:jc w:val="center"/>
                  <w:rPr>
                    <w:rFonts w:hint="eastAsia"/>
                    <w:szCs w:val="21"/>
                  </w:rPr>
                </w:pPr>
                <w:r>
                  <w:rPr>
                    <w:rFonts w:hint="eastAsia"/>
                    <w:szCs w:val="21"/>
                  </w:rPr>
                  <w:t>公允价值和处置费用的确定方式</w:t>
                </w:r>
              </w:p>
            </w:tc>
          </w:sdtContent>
        </w:sdt>
        <w:sdt>
          <w:sdtPr>
            <w:tag w:val="_PLD_b35699979a964a9a8ed41f1ce25ce991"/>
            <w:id w:val="556592719"/>
          </w:sdtPr>
          <w:sdtContent>
            <w:tc>
              <w:tcPr>
                <w:tcW w:w="714" w:type="pct"/>
                <w:shd w:val="clear" w:color="auto" w:fill="auto"/>
                <w:vAlign w:val="center"/>
              </w:tcPr>
              <w:p w14:paraId="3F8368B7">
                <w:pPr>
                  <w:widowControl w:val="0"/>
                  <w:snapToGrid w:val="0"/>
                  <w:spacing w:line="240" w:lineRule="atLeast"/>
                  <w:jc w:val="center"/>
                  <w:rPr>
                    <w:rFonts w:hint="eastAsia"/>
                    <w:szCs w:val="21"/>
                  </w:rPr>
                </w:pPr>
                <w:r>
                  <w:rPr>
                    <w:rFonts w:hint="eastAsia"/>
                    <w:szCs w:val="21"/>
                  </w:rPr>
                  <w:t>关键参数</w:t>
                </w:r>
              </w:p>
            </w:tc>
          </w:sdtContent>
        </w:sdt>
        <w:sdt>
          <w:sdtPr>
            <w:tag w:val="_PLD_21b7bf972095486480aa93c77320f7c5"/>
            <w:id w:val="-1197459369"/>
          </w:sdtPr>
          <w:sdtContent>
            <w:tc>
              <w:tcPr>
                <w:tcW w:w="714" w:type="pct"/>
                <w:shd w:val="clear" w:color="auto" w:fill="auto"/>
                <w:vAlign w:val="center"/>
              </w:tcPr>
              <w:p w14:paraId="2F551B95">
                <w:pPr>
                  <w:widowControl w:val="0"/>
                  <w:snapToGrid w:val="0"/>
                  <w:spacing w:line="240" w:lineRule="atLeast"/>
                  <w:jc w:val="center"/>
                  <w:rPr>
                    <w:rFonts w:hint="eastAsia"/>
                    <w:szCs w:val="21"/>
                  </w:rPr>
                </w:pPr>
                <w:r>
                  <w:rPr>
                    <w:rFonts w:hint="eastAsia"/>
                    <w:szCs w:val="21"/>
                  </w:rPr>
                  <w:t>关键参数的确定依据</w:t>
                </w:r>
              </w:p>
            </w:tc>
          </w:sdtContent>
        </w:sdt>
      </w:tr>
      <w:tr w14:paraId="294E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shd w:val="clear" w:color="auto" w:fill="auto"/>
            <w:vAlign w:val="center"/>
          </w:tcPr>
          <w:p w14:paraId="530C8BE7">
            <w:pPr>
              <w:widowControl w:val="0"/>
              <w:snapToGrid w:val="0"/>
              <w:spacing w:line="240" w:lineRule="atLeast"/>
              <w:jc w:val="center"/>
              <w:rPr>
                <w:rFonts w:hint="eastAsia"/>
                <w:szCs w:val="21"/>
              </w:rPr>
            </w:pPr>
            <w:r>
              <w:rPr>
                <w:rFonts w:hint="eastAsia" w:ascii="Arial Narrow" w:hAnsi="Arial Narrow" w:eastAsia="等线"/>
                <w:color w:val="000000"/>
                <w:szCs w:val="21"/>
              </w:rPr>
              <w:t>橡胶工业公租房项目</w:t>
            </w:r>
          </w:p>
        </w:tc>
        <w:tc>
          <w:tcPr>
            <w:tcW w:w="716" w:type="pct"/>
            <w:vAlign w:val="center"/>
          </w:tcPr>
          <w:p w14:paraId="2360073E">
            <w:pPr>
              <w:widowControl w:val="0"/>
              <w:snapToGrid w:val="0"/>
              <w:spacing w:line="240" w:lineRule="atLeast"/>
              <w:jc w:val="right"/>
              <w:rPr>
                <w:rFonts w:hint="eastAsia"/>
                <w:szCs w:val="21"/>
              </w:rPr>
            </w:pPr>
            <w:r>
              <w:rPr>
                <w:rFonts w:ascii="Arial Narrow" w:hAnsi="Arial Narrow" w:eastAsia="等线"/>
                <w:color w:val="000000"/>
                <w:sz w:val="22"/>
                <w:szCs w:val="22"/>
              </w:rPr>
              <w:t>8,242,971.51</w:t>
            </w:r>
          </w:p>
        </w:tc>
        <w:tc>
          <w:tcPr>
            <w:tcW w:w="611" w:type="pct"/>
            <w:vAlign w:val="center"/>
          </w:tcPr>
          <w:p w14:paraId="3602A5B3">
            <w:pPr>
              <w:widowControl w:val="0"/>
              <w:snapToGrid w:val="0"/>
              <w:spacing w:line="240" w:lineRule="atLeast"/>
              <w:jc w:val="right"/>
              <w:rPr>
                <w:rFonts w:hint="eastAsia"/>
                <w:szCs w:val="21"/>
              </w:rPr>
            </w:pPr>
          </w:p>
        </w:tc>
        <w:tc>
          <w:tcPr>
            <w:tcW w:w="714" w:type="pct"/>
            <w:vAlign w:val="center"/>
          </w:tcPr>
          <w:p w14:paraId="1E9B8524">
            <w:pPr>
              <w:widowControl w:val="0"/>
              <w:snapToGrid w:val="0"/>
              <w:spacing w:line="240" w:lineRule="atLeast"/>
              <w:jc w:val="right"/>
              <w:rPr>
                <w:rFonts w:hint="eastAsia"/>
                <w:szCs w:val="21"/>
              </w:rPr>
            </w:pPr>
            <w:r>
              <w:rPr>
                <w:rFonts w:ascii="Arial Narrow" w:hAnsi="Arial Narrow" w:eastAsia="等线"/>
                <w:color w:val="000000"/>
                <w:sz w:val="22"/>
                <w:szCs w:val="22"/>
              </w:rPr>
              <w:t>8,242,971.51</w:t>
            </w:r>
          </w:p>
        </w:tc>
        <w:tc>
          <w:tcPr>
            <w:tcW w:w="714" w:type="pct"/>
            <w:shd w:val="clear" w:color="auto" w:fill="auto"/>
            <w:vAlign w:val="center"/>
          </w:tcPr>
          <w:p w14:paraId="4F4F89FF">
            <w:pPr>
              <w:widowControl w:val="0"/>
              <w:snapToGrid w:val="0"/>
              <w:spacing w:line="240" w:lineRule="atLeast"/>
              <w:jc w:val="center"/>
              <w:rPr>
                <w:rFonts w:hint="eastAsia"/>
                <w:szCs w:val="21"/>
              </w:rPr>
            </w:pPr>
            <w:r>
              <w:rPr>
                <w:rFonts w:hint="eastAsia"/>
                <w:szCs w:val="21"/>
              </w:rPr>
              <w:t>市场询价</w:t>
            </w:r>
          </w:p>
        </w:tc>
        <w:tc>
          <w:tcPr>
            <w:tcW w:w="714" w:type="pct"/>
            <w:shd w:val="clear" w:color="auto" w:fill="auto"/>
            <w:vAlign w:val="center"/>
          </w:tcPr>
          <w:p w14:paraId="396DE643">
            <w:pPr>
              <w:widowControl w:val="0"/>
              <w:snapToGrid w:val="0"/>
              <w:spacing w:line="240" w:lineRule="atLeast"/>
              <w:jc w:val="center"/>
              <w:rPr>
                <w:rFonts w:hint="eastAsia"/>
                <w:szCs w:val="21"/>
              </w:rPr>
            </w:pPr>
            <w:r>
              <w:rPr>
                <w:rFonts w:hint="eastAsia"/>
                <w:szCs w:val="21"/>
              </w:rPr>
              <w:t>市场价格、拆除费用</w:t>
            </w:r>
          </w:p>
        </w:tc>
        <w:tc>
          <w:tcPr>
            <w:tcW w:w="714" w:type="pct"/>
            <w:shd w:val="clear" w:color="auto" w:fill="auto"/>
            <w:vAlign w:val="center"/>
          </w:tcPr>
          <w:p w14:paraId="48275E06">
            <w:pPr>
              <w:widowControl w:val="0"/>
              <w:snapToGrid w:val="0"/>
              <w:spacing w:line="240" w:lineRule="atLeast"/>
              <w:jc w:val="center"/>
              <w:rPr>
                <w:rFonts w:hint="eastAsia"/>
                <w:szCs w:val="21"/>
              </w:rPr>
            </w:pPr>
            <w:r>
              <w:rPr>
                <w:rFonts w:hint="eastAsia" w:ascii="Arial Narrow" w:hAnsi="Arial Narrow" w:eastAsia="等线"/>
                <w:color w:val="000000"/>
                <w:szCs w:val="21"/>
              </w:rPr>
              <w:t>通过残值减去拆除费用确定残余价值</w:t>
            </w:r>
          </w:p>
        </w:tc>
      </w:tr>
      <w:tr w14:paraId="4663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shd w:val="clear" w:color="auto" w:fill="auto"/>
            <w:vAlign w:val="center"/>
          </w:tcPr>
          <w:p w14:paraId="628E430D">
            <w:pPr>
              <w:widowControl w:val="0"/>
              <w:snapToGrid w:val="0"/>
              <w:spacing w:line="240" w:lineRule="atLeast"/>
              <w:jc w:val="center"/>
              <w:rPr>
                <w:rFonts w:hint="eastAsia"/>
                <w:szCs w:val="21"/>
              </w:rPr>
            </w:pPr>
            <w:r>
              <w:rPr>
                <w:szCs w:val="21"/>
              </w:rPr>
              <w:t>合计</w:t>
            </w:r>
          </w:p>
        </w:tc>
        <w:tc>
          <w:tcPr>
            <w:tcW w:w="716" w:type="pct"/>
            <w:vAlign w:val="center"/>
          </w:tcPr>
          <w:p w14:paraId="06AF2BA8">
            <w:pPr>
              <w:widowControl w:val="0"/>
              <w:snapToGrid w:val="0"/>
              <w:spacing w:line="240" w:lineRule="atLeast"/>
              <w:jc w:val="right"/>
              <w:rPr>
                <w:rFonts w:hint="eastAsia"/>
                <w:szCs w:val="21"/>
              </w:rPr>
            </w:pPr>
            <w:r>
              <w:rPr>
                <w:rFonts w:ascii="Arial Narrow" w:hAnsi="Arial Narrow" w:eastAsia="等线"/>
                <w:color w:val="000000"/>
                <w:sz w:val="22"/>
                <w:szCs w:val="22"/>
              </w:rPr>
              <w:t>8,242,971.51</w:t>
            </w:r>
          </w:p>
        </w:tc>
        <w:tc>
          <w:tcPr>
            <w:tcW w:w="611" w:type="pct"/>
            <w:vAlign w:val="center"/>
          </w:tcPr>
          <w:p w14:paraId="092A8F05">
            <w:pPr>
              <w:widowControl w:val="0"/>
              <w:snapToGrid w:val="0"/>
              <w:spacing w:line="240" w:lineRule="atLeast"/>
              <w:jc w:val="right"/>
              <w:rPr>
                <w:rFonts w:hint="eastAsia"/>
                <w:szCs w:val="21"/>
              </w:rPr>
            </w:pPr>
          </w:p>
        </w:tc>
        <w:tc>
          <w:tcPr>
            <w:tcW w:w="714" w:type="pct"/>
            <w:vAlign w:val="center"/>
          </w:tcPr>
          <w:p w14:paraId="40BD7521">
            <w:pPr>
              <w:widowControl w:val="0"/>
              <w:snapToGrid w:val="0"/>
              <w:spacing w:line="240" w:lineRule="atLeast"/>
              <w:jc w:val="right"/>
              <w:rPr>
                <w:rFonts w:hint="eastAsia"/>
                <w:szCs w:val="21"/>
              </w:rPr>
            </w:pPr>
            <w:r>
              <w:rPr>
                <w:rFonts w:ascii="Arial Narrow" w:hAnsi="Arial Narrow" w:eastAsia="等线"/>
                <w:color w:val="000000"/>
                <w:sz w:val="22"/>
                <w:szCs w:val="22"/>
              </w:rPr>
              <w:t>8,242,971.51</w:t>
            </w:r>
          </w:p>
        </w:tc>
        <w:tc>
          <w:tcPr>
            <w:tcW w:w="714" w:type="pct"/>
            <w:shd w:val="clear" w:color="auto" w:fill="auto"/>
            <w:vAlign w:val="center"/>
          </w:tcPr>
          <w:p w14:paraId="3F434350">
            <w:pPr>
              <w:widowControl w:val="0"/>
              <w:snapToGrid w:val="0"/>
              <w:spacing w:line="240" w:lineRule="atLeast"/>
              <w:jc w:val="center"/>
              <w:rPr>
                <w:rFonts w:hint="eastAsia"/>
                <w:szCs w:val="21"/>
              </w:rPr>
            </w:pPr>
            <w:r>
              <w:rPr>
                <w:rFonts w:hint="eastAsia"/>
                <w:szCs w:val="21"/>
              </w:rPr>
              <w:t>/</w:t>
            </w:r>
          </w:p>
        </w:tc>
        <w:tc>
          <w:tcPr>
            <w:tcW w:w="714" w:type="pct"/>
            <w:shd w:val="clear" w:color="auto" w:fill="auto"/>
            <w:vAlign w:val="center"/>
          </w:tcPr>
          <w:p w14:paraId="127A231D">
            <w:pPr>
              <w:widowControl w:val="0"/>
              <w:snapToGrid w:val="0"/>
              <w:spacing w:line="240" w:lineRule="atLeast"/>
              <w:jc w:val="center"/>
              <w:rPr>
                <w:rFonts w:hint="eastAsia"/>
                <w:szCs w:val="21"/>
              </w:rPr>
            </w:pPr>
            <w:r>
              <w:rPr>
                <w:rFonts w:hint="eastAsia"/>
                <w:szCs w:val="21"/>
              </w:rPr>
              <w:t>/</w:t>
            </w:r>
          </w:p>
        </w:tc>
        <w:tc>
          <w:tcPr>
            <w:tcW w:w="714" w:type="pct"/>
            <w:shd w:val="clear" w:color="auto" w:fill="auto"/>
            <w:vAlign w:val="center"/>
          </w:tcPr>
          <w:p w14:paraId="72A1DB36">
            <w:pPr>
              <w:widowControl w:val="0"/>
              <w:snapToGrid w:val="0"/>
              <w:spacing w:line="240" w:lineRule="atLeast"/>
              <w:jc w:val="center"/>
              <w:rPr>
                <w:rFonts w:hint="eastAsia"/>
                <w:szCs w:val="21"/>
              </w:rPr>
            </w:pPr>
            <w:r>
              <w:rPr>
                <w:rFonts w:hint="eastAsia"/>
                <w:szCs w:val="21"/>
              </w:rPr>
              <w:t>/</w:t>
            </w:r>
          </w:p>
        </w:tc>
      </w:tr>
    </w:tbl>
    <w:p w14:paraId="74E47BFC">
      <w:pPr>
        <w:snapToGrid w:val="0"/>
        <w:spacing w:line="240" w:lineRule="atLeast"/>
        <w:rPr>
          <w:rFonts w:hint="eastAsia"/>
          <w:szCs w:val="21"/>
        </w:rPr>
      </w:pPr>
    </w:p>
    <w:p w14:paraId="7C757405">
      <w:pPr>
        <w:pStyle w:val="73"/>
        <w:ind w:left="105"/>
      </w:pPr>
      <w:r>
        <w:rPr>
          <w:rFonts w:hint="eastAsia"/>
        </w:rPr>
        <w:t>可收回金额按预计未来现金流量的现值确定</w:t>
      </w:r>
    </w:p>
    <w:sdt>
      <w:sdtPr>
        <w:rPr>
          <w:rFonts w:hint="eastAsia"/>
        </w:rPr>
        <w:alias w:val="是否适用：可收回金额按预计未来现金流量的现值确定[双击切换]"/>
        <w:tag w:val="_GBC_ea285cba95d04aae86fc950e09c04394"/>
        <w:id w:val="-1381547511"/>
        <w:placeholder>
          <w:docPart w:val="GBC22222222222222222222222222222"/>
        </w:placeholder>
      </w:sdtPr>
      <w:sdtEndPr>
        <w:rPr>
          <w:rFonts w:hint="eastAsia"/>
        </w:rPr>
      </w:sdtEndPr>
      <w:sdtContent>
        <w:p w14:paraId="40F0DF39">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73B06DD6">
      <w:pPr>
        <w:jc w:val="right"/>
        <w:rPr>
          <w:rFonts w:hint="eastAsia"/>
        </w:rPr>
      </w:pPr>
      <w:r>
        <w:rPr>
          <w:rFonts w:hint="eastAsia"/>
        </w:rPr>
        <w:t>单位：</w:t>
      </w:r>
      <w:sdt>
        <w:sdtPr>
          <w:rPr>
            <w:rFonts w:hint="eastAsia"/>
          </w:rPr>
          <w:alias w:val="单位：可收回金额按预计未来现金流量的现值确定"/>
          <w:tag w:val="_GBC_e89e3cb68fb64e6a8a76f3a436e7ed57"/>
          <w:id w:val="-144814738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预计未来现金流量的现值确定"/>
          <w:tag w:val="_GBC_69de601a57c74ec18345113dbf210aab"/>
          <w:id w:val="-3110927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3"/>
        <w:gridCol w:w="1553"/>
        <w:gridCol w:w="1553"/>
        <w:gridCol w:w="1553"/>
        <w:gridCol w:w="1140"/>
        <w:gridCol w:w="1844"/>
        <w:gridCol w:w="1919"/>
        <w:gridCol w:w="2168"/>
      </w:tblGrid>
      <w:tr w14:paraId="0AFE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eb97fd45e457475baff32584d77ef18b"/>
            <w:id w:val="1578473654"/>
          </w:sdtPr>
          <w:sdtContent>
            <w:tc>
              <w:tcPr>
                <w:tcW w:w="769" w:type="pct"/>
                <w:shd w:val="clear" w:color="auto" w:fill="auto"/>
                <w:vAlign w:val="center"/>
              </w:tcPr>
              <w:p w14:paraId="5272ACAB">
                <w:pPr>
                  <w:snapToGrid w:val="0"/>
                  <w:spacing w:line="240" w:lineRule="atLeast"/>
                  <w:jc w:val="center"/>
                  <w:rPr>
                    <w:rFonts w:hint="eastAsia"/>
                    <w:szCs w:val="21"/>
                  </w:rPr>
                </w:pPr>
                <w:r>
                  <w:rPr>
                    <w:rFonts w:hint="eastAsia"/>
                    <w:szCs w:val="21"/>
                  </w:rPr>
                  <w:t>项目</w:t>
                </w:r>
              </w:p>
            </w:tc>
          </w:sdtContent>
        </w:sdt>
        <w:sdt>
          <w:sdtPr>
            <w:tag w:val="_PLD_8d9213f080ac41afbfb9d72860b3c8f1"/>
            <w:id w:val="-594932018"/>
          </w:sdtPr>
          <w:sdtContent>
            <w:tc>
              <w:tcPr>
                <w:tcW w:w="560" w:type="pct"/>
                <w:vAlign w:val="center"/>
              </w:tcPr>
              <w:p w14:paraId="1456F4C4">
                <w:pPr>
                  <w:snapToGrid w:val="0"/>
                  <w:spacing w:line="240" w:lineRule="atLeast"/>
                  <w:jc w:val="center"/>
                  <w:rPr>
                    <w:rFonts w:hint="eastAsia"/>
                    <w:szCs w:val="21"/>
                  </w:rPr>
                </w:pPr>
                <w:r>
                  <w:t>账面价值</w:t>
                </w:r>
              </w:p>
            </w:tc>
          </w:sdtContent>
        </w:sdt>
        <w:sdt>
          <w:sdtPr>
            <w:tag w:val="_PLD_6c18438bf02d4a6d82647bf5afcf1470"/>
            <w:id w:val="840739735"/>
          </w:sdtPr>
          <w:sdtContent>
            <w:tc>
              <w:tcPr>
                <w:tcW w:w="560" w:type="pct"/>
                <w:vAlign w:val="center"/>
              </w:tcPr>
              <w:p w14:paraId="66F8B21B">
                <w:pPr>
                  <w:snapToGrid w:val="0"/>
                  <w:spacing w:line="240" w:lineRule="atLeast"/>
                  <w:jc w:val="center"/>
                  <w:rPr>
                    <w:rFonts w:hint="eastAsia"/>
                    <w:szCs w:val="21"/>
                  </w:rPr>
                </w:pPr>
                <w:r>
                  <w:t>可收回金额</w:t>
                </w:r>
              </w:p>
            </w:tc>
          </w:sdtContent>
        </w:sdt>
        <w:sdt>
          <w:sdtPr>
            <w:tag w:val="_PLD_36f71bf1baa64493a2ec0ab4f84b8cf3"/>
            <w:id w:val="-1137185020"/>
          </w:sdtPr>
          <w:sdtContent>
            <w:tc>
              <w:tcPr>
                <w:tcW w:w="560" w:type="pct"/>
                <w:vAlign w:val="center"/>
              </w:tcPr>
              <w:p w14:paraId="6DD5AAC5">
                <w:pPr>
                  <w:snapToGrid w:val="0"/>
                  <w:spacing w:line="240" w:lineRule="atLeast"/>
                  <w:jc w:val="center"/>
                  <w:rPr>
                    <w:rFonts w:hint="eastAsia"/>
                    <w:szCs w:val="21"/>
                  </w:rPr>
                </w:pPr>
                <w:r>
                  <w:t>减值金额</w:t>
                </w:r>
              </w:p>
            </w:tc>
          </w:sdtContent>
        </w:sdt>
        <w:sdt>
          <w:sdtPr>
            <w:tag w:val="_PLD_08db85839a5c47c890bf99a718f83133"/>
            <w:id w:val="-512840955"/>
          </w:sdtPr>
          <w:sdtContent>
            <w:tc>
              <w:tcPr>
                <w:tcW w:w="411" w:type="pct"/>
                <w:shd w:val="clear" w:color="auto" w:fill="auto"/>
                <w:vAlign w:val="center"/>
              </w:tcPr>
              <w:p w14:paraId="39053629">
                <w:pPr>
                  <w:snapToGrid w:val="0"/>
                  <w:spacing w:line="240" w:lineRule="atLeast"/>
                  <w:jc w:val="center"/>
                  <w:rPr>
                    <w:rFonts w:hint="eastAsia"/>
                    <w:szCs w:val="21"/>
                  </w:rPr>
                </w:pPr>
                <w:r>
                  <w:rPr>
                    <w:rFonts w:hint="eastAsia"/>
                    <w:szCs w:val="21"/>
                  </w:rPr>
                  <w:t>预测期的年限</w:t>
                </w:r>
              </w:p>
            </w:tc>
          </w:sdtContent>
        </w:sdt>
        <w:sdt>
          <w:sdtPr>
            <w:tag w:val="_PLD_ab99d433d4624463851d18f56abcc786"/>
            <w:id w:val="1096672857"/>
          </w:sdtPr>
          <w:sdtContent>
            <w:tc>
              <w:tcPr>
                <w:tcW w:w="665" w:type="pct"/>
                <w:shd w:val="clear" w:color="auto" w:fill="auto"/>
                <w:vAlign w:val="center"/>
              </w:tcPr>
              <w:p w14:paraId="17FBA0A2">
                <w:pPr>
                  <w:snapToGrid w:val="0"/>
                  <w:spacing w:line="240" w:lineRule="atLeast"/>
                  <w:jc w:val="center"/>
                  <w:rPr>
                    <w:rFonts w:hint="eastAsia"/>
                    <w:szCs w:val="21"/>
                  </w:rPr>
                </w:pPr>
                <w:r>
                  <w:rPr>
                    <w:rFonts w:hint="eastAsia"/>
                    <w:szCs w:val="21"/>
                  </w:rPr>
                  <w:t>预测期的关键参数</w:t>
                </w:r>
              </w:p>
            </w:tc>
          </w:sdtContent>
        </w:sdt>
        <w:sdt>
          <w:sdtPr>
            <w:tag w:val="_PLD_d1384fff28a7419ab02f75f2ad1d5056"/>
            <w:id w:val="1251539729"/>
          </w:sdtPr>
          <w:sdtContent>
            <w:tc>
              <w:tcPr>
                <w:tcW w:w="692" w:type="pct"/>
                <w:shd w:val="clear" w:color="auto" w:fill="auto"/>
                <w:vAlign w:val="center"/>
              </w:tcPr>
              <w:p w14:paraId="2B4E233F">
                <w:pPr>
                  <w:snapToGrid w:val="0"/>
                  <w:spacing w:line="240" w:lineRule="atLeast"/>
                  <w:jc w:val="center"/>
                  <w:rPr>
                    <w:rFonts w:hint="eastAsia"/>
                    <w:szCs w:val="21"/>
                  </w:rPr>
                </w:pPr>
                <w:r>
                  <w:rPr>
                    <w:rFonts w:hint="eastAsia"/>
                    <w:szCs w:val="21"/>
                  </w:rPr>
                  <w:t>稳定期的关键参数</w:t>
                </w:r>
              </w:p>
            </w:tc>
          </w:sdtContent>
        </w:sdt>
        <w:sdt>
          <w:sdtPr>
            <w:tag w:val="_PLD_a2fe68acda0145e48731237791ba3905"/>
            <w:id w:val="835200292"/>
          </w:sdtPr>
          <w:sdtContent>
            <w:tc>
              <w:tcPr>
                <w:tcW w:w="782" w:type="pct"/>
                <w:shd w:val="clear" w:color="auto" w:fill="auto"/>
              </w:tcPr>
              <w:p w14:paraId="6FAAEACC">
                <w:pPr>
                  <w:snapToGrid w:val="0"/>
                  <w:spacing w:line="240" w:lineRule="atLeast"/>
                  <w:jc w:val="center"/>
                  <w:rPr>
                    <w:rFonts w:hint="eastAsia"/>
                    <w:b/>
                    <w:szCs w:val="21"/>
                  </w:rPr>
                </w:pPr>
                <w:r>
                  <w:rPr>
                    <w:rFonts w:hint="eastAsia"/>
                    <w:szCs w:val="21"/>
                  </w:rPr>
                  <w:t>稳定期的关键参数的确定依据</w:t>
                </w:r>
              </w:p>
            </w:tc>
          </w:sdtContent>
        </w:sdt>
      </w:tr>
      <w:tr w14:paraId="1D7A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vAlign w:val="center"/>
          </w:tcPr>
          <w:p w14:paraId="5EFAA75E">
            <w:pPr>
              <w:snapToGrid w:val="0"/>
              <w:spacing w:line="240" w:lineRule="atLeast"/>
              <w:jc w:val="center"/>
              <w:rPr>
                <w:rFonts w:hint="eastAsia"/>
                <w:szCs w:val="21"/>
              </w:rPr>
            </w:pPr>
            <w:r>
              <w:rPr>
                <w:rFonts w:ascii="Arial Narrow" w:hAnsi="Arial Narrow" w:eastAsia="等线"/>
                <w:color w:val="000000"/>
                <w:szCs w:val="21"/>
              </w:rPr>
              <w:t>长春际华园项目</w:t>
            </w:r>
          </w:p>
        </w:tc>
        <w:tc>
          <w:tcPr>
            <w:tcW w:w="560" w:type="pct"/>
            <w:vAlign w:val="center"/>
          </w:tcPr>
          <w:p w14:paraId="50F3B630">
            <w:pPr>
              <w:snapToGrid w:val="0"/>
              <w:spacing w:line="240" w:lineRule="atLeast"/>
              <w:jc w:val="right"/>
              <w:rPr>
                <w:rFonts w:hint="eastAsia"/>
                <w:szCs w:val="21"/>
              </w:rPr>
            </w:pPr>
            <w:r>
              <w:rPr>
                <w:rFonts w:ascii="Arial Narrow" w:hAnsi="Arial Narrow" w:eastAsia="等线"/>
                <w:color w:val="000000"/>
                <w:sz w:val="22"/>
                <w:szCs w:val="22"/>
              </w:rPr>
              <w:t>775,853,575.34</w:t>
            </w:r>
          </w:p>
        </w:tc>
        <w:tc>
          <w:tcPr>
            <w:tcW w:w="560" w:type="pct"/>
            <w:vAlign w:val="center"/>
          </w:tcPr>
          <w:p w14:paraId="30A11EA3">
            <w:pPr>
              <w:snapToGrid w:val="0"/>
              <w:spacing w:line="240" w:lineRule="atLeast"/>
              <w:jc w:val="right"/>
              <w:rPr>
                <w:rFonts w:hint="eastAsia"/>
                <w:szCs w:val="21"/>
              </w:rPr>
            </w:pPr>
            <w:r>
              <w:rPr>
                <w:rFonts w:ascii="Arial Narrow" w:hAnsi="Arial Narrow" w:eastAsia="等线"/>
                <w:color w:val="000000"/>
                <w:sz w:val="22"/>
                <w:szCs w:val="22"/>
              </w:rPr>
              <w:t>75,749,919.41</w:t>
            </w:r>
          </w:p>
        </w:tc>
        <w:tc>
          <w:tcPr>
            <w:tcW w:w="560" w:type="pct"/>
            <w:vAlign w:val="center"/>
          </w:tcPr>
          <w:p w14:paraId="30212CD5">
            <w:pPr>
              <w:snapToGrid w:val="0"/>
              <w:spacing w:line="240" w:lineRule="atLeast"/>
              <w:jc w:val="right"/>
              <w:rPr>
                <w:rFonts w:hint="eastAsia"/>
                <w:szCs w:val="21"/>
              </w:rPr>
            </w:pPr>
            <w:r>
              <w:rPr>
                <w:rFonts w:ascii="Arial Narrow" w:hAnsi="Arial Narrow" w:eastAsia="等线"/>
                <w:color w:val="000000"/>
                <w:sz w:val="22"/>
                <w:szCs w:val="22"/>
              </w:rPr>
              <w:t>700,103,655.93</w:t>
            </w:r>
          </w:p>
        </w:tc>
        <w:tc>
          <w:tcPr>
            <w:tcW w:w="411" w:type="pct"/>
            <w:shd w:val="clear" w:color="auto" w:fill="auto"/>
            <w:vAlign w:val="center"/>
          </w:tcPr>
          <w:p w14:paraId="03C1A426">
            <w:pPr>
              <w:snapToGrid w:val="0"/>
              <w:spacing w:line="240" w:lineRule="atLeast"/>
              <w:jc w:val="center"/>
              <w:rPr>
                <w:rFonts w:hint="eastAsia"/>
                <w:szCs w:val="21"/>
              </w:rPr>
            </w:pPr>
            <w:r>
              <w:rPr>
                <w:rFonts w:ascii="Arial Narrow" w:hAnsi="Arial Narrow" w:eastAsia="等线"/>
                <w:color w:val="000000"/>
                <w:szCs w:val="21"/>
              </w:rPr>
              <w:t>5年</w:t>
            </w:r>
          </w:p>
        </w:tc>
        <w:tc>
          <w:tcPr>
            <w:tcW w:w="665" w:type="pct"/>
            <w:shd w:val="clear" w:color="auto" w:fill="auto"/>
            <w:vAlign w:val="center"/>
          </w:tcPr>
          <w:p w14:paraId="36C30532">
            <w:pPr>
              <w:snapToGrid w:val="0"/>
              <w:spacing w:line="240" w:lineRule="atLeast"/>
              <w:jc w:val="center"/>
              <w:rPr>
                <w:rFonts w:hint="eastAsia"/>
                <w:szCs w:val="21"/>
              </w:rPr>
            </w:pPr>
            <w:r>
              <w:rPr>
                <w:rFonts w:ascii="Arial Narrow" w:hAnsi="Arial Narrow" w:eastAsia="等线"/>
                <w:color w:val="000000"/>
                <w:szCs w:val="21"/>
              </w:rPr>
              <w:t>收入平均增长率10%；税前折现率6.68%</w:t>
            </w:r>
          </w:p>
        </w:tc>
        <w:tc>
          <w:tcPr>
            <w:tcW w:w="692" w:type="pct"/>
            <w:shd w:val="clear" w:color="auto" w:fill="auto"/>
            <w:vAlign w:val="center"/>
          </w:tcPr>
          <w:p w14:paraId="72AB1C43">
            <w:pPr>
              <w:snapToGrid w:val="0"/>
              <w:spacing w:line="240" w:lineRule="atLeast"/>
              <w:jc w:val="center"/>
              <w:rPr>
                <w:rFonts w:hint="eastAsia"/>
                <w:szCs w:val="21"/>
              </w:rPr>
            </w:pPr>
            <w:r>
              <w:rPr>
                <w:rFonts w:ascii="Arial Narrow" w:hAnsi="Arial Narrow" w:eastAsia="等线"/>
                <w:color w:val="000000"/>
                <w:szCs w:val="21"/>
              </w:rPr>
              <w:t>根据项目土地剩余使用期确定</w:t>
            </w:r>
            <w:r>
              <w:rPr>
                <w:rFonts w:hint="eastAsia" w:ascii="Arial Narrow" w:hAnsi="Arial Narrow" w:eastAsia="等线"/>
                <w:color w:val="000000"/>
                <w:szCs w:val="21"/>
              </w:rPr>
              <w:t>稳定期</w:t>
            </w:r>
            <w:r>
              <w:rPr>
                <w:rFonts w:ascii="Arial Narrow" w:hAnsi="Arial Narrow" w:eastAsia="等线"/>
                <w:color w:val="000000"/>
                <w:szCs w:val="21"/>
              </w:rPr>
              <w:t>；收入平均增长率5%，税前折现率6.68%</w:t>
            </w:r>
          </w:p>
        </w:tc>
        <w:tc>
          <w:tcPr>
            <w:tcW w:w="782" w:type="pct"/>
            <w:shd w:val="clear" w:color="auto" w:fill="auto"/>
            <w:vAlign w:val="center"/>
          </w:tcPr>
          <w:p w14:paraId="29683306">
            <w:pPr>
              <w:snapToGrid w:val="0"/>
              <w:spacing w:line="240" w:lineRule="atLeast"/>
              <w:jc w:val="center"/>
              <w:rPr>
                <w:rFonts w:hint="eastAsia"/>
                <w:szCs w:val="21"/>
              </w:rPr>
            </w:pPr>
            <w:r>
              <w:rPr>
                <w:rFonts w:ascii="Arial Narrow" w:hAnsi="Arial Narrow" w:eastAsia="等线"/>
                <w:color w:val="000000"/>
                <w:szCs w:val="21"/>
              </w:rPr>
              <w:t>资产组组合过去业绩走势、对未来发展的规划及对市场的发展预期</w:t>
            </w:r>
          </w:p>
        </w:tc>
      </w:tr>
      <w:tr w14:paraId="13F5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vAlign w:val="center"/>
          </w:tcPr>
          <w:p w14:paraId="6662B9C1">
            <w:pPr>
              <w:snapToGrid w:val="0"/>
              <w:spacing w:line="240" w:lineRule="atLeast"/>
              <w:jc w:val="center"/>
              <w:rPr>
                <w:rFonts w:hint="eastAsia"/>
                <w:szCs w:val="21"/>
              </w:rPr>
            </w:pPr>
            <w:r>
              <w:rPr>
                <w:rFonts w:ascii="Arial Narrow" w:hAnsi="Arial Narrow" w:eastAsia="等线"/>
                <w:color w:val="000000"/>
                <w:szCs w:val="21"/>
              </w:rPr>
              <w:t>重庆际华园项目</w:t>
            </w:r>
          </w:p>
        </w:tc>
        <w:tc>
          <w:tcPr>
            <w:tcW w:w="560" w:type="pct"/>
            <w:vAlign w:val="center"/>
          </w:tcPr>
          <w:p w14:paraId="747D00F2">
            <w:pPr>
              <w:snapToGrid w:val="0"/>
              <w:spacing w:line="240" w:lineRule="atLeast"/>
              <w:jc w:val="right"/>
              <w:rPr>
                <w:rFonts w:hint="eastAsia"/>
                <w:szCs w:val="21"/>
              </w:rPr>
            </w:pPr>
            <w:r>
              <w:rPr>
                <w:rFonts w:ascii="Arial Narrow" w:hAnsi="Arial Narrow" w:eastAsia="等线"/>
                <w:color w:val="000000"/>
                <w:sz w:val="22"/>
                <w:szCs w:val="22"/>
              </w:rPr>
              <w:t>13,677,460.22</w:t>
            </w:r>
          </w:p>
        </w:tc>
        <w:tc>
          <w:tcPr>
            <w:tcW w:w="560" w:type="pct"/>
            <w:vAlign w:val="center"/>
          </w:tcPr>
          <w:p w14:paraId="7A9A29F7">
            <w:pPr>
              <w:snapToGrid w:val="0"/>
              <w:spacing w:line="240" w:lineRule="atLeast"/>
              <w:jc w:val="right"/>
              <w:rPr>
                <w:rFonts w:hint="eastAsia"/>
                <w:szCs w:val="21"/>
              </w:rPr>
            </w:pPr>
            <w:r>
              <w:rPr>
                <w:rFonts w:ascii="Arial Narrow" w:hAnsi="Arial Narrow" w:eastAsia="等线"/>
                <w:color w:val="000000"/>
                <w:sz w:val="22"/>
                <w:szCs w:val="22"/>
              </w:rPr>
              <w:t>7,566,857.54</w:t>
            </w:r>
          </w:p>
        </w:tc>
        <w:tc>
          <w:tcPr>
            <w:tcW w:w="560" w:type="pct"/>
            <w:vAlign w:val="center"/>
          </w:tcPr>
          <w:p w14:paraId="0748D1DC">
            <w:pPr>
              <w:snapToGrid w:val="0"/>
              <w:spacing w:line="240" w:lineRule="atLeast"/>
              <w:jc w:val="right"/>
              <w:rPr>
                <w:rFonts w:hint="eastAsia"/>
                <w:szCs w:val="21"/>
              </w:rPr>
            </w:pPr>
            <w:r>
              <w:rPr>
                <w:rFonts w:ascii="Arial Narrow" w:hAnsi="Arial Narrow" w:eastAsia="等线"/>
                <w:color w:val="000000"/>
                <w:sz w:val="22"/>
                <w:szCs w:val="22"/>
              </w:rPr>
              <w:t>6,110,602.68</w:t>
            </w:r>
          </w:p>
        </w:tc>
        <w:tc>
          <w:tcPr>
            <w:tcW w:w="411" w:type="pct"/>
            <w:shd w:val="clear" w:color="auto" w:fill="auto"/>
            <w:vAlign w:val="center"/>
          </w:tcPr>
          <w:p w14:paraId="0FA79268">
            <w:pPr>
              <w:snapToGrid w:val="0"/>
              <w:spacing w:line="240" w:lineRule="atLeast"/>
              <w:jc w:val="center"/>
              <w:rPr>
                <w:rFonts w:hint="eastAsia"/>
                <w:szCs w:val="21"/>
              </w:rPr>
            </w:pPr>
            <w:r>
              <w:rPr>
                <w:rFonts w:ascii="Arial Narrow" w:hAnsi="Arial Narrow" w:eastAsia="等线"/>
                <w:color w:val="000000"/>
                <w:szCs w:val="21"/>
              </w:rPr>
              <w:t>5年</w:t>
            </w:r>
          </w:p>
        </w:tc>
        <w:tc>
          <w:tcPr>
            <w:tcW w:w="665" w:type="pct"/>
            <w:shd w:val="clear" w:color="auto" w:fill="auto"/>
            <w:vAlign w:val="center"/>
          </w:tcPr>
          <w:p w14:paraId="2AA85D13">
            <w:pPr>
              <w:snapToGrid w:val="0"/>
              <w:spacing w:line="240" w:lineRule="atLeast"/>
              <w:jc w:val="center"/>
              <w:rPr>
                <w:rFonts w:hint="eastAsia"/>
                <w:szCs w:val="21"/>
              </w:rPr>
            </w:pPr>
            <w:r>
              <w:rPr>
                <w:rFonts w:ascii="Arial Narrow" w:hAnsi="Arial Narrow" w:eastAsia="等线"/>
                <w:color w:val="000000"/>
                <w:szCs w:val="21"/>
              </w:rPr>
              <w:t>收入平均增长率</w:t>
            </w:r>
            <w:r>
              <w:rPr>
                <w:rFonts w:hint="eastAsia" w:ascii="Arial Narrow" w:hAnsi="Arial Narrow" w:eastAsia="等线"/>
                <w:color w:val="000000"/>
                <w:szCs w:val="21"/>
              </w:rPr>
              <w:t>7</w:t>
            </w:r>
            <w:r>
              <w:rPr>
                <w:rFonts w:ascii="Arial Narrow" w:hAnsi="Arial Narrow" w:eastAsia="等线"/>
                <w:color w:val="000000"/>
                <w:szCs w:val="21"/>
              </w:rPr>
              <w:t>%；税前折现率6.68%</w:t>
            </w:r>
          </w:p>
        </w:tc>
        <w:tc>
          <w:tcPr>
            <w:tcW w:w="692" w:type="pct"/>
            <w:shd w:val="clear" w:color="auto" w:fill="auto"/>
            <w:vAlign w:val="center"/>
          </w:tcPr>
          <w:p w14:paraId="18076BB6">
            <w:pPr>
              <w:snapToGrid w:val="0"/>
              <w:spacing w:line="240" w:lineRule="atLeast"/>
              <w:jc w:val="center"/>
              <w:rPr>
                <w:rFonts w:hint="eastAsia"/>
                <w:szCs w:val="21"/>
              </w:rPr>
            </w:pPr>
            <w:r>
              <w:rPr>
                <w:rFonts w:ascii="Arial Narrow" w:hAnsi="Arial Narrow" w:eastAsia="等线"/>
                <w:color w:val="000000"/>
                <w:szCs w:val="21"/>
              </w:rPr>
              <w:t>根据项目土地剩余使用期</w:t>
            </w:r>
            <w:r>
              <w:rPr>
                <w:rFonts w:hint="eastAsia" w:ascii="Arial Narrow" w:hAnsi="Arial Narrow" w:eastAsia="等线"/>
                <w:color w:val="000000"/>
                <w:szCs w:val="21"/>
              </w:rPr>
              <w:t>确定稳定期</w:t>
            </w:r>
            <w:r>
              <w:rPr>
                <w:rFonts w:ascii="Arial Narrow" w:hAnsi="Arial Narrow" w:eastAsia="等线"/>
                <w:color w:val="000000"/>
                <w:szCs w:val="21"/>
              </w:rPr>
              <w:t>；收入平均增长率5%；税前折现率6.68%</w:t>
            </w:r>
          </w:p>
        </w:tc>
        <w:tc>
          <w:tcPr>
            <w:tcW w:w="782" w:type="pct"/>
            <w:shd w:val="clear" w:color="auto" w:fill="auto"/>
            <w:vAlign w:val="center"/>
          </w:tcPr>
          <w:p w14:paraId="6FBBD55E">
            <w:pPr>
              <w:snapToGrid w:val="0"/>
              <w:spacing w:line="240" w:lineRule="atLeast"/>
              <w:jc w:val="center"/>
              <w:rPr>
                <w:rFonts w:hint="eastAsia"/>
                <w:szCs w:val="21"/>
              </w:rPr>
            </w:pPr>
            <w:r>
              <w:rPr>
                <w:rFonts w:ascii="Arial Narrow" w:hAnsi="Arial Narrow" w:eastAsia="等线"/>
                <w:color w:val="000000"/>
                <w:szCs w:val="21"/>
              </w:rPr>
              <w:t>资产组组合过去业绩走势、对未来发展的规划及对市场的发展预期</w:t>
            </w:r>
          </w:p>
        </w:tc>
      </w:tr>
      <w:tr w14:paraId="5A13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tcPr>
          <w:p w14:paraId="3C4B159B">
            <w:pPr>
              <w:snapToGrid w:val="0"/>
              <w:spacing w:line="240" w:lineRule="atLeast"/>
              <w:jc w:val="center"/>
              <w:rPr>
                <w:rFonts w:hint="eastAsia"/>
                <w:szCs w:val="21"/>
              </w:rPr>
            </w:pPr>
            <w:r>
              <w:t>合计</w:t>
            </w:r>
          </w:p>
        </w:tc>
        <w:tc>
          <w:tcPr>
            <w:tcW w:w="560" w:type="pct"/>
            <w:vAlign w:val="center"/>
          </w:tcPr>
          <w:p w14:paraId="2788BEF7">
            <w:pPr>
              <w:snapToGrid w:val="0"/>
              <w:spacing w:line="240" w:lineRule="atLeast"/>
              <w:jc w:val="right"/>
              <w:rPr>
                <w:rFonts w:hint="eastAsia"/>
                <w:szCs w:val="21"/>
              </w:rPr>
            </w:pPr>
            <w:r>
              <w:rPr>
                <w:rFonts w:ascii="Arial Narrow" w:hAnsi="Arial Narrow" w:eastAsia="等线"/>
                <w:color w:val="000000"/>
                <w:sz w:val="22"/>
                <w:szCs w:val="22"/>
              </w:rPr>
              <w:t>789,531,035.56</w:t>
            </w:r>
          </w:p>
        </w:tc>
        <w:tc>
          <w:tcPr>
            <w:tcW w:w="560" w:type="pct"/>
            <w:vAlign w:val="center"/>
          </w:tcPr>
          <w:p w14:paraId="4412D389">
            <w:pPr>
              <w:snapToGrid w:val="0"/>
              <w:spacing w:line="240" w:lineRule="atLeast"/>
              <w:jc w:val="right"/>
              <w:rPr>
                <w:rFonts w:hint="eastAsia"/>
                <w:szCs w:val="21"/>
              </w:rPr>
            </w:pPr>
            <w:r>
              <w:rPr>
                <w:rFonts w:ascii="Arial Narrow" w:hAnsi="Arial Narrow" w:eastAsia="等线"/>
                <w:color w:val="000000"/>
                <w:sz w:val="22"/>
                <w:szCs w:val="22"/>
              </w:rPr>
              <w:t>83,316,776.95</w:t>
            </w:r>
          </w:p>
        </w:tc>
        <w:tc>
          <w:tcPr>
            <w:tcW w:w="560" w:type="pct"/>
            <w:vAlign w:val="center"/>
          </w:tcPr>
          <w:p w14:paraId="214A0564">
            <w:pPr>
              <w:snapToGrid w:val="0"/>
              <w:spacing w:line="240" w:lineRule="atLeast"/>
              <w:jc w:val="right"/>
              <w:rPr>
                <w:rFonts w:hint="eastAsia"/>
                <w:szCs w:val="21"/>
              </w:rPr>
            </w:pPr>
            <w:r>
              <w:rPr>
                <w:rFonts w:ascii="Arial Narrow" w:hAnsi="Arial Narrow" w:eastAsia="等线"/>
                <w:color w:val="000000"/>
                <w:sz w:val="22"/>
                <w:szCs w:val="22"/>
              </w:rPr>
              <w:t>706,214,258.61</w:t>
            </w:r>
          </w:p>
        </w:tc>
        <w:tc>
          <w:tcPr>
            <w:tcW w:w="411" w:type="pct"/>
            <w:shd w:val="clear" w:color="auto" w:fill="auto"/>
          </w:tcPr>
          <w:p w14:paraId="2FBD7FE8">
            <w:pPr>
              <w:snapToGrid w:val="0"/>
              <w:spacing w:line="240" w:lineRule="atLeast"/>
              <w:jc w:val="center"/>
              <w:rPr>
                <w:rFonts w:hint="eastAsia"/>
                <w:szCs w:val="21"/>
              </w:rPr>
            </w:pPr>
            <w:r>
              <w:rPr>
                <w:rFonts w:ascii="Arial Narrow" w:hAnsi="Arial Narrow" w:eastAsia="等线"/>
                <w:color w:val="000000"/>
                <w:szCs w:val="21"/>
              </w:rPr>
              <w:t>/</w:t>
            </w:r>
          </w:p>
        </w:tc>
        <w:tc>
          <w:tcPr>
            <w:tcW w:w="665" w:type="pct"/>
            <w:shd w:val="clear" w:color="auto" w:fill="auto"/>
          </w:tcPr>
          <w:p w14:paraId="13E0B210">
            <w:pPr>
              <w:snapToGrid w:val="0"/>
              <w:spacing w:line="240" w:lineRule="atLeast"/>
              <w:jc w:val="center"/>
              <w:rPr>
                <w:rFonts w:hint="eastAsia"/>
                <w:szCs w:val="21"/>
              </w:rPr>
            </w:pPr>
            <w:r>
              <w:rPr>
                <w:rFonts w:ascii="Arial Narrow" w:hAnsi="Arial Narrow" w:eastAsia="等线"/>
                <w:color w:val="000000"/>
                <w:szCs w:val="21"/>
              </w:rPr>
              <w:t>/</w:t>
            </w:r>
          </w:p>
        </w:tc>
        <w:tc>
          <w:tcPr>
            <w:tcW w:w="692" w:type="pct"/>
            <w:shd w:val="clear" w:color="auto" w:fill="auto"/>
          </w:tcPr>
          <w:p w14:paraId="2E1BCDEE">
            <w:pPr>
              <w:snapToGrid w:val="0"/>
              <w:spacing w:line="240" w:lineRule="atLeast"/>
              <w:jc w:val="center"/>
              <w:rPr>
                <w:rFonts w:hint="eastAsia"/>
                <w:szCs w:val="21"/>
              </w:rPr>
            </w:pPr>
            <w:r>
              <w:rPr>
                <w:rFonts w:ascii="Arial Narrow" w:hAnsi="Arial Narrow" w:eastAsia="等线"/>
                <w:color w:val="000000"/>
                <w:szCs w:val="21"/>
              </w:rPr>
              <w:t>/</w:t>
            </w:r>
          </w:p>
        </w:tc>
        <w:tc>
          <w:tcPr>
            <w:tcW w:w="782" w:type="pct"/>
            <w:shd w:val="clear" w:color="auto" w:fill="auto"/>
          </w:tcPr>
          <w:p w14:paraId="7BB7ED30">
            <w:pPr>
              <w:snapToGrid w:val="0"/>
              <w:spacing w:line="240" w:lineRule="atLeast"/>
              <w:jc w:val="center"/>
              <w:rPr>
                <w:rFonts w:hint="eastAsia"/>
                <w:szCs w:val="21"/>
              </w:rPr>
            </w:pPr>
            <w:r>
              <w:rPr>
                <w:rFonts w:ascii="Arial Narrow" w:hAnsi="Arial Narrow" w:eastAsia="等线"/>
                <w:color w:val="000000"/>
                <w:szCs w:val="21"/>
              </w:rPr>
              <w:t>/</w:t>
            </w:r>
          </w:p>
        </w:tc>
      </w:tr>
    </w:tbl>
    <w:p w14:paraId="2F9C58EA">
      <w:pPr>
        <w:rPr>
          <w:rFonts w:hint="eastAsia"/>
        </w:rPr>
      </w:pPr>
    </w:p>
    <w:p w14:paraId="1C0BDA62">
      <w:pPr>
        <w:pStyle w:val="73"/>
        <w:ind w:left="105"/>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773ceb30e8424e53bb816ca62cef3995"/>
        <w:id w:val="689105330"/>
        <w:placeholder>
          <w:docPart w:val="GBC22222222222222222222222222222"/>
        </w:placeholder>
      </w:sdtPr>
      <w:sdtContent>
        <w:p w14:paraId="7176209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BCDCAED">
      <w:pPr>
        <w:snapToGrid w:val="0"/>
        <w:spacing w:line="240" w:lineRule="atLeast"/>
        <w:rPr>
          <w:rFonts w:hint="eastAsia"/>
          <w:szCs w:val="21"/>
        </w:rPr>
      </w:pPr>
    </w:p>
    <w:p w14:paraId="00EEC03E">
      <w:pPr>
        <w:pStyle w:val="73"/>
        <w:ind w:left="105"/>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92dac75ad56344d69181c076d6d1699a"/>
        <w:id w:val="1286090096"/>
        <w:placeholder>
          <w:docPart w:val="GBC22222222222222222222222222222"/>
        </w:placeholder>
      </w:sdtPr>
      <w:sdtContent>
        <w:p w14:paraId="6251AB5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以前年度减值测试采用信息与当年实际情况明显不一致的差异原因"/>
        <w:tag w:val="_GBC_5257c411e49648539d37d4eed9d42cb6"/>
        <w:id w:val="1869332619"/>
        <w:placeholder>
          <w:docPart w:val="GBC22222222222222222222222222222"/>
        </w:placeholder>
      </w:sdtPr>
      <w:sdtEndPr>
        <w:rPr>
          <w:highlight w:val="yellow"/>
        </w:rPr>
      </w:sdtEndPr>
      <w:sdtContent>
        <w:p w14:paraId="722717DF">
          <w:pPr>
            <w:ind w:firstLine="420" w:firstLineChars="200"/>
            <w:rPr>
              <w:rFonts w:hint="eastAsia"/>
              <w:highlight w:val="yellow"/>
            </w:rPr>
          </w:pPr>
          <w:r>
            <w:rPr>
              <w:rFonts w:hint="eastAsia"/>
            </w:rPr>
            <w:t>重庆际华园项目、长春际华园项目：2023年是委托新兴际华资产经营管理有限公司盘活的第一个完整年度，2023年末评估是基于对际华园专业化盘活和持续经营进行的评估。2024年公司在综合研判商业地产未来发展趋势，认为际华园项目扭亏难度较大，权衡继续投入的风险和聚焦主业发展的资金需求，决定终止际华园项目，并择机退出房地产项目，上述原因导致际华园项目预测假设及关键参数发生变化。</w:t>
          </w:r>
        </w:p>
      </w:sdtContent>
    </w:sdt>
    <w:p w14:paraId="60CBC790">
      <w:pPr>
        <w:snapToGrid w:val="0"/>
        <w:spacing w:line="240" w:lineRule="atLeast"/>
        <w:rPr>
          <w:rFonts w:hint="eastAsia"/>
          <w:szCs w:val="21"/>
        </w:rPr>
      </w:pPr>
    </w:p>
    <w:bookmarkEnd w:id="317"/>
    <w:p w14:paraId="04B3BB67">
      <w:pPr>
        <w:rPr>
          <w:rFonts w:hint="eastAsia"/>
          <w:szCs w:val="21"/>
        </w:rPr>
      </w:pPr>
      <w:r>
        <w:rPr>
          <w:rFonts w:hint="eastAsia"/>
          <w:szCs w:val="21"/>
        </w:rPr>
        <w:t>其他说明：</w:t>
      </w:r>
    </w:p>
    <w:sdt>
      <w:sdtPr>
        <w:rPr>
          <w:szCs w:val="21"/>
        </w:rPr>
        <w:alias w:val="是否适用：在建工程的说明[双击切换]"/>
        <w:tag w:val="_GBC_e6220a45d928426882f5c3ad23ff2098"/>
        <w:id w:val="-358741333"/>
        <w:placeholder>
          <w:docPart w:val="GBC22222222222222222222222222222"/>
        </w:placeholder>
      </w:sdtPr>
      <w:sdtEndPr>
        <w:rPr>
          <w:szCs w:val="21"/>
        </w:rPr>
      </w:sdtEndPr>
      <w:sdtContent>
        <w:p w14:paraId="09FC2038">
          <w:pPr>
            <w:rPr>
              <w:rFonts w:hint="eastAsia"/>
              <w:color w:val="FF0000"/>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86CB786">
      <w:pPr>
        <w:rPr>
          <w:rFonts w:hint="eastAsia"/>
          <w:szCs w:val="21"/>
        </w:rPr>
      </w:pPr>
    </w:p>
    <w:p w14:paraId="6DC9457A">
      <w:pPr>
        <w:pStyle w:val="71"/>
        <w:ind w:left="360" w:hanging="360"/>
        <w:rPr>
          <w:rFonts w:hint="eastAsia"/>
        </w:rPr>
      </w:pPr>
      <w:bookmarkStart w:id="318" w:name="_Hlk532903321"/>
      <w:r>
        <w:rPr>
          <w:rFonts w:hint="eastAsia"/>
        </w:rPr>
        <w:t>工程物资</w:t>
      </w:r>
    </w:p>
    <w:p w14:paraId="5D7B4331">
      <w:pPr>
        <w:pStyle w:val="72"/>
        <w:numPr>
          <w:ilvl w:val="0"/>
          <w:numId w:val="127"/>
        </w:numPr>
        <w:ind w:leftChars="0"/>
      </w:pPr>
      <w:r>
        <w:rPr>
          <w:rFonts w:hint="eastAsia"/>
        </w:rPr>
        <w:t>工程物资情况</w:t>
      </w:r>
    </w:p>
    <w:sdt>
      <w:sdtPr>
        <w:alias w:val="是否适用：工程物资[双击切换]"/>
        <w:tag w:val="_GBC_91916c11fa864423a1c0e6a4024fdda5"/>
        <w:id w:val="-2042510928"/>
        <w:placeholder>
          <w:docPart w:val="GBC22222222222222222222222222222"/>
        </w:placeholder>
      </w:sdtPr>
      <w:sdtContent>
        <w:p w14:paraId="5CCDA1F7">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E68E99E">
      <w:pPr>
        <w:rPr>
          <w:rFonts w:hint="eastAsia"/>
          <w:szCs w:val="21"/>
        </w:rPr>
      </w:pPr>
    </w:p>
    <w:p w14:paraId="1E50082F">
      <w:pPr>
        <w:rPr>
          <w:rFonts w:hint="eastAsia" w:cstheme="minorBidi"/>
          <w:szCs w:val="21"/>
        </w:rPr>
        <w:sectPr>
          <w:pgSz w:w="16838" w:h="11906" w:orient="landscape"/>
          <w:pgMar w:top="1276" w:right="1440" w:bottom="1797" w:left="1525" w:header="856" w:footer="992" w:gutter="0"/>
          <w:cols w:space="425" w:num="1"/>
          <w:docGrid w:linePitch="312" w:charSpace="0"/>
        </w:sectPr>
      </w:pPr>
    </w:p>
    <w:p w14:paraId="09D728CB">
      <w:pPr>
        <w:rPr>
          <w:rFonts w:hint="eastAsia" w:cstheme="minorBidi"/>
          <w:szCs w:val="21"/>
        </w:rPr>
      </w:pPr>
    </w:p>
    <w:bookmarkEnd w:id="318"/>
    <w:p w14:paraId="1E44B7C9">
      <w:pPr>
        <w:pStyle w:val="70"/>
        <w:numPr>
          <w:ilvl w:val="0"/>
          <w:numId w:val="109"/>
        </w:numPr>
        <w:rPr>
          <w:szCs w:val="21"/>
        </w:rPr>
      </w:pPr>
      <w:r>
        <w:rPr>
          <w:szCs w:val="21"/>
        </w:rPr>
        <w:t>生产性生物资产</w:t>
      </w:r>
    </w:p>
    <w:p w14:paraId="4D4B4ACC">
      <w:pPr>
        <w:pStyle w:val="71"/>
        <w:numPr>
          <w:ilvl w:val="3"/>
          <w:numId w:val="128"/>
        </w:numPr>
        <w:ind w:left="426" w:hanging="426"/>
        <w:rPr>
          <w:rFonts w:hint="eastAsia"/>
        </w:rPr>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681357297"/>
        <w:placeholder>
          <w:docPart w:val="GBC22222222222222222222222222222"/>
        </w:placeholder>
      </w:sdtPr>
      <w:sdtEndPr>
        <w:rPr>
          <w:rFonts w:hint="eastAsia"/>
          <w:szCs w:val="21"/>
        </w:rPr>
      </w:sdtEndPr>
      <w:sdtContent>
        <w:p w14:paraId="79F658A7">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92C98AC">
      <w:pPr>
        <w:rPr>
          <w:rFonts w:hint="eastAsia" w:cstheme="minorBidi"/>
          <w:szCs w:val="21"/>
        </w:rPr>
      </w:pPr>
    </w:p>
    <w:p w14:paraId="7AB3F3C7">
      <w:pPr>
        <w:pStyle w:val="71"/>
        <w:numPr>
          <w:ilvl w:val="3"/>
          <w:numId w:val="128"/>
        </w:numPr>
        <w:ind w:left="426" w:hanging="426"/>
        <w:rPr>
          <w:rFonts w:hint="eastAsia"/>
        </w:rPr>
      </w:pPr>
      <w:bookmarkStart w:id="319" w:name="_Hlk153461442"/>
      <w:r>
        <w:rPr>
          <w:rFonts w:hint="eastAsia"/>
        </w:rPr>
        <w:t>采用成本计量模式的生产性生物资产的减值测试情况</w:t>
      </w:r>
    </w:p>
    <w:sdt>
      <w:sdtPr>
        <w:alias w:val="是否适用：减值测试情况[双击切换]"/>
        <w:tag w:val="_GBC_1463ca9b414a4cb28d5d13fd1d3b8486"/>
        <w:id w:val="-1414009276"/>
        <w:placeholder>
          <w:docPart w:val="GBC22222222222222222222222222222"/>
        </w:placeholder>
      </w:sdtPr>
      <w:sdtContent>
        <w:p w14:paraId="649C15E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0FBFF64">
      <w:pPr>
        <w:rPr>
          <w:rFonts w:hint="eastAsia"/>
        </w:rPr>
      </w:pPr>
    </w:p>
    <w:p w14:paraId="1E816DC8">
      <w:pPr>
        <w:snapToGrid w:val="0"/>
        <w:spacing w:line="240" w:lineRule="atLeast"/>
        <w:rPr>
          <w:rFonts w:hint="eastAsia"/>
          <w:szCs w:val="21"/>
        </w:rPr>
      </w:pPr>
    </w:p>
    <w:bookmarkEnd w:id="319"/>
    <w:p w14:paraId="665D4BF3">
      <w:pPr>
        <w:pStyle w:val="71"/>
        <w:numPr>
          <w:ilvl w:val="3"/>
          <w:numId w:val="128"/>
        </w:numPr>
        <w:ind w:left="426" w:hanging="426"/>
        <w:rPr>
          <w:rFonts w:hint="eastAsia"/>
        </w:rPr>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208234516"/>
        <w:placeholder>
          <w:docPart w:val="GBC22222222222222222222222222222"/>
        </w:placeholder>
      </w:sdtPr>
      <w:sdtEndPr>
        <w:rPr>
          <w:szCs w:val="21"/>
        </w:rPr>
      </w:sdtEndPr>
      <w:sdtContent>
        <w:p w14:paraId="59718258">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475F651">
      <w:pPr>
        <w:rPr>
          <w:rFonts w:hint="eastAsia"/>
        </w:rPr>
      </w:pPr>
    </w:p>
    <w:p w14:paraId="72A24DB2">
      <w:pPr>
        <w:autoSpaceDE w:val="0"/>
        <w:autoSpaceDN w:val="0"/>
        <w:adjustRightInd w:val="0"/>
        <w:rPr>
          <w:rFonts w:hint="eastAsia"/>
          <w:szCs w:val="21"/>
        </w:rPr>
      </w:pPr>
      <w:r>
        <w:rPr>
          <w:rFonts w:hint="eastAsia"/>
          <w:szCs w:val="21"/>
        </w:rPr>
        <w:t>其他说明：</w:t>
      </w:r>
    </w:p>
    <w:sdt>
      <w:sdtPr>
        <w:rPr>
          <w:szCs w:val="21"/>
        </w:rPr>
        <w:alias w:val="是否适用：生产性生物资产的说明[双击切换]"/>
        <w:tag w:val="_GBC_d3e0f749d04b4097a0886c38dadda8f4"/>
        <w:id w:val="508794189"/>
        <w:placeholder>
          <w:docPart w:val="GBC22222222222222222222222222222"/>
        </w:placeholder>
      </w:sdtPr>
      <w:sdtEndPr>
        <w:rPr>
          <w:szCs w:val="21"/>
        </w:rPr>
      </w:sdtEndPr>
      <w:sdtContent>
        <w:p w14:paraId="220B371F">
          <w:pPr>
            <w:autoSpaceDE w:val="0"/>
            <w:autoSpaceDN w:val="0"/>
            <w:adjustRightInd w:val="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34E6127">
      <w:pPr>
        <w:rPr>
          <w:rFonts w:hint="eastAsia"/>
          <w:szCs w:val="21"/>
        </w:rPr>
      </w:pPr>
    </w:p>
    <w:p w14:paraId="10F1D430">
      <w:pPr>
        <w:pStyle w:val="70"/>
        <w:numPr>
          <w:ilvl w:val="0"/>
          <w:numId w:val="109"/>
        </w:numPr>
        <w:rPr>
          <w:szCs w:val="21"/>
        </w:rPr>
      </w:pPr>
      <w:r>
        <w:rPr>
          <w:szCs w:val="21"/>
        </w:rPr>
        <w:t>油气资产</w:t>
      </w:r>
    </w:p>
    <w:p w14:paraId="2865DFB3">
      <w:pPr>
        <w:pStyle w:val="71"/>
        <w:numPr>
          <w:ilvl w:val="0"/>
          <w:numId w:val="129"/>
        </w:numPr>
        <w:ind w:left="450" w:hanging="450"/>
        <w:rPr>
          <w:rFonts w:hint="eastAsia"/>
        </w:rPr>
      </w:pPr>
      <w:r>
        <w:rPr>
          <w:rFonts w:hint="eastAsia"/>
        </w:rPr>
        <w:t>油气资产情况</w:t>
      </w:r>
    </w:p>
    <w:sdt>
      <w:sdtPr>
        <w:alias w:val="是否适用：油气资产[双击切换]"/>
        <w:tag w:val="_GBC_a587239cd6ac4d96b99f6fe496e97c34"/>
        <w:id w:val="347525963"/>
        <w:placeholder>
          <w:docPart w:val="GBC22222222222222222222222222222"/>
        </w:placeholder>
      </w:sdtPr>
      <w:sdtContent>
        <w:p w14:paraId="2C6CB622">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2F6A395">
      <w:pPr>
        <w:rPr>
          <w:rFonts w:hint="eastAsia" w:cstheme="minorBidi"/>
          <w:kern w:val="2"/>
          <w:szCs w:val="21"/>
        </w:rPr>
      </w:pPr>
    </w:p>
    <w:p w14:paraId="6193F60A">
      <w:pPr>
        <w:pStyle w:val="71"/>
        <w:numPr>
          <w:ilvl w:val="0"/>
          <w:numId w:val="129"/>
        </w:numPr>
        <w:ind w:left="450" w:hanging="450"/>
        <w:rPr>
          <w:rFonts w:hint="eastAsia"/>
        </w:rPr>
      </w:pPr>
      <w:bookmarkStart w:id="320" w:name="_Hlk153461604"/>
      <w:r>
        <w:rPr>
          <w:rFonts w:hint="eastAsia"/>
        </w:rPr>
        <w:t>油气资产的减值测试情况</w:t>
      </w:r>
    </w:p>
    <w:sdt>
      <w:sdtPr>
        <w:alias w:val="是否适用：减值测试情况[双击切换]"/>
        <w:tag w:val="_GBC_c658db7dbb96462dbe4ab745ca73e3ca"/>
        <w:id w:val="1526676668"/>
        <w:placeholder>
          <w:docPart w:val="GBC22222222222222222222222222222"/>
        </w:placeholder>
      </w:sdtPr>
      <w:sdtContent>
        <w:p w14:paraId="0452C69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2560C69">
      <w:pPr>
        <w:rPr>
          <w:rFonts w:hint="eastAsia"/>
        </w:rPr>
      </w:pPr>
    </w:p>
    <w:bookmarkEnd w:id="320"/>
    <w:p w14:paraId="66C17851">
      <w:pPr>
        <w:autoSpaceDE w:val="0"/>
        <w:autoSpaceDN w:val="0"/>
        <w:adjustRightInd w:val="0"/>
        <w:rPr>
          <w:rFonts w:hint="eastAsia"/>
          <w:szCs w:val="21"/>
        </w:rPr>
      </w:pPr>
      <w:bookmarkStart w:id="321" w:name="_Hlk152863119"/>
      <w:r>
        <w:rPr>
          <w:rFonts w:hint="eastAsia"/>
          <w:szCs w:val="21"/>
        </w:rPr>
        <w:t>其他说明：</w:t>
      </w:r>
    </w:p>
    <w:p w14:paraId="27319C4F">
      <w:pPr>
        <w:rPr>
          <w:rFonts w:hint="eastAsia"/>
          <w:szCs w:val="21"/>
        </w:rPr>
      </w:pPr>
      <w:sdt>
        <w:sdtPr>
          <w:rPr>
            <w:szCs w:val="21"/>
          </w:rPr>
          <w:alias w:val="油气资产的说明"/>
          <w:tag w:val="_GBC_4766b2b071af48e7aaf22a35a082671e"/>
          <w:id w:val="1038242980"/>
          <w:placeholder>
            <w:docPart w:val="GBC22222222222222222222222222222"/>
          </w:placeholder>
        </w:sdtPr>
        <w:sdtEndPr>
          <w:rPr>
            <w:szCs w:val="21"/>
          </w:rPr>
        </w:sdtEndPr>
        <w:sdtContent>
          <w:r>
            <w:rPr>
              <w:rFonts w:hint="eastAsia"/>
              <w:szCs w:val="21"/>
            </w:rPr>
            <w:t>无</w:t>
          </w:r>
        </w:sdtContent>
      </w:sdt>
    </w:p>
    <w:bookmarkEnd w:id="321"/>
    <w:p w14:paraId="35465738">
      <w:pPr>
        <w:rPr>
          <w:rFonts w:hint="eastAsia"/>
          <w:szCs w:val="21"/>
        </w:rPr>
      </w:pPr>
    </w:p>
    <w:sdt>
      <w:sdtPr>
        <w:rPr>
          <w:rFonts w:hint="eastAsia" w:ascii="宋体" w:hAnsi="宋体" w:cs="宋体"/>
          <w:b w:val="0"/>
          <w:bCs w:val="0"/>
          <w:kern w:val="0"/>
          <w:szCs w:val="21"/>
        </w:rPr>
        <w:alias w:val="模块:使用权资产"/>
        <w:tag w:val="_SEC_56ef077439914c3f97ba31c1af9eef32"/>
        <w:id w:val="-1184205400"/>
        <w:placeholder>
          <w:docPart w:val="GBC22222222222222222222222222222"/>
        </w:placeholder>
      </w:sdtPr>
      <w:sdtEndPr>
        <w:rPr>
          <w:rFonts w:hint="eastAsia" w:ascii="宋体" w:hAnsi="宋体" w:cs="宋体"/>
          <w:b w:val="0"/>
          <w:bCs w:val="0"/>
          <w:kern w:val="0"/>
          <w:szCs w:val="24"/>
        </w:rPr>
      </w:sdtEndPr>
      <w:sdtContent>
        <w:p w14:paraId="668CD4FC">
          <w:pPr>
            <w:pStyle w:val="70"/>
            <w:numPr>
              <w:ilvl w:val="0"/>
              <w:numId w:val="109"/>
            </w:numPr>
            <w:rPr>
              <w:szCs w:val="21"/>
            </w:rPr>
          </w:pPr>
          <w:bookmarkStart w:id="322" w:name="_Hlk121390344"/>
          <w:bookmarkStart w:id="323" w:name="_Hlk24026112"/>
          <w:r>
            <w:rPr>
              <w:szCs w:val="21"/>
            </w:rPr>
            <w:t>使用权资产</w:t>
          </w:r>
        </w:p>
        <w:p w14:paraId="43D3B8FD">
          <w:pPr>
            <w:pStyle w:val="71"/>
            <w:numPr>
              <w:ilvl w:val="0"/>
              <w:numId w:val="130"/>
            </w:numPr>
            <w:ind w:left="450" w:hanging="450"/>
            <w:rPr>
              <w:rFonts w:hint="eastAsia"/>
            </w:rPr>
          </w:pPr>
          <w:r>
            <w:rPr>
              <w:rFonts w:hint="eastAsia"/>
            </w:rPr>
            <w:t>使用权资产情况</w:t>
          </w:r>
        </w:p>
        <w:sdt>
          <w:sdtPr>
            <w:alias w:val="是否适用：使用权资产[双击切换]"/>
            <w:tag w:val="_GBC_0d86ed9789d84ef592fcb1556e3f676f"/>
            <w:id w:val="1673832822"/>
            <w:placeholder>
              <w:docPart w:val="GBC22222222222222222222222222222"/>
            </w:placeholder>
          </w:sdtPr>
          <w:sdtContent>
            <w:p w14:paraId="2C6C9BE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A5A629">
          <w:pPr>
            <w:autoSpaceDE w:val="0"/>
            <w:autoSpaceDN w:val="0"/>
            <w:adjustRightInd w:val="0"/>
            <w:jc w:val="right"/>
            <w:rPr>
              <w:rFonts w:hint="eastAsia"/>
              <w:szCs w:val="21"/>
            </w:rPr>
          </w:pPr>
          <w:r>
            <w:rPr>
              <w:rFonts w:hint="eastAsia"/>
              <w:szCs w:val="21"/>
            </w:rPr>
            <w:t>单位：</w:t>
          </w:r>
          <w:sdt>
            <w:sdtPr>
              <w:rPr>
                <w:rFonts w:hint="eastAsia"/>
                <w:szCs w:val="21"/>
              </w:rPr>
              <w:alias w:val="单位：使用权资产"/>
              <w:tag w:val="_GBC_f958637710fb400c8900b59a67a7bfeb"/>
              <w:id w:val="181143973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使用权资产"/>
              <w:tag w:val="_GBC_52957ed8d1644c96801bc28a57ac0486"/>
              <w:id w:val="19634504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2654"/>
            <w:gridCol w:w="2855"/>
          </w:tblGrid>
          <w:tr w14:paraId="65C4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sdt>
              <w:sdtPr>
                <w:tag w:val="_PLD_6e52ac1447e040bbbee6d5db3fc1c995"/>
                <w:id w:val="-198857912"/>
              </w:sdtPr>
              <w:sdtContent>
                <w:tc>
                  <w:tcPr>
                    <w:tcW w:w="1878" w:type="pct"/>
                    <w:shd w:val="clear" w:color="auto" w:fill="auto"/>
                    <w:vAlign w:val="center"/>
                  </w:tcPr>
                  <w:p w14:paraId="1C790357">
                    <w:pPr>
                      <w:spacing w:line="240" w:lineRule="atLeast"/>
                      <w:jc w:val="center"/>
                      <w:rPr>
                        <w:rFonts w:hint="eastAsia"/>
                        <w:szCs w:val="21"/>
                      </w:rPr>
                    </w:pPr>
                    <w:r>
                      <w:rPr>
                        <w:rFonts w:hint="eastAsia"/>
                        <w:szCs w:val="21"/>
                      </w:rPr>
                      <w:t>项目</w:t>
                    </w:r>
                  </w:p>
                </w:tc>
              </w:sdtContent>
            </w:sdt>
            <w:tc>
              <w:tcPr>
                <w:tcW w:w="1504" w:type="pct"/>
                <w:shd w:val="clear" w:color="auto" w:fill="auto"/>
                <w:vAlign w:val="center"/>
              </w:tcPr>
              <w:p w14:paraId="6981E0D1">
                <w:pPr>
                  <w:spacing w:line="240" w:lineRule="atLeast"/>
                  <w:jc w:val="center"/>
                  <w:rPr>
                    <w:rFonts w:hint="eastAsia"/>
                    <w:szCs w:val="21"/>
                  </w:rPr>
                </w:pPr>
                <w:sdt>
                  <w:sdtPr>
                    <w:rPr>
                      <w:szCs w:val="21"/>
                    </w:rPr>
                    <w:alias w:val="使用权资产明细-项目"/>
                    <w:tag w:val="_GBC_8854a3b92dce426b81aa78cb836a99cd"/>
                    <w:id w:val="982429316"/>
                    <w:showingPlcHdr/>
                  </w:sdtPr>
                  <w:sdtEndPr>
                    <w:rPr>
                      <w:szCs w:val="21"/>
                    </w:rPr>
                  </w:sdtEndPr>
                  <w:sdtContent>
                    <w:r>
                      <w:rPr>
                        <w:rFonts w:hint="eastAsia"/>
                      </w:rPr>
                      <w:t>　</w:t>
                    </w:r>
                  </w:sdtContent>
                </w:sdt>
                <w:r>
                  <w:rPr>
                    <w:rFonts w:hint="eastAsia"/>
                    <w:szCs w:val="21"/>
                  </w:rPr>
                  <w:t>房屋及建筑物</w:t>
                </w:r>
              </w:p>
            </w:tc>
            <w:sdt>
              <w:sdtPr>
                <w:tag w:val="_PLD_9c5be9b6ed044311be8a2370c18f35f0"/>
                <w:id w:val="1892309263"/>
              </w:sdtPr>
              <w:sdtContent>
                <w:tc>
                  <w:tcPr>
                    <w:tcW w:w="1618" w:type="pct"/>
                    <w:shd w:val="clear" w:color="auto" w:fill="auto"/>
                    <w:vAlign w:val="center"/>
                  </w:tcPr>
                  <w:p w14:paraId="369AA551">
                    <w:pPr>
                      <w:spacing w:line="240" w:lineRule="atLeast"/>
                      <w:jc w:val="center"/>
                      <w:rPr>
                        <w:rFonts w:hint="eastAsia"/>
                        <w:szCs w:val="21"/>
                      </w:rPr>
                    </w:pPr>
                    <w:r>
                      <w:rPr>
                        <w:szCs w:val="21"/>
                      </w:rPr>
                      <w:t>合计</w:t>
                    </w:r>
                  </w:p>
                </w:tc>
              </w:sdtContent>
            </w:sdt>
          </w:tr>
          <w:tr w14:paraId="6B95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3548dba12ab44fffb8352baf0a2432b0"/>
                <w:id w:val="-317499551"/>
              </w:sdtPr>
              <w:sdtContent>
                <w:tc>
                  <w:tcPr>
                    <w:tcW w:w="5000" w:type="pct"/>
                    <w:gridSpan w:val="3"/>
                    <w:shd w:val="clear" w:color="auto" w:fill="auto"/>
                    <w:vAlign w:val="center"/>
                  </w:tcPr>
                  <w:p w14:paraId="4D630A7B">
                    <w:pPr>
                      <w:spacing w:line="240" w:lineRule="atLeast"/>
                      <w:rPr>
                        <w:rFonts w:hint="eastAsia"/>
                        <w:szCs w:val="21"/>
                      </w:rPr>
                    </w:pPr>
                    <w:r>
                      <w:rPr>
                        <w:szCs w:val="21"/>
                      </w:rPr>
                      <w:t>一、</w:t>
                    </w:r>
                    <w:r>
                      <w:rPr>
                        <w:rFonts w:hint="eastAsia"/>
                        <w:szCs w:val="21"/>
                      </w:rPr>
                      <w:t>账面</w:t>
                    </w:r>
                    <w:r>
                      <w:rPr>
                        <w:szCs w:val="21"/>
                      </w:rPr>
                      <w:t>原</w:t>
                    </w:r>
                    <w:r>
                      <w:rPr>
                        <w:rFonts w:hint="eastAsia"/>
                        <w:szCs w:val="21"/>
                      </w:rPr>
                      <w:t>值</w:t>
                    </w:r>
                  </w:p>
                </w:tc>
              </w:sdtContent>
            </w:sdt>
          </w:tr>
          <w:tr w14:paraId="47A3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717B268A">
                <w:pPr>
                  <w:spacing w:line="240" w:lineRule="atLeast"/>
                  <w:rPr>
                    <w:rFonts w:hint="eastAsia"/>
                    <w:szCs w:val="21"/>
                  </w:rPr>
                </w:pPr>
                <w:r>
                  <w:rPr>
                    <w:szCs w:val="21"/>
                  </w:rPr>
                  <w:t xml:space="preserve">    1.</w:t>
                </w:r>
                <w:r>
                  <w:rPr>
                    <w:rFonts w:hint="eastAsia"/>
                    <w:szCs w:val="21"/>
                  </w:rPr>
                  <w:t>期</w:t>
                </w:r>
                <w:r>
                  <w:rPr>
                    <w:szCs w:val="21"/>
                  </w:rPr>
                  <w:t>初余额</w:t>
                </w:r>
              </w:p>
            </w:tc>
            <w:tc>
              <w:tcPr>
                <w:tcW w:w="1504" w:type="pct"/>
                <w:shd w:val="clear" w:color="auto" w:fill="auto"/>
                <w:vAlign w:val="center"/>
              </w:tcPr>
              <w:p w14:paraId="1C82688E">
                <w:pPr>
                  <w:spacing w:line="240" w:lineRule="atLeast"/>
                  <w:ind w:firstLine="440" w:firstLineChars="200"/>
                  <w:jc w:val="right"/>
                  <w:rPr>
                    <w:rFonts w:hint="eastAsia"/>
                    <w:szCs w:val="21"/>
                  </w:rPr>
                </w:pPr>
                <w:r>
                  <w:rPr>
                    <w:rFonts w:ascii="Arial Narrow" w:hAnsi="Arial Narrow" w:eastAsia="等线"/>
                    <w:color w:val="000000"/>
                    <w:sz w:val="22"/>
                    <w:szCs w:val="22"/>
                  </w:rPr>
                  <w:t>71,831,953.53</w:t>
                </w:r>
              </w:p>
            </w:tc>
            <w:tc>
              <w:tcPr>
                <w:tcW w:w="1618" w:type="pct"/>
                <w:shd w:val="clear" w:color="auto" w:fill="auto"/>
                <w:vAlign w:val="center"/>
              </w:tcPr>
              <w:p w14:paraId="51F1E321">
                <w:pPr>
                  <w:spacing w:line="240" w:lineRule="atLeast"/>
                  <w:jc w:val="right"/>
                  <w:rPr>
                    <w:rFonts w:hint="eastAsia"/>
                    <w:szCs w:val="21"/>
                  </w:rPr>
                </w:pPr>
                <w:r>
                  <w:rPr>
                    <w:rFonts w:ascii="Arial Narrow" w:hAnsi="Arial Narrow" w:eastAsia="等线"/>
                    <w:color w:val="000000"/>
                    <w:sz w:val="22"/>
                    <w:szCs w:val="22"/>
                  </w:rPr>
                  <w:t>71,831,953.53</w:t>
                </w:r>
              </w:p>
            </w:tc>
          </w:tr>
          <w:tr w14:paraId="7545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60528DA3">
                <w:pPr>
                  <w:spacing w:line="240" w:lineRule="atLeast"/>
                  <w:ind w:firstLine="420" w:firstLineChars="200"/>
                  <w:rPr>
                    <w:rFonts w:hint="eastAsia"/>
                    <w:szCs w:val="21"/>
                  </w:rPr>
                </w:pPr>
                <w:r>
                  <w:rPr>
                    <w:szCs w:val="21"/>
                  </w:rPr>
                  <w:t>2.本期增加</w:t>
                </w:r>
                <w:r>
                  <w:rPr>
                    <w:rFonts w:hint="eastAsia"/>
                    <w:szCs w:val="21"/>
                  </w:rPr>
                  <w:t>金额</w:t>
                </w:r>
              </w:p>
            </w:tc>
            <w:tc>
              <w:tcPr>
                <w:tcW w:w="1504" w:type="pct"/>
                <w:shd w:val="clear" w:color="auto" w:fill="auto"/>
                <w:vAlign w:val="center"/>
              </w:tcPr>
              <w:p w14:paraId="5A10A1B2">
                <w:pPr>
                  <w:spacing w:line="240" w:lineRule="atLeast"/>
                  <w:jc w:val="right"/>
                  <w:rPr>
                    <w:rFonts w:hint="eastAsia"/>
                    <w:szCs w:val="21"/>
                  </w:rPr>
                </w:pPr>
              </w:p>
            </w:tc>
            <w:tc>
              <w:tcPr>
                <w:tcW w:w="1618" w:type="pct"/>
                <w:shd w:val="clear" w:color="auto" w:fill="auto"/>
                <w:vAlign w:val="center"/>
              </w:tcPr>
              <w:p w14:paraId="4B1810B1">
                <w:pPr>
                  <w:spacing w:line="240" w:lineRule="atLeast"/>
                  <w:jc w:val="right"/>
                  <w:rPr>
                    <w:rFonts w:hint="eastAsia"/>
                    <w:szCs w:val="21"/>
                  </w:rPr>
                </w:pPr>
              </w:p>
            </w:tc>
          </w:tr>
          <w:tr w14:paraId="5C6F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78ED56EA">
                <w:pPr>
                  <w:spacing w:line="240" w:lineRule="atLeast"/>
                  <w:ind w:firstLine="420" w:firstLineChars="200"/>
                  <w:rPr>
                    <w:rFonts w:hint="eastAsia"/>
                    <w:szCs w:val="21"/>
                  </w:rPr>
                </w:pPr>
                <w:r>
                  <w:rPr>
                    <w:szCs w:val="21"/>
                  </w:rPr>
                  <w:t>3.本期减少</w:t>
                </w:r>
                <w:r>
                  <w:rPr>
                    <w:rFonts w:hint="eastAsia"/>
                    <w:szCs w:val="21"/>
                  </w:rPr>
                  <w:t>金额</w:t>
                </w:r>
              </w:p>
            </w:tc>
            <w:tc>
              <w:tcPr>
                <w:tcW w:w="1504" w:type="pct"/>
                <w:shd w:val="clear" w:color="auto" w:fill="auto"/>
                <w:vAlign w:val="center"/>
              </w:tcPr>
              <w:p w14:paraId="442C38E2">
                <w:pPr>
                  <w:spacing w:line="240" w:lineRule="atLeast"/>
                  <w:jc w:val="right"/>
                  <w:rPr>
                    <w:rFonts w:hint="eastAsia"/>
                    <w:szCs w:val="21"/>
                  </w:rPr>
                </w:pPr>
                <w:r>
                  <w:rPr>
                    <w:rFonts w:ascii="Arial Narrow" w:hAnsi="Arial Narrow" w:eastAsia="等线"/>
                    <w:color w:val="000000"/>
                    <w:sz w:val="22"/>
                    <w:szCs w:val="22"/>
                  </w:rPr>
                  <w:t>55,864,332.29</w:t>
                </w:r>
              </w:p>
            </w:tc>
            <w:tc>
              <w:tcPr>
                <w:tcW w:w="1618" w:type="pct"/>
                <w:shd w:val="clear" w:color="auto" w:fill="auto"/>
                <w:vAlign w:val="center"/>
              </w:tcPr>
              <w:p w14:paraId="6F8F02E7">
                <w:pPr>
                  <w:spacing w:line="240" w:lineRule="atLeast"/>
                  <w:jc w:val="right"/>
                  <w:rPr>
                    <w:rFonts w:hint="eastAsia"/>
                    <w:szCs w:val="21"/>
                  </w:rPr>
                </w:pPr>
                <w:r>
                  <w:rPr>
                    <w:rFonts w:ascii="Arial Narrow" w:hAnsi="Arial Narrow" w:eastAsia="等线"/>
                    <w:color w:val="000000"/>
                    <w:sz w:val="22"/>
                    <w:szCs w:val="22"/>
                  </w:rPr>
                  <w:t>55,864,332.29</w:t>
                </w:r>
              </w:p>
            </w:tc>
          </w:tr>
          <w:tr w14:paraId="05CF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tcPr>
              <w:p w14:paraId="31E0051F">
                <w:pPr>
                  <w:spacing w:line="240" w:lineRule="atLeast"/>
                  <w:ind w:firstLine="630" w:firstLineChars="300"/>
                  <w:rPr>
                    <w:rFonts w:hint="eastAsia"/>
                    <w:szCs w:val="21"/>
                  </w:rPr>
                </w:pPr>
                <w:r>
                  <w:rPr>
                    <w:rFonts w:hint="eastAsia"/>
                  </w:rPr>
                  <w:t>(1)租赁到期</w:t>
                </w:r>
              </w:p>
            </w:tc>
            <w:tc>
              <w:tcPr>
                <w:tcW w:w="1504" w:type="pct"/>
                <w:shd w:val="clear" w:color="auto" w:fill="auto"/>
                <w:vAlign w:val="center"/>
              </w:tcPr>
              <w:p w14:paraId="7A315006">
                <w:pPr>
                  <w:spacing w:line="240" w:lineRule="atLeast"/>
                  <w:jc w:val="right"/>
                  <w:rPr>
                    <w:rFonts w:hint="eastAsia"/>
                    <w:szCs w:val="21"/>
                  </w:rPr>
                </w:pPr>
                <w:r>
                  <w:rPr>
                    <w:rFonts w:ascii="Arial Narrow" w:hAnsi="Arial Narrow" w:eastAsia="等线"/>
                    <w:color w:val="000000"/>
                    <w:sz w:val="22"/>
                    <w:szCs w:val="22"/>
                  </w:rPr>
                  <w:t>55,864,332.29</w:t>
                </w:r>
              </w:p>
            </w:tc>
            <w:tc>
              <w:tcPr>
                <w:tcW w:w="1618" w:type="pct"/>
                <w:shd w:val="clear" w:color="auto" w:fill="auto"/>
                <w:vAlign w:val="center"/>
              </w:tcPr>
              <w:p w14:paraId="50D7E73F">
                <w:pPr>
                  <w:spacing w:line="240" w:lineRule="atLeast"/>
                  <w:jc w:val="right"/>
                  <w:rPr>
                    <w:rFonts w:hint="eastAsia"/>
                    <w:szCs w:val="21"/>
                  </w:rPr>
                </w:pPr>
                <w:r>
                  <w:rPr>
                    <w:rFonts w:ascii="Arial Narrow" w:hAnsi="Arial Narrow" w:eastAsia="等线"/>
                    <w:color w:val="000000"/>
                    <w:sz w:val="22"/>
                    <w:szCs w:val="22"/>
                  </w:rPr>
                  <w:t>55,864,332.29</w:t>
                </w:r>
              </w:p>
            </w:tc>
          </w:tr>
          <w:tr w14:paraId="0CC9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79DCABC6">
                <w:pPr>
                  <w:spacing w:line="240" w:lineRule="atLeast"/>
                  <w:ind w:firstLine="420" w:firstLineChars="200"/>
                  <w:rPr>
                    <w:rFonts w:hint="eastAsia"/>
                    <w:szCs w:val="21"/>
                  </w:rPr>
                </w:pPr>
                <w:r>
                  <w:rPr>
                    <w:szCs w:val="21"/>
                  </w:rPr>
                  <w:t>4.期末余额</w:t>
                </w:r>
              </w:p>
            </w:tc>
            <w:tc>
              <w:tcPr>
                <w:tcW w:w="1504" w:type="pct"/>
                <w:shd w:val="clear" w:color="auto" w:fill="auto"/>
                <w:vAlign w:val="center"/>
              </w:tcPr>
              <w:p w14:paraId="21B6BC73">
                <w:pPr>
                  <w:spacing w:line="240" w:lineRule="atLeast"/>
                  <w:jc w:val="right"/>
                  <w:rPr>
                    <w:rFonts w:hint="eastAsia"/>
                    <w:szCs w:val="21"/>
                  </w:rPr>
                </w:pPr>
                <w:r>
                  <w:rPr>
                    <w:rFonts w:ascii="Arial Narrow" w:hAnsi="Arial Narrow" w:eastAsia="等线"/>
                    <w:color w:val="000000"/>
                    <w:sz w:val="22"/>
                    <w:szCs w:val="22"/>
                  </w:rPr>
                  <w:t>15,967,621.24</w:t>
                </w:r>
              </w:p>
            </w:tc>
            <w:tc>
              <w:tcPr>
                <w:tcW w:w="1618" w:type="pct"/>
                <w:shd w:val="clear" w:color="auto" w:fill="auto"/>
                <w:vAlign w:val="center"/>
              </w:tcPr>
              <w:p w14:paraId="7A684271">
                <w:pPr>
                  <w:spacing w:line="240" w:lineRule="atLeast"/>
                  <w:jc w:val="right"/>
                  <w:rPr>
                    <w:rFonts w:hint="eastAsia"/>
                    <w:szCs w:val="21"/>
                  </w:rPr>
                </w:pPr>
                <w:r>
                  <w:rPr>
                    <w:rFonts w:ascii="Arial Narrow" w:hAnsi="Arial Narrow" w:eastAsia="等线"/>
                    <w:color w:val="000000"/>
                    <w:sz w:val="22"/>
                    <w:szCs w:val="22"/>
                  </w:rPr>
                  <w:t>15,967,621.24</w:t>
                </w:r>
              </w:p>
            </w:tc>
          </w:tr>
          <w:tr w14:paraId="47B7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39b1174f077e44e0af9583631dcb785f"/>
                <w:id w:val="1996766468"/>
              </w:sdtPr>
              <w:sdtContent>
                <w:tc>
                  <w:tcPr>
                    <w:tcW w:w="5000" w:type="pct"/>
                    <w:gridSpan w:val="3"/>
                    <w:shd w:val="clear" w:color="auto" w:fill="auto"/>
                    <w:vAlign w:val="center"/>
                  </w:tcPr>
                  <w:p w14:paraId="3A50C590">
                    <w:pPr>
                      <w:spacing w:line="240" w:lineRule="atLeast"/>
                      <w:rPr>
                        <w:rFonts w:hint="eastAsia"/>
                        <w:szCs w:val="21"/>
                      </w:rPr>
                    </w:pPr>
                    <w:r>
                      <w:rPr>
                        <w:szCs w:val="21"/>
                      </w:rPr>
                      <w:t>二、累计折旧</w:t>
                    </w:r>
                  </w:p>
                </w:tc>
              </w:sdtContent>
            </w:sdt>
          </w:tr>
          <w:tr w14:paraId="4EF3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78C16CF7">
                <w:pPr>
                  <w:spacing w:line="240" w:lineRule="atLeast"/>
                  <w:ind w:firstLine="420" w:firstLineChars="200"/>
                  <w:rPr>
                    <w:rFonts w:hint="eastAsia"/>
                    <w:szCs w:val="21"/>
                  </w:rPr>
                </w:pPr>
                <w:r>
                  <w:rPr>
                    <w:rFonts w:hint="eastAsia"/>
                    <w:szCs w:val="21"/>
                  </w:rPr>
                  <w:t>1.期</w:t>
                </w:r>
                <w:r>
                  <w:rPr>
                    <w:szCs w:val="21"/>
                  </w:rPr>
                  <w:t>初余额</w:t>
                </w:r>
              </w:p>
            </w:tc>
            <w:tc>
              <w:tcPr>
                <w:tcW w:w="1504" w:type="pct"/>
                <w:shd w:val="clear" w:color="auto" w:fill="auto"/>
                <w:vAlign w:val="center"/>
              </w:tcPr>
              <w:p w14:paraId="2F7E439B">
                <w:pPr>
                  <w:spacing w:line="240" w:lineRule="atLeast"/>
                  <w:jc w:val="right"/>
                  <w:rPr>
                    <w:rFonts w:hint="eastAsia"/>
                    <w:szCs w:val="21"/>
                  </w:rPr>
                </w:pPr>
                <w:r>
                  <w:rPr>
                    <w:rFonts w:ascii="Arial Narrow" w:hAnsi="Arial Narrow" w:eastAsia="等线"/>
                    <w:color w:val="000000"/>
                    <w:sz w:val="22"/>
                    <w:szCs w:val="22"/>
                  </w:rPr>
                  <w:t>54,201,909.62</w:t>
                </w:r>
              </w:p>
            </w:tc>
            <w:tc>
              <w:tcPr>
                <w:tcW w:w="1618" w:type="pct"/>
                <w:shd w:val="clear" w:color="auto" w:fill="auto"/>
                <w:vAlign w:val="center"/>
              </w:tcPr>
              <w:p w14:paraId="19F45F29">
                <w:pPr>
                  <w:spacing w:line="240" w:lineRule="atLeast"/>
                  <w:jc w:val="right"/>
                  <w:rPr>
                    <w:rFonts w:hint="eastAsia"/>
                    <w:szCs w:val="21"/>
                  </w:rPr>
                </w:pPr>
                <w:r>
                  <w:rPr>
                    <w:rFonts w:ascii="Arial Narrow" w:hAnsi="Arial Narrow" w:eastAsia="等线"/>
                    <w:color w:val="000000"/>
                    <w:sz w:val="22"/>
                    <w:szCs w:val="22"/>
                  </w:rPr>
                  <w:t>54,201,909.62</w:t>
                </w:r>
              </w:p>
            </w:tc>
          </w:tr>
          <w:tr w14:paraId="1D3D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6D2F8D34">
                <w:pPr>
                  <w:spacing w:line="240" w:lineRule="atLeast"/>
                  <w:ind w:firstLine="420" w:firstLineChars="200"/>
                  <w:rPr>
                    <w:rFonts w:hint="eastAsia"/>
                    <w:szCs w:val="21"/>
                  </w:rPr>
                </w:pPr>
                <w:r>
                  <w:rPr>
                    <w:szCs w:val="21"/>
                  </w:rPr>
                  <w:t>2.本期增加</w:t>
                </w:r>
                <w:r>
                  <w:rPr>
                    <w:rFonts w:hint="eastAsia"/>
                    <w:szCs w:val="21"/>
                  </w:rPr>
                  <w:t>金额</w:t>
                </w:r>
              </w:p>
            </w:tc>
            <w:tc>
              <w:tcPr>
                <w:tcW w:w="1504" w:type="pct"/>
                <w:shd w:val="clear" w:color="auto" w:fill="auto"/>
                <w:vAlign w:val="center"/>
              </w:tcPr>
              <w:p w14:paraId="5448E2E6">
                <w:pPr>
                  <w:spacing w:line="240" w:lineRule="atLeast"/>
                  <w:jc w:val="right"/>
                  <w:rPr>
                    <w:rFonts w:hint="eastAsia"/>
                    <w:szCs w:val="21"/>
                  </w:rPr>
                </w:pPr>
                <w:r>
                  <w:rPr>
                    <w:rFonts w:ascii="Arial Narrow" w:hAnsi="Arial Narrow" w:eastAsia="等线"/>
                    <w:color w:val="000000"/>
                    <w:sz w:val="22"/>
                    <w:szCs w:val="22"/>
                  </w:rPr>
                  <w:t>6,959,332.62</w:t>
                </w:r>
              </w:p>
            </w:tc>
            <w:tc>
              <w:tcPr>
                <w:tcW w:w="1618" w:type="pct"/>
                <w:shd w:val="clear" w:color="auto" w:fill="auto"/>
                <w:vAlign w:val="center"/>
              </w:tcPr>
              <w:p w14:paraId="0B3577AF">
                <w:pPr>
                  <w:spacing w:line="240" w:lineRule="atLeast"/>
                  <w:jc w:val="right"/>
                  <w:rPr>
                    <w:rFonts w:hint="eastAsia"/>
                    <w:szCs w:val="21"/>
                  </w:rPr>
                </w:pPr>
                <w:r>
                  <w:rPr>
                    <w:rFonts w:ascii="Arial Narrow" w:hAnsi="Arial Narrow" w:eastAsia="等线"/>
                    <w:color w:val="000000"/>
                    <w:sz w:val="22"/>
                    <w:szCs w:val="22"/>
                  </w:rPr>
                  <w:t>6,959,332.62</w:t>
                </w:r>
              </w:p>
            </w:tc>
          </w:tr>
          <w:tr w14:paraId="7DD7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5186463E">
                <w:pPr>
                  <w:spacing w:line="240" w:lineRule="atLeast"/>
                  <w:ind w:firstLine="630" w:firstLineChars="300"/>
                  <w:rPr>
                    <w:rFonts w:hint="eastAsia"/>
                    <w:szCs w:val="21"/>
                  </w:rPr>
                </w:pPr>
                <w:r>
                  <w:rPr>
                    <w:szCs w:val="21"/>
                  </w:rPr>
                  <w:t>(1)计提</w:t>
                </w:r>
              </w:p>
            </w:tc>
            <w:tc>
              <w:tcPr>
                <w:tcW w:w="1504" w:type="pct"/>
                <w:shd w:val="clear" w:color="auto" w:fill="auto"/>
                <w:vAlign w:val="center"/>
              </w:tcPr>
              <w:p w14:paraId="27419DD4">
                <w:pPr>
                  <w:spacing w:line="240" w:lineRule="atLeast"/>
                  <w:jc w:val="right"/>
                  <w:rPr>
                    <w:rFonts w:hint="eastAsia"/>
                    <w:szCs w:val="21"/>
                  </w:rPr>
                </w:pPr>
                <w:r>
                  <w:rPr>
                    <w:rFonts w:ascii="Arial Narrow" w:hAnsi="Arial Narrow" w:eastAsia="等线"/>
                    <w:color w:val="000000"/>
                    <w:sz w:val="22"/>
                    <w:szCs w:val="22"/>
                  </w:rPr>
                  <w:t>6,959,332.62</w:t>
                </w:r>
              </w:p>
            </w:tc>
            <w:tc>
              <w:tcPr>
                <w:tcW w:w="1618" w:type="pct"/>
                <w:shd w:val="clear" w:color="auto" w:fill="auto"/>
                <w:vAlign w:val="center"/>
              </w:tcPr>
              <w:p w14:paraId="1B5097AC">
                <w:pPr>
                  <w:spacing w:line="240" w:lineRule="atLeast"/>
                  <w:jc w:val="right"/>
                  <w:rPr>
                    <w:rFonts w:hint="eastAsia"/>
                    <w:szCs w:val="21"/>
                  </w:rPr>
                </w:pPr>
                <w:r>
                  <w:rPr>
                    <w:rFonts w:ascii="Arial Narrow" w:hAnsi="Arial Narrow" w:eastAsia="等线"/>
                    <w:color w:val="000000"/>
                    <w:sz w:val="22"/>
                    <w:szCs w:val="22"/>
                  </w:rPr>
                  <w:t>6,959,332.62</w:t>
                </w:r>
              </w:p>
            </w:tc>
          </w:tr>
          <w:tr w14:paraId="6C24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4C10AE70">
                <w:pPr>
                  <w:spacing w:line="240" w:lineRule="atLeast"/>
                  <w:ind w:firstLine="420" w:firstLineChars="200"/>
                  <w:rPr>
                    <w:rFonts w:hint="eastAsia"/>
                    <w:szCs w:val="21"/>
                  </w:rPr>
                </w:pPr>
                <w:r>
                  <w:rPr>
                    <w:rFonts w:hint="eastAsia"/>
                    <w:szCs w:val="21"/>
                  </w:rPr>
                  <w:t>3.</w:t>
                </w:r>
                <w:r>
                  <w:rPr>
                    <w:szCs w:val="21"/>
                  </w:rPr>
                  <w:t>本期减少</w:t>
                </w:r>
                <w:r>
                  <w:rPr>
                    <w:rFonts w:hint="eastAsia"/>
                    <w:szCs w:val="21"/>
                  </w:rPr>
                  <w:t>金额</w:t>
                </w:r>
              </w:p>
            </w:tc>
            <w:tc>
              <w:tcPr>
                <w:tcW w:w="1504" w:type="pct"/>
                <w:shd w:val="clear" w:color="auto" w:fill="auto"/>
                <w:vAlign w:val="center"/>
              </w:tcPr>
              <w:p w14:paraId="3700EF28">
                <w:pPr>
                  <w:spacing w:line="240" w:lineRule="atLeast"/>
                  <w:jc w:val="right"/>
                  <w:rPr>
                    <w:rFonts w:hint="eastAsia"/>
                    <w:szCs w:val="21"/>
                  </w:rPr>
                </w:pPr>
                <w:r>
                  <w:rPr>
                    <w:rFonts w:ascii="Arial Narrow" w:hAnsi="Arial Narrow" w:eastAsia="等线"/>
                    <w:color w:val="000000"/>
                    <w:sz w:val="22"/>
                    <w:szCs w:val="22"/>
                  </w:rPr>
                  <w:t>55,864,332.29</w:t>
                </w:r>
              </w:p>
            </w:tc>
            <w:tc>
              <w:tcPr>
                <w:tcW w:w="1618" w:type="pct"/>
                <w:shd w:val="clear" w:color="auto" w:fill="auto"/>
                <w:vAlign w:val="center"/>
              </w:tcPr>
              <w:p w14:paraId="39E39DA9">
                <w:pPr>
                  <w:spacing w:line="240" w:lineRule="atLeast"/>
                  <w:jc w:val="right"/>
                  <w:rPr>
                    <w:rFonts w:hint="eastAsia"/>
                    <w:szCs w:val="21"/>
                  </w:rPr>
                </w:pPr>
                <w:r>
                  <w:rPr>
                    <w:rFonts w:ascii="Arial Narrow" w:hAnsi="Arial Narrow" w:eastAsia="等线"/>
                    <w:color w:val="000000"/>
                    <w:sz w:val="22"/>
                    <w:szCs w:val="22"/>
                  </w:rPr>
                  <w:t>55,864,332.29</w:t>
                </w:r>
              </w:p>
            </w:tc>
          </w:tr>
          <w:tr w14:paraId="5C00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tcPr>
              <w:p w14:paraId="41A68B79">
                <w:pPr>
                  <w:spacing w:line="240" w:lineRule="atLeast"/>
                  <w:ind w:firstLine="630" w:firstLineChars="300"/>
                  <w:rPr>
                    <w:rFonts w:hint="eastAsia"/>
                    <w:szCs w:val="21"/>
                  </w:rPr>
                </w:pPr>
                <w:r>
                  <w:rPr>
                    <w:rFonts w:hint="eastAsia"/>
                  </w:rPr>
                  <w:t>(1)租赁到期</w:t>
                </w:r>
              </w:p>
            </w:tc>
            <w:tc>
              <w:tcPr>
                <w:tcW w:w="1504" w:type="pct"/>
                <w:shd w:val="clear" w:color="auto" w:fill="auto"/>
                <w:vAlign w:val="center"/>
              </w:tcPr>
              <w:p w14:paraId="2D417780">
                <w:pPr>
                  <w:spacing w:line="240" w:lineRule="atLeast"/>
                  <w:jc w:val="right"/>
                  <w:rPr>
                    <w:rFonts w:hint="eastAsia"/>
                    <w:szCs w:val="21"/>
                  </w:rPr>
                </w:pPr>
                <w:r>
                  <w:rPr>
                    <w:rFonts w:ascii="Arial Narrow" w:hAnsi="Arial Narrow" w:eastAsia="等线"/>
                    <w:color w:val="000000"/>
                    <w:sz w:val="22"/>
                    <w:szCs w:val="22"/>
                  </w:rPr>
                  <w:t>55,864,332.29</w:t>
                </w:r>
              </w:p>
            </w:tc>
            <w:tc>
              <w:tcPr>
                <w:tcW w:w="1618" w:type="pct"/>
                <w:shd w:val="clear" w:color="auto" w:fill="auto"/>
                <w:vAlign w:val="center"/>
              </w:tcPr>
              <w:p w14:paraId="43923B79">
                <w:pPr>
                  <w:spacing w:line="240" w:lineRule="atLeast"/>
                  <w:jc w:val="right"/>
                  <w:rPr>
                    <w:rFonts w:hint="eastAsia"/>
                    <w:szCs w:val="21"/>
                  </w:rPr>
                </w:pPr>
                <w:r>
                  <w:rPr>
                    <w:rFonts w:ascii="Arial Narrow" w:hAnsi="Arial Narrow" w:eastAsia="等线"/>
                    <w:color w:val="000000"/>
                    <w:sz w:val="22"/>
                    <w:szCs w:val="22"/>
                  </w:rPr>
                  <w:t>55,864,332.29</w:t>
                </w:r>
              </w:p>
            </w:tc>
          </w:tr>
          <w:tr w14:paraId="7F68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156A38AA">
                <w:pPr>
                  <w:spacing w:line="240" w:lineRule="atLeast"/>
                  <w:ind w:firstLine="420" w:firstLineChars="200"/>
                  <w:rPr>
                    <w:rFonts w:hint="eastAsia"/>
                    <w:szCs w:val="21"/>
                  </w:rPr>
                </w:pPr>
                <w:r>
                  <w:rPr>
                    <w:rFonts w:hint="eastAsia"/>
                    <w:szCs w:val="21"/>
                  </w:rPr>
                  <w:t>4.</w:t>
                </w:r>
                <w:r>
                  <w:rPr>
                    <w:szCs w:val="21"/>
                  </w:rPr>
                  <w:t>期末余额</w:t>
                </w:r>
              </w:p>
            </w:tc>
            <w:tc>
              <w:tcPr>
                <w:tcW w:w="1504" w:type="pct"/>
                <w:shd w:val="clear" w:color="auto" w:fill="auto"/>
                <w:vAlign w:val="center"/>
              </w:tcPr>
              <w:p w14:paraId="270C9F03">
                <w:pPr>
                  <w:spacing w:line="240" w:lineRule="atLeast"/>
                  <w:jc w:val="right"/>
                  <w:rPr>
                    <w:rFonts w:hint="eastAsia"/>
                    <w:szCs w:val="21"/>
                  </w:rPr>
                </w:pPr>
                <w:r>
                  <w:rPr>
                    <w:rFonts w:ascii="Arial Narrow" w:hAnsi="Arial Narrow" w:eastAsia="等线"/>
                    <w:color w:val="000000"/>
                    <w:sz w:val="22"/>
                    <w:szCs w:val="22"/>
                  </w:rPr>
                  <w:t>5,296,909.95</w:t>
                </w:r>
              </w:p>
            </w:tc>
            <w:tc>
              <w:tcPr>
                <w:tcW w:w="1618" w:type="pct"/>
                <w:shd w:val="clear" w:color="auto" w:fill="auto"/>
                <w:vAlign w:val="center"/>
              </w:tcPr>
              <w:p w14:paraId="2A3CF3FB">
                <w:pPr>
                  <w:spacing w:line="240" w:lineRule="atLeast"/>
                  <w:jc w:val="right"/>
                  <w:rPr>
                    <w:rFonts w:hint="eastAsia"/>
                    <w:szCs w:val="21"/>
                  </w:rPr>
                </w:pPr>
                <w:r>
                  <w:rPr>
                    <w:rFonts w:ascii="Arial Narrow" w:hAnsi="Arial Narrow" w:eastAsia="等线"/>
                    <w:color w:val="000000"/>
                    <w:sz w:val="22"/>
                    <w:szCs w:val="22"/>
                  </w:rPr>
                  <w:t>5,296,909.95</w:t>
                </w:r>
              </w:p>
            </w:tc>
          </w:tr>
          <w:tr w14:paraId="58C9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a32c53282c7a49e1a1747c76e44e7471"/>
                <w:id w:val="147871381"/>
              </w:sdtPr>
              <w:sdtContent>
                <w:tc>
                  <w:tcPr>
                    <w:tcW w:w="5000" w:type="pct"/>
                    <w:gridSpan w:val="3"/>
                    <w:shd w:val="clear" w:color="auto" w:fill="auto"/>
                    <w:vAlign w:val="center"/>
                  </w:tcPr>
                  <w:p w14:paraId="70827B85">
                    <w:pPr>
                      <w:spacing w:line="240" w:lineRule="atLeast"/>
                      <w:rPr>
                        <w:rFonts w:hint="eastAsia"/>
                        <w:szCs w:val="21"/>
                      </w:rPr>
                    </w:pPr>
                    <w:r>
                      <w:rPr>
                        <w:szCs w:val="21"/>
                      </w:rPr>
                      <w:t>三、减值准备</w:t>
                    </w:r>
                  </w:p>
                </w:tc>
              </w:sdtContent>
            </w:sdt>
          </w:tr>
          <w:tr w14:paraId="145D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11c4f53648e149a88b6ff0ef5ef90dc8"/>
                <w:id w:val="-580445469"/>
              </w:sdtPr>
              <w:sdtContent>
                <w:tc>
                  <w:tcPr>
                    <w:tcW w:w="5000" w:type="pct"/>
                    <w:gridSpan w:val="3"/>
                    <w:shd w:val="clear" w:color="auto" w:fill="auto"/>
                    <w:vAlign w:val="center"/>
                  </w:tcPr>
                  <w:p w14:paraId="49FD4571">
                    <w:pPr>
                      <w:spacing w:line="240" w:lineRule="atLeast"/>
                      <w:rPr>
                        <w:rFonts w:hint="eastAsia"/>
                        <w:szCs w:val="21"/>
                      </w:rPr>
                    </w:pPr>
                    <w:r>
                      <w:rPr>
                        <w:szCs w:val="21"/>
                      </w:rPr>
                      <w:t>四、账面价值</w:t>
                    </w:r>
                  </w:p>
                </w:tc>
              </w:sdtContent>
            </w:sdt>
          </w:tr>
          <w:tr w14:paraId="3843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706B66C3">
                <w:pPr>
                  <w:spacing w:line="240" w:lineRule="atLeast"/>
                  <w:rPr>
                    <w:rFonts w:hint="eastAsia"/>
                    <w:szCs w:val="21"/>
                  </w:rPr>
                </w:pPr>
                <w:r>
                  <w:rPr>
                    <w:szCs w:val="21"/>
                  </w:rPr>
                  <w:t xml:space="preserve">    1.期末账面价值</w:t>
                </w:r>
              </w:p>
            </w:tc>
            <w:tc>
              <w:tcPr>
                <w:tcW w:w="1504" w:type="pct"/>
                <w:shd w:val="clear" w:color="auto" w:fill="auto"/>
                <w:vAlign w:val="center"/>
              </w:tcPr>
              <w:p w14:paraId="635249D0">
                <w:pPr>
                  <w:spacing w:line="240" w:lineRule="atLeast"/>
                  <w:jc w:val="right"/>
                  <w:rPr>
                    <w:rFonts w:hint="eastAsia"/>
                    <w:szCs w:val="21"/>
                  </w:rPr>
                </w:pPr>
                <w:r>
                  <w:rPr>
                    <w:rFonts w:ascii="Arial Narrow" w:hAnsi="Arial Narrow" w:eastAsia="等线"/>
                    <w:color w:val="000000"/>
                    <w:sz w:val="22"/>
                    <w:szCs w:val="22"/>
                  </w:rPr>
                  <w:t>10,670,711.29</w:t>
                </w:r>
              </w:p>
            </w:tc>
            <w:tc>
              <w:tcPr>
                <w:tcW w:w="1618" w:type="pct"/>
                <w:shd w:val="clear" w:color="auto" w:fill="auto"/>
                <w:vAlign w:val="center"/>
              </w:tcPr>
              <w:p w14:paraId="66E69DE1">
                <w:pPr>
                  <w:spacing w:line="240" w:lineRule="atLeast"/>
                  <w:jc w:val="right"/>
                  <w:rPr>
                    <w:rFonts w:hint="eastAsia"/>
                    <w:szCs w:val="21"/>
                  </w:rPr>
                </w:pPr>
                <w:r>
                  <w:rPr>
                    <w:rFonts w:ascii="Arial Narrow" w:hAnsi="Arial Narrow" w:eastAsia="等线"/>
                    <w:color w:val="000000"/>
                    <w:sz w:val="22"/>
                    <w:szCs w:val="22"/>
                  </w:rPr>
                  <w:t>10,670,711.29</w:t>
                </w:r>
              </w:p>
            </w:tc>
          </w:tr>
          <w:tr w14:paraId="2F4B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shd w:val="clear" w:color="auto" w:fill="auto"/>
                <w:vAlign w:val="center"/>
              </w:tcPr>
              <w:p w14:paraId="1A61CE52">
                <w:pPr>
                  <w:spacing w:line="240" w:lineRule="atLeast"/>
                  <w:rPr>
                    <w:rFonts w:hint="eastAsia"/>
                    <w:szCs w:val="21"/>
                  </w:rPr>
                </w:pPr>
                <w:r>
                  <w:rPr>
                    <w:szCs w:val="21"/>
                  </w:rPr>
                  <w:t xml:space="preserve">    2.期初账面价值</w:t>
                </w:r>
              </w:p>
            </w:tc>
            <w:tc>
              <w:tcPr>
                <w:tcW w:w="1504" w:type="pct"/>
                <w:shd w:val="clear" w:color="auto" w:fill="auto"/>
                <w:vAlign w:val="center"/>
              </w:tcPr>
              <w:p w14:paraId="3534DC55">
                <w:pPr>
                  <w:spacing w:line="240" w:lineRule="atLeast"/>
                  <w:jc w:val="right"/>
                  <w:rPr>
                    <w:rFonts w:hint="eastAsia"/>
                    <w:szCs w:val="21"/>
                  </w:rPr>
                </w:pPr>
                <w:r>
                  <w:rPr>
                    <w:rFonts w:ascii="Arial Narrow" w:hAnsi="Arial Narrow" w:eastAsia="等线"/>
                    <w:color w:val="000000"/>
                    <w:sz w:val="22"/>
                    <w:szCs w:val="22"/>
                  </w:rPr>
                  <w:t>17,630,043.91</w:t>
                </w:r>
              </w:p>
            </w:tc>
            <w:tc>
              <w:tcPr>
                <w:tcW w:w="1618" w:type="pct"/>
                <w:shd w:val="clear" w:color="auto" w:fill="auto"/>
                <w:vAlign w:val="center"/>
              </w:tcPr>
              <w:p w14:paraId="47F579BA">
                <w:pPr>
                  <w:spacing w:line="240" w:lineRule="atLeast"/>
                  <w:jc w:val="right"/>
                  <w:rPr>
                    <w:rFonts w:hint="eastAsia"/>
                    <w:szCs w:val="21"/>
                  </w:rPr>
                </w:pPr>
                <w:r>
                  <w:rPr>
                    <w:rFonts w:ascii="Arial Narrow" w:hAnsi="Arial Narrow" w:eastAsia="等线"/>
                    <w:color w:val="000000"/>
                    <w:sz w:val="22"/>
                    <w:szCs w:val="22"/>
                  </w:rPr>
                  <w:t>17,630,043.91</w:t>
                </w:r>
              </w:p>
            </w:tc>
          </w:tr>
        </w:tbl>
        <w:p w14:paraId="03BB2155">
          <w:pPr>
            <w:rPr>
              <w:rFonts w:hint="eastAsia"/>
            </w:rPr>
          </w:pPr>
        </w:p>
      </w:sdtContent>
    </w:sdt>
    <w:bookmarkEnd w:id="322"/>
    <w:p w14:paraId="3CFA6364">
      <w:pPr>
        <w:pStyle w:val="71"/>
        <w:numPr>
          <w:ilvl w:val="0"/>
          <w:numId w:val="130"/>
        </w:numPr>
        <w:ind w:left="450" w:hanging="450"/>
        <w:rPr>
          <w:rFonts w:hint="eastAsia"/>
        </w:rPr>
      </w:pPr>
      <w:bookmarkStart w:id="324" w:name="OLE_LINK8"/>
      <w:bookmarkStart w:id="325" w:name="_Hlk153461708"/>
      <w:r>
        <w:rPr>
          <w:rFonts w:hint="eastAsia"/>
        </w:rPr>
        <w:t>使用权资产</w:t>
      </w:r>
      <w:bookmarkEnd w:id="324"/>
      <w:r>
        <w:rPr>
          <w:rFonts w:hint="eastAsia"/>
        </w:rPr>
        <w:t>的减值测试情况</w:t>
      </w:r>
    </w:p>
    <w:sdt>
      <w:sdtPr>
        <w:alias w:val="是否适用：减值测试情况[双击切换]"/>
        <w:tag w:val="_GBC_3b3aabc5b9ad4e9896fb84bfd63b8c60"/>
        <w:id w:val="-65111487"/>
        <w:placeholder>
          <w:docPart w:val="GBC22222222222222222222222222222"/>
        </w:placeholder>
      </w:sdtPr>
      <w:sdtContent>
        <w:p w14:paraId="6CC3BEE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563A9EC">
      <w:pPr>
        <w:rPr>
          <w:rFonts w:hint="eastAsia"/>
        </w:rPr>
      </w:pPr>
    </w:p>
    <w:bookmarkEnd w:id="323"/>
    <w:bookmarkEnd w:id="325"/>
    <w:p w14:paraId="48ECBB03">
      <w:pPr>
        <w:autoSpaceDE w:val="0"/>
        <w:autoSpaceDN w:val="0"/>
        <w:adjustRightInd w:val="0"/>
        <w:rPr>
          <w:rFonts w:hint="eastAsia"/>
          <w:szCs w:val="21"/>
        </w:rPr>
      </w:pPr>
      <w:bookmarkStart w:id="326" w:name="_Hlk152863567"/>
      <w:r>
        <w:rPr>
          <w:rFonts w:hint="eastAsia"/>
          <w:szCs w:val="21"/>
        </w:rPr>
        <w:t>其他说明：</w:t>
      </w:r>
    </w:p>
    <w:p w14:paraId="3CCF4E5D">
      <w:pPr>
        <w:rPr>
          <w:rFonts w:hint="eastAsia"/>
          <w:szCs w:val="21"/>
        </w:rPr>
      </w:pPr>
      <w:sdt>
        <w:sdtPr>
          <w:alias w:val="使用权资产其他说明"/>
          <w:tag w:val="_GBC_41c40d661bff4f1b859d4bd00049983c"/>
          <w:id w:val="1516195858"/>
          <w:placeholder>
            <w:docPart w:val="GBC22222222222222222222222222222"/>
          </w:placeholder>
        </w:sdtPr>
        <w:sdtContent>
          <w:r>
            <w:rPr>
              <w:rFonts w:hint="eastAsia"/>
            </w:rPr>
            <w:t>无</w:t>
          </w:r>
        </w:sdtContent>
      </w:sdt>
    </w:p>
    <w:bookmarkEnd w:id="326"/>
    <w:p w14:paraId="3CD2227B">
      <w:pPr>
        <w:pStyle w:val="70"/>
        <w:numPr>
          <w:ilvl w:val="0"/>
          <w:numId w:val="109"/>
        </w:numPr>
        <w:tabs>
          <w:tab w:val="left" w:pos="504"/>
        </w:tabs>
        <w:rPr>
          <w:rFonts w:hint="eastAsia" w:ascii="宋体" w:hAnsi="宋体"/>
          <w:szCs w:val="21"/>
        </w:rPr>
        <w:sectPr>
          <w:pgSz w:w="11906" w:h="16838"/>
          <w:pgMar w:top="1440" w:right="1797" w:bottom="1525" w:left="1276" w:header="856" w:footer="992" w:gutter="0"/>
          <w:cols w:space="425" w:num="1"/>
          <w:docGrid w:linePitch="312" w:charSpace="0"/>
        </w:sectPr>
      </w:pPr>
    </w:p>
    <w:p w14:paraId="77FE0B51">
      <w:pPr>
        <w:pStyle w:val="70"/>
        <w:numPr>
          <w:ilvl w:val="0"/>
          <w:numId w:val="109"/>
        </w:numPr>
        <w:rPr>
          <w:szCs w:val="21"/>
        </w:rPr>
      </w:pPr>
      <w:r>
        <w:rPr>
          <w:szCs w:val="21"/>
        </w:rPr>
        <w:t>无形资产</w:t>
      </w:r>
    </w:p>
    <w:p w14:paraId="680511D8">
      <w:pPr>
        <w:pStyle w:val="71"/>
        <w:numPr>
          <w:ilvl w:val="3"/>
          <w:numId w:val="131"/>
        </w:numPr>
        <w:ind w:left="426" w:hanging="426"/>
        <w:rPr>
          <w:rFonts w:hint="eastAsia"/>
        </w:rPr>
      </w:pPr>
      <w:bookmarkStart w:id="327" w:name="_Hlk90557281"/>
      <w:r>
        <w:rPr>
          <w:rFonts w:hint="eastAsia"/>
        </w:rPr>
        <w:t>无形资产情况</w:t>
      </w:r>
    </w:p>
    <w:sdt>
      <w:sdtPr>
        <w:rPr>
          <w:rFonts w:hint="eastAsia"/>
          <w:szCs w:val="21"/>
        </w:rPr>
        <w:alias w:val="是否适用：无形资产情况[双击切换]"/>
        <w:tag w:val="_GBC_42237c7a99c64602a661c1668bc893bd"/>
        <w:id w:val="653494531"/>
        <w:placeholder>
          <w:docPart w:val="GBC22222222222222222222222222222"/>
        </w:placeholder>
      </w:sdtPr>
      <w:sdtEndPr>
        <w:rPr>
          <w:rFonts w:hint="eastAsia"/>
          <w:szCs w:val="21"/>
        </w:rPr>
      </w:sdtEndPr>
      <w:sdtContent>
        <w:p w14:paraId="258A6935">
          <w:pPr>
            <w:snapToGrid w:val="0"/>
            <w:spacing w:line="240" w:lineRule="atLeast"/>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9F2D2A5">
      <w:pPr>
        <w:snapToGrid w:val="0"/>
        <w:spacing w:line="240" w:lineRule="atLeast"/>
        <w:jc w:val="right"/>
        <w:rPr>
          <w:rFonts w:hint="eastAsia"/>
          <w:szCs w:val="21"/>
        </w:rPr>
      </w:pPr>
      <w:r>
        <w:rPr>
          <w:rFonts w:hint="eastAsia"/>
          <w:szCs w:val="21"/>
        </w:rPr>
        <w:t>单位：</w:t>
      </w:r>
      <w:sdt>
        <w:sdtPr>
          <w:rPr>
            <w:rFonts w:hint="eastAsia"/>
            <w:szCs w:val="21"/>
          </w:rPr>
          <w:alias w:val="单位：财务附注：无形资产情况"/>
          <w:tag w:val="_GBC_37e64bddc8e645b48a19b4e7bafb7839"/>
          <w:id w:val="-18972793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18523651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5"/>
        <w:gridCol w:w="1874"/>
        <w:gridCol w:w="1583"/>
        <w:gridCol w:w="1464"/>
        <w:gridCol w:w="1583"/>
        <w:gridCol w:w="1583"/>
        <w:gridCol w:w="1467"/>
        <w:gridCol w:w="1874"/>
      </w:tblGrid>
      <w:tr w14:paraId="7826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sdt>
          <w:sdtPr>
            <w:rPr>
              <w:rFonts w:ascii="Arial Narrow" w:hAnsi="Arial Narrow" w:eastAsiaTheme="minorEastAsia"/>
              <w:szCs w:val="21"/>
            </w:rPr>
            <w:tag w:val="_PLD_0d0c5c4c9acf46eaa7c41a19eb731a5c"/>
            <w:id w:val="1609854195"/>
          </w:sdtPr>
          <w:sdtEndPr>
            <w:rPr>
              <w:rFonts w:ascii="Arial Narrow" w:hAnsi="Arial Narrow" w:eastAsiaTheme="minorEastAsia"/>
              <w:szCs w:val="21"/>
            </w:rPr>
          </w:sdtEndPr>
          <w:sdtContent>
            <w:tc>
              <w:tcPr>
                <w:tcW w:w="878" w:type="pct"/>
                <w:shd w:val="clear" w:color="auto" w:fill="auto"/>
                <w:vAlign w:val="center"/>
              </w:tcPr>
              <w:p w14:paraId="756A29EC">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0dfc6d612ce04e4ab91d7f5c675c7954"/>
            <w:id w:val="-289754573"/>
          </w:sdtPr>
          <w:sdtEndPr>
            <w:rPr>
              <w:rFonts w:ascii="Arial Narrow" w:hAnsi="Arial Narrow" w:eastAsiaTheme="minorEastAsia"/>
              <w:szCs w:val="21"/>
            </w:rPr>
          </w:sdtEndPr>
          <w:sdtContent>
            <w:tc>
              <w:tcPr>
                <w:tcW w:w="676" w:type="pct"/>
                <w:shd w:val="clear" w:color="auto" w:fill="auto"/>
                <w:vAlign w:val="center"/>
              </w:tcPr>
              <w:p w14:paraId="04D72F3C">
                <w:pPr>
                  <w:jc w:val="center"/>
                  <w:rPr>
                    <w:rFonts w:ascii="Arial Narrow" w:hAnsi="Arial Narrow" w:eastAsiaTheme="minorEastAsia"/>
                    <w:szCs w:val="21"/>
                  </w:rPr>
                </w:pPr>
                <w:r>
                  <w:rPr>
                    <w:rFonts w:ascii="Arial Narrow" w:hAnsi="Arial Narrow" w:eastAsiaTheme="minorEastAsia"/>
                    <w:szCs w:val="21"/>
                  </w:rPr>
                  <w:t>土地使用权</w:t>
                </w:r>
              </w:p>
            </w:tc>
          </w:sdtContent>
        </w:sdt>
        <w:sdt>
          <w:sdtPr>
            <w:rPr>
              <w:rFonts w:ascii="Arial Narrow" w:hAnsi="Arial Narrow" w:eastAsiaTheme="minorEastAsia"/>
              <w:szCs w:val="21"/>
            </w:rPr>
            <w:tag w:val="_PLD_0d5a6bdde1fe4f6d9dcc5cb928d96ee9"/>
            <w:id w:val="-1592083170"/>
          </w:sdtPr>
          <w:sdtEndPr>
            <w:rPr>
              <w:rFonts w:ascii="Arial Narrow" w:hAnsi="Arial Narrow" w:eastAsiaTheme="minorEastAsia"/>
              <w:szCs w:val="21"/>
            </w:rPr>
          </w:sdtEndPr>
          <w:sdtContent>
            <w:tc>
              <w:tcPr>
                <w:tcW w:w="571" w:type="pct"/>
                <w:shd w:val="clear" w:color="auto" w:fill="auto"/>
                <w:vAlign w:val="center"/>
              </w:tcPr>
              <w:p w14:paraId="4E3BC4DF">
                <w:pPr>
                  <w:jc w:val="center"/>
                  <w:rPr>
                    <w:rFonts w:ascii="Arial Narrow" w:hAnsi="Arial Narrow" w:eastAsiaTheme="minorEastAsia"/>
                    <w:szCs w:val="21"/>
                  </w:rPr>
                </w:pPr>
                <w:r>
                  <w:rPr>
                    <w:rFonts w:ascii="Arial Narrow" w:hAnsi="Arial Narrow" w:eastAsiaTheme="minorEastAsia"/>
                    <w:szCs w:val="21"/>
                  </w:rPr>
                  <w:t>专利权</w:t>
                </w:r>
              </w:p>
            </w:tc>
          </w:sdtContent>
        </w:sdt>
        <w:sdt>
          <w:sdtPr>
            <w:rPr>
              <w:rFonts w:ascii="Arial Narrow" w:hAnsi="Arial Narrow" w:eastAsiaTheme="minorEastAsia"/>
              <w:szCs w:val="21"/>
            </w:rPr>
            <w:tag w:val="_PLD_c4e41ad8ec594f0dafd60ebc1a7da7ce"/>
            <w:id w:val="-1881002969"/>
          </w:sdtPr>
          <w:sdtEndPr>
            <w:rPr>
              <w:rFonts w:ascii="Arial Narrow" w:hAnsi="Arial Narrow" w:eastAsiaTheme="minorEastAsia"/>
              <w:szCs w:val="21"/>
            </w:rPr>
          </w:sdtEndPr>
          <w:sdtContent>
            <w:tc>
              <w:tcPr>
                <w:tcW w:w="528" w:type="pct"/>
                <w:shd w:val="clear" w:color="auto" w:fill="auto"/>
                <w:vAlign w:val="center"/>
              </w:tcPr>
              <w:p w14:paraId="65FC8211">
                <w:pPr>
                  <w:jc w:val="center"/>
                  <w:rPr>
                    <w:rFonts w:ascii="Arial Narrow" w:hAnsi="Arial Narrow" w:eastAsiaTheme="minorEastAsia"/>
                    <w:szCs w:val="21"/>
                  </w:rPr>
                </w:pPr>
                <w:r>
                  <w:rPr>
                    <w:rFonts w:ascii="Arial Narrow" w:hAnsi="Arial Narrow" w:eastAsiaTheme="minorEastAsia"/>
                    <w:szCs w:val="21"/>
                  </w:rPr>
                  <w:t>非专利技术</w:t>
                </w:r>
              </w:p>
            </w:tc>
          </w:sdtContent>
        </w:sdt>
        <w:sdt>
          <w:sdtPr>
            <w:rPr>
              <w:rFonts w:ascii="Arial Narrow" w:hAnsi="Arial Narrow" w:eastAsiaTheme="minorEastAsia"/>
              <w:szCs w:val="21"/>
            </w:rPr>
            <w:tag w:val="_GBC_1a0001be34594900ba0c5e610a635d50"/>
            <w:id w:val="560517704"/>
          </w:sdtPr>
          <w:sdtEndPr>
            <w:rPr>
              <w:rFonts w:ascii="Arial Narrow" w:hAnsi="Arial Narrow" w:eastAsiaTheme="minorEastAsia"/>
              <w:szCs w:val="21"/>
            </w:rPr>
          </w:sdtEndPr>
          <w:sdtContent>
            <w:tc>
              <w:tcPr>
                <w:tcW w:w="571" w:type="pct"/>
                <w:shd w:val="clear" w:color="auto" w:fill="auto"/>
                <w:vAlign w:val="center"/>
              </w:tcPr>
              <w:p w14:paraId="2316A4F6">
                <w:pPr>
                  <w:jc w:val="center"/>
                  <w:rPr>
                    <w:rFonts w:ascii="Arial Narrow" w:hAnsi="Arial Narrow" w:eastAsiaTheme="minorEastAsia"/>
                    <w:szCs w:val="21"/>
                  </w:rPr>
                </w:pPr>
                <w:r>
                  <w:rPr>
                    <w:rFonts w:ascii="Arial Narrow" w:hAnsi="Arial Narrow" w:eastAsiaTheme="minorEastAsia"/>
                    <w:color w:val="000000"/>
                    <w:szCs w:val="21"/>
                  </w:rPr>
                  <w:t>软件</w:t>
                </w:r>
              </w:p>
            </w:tc>
          </w:sdtContent>
        </w:sdt>
        <w:sdt>
          <w:sdtPr>
            <w:rPr>
              <w:rFonts w:ascii="Arial Narrow" w:hAnsi="Arial Narrow" w:eastAsiaTheme="minorEastAsia"/>
              <w:szCs w:val="21"/>
            </w:rPr>
            <w:tag w:val="_GBC_1a0001be34594900ba0c5e610a635d50"/>
            <w:id w:val="2039078198"/>
          </w:sdtPr>
          <w:sdtEndPr>
            <w:rPr>
              <w:rFonts w:ascii="Arial Narrow" w:hAnsi="Arial Narrow" w:eastAsiaTheme="minorEastAsia"/>
              <w:szCs w:val="21"/>
            </w:rPr>
          </w:sdtEndPr>
          <w:sdtContent>
            <w:tc>
              <w:tcPr>
                <w:tcW w:w="571" w:type="pct"/>
                <w:shd w:val="clear" w:color="auto" w:fill="auto"/>
                <w:vAlign w:val="center"/>
              </w:tcPr>
              <w:p w14:paraId="36C34297">
                <w:pPr>
                  <w:jc w:val="center"/>
                  <w:rPr>
                    <w:rFonts w:ascii="Arial Narrow" w:hAnsi="Arial Narrow" w:eastAsiaTheme="minorEastAsia"/>
                    <w:szCs w:val="21"/>
                  </w:rPr>
                </w:pPr>
                <w:r>
                  <w:rPr>
                    <w:rFonts w:ascii="Arial Narrow" w:hAnsi="Arial Narrow" w:eastAsiaTheme="minorEastAsia"/>
                    <w:color w:val="000000"/>
                    <w:szCs w:val="21"/>
                  </w:rPr>
                  <w:t>商标权</w:t>
                </w:r>
              </w:p>
            </w:tc>
          </w:sdtContent>
        </w:sdt>
        <w:sdt>
          <w:sdtPr>
            <w:rPr>
              <w:rFonts w:ascii="Arial Narrow" w:hAnsi="Arial Narrow" w:eastAsiaTheme="minorEastAsia"/>
              <w:szCs w:val="21"/>
            </w:rPr>
            <w:tag w:val="_GBC_1a0001be34594900ba0c5e610a635d50"/>
            <w:id w:val="-737081943"/>
          </w:sdtPr>
          <w:sdtEndPr>
            <w:rPr>
              <w:rFonts w:ascii="Arial Narrow" w:hAnsi="Arial Narrow" w:eastAsiaTheme="minorEastAsia"/>
              <w:szCs w:val="21"/>
            </w:rPr>
          </w:sdtEndPr>
          <w:sdtContent>
            <w:tc>
              <w:tcPr>
                <w:tcW w:w="529" w:type="pct"/>
                <w:shd w:val="clear" w:color="auto" w:fill="auto"/>
                <w:vAlign w:val="center"/>
              </w:tcPr>
              <w:p w14:paraId="7BDE70CB">
                <w:pPr>
                  <w:jc w:val="center"/>
                  <w:rPr>
                    <w:rFonts w:ascii="Arial Narrow" w:hAnsi="Arial Narrow" w:eastAsiaTheme="minorEastAsia"/>
                    <w:szCs w:val="21"/>
                  </w:rPr>
                </w:pPr>
                <w:r>
                  <w:rPr>
                    <w:rFonts w:ascii="Arial Narrow" w:hAnsi="Arial Narrow" w:eastAsiaTheme="minorEastAsia"/>
                    <w:color w:val="000000"/>
                    <w:szCs w:val="21"/>
                  </w:rPr>
                  <w:t>其他</w:t>
                </w:r>
              </w:p>
            </w:tc>
          </w:sdtContent>
        </w:sdt>
        <w:sdt>
          <w:sdtPr>
            <w:rPr>
              <w:rFonts w:ascii="Arial Narrow" w:hAnsi="Arial Narrow" w:eastAsiaTheme="minorEastAsia"/>
              <w:szCs w:val="21"/>
            </w:rPr>
            <w:tag w:val="_PLD_010a173744294c79817b77db863e3438"/>
            <w:id w:val="1594359813"/>
          </w:sdtPr>
          <w:sdtEndPr>
            <w:rPr>
              <w:rFonts w:ascii="Arial Narrow" w:hAnsi="Arial Narrow" w:eastAsiaTheme="minorEastAsia"/>
              <w:szCs w:val="21"/>
            </w:rPr>
          </w:sdtEndPr>
          <w:sdtContent>
            <w:tc>
              <w:tcPr>
                <w:tcW w:w="676" w:type="pct"/>
                <w:shd w:val="clear" w:color="auto" w:fill="auto"/>
                <w:vAlign w:val="center"/>
              </w:tcPr>
              <w:p w14:paraId="1F9A2910">
                <w:pPr>
                  <w:jc w:val="center"/>
                  <w:rPr>
                    <w:rFonts w:ascii="Arial Narrow" w:hAnsi="Arial Narrow" w:eastAsiaTheme="minorEastAsia"/>
                    <w:szCs w:val="21"/>
                  </w:rPr>
                </w:pPr>
                <w:r>
                  <w:rPr>
                    <w:rFonts w:ascii="Arial Narrow" w:hAnsi="Arial Narrow" w:eastAsiaTheme="minorEastAsia"/>
                    <w:szCs w:val="21"/>
                  </w:rPr>
                  <w:t>合计</w:t>
                </w:r>
              </w:p>
            </w:tc>
          </w:sdtContent>
        </w:sdt>
      </w:tr>
      <w:tr w14:paraId="6506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sdt>
          <w:sdtPr>
            <w:rPr>
              <w:rFonts w:ascii="Arial Narrow" w:hAnsi="Arial Narrow" w:eastAsiaTheme="minorEastAsia"/>
              <w:szCs w:val="21"/>
            </w:rPr>
            <w:tag w:val="_PLD_d38b2136312a4180852ade61efe6b93c"/>
            <w:id w:val="-43828753"/>
          </w:sdtPr>
          <w:sdtEndPr>
            <w:rPr>
              <w:rFonts w:ascii="Arial Narrow" w:hAnsi="Arial Narrow" w:eastAsiaTheme="minorEastAsia"/>
              <w:szCs w:val="21"/>
            </w:rPr>
          </w:sdtEndPr>
          <w:sdtContent>
            <w:tc>
              <w:tcPr>
                <w:tcW w:w="5000" w:type="pct"/>
                <w:gridSpan w:val="8"/>
                <w:shd w:val="clear" w:color="auto" w:fill="auto"/>
                <w:vAlign w:val="center"/>
              </w:tcPr>
              <w:p w14:paraId="67EC0846">
                <w:pPr>
                  <w:rPr>
                    <w:rFonts w:ascii="Arial Narrow" w:hAnsi="Arial Narrow" w:eastAsiaTheme="minorEastAsia"/>
                    <w:szCs w:val="21"/>
                  </w:rPr>
                </w:pPr>
                <w:r>
                  <w:rPr>
                    <w:rFonts w:ascii="Arial Narrow" w:hAnsi="Arial Narrow" w:eastAsiaTheme="minorEastAsia"/>
                    <w:szCs w:val="21"/>
                  </w:rPr>
                  <w:t>一、账面原值</w:t>
                </w:r>
              </w:p>
            </w:tc>
          </w:sdtContent>
        </w:sdt>
      </w:tr>
      <w:tr w14:paraId="424F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3CD57ECE">
            <w:pPr>
              <w:rPr>
                <w:rFonts w:ascii="Arial Narrow" w:hAnsi="Arial Narrow" w:eastAsiaTheme="minorEastAsia"/>
                <w:szCs w:val="21"/>
              </w:rPr>
            </w:pPr>
            <w:r>
              <w:rPr>
                <w:rFonts w:ascii="Arial Narrow" w:hAnsi="Arial Narrow" w:eastAsiaTheme="minorEastAsia"/>
                <w:szCs w:val="21"/>
              </w:rPr>
              <w:t xml:space="preserve">    1.期初余额</w:t>
            </w:r>
          </w:p>
        </w:tc>
        <w:tc>
          <w:tcPr>
            <w:tcW w:w="676" w:type="pct"/>
            <w:shd w:val="clear" w:color="auto" w:fill="auto"/>
            <w:vAlign w:val="center"/>
          </w:tcPr>
          <w:p w14:paraId="656E881D">
            <w:pPr>
              <w:jc w:val="right"/>
              <w:rPr>
                <w:rFonts w:ascii="Arial Narrow" w:hAnsi="Arial Narrow" w:eastAsiaTheme="minorEastAsia"/>
                <w:szCs w:val="21"/>
              </w:rPr>
            </w:pPr>
            <w:r>
              <w:rPr>
                <w:rFonts w:ascii="Arial Narrow" w:hAnsi="Arial Narrow" w:eastAsiaTheme="minorEastAsia"/>
                <w:color w:val="000000"/>
                <w:szCs w:val="21"/>
              </w:rPr>
              <w:t>2,519,489,423.03</w:t>
            </w:r>
          </w:p>
        </w:tc>
        <w:tc>
          <w:tcPr>
            <w:tcW w:w="571" w:type="pct"/>
            <w:shd w:val="clear" w:color="auto" w:fill="auto"/>
            <w:vAlign w:val="center"/>
          </w:tcPr>
          <w:p w14:paraId="5C68B439">
            <w:pPr>
              <w:jc w:val="right"/>
              <w:rPr>
                <w:rFonts w:ascii="Arial Narrow" w:hAnsi="Arial Narrow" w:eastAsiaTheme="minorEastAsia"/>
                <w:szCs w:val="21"/>
              </w:rPr>
            </w:pPr>
            <w:r>
              <w:rPr>
                <w:rFonts w:ascii="Arial Narrow" w:hAnsi="Arial Narrow" w:eastAsiaTheme="minorEastAsia"/>
                <w:color w:val="000000"/>
                <w:szCs w:val="21"/>
              </w:rPr>
              <w:t>17,529,493.58</w:t>
            </w:r>
          </w:p>
        </w:tc>
        <w:tc>
          <w:tcPr>
            <w:tcW w:w="528" w:type="pct"/>
            <w:shd w:val="clear" w:color="auto" w:fill="auto"/>
            <w:vAlign w:val="center"/>
          </w:tcPr>
          <w:p w14:paraId="37D6D9EE">
            <w:pPr>
              <w:jc w:val="right"/>
              <w:rPr>
                <w:rFonts w:ascii="Arial Narrow" w:hAnsi="Arial Narrow" w:eastAsiaTheme="minorEastAsia"/>
                <w:szCs w:val="21"/>
              </w:rPr>
            </w:pPr>
            <w:r>
              <w:rPr>
                <w:rFonts w:ascii="Arial Narrow" w:hAnsi="Arial Narrow" w:eastAsiaTheme="minorEastAsia"/>
                <w:color w:val="000000"/>
                <w:szCs w:val="21"/>
              </w:rPr>
              <w:t>998,201.15</w:t>
            </w:r>
          </w:p>
        </w:tc>
        <w:tc>
          <w:tcPr>
            <w:tcW w:w="571" w:type="pct"/>
            <w:shd w:val="clear" w:color="auto" w:fill="auto"/>
            <w:vAlign w:val="center"/>
          </w:tcPr>
          <w:p w14:paraId="48735687">
            <w:pPr>
              <w:jc w:val="right"/>
              <w:rPr>
                <w:rFonts w:ascii="Arial Narrow" w:hAnsi="Arial Narrow" w:eastAsiaTheme="minorEastAsia"/>
                <w:szCs w:val="21"/>
              </w:rPr>
            </w:pPr>
            <w:r>
              <w:rPr>
                <w:rFonts w:ascii="Arial Narrow" w:hAnsi="Arial Narrow" w:eastAsiaTheme="minorEastAsia"/>
                <w:color w:val="000000"/>
                <w:szCs w:val="21"/>
              </w:rPr>
              <w:t>24,701,128.09</w:t>
            </w:r>
          </w:p>
        </w:tc>
        <w:tc>
          <w:tcPr>
            <w:tcW w:w="571" w:type="pct"/>
            <w:shd w:val="clear" w:color="auto" w:fill="auto"/>
            <w:vAlign w:val="center"/>
          </w:tcPr>
          <w:p w14:paraId="0BCB556F">
            <w:pPr>
              <w:jc w:val="right"/>
              <w:rPr>
                <w:rFonts w:ascii="Arial Narrow" w:hAnsi="Arial Narrow" w:eastAsiaTheme="minorEastAsia"/>
                <w:szCs w:val="21"/>
              </w:rPr>
            </w:pPr>
            <w:r>
              <w:rPr>
                <w:rFonts w:ascii="Arial Narrow" w:hAnsi="Arial Narrow" w:eastAsiaTheme="minorEastAsia"/>
                <w:color w:val="000000"/>
                <w:szCs w:val="21"/>
              </w:rPr>
              <w:t>15,239,537.05</w:t>
            </w:r>
          </w:p>
        </w:tc>
        <w:tc>
          <w:tcPr>
            <w:tcW w:w="529" w:type="pct"/>
            <w:shd w:val="clear" w:color="auto" w:fill="auto"/>
            <w:vAlign w:val="center"/>
          </w:tcPr>
          <w:p w14:paraId="12993561">
            <w:pPr>
              <w:jc w:val="right"/>
              <w:rPr>
                <w:rFonts w:ascii="Arial Narrow" w:hAnsi="Arial Narrow" w:eastAsiaTheme="minorEastAsia"/>
                <w:szCs w:val="21"/>
              </w:rPr>
            </w:pPr>
            <w:r>
              <w:rPr>
                <w:rFonts w:ascii="Arial Narrow" w:hAnsi="Arial Narrow" w:eastAsiaTheme="minorEastAsia"/>
                <w:color w:val="000000"/>
                <w:szCs w:val="21"/>
              </w:rPr>
              <w:t>1,060,377.33</w:t>
            </w:r>
          </w:p>
        </w:tc>
        <w:tc>
          <w:tcPr>
            <w:tcW w:w="676" w:type="pct"/>
            <w:shd w:val="clear" w:color="auto" w:fill="auto"/>
            <w:vAlign w:val="center"/>
          </w:tcPr>
          <w:p w14:paraId="1AA18A9B">
            <w:pPr>
              <w:jc w:val="right"/>
              <w:rPr>
                <w:rFonts w:ascii="Arial Narrow" w:hAnsi="Arial Narrow" w:eastAsiaTheme="minorEastAsia"/>
                <w:szCs w:val="21"/>
              </w:rPr>
            </w:pPr>
            <w:r>
              <w:rPr>
                <w:rFonts w:ascii="Arial Narrow" w:hAnsi="Arial Narrow" w:eastAsiaTheme="minorEastAsia"/>
                <w:color w:val="000000"/>
                <w:szCs w:val="21"/>
              </w:rPr>
              <w:t>2,579,018,160.23</w:t>
            </w:r>
          </w:p>
        </w:tc>
      </w:tr>
      <w:tr w14:paraId="27C2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6E4881C0">
            <w:pPr>
              <w:ind w:firstLine="420" w:firstLineChars="200"/>
              <w:rPr>
                <w:rFonts w:ascii="Arial Narrow" w:hAnsi="Arial Narrow" w:eastAsiaTheme="minorEastAsia"/>
                <w:szCs w:val="21"/>
              </w:rPr>
            </w:pPr>
            <w:r>
              <w:rPr>
                <w:rFonts w:ascii="Arial Narrow" w:hAnsi="Arial Narrow" w:eastAsiaTheme="minorEastAsia"/>
                <w:szCs w:val="21"/>
              </w:rPr>
              <w:t>2.本期增加金额</w:t>
            </w:r>
          </w:p>
        </w:tc>
        <w:tc>
          <w:tcPr>
            <w:tcW w:w="676" w:type="pct"/>
            <w:shd w:val="clear" w:color="auto" w:fill="auto"/>
            <w:vAlign w:val="center"/>
          </w:tcPr>
          <w:p w14:paraId="6EA68B0C">
            <w:pPr>
              <w:jc w:val="right"/>
              <w:rPr>
                <w:rFonts w:ascii="Arial Narrow" w:hAnsi="Arial Narrow" w:eastAsiaTheme="minorEastAsia"/>
                <w:szCs w:val="21"/>
              </w:rPr>
            </w:pPr>
            <w:r>
              <w:rPr>
                <w:rFonts w:ascii="Arial Narrow" w:hAnsi="Arial Narrow" w:eastAsiaTheme="minorEastAsia"/>
                <w:color w:val="000000"/>
                <w:szCs w:val="21"/>
              </w:rPr>
              <w:t>2,616,788.94</w:t>
            </w:r>
          </w:p>
        </w:tc>
        <w:tc>
          <w:tcPr>
            <w:tcW w:w="571" w:type="pct"/>
            <w:shd w:val="clear" w:color="auto" w:fill="auto"/>
            <w:vAlign w:val="center"/>
          </w:tcPr>
          <w:p w14:paraId="06314592">
            <w:pPr>
              <w:jc w:val="right"/>
              <w:rPr>
                <w:rFonts w:ascii="Arial Narrow" w:hAnsi="Arial Narrow" w:eastAsiaTheme="minorEastAsia"/>
                <w:szCs w:val="21"/>
              </w:rPr>
            </w:pPr>
          </w:p>
        </w:tc>
        <w:tc>
          <w:tcPr>
            <w:tcW w:w="528" w:type="pct"/>
            <w:shd w:val="clear" w:color="auto" w:fill="auto"/>
            <w:vAlign w:val="center"/>
          </w:tcPr>
          <w:p w14:paraId="2B46AF68">
            <w:pPr>
              <w:jc w:val="right"/>
              <w:rPr>
                <w:rFonts w:ascii="Arial Narrow" w:hAnsi="Arial Narrow" w:eastAsiaTheme="minorEastAsia"/>
                <w:szCs w:val="21"/>
              </w:rPr>
            </w:pPr>
          </w:p>
        </w:tc>
        <w:tc>
          <w:tcPr>
            <w:tcW w:w="571" w:type="pct"/>
            <w:shd w:val="clear" w:color="auto" w:fill="auto"/>
            <w:vAlign w:val="center"/>
          </w:tcPr>
          <w:p w14:paraId="51C3F98E">
            <w:pPr>
              <w:jc w:val="right"/>
              <w:rPr>
                <w:rFonts w:ascii="Arial Narrow" w:hAnsi="Arial Narrow" w:eastAsiaTheme="minorEastAsia"/>
                <w:szCs w:val="21"/>
              </w:rPr>
            </w:pPr>
            <w:r>
              <w:rPr>
                <w:rFonts w:ascii="Arial Narrow" w:hAnsi="Arial Narrow" w:eastAsiaTheme="minorEastAsia"/>
                <w:color w:val="000000"/>
                <w:szCs w:val="21"/>
              </w:rPr>
              <w:t>1,440,941.13</w:t>
            </w:r>
          </w:p>
        </w:tc>
        <w:tc>
          <w:tcPr>
            <w:tcW w:w="571" w:type="pct"/>
            <w:shd w:val="clear" w:color="auto" w:fill="auto"/>
            <w:vAlign w:val="center"/>
          </w:tcPr>
          <w:p w14:paraId="66498F14">
            <w:pPr>
              <w:jc w:val="right"/>
              <w:rPr>
                <w:rFonts w:ascii="Arial Narrow" w:hAnsi="Arial Narrow" w:eastAsiaTheme="minorEastAsia"/>
                <w:szCs w:val="21"/>
              </w:rPr>
            </w:pPr>
          </w:p>
        </w:tc>
        <w:tc>
          <w:tcPr>
            <w:tcW w:w="529" w:type="pct"/>
            <w:shd w:val="clear" w:color="auto" w:fill="auto"/>
            <w:vAlign w:val="center"/>
          </w:tcPr>
          <w:p w14:paraId="2F02F1F2">
            <w:pPr>
              <w:jc w:val="right"/>
              <w:rPr>
                <w:rFonts w:ascii="Arial Narrow" w:hAnsi="Arial Narrow" w:eastAsiaTheme="minorEastAsia"/>
                <w:szCs w:val="21"/>
              </w:rPr>
            </w:pPr>
          </w:p>
        </w:tc>
        <w:tc>
          <w:tcPr>
            <w:tcW w:w="676" w:type="pct"/>
            <w:shd w:val="clear" w:color="auto" w:fill="auto"/>
            <w:vAlign w:val="center"/>
          </w:tcPr>
          <w:p w14:paraId="1F08982C">
            <w:pPr>
              <w:jc w:val="right"/>
              <w:rPr>
                <w:rFonts w:ascii="Arial Narrow" w:hAnsi="Arial Narrow" w:eastAsiaTheme="minorEastAsia"/>
                <w:szCs w:val="21"/>
              </w:rPr>
            </w:pPr>
            <w:r>
              <w:rPr>
                <w:rFonts w:ascii="Arial Narrow" w:hAnsi="Arial Narrow" w:eastAsiaTheme="minorEastAsia"/>
                <w:color w:val="000000"/>
                <w:szCs w:val="21"/>
              </w:rPr>
              <w:t>4,057,730.07</w:t>
            </w:r>
          </w:p>
        </w:tc>
      </w:tr>
      <w:tr w14:paraId="3120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707B8686">
            <w:pPr>
              <w:ind w:firstLine="630" w:firstLineChars="300"/>
              <w:rPr>
                <w:rFonts w:ascii="Arial Narrow" w:hAnsi="Arial Narrow" w:eastAsiaTheme="minorEastAsia"/>
                <w:szCs w:val="21"/>
              </w:rPr>
            </w:pPr>
            <w:r>
              <w:rPr>
                <w:rFonts w:hint="eastAsia" w:ascii="Arial Narrow" w:hAnsi="Arial Narrow" w:eastAsiaTheme="minorEastAsia"/>
                <w:szCs w:val="21"/>
              </w:rPr>
              <w:t>（1）</w:t>
            </w:r>
            <w:r>
              <w:rPr>
                <w:rFonts w:ascii="Arial Narrow" w:hAnsi="Arial Narrow" w:eastAsiaTheme="minorEastAsia"/>
                <w:szCs w:val="21"/>
              </w:rPr>
              <w:t>购置</w:t>
            </w:r>
          </w:p>
        </w:tc>
        <w:tc>
          <w:tcPr>
            <w:tcW w:w="676" w:type="pct"/>
            <w:shd w:val="clear" w:color="auto" w:fill="auto"/>
            <w:vAlign w:val="center"/>
          </w:tcPr>
          <w:p w14:paraId="4DE4A715">
            <w:pPr>
              <w:jc w:val="right"/>
              <w:rPr>
                <w:rFonts w:ascii="Arial Narrow" w:hAnsi="Arial Narrow" w:eastAsiaTheme="minorEastAsia"/>
                <w:szCs w:val="21"/>
              </w:rPr>
            </w:pPr>
            <w:r>
              <w:rPr>
                <w:rFonts w:ascii="Arial Narrow" w:hAnsi="Arial Narrow" w:eastAsiaTheme="minorEastAsia"/>
                <w:color w:val="000000"/>
                <w:szCs w:val="21"/>
              </w:rPr>
              <w:t>19,801.98</w:t>
            </w:r>
          </w:p>
        </w:tc>
        <w:tc>
          <w:tcPr>
            <w:tcW w:w="571" w:type="pct"/>
            <w:shd w:val="clear" w:color="auto" w:fill="auto"/>
            <w:vAlign w:val="center"/>
          </w:tcPr>
          <w:p w14:paraId="57EAB9C1">
            <w:pPr>
              <w:jc w:val="right"/>
              <w:rPr>
                <w:rFonts w:ascii="Arial Narrow" w:hAnsi="Arial Narrow" w:eastAsiaTheme="minorEastAsia"/>
                <w:szCs w:val="21"/>
              </w:rPr>
            </w:pPr>
          </w:p>
        </w:tc>
        <w:tc>
          <w:tcPr>
            <w:tcW w:w="528" w:type="pct"/>
            <w:shd w:val="clear" w:color="auto" w:fill="auto"/>
            <w:vAlign w:val="center"/>
          </w:tcPr>
          <w:p w14:paraId="62E4F4E2">
            <w:pPr>
              <w:jc w:val="right"/>
              <w:rPr>
                <w:rFonts w:ascii="Arial Narrow" w:hAnsi="Arial Narrow" w:eastAsiaTheme="minorEastAsia"/>
                <w:szCs w:val="21"/>
              </w:rPr>
            </w:pPr>
          </w:p>
        </w:tc>
        <w:tc>
          <w:tcPr>
            <w:tcW w:w="571" w:type="pct"/>
            <w:shd w:val="clear" w:color="auto" w:fill="auto"/>
            <w:vAlign w:val="center"/>
          </w:tcPr>
          <w:p w14:paraId="04935ECB">
            <w:pPr>
              <w:jc w:val="right"/>
              <w:rPr>
                <w:rFonts w:ascii="Arial Narrow" w:hAnsi="Arial Narrow" w:eastAsiaTheme="minorEastAsia"/>
                <w:szCs w:val="21"/>
              </w:rPr>
            </w:pPr>
            <w:r>
              <w:rPr>
                <w:rFonts w:ascii="Arial Narrow" w:hAnsi="Arial Narrow" w:eastAsiaTheme="minorEastAsia"/>
                <w:color w:val="000000"/>
                <w:szCs w:val="21"/>
              </w:rPr>
              <w:t>1,440,941.13</w:t>
            </w:r>
          </w:p>
        </w:tc>
        <w:tc>
          <w:tcPr>
            <w:tcW w:w="571" w:type="pct"/>
            <w:shd w:val="clear" w:color="auto" w:fill="auto"/>
            <w:vAlign w:val="center"/>
          </w:tcPr>
          <w:p w14:paraId="24A8394F">
            <w:pPr>
              <w:jc w:val="right"/>
              <w:rPr>
                <w:rFonts w:ascii="Arial Narrow" w:hAnsi="Arial Narrow" w:eastAsiaTheme="minorEastAsia"/>
                <w:szCs w:val="21"/>
              </w:rPr>
            </w:pPr>
          </w:p>
        </w:tc>
        <w:tc>
          <w:tcPr>
            <w:tcW w:w="529" w:type="pct"/>
            <w:shd w:val="clear" w:color="auto" w:fill="auto"/>
            <w:vAlign w:val="center"/>
          </w:tcPr>
          <w:p w14:paraId="64AB61F1">
            <w:pPr>
              <w:jc w:val="right"/>
              <w:rPr>
                <w:rFonts w:ascii="Arial Narrow" w:hAnsi="Arial Narrow" w:eastAsiaTheme="minorEastAsia"/>
                <w:szCs w:val="21"/>
              </w:rPr>
            </w:pPr>
          </w:p>
        </w:tc>
        <w:tc>
          <w:tcPr>
            <w:tcW w:w="676" w:type="pct"/>
            <w:shd w:val="clear" w:color="auto" w:fill="auto"/>
            <w:vAlign w:val="center"/>
          </w:tcPr>
          <w:p w14:paraId="1DD93704">
            <w:pPr>
              <w:jc w:val="right"/>
              <w:rPr>
                <w:rFonts w:ascii="Arial Narrow" w:hAnsi="Arial Narrow" w:eastAsiaTheme="minorEastAsia"/>
                <w:szCs w:val="21"/>
              </w:rPr>
            </w:pPr>
            <w:r>
              <w:rPr>
                <w:rFonts w:ascii="Arial Narrow" w:hAnsi="Arial Narrow" w:eastAsiaTheme="minorEastAsia"/>
                <w:color w:val="000000"/>
                <w:szCs w:val="21"/>
              </w:rPr>
              <w:t>1,460,743.11</w:t>
            </w:r>
          </w:p>
        </w:tc>
      </w:tr>
      <w:tr w14:paraId="4BA6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878" w:type="pct"/>
            <w:shd w:val="clear" w:color="auto" w:fill="auto"/>
          </w:tcPr>
          <w:p w14:paraId="3F48FD90">
            <w:pPr>
              <w:ind w:firstLine="630" w:firstLineChars="300"/>
              <w:rPr>
                <w:rFonts w:ascii="Arial Narrow" w:hAnsi="Arial Narrow" w:eastAsiaTheme="minorEastAsia"/>
                <w:szCs w:val="21"/>
              </w:rPr>
            </w:pPr>
            <w:r>
              <w:rPr>
                <w:rFonts w:hint="eastAsia" w:ascii="Arial Narrow" w:hAnsi="Arial Narrow" w:eastAsiaTheme="minorEastAsia"/>
                <w:szCs w:val="21"/>
              </w:rPr>
              <w:t>（2）</w:t>
            </w:r>
            <w:r>
              <w:rPr>
                <w:rFonts w:ascii="Arial Narrow" w:hAnsi="Arial Narrow" w:eastAsiaTheme="minorEastAsia"/>
                <w:szCs w:val="21"/>
              </w:rPr>
              <w:t>出租收回</w:t>
            </w:r>
          </w:p>
        </w:tc>
        <w:tc>
          <w:tcPr>
            <w:tcW w:w="676" w:type="pct"/>
            <w:shd w:val="clear" w:color="auto" w:fill="auto"/>
            <w:vAlign w:val="center"/>
          </w:tcPr>
          <w:p w14:paraId="6E3458A6">
            <w:pPr>
              <w:jc w:val="right"/>
              <w:rPr>
                <w:rFonts w:ascii="Arial Narrow" w:hAnsi="Arial Narrow" w:eastAsiaTheme="minorEastAsia"/>
                <w:szCs w:val="21"/>
              </w:rPr>
            </w:pPr>
            <w:r>
              <w:rPr>
                <w:rFonts w:ascii="Arial Narrow" w:hAnsi="Arial Narrow" w:eastAsiaTheme="minorEastAsia"/>
                <w:color w:val="000000"/>
                <w:szCs w:val="21"/>
              </w:rPr>
              <w:t>2,596,986.96</w:t>
            </w:r>
          </w:p>
        </w:tc>
        <w:tc>
          <w:tcPr>
            <w:tcW w:w="571" w:type="pct"/>
            <w:shd w:val="clear" w:color="auto" w:fill="auto"/>
            <w:vAlign w:val="center"/>
          </w:tcPr>
          <w:p w14:paraId="6939C240">
            <w:pPr>
              <w:jc w:val="right"/>
              <w:rPr>
                <w:rFonts w:ascii="Arial Narrow" w:hAnsi="Arial Narrow" w:eastAsiaTheme="minorEastAsia"/>
                <w:szCs w:val="21"/>
              </w:rPr>
            </w:pPr>
          </w:p>
        </w:tc>
        <w:tc>
          <w:tcPr>
            <w:tcW w:w="528" w:type="pct"/>
            <w:shd w:val="clear" w:color="auto" w:fill="auto"/>
            <w:vAlign w:val="center"/>
          </w:tcPr>
          <w:p w14:paraId="67DE0B75">
            <w:pPr>
              <w:jc w:val="right"/>
              <w:rPr>
                <w:rFonts w:ascii="Arial Narrow" w:hAnsi="Arial Narrow" w:eastAsiaTheme="minorEastAsia"/>
                <w:szCs w:val="21"/>
              </w:rPr>
            </w:pPr>
          </w:p>
        </w:tc>
        <w:tc>
          <w:tcPr>
            <w:tcW w:w="571" w:type="pct"/>
            <w:shd w:val="clear" w:color="auto" w:fill="auto"/>
            <w:vAlign w:val="center"/>
          </w:tcPr>
          <w:p w14:paraId="4C6A6B28">
            <w:pPr>
              <w:jc w:val="right"/>
              <w:rPr>
                <w:rFonts w:ascii="Arial Narrow" w:hAnsi="Arial Narrow" w:eastAsiaTheme="minorEastAsia"/>
                <w:szCs w:val="21"/>
              </w:rPr>
            </w:pPr>
          </w:p>
        </w:tc>
        <w:tc>
          <w:tcPr>
            <w:tcW w:w="571" w:type="pct"/>
            <w:shd w:val="clear" w:color="auto" w:fill="auto"/>
            <w:vAlign w:val="center"/>
          </w:tcPr>
          <w:p w14:paraId="299DCDB3">
            <w:pPr>
              <w:jc w:val="right"/>
              <w:rPr>
                <w:rFonts w:ascii="Arial Narrow" w:hAnsi="Arial Narrow" w:eastAsiaTheme="minorEastAsia"/>
                <w:szCs w:val="21"/>
              </w:rPr>
            </w:pPr>
          </w:p>
        </w:tc>
        <w:tc>
          <w:tcPr>
            <w:tcW w:w="529" w:type="pct"/>
            <w:shd w:val="clear" w:color="auto" w:fill="auto"/>
            <w:vAlign w:val="center"/>
          </w:tcPr>
          <w:p w14:paraId="25E922A5">
            <w:pPr>
              <w:jc w:val="right"/>
              <w:rPr>
                <w:rFonts w:ascii="Arial Narrow" w:hAnsi="Arial Narrow" w:eastAsiaTheme="minorEastAsia"/>
                <w:szCs w:val="21"/>
              </w:rPr>
            </w:pPr>
          </w:p>
        </w:tc>
        <w:tc>
          <w:tcPr>
            <w:tcW w:w="676" w:type="pct"/>
            <w:shd w:val="clear" w:color="auto" w:fill="auto"/>
            <w:vAlign w:val="center"/>
          </w:tcPr>
          <w:p w14:paraId="7BE2ECE1">
            <w:pPr>
              <w:jc w:val="right"/>
              <w:rPr>
                <w:rFonts w:ascii="Arial Narrow" w:hAnsi="Arial Narrow" w:eastAsiaTheme="minorEastAsia"/>
                <w:szCs w:val="21"/>
              </w:rPr>
            </w:pPr>
            <w:r>
              <w:rPr>
                <w:rFonts w:ascii="Arial Narrow" w:hAnsi="Arial Narrow" w:eastAsiaTheme="minorEastAsia"/>
                <w:color w:val="000000"/>
                <w:szCs w:val="21"/>
              </w:rPr>
              <w:t>2,596,986.96</w:t>
            </w:r>
          </w:p>
        </w:tc>
      </w:tr>
      <w:tr w14:paraId="157D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4978F05E">
            <w:pPr>
              <w:rPr>
                <w:rFonts w:ascii="Arial Narrow" w:hAnsi="Arial Narrow" w:eastAsiaTheme="minorEastAsia"/>
                <w:szCs w:val="21"/>
              </w:rPr>
            </w:pPr>
            <w:r>
              <w:rPr>
                <w:rFonts w:ascii="Arial Narrow" w:hAnsi="Arial Narrow" w:eastAsiaTheme="minorEastAsia"/>
                <w:szCs w:val="21"/>
              </w:rPr>
              <w:t xml:space="preserve">    3.本期减少金额</w:t>
            </w:r>
          </w:p>
        </w:tc>
        <w:tc>
          <w:tcPr>
            <w:tcW w:w="676" w:type="pct"/>
            <w:shd w:val="clear" w:color="auto" w:fill="auto"/>
            <w:vAlign w:val="center"/>
          </w:tcPr>
          <w:p w14:paraId="3FAA1DD1">
            <w:pPr>
              <w:jc w:val="right"/>
              <w:rPr>
                <w:rFonts w:ascii="Arial Narrow" w:hAnsi="Arial Narrow" w:eastAsiaTheme="minorEastAsia"/>
                <w:szCs w:val="21"/>
              </w:rPr>
            </w:pPr>
            <w:r>
              <w:rPr>
                <w:rFonts w:ascii="Arial Narrow" w:hAnsi="Arial Narrow" w:eastAsiaTheme="minorEastAsia"/>
                <w:color w:val="000000"/>
                <w:szCs w:val="21"/>
              </w:rPr>
              <w:t>56,522,884.45</w:t>
            </w:r>
          </w:p>
        </w:tc>
        <w:tc>
          <w:tcPr>
            <w:tcW w:w="571" w:type="pct"/>
            <w:shd w:val="clear" w:color="auto" w:fill="auto"/>
            <w:vAlign w:val="center"/>
          </w:tcPr>
          <w:p w14:paraId="7C46A254">
            <w:pPr>
              <w:jc w:val="right"/>
              <w:rPr>
                <w:rFonts w:ascii="Arial Narrow" w:hAnsi="Arial Narrow" w:eastAsiaTheme="minorEastAsia"/>
                <w:szCs w:val="21"/>
              </w:rPr>
            </w:pPr>
          </w:p>
        </w:tc>
        <w:tc>
          <w:tcPr>
            <w:tcW w:w="528" w:type="pct"/>
            <w:shd w:val="clear" w:color="auto" w:fill="auto"/>
            <w:vAlign w:val="center"/>
          </w:tcPr>
          <w:p w14:paraId="3CCE74B1">
            <w:pPr>
              <w:jc w:val="right"/>
              <w:rPr>
                <w:rFonts w:ascii="Arial Narrow" w:hAnsi="Arial Narrow" w:eastAsiaTheme="minorEastAsia"/>
                <w:szCs w:val="21"/>
              </w:rPr>
            </w:pPr>
          </w:p>
        </w:tc>
        <w:tc>
          <w:tcPr>
            <w:tcW w:w="571" w:type="pct"/>
            <w:shd w:val="clear" w:color="auto" w:fill="auto"/>
            <w:vAlign w:val="center"/>
          </w:tcPr>
          <w:p w14:paraId="575F6DA9">
            <w:pPr>
              <w:jc w:val="right"/>
              <w:rPr>
                <w:rFonts w:ascii="Arial Narrow" w:hAnsi="Arial Narrow" w:eastAsiaTheme="minorEastAsia"/>
                <w:szCs w:val="21"/>
              </w:rPr>
            </w:pPr>
            <w:r>
              <w:rPr>
                <w:rFonts w:ascii="Arial Narrow" w:hAnsi="Arial Narrow" w:eastAsiaTheme="minorEastAsia"/>
                <w:color w:val="000000"/>
                <w:szCs w:val="21"/>
              </w:rPr>
              <w:t>42,349.70</w:t>
            </w:r>
          </w:p>
        </w:tc>
        <w:tc>
          <w:tcPr>
            <w:tcW w:w="571" w:type="pct"/>
            <w:shd w:val="clear" w:color="auto" w:fill="auto"/>
            <w:vAlign w:val="center"/>
          </w:tcPr>
          <w:p w14:paraId="02FED18D">
            <w:pPr>
              <w:jc w:val="right"/>
              <w:rPr>
                <w:rFonts w:ascii="Arial Narrow" w:hAnsi="Arial Narrow" w:eastAsiaTheme="minorEastAsia"/>
                <w:szCs w:val="21"/>
              </w:rPr>
            </w:pPr>
          </w:p>
        </w:tc>
        <w:tc>
          <w:tcPr>
            <w:tcW w:w="529" w:type="pct"/>
            <w:shd w:val="clear" w:color="auto" w:fill="auto"/>
            <w:vAlign w:val="center"/>
          </w:tcPr>
          <w:p w14:paraId="04B9C9F2">
            <w:pPr>
              <w:jc w:val="right"/>
              <w:rPr>
                <w:rFonts w:ascii="Arial Narrow" w:hAnsi="Arial Narrow" w:eastAsiaTheme="minorEastAsia"/>
                <w:szCs w:val="21"/>
              </w:rPr>
            </w:pPr>
          </w:p>
        </w:tc>
        <w:tc>
          <w:tcPr>
            <w:tcW w:w="676" w:type="pct"/>
            <w:shd w:val="clear" w:color="auto" w:fill="auto"/>
            <w:vAlign w:val="center"/>
          </w:tcPr>
          <w:p w14:paraId="6684F379">
            <w:pPr>
              <w:jc w:val="right"/>
              <w:rPr>
                <w:rFonts w:ascii="Arial Narrow" w:hAnsi="Arial Narrow" w:eastAsiaTheme="minorEastAsia"/>
                <w:szCs w:val="21"/>
              </w:rPr>
            </w:pPr>
            <w:r>
              <w:rPr>
                <w:rFonts w:ascii="Arial Narrow" w:hAnsi="Arial Narrow" w:eastAsiaTheme="minorEastAsia"/>
                <w:color w:val="000000"/>
                <w:szCs w:val="21"/>
              </w:rPr>
              <w:t>56,565,234.15</w:t>
            </w:r>
          </w:p>
        </w:tc>
      </w:tr>
      <w:tr w14:paraId="663E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05E76EB0">
            <w:pPr>
              <w:ind w:firstLine="630" w:firstLineChars="300"/>
              <w:rPr>
                <w:rFonts w:ascii="Arial Narrow" w:hAnsi="Arial Narrow" w:eastAsiaTheme="minorEastAsia"/>
                <w:szCs w:val="21"/>
              </w:rPr>
            </w:pPr>
            <w:r>
              <w:rPr>
                <w:rFonts w:hint="eastAsia" w:ascii="Arial Narrow" w:hAnsi="Arial Narrow" w:eastAsiaTheme="minorEastAsia"/>
                <w:szCs w:val="21"/>
              </w:rPr>
              <w:t>（1）</w:t>
            </w:r>
            <w:r>
              <w:rPr>
                <w:rFonts w:ascii="Arial Narrow" w:hAnsi="Arial Narrow" w:eastAsiaTheme="minorEastAsia"/>
                <w:szCs w:val="21"/>
              </w:rPr>
              <w:t>处置</w:t>
            </w:r>
          </w:p>
        </w:tc>
        <w:tc>
          <w:tcPr>
            <w:tcW w:w="676" w:type="pct"/>
            <w:shd w:val="clear" w:color="auto" w:fill="auto"/>
            <w:vAlign w:val="center"/>
          </w:tcPr>
          <w:p w14:paraId="1A8E1CAC">
            <w:pPr>
              <w:jc w:val="right"/>
              <w:rPr>
                <w:rFonts w:ascii="Arial Narrow" w:hAnsi="Arial Narrow" w:eastAsiaTheme="minorEastAsia"/>
                <w:szCs w:val="21"/>
              </w:rPr>
            </w:pPr>
            <w:r>
              <w:rPr>
                <w:rFonts w:ascii="Arial Narrow" w:hAnsi="Arial Narrow" w:eastAsiaTheme="minorEastAsia"/>
                <w:color w:val="000000"/>
                <w:szCs w:val="21"/>
              </w:rPr>
              <w:t>204,700.00</w:t>
            </w:r>
          </w:p>
        </w:tc>
        <w:tc>
          <w:tcPr>
            <w:tcW w:w="571" w:type="pct"/>
            <w:shd w:val="clear" w:color="auto" w:fill="auto"/>
            <w:vAlign w:val="center"/>
          </w:tcPr>
          <w:p w14:paraId="58EEB7F1">
            <w:pPr>
              <w:jc w:val="right"/>
              <w:rPr>
                <w:rFonts w:ascii="Arial Narrow" w:hAnsi="Arial Narrow" w:eastAsiaTheme="minorEastAsia"/>
                <w:szCs w:val="21"/>
              </w:rPr>
            </w:pPr>
          </w:p>
        </w:tc>
        <w:tc>
          <w:tcPr>
            <w:tcW w:w="528" w:type="pct"/>
            <w:shd w:val="clear" w:color="auto" w:fill="auto"/>
            <w:vAlign w:val="center"/>
          </w:tcPr>
          <w:p w14:paraId="59138100">
            <w:pPr>
              <w:jc w:val="right"/>
              <w:rPr>
                <w:rFonts w:ascii="Arial Narrow" w:hAnsi="Arial Narrow" w:eastAsiaTheme="minorEastAsia"/>
                <w:szCs w:val="21"/>
              </w:rPr>
            </w:pPr>
          </w:p>
        </w:tc>
        <w:tc>
          <w:tcPr>
            <w:tcW w:w="571" w:type="pct"/>
            <w:shd w:val="clear" w:color="auto" w:fill="auto"/>
            <w:vAlign w:val="center"/>
          </w:tcPr>
          <w:p w14:paraId="5C48BEC8">
            <w:pPr>
              <w:jc w:val="right"/>
              <w:rPr>
                <w:rFonts w:ascii="Arial Narrow" w:hAnsi="Arial Narrow" w:eastAsiaTheme="minorEastAsia"/>
                <w:szCs w:val="21"/>
              </w:rPr>
            </w:pPr>
            <w:r>
              <w:rPr>
                <w:rFonts w:ascii="Arial Narrow" w:hAnsi="Arial Narrow" w:eastAsiaTheme="minorEastAsia"/>
                <w:color w:val="000000"/>
                <w:szCs w:val="21"/>
              </w:rPr>
              <w:t>42,349.70</w:t>
            </w:r>
          </w:p>
        </w:tc>
        <w:tc>
          <w:tcPr>
            <w:tcW w:w="571" w:type="pct"/>
            <w:shd w:val="clear" w:color="auto" w:fill="auto"/>
            <w:vAlign w:val="center"/>
          </w:tcPr>
          <w:p w14:paraId="6DCBDA11">
            <w:pPr>
              <w:jc w:val="right"/>
              <w:rPr>
                <w:rFonts w:ascii="Arial Narrow" w:hAnsi="Arial Narrow" w:eastAsiaTheme="minorEastAsia"/>
                <w:szCs w:val="21"/>
              </w:rPr>
            </w:pPr>
          </w:p>
        </w:tc>
        <w:tc>
          <w:tcPr>
            <w:tcW w:w="529" w:type="pct"/>
            <w:shd w:val="clear" w:color="auto" w:fill="auto"/>
            <w:vAlign w:val="center"/>
          </w:tcPr>
          <w:p w14:paraId="4079AF18">
            <w:pPr>
              <w:jc w:val="right"/>
              <w:rPr>
                <w:rFonts w:ascii="Arial Narrow" w:hAnsi="Arial Narrow" w:eastAsiaTheme="minorEastAsia"/>
                <w:szCs w:val="21"/>
              </w:rPr>
            </w:pPr>
          </w:p>
        </w:tc>
        <w:tc>
          <w:tcPr>
            <w:tcW w:w="676" w:type="pct"/>
            <w:shd w:val="clear" w:color="auto" w:fill="auto"/>
            <w:vAlign w:val="center"/>
          </w:tcPr>
          <w:p w14:paraId="173EFB5F">
            <w:pPr>
              <w:jc w:val="right"/>
              <w:rPr>
                <w:rFonts w:ascii="Arial Narrow" w:hAnsi="Arial Narrow" w:eastAsiaTheme="minorEastAsia"/>
                <w:szCs w:val="21"/>
              </w:rPr>
            </w:pPr>
            <w:r>
              <w:rPr>
                <w:rFonts w:ascii="Arial Narrow" w:hAnsi="Arial Narrow" w:eastAsiaTheme="minorEastAsia"/>
                <w:color w:val="000000"/>
                <w:szCs w:val="21"/>
              </w:rPr>
              <w:t>247,049.70</w:t>
            </w:r>
          </w:p>
        </w:tc>
      </w:tr>
      <w:tr w14:paraId="6A64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78" w:type="pct"/>
            <w:shd w:val="clear" w:color="auto" w:fill="auto"/>
          </w:tcPr>
          <w:p w14:paraId="78B33C05">
            <w:pPr>
              <w:ind w:firstLine="630" w:firstLineChars="300"/>
              <w:rPr>
                <w:rFonts w:ascii="Arial Narrow" w:hAnsi="Arial Narrow" w:eastAsiaTheme="minorEastAsia"/>
                <w:szCs w:val="21"/>
              </w:rPr>
            </w:pPr>
            <w:r>
              <w:rPr>
                <w:rFonts w:hint="eastAsia" w:ascii="Arial Narrow" w:hAnsi="Arial Narrow" w:eastAsiaTheme="minorEastAsia"/>
                <w:szCs w:val="21"/>
              </w:rPr>
              <w:t>（2）</w:t>
            </w:r>
            <w:r>
              <w:rPr>
                <w:rFonts w:ascii="Arial Narrow" w:hAnsi="Arial Narrow" w:eastAsiaTheme="minorEastAsia"/>
                <w:szCs w:val="21"/>
              </w:rPr>
              <w:t>出租</w:t>
            </w:r>
          </w:p>
        </w:tc>
        <w:tc>
          <w:tcPr>
            <w:tcW w:w="676" w:type="pct"/>
            <w:shd w:val="clear" w:color="auto" w:fill="auto"/>
            <w:vAlign w:val="center"/>
          </w:tcPr>
          <w:p w14:paraId="0F1273D2">
            <w:pPr>
              <w:jc w:val="right"/>
              <w:rPr>
                <w:rFonts w:ascii="Arial Narrow" w:hAnsi="Arial Narrow" w:eastAsiaTheme="minorEastAsia"/>
                <w:szCs w:val="21"/>
              </w:rPr>
            </w:pPr>
            <w:r>
              <w:rPr>
                <w:rFonts w:ascii="Arial Narrow" w:hAnsi="Arial Narrow" w:eastAsiaTheme="minorEastAsia"/>
                <w:color w:val="000000"/>
                <w:szCs w:val="21"/>
              </w:rPr>
              <w:t>3,957,201.86</w:t>
            </w:r>
          </w:p>
        </w:tc>
        <w:tc>
          <w:tcPr>
            <w:tcW w:w="571" w:type="pct"/>
            <w:shd w:val="clear" w:color="auto" w:fill="auto"/>
            <w:vAlign w:val="center"/>
          </w:tcPr>
          <w:p w14:paraId="51F1F742">
            <w:pPr>
              <w:jc w:val="right"/>
              <w:rPr>
                <w:rFonts w:ascii="Arial Narrow" w:hAnsi="Arial Narrow" w:eastAsiaTheme="minorEastAsia"/>
                <w:szCs w:val="21"/>
              </w:rPr>
            </w:pPr>
          </w:p>
        </w:tc>
        <w:tc>
          <w:tcPr>
            <w:tcW w:w="528" w:type="pct"/>
            <w:shd w:val="clear" w:color="auto" w:fill="auto"/>
            <w:vAlign w:val="center"/>
          </w:tcPr>
          <w:p w14:paraId="4AA7931D">
            <w:pPr>
              <w:jc w:val="right"/>
              <w:rPr>
                <w:rFonts w:ascii="Arial Narrow" w:hAnsi="Arial Narrow" w:eastAsiaTheme="minorEastAsia"/>
                <w:szCs w:val="21"/>
              </w:rPr>
            </w:pPr>
          </w:p>
        </w:tc>
        <w:tc>
          <w:tcPr>
            <w:tcW w:w="571" w:type="pct"/>
            <w:shd w:val="clear" w:color="auto" w:fill="auto"/>
            <w:vAlign w:val="center"/>
          </w:tcPr>
          <w:p w14:paraId="19C3AE35">
            <w:pPr>
              <w:jc w:val="right"/>
              <w:rPr>
                <w:rFonts w:ascii="Arial Narrow" w:hAnsi="Arial Narrow" w:eastAsiaTheme="minorEastAsia"/>
                <w:szCs w:val="21"/>
              </w:rPr>
            </w:pPr>
          </w:p>
        </w:tc>
        <w:tc>
          <w:tcPr>
            <w:tcW w:w="571" w:type="pct"/>
            <w:shd w:val="clear" w:color="auto" w:fill="auto"/>
            <w:vAlign w:val="center"/>
          </w:tcPr>
          <w:p w14:paraId="02FEE599">
            <w:pPr>
              <w:jc w:val="right"/>
              <w:rPr>
                <w:rFonts w:ascii="Arial Narrow" w:hAnsi="Arial Narrow" w:eastAsiaTheme="minorEastAsia"/>
                <w:szCs w:val="21"/>
              </w:rPr>
            </w:pPr>
          </w:p>
        </w:tc>
        <w:tc>
          <w:tcPr>
            <w:tcW w:w="529" w:type="pct"/>
            <w:shd w:val="clear" w:color="auto" w:fill="auto"/>
            <w:vAlign w:val="center"/>
          </w:tcPr>
          <w:p w14:paraId="07BAD6DB">
            <w:pPr>
              <w:jc w:val="right"/>
              <w:rPr>
                <w:rFonts w:ascii="Arial Narrow" w:hAnsi="Arial Narrow" w:eastAsiaTheme="minorEastAsia"/>
                <w:szCs w:val="21"/>
              </w:rPr>
            </w:pPr>
          </w:p>
        </w:tc>
        <w:tc>
          <w:tcPr>
            <w:tcW w:w="676" w:type="pct"/>
            <w:shd w:val="clear" w:color="auto" w:fill="auto"/>
            <w:vAlign w:val="center"/>
          </w:tcPr>
          <w:p w14:paraId="25D152D9">
            <w:pPr>
              <w:jc w:val="right"/>
              <w:rPr>
                <w:rFonts w:ascii="Arial Narrow" w:hAnsi="Arial Narrow" w:eastAsiaTheme="minorEastAsia"/>
                <w:szCs w:val="21"/>
              </w:rPr>
            </w:pPr>
            <w:r>
              <w:rPr>
                <w:rFonts w:ascii="Arial Narrow" w:hAnsi="Arial Narrow" w:eastAsiaTheme="minorEastAsia"/>
                <w:color w:val="000000"/>
                <w:szCs w:val="21"/>
              </w:rPr>
              <w:t>3,957,201.86</w:t>
            </w:r>
          </w:p>
        </w:tc>
      </w:tr>
      <w:tr w14:paraId="5762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78" w:type="pct"/>
            <w:shd w:val="clear" w:color="auto" w:fill="auto"/>
          </w:tcPr>
          <w:p w14:paraId="1DD23732">
            <w:pPr>
              <w:ind w:firstLine="630" w:firstLineChars="300"/>
              <w:rPr>
                <w:rFonts w:ascii="Arial Narrow" w:hAnsi="Arial Narrow" w:eastAsiaTheme="minorEastAsia"/>
                <w:szCs w:val="21"/>
              </w:rPr>
            </w:pPr>
            <w:r>
              <w:rPr>
                <w:rFonts w:hint="eastAsia" w:ascii="Arial Narrow" w:hAnsi="Arial Narrow" w:eastAsiaTheme="minorEastAsia"/>
                <w:szCs w:val="21"/>
              </w:rPr>
              <w:t>（3）</w:t>
            </w:r>
            <w:r>
              <w:rPr>
                <w:rFonts w:ascii="Arial Narrow" w:hAnsi="Arial Narrow" w:eastAsiaTheme="minorEastAsia"/>
                <w:szCs w:val="21"/>
              </w:rPr>
              <w:t>其他</w:t>
            </w:r>
          </w:p>
        </w:tc>
        <w:tc>
          <w:tcPr>
            <w:tcW w:w="676" w:type="pct"/>
            <w:shd w:val="clear" w:color="auto" w:fill="auto"/>
            <w:vAlign w:val="center"/>
          </w:tcPr>
          <w:p w14:paraId="249C38B5">
            <w:pPr>
              <w:jc w:val="right"/>
              <w:rPr>
                <w:rFonts w:ascii="Arial Narrow" w:hAnsi="Arial Narrow" w:eastAsiaTheme="minorEastAsia"/>
                <w:szCs w:val="21"/>
              </w:rPr>
            </w:pPr>
            <w:r>
              <w:rPr>
                <w:rFonts w:ascii="Arial Narrow" w:hAnsi="Arial Narrow" w:eastAsiaTheme="minorEastAsia"/>
                <w:color w:val="000000"/>
                <w:szCs w:val="21"/>
              </w:rPr>
              <w:t>52,360,982.59</w:t>
            </w:r>
          </w:p>
        </w:tc>
        <w:tc>
          <w:tcPr>
            <w:tcW w:w="571" w:type="pct"/>
            <w:shd w:val="clear" w:color="auto" w:fill="auto"/>
            <w:vAlign w:val="center"/>
          </w:tcPr>
          <w:p w14:paraId="18382C6E">
            <w:pPr>
              <w:jc w:val="right"/>
              <w:rPr>
                <w:rFonts w:ascii="Arial Narrow" w:hAnsi="Arial Narrow" w:eastAsiaTheme="minorEastAsia"/>
                <w:szCs w:val="21"/>
              </w:rPr>
            </w:pPr>
          </w:p>
        </w:tc>
        <w:tc>
          <w:tcPr>
            <w:tcW w:w="528" w:type="pct"/>
            <w:shd w:val="clear" w:color="auto" w:fill="auto"/>
            <w:vAlign w:val="center"/>
          </w:tcPr>
          <w:p w14:paraId="3E0D4609">
            <w:pPr>
              <w:jc w:val="right"/>
              <w:rPr>
                <w:rFonts w:ascii="Arial Narrow" w:hAnsi="Arial Narrow" w:eastAsiaTheme="minorEastAsia"/>
                <w:szCs w:val="21"/>
              </w:rPr>
            </w:pPr>
          </w:p>
        </w:tc>
        <w:tc>
          <w:tcPr>
            <w:tcW w:w="571" w:type="pct"/>
            <w:shd w:val="clear" w:color="auto" w:fill="auto"/>
            <w:vAlign w:val="center"/>
          </w:tcPr>
          <w:p w14:paraId="1E44AB73">
            <w:pPr>
              <w:jc w:val="right"/>
              <w:rPr>
                <w:rFonts w:ascii="Arial Narrow" w:hAnsi="Arial Narrow" w:eastAsiaTheme="minorEastAsia"/>
                <w:szCs w:val="21"/>
              </w:rPr>
            </w:pPr>
          </w:p>
        </w:tc>
        <w:tc>
          <w:tcPr>
            <w:tcW w:w="571" w:type="pct"/>
            <w:shd w:val="clear" w:color="auto" w:fill="auto"/>
            <w:vAlign w:val="center"/>
          </w:tcPr>
          <w:p w14:paraId="4B722EFF">
            <w:pPr>
              <w:jc w:val="right"/>
              <w:rPr>
                <w:rFonts w:ascii="Arial Narrow" w:hAnsi="Arial Narrow" w:eastAsiaTheme="minorEastAsia"/>
                <w:szCs w:val="21"/>
              </w:rPr>
            </w:pPr>
          </w:p>
        </w:tc>
        <w:tc>
          <w:tcPr>
            <w:tcW w:w="529" w:type="pct"/>
            <w:shd w:val="clear" w:color="auto" w:fill="auto"/>
            <w:vAlign w:val="center"/>
          </w:tcPr>
          <w:p w14:paraId="7681CCC4">
            <w:pPr>
              <w:jc w:val="right"/>
              <w:rPr>
                <w:rFonts w:ascii="Arial Narrow" w:hAnsi="Arial Narrow" w:eastAsiaTheme="minorEastAsia"/>
                <w:szCs w:val="21"/>
              </w:rPr>
            </w:pPr>
          </w:p>
        </w:tc>
        <w:tc>
          <w:tcPr>
            <w:tcW w:w="676" w:type="pct"/>
            <w:shd w:val="clear" w:color="auto" w:fill="auto"/>
            <w:vAlign w:val="center"/>
          </w:tcPr>
          <w:p w14:paraId="6C997D20">
            <w:pPr>
              <w:jc w:val="right"/>
              <w:rPr>
                <w:rFonts w:ascii="Arial Narrow" w:hAnsi="Arial Narrow" w:eastAsiaTheme="minorEastAsia"/>
                <w:szCs w:val="21"/>
              </w:rPr>
            </w:pPr>
            <w:r>
              <w:rPr>
                <w:rFonts w:ascii="Arial Narrow" w:hAnsi="Arial Narrow" w:eastAsiaTheme="minorEastAsia"/>
                <w:color w:val="000000"/>
                <w:szCs w:val="21"/>
              </w:rPr>
              <w:t>52,360,982.59</w:t>
            </w:r>
          </w:p>
        </w:tc>
      </w:tr>
      <w:tr w14:paraId="102C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6D637CD4">
            <w:pPr>
              <w:rPr>
                <w:rFonts w:ascii="Arial Narrow" w:hAnsi="Arial Narrow" w:eastAsiaTheme="minorEastAsia"/>
                <w:szCs w:val="21"/>
              </w:rPr>
            </w:pPr>
            <w:r>
              <w:rPr>
                <w:rFonts w:ascii="Arial Narrow" w:hAnsi="Arial Narrow" w:eastAsiaTheme="minorEastAsia"/>
                <w:szCs w:val="21"/>
              </w:rPr>
              <w:t xml:space="preserve">   4.期末余额</w:t>
            </w:r>
          </w:p>
        </w:tc>
        <w:tc>
          <w:tcPr>
            <w:tcW w:w="676" w:type="pct"/>
            <w:shd w:val="clear" w:color="auto" w:fill="auto"/>
            <w:vAlign w:val="center"/>
          </w:tcPr>
          <w:p w14:paraId="1CB8CCF3">
            <w:pPr>
              <w:jc w:val="right"/>
              <w:rPr>
                <w:rFonts w:ascii="Arial Narrow" w:hAnsi="Arial Narrow" w:eastAsiaTheme="minorEastAsia"/>
                <w:szCs w:val="21"/>
              </w:rPr>
            </w:pPr>
            <w:r>
              <w:rPr>
                <w:rFonts w:ascii="Arial Narrow" w:hAnsi="Arial Narrow" w:eastAsiaTheme="minorEastAsia"/>
                <w:color w:val="000000"/>
                <w:szCs w:val="21"/>
              </w:rPr>
              <w:t>2,465,583,327.52</w:t>
            </w:r>
          </w:p>
        </w:tc>
        <w:tc>
          <w:tcPr>
            <w:tcW w:w="571" w:type="pct"/>
            <w:shd w:val="clear" w:color="auto" w:fill="auto"/>
            <w:vAlign w:val="center"/>
          </w:tcPr>
          <w:p w14:paraId="789B4A89">
            <w:pPr>
              <w:jc w:val="right"/>
              <w:rPr>
                <w:rFonts w:ascii="Arial Narrow" w:hAnsi="Arial Narrow" w:eastAsiaTheme="minorEastAsia"/>
                <w:szCs w:val="21"/>
              </w:rPr>
            </w:pPr>
            <w:r>
              <w:rPr>
                <w:rFonts w:ascii="Arial Narrow" w:hAnsi="Arial Narrow" w:eastAsiaTheme="minorEastAsia"/>
                <w:color w:val="000000"/>
                <w:szCs w:val="21"/>
              </w:rPr>
              <w:t>17,529,493.58</w:t>
            </w:r>
          </w:p>
        </w:tc>
        <w:tc>
          <w:tcPr>
            <w:tcW w:w="528" w:type="pct"/>
            <w:shd w:val="clear" w:color="auto" w:fill="auto"/>
            <w:vAlign w:val="center"/>
          </w:tcPr>
          <w:p w14:paraId="788755D0">
            <w:pPr>
              <w:jc w:val="right"/>
              <w:rPr>
                <w:rFonts w:ascii="Arial Narrow" w:hAnsi="Arial Narrow" w:eastAsiaTheme="minorEastAsia"/>
                <w:szCs w:val="21"/>
              </w:rPr>
            </w:pPr>
            <w:r>
              <w:rPr>
                <w:rFonts w:ascii="Arial Narrow" w:hAnsi="Arial Narrow" w:eastAsiaTheme="minorEastAsia"/>
                <w:color w:val="000000"/>
                <w:szCs w:val="21"/>
              </w:rPr>
              <w:t>998,201.15</w:t>
            </w:r>
          </w:p>
        </w:tc>
        <w:tc>
          <w:tcPr>
            <w:tcW w:w="571" w:type="pct"/>
            <w:shd w:val="clear" w:color="auto" w:fill="auto"/>
            <w:vAlign w:val="center"/>
          </w:tcPr>
          <w:p w14:paraId="7AF40A10">
            <w:pPr>
              <w:jc w:val="right"/>
              <w:rPr>
                <w:rFonts w:ascii="Arial Narrow" w:hAnsi="Arial Narrow" w:eastAsiaTheme="minorEastAsia"/>
                <w:szCs w:val="21"/>
              </w:rPr>
            </w:pPr>
            <w:r>
              <w:rPr>
                <w:rFonts w:ascii="Arial Narrow" w:hAnsi="Arial Narrow" w:eastAsiaTheme="minorEastAsia"/>
                <w:color w:val="000000"/>
                <w:szCs w:val="21"/>
              </w:rPr>
              <w:t>26,099,719.52</w:t>
            </w:r>
          </w:p>
        </w:tc>
        <w:tc>
          <w:tcPr>
            <w:tcW w:w="571" w:type="pct"/>
            <w:shd w:val="clear" w:color="auto" w:fill="auto"/>
            <w:vAlign w:val="center"/>
          </w:tcPr>
          <w:p w14:paraId="7F33119A">
            <w:pPr>
              <w:jc w:val="right"/>
              <w:rPr>
                <w:rFonts w:ascii="Arial Narrow" w:hAnsi="Arial Narrow" w:eastAsiaTheme="minorEastAsia"/>
                <w:szCs w:val="21"/>
              </w:rPr>
            </w:pPr>
            <w:r>
              <w:rPr>
                <w:rFonts w:ascii="Arial Narrow" w:hAnsi="Arial Narrow" w:eastAsiaTheme="minorEastAsia"/>
                <w:color w:val="000000"/>
                <w:szCs w:val="21"/>
              </w:rPr>
              <w:t>15,239,537.05</w:t>
            </w:r>
          </w:p>
        </w:tc>
        <w:tc>
          <w:tcPr>
            <w:tcW w:w="529" w:type="pct"/>
            <w:shd w:val="clear" w:color="auto" w:fill="auto"/>
            <w:vAlign w:val="center"/>
          </w:tcPr>
          <w:p w14:paraId="653742A5">
            <w:pPr>
              <w:jc w:val="right"/>
              <w:rPr>
                <w:rFonts w:ascii="Arial Narrow" w:hAnsi="Arial Narrow" w:eastAsiaTheme="minorEastAsia"/>
                <w:szCs w:val="21"/>
              </w:rPr>
            </w:pPr>
            <w:r>
              <w:rPr>
                <w:rFonts w:ascii="Arial Narrow" w:hAnsi="Arial Narrow" w:eastAsiaTheme="minorEastAsia"/>
                <w:color w:val="000000"/>
                <w:szCs w:val="21"/>
              </w:rPr>
              <w:t>1,060,377.33</w:t>
            </w:r>
          </w:p>
        </w:tc>
        <w:tc>
          <w:tcPr>
            <w:tcW w:w="676" w:type="pct"/>
            <w:shd w:val="clear" w:color="auto" w:fill="auto"/>
            <w:vAlign w:val="center"/>
          </w:tcPr>
          <w:p w14:paraId="14049DF8">
            <w:pPr>
              <w:jc w:val="right"/>
              <w:rPr>
                <w:rFonts w:ascii="Arial Narrow" w:hAnsi="Arial Narrow" w:eastAsiaTheme="minorEastAsia"/>
                <w:szCs w:val="21"/>
              </w:rPr>
            </w:pPr>
            <w:r>
              <w:rPr>
                <w:rFonts w:ascii="Arial Narrow" w:hAnsi="Arial Narrow" w:eastAsiaTheme="minorEastAsia"/>
                <w:color w:val="000000"/>
                <w:szCs w:val="21"/>
              </w:rPr>
              <w:t>2,526,510,656.15</w:t>
            </w:r>
          </w:p>
        </w:tc>
      </w:tr>
      <w:tr w14:paraId="4D43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sdt>
          <w:sdtPr>
            <w:rPr>
              <w:rFonts w:ascii="Arial Narrow" w:hAnsi="Arial Narrow" w:eastAsiaTheme="minorEastAsia"/>
              <w:szCs w:val="21"/>
            </w:rPr>
            <w:tag w:val="_PLD_31b6b6971eff48bf893163f2b1779469"/>
            <w:id w:val="-804699848"/>
          </w:sdtPr>
          <w:sdtEndPr>
            <w:rPr>
              <w:rFonts w:ascii="Arial Narrow" w:hAnsi="Arial Narrow" w:eastAsiaTheme="minorEastAsia"/>
              <w:szCs w:val="21"/>
            </w:rPr>
          </w:sdtEndPr>
          <w:sdtContent>
            <w:tc>
              <w:tcPr>
                <w:tcW w:w="5000" w:type="pct"/>
                <w:gridSpan w:val="8"/>
                <w:shd w:val="clear" w:color="auto" w:fill="auto"/>
                <w:vAlign w:val="center"/>
              </w:tcPr>
              <w:p w14:paraId="25B5DF4A">
                <w:pPr>
                  <w:rPr>
                    <w:rFonts w:ascii="Arial Narrow" w:hAnsi="Arial Narrow" w:eastAsiaTheme="minorEastAsia"/>
                    <w:szCs w:val="21"/>
                  </w:rPr>
                </w:pPr>
                <w:r>
                  <w:rPr>
                    <w:rFonts w:ascii="Arial Narrow" w:hAnsi="Arial Narrow" w:eastAsiaTheme="minorEastAsia"/>
                    <w:szCs w:val="21"/>
                  </w:rPr>
                  <w:t>二、累计摊销</w:t>
                </w:r>
              </w:p>
            </w:tc>
          </w:sdtContent>
        </w:sdt>
      </w:tr>
      <w:tr w14:paraId="0E61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41CD3EAF">
            <w:pPr>
              <w:ind w:firstLine="420" w:firstLineChars="200"/>
              <w:rPr>
                <w:rFonts w:ascii="Arial Narrow" w:hAnsi="Arial Narrow" w:eastAsiaTheme="minorEastAsia"/>
                <w:szCs w:val="21"/>
              </w:rPr>
            </w:pPr>
            <w:r>
              <w:rPr>
                <w:rFonts w:ascii="Arial Narrow" w:hAnsi="Arial Narrow" w:eastAsiaTheme="minorEastAsia"/>
                <w:szCs w:val="21"/>
              </w:rPr>
              <w:t>1.期初余额</w:t>
            </w:r>
          </w:p>
        </w:tc>
        <w:tc>
          <w:tcPr>
            <w:tcW w:w="676" w:type="pct"/>
            <w:shd w:val="clear" w:color="auto" w:fill="auto"/>
            <w:vAlign w:val="center"/>
          </w:tcPr>
          <w:p w14:paraId="79EA8AF3">
            <w:pPr>
              <w:jc w:val="right"/>
              <w:rPr>
                <w:rFonts w:ascii="Arial Narrow" w:hAnsi="Arial Narrow" w:eastAsiaTheme="minorEastAsia"/>
                <w:szCs w:val="21"/>
              </w:rPr>
            </w:pPr>
            <w:r>
              <w:rPr>
                <w:rFonts w:ascii="Arial Narrow" w:hAnsi="Arial Narrow" w:eastAsiaTheme="minorEastAsia"/>
                <w:color w:val="000000"/>
                <w:szCs w:val="21"/>
              </w:rPr>
              <w:t>574,303,315.26</w:t>
            </w:r>
          </w:p>
        </w:tc>
        <w:tc>
          <w:tcPr>
            <w:tcW w:w="571" w:type="pct"/>
            <w:shd w:val="clear" w:color="auto" w:fill="auto"/>
            <w:vAlign w:val="center"/>
          </w:tcPr>
          <w:p w14:paraId="35E18224">
            <w:pPr>
              <w:jc w:val="right"/>
              <w:rPr>
                <w:rFonts w:ascii="Arial Narrow" w:hAnsi="Arial Narrow" w:eastAsiaTheme="minorEastAsia"/>
                <w:szCs w:val="21"/>
              </w:rPr>
            </w:pPr>
            <w:r>
              <w:rPr>
                <w:rFonts w:ascii="Arial Narrow" w:hAnsi="Arial Narrow" w:eastAsiaTheme="minorEastAsia"/>
                <w:color w:val="000000"/>
                <w:szCs w:val="21"/>
              </w:rPr>
              <w:t>9,670,510.91</w:t>
            </w:r>
          </w:p>
        </w:tc>
        <w:tc>
          <w:tcPr>
            <w:tcW w:w="528" w:type="pct"/>
            <w:shd w:val="clear" w:color="auto" w:fill="auto"/>
            <w:vAlign w:val="center"/>
          </w:tcPr>
          <w:p w14:paraId="274A6E47">
            <w:pPr>
              <w:jc w:val="right"/>
              <w:rPr>
                <w:rFonts w:ascii="Arial Narrow" w:hAnsi="Arial Narrow" w:eastAsiaTheme="minorEastAsia"/>
                <w:szCs w:val="21"/>
              </w:rPr>
            </w:pPr>
            <w:r>
              <w:rPr>
                <w:rFonts w:ascii="Arial Narrow" w:hAnsi="Arial Narrow" w:eastAsiaTheme="minorEastAsia"/>
                <w:color w:val="000000"/>
                <w:szCs w:val="21"/>
              </w:rPr>
              <w:t>994,207.10</w:t>
            </w:r>
          </w:p>
        </w:tc>
        <w:tc>
          <w:tcPr>
            <w:tcW w:w="571" w:type="pct"/>
            <w:shd w:val="clear" w:color="auto" w:fill="auto"/>
            <w:vAlign w:val="center"/>
          </w:tcPr>
          <w:p w14:paraId="6D757368">
            <w:pPr>
              <w:jc w:val="right"/>
              <w:rPr>
                <w:rFonts w:ascii="Arial Narrow" w:hAnsi="Arial Narrow" w:eastAsiaTheme="minorEastAsia"/>
                <w:szCs w:val="21"/>
              </w:rPr>
            </w:pPr>
            <w:r>
              <w:rPr>
                <w:rFonts w:ascii="Arial Narrow" w:hAnsi="Arial Narrow" w:eastAsiaTheme="minorEastAsia"/>
                <w:color w:val="000000"/>
                <w:szCs w:val="21"/>
              </w:rPr>
              <w:t>14,484,009.21</w:t>
            </w:r>
          </w:p>
        </w:tc>
        <w:tc>
          <w:tcPr>
            <w:tcW w:w="571" w:type="pct"/>
            <w:shd w:val="clear" w:color="auto" w:fill="auto"/>
            <w:vAlign w:val="center"/>
          </w:tcPr>
          <w:p w14:paraId="4DD93FE9">
            <w:pPr>
              <w:jc w:val="right"/>
              <w:rPr>
                <w:rFonts w:ascii="Arial Narrow" w:hAnsi="Arial Narrow" w:eastAsiaTheme="minorEastAsia"/>
                <w:szCs w:val="21"/>
              </w:rPr>
            </w:pPr>
            <w:r>
              <w:rPr>
                <w:rFonts w:ascii="Arial Narrow" w:hAnsi="Arial Narrow" w:eastAsiaTheme="minorEastAsia"/>
                <w:color w:val="000000"/>
                <w:szCs w:val="21"/>
              </w:rPr>
              <w:t>209,066.49</w:t>
            </w:r>
          </w:p>
        </w:tc>
        <w:tc>
          <w:tcPr>
            <w:tcW w:w="529" w:type="pct"/>
            <w:shd w:val="clear" w:color="auto" w:fill="auto"/>
            <w:vAlign w:val="center"/>
          </w:tcPr>
          <w:p w14:paraId="2275B379">
            <w:pPr>
              <w:jc w:val="right"/>
              <w:rPr>
                <w:rFonts w:ascii="Arial Narrow" w:hAnsi="Arial Narrow" w:eastAsiaTheme="minorEastAsia"/>
                <w:szCs w:val="21"/>
              </w:rPr>
            </w:pPr>
            <w:r>
              <w:rPr>
                <w:rFonts w:ascii="Arial Narrow" w:hAnsi="Arial Narrow" w:eastAsiaTheme="minorEastAsia"/>
                <w:color w:val="000000"/>
                <w:szCs w:val="21"/>
              </w:rPr>
              <w:t>424,151.00</w:t>
            </w:r>
          </w:p>
        </w:tc>
        <w:tc>
          <w:tcPr>
            <w:tcW w:w="676" w:type="pct"/>
            <w:shd w:val="clear" w:color="auto" w:fill="auto"/>
            <w:vAlign w:val="center"/>
          </w:tcPr>
          <w:p w14:paraId="1872FD08">
            <w:pPr>
              <w:jc w:val="right"/>
              <w:rPr>
                <w:rFonts w:ascii="Arial Narrow" w:hAnsi="Arial Narrow" w:eastAsiaTheme="minorEastAsia"/>
                <w:szCs w:val="21"/>
              </w:rPr>
            </w:pPr>
            <w:r>
              <w:rPr>
                <w:rFonts w:ascii="Arial Narrow" w:hAnsi="Arial Narrow" w:eastAsiaTheme="minorEastAsia"/>
                <w:color w:val="000000"/>
                <w:szCs w:val="21"/>
              </w:rPr>
              <w:t>600,085,259.97</w:t>
            </w:r>
          </w:p>
        </w:tc>
      </w:tr>
      <w:tr w14:paraId="443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58388177">
            <w:pPr>
              <w:ind w:firstLine="420" w:firstLineChars="200"/>
              <w:rPr>
                <w:rFonts w:ascii="Arial Narrow" w:hAnsi="Arial Narrow" w:eastAsiaTheme="minorEastAsia"/>
                <w:szCs w:val="21"/>
              </w:rPr>
            </w:pPr>
            <w:r>
              <w:rPr>
                <w:rFonts w:ascii="Arial Narrow" w:hAnsi="Arial Narrow" w:eastAsiaTheme="minorEastAsia"/>
                <w:szCs w:val="21"/>
              </w:rPr>
              <w:t>2.本期增加金额</w:t>
            </w:r>
          </w:p>
        </w:tc>
        <w:tc>
          <w:tcPr>
            <w:tcW w:w="676" w:type="pct"/>
            <w:shd w:val="clear" w:color="auto" w:fill="auto"/>
            <w:vAlign w:val="center"/>
          </w:tcPr>
          <w:p w14:paraId="0ACB89FA">
            <w:pPr>
              <w:jc w:val="right"/>
              <w:rPr>
                <w:rFonts w:ascii="Arial Narrow" w:hAnsi="Arial Narrow" w:eastAsiaTheme="minorEastAsia"/>
                <w:szCs w:val="21"/>
              </w:rPr>
            </w:pPr>
            <w:r>
              <w:rPr>
                <w:rFonts w:ascii="Arial Narrow" w:hAnsi="Arial Narrow" w:eastAsiaTheme="minorEastAsia"/>
                <w:color w:val="000000"/>
                <w:szCs w:val="21"/>
              </w:rPr>
              <w:t>54,549,922.03</w:t>
            </w:r>
          </w:p>
        </w:tc>
        <w:tc>
          <w:tcPr>
            <w:tcW w:w="571" w:type="pct"/>
            <w:shd w:val="clear" w:color="auto" w:fill="auto"/>
            <w:vAlign w:val="center"/>
          </w:tcPr>
          <w:p w14:paraId="3D78E3D5">
            <w:pPr>
              <w:jc w:val="right"/>
              <w:rPr>
                <w:rFonts w:ascii="Arial Narrow" w:hAnsi="Arial Narrow" w:eastAsiaTheme="minorEastAsia"/>
                <w:szCs w:val="21"/>
              </w:rPr>
            </w:pPr>
            <w:r>
              <w:rPr>
                <w:rFonts w:ascii="Arial Narrow" w:hAnsi="Arial Narrow" w:eastAsiaTheme="minorEastAsia"/>
                <w:color w:val="000000"/>
                <w:szCs w:val="21"/>
              </w:rPr>
              <w:t>1,223,698.32</w:t>
            </w:r>
          </w:p>
        </w:tc>
        <w:tc>
          <w:tcPr>
            <w:tcW w:w="528" w:type="pct"/>
            <w:shd w:val="clear" w:color="auto" w:fill="auto"/>
            <w:vAlign w:val="center"/>
          </w:tcPr>
          <w:p w14:paraId="61C93C11">
            <w:pPr>
              <w:jc w:val="right"/>
              <w:rPr>
                <w:rFonts w:ascii="Arial Narrow" w:hAnsi="Arial Narrow" w:eastAsiaTheme="minorEastAsia"/>
                <w:szCs w:val="21"/>
              </w:rPr>
            </w:pPr>
            <w:r>
              <w:rPr>
                <w:rFonts w:ascii="Arial Narrow" w:hAnsi="Arial Narrow" w:eastAsiaTheme="minorEastAsia"/>
                <w:color w:val="000000"/>
                <w:szCs w:val="21"/>
              </w:rPr>
              <w:t>3,994.05</w:t>
            </w:r>
          </w:p>
        </w:tc>
        <w:tc>
          <w:tcPr>
            <w:tcW w:w="571" w:type="pct"/>
            <w:shd w:val="clear" w:color="auto" w:fill="auto"/>
            <w:vAlign w:val="center"/>
          </w:tcPr>
          <w:p w14:paraId="00124247">
            <w:pPr>
              <w:jc w:val="right"/>
              <w:rPr>
                <w:rFonts w:ascii="Arial Narrow" w:hAnsi="Arial Narrow" w:eastAsiaTheme="minorEastAsia"/>
                <w:szCs w:val="21"/>
              </w:rPr>
            </w:pPr>
            <w:r>
              <w:rPr>
                <w:rFonts w:ascii="Arial Narrow" w:hAnsi="Arial Narrow" w:eastAsiaTheme="minorEastAsia"/>
                <w:color w:val="000000"/>
                <w:szCs w:val="21"/>
              </w:rPr>
              <w:t>2,394,236.50</w:t>
            </w:r>
          </w:p>
        </w:tc>
        <w:tc>
          <w:tcPr>
            <w:tcW w:w="571" w:type="pct"/>
            <w:shd w:val="clear" w:color="auto" w:fill="auto"/>
            <w:vAlign w:val="center"/>
          </w:tcPr>
          <w:p w14:paraId="5785590F">
            <w:pPr>
              <w:jc w:val="right"/>
              <w:rPr>
                <w:rFonts w:ascii="Arial Narrow" w:hAnsi="Arial Narrow" w:eastAsiaTheme="minorEastAsia"/>
                <w:szCs w:val="21"/>
              </w:rPr>
            </w:pPr>
            <w:r>
              <w:rPr>
                <w:rFonts w:ascii="Arial Narrow" w:hAnsi="Arial Narrow" w:eastAsiaTheme="minorEastAsia"/>
                <w:color w:val="000000"/>
                <w:szCs w:val="21"/>
              </w:rPr>
              <w:t>20,368.27</w:t>
            </w:r>
          </w:p>
        </w:tc>
        <w:tc>
          <w:tcPr>
            <w:tcW w:w="529" w:type="pct"/>
            <w:shd w:val="clear" w:color="auto" w:fill="auto"/>
            <w:vAlign w:val="center"/>
          </w:tcPr>
          <w:p w14:paraId="31B6884A">
            <w:pPr>
              <w:jc w:val="right"/>
              <w:rPr>
                <w:rFonts w:ascii="Arial Narrow" w:hAnsi="Arial Narrow" w:eastAsiaTheme="minorEastAsia"/>
                <w:szCs w:val="21"/>
              </w:rPr>
            </w:pPr>
            <w:r>
              <w:rPr>
                <w:rFonts w:ascii="Arial Narrow" w:hAnsi="Arial Narrow" w:eastAsiaTheme="minorEastAsia"/>
                <w:color w:val="000000"/>
                <w:szCs w:val="21"/>
              </w:rPr>
              <w:t>213,275.52</w:t>
            </w:r>
          </w:p>
        </w:tc>
        <w:tc>
          <w:tcPr>
            <w:tcW w:w="676" w:type="pct"/>
            <w:shd w:val="clear" w:color="auto" w:fill="auto"/>
            <w:vAlign w:val="center"/>
          </w:tcPr>
          <w:p w14:paraId="42975F51">
            <w:pPr>
              <w:jc w:val="right"/>
              <w:rPr>
                <w:rFonts w:ascii="Arial Narrow" w:hAnsi="Arial Narrow" w:eastAsiaTheme="minorEastAsia"/>
                <w:szCs w:val="21"/>
              </w:rPr>
            </w:pPr>
            <w:r>
              <w:rPr>
                <w:rFonts w:ascii="Arial Narrow" w:hAnsi="Arial Narrow" w:eastAsiaTheme="minorEastAsia"/>
                <w:color w:val="000000"/>
                <w:szCs w:val="21"/>
              </w:rPr>
              <w:t>58,405,494.69</w:t>
            </w:r>
          </w:p>
        </w:tc>
      </w:tr>
      <w:tr w14:paraId="263B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12653182">
            <w:pPr>
              <w:ind w:firstLine="630" w:firstLineChars="300"/>
              <w:rPr>
                <w:rFonts w:ascii="Arial Narrow" w:hAnsi="Arial Narrow" w:eastAsiaTheme="minorEastAsia"/>
                <w:szCs w:val="21"/>
              </w:rPr>
            </w:pPr>
            <w:r>
              <w:rPr>
                <w:rFonts w:ascii="Arial Narrow" w:hAnsi="Arial Narrow" w:eastAsiaTheme="minorEastAsia"/>
                <w:szCs w:val="21"/>
              </w:rPr>
              <w:t>（1）计提</w:t>
            </w:r>
          </w:p>
        </w:tc>
        <w:tc>
          <w:tcPr>
            <w:tcW w:w="676" w:type="pct"/>
            <w:shd w:val="clear" w:color="auto" w:fill="auto"/>
            <w:vAlign w:val="center"/>
          </w:tcPr>
          <w:p w14:paraId="4F29110E">
            <w:pPr>
              <w:jc w:val="right"/>
              <w:rPr>
                <w:rFonts w:ascii="Arial Narrow" w:hAnsi="Arial Narrow" w:eastAsiaTheme="minorEastAsia"/>
                <w:szCs w:val="21"/>
              </w:rPr>
            </w:pPr>
            <w:r>
              <w:rPr>
                <w:rFonts w:ascii="Arial Narrow" w:hAnsi="Arial Narrow" w:eastAsiaTheme="minorEastAsia"/>
                <w:color w:val="000000"/>
                <w:szCs w:val="21"/>
              </w:rPr>
              <w:t>54,294,125.27</w:t>
            </w:r>
          </w:p>
        </w:tc>
        <w:tc>
          <w:tcPr>
            <w:tcW w:w="571" w:type="pct"/>
            <w:shd w:val="clear" w:color="auto" w:fill="auto"/>
            <w:vAlign w:val="center"/>
          </w:tcPr>
          <w:p w14:paraId="75803534">
            <w:pPr>
              <w:jc w:val="right"/>
              <w:rPr>
                <w:rFonts w:ascii="Arial Narrow" w:hAnsi="Arial Narrow" w:eastAsiaTheme="minorEastAsia"/>
                <w:szCs w:val="21"/>
              </w:rPr>
            </w:pPr>
            <w:r>
              <w:rPr>
                <w:rFonts w:ascii="Arial Narrow" w:hAnsi="Arial Narrow" w:eastAsiaTheme="minorEastAsia"/>
                <w:color w:val="000000"/>
                <w:szCs w:val="21"/>
              </w:rPr>
              <w:t>1,223,698.32</w:t>
            </w:r>
          </w:p>
        </w:tc>
        <w:tc>
          <w:tcPr>
            <w:tcW w:w="528" w:type="pct"/>
            <w:shd w:val="clear" w:color="auto" w:fill="auto"/>
            <w:vAlign w:val="center"/>
          </w:tcPr>
          <w:p w14:paraId="5285F40A">
            <w:pPr>
              <w:jc w:val="right"/>
              <w:rPr>
                <w:rFonts w:ascii="Arial Narrow" w:hAnsi="Arial Narrow" w:eastAsiaTheme="minorEastAsia"/>
                <w:szCs w:val="21"/>
              </w:rPr>
            </w:pPr>
            <w:r>
              <w:rPr>
                <w:rFonts w:ascii="Arial Narrow" w:hAnsi="Arial Narrow" w:eastAsiaTheme="minorEastAsia"/>
                <w:color w:val="000000"/>
                <w:szCs w:val="21"/>
              </w:rPr>
              <w:t>3,994.05</w:t>
            </w:r>
          </w:p>
        </w:tc>
        <w:tc>
          <w:tcPr>
            <w:tcW w:w="571" w:type="pct"/>
            <w:shd w:val="clear" w:color="auto" w:fill="auto"/>
            <w:vAlign w:val="center"/>
          </w:tcPr>
          <w:p w14:paraId="77F0100D">
            <w:pPr>
              <w:jc w:val="right"/>
              <w:rPr>
                <w:rFonts w:ascii="Arial Narrow" w:hAnsi="Arial Narrow" w:eastAsiaTheme="minorEastAsia"/>
                <w:szCs w:val="21"/>
              </w:rPr>
            </w:pPr>
            <w:r>
              <w:rPr>
                <w:rFonts w:ascii="Arial Narrow" w:hAnsi="Arial Narrow" w:eastAsiaTheme="minorEastAsia"/>
                <w:color w:val="000000"/>
                <w:szCs w:val="21"/>
              </w:rPr>
              <w:t>2,394,236.50</w:t>
            </w:r>
          </w:p>
        </w:tc>
        <w:tc>
          <w:tcPr>
            <w:tcW w:w="571" w:type="pct"/>
            <w:shd w:val="clear" w:color="auto" w:fill="auto"/>
            <w:vAlign w:val="center"/>
          </w:tcPr>
          <w:p w14:paraId="4FA4BC8E">
            <w:pPr>
              <w:jc w:val="right"/>
              <w:rPr>
                <w:rFonts w:ascii="Arial Narrow" w:hAnsi="Arial Narrow" w:eastAsiaTheme="minorEastAsia"/>
                <w:szCs w:val="21"/>
              </w:rPr>
            </w:pPr>
            <w:r>
              <w:rPr>
                <w:rFonts w:ascii="Arial Narrow" w:hAnsi="Arial Narrow" w:eastAsiaTheme="minorEastAsia"/>
                <w:color w:val="000000"/>
                <w:szCs w:val="21"/>
              </w:rPr>
              <w:t>20,368.27</w:t>
            </w:r>
          </w:p>
        </w:tc>
        <w:tc>
          <w:tcPr>
            <w:tcW w:w="529" w:type="pct"/>
            <w:shd w:val="clear" w:color="auto" w:fill="auto"/>
            <w:vAlign w:val="center"/>
          </w:tcPr>
          <w:p w14:paraId="7DE27AE9">
            <w:pPr>
              <w:jc w:val="right"/>
              <w:rPr>
                <w:rFonts w:ascii="Arial Narrow" w:hAnsi="Arial Narrow" w:eastAsiaTheme="minorEastAsia"/>
                <w:szCs w:val="21"/>
              </w:rPr>
            </w:pPr>
            <w:r>
              <w:rPr>
                <w:rFonts w:ascii="Arial Narrow" w:hAnsi="Arial Narrow" w:eastAsiaTheme="minorEastAsia"/>
                <w:color w:val="000000"/>
                <w:szCs w:val="21"/>
              </w:rPr>
              <w:t>213,275.52</w:t>
            </w:r>
          </w:p>
        </w:tc>
        <w:tc>
          <w:tcPr>
            <w:tcW w:w="676" w:type="pct"/>
            <w:shd w:val="clear" w:color="auto" w:fill="auto"/>
            <w:vAlign w:val="center"/>
          </w:tcPr>
          <w:p w14:paraId="749228FD">
            <w:pPr>
              <w:jc w:val="right"/>
              <w:rPr>
                <w:rFonts w:ascii="Arial Narrow" w:hAnsi="Arial Narrow" w:eastAsiaTheme="minorEastAsia"/>
                <w:szCs w:val="21"/>
              </w:rPr>
            </w:pPr>
            <w:r>
              <w:rPr>
                <w:rFonts w:ascii="Arial Narrow" w:hAnsi="Arial Narrow" w:eastAsiaTheme="minorEastAsia"/>
                <w:color w:val="000000"/>
                <w:szCs w:val="21"/>
              </w:rPr>
              <w:t>58,149,697.93</w:t>
            </w:r>
          </w:p>
        </w:tc>
      </w:tr>
      <w:tr w14:paraId="441E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15D7C523">
            <w:pPr>
              <w:ind w:firstLine="630" w:firstLineChars="300"/>
              <w:rPr>
                <w:rFonts w:ascii="Arial Narrow" w:hAnsi="Arial Narrow" w:eastAsiaTheme="minorEastAsia"/>
                <w:szCs w:val="21"/>
              </w:rPr>
            </w:pPr>
            <w:r>
              <w:rPr>
                <w:rFonts w:ascii="Arial Narrow" w:hAnsi="Arial Narrow" w:eastAsiaTheme="minorEastAsia"/>
                <w:szCs w:val="21"/>
              </w:rPr>
              <w:t>（2）出租</w:t>
            </w:r>
          </w:p>
        </w:tc>
        <w:tc>
          <w:tcPr>
            <w:tcW w:w="676" w:type="pct"/>
            <w:shd w:val="clear" w:color="auto" w:fill="auto"/>
            <w:vAlign w:val="center"/>
          </w:tcPr>
          <w:p w14:paraId="11B29CE5">
            <w:pPr>
              <w:jc w:val="right"/>
              <w:rPr>
                <w:rFonts w:ascii="Arial Narrow" w:hAnsi="Arial Narrow" w:eastAsiaTheme="minorEastAsia"/>
                <w:color w:val="000000"/>
                <w:szCs w:val="21"/>
              </w:rPr>
            </w:pPr>
            <w:r>
              <w:rPr>
                <w:rFonts w:ascii="Arial Narrow" w:hAnsi="Arial Narrow" w:eastAsiaTheme="minorEastAsia"/>
                <w:color w:val="000000"/>
                <w:szCs w:val="21"/>
              </w:rPr>
              <w:t>255,796.76</w:t>
            </w:r>
          </w:p>
        </w:tc>
        <w:tc>
          <w:tcPr>
            <w:tcW w:w="571" w:type="pct"/>
            <w:shd w:val="clear" w:color="auto" w:fill="auto"/>
            <w:vAlign w:val="center"/>
          </w:tcPr>
          <w:p w14:paraId="0C39B41E">
            <w:pPr>
              <w:jc w:val="right"/>
              <w:rPr>
                <w:rFonts w:ascii="Arial Narrow" w:hAnsi="Arial Narrow" w:eastAsiaTheme="minorEastAsia"/>
                <w:szCs w:val="21"/>
              </w:rPr>
            </w:pPr>
          </w:p>
        </w:tc>
        <w:tc>
          <w:tcPr>
            <w:tcW w:w="528" w:type="pct"/>
            <w:shd w:val="clear" w:color="auto" w:fill="auto"/>
            <w:vAlign w:val="center"/>
          </w:tcPr>
          <w:p w14:paraId="1CBF9BD9">
            <w:pPr>
              <w:jc w:val="right"/>
              <w:rPr>
                <w:rFonts w:ascii="Arial Narrow" w:hAnsi="Arial Narrow" w:eastAsiaTheme="minorEastAsia"/>
                <w:szCs w:val="21"/>
              </w:rPr>
            </w:pPr>
          </w:p>
        </w:tc>
        <w:tc>
          <w:tcPr>
            <w:tcW w:w="571" w:type="pct"/>
            <w:shd w:val="clear" w:color="auto" w:fill="auto"/>
            <w:vAlign w:val="center"/>
          </w:tcPr>
          <w:p w14:paraId="7DCA891A">
            <w:pPr>
              <w:jc w:val="right"/>
              <w:rPr>
                <w:rFonts w:ascii="Arial Narrow" w:hAnsi="Arial Narrow" w:eastAsiaTheme="minorEastAsia"/>
                <w:color w:val="000000"/>
                <w:szCs w:val="21"/>
              </w:rPr>
            </w:pPr>
          </w:p>
        </w:tc>
        <w:tc>
          <w:tcPr>
            <w:tcW w:w="571" w:type="pct"/>
            <w:shd w:val="clear" w:color="auto" w:fill="auto"/>
            <w:vAlign w:val="center"/>
          </w:tcPr>
          <w:p w14:paraId="5DFAB044">
            <w:pPr>
              <w:jc w:val="right"/>
              <w:rPr>
                <w:rFonts w:ascii="Arial Narrow" w:hAnsi="Arial Narrow" w:eastAsiaTheme="minorEastAsia"/>
                <w:szCs w:val="21"/>
              </w:rPr>
            </w:pPr>
          </w:p>
        </w:tc>
        <w:tc>
          <w:tcPr>
            <w:tcW w:w="529" w:type="pct"/>
            <w:shd w:val="clear" w:color="auto" w:fill="auto"/>
            <w:vAlign w:val="center"/>
          </w:tcPr>
          <w:p w14:paraId="75490A6D">
            <w:pPr>
              <w:jc w:val="right"/>
              <w:rPr>
                <w:rFonts w:ascii="Arial Narrow" w:hAnsi="Arial Narrow" w:eastAsiaTheme="minorEastAsia"/>
                <w:szCs w:val="21"/>
              </w:rPr>
            </w:pPr>
          </w:p>
        </w:tc>
        <w:tc>
          <w:tcPr>
            <w:tcW w:w="676" w:type="pct"/>
            <w:shd w:val="clear" w:color="auto" w:fill="auto"/>
            <w:vAlign w:val="center"/>
          </w:tcPr>
          <w:p w14:paraId="0E21DCC1">
            <w:pPr>
              <w:jc w:val="right"/>
              <w:rPr>
                <w:rFonts w:ascii="Arial Narrow" w:hAnsi="Arial Narrow" w:eastAsiaTheme="minorEastAsia"/>
                <w:color w:val="000000"/>
                <w:szCs w:val="21"/>
              </w:rPr>
            </w:pPr>
            <w:r>
              <w:rPr>
                <w:rFonts w:ascii="Arial Narrow" w:hAnsi="Arial Narrow" w:eastAsiaTheme="minorEastAsia"/>
                <w:color w:val="000000"/>
                <w:szCs w:val="21"/>
              </w:rPr>
              <w:t>255,796.76</w:t>
            </w:r>
          </w:p>
        </w:tc>
      </w:tr>
      <w:tr w14:paraId="0825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4F9BAB0B">
            <w:pPr>
              <w:ind w:firstLine="420" w:firstLineChars="200"/>
              <w:rPr>
                <w:rFonts w:ascii="Arial Narrow" w:hAnsi="Arial Narrow" w:eastAsiaTheme="minorEastAsia"/>
                <w:szCs w:val="21"/>
              </w:rPr>
            </w:pPr>
            <w:r>
              <w:rPr>
                <w:rFonts w:ascii="Arial Narrow" w:hAnsi="Arial Narrow" w:eastAsiaTheme="minorEastAsia"/>
                <w:szCs w:val="21"/>
              </w:rPr>
              <w:t>3.本期减少金额</w:t>
            </w:r>
          </w:p>
        </w:tc>
        <w:tc>
          <w:tcPr>
            <w:tcW w:w="676" w:type="pct"/>
            <w:shd w:val="clear" w:color="auto" w:fill="auto"/>
            <w:vAlign w:val="center"/>
          </w:tcPr>
          <w:p w14:paraId="21FDA1C2">
            <w:pPr>
              <w:jc w:val="right"/>
              <w:rPr>
                <w:rFonts w:ascii="Arial Narrow" w:hAnsi="Arial Narrow" w:eastAsiaTheme="minorEastAsia"/>
                <w:szCs w:val="21"/>
              </w:rPr>
            </w:pPr>
            <w:r>
              <w:rPr>
                <w:rFonts w:ascii="Arial Narrow" w:hAnsi="Arial Narrow" w:eastAsiaTheme="minorEastAsia"/>
                <w:color w:val="000000"/>
                <w:szCs w:val="21"/>
              </w:rPr>
              <w:t>14,736,707.02</w:t>
            </w:r>
          </w:p>
        </w:tc>
        <w:tc>
          <w:tcPr>
            <w:tcW w:w="571" w:type="pct"/>
            <w:shd w:val="clear" w:color="auto" w:fill="auto"/>
            <w:vAlign w:val="center"/>
          </w:tcPr>
          <w:p w14:paraId="1A33645F">
            <w:pPr>
              <w:jc w:val="right"/>
              <w:rPr>
                <w:rFonts w:ascii="Arial Narrow" w:hAnsi="Arial Narrow" w:eastAsiaTheme="minorEastAsia"/>
                <w:szCs w:val="21"/>
              </w:rPr>
            </w:pPr>
          </w:p>
        </w:tc>
        <w:tc>
          <w:tcPr>
            <w:tcW w:w="528" w:type="pct"/>
            <w:shd w:val="clear" w:color="auto" w:fill="auto"/>
            <w:vAlign w:val="center"/>
          </w:tcPr>
          <w:p w14:paraId="409E62A2">
            <w:pPr>
              <w:jc w:val="right"/>
              <w:rPr>
                <w:rFonts w:ascii="Arial Narrow" w:hAnsi="Arial Narrow" w:eastAsiaTheme="minorEastAsia"/>
                <w:szCs w:val="21"/>
              </w:rPr>
            </w:pPr>
          </w:p>
        </w:tc>
        <w:tc>
          <w:tcPr>
            <w:tcW w:w="571" w:type="pct"/>
            <w:shd w:val="clear" w:color="auto" w:fill="auto"/>
            <w:vAlign w:val="center"/>
          </w:tcPr>
          <w:p w14:paraId="173ABDB1">
            <w:pPr>
              <w:jc w:val="right"/>
              <w:rPr>
                <w:rFonts w:ascii="Arial Narrow" w:hAnsi="Arial Narrow" w:eastAsiaTheme="minorEastAsia"/>
                <w:szCs w:val="21"/>
              </w:rPr>
            </w:pPr>
            <w:r>
              <w:rPr>
                <w:rFonts w:ascii="Arial Narrow" w:hAnsi="Arial Narrow" w:eastAsiaTheme="minorEastAsia"/>
                <w:color w:val="000000"/>
                <w:szCs w:val="21"/>
              </w:rPr>
              <w:t>42,349.70</w:t>
            </w:r>
          </w:p>
        </w:tc>
        <w:tc>
          <w:tcPr>
            <w:tcW w:w="571" w:type="pct"/>
            <w:shd w:val="clear" w:color="auto" w:fill="auto"/>
            <w:vAlign w:val="center"/>
          </w:tcPr>
          <w:p w14:paraId="438BE4CD">
            <w:pPr>
              <w:jc w:val="right"/>
              <w:rPr>
                <w:rFonts w:ascii="Arial Narrow" w:hAnsi="Arial Narrow" w:eastAsiaTheme="minorEastAsia"/>
                <w:szCs w:val="21"/>
              </w:rPr>
            </w:pPr>
          </w:p>
        </w:tc>
        <w:tc>
          <w:tcPr>
            <w:tcW w:w="529" w:type="pct"/>
            <w:shd w:val="clear" w:color="auto" w:fill="auto"/>
            <w:vAlign w:val="center"/>
          </w:tcPr>
          <w:p w14:paraId="68D55A79">
            <w:pPr>
              <w:jc w:val="right"/>
              <w:rPr>
                <w:rFonts w:ascii="Arial Narrow" w:hAnsi="Arial Narrow" w:eastAsiaTheme="minorEastAsia"/>
                <w:szCs w:val="21"/>
              </w:rPr>
            </w:pPr>
          </w:p>
        </w:tc>
        <w:tc>
          <w:tcPr>
            <w:tcW w:w="676" w:type="pct"/>
            <w:shd w:val="clear" w:color="auto" w:fill="auto"/>
            <w:vAlign w:val="center"/>
          </w:tcPr>
          <w:p w14:paraId="5BFCB12B">
            <w:pPr>
              <w:jc w:val="right"/>
              <w:rPr>
                <w:rFonts w:ascii="Arial Narrow" w:hAnsi="Arial Narrow" w:eastAsiaTheme="minorEastAsia"/>
                <w:szCs w:val="21"/>
              </w:rPr>
            </w:pPr>
            <w:r>
              <w:rPr>
                <w:rFonts w:ascii="Arial Narrow" w:hAnsi="Arial Narrow" w:eastAsiaTheme="minorEastAsia"/>
                <w:color w:val="000000"/>
                <w:szCs w:val="21"/>
              </w:rPr>
              <w:t>14,779,056.72</w:t>
            </w:r>
          </w:p>
        </w:tc>
      </w:tr>
      <w:tr w14:paraId="47AC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251D3B21">
            <w:pPr>
              <w:ind w:firstLine="630" w:firstLineChars="300"/>
              <w:rPr>
                <w:rFonts w:ascii="Arial Narrow" w:hAnsi="Arial Narrow" w:eastAsiaTheme="minorEastAsia"/>
                <w:szCs w:val="21"/>
              </w:rPr>
            </w:pPr>
            <w:r>
              <w:rPr>
                <w:rFonts w:hint="eastAsia" w:ascii="Arial Narrow" w:hAnsi="Arial Narrow" w:eastAsiaTheme="minorEastAsia"/>
                <w:szCs w:val="21"/>
              </w:rPr>
              <w:t>（1）</w:t>
            </w:r>
            <w:r>
              <w:rPr>
                <w:rFonts w:ascii="Arial Narrow" w:hAnsi="Arial Narrow" w:eastAsiaTheme="minorEastAsia"/>
                <w:szCs w:val="21"/>
              </w:rPr>
              <w:t>处置</w:t>
            </w:r>
          </w:p>
        </w:tc>
        <w:tc>
          <w:tcPr>
            <w:tcW w:w="676" w:type="pct"/>
            <w:shd w:val="clear" w:color="auto" w:fill="auto"/>
            <w:vAlign w:val="center"/>
          </w:tcPr>
          <w:p w14:paraId="6D7219B5">
            <w:pPr>
              <w:jc w:val="right"/>
              <w:rPr>
                <w:rFonts w:ascii="Arial Narrow" w:hAnsi="Arial Narrow" w:eastAsiaTheme="minorEastAsia"/>
                <w:szCs w:val="21"/>
              </w:rPr>
            </w:pPr>
            <w:r>
              <w:rPr>
                <w:rFonts w:ascii="Arial Narrow" w:hAnsi="Arial Narrow" w:eastAsiaTheme="minorEastAsia"/>
                <w:color w:val="000000"/>
                <w:szCs w:val="21"/>
              </w:rPr>
              <w:t>64,822.27</w:t>
            </w:r>
          </w:p>
        </w:tc>
        <w:tc>
          <w:tcPr>
            <w:tcW w:w="571" w:type="pct"/>
            <w:shd w:val="clear" w:color="auto" w:fill="auto"/>
            <w:vAlign w:val="center"/>
          </w:tcPr>
          <w:p w14:paraId="4D5121D9">
            <w:pPr>
              <w:jc w:val="right"/>
              <w:rPr>
                <w:rFonts w:ascii="Arial Narrow" w:hAnsi="Arial Narrow" w:eastAsiaTheme="minorEastAsia"/>
                <w:szCs w:val="21"/>
              </w:rPr>
            </w:pPr>
          </w:p>
        </w:tc>
        <w:tc>
          <w:tcPr>
            <w:tcW w:w="528" w:type="pct"/>
            <w:shd w:val="clear" w:color="auto" w:fill="auto"/>
            <w:vAlign w:val="center"/>
          </w:tcPr>
          <w:p w14:paraId="3C8C6DA8">
            <w:pPr>
              <w:jc w:val="right"/>
              <w:rPr>
                <w:rFonts w:ascii="Arial Narrow" w:hAnsi="Arial Narrow" w:eastAsiaTheme="minorEastAsia"/>
                <w:szCs w:val="21"/>
              </w:rPr>
            </w:pPr>
          </w:p>
        </w:tc>
        <w:tc>
          <w:tcPr>
            <w:tcW w:w="571" w:type="pct"/>
            <w:shd w:val="clear" w:color="auto" w:fill="auto"/>
            <w:vAlign w:val="center"/>
          </w:tcPr>
          <w:p w14:paraId="7257881E">
            <w:pPr>
              <w:jc w:val="right"/>
              <w:rPr>
                <w:rFonts w:ascii="Arial Narrow" w:hAnsi="Arial Narrow" w:eastAsiaTheme="minorEastAsia"/>
                <w:szCs w:val="21"/>
              </w:rPr>
            </w:pPr>
            <w:r>
              <w:rPr>
                <w:rFonts w:ascii="Arial Narrow" w:hAnsi="Arial Narrow" w:eastAsiaTheme="minorEastAsia"/>
                <w:color w:val="000000"/>
                <w:szCs w:val="21"/>
              </w:rPr>
              <w:t>42,349.70</w:t>
            </w:r>
          </w:p>
        </w:tc>
        <w:tc>
          <w:tcPr>
            <w:tcW w:w="571" w:type="pct"/>
            <w:shd w:val="clear" w:color="auto" w:fill="auto"/>
            <w:vAlign w:val="center"/>
          </w:tcPr>
          <w:p w14:paraId="230DC8AF">
            <w:pPr>
              <w:jc w:val="right"/>
              <w:rPr>
                <w:rFonts w:ascii="Arial Narrow" w:hAnsi="Arial Narrow" w:eastAsiaTheme="minorEastAsia"/>
                <w:szCs w:val="21"/>
              </w:rPr>
            </w:pPr>
          </w:p>
        </w:tc>
        <w:tc>
          <w:tcPr>
            <w:tcW w:w="529" w:type="pct"/>
            <w:shd w:val="clear" w:color="auto" w:fill="auto"/>
            <w:vAlign w:val="center"/>
          </w:tcPr>
          <w:p w14:paraId="62D896B2">
            <w:pPr>
              <w:jc w:val="right"/>
              <w:rPr>
                <w:rFonts w:ascii="Arial Narrow" w:hAnsi="Arial Narrow" w:eastAsiaTheme="minorEastAsia"/>
                <w:szCs w:val="21"/>
              </w:rPr>
            </w:pPr>
          </w:p>
        </w:tc>
        <w:tc>
          <w:tcPr>
            <w:tcW w:w="676" w:type="pct"/>
            <w:shd w:val="clear" w:color="auto" w:fill="auto"/>
            <w:vAlign w:val="center"/>
          </w:tcPr>
          <w:p w14:paraId="2A1A228D">
            <w:pPr>
              <w:jc w:val="right"/>
              <w:rPr>
                <w:rFonts w:ascii="Arial Narrow" w:hAnsi="Arial Narrow" w:eastAsiaTheme="minorEastAsia"/>
                <w:szCs w:val="21"/>
              </w:rPr>
            </w:pPr>
            <w:r>
              <w:rPr>
                <w:rFonts w:ascii="Arial Narrow" w:hAnsi="Arial Narrow" w:eastAsiaTheme="minorEastAsia"/>
                <w:color w:val="000000"/>
                <w:szCs w:val="21"/>
              </w:rPr>
              <w:t>107,171.97</w:t>
            </w:r>
          </w:p>
        </w:tc>
      </w:tr>
      <w:tr w14:paraId="1E9C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78" w:type="pct"/>
            <w:shd w:val="clear" w:color="auto" w:fill="auto"/>
            <w:vAlign w:val="bottom"/>
          </w:tcPr>
          <w:p w14:paraId="37203151">
            <w:pPr>
              <w:ind w:firstLine="630" w:firstLineChars="300"/>
              <w:rPr>
                <w:rFonts w:ascii="Arial Narrow" w:hAnsi="Arial Narrow" w:eastAsiaTheme="minorEastAsia"/>
                <w:szCs w:val="21"/>
              </w:rPr>
            </w:pPr>
            <w:r>
              <w:rPr>
                <w:rFonts w:hint="eastAsia" w:ascii="Arial Narrow" w:hAnsi="Arial Narrow" w:eastAsiaTheme="minorEastAsia"/>
                <w:szCs w:val="21"/>
              </w:rPr>
              <w:t>（2）</w:t>
            </w:r>
            <w:r>
              <w:rPr>
                <w:rFonts w:ascii="Arial Narrow" w:hAnsi="Arial Narrow" w:eastAsiaTheme="minorEastAsia"/>
                <w:szCs w:val="21"/>
              </w:rPr>
              <w:t>出租</w:t>
            </w:r>
          </w:p>
        </w:tc>
        <w:tc>
          <w:tcPr>
            <w:tcW w:w="676" w:type="pct"/>
            <w:shd w:val="clear" w:color="auto" w:fill="auto"/>
            <w:vAlign w:val="center"/>
          </w:tcPr>
          <w:p w14:paraId="6910BB6D">
            <w:pPr>
              <w:jc w:val="right"/>
              <w:rPr>
                <w:rFonts w:ascii="Arial Narrow" w:hAnsi="Arial Narrow" w:eastAsiaTheme="minorEastAsia"/>
                <w:szCs w:val="21"/>
              </w:rPr>
            </w:pPr>
            <w:r>
              <w:rPr>
                <w:rFonts w:ascii="Arial Narrow" w:hAnsi="Arial Narrow" w:eastAsiaTheme="minorEastAsia"/>
                <w:color w:val="000000"/>
                <w:szCs w:val="21"/>
              </w:rPr>
              <w:t>1,066,872.56</w:t>
            </w:r>
          </w:p>
        </w:tc>
        <w:tc>
          <w:tcPr>
            <w:tcW w:w="571" w:type="pct"/>
            <w:shd w:val="clear" w:color="auto" w:fill="auto"/>
            <w:vAlign w:val="center"/>
          </w:tcPr>
          <w:p w14:paraId="41F33DFB">
            <w:pPr>
              <w:jc w:val="right"/>
              <w:rPr>
                <w:rFonts w:ascii="Arial Narrow" w:hAnsi="Arial Narrow" w:eastAsiaTheme="minorEastAsia"/>
                <w:szCs w:val="21"/>
              </w:rPr>
            </w:pPr>
          </w:p>
        </w:tc>
        <w:tc>
          <w:tcPr>
            <w:tcW w:w="528" w:type="pct"/>
            <w:shd w:val="clear" w:color="auto" w:fill="auto"/>
            <w:vAlign w:val="center"/>
          </w:tcPr>
          <w:p w14:paraId="2B9DA9EA">
            <w:pPr>
              <w:jc w:val="right"/>
              <w:rPr>
                <w:rFonts w:ascii="Arial Narrow" w:hAnsi="Arial Narrow" w:eastAsiaTheme="minorEastAsia"/>
                <w:szCs w:val="21"/>
              </w:rPr>
            </w:pPr>
          </w:p>
        </w:tc>
        <w:tc>
          <w:tcPr>
            <w:tcW w:w="571" w:type="pct"/>
            <w:shd w:val="clear" w:color="auto" w:fill="auto"/>
            <w:vAlign w:val="center"/>
          </w:tcPr>
          <w:p w14:paraId="5A8C46C7">
            <w:pPr>
              <w:jc w:val="right"/>
              <w:rPr>
                <w:rFonts w:ascii="Arial Narrow" w:hAnsi="Arial Narrow" w:eastAsiaTheme="minorEastAsia"/>
                <w:szCs w:val="21"/>
              </w:rPr>
            </w:pPr>
          </w:p>
        </w:tc>
        <w:tc>
          <w:tcPr>
            <w:tcW w:w="571" w:type="pct"/>
            <w:shd w:val="clear" w:color="auto" w:fill="auto"/>
            <w:vAlign w:val="center"/>
          </w:tcPr>
          <w:p w14:paraId="52843927">
            <w:pPr>
              <w:jc w:val="right"/>
              <w:rPr>
                <w:rFonts w:ascii="Arial Narrow" w:hAnsi="Arial Narrow" w:eastAsiaTheme="minorEastAsia"/>
                <w:szCs w:val="21"/>
              </w:rPr>
            </w:pPr>
          </w:p>
        </w:tc>
        <w:tc>
          <w:tcPr>
            <w:tcW w:w="529" w:type="pct"/>
            <w:shd w:val="clear" w:color="auto" w:fill="auto"/>
            <w:vAlign w:val="center"/>
          </w:tcPr>
          <w:p w14:paraId="3591667C">
            <w:pPr>
              <w:jc w:val="right"/>
              <w:rPr>
                <w:rFonts w:ascii="Arial Narrow" w:hAnsi="Arial Narrow" w:eastAsiaTheme="minorEastAsia"/>
                <w:szCs w:val="21"/>
              </w:rPr>
            </w:pPr>
          </w:p>
        </w:tc>
        <w:tc>
          <w:tcPr>
            <w:tcW w:w="676" w:type="pct"/>
            <w:shd w:val="clear" w:color="auto" w:fill="auto"/>
            <w:vAlign w:val="center"/>
          </w:tcPr>
          <w:p w14:paraId="26156A4E">
            <w:pPr>
              <w:jc w:val="right"/>
              <w:rPr>
                <w:rFonts w:ascii="Arial Narrow" w:hAnsi="Arial Narrow" w:eastAsiaTheme="minorEastAsia"/>
                <w:szCs w:val="21"/>
              </w:rPr>
            </w:pPr>
            <w:r>
              <w:rPr>
                <w:rFonts w:ascii="Arial Narrow" w:hAnsi="Arial Narrow" w:eastAsiaTheme="minorEastAsia"/>
                <w:color w:val="000000"/>
                <w:szCs w:val="21"/>
              </w:rPr>
              <w:t>1,066,872.56</w:t>
            </w:r>
          </w:p>
        </w:tc>
      </w:tr>
      <w:tr w14:paraId="5308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78" w:type="pct"/>
            <w:shd w:val="clear" w:color="auto" w:fill="auto"/>
            <w:vAlign w:val="bottom"/>
          </w:tcPr>
          <w:p w14:paraId="620D9D38">
            <w:pPr>
              <w:ind w:firstLine="630" w:firstLineChars="300"/>
              <w:rPr>
                <w:rFonts w:ascii="Arial Narrow" w:hAnsi="Arial Narrow" w:eastAsiaTheme="minorEastAsia"/>
                <w:szCs w:val="21"/>
              </w:rPr>
            </w:pPr>
            <w:r>
              <w:rPr>
                <w:rFonts w:hint="eastAsia" w:ascii="Arial Narrow" w:hAnsi="Arial Narrow" w:eastAsiaTheme="minorEastAsia"/>
                <w:szCs w:val="21"/>
              </w:rPr>
              <w:t>（3）</w:t>
            </w:r>
            <w:r>
              <w:rPr>
                <w:rFonts w:ascii="Arial Narrow" w:hAnsi="Arial Narrow" w:eastAsiaTheme="minorEastAsia"/>
                <w:szCs w:val="21"/>
              </w:rPr>
              <w:t>其他</w:t>
            </w:r>
          </w:p>
        </w:tc>
        <w:tc>
          <w:tcPr>
            <w:tcW w:w="676" w:type="pct"/>
            <w:shd w:val="clear" w:color="auto" w:fill="auto"/>
            <w:vAlign w:val="center"/>
          </w:tcPr>
          <w:p w14:paraId="3F5551BF">
            <w:pPr>
              <w:jc w:val="right"/>
              <w:rPr>
                <w:rFonts w:ascii="Arial Narrow" w:hAnsi="Arial Narrow" w:eastAsiaTheme="minorEastAsia"/>
                <w:szCs w:val="21"/>
              </w:rPr>
            </w:pPr>
            <w:r>
              <w:rPr>
                <w:rFonts w:ascii="Arial Narrow" w:hAnsi="Arial Narrow" w:eastAsiaTheme="minorEastAsia"/>
                <w:color w:val="000000"/>
                <w:szCs w:val="21"/>
              </w:rPr>
              <w:t>13,605,012.19</w:t>
            </w:r>
          </w:p>
        </w:tc>
        <w:tc>
          <w:tcPr>
            <w:tcW w:w="571" w:type="pct"/>
            <w:shd w:val="clear" w:color="auto" w:fill="auto"/>
            <w:vAlign w:val="center"/>
          </w:tcPr>
          <w:p w14:paraId="472DF583">
            <w:pPr>
              <w:jc w:val="right"/>
              <w:rPr>
                <w:rFonts w:ascii="Arial Narrow" w:hAnsi="Arial Narrow" w:eastAsiaTheme="minorEastAsia"/>
                <w:szCs w:val="21"/>
              </w:rPr>
            </w:pPr>
          </w:p>
        </w:tc>
        <w:tc>
          <w:tcPr>
            <w:tcW w:w="528" w:type="pct"/>
            <w:shd w:val="clear" w:color="auto" w:fill="auto"/>
            <w:vAlign w:val="center"/>
          </w:tcPr>
          <w:p w14:paraId="4930765C">
            <w:pPr>
              <w:jc w:val="right"/>
              <w:rPr>
                <w:rFonts w:ascii="Arial Narrow" w:hAnsi="Arial Narrow" w:eastAsiaTheme="minorEastAsia"/>
                <w:szCs w:val="21"/>
              </w:rPr>
            </w:pPr>
          </w:p>
        </w:tc>
        <w:tc>
          <w:tcPr>
            <w:tcW w:w="571" w:type="pct"/>
            <w:shd w:val="clear" w:color="auto" w:fill="auto"/>
            <w:vAlign w:val="center"/>
          </w:tcPr>
          <w:p w14:paraId="6339841B">
            <w:pPr>
              <w:jc w:val="right"/>
              <w:rPr>
                <w:rFonts w:ascii="Arial Narrow" w:hAnsi="Arial Narrow" w:eastAsiaTheme="minorEastAsia"/>
                <w:szCs w:val="21"/>
              </w:rPr>
            </w:pPr>
          </w:p>
        </w:tc>
        <w:tc>
          <w:tcPr>
            <w:tcW w:w="571" w:type="pct"/>
            <w:shd w:val="clear" w:color="auto" w:fill="auto"/>
            <w:vAlign w:val="center"/>
          </w:tcPr>
          <w:p w14:paraId="308DF419">
            <w:pPr>
              <w:jc w:val="right"/>
              <w:rPr>
                <w:rFonts w:ascii="Arial Narrow" w:hAnsi="Arial Narrow" w:eastAsiaTheme="minorEastAsia"/>
                <w:szCs w:val="21"/>
              </w:rPr>
            </w:pPr>
          </w:p>
        </w:tc>
        <w:tc>
          <w:tcPr>
            <w:tcW w:w="529" w:type="pct"/>
            <w:shd w:val="clear" w:color="auto" w:fill="auto"/>
            <w:vAlign w:val="center"/>
          </w:tcPr>
          <w:p w14:paraId="50DA3953">
            <w:pPr>
              <w:jc w:val="right"/>
              <w:rPr>
                <w:rFonts w:ascii="Arial Narrow" w:hAnsi="Arial Narrow" w:eastAsiaTheme="minorEastAsia"/>
                <w:szCs w:val="21"/>
              </w:rPr>
            </w:pPr>
          </w:p>
        </w:tc>
        <w:tc>
          <w:tcPr>
            <w:tcW w:w="676" w:type="pct"/>
            <w:shd w:val="clear" w:color="auto" w:fill="auto"/>
            <w:vAlign w:val="center"/>
          </w:tcPr>
          <w:p w14:paraId="5ED6019D">
            <w:pPr>
              <w:jc w:val="right"/>
              <w:rPr>
                <w:rFonts w:ascii="Arial Narrow" w:hAnsi="Arial Narrow" w:eastAsiaTheme="minorEastAsia"/>
                <w:szCs w:val="21"/>
              </w:rPr>
            </w:pPr>
            <w:r>
              <w:rPr>
                <w:rFonts w:ascii="Arial Narrow" w:hAnsi="Arial Narrow" w:eastAsiaTheme="minorEastAsia"/>
                <w:color w:val="000000"/>
                <w:szCs w:val="21"/>
              </w:rPr>
              <w:t>13,605,012.19</w:t>
            </w:r>
          </w:p>
        </w:tc>
      </w:tr>
      <w:tr w14:paraId="3849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123DC27B">
            <w:pPr>
              <w:ind w:firstLine="420" w:firstLineChars="200"/>
              <w:rPr>
                <w:rFonts w:ascii="Arial Narrow" w:hAnsi="Arial Narrow" w:eastAsiaTheme="minorEastAsia"/>
                <w:szCs w:val="21"/>
              </w:rPr>
            </w:pPr>
            <w:r>
              <w:rPr>
                <w:rFonts w:ascii="Arial Narrow" w:hAnsi="Arial Narrow" w:eastAsiaTheme="minorEastAsia"/>
                <w:szCs w:val="21"/>
              </w:rPr>
              <w:t>4.期末余额</w:t>
            </w:r>
          </w:p>
        </w:tc>
        <w:tc>
          <w:tcPr>
            <w:tcW w:w="676" w:type="pct"/>
            <w:shd w:val="clear" w:color="auto" w:fill="auto"/>
            <w:vAlign w:val="center"/>
          </w:tcPr>
          <w:p w14:paraId="665A9DA8">
            <w:pPr>
              <w:jc w:val="right"/>
              <w:rPr>
                <w:rFonts w:ascii="Arial Narrow" w:hAnsi="Arial Narrow" w:eastAsiaTheme="minorEastAsia"/>
                <w:szCs w:val="21"/>
              </w:rPr>
            </w:pPr>
            <w:r>
              <w:rPr>
                <w:rFonts w:ascii="Arial Narrow" w:hAnsi="Arial Narrow" w:eastAsiaTheme="minorEastAsia"/>
                <w:color w:val="000000"/>
                <w:szCs w:val="21"/>
              </w:rPr>
              <w:t>614,116,530.27</w:t>
            </w:r>
          </w:p>
        </w:tc>
        <w:tc>
          <w:tcPr>
            <w:tcW w:w="571" w:type="pct"/>
            <w:shd w:val="clear" w:color="auto" w:fill="auto"/>
            <w:vAlign w:val="center"/>
          </w:tcPr>
          <w:p w14:paraId="3D5F1FFB">
            <w:pPr>
              <w:jc w:val="right"/>
              <w:rPr>
                <w:rFonts w:ascii="Arial Narrow" w:hAnsi="Arial Narrow" w:eastAsiaTheme="minorEastAsia"/>
                <w:szCs w:val="21"/>
              </w:rPr>
            </w:pPr>
            <w:r>
              <w:rPr>
                <w:rFonts w:ascii="Arial Narrow" w:hAnsi="Arial Narrow" w:eastAsiaTheme="minorEastAsia"/>
                <w:color w:val="000000"/>
                <w:szCs w:val="21"/>
              </w:rPr>
              <w:t>10,894,209.23</w:t>
            </w:r>
          </w:p>
        </w:tc>
        <w:tc>
          <w:tcPr>
            <w:tcW w:w="528" w:type="pct"/>
            <w:shd w:val="clear" w:color="auto" w:fill="auto"/>
            <w:vAlign w:val="center"/>
          </w:tcPr>
          <w:p w14:paraId="055AB3E2">
            <w:pPr>
              <w:jc w:val="right"/>
              <w:rPr>
                <w:rFonts w:ascii="Arial Narrow" w:hAnsi="Arial Narrow" w:eastAsiaTheme="minorEastAsia"/>
                <w:szCs w:val="21"/>
              </w:rPr>
            </w:pPr>
            <w:r>
              <w:rPr>
                <w:rFonts w:ascii="Arial Narrow" w:hAnsi="Arial Narrow" w:eastAsiaTheme="minorEastAsia"/>
                <w:color w:val="000000"/>
                <w:szCs w:val="21"/>
              </w:rPr>
              <w:t>998,201.15</w:t>
            </w:r>
          </w:p>
        </w:tc>
        <w:tc>
          <w:tcPr>
            <w:tcW w:w="571" w:type="pct"/>
            <w:shd w:val="clear" w:color="auto" w:fill="auto"/>
            <w:vAlign w:val="center"/>
          </w:tcPr>
          <w:p w14:paraId="03B39476">
            <w:pPr>
              <w:jc w:val="right"/>
              <w:rPr>
                <w:rFonts w:ascii="Arial Narrow" w:hAnsi="Arial Narrow" w:eastAsiaTheme="minorEastAsia"/>
                <w:szCs w:val="21"/>
              </w:rPr>
            </w:pPr>
            <w:r>
              <w:rPr>
                <w:rFonts w:ascii="Arial Narrow" w:hAnsi="Arial Narrow" w:eastAsiaTheme="minorEastAsia"/>
                <w:color w:val="000000"/>
                <w:szCs w:val="21"/>
              </w:rPr>
              <w:t>16,835,896.01</w:t>
            </w:r>
          </w:p>
        </w:tc>
        <w:tc>
          <w:tcPr>
            <w:tcW w:w="571" w:type="pct"/>
            <w:shd w:val="clear" w:color="auto" w:fill="auto"/>
            <w:vAlign w:val="center"/>
          </w:tcPr>
          <w:p w14:paraId="1B531E8E">
            <w:pPr>
              <w:jc w:val="right"/>
              <w:rPr>
                <w:rFonts w:ascii="Arial Narrow" w:hAnsi="Arial Narrow" w:eastAsiaTheme="minorEastAsia"/>
                <w:szCs w:val="21"/>
              </w:rPr>
            </w:pPr>
            <w:r>
              <w:rPr>
                <w:rFonts w:ascii="Arial Narrow" w:hAnsi="Arial Narrow" w:eastAsiaTheme="minorEastAsia"/>
                <w:color w:val="000000"/>
                <w:szCs w:val="21"/>
              </w:rPr>
              <w:t>229,434.76</w:t>
            </w:r>
          </w:p>
        </w:tc>
        <w:tc>
          <w:tcPr>
            <w:tcW w:w="529" w:type="pct"/>
            <w:shd w:val="clear" w:color="auto" w:fill="auto"/>
            <w:vAlign w:val="center"/>
          </w:tcPr>
          <w:p w14:paraId="5EC7DD17">
            <w:pPr>
              <w:jc w:val="right"/>
              <w:rPr>
                <w:rFonts w:ascii="Arial Narrow" w:hAnsi="Arial Narrow" w:eastAsiaTheme="minorEastAsia"/>
                <w:szCs w:val="21"/>
              </w:rPr>
            </w:pPr>
            <w:r>
              <w:rPr>
                <w:rFonts w:ascii="Arial Narrow" w:hAnsi="Arial Narrow" w:eastAsiaTheme="minorEastAsia"/>
                <w:color w:val="000000"/>
                <w:szCs w:val="21"/>
              </w:rPr>
              <w:t>637,426.52</w:t>
            </w:r>
          </w:p>
        </w:tc>
        <w:tc>
          <w:tcPr>
            <w:tcW w:w="676" w:type="pct"/>
            <w:shd w:val="clear" w:color="auto" w:fill="auto"/>
            <w:vAlign w:val="center"/>
          </w:tcPr>
          <w:p w14:paraId="34799B57">
            <w:pPr>
              <w:jc w:val="right"/>
              <w:rPr>
                <w:rFonts w:ascii="Arial Narrow" w:hAnsi="Arial Narrow" w:eastAsiaTheme="minorEastAsia"/>
                <w:szCs w:val="21"/>
              </w:rPr>
            </w:pPr>
            <w:r>
              <w:rPr>
                <w:rFonts w:ascii="Arial Narrow" w:hAnsi="Arial Narrow" w:eastAsiaTheme="minorEastAsia"/>
                <w:color w:val="000000"/>
                <w:szCs w:val="21"/>
              </w:rPr>
              <w:t>643,711,697.94</w:t>
            </w:r>
          </w:p>
        </w:tc>
      </w:tr>
      <w:tr w14:paraId="37C3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sdt>
          <w:sdtPr>
            <w:rPr>
              <w:rFonts w:ascii="Arial Narrow" w:hAnsi="Arial Narrow" w:eastAsiaTheme="minorEastAsia"/>
              <w:szCs w:val="21"/>
            </w:rPr>
            <w:tag w:val="_PLD_f7d5f180eba449a29a01985d504a8cad"/>
            <w:id w:val="1431546133"/>
          </w:sdtPr>
          <w:sdtEndPr>
            <w:rPr>
              <w:rFonts w:ascii="Arial Narrow" w:hAnsi="Arial Narrow" w:eastAsiaTheme="minorEastAsia"/>
              <w:szCs w:val="21"/>
            </w:rPr>
          </w:sdtEndPr>
          <w:sdtContent>
            <w:tc>
              <w:tcPr>
                <w:tcW w:w="5000" w:type="pct"/>
                <w:gridSpan w:val="8"/>
                <w:shd w:val="clear" w:color="auto" w:fill="auto"/>
                <w:vAlign w:val="center"/>
              </w:tcPr>
              <w:p w14:paraId="694C862A">
                <w:pPr>
                  <w:rPr>
                    <w:rFonts w:ascii="Arial Narrow" w:hAnsi="Arial Narrow" w:eastAsiaTheme="minorEastAsia"/>
                    <w:szCs w:val="21"/>
                  </w:rPr>
                </w:pPr>
                <w:r>
                  <w:rPr>
                    <w:rFonts w:ascii="Arial Narrow" w:hAnsi="Arial Narrow" w:eastAsiaTheme="minorEastAsia"/>
                    <w:szCs w:val="21"/>
                  </w:rPr>
                  <w:t>三、减值准备</w:t>
                </w:r>
              </w:p>
            </w:tc>
          </w:sdtContent>
        </w:sdt>
      </w:tr>
      <w:tr w14:paraId="5BD9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716336C6">
            <w:pPr>
              <w:ind w:firstLine="420" w:firstLineChars="200"/>
              <w:rPr>
                <w:rFonts w:ascii="Arial Narrow" w:hAnsi="Arial Narrow" w:eastAsiaTheme="minorEastAsia"/>
                <w:szCs w:val="21"/>
              </w:rPr>
            </w:pPr>
            <w:r>
              <w:rPr>
                <w:rFonts w:ascii="Arial Narrow" w:hAnsi="Arial Narrow" w:eastAsiaTheme="minorEastAsia"/>
                <w:szCs w:val="21"/>
              </w:rPr>
              <w:t>1.期初余额</w:t>
            </w:r>
          </w:p>
        </w:tc>
        <w:tc>
          <w:tcPr>
            <w:tcW w:w="676" w:type="pct"/>
            <w:shd w:val="clear" w:color="auto" w:fill="auto"/>
            <w:vAlign w:val="center"/>
          </w:tcPr>
          <w:p w14:paraId="06393AA0">
            <w:pPr>
              <w:jc w:val="right"/>
              <w:rPr>
                <w:rFonts w:ascii="Arial Narrow" w:hAnsi="Arial Narrow" w:eastAsiaTheme="minorEastAsia"/>
                <w:szCs w:val="21"/>
              </w:rPr>
            </w:pPr>
          </w:p>
        </w:tc>
        <w:tc>
          <w:tcPr>
            <w:tcW w:w="571" w:type="pct"/>
            <w:shd w:val="clear" w:color="auto" w:fill="auto"/>
            <w:vAlign w:val="center"/>
          </w:tcPr>
          <w:p w14:paraId="5C8AC6CB">
            <w:pPr>
              <w:jc w:val="right"/>
              <w:rPr>
                <w:rFonts w:ascii="Arial Narrow" w:hAnsi="Arial Narrow" w:eastAsiaTheme="minorEastAsia"/>
                <w:szCs w:val="21"/>
              </w:rPr>
            </w:pPr>
          </w:p>
        </w:tc>
        <w:tc>
          <w:tcPr>
            <w:tcW w:w="528" w:type="pct"/>
            <w:shd w:val="clear" w:color="auto" w:fill="auto"/>
            <w:vAlign w:val="center"/>
          </w:tcPr>
          <w:p w14:paraId="52F93C33">
            <w:pPr>
              <w:jc w:val="right"/>
              <w:rPr>
                <w:rFonts w:ascii="Arial Narrow" w:hAnsi="Arial Narrow" w:eastAsiaTheme="minorEastAsia"/>
                <w:szCs w:val="21"/>
              </w:rPr>
            </w:pPr>
          </w:p>
        </w:tc>
        <w:tc>
          <w:tcPr>
            <w:tcW w:w="571" w:type="pct"/>
            <w:shd w:val="clear" w:color="auto" w:fill="auto"/>
            <w:vAlign w:val="center"/>
          </w:tcPr>
          <w:p w14:paraId="3E87644B">
            <w:pPr>
              <w:jc w:val="right"/>
              <w:rPr>
                <w:rFonts w:ascii="Arial Narrow" w:hAnsi="Arial Narrow" w:eastAsiaTheme="minorEastAsia"/>
                <w:szCs w:val="21"/>
              </w:rPr>
            </w:pPr>
          </w:p>
        </w:tc>
        <w:tc>
          <w:tcPr>
            <w:tcW w:w="571" w:type="pct"/>
            <w:shd w:val="clear" w:color="auto" w:fill="auto"/>
            <w:vAlign w:val="center"/>
          </w:tcPr>
          <w:p w14:paraId="6B1F5D12">
            <w:pPr>
              <w:jc w:val="right"/>
              <w:rPr>
                <w:rFonts w:ascii="Arial Narrow" w:hAnsi="Arial Narrow" w:eastAsiaTheme="minorEastAsia"/>
                <w:szCs w:val="21"/>
              </w:rPr>
            </w:pPr>
          </w:p>
        </w:tc>
        <w:tc>
          <w:tcPr>
            <w:tcW w:w="529" w:type="pct"/>
            <w:shd w:val="clear" w:color="auto" w:fill="auto"/>
            <w:vAlign w:val="center"/>
          </w:tcPr>
          <w:p w14:paraId="2D4274D9">
            <w:pPr>
              <w:jc w:val="right"/>
              <w:rPr>
                <w:rFonts w:ascii="Arial Narrow" w:hAnsi="Arial Narrow" w:eastAsiaTheme="minorEastAsia"/>
                <w:szCs w:val="21"/>
              </w:rPr>
            </w:pPr>
          </w:p>
        </w:tc>
        <w:tc>
          <w:tcPr>
            <w:tcW w:w="676" w:type="pct"/>
            <w:shd w:val="clear" w:color="auto" w:fill="auto"/>
            <w:vAlign w:val="center"/>
          </w:tcPr>
          <w:p w14:paraId="698985AA">
            <w:pPr>
              <w:jc w:val="right"/>
              <w:rPr>
                <w:rFonts w:ascii="Arial Narrow" w:hAnsi="Arial Narrow" w:eastAsiaTheme="minorEastAsia"/>
                <w:szCs w:val="21"/>
              </w:rPr>
            </w:pPr>
          </w:p>
        </w:tc>
      </w:tr>
      <w:tr w14:paraId="647A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4D99AD8C">
            <w:pPr>
              <w:ind w:firstLine="420" w:firstLineChars="200"/>
              <w:rPr>
                <w:rFonts w:ascii="Arial Narrow" w:hAnsi="Arial Narrow" w:eastAsiaTheme="minorEastAsia"/>
                <w:szCs w:val="21"/>
              </w:rPr>
            </w:pPr>
            <w:r>
              <w:rPr>
                <w:rFonts w:ascii="Arial Narrow" w:hAnsi="Arial Narrow" w:eastAsiaTheme="minorEastAsia"/>
                <w:szCs w:val="21"/>
              </w:rPr>
              <w:t>2.本期增加金额</w:t>
            </w:r>
          </w:p>
        </w:tc>
        <w:tc>
          <w:tcPr>
            <w:tcW w:w="676" w:type="pct"/>
            <w:shd w:val="clear" w:color="auto" w:fill="auto"/>
            <w:vAlign w:val="center"/>
          </w:tcPr>
          <w:p w14:paraId="1BA3B113">
            <w:pPr>
              <w:jc w:val="right"/>
              <w:rPr>
                <w:rFonts w:ascii="Arial Narrow" w:hAnsi="Arial Narrow" w:eastAsiaTheme="minorEastAsia"/>
                <w:szCs w:val="21"/>
              </w:rPr>
            </w:pPr>
            <w:r>
              <w:rPr>
                <w:rFonts w:ascii="Arial Narrow" w:hAnsi="Arial Narrow" w:eastAsiaTheme="minorEastAsia"/>
                <w:color w:val="000000"/>
                <w:szCs w:val="21"/>
              </w:rPr>
              <w:t>444,760,886.78</w:t>
            </w:r>
          </w:p>
        </w:tc>
        <w:tc>
          <w:tcPr>
            <w:tcW w:w="571" w:type="pct"/>
            <w:shd w:val="clear" w:color="auto" w:fill="auto"/>
            <w:vAlign w:val="center"/>
          </w:tcPr>
          <w:p w14:paraId="71CCD7E0">
            <w:pPr>
              <w:jc w:val="right"/>
              <w:rPr>
                <w:rFonts w:ascii="Arial Narrow" w:hAnsi="Arial Narrow" w:eastAsiaTheme="minorEastAsia"/>
                <w:szCs w:val="21"/>
              </w:rPr>
            </w:pPr>
          </w:p>
        </w:tc>
        <w:tc>
          <w:tcPr>
            <w:tcW w:w="528" w:type="pct"/>
            <w:shd w:val="clear" w:color="auto" w:fill="auto"/>
            <w:vAlign w:val="center"/>
          </w:tcPr>
          <w:p w14:paraId="5A82B27F">
            <w:pPr>
              <w:jc w:val="right"/>
              <w:rPr>
                <w:rFonts w:ascii="Arial Narrow" w:hAnsi="Arial Narrow" w:eastAsiaTheme="minorEastAsia"/>
                <w:szCs w:val="21"/>
              </w:rPr>
            </w:pPr>
          </w:p>
        </w:tc>
        <w:tc>
          <w:tcPr>
            <w:tcW w:w="571" w:type="pct"/>
            <w:shd w:val="clear" w:color="auto" w:fill="auto"/>
            <w:vAlign w:val="center"/>
          </w:tcPr>
          <w:p w14:paraId="6306915E">
            <w:pPr>
              <w:jc w:val="right"/>
              <w:rPr>
                <w:rFonts w:ascii="Arial Narrow" w:hAnsi="Arial Narrow" w:eastAsiaTheme="minorEastAsia"/>
                <w:szCs w:val="21"/>
              </w:rPr>
            </w:pPr>
            <w:r>
              <w:rPr>
                <w:rFonts w:ascii="Arial Narrow" w:hAnsi="Arial Narrow" w:eastAsiaTheme="minorEastAsia"/>
                <w:color w:val="000000"/>
                <w:szCs w:val="21"/>
              </w:rPr>
              <w:t>14,400.41</w:t>
            </w:r>
          </w:p>
        </w:tc>
        <w:tc>
          <w:tcPr>
            <w:tcW w:w="571" w:type="pct"/>
            <w:shd w:val="clear" w:color="auto" w:fill="auto"/>
            <w:vAlign w:val="center"/>
          </w:tcPr>
          <w:p w14:paraId="0E03BE2F">
            <w:pPr>
              <w:jc w:val="right"/>
              <w:rPr>
                <w:rFonts w:ascii="Arial Narrow" w:hAnsi="Arial Narrow" w:eastAsiaTheme="minorEastAsia"/>
                <w:szCs w:val="21"/>
              </w:rPr>
            </w:pPr>
          </w:p>
        </w:tc>
        <w:tc>
          <w:tcPr>
            <w:tcW w:w="529" w:type="pct"/>
            <w:shd w:val="clear" w:color="auto" w:fill="auto"/>
            <w:vAlign w:val="center"/>
          </w:tcPr>
          <w:p w14:paraId="40A3CE4A">
            <w:pPr>
              <w:jc w:val="right"/>
              <w:rPr>
                <w:rFonts w:ascii="Arial Narrow" w:hAnsi="Arial Narrow" w:eastAsiaTheme="minorEastAsia"/>
                <w:szCs w:val="21"/>
              </w:rPr>
            </w:pPr>
          </w:p>
        </w:tc>
        <w:tc>
          <w:tcPr>
            <w:tcW w:w="676" w:type="pct"/>
            <w:shd w:val="clear" w:color="auto" w:fill="auto"/>
            <w:vAlign w:val="center"/>
          </w:tcPr>
          <w:p w14:paraId="672DD614">
            <w:pPr>
              <w:jc w:val="right"/>
              <w:rPr>
                <w:rFonts w:ascii="Arial Narrow" w:hAnsi="Arial Narrow" w:eastAsiaTheme="minorEastAsia"/>
                <w:szCs w:val="21"/>
              </w:rPr>
            </w:pPr>
            <w:r>
              <w:rPr>
                <w:rFonts w:ascii="Arial Narrow" w:hAnsi="Arial Narrow" w:eastAsiaTheme="minorEastAsia"/>
                <w:color w:val="000000"/>
                <w:szCs w:val="21"/>
              </w:rPr>
              <w:t>444,775,287.19</w:t>
            </w:r>
          </w:p>
        </w:tc>
      </w:tr>
      <w:tr w14:paraId="4301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53E5F4B6">
            <w:pPr>
              <w:ind w:firstLine="420" w:firstLineChars="200"/>
              <w:rPr>
                <w:rFonts w:ascii="Arial Narrow" w:hAnsi="Arial Narrow" w:eastAsiaTheme="minorEastAsia"/>
                <w:szCs w:val="21"/>
              </w:rPr>
            </w:pPr>
            <w:r>
              <w:rPr>
                <w:rFonts w:ascii="Arial Narrow" w:hAnsi="Arial Narrow" w:eastAsiaTheme="minorEastAsia"/>
                <w:szCs w:val="21"/>
              </w:rPr>
              <w:t>（1）计提</w:t>
            </w:r>
          </w:p>
        </w:tc>
        <w:tc>
          <w:tcPr>
            <w:tcW w:w="676" w:type="pct"/>
            <w:shd w:val="clear" w:color="auto" w:fill="auto"/>
            <w:vAlign w:val="center"/>
          </w:tcPr>
          <w:p w14:paraId="37E9DEC8">
            <w:pPr>
              <w:jc w:val="right"/>
              <w:rPr>
                <w:rFonts w:ascii="Arial Narrow" w:hAnsi="Arial Narrow" w:eastAsiaTheme="minorEastAsia"/>
                <w:szCs w:val="21"/>
              </w:rPr>
            </w:pPr>
            <w:r>
              <w:rPr>
                <w:rFonts w:ascii="Arial Narrow" w:hAnsi="Arial Narrow" w:eastAsiaTheme="minorEastAsia"/>
                <w:color w:val="000000"/>
                <w:szCs w:val="21"/>
              </w:rPr>
              <w:t>444,760,886.78</w:t>
            </w:r>
          </w:p>
        </w:tc>
        <w:tc>
          <w:tcPr>
            <w:tcW w:w="571" w:type="pct"/>
            <w:shd w:val="clear" w:color="auto" w:fill="auto"/>
            <w:vAlign w:val="center"/>
          </w:tcPr>
          <w:p w14:paraId="22147161">
            <w:pPr>
              <w:jc w:val="right"/>
              <w:rPr>
                <w:rFonts w:ascii="Arial Narrow" w:hAnsi="Arial Narrow" w:eastAsiaTheme="minorEastAsia"/>
                <w:szCs w:val="21"/>
              </w:rPr>
            </w:pPr>
          </w:p>
        </w:tc>
        <w:tc>
          <w:tcPr>
            <w:tcW w:w="528" w:type="pct"/>
            <w:shd w:val="clear" w:color="auto" w:fill="auto"/>
            <w:vAlign w:val="center"/>
          </w:tcPr>
          <w:p w14:paraId="054E5E19">
            <w:pPr>
              <w:jc w:val="right"/>
              <w:rPr>
                <w:rFonts w:ascii="Arial Narrow" w:hAnsi="Arial Narrow" w:eastAsiaTheme="minorEastAsia"/>
                <w:szCs w:val="21"/>
              </w:rPr>
            </w:pPr>
          </w:p>
        </w:tc>
        <w:tc>
          <w:tcPr>
            <w:tcW w:w="571" w:type="pct"/>
            <w:shd w:val="clear" w:color="auto" w:fill="auto"/>
            <w:vAlign w:val="center"/>
          </w:tcPr>
          <w:p w14:paraId="2A7C9FFA">
            <w:pPr>
              <w:jc w:val="right"/>
              <w:rPr>
                <w:rFonts w:ascii="Arial Narrow" w:hAnsi="Arial Narrow" w:eastAsiaTheme="minorEastAsia"/>
                <w:szCs w:val="21"/>
              </w:rPr>
            </w:pPr>
            <w:r>
              <w:rPr>
                <w:rFonts w:ascii="Arial Narrow" w:hAnsi="Arial Narrow" w:eastAsiaTheme="minorEastAsia"/>
                <w:color w:val="000000"/>
                <w:szCs w:val="21"/>
              </w:rPr>
              <w:t>14,400.41</w:t>
            </w:r>
          </w:p>
        </w:tc>
        <w:tc>
          <w:tcPr>
            <w:tcW w:w="571" w:type="pct"/>
            <w:shd w:val="clear" w:color="auto" w:fill="auto"/>
            <w:vAlign w:val="center"/>
          </w:tcPr>
          <w:p w14:paraId="0A120AD2">
            <w:pPr>
              <w:jc w:val="right"/>
              <w:rPr>
                <w:rFonts w:ascii="Arial Narrow" w:hAnsi="Arial Narrow" w:eastAsiaTheme="minorEastAsia"/>
                <w:szCs w:val="21"/>
              </w:rPr>
            </w:pPr>
          </w:p>
        </w:tc>
        <w:tc>
          <w:tcPr>
            <w:tcW w:w="529" w:type="pct"/>
            <w:shd w:val="clear" w:color="auto" w:fill="auto"/>
            <w:vAlign w:val="center"/>
          </w:tcPr>
          <w:p w14:paraId="7135DB53">
            <w:pPr>
              <w:jc w:val="right"/>
              <w:rPr>
                <w:rFonts w:ascii="Arial Narrow" w:hAnsi="Arial Narrow" w:eastAsiaTheme="minorEastAsia"/>
                <w:szCs w:val="21"/>
              </w:rPr>
            </w:pPr>
          </w:p>
        </w:tc>
        <w:tc>
          <w:tcPr>
            <w:tcW w:w="676" w:type="pct"/>
            <w:shd w:val="clear" w:color="auto" w:fill="auto"/>
            <w:vAlign w:val="center"/>
          </w:tcPr>
          <w:p w14:paraId="3A2BF278">
            <w:pPr>
              <w:jc w:val="right"/>
              <w:rPr>
                <w:rFonts w:ascii="Arial Narrow" w:hAnsi="Arial Narrow" w:eastAsiaTheme="minorEastAsia"/>
                <w:szCs w:val="21"/>
              </w:rPr>
            </w:pPr>
            <w:r>
              <w:rPr>
                <w:rFonts w:ascii="Arial Narrow" w:hAnsi="Arial Narrow" w:eastAsiaTheme="minorEastAsia"/>
                <w:color w:val="000000"/>
                <w:szCs w:val="21"/>
              </w:rPr>
              <w:t>444,775,287.19</w:t>
            </w:r>
          </w:p>
        </w:tc>
      </w:tr>
      <w:tr w14:paraId="68F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327EF500">
            <w:pPr>
              <w:ind w:firstLine="420" w:firstLineChars="200"/>
              <w:rPr>
                <w:rFonts w:ascii="Arial Narrow" w:hAnsi="Arial Narrow" w:eastAsiaTheme="minorEastAsia"/>
                <w:szCs w:val="21"/>
              </w:rPr>
            </w:pPr>
            <w:r>
              <w:rPr>
                <w:rFonts w:ascii="Arial Narrow" w:hAnsi="Arial Narrow" w:eastAsiaTheme="minorEastAsia"/>
                <w:szCs w:val="21"/>
              </w:rPr>
              <w:t>3.本期减少金额</w:t>
            </w:r>
          </w:p>
        </w:tc>
        <w:tc>
          <w:tcPr>
            <w:tcW w:w="676" w:type="pct"/>
            <w:shd w:val="clear" w:color="auto" w:fill="auto"/>
            <w:vAlign w:val="center"/>
          </w:tcPr>
          <w:p w14:paraId="4B89D764">
            <w:pPr>
              <w:jc w:val="right"/>
              <w:rPr>
                <w:rFonts w:ascii="Arial Narrow" w:hAnsi="Arial Narrow" w:eastAsiaTheme="minorEastAsia"/>
                <w:szCs w:val="21"/>
              </w:rPr>
            </w:pPr>
          </w:p>
        </w:tc>
        <w:tc>
          <w:tcPr>
            <w:tcW w:w="571" w:type="pct"/>
            <w:shd w:val="clear" w:color="auto" w:fill="auto"/>
            <w:vAlign w:val="center"/>
          </w:tcPr>
          <w:p w14:paraId="021901BB">
            <w:pPr>
              <w:jc w:val="right"/>
              <w:rPr>
                <w:rFonts w:ascii="Arial Narrow" w:hAnsi="Arial Narrow" w:eastAsiaTheme="minorEastAsia"/>
                <w:szCs w:val="21"/>
              </w:rPr>
            </w:pPr>
          </w:p>
        </w:tc>
        <w:tc>
          <w:tcPr>
            <w:tcW w:w="528" w:type="pct"/>
            <w:shd w:val="clear" w:color="auto" w:fill="auto"/>
            <w:vAlign w:val="center"/>
          </w:tcPr>
          <w:p w14:paraId="146413B7">
            <w:pPr>
              <w:jc w:val="right"/>
              <w:rPr>
                <w:rFonts w:ascii="Arial Narrow" w:hAnsi="Arial Narrow" w:eastAsiaTheme="minorEastAsia"/>
                <w:szCs w:val="21"/>
              </w:rPr>
            </w:pPr>
          </w:p>
        </w:tc>
        <w:tc>
          <w:tcPr>
            <w:tcW w:w="571" w:type="pct"/>
            <w:shd w:val="clear" w:color="auto" w:fill="auto"/>
            <w:vAlign w:val="center"/>
          </w:tcPr>
          <w:p w14:paraId="5E551079">
            <w:pPr>
              <w:jc w:val="right"/>
              <w:rPr>
                <w:rFonts w:ascii="Arial Narrow" w:hAnsi="Arial Narrow" w:eastAsiaTheme="minorEastAsia"/>
                <w:szCs w:val="21"/>
              </w:rPr>
            </w:pPr>
          </w:p>
        </w:tc>
        <w:tc>
          <w:tcPr>
            <w:tcW w:w="571" w:type="pct"/>
            <w:shd w:val="clear" w:color="auto" w:fill="auto"/>
            <w:vAlign w:val="center"/>
          </w:tcPr>
          <w:p w14:paraId="0065DD42">
            <w:pPr>
              <w:jc w:val="right"/>
              <w:rPr>
                <w:rFonts w:ascii="Arial Narrow" w:hAnsi="Arial Narrow" w:eastAsiaTheme="minorEastAsia"/>
                <w:szCs w:val="21"/>
              </w:rPr>
            </w:pPr>
          </w:p>
        </w:tc>
        <w:tc>
          <w:tcPr>
            <w:tcW w:w="529" w:type="pct"/>
            <w:shd w:val="clear" w:color="auto" w:fill="auto"/>
            <w:vAlign w:val="center"/>
          </w:tcPr>
          <w:p w14:paraId="5EE5E4A6">
            <w:pPr>
              <w:jc w:val="right"/>
              <w:rPr>
                <w:rFonts w:ascii="Arial Narrow" w:hAnsi="Arial Narrow" w:eastAsiaTheme="minorEastAsia"/>
                <w:szCs w:val="21"/>
              </w:rPr>
            </w:pPr>
          </w:p>
        </w:tc>
        <w:tc>
          <w:tcPr>
            <w:tcW w:w="676" w:type="pct"/>
            <w:shd w:val="clear" w:color="auto" w:fill="auto"/>
            <w:vAlign w:val="center"/>
          </w:tcPr>
          <w:p w14:paraId="34818C93">
            <w:pPr>
              <w:jc w:val="right"/>
              <w:rPr>
                <w:rFonts w:ascii="Arial Narrow" w:hAnsi="Arial Narrow" w:eastAsiaTheme="minorEastAsia"/>
                <w:szCs w:val="21"/>
              </w:rPr>
            </w:pPr>
          </w:p>
        </w:tc>
      </w:tr>
      <w:tr w14:paraId="1B71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42040FE1">
            <w:pPr>
              <w:ind w:firstLine="420" w:firstLineChars="200"/>
              <w:rPr>
                <w:rFonts w:ascii="Arial Narrow" w:hAnsi="Arial Narrow" w:eastAsiaTheme="minorEastAsia"/>
                <w:szCs w:val="21"/>
              </w:rPr>
            </w:pPr>
            <w:r>
              <w:rPr>
                <w:rFonts w:ascii="Arial Narrow" w:hAnsi="Arial Narrow" w:eastAsiaTheme="minorEastAsia"/>
                <w:szCs w:val="21"/>
              </w:rPr>
              <w:t>4.期末余额</w:t>
            </w:r>
          </w:p>
        </w:tc>
        <w:tc>
          <w:tcPr>
            <w:tcW w:w="676" w:type="pct"/>
            <w:shd w:val="clear" w:color="auto" w:fill="auto"/>
            <w:vAlign w:val="center"/>
          </w:tcPr>
          <w:p w14:paraId="30E208ED">
            <w:pPr>
              <w:jc w:val="right"/>
              <w:rPr>
                <w:rFonts w:ascii="Arial Narrow" w:hAnsi="Arial Narrow" w:eastAsiaTheme="minorEastAsia"/>
                <w:szCs w:val="21"/>
              </w:rPr>
            </w:pPr>
            <w:r>
              <w:rPr>
                <w:rFonts w:ascii="Arial Narrow" w:hAnsi="Arial Narrow" w:eastAsiaTheme="minorEastAsia"/>
                <w:color w:val="000000"/>
                <w:szCs w:val="21"/>
              </w:rPr>
              <w:t>444,760,886.78</w:t>
            </w:r>
          </w:p>
        </w:tc>
        <w:tc>
          <w:tcPr>
            <w:tcW w:w="571" w:type="pct"/>
            <w:shd w:val="clear" w:color="auto" w:fill="auto"/>
            <w:vAlign w:val="center"/>
          </w:tcPr>
          <w:p w14:paraId="6A7D2BEF">
            <w:pPr>
              <w:jc w:val="right"/>
              <w:rPr>
                <w:rFonts w:ascii="Arial Narrow" w:hAnsi="Arial Narrow" w:eastAsiaTheme="minorEastAsia"/>
                <w:szCs w:val="21"/>
              </w:rPr>
            </w:pPr>
          </w:p>
        </w:tc>
        <w:tc>
          <w:tcPr>
            <w:tcW w:w="528" w:type="pct"/>
            <w:shd w:val="clear" w:color="auto" w:fill="auto"/>
            <w:vAlign w:val="center"/>
          </w:tcPr>
          <w:p w14:paraId="5F0B66BC">
            <w:pPr>
              <w:jc w:val="right"/>
              <w:rPr>
                <w:rFonts w:ascii="Arial Narrow" w:hAnsi="Arial Narrow" w:eastAsiaTheme="minorEastAsia"/>
                <w:szCs w:val="21"/>
              </w:rPr>
            </w:pPr>
          </w:p>
        </w:tc>
        <w:tc>
          <w:tcPr>
            <w:tcW w:w="571" w:type="pct"/>
            <w:shd w:val="clear" w:color="auto" w:fill="auto"/>
            <w:vAlign w:val="center"/>
          </w:tcPr>
          <w:p w14:paraId="53711E40">
            <w:pPr>
              <w:jc w:val="right"/>
              <w:rPr>
                <w:rFonts w:ascii="Arial Narrow" w:hAnsi="Arial Narrow" w:eastAsiaTheme="minorEastAsia"/>
                <w:szCs w:val="21"/>
              </w:rPr>
            </w:pPr>
            <w:r>
              <w:rPr>
                <w:rFonts w:ascii="Arial Narrow" w:hAnsi="Arial Narrow" w:eastAsiaTheme="minorEastAsia"/>
                <w:color w:val="000000"/>
                <w:szCs w:val="21"/>
              </w:rPr>
              <w:t>14,400.41</w:t>
            </w:r>
          </w:p>
        </w:tc>
        <w:tc>
          <w:tcPr>
            <w:tcW w:w="571" w:type="pct"/>
            <w:shd w:val="clear" w:color="auto" w:fill="auto"/>
            <w:vAlign w:val="center"/>
          </w:tcPr>
          <w:p w14:paraId="35A262EE">
            <w:pPr>
              <w:jc w:val="right"/>
              <w:rPr>
                <w:rFonts w:ascii="Arial Narrow" w:hAnsi="Arial Narrow" w:eastAsiaTheme="minorEastAsia"/>
                <w:szCs w:val="21"/>
              </w:rPr>
            </w:pPr>
          </w:p>
        </w:tc>
        <w:tc>
          <w:tcPr>
            <w:tcW w:w="529" w:type="pct"/>
            <w:shd w:val="clear" w:color="auto" w:fill="auto"/>
            <w:vAlign w:val="center"/>
          </w:tcPr>
          <w:p w14:paraId="31BA0A98">
            <w:pPr>
              <w:jc w:val="right"/>
              <w:rPr>
                <w:rFonts w:ascii="Arial Narrow" w:hAnsi="Arial Narrow" w:eastAsiaTheme="minorEastAsia"/>
                <w:szCs w:val="21"/>
              </w:rPr>
            </w:pPr>
          </w:p>
        </w:tc>
        <w:tc>
          <w:tcPr>
            <w:tcW w:w="676" w:type="pct"/>
            <w:shd w:val="clear" w:color="auto" w:fill="auto"/>
            <w:vAlign w:val="center"/>
          </w:tcPr>
          <w:p w14:paraId="493543A8">
            <w:pPr>
              <w:jc w:val="right"/>
              <w:rPr>
                <w:rFonts w:ascii="Arial Narrow" w:hAnsi="Arial Narrow" w:eastAsiaTheme="minorEastAsia"/>
                <w:szCs w:val="21"/>
              </w:rPr>
            </w:pPr>
            <w:r>
              <w:rPr>
                <w:rFonts w:ascii="Arial Narrow" w:hAnsi="Arial Narrow" w:eastAsiaTheme="minorEastAsia"/>
                <w:color w:val="000000"/>
                <w:szCs w:val="21"/>
              </w:rPr>
              <w:t>444,775,287.19</w:t>
            </w:r>
          </w:p>
        </w:tc>
      </w:tr>
      <w:tr w14:paraId="745A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sdt>
          <w:sdtPr>
            <w:rPr>
              <w:rFonts w:ascii="Arial Narrow" w:hAnsi="Arial Narrow" w:eastAsiaTheme="minorEastAsia"/>
              <w:szCs w:val="21"/>
            </w:rPr>
            <w:tag w:val="_PLD_4b0672b3afec475f9c6133950914fc81"/>
            <w:id w:val="-54012963"/>
          </w:sdtPr>
          <w:sdtEndPr>
            <w:rPr>
              <w:rFonts w:ascii="Arial Narrow" w:hAnsi="Arial Narrow" w:eastAsiaTheme="minorEastAsia"/>
              <w:szCs w:val="21"/>
            </w:rPr>
          </w:sdtEndPr>
          <w:sdtContent>
            <w:tc>
              <w:tcPr>
                <w:tcW w:w="5000" w:type="pct"/>
                <w:gridSpan w:val="8"/>
                <w:shd w:val="clear" w:color="auto" w:fill="auto"/>
                <w:vAlign w:val="center"/>
              </w:tcPr>
              <w:p w14:paraId="688C95C6">
                <w:pPr>
                  <w:rPr>
                    <w:rFonts w:ascii="Arial Narrow" w:hAnsi="Arial Narrow" w:eastAsiaTheme="minorEastAsia"/>
                    <w:szCs w:val="21"/>
                  </w:rPr>
                </w:pPr>
                <w:r>
                  <w:rPr>
                    <w:rFonts w:ascii="Arial Narrow" w:hAnsi="Arial Narrow" w:eastAsiaTheme="minorEastAsia"/>
                    <w:szCs w:val="21"/>
                  </w:rPr>
                  <w:t>四、账面价值</w:t>
                </w:r>
              </w:p>
            </w:tc>
          </w:sdtContent>
        </w:sdt>
      </w:tr>
      <w:tr w14:paraId="0858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5931D1E5">
            <w:pPr>
              <w:rPr>
                <w:rFonts w:ascii="Arial Narrow" w:hAnsi="Arial Narrow" w:eastAsiaTheme="minorEastAsia"/>
                <w:szCs w:val="21"/>
              </w:rPr>
            </w:pPr>
            <w:r>
              <w:rPr>
                <w:rFonts w:ascii="Arial Narrow" w:hAnsi="Arial Narrow" w:eastAsiaTheme="minorEastAsia"/>
                <w:szCs w:val="21"/>
              </w:rPr>
              <w:t xml:space="preserve">    1.期末账面价值</w:t>
            </w:r>
          </w:p>
        </w:tc>
        <w:tc>
          <w:tcPr>
            <w:tcW w:w="676" w:type="pct"/>
            <w:shd w:val="clear" w:color="auto" w:fill="auto"/>
            <w:vAlign w:val="center"/>
          </w:tcPr>
          <w:p w14:paraId="674E2537">
            <w:pPr>
              <w:jc w:val="right"/>
              <w:rPr>
                <w:rFonts w:ascii="Arial Narrow" w:hAnsi="Arial Narrow" w:eastAsiaTheme="minorEastAsia"/>
                <w:szCs w:val="21"/>
              </w:rPr>
            </w:pPr>
            <w:r>
              <w:rPr>
                <w:rFonts w:ascii="Arial Narrow" w:hAnsi="Arial Narrow" w:eastAsiaTheme="minorEastAsia"/>
                <w:color w:val="000000"/>
                <w:szCs w:val="21"/>
              </w:rPr>
              <w:t>1,406,705,910.47</w:t>
            </w:r>
          </w:p>
        </w:tc>
        <w:tc>
          <w:tcPr>
            <w:tcW w:w="571" w:type="pct"/>
            <w:shd w:val="clear" w:color="auto" w:fill="auto"/>
            <w:vAlign w:val="center"/>
          </w:tcPr>
          <w:p w14:paraId="3BF6A5D1">
            <w:pPr>
              <w:jc w:val="right"/>
              <w:rPr>
                <w:rFonts w:ascii="Arial Narrow" w:hAnsi="Arial Narrow" w:eastAsiaTheme="minorEastAsia"/>
                <w:szCs w:val="21"/>
              </w:rPr>
            </w:pPr>
            <w:r>
              <w:rPr>
                <w:rFonts w:ascii="Arial Narrow" w:hAnsi="Arial Narrow" w:eastAsiaTheme="minorEastAsia"/>
                <w:color w:val="000000"/>
                <w:szCs w:val="21"/>
              </w:rPr>
              <w:t>6,635,284.35</w:t>
            </w:r>
          </w:p>
        </w:tc>
        <w:tc>
          <w:tcPr>
            <w:tcW w:w="528" w:type="pct"/>
            <w:shd w:val="clear" w:color="auto" w:fill="auto"/>
            <w:vAlign w:val="center"/>
          </w:tcPr>
          <w:p w14:paraId="00441FEA">
            <w:pPr>
              <w:jc w:val="right"/>
              <w:rPr>
                <w:rFonts w:ascii="Arial Narrow" w:hAnsi="Arial Narrow" w:eastAsiaTheme="minorEastAsia"/>
                <w:szCs w:val="21"/>
              </w:rPr>
            </w:pPr>
          </w:p>
        </w:tc>
        <w:tc>
          <w:tcPr>
            <w:tcW w:w="571" w:type="pct"/>
            <w:shd w:val="clear" w:color="auto" w:fill="auto"/>
            <w:vAlign w:val="center"/>
          </w:tcPr>
          <w:p w14:paraId="50891771">
            <w:pPr>
              <w:jc w:val="right"/>
              <w:rPr>
                <w:rFonts w:ascii="Arial Narrow" w:hAnsi="Arial Narrow" w:eastAsiaTheme="minorEastAsia"/>
                <w:szCs w:val="21"/>
              </w:rPr>
            </w:pPr>
            <w:r>
              <w:rPr>
                <w:rFonts w:ascii="Arial Narrow" w:hAnsi="Arial Narrow" w:eastAsiaTheme="minorEastAsia"/>
                <w:color w:val="000000"/>
                <w:szCs w:val="21"/>
              </w:rPr>
              <w:t>9,249,423.10</w:t>
            </w:r>
          </w:p>
        </w:tc>
        <w:tc>
          <w:tcPr>
            <w:tcW w:w="571" w:type="pct"/>
            <w:shd w:val="clear" w:color="auto" w:fill="auto"/>
            <w:vAlign w:val="center"/>
          </w:tcPr>
          <w:p w14:paraId="3655362D">
            <w:pPr>
              <w:jc w:val="right"/>
              <w:rPr>
                <w:rFonts w:ascii="Arial Narrow" w:hAnsi="Arial Narrow" w:eastAsiaTheme="minorEastAsia"/>
                <w:szCs w:val="21"/>
              </w:rPr>
            </w:pPr>
            <w:r>
              <w:rPr>
                <w:rFonts w:ascii="Arial Narrow" w:hAnsi="Arial Narrow" w:eastAsiaTheme="minorEastAsia"/>
                <w:color w:val="000000"/>
                <w:szCs w:val="21"/>
              </w:rPr>
              <w:t>15,010,102.29</w:t>
            </w:r>
          </w:p>
        </w:tc>
        <w:tc>
          <w:tcPr>
            <w:tcW w:w="529" w:type="pct"/>
            <w:shd w:val="clear" w:color="auto" w:fill="auto"/>
            <w:vAlign w:val="center"/>
          </w:tcPr>
          <w:p w14:paraId="7E0C2254">
            <w:pPr>
              <w:jc w:val="right"/>
              <w:rPr>
                <w:rFonts w:ascii="Arial Narrow" w:hAnsi="Arial Narrow" w:eastAsiaTheme="minorEastAsia"/>
                <w:szCs w:val="21"/>
              </w:rPr>
            </w:pPr>
            <w:r>
              <w:rPr>
                <w:rFonts w:ascii="Arial Narrow" w:hAnsi="Arial Narrow" w:eastAsiaTheme="minorEastAsia"/>
                <w:color w:val="000000"/>
                <w:szCs w:val="21"/>
              </w:rPr>
              <w:t>422,950.81</w:t>
            </w:r>
          </w:p>
        </w:tc>
        <w:tc>
          <w:tcPr>
            <w:tcW w:w="676" w:type="pct"/>
            <w:shd w:val="clear" w:color="auto" w:fill="auto"/>
            <w:vAlign w:val="center"/>
          </w:tcPr>
          <w:p w14:paraId="328DE362">
            <w:pPr>
              <w:jc w:val="right"/>
              <w:rPr>
                <w:rFonts w:ascii="Arial Narrow" w:hAnsi="Arial Narrow" w:eastAsiaTheme="minorEastAsia"/>
                <w:szCs w:val="21"/>
              </w:rPr>
            </w:pPr>
            <w:r>
              <w:rPr>
                <w:rFonts w:ascii="Arial Narrow" w:hAnsi="Arial Narrow" w:eastAsiaTheme="minorEastAsia"/>
                <w:color w:val="000000"/>
                <w:szCs w:val="21"/>
              </w:rPr>
              <w:t>1,438,023,671.02</w:t>
            </w:r>
          </w:p>
        </w:tc>
      </w:tr>
      <w:tr w14:paraId="2BC7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8" w:type="pct"/>
            <w:shd w:val="clear" w:color="auto" w:fill="auto"/>
            <w:vAlign w:val="center"/>
          </w:tcPr>
          <w:p w14:paraId="5653A4AD">
            <w:pPr>
              <w:rPr>
                <w:rFonts w:ascii="Arial Narrow" w:hAnsi="Arial Narrow" w:eastAsiaTheme="minorEastAsia"/>
                <w:szCs w:val="21"/>
              </w:rPr>
            </w:pPr>
            <w:r>
              <w:rPr>
                <w:rFonts w:ascii="Arial Narrow" w:hAnsi="Arial Narrow" w:eastAsiaTheme="minorEastAsia"/>
                <w:szCs w:val="21"/>
              </w:rPr>
              <w:t xml:space="preserve">    2.期初账面价值</w:t>
            </w:r>
          </w:p>
        </w:tc>
        <w:tc>
          <w:tcPr>
            <w:tcW w:w="676" w:type="pct"/>
            <w:shd w:val="clear" w:color="auto" w:fill="auto"/>
            <w:vAlign w:val="center"/>
          </w:tcPr>
          <w:p w14:paraId="61E154FE">
            <w:pPr>
              <w:jc w:val="right"/>
              <w:rPr>
                <w:rFonts w:ascii="Arial Narrow" w:hAnsi="Arial Narrow" w:eastAsiaTheme="minorEastAsia"/>
                <w:szCs w:val="21"/>
              </w:rPr>
            </w:pPr>
            <w:r>
              <w:rPr>
                <w:rFonts w:ascii="Arial Narrow" w:hAnsi="Arial Narrow" w:eastAsiaTheme="minorEastAsia"/>
                <w:color w:val="000000"/>
                <w:szCs w:val="21"/>
              </w:rPr>
              <w:t>1,945,186,107.77</w:t>
            </w:r>
          </w:p>
        </w:tc>
        <w:tc>
          <w:tcPr>
            <w:tcW w:w="571" w:type="pct"/>
            <w:shd w:val="clear" w:color="auto" w:fill="auto"/>
            <w:vAlign w:val="center"/>
          </w:tcPr>
          <w:p w14:paraId="1C866D71">
            <w:pPr>
              <w:jc w:val="right"/>
              <w:rPr>
                <w:rFonts w:ascii="Arial Narrow" w:hAnsi="Arial Narrow" w:eastAsiaTheme="minorEastAsia"/>
                <w:szCs w:val="21"/>
              </w:rPr>
            </w:pPr>
            <w:r>
              <w:rPr>
                <w:rFonts w:ascii="Arial Narrow" w:hAnsi="Arial Narrow" w:eastAsiaTheme="minorEastAsia"/>
                <w:color w:val="000000"/>
                <w:szCs w:val="21"/>
              </w:rPr>
              <w:t>7,858,982.67</w:t>
            </w:r>
          </w:p>
        </w:tc>
        <w:tc>
          <w:tcPr>
            <w:tcW w:w="528" w:type="pct"/>
            <w:shd w:val="clear" w:color="auto" w:fill="auto"/>
            <w:vAlign w:val="center"/>
          </w:tcPr>
          <w:p w14:paraId="6C21415E">
            <w:pPr>
              <w:jc w:val="right"/>
              <w:rPr>
                <w:rFonts w:ascii="Arial Narrow" w:hAnsi="Arial Narrow" w:eastAsiaTheme="minorEastAsia"/>
                <w:szCs w:val="21"/>
              </w:rPr>
            </w:pPr>
            <w:r>
              <w:rPr>
                <w:rFonts w:ascii="Arial Narrow" w:hAnsi="Arial Narrow" w:eastAsiaTheme="minorEastAsia"/>
                <w:color w:val="000000"/>
                <w:szCs w:val="21"/>
              </w:rPr>
              <w:t>3,994.05</w:t>
            </w:r>
          </w:p>
        </w:tc>
        <w:tc>
          <w:tcPr>
            <w:tcW w:w="571" w:type="pct"/>
            <w:shd w:val="clear" w:color="auto" w:fill="auto"/>
            <w:vAlign w:val="center"/>
          </w:tcPr>
          <w:p w14:paraId="52D5B1A0">
            <w:pPr>
              <w:jc w:val="right"/>
              <w:rPr>
                <w:rFonts w:ascii="Arial Narrow" w:hAnsi="Arial Narrow" w:eastAsiaTheme="minorEastAsia"/>
                <w:szCs w:val="21"/>
              </w:rPr>
            </w:pPr>
            <w:r>
              <w:rPr>
                <w:rFonts w:ascii="Arial Narrow" w:hAnsi="Arial Narrow" w:eastAsiaTheme="minorEastAsia"/>
                <w:color w:val="000000"/>
                <w:szCs w:val="21"/>
              </w:rPr>
              <w:t>10,217,118.88</w:t>
            </w:r>
          </w:p>
        </w:tc>
        <w:tc>
          <w:tcPr>
            <w:tcW w:w="571" w:type="pct"/>
            <w:shd w:val="clear" w:color="auto" w:fill="auto"/>
            <w:vAlign w:val="center"/>
          </w:tcPr>
          <w:p w14:paraId="6B0C3857">
            <w:pPr>
              <w:jc w:val="right"/>
              <w:rPr>
                <w:rFonts w:ascii="Arial Narrow" w:hAnsi="Arial Narrow" w:eastAsiaTheme="minorEastAsia"/>
                <w:szCs w:val="21"/>
              </w:rPr>
            </w:pPr>
            <w:r>
              <w:rPr>
                <w:rFonts w:ascii="Arial Narrow" w:hAnsi="Arial Narrow" w:eastAsiaTheme="minorEastAsia"/>
                <w:color w:val="000000"/>
                <w:szCs w:val="21"/>
              </w:rPr>
              <w:t>15,030,470.56</w:t>
            </w:r>
          </w:p>
        </w:tc>
        <w:tc>
          <w:tcPr>
            <w:tcW w:w="529" w:type="pct"/>
            <w:shd w:val="clear" w:color="auto" w:fill="auto"/>
            <w:vAlign w:val="center"/>
          </w:tcPr>
          <w:p w14:paraId="4EDA4D0D">
            <w:pPr>
              <w:jc w:val="right"/>
              <w:rPr>
                <w:rFonts w:ascii="Arial Narrow" w:hAnsi="Arial Narrow" w:eastAsiaTheme="minorEastAsia"/>
                <w:szCs w:val="21"/>
              </w:rPr>
            </w:pPr>
            <w:r>
              <w:rPr>
                <w:rFonts w:ascii="Arial Narrow" w:hAnsi="Arial Narrow" w:eastAsiaTheme="minorEastAsia"/>
                <w:color w:val="000000"/>
                <w:szCs w:val="21"/>
              </w:rPr>
              <w:t>636,226.33</w:t>
            </w:r>
          </w:p>
        </w:tc>
        <w:tc>
          <w:tcPr>
            <w:tcW w:w="676" w:type="pct"/>
            <w:shd w:val="clear" w:color="auto" w:fill="auto"/>
            <w:vAlign w:val="center"/>
          </w:tcPr>
          <w:p w14:paraId="27CAD7D9">
            <w:pPr>
              <w:jc w:val="right"/>
              <w:rPr>
                <w:rFonts w:ascii="Arial Narrow" w:hAnsi="Arial Narrow" w:eastAsiaTheme="minorEastAsia"/>
                <w:szCs w:val="21"/>
              </w:rPr>
            </w:pPr>
            <w:r>
              <w:rPr>
                <w:rFonts w:ascii="Arial Narrow" w:hAnsi="Arial Narrow" w:eastAsiaTheme="minorEastAsia"/>
                <w:color w:val="000000"/>
                <w:szCs w:val="21"/>
              </w:rPr>
              <w:t>1,978,932,900.26</w:t>
            </w:r>
          </w:p>
        </w:tc>
      </w:tr>
    </w:tbl>
    <w:p w14:paraId="1971E843">
      <w:pPr>
        <w:rPr>
          <w:rFonts w:hint="eastAsia"/>
        </w:rPr>
      </w:pPr>
    </w:p>
    <w:p w14:paraId="681EAD9A">
      <w:pPr>
        <w:snapToGrid w:val="0"/>
        <w:spacing w:line="240" w:lineRule="atLeast"/>
        <w:rPr>
          <w:rFonts w:hint="eastAsia"/>
          <w:szCs w:val="21"/>
        </w:rPr>
      </w:pPr>
      <w:r>
        <w:rPr>
          <w:rFonts w:hint="eastAsia"/>
          <w:szCs w:val="21"/>
        </w:rPr>
        <w:t>本期末通过公司内部研发形成的无形资产占无形资产余额的比例是</w:t>
      </w:r>
      <w:sdt>
        <w:sdtPr>
          <w:rPr>
            <w:szCs w:val="21"/>
          </w:rPr>
          <w:alias w:val="通过公司内部研发形成的无形资产占无形资产账面价值的比例"/>
          <w:tag w:val="_GBC_a5caf6c87458439c8916b866a1bdf523"/>
          <w:id w:val="482661519"/>
          <w:placeholder>
            <w:docPart w:val="GBC22222222222222222222222222222"/>
          </w:placeholder>
        </w:sdtPr>
        <w:sdtEndPr>
          <w:rPr>
            <w:szCs w:val="21"/>
          </w:rPr>
        </w:sdtEndPr>
        <w:sdtContent>
          <w:r>
            <w:rPr>
              <w:rFonts w:hint="eastAsia"/>
              <w:szCs w:val="21"/>
            </w:rPr>
            <w:t>0</w:t>
          </w:r>
        </w:sdtContent>
      </w:sdt>
    </w:p>
    <w:p w14:paraId="7BF6CAD4">
      <w:pPr>
        <w:snapToGrid w:val="0"/>
        <w:spacing w:line="240" w:lineRule="atLeast"/>
        <w:rPr>
          <w:rFonts w:hint="eastAsia"/>
          <w:szCs w:val="21"/>
        </w:rPr>
      </w:pPr>
    </w:p>
    <w:bookmarkEnd w:id="327"/>
    <w:p w14:paraId="45D017B5">
      <w:pPr>
        <w:pStyle w:val="71"/>
        <w:numPr>
          <w:ilvl w:val="3"/>
          <w:numId w:val="131"/>
        </w:numPr>
        <w:ind w:left="426" w:hanging="426"/>
        <w:rPr>
          <w:rFonts w:hint="eastAsia" w:ascii="宋体" w:hAnsi="宋体" w:eastAsia="宋体" w:cs="宋体"/>
          <w:kern w:val="0"/>
          <w:szCs w:val="24"/>
        </w:rPr>
      </w:pPr>
      <w:bookmarkStart w:id="328" w:name="_Hlk182485368"/>
      <w:bookmarkStart w:id="329" w:name="_Hlk169705970"/>
      <w:r>
        <w:rPr>
          <w:rFonts w:hint="eastAsia" w:ascii="宋体" w:hAnsi="宋体" w:eastAsia="宋体" w:cs="宋体"/>
          <w:kern w:val="0"/>
          <w:szCs w:val="24"/>
        </w:rPr>
        <w:t>确认为无形资产的数据资源</w:t>
      </w:r>
    </w:p>
    <w:sdt>
      <w:sdtPr>
        <w:rPr>
          <w:color w:val="000000" w:themeColor="text1"/>
          <w14:textFill>
            <w14:solidFill>
              <w14:schemeClr w14:val="tx1"/>
            </w14:solidFill>
          </w14:textFill>
        </w:rPr>
        <w:alias w:val="是否适用：确认为无形资产的数据资源[双击切换]"/>
        <w:tag w:val="_GBC_178251a2b9bc4427aa8303576cf5eeed"/>
        <w:id w:val="-362596676"/>
        <w:placeholder>
          <w:docPart w:val="GBC22222222222222222222222222222"/>
        </w:placeholder>
      </w:sdtPr>
      <w:sdtEndPr>
        <w:rPr>
          <w:color w:val="000000" w:themeColor="text1"/>
          <w14:textFill>
            <w14:solidFill>
              <w14:schemeClr w14:val="tx1"/>
            </w14:solidFill>
          </w14:textFill>
        </w:rPr>
      </w:sdtEndPr>
      <w:sdtContent>
        <w:p w14:paraId="5B2A5BC9">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0E5C512D">
      <w:pPr>
        <w:snapToGrid w:val="0"/>
        <w:spacing w:line="240" w:lineRule="atLeast"/>
        <w:rPr>
          <w:rFonts w:hint="eastAsia"/>
          <w:color w:val="000000" w:themeColor="text1"/>
          <w14:textFill>
            <w14:solidFill>
              <w14:schemeClr w14:val="tx1"/>
            </w14:solidFill>
          </w14:textFill>
        </w:rPr>
      </w:pPr>
    </w:p>
    <w:bookmarkEnd w:id="328"/>
    <w:bookmarkEnd w:id="329"/>
    <w:p w14:paraId="06A2D8FC">
      <w:pPr>
        <w:pStyle w:val="71"/>
        <w:numPr>
          <w:ilvl w:val="3"/>
          <w:numId w:val="131"/>
        </w:numPr>
        <w:ind w:left="426" w:hanging="426"/>
        <w:rPr>
          <w:rFonts w:hint="eastAsia"/>
        </w:rPr>
      </w:pPr>
      <w:r>
        <w:rPr>
          <w:rFonts w:hint="eastAsia"/>
        </w:rPr>
        <w:t>未办妥产权证书的土地使用权情况</w:t>
      </w:r>
    </w:p>
    <w:p w14:paraId="306AE06A">
      <w:pPr>
        <w:rPr>
          <w:rFonts w:hint="eastAsia"/>
        </w:rPr>
      </w:pPr>
      <w:sdt>
        <w:sdtPr>
          <w:alias w:val="是否适用：未办妥产权证书的土地使用权情况[双击切换]"/>
          <w:tag w:val="_GBC_62bb02d09b844cb69dfe16466ac211c9"/>
          <w:id w:val="678245332"/>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0F300413">
      <w:pPr>
        <w:jc w:val="right"/>
        <w:rPr>
          <w:rFonts w:hint="eastAsia"/>
        </w:rPr>
      </w:pPr>
      <w:r>
        <w:rPr>
          <w:rFonts w:hint="eastAsia"/>
        </w:rPr>
        <w:t>单位：</w:t>
      </w:r>
      <w:sdt>
        <w:sdtPr>
          <w:rPr>
            <w:rFonts w:hint="eastAsia"/>
          </w:rPr>
          <w:alias w:val="单位：财务附注：未办妥产权证书的土地使用权情况"/>
          <w:tag w:val="_GBC_0f049ced02af4be6bb3132c9fb8b9914"/>
          <w:id w:val="-17861893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未办妥产权证书的土地使用权情况"/>
          <w:tag w:val="_GBC_2d9d301f865248d6b6f1b7ab06b239cf"/>
          <w:id w:val="584452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9"/>
        <w:gridCol w:w="4622"/>
        <w:gridCol w:w="4622"/>
      </w:tblGrid>
      <w:tr w14:paraId="0E12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Cs w:val="21"/>
            </w:rPr>
            <w:tag w:val="_PLD_394f6bb5ef6741f099060f7a817e1f9c"/>
            <w:id w:val="1859395685"/>
          </w:sdtPr>
          <w:sdtEndPr>
            <w:rPr>
              <w:szCs w:val="21"/>
            </w:rPr>
          </w:sdtEndPr>
          <w:sdtContent>
            <w:tc>
              <w:tcPr>
                <w:tcW w:w="1666" w:type="pct"/>
                <w:shd w:val="clear" w:color="auto" w:fill="auto"/>
                <w:vAlign w:val="center"/>
              </w:tcPr>
              <w:p w14:paraId="4018FDE8">
                <w:pPr>
                  <w:jc w:val="center"/>
                  <w:rPr>
                    <w:rFonts w:hint="eastAsia"/>
                    <w:szCs w:val="21"/>
                  </w:rPr>
                </w:pPr>
                <w:r>
                  <w:rPr>
                    <w:rFonts w:hint="eastAsia"/>
                    <w:szCs w:val="21"/>
                  </w:rPr>
                  <w:t>项目</w:t>
                </w:r>
              </w:p>
            </w:tc>
          </w:sdtContent>
        </w:sdt>
        <w:sdt>
          <w:sdtPr>
            <w:rPr>
              <w:szCs w:val="21"/>
            </w:rPr>
            <w:tag w:val="_PLD_e52ee31192ed4f9facd48939a297a1af"/>
            <w:id w:val="-19011999"/>
          </w:sdtPr>
          <w:sdtEndPr>
            <w:rPr>
              <w:szCs w:val="21"/>
            </w:rPr>
          </w:sdtEndPr>
          <w:sdtContent>
            <w:tc>
              <w:tcPr>
                <w:tcW w:w="1667" w:type="pct"/>
                <w:shd w:val="clear" w:color="auto" w:fill="auto"/>
                <w:vAlign w:val="center"/>
              </w:tcPr>
              <w:p w14:paraId="19D17F2E">
                <w:pPr>
                  <w:jc w:val="center"/>
                  <w:rPr>
                    <w:rFonts w:hint="eastAsia"/>
                    <w:szCs w:val="21"/>
                  </w:rPr>
                </w:pPr>
                <w:r>
                  <w:rPr>
                    <w:rFonts w:hint="eastAsia"/>
                    <w:szCs w:val="21"/>
                  </w:rPr>
                  <w:t>账面价值</w:t>
                </w:r>
              </w:p>
            </w:tc>
          </w:sdtContent>
        </w:sdt>
        <w:sdt>
          <w:sdtPr>
            <w:rPr>
              <w:szCs w:val="21"/>
            </w:rPr>
            <w:tag w:val="_PLD_658d52b6529741e0acdd01e40f47293b"/>
            <w:id w:val="-1961329844"/>
          </w:sdtPr>
          <w:sdtEndPr>
            <w:rPr>
              <w:szCs w:val="21"/>
            </w:rPr>
          </w:sdtEndPr>
          <w:sdtContent>
            <w:tc>
              <w:tcPr>
                <w:tcW w:w="1667" w:type="pct"/>
                <w:shd w:val="clear" w:color="auto" w:fill="auto"/>
                <w:vAlign w:val="center"/>
              </w:tcPr>
              <w:p w14:paraId="1508CFA5">
                <w:pPr>
                  <w:jc w:val="center"/>
                  <w:rPr>
                    <w:rFonts w:hint="eastAsia"/>
                    <w:szCs w:val="21"/>
                  </w:rPr>
                </w:pPr>
                <w:r>
                  <w:rPr>
                    <w:rFonts w:hint="eastAsia"/>
                    <w:szCs w:val="21"/>
                  </w:rPr>
                  <w:t>未办妥产权证书的原因</w:t>
                </w:r>
              </w:p>
            </w:tc>
          </w:sdtContent>
        </w:sdt>
      </w:tr>
      <w:tr w14:paraId="5F98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7DC8E1B5">
            <w:pPr>
              <w:rPr>
                <w:rFonts w:hint="eastAsia" w:asciiTheme="minorEastAsia" w:hAnsiTheme="minorEastAsia" w:eastAsiaTheme="minorEastAsia"/>
                <w:szCs w:val="21"/>
              </w:rPr>
            </w:pPr>
            <w:r>
              <w:rPr>
                <w:rFonts w:asciiTheme="minorEastAsia" w:hAnsiTheme="minorEastAsia" w:eastAsiaTheme="minorEastAsia"/>
                <w:color w:val="000000"/>
                <w:szCs w:val="21"/>
              </w:rPr>
              <w:t>际华针织土地</w:t>
            </w:r>
          </w:p>
        </w:tc>
        <w:tc>
          <w:tcPr>
            <w:tcW w:w="1667" w:type="pct"/>
            <w:shd w:val="clear" w:color="auto" w:fill="auto"/>
            <w:vAlign w:val="center"/>
          </w:tcPr>
          <w:p w14:paraId="1E87EAE5">
            <w:pPr>
              <w:jc w:val="right"/>
              <w:rPr>
                <w:rFonts w:hint="eastAsia"/>
                <w:szCs w:val="21"/>
              </w:rPr>
            </w:pPr>
            <w:r>
              <w:rPr>
                <w:rFonts w:ascii="Arial Narrow" w:hAnsi="Arial Narrow" w:eastAsia="等线"/>
                <w:color w:val="000000"/>
                <w:szCs w:val="21"/>
              </w:rPr>
              <w:t xml:space="preserve">2,463,586.39 </w:t>
            </w:r>
          </w:p>
        </w:tc>
        <w:tc>
          <w:tcPr>
            <w:tcW w:w="1667" w:type="pct"/>
            <w:shd w:val="clear" w:color="auto" w:fill="auto"/>
            <w:vAlign w:val="bottom"/>
          </w:tcPr>
          <w:p w14:paraId="5F4B1CB2">
            <w:pPr>
              <w:jc w:val="center"/>
              <w:rPr>
                <w:rFonts w:hint="eastAsia" w:asciiTheme="minorEastAsia" w:hAnsiTheme="minorEastAsia" w:eastAsiaTheme="minorEastAsia"/>
                <w:szCs w:val="21"/>
              </w:rPr>
            </w:pPr>
            <w:r>
              <w:rPr>
                <w:rFonts w:asciiTheme="minorEastAsia" w:hAnsiTheme="minorEastAsia" w:eastAsiaTheme="minorEastAsia"/>
                <w:color w:val="000000"/>
                <w:szCs w:val="21"/>
              </w:rPr>
              <w:t>正在办理</w:t>
            </w:r>
          </w:p>
        </w:tc>
      </w:tr>
    </w:tbl>
    <w:p w14:paraId="05F6888C">
      <w:pPr>
        <w:snapToGrid w:val="0"/>
        <w:spacing w:line="240" w:lineRule="atLeast"/>
        <w:rPr>
          <w:rFonts w:hint="eastAsia"/>
          <w:szCs w:val="21"/>
        </w:rPr>
      </w:pPr>
    </w:p>
    <w:p w14:paraId="5DE103FA">
      <w:pPr>
        <w:keepNext/>
        <w:keepLines/>
        <w:widowControl w:val="0"/>
        <w:numPr>
          <w:ilvl w:val="3"/>
          <w:numId w:val="131"/>
        </w:numPr>
        <w:spacing w:before="60" w:line="360" w:lineRule="auto"/>
        <w:ind w:left="426" w:hanging="426"/>
        <w:jc w:val="both"/>
        <w:outlineLvl w:val="3"/>
        <w:rPr>
          <w:rFonts w:hint="eastAsia" w:cs="Times New Roman" w:asciiTheme="minorEastAsia" w:hAnsiTheme="minorEastAsia" w:eastAsiaTheme="minorEastAsia"/>
          <w:b/>
          <w:bCs/>
          <w:kern w:val="2"/>
          <w:szCs w:val="28"/>
        </w:rPr>
      </w:pPr>
      <w:bookmarkStart w:id="330" w:name="_Hlk153461844"/>
      <w:r>
        <w:rPr>
          <w:rFonts w:hint="eastAsia" w:cs="Times New Roman" w:asciiTheme="minorEastAsia" w:hAnsiTheme="minorEastAsia" w:eastAsiaTheme="minorEastAsia"/>
          <w:b/>
          <w:bCs/>
          <w:kern w:val="2"/>
          <w:szCs w:val="28"/>
        </w:rPr>
        <w:t>无形资产的减值测试情况</w:t>
      </w:r>
    </w:p>
    <w:sdt>
      <w:sdtPr>
        <w:alias w:val="是否适用：减值测试情况[双击切换]"/>
        <w:tag w:val="_GBC_c5612c50ddb44cf8892aefcbaf89a0f7"/>
        <w:id w:val="1812200500"/>
        <w:placeholder>
          <w:docPart w:val="GBC22222222222222222222222222222"/>
        </w:placeholder>
      </w:sdtPr>
      <w:sdtContent>
        <w:p w14:paraId="1C62729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DF199A">
      <w:pPr>
        <w:pStyle w:val="72"/>
        <w:ind w:left="105"/>
      </w:pPr>
      <w:r>
        <w:rPr>
          <w:rFonts w:hint="eastAsia"/>
        </w:rPr>
        <w:t>可收回金额按公允价值减去处置费用后的净额确定</w:t>
      </w:r>
    </w:p>
    <w:sdt>
      <w:sdtPr>
        <w:alias w:val="是否适用：可收回金额按公允价值减去处置费用后的净额确定[双击切换]"/>
        <w:tag w:val="_GBC_dc34377ff7324bc48c922f008221ef9f"/>
        <w:id w:val="-886563466"/>
        <w:placeholder>
          <w:docPart w:val="GBC22222222222222222222222222222"/>
        </w:placeholder>
      </w:sdtPr>
      <w:sdtContent>
        <w:p w14:paraId="5D007AF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840E5A1">
      <w:pPr>
        <w:rPr>
          <w:rFonts w:hint="eastAsia"/>
          <w:szCs w:val="21"/>
        </w:rPr>
      </w:pPr>
    </w:p>
    <w:p w14:paraId="7679F220">
      <w:pPr>
        <w:pStyle w:val="72"/>
        <w:ind w:left="105"/>
      </w:pPr>
      <w:r>
        <w:rPr>
          <w:rFonts w:hint="eastAsia"/>
        </w:rPr>
        <w:t>可收回金额按预计未来现金流量的现值确定</w:t>
      </w:r>
    </w:p>
    <w:sdt>
      <w:sdtPr>
        <w:rPr>
          <w:rFonts w:hint="eastAsia"/>
        </w:rPr>
        <w:alias w:val="是否适用：可收回金额按预计未来现金流量的现值确定[双击切换]"/>
        <w:tag w:val="_GBC_35be11360bde403cad599a2e0b238c67"/>
        <w:id w:val="-2061080604"/>
        <w:placeholder>
          <w:docPart w:val="GBC22222222222222222222222222222"/>
        </w:placeholder>
      </w:sdtPr>
      <w:sdtEndPr>
        <w:rPr>
          <w:rFonts w:hint="eastAsia"/>
        </w:rPr>
      </w:sdtEndPr>
      <w:sdtContent>
        <w:p w14:paraId="3F4AAFC2">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2F458250">
      <w:pPr>
        <w:jc w:val="right"/>
        <w:rPr>
          <w:rFonts w:hint="eastAsia"/>
        </w:rPr>
      </w:pPr>
      <w:r>
        <w:rPr>
          <w:rFonts w:hint="eastAsia"/>
        </w:rPr>
        <w:t>单位：</w:t>
      </w:r>
      <w:sdt>
        <w:sdtPr>
          <w:rPr>
            <w:rFonts w:hint="eastAsia"/>
          </w:rPr>
          <w:alias w:val="单位：可收回金额按预计未来现金流量的现值确定"/>
          <w:tag w:val="_GBC_c7296486136b41258c3324aaba240cd0"/>
          <w:id w:val="-3336015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可收回金额按预计未来现金流量的现值确定"/>
          <w:tag w:val="_GBC_d735262a31e54dd1b65ddb77e32d0764"/>
          <w:id w:val="-341964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3"/>
        <w:gridCol w:w="1554"/>
        <w:gridCol w:w="1553"/>
        <w:gridCol w:w="1553"/>
        <w:gridCol w:w="1140"/>
        <w:gridCol w:w="1702"/>
        <w:gridCol w:w="2060"/>
        <w:gridCol w:w="2168"/>
      </w:tblGrid>
      <w:tr w14:paraId="1F38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7f86dd16c5224f6aa6cabadaa680142d"/>
            <w:id w:val="-205950577"/>
          </w:sdtPr>
          <w:sdtEndPr>
            <w:rPr>
              <w:rFonts w:ascii="Arial Narrow" w:hAnsi="Arial Narrow" w:eastAsiaTheme="minorEastAsia"/>
            </w:rPr>
          </w:sdtEndPr>
          <w:sdtContent>
            <w:tc>
              <w:tcPr>
                <w:tcW w:w="769" w:type="pct"/>
                <w:shd w:val="clear" w:color="auto" w:fill="auto"/>
                <w:vAlign w:val="center"/>
              </w:tcPr>
              <w:p w14:paraId="18A512ED">
                <w:pPr>
                  <w:snapToGrid w:val="0"/>
                  <w:spacing w:line="240" w:lineRule="atLeast"/>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fcf2a39bad1f4edaae2573bd8695cc3a"/>
            <w:id w:val="-679285525"/>
          </w:sdtPr>
          <w:sdtEndPr>
            <w:rPr>
              <w:rFonts w:ascii="Arial Narrow" w:hAnsi="Arial Narrow" w:eastAsiaTheme="minorEastAsia"/>
            </w:rPr>
          </w:sdtEndPr>
          <w:sdtContent>
            <w:tc>
              <w:tcPr>
                <w:tcW w:w="560" w:type="pct"/>
                <w:vAlign w:val="center"/>
              </w:tcPr>
              <w:p w14:paraId="0FD3DC1A">
                <w:pPr>
                  <w:snapToGrid w:val="0"/>
                  <w:spacing w:line="240" w:lineRule="atLeast"/>
                  <w:jc w:val="center"/>
                  <w:rPr>
                    <w:rFonts w:ascii="Arial Narrow" w:hAnsi="Arial Narrow" w:eastAsiaTheme="minorEastAsia"/>
                    <w:szCs w:val="21"/>
                  </w:rPr>
                </w:pPr>
                <w:r>
                  <w:rPr>
                    <w:rFonts w:ascii="Arial Narrow" w:hAnsi="Arial Narrow" w:eastAsiaTheme="minorEastAsia"/>
                  </w:rPr>
                  <w:t>账面价值</w:t>
                </w:r>
              </w:p>
            </w:tc>
          </w:sdtContent>
        </w:sdt>
        <w:sdt>
          <w:sdtPr>
            <w:rPr>
              <w:rFonts w:ascii="Arial Narrow" w:hAnsi="Arial Narrow" w:eastAsiaTheme="minorEastAsia"/>
            </w:rPr>
            <w:tag w:val="_PLD_bc3c8a5555064e01979e31c8680f991e"/>
            <w:id w:val="1555276517"/>
          </w:sdtPr>
          <w:sdtEndPr>
            <w:rPr>
              <w:rFonts w:ascii="Arial Narrow" w:hAnsi="Arial Narrow" w:eastAsiaTheme="minorEastAsia"/>
            </w:rPr>
          </w:sdtEndPr>
          <w:sdtContent>
            <w:tc>
              <w:tcPr>
                <w:tcW w:w="560" w:type="pct"/>
                <w:vAlign w:val="center"/>
              </w:tcPr>
              <w:p w14:paraId="4DAF884B">
                <w:pPr>
                  <w:snapToGrid w:val="0"/>
                  <w:spacing w:line="240" w:lineRule="atLeast"/>
                  <w:jc w:val="center"/>
                  <w:rPr>
                    <w:rFonts w:ascii="Arial Narrow" w:hAnsi="Arial Narrow" w:eastAsiaTheme="minorEastAsia"/>
                    <w:szCs w:val="21"/>
                  </w:rPr>
                </w:pPr>
                <w:r>
                  <w:rPr>
                    <w:rFonts w:ascii="Arial Narrow" w:hAnsi="Arial Narrow" w:eastAsiaTheme="minorEastAsia"/>
                  </w:rPr>
                  <w:t>可收回金额</w:t>
                </w:r>
              </w:p>
            </w:tc>
          </w:sdtContent>
        </w:sdt>
        <w:sdt>
          <w:sdtPr>
            <w:rPr>
              <w:rFonts w:ascii="Arial Narrow" w:hAnsi="Arial Narrow" w:eastAsiaTheme="minorEastAsia"/>
            </w:rPr>
            <w:tag w:val="_PLD_1a319e17e86e4bf9b98692c73ec9485d"/>
            <w:id w:val="-1720119040"/>
          </w:sdtPr>
          <w:sdtEndPr>
            <w:rPr>
              <w:rFonts w:ascii="Arial Narrow" w:hAnsi="Arial Narrow" w:eastAsiaTheme="minorEastAsia"/>
            </w:rPr>
          </w:sdtEndPr>
          <w:sdtContent>
            <w:tc>
              <w:tcPr>
                <w:tcW w:w="560" w:type="pct"/>
                <w:vAlign w:val="center"/>
              </w:tcPr>
              <w:p w14:paraId="620C7D96">
                <w:pPr>
                  <w:snapToGrid w:val="0"/>
                  <w:spacing w:line="240" w:lineRule="atLeast"/>
                  <w:jc w:val="center"/>
                  <w:rPr>
                    <w:rFonts w:ascii="Arial Narrow" w:hAnsi="Arial Narrow" w:eastAsiaTheme="minorEastAsia"/>
                    <w:szCs w:val="21"/>
                  </w:rPr>
                </w:pPr>
                <w:r>
                  <w:rPr>
                    <w:rFonts w:ascii="Arial Narrow" w:hAnsi="Arial Narrow" w:eastAsiaTheme="minorEastAsia"/>
                  </w:rPr>
                  <w:t>减值金额</w:t>
                </w:r>
              </w:p>
            </w:tc>
          </w:sdtContent>
        </w:sdt>
        <w:sdt>
          <w:sdtPr>
            <w:rPr>
              <w:rFonts w:ascii="Arial Narrow" w:hAnsi="Arial Narrow" w:eastAsiaTheme="minorEastAsia"/>
            </w:rPr>
            <w:tag w:val="_PLD_934766dca3a74432bb05392ed1175824"/>
            <w:id w:val="2044940014"/>
          </w:sdtPr>
          <w:sdtEndPr>
            <w:rPr>
              <w:rFonts w:ascii="Arial Narrow" w:hAnsi="Arial Narrow" w:eastAsiaTheme="minorEastAsia"/>
            </w:rPr>
          </w:sdtEndPr>
          <w:sdtContent>
            <w:tc>
              <w:tcPr>
                <w:tcW w:w="411" w:type="pct"/>
                <w:shd w:val="clear" w:color="auto" w:fill="auto"/>
                <w:vAlign w:val="center"/>
              </w:tcPr>
              <w:p w14:paraId="143AC341">
                <w:pPr>
                  <w:snapToGrid w:val="0"/>
                  <w:spacing w:line="240" w:lineRule="atLeast"/>
                  <w:jc w:val="center"/>
                  <w:rPr>
                    <w:rFonts w:ascii="Arial Narrow" w:hAnsi="Arial Narrow" w:eastAsiaTheme="minorEastAsia"/>
                    <w:szCs w:val="21"/>
                  </w:rPr>
                </w:pPr>
                <w:r>
                  <w:rPr>
                    <w:rFonts w:ascii="Arial Narrow" w:hAnsi="Arial Narrow" w:eastAsiaTheme="minorEastAsia"/>
                    <w:szCs w:val="21"/>
                  </w:rPr>
                  <w:t>预测期的年限</w:t>
                </w:r>
              </w:p>
            </w:tc>
          </w:sdtContent>
        </w:sdt>
        <w:sdt>
          <w:sdtPr>
            <w:rPr>
              <w:rFonts w:ascii="Arial Narrow" w:hAnsi="Arial Narrow" w:eastAsiaTheme="minorEastAsia"/>
            </w:rPr>
            <w:tag w:val="_PLD_05a8256af81848ec9b35ec2d5d2cefb8"/>
            <w:id w:val="1452126941"/>
          </w:sdtPr>
          <w:sdtEndPr>
            <w:rPr>
              <w:rFonts w:ascii="Arial Narrow" w:hAnsi="Arial Narrow" w:eastAsiaTheme="minorEastAsia"/>
            </w:rPr>
          </w:sdtEndPr>
          <w:sdtContent>
            <w:tc>
              <w:tcPr>
                <w:tcW w:w="614" w:type="pct"/>
                <w:shd w:val="clear" w:color="auto" w:fill="auto"/>
                <w:vAlign w:val="center"/>
              </w:tcPr>
              <w:p w14:paraId="2D614D56">
                <w:pPr>
                  <w:snapToGrid w:val="0"/>
                  <w:spacing w:line="240" w:lineRule="atLeast"/>
                  <w:jc w:val="center"/>
                  <w:rPr>
                    <w:rFonts w:ascii="Arial Narrow" w:hAnsi="Arial Narrow" w:eastAsiaTheme="minorEastAsia"/>
                    <w:szCs w:val="21"/>
                  </w:rPr>
                </w:pPr>
                <w:r>
                  <w:rPr>
                    <w:rFonts w:ascii="Arial Narrow" w:hAnsi="Arial Narrow" w:eastAsiaTheme="minorEastAsia"/>
                    <w:szCs w:val="21"/>
                  </w:rPr>
                  <w:t>预测期的关键参数</w:t>
                </w:r>
              </w:p>
            </w:tc>
          </w:sdtContent>
        </w:sdt>
        <w:sdt>
          <w:sdtPr>
            <w:rPr>
              <w:rFonts w:ascii="Arial Narrow" w:hAnsi="Arial Narrow" w:eastAsiaTheme="minorEastAsia"/>
            </w:rPr>
            <w:tag w:val="_PLD_e4b5ff4ee2c54ec69fea0361ae8fa8d1"/>
            <w:id w:val="597843232"/>
          </w:sdtPr>
          <w:sdtEndPr>
            <w:rPr>
              <w:rFonts w:ascii="Arial Narrow" w:hAnsi="Arial Narrow" w:eastAsiaTheme="minorEastAsia"/>
            </w:rPr>
          </w:sdtEndPr>
          <w:sdtContent>
            <w:tc>
              <w:tcPr>
                <w:tcW w:w="743" w:type="pct"/>
                <w:shd w:val="clear" w:color="auto" w:fill="auto"/>
                <w:vAlign w:val="center"/>
              </w:tcPr>
              <w:p w14:paraId="08E0A2FA">
                <w:pPr>
                  <w:snapToGrid w:val="0"/>
                  <w:spacing w:line="240" w:lineRule="atLeast"/>
                  <w:jc w:val="center"/>
                  <w:rPr>
                    <w:rFonts w:ascii="Arial Narrow" w:hAnsi="Arial Narrow" w:eastAsiaTheme="minorEastAsia"/>
                    <w:szCs w:val="21"/>
                  </w:rPr>
                </w:pPr>
                <w:r>
                  <w:rPr>
                    <w:rFonts w:ascii="Arial Narrow" w:hAnsi="Arial Narrow" w:eastAsiaTheme="minorEastAsia"/>
                    <w:szCs w:val="21"/>
                  </w:rPr>
                  <w:t>稳定期的关键参数</w:t>
                </w:r>
              </w:p>
            </w:tc>
          </w:sdtContent>
        </w:sdt>
        <w:sdt>
          <w:sdtPr>
            <w:rPr>
              <w:rFonts w:ascii="Arial Narrow" w:hAnsi="Arial Narrow" w:eastAsiaTheme="minorEastAsia"/>
            </w:rPr>
            <w:tag w:val="_PLD_56f5ed75df1242aa8e1a9434e6fe3ce6"/>
            <w:id w:val="-405930719"/>
          </w:sdtPr>
          <w:sdtEndPr>
            <w:rPr>
              <w:rFonts w:ascii="Arial Narrow" w:hAnsi="Arial Narrow" w:eastAsiaTheme="minorEastAsia"/>
            </w:rPr>
          </w:sdtEndPr>
          <w:sdtContent>
            <w:tc>
              <w:tcPr>
                <w:tcW w:w="782" w:type="pct"/>
                <w:shd w:val="clear" w:color="auto" w:fill="auto"/>
                <w:vAlign w:val="center"/>
              </w:tcPr>
              <w:p w14:paraId="2CD91648">
                <w:pPr>
                  <w:snapToGrid w:val="0"/>
                  <w:spacing w:line="240" w:lineRule="atLeast"/>
                  <w:jc w:val="center"/>
                  <w:rPr>
                    <w:rFonts w:ascii="Arial Narrow" w:hAnsi="Arial Narrow" w:eastAsiaTheme="minorEastAsia"/>
                    <w:b/>
                    <w:szCs w:val="21"/>
                  </w:rPr>
                </w:pPr>
                <w:r>
                  <w:rPr>
                    <w:rFonts w:ascii="Arial Narrow" w:hAnsi="Arial Narrow" w:eastAsiaTheme="minorEastAsia"/>
                    <w:szCs w:val="21"/>
                  </w:rPr>
                  <w:t>稳定期的关键参数的确定依据</w:t>
                </w:r>
              </w:p>
            </w:tc>
          </w:sdtContent>
        </w:sdt>
      </w:tr>
      <w:tr w14:paraId="2A63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vAlign w:val="center"/>
          </w:tcPr>
          <w:p w14:paraId="571C4E4E">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长春际华园项目</w:t>
            </w:r>
          </w:p>
        </w:tc>
        <w:tc>
          <w:tcPr>
            <w:tcW w:w="560" w:type="pct"/>
            <w:vAlign w:val="center"/>
          </w:tcPr>
          <w:p w14:paraId="73F4E1BF">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292,415,886.32</w:t>
            </w:r>
          </w:p>
        </w:tc>
        <w:tc>
          <w:tcPr>
            <w:tcW w:w="560" w:type="pct"/>
            <w:vAlign w:val="center"/>
          </w:tcPr>
          <w:p w14:paraId="14854D4E">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161,774,870.36</w:t>
            </w:r>
          </w:p>
        </w:tc>
        <w:tc>
          <w:tcPr>
            <w:tcW w:w="560" w:type="pct"/>
            <w:vAlign w:val="center"/>
          </w:tcPr>
          <w:p w14:paraId="58F378FC">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130,641,015.96</w:t>
            </w:r>
          </w:p>
        </w:tc>
        <w:tc>
          <w:tcPr>
            <w:tcW w:w="411" w:type="pct"/>
            <w:shd w:val="clear" w:color="auto" w:fill="auto"/>
            <w:vAlign w:val="center"/>
          </w:tcPr>
          <w:p w14:paraId="0F75389C">
            <w:pPr>
              <w:snapToGrid w:val="0"/>
              <w:spacing w:line="240" w:lineRule="atLeast"/>
              <w:jc w:val="center"/>
              <w:rPr>
                <w:rFonts w:ascii="Arial Narrow" w:hAnsi="Arial Narrow" w:eastAsiaTheme="minorEastAsia"/>
                <w:szCs w:val="21"/>
              </w:rPr>
            </w:pPr>
            <w:r>
              <w:rPr>
                <w:rFonts w:ascii="Arial Narrow" w:hAnsi="Arial Narrow" w:eastAsiaTheme="minorEastAsia"/>
                <w:color w:val="000000"/>
                <w:szCs w:val="21"/>
              </w:rPr>
              <w:t>5年</w:t>
            </w:r>
          </w:p>
        </w:tc>
        <w:tc>
          <w:tcPr>
            <w:tcW w:w="614" w:type="pct"/>
            <w:shd w:val="clear" w:color="auto" w:fill="auto"/>
            <w:vAlign w:val="center"/>
          </w:tcPr>
          <w:p w14:paraId="1F098314">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收入平均增长率10%；税前折现率6.68%</w:t>
            </w:r>
          </w:p>
        </w:tc>
        <w:tc>
          <w:tcPr>
            <w:tcW w:w="743" w:type="pct"/>
            <w:shd w:val="clear" w:color="auto" w:fill="auto"/>
            <w:vAlign w:val="center"/>
          </w:tcPr>
          <w:p w14:paraId="4AF657E7">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根据项目土地剩余使用期确定稳定期；收入平均增长率5%，税前折现率6.68%</w:t>
            </w:r>
          </w:p>
        </w:tc>
        <w:tc>
          <w:tcPr>
            <w:tcW w:w="782" w:type="pct"/>
            <w:shd w:val="clear" w:color="auto" w:fill="auto"/>
            <w:vAlign w:val="center"/>
          </w:tcPr>
          <w:p w14:paraId="67971740">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资产组组合过去业绩走势、对未来发展的规划及对市场的发展预期</w:t>
            </w:r>
          </w:p>
        </w:tc>
      </w:tr>
      <w:tr w14:paraId="4EE2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vAlign w:val="center"/>
          </w:tcPr>
          <w:p w14:paraId="558A52A2">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重庆际华园项目</w:t>
            </w:r>
          </w:p>
        </w:tc>
        <w:tc>
          <w:tcPr>
            <w:tcW w:w="560" w:type="pct"/>
            <w:vAlign w:val="center"/>
          </w:tcPr>
          <w:p w14:paraId="3690F58E">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348,123,017.80</w:t>
            </w:r>
          </w:p>
        </w:tc>
        <w:tc>
          <w:tcPr>
            <w:tcW w:w="560" w:type="pct"/>
            <w:vAlign w:val="center"/>
          </w:tcPr>
          <w:p w14:paraId="72292738">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33,988,746.57</w:t>
            </w:r>
          </w:p>
        </w:tc>
        <w:tc>
          <w:tcPr>
            <w:tcW w:w="560" w:type="pct"/>
            <w:vAlign w:val="center"/>
          </w:tcPr>
          <w:p w14:paraId="2FD278FE">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314,134,271.23</w:t>
            </w:r>
          </w:p>
        </w:tc>
        <w:tc>
          <w:tcPr>
            <w:tcW w:w="411" w:type="pct"/>
            <w:shd w:val="clear" w:color="auto" w:fill="auto"/>
            <w:vAlign w:val="center"/>
          </w:tcPr>
          <w:p w14:paraId="3878869C">
            <w:pPr>
              <w:snapToGrid w:val="0"/>
              <w:spacing w:line="240" w:lineRule="atLeast"/>
              <w:jc w:val="center"/>
              <w:rPr>
                <w:rFonts w:ascii="Arial Narrow" w:hAnsi="Arial Narrow" w:eastAsiaTheme="minorEastAsia"/>
                <w:szCs w:val="21"/>
              </w:rPr>
            </w:pPr>
            <w:r>
              <w:rPr>
                <w:rFonts w:ascii="Arial Narrow" w:hAnsi="Arial Narrow" w:eastAsiaTheme="minorEastAsia"/>
                <w:color w:val="000000"/>
                <w:szCs w:val="21"/>
              </w:rPr>
              <w:t>5年</w:t>
            </w:r>
          </w:p>
        </w:tc>
        <w:tc>
          <w:tcPr>
            <w:tcW w:w="614" w:type="pct"/>
            <w:shd w:val="clear" w:color="auto" w:fill="auto"/>
            <w:vAlign w:val="center"/>
          </w:tcPr>
          <w:p w14:paraId="02D0DC74">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收入平均增长率7%；税前折现率6.68%</w:t>
            </w:r>
          </w:p>
        </w:tc>
        <w:tc>
          <w:tcPr>
            <w:tcW w:w="743" w:type="pct"/>
            <w:shd w:val="clear" w:color="auto" w:fill="auto"/>
            <w:vAlign w:val="center"/>
          </w:tcPr>
          <w:p w14:paraId="21A5F016">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根据项目土地剩余使用期确定稳定期；收入平均增长率5%；税前折现率6.68%</w:t>
            </w:r>
          </w:p>
        </w:tc>
        <w:tc>
          <w:tcPr>
            <w:tcW w:w="782" w:type="pct"/>
            <w:shd w:val="clear" w:color="auto" w:fill="auto"/>
            <w:vAlign w:val="center"/>
          </w:tcPr>
          <w:p w14:paraId="75F83A55">
            <w:pPr>
              <w:snapToGrid w:val="0"/>
              <w:spacing w:line="240" w:lineRule="atLeast"/>
              <w:rPr>
                <w:rFonts w:ascii="Arial Narrow" w:hAnsi="Arial Narrow" w:eastAsiaTheme="minorEastAsia"/>
                <w:szCs w:val="21"/>
              </w:rPr>
            </w:pPr>
            <w:r>
              <w:rPr>
                <w:rFonts w:ascii="Arial Narrow" w:hAnsi="Arial Narrow" w:eastAsiaTheme="minorEastAsia"/>
                <w:color w:val="000000"/>
                <w:szCs w:val="21"/>
              </w:rPr>
              <w:t>资产组组合过去业绩走势、对未来发展的规划及对市场的发展预期</w:t>
            </w:r>
          </w:p>
        </w:tc>
      </w:tr>
      <w:tr w14:paraId="274C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auto"/>
            <w:vAlign w:val="center"/>
          </w:tcPr>
          <w:p w14:paraId="6C99DCAF">
            <w:pPr>
              <w:snapToGrid w:val="0"/>
              <w:spacing w:line="240" w:lineRule="atLeast"/>
              <w:jc w:val="center"/>
              <w:rPr>
                <w:rFonts w:ascii="Arial Narrow" w:hAnsi="Arial Narrow" w:eastAsiaTheme="minorEastAsia"/>
                <w:szCs w:val="21"/>
              </w:rPr>
            </w:pPr>
            <w:r>
              <w:rPr>
                <w:rFonts w:ascii="Arial Narrow" w:hAnsi="Arial Narrow" w:eastAsiaTheme="minorEastAsia"/>
              </w:rPr>
              <w:t>合计</w:t>
            </w:r>
          </w:p>
        </w:tc>
        <w:tc>
          <w:tcPr>
            <w:tcW w:w="560" w:type="pct"/>
            <w:vAlign w:val="center"/>
          </w:tcPr>
          <w:p w14:paraId="65B41285">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640,538,904.12</w:t>
            </w:r>
          </w:p>
        </w:tc>
        <w:tc>
          <w:tcPr>
            <w:tcW w:w="560" w:type="pct"/>
            <w:vAlign w:val="center"/>
          </w:tcPr>
          <w:p w14:paraId="4837565A">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195,763,616.93</w:t>
            </w:r>
          </w:p>
        </w:tc>
        <w:tc>
          <w:tcPr>
            <w:tcW w:w="560" w:type="pct"/>
            <w:vAlign w:val="center"/>
          </w:tcPr>
          <w:p w14:paraId="0DF892F7">
            <w:pPr>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444,775,287.19</w:t>
            </w:r>
          </w:p>
        </w:tc>
        <w:tc>
          <w:tcPr>
            <w:tcW w:w="411" w:type="pct"/>
            <w:shd w:val="clear" w:color="auto" w:fill="auto"/>
            <w:vAlign w:val="center"/>
          </w:tcPr>
          <w:p w14:paraId="142AC029">
            <w:pPr>
              <w:snapToGrid w:val="0"/>
              <w:spacing w:line="240" w:lineRule="atLeast"/>
              <w:jc w:val="center"/>
              <w:rPr>
                <w:rFonts w:ascii="Arial Narrow" w:hAnsi="Arial Narrow" w:eastAsiaTheme="minorEastAsia"/>
                <w:szCs w:val="21"/>
              </w:rPr>
            </w:pPr>
            <w:r>
              <w:rPr>
                <w:rFonts w:ascii="Arial Narrow" w:hAnsi="Arial Narrow" w:eastAsiaTheme="minorEastAsia"/>
                <w:szCs w:val="21"/>
              </w:rPr>
              <w:t>/</w:t>
            </w:r>
          </w:p>
        </w:tc>
        <w:tc>
          <w:tcPr>
            <w:tcW w:w="614" w:type="pct"/>
            <w:shd w:val="clear" w:color="auto" w:fill="auto"/>
            <w:vAlign w:val="center"/>
          </w:tcPr>
          <w:p w14:paraId="471AA1BC">
            <w:pPr>
              <w:snapToGrid w:val="0"/>
              <w:spacing w:line="240" w:lineRule="atLeast"/>
              <w:jc w:val="center"/>
              <w:rPr>
                <w:rFonts w:ascii="Arial Narrow" w:hAnsi="Arial Narrow" w:eastAsiaTheme="minorEastAsia"/>
                <w:szCs w:val="21"/>
              </w:rPr>
            </w:pPr>
            <w:r>
              <w:rPr>
                <w:rFonts w:ascii="Arial Narrow" w:hAnsi="Arial Narrow" w:eastAsiaTheme="minorEastAsia"/>
              </w:rPr>
              <w:t>/</w:t>
            </w:r>
          </w:p>
        </w:tc>
        <w:tc>
          <w:tcPr>
            <w:tcW w:w="743" w:type="pct"/>
            <w:shd w:val="clear" w:color="auto" w:fill="auto"/>
            <w:vAlign w:val="center"/>
          </w:tcPr>
          <w:p w14:paraId="63BB9604">
            <w:pPr>
              <w:snapToGrid w:val="0"/>
              <w:spacing w:line="240" w:lineRule="atLeast"/>
              <w:jc w:val="center"/>
              <w:rPr>
                <w:rFonts w:ascii="Arial Narrow" w:hAnsi="Arial Narrow" w:eastAsiaTheme="minorEastAsia"/>
                <w:szCs w:val="21"/>
              </w:rPr>
            </w:pPr>
            <w:r>
              <w:rPr>
                <w:rFonts w:ascii="Arial Narrow" w:hAnsi="Arial Narrow" w:eastAsiaTheme="minorEastAsia"/>
              </w:rPr>
              <w:t>/</w:t>
            </w:r>
          </w:p>
        </w:tc>
        <w:tc>
          <w:tcPr>
            <w:tcW w:w="782" w:type="pct"/>
            <w:shd w:val="clear" w:color="auto" w:fill="auto"/>
            <w:vAlign w:val="center"/>
          </w:tcPr>
          <w:p w14:paraId="2E7706CC">
            <w:pPr>
              <w:snapToGrid w:val="0"/>
              <w:spacing w:line="240" w:lineRule="atLeast"/>
              <w:jc w:val="center"/>
              <w:rPr>
                <w:rFonts w:ascii="Arial Narrow" w:hAnsi="Arial Narrow" w:eastAsiaTheme="minorEastAsia"/>
                <w:szCs w:val="21"/>
              </w:rPr>
            </w:pPr>
            <w:r>
              <w:rPr>
                <w:rFonts w:ascii="Arial Narrow" w:hAnsi="Arial Narrow" w:eastAsiaTheme="minorEastAsia"/>
              </w:rPr>
              <w:t>/</w:t>
            </w:r>
          </w:p>
        </w:tc>
      </w:tr>
    </w:tbl>
    <w:p w14:paraId="40421662">
      <w:pPr>
        <w:rPr>
          <w:rFonts w:hint="eastAsia"/>
        </w:rPr>
      </w:pPr>
    </w:p>
    <w:p w14:paraId="42617442">
      <w:pPr>
        <w:pStyle w:val="72"/>
        <w:ind w:left="105"/>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c022f03ae90d41c7b2484cf3fe5f1325"/>
        <w:id w:val="1118796878"/>
        <w:placeholder>
          <w:docPart w:val="GBC22222222222222222222222222222"/>
        </w:placeholder>
      </w:sdtPr>
      <w:sdtContent>
        <w:p w14:paraId="714B6D9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5B7F4E5">
      <w:pPr>
        <w:snapToGrid w:val="0"/>
        <w:spacing w:line="240" w:lineRule="atLeast"/>
        <w:rPr>
          <w:rFonts w:hint="eastAsia"/>
          <w:szCs w:val="21"/>
        </w:rPr>
      </w:pPr>
    </w:p>
    <w:p w14:paraId="2D3AFA7E">
      <w:pPr>
        <w:pStyle w:val="72"/>
        <w:ind w:left="105"/>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0a4fdd8792414acdac65e5a54678f636"/>
        <w:id w:val="-1926255469"/>
        <w:placeholder>
          <w:docPart w:val="GBC22222222222222222222222222222"/>
        </w:placeholder>
      </w:sdtPr>
      <w:sdtContent>
        <w:p w14:paraId="4AA86CA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以前年度减值测试采用信息与当年实际情况明显不一致的差异原因"/>
        <w:tag w:val="_GBC_a6bee9a6993b4b36b957a1eef22746b9"/>
        <w:id w:val="-329069153"/>
        <w:placeholder>
          <w:docPart w:val="GBC22222222222222222222222222222"/>
        </w:placeholder>
      </w:sdtPr>
      <w:sdtContent>
        <w:p w14:paraId="3A5CCA9C">
          <w:pPr>
            <w:ind w:firstLine="420" w:firstLineChars="200"/>
            <w:rPr>
              <w:rFonts w:hint="eastAsia"/>
            </w:rPr>
          </w:pPr>
          <w:r>
            <w:rPr>
              <w:rFonts w:hint="eastAsia"/>
            </w:rPr>
            <w:t>重庆际华园项目、长春际华园项目：2023年是委托新兴际华资产经营管理有限公司盘活的第一个完整年度，2023年末评估是基于对际华园专业化盘活和持续经营进行的评估。2024年公司在综合研判商业地产未来发展趋势，认为际华园项目扭亏难度较大，权衡继续投入的风险和聚焦主业发展的资金需求，决定终止际华园项目，并择机退出房地产项目，上述原因导致际华园项目预测假设及关键参数发生变化。</w:t>
          </w:r>
        </w:p>
      </w:sdtContent>
    </w:sdt>
    <w:p w14:paraId="14D5A641">
      <w:pPr>
        <w:snapToGrid w:val="0"/>
        <w:spacing w:line="240" w:lineRule="atLeast"/>
        <w:rPr>
          <w:rFonts w:hint="eastAsia"/>
          <w:szCs w:val="21"/>
        </w:rPr>
      </w:pPr>
    </w:p>
    <w:bookmarkEnd w:id="330"/>
    <w:p w14:paraId="6357CE73">
      <w:pPr>
        <w:rPr>
          <w:rFonts w:hint="eastAsia"/>
          <w:szCs w:val="21"/>
        </w:rPr>
      </w:pPr>
      <w:r>
        <w:rPr>
          <w:rFonts w:hint="eastAsia"/>
          <w:szCs w:val="21"/>
        </w:rPr>
        <w:t>其他说明：</w:t>
      </w:r>
    </w:p>
    <w:sdt>
      <w:sdtPr>
        <w:rPr>
          <w:szCs w:val="21"/>
        </w:rPr>
        <w:alias w:val="是否适用：无形资产的说明[双击切换]"/>
        <w:tag w:val="_GBC_ff92654365f04f7ba71b01dd8af2f696"/>
        <w:id w:val="-1191532428"/>
        <w:placeholder>
          <w:docPart w:val="GBC22222222222222222222222222222"/>
        </w:placeholder>
      </w:sdtPr>
      <w:sdtEndPr>
        <w:rPr>
          <w:szCs w:val="21"/>
        </w:rPr>
      </w:sdtEndPr>
      <w:sdtContent>
        <w:p w14:paraId="71595C84">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C3F289F">
      <w:pPr>
        <w:snapToGrid w:val="0"/>
        <w:spacing w:line="240" w:lineRule="atLeast"/>
        <w:rPr>
          <w:rFonts w:hint="eastAsia"/>
          <w:szCs w:val="21"/>
        </w:rPr>
      </w:pPr>
    </w:p>
    <w:p w14:paraId="4772AC65">
      <w:pPr>
        <w:pStyle w:val="70"/>
        <w:numPr>
          <w:ilvl w:val="0"/>
          <w:numId w:val="109"/>
        </w:numPr>
        <w:tabs>
          <w:tab w:val="left" w:pos="504"/>
        </w:tabs>
        <w:rPr>
          <w:rFonts w:hint="eastAsia" w:ascii="宋体" w:hAnsi="宋体"/>
          <w:szCs w:val="21"/>
        </w:rPr>
        <w:sectPr>
          <w:pgSz w:w="16838" w:h="11906" w:orient="landscape"/>
          <w:pgMar w:top="1276" w:right="1440" w:bottom="1797" w:left="1525" w:header="856" w:footer="992" w:gutter="0"/>
          <w:cols w:space="425" w:num="1"/>
          <w:docGrid w:linePitch="312" w:charSpace="0"/>
        </w:sectPr>
      </w:pPr>
    </w:p>
    <w:p w14:paraId="6E060831">
      <w:pPr>
        <w:pStyle w:val="70"/>
        <w:numPr>
          <w:ilvl w:val="0"/>
          <w:numId w:val="109"/>
        </w:numPr>
        <w:rPr>
          <w:szCs w:val="21"/>
        </w:rPr>
      </w:pPr>
      <w:r>
        <w:rPr>
          <w:szCs w:val="21"/>
        </w:rPr>
        <w:t>商誉</w:t>
      </w:r>
    </w:p>
    <w:p w14:paraId="787534FC">
      <w:pPr>
        <w:pStyle w:val="71"/>
        <w:numPr>
          <w:ilvl w:val="3"/>
          <w:numId w:val="132"/>
        </w:numPr>
        <w:ind w:left="426" w:hanging="426"/>
        <w:rPr>
          <w:rFonts w:hint="eastAsia"/>
        </w:rPr>
      </w:pPr>
      <w:r>
        <w:rPr>
          <w:rFonts w:hint="eastAsia"/>
        </w:rPr>
        <w:t>商誉账面原值</w:t>
      </w:r>
    </w:p>
    <w:sdt>
      <w:sdtPr>
        <w:alias w:val="是否适用：商誉账面原值[双击切换]"/>
        <w:tag w:val="_GBC_ef393f0687ab4747a43cd96895a18dcb"/>
        <w:id w:val="1221946036"/>
        <w:placeholder>
          <w:docPart w:val="GBC22222222222222222222222222222"/>
        </w:placeholder>
      </w:sdtPr>
      <w:sdtContent>
        <w:p w14:paraId="437EAB0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74BCCE">
      <w:pPr>
        <w:jc w:val="right"/>
        <w:rPr>
          <w:rFonts w:hint="eastAsia"/>
          <w:szCs w:val="21"/>
        </w:rPr>
      </w:pPr>
      <w:r>
        <w:rPr>
          <w:rFonts w:hint="eastAsia"/>
          <w:szCs w:val="21"/>
        </w:rPr>
        <w:t>单位：</w:t>
      </w:r>
      <w:sdt>
        <w:sdtPr>
          <w:rPr>
            <w:rFonts w:hint="eastAsia"/>
            <w:szCs w:val="21"/>
          </w:rPr>
          <w:alias w:val="单位：财务附注：商誉"/>
          <w:tag w:val="_GBC_1969cb3272364bc49f9ccb754d95df61"/>
          <w:id w:val="-4541077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11042614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1"/>
        <w:gridCol w:w="2433"/>
        <w:gridCol w:w="2389"/>
      </w:tblGrid>
      <w:tr w14:paraId="3D7A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sdt>
          <w:sdtPr>
            <w:rPr>
              <w:rFonts w:ascii="Arial Narrow" w:hAnsi="Arial Narrow" w:eastAsiaTheme="majorEastAsia"/>
            </w:rPr>
            <w:tag w:val="_PLD_321a0416f313455db9437f8692d7d27e"/>
            <w:id w:val="1651408985"/>
          </w:sdtPr>
          <w:sdtEndPr>
            <w:rPr>
              <w:rFonts w:ascii="Arial Narrow" w:hAnsi="Arial Narrow" w:eastAsiaTheme="majorEastAsia"/>
            </w:rPr>
          </w:sdtEndPr>
          <w:sdtContent>
            <w:tc>
              <w:tcPr>
                <w:tcW w:w="2267" w:type="pct"/>
                <w:vMerge w:val="restart"/>
                <w:shd w:val="clear" w:color="auto" w:fill="auto"/>
                <w:vAlign w:val="center"/>
              </w:tcPr>
              <w:p w14:paraId="5D6A2D97">
                <w:pPr>
                  <w:autoSpaceDE w:val="0"/>
                  <w:autoSpaceDN w:val="0"/>
                  <w:adjustRightInd w:val="0"/>
                  <w:snapToGrid w:val="0"/>
                  <w:jc w:val="center"/>
                  <w:rPr>
                    <w:rFonts w:ascii="Arial Narrow" w:hAnsi="Arial Narrow" w:eastAsiaTheme="majorEastAsia"/>
                    <w:szCs w:val="21"/>
                  </w:rPr>
                </w:pPr>
                <w:r>
                  <w:rPr>
                    <w:rFonts w:ascii="Arial Narrow" w:hAnsi="Arial Narrow" w:eastAsiaTheme="majorEastAsia"/>
                    <w:szCs w:val="21"/>
                  </w:rPr>
                  <w:t>被投资单位名称或形成商誉的事项</w:t>
                </w:r>
              </w:p>
            </w:tc>
          </w:sdtContent>
        </w:sdt>
        <w:sdt>
          <w:sdtPr>
            <w:rPr>
              <w:rFonts w:ascii="Arial Narrow" w:hAnsi="Arial Narrow" w:eastAsiaTheme="majorEastAsia"/>
            </w:rPr>
            <w:tag w:val="_PLD_f188a95931d64e73a28589bedff91f08"/>
            <w:id w:val="945116830"/>
          </w:sdtPr>
          <w:sdtEndPr>
            <w:rPr>
              <w:rFonts w:ascii="Arial Narrow" w:hAnsi="Arial Narrow" w:eastAsiaTheme="majorEastAsia"/>
            </w:rPr>
          </w:sdtEndPr>
          <w:sdtContent>
            <w:tc>
              <w:tcPr>
                <w:tcW w:w="1378" w:type="pct"/>
                <w:vMerge w:val="restart"/>
                <w:shd w:val="clear" w:color="auto" w:fill="auto"/>
                <w:vAlign w:val="center"/>
              </w:tcPr>
              <w:p w14:paraId="4D63DBB6">
                <w:pPr>
                  <w:autoSpaceDE w:val="0"/>
                  <w:autoSpaceDN w:val="0"/>
                  <w:adjustRightInd w:val="0"/>
                  <w:snapToGrid w:val="0"/>
                  <w:jc w:val="center"/>
                  <w:rPr>
                    <w:rFonts w:ascii="Arial Narrow" w:hAnsi="Arial Narrow" w:eastAsiaTheme="majorEastAsia"/>
                    <w:szCs w:val="21"/>
                  </w:rPr>
                </w:pPr>
                <w:r>
                  <w:rPr>
                    <w:rFonts w:ascii="Arial Narrow" w:hAnsi="Arial Narrow" w:eastAsiaTheme="majorEastAsia"/>
                    <w:szCs w:val="21"/>
                  </w:rPr>
                  <w:t>期初余额</w:t>
                </w:r>
              </w:p>
            </w:tc>
          </w:sdtContent>
        </w:sdt>
        <w:sdt>
          <w:sdtPr>
            <w:rPr>
              <w:rFonts w:ascii="Arial Narrow" w:hAnsi="Arial Narrow" w:eastAsiaTheme="majorEastAsia"/>
            </w:rPr>
            <w:tag w:val="_PLD_9b7450bb10fb432a80b42e729cd30f12"/>
            <w:id w:val="617959791"/>
          </w:sdtPr>
          <w:sdtEndPr>
            <w:rPr>
              <w:rFonts w:ascii="Arial Narrow" w:hAnsi="Arial Narrow" w:eastAsiaTheme="majorEastAsia"/>
            </w:rPr>
          </w:sdtEndPr>
          <w:sdtContent>
            <w:tc>
              <w:tcPr>
                <w:tcW w:w="1354" w:type="pct"/>
                <w:vMerge w:val="restart"/>
                <w:shd w:val="clear" w:color="auto" w:fill="auto"/>
                <w:vAlign w:val="center"/>
              </w:tcPr>
              <w:p w14:paraId="0B1EF3C7">
                <w:pPr>
                  <w:autoSpaceDE w:val="0"/>
                  <w:autoSpaceDN w:val="0"/>
                  <w:adjustRightInd w:val="0"/>
                  <w:snapToGrid w:val="0"/>
                  <w:jc w:val="center"/>
                  <w:rPr>
                    <w:rFonts w:ascii="Arial Narrow" w:hAnsi="Arial Narrow" w:eastAsiaTheme="majorEastAsia"/>
                    <w:szCs w:val="21"/>
                  </w:rPr>
                </w:pPr>
                <w:r>
                  <w:rPr>
                    <w:rFonts w:ascii="Arial Narrow" w:hAnsi="Arial Narrow" w:eastAsiaTheme="majorEastAsia"/>
                    <w:szCs w:val="21"/>
                  </w:rPr>
                  <w:t>期末余额</w:t>
                </w:r>
              </w:p>
            </w:tc>
          </w:sdtContent>
        </w:sdt>
      </w:tr>
      <w:tr w14:paraId="0555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267" w:type="pct"/>
            <w:vMerge w:val="continue"/>
            <w:shd w:val="clear" w:color="auto" w:fill="auto"/>
          </w:tcPr>
          <w:p w14:paraId="29F79FC9">
            <w:pPr>
              <w:autoSpaceDE w:val="0"/>
              <w:autoSpaceDN w:val="0"/>
              <w:adjustRightInd w:val="0"/>
              <w:snapToGrid w:val="0"/>
              <w:jc w:val="center"/>
              <w:rPr>
                <w:rFonts w:ascii="Arial Narrow" w:hAnsi="Arial Narrow" w:eastAsiaTheme="majorEastAsia"/>
                <w:szCs w:val="21"/>
              </w:rPr>
            </w:pPr>
          </w:p>
        </w:tc>
        <w:tc>
          <w:tcPr>
            <w:tcW w:w="1378" w:type="pct"/>
            <w:vMerge w:val="continue"/>
            <w:shd w:val="clear" w:color="auto" w:fill="auto"/>
          </w:tcPr>
          <w:p w14:paraId="1BB9A528">
            <w:pPr>
              <w:autoSpaceDE w:val="0"/>
              <w:autoSpaceDN w:val="0"/>
              <w:adjustRightInd w:val="0"/>
              <w:snapToGrid w:val="0"/>
              <w:jc w:val="center"/>
              <w:rPr>
                <w:rFonts w:ascii="Arial Narrow" w:hAnsi="Arial Narrow" w:eastAsiaTheme="majorEastAsia"/>
                <w:szCs w:val="21"/>
              </w:rPr>
            </w:pPr>
          </w:p>
        </w:tc>
        <w:tc>
          <w:tcPr>
            <w:tcW w:w="1354" w:type="pct"/>
            <w:vMerge w:val="continue"/>
            <w:shd w:val="clear" w:color="auto" w:fill="auto"/>
          </w:tcPr>
          <w:p w14:paraId="48C33F06">
            <w:pPr>
              <w:autoSpaceDE w:val="0"/>
              <w:autoSpaceDN w:val="0"/>
              <w:adjustRightInd w:val="0"/>
              <w:snapToGrid w:val="0"/>
              <w:jc w:val="center"/>
              <w:rPr>
                <w:rFonts w:ascii="Arial Narrow" w:hAnsi="Arial Narrow" w:eastAsiaTheme="majorEastAsia"/>
                <w:szCs w:val="21"/>
              </w:rPr>
            </w:pPr>
          </w:p>
        </w:tc>
      </w:tr>
      <w:tr w14:paraId="0708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267" w:type="pct"/>
            <w:shd w:val="clear" w:color="auto" w:fill="auto"/>
          </w:tcPr>
          <w:p w14:paraId="4397CEC1">
            <w:pPr>
              <w:autoSpaceDE w:val="0"/>
              <w:autoSpaceDN w:val="0"/>
              <w:adjustRightInd w:val="0"/>
              <w:snapToGrid w:val="0"/>
              <w:jc w:val="both"/>
              <w:rPr>
                <w:rFonts w:ascii="Arial Narrow" w:hAnsi="Arial Narrow" w:eastAsiaTheme="majorEastAsia"/>
                <w:szCs w:val="21"/>
              </w:rPr>
            </w:pPr>
            <w:r>
              <w:rPr>
                <w:rFonts w:ascii="Arial Narrow" w:hAnsi="Arial Narrow" w:eastAsiaTheme="majorEastAsia"/>
              </w:rPr>
              <w:t>呼图壁县万源棉业有限公司</w:t>
            </w:r>
          </w:p>
        </w:tc>
        <w:tc>
          <w:tcPr>
            <w:tcW w:w="1378" w:type="pct"/>
            <w:shd w:val="clear" w:color="auto" w:fill="auto"/>
          </w:tcPr>
          <w:p w14:paraId="31E38D0B">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6,749,984.75</w:t>
            </w:r>
          </w:p>
        </w:tc>
        <w:tc>
          <w:tcPr>
            <w:tcW w:w="1354" w:type="pct"/>
            <w:shd w:val="clear" w:color="auto" w:fill="auto"/>
          </w:tcPr>
          <w:p w14:paraId="61B20F77">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6,749,984.75</w:t>
            </w:r>
          </w:p>
        </w:tc>
      </w:tr>
      <w:tr w14:paraId="04D8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267" w:type="pct"/>
            <w:shd w:val="clear" w:color="auto" w:fill="auto"/>
          </w:tcPr>
          <w:p w14:paraId="62C16827">
            <w:pPr>
              <w:autoSpaceDE w:val="0"/>
              <w:autoSpaceDN w:val="0"/>
              <w:adjustRightInd w:val="0"/>
              <w:snapToGrid w:val="0"/>
              <w:jc w:val="both"/>
              <w:rPr>
                <w:rFonts w:ascii="Arial Narrow" w:hAnsi="Arial Narrow" w:eastAsiaTheme="majorEastAsia"/>
                <w:szCs w:val="21"/>
              </w:rPr>
            </w:pPr>
            <w:r>
              <w:rPr>
                <w:rFonts w:ascii="Arial Narrow" w:hAnsi="Arial Narrow" w:eastAsiaTheme="majorEastAsia"/>
              </w:rPr>
              <w:t>西双版纳宝莲华橡胶工业有限公司</w:t>
            </w:r>
          </w:p>
        </w:tc>
        <w:tc>
          <w:tcPr>
            <w:tcW w:w="1378" w:type="pct"/>
            <w:shd w:val="clear" w:color="auto" w:fill="auto"/>
          </w:tcPr>
          <w:p w14:paraId="30C57D4E">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3,019,865.76</w:t>
            </w:r>
          </w:p>
        </w:tc>
        <w:tc>
          <w:tcPr>
            <w:tcW w:w="1354" w:type="pct"/>
            <w:shd w:val="clear" w:color="auto" w:fill="auto"/>
          </w:tcPr>
          <w:p w14:paraId="6AB6E0BD">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3,019,865.76</w:t>
            </w:r>
          </w:p>
        </w:tc>
      </w:tr>
      <w:tr w14:paraId="443E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267" w:type="pct"/>
            <w:shd w:val="clear" w:color="auto" w:fill="auto"/>
            <w:vAlign w:val="center"/>
          </w:tcPr>
          <w:p w14:paraId="048145EF">
            <w:pPr>
              <w:autoSpaceDE w:val="0"/>
              <w:autoSpaceDN w:val="0"/>
              <w:adjustRightInd w:val="0"/>
              <w:snapToGrid w:val="0"/>
              <w:jc w:val="center"/>
              <w:rPr>
                <w:rFonts w:ascii="Arial Narrow" w:hAnsi="Arial Narrow" w:eastAsiaTheme="majorEastAsia"/>
                <w:szCs w:val="21"/>
                <w:u w:val="double"/>
              </w:rPr>
            </w:pPr>
            <w:r>
              <w:rPr>
                <w:rFonts w:ascii="Arial Narrow" w:hAnsi="Arial Narrow" w:eastAsiaTheme="majorEastAsia"/>
                <w:szCs w:val="21"/>
              </w:rPr>
              <w:t>合计</w:t>
            </w:r>
          </w:p>
        </w:tc>
        <w:tc>
          <w:tcPr>
            <w:tcW w:w="1378" w:type="pct"/>
            <w:shd w:val="clear" w:color="auto" w:fill="auto"/>
            <w:vAlign w:val="center"/>
          </w:tcPr>
          <w:p w14:paraId="6E648291">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9,769,850.51</w:t>
            </w:r>
          </w:p>
        </w:tc>
        <w:tc>
          <w:tcPr>
            <w:tcW w:w="1354" w:type="pct"/>
            <w:shd w:val="clear" w:color="auto" w:fill="auto"/>
            <w:vAlign w:val="center"/>
          </w:tcPr>
          <w:p w14:paraId="419D226C">
            <w:pPr>
              <w:autoSpaceDE w:val="0"/>
              <w:autoSpaceDN w:val="0"/>
              <w:adjustRightInd w:val="0"/>
              <w:snapToGrid w:val="0"/>
              <w:jc w:val="right"/>
              <w:rPr>
                <w:rFonts w:ascii="Arial Narrow" w:hAnsi="Arial Narrow" w:eastAsiaTheme="majorEastAsia"/>
                <w:szCs w:val="21"/>
              </w:rPr>
            </w:pPr>
            <w:r>
              <w:rPr>
                <w:rFonts w:ascii="Arial Narrow" w:hAnsi="Arial Narrow" w:eastAsiaTheme="majorEastAsia"/>
              </w:rPr>
              <w:t>9,769,850.51</w:t>
            </w:r>
          </w:p>
        </w:tc>
      </w:tr>
    </w:tbl>
    <w:p w14:paraId="270CF15B">
      <w:pPr>
        <w:rPr>
          <w:rFonts w:hint="eastAsia"/>
        </w:rPr>
      </w:pPr>
    </w:p>
    <w:p w14:paraId="64AD4B07">
      <w:pPr>
        <w:pStyle w:val="71"/>
        <w:numPr>
          <w:ilvl w:val="3"/>
          <w:numId w:val="132"/>
        </w:numPr>
        <w:ind w:left="426" w:hanging="426"/>
        <w:rPr>
          <w:rFonts w:hint="eastAsia"/>
        </w:rPr>
      </w:pPr>
      <w:r>
        <w:rPr>
          <w:rFonts w:hint="eastAsia"/>
        </w:rPr>
        <w:t>商誉减值准备</w:t>
      </w:r>
    </w:p>
    <w:sdt>
      <w:sdtPr>
        <w:alias w:val="是否适用：商誉减值准备[双击切换]"/>
        <w:tag w:val="_GBC_6da4c3df55cf453f9753bb7045db7e9c"/>
        <w:id w:val="1799483763"/>
        <w:placeholder>
          <w:docPart w:val="GBC22222222222222222222222222222"/>
        </w:placeholder>
      </w:sdtPr>
      <w:sdtContent>
        <w:p w14:paraId="672436F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5E73E1">
      <w:pPr>
        <w:jc w:val="right"/>
        <w:rPr>
          <w:rFonts w:hint="eastAsia"/>
        </w:rPr>
      </w:pPr>
      <w:r>
        <w:rPr>
          <w:rFonts w:hint="eastAsia"/>
        </w:rPr>
        <w:t>单位：</w:t>
      </w:r>
      <w:sdt>
        <w:sdtPr>
          <w:rPr>
            <w:rFonts w:hint="eastAsia"/>
          </w:rPr>
          <w:alias w:val="单位：财务附注：商誉减值准备"/>
          <w:tag w:val="_GBC_f57fd757a9b44c6ebaa3d245d43745bc"/>
          <w:id w:val="6597318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636170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2373"/>
        <w:gridCol w:w="2769"/>
      </w:tblGrid>
      <w:tr w14:paraId="32F4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sdt>
          <w:sdtPr>
            <w:rPr>
              <w:rFonts w:ascii="Arial Narrow" w:hAnsi="Arial Narrow" w:eastAsiaTheme="minorEastAsia"/>
            </w:rPr>
            <w:tag w:val="_PLD_18986b1742bd44dfbf2a33ba8f31cdbc"/>
            <w:id w:val="-2136023015"/>
          </w:sdtPr>
          <w:sdtEndPr>
            <w:rPr>
              <w:rFonts w:ascii="Arial Narrow" w:hAnsi="Arial Narrow" w:eastAsiaTheme="minorEastAsia"/>
            </w:rPr>
          </w:sdtEndPr>
          <w:sdtContent>
            <w:tc>
              <w:tcPr>
                <w:tcW w:w="2086" w:type="pct"/>
                <w:vMerge w:val="restart"/>
                <w:shd w:val="clear" w:color="auto" w:fill="auto"/>
                <w:vAlign w:val="center"/>
              </w:tcPr>
              <w:p w14:paraId="0824102E">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被投资单位名称或形成商誉的事项</w:t>
                </w:r>
              </w:p>
            </w:tc>
          </w:sdtContent>
        </w:sdt>
        <w:sdt>
          <w:sdtPr>
            <w:rPr>
              <w:rFonts w:ascii="Arial Narrow" w:hAnsi="Arial Narrow" w:eastAsiaTheme="minorEastAsia"/>
            </w:rPr>
            <w:tag w:val="_PLD_f4fc332b28b44b9498c110ad4ae0a59b"/>
            <w:id w:val="-1960630693"/>
          </w:sdtPr>
          <w:sdtEndPr>
            <w:rPr>
              <w:rFonts w:ascii="Arial Narrow" w:hAnsi="Arial Narrow" w:eastAsiaTheme="minorEastAsia"/>
            </w:rPr>
          </w:sdtEndPr>
          <w:sdtContent>
            <w:tc>
              <w:tcPr>
                <w:tcW w:w="1345" w:type="pct"/>
                <w:vMerge w:val="restart"/>
                <w:shd w:val="clear" w:color="auto" w:fill="auto"/>
                <w:vAlign w:val="center"/>
              </w:tcPr>
              <w:p w14:paraId="6A8D6E2E">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rPr>
            <w:tag w:val="_PLD_507192cf6da34101afd3a25ed1e4bd77"/>
            <w:id w:val="-1987081492"/>
          </w:sdtPr>
          <w:sdtEndPr>
            <w:rPr>
              <w:rFonts w:ascii="Arial Narrow" w:hAnsi="Arial Narrow" w:eastAsiaTheme="minorEastAsia"/>
            </w:rPr>
          </w:sdtEndPr>
          <w:sdtContent>
            <w:tc>
              <w:tcPr>
                <w:tcW w:w="1569" w:type="pct"/>
                <w:vMerge w:val="restart"/>
                <w:shd w:val="clear" w:color="auto" w:fill="auto"/>
                <w:vAlign w:val="center"/>
              </w:tcPr>
              <w:p w14:paraId="0BBED4C3">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5E1E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086" w:type="pct"/>
            <w:vMerge w:val="continue"/>
            <w:shd w:val="clear" w:color="auto" w:fill="auto"/>
          </w:tcPr>
          <w:p w14:paraId="7B5D91F4">
            <w:pPr>
              <w:autoSpaceDE w:val="0"/>
              <w:autoSpaceDN w:val="0"/>
              <w:adjustRightInd w:val="0"/>
              <w:snapToGrid w:val="0"/>
              <w:rPr>
                <w:rFonts w:ascii="Arial Narrow" w:hAnsi="Arial Narrow" w:eastAsiaTheme="minorEastAsia"/>
                <w:szCs w:val="21"/>
              </w:rPr>
            </w:pPr>
          </w:p>
        </w:tc>
        <w:tc>
          <w:tcPr>
            <w:tcW w:w="1345" w:type="pct"/>
            <w:vMerge w:val="continue"/>
            <w:shd w:val="clear" w:color="auto" w:fill="auto"/>
            <w:vAlign w:val="center"/>
          </w:tcPr>
          <w:p w14:paraId="4FB5414A">
            <w:pPr>
              <w:autoSpaceDE w:val="0"/>
              <w:autoSpaceDN w:val="0"/>
              <w:adjustRightInd w:val="0"/>
              <w:snapToGrid w:val="0"/>
              <w:jc w:val="right"/>
              <w:rPr>
                <w:rFonts w:ascii="Arial Narrow" w:hAnsi="Arial Narrow" w:eastAsiaTheme="minorEastAsia"/>
                <w:szCs w:val="21"/>
              </w:rPr>
            </w:pPr>
          </w:p>
        </w:tc>
        <w:tc>
          <w:tcPr>
            <w:tcW w:w="1569" w:type="pct"/>
            <w:vMerge w:val="continue"/>
            <w:shd w:val="clear" w:color="auto" w:fill="auto"/>
          </w:tcPr>
          <w:p w14:paraId="2B61B30A">
            <w:pPr>
              <w:autoSpaceDE w:val="0"/>
              <w:autoSpaceDN w:val="0"/>
              <w:adjustRightInd w:val="0"/>
              <w:snapToGrid w:val="0"/>
              <w:jc w:val="center"/>
              <w:rPr>
                <w:rFonts w:ascii="Arial Narrow" w:hAnsi="Arial Narrow" w:eastAsiaTheme="minorEastAsia"/>
                <w:szCs w:val="21"/>
              </w:rPr>
            </w:pPr>
          </w:p>
        </w:tc>
      </w:tr>
      <w:tr w14:paraId="35A7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086" w:type="pct"/>
            <w:shd w:val="clear" w:color="auto" w:fill="auto"/>
          </w:tcPr>
          <w:p w14:paraId="4DC9BABE">
            <w:pPr>
              <w:autoSpaceDE w:val="0"/>
              <w:autoSpaceDN w:val="0"/>
              <w:adjustRightInd w:val="0"/>
              <w:snapToGrid w:val="0"/>
              <w:rPr>
                <w:rFonts w:ascii="Arial Narrow" w:hAnsi="Arial Narrow" w:eastAsiaTheme="minorEastAsia"/>
                <w:szCs w:val="21"/>
              </w:rPr>
            </w:pPr>
            <w:r>
              <w:rPr>
                <w:rFonts w:ascii="Arial Narrow" w:hAnsi="Arial Narrow" w:eastAsiaTheme="minorEastAsia"/>
              </w:rPr>
              <w:t>呼图壁县万源棉业有限公司</w:t>
            </w:r>
          </w:p>
        </w:tc>
        <w:tc>
          <w:tcPr>
            <w:tcW w:w="1345" w:type="pct"/>
            <w:shd w:val="clear" w:color="auto" w:fill="auto"/>
          </w:tcPr>
          <w:p w14:paraId="4F0DE0E4">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rPr>
              <w:t>6,749,984.75</w:t>
            </w:r>
          </w:p>
        </w:tc>
        <w:tc>
          <w:tcPr>
            <w:tcW w:w="1569" w:type="pct"/>
            <w:shd w:val="clear" w:color="auto" w:fill="auto"/>
          </w:tcPr>
          <w:p w14:paraId="6F55478F">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rPr>
              <w:t>6,749,984.75</w:t>
            </w:r>
          </w:p>
        </w:tc>
      </w:tr>
      <w:tr w14:paraId="07D4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086" w:type="pct"/>
            <w:shd w:val="clear" w:color="auto" w:fill="auto"/>
            <w:vAlign w:val="center"/>
          </w:tcPr>
          <w:p w14:paraId="2CE70E4F">
            <w:pPr>
              <w:autoSpaceDE w:val="0"/>
              <w:autoSpaceDN w:val="0"/>
              <w:adjustRightInd w:val="0"/>
              <w:snapToGrid w:val="0"/>
              <w:jc w:val="center"/>
              <w:rPr>
                <w:rFonts w:ascii="Arial Narrow" w:hAnsi="Arial Narrow" w:eastAsiaTheme="minorEastAsia"/>
                <w:szCs w:val="21"/>
                <w:u w:val="double"/>
              </w:rPr>
            </w:pPr>
            <w:r>
              <w:rPr>
                <w:rFonts w:ascii="Arial Narrow" w:hAnsi="Arial Narrow" w:eastAsiaTheme="minorEastAsia"/>
                <w:szCs w:val="21"/>
              </w:rPr>
              <w:t>合计</w:t>
            </w:r>
          </w:p>
        </w:tc>
        <w:tc>
          <w:tcPr>
            <w:tcW w:w="1345" w:type="pct"/>
            <w:shd w:val="clear" w:color="auto" w:fill="auto"/>
            <w:vAlign w:val="center"/>
          </w:tcPr>
          <w:p w14:paraId="371CC890">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rPr>
              <w:t>6,749,984.75</w:t>
            </w:r>
          </w:p>
        </w:tc>
        <w:tc>
          <w:tcPr>
            <w:tcW w:w="1569" w:type="pct"/>
            <w:shd w:val="clear" w:color="auto" w:fill="auto"/>
            <w:vAlign w:val="center"/>
          </w:tcPr>
          <w:p w14:paraId="2362293D">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rPr>
              <w:t>6,749,984.75</w:t>
            </w:r>
          </w:p>
        </w:tc>
      </w:tr>
    </w:tbl>
    <w:p w14:paraId="0A3B2986">
      <w:pPr>
        <w:rPr>
          <w:rFonts w:hint="eastAsia"/>
        </w:rPr>
      </w:pPr>
    </w:p>
    <w:p w14:paraId="1A2766A0">
      <w:pPr>
        <w:pStyle w:val="71"/>
        <w:numPr>
          <w:ilvl w:val="3"/>
          <w:numId w:val="132"/>
        </w:numPr>
        <w:ind w:left="426" w:hanging="426"/>
        <w:rPr>
          <w:rFonts w:hint="eastAsia"/>
        </w:rPr>
      </w:pPr>
      <w:r>
        <w:rPr>
          <w:rFonts w:hint="eastAsia"/>
        </w:rPr>
        <w:t>商誉所在资产组或资产组组合的相关信息</w:t>
      </w:r>
    </w:p>
    <w:sdt>
      <w:sdtPr>
        <w:rPr>
          <w:rFonts w:hint="eastAsia"/>
        </w:rPr>
        <w:alias w:val="是否适用：商誉所在资产组或资产组组合的相关信息[双击切换]"/>
        <w:tag w:val="_GBC_119e2aba5afb45e0b1f50033345c80ee"/>
        <w:id w:val="-566188725"/>
        <w:placeholder>
          <w:docPart w:val="GBC22222222222222222222222222222"/>
        </w:placeholder>
      </w:sdtPr>
      <w:sdtEndPr>
        <w:rPr>
          <w:rFonts w:hint="eastAsia"/>
        </w:rPr>
      </w:sdtEndPr>
      <w:sdtContent>
        <w:p w14:paraId="5EDEBC6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9295107">
      <w:pPr>
        <w:rPr>
          <w:rFonts w:hint="eastAsia"/>
        </w:rPr>
      </w:pPr>
    </w:p>
    <w:p w14:paraId="21ED9B00">
      <w:pPr>
        <w:rPr>
          <w:rFonts w:hint="eastAsia"/>
        </w:rPr>
      </w:pPr>
      <w:bookmarkStart w:id="331" w:name="_Hlk153462880"/>
      <w:r>
        <w:rPr>
          <w:rFonts w:hint="eastAsia"/>
        </w:rPr>
        <w:t>资产组或资产组组合发生变化</w:t>
      </w:r>
    </w:p>
    <w:sdt>
      <w:sdtPr>
        <w:alias w:val="是否适用：资产组或资产组组合发生变化[双击切换]"/>
        <w:tag w:val="_GBC_31d9e35c99cb43c2ad1aced4a6a40606"/>
        <w:id w:val="-1915613659"/>
        <w:placeholder>
          <w:docPart w:val="GBC22222222222222222222222222222"/>
        </w:placeholder>
      </w:sdtPr>
      <w:sdtContent>
        <w:p w14:paraId="4B9939A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B8715A4">
      <w:pPr>
        <w:rPr>
          <w:rFonts w:hint="eastAsia"/>
        </w:rPr>
      </w:pPr>
    </w:p>
    <w:bookmarkEnd w:id="331"/>
    <w:p w14:paraId="50455D63">
      <w:pPr>
        <w:rPr>
          <w:rFonts w:hint="eastAsia"/>
        </w:rPr>
      </w:pPr>
      <w:bookmarkStart w:id="332" w:name="_Hlk152948734"/>
      <w:r>
        <w:rPr>
          <w:rFonts w:hint="eastAsia"/>
        </w:rPr>
        <w:t>其他说明：</w:t>
      </w:r>
    </w:p>
    <w:sdt>
      <w:sdtPr>
        <w:alias w:val="是否适用：商誉所在资产组或资产组组合的相关信息其他说明[双击切换]"/>
        <w:tag w:val="_GBC_9f9bd4d9cf084d4594694aa545981d14"/>
        <w:id w:val="-620920614"/>
        <w:placeholder>
          <w:docPart w:val="GBC22222222222222222222222222222"/>
        </w:placeholder>
      </w:sdtPr>
      <w:sdtContent>
        <w:p w14:paraId="2DD219D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332"/>
    <w:p w14:paraId="70360F44">
      <w:pPr>
        <w:rPr>
          <w:rFonts w:hint="eastAsia"/>
        </w:rPr>
      </w:pPr>
    </w:p>
    <w:p w14:paraId="64F48C73">
      <w:pPr>
        <w:pStyle w:val="71"/>
        <w:numPr>
          <w:ilvl w:val="3"/>
          <w:numId w:val="132"/>
        </w:numPr>
        <w:ind w:left="426" w:hanging="426"/>
        <w:rPr>
          <w:rFonts w:hint="eastAsia"/>
        </w:rPr>
      </w:pPr>
      <w:r>
        <w:rPr>
          <w:rFonts w:hint="eastAsia"/>
        </w:rPr>
        <w:t>可收回金额的具体确定方法</w:t>
      </w:r>
    </w:p>
    <w:p w14:paraId="14BD1596">
      <w:pPr>
        <w:rPr>
          <w:rFonts w:hint="eastAsia"/>
        </w:rPr>
      </w:pPr>
      <w:bookmarkStart w:id="333" w:name="_Hlk153463075"/>
      <w:r>
        <w:rPr>
          <w:rFonts w:hint="eastAsia"/>
        </w:rPr>
        <w:t>可收回金额按公允价值减去处置费用后的净额确定</w:t>
      </w:r>
    </w:p>
    <w:sdt>
      <w:sdtPr>
        <w:alias w:val="是否适用：可收回金额按公允价值减去处置费用后的净额确定[双击切换]"/>
        <w:tag w:val="_GBC_0b6e879ad4b9460fa4cd105a6a6161a9"/>
        <w:id w:val="2141069686"/>
        <w:placeholder>
          <w:docPart w:val="GBC22222222222222222222222222222"/>
        </w:placeholder>
      </w:sdtPr>
      <w:sdtContent>
        <w:p w14:paraId="6ED8883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3E514C0">
      <w:pPr>
        <w:rPr>
          <w:rFonts w:hint="eastAsia"/>
          <w:szCs w:val="21"/>
        </w:rPr>
      </w:pPr>
    </w:p>
    <w:p w14:paraId="03EDC720">
      <w:pPr>
        <w:rPr>
          <w:rFonts w:hint="eastAsia"/>
        </w:rPr>
      </w:pPr>
      <w:r>
        <w:rPr>
          <w:rFonts w:hint="eastAsia"/>
        </w:rPr>
        <w:t>可收回金额按预计未来现金流量的现值确定</w:t>
      </w:r>
    </w:p>
    <w:sdt>
      <w:sdtPr>
        <w:rPr>
          <w:rFonts w:hint="eastAsia"/>
        </w:rPr>
        <w:alias w:val="是否适用：可收回金额按预计未来现金流量的现值确定[双击切换]"/>
        <w:tag w:val="_GBC_17189f5d61eb4932aa47036bc0a56c3c"/>
        <w:id w:val="34928505"/>
        <w:placeholder>
          <w:docPart w:val="GBC22222222222222222222222222222"/>
        </w:placeholder>
      </w:sdtPr>
      <w:sdtEndPr>
        <w:rPr>
          <w:rFonts w:hint="eastAsia"/>
        </w:rPr>
      </w:sdtEndPr>
      <w:sdtContent>
        <w:p w14:paraId="4008AC27">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7AE4578">
      <w:pPr>
        <w:rPr>
          <w:rFonts w:hint="eastAsia"/>
        </w:rPr>
      </w:pPr>
    </w:p>
    <w:p w14:paraId="27C130C8">
      <w:pPr>
        <w:rPr>
          <w:rFonts w:hint="eastAsia"/>
        </w:rPr>
      </w:pPr>
      <w:r>
        <w:rPr>
          <w:rFonts w:hint="eastAsia"/>
        </w:rPr>
        <w:t>前述信息与以前年度减值测试采用的信息或外部信息明显不一致的差异原因</w:t>
      </w:r>
    </w:p>
    <w:sdt>
      <w:sdtPr>
        <w:alias w:val="是否适用：前述信息与以前年度减值测试采用的信息或外部信息明显不一致的差异原因[双击切换]"/>
        <w:tag w:val="_GBC_6fedd0cb22e642148a39712dafed8ab2"/>
        <w:id w:val="1400628280"/>
        <w:placeholder>
          <w:docPart w:val="GBC22222222222222222222222222222"/>
        </w:placeholder>
      </w:sdtPr>
      <w:sdtContent>
        <w:p w14:paraId="7924746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6924925">
      <w:pPr>
        <w:snapToGrid w:val="0"/>
        <w:spacing w:line="240" w:lineRule="atLeast"/>
        <w:rPr>
          <w:rFonts w:hint="eastAsia"/>
          <w:szCs w:val="21"/>
        </w:rPr>
      </w:pPr>
    </w:p>
    <w:p w14:paraId="350CCD0F">
      <w:pPr>
        <w:rPr>
          <w:rFonts w:hint="eastAsia"/>
        </w:rPr>
      </w:pPr>
      <w:r>
        <w:rPr>
          <w:rFonts w:hint="eastAsia"/>
        </w:rPr>
        <w:t>公司以前年度减值测试采用信息与当年实际情况明显不一致的差异原因</w:t>
      </w:r>
    </w:p>
    <w:sdt>
      <w:sdtPr>
        <w:alias w:val="是否适用：公司以前年度减值测试采用信息与当年实际情况明显不一致的差异原因[双击切换]"/>
        <w:tag w:val="_GBC_18d33f86a7b9452d90cad7f084f6d59d"/>
        <w:id w:val="-1732538432"/>
        <w:placeholder>
          <w:docPart w:val="GBC22222222222222222222222222222"/>
        </w:placeholder>
      </w:sdtPr>
      <w:sdtContent>
        <w:p w14:paraId="3A62560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98BDFED">
      <w:pPr>
        <w:snapToGrid w:val="0"/>
        <w:spacing w:line="240" w:lineRule="atLeast"/>
        <w:rPr>
          <w:rFonts w:hint="eastAsia"/>
          <w:szCs w:val="21"/>
        </w:rPr>
      </w:pPr>
    </w:p>
    <w:bookmarkEnd w:id="333"/>
    <w:p w14:paraId="361A7192">
      <w:pPr>
        <w:pStyle w:val="71"/>
        <w:numPr>
          <w:ilvl w:val="3"/>
          <w:numId w:val="132"/>
        </w:numPr>
        <w:ind w:left="426" w:hanging="426"/>
        <w:rPr>
          <w:rFonts w:hint="eastAsia"/>
        </w:rPr>
      </w:pPr>
      <w:bookmarkStart w:id="334" w:name="_Hlk153463443"/>
      <w:r>
        <w:rPr>
          <w:rFonts w:hint="eastAsia"/>
        </w:rPr>
        <w:t>业绩承诺及对应商誉减值情况</w:t>
      </w:r>
    </w:p>
    <w:p w14:paraId="2F83CC26">
      <w:pPr>
        <w:rPr>
          <w:rFonts w:hint="eastAsia"/>
        </w:rPr>
      </w:pPr>
      <w:r>
        <w:rPr>
          <w:rFonts w:hint="eastAsia"/>
        </w:rPr>
        <w:t>形成商誉时存在业绩承诺且报告期或报告期上一期间处于业绩承诺期内</w:t>
      </w:r>
    </w:p>
    <w:sdt>
      <w:sdtPr>
        <w:alias w:val="是否适用：业绩承诺完成及对应商誉减值情况[双击切换]"/>
        <w:tag w:val="_GBC_95d9b287a7584eabae736c33b656195c"/>
        <w:id w:val="246091037"/>
        <w:placeholder>
          <w:docPart w:val="GBC22222222222222222222222222222"/>
        </w:placeholder>
      </w:sdtPr>
      <w:sdtContent>
        <w:p w14:paraId="12E2248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3F84EA1">
      <w:pPr>
        <w:rPr>
          <w:rFonts w:hint="eastAsia"/>
        </w:rPr>
      </w:pPr>
    </w:p>
    <w:bookmarkEnd w:id="334"/>
    <w:p w14:paraId="08A01FF8">
      <w:pPr>
        <w:rPr>
          <w:rFonts w:hint="eastAsia"/>
        </w:rPr>
      </w:pPr>
      <w:r>
        <w:rPr>
          <w:rFonts w:hint="eastAsia"/>
        </w:rPr>
        <w:t>其他说明：</w:t>
      </w:r>
    </w:p>
    <w:sdt>
      <w:sdtPr>
        <w:alias w:val="是否适用：商誉其他需要说明的事项[双击切换]"/>
        <w:tag w:val="_GBC_99f8ebd0cb464294bea4051ad19cf581"/>
        <w:id w:val="1693639222"/>
        <w:placeholder>
          <w:docPart w:val="GBC22222222222222222222222222222"/>
        </w:placeholder>
      </w:sdtPr>
      <w:sdtContent>
        <w:p w14:paraId="01A64756">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30B4FE3">
      <w:pPr>
        <w:snapToGrid w:val="0"/>
        <w:spacing w:line="240" w:lineRule="atLeast"/>
        <w:rPr>
          <w:rFonts w:hint="eastAsia" w:cstheme="minorBidi"/>
          <w:kern w:val="2"/>
          <w:szCs w:val="21"/>
        </w:rPr>
      </w:pPr>
    </w:p>
    <w:p w14:paraId="4404974B">
      <w:pPr>
        <w:pStyle w:val="70"/>
        <w:numPr>
          <w:ilvl w:val="0"/>
          <w:numId w:val="109"/>
        </w:numPr>
        <w:rPr>
          <w:szCs w:val="21"/>
        </w:rPr>
      </w:pPr>
      <w:r>
        <w:rPr>
          <w:szCs w:val="21"/>
        </w:rPr>
        <w:t>长期待摊费用</w:t>
      </w:r>
    </w:p>
    <w:sdt>
      <w:sdtPr>
        <w:alias w:val="是否适用：长期待摊费用[双击切换]"/>
        <w:tag w:val="_GBC_cbcb541b65cd4be6b93f357c0fdd9f09"/>
        <w:id w:val="-1960094184"/>
        <w:placeholder>
          <w:docPart w:val="GBC22222222222222222222222222222"/>
        </w:placeholder>
      </w:sdtPr>
      <w:sdtContent>
        <w:p w14:paraId="7F2CEB3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47938F">
      <w:pPr>
        <w:jc w:val="right"/>
        <w:rPr>
          <w:rFonts w:hint="eastAsia"/>
          <w:szCs w:val="21"/>
        </w:rPr>
      </w:pPr>
      <w:r>
        <w:rPr>
          <w:rFonts w:hint="eastAsia"/>
          <w:szCs w:val="21"/>
        </w:rPr>
        <w:t>单位：</w:t>
      </w:r>
      <w:sdt>
        <w:sdtPr>
          <w:rPr>
            <w:rFonts w:hint="eastAsia"/>
            <w:szCs w:val="21"/>
          </w:rPr>
          <w:alias w:val="单位：财务附注：长期待摊费用"/>
          <w:tag w:val="_GBC_bcda40ca2da04d5da4a9e3293430f9ac"/>
          <w:id w:val="-4367578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2602694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346"/>
        <w:gridCol w:w="1475"/>
        <w:gridCol w:w="1475"/>
        <w:gridCol w:w="1391"/>
        <w:gridCol w:w="1581"/>
      </w:tblGrid>
      <w:tr w14:paraId="7C6B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d70e367624f544f28430d4fa9dc10540"/>
            <w:id w:val="1210682846"/>
          </w:sdtPr>
          <w:sdtEndPr>
            <w:rPr>
              <w:rFonts w:ascii="Arial Narrow" w:hAnsi="Arial Narrow" w:eastAsiaTheme="minorEastAsia"/>
              <w:szCs w:val="21"/>
            </w:rPr>
          </w:sdtEndPr>
          <w:sdtContent>
            <w:tc>
              <w:tcPr>
                <w:tcW w:w="881" w:type="pct"/>
              </w:tcPr>
              <w:p w14:paraId="15C7894B">
                <w:pPr>
                  <w:widowControl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e9e93178bf6e4ae6b25e934d80cadf90"/>
            <w:id w:val="-748731362"/>
          </w:sdtPr>
          <w:sdtEndPr>
            <w:rPr>
              <w:rFonts w:ascii="Arial Narrow" w:hAnsi="Arial Narrow" w:eastAsiaTheme="minorEastAsia"/>
              <w:szCs w:val="21"/>
            </w:rPr>
          </w:sdtEndPr>
          <w:sdtContent>
            <w:tc>
              <w:tcPr>
                <w:tcW w:w="763" w:type="pct"/>
              </w:tcPr>
              <w:p w14:paraId="22EAB905">
                <w:pPr>
                  <w:widowControl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b0304019406b49bba87fd5d26e9e77a3"/>
            <w:id w:val="2007014312"/>
          </w:sdtPr>
          <w:sdtEndPr>
            <w:rPr>
              <w:rFonts w:ascii="Arial Narrow" w:hAnsi="Arial Narrow" w:eastAsiaTheme="minorEastAsia"/>
              <w:szCs w:val="21"/>
            </w:rPr>
          </w:sdtEndPr>
          <w:sdtContent>
            <w:tc>
              <w:tcPr>
                <w:tcW w:w="836" w:type="pct"/>
              </w:tcPr>
              <w:p w14:paraId="7D7547F3">
                <w:pPr>
                  <w:widowControl w:val="0"/>
                  <w:jc w:val="center"/>
                  <w:rPr>
                    <w:rFonts w:ascii="Arial Narrow" w:hAnsi="Arial Narrow" w:eastAsiaTheme="minorEastAsia"/>
                    <w:szCs w:val="21"/>
                  </w:rPr>
                </w:pPr>
                <w:r>
                  <w:rPr>
                    <w:rFonts w:ascii="Arial Narrow" w:hAnsi="Arial Narrow" w:eastAsiaTheme="minorEastAsia"/>
                    <w:szCs w:val="21"/>
                  </w:rPr>
                  <w:t>本期增加</w:t>
                </w:r>
              </w:p>
              <w:p w14:paraId="21C8C631">
                <w:pPr>
                  <w:widowControl w:val="0"/>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e1350bea96cf4f45a6200cab08f11722"/>
            <w:id w:val="-392422021"/>
          </w:sdtPr>
          <w:sdtEndPr>
            <w:rPr>
              <w:rFonts w:ascii="Arial Narrow" w:hAnsi="Arial Narrow" w:eastAsiaTheme="minorEastAsia"/>
              <w:szCs w:val="21"/>
            </w:rPr>
          </w:sdtEndPr>
          <w:sdtContent>
            <w:tc>
              <w:tcPr>
                <w:tcW w:w="836" w:type="pct"/>
              </w:tcPr>
              <w:p w14:paraId="1EAF8AC9">
                <w:pPr>
                  <w:widowControl w:val="0"/>
                  <w:jc w:val="center"/>
                  <w:rPr>
                    <w:rFonts w:ascii="Arial Narrow" w:hAnsi="Arial Narrow" w:eastAsiaTheme="minorEastAsia"/>
                    <w:szCs w:val="21"/>
                  </w:rPr>
                </w:pPr>
                <w:r>
                  <w:rPr>
                    <w:rFonts w:ascii="Arial Narrow" w:hAnsi="Arial Narrow" w:eastAsiaTheme="minorEastAsia"/>
                    <w:szCs w:val="21"/>
                  </w:rPr>
                  <w:t>本期摊销</w:t>
                </w:r>
              </w:p>
              <w:p w14:paraId="2E680351">
                <w:pPr>
                  <w:widowControl w:val="0"/>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dd7c0d5ab3334691b3e0047d34ecb634"/>
            <w:id w:val="1201751180"/>
          </w:sdtPr>
          <w:sdtEndPr>
            <w:rPr>
              <w:rFonts w:ascii="Arial Narrow" w:hAnsi="Arial Narrow" w:eastAsiaTheme="minorEastAsia"/>
              <w:szCs w:val="21"/>
            </w:rPr>
          </w:sdtEndPr>
          <w:sdtContent>
            <w:tc>
              <w:tcPr>
                <w:tcW w:w="788" w:type="pct"/>
              </w:tcPr>
              <w:p w14:paraId="336CBAD0">
                <w:pPr>
                  <w:widowControl w:val="0"/>
                  <w:jc w:val="center"/>
                  <w:rPr>
                    <w:rFonts w:ascii="Arial Narrow" w:hAnsi="Arial Narrow" w:eastAsiaTheme="minorEastAsia"/>
                    <w:szCs w:val="21"/>
                  </w:rPr>
                </w:pPr>
                <w:r>
                  <w:rPr>
                    <w:rFonts w:ascii="Arial Narrow" w:hAnsi="Arial Narrow" w:eastAsiaTheme="minorEastAsia"/>
                    <w:szCs w:val="21"/>
                  </w:rPr>
                  <w:t>其他减少</w:t>
                </w:r>
              </w:p>
              <w:p w14:paraId="67541922">
                <w:pPr>
                  <w:widowControl w:val="0"/>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3ab32d124e7942f1b1f82c0287c9220f"/>
            <w:id w:val="-152528134"/>
          </w:sdtPr>
          <w:sdtEndPr>
            <w:rPr>
              <w:rFonts w:ascii="Arial Narrow" w:hAnsi="Arial Narrow" w:eastAsiaTheme="minorEastAsia"/>
              <w:szCs w:val="21"/>
            </w:rPr>
          </w:sdtEndPr>
          <w:sdtContent>
            <w:tc>
              <w:tcPr>
                <w:tcW w:w="896" w:type="pct"/>
              </w:tcPr>
              <w:p w14:paraId="20551DF9">
                <w:pPr>
                  <w:widowControl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275B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45131E1C">
            <w:pPr>
              <w:widowControl w:val="0"/>
              <w:jc w:val="both"/>
              <w:rPr>
                <w:rFonts w:ascii="Arial Narrow" w:hAnsi="Arial Narrow" w:eastAsiaTheme="minorEastAsia"/>
                <w:szCs w:val="21"/>
              </w:rPr>
            </w:pPr>
            <w:r>
              <w:rPr>
                <w:rFonts w:ascii="Arial Narrow" w:hAnsi="Arial Narrow" w:eastAsiaTheme="minorEastAsia"/>
                <w:color w:val="000000"/>
                <w:szCs w:val="21"/>
              </w:rPr>
              <w:t>高压配电站等待摊费用</w:t>
            </w:r>
          </w:p>
        </w:tc>
        <w:tc>
          <w:tcPr>
            <w:tcW w:w="763" w:type="pct"/>
            <w:vAlign w:val="center"/>
          </w:tcPr>
          <w:p w14:paraId="0976E547">
            <w:pPr>
              <w:widowControl w:val="0"/>
              <w:jc w:val="right"/>
              <w:rPr>
                <w:rFonts w:ascii="Arial Narrow" w:hAnsi="Arial Narrow" w:eastAsiaTheme="minorEastAsia"/>
                <w:szCs w:val="21"/>
              </w:rPr>
            </w:pPr>
            <w:r>
              <w:rPr>
                <w:rFonts w:ascii="Arial Narrow" w:hAnsi="Arial Narrow" w:eastAsiaTheme="minorEastAsia"/>
                <w:color w:val="000000"/>
                <w:szCs w:val="21"/>
              </w:rPr>
              <w:t>17,008,408.99</w:t>
            </w:r>
          </w:p>
        </w:tc>
        <w:tc>
          <w:tcPr>
            <w:tcW w:w="836" w:type="pct"/>
            <w:vAlign w:val="center"/>
          </w:tcPr>
          <w:p w14:paraId="314684C0">
            <w:pPr>
              <w:widowControl w:val="0"/>
              <w:jc w:val="right"/>
              <w:rPr>
                <w:rFonts w:ascii="Arial Narrow" w:hAnsi="Arial Narrow" w:eastAsiaTheme="minorEastAsia"/>
                <w:szCs w:val="21"/>
              </w:rPr>
            </w:pPr>
          </w:p>
        </w:tc>
        <w:tc>
          <w:tcPr>
            <w:tcW w:w="836" w:type="pct"/>
            <w:vAlign w:val="center"/>
          </w:tcPr>
          <w:p w14:paraId="795F76D0">
            <w:pPr>
              <w:widowControl w:val="0"/>
              <w:jc w:val="right"/>
              <w:rPr>
                <w:rFonts w:ascii="Arial Narrow" w:hAnsi="Arial Narrow" w:eastAsiaTheme="minorEastAsia"/>
                <w:szCs w:val="21"/>
              </w:rPr>
            </w:pPr>
            <w:r>
              <w:rPr>
                <w:rFonts w:ascii="Arial Narrow" w:hAnsi="Arial Narrow" w:eastAsiaTheme="minorEastAsia"/>
                <w:color w:val="000000"/>
                <w:szCs w:val="21"/>
              </w:rPr>
              <w:t>1,357,321.76</w:t>
            </w:r>
          </w:p>
        </w:tc>
        <w:tc>
          <w:tcPr>
            <w:tcW w:w="788" w:type="pct"/>
            <w:vAlign w:val="center"/>
          </w:tcPr>
          <w:p w14:paraId="5E5E0B30">
            <w:pPr>
              <w:widowControl w:val="0"/>
              <w:jc w:val="right"/>
              <w:rPr>
                <w:rFonts w:ascii="Arial Narrow" w:hAnsi="Arial Narrow" w:eastAsiaTheme="minorEastAsia"/>
                <w:szCs w:val="21"/>
              </w:rPr>
            </w:pPr>
          </w:p>
        </w:tc>
        <w:tc>
          <w:tcPr>
            <w:tcW w:w="896" w:type="pct"/>
            <w:vAlign w:val="center"/>
          </w:tcPr>
          <w:p w14:paraId="58E01391">
            <w:pPr>
              <w:widowControl w:val="0"/>
              <w:jc w:val="right"/>
              <w:rPr>
                <w:rFonts w:ascii="Arial Narrow" w:hAnsi="Arial Narrow" w:eastAsiaTheme="minorEastAsia"/>
                <w:szCs w:val="21"/>
              </w:rPr>
            </w:pPr>
            <w:r>
              <w:rPr>
                <w:rFonts w:ascii="Arial Narrow" w:hAnsi="Arial Narrow" w:eastAsiaTheme="minorEastAsia"/>
                <w:color w:val="000000"/>
                <w:szCs w:val="21"/>
              </w:rPr>
              <w:t>15,651,087.23</w:t>
            </w:r>
          </w:p>
        </w:tc>
      </w:tr>
      <w:tr w14:paraId="3A5A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7D67540F">
            <w:pPr>
              <w:widowControl w:val="0"/>
              <w:jc w:val="both"/>
              <w:rPr>
                <w:rFonts w:ascii="Arial Narrow" w:hAnsi="Arial Narrow" w:eastAsiaTheme="minorEastAsia"/>
                <w:szCs w:val="21"/>
              </w:rPr>
            </w:pPr>
            <w:r>
              <w:rPr>
                <w:rFonts w:ascii="Arial Narrow" w:hAnsi="Arial Narrow" w:eastAsiaTheme="minorEastAsia"/>
                <w:color w:val="000000"/>
                <w:szCs w:val="21"/>
              </w:rPr>
              <w:t>装修费</w:t>
            </w:r>
          </w:p>
        </w:tc>
        <w:tc>
          <w:tcPr>
            <w:tcW w:w="763" w:type="pct"/>
            <w:vAlign w:val="center"/>
          </w:tcPr>
          <w:p w14:paraId="0010C022">
            <w:pPr>
              <w:widowControl w:val="0"/>
              <w:jc w:val="right"/>
              <w:rPr>
                <w:rFonts w:ascii="Arial Narrow" w:hAnsi="Arial Narrow" w:eastAsiaTheme="minorEastAsia"/>
                <w:szCs w:val="21"/>
              </w:rPr>
            </w:pPr>
            <w:r>
              <w:rPr>
                <w:rFonts w:ascii="Arial Narrow" w:hAnsi="Arial Narrow" w:eastAsiaTheme="minorEastAsia"/>
                <w:color w:val="000000"/>
                <w:szCs w:val="21"/>
              </w:rPr>
              <w:t>10,523,685.30</w:t>
            </w:r>
          </w:p>
        </w:tc>
        <w:tc>
          <w:tcPr>
            <w:tcW w:w="836" w:type="pct"/>
            <w:vAlign w:val="center"/>
          </w:tcPr>
          <w:p w14:paraId="1DA7956C">
            <w:pPr>
              <w:widowControl w:val="0"/>
              <w:jc w:val="right"/>
              <w:rPr>
                <w:rFonts w:ascii="Arial Narrow" w:hAnsi="Arial Narrow" w:eastAsiaTheme="minorEastAsia"/>
                <w:szCs w:val="21"/>
              </w:rPr>
            </w:pPr>
            <w:r>
              <w:rPr>
                <w:rFonts w:ascii="Arial Narrow" w:hAnsi="Arial Narrow" w:eastAsiaTheme="minorEastAsia"/>
                <w:color w:val="000000"/>
                <w:szCs w:val="21"/>
              </w:rPr>
              <w:t>6,506,698.99</w:t>
            </w:r>
          </w:p>
        </w:tc>
        <w:tc>
          <w:tcPr>
            <w:tcW w:w="836" w:type="pct"/>
            <w:vAlign w:val="center"/>
          </w:tcPr>
          <w:p w14:paraId="411C0523">
            <w:pPr>
              <w:widowControl w:val="0"/>
              <w:jc w:val="right"/>
              <w:rPr>
                <w:rFonts w:ascii="Arial Narrow" w:hAnsi="Arial Narrow" w:eastAsiaTheme="minorEastAsia"/>
                <w:szCs w:val="21"/>
              </w:rPr>
            </w:pPr>
            <w:r>
              <w:rPr>
                <w:rFonts w:ascii="Arial Narrow" w:hAnsi="Arial Narrow" w:eastAsiaTheme="minorEastAsia"/>
                <w:color w:val="000000"/>
                <w:szCs w:val="21"/>
              </w:rPr>
              <w:t>6,445,516.58</w:t>
            </w:r>
          </w:p>
        </w:tc>
        <w:tc>
          <w:tcPr>
            <w:tcW w:w="788" w:type="pct"/>
            <w:vAlign w:val="center"/>
          </w:tcPr>
          <w:p w14:paraId="6AFDD9F7">
            <w:pPr>
              <w:widowControl w:val="0"/>
              <w:jc w:val="right"/>
              <w:rPr>
                <w:rFonts w:ascii="Arial Narrow" w:hAnsi="Arial Narrow" w:eastAsiaTheme="minorEastAsia"/>
                <w:szCs w:val="21"/>
              </w:rPr>
            </w:pPr>
            <w:r>
              <w:rPr>
                <w:rFonts w:ascii="Arial Narrow" w:hAnsi="Arial Narrow" w:eastAsiaTheme="minorEastAsia"/>
                <w:color w:val="000000"/>
                <w:szCs w:val="21"/>
              </w:rPr>
              <w:t>919,483.93</w:t>
            </w:r>
          </w:p>
        </w:tc>
        <w:tc>
          <w:tcPr>
            <w:tcW w:w="896" w:type="pct"/>
            <w:vAlign w:val="center"/>
          </w:tcPr>
          <w:p w14:paraId="279FD929">
            <w:pPr>
              <w:widowControl w:val="0"/>
              <w:jc w:val="right"/>
              <w:rPr>
                <w:rFonts w:ascii="Arial Narrow" w:hAnsi="Arial Narrow" w:eastAsiaTheme="minorEastAsia"/>
                <w:szCs w:val="21"/>
              </w:rPr>
            </w:pPr>
            <w:r>
              <w:rPr>
                <w:rFonts w:ascii="Arial Narrow" w:hAnsi="Arial Narrow" w:eastAsiaTheme="minorEastAsia"/>
                <w:color w:val="000000"/>
                <w:szCs w:val="21"/>
              </w:rPr>
              <w:t>9,665,383.78</w:t>
            </w:r>
          </w:p>
        </w:tc>
      </w:tr>
      <w:tr w14:paraId="347F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25582E2E">
            <w:pPr>
              <w:widowControl w:val="0"/>
              <w:jc w:val="both"/>
              <w:rPr>
                <w:rFonts w:ascii="Arial Narrow" w:hAnsi="Arial Narrow" w:eastAsiaTheme="minorEastAsia"/>
                <w:szCs w:val="21"/>
              </w:rPr>
            </w:pPr>
            <w:r>
              <w:rPr>
                <w:rFonts w:ascii="Arial Narrow" w:hAnsi="Arial Narrow" w:eastAsiaTheme="minorEastAsia"/>
                <w:color w:val="000000"/>
                <w:szCs w:val="21"/>
              </w:rPr>
              <w:t>租入资产维修改造费</w:t>
            </w:r>
          </w:p>
        </w:tc>
        <w:tc>
          <w:tcPr>
            <w:tcW w:w="763" w:type="pct"/>
            <w:vAlign w:val="center"/>
          </w:tcPr>
          <w:p w14:paraId="42F06650">
            <w:pPr>
              <w:widowControl w:val="0"/>
              <w:jc w:val="right"/>
              <w:rPr>
                <w:rFonts w:ascii="Arial Narrow" w:hAnsi="Arial Narrow" w:eastAsiaTheme="minorEastAsia"/>
                <w:szCs w:val="21"/>
              </w:rPr>
            </w:pPr>
            <w:r>
              <w:rPr>
                <w:rFonts w:ascii="Arial Narrow" w:hAnsi="Arial Narrow" w:eastAsiaTheme="minorEastAsia"/>
                <w:color w:val="000000"/>
                <w:szCs w:val="21"/>
              </w:rPr>
              <w:t>6,110,676.99</w:t>
            </w:r>
          </w:p>
        </w:tc>
        <w:tc>
          <w:tcPr>
            <w:tcW w:w="836" w:type="pct"/>
            <w:vAlign w:val="center"/>
          </w:tcPr>
          <w:p w14:paraId="1B91EF78">
            <w:pPr>
              <w:widowControl w:val="0"/>
              <w:jc w:val="right"/>
              <w:rPr>
                <w:rFonts w:ascii="Arial Narrow" w:hAnsi="Arial Narrow" w:eastAsiaTheme="minorEastAsia"/>
                <w:szCs w:val="21"/>
              </w:rPr>
            </w:pPr>
          </w:p>
        </w:tc>
        <w:tc>
          <w:tcPr>
            <w:tcW w:w="836" w:type="pct"/>
            <w:vAlign w:val="center"/>
          </w:tcPr>
          <w:p w14:paraId="489C915B">
            <w:pPr>
              <w:widowControl w:val="0"/>
              <w:jc w:val="right"/>
              <w:rPr>
                <w:rFonts w:ascii="Arial Narrow" w:hAnsi="Arial Narrow" w:eastAsiaTheme="minorEastAsia"/>
                <w:szCs w:val="21"/>
              </w:rPr>
            </w:pPr>
            <w:r>
              <w:rPr>
                <w:rFonts w:ascii="Arial Narrow" w:hAnsi="Arial Narrow" w:eastAsiaTheme="minorEastAsia"/>
                <w:color w:val="000000"/>
                <w:szCs w:val="21"/>
              </w:rPr>
              <w:t>531,363.84</w:t>
            </w:r>
          </w:p>
        </w:tc>
        <w:tc>
          <w:tcPr>
            <w:tcW w:w="788" w:type="pct"/>
            <w:vAlign w:val="center"/>
          </w:tcPr>
          <w:p w14:paraId="398123D4">
            <w:pPr>
              <w:widowControl w:val="0"/>
              <w:jc w:val="right"/>
              <w:rPr>
                <w:rFonts w:ascii="Arial Narrow" w:hAnsi="Arial Narrow" w:eastAsiaTheme="minorEastAsia"/>
                <w:szCs w:val="21"/>
              </w:rPr>
            </w:pPr>
          </w:p>
        </w:tc>
        <w:tc>
          <w:tcPr>
            <w:tcW w:w="896" w:type="pct"/>
            <w:vAlign w:val="center"/>
          </w:tcPr>
          <w:p w14:paraId="2A4858B4">
            <w:pPr>
              <w:widowControl w:val="0"/>
              <w:jc w:val="right"/>
              <w:rPr>
                <w:rFonts w:ascii="Arial Narrow" w:hAnsi="Arial Narrow" w:eastAsiaTheme="minorEastAsia"/>
                <w:szCs w:val="21"/>
              </w:rPr>
            </w:pPr>
            <w:r>
              <w:rPr>
                <w:rFonts w:ascii="Arial Narrow" w:hAnsi="Arial Narrow" w:eastAsiaTheme="minorEastAsia"/>
                <w:color w:val="000000"/>
                <w:szCs w:val="21"/>
              </w:rPr>
              <w:t>5,579,313.15</w:t>
            </w:r>
          </w:p>
        </w:tc>
      </w:tr>
      <w:tr w14:paraId="09E6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23DB5CAC">
            <w:pPr>
              <w:widowControl w:val="0"/>
              <w:jc w:val="both"/>
              <w:rPr>
                <w:rFonts w:ascii="Arial Narrow" w:hAnsi="Arial Narrow" w:eastAsiaTheme="minorEastAsia"/>
                <w:szCs w:val="21"/>
              </w:rPr>
            </w:pPr>
            <w:r>
              <w:rPr>
                <w:rFonts w:ascii="Arial Narrow" w:hAnsi="Arial Narrow" w:eastAsiaTheme="minorEastAsia"/>
                <w:color w:val="000000"/>
                <w:szCs w:val="21"/>
              </w:rPr>
              <w:t>租用土地</w:t>
            </w:r>
          </w:p>
        </w:tc>
        <w:tc>
          <w:tcPr>
            <w:tcW w:w="763" w:type="pct"/>
            <w:vAlign w:val="center"/>
          </w:tcPr>
          <w:p w14:paraId="317EE895">
            <w:pPr>
              <w:widowControl w:val="0"/>
              <w:jc w:val="right"/>
              <w:rPr>
                <w:rFonts w:ascii="Arial Narrow" w:hAnsi="Arial Narrow" w:eastAsiaTheme="minorEastAsia"/>
                <w:szCs w:val="21"/>
              </w:rPr>
            </w:pPr>
            <w:r>
              <w:rPr>
                <w:rFonts w:ascii="Arial Narrow" w:hAnsi="Arial Narrow" w:eastAsiaTheme="minorEastAsia"/>
                <w:color w:val="000000"/>
                <w:szCs w:val="21"/>
              </w:rPr>
              <w:t>1,479,858.74</w:t>
            </w:r>
          </w:p>
        </w:tc>
        <w:tc>
          <w:tcPr>
            <w:tcW w:w="836" w:type="pct"/>
            <w:vAlign w:val="center"/>
          </w:tcPr>
          <w:p w14:paraId="6CAD7B83">
            <w:pPr>
              <w:widowControl w:val="0"/>
              <w:jc w:val="right"/>
              <w:rPr>
                <w:rFonts w:ascii="Arial Narrow" w:hAnsi="Arial Narrow" w:eastAsiaTheme="minorEastAsia"/>
                <w:szCs w:val="21"/>
              </w:rPr>
            </w:pPr>
          </w:p>
        </w:tc>
        <w:tc>
          <w:tcPr>
            <w:tcW w:w="836" w:type="pct"/>
            <w:vAlign w:val="center"/>
          </w:tcPr>
          <w:p w14:paraId="56683332">
            <w:pPr>
              <w:widowControl w:val="0"/>
              <w:jc w:val="right"/>
              <w:rPr>
                <w:rFonts w:ascii="Arial Narrow" w:hAnsi="Arial Narrow" w:eastAsiaTheme="minorEastAsia"/>
                <w:szCs w:val="21"/>
              </w:rPr>
            </w:pPr>
            <w:r>
              <w:rPr>
                <w:rFonts w:ascii="Arial Narrow" w:hAnsi="Arial Narrow" w:eastAsiaTheme="minorEastAsia"/>
                <w:color w:val="000000"/>
                <w:szCs w:val="21"/>
              </w:rPr>
              <w:t>68,253.16</w:t>
            </w:r>
          </w:p>
        </w:tc>
        <w:tc>
          <w:tcPr>
            <w:tcW w:w="788" w:type="pct"/>
            <w:vAlign w:val="center"/>
          </w:tcPr>
          <w:p w14:paraId="7680E080">
            <w:pPr>
              <w:widowControl w:val="0"/>
              <w:jc w:val="right"/>
              <w:rPr>
                <w:rFonts w:ascii="Arial Narrow" w:hAnsi="Arial Narrow" w:eastAsiaTheme="minorEastAsia"/>
                <w:szCs w:val="21"/>
              </w:rPr>
            </w:pPr>
          </w:p>
        </w:tc>
        <w:tc>
          <w:tcPr>
            <w:tcW w:w="896" w:type="pct"/>
            <w:vAlign w:val="center"/>
          </w:tcPr>
          <w:p w14:paraId="49317873">
            <w:pPr>
              <w:widowControl w:val="0"/>
              <w:jc w:val="right"/>
              <w:rPr>
                <w:rFonts w:ascii="Arial Narrow" w:hAnsi="Arial Narrow" w:eastAsiaTheme="minorEastAsia"/>
                <w:szCs w:val="21"/>
              </w:rPr>
            </w:pPr>
            <w:r>
              <w:rPr>
                <w:rFonts w:ascii="Arial Narrow" w:hAnsi="Arial Narrow" w:eastAsiaTheme="minorEastAsia"/>
                <w:color w:val="000000"/>
                <w:szCs w:val="21"/>
              </w:rPr>
              <w:t>1,411,605.58</w:t>
            </w:r>
          </w:p>
        </w:tc>
      </w:tr>
      <w:tr w14:paraId="6F96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73E7B7DE">
            <w:pPr>
              <w:widowControl w:val="0"/>
              <w:jc w:val="both"/>
              <w:rPr>
                <w:rFonts w:ascii="Arial Narrow" w:hAnsi="Arial Narrow" w:eastAsiaTheme="minorEastAsia"/>
                <w:szCs w:val="21"/>
              </w:rPr>
            </w:pPr>
            <w:r>
              <w:rPr>
                <w:rFonts w:ascii="Arial Narrow" w:hAnsi="Arial Narrow" w:eastAsiaTheme="minorEastAsia"/>
                <w:color w:val="000000"/>
                <w:szCs w:val="21"/>
              </w:rPr>
              <w:t>际华文创园园区待摊费用</w:t>
            </w:r>
          </w:p>
        </w:tc>
        <w:tc>
          <w:tcPr>
            <w:tcW w:w="763" w:type="pct"/>
            <w:vAlign w:val="center"/>
          </w:tcPr>
          <w:p w14:paraId="1B85C4F3">
            <w:pPr>
              <w:widowControl w:val="0"/>
              <w:jc w:val="right"/>
              <w:rPr>
                <w:rFonts w:ascii="Arial Narrow" w:hAnsi="Arial Narrow" w:eastAsiaTheme="minorEastAsia"/>
                <w:szCs w:val="21"/>
              </w:rPr>
            </w:pPr>
            <w:r>
              <w:rPr>
                <w:rFonts w:ascii="Arial Narrow" w:hAnsi="Arial Narrow" w:eastAsiaTheme="minorEastAsia"/>
                <w:color w:val="000000"/>
                <w:szCs w:val="21"/>
              </w:rPr>
              <w:t>894,563.77</w:t>
            </w:r>
          </w:p>
        </w:tc>
        <w:tc>
          <w:tcPr>
            <w:tcW w:w="836" w:type="pct"/>
            <w:vAlign w:val="center"/>
          </w:tcPr>
          <w:p w14:paraId="75E15725">
            <w:pPr>
              <w:widowControl w:val="0"/>
              <w:jc w:val="right"/>
              <w:rPr>
                <w:rFonts w:ascii="Arial Narrow" w:hAnsi="Arial Narrow" w:eastAsiaTheme="minorEastAsia"/>
                <w:szCs w:val="21"/>
              </w:rPr>
            </w:pPr>
          </w:p>
        </w:tc>
        <w:tc>
          <w:tcPr>
            <w:tcW w:w="836" w:type="pct"/>
            <w:vAlign w:val="center"/>
          </w:tcPr>
          <w:p w14:paraId="60D92179">
            <w:pPr>
              <w:widowControl w:val="0"/>
              <w:jc w:val="right"/>
              <w:rPr>
                <w:rFonts w:ascii="Arial Narrow" w:hAnsi="Arial Narrow" w:eastAsiaTheme="minorEastAsia"/>
                <w:szCs w:val="21"/>
              </w:rPr>
            </w:pPr>
            <w:r>
              <w:rPr>
                <w:rFonts w:ascii="Arial Narrow" w:hAnsi="Arial Narrow" w:eastAsiaTheme="minorEastAsia"/>
                <w:color w:val="000000"/>
                <w:szCs w:val="21"/>
              </w:rPr>
              <w:t>59,637.48</w:t>
            </w:r>
          </w:p>
        </w:tc>
        <w:tc>
          <w:tcPr>
            <w:tcW w:w="788" w:type="pct"/>
            <w:vAlign w:val="center"/>
          </w:tcPr>
          <w:p w14:paraId="04E602B1">
            <w:pPr>
              <w:widowControl w:val="0"/>
              <w:jc w:val="right"/>
              <w:rPr>
                <w:rFonts w:ascii="Arial Narrow" w:hAnsi="Arial Narrow" w:eastAsiaTheme="minorEastAsia"/>
                <w:szCs w:val="21"/>
              </w:rPr>
            </w:pPr>
          </w:p>
        </w:tc>
        <w:tc>
          <w:tcPr>
            <w:tcW w:w="896" w:type="pct"/>
            <w:vAlign w:val="center"/>
          </w:tcPr>
          <w:p w14:paraId="0701EAB7">
            <w:pPr>
              <w:widowControl w:val="0"/>
              <w:jc w:val="right"/>
              <w:rPr>
                <w:rFonts w:ascii="Arial Narrow" w:hAnsi="Arial Narrow" w:eastAsiaTheme="minorEastAsia"/>
                <w:szCs w:val="21"/>
              </w:rPr>
            </w:pPr>
            <w:r>
              <w:rPr>
                <w:rFonts w:ascii="Arial Narrow" w:hAnsi="Arial Narrow" w:eastAsiaTheme="minorEastAsia"/>
                <w:color w:val="000000"/>
                <w:szCs w:val="21"/>
              </w:rPr>
              <w:t>834,926.29</w:t>
            </w:r>
          </w:p>
        </w:tc>
      </w:tr>
      <w:tr w14:paraId="57DC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6C87D259">
            <w:pPr>
              <w:widowControl w:val="0"/>
              <w:jc w:val="both"/>
              <w:rPr>
                <w:rFonts w:ascii="Arial Narrow" w:hAnsi="Arial Narrow" w:eastAsiaTheme="minorEastAsia"/>
                <w:szCs w:val="21"/>
              </w:rPr>
            </w:pPr>
            <w:r>
              <w:rPr>
                <w:rFonts w:ascii="Arial Narrow" w:hAnsi="Arial Narrow" w:eastAsiaTheme="minorEastAsia"/>
                <w:color w:val="000000"/>
                <w:szCs w:val="21"/>
              </w:rPr>
              <w:t>其他</w:t>
            </w:r>
          </w:p>
        </w:tc>
        <w:tc>
          <w:tcPr>
            <w:tcW w:w="763" w:type="pct"/>
            <w:vAlign w:val="center"/>
          </w:tcPr>
          <w:p w14:paraId="319D8DF4">
            <w:pPr>
              <w:widowControl w:val="0"/>
              <w:jc w:val="right"/>
              <w:rPr>
                <w:rFonts w:ascii="Arial Narrow" w:hAnsi="Arial Narrow" w:eastAsiaTheme="minorEastAsia"/>
                <w:szCs w:val="21"/>
              </w:rPr>
            </w:pPr>
          </w:p>
        </w:tc>
        <w:tc>
          <w:tcPr>
            <w:tcW w:w="836" w:type="pct"/>
            <w:vAlign w:val="center"/>
          </w:tcPr>
          <w:p w14:paraId="045B9998">
            <w:pPr>
              <w:widowControl w:val="0"/>
              <w:jc w:val="right"/>
              <w:rPr>
                <w:rFonts w:ascii="Arial Narrow" w:hAnsi="Arial Narrow" w:eastAsiaTheme="minorEastAsia"/>
                <w:szCs w:val="21"/>
              </w:rPr>
            </w:pPr>
            <w:r>
              <w:rPr>
                <w:rFonts w:ascii="Arial Narrow" w:hAnsi="Arial Narrow" w:eastAsiaTheme="minorEastAsia"/>
                <w:color w:val="000000"/>
                <w:szCs w:val="21"/>
              </w:rPr>
              <w:t>2,124,488.29</w:t>
            </w:r>
          </w:p>
        </w:tc>
        <w:tc>
          <w:tcPr>
            <w:tcW w:w="836" w:type="pct"/>
            <w:vAlign w:val="center"/>
          </w:tcPr>
          <w:p w14:paraId="4920086D">
            <w:pPr>
              <w:widowControl w:val="0"/>
              <w:jc w:val="right"/>
              <w:rPr>
                <w:rFonts w:ascii="Arial Narrow" w:hAnsi="Arial Narrow" w:eastAsiaTheme="minorEastAsia"/>
                <w:szCs w:val="21"/>
              </w:rPr>
            </w:pPr>
            <w:r>
              <w:rPr>
                <w:rFonts w:ascii="Arial Narrow" w:hAnsi="Arial Narrow" w:eastAsiaTheme="minorEastAsia"/>
                <w:color w:val="000000"/>
                <w:szCs w:val="21"/>
              </w:rPr>
              <w:t>10,029.49</w:t>
            </w:r>
          </w:p>
        </w:tc>
        <w:tc>
          <w:tcPr>
            <w:tcW w:w="788" w:type="pct"/>
            <w:vAlign w:val="center"/>
          </w:tcPr>
          <w:p w14:paraId="6CF01DE1">
            <w:pPr>
              <w:widowControl w:val="0"/>
              <w:jc w:val="right"/>
              <w:rPr>
                <w:rFonts w:ascii="Arial Narrow" w:hAnsi="Arial Narrow" w:eastAsiaTheme="minorEastAsia"/>
                <w:szCs w:val="21"/>
              </w:rPr>
            </w:pPr>
          </w:p>
        </w:tc>
        <w:tc>
          <w:tcPr>
            <w:tcW w:w="896" w:type="pct"/>
            <w:vAlign w:val="center"/>
          </w:tcPr>
          <w:p w14:paraId="52B72A3D">
            <w:pPr>
              <w:widowControl w:val="0"/>
              <w:jc w:val="right"/>
              <w:rPr>
                <w:rFonts w:ascii="Arial Narrow" w:hAnsi="Arial Narrow" w:eastAsiaTheme="minorEastAsia"/>
                <w:szCs w:val="21"/>
              </w:rPr>
            </w:pPr>
            <w:r>
              <w:rPr>
                <w:rFonts w:ascii="Arial Narrow" w:hAnsi="Arial Narrow" w:eastAsiaTheme="minorEastAsia"/>
                <w:color w:val="000000"/>
                <w:szCs w:val="21"/>
              </w:rPr>
              <w:t>2,114,458.80</w:t>
            </w:r>
          </w:p>
        </w:tc>
      </w:tr>
      <w:tr w14:paraId="7EEA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 w:type="pct"/>
          </w:tcPr>
          <w:p w14:paraId="3620223A">
            <w:pPr>
              <w:widowControl w:val="0"/>
              <w:jc w:val="center"/>
              <w:rPr>
                <w:rFonts w:ascii="Arial Narrow" w:hAnsi="Arial Narrow" w:eastAsiaTheme="minorEastAsia"/>
                <w:szCs w:val="21"/>
              </w:rPr>
            </w:pPr>
            <w:r>
              <w:rPr>
                <w:rFonts w:ascii="Arial Narrow" w:hAnsi="Arial Narrow" w:eastAsiaTheme="minorEastAsia"/>
                <w:szCs w:val="21"/>
              </w:rPr>
              <w:t>合计</w:t>
            </w:r>
          </w:p>
        </w:tc>
        <w:tc>
          <w:tcPr>
            <w:tcW w:w="763" w:type="pct"/>
            <w:vAlign w:val="center"/>
          </w:tcPr>
          <w:p w14:paraId="09CDDADF">
            <w:pPr>
              <w:widowControl w:val="0"/>
              <w:jc w:val="right"/>
              <w:rPr>
                <w:rFonts w:ascii="Arial Narrow" w:hAnsi="Arial Narrow" w:eastAsiaTheme="minorEastAsia"/>
                <w:szCs w:val="21"/>
              </w:rPr>
            </w:pPr>
            <w:r>
              <w:rPr>
                <w:rFonts w:ascii="Arial Narrow" w:hAnsi="Arial Narrow" w:eastAsiaTheme="minorEastAsia"/>
                <w:color w:val="000000"/>
                <w:szCs w:val="21"/>
              </w:rPr>
              <w:t>36,017,193.79</w:t>
            </w:r>
          </w:p>
        </w:tc>
        <w:tc>
          <w:tcPr>
            <w:tcW w:w="836" w:type="pct"/>
            <w:vAlign w:val="center"/>
          </w:tcPr>
          <w:p w14:paraId="395261A6">
            <w:pPr>
              <w:widowControl w:val="0"/>
              <w:jc w:val="right"/>
              <w:rPr>
                <w:rFonts w:ascii="Arial Narrow" w:hAnsi="Arial Narrow" w:eastAsiaTheme="minorEastAsia"/>
                <w:szCs w:val="21"/>
              </w:rPr>
            </w:pPr>
            <w:r>
              <w:rPr>
                <w:rFonts w:ascii="Arial Narrow" w:hAnsi="Arial Narrow" w:eastAsiaTheme="minorEastAsia"/>
                <w:color w:val="000000"/>
                <w:szCs w:val="21"/>
              </w:rPr>
              <w:t>8,631,187.28</w:t>
            </w:r>
          </w:p>
        </w:tc>
        <w:tc>
          <w:tcPr>
            <w:tcW w:w="836" w:type="pct"/>
            <w:vAlign w:val="center"/>
          </w:tcPr>
          <w:p w14:paraId="2878DF78">
            <w:pPr>
              <w:widowControl w:val="0"/>
              <w:jc w:val="right"/>
              <w:rPr>
                <w:rFonts w:ascii="Arial Narrow" w:hAnsi="Arial Narrow" w:eastAsiaTheme="minorEastAsia"/>
                <w:szCs w:val="21"/>
              </w:rPr>
            </w:pPr>
            <w:r>
              <w:rPr>
                <w:rFonts w:ascii="Arial Narrow" w:hAnsi="Arial Narrow" w:eastAsiaTheme="minorEastAsia"/>
                <w:color w:val="000000"/>
                <w:szCs w:val="21"/>
              </w:rPr>
              <w:t>8,472,122.31</w:t>
            </w:r>
          </w:p>
        </w:tc>
        <w:tc>
          <w:tcPr>
            <w:tcW w:w="788" w:type="pct"/>
            <w:vAlign w:val="center"/>
          </w:tcPr>
          <w:p w14:paraId="4021C0FB">
            <w:pPr>
              <w:widowControl w:val="0"/>
              <w:jc w:val="right"/>
              <w:rPr>
                <w:rFonts w:ascii="Arial Narrow" w:hAnsi="Arial Narrow" w:eastAsiaTheme="minorEastAsia"/>
                <w:szCs w:val="21"/>
              </w:rPr>
            </w:pPr>
            <w:r>
              <w:rPr>
                <w:rFonts w:ascii="Arial Narrow" w:hAnsi="Arial Narrow" w:eastAsiaTheme="minorEastAsia"/>
                <w:color w:val="000000"/>
                <w:szCs w:val="21"/>
              </w:rPr>
              <w:t>919,483.93</w:t>
            </w:r>
          </w:p>
        </w:tc>
        <w:tc>
          <w:tcPr>
            <w:tcW w:w="896" w:type="pct"/>
            <w:vAlign w:val="center"/>
          </w:tcPr>
          <w:p w14:paraId="69F53479">
            <w:pPr>
              <w:widowControl w:val="0"/>
              <w:jc w:val="right"/>
              <w:rPr>
                <w:rFonts w:ascii="Arial Narrow" w:hAnsi="Arial Narrow" w:eastAsiaTheme="minorEastAsia"/>
                <w:szCs w:val="21"/>
              </w:rPr>
            </w:pPr>
            <w:r>
              <w:rPr>
                <w:rFonts w:ascii="Arial Narrow" w:hAnsi="Arial Narrow" w:eastAsiaTheme="minorEastAsia"/>
                <w:color w:val="000000"/>
                <w:szCs w:val="21"/>
              </w:rPr>
              <w:t>35,256,774.83</w:t>
            </w:r>
          </w:p>
        </w:tc>
      </w:tr>
    </w:tbl>
    <w:p w14:paraId="171C1E4E">
      <w:pPr>
        <w:rPr>
          <w:rFonts w:hint="eastAsia"/>
        </w:rPr>
      </w:pPr>
    </w:p>
    <w:p w14:paraId="754F98C8">
      <w:pPr>
        <w:rPr>
          <w:rFonts w:hint="eastAsia"/>
          <w:szCs w:val="21"/>
        </w:rPr>
      </w:pPr>
      <w:r>
        <w:rPr>
          <w:rFonts w:hint="eastAsia"/>
          <w:szCs w:val="21"/>
        </w:rPr>
        <w:t>其他说明：</w:t>
      </w:r>
    </w:p>
    <w:sdt>
      <w:sdtPr>
        <w:rPr>
          <w:szCs w:val="21"/>
        </w:rPr>
        <w:alias w:val="长期待摊费用的说明"/>
        <w:tag w:val="_GBC_c30bd5dcf50e4808a29b1b204a96f4c2"/>
        <w:id w:val="-658846898"/>
        <w:placeholder>
          <w:docPart w:val="GBC22222222222222222222222222222"/>
        </w:placeholder>
      </w:sdtPr>
      <w:sdtEndPr>
        <w:rPr>
          <w:szCs w:val="21"/>
        </w:rPr>
      </w:sdtEndPr>
      <w:sdtContent>
        <w:p w14:paraId="09A53236">
          <w:pPr>
            <w:rPr>
              <w:rFonts w:hint="eastAsia"/>
              <w:szCs w:val="21"/>
            </w:rPr>
          </w:pPr>
          <w:r>
            <w:rPr>
              <w:rFonts w:hint="eastAsia"/>
              <w:szCs w:val="21"/>
            </w:rPr>
            <w:t>无</w:t>
          </w:r>
        </w:p>
      </w:sdtContent>
    </w:sdt>
    <w:p w14:paraId="2183F758">
      <w:pPr>
        <w:rPr>
          <w:rFonts w:hint="eastAsia"/>
          <w:szCs w:val="21"/>
        </w:rPr>
      </w:pPr>
    </w:p>
    <w:p w14:paraId="5EB4A782">
      <w:pPr>
        <w:pStyle w:val="70"/>
        <w:numPr>
          <w:ilvl w:val="0"/>
          <w:numId w:val="109"/>
        </w:numPr>
        <w:rPr>
          <w:szCs w:val="21"/>
        </w:rPr>
      </w:pPr>
      <w:r>
        <w:rPr>
          <w:szCs w:val="21"/>
        </w:rPr>
        <w:t>递延所得税资产/ 递延所得税负债</w:t>
      </w:r>
    </w:p>
    <w:p w14:paraId="538B1D70">
      <w:pPr>
        <w:pStyle w:val="71"/>
        <w:numPr>
          <w:ilvl w:val="0"/>
          <w:numId w:val="133"/>
        </w:numPr>
        <w:ind w:left="426" w:hanging="426"/>
        <w:rPr>
          <w:rFonts w:hint="eastAsia"/>
        </w:rPr>
      </w:pPr>
      <w:bookmarkStart w:id="335" w:name="_Toc215903151"/>
      <w:bookmarkStart w:id="336" w:name="_Hlk24103450"/>
      <w:r>
        <w:rPr>
          <w:rFonts w:hint="eastAsia"/>
        </w:rPr>
        <w:t>未经抵销的递延所得税资产</w:t>
      </w:r>
    </w:p>
    <w:sdt>
      <w:sdtPr>
        <w:alias w:val="是否适用：未经抵销的递延所得税资产[双击切换]"/>
        <w:tag w:val="_GBC_ba4415ee4af24efe852073192d94c115"/>
        <w:id w:val="-763839289"/>
        <w:placeholder>
          <w:docPart w:val="GBC22222222222222222222222222222"/>
        </w:placeholder>
      </w:sdtPr>
      <w:sdtContent>
        <w:p w14:paraId="1AF52B2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854C5C">
      <w:pPr>
        <w:jc w:val="right"/>
        <w:rPr>
          <w:rFonts w:hint="eastAsia"/>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20746211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bookmarkEnd w:id="335"/>
      <w:sdt>
        <w:sdtPr>
          <w:rPr>
            <w:rFonts w:hint="eastAsia"/>
            <w:szCs w:val="21"/>
          </w:rPr>
          <w:alias w:val="币种：财务附注：已确认的递延所得税资产和递延所得税负债"/>
          <w:tag w:val="_GBC_33d1ac52f1ce463294fce1044445d46f"/>
          <w:id w:val="10937497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896"/>
        <w:gridCol w:w="1686"/>
        <w:gridCol w:w="1896"/>
        <w:gridCol w:w="1686"/>
      </w:tblGrid>
      <w:tr w14:paraId="4BD9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e006c9e7b70844cd8ef6f2cbb5161589"/>
            <w:id w:val="1379360985"/>
          </w:sdtPr>
          <w:sdtContent>
            <w:tc>
              <w:tcPr>
                <w:tcW w:w="941" w:type="pct"/>
                <w:vMerge w:val="restart"/>
                <w:shd w:val="clear" w:color="auto" w:fill="auto"/>
                <w:vAlign w:val="center"/>
              </w:tcPr>
              <w:p w14:paraId="22160700">
                <w:pPr>
                  <w:jc w:val="center"/>
                  <w:rPr>
                    <w:rFonts w:hint="eastAsia"/>
                    <w:szCs w:val="21"/>
                  </w:rPr>
                </w:pPr>
                <w:r>
                  <w:rPr>
                    <w:rFonts w:hint="eastAsia"/>
                    <w:szCs w:val="21"/>
                  </w:rPr>
                  <w:t>项目</w:t>
                </w:r>
              </w:p>
            </w:tc>
          </w:sdtContent>
        </w:sdt>
        <w:sdt>
          <w:sdtPr>
            <w:tag w:val="_PLD_9380d941020241f39819205f4df8c355"/>
            <w:id w:val="-936057441"/>
          </w:sdtPr>
          <w:sdtContent>
            <w:tc>
              <w:tcPr>
                <w:tcW w:w="2029" w:type="pct"/>
                <w:gridSpan w:val="2"/>
                <w:shd w:val="clear" w:color="auto" w:fill="auto"/>
                <w:vAlign w:val="center"/>
              </w:tcPr>
              <w:p w14:paraId="42175B40">
                <w:pPr>
                  <w:jc w:val="center"/>
                  <w:rPr>
                    <w:rFonts w:hint="eastAsia"/>
                    <w:szCs w:val="21"/>
                  </w:rPr>
                </w:pPr>
                <w:r>
                  <w:rPr>
                    <w:rFonts w:hint="eastAsia"/>
                    <w:szCs w:val="21"/>
                  </w:rPr>
                  <w:t>期末余额</w:t>
                </w:r>
              </w:p>
            </w:tc>
          </w:sdtContent>
        </w:sdt>
        <w:sdt>
          <w:sdtPr>
            <w:tag w:val="_PLD_40d587838e534f37a8f9a9e7e2020671"/>
            <w:id w:val="1591353729"/>
          </w:sdtPr>
          <w:sdtContent>
            <w:tc>
              <w:tcPr>
                <w:tcW w:w="2029" w:type="pct"/>
                <w:gridSpan w:val="2"/>
                <w:shd w:val="clear" w:color="auto" w:fill="auto"/>
                <w:vAlign w:val="center"/>
              </w:tcPr>
              <w:p w14:paraId="15146E55">
                <w:pPr>
                  <w:jc w:val="center"/>
                  <w:rPr>
                    <w:rFonts w:hint="eastAsia"/>
                    <w:szCs w:val="21"/>
                  </w:rPr>
                </w:pPr>
                <w:r>
                  <w:rPr>
                    <w:rFonts w:hint="eastAsia"/>
                    <w:szCs w:val="21"/>
                  </w:rPr>
                  <w:t>期初余额</w:t>
                </w:r>
              </w:p>
            </w:tc>
          </w:sdtContent>
        </w:sdt>
      </w:tr>
      <w:tr w14:paraId="6C55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vMerge w:val="continue"/>
            <w:shd w:val="clear" w:color="auto" w:fill="auto"/>
            <w:vAlign w:val="center"/>
          </w:tcPr>
          <w:p w14:paraId="727711D8">
            <w:pPr>
              <w:jc w:val="center"/>
              <w:rPr>
                <w:rFonts w:hint="eastAsia"/>
                <w:b/>
                <w:szCs w:val="21"/>
              </w:rPr>
            </w:pPr>
          </w:p>
        </w:tc>
        <w:sdt>
          <w:sdtPr>
            <w:tag w:val="_PLD_c239006a5e6040d58bedd94ab36e9784"/>
            <w:id w:val="-1400977204"/>
          </w:sdtPr>
          <w:sdtContent>
            <w:tc>
              <w:tcPr>
                <w:tcW w:w="1074" w:type="pct"/>
                <w:shd w:val="clear" w:color="auto" w:fill="auto"/>
                <w:vAlign w:val="center"/>
              </w:tcPr>
              <w:p w14:paraId="5CF473FE">
                <w:pPr>
                  <w:jc w:val="center"/>
                  <w:rPr>
                    <w:rFonts w:hint="eastAsia"/>
                    <w:szCs w:val="21"/>
                  </w:rPr>
                </w:pPr>
                <w:r>
                  <w:rPr>
                    <w:rFonts w:hint="eastAsia"/>
                    <w:szCs w:val="21"/>
                  </w:rPr>
                  <w:t>可抵扣暂时性差异</w:t>
                </w:r>
              </w:p>
            </w:tc>
          </w:sdtContent>
        </w:sdt>
        <w:sdt>
          <w:sdtPr>
            <w:tag w:val="_PLD_1559717fc58743e19a1e868ac528fbc0"/>
            <w:id w:val="-1889487916"/>
          </w:sdtPr>
          <w:sdtContent>
            <w:tc>
              <w:tcPr>
                <w:tcW w:w="955" w:type="pct"/>
                <w:shd w:val="clear" w:color="auto" w:fill="auto"/>
                <w:vAlign w:val="center"/>
              </w:tcPr>
              <w:p w14:paraId="2912C01A">
                <w:pPr>
                  <w:jc w:val="center"/>
                  <w:rPr>
                    <w:rFonts w:hint="eastAsia"/>
                    <w:szCs w:val="21"/>
                  </w:rPr>
                </w:pPr>
                <w:r>
                  <w:rPr>
                    <w:rFonts w:hint="eastAsia"/>
                    <w:szCs w:val="21"/>
                  </w:rPr>
                  <w:t>递延所得税</w:t>
                </w:r>
              </w:p>
              <w:p w14:paraId="4F605D57">
                <w:pPr>
                  <w:jc w:val="center"/>
                  <w:rPr>
                    <w:rFonts w:hint="eastAsia"/>
                    <w:szCs w:val="21"/>
                  </w:rPr>
                </w:pPr>
                <w:r>
                  <w:rPr>
                    <w:rFonts w:hint="eastAsia"/>
                    <w:szCs w:val="21"/>
                  </w:rPr>
                  <w:t>资产</w:t>
                </w:r>
              </w:p>
            </w:tc>
          </w:sdtContent>
        </w:sdt>
        <w:sdt>
          <w:sdtPr>
            <w:tag w:val="_PLD_de171afb73ff474dbccc47c2cec6d4f1"/>
            <w:id w:val="1124432641"/>
          </w:sdtPr>
          <w:sdtContent>
            <w:tc>
              <w:tcPr>
                <w:tcW w:w="1074" w:type="pct"/>
                <w:shd w:val="clear" w:color="auto" w:fill="auto"/>
                <w:vAlign w:val="center"/>
              </w:tcPr>
              <w:p w14:paraId="3EE9BFC7">
                <w:pPr>
                  <w:jc w:val="center"/>
                  <w:rPr>
                    <w:rFonts w:hint="eastAsia"/>
                    <w:szCs w:val="21"/>
                  </w:rPr>
                </w:pPr>
                <w:r>
                  <w:rPr>
                    <w:rFonts w:hint="eastAsia"/>
                    <w:szCs w:val="21"/>
                  </w:rPr>
                  <w:t>可抵扣暂时性差异</w:t>
                </w:r>
              </w:p>
            </w:tc>
          </w:sdtContent>
        </w:sdt>
        <w:sdt>
          <w:sdtPr>
            <w:tag w:val="_PLD_bafc90864e7347e5bb50ec31a5dffe05"/>
            <w:id w:val="507727909"/>
          </w:sdtPr>
          <w:sdtContent>
            <w:tc>
              <w:tcPr>
                <w:tcW w:w="955" w:type="pct"/>
                <w:shd w:val="clear" w:color="auto" w:fill="auto"/>
                <w:vAlign w:val="center"/>
              </w:tcPr>
              <w:p w14:paraId="286F01B9">
                <w:pPr>
                  <w:jc w:val="center"/>
                  <w:rPr>
                    <w:rFonts w:hint="eastAsia"/>
                    <w:szCs w:val="21"/>
                  </w:rPr>
                </w:pPr>
                <w:r>
                  <w:rPr>
                    <w:rFonts w:hint="eastAsia"/>
                    <w:szCs w:val="21"/>
                  </w:rPr>
                  <w:t>递延所得税</w:t>
                </w:r>
              </w:p>
              <w:p w14:paraId="45A1D42C">
                <w:pPr>
                  <w:jc w:val="center"/>
                  <w:rPr>
                    <w:rFonts w:hint="eastAsia"/>
                    <w:szCs w:val="21"/>
                  </w:rPr>
                </w:pPr>
                <w:r>
                  <w:rPr>
                    <w:rFonts w:hint="eastAsia"/>
                    <w:szCs w:val="21"/>
                  </w:rPr>
                  <w:t>资产</w:t>
                </w:r>
              </w:p>
            </w:tc>
          </w:sdtContent>
        </w:sdt>
      </w:tr>
      <w:tr w14:paraId="6F26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26D502F9">
            <w:pPr>
              <w:rPr>
                <w:rFonts w:hint="eastAsia"/>
                <w:szCs w:val="21"/>
              </w:rPr>
            </w:pPr>
            <w:r>
              <w:rPr>
                <w:rFonts w:hint="eastAsia"/>
                <w:szCs w:val="21"/>
              </w:rPr>
              <w:t>资产减值准备</w:t>
            </w:r>
          </w:p>
        </w:tc>
        <w:tc>
          <w:tcPr>
            <w:tcW w:w="1074" w:type="pct"/>
            <w:shd w:val="clear" w:color="auto" w:fill="auto"/>
            <w:vAlign w:val="center"/>
          </w:tcPr>
          <w:p w14:paraId="54DFC07B">
            <w:pPr>
              <w:jc w:val="right"/>
              <w:rPr>
                <w:rFonts w:hint="eastAsia"/>
                <w:szCs w:val="21"/>
              </w:rPr>
            </w:pPr>
            <w:r>
              <w:rPr>
                <w:rFonts w:ascii="Arial Narrow" w:hAnsi="Arial Narrow" w:eastAsia="等线"/>
                <w:color w:val="000000"/>
                <w:sz w:val="22"/>
                <w:szCs w:val="22"/>
              </w:rPr>
              <w:t>1,234,416,449.66</w:t>
            </w:r>
          </w:p>
        </w:tc>
        <w:tc>
          <w:tcPr>
            <w:tcW w:w="955" w:type="pct"/>
            <w:shd w:val="clear" w:color="auto" w:fill="auto"/>
            <w:vAlign w:val="center"/>
          </w:tcPr>
          <w:p w14:paraId="26E8071A">
            <w:pPr>
              <w:jc w:val="right"/>
              <w:rPr>
                <w:rFonts w:hint="eastAsia"/>
                <w:szCs w:val="21"/>
              </w:rPr>
            </w:pPr>
            <w:r>
              <w:rPr>
                <w:rFonts w:ascii="Arial Narrow" w:hAnsi="Arial Narrow" w:eastAsia="等线"/>
                <w:color w:val="000000"/>
                <w:sz w:val="22"/>
                <w:szCs w:val="22"/>
              </w:rPr>
              <w:t>201,491,978.49</w:t>
            </w:r>
          </w:p>
        </w:tc>
        <w:tc>
          <w:tcPr>
            <w:tcW w:w="1074" w:type="pct"/>
            <w:shd w:val="clear" w:color="auto" w:fill="auto"/>
            <w:vAlign w:val="center"/>
          </w:tcPr>
          <w:p w14:paraId="2E6530CF">
            <w:pPr>
              <w:jc w:val="right"/>
              <w:rPr>
                <w:rFonts w:hint="eastAsia"/>
                <w:szCs w:val="21"/>
                <w:highlight w:val="yellow"/>
              </w:rPr>
            </w:pPr>
            <w:r>
              <w:rPr>
                <w:rFonts w:ascii="Arial Narrow" w:hAnsi="Arial Narrow" w:eastAsia="等线"/>
                <w:color w:val="000000"/>
                <w:sz w:val="22"/>
                <w:szCs w:val="22"/>
              </w:rPr>
              <w:t>836,803,679.29</w:t>
            </w:r>
          </w:p>
        </w:tc>
        <w:tc>
          <w:tcPr>
            <w:tcW w:w="955" w:type="pct"/>
            <w:shd w:val="clear" w:color="auto" w:fill="auto"/>
            <w:vAlign w:val="center"/>
          </w:tcPr>
          <w:p w14:paraId="7B0E5029">
            <w:pPr>
              <w:jc w:val="right"/>
              <w:rPr>
                <w:rFonts w:hint="eastAsia"/>
                <w:szCs w:val="21"/>
                <w:highlight w:val="yellow"/>
              </w:rPr>
            </w:pPr>
            <w:r>
              <w:rPr>
                <w:rFonts w:ascii="Arial Narrow" w:hAnsi="Arial Narrow" w:eastAsia="等线"/>
                <w:color w:val="000000"/>
                <w:sz w:val="22"/>
                <w:szCs w:val="22"/>
              </w:rPr>
              <w:t>142,405,066.39</w:t>
            </w:r>
          </w:p>
        </w:tc>
      </w:tr>
      <w:tr w14:paraId="3073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2501322A">
            <w:pPr>
              <w:rPr>
                <w:rFonts w:hint="eastAsia"/>
                <w:szCs w:val="21"/>
              </w:rPr>
            </w:pPr>
            <w:r>
              <w:rPr>
                <w:rFonts w:hint="eastAsia"/>
                <w:szCs w:val="21"/>
              </w:rPr>
              <w:t>内部交易未实现利润</w:t>
            </w:r>
          </w:p>
        </w:tc>
        <w:tc>
          <w:tcPr>
            <w:tcW w:w="1074" w:type="pct"/>
            <w:shd w:val="clear" w:color="auto" w:fill="auto"/>
            <w:vAlign w:val="center"/>
          </w:tcPr>
          <w:p w14:paraId="39EE29C9">
            <w:pPr>
              <w:jc w:val="right"/>
              <w:rPr>
                <w:rFonts w:hint="eastAsia"/>
                <w:szCs w:val="21"/>
              </w:rPr>
            </w:pPr>
            <w:r>
              <w:rPr>
                <w:rFonts w:ascii="Arial Narrow" w:hAnsi="Arial Narrow" w:eastAsia="等线"/>
                <w:color w:val="000000"/>
                <w:sz w:val="22"/>
                <w:szCs w:val="22"/>
              </w:rPr>
              <w:t>45,342.84</w:t>
            </w:r>
          </w:p>
        </w:tc>
        <w:tc>
          <w:tcPr>
            <w:tcW w:w="955" w:type="pct"/>
            <w:shd w:val="clear" w:color="auto" w:fill="auto"/>
            <w:vAlign w:val="center"/>
          </w:tcPr>
          <w:p w14:paraId="00C5C42A">
            <w:pPr>
              <w:jc w:val="right"/>
              <w:rPr>
                <w:rFonts w:hint="eastAsia"/>
                <w:szCs w:val="21"/>
              </w:rPr>
            </w:pPr>
            <w:r>
              <w:rPr>
                <w:rFonts w:ascii="Arial Narrow" w:hAnsi="Arial Narrow" w:eastAsia="等线"/>
                <w:color w:val="000000"/>
                <w:sz w:val="22"/>
                <w:szCs w:val="22"/>
              </w:rPr>
              <w:t>11,335.71</w:t>
            </w:r>
          </w:p>
        </w:tc>
        <w:tc>
          <w:tcPr>
            <w:tcW w:w="1074" w:type="pct"/>
            <w:shd w:val="clear" w:color="auto" w:fill="auto"/>
            <w:vAlign w:val="center"/>
          </w:tcPr>
          <w:p w14:paraId="3E031EF4">
            <w:pPr>
              <w:jc w:val="right"/>
              <w:rPr>
                <w:rFonts w:hint="eastAsia"/>
                <w:szCs w:val="21"/>
                <w:highlight w:val="yellow"/>
              </w:rPr>
            </w:pPr>
            <w:r>
              <w:rPr>
                <w:rFonts w:ascii="Arial Narrow" w:hAnsi="Arial Narrow" w:eastAsia="等线"/>
                <w:color w:val="000000"/>
                <w:sz w:val="22"/>
                <w:szCs w:val="22"/>
              </w:rPr>
              <w:t>1,296,277.80</w:t>
            </w:r>
          </w:p>
        </w:tc>
        <w:tc>
          <w:tcPr>
            <w:tcW w:w="955" w:type="pct"/>
            <w:shd w:val="clear" w:color="auto" w:fill="auto"/>
            <w:vAlign w:val="center"/>
          </w:tcPr>
          <w:p w14:paraId="18C74A1D">
            <w:pPr>
              <w:jc w:val="right"/>
              <w:rPr>
                <w:rFonts w:hint="eastAsia"/>
                <w:szCs w:val="21"/>
                <w:highlight w:val="yellow"/>
              </w:rPr>
            </w:pPr>
            <w:r>
              <w:rPr>
                <w:rFonts w:ascii="Arial Narrow" w:hAnsi="Arial Narrow" w:eastAsia="等线"/>
                <w:color w:val="000000"/>
                <w:sz w:val="22"/>
                <w:szCs w:val="22"/>
              </w:rPr>
              <w:t>324,069.46</w:t>
            </w:r>
          </w:p>
        </w:tc>
      </w:tr>
      <w:tr w14:paraId="6618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tcBorders>
              <w:bottom w:val="single" w:color="auto" w:sz="4" w:space="0"/>
            </w:tcBorders>
            <w:shd w:val="clear" w:color="auto" w:fill="auto"/>
            <w:vAlign w:val="center"/>
          </w:tcPr>
          <w:p w14:paraId="47D92FF4">
            <w:pPr>
              <w:rPr>
                <w:rFonts w:hint="eastAsia"/>
                <w:szCs w:val="21"/>
              </w:rPr>
            </w:pPr>
            <w:r>
              <w:rPr>
                <w:rFonts w:hint="eastAsia"/>
                <w:szCs w:val="21"/>
              </w:rPr>
              <w:t>可抵扣亏损</w:t>
            </w:r>
          </w:p>
        </w:tc>
        <w:tc>
          <w:tcPr>
            <w:tcW w:w="1074" w:type="pct"/>
            <w:shd w:val="clear" w:color="auto" w:fill="auto"/>
            <w:vAlign w:val="center"/>
          </w:tcPr>
          <w:p w14:paraId="72118E09">
            <w:pPr>
              <w:jc w:val="right"/>
              <w:rPr>
                <w:rFonts w:hint="eastAsia"/>
                <w:szCs w:val="21"/>
              </w:rPr>
            </w:pPr>
            <w:r>
              <w:rPr>
                <w:rFonts w:ascii="Arial Narrow" w:hAnsi="Arial Narrow" w:eastAsia="等线"/>
                <w:color w:val="000000"/>
                <w:sz w:val="22"/>
                <w:szCs w:val="22"/>
              </w:rPr>
              <w:t>201,533,786.04</w:t>
            </w:r>
          </w:p>
        </w:tc>
        <w:tc>
          <w:tcPr>
            <w:tcW w:w="955" w:type="pct"/>
            <w:shd w:val="clear" w:color="auto" w:fill="auto"/>
            <w:vAlign w:val="center"/>
          </w:tcPr>
          <w:p w14:paraId="2682ECC7">
            <w:pPr>
              <w:jc w:val="right"/>
              <w:rPr>
                <w:rFonts w:hint="eastAsia"/>
                <w:szCs w:val="21"/>
              </w:rPr>
            </w:pPr>
            <w:r>
              <w:rPr>
                <w:rFonts w:ascii="Arial Narrow" w:hAnsi="Arial Narrow" w:eastAsia="等线"/>
                <w:color w:val="000000"/>
                <w:sz w:val="22"/>
                <w:szCs w:val="22"/>
              </w:rPr>
              <w:t>30,230,067.91</w:t>
            </w:r>
          </w:p>
        </w:tc>
        <w:tc>
          <w:tcPr>
            <w:tcW w:w="1074" w:type="pct"/>
            <w:shd w:val="clear" w:color="auto" w:fill="auto"/>
            <w:vAlign w:val="center"/>
          </w:tcPr>
          <w:p w14:paraId="07C24B5D">
            <w:pPr>
              <w:jc w:val="right"/>
              <w:rPr>
                <w:rFonts w:hint="eastAsia"/>
                <w:szCs w:val="21"/>
                <w:highlight w:val="yellow"/>
              </w:rPr>
            </w:pPr>
          </w:p>
        </w:tc>
        <w:tc>
          <w:tcPr>
            <w:tcW w:w="955" w:type="pct"/>
            <w:shd w:val="clear" w:color="auto" w:fill="auto"/>
            <w:vAlign w:val="center"/>
          </w:tcPr>
          <w:p w14:paraId="43D1E3AF">
            <w:pPr>
              <w:jc w:val="right"/>
              <w:rPr>
                <w:rFonts w:hint="eastAsia"/>
                <w:szCs w:val="21"/>
                <w:highlight w:val="yellow"/>
              </w:rPr>
            </w:pPr>
          </w:p>
        </w:tc>
      </w:tr>
      <w:tr w14:paraId="2116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57E18667">
            <w:pPr>
              <w:rPr>
                <w:rFonts w:hint="eastAsia"/>
                <w:szCs w:val="21"/>
              </w:rPr>
            </w:pPr>
            <w:r>
              <w:t>应付职工薪酬-三类人员费用</w:t>
            </w:r>
          </w:p>
        </w:tc>
        <w:tc>
          <w:tcPr>
            <w:tcW w:w="1074" w:type="pct"/>
            <w:shd w:val="clear" w:color="auto" w:fill="auto"/>
            <w:vAlign w:val="center"/>
          </w:tcPr>
          <w:p w14:paraId="01EDF2C4">
            <w:pPr>
              <w:jc w:val="right"/>
              <w:rPr>
                <w:rFonts w:hint="eastAsia"/>
                <w:szCs w:val="21"/>
              </w:rPr>
            </w:pPr>
            <w:r>
              <w:rPr>
                <w:rFonts w:ascii="Arial Narrow" w:hAnsi="Arial Narrow" w:eastAsia="等线"/>
                <w:color w:val="000000"/>
                <w:sz w:val="22"/>
                <w:szCs w:val="22"/>
              </w:rPr>
              <w:t>31,369,567.00</w:t>
            </w:r>
          </w:p>
        </w:tc>
        <w:tc>
          <w:tcPr>
            <w:tcW w:w="955" w:type="pct"/>
            <w:shd w:val="clear" w:color="auto" w:fill="auto"/>
            <w:vAlign w:val="center"/>
          </w:tcPr>
          <w:p w14:paraId="2086F869">
            <w:pPr>
              <w:jc w:val="right"/>
              <w:rPr>
                <w:rFonts w:hint="eastAsia"/>
                <w:szCs w:val="21"/>
              </w:rPr>
            </w:pPr>
            <w:r>
              <w:rPr>
                <w:rFonts w:ascii="Arial Narrow" w:hAnsi="Arial Narrow" w:eastAsia="等线"/>
                <w:color w:val="000000"/>
                <w:sz w:val="22"/>
                <w:szCs w:val="22"/>
              </w:rPr>
              <w:t>5,139,567.75</w:t>
            </w:r>
          </w:p>
        </w:tc>
        <w:tc>
          <w:tcPr>
            <w:tcW w:w="1074" w:type="pct"/>
            <w:shd w:val="clear" w:color="auto" w:fill="auto"/>
            <w:vAlign w:val="center"/>
          </w:tcPr>
          <w:p w14:paraId="74F49841">
            <w:pPr>
              <w:jc w:val="right"/>
              <w:rPr>
                <w:rFonts w:hint="eastAsia"/>
                <w:szCs w:val="21"/>
                <w:highlight w:val="yellow"/>
              </w:rPr>
            </w:pPr>
            <w:r>
              <w:rPr>
                <w:rFonts w:ascii="Arial Narrow" w:hAnsi="Arial Narrow" w:eastAsia="等线"/>
                <w:color w:val="000000"/>
                <w:sz w:val="22"/>
                <w:szCs w:val="22"/>
              </w:rPr>
              <w:t>33,388,754.46</w:t>
            </w:r>
          </w:p>
        </w:tc>
        <w:tc>
          <w:tcPr>
            <w:tcW w:w="955" w:type="pct"/>
            <w:shd w:val="clear" w:color="auto" w:fill="auto"/>
            <w:vAlign w:val="center"/>
          </w:tcPr>
          <w:p w14:paraId="6681EAB9">
            <w:pPr>
              <w:jc w:val="right"/>
              <w:rPr>
                <w:rFonts w:hint="eastAsia"/>
                <w:szCs w:val="21"/>
                <w:highlight w:val="yellow"/>
              </w:rPr>
            </w:pPr>
            <w:r>
              <w:rPr>
                <w:rFonts w:ascii="Arial Narrow" w:hAnsi="Arial Narrow" w:eastAsia="等线"/>
                <w:color w:val="000000"/>
                <w:sz w:val="22"/>
                <w:szCs w:val="22"/>
              </w:rPr>
              <w:t>5,646,341.64</w:t>
            </w:r>
          </w:p>
        </w:tc>
      </w:tr>
      <w:tr w14:paraId="5846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7F968305">
            <w:pPr>
              <w:rPr>
                <w:rFonts w:hint="eastAsia"/>
                <w:szCs w:val="21"/>
              </w:rPr>
            </w:pPr>
            <w:r>
              <w:t>长期应付职工薪酬-三类人员费用</w:t>
            </w:r>
          </w:p>
        </w:tc>
        <w:tc>
          <w:tcPr>
            <w:tcW w:w="1074" w:type="pct"/>
            <w:shd w:val="clear" w:color="auto" w:fill="auto"/>
            <w:vAlign w:val="center"/>
          </w:tcPr>
          <w:p w14:paraId="4C2D5C90">
            <w:pPr>
              <w:jc w:val="right"/>
              <w:rPr>
                <w:rFonts w:hint="eastAsia"/>
                <w:szCs w:val="21"/>
              </w:rPr>
            </w:pPr>
            <w:r>
              <w:rPr>
                <w:rFonts w:ascii="Arial Narrow" w:hAnsi="Arial Narrow" w:eastAsia="等线"/>
                <w:color w:val="000000"/>
                <w:sz w:val="22"/>
                <w:szCs w:val="22"/>
              </w:rPr>
              <w:t>320,048,047.00</w:t>
            </w:r>
          </w:p>
        </w:tc>
        <w:tc>
          <w:tcPr>
            <w:tcW w:w="955" w:type="pct"/>
            <w:shd w:val="clear" w:color="auto" w:fill="auto"/>
            <w:vAlign w:val="center"/>
          </w:tcPr>
          <w:p w14:paraId="0344E2FF">
            <w:pPr>
              <w:jc w:val="right"/>
              <w:rPr>
                <w:rFonts w:hint="eastAsia"/>
                <w:szCs w:val="21"/>
              </w:rPr>
            </w:pPr>
            <w:r>
              <w:rPr>
                <w:rFonts w:ascii="Arial Narrow" w:hAnsi="Arial Narrow" w:eastAsia="等线"/>
                <w:color w:val="000000"/>
                <w:sz w:val="22"/>
                <w:szCs w:val="22"/>
              </w:rPr>
              <w:t>51,827,241.55</w:t>
            </w:r>
          </w:p>
        </w:tc>
        <w:tc>
          <w:tcPr>
            <w:tcW w:w="1074" w:type="pct"/>
            <w:shd w:val="clear" w:color="auto" w:fill="auto"/>
            <w:vAlign w:val="center"/>
          </w:tcPr>
          <w:p w14:paraId="04C50C95">
            <w:pPr>
              <w:jc w:val="right"/>
              <w:rPr>
                <w:rFonts w:hint="eastAsia"/>
                <w:szCs w:val="21"/>
                <w:highlight w:val="yellow"/>
              </w:rPr>
            </w:pPr>
            <w:r>
              <w:rPr>
                <w:rFonts w:ascii="Arial Narrow" w:hAnsi="Arial Narrow" w:eastAsia="等线"/>
                <w:color w:val="000000"/>
                <w:sz w:val="22"/>
                <w:szCs w:val="22"/>
              </w:rPr>
              <w:t>327,182,499.54</w:t>
            </w:r>
          </w:p>
        </w:tc>
        <w:tc>
          <w:tcPr>
            <w:tcW w:w="955" w:type="pct"/>
            <w:shd w:val="clear" w:color="auto" w:fill="auto"/>
            <w:vAlign w:val="center"/>
          </w:tcPr>
          <w:p w14:paraId="16806F99">
            <w:pPr>
              <w:jc w:val="right"/>
              <w:rPr>
                <w:rFonts w:hint="eastAsia"/>
                <w:szCs w:val="21"/>
                <w:highlight w:val="yellow"/>
              </w:rPr>
            </w:pPr>
            <w:r>
              <w:rPr>
                <w:rFonts w:ascii="Arial Narrow" w:hAnsi="Arial Narrow" w:eastAsia="等线"/>
                <w:color w:val="000000"/>
                <w:sz w:val="22"/>
                <w:szCs w:val="22"/>
              </w:rPr>
              <w:t>54,352,770.76</w:t>
            </w:r>
          </w:p>
        </w:tc>
      </w:tr>
      <w:tr w14:paraId="525E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11457B68">
            <w:pPr>
              <w:rPr>
                <w:rFonts w:hint="eastAsia"/>
                <w:szCs w:val="21"/>
              </w:rPr>
            </w:pPr>
            <w:r>
              <w:t>递延收益</w:t>
            </w:r>
          </w:p>
        </w:tc>
        <w:tc>
          <w:tcPr>
            <w:tcW w:w="1074" w:type="pct"/>
            <w:shd w:val="clear" w:color="auto" w:fill="auto"/>
            <w:vAlign w:val="center"/>
          </w:tcPr>
          <w:p w14:paraId="319BF14A">
            <w:pPr>
              <w:jc w:val="right"/>
              <w:rPr>
                <w:rFonts w:hint="eastAsia"/>
                <w:szCs w:val="21"/>
              </w:rPr>
            </w:pPr>
            <w:r>
              <w:rPr>
                <w:rFonts w:ascii="Arial Narrow" w:hAnsi="Arial Narrow" w:eastAsia="等线"/>
                <w:color w:val="000000"/>
                <w:sz w:val="22"/>
                <w:szCs w:val="22"/>
              </w:rPr>
              <w:t>40,624,214.95</w:t>
            </w:r>
          </w:p>
        </w:tc>
        <w:tc>
          <w:tcPr>
            <w:tcW w:w="955" w:type="pct"/>
            <w:shd w:val="clear" w:color="auto" w:fill="auto"/>
            <w:vAlign w:val="center"/>
          </w:tcPr>
          <w:p w14:paraId="468479AD">
            <w:pPr>
              <w:jc w:val="right"/>
              <w:rPr>
                <w:rFonts w:hint="eastAsia"/>
                <w:szCs w:val="21"/>
              </w:rPr>
            </w:pPr>
            <w:r>
              <w:rPr>
                <w:rFonts w:ascii="Arial Narrow" w:hAnsi="Arial Narrow" w:eastAsia="等线"/>
                <w:color w:val="000000"/>
                <w:sz w:val="22"/>
                <w:szCs w:val="22"/>
              </w:rPr>
              <w:t>7,421,139.86</w:t>
            </w:r>
          </w:p>
        </w:tc>
        <w:tc>
          <w:tcPr>
            <w:tcW w:w="1074" w:type="pct"/>
            <w:shd w:val="clear" w:color="auto" w:fill="auto"/>
            <w:vAlign w:val="center"/>
          </w:tcPr>
          <w:p w14:paraId="633CBADC">
            <w:pPr>
              <w:jc w:val="right"/>
              <w:rPr>
                <w:rFonts w:hint="eastAsia"/>
                <w:szCs w:val="21"/>
                <w:highlight w:val="yellow"/>
              </w:rPr>
            </w:pPr>
            <w:r>
              <w:rPr>
                <w:rFonts w:ascii="Arial Narrow" w:hAnsi="Arial Narrow" w:eastAsia="等线"/>
                <w:color w:val="000000"/>
                <w:sz w:val="22"/>
                <w:szCs w:val="22"/>
              </w:rPr>
              <w:t>44,818,747.41</w:t>
            </w:r>
          </w:p>
        </w:tc>
        <w:tc>
          <w:tcPr>
            <w:tcW w:w="955" w:type="pct"/>
            <w:shd w:val="clear" w:color="auto" w:fill="auto"/>
            <w:vAlign w:val="center"/>
          </w:tcPr>
          <w:p w14:paraId="2BD98209">
            <w:pPr>
              <w:jc w:val="right"/>
              <w:rPr>
                <w:rFonts w:hint="eastAsia"/>
                <w:szCs w:val="21"/>
                <w:highlight w:val="yellow"/>
              </w:rPr>
            </w:pPr>
            <w:r>
              <w:rPr>
                <w:rFonts w:ascii="Arial Narrow" w:hAnsi="Arial Narrow" w:eastAsia="等线"/>
                <w:color w:val="000000"/>
                <w:sz w:val="22"/>
                <w:szCs w:val="22"/>
              </w:rPr>
              <w:t>8,356,418.31</w:t>
            </w:r>
          </w:p>
        </w:tc>
      </w:tr>
      <w:tr w14:paraId="19D1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06C6F3D0">
            <w:pPr>
              <w:rPr>
                <w:rFonts w:hint="eastAsia"/>
                <w:szCs w:val="21"/>
              </w:rPr>
            </w:pPr>
            <w:r>
              <w:t>长期股权投资账面价值与计税基础差异</w:t>
            </w:r>
          </w:p>
        </w:tc>
        <w:tc>
          <w:tcPr>
            <w:tcW w:w="1074" w:type="pct"/>
            <w:shd w:val="clear" w:color="auto" w:fill="auto"/>
            <w:vAlign w:val="center"/>
          </w:tcPr>
          <w:p w14:paraId="19841854">
            <w:pPr>
              <w:jc w:val="right"/>
              <w:rPr>
                <w:rFonts w:hint="eastAsia"/>
                <w:szCs w:val="21"/>
              </w:rPr>
            </w:pPr>
            <w:r>
              <w:rPr>
                <w:rFonts w:ascii="Arial Narrow" w:hAnsi="Arial Narrow" w:eastAsia="等线"/>
                <w:color w:val="000000"/>
                <w:sz w:val="22"/>
                <w:szCs w:val="22"/>
              </w:rPr>
              <w:t>24,500,000.00</w:t>
            </w:r>
          </w:p>
        </w:tc>
        <w:tc>
          <w:tcPr>
            <w:tcW w:w="955" w:type="pct"/>
            <w:shd w:val="clear" w:color="auto" w:fill="auto"/>
            <w:vAlign w:val="center"/>
          </w:tcPr>
          <w:p w14:paraId="7BA616F8">
            <w:pPr>
              <w:jc w:val="right"/>
              <w:rPr>
                <w:rFonts w:hint="eastAsia"/>
                <w:szCs w:val="21"/>
              </w:rPr>
            </w:pPr>
            <w:r>
              <w:rPr>
                <w:rFonts w:ascii="Arial Narrow" w:hAnsi="Arial Narrow" w:eastAsia="等线"/>
                <w:color w:val="000000"/>
                <w:sz w:val="22"/>
                <w:szCs w:val="22"/>
              </w:rPr>
              <w:t>3,675,000.00</w:t>
            </w:r>
          </w:p>
        </w:tc>
        <w:tc>
          <w:tcPr>
            <w:tcW w:w="1074" w:type="pct"/>
            <w:shd w:val="clear" w:color="auto" w:fill="auto"/>
            <w:vAlign w:val="center"/>
          </w:tcPr>
          <w:p w14:paraId="2DCC1ABC">
            <w:pPr>
              <w:jc w:val="right"/>
              <w:rPr>
                <w:rFonts w:hint="eastAsia"/>
                <w:szCs w:val="21"/>
                <w:highlight w:val="yellow"/>
              </w:rPr>
            </w:pPr>
            <w:r>
              <w:rPr>
                <w:rFonts w:ascii="Arial Narrow" w:hAnsi="Arial Narrow" w:eastAsia="等线"/>
                <w:color w:val="000000"/>
                <w:sz w:val="22"/>
                <w:szCs w:val="22"/>
              </w:rPr>
              <w:t>24,500,000.00</w:t>
            </w:r>
          </w:p>
        </w:tc>
        <w:tc>
          <w:tcPr>
            <w:tcW w:w="955" w:type="pct"/>
            <w:shd w:val="clear" w:color="auto" w:fill="auto"/>
            <w:vAlign w:val="center"/>
          </w:tcPr>
          <w:p w14:paraId="0A2A74D8">
            <w:pPr>
              <w:jc w:val="right"/>
              <w:rPr>
                <w:rFonts w:hint="eastAsia"/>
                <w:szCs w:val="21"/>
                <w:highlight w:val="yellow"/>
              </w:rPr>
            </w:pPr>
            <w:r>
              <w:rPr>
                <w:rFonts w:ascii="Arial Narrow" w:hAnsi="Arial Narrow" w:eastAsia="等线"/>
                <w:color w:val="000000"/>
                <w:sz w:val="22"/>
                <w:szCs w:val="22"/>
              </w:rPr>
              <w:t>3,675,000.00</w:t>
            </w:r>
          </w:p>
        </w:tc>
      </w:tr>
      <w:tr w14:paraId="104D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08E1842B">
            <w:pPr>
              <w:rPr>
                <w:rFonts w:hint="eastAsia"/>
                <w:szCs w:val="21"/>
              </w:rPr>
            </w:pPr>
            <w:r>
              <w:t>租赁负债</w:t>
            </w:r>
          </w:p>
        </w:tc>
        <w:tc>
          <w:tcPr>
            <w:tcW w:w="1074" w:type="pct"/>
            <w:shd w:val="clear" w:color="auto" w:fill="auto"/>
            <w:vAlign w:val="center"/>
          </w:tcPr>
          <w:p w14:paraId="4E98235D">
            <w:pPr>
              <w:jc w:val="right"/>
              <w:rPr>
                <w:rFonts w:hint="eastAsia"/>
                <w:szCs w:val="21"/>
              </w:rPr>
            </w:pPr>
            <w:r>
              <w:rPr>
                <w:rFonts w:ascii="Arial Narrow" w:hAnsi="Arial Narrow" w:eastAsia="等线"/>
                <w:color w:val="000000"/>
                <w:sz w:val="22"/>
                <w:szCs w:val="22"/>
              </w:rPr>
              <w:t>11,142,974.73</w:t>
            </w:r>
          </w:p>
        </w:tc>
        <w:tc>
          <w:tcPr>
            <w:tcW w:w="955" w:type="pct"/>
            <w:shd w:val="clear" w:color="auto" w:fill="auto"/>
            <w:vAlign w:val="center"/>
          </w:tcPr>
          <w:p w14:paraId="3D917409">
            <w:pPr>
              <w:jc w:val="right"/>
              <w:rPr>
                <w:rFonts w:hint="eastAsia"/>
                <w:szCs w:val="21"/>
              </w:rPr>
            </w:pPr>
            <w:r>
              <w:rPr>
                <w:rFonts w:ascii="Arial Narrow" w:hAnsi="Arial Narrow" w:eastAsia="等线"/>
                <w:color w:val="000000"/>
                <w:sz w:val="22"/>
                <w:szCs w:val="22"/>
              </w:rPr>
              <w:t>1,671,446.22</w:t>
            </w:r>
          </w:p>
        </w:tc>
        <w:tc>
          <w:tcPr>
            <w:tcW w:w="1074" w:type="pct"/>
            <w:shd w:val="clear" w:color="auto" w:fill="auto"/>
            <w:vAlign w:val="center"/>
          </w:tcPr>
          <w:p w14:paraId="101D6187">
            <w:pPr>
              <w:jc w:val="right"/>
              <w:rPr>
                <w:rFonts w:hint="eastAsia"/>
                <w:szCs w:val="21"/>
                <w:highlight w:val="yellow"/>
              </w:rPr>
            </w:pPr>
            <w:r>
              <w:rPr>
                <w:rFonts w:ascii="Arial Narrow" w:hAnsi="Arial Narrow" w:eastAsia="等线"/>
                <w:color w:val="000000"/>
                <w:sz w:val="22"/>
                <w:szCs w:val="22"/>
              </w:rPr>
              <w:t>15,064,278.78</w:t>
            </w:r>
          </w:p>
        </w:tc>
        <w:tc>
          <w:tcPr>
            <w:tcW w:w="955" w:type="pct"/>
            <w:shd w:val="clear" w:color="auto" w:fill="auto"/>
            <w:vAlign w:val="center"/>
          </w:tcPr>
          <w:p w14:paraId="52332CDE">
            <w:pPr>
              <w:jc w:val="right"/>
              <w:rPr>
                <w:rFonts w:hint="eastAsia"/>
                <w:szCs w:val="21"/>
                <w:highlight w:val="yellow"/>
              </w:rPr>
            </w:pPr>
            <w:r>
              <w:rPr>
                <w:rFonts w:ascii="Arial Narrow" w:hAnsi="Arial Narrow" w:eastAsia="等线"/>
                <w:color w:val="000000"/>
                <w:sz w:val="22"/>
                <w:szCs w:val="22"/>
              </w:rPr>
              <w:t>2,259,641.82</w:t>
            </w:r>
          </w:p>
        </w:tc>
      </w:tr>
      <w:tr w14:paraId="7128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2987E5D2">
            <w:pPr>
              <w:rPr>
                <w:rFonts w:hint="eastAsia"/>
                <w:szCs w:val="21"/>
              </w:rPr>
            </w:pPr>
            <w:r>
              <w:t>其他</w:t>
            </w:r>
          </w:p>
        </w:tc>
        <w:tc>
          <w:tcPr>
            <w:tcW w:w="1074" w:type="pct"/>
            <w:shd w:val="clear" w:color="auto" w:fill="auto"/>
            <w:vAlign w:val="center"/>
          </w:tcPr>
          <w:p w14:paraId="5D887D48">
            <w:pPr>
              <w:jc w:val="right"/>
              <w:rPr>
                <w:rFonts w:hint="eastAsia"/>
                <w:szCs w:val="21"/>
              </w:rPr>
            </w:pPr>
          </w:p>
        </w:tc>
        <w:tc>
          <w:tcPr>
            <w:tcW w:w="955" w:type="pct"/>
            <w:shd w:val="clear" w:color="auto" w:fill="auto"/>
            <w:vAlign w:val="center"/>
          </w:tcPr>
          <w:p w14:paraId="583B24BF">
            <w:pPr>
              <w:jc w:val="right"/>
              <w:rPr>
                <w:rFonts w:hint="eastAsia"/>
                <w:szCs w:val="21"/>
              </w:rPr>
            </w:pPr>
          </w:p>
        </w:tc>
        <w:tc>
          <w:tcPr>
            <w:tcW w:w="1074" w:type="pct"/>
            <w:shd w:val="clear" w:color="auto" w:fill="auto"/>
            <w:vAlign w:val="center"/>
          </w:tcPr>
          <w:p w14:paraId="6FFD9B4F">
            <w:pPr>
              <w:jc w:val="right"/>
              <w:rPr>
                <w:rFonts w:hint="eastAsia"/>
                <w:szCs w:val="21"/>
                <w:highlight w:val="yellow"/>
              </w:rPr>
            </w:pPr>
            <w:r>
              <w:rPr>
                <w:rFonts w:ascii="Arial Narrow" w:hAnsi="Arial Narrow" w:eastAsia="等线"/>
                <w:color w:val="000000"/>
                <w:sz w:val="22"/>
                <w:szCs w:val="22"/>
              </w:rPr>
              <w:t>54,807.00</w:t>
            </w:r>
          </w:p>
        </w:tc>
        <w:tc>
          <w:tcPr>
            <w:tcW w:w="955" w:type="pct"/>
            <w:shd w:val="clear" w:color="auto" w:fill="auto"/>
            <w:vAlign w:val="center"/>
          </w:tcPr>
          <w:p w14:paraId="6F3C236D">
            <w:pPr>
              <w:jc w:val="right"/>
              <w:rPr>
                <w:rFonts w:hint="eastAsia"/>
                <w:szCs w:val="21"/>
                <w:highlight w:val="yellow"/>
              </w:rPr>
            </w:pPr>
            <w:r>
              <w:rPr>
                <w:rFonts w:ascii="Arial Narrow" w:hAnsi="Arial Narrow" w:eastAsia="等线"/>
                <w:color w:val="000000"/>
                <w:sz w:val="22"/>
                <w:szCs w:val="22"/>
              </w:rPr>
              <w:t>8,221.05</w:t>
            </w:r>
          </w:p>
        </w:tc>
      </w:tr>
      <w:tr w14:paraId="15F6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41" w:type="pct"/>
            <w:shd w:val="clear" w:color="auto" w:fill="auto"/>
            <w:vAlign w:val="center"/>
          </w:tcPr>
          <w:p w14:paraId="2754F3AC">
            <w:pPr>
              <w:jc w:val="center"/>
              <w:rPr>
                <w:rFonts w:hint="eastAsia"/>
                <w:szCs w:val="21"/>
              </w:rPr>
            </w:pPr>
            <w:r>
              <w:rPr>
                <w:rFonts w:hint="eastAsia"/>
                <w:szCs w:val="21"/>
              </w:rPr>
              <w:t>合计</w:t>
            </w:r>
          </w:p>
        </w:tc>
        <w:tc>
          <w:tcPr>
            <w:tcW w:w="1074" w:type="pct"/>
            <w:shd w:val="clear" w:color="auto" w:fill="auto"/>
            <w:vAlign w:val="center"/>
          </w:tcPr>
          <w:p w14:paraId="0114CE27">
            <w:pPr>
              <w:jc w:val="right"/>
              <w:rPr>
                <w:rFonts w:hint="eastAsia"/>
                <w:szCs w:val="21"/>
              </w:rPr>
            </w:pPr>
            <w:r>
              <w:rPr>
                <w:rFonts w:ascii="Arial Narrow" w:hAnsi="Arial Narrow" w:eastAsia="等线"/>
                <w:color w:val="000000"/>
                <w:sz w:val="22"/>
                <w:szCs w:val="22"/>
              </w:rPr>
              <w:t>1,863,680,382.22</w:t>
            </w:r>
          </w:p>
        </w:tc>
        <w:tc>
          <w:tcPr>
            <w:tcW w:w="955" w:type="pct"/>
            <w:shd w:val="clear" w:color="auto" w:fill="auto"/>
            <w:vAlign w:val="center"/>
          </w:tcPr>
          <w:p w14:paraId="16355848">
            <w:pPr>
              <w:jc w:val="right"/>
              <w:rPr>
                <w:rFonts w:hint="eastAsia"/>
                <w:szCs w:val="21"/>
              </w:rPr>
            </w:pPr>
            <w:r>
              <w:rPr>
                <w:rFonts w:ascii="Arial Narrow" w:hAnsi="Arial Narrow" w:eastAsia="等线"/>
                <w:color w:val="000000"/>
                <w:sz w:val="22"/>
                <w:szCs w:val="22"/>
              </w:rPr>
              <w:t>301,467,777.49</w:t>
            </w:r>
          </w:p>
        </w:tc>
        <w:tc>
          <w:tcPr>
            <w:tcW w:w="1074" w:type="pct"/>
            <w:shd w:val="clear" w:color="auto" w:fill="auto"/>
            <w:vAlign w:val="center"/>
          </w:tcPr>
          <w:p w14:paraId="178878C8">
            <w:pPr>
              <w:jc w:val="right"/>
              <w:rPr>
                <w:rFonts w:hint="eastAsia"/>
                <w:szCs w:val="21"/>
                <w:highlight w:val="yellow"/>
              </w:rPr>
            </w:pPr>
            <w:r>
              <w:rPr>
                <w:rFonts w:ascii="Arial Narrow" w:hAnsi="Arial Narrow" w:eastAsia="等线"/>
                <w:color w:val="000000"/>
                <w:sz w:val="22"/>
                <w:szCs w:val="22"/>
              </w:rPr>
              <w:t>1,283,109,044.28</w:t>
            </w:r>
          </w:p>
        </w:tc>
        <w:tc>
          <w:tcPr>
            <w:tcW w:w="955" w:type="pct"/>
            <w:shd w:val="clear" w:color="auto" w:fill="auto"/>
            <w:vAlign w:val="center"/>
          </w:tcPr>
          <w:p w14:paraId="698E5F97">
            <w:pPr>
              <w:jc w:val="right"/>
              <w:rPr>
                <w:rFonts w:hint="eastAsia"/>
                <w:szCs w:val="21"/>
                <w:highlight w:val="yellow"/>
              </w:rPr>
            </w:pPr>
            <w:r>
              <w:rPr>
                <w:rFonts w:ascii="Arial Narrow" w:hAnsi="Arial Narrow" w:eastAsia="等线"/>
                <w:color w:val="000000"/>
                <w:sz w:val="22"/>
                <w:szCs w:val="22"/>
              </w:rPr>
              <w:t>217,027,529.43</w:t>
            </w:r>
          </w:p>
        </w:tc>
      </w:tr>
    </w:tbl>
    <w:p w14:paraId="1E01BE89">
      <w:pPr>
        <w:rPr>
          <w:rFonts w:hint="eastAsia"/>
        </w:rPr>
      </w:pPr>
    </w:p>
    <w:p w14:paraId="5EE9D93D">
      <w:pPr>
        <w:pStyle w:val="71"/>
        <w:numPr>
          <w:ilvl w:val="0"/>
          <w:numId w:val="133"/>
        </w:numPr>
        <w:ind w:left="426" w:hanging="426"/>
        <w:rPr>
          <w:rFonts w:hint="eastAsia"/>
        </w:rPr>
      </w:pPr>
      <w:r>
        <w:rPr>
          <w:rFonts w:hint="eastAsia"/>
        </w:rPr>
        <w:t>未经抵销的递延所得税负债</w:t>
      </w:r>
    </w:p>
    <w:p w14:paraId="4C3FDEEA">
      <w:pPr>
        <w:rPr>
          <w:rFonts w:hint="eastAsia"/>
        </w:rPr>
      </w:pPr>
      <w:sdt>
        <w:sdtPr>
          <w:alias w:val="是否适用：未经抵销的递延所得税负债[双击切换]"/>
          <w:tag w:val="_GBC_e7d8f83d611d4464afa60fcd4c2b0690"/>
          <w:id w:val="-65115497"/>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4957841C">
      <w:pPr>
        <w:jc w:val="right"/>
        <w:rPr>
          <w:rFonts w:hint="eastAsia"/>
        </w:rPr>
      </w:pPr>
      <w:r>
        <w:rPr>
          <w:rFonts w:hint="eastAsia"/>
        </w:rPr>
        <w:t>单位：</w:t>
      </w:r>
      <w:sdt>
        <w:sdtPr>
          <w:rPr>
            <w:rFonts w:hint="eastAsia"/>
          </w:rPr>
          <w:alias w:val="单位：财务附注：未经抵销的递延所得税负债"/>
          <w:tag w:val="_GBC_20c1fd2b551d429d888a1c48c5ee9c5a"/>
          <w:id w:val="18024153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16245685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1558"/>
        <w:gridCol w:w="1468"/>
        <w:gridCol w:w="1616"/>
        <w:gridCol w:w="1634"/>
      </w:tblGrid>
      <w:tr w14:paraId="34E9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e9bdb30dce784b4a9efd1b5efd6964fb"/>
            <w:id w:val="-678734879"/>
          </w:sdtPr>
          <w:sdtContent>
            <w:tc>
              <w:tcPr>
                <w:tcW w:w="1443" w:type="pct"/>
                <w:vMerge w:val="restart"/>
                <w:shd w:val="clear" w:color="auto" w:fill="auto"/>
                <w:vAlign w:val="center"/>
              </w:tcPr>
              <w:p w14:paraId="3D73FC7D">
                <w:pPr>
                  <w:jc w:val="center"/>
                  <w:rPr>
                    <w:rFonts w:hint="eastAsia"/>
                    <w:szCs w:val="21"/>
                  </w:rPr>
                </w:pPr>
                <w:r>
                  <w:rPr>
                    <w:rFonts w:hint="eastAsia"/>
                    <w:szCs w:val="21"/>
                  </w:rPr>
                  <w:t>项目</w:t>
                </w:r>
              </w:p>
            </w:tc>
          </w:sdtContent>
        </w:sdt>
        <w:sdt>
          <w:sdtPr>
            <w:tag w:val="_PLD_600f3752c404468197724275bf44cd43"/>
            <w:id w:val="885453810"/>
          </w:sdtPr>
          <w:sdtContent>
            <w:tc>
              <w:tcPr>
                <w:tcW w:w="1715" w:type="pct"/>
                <w:gridSpan w:val="2"/>
                <w:shd w:val="clear" w:color="auto" w:fill="auto"/>
                <w:vAlign w:val="center"/>
              </w:tcPr>
              <w:p w14:paraId="25AA2AD8">
                <w:pPr>
                  <w:jc w:val="center"/>
                  <w:rPr>
                    <w:rFonts w:hint="eastAsia"/>
                    <w:szCs w:val="21"/>
                  </w:rPr>
                </w:pPr>
                <w:r>
                  <w:rPr>
                    <w:rFonts w:hint="eastAsia"/>
                    <w:szCs w:val="21"/>
                  </w:rPr>
                  <w:t>期末余额</w:t>
                </w:r>
              </w:p>
            </w:tc>
          </w:sdtContent>
        </w:sdt>
        <w:sdt>
          <w:sdtPr>
            <w:tag w:val="_PLD_7e4b2554e2544865b74424edbdb55d4b"/>
            <w:id w:val="-317736326"/>
          </w:sdtPr>
          <w:sdtContent>
            <w:tc>
              <w:tcPr>
                <w:tcW w:w="1842" w:type="pct"/>
                <w:gridSpan w:val="2"/>
                <w:shd w:val="clear" w:color="auto" w:fill="auto"/>
                <w:vAlign w:val="center"/>
              </w:tcPr>
              <w:p w14:paraId="0C3A555F">
                <w:pPr>
                  <w:jc w:val="center"/>
                  <w:rPr>
                    <w:rFonts w:hint="eastAsia"/>
                    <w:szCs w:val="21"/>
                  </w:rPr>
                </w:pPr>
                <w:r>
                  <w:rPr>
                    <w:rFonts w:hint="eastAsia"/>
                    <w:szCs w:val="21"/>
                  </w:rPr>
                  <w:t>期初余额</w:t>
                </w:r>
              </w:p>
            </w:tc>
          </w:sdtContent>
        </w:sdt>
      </w:tr>
      <w:tr w14:paraId="71E8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3" w:type="pct"/>
            <w:vMerge w:val="continue"/>
            <w:shd w:val="clear" w:color="auto" w:fill="auto"/>
            <w:vAlign w:val="center"/>
          </w:tcPr>
          <w:p w14:paraId="0A61FBCF">
            <w:pPr>
              <w:jc w:val="center"/>
              <w:rPr>
                <w:rFonts w:hint="eastAsia"/>
                <w:b/>
                <w:szCs w:val="21"/>
              </w:rPr>
            </w:pPr>
          </w:p>
        </w:tc>
        <w:sdt>
          <w:sdtPr>
            <w:tag w:val="_PLD_2db432e06e184a41a8eb727ebb64ec40"/>
            <w:id w:val="1017428211"/>
          </w:sdtPr>
          <w:sdtContent>
            <w:tc>
              <w:tcPr>
                <w:tcW w:w="883" w:type="pct"/>
                <w:shd w:val="clear" w:color="auto" w:fill="auto"/>
                <w:vAlign w:val="center"/>
              </w:tcPr>
              <w:p w14:paraId="6C05E32D">
                <w:pPr>
                  <w:jc w:val="center"/>
                  <w:rPr>
                    <w:rFonts w:hint="eastAsia"/>
                    <w:szCs w:val="21"/>
                  </w:rPr>
                </w:pPr>
                <w:r>
                  <w:rPr>
                    <w:rFonts w:hint="eastAsia" w:ascii="Arial" w:hAnsi="Arial"/>
                    <w:szCs w:val="21"/>
                  </w:rPr>
                  <w:t>应纳税暂时性差异</w:t>
                </w:r>
              </w:p>
            </w:tc>
          </w:sdtContent>
        </w:sdt>
        <w:sdt>
          <w:sdtPr>
            <w:tag w:val="_PLD_b3dd3e66f628452aab8284dc189a458b"/>
            <w:id w:val="-1714259106"/>
          </w:sdtPr>
          <w:sdtContent>
            <w:tc>
              <w:tcPr>
                <w:tcW w:w="831" w:type="pct"/>
                <w:shd w:val="clear" w:color="auto" w:fill="auto"/>
                <w:vAlign w:val="center"/>
              </w:tcPr>
              <w:p w14:paraId="38E93148">
                <w:pPr>
                  <w:jc w:val="center"/>
                  <w:rPr>
                    <w:rFonts w:hint="eastAsia"/>
                    <w:szCs w:val="21"/>
                  </w:rPr>
                </w:pPr>
                <w:r>
                  <w:rPr>
                    <w:rFonts w:hint="eastAsia"/>
                    <w:szCs w:val="21"/>
                  </w:rPr>
                  <w:t>递延所得税</w:t>
                </w:r>
              </w:p>
              <w:p w14:paraId="65145B6A">
                <w:pPr>
                  <w:jc w:val="center"/>
                  <w:rPr>
                    <w:rFonts w:hint="eastAsia"/>
                    <w:szCs w:val="21"/>
                  </w:rPr>
                </w:pPr>
                <w:r>
                  <w:rPr>
                    <w:rFonts w:hint="eastAsia"/>
                    <w:szCs w:val="21"/>
                  </w:rPr>
                  <w:t>负债</w:t>
                </w:r>
              </w:p>
            </w:tc>
          </w:sdtContent>
        </w:sdt>
        <w:sdt>
          <w:sdtPr>
            <w:tag w:val="_PLD_3e69493cf6a2462eab1eaf8ece87a89d"/>
            <w:id w:val="860782169"/>
          </w:sdtPr>
          <w:sdtContent>
            <w:tc>
              <w:tcPr>
                <w:tcW w:w="916" w:type="pct"/>
                <w:shd w:val="clear" w:color="auto" w:fill="auto"/>
                <w:vAlign w:val="center"/>
              </w:tcPr>
              <w:p w14:paraId="5903DD8E">
                <w:pPr>
                  <w:jc w:val="center"/>
                  <w:rPr>
                    <w:rFonts w:hint="eastAsia"/>
                    <w:szCs w:val="21"/>
                  </w:rPr>
                </w:pPr>
                <w:r>
                  <w:rPr>
                    <w:rFonts w:hint="eastAsia" w:ascii="Arial" w:hAnsi="Arial"/>
                    <w:szCs w:val="21"/>
                  </w:rPr>
                  <w:t>应纳税暂时性差异</w:t>
                </w:r>
              </w:p>
            </w:tc>
          </w:sdtContent>
        </w:sdt>
        <w:sdt>
          <w:sdtPr>
            <w:tag w:val="_PLD_ad4c3389a4a04a96990ace5203f3adbb"/>
            <w:id w:val="1982880255"/>
          </w:sdtPr>
          <w:sdtContent>
            <w:tc>
              <w:tcPr>
                <w:tcW w:w="926" w:type="pct"/>
                <w:shd w:val="clear" w:color="auto" w:fill="auto"/>
                <w:vAlign w:val="center"/>
              </w:tcPr>
              <w:p w14:paraId="04576795">
                <w:pPr>
                  <w:jc w:val="center"/>
                  <w:rPr>
                    <w:rFonts w:hint="eastAsia"/>
                    <w:szCs w:val="21"/>
                  </w:rPr>
                </w:pPr>
                <w:r>
                  <w:rPr>
                    <w:rFonts w:hint="eastAsia"/>
                    <w:szCs w:val="21"/>
                  </w:rPr>
                  <w:t>递延所得税</w:t>
                </w:r>
              </w:p>
              <w:p w14:paraId="282D6E30">
                <w:pPr>
                  <w:jc w:val="center"/>
                  <w:rPr>
                    <w:rFonts w:hint="eastAsia"/>
                    <w:szCs w:val="21"/>
                  </w:rPr>
                </w:pPr>
                <w:r>
                  <w:rPr>
                    <w:rFonts w:hint="eastAsia"/>
                    <w:szCs w:val="21"/>
                  </w:rPr>
                  <w:t>负债</w:t>
                </w:r>
              </w:p>
            </w:tc>
          </w:sdtContent>
        </w:sdt>
      </w:tr>
      <w:tr w14:paraId="387C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3" w:type="pct"/>
            <w:shd w:val="clear" w:color="auto" w:fill="auto"/>
            <w:vAlign w:val="bottom"/>
          </w:tcPr>
          <w:p w14:paraId="5DF9FFCF">
            <w:pPr>
              <w:rPr>
                <w:rFonts w:hint="eastAsia"/>
              </w:rPr>
            </w:pPr>
            <w:r>
              <w:t>延期计税的国家财政拨款、债务重组收益及其他</w:t>
            </w:r>
          </w:p>
        </w:tc>
        <w:tc>
          <w:tcPr>
            <w:tcW w:w="883" w:type="pct"/>
            <w:shd w:val="clear" w:color="auto" w:fill="auto"/>
            <w:vAlign w:val="center"/>
          </w:tcPr>
          <w:p w14:paraId="5AD79C1D">
            <w:pPr>
              <w:jc w:val="right"/>
              <w:rPr>
                <w:rFonts w:hint="eastAsia"/>
                <w:szCs w:val="21"/>
              </w:rPr>
            </w:pPr>
            <w:r>
              <w:rPr>
                <w:rFonts w:ascii="Arial Narrow" w:hAnsi="Arial Narrow" w:eastAsia="等线"/>
                <w:color w:val="000000"/>
                <w:sz w:val="22"/>
                <w:szCs w:val="22"/>
              </w:rPr>
              <w:t>52,187,320.97</w:t>
            </w:r>
          </w:p>
        </w:tc>
        <w:tc>
          <w:tcPr>
            <w:tcW w:w="831" w:type="pct"/>
            <w:shd w:val="clear" w:color="auto" w:fill="auto"/>
            <w:vAlign w:val="center"/>
          </w:tcPr>
          <w:p w14:paraId="1C8CDE4D">
            <w:pPr>
              <w:jc w:val="right"/>
              <w:rPr>
                <w:rFonts w:hint="eastAsia"/>
                <w:szCs w:val="21"/>
              </w:rPr>
            </w:pPr>
            <w:r>
              <w:rPr>
                <w:rFonts w:ascii="Arial Narrow" w:hAnsi="Arial Narrow" w:eastAsia="等线"/>
                <w:color w:val="000000"/>
                <w:sz w:val="22"/>
                <w:szCs w:val="22"/>
              </w:rPr>
              <w:t>7,828,098.15</w:t>
            </w:r>
          </w:p>
        </w:tc>
        <w:tc>
          <w:tcPr>
            <w:tcW w:w="916" w:type="pct"/>
            <w:shd w:val="clear" w:color="auto" w:fill="auto"/>
            <w:vAlign w:val="center"/>
          </w:tcPr>
          <w:p w14:paraId="6338FAAD">
            <w:pPr>
              <w:jc w:val="right"/>
              <w:rPr>
                <w:rFonts w:hint="eastAsia"/>
                <w:szCs w:val="21"/>
              </w:rPr>
            </w:pPr>
            <w:r>
              <w:rPr>
                <w:rFonts w:ascii="Arial Narrow" w:hAnsi="Arial Narrow" w:eastAsia="等线"/>
                <w:color w:val="000000"/>
                <w:sz w:val="22"/>
                <w:szCs w:val="22"/>
              </w:rPr>
              <w:t>55,139,322.00</w:t>
            </w:r>
          </w:p>
        </w:tc>
        <w:tc>
          <w:tcPr>
            <w:tcW w:w="926" w:type="pct"/>
            <w:shd w:val="clear" w:color="auto" w:fill="auto"/>
            <w:vAlign w:val="center"/>
          </w:tcPr>
          <w:p w14:paraId="1BF59C5C">
            <w:pPr>
              <w:jc w:val="right"/>
              <w:rPr>
                <w:rFonts w:hint="eastAsia"/>
                <w:szCs w:val="21"/>
              </w:rPr>
            </w:pPr>
            <w:r>
              <w:rPr>
                <w:rFonts w:ascii="Arial Narrow" w:hAnsi="Arial Narrow" w:eastAsia="等线"/>
                <w:color w:val="000000"/>
                <w:sz w:val="22"/>
                <w:szCs w:val="22"/>
              </w:rPr>
              <w:t>8,270,898.30</w:t>
            </w:r>
          </w:p>
        </w:tc>
      </w:tr>
      <w:tr w14:paraId="5536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3" w:type="pct"/>
            <w:shd w:val="clear" w:color="auto" w:fill="auto"/>
            <w:vAlign w:val="bottom"/>
          </w:tcPr>
          <w:p w14:paraId="122DA3B5">
            <w:pPr>
              <w:rPr>
                <w:rFonts w:hint="eastAsia"/>
              </w:rPr>
            </w:pPr>
            <w:r>
              <w:t>使用权资产</w:t>
            </w:r>
          </w:p>
        </w:tc>
        <w:tc>
          <w:tcPr>
            <w:tcW w:w="883" w:type="pct"/>
            <w:shd w:val="clear" w:color="auto" w:fill="auto"/>
            <w:vAlign w:val="center"/>
          </w:tcPr>
          <w:p w14:paraId="7BEE10F8">
            <w:pPr>
              <w:jc w:val="right"/>
              <w:rPr>
                <w:rFonts w:hint="eastAsia"/>
                <w:szCs w:val="21"/>
              </w:rPr>
            </w:pPr>
            <w:r>
              <w:rPr>
                <w:rFonts w:ascii="Arial Narrow" w:hAnsi="Arial Narrow" w:eastAsia="等线"/>
                <w:color w:val="000000"/>
                <w:sz w:val="22"/>
                <w:szCs w:val="22"/>
              </w:rPr>
              <w:t>10,670,711.29</w:t>
            </w:r>
          </w:p>
        </w:tc>
        <w:tc>
          <w:tcPr>
            <w:tcW w:w="831" w:type="pct"/>
            <w:shd w:val="clear" w:color="auto" w:fill="auto"/>
            <w:vAlign w:val="center"/>
          </w:tcPr>
          <w:p w14:paraId="770DFF77">
            <w:pPr>
              <w:jc w:val="right"/>
              <w:rPr>
                <w:rFonts w:hint="eastAsia"/>
                <w:szCs w:val="21"/>
              </w:rPr>
            </w:pPr>
            <w:r>
              <w:rPr>
                <w:rFonts w:ascii="Arial Narrow" w:hAnsi="Arial Narrow" w:eastAsia="等线"/>
                <w:color w:val="000000"/>
                <w:sz w:val="22"/>
                <w:szCs w:val="22"/>
              </w:rPr>
              <w:t>1,600,606.71</w:t>
            </w:r>
          </w:p>
        </w:tc>
        <w:tc>
          <w:tcPr>
            <w:tcW w:w="916" w:type="pct"/>
            <w:shd w:val="clear" w:color="auto" w:fill="auto"/>
            <w:vAlign w:val="center"/>
          </w:tcPr>
          <w:p w14:paraId="6F0E5E5B">
            <w:pPr>
              <w:jc w:val="right"/>
              <w:rPr>
                <w:rFonts w:hint="eastAsia"/>
                <w:szCs w:val="21"/>
              </w:rPr>
            </w:pPr>
            <w:r>
              <w:rPr>
                <w:rFonts w:ascii="Arial Narrow" w:hAnsi="Arial Narrow" w:eastAsia="等线"/>
                <w:color w:val="000000"/>
                <w:sz w:val="22"/>
                <w:szCs w:val="22"/>
              </w:rPr>
              <w:t>17,630,043.91</w:t>
            </w:r>
          </w:p>
        </w:tc>
        <w:tc>
          <w:tcPr>
            <w:tcW w:w="926" w:type="pct"/>
            <w:shd w:val="clear" w:color="auto" w:fill="auto"/>
            <w:vAlign w:val="center"/>
          </w:tcPr>
          <w:p w14:paraId="1546B914">
            <w:pPr>
              <w:jc w:val="right"/>
              <w:rPr>
                <w:rFonts w:hint="eastAsia"/>
                <w:szCs w:val="21"/>
              </w:rPr>
            </w:pPr>
            <w:r>
              <w:rPr>
                <w:rFonts w:ascii="Arial Narrow" w:hAnsi="Arial Narrow" w:eastAsia="等线"/>
                <w:color w:val="000000"/>
                <w:sz w:val="22"/>
                <w:szCs w:val="22"/>
              </w:rPr>
              <w:t>2,644,506.59</w:t>
            </w:r>
          </w:p>
        </w:tc>
      </w:tr>
      <w:tr w14:paraId="7338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3" w:type="pct"/>
            <w:shd w:val="clear" w:color="auto" w:fill="auto"/>
            <w:vAlign w:val="center"/>
          </w:tcPr>
          <w:p w14:paraId="399590F8">
            <w:pPr>
              <w:jc w:val="center"/>
              <w:rPr>
                <w:rFonts w:hint="eastAsia"/>
                <w:szCs w:val="21"/>
              </w:rPr>
            </w:pPr>
            <w:r>
              <w:rPr>
                <w:rFonts w:hint="eastAsia"/>
                <w:szCs w:val="21"/>
              </w:rPr>
              <w:t>合计</w:t>
            </w:r>
          </w:p>
        </w:tc>
        <w:tc>
          <w:tcPr>
            <w:tcW w:w="883" w:type="pct"/>
            <w:shd w:val="clear" w:color="auto" w:fill="auto"/>
            <w:vAlign w:val="center"/>
          </w:tcPr>
          <w:p w14:paraId="39E74001">
            <w:pPr>
              <w:jc w:val="right"/>
              <w:rPr>
                <w:rFonts w:hint="eastAsia"/>
                <w:szCs w:val="21"/>
              </w:rPr>
            </w:pPr>
            <w:r>
              <w:rPr>
                <w:rFonts w:ascii="Arial Narrow" w:hAnsi="Arial Narrow" w:eastAsia="等线"/>
                <w:color w:val="000000"/>
                <w:sz w:val="22"/>
                <w:szCs w:val="22"/>
              </w:rPr>
              <w:t>62,858,032.26</w:t>
            </w:r>
          </w:p>
        </w:tc>
        <w:tc>
          <w:tcPr>
            <w:tcW w:w="831" w:type="pct"/>
            <w:shd w:val="clear" w:color="auto" w:fill="auto"/>
            <w:vAlign w:val="center"/>
          </w:tcPr>
          <w:p w14:paraId="778F2BE5">
            <w:pPr>
              <w:jc w:val="right"/>
              <w:rPr>
                <w:rFonts w:hint="eastAsia"/>
                <w:szCs w:val="21"/>
              </w:rPr>
            </w:pPr>
            <w:r>
              <w:rPr>
                <w:rFonts w:ascii="Arial Narrow" w:hAnsi="Arial Narrow" w:eastAsia="等线"/>
                <w:color w:val="000000"/>
                <w:sz w:val="22"/>
                <w:szCs w:val="22"/>
              </w:rPr>
              <w:t>9,428,704.86</w:t>
            </w:r>
          </w:p>
        </w:tc>
        <w:tc>
          <w:tcPr>
            <w:tcW w:w="916" w:type="pct"/>
            <w:shd w:val="clear" w:color="auto" w:fill="auto"/>
            <w:vAlign w:val="center"/>
          </w:tcPr>
          <w:p w14:paraId="4A93DF9C">
            <w:pPr>
              <w:jc w:val="right"/>
              <w:rPr>
                <w:rFonts w:hint="eastAsia"/>
                <w:szCs w:val="21"/>
              </w:rPr>
            </w:pPr>
            <w:r>
              <w:rPr>
                <w:rFonts w:ascii="Arial Narrow" w:hAnsi="Arial Narrow" w:eastAsia="等线"/>
                <w:color w:val="000000"/>
                <w:sz w:val="22"/>
                <w:szCs w:val="22"/>
              </w:rPr>
              <w:t>72,769,365.91</w:t>
            </w:r>
          </w:p>
        </w:tc>
        <w:tc>
          <w:tcPr>
            <w:tcW w:w="926" w:type="pct"/>
            <w:shd w:val="clear" w:color="auto" w:fill="auto"/>
            <w:vAlign w:val="center"/>
          </w:tcPr>
          <w:p w14:paraId="25F64169">
            <w:pPr>
              <w:jc w:val="right"/>
              <w:rPr>
                <w:rFonts w:hint="eastAsia"/>
                <w:szCs w:val="21"/>
              </w:rPr>
            </w:pPr>
            <w:r>
              <w:rPr>
                <w:rFonts w:ascii="Arial Narrow" w:hAnsi="Arial Narrow" w:eastAsia="等线"/>
                <w:color w:val="000000"/>
                <w:sz w:val="22"/>
                <w:szCs w:val="22"/>
              </w:rPr>
              <w:t>10,915,404.89</w:t>
            </w:r>
          </w:p>
        </w:tc>
      </w:tr>
    </w:tbl>
    <w:p w14:paraId="499F120B">
      <w:pPr>
        <w:rPr>
          <w:rFonts w:hint="eastAsia"/>
        </w:rPr>
      </w:pPr>
    </w:p>
    <w:p w14:paraId="768411C6">
      <w:pPr>
        <w:pStyle w:val="71"/>
        <w:numPr>
          <w:ilvl w:val="0"/>
          <w:numId w:val="133"/>
        </w:numPr>
        <w:ind w:left="426" w:hanging="426"/>
        <w:rPr>
          <w:rFonts w:hint="eastAsia"/>
        </w:rPr>
      </w:pPr>
      <w:r>
        <w:rPr>
          <w:rFonts w:hint="eastAsia"/>
        </w:rPr>
        <w:t>以抵销后净额列示的递延所得税资产或负债</w:t>
      </w:r>
    </w:p>
    <w:sdt>
      <w:sdtPr>
        <w:alias w:val="是否适用：以抵销后净额列示的递延所得税资产或负债[双击切换]"/>
        <w:tag w:val="_GBC_adbd88aca1694de2a14c265a3fb12290"/>
        <w:id w:val="-227157911"/>
        <w:placeholder>
          <w:docPart w:val="GBC22222222222222222222222222222"/>
        </w:placeholder>
      </w:sdtPr>
      <w:sdtContent>
        <w:p w14:paraId="449A7DF7">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16F4E51">
      <w:pPr>
        <w:rPr>
          <w:rFonts w:hint="eastAsia"/>
          <w:szCs w:val="21"/>
        </w:rPr>
      </w:pPr>
    </w:p>
    <w:p w14:paraId="75DF58A0">
      <w:pPr>
        <w:pStyle w:val="71"/>
        <w:numPr>
          <w:ilvl w:val="0"/>
          <w:numId w:val="133"/>
        </w:numPr>
        <w:ind w:left="426" w:hanging="426"/>
        <w:rPr>
          <w:rFonts w:hint="eastAsia"/>
        </w:rPr>
      </w:pPr>
      <w:r>
        <w:rPr>
          <w:rFonts w:hint="eastAsia"/>
        </w:rPr>
        <w:t>未确认递延所得税资产明细</w:t>
      </w:r>
    </w:p>
    <w:sdt>
      <w:sdtPr>
        <w:alias w:val="是否适用：未确认递延所得税资产明细[双击切换]"/>
        <w:tag w:val="_GBC_713996bf5e4d4c6988835fbf892c5ef2"/>
        <w:id w:val="-1893735210"/>
        <w:placeholder>
          <w:docPart w:val="GBC22222222222222222222222222222"/>
        </w:placeholder>
      </w:sdtPr>
      <w:sdtContent>
        <w:p w14:paraId="1457E18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746F3C">
      <w:pPr>
        <w:jc w:val="right"/>
        <w:rPr>
          <w:rFonts w:hint="eastAsia"/>
          <w:szCs w:val="21"/>
        </w:rPr>
      </w:pPr>
      <w:r>
        <w:rPr>
          <w:rFonts w:hint="eastAsia"/>
          <w:szCs w:val="21"/>
        </w:rPr>
        <w:t>单位：</w:t>
      </w:r>
      <w:sdt>
        <w:sdtPr>
          <w:rPr>
            <w:rFonts w:hint="eastAsia"/>
            <w:szCs w:val="21"/>
          </w:rPr>
          <w:alias w:val="单位：财务附注：未确认递延所得税资产明细"/>
          <w:tag w:val="_GBC_f8fecfb8754c42a8b3b02d67ae705062"/>
          <w:id w:val="16380586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2f5aab227caa4f7da7d6278ecf51ccdf"/>
          <w:id w:val="-4938759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3005"/>
        <w:gridCol w:w="3002"/>
      </w:tblGrid>
      <w:tr w14:paraId="7EFB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rPr>
              <w:rFonts w:ascii="Arial Narrow" w:hAnsi="Arial Narrow" w:eastAsiaTheme="minorEastAsia"/>
              <w:szCs w:val="21"/>
            </w:rPr>
            <w:tag w:val="_PLD_91af0f9b93ef459d823e4bc33d9190d6"/>
            <w:id w:val="-1289809895"/>
          </w:sdtPr>
          <w:sdtEndPr>
            <w:rPr>
              <w:rFonts w:ascii="Arial Narrow" w:hAnsi="Arial Narrow" w:eastAsiaTheme="minorEastAsia"/>
              <w:szCs w:val="21"/>
            </w:rPr>
          </w:sdtEndPr>
          <w:sdtContent>
            <w:tc>
              <w:tcPr>
                <w:tcW w:w="1596" w:type="pct"/>
                <w:tcBorders>
                  <w:top w:val="single" w:color="auto" w:sz="4" w:space="0"/>
                  <w:left w:val="single" w:color="auto" w:sz="4" w:space="0"/>
                  <w:bottom w:val="single" w:color="auto" w:sz="4" w:space="0"/>
                  <w:right w:val="single" w:color="auto" w:sz="4" w:space="0"/>
                </w:tcBorders>
                <w:vAlign w:val="center"/>
              </w:tcPr>
              <w:p w14:paraId="2FDC0D31">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2c2dee2efbd6433784024156b3454ba7"/>
            <w:id w:val="-540284196"/>
          </w:sdtPr>
          <w:sdtEndPr>
            <w:rPr>
              <w:rFonts w:ascii="Arial Narrow" w:hAnsi="Arial Narrow" w:eastAsiaTheme="minorEastAsia"/>
              <w:szCs w:val="21"/>
            </w:rPr>
          </w:sdtEndPr>
          <w:sdtContent>
            <w:tc>
              <w:tcPr>
                <w:tcW w:w="1703" w:type="pct"/>
                <w:tcBorders>
                  <w:top w:val="single" w:color="auto" w:sz="4" w:space="0"/>
                  <w:left w:val="single" w:color="auto" w:sz="4" w:space="0"/>
                  <w:bottom w:val="single" w:color="auto" w:sz="4" w:space="0"/>
                  <w:right w:val="single" w:color="auto" w:sz="4" w:space="0"/>
                </w:tcBorders>
                <w:vAlign w:val="center"/>
              </w:tcPr>
              <w:p w14:paraId="27F2D3B7">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d5059c87582d4e558703d63a8a2d5399"/>
            <w:id w:val="1832632763"/>
          </w:sdtPr>
          <w:sdtEndPr>
            <w:rPr>
              <w:rFonts w:ascii="Arial Narrow" w:hAnsi="Arial Narrow" w:eastAsiaTheme="minorEastAsia"/>
              <w:szCs w:val="21"/>
            </w:rPr>
          </w:sdtEndPr>
          <w:sdtContent>
            <w:tc>
              <w:tcPr>
                <w:tcW w:w="1701" w:type="pct"/>
                <w:tcBorders>
                  <w:top w:val="single" w:color="auto" w:sz="4" w:space="0"/>
                  <w:left w:val="single" w:color="auto" w:sz="4" w:space="0"/>
                  <w:bottom w:val="single" w:color="auto" w:sz="4" w:space="0"/>
                  <w:right w:val="single" w:color="auto" w:sz="4" w:space="0"/>
                </w:tcBorders>
                <w:vAlign w:val="center"/>
              </w:tcPr>
              <w:p w14:paraId="29B0CED3">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624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vAlign w:val="center"/>
          </w:tcPr>
          <w:p w14:paraId="093012C3">
            <w:pPr>
              <w:rPr>
                <w:rFonts w:ascii="Arial Narrow" w:hAnsi="Arial Narrow" w:eastAsiaTheme="minorEastAsia"/>
                <w:szCs w:val="21"/>
              </w:rPr>
            </w:pPr>
            <w:r>
              <w:rPr>
                <w:rFonts w:ascii="Arial Narrow" w:hAnsi="Arial Narrow" w:eastAsiaTheme="minorEastAsia"/>
                <w:szCs w:val="21"/>
              </w:rPr>
              <w:t>可抵扣暂时性差异</w:t>
            </w:r>
          </w:p>
        </w:tc>
        <w:tc>
          <w:tcPr>
            <w:tcW w:w="1703" w:type="pct"/>
            <w:tcBorders>
              <w:top w:val="single" w:color="auto" w:sz="4" w:space="0"/>
              <w:left w:val="single" w:color="auto" w:sz="4" w:space="0"/>
              <w:bottom w:val="single" w:color="auto" w:sz="4" w:space="0"/>
              <w:right w:val="single" w:color="auto" w:sz="4" w:space="0"/>
            </w:tcBorders>
            <w:vAlign w:val="center"/>
          </w:tcPr>
          <w:p w14:paraId="144C6BD4">
            <w:pPr>
              <w:jc w:val="right"/>
              <w:rPr>
                <w:rFonts w:ascii="Arial Narrow" w:hAnsi="Arial Narrow" w:eastAsiaTheme="minorEastAsia"/>
                <w:szCs w:val="21"/>
              </w:rPr>
            </w:pPr>
            <w:r>
              <w:rPr>
                <w:rFonts w:ascii="Arial Narrow" w:hAnsi="Arial Narrow" w:eastAsiaTheme="minorEastAsia"/>
                <w:color w:val="000000"/>
                <w:szCs w:val="21"/>
              </w:rPr>
              <w:t>3,369,943,963.46</w:t>
            </w:r>
          </w:p>
        </w:tc>
        <w:tc>
          <w:tcPr>
            <w:tcW w:w="1701" w:type="pct"/>
            <w:tcBorders>
              <w:top w:val="single" w:color="auto" w:sz="4" w:space="0"/>
              <w:left w:val="single" w:color="auto" w:sz="4" w:space="0"/>
              <w:bottom w:val="single" w:color="auto" w:sz="4" w:space="0"/>
              <w:right w:val="single" w:color="auto" w:sz="4" w:space="0"/>
            </w:tcBorders>
            <w:vAlign w:val="center"/>
          </w:tcPr>
          <w:p w14:paraId="52D16534">
            <w:pPr>
              <w:jc w:val="right"/>
              <w:rPr>
                <w:rFonts w:ascii="Arial Narrow" w:hAnsi="Arial Narrow" w:eastAsiaTheme="minorEastAsia"/>
                <w:szCs w:val="21"/>
              </w:rPr>
            </w:pPr>
            <w:r>
              <w:rPr>
                <w:rFonts w:ascii="Arial Narrow" w:hAnsi="Arial Narrow" w:eastAsiaTheme="minorEastAsia"/>
                <w:color w:val="000000"/>
                <w:szCs w:val="21"/>
              </w:rPr>
              <w:t>928,657,288.99</w:t>
            </w:r>
          </w:p>
        </w:tc>
      </w:tr>
      <w:tr w14:paraId="31FE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tcPr>
          <w:p w14:paraId="1FECB9B5">
            <w:pPr>
              <w:rPr>
                <w:rFonts w:ascii="Arial Narrow" w:hAnsi="Arial Narrow" w:eastAsiaTheme="minorEastAsia"/>
                <w:szCs w:val="21"/>
              </w:rPr>
            </w:pPr>
            <w:r>
              <w:rPr>
                <w:rFonts w:ascii="Arial Narrow" w:hAnsi="Arial Narrow" w:eastAsiaTheme="minorEastAsia"/>
                <w:color w:val="000000"/>
                <w:szCs w:val="21"/>
              </w:rPr>
              <w:t>预计负债</w:t>
            </w:r>
          </w:p>
        </w:tc>
        <w:tc>
          <w:tcPr>
            <w:tcW w:w="1703" w:type="pct"/>
            <w:tcBorders>
              <w:top w:val="single" w:color="auto" w:sz="4" w:space="0"/>
              <w:left w:val="single" w:color="auto" w:sz="4" w:space="0"/>
              <w:bottom w:val="single" w:color="auto" w:sz="4" w:space="0"/>
              <w:right w:val="single" w:color="auto" w:sz="4" w:space="0"/>
            </w:tcBorders>
            <w:vAlign w:val="center"/>
          </w:tcPr>
          <w:p w14:paraId="579D29F2">
            <w:pPr>
              <w:jc w:val="right"/>
              <w:rPr>
                <w:rFonts w:ascii="Arial Narrow" w:hAnsi="Arial Narrow" w:eastAsiaTheme="minorEastAsia"/>
                <w:szCs w:val="21"/>
              </w:rPr>
            </w:pPr>
            <w:r>
              <w:rPr>
                <w:rFonts w:ascii="Arial Narrow" w:hAnsi="Arial Narrow" w:eastAsiaTheme="minorEastAsia"/>
                <w:color w:val="000000"/>
                <w:szCs w:val="21"/>
              </w:rPr>
              <w:t>2,469,944,889.62</w:t>
            </w:r>
          </w:p>
        </w:tc>
        <w:tc>
          <w:tcPr>
            <w:tcW w:w="1701" w:type="pct"/>
            <w:tcBorders>
              <w:top w:val="single" w:color="auto" w:sz="4" w:space="0"/>
              <w:left w:val="single" w:color="auto" w:sz="4" w:space="0"/>
              <w:bottom w:val="single" w:color="auto" w:sz="4" w:space="0"/>
              <w:right w:val="single" w:color="auto" w:sz="4" w:space="0"/>
            </w:tcBorders>
            <w:vAlign w:val="center"/>
          </w:tcPr>
          <w:p w14:paraId="435F16E9">
            <w:pPr>
              <w:jc w:val="right"/>
              <w:rPr>
                <w:rFonts w:ascii="Arial Narrow" w:hAnsi="Arial Narrow" w:eastAsiaTheme="minorEastAsia"/>
                <w:szCs w:val="21"/>
              </w:rPr>
            </w:pPr>
            <w:r>
              <w:rPr>
                <w:rFonts w:ascii="Arial Narrow" w:hAnsi="Arial Narrow" w:eastAsiaTheme="minorEastAsia"/>
                <w:color w:val="000000"/>
                <w:szCs w:val="21"/>
              </w:rPr>
              <w:t>1,241,270,459.81</w:t>
            </w:r>
          </w:p>
        </w:tc>
      </w:tr>
      <w:tr w14:paraId="75F9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tcPr>
          <w:p w14:paraId="13727800">
            <w:pPr>
              <w:rPr>
                <w:rFonts w:ascii="Arial Narrow" w:hAnsi="Arial Narrow" w:eastAsiaTheme="minorEastAsia"/>
                <w:szCs w:val="21"/>
              </w:rPr>
            </w:pPr>
            <w:r>
              <w:rPr>
                <w:rFonts w:ascii="Arial Narrow" w:hAnsi="Arial Narrow" w:eastAsiaTheme="minorEastAsia"/>
                <w:color w:val="000000"/>
                <w:szCs w:val="21"/>
              </w:rPr>
              <w:t>其他</w:t>
            </w:r>
          </w:p>
        </w:tc>
        <w:tc>
          <w:tcPr>
            <w:tcW w:w="1703" w:type="pct"/>
            <w:tcBorders>
              <w:top w:val="single" w:color="auto" w:sz="4" w:space="0"/>
              <w:left w:val="single" w:color="auto" w:sz="4" w:space="0"/>
              <w:bottom w:val="single" w:color="auto" w:sz="4" w:space="0"/>
              <w:right w:val="single" w:color="auto" w:sz="4" w:space="0"/>
            </w:tcBorders>
            <w:vAlign w:val="center"/>
          </w:tcPr>
          <w:p w14:paraId="297257EA">
            <w:pPr>
              <w:jc w:val="right"/>
              <w:rPr>
                <w:rFonts w:ascii="Arial Narrow" w:hAnsi="Arial Narrow" w:eastAsiaTheme="minorEastAsia"/>
                <w:szCs w:val="21"/>
              </w:rPr>
            </w:pPr>
            <w:r>
              <w:rPr>
                <w:rFonts w:ascii="Arial Narrow" w:hAnsi="Arial Narrow" w:eastAsiaTheme="minorEastAsia"/>
                <w:color w:val="000000"/>
                <w:szCs w:val="21"/>
              </w:rPr>
              <w:t>200,000,000.00</w:t>
            </w:r>
          </w:p>
        </w:tc>
        <w:tc>
          <w:tcPr>
            <w:tcW w:w="1701" w:type="pct"/>
            <w:tcBorders>
              <w:top w:val="single" w:color="auto" w:sz="4" w:space="0"/>
              <w:left w:val="single" w:color="auto" w:sz="4" w:space="0"/>
              <w:bottom w:val="single" w:color="auto" w:sz="4" w:space="0"/>
              <w:right w:val="single" w:color="auto" w:sz="4" w:space="0"/>
            </w:tcBorders>
            <w:vAlign w:val="center"/>
          </w:tcPr>
          <w:p w14:paraId="22A38387">
            <w:pPr>
              <w:jc w:val="right"/>
              <w:rPr>
                <w:rFonts w:ascii="Arial Narrow" w:hAnsi="Arial Narrow" w:eastAsiaTheme="minorEastAsia"/>
                <w:szCs w:val="21"/>
              </w:rPr>
            </w:pPr>
            <w:r>
              <w:rPr>
                <w:rFonts w:ascii="Arial Narrow" w:hAnsi="Arial Narrow" w:eastAsiaTheme="minorEastAsia"/>
                <w:color w:val="000000"/>
                <w:szCs w:val="21"/>
              </w:rPr>
              <w:t>36,800,000.00</w:t>
            </w:r>
          </w:p>
        </w:tc>
      </w:tr>
      <w:tr w14:paraId="2FB3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vAlign w:val="center"/>
          </w:tcPr>
          <w:p w14:paraId="016A06A5">
            <w:pPr>
              <w:jc w:val="center"/>
              <w:rPr>
                <w:rFonts w:ascii="Arial Narrow" w:hAnsi="Arial Narrow" w:eastAsiaTheme="minorEastAsia"/>
                <w:szCs w:val="21"/>
              </w:rPr>
            </w:pPr>
            <w:r>
              <w:rPr>
                <w:rFonts w:ascii="Arial Narrow" w:hAnsi="Arial Narrow" w:eastAsiaTheme="minorEastAsia"/>
                <w:szCs w:val="21"/>
              </w:rPr>
              <w:t>合计</w:t>
            </w:r>
          </w:p>
        </w:tc>
        <w:tc>
          <w:tcPr>
            <w:tcW w:w="1703" w:type="pct"/>
            <w:tcBorders>
              <w:top w:val="single" w:color="auto" w:sz="4" w:space="0"/>
              <w:left w:val="single" w:color="auto" w:sz="4" w:space="0"/>
              <w:bottom w:val="single" w:color="auto" w:sz="4" w:space="0"/>
              <w:right w:val="single" w:color="auto" w:sz="4" w:space="0"/>
            </w:tcBorders>
            <w:vAlign w:val="center"/>
          </w:tcPr>
          <w:p w14:paraId="5B8DAAB3">
            <w:pPr>
              <w:jc w:val="right"/>
              <w:rPr>
                <w:rFonts w:ascii="Arial Narrow" w:hAnsi="Arial Narrow" w:eastAsiaTheme="minorEastAsia"/>
                <w:szCs w:val="21"/>
              </w:rPr>
            </w:pPr>
            <w:r>
              <w:rPr>
                <w:rFonts w:ascii="Arial Narrow" w:hAnsi="Arial Narrow" w:eastAsiaTheme="minorEastAsia"/>
                <w:color w:val="000000"/>
                <w:szCs w:val="21"/>
              </w:rPr>
              <w:t>6,039,888,853.08</w:t>
            </w:r>
          </w:p>
        </w:tc>
        <w:tc>
          <w:tcPr>
            <w:tcW w:w="1701" w:type="pct"/>
            <w:tcBorders>
              <w:top w:val="single" w:color="auto" w:sz="4" w:space="0"/>
              <w:left w:val="single" w:color="auto" w:sz="4" w:space="0"/>
              <w:bottom w:val="single" w:color="auto" w:sz="4" w:space="0"/>
              <w:right w:val="single" w:color="auto" w:sz="4" w:space="0"/>
            </w:tcBorders>
            <w:vAlign w:val="center"/>
          </w:tcPr>
          <w:p w14:paraId="64DA8F29">
            <w:pPr>
              <w:jc w:val="right"/>
              <w:rPr>
                <w:rFonts w:ascii="Arial Narrow" w:hAnsi="Arial Narrow" w:eastAsiaTheme="minorEastAsia"/>
                <w:szCs w:val="21"/>
              </w:rPr>
            </w:pPr>
            <w:r>
              <w:rPr>
                <w:rFonts w:ascii="Arial Narrow" w:hAnsi="Arial Narrow" w:eastAsiaTheme="minorEastAsia"/>
                <w:color w:val="000000"/>
                <w:szCs w:val="21"/>
              </w:rPr>
              <w:t>2,206,727,748.80</w:t>
            </w:r>
          </w:p>
        </w:tc>
      </w:tr>
    </w:tbl>
    <w:p w14:paraId="01159246">
      <w:pPr>
        <w:rPr>
          <w:rFonts w:hint="eastAsia"/>
          <w:szCs w:val="21"/>
        </w:rPr>
      </w:pPr>
    </w:p>
    <w:p w14:paraId="3399269A">
      <w:pPr>
        <w:pStyle w:val="71"/>
        <w:numPr>
          <w:ilvl w:val="0"/>
          <w:numId w:val="133"/>
        </w:numPr>
        <w:ind w:left="426" w:hanging="426"/>
        <w:rPr>
          <w:rFonts w:hint="eastAsia"/>
        </w:rPr>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1911762814"/>
        <w:placeholder>
          <w:docPart w:val="GBC22222222222222222222222222222"/>
        </w:placeholder>
      </w:sdtPr>
      <w:sdtContent>
        <w:p w14:paraId="156AAB01">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82F082A">
      <w:pPr>
        <w:ind w:right="57"/>
        <w:jc w:val="right"/>
        <w:rPr>
          <w:rFonts w:hint="eastAsia"/>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20430900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a44b093249e5439fa4b311f7150bce43"/>
          <w:id w:val="-2559005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7"/>
        <w:gridCol w:w="3014"/>
        <w:gridCol w:w="3062"/>
      </w:tblGrid>
      <w:tr w14:paraId="0C9B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c2bad95d2ced4c2f8958303268f6cd2b"/>
            <w:id w:val="1617259764"/>
          </w:sdtPr>
          <w:sdtContent>
            <w:tc>
              <w:tcPr>
                <w:tcW w:w="1557" w:type="pct"/>
                <w:tcBorders>
                  <w:top w:val="single" w:color="auto" w:sz="4" w:space="0"/>
                  <w:left w:val="single" w:color="auto" w:sz="4" w:space="0"/>
                  <w:bottom w:val="single" w:color="auto" w:sz="4" w:space="0"/>
                  <w:right w:val="single" w:color="auto" w:sz="4" w:space="0"/>
                </w:tcBorders>
                <w:vAlign w:val="center"/>
              </w:tcPr>
              <w:p w14:paraId="7F58F754">
                <w:pPr>
                  <w:jc w:val="center"/>
                  <w:rPr>
                    <w:rFonts w:hint="eastAsia"/>
                    <w:szCs w:val="21"/>
                  </w:rPr>
                </w:pPr>
                <w:r>
                  <w:rPr>
                    <w:rFonts w:hint="eastAsia"/>
                    <w:szCs w:val="21"/>
                  </w:rPr>
                  <w:t>年份</w:t>
                </w:r>
              </w:p>
            </w:tc>
          </w:sdtContent>
        </w:sdt>
        <w:sdt>
          <w:sdtPr>
            <w:tag w:val="_PLD_20395d1e877346dbbdb29c15ffdda67a"/>
            <w:id w:val="906339661"/>
          </w:sdtPr>
          <w:sdtContent>
            <w:tc>
              <w:tcPr>
                <w:tcW w:w="1708" w:type="pct"/>
                <w:tcBorders>
                  <w:top w:val="single" w:color="auto" w:sz="4" w:space="0"/>
                  <w:left w:val="single" w:color="auto" w:sz="4" w:space="0"/>
                  <w:bottom w:val="single" w:color="auto" w:sz="4" w:space="0"/>
                  <w:right w:val="single" w:color="auto" w:sz="4" w:space="0"/>
                </w:tcBorders>
                <w:vAlign w:val="center"/>
              </w:tcPr>
              <w:p w14:paraId="13153F5D">
                <w:pPr>
                  <w:jc w:val="center"/>
                  <w:rPr>
                    <w:rFonts w:hint="eastAsia"/>
                    <w:szCs w:val="21"/>
                  </w:rPr>
                </w:pPr>
                <w:r>
                  <w:rPr>
                    <w:rFonts w:hint="eastAsia"/>
                    <w:szCs w:val="21"/>
                  </w:rPr>
                  <w:t>期末金额</w:t>
                </w:r>
              </w:p>
            </w:tc>
          </w:sdtContent>
        </w:sdt>
        <w:sdt>
          <w:sdtPr>
            <w:tag w:val="_PLD_7c3e310eca854a9283aca385397086c3"/>
            <w:id w:val="-485621361"/>
          </w:sdtPr>
          <w:sdtContent>
            <w:tc>
              <w:tcPr>
                <w:tcW w:w="1735" w:type="pct"/>
                <w:tcBorders>
                  <w:top w:val="single" w:color="auto" w:sz="4" w:space="0"/>
                  <w:left w:val="single" w:color="auto" w:sz="4" w:space="0"/>
                  <w:bottom w:val="single" w:color="auto" w:sz="4" w:space="0"/>
                  <w:right w:val="single" w:color="auto" w:sz="4" w:space="0"/>
                </w:tcBorders>
                <w:vAlign w:val="center"/>
              </w:tcPr>
              <w:p w14:paraId="312C915A">
                <w:pPr>
                  <w:jc w:val="center"/>
                  <w:rPr>
                    <w:rFonts w:hint="eastAsia"/>
                    <w:szCs w:val="21"/>
                  </w:rPr>
                </w:pPr>
                <w:r>
                  <w:rPr>
                    <w:rFonts w:hint="eastAsia"/>
                    <w:szCs w:val="21"/>
                  </w:rPr>
                  <w:t>期初金额</w:t>
                </w:r>
              </w:p>
            </w:tc>
          </w:sdtContent>
        </w:sdt>
      </w:tr>
      <w:tr w14:paraId="6195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4A4790EB">
            <w:pPr>
              <w:jc w:val="center"/>
              <w:rPr>
                <w:rFonts w:hint="eastAsia"/>
                <w:szCs w:val="21"/>
              </w:rPr>
            </w:pPr>
            <w:r>
              <w:rPr>
                <w:rFonts w:ascii="Arial Narrow" w:hAnsi="Arial Narrow" w:eastAsia="等线"/>
                <w:color w:val="000000"/>
                <w:szCs w:val="21"/>
              </w:rPr>
              <w:t>2024</w:t>
            </w:r>
          </w:p>
        </w:tc>
        <w:tc>
          <w:tcPr>
            <w:tcW w:w="1708" w:type="pct"/>
            <w:tcBorders>
              <w:top w:val="single" w:color="auto" w:sz="4" w:space="0"/>
              <w:left w:val="single" w:color="auto" w:sz="4" w:space="0"/>
              <w:bottom w:val="single" w:color="auto" w:sz="4" w:space="0"/>
              <w:right w:val="single" w:color="auto" w:sz="4" w:space="0"/>
            </w:tcBorders>
            <w:vAlign w:val="center"/>
          </w:tcPr>
          <w:p w14:paraId="368F6302">
            <w:pPr>
              <w:jc w:val="right"/>
              <w:rPr>
                <w:rFonts w:hint="eastAsia"/>
                <w:szCs w:val="21"/>
              </w:rPr>
            </w:pPr>
          </w:p>
        </w:tc>
        <w:tc>
          <w:tcPr>
            <w:tcW w:w="1735" w:type="pct"/>
            <w:tcBorders>
              <w:top w:val="single" w:color="auto" w:sz="4" w:space="0"/>
              <w:left w:val="single" w:color="auto" w:sz="4" w:space="0"/>
              <w:bottom w:val="single" w:color="auto" w:sz="4" w:space="0"/>
              <w:right w:val="single" w:color="auto" w:sz="4" w:space="0"/>
            </w:tcBorders>
            <w:vAlign w:val="center"/>
          </w:tcPr>
          <w:p w14:paraId="35D62330">
            <w:pPr>
              <w:jc w:val="right"/>
              <w:rPr>
                <w:rFonts w:hint="eastAsia"/>
                <w:szCs w:val="21"/>
              </w:rPr>
            </w:pPr>
            <w:r>
              <w:rPr>
                <w:rFonts w:ascii="Arial Narrow" w:hAnsi="Arial Narrow" w:eastAsia="等线"/>
                <w:color w:val="000000"/>
                <w:sz w:val="22"/>
                <w:szCs w:val="22"/>
              </w:rPr>
              <w:t>125,494,740.30</w:t>
            </w:r>
          </w:p>
        </w:tc>
      </w:tr>
      <w:tr w14:paraId="67DA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6F685C3F">
            <w:pPr>
              <w:jc w:val="center"/>
              <w:rPr>
                <w:rFonts w:hint="eastAsia"/>
                <w:szCs w:val="21"/>
              </w:rPr>
            </w:pPr>
            <w:r>
              <w:rPr>
                <w:rFonts w:ascii="Arial Narrow" w:hAnsi="Arial Narrow" w:eastAsia="等线"/>
                <w:color w:val="000000"/>
                <w:szCs w:val="21"/>
              </w:rPr>
              <w:t>2025</w:t>
            </w:r>
          </w:p>
        </w:tc>
        <w:tc>
          <w:tcPr>
            <w:tcW w:w="1708" w:type="pct"/>
            <w:tcBorders>
              <w:top w:val="single" w:color="auto" w:sz="4" w:space="0"/>
              <w:left w:val="single" w:color="auto" w:sz="4" w:space="0"/>
              <w:bottom w:val="single" w:color="auto" w:sz="4" w:space="0"/>
              <w:right w:val="single" w:color="auto" w:sz="4" w:space="0"/>
            </w:tcBorders>
            <w:vAlign w:val="center"/>
          </w:tcPr>
          <w:p w14:paraId="11A7E269">
            <w:pPr>
              <w:jc w:val="right"/>
              <w:rPr>
                <w:rFonts w:hint="eastAsia"/>
                <w:szCs w:val="21"/>
              </w:rPr>
            </w:pPr>
            <w:r>
              <w:rPr>
                <w:rFonts w:ascii="Arial Narrow" w:hAnsi="Arial Narrow" w:eastAsia="等线"/>
                <w:color w:val="000000"/>
                <w:sz w:val="22"/>
                <w:szCs w:val="22"/>
              </w:rPr>
              <w:t>250,294,051.96</w:t>
            </w:r>
          </w:p>
        </w:tc>
        <w:tc>
          <w:tcPr>
            <w:tcW w:w="1735" w:type="pct"/>
            <w:tcBorders>
              <w:top w:val="single" w:color="auto" w:sz="4" w:space="0"/>
              <w:left w:val="single" w:color="auto" w:sz="4" w:space="0"/>
              <w:bottom w:val="single" w:color="auto" w:sz="4" w:space="0"/>
              <w:right w:val="single" w:color="auto" w:sz="4" w:space="0"/>
            </w:tcBorders>
            <w:vAlign w:val="center"/>
          </w:tcPr>
          <w:p w14:paraId="70A5A3FE">
            <w:pPr>
              <w:jc w:val="right"/>
              <w:rPr>
                <w:rFonts w:hint="eastAsia"/>
                <w:szCs w:val="21"/>
              </w:rPr>
            </w:pPr>
            <w:r>
              <w:rPr>
                <w:rFonts w:ascii="Arial Narrow" w:hAnsi="Arial Narrow" w:eastAsia="等线"/>
                <w:color w:val="000000"/>
                <w:sz w:val="22"/>
                <w:szCs w:val="22"/>
              </w:rPr>
              <w:t>250,294,051.96</w:t>
            </w:r>
          </w:p>
        </w:tc>
      </w:tr>
      <w:tr w14:paraId="3819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6DCF7506">
            <w:pPr>
              <w:jc w:val="center"/>
              <w:rPr>
                <w:rFonts w:hint="eastAsia"/>
                <w:szCs w:val="21"/>
              </w:rPr>
            </w:pPr>
            <w:r>
              <w:rPr>
                <w:rFonts w:ascii="Arial Narrow" w:hAnsi="Arial Narrow" w:eastAsia="等线"/>
                <w:color w:val="000000"/>
                <w:szCs w:val="21"/>
              </w:rPr>
              <w:t>2026</w:t>
            </w:r>
          </w:p>
        </w:tc>
        <w:tc>
          <w:tcPr>
            <w:tcW w:w="1708" w:type="pct"/>
            <w:tcBorders>
              <w:top w:val="single" w:color="auto" w:sz="4" w:space="0"/>
              <w:left w:val="single" w:color="auto" w:sz="4" w:space="0"/>
              <w:bottom w:val="single" w:color="auto" w:sz="4" w:space="0"/>
              <w:right w:val="single" w:color="auto" w:sz="4" w:space="0"/>
            </w:tcBorders>
            <w:vAlign w:val="center"/>
          </w:tcPr>
          <w:p w14:paraId="4AC960A3">
            <w:pPr>
              <w:jc w:val="right"/>
              <w:rPr>
                <w:rFonts w:hint="eastAsia"/>
                <w:szCs w:val="21"/>
              </w:rPr>
            </w:pPr>
            <w:r>
              <w:rPr>
                <w:rFonts w:ascii="Arial Narrow" w:hAnsi="Arial Narrow" w:eastAsia="等线"/>
                <w:color w:val="000000"/>
                <w:sz w:val="22"/>
                <w:szCs w:val="22"/>
              </w:rPr>
              <w:t>275,683,580.72</w:t>
            </w:r>
          </w:p>
        </w:tc>
        <w:tc>
          <w:tcPr>
            <w:tcW w:w="1735" w:type="pct"/>
            <w:tcBorders>
              <w:top w:val="single" w:color="auto" w:sz="4" w:space="0"/>
              <w:left w:val="single" w:color="auto" w:sz="4" w:space="0"/>
              <w:bottom w:val="single" w:color="auto" w:sz="4" w:space="0"/>
              <w:right w:val="single" w:color="auto" w:sz="4" w:space="0"/>
            </w:tcBorders>
            <w:vAlign w:val="center"/>
          </w:tcPr>
          <w:p w14:paraId="2A8D37FD">
            <w:pPr>
              <w:jc w:val="right"/>
              <w:rPr>
                <w:rFonts w:hint="eastAsia"/>
                <w:szCs w:val="21"/>
              </w:rPr>
            </w:pPr>
            <w:r>
              <w:rPr>
                <w:rFonts w:ascii="Arial Narrow" w:hAnsi="Arial Narrow" w:eastAsia="等线"/>
                <w:color w:val="000000"/>
                <w:sz w:val="22"/>
                <w:szCs w:val="22"/>
              </w:rPr>
              <w:t>282,053,663.49</w:t>
            </w:r>
          </w:p>
        </w:tc>
      </w:tr>
      <w:tr w14:paraId="5F4B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73C3CD93">
            <w:pPr>
              <w:jc w:val="center"/>
              <w:rPr>
                <w:rFonts w:hint="eastAsia"/>
                <w:szCs w:val="21"/>
              </w:rPr>
            </w:pPr>
            <w:r>
              <w:rPr>
                <w:rFonts w:ascii="Arial Narrow" w:hAnsi="Arial Narrow" w:eastAsia="等线"/>
                <w:color w:val="000000"/>
                <w:szCs w:val="21"/>
              </w:rPr>
              <w:t>2027</w:t>
            </w:r>
          </w:p>
        </w:tc>
        <w:tc>
          <w:tcPr>
            <w:tcW w:w="1708" w:type="pct"/>
            <w:tcBorders>
              <w:top w:val="single" w:color="auto" w:sz="4" w:space="0"/>
              <w:left w:val="single" w:color="auto" w:sz="4" w:space="0"/>
              <w:bottom w:val="single" w:color="auto" w:sz="4" w:space="0"/>
              <w:right w:val="single" w:color="auto" w:sz="4" w:space="0"/>
            </w:tcBorders>
            <w:vAlign w:val="center"/>
          </w:tcPr>
          <w:p w14:paraId="39B27391">
            <w:pPr>
              <w:jc w:val="right"/>
              <w:rPr>
                <w:rFonts w:hint="eastAsia"/>
                <w:szCs w:val="21"/>
              </w:rPr>
            </w:pPr>
            <w:r>
              <w:rPr>
                <w:rFonts w:ascii="Arial Narrow" w:hAnsi="Arial Narrow" w:eastAsia="等线"/>
                <w:color w:val="000000"/>
                <w:sz w:val="22"/>
                <w:szCs w:val="22"/>
              </w:rPr>
              <w:t>296,952,995.83</w:t>
            </w:r>
          </w:p>
        </w:tc>
        <w:tc>
          <w:tcPr>
            <w:tcW w:w="1735" w:type="pct"/>
            <w:tcBorders>
              <w:top w:val="single" w:color="auto" w:sz="4" w:space="0"/>
              <w:left w:val="single" w:color="auto" w:sz="4" w:space="0"/>
              <w:bottom w:val="single" w:color="auto" w:sz="4" w:space="0"/>
              <w:right w:val="single" w:color="auto" w:sz="4" w:space="0"/>
            </w:tcBorders>
            <w:vAlign w:val="center"/>
          </w:tcPr>
          <w:p w14:paraId="0E086290">
            <w:pPr>
              <w:jc w:val="right"/>
              <w:rPr>
                <w:rFonts w:hint="eastAsia"/>
                <w:szCs w:val="21"/>
              </w:rPr>
            </w:pPr>
            <w:r>
              <w:rPr>
                <w:rFonts w:ascii="Arial Narrow" w:hAnsi="Arial Narrow" w:eastAsia="等线"/>
                <w:color w:val="000000"/>
                <w:sz w:val="22"/>
                <w:szCs w:val="22"/>
              </w:rPr>
              <w:t>298,766,004.75</w:t>
            </w:r>
          </w:p>
        </w:tc>
      </w:tr>
      <w:tr w14:paraId="17E7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0BB0E659">
            <w:pPr>
              <w:jc w:val="center"/>
              <w:rPr>
                <w:rFonts w:hint="eastAsia"/>
                <w:szCs w:val="21"/>
              </w:rPr>
            </w:pPr>
            <w:r>
              <w:rPr>
                <w:rFonts w:ascii="Arial Narrow" w:hAnsi="Arial Narrow" w:eastAsia="等线"/>
                <w:color w:val="000000"/>
                <w:szCs w:val="21"/>
              </w:rPr>
              <w:t>2028</w:t>
            </w:r>
          </w:p>
        </w:tc>
        <w:tc>
          <w:tcPr>
            <w:tcW w:w="1708" w:type="pct"/>
            <w:tcBorders>
              <w:top w:val="single" w:color="auto" w:sz="4" w:space="0"/>
              <w:left w:val="single" w:color="auto" w:sz="4" w:space="0"/>
              <w:bottom w:val="single" w:color="auto" w:sz="4" w:space="0"/>
              <w:right w:val="single" w:color="auto" w:sz="4" w:space="0"/>
            </w:tcBorders>
            <w:vAlign w:val="center"/>
          </w:tcPr>
          <w:p w14:paraId="1C81988F">
            <w:pPr>
              <w:jc w:val="right"/>
              <w:rPr>
                <w:rFonts w:hint="eastAsia"/>
                <w:szCs w:val="21"/>
              </w:rPr>
            </w:pPr>
            <w:r>
              <w:rPr>
                <w:rFonts w:ascii="Arial Narrow" w:hAnsi="Arial Narrow" w:eastAsia="等线"/>
                <w:color w:val="000000"/>
                <w:sz w:val="22"/>
                <w:szCs w:val="22"/>
              </w:rPr>
              <w:t>284,542,521.22</w:t>
            </w:r>
          </w:p>
        </w:tc>
        <w:tc>
          <w:tcPr>
            <w:tcW w:w="1735" w:type="pct"/>
            <w:tcBorders>
              <w:top w:val="single" w:color="auto" w:sz="4" w:space="0"/>
              <w:left w:val="single" w:color="auto" w:sz="4" w:space="0"/>
              <w:bottom w:val="single" w:color="auto" w:sz="4" w:space="0"/>
              <w:right w:val="single" w:color="auto" w:sz="4" w:space="0"/>
            </w:tcBorders>
            <w:vAlign w:val="center"/>
          </w:tcPr>
          <w:p w14:paraId="32C67094">
            <w:pPr>
              <w:jc w:val="right"/>
              <w:rPr>
                <w:rFonts w:hint="eastAsia"/>
                <w:szCs w:val="21"/>
              </w:rPr>
            </w:pPr>
            <w:r>
              <w:rPr>
                <w:rFonts w:ascii="Arial Narrow" w:hAnsi="Arial Narrow" w:eastAsia="等线"/>
                <w:color w:val="000000"/>
                <w:sz w:val="22"/>
                <w:szCs w:val="22"/>
              </w:rPr>
              <w:t>284,661,999.31</w:t>
            </w:r>
          </w:p>
        </w:tc>
      </w:tr>
      <w:tr w14:paraId="56B8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7" w:type="pct"/>
            <w:tcBorders>
              <w:top w:val="single" w:color="auto" w:sz="4" w:space="0"/>
              <w:left w:val="single" w:color="auto" w:sz="4" w:space="0"/>
              <w:bottom w:val="single" w:color="auto" w:sz="4" w:space="0"/>
              <w:right w:val="single" w:color="auto" w:sz="4" w:space="0"/>
            </w:tcBorders>
            <w:vAlign w:val="center"/>
          </w:tcPr>
          <w:p w14:paraId="4C5396A4">
            <w:pPr>
              <w:jc w:val="center"/>
              <w:rPr>
                <w:rFonts w:hint="eastAsia"/>
                <w:szCs w:val="21"/>
              </w:rPr>
            </w:pPr>
            <w:r>
              <w:rPr>
                <w:rFonts w:ascii="Arial Narrow" w:hAnsi="Arial Narrow" w:eastAsia="等线"/>
                <w:color w:val="000000"/>
                <w:szCs w:val="21"/>
              </w:rPr>
              <w:t>2029</w:t>
            </w:r>
          </w:p>
        </w:tc>
        <w:tc>
          <w:tcPr>
            <w:tcW w:w="1708" w:type="pct"/>
            <w:tcBorders>
              <w:top w:val="single" w:color="auto" w:sz="4" w:space="0"/>
              <w:left w:val="single" w:color="auto" w:sz="4" w:space="0"/>
              <w:bottom w:val="single" w:color="auto" w:sz="4" w:space="0"/>
              <w:right w:val="single" w:color="auto" w:sz="4" w:space="0"/>
            </w:tcBorders>
            <w:vAlign w:val="center"/>
          </w:tcPr>
          <w:p w14:paraId="3DC6E1C0">
            <w:pPr>
              <w:jc w:val="right"/>
              <w:rPr>
                <w:rFonts w:hint="eastAsia"/>
                <w:szCs w:val="21"/>
              </w:rPr>
            </w:pPr>
            <w:r>
              <w:rPr>
                <w:rFonts w:ascii="Arial Narrow" w:hAnsi="Arial Narrow" w:eastAsia="等线"/>
                <w:color w:val="000000"/>
                <w:sz w:val="22"/>
                <w:szCs w:val="22"/>
              </w:rPr>
              <w:t>1,362,471,739.89</w:t>
            </w:r>
          </w:p>
        </w:tc>
        <w:tc>
          <w:tcPr>
            <w:tcW w:w="1735" w:type="pct"/>
            <w:tcBorders>
              <w:top w:val="single" w:color="auto" w:sz="4" w:space="0"/>
              <w:left w:val="single" w:color="auto" w:sz="4" w:space="0"/>
              <w:bottom w:val="single" w:color="auto" w:sz="4" w:space="0"/>
              <w:right w:val="single" w:color="auto" w:sz="4" w:space="0"/>
            </w:tcBorders>
            <w:vAlign w:val="center"/>
          </w:tcPr>
          <w:p w14:paraId="11CF6A3B">
            <w:pPr>
              <w:jc w:val="right"/>
              <w:rPr>
                <w:rFonts w:hint="eastAsia"/>
                <w:szCs w:val="21"/>
              </w:rPr>
            </w:pPr>
          </w:p>
        </w:tc>
      </w:tr>
      <w:tr w14:paraId="1370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7" w:type="pct"/>
            <w:tcBorders>
              <w:top w:val="single" w:color="auto" w:sz="4" w:space="0"/>
              <w:left w:val="single" w:color="auto" w:sz="4" w:space="0"/>
              <w:bottom w:val="single" w:color="auto" w:sz="4" w:space="0"/>
              <w:right w:val="single" w:color="auto" w:sz="4" w:space="0"/>
            </w:tcBorders>
            <w:vAlign w:val="bottom"/>
          </w:tcPr>
          <w:p w14:paraId="6C460773">
            <w:pPr>
              <w:jc w:val="center"/>
              <w:rPr>
                <w:rFonts w:hint="eastAsia"/>
                <w:szCs w:val="21"/>
              </w:rPr>
            </w:pPr>
            <w:r>
              <w:rPr>
                <w:rFonts w:hint="eastAsia"/>
                <w:szCs w:val="21"/>
              </w:rPr>
              <w:t>合计</w:t>
            </w:r>
          </w:p>
        </w:tc>
        <w:tc>
          <w:tcPr>
            <w:tcW w:w="1708" w:type="pct"/>
            <w:tcBorders>
              <w:top w:val="single" w:color="auto" w:sz="4" w:space="0"/>
              <w:left w:val="single" w:color="auto" w:sz="4" w:space="0"/>
              <w:bottom w:val="single" w:color="auto" w:sz="4" w:space="0"/>
              <w:right w:val="single" w:color="auto" w:sz="4" w:space="0"/>
            </w:tcBorders>
            <w:vAlign w:val="center"/>
          </w:tcPr>
          <w:p w14:paraId="5598C422">
            <w:pPr>
              <w:jc w:val="right"/>
              <w:rPr>
                <w:rFonts w:hint="eastAsia"/>
                <w:szCs w:val="21"/>
              </w:rPr>
            </w:pPr>
            <w:r>
              <w:rPr>
                <w:rFonts w:ascii="Arial Narrow" w:hAnsi="Arial Narrow" w:eastAsia="等线"/>
                <w:color w:val="000000"/>
                <w:sz w:val="22"/>
                <w:szCs w:val="22"/>
              </w:rPr>
              <w:t>2,469,944,889.62</w:t>
            </w:r>
          </w:p>
        </w:tc>
        <w:tc>
          <w:tcPr>
            <w:tcW w:w="1735" w:type="pct"/>
            <w:tcBorders>
              <w:top w:val="single" w:color="auto" w:sz="4" w:space="0"/>
              <w:left w:val="single" w:color="auto" w:sz="4" w:space="0"/>
              <w:bottom w:val="single" w:color="auto" w:sz="4" w:space="0"/>
              <w:right w:val="single" w:color="auto" w:sz="4" w:space="0"/>
            </w:tcBorders>
            <w:vAlign w:val="center"/>
          </w:tcPr>
          <w:p w14:paraId="60A921D8">
            <w:pPr>
              <w:jc w:val="right"/>
              <w:rPr>
                <w:rFonts w:hint="eastAsia"/>
                <w:szCs w:val="21"/>
              </w:rPr>
            </w:pPr>
            <w:r>
              <w:rPr>
                <w:rFonts w:ascii="Arial Narrow" w:hAnsi="Arial Narrow" w:eastAsia="等线"/>
                <w:color w:val="000000"/>
                <w:sz w:val="22"/>
                <w:szCs w:val="22"/>
              </w:rPr>
              <w:t>1,241,270,459.81</w:t>
            </w:r>
          </w:p>
        </w:tc>
      </w:tr>
    </w:tbl>
    <w:p w14:paraId="666A16CB">
      <w:pPr>
        <w:rPr>
          <w:rFonts w:hint="eastAsia"/>
          <w:color w:val="FF00FF"/>
          <w:szCs w:val="21"/>
        </w:rPr>
      </w:pPr>
    </w:p>
    <w:bookmarkEnd w:id="336"/>
    <w:p w14:paraId="0EF9684E">
      <w:pPr>
        <w:rPr>
          <w:rFonts w:hint="eastAsia"/>
          <w:szCs w:val="21"/>
        </w:rPr>
      </w:pPr>
      <w:r>
        <w:rPr>
          <w:rFonts w:hint="eastAsia"/>
          <w:szCs w:val="21"/>
        </w:rPr>
        <w:t>其他说明：</w:t>
      </w:r>
    </w:p>
    <w:sdt>
      <w:sdtPr>
        <w:rPr>
          <w:szCs w:val="21"/>
        </w:rPr>
        <w:alias w:val="是否适用：递延所得税资产和递延所得税负债的说明[双击切换]"/>
        <w:tag w:val="_GBC_7f4fae30d73847918bda2bbfa91008fe"/>
        <w:id w:val="818922165"/>
        <w:placeholder>
          <w:docPart w:val="GBC22222222222222222222222222222"/>
        </w:placeholder>
      </w:sdtPr>
      <w:sdtEndPr>
        <w:rPr>
          <w:szCs w:val="21"/>
        </w:rPr>
      </w:sdtEndPr>
      <w:sdtContent>
        <w:p w14:paraId="0C210A13">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A8C40E2">
      <w:pPr>
        <w:rPr>
          <w:rFonts w:hint="eastAsia"/>
          <w:szCs w:val="21"/>
        </w:rPr>
      </w:pPr>
    </w:p>
    <w:p w14:paraId="39021D92">
      <w:pPr>
        <w:pStyle w:val="70"/>
        <w:numPr>
          <w:ilvl w:val="0"/>
          <w:numId w:val="109"/>
        </w:numPr>
        <w:tabs>
          <w:tab w:val="left" w:pos="504"/>
        </w:tabs>
        <w:rPr>
          <w:szCs w:val="21"/>
        </w:rPr>
        <w:sectPr>
          <w:pgSz w:w="11906" w:h="16838"/>
          <w:pgMar w:top="1440" w:right="1797" w:bottom="1525" w:left="1276" w:header="856" w:footer="992" w:gutter="0"/>
          <w:cols w:space="425" w:num="1"/>
          <w:docGrid w:linePitch="312" w:charSpace="0"/>
        </w:sectPr>
      </w:pPr>
      <w:bookmarkStart w:id="337" w:name="_Hlk533670093"/>
    </w:p>
    <w:p w14:paraId="21A210F8">
      <w:pPr>
        <w:pStyle w:val="70"/>
        <w:numPr>
          <w:ilvl w:val="0"/>
          <w:numId w:val="109"/>
        </w:numPr>
        <w:rPr>
          <w:szCs w:val="21"/>
        </w:rPr>
      </w:pPr>
      <w:r>
        <w:rPr>
          <w:szCs w:val="21"/>
        </w:rPr>
        <w:t>其他非流动资产</w:t>
      </w:r>
    </w:p>
    <w:sdt>
      <w:sdtPr>
        <w:alias w:val="是否适用：其他非流动资产[双击切换]"/>
        <w:tag w:val="_GBC_a847828a70d64218a7f8a07dc593d18b"/>
        <w:id w:val="146635379"/>
        <w:placeholder>
          <w:docPart w:val="GBC22222222222222222222222222222"/>
        </w:placeholder>
      </w:sdtPr>
      <w:sdtContent>
        <w:p w14:paraId="6171BF0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3BA4D93">
      <w:pPr>
        <w:jc w:val="right"/>
        <w:rPr>
          <w:rFonts w:hint="eastAsia"/>
        </w:rPr>
      </w:pPr>
      <w:r>
        <w:rPr>
          <w:rFonts w:hint="eastAsia"/>
        </w:rPr>
        <w:t>单位：</w:t>
      </w:r>
      <w:sdt>
        <w:sdtPr>
          <w:alias w:val="单位：财务附注：其他非流动资产"/>
          <w:tag w:val="_GBC_7c7ae7cee25948deb399f93e000e5ba2"/>
          <w:id w:val="-46420071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rPr>
          <w:rFonts w:hint="eastAsia"/>
        </w:rPr>
        <w:t xml:space="preserve">  币种：</w:t>
      </w:r>
      <w:sdt>
        <w:sdtPr>
          <w:rPr>
            <w:rFonts w:hint="eastAsia"/>
          </w:rPr>
          <w:alias w:val="币种：财务附注：其他非流动资产"/>
          <w:tag w:val="_GBC_b449fdd4941b4ff8a1bda3449b257e1d"/>
          <w:id w:val="4982431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122"/>
        <w:gridCol w:w="1958"/>
        <w:gridCol w:w="1957"/>
        <w:gridCol w:w="1957"/>
        <w:gridCol w:w="1957"/>
        <w:gridCol w:w="1957"/>
        <w:gridCol w:w="1955"/>
      </w:tblGrid>
      <w:tr w14:paraId="7F62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szCs w:val="21"/>
            </w:rPr>
            <w:tag w:val="_PLD_2b90e6e62acc45b288941c3eec3d8d88"/>
            <w:id w:val="424776572"/>
          </w:sdtPr>
          <w:sdtEndPr>
            <w:rPr>
              <w:rFonts w:ascii="Arial Narrow" w:hAnsi="Arial Narrow" w:eastAsiaTheme="minorEastAsia"/>
              <w:szCs w:val="21"/>
            </w:rPr>
          </w:sdtEndPr>
          <w:sdtContent>
            <w:tc>
              <w:tcPr>
                <w:tcW w:w="765" w:type="pct"/>
                <w:vMerge w:val="restart"/>
                <w:shd w:val="clear" w:color="auto" w:fill="auto"/>
                <w:vAlign w:val="center"/>
              </w:tcPr>
              <w:p w14:paraId="7D3EFF07">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bb07270ad4df4c0f94d4e0af019ab46c"/>
            <w:id w:val="1447428897"/>
          </w:sdtPr>
          <w:sdtEndPr>
            <w:rPr>
              <w:rFonts w:ascii="Arial Narrow" w:hAnsi="Arial Narrow" w:eastAsiaTheme="minorEastAsia"/>
              <w:szCs w:val="21"/>
            </w:rPr>
          </w:sdtEndPr>
          <w:sdtContent>
            <w:tc>
              <w:tcPr>
                <w:tcW w:w="2118" w:type="pct"/>
                <w:gridSpan w:val="3"/>
              </w:tcPr>
              <w:p w14:paraId="74CAAEB2">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7a3b43a9fc7d404ca5a79aa8f44f7452"/>
            <w:id w:val="1173912827"/>
          </w:sdtPr>
          <w:sdtEndPr>
            <w:rPr>
              <w:rFonts w:ascii="Arial Narrow" w:hAnsi="Arial Narrow" w:eastAsiaTheme="minorEastAsia"/>
              <w:szCs w:val="21"/>
            </w:rPr>
          </w:sdtEndPr>
          <w:sdtContent>
            <w:tc>
              <w:tcPr>
                <w:tcW w:w="2117" w:type="pct"/>
                <w:gridSpan w:val="3"/>
              </w:tcPr>
              <w:p w14:paraId="1E9CC5F2">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2269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vMerge w:val="continue"/>
            <w:shd w:val="clear" w:color="auto" w:fill="auto"/>
            <w:vAlign w:val="center"/>
          </w:tcPr>
          <w:p w14:paraId="05F9C942">
            <w:pPr>
              <w:jc w:val="center"/>
              <w:rPr>
                <w:rFonts w:ascii="Arial Narrow" w:hAnsi="Arial Narrow" w:eastAsiaTheme="minorEastAsia"/>
                <w:szCs w:val="21"/>
              </w:rPr>
            </w:pPr>
          </w:p>
        </w:tc>
        <w:tc>
          <w:tcPr>
            <w:tcW w:w="706" w:type="pct"/>
          </w:tcPr>
          <w:sdt>
            <w:sdtPr>
              <w:rPr>
                <w:rFonts w:ascii="Arial Narrow" w:hAnsi="Arial Narrow" w:eastAsiaTheme="minorEastAsia"/>
                <w:szCs w:val="21"/>
              </w:rPr>
              <w:tag w:val="_PLD_eaca5bccdac9417999d4d9af7ad1eefe"/>
              <w:id w:val="395643355"/>
            </w:sdtPr>
            <w:sdtEndPr>
              <w:rPr>
                <w:rFonts w:ascii="Arial Narrow" w:hAnsi="Arial Narrow" w:eastAsiaTheme="minorEastAsia"/>
                <w:szCs w:val="21"/>
              </w:rPr>
            </w:sdtEndPr>
            <w:sdtContent>
              <w:p w14:paraId="5AAA958F">
                <w:pPr>
                  <w:jc w:val="center"/>
                  <w:rPr>
                    <w:rFonts w:ascii="Arial Narrow" w:hAnsi="Arial Narrow" w:eastAsiaTheme="minorEastAsia"/>
                    <w:szCs w:val="21"/>
                  </w:rPr>
                </w:pPr>
                <w:r>
                  <w:rPr>
                    <w:rFonts w:ascii="Arial Narrow" w:hAnsi="Arial Narrow" w:eastAsiaTheme="minorEastAsia"/>
                    <w:szCs w:val="21"/>
                  </w:rPr>
                  <w:t>账面余额</w:t>
                </w:r>
              </w:p>
            </w:sdtContent>
          </w:sdt>
        </w:tc>
        <w:tc>
          <w:tcPr>
            <w:tcW w:w="706" w:type="pct"/>
          </w:tcPr>
          <w:sdt>
            <w:sdtPr>
              <w:rPr>
                <w:rFonts w:ascii="Arial Narrow" w:hAnsi="Arial Narrow" w:eastAsiaTheme="minorEastAsia"/>
                <w:szCs w:val="21"/>
              </w:rPr>
              <w:tag w:val="_PLD_b913601a6f0c496ba876b57f7e93b40e"/>
              <w:id w:val="1870565460"/>
            </w:sdtPr>
            <w:sdtEndPr>
              <w:rPr>
                <w:rFonts w:ascii="Arial Narrow" w:hAnsi="Arial Narrow" w:eastAsiaTheme="minorEastAsia"/>
                <w:szCs w:val="21"/>
              </w:rPr>
            </w:sdtEndPr>
            <w:sdtContent>
              <w:p w14:paraId="5D386BB6">
                <w:pPr>
                  <w:jc w:val="center"/>
                  <w:rPr>
                    <w:rFonts w:ascii="Arial Narrow" w:hAnsi="Arial Narrow" w:eastAsiaTheme="minorEastAsia"/>
                    <w:szCs w:val="21"/>
                  </w:rPr>
                </w:pPr>
                <w:r>
                  <w:rPr>
                    <w:rFonts w:ascii="Arial Narrow" w:hAnsi="Arial Narrow" w:eastAsiaTheme="minorEastAsia"/>
                    <w:szCs w:val="21"/>
                  </w:rPr>
                  <w:t>减值准备</w:t>
                </w:r>
              </w:p>
            </w:sdtContent>
          </w:sdt>
        </w:tc>
        <w:tc>
          <w:tcPr>
            <w:tcW w:w="706" w:type="pct"/>
            <w:shd w:val="clear" w:color="auto" w:fill="auto"/>
            <w:vAlign w:val="center"/>
          </w:tcPr>
          <w:sdt>
            <w:sdtPr>
              <w:rPr>
                <w:rFonts w:ascii="Arial Narrow" w:hAnsi="Arial Narrow" w:eastAsiaTheme="minorEastAsia"/>
                <w:szCs w:val="21"/>
              </w:rPr>
              <w:tag w:val="_PLD_22318356783c413ba8286ddb8d1cda63"/>
              <w:id w:val="1342740592"/>
            </w:sdtPr>
            <w:sdtEndPr>
              <w:rPr>
                <w:rFonts w:ascii="Arial Narrow" w:hAnsi="Arial Narrow" w:eastAsiaTheme="minorEastAsia"/>
                <w:szCs w:val="21"/>
              </w:rPr>
            </w:sdtEndPr>
            <w:sdtContent>
              <w:p w14:paraId="5888FA03">
                <w:pPr>
                  <w:jc w:val="center"/>
                  <w:rPr>
                    <w:rFonts w:ascii="Arial Narrow" w:hAnsi="Arial Narrow" w:eastAsiaTheme="minorEastAsia"/>
                    <w:szCs w:val="21"/>
                  </w:rPr>
                </w:pPr>
                <w:r>
                  <w:rPr>
                    <w:rFonts w:ascii="Arial Narrow" w:hAnsi="Arial Narrow" w:eastAsiaTheme="minorEastAsia"/>
                    <w:szCs w:val="21"/>
                  </w:rPr>
                  <w:t>账面价值</w:t>
                </w:r>
              </w:p>
            </w:sdtContent>
          </w:sdt>
        </w:tc>
        <w:tc>
          <w:tcPr>
            <w:tcW w:w="706" w:type="pct"/>
          </w:tcPr>
          <w:sdt>
            <w:sdtPr>
              <w:rPr>
                <w:rFonts w:ascii="Arial Narrow" w:hAnsi="Arial Narrow" w:eastAsiaTheme="minorEastAsia"/>
                <w:szCs w:val="21"/>
              </w:rPr>
              <w:tag w:val="_PLD_0c6f94cdfaf1457fa98b2252d3b39131"/>
              <w:id w:val="1730885327"/>
            </w:sdtPr>
            <w:sdtEndPr>
              <w:rPr>
                <w:rFonts w:ascii="Arial Narrow" w:hAnsi="Arial Narrow" w:eastAsiaTheme="minorEastAsia"/>
                <w:szCs w:val="21"/>
              </w:rPr>
            </w:sdtEndPr>
            <w:sdtContent>
              <w:p w14:paraId="19EC1737">
                <w:pPr>
                  <w:jc w:val="center"/>
                  <w:rPr>
                    <w:rFonts w:ascii="Arial Narrow" w:hAnsi="Arial Narrow" w:eastAsiaTheme="minorEastAsia"/>
                    <w:szCs w:val="21"/>
                  </w:rPr>
                </w:pPr>
                <w:r>
                  <w:rPr>
                    <w:rFonts w:ascii="Arial Narrow" w:hAnsi="Arial Narrow" w:eastAsiaTheme="minorEastAsia"/>
                    <w:szCs w:val="21"/>
                  </w:rPr>
                  <w:t>账面余额</w:t>
                </w:r>
              </w:p>
            </w:sdtContent>
          </w:sdt>
        </w:tc>
        <w:tc>
          <w:tcPr>
            <w:tcW w:w="706" w:type="pct"/>
          </w:tcPr>
          <w:sdt>
            <w:sdtPr>
              <w:rPr>
                <w:rFonts w:ascii="Arial Narrow" w:hAnsi="Arial Narrow" w:eastAsiaTheme="minorEastAsia"/>
                <w:szCs w:val="21"/>
              </w:rPr>
              <w:tag w:val="_PLD_9d7969af67514b9e93b62156119189b9"/>
              <w:id w:val="-230854963"/>
            </w:sdtPr>
            <w:sdtEndPr>
              <w:rPr>
                <w:rFonts w:ascii="Arial Narrow" w:hAnsi="Arial Narrow" w:eastAsiaTheme="minorEastAsia"/>
                <w:szCs w:val="21"/>
              </w:rPr>
            </w:sdtEndPr>
            <w:sdtContent>
              <w:p w14:paraId="11434F75">
                <w:pPr>
                  <w:jc w:val="center"/>
                  <w:rPr>
                    <w:rFonts w:ascii="Arial Narrow" w:hAnsi="Arial Narrow" w:eastAsiaTheme="minorEastAsia"/>
                    <w:szCs w:val="21"/>
                  </w:rPr>
                </w:pPr>
                <w:r>
                  <w:rPr>
                    <w:rFonts w:ascii="Arial Narrow" w:hAnsi="Arial Narrow" w:eastAsiaTheme="minorEastAsia"/>
                    <w:szCs w:val="21"/>
                  </w:rPr>
                  <w:t>减值准备</w:t>
                </w:r>
              </w:p>
            </w:sdtContent>
          </w:sdt>
        </w:tc>
        <w:tc>
          <w:tcPr>
            <w:tcW w:w="705" w:type="pct"/>
            <w:shd w:val="clear" w:color="auto" w:fill="auto"/>
            <w:vAlign w:val="center"/>
          </w:tcPr>
          <w:sdt>
            <w:sdtPr>
              <w:rPr>
                <w:rFonts w:ascii="Arial Narrow" w:hAnsi="Arial Narrow" w:eastAsiaTheme="minorEastAsia"/>
                <w:szCs w:val="21"/>
              </w:rPr>
              <w:tag w:val="_PLD_9c8736640ddf4dc897f3c30fb690ab09"/>
              <w:id w:val="-101194366"/>
            </w:sdtPr>
            <w:sdtEndPr>
              <w:rPr>
                <w:rFonts w:ascii="Arial Narrow" w:hAnsi="Arial Narrow" w:eastAsiaTheme="minorEastAsia"/>
                <w:szCs w:val="21"/>
              </w:rPr>
            </w:sdtEndPr>
            <w:sdtContent>
              <w:p w14:paraId="5E4BF100">
                <w:pPr>
                  <w:jc w:val="center"/>
                  <w:rPr>
                    <w:rFonts w:ascii="Arial Narrow" w:hAnsi="Arial Narrow" w:eastAsiaTheme="minorEastAsia"/>
                    <w:szCs w:val="21"/>
                  </w:rPr>
                </w:pPr>
                <w:r>
                  <w:rPr>
                    <w:rFonts w:ascii="Arial Narrow" w:hAnsi="Arial Narrow" w:eastAsiaTheme="minorEastAsia"/>
                    <w:szCs w:val="21"/>
                  </w:rPr>
                  <w:t>账面价值</w:t>
                </w:r>
              </w:p>
            </w:sdtContent>
          </w:sdt>
        </w:tc>
      </w:tr>
      <w:tr w14:paraId="7B4E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shd w:val="clear" w:color="auto" w:fill="auto"/>
            <w:vAlign w:val="center"/>
          </w:tcPr>
          <w:p w14:paraId="4494A9FF">
            <w:pPr>
              <w:jc w:val="both"/>
              <w:rPr>
                <w:rFonts w:ascii="Arial Narrow" w:hAnsi="Arial Narrow" w:eastAsiaTheme="minorEastAsia"/>
                <w:szCs w:val="21"/>
              </w:rPr>
            </w:pPr>
            <w:r>
              <w:rPr>
                <w:rFonts w:ascii="Arial Narrow" w:hAnsi="Arial Narrow" w:eastAsiaTheme="minorEastAsia"/>
                <w:color w:val="000000"/>
                <w:szCs w:val="21"/>
              </w:rPr>
              <w:t>预付土地出让金</w:t>
            </w:r>
          </w:p>
        </w:tc>
        <w:tc>
          <w:tcPr>
            <w:tcW w:w="706" w:type="pct"/>
            <w:vAlign w:val="center"/>
          </w:tcPr>
          <w:p w14:paraId="164A73FB">
            <w:pPr>
              <w:jc w:val="right"/>
              <w:rPr>
                <w:rFonts w:ascii="Arial Narrow" w:hAnsi="Arial Narrow" w:eastAsiaTheme="minorEastAsia"/>
                <w:szCs w:val="21"/>
              </w:rPr>
            </w:pPr>
            <w:r>
              <w:rPr>
                <w:rFonts w:ascii="Arial Narrow" w:hAnsi="Arial Narrow" w:eastAsiaTheme="minorEastAsia"/>
                <w:color w:val="000000"/>
                <w:szCs w:val="21"/>
              </w:rPr>
              <w:t>4,226,176.00</w:t>
            </w:r>
          </w:p>
        </w:tc>
        <w:tc>
          <w:tcPr>
            <w:tcW w:w="706" w:type="pct"/>
            <w:vAlign w:val="center"/>
          </w:tcPr>
          <w:p w14:paraId="41501D94">
            <w:pPr>
              <w:jc w:val="right"/>
              <w:rPr>
                <w:rFonts w:ascii="Arial Narrow" w:hAnsi="Arial Narrow" w:eastAsiaTheme="minorEastAsia"/>
                <w:szCs w:val="21"/>
              </w:rPr>
            </w:pPr>
          </w:p>
        </w:tc>
        <w:tc>
          <w:tcPr>
            <w:tcW w:w="706" w:type="pct"/>
            <w:shd w:val="clear" w:color="auto" w:fill="auto"/>
            <w:vAlign w:val="center"/>
          </w:tcPr>
          <w:p w14:paraId="398B95DA">
            <w:pPr>
              <w:jc w:val="right"/>
              <w:rPr>
                <w:rFonts w:ascii="Arial Narrow" w:hAnsi="Arial Narrow" w:eastAsiaTheme="minorEastAsia"/>
                <w:szCs w:val="21"/>
              </w:rPr>
            </w:pPr>
            <w:r>
              <w:rPr>
                <w:rFonts w:ascii="Arial Narrow" w:hAnsi="Arial Narrow" w:eastAsiaTheme="minorEastAsia"/>
                <w:color w:val="000000"/>
                <w:szCs w:val="21"/>
              </w:rPr>
              <w:t>4,226,176.00</w:t>
            </w:r>
          </w:p>
        </w:tc>
        <w:tc>
          <w:tcPr>
            <w:tcW w:w="706" w:type="pct"/>
            <w:vAlign w:val="center"/>
          </w:tcPr>
          <w:p w14:paraId="3B0092EE">
            <w:pPr>
              <w:jc w:val="right"/>
              <w:rPr>
                <w:rFonts w:ascii="Arial Narrow" w:hAnsi="Arial Narrow" w:eastAsiaTheme="minorEastAsia"/>
                <w:szCs w:val="21"/>
              </w:rPr>
            </w:pPr>
            <w:r>
              <w:rPr>
                <w:rFonts w:ascii="Arial Narrow" w:hAnsi="Arial Narrow" w:eastAsiaTheme="minorEastAsia"/>
                <w:color w:val="000000"/>
                <w:szCs w:val="21"/>
              </w:rPr>
              <w:t>14,226,176.00</w:t>
            </w:r>
          </w:p>
        </w:tc>
        <w:tc>
          <w:tcPr>
            <w:tcW w:w="706" w:type="pct"/>
            <w:vAlign w:val="center"/>
          </w:tcPr>
          <w:p w14:paraId="201179EC">
            <w:pPr>
              <w:jc w:val="right"/>
              <w:rPr>
                <w:rFonts w:ascii="Arial Narrow" w:hAnsi="Arial Narrow" w:eastAsiaTheme="minorEastAsia"/>
                <w:szCs w:val="21"/>
              </w:rPr>
            </w:pPr>
          </w:p>
        </w:tc>
        <w:tc>
          <w:tcPr>
            <w:tcW w:w="705" w:type="pct"/>
            <w:shd w:val="clear" w:color="auto" w:fill="auto"/>
            <w:vAlign w:val="center"/>
          </w:tcPr>
          <w:p w14:paraId="597F14D2">
            <w:pPr>
              <w:jc w:val="right"/>
              <w:rPr>
                <w:rFonts w:ascii="Arial Narrow" w:hAnsi="Arial Narrow" w:eastAsiaTheme="minorEastAsia"/>
                <w:szCs w:val="21"/>
              </w:rPr>
            </w:pPr>
            <w:r>
              <w:rPr>
                <w:rFonts w:ascii="Arial Narrow" w:hAnsi="Arial Narrow" w:eastAsiaTheme="minorEastAsia"/>
                <w:color w:val="000000"/>
                <w:szCs w:val="21"/>
              </w:rPr>
              <w:t>14,226,176.00</w:t>
            </w:r>
          </w:p>
        </w:tc>
      </w:tr>
      <w:tr w14:paraId="1D54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shd w:val="clear" w:color="auto" w:fill="auto"/>
            <w:vAlign w:val="center"/>
          </w:tcPr>
          <w:p w14:paraId="1212F3F4">
            <w:pPr>
              <w:jc w:val="both"/>
              <w:rPr>
                <w:rFonts w:ascii="Arial Narrow" w:hAnsi="Arial Narrow" w:eastAsiaTheme="minorEastAsia"/>
                <w:szCs w:val="21"/>
              </w:rPr>
            </w:pPr>
            <w:r>
              <w:rPr>
                <w:rFonts w:ascii="Arial Narrow" w:hAnsi="Arial Narrow" w:eastAsiaTheme="minorEastAsia"/>
                <w:color w:val="000000"/>
                <w:szCs w:val="21"/>
              </w:rPr>
              <w:t>预付工程、设备款</w:t>
            </w:r>
          </w:p>
        </w:tc>
        <w:tc>
          <w:tcPr>
            <w:tcW w:w="706" w:type="pct"/>
            <w:vAlign w:val="center"/>
          </w:tcPr>
          <w:p w14:paraId="7C25A231">
            <w:pPr>
              <w:jc w:val="right"/>
              <w:rPr>
                <w:rFonts w:ascii="Arial Narrow" w:hAnsi="Arial Narrow" w:eastAsiaTheme="minorEastAsia"/>
                <w:szCs w:val="21"/>
                <w:highlight w:val="cyan"/>
              </w:rPr>
            </w:pPr>
            <w:r>
              <w:rPr>
                <w:rFonts w:ascii="Arial Narrow" w:hAnsi="Arial Narrow" w:eastAsiaTheme="minorEastAsia"/>
                <w:color w:val="000000"/>
                <w:szCs w:val="21"/>
              </w:rPr>
              <w:t>71,265,929.05</w:t>
            </w:r>
          </w:p>
        </w:tc>
        <w:tc>
          <w:tcPr>
            <w:tcW w:w="706" w:type="pct"/>
            <w:vAlign w:val="center"/>
          </w:tcPr>
          <w:p w14:paraId="4ACC27BD">
            <w:pPr>
              <w:jc w:val="right"/>
              <w:rPr>
                <w:rFonts w:ascii="Arial Narrow" w:hAnsi="Arial Narrow" w:eastAsiaTheme="minorEastAsia"/>
                <w:szCs w:val="21"/>
                <w:highlight w:val="cyan"/>
              </w:rPr>
            </w:pPr>
          </w:p>
        </w:tc>
        <w:tc>
          <w:tcPr>
            <w:tcW w:w="706" w:type="pct"/>
            <w:shd w:val="clear" w:color="auto" w:fill="auto"/>
            <w:vAlign w:val="center"/>
          </w:tcPr>
          <w:p w14:paraId="151D53E8">
            <w:pPr>
              <w:jc w:val="right"/>
              <w:rPr>
                <w:rFonts w:ascii="Arial Narrow" w:hAnsi="Arial Narrow" w:eastAsiaTheme="minorEastAsia"/>
                <w:szCs w:val="21"/>
                <w:highlight w:val="cyan"/>
              </w:rPr>
            </w:pPr>
            <w:r>
              <w:rPr>
                <w:rFonts w:ascii="Arial Narrow" w:hAnsi="Arial Narrow" w:eastAsiaTheme="minorEastAsia"/>
                <w:color w:val="000000"/>
                <w:szCs w:val="21"/>
              </w:rPr>
              <w:t>71,265,929.05</w:t>
            </w:r>
          </w:p>
        </w:tc>
        <w:tc>
          <w:tcPr>
            <w:tcW w:w="706" w:type="pct"/>
            <w:vAlign w:val="center"/>
          </w:tcPr>
          <w:p w14:paraId="2128A162">
            <w:pPr>
              <w:jc w:val="right"/>
              <w:rPr>
                <w:rFonts w:ascii="Arial Narrow" w:hAnsi="Arial Narrow" w:eastAsiaTheme="minorEastAsia"/>
                <w:szCs w:val="21"/>
                <w:highlight w:val="cyan"/>
              </w:rPr>
            </w:pPr>
            <w:r>
              <w:rPr>
                <w:rFonts w:ascii="Arial Narrow" w:hAnsi="Arial Narrow" w:eastAsiaTheme="minorEastAsia"/>
                <w:color w:val="000000"/>
                <w:szCs w:val="21"/>
              </w:rPr>
              <w:t>209,239,599.01</w:t>
            </w:r>
          </w:p>
        </w:tc>
        <w:tc>
          <w:tcPr>
            <w:tcW w:w="706" w:type="pct"/>
            <w:vAlign w:val="center"/>
          </w:tcPr>
          <w:p w14:paraId="2EC3E5A0">
            <w:pPr>
              <w:jc w:val="right"/>
              <w:rPr>
                <w:rFonts w:ascii="Arial Narrow" w:hAnsi="Arial Narrow" w:eastAsiaTheme="minorEastAsia"/>
                <w:szCs w:val="21"/>
                <w:highlight w:val="cyan"/>
              </w:rPr>
            </w:pPr>
          </w:p>
        </w:tc>
        <w:tc>
          <w:tcPr>
            <w:tcW w:w="705" w:type="pct"/>
            <w:shd w:val="clear" w:color="auto" w:fill="auto"/>
            <w:vAlign w:val="center"/>
          </w:tcPr>
          <w:p w14:paraId="2C4CE75E">
            <w:pPr>
              <w:jc w:val="right"/>
              <w:rPr>
                <w:rFonts w:ascii="Arial Narrow" w:hAnsi="Arial Narrow" w:eastAsiaTheme="minorEastAsia"/>
                <w:szCs w:val="21"/>
                <w:highlight w:val="cyan"/>
              </w:rPr>
            </w:pPr>
            <w:r>
              <w:rPr>
                <w:rFonts w:ascii="Arial Narrow" w:hAnsi="Arial Narrow" w:eastAsiaTheme="minorEastAsia"/>
                <w:color w:val="000000"/>
                <w:szCs w:val="21"/>
              </w:rPr>
              <w:t>209,239,599.01</w:t>
            </w:r>
          </w:p>
        </w:tc>
      </w:tr>
      <w:tr w14:paraId="2564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shd w:val="clear" w:color="auto" w:fill="auto"/>
            <w:vAlign w:val="center"/>
          </w:tcPr>
          <w:p w14:paraId="5B9B6AFE">
            <w:pPr>
              <w:jc w:val="both"/>
              <w:rPr>
                <w:rFonts w:ascii="Arial Narrow" w:hAnsi="Arial Narrow" w:eastAsiaTheme="minorEastAsia"/>
                <w:szCs w:val="21"/>
              </w:rPr>
            </w:pPr>
            <w:r>
              <w:rPr>
                <w:rFonts w:ascii="Arial Narrow" w:hAnsi="Arial Narrow" w:eastAsiaTheme="minorEastAsia"/>
                <w:color w:val="000000"/>
                <w:szCs w:val="21"/>
              </w:rPr>
              <w:t>兰州土地事项</w:t>
            </w:r>
          </w:p>
        </w:tc>
        <w:tc>
          <w:tcPr>
            <w:tcW w:w="706" w:type="pct"/>
            <w:vAlign w:val="center"/>
          </w:tcPr>
          <w:p w14:paraId="74648C54">
            <w:pPr>
              <w:jc w:val="right"/>
              <w:rPr>
                <w:rFonts w:ascii="Arial Narrow" w:hAnsi="Arial Narrow" w:eastAsiaTheme="minorEastAsia"/>
                <w:szCs w:val="21"/>
                <w:highlight w:val="cyan"/>
              </w:rPr>
            </w:pPr>
            <w:r>
              <w:rPr>
                <w:rFonts w:ascii="Arial Narrow" w:hAnsi="Arial Narrow" w:eastAsiaTheme="minorEastAsia"/>
                <w:color w:val="000000"/>
                <w:szCs w:val="21"/>
              </w:rPr>
              <w:t>865,000,000.00</w:t>
            </w:r>
          </w:p>
        </w:tc>
        <w:tc>
          <w:tcPr>
            <w:tcW w:w="706" w:type="pct"/>
            <w:vAlign w:val="center"/>
          </w:tcPr>
          <w:p w14:paraId="50686E99">
            <w:pPr>
              <w:jc w:val="right"/>
              <w:rPr>
                <w:rFonts w:ascii="Arial Narrow" w:hAnsi="Arial Narrow" w:eastAsiaTheme="minorEastAsia"/>
                <w:szCs w:val="21"/>
                <w:highlight w:val="cyan"/>
              </w:rPr>
            </w:pPr>
            <w:r>
              <w:rPr>
                <w:rFonts w:ascii="Arial Narrow" w:hAnsi="Arial Narrow" w:eastAsiaTheme="minorEastAsia"/>
                <w:color w:val="000000"/>
                <w:szCs w:val="21"/>
              </w:rPr>
              <w:t>142,541,927.91</w:t>
            </w:r>
          </w:p>
        </w:tc>
        <w:tc>
          <w:tcPr>
            <w:tcW w:w="706" w:type="pct"/>
            <w:shd w:val="clear" w:color="auto" w:fill="auto"/>
            <w:vAlign w:val="center"/>
          </w:tcPr>
          <w:p w14:paraId="5167B5A1">
            <w:pPr>
              <w:jc w:val="right"/>
              <w:rPr>
                <w:rFonts w:ascii="Arial Narrow" w:hAnsi="Arial Narrow" w:eastAsiaTheme="minorEastAsia"/>
                <w:szCs w:val="21"/>
                <w:highlight w:val="cyan"/>
              </w:rPr>
            </w:pPr>
            <w:r>
              <w:rPr>
                <w:rFonts w:ascii="Arial Narrow" w:hAnsi="Arial Narrow" w:eastAsiaTheme="minorEastAsia"/>
                <w:color w:val="000000"/>
                <w:szCs w:val="21"/>
              </w:rPr>
              <w:t>722,458,072.09</w:t>
            </w:r>
          </w:p>
        </w:tc>
        <w:tc>
          <w:tcPr>
            <w:tcW w:w="706" w:type="pct"/>
            <w:vAlign w:val="center"/>
          </w:tcPr>
          <w:p w14:paraId="12AFB75C">
            <w:pPr>
              <w:jc w:val="right"/>
              <w:rPr>
                <w:rFonts w:ascii="Arial Narrow" w:hAnsi="Arial Narrow" w:eastAsiaTheme="minorEastAsia"/>
                <w:szCs w:val="21"/>
                <w:highlight w:val="cyan"/>
              </w:rPr>
            </w:pPr>
            <w:r>
              <w:rPr>
                <w:rFonts w:ascii="Arial Narrow" w:hAnsi="Arial Narrow" w:eastAsiaTheme="minorEastAsia"/>
                <w:color w:val="000000"/>
                <w:szCs w:val="21"/>
              </w:rPr>
              <w:t>865,000,000.00</w:t>
            </w:r>
          </w:p>
        </w:tc>
        <w:tc>
          <w:tcPr>
            <w:tcW w:w="706" w:type="pct"/>
            <w:vAlign w:val="center"/>
          </w:tcPr>
          <w:p w14:paraId="7A19FE0A">
            <w:pPr>
              <w:jc w:val="right"/>
              <w:rPr>
                <w:rFonts w:ascii="Arial Narrow" w:hAnsi="Arial Narrow" w:eastAsiaTheme="minorEastAsia"/>
                <w:szCs w:val="21"/>
                <w:highlight w:val="cyan"/>
              </w:rPr>
            </w:pPr>
            <w:r>
              <w:rPr>
                <w:rFonts w:ascii="Arial Narrow" w:hAnsi="Arial Narrow" w:eastAsiaTheme="minorEastAsia"/>
                <w:color w:val="000000"/>
                <w:szCs w:val="21"/>
              </w:rPr>
              <w:t>38,560,057.89</w:t>
            </w:r>
          </w:p>
        </w:tc>
        <w:tc>
          <w:tcPr>
            <w:tcW w:w="705" w:type="pct"/>
            <w:shd w:val="clear" w:color="auto" w:fill="auto"/>
            <w:vAlign w:val="center"/>
          </w:tcPr>
          <w:p w14:paraId="5233B99F">
            <w:pPr>
              <w:jc w:val="right"/>
              <w:rPr>
                <w:rFonts w:ascii="Arial Narrow" w:hAnsi="Arial Narrow" w:eastAsiaTheme="minorEastAsia"/>
                <w:szCs w:val="21"/>
                <w:highlight w:val="cyan"/>
              </w:rPr>
            </w:pPr>
            <w:r>
              <w:rPr>
                <w:rFonts w:ascii="Arial Narrow" w:hAnsi="Arial Narrow" w:eastAsiaTheme="minorEastAsia"/>
                <w:color w:val="000000"/>
                <w:szCs w:val="21"/>
              </w:rPr>
              <w:t>826,439,942.11</w:t>
            </w:r>
          </w:p>
        </w:tc>
      </w:tr>
      <w:tr w14:paraId="409B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shd w:val="clear" w:color="auto" w:fill="auto"/>
            <w:vAlign w:val="center"/>
          </w:tcPr>
          <w:p w14:paraId="2B5E73B9">
            <w:pPr>
              <w:jc w:val="both"/>
              <w:rPr>
                <w:rFonts w:ascii="Arial Narrow" w:hAnsi="Arial Narrow" w:eastAsiaTheme="minorEastAsia"/>
                <w:szCs w:val="21"/>
              </w:rPr>
            </w:pPr>
            <w:r>
              <w:rPr>
                <w:rFonts w:ascii="Arial Narrow" w:hAnsi="Arial Narrow" w:eastAsiaTheme="minorEastAsia"/>
                <w:color w:val="000000"/>
                <w:szCs w:val="21"/>
              </w:rPr>
              <w:t>其他</w:t>
            </w:r>
          </w:p>
        </w:tc>
        <w:tc>
          <w:tcPr>
            <w:tcW w:w="706" w:type="pct"/>
            <w:vAlign w:val="center"/>
          </w:tcPr>
          <w:p w14:paraId="618A37BA">
            <w:pPr>
              <w:jc w:val="right"/>
              <w:rPr>
                <w:rFonts w:ascii="Arial Narrow" w:hAnsi="Arial Narrow" w:eastAsiaTheme="minorEastAsia"/>
                <w:szCs w:val="21"/>
              </w:rPr>
            </w:pPr>
          </w:p>
        </w:tc>
        <w:tc>
          <w:tcPr>
            <w:tcW w:w="706" w:type="pct"/>
            <w:vAlign w:val="center"/>
          </w:tcPr>
          <w:p w14:paraId="0E88CB44">
            <w:pPr>
              <w:jc w:val="right"/>
              <w:rPr>
                <w:rFonts w:ascii="Arial Narrow" w:hAnsi="Arial Narrow" w:eastAsiaTheme="minorEastAsia"/>
                <w:szCs w:val="21"/>
              </w:rPr>
            </w:pPr>
          </w:p>
        </w:tc>
        <w:tc>
          <w:tcPr>
            <w:tcW w:w="706" w:type="pct"/>
            <w:shd w:val="clear" w:color="auto" w:fill="auto"/>
            <w:vAlign w:val="center"/>
          </w:tcPr>
          <w:p w14:paraId="30EAAA60">
            <w:pPr>
              <w:jc w:val="right"/>
              <w:rPr>
                <w:rFonts w:ascii="Arial Narrow" w:hAnsi="Arial Narrow" w:eastAsiaTheme="minorEastAsia"/>
                <w:szCs w:val="21"/>
              </w:rPr>
            </w:pPr>
          </w:p>
        </w:tc>
        <w:tc>
          <w:tcPr>
            <w:tcW w:w="706" w:type="pct"/>
            <w:vAlign w:val="center"/>
          </w:tcPr>
          <w:p w14:paraId="3596E0F8">
            <w:pPr>
              <w:jc w:val="right"/>
              <w:rPr>
                <w:rFonts w:ascii="Arial Narrow" w:hAnsi="Arial Narrow" w:eastAsiaTheme="minorEastAsia"/>
                <w:szCs w:val="21"/>
              </w:rPr>
            </w:pPr>
            <w:r>
              <w:rPr>
                <w:rFonts w:ascii="Arial Narrow" w:hAnsi="Arial Narrow" w:eastAsiaTheme="minorEastAsia"/>
                <w:color w:val="000000"/>
                <w:szCs w:val="21"/>
              </w:rPr>
              <w:t>18,900.00</w:t>
            </w:r>
          </w:p>
        </w:tc>
        <w:tc>
          <w:tcPr>
            <w:tcW w:w="706" w:type="pct"/>
            <w:vAlign w:val="center"/>
          </w:tcPr>
          <w:p w14:paraId="7841577E">
            <w:pPr>
              <w:jc w:val="right"/>
              <w:rPr>
                <w:rFonts w:ascii="Arial Narrow" w:hAnsi="Arial Narrow" w:eastAsiaTheme="minorEastAsia"/>
                <w:szCs w:val="21"/>
              </w:rPr>
            </w:pPr>
          </w:p>
        </w:tc>
        <w:tc>
          <w:tcPr>
            <w:tcW w:w="705" w:type="pct"/>
            <w:shd w:val="clear" w:color="auto" w:fill="auto"/>
            <w:vAlign w:val="center"/>
          </w:tcPr>
          <w:p w14:paraId="7DC66EF6">
            <w:pPr>
              <w:jc w:val="right"/>
              <w:rPr>
                <w:rFonts w:ascii="Arial Narrow" w:hAnsi="Arial Narrow" w:eastAsiaTheme="minorEastAsia"/>
                <w:szCs w:val="21"/>
              </w:rPr>
            </w:pPr>
            <w:r>
              <w:rPr>
                <w:rFonts w:ascii="Arial Narrow" w:hAnsi="Arial Narrow" w:eastAsiaTheme="minorEastAsia"/>
                <w:color w:val="000000"/>
                <w:szCs w:val="21"/>
              </w:rPr>
              <w:t>18,900.00</w:t>
            </w:r>
          </w:p>
        </w:tc>
      </w:tr>
      <w:tr w14:paraId="201C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65" w:type="pct"/>
            <w:shd w:val="clear" w:color="auto" w:fill="auto"/>
            <w:vAlign w:val="center"/>
          </w:tcPr>
          <w:p w14:paraId="6A5D2709">
            <w:pPr>
              <w:jc w:val="center"/>
              <w:rPr>
                <w:rFonts w:ascii="Arial Narrow" w:hAnsi="Arial Narrow" w:eastAsiaTheme="minorEastAsia"/>
                <w:szCs w:val="21"/>
              </w:rPr>
            </w:pPr>
            <w:r>
              <w:rPr>
                <w:rFonts w:ascii="Arial Narrow" w:hAnsi="Arial Narrow" w:eastAsiaTheme="minorEastAsia"/>
                <w:szCs w:val="21"/>
              </w:rPr>
              <w:t>合计</w:t>
            </w:r>
          </w:p>
        </w:tc>
        <w:tc>
          <w:tcPr>
            <w:tcW w:w="706" w:type="pct"/>
            <w:vAlign w:val="center"/>
          </w:tcPr>
          <w:p w14:paraId="12AF8573">
            <w:pPr>
              <w:jc w:val="right"/>
              <w:rPr>
                <w:rFonts w:ascii="Arial Narrow" w:hAnsi="Arial Narrow" w:eastAsiaTheme="minorEastAsia"/>
                <w:szCs w:val="21"/>
              </w:rPr>
            </w:pPr>
            <w:r>
              <w:rPr>
                <w:rFonts w:ascii="Arial Narrow" w:hAnsi="Arial Narrow" w:eastAsiaTheme="minorEastAsia"/>
                <w:color w:val="000000"/>
                <w:szCs w:val="21"/>
              </w:rPr>
              <w:t>940,492,105.05</w:t>
            </w:r>
          </w:p>
        </w:tc>
        <w:tc>
          <w:tcPr>
            <w:tcW w:w="706" w:type="pct"/>
            <w:vAlign w:val="center"/>
          </w:tcPr>
          <w:p w14:paraId="729F45F2">
            <w:pPr>
              <w:jc w:val="right"/>
              <w:rPr>
                <w:rFonts w:ascii="Arial Narrow" w:hAnsi="Arial Narrow" w:eastAsiaTheme="minorEastAsia"/>
                <w:szCs w:val="21"/>
              </w:rPr>
            </w:pPr>
            <w:r>
              <w:rPr>
                <w:rFonts w:ascii="Arial Narrow" w:hAnsi="Arial Narrow" w:eastAsiaTheme="minorEastAsia"/>
                <w:color w:val="000000"/>
                <w:szCs w:val="21"/>
              </w:rPr>
              <w:t>142,541,927.91</w:t>
            </w:r>
          </w:p>
        </w:tc>
        <w:tc>
          <w:tcPr>
            <w:tcW w:w="706" w:type="pct"/>
            <w:shd w:val="clear" w:color="auto" w:fill="auto"/>
            <w:vAlign w:val="center"/>
          </w:tcPr>
          <w:p w14:paraId="634B4574">
            <w:pPr>
              <w:jc w:val="right"/>
              <w:rPr>
                <w:rFonts w:ascii="Arial Narrow" w:hAnsi="Arial Narrow" w:eastAsiaTheme="minorEastAsia"/>
                <w:szCs w:val="21"/>
              </w:rPr>
            </w:pPr>
            <w:r>
              <w:rPr>
                <w:rFonts w:ascii="Arial Narrow" w:hAnsi="Arial Narrow" w:eastAsiaTheme="minorEastAsia"/>
                <w:color w:val="000000"/>
                <w:szCs w:val="21"/>
              </w:rPr>
              <w:t>797,950,177.14</w:t>
            </w:r>
          </w:p>
        </w:tc>
        <w:tc>
          <w:tcPr>
            <w:tcW w:w="706" w:type="pct"/>
            <w:vAlign w:val="center"/>
          </w:tcPr>
          <w:p w14:paraId="59B46CBF">
            <w:pPr>
              <w:jc w:val="right"/>
              <w:rPr>
                <w:rFonts w:ascii="Arial Narrow" w:hAnsi="Arial Narrow" w:eastAsiaTheme="minorEastAsia"/>
                <w:szCs w:val="21"/>
              </w:rPr>
            </w:pPr>
            <w:r>
              <w:rPr>
                <w:rFonts w:ascii="Arial Narrow" w:hAnsi="Arial Narrow" w:eastAsiaTheme="minorEastAsia"/>
                <w:color w:val="000000"/>
                <w:szCs w:val="21"/>
              </w:rPr>
              <w:t>1,088,484,675.01</w:t>
            </w:r>
          </w:p>
        </w:tc>
        <w:tc>
          <w:tcPr>
            <w:tcW w:w="706" w:type="pct"/>
            <w:vAlign w:val="center"/>
          </w:tcPr>
          <w:p w14:paraId="79BCD405">
            <w:pPr>
              <w:jc w:val="right"/>
              <w:rPr>
                <w:rFonts w:ascii="Arial Narrow" w:hAnsi="Arial Narrow" w:eastAsiaTheme="minorEastAsia"/>
                <w:szCs w:val="21"/>
              </w:rPr>
            </w:pPr>
            <w:r>
              <w:rPr>
                <w:rFonts w:ascii="Arial Narrow" w:hAnsi="Arial Narrow" w:eastAsiaTheme="minorEastAsia"/>
                <w:color w:val="000000"/>
                <w:szCs w:val="21"/>
              </w:rPr>
              <w:t>38,560,057.89</w:t>
            </w:r>
          </w:p>
        </w:tc>
        <w:tc>
          <w:tcPr>
            <w:tcW w:w="705" w:type="pct"/>
            <w:shd w:val="clear" w:color="auto" w:fill="auto"/>
            <w:vAlign w:val="center"/>
          </w:tcPr>
          <w:p w14:paraId="5C1EAE96">
            <w:pPr>
              <w:jc w:val="right"/>
              <w:rPr>
                <w:rFonts w:ascii="Arial Narrow" w:hAnsi="Arial Narrow" w:eastAsiaTheme="minorEastAsia"/>
                <w:szCs w:val="21"/>
              </w:rPr>
            </w:pPr>
            <w:r>
              <w:rPr>
                <w:rFonts w:ascii="Arial Narrow" w:hAnsi="Arial Narrow" w:eastAsiaTheme="minorEastAsia"/>
                <w:color w:val="000000"/>
                <w:szCs w:val="21"/>
              </w:rPr>
              <w:t>1,049,924,617.12</w:t>
            </w:r>
          </w:p>
        </w:tc>
      </w:tr>
    </w:tbl>
    <w:p w14:paraId="06C7B8F2">
      <w:pPr>
        <w:rPr>
          <w:rFonts w:hint="eastAsia"/>
        </w:rPr>
      </w:pPr>
    </w:p>
    <w:p w14:paraId="370EC799">
      <w:pPr>
        <w:rPr>
          <w:rFonts w:hint="eastAsia"/>
          <w:szCs w:val="21"/>
        </w:rPr>
      </w:pPr>
      <w:r>
        <w:rPr>
          <w:rFonts w:hint="eastAsia"/>
          <w:szCs w:val="21"/>
        </w:rPr>
        <w:t>其他说明：</w:t>
      </w:r>
    </w:p>
    <w:p w14:paraId="4D0C0E73">
      <w:pPr>
        <w:rPr>
          <w:rFonts w:hint="eastAsia"/>
          <w:szCs w:val="21"/>
        </w:rPr>
      </w:pPr>
      <w:sdt>
        <w:sdtPr>
          <w:rPr>
            <w:szCs w:val="21"/>
          </w:rPr>
          <w:alias w:val="其他长期资产的说明"/>
          <w:tag w:val="_GBC_d2d37b97b8df4ba1b7bcbf3e8c04d024"/>
          <w:id w:val="284395589"/>
          <w:placeholder>
            <w:docPart w:val="GBC22222222222222222222222222222"/>
          </w:placeholder>
        </w:sdtPr>
        <w:sdtEndPr>
          <w:rPr>
            <w:szCs w:val="21"/>
          </w:rPr>
        </w:sdtEndPr>
        <w:sdtContent>
          <w:r>
            <w:rPr>
              <w:rFonts w:hint="eastAsia"/>
              <w:szCs w:val="21"/>
            </w:rPr>
            <w:t>无</w:t>
          </w:r>
        </w:sdtContent>
      </w:sdt>
      <w:bookmarkEnd w:id="337"/>
    </w:p>
    <w:p w14:paraId="629331C2">
      <w:pPr>
        <w:rPr>
          <w:rFonts w:hint="eastAsia"/>
          <w:szCs w:val="21"/>
        </w:rPr>
      </w:pPr>
    </w:p>
    <w:p w14:paraId="43E8D377">
      <w:pPr>
        <w:pStyle w:val="70"/>
        <w:numPr>
          <w:ilvl w:val="0"/>
          <w:numId w:val="109"/>
        </w:numPr>
        <w:rPr>
          <w:szCs w:val="21"/>
        </w:rPr>
      </w:pPr>
      <w:bookmarkStart w:id="338" w:name="_Hlk182485605"/>
      <w:r>
        <w:rPr>
          <w:szCs w:val="21"/>
        </w:rPr>
        <w:t>所有权或使用权受限资产</w:t>
      </w:r>
    </w:p>
    <w:sdt>
      <w:sdtPr>
        <w:rPr>
          <w:color w:val="000000" w:themeColor="text1"/>
          <w14:textFill>
            <w14:solidFill>
              <w14:schemeClr w14:val="tx1"/>
            </w14:solidFill>
          </w14:textFill>
        </w:rPr>
        <w:alias w:val="是否适用：所有权或使用权受到限制的资产[双击切换]"/>
        <w:tag w:val="_GBC_f1f6d80d559a42ada65c7a06e1485986"/>
        <w:id w:val="717549402"/>
        <w:placeholder>
          <w:docPart w:val="GBC22222222222222222222222222222"/>
        </w:placeholder>
      </w:sdtPr>
      <w:sdtEndPr>
        <w:rPr>
          <w:color w:val="000000" w:themeColor="text1"/>
          <w14:textFill>
            <w14:solidFill>
              <w14:schemeClr w14:val="tx1"/>
            </w14:solidFill>
          </w14:textFill>
        </w:rPr>
      </w:sdtEndPr>
      <w:sdtContent>
        <w:p w14:paraId="56055CF6">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26CC3651">
      <w:pPr>
        <w:pStyle w:val="109"/>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所有权或使用权受到限制的资产"/>
          <w:tag w:val="_GBC_e246ad9146ff415ca076abb824966967"/>
          <w:id w:val="-13988996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所有权或使用权受到限制的资产"/>
          <w:tag w:val="_GBC_3384ecfbee774a528f8956ac7bda492a"/>
          <w:id w:val="-19072112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701"/>
        <w:gridCol w:w="1843"/>
        <w:gridCol w:w="1275"/>
        <w:gridCol w:w="1701"/>
        <w:gridCol w:w="1560"/>
        <w:gridCol w:w="1559"/>
        <w:gridCol w:w="1131"/>
        <w:gridCol w:w="1680"/>
      </w:tblGrid>
      <w:tr w14:paraId="027D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85915b25a498409faaeec94754cc91ce"/>
            <w:id w:val="-1247725523"/>
          </w:sdtPr>
          <w:sdtEndPr>
            <w:rPr>
              <w:rFonts w:ascii="Arial Narrow" w:hAnsi="Arial Narrow" w:eastAsiaTheme="minorEastAsia"/>
              <w:szCs w:val="21"/>
            </w:rPr>
          </w:sdtEndPr>
          <w:sdtContent>
            <w:tc>
              <w:tcPr>
                <w:tcW w:w="1413" w:type="dxa"/>
                <w:vMerge w:val="restart"/>
                <w:vAlign w:val="center"/>
              </w:tcPr>
              <w:p w14:paraId="034C78F4">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项目</w:t>
                </w:r>
              </w:p>
            </w:tc>
          </w:sdtContent>
        </w:sdt>
        <w:sdt>
          <w:sdtPr>
            <w:rPr>
              <w:rFonts w:ascii="Arial Narrow" w:hAnsi="Arial Narrow" w:eastAsiaTheme="minorEastAsia"/>
              <w:szCs w:val="21"/>
            </w:rPr>
            <w:tag w:val="_PLD_bcba7b22c1f8467fb1ed1a4a9e7f7dae"/>
            <w:id w:val="1707058816"/>
          </w:sdtPr>
          <w:sdtEndPr>
            <w:rPr>
              <w:rFonts w:ascii="Arial Narrow" w:hAnsi="Arial Narrow" w:eastAsiaTheme="minorEastAsia"/>
              <w:szCs w:val="21"/>
            </w:rPr>
          </w:sdtEndPr>
          <w:sdtContent>
            <w:tc>
              <w:tcPr>
                <w:tcW w:w="6520" w:type="dxa"/>
                <w:gridSpan w:val="4"/>
                <w:vAlign w:val="center"/>
              </w:tcPr>
              <w:p w14:paraId="27C8CC9C">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期末</w:t>
                </w:r>
              </w:p>
            </w:tc>
          </w:sdtContent>
        </w:sdt>
        <w:sdt>
          <w:sdtPr>
            <w:rPr>
              <w:rFonts w:ascii="Arial Narrow" w:hAnsi="Arial Narrow" w:eastAsiaTheme="minorEastAsia"/>
              <w:szCs w:val="21"/>
            </w:rPr>
            <w:tag w:val="_PLD_e062301463624f04b097cb249cdb774e"/>
            <w:id w:val="-339850140"/>
          </w:sdtPr>
          <w:sdtEndPr>
            <w:rPr>
              <w:rFonts w:ascii="Arial Narrow" w:hAnsi="Arial Narrow" w:eastAsiaTheme="minorEastAsia"/>
              <w:szCs w:val="21"/>
            </w:rPr>
          </w:sdtEndPr>
          <w:sdtContent>
            <w:tc>
              <w:tcPr>
                <w:tcW w:w="5930" w:type="dxa"/>
                <w:gridSpan w:val="4"/>
                <w:vAlign w:val="center"/>
              </w:tcPr>
              <w:p w14:paraId="5D5E3757">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期初</w:t>
                </w:r>
              </w:p>
            </w:tc>
          </w:sdtContent>
        </w:sdt>
      </w:tr>
      <w:tr w14:paraId="73B8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3" w:type="dxa"/>
            <w:vMerge w:val="continue"/>
          </w:tcPr>
          <w:p w14:paraId="36889683">
            <w:pPr>
              <w:widowControl w:val="0"/>
              <w:jc w:val="both"/>
              <w:rPr>
                <w:rFonts w:ascii="Arial Narrow" w:hAnsi="Arial Narrow" w:eastAsiaTheme="minorEastAsia"/>
                <w:color w:val="000000" w:themeColor="text1"/>
                <w:szCs w:val="21"/>
                <w14:textFill>
                  <w14:solidFill>
                    <w14:schemeClr w14:val="tx1"/>
                  </w14:solidFill>
                </w14:textFill>
              </w:rPr>
            </w:pPr>
          </w:p>
        </w:tc>
        <w:sdt>
          <w:sdtPr>
            <w:rPr>
              <w:rFonts w:ascii="Arial Narrow" w:hAnsi="Arial Narrow" w:eastAsiaTheme="minorEastAsia"/>
              <w:szCs w:val="21"/>
            </w:rPr>
            <w:tag w:val="_PLD_83e681f7f54f4bd9bfe88e1c973e1b43"/>
            <w:id w:val="-629018751"/>
          </w:sdtPr>
          <w:sdtEndPr>
            <w:rPr>
              <w:rFonts w:ascii="Arial Narrow" w:hAnsi="Arial Narrow" w:eastAsiaTheme="minorEastAsia"/>
              <w:szCs w:val="21"/>
            </w:rPr>
          </w:sdtEndPr>
          <w:sdtContent>
            <w:tc>
              <w:tcPr>
                <w:tcW w:w="1701" w:type="dxa"/>
              </w:tcPr>
              <w:p w14:paraId="3102EC3F">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账面余额</w:t>
                </w:r>
              </w:p>
            </w:tc>
          </w:sdtContent>
        </w:sdt>
        <w:sdt>
          <w:sdtPr>
            <w:rPr>
              <w:rFonts w:ascii="Arial Narrow" w:hAnsi="Arial Narrow" w:eastAsiaTheme="minorEastAsia"/>
              <w:szCs w:val="21"/>
            </w:rPr>
            <w:tag w:val="_PLD_2a265c047cf94f85a8553f5e0b2b7388"/>
            <w:id w:val="-1495562656"/>
          </w:sdtPr>
          <w:sdtEndPr>
            <w:rPr>
              <w:rFonts w:ascii="Arial Narrow" w:hAnsi="Arial Narrow" w:eastAsiaTheme="minorEastAsia"/>
              <w:szCs w:val="21"/>
            </w:rPr>
          </w:sdtEndPr>
          <w:sdtContent>
            <w:tc>
              <w:tcPr>
                <w:tcW w:w="1843" w:type="dxa"/>
              </w:tcPr>
              <w:p w14:paraId="582DF065">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账面价值</w:t>
                </w:r>
              </w:p>
            </w:tc>
          </w:sdtContent>
        </w:sdt>
        <w:sdt>
          <w:sdtPr>
            <w:rPr>
              <w:rFonts w:ascii="Arial Narrow" w:hAnsi="Arial Narrow" w:eastAsiaTheme="minorEastAsia"/>
              <w:szCs w:val="21"/>
            </w:rPr>
            <w:tag w:val="_PLD_5b6c4747a96541ecafc3956c6df7be1e"/>
            <w:id w:val="1809891451"/>
          </w:sdtPr>
          <w:sdtEndPr>
            <w:rPr>
              <w:rFonts w:ascii="Arial Narrow" w:hAnsi="Arial Narrow" w:eastAsiaTheme="minorEastAsia"/>
              <w:szCs w:val="21"/>
            </w:rPr>
          </w:sdtEndPr>
          <w:sdtContent>
            <w:tc>
              <w:tcPr>
                <w:tcW w:w="1275" w:type="dxa"/>
              </w:tcPr>
              <w:p w14:paraId="756C45C7">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受限类型</w:t>
                </w:r>
              </w:p>
            </w:tc>
          </w:sdtContent>
        </w:sdt>
        <w:sdt>
          <w:sdtPr>
            <w:rPr>
              <w:rFonts w:ascii="Arial Narrow" w:hAnsi="Arial Narrow" w:eastAsiaTheme="minorEastAsia"/>
              <w:szCs w:val="21"/>
            </w:rPr>
            <w:tag w:val="_PLD_0fdc8d5500aa413592588c79ae47d121"/>
            <w:id w:val="-1604027300"/>
          </w:sdtPr>
          <w:sdtEndPr>
            <w:rPr>
              <w:rFonts w:ascii="Arial Narrow" w:hAnsi="Arial Narrow" w:eastAsiaTheme="minorEastAsia"/>
              <w:szCs w:val="21"/>
            </w:rPr>
          </w:sdtEndPr>
          <w:sdtContent>
            <w:tc>
              <w:tcPr>
                <w:tcW w:w="1701" w:type="dxa"/>
              </w:tcPr>
              <w:p w14:paraId="55BDE37F">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受限情况</w:t>
                </w:r>
              </w:p>
            </w:tc>
          </w:sdtContent>
        </w:sdt>
        <w:sdt>
          <w:sdtPr>
            <w:rPr>
              <w:rFonts w:ascii="Arial Narrow" w:hAnsi="Arial Narrow" w:eastAsiaTheme="minorEastAsia"/>
              <w:szCs w:val="21"/>
            </w:rPr>
            <w:tag w:val="_PLD_19a6e2039b054e27ae63e997e8202099"/>
            <w:id w:val="918445642"/>
          </w:sdtPr>
          <w:sdtEndPr>
            <w:rPr>
              <w:rFonts w:ascii="Arial Narrow" w:hAnsi="Arial Narrow" w:eastAsiaTheme="minorEastAsia"/>
              <w:szCs w:val="21"/>
            </w:rPr>
          </w:sdtEndPr>
          <w:sdtContent>
            <w:tc>
              <w:tcPr>
                <w:tcW w:w="1560" w:type="dxa"/>
              </w:tcPr>
              <w:p w14:paraId="70CD50E1">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账面余额</w:t>
                </w:r>
              </w:p>
            </w:tc>
          </w:sdtContent>
        </w:sdt>
        <w:sdt>
          <w:sdtPr>
            <w:rPr>
              <w:rFonts w:ascii="Arial Narrow" w:hAnsi="Arial Narrow" w:eastAsiaTheme="minorEastAsia"/>
              <w:szCs w:val="21"/>
            </w:rPr>
            <w:tag w:val="_PLD_c874887424044a5dbc1a1644f585ae7e"/>
            <w:id w:val="-1534876614"/>
          </w:sdtPr>
          <w:sdtEndPr>
            <w:rPr>
              <w:rFonts w:ascii="Arial Narrow" w:hAnsi="Arial Narrow" w:eastAsiaTheme="minorEastAsia"/>
              <w:szCs w:val="21"/>
            </w:rPr>
          </w:sdtEndPr>
          <w:sdtContent>
            <w:tc>
              <w:tcPr>
                <w:tcW w:w="1559" w:type="dxa"/>
              </w:tcPr>
              <w:p w14:paraId="0FA4CE76">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账面价值</w:t>
                </w:r>
              </w:p>
            </w:tc>
          </w:sdtContent>
        </w:sdt>
        <w:sdt>
          <w:sdtPr>
            <w:rPr>
              <w:rFonts w:ascii="Arial Narrow" w:hAnsi="Arial Narrow" w:eastAsiaTheme="minorEastAsia"/>
              <w:szCs w:val="21"/>
            </w:rPr>
            <w:tag w:val="_PLD_92198303043b4f9e9d277fb8a7835f44"/>
            <w:id w:val="-1239085263"/>
          </w:sdtPr>
          <w:sdtEndPr>
            <w:rPr>
              <w:rFonts w:ascii="Arial Narrow" w:hAnsi="Arial Narrow" w:eastAsiaTheme="minorEastAsia"/>
              <w:szCs w:val="21"/>
            </w:rPr>
          </w:sdtEndPr>
          <w:sdtContent>
            <w:tc>
              <w:tcPr>
                <w:tcW w:w="1131" w:type="dxa"/>
              </w:tcPr>
              <w:p w14:paraId="40914F1F">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受限类型</w:t>
                </w:r>
              </w:p>
            </w:tc>
          </w:sdtContent>
        </w:sdt>
        <w:sdt>
          <w:sdtPr>
            <w:rPr>
              <w:rFonts w:ascii="Arial Narrow" w:hAnsi="Arial Narrow" w:eastAsiaTheme="minorEastAsia"/>
              <w:szCs w:val="21"/>
            </w:rPr>
            <w:tag w:val="_PLD_4ea3dd881caf4532ad39a52fb85dd9ad"/>
            <w:id w:val="646315917"/>
          </w:sdtPr>
          <w:sdtEndPr>
            <w:rPr>
              <w:rFonts w:ascii="Arial Narrow" w:hAnsi="Arial Narrow" w:eastAsiaTheme="minorEastAsia"/>
              <w:szCs w:val="21"/>
            </w:rPr>
          </w:sdtEndPr>
          <w:sdtContent>
            <w:tc>
              <w:tcPr>
                <w:tcW w:w="1680" w:type="dxa"/>
              </w:tcPr>
              <w:p w14:paraId="21953254">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受限情况</w:t>
                </w:r>
              </w:p>
            </w:tc>
          </w:sdtContent>
        </w:sdt>
      </w:tr>
      <w:tr w14:paraId="624E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82F52F7">
            <w:pPr>
              <w:widowControl w:val="0"/>
              <w:jc w:val="lef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货币资金</w:t>
            </w:r>
          </w:p>
        </w:tc>
        <w:tc>
          <w:tcPr>
            <w:tcW w:w="1701" w:type="dxa"/>
            <w:vAlign w:val="center"/>
          </w:tcPr>
          <w:p w14:paraId="1A8E76B8">
            <w:pPr>
              <w:widowControl w:val="0"/>
              <w:jc w:val="right"/>
              <w:rPr>
                <w:rFonts w:ascii="Arial Narrow" w:hAnsi="Arial Narrow" w:eastAsiaTheme="minorEastAsia"/>
                <w:szCs w:val="21"/>
              </w:rPr>
            </w:pPr>
            <w:r>
              <w:rPr>
                <w:rFonts w:ascii="Arial Narrow" w:hAnsi="Arial Narrow" w:eastAsiaTheme="minorEastAsia"/>
                <w:color w:val="000000"/>
                <w:szCs w:val="21"/>
              </w:rPr>
              <w:t>240,657,438.64</w:t>
            </w:r>
          </w:p>
        </w:tc>
        <w:tc>
          <w:tcPr>
            <w:tcW w:w="1843" w:type="dxa"/>
            <w:vAlign w:val="center"/>
          </w:tcPr>
          <w:p w14:paraId="666D3208">
            <w:pPr>
              <w:widowControl w:val="0"/>
              <w:jc w:val="right"/>
              <w:rPr>
                <w:rFonts w:ascii="Arial Narrow" w:hAnsi="Arial Narrow" w:eastAsiaTheme="minorEastAsia"/>
                <w:szCs w:val="21"/>
              </w:rPr>
            </w:pPr>
            <w:r>
              <w:rPr>
                <w:rFonts w:ascii="Arial Narrow" w:hAnsi="Arial Narrow" w:eastAsiaTheme="minorEastAsia"/>
                <w:color w:val="000000"/>
                <w:szCs w:val="21"/>
              </w:rPr>
              <w:t>240,657,438.64</w:t>
            </w:r>
          </w:p>
        </w:tc>
        <w:tc>
          <w:tcPr>
            <w:tcW w:w="1275" w:type="dxa"/>
            <w:vAlign w:val="center"/>
          </w:tcPr>
          <w:p w14:paraId="062537CC">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其他</w:t>
            </w:r>
          </w:p>
        </w:tc>
        <w:tc>
          <w:tcPr>
            <w:tcW w:w="1701" w:type="dxa"/>
            <w:vAlign w:val="center"/>
          </w:tcPr>
          <w:p w14:paraId="5CDA4D3F">
            <w:pPr>
              <w:widowControl w:val="0"/>
              <w:jc w:val="center"/>
              <w:rPr>
                <w:rFonts w:ascii="Arial Narrow" w:hAnsi="Arial Narrow" w:eastAsiaTheme="minorEastAsia"/>
                <w:szCs w:val="21"/>
              </w:rPr>
            </w:pPr>
            <w:r>
              <w:rPr>
                <w:rFonts w:ascii="Arial Narrow" w:hAnsi="Arial Narrow" w:eastAsiaTheme="minorEastAsia"/>
                <w:color w:val="000000"/>
                <w:szCs w:val="21"/>
              </w:rPr>
              <w:t>详见“附注七注释1”</w:t>
            </w:r>
          </w:p>
        </w:tc>
        <w:tc>
          <w:tcPr>
            <w:tcW w:w="1560" w:type="dxa"/>
            <w:vAlign w:val="center"/>
          </w:tcPr>
          <w:p w14:paraId="3DD2564F">
            <w:pPr>
              <w:widowControl w:val="0"/>
              <w:jc w:val="right"/>
              <w:rPr>
                <w:rFonts w:ascii="Arial Narrow" w:hAnsi="Arial Narrow" w:eastAsiaTheme="minorEastAsia"/>
                <w:szCs w:val="21"/>
              </w:rPr>
            </w:pPr>
            <w:r>
              <w:rPr>
                <w:rFonts w:ascii="Arial Narrow" w:hAnsi="Arial Narrow" w:eastAsiaTheme="minorEastAsia"/>
                <w:color w:val="000000"/>
                <w:szCs w:val="21"/>
              </w:rPr>
              <w:t>279,993,479.61</w:t>
            </w:r>
          </w:p>
        </w:tc>
        <w:tc>
          <w:tcPr>
            <w:tcW w:w="1559" w:type="dxa"/>
            <w:vAlign w:val="center"/>
          </w:tcPr>
          <w:p w14:paraId="4945E82B">
            <w:pPr>
              <w:widowControl w:val="0"/>
              <w:jc w:val="right"/>
              <w:rPr>
                <w:rFonts w:ascii="Arial Narrow" w:hAnsi="Arial Narrow" w:eastAsiaTheme="minorEastAsia"/>
                <w:szCs w:val="21"/>
              </w:rPr>
            </w:pPr>
            <w:r>
              <w:rPr>
                <w:rFonts w:ascii="Arial Narrow" w:hAnsi="Arial Narrow" w:eastAsiaTheme="minorEastAsia"/>
                <w:color w:val="000000"/>
                <w:szCs w:val="21"/>
              </w:rPr>
              <w:t>279,993,479.61</w:t>
            </w:r>
          </w:p>
        </w:tc>
        <w:tc>
          <w:tcPr>
            <w:tcW w:w="1131" w:type="dxa"/>
            <w:vAlign w:val="center"/>
          </w:tcPr>
          <w:p w14:paraId="19E8A0CD">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其他</w:t>
            </w:r>
          </w:p>
        </w:tc>
        <w:tc>
          <w:tcPr>
            <w:tcW w:w="1680" w:type="dxa"/>
          </w:tcPr>
          <w:p w14:paraId="0C6D9086">
            <w:pPr>
              <w:widowControl w:val="0"/>
              <w:jc w:val="center"/>
              <w:rPr>
                <w:rFonts w:ascii="Arial Narrow" w:hAnsi="Arial Narrow" w:eastAsiaTheme="minorEastAsia"/>
                <w:szCs w:val="21"/>
              </w:rPr>
            </w:pPr>
            <w:r>
              <w:rPr>
                <w:rFonts w:ascii="Arial Narrow" w:hAnsi="Arial Narrow" w:eastAsiaTheme="minorEastAsia"/>
                <w:color w:val="000000"/>
                <w:szCs w:val="21"/>
              </w:rPr>
              <w:t>详见“附注七注释1”</w:t>
            </w:r>
          </w:p>
        </w:tc>
      </w:tr>
      <w:tr w14:paraId="0CA8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8B3CAF8">
            <w:pPr>
              <w:widowControl w:val="0"/>
              <w:jc w:val="lef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固定资产</w:t>
            </w:r>
          </w:p>
        </w:tc>
        <w:tc>
          <w:tcPr>
            <w:tcW w:w="1701" w:type="dxa"/>
            <w:vAlign w:val="center"/>
          </w:tcPr>
          <w:p w14:paraId="747E336E">
            <w:pPr>
              <w:widowControl w:val="0"/>
              <w:jc w:val="right"/>
              <w:rPr>
                <w:rFonts w:ascii="Arial Narrow" w:hAnsi="Arial Narrow" w:eastAsiaTheme="minorEastAsia"/>
                <w:szCs w:val="21"/>
              </w:rPr>
            </w:pPr>
            <w:r>
              <w:rPr>
                <w:rFonts w:ascii="Arial Narrow" w:hAnsi="Arial Narrow" w:eastAsiaTheme="minorEastAsia"/>
                <w:color w:val="000000"/>
                <w:szCs w:val="21"/>
              </w:rPr>
              <w:t>49,126,609.74</w:t>
            </w:r>
          </w:p>
        </w:tc>
        <w:tc>
          <w:tcPr>
            <w:tcW w:w="1843" w:type="dxa"/>
            <w:vAlign w:val="center"/>
          </w:tcPr>
          <w:p w14:paraId="2887EAAA">
            <w:pPr>
              <w:widowControl w:val="0"/>
              <w:jc w:val="right"/>
              <w:rPr>
                <w:rFonts w:ascii="Arial Narrow" w:hAnsi="Arial Narrow" w:eastAsiaTheme="minorEastAsia"/>
                <w:szCs w:val="21"/>
              </w:rPr>
            </w:pPr>
            <w:r>
              <w:rPr>
                <w:rFonts w:ascii="Arial Narrow" w:hAnsi="Arial Narrow" w:eastAsiaTheme="minorEastAsia"/>
                <w:color w:val="000000"/>
                <w:szCs w:val="21"/>
              </w:rPr>
              <w:t>45,125,579.75</w:t>
            </w:r>
          </w:p>
        </w:tc>
        <w:tc>
          <w:tcPr>
            <w:tcW w:w="1275" w:type="dxa"/>
            <w:vAlign w:val="center"/>
          </w:tcPr>
          <w:p w14:paraId="01423E39">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抵押</w:t>
            </w:r>
          </w:p>
        </w:tc>
        <w:tc>
          <w:tcPr>
            <w:tcW w:w="1701" w:type="dxa"/>
            <w:vAlign w:val="center"/>
          </w:tcPr>
          <w:p w14:paraId="6559C89A">
            <w:pPr>
              <w:widowControl w:val="0"/>
              <w:jc w:val="center"/>
              <w:rPr>
                <w:rFonts w:ascii="Arial Narrow" w:hAnsi="Arial Narrow" w:eastAsiaTheme="minorEastAsia"/>
                <w:szCs w:val="21"/>
              </w:rPr>
            </w:pPr>
            <w:r>
              <w:rPr>
                <w:rFonts w:ascii="Arial Narrow" w:hAnsi="Arial Narrow" w:eastAsiaTheme="minorEastAsia"/>
                <w:color w:val="000000"/>
                <w:szCs w:val="21"/>
              </w:rPr>
              <w:t>抵押借款</w:t>
            </w:r>
          </w:p>
        </w:tc>
        <w:tc>
          <w:tcPr>
            <w:tcW w:w="1560" w:type="dxa"/>
            <w:vAlign w:val="center"/>
          </w:tcPr>
          <w:p w14:paraId="4071A91E">
            <w:pPr>
              <w:widowControl w:val="0"/>
              <w:jc w:val="right"/>
              <w:rPr>
                <w:rFonts w:ascii="Arial Narrow" w:hAnsi="Arial Narrow" w:eastAsiaTheme="minorEastAsia"/>
                <w:szCs w:val="21"/>
              </w:rPr>
            </w:pPr>
            <w:r>
              <w:rPr>
                <w:rFonts w:ascii="Arial Narrow" w:hAnsi="Arial Narrow" w:eastAsiaTheme="minorEastAsia"/>
                <w:color w:val="000000"/>
                <w:szCs w:val="21"/>
              </w:rPr>
              <w:t>80,883,867.74</w:t>
            </w:r>
          </w:p>
        </w:tc>
        <w:tc>
          <w:tcPr>
            <w:tcW w:w="1559" w:type="dxa"/>
            <w:vAlign w:val="center"/>
          </w:tcPr>
          <w:p w14:paraId="6371BBCA">
            <w:pPr>
              <w:widowControl w:val="0"/>
              <w:jc w:val="right"/>
              <w:rPr>
                <w:rFonts w:ascii="Arial Narrow" w:hAnsi="Arial Narrow" w:eastAsiaTheme="minorEastAsia"/>
                <w:szCs w:val="21"/>
              </w:rPr>
            </w:pPr>
            <w:r>
              <w:rPr>
                <w:rFonts w:ascii="Arial Narrow" w:hAnsi="Arial Narrow" w:eastAsiaTheme="minorEastAsia"/>
                <w:color w:val="000000"/>
                <w:szCs w:val="21"/>
              </w:rPr>
              <w:t>39,034,967.71</w:t>
            </w:r>
          </w:p>
        </w:tc>
        <w:tc>
          <w:tcPr>
            <w:tcW w:w="1131" w:type="dxa"/>
            <w:vAlign w:val="center"/>
          </w:tcPr>
          <w:p w14:paraId="1D3E10B2">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抵押</w:t>
            </w:r>
          </w:p>
        </w:tc>
        <w:tc>
          <w:tcPr>
            <w:tcW w:w="1680" w:type="dxa"/>
          </w:tcPr>
          <w:p w14:paraId="71134E1C">
            <w:pPr>
              <w:widowControl w:val="0"/>
              <w:jc w:val="center"/>
              <w:rPr>
                <w:rFonts w:ascii="Arial Narrow" w:hAnsi="Arial Narrow" w:eastAsiaTheme="minorEastAsia"/>
                <w:szCs w:val="21"/>
              </w:rPr>
            </w:pPr>
            <w:r>
              <w:rPr>
                <w:rFonts w:ascii="Arial Narrow" w:hAnsi="Arial Narrow" w:eastAsiaTheme="minorEastAsia"/>
                <w:color w:val="000000"/>
                <w:szCs w:val="21"/>
              </w:rPr>
              <w:t>抵押借款</w:t>
            </w:r>
          </w:p>
        </w:tc>
      </w:tr>
      <w:tr w14:paraId="43C3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bottom w:val="single" w:color="auto" w:sz="4" w:space="0"/>
            </w:tcBorders>
            <w:vAlign w:val="center"/>
          </w:tcPr>
          <w:p w14:paraId="3551618E">
            <w:pPr>
              <w:widowControl w:val="0"/>
              <w:jc w:val="lef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无形资产</w:t>
            </w:r>
          </w:p>
        </w:tc>
        <w:tc>
          <w:tcPr>
            <w:tcW w:w="1701" w:type="dxa"/>
            <w:vAlign w:val="center"/>
          </w:tcPr>
          <w:p w14:paraId="0E185D28">
            <w:pPr>
              <w:widowControl w:val="0"/>
              <w:jc w:val="right"/>
              <w:rPr>
                <w:rFonts w:ascii="Arial Narrow" w:hAnsi="Arial Narrow" w:eastAsiaTheme="minorEastAsia"/>
                <w:szCs w:val="21"/>
              </w:rPr>
            </w:pPr>
            <w:r>
              <w:rPr>
                <w:rFonts w:ascii="Arial Narrow" w:hAnsi="Arial Narrow" w:eastAsiaTheme="minorEastAsia"/>
                <w:color w:val="000000"/>
                <w:szCs w:val="21"/>
              </w:rPr>
              <w:t>5,952,265.97</w:t>
            </w:r>
          </w:p>
        </w:tc>
        <w:tc>
          <w:tcPr>
            <w:tcW w:w="1843" w:type="dxa"/>
            <w:vAlign w:val="center"/>
          </w:tcPr>
          <w:p w14:paraId="57BA6F78">
            <w:pPr>
              <w:widowControl w:val="0"/>
              <w:jc w:val="right"/>
              <w:rPr>
                <w:rFonts w:ascii="Arial Narrow" w:hAnsi="Arial Narrow" w:eastAsiaTheme="minorEastAsia"/>
                <w:szCs w:val="21"/>
              </w:rPr>
            </w:pPr>
            <w:r>
              <w:rPr>
                <w:rFonts w:ascii="Arial Narrow" w:hAnsi="Arial Narrow" w:eastAsiaTheme="minorEastAsia"/>
                <w:color w:val="000000"/>
                <w:szCs w:val="21"/>
              </w:rPr>
              <w:t>5,361,437.36</w:t>
            </w:r>
          </w:p>
        </w:tc>
        <w:tc>
          <w:tcPr>
            <w:tcW w:w="1275" w:type="dxa"/>
            <w:vAlign w:val="center"/>
          </w:tcPr>
          <w:p w14:paraId="26532151">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抵押</w:t>
            </w:r>
          </w:p>
        </w:tc>
        <w:tc>
          <w:tcPr>
            <w:tcW w:w="1701" w:type="dxa"/>
            <w:vAlign w:val="center"/>
          </w:tcPr>
          <w:p w14:paraId="5E31E848">
            <w:pPr>
              <w:widowControl w:val="0"/>
              <w:jc w:val="center"/>
              <w:rPr>
                <w:rFonts w:ascii="Arial Narrow" w:hAnsi="Arial Narrow" w:eastAsiaTheme="minorEastAsia"/>
                <w:szCs w:val="21"/>
              </w:rPr>
            </w:pPr>
            <w:r>
              <w:rPr>
                <w:rFonts w:ascii="Arial Narrow" w:hAnsi="Arial Narrow" w:eastAsiaTheme="minorEastAsia"/>
                <w:color w:val="000000"/>
                <w:szCs w:val="21"/>
              </w:rPr>
              <w:t>抵押借款</w:t>
            </w:r>
          </w:p>
        </w:tc>
        <w:tc>
          <w:tcPr>
            <w:tcW w:w="1560" w:type="dxa"/>
            <w:vAlign w:val="center"/>
          </w:tcPr>
          <w:p w14:paraId="3BA8F36A">
            <w:pPr>
              <w:widowControl w:val="0"/>
              <w:jc w:val="right"/>
              <w:rPr>
                <w:rFonts w:ascii="Arial Narrow" w:hAnsi="Arial Narrow" w:eastAsiaTheme="minorEastAsia"/>
                <w:szCs w:val="21"/>
              </w:rPr>
            </w:pPr>
            <w:r>
              <w:rPr>
                <w:rFonts w:ascii="Arial Narrow" w:hAnsi="Arial Narrow" w:eastAsiaTheme="minorEastAsia"/>
                <w:color w:val="000000"/>
                <w:szCs w:val="21"/>
              </w:rPr>
              <w:t>5,952,265.97</w:t>
            </w:r>
          </w:p>
        </w:tc>
        <w:tc>
          <w:tcPr>
            <w:tcW w:w="1559" w:type="dxa"/>
            <w:vAlign w:val="center"/>
          </w:tcPr>
          <w:p w14:paraId="5B8EFA81">
            <w:pPr>
              <w:widowControl w:val="0"/>
              <w:jc w:val="right"/>
              <w:rPr>
                <w:rFonts w:ascii="Arial Narrow" w:hAnsi="Arial Narrow" w:eastAsiaTheme="minorEastAsia"/>
                <w:szCs w:val="21"/>
              </w:rPr>
            </w:pPr>
            <w:r>
              <w:rPr>
                <w:rFonts w:ascii="Arial Narrow" w:hAnsi="Arial Narrow" w:eastAsiaTheme="minorEastAsia"/>
                <w:color w:val="000000"/>
                <w:szCs w:val="21"/>
              </w:rPr>
              <w:t>5,510,711.72</w:t>
            </w:r>
          </w:p>
        </w:tc>
        <w:tc>
          <w:tcPr>
            <w:tcW w:w="1131" w:type="dxa"/>
            <w:vAlign w:val="center"/>
          </w:tcPr>
          <w:p w14:paraId="172D0E44">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抵押</w:t>
            </w:r>
          </w:p>
        </w:tc>
        <w:tc>
          <w:tcPr>
            <w:tcW w:w="1680" w:type="dxa"/>
          </w:tcPr>
          <w:p w14:paraId="368913A8">
            <w:pPr>
              <w:widowControl w:val="0"/>
              <w:jc w:val="center"/>
              <w:rPr>
                <w:rFonts w:ascii="Arial Narrow" w:hAnsi="Arial Narrow" w:eastAsiaTheme="minorEastAsia"/>
                <w:szCs w:val="21"/>
              </w:rPr>
            </w:pPr>
            <w:r>
              <w:rPr>
                <w:rFonts w:ascii="Arial Narrow" w:hAnsi="Arial Narrow" w:eastAsiaTheme="minorEastAsia"/>
                <w:color w:val="000000"/>
                <w:szCs w:val="21"/>
              </w:rPr>
              <w:t>抵押借款</w:t>
            </w:r>
          </w:p>
        </w:tc>
      </w:tr>
      <w:tr w14:paraId="440C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B16FA25">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701" w:type="dxa"/>
            <w:vAlign w:val="center"/>
          </w:tcPr>
          <w:p w14:paraId="0B871125">
            <w:pPr>
              <w:widowControl w:val="0"/>
              <w:jc w:val="right"/>
              <w:rPr>
                <w:rFonts w:ascii="Arial Narrow" w:hAnsi="Arial Narrow" w:eastAsiaTheme="minorEastAsia"/>
                <w:szCs w:val="21"/>
              </w:rPr>
            </w:pPr>
            <w:r>
              <w:rPr>
                <w:rFonts w:ascii="Arial Narrow" w:hAnsi="Arial Narrow" w:eastAsiaTheme="minorEastAsia"/>
                <w:color w:val="000000"/>
                <w:szCs w:val="21"/>
              </w:rPr>
              <w:t>295,736,314.35</w:t>
            </w:r>
          </w:p>
        </w:tc>
        <w:tc>
          <w:tcPr>
            <w:tcW w:w="1843" w:type="dxa"/>
            <w:vAlign w:val="center"/>
          </w:tcPr>
          <w:p w14:paraId="57A978A7">
            <w:pPr>
              <w:widowControl w:val="0"/>
              <w:jc w:val="right"/>
              <w:rPr>
                <w:rFonts w:ascii="Arial Narrow" w:hAnsi="Arial Narrow" w:eastAsiaTheme="minorEastAsia"/>
                <w:szCs w:val="21"/>
              </w:rPr>
            </w:pPr>
            <w:r>
              <w:rPr>
                <w:rFonts w:ascii="Arial Narrow" w:hAnsi="Arial Narrow" w:eastAsiaTheme="minorEastAsia"/>
                <w:color w:val="000000"/>
                <w:szCs w:val="21"/>
              </w:rPr>
              <w:t>291,144,455.75</w:t>
            </w:r>
          </w:p>
        </w:tc>
        <w:tc>
          <w:tcPr>
            <w:tcW w:w="1275" w:type="dxa"/>
          </w:tcPr>
          <w:p w14:paraId="1B86920F">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w:t>
            </w:r>
          </w:p>
        </w:tc>
        <w:tc>
          <w:tcPr>
            <w:tcW w:w="1701" w:type="dxa"/>
          </w:tcPr>
          <w:p w14:paraId="149E18CD">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w:t>
            </w:r>
          </w:p>
        </w:tc>
        <w:tc>
          <w:tcPr>
            <w:tcW w:w="1560" w:type="dxa"/>
            <w:vAlign w:val="center"/>
          </w:tcPr>
          <w:p w14:paraId="102A31AA">
            <w:pPr>
              <w:widowControl w:val="0"/>
              <w:jc w:val="right"/>
              <w:rPr>
                <w:rFonts w:ascii="Arial Narrow" w:hAnsi="Arial Narrow" w:eastAsiaTheme="minorEastAsia"/>
                <w:szCs w:val="21"/>
              </w:rPr>
            </w:pPr>
            <w:r>
              <w:rPr>
                <w:rFonts w:ascii="Arial Narrow" w:hAnsi="Arial Narrow" w:eastAsiaTheme="minorEastAsia"/>
                <w:color w:val="000000"/>
                <w:szCs w:val="21"/>
              </w:rPr>
              <w:t>366,829,613.32</w:t>
            </w:r>
          </w:p>
        </w:tc>
        <w:tc>
          <w:tcPr>
            <w:tcW w:w="1559" w:type="dxa"/>
            <w:vAlign w:val="center"/>
          </w:tcPr>
          <w:p w14:paraId="3DBFFB48">
            <w:pPr>
              <w:widowControl w:val="0"/>
              <w:jc w:val="right"/>
              <w:rPr>
                <w:rFonts w:ascii="Arial Narrow" w:hAnsi="Arial Narrow" w:eastAsiaTheme="minorEastAsia"/>
                <w:szCs w:val="21"/>
              </w:rPr>
            </w:pPr>
            <w:r>
              <w:rPr>
                <w:rFonts w:ascii="Arial Narrow" w:hAnsi="Arial Narrow" w:eastAsiaTheme="minorEastAsia"/>
                <w:color w:val="000000"/>
                <w:szCs w:val="21"/>
              </w:rPr>
              <w:t>324,539,159.04</w:t>
            </w:r>
          </w:p>
        </w:tc>
        <w:tc>
          <w:tcPr>
            <w:tcW w:w="1131" w:type="dxa"/>
          </w:tcPr>
          <w:p w14:paraId="0917DFA9">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w:t>
            </w:r>
          </w:p>
        </w:tc>
        <w:tc>
          <w:tcPr>
            <w:tcW w:w="1680" w:type="dxa"/>
          </w:tcPr>
          <w:p w14:paraId="73EC1C73">
            <w:pPr>
              <w:widowControl w:val="0"/>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w:t>
            </w:r>
          </w:p>
        </w:tc>
      </w:tr>
    </w:tbl>
    <w:p w14:paraId="2A098500">
      <w:pPr>
        <w:rPr>
          <w:rFonts w:hint="eastAsia"/>
          <w:color w:val="000000" w:themeColor="text1"/>
          <w14:textFill>
            <w14:solidFill>
              <w14:schemeClr w14:val="tx1"/>
            </w14:solidFill>
          </w14:textFill>
        </w:rPr>
      </w:pPr>
    </w:p>
    <w:p w14:paraId="4A4016FC">
      <w:pPr>
        <w:spacing w:before="60" w:after="6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所有权或使用权受到限制的资产的其他说明"/>
        <w:tag w:val="_GBC_cb6598cbee3c4c8881c3583f4da2f049"/>
        <w:id w:val="580490590"/>
        <w:placeholder>
          <w:docPart w:val="GBC22222222222222222222222222222"/>
        </w:placeholder>
      </w:sdtPr>
      <w:sdtEndPr>
        <w:rPr>
          <w:color w:val="000000" w:themeColor="text1"/>
          <w14:textFill>
            <w14:solidFill>
              <w14:schemeClr w14:val="tx1"/>
            </w14:solidFill>
          </w14:textFill>
        </w:rPr>
      </w:sdtEndPr>
      <w:sdtContent>
        <w:p w14:paraId="17BE8E0D">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38"/>
    <w:p w14:paraId="045C4DA9">
      <w:pPr>
        <w:rPr>
          <w:rFonts w:hint="eastAsia"/>
          <w:szCs w:val="21"/>
        </w:rPr>
      </w:pPr>
    </w:p>
    <w:p w14:paraId="6B22E21E">
      <w:pPr>
        <w:pStyle w:val="70"/>
        <w:numPr>
          <w:ilvl w:val="0"/>
          <w:numId w:val="109"/>
        </w:numPr>
        <w:tabs>
          <w:tab w:val="left" w:pos="504"/>
        </w:tabs>
        <w:rPr>
          <w:rFonts w:hint="eastAsia" w:ascii="宋体" w:hAnsi="宋体"/>
          <w:szCs w:val="21"/>
        </w:rPr>
        <w:sectPr>
          <w:pgSz w:w="16838" w:h="11906" w:orient="landscape"/>
          <w:pgMar w:top="1276" w:right="1440" w:bottom="1797" w:left="1525" w:header="856" w:footer="992" w:gutter="0"/>
          <w:cols w:space="425" w:num="1"/>
          <w:docGrid w:linePitch="312" w:charSpace="0"/>
        </w:sectPr>
      </w:pPr>
    </w:p>
    <w:p w14:paraId="641C0410">
      <w:pPr>
        <w:pStyle w:val="70"/>
        <w:numPr>
          <w:ilvl w:val="0"/>
          <w:numId w:val="109"/>
        </w:numPr>
        <w:rPr>
          <w:szCs w:val="21"/>
        </w:rPr>
      </w:pPr>
      <w:r>
        <w:rPr>
          <w:szCs w:val="21"/>
        </w:rPr>
        <w:t>短期借款</w:t>
      </w:r>
    </w:p>
    <w:p w14:paraId="21D4D872">
      <w:pPr>
        <w:pStyle w:val="71"/>
        <w:numPr>
          <w:ilvl w:val="0"/>
          <w:numId w:val="134"/>
        </w:numPr>
        <w:ind w:left="426" w:hanging="426"/>
        <w:rPr>
          <w:rFonts w:hint="eastAsia"/>
        </w:rPr>
      </w:pPr>
      <w:r>
        <w:rPr>
          <w:rFonts w:hint="eastAsia"/>
        </w:rPr>
        <w:t>短期借款分类</w:t>
      </w:r>
    </w:p>
    <w:sdt>
      <w:sdtPr>
        <w:alias w:val="是否适用：短期借款分类[双击切换]"/>
        <w:tag w:val="_GBC_d7624f1054024527b72d59c4122e81cb"/>
        <w:id w:val="-1561392345"/>
        <w:placeholder>
          <w:docPart w:val="GBC22222222222222222222222222222"/>
        </w:placeholder>
      </w:sdtPr>
      <w:sdtContent>
        <w:p w14:paraId="7D803FD6">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1DFE50">
      <w:pPr>
        <w:jc w:val="right"/>
        <w:rPr>
          <w:rFonts w:hint="eastAsia"/>
          <w:szCs w:val="21"/>
        </w:rPr>
      </w:pPr>
      <w:r>
        <w:rPr>
          <w:rFonts w:hint="eastAsia"/>
          <w:szCs w:val="21"/>
        </w:rPr>
        <w:t>单位：</w:t>
      </w:r>
      <w:sdt>
        <w:sdtPr>
          <w:rPr>
            <w:rFonts w:hint="eastAsia"/>
            <w:szCs w:val="21"/>
          </w:rPr>
          <w:alias w:val="单位：财务附注：短期借款分类"/>
          <w:tag w:val="_GBC_8d30fbb8785645499f9234dccd6e5b81"/>
          <w:id w:val="3657210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4832080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847"/>
        <w:gridCol w:w="2980"/>
        <w:gridCol w:w="2996"/>
      </w:tblGrid>
      <w:tr w14:paraId="461F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rPr>
              <w:rFonts w:ascii="Arial Narrow" w:hAnsi="Arial Narrow" w:eastAsiaTheme="minorEastAsia"/>
              <w:szCs w:val="21"/>
            </w:rPr>
            <w:tag w:val="_PLD_7d518e78e06f4dc9b46aae7b6b47fd01"/>
            <w:id w:val="529611408"/>
          </w:sdtPr>
          <w:sdtEndPr>
            <w:rPr>
              <w:rFonts w:ascii="Arial Narrow" w:hAnsi="Arial Narrow" w:eastAsiaTheme="minorEastAsia"/>
              <w:szCs w:val="21"/>
            </w:rPr>
          </w:sdtEndPr>
          <w:sdtContent>
            <w:tc>
              <w:tcPr>
                <w:tcW w:w="1613" w:type="pct"/>
                <w:vAlign w:val="center"/>
              </w:tcPr>
              <w:p w14:paraId="65B2096B">
                <w:pPr>
                  <w:autoSpaceDE w:val="0"/>
                  <w:autoSpaceDN w:val="0"/>
                  <w:adjustRightInd w:val="0"/>
                  <w:snapToGrid w:val="0"/>
                  <w:spacing w:line="240" w:lineRule="atLeast"/>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项目</w:t>
                </w:r>
              </w:p>
            </w:tc>
          </w:sdtContent>
        </w:sdt>
        <w:sdt>
          <w:sdtPr>
            <w:rPr>
              <w:rFonts w:ascii="Arial Narrow" w:hAnsi="Arial Narrow" w:eastAsiaTheme="minorEastAsia"/>
              <w:szCs w:val="21"/>
            </w:rPr>
            <w:tag w:val="_PLD_cda187315847461e8ed854d1807d3b14"/>
            <w:id w:val="-93317468"/>
          </w:sdtPr>
          <w:sdtEndPr>
            <w:rPr>
              <w:rFonts w:ascii="Arial Narrow" w:hAnsi="Arial Narrow" w:eastAsiaTheme="minorEastAsia"/>
              <w:szCs w:val="21"/>
            </w:rPr>
          </w:sdtEndPr>
          <w:sdtContent>
            <w:tc>
              <w:tcPr>
                <w:tcW w:w="1689" w:type="pct"/>
                <w:vAlign w:val="center"/>
              </w:tcPr>
              <w:p w14:paraId="7A203D36">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期末余额</w:t>
                </w:r>
              </w:p>
            </w:tc>
          </w:sdtContent>
        </w:sdt>
        <w:sdt>
          <w:sdtPr>
            <w:rPr>
              <w:rFonts w:ascii="Arial Narrow" w:hAnsi="Arial Narrow" w:eastAsiaTheme="minorEastAsia"/>
              <w:szCs w:val="21"/>
            </w:rPr>
            <w:tag w:val="_PLD_805e4b849be14c0ab0ca7f324971119b"/>
            <w:id w:val="-730546460"/>
          </w:sdtPr>
          <w:sdtEndPr>
            <w:rPr>
              <w:rFonts w:ascii="Arial Narrow" w:hAnsi="Arial Narrow" w:eastAsiaTheme="minorEastAsia"/>
              <w:szCs w:val="21"/>
            </w:rPr>
          </w:sdtEndPr>
          <w:sdtContent>
            <w:tc>
              <w:tcPr>
                <w:tcW w:w="1698" w:type="pct"/>
                <w:vAlign w:val="center"/>
              </w:tcPr>
              <w:p w14:paraId="41D93DAC">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期初余额</w:t>
                </w:r>
              </w:p>
            </w:tc>
          </w:sdtContent>
        </w:sdt>
      </w:tr>
      <w:tr w14:paraId="65AD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shd w:val="clear" w:color="auto" w:fill="auto"/>
          </w:tcPr>
          <w:p w14:paraId="4D66FC38">
            <w:pPr>
              <w:autoSpaceDE w:val="0"/>
              <w:autoSpaceDN w:val="0"/>
              <w:adjustRightInd w:val="0"/>
              <w:snapToGrid w:val="0"/>
              <w:spacing w:line="240" w:lineRule="atLeast"/>
              <w:jc w:val="both"/>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质押借款</w:t>
            </w:r>
          </w:p>
        </w:tc>
        <w:tc>
          <w:tcPr>
            <w:tcW w:w="1689" w:type="pct"/>
            <w:shd w:val="clear" w:color="auto" w:fill="auto"/>
            <w:vAlign w:val="center"/>
          </w:tcPr>
          <w:p w14:paraId="02E6D115">
            <w:pPr>
              <w:autoSpaceDE w:val="0"/>
              <w:autoSpaceDN w:val="0"/>
              <w:adjustRightInd w:val="0"/>
              <w:snapToGrid w:val="0"/>
              <w:spacing w:line="240" w:lineRule="atLeast"/>
              <w:ind w:right="180"/>
              <w:jc w:val="right"/>
              <w:rPr>
                <w:rFonts w:ascii="Arial Narrow" w:hAnsi="Arial Narrow" w:eastAsiaTheme="minorEastAsia"/>
                <w:szCs w:val="21"/>
              </w:rPr>
            </w:pPr>
          </w:p>
        </w:tc>
        <w:tc>
          <w:tcPr>
            <w:tcW w:w="1698" w:type="pct"/>
            <w:shd w:val="clear" w:color="auto" w:fill="auto"/>
            <w:vAlign w:val="center"/>
          </w:tcPr>
          <w:p w14:paraId="6BEFB2D9">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50,034,722.22</w:t>
            </w:r>
          </w:p>
        </w:tc>
      </w:tr>
      <w:tr w14:paraId="2707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shd w:val="clear" w:color="auto" w:fill="auto"/>
          </w:tcPr>
          <w:p w14:paraId="3ACDD02D">
            <w:pPr>
              <w:autoSpaceDE w:val="0"/>
              <w:autoSpaceDN w:val="0"/>
              <w:adjustRightInd w:val="0"/>
              <w:snapToGrid w:val="0"/>
              <w:spacing w:line="240" w:lineRule="atLeast"/>
              <w:jc w:val="both"/>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抵押借款</w:t>
            </w:r>
          </w:p>
        </w:tc>
        <w:tc>
          <w:tcPr>
            <w:tcW w:w="1689" w:type="pct"/>
            <w:shd w:val="clear" w:color="auto" w:fill="auto"/>
            <w:vAlign w:val="center"/>
          </w:tcPr>
          <w:p w14:paraId="04B82651">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10,009,583.33</w:t>
            </w:r>
          </w:p>
        </w:tc>
        <w:tc>
          <w:tcPr>
            <w:tcW w:w="1698" w:type="pct"/>
            <w:shd w:val="clear" w:color="auto" w:fill="auto"/>
            <w:vAlign w:val="center"/>
          </w:tcPr>
          <w:p w14:paraId="27A2AE58">
            <w:pPr>
              <w:autoSpaceDE w:val="0"/>
              <w:autoSpaceDN w:val="0"/>
              <w:adjustRightInd w:val="0"/>
              <w:snapToGrid w:val="0"/>
              <w:spacing w:line="240" w:lineRule="atLeast"/>
              <w:ind w:right="180"/>
              <w:jc w:val="right"/>
              <w:rPr>
                <w:rFonts w:ascii="Arial Narrow" w:hAnsi="Arial Narrow" w:eastAsiaTheme="minorEastAsia"/>
                <w:szCs w:val="21"/>
              </w:rPr>
            </w:pPr>
          </w:p>
        </w:tc>
      </w:tr>
      <w:tr w14:paraId="72CD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37" w:hRule="atLeast"/>
        </w:trPr>
        <w:tc>
          <w:tcPr>
            <w:tcW w:w="1613" w:type="pct"/>
            <w:shd w:val="clear" w:color="auto" w:fill="auto"/>
          </w:tcPr>
          <w:p w14:paraId="04EA6645">
            <w:pPr>
              <w:autoSpaceDE w:val="0"/>
              <w:autoSpaceDN w:val="0"/>
              <w:adjustRightInd w:val="0"/>
              <w:snapToGrid w:val="0"/>
              <w:spacing w:line="240" w:lineRule="atLeast"/>
              <w:jc w:val="both"/>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信用借款</w:t>
            </w:r>
          </w:p>
        </w:tc>
        <w:tc>
          <w:tcPr>
            <w:tcW w:w="1689" w:type="pct"/>
            <w:shd w:val="clear" w:color="auto" w:fill="auto"/>
            <w:vAlign w:val="center"/>
          </w:tcPr>
          <w:p w14:paraId="2F6219AB">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430,176,747.17</w:t>
            </w:r>
          </w:p>
        </w:tc>
        <w:tc>
          <w:tcPr>
            <w:tcW w:w="1698" w:type="pct"/>
            <w:shd w:val="clear" w:color="auto" w:fill="auto"/>
            <w:vAlign w:val="center"/>
          </w:tcPr>
          <w:p w14:paraId="617F7C3A">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344,648,717.19</w:t>
            </w:r>
          </w:p>
        </w:tc>
      </w:tr>
      <w:tr w14:paraId="4871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vAlign w:val="center"/>
          </w:tcPr>
          <w:p w14:paraId="3444087E">
            <w:pPr>
              <w:autoSpaceDE w:val="0"/>
              <w:autoSpaceDN w:val="0"/>
              <w:adjustRightInd w:val="0"/>
              <w:snapToGrid w:val="0"/>
              <w:spacing w:line="240" w:lineRule="atLeast"/>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689" w:type="pct"/>
            <w:vAlign w:val="center"/>
          </w:tcPr>
          <w:p w14:paraId="31069E4B">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440,186,330.50</w:t>
            </w:r>
          </w:p>
        </w:tc>
        <w:tc>
          <w:tcPr>
            <w:tcW w:w="1698" w:type="pct"/>
            <w:vAlign w:val="center"/>
          </w:tcPr>
          <w:p w14:paraId="65F378E3">
            <w:pPr>
              <w:autoSpaceDE w:val="0"/>
              <w:autoSpaceDN w:val="0"/>
              <w:adjustRightInd w:val="0"/>
              <w:snapToGrid w:val="0"/>
              <w:spacing w:line="240" w:lineRule="atLeast"/>
              <w:ind w:right="180"/>
              <w:jc w:val="right"/>
              <w:rPr>
                <w:rFonts w:ascii="Arial Narrow" w:hAnsi="Arial Narrow" w:eastAsiaTheme="minorEastAsia"/>
                <w:szCs w:val="21"/>
              </w:rPr>
            </w:pPr>
            <w:r>
              <w:rPr>
                <w:rFonts w:ascii="Arial Narrow" w:hAnsi="Arial Narrow" w:eastAsiaTheme="minorEastAsia"/>
                <w:color w:val="000000"/>
                <w:szCs w:val="21"/>
              </w:rPr>
              <w:t>394,683,439.41</w:t>
            </w:r>
          </w:p>
        </w:tc>
      </w:tr>
    </w:tbl>
    <w:p w14:paraId="475DD745">
      <w:pPr>
        <w:snapToGrid w:val="0"/>
        <w:spacing w:line="240" w:lineRule="atLeas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短期借款分类的说明：</w:t>
      </w:r>
    </w:p>
    <w:sdt>
      <w:sdtPr>
        <w:rPr>
          <w:szCs w:val="21"/>
        </w:rPr>
        <w:alias w:val="短期借款分类的说明"/>
        <w:tag w:val="_GBC_39c88fc069c44763b7ed661bff072142"/>
        <w:id w:val="-1820252326"/>
        <w:placeholder>
          <w:docPart w:val="GBC22222222222222222222222222222"/>
        </w:placeholder>
      </w:sdtPr>
      <w:sdtEndPr>
        <w:rPr>
          <w:szCs w:val="21"/>
        </w:rPr>
      </w:sdtEndPr>
      <w:sdtContent>
        <w:p w14:paraId="761851AC">
          <w:pPr>
            <w:snapToGrid w:val="0"/>
            <w:spacing w:line="240" w:lineRule="atLeast"/>
            <w:ind w:firstLine="420" w:firstLineChars="200"/>
            <w:rPr>
              <w:rFonts w:hint="eastAsia"/>
              <w:szCs w:val="21"/>
            </w:rPr>
          </w:pPr>
          <w:r>
            <w:rPr>
              <w:rFonts w:hint="eastAsia"/>
              <w:szCs w:val="21"/>
            </w:rPr>
            <w:t>抵押借款为本公司之子公司际华三五二二装具饰品有限公司以房产作为抵押物从中国邮政储蓄银行股份有限公司天津西青区支行取得借款1,000.00万元。</w:t>
          </w:r>
        </w:p>
      </w:sdtContent>
    </w:sdt>
    <w:p w14:paraId="1E022AFF">
      <w:pPr>
        <w:snapToGrid w:val="0"/>
        <w:spacing w:line="240" w:lineRule="atLeast"/>
        <w:rPr>
          <w:rFonts w:hint="eastAsia"/>
          <w:color w:val="000000" w:themeColor="text1"/>
          <w:szCs w:val="21"/>
          <w14:textFill>
            <w14:solidFill>
              <w14:schemeClr w14:val="tx1"/>
            </w14:solidFill>
          </w14:textFill>
        </w:rPr>
      </w:pPr>
    </w:p>
    <w:p w14:paraId="543847AF">
      <w:pPr>
        <w:pStyle w:val="71"/>
        <w:numPr>
          <w:ilvl w:val="0"/>
          <w:numId w:val="134"/>
        </w:numPr>
        <w:ind w:left="426" w:hanging="426"/>
        <w:rPr>
          <w:rFonts w:hint="eastAsia"/>
        </w:rPr>
      </w:pPr>
      <w:r>
        <w:rPr>
          <w:rFonts w:hint="eastAsia"/>
        </w:rPr>
        <w:t>已逾期未偿还的短期借款情况</w:t>
      </w:r>
    </w:p>
    <w:sdt>
      <w:sdtPr>
        <w:alias w:val="是否适用：已逾期未偿还的短期借款情况[双击切换]"/>
        <w:tag w:val="_GBC_b92057263cbf4b81a96df7b9d664c576"/>
        <w:id w:val="-257750288"/>
        <w:placeholder>
          <w:docPart w:val="GBC22222222222222222222222222222"/>
        </w:placeholder>
      </w:sdtPr>
      <w:sdtContent>
        <w:p w14:paraId="6E5BD06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3570AC9">
      <w:pPr>
        <w:rPr>
          <w:rFonts w:hint="eastAsia"/>
        </w:rPr>
      </w:pPr>
    </w:p>
    <w:p w14:paraId="4D45952A">
      <w:pPr>
        <w:rPr>
          <w:rFonts w:hint="eastAsia"/>
        </w:rPr>
      </w:pPr>
      <w:r>
        <w:t>其中重要的已逾期未偿还的短期借款情况如下：</w:t>
      </w:r>
    </w:p>
    <w:sdt>
      <w:sdtPr>
        <w:alias w:val="是否适用：其中重要的已逾期未偿还的短期借款情况[双击切换]"/>
        <w:tag w:val="_GBC_7c9437a678604c0382802a3e97f4d126"/>
        <w:id w:val="-335997685"/>
        <w:placeholder>
          <w:docPart w:val="GBC22222222222222222222222222222"/>
        </w:placeholder>
      </w:sdtPr>
      <w:sdtContent>
        <w:p w14:paraId="6B84044D">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1827847">
      <w:pPr>
        <w:rPr>
          <w:rFonts w:hint="eastAsia"/>
          <w:szCs w:val="21"/>
        </w:rPr>
      </w:pPr>
    </w:p>
    <w:p w14:paraId="42A5E094">
      <w:pPr>
        <w:rPr>
          <w:rFonts w:hint="eastAsia"/>
          <w:szCs w:val="21"/>
        </w:rPr>
      </w:pPr>
      <w:r>
        <w:rPr>
          <w:rFonts w:hint="eastAsia"/>
          <w:szCs w:val="21"/>
        </w:rPr>
        <w:t>其他说明：</w:t>
      </w:r>
    </w:p>
    <w:sdt>
      <w:sdtPr>
        <w:rPr>
          <w:szCs w:val="21"/>
        </w:rPr>
        <w:alias w:val="是否适用：短期借款的说明[双击切换]"/>
        <w:tag w:val="_GBC_c52256f82238457bbb4708bc99652730"/>
        <w:id w:val="-2128145079"/>
        <w:placeholder>
          <w:docPart w:val="GBC22222222222222222222222222222"/>
        </w:placeholder>
      </w:sdtPr>
      <w:sdtEndPr>
        <w:rPr>
          <w:szCs w:val="21"/>
        </w:rPr>
      </w:sdtEndPr>
      <w:sdtContent>
        <w:p w14:paraId="1678A07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CB14D8D">
      <w:pPr>
        <w:rPr>
          <w:rFonts w:hint="eastAsia"/>
          <w:szCs w:val="21"/>
        </w:rPr>
      </w:pPr>
    </w:p>
    <w:p w14:paraId="28F8DCE9">
      <w:pPr>
        <w:pStyle w:val="70"/>
        <w:numPr>
          <w:ilvl w:val="0"/>
          <w:numId w:val="109"/>
        </w:numPr>
        <w:rPr>
          <w:szCs w:val="21"/>
        </w:rPr>
      </w:pPr>
      <w:bookmarkStart w:id="339" w:name="_Hlk533422954"/>
      <w:bookmarkStart w:id="340" w:name="_Hlk533670147"/>
      <w:r>
        <w:rPr>
          <w:szCs w:val="21"/>
        </w:rPr>
        <w:t>交易性金融负债</w:t>
      </w:r>
    </w:p>
    <w:sdt>
      <w:sdtPr>
        <w:rPr>
          <w:szCs w:val="21"/>
        </w:rPr>
        <w:alias w:val="是否适用：交易性金融负债[双击切换]"/>
        <w:tag w:val="_GBC_c7e98597070f45a4a30160e35e818445"/>
        <w:id w:val="-461807441"/>
        <w:placeholder>
          <w:docPart w:val="GBC22222222222222222222222222222"/>
        </w:placeholder>
      </w:sdtPr>
      <w:sdtEndPr>
        <w:rPr>
          <w:szCs w:val="21"/>
        </w:rPr>
      </w:sdtEndPr>
      <w:sdtContent>
        <w:p w14:paraId="16152F2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4667290">
      <w:pPr>
        <w:rPr>
          <w:rFonts w:hint="eastAsia"/>
        </w:rPr>
      </w:pPr>
    </w:p>
    <w:p w14:paraId="45BE6BEB">
      <w:pPr>
        <w:rPr>
          <w:rFonts w:hint="eastAsia"/>
        </w:rPr>
      </w:pPr>
      <w:r>
        <w:rPr>
          <w:rFonts w:hint="eastAsia"/>
        </w:rPr>
        <w:t>其他</w:t>
      </w:r>
      <w:r>
        <w:t>说明</w:t>
      </w:r>
      <w:r>
        <w:rPr>
          <w:rFonts w:hint="eastAsia"/>
        </w:rPr>
        <w:t>：</w:t>
      </w:r>
    </w:p>
    <w:sdt>
      <w:sdtPr>
        <w:rPr>
          <w:szCs w:val="21"/>
        </w:rPr>
        <w:alias w:val="是否适用：交易性金融负债的说明[双击切换]"/>
        <w:tag w:val="_GBC_995f4c24d1994336b676a94c12f11d69"/>
        <w:id w:val="2081093200"/>
        <w:placeholder>
          <w:docPart w:val="GBC22222222222222222222222222222"/>
        </w:placeholder>
      </w:sdtPr>
      <w:sdtEndPr>
        <w:rPr>
          <w:szCs w:val="21"/>
        </w:rPr>
      </w:sdtEndPr>
      <w:sdtContent>
        <w:p w14:paraId="4CF65DB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2771FFC">
      <w:pPr>
        <w:rPr>
          <w:rFonts w:hint="eastAsia"/>
          <w:szCs w:val="21"/>
        </w:rPr>
      </w:pPr>
    </w:p>
    <w:bookmarkEnd w:id="339"/>
    <w:bookmarkEnd w:id="340"/>
    <w:p w14:paraId="4F12D7D8">
      <w:pPr>
        <w:pStyle w:val="70"/>
        <w:numPr>
          <w:ilvl w:val="0"/>
          <w:numId w:val="109"/>
        </w:numPr>
        <w:rPr>
          <w:szCs w:val="21"/>
        </w:rPr>
      </w:pPr>
      <w:r>
        <w:rPr>
          <w:szCs w:val="21"/>
        </w:rPr>
        <w:t>衍生金融负债</w:t>
      </w:r>
    </w:p>
    <w:p w14:paraId="20EF5662">
      <w:pPr>
        <w:rPr>
          <w:rFonts w:hint="eastAsia"/>
          <w:szCs w:val="21"/>
        </w:rPr>
      </w:pPr>
      <w:sdt>
        <w:sdtPr>
          <w:rPr>
            <w:szCs w:val="21"/>
          </w:rPr>
          <w:alias w:val="是否适用：衍生金融负债[双击切换]"/>
          <w:tag w:val="_GBC_9a70de9cca174edeb1bce62f4a47d15c"/>
          <w:id w:val="-745342165"/>
          <w:placeholder>
            <w:docPart w:val="GBC22222222222222222222222222222"/>
          </w:placeholder>
        </w:sdtPr>
        <w:sdtEndPr>
          <w:rPr>
            <w:szCs w:val="21"/>
          </w:rPr>
        </w:sdtEndPr>
        <w:sdtContent>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sdtContent>
      </w:sdt>
    </w:p>
    <w:p w14:paraId="3141B956">
      <w:pPr>
        <w:rPr>
          <w:rFonts w:hint="eastAsia"/>
          <w:szCs w:val="21"/>
        </w:rPr>
      </w:pPr>
    </w:p>
    <w:p w14:paraId="416FEAD0">
      <w:pPr>
        <w:rPr>
          <w:rFonts w:hint="eastAsia"/>
          <w:szCs w:val="21"/>
        </w:rPr>
      </w:pPr>
    </w:p>
    <w:p w14:paraId="7D900DD8">
      <w:pPr>
        <w:pStyle w:val="70"/>
        <w:numPr>
          <w:ilvl w:val="0"/>
          <w:numId w:val="109"/>
        </w:numPr>
        <w:rPr>
          <w:szCs w:val="21"/>
        </w:rPr>
      </w:pPr>
      <w:r>
        <w:rPr>
          <w:szCs w:val="21"/>
        </w:rPr>
        <w:t>应付票据</w:t>
      </w:r>
    </w:p>
    <w:p w14:paraId="1A7000F8">
      <w:pPr>
        <w:pStyle w:val="71"/>
        <w:numPr>
          <w:ilvl w:val="0"/>
          <w:numId w:val="135"/>
        </w:numPr>
        <w:ind w:left="426" w:hanging="426"/>
        <w:rPr>
          <w:rFonts w:hint="eastAsia"/>
        </w:rPr>
      </w:pPr>
      <w:r>
        <w:rPr>
          <w:rFonts w:hint="eastAsia"/>
        </w:rPr>
        <w:t>应付票据列示</w:t>
      </w:r>
    </w:p>
    <w:sdt>
      <w:sdtPr>
        <w:alias w:val="是否适用：应付票据[双击切换]"/>
        <w:tag w:val="_GBC_c0116f9cd6f34dcfa483a1f112dac85a"/>
        <w:id w:val="-10227924"/>
        <w:lock w:val="contentLocked"/>
        <w:placeholder>
          <w:docPart w:val="GBC22222222222222222222222222222"/>
        </w:placeholder>
      </w:sdtPr>
      <w:sdtContent>
        <w:p w14:paraId="55E1FA5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51581CC">
      <w:pPr>
        <w:jc w:val="right"/>
        <w:rPr>
          <w:rFonts w:hint="eastAsia"/>
        </w:rPr>
      </w:pPr>
      <w:r>
        <w:rPr>
          <w:rFonts w:hint="eastAsia"/>
        </w:rPr>
        <w:t>单位：</w:t>
      </w:r>
      <w:sdt>
        <w:sdtPr>
          <w:rPr>
            <w:rFonts w:hint="eastAsia"/>
          </w:rPr>
          <w:alias w:val="单位：财务附注：应付票据"/>
          <w:tag w:val="_GBC_15d55f1cad24473fb8cfaa98468213e2"/>
          <w:id w:val="-230468802"/>
          <w:placeholder>
            <w:docPart w:val="81BF30C7453646408418514C553B6FEB"/>
          </w:placeholder>
          <w:dataBinding w:prefixMappings="xmlns:clcid-ci-ar='clcid-ci-ar'" w:xpath="/*/clcid-ci-ar:DanWeiCaiWuFuZhuYingFuPiaoJ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908836855"/>
          <w:placeholder>
            <w:docPart w:val="81BF30C7453646408418514C553B6FE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3312"/>
        <w:gridCol w:w="3219"/>
      </w:tblGrid>
      <w:tr w14:paraId="5932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73e624e5fe424f71bbf918594e2a1c9a"/>
            <w:id w:val="-471596599"/>
          </w:sdtPr>
          <w:sdtEndPr>
            <w:rPr>
              <w:rFonts w:ascii="Arial Narrow" w:hAnsi="Arial Narrow" w:eastAsiaTheme="minorEastAsia"/>
              <w:szCs w:val="21"/>
            </w:rPr>
          </w:sdtEndPr>
          <w:sdtContent>
            <w:tc>
              <w:tcPr>
                <w:tcW w:w="1299" w:type="pct"/>
                <w:vAlign w:val="center"/>
              </w:tcPr>
              <w:p w14:paraId="65213D68">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种类</w:t>
                </w:r>
              </w:p>
            </w:tc>
          </w:sdtContent>
        </w:sdt>
        <w:sdt>
          <w:sdtPr>
            <w:rPr>
              <w:rFonts w:ascii="Arial Narrow" w:hAnsi="Arial Narrow" w:eastAsiaTheme="minorEastAsia"/>
              <w:szCs w:val="21"/>
            </w:rPr>
            <w:tag w:val="_PLD_cca40679bdc548d8af0315d52fd2660e"/>
            <w:id w:val="-1184887881"/>
          </w:sdtPr>
          <w:sdtEndPr>
            <w:rPr>
              <w:rFonts w:ascii="Arial Narrow" w:hAnsi="Arial Narrow" w:eastAsiaTheme="minorEastAsia"/>
              <w:szCs w:val="21"/>
            </w:rPr>
          </w:sdtEndPr>
          <w:sdtContent>
            <w:tc>
              <w:tcPr>
                <w:tcW w:w="1877" w:type="pct"/>
                <w:vAlign w:val="center"/>
              </w:tcPr>
              <w:p w14:paraId="473DB7DE">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6429209ce46840dba67a32ae31e71913"/>
            <w:id w:val="-1407224944"/>
          </w:sdtPr>
          <w:sdtEndPr>
            <w:rPr>
              <w:rFonts w:ascii="Arial Narrow" w:hAnsi="Arial Narrow" w:eastAsiaTheme="minorEastAsia"/>
              <w:szCs w:val="21"/>
            </w:rPr>
          </w:sdtEndPr>
          <w:sdtContent>
            <w:tc>
              <w:tcPr>
                <w:tcW w:w="1824" w:type="pct"/>
                <w:vAlign w:val="center"/>
              </w:tcPr>
              <w:p w14:paraId="25C38782">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期初余额</w:t>
                </w:r>
              </w:p>
            </w:tc>
          </w:sdtContent>
        </w:sdt>
      </w:tr>
      <w:tr w14:paraId="2840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8355a82a67d34753a3fc963fb2f86238"/>
            <w:id w:val="-1551767945"/>
          </w:sdtPr>
          <w:sdtEndPr>
            <w:rPr>
              <w:rFonts w:ascii="Arial Narrow" w:hAnsi="Arial Narrow" w:eastAsiaTheme="minorEastAsia"/>
              <w:szCs w:val="21"/>
            </w:rPr>
          </w:sdtEndPr>
          <w:sdtContent>
            <w:tc>
              <w:tcPr>
                <w:tcW w:w="1299" w:type="pct"/>
                <w:shd w:val="clear" w:color="auto" w:fill="auto"/>
              </w:tcPr>
              <w:p w14:paraId="77F9134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商业承兑汇票</w:t>
                </w:r>
              </w:p>
            </w:tc>
          </w:sdtContent>
        </w:sdt>
        <w:tc>
          <w:tcPr>
            <w:tcW w:w="1877" w:type="pct"/>
            <w:shd w:val="clear" w:color="auto" w:fill="auto"/>
            <w:vAlign w:val="center"/>
          </w:tcPr>
          <w:p w14:paraId="2964B261">
            <w:pPr>
              <w:ind w:right="13"/>
              <w:jc w:val="right"/>
              <w:rPr>
                <w:rFonts w:ascii="Arial Narrow" w:hAnsi="Arial Narrow" w:eastAsiaTheme="minorEastAsia"/>
                <w:szCs w:val="21"/>
              </w:rPr>
            </w:pPr>
            <w:r>
              <w:rPr>
                <w:rFonts w:ascii="Arial Narrow" w:hAnsi="Arial Narrow" w:eastAsiaTheme="minorEastAsia"/>
                <w:color w:val="000000"/>
                <w:szCs w:val="21"/>
              </w:rPr>
              <w:t>17,470,000.00</w:t>
            </w:r>
          </w:p>
        </w:tc>
        <w:tc>
          <w:tcPr>
            <w:tcW w:w="1824" w:type="pct"/>
            <w:shd w:val="clear" w:color="auto" w:fill="auto"/>
            <w:vAlign w:val="center"/>
          </w:tcPr>
          <w:p w14:paraId="171C0031">
            <w:pPr>
              <w:jc w:val="right"/>
              <w:rPr>
                <w:rFonts w:ascii="Arial Narrow" w:hAnsi="Arial Narrow" w:eastAsiaTheme="minorEastAsia"/>
                <w:szCs w:val="21"/>
              </w:rPr>
            </w:pPr>
            <w:r>
              <w:rPr>
                <w:rFonts w:ascii="Arial Narrow" w:hAnsi="Arial Narrow" w:eastAsiaTheme="minorEastAsia"/>
                <w:color w:val="000000"/>
                <w:szCs w:val="21"/>
              </w:rPr>
              <w:t>6,000,000.00</w:t>
            </w:r>
          </w:p>
        </w:tc>
      </w:tr>
      <w:tr w14:paraId="2ED1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f377c5f3aa1b4c669a448f31632245aa"/>
            <w:id w:val="-918560633"/>
          </w:sdtPr>
          <w:sdtEndPr>
            <w:rPr>
              <w:rFonts w:ascii="Arial Narrow" w:hAnsi="Arial Narrow" w:eastAsiaTheme="minorEastAsia"/>
              <w:szCs w:val="21"/>
            </w:rPr>
          </w:sdtEndPr>
          <w:sdtContent>
            <w:tc>
              <w:tcPr>
                <w:tcW w:w="1299" w:type="pct"/>
                <w:shd w:val="clear" w:color="auto" w:fill="auto"/>
              </w:tcPr>
              <w:p w14:paraId="3F1F706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银行承兑汇票</w:t>
                </w:r>
              </w:p>
            </w:tc>
          </w:sdtContent>
        </w:sdt>
        <w:tc>
          <w:tcPr>
            <w:tcW w:w="1877" w:type="pct"/>
            <w:shd w:val="clear" w:color="auto" w:fill="auto"/>
            <w:vAlign w:val="center"/>
          </w:tcPr>
          <w:p w14:paraId="34273A1E">
            <w:pPr>
              <w:ind w:right="13"/>
              <w:jc w:val="right"/>
              <w:rPr>
                <w:rFonts w:ascii="Arial Narrow" w:hAnsi="Arial Narrow" w:eastAsiaTheme="minorEastAsia"/>
                <w:szCs w:val="21"/>
              </w:rPr>
            </w:pPr>
            <w:r>
              <w:rPr>
                <w:rFonts w:ascii="Arial Narrow" w:hAnsi="Arial Narrow" w:eastAsiaTheme="minorEastAsia"/>
                <w:color w:val="000000"/>
                <w:szCs w:val="21"/>
              </w:rPr>
              <w:t>489,812,516.18</w:t>
            </w:r>
          </w:p>
        </w:tc>
        <w:tc>
          <w:tcPr>
            <w:tcW w:w="1824" w:type="pct"/>
            <w:shd w:val="clear" w:color="auto" w:fill="auto"/>
            <w:vAlign w:val="center"/>
          </w:tcPr>
          <w:p w14:paraId="5FED548F">
            <w:pPr>
              <w:jc w:val="right"/>
              <w:rPr>
                <w:rFonts w:ascii="Arial Narrow" w:hAnsi="Arial Narrow" w:eastAsiaTheme="minorEastAsia"/>
                <w:szCs w:val="21"/>
              </w:rPr>
            </w:pPr>
            <w:r>
              <w:rPr>
                <w:rFonts w:ascii="Arial Narrow" w:hAnsi="Arial Narrow" w:eastAsiaTheme="minorEastAsia"/>
                <w:color w:val="000000"/>
                <w:szCs w:val="21"/>
              </w:rPr>
              <w:t>620,159,821.59</w:t>
            </w:r>
          </w:p>
        </w:tc>
      </w:tr>
      <w:sdt>
        <w:sdtPr>
          <w:rPr>
            <w:rFonts w:ascii="Arial Narrow" w:hAnsi="Arial Narrow" w:eastAsiaTheme="minorEastAsia"/>
            <w:szCs w:val="21"/>
          </w:rPr>
          <w:alias w:val="应付票据明细"/>
          <w:tag w:val="_TUP_2617b8494e134e94b74596015ded9389"/>
          <w:id w:val="-107507761"/>
          <w:placeholder>
            <w:docPart w:val="FE5A1CDAD92E40F38C13C18CCD7942B0"/>
          </w:placeholder>
        </w:sdtPr>
        <w:sdtEndPr>
          <w:rPr>
            <w:rFonts w:ascii="Arial Narrow" w:hAnsi="Arial Narrow" w:eastAsiaTheme="minorEastAsia"/>
            <w:color w:val="000000"/>
            <w:szCs w:val="21"/>
          </w:rPr>
        </w:sdtEndPr>
        <w:sdtContent>
          <w:tr w14:paraId="59C3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9" w:type="pct"/>
                <w:shd w:val="clear" w:color="auto" w:fill="auto"/>
              </w:tcPr>
              <w:p w14:paraId="41A374A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财务公司承兑汇票</w:t>
                </w:r>
              </w:p>
            </w:tc>
            <w:tc>
              <w:tcPr>
                <w:tcW w:w="1877" w:type="pct"/>
                <w:shd w:val="clear" w:color="auto" w:fill="auto"/>
                <w:vAlign w:val="center"/>
              </w:tcPr>
              <w:p w14:paraId="36BE3D46">
                <w:pPr>
                  <w:ind w:right="13"/>
                  <w:jc w:val="right"/>
                  <w:rPr>
                    <w:rFonts w:ascii="Arial Narrow" w:hAnsi="Arial Narrow" w:eastAsiaTheme="minorEastAsia"/>
                    <w:szCs w:val="21"/>
                  </w:rPr>
                </w:pPr>
                <w:r>
                  <w:rPr>
                    <w:rFonts w:ascii="Arial Narrow" w:hAnsi="Arial Narrow" w:eastAsiaTheme="minorEastAsia"/>
                    <w:color w:val="000000"/>
                    <w:szCs w:val="21"/>
                  </w:rPr>
                  <w:t>50,009,000.00</w:t>
                </w:r>
              </w:p>
            </w:tc>
            <w:tc>
              <w:tcPr>
                <w:tcW w:w="1824" w:type="pct"/>
                <w:shd w:val="clear" w:color="auto" w:fill="auto"/>
                <w:vAlign w:val="center"/>
              </w:tcPr>
              <w:p w14:paraId="3B4178C7">
                <w:pPr>
                  <w:jc w:val="right"/>
                  <w:rPr>
                    <w:rFonts w:ascii="Arial Narrow" w:hAnsi="Arial Narrow" w:eastAsiaTheme="minorEastAsia"/>
                    <w:szCs w:val="21"/>
                  </w:rPr>
                </w:pPr>
                <w:r>
                  <w:rPr>
                    <w:rFonts w:ascii="Arial Narrow" w:hAnsi="Arial Narrow" w:eastAsiaTheme="minorEastAsia"/>
                    <w:color w:val="000000"/>
                    <w:szCs w:val="21"/>
                  </w:rPr>
                  <w:t>40,500,000.00</w:t>
                </w:r>
              </w:p>
            </w:tc>
          </w:tr>
        </w:sdtContent>
      </w:sdt>
      <w:tr w14:paraId="131E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d9ecb67ca389423d99aef124c2e3d0b9"/>
            <w:id w:val="-71431415"/>
          </w:sdtPr>
          <w:sdtEndPr>
            <w:rPr>
              <w:rFonts w:ascii="Arial Narrow" w:hAnsi="Arial Narrow" w:eastAsiaTheme="minorEastAsia"/>
              <w:szCs w:val="21"/>
            </w:rPr>
          </w:sdtEndPr>
          <w:sdtContent>
            <w:tc>
              <w:tcPr>
                <w:tcW w:w="1299" w:type="pct"/>
                <w:vAlign w:val="center"/>
              </w:tcPr>
              <w:p w14:paraId="392E8F8A">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sdtContent>
        </w:sdt>
        <w:tc>
          <w:tcPr>
            <w:tcW w:w="1877" w:type="pct"/>
            <w:vAlign w:val="center"/>
          </w:tcPr>
          <w:p w14:paraId="4A4571C1">
            <w:pPr>
              <w:jc w:val="right"/>
              <w:rPr>
                <w:rFonts w:ascii="Arial Narrow" w:hAnsi="Arial Narrow" w:eastAsiaTheme="minorEastAsia"/>
                <w:szCs w:val="21"/>
              </w:rPr>
            </w:pPr>
            <w:r>
              <w:rPr>
                <w:rFonts w:ascii="Arial Narrow" w:hAnsi="Arial Narrow" w:eastAsiaTheme="minorEastAsia"/>
                <w:color w:val="000000"/>
                <w:szCs w:val="21"/>
              </w:rPr>
              <w:t>557,291,516.18</w:t>
            </w:r>
          </w:p>
        </w:tc>
        <w:tc>
          <w:tcPr>
            <w:tcW w:w="1824" w:type="pct"/>
            <w:vAlign w:val="center"/>
          </w:tcPr>
          <w:p w14:paraId="6529E409">
            <w:pPr>
              <w:jc w:val="right"/>
              <w:rPr>
                <w:rFonts w:ascii="Arial Narrow" w:hAnsi="Arial Narrow" w:eastAsiaTheme="minorEastAsia"/>
                <w:szCs w:val="21"/>
              </w:rPr>
            </w:pPr>
            <w:r>
              <w:rPr>
                <w:rFonts w:ascii="Arial Narrow" w:hAnsi="Arial Narrow" w:eastAsiaTheme="minorEastAsia"/>
                <w:color w:val="000000"/>
                <w:szCs w:val="21"/>
              </w:rPr>
              <w:t>666,659,821.59</w:t>
            </w:r>
          </w:p>
        </w:tc>
      </w:tr>
    </w:tbl>
    <w:p w14:paraId="032BA187">
      <w:pPr>
        <w:snapToGrid w:val="0"/>
        <w:spacing w:line="240" w:lineRule="atLeast"/>
        <w:rPr>
          <w:rFonts w:hint="eastAsia"/>
          <w:szCs w:val="21"/>
        </w:rPr>
      </w:pPr>
      <w:r>
        <w:rPr>
          <w:rFonts w:hint="eastAsia"/>
          <w:szCs w:val="21"/>
        </w:rPr>
        <w:t>本期末已到期未支付的应付票据总额为</w:t>
      </w:r>
      <w:sdt>
        <w:sdtPr>
          <w:rPr>
            <w:rFonts w:hint="eastAsia"/>
            <w:szCs w:val="21"/>
          </w:rPr>
          <w:alias w:val="已到期未支付的应付票据总额"/>
          <w:tag w:val="_GBC_0987f9272cb2419f937357595042911e"/>
          <w:id w:val="-1530947699"/>
          <w:placeholder>
            <w:docPart w:val="81BF30C7453646408418514C553B6FEB"/>
          </w:placeholder>
        </w:sdtPr>
        <w:sdtEndPr>
          <w:rPr>
            <w:rFonts w:hint="eastAsia"/>
            <w:szCs w:val="21"/>
          </w:rPr>
        </w:sdtEndPr>
        <w:sdtContent>
          <w:r>
            <w:rPr>
              <w:rFonts w:hint="eastAsia"/>
              <w:szCs w:val="21"/>
            </w:rPr>
            <w:t>0</w:t>
          </w:r>
        </w:sdtContent>
      </w:sdt>
      <w:r>
        <w:rPr>
          <w:rFonts w:hint="eastAsia"/>
          <w:szCs w:val="21"/>
        </w:rPr>
        <w:t xml:space="preserve"> </w:t>
      </w:r>
      <w:sdt>
        <w:sdtPr>
          <w:rPr>
            <w:rFonts w:hint="eastAsia"/>
            <w:szCs w:val="21"/>
          </w:rPr>
          <w:alias w:val="单位：财务附注：应付票据"/>
          <w:tag w:val="_GBC_f1610b1fed6e494b87377ce35347d10d"/>
          <w:id w:val="1264029329"/>
          <w:placeholder>
            <w:docPart w:val="81BF30C7453646408418514C553B6FEB"/>
          </w:placeholder>
          <w:dataBinding w:prefixMappings="xmlns:clcid-ci-ar='clcid-ci-ar'" w:xpath="/*/clcid-ci-ar:DanWeiCaiWuFuZhuYingFuPiaoJ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。到期未付的原因是</w:t>
      </w:r>
      <w:sdt>
        <w:sdtPr>
          <w:rPr>
            <w:rFonts w:hint="eastAsia"/>
            <w:szCs w:val="21"/>
          </w:rPr>
          <w:alias w:val="应付票据到期未付的原因"/>
          <w:tag w:val="_GBC_7f73cbd02b7f4388af4ef7afbedd1152"/>
          <w:id w:val="-1558770691"/>
          <w:placeholder>
            <w:docPart w:val="81BF30C7453646408418514C553B6FEB"/>
          </w:placeholder>
        </w:sdtPr>
        <w:sdtEndPr>
          <w:rPr>
            <w:rFonts w:hint="eastAsia"/>
            <w:szCs w:val="21"/>
          </w:rPr>
        </w:sdtEndPr>
        <w:sdtContent>
          <w:r>
            <w:rPr>
              <w:rFonts w:hint="eastAsia"/>
              <w:szCs w:val="21"/>
            </w:rPr>
            <w:t>无</w:t>
          </w:r>
        </w:sdtContent>
      </w:sdt>
    </w:p>
    <w:p w14:paraId="2D115B0E">
      <w:pPr>
        <w:rPr>
          <w:rFonts w:hint="eastAsia"/>
          <w:szCs w:val="21"/>
        </w:rPr>
      </w:pPr>
    </w:p>
    <w:p w14:paraId="6F612F45">
      <w:pPr>
        <w:pStyle w:val="70"/>
        <w:numPr>
          <w:ilvl w:val="0"/>
          <w:numId w:val="109"/>
        </w:numPr>
        <w:rPr>
          <w:szCs w:val="21"/>
        </w:rPr>
      </w:pPr>
      <w:r>
        <w:rPr>
          <w:szCs w:val="21"/>
        </w:rPr>
        <w:t>应付账款</w:t>
      </w:r>
    </w:p>
    <w:p w14:paraId="7E5F6C70">
      <w:pPr>
        <w:pStyle w:val="71"/>
        <w:numPr>
          <w:ilvl w:val="0"/>
          <w:numId w:val="136"/>
        </w:numPr>
        <w:ind w:left="426" w:hanging="426"/>
        <w:rPr>
          <w:rFonts w:hint="eastAsia"/>
        </w:rPr>
      </w:pPr>
      <w:r>
        <w:rPr>
          <w:rFonts w:hint="eastAsia"/>
        </w:rPr>
        <w:t>应付账款列示</w:t>
      </w:r>
    </w:p>
    <w:sdt>
      <w:sdtPr>
        <w:alias w:val="是否适用：应付账款列示[双击切换]"/>
        <w:tag w:val="_GBC_dfb190a9e762454c9f89eb6be64b6eae"/>
        <w:id w:val="-2063699169"/>
        <w:placeholder>
          <w:docPart w:val="GBC22222222222222222222222222222"/>
        </w:placeholder>
      </w:sdtPr>
      <w:sdtContent>
        <w:p w14:paraId="2DD006F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0A8ECF5">
      <w:pPr>
        <w:jc w:val="right"/>
        <w:rPr>
          <w:rFonts w:hint="eastAsia"/>
          <w:szCs w:val="21"/>
        </w:rPr>
      </w:pPr>
      <w:r>
        <w:rPr>
          <w:rFonts w:hint="eastAsia"/>
          <w:szCs w:val="21"/>
        </w:rPr>
        <w:t>单位：</w:t>
      </w:r>
      <w:sdt>
        <w:sdtPr>
          <w:rPr>
            <w:rFonts w:hint="eastAsia"/>
            <w:szCs w:val="21"/>
          </w:rPr>
          <w:alias w:val="单位：财务附注：应付账款情况"/>
          <w:tag w:val="_GBC_c14fe17937b74139aa7e100941fb21e9"/>
          <w:id w:val="-7123474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856886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1"/>
        <w:gridCol w:w="2795"/>
        <w:gridCol w:w="3257"/>
      </w:tblGrid>
      <w:tr w14:paraId="3350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8270d78e97cf4a1cb18154c5c5dafe58"/>
            <w:id w:val="-722054619"/>
          </w:sdtPr>
          <w:sdtEndPr>
            <w:rPr>
              <w:rFonts w:ascii="Arial Narrow" w:hAnsi="Arial Narrow" w:eastAsiaTheme="minorEastAsia"/>
              <w:szCs w:val="21"/>
            </w:rPr>
          </w:sdtEndPr>
          <w:sdtContent>
            <w:tc>
              <w:tcPr>
                <w:tcW w:w="1570" w:type="pct"/>
                <w:shd w:val="clear" w:color="auto" w:fill="auto"/>
              </w:tcPr>
              <w:p w14:paraId="0B972CB4">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56127cd5754c44aaacae0a1320139a7a"/>
            <w:id w:val="-1602478276"/>
          </w:sdtPr>
          <w:sdtEndPr>
            <w:rPr>
              <w:rFonts w:ascii="Arial Narrow" w:hAnsi="Arial Narrow" w:eastAsiaTheme="minorEastAsia"/>
              <w:szCs w:val="21"/>
            </w:rPr>
          </w:sdtEndPr>
          <w:sdtContent>
            <w:tc>
              <w:tcPr>
                <w:tcW w:w="1584" w:type="pct"/>
                <w:shd w:val="clear" w:color="auto" w:fill="auto"/>
              </w:tcPr>
              <w:p w14:paraId="419AA39F">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27c6d2ca479446539fe00ab23ee1dc13"/>
            <w:id w:val="-2093308798"/>
          </w:sdtPr>
          <w:sdtEndPr>
            <w:rPr>
              <w:rFonts w:ascii="Arial Narrow" w:hAnsi="Arial Narrow" w:eastAsiaTheme="minorEastAsia"/>
              <w:szCs w:val="21"/>
            </w:rPr>
          </w:sdtEndPr>
          <w:sdtContent>
            <w:tc>
              <w:tcPr>
                <w:tcW w:w="1846" w:type="pct"/>
                <w:shd w:val="clear" w:color="auto" w:fill="auto"/>
              </w:tcPr>
              <w:p w14:paraId="6483E75F">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38CB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223C09BF">
            <w:pPr>
              <w:rPr>
                <w:rFonts w:ascii="Arial Narrow" w:hAnsi="Arial Narrow" w:eastAsiaTheme="minorEastAsia"/>
                <w:szCs w:val="21"/>
              </w:rPr>
            </w:pPr>
            <w:r>
              <w:rPr>
                <w:rFonts w:ascii="Arial Narrow" w:hAnsi="Arial Narrow" w:eastAsiaTheme="minorEastAsia"/>
                <w:color w:val="000000"/>
                <w:szCs w:val="21"/>
              </w:rPr>
              <w:t>应付材料款</w:t>
            </w:r>
          </w:p>
        </w:tc>
        <w:tc>
          <w:tcPr>
            <w:tcW w:w="1584" w:type="pct"/>
            <w:shd w:val="clear" w:color="auto" w:fill="auto"/>
            <w:vAlign w:val="center"/>
          </w:tcPr>
          <w:p w14:paraId="744E9A1C">
            <w:pPr>
              <w:jc w:val="right"/>
              <w:rPr>
                <w:rFonts w:ascii="Arial Narrow" w:hAnsi="Arial Narrow" w:eastAsiaTheme="minorEastAsia"/>
                <w:szCs w:val="21"/>
              </w:rPr>
            </w:pPr>
            <w:r>
              <w:rPr>
                <w:rFonts w:ascii="Arial Narrow" w:hAnsi="Arial Narrow" w:eastAsiaTheme="minorEastAsia"/>
                <w:color w:val="000000"/>
                <w:szCs w:val="21"/>
              </w:rPr>
              <w:t>1,648,231,398.68</w:t>
            </w:r>
          </w:p>
        </w:tc>
        <w:tc>
          <w:tcPr>
            <w:tcW w:w="1846" w:type="pct"/>
            <w:shd w:val="clear" w:color="auto" w:fill="auto"/>
            <w:vAlign w:val="center"/>
          </w:tcPr>
          <w:p w14:paraId="067B0715">
            <w:pPr>
              <w:jc w:val="right"/>
              <w:rPr>
                <w:rFonts w:ascii="Arial Narrow" w:hAnsi="Arial Narrow" w:eastAsiaTheme="minorEastAsia"/>
                <w:szCs w:val="21"/>
              </w:rPr>
            </w:pPr>
            <w:r>
              <w:rPr>
                <w:rFonts w:ascii="Arial Narrow" w:hAnsi="Arial Narrow" w:eastAsiaTheme="minorEastAsia"/>
                <w:color w:val="000000"/>
                <w:szCs w:val="21"/>
              </w:rPr>
              <w:t>2,181,169,964.64</w:t>
            </w:r>
          </w:p>
        </w:tc>
      </w:tr>
      <w:tr w14:paraId="74CC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199BB7A2">
            <w:pPr>
              <w:rPr>
                <w:rFonts w:ascii="Arial Narrow" w:hAnsi="Arial Narrow" w:eastAsiaTheme="minorEastAsia"/>
                <w:szCs w:val="21"/>
              </w:rPr>
            </w:pPr>
            <w:r>
              <w:rPr>
                <w:rFonts w:ascii="Arial Narrow" w:hAnsi="Arial Narrow" w:eastAsiaTheme="minorEastAsia"/>
                <w:color w:val="000000"/>
                <w:szCs w:val="21"/>
              </w:rPr>
              <w:t>应付劳务费</w:t>
            </w:r>
          </w:p>
        </w:tc>
        <w:tc>
          <w:tcPr>
            <w:tcW w:w="1584" w:type="pct"/>
            <w:shd w:val="clear" w:color="auto" w:fill="auto"/>
            <w:vAlign w:val="center"/>
          </w:tcPr>
          <w:p w14:paraId="05E07944">
            <w:pPr>
              <w:jc w:val="right"/>
              <w:rPr>
                <w:rFonts w:ascii="Arial Narrow" w:hAnsi="Arial Narrow" w:eastAsiaTheme="minorEastAsia"/>
                <w:szCs w:val="21"/>
              </w:rPr>
            </w:pPr>
            <w:r>
              <w:rPr>
                <w:rFonts w:ascii="Arial Narrow" w:hAnsi="Arial Narrow" w:eastAsiaTheme="minorEastAsia"/>
                <w:color w:val="000000"/>
                <w:szCs w:val="21"/>
              </w:rPr>
              <w:t>456,347,943.93</w:t>
            </w:r>
          </w:p>
        </w:tc>
        <w:tc>
          <w:tcPr>
            <w:tcW w:w="1846" w:type="pct"/>
            <w:shd w:val="clear" w:color="auto" w:fill="auto"/>
            <w:vAlign w:val="center"/>
          </w:tcPr>
          <w:p w14:paraId="0F98D267">
            <w:pPr>
              <w:jc w:val="right"/>
              <w:rPr>
                <w:rFonts w:ascii="Arial Narrow" w:hAnsi="Arial Narrow" w:eastAsiaTheme="minorEastAsia"/>
                <w:szCs w:val="21"/>
              </w:rPr>
            </w:pPr>
            <w:r>
              <w:rPr>
                <w:rFonts w:ascii="Arial Narrow" w:hAnsi="Arial Narrow" w:eastAsiaTheme="minorEastAsia"/>
                <w:color w:val="000000"/>
                <w:szCs w:val="21"/>
              </w:rPr>
              <w:t>433,492,042.72</w:t>
            </w:r>
          </w:p>
        </w:tc>
      </w:tr>
      <w:tr w14:paraId="012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337C94EF">
            <w:pPr>
              <w:rPr>
                <w:rFonts w:ascii="Arial Narrow" w:hAnsi="Arial Narrow" w:eastAsiaTheme="minorEastAsia"/>
                <w:szCs w:val="21"/>
              </w:rPr>
            </w:pPr>
            <w:r>
              <w:rPr>
                <w:rFonts w:ascii="Arial Narrow" w:hAnsi="Arial Narrow" w:eastAsiaTheme="minorEastAsia"/>
                <w:color w:val="000000"/>
                <w:szCs w:val="21"/>
              </w:rPr>
              <w:t>应付货款</w:t>
            </w:r>
          </w:p>
        </w:tc>
        <w:tc>
          <w:tcPr>
            <w:tcW w:w="1584" w:type="pct"/>
            <w:shd w:val="clear" w:color="auto" w:fill="auto"/>
            <w:vAlign w:val="center"/>
          </w:tcPr>
          <w:p w14:paraId="4D6A70E9">
            <w:pPr>
              <w:jc w:val="right"/>
              <w:rPr>
                <w:rFonts w:ascii="Arial Narrow" w:hAnsi="Arial Narrow" w:eastAsiaTheme="minorEastAsia"/>
                <w:szCs w:val="21"/>
              </w:rPr>
            </w:pPr>
            <w:r>
              <w:rPr>
                <w:rFonts w:ascii="Arial Narrow" w:hAnsi="Arial Narrow" w:eastAsiaTheme="minorEastAsia"/>
                <w:color w:val="000000"/>
                <w:szCs w:val="21"/>
              </w:rPr>
              <w:t>660,062,871.54</w:t>
            </w:r>
          </w:p>
        </w:tc>
        <w:tc>
          <w:tcPr>
            <w:tcW w:w="1846" w:type="pct"/>
            <w:shd w:val="clear" w:color="auto" w:fill="auto"/>
            <w:vAlign w:val="center"/>
          </w:tcPr>
          <w:p w14:paraId="077A7D8E">
            <w:pPr>
              <w:jc w:val="right"/>
              <w:rPr>
                <w:rFonts w:ascii="Arial Narrow" w:hAnsi="Arial Narrow" w:eastAsiaTheme="minorEastAsia"/>
                <w:szCs w:val="21"/>
              </w:rPr>
            </w:pPr>
            <w:r>
              <w:rPr>
                <w:rFonts w:ascii="Arial Narrow" w:hAnsi="Arial Narrow" w:eastAsiaTheme="minorEastAsia"/>
                <w:color w:val="000000"/>
                <w:szCs w:val="21"/>
              </w:rPr>
              <w:t>426,717,366.89</w:t>
            </w:r>
          </w:p>
        </w:tc>
      </w:tr>
      <w:tr w14:paraId="178F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0D7E900E">
            <w:pPr>
              <w:rPr>
                <w:rFonts w:ascii="Arial Narrow" w:hAnsi="Arial Narrow" w:eastAsiaTheme="minorEastAsia"/>
                <w:szCs w:val="21"/>
              </w:rPr>
            </w:pPr>
            <w:r>
              <w:rPr>
                <w:rFonts w:ascii="Arial Narrow" w:hAnsi="Arial Narrow" w:eastAsiaTheme="minorEastAsia"/>
                <w:color w:val="000000"/>
                <w:szCs w:val="21"/>
              </w:rPr>
              <w:t>应付运费</w:t>
            </w:r>
          </w:p>
        </w:tc>
        <w:tc>
          <w:tcPr>
            <w:tcW w:w="1584" w:type="pct"/>
            <w:shd w:val="clear" w:color="auto" w:fill="auto"/>
            <w:vAlign w:val="center"/>
          </w:tcPr>
          <w:p w14:paraId="4B691DD6">
            <w:pPr>
              <w:jc w:val="right"/>
              <w:rPr>
                <w:rFonts w:ascii="Arial Narrow" w:hAnsi="Arial Narrow" w:eastAsiaTheme="minorEastAsia"/>
                <w:szCs w:val="21"/>
              </w:rPr>
            </w:pPr>
            <w:r>
              <w:rPr>
                <w:rFonts w:ascii="Arial Narrow" w:hAnsi="Arial Narrow" w:eastAsiaTheme="minorEastAsia"/>
                <w:color w:val="000000"/>
                <w:szCs w:val="21"/>
              </w:rPr>
              <w:t>5,943,588.84</w:t>
            </w:r>
          </w:p>
        </w:tc>
        <w:tc>
          <w:tcPr>
            <w:tcW w:w="1846" w:type="pct"/>
            <w:shd w:val="clear" w:color="auto" w:fill="auto"/>
            <w:vAlign w:val="center"/>
          </w:tcPr>
          <w:p w14:paraId="1AAA6FCA">
            <w:pPr>
              <w:jc w:val="right"/>
              <w:rPr>
                <w:rFonts w:ascii="Arial Narrow" w:hAnsi="Arial Narrow" w:eastAsiaTheme="minorEastAsia"/>
                <w:szCs w:val="21"/>
              </w:rPr>
            </w:pPr>
            <w:r>
              <w:rPr>
                <w:rFonts w:ascii="Arial Narrow" w:hAnsi="Arial Narrow" w:eastAsiaTheme="minorEastAsia"/>
                <w:color w:val="000000"/>
                <w:szCs w:val="21"/>
              </w:rPr>
              <w:t>5,482,770.78</w:t>
            </w:r>
          </w:p>
        </w:tc>
      </w:tr>
      <w:tr w14:paraId="7F38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2C1E25BE">
            <w:pPr>
              <w:rPr>
                <w:rFonts w:ascii="Arial Narrow" w:hAnsi="Arial Narrow" w:eastAsiaTheme="minorEastAsia"/>
                <w:szCs w:val="21"/>
              </w:rPr>
            </w:pPr>
            <w:r>
              <w:rPr>
                <w:rFonts w:ascii="Arial Narrow" w:hAnsi="Arial Narrow" w:eastAsiaTheme="minorEastAsia"/>
                <w:color w:val="000000"/>
                <w:szCs w:val="21"/>
              </w:rPr>
              <w:t>应付工程款</w:t>
            </w:r>
          </w:p>
        </w:tc>
        <w:tc>
          <w:tcPr>
            <w:tcW w:w="1584" w:type="pct"/>
            <w:shd w:val="clear" w:color="auto" w:fill="auto"/>
            <w:vAlign w:val="center"/>
          </w:tcPr>
          <w:p w14:paraId="1B9AB015">
            <w:pPr>
              <w:jc w:val="right"/>
              <w:rPr>
                <w:rFonts w:ascii="Arial Narrow" w:hAnsi="Arial Narrow" w:eastAsiaTheme="minorEastAsia"/>
                <w:szCs w:val="21"/>
              </w:rPr>
            </w:pPr>
            <w:r>
              <w:rPr>
                <w:rFonts w:ascii="Arial Narrow" w:hAnsi="Arial Narrow" w:eastAsiaTheme="minorEastAsia"/>
                <w:color w:val="000000"/>
                <w:szCs w:val="21"/>
              </w:rPr>
              <w:t>326,195,551.85</w:t>
            </w:r>
          </w:p>
        </w:tc>
        <w:tc>
          <w:tcPr>
            <w:tcW w:w="1846" w:type="pct"/>
            <w:shd w:val="clear" w:color="auto" w:fill="auto"/>
            <w:vAlign w:val="center"/>
          </w:tcPr>
          <w:p w14:paraId="1861E91A">
            <w:pPr>
              <w:jc w:val="right"/>
              <w:rPr>
                <w:rFonts w:ascii="Arial Narrow" w:hAnsi="Arial Narrow" w:eastAsiaTheme="minorEastAsia"/>
                <w:szCs w:val="21"/>
              </w:rPr>
            </w:pPr>
            <w:r>
              <w:rPr>
                <w:rFonts w:ascii="Arial Narrow" w:hAnsi="Arial Narrow" w:eastAsiaTheme="minorEastAsia"/>
                <w:color w:val="000000"/>
                <w:szCs w:val="21"/>
              </w:rPr>
              <w:t>374,414,115.21</w:t>
            </w:r>
          </w:p>
        </w:tc>
      </w:tr>
      <w:tr w14:paraId="001E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77A47099">
            <w:pPr>
              <w:rPr>
                <w:rFonts w:ascii="Arial Narrow" w:hAnsi="Arial Narrow" w:eastAsiaTheme="minorEastAsia"/>
                <w:szCs w:val="21"/>
              </w:rPr>
            </w:pPr>
            <w:r>
              <w:rPr>
                <w:rFonts w:ascii="Arial Narrow" w:hAnsi="Arial Narrow" w:eastAsiaTheme="minorEastAsia"/>
                <w:color w:val="000000"/>
                <w:szCs w:val="21"/>
              </w:rPr>
              <w:t>应付设备款</w:t>
            </w:r>
          </w:p>
        </w:tc>
        <w:tc>
          <w:tcPr>
            <w:tcW w:w="1584" w:type="pct"/>
            <w:shd w:val="clear" w:color="auto" w:fill="auto"/>
            <w:vAlign w:val="center"/>
          </w:tcPr>
          <w:p w14:paraId="7A808FD8">
            <w:pPr>
              <w:jc w:val="right"/>
              <w:rPr>
                <w:rFonts w:ascii="Arial Narrow" w:hAnsi="Arial Narrow" w:eastAsiaTheme="minorEastAsia"/>
                <w:szCs w:val="21"/>
              </w:rPr>
            </w:pPr>
            <w:r>
              <w:rPr>
                <w:rFonts w:ascii="Arial Narrow" w:hAnsi="Arial Narrow" w:eastAsiaTheme="minorEastAsia"/>
                <w:color w:val="000000"/>
                <w:szCs w:val="21"/>
              </w:rPr>
              <w:t>99,322,485.15</w:t>
            </w:r>
          </w:p>
        </w:tc>
        <w:tc>
          <w:tcPr>
            <w:tcW w:w="1846" w:type="pct"/>
            <w:shd w:val="clear" w:color="auto" w:fill="auto"/>
            <w:vAlign w:val="center"/>
          </w:tcPr>
          <w:p w14:paraId="311B51D2">
            <w:pPr>
              <w:jc w:val="right"/>
              <w:rPr>
                <w:rFonts w:ascii="Arial Narrow" w:hAnsi="Arial Narrow" w:eastAsiaTheme="minorEastAsia"/>
                <w:szCs w:val="21"/>
              </w:rPr>
            </w:pPr>
            <w:r>
              <w:rPr>
                <w:rFonts w:ascii="Arial Narrow" w:hAnsi="Arial Narrow" w:eastAsiaTheme="minorEastAsia"/>
                <w:color w:val="000000"/>
                <w:szCs w:val="21"/>
              </w:rPr>
              <w:t>72,893,125.78</w:t>
            </w:r>
          </w:p>
        </w:tc>
      </w:tr>
      <w:tr w14:paraId="5125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6C7340FF">
            <w:pPr>
              <w:rPr>
                <w:rFonts w:ascii="Arial Narrow" w:hAnsi="Arial Narrow" w:eastAsiaTheme="minorEastAsia"/>
                <w:szCs w:val="21"/>
              </w:rPr>
            </w:pPr>
            <w:r>
              <w:rPr>
                <w:rFonts w:ascii="Arial Narrow" w:hAnsi="Arial Narrow" w:eastAsiaTheme="minorEastAsia"/>
                <w:color w:val="000000"/>
                <w:szCs w:val="21"/>
              </w:rPr>
              <w:t>其他</w:t>
            </w:r>
          </w:p>
        </w:tc>
        <w:tc>
          <w:tcPr>
            <w:tcW w:w="1584" w:type="pct"/>
            <w:shd w:val="clear" w:color="auto" w:fill="auto"/>
            <w:vAlign w:val="center"/>
          </w:tcPr>
          <w:p w14:paraId="1C917232">
            <w:pPr>
              <w:jc w:val="right"/>
              <w:rPr>
                <w:rFonts w:ascii="Arial Narrow" w:hAnsi="Arial Narrow" w:eastAsiaTheme="minorEastAsia"/>
                <w:szCs w:val="21"/>
              </w:rPr>
            </w:pPr>
            <w:r>
              <w:rPr>
                <w:rFonts w:ascii="Arial Narrow" w:hAnsi="Arial Narrow" w:eastAsiaTheme="minorEastAsia"/>
                <w:color w:val="000000"/>
                <w:szCs w:val="21"/>
              </w:rPr>
              <w:t>56,953,125.77</w:t>
            </w:r>
          </w:p>
        </w:tc>
        <w:tc>
          <w:tcPr>
            <w:tcW w:w="1846" w:type="pct"/>
            <w:shd w:val="clear" w:color="auto" w:fill="auto"/>
            <w:vAlign w:val="center"/>
          </w:tcPr>
          <w:p w14:paraId="12D6AFE0">
            <w:pPr>
              <w:jc w:val="right"/>
              <w:rPr>
                <w:rFonts w:ascii="Arial Narrow" w:hAnsi="Arial Narrow" w:eastAsiaTheme="minorEastAsia"/>
                <w:szCs w:val="21"/>
              </w:rPr>
            </w:pPr>
            <w:r>
              <w:rPr>
                <w:rFonts w:ascii="Arial Narrow" w:hAnsi="Arial Narrow" w:eastAsiaTheme="minorEastAsia"/>
                <w:color w:val="000000"/>
                <w:szCs w:val="21"/>
              </w:rPr>
              <w:t>18,685,513.63</w:t>
            </w:r>
          </w:p>
        </w:tc>
      </w:tr>
      <w:tr w14:paraId="31A9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shd w:val="clear" w:color="auto" w:fill="auto"/>
          </w:tcPr>
          <w:p w14:paraId="32DC831F">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584" w:type="pct"/>
            <w:shd w:val="clear" w:color="auto" w:fill="auto"/>
            <w:vAlign w:val="center"/>
          </w:tcPr>
          <w:p w14:paraId="509EFC8D">
            <w:pPr>
              <w:jc w:val="right"/>
              <w:rPr>
                <w:rFonts w:ascii="Arial Narrow" w:hAnsi="Arial Narrow" w:eastAsiaTheme="minorEastAsia"/>
                <w:szCs w:val="21"/>
              </w:rPr>
            </w:pPr>
            <w:r>
              <w:rPr>
                <w:rFonts w:ascii="Arial Narrow" w:hAnsi="Arial Narrow" w:eastAsiaTheme="minorEastAsia"/>
                <w:color w:val="000000"/>
                <w:szCs w:val="21"/>
              </w:rPr>
              <w:t>3,253,056,965.76</w:t>
            </w:r>
          </w:p>
        </w:tc>
        <w:tc>
          <w:tcPr>
            <w:tcW w:w="1846" w:type="pct"/>
            <w:shd w:val="clear" w:color="auto" w:fill="auto"/>
            <w:vAlign w:val="center"/>
          </w:tcPr>
          <w:p w14:paraId="7E4B8137">
            <w:pPr>
              <w:jc w:val="right"/>
              <w:rPr>
                <w:rFonts w:ascii="Arial Narrow" w:hAnsi="Arial Narrow" w:eastAsiaTheme="minorEastAsia"/>
                <w:szCs w:val="21"/>
              </w:rPr>
            </w:pPr>
            <w:r>
              <w:rPr>
                <w:rFonts w:ascii="Arial Narrow" w:hAnsi="Arial Narrow" w:eastAsiaTheme="minorEastAsia"/>
                <w:color w:val="000000"/>
                <w:szCs w:val="21"/>
              </w:rPr>
              <w:t>3,512,854,899.65</w:t>
            </w:r>
          </w:p>
        </w:tc>
      </w:tr>
    </w:tbl>
    <w:p w14:paraId="3D5424F7">
      <w:pPr>
        <w:rPr>
          <w:rFonts w:hint="eastAsia"/>
        </w:rPr>
      </w:pPr>
    </w:p>
    <w:p w14:paraId="601AEF18">
      <w:pPr>
        <w:pStyle w:val="71"/>
        <w:numPr>
          <w:ilvl w:val="0"/>
          <w:numId w:val="136"/>
        </w:numPr>
        <w:ind w:left="426" w:hanging="426"/>
        <w:rPr>
          <w:rFonts w:hint="eastAsia"/>
        </w:rPr>
      </w:pPr>
      <w:r>
        <w:rPr>
          <w:rFonts w:hint="eastAsia"/>
        </w:rPr>
        <w:t>账龄超过1年或逾期的重要应付账款</w:t>
      </w:r>
    </w:p>
    <w:sdt>
      <w:sdtPr>
        <w:alias w:val="是否适用：账龄超过1年的重要应付账款[双击切换]"/>
        <w:tag w:val="_GBC_0eff470980a54dc3a4ea5996ab7721ce"/>
        <w:id w:val="519357430"/>
        <w:placeholder>
          <w:docPart w:val="GBC22222222222222222222222222222"/>
        </w:placeholder>
      </w:sdtPr>
      <w:sdtContent>
        <w:p w14:paraId="045363F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E2F5C1E">
      <w:pPr>
        <w:jc w:val="right"/>
        <w:rPr>
          <w:rFonts w:hint="eastAsia"/>
        </w:rPr>
      </w:pPr>
      <w:r>
        <w:rPr>
          <w:rFonts w:hint="eastAsia"/>
        </w:rPr>
        <w:t>单位：</w:t>
      </w:r>
      <w:sdt>
        <w:sdtPr>
          <w:rPr>
            <w:rFonts w:hint="eastAsia"/>
          </w:rPr>
          <w:alias w:val="单位：财务附注：重要的账龄超过1年的应付账款"/>
          <w:tag w:val="_GBC_400afb873eea4650b57e850422f00616"/>
          <w:id w:val="2180202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10952519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1"/>
        <w:gridCol w:w="2756"/>
        <w:gridCol w:w="2866"/>
      </w:tblGrid>
      <w:tr w14:paraId="6DE8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fdad43e863d14167af7eeaf4873d2a72"/>
            <w:id w:val="1308815336"/>
          </w:sdtPr>
          <w:sdtEndPr>
            <w:rPr>
              <w:rFonts w:ascii="Arial Narrow" w:hAnsi="Arial Narrow" w:eastAsiaTheme="minorEastAsia"/>
              <w:szCs w:val="21"/>
            </w:rPr>
          </w:sdtEndPr>
          <w:sdtContent>
            <w:tc>
              <w:tcPr>
                <w:tcW w:w="1814" w:type="pct"/>
                <w:shd w:val="clear" w:color="auto" w:fill="auto"/>
                <w:vAlign w:val="center"/>
              </w:tcPr>
              <w:p w14:paraId="49EDACC3">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cd3e87440a294e4685cb5994a6fce19b"/>
            <w:id w:val="381373706"/>
          </w:sdtPr>
          <w:sdtEndPr>
            <w:rPr>
              <w:rFonts w:ascii="Arial Narrow" w:hAnsi="Arial Narrow" w:eastAsiaTheme="minorEastAsia"/>
              <w:szCs w:val="21"/>
            </w:rPr>
          </w:sdtEndPr>
          <w:sdtContent>
            <w:tc>
              <w:tcPr>
                <w:tcW w:w="1562" w:type="pct"/>
                <w:shd w:val="clear" w:color="auto" w:fill="auto"/>
                <w:vAlign w:val="center"/>
              </w:tcPr>
              <w:p w14:paraId="3E0981B7">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3948dc08dbd84dbd875d1bd042c28c03"/>
            <w:id w:val="-1133550742"/>
          </w:sdtPr>
          <w:sdtEndPr>
            <w:rPr>
              <w:rFonts w:ascii="Arial Narrow" w:hAnsi="Arial Narrow" w:eastAsiaTheme="minorEastAsia"/>
              <w:szCs w:val="21"/>
            </w:rPr>
          </w:sdtEndPr>
          <w:sdtContent>
            <w:tc>
              <w:tcPr>
                <w:tcW w:w="1624" w:type="pct"/>
                <w:shd w:val="clear" w:color="auto" w:fill="auto"/>
                <w:vAlign w:val="center"/>
              </w:tcPr>
              <w:p w14:paraId="0DC23142">
                <w:pPr>
                  <w:jc w:val="center"/>
                  <w:rPr>
                    <w:rFonts w:ascii="Arial Narrow" w:hAnsi="Arial Narrow" w:eastAsiaTheme="minorEastAsia"/>
                    <w:szCs w:val="21"/>
                  </w:rPr>
                </w:pPr>
                <w:r>
                  <w:rPr>
                    <w:rFonts w:ascii="Arial Narrow" w:hAnsi="Arial Narrow" w:eastAsiaTheme="minorEastAsia"/>
                    <w:szCs w:val="21"/>
                  </w:rPr>
                  <w:t>未偿还或结转的原因</w:t>
                </w:r>
              </w:p>
            </w:tc>
          </w:sdtContent>
        </w:sdt>
      </w:tr>
      <w:tr w14:paraId="0855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shd w:val="clear" w:color="auto" w:fill="auto"/>
          </w:tcPr>
          <w:p w14:paraId="0AACC1EC">
            <w:pPr>
              <w:rPr>
                <w:rFonts w:ascii="Arial Narrow" w:hAnsi="Arial Narrow" w:eastAsiaTheme="minorEastAsia"/>
                <w:szCs w:val="21"/>
              </w:rPr>
            </w:pPr>
            <w:r>
              <w:rPr>
                <w:rFonts w:ascii="Arial Narrow" w:hAnsi="Arial Narrow" w:eastAsiaTheme="minorEastAsia"/>
                <w:color w:val="000000"/>
                <w:szCs w:val="21"/>
              </w:rPr>
              <w:t>应付材料款</w:t>
            </w:r>
          </w:p>
        </w:tc>
        <w:tc>
          <w:tcPr>
            <w:tcW w:w="1562" w:type="pct"/>
            <w:shd w:val="clear" w:color="auto" w:fill="auto"/>
            <w:vAlign w:val="center"/>
          </w:tcPr>
          <w:p w14:paraId="209841FE">
            <w:pPr>
              <w:jc w:val="right"/>
              <w:rPr>
                <w:rFonts w:ascii="Arial Narrow" w:hAnsi="Arial Narrow" w:eastAsiaTheme="minorEastAsia"/>
                <w:szCs w:val="21"/>
              </w:rPr>
            </w:pPr>
            <w:r>
              <w:rPr>
                <w:rFonts w:ascii="Arial Narrow" w:hAnsi="Arial Narrow" w:eastAsiaTheme="minorEastAsia"/>
                <w:color w:val="000000"/>
                <w:szCs w:val="21"/>
              </w:rPr>
              <w:t>43,249,676.50</w:t>
            </w:r>
          </w:p>
        </w:tc>
        <w:tc>
          <w:tcPr>
            <w:tcW w:w="1624" w:type="pct"/>
            <w:shd w:val="clear" w:color="auto" w:fill="auto"/>
            <w:vAlign w:val="center"/>
          </w:tcPr>
          <w:p w14:paraId="0C287D27">
            <w:pPr>
              <w:jc w:val="both"/>
              <w:rPr>
                <w:rFonts w:ascii="Arial Narrow" w:hAnsi="Arial Narrow" w:eastAsiaTheme="minorEastAsia"/>
                <w:szCs w:val="21"/>
              </w:rPr>
            </w:pPr>
            <w:r>
              <w:rPr>
                <w:rFonts w:ascii="Arial Narrow" w:hAnsi="Arial Narrow" w:eastAsiaTheme="minorEastAsia"/>
                <w:color w:val="000000"/>
                <w:szCs w:val="21"/>
              </w:rPr>
              <w:t>合同尚未执行完毕</w:t>
            </w:r>
          </w:p>
        </w:tc>
      </w:tr>
      <w:tr w14:paraId="329F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shd w:val="clear" w:color="auto" w:fill="auto"/>
          </w:tcPr>
          <w:p w14:paraId="1C370AC4">
            <w:pPr>
              <w:rPr>
                <w:rFonts w:ascii="Arial Narrow" w:hAnsi="Arial Narrow" w:eastAsiaTheme="minorEastAsia"/>
                <w:szCs w:val="21"/>
              </w:rPr>
            </w:pPr>
            <w:r>
              <w:rPr>
                <w:rFonts w:ascii="Arial Narrow" w:hAnsi="Arial Narrow" w:eastAsiaTheme="minorEastAsia"/>
                <w:color w:val="000000"/>
                <w:szCs w:val="21"/>
              </w:rPr>
              <w:t>应付工程款</w:t>
            </w:r>
          </w:p>
        </w:tc>
        <w:tc>
          <w:tcPr>
            <w:tcW w:w="1562" w:type="pct"/>
            <w:shd w:val="clear" w:color="auto" w:fill="auto"/>
            <w:vAlign w:val="center"/>
          </w:tcPr>
          <w:p w14:paraId="06A4C2EB">
            <w:pPr>
              <w:jc w:val="right"/>
              <w:rPr>
                <w:rFonts w:ascii="Arial Narrow" w:hAnsi="Arial Narrow" w:eastAsiaTheme="minorEastAsia"/>
                <w:szCs w:val="21"/>
              </w:rPr>
            </w:pPr>
            <w:r>
              <w:rPr>
                <w:rFonts w:ascii="Arial Narrow" w:hAnsi="Arial Narrow" w:eastAsiaTheme="minorEastAsia"/>
                <w:color w:val="000000"/>
                <w:szCs w:val="21"/>
              </w:rPr>
              <w:t>184,053,596.54</w:t>
            </w:r>
          </w:p>
        </w:tc>
        <w:tc>
          <w:tcPr>
            <w:tcW w:w="1624" w:type="pct"/>
            <w:shd w:val="clear" w:color="auto" w:fill="auto"/>
            <w:vAlign w:val="center"/>
          </w:tcPr>
          <w:p w14:paraId="79D6704F">
            <w:pPr>
              <w:jc w:val="both"/>
              <w:rPr>
                <w:rFonts w:ascii="Arial Narrow" w:hAnsi="Arial Narrow" w:eastAsiaTheme="minorEastAsia"/>
                <w:szCs w:val="21"/>
              </w:rPr>
            </w:pPr>
            <w:r>
              <w:rPr>
                <w:rFonts w:ascii="Arial Narrow" w:hAnsi="Arial Narrow" w:eastAsiaTheme="minorEastAsia"/>
                <w:color w:val="000000"/>
                <w:szCs w:val="21"/>
              </w:rPr>
              <w:t>合同尚未执行完毕</w:t>
            </w:r>
          </w:p>
        </w:tc>
      </w:tr>
      <w:tr w14:paraId="7580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shd w:val="clear" w:color="auto" w:fill="auto"/>
          </w:tcPr>
          <w:p w14:paraId="4FA7698F">
            <w:pPr>
              <w:rPr>
                <w:rFonts w:ascii="Arial Narrow" w:hAnsi="Arial Narrow" w:eastAsiaTheme="minorEastAsia"/>
                <w:szCs w:val="21"/>
              </w:rPr>
            </w:pPr>
            <w:r>
              <w:rPr>
                <w:rFonts w:ascii="Arial Narrow" w:hAnsi="Arial Narrow" w:eastAsiaTheme="minorEastAsia"/>
                <w:color w:val="000000"/>
                <w:szCs w:val="21"/>
              </w:rPr>
              <w:t>应付货款</w:t>
            </w:r>
          </w:p>
        </w:tc>
        <w:tc>
          <w:tcPr>
            <w:tcW w:w="1562" w:type="pct"/>
            <w:shd w:val="clear" w:color="auto" w:fill="auto"/>
            <w:vAlign w:val="center"/>
          </w:tcPr>
          <w:p w14:paraId="6489648B">
            <w:pPr>
              <w:jc w:val="right"/>
              <w:rPr>
                <w:rFonts w:ascii="Arial Narrow" w:hAnsi="Arial Narrow" w:eastAsiaTheme="minorEastAsia"/>
                <w:szCs w:val="21"/>
              </w:rPr>
            </w:pPr>
            <w:r>
              <w:rPr>
                <w:rFonts w:ascii="Arial Narrow" w:hAnsi="Arial Narrow" w:eastAsiaTheme="minorEastAsia"/>
                <w:color w:val="000000"/>
                <w:szCs w:val="21"/>
              </w:rPr>
              <w:t>90,823,440.86</w:t>
            </w:r>
          </w:p>
        </w:tc>
        <w:tc>
          <w:tcPr>
            <w:tcW w:w="1624" w:type="pct"/>
            <w:shd w:val="clear" w:color="auto" w:fill="auto"/>
            <w:vAlign w:val="center"/>
          </w:tcPr>
          <w:p w14:paraId="05E32149">
            <w:pPr>
              <w:jc w:val="both"/>
              <w:rPr>
                <w:rFonts w:ascii="Arial Narrow" w:hAnsi="Arial Narrow" w:eastAsiaTheme="minorEastAsia"/>
                <w:szCs w:val="21"/>
              </w:rPr>
            </w:pPr>
            <w:r>
              <w:rPr>
                <w:rFonts w:ascii="Arial Narrow" w:hAnsi="Arial Narrow" w:eastAsiaTheme="minorEastAsia"/>
                <w:color w:val="000000"/>
                <w:szCs w:val="21"/>
              </w:rPr>
              <w:t>合同尚未执行完毕</w:t>
            </w:r>
          </w:p>
        </w:tc>
      </w:tr>
      <w:tr w14:paraId="25EF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shd w:val="clear" w:color="auto" w:fill="auto"/>
            <w:vAlign w:val="center"/>
          </w:tcPr>
          <w:p w14:paraId="25D8F589">
            <w:pPr>
              <w:jc w:val="center"/>
              <w:rPr>
                <w:rFonts w:ascii="Arial Narrow" w:hAnsi="Arial Narrow" w:eastAsiaTheme="minorEastAsia"/>
                <w:szCs w:val="21"/>
              </w:rPr>
            </w:pPr>
            <w:r>
              <w:rPr>
                <w:rFonts w:ascii="Arial Narrow" w:hAnsi="Arial Narrow" w:eastAsiaTheme="minorEastAsia"/>
                <w:szCs w:val="21"/>
              </w:rPr>
              <w:t>合计</w:t>
            </w:r>
          </w:p>
        </w:tc>
        <w:tc>
          <w:tcPr>
            <w:tcW w:w="1562" w:type="pct"/>
            <w:shd w:val="clear" w:color="auto" w:fill="auto"/>
            <w:vAlign w:val="center"/>
          </w:tcPr>
          <w:p w14:paraId="0F505F04">
            <w:pPr>
              <w:jc w:val="right"/>
              <w:rPr>
                <w:rFonts w:ascii="Arial Narrow" w:hAnsi="Arial Narrow" w:eastAsiaTheme="minorEastAsia"/>
                <w:szCs w:val="21"/>
              </w:rPr>
            </w:pPr>
            <w:r>
              <w:rPr>
                <w:rFonts w:ascii="Arial Narrow" w:hAnsi="Arial Narrow" w:eastAsiaTheme="minorEastAsia"/>
                <w:color w:val="000000"/>
                <w:szCs w:val="21"/>
              </w:rPr>
              <w:t>318,126,713.90</w:t>
            </w:r>
          </w:p>
        </w:tc>
        <w:tc>
          <w:tcPr>
            <w:tcW w:w="1624" w:type="pct"/>
            <w:shd w:val="clear" w:color="auto" w:fill="auto"/>
          </w:tcPr>
          <w:p w14:paraId="1959D28E">
            <w:pPr>
              <w:jc w:val="center"/>
              <w:rPr>
                <w:rFonts w:ascii="Arial Narrow" w:hAnsi="Arial Narrow" w:eastAsiaTheme="minorEastAsia"/>
                <w:szCs w:val="21"/>
              </w:rPr>
            </w:pPr>
            <w:r>
              <w:rPr>
                <w:rFonts w:ascii="Arial Narrow" w:hAnsi="Arial Narrow" w:eastAsiaTheme="minorEastAsia"/>
                <w:szCs w:val="21"/>
              </w:rPr>
              <w:t>/</w:t>
            </w:r>
          </w:p>
        </w:tc>
      </w:tr>
    </w:tbl>
    <w:p w14:paraId="680DFEE9">
      <w:pPr>
        <w:rPr>
          <w:rFonts w:hint="eastAsia"/>
        </w:rPr>
      </w:pPr>
    </w:p>
    <w:p w14:paraId="7BF93258">
      <w:pPr>
        <w:rPr>
          <w:rFonts w:hint="eastAsia"/>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632690114"/>
        <w:placeholder>
          <w:docPart w:val="GBC22222222222222222222222222222"/>
        </w:placeholder>
      </w:sdtPr>
      <w:sdtEndPr>
        <w:rPr>
          <w:szCs w:val="21"/>
        </w:rPr>
      </w:sdtEndPr>
      <w:sdtContent>
        <w:p w14:paraId="71F36237">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10BBBA3">
      <w:pPr>
        <w:snapToGrid w:val="0"/>
        <w:spacing w:line="240" w:lineRule="atLeast"/>
        <w:rPr>
          <w:rFonts w:hint="eastAsia"/>
          <w:szCs w:val="21"/>
        </w:rPr>
      </w:pPr>
    </w:p>
    <w:p w14:paraId="5A2A262B">
      <w:pPr>
        <w:pStyle w:val="70"/>
        <w:numPr>
          <w:ilvl w:val="0"/>
          <w:numId w:val="109"/>
        </w:numPr>
        <w:rPr>
          <w:szCs w:val="21"/>
        </w:rPr>
      </w:pPr>
      <w:r>
        <w:rPr>
          <w:szCs w:val="21"/>
        </w:rPr>
        <w:t>预收款项</w:t>
      </w:r>
    </w:p>
    <w:p w14:paraId="1E07242D">
      <w:pPr>
        <w:pStyle w:val="71"/>
        <w:numPr>
          <w:ilvl w:val="0"/>
          <w:numId w:val="137"/>
        </w:numPr>
        <w:rPr>
          <w:rFonts w:hint="eastAsia"/>
        </w:rPr>
      </w:pPr>
      <w:r>
        <w:rPr>
          <w:rFonts w:hint="eastAsia"/>
        </w:rPr>
        <w:t>预收账款项列示</w:t>
      </w:r>
    </w:p>
    <w:sdt>
      <w:sdtPr>
        <w:alias w:val="是否适用：预收账款项列示[双击切换]"/>
        <w:tag w:val="_GBC_87fabe8d5b22400ca19233d7f82c54fc"/>
        <w:id w:val="-73516496"/>
        <w:placeholder>
          <w:docPart w:val="GBC22222222222222222222222222222"/>
        </w:placeholder>
      </w:sdtPr>
      <w:sdtContent>
        <w:p w14:paraId="1303A30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D92CEE4">
      <w:pPr>
        <w:jc w:val="right"/>
        <w:rPr>
          <w:rFonts w:hint="eastAsia"/>
          <w:szCs w:val="21"/>
        </w:rPr>
      </w:pPr>
      <w:r>
        <w:rPr>
          <w:rFonts w:hint="eastAsia"/>
          <w:szCs w:val="21"/>
        </w:rPr>
        <w:t>单位：</w:t>
      </w:r>
      <w:sdt>
        <w:sdtPr>
          <w:rPr>
            <w:rFonts w:hint="eastAsia"/>
            <w:szCs w:val="21"/>
          </w:rPr>
          <w:alias w:val="单位：财务附注：预收账款情况"/>
          <w:tag w:val="_GBC_4fab9f590de5470ea6904b137451f241"/>
          <w:id w:val="-15841460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2493212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3002"/>
        <w:gridCol w:w="2996"/>
      </w:tblGrid>
      <w:tr w14:paraId="6219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d5178a0aff824e07b02041ccbb504bd9"/>
            <w:id w:val="496150538"/>
          </w:sdtPr>
          <w:sdtEndPr>
            <w:rPr>
              <w:rFonts w:ascii="Arial Narrow" w:hAnsi="Arial Narrow" w:eastAsiaTheme="minorEastAsia"/>
            </w:rPr>
          </w:sdtEndPr>
          <w:sdtContent>
            <w:tc>
              <w:tcPr>
                <w:tcW w:w="1601" w:type="pct"/>
                <w:shd w:val="clear" w:color="auto" w:fill="auto"/>
              </w:tcPr>
              <w:p w14:paraId="5417B7E6">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4365dc5a9b404da5ab51b4fe0a65574b"/>
            <w:id w:val="-521867713"/>
          </w:sdtPr>
          <w:sdtEndPr>
            <w:rPr>
              <w:rFonts w:ascii="Arial Narrow" w:hAnsi="Arial Narrow" w:eastAsiaTheme="minorEastAsia"/>
            </w:rPr>
          </w:sdtEndPr>
          <w:sdtContent>
            <w:tc>
              <w:tcPr>
                <w:tcW w:w="1701" w:type="pct"/>
                <w:shd w:val="clear" w:color="auto" w:fill="auto"/>
              </w:tcPr>
              <w:p w14:paraId="2CF6DFCD">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319db0af23654ebca500fecfff199482"/>
            <w:id w:val="1116409539"/>
          </w:sdtPr>
          <w:sdtEndPr>
            <w:rPr>
              <w:rFonts w:ascii="Arial Narrow" w:hAnsi="Arial Narrow" w:eastAsiaTheme="minorEastAsia"/>
            </w:rPr>
          </w:sdtEndPr>
          <w:sdtContent>
            <w:tc>
              <w:tcPr>
                <w:tcW w:w="1698" w:type="pct"/>
                <w:shd w:val="clear" w:color="auto" w:fill="auto"/>
              </w:tcPr>
              <w:p w14:paraId="15F48EDF">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876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14:paraId="10224618">
            <w:pPr>
              <w:rPr>
                <w:rFonts w:ascii="Arial Narrow" w:hAnsi="Arial Narrow" w:eastAsiaTheme="minorEastAsia"/>
                <w:szCs w:val="21"/>
              </w:rPr>
            </w:pPr>
            <w:r>
              <w:rPr>
                <w:rFonts w:ascii="Arial Narrow" w:hAnsi="Arial Narrow" w:eastAsiaTheme="minorEastAsia"/>
                <w:color w:val="000000"/>
                <w:szCs w:val="21"/>
              </w:rPr>
              <w:t>预收租金</w:t>
            </w:r>
          </w:p>
        </w:tc>
        <w:tc>
          <w:tcPr>
            <w:tcW w:w="1701" w:type="pct"/>
            <w:shd w:val="clear" w:color="auto" w:fill="auto"/>
            <w:vAlign w:val="center"/>
          </w:tcPr>
          <w:p w14:paraId="0DE7B4BA">
            <w:pPr>
              <w:jc w:val="right"/>
              <w:rPr>
                <w:rFonts w:ascii="Arial Narrow" w:hAnsi="Arial Narrow" w:eastAsiaTheme="minorEastAsia"/>
                <w:szCs w:val="21"/>
              </w:rPr>
            </w:pPr>
            <w:r>
              <w:rPr>
                <w:rFonts w:ascii="Arial Narrow" w:hAnsi="Arial Narrow" w:eastAsiaTheme="minorEastAsia"/>
                <w:color w:val="000000"/>
                <w:sz w:val="22"/>
                <w:szCs w:val="22"/>
              </w:rPr>
              <w:t>30,609,636.04</w:t>
            </w:r>
          </w:p>
        </w:tc>
        <w:tc>
          <w:tcPr>
            <w:tcW w:w="1698" w:type="pct"/>
            <w:shd w:val="clear" w:color="auto" w:fill="auto"/>
            <w:vAlign w:val="center"/>
          </w:tcPr>
          <w:p w14:paraId="0D0D0B48">
            <w:pPr>
              <w:jc w:val="right"/>
              <w:rPr>
                <w:rFonts w:ascii="Arial Narrow" w:hAnsi="Arial Narrow" w:eastAsiaTheme="minorEastAsia"/>
                <w:szCs w:val="21"/>
              </w:rPr>
            </w:pPr>
            <w:r>
              <w:rPr>
                <w:rFonts w:ascii="Arial Narrow" w:hAnsi="Arial Narrow" w:eastAsiaTheme="minorEastAsia"/>
                <w:color w:val="000000"/>
                <w:sz w:val="22"/>
                <w:szCs w:val="22"/>
              </w:rPr>
              <w:t>31,780,256.57</w:t>
            </w:r>
          </w:p>
        </w:tc>
      </w:tr>
      <w:tr w14:paraId="2477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14:paraId="33EF921F">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701" w:type="pct"/>
            <w:shd w:val="clear" w:color="auto" w:fill="auto"/>
            <w:vAlign w:val="center"/>
          </w:tcPr>
          <w:p w14:paraId="08C586A2">
            <w:pPr>
              <w:jc w:val="right"/>
              <w:rPr>
                <w:rFonts w:ascii="Arial Narrow" w:hAnsi="Arial Narrow" w:eastAsiaTheme="minorEastAsia"/>
                <w:szCs w:val="21"/>
              </w:rPr>
            </w:pPr>
            <w:r>
              <w:rPr>
                <w:rFonts w:ascii="Arial Narrow" w:hAnsi="Arial Narrow" w:eastAsiaTheme="minorEastAsia"/>
                <w:color w:val="000000"/>
                <w:sz w:val="22"/>
                <w:szCs w:val="22"/>
              </w:rPr>
              <w:t>30,609,636.04</w:t>
            </w:r>
          </w:p>
        </w:tc>
        <w:tc>
          <w:tcPr>
            <w:tcW w:w="1698" w:type="pct"/>
            <w:shd w:val="clear" w:color="auto" w:fill="auto"/>
            <w:vAlign w:val="center"/>
          </w:tcPr>
          <w:p w14:paraId="1CCAA063">
            <w:pPr>
              <w:jc w:val="right"/>
              <w:rPr>
                <w:rFonts w:ascii="Arial Narrow" w:hAnsi="Arial Narrow" w:eastAsiaTheme="minorEastAsia"/>
                <w:szCs w:val="21"/>
              </w:rPr>
            </w:pPr>
            <w:r>
              <w:rPr>
                <w:rFonts w:ascii="Arial Narrow" w:hAnsi="Arial Narrow" w:eastAsiaTheme="minorEastAsia"/>
                <w:color w:val="000000"/>
                <w:sz w:val="22"/>
                <w:szCs w:val="22"/>
              </w:rPr>
              <w:t>31,780,256.57</w:t>
            </w:r>
          </w:p>
        </w:tc>
      </w:tr>
    </w:tbl>
    <w:p w14:paraId="20BCE26B">
      <w:pPr>
        <w:rPr>
          <w:rFonts w:hint="eastAsia"/>
        </w:rPr>
      </w:pPr>
    </w:p>
    <w:p w14:paraId="0946EFC0">
      <w:pPr>
        <w:pStyle w:val="71"/>
        <w:numPr>
          <w:ilvl w:val="0"/>
          <w:numId w:val="137"/>
        </w:numPr>
        <w:rPr>
          <w:rFonts w:hint="eastAsia"/>
        </w:rPr>
      </w:pPr>
      <w:r>
        <w:rPr>
          <w:rFonts w:hint="eastAsia"/>
        </w:rPr>
        <w:t>账龄超过1年的重要预收款项</w:t>
      </w:r>
    </w:p>
    <w:sdt>
      <w:sdtPr>
        <w:alias w:val="是否适用：账龄超过1年的重要预收款项[双击切换]"/>
        <w:tag w:val="_GBC_79146ea4ecd2426b824d2bcf21203a69"/>
        <w:id w:val="-1388871224"/>
        <w:placeholder>
          <w:docPart w:val="GBC22222222222222222222222222222"/>
        </w:placeholder>
      </w:sdtPr>
      <w:sdtContent>
        <w:p w14:paraId="5BF0FE5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6B9B0AC">
      <w:pPr>
        <w:rPr>
          <w:rFonts w:hint="eastAsia" w:cstheme="minorBidi"/>
          <w:szCs w:val="21"/>
        </w:rPr>
      </w:pPr>
    </w:p>
    <w:p w14:paraId="475B6963">
      <w:pPr>
        <w:pStyle w:val="71"/>
        <w:numPr>
          <w:ilvl w:val="0"/>
          <w:numId w:val="137"/>
        </w:numPr>
        <w:rPr>
          <w:rFonts w:hint="eastAsia"/>
        </w:rPr>
      </w:pPr>
      <w:r>
        <w:rPr>
          <w:rFonts w:hint="eastAsia"/>
        </w:rPr>
        <w:t>报告期内账面价值发生重大变动的金额和原因</w:t>
      </w:r>
    </w:p>
    <w:sdt>
      <w:sdtPr>
        <w:rPr>
          <w:szCs w:val="21"/>
        </w:rPr>
        <w:alias w:val="是否适用：预收款项账面价值发生重大变动的金额和原因?[双击切换]"/>
        <w:tag w:val="_GBC_080f20e9d1b64963a38dcdee1ed191a2"/>
        <w:id w:val="900710764"/>
        <w:placeholder>
          <w:docPart w:val="GBC22222222222222222222222222222"/>
        </w:placeholder>
      </w:sdtPr>
      <w:sdtEndPr>
        <w:rPr>
          <w:szCs w:val="21"/>
        </w:rPr>
      </w:sdtEndPr>
      <w:sdtContent>
        <w:p w14:paraId="7C9F829B">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376D9CF">
      <w:pPr>
        <w:rPr>
          <w:rFonts w:hint="eastAsia" w:cs="Times New Roman"/>
          <w:szCs w:val="21"/>
        </w:rPr>
      </w:pPr>
    </w:p>
    <w:p w14:paraId="0E625F3C">
      <w:pPr>
        <w:rPr>
          <w:rFonts w:hint="eastAsia"/>
        </w:rPr>
      </w:pPr>
      <w:r>
        <w:rPr>
          <w:rFonts w:hint="eastAsia"/>
        </w:rPr>
        <w:t>其他说明：</w:t>
      </w:r>
    </w:p>
    <w:sdt>
      <w:sdtPr>
        <w:alias w:val="是否适用：预收账款的其他说明[双击切换]"/>
        <w:tag w:val="_GBC_c0e961ba454e4e2cb91293bde731349d"/>
        <w:id w:val="-1391034385"/>
        <w:placeholder>
          <w:docPart w:val="GBC22222222222222222222222222222"/>
        </w:placeholder>
      </w:sdtPr>
      <w:sdtContent>
        <w:p w14:paraId="77C925A6">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AB64A9C">
      <w:pPr>
        <w:rPr>
          <w:rFonts w:hint="eastAsia" w:cstheme="minorBidi"/>
          <w:color w:val="000000" w:themeColor="text1"/>
          <w:kern w:val="2"/>
          <w:szCs w:val="21"/>
          <w14:textFill>
            <w14:solidFill>
              <w14:schemeClr w14:val="tx1"/>
            </w14:solidFill>
          </w14:textFill>
        </w:rPr>
      </w:pPr>
    </w:p>
    <w:p w14:paraId="3E5945DF">
      <w:pPr>
        <w:pStyle w:val="70"/>
        <w:numPr>
          <w:ilvl w:val="0"/>
          <w:numId w:val="109"/>
        </w:numPr>
        <w:rPr>
          <w:szCs w:val="21"/>
        </w:rPr>
      </w:pPr>
      <w:r>
        <w:rPr>
          <w:szCs w:val="21"/>
        </w:rPr>
        <w:t>合同负债</w:t>
      </w:r>
    </w:p>
    <w:p w14:paraId="01DA57F4">
      <w:pPr>
        <w:pStyle w:val="71"/>
        <w:numPr>
          <w:ilvl w:val="0"/>
          <w:numId w:val="138"/>
        </w:numPr>
        <w:rPr>
          <w:rFonts w:hint="eastAsia"/>
        </w:rPr>
      </w:pPr>
      <w:r>
        <w:rPr>
          <w:rFonts w:hint="eastAsia"/>
        </w:rPr>
        <w:t>合同负债情况</w:t>
      </w:r>
    </w:p>
    <w:sdt>
      <w:sdtPr>
        <w:alias w:val="是否适用：合同负债情况[双击切换]"/>
        <w:tag w:val="_GBC_257112066c884c67acfede3a1536844a"/>
        <w:id w:val="1041565297"/>
        <w:placeholder>
          <w:docPart w:val="GBC22222222222222222222222222222"/>
        </w:placeholder>
      </w:sdtPr>
      <w:sdtContent>
        <w:p w14:paraId="306CDA3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FD7BFA">
      <w:pPr>
        <w:ind w:left="360"/>
        <w:jc w:val="right"/>
        <w:rPr>
          <w:rFonts w:hint="eastAsia"/>
        </w:rPr>
      </w:pPr>
      <w:r>
        <w:rPr>
          <w:rFonts w:hint="eastAsia"/>
        </w:rPr>
        <w:t>单位：</w:t>
      </w:r>
      <w:sdt>
        <w:sdtPr>
          <w:rPr>
            <w:rFonts w:hint="eastAsia"/>
          </w:rPr>
          <w:alias w:val="单位：合同负债情况"/>
          <w:tag w:val="_GBC_ea58ca5e76b74f328a4691ca7c6cc941"/>
          <w:id w:val="15161945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合同负债情况"/>
          <w:tag w:val="_GBC_58f1908d1f4c48699237bf8c7f3604da"/>
          <w:id w:val="-30023679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3002"/>
        <w:gridCol w:w="2996"/>
      </w:tblGrid>
      <w:tr w14:paraId="7CF1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c331ae60cae44b02b2a16eccd02434b1"/>
            <w:id w:val="-1449933896"/>
          </w:sdtPr>
          <w:sdtEndPr>
            <w:rPr>
              <w:rFonts w:ascii="Arial Narrow" w:hAnsi="Arial Narrow" w:eastAsiaTheme="minorEastAsia"/>
              <w:szCs w:val="21"/>
            </w:rPr>
          </w:sdtEndPr>
          <w:sdtContent>
            <w:tc>
              <w:tcPr>
                <w:tcW w:w="1601" w:type="pct"/>
                <w:shd w:val="clear" w:color="auto" w:fill="auto"/>
              </w:tcPr>
              <w:p w14:paraId="498A158A">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1619b2dd861a497cbc814256ed0e2957"/>
            <w:id w:val="-1047450261"/>
          </w:sdtPr>
          <w:sdtEndPr>
            <w:rPr>
              <w:rFonts w:ascii="Arial Narrow" w:hAnsi="Arial Narrow" w:eastAsiaTheme="minorEastAsia"/>
              <w:szCs w:val="21"/>
            </w:rPr>
          </w:sdtEndPr>
          <w:sdtContent>
            <w:tc>
              <w:tcPr>
                <w:tcW w:w="1701" w:type="pct"/>
                <w:shd w:val="clear" w:color="auto" w:fill="auto"/>
                <w:vAlign w:val="center"/>
              </w:tcPr>
              <w:p w14:paraId="5169224D">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6341013bed194ee78619c433ebd01fda"/>
            <w:id w:val="-1320262579"/>
          </w:sdtPr>
          <w:sdtEndPr>
            <w:rPr>
              <w:rFonts w:ascii="Arial Narrow" w:hAnsi="Arial Narrow" w:eastAsiaTheme="minorEastAsia"/>
              <w:szCs w:val="21"/>
            </w:rPr>
          </w:sdtEndPr>
          <w:sdtContent>
            <w:tc>
              <w:tcPr>
                <w:tcW w:w="1698" w:type="pct"/>
                <w:shd w:val="clear" w:color="auto" w:fill="auto"/>
                <w:vAlign w:val="center"/>
              </w:tcPr>
              <w:p w14:paraId="4955D5A3">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期初余额</w:t>
                </w:r>
              </w:p>
            </w:tc>
          </w:sdtContent>
        </w:sdt>
      </w:tr>
      <w:tr w14:paraId="69CE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14:paraId="60F0AE6A">
            <w:pPr>
              <w:rPr>
                <w:rFonts w:ascii="Arial Narrow" w:hAnsi="Arial Narrow" w:eastAsiaTheme="minorEastAsia"/>
                <w:szCs w:val="21"/>
              </w:rPr>
            </w:pPr>
            <w:r>
              <w:rPr>
                <w:rFonts w:ascii="Arial Narrow" w:hAnsi="Arial Narrow" w:eastAsiaTheme="minorEastAsia"/>
                <w:color w:val="000000"/>
                <w:szCs w:val="21"/>
              </w:rPr>
              <w:t>预收货款</w:t>
            </w:r>
          </w:p>
        </w:tc>
        <w:tc>
          <w:tcPr>
            <w:tcW w:w="1701" w:type="pct"/>
            <w:shd w:val="clear" w:color="auto" w:fill="auto"/>
            <w:vAlign w:val="center"/>
          </w:tcPr>
          <w:p w14:paraId="0C601139">
            <w:pPr>
              <w:jc w:val="right"/>
              <w:rPr>
                <w:rFonts w:ascii="Arial Narrow" w:hAnsi="Arial Narrow" w:eastAsiaTheme="minorEastAsia"/>
                <w:szCs w:val="21"/>
              </w:rPr>
            </w:pPr>
            <w:r>
              <w:rPr>
                <w:rFonts w:ascii="Arial Narrow" w:hAnsi="Arial Narrow" w:eastAsiaTheme="minorEastAsia"/>
                <w:color w:val="000000"/>
                <w:szCs w:val="21"/>
              </w:rPr>
              <w:t>741,649,367.11</w:t>
            </w:r>
          </w:p>
        </w:tc>
        <w:tc>
          <w:tcPr>
            <w:tcW w:w="1698" w:type="pct"/>
            <w:shd w:val="clear" w:color="auto" w:fill="auto"/>
            <w:vAlign w:val="center"/>
          </w:tcPr>
          <w:p w14:paraId="5C815CB8">
            <w:pPr>
              <w:jc w:val="right"/>
              <w:rPr>
                <w:rFonts w:ascii="Arial Narrow" w:hAnsi="Arial Narrow" w:eastAsiaTheme="minorEastAsia"/>
                <w:szCs w:val="21"/>
              </w:rPr>
            </w:pPr>
            <w:r>
              <w:rPr>
                <w:rFonts w:ascii="Arial Narrow" w:hAnsi="Arial Narrow" w:eastAsiaTheme="minorEastAsia"/>
                <w:color w:val="000000"/>
                <w:szCs w:val="21"/>
              </w:rPr>
              <w:t>1,193,629,861.49</w:t>
            </w:r>
          </w:p>
        </w:tc>
      </w:tr>
      <w:tr w14:paraId="3FB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14:paraId="438E92E1">
            <w:pPr>
              <w:rPr>
                <w:rFonts w:ascii="Arial Narrow" w:hAnsi="Arial Narrow" w:eastAsiaTheme="minorEastAsia"/>
                <w:szCs w:val="21"/>
              </w:rPr>
            </w:pPr>
            <w:r>
              <w:rPr>
                <w:rFonts w:ascii="Arial Narrow" w:hAnsi="Arial Narrow" w:eastAsiaTheme="minorEastAsia"/>
                <w:color w:val="000000"/>
                <w:szCs w:val="21"/>
              </w:rPr>
              <w:t>预收房款</w:t>
            </w:r>
          </w:p>
        </w:tc>
        <w:tc>
          <w:tcPr>
            <w:tcW w:w="1701" w:type="pct"/>
            <w:shd w:val="clear" w:color="auto" w:fill="auto"/>
            <w:vAlign w:val="center"/>
          </w:tcPr>
          <w:p w14:paraId="4FA59462">
            <w:pPr>
              <w:jc w:val="right"/>
              <w:rPr>
                <w:rFonts w:ascii="Arial Narrow" w:hAnsi="Arial Narrow" w:eastAsiaTheme="minorEastAsia"/>
                <w:szCs w:val="21"/>
              </w:rPr>
            </w:pPr>
            <w:r>
              <w:rPr>
                <w:rFonts w:ascii="Arial Narrow" w:hAnsi="Arial Narrow" w:eastAsiaTheme="minorEastAsia"/>
                <w:color w:val="000000"/>
                <w:szCs w:val="21"/>
              </w:rPr>
              <w:t>200,747,583.17</w:t>
            </w:r>
          </w:p>
        </w:tc>
        <w:tc>
          <w:tcPr>
            <w:tcW w:w="1698" w:type="pct"/>
            <w:shd w:val="clear" w:color="auto" w:fill="auto"/>
            <w:vAlign w:val="center"/>
          </w:tcPr>
          <w:p w14:paraId="1E3A5ADB">
            <w:pPr>
              <w:jc w:val="right"/>
              <w:rPr>
                <w:rFonts w:ascii="Arial Narrow" w:hAnsi="Arial Narrow" w:eastAsiaTheme="minorEastAsia"/>
                <w:szCs w:val="21"/>
              </w:rPr>
            </w:pPr>
            <w:r>
              <w:rPr>
                <w:rFonts w:ascii="Arial Narrow" w:hAnsi="Arial Narrow" w:eastAsiaTheme="minorEastAsia"/>
                <w:color w:val="000000"/>
                <w:szCs w:val="21"/>
              </w:rPr>
              <w:t>11,500,456.68</w:t>
            </w:r>
          </w:p>
        </w:tc>
      </w:tr>
      <w:tr w14:paraId="1D83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14:paraId="3452D207">
            <w:pPr>
              <w:jc w:val="center"/>
              <w:rPr>
                <w:rFonts w:ascii="Arial Narrow" w:hAnsi="Arial Narrow" w:eastAsiaTheme="minorEastAsia"/>
                <w:color w:val="000000"/>
                <w:szCs w:val="21"/>
              </w:rPr>
            </w:pPr>
            <w:r>
              <w:rPr>
                <w:rFonts w:ascii="Arial Narrow" w:hAnsi="Arial Narrow" w:eastAsiaTheme="minorEastAsia"/>
                <w:color w:val="000000"/>
                <w:szCs w:val="21"/>
              </w:rPr>
              <w:t>合计</w:t>
            </w:r>
          </w:p>
        </w:tc>
        <w:tc>
          <w:tcPr>
            <w:tcW w:w="1701" w:type="pct"/>
            <w:shd w:val="clear" w:color="auto" w:fill="auto"/>
            <w:vAlign w:val="center"/>
          </w:tcPr>
          <w:p w14:paraId="68501B1A">
            <w:pPr>
              <w:jc w:val="right"/>
              <w:rPr>
                <w:rFonts w:ascii="Arial Narrow" w:hAnsi="Arial Narrow" w:eastAsiaTheme="minorEastAsia"/>
                <w:szCs w:val="21"/>
              </w:rPr>
            </w:pPr>
            <w:r>
              <w:rPr>
                <w:rFonts w:ascii="Arial Narrow" w:hAnsi="Arial Narrow" w:eastAsiaTheme="minorEastAsia"/>
                <w:color w:val="000000"/>
                <w:szCs w:val="21"/>
              </w:rPr>
              <w:t>942,396,950.28</w:t>
            </w:r>
          </w:p>
        </w:tc>
        <w:tc>
          <w:tcPr>
            <w:tcW w:w="1698" w:type="pct"/>
            <w:shd w:val="clear" w:color="auto" w:fill="auto"/>
            <w:vAlign w:val="center"/>
          </w:tcPr>
          <w:p w14:paraId="642C9600">
            <w:pPr>
              <w:jc w:val="right"/>
              <w:rPr>
                <w:rFonts w:ascii="Arial Narrow" w:hAnsi="Arial Narrow" w:eastAsiaTheme="minorEastAsia"/>
                <w:szCs w:val="21"/>
              </w:rPr>
            </w:pPr>
            <w:r>
              <w:rPr>
                <w:rFonts w:ascii="Arial Narrow" w:hAnsi="Arial Narrow" w:eastAsiaTheme="minorEastAsia"/>
                <w:color w:val="000000"/>
                <w:szCs w:val="21"/>
              </w:rPr>
              <w:t>1,205,130,318.17</w:t>
            </w:r>
          </w:p>
        </w:tc>
      </w:tr>
    </w:tbl>
    <w:p w14:paraId="55A7C3ED">
      <w:pPr>
        <w:rPr>
          <w:rFonts w:hint="eastAsia"/>
        </w:rPr>
      </w:pPr>
    </w:p>
    <w:p w14:paraId="20144FEA">
      <w:pPr>
        <w:pStyle w:val="71"/>
        <w:numPr>
          <w:ilvl w:val="0"/>
          <w:numId w:val="138"/>
        </w:numPr>
        <w:rPr>
          <w:rFonts w:hint="eastAsia"/>
        </w:rPr>
      </w:pPr>
      <w:r>
        <w:rPr>
          <w:rFonts w:hint="eastAsia"/>
        </w:rPr>
        <w:t>账龄超过1年的重要合同负债</w:t>
      </w:r>
    </w:p>
    <w:sdt>
      <w:sdtPr>
        <w:alias w:val="是否适用：账龄超过1年的重要合同负债明细[双击切换]"/>
        <w:tag w:val="_GBC_743f27908aba47b4a5755e98b31475ae"/>
        <w:id w:val="946729393"/>
        <w:placeholder>
          <w:docPart w:val="GBC22222222222222222222222222222"/>
        </w:placeholder>
      </w:sdtPr>
      <w:sdtContent>
        <w:p w14:paraId="464A7E4D">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DC35F4">
      <w:pPr>
        <w:jc w:val="right"/>
        <w:rPr>
          <w:rFonts w:hint="eastAsia"/>
        </w:rPr>
      </w:pPr>
      <w:r>
        <w:rPr>
          <w:rFonts w:hint="eastAsia"/>
        </w:rPr>
        <w:t>单位：</w:t>
      </w:r>
      <w:sdt>
        <w:sdtPr>
          <w:rPr>
            <w:rFonts w:hint="eastAsia"/>
          </w:rPr>
          <w:alias w:val="单位：账龄超过2年的重要合同负债明细"/>
          <w:tag w:val="_GBC_f65ebf3a384d4eeca841e3ddb9adbf56"/>
          <w:id w:val="186462337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账龄超过3年的重要合同负债明细"/>
          <w:tag w:val="_GBC_ab086b8b8f5442ca816725b79511170e"/>
          <w:id w:val="15855690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2170"/>
        <w:gridCol w:w="2972"/>
      </w:tblGrid>
      <w:tr w14:paraId="0EAD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db6bfb786d5241f3b1185766bde6be2b"/>
            <w:id w:val="1649857591"/>
          </w:sdtPr>
          <w:sdtEndPr>
            <w:rPr>
              <w:rFonts w:ascii="Arial Narrow" w:hAnsi="Arial Narrow" w:eastAsiaTheme="minorEastAsia"/>
              <w:szCs w:val="21"/>
            </w:rPr>
          </w:sdtEndPr>
          <w:sdtContent>
            <w:tc>
              <w:tcPr>
                <w:tcW w:w="2086" w:type="pct"/>
                <w:shd w:val="clear" w:color="auto" w:fill="auto"/>
                <w:vAlign w:val="center"/>
              </w:tcPr>
              <w:p w14:paraId="450E8D49">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813a5174e4c3428889a2eccdbad48c21"/>
            <w:id w:val="-1380393509"/>
          </w:sdtPr>
          <w:sdtEndPr>
            <w:rPr>
              <w:rFonts w:ascii="Arial Narrow" w:hAnsi="Arial Narrow" w:eastAsiaTheme="minorEastAsia"/>
              <w:szCs w:val="21"/>
            </w:rPr>
          </w:sdtEndPr>
          <w:sdtContent>
            <w:tc>
              <w:tcPr>
                <w:tcW w:w="1230" w:type="pct"/>
                <w:shd w:val="clear" w:color="auto" w:fill="auto"/>
                <w:vAlign w:val="center"/>
              </w:tcPr>
              <w:p w14:paraId="5A4EF379">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e58c6490d63c45a79f1c892b7fc96c6a"/>
            <w:id w:val="2085956579"/>
          </w:sdtPr>
          <w:sdtEndPr>
            <w:rPr>
              <w:rFonts w:ascii="Arial Narrow" w:hAnsi="Arial Narrow" w:eastAsiaTheme="minorEastAsia"/>
              <w:szCs w:val="21"/>
            </w:rPr>
          </w:sdtEndPr>
          <w:sdtContent>
            <w:tc>
              <w:tcPr>
                <w:tcW w:w="1684" w:type="pct"/>
                <w:shd w:val="clear" w:color="auto" w:fill="auto"/>
                <w:vAlign w:val="center"/>
              </w:tcPr>
              <w:p w14:paraId="21DF4D83">
                <w:pPr>
                  <w:jc w:val="center"/>
                  <w:rPr>
                    <w:rFonts w:ascii="Arial Narrow" w:hAnsi="Arial Narrow" w:eastAsiaTheme="minorEastAsia"/>
                    <w:szCs w:val="21"/>
                  </w:rPr>
                </w:pPr>
                <w:r>
                  <w:rPr>
                    <w:rFonts w:ascii="Arial Narrow" w:hAnsi="Arial Narrow" w:eastAsiaTheme="minorEastAsia"/>
                    <w:szCs w:val="21"/>
                  </w:rPr>
                  <w:t>未偿还或结转的原因</w:t>
                </w:r>
              </w:p>
            </w:tc>
          </w:sdtContent>
        </w:sdt>
      </w:tr>
      <w:tr w14:paraId="51E1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tcBorders>
              <w:bottom w:val="single" w:color="auto" w:sz="4" w:space="0"/>
            </w:tcBorders>
            <w:shd w:val="clear" w:color="auto" w:fill="auto"/>
          </w:tcPr>
          <w:p w14:paraId="2DF9C169">
            <w:pPr>
              <w:rPr>
                <w:rFonts w:ascii="Arial Narrow" w:hAnsi="Arial Narrow" w:eastAsiaTheme="minorEastAsia"/>
                <w:szCs w:val="21"/>
              </w:rPr>
            </w:pPr>
            <w:r>
              <w:rPr>
                <w:rFonts w:ascii="Arial Narrow" w:hAnsi="Arial Narrow" w:eastAsiaTheme="minorEastAsia"/>
                <w:color w:val="000000"/>
                <w:szCs w:val="21"/>
              </w:rPr>
              <w:t>北京鑫源荣海装备科技有限公司</w:t>
            </w:r>
          </w:p>
        </w:tc>
        <w:tc>
          <w:tcPr>
            <w:tcW w:w="1230" w:type="pct"/>
            <w:shd w:val="clear" w:color="auto" w:fill="auto"/>
            <w:vAlign w:val="center"/>
          </w:tcPr>
          <w:p w14:paraId="617DB694">
            <w:pPr>
              <w:jc w:val="right"/>
              <w:rPr>
                <w:rFonts w:ascii="Arial Narrow" w:hAnsi="Arial Narrow" w:eastAsiaTheme="minorEastAsia"/>
                <w:szCs w:val="21"/>
              </w:rPr>
            </w:pPr>
            <w:r>
              <w:rPr>
                <w:rFonts w:ascii="Arial Narrow" w:hAnsi="Arial Narrow" w:eastAsiaTheme="minorEastAsia"/>
                <w:color w:val="000000"/>
                <w:szCs w:val="21"/>
              </w:rPr>
              <w:t>38,672,654.87</w:t>
            </w:r>
          </w:p>
        </w:tc>
        <w:tc>
          <w:tcPr>
            <w:tcW w:w="1684" w:type="pct"/>
            <w:shd w:val="clear" w:color="auto" w:fill="auto"/>
          </w:tcPr>
          <w:p w14:paraId="2ED23903">
            <w:pPr>
              <w:rPr>
                <w:rFonts w:ascii="Arial Narrow" w:hAnsi="Arial Narrow" w:eastAsiaTheme="minorEastAsia"/>
                <w:szCs w:val="21"/>
              </w:rPr>
            </w:pPr>
            <w:r>
              <w:rPr>
                <w:rFonts w:ascii="Arial Narrow" w:hAnsi="Arial Narrow" w:eastAsiaTheme="minorEastAsia"/>
                <w:color w:val="000000"/>
                <w:szCs w:val="21"/>
              </w:rPr>
              <w:t>尚未结算</w:t>
            </w:r>
          </w:p>
        </w:tc>
      </w:tr>
      <w:tr w14:paraId="1959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tcBorders>
              <w:bottom w:val="single" w:color="auto" w:sz="4" w:space="0"/>
            </w:tcBorders>
            <w:shd w:val="clear" w:color="auto" w:fill="auto"/>
          </w:tcPr>
          <w:p w14:paraId="05B303DC">
            <w:pPr>
              <w:rPr>
                <w:rFonts w:ascii="Arial Narrow" w:hAnsi="Arial Narrow" w:eastAsiaTheme="minorEastAsia"/>
                <w:szCs w:val="21"/>
              </w:rPr>
            </w:pPr>
            <w:r>
              <w:rPr>
                <w:rFonts w:ascii="Arial Narrow" w:hAnsi="Arial Narrow" w:eastAsiaTheme="minorEastAsia"/>
                <w:color w:val="000000"/>
                <w:szCs w:val="21"/>
              </w:rPr>
              <w:t>江苏禹尧化工有限公司</w:t>
            </w:r>
          </w:p>
        </w:tc>
        <w:tc>
          <w:tcPr>
            <w:tcW w:w="1230" w:type="pct"/>
            <w:shd w:val="clear" w:color="auto" w:fill="auto"/>
            <w:vAlign w:val="center"/>
          </w:tcPr>
          <w:p w14:paraId="3FA7CB2A">
            <w:pPr>
              <w:jc w:val="right"/>
              <w:rPr>
                <w:rFonts w:ascii="Arial Narrow" w:hAnsi="Arial Narrow" w:eastAsiaTheme="minorEastAsia"/>
                <w:szCs w:val="21"/>
              </w:rPr>
            </w:pPr>
            <w:r>
              <w:rPr>
                <w:rFonts w:ascii="Arial Narrow" w:hAnsi="Arial Narrow" w:eastAsiaTheme="minorEastAsia"/>
                <w:color w:val="000000"/>
                <w:szCs w:val="21"/>
              </w:rPr>
              <w:t>76,372,764.60</w:t>
            </w:r>
          </w:p>
        </w:tc>
        <w:tc>
          <w:tcPr>
            <w:tcW w:w="1684" w:type="pct"/>
            <w:shd w:val="clear" w:color="auto" w:fill="auto"/>
          </w:tcPr>
          <w:p w14:paraId="2329E599">
            <w:pPr>
              <w:rPr>
                <w:rFonts w:ascii="Arial Narrow" w:hAnsi="Arial Narrow" w:eastAsiaTheme="minorEastAsia"/>
                <w:szCs w:val="21"/>
              </w:rPr>
            </w:pPr>
            <w:r>
              <w:rPr>
                <w:rFonts w:ascii="Arial Narrow" w:hAnsi="Arial Narrow" w:eastAsiaTheme="minorEastAsia"/>
                <w:color w:val="000000"/>
                <w:szCs w:val="21"/>
              </w:rPr>
              <w:t>尚未结算</w:t>
            </w:r>
          </w:p>
        </w:tc>
      </w:tr>
      <w:tr w14:paraId="2583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tcBorders>
              <w:bottom w:val="single" w:color="auto" w:sz="4" w:space="0"/>
            </w:tcBorders>
            <w:shd w:val="clear" w:color="auto" w:fill="auto"/>
          </w:tcPr>
          <w:p w14:paraId="31022C70">
            <w:pPr>
              <w:rPr>
                <w:rFonts w:ascii="Arial Narrow" w:hAnsi="Arial Narrow" w:eastAsiaTheme="minorEastAsia"/>
                <w:szCs w:val="21"/>
              </w:rPr>
            </w:pPr>
            <w:r>
              <w:rPr>
                <w:rFonts w:ascii="Arial Narrow" w:hAnsi="Arial Narrow" w:eastAsiaTheme="minorEastAsia"/>
                <w:color w:val="000000"/>
                <w:szCs w:val="21"/>
              </w:rPr>
              <w:t>江苏正信和荣石油化工有限公司</w:t>
            </w:r>
          </w:p>
        </w:tc>
        <w:tc>
          <w:tcPr>
            <w:tcW w:w="1230" w:type="pct"/>
            <w:shd w:val="clear" w:color="auto" w:fill="auto"/>
            <w:vAlign w:val="center"/>
          </w:tcPr>
          <w:p w14:paraId="3B6F8773">
            <w:pPr>
              <w:jc w:val="right"/>
              <w:rPr>
                <w:rFonts w:ascii="Arial Narrow" w:hAnsi="Arial Narrow" w:eastAsiaTheme="minorEastAsia"/>
                <w:szCs w:val="21"/>
              </w:rPr>
            </w:pPr>
            <w:r>
              <w:rPr>
                <w:rFonts w:ascii="Arial Narrow" w:hAnsi="Arial Narrow" w:eastAsiaTheme="minorEastAsia"/>
                <w:color w:val="000000"/>
                <w:szCs w:val="21"/>
              </w:rPr>
              <w:t>35,890,892.04</w:t>
            </w:r>
          </w:p>
        </w:tc>
        <w:tc>
          <w:tcPr>
            <w:tcW w:w="1684" w:type="pct"/>
            <w:shd w:val="clear" w:color="auto" w:fill="auto"/>
          </w:tcPr>
          <w:p w14:paraId="40AC1A8C">
            <w:pPr>
              <w:rPr>
                <w:rFonts w:ascii="Arial Narrow" w:hAnsi="Arial Narrow" w:eastAsiaTheme="minorEastAsia"/>
                <w:szCs w:val="21"/>
              </w:rPr>
            </w:pPr>
            <w:r>
              <w:rPr>
                <w:rFonts w:ascii="Arial Narrow" w:hAnsi="Arial Narrow" w:eastAsiaTheme="minorEastAsia"/>
                <w:color w:val="000000"/>
                <w:szCs w:val="21"/>
              </w:rPr>
              <w:t>尚未结算</w:t>
            </w:r>
          </w:p>
        </w:tc>
      </w:tr>
      <w:tr w14:paraId="3356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tcBorders>
              <w:bottom w:val="single" w:color="auto" w:sz="4" w:space="0"/>
            </w:tcBorders>
            <w:shd w:val="clear" w:color="auto" w:fill="auto"/>
          </w:tcPr>
          <w:p w14:paraId="6579A441">
            <w:pPr>
              <w:rPr>
                <w:rFonts w:ascii="Arial Narrow" w:hAnsi="Arial Narrow" w:eastAsiaTheme="minorEastAsia"/>
                <w:szCs w:val="21"/>
              </w:rPr>
            </w:pPr>
            <w:r>
              <w:rPr>
                <w:rFonts w:ascii="Arial Narrow" w:hAnsi="Arial Narrow" w:eastAsiaTheme="minorEastAsia"/>
                <w:color w:val="000000"/>
                <w:szCs w:val="21"/>
              </w:rPr>
              <w:t>预收售房款</w:t>
            </w:r>
          </w:p>
        </w:tc>
        <w:tc>
          <w:tcPr>
            <w:tcW w:w="1230" w:type="pct"/>
            <w:shd w:val="clear" w:color="auto" w:fill="auto"/>
            <w:vAlign w:val="center"/>
          </w:tcPr>
          <w:p w14:paraId="069F3426">
            <w:pPr>
              <w:jc w:val="right"/>
              <w:rPr>
                <w:rFonts w:ascii="Arial Narrow" w:hAnsi="Arial Narrow" w:eastAsiaTheme="minorEastAsia"/>
                <w:szCs w:val="21"/>
              </w:rPr>
            </w:pPr>
            <w:r>
              <w:rPr>
                <w:rFonts w:ascii="Arial Narrow" w:hAnsi="Arial Narrow" w:eastAsiaTheme="minorEastAsia"/>
                <w:color w:val="000000"/>
                <w:szCs w:val="21"/>
              </w:rPr>
              <w:t>10,657,940.71</w:t>
            </w:r>
          </w:p>
        </w:tc>
        <w:tc>
          <w:tcPr>
            <w:tcW w:w="1684" w:type="pct"/>
            <w:shd w:val="clear" w:color="auto" w:fill="auto"/>
          </w:tcPr>
          <w:p w14:paraId="24A043D0">
            <w:pPr>
              <w:rPr>
                <w:rFonts w:ascii="Arial Narrow" w:hAnsi="Arial Narrow" w:eastAsiaTheme="minorEastAsia"/>
                <w:szCs w:val="21"/>
              </w:rPr>
            </w:pPr>
            <w:r>
              <w:rPr>
                <w:rFonts w:ascii="Arial Narrow" w:hAnsi="Arial Narrow" w:eastAsiaTheme="minorEastAsia"/>
                <w:color w:val="000000"/>
                <w:szCs w:val="21"/>
              </w:rPr>
              <w:t>尚未达到交房条件</w:t>
            </w:r>
          </w:p>
        </w:tc>
      </w:tr>
      <w:tr w14:paraId="6D57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6" w:type="pct"/>
            <w:shd w:val="clear" w:color="auto" w:fill="auto"/>
            <w:vAlign w:val="center"/>
          </w:tcPr>
          <w:p w14:paraId="106C0C64">
            <w:pPr>
              <w:jc w:val="center"/>
              <w:rPr>
                <w:rFonts w:ascii="Arial Narrow" w:hAnsi="Arial Narrow" w:eastAsiaTheme="minorEastAsia"/>
                <w:szCs w:val="21"/>
              </w:rPr>
            </w:pPr>
            <w:r>
              <w:rPr>
                <w:rFonts w:ascii="Arial Narrow" w:hAnsi="Arial Narrow" w:eastAsiaTheme="minorEastAsia"/>
                <w:szCs w:val="21"/>
              </w:rPr>
              <w:t>合计</w:t>
            </w:r>
          </w:p>
        </w:tc>
        <w:tc>
          <w:tcPr>
            <w:tcW w:w="1230" w:type="pct"/>
            <w:shd w:val="clear" w:color="auto" w:fill="auto"/>
            <w:vAlign w:val="center"/>
          </w:tcPr>
          <w:p w14:paraId="1C240B35">
            <w:pPr>
              <w:jc w:val="right"/>
              <w:rPr>
                <w:rFonts w:ascii="Arial Narrow" w:hAnsi="Arial Narrow" w:eastAsiaTheme="minorEastAsia"/>
                <w:szCs w:val="21"/>
              </w:rPr>
            </w:pPr>
            <w:r>
              <w:rPr>
                <w:rFonts w:ascii="Arial Narrow" w:hAnsi="Arial Narrow" w:eastAsiaTheme="minorEastAsia"/>
                <w:color w:val="000000"/>
                <w:szCs w:val="21"/>
              </w:rPr>
              <w:t>161,594,252.22</w:t>
            </w:r>
          </w:p>
        </w:tc>
        <w:tc>
          <w:tcPr>
            <w:tcW w:w="1684" w:type="pct"/>
            <w:shd w:val="clear" w:color="auto" w:fill="auto"/>
          </w:tcPr>
          <w:p w14:paraId="2DCEB08B">
            <w:pPr>
              <w:jc w:val="center"/>
              <w:rPr>
                <w:rFonts w:ascii="Arial Narrow" w:hAnsi="Arial Narrow" w:eastAsiaTheme="minorEastAsia"/>
                <w:szCs w:val="21"/>
              </w:rPr>
            </w:pPr>
            <w:r>
              <w:rPr>
                <w:rFonts w:ascii="Arial Narrow" w:hAnsi="Arial Narrow" w:eastAsiaTheme="minorEastAsia"/>
                <w:szCs w:val="21"/>
              </w:rPr>
              <w:t>/</w:t>
            </w:r>
          </w:p>
        </w:tc>
      </w:tr>
    </w:tbl>
    <w:p w14:paraId="5481E500">
      <w:pPr>
        <w:rPr>
          <w:rFonts w:hint="eastAsia"/>
        </w:rPr>
      </w:pPr>
    </w:p>
    <w:p w14:paraId="163B18EE">
      <w:pPr>
        <w:pStyle w:val="71"/>
        <w:numPr>
          <w:ilvl w:val="0"/>
          <w:numId w:val="138"/>
        </w:numPr>
        <w:rPr>
          <w:rFonts w:hint="eastAsia"/>
        </w:rPr>
      </w:pPr>
      <w:r>
        <w:rPr>
          <w:rFonts w:hint="eastAsia"/>
        </w:rPr>
        <w:t>报告期内账面价值发生重大变动的金额和原因</w:t>
      </w:r>
    </w:p>
    <w:sdt>
      <w:sdtPr>
        <w:rPr>
          <w:szCs w:val="21"/>
        </w:rPr>
        <w:alias w:val="是否适用：合同负债账面价值发生重大变动[双击切换]"/>
        <w:tag w:val="_GBC_267fd365085f4836b846799edc8c3765"/>
        <w:id w:val="-433972602"/>
        <w:placeholder>
          <w:docPart w:val="GBC22222222222222222222222222222"/>
        </w:placeholder>
      </w:sdtPr>
      <w:sdtEndPr>
        <w:rPr>
          <w:szCs w:val="21"/>
        </w:rPr>
      </w:sdtEndPr>
      <w:sdtContent>
        <w:p w14:paraId="17C27B1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857B17A">
      <w:pPr>
        <w:rPr>
          <w:rFonts w:hint="eastAsia"/>
          <w:szCs w:val="21"/>
        </w:rPr>
      </w:pPr>
    </w:p>
    <w:p w14:paraId="1AF98D75">
      <w:pPr>
        <w:rPr>
          <w:rFonts w:hint="eastAsia"/>
          <w:szCs w:val="21"/>
        </w:rPr>
      </w:pPr>
      <w:r>
        <w:rPr>
          <w:rFonts w:hint="eastAsia"/>
          <w:szCs w:val="21"/>
        </w:rPr>
        <w:t>其他说明：</w:t>
      </w:r>
    </w:p>
    <w:sdt>
      <w:sdtPr>
        <w:rPr>
          <w:szCs w:val="21"/>
        </w:rPr>
        <w:alias w:val="是否适用：合同负债其他说明[双击切换]"/>
        <w:tag w:val="_GBC_1c99003b181f47ebb73e6452f4bfa446"/>
        <w:id w:val="1222642486"/>
        <w:placeholder>
          <w:docPart w:val="GBC22222222222222222222222222222"/>
        </w:placeholder>
      </w:sdtPr>
      <w:sdtEndPr>
        <w:rPr>
          <w:szCs w:val="21"/>
        </w:rPr>
      </w:sdtEndPr>
      <w:sdtContent>
        <w:p w14:paraId="11FB1BB6">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962BF73">
      <w:pPr>
        <w:rPr>
          <w:rFonts w:hint="eastAsia"/>
        </w:rPr>
      </w:pPr>
    </w:p>
    <w:p w14:paraId="0C5790AC">
      <w:pPr>
        <w:pStyle w:val="70"/>
        <w:numPr>
          <w:ilvl w:val="0"/>
          <w:numId w:val="109"/>
        </w:numPr>
        <w:rPr>
          <w:szCs w:val="21"/>
        </w:rPr>
      </w:pPr>
      <w:r>
        <w:rPr>
          <w:szCs w:val="21"/>
        </w:rPr>
        <w:t>应付职工薪酬</w:t>
      </w:r>
    </w:p>
    <w:p w14:paraId="1655CD8F">
      <w:pPr>
        <w:pStyle w:val="71"/>
        <w:numPr>
          <w:ilvl w:val="0"/>
          <w:numId w:val="139"/>
        </w:numPr>
        <w:rPr>
          <w:rFonts w:hint="eastAsia"/>
        </w:rPr>
      </w:pPr>
      <w:r>
        <w:rPr>
          <w:rFonts w:hint="eastAsia"/>
        </w:rPr>
        <w:t>应付职工薪酬列示</w:t>
      </w:r>
    </w:p>
    <w:sdt>
      <w:sdtPr>
        <w:alias w:val="是否适用：应付职工薪酬列示[双击切换]"/>
        <w:tag w:val="_GBC_215b41e091df4b2bbb2009fd3c8040b5"/>
        <w:id w:val="971406037"/>
        <w:placeholder>
          <w:docPart w:val="GBC22222222222222222222222222222"/>
        </w:placeholder>
      </w:sdtPr>
      <w:sdtContent>
        <w:p w14:paraId="74BBADD4">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0897C6">
      <w:pPr>
        <w:jc w:val="right"/>
        <w:rPr>
          <w:rFonts w:hint="eastAsia"/>
        </w:rPr>
      </w:pPr>
      <w:r>
        <w:rPr>
          <w:rFonts w:hint="eastAsia"/>
        </w:rPr>
        <w:t>单位：</w:t>
      </w:r>
      <w:sdt>
        <w:sdtPr>
          <w:rPr>
            <w:rFonts w:hint="eastAsia"/>
          </w:rPr>
          <w:alias w:val="单位：财务附注：应付职工薪酬"/>
          <w:tag w:val="_GBC_6889c0e435324d63b7c01ed595a8e140"/>
          <w:id w:val="-16202912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848883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8"/>
        <w:gridCol w:w="1570"/>
        <w:gridCol w:w="1567"/>
        <w:gridCol w:w="1570"/>
        <w:gridCol w:w="1578"/>
      </w:tblGrid>
      <w:tr w14:paraId="36BD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4761dc2d96c64c3fb5d407cdbec097a2"/>
            <w:id w:val="339658738"/>
          </w:sdtPr>
          <w:sdtEndPr>
            <w:rPr>
              <w:rFonts w:ascii="Arial Narrow" w:hAnsi="Arial Narrow" w:eastAsiaTheme="minorEastAsia"/>
              <w:szCs w:val="21"/>
            </w:rPr>
          </w:sdtEndPr>
          <w:sdtContent>
            <w:tc>
              <w:tcPr>
                <w:tcW w:w="1438" w:type="pct"/>
                <w:shd w:val="clear" w:color="auto" w:fill="auto"/>
                <w:vAlign w:val="center"/>
              </w:tcPr>
              <w:p w14:paraId="67B36736">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f666739d3c0f4f9891bd8f4974d101ec"/>
            <w:id w:val="-255586658"/>
          </w:sdtPr>
          <w:sdtEndPr>
            <w:rPr>
              <w:rFonts w:ascii="Arial Narrow" w:hAnsi="Arial Narrow" w:eastAsiaTheme="minorEastAsia"/>
              <w:szCs w:val="21"/>
            </w:rPr>
          </w:sdtEndPr>
          <w:sdtContent>
            <w:tc>
              <w:tcPr>
                <w:tcW w:w="890" w:type="pct"/>
                <w:shd w:val="clear" w:color="auto" w:fill="auto"/>
                <w:vAlign w:val="center"/>
              </w:tcPr>
              <w:p w14:paraId="688B6C1D">
                <w:pPr>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cc701d3a5a44484d862c996437df1e7d"/>
            <w:id w:val="392783416"/>
          </w:sdtPr>
          <w:sdtEndPr>
            <w:rPr>
              <w:rFonts w:ascii="Arial Narrow" w:hAnsi="Arial Narrow" w:eastAsiaTheme="minorEastAsia"/>
              <w:szCs w:val="21"/>
            </w:rPr>
          </w:sdtEndPr>
          <w:sdtContent>
            <w:tc>
              <w:tcPr>
                <w:tcW w:w="888" w:type="pct"/>
                <w:shd w:val="clear" w:color="auto" w:fill="auto"/>
                <w:vAlign w:val="center"/>
              </w:tcPr>
              <w:p w14:paraId="47BF8B26">
                <w:pPr>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0e8f833fca684ce592b0cba6d04c75ef"/>
            <w:id w:val="-724990241"/>
          </w:sdtPr>
          <w:sdtEndPr>
            <w:rPr>
              <w:rFonts w:ascii="Arial Narrow" w:hAnsi="Arial Narrow" w:eastAsiaTheme="minorEastAsia"/>
              <w:szCs w:val="21"/>
            </w:rPr>
          </w:sdtEndPr>
          <w:sdtContent>
            <w:tc>
              <w:tcPr>
                <w:tcW w:w="890" w:type="pct"/>
                <w:shd w:val="clear" w:color="auto" w:fill="auto"/>
                <w:vAlign w:val="center"/>
              </w:tcPr>
              <w:p w14:paraId="1A49F8E3">
                <w:pPr>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c39a265e94994f0480d13abd59d3eb39"/>
            <w:id w:val="1903013567"/>
          </w:sdtPr>
          <w:sdtEndPr>
            <w:rPr>
              <w:rFonts w:ascii="Arial Narrow" w:hAnsi="Arial Narrow" w:eastAsiaTheme="minorEastAsia"/>
              <w:szCs w:val="21"/>
            </w:rPr>
          </w:sdtEndPr>
          <w:sdtContent>
            <w:tc>
              <w:tcPr>
                <w:tcW w:w="894" w:type="pct"/>
                <w:shd w:val="clear" w:color="auto" w:fill="auto"/>
                <w:vAlign w:val="center"/>
              </w:tcPr>
              <w:p w14:paraId="22DDEC44">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0FF2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shd w:val="clear" w:color="auto" w:fill="auto"/>
            <w:vAlign w:val="center"/>
          </w:tcPr>
          <w:p w14:paraId="264918C5">
            <w:pPr>
              <w:rPr>
                <w:rFonts w:ascii="Arial Narrow" w:hAnsi="Arial Narrow" w:eastAsiaTheme="minorEastAsia"/>
                <w:szCs w:val="21"/>
              </w:rPr>
            </w:pPr>
            <w:r>
              <w:rPr>
                <w:rFonts w:ascii="Arial Narrow" w:hAnsi="Arial Narrow" w:eastAsiaTheme="minorEastAsia"/>
                <w:szCs w:val="21"/>
              </w:rPr>
              <w:t>一、短期薪酬</w:t>
            </w:r>
          </w:p>
        </w:tc>
        <w:tc>
          <w:tcPr>
            <w:tcW w:w="890" w:type="pct"/>
            <w:shd w:val="clear" w:color="auto" w:fill="auto"/>
            <w:vAlign w:val="center"/>
          </w:tcPr>
          <w:p w14:paraId="5D47FFF4">
            <w:pPr>
              <w:jc w:val="right"/>
              <w:rPr>
                <w:rFonts w:ascii="Arial Narrow" w:hAnsi="Arial Narrow" w:eastAsiaTheme="minorEastAsia"/>
                <w:szCs w:val="21"/>
              </w:rPr>
            </w:pPr>
            <w:r>
              <w:rPr>
                <w:rFonts w:ascii="Arial Narrow" w:hAnsi="Arial Narrow" w:eastAsiaTheme="minorEastAsia"/>
                <w:color w:val="000000"/>
                <w:szCs w:val="21"/>
              </w:rPr>
              <w:t>149,897,179.50</w:t>
            </w:r>
          </w:p>
        </w:tc>
        <w:tc>
          <w:tcPr>
            <w:tcW w:w="888" w:type="pct"/>
            <w:shd w:val="clear" w:color="auto" w:fill="auto"/>
            <w:vAlign w:val="center"/>
          </w:tcPr>
          <w:p w14:paraId="2E330AEF">
            <w:pPr>
              <w:jc w:val="right"/>
              <w:rPr>
                <w:rFonts w:ascii="Arial Narrow" w:hAnsi="Arial Narrow" w:eastAsiaTheme="minorEastAsia"/>
                <w:szCs w:val="21"/>
                <w:highlight w:val="yellow"/>
              </w:rPr>
            </w:pPr>
            <w:r>
              <w:rPr>
                <w:rFonts w:ascii="Arial Narrow" w:hAnsi="Arial Narrow" w:eastAsiaTheme="minorEastAsia"/>
                <w:color w:val="000000"/>
                <w:szCs w:val="21"/>
              </w:rPr>
              <w:t>1,503,455,133.60</w:t>
            </w:r>
          </w:p>
        </w:tc>
        <w:tc>
          <w:tcPr>
            <w:tcW w:w="890" w:type="pct"/>
            <w:shd w:val="clear" w:color="auto" w:fill="auto"/>
            <w:vAlign w:val="center"/>
          </w:tcPr>
          <w:p w14:paraId="77373DC0">
            <w:pPr>
              <w:jc w:val="right"/>
              <w:rPr>
                <w:rFonts w:ascii="Arial Narrow" w:hAnsi="Arial Narrow" w:eastAsiaTheme="minorEastAsia"/>
                <w:szCs w:val="21"/>
                <w:highlight w:val="yellow"/>
              </w:rPr>
            </w:pPr>
            <w:r>
              <w:rPr>
                <w:rFonts w:ascii="Arial Narrow" w:hAnsi="Arial Narrow" w:eastAsiaTheme="minorEastAsia"/>
                <w:color w:val="000000"/>
                <w:szCs w:val="21"/>
              </w:rPr>
              <w:t>1,390,937,235.35</w:t>
            </w:r>
          </w:p>
        </w:tc>
        <w:tc>
          <w:tcPr>
            <w:tcW w:w="894" w:type="pct"/>
            <w:shd w:val="clear" w:color="auto" w:fill="auto"/>
            <w:vAlign w:val="center"/>
          </w:tcPr>
          <w:p w14:paraId="1D48E12B">
            <w:pPr>
              <w:jc w:val="right"/>
              <w:rPr>
                <w:rFonts w:ascii="Arial Narrow" w:hAnsi="Arial Narrow" w:eastAsiaTheme="minorEastAsia"/>
                <w:szCs w:val="21"/>
              </w:rPr>
            </w:pPr>
            <w:r>
              <w:rPr>
                <w:rFonts w:ascii="Arial Narrow" w:hAnsi="Arial Narrow" w:eastAsiaTheme="minorEastAsia"/>
                <w:color w:val="000000"/>
                <w:szCs w:val="21"/>
              </w:rPr>
              <w:t>262,415,077.75</w:t>
            </w:r>
          </w:p>
        </w:tc>
      </w:tr>
      <w:tr w14:paraId="5BC5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shd w:val="clear" w:color="auto" w:fill="auto"/>
            <w:vAlign w:val="center"/>
          </w:tcPr>
          <w:p w14:paraId="75F51270">
            <w:pPr>
              <w:rPr>
                <w:rFonts w:ascii="Arial Narrow" w:hAnsi="Arial Narrow" w:eastAsiaTheme="minorEastAsia"/>
                <w:szCs w:val="21"/>
              </w:rPr>
            </w:pPr>
            <w:r>
              <w:rPr>
                <w:rFonts w:ascii="Arial Narrow" w:hAnsi="Arial Narrow" w:eastAsiaTheme="minorEastAsia"/>
                <w:szCs w:val="21"/>
              </w:rPr>
              <w:t>二、离职后福利-设定提存计划</w:t>
            </w:r>
          </w:p>
        </w:tc>
        <w:tc>
          <w:tcPr>
            <w:tcW w:w="890" w:type="pct"/>
            <w:shd w:val="clear" w:color="auto" w:fill="auto"/>
            <w:vAlign w:val="center"/>
          </w:tcPr>
          <w:p w14:paraId="55D14AF2">
            <w:pPr>
              <w:jc w:val="right"/>
              <w:rPr>
                <w:rFonts w:ascii="Arial Narrow" w:hAnsi="Arial Narrow" w:eastAsiaTheme="minorEastAsia"/>
                <w:szCs w:val="21"/>
              </w:rPr>
            </w:pPr>
            <w:r>
              <w:rPr>
                <w:rFonts w:ascii="Arial Narrow" w:hAnsi="Arial Narrow" w:eastAsiaTheme="minorEastAsia"/>
                <w:color w:val="000000"/>
                <w:szCs w:val="21"/>
              </w:rPr>
              <w:t>2,969,988.27</w:t>
            </w:r>
          </w:p>
        </w:tc>
        <w:tc>
          <w:tcPr>
            <w:tcW w:w="888" w:type="pct"/>
            <w:shd w:val="clear" w:color="auto" w:fill="auto"/>
            <w:vAlign w:val="center"/>
          </w:tcPr>
          <w:p w14:paraId="59351448">
            <w:pPr>
              <w:jc w:val="right"/>
              <w:rPr>
                <w:rFonts w:ascii="Arial Narrow" w:hAnsi="Arial Narrow" w:eastAsiaTheme="minorEastAsia"/>
                <w:szCs w:val="21"/>
              </w:rPr>
            </w:pPr>
            <w:r>
              <w:rPr>
                <w:rFonts w:ascii="Arial Narrow" w:hAnsi="Arial Narrow" w:eastAsiaTheme="minorEastAsia"/>
                <w:color w:val="000000"/>
                <w:szCs w:val="21"/>
              </w:rPr>
              <w:t>165,146,222.34</w:t>
            </w:r>
          </w:p>
        </w:tc>
        <w:tc>
          <w:tcPr>
            <w:tcW w:w="890" w:type="pct"/>
            <w:shd w:val="clear" w:color="auto" w:fill="auto"/>
            <w:vAlign w:val="center"/>
          </w:tcPr>
          <w:p w14:paraId="6457FD59">
            <w:pPr>
              <w:jc w:val="right"/>
              <w:rPr>
                <w:rFonts w:ascii="Arial Narrow" w:hAnsi="Arial Narrow" w:eastAsiaTheme="minorEastAsia"/>
                <w:szCs w:val="21"/>
              </w:rPr>
            </w:pPr>
            <w:r>
              <w:rPr>
                <w:rFonts w:ascii="Arial Narrow" w:hAnsi="Arial Narrow" w:eastAsiaTheme="minorEastAsia"/>
                <w:color w:val="000000"/>
                <w:szCs w:val="21"/>
              </w:rPr>
              <w:t>166,212,241.36</w:t>
            </w:r>
          </w:p>
        </w:tc>
        <w:tc>
          <w:tcPr>
            <w:tcW w:w="894" w:type="pct"/>
            <w:shd w:val="clear" w:color="auto" w:fill="auto"/>
            <w:vAlign w:val="center"/>
          </w:tcPr>
          <w:p w14:paraId="1E9F2E74">
            <w:pPr>
              <w:jc w:val="right"/>
              <w:rPr>
                <w:rFonts w:ascii="Arial Narrow" w:hAnsi="Arial Narrow" w:eastAsiaTheme="minorEastAsia"/>
                <w:szCs w:val="21"/>
              </w:rPr>
            </w:pPr>
            <w:r>
              <w:rPr>
                <w:rFonts w:ascii="Arial Narrow" w:hAnsi="Arial Narrow" w:eastAsiaTheme="minorEastAsia"/>
                <w:color w:val="000000"/>
                <w:szCs w:val="21"/>
              </w:rPr>
              <w:t>1,903,969.25</w:t>
            </w:r>
          </w:p>
        </w:tc>
      </w:tr>
      <w:tr w14:paraId="5D25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shd w:val="clear" w:color="auto" w:fill="auto"/>
            <w:vAlign w:val="center"/>
          </w:tcPr>
          <w:p w14:paraId="5046455E">
            <w:pPr>
              <w:rPr>
                <w:rFonts w:ascii="Arial Narrow" w:hAnsi="Arial Narrow" w:eastAsiaTheme="minorEastAsia"/>
                <w:szCs w:val="21"/>
              </w:rPr>
            </w:pPr>
            <w:r>
              <w:rPr>
                <w:rFonts w:ascii="Arial Narrow" w:hAnsi="Arial Narrow" w:eastAsiaTheme="minorEastAsia"/>
                <w:szCs w:val="21"/>
              </w:rPr>
              <w:t>三、辞退福利</w:t>
            </w:r>
          </w:p>
        </w:tc>
        <w:tc>
          <w:tcPr>
            <w:tcW w:w="890" w:type="pct"/>
            <w:shd w:val="clear" w:color="auto" w:fill="auto"/>
            <w:vAlign w:val="center"/>
          </w:tcPr>
          <w:p w14:paraId="32E0130C">
            <w:pPr>
              <w:jc w:val="right"/>
              <w:rPr>
                <w:rFonts w:ascii="Arial Narrow" w:hAnsi="Arial Narrow" w:eastAsiaTheme="minorEastAsia"/>
                <w:szCs w:val="21"/>
              </w:rPr>
            </w:pPr>
          </w:p>
        </w:tc>
        <w:tc>
          <w:tcPr>
            <w:tcW w:w="888" w:type="pct"/>
            <w:shd w:val="clear" w:color="auto" w:fill="auto"/>
            <w:vAlign w:val="center"/>
          </w:tcPr>
          <w:p w14:paraId="59477C6A">
            <w:pPr>
              <w:jc w:val="right"/>
              <w:rPr>
                <w:rFonts w:ascii="Arial Narrow" w:hAnsi="Arial Narrow" w:eastAsiaTheme="minorEastAsia"/>
                <w:szCs w:val="21"/>
              </w:rPr>
            </w:pPr>
            <w:r>
              <w:rPr>
                <w:rFonts w:ascii="Arial Narrow" w:hAnsi="Arial Narrow" w:eastAsiaTheme="minorEastAsia"/>
                <w:color w:val="000000"/>
                <w:szCs w:val="21"/>
              </w:rPr>
              <w:t>3,941,215.42</w:t>
            </w:r>
          </w:p>
        </w:tc>
        <w:tc>
          <w:tcPr>
            <w:tcW w:w="890" w:type="pct"/>
            <w:shd w:val="clear" w:color="auto" w:fill="auto"/>
            <w:vAlign w:val="center"/>
          </w:tcPr>
          <w:p w14:paraId="267CCC2C">
            <w:pPr>
              <w:jc w:val="right"/>
              <w:rPr>
                <w:rFonts w:ascii="Arial Narrow" w:hAnsi="Arial Narrow" w:eastAsiaTheme="minorEastAsia"/>
                <w:szCs w:val="21"/>
              </w:rPr>
            </w:pPr>
            <w:r>
              <w:rPr>
                <w:rFonts w:ascii="Arial Narrow" w:hAnsi="Arial Narrow" w:eastAsiaTheme="minorEastAsia"/>
                <w:color w:val="000000"/>
                <w:szCs w:val="21"/>
              </w:rPr>
              <w:t>3,479,895.48</w:t>
            </w:r>
          </w:p>
        </w:tc>
        <w:tc>
          <w:tcPr>
            <w:tcW w:w="894" w:type="pct"/>
            <w:shd w:val="clear" w:color="auto" w:fill="auto"/>
            <w:vAlign w:val="center"/>
          </w:tcPr>
          <w:p w14:paraId="1CB16969">
            <w:pPr>
              <w:jc w:val="right"/>
              <w:rPr>
                <w:rFonts w:ascii="Arial Narrow" w:hAnsi="Arial Narrow" w:eastAsiaTheme="minorEastAsia"/>
                <w:szCs w:val="21"/>
              </w:rPr>
            </w:pPr>
            <w:r>
              <w:rPr>
                <w:rFonts w:ascii="Arial Narrow" w:hAnsi="Arial Narrow" w:eastAsiaTheme="minorEastAsia"/>
                <w:color w:val="000000"/>
                <w:szCs w:val="21"/>
              </w:rPr>
              <w:t>461,319.94</w:t>
            </w:r>
          </w:p>
        </w:tc>
      </w:tr>
      <w:tr w14:paraId="3402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shd w:val="clear" w:color="auto" w:fill="auto"/>
            <w:vAlign w:val="center"/>
          </w:tcPr>
          <w:p w14:paraId="08B1A7AF">
            <w:pPr>
              <w:rPr>
                <w:rFonts w:ascii="Arial Narrow" w:hAnsi="Arial Narrow" w:eastAsiaTheme="minorEastAsia"/>
                <w:szCs w:val="21"/>
              </w:rPr>
            </w:pPr>
            <w:r>
              <w:rPr>
                <w:rFonts w:ascii="Arial Narrow" w:hAnsi="Arial Narrow" w:eastAsiaTheme="minorEastAsia"/>
                <w:szCs w:val="21"/>
              </w:rPr>
              <w:t>四、一年内到期的其他福利</w:t>
            </w:r>
          </w:p>
        </w:tc>
        <w:tc>
          <w:tcPr>
            <w:tcW w:w="890" w:type="pct"/>
            <w:shd w:val="clear" w:color="auto" w:fill="auto"/>
            <w:vAlign w:val="center"/>
          </w:tcPr>
          <w:p w14:paraId="227A962E">
            <w:pPr>
              <w:jc w:val="right"/>
              <w:rPr>
                <w:rFonts w:ascii="Arial Narrow" w:hAnsi="Arial Narrow" w:eastAsiaTheme="minorEastAsia"/>
                <w:szCs w:val="21"/>
              </w:rPr>
            </w:pPr>
            <w:r>
              <w:rPr>
                <w:rFonts w:ascii="Arial Narrow" w:hAnsi="Arial Narrow" w:eastAsiaTheme="minorEastAsia"/>
                <w:color w:val="000000"/>
                <w:szCs w:val="21"/>
              </w:rPr>
              <w:t>33,388,754.46</w:t>
            </w:r>
          </w:p>
        </w:tc>
        <w:tc>
          <w:tcPr>
            <w:tcW w:w="888" w:type="pct"/>
            <w:shd w:val="clear" w:color="auto" w:fill="auto"/>
            <w:vAlign w:val="center"/>
          </w:tcPr>
          <w:p w14:paraId="53E01FA0">
            <w:pPr>
              <w:jc w:val="right"/>
              <w:rPr>
                <w:rFonts w:ascii="Arial Narrow" w:hAnsi="Arial Narrow" w:eastAsiaTheme="minorEastAsia"/>
                <w:szCs w:val="21"/>
              </w:rPr>
            </w:pPr>
            <w:r>
              <w:rPr>
                <w:rFonts w:ascii="Arial Narrow" w:hAnsi="Arial Narrow" w:eastAsiaTheme="minorEastAsia"/>
                <w:color w:val="000000"/>
                <w:szCs w:val="21"/>
              </w:rPr>
              <w:t>36,393,865.42</w:t>
            </w:r>
          </w:p>
        </w:tc>
        <w:tc>
          <w:tcPr>
            <w:tcW w:w="890" w:type="pct"/>
            <w:shd w:val="clear" w:color="auto" w:fill="auto"/>
            <w:vAlign w:val="center"/>
          </w:tcPr>
          <w:p w14:paraId="582A30D0">
            <w:pPr>
              <w:jc w:val="right"/>
              <w:rPr>
                <w:rFonts w:ascii="Arial Narrow" w:hAnsi="Arial Narrow" w:eastAsiaTheme="minorEastAsia"/>
                <w:szCs w:val="21"/>
              </w:rPr>
            </w:pPr>
            <w:r>
              <w:rPr>
                <w:rFonts w:ascii="Arial Narrow" w:hAnsi="Arial Narrow" w:eastAsiaTheme="minorEastAsia"/>
                <w:color w:val="000000"/>
                <w:szCs w:val="21"/>
              </w:rPr>
              <w:t>38,413,052.88</w:t>
            </w:r>
          </w:p>
        </w:tc>
        <w:tc>
          <w:tcPr>
            <w:tcW w:w="894" w:type="pct"/>
            <w:shd w:val="clear" w:color="auto" w:fill="auto"/>
            <w:vAlign w:val="center"/>
          </w:tcPr>
          <w:p w14:paraId="659F86C8">
            <w:pPr>
              <w:jc w:val="right"/>
              <w:rPr>
                <w:rFonts w:ascii="Arial Narrow" w:hAnsi="Arial Narrow" w:eastAsiaTheme="minorEastAsia"/>
                <w:szCs w:val="21"/>
              </w:rPr>
            </w:pPr>
            <w:r>
              <w:rPr>
                <w:rFonts w:ascii="Arial Narrow" w:hAnsi="Arial Narrow" w:eastAsiaTheme="minorEastAsia"/>
                <w:color w:val="000000"/>
                <w:szCs w:val="21"/>
              </w:rPr>
              <w:t>31,369,567.00</w:t>
            </w:r>
          </w:p>
        </w:tc>
      </w:tr>
      <w:tr w14:paraId="71E0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shd w:val="clear" w:color="auto" w:fill="auto"/>
            <w:vAlign w:val="center"/>
          </w:tcPr>
          <w:p w14:paraId="6E4360B0">
            <w:pPr>
              <w:jc w:val="center"/>
              <w:rPr>
                <w:rFonts w:ascii="Arial Narrow" w:hAnsi="Arial Narrow" w:eastAsiaTheme="minorEastAsia"/>
                <w:szCs w:val="21"/>
              </w:rPr>
            </w:pPr>
            <w:r>
              <w:rPr>
                <w:rFonts w:ascii="Arial Narrow" w:hAnsi="Arial Narrow" w:eastAsiaTheme="minorEastAsia"/>
                <w:szCs w:val="21"/>
              </w:rPr>
              <w:t>合计</w:t>
            </w:r>
          </w:p>
        </w:tc>
        <w:tc>
          <w:tcPr>
            <w:tcW w:w="890" w:type="pct"/>
            <w:shd w:val="clear" w:color="auto" w:fill="auto"/>
            <w:vAlign w:val="center"/>
          </w:tcPr>
          <w:p w14:paraId="29E124B8">
            <w:pPr>
              <w:jc w:val="right"/>
              <w:rPr>
                <w:rFonts w:ascii="Arial Narrow" w:hAnsi="Arial Narrow" w:eastAsiaTheme="minorEastAsia"/>
                <w:szCs w:val="21"/>
              </w:rPr>
            </w:pPr>
            <w:r>
              <w:rPr>
                <w:rFonts w:ascii="Arial Narrow" w:hAnsi="Arial Narrow" w:eastAsiaTheme="minorEastAsia"/>
                <w:color w:val="000000"/>
                <w:szCs w:val="21"/>
              </w:rPr>
              <w:t>186,255,922.23</w:t>
            </w:r>
          </w:p>
        </w:tc>
        <w:tc>
          <w:tcPr>
            <w:tcW w:w="888" w:type="pct"/>
            <w:shd w:val="clear" w:color="auto" w:fill="auto"/>
            <w:vAlign w:val="center"/>
          </w:tcPr>
          <w:p w14:paraId="3D4A6629">
            <w:pPr>
              <w:jc w:val="right"/>
              <w:rPr>
                <w:rFonts w:ascii="Arial Narrow" w:hAnsi="Arial Narrow" w:eastAsiaTheme="minorEastAsia"/>
                <w:szCs w:val="21"/>
              </w:rPr>
            </w:pPr>
            <w:r>
              <w:rPr>
                <w:rFonts w:ascii="Arial Narrow" w:hAnsi="Arial Narrow" w:eastAsiaTheme="minorEastAsia"/>
                <w:color w:val="000000"/>
                <w:szCs w:val="21"/>
              </w:rPr>
              <w:t>1,708,936,436.78</w:t>
            </w:r>
          </w:p>
        </w:tc>
        <w:tc>
          <w:tcPr>
            <w:tcW w:w="890" w:type="pct"/>
            <w:shd w:val="clear" w:color="auto" w:fill="auto"/>
            <w:vAlign w:val="center"/>
          </w:tcPr>
          <w:p w14:paraId="6A3DF906">
            <w:pPr>
              <w:jc w:val="right"/>
              <w:rPr>
                <w:rFonts w:ascii="Arial Narrow" w:hAnsi="Arial Narrow" w:eastAsiaTheme="minorEastAsia"/>
                <w:szCs w:val="21"/>
              </w:rPr>
            </w:pPr>
            <w:r>
              <w:rPr>
                <w:rFonts w:ascii="Arial Narrow" w:hAnsi="Arial Narrow" w:eastAsiaTheme="minorEastAsia"/>
                <w:color w:val="000000"/>
                <w:szCs w:val="21"/>
              </w:rPr>
              <w:t>1,599,042,425.07</w:t>
            </w:r>
          </w:p>
        </w:tc>
        <w:tc>
          <w:tcPr>
            <w:tcW w:w="894" w:type="pct"/>
            <w:shd w:val="clear" w:color="auto" w:fill="auto"/>
            <w:vAlign w:val="center"/>
          </w:tcPr>
          <w:p w14:paraId="66875BFB">
            <w:pPr>
              <w:jc w:val="right"/>
              <w:rPr>
                <w:rFonts w:ascii="Arial Narrow" w:hAnsi="Arial Narrow" w:eastAsiaTheme="minorEastAsia"/>
                <w:szCs w:val="21"/>
              </w:rPr>
            </w:pPr>
            <w:r>
              <w:rPr>
                <w:rFonts w:ascii="Arial Narrow" w:hAnsi="Arial Narrow" w:eastAsiaTheme="minorEastAsia"/>
                <w:color w:val="000000"/>
                <w:szCs w:val="21"/>
              </w:rPr>
              <w:t>296,149,933.94</w:t>
            </w:r>
          </w:p>
        </w:tc>
      </w:tr>
    </w:tbl>
    <w:p w14:paraId="4EE3F5F2">
      <w:pPr>
        <w:rPr>
          <w:rFonts w:hint="eastAsia"/>
        </w:rPr>
      </w:pPr>
    </w:p>
    <w:p w14:paraId="1A5F1637">
      <w:pPr>
        <w:pStyle w:val="71"/>
        <w:numPr>
          <w:ilvl w:val="0"/>
          <w:numId w:val="139"/>
        </w:numPr>
        <w:rPr>
          <w:rFonts w:hint="eastAsia"/>
        </w:rPr>
      </w:pPr>
      <w:r>
        <w:rPr>
          <w:rFonts w:hint="eastAsia"/>
        </w:rPr>
        <w:t>短期薪酬列示</w:t>
      </w:r>
    </w:p>
    <w:sdt>
      <w:sdtPr>
        <w:alias w:val="是否适用：短期薪酬列示[双击切换]"/>
        <w:tag w:val="_GBC_531fef0ef27e47ad98c1bb26abdf204f"/>
        <w:id w:val="894786876"/>
        <w:placeholder>
          <w:docPart w:val="GBC22222222222222222222222222222"/>
        </w:placeholder>
      </w:sdtPr>
      <w:sdtContent>
        <w:p w14:paraId="4CE3F28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FDC07DF">
      <w:pPr>
        <w:jc w:val="right"/>
        <w:rPr>
          <w:rFonts w:hint="eastAsia"/>
          <w:szCs w:val="21"/>
        </w:rPr>
      </w:pPr>
      <w:r>
        <w:rPr>
          <w:rFonts w:hint="eastAsia"/>
          <w:szCs w:val="21"/>
        </w:rPr>
        <w:t>单位：</w:t>
      </w:r>
      <w:sdt>
        <w:sdtPr>
          <w:rPr>
            <w:rFonts w:hint="eastAsia"/>
            <w:szCs w:val="21"/>
          </w:rPr>
          <w:alias w:val="单位：财务附注：短期薪酬"/>
          <w:tag w:val="_GBC_4710a4978b1b4a4bbcd5757aaf80b8d7"/>
          <w:id w:val="5965319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3253283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3"/>
        <w:gridCol w:w="1699"/>
        <w:gridCol w:w="1853"/>
        <w:gridCol w:w="1569"/>
        <w:gridCol w:w="1579"/>
      </w:tblGrid>
      <w:tr w14:paraId="7C8A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977153d49ca449b191bb833cd5f689b2"/>
            <w:id w:val="-221139840"/>
          </w:sdtPr>
          <w:sdtEndPr>
            <w:rPr>
              <w:rFonts w:ascii="Arial Narrow" w:hAnsi="Arial Narrow" w:eastAsiaTheme="minorEastAsia"/>
              <w:szCs w:val="21"/>
            </w:rPr>
          </w:sdtEndPr>
          <w:sdtContent>
            <w:tc>
              <w:tcPr>
                <w:tcW w:w="1203" w:type="pct"/>
                <w:tcBorders>
                  <w:top w:val="single" w:color="auto" w:sz="4" w:space="0"/>
                  <w:left w:val="single" w:color="auto" w:sz="4" w:space="0"/>
                  <w:bottom w:val="single" w:color="auto" w:sz="4" w:space="0"/>
                  <w:right w:val="single" w:color="auto" w:sz="4" w:space="0"/>
                </w:tcBorders>
                <w:vAlign w:val="center"/>
              </w:tcPr>
              <w:p w14:paraId="1726E642">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557c49ee2a4f40de99f948c76f4c3adc"/>
            <w:id w:val="511726819"/>
          </w:sdtPr>
          <w:sdtEndPr>
            <w:rPr>
              <w:rFonts w:ascii="Arial Narrow" w:hAnsi="Arial Narrow" w:eastAsiaTheme="minorEastAsia"/>
              <w:szCs w:val="21"/>
            </w:rPr>
          </w:sdtEndPr>
          <w:sdtContent>
            <w:tc>
              <w:tcPr>
                <w:tcW w:w="963" w:type="pct"/>
                <w:tcBorders>
                  <w:top w:val="single" w:color="auto" w:sz="4" w:space="0"/>
                  <w:left w:val="single" w:color="auto" w:sz="4" w:space="0"/>
                  <w:bottom w:val="single" w:color="auto" w:sz="4" w:space="0"/>
                  <w:right w:val="single" w:color="auto" w:sz="4" w:space="0"/>
                </w:tcBorders>
                <w:vAlign w:val="center"/>
              </w:tcPr>
              <w:p w14:paraId="4A5C2933">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98d1ab48f8084264aff0ef3a30e8ba71"/>
            <w:id w:val="-685206123"/>
          </w:sdtPr>
          <w:sdtEndPr>
            <w:rPr>
              <w:rFonts w:ascii="Arial Narrow" w:hAnsi="Arial Narrow" w:eastAsiaTheme="minorEastAsia"/>
              <w:szCs w:val="21"/>
            </w:rPr>
          </w:sdtEndPr>
          <w:sdtContent>
            <w:tc>
              <w:tcPr>
                <w:tcW w:w="1050" w:type="pct"/>
                <w:tcBorders>
                  <w:top w:val="single" w:color="auto" w:sz="4" w:space="0"/>
                  <w:left w:val="single" w:color="auto" w:sz="4" w:space="0"/>
                  <w:bottom w:val="single" w:color="auto" w:sz="4" w:space="0"/>
                  <w:right w:val="single" w:color="auto" w:sz="4" w:space="0"/>
                </w:tcBorders>
                <w:vAlign w:val="center"/>
              </w:tcPr>
              <w:p w14:paraId="4CA55E59">
                <w:pPr>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e35c4f26db444503b2f9a32896872169"/>
            <w:id w:val="-496732553"/>
          </w:sdtPr>
          <w:sdtEndPr>
            <w:rPr>
              <w:rFonts w:ascii="Arial Narrow" w:hAnsi="Arial Narrow" w:eastAsiaTheme="minorEastAsia"/>
              <w:szCs w:val="21"/>
            </w:rPr>
          </w:sdtEndPr>
          <w:sdtContent>
            <w:tc>
              <w:tcPr>
                <w:tcW w:w="889" w:type="pct"/>
                <w:tcBorders>
                  <w:top w:val="single" w:color="auto" w:sz="4" w:space="0"/>
                  <w:left w:val="single" w:color="auto" w:sz="4" w:space="0"/>
                  <w:bottom w:val="single" w:color="auto" w:sz="4" w:space="0"/>
                  <w:right w:val="single" w:color="auto" w:sz="4" w:space="0"/>
                </w:tcBorders>
                <w:vAlign w:val="center"/>
              </w:tcPr>
              <w:p w14:paraId="7F21477B">
                <w:pPr>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e67d191300ac43c2b1b07c1beddfe891"/>
            <w:id w:val="-23339010"/>
          </w:sdtPr>
          <w:sdtEndPr>
            <w:rPr>
              <w:rFonts w:ascii="Arial Narrow" w:hAnsi="Arial Narrow" w:eastAsiaTheme="minorEastAsia"/>
              <w:szCs w:val="21"/>
            </w:rPr>
          </w:sdtEndPr>
          <w:sdtContent>
            <w:tc>
              <w:tcPr>
                <w:tcW w:w="895" w:type="pct"/>
                <w:tcBorders>
                  <w:top w:val="single" w:color="auto" w:sz="4" w:space="0"/>
                  <w:left w:val="single" w:color="auto" w:sz="4" w:space="0"/>
                  <w:bottom w:val="single" w:color="auto" w:sz="4" w:space="0"/>
                  <w:right w:val="single" w:color="auto" w:sz="4" w:space="0"/>
                </w:tcBorders>
                <w:vAlign w:val="center"/>
              </w:tcPr>
              <w:p w14:paraId="3AC04101">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2B9A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6D02A275">
            <w:pPr>
              <w:autoSpaceDE w:val="0"/>
              <w:autoSpaceDN w:val="0"/>
              <w:adjustRightInd w:val="0"/>
              <w:rPr>
                <w:rFonts w:ascii="Arial Narrow" w:hAnsi="Arial Narrow" w:eastAsiaTheme="minorEastAsia"/>
                <w:szCs w:val="21"/>
              </w:rPr>
            </w:pPr>
            <w:r>
              <w:rPr>
                <w:rFonts w:ascii="Arial Narrow" w:hAnsi="Arial Narrow" w:eastAsiaTheme="minorEastAsia"/>
                <w:szCs w:val="21"/>
              </w:rPr>
              <w:t>一、工资、奖金、津贴和补贴</w:t>
            </w:r>
          </w:p>
        </w:tc>
        <w:tc>
          <w:tcPr>
            <w:tcW w:w="963" w:type="pct"/>
            <w:tcBorders>
              <w:top w:val="single" w:color="auto" w:sz="4" w:space="0"/>
              <w:left w:val="single" w:color="auto" w:sz="4" w:space="0"/>
              <w:bottom w:val="single" w:color="auto" w:sz="4" w:space="0"/>
              <w:right w:val="single" w:color="auto" w:sz="4" w:space="0"/>
            </w:tcBorders>
            <w:vAlign w:val="center"/>
          </w:tcPr>
          <w:p w14:paraId="191F4C3B">
            <w:pPr>
              <w:jc w:val="right"/>
              <w:rPr>
                <w:rFonts w:ascii="Arial Narrow" w:hAnsi="Arial Narrow" w:eastAsiaTheme="minorEastAsia"/>
                <w:szCs w:val="21"/>
              </w:rPr>
            </w:pPr>
            <w:r>
              <w:rPr>
                <w:rFonts w:ascii="Arial Narrow" w:hAnsi="Arial Narrow" w:eastAsiaTheme="minorEastAsia"/>
                <w:color w:val="000000"/>
                <w:szCs w:val="21"/>
              </w:rPr>
              <w:t>59,113,686.78</w:t>
            </w:r>
          </w:p>
        </w:tc>
        <w:tc>
          <w:tcPr>
            <w:tcW w:w="1050" w:type="pct"/>
            <w:tcBorders>
              <w:top w:val="single" w:color="auto" w:sz="4" w:space="0"/>
              <w:left w:val="single" w:color="auto" w:sz="4" w:space="0"/>
              <w:bottom w:val="single" w:color="auto" w:sz="4" w:space="0"/>
              <w:right w:val="single" w:color="auto" w:sz="4" w:space="0"/>
            </w:tcBorders>
            <w:vAlign w:val="center"/>
          </w:tcPr>
          <w:p w14:paraId="60BC324C">
            <w:pPr>
              <w:jc w:val="right"/>
              <w:rPr>
                <w:rFonts w:ascii="Arial Narrow" w:hAnsi="Arial Narrow" w:eastAsiaTheme="minorEastAsia"/>
                <w:szCs w:val="21"/>
              </w:rPr>
            </w:pPr>
            <w:r>
              <w:rPr>
                <w:rFonts w:ascii="Arial Narrow" w:hAnsi="Arial Narrow" w:eastAsiaTheme="minorEastAsia"/>
                <w:color w:val="000000"/>
                <w:szCs w:val="21"/>
              </w:rPr>
              <w:t>1,265,489,220.08</w:t>
            </w:r>
          </w:p>
        </w:tc>
        <w:tc>
          <w:tcPr>
            <w:tcW w:w="889" w:type="pct"/>
            <w:tcBorders>
              <w:top w:val="single" w:color="auto" w:sz="4" w:space="0"/>
              <w:left w:val="single" w:color="auto" w:sz="4" w:space="0"/>
              <w:bottom w:val="single" w:color="auto" w:sz="4" w:space="0"/>
              <w:right w:val="single" w:color="auto" w:sz="4" w:space="0"/>
            </w:tcBorders>
            <w:vAlign w:val="center"/>
          </w:tcPr>
          <w:p w14:paraId="2EE276A9">
            <w:pPr>
              <w:jc w:val="right"/>
              <w:rPr>
                <w:rFonts w:ascii="Arial Narrow" w:hAnsi="Arial Narrow" w:eastAsiaTheme="minorEastAsia"/>
                <w:szCs w:val="21"/>
              </w:rPr>
            </w:pPr>
            <w:r>
              <w:rPr>
                <w:rFonts w:ascii="Arial Narrow" w:hAnsi="Arial Narrow" w:eastAsiaTheme="minorEastAsia"/>
                <w:color w:val="000000"/>
                <w:szCs w:val="21"/>
              </w:rPr>
              <w:t>1,140,582,252.67</w:t>
            </w:r>
          </w:p>
        </w:tc>
        <w:tc>
          <w:tcPr>
            <w:tcW w:w="895" w:type="pct"/>
            <w:tcBorders>
              <w:top w:val="single" w:color="auto" w:sz="4" w:space="0"/>
              <w:left w:val="single" w:color="auto" w:sz="4" w:space="0"/>
              <w:bottom w:val="single" w:color="auto" w:sz="4" w:space="0"/>
              <w:right w:val="single" w:color="auto" w:sz="4" w:space="0"/>
            </w:tcBorders>
            <w:vAlign w:val="center"/>
          </w:tcPr>
          <w:p w14:paraId="40EEFE32">
            <w:pPr>
              <w:jc w:val="right"/>
              <w:rPr>
                <w:rFonts w:ascii="Arial Narrow" w:hAnsi="Arial Narrow" w:eastAsiaTheme="minorEastAsia"/>
                <w:szCs w:val="21"/>
              </w:rPr>
            </w:pPr>
            <w:r>
              <w:rPr>
                <w:rFonts w:ascii="Arial Narrow" w:hAnsi="Arial Narrow" w:eastAsiaTheme="minorEastAsia"/>
                <w:color w:val="000000"/>
                <w:szCs w:val="21"/>
              </w:rPr>
              <w:t>184,020,654.19</w:t>
            </w:r>
          </w:p>
        </w:tc>
      </w:tr>
      <w:tr w14:paraId="275C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66B7B201">
            <w:pPr>
              <w:autoSpaceDE w:val="0"/>
              <w:autoSpaceDN w:val="0"/>
              <w:adjustRightInd w:val="0"/>
              <w:rPr>
                <w:rFonts w:ascii="Arial Narrow" w:hAnsi="Arial Narrow" w:eastAsiaTheme="minorEastAsia"/>
                <w:szCs w:val="21"/>
              </w:rPr>
            </w:pPr>
            <w:r>
              <w:rPr>
                <w:rFonts w:ascii="Arial Narrow" w:hAnsi="Arial Narrow" w:eastAsiaTheme="minorEastAsia"/>
                <w:szCs w:val="21"/>
              </w:rPr>
              <w:t>二、职工福利费</w:t>
            </w:r>
          </w:p>
        </w:tc>
        <w:tc>
          <w:tcPr>
            <w:tcW w:w="963" w:type="pct"/>
            <w:tcBorders>
              <w:top w:val="single" w:color="auto" w:sz="4" w:space="0"/>
              <w:left w:val="single" w:color="auto" w:sz="4" w:space="0"/>
              <w:bottom w:val="single" w:color="auto" w:sz="4" w:space="0"/>
              <w:right w:val="single" w:color="auto" w:sz="4" w:space="0"/>
            </w:tcBorders>
            <w:vAlign w:val="center"/>
          </w:tcPr>
          <w:p w14:paraId="3034D07E">
            <w:pPr>
              <w:jc w:val="right"/>
              <w:rPr>
                <w:rFonts w:ascii="Arial Narrow" w:hAnsi="Arial Narrow" w:eastAsiaTheme="minorEastAsia"/>
                <w:szCs w:val="21"/>
              </w:rPr>
            </w:pPr>
          </w:p>
        </w:tc>
        <w:tc>
          <w:tcPr>
            <w:tcW w:w="1050" w:type="pct"/>
            <w:tcBorders>
              <w:top w:val="single" w:color="auto" w:sz="4" w:space="0"/>
              <w:left w:val="single" w:color="auto" w:sz="4" w:space="0"/>
              <w:bottom w:val="single" w:color="auto" w:sz="4" w:space="0"/>
              <w:right w:val="single" w:color="auto" w:sz="4" w:space="0"/>
            </w:tcBorders>
            <w:vAlign w:val="center"/>
          </w:tcPr>
          <w:p w14:paraId="752F3C79">
            <w:pPr>
              <w:jc w:val="right"/>
              <w:rPr>
                <w:rFonts w:ascii="Arial Narrow" w:hAnsi="Arial Narrow" w:eastAsiaTheme="minorEastAsia"/>
                <w:szCs w:val="21"/>
              </w:rPr>
            </w:pPr>
            <w:r>
              <w:rPr>
                <w:rFonts w:ascii="Arial Narrow" w:hAnsi="Arial Narrow" w:eastAsiaTheme="minorEastAsia"/>
                <w:color w:val="000000"/>
                <w:szCs w:val="21"/>
              </w:rPr>
              <w:t>50,931,122.33</w:t>
            </w:r>
          </w:p>
        </w:tc>
        <w:tc>
          <w:tcPr>
            <w:tcW w:w="889" w:type="pct"/>
            <w:tcBorders>
              <w:top w:val="single" w:color="auto" w:sz="4" w:space="0"/>
              <w:left w:val="single" w:color="auto" w:sz="4" w:space="0"/>
              <w:bottom w:val="single" w:color="auto" w:sz="4" w:space="0"/>
              <w:right w:val="single" w:color="auto" w:sz="4" w:space="0"/>
            </w:tcBorders>
            <w:vAlign w:val="center"/>
          </w:tcPr>
          <w:p w14:paraId="302FF1D5">
            <w:pPr>
              <w:jc w:val="right"/>
              <w:rPr>
                <w:rFonts w:ascii="Arial Narrow" w:hAnsi="Arial Narrow" w:eastAsiaTheme="minorEastAsia"/>
                <w:szCs w:val="21"/>
              </w:rPr>
            </w:pPr>
            <w:r>
              <w:rPr>
                <w:rFonts w:ascii="Arial Narrow" w:hAnsi="Arial Narrow" w:eastAsiaTheme="minorEastAsia"/>
                <w:color w:val="000000"/>
                <w:szCs w:val="21"/>
              </w:rPr>
              <w:t>50,583,224.03</w:t>
            </w:r>
          </w:p>
        </w:tc>
        <w:tc>
          <w:tcPr>
            <w:tcW w:w="895" w:type="pct"/>
            <w:tcBorders>
              <w:top w:val="single" w:color="auto" w:sz="4" w:space="0"/>
              <w:left w:val="single" w:color="auto" w:sz="4" w:space="0"/>
              <w:bottom w:val="single" w:color="auto" w:sz="4" w:space="0"/>
              <w:right w:val="single" w:color="auto" w:sz="4" w:space="0"/>
            </w:tcBorders>
            <w:vAlign w:val="center"/>
          </w:tcPr>
          <w:p w14:paraId="3A5D463B">
            <w:pPr>
              <w:jc w:val="right"/>
              <w:rPr>
                <w:rFonts w:ascii="Arial Narrow" w:hAnsi="Arial Narrow" w:eastAsiaTheme="minorEastAsia"/>
                <w:szCs w:val="21"/>
              </w:rPr>
            </w:pPr>
            <w:r>
              <w:rPr>
                <w:rFonts w:ascii="Arial Narrow" w:hAnsi="Arial Narrow" w:eastAsiaTheme="minorEastAsia"/>
                <w:color w:val="000000"/>
                <w:szCs w:val="21"/>
              </w:rPr>
              <w:t>347,898.30</w:t>
            </w:r>
          </w:p>
        </w:tc>
      </w:tr>
      <w:tr w14:paraId="1A2B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12934457">
            <w:pPr>
              <w:autoSpaceDE w:val="0"/>
              <w:autoSpaceDN w:val="0"/>
              <w:adjustRightInd w:val="0"/>
              <w:rPr>
                <w:rFonts w:ascii="Arial Narrow" w:hAnsi="Arial Narrow" w:eastAsiaTheme="minorEastAsia"/>
                <w:szCs w:val="21"/>
              </w:rPr>
            </w:pPr>
            <w:r>
              <w:rPr>
                <w:rFonts w:ascii="Arial Narrow" w:hAnsi="Arial Narrow" w:eastAsiaTheme="minorEastAsia"/>
                <w:szCs w:val="21"/>
              </w:rPr>
              <w:t>三、社会保险费</w:t>
            </w:r>
          </w:p>
        </w:tc>
        <w:tc>
          <w:tcPr>
            <w:tcW w:w="963" w:type="pct"/>
            <w:tcBorders>
              <w:top w:val="single" w:color="auto" w:sz="4" w:space="0"/>
              <w:left w:val="single" w:color="auto" w:sz="4" w:space="0"/>
              <w:bottom w:val="single" w:color="auto" w:sz="4" w:space="0"/>
              <w:right w:val="single" w:color="auto" w:sz="4" w:space="0"/>
            </w:tcBorders>
            <w:vAlign w:val="center"/>
          </w:tcPr>
          <w:p w14:paraId="36B17641">
            <w:pPr>
              <w:jc w:val="right"/>
              <w:rPr>
                <w:rFonts w:ascii="Arial Narrow" w:hAnsi="Arial Narrow" w:eastAsiaTheme="minorEastAsia"/>
                <w:szCs w:val="21"/>
              </w:rPr>
            </w:pPr>
            <w:r>
              <w:rPr>
                <w:rFonts w:ascii="Arial Narrow" w:hAnsi="Arial Narrow" w:eastAsiaTheme="minorEastAsia"/>
                <w:color w:val="000000"/>
                <w:szCs w:val="21"/>
              </w:rPr>
              <w:t>3,795,584.39</w:t>
            </w:r>
          </w:p>
        </w:tc>
        <w:tc>
          <w:tcPr>
            <w:tcW w:w="1050" w:type="pct"/>
            <w:tcBorders>
              <w:top w:val="single" w:color="auto" w:sz="4" w:space="0"/>
              <w:left w:val="single" w:color="auto" w:sz="4" w:space="0"/>
              <w:bottom w:val="single" w:color="auto" w:sz="4" w:space="0"/>
              <w:right w:val="single" w:color="auto" w:sz="4" w:space="0"/>
            </w:tcBorders>
            <w:vAlign w:val="center"/>
          </w:tcPr>
          <w:p w14:paraId="51125B60">
            <w:pPr>
              <w:jc w:val="right"/>
              <w:rPr>
                <w:rFonts w:ascii="Arial Narrow" w:hAnsi="Arial Narrow" w:eastAsiaTheme="minorEastAsia"/>
                <w:szCs w:val="21"/>
              </w:rPr>
            </w:pPr>
            <w:r>
              <w:rPr>
                <w:rFonts w:ascii="Arial Narrow" w:hAnsi="Arial Narrow" w:eastAsiaTheme="minorEastAsia"/>
                <w:color w:val="000000"/>
                <w:szCs w:val="21"/>
              </w:rPr>
              <w:t>87,197,795.67</w:t>
            </w:r>
          </w:p>
        </w:tc>
        <w:tc>
          <w:tcPr>
            <w:tcW w:w="889" w:type="pct"/>
            <w:tcBorders>
              <w:top w:val="single" w:color="auto" w:sz="4" w:space="0"/>
              <w:left w:val="single" w:color="auto" w:sz="4" w:space="0"/>
              <w:bottom w:val="single" w:color="auto" w:sz="4" w:space="0"/>
              <w:right w:val="single" w:color="auto" w:sz="4" w:space="0"/>
            </w:tcBorders>
            <w:vAlign w:val="center"/>
          </w:tcPr>
          <w:p w14:paraId="484861D1">
            <w:pPr>
              <w:jc w:val="right"/>
              <w:rPr>
                <w:rFonts w:ascii="Arial Narrow" w:hAnsi="Arial Narrow" w:eastAsiaTheme="minorEastAsia"/>
                <w:szCs w:val="21"/>
              </w:rPr>
            </w:pPr>
            <w:r>
              <w:rPr>
                <w:rFonts w:ascii="Arial Narrow" w:hAnsi="Arial Narrow" w:eastAsiaTheme="minorEastAsia"/>
                <w:color w:val="000000"/>
                <w:szCs w:val="21"/>
              </w:rPr>
              <w:t>87,907,995.58</w:t>
            </w:r>
          </w:p>
        </w:tc>
        <w:tc>
          <w:tcPr>
            <w:tcW w:w="895" w:type="pct"/>
            <w:tcBorders>
              <w:top w:val="single" w:color="auto" w:sz="4" w:space="0"/>
              <w:left w:val="single" w:color="auto" w:sz="4" w:space="0"/>
              <w:bottom w:val="single" w:color="auto" w:sz="4" w:space="0"/>
              <w:right w:val="single" w:color="auto" w:sz="4" w:space="0"/>
            </w:tcBorders>
            <w:vAlign w:val="center"/>
          </w:tcPr>
          <w:p w14:paraId="1BDD7701">
            <w:pPr>
              <w:jc w:val="right"/>
              <w:rPr>
                <w:rFonts w:ascii="Arial Narrow" w:hAnsi="Arial Narrow" w:eastAsiaTheme="minorEastAsia"/>
                <w:szCs w:val="21"/>
              </w:rPr>
            </w:pPr>
            <w:r>
              <w:rPr>
                <w:rFonts w:ascii="Arial Narrow" w:hAnsi="Arial Narrow" w:eastAsiaTheme="minorEastAsia"/>
                <w:color w:val="000000"/>
                <w:szCs w:val="21"/>
              </w:rPr>
              <w:t>3,085,384.48</w:t>
            </w:r>
          </w:p>
        </w:tc>
      </w:tr>
      <w:tr w14:paraId="7210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038319FF">
            <w:pPr>
              <w:rPr>
                <w:rFonts w:ascii="Arial Narrow" w:hAnsi="Arial Narrow" w:eastAsiaTheme="minorEastAsia"/>
                <w:color w:val="008000"/>
                <w:szCs w:val="21"/>
              </w:rPr>
            </w:pPr>
            <w:r>
              <w:rPr>
                <w:rFonts w:ascii="Arial Narrow" w:hAnsi="Arial Narrow" w:eastAsiaTheme="minorEastAsia"/>
                <w:szCs w:val="21"/>
              </w:rPr>
              <w:t>其中：医疗保险费</w:t>
            </w:r>
          </w:p>
        </w:tc>
        <w:tc>
          <w:tcPr>
            <w:tcW w:w="963" w:type="pct"/>
            <w:tcBorders>
              <w:top w:val="single" w:color="auto" w:sz="4" w:space="0"/>
              <w:left w:val="single" w:color="auto" w:sz="4" w:space="0"/>
              <w:bottom w:val="single" w:color="auto" w:sz="4" w:space="0"/>
              <w:right w:val="single" w:color="auto" w:sz="4" w:space="0"/>
            </w:tcBorders>
            <w:vAlign w:val="center"/>
          </w:tcPr>
          <w:p w14:paraId="5788EDF4">
            <w:pPr>
              <w:jc w:val="right"/>
              <w:rPr>
                <w:rFonts w:ascii="Arial Narrow" w:hAnsi="Arial Narrow" w:eastAsiaTheme="minorEastAsia"/>
                <w:szCs w:val="21"/>
              </w:rPr>
            </w:pPr>
            <w:r>
              <w:rPr>
                <w:rFonts w:ascii="Arial Narrow" w:hAnsi="Arial Narrow" w:eastAsiaTheme="minorEastAsia"/>
                <w:color w:val="000000"/>
                <w:szCs w:val="21"/>
              </w:rPr>
              <w:t>3,775,871.66</w:t>
            </w:r>
          </w:p>
        </w:tc>
        <w:tc>
          <w:tcPr>
            <w:tcW w:w="1050" w:type="pct"/>
            <w:tcBorders>
              <w:top w:val="single" w:color="auto" w:sz="4" w:space="0"/>
              <w:left w:val="single" w:color="auto" w:sz="4" w:space="0"/>
              <w:bottom w:val="single" w:color="auto" w:sz="4" w:space="0"/>
              <w:right w:val="single" w:color="auto" w:sz="4" w:space="0"/>
            </w:tcBorders>
            <w:vAlign w:val="center"/>
          </w:tcPr>
          <w:p w14:paraId="3B1D8AD3">
            <w:pPr>
              <w:jc w:val="right"/>
              <w:rPr>
                <w:rFonts w:ascii="Arial Narrow" w:hAnsi="Arial Narrow" w:eastAsiaTheme="minorEastAsia"/>
                <w:szCs w:val="21"/>
              </w:rPr>
            </w:pPr>
            <w:r>
              <w:rPr>
                <w:rFonts w:ascii="Arial Narrow" w:hAnsi="Arial Narrow" w:eastAsiaTheme="minorEastAsia"/>
                <w:color w:val="000000"/>
                <w:szCs w:val="21"/>
              </w:rPr>
              <w:t>77,885,059.08</w:t>
            </w:r>
          </w:p>
        </w:tc>
        <w:tc>
          <w:tcPr>
            <w:tcW w:w="889" w:type="pct"/>
            <w:tcBorders>
              <w:top w:val="single" w:color="auto" w:sz="4" w:space="0"/>
              <w:left w:val="single" w:color="auto" w:sz="4" w:space="0"/>
              <w:bottom w:val="single" w:color="auto" w:sz="4" w:space="0"/>
              <w:right w:val="single" w:color="auto" w:sz="4" w:space="0"/>
            </w:tcBorders>
            <w:vAlign w:val="center"/>
          </w:tcPr>
          <w:p w14:paraId="77638AAE">
            <w:pPr>
              <w:jc w:val="right"/>
              <w:rPr>
                <w:rFonts w:ascii="Arial Narrow" w:hAnsi="Arial Narrow" w:eastAsiaTheme="minorEastAsia"/>
                <w:szCs w:val="21"/>
              </w:rPr>
            </w:pPr>
            <w:r>
              <w:rPr>
                <w:rFonts w:ascii="Arial Narrow" w:hAnsi="Arial Narrow" w:eastAsiaTheme="minorEastAsia"/>
                <w:color w:val="000000"/>
                <w:szCs w:val="21"/>
              </w:rPr>
              <w:t>78,614,436.04</w:t>
            </w:r>
          </w:p>
        </w:tc>
        <w:tc>
          <w:tcPr>
            <w:tcW w:w="895" w:type="pct"/>
            <w:tcBorders>
              <w:top w:val="single" w:color="auto" w:sz="4" w:space="0"/>
              <w:left w:val="single" w:color="auto" w:sz="4" w:space="0"/>
              <w:bottom w:val="single" w:color="auto" w:sz="4" w:space="0"/>
              <w:right w:val="single" w:color="auto" w:sz="4" w:space="0"/>
            </w:tcBorders>
            <w:vAlign w:val="center"/>
          </w:tcPr>
          <w:p w14:paraId="40CC20BC">
            <w:pPr>
              <w:jc w:val="right"/>
              <w:rPr>
                <w:rFonts w:ascii="Arial Narrow" w:hAnsi="Arial Narrow" w:eastAsiaTheme="minorEastAsia"/>
                <w:szCs w:val="21"/>
              </w:rPr>
            </w:pPr>
            <w:r>
              <w:rPr>
                <w:rFonts w:ascii="Arial Narrow" w:hAnsi="Arial Narrow" w:eastAsiaTheme="minorEastAsia"/>
                <w:color w:val="000000"/>
                <w:szCs w:val="21"/>
              </w:rPr>
              <w:t>3,046,494.70</w:t>
            </w:r>
          </w:p>
        </w:tc>
      </w:tr>
      <w:tr w14:paraId="3128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01C87527">
            <w:pPr>
              <w:ind w:firstLine="630" w:firstLineChars="300"/>
              <w:rPr>
                <w:rFonts w:ascii="Arial Narrow" w:hAnsi="Arial Narrow" w:eastAsiaTheme="minorEastAsia"/>
                <w:szCs w:val="21"/>
              </w:rPr>
            </w:pPr>
            <w:r>
              <w:rPr>
                <w:rFonts w:ascii="Arial Narrow" w:hAnsi="Arial Narrow" w:eastAsiaTheme="minorEastAsia"/>
                <w:szCs w:val="21"/>
              </w:rPr>
              <w:t>工伤保险费</w:t>
            </w:r>
          </w:p>
        </w:tc>
        <w:tc>
          <w:tcPr>
            <w:tcW w:w="963" w:type="pct"/>
            <w:tcBorders>
              <w:top w:val="single" w:color="auto" w:sz="4" w:space="0"/>
              <w:left w:val="single" w:color="auto" w:sz="4" w:space="0"/>
              <w:bottom w:val="single" w:color="auto" w:sz="4" w:space="0"/>
              <w:right w:val="single" w:color="auto" w:sz="4" w:space="0"/>
            </w:tcBorders>
            <w:vAlign w:val="center"/>
          </w:tcPr>
          <w:p w14:paraId="024308C0">
            <w:pPr>
              <w:jc w:val="right"/>
              <w:rPr>
                <w:rFonts w:ascii="Arial Narrow" w:hAnsi="Arial Narrow" w:eastAsiaTheme="minorEastAsia"/>
                <w:szCs w:val="21"/>
              </w:rPr>
            </w:pPr>
            <w:r>
              <w:rPr>
                <w:rFonts w:ascii="Arial Narrow" w:hAnsi="Arial Narrow" w:eastAsiaTheme="minorEastAsia"/>
                <w:color w:val="000000"/>
                <w:szCs w:val="21"/>
              </w:rPr>
              <w:t>15,003.67</w:t>
            </w:r>
          </w:p>
        </w:tc>
        <w:tc>
          <w:tcPr>
            <w:tcW w:w="1050" w:type="pct"/>
            <w:tcBorders>
              <w:top w:val="single" w:color="auto" w:sz="4" w:space="0"/>
              <w:left w:val="single" w:color="auto" w:sz="4" w:space="0"/>
              <w:bottom w:val="single" w:color="auto" w:sz="4" w:space="0"/>
              <w:right w:val="single" w:color="auto" w:sz="4" w:space="0"/>
            </w:tcBorders>
            <w:vAlign w:val="center"/>
          </w:tcPr>
          <w:p w14:paraId="60B36E57">
            <w:pPr>
              <w:jc w:val="right"/>
              <w:rPr>
                <w:rFonts w:ascii="Arial Narrow" w:hAnsi="Arial Narrow" w:eastAsiaTheme="minorEastAsia"/>
                <w:szCs w:val="21"/>
              </w:rPr>
            </w:pPr>
            <w:r>
              <w:rPr>
                <w:rFonts w:ascii="Arial Narrow" w:hAnsi="Arial Narrow" w:eastAsiaTheme="minorEastAsia"/>
                <w:color w:val="000000"/>
                <w:szCs w:val="21"/>
              </w:rPr>
              <w:t>8,349,390.77</w:t>
            </w:r>
          </w:p>
        </w:tc>
        <w:tc>
          <w:tcPr>
            <w:tcW w:w="889" w:type="pct"/>
            <w:tcBorders>
              <w:top w:val="single" w:color="auto" w:sz="4" w:space="0"/>
              <w:left w:val="single" w:color="auto" w:sz="4" w:space="0"/>
              <w:bottom w:val="single" w:color="auto" w:sz="4" w:space="0"/>
              <w:right w:val="single" w:color="auto" w:sz="4" w:space="0"/>
            </w:tcBorders>
            <w:vAlign w:val="center"/>
          </w:tcPr>
          <w:p w14:paraId="5E9CE01B">
            <w:pPr>
              <w:jc w:val="right"/>
              <w:rPr>
                <w:rFonts w:ascii="Arial Narrow" w:hAnsi="Arial Narrow" w:eastAsiaTheme="minorEastAsia"/>
                <w:szCs w:val="21"/>
              </w:rPr>
            </w:pPr>
            <w:r>
              <w:rPr>
                <w:rFonts w:ascii="Arial Narrow" w:hAnsi="Arial Narrow" w:eastAsiaTheme="minorEastAsia"/>
                <w:color w:val="000000"/>
                <w:szCs w:val="21"/>
              </w:rPr>
              <w:t>8,326,531.24</w:t>
            </w:r>
          </w:p>
        </w:tc>
        <w:tc>
          <w:tcPr>
            <w:tcW w:w="895" w:type="pct"/>
            <w:tcBorders>
              <w:top w:val="single" w:color="auto" w:sz="4" w:space="0"/>
              <w:left w:val="single" w:color="auto" w:sz="4" w:space="0"/>
              <w:bottom w:val="single" w:color="auto" w:sz="4" w:space="0"/>
              <w:right w:val="single" w:color="auto" w:sz="4" w:space="0"/>
            </w:tcBorders>
            <w:vAlign w:val="center"/>
          </w:tcPr>
          <w:p w14:paraId="434E6292">
            <w:pPr>
              <w:jc w:val="right"/>
              <w:rPr>
                <w:rFonts w:ascii="Arial Narrow" w:hAnsi="Arial Narrow" w:eastAsiaTheme="minorEastAsia"/>
                <w:szCs w:val="21"/>
              </w:rPr>
            </w:pPr>
            <w:r>
              <w:rPr>
                <w:rFonts w:ascii="Arial Narrow" w:hAnsi="Arial Narrow" w:eastAsiaTheme="minorEastAsia"/>
                <w:color w:val="000000"/>
                <w:szCs w:val="21"/>
              </w:rPr>
              <w:t>37,863.20</w:t>
            </w:r>
          </w:p>
        </w:tc>
      </w:tr>
      <w:tr w14:paraId="125B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72BA7401">
            <w:pPr>
              <w:ind w:firstLine="630" w:firstLineChars="300"/>
              <w:rPr>
                <w:rFonts w:ascii="Arial Narrow" w:hAnsi="Arial Narrow" w:eastAsiaTheme="minorEastAsia"/>
                <w:szCs w:val="21"/>
              </w:rPr>
            </w:pPr>
            <w:r>
              <w:rPr>
                <w:rFonts w:ascii="Arial Narrow" w:hAnsi="Arial Narrow" w:eastAsiaTheme="minorEastAsia"/>
                <w:szCs w:val="21"/>
              </w:rPr>
              <w:t>生育保险费</w:t>
            </w:r>
          </w:p>
        </w:tc>
        <w:tc>
          <w:tcPr>
            <w:tcW w:w="963" w:type="pct"/>
            <w:tcBorders>
              <w:top w:val="single" w:color="auto" w:sz="4" w:space="0"/>
              <w:left w:val="single" w:color="auto" w:sz="4" w:space="0"/>
              <w:bottom w:val="single" w:color="auto" w:sz="4" w:space="0"/>
              <w:right w:val="single" w:color="auto" w:sz="4" w:space="0"/>
            </w:tcBorders>
            <w:vAlign w:val="center"/>
          </w:tcPr>
          <w:p w14:paraId="7601361B">
            <w:pPr>
              <w:jc w:val="right"/>
              <w:rPr>
                <w:rFonts w:ascii="Arial Narrow" w:hAnsi="Arial Narrow" w:eastAsiaTheme="minorEastAsia"/>
                <w:szCs w:val="21"/>
              </w:rPr>
            </w:pPr>
            <w:r>
              <w:rPr>
                <w:rFonts w:ascii="Arial Narrow" w:hAnsi="Arial Narrow" w:eastAsiaTheme="minorEastAsia"/>
                <w:color w:val="000000"/>
                <w:szCs w:val="21"/>
              </w:rPr>
              <w:t>4,709.06</w:t>
            </w:r>
          </w:p>
        </w:tc>
        <w:tc>
          <w:tcPr>
            <w:tcW w:w="1050" w:type="pct"/>
            <w:tcBorders>
              <w:top w:val="single" w:color="auto" w:sz="4" w:space="0"/>
              <w:left w:val="single" w:color="auto" w:sz="4" w:space="0"/>
              <w:bottom w:val="single" w:color="auto" w:sz="4" w:space="0"/>
              <w:right w:val="single" w:color="auto" w:sz="4" w:space="0"/>
            </w:tcBorders>
            <w:vAlign w:val="center"/>
          </w:tcPr>
          <w:p w14:paraId="2785B1CE">
            <w:pPr>
              <w:jc w:val="right"/>
              <w:rPr>
                <w:rFonts w:ascii="Arial Narrow" w:hAnsi="Arial Narrow" w:eastAsiaTheme="minorEastAsia"/>
                <w:szCs w:val="21"/>
              </w:rPr>
            </w:pPr>
            <w:r>
              <w:rPr>
                <w:rFonts w:ascii="Arial Narrow" w:hAnsi="Arial Narrow" w:eastAsiaTheme="minorEastAsia"/>
                <w:color w:val="000000"/>
                <w:szCs w:val="21"/>
              </w:rPr>
              <w:t>963,345.82</w:t>
            </w:r>
          </w:p>
        </w:tc>
        <w:tc>
          <w:tcPr>
            <w:tcW w:w="889" w:type="pct"/>
            <w:tcBorders>
              <w:top w:val="single" w:color="auto" w:sz="4" w:space="0"/>
              <w:left w:val="single" w:color="auto" w:sz="4" w:space="0"/>
              <w:bottom w:val="single" w:color="auto" w:sz="4" w:space="0"/>
              <w:right w:val="single" w:color="auto" w:sz="4" w:space="0"/>
            </w:tcBorders>
            <w:vAlign w:val="center"/>
          </w:tcPr>
          <w:p w14:paraId="4F02F963">
            <w:pPr>
              <w:jc w:val="right"/>
              <w:rPr>
                <w:rFonts w:ascii="Arial Narrow" w:hAnsi="Arial Narrow" w:eastAsiaTheme="minorEastAsia"/>
                <w:szCs w:val="21"/>
              </w:rPr>
            </w:pPr>
            <w:r>
              <w:rPr>
                <w:rFonts w:ascii="Arial Narrow" w:hAnsi="Arial Narrow" w:eastAsiaTheme="minorEastAsia"/>
                <w:color w:val="000000"/>
                <w:szCs w:val="21"/>
              </w:rPr>
              <w:t>967,028.30</w:t>
            </w:r>
          </w:p>
        </w:tc>
        <w:tc>
          <w:tcPr>
            <w:tcW w:w="895" w:type="pct"/>
            <w:tcBorders>
              <w:top w:val="single" w:color="auto" w:sz="4" w:space="0"/>
              <w:left w:val="single" w:color="auto" w:sz="4" w:space="0"/>
              <w:bottom w:val="single" w:color="auto" w:sz="4" w:space="0"/>
              <w:right w:val="single" w:color="auto" w:sz="4" w:space="0"/>
            </w:tcBorders>
            <w:vAlign w:val="center"/>
          </w:tcPr>
          <w:p w14:paraId="402624BB">
            <w:pPr>
              <w:jc w:val="right"/>
              <w:rPr>
                <w:rFonts w:ascii="Arial Narrow" w:hAnsi="Arial Narrow" w:eastAsiaTheme="minorEastAsia"/>
                <w:szCs w:val="21"/>
              </w:rPr>
            </w:pPr>
            <w:r>
              <w:rPr>
                <w:rFonts w:ascii="Arial Narrow" w:hAnsi="Arial Narrow" w:eastAsiaTheme="minorEastAsia"/>
                <w:color w:val="000000"/>
                <w:szCs w:val="21"/>
              </w:rPr>
              <w:t>1,026.58</w:t>
            </w:r>
          </w:p>
        </w:tc>
      </w:tr>
      <w:tr w14:paraId="45DF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4ED5CB93">
            <w:pPr>
              <w:autoSpaceDE w:val="0"/>
              <w:autoSpaceDN w:val="0"/>
              <w:adjustRightInd w:val="0"/>
              <w:rPr>
                <w:rFonts w:ascii="Arial Narrow" w:hAnsi="Arial Narrow" w:eastAsiaTheme="minorEastAsia"/>
                <w:szCs w:val="21"/>
              </w:rPr>
            </w:pPr>
            <w:r>
              <w:rPr>
                <w:rFonts w:ascii="Arial Narrow" w:hAnsi="Arial Narrow" w:eastAsiaTheme="minorEastAsia"/>
                <w:szCs w:val="21"/>
              </w:rPr>
              <w:t>四、住房公积金</w:t>
            </w:r>
          </w:p>
        </w:tc>
        <w:tc>
          <w:tcPr>
            <w:tcW w:w="963" w:type="pct"/>
            <w:tcBorders>
              <w:top w:val="single" w:color="auto" w:sz="4" w:space="0"/>
              <w:left w:val="single" w:color="auto" w:sz="4" w:space="0"/>
              <w:bottom w:val="single" w:color="auto" w:sz="4" w:space="0"/>
              <w:right w:val="single" w:color="auto" w:sz="4" w:space="0"/>
            </w:tcBorders>
            <w:vAlign w:val="center"/>
          </w:tcPr>
          <w:p w14:paraId="7AEFB5AB">
            <w:pPr>
              <w:jc w:val="right"/>
              <w:rPr>
                <w:rFonts w:ascii="Arial Narrow" w:hAnsi="Arial Narrow" w:eastAsiaTheme="minorEastAsia"/>
                <w:szCs w:val="21"/>
              </w:rPr>
            </w:pPr>
            <w:r>
              <w:rPr>
                <w:rFonts w:ascii="Arial Narrow" w:hAnsi="Arial Narrow" w:eastAsiaTheme="minorEastAsia"/>
                <w:color w:val="000000"/>
                <w:szCs w:val="21"/>
              </w:rPr>
              <w:t>20,610,753.78</w:t>
            </w:r>
          </w:p>
        </w:tc>
        <w:tc>
          <w:tcPr>
            <w:tcW w:w="1050" w:type="pct"/>
            <w:tcBorders>
              <w:top w:val="single" w:color="auto" w:sz="4" w:space="0"/>
              <w:left w:val="single" w:color="auto" w:sz="4" w:space="0"/>
              <w:bottom w:val="single" w:color="auto" w:sz="4" w:space="0"/>
              <w:right w:val="single" w:color="auto" w:sz="4" w:space="0"/>
            </w:tcBorders>
            <w:vAlign w:val="center"/>
          </w:tcPr>
          <w:p w14:paraId="59195735">
            <w:pPr>
              <w:jc w:val="right"/>
              <w:rPr>
                <w:rFonts w:ascii="Arial Narrow" w:hAnsi="Arial Narrow" w:eastAsiaTheme="minorEastAsia"/>
                <w:szCs w:val="21"/>
              </w:rPr>
            </w:pPr>
            <w:r>
              <w:rPr>
                <w:rFonts w:ascii="Arial Narrow" w:hAnsi="Arial Narrow" w:eastAsiaTheme="minorEastAsia"/>
                <w:color w:val="000000"/>
                <w:szCs w:val="21"/>
              </w:rPr>
              <w:t>70,243,306.35</w:t>
            </w:r>
          </w:p>
        </w:tc>
        <w:tc>
          <w:tcPr>
            <w:tcW w:w="889" w:type="pct"/>
            <w:tcBorders>
              <w:top w:val="single" w:color="auto" w:sz="4" w:space="0"/>
              <w:left w:val="single" w:color="auto" w:sz="4" w:space="0"/>
              <w:bottom w:val="single" w:color="auto" w:sz="4" w:space="0"/>
              <w:right w:val="single" w:color="auto" w:sz="4" w:space="0"/>
            </w:tcBorders>
            <w:vAlign w:val="center"/>
          </w:tcPr>
          <w:p w14:paraId="3C337049">
            <w:pPr>
              <w:jc w:val="right"/>
              <w:rPr>
                <w:rFonts w:ascii="Arial Narrow" w:hAnsi="Arial Narrow" w:eastAsiaTheme="minorEastAsia"/>
                <w:szCs w:val="21"/>
              </w:rPr>
            </w:pPr>
            <w:r>
              <w:rPr>
                <w:rFonts w:ascii="Arial Narrow" w:hAnsi="Arial Narrow" w:eastAsiaTheme="minorEastAsia"/>
                <w:color w:val="000000"/>
                <w:szCs w:val="21"/>
              </w:rPr>
              <w:t>71,566,537.66</w:t>
            </w:r>
          </w:p>
        </w:tc>
        <w:tc>
          <w:tcPr>
            <w:tcW w:w="895" w:type="pct"/>
            <w:tcBorders>
              <w:top w:val="single" w:color="auto" w:sz="4" w:space="0"/>
              <w:left w:val="single" w:color="auto" w:sz="4" w:space="0"/>
              <w:bottom w:val="single" w:color="auto" w:sz="4" w:space="0"/>
              <w:right w:val="single" w:color="auto" w:sz="4" w:space="0"/>
            </w:tcBorders>
            <w:vAlign w:val="center"/>
          </w:tcPr>
          <w:p w14:paraId="1C6766CE">
            <w:pPr>
              <w:jc w:val="right"/>
              <w:rPr>
                <w:rFonts w:ascii="Arial Narrow" w:hAnsi="Arial Narrow" w:eastAsiaTheme="minorEastAsia"/>
                <w:szCs w:val="21"/>
              </w:rPr>
            </w:pPr>
            <w:r>
              <w:rPr>
                <w:rFonts w:ascii="Arial Narrow" w:hAnsi="Arial Narrow" w:eastAsiaTheme="minorEastAsia"/>
                <w:color w:val="000000"/>
                <w:szCs w:val="21"/>
              </w:rPr>
              <w:t>19,287,522.47</w:t>
            </w:r>
          </w:p>
        </w:tc>
      </w:tr>
      <w:tr w14:paraId="0034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314395A5">
            <w:pPr>
              <w:autoSpaceDE w:val="0"/>
              <w:autoSpaceDN w:val="0"/>
              <w:adjustRightInd w:val="0"/>
              <w:rPr>
                <w:rFonts w:ascii="Arial Narrow" w:hAnsi="Arial Narrow" w:eastAsiaTheme="minorEastAsia"/>
                <w:szCs w:val="21"/>
              </w:rPr>
            </w:pPr>
            <w:r>
              <w:rPr>
                <w:rFonts w:ascii="Arial Narrow" w:hAnsi="Arial Narrow" w:eastAsiaTheme="minorEastAsia"/>
                <w:szCs w:val="21"/>
              </w:rPr>
              <w:t>五、工会经费和职工教育经费</w:t>
            </w:r>
          </w:p>
        </w:tc>
        <w:tc>
          <w:tcPr>
            <w:tcW w:w="963" w:type="pct"/>
            <w:tcBorders>
              <w:top w:val="single" w:color="auto" w:sz="4" w:space="0"/>
              <w:left w:val="single" w:color="auto" w:sz="4" w:space="0"/>
              <w:bottom w:val="single" w:color="auto" w:sz="4" w:space="0"/>
              <w:right w:val="single" w:color="auto" w:sz="4" w:space="0"/>
            </w:tcBorders>
            <w:vAlign w:val="center"/>
          </w:tcPr>
          <w:p w14:paraId="08D0BA7B">
            <w:pPr>
              <w:jc w:val="right"/>
              <w:rPr>
                <w:rFonts w:ascii="Arial Narrow" w:hAnsi="Arial Narrow" w:eastAsiaTheme="minorEastAsia"/>
                <w:szCs w:val="21"/>
              </w:rPr>
            </w:pPr>
            <w:r>
              <w:rPr>
                <w:rFonts w:ascii="Arial Narrow" w:hAnsi="Arial Narrow" w:eastAsiaTheme="minorEastAsia"/>
                <w:color w:val="000000"/>
                <w:szCs w:val="21"/>
              </w:rPr>
              <w:t>66,250,955.71</w:t>
            </w:r>
          </w:p>
        </w:tc>
        <w:tc>
          <w:tcPr>
            <w:tcW w:w="1050" w:type="pct"/>
            <w:tcBorders>
              <w:top w:val="single" w:color="auto" w:sz="4" w:space="0"/>
              <w:left w:val="single" w:color="auto" w:sz="4" w:space="0"/>
              <w:bottom w:val="single" w:color="auto" w:sz="4" w:space="0"/>
              <w:right w:val="single" w:color="auto" w:sz="4" w:space="0"/>
            </w:tcBorders>
            <w:vAlign w:val="center"/>
          </w:tcPr>
          <w:p w14:paraId="4A8EA480">
            <w:pPr>
              <w:jc w:val="right"/>
              <w:rPr>
                <w:rFonts w:ascii="Arial Narrow" w:hAnsi="Arial Narrow" w:eastAsiaTheme="minorEastAsia"/>
                <w:szCs w:val="21"/>
              </w:rPr>
            </w:pPr>
            <w:r>
              <w:rPr>
                <w:rFonts w:ascii="Arial Narrow" w:hAnsi="Arial Narrow" w:eastAsiaTheme="minorEastAsia"/>
                <w:color w:val="000000"/>
                <w:szCs w:val="21"/>
              </w:rPr>
              <w:t>13,871,864.37</w:t>
            </w:r>
          </w:p>
        </w:tc>
        <w:tc>
          <w:tcPr>
            <w:tcW w:w="889" w:type="pct"/>
            <w:tcBorders>
              <w:top w:val="single" w:color="auto" w:sz="4" w:space="0"/>
              <w:left w:val="single" w:color="auto" w:sz="4" w:space="0"/>
              <w:bottom w:val="single" w:color="auto" w:sz="4" w:space="0"/>
              <w:right w:val="single" w:color="auto" w:sz="4" w:space="0"/>
            </w:tcBorders>
            <w:vAlign w:val="center"/>
          </w:tcPr>
          <w:p w14:paraId="5D499598">
            <w:pPr>
              <w:jc w:val="right"/>
              <w:rPr>
                <w:rFonts w:ascii="Arial Narrow" w:hAnsi="Arial Narrow" w:eastAsiaTheme="minorEastAsia"/>
                <w:szCs w:val="21"/>
              </w:rPr>
            </w:pPr>
            <w:r>
              <w:rPr>
                <w:rFonts w:ascii="Arial Narrow" w:hAnsi="Arial Narrow" w:eastAsiaTheme="minorEastAsia"/>
                <w:color w:val="000000"/>
                <w:szCs w:val="21"/>
              </w:rPr>
              <w:t>24,551,848.08</w:t>
            </w:r>
          </w:p>
        </w:tc>
        <w:tc>
          <w:tcPr>
            <w:tcW w:w="895" w:type="pct"/>
            <w:tcBorders>
              <w:top w:val="single" w:color="auto" w:sz="4" w:space="0"/>
              <w:left w:val="single" w:color="auto" w:sz="4" w:space="0"/>
              <w:bottom w:val="single" w:color="auto" w:sz="4" w:space="0"/>
              <w:right w:val="single" w:color="auto" w:sz="4" w:space="0"/>
            </w:tcBorders>
            <w:vAlign w:val="center"/>
          </w:tcPr>
          <w:p w14:paraId="6AFCD2EA">
            <w:pPr>
              <w:jc w:val="right"/>
              <w:rPr>
                <w:rFonts w:ascii="Arial Narrow" w:hAnsi="Arial Narrow" w:eastAsiaTheme="minorEastAsia"/>
                <w:szCs w:val="21"/>
              </w:rPr>
            </w:pPr>
            <w:r>
              <w:rPr>
                <w:rFonts w:ascii="Arial Narrow" w:hAnsi="Arial Narrow" w:eastAsiaTheme="minorEastAsia"/>
                <w:color w:val="000000"/>
                <w:szCs w:val="21"/>
              </w:rPr>
              <w:t>55,570,972.00</w:t>
            </w:r>
          </w:p>
        </w:tc>
      </w:tr>
      <w:tr w14:paraId="307F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78DC72A6">
            <w:pPr>
              <w:rPr>
                <w:rFonts w:ascii="Arial Narrow" w:hAnsi="Arial Narrow" w:eastAsiaTheme="minorEastAsia"/>
                <w:szCs w:val="21"/>
              </w:rPr>
            </w:pPr>
            <w:r>
              <w:rPr>
                <w:rFonts w:hint="eastAsia" w:ascii="Arial Narrow" w:hAnsi="Arial Narrow" w:eastAsiaTheme="minorEastAsia"/>
                <w:szCs w:val="21"/>
              </w:rPr>
              <w:t>六</w:t>
            </w:r>
            <w:r>
              <w:rPr>
                <w:rFonts w:ascii="Arial Narrow" w:hAnsi="Arial Narrow" w:eastAsiaTheme="minorEastAsia"/>
                <w:szCs w:val="21"/>
              </w:rPr>
              <w:t>、其他短期薪酬</w:t>
            </w:r>
          </w:p>
        </w:tc>
        <w:tc>
          <w:tcPr>
            <w:tcW w:w="963" w:type="pct"/>
            <w:tcBorders>
              <w:top w:val="single" w:color="auto" w:sz="4" w:space="0"/>
              <w:left w:val="single" w:color="auto" w:sz="4" w:space="0"/>
              <w:bottom w:val="single" w:color="auto" w:sz="4" w:space="0"/>
              <w:right w:val="single" w:color="auto" w:sz="4" w:space="0"/>
            </w:tcBorders>
            <w:vAlign w:val="center"/>
          </w:tcPr>
          <w:p w14:paraId="3C274FFA">
            <w:pPr>
              <w:jc w:val="right"/>
              <w:rPr>
                <w:rFonts w:ascii="Arial Narrow" w:hAnsi="Arial Narrow" w:eastAsiaTheme="minorEastAsia"/>
                <w:szCs w:val="21"/>
              </w:rPr>
            </w:pPr>
            <w:r>
              <w:rPr>
                <w:rFonts w:ascii="Arial Narrow" w:hAnsi="Arial Narrow" w:eastAsiaTheme="minorEastAsia"/>
                <w:color w:val="000000"/>
                <w:szCs w:val="21"/>
              </w:rPr>
              <w:t>126,198.84</w:t>
            </w:r>
          </w:p>
        </w:tc>
        <w:tc>
          <w:tcPr>
            <w:tcW w:w="1050" w:type="pct"/>
            <w:tcBorders>
              <w:top w:val="single" w:color="auto" w:sz="4" w:space="0"/>
              <w:left w:val="single" w:color="auto" w:sz="4" w:space="0"/>
              <w:bottom w:val="single" w:color="auto" w:sz="4" w:space="0"/>
              <w:right w:val="single" w:color="auto" w:sz="4" w:space="0"/>
            </w:tcBorders>
            <w:vAlign w:val="center"/>
          </w:tcPr>
          <w:p w14:paraId="4B340575">
            <w:pPr>
              <w:jc w:val="right"/>
              <w:rPr>
                <w:rFonts w:ascii="Arial Narrow" w:hAnsi="Arial Narrow" w:eastAsiaTheme="minorEastAsia"/>
                <w:szCs w:val="21"/>
              </w:rPr>
            </w:pPr>
            <w:r>
              <w:rPr>
                <w:rFonts w:ascii="Arial Narrow" w:hAnsi="Arial Narrow" w:eastAsiaTheme="minorEastAsia"/>
                <w:color w:val="000000"/>
                <w:szCs w:val="21"/>
              </w:rPr>
              <w:t>15,721,824.80</w:t>
            </w:r>
          </w:p>
        </w:tc>
        <w:tc>
          <w:tcPr>
            <w:tcW w:w="889" w:type="pct"/>
            <w:tcBorders>
              <w:top w:val="single" w:color="auto" w:sz="4" w:space="0"/>
              <w:left w:val="single" w:color="auto" w:sz="4" w:space="0"/>
              <w:bottom w:val="single" w:color="auto" w:sz="4" w:space="0"/>
              <w:right w:val="single" w:color="auto" w:sz="4" w:space="0"/>
            </w:tcBorders>
            <w:vAlign w:val="center"/>
          </w:tcPr>
          <w:p w14:paraId="25C238F7">
            <w:pPr>
              <w:jc w:val="right"/>
              <w:rPr>
                <w:rFonts w:ascii="Arial Narrow" w:hAnsi="Arial Narrow" w:eastAsiaTheme="minorEastAsia"/>
                <w:szCs w:val="21"/>
              </w:rPr>
            </w:pPr>
            <w:r>
              <w:rPr>
                <w:rFonts w:ascii="Arial Narrow" w:hAnsi="Arial Narrow" w:eastAsiaTheme="minorEastAsia"/>
                <w:color w:val="000000"/>
                <w:szCs w:val="21"/>
              </w:rPr>
              <w:t>15,745,377.33</w:t>
            </w:r>
          </w:p>
        </w:tc>
        <w:tc>
          <w:tcPr>
            <w:tcW w:w="895" w:type="pct"/>
            <w:tcBorders>
              <w:top w:val="single" w:color="auto" w:sz="4" w:space="0"/>
              <w:left w:val="single" w:color="auto" w:sz="4" w:space="0"/>
              <w:bottom w:val="single" w:color="auto" w:sz="4" w:space="0"/>
              <w:right w:val="single" w:color="auto" w:sz="4" w:space="0"/>
            </w:tcBorders>
            <w:vAlign w:val="center"/>
          </w:tcPr>
          <w:p w14:paraId="27101EF1">
            <w:pPr>
              <w:jc w:val="right"/>
              <w:rPr>
                <w:rFonts w:ascii="Arial Narrow" w:hAnsi="Arial Narrow" w:eastAsiaTheme="minorEastAsia"/>
                <w:szCs w:val="21"/>
              </w:rPr>
            </w:pPr>
            <w:r>
              <w:rPr>
                <w:rFonts w:ascii="Arial Narrow" w:hAnsi="Arial Narrow" w:eastAsiaTheme="minorEastAsia"/>
                <w:color w:val="000000"/>
                <w:szCs w:val="21"/>
              </w:rPr>
              <w:t>102,646.31</w:t>
            </w:r>
          </w:p>
        </w:tc>
      </w:tr>
      <w:tr w14:paraId="315D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pct"/>
            <w:tcBorders>
              <w:top w:val="single" w:color="auto" w:sz="4" w:space="0"/>
              <w:left w:val="single" w:color="auto" w:sz="4" w:space="0"/>
              <w:bottom w:val="single" w:color="auto" w:sz="4" w:space="0"/>
              <w:right w:val="single" w:color="auto" w:sz="4" w:space="0"/>
            </w:tcBorders>
            <w:vAlign w:val="center"/>
          </w:tcPr>
          <w:p w14:paraId="3C9A99CD">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963" w:type="pct"/>
            <w:tcBorders>
              <w:top w:val="single" w:color="auto" w:sz="4" w:space="0"/>
              <w:left w:val="single" w:color="auto" w:sz="4" w:space="0"/>
              <w:bottom w:val="single" w:color="auto" w:sz="4" w:space="0"/>
              <w:right w:val="single" w:color="auto" w:sz="4" w:space="0"/>
            </w:tcBorders>
            <w:vAlign w:val="center"/>
          </w:tcPr>
          <w:p w14:paraId="120B318B">
            <w:pPr>
              <w:jc w:val="right"/>
              <w:rPr>
                <w:rFonts w:ascii="Arial Narrow" w:hAnsi="Arial Narrow" w:eastAsiaTheme="minorEastAsia"/>
                <w:szCs w:val="21"/>
              </w:rPr>
            </w:pPr>
            <w:r>
              <w:rPr>
                <w:rFonts w:ascii="Arial Narrow" w:hAnsi="Arial Narrow" w:eastAsiaTheme="minorEastAsia"/>
                <w:color w:val="000000"/>
                <w:szCs w:val="21"/>
              </w:rPr>
              <w:t>149,897,179.50</w:t>
            </w:r>
          </w:p>
        </w:tc>
        <w:tc>
          <w:tcPr>
            <w:tcW w:w="1050" w:type="pct"/>
            <w:tcBorders>
              <w:top w:val="single" w:color="auto" w:sz="4" w:space="0"/>
              <w:left w:val="single" w:color="auto" w:sz="4" w:space="0"/>
              <w:bottom w:val="single" w:color="auto" w:sz="4" w:space="0"/>
              <w:right w:val="single" w:color="auto" w:sz="4" w:space="0"/>
            </w:tcBorders>
            <w:vAlign w:val="center"/>
          </w:tcPr>
          <w:p w14:paraId="5278580B">
            <w:pPr>
              <w:jc w:val="right"/>
              <w:rPr>
                <w:rFonts w:ascii="Arial Narrow" w:hAnsi="Arial Narrow" w:eastAsiaTheme="minorEastAsia"/>
                <w:szCs w:val="21"/>
              </w:rPr>
            </w:pPr>
            <w:r>
              <w:rPr>
                <w:rFonts w:ascii="Arial Narrow" w:hAnsi="Arial Narrow" w:eastAsiaTheme="minorEastAsia"/>
                <w:color w:val="000000"/>
                <w:szCs w:val="21"/>
              </w:rPr>
              <w:t>1,503,455,133.60</w:t>
            </w:r>
          </w:p>
        </w:tc>
        <w:tc>
          <w:tcPr>
            <w:tcW w:w="889" w:type="pct"/>
            <w:tcBorders>
              <w:top w:val="single" w:color="auto" w:sz="4" w:space="0"/>
              <w:left w:val="single" w:color="auto" w:sz="4" w:space="0"/>
              <w:bottom w:val="single" w:color="auto" w:sz="4" w:space="0"/>
              <w:right w:val="single" w:color="auto" w:sz="4" w:space="0"/>
            </w:tcBorders>
            <w:vAlign w:val="center"/>
          </w:tcPr>
          <w:p w14:paraId="6DD680D3">
            <w:pPr>
              <w:jc w:val="right"/>
              <w:rPr>
                <w:rFonts w:ascii="Arial Narrow" w:hAnsi="Arial Narrow" w:eastAsiaTheme="minorEastAsia"/>
                <w:szCs w:val="21"/>
              </w:rPr>
            </w:pPr>
            <w:r>
              <w:rPr>
                <w:rFonts w:ascii="Arial Narrow" w:hAnsi="Arial Narrow" w:eastAsiaTheme="minorEastAsia"/>
                <w:color w:val="000000"/>
                <w:szCs w:val="21"/>
              </w:rPr>
              <w:t>1,390,937,235.35</w:t>
            </w:r>
          </w:p>
        </w:tc>
        <w:tc>
          <w:tcPr>
            <w:tcW w:w="895" w:type="pct"/>
            <w:tcBorders>
              <w:top w:val="single" w:color="auto" w:sz="4" w:space="0"/>
              <w:left w:val="single" w:color="auto" w:sz="4" w:space="0"/>
              <w:bottom w:val="single" w:color="auto" w:sz="4" w:space="0"/>
              <w:right w:val="single" w:color="auto" w:sz="4" w:space="0"/>
            </w:tcBorders>
            <w:vAlign w:val="center"/>
          </w:tcPr>
          <w:p w14:paraId="59190EE5">
            <w:pPr>
              <w:jc w:val="right"/>
              <w:rPr>
                <w:rFonts w:ascii="Arial Narrow" w:hAnsi="Arial Narrow" w:eastAsiaTheme="minorEastAsia"/>
                <w:szCs w:val="21"/>
              </w:rPr>
            </w:pPr>
            <w:r>
              <w:rPr>
                <w:rFonts w:ascii="Arial Narrow" w:hAnsi="Arial Narrow" w:eastAsiaTheme="minorEastAsia"/>
                <w:color w:val="000000"/>
                <w:szCs w:val="21"/>
              </w:rPr>
              <w:t>262,415,077.75</w:t>
            </w:r>
          </w:p>
        </w:tc>
      </w:tr>
    </w:tbl>
    <w:p w14:paraId="622A1ADA">
      <w:pPr>
        <w:rPr>
          <w:rFonts w:hint="eastAsia"/>
          <w:color w:val="000000" w:themeColor="text1"/>
          <w:szCs w:val="21"/>
          <w14:textFill>
            <w14:solidFill>
              <w14:schemeClr w14:val="tx1"/>
            </w14:solidFill>
          </w14:textFill>
        </w:rPr>
      </w:pPr>
    </w:p>
    <w:p w14:paraId="04550679">
      <w:pPr>
        <w:pStyle w:val="71"/>
        <w:numPr>
          <w:ilvl w:val="0"/>
          <w:numId w:val="139"/>
        </w:numPr>
        <w:rPr>
          <w:rFonts w:hint="eastAsia"/>
        </w:rPr>
      </w:pPr>
      <w:r>
        <w:rPr>
          <w:rFonts w:hint="eastAsia"/>
        </w:rPr>
        <w:t>设定提存计划列示</w:t>
      </w:r>
    </w:p>
    <w:p w14:paraId="4CE60B4D">
      <w:pPr>
        <w:rPr>
          <w:rFonts w:hint="eastAsia"/>
        </w:rPr>
      </w:pPr>
      <w:sdt>
        <w:sdtPr>
          <w:alias w:val="是否适用：设定提存计划列示[双击切换]"/>
          <w:tag w:val="_GBC_b10b1dbaca2d418ba8658bab8f732ec8"/>
          <w:id w:val="-2044352014"/>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304C5D6B">
      <w:pPr>
        <w:jc w:val="right"/>
        <w:rPr>
          <w:rFonts w:hint="eastAsia"/>
        </w:rPr>
      </w:pPr>
      <w:r>
        <w:rPr>
          <w:rFonts w:hint="eastAsia"/>
        </w:rPr>
        <w:t>单位：</w:t>
      </w:r>
      <w:sdt>
        <w:sdtPr>
          <w:rPr>
            <w:rFonts w:hint="eastAsia"/>
          </w:rPr>
          <w:alias w:val="单位：财务附注：设定提存计划列示"/>
          <w:tag w:val="_GBC_925094ba622346ba8857a40cf7e6f1b2"/>
          <w:id w:val="2765326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15960876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1"/>
        <w:gridCol w:w="1583"/>
        <w:gridCol w:w="1569"/>
        <w:gridCol w:w="1597"/>
        <w:gridCol w:w="1553"/>
      </w:tblGrid>
      <w:tr w14:paraId="5D5E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5a05fd1b5f8842ba9ae6094f6792dfbe"/>
            <w:id w:val="-896120295"/>
          </w:sdtPr>
          <w:sdtEndPr>
            <w:rPr>
              <w:rFonts w:ascii="Arial Narrow" w:hAnsi="Arial Narrow" w:eastAsiaTheme="minorEastAsia"/>
              <w:szCs w:val="21"/>
            </w:rPr>
          </w:sdtEndPr>
          <w:sdtContent>
            <w:tc>
              <w:tcPr>
                <w:tcW w:w="1429" w:type="pct"/>
                <w:shd w:val="clear" w:color="auto" w:fill="auto"/>
                <w:vAlign w:val="center"/>
              </w:tcPr>
              <w:p w14:paraId="7CA8A08B">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fae7d76d85e4429d925f3d30ff27566f"/>
            <w:id w:val="110720298"/>
          </w:sdtPr>
          <w:sdtEndPr>
            <w:rPr>
              <w:rFonts w:ascii="Arial Narrow" w:hAnsi="Arial Narrow" w:eastAsiaTheme="minorEastAsia"/>
              <w:szCs w:val="21"/>
            </w:rPr>
          </w:sdtEndPr>
          <w:sdtContent>
            <w:tc>
              <w:tcPr>
                <w:tcW w:w="897" w:type="pct"/>
                <w:shd w:val="clear" w:color="auto" w:fill="auto"/>
                <w:vAlign w:val="center"/>
              </w:tcPr>
              <w:p w14:paraId="6C23EA0E">
                <w:pPr>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cd3c897871944aa0a1ea524d70e51704"/>
            <w:id w:val="842900762"/>
          </w:sdtPr>
          <w:sdtEndPr>
            <w:rPr>
              <w:rFonts w:ascii="Arial Narrow" w:hAnsi="Arial Narrow" w:eastAsiaTheme="minorEastAsia"/>
              <w:szCs w:val="21"/>
            </w:rPr>
          </w:sdtEndPr>
          <w:sdtContent>
            <w:tc>
              <w:tcPr>
                <w:tcW w:w="889" w:type="pct"/>
                <w:shd w:val="clear" w:color="auto" w:fill="auto"/>
                <w:vAlign w:val="center"/>
              </w:tcPr>
              <w:p w14:paraId="38D71B24">
                <w:pPr>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5ef10b06a3d24730bad93c45f119182f"/>
            <w:id w:val="630986580"/>
          </w:sdtPr>
          <w:sdtEndPr>
            <w:rPr>
              <w:rFonts w:ascii="Arial Narrow" w:hAnsi="Arial Narrow" w:eastAsiaTheme="minorEastAsia"/>
              <w:szCs w:val="21"/>
            </w:rPr>
          </w:sdtEndPr>
          <w:sdtContent>
            <w:tc>
              <w:tcPr>
                <w:tcW w:w="905" w:type="pct"/>
                <w:shd w:val="clear" w:color="auto" w:fill="auto"/>
                <w:vAlign w:val="center"/>
              </w:tcPr>
              <w:p w14:paraId="2F38F7E4">
                <w:pPr>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13d5e5df016d4921aa56218755dfb8f4"/>
            <w:id w:val="1012183245"/>
          </w:sdtPr>
          <w:sdtEndPr>
            <w:rPr>
              <w:rFonts w:ascii="Arial Narrow" w:hAnsi="Arial Narrow" w:eastAsiaTheme="minorEastAsia"/>
              <w:szCs w:val="21"/>
            </w:rPr>
          </w:sdtEndPr>
          <w:sdtContent>
            <w:tc>
              <w:tcPr>
                <w:tcW w:w="880" w:type="pct"/>
                <w:shd w:val="clear" w:color="auto" w:fill="auto"/>
                <w:vAlign w:val="center"/>
              </w:tcPr>
              <w:p w14:paraId="378AA811">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15B0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shd w:val="clear" w:color="auto" w:fill="auto"/>
          </w:tcPr>
          <w:p w14:paraId="0836FD95">
            <w:pPr>
              <w:rPr>
                <w:rFonts w:ascii="Arial Narrow" w:hAnsi="Arial Narrow" w:eastAsiaTheme="minorEastAsia"/>
                <w:szCs w:val="21"/>
              </w:rPr>
            </w:pPr>
            <w:r>
              <w:rPr>
                <w:rFonts w:ascii="Arial Narrow" w:hAnsi="Arial Narrow" w:eastAsiaTheme="minorEastAsia"/>
                <w:szCs w:val="21"/>
              </w:rPr>
              <w:t>1、基本养老保险</w:t>
            </w:r>
          </w:p>
        </w:tc>
        <w:tc>
          <w:tcPr>
            <w:tcW w:w="897" w:type="pct"/>
            <w:shd w:val="clear" w:color="auto" w:fill="auto"/>
            <w:vAlign w:val="center"/>
          </w:tcPr>
          <w:p w14:paraId="40AAE212">
            <w:pPr>
              <w:jc w:val="right"/>
              <w:rPr>
                <w:rFonts w:ascii="Arial Narrow" w:hAnsi="Arial Narrow" w:eastAsiaTheme="minorEastAsia"/>
                <w:szCs w:val="21"/>
              </w:rPr>
            </w:pPr>
            <w:r>
              <w:rPr>
                <w:rFonts w:ascii="Arial Narrow" w:hAnsi="Arial Narrow" w:eastAsiaTheme="minorEastAsia"/>
                <w:color w:val="000000"/>
                <w:szCs w:val="21"/>
              </w:rPr>
              <w:t>2,883,313.63</w:t>
            </w:r>
          </w:p>
        </w:tc>
        <w:tc>
          <w:tcPr>
            <w:tcW w:w="889" w:type="pct"/>
            <w:shd w:val="clear" w:color="auto" w:fill="auto"/>
            <w:vAlign w:val="center"/>
          </w:tcPr>
          <w:p w14:paraId="76AF9511">
            <w:pPr>
              <w:jc w:val="right"/>
              <w:rPr>
                <w:rFonts w:ascii="Arial Narrow" w:hAnsi="Arial Narrow" w:eastAsiaTheme="minorEastAsia"/>
                <w:szCs w:val="21"/>
              </w:rPr>
            </w:pPr>
            <w:r>
              <w:rPr>
                <w:rFonts w:ascii="Arial Narrow" w:hAnsi="Arial Narrow" w:eastAsiaTheme="minorEastAsia"/>
                <w:color w:val="000000"/>
                <w:szCs w:val="21"/>
              </w:rPr>
              <w:t>156,400,992.85</w:t>
            </w:r>
          </w:p>
        </w:tc>
        <w:tc>
          <w:tcPr>
            <w:tcW w:w="905" w:type="pct"/>
            <w:shd w:val="clear" w:color="auto" w:fill="auto"/>
            <w:vAlign w:val="center"/>
          </w:tcPr>
          <w:p w14:paraId="48F6A6C9">
            <w:pPr>
              <w:jc w:val="right"/>
              <w:rPr>
                <w:rFonts w:ascii="Arial Narrow" w:hAnsi="Arial Narrow" w:eastAsiaTheme="minorEastAsia"/>
                <w:szCs w:val="21"/>
              </w:rPr>
            </w:pPr>
            <w:r>
              <w:rPr>
                <w:rFonts w:ascii="Arial Narrow" w:hAnsi="Arial Narrow" w:eastAsiaTheme="minorEastAsia"/>
                <w:color w:val="000000"/>
                <w:szCs w:val="21"/>
              </w:rPr>
              <w:t>157,451,296.27</w:t>
            </w:r>
          </w:p>
        </w:tc>
        <w:tc>
          <w:tcPr>
            <w:tcW w:w="880" w:type="pct"/>
            <w:shd w:val="clear" w:color="auto" w:fill="auto"/>
            <w:vAlign w:val="center"/>
          </w:tcPr>
          <w:p w14:paraId="39693F5E">
            <w:pPr>
              <w:jc w:val="right"/>
              <w:rPr>
                <w:rFonts w:ascii="Arial Narrow" w:hAnsi="Arial Narrow" w:eastAsiaTheme="minorEastAsia"/>
                <w:szCs w:val="21"/>
              </w:rPr>
            </w:pPr>
            <w:r>
              <w:rPr>
                <w:rFonts w:ascii="Arial Narrow" w:hAnsi="Arial Narrow" w:eastAsiaTheme="minorEastAsia"/>
                <w:color w:val="000000"/>
                <w:szCs w:val="21"/>
              </w:rPr>
              <w:t>1,833,010.21</w:t>
            </w:r>
          </w:p>
        </w:tc>
      </w:tr>
      <w:tr w14:paraId="6451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shd w:val="clear" w:color="auto" w:fill="auto"/>
          </w:tcPr>
          <w:p w14:paraId="39703E8B">
            <w:pPr>
              <w:rPr>
                <w:rFonts w:ascii="Arial Narrow" w:hAnsi="Arial Narrow" w:eastAsiaTheme="minorEastAsia"/>
                <w:szCs w:val="21"/>
              </w:rPr>
            </w:pPr>
            <w:r>
              <w:rPr>
                <w:rFonts w:ascii="Arial Narrow" w:hAnsi="Arial Narrow" w:eastAsiaTheme="minorEastAsia"/>
                <w:szCs w:val="21"/>
              </w:rPr>
              <w:t>2、失业保险费</w:t>
            </w:r>
          </w:p>
        </w:tc>
        <w:tc>
          <w:tcPr>
            <w:tcW w:w="897" w:type="pct"/>
            <w:shd w:val="clear" w:color="auto" w:fill="auto"/>
            <w:vAlign w:val="center"/>
          </w:tcPr>
          <w:p w14:paraId="221C299F">
            <w:pPr>
              <w:jc w:val="right"/>
              <w:rPr>
                <w:rFonts w:ascii="Arial Narrow" w:hAnsi="Arial Narrow" w:eastAsiaTheme="minorEastAsia"/>
                <w:szCs w:val="21"/>
              </w:rPr>
            </w:pPr>
            <w:r>
              <w:rPr>
                <w:rFonts w:ascii="Arial Narrow" w:hAnsi="Arial Narrow" w:eastAsiaTheme="minorEastAsia"/>
                <w:color w:val="000000"/>
                <w:szCs w:val="21"/>
              </w:rPr>
              <w:t>67,674.64</w:t>
            </w:r>
          </w:p>
        </w:tc>
        <w:tc>
          <w:tcPr>
            <w:tcW w:w="889" w:type="pct"/>
            <w:shd w:val="clear" w:color="auto" w:fill="auto"/>
            <w:vAlign w:val="center"/>
          </w:tcPr>
          <w:p w14:paraId="2D758B69">
            <w:pPr>
              <w:jc w:val="right"/>
              <w:rPr>
                <w:rFonts w:ascii="Arial Narrow" w:hAnsi="Arial Narrow" w:eastAsiaTheme="minorEastAsia"/>
                <w:szCs w:val="21"/>
              </w:rPr>
            </w:pPr>
            <w:r>
              <w:rPr>
                <w:rFonts w:ascii="Arial Narrow" w:hAnsi="Arial Narrow" w:eastAsiaTheme="minorEastAsia"/>
                <w:color w:val="000000"/>
                <w:szCs w:val="21"/>
              </w:rPr>
              <w:t>6,282,767.86</w:t>
            </w:r>
          </w:p>
        </w:tc>
        <w:tc>
          <w:tcPr>
            <w:tcW w:w="905" w:type="pct"/>
            <w:shd w:val="clear" w:color="auto" w:fill="auto"/>
            <w:vAlign w:val="center"/>
          </w:tcPr>
          <w:p w14:paraId="1171FC09">
            <w:pPr>
              <w:jc w:val="right"/>
              <w:rPr>
                <w:rFonts w:ascii="Arial Narrow" w:hAnsi="Arial Narrow" w:eastAsiaTheme="minorEastAsia"/>
                <w:szCs w:val="21"/>
              </w:rPr>
            </w:pPr>
            <w:r>
              <w:rPr>
                <w:rFonts w:ascii="Arial Narrow" w:hAnsi="Arial Narrow" w:eastAsiaTheme="minorEastAsia"/>
                <w:color w:val="000000"/>
                <w:szCs w:val="21"/>
              </w:rPr>
              <w:t>6,279,483.46</w:t>
            </w:r>
          </w:p>
        </w:tc>
        <w:tc>
          <w:tcPr>
            <w:tcW w:w="880" w:type="pct"/>
            <w:shd w:val="clear" w:color="auto" w:fill="auto"/>
            <w:vAlign w:val="center"/>
          </w:tcPr>
          <w:p w14:paraId="5CDEA448">
            <w:pPr>
              <w:jc w:val="right"/>
              <w:rPr>
                <w:rFonts w:ascii="Arial Narrow" w:hAnsi="Arial Narrow" w:eastAsiaTheme="minorEastAsia"/>
                <w:szCs w:val="21"/>
              </w:rPr>
            </w:pPr>
            <w:r>
              <w:rPr>
                <w:rFonts w:ascii="Arial Narrow" w:hAnsi="Arial Narrow" w:eastAsiaTheme="minorEastAsia"/>
                <w:color w:val="000000"/>
                <w:szCs w:val="21"/>
              </w:rPr>
              <w:t>70,959.04</w:t>
            </w:r>
          </w:p>
        </w:tc>
      </w:tr>
      <w:tr w14:paraId="4743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shd w:val="clear" w:color="auto" w:fill="auto"/>
          </w:tcPr>
          <w:p w14:paraId="1F3C3101">
            <w:pPr>
              <w:rPr>
                <w:rFonts w:ascii="Arial Narrow" w:hAnsi="Arial Narrow" w:eastAsiaTheme="minorEastAsia"/>
                <w:szCs w:val="21"/>
              </w:rPr>
            </w:pPr>
            <w:r>
              <w:rPr>
                <w:rFonts w:ascii="Arial Narrow" w:hAnsi="Arial Narrow" w:eastAsiaTheme="minorEastAsia"/>
                <w:szCs w:val="21"/>
              </w:rPr>
              <w:t>3、企业年金缴费</w:t>
            </w:r>
          </w:p>
        </w:tc>
        <w:tc>
          <w:tcPr>
            <w:tcW w:w="897" w:type="pct"/>
            <w:shd w:val="clear" w:color="auto" w:fill="auto"/>
            <w:vAlign w:val="center"/>
          </w:tcPr>
          <w:p w14:paraId="6330AE8E">
            <w:pPr>
              <w:jc w:val="right"/>
              <w:rPr>
                <w:rFonts w:ascii="Arial Narrow" w:hAnsi="Arial Narrow" w:eastAsiaTheme="minorEastAsia"/>
                <w:szCs w:val="21"/>
              </w:rPr>
            </w:pPr>
            <w:r>
              <w:rPr>
                <w:rFonts w:ascii="Arial Narrow" w:hAnsi="Arial Narrow" w:eastAsiaTheme="minorEastAsia"/>
                <w:color w:val="000000"/>
                <w:szCs w:val="21"/>
              </w:rPr>
              <w:t>3,498.00</w:t>
            </w:r>
          </w:p>
        </w:tc>
        <w:tc>
          <w:tcPr>
            <w:tcW w:w="889" w:type="pct"/>
            <w:shd w:val="clear" w:color="auto" w:fill="auto"/>
            <w:vAlign w:val="center"/>
          </w:tcPr>
          <w:p w14:paraId="5DA56A75">
            <w:pPr>
              <w:jc w:val="right"/>
              <w:rPr>
                <w:rFonts w:ascii="Arial Narrow" w:hAnsi="Arial Narrow" w:eastAsiaTheme="minorEastAsia"/>
                <w:szCs w:val="21"/>
              </w:rPr>
            </w:pPr>
            <w:r>
              <w:rPr>
                <w:rFonts w:ascii="Arial Narrow" w:hAnsi="Arial Narrow" w:eastAsiaTheme="minorEastAsia"/>
                <w:color w:val="000000"/>
                <w:szCs w:val="21"/>
              </w:rPr>
              <w:t>2,462,461.63</w:t>
            </w:r>
          </w:p>
        </w:tc>
        <w:tc>
          <w:tcPr>
            <w:tcW w:w="905" w:type="pct"/>
            <w:shd w:val="clear" w:color="auto" w:fill="auto"/>
            <w:vAlign w:val="center"/>
          </w:tcPr>
          <w:p w14:paraId="2DF1E16C">
            <w:pPr>
              <w:jc w:val="right"/>
              <w:rPr>
                <w:rFonts w:ascii="Arial Narrow" w:hAnsi="Arial Narrow" w:eastAsiaTheme="minorEastAsia"/>
                <w:szCs w:val="21"/>
              </w:rPr>
            </w:pPr>
            <w:r>
              <w:rPr>
                <w:rFonts w:ascii="Arial Narrow" w:hAnsi="Arial Narrow" w:eastAsiaTheme="minorEastAsia"/>
                <w:color w:val="000000"/>
                <w:szCs w:val="21"/>
              </w:rPr>
              <w:t>2,465,959.63</w:t>
            </w:r>
          </w:p>
        </w:tc>
        <w:tc>
          <w:tcPr>
            <w:tcW w:w="880" w:type="pct"/>
            <w:shd w:val="clear" w:color="auto" w:fill="auto"/>
            <w:vAlign w:val="center"/>
          </w:tcPr>
          <w:p w14:paraId="3361BAAF">
            <w:pPr>
              <w:jc w:val="right"/>
              <w:rPr>
                <w:rFonts w:ascii="Arial Narrow" w:hAnsi="Arial Narrow" w:eastAsiaTheme="minorEastAsia"/>
                <w:szCs w:val="21"/>
              </w:rPr>
            </w:pPr>
          </w:p>
        </w:tc>
      </w:tr>
      <w:tr w14:paraId="4046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shd w:val="clear" w:color="auto" w:fill="auto"/>
          </w:tcPr>
          <w:p w14:paraId="0A33396A">
            <w:pPr>
              <w:rPr>
                <w:rFonts w:ascii="Arial Narrow" w:hAnsi="Arial Narrow" w:eastAsiaTheme="minorEastAsia"/>
                <w:szCs w:val="21"/>
              </w:rPr>
            </w:pPr>
            <w:r>
              <w:rPr>
                <w:rFonts w:ascii="Arial Narrow" w:hAnsi="Arial Narrow" w:eastAsiaTheme="minorEastAsia"/>
                <w:szCs w:val="21"/>
              </w:rPr>
              <w:t>4、其他长期福利</w:t>
            </w:r>
          </w:p>
        </w:tc>
        <w:tc>
          <w:tcPr>
            <w:tcW w:w="897" w:type="pct"/>
            <w:shd w:val="clear" w:color="auto" w:fill="auto"/>
            <w:vAlign w:val="center"/>
          </w:tcPr>
          <w:p w14:paraId="6A2E5326">
            <w:pPr>
              <w:jc w:val="right"/>
              <w:rPr>
                <w:rFonts w:ascii="Arial Narrow" w:hAnsi="Arial Narrow" w:eastAsiaTheme="minorEastAsia"/>
                <w:szCs w:val="21"/>
              </w:rPr>
            </w:pPr>
            <w:r>
              <w:rPr>
                <w:rFonts w:ascii="Arial Narrow" w:hAnsi="Arial Narrow" w:eastAsiaTheme="minorEastAsia"/>
                <w:color w:val="000000"/>
                <w:szCs w:val="21"/>
              </w:rPr>
              <w:t>15,502.00</w:t>
            </w:r>
          </w:p>
        </w:tc>
        <w:tc>
          <w:tcPr>
            <w:tcW w:w="889" w:type="pct"/>
            <w:shd w:val="clear" w:color="auto" w:fill="auto"/>
            <w:vAlign w:val="center"/>
          </w:tcPr>
          <w:p w14:paraId="0E38C920">
            <w:pPr>
              <w:jc w:val="right"/>
              <w:rPr>
                <w:rFonts w:ascii="Arial Narrow" w:hAnsi="Arial Narrow" w:eastAsiaTheme="minorEastAsia"/>
                <w:szCs w:val="21"/>
              </w:rPr>
            </w:pPr>
          </w:p>
        </w:tc>
        <w:tc>
          <w:tcPr>
            <w:tcW w:w="905" w:type="pct"/>
            <w:shd w:val="clear" w:color="auto" w:fill="auto"/>
            <w:vAlign w:val="center"/>
          </w:tcPr>
          <w:p w14:paraId="33888ED1">
            <w:pPr>
              <w:jc w:val="right"/>
              <w:rPr>
                <w:rFonts w:ascii="Arial Narrow" w:hAnsi="Arial Narrow" w:eastAsiaTheme="minorEastAsia"/>
                <w:szCs w:val="21"/>
              </w:rPr>
            </w:pPr>
            <w:r>
              <w:rPr>
                <w:rFonts w:ascii="Arial Narrow" w:hAnsi="Arial Narrow" w:eastAsiaTheme="minorEastAsia"/>
                <w:color w:val="000000"/>
                <w:szCs w:val="21"/>
              </w:rPr>
              <w:t>15,502.00</w:t>
            </w:r>
          </w:p>
        </w:tc>
        <w:tc>
          <w:tcPr>
            <w:tcW w:w="880" w:type="pct"/>
            <w:shd w:val="clear" w:color="auto" w:fill="auto"/>
            <w:vAlign w:val="center"/>
          </w:tcPr>
          <w:p w14:paraId="18DBB8A0">
            <w:pPr>
              <w:jc w:val="right"/>
              <w:rPr>
                <w:rFonts w:ascii="Arial Narrow" w:hAnsi="Arial Narrow" w:eastAsiaTheme="minorEastAsia"/>
                <w:szCs w:val="21"/>
              </w:rPr>
            </w:pPr>
          </w:p>
        </w:tc>
      </w:tr>
      <w:tr w14:paraId="5DC1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shd w:val="clear" w:color="auto" w:fill="auto"/>
            <w:vAlign w:val="center"/>
          </w:tcPr>
          <w:p w14:paraId="05DD2C19">
            <w:pPr>
              <w:jc w:val="center"/>
              <w:rPr>
                <w:rFonts w:ascii="Arial Narrow" w:hAnsi="Arial Narrow" w:eastAsiaTheme="minorEastAsia"/>
                <w:szCs w:val="21"/>
              </w:rPr>
            </w:pPr>
            <w:r>
              <w:rPr>
                <w:rFonts w:ascii="Arial Narrow" w:hAnsi="Arial Narrow" w:eastAsiaTheme="minorEastAsia"/>
                <w:szCs w:val="21"/>
              </w:rPr>
              <w:t>合计</w:t>
            </w:r>
          </w:p>
        </w:tc>
        <w:tc>
          <w:tcPr>
            <w:tcW w:w="897" w:type="pct"/>
            <w:shd w:val="clear" w:color="auto" w:fill="auto"/>
            <w:vAlign w:val="center"/>
          </w:tcPr>
          <w:p w14:paraId="10F16532">
            <w:pPr>
              <w:jc w:val="right"/>
              <w:rPr>
                <w:rFonts w:ascii="Arial Narrow" w:hAnsi="Arial Narrow" w:eastAsiaTheme="minorEastAsia"/>
                <w:szCs w:val="21"/>
              </w:rPr>
            </w:pPr>
            <w:r>
              <w:rPr>
                <w:rFonts w:ascii="Arial Narrow" w:hAnsi="Arial Narrow" w:eastAsiaTheme="minorEastAsia"/>
                <w:color w:val="000000"/>
                <w:szCs w:val="21"/>
              </w:rPr>
              <w:t>2,969,988.27</w:t>
            </w:r>
          </w:p>
        </w:tc>
        <w:tc>
          <w:tcPr>
            <w:tcW w:w="889" w:type="pct"/>
            <w:shd w:val="clear" w:color="auto" w:fill="auto"/>
            <w:vAlign w:val="center"/>
          </w:tcPr>
          <w:p w14:paraId="17C3E5CA">
            <w:pPr>
              <w:jc w:val="right"/>
              <w:rPr>
                <w:rFonts w:ascii="Arial Narrow" w:hAnsi="Arial Narrow" w:eastAsiaTheme="minorEastAsia"/>
                <w:szCs w:val="21"/>
              </w:rPr>
            </w:pPr>
            <w:r>
              <w:rPr>
                <w:rFonts w:ascii="Arial Narrow" w:hAnsi="Arial Narrow" w:eastAsiaTheme="minorEastAsia"/>
                <w:color w:val="000000"/>
                <w:szCs w:val="21"/>
              </w:rPr>
              <w:t>165,146,222.34</w:t>
            </w:r>
          </w:p>
        </w:tc>
        <w:tc>
          <w:tcPr>
            <w:tcW w:w="905" w:type="pct"/>
            <w:shd w:val="clear" w:color="auto" w:fill="auto"/>
            <w:vAlign w:val="center"/>
          </w:tcPr>
          <w:p w14:paraId="515339D1">
            <w:pPr>
              <w:jc w:val="right"/>
              <w:rPr>
                <w:rFonts w:ascii="Arial Narrow" w:hAnsi="Arial Narrow" w:eastAsiaTheme="minorEastAsia"/>
                <w:szCs w:val="21"/>
              </w:rPr>
            </w:pPr>
            <w:r>
              <w:rPr>
                <w:rFonts w:ascii="Arial Narrow" w:hAnsi="Arial Narrow" w:eastAsiaTheme="minorEastAsia"/>
                <w:color w:val="000000"/>
                <w:szCs w:val="21"/>
              </w:rPr>
              <w:t>166,212,241.36</w:t>
            </w:r>
          </w:p>
        </w:tc>
        <w:tc>
          <w:tcPr>
            <w:tcW w:w="880" w:type="pct"/>
            <w:shd w:val="clear" w:color="auto" w:fill="auto"/>
            <w:vAlign w:val="center"/>
          </w:tcPr>
          <w:p w14:paraId="00DDF30D">
            <w:pPr>
              <w:jc w:val="right"/>
              <w:rPr>
                <w:rFonts w:ascii="Arial Narrow" w:hAnsi="Arial Narrow" w:eastAsiaTheme="minorEastAsia"/>
                <w:szCs w:val="21"/>
              </w:rPr>
            </w:pPr>
            <w:r>
              <w:rPr>
                <w:rFonts w:ascii="Arial Narrow" w:hAnsi="Arial Narrow" w:eastAsiaTheme="minorEastAsia"/>
                <w:color w:val="000000"/>
                <w:szCs w:val="21"/>
              </w:rPr>
              <w:t>1,903,969.25</w:t>
            </w:r>
          </w:p>
        </w:tc>
      </w:tr>
    </w:tbl>
    <w:p w14:paraId="7453A816">
      <w:pPr>
        <w:autoSpaceDE w:val="0"/>
        <w:autoSpaceDN w:val="0"/>
        <w:adjustRightInd w:val="0"/>
        <w:rPr>
          <w:rFonts w:hint="eastAsia"/>
          <w:szCs w:val="21"/>
        </w:rPr>
      </w:pPr>
    </w:p>
    <w:p w14:paraId="48643C5E">
      <w:pPr>
        <w:autoSpaceDE w:val="0"/>
        <w:autoSpaceDN w:val="0"/>
        <w:adjustRightInd w:val="0"/>
        <w:rPr>
          <w:rFonts w:hint="eastAsia"/>
          <w:szCs w:val="21"/>
        </w:rPr>
      </w:pPr>
      <w:r>
        <w:rPr>
          <w:rFonts w:hint="eastAsia"/>
          <w:szCs w:val="21"/>
        </w:rPr>
        <w:t>其他说明：</w:t>
      </w:r>
    </w:p>
    <w:sdt>
      <w:sdtPr>
        <w:rPr>
          <w:szCs w:val="21"/>
        </w:rPr>
        <w:alias w:val="是否适用：应付职工薪酬的说明[双击切换]"/>
        <w:tag w:val="_GBC_140070104764414eae4680364e4d0b62"/>
        <w:id w:val="346917286"/>
        <w:placeholder>
          <w:docPart w:val="GBC22222222222222222222222222222"/>
        </w:placeholder>
      </w:sdtPr>
      <w:sdtEndPr>
        <w:rPr>
          <w:szCs w:val="21"/>
        </w:rPr>
      </w:sdtEndPr>
      <w:sdtContent>
        <w:p w14:paraId="0E9CE8C6">
          <w:pPr>
            <w:autoSpaceDE w:val="0"/>
            <w:autoSpaceDN w:val="0"/>
            <w:adjustRightInd w:val="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49AB9FD">
      <w:pPr>
        <w:autoSpaceDE w:val="0"/>
        <w:autoSpaceDN w:val="0"/>
        <w:adjustRightInd w:val="0"/>
        <w:rPr>
          <w:rFonts w:hint="eastAsia"/>
          <w:szCs w:val="21"/>
        </w:rPr>
      </w:pPr>
    </w:p>
    <w:p w14:paraId="2EDDF262">
      <w:pPr>
        <w:pStyle w:val="70"/>
        <w:numPr>
          <w:ilvl w:val="0"/>
          <w:numId w:val="109"/>
        </w:numPr>
        <w:rPr>
          <w:szCs w:val="21"/>
        </w:rPr>
      </w:pPr>
      <w:r>
        <w:rPr>
          <w:szCs w:val="21"/>
        </w:rPr>
        <w:t>应交税费</w:t>
      </w:r>
    </w:p>
    <w:sdt>
      <w:sdtPr>
        <w:alias w:val="是否适用：应交税费[双击切换]"/>
        <w:tag w:val="_GBC_2ed6216b8f4c4523a1de5c2628cc02a2"/>
        <w:id w:val="-208884574"/>
        <w:placeholder>
          <w:docPart w:val="GBC22222222222222222222222222222"/>
        </w:placeholder>
      </w:sdtPr>
      <w:sdtContent>
        <w:p w14:paraId="13A85A6B">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A172EB">
      <w:pPr>
        <w:jc w:val="right"/>
        <w:rPr>
          <w:rFonts w:hint="eastAsia"/>
          <w:szCs w:val="21"/>
        </w:rPr>
      </w:pPr>
      <w:r>
        <w:rPr>
          <w:rFonts w:hint="eastAsia"/>
          <w:szCs w:val="21"/>
        </w:rPr>
        <w:t>单位：</w:t>
      </w:r>
      <w:sdt>
        <w:sdtPr>
          <w:rPr>
            <w:rFonts w:hint="eastAsia"/>
            <w:szCs w:val="21"/>
          </w:rPr>
          <w:alias w:val="单位：财务附注：应交税费"/>
          <w:tag w:val="_GBC_9fe49c1b8a984180ae11c305f9fe5484"/>
          <w:id w:val="33542916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4172987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6"/>
        <w:gridCol w:w="2931"/>
        <w:gridCol w:w="2936"/>
      </w:tblGrid>
      <w:tr w14:paraId="7778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6c8ac0907441450eac644085301d6804"/>
            <w:id w:val="2034305631"/>
          </w:sdtPr>
          <w:sdtEndPr>
            <w:rPr>
              <w:rFonts w:ascii="Arial Narrow" w:hAnsi="Arial Narrow" w:eastAsiaTheme="minorEastAsia"/>
            </w:rPr>
          </w:sdtEndPr>
          <w:sdtContent>
            <w:tc>
              <w:tcPr>
                <w:tcW w:w="1675" w:type="pct"/>
                <w:vAlign w:val="center"/>
              </w:tcPr>
              <w:p w14:paraId="18C2761E">
                <w:pPr>
                  <w:ind w:right="105"/>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8dab1e5e153c4b93a2d18673e1365591"/>
            <w:id w:val="641000064"/>
          </w:sdtPr>
          <w:sdtEndPr>
            <w:rPr>
              <w:rFonts w:ascii="Arial Narrow" w:hAnsi="Arial Narrow" w:eastAsiaTheme="minorEastAsia"/>
            </w:rPr>
          </w:sdtEndPr>
          <w:sdtContent>
            <w:tc>
              <w:tcPr>
                <w:tcW w:w="1661" w:type="pct"/>
                <w:vAlign w:val="center"/>
              </w:tcPr>
              <w:p w14:paraId="773A2115">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9793c5ba001a43cb914658d949d3dcec"/>
            <w:id w:val="-1082677903"/>
          </w:sdtPr>
          <w:sdtEndPr>
            <w:rPr>
              <w:rFonts w:ascii="Arial Narrow" w:hAnsi="Arial Narrow" w:eastAsiaTheme="minorEastAsia"/>
            </w:rPr>
          </w:sdtEndPr>
          <w:sdtContent>
            <w:tc>
              <w:tcPr>
                <w:tcW w:w="1664" w:type="pct"/>
                <w:vAlign w:val="center"/>
              </w:tcPr>
              <w:p w14:paraId="0C1407B6">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3D60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65B74A90">
            <w:pPr>
              <w:ind w:right="105"/>
              <w:rPr>
                <w:rFonts w:ascii="Arial Narrow" w:hAnsi="Arial Narrow" w:eastAsiaTheme="minorEastAsia"/>
                <w:szCs w:val="21"/>
              </w:rPr>
            </w:pPr>
            <w:r>
              <w:rPr>
                <w:rStyle w:val="134"/>
                <w:rFonts w:hint="default" w:ascii="Arial Narrow" w:hAnsi="Arial Narrow" w:eastAsiaTheme="minorEastAsia"/>
              </w:rPr>
              <w:t>增值税</w:t>
            </w:r>
          </w:p>
        </w:tc>
        <w:tc>
          <w:tcPr>
            <w:tcW w:w="1661" w:type="pct"/>
            <w:shd w:val="clear" w:color="auto" w:fill="auto"/>
            <w:vAlign w:val="center"/>
          </w:tcPr>
          <w:p w14:paraId="43B45240">
            <w:pPr>
              <w:ind w:right="73"/>
              <w:jc w:val="right"/>
              <w:rPr>
                <w:rFonts w:ascii="Arial Narrow" w:hAnsi="Arial Narrow" w:eastAsiaTheme="minorEastAsia"/>
                <w:szCs w:val="21"/>
              </w:rPr>
            </w:pPr>
            <w:r>
              <w:rPr>
                <w:rFonts w:ascii="Arial Narrow" w:hAnsi="Arial Narrow" w:eastAsiaTheme="minorEastAsia"/>
                <w:color w:val="000000"/>
                <w:sz w:val="22"/>
                <w:szCs w:val="22"/>
              </w:rPr>
              <w:t>29,105,530.14</w:t>
            </w:r>
          </w:p>
        </w:tc>
        <w:tc>
          <w:tcPr>
            <w:tcW w:w="1664" w:type="pct"/>
            <w:shd w:val="clear" w:color="auto" w:fill="auto"/>
            <w:vAlign w:val="center"/>
          </w:tcPr>
          <w:p w14:paraId="77C43637">
            <w:pPr>
              <w:jc w:val="right"/>
              <w:rPr>
                <w:rFonts w:ascii="Arial Narrow" w:hAnsi="Arial Narrow" w:eastAsiaTheme="minorEastAsia"/>
                <w:szCs w:val="21"/>
              </w:rPr>
            </w:pPr>
            <w:r>
              <w:rPr>
                <w:rFonts w:ascii="Arial Narrow" w:hAnsi="Arial Narrow" w:eastAsiaTheme="minorEastAsia"/>
                <w:color w:val="000000"/>
                <w:sz w:val="22"/>
                <w:szCs w:val="22"/>
              </w:rPr>
              <w:t>22,784,791.48</w:t>
            </w:r>
          </w:p>
        </w:tc>
      </w:tr>
      <w:tr w14:paraId="7B62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47CF0A1D">
            <w:pPr>
              <w:ind w:right="105"/>
              <w:rPr>
                <w:rFonts w:ascii="Arial Narrow" w:hAnsi="Arial Narrow" w:eastAsiaTheme="minorEastAsia"/>
                <w:szCs w:val="21"/>
              </w:rPr>
            </w:pPr>
            <w:r>
              <w:rPr>
                <w:rStyle w:val="134"/>
                <w:rFonts w:hint="default" w:ascii="Arial Narrow" w:hAnsi="Arial Narrow" w:eastAsiaTheme="minorEastAsia"/>
              </w:rPr>
              <w:t>企业所得税</w:t>
            </w:r>
          </w:p>
        </w:tc>
        <w:tc>
          <w:tcPr>
            <w:tcW w:w="1661" w:type="pct"/>
            <w:shd w:val="clear" w:color="auto" w:fill="auto"/>
            <w:vAlign w:val="center"/>
          </w:tcPr>
          <w:p w14:paraId="6CC3DDBD">
            <w:pPr>
              <w:ind w:right="73"/>
              <w:jc w:val="right"/>
              <w:rPr>
                <w:rFonts w:ascii="Arial Narrow" w:hAnsi="Arial Narrow" w:eastAsiaTheme="minorEastAsia"/>
                <w:szCs w:val="21"/>
              </w:rPr>
            </w:pPr>
            <w:r>
              <w:rPr>
                <w:rFonts w:ascii="Arial Narrow" w:hAnsi="Arial Narrow" w:eastAsiaTheme="minorEastAsia"/>
                <w:color w:val="000000"/>
                <w:sz w:val="22"/>
                <w:szCs w:val="22"/>
              </w:rPr>
              <w:t>87,991,185.95</w:t>
            </w:r>
          </w:p>
        </w:tc>
        <w:tc>
          <w:tcPr>
            <w:tcW w:w="1664" w:type="pct"/>
            <w:shd w:val="clear" w:color="auto" w:fill="auto"/>
            <w:vAlign w:val="center"/>
          </w:tcPr>
          <w:p w14:paraId="311E8862">
            <w:pPr>
              <w:jc w:val="right"/>
              <w:rPr>
                <w:rFonts w:ascii="Arial Narrow" w:hAnsi="Arial Narrow" w:eastAsiaTheme="minorEastAsia"/>
                <w:szCs w:val="21"/>
              </w:rPr>
            </w:pPr>
            <w:r>
              <w:rPr>
                <w:rFonts w:ascii="Arial Narrow" w:hAnsi="Arial Narrow" w:eastAsiaTheme="minorEastAsia"/>
                <w:color w:val="000000"/>
                <w:sz w:val="22"/>
                <w:szCs w:val="22"/>
              </w:rPr>
              <w:t>99,861,791.65</w:t>
            </w:r>
          </w:p>
        </w:tc>
      </w:tr>
      <w:tr w14:paraId="39B0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1B516AB2">
            <w:pPr>
              <w:ind w:right="105"/>
              <w:rPr>
                <w:rFonts w:ascii="Arial Narrow" w:hAnsi="Arial Narrow" w:eastAsiaTheme="minorEastAsia"/>
                <w:szCs w:val="21"/>
              </w:rPr>
            </w:pPr>
            <w:r>
              <w:rPr>
                <w:rStyle w:val="134"/>
                <w:rFonts w:hint="default" w:ascii="Arial Narrow" w:hAnsi="Arial Narrow" w:eastAsiaTheme="minorEastAsia"/>
              </w:rPr>
              <w:t>个人所得税</w:t>
            </w:r>
          </w:p>
        </w:tc>
        <w:tc>
          <w:tcPr>
            <w:tcW w:w="1661" w:type="pct"/>
            <w:shd w:val="clear" w:color="auto" w:fill="auto"/>
            <w:vAlign w:val="center"/>
          </w:tcPr>
          <w:p w14:paraId="1D76E43D">
            <w:pPr>
              <w:ind w:right="73"/>
              <w:jc w:val="right"/>
              <w:rPr>
                <w:rFonts w:ascii="Arial Narrow" w:hAnsi="Arial Narrow" w:eastAsiaTheme="minorEastAsia"/>
                <w:szCs w:val="21"/>
              </w:rPr>
            </w:pPr>
            <w:r>
              <w:rPr>
                <w:rFonts w:ascii="Arial Narrow" w:hAnsi="Arial Narrow" w:eastAsiaTheme="minorEastAsia"/>
                <w:color w:val="000000"/>
                <w:sz w:val="22"/>
                <w:szCs w:val="22"/>
              </w:rPr>
              <w:t>5,296,612.80</w:t>
            </w:r>
          </w:p>
        </w:tc>
        <w:tc>
          <w:tcPr>
            <w:tcW w:w="1664" w:type="pct"/>
            <w:shd w:val="clear" w:color="auto" w:fill="auto"/>
            <w:vAlign w:val="center"/>
          </w:tcPr>
          <w:p w14:paraId="751ECD20">
            <w:pPr>
              <w:jc w:val="right"/>
              <w:rPr>
                <w:rFonts w:ascii="Arial Narrow" w:hAnsi="Arial Narrow" w:eastAsiaTheme="minorEastAsia"/>
                <w:szCs w:val="21"/>
              </w:rPr>
            </w:pPr>
            <w:r>
              <w:rPr>
                <w:rFonts w:ascii="Arial Narrow" w:hAnsi="Arial Narrow" w:eastAsiaTheme="minorEastAsia"/>
                <w:color w:val="000000"/>
                <w:sz w:val="22"/>
                <w:szCs w:val="22"/>
              </w:rPr>
              <w:t>6,674,348.28</w:t>
            </w:r>
          </w:p>
        </w:tc>
      </w:tr>
      <w:tr w14:paraId="4A71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3A308C0E">
            <w:pPr>
              <w:ind w:right="105"/>
              <w:rPr>
                <w:rFonts w:ascii="Arial Narrow" w:hAnsi="Arial Narrow" w:eastAsiaTheme="minorEastAsia"/>
                <w:szCs w:val="21"/>
              </w:rPr>
            </w:pPr>
            <w:r>
              <w:rPr>
                <w:rStyle w:val="134"/>
                <w:rFonts w:hint="default" w:ascii="Arial Narrow" w:hAnsi="Arial Narrow" w:eastAsiaTheme="minorEastAsia"/>
              </w:rPr>
              <w:t>城市维护建设税</w:t>
            </w:r>
          </w:p>
        </w:tc>
        <w:tc>
          <w:tcPr>
            <w:tcW w:w="1661" w:type="pct"/>
            <w:shd w:val="clear" w:color="auto" w:fill="auto"/>
            <w:vAlign w:val="center"/>
          </w:tcPr>
          <w:p w14:paraId="7379D84A">
            <w:pPr>
              <w:ind w:right="73"/>
              <w:jc w:val="right"/>
              <w:rPr>
                <w:rFonts w:ascii="Arial Narrow" w:hAnsi="Arial Narrow" w:eastAsiaTheme="minorEastAsia"/>
                <w:szCs w:val="21"/>
              </w:rPr>
            </w:pPr>
            <w:r>
              <w:rPr>
                <w:rFonts w:ascii="Arial Narrow" w:hAnsi="Arial Narrow" w:eastAsiaTheme="minorEastAsia"/>
                <w:color w:val="000000"/>
                <w:sz w:val="22"/>
                <w:szCs w:val="22"/>
              </w:rPr>
              <w:t>1,687,091.97</w:t>
            </w:r>
          </w:p>
        </w:tc>
        <w:tc>
          <w:tcPr>
            <w:tcW w:w="1664" w:type="pct"/>
            <w:shd w:val="clear" w:color="auto" w:fill="auto"/>
            <w:vAlign w:val="center"/>
          </w:tcPr>
          <w:p w14:paraId="246B7B9B">
            <w:pPr>
              <w:jc w:val="right"/>
              <w:rPr>
                <w:rFonts w:ascii="Arial Narrow" w:hAnsi="Arial Narrow" w:eastAsiaTheme="minorEastAsia"/>
                <w:szCs w:val="21"/>
              </w:rPr>
            </w:pPr>
            <w:r>
              <w:rPr>
                <w:rFonts w:ascii="Arial Narrow" w:hAnsi="Arial Narrow" w:eastAsiaTheme="minorEastAsia"/>
                <w:color w:val="000000"/>
                <w:sz w:val="22"/>
                <w:szCs w:val="22"/>
              </w:rPr>
              <w:t>1,993,825.01</w:t>
            </w:r>
          </w:p>
        </w:tc>
      </w:tr>
      <w:tr w14:paraId="67BC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06D47773">
            <w:pPr>
              <w:ind w:right="105"/>
              <w:rPr>
                <w:rFonts w:ascii="Arial Narrow" w:hAnsi="Arial Narrow" w:eastAsiaTheme="minorEastAsia"/>
                <w:szCs w:val="21"/>
              </w:rPr>
            </w:pPr>
            <w:r>
              <w:rPr>
                <w:rFonts w:ascii="Arial Narrow" w:hAnsi="Arial Narrow" w:eastAsiaTheme="minorEastAsia"/>
                <w:color w:val="000000"/>
                <w:szCs w:val="21"/>
              </w:rPr>
              <w:t>房产税</w:t>
            </w:r>
          </w:p>
        </w:tc>
        <w:tc>
          <w:tcPr>
            <w:tcW w:w="1661" w:type="pct"/>
            <w:shd w:val="clear" w:color="auto" w:fill="auto"/>
            <w:vAlign w:val="center"/>
          </w:tcPr>
          <w:p w14:paraId="1FF72C34">
            <w:pPr>
              <w:ind w:right="73"/>
              <w:jc w:val="right"/>
              <w:rPr>
                <w:rFonts w:ascii="Arial Narrow" w:hAnsi="Arial Narrow" w:eastAsiaTheme="minorEastAsia"/>
                <w:szCs w:val="21"/>
              </w:rPr>
            </w:pPr>
            <w:r>
              <w:rPr>
                <w:rFonts w:ascii="Arial Narrow" w:hAnsi="Arial Narrow" w:eastAsiaTheme="minorEastAsia"/>
                <w:color w:val="000000"/>
                <w:sz w:val="22"/>
                <w:szCs w:val="22"/>
              </w:rPr>
              <w:t>4,387,643.63</w:t>
            </w:r>
          </w:p>
        </w:tc>
        <w:tc>
          <w:tcPr>
            <w:tcW w:w="1664" w:type="pct"/>
            <w:shd w:val="clear" w:color="auto" w:fill="auto"/>
            <w:vAlign w:val="center"/>
          </w:tcPr>
          <w:p w14:paraId="68678DEC">
            <w:pPr>
              <w:jc w:val="right"/>
              <w:rPr>
                <w:rFonts w:ascii="Arial Narrow" w:hAnsi="Arial Narrow" w:eastAsiaTheme="minorEastAsia"/>
                <w:szCs w:val="21"/>
              </w:rPr>
            </w:pPr>
            <w:r>
              <w:rPr>
                <w:rFonts w:ascii="Arial Narrow" w:hAnsi="Arial Narrow" w:eastAsiaTheme="minorEastAsia"/>
                <w:color w:val="000000"/>
                <w:sz w:val="22"/>
                <w:szCs w:val="22"/>
              </w:rPr>
              <w:t>2,907,994.21</w:t>
            </w:r>
          </w:p>
        </w:tc>
      </w:tr>
      <w:tr w14:paraId="5D2B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shd w:val="clear" w:color="auto" w:fill="auto"/>
          </w:tcPr>
          <w:p w14:paraId="4456FC24">
            <w:pPr>
              <w:ind w:right="105"/>
              <w:rPr>
                <w:rFonts w:ascii="Arial Narrow" w:hAnsi="Arial Narrow" w:eastAsiaTheme="minorEastAsia"/>
                <w:szCs w:val="21"/>
              </w:rPr>
            </w:pPr>
            <w:r>
              <w:rPr>
                <w:rFonts w:ascii="Arial Narrow" w:hAnsi="Arial Narrow" w:eastAsiaTheme="minorEastAsia"/>
                <w:color w:val="000000"/>
                <w:szCs w:val="21"/>
              </w:rPr>
              <w:t>教育费附加</w:t>
            </w:r>
          </w:p>
        </w:tc>
        <w:tc>
          <w:tcPr>
            <w:tcW w:w="1661" w:type="pct"/>
            <w:shd w:val="clear" w:color="auto" w:fill="auto"/>
            <w:vAlign w:val="center"/>
          </w:tcPr>
          <w:p w14:paraId="5813D45B">
            <w:pPr>
              <w:ind w:right="73"/>
              <w:jc w:val="right"/>
              <w:rPr>
                <w:rFonts w:ascii="Arial Narrow" w:hAnsi="Arial Narrow" w:eastAsiaTheme="minorEastAsia"/>
                <w:szCs w:val="21"/>
              </w:rPr>
            </w:pPr>
            <w:r>
              <w:rPr>
                <w:rFonts w:ascii="Arial Narrow" w:hAnsi="Arial Narrow" w:eastAsiaTheme="minorEastAsia"/>
                <w:color w:val="000000"/>
                <w:sz w:val="22"/>
                <w:szCs w:val="22"/>
              </w:rPr>
              <w:t>1,326,146.15</w:t>
            </w:r>
          </w:p>
        </w:tc>
        <w:tc>
          <w:tcPr>
            <w:tcW w:w="1664" w:type="pct"/>
            <w:shd w:val="clear" w:color="auto" w:fill="auto"/>
            <w:vAlign w:val="center"/>
          </w:tcPr>
          <w:p w14:paraId="0BC69AC0">
            <w:pPr>
              <w:jc w:val="right"/>
              <w:rPr>
                <w:rFonts w:ascii="Arial Narrow" w:hAnsi="Arial Narrow" w:eastAsiaTheme="minorEastAsia"/>
                <w:szCs w:val="21"/>
              </w:rPr>
            </w:pPr>
            <w:r>
              <w:rPr>
                <w:rFonts w:ascii="Arial Narrow" w:hAnsi="Arial Narrow" w:eastAsiaTheme="minorEastAsia"/>
                <w:color w:val="000000"/>
                <w:sz w:val="22"/>
                <w:szCs w:val="22"/>
              </w:rPr>
              <w:t>1,571,184.98</w:t>
            </w:r>
          </w:p>
        </w:tc>
      </w:tr>
      <w:tr w14:paraId="1EEE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tcPr>
          <w:p w14:paraId="685843BD">
            <w:pPr>
              <w:ind w:right="105"/>
              <w:rPr>
                <w:rFonts w:ascii="Arial Narrow" w:hAnsi="Arial Narrow" w:eastAsiaTheme="minorEastAsia"/>
                <w:szCs w:val="21"/>
              </w:rPr>
            </w:pPr>
            <w:r>
              <w:rPr>
                <w:rFonts w:ascii="Arial Narrow" w:hAnsi="Arial Narrow" w:eastAsiaTheme="minorEastAsia"/>
                <w:color w:val="000000"/>
                <w:szCs w:val="21"/>
              </w:rPr>
              <w:t>土地使用税</w:t>
            </w:r>
          </w:p>
        </w:tc>
        <w:tc>
          <w:tcPr>
            <w:tcW w:w="1661" w:type="pct"/>
            <w:vAlign w:val="center"/>
          </w:tcPr>
          <w:p w14:paraId="1D2B860D">
            <w:pPr>
              <w:ind w:right="73"/>
              <w:jc w:val="right"/>
              <w:rPr>
                <w:rFonts w:ascii="Arial Narrow" w:hAnsi="Arial Narrow" w:eastAsiaTheme="minorEastAsia"/>
                <w:szCs w:val="21"/>
              </w:rPr>
            </w:pPr>
            <w:r>
              <w:rPr>
                <w:rFonts w:ascii="Arial Narrow" w:hAnsi="Arial Narrow" w:eastAsiaTheme="minorEastAsia"/>
                <w:color w:val="000000"/>
                <w:sz w:val="22"/>
                <w:szCs w:val="22"/>
              </w:rPr>
              <w:t>4,826,565.98</w:t>
            </w:r>
          </w:p>
        </w:tc>
        <w:tc>
          <w:tcPr>
            <w:tcW w:w="1664" w:type="pct"/>
            <w:vAlign w:val="center"/>
          </w:tcPr>
          <w:p w14:paraId="29C252C7">
            <w:pPr>
              <w:jc w:val="right"/>
              <w:rPr>
                <w:rFonts w:ascii="Arial Narrow" w:hAnsi="Arial Narrow" w:eastAsiaTheme="minorEastAsia"/>
                <w:szCs w:val="21"/>
              </w:rPr>
            </w:pPr>
            <w:r>
              <w:rPr>
                <w:rFonts w:ascii="Arial Narrow" w:hAnsi="Arial Narrow" w:eastAsiaTheme="minorEastAsia"/>
                <w:color w:val="000000"/>
                <w:sz w:val="22"/>
                <w:szCs w:val="22"/>
              </w:rPr>
              <w:t>2,542,222.31</w:t>
            </w:r>
          </w:p>
        </w:tc>
      </w:tr>
      <w:tr w14:paraId="0A2C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tcPr>
          <w:p w14:paraId="396573FF">
            <w:pPr>
              <w:ind w:right="105"/>
              <w:rPr>
                <w:rFonts w:ascii="Arial Narrow" w:hAnsi="Arial Narrow" w:eastAsiaTheme="minorEastAsia"/>
                <w:szCs w:val="21"/>
              </w:rPr>
            </w:pPr>
            <w:r>
              <w:rPr>
                <w:rFonts w:ascii="Arial Narrow" w:hAnsi="Arial Narrow" w:eastAsiaTheme="minorEastAsia"/>
                <w:color w:val="000000"/>
                <w:szCs w:val="21"/>
              </w:rPr>
              <w:t>其他</w:t>
            </w:r>
          </w:p>
        </w:tc>
        <w:tc>
          <w:tcPr>
            <w:tcW w:w="1661" w:type="pct"/>
            <w:vAlign w:val="center"/>
          </w:tcPr>
          <w:p w14:paraId="041FC4BF">
            <w:pPr>
              <w:ind w:right="73"/>
              <w:jc w:val="right"/>
              <w:rPr>
                <w:rFonts w:ascii="Arial Narrow" w:hAnsi="Arial Narrow" w:eastAsiaTheme="minorEastAsia"/>
                <w:szCs w:val="21"/>
              </w:rPr>
            </w:pPr>
            <w:r>
              <w:rPr>
                <w:rFonts w:ascii="Arial Narrow" w:hAnsi="Arial Narrow" w:eastAsiaTheme="minorEastAsia"/>
                <w:color w:val="000000"/>
                <w:sz w:val="22"/>
                <w:szCs w:val="22"/>
              </w:rPr>
              <w:t>4,347,944.58</w:t>
            </w:r>
          </w:p>
        </w:tc>
        <w:tc>
          <w:tcPr>
            <w:tcW w:w="1664" w:type="pct"/>
            <w:vAlign w:val="center"/>
          </w:tcPr>
          <w:p w14:paraId="51CB9553">
            <w:pPr>
              <w:jc w:val="right"/>
              <w:rPr>
                <w:rFonts w:ascii="Arial Narrow" w:hAnsi="Arial Narrow" w:eastAsiaTheme="minorEastAsia"/>
                <w:szCs w:val="21"/>
              </w:rPr>
            </w:pPr>
            <w:r>
              <w:rPr>
                <w:rFonts w:ascii="Arial Narrow" w:hAnsi="Arial Narrow" w:eastAsiaTheme="minorEastAsia"/>
                <w:color w:val="000000"/>
                <w:sz w:val="22"/>
                <w:szCs w:val="22"/>
              </w:rPr>
              <w:t>4,009,832.47</w:t>
            </w:r>
          </w:p>
        </w:tc>
      </w:tr>
      <w:tr w14:paraId="6A20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5" w:type="pct"/>
            <w:vAlign w:val="center"/>
          </w:tcPr>
          <w:p w14:paraId="642B6E4A">
            <w:pPr>
              <w:ind w:right="105"/>
              <w:jc w:val="center"/>
              <w:rPr>
                <w:rFonts w:ascii="Arial Narrow" w:hAnsi="Arial Narrow" w:eastAsiaTheme="minorEastAsia"/>
                <w:szCs w:val="21"/>
              </w:rPr>
            </w:pPr>
            <w:r>
              <w:rPr>
                <w:rFonts w:ascii="Arial Narrow" w:hAnsi="Arial Narrow" w:eastAsiaTheme="minorEastAsia"/>
                <w:szCs w:val="21"/>
              </w:rPr>
              <w:t>合计</w:t>
            </w:r>
          </w:p>
        </w:tc>
        <w:tc>
          <w:tcPr>
            <w:tcW w:w="1661" w:type="pct"/>
            <w:vAlign w:val="center"/>
          </w:tcPr>
          <w:p w14:paraId="7132FD0C">
            <w:pPr>
              <w:ind w:right="73"/>
              <w:jc w:val="right"/>
              <w:rPr>
                <w:rFonts w:ascii="Arial Narrow" w:hAnsi="Arial Narrow" w:eastAsiaTheme="minorEastAsia"/>
                <w:szCs w:val="21"/>
              </w:rPr>
            </w:pPr>
            <w:r>
              <w:rPr>
                <w:rFonts w:ascii="Arial Narrow" w:hAnsi="Arial Narrow" w:eastAsiaTheme="minorEastAsia"/>
                <w:color w:val="000000"/>
                <w:sz w:val="22"/>
                <w:szCs w:val="22"/>
              </w:rPr>
              <w:t>138,968,721.20</w:t>
            </w:r>
          </w:p>
        </w:tc>
        <w:tc>
          <w:tcPr>
            <w:tcW w:w="1664" w:type="pct"/>
            <w:vAlign w:val="center"/>
          </w:tcPr>
          <w:p w14:paraId="4C22B257">
            <w:pPr>
              <w:jc w:val="right"/>
              <w:rPr>
                <w:rFonts w:ascii="Arial Narrow" w:hAnsi="Arial Narrow" w:eastAsiaTheme="minorEastAsia"/>
                <w:szCs w:val="21"/>
              </w:rPr>
            </w:pPr>
            <w:r>
              <w:rPr>
                <w:rFonts w:ascii="Arial Narrow" w:hAnsi="Arial Narrow" w:eastAsiaTheme="minorEastAsia"/>
                <w:color w:val="000000"/>
                <w:sz w:val="22"/>
                <w:szCs w:val="22"/>
              </w:rPr>
              <w:t>142,345,990.39</w:t>
            </w:r>
          </w:p>
        </w:tc>
      </w:tr>
    </w:tbl>
    <w:p w14:paraId="7DBCA1A2">
      <w:pPr>
        <w:rPr>
          <w:rFonts w:hint="eastAsia"/>
          <w:szCs w:val="21"/>
        </w:rPr>
      </w:pPr>
      <w:r>
        <w:rPr>
          <w:rFonts w:hint="eastAsia"/>
          <w:szCs w:val="21"/>
        </w:rPr>
        <w:t>其他说明：</w:t>
      </w:r>
    </w:p>
    <w:sdt>
      <w:sdtPr>
        <w:rPr>
          <w:szCs w:val="21"/>
        </w:rPr>
        <w:alias w:val="应交税金的说明"/>
        <w:tag w:val="_GBC_e365cc8f407645ca84ccf91263d3cc28"/>
        <w:id w:val="1397861362"/>
        <w:placeholder>
          <w:docPart w:val="GBC22222222222222222222222222222"/>
        </w:placeholder>
      </w:sdtPr>
      <w:sdtEndPr>
        <w:rPr>
          <w:szCs w:val="21"/>
        </w:rPr>
      </w:sdtEndPr>
      <w:sdtContent>
        <w:p w14:paraId="4891CEB2">
          <w:pPr>
            <w:rPr>
              <w:rFonts w:hint="eastAsia"/>
              <w:szCs w:val="21"/>
            </w:rPr>
          </w:pPr>
          <w:r>
            <w:rPr>
              <w:rFonts w:hint="eastAsia"/>
              <w:szCs w:val="21"/>
            </w:rPr>
            <w:t>无</w:t>
          </w:r>
        </w:p>
      </w:sdtContent>
    </w:sdt>
    <w:p w14:paraId="1CB34C79">
      <w:pPr>
        <w:rPr>
          <w:rFonts w:hint="eastAsia"/>
          <w:szCs w:val="21"/>
        </w:rPr>
      </w:pPr>
    </w:p>
    <w:p w14:paraId="25896E36">
      <w:pPr>
        <w:pStyle w:val="70"/>
        <w:numPr>
          <w:ilvl w:val="0"/>
          <w:numId w:val="109"/>
        </w:numPr>
        <w:rPr>
          <w:szCs w:val="21"/>
        </w:rPr>
      </w:pPr>
      <w:r>
        <w:rPr>
          <w:szCs w:val="21"/>
        </w:rPr>
        <w:t>其他应付款</w:t>
      </w:r>
    </w:p>
    <w:p w14:paraId="2455E68F">
      <w:pPr>
        <w:pStyle w:val="71"/>
        <w:numPr>
          <w:ilvl w:val="0"/>
          <w:numId w:val="140"/>
        </w:numPr>
        <w:rPr>
          <w:rFonts w:hint="eastAsia"/>
        </w:rPr>
      </w:pPr>
      <w:bookmarkStart w:id="341" w:name="_Hlk532910042"/>
      <w:r>
        <w:rPr>
          <w:rFonts w:hint="eastAsia"/>
        </w:rPr>
        <w:t>项目列示</w:t>
      </w:r>
    </w:p>
    <w:sdt>
      <w:sdtPr>
        <w:alias w:val="是否适用：其他应付款分类列示[双击切换]"/>
        <w:tag w:val="_GBC_66f20e30acfe43c3b4edf860d086ad10"/>
        <w:id w:val="-1156536343"/>
        <w:placeholder>
          <w:docPart w:val="GBC22222222222222222222222222222"/>
        </w:placeholder>
      </w:sdtPr>
      <w:sdtContent>
        <w:p w14:paraId="0E7AC6BB">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26B20D">
      <w:pPr>
        <w:jc w:val="right"/>
        <w:rPr>
          <w:rFonts w:hint="eastAsia"/>
          <w:szCs w:val="21"/>
        </w:rPr>
      </w:pPr>
      <w:r>
        <w:rPr>
          <w:rFonts w:hint="eastAsia"/>
          <w:szCs w:val="21"/>
        </w:rPr>
        <w:t>单位：</w:t>
      </w:r>
      <w:sdt>
        <w:sdtPr>
          <w:rPr>
            <w:rFonts w:hint="eastAsia"/>
            <w:szCs w:val="21"/>
          </w:rPr>
          <w:alias w:val="单位：其他应付款分类列示"/>
          <w:tag w:val="_GBC_1d2c755c7a60470390b86f677f589d52"/>
          <w:id w:val="-3001476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54becc5fdf374134a56007701ad1c4e0"/>
          <w:id w:val="1666855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3B15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5b32323c48c441e4832da1fe28654990"/>
            <w:id w:val="264587068"/>
          </w:sdtPr>
          <w:sdtContent>
            <w:tc>
              <w:tcPr>
                <w:tcW w:w="1828" w:type="pct"/>
                <w:shd w:val="clear" w:color="auto" w:fill="auto"/>
                <w:vAlign w:val="center"/>
              </w:tcPr>
              <w:p w14:paraId="42896674">
                <w:pPr>
                  <w:tabs>
                    <w:tab w:val="right" w:pos="3690"/>
                    <w:tab w:val="right" w:pos="5130"/>
                    <w:tab w:val="right" w:pos="6030"/>
                    <w:tab w:val="right" w:pos="7650"/>
                    <w:tab w:val="right" w:pos="9270"/>
                  </w:tabs>
                  <w:adjustRightInd w:val="0"/>
                  <w:snapToGrid w:val="0"/>
                  <w:jc w:val="center"/>
                  <w:rPr>
                    <w:rFonts w:hint="eastAsia"/>
                    <w:szCs w:val="21"/>
                  </w:rPr>
                </w:pPr>
                <w:r>
                  <w:rPr>
                    <w:rFonts w:hint="eastAsia"/>
                    <w:szCs w:val="21"/>
                  </w:rPr>
                  <w:t>项目</w:t>
                </w:r>
              </w:p>
            </w:tc>
          </w:sdtContent>
        </w:sdt>
        <w:sdt>
          <w:sdtPr>
            <w:tag w:val="_PLD_427fe40919c945eaada0e2529b497787"/>
            <w:id w:val="521748860"/>
          </w:sdtPr>
          <w:sdtContent>
            <w:tc>
              <w:tcPr>
                <w:tcW w:w="1582" w:type="pct"/>
                <w:shd w:val="clear" w:color="auto" w:fill="auto"/>
                <w:vAlign w:val="center"/>
              </w:tcPr>
              <w:p w14:paraId="2C2C3FCA">
                <w:pPr>
                  <w:jc w:val="center"/>
                  <w:rPr>
                    <w:rFonts w:hint="eastAsia"/>
                    <w:szCs w:val="21"/>
                  </w:rPr>
                </w:pPr>
                <w:r>
                  <w:rPr>
                    <w:rFonts w:hint="eastAsia"/>
                    <w:szCs w:val="21"/>
                  </w:rPr>
                  <w:t>期末余额</w:t>
                </w:r>
              </w:p>
            </w:tc>
          </w:sdtContent>
        </w:sdt>
        <w:sdt>
          <w:sdtPr>
            <w:tag w:val="_PLD_963dd0fff1a644319fa667127e37c635"/>
            <w:id w:val="-1950538325"/>
          </w:sdtPr>
          <w:sdtContent>
            <w:tc>
              <w:tcPr>
                <w:tcW w:w="1590" w:type="pct"/>
                <w:shd w:val="clear" w:color="auto" w:fill="auto"/>
                <w:vAlign w:val="center"/>
              </w:tcPr>
              <w:p w14:paraId="38980572">
                <w:pPr>
                  <w:jc w:val="center"/>
                  <w:rPr>
                    <w:rFonts w:hint="eastAsia"/>
                    <w:szCs w:val="21"/>
                  </w:rPr>
                </w:pPr>
                <w:r>
                  <w:rPr>
                    <w:rFonts w:hint="eastAsia"/>
                    <w:szCs w:val="21"/>
                  </w:rPr>
                  <w:t>期初余额</w:t>
                </w:r>
              </w:p>
            </w:tc>
          </w:sdtContent>
        </w:sdt>
      </w:tr>
      <w:tr w14:paraId="08A3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4A2D29ED">
            <w:pPr>
              <w:tabs>
                <w:tab w:val="right" w:pos="3690"/>
                <w:tab w:val="right" w:pos="5130"/>
                <w:tab w:val="right" w:pos="6030"/>
                <w:tab w:val="right" w:pos="7650"/>
                <w:tab w:val="right" w:pos="9270"/>
              </w:tabs>
              <w:adjustRightInd w:val="0"/>
              <w:snapToGrid w:val="0"/>
              <w:rPr>
                <w:rFonts w:hint="eastAsia"/>
                <w:szCs w:val="21"/>
              </w:rPr>
            </w:pPr>
            <w:r>
              <w:rPr>
                <w:rFonts w:hint="eastAsia"/>
                <w:szCs w:val="21"/>
              </w:rPr>
              <w:t>应付利息</w:t>
            </w:r>
          </w:p>
        </w:tc>
        <w:tc>
          <w:tcPr>
            <w:tcW w:w="1582" w:type="pct"/>
            <w:shd w:val="clear" w:color="auto" w:fill="auto"/>
            <w:vAlign w:val="center"/>
          </w:tcPr>
          <w:p w14:paraId="41AE476F">
            <w:pPr>
              <w:tabs>
                <w:tab w:val="right" w:pos="3690"/>
                <w:tab w:val="right" w:pos="5130"/>
                <w:tab w:val="right" w:pos="6030"/>
                <w:tab w:val="right" w:pos="7650"/>
                <w:tab w:val="right" w:pos="9270"/>
              </w:tabs>
              <w:adjustRightInd w:val="0"/>
              <w:snapToGrid w:val="0"/>
              <w:jc w:val="right"/>
              <w:rPr>
                <w:rFonts w:hint="eastAsia"/>
                <w:szCs w:val="21"/>
              </w:rPr>
            </w:pPr>
          </w:p>
        </w:tc>
        <w:tc>
          <w:tcPr>
            <w:tcW w:w="1590" w:type="pct"/>
            <w:shd w:val="clear" w:color="auto" w:fill="auto"/>
            <w:vAlign w:val="center"/>
          </w:tcPr>
          <w:p w14:paraId="55F73B19">
            <w:pPr>
              <w:tabs>
                <w:tab w:val="right" w:pos="3690"/>
                <w:tab w:val="right" w:pos="5130"/>
                <w:tab w:val="right" w:pos="6030"/>
                <w:tab w:val="right" w:pos="7650"/>
                <w:tab w:val="right" w:pos="9270"/>
              </w:tabs>
              <w:adjustRightInd w:val="0"/>
              <w:snapToGrid w:val="0"/>
              <w:jc w:val="right"/>
              <w:rPr>
                <w:rFonts w:hint="eastAsia"/>
                <w:szCs w:val="21"/>
              </w:rPr>
            </w:pPr>
          </w:p>
        </w:tc>
      </w:tr>
      <w:tr w14:paraId="0BCA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7492D673">
            <w:pPr>
              <w:tabs>
                <w:tab w:val="right" w:pos="3690"/>
                <w:tab w:val="right" w:pos="5130"/>
                <w:tab w:val="right" w:pos="6030"/>
                <w:tab w:val="right" w:pos="7650"/>
                <w:tab w:val="right" w:pos="9270"/>
              </w:tabs>
              <w:adjustRightInd w:val="0"/>
              <w:snapToGrid w:val="0"/>
              <w:rPr>
                <w:rFonts w:hint="eastAsia"/>
                <w:szCs w:val="21"/>
              </w:rPr>
            </w:pPr>
            <w:r>
              <w:rPr>
                <w:rFonts w:hint="eastAsia"/>
                <w:szCs w:val="21"/>
              </w:rPr>
              <w:t>应付股利</w:t>
            </w:r>
          </w:p>
        </w:tc>
        <w:tc>
          <w:tcPr>
            <w:tcW w:w="1582" w:type="pct"/>
            <w:shd w:val="clear" w:color="auto" w:fill="auto"/>
            <w:vAlign w:val="center"/>
          </w:tcPr>
          <w:p w14:paraId="4039FEC6">
            <w:pPr>
              <w:tabs>
                <w:tab w:val="right" w:pos="3690"/>
                <w:tab w:val="right" w:pos="5130"/>
                <w:tab w:val="right" w:pos="6030"/>
                <w:tab w:val="right" w:pos="7650"/>
                <w:tab w:val="right" w:pos="9270"/>
              </w:tabs>
              <w:adjustRightInd w:val="0"/>
              <w:snapToGrid w:val="0"/>
              <w:jc w:val="right"/>
              <w:rPr>
                <w:rFonts w:hint="eastAsia"/>
                <w:szCs w:val="21"/>
              </w:rPr>
            </w:pPr>
          </w:p>
        </w:tc>
        <w:tc>
          <w:tcPr>
            <w:tcW w:w="1590" w:type="pct"/>
            <w:shd w:val="clear" w:color="auto" w:fill="auto"/>
            <w:vAlign w:val="center"/>
          </w:tcPr>
          <w:p w14:paraId="0BEFDBA8">
            <w:pPr>
              <w:tabs>
                <w:tab w:val="right" w:pos="3690"/>
                <w:tab w:val="right" w:pos="5130"/>
                <w:tab w:val="right" w:pos="6030"/>
                <w:tab w:val="right" w:pos="7650"/>
                <w:tab w:val="right" w:pos="9270"/>
              </w:tabs>
              <w:adjustRightInd w:val="0"/>
              <w:snapToGrid w:val="0"/>
              <w:jc w:val="right"/>
              <w:rPr>
                <w:rFonts w:hint="eastAsia"/>
                <w:szCs w:val="21"/>
              </w:rPr>
            </w:pPr>
          </w:p>
        </w:tc>
      </w:tr>
      <w:tr w14:paraId="7D95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71D6AC5E">
            <w:pPr>
              <w:tabs>
                <w:tab w:val="right" w:pos="3690"/>
                <w:tab w:val="right" w:pos="5130"/>
                <w:tab w:val="right" w:pos="6030"/>
                <w:tab w:val="right" w:pos="7650"/>
                <w:tab w:val="right" w:pos="9270"/>
              </w:tabs>
              <w:adjustRightInd w:val="0"/>
              <w:snapToGrid w:val="0"/>
              <w:rPr>
                <w:rFonts w:hint="eastAsia"/>
                <w:szCs w:val="21"/>
              </w:rPr>
            </w:pPr>
            <w:r>
              <w:rPr>
                <w:rFonts w:hint="eastAsia"/>
                <w:szCs w:val="21"/>
              </w:rPr>
              <w:t>其他应付款</w:t>
            </w:r>
          </w:p>
        </w:tc>
        <w:tc>
          <w:tcPr>
            <w:tcW w:w="1582" w:type="pct"/>
            <w:shd w:val="clear" w:color="auto" w:fill="auto"/>
            <w:vAlign w:val="center"/>
          </w:tcPr>
          <w:p w14:paraId="539F896F">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958,381,409.24</w:t>
            </w:r>
          </w:p>
        </w:tc>
        <w:tc>
          <w:tcPr>
            <w:tcW w:w="1590" w:type="pct"/>
            <w:shd w:val="clear" w:color="auto" w:fill="auto"/>
            <w:vAlign w:val="center"/>
          </w:tcPr>
          <w:p w14:paraId="2A6847C2">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830,213,275.27</w:t>
            </w:r>
          </w:p>
        </w:tc>
      </w:tr>
      <w:tr w14:paraId="6970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vAlign w:val="center"/>
          </w:tcPr>
          <w:p w14:paraId="76622B96">
            <w:pPr>
              <w:tabs>
                <w:tab w:val="right" w:pos="3690"/>
                <w:tab w:val="right" w:pos="5130"/>
                <w:tab w:val="right" w:pos="6030"/>
                <w:tab w:val="right" w:pos="7650"/>
                <w:tab w:val="right" w:pos="9270"/>
              </w:tabs>
              <w:adjustRightInd w:val="0"/>
              <w:snapToGrid w:val="0"/>
              <w:jc w:val="center"/>
              <w:rPr>
                <w:rFonts w:hint="eastAsia"/>
                <w:szCs w:val="21"/>
              </w:rPr>
            </w:pPr>
            <w:r>
              <w:rPr>
                <w:rFonts w:hint="eastAsia"/>
                <w:szCs w:val="21"/>
              </w:rPr>
              <w:t>合计</w:t>
            </w:r>
          </w:p>
        </w:tc>
        <w:tc>
          <w:tcPr>
            <w:tcW w:w="1582" w:type="pct"/>
            <w:shd w:val="clear" w:color="auto" w:fill="auto"/>
            <w:vAlign w:val="center"/>
          </w:tcPr>
          <w:p w14:paraId="2F2F0EC2">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958,381,409.24</w:t>
            </w:r>
          </w:p>
        </w:tc>
        <w:tc>
          <w:tcPr>
            <w:tcW w:w="1590" w:type="pct"/>
            <w:shd w:val="clear" w:color="auto" w:fill="auto"/>
            <w:vAlign w:val="center"/>
          </w:tcPr>
          <w:p w14:paraId="3B55E64B">
            <w:pPr>
              <w:tabs>
                <w:tab w:val="right" w:pos="3690"/>
                <w:tab w:val="right" w:pos="5130"/>
                <w:tab w:val="right" w:pos="6030"/>
                <w:tab w:val="right" w:pos="7650"/>
                <w:tab w:val="right" w:pos="9270"/>
              </w:tabs>
              <w:adjustRightInd w:val="0"/>
              <w:snapToGrid w:val="0"/>
              <w:jc w:val="right"/>
              <w:rPr>
                <w:rFonts w:hint="eastAsia"/>
                <w:szCs w:val="21"/>
              </w:rPr>
            </w:pPr>
            <w:r>
              <w:rPr>
                <w:rFonts w:ascii="Arial Narrow" w:hAnsi="Arial Narrow" w:eastAsia="等线"/>
                <w:color w:val="000000"/>
                <w:sz w:val="22"/>
                <w:szCs w:val="22"/>
              </w:rPr>
              <w:t>830,213,275.27</w:t>
            </w:r>
          </w:p>
        </w:tc>
      </w:tr>
    </w:tbl>
    <w:p w14:paraId="20A2785E">
      <w:pPr>
        <w:rPr>
          <w:rFonts w:hint="eastAsia"/>
        </w:rPr>
      </w:pPr>
    </w:p>
    <w:p w14:paraId="13F0635A">
      <w:pPr>
        <w:rPr>
          <w:rFonts w:hint="eastAsia"/>
          <w:szCs w:val="21"/>
        </w:rPr>
      </w:pPr>
      <w:bookmarkStart w:id="342" w:name="_Hlk155097683"/>
      <w:r>
        <w:rPr>
          <w:rFonts w:hint="eastAsia"/>
          <w:szCs w:val="21"/>
        </w:rPr>
        <w:t>其他说明：</w:t>
      </w:r>
    </w:p>
    <w:sdt>
      <w:sdtPr>
        <w:rPr>
          <w:szCs w:val="21"/>
        </w:rPr>
        <w:alias w:val="是否适用：其他应付款分类列示其他说明[双击切换]"/>
        <w:tag w:val="_GBC_9cfb2316deee44a8a3605ab376f15408"/>
        <w:id w:val="1411735399"/>
        <w:placeholder>
          <w:docPart w:val="GBC22222222222222222222222222222"/>
        </w:placeholder>
      </w:sdtPr>
      <w:sdtEndPr>
        <w:rPr>
          <w:szCs w:val="21"/>
        </w:rPr>
      </w:sdtEndPr>
      <w:sdtContent>
        <w:p w14:paraId="5457D6FC">
          <w:pPr>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8DF5863">
      <w:pPr>
        <w:rPr>
          <w:rFonts w:hint="eastAsia"/>
        </w:rPr>
      </w:pPr>
    </w:p>
    <w:p w14:paraId="3B4EBBCF">
      <w:pPr>
        <w:pStyle w:val="71"/>
        <w:numPr>
          <w:ilvl w:val="0"/>
          <w:numId w:val="140"/>
        </w:numPr>
        <w:rPr>
          <w:rFonts w:hint="eastAsia"/>
        </w:rPr>
      </w:pPr>
      <w:r>
        <w:rPr>
          <w:rFonts w:hint="eastAsia"/>
        </w:rPr>
        <w:t>应付利息</w:t>
      </w:r>
    </w:p>
    <w:p w14:paraId="5687D8FA">
      <w:pPr>
        <w:rPr>
          <w:rFonts w:hint="eastAsia"/>
        </w:rPr>
      </w:pPr>
      <w:r>
        <w:rPr>
          <w:rFonts w:hint="eastAsia"/>
        </w:rPr>
        <w:t>分类列示</w:t>
      </w:r>
    </w:p>
    <w:sdt>
      <w:sdtPr>
        <w:alias w:val="是否适用：应付利息[双击切换]"/>
        <w:tag w:val="_GBC_563016e83d32408f90ee8ae140b7dccd"/>
        <w:id w:val="1303890462"/>
        <w:placeholder>
          <w:docPart w:val="GBC22222222222222222222222222222"/>
        </w:placeholder>
      </w:sdtPr>
      <w:sdtContent>
        <w:p w14:paraId="55A02E0C">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62269C7">
      <w:pPr>
        <w:rPr>
          <w:rFonts w:hint="eastAsia"/>
          <w:szCs w:val="21"/>
        </w:rPr>
      </w:pPr>
    </w:p>
    <w:p w14:paraId="7D135ED1">
      <w:pPr>
        <w:rPr>
          <w:rFonts w:hint="eastAsia"/>
          <w:szCs w:val="21"/>
        </w:rPr>
      </w:pPr>
      <w:r>
        <w:rPr>
          <w:rFonts w:hint="eastAsia"/>
          <w:szCs w:val="21"/>
        </w:rPr>
        <w:t>逾期的重要应付利息：</w:t>
      </w:r>
    </w:p>
    <w:sdt>
      <w:sdtPr>
        <w:rPr>
          <w:szCs w:val="21"/>
        </w:rPr>
        <w:alias w:val="是否适用：重要的已逾期未支付的利息情况[双击切换]"/>
        <w:tag w:val="_GBC_e97342df449a4b51897b93180a76915c"/>
        <w:id w:val="1161121774"/>
        <w:placeholder>
          <w:docPart w:val="GBC22222222222222222222222222222"/>
        </w:placeholder>
      </w:sdtPr>
      <w:sdtEndPr>
        <w:rPr>
          <w:szCs w:val="21"/>
        </w:rPr>
      </w:sdtEndPr>
      <w:sdtContent>
        <w:p w14:paraId="6C2B35A9">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239F2D3">
      <w:pPr>
        <w:rPr>
          <w:rFonts w:hint="eastAsia"/>
          <w:szCs w:val="21"/>
        </w:rPr>
      </w:pPr>
    </w:p>
    <w:p w14:paraId="50B68456">
      <w:pPr>
        <w:spacing w:before="60" w:after="60"/>
        <w:rPr>
          <w:rFonts w:hint="eastAsia"/>
          <w:szCs w:val="21"/>
        </w:rPr>
      </w:pPr>
      <w:r>
        <w:rPr>
          <w:rFonts w:hint="eastAsia"/>
          <w:szCs w:val="21"/>
        </w:rPr>
        <w:t>其他说明：</w:t>
      </w:r>
    </w:p>
    <w:sdt>
      <w:sdtPr>
        <w:rPr>
          <w:szCs w:val="21"/>
        </w:rPr>
        <w:alias w:val="是否适用：应付利息说明[双击切换]"/>
        <w:tag w:val="_GBC_8e7eb675343843e89996290865d02478"/>
        <w:id w:val="-1261676965"/>
        <w:placeholder>
          <w:docPart w:val="GBC22222222222222222222222222222"/>
        </w:placeholder>
      </w:sdtPr>
      <w:sdtEndPr>
        <w:rPr>
          <w:szCs w:val="21"/>
        </w:rPr>
      </w:sdtEndPr>
      <w:sdtContent>
        <w:p w14:paraId="62612B78">
          <w:pPr>
            <w:spacing w:before="60" w:after="6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4CD825F">
      <w:pPr>
        <w:rPr>
          <w:rFonts w:hint="eastAsia"/>
          <w:szCs w:val="21"/>
        </w:rPr>
      </w:pPr>
    </w:p>
    <w:p w14:paraId="1B0F3FF2">
      <w:pPr>
        <w:pStyle w:val="71"/>
        <w:numPr>
          <w:ilvl w:val="0"/>
          <w:numId w:val="140"/>
        </w:numPr>
        <w:rPr>
          <w:rFonts w:hint="eastAsia"/>
        </w:rPr>
      </w:pPr>
      <w:r>
        <w:rPr>
          <w:rFonts w:hint="eastAsia"/>
        </w:rPr>
        <w:t>应付股利</w:t>
      </w:r>
    </w:p>
    <w:p w14:paraId="3314DAB1">
      <w:pPr>
        <w:rPr>
          <w:rFonts w:hint="eastAsia"/>
        </w:rPr>
      </w:pPr>
      <w:r>
        <w:rPr>
          <w:rFonts w:hint="eastAsia"/>
        </w:rPr>
        <w:t>分类列示</w:t>
      </w:r>
    </w:p>
    <w:sdt>
      <w:sdtPr>
        <w:alias w:val="是否适用：应付股利[双击切换]"/>
        <w:tag w:val="_GBC_b5ae3881f6d849679d4053b7e1707366"/>
        <w:id w:val="749927239"/>
        <w:placeholder>
          <w:docPart w:val="GBC22222222222222222222222222222"/>
        </w:placeholder>
      </w:sdtPr>
      <w:sdtContent>
        <w:p w14:paraId="42167F7C">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77A03CE">
      <w:pPr>
        <w:snapToGrid w:val="0"/>
        <w:rPr>
          <w:rFonts w:hint="eastAsia"/>
          <w:szCs w:val="21"/>
        </w:rPr>
      </w:pPr>
    </w:p>
    <w:p w14:paraId="30FE1AD9">
      <w:pPr>
        <w:pStyle w:val="71"/>
        <w:numPr>
          <w:ilvl w:val="0"/>
          <w:numId w:val="140"/>
        </w:numPr>
        <w:rPr>
          <w:rFonts w:hint="eastAsia"/>
        </w:rPr>
      </w:pPr>
      <w:r>
        <w:rPr>
          <w:rFonts w:hint="eastAsia"/>
        </w:rPr>
        <w:t>其他应付款</w:t>
      </w:r>
    </w:p>
    <w:p w14:paraId="1F58CCB4">
      <w:pPr>
        <w:rPr>
          <w:rFonts w:hint="eastAsia"/>
        </w:rPr>
      </w:pPr>
      <w:r>
        <w:rPr>
          <w:rFonts w:hint="eastAsia"/>
        </w:rPr>
        <w:t>按款项性质列示其他应付款</w:t>
      </w:r>
    </w:p>
    <w:sdt>
      <w:sdtPr>
        <w:alias w:val="是否适用：按款项性质列示其他应付款[双击切换]"/>
        <w:tag w:val="_GBC_57fbe084a94a43569e8618c84187e188"/>
        <w:id w:val="812535411"/>
        <w:placeholder>
          <w:docPart w:val="GBC22222222222222222222222222222"/>
        </w:placeholder>
      </w:sdtPr>
      <w:sdtContent>
        <w:p w14:paraId="2CB1CF0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5F73B7">
      <w:pPr>
        <w:jc w:val="right"/>
        <w:rPr>
          <w:rFonts w:hint="eastAsia"/>
          <w:szCs w:val="21"/>
        </w:rPr>
      </w:pPr>
      <w:r>
        <w:rPr>
          <w:rFonts w:hint="eastAsia"/>
          <w:szCs w:val="21"/>
        </w:rPr>
        <w:t>单位：</w:t>
      </w:r>
      <w:sdt>
        <w:sdtPr>
          <w:rPr>
            <w:rFonts w:hint="eastAsia"/>
            <w:szCs w:val="21"/>
          </w:rPr>
          <w:alias w:val="单位：财务附注：其他应付款情况"/>
          <w:tag w:val="_GBC_d726e1428c6749b29d7f0a192835a738"/>
          <w:id w:val="-6643964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6d5ce55cea54bfdb348f465f935498d"/>
          <w:id w:val="6817845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0"/>
        <w:gridCol w:w="2924"/>
        <w:gridCol w:w="3049"/>
      </w:tblGrid>
      <w:tr w14:paraId="631B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93c8bd274adc4f10996e441415613a6a"/>
            <w:id w:val="-1565874471"/>
          </w:sdtPr>
          <w:sdtEndPr>
            <w:rPr>
              <w:rFonts w:ascii="Arial Narrow" w:hAnsi="Arial Narrow" w:eastAsiaTheme="minorEastAsia"/>
              <w:szCs w:val="21"/>
            </w:rPr>
          </w:sdtEndPr>
          <w:sdtContent>
            <w:tc>
              <w:tcPr>
                <w:tcW w:w="1615" w:type="pct"/>
                <w:shd w:val="clear" w:color="auto" w:fill="auto"/>
              </w:tcPr>
              <w:p w14:paraId="34E71437">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a5c3f7ebd9dd4870a971a7b858fb9f49"/>
            <w:id w:val="660045248"/>
          </w:sdtPr>
          <w:sdtEndPr>
            <w:rPr>
              <w:rFonts w:ascii="Arial Narrow" w:hAnsi="Arial Narrow" w:eastAsiaTheme="minorEastAsia"/>
              <w:szCs w:val="21"/>
            </w:rPr>
          </w:sdtEndPr>
          <w:sdtContent>
            <w:tc>
              <w:tcPr>
                <w:tcW w:w="1657" w:type="pct"/>
                <w:shd w:val="clear" w:color="auto" w:fill="auto"/>
              </w:tcPr>
              <w:p w14:paraId="1FFF4891">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f8823e49aba34d32b07cafa41f32e166"/>
            <w:id w:val="-2138644968"/>
          </w:sdtPr>
          <w:sdtEndPr>
            <w:rPr>
              <w:rFonts w:ascii="Arial Narrow" w:hAnsi="Arial Narrow" w:eastAsiaTheme="minorEastAsia"/>
              <w:szCs w:val="21"/>
            </w:rPr>
          </w:sdtEndPr>
          <w:sdtContent>
            <w:tc>
              <w:tcPr>
                <w:tcW w:w="1728" w:type="pct"/>
                <w:shd w:val="clear" w:color="auto" w:fill="auto"/>
              </w:tcPr>
              <w:p w14:paraId="1F8F9A33">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2A2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2C5F9298">
            <w:pPr>
              <w:rPr>
                <w:rFonts w:ascii="Arial Narrow" w:hAnsi="Arial Narrow" w:eastAsiaTheme="minorEastAsia"/>
                <w:szCs w:val="21"/>
              </w:rPr>
            </w:pPr>
            <w:r>
              <w:rPr>
                <w:rFonts w:ascii="Arial Narrow" w:hAnsi="Arial Narrow" w:eastAsiaTheme="minorEastAsia"/>
                <w:color w:val="000000"/>
                <w:szCs w:val="21"/>
              </w:rPr>
              <w:t>往来款</w:t>
            </w:r>
          </w:p>
        </w:tc>
        <w:tc>
          <w:tcPr>
            <w:tcW w:w="1657" w:type="pct"/>
            <w:shd w:val="clear" w:color="auto" w:fill="auto"/>
            <w:vAlign w:val="center"/>
          </w:tcPr>
          <w:p w14:paraId="69878D4F">
            <w:pPr>
              <w:jc w:val="right"/>
              <w:rPr>
                <w:rFonts w:ascii="Arial Narrow" w:hAnsi="Arial Narrow" w:eastAsiaTheme="minorEastAsia"/>
                <w:szCs w:val="21"/>
              </w:rPr>
            </w:pPr>
            <w:r>
              <w:rPr>
                <w:rFonts w:ascii="Arial Narrow" w:hAnsi="Arial Narrow" w:eastAsiaTheme="minorEastAsia"/>
                <w:color w:val="000000"/>
                <w:szCs w:val="21"/>
              </w:rPr>
              <w:t>600,899,289.66</w:t>
            </w:r>
          </w:p>
        </w:tc>
        <w:tc>
          <w:tcPr>
            <w:tcW w:w="1728" w:type="pct"/>
            <w:shd w:val="clear" w:color="auto" w:fill="auto"/>
            <w:vAlign w:val="center"/>
          </w:tcPr>
          <w:p w14:paraId="10450377">
            <w:pPr>
              <w:jc w:val="right"/>
              <w:rPr>
                <w:rFonts w:ascii="Arial Narrow" w:hAnsi="Arial Narrow" w:eastAsiaTheme="minorEastAsia"/>
                <w:szCs w:val="21"/>
              </w:rPr>
            </w:pPr>
            <w:r>
              <w:rPr>
                <w:rFonts w:ascii="Arial Narrow" w:hAnsi="Arial Narrow" w:eastAsiaTheme="minorEastAsia"/>
                <w:color w:val="000000"/>
                <w:szCs w:val="21"/>
              </w:rPr>
              <w:t>467,597,504.75</w:t>
            </w:r>
          </w:p>
        </w:tc>
      </w:tr>
      <w:tr w14:paraId="6C0E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4B007676">
            <w:pPr>
              <w:rPr>
                <w:rFonts w:ascii="Arial Narrow" w:hAnsi="Arial Narrow" w:eastAsiaTheme="minorEastAsia"/>
                <w:szCs w:val="21"/>
              </w:rPr>
            </w:pPr>
            <w:r>
              <w:rPr>
                <w:rFonts w:ascii="Arial Narrow" w:hAnsi="Arial Narrow" w:eastAsiaTheme="minorEastAsia"/>
                <w:color w:val="000000"/>
                <w:szCs w:val="21"/>
              </w:rPr>
              <w:t>保证金</w:t>
            </w:r>
          </w:p>
        </w:tc>
        <w:tc>
          <w:tcPr>
            <w:tcW w:w="1657" w:type="pct"/>
            <w:shd w:val="clear" w:color="auto" w:fill="auto"/>
            <w:vAlign w:val="center"/>
          </w:tcPr>
          <w:p w14:paraId="6BCD752A">
            <w:pPr>
              <w:jc w:val="right"/>
              <w:rPr>
                <w:rFonts w:ascii="Arial Narrow" w:hAnsi="Arial Narrow" w:eastAsiaTheme="minorEastAsia"/>
                <w:szCs w:val="21"/>
              </w:rPr>
            </w:pPr>
            <w:r>
              <w:rPr>
                <w:rFonts w:ascii="Arial Narrow" w:hAnsi="Arial Narrow" w:eastAsiaTheme="minorEastAsia"/>
                <w:color w:val="000000"/>
                <w:szCs w:val="21"/>
              </w:rPr>
              <w:t>99,663,768.94</w:t>
            </w:r>
          </w:p>
        </w:tc>
        <w:tc>
          <w:tcPr>
            <w:tcW w:w="1728" w:type="pct"/>
            <w:shd w:val="clear" w:color="auto" w:fill="auto"/>
            <w:vAlign w:val="center"/>
          </w:tcPr>
          <w:p w14:paraId="4414C677">
            <w:pPr>
              <w:jc w:val="right"/>
              <w:rPr>
                <w:rFonts w:ascii="Arial Narrow" w:hAnsi="Arial Narrow" w:eastAsiaTheme="minorEastAsia"/>
                <w:szCs w:val="21"/>
              </w:rPr>
            </w:pPr>
            <w:r>
              <w:rPr>
                <w:rFonts w:ascii="Arial Narrow" w:hAnsi="Arial Narrow" w:eastAsiaTheme="minorEastAsia"/>
                <w:color w:val="000000"/>
                <w:szCs w:val="21"/>
              </w:rPr>
              <w:t>94,528,139.93</w:t>
            </w:r>
          </w:p>
        </w:tc>
      </w:tr>
      <w:tr w14:paraId="1390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472AB397">
            <w:pPr>
              <w:rPr>
                <w:rFonts w:ascii="Arial Narrow" w:hAnsi="Arial Narrow" w:eastAsiaTheme="minorEastAsia"/>
                <w:szCs w:val="21"/>
              </w:rPr>
            </w:pPr>
            <w:r>
              <w:rPr>
                <w:rFonts w:ascii="Arial Narrow" w:hAnsi="Arial Narrow" w:eastAsiaTheme="minorEastAsia"/>
                <w:color w:val="000000"/>
                <w:szCs w:val="21"/>
              </w:rPr>
              <w:t>暂收款</w:t>
            </w:r>
          </w:p>
        </w:tc>
        <w:tc>
          <w:tcPr>
            <w:tcW w:w="1657" w:type="pct"/>
            <w:shd w:val="clear" w:color="auto" w:fill="auto"/>
            <w:vAlign w:val="center"/>
          </w:tcPr>
          <w:p w14:paraId="4C389314">
            <w:pPr>
              <w:jc w:val="right"/>
              <w:rPr>
                <w:rFonts w:ascii="Arial Narrow" w:hAnsi="Arial Narrow" w:eastAsiaTheme="minorEastAsia"/>
                <w:szCs w:val="21"/>
              </w:rPr>
            </w:pPr>
            <w:r>
              <w:rPr>
                <w:rFonts w:ascii="Arial Narrow" w:hAnsi="Arial Narrow" w:eastAsiaTheme="minorEastAsia"/>
                <w:color w:val="000000"/>
                <w:szCs w:val="21"/>
              </w:rPr>
              <w:t>33,373,800.81</w:t>
            </w:r>
          </w:p>
        </w:tc>
        <w:tc>
          <w:tcPr>
            <w:tcW w:w="1728" w:type="pct"/>
            <w:shd w:val="clear" w:color="auto" w:fill="auto"/>
            <w:vAlign w:val="center"/>
          </w:tcPr>
          <w:p w14:paraId="316F3D55">
            <w:pPr>
              <w:jc w:val="right"/>
              <w:rPr>
                <w:rFonts w:ascii="Arial Narrow" w:hAnsi="Arial Narrow" w:eastAsiaTheme="minorEastAsia"/>
                <w:szCs w:val="21"/>
              </w:rPr>
            </w:pPr>
            <w:r>
              <w:rPr>
                <w:rFonts w:ascii="Arial Narrow" w:hAnsi="Arial Narrow" w:eastAsiaTheme="minorEastAsia"/>
                <w:color w:val="000000"/>
                <w:szCs w:val="21"/>
              </w:rPr>
              <w:t>56,072,068.46</w:t>
            </w:r>
          </w:p>
        </w:tc>
      </w:tr>
      <w:tr w14:paraId="14F4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6B046CE6">
            <w:pPr>
              <w:rPr>
                <w:rFonts w:ascii="Arial Narrow" w:hAnsi="Arial Narrow" w:eastAsiaTheme="minorEastAsia"/>
                <w:szCs w:val="21"/>
              </w:rPr>
            </w:pPr>
            <w:r>
              <w:rPr>
                <w:rFonts w:ascii="Arial Narrow" w:hAnsi="Arial Narrow" w:eastAsiaTheme="minorEastAsia"/>
                <w:color w:val="000000"/>
                <w:szCs w:val="21"/>
              </w:rPr>
              <w:t>应付职工款</w:t>
            </w:r>
          </w:p>
        </w:tc>
        <w:tc>
          <w:tcPr>
            <w:tcW w:w="1657" w:type="pct"/>
            <w:shd w:val="clear" w:color="auto" w:fill="auto"/>
            <w:vAlign w:val="center"/>
          </w:tcPr>
          <w:p w14:paraId="23D2920B">
            <w:pPr>
              <w:jc w:val="right"/>
              <w:rPr>
                <w:rFonts w:ascii="Arial Narrow" w:hAnsi="Arial Narrow" w:eastAsiaTheme="minorEastAsia"/>
                <w:szCs w:val="21"/>
              </w:rPr>
            </w:pPr>
            <w:r>
              <w:rPr>
                <w:rFonts w:ascii="Arial Narrow" w:hAnsi="Arial Narrow" w:eastAsiaTheme="minorEastAsia"/>
                <w:color w:val="000000"/>
                <w:szCs w:val="21"/>
              </w:rPr>
              <w:t>69,161,423.55</w:t>
            </w:r>
          </w:p>
        </w:tc>
        <w:tc>
          <w:tcPr>
            <w:tcW w:w="1728" w:type="pct"/>
            <w:shd w:val="clear" w:color="auto" w:fill="auto"/>
            <w:vAlign w:val="center"/>
          </w:tcPr>
          <w:p w14:paraId="6039656B">
            <w:pPr>
              <w:jc w:val="right"/>
              <w:rPr>
                <w:rFonts w:ascii="Arial Narrow" w:hAnsi="Arial Narrow" w:eastAsiaTheme="minorEastAsia"/>
                <w:szCs w:val="21"/>
              </w:rPr>
            </w:pPr>
            <w:r>
              <w:rPr>
                <w:rFonts w:ascii="Arial Narrow" w:hAnsi="Arial Narrow" w:eastAsiaTheme="minorEastAsia"/>
                <w:color w:val="000000"/>
                <w:szCs w:val="21"/>
              </w:rPr>
              <w:t>61,075,839.95</w:t>
            </w:r>
          </w:p>
        </w:tc>
      </w:tr>
      <w:tr w14:paraId="42DA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477A666C">
            <w:pPr>
              <w:rPr>
                <w:rFonts w:ascii="Arial Narrow" w:hAnsi="Arial Narrow" w:eastAsiaTheme="minorEastAsia"/>
                <w:szCs w:val="21"/>
              </w:rPr>
            </w:pPr>
            <w:r>
              <w:rPr>
                <w:rFonts w:ascii="Arial Narrow" w:hAnsi="Arial Narrow" w:eastAsiaTheme="minorEastAsia"/>
                <w:color w:val="000000"/>
                <w:szCs w:val="21"/>
              </w:rPr>
              <w:t>房屋维修基金</w:t>
            </w:r>
          </w:p>
        </w:tc>
        <w:tc>
          <w:tcPr>
            <w:tcW w:w="1657" w:type="pct"/>
            <w:shd w:val="clear" w:color="auto" w:fill="auto"/>
            <w:vAlign w:val="center"/>
          </w:tcPr>
          <w:p w14:paraId="3DB81128">
            <w:pPr>
              <w:jc w:val="right"/>
              <w:rPr>
                <w:rFonts w:ascii="Arial Narrow" w:hAnsi="Arial Narrow" w:eastAsiaTheme="minorEastAsia"/>
                <w:szCs w:val="21"/>
              </w:rPr>
            </w:pPr>
            <w:r>
              <w:rPr>
                <w:rFonts w:ascii="Arial Narrow" w:hAnsi="Arial Narrow" w:eastAsiaTheme="minorEastAsia"/>
                <w:color w:val="000000"/>
                <w:szCs w:val="21"/>
              </w:rPr>
              <w:t>24,983,141.57</w:t>
            </w:r>
          </w:p>
        </w:tc>
        <w:tc>
          <w:tcPr>
            <w:tcW w:w="1728" w:type="pct"/>
            <w:shd w:val="clear" w:color="auto" w:fill="auto"/>
            <w:vAlign w:val="center"/>
          </w:tcPr>
          <w:p w14:paraId="5976EFCA">
            <w:pPr>
              <w:jc w:val="right"/>
              <w:rPr>
                <w:rFonts w:ascii="Arial Narrow" w:hAnsi="Arial Narrow" w:eastAsiaTheme="minorEastAsia"/>
                <w:szCs w:val="21"/>
              </w:rPr>
            </w:pPr>
            <w:r>
              <w:rPr>
                <w:rFonts w:ascii="Arial Narrow" w:hAnsi="Arial Narrow" w:eastAsiaTheme="minorEastAsia"/>
                <w:color w:val="000000"/>
                <w:szCs w:val="21"/>
              </w:rPr>
              <w:t>24,931,176.27</w:t>
            </w:r>
          </w:p>
        </w:tc>
      </w:tr>
      <w:tr w14:paraId="39FE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48C34867">
            <w:pPr>
              <w:rPr>
                <w:rFonts w:ascii="Arial Narrow" w:hAnsi="Arial Narrow" w:eastAsiaTheme="minorEastAsia"/>
                <w:szCs w:val="21"/>
              </w:rPr>
            </w:pPr>
            <w:r>
              <w:rPr>
                <w:rFonts w:ascii="Arial Narrow" w:hAnsi="Arial Narrow" w:eastAsiaTheme="minorEastAsia"/>
                <w:color w:val="000000"/>
                <w:szCs w:val="21"/>
              </w:rPr>
              <w:t>代扣社保</w:t>
            </w:r>
          </w:p>
        </w:tc>
        <w:tc>
          <w:tcPr>
            <w:tcW w:w="1657" w:type="pct"/>
            <w:shd w:val="clear" w:color="auto" w:fill="auto"/>
            <w:vAlign w:val="center"/>
          </w:tcPr>
          <w:p w14:paraId="06BD6340">
            <w:pPr>
              <w:jc w:val="right"/>
              <w:rPr>
                <w:rFonts w:ascii="Arial Narrow" w:hAnsi="Arial Narrow" w:eastAsiaTheme="minorEastAsia"/>
                <w:szCs w:val="21"/>
              </w:rPr>
            </w:pPr>
            <w:r>
              <w:rPr>
                <w:rFonts w:ascii="Arial Narrow" w:hAnsi="Arial Narrow" w:eastAsiaTheme="minorEastAsia"/>
                <w:color w:val="000000"/>
                <w:szCs w:val="21"/>
              </w:rPr>
              <w:t>11,573,539.82</w:t>
            </w:r>
          </w:p>
        </w:tc>
        <w:tc>
          <w:tcPr>
            <w:tcW w:w="1728" w:type="pct"/>
            <w:shd w:val="clear" w:color="auto" w:fill="auto"/>
            <w:vAlign w:val="center"/>
          </w:tcPr>
          <w:p w14:paraId="2A953AD5">
            <w:pPr>
              <w:jc w:val="right"/>
              <w:rPr>
                <w:rFonts w:ascii="Arial Narrow" w:hAnsi="Arial Narrow" w:eastAsiaTheme="minorEastAsia"/>
                <w:szCs w:val="21"/>
              </w:rPr>
            </w:pPr>
            <w:r>
              <w:rPr>
                <w:rFonts w:ascii="Arial Narrow" w:hAnsi="Arial Narrow" w:eastAsiaTheme="minorEastAsia"/>
                <w:color w:val="000000"/>
                <w:szCs w:val="21"/>
              </w:rPr>
              <w:t>8,267,869.66</w:t>
            </w:r>
          </w:p>
        </w:tc>
      </w:tr>
      <w:tr w14:paraId="7F30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74989D79">
            <w:pPr>
              <w:rPr>
                <w:rFonts w:ascii="Arial Narrow" w:hAnsi="Arial Narrow" w:eastAsiaTheme="minorEastAsia"/>
                <w:szCs w:val="21"/>
              </w:rPr>
            </w:pPr>
            <w:r>
              <w:rPr>
                <w:rFonts w:ascii="Arial Narrow" w:hAnsi="Arial Narrow" w:eastAsiaTheme="minorEastAsia"/>
                <w:color w:val="000000"/>
                <w:szCs w:val="21"/>
              </w:rPr>
              <w:t>押金</w:t>
            </w:r>
          </w:p>
        </w:tc>
        <w:tc>
          <w:tcPr>
            <w:tcW w:w="1657" w:type="pct"/>
            <w:shd w:val="clear" w:color="auto" w:fill="auto"/>
            <w:vAlign w:val="center"/>
          </w:tcPr>
          <w:p w14:paraId="1DDE22D8">
            <w:pPr>
              <w:jc w:val="right"/>
              <w:rPr>
                <w:rFonts w:ascii="Arial Narrow" w:hAnsi="Arial Narrow" w:eastAsiaTheme="minorEastAsia"/>
                <w:szCs w:val="21"/>
              </w:rPr>
            </w:pPr>
            <w:r>
              <w:rPr>
                <w:rFonts w:ascii="Arial Narrow" w:hAnsi="Arial Narrow" w:eastAsiaTheme="minorEastAsia"/>
                <w:color w:val="000000"/>
                <w:szCs w:val="21"/>
              </w:rPr>
              <w:t>8,838,480.34</w:t>
            </w:r>
          </w:p>
        </w:tc>
        <w:tc>
          <w:tcPr>
            <w:tcW w:w="1728" w:type="pct"/>
            <w:shd w:val="clear" w:color="auto" w:fill="auto"/>
            <w:vAlign w:val="center"/>
          </w:tcPr>
          <w:p w14:paraId="6DEB83EB">
            <w:pPr>
              <w:jc w:val="right"/>
              <w:rPr>
                <w:rFonts w:ascii="Arial Narrow" w:hAnsi="Arial Narrow" w:eastAsiaTheme="minorEastAsia"/>
                <w:szCs w:val="21"/>
              </w:rPr>
            </w:pPr>
            <w:r>
              <w:rPr>
                <w:rFonts w:ascii="Arial Narrow" w:hAnsi="Arial Narrow" w:eastAsiaTheme="minorEastAsia"/>
                <w:color w:val="000000"/>
                <w:szCs w:val="21"/>
              </w:rPr>
              <w:t>10,387,048.79</w:t>
            </w:r>
          </w:p>
        </w:tc>
      </w:tr>
      <w:tr w14:paraId="4E7A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5CBE9EA7">
            <w:pPr>
              <w:rPr>
                <w:rFonts w:ascii="Arial Narrow" w:hAnsi="Arial Narrow" w:eastAsiaTheme="minorEastAsia"/>
                <w:szCs w:val="21"/>
              </w:rPr>
            </w:pPr>
            <w:r>
              <w:rPr>
                <w:rFonts w:ascii="Arial Narrow" w:hAnsi="Arial Narrow" w:eastAsiaTheme="minorEastAsia"/>
                <w:color w:val="000000"/>
                <w:szCs w:val="21"/>
              </w:rPr>
              <w:t>代扣公积金</w:t>
            </w:r>
          </w:p>
        </w:tc>
        <w:tc>
          <w:tcPr>
            <w:tcW w:w="1657" w:type="pct"/>
            <w:shd w:val="clear" w:color="auto" w:fill="auto"/>
            <w:vAlign w:val="center"/>
          </w:tcPr>
          <w:p w14:paraId="17D94F80">
            <w:pPr>
              <w:jc w:val="right"/>
              <w:rPr>
                <w:rFonts w:ascii="Arial Narrow" w:hAnsi="Arial Narrow" w:eastAsiaTheme="minorEastAsia"/>
                <w:szCs w:val="21"/>
              </w:rPr>
            </w:pPr>
            <w:r>
              <w:rPr>
                <w:rFonts w:ascii="Arial Narrow" w:hAnsi="Arial Narrow" w:eastAsiaTheme="minorEastAsia"/>
                <w:color w:val="000000"/>
                <w:szCs w:val="21"/>
              </w:rPr>
              <w:t>1,949,292.76</w:t>
            </w:r>
          </w:p>
        </w:tc>
        <w:tc>
          <w:tcPr>
            <w:tcW w:w="1728" w:type="pct"/>
            <w:shd w:val="clear" w:color="auto" w:fill="auto"/>
            <w:vAlign w:val="center"/>
          </w:tcPr>
          <w:p w14:paraId="06CBAB62">
            <w:pPr>
              <w:jc w:val="right"/>
              <w:rPr>
                <w:rFonts w:ascii="Arial Narrow" w:hAnsi="Arial Narrow" w:eastAsiaTheme="minorEastAsia"/>
                <w:szCs w:val="21"/>
              </w:rPr>
            </w:pPr>
            <w:r>
              <w:rPr>
                <w:rFonts w:ascii="Arial Narrow" w:hAnsi="Arial Narrow" w:eastAsiaTheme="minorEastAsia"/>
                <w:color w:val="000000"/>
                <w:szCs w:val="21"/>
              </w:rPr>
              <w:t>1,178,599.68</w:t>
            </w:r>
          </w:p>
        </w:tc>
      </w:tr>
      <w:tr w14:paraId="039A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0C55D70C">
            <w:pPr>
              <w:rPr>
                <w:rFonts w:ascii="Arial Narrow" w:hAnsi="Arial Narrow" w:eastAsiaTheme="minorEastAsia"/>
                <w:szCs w:val="21"/>
              </w:rPr>
            </w:pPr>
            <w:r>
              <w:rPr>
                <w:rFonts w:ascii="Arial Narrow" w:hAnsi="Arial Narrow" w:eastAsiaTheme="minorEastAsia"/>
                <w:color w:val="000000"/>
                <w:szCs w:val="21"/>
              </w:rPr>
              <w:t>维修费</w:t>
            </w:r>
          </w:p>
        </w:tc>
        <w:tc>
          <w:tcPr>
            <w:tcW w:w="1657" w:type="pct"/>
            <w:shd w:val="clear" w:color="auto" w:fill="auto"/>
            <w:vAlign w:val="center"/>
          </w:tcPr>
          <w:p w14:paraId="54278CDC">
            <w:pPr>
              <w:jc w:val="right"/>
              <w:rPr>
                <w:rFonts w:ascii="Arial Narrow" w:hAnsi="Arial Narrow" w:eastAsiaTheme="minorEastAsia"/>
                <w:szCs w:val="21"/>
              </w:rPr>
            </w:pPr>
            <w:r>
              <w:rPr>
                <w:rFonts w:ascii="Arial Narrow" w:hAnsi="Arial Narrow" w:eastAsiaTheme="minorEastAsia"/>
                <w:color w:val="000000"/>
                <w:szCs w:val="21"/>
              </w:rPr>
              <w:t>933,242.79</w:t>
            </w:r>
          </w:p>
        </w:tc>
        <w:tc>
          <w:tcPr>
            <w:tcW w:w="1728" w:type="pct"/>
            <w:shd w:val="clear" w:color="auto" w:fill="auto"/>
            <w:vAlign w:val="center"/>
          </w:tcPr>
          <w:p w14:paraId="0C53BD89">
            <w:pPr>
              <w:jc w:val="right"/>
              <w:rPr>
                <w:rFonts w:ascii="Arial Narrow" w:hAnsi="Arial Narrow" w:eastAsiaTheme="minorEastAsia"/>
                <w:szCs w:val="21"/>
              </w:rPr>
            </w:pPr>
            <w:r>
              <w:rPr>
                <w:rFonts w:ascii="Arial Narrow" w:hAnsi="Arial Narrow" w:eastAsiaTheme="minorEastAsia"/>
                <w:color w:val="000000"/>
                <w:szCs w:val="21"/>
              </w:rPr>
              <w:t>5,953,957.80</w:t>
            </w:r>
          </w:p>
        </w:tc>
      </w:tr>
      <w:tr w14:paraId="089A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1C52DB11">
            <w:pPr>
              <w:rPr>
                <w:rFonts w:ascii="Arial Narrow" w:hAnsi="Arial Narrow" w:eastAsiaTheme="minorEastAsia"/>
                <w:szCs w:val="21"/>
              </w:rPr>
            </w:pPr>
            <w:r>
              <w:rPr>
                <w:rFonts w:ascii="Arial Narrow" w:hAnsi="Arial Narrow" w:eastAsiaTheme="minorEastAsia"/>
                <w:color w:val="000000"/>
                <w:szCs w:val="21"/>
              </w:rPr>
              <w:t>其他</w:t>
            </w:r>
          </w:p>
        </w:tc>
        <w:tc>
          <w:tcPr>
            <w:tcW w:w="1657" w:type="pct"/>
            <w:shd w:val="clear" w:color="auto" w:fill="auto"/>
            <w:vAlign w:val="center"/>
          </w:tcPr>
          <w:p w14:paraId="31AACA28">
            <w:pPr>
              <w:jc w:val="right"/>
              <w:rPr>
                <w:rFonts w:ascii="Arial Narrow" w:hAnsi="Arial Narrow" w:eastAsiaTheme="minorEastAsia"/>
                <w:szCs w:val="21"/>
              </w:rPr>
            </w:pPr>
            <w:r>
              <w:rPr>
                <w:rFonts w:ascii="Arial Narrow" w:hAnsi="Arial Narrow" w:eastAsiaTheme="minorEastAsia"/>
                <w:color w:val="000000"/>
                <w:szCs w:val="21"/>
              </w:rPr>
              <w:t>107,005,429.00</w:t>
            </w:r>
          </w:p>
        </w:tc>
        <w:tc>
          <w:tcPr>
            <w:tcW w:w="1728" w:type="pct"/>
            <w:shd w:val="clear" w:color="auto" w:fill="auto"/>
            <w:vAlign w:val="center"/>
          </w:tcPr>
          <w:p w14:paraId="001A361B">
            <w:pPr>
              <w:jc w:val="right"/>
              <w:rPr>
                <w:rFonts w:ascii="Arial Narrow" w:hAnsi="Arial Narrow" w:eastAsiaTheme="minorEastAsia"/>
                <w:szCs w:val="21"/>
              </w:rPr>
            </w:pPr>
            <w:r>
              <w:rPr>
                <w:rFonts w:ascii="Arial Narrow" w:hAnsi="Arial Narrow" w:eastAsiaTheme="minorEastAsia"/>
                <w:color w:val="000000"/>
                <w:szCs w:val="21"/>
              </w:rPr>
              <w:t>100,221,069.98</w:t>
            </w:r>
          </w:p>
        </w:tc>
      </w:tr>
      <w:tr w14:paraId="0353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shd w:val="clear" w:color="auto" w:fill="auto"/>
          </w:tcPr>
          <w:p w14:paraId="43988018">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657" w:type="pct"/>
            <w:shd w:val="clear" w:color="auto" w:fill="auto"/>
            <w:vAlign w:val="center"/>
          </w:tcPr>
          <w:p w14:paraId="4C770344">
            <w:pPr>
              <w:jc w:val="right"/>
              <w:rPr>
                <w:rFonts w:ascii="Arial Narrow" w:hAnsi="Arial Narrow" w:eastAsiaTheme="minorEastAsia"/>
                <w:szCs w:val="21"/>
              </w:rPr>
            </w:pPr>
            <w:r>
              <w:rPr>
                <w:rFonts w:ascii="Arial Narrow" w:hAnsi="Arial Narrow" w:eastAsiaTheme="minorEastAsia"/>
                <w:color w:val="000000"/>
                <w:szCs w:val="21"/>
              </w:rPr>
              <w:t>958,381,409.24</w:t>
            </w:r>
          </w:p>
        </w:tc>
        <w:tc>
          <w:tcPr>
            <w:tcW w:w="1728" w:type="pct"/>
            <w:shd w:val="clear" w:color="auto" w:fill="auto"/>
            <w:vAlign w:val="center"/>
          </w:tcPr>
          <w:p w14:paraId="0CC52CC9">
            <w:pPr>
              <w:jc w:val="right"/>
              <w:rPr>
                <w:rFonts w:ascii="Arial Narrow" w:hAnsi="Arial Narrow" w:eastAsiaTheme="minorEastAsia"/>
                <w:szCs w:val="21"/>
              </w:rPr>
            </w:pPr>
            <w:r>
              <w:rPr>
                <w:rFonts w:ascii="Arial Narrow" w:hAnsi="Arial Narrow" w:eastAsiaTheme="minorEastAsia"/>
                <w:color w:val="000000"/>
                <w:szCs w:val="21"/>
              </w:rPr>
              <w:t>830,213,275.27</w:t>
            </w:r>
          </w:p>
        </w:tc>
      </w:tr>
    </w:tbl>
    <w:p w14:paraId="41568D9C">
      <w:pPr>
        <w:rPr>
          <w:rFonts w:hint="eastAsia"/>
          <w:szCs w:val="21"/>
        </w:rPr>
      </w:pPr>
    </w:p>
    <w:p w14:paraId="308379BC">
      <w:pPr>
        <w:rPr>
          <w:rFonts w:hint="eastAsia"/>
        </w:rPr>
      </w:pPr>
      <w:r>
        <w:rPr>
          <w:rFonts w:hint="eastAsia"/>
        </w:rPr>
        <w:t>账龄超过</w:t>
      </w:r>
      <w:r>
        <w:t>1年</w:t>
      </w:r>
      <w:r>
        <w:rPr>
          <w:rFonts w:hint="eastAsia"/>
        </w:rPr>
        <w:t>或逾期</w:t>
      </w:r>
      <w:r>
        <w:t>的重要其他应付款</w:t>
      </w:r>
    </w:p>
    <w:p w14:paraId="3EE1E688">
      <w:pPr>
        <w:rPr>
          <w:rFonts w:hint="eastAsia"/>
        </w:rPr>
      </w:pPr>
      <w:sdt>
        <w:sdtPr>
          <w:alias w:val="是否适用：账龄超过1年的重要其他应付款[双击切换]"/>
          <w:tag w:val="_GBC_fcaee62c74504c20ba2aca131c060029"/>
          <w:id w:val="-1430201909"/>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7B55C2F3">
      <w:pPr>
        <w:jc w:val="right"/>
        <w:rPr>
          <w:rFonts w:hint="eastAsia"/>
        </w:rPr>
      </w:pPr>
      <w:r>
        <w:rPr>
          <w:rFonts w:hint="eastAsia"/>
        </w:rPr>
        <w:t>单位：</w:t>
      </w:r>
      <w:sdt>
        <w:sdtPr>
          <w:rPr>
            <w:rFonts w:hint="eastAsia"/>
          </w:rPr>
          <w:alias w:val="单位：财务附注：账龄超过1年的重要其他应付款"/>
          <w:tag w:val="_GBC_e21231b7e5484676830a99cc2a6d76a0"/>
          <w:id w:val="-14143847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5e3f99162ac34319b05e54b554619653"/>
          <w:id w:val="9482088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6"/>
        <w:gridCol w:w="2952"/>
        <w:gridCol w:w="3035"/>
      </w:tblGrid>
      <w:tr w14:paraId="347C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sdt>
          <w:sdtPr>
            <w:rPr>
              <w:rFonts w:ascii="Arial Narrow" w:hAnsi="Arial Narrow" w:eastAsiaTheme="minorEastAsia"/>
              <w:szCs w:val="21"/>
            </w:rPr>
            <w:tag w:val="_PLD_14d2af0850664c16b8395770ef822d33"/>
            <w:id w:val="-1615282732"/>
          </w:sdtPr>
          <w:sdtEndPr>
            <w:rPr>
              <w:rFonts w:ascii="Arial Narrow" w:hAnsi="Arial Narrow" w:eastAsiaTheme="minorEastAsia"/>
              <w:szCs w:val="21"/>
            </w:rPr>
          </w:sdtEndPr>
          <w:sdtContent>
            <w:tc>
              <w:tcPr>
                <w:tcW w:w="1607" w:type="pct"/>
                <w:shd w:val="clear" w:color="auto" w:fill="auto"/>
                <w:vAlign w:val="center"/>
              </w:tcPr>
              <w:p w14:paraId="2424D26D">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c469b5a44aaf475d9fd5270a942f9c4a"/>
            <w:id w:val="-493645995"/>
          </w:sdtPr>
          <w:sdtEndPr>
            <w:rPr>
              <w:rFonts w:ascii="Arial Narrow" w:hAnsi="Arial Narrow" w:eastAsiaTheme="minorEastAsia"/>
              <w:szCs w:val="21"/>
            </w:rPr>
          </w:sdtEndPr>
          <w:sdtContent>
            <w:tc>
              <w:tcPr>
                <w:tcW w:w="1673" w:type="pct"/>
                <w:shd w:val="clear" w:color="auto" w:fill="auto"/>
                <w:vAlign w:val="center"/>
              </w:tcPr>
              <w:p w14:paraId="33A953AD">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94367c3bf4fa488b95d154694ccf77ca"/>
            <w:id w:val="222965145"/>
          </w:sdtPr>
          <w:sdtEndPr>
            <w:rPr>
              <w:rFonts w:ascii="Arial Narrow" w:hAnsi="Arial Narrow" w:eastAsiaTheme="minorEastAsia"/>
              <w:szCs w:val="21"/>
            </w:rPr>
          </w:sdtEndPr>
          <w:sdtContent>
            <w:tc>
              <w:tcPr>
                <w:tcW w:w="1720" w:type="pct"/>
                <w:shd w:val="clear" w:color="auto" w:fill="auto"/>
                <w:vAlign w:val="center"/>
              </w:tcPr>
              <w:p w14:paraId="01FBD08B">
                <w:pPr>
                  <w:jc w:val="center"/>
                  <w:rPr>
                    <w:rFonts w:ascii="Arial Narrow" w:hAnsi="Arial Narrow" w:eastAsiaTheme="minorEastAsia"/>
                    <w:szCs w:val="21"/>
                  </w:rPr>
                </w:pPr>
                <w:r>
                  <w:rPr>
                    <w:rFonts w:ascii="Arial Narrow" w:hAnsi="Arial Narrow" w:eastAsiaTheme="minorEastAsia"/>
                    <w:szCs w:val="21"/>
                  </w:rPr>
                  <w:t>未偿还或结转的原因</w:t>
                </w:r>
              </w:p>
            </w:tc>
          </w:sdtContent>
        </w:sdt>
      </w:tr>
      <w:tr w14:paraId="24E4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shd w:val="clear" w:color="auto" w:fill="auto"/>
            <w:vAlign w:val="center"/>
          </w:tcPr>
          <w:p w14:paraId="449FF49A">
            <w:pPr>
              <w:rPr>
                <w:rFonts w:ascii="Arial Narrow" w:hAnsi="Arial Narrow" w:eastAsiaTheme="minorEastAsia"/>
                <w:color w:val="000000"/>
                <w:szCs w:val="21"/>
              </w:rPr>
            </w:pPr>
            <w:r>
              <w:rPr>
                <w:rFonts w:ascii="Arial Narrow" w:hAnsi="Arial Narrow" w:eastAsiaTheme="minorEastAsia"/>
                <w:color w:val="000000"/>
                <w:szCs w:val="21"/>
              </w:rPr>
              <w:t>往来款</w:t>
            </w:r>
          </w:p>
        </w:tc>
        <w:tc>
          <w:tcPr>
            <w:tcW w:w="1673" w:type="pct"/>
            <w:shd w:val="clear" w:color="auto" w:fill="auto"/>
            <w:vAlign w:val="center"/>
          </w:tcPr>
          <w:p w14:paraId="47777E9A">
            <w:pPr>
              <w:jc w:val="right"/>
              <w:rPr>
                <w:rFonts w:ascii="Arial Narrow" w:hAnsi="Arial Narrow" w:eastAsiaTheme="minorEastAsia"/>
                <w:color w:val="000000"/>
                <w:szCs w:val="21"/>
              </w:rPr>
            </w:pPr>
            <w:r>
              <w:rPr>
                <w:rFonts w:ascii="Arial Narrow" w:hAnsi="Arial Narrow" w:eastAsiaTheme="minorEastAsia"/>
                <w:szCs w:val="21"/>
              </w:rPr>
              <w:t xml:space="preserve"> 131,379,443.82 </w:t>
            </w:r>
          </w:p>
        </w:tc>
        <w:tc>
          <w:tcPr>
            <w:tcW w:w="1720" w:type="pct"/>
            <w:shd w:val="clear" w:color="auto" w:fill="auto"/>
            <w:vAlign w:val="center"/>
          </w:tcPr>
          <w:p w14:paraId="4E40BECC">
            <w:pPr>
              <w:jc w:val="both"/>
              <w:rPr>
                <w:rFonts w:ascii="Arial Narrow" w:hAnsi="Arial Narrow" w:eastAsiaTheme="minorEastAsia"/>
                <w:color w:val="000000"/>
                <w:szCs w:val="21"/>
              </w:rPr>
            </w:pPr>
            <w:r>
              <w:rPr>
                <w:rFonts w:ascii="Arial Narrow" w:hAnsi="Arial Narrow" w:eastAsiaTheme="minorEastAsia"/>
                <w:color w:val="000000"/>
                <w:szCs w:val="21"/>
              </w:rPr>
              <w:t>业务尚未结束</w:t>
            </w:r>
          </w:p>
        </w:tc>
      </w:tr>
      <w:tr w14:paraId="4422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shd w:val="clear" w:color="auto" w:fill="auto"/>
            <w:vAlign w:val="center"/>
          </w:tcPr>
          <w:p w14:paraId="56A9D2BE">
            <w:pPr>
              <w:rPr>
                <w:rFonts w:ascii="Arial Narrow" w:hAnsi="Arial Narrow" w:eastAsiaTheme="minorEastAsia"/>
                <w:szCs w:val="21"/>
              </w:rPr>
            </w:pPr>
            <w:r>
              <w:rPr>
                <w:rFonts w:ascii="Arial Narrow" w:hAnsi="Arial Narrow" w:eastAsiaTheme="minorEastAsia"/>
                <w:color w:val="000000"/>
                <w:szCs w:val="21"/>
              </w:rPr>
              <w:t>房屋维修基金</w:t>
            </w:r>
          </w:p>
        </w:tc>
        <w:tc>
          <w:tcPr>
            <w:tcW w:w="1673" w:type="pct"/>
            <w:shd w:val="clear" w:color="auto" w:fill="auto"/>
            <w:vAlign w:val="center"/>
          </w:tcPr>
          <w:p w14:paraId="4C06B30A">
            <w:pPr>
              <w:jc w:val="right"/>
              <w:rPr>
                <w:rFonts w:ascii="Arial Narrow" w:hAnsi="Arial Narrow" w:eastAsiaTheme="minorEastAsia"/>
                <w:szCs w:val="21"/>
              </w:rPr>
            </w:pPr>
            <w:r>
              <w:rPr>
                <w:rFonts w:ascii="Arial Narrow" w:hAnsi="Arial Narrow" w:eastAsiaTheme="minorEastAsia"/>
                <w:szCs w:val="21"/>
              </w:rPr>
              <w:t xml:space="preserve"> 24,983,141.57 </w:t>
            </w:r>
          </w:p>
        </w:tc>
        <w:tc>
          <w:tcPr>
            <w:tcW w:w="1720" w:type="pct"/>
            <w:shd w:val="clear" w:color="auto" w:fill="auto"/>
            <w:vAlign w:val="center"/>
          </w:tcPr>
          <w:p w14:paraId="380F75AD">
            <w:pPr>
              <w:jc w:val="both"/>
              <w:rPr>
                <w:rFonts w:ascii="Arial Narrow" w:hAnsi="Arial Narrow" w:eastAsiaTheme="minorEastAsia"/>
                <w:szCs w:val="21"/>
              </w:rPr>
            </w:pPr>
            <w:r>
              <w:rPr>
                <w:rFonts w:ascii="Arial Narrow" w:hAnsi="Arial Narrow" w:eastAsiaTheme="minorEastAsia"/>
                <w:color w:val="000000"/>
                <w:szCs w:val="21"/>
              </w:rPr>
              <w:t>尚未使用</w:t>
            </w:r>
          </w:p>
        </w:tc>
      </w:tr>
      <w:tr w14:paraId="69BA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shd w:val="clear" w:color="auto" w:fill="auto"/>
            <w:vAlign w:val="center"/>
          </w:tcPr>
          <w:p w14:paraId="577BD327">
            <w:pPr>
              <w:rPr>
                <w:rFonts w:ascii="Arial Narrow" w:hAnsi="Arial Narrow" w:eastAsiaTheme="minorEastAsia"/>
                <w:szCs w:val="21"/>
              </w:rPr>
            </w:pPr>
            <w:r>
              <w:rPr>
                <w:rFonts w:ascii="Arial Narrow" w:hAnsi="Arial Narrow" w:eastAsiaTheme="minorEastAsia"/>
                <w:color w:val="000000"/>
                <w:szCs w:val="21"/>
              </w:rPr>
              <w:t>保证金</w:t>
            </w:r>
          </w:p>
        </w:tc>
        <w:tc>
          <w:tcPr>
            <w:tcW w:w="1673" w:type="pct"/>
            <w:shd w:val="clear" w:color="auto" w:fill="auto"/>
            <w:vAlign w:val="center"/>
          </w:tcPr>
          <w:p w14:paraId="446074CE">
            <w:pPr>
              <w:jc w:val="right"/>
              <w:rPr>
                <w:rFonts w:ascii="Arial Narrow" w:hAnsi="Arial Narrow" w:eastAsiaTheme="minorEastAsia"/>
                <w:szCs w:val="21"/>
              </w:rPr>
            </w:pPr>
            <w:r>
              <w:rPr>
                <w:rFonts w:ascii="Arial Narrow" w:hAnsi="Arial Narrow" w:eastAsiaTheme="minorEastAsia"/>
                <w:szCs w:val="21"/>
              </w:rPr>
              <w:t xml:space="preserve"> 3,050,000.00 </w:t>
            </w:r>
          </w:p>
        </w:tc>
        <w:tc>
          <w:tcPr>
            <w:tcW w:w="1720" w:type="pct"/>
            <w:shd w:val="clear" w:color="auto" w:fill="auto"/>
            <w:vAlign w:val="center"/>
          </w:tcPr>
          <w:p w14:paraId="436DE36B">
            <w:pPr>
              <w:jc w:val="both"/>
              <w:rPr>
                <w:rFonts w:ascii="Arial Narrow" w:hAnsi="Arial Narrow" w:eastAsiaTheme="minorEastAsia"/>
                <w:szCs w:val="21"/>
              </w:rPr>
            </w:pPr>
            <w:r>
              <w:rPr>
                <w:rFonts w:ascii="Arial Narrow" w:hAnsi="Arial Narrow" w:eastAsiaTheme="minorEastAsia"/>
                <w:color w:val="000000"/>
                <w:szCs w:val="21"/>
              </w:rPr>
              <w:t>未达到结算条件</w:t>
            </w:r>
          </w:p>
        </w:tc>
      </w:tr>
      <w:tr w14:paraId="342B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shd w:val="clear" w:color="auto" w:fill="auto"/>
            <w:vAlign w:val="center"/>
          </w:tcPr>
          <w:p w14:paraId="32DBF807">
            <w:pPr>
              <w:jc w:val="center"/>
              <w:rPr>
                <w:rFonts w:ascii="Arial Narrow" w:hAnsi="Arial Narrow" w:eastAsiaTheme="minorEastAsia"/>
                <w:szCs w:val="21"/>
              </w:rPr>
            </w:pPr>
            <w:r>
              <w:rPr>
                <w:rFonts w:ascii="Arial Narrow" w:hAnsi="Arial Narrow" w:eastAsiaTheme="minorEastAsia"/>
                <w:szCs w:val="21"/>
              </w:rPr>
              <w:t>合计</w:t>
            </w:r>
          </w:p>
        </w:tc>
        <w:tc>
          <w:tcPr>
            <w:tcW w:w="1673" w:type="pct"/>
            <w:shd w:val="clear" w:color="auto" w:fill="auto"/>
            <w:vAlign w:val="center"/>
          </w:tcPr>
          <w:p w14:paraId="3BC7014F">
            <w:pPr>
              <w:jc w:val="right"/>
              <w:rPr>
                <w:rFonts w:ascii="Arial Narrow" w:hAnsi="Arial Narrow" w:eastAsiaTheme="minorEastAsia"/>
                <w:szCs w:val="21"/>
              </w:rPr>
            </w:pPr>
            <w:r>
              <w:rPr>
                <w:rFonts w:ascii="Arial Narrow" w:hAnsi="Arial Narrow" w:eastAsiaTheme="minorEastAsia"/>
                <w:szCs w:val="21"/>
              </w:rPr>
              <w:t xml:space="preserve"> 159,412,585.39 </w:t>
            </w:r>
          </w:p>
        </w:tc>
        <w:tc>
          <w:tcPr>
            <w:tcW w:w="1720" w:type="pct"/>
            <w:shd w:val="clear" w:color="auto" w:fill="auto"/>
            <w:vAlign w:val="center"/>
          </w:tcPr>
          <w:p w14:paraId="5C89F93B">
            <w:pPr>
              <w:jc w:val="center"/>
              <w:rPr>
                <w:rFonts w:ascii="Arial Narrow" w:hAnsi="Arial Narrow" w:eastAsiaTheme="minorEastAsia"/>
                <w:szCs w:val="21"/>
              </w:rPr>
            </w:pPr>
            <w:r>
              <w:rPr>
                <w:rFonts w:ascii="Arial Narrow" w:hAnsi="Arial Narrow" w:eastAsiaTheme="minorEastAsia"/>
                <w:color w:val="000000"/>
                <w:szCs w:val="21"/>
              </w:rPr>
              <w:t>/</w:t>
            </w:r>
          </w:p>
        </w:tc>
      </w:tr>
    </w:tbl>
    <w:p w14:paraId="79A3F7DA">
      <w:pPr>
        <w:rPr>
          <w:rFonts w:hint="eastAsia"/>
        </w:rPr>
      </w:pPr>
    </w:p>
    <w:p w14:paraId="22686859">
      <w:pPr>
        <w:rPr>
          <w:rFonts w:hint="eastAsia"/>
        </w:rPr>
      </w:pPr>
      <w:r>
        <w:rPr>
          <w:rFonts w:hint="eastAsia"/>
        </w:rPr>
        <w:t>其他说明：</w:t>
      </w:r>
    </w:p>
    <w:sdt>
      <w:sdtPr>
        <w:alias w:val="是否适用：其他应付款的其他说明[双击切换]"/>
        <w:tag w:val="_GBC_b02a256e4ac940019e9d9179cb6dc349"/>
        <w:id w:val="-2040574090"/>
        <w:placeholder>
          <w:docPart w:val="GBC22222222222222222222222222222"/>
        </w:placeholder>
      </w:sdtPr>
      <w:sdtContent>
        <w:p w14:paraId="04A9E1FE">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44F7AC2">
      <w:pPr>
        <w:rPr>
          <w:rFonts w:hint="eastAsia"/>
          <w:szCs w:val="21"/>
        </w:rPr>
      </w:pPr>
    </w:p>
    <w:bookmarkEnd w:id="341"/>
    <w:bookmarkEnd w:id="342"/>
    <w:p w14:paraId="782521C4">
      <w:pPr>
        <w:pStyle w:val="70"/>
        <w:numPr>
          <w:ilvl w:val="0"/>
          <w:numId w:val="109"/>
        </w:numPr>
        <w:rPr>
          <w:szCs w:val="21"/>
        </w:rPr>
      </w:pPr>
      <w:r>
        <w:rPr>
          <w:szCs w:val="21"/>
        </w:rPr>
        <w:t>持有待售负债</w:t>
      </w:r>
    </w:p>
    <w:sdt>
      <w:sdtPr>
        <w:alias w:val="是否适用：划分为持有待售的负债[双击切换]"/>
        <w:tag w:val="_GBC_4ea9b2c6d4024d74b39e491f80a07798"/>
        <w:id w:val="-1327350408"/>
        <w:placeholder>
          <w:docPart w:val="GBC22222222222222222222222222222"/>
        </w:placeholder>
      </w:sdtPr>
      <w:sdtContent>
        <w:p w14:paraId="438D4C5F">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57A43C0">
      <w:pPr>
        <w:rPr>
          <w:rFonts w:hint="eastAsia"/>
          <w:szCs w:val="21"/>
        </w:rPr>
      </w:pPr>
    </w:p>
    <w:p w14:paraId="2E85E13C">
      <w:pPr>
        <w:rPr>
          <w:rFonts w:hint="eastAsia"/>
          <w:szCs w:val="21"/>
        </w:rPr>
      </w:pPr>
    </w:p>
    <w:p w14:paraId="611E9562">
      <w:pPr>
        <w:pStyle w:val="70"/>
        <w:numPr>
          <w:ilvl w:val="0"/>
          <w:numId w:val="109"/>
        </w:numPr>
        <w:rPr>
          <w:szCs w:val="21"/>
        </w:rPr>
      </w:pPr>
      <w:bookmarkStart w:id="343" w:name="_Hlk24104125"/>
      <w:r>
        <w:rPr>
          <w:szCs w:val="21"/>
        </w:rPr>
        <w:t>1年内到期的非流动负债</w:t>
      </w:r>
    </w:p>
    <w:sdt>
      <w:sdtPr>
        <w:alias w:val="是否适用：1年内到期的非流动负债[双击切换]"/>
        <w:tag w:val="_GBC_bf40c7464345405f8470856436e2c6a3"/>
        <w:id w:val="2005009123"/>
        <w:placeholder>
          <w:docPart w:val="GBC22222222222222222222222222222"/>
        </w:placeholder>
      </w:sdtPr>
      <w:sdtContent>
        <w:p w14:paraId="6D55C19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DF0BAC4">
      <w:pPr>
        <w:jc w:val="right"/>
        <w:rPr>
          <w:rFonts w:hint="eastAsia"/>
          <w:szCs w:val="21"/>
        </w:rPr>
      </w:pPr>
      <w:r>
        <w:rPr>
          <w:rFonts w:hint="eastAsia"/>
          <w:szCs w:val="21"/>
        </w:rPr>
        <w:t>单位：</w:t>
      </w:r>
      <w:sdt>
        <w:sdtPr>
          <w:rPr>
            <w:rFonts w:hint="eastAsia"/>
            <w:szCs w:val="21"/>
          </w:rPr>
          <w:alias w:val="单位：1年内到期的非流动负债情况"/>
          <w:tag w:val="_GBC_fc5bef9f043c4967ab706b443fc31d3c"/>
          <w:id w:val="-185460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7699149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6"/>
        <w:gridCol w:w="2961"/>
        <w:gridCol w:w="3026"/>
      </w:tblGrid>
      <w:tr w14:paraId="6F5E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e20bf58d6f134f4caedbea03f8659c14"/>
            <w:id w:val="1786316644"/>
          </w:sdtPr>
          <w:sdtEndPr>
            <w:rPr>
              <w:rFonts w:ascii="Arial Narrow" w:hAnsi="Arial Narrow" w:eastAsiaTheme="minorEastAsia"/>
              <w:szCs w:val="21"/>
            </w:rPr>
          </w:sdtEndPr>
          <w:sdtContent>
            <w:tc>
              <w:tcPr>
                <w:tcW w:w="1607" w:type="pct"/>
                <w:shd w:val="clear" w:color="auto" w:fill="auto"/>
              </w:tcPr>
              <w:p w14:paraId="67399CE2">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dad829d6a45646668218857399318d20"/>
            <w:id w:val="-907763953"/>
          </w:sdtPr>
          <w:sdtEndPr>
            <w:rPr>
              <w:rFonts w:ascii="Arial Narrow" w:hAnsi="Arial Narrow" w:eastAsiaTheme="minorEastAsia"/>
              <w:szCs w:val="21"/>
            </w:rPr>
          </w:sdtEndPr>
          <w:sdtContent>
            <w:tc>
              <w:tcPr>
                <w:tcW w:w="1678" w:type="pct"/>
                <w:shd w:val="clear" w:color="auto" w:fill="auto"/>
              </w:tcPr>
              <w:p w14:paraId="28448656">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9d1d036ddf0544b2b2ddd1dc5633a114"/>
            <w:id w:val="1579640869"/>
          </w:sdtPr>
          <w:sdtEndPr>
            <w:rPr>
              <w:rFonts w:ascii="Arial Narrow" w:hAnsi="Arial Narrow" w:eastAsiaTheme="minorEastAsia"/>
              <w:szCs w:val="21"/>
            </w:rPr>
          </w:sdtEndPr>
          <w:sdtContent>
            <w:tc>
              <w:tcPr>
                <w:tcW w:w="1715" w:type="pct"/>
                <w:shd w:val="clear" w:color="auto" w:fill="auto"/>
              </w:tcPr>
              <w:p w14:paraId="67E24ADC">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064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shd w:val="clear" w:color="auto" w:fill="auto"/>
          </w:tcPr>
          <w:p w14:paraId="230E4461">
            <w:pPr>
              <w:rPr>
                <w:rFonts w:ascii="Arial Narrow" w:hAnsi="Arial Narrow" w:eastAsiaTheme="minorEastAsia"/>
                <w:szCs w:val="21"/>
              </w:rPr>
            </w:pPr>
            <w:r>
              <w:rPr>
                <w:rFonts w:ascii="Arial Narrow" w:hAnsi="Arial Narrow" w:eastAsiaTheme="minorEastAsia"/>
                <w:szCs w:val="21"/>
              </w:rPr>
              <w:t>1年内到期的长期借款</w:t>
            </w:r>
          </w:p>
        </w:tc>
        <w:tc>
          <w:tcPr>
            <w:tcW w:w="1678" w:type="pct"/>
            <w:shd w:val="clear" w:color="auto" w:fill="auto"/>
            <w:vAlign w:val="center"/>
          </w:tcPr>
          <w:p w14:paraId="756203E5">
            <w:pPr>
              <w:jc w:val="right"/>
              <w:rPr>
                <w:rFonts w:ascii="Arial Narrow" w:hAnsi="Arial Narrow" w:eastAsiaTheme="minorEastAsia"/>
                <w:szCs w:val="21"/>
              </w:rPr>
            </w:pPr>
            <w:r>
              <w:rPr>
                <w:rFonts w:ascii="Arial Narrow" w:hAnsi="Arial Narrow" w:eastAsiaTheme="minorEastAsia"/>
                <w:color w:val="000000"/>
                <w:szCs w:val="21"/>
              </w:rPr>
              <w:t>32,903,118.06</w:t>
            </w:r>
          </w:p>
        </w:tc>
        <w:tc>
          <w:tcPr>
            <w:tcW w:w="1715" w:type="pct"/>
            <w:shd w:val="clear" w:color="auto" w:fill="auto"/>
            <w:vAlign w:val="center"/>
          </w:tcPr>
          <w:p w14:paraId="4C3C4D0B">
            <w:pPr>
              <w:jc w:val="right"/>
              <w:rPr>
                <w:rFonts w:ascii="Arial Narrow" w:hAnsi="Arial Narrow" w:eastAsiaTheme="minorEastAsia"/>
                <w:szCs w:val="21"/>
              </w:rPr>
            </w:pPr>
            <w:r>
              <w:rPr>
                <w:rFonts w:ascii="Arial Narrow" w:hAnsi="Arial Narrow" w:eastAsiaTheme="minorEastAsia"/>
                <w:color w:val="000000"/>
                <w:szCs w:val="21"/>
              </w:rPr>
              <w:t>164,499,407.23</w:t>
            </w:r>
          </w:p>
        </w:tc>
      </w:tr>
      <w:tr w14:paraId="3B0F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shd w:val="clear" w:color="auto" w:fill="auto"/>
          </w:tcPr>
          <w:p w14:paraId="6C50DAD2">
            <w:pPr>
              <w:rPr>
                <w:rFonts w:ascii="Arial Narrow" w:hAnsi="Arial Narrow" w:eastAsiaTheme="minorEastAsia"/>
                <w:szCs w:val="21"/>
              </w:rPr>
            </w:pPr>
            <w:r>
              <w:rPr>
                <w:rFonts w:ascii="Arial Narrow" w:hAnsi="Arial Narrow" w:eastAsiaTheme="minorEastAsia"/>
                <w:szCs w:val="21"/>
              </w:rPr>
              <w:t>1年内到期的应付债券</w:t>
            </w:r>
          </w:p>
        </w:tc>
        <w:tc>
          <w:tcPr>
            <w:tcW w:w="1678" w:type="pct"/>
            <w:shd w:val="clear" w:color="auto" w:fill="auto"/>
            <w:vAlign w:val="center"/>
          </w:tcPr>
          <w:p w14:paraId="74E7A757">
            <w:pPr>
              <w:jc w:val="right"/>
              <w:rPr>
                <w:rFonts w:ascii="Arial Narrow" w:hAnsi="Arial Narrow" w:eastAsiaTheme="minorEastAsia"/>
                <w:szCs w:val="21"/>
              </w:rPr>
            </w:pPr>
            <w:r>
              <w:rPr>
                <w:rFonts w:ascii="Arial Narrow" w:hAnsi="Arial Narrow" w:eastAsiaTheme="minorEastAsia"/>
                <w:color w:val="000000"/>
                <w:szCs w:val="21"/>
              </w:rPr>
              <w:t>20,276,025.81</w:t>
            </w:r>
          </w:p>
        </w:tc>
        <w:tc>
          <w:tcPr>
            <w:tcW w:w="1715" w:type="pct"/>
            <w:shd w:val="clear" w:color="auto" w:fill="auto"/>
            <w:vAlign w:val="center"/>
          </w:tcPr>
          <w:p w14:paraId="760BBAF3">
            <w:pPr>
              <w:jc w:val="right"/>
              <w:rPr>
                <w:rFonts w:ascii="Arial Narrow" w:hAnsi="Arial Narrow" w:eastAsiaTheme="minorEastAsia"/>
                <w:szCs w:val="21"/>
              </w:rPr>
            </w:pPr>
          </w:p>
        </w:tc>
      </w:tr>
      <w:tr w14:paraId="7BD5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shd w:val="clear" w:color="auto" w:fill="auto"/>
          </w:tcPr>
          <w:p w14:paraId="551792E7">
            <w:pPr>
              <w:rPr>
                <w:rFonts w:ascii="Arial Narrow" w:hAnsi="Arial Narrow" w:eastAsiaTheme="minorEastAsia"/>
                <w:szCs w:val="21"/>
              </w:rPr>
            </w:pPr>
            <w:r>
              <w:rPr>
                <w:rFonts w:ascii="Arial Narrow" w:hAnsi="Arial Narrow" w:eastAsiaTheme="minorEastAsia"/>
                <w:szCs w:val="21"/>
              </w:rPr>
              <w:t>1年内到期的租赁负债</w:t>
            </w:r>
          </w:p>
        </w:tc>
        <w:tc>
          <w:tcPr>
            <w:tcW w:w="1678" w:type="pct"/>
            <w:shd w:val="clear" w:color="auto" w:fill="auto"/>
            <w:vAlign w:val="center"/>
          </w:tcPr>
          <w:p w14:paraId="046B8668">
            <w:pPr>
              <w:jc w:val="right"/>
              <w:rPr>
                <w:rFonts w:ascii="Arial Narrow" w:hAnsi="Arial Narrow" w:eastAsiaTheme="minorEastAsia"/>
                <w:szCs w:val="21"/>
              </w:rPr>
            </w:pPr>
            <w:r>
              <w:rPr>
                <w:rFonts w:ascii="Arial Narrow" w:hAnsi="Arial Narrow" w:eastAsiaTheme="minorEastAsia"/>
                <w:color w:val="000000"/>
                <w:szCs w:val="21"/>
              </w:rPr>
              <w:t>845,174.42</w:t>
            </w:r>
          </w:p>
        </w:tc>
        <w:tc>
          <w:tcPr>
            <w:tcW w:w="1715" w:type="pct"/>
            <w:shd w:val="clear" w:color="auto" w:fill="auto"/>
            <w:vAlign w:val="center"/>
          </w:tcPr>
          <w:p w14:paraId="2C0FF922">
            <w:pPr>
              <w:jc w:val="right"/>
              <w:rPr>
                <w:rFonts w:ascii="Arial Narrow" w:hAnsi="Arial Narrow" w:eastAsiaTheme="minorEastAsia"/>
                <w:szCs w:val="21"/>
              </w:rPr>
            </w:pPr>
            <w:r>
              <w:rPr>
                <w:rFonts w:ascii="Arial Narrow" w:hAnsi="Arial Narrow" w:eastAsiaTheme="minorEastAsia"/>
                <w:color w:val="000000"/>
                <w:szCs w:val="21"/>
              </w:rPr>
              <w:t>6,496,728.01</w:t>
            </w:r>
          </w:p>
        </w:tc>
      </w:tr>
      <w:tr w14:paraId="5EDA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shd w:val="clear" w:color="auto" w:fill="auto"/>
          </w:tcPr>
          <w:p w14:paraId="7E3C25A6">
            <w:pPr>
              <w:jc w:val="center"/>
              <w:rPr>
                <w:rFonts w:ascii="Arial Narrow" w:hAnsi="Arial Narrow" w:eastAsiaTheme="minorEastAsia"/>
                <w:szCs w:val="21"/>
              </w:rPr>
            </w:pPr>
            <w:r>
              <w:rPr>
                <w:rFonts w:ascii="Arial Narrow" w:hAnsi="Arial Narrow" w:eastAsiaTheme="minorEastAsia"/>
                <w:szCs w:val="21"/>
              </w:rPr>
              <w:t>合计</w:t>
            </w:r>
          </w:p>
        </w:tc>
        <w:tc>
          <w:tcPr>
            <w:tcW w:w="1678" w:type="pct"/>
            <w:shd w:val="clear" w:color="auto" w:fill="auto"/>
            <w:vAlign w:val="center"/>
          </w:tcPr>
          <w:p w14:paraId="647D3D33">
            <w:pPr>
              <w:jc w:val="right"/>
              <w:rPr>
                <w:rFonts w:ascii="Arial Narrow" w:hAnsi="Arial Narrow" w:eastAsiaTheme="minorEastAsia"/>
                <w:szCs w:val="21"/>
              </w:rPr>
            </w:pPr>
            <w:r>
              <w:rPr>
                <w:rFonts w:ascii="Arial Narrow" w:hAnsi="Arial Narrow" w:eastAsiaTheme="minorEastAsia"/>
                <w:color w:val="000000"/>
                <w:szCs w:val="21"/>
              </w:rPr>
              <w:t>54,024,318.29</w:t>
            </w:r>
          </w:p>
        </w:tc>
        <w:tc>
          <w:tcPr>
            <w:tcW w:w="1715" w:type="pct"/>
            <w:shd w:val="clear" w:color="auto" w:fill="auto"/>
            <w:vAlign w:val="center"/>
          </w:tcPr>
          <w:p w14:paraId="33A1BCF2">
            <w:pPr>
              <w:jc w:val="right"/>
              <w:rPr>
                <w:rFonts w:ascii="Arial Narrow" w:hAnsi="Arial Narrow" w:eastAsiaTheme="minorEastAsia"/>
                <w:szCs w:val="21"/>
              </w:rPr>
            </w:pPr>
            <w:r>
              <w:rPr>
                <w:rFonts w:ascii="Arial Narrow" w:hAnsi="Arial Narrow" w:eastAsiaTheme="minorEastAsia"/>
                <w:color w:val="000000"/>
                <w:szCs w:val="21"/>
              </w:rPr>
              <w:t>170,996,135.24</w:t>
            </w:r>
          </w:p>
        </w:tc>
      </w:tr>
    </w:tbl>
    <w:p w14:paraId="7CAA7C30">
      <w:pPr>
        <w:spacing w:before="60" w:after="60"/>
        <w:rPr>
          <w:rFonts w:hint="eastAsia"/>
          <w:szCs w:val="21"/>
        </w:rPr>
      </w:pPr>
      <w:r>
        <w:rPr>
          <w:rFonts w:hint="eastAsia"/>
          <w:szCs w:val="21"/>
        </w:rPr>
        <w:t>其他说明：</w:t>
      </w:r>
    </w:p>
    <w:sdt>
      <w:sdtPr>
        <w:rPr>
          <w:szCs w:val="21"/>
        </w:rPr>
        <w:alias w:val="1年内到期的非流动负债说明"/>
        <w:tag w:val="_GBC_8d20cbb6880f4895b7051ae6dee973ca"/>
        <w:id w:val="-1208107460"/>
        <w:placeholder>
          <w:docPart w:val="GBC22222222222222222222222222222"/>
        </w:placeholder>
      </w:sdtPr>
      <w:sdtEndPr>
        <w:rPr>
          <w:szCs w:val="21"/>
        </w:rPr>
      </w:sdtEndPr>
      <w:sdtContent>
        <w:p w14:paraId="336B2AD5">
          <w:pPr>
            <w:rPr>
              <w:rFonts w:hint="eastAsia"/>
              <w:szCs w:val="21"/>
            </w:rPr>
          </w:pPr>
          <w:r>
            <w:rPr>
              <w:rFonts w:hint="eastAsia"/>
              <w:szCs w:val="21"/>
            </w:rPr>
            <w:t>无</w:t>
          </w:r>
        </w:p>
      </w:sdtContent>
    </w:sdt>
    <w:bookmarkEnd w:id="343"/>
    <w:p w14:paraId="31570EB6">
      <w:pPr>
        <w:pStyle w:val="70"/>
        <w:numPr>
          <w:ilvl w:val="0"/>
          <w:numId w:val="109"/>
        </w:numPr>
        <w:rPr>
          <w:szCs w:val="21"/>
        </w:rPr>
      </w:pPr>
      <w:r>
        <w:rPr>
          <w:szCs w:val="21"/>
        </w:rPr>
        <w:t>其他流动负债</w:t>
      </w:r>
    </w:p>
    <w:p w14:paraId="73DC3415">
      <w:pPr>
        <w:rPr>
          <w:rFonts w:hint="eastAsia"/>
          <w:szCs w:val="21"/>
        </w:rPr>
      </w:pPr>
      <w:bookmarkStart w:id="344" w:name="_Hlk533670262"/>
      <w:r>
        <w:rPr>
          <w:rFonts w:hint="eastAsia"/>
          <w:szCs w:val="21"/>
        </w:rPr>
        <w:t>其他流动负债情况</w:t>
      </w:r>
    </w:p>
    <w:sdt>
      <w:sdtPr>
        <w:rPr>
          <w:rFonts w:hint="eastAsia"/>
          <w:szCs w:val="21"/>
        </w:rPr>
        <w:alias w:val="是否适用：其他流动负债情况 [双击切换]"/>
        <w:tag w:val="_GBC_a84ebf5eebf04d4ab9f07c3da85115c2"/>
        <w:id w:val="-795136751"/>
        <w:placeholder>
          <w:docPart w:val="GBC22222222222222222222222222222"/>
        </w:placeholder>
      </w:sdtPr>
      <w:sdtEndPr>
        <w:rPr>
          <w:rFonts w:hint="eastAsia"/>
          <w:szCs w:val="21"/>
        </w:rPr>
      </w:sdtEndPr>
      <w:sdtContent>
        <w:p w14:paraId="61C6ECE8">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77B740C">
      <w:pPr>
        <w:jc w:val="right"/>
        <w:rPr>
          <w:rFonts w:hint="eastAsia"/>
          <w:szCs w:val="21"/>
        </w:rPr>
      </w:pPr>
      <w:r>
        <w:rPr>
          <w:rFonts w:hint="eastAsia"/>
          <w:szCs w:val="21"/>
        </w:rPr>
        <w:t>单位：</w:t>
      </w:r>
      <w:sdt>
        <w:sdtPr>
          <w:rPr>
            <w:rFonts w:hint="eastAsia"/>
            <w:szCs w:val="21"/>
          </w:rPr>
          <w:alias w:val="单位：财务附注：其他流动负债"/>
          <w:tag w:val="_GBC_1a3ea80bd2b9426ead4537785c82d01e"/>
          <w:id w:val="6814737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c39ac2b60b0f44cbbd7534c211405631"/>
          <w:id w:val="-19912416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3040"/>
        <w:gridCol w:w="3051"/>
      </w:tblGrid>
      <w:tr w14:paraId="2E0E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Arial Narrow" w:hAnsi="Arial Narrow" w:eastAsiaTheme="minorEastAsia"/>
              <w:szCs w:val="21"/>
            </w:rPr>
            <w:tag w:val="_PLD_96b7e8e5e688449c87d23adc1b63439f"/>
            <w:id w:val="331962060"/>
          </w:sdtPr>
          <w:sdtEndPr>
            <w:rPr>
              <w:rFonts w:ascii="Arial Narrow" w:hAnsi="Arial Narrow" w:eastAsiaTheme="minorEastAsia"/>
              <w:szCs w:val="21"/>
            </w:rPr>
          </w:sdtEndPr>
          <w:sdtContent>
            <w:tc>
              <w:tcPr>
                <w:tcW w:w="1548" w:type="pct"/>
                <w:tcBorders>
                  <w:top w:val="single" w:color="auto" w:sz="4" w:space="0"/>
                  <w:left w:val="single" w:color="auto" w:sz="4" w:space="0"/>
                  <w:bottom w:val="single" w:color="auto" w:sz="4" w:space="0"/>
                  <w:right w:val="single" w:color="auto" w:sz="4" w:space="0"/>
                </w:tcBorders>
                <w:vAlign w:val="bottom"/>
              </w:tcPr>
              <w:p w14:paraId="461FBC30">
                <w:pPr>
                  <w:tabs>
                    <w:tab w:val="right" w:pos="3690"/>
                    <w:tab w:val="right" w:pos="5130"/>
                    <w:tab w:val="right" w:pos="6030"/>
                    <w:tab w:val="right" w:pos="7650"/>
                    <w:tab w:val="right" w:pos="9270"/>
                  </w:tabs>
                  <w:snapToGrid w:val="0"/>
                  <w:ind w:left="-109" w:leftChars="-52"/>
                  <w:jc w:val="center"/>
                  <w:rPr>
                    <w:rFonts w:ascii="Arial Narrow" w:hAnsi="Arial Narrow" w:eastAsiaTheme="minorEastAsia"/>
                    <w:szCs w:val="21"/>
                  </w:rPr>
                </w:pPr>
                <w:bookmarkStart w:id="345" w:name="_Hlk533423091"/>
                <w:r>
                  <w:rPr>
                    <w:rFonts w:ascii="Arial Narrow" w:hAnsi="Arial Narrow" w:eastAsiaTheme="minorEastAsia"/>
                    <w:szCs w:val="21"/>
                  </w:rPr>
                  <w:t>项目</w:t>
                </w:r>
              </w:p>
            </w:tc>
          </w:sdtContent>
        </w:sdt>
        <w:sdt>
          <w:sdtPr>
            <w:rPr>
              <w:rFonts w:ascii="Arial Narrow" w:hAnsi="Arial Narrow" w:eastAsiaTheme="minorEastAsia"/>
              <w:szCs w:val="21"/>
            </w:rPr>
            <w:tag w:val="_PLD_741229e75da644bb809ec002cfe06423"/>
            <w:id w:val="575025078"/>
          </w:sdtPr>
          <w:sdtEndPr>
            <w:rPr>
              <w:rFonts w:ascii="Arial Narrow" w:hAnsi="Arial Narrow" w:eastAsiaTheme="minorEastAsia"/>
              <w:szCs w:val="21"/>
            </w:rPr>
          </w:sdtEndPr>
          <w:sdtContent>
            <w:tc>
              <w:tcPr>
                <w:tcW w:w="1723" w:type="pct"/>
                <w:tcBorders>
                  <w:top w:val="single" w:color="auto" w:sz="4" w:space="0"/>
                  <w:left w:val="single" w:color="auto" w:sz="4" w:space="0"/>
                  <w:bottom w:val="single" w:color="auto" w:sz="4" w:space="0"/>
                  <w:right w:val="single" w:color="auto" w:sz="4" w:space="0"/>
                </w:tcBorders>
              </w:tcPr>
              <w:p w14:paraId="4A835062">
                <w:pPr>
                  <w:adjustRightInd w:val="0"/>
                  <w:snapToGrid w:val="0"/>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426d25a331b04af9b2ec53d6a7e168d4"/>
            <w:id w:val="-1160078411"/>
          </w:sdtPr>
          <w:sdtEndPr>
            <w:rPr>
              <w:rFonts w:ascii="Arial Narrow" w:hAnsi="Arial Narrow" w:eastAsiaTheme="minorEastAsia"/>
              <w:szCs w:val="21"/>
            </w:rPr>
          </w:sdtEndPr>
          <w:sdtContent>
            <w:tc>
              <w:tcPr>
                <w:tcW w:w="1729" w:type="pct"/>
                <w:tcBorders>
                  <w:top w:val="single" w:color="auto" w:sz="4" w:space="0"/>
                  <w:left w:val="single" w:color="auto" w:sz="4" w:space="0"/>
                  <w:bottom w:val="single" w:color="auto" w:sz="4" w:space="0"/>
                  <w:right w:val="single" w:color="auto" w:sz="4" w:space="0"/>
                </w:tcBorders>
              </w:tcPr>
              <w:p w14:paraId="2AAF9C5D">
                <w:pPr>
                  <w:adjustRightInd w:val="0"/>
                  <w:snapToGrid w:val="0"/>
                  <w:jc w:val="center"/>
                  <w:rPr>
                    <w:rFonts w:ascii="Arial Narrow" w:hAnsi="Arial Narrow" w:eastAsiaTheme="minorEastAsia"/>
                    <w:szCs w:val="21"/>
                  </w:rPr>
                </w:pPr>
                <w:r>
                  <w:rPr>
                    <w:rFonts w:ascii="Arial Narrow" w:hAnsi="Arial Narrow" w:eastAsiaTheme="minorEastAsia"/>
                    <w:szCs w:val="21"/>
                  </w:rPr>
                  <w:t>期初余额</w:t>
                </w:r>
              </w:p>
            </w:tc>
          </w:sdtContent>
        </w:sdt>
      </w:tr>
      <w:tr w14:paraId="5A01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7B059554">
            <w:pP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szCs w:val="21"/>
              </w:rPr>
              <w:t>股东借款</w:t>
            </w:r>
          </w:p>
        </w:tc>
        <w:tc>
          <w:tcPr>
            <w:tcW w:w="1723" w:type="pct"/>
            <w:tcBorders>
              <w:top w:val="single" w:color="auto" w:sz="4" w:space="0"/>
              <w:left w:val="single" w:color="auto" w:sz="4" w:space="0"/>
              <w:bottom w:val="single" w:color="auto" w:sz="4" w:space="0"/>
              <w:right w:val="single" w:color="auto" w:sz="4" w:space="0"/>
            </w:tcBorders>
            <w:vAlign w:val="center"/>
          </w:tcPr>
          <w:p w14:paraId="203EBAB8">
            <w:pPr>
              <w:jc w:val="right"/>
              <w:rPr>
                <w:rFonts w:ascii="Arial Narrow" w:hAnsi="Arial Narrow" w:eastAsiaTheme="minorEastAsia"/>
                <w:szCs w:val="21"/>
              </w:rPr>
            </w:pPr>
            <w:r>
              <w:rPr>
                <w:rFonts w:ascii="Arial Narrow" w:hAnsi="Arial Narrow" w:eastAsiaTheme="minorEastAsia"/>
                <w:color w:val="000000"/>
                <w:szCs w:val="21"/>
              </w:rPr>
              <w:t>215,134,230.55</w:t>
            </w:r>
          </w:p>
        </w:tc>
        <w:tc>
          <w:tcPr>
            <w:tcW w:w="1729" w:type="pct"/>
            <w:tcBorders>
              <w:top w:val="single" w:color="auto" w:sz="4" w:space="0"/>
              <w:left w:val="single" w:color="auto" w:sz="4" w:space="0"/>
              <w:bottom w:val="single" w:color="auto" w:sz="4" w:space="0"/>
              <w:right w:val="single" w:color="auto" w:sz="4" w:space="0"/>
            </w:tcBorders>
            <w:vAlign w:val="center"/>
          </w:tcPr>
          <w:p w14:paraId="218DDA6B">
            <w:pPr>
              <w:jc w:val="right"/>
              <w:rPr>
                <w:rFonts w:ascii="Arial Narrow" w:hAnsi="Arial Narrow" w:eastAsiaTheme="minorEastAsia"/>
                <w:szCs w:val="21"/>
              </w:rPr>
            </w:pPr>
            <w:r>
              <w:rPr>
                <w:rFonts w:ascii="Arial Narrow" w:hAnsi="Arial Narrow" w:eastAsiaTheme="minorEastAsia"/>
                <w:color w:val="000000"/>
                <w:szCs w:val="21"/>
              </w:rPr>
              <w:t>35,000,000.00</w:t>
            </w:r>
          </w:p>
        </w:tc>
      </w:tr>
      <w:tr w14:paraId="5D74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75C98431">
            <w:pPr>
              <w:rPr>
                <w:rFonts w:ascii="Arial Narrow" w:hAnsi="Arial Narrow" w:eastAsiaTheme="minorEastAsia"/>
                <w:szCs w:val="21"/>
              </w:rPr>
            </w:pPr>
            <w:r>
              <w:rPr>
                <w:rFonts w:ascii="Arial Narrow" w:hAnsi="Arial Narrow" w:eastAsiaTheme="minorEastAsia"/>
                <w:color w:val="000000"/>
                <w:szCs w:val="21"/>
              </w:rPr>
              <w:t>票据背书未终止确认款项</w:t>
            </w:r>
          </w:p>
        </w:tc>
        <w:tc>
          <w:tcPr>
            <w:tcW w:w="1723" w:type="pct"/>
            <w:tcBorders>
              <w:top w:val="single" w:color="auto" w:sz="4" w:space="0"/>
              <w:left w:val="single" w:color="auto" w:sz="4" w:space="0"/>
              <w:bottom w:val="single" w:color="auto" w:sz="4" w:space="0"/>
              <w:right w:val="single" w:color="auto" w:sz="4" w:space="0"/>
            </w:tcBorders>
            <w:vAlign w:val="center"/>
          </w:tcPr>
          <w:p w14:paraId="4EE14AE1">
            <w:pPr>
              <w:jc w:val="right"/>
              <w:rPr>
                <w:rFonts w:ascii="Arial Narrow" w:hAnsi="Arial Narrow" w:eastAsiaTheme="minorEastAsia"/>
                <w:szCs w:val="21"/>
              </w:rPr>
            </w:pPr>
            <w:r>
              <w:rPr>
                <w:rFonts w:ascii="Arial Narrow" w:hAnsi="Arial Narrow" w:eastAsiaTheme="minorEastAsia"/>
                <w:color w:val="000000"/>
                <w:szCs w:val="21"/>
              </w:rPr>
              <w:t>6,033,977.09</w:t>
            </w:r>
          </w:p>
        </w:tc>
        <w:tc>
          <w:tcPr>
            <w:tcW w:w="1729" w:type="pct"/>
            <w:tcBorders>
              <w:top w:val="single" w:color="auto" w:sz="4" w:space="0"/>
              <w:left w:val="single" w:color="auto" w:sz="4" w:space="0"/>
              <w:bottom w:val="single" w:color="auto" w:sz="4" w:space="0"/>
              <w:right w:val="single" w:color="auto" w:sz="4" w:space="0"/>
            </w:tcBorders>
            <w:vAlign w:val="center"/>
          </w:tcPr>
          <w:p w14:paraId="340275FA">
            <w:pPr>
              <w:jc w:val="right"/>
              <w:rPr>
                <w:rFonts w:ascii="Arial Narrow" w:hAnsi="Arial Narrow" w:eastAsiaTheme="minorEastAsia"/>
                <w:szCs w:val="21"/>
              </w:rPr>
            </w:pPr>
            <w:r>
              <w:rPr>
                <w:rFonts w:ascii="Arial Narrow" w:hAnsi="Arial Narrow" w:eastAsiaTheme="minorEastAsia"/>
                <w:color w:val="000000"/>
                <w:szCs w:val="21"/>
              </w:rPr>
              <w:t>797,062.00</w:t>
            </w:r>
          </w:p>
        </w:tc>
      </w:tr>
      <w:tr w14:paraId="7FE2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634ECC94">
            <w:pPr>
              <w:rPr>
                <w:rFonts w:ascii="Arial Narrow" w:hAnsi="Arial Narrow" w:eastAsiaTheme="minorEastAsia"/>
                <w:szCs w:val="21"/>
              </w:rPr>
            </w:pPr>
            <w:r>
              <w:rPr>
                <w:rFonts w:ascii="Arial Narrow" w:hAnsi="Arial Narrow" w:eastAsiaTheme="minorEastAsia"/>
                <w:color w:val="000000"/>
                <w:szCs w:val="21"/>
              </w:rPr>
              <w:t>待转销项税额</w:t>
            </w:r>
          </w:p>
        </w:tc>
        <w:tc>
          <w:tcPr>
            <w:tcW w:w="1723" w:type="pct"/>
            <w:tcBorders>
              <w:top w:val="single" w:color="auto" w:sz="4" w:space="0"/>
              <w:left w:val="single" w:color="auto" w:sz="4" w:space="0"/>
              <w:bottom w:val="single" w:color="auto" w:sz="4" w:space="0"/>
              <w:right w:val="single" w:color="auto" w:sz="4" w:space="0"/>
            </w:tcBorders>
            <w:vAlign w:val="center"/>
          </w:tcPr>
          <w:p w14:paraId="610B23FA">
            <w:pPr>
              <w:jc w:val="right"/>
              <w:rPr>
                <w:rFonts w:ascii="Arial Narrow" w:hAnsi="Arial Narrow" w:eastAsiaTheme="minorEastAsia"/>
                <w:szCs w:val="21"/>
              </w:rPr>
            </w:pPr>
            <w:r>
              <w:rPr>
                <w:rFonts w:ascii="Arial Narrow" w:hAnsi="Arial Narrow" w:eastAsiaTheme="minorEastAsia"/>
                <w:color w:val="000000"/>
                <w:szCs w:val="21"/>
              </w:rPr>
              <w:t>85,704,977.64</w:t>
            </w:r>
          </w:p>
        </w:tc>
        <w:tc>
          <w:tcPr>
            <w:tcW w:w="1729" w:type="pct"/>
            <w:tcBorders>
              <w:top w:val="single" w:color="auto" w:sz="4" w:space="0"/>
              <w:left w:val="single" w:color="auto" w:sz="4" w:space="0"/>
              <w:bottom w:val="single" w:color="auto" w:sz="4" w:space="0"/>
              <w:right w:val="single" w:color="auto" w:sz="4" w:space="0"/>
            </w:tcBorders>
            <w:vAlign w:val="center"/>
          </w:tcPr>
          <w:p w14:paraId="03702256">
            <w:pPr>
              <w:jc w:val="right"/>
              <w:rPr>
                <w:rFonts w:ascii="Arial Narrow" w:hAnsi="Arial Narrow" w:eastAsiaTheme="minorEastAsia"/>
                <w:szCs w:val="21"/>
              </w:rPr>
            </w:pPr>
            <w:r>
              <w:rPr>
                <w:rFonts w:ascii="Arial Narrow" w:hAnsi="Arial Narrow" w:eastAsiaTheme="minorEastAsia"/>
                <w:color w:val="000000"/>
                <w:szCs w:val="21"/>
              </w:rPr>
              <w:t>112,103,983.46</w:t>
            </w:r>
          </w:p>
        </w:tc>
      </w:tr>
      <w:tr w14:paraId="6D1E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5AF19EF0">
            <w:pPr>
              <w:jc w:val="center"/>
              <w:rPr>
                <w:rFonts w:ascii="Arial Narrow" w:hAnsi="Arial Narrow" w:eastAsiaTheme="minorEastAsia"/>
                <w:szCs w:val="21"/>
              </w:rPr>
            </w:pPr>
            <w:r>
              <w:rPr>
                <w:rFonts w:ascii="Arial Narrow" w:hAnsi="Arial Narrow" w:eastAsiaTheme="minorEastAsia"/>
                <w:szCs w:val="21"/>
              </w:rPr>
              <w:t>合计</w:t>
            </w:r>
          </w:p>
        </w:tc>
        <w:tc>
          <w:tcPr>
            <w:tcW w:w="1723" w:type="pct"/>
            <w:tcBorders>
              <w:top w:val="single" w:color="auto" w:sz="4" w:space="0"/>
              <w:left w:val="single" w:color="auto" w:sz="4" w:space="0"/>
              <w:bottom w:val="single" w:color="auto" w:sz="4" w:space="0"/>
              <w:right w:val="single" w:color="auto" w:sz="4" w:space="0"/>
            </w:tcBorders>
            <w:vAlign w:val="center"/>
          </w:tcPr>
          <w:p w14:paraId="026B4544">
            <w:pPr>
              <w:jc w:val="right"/>
              <w:rPr>
                <w:rFonts w:ascii="Arial Narrow" w:hAnsi="Arial Narrow" w:eastAsiaTheme="minorEastAsia"/>
                <w:szCs w:val="21"/>
              </w:rPr>
            </w:pPr>
            <w:r>
              <w:rPr>
                <w:rFonts w:ascii="Arial Narrow" w:hAnsi="Arial Narrow" w:eastAsiaTheme="minorEastAsia"/>
                <w:color w:val="000000"/>
                <w:szCs w:val="21"/>
              </w:rPr>
              <w:t>306,873,185.28</w:t>
            </w:r>
          </w:p>
        </w:tc>
        <w:tc>
          <w:tcPr>
            <w:tcW w:w="1729" w:type="pct"/>
            <w:tcBorders>
              <w:top w:val="single" w:color="auto" w:sz="4" w:space="0"/>
              <w:left w:val="single" w:color="auto" w:sz="4" w:space="0"/>
              <w:bottom w:val="single" w:color="auto" w:sz="4" w:space="0"/>
              <w:right w:val="single" w:color="auto" w:sz="4" w:space="0"/>
            </w:tcBorders>
            <w:vAlign w:val="center"/>
          </w:tcPr>
          <w:p w14:paraId="684D00A4">
            <w:pPr>
              <w:jc w:val="right"/>
              <w:rPr>
                <w:rFonts w:ascii="Arial Narrow" w:hAnsi="Arial Narrow" w:eastAsiaTheme="minorEastAsia"/>
                <w:szCs w:val="21"/>
              </w:rPr>
            </w:pPr>
            <w:r>
              <w:rPr>
                <w:rFonts w:ascii="Arial Narrow" w:hAnsi="Arial Narrow" w:eastAsiaTheme="minorEastAsia"/>
                <w:color w:val="000000"/>
                <w:szCs w:val="21"/>
              </w:rPr>
              <w:t>147,901,045.46</w:t>
            </w:r>
          </w:p>
        </w:tc>
      </w:tr>
    </w:tbl>
    <w:p w14:paraId="46AB6444">
      <w:pPr>
        <w:rPr>
          <w:rFonts w:hint="eastAsia"/>
          <w:color w:val="000000" w:themeColor="text1"/>
          <w:szCs w:val="21"/>
          <w14:textFill>
            <w14:solidFill>
              <w14:schemeClr w14:val="tx1"/>
            </w14:solidFill>
          </w14:textFill>
        </w:rPr>
      </w:pPr>
    </w:p>
    <w:bookmarkEnd w:id="344"/>
    <w:bookmarkEnd w:id="345"/>
    <w:p w14:paraId="7F228F02">
      <w:pPr>
        <w:rPr>
          <w:rFonts w:hint="eastAsia"/>
          <w:szCs w:val="21"/>
        </w:rPr>
      </w:pPr>
    </w:p>
    <w:p w14:paraId="6BD54D6A">
      <w:pPr>
        <w:rPr>
          <w:rFonts w:hint="eastAsia"/>
        </w:rPr>
      </w:pPr>
      <w:r>
        <w:rPr>
          <w:rFonts w:hint="eastAsia"/>
        </w:rPr>
        <w:t>短期</w:t>
      </w:r>
      <w:r>
        <w:t>应付债券的增减变动</w:t>
      </w:r>
      <w:r>
        <w:rPr>
          <w:rFonts w:hint="eastAsia"/>
        </w:rPr>
        <w:t>：</w:t>
      </w:r>
    </w:p>
    <w:sdt>
      <w:sdtPr>
        <w:alias w:val="是否适用：短期应付债券的增减变动[双击切换]"/>
        <w:tag w:val="_GBC_9702365af41547e6b7eeb62225fd79a4"/>
        <w:id w:val="-538134213"/>
        <w:placeholder>
          <w:docPart w:val="GBC22222222222222222222222222222"/>
        </w:placeholder>
      </w:sdtPr>
      <w:sdtContent>
        <w:p w14:paraId="30400537">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5965D0B">
      <w:pPr>
        <w:rPr>
          <w:rFonts w:hint="eastAsia"/>
          <w:szCs w:val="21"/>
        </w:rPr>
      </w:pPr>
    </w:p>
    <w:p w14:paraId="2314EC91">
      <w:pPr>
        <w:spacing w:before="60" w:after="60"/>
        <w:rPr>
          <w:rFonts w:hint="eastAsia"/>
          <w:szCs w:val="21"/>
        </w:rPr>
      </w:pPr>
      <w:r>
        <w:rPr>
          <w:rFonts w:hint="eastAsia"/>
          <w:szCs w:val="21"/>
        </w:rPr>
        <w:t>其他说明：</w:t>
      </w:r>
    </w:p>
    <w:sdt>
      <w:sdtPr>
        <w:rPr>
          <w:szCs w:val="21"/>
        </w:rPr>
        <w:alias w:val="是否适用：其他流动负债说明[双击切换]"/>
        <w:tag w:val="_GBC_137d3b80ab3041c1a1b255a500c3d52c"/>
        <w:id w:val="1697495491"/>
        <w:placeholder>
          <w:docPart w:val="GBC22222222222222222222222222222"/>
        </w:placeholder>
      </w:sdtPr>
      <w:sdtEndPr>
        <w:rPr>
          <w:szCs w:val="21"/>
        </w:rPr>
      </w:sdtEndPr>
      <w:sdtContent>
        <w:p w14:paraId="2991124B">
          <w:pPr>
            <w:spacing w:before="60" w:after="6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07C3CAD">
      <w:pPr>
        <w:rPr>
          <w:rFonts w:hint="eastAsia"/>
          <w:szCs w:val="21"/>
        </w:rPr>
      </w:pPr>
    </w:p>
    <w:p w14:paraId="6930B228">
      <w:pPr>
        <w:pStyle w:val="70"/>
        <w:numPr>
          <w:ilvl w:val="0"/>
          <w:numId w:val="109"/>
        </w:numPr>
        <w:rPr>
          <w:szCs w:val="21"/>
        </w:rPr>
      </w:pPr>
      <w:r>
        <w:rPr>
          <w:szCs w:val="21"/>
        </w:rPr>
        <w:t>长期借款</w:t>
      </w:r>
    </w:p>
    <w:p w14:paraId="0C2F855F">
      <w:pPr>
        <w:pStyle w:val="71"/>
        <w:numPr>
          <w:ilvl w:val="3"/>
          <w:numId w:val="141"/>
        </w:numPr>
        <w:rPr>
          <w:rFonts w:hint="eastAsia"/>
        </w:rPr>
      </w:pPr>
      <w:r>
        <w:rPr>
          <w:rFonts w:hint="eastAsia"/>
        </w:rPr>
        <w:t>长期借款分类</w:t>
      </w:r>
    </w:p>
    <w:sdt>
      <w:sdtPr>
        <w:alias w:val="是否适用：长期借款分类[双击切换]"/>
        <w:tag w:val="_GBC_f97d0882083646ed86769469b3ee8875"/>
        <w:id w:val="-781653760"/>
        <w:placeholder>
          <w:docPart w:val="GBC22222222222222222222222222222"/>
        </w:placeholder>
      </w:sdtPr>
      <w:sdtContent>
        <w:p w14:paraId="161C430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5439817">
      <w:pPr>
        <w:jc w:val="right"/>
        <w:rPr>
          <w:rFonts w:hint="eastAsia"/>
          <w:szCs w:val="21"/>
        </w:rPr>
      </w:pPr>
      <w:r>
        <w:rPr>
          <w:rFonts w:hint="eastAsia"/>
          <w:szCs w:val="21"/>
        </w:rPr>
        <w:t>单位：</w:t>
      </w:r>
      <w:sdt>
        <w:sdtPr>
          <w:rPr>
            <w:rFonts w:hint="eastAsia"/>
            <w:szCs w:val="21"/>
          </w:rPr>
          <w:alias w:val="单位：财务附注：长期借款分类"/>
          <w:tag w:val="_GBC_1469e55f5b66428a857f07acaf1e4ae0"/>
          <w:id w:val="4758801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3247990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5"/>
        <w:gridCol w:w="2975"/>
        <w:gridCol w:w="2873"/>
      </w:tblGrid>
      <w:tr w14:paraId="20FC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4e1b60888e3248369c96087fd1f19eed"/>
            <w:id w:val="155198235"/>
          </w:sdtPr>
          <w:sdtEndPr>
            <w:rPr>
              <w:rFonts w:ascii="Arial Narrow" w:hAnsi="Arial Narrow" w:eastAsiaTheme="minorEastAsia"/>
              <w:szCs w:val="21"/>
            </w:rPr>
          </w:sdtEndPr>
          <w:sdtContent>
            <w:tc>
              <w:tcPr>
                <w:tcW w:w="1686" w:type="pct"/>
              </w:tcPr>
              <w:p w14:paraId="1D2E8792">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5eb33a0c1cde49ff9ed499493463ec46"/>
            <w:id w:val="269590844"/>
          </w:sdtPr>
          <w:sdtEndPr>
            <w:rPr>
              <w:rFonts w:ascii="Arial Narrow" w:hAnsi="Arial Narrow" w:eastAsiaTheme="minorEastAsia"/>
              <w:szCs w:val="21"/>
            </w:rPr>
          </w:sdtEndPr>
          <w:sdtContent>
            <w:tc>
              <w:tcPr>
                <w:tcW w:w="1686" w:type="pct"/>
              </w:tcPr>
              <w:p w14:paraId="1D139E05">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9b129c446a5847edb58141b866ffac5d"/>
            <w:id w:val="-617603994"/>
          </w:sdtPr>
          <w:sdtEndPr>
            <w:rPr>
              <w:rFonts w:ascii="Arial Narrow" w:hAnsi="Arial Narrow" w:eastAsiaTheme="minorEastAsia"/>
              <w:szCs w:val="21"/>
            </w:rPr>
          </w:sdtEndPr>
          <w:sdtContent>
            <w:tc>
              <w:tcPr>
                <w:tcW w:w="1628" w:type="pct"/>
              </w:tcPr>
              <w:p w14:paraId="14A1DF37">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6FC3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6" w:type="pct"/>
            <w:shd w:val="clear" w:color="auto" w:fill="auto"/>
          </w:tcPr>
          <w:p w14:paraId="538C7CD9">
            <w:pPr>
              <w:autoSpaceDE w:val="0"/>
              <w:autoSpaceDN w:val="0"/>
              <w:adjustRightInd w:val="0"/>
              <w:snapToGrid w:val="0"/>
              <w:jc w:val="both"/>
              <w:rPr>
                <w:rFonts w:ascii="Arial Narrow" w:hAnsi="Arial Narrow" w:eastAsiaTheme="minorEastAsia"/>
                <w:szCs w:val="21"/>
              </w:rPr>
            </w:pPr>
            <w:r>
              <w:rPr>
                <w:rFonts w:ascii="Arial Narrow" w:hAnsi="Arial Narrow" w:eastAsiaTheme="minorEastAsia"/>
                <w:szCs w:val="21"/>
              </w:rPr>
              <w:t>抵押借款</w:t>
            </w:r>
          </w:p>
        </w:tc>
        <w:tc>
          <w:tcPr>
            <w:tcW w:w="1686" w:type="pct"/>
            <w:shd w:val="clear" w:color="auto" w:fill="auto"/>
            <w:vAlign w:val="center"/>
          </w:tcPr>
          <w:p w14:paraId="4F9E625A">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26,894,784.72</w:t>
            </w:r>
          </w:p>
        </w:tc>
        <w:tc>
          <w:tcPr>
            <w:tcW w:w="1628" w:type="pct"/>
            <w:shd w:val="clear" w:color="auto" w:fill="auto"/>
            <w:vAlign w:val="center"/>
          </w:tcPr>
          <w:p w14:paraId="0A300884">
            <w:pPr>
              <w:jc w:val="right"/>
              <w:rPr>
                <w:rFonts w:ascii="Arial Narrow" w:hAnsi="Arial Narrow" w:eastAsiaTheme="minorEastAsia"/>
                <w:szCs w:val="21"/>
              </w:rPr>
            </w:pPr>
            <w:r>
              <w:rPr>
                <w:rFonts w:ascii="Arial Narrow" w:hAnsi="Arial Narrow" w:eastAsiaTheme="minorEastAsia"/>
                <w:color w:val="000000"/>
                <w:szCs w:val="21"/>
              </w:rPr>
              <w:t>28,781,458.33</w:t>
            </w:r>
          </w:p>
        </w:tc>
      </w:tr>
      <w:tr w14:paraId="349A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6" w:type="pct"/>
            <w:shd w:val="clear" w:color="auto" w:fill="auto"/>
          </w:tcPr>
          <w:p w14:paraId="3548EA74">
            <w:pPr>
              <w:autoSpaceDE w:val="0"/>
              <w:autoSpaceDN w:val="0"/>
              <w:adjustRightInd w:val="0"/>
              <w:snapToGrid w:val="0"/>
              <w:jc w:val="both"/>
              <w:rPr>
                <w:rFonts w:ascii="Arial Narrow" w:hAnsi="Arial Narrow" w:eastAsiaTheme="minorEastAsia"/>
                <w:szCs w:val="21"/>
              </w:rPr>
            </w:pPr>
            <w:r>
              <w:rPr>
                <w:rFonts w:ascii="Arial Narrow" w:hAnsi="Arial Narrow" w:eastAsiaTheme="minorEastAsia"/>
                <w:szCs w:val="21"/>
              </w:rPr>
              <w:t>保证借款</w:t>
            </w:r>
          </w:p>
        </w:tc>
        <w:tc>
          <w:tcPr>
            <w:tcW w:w="1686" w:type="pct"/>
            <w:shd w:val="clear" w:color="auto" w:fill="auto"/>
            <w:vAlign w:val="center"/>
          </w:tcPr>
          <w:p w14:paraId="4957373C">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4,007,055.56</w:t>
            </w:r>
          </w:p>
        </w:tc>
        <w:tc>
          <w:tcPr>
            <w:tcW w:w="1628" w:type="pct"/>
            <w:shd w:val="clear" w:color="auto" w:fill="auto"/>
            <w:vAlign w:val="center"/>
          </w:tcPr>
          <w:p w14:paraId="31EEE37F">
            <w:pPr>
              <w:jc w:val="right"/>
              <w:rPr>
                <w:rFonts w:ascii="Arial Narrow" w:hAnsi="Arial Narrow" w:eastAsiaTheme="minorEastAsia"/>
                <w:szCs w:val="21"/>
              </w:rPr>
            </w:pPr>
            <w:r>
              <w:rPr>
                <w:rFonts w:ascii="Arial Narrow" w:hAnsi="Arial Narrow" w:eastAsiaTheme="minorEastAsia"/>
                <w:color w:val="000000"/>
                <w:szCs w:val="21"/>
              </w:rPr>
              <w:t>11,520,510.11</w:t>
            </w:r>
          </w:p>
        </w:tc>
      </w:tr>
      <w:tr w14:paraId="29CF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6" w:type="pct"/>
            <w:shd w:val="clear" w:color="auto" w:fill="auto"/>
          </w:tcPr>
          <w:p w14:paraId="1E5A5742">
            <w:pPr>
              <w:autoSpaceDE w:val="0"/>
              <w:autoSpaceDN w:val="0"/>
              <w:adjustRightInd w:val="0"/>
              <w:snapToGrid w:val="0"/>
              <w:jc w:val="both"/>
              <w:rPr>
                <w:rFonts w:ascii="Arial Narrow" w:hAnsi="Arial Narrow" w:eastAsiaTheme="minorEastAsia"/>
                <w:szCs w:val="21"/>
              </w:rPr>
            </w:pPr>
            <w:r>
              <w:rPr>
                <w:rFonts w:ascii="Arial Narrow" w:hAnsi="Arial Narrow" w:eastAsiaTheme="minorEastAsia"/>
                <w:szCs w:val="21"/>
              </w:rPr>
              <w:t>信用借款</w:t>
            </w:r>
          </w:p>
        </w:tc>
        <w:tc>
          <w:tcPr>
            <w:tcW w:w="1686" w:type="pct"/>
            <w:shd w:val="clear" w:color="auto" w:fill="auto"/>
            <w:vAlign w:val="center"/>
          </w:tcPr>
          <w:p w14:paraId="0AD22E69">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499,319,061.12</w:t>
            </w:r>
          </w:p>
        </w:tc>
        <w:tc>
          <w:tcPr>
            <w:tcW w:w="1628" w:type="pct"/>
            <w:shd w:val="clear" w:color="auto" w:fill="auto"/>
            <w:vAlign w:val="center"/>
          </w:tcPr>
          <w:p w14:paraId="3C4B24CC">
            <w:pPr>
              <w:jc w:val="right"/>
              <w:rPr>
                <w:rFonts w:ascii="Arial Narrow" w:hAnsi="Arial Narrow" w:eastAsiaTheme="minorEastAsia"/>
                <w:szCs w:val="21"/>
              </w:rPr>
            </w:pPr>
            <w:r>
              <w:rPr>
                <w:rFonts w:ascii="Arial Narrow" w:hAnsi="Arial Narrow" w:eastAsiaTheme="minorEastAsia"/>
                <w:color w:val="000000"/>
                <w:szCs w:val="21"/>
              </w:rPr>
              <w:t>1,149,828,294.44</w:t>
            </w:r>
          </w:p>
        </w:tc>
      </w:tr>
      <w:tr w14:paraId="333B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6" w:type="pct"/>
          </w:tcPr>
          <w:p w14:paraId="1735ECEB">
            <w:pPr>
              <w:autoSpaceDE w:val="0"/>
              <w:autoSpaceDN w:val="0"/>
              <w:adjustRightInd w:val="0"/>
              <w:snapToGrid w:val="0"/>
              <w:rPr>
                <w:rFonts w:ascii="Arial Narrow" w:hAnsi="Arial Narrow" w:eastAsiaTheme="minorEastAsia"/>
                <w:szCs w:val="21"/>
              </w:rPr>
            </w:pPr>
            <w:r>
              <w:rPr>
                <w:rFonts w:ascii="Arial Narrow" w:hAnsi="Arial Narrow" w:eastAsiaTheme="minorEastAsia"/>
                <w:szCs w:val="21"/>
              </w:rPr>
              <w:t>减：一年内到期的长期借款</w:t>
            </w:r>
          </w:p>
        </w:tc>
        <w:tc>
          <w:tcPr>
            <w:tcW w:w="1686" w:type="pct"/>
            <w:vAlign w:val="center"/>
          </w:tcPr>
          <w:p w14:paraId="0ACEBD7B">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32,903,118.06</w:t>
            </w:r>
          </w:p>
        </w:tc>
        <w:tc>
          <w:tcPr>
            <w:tcW w:w="1628" w:type="pct"/>
            <w:vAlign w:val="center"/>
          </w:tcPr>
          <w:p w14:paraId="3847BD73">
            <w:pPr>
              <w:jc w:val="right"/>
              <w:rPr>
                <w:rFonts w:ascii="Arial Narrow" w:hAnsi="Arial Narrow" w:eastAsiaTheme="minorEastAsia"/>
                <w:szCs w:val="21"/>
              </w:rPr>
            </w:pPr>
            <w:r>
              <w:rPr>
                <w:rFonts w:ascii="Arial Narrow" w:hAnsi="Arial Narrow" w:eastAsiaTheme="minorEastAsia"/>
                <w:color w:val="000000"/>
                <w:szCs w:val="21"/>
              </w:rPr>
              <w:t>164,499,407.23</w:t>
            </w:r>
          </w:p>
        </w:tc>
      </w:tr>
      <w:tr w14:paraId="3EBD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86" w:type="pct"/>
            <w:vAlign w:val="center"/>
          </w:tcPr>
          <w:p w14:paraId="3C5ED2FC">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686" w:type="pct"/>
            <w:vAlign w:val="center"/>
          </w:tcPr>
          <w:p w14:paraId="1CD0E1FE">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497,317,783.34</w:t>
            </w:r>
          </w:p>
        </w:tc>
        <w:tc>
          <w:tcPr>
            <w:tcW w:w="1628" w:type="pct"/>
            <w:vAlign w:val="center"/>
          </w:tcPr>
          <w:p w14:paraId="147A9BF3">
            <w:pPr>
              <w:jc w:val="right"/>
              <w:rPr>
                <w:rFonts w:ascii="Arial Narrow" w:hAnsi="Arial Narrow" w:eastAsiaTheme="minorEastAsia"/>
                <w:szCs w:val="21"/>
              </w:rPr>
            </w:pPr>
            <w:r>
              <w:rPr>
                <w:rFonts w:ascii="Arial Narrow" w:hAnsi="Arial Narrow" w:eastAsiaTheme="minorEastAsia"/>
                <w:color w:val="000000"/>
                <w:szCs w:val="21"/>
              </w:rPr>
              <w:t>1,025,630,855.65</w:t>
            </w:r>
          </w:p>
        </w:tc>
      </w:tr>
    </w:tbl>
    <w:p w14:paraId="082989F0">
      <w:pPr>
        <w:snapToGrid w:val="0"/>
        <w:spacing w:before="60" w:after="60" w:line="240" w:lineRule="atLeast"/>
        <w:rPr>
          <w:rFonts w:hint="eastAsia"/>
          <w:szCs w:val="21"/>
        </w:rPr>
      </w:pPr>
      <w:r>
        <w:rPr>
          <w:rFonts w:hint="eastAsia"/>
          <w:szCs w:val="21"/>
        </w:rPr>
        <w:t>长期借款分类的说明：</w:t>
      </w:r>
    </w:p>
    <w:sdt>
      <w:sdtPr>
        <w:rPr>
          <w:szCs w:val="21"/>
        </w:rPr>
        <w:alias w:val="长期借款分类的说明"/>
        <w:tag w:val="_GBC_b89f86a2a8054eb2892900c86ecbdcb3"/>
        <w:id w:val="-1590687643"/>
        <w:placeholder>
          <w:docPart w:val="GBC22222222222222222222222222222"/>
        </w:placeholder>
      </w:sdtPr>
      <w:sdtEndPr>
        <w:rPr>
          <w:szCs w:val="21"/>
          <w:highlight w:val="yellow"/>
        </w:rPr>
      </w:sdtEndPr>
      <w:sdtContent>
        <w:p w14:paraId="6815B2D5">
          <w:pPr>
            <w:snapToGrid w:val="0"/>
            <w:ind w:firstLine="420" w:firstLineChars="200"/>
            <w:rPr>
              <w:rFonts w:hint="eastAsia"/>
              <w:szCs w:val="21"/>
            </w:rPr>
          </w:pPr>
          <w:r>
            <w:rPr>
              <w:rFonts w:hint="eastAsia"/>
              <w:szCs w:val="21"/>
            </w:rPr>
            <w:t>（1）抵押借款为本公司之子公司际华三五零九纺织有限公司为建设耐高温特种过滤材料产业用纺织品项目，以设备作为抵押物从中国农发重点建设基金有限公司取得1,500.00万元借款，截止本报告期末已经偿还1,312.5万元，剩余未偿还借款金额187.50万元，于2025年10月到期，本期分类为一年内到期的非流动负债。</w:t>
          </w:r>
        </w:p>
        <w:p w14:paraId="237A7A9C">
          <w:pPr>
            <w:snapToGrid w:val="0"/>
            <w:ind w:firstLine="420" w:firstLineChars="200"/>
            <w:rPr>
              <w:rFonts w:hint="eastAsia"/>
              <w:szCs w:val="21"/>
            </w:rPr>
          </w:pPr>
          <w:r>
            <w:rPr>
              <w:rFonts w:hint="eastAsia"/>
              <w:szCs w:val="21"/>
            </w:rPr>
            <w:t>（2）抵押借款为本公司之子公司重庆巨盾实业有限公司以自有房屋及土地作为抵押从重庆农村商业银行股份有限公司彭水支行取得长期借款2,500.00万元，截止本报告期末，剩余未偿还借款金额2,500.00万元，于2025年2月到期，本期分类为一年内到期的非流动负债。</w:t>
          </w:r>
        </w:p>
        <w:p w14:paraId="3C9D78F4">
          <w:pPr>
            <w:snapToGrid w:val="0"/>
            <w:ind w:firstLine="420" w:firstLineChars="200"/>
            <w:rPr>
              <w:rFonts w:hint="eastAsia" w:cstheme="minorBidi"/>
              <w:color w:val="000000" w:themeColor="text1"/>
              <w:kern w:val="2"/>
              <w:szCs w:val="21"/>
              <w14:textFill>
                <w14:solidFill>
                  <w14:schemeClr w14:val="tx1"/>
                </w14:solidFill>
              </w14:textFill>
            </w:rPr>
          </w:pPr>
          <w:r>
            <w:rPr>
              <w:rFonts w:hint="eastAsia"/>
              <w:szCs w:val="21"/>
            </w:rPr>
            <w:t>（3）保证借款为本公司之子公司际华(天津)新能源投资有限公司以天津市金地城市建设有限公司作为担保人从天津银行股份有限公司宝坻支行取得长期借款2,000.00万元，截止本报告期末，已经偿还1,600.00万元，剩余未偿还借款金额400.00万元，于2025年6月到期，本期分类为一年内到期的非流动负债。</w:t>
          </w:r>
        </w:p>
      </w:sdtContent>
    </w:sdt>
    <w:p w14:paraId="00360E66">
      <w:pPr>
        <w:snapToGrid w:val="0"/>
        <w:rPr>
          <w:rFonts w:hint="eastAsia" w:cstheme="minorBidi"/>
          <w:color w:val="000000" w:themeColor="text1"/>
          <w:kern w:val="2"/>
          <w:szCs w:val="21"/>
          <w14:textFill>
            <w14:solidFill>
              <w14:schemeClr w14:val="tx1"/>
            </w14:solidFill>
          </w14:textFill>
        </w:rPr>
      </w:pPr>
    </w:p>
    <w:p w14:paraId="34D305CB">
      <w:pPr>
        <w:snapToGrid w:val="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其他说明：</w:t>
      </w:r>
    </w:p>
    <w:sdt>
      <w:sdtPr>
        <w:rPr>
          <w:color w:val="000000" w:themeColor="text1"/>
          <w:szCs w:val="21"/>
          <w14:textFill>
            <w14:solidFill>
              <w14:schemeClr w14:val="tx1"/>
            </w14:solidFill>
          </w14:textFill>
        </w:rPr>
        <w:alias w:val="是否适用：长期借款的说明[双击切换]"/>
        <w:tag w:val="_GBC_81b19a673078421a910ba8721333fbbe"/>
        <w:id w:val="1541166060"/>
        <w:placeholder>
          <w:docPart w:val="GBC22222222222222222222222222222"/>
        </w:placeholder>
      </w:sdtPr>
      <w:sdtEndPr>
        <w:rPr>
          <w:color w:val="000000" w:themeColor="text1"/>
          <w:szCs w:val="21"/>
          <w14:textFill>
            <w14:solidFill>
              <w14:schemeClr w14:val="tx1"/>
            </w14:solidFill>
          </w14:textFill>
        </w:rPr>
      </w:sdtEndPr>
      <w:sdtContent>
        <w:p w14:paraId="64F23EA0">
          <w:pPr>
            <w:snapToGrid w:val="0"/>
            <w:rPr>
              <w:rFonts w:hint="eastAsia"/>
              <w:szCs w:val="21"/>
            </w:rPr>
          </w:pPr>
          <w:r>
            <w:rPr>
              <w:color w:val="000000" w:themeColor="text1"/>
              <w:szCs w:val="21"/>
              <w14:textFill>
                <w14:solidFill>
                  <w14:schemeClr w14:val="tx1"/>
                </w14:solidFill>
              </w14:textFill>
            </w:rPr>
            <w:fldChar w:fldCharType="begin"/>
          </w:r>
          <w:r>
            <w:rPr>
              <w:rFonts w:hint="eastAsia"/>
              <w:color w:val="000000" w:themeColor="text1"/>
              <w:szCs w:val="21"/>
              <w14:textFill>
                <w14:solidFill>
                  <w14:schemeClr w14:val="tx1"/>
                </w14:solidFill>
              </w14:textFill>
            </w:rPr>
            <w:instrText xml:space="preserve">MACROBUTTON  SnrToggleCheckbox □适用 </w:instrText>
          </w:r>
          <w:r>
            <w:rPr>
              <w:color w:val="000000" w:themeColor="text1"/>
              <w:szCs w:val="21"/>
              <w14:textFill>
                <w14:solidFill>
                  <w14:schemeClr w14:val="tx1"/>
                </w14:solidFill>
              </w14:textFill>
            </w:rPr>
            <w:fldChar w:fldCharType="end"/>
          </w:r>
          <w:r>
            <w:rPr>
              <w:color w:val="000000" w:themeColor="text1"/>
              <w:szCs w:val="21"/>
              <w14:textFill>
                <w14:solidFill>
                  <w14:schemeClr w14:val="tx1"/>
                </w14:solidFill>
              </w14:textFill>
            </w:rPr>
            <w:fldChar w:fldCharType="begin"/>
          </w:r>
          <w:r>
            <w:rPr>
              <w:rFonts w:hint="eastAsia"/>
              <w:color w:val="000000" w:themeColor="text1"/>
              <w:szCs w:val="21"/>
              <w14:textFill>
                <w14:solidFill>
                  <w14:schemeClr w14:val="tx1"/>
                </w14:solidFill>
              </w14:textFill>
            </w:rPr>
            <w:instrText xml:space="preserve"> MACROBUTTON  SnrToggleCheckbox √不适用 </w:instrText>
          </w:r>
          <w:r>
            <w:rPr>
              <w:color w:val="000000" w:themeColor="text1"/>
              <w:szCs w:val="21"/>
              <w14:textFill>
                <w14:solidFill>
                  <w14:schemeClr w14:val="tx1"/>
                </w14:solidFill>
              </w14:textFill>
            </w:rPr>
            <w:fldChar w:fldCharType="end"/>
          </w:r>
        </w:p>
      </w:sdtContent>
    </w:sdt>
    <w:p w14:paraId="3C597CF5">
      <w:pPr>
        <w:rPr>
          <w:rFonts w:hint="eastAsia"/>
          <w:szCs w:val="21"/>
        </w:rPr>
      </w:pPr>
    </w:p>
    <w:p w14:paraId="501B8E02">
      <w:pPr>
        <w:pStyle w:val="70"/>
        <w:numPr>
          <w:ilvl w:val="0"/>
          <w:numId w:val="109"/>
        </w:numPr>
        <w:rPr>
          <w:szCs w:val="21"/>
        </w:rPr>
      </w:pPr>
      <w:r>
        <w:rPr>
          <w:szCs w:val="21"/>
        </w:rPr>
        <w:t>应付债券</w:t>
      </w:r>
    </w:p>
    <w:p w14:paraId="4C23B5BF">
      <w:pPr>
        <w:pStyle w:val="71"/>
        <w:numPr>
          <w:ilvl w:val="0"/>
          <w:numId w:val="142"/>
        </w:numPr>
        <w:ind w:left="426" w:hanging="426"/>
        <w:rPr>
          <w:rFonts w:hint="eastAsia"/>
        </w:rPr>
      </w:pPr>
      <w:r>
        <w:rPr>
          <w:rFonts w:hint="eastAsia"/>
        </w:rPr>
        <w:t>应付债券</w:t>
      </w:r>
    </w:p>
    <w:sdt>
      <w:sdtPr>
        <w:alias w:val="是否适用：应付债券[双击切换]"/>
        <w:tag w:val="_GBC_645b020b25af4284b8eff88f14f8c5c2"/>
        <w:id w:val="-823201403"/>
        <w:placeholder>
          <w:docPart w:val="GBC22222222222222222222222222222"/>
        </w:placeholder>
      </w:sdtPr>
      <w:sdtContent>
        <w:p w14:paraId="1100441F">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24203AC">
      <w:pPr>
        <w:jc w:val="right"/>
        <w:rPr>
          <w:rFonts w:hint="eastAsia"/>
        </w:rPr>
      </w:pPr>
      <w:r>
        <w:rPr>
          <w:rFonts w:hint="eastAsia"/>
        </w:rPr>
        <w:t>单位：</w:t>
      </w:r>
      <w:sdt>
        <w:sdtPr>
          <w:rPr>
            <w:rFonts w:hint="eastAsia"/>
          </w:rPr>
          <w:alias w:val="单位：财务附注：应付债券"/>
          <w:tag w:val="_GBC_57b3a408d4a84bb0a330d1831f7c6f29"/>
          <w:id w:val="-47969629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应付债券"/>
          <w:tag w:val="_GBC_058298e5284a4aa58bf3ef0038f20732"/>
          <w:id w:val="-4246467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75"/>
        <w:gridCol w:w="2998"/>
        <w:gridCol w:w="2850"/>
      </w:tblGrid>
      <w:tr w14:paraId="677A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52" w:hRule="atLeast"/>
        </w:trPr>
        <w:sdt>
          <w:sdtPr>
            <w:rPr>
              <w:rFonts w:ascii="Arial Narrow" w:hAnsi="Arial Narrow" w:eastAsiaTheme="majorEastAsia"/>
            </w:rPr>
            <w:tag w:val="_PLD_b1ab73cce61a4f81a37c70a551b42047"/>
            <w:id w:val="-845787794"/>
          </w:sdtPr>
          <w:sdtEndPr>
            <w:rPr>
              <w:rFonts w:ascii="Arial Narrow" w:hAnsi="Arial Narrow" w:eastAsiaTheme="majorEastAsia"/>
            </w:rPr>
          </w:sdtEndPr>
          <w:sdtContent>
            <w:tc>
              <w:tcPr>
                <w:tcW w:w="1686" w:type="pct"/>
                <w:shd w:val="clear" w:color="auto" w:fill="auto"/>
              </w:tcPr>
              <w:p w14:paraId="4993AFFB">
                <w:pPr>
                  <w:jc w:val="center"/>
                  <w:rPr>
                    <w:rFonts w:ascii="Arial Narrow" w:hAnsi="Arial Narrow" w:eastAsiaTheme="majorEastAsia"/>
                  </w:rPr>
                </w:pPr>
                <w:r>
                  <w:rPr>
                    <w:rFonts w:ascii="Arial Narrow" w:hAnsi="Arial Narrow" w:eastAsiaTheme="majorEastAsia"/>
                  </w:rPr>
                  <w:t>项目</w:t>
                </w:r>
              </w:p>
            </w:tc>
          </w:sdtContent>
        </w:sdt>
        <w:sdt>
          <w:sdtPr>
            <w:tag w:val="_PLD_3d8bcc7ecd3e4fd5ad328c296fbe1164"/>
            <w:id w:val="-712270637"/>
          </w:sdtPr>
          <w:sdtContent>
            <w:tc>
              <w:tcPr>
                <w:tcW w:w="1699" w:type="pct"/>
                <w:shd w:val="clear" w:color="auto" w:fill="auto"/>
              </w:tcPr>
              <w:p w14:paraId="41D30980">
                <w:pPr>
                  <w:adjustRightInd w:val="0"/>
                  <w:snapToGrid w:val="0"/>
                  <w:ind w:left="-2" w:leftChars="-2" w:right="19" w:rightChars="9" w:hanging="2" w:hangingChars="1"/>
                  <w:jc w:val="center"/>
                  <w:rPr>
                    <w:rFonts w:hint="eastAsia"/>
                    <w:b/>
                    <w:szCs w:val="21"/>
                  </w:rPr>
                </w:pPr>
                <w:r>
                  <w:rPr>
                    <w:rFonts w:hint="eastAsia"/>
                    <w:szCs w:val="21"/>
                  </w:rPr>
                  <w:t>期末余额</w:t>
                </w:r>
              </w:p>
            </w:tc>
          </w:sdtContent>
        </w:sdt>
        <w:sdt>
          <w:sdtPr>
            <w:tag w:val="_PLD_82ec823678804bd3ba2932976400cc89"/>
            <w:id w:val="-1290587757"/>
          </w:sdtPr>
          <w:sdtContent>
            <w:tc>
              <w:tcPr>
                <w:tcW w:w="1615" w:type="pct"/>
                <w:shd w:val="clear" w:color="auto" w:fill="auto"/>
              </w:tcPr>
              <w:p w14:paraId="58203AC1">
                <w:pPr>
                  <w:adjustRightInd w:val="0"/>
                  <w:snapToGrid w:val="0"/>
                  <w:ind w:left="-2" w:leftChars="-2" w:right="19" w:rightChars="9" w:hanging="2" w:hangingChars="1"/>
                  <w:jc w:val="center"/>
                  <w:rPr>
                    <w:rFonts w:hint="eastAsia"/>
                    <w:szCs w:val="21"/>
                  </w:rPr>
                </w:pPr>
                <w:r>
                  <w:rPr>
                    <w:rFonts w:hint="eastAsia"/>
                    <w:szCs w:val="21"/>
                  </w:rPr>
                  <w:t>期初余额</w:t>
                </w:r>
              </w:p>
            </w:tc>
          </w:sdtContent>
        </w:sdt>
      </w:tr>
      <w:tr w14:paraId="3120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86" w:type="pct"/>
            <w:shd w:val="clear" w:color="auto" w:fill="auto"/>
          </w:tcPr>
          <w:p w14:paraId="72FCEC4C">
            <w:pPr>
              <w:rPr>
                <w:rFonts w:ascii="Arial Narrow" w:hAnsi="Arial Narrow" w:eastAsiaTheme="majorEastAsia"/>
              </w:rPr>
            </w:pPr>
            <w:r>
              <w:rPr>
                <w:rFonts w:ascii="Arial Narrow" w:hAnsi="Arial Narrow" w:eastAsiaTheme="majorEastAsia"/>
                <w:color w:val="000000"/>
                <w:szCs w:val="21"/>
              </w:rPr>
              <w:t>20际华01</w:t>
            </w:r>
          </w:p>
        </w:tc>
        <w:tc>
          <w:tcPr>
            <w:tcW w:w="1699" w:type="pct"/>
            <w:shd w:val="clear" w:color="auto" w:fill="auto"/>
            <w:vAlign w:val="center"/>
          </w:tcPr>
          <w:p w14:paraId="6C020403">
            <w:pPr>
              <w:jc w:val="right"/>
              <w:rPr>
                <w:rFonts w:hint="eastAsia"/>
              </w:rPr>
            </w:pPr>
            <w:r>
              <w:rPr>
                <w:rFonts w:ascii="Arial Narrow" w:hAnsi="Arial Narrow" w:eastAsia="等线"/>
                <w:color w:val="000000"/>
                <w:sz w:val="22"/>
                <w:szCs w:val="22"/>
              </w:rPr>
              <w:t>20,276,025.81</w:t>
            </w:r>
          </w:p>
        </w:tc>
        <w:tc>
          <w:tcPr>
            <w:tcW w:w="1615" w:type="pct"/>
            <w:shd w:val="clear" w:color="auto" w:fill="auto"/>
            <w:vAlign w:val="center"/>
          </w:tcPr>
          <w:p w14:paraId="2460D037">
            <w:pPr>
              <w:jc w:val="right"/>
              <w:rPr>
                <w:rFonts w:hint="eastAsia"/>
              </w:rPr>
            </w:pPr>
            <w:r>
              <w:rPr>
                <w:rFonts w:ascii="Arial Narrow" w:hAnsi="Arial Narrow" w:eastAsia="等线"/>
                <w:color w:val="000000"/>
                <w:sz w:val="22"/>
                <w:szCs w:val="22"/>
              </w:rPr>
              <w:t>20,258,973.62</w:t>
            </w:r>
          </w:p>
        </w:tc>
      </w:tr>
      <w:tr w14:paraId="607F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86" w:type="pct"/>
            <w:shd w:val="clear" w:color="auto" w:fill="auto"/>
          </w:tcPr>
          <w:p w14:paraId="4BECFF4E">
            <w:pPr>
              <w:rPr>
                <w:rFonts w:ascii="Arial Narrow" w:hAnsi="Arial Narrow" w:eastAsiaTheme="majorEastAsia"/>
              </w:rPr>
            </w:pPr>
            <w:r>
              <w:rPr>
                <w:rFonts w:ascii="Arial Narrow" w:hAnsi="Arial Narrow" w:eastAsiaTheme="majorEastAsia"/>
                <w:color w:val="000000"/>
                <w:szCs w:val="21"/>
              </w:rPr>
              <w:t>23际华集团MTN001</w:t>
            </w:r>
          </w:p>
        </w:tc>
        <w:tc>
          <w:tcPr>
            <w:tcW w:w="1699" w:type="pct"/>
            <w:shd w:val="clear" w:color="auto" w:fill="auto"/>
            <w:vAlign w:val="center"/>
          </w:tcPr>
          <w:p w14:paraId="5E0B4381">
            <w:pPr>
              <w:jc w:val="right"/>
              <w:rPr>
                <w:rFonts w:hint="eastAsia"/>
              </w:rPr>
            </w:pPr>
            <w:r>
              <w:rPr>
                <w:rFonts w:ascii="Arial Narrow" w:hAnsi="Arial Narrow" w:eastAsia="等线"/>
                <w:color w:val="000000"/>
                <w:sz w:val="22"/>
                <w:szCs w:val="22"/>
              </w:rPr>
              <w:t>508,560,210.28</w:t>
            </w:r>
          </w:p>
        </w:tc>
        <w:tc>
          <w:tcPr>
            <w:tcW w:w="1615" w:type="pct"/>
            <w:shd w:val="clear" w:color="auto" w:fill="auto"/>
            <w:vAlign w:val="center"/>
          </w:tcPr>
          <w:p w14:paraId="7129827A">
            <w:pPr>
              <w:jc w:val="right"/>
              <w:rPr>
                <w:rFonts w:hint="eastAsia"/>
              </w:rPr>
            </w:pPr>
            <w:r>
              <w:rPr>
                <w:rFonts w:ascii="Arial Narrow" w:hAnsi="Arial Narrow" w:eastAsia="等线"/>
                <w:color w:val="000000"/>
                <w:sz w:val="22"/>
                <w:szCs w:val="22"/>
              </w:rPr>
              <w:t>508,380,795.27</w:t>
            </w:r>
          </w:p>
        </w:tc>
      </w:tr>
      <w:tr w14:paraId="631F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86" w:type="pct"/>
            <w:shd w:val="clear" w:color="auto" w:fill="auto"/>
          </w:tcPr>
          <w:p w14:paraId="3FD86889">
            <w:pPr>
              <w:rPr>
                <w:rFonts w:ascii="Arial Narrow" w:hAnsi="Arial Narrow" w:eastAsiaTheme="majorEastAsia"/>
                <w:color w:val="000000"/>
                <w:szCs w:val="21"/>
              </w:rPr>
            </w:pPr>
            <w:r>
              <w:rPr>
                <w:rFonts w:ascii="Arial Narrow" w:hAnsi="Arial Narrow" w:eastAsiaTheme="majorEastAsia"/>
                <w:color w:val="000000"/>
                <w:szCs w:val="21"/>
              </w:rPr>
              <w:t>减：1年内到期的应付债券</w:t>
            </w:r>
          </w:p>
        </w:tc>
        <w:tc>
          <w:tcPr>
            <w:tcW w:w="1699" w:type="pct"/>
            <w:shd w:val="clear" w:color="auto" w:fill="auto"/>
            <w:vAlign w:val="center"/>
          </w:tcPr>
          <w:p w14:paraId="6C2F2B8E">
            <w:pPr>
              <w:jc w:val="right"/>
              <w:rPr>
                <w:rFonts w:ascii="Arial Narrow" w:hAnsi="Arial Narrow" w:eastAsia="等线"/>
                <w:color w:val="000000"/>
                <w:sz w:val="22"/>
                <w:szCs w:val="22"/>
              </w:rPr>
            </w:pPr>
            <w:r>
              <w:rPr>
                <w:rFonts w:ascii="Arial Narrow" w:hAnsi="Arial Narrow" w:eastAsia="等线"/>
                <w:color w:val="000000"/>
                <w:sz w:val="22"/>
                <w:szCs w:val="22"/>
              </w:rPr>
              <w:t>-20,276,025.81</w:t>
            </w:r>
          </w:p>
        </w:tc>
        <w:tc>
          <w:tcPr>
            <w:tcW w:w="1615" w:type="pct"/>
            <w:shd w:val="clear" w:color="auto" w:fill="auto"/>
            <w:vAlign w:val="center"/>
          </w:tcPr>
          <w:p w14:paraId="68A6D3FB">
            <w:pPr>
              <w:jc w:val="right"/>
              <w:rPr>
                <w:rFonts w:ascii="Arial Narrow" w:hAnsi="Arial Narrow" w:eastAsia="等线"/>
                <w:color w:val="000000"/>
                <w:sz w:val="22"/>
                <w:szCs w:val="22"/>
              </w:rPr>
            </w:pPr>
          </w:p>
        </w:tc>
      </w:tr>
      <w:tr w14:paraId="0D73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86" w:type="pct"/>
            <w:shd w:val="clear" w:color="auto" w:fill="auto"/>
          </w:tcPr>
          <w:p w14:paraId="169CA1FB">
            <w:pPr>
              <w:jc w:val="center"/>
              <w:rPr>
                <w:rFonts w:ascii="Arial Narrow" w:hAnsi="Arial Narrow" w:eastAsiaTheme="majorEastAsia"/>
              </w:rPr>
            </w:pPr>
            <w:r>
              <w:rPr>
                <w:rFonts w:ascii="Arial Narrow" w:hAnsi="Arial Narrow" w:eastAsiaTheme="majorEastAsia"/>
              </w:rPr>
              <w:t>合计</w:t>
            </w:r>
          </w:p>
        </w:tc>
        <w:tc>
          <w:tcPr>
            <w:tcW w:w="1699" w:type="pct"/>
            <w:shd w:val="clear" w:color="auto" w:fill="auto"/>
            <w:vAlign w:val="center"/>
          </w:tcPr>
          <w:p w14:paraId="11FEDF45">
            <w:pPr>
              <w:jc w:val="right"/>
              <w:rPr>
                <w:rFonts w:hint="eastAsia"/>
              </w:rPr>
            </w:pPr>
            <w:r>
              <w:rPr>
                <w:rFonts w:ascii="Arial Narrow" w:hAnsi="Arial Narrow" w:eastAsia="等线"/>
                <w:color w:val="000000"/>
                <w:sz w:val="22"/>
                <w:szCs w:val="22"/>
              </w:rPr>
              <w:t>508,560,210.28</w:t>
            </w:r>
          </w:p>
        </w:tc>
        <w:tc>
          <w:tcPr>
            <w:tcW w:w="1615" w:type="pct"/>
            <w:shd w:val="clear" w:color="auto" w:fill="auto"/>
            <w:vAlign w:val="center"/>
          </w:tcPr>
          <w:p w14:paraId="79C81FAC">
            <w:pPr>
              <w:jc w:val="right"/>
              <w:rPr>
                <w:rFonts w:hint="eastAsia"/>
              </w:rPr>
            </w:pPr>
            <w:r>
              <w:rPr>
                <w:rFonts w:ascii="Arial Narrow" w:hAnsi="Arial Narrow" w:eastAsia="等线"/>
                <w:color w:val="000000"/>
                <w:sz w:val="22"/>
                <w:szCs w:val="22"/>
              </w:rPr>
              <w:t>528,639,768.89</w:t>
            </w:r>
          </w:p>
        </w:tc>
      </w:tr>
    </w:tbl>
    <w:p w14:paraId="362BE78D">
      <w:pPr>
        <w:rPr>
          <w:rFonts w:hint="eastAsia"/>
        </w:rPr>
      </w:pPr>
    </w:p>
    <w:p w14:paraId="4D5EE862">
      <w:pPr>
        <w:rPr>
          <w:rFonts w:hint="eastAsia"/>
        </w:rPr>
      </w:pPr>
    </w:p>
    <w:p w14:paraId="4D05E17A">
      <w:pPr>
        <w:rPr>
          <w:rFonts w:hint="eastAsia"/>
        </w:rPr>
        <w:sectPr>
          <w:pgSz w:w="11906" w:h="16838"/>
          <w:pgMar w:top="1440" w:right="1797" w:bottom="1525" w:left="1276" w:header="856" w:footer="992" w:gutter="0"/>
          <w:cols w:space="425" w:num="1"/>
          <w:docGrid w:linePitch="312" w:charSpace="0"/>
        </w:sectPr>
      </w:pPr>
    </w:p>
    <w:p w14:paraId="75A7D20B">
      <w:pPr>
        <w:pStyle w:val="71"/>
        <w:numPr>
          <w:ilvl w:val="0"/>
          <w:numId w:val="142"/>
        </w:numPr>
        <w:ind w:left="426" w:hanging="426"/>
        <w:rPr>
          <w:rFonts w:hint="eastAsia"/>
        </w:rPr>
      </w:pPr>
      <w:r>
        <w:rPr>
          <w:rFonts w:hint="eastAsia"/>
        </w:rPr>
        <w:t>应付债券的具体情况：（不包括划分为金融负债的优先股、永续债等其他金融工具）</w:t>
      </w:r>
    </w:p>
    <w:sdt>
      <w:sdtPr>
        <w:alias w:val="是否适用：应付债券的增减变动[双击切换]"/>
        <w:tag w:val="_GBC_a682f35f6b7c4d8b840f80705a81f19c"/>
        <w:id w:val="635528532"/>
        <w:placeholder>
          <w:docPart w:val="GBC22222222222222222222222222222"/>
        </w:placeholder>
      </w:sdtPr>
      <w:sdtContent>
        <w:p w14:paraId="4231F03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D8A647">
      <w:pPr>
        <w:jc w:val="right"/>
        <w:rPr>
          <w:rFonts w:hint="eastAsia"/>
        </w:rPr>
      </w:pPr>
      <w:r>
        <w:rPr>
          <w:rFonts w:hint="eastAsia"/>
        </w:rPr>
        <w:t>单位：</w:t>
      </w:r>
      <w:sdt>
        <w:sdtPr>
          <w:rPr>
            <w:rFonts w:hint="eastAsia"/>
          </w:rPr>
          <w:alias w:val="单位：财务附注：应付债券的增减变动"/>
          <w:tag w:val="_GBC_221366b8136447aca9359e6115acb07a"/>
          <w:id w:val="-17636022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应付债券的增减变动"/>
          <w:tag w:val="_GBC_ab4475cd02fd49449e15ccf7e0fadc42"/>
          <w:id w:val="18529163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332"/>
        <w:gridCol w:w="856"/>
        <w:gridCol w:w="881"/>
        <w:gridCol w:w="1518"/>
        <w:gridCol w:w="701"/>
        <w:gridCol w:w="1528"/>
        <w:gridCol w:w="1444"/>
        <w:gridCol w:w="1171"/>
        <w:gridCol w:w="1114"/>
        <w:gridCol w:w="1278"/>
        <w:gridCol w:w="1333"/>
        <w:gridCol w:w="707"/>
      </w:tblGrid>
      <w:tr w14:paraId="0035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590" w:hRule="atLeast"/>
        </w:trPr>
        <w:sdt>
          <w:sdtPr>
            <w:rPr>
              <w:rFonts w:ascii="Arial Narrow" w:hAnsi="Arial Narrow" w:eastAsiaTheme="minorEastAsia"/>
            </w:rPr>
            <w:tag w:val="_PLD_e802e0473fe74b70b94a2bc1ff9e6120"/>
            <w:id w:val="1329252739"/>
          </w:sdtPr>
          <w:sdtEndPr>
            <w:rPr>
              <w:rFonts w:ascii="Arial Narrow" w:hAnsi="Arial Narrow" w:eastAsiaTheme="minorEastAsia"/>
            </w:rPr>
          </w:sdtEndPr>
          <w:sdtContent>
            <w:tc>
              <w:tcPr>
                <w:tcW w:w="486" w:type="pct"/>
                <w:shd w:val="clear" w:color="auto" w:fill="auto"/>
                <w:vAlign w:val="center"/>
              </w:tcPr>
              <w:p w14:paraId="626FABC9">
                <w:pPr>
                  <w:jc w:val="center"/>
                  <w:rPr>
                    <w:rFonts w:ascii="Arial Narrow" w:hAnsi="Arial Narrow" w:eastAsiaTheme="minorEastAsia"/>
                  </w:rPr>
                </w:pPr>
                <w:r>
                  <w:rPr>
                    <w:rFonts w:ascii="Arial Narrow" w:hAnsi="Arial Narrow" w:eastAsiaTheme="minorEastAsia"/>
                  </w:rPr>
                  <w:t>债券</w:t>
                </w:r>
              </w:p>
              <w:p w14:paraId="711E2E7C">
                <w:pPr>
                  <w:jc w:val="center"/>
                  <w:rPr>
                    <w:rFonts w:ascii="Arial Narrow" w:hAnsi="Arial Narrow" w:eastAsiaTheme="minorEastAsia"/>
                  </w:rPr>
                </w:pPr>
                <w:r>
                  <w:rPr>
                    <w:rFonts w:ascii="Arial Narrow" w:hAnsi="Arial Narrow" w:eastAsiaTheme="minorEastAsia"/>
                  </w:rPr>
                  <w:t>名称</w:t>
                </w:r>
              </w:p>
            </w:tc>
          </w:sdtContent>
        </w:sdt>
        <w:sdt>
          <w:sdtPr>
            <w:rPr>
              <w:rFonts w:ascii="Arial Narrow" w:hAnsi="Arial Narrow" w:eastAsiaTheme="minorEastAsia"/>
            </w:rPr>
            <w:tag w:val="_PLD_3305820c0a7b4304abdad6fc20766aa3"/>
            <w:id w:val="-1884088514"/>
          </w:sdtPr>
          <w:sdtEndPr>
            <w:rPr>
              <w:rFonts w:ascii="Arial Narrow" w:hAnsi="Arial Narrow" w:eastAsiaTheme="minorEastAsia"/>
            </w:rPr>
          </w:sdtEndPr>
          <w:sdtContent>
            <w:tc>
              <w:tcPr>
                <w:tcW w:w="272" w:type="pct"/>
                <w:shd w:val="clear" w:color="auto" w:fill="auto"/>
                <w:vAlign w:val="center"/>
              </w:tcPr>
              <w:p w14:paraId="2DEA3D8A">
                <w:pPr>
                  <w:jc w:val="center"/>
                  <w:rPr>
                    <w:rFonts w:ascii="Arial Narrow" w:hAnsi="Arial Narrow" w:eastAsiaTheme="minorEastAsia"/>
                  </w:rPr>
                </w:pPr>
                <w:r>
                  <w:rPr>
                    <w:rFonts w:ascii="Arial Narrow" w:hAnsi="Arial Narrow" w:eastAsiaTheme="minorEastAsia"/>
                  </w:rPr>
                  <w:t>面值（</w:t>
                </w:r>
                <w:sdt>
                  <w:sdtPr>
                    <w:rPr>
                      <w:rFonts w:ascii="Arial Narrow" w:hAnsi="Arial Narrow" w:eastAsiaTheme="minorEastAsia"/>
                    </w:rPr>
                    <w:alias w:val="单位：应付债券面值"/>
                    <w:tag w:val="_GBC_db357e0250e543be9557b662713d7632"/>
                    <w:id w:val="335893202"/>
                    <w:comboBox>
                      <w:listItem w:displayText="元" w:value="元"/>
                      <w:listItem w:displayText="千元" w:value="千元"/>
                      <w:listItem w:displayText="万元" w:value="万元"/>
                      <w:listItem w:displayText="百万元" w:value="百万元"/>
                      <w:listItem w:displayText="亿元" w:value="亿元"/>
                    </w:comboBox>
                  </w:sdtPr>
                  <w:sdtEndPr>
                    <w:rPr>
                      <w:rFonts w:ascii="Arial Narrow" w:hAnsi="Arial Narrow" w:eastAsiaTheme="minorEastAsia"/>
                    </w:rPr>
                  </w:sdtEndPr>
                  <w:sdtContent>
                    <w:r>
                      <w:rPr>
                        <w:rFonts w:ascii="Arial Narrow" w:hAnsi="Arial Narrow" w:eastAsiaTheme="minorEastAsia"/>
                      </w:rPr>
                      <w:t>元</w:t>
                    </w:r>
                  </w:sdtContent>
                </w:sdt>
                <w:r>
                  <w:rPr>
                    <w:rFonts w:ascii="Arial Narrow" w:hAnsi="Arial Narrow" w:eastAsiaTheme="minorEastAsia"/>
                  </w:rPr>
                  <w:t>）</w:t>
                </w:r>
              </w:p>
            </w:tc>
          </w:sdtContent>
        </w:sdt>
        <w:tc>
          <w:tcPr>
            <w:tcW w:w="323" w:type="pct"/>
            <w:vAlign w:val="center"/>
          </w:tcPr>
          <w:sdt>
            <w:sdtPr>
              <w:rPr>
                <w:rFonts w:ascii="Arial Narrow" w:hAnsi="Arial Narrow" w:eastAsiaTheme="minorEastAsia"/>
              </w:rPr>
              <w:tag w:val="_PLD_cde8062fd35d4697ab79d366fd31de10"/>
              <w:id w:val="28003177"/>
            </w:sdtPr>
            <w:sdtEndPr>
              <w:rPr>
                <w:rFonts w:ascii="Arial Narrow" w:hAnsi="Arial Narrow" w:eastAsiaTheme="minorEastAsia"/>
              </w:rPr>
            </w:sdtEndPr>
            <w:sdtContent>
              <w:p w14:paraId="0E479F98">
                <w:pPr>
                  <w:jc w:val="center"/>
                  <w:rPr>
                    <w:rFonts w:ascii="Arial Narrow" w:hAnsi="Arial Narrow" w:eastAsiaTheme="minorEastAsia"/>
                  </w:rPr>
                </w:pPr>
                <w:r>
                  <w:rPr>
                    <w:rFonts w:ascii="Arial Narrow" w:hAnsi="Arial Narrow" w:eastAsiaTheme="minorEastAsia"/>
                  </w:rPr>
                  <w:t>票面利率（%）</w:t>
                </w:r>
              </w:p>
            </w:sdtContent>
          </w:sdt>
        </w:tc>
        <w:sdt>
          <w:sdtPr>
            <w:rPr>
              <w:rFonts w:ascii="Arial Narrow" w:hAnsi="Arial Narrow" w:eastAsiaTheme="minorEastAsia"/>
            </w:rPr>
            <w:tag w:val="_PLD_ee6ba2e107ad4013b8b8d3efeae50c26"/>
            <w:id w:val="1578624328"/>
          </w:sdtPr>
          <w:sdtEndPr>
            <w:rPr>
              <w:rFonts w:ascii="Arial Narrow" w:hAnsi="Arial Narrow" w:eastAsiaTheme="minorEastAsia"/>
            </w:rPr>
          </w:sdtEndPr>
          <w:sdtContent>
            <w:tc>
              <w:tcPr>
                <w:tcW w:w="553" w:type="pct"/>
                <w:shd w:val="clear" w:color="auto" w:fill="auto"/>
                <w:vAlign w:val="center"/>
              </w:tcPr>
              <w:p w14:paraId="6CC23021">
                <w:pPr>
                  <w:jc w:val="center"/>
                  <w:rPr>
                    <w:rFonts w:ascii="Arial Narrow" w:hAnsi="Arial Narrow" w:eastAsiaTheme="minorEastAsia"/>
                  </w:rPr>
                </w:pPr>
                <w:r>
                  <w:rPr>
                    <w:rFonts w:ascii="Arial Narrow" w:hAnsi="Arial Narrow" w:eastAsiaTheme="minorEastAsia"/>
                  </w:rPr>
                  <w:t>发行</w:t>
                </w:r>
              </w:p>
              <w:p w14:paraId="70BD5EBE">
                <w:pPr>
                  <w:jc w:val="center"/>
                  <w:rPr>
                    <w:rFonts w:ascii="Arial Narrow" w:hAnsi="Arial Narrow" w:eastAsiaTheme="minorEastAsia"/>
                  </w:rPr>
                </w:pPr>
                <w:r>
                  <w:rPr>
                    <w:rFonts w:ascii="Arial Narrow" w:hAnsi="Arial Narrow" w:eastAsiaTheme="minorEastAsia"/>
                  </w:rPr>
                  <w:t>日期</w:t>
                </w:r>
              </w:p>
            </w:tc>
          </w:sdtContent>
        </w:sdt>
        <w:sdt>
          <w:sdtPr>
            <w:rPr>
              <w:rFonts w:ascii="Arial Narrow" w:hAnsi="Arial Narrow" w:eastAsiaTheme="minorEastAsia"/>
            </w:rPr>
            <w:tag w:val="_PLD_124bbea948a54d48a0375b121ca28abc"/>
            <w:id w:val="2024971554"/>
          </w:sdtPr>
          <w:sdtEndPr>
            <w:rPr>
              <w:rFonts w:ascii="Arial Narrow" w:hAnsi="Arial Narrow" w:eastAsiaTheme="minorEastAsia"/>
            </w:rPr>
          </w:sdtEndPr>
          <w:sdtContent>
            <w:tc>
              <w:tcPr>
                <w:tcW w:w="258" w:type="pct"/>
                <w:shd w:val="clear" w:color="auto" w:fill="auto"/>
                <w:vAlign w:val="center"/>
              </w:tcPr>
              <w:p w14:paraId="2BE88980">
                <w:pPr>
                  <w:jc w:val="center"/>
                  <w:rPr>
                    <w:rFonts w:ascii="Arial Narrow" w:hAnsi="Arial Narrow" w:eastAsiaTheme="minorEastAsia"/>
                  </w:rPr>
                </w:pPr>
                <w:r>
                  <w:rPr>
                    <w:rFonts w:ascii="Arial Narrow" w:hAnsi="Arial Narrow" w:eastAsiaTheme="minorEastAsia"/>
                  </w:rPr>
                  <w:t>债券</w:t>
                </w:r>
              </w:p>
              <w:p w14:paraId="12EFAB53">
                <w:pPr>
                  <w:jc w:val="center"/>
                  <w:rPr>
                    <w:rFonts w:ascii="Arial Narrow" w:hAnsi="Arial Narrow" w:eastAsiaTheme="minorEastAsia"/>
                  </w:rPr>
                </w:pPr>
                <w:r>
                  <w:rPr>
                    <w:rFonts w:ascii="Arial Narrow" w:hAnsi="Arial Narrow" w:eastAsiaTheme="minorEastAsia"/>
                  </w:rPr>
                  <w:t>期限</w:t>
                </w:r>
              </w:p>
            </w:tc>
          </w:sdtContent>
        </w:sdt>
        <w:sdt>
          <w:sdtPr>
            <w:rPr>
              <w:rFonts w:ascii="Arial Narrow" w:hAnsi="Arial Narrow" w:eastAsiaTheme="minorEastAsia"/>
            </w:rPr>
            <w:tag w:val="_PLD_7049ab93920145468e81fe6c529385fb"/>
            <w:id w:val="-1989167326"/>
          </w:sdtPr>
          <w:sdtEndPr>
            <w:rPr>
              <w:rFonts w:ascii="Arial Narrow" w:hAnsi="Arial Narrow" w:eastAsiaTheme="minorEastAsia"/>
            </w:rPr>
          </w:sdtEndPr>
          <w:sdtContent>
            <w:tc>
              <w:tcPr>
                <w:tcW w:w="556" w:type="pct"/>
                <w:shd w:val="clear" w:color="auto" w:fill="auto"/>
                <w:vAlign w:val="center"/>
              </w:tcPr>
              <w:p w14:paraId="0F8C4EFF">
                <w:pPr>
                  <w:jc w:val="center"/>
                  <w:rPr>
                    <w:rFonts w:ascii="Arial Narrow" w:hAnsi="Arial Narrow" w:eastAsiaTheme="minorEastAsia"/>
                  </w:rPr>
                </w:pPr>
                <w:r>
                  <w:rPr>
                    <w:rFonts w:ascii="Arial Narrow" w:hAnsi="Arial Narrow" w:eastAsiaTheme="minorEastAsia"/>
                  </w:rPr>
                  <w:t>发行</w:t>
                </w:r>
              </w:p>
              <w:p w14:paraId="14BF36D3">
                <w:pPr>
                  <w:jc w:val="center"/>
                  <w:rPr>
                    <w:rFonts w:ascii="Arial Narrow" w:hAnsi="Arial Narrow" w:eastAsiaTheme="minorEastAsia"/>
                  </w:rPr>
                </w:pPr>
                <w:r>
                  <w:rPr>
                    <w:rFonts w:ascii="Arial Narrow" w:hAnsi="Arial Narrow" w:eastAsiaTheme="minorEastAsia"/>
                  </w:rPr>
                  <w:t>金额</w:t>
                </w:r>
              </w:p>
            </w:tc>
          </w:sdtContent>
        </w:sdt>
        <w:sdt>
          <w:sdtPr>
            <w:rPr>
              <w:rFonts w:ascii="Arial Narrow" w:hAnsi="Arial Narrow" w:eastAsiaTheme="minorEastAsia"/>
            </w:rPr>
            <w:tag w:val="_PLD_38d9b1ec51834164a4568a000acee069"/>
            <w:id w:val="-137111742"/>
          </w:sdtPr>
          <w:sdtEndPr>
            <w:rPr>
              <w:rFonts w:ascii="Arial Narrow" w:hAnsi="Arial Narrow" w:eastAsiaTheme="minorEastAsia"/>
            </w:rPr>
          </w:sdtEndPr>
          <w:sdtContent>
            <w:tc>
              <w:tcPr>
                <w:tcW w:w="526" w:type="pct"/>
                <w:shd w:val="clear" w:color="auto" w:fill="auto"/>
                <w:vAlign w:val="center"/>
              </w:tcPr>
              <w:p w14:paraId="06A6FA3F">
                <w:pPr>
                  <w:jc w:val="center"/>
                  <w:rPr>
                    <w:rFonts w:ascii="Arial Narrow" w:hAnsi="Arial Narrow" w:eastAsiaTheme="minorEastAsia"/>
                  </w:rPr>
                </w:pPr>
                <w:r>
                  <w:rPr>
                    <w:rFonts w:ascii="Arial Narrow" w:hAnsi="Arial Narrow" w:eastAsiaTheme="minorEastAsia"/>
                  </w:rPr>
                  <w:t>期初</w:t>
                </w:r>
              </w:p>
              <w:p w14:paraId="4EDB0233">
                <w:pPr>
                  <w:jc w:val="center"/>
                  <w:rPr>
                    <w:rFonts w:ascii="Arial Narrow" w:hAnsi="Arial Narrow" w:eastAsiaTheme="minorEastAsia"/>
                  </w:rPr>
                </w:pPr>
                <w:r>
                  <w:rPr>
                    <w:rFonts w:ascii="Arial Narrow" w:hAnsi="Arial Narrow" w:eastAsiaTheme="minorEastAsia"/>
                  </w:rPr>
                  <w:t>余额</w:t>
                </w:r>
              </w:p>
            </w:tc>
          </w:sdtContent>
        </w:sdt>
        <w:sdt>
          <w:sdtPr>
            <w:rPr>
              <w:rFonts w:ascii="Arial Narrow" w:hAnsi="Arial Narrow" w:eastAsiaTheme="minorEastAsia"/>
            </w:rPr>
            <w:tag w:val="_PLD_46ecadb6d93742c196106f528dc587fb"/>
            <w:id w:val="1364330032"/>
          </w:sdtPr>
          <w:sdtEndPr>
            <w:rPr>
              <w:rFonts w:ascii="Arial Narrow" w:hAnsi="Arial Narrow" w:eastAsiaTheme="minorEastAsia"/>
            </w:rPr>
          </w:sdtEndPr>
          <w:sdtContent>
            <w:tc>
              <w:tcPr>
                <w:tcW w:w="407" w:type="pct"/>
                <w:shd w:val="clear" w:color="auto" w:fill="auto"/>
                <w:vAlign w:val="center"/>
              </w:tcPr>
              <w:p w14:paraId="64AD3374">
                <w:pPr>
                  <w:jc w:val="center"/>
                  <w:rPr>
                    <w:rFonts w:ascii="Arial Narrow" w:hAnsi="Arial Narrow" w:eastAsiaTheme="minorEastAsia"/>
                  </w:rPr>
                </w:pPr>
                <w:r>
                  <w:rPr>
                    <w:rFonts w:ascii="Arial Narrow" w:hAnsi="Arial Narrow" w:eastAsiaTheme="minorEastAsia"/>
                  </w:rPr>
                  <w:t>按面值计提利息</w:t>
                </w:r>
              </w:p>
            </w:tc>
          </w:sdtContent>
        </w:sdt>
        <w:sdt>
          <w:sdtPr>
            <w:rPr>
              <w:rFonts w:ascii="Arial Narrow" w:hAnsi="Arial Narrow" w:eastAsiaTheme="minorEastAsia"/>
            </w:rPr>
            <w:tag w:val="_PLD_ae4bf5f0a7024d7494d06729dd783ba4"/>
            <w:id w:val="-1391032812"/>
          </w:sdtPr>
          <w:sdtEndPr>
            <w:rPr>
              <w:rFonts w:ascii="Arial Narrow" w:hAnsi="Arial Narrow" w:eastAsiaTheme="minorEastAsia"/>
            </w:rPr>
          </w:sdtEndPr>
          <w:sdtContent>
            <w:tc>
              <w:tcPr>
                <w:tcW w:w="407" w:type="pct"/>
                <w:shd w:val="clear" w:color="auto" w:fill="auto"/>
                <w:vAlign w:val="center"/>
              </w:tcPr>
              <w:p w14:paraId="639BC7EC">
                <w:pPr>
                  <w:jc w:val="center"/>
                  <w:rPr>
                    <w:rFonts w:ascii="Arial Narrow" w:hAnsi="Arial Narrow" w:eastAsiaTheme="minorEastAsia"/>
                  </w:rPr>
                </w:pPr>
                <w:r>
                  <w:rPr>
                    <w:rFonts w:ascii="Arial Narrow" w:hAnsi="Arial Narrow" w:eastAsiaTheme="minorEastAsia"/>
                  </w:rPr>
                  <w:t>溢折价摊销</w:t>
                </w:r>
              </w:p>
            </w:tc>
          </w:sdtContent>
        </w:sdt>
        <w:sdt>
          <w:sdtPr>
            <w:rPr>
              <w:rFonts w:ascii="Arial Narrow" w:hAnsi="Arial Narrow" w:eastAsiaTheme="minorEastAsia"/>
            </w:rPr>
            <w:tag w:val="_PLD_4b5846bfb9664157a5fbfb5219160105"/>
            <w:id w:val="-2830611"/>
          </w:sdtPr>
          <w:sdtEndPr>
            <w:rPr>
              <w:rFonts w:ascii="Arial Narrow" w:hAnsi="Arial Narrow" w:eastAsiaTheme="minorEastAsia"/>
            </w:rPr>
          </w:sdtEndPr>
          <w:sdtContent>
            <w:tc>
              <w:tcPr>
                <w:tcW w:w="466" w:type="pct"/>
                <w:shd w:val="clear" w:color="auto" w:fill="auto"/>
                <w:vAlign w:val="center"/>
              </w:tcPr>
              <w:p w14:paraId="6A51A051">
                <w:pPr>
                  <w:jc w:val="center"/>
                  <w:rPr>
                    <w:rFonts w:ascii="Arial Narrow" w:hAnsi="Arial Narrow" w:eastAsiaTheme="minorEastAsia"/>
                  </w:rPr>
                </w:pPr>
                <w:r>
                  <w:rPr>
                    <w:rFonts w:ascii="Arial Narrow" w:hAnsi="Arial Narrow" w:eastAsiaTheme="minorEastAsia"/>
                  </w:rPr>
                  <w:t>本期</w:t>
                </w:r>
              </w:p>
              <w:p w14:paraId="58803FBB">
                <w:pPr>
                  <w:jc w:val="center"/>
                  <w:rPr>
                    <w:rFonts w:ascii="Arial Narrow" w:hAnsi="Arial Narrow" w:eastAsiaTheme="minorEastAsia"/>
                  </w:rPr>
                </w:pPr>
                <w:r>
                  <w:rPr>
                    <w:rFonts w:ascii="Arial Narrow" w:hAnsi="Arial Narrow" w:eastAsiaTheme="minorEastAsia"/>
                  </w:rPr>
                  <w:t>偿还</w:t>
                </w:r>
              </w:p>
            </w:tc>
          </w:sdtContent>
        </w:sdt>
        <w:sdt>
          <w:sdtPr>
            <w:rPr>
              <w:rFonts w:ascii="Arial Narrow" w:hAnsi="Arial Narrow" w:eastAsiaTheme="minorEastAsia"/>
            </w:rPr>
            <w:tag w:val="_PLD_a12b5b0e009f4c31a176550ce24d537b"/>
            <w:id w:val="-1278563518"/>
          </w:sdtPr>
          <w:sdtEndPr>
            <w:rPr>
              <w:rFonts w:ascii="Arial Narrow" w:hAnsi="Arial Narrow" w:eastAsiaTheme="minorEastAsia"/>
            </w:rPr>
          </w:sdtEndPr>
          <w:sdtContent>
            <w:tc>
              <w:tcPr>
                <w:tcW w:w="486" w:type="pct"/>
                <w:shd w:val="clear" w:color="auto" w:fill="auto"/>
                <w:vAlign w:val="center"/>
              </w:tcPr>
              <w:p w14:paraId="4B19CFE2">
                <w:pPr>
                  <w:jc w:val="center"/>
                  <w:rPr>
                    <w:rFonts w:ascii="Arial Narrow" w:hAnsi="Arial Narrow" w:eastAsiaTheme="minorEastAsia"/>
                  </w:rPr>
                </w:pPr>
                <w:r>
                  <w:rPr>
                    <w:rFonts w:ascii="Arial Narrow" w:hAnsi="Arial Narrow" w:eastAsiaTheme="minorEastAsia"/>
                  </w:rPr>
                  <w:t>期末</w:t>
                </w:r>
              </w:p>
              <w:p w14:paraId="384900F8">
                <w:pPr>
                  <w:jc w:val="center"/>
                  <w:rPr>
                    <w:rFonts w:ascii="Arial Narrow" w:hAnsi="Arial Narrow" w:eastAsiaTheme="minorEastAsia"/>
                  </w:rPr>
                </w:pPr>
                <w:r>
                  <w:rPr>
                    <w:rFonts w:ascii="Arial Narrow" w:hAnsi="Arial Narrow" w:eastAsiaTheme="minorEastAsia"/>
                  </w:rPr>
                  <w:t>余额</w:t>
                </w:r>
              </w:p>
            </w:tc>
          </w:sdtContent>
        </w:sdt>
        <w:tc>
          <w:tcPr>
            <w:tcW w:w="261" w:type="pct"/>
            <w:vAlign w:val="center"/>
          </w:tcPr>
          <w:sdt>
            <w:sdtPr>
              <w:rPr>
                <w:rFonts w:ascii="Arial Narrow" w:hAnsi="Arial Narrow" w:eastAsiaTheme="minorEastAsia"/>
              </w:rPr>
              <w:tag w:val="_PLD_fe946a005a854bd5b7b72ef369d885ff"/>
              <w:id w:val="1503316023"/>
            </w:sdtPr>
            <w:sdtEndPr>
              <w:rPr>
                <w:rFonts w:ascii="Arial Narrow" w:hAnsi="Arial Narrow" w:eastAsiaTheme="minorEastAsia"/>
              </w:rPr>
            </w:sdtEndPr>
            <w:sdtContent>
              <w:p w14:paraId="63B70B33">
                <w:pPr>
                  <w:jc w:val="center"/>
                  <w:rPr>
                    <w:rFonts w:ascii="Arial Narrow" w:hAnsi="Arial Narrow" w:eastAsiaTheme="minorEastAsia"/>
                  </w:rPr>
                </w:pPr>
                <w:r>
                  <w:rPr>
                    <w:rFonts w:ascii="Arial Narrow" w:hAnsi="Arial Narrow" w:eastAsiaTheme="minorEastAsia"/>
                  </w:rPr>
                  <w:t>是否违约</w:t>
                </w:r>
              </w:p>
            </w:sdtContent>
          </w:sdt>
        </w:tc>
      </w:tr>
      <w:tr w14:paraId="2B97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486" w:type="pct"/>
            <w:shd w:val="clear" w:color="auto" w:fill="auto"/>
            <w:vAlign w:val="center"/>
          </w:tcPr>
          <w:p w14:paraId="216D35EC">
            <w:pPr>
              <w:jc w:val="both"/>
              <w:rPr>
                <w:rFonts w:ascii="Arial Narrow" w:hAnsi="Arial Narrow" w:eastAsiaTheme="minorEastAsia"/>
                <w:sz w:val="18"/>
                <w:szCs w:val="18"/>
              </w:rPr>
            </w:pPr>
            <w:r>
              <w:rPr>
                <w:rFonts w:ascii="Arial Narrow" w:hAnsi="Arial Narrow" w:eastAsiaTheme="minorEastAsia"/>
                <w:color w:val="000000"/>
                <w:sz w:val="18"/>
                <w:szCs w:val="18"/>
              </w:rPr>
              <w:t>20际华01</w:t>
            </w:r>
          </w:p>
        </w:tc>
        <w:tc>
          <w:tcPr>
            <w:tcW w:w="272" w:type="pct"/>
            <w:shd w:val="clear" w:color="auto" w:fill="auto"/>
            <w:vAlign w:val="center"/>
          </w:tcPr>
          <w:p w14:paraId="75BA6AEF">
            <w:pPr>
              <w:jc w:val="center"/>
              <w:rPr>
                <w:rFonts w:ascii="Arial Narrow" w:hAnsi="Arial Narrow" w:eastAsiaTheme="minorEastAsia"/>
                <w:sz w:val="18"/>
                <w:szCs w:val="18"/>
              </w:rPr>
            </w:pPr>
            <w:r>
              <w:rPr>
                <w:rFonts w:ascii="Arial Narrow" w:hAnsi="Arial Narrow" w:eastAsiaTheme="minorEastAsia"/>
                <w:color w:val="000000"/>
                <w:sz w:val="18"/>
                <w:szCs w:val="18"/>
              </w:rPr>
              <w:t>100</w:t>
            </w:r>
          </w:p>
        </w:tc>
        <w:tc>
          <w:tcPr>
            <w:tcW w:w="323" w:type="pct"/>
            <w:vAlign w:val="center"/>
          </w:tcPr>
          <w:p w14:paraId="0BA55700">
            <w:pPr>
              <w:jc w:val="center"/>
              <w:rPr>
                <w:rFonts w:ascii="Arial Narrow" w:hAnsi="Arial Narrow" w:eastAsiaTheme="minorEastAsia"/>
                <w:sz w:val="18"/>
                <w:szCs w:val="18"/>
              </w:rPr>
            </w:pPr>
            <w:r>
              <w:rPr>
                <w:rFonts w:ascii="Arial Narrow" w:hAnsi="Arial Narrow" w:eastAsiaTheme="minorEastAsia"/>
                <w:color w:val="000000"/>
                <w:sz w:val="18"/>
                <w:szCs w:val="18"/>
              </w:rPr>
              <w:t>2.6</w:t>
            </w:r>
          </w:p>
        </w:tc>
        <w:tc>
          <w:tcPr>
            <w:tcW w:w="553" w:type="pct"/>
            <w:shd w:val="clear" w:color="auto" w:fill="auto"/>
            <w:vAlign w:val="center"/>
          </w:tcPr>
          <w:p w14:paraId="61075E5C">
            <w:pPr>
              <w:jc w:val="center"/>
              <w:rPr>
                <w:rFonts w:ascii="Arial Narrow" w:hAnsi="Arial Narrow" w:eastAsiaTheme="minorEastAsia"/>
                <w:sz w:val="18"/>
                <w:szCs w:val="18"/>
              </w:rPr>
            </w:pPr>
            <w:r>
              <w:rPr>
                <w:rFonts w:ascii="Arial Narrow" w:hAnsi="Arial Narrow" w:eastAsiaTheme="minorEastAsia"/>
                <w:color w:val="000000"/>
                <w:sz w:val="18"/>
                <w:szCs w:val="18"/>
              </w:rPr>
              <w:t>2020/6/15</w:t>
            </w:r>
          </w:p>
        </w:tc>
        <w:tc>
          <w:tcPr>
            <w:tcW w:w="258" w:type="pct"/>
            <w:shd w:val="clear" w:color="auto" w:fill="auto"/>
            <w:vAlign w:val="center"/>
          </w:tcPr>
          <w:p w14:paraId="72BBD493">
            <w:pPr>
              <w:jc w:val="center"/>
              <w:rPr>
                <w:rFonts w:ascii="Arial Narrow" w:hAnsi="Arial Narrow" w:eastAsiaTheme="minorEastAsia"/>
                <w:sz w:val="18"/>
                <w:szCs w:val="18"/>
              </w:rPr>
            </w:pPr>
            <w:r>
              <w:rPr>
                <w:rFonts w:ascii="Arial Narrow" w:hAnsi="Arial Narrow" w:eastAsiaTheme="minorEastAsia"/>
                <w:color w:val="000000"/>
                <w:sz w:val="18"/>
                <w:szCs w:val="18"/>
              </w:rPr>
              <w:t>5</w:t>
            </w:r>
          </w:p>
        </w:tc>
        <w:tc>
          <w:tcPr>
            <w:tcW w:w="556" w:type="pct"/>
            <w:shd w:val="clear" w:color="auto" w:fill="auto"/>
            <w:vAlign w:val="center"/>
          </w:tcPr>
          <w:p w14:paraId="2AD6ED7C">
            <w:pPr>
              <w:jc w:val="right"/>
              <w:rPr>
                <w:rFonts w:ascii="Arial Narrow" w:hAnsi="Arial Narrow" w:eastAsiaTheme="minorEastAsia"/>
                <w:sz w:val="18"/>
                <w:szCs w:val="18"/>
              </w:rPr>
            </w:pPr>
            <w:r>
              <w:rPr>
                <w:rFonts w:ascii="Arial Narrow" w:hAnsi="Arial Narrow" w:eastAsiaTheme="minorEastAsia"/>
                <w:color w:val="000000"/>
                <w:sz w:val="18"/>
                <w:szCs w:val="18"/>
              </w:rPr>
              <w:t>1,500,000,000.00</w:t>
            </w:r>
          </w:p>
        </w:tc>
        <w:tc>
          <w:tcPr>
            <w:tcW w:w="526" w:type="pct"/>
            <w:shd w:val="clear" w:color="auto" w:fill="auto"/>
            <w:vAlign w:val="center"/>
          </w:tcPr>
          <w:p w14:paraId="12617F0C">
            <w:pPr>
              <w:jc w:val="right"/>
              <w:rPr>
                <w:rFonts w:ascii="Arial Narrow" w:hAnsi="Arial Narrow" w:eastAsiaTheme="minorEastAsia"/>
                <w:sz w:val="18"/>
                <w:szCs w:val="18"/>
              </w:rPr>
            </w:pPr>
            <w:r>
              <w:rPr>
                <w:rFonts w:ascii="Arial Narrow" w:hAnsi="Arial Narrow" w:eastAsiaTheme="minorEastAsia"/>
                <w:color w:val="000000"/>
                <w:sz w:val="18"/>
                <w:szCs w:val="18"/>
              </w:rPr>
              <w:t>20,258,973.62</w:t>
            </w:r>
          </w:p>
        </w:tc>
        <w:tc>
          <w:tcPr>
            <w:tcW w:w="407" w:type="pct"/>
            <w:shd w:val="clear" w:color="auto" w:fill="auto"/>
            <w:vAlign w:val="center"/>
          </w:tcPr>
          <w:p w14:paraId="42A30602">
            <w:pPr>
              <w:jc w:val="right"/>
              <w:rPr>
                <w:rFonts w:ascii="Arial Narrow" w:hAnsi="Arial Narrow" w:eastAsiaTheme="minorEastAsia"/>
                <w:sz w:val="18"/>
                <w:szCs w:val="18"/>
              </w:rPr>
            </w:pPr>
            <w:r>
              <w:rPr>
                <w:rFonts w:ascii="Arial Narrow" w:hAnsi="Arial Narrow" w:eastAsiaTheme="minorEastAsia"/>
                <w:color w:val="000000"/>
                <w:sz w:val="18"/>
                <w:szCs w:val="18"/>
              </w:rPr>
              <w:t>520,774.61</w:t>
            </w:r>
          </w:p>
        </w:tc>
        <w:tc>
          <w:tcPr>
            <w:tcW w:w="407" w:type="pct"/>
            <w:shd w:val="clear" w:color="auto" w:fill="auto"/>
            <w:vAlign w:val="center"/>
          </w:tcPr>
          <w:p w14:paraId="032A431D">
            <w:pPr>
              <w:jc w:val="right"/>
              <w:rPr>
                <w:rFonts w:ascii="Arial Narrow" w:hAnsi="Arial Narrow" w:eastAsiaTheme="minorEastAsia"/>
                <w:sz w:val="18"/>
                <w:szCs w:val="18"/>
              </w:rPr>
            </w:pPr>
            <w:r>
              <w:rPr>
                <w:rFonts w:ascii="Arial Narrow" w:hAnsi="Arial Narrow" w:eastAsiaTheme="minorEastAsia"/>
                <w:color w:val="000000"/>
                <w:sz w:val="18"/>
                <w:szCs w:val="18"/>
              </w:rPr>
              <w:t>16,277.58</w:t>
            </w:r>
          </w:p>
        </w:tc>
        <w:tc>
          <w:tcPr>
            <w:tcW w:w="466" w:type="pct"/>
            <w:shd w:val="clear" w:color="auto" w:fill="auto"/>
            <w:vAlign w:val="center"/>
          </w:tcPr>
          <w:p w14:paraId="075D4E7C">
            <w:pPr>
              <w:jc w:val="right"/>
              <w:rPr>
                <w:rFonts w:ascii="Arial Narrow" w:hAnsi="Arial Narrow" w:eastAsiaTheme="minorEastAsia"/>
                <w:sz w:val="18"/>
                <w:szCs w:val="18"/>
              </w:rPr>
            </w:pPr>
            <w:r>
              <w:rPr>
                <w:rFonts w:ascii="Arial Narrow" w:hAnsi="Arial Narrow" w:eastAsiaTheme="minorEastAsia"/>
                <w:color w:val="000000"/>
                <w:sz w:val="18"/>
                <w:szCs w:val="18"/>
              </w:rPr>
              <w:t>520,000.00</w:t>
            </w:r>
          </w:p>
        </w:tc>
        <w:tc>
          <w:tcPr>
            <w:tcW w:w="486" w:type="pct"/>
            <w:shd w:val="clear" w:color="auto" w:fill="auto"/>
            <w:vAlign w:val="center"/>
          </w:tcPr>
          <w:p w14:paraId="21989F34">
            <w:pPr>
              <w:jc w:val="right"/>
              <w:rPr>
                <w:rFonts w:ascii="Arial Narrow" w:hAnsi="Arial Narrow" w:eastAsiaTheme="minorEastAsia"/>
                <w:sz w:val="18"/>
                <w:szCs w:val="18"/>
              </w:rPr>
            </w:pPr>
            <w:r>
              <w:rPr>
                <w:rFonts w:ascii="Arial Narrow" w:hAnsi="Arial Narrow" w:eastAsiaTheme="minorEastAsia"/>
                <w:color w:val="000000"/>
                <w:sz w:val="18"/>
                <w:szCs w:val="18"/>
              </w:rPr>
              <w:t>20,276,025.81</w:t>
            </w:r>
          </w:p>
        </w:tc>
        <w:sdt>
          <w:sdtPr>
            <w:rPr>
              <w:rFonts w:ascii="Arial Narrow" w:hAnsi="Arial Narrow" w:eastAsiaTheme="minorEastAsia"/>
              <w:sz w:val="18"/>
              <w:szCs w:val="18"/>
            </w:rPr>
            <w:alias w:val="应付债券是否违约"/>
            <w:tag w:val="_GBC_b29c4c8797c84a3fa108403ac6b6e6df"/>
            <w:id w:val="1266887893"/>
            <w:comboBox>
              <w:listItem w:displayText="是" w:value="是"/>
              <w:listItem w:displayText="否" w:value="否"/>
            </w:comboBox>
          </w:sdtPr>
          <w:sdtEndPr>
            <w:rPr>
              <w:rFonts w:ascii="Arial Narrow" w:hAnsi="Arial Narrow" w:eastAsiaTheme="minorEastAsia"/>
              <w:sz w:val="18"/>
              <w:szCs w:val="18"/>
            </w:rPr>
          </w:sdtEndPr>
          <w:sdtContent>
            <w:tc>
              <w:tcPr>
                <w:tcW w:w="261" w:type="pct"/>
                <w:vAlign w:val="center"/>
              </w:tcPr>
              <w:p w14:paraId="7720422E">
                <w:pPr>
                  <w:jc w:val="center"/>
                  <w:rPr>
                    <w:rFonts w:ascii="Arial Narrow" w:hAnsi="Arial Narrow" w:eastAsiaTheme="minorEastAsia"/>
                    <w:sz w:val="18"/>
                    <w:szCs w:val="18"/>
                  </w:rPr>
                </w:pPr>
                <w:r>
                  <w:rPr>
                    <w:rFonts w:ascii="Arial Narrow" w:hAnsi="Arial Narrow" w:eastAsiaTheme="minorEastAsia"/>
                    <w:sz w:val="18"/>
                    <w:szCs w:val="18"/>
                  </w:rPr>
                  <w:t>否</w:t>
                </w:r>
              </w:p>
            </w:tc>
          </w:sdtContent>
        </w:sdt>
      </w:tr>
      <w:tr w14:paraId="55FA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486" w:type="pct"/>
            <w:shd w:val="clear" w:color="auto" w:fill="auto"/>
            <w:vAlign w:val="center"/>
          </w:tcPr>
          <w:p w14:paraId="78CA6142">
            <w:pPr>
              <w:jc w:val="both"/>
              <w:rPr>
                <w:rFonts w:ascii="Arial Narrow" w:hAnsi="Arial Narrow" w:eastAsiaTheme="minorEastAsia"/>
                <w:sz w:val="18"/>
                <w:szCs w:val="18"/>
              </w:rPr>
            </w:pPr>
            <w:r>
              <w:rPr>
                <w:rFonts w:ascii="Arial Narrow" w:hAnsi="Arial Narrow" w:eastAsiaTheme="minorEastAsia"/>
                <w:color w:val="000000"/>
                <w:sz w:val="18"/>
                <w:szCs w:val="18"/>
              </w:rPr>
              <w:t>23际华集团MTN001</w:t>
            </w:r>
          </w:p>
        </w:tc>
        <w:tc>
          <w:tcPr>
            <w:tcW w:w="272" w:type="pct"/>
            <w:shd w:val="clear" w:color="auto" w:fill="auto"/>
            <w:vAlign w:val="center"/>
          </w:tcPr>
          <w:p w14:paraId="070217D1">
            <w:pPr>
              <w:jc w:val="center"/>
              <w:rPr>
                <w:rFonts w:ascii="Arial Narrow" w:hAnsi="Arial Narrow" w:eastAsiaTheme="minorEastAsia"/>
                <w:sz w:val="18"/>
                <w:szCs w:val="18"/>
              </w:rPr>
            </w:pPr>
            <w:r>
              <w:rPr>
                <w:rFonts w:ascii="Arial Narrow" w:hAnsi="Arial Narrow" w:eastAsiaTheme="minorEastAsia"/>
                <w:color w:val="000000"/>
                <w:sz w:val="18"/>
                <w:szCs w:val="18"/>
              </w:rPr>
              <w:t>100</w:t>
            </w:r>
          </w:p>
        </w:tc>
        <w:tc>
          <w:tcPr>
            <w:tcW w:w="323" w:type="pct"/>
            <w:vAlign w:val="center"/>
          </w:tcPr>
          <w:p w14:paraId="765863B2">
            <w:pPr>
              <w:jc w:val="center"/>
              <w:rPr>
                <w:rFonts w:ascii="Arial Narrow" w:hAnsi="Arial Narrow" w:eastAsiaTheme="minorEastAsia"/>
                <w:sz w:val="18"/>
                <w:szCs w:val="18"/>
              </w:rPr>
            </w:pPr>
            <w:r>
              <w:rPr>
                <w:rFonts w:ascii="Arial Narrow" w:hAnsi="Arial Narrow" w:eastAsiaTheme="minorEastAsia"/>
                <w:color w:val="000000"/>
                <w:sz w:val="18"/>
                <w:szCs w:val="18"/>
              </w:rPr>
              <w:t>3.07</w:t>
            </w:r>
          </w:p>
        </w:tc>
        <w:tc>
          <w:tcPr>
            <w:tcW w:w="553" w:type="pct"/>
            <w:shd w:val="clear" w:color="auto" w:fill="auto"/>
            <w:vAlign w:val="center"/>
          </w:tcPr>
          <w:p w14:paraId="37F59B66">
            <w:pPr>
              <w:jc w:val="center"/>
              <w:rPr>
                <w:rFonts w:ascii="Arial Narrow" w:hAnsi="Arial Narrow" w:eastAsiaTheme="minorEastAsia"/>
                <w:sz w:val="18"/>
                <w:szCs w:val="18"/>
              </w:rPr>
            </w:pPr>
            <w:r>
              <w:rPr>
                <w:rFonts w:ascii="Arial Narrow" w:hAnsi="Arial Narrow" w:eastAsiaTheme="minorEastAsia"/>
                <w:color w:val="000000"/>
                <w:sz w:val="18"/>
                <w:szCs w:val="18"/>
              </w:rPr>
              <w:t>2023/6/1</w:t>
            </w:r>
          </w:p>
        </w:tc>
        <w:tc>
          <w:tcPr>
            <w:tcW w:w="258" w:type="pct"/>
            <w:shd w:val="clear" w:color="auto" w:fill="auto"/>
            <w:vAlign w:val="center"/>
          </w:tcPr>
          <w:p w14:paraId="64577C15">
            <w:pPr>
              <w:jc w:val="center"/>
              <w:rPr>
                <w:rFonts w:ascii="Arial Narrow" w:hAnsi="Arial Narrow" w:eastAsiaTheme="minorEastAsia"/>
                <w:sz w:val="18"/>
                <w:szCs w:val="18"/>
              </w:rPr>
            </w:pPr>
            <w:r>
              <w:rPr>
                <w:rFonts w:ascii="Arial Narrow" w:hAnsi="Arial Narrow" w:eastAsiaTheme="minorEastAsia"/>
                <w:color w:val="000000"/>
                <w:sz w:val="18"/>
                <w:szCs w:val="18"/>
              </w:rPr>
              <w:t>3</w:t>
            </w:r>
          </w:p>
        </w:tc>
        <w:tc>
          <w:tcPr>
            <w:tcW w:w="556" w:type="pct"/>
            <w:shd w:val="clear" w:color="auto" w:fill="auto"/>
            <w:vAlign w:val="center"/>
          </w:tcPr>
          <w:p w14:paraId="0B401E47">
            <w:pPr>
              <w:jc w:val="right"/>
              <w:rPr>
                <w:rFonts w:ascii="Arial Narrow" w:hAnsi="Arial Narrow" w:eastAsiaTheme="minorEastAsia"/>
                <w:sz w:val="18"/>
                <w:szCs w:val="18"/>
              </w:rPr>
            </w:pPr>
            <w:r>
              <w:rPr>
                <w:rFonts w:ascii="Arial Narrow" w:hAnsi="Arial Narrow" w:eastAsiaTheme="minorEastAsia"/>
                <w:color w:val="000000"/>
                <w:sz w:val="18"/>
                <w:szCs w:val="18"/>
              </w:rPr>
              <w:t>500,000,000.00</w:t>
            </w:r>
          </w:p>
        </w:tc>
        <w:tc>
          <w:tcPr>
            <w:tcW w:w="526" w:type="pct"/>
            <w:shd w:val="clear" w:color="auto" w:fill="auto"/>
            <w:vAlign w:val="center"/>
          </w:tcPr>
          <w:p w14:paraId="35D64BCE">
            <w:pPr>
              <w:jc w:val="right"/>
              <w:rPr>
                <w:rFonts w:ascii="Arial Narrow" w:hAnsi="Arial Narrow" w:eastAsiaTheme="minorEastAsia"/>
                <w:sz w:val="18"/>
                <w:szCs w:val="18"/>
              </w:rPr>
            </w:pPr>
            <w:r>
              <w:rPr>
                <w:rFonts w:ascii="Arial Narrow" w:hAnsi="Arial Narrow" w:eastAsiaTheme="minorEastAsia"/>
                <w:color w:val="000000"/>
                <w:sz w:val="18"/>
                <w:szCs w:val="18"/>
              </w:rPr>
              <w:t>508,380,795.27</w:t>
            </w:r>
          </w:p>
        </w:tc>
        <w:tc>
          <w:tcPr>
            <w:tcW w:w="407" w:type="pct"/>
            <w:shd w:val="clear" w:color="auto" w:fill="auto"/>
            <w:vAlign w:val="center"/>
          </w:tcPr>
          <w:p w14:paraId="671DD7D6">
            <w:pPr>
              <w:jc w:val="right"/>
              <w:rPr>
                <w:rFonts w:ascii="Arial Narrow" w:hAnsi="Arial Narrow" w:eastAsiaTheme="minorEastAsia"/>
                <w:sz w:val="18"/>
                <w:szCs w:val="18"/>
              </w:rPr>
            </w:pPr>
            <w:r>
              <w:rPr>
                <w:rFonts w:ascii="Arial Narrow" w:hAnsi="Arial Narrow" w:eastAsiaTheme="minorEastAsia"/>
                <w:color w:val="000000"/>
                <w:sz w:val="18"/>
                <w:szCs w:val="18"/>
              </w:rPr>
              <w:t>15,374,014.89</w:t>
            </w:r>
          </w:p>
        </w:tc>
        <w:tc>
          <w:tcPr>
            <w:tcW w:w="407" w:type="pct"/>
            <w:shd w:val="clear" w:color="auto" w:fill="auto"/>
            <w:vAlign w:val="center"/>
          </w:tcPr>
          <w:p w14:paraId="7EEE1D5B">
            <w:pPr>
              <w:jc w:val="right"/>
              <w:rPr>
                <w:rFonts w:ascii="Arial Narrow" w:hAnsi="Arial Narrow" w:eastAsiaTheme="minorEastAsia"/>
                <w:sz w:val="18"/>
                <w:szCs w:val="18"/>
              </w:rPr>
            </w:pPr>
            <w:r>
              <w:rPr>
                <w:rFonts w:ascii="Arial Narrow" w:hAnsi="Arial Narrow" w:eastAsiaTheme="minorEastAsia"/>
                <w:color w:val="000000"/>
                <w:sz w:val="18"/>
                <w:szCs w:val="18"/>
              </w:rPr>
              <w:t>155,400.12</w:t>
            </w:r>
          </w:p>
        </w:tc>
        <w:tc>
          <w:tcPr>
            <w:tcW w:w="466" w:type="pct"/>
            <w:shd w:val="clear" w:color="auto" w:fill="auto"/>
            <w:vAlign w:val="center"/>
          </w:tcPr>
          <w:p w14:paraId="0FE92C7D">
            <w:pPr>
              <w:jc w:val="right"/>
              <w:rPr>
                <w:rFonts w:ascii="Arial Narrow" w:hAnsi="Arial Narrow" w:eastAsiaTheme="minorEastAsia"/>
                <w:sz w:val="18"/>
                <w:szCs w:val="18"/>
              </w:rPr>
            </w:pPr>
            <w:r>
              <w:rPr>
                <w:rFonts w:ascii="Arial Narrow" w:hAnsi="Arial Narrow" w:eastAsiaTheme="minorEastAsia"/>
                <w:color w:val="000000"/>
                <w:sz w:val="18"/>
                <w:szCs w:val="18"/>
              </w:rPr>
              <w:t>15,350,000.00</w:t>
            </w:r>
          </w:p>
        </w:tc>
        <w:tc>
          <w:tcPr>
            <w:tcW w:w="486" w:type="pct"/>
            <w:shd w:val="clear" w:color="auto" w:fill="auto"/>
            <w:vAlign w:val="center"/>
          </w:tcPr>
          <w:p w14:paraId="7F5C77C5">
            <w:pPr>
              <w:jc w:val="right"/>
              <w:rPr>
                <w:rFonts w:ascii="Arial Narrow" w:hAnsi="Arial Narrow" w:eastAsiaTheme="minorEastAsia"/>
                <w:sz w:val="18"/>
                <w:szCs w:val="18"/>
              </w:rPr>
            </w:pPr>
            <w:r>
              <w:rPr>
                <w:rFonts w:ascii="Arial Narrow" w:hAnsi="Arial Narrow" w:eastAsiaTheme="minorEastAsia"/>
                <w:color w:val="000000"/>
                <w:sz w:val="18"/>
                <w:szCs w:val="18"/>
              </w:rPr>
              <w:t>508,560,210.28</w:t>
            </w:r>
          </w:p>
        </w:tc>
        <w:tc>
          <w:tcPr>
            <w:tcW w:w="261" w:type="pct"/>
            <w:vAlign w:val="center"/>
          </w:tcPr>
          <w:p w14:paraId="196BC1E5">
            <w:pPr>
              <w:jc w:val="center"/>
              <w:rPr>
                <w:rFonts w:ascii="Arial Narrow" w:hAnsi="Arial Narrow" w:eastAsiaTheme="minorEastAsia"/>
                <w:sz w:val="18"/>
                <w:szCs w:val="18"/>
              </w:rPr>
            </w:pPr>
            <w:r>
              <w:rPr>
                <w:rFonts w:ascii="Arial Narrow" w:hAnsi="Arial Narrow" w:eastAsiaTheme="minorEastAsia"/>
                <w:sz w:val="18"/>
                <w:szCs w:val="18"/>
              </w:rPr>
              <w:t>否</w:t>
            </w:r>
          </w:p>
        </w:tc>
      </w:tr>
      <w:tr w14:paraId="77F2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486" w:type="pct"/>
            <w:shd w:val="clear" w:color="auto" w:fill="auto"/>
            <w:vAlign w:val="center"/>
          </w:tcPr>
          <w:p w14:paraId="7AE14CA6">
            <w:pPr>
              <w:jc w:val="center"/>
              <w:rPr>
                <w:rFonts w:ascii="Arial Narrow" w:hAnsi="Arial Narrow" w:eastAsiaTheme="minorEastAsia"/>
                <w:sz w:val="18"/>
                <w:szCs w:val="18"/>
              </w:rPr>
            </w:pPr>
            <w:r>
              <w:rPr>
                <w:rFonts w:ascii="Arial Narrow" w:hAnsi="Arial Narrow" w:eastAsiaTheme="minorEastAsia"/>
                <w:sz w:val="18"/>
                <w:szCs w:val="18"/>
              </w:rPr>
              <w:t>合计</w:t>
            </w:r>
          </w:p>
        </w:tc>
        <w:tc>
          <w:tcPr>
            <w:tcW w:w="272" w:type="pct"/>
            <w:shd w:val="clear" w:color="auto" w:fill="auto"/>
          </w:tcPr>
          <w:p w14:paraId="30466E46">
            <w:pPr>
              <w:jc w:val="center"/>
              <w:rPr>
                <w:rFonts w:ascii="Arial Narrow" w:hAnsi="Arial Narrow" w:eastAsiaTheme="minorEastAsia"/>
                <w:sz w:val="18"/>
                <w:szCs w:val="18"/>
              </w:rPr>
            </w:pPr>
            <w:r>
              <w:rPr>
                <w:rFonts w:ascii="Arial Narrow" w:hAnsi="Arial Narrow" w:eastAsiaTheme="minorEastAsia"/>
                <w:sz w:val="18"/>
                <w:szCs w:val="18"/>
              </w:rPr>
              <w:t>/</w:t>
            </w:r>
          </w:p>
        </w:tc>
        <w:tc>
          <w:tcPr>
            <w:tcW w:w="323" w:type="pct"/>
          </w:tcPr>
          <w:p w14:paraId="1901318C">
            <w:pPr>
              <w:jc w:val="center"/>
              <w:rPr>
                <w:rFonts w:ascii="Arial Narrow" w:hAnsi="Arial Narrow" w:eastAsiaTheme="minorEastAsia"/>
                <w:sz w:val="18"/>
                <w:szCs w:val="18"/>
              </w:rPr>
            </w:pPr>
            <w:r>
              <w:rPr>
                <w:rFonts w:ascii="Arial Narrow" w:hAnsi="Arial Narrow" w:eastAsiaTheme="minorEastAsia"/>
                <w:sz w:val="18"/>
                <w:szCs w:val="18"/>
              </w:rPr>
              <w:t>/</w:t>
            </w:r>
          </w:p>
        </w:tc>
        <w:tc>
          <w:tcPr>
            <w:tcW w:w="553" w:type="pct"/>
            <w:shd w:val="clear" w:color="auto" w:fill="auto"/>
          </w:tcPr>
          <w:p w14:paraId="5DD69196">
            <w:pPr>
              <w:jc w:val="center"/>
              <w:rPr>
                <w:rFonts w:ascii="Arial Narrow" w:hAnsi="Arial Narrow" w:eastAsiaTheme="minorEastAsia"/>
                <w:sz w:val="18"/>
                <w:szCs w:val="18"/>
              </w:rPr>
            </w:pPr>
            <w:r>
              <w:rPr>
                <w:rFonts w:ascii="Arial Narrow" w:hAnsi="Arial Narrow" w:eastAsiaTheme="minorEastAsia"/>
                <w:sz w:val="18"/>
                <w:szCs w:val="18"/>
              </w:rPr>
              <w:t>/</w:t>
            </w:r>
          </w:p>
        </w:tc>
        <w:tc>
          <w:tcPr>
            <w:tcW w:w="258" w:type="pct"/>
            <w:shd w:val="clear" w:color="auto" w:fill="auto"/>
          </w:tcPr>
          <w:p w14:paraId="0B9C1D82">
            <w:pPr>
              <w:jc w:val="center"/>
              <w:rPr>
                <w:rFonts w:ascii="Arial Narrow" w:hAnsi="Arial Narrow" w:eastAsiaTheme="minorEastAsia"/>
                <w:sz w:val="18"/>
                <w:szCs w:val="18"/>
              </w:rPr>
            </w:pPr>
            <w:r>
              <w:rPr>
                <w:rFonts w:ascii="Arial Narrow" w:hAnsi="Arial Narrow" w:eastAsiaTheme="minorEastAsia"/>
                <w:sz w:val="18"/>
                <w:szCs w:val="18"/>
              </w:rPr>
              <w:t>/</w:t>
            </w:r>
          </w:p>
        </w:tc>
        <w:tc>
          <w:tcPr>
            <w:tcW w:w="556" w:type="pct"/>
            <w:shd w:val="clear" w:color="auto" w:fill="auto"/>
            <w:vAlign w:val="center"/>
          </w:tcPr>
          <w:p w14:paraId="7F24BAEC">
            <w:pPr>
              <w:jc w:val="right"/>
              <w:rPr>
                <w:rFonts w:ascii="Arial Narrow" w:hAnsi="Arial Narrow" w:eastAsiaTheme="minorEastAsia"/>
                <w:sz w:val="18"/>
                <w:szCs w:val="18"/>
              </w:rPr>
            </w:pPr>
            <w:r>
              <w:rPr>
                <w:rFonts w:ascii="Arial Narrow" w:hAnsi="Arial Narrow" w:eastAsiaTheme="minorEastAsia"/>
                <w:color w:val="000000"/>
                <w:sz w:val="18"/>
                <w:szCs w:val="18"/>
              </w:rPr>
              <w:t>2,000,000,000.00</w:t>
            </w:r>
          </w:p>
        </w:tc>
        <w:tc>
          <w:tcPr>
            <w:tcW w:w="526" w:type="pct"/>
            <w:shd w:val="clear" w:color="auto" w:fill="auto"/>
            <w:vAlign w:val="center"/>
          </w:tcPr>
          <w:p w14:paraId="3F23E080">
            <w:pPr>
              <w:jc w:val="right"/>
              <w:rPr>
                <w:rFonts w:ascii="Arial Narrow" w:hAnsi="Arial Narrow" w:eastAsiaTheme="minorEastAsia"/>
                <w:sz w:val="18"/>
                <w:szCs w:val="18"/>
              </w:rPr>
            </w:pPr>
            <w:r>
              <w:rPr>
                <w:rFonts w:ascii="Arial Narrow" w:hAnsi="Arial Narrow" w:eastAsiaTheme="minorEastAsia"/>
                <w:color w:val="000000"/>
                <w:sz w:val="18"/>
                <w:szCs w:val="18"/>
              </w:rPr>
              <w:t>528,639,768.89</w:t>
            </w:r>
          </w:p>
        </w:tc>
        <w:tc>
          <w:tcPr>
            <w:tcW w:w="407" w:type="pct"/>
            <w:shd w:val="clear" w:color="auto" w:fill="auto"/>
            <w:vAlign w:val="center"/>
          </w:tcPr>
          <w:p w14:paraId="6899CAB4">
            <w:pPr>
              <w:jc w:val="right"/>
              <w:rPr>
                <w:rFonts w:ascii="Arial Narrow" w:hAnsi="Arial Narrow" w:eastAsiaTheme="minorEastAsia"/>
                <w:sz w:val="18"/>
                <w:szCs w:val="18"/>
              </w:rPr>
            </w:pPr>
            <w:r>
              <w:rPr>
                <w:rFonts w:ascii="Arial Narrow" w:hAnsi="Arial Narrow" w:eastAsiaTheme="minorEastAsia"/>
                <w:color w:val="000000"/>
                <w:sz w:val="18"/>
                <w:szCs w:val="18"/>
              </w:rPr>
              <w:t>15,894,789.50</w:t>
            </w:r>
          </w:p>
        </w:tc>
        <w:tc>
          <w:tcPr>
            <w:tcW w:w="407" w:type="pct"/>
            <w:shd w:val="clear" w:color="auto" w:fill="auto"/>
            <w:vAlign w:val="center"/>
          </w:tcPr>
          <w:p w14:paraId="6F024B68">
            <w:pPr>
              <w:jc w:val="right"/>
              <w:rPr>
                <w:rFonts w:ascii="Arial Narrow" w:hAnsi="Arial Narrow" w:eastAsiaTheme="minorEastAsia"/>
                <w:sz w:val="18"/>
                <w:szCs w:val="18"/>
              </w:rPr>
            </w:pPr>
            <w:r>
              <w:rPr>
                <w:rFonts w:ascii="Arial Narrow" w:hAnsi="Arial Narrow" w:eastAsiaTheme="minorEastAsia"/>
                <w:color w:val="000000"/>
                <w:sz w:val="18"/>
                <w:szCs w:val="18"/>
              </w:rPr>
              <w:t>171,677.70</w:t>
            </w:r>
          </w:p>
        </w:tc>
        <w:tc>
          <w:tcPr>
            <w:tcW w:w="466" w:type="pct"/>
            <w:shd w:val="clear" w:color="auto" w:fill="auto"/>
            <w:vAlign w:val="center"/>
          </w:tcPr>
          <w:p w14:paraId="4613C3D3">
            <w:pPr>
              <w:jc w:val="right"/>
              <w:rPr>
                <w:rFonts w:ascii="Arial Narrow" w:hAnsi="Arial Narrow" w:eastAsiaTheme="minorEastAsia"/>
                <w:sz w:val="18"/>
                <w:szCs w:val="18"/>
              </w:rPr>
            </w:pPr>
            <w:r>
              <w:rPr>
                <w:rFonts w:ascii="Arial Narrow" w:hAnsi="Arial Narrow" w:eastAsiaTheme="minorEastAsia"/>
                <w:color w:val="000000"/>
                <w:sz w:val="18"/>
                <w:szCs w:val="18"/>
              </w:rPr>
              <w:t>15,870,000.00</w:t>
            </w:r>
          </w:p>
        </w:tc>
        <w:tc>
          <w:tcPr>
            <w:tcW w:w="486" w:type="pct"/>
            <w:shd w:val="clear" w:color="auto" w:fill="auto"/>
            <w:vAlign w:val="center"/>
          </w:tcPr>
          <w:p w14:paraId="7F4C56FB">
            <w:pPr>
              <w:jc w:val="right"/>
              <w:rPr>
                <w:rFonts w:ascii="Arial Narrow" w:hAnsi="Arial Narrow" w:eastAsiaTheme="minorEastAsia"/>
                <w:sz w:val="18"/>
                <w:szCs w:val="18"/>
              </w:rPr>
            </w:pPr>
            <w:r>
              <w:rPr>
                <w:rFonts w:ascii="Arial Narrow" w:hAnsi="Arial Narrow" w:eastAsiaTheme="minorEastAsia"/>
                <w:color w:val="000000"/>
                <w:sz w:val="18"/>
                <w:szCs w:val="18"/>
              </w:rPr>
              <w:t>528,836,236.09</w:t>
            </w:r>
          </w:p>
        </w:tc>
        <w:tc>
          <w:tcPr>
            <w:tcW w:w="261" w:type="pct"/>
          </w:tcPr>
          <w:p w14:paraId="2EB1D984">
            <w:pPr>
              <w:jc w:val="right"/>
              <w:rPr>
                <w:rFonts w:ascii="Arial Narrow" w:hAnsi="Arial Narrow" w:eastAsiaTheme="minorEastAsia"/>
                <w:sz w:val="18"/>
                <w:szCs w:val="18"/>
              </w:rPr>
            </w:pPr>
            <w:r>
              <w:rPr>
                <w:rFonts w:ascii="Arial Narrow" w:hAnsi="Arial Narrow" w:eastAsiaTheme="minorEastAsia"/>
                <w:sz w:val="18"/>
                <w:szCs w:val="18"/>
              </w:rPr>
              <w:t>/</w:t>
            </w:r>
          </w:p>
        </w:tc>
      </w:tr>
    </w:tbl>
    <w:p w14:paraId="33BDDB66">
      <w:pPr>
        <w:pStyle w:val="71"/>
        <w:numPr>
          <w:ilvl w:val="0"/>
          <w:numId w:val="142"/>
        </w:numPr>
        <w:ind w:left="426" w:hanging="426"/>
        <w:rPr>
          <w:rFonts w:hint="eastAsia"/>
        </w:rPr>
      </w:pPr>
      <w:bookmarkStart w:id="346" w:name="OLE_LINK16"/>
      <w:bookmarkStart w:id="347" w:name="OLE_LINK18"/>
      <w:r>
        <w:rPr>
          <w:rFonts w:hint="eastAsia"/>
        </w:rPr>
        <w:t>可转换公司债券的说明</w:t>
      </w:r>
    </w:p>
    <w:sdt>
      <w:sdtPr>
        <w:rPr>
          <w:rFonts w:hint="eastAsia"/>
          <w:szCs w:val="21"/>
        </w:rPr>
        <w:alias w:val="是否适用：可转换公司债券的转股条件、转股时间说明[双击切换]"/>
        <w:tag w:val="_GBC_2b6cb515ba4c417781662a31ccbd84e3"/>
        <w:id w:val="619802437"/>
        <w:placeholder>
          <w:docPart w:val="GBC22222222222222222222222222222"/>
        </w:placeholder>
      </w:sdtPr>
      <w:sdtEndPr>
        <w:rPr>
          <w:rFonts w:hint="eastAsia"/>
          <w:szCs w:val="21"/>
        </w:rPr>
      </w:sdtEndPr>
      <w:sdtContent>
        <w:p w14:paraId="42F955C7">
          <w:pPr>
            <w:spacing w:before="60" w:after="6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BABECC9">
      <w:pPr>
        <w:spacing w:before="60" w:after="60"/>
        <w:rPr>
          <w:rFonts w:hint="eastAsia"/>
          <w:szCs w:val="21"/>
        </w:rPr>
      </w:pPr>
    </w:p>
    <w:p w14:paraId="725C9C7D">
      <w:pPr>
        <w:spacing w:before="60" w:after="60"/>
        <w:rPr>
          <w:rFonts w:hint="eastAsia"/>
          <w:szCs w:val="21"/>
        </w:rPr>
      </w:pPr>
      <w:r>
        <w:rPr>
          <w:rFonts w:hint="eastAsia"/>
          <w:szCs w:val="21"/>
        </w:rPr>
        <w:t>转股权会计处理及判断依据</w:t>
      </w:r>
    </w:p>
    <w:sdt>
      <w:sdtPr>
        <w:rPr>
          <w:szCs w:val="21"/>
        </w:rPr>
        <w:alias w:val="是否适用：转股权会计处理及判断依据[双击切换]"/>
        <w:tag w:val="_GBC_8ec57a1730b24863aa91d9cece86f4d1"/>
        <w:id w:val="-63032367"/>
        <w:placeholder>
          <w:docPart w:val="GBC22222222222222222222222222222"/>
        </w:placeholder>
      </w:sdtPr>
      <w:sdtEndPr>
        <w:rPr>
          <w:szCs w:val="21"/>
        </w:rPr>
      </w:sdtEndPr>
      <w:sdtContent>
        <w:p w14:paraId="3972423B">
          <w:pPr>
            <w:spacing w:before="60" w:after="6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F63A6B3">
      <w:pPr>
        <w:rPr>
          <w:rFonts w:hint="eastAsia"/>
          <w:szCs w:val="21"/>
        </w:rPr>
      </w:pPr>
    </w:p>
    <w:bookmarkEnd w:id="346"/>
    <w:bookmarkEnd w:id="347"/>
    <w:p w14:paraId="5CFF15FD">
      <w:pPr>
        <w:pStyle w:val="71"/>
        <w:numPr>
          <w:ilvl w:val="0"/>
          <w:numId w:val="142"/>
        </w:numPr>
        <w:ind w:left="426" w:hanging="426"/>
        <w:rPr>
          <w:rFonts w:hint="eastAsia"/>
        </w:rPr>
      </w:pPr>
      <w:bookmarkStart w:id="348" w:name="_Hlk184976397"/>
      <w:r>
        <w:rPr>
          <w:rFonts w:hint="eastAsia"/>
        </w:rPr>
        <w:t>划分为金融负债的其他金融工具说明</w:t>
      </w:r>
    </w:p>
    <w:p w14:paraId="40FB7994">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划分为金融负债的其他金融工具说明[双击切换]"/>
        <w:tag w:val="_GBC_53513c1d69be4ad5ae1f8e792b460c3a"/>
        <w:id w:val="724570625"/>
        <w:placeholder>
          <w:docPart w:val="GBC22222222222222222222222222222"/>
        </w:placeholder>
      </w:sdtPr>
      <w:sdtEndPr>
        <w:rPr>
          <w:color w:val="000000" w:themeColor="text1"/>
          <w14:textFill>
            <w14:solidFill>
              <w14:schemeClr w14:val="tx1"/>
            </w14:solidFill>
          </w14:textFill>
        </w:rPr>
      </w:sdtEndPr>
      <w:sdtContent>
        <w:p w14:paraId="204F653B">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20EB4BB9">
      <w:pPr>
        <w:rPr>
          <w:rFonts w:hint="eastAsia"/>
          <w:color w:val="000000" w:themeColor="text1"/>
          <w14:textFill>
            <w14:solidFill>
              <w14:schemeClr w14:val="tx1"/>
            </w14:solidFill>
          </w14:textFill>
        </w:rPr>
      </w:pPr>
    </w:p>
    <w:p w14:paraId="7DC4B006">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应付债券[双击切换]"/>
        <w:tag w:val="_GBC_e613ba16b53e4bbb8a851aaf5017e3db"/>
        <w:id w:val="221342425"/>
        <w:placeholder>
          <w:docPart w:val="GBC22222222222222222222222222222"/>
        </w:placeholder>
      </w:sdtPr>
      <w:sdtEndPr>
        <w:rPr>
          <w:color w:val="000000" w:themeColor="text1"/>
          <w14:textFill>
            <w14:solidFill>
              <w14:schemeClr w14:val="tx1"/>
            </w14:solidFill>
          </w14:textFill>
        </w:rPr>
      </w:sdtEndPr>
      <w:sdtContent>
        <w:p w14:paraId="68981D07">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59496B64">
      <w:pPr>
        <w:rPr>
          <w:rFonts w:hint="eastAsia"/>
          <w:color w:val="000000" w:themeColor="text1"/>
          <w14:textFill>
            <w14:solidFill>
              <w14:schemeClr w14:val="tx1"/>
            </w14:solidFill>
          </w14:textFill>
        </w:rPr>
      </w:pPr>
    </w:p>
    <w:p w14:paraId="2E9E8650">
      <w:pPr>
        <w:spacing w:before="60" w:after="6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其他金融工具划分为金融负债的依据说明</w:t>
      </w:r>
    </w:p>
    <w:sdt>
      <w:sdtPr>
        <w:rPr>
          <w:color w:val="000000" w:themeColor="text1"/>
          <w14:textFill>
            <w14:solidFill>
              <w14:schemeClr w14:val="tx1"/>
            </w14:solidFill>
          </w14:textFill>
        </w:rPr>
        <w:alias w:val="是否适用：其他金融工具划分为金融负债的依据说明[双击切换]"/>
        <w:tag w:val="_GBC_a204081d4f834a93a4a19ca79b51cf77"/>
        <w:id w:val="1402633819"/>
        <w:placeholder>
          <w:docPart w:val="GBC22222222222222222222222222222"/>
        </w:placeholder>
      </w:sdtPr>
      <w:sdtEndPr>
        <w:rPr>
          <w:color w:val="000000" w:themeColor="text1"/>
          <w14:textFill>
            <w14:solidFill>
              <w14:schemeClr w14:val="tx1"/>
            </w14:solidFill>
          </w14:textFill>
        </w:rPr>
      </w:sdtEndPr>
      <w:sdtContent>
        <w:p w14:paraId="0055968A">
          <w:pPr>
            <w:spacing w:before="60" w:after="60"/>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348"/>
    <w:p w14:paraId="27FF1A9F">
      <w:pPr>
        <w:spacing w:before="60" w:after="60"/>
        <w:rPr>
          <w:rFonts w:hint="eastAsia"/>
          <w:szCs w:val="21"/>
        </w:rPr>
      </w:pPr>
      <w:r>
        <w:rPr>
          <w:rFonts w:hint="eastAsia"/>
          <w:szCs w:val="21"/>
        </w:rPr>
        <w:t>其他说明：</w:t>
      </w:r>
    </w:p>
    <w:sdt>
      <w:sdtPr>
        <w:rPr>
          <w:szCs w:val="21"/>
        </w:rPr>
        <w:alias w:val="是否适用：应付债券的其他说明[双击切换]"/>
        <w:tag w:val="_GBC_2068e4e6d2994d6f8cfa9ecc26b171d4"/>
        <w:id w:val="-1189600217"/>
        <w:placeholder>
          <w:docPart w:val="GBC22222222222222222222222222222"/>
        </w:placeholder>
      </w:sdtPr>
      <w:sdtEndPr>
        <w:rPr>
          <w:szCs w:val="21"/>
        </w:rPr>
      </w:sdtEndPr>
      <w:sdtContent>
        <w:p w14:paraId="08833815">
          <w:pPr>
            <w:spacing w:before="60" w:after="6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D0B40EB">
      <w:pPr>
        <w:rPr>
          <w:rFonts w:hint="eastAsia"/>
          <w:szCs w:val="21"/>
        </w:rPr>
      </w:pPr>
    </w:p>
    <w:p w14:paraId="23C63AB2">
      <w:pPr>
        <w:rPr>
          <w:rFonts w:hint="eastAsia"/>
          <w:szCs w:val="21"/>
        </w:rPr>
        <w:sectPr>
          <w:pgSz w:w="16838" w:h="11906" w:orient="landscape"/>
          <w:pgMar w:top="1276" w:right="1440" w:bottom="1797" w:left="1525" w:header="856" w:footer="992" w:gutter="0"/>
          <w:cols w:space="425" w:num="1"/>
          <w:docGrid w:linePitch="312" w:charSpace="0"/>
        </w:sectPr>
      </w:pPr>
    </w:p>
    <w:p w14:paraId="06C68D28">
      <w:pPr>
        <w:rPr>
          <w:rFonts w:hint="eastAsia"/>
          <w:szCs w:val="21"/>
        </w:rPr>
      </w:pPr>
    </w:p>
    <w:p w14:paraId="0A21E222">
      <w:pPr>
        <w:pStyle w:val="70"/>
        <w:numPr>
          <w:ilvl w:val="0"/>
          <w:numId w:val="109"/>
        </w:numPr>
        <w:rPr>
          <w:szCs w:val="21"/>
        </w:rPr>
      </w:pPr>
      <w:bookmarkStart w:id="349" w:name="_Hlk24026742"/>
      <w:r>
        <w:rPr>
          <w:szCs w:val="21"/>
        </w:rPr>
        <w:t>租赁负债</w:t>
      </w:r>
    </w:p>
    <w:sdt>
      <w:sdtPr>
        <w:rPr>
          <w:szCs w:val="21"/>
        </w:rPr>
        <w:alias w:val="是否适用：租赁负债[双击切换]"/>
        <w:tag w:val="_GBC_abf9a23b0ddc4b63b6f39d768c084973"/>
        <w:id w:val="824783181"/>
        <w:placeholder>
          <w:docPart w:val="GBC22222222222222222222222222222"/>
        </w:placeholder>
      </w:sdtPr>
      <w:sdtEndPr>
        <w:rPr>
          <w:szCs w:val="21"/>
        </w:rPr>
      </w:sdtEndPr>
      <w:sdtContent>
        <w:p w14:paraId="50ECDCB9">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9DC8767">
      <w:pPr>
        <w:jc w:val="right"/>
        <w:rPr>
          <w:rFonts w:hint="eastAsia"/>
          <w:szCs w:val="21"/>
        </w:rPr>
      </w:pPr>
      <w:r>
        <w:rPr>
          <w:rFonts w:hint="eastAsia"/>
          <w:szCs w:val="21"/>
        </w:rPr>
        <w:t>单位：</w:t>
      </w:r>
      <w:sdt>
        <w:sdtPr>
          <w:rPr>
            <w:rFonts w:hint="eastAsia"/>
            <w:szCs w:val="21"/>
          </w:rPr>
          <w:alias w:val="单位：租赁负债"/>
          <w:tag w:val="_GBC_33e504b2a4a34d41946083d1a309022f"/>
          <w:id w:val="-172668468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租赁负债"/>
          <w:tag w:val="_GBC_90ebb9825c5740c794669c2bf1475590"/>
          <w:id w:val="20050030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2848"/>
        <w:gridCol w:w="2850"/>
      </w:tblGrid>
      <w:tr w14:paraId="30A9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sdt>
          <w:sdtPr>
            <w:rPr>
              <w:rFonts w:ascii="Arial Narrow" w:hAnsi="Arial Narrow" w:eastAsiaTheme="minorEastAsia"/>
              <w:szCs w:val="21"/>
            </w:rPr>
            <w:tag w:val="_PLD_a05982b715d74082b7e01db9e1e265ef"/>
            <w:id w:val="1056819367"/>
          </w:sdtPr>
          <w:sdtEndPr>
            <w:rPr>
              <w:rFonts w:ascii="Arial Narrow" w:hAnsi="Arial Narrow" w:eastAsiaTheme="minorEastAsia"/>
              <w:szCs w:val="21"/>
            </w:rPr>
          </w:sdtEndPr>
          <w:sdtContent>
            <w:tc>
              <w:tcPr>
                <w:tcW w:w="1771" w:type="pct"/>
                <w:shd w:val="clear" w:color="auto" w:fill="auto"/>
                <w:vAlign w:val="center"/>
              </w:tcPr>
              <w:p w14:paraId="0C4342A7">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84a0d8719b674f50bfcfc1c6ed86fed6"/>
            <w:id w:val="75408806"/>
          </w:sdtPr>
          <w:sdtEndPr>
            <w:rPr>
              <w:rFonts w:ascii="Arial Narrow" w:hAnsi="Arial Narrow" w:eastAsiaTheme="minorEastAsia"/>
              <w:szCs w:val="21"/>
            </w:rPr>
          </w:sdtEndPr>
          <w:sdtContent>
            <w:tc>
              <w:tcPr>
                <w:tcW w:w="1614" w:type="pct"/>
                <w:shd w:val="clear" w:color="auto" w:fill="auto"/>
                <w:vAlign w:val="center"/>
              </w:tcPr>
              <w:p w14:paraId="0B60B80B">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d601589800f8414abb18e7477e7b41d6"/>
            <w:id w:val="1094825805"/>
          </w:sdtPr>
          <w:sdtEndPr>
            <w:rPr>
              <w:rFonts w:ascii="Arial Narrow" w:hAnsi="Arial Narrow" w:eastAsiaTheme="minorEastAsia"/>
              <w:szCs w:val="21"/>
            </w:rPr>
          </w:sdtEndPr>
          <w:sdtContent>
            <w:tc>
              <w:tcPr>
                <w:tcW w:w="1615" w:type="pct"/>
                <w:shd w:val="clear" w:color="auto" w:fill="auto"/>
                <w:vAlign w:val="center"/>
              </w:tcPr>
              <w:p w14:paraId="18813A64">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6E15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7DCCF2DD">
            <w:pPr>
              <w:rPr>
                <w:rFonts w:ascii="Arial Narrow" w:hAnsi="Arial Narrow" w:eastAsiaTheme="minorEastAsia"/>
                <w:szCs w:val="21"/>
              </w:rPr>
            </w:pPr>
            <w:r>
              <w:rPr>
                <w:rFonts w:ascii="Arial Narrow" w:hAnsi="Arial Narrow" w:eastAsiaTheme="minorEastAsia"/>
                <w:color w:val="000000"/>
                <w:szCs w:val="21"/>
              </w:rPr>
              <w:t>1年以内</w:t>
            </w:r>
          </w:p>
        </w:tc>
        <w:tc>
          <w:tcPr>
            <w:tcW w:w="1614" w:type="pct"/>
            <w:vAlign w:val="center"/>
          </w:tcPr>
          <w:p w14:paraId="3A8E0318">
            <w:pPr>
              <w:jc w:val="right"/>
              <w:rPr>
                <w:rFonts w:ascii="Arial Narrow" w:hAnsi="Arial Narrow" w:eastAsiaTheme="minorEastAsia"/>
                <w:szCs w:val="21"/>
              </w:rPr>
            </w:pPr>
            <w:r>
              <w:rPr>
                <w:rFonts w:ascii="Arial Narrow" w:hAnsi="Arial Narrow" w:eastAsiaTheme="minorEastAsia"/>
                <w:color w:val="000000"/>
                <w:szCs w:val="21"/>
              </w:rPr>
              <w:t>1,380,952.37</w:t>
            </w:r>
          </w:p>
        </w:tc>
        <w:tc>
          <w:tcPr>
            <w:tcW w:w="1615" w:type="pct"/>
            <w:vAlign w:val="center"/>
          </w:tcPr>
          <w:p w14:paraId="75197E77">
            <w:pPr>
              <w:jc w:val="right"/>
              <w:rPr>
                <w:rFonts w:ascii="Arial Narrow" w:hAnsi="Arial Narrow" w:eastAsiaTheme="minorEastAsia"/>
                <w:szCs w:val="21"/>
              </w:rPr>
            </w:pPr>
            <w:r>
              <w:rPr>
                <w:rFonts w:ascii="Arial Narrow" w:hAnsi="Arial Narrow" w:eastAsiaTheme="minorEastAsia"/>
                <w:color w:val="000000"/>
                <w:szCs w:val="21"/>
              </w:rPr>
              <w:t>1,815,322.19</w:t>
            </w:r>
          </w:p>
        </w:tc>
      </w:tr>
      <w:tr w14:paraId="131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584A17F5">
            <w:pPr>
              <w:rPr>
                <w:rFonts w:ascii="Arial Narrow" w:hAnsi="Arial Narrow" w:eastAsiaTheme="minorEastAsia"/>
                <w:szCs w:val="21"/>
              </w:rPr>
            </w:pPr>
            <w:r>
              <w:rPr>
                <w:rFonts w:ascii="Arial Narrow" w:hAnsi="Arial Narrow" w:eastAsiaTheme="minorEastAsia"/>
                <w:color w:val="000000"/>
                <w:szCs w:val="21"/>
              </w:rPr>
              <w:t>1-2年</w:t>
            </w:r>
          </w:p>
        </w:tc>
        <w:tc>
          <w:tcPr>
            <w:tcW w:w="1614" w:type="pct"/>
            <w:vAlign w:val="center"/>
          </w:tcPr>
          <w:p w14:paraId="2D85FB0E">
            <w:pPr>
              <w:jc w:val="right"/>
              <w:rPr>
                <w:rFonts w:ascii="Arial Narrow" w:hAnsi="Arial Narrow" w:eastAsiaTheme="minorEastAsia"/>
                <w:szCs w:val="21"/>
              </w:rPr>
            </w:pPr>
            <w:r>
              <w:rPr>
                <w:rFonts w:ascii="Arial Narrow" w:hAnsi="Arial Narrow" w:eastAsiaTheme="minorEastAsia"/>
                <w:color w:val="000000"/>
                <w:szCs w:val="21"/>
              </w:rPr>
              <w:t>1,380,952.37</w:t>
            </w:r>
          </w:p>
        </w:tc>
        <w:tc>
          <w:tcPr>
            <w:tcW w:w="1615" w:type="pct"/>
            <w:vAlign w:val="center"/>
          </w:tcPr>
          <w:p w14:paraId="07FD14E4">
            <w:pPr>
              <w:jc w:val="right"/>
              <w:rPr>
                <w:rFonts w:ascii="Arial Narrow" w:hAnsi="Arial Narrow" w:eastAsiaTheme="minorEastAsia"/>
                <w:szCs w:val="21"/>
              </w:rPr>
            </w:pPr>
            <w:r>
              <w:rPr>
                <w:rFonts w:ascii="Arial Narrow" w:hAnsi="Arial Narrow" w:eastAsiaTheme="minorEastAsia"/>
                <w:color w:val="000000"/>
                <w:szCs w:val="21"/>
              </w:rPr>
              <w:t>9,498,090.59</w:t>
            </w:r>
          </w:p>
        </w:tc>
      </w:tr>
      <w:tr w14:paraId="0B43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6D12751E">
            <w:pPr>
              <w:rPr>
                <w:rFonts w:ascii="Arial Narrow" w:hAnsi="Arial Narrow" w:eastAsiaTheme="minorEastAsia"/>
                <w:szCs w:val="21"/>
              </w:rPr>
            </w:pPr>
            <w:r>
              <w:rPr>
                <w:rFonts w:ascii="Arial Narrow" w:hAnsi="Arial Narrow" w:eastAsiaTheme="minorEastAsia"/>
                <w:color w:val="000000"/>
                <w:szCs w:val="21"/>
              </w:rPr>
              <w:t>2-3年</w:t>
            </w:r>
          </w:p>
        </w:tc>
        <w:tc>
          <w:tcPr>
            <w:tcW w:w="1614" w:type="pct"/>
            <w:vAlign w:val="center"/>
          </w:tcPr>
          <w:p w14:paraId="7823EA38">
            <w:pPr>
              <w:jc w:val="right"/>
              <w:rPr>
                <w:rFonts w:ascii="Arial Narrow" w:hAnsi="Arial Narrow" w:eastAsiaTheme="minorEastAsia"/>
                <w:szCs w:val="21"/>
              </w:rPr>
            </w:pPr>
            <w:r>
              <w:rPr>
                <w:rFonts w:ascii="Arial Narrow" w:hAnsi="Arial Narrow" w:eastAsiaTheme="minorEastAsia"/>
                <w:color w:val="000000"/>
                <w:szCs w:val="21"/>
              </w:rPr>
              <w:t>1,380,952.37</w:t>
            </w:r>
          </w:p>
        </w:tc>
        <w:tc>
          <w:tcPr>
            <w:tcW w:w="1615" w:type="pct"/>
            <w:vAlign w:val="center"/>
          </w:tcPr>
          <w:p w14:paraId="14DD5CF5">
            <w:pPr>
              <w:jc w:val="right"/>
              <w:rPr>
                <w:rFonts w:ascii="Arial Narrow" w:hAnsi="Arial Narrow" w:eastAsiaTheme="minorEastAsia"/>
                <w:szCs w:val="21"/>
              </w:rPr>
            </w:pPr>
            <w:r>
              <w:rPr>
                <w:rFonts w:ascii="Arial Narrow" w:hAnsi="Arial Narrow" w:eastAsiaTheme="minorEastAsia"/>
                <w:color w:val="000000"/>
                <w:szCs w:val="21"/>
              </w:rPr>
              <w:t>1,285,714.29</w:t>
            </w:r>
          </w:p>
        </w:tc>
      </w:tr>
      <w:tr w14:paraId="601B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6091A3CE">
            <w:pPr>
              <w:rPr>
                <w:rFonts w:ascii="Arial Narrow" w:hAnsi="Arial Narrow" w:eastAsiaTheme="minorEastAsia"/>
                <w:szCs w:val="21"/>
              </w:rPr>
            </w:pPr>
            <w:r>
              <w:rPr>
                <w:rFonts w:ascii="Arial Narrow" w:hAnsi="Arial Narrow" w:eastAsiaTheme="minorEastAsia"/>
                <w:color w:val="000000"/>
                <w:szCs w:val="21"/>
              </w:rPr>
              <w:t>3-4年</w:t>
            </w:r>
          </w:p>
        </w:tc>
        <w:tc>
          <w:tcPr>
            <w:tcW w:w="1614" w:type="pct"/>
            <w:vAlign w:val="center"/>
          </w:tcPr>
          <w:p w14:paraId="4E460960">
            <w:pPr>
              <w:jc w:val="right"/>
              <w:rPr>
                <w:rFonts w:ascii="Arial Narrow" w:hAnsi="Arial Narrow" w:eastAsiaTheme="minorEastAsia"/>
                <w:szCs w:val="21"/>
              </w:rPr>
            </w:pPr>
            <w:r>
              <w:rPr>
                <w:rFonts w:ascii="Arial Narrow" w:hAnsi="Arial Narrow" w:eastAsiaTheme="minorEastAsia"/>
                <w:color w:val="000000"/>
                <w:szCs w:val="21"/>
              </w:rPr>
              <w:t>1,380,952.37</w:t>
            </w:r>
          </w:p>
        </w:tc>
        <w:tc>
          <w:tcPr>
            <w:tcW w:w="1615" w:type="pct"/>
            <w:vAlign w:val="center"/>
          </w:tcPr>
          <w:p w14:paraId="6FE28528">
            <w:pPr>
              <w:jc w:val="right"/>
              <w:rPr>
                <w:rFonts w:ascii="Arial Narrow" w:hAnsi="Arial Narrow" w:eastAsiaTheme="minorEastAsia"/>
                <w:szCs w:val="21"/>
              </w:rPr>
            </w:pPr>
            <w:r>
              <w:rPr>
                <w:rFonts w:ascii="Arial Narrow" w:hAnsi="Arial Narrow" w:eastAsiaTheme="minorEastAsia"/>
                <w:color w:val="000000"/>
                <w:szCs w:val="21"/>
              </w:rPr>
              <w:t>1,285,714.29</w:t>
            </w:r>
          </w:p>
        </w:tc>
      </w:tr>
      <w:tr w14:paraId="73DD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63AD3DD0">
            <w:pPr>
              <w:rPr>
                <w:rFonts w:ascii="Arial Narrow" w:hAnsi="Arial Narrow" w:eastAsiaTheme="minorEastAsia"/>
                <w:szCs w:val="21"/>
              </w:rPr>
            </w:pPr>
            <w:r>
              <w:rPr>
                <w:rFonts w:ascii="Arial Narrow" w:hAnsi="Arial Narrow" w:eastAsiaTheme="minorEastAsia"/>
                <w:color w:val="000000"/>
                <w:szCs w:val="21"/>
              </w:rPr>
              <w:t>4-5年</w:t>
            </w:r>
          </w:p>
        </w:tc>
        <w:tc>
          <w:tcPr>
            <w:tcW w:w="1614" w:type="pct"/>
            <w:vAlign w:val="center"/>
          </w:tcPr>
          <w:p w14:paraId="08294A5A">
            <w:pPr>
              <w:jc w:val="right"/>
              <w:rPr>
                <w:rFonts w:ascii="Arial Narrow" w:hAnsi="Arial Narrow" w:eastAsiaTheme="minorEastAsia"/>
                <w:szCs w:val="21"/>
              </w:rPr>
            </w:pPr>
            <w:r>
              <w:rPr>
                <w:rFonts w:ascii="Arial Narrow" w:hAnsi="Arial Narrow" w:eastAsiaTheme="minorEastAsia"/>
                <w:color w:val="000000"/>
                <w:szCs w:val="21"/>
              </w:rPr>
              <w:t>1,380,952.37</w:t>
            </w:r>
          </w:p>
        </w:tc>
        <w:tc>
          <w:tcPr>
            <w:tcW w:w="1615" w:type="pct"/>
            <w:vAlign w:val="center"/>
          </w:tcPr>
          <w:p w14:paraId="331626DA">
            <w:pPr>
              <w:jc w:val="right"/>
              <w:rPr>
                <w:rFonts w:ascii="Arial Narrow" w:hAnsi="Arial Narrow" w:eastAsiaTheme="minorEastAsia"/>
                <w:szCs w:val="21"/>
              </w:rPr>
            </w:pPr>
            <w:r>
              <w:rPr>
                <w:rFonts w:ascii="Arial Narrow" w:hAnsi="Arial Narrow" w:eastAsiaTheme="minorEastAsia"/>
                <w:color w:val="000000"/>
                <w:szCs w:val="21"/>
              </w:rPr>
              <w:t>1,285,714.29</w:t>
            </w:r>
          </w:p>
        </w:tc>
      </w:tr>
      <w:tr w14:paraId="721F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15D3DA79">
            <w:pPr>
              <w:rPr>
                <w:rFonts w:ascii="Arial Narrow" w:hAnsi="Arial Narrow" w:eastAsiaTheme="minorEastAsia"/>
                <w:szCs w:val="21"/>
              </w:rPr>
            </w:pPr>
            <w:r>
              <w:rPr>
                <w:rFonts w:ascii="Arial Narrow" w:hAnsi="Arial Narrow" w:eastAsiaTheme="minorEastAsia"/>
                <w:color w:val="000000"/>
                <w:szCs w:val="21"/>
              </w:rPr>
              <w:t>5年以上</w:t>
            </w:r>
          </w:p>
        </w:tc>
        <w:tc>
          <w:tcPr>
            <w:tcW w:w="1614" w:type="pct"/>
            <w:vAlign w:val="center"/>
          </w:tcPr>
          <w:p w14:paraId="7B7120D5">
            <w:pPr>
              <w:jc w:val="right"/>
              <w:rPr>
                <w:rFonts w:ascii="Arial Narrow" w:hAnsi="Arial Narrow" w:eastAsiaTheme="minorEastAsia"/>
                <w:szCs w:val="21"/>
              </w:rPr>
            </w:pPr>
            <w:r>
              <w:rPr>
                <w:rFonts w:ascii="Arial Narrow" w:hAnsi="Arial Narrow" w:eastAsiaTheme="minorEastAsia"/>
                <w:color w:val="000000"/>
                <w:szCs w:val="21"/>
              </w:rPr>
              <w:t>7,380,952.41</w:t>
            </w:r>
          </w:p>
        </w:tc>
        <w:tc>
          <w:tcPr>
            <w:tcW w:w="1615" w:type="pct"/>
            <w:vAlign w:val="center"/>
          </w:tcPr>
          <w:p w14:paraId="3E057328">
            <w:pPr>
              <w:jc w:val="right"/>
              <w:rPr>
                <w:rFonts w:ascii="Arial Narrow" w:hAnsi="Arial Narrow" w:eastAsiaTheme="minorEastAsia"/>
                <w:szCs w:val="21"/>
              </w:rPr>
            </w:pPr>
            <w:r>
              <w:rPr>
                <w:rFonts w:ascii="Arial Narrow" w:hAnsi="Arial Narrow" w:eastAsiaTheme="minorEastAsia"/>
                <w:color w:val="000000"/>
                <w:szCs w:val="21"/>
              </w:rPr>
              <w:t>9,142,857.09</w:t>
            </w:r>
          </w:p>
        </w:tc>
      </w:tr>
      <w:tr w14:paraId="5C1F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55CD2C5E">
            <w:pPr>
              <w:rPr>
                <w:rFonts w:ascii="Arial Narrow" w:hAnsi="Arial Narrow" w:eastAsiaTheme="minorEastAsia"/>
                <w:szCs w:val="21"/>
              </w:rPr>
            </w:pPr>
            <w:r>
              <w:rPr>
                <w:rFonts w:ascii="Arial Narrow" w:hAnsi="Arial Narrow" w:eastAsiaTheme="minorEastAsia"/>
                <w:color w:val="000000"/>
                <w:szCs w:val="21"/>
              </w:rPr>
              <w:t>减：未确认融资费用</w:t>
            </w:r>
          </w:p>
        </w:tc>
        <w:tc>
          <w:tcPr>
            <w:tcW w:w="1614" w:type="pct"/>
            <w:vAlign w:val="center"/>
          </w:tcPr>
          <w:p w14:paraId="3B2C065D">
            <w:pPr>
              <w:jc w:val="right"/>
              <w:rPr>
                <w:rFonts w:ascii="Arial Narrow" w:hAnsi="Arial Narrow" w:eastAsiaTheme="minorEastAsia"/>
                <w:szCs w:val="21"/>
              </w:rPr>
            </w:pPr>
            <w:r>
              <w:rPr>
                <w:rFonts w:ascii="Arial Narrow" w:hAnsi="Arial Narrow" w:eastAsiaTheme="minorEastAsia"/>
                <w:color w:val="000000"/>
                <w:szCs w:val="21"/>
              </w:rPr>
              <w:t>-3,142,739.53</w:t>
            </w:r>
          </w:p>
        </w:tc>
        <w:tc>
          <w:tcPr>
            <w:tcW w:w="1615" w:type="pct"/>
            <w:vAlign w:val="center"/>
          </w:tcPr>
          <w:p w14:paraId="22FCED10">
            <w:pPr>
              <w:jc w:val="right"/>
              <w:rPr>
                <w:rFonts w:ascii="Arial Narrow" w:hAnsi="Arial Narrow" w:eastAsiaTheme="minorEastAsia"/>
                <w:szCs w:val="21"/>
              </w:rPr>
            </w:pPr>
            <w:r>
              <w:rPr>
                <w:rFonts w:ascii="Arial Narrow" w:hAnsi="Arial Narrow" w:eastAsiaTheme="minorEastAsia"/>
                <w:color w:val="000000"/>
                <w:szCs w:val="21"/>
              </w:rPr>
              <w:t>-3,950,792.29</w:t>
            </w:r>
          </w:p>
        </w:tc>
      </w:tr>
      <w:tr w14:paraId="6EF7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4D6BE97B">
            <w:pPr>
              <w:rPr>
                <w:rFonts w:ascii="Arial Narrow" w:hAnsi="Arial Narrow" w:eastAsiaTheme="minorEastAsia"/>
                <w:szCs w:val="21"/>
              </w:rPr>
            </w:pPr>
            <w:r>
              <w:rPr>
                <w:rFonts w:ascii="Arial Narrow" w:hAnsi="Arial Narrow" w:eastAsiaTheme="minorEastAsia"/>
                <w:color w:val="000000"/>
                <w:szCs w:val="21"/>
              </w:rPr>
              <w:t>减：一年内到期的租赁负债</w:t>
            </w:r>
          </w:p>
        </w:tc>
        <w:tc>
          <w:tcPr>
            <w:tcW w:w="1614" w:type="pct"/>
            <w:vAlign w:val="center"/>
          </w:tcPr>
          <w:p w14:paraId="3FE90533">
            <w:pPr>
              <w:jc w:val="right"/>
              <w:rPr>
                <w:rFonts w:ascii="Arial Narrow" w:hAnsi="Arial Narrow" w:eastAsiaTheme="minorEastAsia"/>
                <w:szCs w:val="21"/>
              </w:rPr>
            </w:pPr>
            <w:r>
              <w:rPr>
                <w:rFonts w:ascii="Arial Narrow" w:hAnsi="Arial Narrow" w:eastAsiaTheme="minorEastAsia"/>
                <w:color w:val="000000"/>
                <w:szCs w:val="21"/>
              </w:rPr>
              <w:t>-845,174.42</w:t>
            </w:r>
          </w:p>
        </w:tc>
        <w:tc>
          <w:tcPr>
            <w:tcW w:w="1615" w:type="pct"/>
            <w:vAlign w:val="center"/>
          </w:tcPr>
          <w:p w14:paraId="6979567B">
            <w:pPr>
              <w:jc w:val="right"/>
              <w:rPr>
                <w:rFonts w:ascii="Arial Narrow" w:hAnsi="Arial Narrow" w:eastAsiaTheme="minorEastAsia"/>
                <w:szCs w:val="21"/>
              </w:rPr>
            </w:pPr>
            <w:r>
              <w:rPr>
                <w:rFonts w:ascii="Arial Narrow" w:hAnsi="Arial Narrow" w:eastAsiaTheme="minorEastAsia"/>
                <w:color w:val="000000"/>
                <w:szCs w:val="21"/>
              </w:rPr>
              <w:t>-6,496,728.01</w:t>
            </w:r>
          </w:p>
        </w:tc>
      </w:tr>
      <w:tr w14:paraId="46CA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1771" w:type="pct"/>
          </w:tcPr>
          <w:p w14:paraId="2EEF8F4B">
            <w:pPr>
              <w:jc w:val="center"/>
              <w:rPr>
                <w:rFonts w:ascii="Arial Narrow" w:hAnsi="Arial Narrow" w:eastAsiaTheme="minorEastAsia"/>
                <w:szCs w:val="21"/>
              </w:rPr>
            </w:pPr>
            <w:r>
              <w:rPr>
                <w:rFonts w:ascii="Arial Narrow" w:hAnsi="Arial Narrow" w:eastAsiaTheme="minorEastAsia"/>
                <w:szCs w:val="21"/>
              </w:rPr>
              <w:t>合计</w:t>
            </w:r>
          </w:p>
        </w:tc>
        <w:tc>
          <w:tcPr>
            <w:tcW w:w="1614" w:type="pct"/>
            <w:vAlign w:val="center"/>
          </w:tcPr>
          <w:p w14:paraId="3758FBB3">
            <w:pPr>
              <w:jc w:val="right"/>
              <w:rPr>
                <w:rFonts w:ascii="Arial Narrow" w:hAnsi="Arial Narrow" w:eastAsiaTheme="minorEastAsia"/>
                <w:szCs w:val="21"/>
              </w:rPr>
            </w:pPr>
            <w:r>
              <w:rPr>
                <w:rFonts w:ascii="Arial Narrow" w:hAnsi="Arial Narrow" w:eastAsiaTheme="minorEastAsia"/>
                <w:color w:val="000000"/>
                <w:szCs w:val="21"/>
              </w:rPr>
              <w:t>10,297,800.31</w:t>
            </w:r>
          </w:p>
        </w:tc>
        <w:tc>
          <w:tcPr>
            <w:tcW w:w="1615" w:type="pct"/>
            <w:vAlign w:val="center"/>
          </w:tcPr>
          <w:p w14:paraId="6BBCD87E">
            <w:pPr>
              <w:jc w:val="right"/>
              <w:rPr>
                <w:rFonts w:ascii="Arial Narrow" w:hAnsi="Arial Narrow" w:eastAsiaTheme="minorEastAsia"/>
                <w:szCs w:val="21"/>
              </w:rPr>
            </w:pPr>
            <w:r>
              <w:rPr>
                <w:rFonts w:ascii="Arial Narrow" w:hAnsi="Arial Narrow" w:eastAsiaTheme="minorEastAsia"/>
                <w:color w:val="000000"/>
                <w:szCs w:val="21"/>
              </w:rPr>
              <w:t>13,865,892.44</w:t>
            </w:r>
          </w:p>
        </w:tc>
      </w:tr>
    </w:tbl>
    <w:p w14:paraId="59B1772C">
      <w:pPr>
        <w:snapToGrid w:val="0"/>
        <w:spacing w:before="60" w:after="60" w:line="240" w:lineRule="atLeast"/>
        <w:rPr>
          <w:rFonts w:hint="eastAsia"/>
          <w:szCs w:val="21"/>
        </w:rPr>
      </w:pPr>
      <w:r>
        <w:rPr>
          <w:rFonts w:hint="eastAsia"/>
          <w:szCs w:val="21"/>
        </w:rPr>
        <w:t>其他说明：</w:t>
      </w:r>
    </w:p>
    <w:sdt>
      <w:sdtPr>
        <w:alias w:val="租赁负债其他说明"/>
        <w:tag w:val="_GBC_d655dad6394141cbbfbca3ff3319cddc"/>
        <w:id w:val="1734271356"/>
        <w:placeholder>
          <w:docPart w:val="GBC22222222222222222222222222222"/>
        </w:placeholder>
      </w:sdtPr>
      <w:sdtContent>
        <w:p w14:paraId="0835BDB0">
          <w:pPr>
            <w:rPr>
              <w:rFonts w:hint="eastAsia"/>
              <w:szCs w:val="21"/>
            </w:rPr>
          </w:pPr>
          <w:r>
            <w:rPr>
              <w:rFonts w:hint="eastAsia"/>
            </w:rPr>
            <w:t>无</w:t>
          </w:r>
        </w:p>
      </w:sdtContent>
    </w:sdt>
    <w:bookmarkEnd w:id="349"/>
    <w:p w14:paraId="10BAAF3B">
      <w:pPr>
        <w:rPr>
          <w:rFonts w:hint="eastAsia"/>
          <w:szCs w:val="21"/>
        </w:rPr>
      </w:pPr>
    </w:p>
    <w:p w14:paraId="64E116F0">
      <w:pPr>
        <w:pStyle w:val="70"/>
        <w:numPr>
          <w:ilvl w:val="0"/>
          <w:numId w:val="109"/>
        </w:numPr>
        <w:rPr>
          <w:szCs w:val="21"/>
        </w:rPr>
      </w:pPr>
      <w:r>
        <w:rPr>
          <w:szCs w:val="21"/>
        </w:rPr>
        <w:t>长期应付款</w:t>
      </w:r>
    </w:p>
    <w:p w14:paraId="2A39F158">
      <w:pPr>
        <w:pStyle w:val="71"/>
        <w:rPr>
          <w:rFonts w:hint="eastAsia"/>
        </w:rPr>
      </w:pPr>
      <w:bookmarkStart w:id="350" w:name="_Hlk532911038"/>
      <w:r>
        <w:rPr>
          <w:rFonts w:hint="eastAsia"/>
        </w:rPr>
        <w:t>项目列示</w:t>
      </w:r>
    </w:p>
    <w:sdt>
      <w:sdtPr>
        <w:alias w:val="是否适用：长期应付款分类列示[双击切换]"/>
        <w:tag w:val="_GBC_90d4a9bd673140ef9c99898da48d1614"/>
        <w:id w:val="-875226922"/>
        <w:placeholder>
          <w:docPart w:val="GBC22222222222222222222222222222"/>
        </w:placeholder>
      </w:sdtPr>
      <w:sdtContent>
        <w:p w14:paraId="0BEC95FD">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42B64C">
      <w:pPr>
        <w:jc w:val="right"/>
        <w:rPr>
          <w:rFonts w:hint="eastAsia"/>
          <w:szCs w:val="21"/>
        </w:rPr>
      </w:pPr>
      <w:r>
        <w:rPr>
          <w:rFonts w:hint="eastAsia"/>
          <w:szCs w:val="21"/>
        </w:rPr>
        <w:t>单位：</w:t>
      </w:r>
      <w:sdt>
        <w:sdtPr>
          <w:rPr>
            <w:rFonts w:hint="eastAsia"/>
            <w:szCs w:val="21"/>
          </w:rPr>
          <w:alias w:val="单位：长期应付款分类列示"/>
          <w:tag w:val="_GBC_6f1c5753ac2941b597e1d984d66c55a3"/>
          <w:id w:val="2355195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8f45b0164513461a90709633a96141c4"/>
          <w:id w:val="3900121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792"/>
        <w:gridCol w:w="2806"/>
      </w:tblGrid>
      <w:tr w14:paraId="1970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2038af4a07e447f88ceb8aedfaa7f12b"/>
            <w:id w:val="605394583"/>
          </w:sdtPr>
          <w:sdtEndPr>
            <w:rPr>
              <w:rFonts w:ascii="Arial Narrow" w:hAnsi="Arial Narrow" w:eastAsiaTheme="minorEastAsia"/>
              <w:szCs w:val="21"/>
            </w:rPr>
          </w:sdtEndPr>
          <w:sdtContent>
            <w:tc>
              <w:tcPr>
                <w:tcW w:w="1828" w:type="pct"/>
                <w:shd w:val="clear" w:color="auto" w:fill="auto"/>
                <w:vAlign w:val="center"/>
              </w:tcPr>
              <w:p w14:paraId="30583B9B">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8b56081577b84bd3b322c0202b6a7142"/>
            <w:id w:val="-2118138363"/>
          </w:sdtPr>
          <w:sdtEndPr>
            <w:rPr>
              <w:rFonts w:ascii="Arial Narrow" w:hAnsi="Arial Narrow" w:eastAsiaTheme="minorEastAsia"/>
              <w:szCs w:val="21"/>
            </w:rPr>
          </w:sdtEndPr>
          <w:sdtContent>
            <w:tc>
              <w:tcPr>
                <w:tcW w:w="1582" w:type="pct"/>
                <w:shd w:val="clear" w:color="auto" w:fill="auto"/>
                <w:vAlign w:val="center"/>
              </w:tcPr>
              <w:p w14:paraId="43F3736A">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2fa2691f59be4fb398c9e37e50109f5a"/>
            <w:id w:val="66010354"/>
          </w:sdtPr>
          <w:sdtEndPr>
            <w:rPr>
              <w:rFonts w:ascii="Arial Narrow" w:hAnsi="Arial Narrow" w:eastAsiaTheme="minorEastAsia"/>
              <w:szCs w:val="21"/>
            </w:rPr>
          </w:sdtEndPr>
          <w:sdtContent>
            <w:tc>
              <w:tcPr>
                <w:tcW w:w="1590" w:type="pct"/>
                <w:shd w:val="clear" w:color="auto" w:fill="auto"/>
                <w:vAlign w:val="center"/>
              </w:tcPr>
              <w:p w14:paraId="6D9F75A2">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202E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141CB0D7">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szCs w:val="21"/>
              </w:rPr>
              <w:t>长期应付款</w:t>
            </w:r>
          </w:p>
        </w:tc>
        <w:tc>
          <w:tcPr>
            <w:tcW w:w="1582" w:type="pct"/>
            <w:shd w:val="clear" w:color="auto" w:fill="auto"/>
            <w:vAlign w:val="center"/>
          </w:tcPr>
          <w:p w14:paraId="2BB8DF1B">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p>
        </w:tc>
        <w:tc>
          <w:tcPr>
            <w:tcW w:w="1590" w:type="pct"/>
            <w:shd w:val="clear" w:color="auto" w:fill="auto"/>
            <w:vAlign w:val="center"/>
          </w:tcPr>
          <w:p w14:paraId="6E53CEB8">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p>
        </w:tc>
      </w:tr>
      <w:tr w14:paraId="0C81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tcPr>
          <w:p w14:paraId="2F27A70B">
            <w:pPr>
              <w:tabs>
                <w:tab w:val="right" w:pos="3690"/>
                <w:tab w:val="right" w:pos="5130"/>
                <w:tab w:val="right" w:pos="6030"/>
                <w:tab w:val="right" w:pos="7650"/>
                <w:tab w:val="right" w:pos="9270"/>
              </w:tabs>
              <w:adjustRightInd w:val="0"/>
              <w:snapToGrid w:val="0"/>
              <w:rPr>
                <w:rFonts w:ascii="Arial Narrow" w:hAnsi="Arial Narrow" w:eastAsiaTheme="minorEastAsia"/>
                <w:szCs w:val="21"/>
              </w:rPr>
            </w:pPr>
            <w:r>
              <w:rPr>
                <w:rFonts w:ascii="Arial Narrow" w:hAnsi="Arial Narrow" w:eastAsiaTheme="minorEastAsia"/>
                <w:szCs w:val="21"/>
              </w:rPr>
              <w:t>专项应付款</w:t>
            </w:r>
          </w:p>
        </w:tc>
        <w:tc>
          <w:tcPr>
            <w:tcW w:w="1582" w:type="pct"/>
            <w:shd w:val="clear" w:color="auto" w:fill="auto"/>
            <w:vAlign w:val="center"/>
          </w:tcPr>
          <w:p w14:paraId="1F4010B0">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42,002,615.37</w:t>
            </w:r>
          </w:p>
        </w:tc>
        <w:tc>
          <w:tcPr>
            <w:tcW w:w="1590" w:type="pct"/>
            <w:shd w:val="clear" w:color="auto" w:fill="auto"/>
            <w:vAlign w:val="center"/>
          </w:tcPr>
          <w:p w14:paraId="77CCF28C">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54,158,867.97</w:t>
            </w:r>
          </w:p>
        </w:tc>
      </w:tr>
      <w:tr w14:paraId="59CE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shd w:val="clear" w:color="auto" w:fill="auto"/>
            <w:vAlign w:val="center"/>
          </w:tcPr>
          <w:p w14:paraId="6B3DEB03">
            <w:pPr>
              <w:tabs>
                <w:tab w:val="right" w:pos="3690"/>
                <w:tab w:val="right" w:pos="5130"/>
                <w:tab w:val="right" w:pos="6030"/>
                <w:tab w:val="right" w:pos="7650"/>
                <w:tab w:val="right" w:pos="9270"/>
              </w:tabs>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582" w:type="pct"/>
            <w:shd w:val="clear" w:color="auto" w:fill="auto"/>
            <w:vAlign w:val="center"/>
          </w:tcPr>
          <w:p w14:paraId="416DC5A1">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42,002,615.37</w:t>
            </w:r>
          </w:p>
        </w:tc>
        <w:tc>
          <w:tcPr>
            <w:tcW w:w="1590" w:type="pct"/>
            <w:shd w:val="clear" w:color="auto" w:fill="auto"/>
            <w:vAlign w:val="center"/>
          </w:tcPr>
          <w:p w14:paraId="2B438EED">
            <w:pPr>
              <w:tabs>
                <w:tab w:val="right" w:pos="3690"/>
                <w:tab w:val="right" w:pos="5130"/>
                <w:tab w:val="right" w:pos="6030"/>
                <w:tab w:val="right" w:pos="7650"/>
                <w:tab w:val="right" w:pos="9270"/>
              </w:tabs>
              <w:adjustRightInd w:val="0"/>
              <w:snapToGrid w:val="0"/>
              <w:jc w:val="right"/>
              <w:rPr>
                <w:rFonts w:ascii="Arial Narrow" w:hAnsi="Arial Narrow" w:eastAsiaTheme="minorEastAsia"/>
                <w:szCs w:val="21"/>
              </w:rPr>
            </w:pPr>
            <w:r>
              <w:rPr>
                <w:rFonts w:ascii="Arial Narrow" w:hAnsi="Arial Narrow" w:eastAsiaTheme="minorEastAsia"/>
                <w:color w:val="000000"/>
                <w:szCs w:val="21"/>
              </w:rPr>
              <w:t>54,158,867.97</w:t>
            </w:r>
          </w:p>
        </w:tc>
      </w:tr>
    </w:tbl>
    <w:p w14:paraId="7099D093">
      <w:pPr>
        <w:rPr>
          <w:rFonts w:hint="eastAsia"/>
        </w:rPr>
      </w:pPr>
    </w:p>
    <w:bookmarkEnd w:id="350"/>
    <w:p w14:paraId="57E39DF9">
      <w:pPr>
        <w:rPr>
          <w:rFonts w:hint="eastAsia"/>
          <w:szCs w:val="21"/>
        </w:rPr>
      </w:pPr>
      <w:bookmarkStart w:id="351" w:name="_Hlk532911057"/>
      <w:r>
        <w:rPr>
          <w:rFonts w:hint="eastAsia"/>
          <w:szCs w:val="21"/>
        </w:rPr>
        <w:t>其他说明：</w:t>
      </w:r>
    </w:p>
    <w:sdt>
      <w:sdtPr>
        <w:rPr>
          <w:szCs w:val="21"/>
        </w:rPr>
        <w:alias w:val="是否适用：长期应付款分类列示其他说明[双击切换]"/>
        <w:tag w:val="_GBC_e7daa7f55cea4e3d835be6ee6457b35d"/>
        <w:id w:val="1703979157"/>
        <w:placeholder>
          <w:docPart w:val="GBC22222222222222222222222222222"/>
        </w:placeholder>
      </w:sdtPr>
      <w:sdtEndPr>
        <w:rPr>
          <w:szCs w:val="21"/>
        </w:rPr>
      </w:sdtEndPr>
      <w:sdtContent>
        <w:p w14:paraId="1F7A2D48">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D27EADD">
      <w:pPr>
        <w:rPr>
          <w:rFonts w:hint="eastAsia"/>
          <w:szCs w:val="21"/>
        </w:rPr>
      </w:pPr>
    </w:p>
    <w:bookmarkEnd w:id="351"/>
    <w:p w14:paraId="6F69F39A">
      <w:pPr>
        <w:pStyle w:val="71"/>
        <w:ind w:left="360" w:hanging="360"/>
        <w:rPr>
          <w:rFonts w:hint="eastAsia"/>
        </w:rPr>
      </w:pPr>
      <w:r>
        <w:rPr>
          <w:rFonts w:hint="eastAsia"/>
        </w:rPr>
        <w:t>长期应付款</w:t>
      </w:r>
    </w:p>
    <w:p w14:paraId="4EB35A8C">
      <w:pPr>
        <w:pStyle w:val="72"/>
        <w:numPr>
          <w:ilvl w:val="0"/>
          <w:numId w:val="143"/>
        </w:numPr>
        <w:ind w:leftChars="0"/>
      </w:pPr>
      <w:r>
        <w:rPr>
          <w:rFonts w:hint="eastAsia"/>
        </w:rPr>
        <w:t>按款项性质列示长期应付款</w:t>
      </w:r>
    </w:p>
    <w:sdt>
      <w:sdtPr>
        <w:alias w:val="是否适用：按款项性质列示长期应付款[双击切换]"/>
        <w:tag w:val="_GBC_6a4cca7cce5341018cd4836f32746cd9"/>
        <w:id w:val="-153305081"/>
        <w:placeholder>
          <w:docPart w:val="GBC22222222222222222222222222222"/>
        </w:placeholder>
      </w:sdtPr>
      <w:sdtContent>
        <w:p w14:paraId="51A59396">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1887BD9">
      <w:pPr>
        <w:snapToGrid w:val="0"/>
        <w:spacing w:line="240" w:lineRule="atLeast"/>
        <w:rPr>
          <w:rFonts w:hint="eastAsia"/>
          <w:szCs w:val="21"/>
        </w:rPr>
      </w:pPr>
    </w:p>
    <w:p w14:paraId="3C03FD7D">
      <w:pPr>
        <w:snapToGrid w:val="0"/>
        <w:spacing w:line="240" w:lineRule="atLeast"/>
        <w:rPr>
          <w:rFonts w:hint="eastAsia" w:cstheme="minorBidi"/>
          <w:szCs w:val="21"/>
        </w:rPr>
      </w:pPr>
    </w:p>
    <w:p w14:paraId="00206D18">
      <w:pPr>
        <w:pStyle w:val="71"/>
        <w:ind w:left="360" w:hanging="360"/>
        <w:rPr>
          <w:rFonts w:hint="eastAsia"/>
        </w:rPr>
      </w:pPr>
      <w:r>
        <w:rPr>
          <w:rFonts w:hint="eastAsia"/>
        </w:rPr>
        <w:t>专项应付款</w:t>
      </w:r>
    </w:p>
    <w:p w14:paraId="7705EC89">
      <w:pPr>
        <w:pStyle w:val="72"/>
        <w:numPr>
          <w:ilvl w:val="0"/>
          <w:numId w:val="144"/>
        </w:numPr>
        <w:ind w:leftChars="0"/>
      </w:pPr>
      <w:r>
        <w:rPr>
          <w:rFonts w:hint="eastAsia"/>
        </w:rPr>
        <w:t>按款项性质列示专项应付款</w:t>
      </w:r>
    </w:p>
    <w:sdt>
      <w:sdtPr>
        <w:alias w:val="是否适用：专项应付款[双击切换]"/>
        <w:tag w:val="_GBC_857ddecb5bce4a0f99e428cd2635aa03"/>
        <w:id w:val="955144578"/>
        <w:placeholder>
          <w:docPart w:val="GBC22222222222222222222222222222"/>
        </w:placeholder>
      </w:sdtPr>
      <w:sdtContent>
        <w:p w14:paraId="3950342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4EE02CD">
      <w:pPr>
        <w:jc w:val="right"/>
        <w:rPr>
          <w:rFonts w:hint="eastAsia"/>
          <w:szCs w:val="21"/>
        </w:rPr>
      </w:pPr>
      <w:r>
        <w:rPr>
          <w:rFonts w:hint="eastAsia"/>
          <w:szCs w:val="21"/>
        </w:rPr>
        <w:t>单位：</w:t>
      </w:r>
      <w:sdt>
        <w:sdtPr>
          <w:rPr>
            <w:rFonts w:hint="eastAsia"/>
            <w:szCs w:val="21"/>
          </w:rPr>
          <w:alias w:val="单位：财务附注：专项应付款"/>
          <w:tag w:val="_GBC_17da351113a84d468019127602052875"/>
          <w:id w:val="4836698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18267785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30"/>
        <w:gridCol w:w="1453"/>
        <w:gridCol w:w="1392"/>
        <w:gridCol w:w="1458"/>
        <w:gridCol w:w="1452"/>
        <w:gridCol w:w="1638"/>
      </w:tblGrid>
      <w:tr w14:paraId="32A0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blHeader/>
        </w:trPr>
        <w:sdt>
          <w:sdtPr>
            <w:rPr>
              <w:rFonts w:ascii="Arial Narrow" w:hAnsi="Arial Narrow" w:eastAsiaTheme="minorEastAsia"/>
              <w:szCs w:val="21"/>
            </w:rPr>
            <w:tag w:val="_PLD_a53ee673c4a94254bd1789424c6ff3d7"/>
            <w:id w:val="-1038117879"/>
          </w:sdtPr>
          <w:sdtEndPr>
            <w:rPr>
              <w:rFonts w:ascii="Arial Narrow" w:hAnsi="Arial Narrow" w:eastAsiaTheme="minorEastAsia"/>
              <w:szCs w:val="21"/>
            </w:rPr>
          </w:sdtEndPr>
          <w:sdtContent>
            <w:tc>
              <w:tcPr>
                <w:tcW w:w="810" w:type="pct"/>
                <w:vAlign w:val="center"/>
              </w:tcPr>
              <w:p w14:paraId="49EE609E">
                <w:pPr>
                  <w:ind w:right="105"/>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a2bded2bd4b64db99375c871cadc7bfe"/>
            <w:id w:val="2138528104"/>
          </w:sdtPr>
          <w:sdtEndPr>
            <w:rPr>
              <w:rFonts w:ascii="Arial Narrow" w:hAnsi="Arial Narrow" w:eastAsiaTheme="minorEastAsia"/>
              <w:szCs w:val="21"/>
            </w:rPr>
          </w:sdtEndPr>
          <w:sdtContent>
            <w:tc>
              <w:tcPr>
                <w:tcW w:w="823" w:type="pct"/>
              </w:tcPr>
              <w:p w14:paraId="58FD67B0">
                <w:pPr>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38d8ecb0074145e2a543b0f0e8520f81"/>
            <w:id w:val="1357778395"/>
          </w:sdtPr>
          <w:sdtEndPr>
            <w:rPr>
              <w:rFonts w:ascii="Arial Narrow" w:hAnsi="Arial Narrow" w:eastAsiaTheme="minorEastAsia"/>
              <w:szCs w:val="21"/>
            </w:rPr>
          </w:sdtEndPr>
          <w:sdtContent>
            <w:tc>
              <w:tcPr>
                <w:tcW w:w="789" w:type="pct"/>
                <w:shd w:val="clear" w:color="auto" w:fill="auto"/>
              </w:tcPr>
              <w:p w14:paraId="0C7FA00F">
                <w:pPr>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b5e01b5460594423805476f202eecf1c"/>
            <w:id w:val="-634484288"/>
          </w:sdtPr>
          <w:sdtEndPr>
            <w:rPr>
              <w:rFonts w:ascii="Arial Narrow" w:hAnsi="Arial Narrow" w:eastAsiaTheme="minorEastAsia"/>
              <w:szCs w:val="21"/>
            </w:rPr>
          </w:sdtEndPr>
          <w:sdtContent>
            <w:tc>
              <w:tcPr>
                <w:tcW w:w="826" w:type="pct"/>
                <w:shd w:val="clear" w:color="auto" w:fill="auto"/>
              </w:tcPr>
              <w:p w14:paraId="172C201D">
                <w:pPr>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f5bb3951cab74130adf727fbe35ac9d4"/>
            <w:id w:val="-701176592"/>
          </w:sdtPr>
          <w:sdtEndPr>
            <w:rPr>
              <w:rFonts w:ascii="Arial Narrow" w:hAnsi="Arial Narrow" w:eastAsiaTheme="minorEastAsia"/>
              <w:szCs w:val="21"/>
            </w:rPr>
          </w:sdtEndPr>
          <w:sdtContent>
            <w:tc>
              <w:tcPr>
                <w:tcW w:w="823" w:type="pct"/>
              </w:tcPr>
              <w:p w14:paraId="12D8C903">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1bb67b7225804d0fb21b0788ddc7b7d2"/>
            <w:id w:val="811987109"/>
          </w:sdtPr>
          <w:sdtEndPr>
            <w:rPr>
              <w:rFonts w:ascii="Arial Narrow" w:hAnsi="Arial Narrow" w:eastAsiaTheme="minorEastAsia"/>
              <w:szCs w:val="21"/>
            </w:rPr>
          </w:sdtEndPr>
          <w:sdtContent>
            <w:tc>
              <w:tcPr>
                <w:tcW w:w="928" w:type="pct"/>
                <w:shd w:val="clear" w:color="auto" w:fill="auto"/>
              </w:tcPr>
              <w:p w14:paraId="21A42EB7">
                <w:pPr>
                  <w:jc w:val="center"/>
                  <w:rPr>
                    <w:rFonts w:ascii="Arial Narrow" w:hAnsi="Arial Narrow" w:eastAsiaTheme="minorEastAsia"/>
                    <w:szCs w:val="21"/>
                  </w:rPr>
                </w:pPr>
                <w:r>
                  <w:rPr>
                    <w:rFonts w:ascii="Arial Narrow" w:hAnsi="Arial Narrow" w:eastAsiaTheme="minorEastAsia"/>
                    <w:szCs w:val="21"/>
                  </w:rPr>
                  <w:t>形成原因</w:t>
                </w:r>
              </w:p>
            </w:tc>
          </w:sdtContent>
        </w:sdt>
      </w:tr>
      <w:tr w14:paraId="51FF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61A12E21">
            <w:pPr>
              <w:ind w:right="105"/>
              <w:rPr>
                <w:rFonts w:ascii="Arial Narrow" w:hAnsi="Arial Narrow" w:eastAsiaTheme="minorEastAsia"/>
                <w:szCs w:val="21"/>
              </w:rPr>
            </w:pPr>
            <w:r>
              <w:rPr>
                <w:rFonts w:ascii="Arial Narrow" w:hAnsi="Arial Narrow" w:eastAsiaTheme="minorEastAsia"/>
                <w:color w:val="000000"/>
                <w:szCs w:val="21"/>
              </w:rPr>
              <w:t>临港3517公租房项目专项款</w:t>
            </w:r>
          </w:p>
        </w:tc>
        <w:tc>
          <w:tcPr>
            <w:tcW w:w="823" w:type="pct"/>
            <w:vAlign w:val="center"/>
          </w:tcPr>
          <w:p w14:paraId="7F7385F2">
            <w:pPr>
              <w:ind w:right="73"/>
              <w:jc w:val="right"/>
              <w:rPr>
                <w:rFonts w:ascii="Arial Narrow" w:hAnsi="Arial Narrow" w:eastAsiaTheme="minorEastAsia"/>
                <w:szCs w:val="21"/>
              </w:rPr>
            </w:pPr>
            <w:r>
              <w:rPr>
                <w:rFonts w:ascii="Arial Narrow" w:hAnsi="Arial Narrow" w:eastAsiaTheme="minorEastAsia"/>
                <w:color w:val="000000"/>
                <w:szCs w:val="21"/>
              </w:rPr>
              <w:t>18,300,000.00</w:t>
            </w:r>
          </w:p>
        </w:tc>
        <w:tc>
          <w:tcPr>
            <w:tcW w:w="789" w:type="pct"/>
            <w:shd w:val="clear" w:color="auto" w:fill="auto"/>
            <w:vAlign w:val="center"/>
          </w:tcPr>
          <w:p w14:paraId="0DE68C94">
            <w:pPr>
              <w:jc w:val="right"/>
              <w:rPr>
                <w:rFonts w:ascii="Arial Narrow" w:hAnsi="Arial Narrow" w:eastAsiaTheme="minorEastAsia"/>
                <w:szCs w:val="21"/>
              </w:rPr>
            </w:pPr>
            <w:r>
              <w:rPr>
                <w:rFonts w:ascii="Arial Narrow" w:hAnsi="Arial Narrow" w:eastAsiaTheme="minorEastAsia"/>
                <w:color w:val="000000"/>
                <w:szCs w:val="21"/>
              </w:rPr>
              <w:t>5,114,800.00</w:t>
            </w:r>
          </w:p>
        </w:tc>
        <w:tc>
          <w:tcPr>
            <w:tcW w:w="826" w:type="pct"/>
            <w:shd w:val="clear" w:color="auto" w:fill="auto"/>
            <w:vAlign w:val="center"/>
          </w:tcPr>
          <w:p w14:paraId="60ABC063">
            <w:pPr>
              <w:jc w:val="right"/>
              <w:rPr>
                <w:rFonts w:ascii="Arial Narrow" w:hAnsi="Arial Narrow" w:eastAsiaTheme="minorEastAsia"/>
                <w:szCs w:val="21"/>
              </w:rPr>
            </w:pPr>
          </w:p>
        </w:tc>
        <w:tc>
          <w:tcPr>
            <w:tcW w:w="823" w:type="pct"/>
            <w:vAlign w:val="center"/>
          </w:tcPr>
          <w:p w14:paraId="38007FC4">
            <w:pPr>
              <w:ind w:right="73"/>
              <w:jc w:val="right"/>
              <w:rPr>
                <w:rFonts w:ascii="Arial Narrow" w:hAnsi="Arial Narrow" w:eastAsiaTheme="minorEastAsia"/>
                <w:szCs w:val="21"/>
              </w:rPr>
            </w:pPr>
            <w:r>
              <w:rPr>
                <w:rFonts w:ascii="Arial Narrow" w:hAnsi="Arial Narrow" w:eastAsiaTheme="minorEastAsia"/>
                <w:color w:val="000000"/>
                <w:szCs w:val="21"/>
              </w:rPr>
              <w:t>23,414,800.00</w:t>
            </w:r>
          </w:p>
        </w:tc>
        <w:tc>
          <w:tcPr>
            <w:tcW w:w="928" w:type="pct"/>
            <w:shd w:val="clear" w:color="auto" w:fill="auto"/>
            <w:vAlign w:val="center"/>
          </w:tcPr>
          <w:p w14:paraId="063247F7">
            <w:pPr>
              <w:jc w:val="both"/>
              <w:rPr>
                <w:rFonts w:ascii="Arial Narrow" w:hAnsi="Arial Narrow" w:eastAsiaTheme="minorEastAsia"/>
                <w:szCs w:val="21"/>
              </w:rPr>
            </w:pPr>
            <w:r>
              <w:rPr>
                <w:rFonts w:ascii="Arial Narrow" w:hAnsi="Arial Narrow" w:eastAsiaTheme="minorEastAsia"/>
                <w:color w:val="000000"/>
                <w:szCs w:val="21"/>
              </w:rPr>
              <w:t>公租房专用款项</w:t>
            </w:r>
          </w:p>
        </w:tc>
      </w:tr>
      <w:tr w14:paraId="4296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0255750D">
            <w:pPr>
              <w:ind w:right="105"/>
              <w:rPr>
                <w:rFonts w:ascii="Arial Narrow" w:hAnsi="Arial Narrow" w:eastAsiaTheme="minorEastAsia"/>
                <w:szCs w:val="21"/>
              </w:rPr>
            </w:pPr>
            <w:r>
              <w:rPr>
                <w:rFonts w:ascii="Arial Narrow" w:hAnsi="Arial Narrow" w:eastAsiaTheme="minorEastAsia"/>
                <w:color w:val="000000"/>
                <w:szCs w:val="21"/>
              </w:rPr>
              <w:t>拆迁专项资金</w:t>
            </w:r>
          </w:p>
        </w:tc>
        <w:tc>
          <w:tcPr>
            <w:tcW w:w="823" w:type="pct"/>
            <w:vAlign w:val="center"/>
          </w:tcPr>
          <w:p w14:paraId="237823D4">
            <w:pPr>
              <w:ind w:right="73"/>
              <w:jc w:val="right"/>
              <w:rPr>
                <w:rFonts w:ascii="Arial Narrow" w:hAnsi="Arial Narrow" w:eastAsiaTheme="minorEastAsia"/>
                <w:szCs w:val="21"/>
              </w:rPr>
            </w:pPr>
            <w:r>
              <w:rPr>
                <w:rFonts w:ascii="Arial Narrow" w:hAnsi="Arial Narrow" w:eastAsiaTheme="minorEastAsia"/>
                <w:color w:val="000000"/>
                <w:szCs w:val="21"/>
              </w:rPr>
              <w:t>10,733,239.66</w:t>
            </w:r>
          </w:p>
        </w:tc>
        <w:tc>
          <w:tcPr>
            <w:tcW w:w="789" w:type="pct"/>
            <w:shd w:val="clear" w:color="auto" w:fill="auto"/>
            <w:vAlign w:val="center"/>
          </w:tcPr>
          <w:p w14:paraId="53034705">
            <w:pPr>
              <w:jc w:val="right"/>
              <w:rPr>
                <w:rFonts w:ascii="Arial Narrow" w:hAnsi="Arial Narrow" w:eastAsiaTheme="minorEastAsia"/>
                <w:szCs w:val="21"/>
              </w:rPr>
            </w:pPr>
          </w:p>
        </w:tc>
        <w:tc>
          <w:tcPr>
            <w:tcW w:w="826" w:type="pct"/>
            <w:shd w:val="clear" w:color="auto" w:fill="auto"/>
            <w:vAlign w:val="center"/>
          </w:tcPr>
          <w:p w14:paraId="3FC874D7">
            <w:pPr>
              <w:jc w:val="right"/>
              <w:rPr>
                <w:rFonts w:ascii="Arial Narrow" w:hAnsi="Arial Narrow" w:eastAsiaTheme="minorEastAsia"/>
                <w:szCs w:val="21"/>
              </w:rPr>
            </w:pPr>
            <w:r>
              <w:rPr>
                <w:rFonts w:ascii="Arial Narrow" w:hAnsi="Arial Narrow" w:eastAsiaTheme="minorEastAsia"/>
                <w:color w:val="000000"/>
                <w:szCs w:val="21"/>
              </w:rPr>
              <w:t>10,733,239.66</w:t>
            </w:r>
          </w:p>
        </w:tc>
        <w:tc>
          <w:tcPr>
            <w:tcW w:w="823" w:type="pct"/>
            <w:vAlign w:val="center"/>
          </w:tcPr>
          <w:p w14:paraId="083736C6">
            <w:pPr>
              <w:ind w:right="73"/>
              <w:jc w:val="right"/>
              <w:rPr>
                <w:rFonts w:ascii="Arial Narrow" w:hAnsi="Arial Narrow" w:eastAsiaTheme="minorEastAsia"/>
                <w:szCs w:val="21"/>
              </w:rPr>
            </w:pPr>
          </w:p>
        </w:tc>
        <w:tc>
          <w:tcPr>
            <w:tcW w:w="928" w:type="pct"/>
            <w:shd w:val="clear" w:color="auto" w:fill="auto"/>
            <w:vAlign w:val="center"/>
          </w:tcPr>
          <w:p w14:paraId="493CF52A">
            <w:pPr>
              <w:jc w:val="both"/>
              <w:rPr>
                <w:rFonts w:ascii="Arial Narrow" w:hAnsi="Arial Narrow" w:eastAsiaTheme="minorEastAsia"/>
                <w:szCs w:val="21"/>
              </w:rPr>
            </w:pPr>
            <w:r>
              <w:rPr>
                <w:rFonts w:ascii="Arial Narrow" w:hAnsi="Arial Narrow" w:eastAsiaTheme="minorEastAsia"/>
                <w:color w:val="000000"/>
                <w:szCs w:val="21"/>
              </w:rPr>
              <w:t>拆迁专项资金</w:t>
            </w:r>
          </w:p>
        </w:tc>
      </w:tr>
      <w:tr w14:paraId="1DFF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5E73B62B">
            <w:pPr>
              <w:ind w:right="105"/>
              <w:rPr>
                <w:rFonts w:ascii="Arial Narrow" w:hAnsi="Arial Narrow" w:eastAsiaTheme="minorEastAsia"/>
                <w:szCs w:val="21"/>
              </w:rPr>
            </w:pPr>
            <w:r>
              <w:rPr>
                <w:rFonts w:ascii="Arial Narrow" w:hAnsi="Arial Narrow" w:eastAsiaTheme="minorEastAsia"/>
                <w:color w:val="000000"/>
                <w:szCs w:val="21"/>
              </w:rPr>
              <w:t>棚户区改造</w:t>
            </w:r>
          </w:p>
        </w:tc>
        <w:tc>
          <w:tcPr>
            <w:tcW w:w="823" w:type="pct"/>
            <w:vAlign w:val="center"/>
          </w:tcPr>
          <w:p w14:paraId="182087A9">
            <w:pPr>
              <w:ind w:right="73"/>
              <w:jc w:val="right"/>
              <w:rPr>
                <w:rFonts w:ascii="Arial Narrow" w:hAnsi="Arial Narrow" w:eastAsiaTheme="minorEastAsia"/>
                <w:szCs w:val="21"/>
              </w:rPr>
            </w:pPr>
            <w:r>
              <w:rPr>
                <w:rFonts w:ascii="Arial Narrow" w:hAnsi="Arial Narrow" w:eastAsiaTheme="minorEastAsia"/>
                <w:color w:val="000000"/>
                <w:szCs w:val="21"/>
              </w:rPr>
              <w:t>9,804,936.46</w:t>
            </w:r>
          </w:p>
        </w:tc>
        <w:tc>
          <w:tcPr>
            <w:tcW w:w="789" w:type="pct"/>
            <w:shd w:val="clear" w:color="auto" w:fill="auto"/>
            <w:vAlign w:val="center"/>
          </w:tcPr>
          <w:p w14:paraId="3301116C">
            <w:pPr>
              <w:jc w:val="right"/>
              <w:rPr>
                <w:rFonts w:ascii="Arial Narrow" w:hAnsi="Arial Narrow" w:eastAsiaTheme="minorEastAsia"/>
                <w:szCs w:val="21"/>
              </w:rPr>
            </w:pPr>
          </w:p>
        </w:tc>
        <w:tc>
          <w:tcPr>
            <w:tcW w:w="826" w:type="pct"/>
            <w:shd w:val="clear" w:color="auto" w:fill="auto"/>
            <w:vAlign w:val="center"/>
          </w:tcPr>
          <w:p w14:paraId="4B062A76">
            <w:pPr>
              <w:jc w:val="right"/>
              <w:rPr>
                <w:rFonts w:ascii="Arial Narrow" w:hAnsi="Arial Narrow" w:eastAsiaTheme="minorEastAsia"/>
                <w:szCs w:val="21"/>
              </w:rPr>
            </w:pPr>
            <w:r>
              <w:rPr>
                <w:rFonts w:ascii="Arial Narrow" w:hAnsi="Arial Narrow" w:eastAsiaTheme="minorEastAsia"/>
                <w:color w:val="000000"/>
                <w:szCs w:val="21"/>
              </w:rPr>
              <w:t>386,900.00</w:t>
            </w:r>
          </w:p>
        </w:tc>
        <w:tc>
          <w:tcPr>
            <w:tcW w:w="823" w:type="pct"/>
            <w:vAlign w:val="center"/>
          </w:tcPr>
          <w:p w14:paraId="4697BC9F">
            <w:pPr>
              <w:ind w:right="73"/>
              <w:jc w:val="right"/>
              <w:rPr>
                <w:rFonts w:ascii="Arial Narrow" w:hAnsi="Arial Narrow" w:eastAsiaTheme="minorEastAsia"/>
                <w:szCs w:val="21"/>
              </w:rPr>
            </w:pPr>
            <w:r>
              <w:rPr>
                <w:rFonts w:ascii="Arial Narrow" w:hAnsi="Arial Narrow" w:eastAsiaTheme="minorEastAsia"/>
                <w:color w:val="000000"/>
                <w:szCs w:val="21"/>
              </w:rPr>
              <w:t>9,418,036.46</w:t>
            </w:r>
          </w:p>
        </w:tc>
        <w:tc>
          <w:tcPr>
            <w:tcW w:w="928" w:type="pct"/>
            <w:shd w:val="clear" w:color="auto" w:fill="auto"/>
            <w:vAlign w:val="center"/>
          </w:tcPr>
          <w:p w14:paraId="462BEBBD">
            <w:pPr>
              <w:jc w:val="both"/>
              <w:rPr>
                <w:rFonts w:ascii="Arial Narrow" w:hAnsi="Arial Narrow" w:eastAsiaTheme="minorEastAsia"/>
                <w:szCs w:val="21"/>
              </w:rPr>
            </w:pPr>
            <w:r>
              <w:rPr>
                <w:rFonts w:ascii="Arial Narrow" w:hAnsi="Arial Narrow" w:eastAsiaTheme="minorEastAsia"/>
                <w:color w:val="000000"/>
                <w:szCs w:val="21"/>
              </w:rPr>
              <w:t>矿棚户区改造</w:t>
            </w:r>
          </w:p>
        </w:tc>
      </w:tr>
      <w:tr w14:paraId="1342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15BD5B0E">
            <w:pPr>
              <w:ind w:right="105"/>
              <w:rPr>
                <w:rFonts w:ascii="Arial Narrow" w:hAnsi="Arial Narrow" w:eastAsiaTheme="minorEastAsia"/>
                <w:szCs w:val="21"/>
              </w:rPr>
            </w:pPr>
            <w:r>
              <w:rPr>
                <w:rFonts w:ascii="Arial Narrow" w:hAnsi="Arial Narrow" w:eastAsiaTheme="minorEastAsia"/>
                <w:color w:val="000000"/>
                <w:szCs w:val="21"/>
              </w:rPr>
              <w:t>政策性拆迁补贴</w:t>
            </w:r>
          </w:p>
        </w:tc>
        <w:tc>
          <w:tcPr>
            <w:tcW w:w="823" w:type="pct"/>
            <w:vAlign w:val="center"/>
          </w:tcPr>
          <w:p w14:paraId="1C5AEDB2">
            <w:pPr>
              <w:ind w:right="73"/>
              <w:jc w:val="right"/>
              <w:rPr>
                <w:rFonts w:ascii="Arial Narrow" w:hAnsi="Arial Narrow" w:eastAsiaTheme="minorEastAsia"/>
                <w:szCs w:val="21"/>
              </w:rPr>
            </w:pPr>
            <w:r>
              <w:rPr>
                <w:rFonts w:ascii="Arial Narrow" w:hAnsi="Arial Narrow" w:eastAsiaTheme="minorEastAsia"/>
                <w:color w:val="000000"/>
                <w:szCs w:val="21"/>
              </w:rPr>
              <w:t>3,233,173.72</w:t>
            </w:r>
          </w:p>
        </w:tc>
        <w:tc>
          <w:tcPr>
            <w:tcW w:w="789" w:type="pct"/>
            <w:shd w:val="clear" w:color="auto" w:fill="auto"/>
            <w:vAlign w:val="center"/>
          </w:tcPr>
          <w:p w14:paraId="675D95AF">
            <w:pPr>
              <w:jc w:val="right"/>
              <w:rPr>
                <w:rFonts w:ascii="Arial Narrow" w:hAnsi="Arial Narrow" w:eastAsiaTheme="minorEastAsia"/>
                <w:szCs w:val="21"/>
              </w:rPr>
            </w:pPr>
          </w:p>
        </w:tc>
        <w:tc>
          <w:tcPr>
            <w:tcW w:w="826" w:type="pct"/>
            <w:shd w:val="clear" w:color="auto" w:fill="auto"/>
            <w:vAlign w:val="center"/>
          </w:tcPr>
          <w:p w14:paraId="0C445A7B">
            <w:pPr>
              <w:jc w:val="right"/>
              <w:rPr>
                <w:rFonts w:ascii="Arial Narrow" w:hAnsi="Arial Narrow" w:eastAsiaTheme="minorEastAsia"/>
                <w:szCs w:val="21"/>
              </w:rPr>
            </w:pPr>
            <w:r>
              <w:rPr>
                <w:rFonts w:ascii="Arial Narrow" w:hAnsi="Arial Narrow" w:eastAsiaTheme="minorEastAsia"/>
                <w:color w:val="000000"/>
                <w:szCs w:val="21"/>
              </w:rPr>
              <w:t>3,148,979.60</w:t>
            </w:r>
          </w:p>
        </w:tc>
        <w:tc>
          <w:tcPr>
            <w:tcW w:w="823" w:type="pct"/>
            <w:vAlign w:val="center"/>
          </w:tcPr>
          <w:p w14:paraId="354FD67C">
            <w:pPr>
              <w:ind w:right="73"/>
              <w:jc w:val="right"/>
              <w:rPr>
                <w:rFonts w:ascii="Arial Narrow" w:hAnsi="Arial Narrow" w:eastAsiaTheme="minorEastAsia"/>
                <w:szCs w:val="21"/>
              </w:rPr>
            </w:pPr>
            <w:r>
              <w:rPr>
                <w:rFonts w:ascii="Arial Narrow" w:hAnsi="Arial Narrow" w:eastAsiaTheme="minorEastAsia"/>
                <w:color w:val="000000"/>
                <w:szCs w:val="21"/>
              </w:rPr>
              <w:t>84,194.12</w:t>
            </w:r>
          </w:p>
        </w:tc>
        <w:tc>
          <w:tcPr>
            <w:tcW w:w="928" w:type="pct"/>
            <w:shd w:val="clear" w:color="auto" w:fill="auto"/>
            <w:vAlign w:val="center"/>
          </w:tcPr>
          <w:p w14:paraId="52E4168E">
            <w:pPr>
              <w:jc w:val="both"/>
              <w:rPr>
                <w:rFonts w:ascii="Arial Narrow" w:hAnsi="Arial Narrow" w:eastAsiaTheme="minorEastAsia"/>
                <w:szCs w:val="21"/>
              </w:rPr>
            </w:pPr>
            <w:r>
              <w:rPr>
                <w:rFonts w:ascii="Arial Narrow" w:hAnsi="Arial Narrow" w:eastAsiaTheme="minorEastAsia"/>
                <w:color w:val="000000"/>
                <w:szCs w:val="21"/>
              </w:rPr>
              <w:t>拆迁专项资金</w:t>
            </w:r>
          </w:p>
        </w:tc>
      </w:tr>
      <w:tr w14:paraId="22D8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3BE23791">
            <w:pPr>
              <w:ind w:right="105"/>
              <w:rPr>
                <w:rFonts w:ascii="Arial Narrow" w:hAnsi="Arial Narrow" w:eastAsiaTheme="minorEastAsia"/>
                <w:szCs w:val="21"/>
              </w:rPr>
            </w:pPr>
            <w:r>
              <w:rPr>
                <w:rFonts w:ascii="Arial Narrow" w:hAnsi="Arial Narrow" w:eastAsiaTheme="minorEastAsia"/>
                <w:color w:val="000000"/>
                <w:szCs w:val="21"/>
              </w:rPr>
              <w:t>新园区专项扶持资金</w:t>
            </w:r>
          </w:p>
        </w:tc>
        <w:tc>
          <w:tcPr>
            <w:tcW w:w="823" w:type="pct"/>
            <w:vAlign w:val="center"/>
          </w:tcPr>
          <w:p w14:paraId="707A8DF0">
            <w:pPr>
              <w:ind w:right="73"/>
              <w:jc w:val="right"/>
              <w:rPr>
                <w:rFonts w:ascii="Arial Narrow" w:hAnsi="Arial Narrow" w:eastAsiaTheme="minorEastAsia"/>
                <w:szCs w:val="21"/>
              </w:rPr>
            </w:pPr>
            <w:r>
              <w:rPr>
                <w:rFonts w:ascii="Arial Narrow" w:hAnsi="Arial Narrow" w:eastAsiaTheme="minorEastAsia"/>
                <w:color w:val="000000"/>
                <w:szCs w:val="21"/>
              </w:rPr>
              <w:t>1,680,000.00</w:t>
            </w:r>
          </w:p>
        </w:tc>
        <w:tc>
          <w:tcPr>
            <w:tcW w:w="789" w:type="pct"/>
            <w:shd w:val="clear" w:color="auto" w:fill="auto"/>
            <w:vAlign w:val="center"/>
          </w:tcPr>
          <w:p w14:paraId="28A42F58">
            <w:pPr>
              <w:jc w:val="right"/>
              <w:rPr>
                <w:rFonts w:ascii="Arial Narrow" w:hAnsi="Arial Narrow" w:eastAsiaTheme="minorEastAsia"/>
                <w:szCs w:val="21"/>
              </w:rPr>
            </w:pPr>
          </w:p>
        </w:tc>
        <w:tc>
          <w:tcPr>
            <w:tcW w:w="826" w:type="pct"/>
            <w:shd w:val="clear" w:color="auto" w:fill="auto"/>
            <w:vAlign w:val="center"/>
          </w:tcPr>
          <w:p w14:paraId="3DB8FFE3">
            <w:pPr>
              <w:jc w:val="right"/>
              <w:rPr>
                <w:rFonts w:ascii="Arial Narrow" w:hAnsi="Arial Narrow" w:eastAsiaTheme="minorEastAsia"/>
                <w:szCs w:val="21"/>
              </w:rPr>
            </w:pPr>
          </w:p>
        </w:tc>
        <w:tc>
          <w:tcPr>
            <w:tcW w:w="823" w:type="pct"/>
            <w:vAlign w:val="center"/>
          </w:tcPr>
          <w:p w14:paraId="7D3D74CA">
            <w:pPr>
              <w:ind w:right="73"/>
              <w:jc w:val="right"/>
              <w:rPr>
                <w:rFonts w:ascii="Arial Narrow" w:hAnsi="Arial Narrow" w:eastAsiaTheme="minorEastAsia"/>
                <w:szCs w:val="21"/>
              </w:rPr>
            </w:pPr>
            <w:r>
              <w:rPr>
                <w:rFonts w:ascii="Arial Narrow" w:hAnsi="Arial Narrow" w:eastAsiaTheme="minorEastAsia"/>
                <w:color w:val="000000"/>
                <w:szCs w:val="21"/>
              </w:rPr>
              <w:t>1,680,000.00</w:t>
            </w:r>
          </w:p>
        </w:tc>
        <w:tc>
          <w:tcPr>
            <w:tcW w:w="928" w:type="pct"/>
            <w:shd w:val="clear" w:color="auto" w:fill="auto"/>
            <w:vAlign w:val="center"/>
          </w:tcPr>
          <w:p w14:paraId="39B6549B">
            <w:pPr>
              <w:jc w:val="both"/>
              <w:rPr>
                <w:rFonts w:ascii="Arial Narrow" w:hAnsi="Arial Narrow" w:eastAsiaTheme="minorEastAsia"/>
                <w:szCs w:val="21"/>
              </w:rPr>
            </w:pPr>
            <w:r>
              <w:rPr>
                <w:rFonts w:ascii="Arial Narrow" w:hAnsi="Arial Narrow" w:eastAsiaTheme="minorEastAsia"/>
                <w:color w:val="000000"/>
                <w:szCs w:val="21"/>
              </w:rPr>
              <w:t>新园区专用款</w:t>
            </w:r>
          </w:p>
        </w:tc>
      </w:tr>
      <w:tr w14:paraId="3675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219887E9">
            <w:pPr>
              <w:ind w:right="105"/>
              <w:rPr>
                <w:rFonts w:ascii="Arial Narrow" w:hAnsi="Arial Narrow" w:eastAsiaTheme="minorEastAsia"/>
                <w:szCs w:val="21"/>
              </w:rPr>
            </w:pPr>
            <w:r>
              <w:rPr>
                <w:rFonts w:ascii="Arial Narrow" w:hAnsi="Arial Narrow" w:eastAsiaTheme="minorEastAsia"/>
                <w:color w:val="000000"/>
                <w:szCs w:val="21"/>
              </w:rPr>
              <w:t>其他科学支出</w:t>
            </w:r>
          </w:p>
        </w:tc>
        <w:tc>
          <w:tcPr>
            <w:tcW w:w="823" w:type="pct"/>
            <w:vAlign w:val="center"/>
          </w:tcPr>
          <w:p w14:paraId="73A2B3FB">
            <w:pPr>
              <w:ind w:right="73"/>
              <w:jc w:val="right"/>
              <w:rPr>
                <w:rFonts w:ascii="Arial Narrow" w:hAnsi="Arial Narrow" w:eastAsiaTheme="minorEastAsia"/>
                <w:szCs w:val="21"/>
              </w:rPr>
            </w:pPr>
            <w:r>
              <w:rPr>
                <w:rFonts w:ascii="Arial Narrow" w:hAnsi="Arial Narrow" w:eastAsiaTheme="minorEastAsia"/>
                <w:color w:val="000000"/>
                <w:szCs w:val="21"/>
              </w:rPr>
              <w:t>1,000,000.00</w:t>
            </w:r>
          </w:p>
        </w:tc>
        <w:tc>
          <w:tcPr>
            <w:tcW w:w="789" w:type="pct"/>
            <w:shd w:val="clear" w:color="auto" w:fill="auto"/>
            <w:vAlign w:val="center"/>
          </w:tcPr>
          <w:p w14:paraId="43DFA92E">
            <w:pPr>
              <w:jc w:val="right"/>
              <w:rPr>
                <w:rFonts w:ascii="Arial Narrow" w:hAnsi="Arial Narrow" w:eastAsiaTheme="minorEastAsia"/>
                <w:szCs w:val="21"/>
              </w:rPr>
            </w:pPr>
          </w:p>
        </w:tc>
        <w:tc>
          <w:tcPr>
            <w:tcW w:w="826" w:type="pct"/>
            <w:shd w:val="clear" w:color="auto" w:fill="auto"/>
            <w:vAlign w:val="center"/>
          </w:tcPr>
          <w:p w14:paraId="766A336F">
            <w:pPr>
              <w:jc w:val="right"/>
              <w:rPr>
                <w:rFonts w:ascii="Arial Narrow" w:hAnsi="Arial Narrow" w:eastAsiaTheme="minorEastAsia"/>
                <w:szCs w:val="21"/>
              </w:rPr>
            </w:pPr>
          </w:p>
        </w:tc>
        <w:tc>
          <w:tcPr>
            <w:tcW w:w="823" w:type="pct"/>
            <w:vAlign w:val="center"/>
          </w:tcPr>
          <w:p w14:paraId="63440E7A">
            <w:pPr>
              <w:ind w:right="73"/>
              <w:jc w:val="right"/>
              <w:rPr>
                <w:rFonts w:ascii="Arial Narrow" w:hAnsi="Arial Narrow" w:eastAsiaTheme="minorEastAsia"/>
                <w:szCs w:val="21"/>
              </w:rPr>
            </w:pPr>
            <w:r>
              <w:rPr>
                <w:rFonts w:ascii="Arial Narrow" w:hAnsi="Arial Narrow" w:eastAsiaTheme="minorEastAsia"/>
                <w:color w:val="000000"/>
                <w:szCs w:val="21"/>
              </w:rPr>
              <w:t>1,000,000.00</w:t>
            </w:r>
          </w:p>
        </w:tc>
        <w:tc>
          <w:tcPr>
            <w:tcW w:w="928" w:type="pct"/>
            <w:shd w:val="clear" w:color="auto" w:fill="auto"/>
            <w:vAlign w:val="center"/>
          </w:tcPr>
          <w:p w14:paraId="44EC408D">
            <w:pPr>
              <w:jc w:val="both"/>
              <w:rPr>
                <w:rFonts w:ascii="Arial Narrow" w:hAnsi="Arial Narrow" w:eastAsiaTheme="minorEastAsia"/>
                <w:szCs w:val="21"/>
              </w:rPr>
            </w:pPr>
            <w:r>
              <w:rPr>
                <w:rFonts w:ascii="Arial Narrow" w:hAnsi="Arial Narrow" w:eastAsiaTheme="minorEastAsia"/>
                <w:color w:val="000000"/>
                <w:szCs w:val="21"/>
              </w:rPr>
              <w:t>科学研究款项</w:t>
            </w:r>
          </w:p>
        </w:tc>
      </w:tr>
      <w:tr w14:paraId="7252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257A8E6C">
            <w:pPr>
              <w:ind w:right="105"/>
              <w:rPr>
                <w:rFonts w:ascii="Arial Narrow" w:hAnsi="Arial Narrow" w:eastAsiaTheme="minorEastAsia"/>
                <w:szCs w:val="21"/>
              </w:rPr>
            </w:pPr>
            <w:r>
              <w:rPr>
                <w:rFonts w:ascii="Arial Narrow" w:hAnsi="Arial Narrow" w:eastAsiaTheme="minorEastAsia"/>
                <w:color w:val="000000"/>
                <w:szCs w:val="21"/>
              </w:rPr>
              <w:t>研发专项资金</w:t>
            </w:r>
          </w:p>
        </w:tc>
        <w:tc>
          <w:tcPr>
            <w:tcW w:w="823" w:type="pct"/>
            <w:vAlign w:val="center"/>
          </w:tcPr>
          <w:p w14:paraId="69B68898">
            <w:pPr>
              <w:ind w:right="73"/>
              <w:jc w:val="right"/>
              <w:rPr>
                <w:rFonts w:ascii="Arial Narrow" w:hAnsi="Arial Narrow" w:eastAsiaTheme="minorEastAsia"/>
                <w:szCs w:val="21"/>
              </w:rPr>
            </w:pPr>
            <w:r>
              <w:rPr>
                <w:rFonts w:ascii="Arial Narrow" w:hAnsi="Arial Narrow" w:eastAsiaTheme="minorEastAsia"/>
                <w:color w:val="000000"/>
                <w:szCs w:val="21"/>
              </w:rPr>
              <w:t>8,800,000.00</w:t>
            </w:r>
          </w:p>
        </w:tc>
        <w:tc>
          <w:tcPr>
            <w:tcW w:w="789" w:type="pct"/>
            <w:shd w:val="clear" w:color="auto" w:fill="auto"/>
            <w:vAlign w:val="center"/>
          </w:tcPr>
          <w:p w14:paraId="1AA31460">
            <w:pPr>
              <w:jc w:val="right"/>
              <w:rPr>
                <w:rFonts w:ascii="Arial Narrow" w:hAnsi="Arial Narrow" w:eastAsiaTheme="minorEastAsia"/>
                <w:szCs w:val="21"/>
              </w:rPr>
            </w:pPr>
            <w:r>
              <w:rPr>
                <w:rFonts w:ascii="Arial Narrow" w:hAnsi="Arial Narrow" w:eastAsiaTheme="minorEastAsia"/>
                <w:color w:val="000000"/>
                <w:szCs w:val="21"/>
              </w:rPr>
              <w:t>5,600,000.00</w:t>
            </w:r>
          </w:p>
        </w:tc>
        <w:tc>
          <w:tcPr>
            <w:tcW w:w="826" w:type="pct"/>
            <w:shd w:val="clear" w:color="auto" w:fill="auto"/>
            <w:vAlign w:val="center"/>
          </w:tcPr>
          <w:p w14:paraId="7D516297">
            <w:pPr>
              <w:jc w:val="right"/>
              <w:rPr>
                <w:rFonts w:ascii="Arial Narrow" w:hAnsi="Arial Narrow" w:eastAsiaTheme="minorEastAsia"/>
                <w:szCs w:val="21"/>
              </w:rPr>
            </w:pPr>
            <w:r>
              <w:rPr>
                <w:rFonts w:ascii="Arial Narrow" w:hAnsi="Arial Narrow" w:eastAsiaTheme="minorEastAsia"/>
                <w:color w:val="000000"/>
                <w:szCs w:val="21"/>
              </w:rPr>
              <w:t>8,623,600.00</w:t>
            </w:r>
          </w:p>
        </w:tc>
        <w:tc>
          <w:tcPr>
            <w:tcW w:w="823" w:type="pct"/>
            <w:vAlign w:val="center"/>
          </w:tcPr>
          <w:p w14:paraId="36403224">
            <w:pPr>
              <w:ind w:right="73"/>
              <w:jc w:val="right"/>
              <w:rPr>
                <w:rFonts w:ascii="Arial Narrow" w:hAnsi="Arial Narrow" w:eastAsiaTheme="minorEastAsia"/>
                <w:szCs w:val="21"/>
              </w:rPr>
            </w:pPr>
            <w:r>
              <w:rPr>
                <w:rFonts w:ascii="Arial Narrow" w:hAnsi="Arial Narrow" w:eastAsiaTheme="minorEastAsia"/>
                <w:color w:val="000000"/>
                <w:szCs w:val="21"/>
              </w:rPr>
              <w:t>5,776,400.00</w:t>
            </w:r>
          </w:p>
        </w:tc>
        <w:tc>
          <w:tcPr>
            <w:tcW w:w="928" w:type="pct"/>
            <w:shd w:val="clear" w:color="auto" w:fill="auto"/>
            <w:vAlign w:val="center"/>
          </w:tcPr>
          <w:p w14:paraId="57D06F82">
            <w:pPr>
              <w:jc w:val="both"/>
              <w:rPr>
                <w:rFonts w:ascii="Arial Narrow" w:hAnsi="Arial Narrow" w:eastAsiaTheme="minorEastAsia"/>
                <w:szCs w:val="21"/>
              </w:rPr>
            </w:pPr>
            <w:r>
              <w:rPr>
                <w:rFonts w:ascii="Arial Narrow" w:hAnsi="Arial Narrow" w:eastAsiaTheme="minorEastAsia"/>
                <w:color w:val="000000"/>
                <w:szCs w:val="21"/>
              </w:rPr>
              <w:t>专项研发项目</w:t>
            </w:r>
          </w:p>
        </w:tc>
      </w:tr>
      <w:tr w14:paraId="132E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298DEDBB">
            <w:pPr>
              <w:ind w:right="105"/>
              <w:rPr>
                <w:rFonts w:ascii="Arial Narrow" w:hAnsi="Arial Narrow" w:eastAsiaTheme="minorEastAsia"/>
                <w:color w:val="000000"/>
                <w:szCs w:val="21"/>
              </w:rPr>
            </w:pPr>
            <w:r>
              <w:rPr>
                <w:rFonts w:ascii="Arial Narrow" w:hAnsi="Arial Narrow" w:eastAsiaTheme="minorEastAsia"/>
                <w:color w:val="000000"/>
                <w:szCs w:val="21"/>
              </w:rPr>
              <w:t>功能性纺织产品研发关键技术研究应用</w:t>
            </w:r>
          </w:p>
        </w:tc>
        <w:tc>
          <w:tcPr>
            <w:tcW w:w="823" w:type="pct"/>
            <w:vAlign w:val="center"/>
          </w:tcPr>
          <w:p w14:paraId="44E5F254">
            <w:pPr>
              <w:ind w:right="73"/>
              <w:jc w:val="right"/>
              <w:rPr>
                <w:rFonts w:ascii="Arial Narrow" w:hAnsi="Arial Narrow" w:eastAsiaTheme="minorEastAsia"/>
                <w:color w:val="000000"/>
                <w:szCs w:val="21"/>
              </w:rPr>
            </w:pPr>
            <w:r>
              <w:rPr>
                <w:rFonts w:ascii="Arial Narrow" w:hAnsi="Arial Narrow" w:eastAsiaTheme="minorEastAsia"/>
                <w:color w:val="000000"/>
                <w:szCs w:val="21"/>
              </w:rPr>
              <w:t>328,600.00</w:t>
            </w:r>
          </w:p>
        </w:tc>
        <w:tc>
          <w:tcPr>
            <w:tcW w:w="789" w:type="pct"/>
            <w:shd w:val="clear" w:color="auto" w:fill="auto"/>
            <w:vAlign w:val="center"/>
          </w:tcPr>
          <w:p w14:paraId="448E60B9">
            <w:pPr>
              <w:jc w:val="right"/>
              <w:rPr>
                <w:rFonts w:ascii="Arial Narrow" w:hAnsi="Arial Narrow" w:eastAsiaTheme="minorEastAsia"/>
                <w:szCs w:val="21"/>
              </w:rPr>
            </w:pPr>
          </w:p>
        </w:tc>
        <w:tc>
          <w:tcPr>
            <w:tcW w:w="826" w:type="pct"/>
            <w:shd w:val="clear" w:color="auto" w:fill="auto"/>
            <w:vAlign w:val="center"/>
          </w:tcPr>
          <w:p w14:paraId="25217BBD">
            <w:pPr>
              <w:jc w:val="right"/>
              <w:rPr>
                <w:rFonts w:ascii="Arial Narrow" w:hAnsi="Arial Narrow" w:eastAsiaTheme="minorEastAsia"/>
                <w:szCs w:val="21"/>
              </w:rPr>
            </w:pPr>
          </w:p>
        </w:tc>
        <w:tc>
          <w:tcPr>
            <w:tcW w:w="823" w:type="pct"/>
            <w:vAlign w:val="center"/>
          </w:tcPr>
          <w:p w14:paraId="1094D608">
            <w:pPr>
              <w:ind w:right="73"/>
              <w:jc w:val="right"/>
              <w:rPr>
                <w:rFonts w:ascii="Arial Narrow" w:hAnsi="Arial Narrow" w:eastAsiaTheme="minorEastAsia"/>
                <w:color w:val="000000"/>
                <w:szCs w:val="21"/>
              </w:rPr>
            </w:pPr>
            <w:r>
              <w:rPr>
                <w:rFonts w:ascii="Arial Narrow" w:hAnsi="Arial Narrow" w:eastAsiaTheme="minorEastAsia"/>
                <w:color w:val="000000"/>
                <w:szCs w:val="21"/>
              </w:rPr>
              <w:t>328,600.00</w:t>
            </w:r>
          </w:p>
        </w:tc>
        <w:tc>
          <w:tcPr>
            <w:tcW w:w="928" w:type="pct"/>
            <w:shd w:val="clear" w:color="auto" w:fill="auto"/>
            <w:vAlign w:val="center"/>
          </w:tcPr>
          <w:p w14:paraId="38E3B89D">
            <w:pPr>
              <w:jc w:val="both"/>
              <w:rPr>
                <w:rFonts w:ascii="Arial Narrow" w:hAnsi="Arial Narrow" w:eastAsiaTheme="minorEastAsia"/>
                <w:color w:val="000000"/>
                <w:szCs w:val="21"/>
              </w:rPr>
            </w:pPr>
            <w:r>
              <w:rPr>
                <w:rFonts w:ascii="Arial Narrow" w:hAnsi="Arial Narrow" w:eastAsiaTheme="minorEastAsia"/>
                <w:color w:val="000000"/>
                <w:szCs w:val="21"/>
              </w:rPr>
              <w:t>功能性纺织产品研发关键技术研究运用专项资金</w:t>
            </w:r>
          </w:p>
        </w:tc>
      </w:tr>
      <w:tr w14:paraId="075D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408456E4">
            <w:pPr>
              <w:ind w:right="105"/>
              <w:rPr>
                <w:rFonts w:ascii="Arial Narrow" w:hAnsi="Arial Narrow" w:eastAsiaTheme="minorEastAsia"/>
                <w:szCs w:val="21"/>
              </w:rPr>
            </w:pPr>
            <w:r>
              <w:rPr>
                <w:rFonts w:ascii="Arial Narrow" w:hAnsi="Arial Narrow" w:eastAsiaTheme="minorEastAsia"/>
                <w:color w:val="000000"/>
                <w:szCs w:val="21"/>
              </w:rPr>
              <w:t>2024NC065冲击防护用保暖三维间隔织物面料产品开发</w:t>
            </w:r>
          </w:p>
        </w:tc>
        <w:tc>
          <w:tcPr>
            <w:tcW w:w="823" w:type="pct"/>
            <w:vAlign w:val="center"/>
          </w:tcPr>
          <w:p w14:paraId="30062DFD">
            <w:pPr>
              <w:ind w:right="73"/>
              <w:jc w:val="right"/>
              <w:rPr>
                <w:rFonts w:ascii="Arial Narrow" w:hAnsi="Arial Narrow" w:eastAsiaTheme="minorEastAsia"/>
                <w:szCs w:val="21"/>
              </w:rPr>
            </w:pPr>
          </w:p>
        </w:tc>
        <w:tc>
          <w:tcPr>
            <w:tcW w:w="789" w:type="pct"/>
            <w:shd w:val="clear" w:color="auto" w:fill="auto"/>
            <w:vAlign w:val="center"/>
          </w:tcPr>
          <w:p w14:paraId="781F0F7C">
            <w:pPr>
              <w:jc w:val="right"/>
              <w:rPr>
                <w:rFonts w:ascii="Arial Narrow" w:hAnsi="Arial Narrow" w:eastAsiaTheme="minorEastAsia"/>
                <w:szCs w:val="21"/>
              </w:rPr>
            </w:pPr>
            <w:r>
              <w:rPr>
                <w:rFonts w:ascii="Arial Narrow" w:hAnsi="Arial Narrow" w:eastAsiaTheme="minorEastAsia"/>
                <w:color w:val="000000"/>
                <w:szCs w:val="21"/>
              </w:rPr>
              <w:t>260,000.00</w:t>
            </w:r>
          </w:p>
        </w:tc>
        <w:tc>
          <w:tcPr>
            <w:tcW w:w="826" w:type="pct"/>
            <w:shd w:val="clear" w:color="auto" w:fill="auto"/>
            <w:vAlign w:val="center"/>
          </w:tcPr>
          <w:p w14:paraId="5AA1FA50">
            <w:pPr>
              <w:jc w:val="right"/>
              <w:rPr>
                <w:rFonts w:ascii="Arial Narrow" w:hAnsi="Arial Narrow" w:eastAsiaTheme="minorEastAsia"/>
                <w:szCs w:val="21"/>
              </w:rPr>
            </w:pPr>
          </w:p>
        </w:tc>
        <w:tc>
          <w:tcPr>
            <w:tcW w:w="823" w:type="pct"/>
            <w:vAlign w:val="center"/>
          </w:tcPr>
          <w:p w14:paraId="130CA90E">
            <w:pPr>
              <w:ind w:right="73"/>
              <w:jc w:val="right"/>
              <w:rPr>
                <w:rFonts w:ascii="Arial Narrow" w:hAnsi="Arial Narrow" w:eastAsiaTheme="minorEastAsia"/>
                <w:szCs w:val="21"/>
              </w:rPr>
            </w:pPr>
            <w:r>
              <w:rPr>
                <w:rFonts w:ascii="Arial Narrow" w:hAnsi="Arial Narrow" w:eastAsiaTheme="minorEastAsia"/>
                <w:color w:val="000000"/>
                <w:szCs w:val="21"/>
              </w:rPr>
              <w:t>260,000.00</w:t>
            </w:r>
          </w:p>
        </w:tc>
        <w:tc>
          <w:tcPr>
            <w:tcW w:w="928" w:type="pct"/>
            <w:shd w:val="clear" w:color="auto" w:fill="auto"/>
            <w:vAlign w:val="center"/>
          </w:tcPr>
          <w:p w14:paraId="67BE3754">
            <w:pPr>
              <w:jc w:val="both"/>
              <w:rPr>
                <w:rFonts w:ascii="Arial Narrow" w:hAnsi="Arial Narrow" w:eastAsiaTheme="minorEastAsia"/>
                <w:szCs w:val="21"/>
              </w:rPr>
            </w:pPr>
            <w:r>
              <w:rPr>
                <w:rFonts w:ascii="Arial Narrow" w:hAnsi="Arial Narrow" w:eastAsiaTheme="minorEastAsia"/>
                <w:color w:val="000000"/>
                <w:szCs w:val="21"/>
              </w:rPr>
              <w:t>2024NC065冲击防护用保暖三维间隔织物面料产品开发专项资金</w:t>
            </w:r>
          </w:p>
        </w:tc>
      </w:tr>
      <w:tr w14:paraId="24F2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tcPr>
          <w:p w14:paraId="52D115D0">
            <w:pPr>
              <w:ind w:right="105"/>
              <w:rPr>
                <w:rFonts w:ascii="Arial Narrow" w:hAnsi="Arial Narrow" w:eastAsiaTheme="minorEastAsia"/>
                <w:szCs w:val="21"/>
              </w:rPr>
            </w:pPr>
            <w:r>
              <w:rPr>
                <w:rFonts w:ascii="Arial Narrow" w:hAnsi="Arial Narrow" w:eastAsiaTheme="minorEastAsia"/>
                <w:color w:val="000000"/>
                <w:szCs w:val="21"/>
              </w:rPr>
              <w:t>其他</w:t>
            </w:r>
          </w:p>
        </w:tc>
        <w:tc>
          <w:tcPr>
            <w:tcW w:w="823" w:type="pct"/>
            <w:vAlign w:val="center"/>
          </w:tcPr>
          <w:p w14:paraId="3A3EA979">
            <w:pPr>
              <w:ind w:right="73"/>
              <w:jc w:val="right"/>
              <w:rPr>
                <w:rFonts w:ascii="Arial Narrow" w:hAnsi="Arial Narrow" w:eastAsiaTheme="minorEastAsia"/>
                <w:szCs w:val="21"/>
              </w:rPr>
            </w:pPr>
            <w:r>
              <w:rPr>
                <w:rFonts w:ascii="Arial Narrow" w:hAnsi="Arial Narrow" w:eastAsiaTheme="minorEastAsia"/>
                <w:color w:val="000000"/>
                <w:szCs w:val="21"/>
              </w:rPr>
              <w:t>278,918.13</w:t>
            </w:r>
          </w:p>
        </w:tc>
        <w:tc>
          <w:tcPr>
            <w:tcW w:w="789" w:type="pct"/>
            <w:shd w:val="clear" w:color="auto" w:fill="auto"/>
            <w:vAlign w:val="center"/>
          </w:tcPr>
          <w:p w14:paraId="10F869CA">
            <w:pPr>
              <w:jc w:val="right"/>
              <w:rPr>
                <w:rFonts w:ascii="Arial Narrow" w:hAnsi="Arial Narrow" w:eastAsiaTheme="minorEastAsia"/>
                <w:szCs w:val="21"/>
              </w:rPr>
            </w:pPr>
            <w:r>
              <w:rPr>
                <w:rFonts w:ascii="Arial Narrow" w:hAnsi="Arial Narrow" w:eastAsiaTheme="minorEastAsia"/>
                <w:color w:val="000000"/>
                <w:szCs w:val="21"/>
              </w:rPr>
              <w:t>106,666.67</w:t>
            </w:r>
          </w:p>
        </w:tc>
        <w:tc>
          <w:tcPr>
            <w:tcW w:w="826" w:type="pct"/>
            <w:shd w:val="clear" w:color="auto" w:fill="auto"/>
            <w:vAlign w:val="center"/>
          </w:tcPr>
          <w:p w14:paraId="24FF3444">
            <w:pPr>
              <w:jc w:val="right"/>
              <w:rPr>
                <w:rFonts w:ascii="Arial Narrow" w:hAnsi="Arial Narrow" w:eastAsiaTheme="minorEastAsia"/>
                <w:szCs w:val="21"/>
              </w:rPr>
            </w:pPr>
            <w:r>
              <w:rPr>
                <w:rFonts w:ascii="Arial Narrow" w:hAnsi="Arial Narrow" w:eastAsiaTheme="minorEastAsia"/>
                <w:color w:val="000000"/>
                <w:szCs w:val="21"/>
              </w:rPr>
              <w:t>345,000.01</w:t>
            </w:r>
          </w:p>
        </w:tc>
        <w:tc>
          <w:tcPr>
            <w:tcW w:w="823" w:type="pct"/>
            <w:vAlign w:val="center"/>
          </w:tcPr>
          <w:p w14:paraId="6D84CBEC">
            <w:pPr>
              <w:ind w:right="73"/>
              <w:jc w:val="right"/>
              <w:rPr>
                <w:rFonts w:ascii="Arial Narrow" w:hAnsi="Arial Narrow" w:eastAsiaTheme="minorEastAsia"/>
                <w:szCs w:val="21"/>
              </w:rPr>
            </w:pPr>
            <w:r>
              <w:rPr>
                <w:rFonts w:ascii="Arial Narrow" w:hAnsi="Arial Narrow" w:eastAsiaTheme="minorEastAsia"/>
                <w:color w:val="000000"/>
                <w:szCs w:val="21"/>
              </w:rPr>
              <w:t>40,584.79</w:t>
            </w:r>
          </w:p>
        </w:tc>
        <w:tc>
          <w:tcPr>
            <w:tcW w:w="928" w:type="pct"/>
            <w:shd w:val="clear" w:color="auto" w:fill="auto"/>
            <w:vAlign w:val="center"/>
          </w:tcPr>
          <w:p w14:paraId="1A9017EB">
            <w:pPr>
              <w:jc w:val="both"/>
              <w:rPr>
                <w:rFonts w:ascii="Arial Narrow" w:hAnsi="Arial Narrow" w:eastAsiaTheme="minorEastAsia"/>
                <w:szCs w:val="21"/>
              </w:rPr>
            </w:pPr>
            <w:r>
              <w:rPr>
                <w:rFonts w:ascii="Arial Narrow" w:hAnsi="Arial Narrow" w:eastAsiaTheme="minorEastAsia"/>
                <w:color w:val="000000"/>
                <w:szCs w:val="21"/>
              </w:rPr>
              <w:t>专项资金</w:t>
            </w:r>
          </w:p>
        </w:tc>
      </w:tr>
      <w:tr w14:paraId="347A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10" w:type="pct"/>
            <w:vAlign w:val="center"/>
          </w:tcPr>
          <w:p w14:paraId="00FABEA4">
            <w:pPr>
              <w:ind w:right="105"/>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823" w:type="pct"/>
            <w:vAlign w:val="center"/>
          </w:tcPr>
          <w:p w14:paraId="2E704EB4">
            <w:pPr>
              <w:ind w:right="73"/>
              <w:jc w:val="right"/>
              <w:rPr>
                <w:rFonts w:ascii="Arial Narrow" w:hAnsi="Arial Narrow" w:eastAsiaTheme="minorEastAsia"/>
                <w:szCs w:val="21"/>
              </w:rPr>
            </w:pPr>
            <w:r>
              <w:rPr>
                <w:rFonts w:ascii="Arial Narrow" w:hAnsi="Arial Narrow" w:eastAsiaTheme="minorEastAsia"/>
                <w:color w:val="000000"/>
                <w:szCs w:val="21"/>
              </w:rPr>
              <w:t>54,158,867.97</w:t>
            </w:r>
          </w:p>
        </w:tc>
        <w:tc>
          <w:tcPr>
            <w:tcW w:w="789" w:type="pct"/>
            <w:shd w:val="clear" w:color="auto" w:fill="auto"/>
            <w:vAlign w:val="center"/>
          </w:tcPr>
          <w:p w14:paraId="258820EA">
            <w:pPr>
              <w:jc w:val="right"/>
              <w:rPr>
                <w:rFonts w:ascii="Arial Narrow" w:hAnsi="Arial Narrow" w:eastAsiaTheme="minorEastAsia"/>
                <w:szCs w:val="21"/>
              </w:rPr>
            </w:pPr>
            <w:r>
              <w:rPr>
                <w:rFonts w:ascii="Arial Narrow" w:hAnsi="Arial Narrow" w:eastAsiaTheme="minorEastAsia"/>
                <w:color w:val="000000"/>
                <w:szCs w:val="21"/>
              </w:rPr>
              <w:t>11,081,466.67</w:t>
            </w:r>
          </w:p>
        </w:tc>
        <w:tc>
          <w:tcPr>
            <w:tcW w:w="826" w:type="pct"/>
            <w:shd w:val="clear" w:color="auto" w:fill="auto"/>
            <w:vAlign w:val="center"/>
          </w:tcPr>
          <w:p w14:paraId="726387F6">
            <w:pPr>
              <w:jc w:val="right"/>
              <w:rPr>
                <w:rFonts w:ascii="Arial Narrow" w:hAnsi="Arial Narrow" w:eastAsiaTheme="minorEastAsia"/>
                <w:szCs w:val="21"/>
              </w:rPr>
            </w:pPr>
            <w:r>
              <w:rPr>
                <w:rFonts w:ascii="Arial Narrow" w:hAnsi="Arial Narrow" w:eastAsiaTheme="minorEastAsia"/>
                <w:color w:val="000000"/>
                <w:szCs w:val="21"/>
              </w:rPr>
              <w:t>23,237,719.27</w:t>
            </w:r>
          </w:p>
        </w:tc>
        <w:tc>
          <w:tcPr>
            <w:tcW w:w="823" w:type="pct"/>
            <w:vAlign w:val="center"/>
          </w:tcPr>
          <w:p w14:paraId="6F63CD7B">
            <w:pPr>
              <w:ind w:right="73"/>
              <w:jc w:val="right"/>
              <w:rPr>
                <w:rFonts w:ascii="Arial Narrow" w:hAnsi="Arial Narrow" w:eastAsiaTheme="minorEastAsia"/>
                <w:szCs w:val="21"/>
              </w:rPr>
            </w:pPr>
            <w:r>
              <w:rPr>
                <w:rFonts w:ascii="Arial Narrow" w:hAnsi="Arial Narrow" w:eastAsiaTheme="minorEastAsia"/>
                <w:color w:val="000000"/>
                <w:szCs w:val="21"/>
              </w:rPr>
              <w:t>42,002,615.37</w:t>
            </w:r>
          </w:p>
        </w:tc>
        <w:tc>
          <w:tcPr>
            <w:tcW w:w="928" w:type="pct"/>
            <w:shd w:val="clear" w:color="auto" w:fill="auto"/>
          </w:tcPr>
          <w:p w14:paraId="62CED97F">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w:t>
            </w:r>
          </w:p>
        </w:tc>
      </w:tr>
    </w:tbl>
    <w:p w14:paraId="680BA9F7">
      <w:pPr>
        <w:snapToGrid w:val="0"/>
        <w:spacing w:before="60" w:after="60"/>
        <w:rPr>
          <w:rFonts w:hint="eastAsia"/>
          <w:szCs w:val="21"/>
        </w:rPr>
      </w:pPr>
      <w:r>
        <w:rPr>
          <w:rFonts w:hint="eastAsia"/>
          <w:szCs w:val="21"/>
        </w:rPr>
        <w:t>其他说明：</w:t>
      </w:r>
    </w:p>
    <w:sdt>
      <w:sdtPr>
        <w:rPr>
          <w:szCs w:val="21"/>
        </w:rPr>
        <w:alias w:val="专项应付款的说明"/>
        <w:tag w:val="_GBC_954a6f7cb5ff48de9193ddbb478f6007"/>
        <w:id w:val="1603149311"/>
        <w:placeholder>
          <w:docPart w:val="GBC22222222222222222222222222222"/>
        </w:placeholder>
      </w:sdtPr>
      <w:sdtEndPr>
        <w:rPr>
          <w:szCs w:val="21"/>
        </w:rPr>
      </w:sdtEndPr>
      <w:sdtContent>
        <w:p w14:paraId="22845DFF">
          <w:pPr>
            <w:snapToGrid w:val="0"/>
            <w:rPr>
              <w:rFonts w:hint="eastAsia"/>
              <w:szCs w:val="21"/>
            </w:rPr>
          </w:pPr>
          <w:r>
            <w:rPr>
              <w:rFonts w:hint="eastAsia"/>
              <w:szCs w:val="21"/>
            </w:rPr>
            <w:t>无</w:t>
          </w:r>
        </w:p>
      </w:sdtContent>
    </w:sdt>
    <w:p w14:paraId="4B16BD61">
      <w:pPr>
        <w:snapToGrid w:val="0"/>
        <w:rPr>
          <w:rFonts w:hint="eastAsia"/>
          <w:szCs w:val="21"/>
        </w:rPr>
      </w:pPr>
    </w:p>
    <w:p w14:paraId="426BFF7D">
      <w:pPr>
        <w:pStyle w:val="70"/>
        <w:numPr>
          <w:ilvl w:val="0"/>
          <w:numId w:val="109"/>
        </w:numPr>
        <w:rPr>
          <w:szCs w:val="21"/>
        </w:rPr>
      </w:pPr>
      <w:r>
        <w:rPr>
          <w:szCs w:val="21"/>
        </w:rPr>
        <w:t>长期应付职工薪酬</w:t>
      </w:r>
    </w:p>
    <w:sdt>
      <w:sdtPr>
        <w:alias w:val="是否适用：长期应付职工薪酬[双击切换]"/>
        <w:tag w:val="_GBC_24f9546075204a64926cf2cb24e64f0e"/>
        <w:id w:val="-43216649"/>
        <w:placeholder>
          <w:docPart w:val="GBC22222222222222222222222222222"/>
        </w:placeholder>
      </w:sdtPr>
      <w:sdtContent>
        <w:p w14:paraId="443542A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4B4EF2">
      <w:pPr>
        <w:pStyle w:val="71"/>
        <w:numPr>
          <w:ilvl w:val="0"/>
          <w:numId w:val="145"/>
        </w:numPr>
        <w:ind w:left="426" w:hanging="426"/>
        <w:rPr>
          <w:rFonts w:hint="eastAsia"/>
        </w:rPr>
      </w:pPr>
      <w:r>
        <w:rPr>
          <w:rFonts w:hint="eastAsia"/>
        </w:rPr>
        <w:t>长期应付职工薪酬表</w:t>
      </w:r>
    </w:p>
    <w:sdt>
      <w:sdtPr>
        <w:alias w:val="是否适用：长期应付职工薪酬表[双击切换]"/>
        <w:tag w:val="_GBC_b44de9fd198c4a3499852d2770fe541b"/>
        <w:id w:val="-1052465285"/>
        <w:placeholder>
          <w:docPart w:val="GBC22222222222222222222222222222"/>
        </w:placeholder>
      </w:sdtPr>
      <w:sdtContent>
        <w:p w14:paraId="462075E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58E108">
      <w:pPr>
        <w:jc w:val="right"/>
        <w:rPr>
          <w:rFonts w:hint="eastAsia"/>
        </w:rPr>
      </w:pPr>
      <w:r>
        <w:rPr>
          <w:rFonts w:hint="eastAsia"/>
        </w:rPr>
        <w:t>单位：</w:t>
      </w:r>
      <w:sdt>
        <w:sdtPr>
          <w:rPr>
            <w:rFonts w:hint="eastAsia"/>
          </w:rPr>
          <w:alias w:val="单位：财务附注：长期应付职工薪酬"/>
          <w:tag w:val="_GBC_494e432bb7b842a4b2966c2a30e46b7c"/>
          <w:id w:val="-19775216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6939746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7"/>
        <w:gridCol w:w="2287"/>
        <w:gridCol w:w="2289"/>
      </w:tblGrid>
      <w:tr w14:paraId="002F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87f8419ee43a44a3851aeb0ae20db3b3"/>
            <w:id w:val="-1849325419"/>
          </w:sdtPr>
          <w:sdtEndPr>
            <w:rPr>
              <w:rFonts w:ascii="Arial Narrow" w:hAnsi="Arial Narrow" w:eastAsiaTheme="minorEastAsia"/>
              <w:szCs w:val="21"/>
            </w:rPr>
          </w:sdtEndPr>
          <w:sdtContent>
            <w:tc>
              <w:tcPr>
                <w:tcW w:w="2407" w:type="pct"/>
                <w:shd w:val="clear" w:color="auto" w:fill="auto"/>
                <w:vAlign w:val="center"/>
              </w:tcPr>
              <w:p w14:paraId="7ABDEB3C">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dc953e100cbb4806858d7d10436872c1"/>
            <w:id w:val="408431774"/>
          </w:sdtPr>
          <w:sdtEndPr>
            <w:rPr>
              <w:rFonts w:ascii="Arial Narrow" w:hAnsi="Arial Narrow" w:eastAsiaTheme="minorEastAsia"/>
              <w:szCs w:val="21"/>
            </w:rPr>
          </w:sdtEndPr>
          <w:sdtContent>
            <w:tc>
              <w:tcPr>
                <w:tcW w:w="1296" w:type="pct"/>
                <w:shd w:val="clear" w:color="auto" w:fill="auto"/>
                <w:vAlign w:val="center"/>
              </w:tcPr>
              <w:p w14:paraId="62F65C40">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28d4785454ea4bd99f4433899ff434f8"/>
            <w:id w:val="-201020666"/>
          </w:sdtPr>
          <w:sdtEndPr>
            <w:rPr>
              <w:rFonts w:ascii="Arial Narrow" w:hAnsi="Arial Narrow" w:eastAsiaTheme="minorEastAsia"/>
              <w:szCs w:val="21"/>
            </w:rPr>
          </w:sdtEndPr>
          <w:sdtContent>
            <w:tc>
              <w:tcPr>
                <w:tcW w:w="1297" w:type="pct"/>
                <w:shd w:val="clear" w:color="auto" w:fill="auto"/>
                <w:vAlign w:val="center"/>
              </w:tcPr>
              <w:p w14:paraId="203DDC0B">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E30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pct"/>
            <w:shd w:val="clear" w:color="auto" w:fill="auto"/>
            <w:vAlign w:val="center"/>
          </w:tcPr>
          <w:p w14:paraId="31F05477">
            <w:pPr>
              <w:rPr>
                <w:rFonts w:ascii="Arial Narrow" w:hAnsi="Arial Narrow" w:eastAsiaTheme="minorEastAsia"/>
                <w:szCs w:val="21"/>
              </w:rPr>
            </w:pPr>
            <w:r>
              <w:rPr>
                <w:rFonts w:ascii="Arial Narrow" w:hAnsi="Arial Narrow" w:eastAsiaTheme="minorEastAsia"/>
                <w:szCs w:val="21"/>
              </w:rPr>
              <w:t>一、离职后福利-设定受益计划净负债</w:t>
            </w:r>
          </w:p>
        </w:tc>
        <w:tc>
          <w:tcPr>
            <w:tcW w:w="1296" w:type="pct"/>
            <w:shd w:val="clear" w:color="auto" w:fill="auto"/>
            <w:vAlign w:val="center"/>
          </w:tcPr>
          <w:p w14:paraId="6BE52236">
            <w:pPr>
              <w:jc w:val="right"/>
              <w:rPr>
                <w:rFonts w:ascii="Arial Narrow" w:hAnsi="Arial Narrow" w:eastAsiaTheme="minorEastAsia"/>
                <w:szCs w:val="21"/>
              </w:rPr>
            </w:pPr>
            <w:r>
              <w:rPr>
                <w:rFonts w:ascii="Arial Narrow" w:hAnsi="Arial Narrow" w:eastAsiaTheme="minorEastAsia"/>
                <w:color w:val="000000"/>
                <w:szCs w:val="21"/>
              </w:rPr>
              <w:t>343,793,614.00</w:t>
            </w:r>
          </w:p>
        </w:tc>
        <w:tc>
          <w:tcPr>
            <w:tcW w:w="1297" w:type="pct"/>
            <w:shd w:val="clear" w:color="auto" w:fill="auto"/>
            <w:vAlign w:val="center"/>
          </w:tcPr>
          <w:p w14:paraId="505E56B2">
            <w:pPr>
              <w:jc w:val="right"/>
              <w:rPr>
                <w:rFonts w:ascii="Arial Narrow" w:hAnsi="Arial Narrow" w:eastAsiaTheme="minorEastAsia"/>
                <w:szCs w:val="21"/>
              </w:rPr>
            </w:pPr>
            <w:r>
              <w:rPr>
                <w:rFonts w:ascii="Arial Narrow" w:hAnsi="Arial Narrow" w:eastAsiaTheme="minorEastAsia"/>
                <w:color w:val="000000"/>
                <w:szCs w:val="21"/>
              </w:rPr>
              <w:t>351,589,535.00</w:t>
            </w:r>
          </w:p>
        </w:tc>
      </w:tr>
      <w:tr w14:paraId="7523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pct"/>
            <w:shd w:val="clear" w:color="auto" w:fill="auto"/>
            <w:vAlign w:val="center"/>
          </w:tcPr>
          <w:p w14:paraId="40231835">
            <w:pPr>
              <w:rPr>
                <w:rFonts w:ascii="Arial Narrow" w:hAnsi="Arial Narrow" w:eastAsiaTheme="minorEastAsia"/>
                <w:szCs w:val="21"/>
              </w:rPr>
            </w:pPr>
            <w:r>
              <w:rPr>
                <w:rFonts w:ascii="Arial Narrow" w:hAnsi="Arial Narrow" w:eastAsiaTheme="minorEastAsia"/>
                <w:szCs w:val="21"/>
              </w:rPr>
              <w:t>二、辞退福利</w:t>
            </w:r>
          </w:p>
        </w:tc>
        <w:tc>
          <w:tcPr>
            <w:tcW w:w="1296" w:type="pct"/>
            <w:shd w:val="clear" w:color="auto" w:fill="auto"/>
            <w:vAlign w:val="center"/>
          </w:tcPr>
          <w:p w14:paraId="1D648531">
            <w:pPr>
              <w:jc w:val="right"/>
              <w:rPr>
                <w:rFonts w:ascii="Arial Narrow" w:hAnsi="Arial Narrow" w:eastAsiaTheme="minorEastAsia"/>
                <w:szCs w:val="21"/>
              </w:rPr>
            </w:pPr>
            <w:r>
              <w:rPr>
                <w:rFonts w:ascii="Arial Narrow" w:hAnsi="Arial Narrow" w:eastAsiaTheme="minorEastAsia"/>
                <w:color w:val="000000"/>
                <w:szCs w:val="21"/>
              </w:rPr>
              <w:t>7,624,000.00</w:t>
            </w:r>
          </w:p>
        </w:tc>
        <w:tc>
          <w:tcPr>
            <w:tcW w:w="1297" w:type="pct"/>
            <w:shd w:val="clear" w:color="auto" w:fill="auto"/>
            <w:vAlign w:val="center"/>
          </w:tcPr>
          <w:p w14:paraId="34567DC5">
            <w:pPr>
              <w:jc w:val="right"/>
              <w:rPr>
                <w:rFonts w:ascii="Arial Narrow" w:hAnsi="Arial Narrow" w:eastAsiaTheme="minorEastAsia"/>
                <w:szCs w:val="21"/>
              </w:rPr>
            </w:pPr>
            <w:r>
              <w:rPr>
                <w:rFonts w:ascii="Arial Narrow" w:hAnsi="Arial Narrow" w:eastAsiaTheme="minorEastAsia"/>
                <w:color w:val="000000"/>
                <w:szCs w:val="21"/>
              </w:rPr>
              <w:t>8,981,719.00</w:t>
            </w:r>
          </w:p>
        </w:tc>
      </w:tr>
      <w:tr w14:paraId="66E7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pct"/>
            <w:shd w:val="clear" w:color="auto" w:fill="auto"/>
            <w:vAlign w:val="center"/>
          </w:tcPr>
          <w:p w14:paraId="78AF50BE">
            <w:pPr>
              <w:rPr>
                <w:rFonts w:ascii="Arial Narrow" w:hAnsi="Arial Narrow" w:eastAsiaTheme="minorEastAsia"/>
                <w:szCs w:val="21"/>
              </w:rPr>
            </w:pPr>
            <w:r>
              <w:rPr>
                <w:rFonts w:ascii="Arial Narrow" w:hAnsi="Arial Narrow" w:eastAsiaTheme="minorEastAsia"/>
                <w:szCs w:val="21"/>
              </w:rPr>
              <w:t>三、其他长期福利</w:t>
            </w:r>
          </w:p>
        </w:tc>
        <w:tc>
          <w:tcPr>
            <w:tcW w:w="1296" w:type="pct"/>
            <w:shd w:val="clear" w:color="auto" w:fill="auto"/>
            <w:vAlign w:val="center"/>
          </w:tcPr>
          <w:p w14:paraId="78B98B9F">
            <w:pPr>
              <w:jc w:val="right"/>
              <w:rPr>
                <w:rFonts w:ascii="Arial Narrow" w:hAnsi="Arial Narrow" w:eastAsiaTheme="minorEastAsia"/>
                <w:szCs w:val="21"/>
              </w:rPr>
            </w:pPr>
            <w:r>
              <w:rPr>
                <w:rFonts w:ascii="Arial Narrow" w:hAnsi="Arial Narrow" w:eastAsiaTheme="minorEastAsia"/>
                <w:color w:val="000000"/>
                <w:szCs w:val="21"/>
              </w:rPr>
              <w:t>-31,369,567.00</w:t>
            </w:r>
          </w:p>
        </w:tc>
        <w:tc>
          <w:tcPr>
            <w:tcW w:w="1297" w:type="pct"/>
            <w:shd w:val="clear" w:color="auto" w:fill="auto"/>
            <w:vAlign w:val="center"/>
          </w:tcPr>
          <w:p w14:paraId="012E43AF">
            <w:pPr>
              <w:jc w:val="right"/>
              <w:rPr>
                <w:rFonts w:ascii="Arial Narrow" w:hAnsi="Arial Narrow" w:eastAsiaTheme="minorEastAsia"/>
                <w:szCs w:val="21"/>
              </w:rPr>
            </w:pPr>
            <w:r>
              <w:rPr>
                <w:rFonts w:ascii="Arial Narrow" w:hAnsi="Arial Narrow" w:eastAsiaTheme="minorEastAsia"/>
                <w:color w:val="000000"/>
                <w:szCs w:val="21"/>
              </w:rPr>
              <w:t>-33,388,754.46</w:t>
            </w:r>
          </w:p>
        </w:tc>
      </w:tr>
      <w:tr w14:paraId="592F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7" w:type="pct"/>
            <w:shd w:val="clear" w:color="auto" w:fill="auto"/>
            <w:vAlign w:val="center"/>
          </w:tcPr>
          <w:p w14:paraId="685AFF9A">
            <w:pPr>
              <w:jc w:val="center"/>
              <w:rPr>
                <w:rFonts w:ascii="Arial Narrow" w:hAnsi="Arial Narrow" w:eastAsiaTheme="minorEastAsia"/>
                <w:szCs w:val="21"/>
              </w:rPr>
            </w:pPr>
            <w:r>
              <w:rPr>
                <w:rFonts w:ascii="Arial Narrow" w:hAnsi="Arial Narrow" w:eastAsiaTheme="minorEastAsia"/>
                <w:szCs w:val="21"/>
              </w:rPr>
              <w:t>合计</w:t>
            </w:r>
          </w:p>
        </w:tc>
        <w:tc>
          <w:tcPr>
            <w:tcW w:w="1296" w:type="pct"/>
            <w:shd w:val="clear" w:color="auto" w:fill="auto"/>
            <w:vAlign w:val="center"/>
          </w:tcPr>
          <w:p w14:paraId="060C9968">
            <w:pPr>
              <w:jc w:val="right"/>
              <w:rPr>
                <w:rFonts w:ascii="Arial Narrow" w:hAnsi="Arial Narrow" w:eastAsiaTheme="minorEastAsia"/>
                <w:szCs w:val="21"/>
              </w:rPr>
            </w:pPr>
            <w:r>
              <w:rPr>
                <w:rFonts w:ascii="Arial Narrow" w:hAnsi="Arial Narrow" w:eastAsiaTheme="minorEastAsia"/>
                <w:color w:val="000000"/>
                <w:szCs w:val="21"/>
              </w:rPr>
              <w:t>320,048,047.00</w:t>
            </w:r>
          </w:p>
        </w:tc>
        <w:tc>
          <w:tcPr>
            <w:tcW w:w="1297" w:type="pct"/>
            <w:shd w:val="clear" w:color="auto" w:fill="auto"/>
            <w:vAlign w:val="center"/>
          </w:tcPr>
          <w:p w14:paraId="2C65D1D2">
            <w:pPr>
              <w:jc w:val="right"/>
              <w:rPr>
                <w:rFonts w:ascii="Arial Narrow" w:hAnsi="Arial Narrow" w:eastAsiaTheme="minorEastAsia"/>
                <w:szCs w:val="21"/>
              </w:rPr>
            </w:pPr>
            <w:r>
              <w:rPr>
                <w:rFonts w:ascii="Arial Narrow" w:hAnsi="Arial Narrow" w:eastAsiaTheme="minorEastAsia"/>
                <w:color w:val="000000"/>
                <w:szCs w:val="21"/>
              </w:rPr>
              <w:t>327,182,499.54</w:t>
            </w:r>
          </w:p>
        </w:tc>
      </w:tr>
    </w:tbl>
    <w:p w14:paraId="027C1ED9">
      <w:pPr>
        <w:rPr>
          <w:rFonts w:hint="eastAsia"/>
        </w:rPr>
      </w:pPr>
    </w:p>
    <w:p w14:paraId="6EB8213A">
      <w:pPr>
        <w:pStyle w:val="71"/>
        <w:numPr>
          <w:ilvl w:val="0"/>
          <w:numId w:val="145"/>
        </w:numPr>
        <w:ind w:left="426" w:hanging="426"/>
        <w:rPr>
          <w:rFonts w:hint="eastAsia"/>
        </w:rPr>
      </w:pPr>
      <w:r>
        <w:rPr>
          <w:rFonts w:hint="eastAsia"/>
        </w:rPr>
        <w:t>设定受益计划变动情况</w:t>
      </w:r>
    </w:p>
    <w:p w14:paraId="28DFA955">
      <w:pPr>
        <w:rPr>
          <w:rFonts w:hint="eastAsia"/>
          <w:szCs w:val="21"/>
        </w:rPr>
      </w:pPr>
      <w:r>
        <w:rPr>
          <w:rFonts w:hint="eastAsia"/>
          <w:szCs w:val="21"/>
        </w:rPr>
        <w:t>设定受益计划义务现值：</w:t>
      </w:r>
    </w:p>
    <w:sdt>
      <w:sdtPr>
        <w:alias w:val="是否适用：设定受益计划义务现值[双击切换]"/>
        <w:tag w:val="_GBC_898bbd8ee5bb4ad698965551469ae3fb"/>
        <w:id w:val="1511178084"/>
        <w:placeholder>
          <w:docPart w:val="GBC22222222222222222222222222222"/>
        </w:placeholder>
      </w:sdtPr>
      <w:sdtContent>
        <w:p w14:paraId="276FE4A4">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A33B5A">
      <w:pPr>
        <w:jc w:val="right"/>
        <w:rPr>
          <w:rFonts w:hint="eastAsia"/>
        </w:rPr>
      </w:pPr>
      <w:r>
        <w:rPr>
          <w:rFonts w:hint="eastAsia"/>
        </w:rPr>
        <w:t>单位：</w:t>
      </w:r>
      <w:sdt>
        <w:sdtPr>
          <w:rPr>
            <w:rFonts w:hint="eastAsia"/>
          </w:rPr>
          <w:alias w:val="单位：财务附注：设定受益计划义务现值"/>
          <w:tag w:val="_GBC_d87db3237cee4a5a822494fe218bb633"/>
          <w:id w:val="-9660437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14357387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4"/>
        <w:gridCol w:w="2715"/>
        <w:gridCol w:w="2711"/>
      </w:tblGrid>
      <w:tr w14:paraId="50EA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3dee25d75b904d5fa25c2c52ba200ae2"/>
            <w:id w:val="105398867"/>
          </w:sdtPr>
          <w:sdtEndPr>
            <w:rPr>
              <w:rFonts w:ascii="Arial Narrow" w:hAnsi="Arial Narrow" w:eastAsiaTheme="minorEastAsia"/>
              <w:szCs w:val="21"/>
            </w:rPr>
          </w:sdtEndPr>
          <w:sdtContent>
            <w:tc>
              <w:tcPr>
                <w:tcW w:w="1924" w:type="pct"/>
                <w:tcBorders>
                  <w:left w:val="single" w:color="auto" w:sz="6" w:space="0"/>
                  <w:bottom w:val="single" w:color="auto" w:sz="6" w:space="0"/>
                  <w:right w:val="single" w:color="auto" w:sz="6" w:space="0"/>
                </w:tcBorders>
                <w:shd w:val="clear" w:color="auto" w:fill="auto"/>
                <w:vAlign w:val="center"/>
              </w:tcPr>
              <w:p w14:paraId="3328A205">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a95376567d1a4834b376e3089b85f864"/>
            <w:id w:val="-1364598370"/>
          </w:sdtPr>
          <w:sdtEndPr>
            <w:rPr>
              <w:rFonts w:ascii="Arial Narrow" w:hAnsi="Arial Narrow" w:eastAsiaTheme="minorEastAsia"/>
              <w:szCs w:val="21"/>
            </w:rPr>
          </w:sdtEndPr>
          <w:sdtContent>
            <w:tc>
              <w:tcPr>
                <w:tcW w:w="1539" w:type="pct"/>
                <w:tcBorders>
                  <w:top w:val="single" w:color="auto" w:sz="6" w:space="0"/>
                  <w:left w:val="single" w:color="auto" w:sz="6" w:space="0"/>
                  <w:bottom w:val="single" w:color="auto" w:sz="4" w:space="0"/>
                  <w:right w:val="single" w:color="auto" w:sz="4" w:space="0"/>
                </w:tcBorders>
                <w:shd w:val="clear" w:color="auto" w:fill="auto"/>
                <w:vAlign w:val="center"/>
              </w:tcPr>
              <w:p w14:paraId="38DC67BE">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86c4cd0f85c94b3197fb39dcde827282"/>
            <w:id w:val="-701621347"/>
          </w:sdtPr>
          <w:sdtEndPr>
            <w:rPr>
              <w:rFonts w:ascii="Arial Narrow" w:hAnsi="Arial Narrow" w:eastAsiaTheme="minorEastAsia"/>
              <w:szCs w:val="21"/>
            </w:rPr>
          </w:sdtEndPr>
          <w:sdtContent>
            <w:tc>
              <w:tcPr>
                <w:tcW w:w="1537" w:type="pct"/>
                <w:tcBorders>
                  <w:top w:val="single" w:color="auto" w:sz="6" w:space="0"/>
                  <w:left w:val="single" w:color="auto" w:sz="6" w:space="0"/>
                  <w:bottom w:val="single" w:color="auto" w:sz="4" w:space="0"/>
                  <w:right w:val="single" w:color="auto" w:sz="4" w:space="0"/>
                </w:tcBorders>
                <w:shd w:val="clear" w:color="auto" w:fill="auto"/>
                <w:vAlign w:val="center"/>
              </w:tcPr>
              <w:p w14:paraId="7A84BA43">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6250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53E8EDCA">
            <w:pPr>
              <w:rPr>
                <w:rFonts w:ascii="Arial Narrow" w:hAnsi="Arial Narrow" w:eastAsiaTheme="minorEastAsia"/>
                <w:szCs w:val="21"/>
              </w:rPr>
            </w:pPr>
            <w:r>
              <w:rPr>
                <w:rFonts w:ascii="Arial Narrow" w:hAnsi="Arial Narrow" w:eastAsiaTheme="minorEastAsia"/>
                <w:szCs w:val="21"/>
              </w:rPr>
              <w:t>一、期初余额</w:t>
            </w:r>
          </w:p>
        </w:tc>
        <w:tc>
          <w:tcPr>
            <w:tcW w:w="1539" w:type="pct"/>
            <w:tcBorders>
              <w:top w:val="single" w:color="auto" w:sz="6" w:space="0"/>
              <w:left w:val="single" w:color="auto" w:sz="6" w:space="0"/>
              <w:bottom w:val="single" w:color="auto" w:sz="4" w:space="0"/>
              <w:right w:val="single" w:color="auto" w:sz="4" w:space="0"/>
            </w:tcBorders>
            <w:shd w:val="clear" w:color="auto" w:fill="auto"/>
            <w:vAlign w:val="center"/>
          </w:tcPr>
          <w:p w14:paraId="29F74EED">
            <w:pPr>
              <w:jc w:val="right"/>
              <w:rPr>
                <w:rFonts w:ascii="Arial Narrow" w:hAnsi="Arial Narrow" w:eastAsiaTheme="minorEastAsia"/>
                <w:szCs w:val="21"/>
              </w:rPr>
            </w:pPr>
            <w:r>
              <w:rPr>
                <w:rFonts w:ascii="Arial Narrow" w:hAnsi="Arial Narrow" w:eastAsiaTheme="minorEastAsia"/>
                <w:color w:val="000000"/>
                <w:szCs w:val="21"/>
              </w:rPr>
              <w:t>360,571,254.00</w:t>
            </w:r>
          </w:p>
        </w:tc>
        <w:tc>
          <w:tcPr>
            <w:tcW w:w="1537" w:type="pct"/>
            <w:tcBorders>
              <w:top w:val="single" w:color="auto" w:sz="6" w:space="0"/>
              <w:left w:val="single" w:color="auto" w:sz="6" w:space="0"/>
              <w:bottom w:val="single" w:color="auto" w:sz="4" w:space="0"/>
              <w:right w:val="single" w:color="auto" w:sz="4" w:space="0"/>
            </w:tcBorders>
            <w:shd w:val="clear" w:color="auto" w:fill="auto"/>
            <w:vAlign w:val="center"/>
          </w:tcPr>
          <w:p w14:paraId="0F9BAD32">
            <w:pPr>
              <w:jc w:val="right"/>
              <w:rPr>
                <w:rFonts w:ascii="Arial Narrow" w:hAnsi="Arial Narrow" w:eastAsiaTheme="minorEastAsia"/>
                <w:szCs w:val="21"/>
              </w:rPr>
            </w:pPr>
            <w:r>
              <w:rPr>
                <w:rFonts w:ascii="Arial Narrow" w:hAnsi="Arial Narrow" w:eastAsiaTheme="minorEastAsia"/>
                <w:color w:val="000000"/>
                <w:szCs w:val="21"/>
              </w:rPr>
              <w:t>404,896,458.00</w:t>
            </w:r>
          </w:p>
        </w:tc>
      </w:tr>
      <w:tr w14:paraId="71D2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363BCA27">
            <w:pPr>
              <w:rPr>
                <w:rFonts w:ascii="Arial Narrow" w:hAnsi="Arial Narrow" w:eastAsiaTheme="minorEastAsia"/>
                <w:szCs w:val="21"/>
              </w:rPr>
            </w:pPr>
            <w:r>
              <w:rPr>
                <w:rFonts w:ascii="Arial Narrow" w:hAnsi="Arial Narrow" w:eastAsiaTheme="minorEastAsia"/>
                <w:szCs w:val="21"/>
              </w:rPr>
              <w:t>二、计入当期损益的设定受益成本</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2EC70D0A">
            <w:pPr>
              <w:jc w:val="right"/>
              <w:rPr>
                <w:rFonts w:ascii="Arial Narrow" w:hAnsi="Arial Narrow" w:eastAsiaTheme="minorEastAsia"/>
                <w:szCs w:val="21"/>
              </w:rPr>
            </w:pPr>
            <w:r>
              <w:rPr>
                <w:rFonts w:ascii="Arial Narrow" w:hAnsi="Arial Narrow" w:eastAsiaTheme="minorEastAsia"/>
                <w:color w:val="000000"/>
                <w:szCs w:val="21"/>
              </w:rPr>
              <w:t>6,478,663.01</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254C0E6D">
            <w:pPr>
              <w:jc w:val="right"/>
              <w:rPr>
                <w:rFonts w:ascii="Arial Narrow" w:hAnsi="Arial Narrow" w:eastAsiaTheme="minorEastAsia"/>
                <w:szCs w:val="21"/>
              </w:rPr>
            </w:pPr>
            <w:r>
              <w:rPr>
                <w:rFonts w:ascii="Arial Narrow" w:hAnsi="Arial Narrow" w:eastAsiaTheme="minorEastAsia"/>
                <w:color w:val="000000"/>
                <w:szCs w:val="21"/>
              </w:rPr>
              <w:t>8,282,659.15</w:t>
            </w:r>
          </w:p>
        </w:tc>
      </w:tr>
      <w:tr w14:paraId="324C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2A9F0CC9">
            <w:pPr>
              <w:rPr>
                <w:rFonts w:ascii="Arial Narrow" w:hAnsi="Arial Narrow" w:eastAsiaTheme="minorEastAsia"/>
                <w:szCs w:val="21"/>
              </w:rPr>
            </w:pPr>
            <w:r>
              <w:rPr>
                <w:rFonts w:ascii="Arial Narrow" w:hAnsi="Arial Narrow" w:eastAsiaTheme="minorEastAsia"/>
                <w:szCs w:val="21"/>
              </w:rPr>
              <w:t>1.当期服务成本</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32BA3517">
            <w:pPr>
              <w:jc w:val="right"/>
              <w:rPr>
                <w:rFonts w:ascii="Arial Narrow" w:hAnsi="Arial Narrow" w:eastAsiaTheme="minorEastAsia"/>
                <w:szCs w:val="21"/>
              </w:rPr>
            </w:pP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2C93846E">
            <w:pPr>
              <w:jc w:val="right"/>
              <w:rPr>
                <w:rFonts w:ascii="Arial Narrow" w:hAnsi="Arial Narrow" w:eastAsiaTheme="minorEastAsia"/>
                <w:szCs w:val="21"/>
              </w:rPr>
            </w:pPr>
          </w:p>
        </w:tc>
      </w:tr>
      <w:tr w14:paraId="10E5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310BEDED">
            <w:pPr>
              <w:rPr>
                <w:rFonts w:ascii="Arial Narrow" w:hAnsi="Arial Narrow" w:eastAsiaTheme="minorEastAsia"/>
                <w:szCs w:val="21"/>
              </w:rPr>
            </w:pPr>
            <w:r>
              <w:rPr>
                <w:rFonts w:ascii="Arial Narrow" w:hAnsi="Arial Narrow" w:eastAsiaTheme="minorEastAsia"/>
                <w:szCs w:val="21"/>
              </w:rPr>
              <w:t>2.过去服务成本</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31B365DB">
            <w:pPr>
              <w:jc w:val="right"/>
              <w:rPr>
                <w:rFonts w:ascii="Arial Narrow" w:hAnsi="Arial Narrow" w:eastAsiaTheme="minorEastAsia"/>
                <w:szCs w:val="21"/>
              </w:rPr>
            </w:pPr>
            <w:r>
              <w:rPr>
                <w:rFonts w:ascii="Arial Narrow" w:hAnsi="Arial Narrow" w:eastAsiaTheme="minorEastAsia"/>
                <w:color w:val="000000"/>
                <w:szCs w:val="21"/>
              </w:rPr>
              <w:t>-1,603,688.00</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4A574458">
            <w:pPr>
              <w:jc w:val="right"/>
              <w:rPr>
                <w:rFonts w:ascii="Arial Narrow" w:hAnsi="Arial Narrow" w:eastAsiaTheme="minorEastAsia"/>
                <w:szCs w:val="21"/>
              </w:rPr>
            </w:pPr>
            <w:r>
              <w:rPr>
                <w:rFonts w:ascii="Arial Narrow" w:hAnsi="Arial Narrow" w:eastAsiaTheme="minorEastAsia"/>
                <w:color w:val="000000"/>
                <w:szCs w:val="21"/>
              </w:rPr>
              <w:t>-1,312,584.00</w:t>
            </w:r>
          </w:p>
        </w:tc>
      </w:tr>
      <w:tr w14:paraId="4331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5B72A00E">
            <w:pPr>
              <w:rPr>
                <w:rFonts w:ascii="Arial Narrow" w:hAnsi="Arial Narrow" w:eastAsiaTheme="minorEastAsia"/>
                <w:szCs w:val="21"/>
              </w:rPr>
            </w:pPr>
            <w:r>
              <w:rPr>
                <w:rFonts w:ascii="Arial Narrow" w:hAnsi="Arial Narrow" w:eastAsiaTheme="minorEastAsia"/>
                <w:szCs w:val="21"/>
              </w:rPr>
              <w:t>3.结算利得（损失以“－”表示）</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57732881">
            <w:pPr>
              <w:jc w:val="right"/>
              <w:rPr>
                <w:rFonts w:ascii="Arial Narrow" w:hAnsi="Arial Narrow" w:eastAsiaTheme="minorEastAsia"/>
                <w:szCs w:val="21"/>
              </w:rPr>
            </w:pPr>
            <w:r>
              <w:rPr>
                <w:rFonts w:ascii="Arial Narrow" w:hAnsi="Arial Narrow" w:eastAsiaTheme="minorEastAsia"/>
                <w:color w:val="000000"/>
                <w:szCs w:val="21"/>
              </w:rPr>
              <w:t>-493,943.12</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77E5BA85">
            <w:pPr>
              <w:jc w:val="right"/>
              <w:rPr>
                <w:rFonts w:ascii="Arial Narrow" w:hAnsi="Arial Narrow" w:eastAsiaTheme="minorEastAsia"/>
                <w:szCs w:val="21"/>
              </w:rPr>
            </w:pPr>
            <w:r>
              <w:rPr>
                <w:rFonts w:ascii="Arial Narrow" w:hAnsi="Arial Narrow" w:eastAsiaTheme="minorEastAsia"/>
                <w:color w:val="000000"/>
                <w:szCs w:val="21"/>
              </w:rPr>
              <w:t>-987,865.50</w:t>
            </w:r>
          </w:p>
        </w:tc>
      </w:tr>
      <w:tr w14:paraId="6135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5D66FCB3">
            <w:pPr>
              <w:rPr>
                <w:rFonts w:ascii="Arial Narrow" w:hAnsi="Arial Narrow" w:eastAsiaTheme="minorEastAsia"/>
                <w:szCs w:val="21"/>
              </w:rPr>
            </w:pPr>
            <w:r>
              <w:rPr>
                <w:rFonts w:ascii="Arial Narrow" w:hAnsi="Arial Narrow" w:eastAsiaTheme="minorEastAsia"/>
                <w:szCs w:val="21"/>
              </w:rPr>
              <w:t>4、利息净额</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52F94754">
            <w:pPr>
              <w:jc w:val="right"/>
              <w:rPr>
                <w:rFonts w:ascii="Arial Narrow" w:hAnsi="Arial Narrow" w:eastAsiaTheme="minorEastAsia"/>
                <w:szCs w:val="21"/>
              </w:rPr>
            </w:pPr>
            <w:r>
              <w:rPr>
                <w:rFonts w:ascii="Arial Narrow" w:hAnsi="Arial Narrow" w:eastAsiaTheme="minorEastAsia"/>
                <w:color w:val="000000"/>
                <w:szCs w:val="21"/>
              </w:rPr>
              <w:t>8,576,294.13</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4032355C">
            <w:pPr>
              <w:jc w:val="right"/>
              <w:rPr>
                <w:rFonts w:ascii="Arial Narrow" w:hAnsi="Arial Narrow" w:eastAsiaTheme="minorEastAsia"/>
                <w:szCs w:val="21"/>
              </w:rPr>
            </w:pPr>
            <w:r>
              <w:rPr>
                <w:rFonts w:ascii="Arial Narrow" w:hAnsi="Arial Narrow" w:eastAsiaTheme="minorEastAsia"/>
                <w:color w:val="000000"/>
                <w:szCs w:val="21"/>
              </w:rPr>
              <w:t>10,583,108.65</w:t>
            </w:r>
          </w:p>
        </w:tc>
      </w:tr>
      <w:tr w14:paraId="0258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6CFB3F11">
            <w:pPr>
              <w:rPr>
                <w:rFonts w:ascii="Arial Narrow" w:hAnsi="Arial Narrow" w:eastAsiaTheme="minorEastAsia"/>
                <w:szCs w:val="21"/>
              </w:rPr>
            </w:pPr>
            <w:r>
              <w:rPr>
                <w:rFonts w:ascii="Arial Narrow" w:hAnsi="Arial Narrow" w:eastAsiaTheme="minorEastAsia"/>
                <w:szCs w:val="21"/>
              </w:rPr>
              <w:t>三、计入其他综合收益的设定收益成本</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7DAF6C27">
            <w:pPr>
              <w:jc w:val="right"/>
              <w:rPr>
                <w:rFonts w:ascii="Arial Narrow" w:hAnsi="Arial Narrow" w:eastAsiaTheme="minorEastAsia"/>
                <w:szCs w:val="21"/>
              </w:rPr>
            </w:pPr>
            <w:r>
              <w:rPr>
                <w:rFonts w:ascii="Arial Narrow" w:hAnsi="Arial Narrow" w:eastAsiaTheme="minorEastAsia"/>
                <w:color w:val="000000"/>
                <w:szCs w:val="21"/>
              </w:rPr>
              <w:t>22,551,440.90</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4DD51378">
            <w:pPr>
              <w:jc w:val="right"/>
              <w:rPr>
                <w:rFonts w:ascii="Arial Narrow" w:hAnsi="Arial Narrow" w:eastAsiaTheme="minorEastAsia"/>
                <w:szCs w:val="21"/>
              </w:rPr>
            </w:pPr>
            <w:r>
              <w:rPr>
                <w:rFonts w:ascii="Arial Narrow" w:hAnsi="Arial Narrow" w:eastAsiaTheme="minorEastAsia"/>
                <w:color w:val="000000"/>
                <w:szCs w:val="21"/>
              </w:rPr>
              <w:t>-9,879,076.84</w:t>
            </w:r>
          </w:p>
        </w:tc>
      </w:tr>
      <w:tr w14:paraId="036F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24C297A6">
            <w:pPr>
              <w:rPr>
                <w:rFonts w:ascii="Arial Narrow" w:hAnsi="Arial Narrow" w:eastAsiaTheme="minorEastAsia"/>
                <w:szCs w:val="21"/>
              </w:rPr>
            </w:pPr>
            <w:r>
              <w:rPr>
                <w:rFonts w:ascii="Arial Narrow" w:hAnsi="Arial Narrow" w:eastAsiaTheme="minorEastAsia"/>
                <w:szCs w:val="21"/>
              </w:rPr>
              <w:t>1.精算利得（损失以“－”表示）</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584080EA">
            <w:pPr>
              <w:jc w:val="right"/>
              <w:rPr>
                <w:rFonts w:ascii="Arial Narrow" w:hAnsi="Arial Narrow" w:eastAsiaTheme="minorEastAsia"/>
                <w:szCs w:val="21"/>
              </w:rPr>
            </w:pPr>
            <w:r>
              <w:rPr>
                <w:rFonts w:ascii="Arial Narrow" w:hAnsi="Arial Narrow" w:eastAsiaTheme="minorEastAsia"/>
                <w:color w:val="000000"/>
                <w:szCs w:val="21"/>
              </w:rPr>
              <w:t>22,551,440.90</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3D9E7809">
            <w:pPr>
              <w:jc w:val="right"/>
              <w:rPr>
                <w:rFonts w:ascii="Arial Narrow" w:hAnsi="Arial Narrow" w:eastAsiaTheme="minorEastAsia"/>
                <w:szCs w:val="21"/>
              </w:rPr>
            </w:pPr>
            <w:r>
              <w:rPr>
                <w:rFonts w:ascii="Arial Narrow" w:hAnsi="Arial Narrow" w:eastAsiaTheme="minorEastAsia"/>
                <w:color w:val="000000"/>
                <w:szCs w:val="21"/>
              </w:rPr>
              <w:t>-9,879,076.84</w:t>
            </w:r>
          </w:p>
        </w:tc>
      </w:tr>
      <w:tr w14:paraId="2EE6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052E49ED">
            <w:pPr>
              <w:rPr>
                <w:rFonts w:ascii="Arial Narrow" w:hAnsi="Arial Narrow" w:eastAsiaTheme="minorEastAsia"/>
                <w:szCs w:val="21"/>
              </w:rPr>
            </w:pPr>
            <w:r>
              <w:rPr>
                <w:rFonts w:ascii="Arial Narrow" w:hAnsi="Arial Narrow" w:eastAsiaTheme="minorEastAsia"/>
                <w:szCs w:val="21"/>
              </w:rPr>
              <w:t>四、其他变动</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5BD6B78D">
            <w:pPr>
              <w:jc w:val="right"/>
              <w:rPr>
                <w:rFonts w:ascii="Arial Narrow" w:hAnsi="Arial Narrow" w:eastAsiaTheme="minorEastAsia"/>
                <w:szCs w:val="21"/>
              </w:rPr>
            </w:pPr>
            <w:r>
              <w:rPr>
                <w:rFonts w:ascii="Arial Narrow" w:hAnsi="Arial Narrow" w:eastAsiaTheme="minorEastAsia"/>
                <w:color w:val="000000"/>
                <w:szCs w:val="21"/>
              </w:rPr>
              <w:t>-38,183,743.91</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574C8DBD">
            <w:pPr>
              <w:jc w:val="right"/>
              <w:rPr>
                <w:rFonts w:ascii="Arial Narrow" w:hAnsi="Arial Narrow" w:eastAsiaTheme="minorEastAsia"/>
                <w:szCs w:val="21"/>
              </w:rPr>
            </w:pPr>
            <w:r>
              <w:rPr>
                <w:rFonts w:ascii="Arial Narrow" w:hAnsi="Arial Narrow" w:eastAsiaTheme="minorEastAsia"/>
                <w:color w:val="000000"/>
                <w:szCs w:val="21"/>
              </w:rPr>
              <w:t>-42,728,786.31</w:t>
            </w:r>
          </w:p>
        </w:tc>
      </w:tr>
      <w:tr w14:paraId="02F3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58E1C4E2">
            <w:pPr>
              <w:rPr>
                <w:rFonts w:ascii="Arial Narrow" w:hAnsi="Arial Narrow" w:eastAsiaTheme="minorEastAsia"/>
                <w:szCs w:val="21"/>
              </w:rPr>
            </w:pPr>
            <w:r>
              <w:rPr>
                <w:rFonts w:ascii="Arial Narrow" w:hAnsi="Arial Narrow" w:eastAsiaTheme="minorEastAsia"/>
                <w:szCs w:val="21"/>
              </w:rPr>
              <w:t>1.结算时支付的对价</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684B09FC">
            <w:pPr>
              <w:jc w:val="right"/>
              <w:rPr>
                <w:rFonts w:ascii="Arial Narrow" w:hAnsi="Arial Narrow" w:eastAsiaTheme="minorEastAsia"/>
                <w:szCs w:val="21"/>
              </w:rPr>
            </w:pP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21CAFA5D">
            <w:pPr>
              <w:jc w:val="right"/>
              <w:rPr>
                <w:rFonts w:ascii="Arial Narrow" w:hAnsi="Arial Narrow" w:eastAsiaTheme="minorEastAsia"/>
                <w:szCs w:val="21"/>
              </w:rPr>
            </w:pPr>
          </w:p>
        </w:tc>
      </w:tr>
      <w:tr w14:paraId="2A00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5624C09E">
            <w:pPr>
              <w:rPr>
                <w:rFonts w:ascii="Arial Narrow" w:hAnsi="Arial Narrow" w:eastAsiaTheme="minorEastAsia"/>
                <w:szCs w:val="21"/>
              </w:rPr>
            </w:pPr>
            <w:r>
              <w:rPr>
                <w:rFonts w:ascii="Arial Narrow" w:hAnsi="Arial Narrow" w:eastAsiaTheme="minorEastAsia"/>
                <w:szCs w:val="21"/>
              </w:rPr>
              <w:t>2.已支付的福利</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5AFE406C">
            <w:pPr>
              <w:jc w:val="right"/>
              <w:rPr>
                <w:rFonts w:ascii="Arial Narrow" w:hAnsi="Arial Narrow" w:eastAsiaTheme="minorEastAsia"/>
                <w:szCs w:val="21"/>
              </w:rPr>
            </w:pPr>
            <w:r>
              <w:rPr>
                <w:rFonts w:ascii="Arial Narrow" w:hAnsi="Arial Narrow" w:eastAsiaTheme="minorEastAsia"/>
                <w:color w:val="000000"/>
                <w:szCs w:val="21"/>
              </w:rPr>
              <w:t>-38,183,743.91</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66FA439A">
            <w:pPr>
              <w:jc w:val="right"/>
              <w:rPr>
                <w:rFonts w:ascii="Arial Narrow" w:hAnsi="Arial Narrow" w:eastAsiaTheme="minorEastAsia"/>
                <w:szCs w:val="21"/>
              </w:rPr>
            </w:pPr>
            <w:r>
              <w:rPr>
                <w:rFonts w:ascii="Arial Narrow" w:hAnsi="Arial Narrow" w:eastAsiaTheme="minorEastAsia"/>
                <w:color w:val="000000"/>
                <w:szCs w:val="21"/>
              </w:rPr>
              <w:t>-42,485,071.31</w:t>
            </w:r>
          </w:p>
        </w:tc>
      </w:tr>
      <w:tr w14:paraId="597C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4" w:space="0"/>
              <w:left w:val="single" w:color="auto" w:sz="4" w:space="0"/>
              <w:bottom w:val="single" w:color="auto" w:sz="6" w:space="0"/>
              <w:right w:val="single" w:color="auto" w:sz="6" w:space="0"/>
            </w:tcBorders>
            <w:shd w:val="clear" w:color="auto" w:fill="auto"/>
            <w:vAlign w:val="center"/>
          </w:tcPr>
          <w:p w14:paraId="6A63C1C5">
            <w:pPr>
              <w:rPr>
                <w:rFonts w:ascii="Arial Narrow" w:hAnsi="Arial Narrow" w:eastAsiaTheme="minorEastAsia"/>
                <w:szCs w:val="21"/>
              </w:rPr>
            </w:pPr>
            <w:r>
              <w:rPr>
                <w:rFonts w:ascii="Arial Narrow" w:hAnsi="Arial Narrow" w:eastAsiaTheme="minorEastAsia"/>
                <w:szCs w:val="21"/>
              </w:rPr>
              <w:t>3.处置子公司变动</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100DA22C">
            <w:pPr>
              <w:jc w:val="right"/>
              <w:rPr>
                <w:rFonts w:ascii="Arial Narrow" w:hAnsi="Arial Narrow" w:eastAsiaTheme="minorEastAsia"/>
                <w:szCs w:val="21"/>
              </w:rPr>
            </w:pPr>
            <w:r>
              <w:rPr>
                <w:rFonts w:ascii="Arial Narrow" w:hAnsi="Arial Narrow" w:eastAsiaTheme="minorEastAsia"/>
                <w:color w:val="000000"/>
                <w:szCs w:val="21"/>
              </w:rPr>
              <w:t xml:space="preserve"> </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76133245">
            <w:pPr>
              <w:jc w:val="right"/>
              <w:rPr>
                <w:rFonts w:ascii="Arial Narrow" w:hAnsi="Arial Narrow" w:eastAsiaTheme="minorEastAsia"/>
                <w:szCs w:val="21"/>
              </w:rPr>
            </w:pPr>
            <w:r>
              <w:rPr>
                <w:rFonts w:ascii="Arial Narrow" w:hAnsi="Arial Narrow" w:eastAsiaTheme="minorEastAsia"/>
                <w:color w:val="000000"/>
                <w:szCs w:val="21"/>
              </w:rPr>
              <w:t>-243,715.00</w:t>
            </w:r>
          </w:p>
        </w:tc>
      </w:tr>
      <w:tr w14:paraId="6D28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Borders>
              <w:top w:val="single" w:color="auto" w:sz="6" w:space="0"/>
              <w:left w:val="single" w:color="auto" w:sz="6" w:space="0"/>
              <w:bottom w:val="single" w:color="auto" w:sz="6" w:space="0"/>
              <w:right w:val="single" w:color="auto" w:sz="6" w:space="0"/>
            </w:tcBorders>
            <w:shd w:val="clear" w:color="auto" w:fill="auto"/>
            <w:vAlign w:val="center"/>
          </w:tcPr>
          <w:p w14:paraId="7DECC28C">
            <w:pPr>
              <w:rPr>
                <w:rFonts w:ascii="Arial Narrow" w:hAnsi="Arial Narrow" w:eastAsiaTheme="minorEastAsia"/>
                <w:szCs w:val="21"/>
              </w:rPr>
            </w:pPr>
            <w:r>
              <w:rPr>
                <w:rFonts w:ascii="Arial Narrow" w:hAnsi="Arial Narrow" w:eastAsiaTheme="minorEastAsia"/>
                <w:szCs w:val="21"/>
              </w:rPr>
              <w:t>五、期末余额</w:t>
            </w:r>
          </w:p>
        </w:tc>
        <w:tc>
          <w:tcPr>
            <w:tcW w:w="1539" w:type="pct"/>
            <w:tcBorders>
              <w:top w:val="single" w:color="auto" w:sz="4" w:space="0"/>
              <w:left w:val="single" w:color="auto" w:sz="6" w:space="0"/>
              <w:bottom w:val="single" w:color="auto" w:sz="4" w:space="0"/>
              <w:right w:val="single" w:color="auto" w:sz="4" w:space="0"/>
            </w:tcBorders>
            <w:shd w:val="clear" w:color="auto" w:fill="auto"/>
            <w:vAlign w:val="center"/>
          </w:tcPr>
          <w:p w14:paraId="7EF06ED7">
            <w:pPr>
              <w:jc w:val="right"/>
              <w:rPr>
                <w:rFonts w:ascii="Arial Narrow" w:hAnsi="Arial Narrow" w:eastAsiaTheme="minorEastAsia"/>
                <w:szCs w:val="21"/>
              </w:rPr>
            </w:pPr>
            <w:r>
              <w:rPr>
                <w:rFonts w:ascii="Arial Narrow" w:hAnsi="Arial Narrow" w:eastAsiaTheme="minorEastAsia"/>
                <w:color w:val="000000"/>
                <w:szCs w:val="21"/>
              </w:rPr>
              <w:t>351,417,614.00</w:t>
            </w:r>
          </w:p>
        </w:tc>
        <w:tc>
          <w:tcPr>
            <w:tcW w:w="1537" w:type="pct"/>
            <w:tcBorders>
              <w:top w:val="single" w:color="auto" w:sz="4" w:space="0"/>
              <w:left w:val="single" w:color="auto" w:sz="6" w:space="0"/>
              <w:bottom w:val="single" w:color="auto" w:sz="4" w:space="0"/>
              <w:right w:val="single" w:color="auto" w:sz="4" w:space="0"/>
            </w:tcBorders>
            <w:shd w:val="clear" w:color="auto" w:fill="auto"/>
            <w:vAlign w:val="center"/>
          </w:tcPr>
          <w:p w14:paraId="68D92337">
            <w:pPr>
              <w:jc w:val="right"/>
              <w:rPr>
                <w:rFonts w:ascii="Arial Narrow" w:hAnsi="Arial Narrow" w:eastAsiaTheme="minorEastAsia"/>
                <w:szCs w:val="21"/>
              </w:rPr>
            </w:pPr>
            <w:r>
              <w:rPr>
                <w:rFonts w:ascii="Arial Narrow" w:hAnsi="Arial Narrow" w:eastAsiaTheme="minorEastAsia"/>
                <w:color w:val="000000"/>
                <w:szCs w:val="21"/>
              </w:rPr>
              <w:t>360,571,254.00</w:t>
            </w:r>
          </w:p>
        </w:tc>
      </w:tr>
    </w:tbl>
    <w:p w14:paraId="56C8E3F4">
      <w:pPr>
        <w:rPr>
          <w:rFonts w:hint="eastAsia"/>
        </w:rPr>
      </w:pPr>
    </w:p>
    <w:p w14:paraId="73DDE72C">
      <w:pPr>
        <w:rPr>
          <w:rFonts w:hint="eastAsia"/>
          <w:szCs w:val="21"/>
        </w:rPr>
      </w:pPr>
      <w:r>
        <w:rPr>
          <w:rFonts w:hint="eastAsia"/>
          <w:szCs w:val="21"/>
        </w:rPr>
        <w:t>计划资产：</w:t>
      </w:r>
    </w:p>
    <w:p w14:paraId="4312635D">
      <w:pPr>
        <w:rPr>
          <w:rFonts w:hint="eastAsia"/>
        </w:rPr>
      </w:pPr>
      <w:sdt>
        <w:sdtPr>
          <w:rPr>
            <w:rFonts w:hint="eastAsia"/>
          </w:rPr>
          <w:alias w:val="是否适用：设定受益计划变动情况_计划资产[双击切换]"/>
          <w:tag w:val="_GBC_da74e4a7bfc84e888afc38ffa6096a31"/>
          <w:id w:val="-1723358163"/>
          <w:placeholder>
            <w:docPart w:val="GBC22222222222222222222222222222"/>
          </w:placeholder>
        </w:sdtPr>
        <w:sdtEndPr>
          <w:rPr>
            <w:rFonts w:hint="eastAsia"/>
          </w:rPr>
        </w:sdtEndPr>
        <w:sdtContent>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2C3A886F">
      <w:pPr>
        <w:rPr>
          <w:rFonts w:hint="eastAsia"/>
        </w:rPr>
      </w:pPr>
    </w:p>
    <w:p w14:paraId="337AB4C9">
      <w:pPr>
        <w:rPr>
          <w:rFonts w:hint="eastAsia"/>
        </w:rPr>
      </w:pPr>
      <w:r>
        <w:rPr>
          <w:rFonts w:hint="eastAsia"/>
        </w:rPr>
        <w:t>设定受益计划净负债（净资产）</w:t>
      </w:r>
    </w:p>
    <w:sdt>
      <w:sdtPr>
        <w:alias w:val="是否适用：设定受益计划变动情况_设定受益计划净负债[双击切换]"/>
        <w:tag w:val="_GBC_4ef7ea9e6dc7431c9365dcd01da99b90"/>
        <w:id w:val="-988784156"/>
        <w:placeholder>
          <w:docPart w:val="GBC22222222222222222222222222222"/>
        </w:placeholder>
      </w:sdtPr>
      <w:sdtContent>
        <w:p w14:paraId="3C00400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BA8EC2A">
      <w:pPr>
        <w:rPr>
          <w:rFonts w:hint="eastAsia"/>
          <w:szCs w:val="21"/>
        </w:rPr>
      </w:pPr>
    </w:p>
    <w:p w14:paraId="70A536F0">
      <w:pPr>
        <w:rPr>
          <w:rFonts w:hint="eastAsia"/>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4c44a3ab962f4a27836276afcc8a7570"/>
        <w:id w:val="-964120469"/>
        <w:placeholder>
          <w:docPart w:val="GBC22222222222222222222222222222"/>
        </w:placeholder>
      </w:sdtPr>
      <w:sdtEndPr>
        <w:rPr>
          <w:szCs w:val="21"/>
        </w:rPr>
      </w:sdtEndPr>
      <w:sdtContent>
        <w:p w14:paraId="74BD73B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30DA833">
      <w:pPr>
        <w:rPr>
          <w:rFonts w:hint="eastAsia"/>
          <w:szCs w:val="21"/>
        </w:rPr>
      </w:pPr>
    </w:p>
    <w:p w14:paraId="5DFA694B">
      <w:pPr>
        <w:rPr>
          <w:rFonts w:hint="eastAsia"/>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24dfbea0996e4d8cbbe60d6820df50a2"/>
        <w:id w:val="1312600234"/>
        <w:placeholder>
          <w:docPart w:val="GBC22222222222222222222222222222"/>
        </w:placeholder>
      </w:sdtPr>
      <w:sdtEndPr>
        <w:rPr>
          <w:szCs w:val="21"/>
        </w:rPr>
      </w:sdtEndPr>
      <w:sdtContent>
        <w:p w14:paraId="0824F51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CDBBCC4">
      <w:pPr>
        <w:rPr>
          <w:rFonts w:hint="eastAsia"/>
          <w:szCs w:val="21"/>
        </w:rPr>
      </w:pPr>
    </w:p>
    <w:p w14:paraId="64E56845">
      <w:pPr>
        <w:rPr>
          <w:rFonts w:hint="eastAsia"/>
          <w:szCs w:val="21"/>
        </w:rPr>
      </w:pPr>
      <w:r>
        <w:rPr>
          <w:rFonts w:hint="eastAsia"/>
          <w:szCs w:val="21"/>
        </w:rPr>
        <w:t>其他说明：</w:t>
      </w:r>
    </w:p>
    <w:sdt>
      <w:sdtPr>
        <w:rPr>
          <w:szCs w:val="21"/>
        </w:rPr>
        <w:alias w:val="是否适用：长期应付职工薪酬的其他说明[双击切换]"/>
        <w:tag w:val="_GBC_4c32051ec1ee486180dafb68d556d339"/>
        <w:id w:val="-1071728639"/>
        <w:placeholder>
          <w:docPart w:val="GBC22222222222222222222222222222"/>
        </w:placeholder>
      </w:sdtPr>
      <w:sdtEndPr>
        <w:rPr>
          <w:szCs w:val="21"/>
        </w:rPr>
      </w:sdtEndPr>
      <w:sdtContent>
        <w:p w14:paraId="11D94B80">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8321EF4">
      <w:pPr>
        <w:rPr>
          <w:rFonts w:hint="eastAsia"/>
          <w:szCs w:val="21"/>
        </w:rPr>
      </w:pPr>
    </w:p>
    <w:p w14:paraId="15DA4BFD">
      <w:pPr>
        <w:pStyle w:val="70"/>
        <w:numPr>
          <w:ilvl w:val="0"/>
          <w:numId w:val="109"/>
        </w:numPr>
        <w:rPr>
          <w:szCs w:val="21"/>
        </w:rPr>
      </w:pPr>
      <w:bookmarkStart w:id="352" w:name="_Hlk533670325"/>
      <w:r>
        <w:rPr>
          <w:szCs w:val="21"/>
        </w:rPr>
        <w:t>预计负债</w:t>
      </w:r>
    </w:p>
    <w:sdt>
      <w:sdtPr>
        <w:alias w:val="是否适用：预计负债[双击切换]"/>
        <w:tag w:val="_GBC_d57ab9083835465c9b1fdeb5ed46b3ce"/>
        <w:id w:val="1486352298"/>
        <w:placeholder>
          <w:docPart w:val="GBC22222222222222222222222222222"/>
        </w:placeholder>
      </w:sdtPr>
      <w:sdtContent>
        <w:p w14:paraId="72A1D81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5ECBB02">
      <w:pPr>
        <w:jc w:val="right"/>
        <w:rPr>
          <w:rFonts w:hint="eastAsia"/>
          <w:szCs w:val="21"/>
        </w:rPr>
      </w:pPr>
      <w:r>
        <w:rPr>
          <w:rFonts w:hint="eastAsia"/>
          <w:szCs w:val="21"/>
        </w:rPr>
        <w:t>单位：</w:t>
      </w:r>
      <w:sdt>
        <w:sdtPr>
          <w:rPr>
            <w:rFonts w:hint="eastAsia"/>
            <w:szCs w:val="21"/>
          </w:rPr>
          <w:alias w:val="单位：财务附注：预计负债"/>
          <w:tag w:val="_GBC_579154bdef014b44aba03cac00df126c"/>
          <w:id w:val="-12954399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1129ab1db6684ceb91f0593c32b5d268"/>
          <w:id w:val="18187667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39"/>
        <w:gridCol w:w="2942"/>
        <w:gridCol w:w="2942"/>
      </w:tblGrid>
      <w:tr w14:paraId="6323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ascii="Arial Narrow" w:hAnsi="Arial Narrow" w:eastAsiaTheme="minorEastAsia"/>
              <w:szCs w:val="21"/>
            </w:rPr>
            <w:tag w:val="_PLD_afddd1066e934e598ead7a6e38343c21"/>
            <w:id w:val="1689022313"/>
          </w:sdtPr>
          <w:sdtEndPr>
            <w:rPr>
              <w:rFonts w:ascii="Arial Narrow" w:hAnsi="Arial Narrow" w:eastAsiaTheme="minorEastAsia"/>
              <w:szCs w:val="21"/>
            </w:rPr>
          </w:sdtEndPr>
          <w:sdtContent>
            <w:tc>
              <w:tcPr>
                <w:tcW w:w="1666" w:type="pct"/>
                <w:vAlign w:val="center"/>
              </w:tcPr>
              <w:p w14:paraId="25CF19EA">
                <w:pPr>
                  <w:ind w:right="105"/>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34e5a75912204ec1a95f806f18cf2748"/>
            <w:id w:val="1453360590"/>
          </w:sdtPr>
          <w:sdtEndPr>
            <w:rPr>
              <w:rFonts w:ascii="Arial Narrow" w:hAnsi="Arial Narrow" w:eastAsiaTheme="minorEastAsia"/>
              <w:szCs w:val="21"/>
            </w:rPr>
          </w:sdtEndPr>
          <w:sdtContent>
            <w:tc>
              <w:tcPr>
                <w:tcW w:w="1667" w:type="pct"/>
              </w:tcPr>
              <w:p w14:paraId="1521E5DA">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d493e26e1fb643299cea253bb9f43ca1"/>
            <w:id w:val="-1644041093"/>
          </w:sdtPr>
          <w:sdtEndPr>
            <w:rPr>
              <w:rFonts w:ascii="Arial Narrow" w:hAnsi="Arial Narrow" w:eastAsiaTheme="minorEastAsia"/>
              <w:szCs w:val="21"/>
            </w:rPr>
          </w:sdtEndPr>
          <w:sdtContent>
            <w:tc>
              <w:tcPr>
                <w:tcW w:w="1667" w:type="pct"/>
              </w:tcPr>
              <w:p w14:paraId="507B8661">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39C8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66" w:type="pct"/>
            <w:shd w:val="clear" w:color="auto" w:fill="auto"/>
            <w:vAlign w:val="center"/>
          </w:tcPr>
          <w:p w14:paraId="4A38AD56">
            <w:pPr>
              <w:ind w:right="105"/>
              <w:rPr>
                <w:rFonts w:ascii="Arial Narrow" w:hAnsi="Arial Narrow" w:eastAsiaTheme="minorEastAsia"/>
                <w:szCs w:val="21"/>
              </w:rPr>
            </w:pPr>
            <w:r>
              <w:rPr>
                <w:rFonts w:ascii="Arial Narrow" w:hAnsi="Arial Narrow" w:eastAsiaTheme="minorEastAsia"/>
                <w:szCs w:val="21"/>
              </w:rPr>
              <w:t>产品质量保证</w:t>
            </w:r>
          </w:p>
        </w:tc>
        <w:tc>
          <w:tcPr>
            <w:tcW w:w="1667" w:type="pct"/>
            <w:vAlign w:val="center"/>
          </w:tcPr>
          <w:p w14:paraId="7B5E8871">
            <w:pPr>
              <w:jc w:val="right"/>
              <w:rPr>
                <w:rFonts w:ascii="Arial Narrow" w:hAnsi="Arial Narrow" w:eastAsiaTheme="minorEastAsia"/>
                <w:szCs w:val="21"/>
              </w:rPr>
            </w:pPr>
          </w:p>
        </w:tc>
        <w:tc>
          <w:tcPr>
            <w:tcW w:w="1667" w:type="pct"/>
            <w:vAlign w:val="center"/>
          </w:tcPr>
          <w:p w14:paraId="74A563D7">
            <w:pPr>
              <w:jc w:val="right"/>
              <w:rPr>
                <w:rFonts w:ascii="Arial Narrow" w:hAnsi="Arial Narrow" w:eastAsiaTheme="minorEastAsia"/>
                <w:szCs w:val="21"/>
              </w:rPr>
            </w:pPr>
            <w:r>
              <w:rPr>
                <w:rFonts w:ascii="Arial Narrow" w:hAnsi="Arial Narrow" w:eastAsiaTheme="minorEastAsia"/>
                <w:color w:val="000000"/>
                <w:szCs w:val="21"/>
              </w:rPr>
              <w:t>36,800,000.00</w:t>
            </w:r>
          </w:p>
        </w:tc>
      </w:tr>
      <w:tr w14:paraId="422C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66" w:type="pct"/>
            <w:shd w:val="clear" w:color="auto" w:fill="auto"/>
            <w:vAlign w:val="center"/>
          </w:tcPr>
          <w:p w14:paraId="075E6C95">
            <w:pPr>
              <w:ind w:right="105"/>
              <w:rPr>
                <w:rFonts w:ascii="Arial Narrow" w:hAnsi="Arial Narrow" w:eastAsiaTheme="minorEastAsia"/>
                <w:szCs w:val="21"/>
              </w:rPr>
            </w:pPr>
            <w:r>
              <w:rPr>
                <w:rFonts w:ascii="Arial Narrow" w:hAnsi="Arial Narrow" w:eastAsiaTheme="minorEastAsia"/>
                <w:szCs w:val="21"/>
              </w:rPr>
              <w:t>环境污染整治</w:t>
            </w:r>
          </w:p>
        </w:tc>
        <w:tc>
          <w:tcPr>
            <w:tcW w:w="1667" w:type="pct"/>
            <w:vAlign w:val="center"/>
          </w:tcPr>
          <w:p w14:paraId="4C78409B">
            <w:pPr>
              <w:jc w:val="right"/>
              <w:rPr>
                <w:rFonts w:ascii="Arial Narrow" w:hAnsi="Arial Narrow" w:eastAsiaTheme="minorEastAsia"/>
                <w:szCs w:val="21"/>
              </w:rPr>
            </w:pPr>
            <w:r>
              <w:rPr>
                <w:rFonts w:ascii="Arial Narrow" w:hAnsi="Arial Narrow" w:eastAsiaTheme="minorEastAsia"/>
                <w:color w:val="000000"/>
                <w:szCs w:val="21"/>
              </w:rPr>
              <w:t>200,000,000.00</w:t>
            </w:r>
          </w:p>
        </w:tc>
        <w:tc>
          <w:tcPr>
            <w:tcW w:w="1667" w:type="pct"/>
            <w:vAlign w:val="center"/>
          </w:tcPr>
          <w:p w14:paraId="3C536827">
            <w:pPr>
              <w:jc w:val="right"/>
              <w:rPr>
                <w:rFonts w:ascii="Arial Narrow" w:hAnsi="Arial Narrow" w:eastAsiaTheme="minorEastAsia"/>
                <w:szCs w:val="21"/>
              </w:rPr>
            </w:pPr>
          </w:p>
        </w:tc>
      </w:tr>
      <w:tr w14:paraId="2190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66" w:type="pct"/>
            <w:vAlign w:val="center"/>
          </w:tcPr>
          <w:p w14:paraId="17D34A5A">
            <w:pPr>
              <w:ind w:right="105"/>
              <w:jc w:val="center"/>
              <w:rPr>
                <w:rFonts w:ascii="Arial Narrow" w:hAnsi="Arial Narrow" w:eastAsiaTheme="minorEastAsia"/>
                <w:szCs w:val="21"/>
              </w:rPr>
            </w:pPr>
            <w:r>
              <w:rPr>
                <w:rFonts w:ascii="Arial Narrow" w:hAnsi="Arial Narrow" w:eastAsiaTheme="minorEastAsia"/>
                <w:szCs w:val="21"/>
              </w:rPr>
              <w:t>合计</w:t>
            </w:r>
          </w:p>
        </w:tc>
        <w:tc>
          <w:tcPr>
            <w:tcW w:w="1667" w:type="pct"/>
            <w:vAlign w:val="center"/>
          </w:tcPr>
          <w:p w14:paraId="1FD819E4">
            <w:pPr>
              <w:jc w:val="right"/>
              <w:rPr>
                <w:rFonts w:ascii="Arial Narrow" w:hAnsi="Arial Narrow" w:eastAsiaTheme="minorEastAsia"/>
                <w:szCs w:val="21"/>
              </w:rPr>
            </w:pPr>
            <w:r>
              <w:rPr>
                <w:rFonts w:ascii="Arial Narrow" w:hAnsi="Arial Narrow" w:eastAsiaTheme="minorEastAsia"/>
                <w:color w:val="000000"/>
                <w:szCs w:val="21"/>
              </w:rPr>
              <w:t>200,000,000.00</w:t>
            </w:r>
          </w:p>
        </w:tc>
        <w:tc>
          <w:tcPr>
            <w:tcW w:w="1667" w:type="pct"/>
            <w:vAlign w:val="center"/>
          </w:tcPr>
          <w:p w14:paraId="40660656">
            <w:pPr>
              <w:jc w:val="right"/>
              <w:rPr>
                <w:rFonts w:ascii="Arial Narrow" w:hAnsi="Arial Narrow" w:eastAsiaTheme="minorEastAsia"/>
                <w:szCs w:val="21"/>
              </w:rPr>
            </w:pPr>
            <w:r>
              <w:rPr>
                <w:rFonts w:ascii="Arial Narrow" w:hAnsi="Arial Narrow" w:eastAsiaTheme="minorEastAsia"/>
                <w:color w:val="000000"/>
                <w:szCs w:val="21"/>
              </w:rPr>
              <w:t>36,800,000.00</w:t>
            </w:r>
          </w:p>
        </w:tc>
      </w:tr>
    </w:tbl>
    <w:p w14:paraId="35417FA1">
      <w:pPr>
        <w:rPr>
          <w:rFonts w:hint="eastAsia"/>
        </w:rPr>
      </w:pPr>
    </w:p>
    <w:p w14:paraId="2CCA031B">
      <w:pPr>
        <w:snapToGrid w:val="0"/>
        <w:spacing w:before="60" w:after="60"/>
        <w:rPr>
          <w:rFonts w:hint="eastAsia"/>
          <w:szCs w:val="21"/>
        </w:rPr>
      </w:pPr>
      <w:r>
        <w:rPr>
          <w:rFonts w:hint="eastAsia"/>
          <w:szCs w:val="21"/>
        </w:rPr>
        <w:t>其他说明，包括重要预计负债的相关重要假设、估计说明：</w:t>
      </w:r>
    </w:p>
    <w:sdt>
      <w:sdtPr>
        <w:rPr>
          <w:szCs w:val="21"/>
          <w:highlight w:val="yellow"/>
        </w:rPr>
        <w:alias w:val="预计负债的说明"/>
        <w:tag w:val="_GBC_6e5c9571d9134db08ab20372e7d011c7"/>
        <w:id w:val="620347926"/>
        <w:placeholder>
          <w:docPart w:val="GBC22222222222222222222222222222"/>
        </w:placeholder>
      </w:sdtPr>
      <w:sdtEndPr>
        <w:rPr>
          <w:szCs w:val="21"/>
          <w:highlight w:val="yellow"/>
        </w:rPr>
      </w:sdtEndPr>
      <w:sdtContent>
        <w:p w14:paraId="5CE5DE73">
          <w:pPr>
            <w:autoSpaceDE w:val="0"/>
            <w:autoSpaceDN w:val="0"/>
            <w:adjustRightInd w:val="0"/>
            <w:ind w:firstLine="420" w:firstLineChars="200"/>
            <w:rPr>
              <w:rFonts w:hint="eastAsia"/>
              <w:szCs w:val="21"/>
            </w:rPr>
          </w:pPr>
          <w:r>
            <w:rPr>
              <w:rFonts w:hint="eastAsia"/>
              <w:szCs w:val="21"/>
            </w:rPr>
            <w:t>岳阳市自然资源和规划局对际华橡胶工业有限公司土地收储范围内的生产区域373.32亩需做检测，检测结果显示123.11亩为深度污染，预估治理费用约2亿元。</w:t>
          </w:r>
        </w:p>
      </w:sdtContent>
    </w:sdt>
    <w:bookmarkEnd w:id="352"/>
    <w:p w14:paraId="7993D217">
      <w:pPr>
        <w:rPr>
          <w:rFonts w:hint="eastAsia"/>
          <w:szCs w:val="21"/>
        </w:rPr>
      </w:pPr>
    </w:p>
    <w:p w14:paraId="36EFC746">
      <w:pPr>
        <w:pStyle w:val="70"/>
        <w:numPr>
          <w:ilvl w:val="0"/>
          <w:numId w:val="109"/>
        </w:numPr>
        <w:rPr>
          <w:szCs w:val="21"/>
        </w:rPr>
      </w:pPr>
      <w:r>
        <w:rPr>
          <w:szCs w:val="21"/>
        </w:rPr>
        <w:t>递延收益</w:t>
      </w:r>
    </w:p>
    <w:p w14:paraId="27BC9947">
      <w:pPr>
        <w:pStyle w:val="109"/>
        <w:ind w:firstLine="0" w:firstLineChars="0"/>
        <w:jc w:val="left"/>
        <w:rPr>
          <w:rFonts w:hint="eastAsia" w:ascii="宋体" w:hAnsi="宋体" w:cs="宋体"/>
          <w:kern w:val="0"/>
          <w:szCs w:val="21"/>
        </w:rPr>
      </w:pPr>
      <w:r>
        <w:rPr>
          <w:rFonts w:hint="eastAsia" w:ascii="宋体" w:hAnsi="宋体" w:cs="宋体"/>
          <w:kern w:val="0"/>
          <w:szCs w:val="21"/>
        </w:rPr>
        <w:t>递延收益情况</w:t>
      </w:r>
    </w:p>
    <w:sdt>
      <w:sdtPr>
        <w:rPr>
          <w:rFonts w:hint="eastAsia" w:ascii="宋体" w:hAnsi="宋体" w:cs="宋体"/>
          <w:kern w:val="0"/>
          <w:szCs w:val="21"/>
        </w:rPr>
        <w:alias w:val="是否适用：递延收益情况 [双击切换]"/>
        <w:tag w:val="_GBC_1dc89c2a3092474186405d574af5f0a9"/>
        <w:id w:val="496242263"/>
        <w:placeholder>
          <w:docPart w:val="GBC22222222222222222222222222222"/>
        </w:placeholder>
      </w:sdtPr>
      <w:sdtEndPr>
        <w:rPr>
          <w:rFonts w:hint="eastAsia" w:ascii="宋体" w:hAnsi="宋体" w:cs="宋体"/>
          <w:kern w:val="0"/>
          <w:szCs w:val="21"/>
        </w:rPr>
      </w:sdtEndPr>
      <w:sdtContent>
        <w:p w14:paraId="09511243">
          <w:pPr>
            <w:pStyle w:val="109"/>
            <w:ind w:firstLine="0" w:firstLineChars="0"/>
            <w:jc w:val="left"/>
            <w:rPr>
              <w:rFonts w:hint="eastAsia"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w:instrText>
          </w:r>
          <w:r>
            <w:rPr>
              <w:rFonts w:hint="eastAsia" w:ascii="宋体" w:hAnsi="宋体" w:cs="宋体"/>
              <w:kern w:val="0"/>
              <w:szCs w:val="21"/>
            </w:rPr>
            <w:instrText xml:space="preserve">MACROBUTTON  SnrToggleCheckbox √适用 </w:instrText>
          </w:r>
          <w:r>
            <w:rPr>
              <w:rFonts w:ascii="宋体" w:hAnsi="宋体" w:cs="宋体"/>
              <w:kern w:val="0"/>
              <w:szCs w:val="21"/>
            </w:rPr>
            <w:instrText xml:space="preserve">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0636432D">
      <w:pPr>
        <w:pStyle w:val="109"/>
        <w:ind w:firstLine="0" w:firstLineChars="0"/>
        <w:jc w:val="right"/>
        <w:rPr>
          <w:rFonts w:hint="eastAsia" w:ascii="宋体" w:hAnsi="宋体"/>
          <w:szCs w:val="21"/>
        </w:rPr>
      </w:pPr>
      <w:r>
        <w:rPr>
          <w:rFonts w:hint="eastAsia" w:ascii="宋体" w:hAnsi="宋体"/>
          <w:szCs w:val="21"/>
        </w:rPr>
        <w:t>单位：</w:t>
      </w:r>
      <w:sdt>
        <w:sdtPr>
          <w:rPr>
            <w:rFonts w:hint="eastAsia" w:ascii="宋体" w:hAnsi="宋体"/>
            <w:szCs w:val="21"/>
          </w:rPr>
          <w:alias w:val="单位：财务附注：递延收益"/>
          <w:tag w:val="_GBC_302facde74424f4893f0a42db0d6e1ba"/>
          <w:id w:val="15910432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szCs w:val="21"/>
          </w:rPr>
        </w:sdtEndPr>
        <w:sdtContent>
          <w:r>
            <w:rPr>
              <w:rFonts w:hint="eastAsia" w:ascii="宋体" w:hAnsi="宋体"/>
              <w:szCs w:val="21"/>
            </w:rPr>
            <w:t>元</w:t>
          </w:r>
        </w:sdtContent>
      </w:sdt>
      <w:r>
        <w:rPr>
          <w:rFonts w:hint="eastAsia" w:ascii="宋体" w:hAnsi="宋体"/>
          <w:szCs w:val="21"/>
        </w:rPr>
        <w:t xml:space="preserve">  币种：</w:t>
      </w:r>
      <w:sdt>
        <w:sdtPr>
          <w:rPr>
            <w:rFonts w:hint="eastAsia" w:ascii="宋体" w:hAnsi="宋体"/>
            <w:szCs w:val="21"/>
          </w:rPr>
          <w:alias w:val="币种：财务附注：递延收益"/>
          <w:tag w:val="_GBC_99380f3ab3514d54aa39945566772fb3"/>
          <w:id w:val="9914504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szCs w:val="21"/>
          </w:rPr>
        </w:sdtEndPr>
        <w:sdtContent>
          <w:r>
            <w:rPr>
              <w:rFonts w:hint="eastAsia" w:ascii="宋体" w:hAnsi="宋体"/>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80"/>
        <w:gridCol w:w="1480"/>
        <w:gridCol w:w="1435"/>
        <w:gridCol w:w="1419"/>
        <w:gridCol w:w="1463"/>
        <w:gridCol w:w="1546"/>
      </w:tblGrid>
      <w:tr w14:paraId="5041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335" w:hRule="atLeast"/>
        </w:trPr>
        <w:sdt>
          <w:sdtPr>
            <w:rPr>
              <w:rFonts w:ascii="Arial Narrow" w:hAnsi="Arial Narrow" w:eastAsiaTheme="minorEastAsia"/>
              <w:szCs w:val="21"/>
            </w:rPr>
            <w:tag w:val="_PLD_06c0ddfa4a2746ca8f12eddff124e05c"/>
            <w:id w:val="-852411318"/>
          </w:sdtPr>
          <w:sdtEndPr>
            <w:rPr>
              <w:rFonts w:ascii="Arial Narrow" w:hAnsi="Arial Narrow" w:eastAsiaTheme="minorEastAsia"/>
              <w:szCs w:val="21"/>
            </w:rPr>
          </w:sdtEndPr>
          <w:sdtContent>
            <w:tc>
              <w:tcPr>
                <w:tcW w:w="838" w:type="pct"/>
                <w:shd w:val="clear" w:color="auto" w:fill="auto"/>
                <w:vAlign w:val="center"/>
              </w:tcPr>
              <w:p w14:paraId="6ABBB69D">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4c41187d18a94eb4908c030c31b5a141"/>
            <w:id w:val="612552714"/>
          </w:sdtPr>
          <w:sdtEndPr>
            <w:rPr>
              <w:rFonts w:ascii="Arial Narrow" w:hAnsi="Arial Narrow" w:eastAsiaTheme="minorEastAsia"/>
              <w:szCs w:val="21"/>
            </w:rPr>
          </w:sdtEndPr>
          <w:sdtContent>
            <w:tc>
              <w:tcPr>
                <w:tcW w:w="839" w:type="pct"/>
                <w:shd w:val="clear" w:color="auto" w:fill="auto"/>
                <w:vAlign w:val="center"/>
              </w:tcPr>
              <w:p w14:paraId="3E5997C0">
                <w:pPr>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7823db68b61845e58a185dffbbfd2804"/>
            <w:id w:val="1850596181"/>
          </w:sdtPr>
          <w:sdtEndPr>
            <w:rPr>
              <w:rFonts w:ascii="Arial Narrow" w:hAnsi="Arial Narrow" w:eastAsiaTheme="minorEastAsia"/>
              <w:szCs w:val="21"/>
            </w:rPr>
          </w:sdtEndPr>
          <w:sdtContent>
            <w:tc>
              <w:tcPr>
                <w:tcW w:w="813" w:type="pct"/>
                <w:shd w:val="clear" w:color="auto" w:fill="auto"/>
                <w:vAlign w:val="center"/>
              </w:tcPr>
              <w:p w14:paraId="0E1F7E1D">
                <w:pPr>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53b43bfd28984007852c2e00c870c71e"/>
            <w:id w:val="-1092311084"/>
          </w:sdtPr>
          <w:sdtEndPr>
            <w:rPr>
              <w:rFonts w:ascii="Arial Narrow" w:hAnsi="Arial Narrow" w:eastAsiaTheme="minorEastAsia"/>
              <w:szCs w:val="21"/>
            </w:rPr>
          </w:sdtEndPr>
          <w:sdtContent>
            <w:tc>
              <w:tcPr>
                <w:tcW w:w="804" w:type="pct"/>
                <w:shd w:val="clear" w:color="auto" w:fill="auto"/>
                <w:vAlign w:val="center"/>
              </w:tcPr>
              <w:p w14:paraId="6935DE72">
                <w:pPr>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f07e96209c8b4d728b2a1b24ad38bcf7"/>
            <w:id w:val="-953561503"/>
          </w:sdtPr>
          <w:sdtEndPr>
            <w:rPr>
              <w:rFonts w:ascii="Arial Narrow" w:hAnsi="Arial Narrow" w:eastAsiaTheme="minorEastAsia"/>
              <w:szCs w:val="21"/>
            </w:rPr>
          </w:sdtEndPr>
          <w:sdtContent>
            <w:tc>
              <w:tcPr>
                <w:tcW w:w="829" w:type="pct"/>
                <w:shd w:val="clear" w:color="auto" w:fill="auto"/>
                <w:vAlign w:val="center"/>
              </w:tcPr>
              <w:p w14:paraId="52A3B94B">
                <w:pPr>
                  <w:jc w:val="center"/>
                  <w:rPr>
                    <w:rFonts w:ascii="Arial Narrow" w:hAnsi="Arial Narrow" w:eastAsiaTheme="minorEastAsia"/>
                    <w:szCs w:val="21"/>
                  </w:rPr>
                </w:pPr>
                <w:bookmarkStart w:id="353" w:name="OLE_LINK66"/>
                <w:bookmarkStart w:id="354" w:name="OLE_LINK67"/>
                <w:r>
                  <w:rPr>
                    <w:rFonts w:ascii="Arial Narrow" w:hAnsi="Arial Narrow" w:eastAsiaTheme="minorEastAsia"/>
                    <w:szCs w:val="21"/>
                  </w:rPr>
                  <w:t>期末余额</w:t>
                </w:r>
              </w:p>
              <w:bookmarkEnd w:id="353"/>
              <w:bookmarkEnd w:id="354"/>
            </w:tc>
          </w:sdtContent>
        </w:sdt>
        <w:sdt>
          <w:sdtPr>
            <w:rPr>
              <w:rFonts w:ascii="Arial Narrow" w:hAnsi="Arial Narrow" w:eastAsiaTheme="minorEastAsia"/>
              <w:szCs w:val="21"/>
            </w:rPr>
            <w:tag w:val="_PLD_86dc51c05b1340c5968feded0e64c1f1"/>
            <w:id w:val="-847023709"/>
          </w:sdtPr>
          <w:sdtEndPr>
            <w:rPr>
              <w:rFonts w:ascii="Arial Narrow" w:hAnsi="Arial Narrow" w:eastAsiaTheme="minorEastAsia"/>
              <w:szCs w:val="21"/>
            </w:rPr>
          </w:sdtEndPr>
          <w:sdtContent>
            <w:tc>
              <w:tcPr>
                <w:tcW w:w="876" w:type="pct"/>
                <w:shd w:val="clear" w:color="auto" w:fill="auto"/>
                <w:vAlign w:val="center"/>
              </w:tcPr>
              <w:p w14:paraId="6E085214">
                <w:pPr>
                  <w:jc w:val="center"/>
                  <w:rPr>
                    <w:rFonts w:ascii="Arial Narrow" w:hAnsi="Arial Narrow" w:eastAsiaTheme="minorEastAsia"/>
                    <w:szCs w:val="21"/>
                  </w:rPr>
                </w:pPr>
                <w:r>
                  <w:rPr>
                    <w:rFonts w:ascii="Arial Narrow" w:hAnsi="Arial Narrow" w:eastAsiaTheme="minorEastAsia"/>
                    <w:szCs w:val="21"/>
                  </w:rPr>
                  <w:t>形成原因</w:t>
                </w:r>
              </w:p>
            </w:tc>
          </w:sdtContent>
        </w:sdt>
      </w:tr>
      <w:tr w14:paraId="46D0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38" w:type="pct"/>
            <w:shd w:val="clear" w:color="auto" w:fill="auto"/>
            <w:vAlign w:val="center"/>
          </w:tcPr>
          <w:p w14:paraId="02EF9F8E">
            <w:pPr>
              <w:rPr>
                <w:rFonts w:ascii="Arial Narrow" w:hAnsi="Arial Narrow" w:eastAsiaTheme="minorEastAsia"/>
                <w:szCs w:val="21"/>
              </w:rPr>
            </w:pPr>
            <w:r>
              <w:rPr>
                <w:rFonts w:ascii="Arial Narrow" w:hAnsi="Arial Narrow" w:eastAsiaTheme="minorEastAsia"/>
                <w:szCs w:val="21"/>
              </w:rPr>
              <w:t>政府补助</w:t>
            </w:r>
          </w:p>
        </w:tc>
        <w:tc>
          <w:tcPr>
            <w:tcW w:w="839" w:type="pct"/>
            <w:shd w:val="clear" w:color="auto" w:fill="auto"/>
            <w:vAlign w:val="center"/>
          </w:tcPr>
          <w:p w14:paraId="3DC8B7FE">
            <w:pPr>
              <w:jc w:val="right"/>
              <w:rPr>
                <w:rFonts w:ascii="Arial Narrow" w:hAnsi="Arial Narrow" w:eastAsiaTheme="minorEastAsia"/>
                <w:szCs w:val="21"/>
              </w:rPr>
            </w:pPr>
            <w:r>
              <w:rPr>
                <w:rFonts w:ascii="Arial Narrow" w:hAnsi="Arial Narrow" w:eastAsiaTheme="minorEastAsia"/>
                <w:color w:val="000000"/>
                <w:szCs w:val="21"/>
              </w:rPr>
              <w:t>107,306,954.40</w:t>
            </w:r>
          </w:p>
        </w:tc>
        <w:tc>
          <w:tcPr>
            <w:tcW w:w="813" w:type="pct"/>
            <w:shd w:val="clear" w:color="auto" w:fill="auto"/>
            <w:vAlign w:val="center"/>
          </w:tcPr>
          <w:p w14:paraId="584767F6">
            <w:pPr>
              <w:jc w:val="right"/>
              <w:rPr>
                <w:rFonts w:ascii="Arial Narrow" w:hAnsi="Arial Narrow" w:eastAsiaTheme="minorEastAsia"/>
                <w:szCs w:val="21"/>
              </w:rPr>
            </w:pPr>
            <w:r>
              <w:rPr>
                <w:rFonts w:ascii="Arial Narrow" w:hAnsi="Arial Narrow" w:eastAsiaTheme="minorEastAsia"/>
                <w:color w:val="000000"/>
                <w:szCs w:val="21"/>
              </w:rPr>
              <w:t>9,773,300.00</w:t>
            </w:r>
          </w:p>
        </w:tc>
        <w:tc>
          <w:tcPr>
            <w:tcW w:w="804" w:type="pct"/>
            <w:shd w:val="clear" w:color="auto" w:fill="auto"/>
            <w:vAlign w:val="center"/>
          </w:tcPr>
          <w:p w14:paraId="466C2D4C">
            <w:pPr>
              <w:jc w:val="right"/>
              <w:rPr>
                <w:rFonts w:ascii="Arial Narrow" w:hAnsi="Arial Narrow" w:eastAsiaTheme="minorEastAsia"/>
                <w:szCs w:val="21"/>
              </w:rPr>
            </w:pPr>
            <w:r>
              <w:rPr>
                <w:rFonts w:ascii="Arial Narrow" w:hAnsi="Arial Narrow" w:eastAsiaTheme="minorEastAsia"/>
                <w:color w:val="000000"/>
                <w:szCs w:val="21"/>
              </w:rPr>
              <w:t>27,637,301.92</w:t>
            </w:r>
          </w:p>
        </w:tc>
        <w:tc>
          <w:tcPr>
            <w:tcW w:w="829" w:type="pct"/>
            <w:shd w:val="clear" w:color="auto" w:fill="auto"/>
            <w:vAlign w:val="center"/>
          </w:tcPr>
          <w:p w14:paraId="3F1289C9">
            <w:pPr>
              <w:jc w:val="right"/>
              <w:rPr>
                <w:rFonts w:ascii="Arial Narrow" w:hAnsi="Arial Narrow" w:eastAsiaTheme="minorEastAsia"/>
                <w:szCs w:val="21"/>
              </w:rPr>
            </w:pPr>
            <w:r>
              <w:rPr>
                <w:rFonts w:ascii="Arial Narrow" w:hAnsi="Arial Narrow" w:eastAsiaTheme="minorEastAsia"/>
                <w:color w:val="000000"/>
                <w:szCs w:val="21"/>
              </w:rPr>
              <w:t>89,442,952.48</w:t>
            </w:r>
          </w:p>
        </w:tc>
        <w:tc>
          <w:tcPr>
            <w:tcW w:w="876" w:type="pct"/>
            <w:shd w:val="clear" w:color="auto" w:fill="auto"/>
          </w:tcPr>
          <w:p w14:paraId="4151F9C8">
            <w:pPr>
              <w:rPr>
                <w:rFonts w:ascii="Arial Narrow" w:hAnsi="Arial Narrow" w:eastAsiaTheme="minorEastAsia"/>
                <w:szCs w:val="21"/>
              </w:rPr>
            </w:pPr>
            <w:r>
              <w:rPr>
                <w:rFonts w:ascii="Arial Narrow" w:hAnsi="Arial Narrow" w:eastAsiaTheme="minorEastAsia"/>
                <w:szCs w:val="21"/>
              </w:rPr>
              <w:t>与资产相关/</w:t>
            </w:r>
          </w:p>
          <w:p w14:paraId="453CC14E">
            <w:pPr>
              <w:rPr>
                <w:rFonts w:ascii="Arial Narrow" w:hAnsi="Arial Narrow" w:eastAsiaTheme="minorEastAsia"/>
                <w:szCs w:val="21"/>
              </w:rPr>
            </w:pPr>
            <w:r>
              <w:rPr>
                <w:rFonts w:ascii="Arial Narrow" w:hAnsi="Arial Narrow" w:eastAsiaTheme="minorEastAsia"/>
                <w:szCs w:val="21"/>
              </w:rPr>
              <w:t>与收益相关</w:t>
            </w:r>
          </w:p>
        </w:tc>
      </w:tr>
      <w:tr w14:paraId="12CE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838" w:type="pct"/>
            <w:shd w:val="clear" w:color="auto" w:fill="auto"/>
            <w:vAlign w:val="center"/>
          </w:tcPr>
          <w:p w14:paraId="70759FCE">
            <w:pPr>
              <w:jc w:val="center"/>
              <w:rPr>
                <w:rFonts w:ascii="Arial Narrow" w:hAnsi="Arial Narrow" w:eastAsiaTheme="minorEastAsia"/>
                <w:szCs w:val="21"/>
              </w:rPr>
            </w:pPr>
            <w:r>
              <w:rPr>
                <w:rFonts w:ascii="Arial Narrow" w:hAnsi="Arial Narrow" w:eastAsiaTheme="minorEastAsia"/>
                <w:szCs w:val="21"/>
              </w:rPr>
              <w:t>合计</w:t>
            </w:r>
          </w:p>
        </w:tc>
        <w:tc>
          <w:tcPr>
            <w:tcW w:w="839" w:type="pct"/>
            <w:shd w:val="clear" w:color="auto" w:fill="auto"/>
            <w:vAlign w:val="center"/>
          </w:tcPr>
          <w:p w14:paraId="6B809C57">
            <w:pPr>
              <w:jc w:val="right"/>
              <w:rPr>
                <w:rFonts w:ascii="Arial Narrow" w:hAnsi="Arial Narrow" w:eastAsiaTheme="minorEastAsia"/>
                <w:szCs w:val="21"/>
              </w:rPr>
            </w:pPr>
            <w:r>
              <w:rPr>
                <w:rFonts w:ascii="Arial Narrow" w:hAnsi="Arial Narrow" w:eastAsiaTheme="minorEastAsia"/>
                <w:color w:val="000000"/>
                <w:szCs w:val="21"/>
              </w:rPr>
              <w:t>107,306,954.40</w:t>
            </w:r>
          </w:p>
        </w:tc>
        <w:tc>
          <w:tcPr>
            <w:tcW w:w="813" w:type="pct"/>
            <w:shd w:val="clear" w:color="auto" w:fill="auto"/>
            <w:vAlign w:val="center"/>
          </w:tcPr>
          <w:p w14:paraId="3FFAB535">
            <w:pPr>
              <w:jc w:val="right"/>
              <w:rPr>
                <w:rFonts w:ascii="Arial Narrow" w:hAnsi="Arial Narrow" w:eastAsiaTheme="minorEastAsia"/>
                <w:szCs w:val="21"/>
              </w:rPr>
            </w:pPr>
            <w:r>
              <w:rPr>
                <w:rFonts w:ascii="Arial Narrow" w:hAnsi="Arial Narrow" w:eastAsiaTheme="minorEastAsia"/>
                <w:color w:val="000000"/>
                <w:szCs w:val="21"/>
              </w:rPr>
              <w:t>9,773,300.00</w:t>
            </w:r>
          </w:p>
        </w:tc>
        <w:tc>
          <w:tcPr>
            <w:tcW w:w="804" w:type="pct"/>
            <w:shd w:val="clear" w:color="auto" w:fill="auto"/>
            <w:vAlign w:val="center"/>
          </w:tcPr>
          <w:p w14:paraId="100698FC">
            <w:pPr>
              <w:jc w:val="right"/>
              <w:rPr>
                <w:rFonts w:ascii="Arial Narrow" w:hAnsi="Arial Narrow" w:eastAsiaTheme="minorEastAsia"/>
                <w:szCs w:val="21"/>
              </w:rPr>
            </w:pPr>
            <w:r>
              <w:rPr>
                <w:rFonts w:ascii="Arial Narrow" w:hAnsi="Arial Narrow" w:eastAsiaTheme="minorEastAsia"/>
                <w:color w:val="000000"/>
                <w:szCs w:val="21"/>
              </w:rPr>
              <w:t>27,637,301.92</w:t>
            </w:r>
          </w:p>
        </w:tc>
        <w:tc>
          <w:tcPr>
            <w:tcW w:w="829" w:type="pct"/>
            <w:shd w:val="clear" w:color="auto" w:fill="auto"/>
            <w:vAlign w:val="center"/>
          </w:tcPr>
          <w:p w14:paraId="6827B025">
            <w:pPr>
              <w:jc w:val="right"/>
              <w:rPr>
                <w:rFonts w:ascii="Arial Narrow" w:hAnsi="Arial Narrow" w:eastAsiaTheme="minorEastAsia"/>
                <w:szCs w:val="21"/>
              </w:rPr>
            </w:pPr>
            <w:r>
              <w:rPr>
                <w:rFonts w:ascii="Arial Narrow" w:hAnsi="Arial Narrow" w:eastAsiaTheme="minorEastAsia"/>
                <w:color w:val="000000"/>
                <w:szCs w:val="21"/>
              </w:rPr>
              <w:t>89,442,952.48</w:t>
            </w:r>
          </w:p>
        </w:tc>
        <w:tc>
          <w:tcPr>
            <w:tcW w:w="876" w:type="pct"/>
            <w:shd w:val="clear" w:color="auto" w:fill="auto"/>
          </w:tcPr>
          <w:p w14:paraId="559D68E9">
            <w:pPr>
              <w:jc w:val="center"/>
              <w:rPr>
                <w:rFonts w:ascii="Arial Narrow" w:hAnsi="Arial Narrow" w:eastAsiaTheme="minorEastAsia"/>
                <w:szCs w:val="21"/>
              </w:rPr>
            </w:pPr>
            <w:r>
              <w:rPr>
                <w:rFonts w:ascii="Arial Narrow" w:hAnsi="Arial Narrow" w:eastAsiaTheme="minorEastAsia"/>
                <w:szCs w:val="21"/>
              </w:rPr>
              <w:t>/</w:t>
            </w:r>
          </w:p>
        </w:tc>
      </w:tr>
    </w:tbl>
    <w:p w14:paraId="77523B21">
      <w:pPr>
        <w:spacing w:before="60" w:after="60"/>
        <w:rPr>
          <w:rFonts w:hint="eastAsia"/>
          <w:szCs w:val="21"/>
        </w:rPr>
      </w:pPr>
      <w:bookmarkStart w:id="355" w:name="_Hlk532902569"/>
      <w:bookmarkEnd w:id="355"/>
      <w:bookmarkStart w:id="356" w:name="_Hlk532902543"/>
      <w:bookmarkEnd w:id="356"/>
      <w:bookmarkStart w:id="357" w:name="OLE_LINK84"/>
      <w:bookmarkStart w:id="358" w:name="OLE_LINK85"/>
      <w:r>
        <w:rPr>
          <w:rFonts w:hint="eastAsia"/>
          <w:szCs w:val="21"/>
        </w:rPr>
        <w:t>其他说明：</w:t>
      </w:r>
    </w:p>
    <w:sdt>
      <w:sdtPr>
        <w:rPr>
          <w:szCs w:val="21"/>
        </w:rPr>
        <w:alias w:val="是否适用：递延收益的其他说明[双击切换]"/>
        <w:tag w:val="_GBC_0c28db54a76349869056f2b92b5d9400"/>
        <w:id w:val="-898745686"/>
        <w:placeholder>
          <w:docPart w:val="GBC22222222222222222222222222222"/>
        </w:placeholder>
      </w:sdtPr>
      <w:sdtEndPr>
        <w:rPr>
          <w:szCs w:val="21"/>
        </w:rPr>
      </w:sdtEndPr>
      <w:sdtContent>
        <w:p w14:paraId="023D423A">
          <w:pPr>
            <w:spacing w:before="60" w:after="6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357"/>
    <w:bookmarkEnd w:id="358"/>
    <w:p w14:paraId="0322649F">
      <w:pPr>
        <w:snapToGrid w:val="0"/>
        <w:spacing w:line="240" w:lineRule="atLeast"/>
        <w:rPr>
          <w:rFonts w:hint="eastAsia"/>
          <w:szCs w:val="21"/>
        </w:rPr>
      </w:pPr>
    </w:p>
    <w:p w14:paraId="597AC80F">
      <w:pPr>
        <w:pStyle w:val="70"/>
        <w:numPr>
          <w:ilvl w:val="0"/>
          <w:numId w:val="109"/>
        </w:numPr>
        <w:rPr>
          <w:szCs w:val="21"/>
        </w:rPr>
      </w:pPr>
      <w:bookmarkStart w:id="359" w:name="_Hlk533670383"/>
      <w:r>
        <w:rPr>
          <w:szCs w:val="21"/>
        </w:rPr>
        <w:t>其他非流动负债</w:t>
      </w:r>
    </w:p>
    <w:sdt>
      <w:sdtPr>
        <w:alias w:val="是否适用：其他非流动负债[双击切换]"/>
        <w:tag w:val="_GBC_05e5676f32624ce18727385761bd1a9a"/>
        <w:id w:val="-746340911"/>
        <w:placeholder>
          <w:docPart w:val="GBC22222222222222222222222222222"/>
        </w:placeholder>
      </w:sdtPr>
      <w:sdtContent>
        <w:p w14:paraId="5659BCF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BB21F0D">
      <w:pPr>
        <w:jc w:val="right"/>
        <w:rPr>
          <w:rFonts w:hint="eastAsia"/>
          <w:szCs w:val="21"/>
        </w:rPr>
      </w:pPr>
      <w:r>
        <w:rPr>
          <w:rFonts w:hint="eastAsia"/>
          <w:szCs w:val="21"/>
        </w:rPr>
        <w:t>单位：</w:t>
      </w:r>
      <w:sdt>
        <w:sdtPr>
          <w:rPr>
            <w:rFonts w:hint="eastAsia"/>
            <w:szCs w:val="21"/>
          </w:rPr>
          <w:alias w:val="单位：财务附注：其他非流动负债"/>
          <w:tag w:val="_GBC_71e4a9e0bf114863bce91ed701edd264"/>
          <w:id w:val="16995817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其他非流动负债"/>
          <w:tag w:val="_GBC_bf94df270d184979b66ad44c93bd13bb"/>
          <w:id w:val="3169328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5"/>
        <w:gridCol w:w="2825"/>
        <w:gridCol w:w="2823"/>
      </w:tblGrid>
      <w:tr w14:paraId="15C2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Arial Narrow" w:hAnsi="Arial Narrow" w:eastAsiaTheme="minorEastAsia"/>
              <w:szCs w:val="21"/>
            </w:rPr>
            <w:tag w:val="_PLD_e94b93964ff94154a24d0d892b58ec93"/>
            <w:id w:val="-880634630"/>
          </w:sdtPr>
          <w:sdtEndPr>
            <w:rPr>
              <w:rFonts w:ascii="Arial Narrow" w:hAnsi="Arial Narrow" w:eastAsiaTheme="minorEastAsia"/>
              <w:szCs w:val="21"/>
            </w:rPr>
          </w:sdtEndPr>
          <w:sdtContent>
            <w:tc>
              <w:tcPr>
                <w:tcW w:w="1799" w:type="pct"/>
                <w:tcBorders>
                  <w:top w:val="single" w:color="auto" w:sz="4" w:space="0"/>
                  <w:left w:val="single" w:color="auto" w:sz="4" w:space="0"/>
                  <w:bottom w:val="single" w:color="auto" w:sz="4" w:space="0"/>
                  <w:right w:val="single" w:color="auto" w:sz="4" w:space="0"/>
                </w:tcBorders>
                <w:vAlign w:val="bottom"/>
              </w:tcPr>
              <w:p w14:paraId="0B5E03BA">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626c17c2445349ccb36ec3f46c17db19"/>
            <w:id w:val="-2002490961"/>
          </w:sdtPr>
          <w:sdtEndPr>
            <w:rPr>
              <w:rFonts w:ascii="Arial Narrow" w:hAnsi="Arial Narrow" w:eastAsiaTheme="minorEastAsia"/>
              <w:szCs w:val="21"/>
            </w:rPr>
          </w:sdtEndPr>
          <w:sdtContent>
            <w:tc>
              <w:tcPr>
                <w:tcW w:w="1601" w:type="pct"/>
                <w:tcBorders>
                  <w:top w:val="single" w:color="auto" w:sz="4" w:space="0"/>
                  <w:left w:val="single" w:color="auto" w:sz="4" w:space="0"/>
                  <w:bottom w:val="single" w:color="auto" w:sz="4" w:space="0"/>
                  <w:right w:val="single" w:color="auto" w:sz="4" w:space="0"/>
                </w:tcBorders>
              </w:tcPr>
              <w:p w14:paraId="30C1AD6B">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132229a357f24f83a62e7827f1a297f0"/>
            <w:id w:val="-1181266449"/>
          </w:sdtPr>
          <w:sdtEndPr>
            <w:rPr>
              <w:rFonts w:ascii="Arial Narrow" w:hAnsi="Arial Narrow" w:eastAsiaTheme="minorEastAsia"/>
              <w:szCs w:val="21"/>
            </w:rPr>
          </w:sdtEndPr>
          <w:sdtContent>
            <w:tc>
              <w:tcPr>
                <w:tcW w:w="1600" w:type="pct"/>
                <w:tcBorders>
                  <w:top w:val="single" w:color="auto" w:sz="4" w:space="0"/>
                  <w:left w:val="single" w:color="auto" w:sz="4" w:space="0"/>
                  <w:bottom w:val="single" w:color="auto" w:sz="4" w:space="0"/>
                  <w:right w:val="single" w:color="auto" w:sz="4" w:space="0"/>
                </w:tcBorders>
              </w:tcPr>
              <w:p w14:paraId="1126BA37">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53C8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9" w:type="pct"/>
            <w:tcBorders>
              <w:top w:val="single" w:color="auto" w:sz="4" w:space="0"/>
              <w:left w:val="single" w:color="auto" w:sz="4" w:space="0"/>
              <w:bottom w:val="single" w:color="auto" w:sz="4" w:space="0"/>
              <w:right w:val="single" w:color="auto" w:sz="4" w:space="0"/>
            </w:tcBorders>
            <w:vAlign w:val="bottom"/>
          </w:tcPr>
          <w:p w14:paraId="631D06F5">
            <w:pPr>
              <w:rPr>
                <w:rFonts w:ascii="Arial Narrow" w:hAnsi="Arial Narrow" w:eastAsiaTheme="minorEastAsia"/>
                <w:szCs w:val="21"/>
              </w:rPr>
            </w:pPr>
            <w:r>
              <w:rPr>
                <w:rFonts w:ascii="Arial Narrow" w:hAnsi="Arial Narrow" w:eastAsiaTheme="minorEastAsia"/>
                <w:color w:val="000000"/>
                <w:szCs w:val="21"/>
              </w:rPr>
              <w:t>公租房建设资金</w:t>
            </w:r>
          </w:p>
        </w:tc>
        <w:tc>
          <w:tcPr>
            <w:tcW w:w="1601" w:type="pct"/>
            <w:tcBorders>
              <w:top w:val="single" w:color="auto" w:sz="4" w:space="0"/>
              <w:left w:val="single" w:color="auto" w:sz="4" w:space="0"/>
              <w:bottom w:val="single" w:color="auto" w:sz="4" w:space="0"/>
              <w:right w:val="single" w:color="auto" w:sz="4" w:space="0"/>
            </w:tcBorders>
            <w:vAlign w:val="center"/>
          </w:tcPr>
          <w:p w14:paraId="6BA0D219">
            <w:pPr>
              <w:jc w:val="right"/>
              <w:rPr>
                <w:rFonts w:ascii="Arial Narrow" w:hAnsi="Arial Narrow" w:eastAsiaTheme="minorEastAsia"/>
                <w:szCs w:val="21"/>
              </w:rPr>
            </w:pPr>
            <w:r>
              <w:rPr>
                <w:rFonts w:ascii="Arial Narrow" w:hAnsi="Arial Narrow" w:eastAsiaTheme="minorEastAsia"/>
                <w:color w:val="000000"/>
                <w:szCs w:val="21"/>
              </w:rPr>
              <w:t>2,880,000.00</w:t>
            </w:r>
          </w:p>
        </w:tc>
        <w:tc>
          <w:tcPr>
            <w:tcW w:w="1600" w:type="pct"/>
            <w:tcBorders>
              <w:top w:val="single" w:color="auto" w:sz="4" w:space="0"/>
              <w:left w:val="single" w:color="auto" w:sz="4" w:space="0"/>
              <w:bottom w:val="single" w:color="auto" w:sz="4" w:space="0"/>
              <w:right w:val="single" w:color="auto" w:sz="4" w:space="0"/>
            </w:tcBorders>
            <w:vAlign w:val="center"/>
          </w:tcPr>
          <w:p w14:paraId="13A8F4E8">
            <w:pPr>
              <w:jc w:val="right"/>
              <w:rPr>
                <w:rFonts w:ascii="Arial Narrow" w:hAnsi="Arial Narrow" w:eastAsiaTheme="minorEastAsia"/>
                <w:szCs w:val="21"/>
              </w:rPr>
            </w:pPr>
            <w:r>
              <w:rPr>
                <w:rFonts w:ascii="Arial Narrow" w:hAnsi="Arial Narrow" w:eastAsiaTheme="minorEastAsia"/>
                <w:color w:val="000000"/>
                <w:szCs w:val="21"/>
              </w:rPr>
              <w:t>2,880,000.00</w:t>
            </w:r>
          </w:p>
        </w:tc>
      </w:tr>
      <w:tr w14:paraId="7D42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9" w:type="pct"/>
            <w:tcBorders>
              <w:top w:val="single" w:color="auto" w:sz="4" w:space="0"/>
              <w:left w:val="single" w:color="auto" w:sz="4" w:space="0"/>
              <w:bottom w:val="single" w:color="auto" w:sz="4" w:space="0"/>
              <w:right w:val="single" w:color="auto" w:sz="4" w:space="0"/>
            </w:tcBorders>
          </w:tcPr>
          <w:p w14:paraId="7EB40978">
            <w:pPr>
              <w:jc w:val="center"/>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合计</w:t>
            </w:r>
          </w:p>
        </w:tc>
        <w:tc>
          <w:tcPr>
            <w:tcW w:w="1601" w:type="pct"/>
            <w:tcBorders>
              <w:top w:val="single" w:color="auto" w:sz="4" w:space="0"/>
              <w:left w:val="single" w:color="auto" w:sz="4" w:space="0"/>
              <w:bottom w:val="single" w:color="auto" w:sz="4" w:space="0"/>
              <w:right w:val="single" w:color="auto" w:sz="4" w:space="0"/>
            </w:tcBorders>
            <w:vAlign w:val="center"/>
          </w:tcPr>
          <w:p w14:paraId="5BDC48D0">
            <w:pPr>
              <w:jc w:val="right"/>
              <w:rPr>
                <w:rFonts w:ascii="Arial Narrow" w:hAnsi="Arial Narrow" w:eastAsiaTheme="minorEastAsia"/>
                <w:szCs w:val="21"/>
              </w:rPr>
            </w:pPr>
            <w:r>
              <w:rPr>
                <w:rFonts w:ascii="Arial Narrow" w:hAnsi="Arial Narrow" w:eastAsiaTheme="minorEastAsia"/>
                <w:color w:val="000000"/>
                <w:szCs w:val="21"/>
              </w:rPr>
              <w:t>2,880,000.00</w:t>
            </w:r>
          </w:p>
        </w:tc>
        <w:tc>
          <w:tcPr>
            <w:tcW w:w="1600" w:type="pct"/>
            <w:tcBorders>
              <w:top w:val="single" w:color="auto" w:sz="4" w:space="0"/>
              <w:left w:val="single" w:color="auto" w:sz="4" w:space="0"/>
              <w:bottom w:val="single" w:color="auto" w:sz="4" w:space="0"/>
              <w:right w:val="single" w:color="auto" w:sz="4" w:space="0"/>
            </w:tcBorders>
            <w:vAlign w:val="center"/>
          </w:tcPr>
          <w:p w14:paraId="2CE23618">
            <w:pPr>
              <w:jc w:val="right"/>
              <w:rPr>
                <w:rFonts w:ascii="Arial Narrow" w:hAnsi="Arial Narrow" w:eastAsiaTheme="minorEastAsia"/>
                <w:szCs w:val="21"/>
              </w:rPr>
            </w:pPr>
            <w:r>
              <w:rPr>
                <w:rFonts w:ascii="Arial Narrow" w:hAnsi="Arial Narrow" w:eastAsiaTheme="minorEastAsia"/>
                <w:color w:val="000000"/>
                <w:szCs w:val="21"/>
              </w:rPr>
              <w:t>2,880,000.00</w:t>
            </w:r>
          </w:p>
        </w:tc>
      </w:tr>
    </w:tbl>
    <w:p w14:paraId="69B0390F">
      <w:pPr>
        <w:spacing w:before="60" w:after="60"/>
        <w:rPr>
          <w:rFonts w:hint="eastAsia"/>
          <w:szCs w:val="21"/>
        </w:rPr>
      </w:pPr>
      <w:r>
        <w:rPr>
          <w:rFonts w:hint="eastAsia"/>
          <w:szCs w:val="21"/>
        </w:rPr>
        <w:t>其他说明：</w:t>
      </w:r>
    </w:p>
    <w:sdt>
      <w:sdtPr>
        <w:rPr>
          <w:szCs w:val="21"/>
        </w:rPr>
        <w:alias w:val="其他非流动负债说明"/>
        <w:tag w:val="_GBC_4686d44ffe664a59bb3950cd69e64f86"/>
        <w:id w:val="385992168"/>
        <w:placeholder>
          <w:docPart w:val="GBC22222222222222222222222222222"/>
        </w:placeholder>
      </w:sdtPr>
      <w:sdtEndPr>
        <w:rPr>
          <w:szCs w:val="21"/>
        </w:rPr>
      </w:sdtEndPr>
      <w:sdtContent>
        <w:p w14:paraId="2889EE36">
          <w:pPr>
            <w:rPr>
              <w:rFonts w:hint="eastAsia"/>
              <w:szCs w:val="21"/>
            </w:rPr>
          </w:pPr>
          <w:r>
            <w:rPr>
              <w:rFonts w:hint="eastAsia"/>
              <w:szCs w:val="21"/>
            </w:rPr>
            <w:t>无</w:t>
          </w:r>
        </w:p>
      </w:sdtContent>
    </w:sdt>
    <w:bookmarkEnd w:id="359"/>
    <w:p w14:paraId="4E844776">
      <w:pPr>
        <w:rPr>
          <w:rFonts w:hint="eastAsia"/>
          <w:szCs w:val="21"/>
        </w:rPr>
      </w:pPr>
    </w:p>
    <w:p w14:paraId="43B65C66">
      <w:pPr>
        <w:pStyle w:val="70"/>
        <w:numPr>
          <w:ilvl w:val="0"/>
          <w:numId w:val="109"/>
        </w:numPr>
        <w:rPr>
          <w:szCs w:val="21"/>
        </w:rPr>
      </w:pPr>
      <w:r>
        <w:rPr>
          <w:szCs w:val="21"/>
        </w:rPr>
        <w:t>股本</w:t>
      </w:r>
    </w:p>
    <w:sdt>
      <w:sdtPr>
        <w:alias w:val="是否适用：股本[双击切换]"/>
        <w:tag w:val="_GBC_a2069fb3657946ee9810a9154eb11422"/>
        <w:id w:val="-1380158957"/>
        <w:placeholder>
          <w:docPart w:val="GBC22222222222222222222222222222"/>
        </w:placeholder>
      </w:sdtPr>
      <w:sdtContent>
        <w:p w14:paraId="4603896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BBE24F">
      <w:pPr>
        <w:jc w:val="right"/>
        <w:rPr>
          <w:rFonts w:hint="eastAsia"/>
          <w:szCs w:val="21"/>
        </w:rPr>
      </w:pPr>
      <w:r>
        <w:rPr>
          <w:rFonts w:hint="eastAsia"/>
          <w:szCs w:val="21"/>
        </w:rPr>
        <w:t>单位：</w:t>
      </w:r>
      <w:sdt>
        <w:sdtPr>
          <w:rPr>
            <w:rFonts w:hint="eastAsia"/>
            <w:szCs w:val="21"/>
          </w:rPr>
          <w:alias w:val="单位：财务附注：股本"/>
          <w:tag w:val="_GBC_e2cacf7f2d9f4ad78dce53a3e345569e"/>
          <w:id w:val="-13877868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557678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8"/>
        <w:gridCol w:w="2753"/>
        <w:gridCol w:w="2732"/>
      </w:tblGrid>
      <w:tr w14:paraId="0750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1892" w:type="pct"/>
            <w:tcBorders>
              <w:top w:val="single" w:color="auto" w:sz="4" w:space="0"/>
              <w:left w:val="single" w:color="auto" w:sz="4" w:space="0"/>
              <w:bottom w:val="single" w:color="auto" w:sz="4" w:space="0"/>
              <w:right w:val="single" w:color="auto" w:sz="4" w:space="0"/>
            </w:tcBorders>
          </w:tcPr>
          <w:p w14:paraId="0D21A311">
            <w:pPr>
              <w:jc w:val="center"/>
              <w:rPr>
                <w:rFonts w:ascii="Arial Narrow" w:hAnsi="Arial Narrow" w:eastAsiaTheme="minorEastAsia"/>
                <w:szCs w:val="21"/>
              </w:rPr>
            </w:pPr>
          </w:p>
        </w:tc>
        <w:sdt>
          <w:sdtPr>
            <w:rPr>
              <w:rFonts w:ascii="Arial Narrow" w:hAnsi="Arial Narrow" w:eastAsiaTheme="minorEastAsia"/>
            </w:rPr>
            <w:tag w:val="_PLD_fd63a619db16496bad52eeb145839158"/>
            <w:id w:val="-1290655604"/>
          </w:sdtPr>
          <w:sdtEndPr>
            <w:rPr>
              <w:rFonts w:ascii="Arial Narrow" w:hAnsi="Arial Narrow" w:eastAsiaTheme="minorEastAsia"/>
            </w:rPr>
          </w:sdtEndPr>
          <w:sdtContent>
            <w:tc>
              <w:tcPr>
                <w:tcW w:w="1560" w:type="pct"/>
                <w:tcBorders>
                  <w:top w:val="single" w:color="auto" w:sz="4" w:space="0"/>
                  <w:left w:val="single" w:color="auto" w:sz="4" w:space="0"/>
                  <w:right w:val="single" w:color="auto" w:sz="4" w:space="0"/>
                </w:tcBorders>
                <w:vAlign w:val="center"/>
              </w:tcPr>
              <w:p w14:paraId="5E79712E">
                <w:pPr>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rPr>
            <w:tag w:val="_PLD_e579078cb28f47a09273701ab9e2e37a"/>
            <w:id w:val="-670178051"/>
          </w:sdtPr>
          <w:sdtEndPr>
            <w:rPr>
              <w:rFonts w:ascii="Arial Narrow" w:hAnsi="Arial Narrow" w:eastAsiaTheme="minorEastAsia"/>
            </w:rPr>
          </w:sdtEndPr>
          <w:sdtContent>
            <w:tc>
              <w:tcPr>
                <w:tcW w:w="1548" w:type="pct"/>
                <w:tcBorders>
                  <w:top w:val="single" w:color="auto" w:sz="4" w:space="0"/>
                  <w:left w:val="single" w:color="auto" w:sz="4" w:space="0"/>
                  <w:right w:val="single" w:color="auto" w:sz="4" w:space="0"/>
                </w:tcBorders>
                <w:vAlign w:val="center"/>
              </w:tcPr>
              <w:p w14:paraId="73F7DFC7">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35EF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92" w:type="pct"/>
            <w:tcBorders>
              <w:top w:val="single" w:color="auto" w:sz="4" w:space="0"/>
              <w:left w:val="single" w:color="auto" w:sz="4" w:space="0"/>
              <w:bottom w:val="single" w:color="auto" w:sz="4" w:space="0"/>
              <w:right w:val="single" w:color="auto" w:sz="4" w:space="0"/>
            </w:tcBorders>
          </w:tcPr>
          <w:p w14:paraId="4221260F">
            <w:pPr>
              <w:jc w:val="center"/>
              <w:rPr>
                <w:rFonts w:ascii="Arial Narrow" w:hAnsi="Arial Narrow" w:eastAsiaTheme="minorEastAsia"/>
                <w:szCs w:val="21"/>
              </w:rPr>
            </w:pPr>
            <w:r>
              <w:rPr>
                <w:rFonts w:ascii="Arial Narrow" w:hAnsi="Arial Narrow" w:eastAsiaTheme="minorEastAsia"/>
                <w:szCs w:val="21"/>
              </w:rPr>
              <w:t>股份总数</w:t>
            </w:r>
          </w:p>
        </w:tc>
        <w:tc>
          <w:tcPr>
            <w:tcW w:w="1560" w:type="pct"/>
            <w:tcBorders>
              <w:top w:val="single" w:color="auto" w:sz="4" w:space="0"/>
              <w:left w:val="single" w:color="auto" w:sz="4" w:space="0"/>
              <w:bottom w:val="single" w:color="auto" w:sz="4" w:space="0"/>
              <w:right w:val="single" w:color="auto" w:sz="4" w:space="0"/>
            </w:tcBorders>
            <w:vAlign w:val="center"/>
          </w:tcPr>
          <w:p w14:paraId="0CBDF41B">
            <w:pPr>
              <w:jc w:val="right"/>
              <w:rPr>
                <w:rFonts w:ascii="Arial Narrow" w:hAnsi="Arial Narrow" w:eastAsiaTheme="minorEastAsia"/>
                <w:szCs w:val="21"/>
              </w:rPr>
            </w:pPr>
            <w:r>
              <w:rPr>
                <w:rFonts w:ascii="Arial Narrow" w:hAnsi="Arial Narrow" w:eastAsiaTheme="minorEastAsia"/>
                <w:color w:val="000000"/>
                <w:szCs w:val="22"/>
              </w:rPr>
              <w:t>4,391,629,404.00</w:t>
            </w:r>
          </w:p>
        </w:tc>
        <w:tc>
          <w:tcPr>
            <w:tcW w:w="1548" w:type="pct"/>
            <w:tcBorders>
              <w:top w:val="single" w:color="auto" w:sz="4" w:space="0"/>
              <w:left w:val="single" w:color="auto" w:sz="4" w:space="0"/>
              <w:bottom w:val="single" w:color="auto" w:sz="4" w:space="0"/>
              <w:right w:val="single" w:color="auto" w:sz="4" w:space="0"/>
            </w:tcBorders>
            <w:vAlign w:val="center"/>
          </w:tcPr>
          <w:p w14:paraId="6E4A5D70">
            <w:pPr>
              <w:jc w:val="right"/>
              <w:rPr>
                <w:rFonts w:ascii="Arial Narrow" w:hAnsi="Arial Narrow" w:eastAsiaTheme="minorEastAsia"/>
                <w:szCs w:val="21"/>
              </w:rPr>
            </w:pPr>
            <w:r>
              <w:rPr>
                <w:rFonts w:ascii="Arial Narrow" w:hAnsi="Arial Narrow" w:eastAsiaTheme="minorEastAsia"/>
                <w:color w:val="000000"/>
                <w:szCs w:val="22"/>
              </w:rPr>
              <w:t>4,391,629,404.00</w:t>
            </w:r>
          </w:p>
        </w:tc>
      </w:tr>
    </w:tbl>
    <w:p w14:paraId="46755403">
      <w:pPr>
        <w:spacing w:before="60" w:after="60"/>
        <w:rPr>
          <w:rFonts w:hint="eastAsia"/>
          <w:szCs w:val="21"/>
        </w:rPr>
      </w:pPr>
      <w:r>
        <w:rPr>
          <w:rFonts w:hint="eastAsia"/>
          <w:szCs w:val="21"/>
        </w:rPr>
        <w:t>其他说明：</w:t>
      </w:r>
    </w:p>
    <w:sdt>
      <w:sdtPr>
        <w:rPr>
          <w:szCs w:val="21"/>
        </w:rPr>
        <w:alias w:val="股本变动情况说明"/>
        <w:tag w:val="_GBC_6600e13aac194caa9cb58963beb3073e"/>
        <w:id w:val="739840301"/>
        <w:placeholder>
          <w:docPart w:val="GBC22222222222222222222222222222"/>
        </w:placeholder>
      </w:sdtPr>
      <w:sdtEndPr>
        <w:rPr>
          <w:szCs w:val="21"/>
        </w:rPr>
      </w:sdtEndPr>
      <w:sdtContent>
        <w:p w14:paraId="1E24CD7C">
          <w:pPr>
            <w:rPr>
              <w:rFonts w:hint="eastAsia"/>
              <w:szCs w:val="21"/>
            </w:rPr>
          </w:pPr>
          <w:r>
            <w:rPr>
              <w:rFonts w:hint="eastAsia"/>
              <w:szCs w:val="21"/>
            </w:rPr>
            <w:t>无</w:t>
          </w:r>
        </w:p>
      </w:sdtContent>
    </w:sdt>
    <w:p w14:paraId="04EBD216">
      <w:pPr>
        <w:rPr>
          <w:rFonts w:hint="eastAsia"/>
          <w:szCs w:val="21"/>
        </w:rPr>
      </w:pPr>
    </w:p>
    <w:p w14:paraId="65E746C5">
      <w:pPr>
        <w:pStyle w:val="70"/>
        <w:numPr>
          <w:ilvl w:val="0"/>
          <w:numId w:val="109"/>
        </w:numPr>
        <w:rPr>
          <w:szCs w:val="21"/>
        </w:rPr>
      </w:pPr>
      <w:r>
        <w:rPr>
          <w:szCs w:val="21"/>
        </w:rPr>
        <w:t>其他权益工具</w:t>
      </w:r>
    </w:p>
    <w:p w14:paraId="7492D6EB">
      <w:pPr>
        <w:pStyle w:val="71"/>
        <w:numPr>
          <w:ilvl w:val="0"/>
          <w:numId w:val="146"/>
        </w:numPr>
        <w:ind w:left="426" w:hanging="426"/>
        <w:rPr>
          <w:rFonts w:hint="eastAsia"/>
        </w:rPr>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1170135715"/>
        <w:placeholder>
          <w:docPart w:val="GBC22222222222222222222222222222"/>
        </w:placeholder>
      </w:sdtPr>
      <w:sdtContent>
        <w:p w14:paraId="3C4423B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D1B2841">
      <w:pPr>
        <w:rPr>
          <w:rFonts w:hint="eastAsia"/>
        </w:rPr>
      </w:pPr>
    </w:p>
    <w:p w14:paraId="35E41A5C">
      <w:pPr>
        <w:pStyle w:val="71"/>
        <w:numPr>
          <w:ilvl w:val="0"/>
          <w:numId w:val="146"/>
        </w:numPr>
        <w:ind w:left="426" w:hanging="426"/>
        <w:rPr>
          <w:rFonts w:hint="eastAsia"/>
        </w:rPr>
      </w:pPr>
      <w:bookmarkStart w:id="360" w:name="_Hlk89785156"/>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33733360"/>
        <w:placeholder>
          <w:docPart w:val="GBC22222222222222222222222222222"/>
        </w:placeholder>
      </w:sdtPr>
      <w:sdtContent>
        <w:p w14:paraId="7E280514">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A61625E">
      <w:pPr>
        <w:rPr>
          <w:rFonts w:hint="eastAsia"/>
          <w:szCs w:val="21"/>
        </w:rPr>
      </w:pPr>
    </w:p>
    <w:bookmarkEnd w:id="360"/>
    <w:p w14:paraId="6057C501">
      <w:pPr>
        <w:rPr>
          <w:rFonts w:hint="eastAsia"/>
          <w:szCs w:val="21"/>
        </w:rPr>
      </w:pPr>
      <w:bookmarkStart w:id="361" w:name="_Hlk89785136"/>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614828053"/>
        <w:placeholder>
          <w:docPart w:val="GBC22222222222222222222222222222"/>
        </w:placeholder>
      </w:sdtPr>
      <w:sdtEndPr>
        <w:rPr>
          <w:szCs w:val="21"/>
        </w:rPr>
      </w:sdtEndPr>
      <w:sdtContent>
        <w:p w14:paraId="49284990">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361"/>
    <w:p w14:paraId="299AF2B4">
      <w:pPr>
        <w:rPr>
          <w:rFonts w:hint="eastAsia"/>
          <w:szCs w:val="21"/>
        </w:rPr>
      </w:pPr>
    </w:p>
    <w:p w14:paraId="385DB19E">
      <w:pPr>
        <w:rPr>
          <w:rFonts w:hint="eastAsia"/>
          <w:szCs w:val="21"/>
        </w:rPr>
      </w:pPr>
      <w:bookmarkStart w:id="362" w:name="_Hlk89785124"/>
      <w:r>
        <w:rPr>
          <w:rFonts w:hint="eastAsia"/>
          <w:szCs w:val="21"/>
        </w:rPr>
        <w:t>其他说明：</w:t>
      </w:r>
    </w:p>
    <w:sdt>
      <w:sdtPr>
        <w:rPr>
          <w:szCs w:val="21"/>
        </w:rPr>
        <w:alias w:val="是否适用：其他权益工具的其他说明[双击切换]"/>
        <w:tag w:val="_GBC_af2e32ae9c704175a99ebad592dec5f2"/>
        <w:id w:val="-723051122"/>
        <w:placeholder>
          <w:docPart w:val="GBC22222222222222222222222222222"/>
        </w:placeholder>
      </w:sdtPr>
      <w:sdtEndPr>
        <w:rPr>
          <w:szCs w:val="21"/>
        </w:rPr>
      </w:sdtEndPr>
      <w:sdtContent>
        <w:p w14:paraId="5D859225">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362"/>
    <w:p w14:paraId="68447679">
      <w:pPr>
        <w:rPr>
          <w:rFonts w:hint="eastAsia"/>
          <w:szCs w:val="21"/>
        </w:rPr>
      </w:pPr>
    </w:p>
    <w:p w14:paraId="2581E26A">
      <w:pPr>
        <w:pStyle w:val="70"/>
        <w:numPr>
          <w:ilvl w:val="0"/>
          <w:numId w:val="109"/>
        </w:numPr>
        <w:rPr>
          <w:szCs w:val="21"/>
        </w:rPr>
      </w:pPr>
      <w:r>
        <w:rPr>
          <w:szCs w:val="21"/>
        </w:rPr>
        <w:t>资本公积</w:t>
      </w:r>
    </w:p>
    <w:sdt>
      <w:sdtPr>
        <w:alias w:val="是否适用：资本公积[双击切换]"/>
        <w:tag w:val="_GBC_58b0344d8757456787af32396840e233"/>
        <w:id w:val="515429236"/>
        <w:placeholder>
          <w:docPart w:val="GBC22222222222222222222222222222"/>
        </w:placeholder>
      </w:sdtPr>
      <w:sdtContent>
        <w:p w14:paraId="02D7C9E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69BB79">
      <w:pPr>
        <w:jc w:val="right"/>
        <w:rPr>
          <w:rFonts w:hint="eastAsia"/>
          <w:szCs w:val="21"/>
        </w:rPr>
      </w:pPr>
      <w:r>
        <w:rPr>
          <w:rFonts w:hint="eastAsia"/>
          <w:szCs w:val="21"/>
        </w:rPr>
        <w:t>单位：</w:t>
      </w:r>
      <w:sdt>
        <w:sdtPr>
          <w:rPr>
            <w:rFonts w:hint="eastAsia"/>
            <w:szCs w:val="21"/>
          </w:rPr>
          <w:alias w:val="单位：财务附注：资本公积"/>
          <w:tag w:val="_GBC_1b11e7474fd44870ad976b16c25b20f4"/>
          <w:id w:val="-21013247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8983280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807"/>
        <w:gridCol w:w="2995"/>
        <w:gridCol w:w="3021"/>
      </w:tblGrid>
      <w:tr w14:paraId="6502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rPr>
            <w:tag w:val="_PLD_b4e0b77813064aeb83afd63c7bafbdab"/>
            <w:id w:val="72557919"/>
          </w:sdtPr>
          <w:sdtEndPr>
            <w:rPr>
              <w:rFonts w:ascii="Arial Narrow" w:hAnsi="Arial Narrow" w:eastAsiaTheme="minorEastAsia"/>
            </w:rPr>
          </w:sdtEndPr>
          <w:sdtContent>
            <w:tc>
              <w:tcPr>
                <w:tcW w:w="1591" w:type="pct"/>
                <w:vAlign w:val="center"/>
              </w:tcPr>
              <w:p w14:paraId="1249E3E8">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2e3387dfd4d8490ca15036edd55f5d7b"/>
            <w:id w:val="-113366975"/>
          </w:sdtPr>
          <w:sdtEndPr>
            <w:rPr>
              <w:rFonts w:ascii="Arial Narrow" w:hAnsi="Arial Narrow" w:eastAsiaTheme="minorEastAsia"/>
            </w:rPr>
          </w:sdtEndPr>
          <w:sdtContent>
            <w:tc>
              <w:tcPr>
                <w:tcW w:w="1697" w:type="pct"/>
                <w:vAlign w:val="center"/>
              </w:tcPr>
              <w:p w14:paraId="37B908AF">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rPr>
            <w:tag w:val="_PLD_ce18950b18064dc1ac40e20c98bf9dcb"/>
            <w:id w:val="-1575578781"/>
          </w:sdtPr>
          <w:sdtEndPr>
            <w:rPr>
              <w:rFonts w:ascii="Arial Narrow" w:hAnsi="Arial Narrow" w:eastAsiaTheme="minorEastAsia"/>
            </w:rPr>
          </w:sdtEndPr>
          <w:sdtContent>
            <w:tc>
              <w:tcPr>
                <w:tcW w:w="1712" w:type="pct"/>
                <w:vAlign w:val="center"/>
              </w:tcPr>
              <w:p w14:paraId="3E5BDB8C">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2EB5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591" w:type="pct"/>
            <w:shd w:val="clear" w:color="auto" w:fill="auto"/>
            <w:vAlign w:val="center"/>
          </w:tcPr>
          <w:p w14:paraId="26F9E43D">
            <w:pPr>
              <w:autoSpaceDE w:val="0"/>
              <w:autoSpaceDN w:val="0"/>
              <w:adjustRightInd w:val="0"/>
              <w:snapToGrid w:val="0"/>
              <w:rPr>
                <w:rFonts w:ascii="Arial Narrow" w:hAnsi="Arial Narrow" w:eastAsiaTheme="minorEastAsia"/>
                <w:szCs w:val="21"/>
              </w:rPr>
            </w:pPr>
            <w:r>
              <w:rPr>
                <w:rFonts w:ascii="Arial Narrow" w:hAnsi="Arial Narrow" w:eastAsiaTheme="minorEastAsia"/>
                <w:szCs w:val="21"/>
              </w:rPr>
              <w:t>资本溢价（股本溢价）</w:t>
            </w:r>
          </w:p>
        </w:tc>
        <w:tc>
          <w:tcPr>
            <w:tcW w:w="1697" w:type="pct"/>
            <w:shd w:val="clear" w:color="auto" w:fill="auto"/>
            <w:vAlign w:val="center"/>
          </w:tcPr>
          <w:p w14:paraId="5BB5AEA2">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7,986,597,677.86</w:t>
            </w:r>
          </w:p>
        </w:tc>
        <w:tc>
          <w:tcPr>
            <w:tcW w:w="1712" w:type="pct"/>
            <w:shd w:val="clear" w:color="auto" w:fill="auto"/>
            <w:vAlign w:val="center"/>
          </w:tcPr>
          <w:p w14:paraId="2E1675E5">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7,986,597,677.86</w:t>
            </w:r>
          </w:p>
        </w:tc>
      </w:tr>
      <w:tr w14:paraId="79E0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591" w:type="pct"/>
            <w:shd w:val="clear" w:color="auto" w:fill="auto"/>
            <w:vAlign w:val="center"/>
          </w:tcPr>
          <w:p w14:paraId="0A5C032B">
            <w:pPr>
              <w:autoSpaceDE w:val="0"/>
              <w:autoSpaceDN w:val="0"/>
              <w:adjustRightInd w:val="0"/>
              <w:snapToGrid w:val="0"/>
              <w:rPr>
                <w:rFonts w:ascii="Arial Narrow" w:hAnsi="Arial Narrow" w:eastAsiaTheme="minorEastAsia"/>
                <w:szCs w:val="21"/>
              </w:rPr>
            </w:pPr>
            <w:r>
              <w:rPr>
                <w:rFonts w:ascii="Arial Narrow" w:hAnsi="Arial Narrow" w:eastAsiaTheme="minorEastAsia"/>
                <w:szCs w:val="21"/>
              </w:rPr>
              <w:t>其他资本公积</w:t>
            </w:r>
          </w:p>
        </w:tc>
        <w:tc>
          <w:tcPr>
            <w:tcW w:w="1697" w:type="pct"/>
            <w:shd w:val="clear" w:color="auto" w:fill="auto"/>
            <w:vAlign w:val="center"/>
          </w:tcPr>
          <w:p w14:paraId="06F24158">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81,168,459.22</w:t>
            </w:r>
          </w:p>
        </w:tc>
        <w:tc>
          <w:tcPr>
            <w:tcW w:w="1712" w:type="pct"/>
            <w:shd w:val="clear" w:color="auto" w:fill="auto"/>
            <w:vAlign w:val="center"/>
          </w:tcPr>
          <w:p w14:paraId="5354DE48">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81,168,459.22</w:t>
            </w:r>
          </w:p>
        </w:tc>
      </w:tr>
      <w:tr w14:paraId="7C59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591" w:type="pct"/>
            <w:vAlign w:val="center"/>
          </w:tcPr>
          <w:p w14:paraId="14661609">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697" w:type="pct"/>
            <w:vAlign w:val="center"/>
          </w:tcPr>
          <w:p w14:paraId="2B681ED4">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8,067,766,137.08</w:t>
            </w:r>
          </w:p>
        </w:tc>
        <w:tc>
          <w:tcPr>
            <w:tcW w:w="1712" w:type="pct"/>
            <w:vAlign w:val="center"/>
          </w:tcPr>
          <w:p w14:paraId="3AEB9FAC">
            <w:pPr>
              <w:autoSpaceDE w:val="0"/>
              <w:autoSpaceDN w:val="0"/>
              <w:adjustRightInd w:val="0"/>
              <w:snapToGrid w:val="0"/>
              <w:jc w:val="right"/>
              <w:rPr>
                <w:rFonts w:ascii="Arial Narrow" w:hAnsi="Arial Narrow" w:eastAsiaTheme="minorEastAsia"/>
                <w:szCs w:val="21"/>
              </w:rPr>
            </w:pPr>
            <w:r>
              <w:rPr>
                <w:rFonts w:ascii="Arial Narrow" w:hAnsi="Arial Narrow" w:eastAsiaTheme="minorEastAsia"/>
                <w:color w:val="000000"/>
                <w:sz w:val="22"/>
                <w:szCs w:val="22"/>
              </w:rPr>
              <w:t>8,067,766,137.08</w:t>
            </w:r>
          </w:p>
        </w:tc>
      </w:tr>
    </w:tbl>
    <w:p w14:paraId="0C7236C2">
      <w:pPr>
        <w:rPr>
          <w:rFonts w:hint="eastAsia"/>
          <w:szCs w:val="21"/>
        </w:rPr>
      </w:pPr>
      <w:r>
        <w:rPr>
          <w:rFonts w:hint="eastAsia"/>
          <w:szCs w:val="21"/>
        </w:rPr>
        <w:t>其他说明，包括本期增减变动情况、变动原因说明：</w:t>
      </w:r>
    </w:p>
    <w:p w14:paraId="14AB6E72">
      <w:pPr>
        <w:rPr>
          <w:rFonts w:hint="eastAsia"/>
          <w:szCs w:val="21"/>
        </w:rPr>
      </w:pPr>
      <w:sdt>
        <w:sdtPr>
          <w:rPr>
            <w:szCs w:val="21"/>
          </w:rPr>
          <w:alias w:val="资本公积说明"/>
          <w:tag w:val="_GBC_bd957b69783b49af88b2c285825bd0fc"/>
          <w:id w:val="-1368129114"/>
          <w:placeholder>
            <w:docPart w:val="GBC22222222222222222222222222222"/>
          </w:placeholder>
        </w:sdtPr>
        <w:sdtEndPr>
          <w:rPr>
            <w:szCs w:val="21"/>
          </w:rPr>
        </w:sdtEndPr>
        <w:sdtContent>
          <w:r>
            <w:rPr>
              <w:rFonts w:hint="eastAsia"/>
              <w:szCs w:val="21"/>
            </w:rPr>
            <w:t>无</w:t>
          </w:r>
        </w:sdtContent>
      </w:sdt>
    </w:p>
    <w:p w14:paraId="0FB8C736">
      <w:pPr>
        <w:rPr>
          <w:rFonts w:hint="eastAsia"/>
          <w:szCs w:val="21"/>
        </w:rPr>
      </w:pPr>
    </w:p>
    <w:p w14:paraId="3EBF1425">
      <w:pPr>
        <w:pStyle w:val="70"/>
        <w:numPr>
          <w:ilvl w:val="0"/>
          <w:numId w:val="109"/>
        </w:numPr>
        <w:rPr>
          <w:szCs w:val="21"/>
        </w:rPr>
      </w:pPr>
      <w:r>
        <w:rPr>
          <w:szCs w:val="21"/>
        </w:rPr>
        <w:t>库存股</w:t>
      </w:r>
    </w:p>
    <w:sdt>
      <w:sdtPr>
        <w:alias w:val="是否适用：库存股[双击切换]"/>
        <w:tag w:val="_GBC_8e4fbb6e216145d28e75f17bb16e2ed0"/>
        <w:id w:val="2004538380"/>
        <w:placeholder>
          <w:docPart w:val="GBC22222222222222222222222222222"/>
        </w:placeholder>
      </w:sdtPr>
      <w:sdtContent>
        <w:p w14:paraId="4374ABC1">
          <w:pPr>
            <w:rPr>
              <w:rFonts w:hint="eastAsia"/>
              <w:b/>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B7BE5D5">
      <w:pPr>
        <w:rPr>
          <w:rFonts w:hint="eastAsia"/>
          <w:b/>
          <w:szCs w:val="21"/>
        </w:rPr>
      </w:pPr>
    </w:p>
    <w:p w14:paraId="5A79F4D9">
      <w:pPr>
        <w:rPr>
          <w:rFonts w:hint="eastAsia"/>
          <w:szCs w:val="21"/>
        </w:rPr>
        <w:sectPr>
          <w:pgSz w:w="11906" w:h="16838"/>
          <w:pgMar w:top="1440" w:right="1797" w:bottom="1525" w:left="1276" w:header="856" w:footer="992" w:gutter="0"/>
          <w:cols w:space="425" w:num="1"/>
          <w:docGrid w:linePitch="312" w:charSpace="0"/>
        </w:sectPr>
      </w:pPr>
    </w:p>
    <w:p w14:paraId="1B2CE3DD">
      <w:pPr>
        <w:rPr>
          <w:rFonts w:hint="eastAsia"/>
          <w:szCs w:val="21"/>
        </w:rPr>
      </w:pPr>
    </w:p>
    <w:p w14:paraId="242E53B4">
      <w:pPr>
        <w:pStyle w:val="70"/>
        <w:numPr>
          <w:ilvl w:val="0"/>
          <w:numId w:val="109"/>
        </w:numPr>
        <w:rPr>
          <w:szCs w:val="21"/>
        </w:rPr>
      </w:pPr>
      <w:bookmarkStart w:id="363" w:name="_Hlk10537776"/>
      <w:bookmarkEnd w:id="363"/>
      <w:bookmarkStart w:id="364" w:name="_Hlk24027351"/>
      <w:r>
        <w:rPr>
          <w:szCs w:val="21"/>
        </w:rPr>
        <w:t>其他综合收益</w:t>
      </w:r>
    </w:p>
    <w:sdt>
      <w:sdtPr>
        <w:alias w:val="是否适用：其他综合收益[双击切换]"/>
        <w:tag w:val="_GBC_60105f81909745c788232a2118ec8260"/>
        <w:id w:val="1099912470"/>
        <w:placeholder>
          <w:docPart w:val="GBC22222222222222222222222222222"/>
        </w:placeholder>
      </w:sdtPr>
      <w:sdtContent>
        <w:p w14:paraId="204DDFA2">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890904">
      <w:pPr>
        <w:jc w:val="right"/>
        <w:rPr>
          <w:rFonts w:hint="eastAsia"/>
          <w:szCs w:val="21"/>
        </w:rPr>
      </w:pPr>
      <w:r>
        <w:rPr>
          <w:rFonts w:hint="eastAsia"/>
          <w:szCs w:val="21"/>
        </w:rPr>
        <w:t>单位：</w:t>
      </w:r>
      <w:sdt>
        <w:sdtPr>
          <w:rPr>
            <w:rFonts w:hint="eastAsia"/>
            <w:szCs w:val="21"/>
          </w:rPr>
          <w:alias w:val="单位：财务附注：其他综合收益情况"/>
          <w:tag w:val="_GBC_e409bf7299734ac38578b7aeaafe4b22"/>
          <w:id w:val="-19946285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27d655d96e764a21a47eae18f25945dc"/>
          <w:id w:val="-11707095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0"/>
        <w:gridCol w:w="1920"/>
        <w:gridCol w:w="1920"/>
        <w:gridCol w:w="1921"/>
        <w:gridCol w:w="1921"/>
        <w:gridCol w:w="2018"/>
        <w:gridCol w:w="2243"/>
      </w:tblGrid>
      <w:tr w14:paraId="23C1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sdt>
          <w:sdtPr>
            <w:tag w:val="_PLD_b9ff3615ccfb4fb8b5b240bdfb50f58f"/>
            <w:id w:val="-606581467"/>
          </w:sdtPr>
          <w:sdtContent>
            <w:tc>
              <w:tcPr>
                <w:tcW w:w="692" w:type="pct"/>
                <w:vMerge w:val="restart"/>
                <w:shd w:val="clear" w:color="auto" w:fill="auto"/>
                <w:vAlign w:val="center"/>
              </w:tcPr>
              <w:p w14:paraId="5F5389EE">
                <w:pPr>
                  <w:jc w:val="center"/>
                  <w:rPr>
                    <w:rFonts w:hint="eastAsia"/>
                    <w:szCs w:val="21"/>
                  </w:rPr>
                </w:pPr>
                <w:r>
                  <w:rPr>
                    <w:rFonts w:hint="eastAsia"/>
                    <w:szCs w:val="21"/>
                  </w:rPr>
                  <w:t>项目</w:t>
                </w:r>
              </w:p>
            </w:tc>
          </w:sdtContent>
        </w:sdt>
        <w:sdt>
          <w:sdtPr>
            <w:tag w:val="_PLD_c452eb3cb7084e41ba725641dbad27ab"/>
            <w:id w:val="-805231177"/>
          </w:sdtPr>
          <w:sdtContent>
            <w:tc>
              <w:tcPr>
                <w:tcW w:w="692" w:type="pct"/>
                <w:vMerge w:val="restart"/>
                <w:shd w:val="clear" w:color="auto" w:fill="auto"/>
                <w:vAlign w:val="center"/>
              </w:tcPr>
              <w:p w14:paraId="22DF5F7B">
                <w:pPr>
                  <w:jc w:val="center"/>
                  <w:rPr>
                    <w:rFonts w:hint="eastAsia"/>
                    <w:szCs w:val="21"/>
                  </w:rPr>
                </w:pPr>
                <w:r>
                  <w:rPr>
                    <w:rFonts w:hint="eastAsia"/>
                    <w:szCs w:val="21"/>
                  </w:rPr>
                  <w:t>期初</w:t>
                </w:r>
              </w:p>
              <w:p w14:paraId="6E5EBA5D">
                <w:pPr>
                  <w:jc w:val="center"/>
                  <w:rPr>
                    <w:rFonts w:hint="eastAsia"/>
                    <w:szCs w:val="21"/>
                  </w:rPr>
                </w:pPr>
                <w:r>
                  <w:rPr>
                    <w:rFonts w:hint="eastAsia"/>
                    <w:szCs w:val="21"/>
                  </w:rPr>
                  <w:t>余额</w:t>
                </w:r>
              </w:p>
            </w:tc>
          </w:sdtContent>
        </w:sdt>
        <w:sdt>
          <w:sdtPr>
            <w:tag w:val="_PLD_c4c67158aa744717a253a7b51b99ed00"/>
            <w:id w:val="992524061"/>
          </w:sdtPr>
          <w:sdtContent>
            <w:tc>
              <w:tcPr>
                <w:tcW w:w="2806" w:type="pct"/>
                <w:gridSpan w:val="4"/>
                <w:shd w:val="clear" w:color="auto" w:fill="auto"/>
                <w:vAlign w:val="center"/>
              </w:tcPr>
              <w:p w14:paraId="432062F8">
                <w:pPr>
                  <w:jc w:val="center"/>
                  <w:rPr>
                    <w:rFonts w:hint="eastAsia"/>
                    <w:szCs w:val="21"/>
                  </w:rPr>
                </w:pPr>
                <w:r>
                  <w:rPr>
                    <w:rFonts w:hint="eastAsia"/>
                    <w:szCs w:val="21"/>
                  </w:rPr>
                  <w:t>本期发生金额</w:t>
                </w:r>
              </w:p>
            </w:tc>
          </w:sdtContent>
        </w:sdt>
        <w:sdt>
          <w:sdtPr>
            <w:tag w:val="_PLD_2fcdc30e089b48d0af01eff4e6c0c7ad"/>
            <w:id w:val="670535161"/>
          </w:sdtPr>
          <w:sdtContent>
            <w:tc>
              <w:tcPr>
                <w:tcW w:w="809" w:type="pct"/>
                <w:vMerge w:val="restart"/>
                <w:shd w:val="clear" w:color="auto" w:fill="auto"/>
                <w:vAlign w:val="center"/>
              </w:tcPr>
              <w:p w14:paraId="4C818E33">
                <w:pPr>
                  <w:jc w:val="center"/>
                  <w:rPr>
                    <w:rFonts w:hint="eastAsia"/>
                    <w:szCs w:val="21"/>
                  </w:rPr>
                </w:pPr>
                <w:r>
                  <w:rPr>
                    <w:rFonts w:hint="eastAsia"/>
                    <w:szCs w:val="21"/>
                  </w:rPr>
                  <w:t>期末</w:t>
                </w:r>
              </w:p>
              <w:p w14:paraId="213906A8">
                <w:pPr>
                  <w:jc w:val="center"/>
                  <w:rPr>
                    <w:rFonts w:hint="eastAsia"/>
                    <w:szCs w:val="21"/>
                  </w:rPr>
                </w:pPr>
                <w:r>
                  <w:rPr>
                    <w:rFonts w:hint="eastAsia"/>
                    <w:szCs w:val="21"/>
                  </w:rPr>
                  <w:t>余额</w:t>
                </w:r>
              </w:p>
            </w:tc>
          </w:sdtContent>
        </w:sdt>
      </w:tr>
      <w:tr w14:paraId="1A0C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Merge w:val="continue"/>
            <w:shd w:val="clear" w:color="auto" w:fill="auto"/>
            <w:vAlign w:val="center"/>
          </w:tcPr>
          <w:p w14:paraId="437B3EB0">
            <w:pPr>
              <w:jc w:val="center"/>
              <w:rPr>
                <w:rFonts w:hint="eastAsia"/>
                <w:szCs w:val="21"/>
              </w:rPr>
            </w:pPr>
          </w:p>
        </w:tc>
        <w:tc>
          <w:tcPr>
            <w:tcW w:w="692" w:type="pct"/>
            <w:vMerge w:val="continue"/>
            <w:shd w:val="clear" w:color="auto" w:fill="auto"/>
            <w:vAlign w:val="center"/>
          </w:tcPr>
          <w:p w14:paraId="6A20BC54">
            <w:pPr>
              <w:jc w:val="center"/>
              <w:rPr>
                <w:rFonts w:hint="eastAsia"/>
                <w:szCs w:val="21"/>
              </w:rPr>
            </w:pPr>
          </w:p>
        </w:tc>
        <w:sdt>
          <w:sdtPr>
            <w:tag w:val="_PLD_08b0381418824e1685e4223515aed1f1"/>
            <w:id w:val="-600340843"/>
          </w:sdtPr>
          <w:sdtContent>
            <w:tc>
              <w:tcPr>
                <w:tcW w:w="692" w:type="pct"/>
                <w:shd w:val="clear" w:color="auto" w:fill="auto"/>
                <w:vAlign w:val="center"/>
              </w:tcPr>
              <w:p w14:paraId="04E5CCEB">
                <w:pPr>
                  <w:jc w:val="center"/>
                  <w:rPr>
                    <w:rFonts w:hint="eastAsia"/>
                    <w:szCs w:val="21"/>
                  </w:rPr>
                </w:pPr>
                <w:r>
                  <w:rPr>
                    <w:rFonts w:hint="eastAsia"/>
                    <w:szCs w:val="21"/>
                  </w:rPr>
                  <w:t>本期所得税前发生额</w:t>
                </w:r>
              </w:p>
            </w:tc>
          </w:sdtContent>
        </w:sdt>
        <w:tc>
          <w:tcPr>
            <w:tcW w:w="693" w:type="pct"/>
            <w:vAlign w:val="center"/>
          </w:tcPr>
          <w:sdt>
            <w:sdtPr>
              <w:tag w:val="_PLD_a38fa46c72bd4d5dbd427d2107ab58cc"/>
              <w:id w:val="637304411"/>
            </w:sdtPr>
            <w:sdtContent>
              <w:p w14:paraId="7EF30425">
                <w:pPr>
                  <w:jc w:val="center"/>
                  <w:rPr>
                    <w:rFonts w:hint="eastAsia"/>
                  </w:rPr>
                </w:pPr>
                <w:r>
                  <w:rPr>
                    <w:rFonts w:hint="eastAsia"/>
                    <w:szCs w:val="21"/>
                  </w:rPr>
                  <w:t>减：前期计入其他综合收益当期转入留存收益</w:t>
                </w:r>
              </w:p>
            </w:sdtContent>
          </w:sdt>
        </w:tc>
        <w:sdt>
          <w:sdtPr>
            <w:tag w:val="_PLD_3aa0b45624ce4714ba49e23b657915b8"/>
            <w:id w:val="-790829067"/>
          </w:sdtPr>
          <w:sdtContent>
            <w:tc>
              <w:tcPr>
                <w:tcW w:w="693" w:type="pct"/>
                <w:shd w:val="clear" w:color="auto" w:fill="auto"/>
                <w:vAlign w:val="center"/>
              </w:tcPr>
              <w:p w14:paraId="4BF30929">
                <w:pPr>
                  <w:jc w:val="center"/>
                  <w:rPr>
                    <w:rFonts w:hint="eastAsia"/>
                    <w:szCs w:val="21"/>
                  </w:rPr>
                </w:pPr>
                <w:r>
                  <w:rPr>
                    <w:rFonts w:hint="eastAsia"/>
                    <w:szCs w:val="21"/>
                  </w:rPr>
                  <w:t>减：所得税费用</w:t>
                </w:r>
              </w:p>
            </w:tc>
          </w:sdtContent>
        </w:sdt>
        <w:sdt>
          <w:sdtPr>
            <w:tag w:val="_PLD_8b3cddc1172740f1a089204a9d0cbe76"/>
            <w:id w:val="296423356"/>
          </w:sdtPr>
          <w:sdtContent>
            <w:tc>
              <w:tcPr>
                <w:tcW w:w="727" w:type="pct"/>
                <w:shd w:val="clear" w:color="auto" w:fill="auto"/>
                <w:vAlign w:val="center"/>
              </w:tcPr>
              <w:p w14:paraId="45B33E57">
                <w:pPr>
                  <w:jc w:val="center"/>
                  <w:rPr>
                    <w:rFonts w:hint="eastAsia"/>
                    <w:szCs w:val="21"/>
                  </w:rPr>
                </w:pPr>
                <w:r>
                  <w:rPr>
                    <w:rFonts w:hint="eastAsia"/>
                    <w:szCs w:val="21"/>
                  </w:rPr>
                  <w:t>税后归属于母公司</w:t>
                </w:r>
              </w:p>
            </w:tc>
          </w:sdtContent>
        </w:sdt>
        <w:tc>
          <w:tcPr>
            <w:tcW w:w="809" w:type="pct"/>
            <w:vMerge w:val="continue"/>
            <w:shd w:val="clear" w:color="auto" w:fill="auto"/>
            <w:vAlign w:val="center"/>
          </w:tcPr>
          <w:p w14:paraId="086B5E49">
            <w:pPr>
              <w:jc w:val="center"/>
              <w:rPr>
                <w:rFonts w:hint="eastAsia"/>
                <w:szCs w:val="21"/>
              </w:rPr>
            </w:pPr>
          </w:p>
        </w:tc>
      </w:tr>
      <w:tr w14:paraId="00A3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7615DFAB">
            <w:pPr>
              <w:rPr>
                <w:rFonts w:hint="eastAsia"/>
                <w:szCs w:val="21"/>
              </w:rPr>
            </w:pPr>
            <w:r>
              <w:rPr>
                <w:rFonts w:hint="eastAsia"/>
                <w:szCs w:val="21"/>
              </w:rPr>
              <w:t>一、不能重分类进损益的其他综合收益</w:t>
            </w:r>
          </w:p>
        </w:tc>
        <w:tc>
          <w:tcPr>
            <w:tcW w:w="692" w:type="pct"/>
            <w:shd w:val="clear" w:color="auto" w:fill="auto"/>
            <w:vAlign w:val="center"/>
          </w:tcPr>
          <w:p w14:paraId="4032AC9D">
            <w:pPr>
              <w:jc w:val="right"/>
              <w:rPr>
                <w:rFonts w:hint="eastAsia"/>
                <w:szCs w:val="21"/>
              </w:rPr>
            </w:pPr>
            <w:r>
              <w:rPr>
                <w:rFonts w:ascii="Arial Narrow" w:hAnsi="Arial Narrow" w:eastAsia="等线"/>
                <w:color w:val="000000"/>
                <w:szCs w:val="22"/>
              </w:rPr>
              <w:t>-183,161,263.83</w:t>
            </w:r>
          </w:p>
        </w:tc>
        <w:tc>
          <w:tcPr>
            <w:tcW w:w="692" w:type="pct"/>
            <w:shd w:val="clear" w:color="auto" w:fill="auto"/>
            <w:vAlign w:val="center"/>
          </w:tcPr>
          <w:p w14:paraId="7314E8DC">
            <w:pPr>
              <w:jc w:val="right"/>
              <w:rPr>
                <w:rFonts w:hint="eastAsia"/>
                <w:szCs w:val="21"/>
              </w:rPr>
            </w:pPr>
            <w:r>
              <w:rPr>
                <w:rFonts w:ascii="Arial Narrow" w:hAnsi="Arial Narrow" w:eastAsia="等线"/>
                <w:color w:val="000000"/>
                <w:szCs w:val="22"/>
              </w:rPr>
              <w:t>-134,174,471.67</w:t>
            </w:r>
          </w:p>
        </w:tc>
        <w:tc>
          <w:tcPr>
            <w:tcW w:w="693" w:type="pct"/>
            <w:vAlign w:val="center"/>
          </w:tcPr>
          <w:p w14:paraId="04363A5C">
            <w:pPr>
              <w:jc w:val="right"/>
              <w:rPr>
                <w:rFonts w:hint="eastAsia"/>
                <w:szCs w:val="21"/>
              </w:rPr>
            </w:pPr>
            <w:r>
              <w:rPr>
                <w:rFonts w:ascii="Arial Narrow" w:hAnsi="Arial Narrow" w:eastAsia="等线"/>
                <w:color w:val="000000"/>
                <w:szCs w:val="22"/>
              </w:rPr>
              <w:t>-78,599.84</w:t>
            </w:r>
          </w:p>
        </w:tc>
        <w:tc>
          <w:tcPr>
            <w:tcW w:w="693" w:type="pct"/>
            <w:shd w:val="clear" w:color="auto" w:fill="auto"/>
            <w:vAlign w:val="center"/>
          </w:tcPr>
          <w:p w14:paraId="2F698768">
            <w:pPr>
              <w:jc w:val="right"/>
              <w:rPr>
                <w:rFonts w:hint="eastAsia"/>
                <w:szCs w:val="21"/>
              </w:rPr>
            </w:pPr>
            <w:r>
              <w:rPr>
                <w:rFonts w:ascii="Arial Narrow" w:hAnsi="Arial Narrow" w:eastAsia="等线"/>
                <w:color w:val="000000"/>
                <w:szCs w:val="22"/>
              </w:rPr>
              <w:t>-3,613,267.71</w:t>
            </w:r>
          </w:p>
        </w:tc>
        <w:tc>
          <w:tcPr>
            <w:tcW w:w="727" w:type="pct"/>
            <w:shd w:val="clear" w:color="auto" w:fill="auto"/>
            <w:vAlign w:val="center"/>
          </w:tcPr>
          <w:p w14:paraId="7E7C6C28">
            <w:pPr>
              <w:jc w:val="right"/>
              <w:rPr>
                <w:rFonts w:hint="eastAsia"/>
                <w:szCs w:val="21"/>
              </w:rPr>
            </w:pPr>
            <w:r>
              <w:rPr>
                <w:rFonts w:ascii="Arial Narrow" w:hAnsi="Arial Narrow" w:eastAsia="等线"/>
                <w:color w:val="000000"/>
                <w:szCs w:val="22"/>
              </w:rPr>
              <w:t>-130,482,604.12</w:t>
            </w:r>
          </w:p>
        </w:tc>
        <w:tc>
          <w:tcPr>
            <w:tcW w:w="809" w:type="pct"/>
            <w:shd w:val="clear" w:color="auto" w:fill="auto"/>
            <w:vAlign w:val="center"/>
          </w:tcPr>
          <w:p w14:paraId="064E3066">
            <w:pPr>
              <w:jc w:val="right"/>
              <w:rPr>
                <w:rFonts w:hint="eastAsia"/>
                <w:szCs w:val="21"/>
              </w:rPr>
            </w:pPr>
            <w:r>
              <w:rPr>
                <w:rFonts w:ascii="Arial Narrow" w:hAnsi="Arial Narrow" w:eastAsia="等线"/>
                <w:color w:val="000000"/>
                <w:szCs w:val="22"/>
              </w:rPr>
              <w:t>-313,643,867.95</w:t>
            </w:r>
          </w:p>
        </w:tc>
      </w:tr>
      <w:tr w14:paraId="54C6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16EF4172">
            <w:pPr>
              <w:rPr>
                <w:rFonts w:hint="eastAsia"/>
                <w:szCs w:val="21"/>
              </w:rPr>
            </w:pPr>
            <w:r>
              <w:rPr>
                <w:rFonts w:hint="eastAsia"/>
                <w:szCs w:val="21"/>
              </w:rPr>
              <w:t>其中：重新计量设定受益计划变动额</w:t>
            </w:r>
          </w:p>
        </w:tc>
        <w:tc>
          <w:tcPr>
            <w:tcW w:w="692" w:type="pct"/>
            <w:shd w:val="clear" w:color="auto" w:fill="auto"/>
            <w:vAlign w:val="center"/>
          </w:tcPr>
          <w:p w14:paraId="73AE6F2E">
            <w:pPr>
              <w:jc w:val="right"/>
              <w:rPr>
                <w:rFonts w:hint="eastAsia"/>
                <w:szCs w:val="21"/>
              </w:rPr>
            </w:pPr>
            <w:r>
              <w:rPr>
                <w:rFonts w:ascii="Arial Narrow" w:hAnsi="Arial Narrow" w:eastAsia="等线"/>
                <w:color w:val="000000"/>
                <w:szCs w:val="22"/>
              </w:rPr>
              <w:t>-68,700,076.42</w:t>
            </w:r>
          </w:p>
        </w:tc>
        <w:tc>
          <w:tcPr>
            <w:tcW w:w="692" w:type="pct"/>
            <w:shd w:val="clear" w:color="auto" w:fill="auto"/>
            <w:vAlign w:val="center"/>
          </w:tcPr>
          <w:p w14:paraId="05EC28F8">
            <w:pPr>
              <w:jc w:val="right"/>
              <w:rPr>
                <w:rFonts w:hint="eastAsia"/>
                <w:szCs w:val="21"/>
              </w:rPr>
            </w:pPr>
            <w:r>
              <w:rPr>
                <w:rFonts w:ascii="Arial Narrow" w:hAnsi="Arial Narrow" w:eastAsia="等线"/>
                <w:color w:val="000000"/>
                <w:szCs w:val="22"/>
              </w:rPr>
              <w:t>-22,551,440.90</w:t>
            </w:r>
          </w:p>
        </w:tc>
        <w:tc>
          <w:tcPr>
            <w:tcW w:w="693" w:type="pct"/>
            <w:vAlign w:val="center"/>
          </w:tcPr>
          <w:p w14:paraId="4FEC6784">
            <w:pPr>
              <w:jc w:val="right"/>
              <w:rPr>
                <w:rFonts w:hint="eastAsia"/>
                <w:szCs w:val="21"/>
              </w:rPr>
            </w:pPr>
          </w:p>
        </w:tc>
        <w:tc>
          <w:tcPr>
            <w:tcW w:w="693" w:type="pct"/>
            <w:shd w:val="clear" w:color="auto" w:fill="auto"/>
            <w:vAlign w:val="center"/>
          </w:tcPr>
          <w:p w14:paraId="3B4C2059">
            <w:pPr>
              <w:jc w:val="right"/>
              <w:rPr>
                <w:rFonts w:hint="eastAsia"/>
                <w:szCs w:val="21"/>
              </w:rPr>
            </w:pPr>
            <w:r>
              <w:rPr>
                <w:rFonts w:ascii="Arial Narrow" w:hAnsi="Arial Narrow" w:eastAsia="等线"/>
                <w:color w:val="000000"/>
                <w:szCs w:val="22"/>
              </w:rPr>
              <w:t>-3,607,618.20</w:t>
            </w:r>
          </w:p>
        </w:tc>
        <w:tc>
          <w:tcPr>
            <w:tcW w:w="727" w:type="pct"/>
            <w:shd w:val="clear" w:color="auto" w:fill="auto"/>
            <w:vAlign w:val="center"/>
          </w:tcPr>
          <w:p w14:paraId="7281D7A9">
            <w:pPr>
              <w:jc w:val="right"/>
              <w:rPr>
                <w:rFonts w:hint="eastAsia"/>
                <w:szCs w:val="21"/>
              </w:rPr>
            </w:pPr>
            <w:r>
              <w:rPr>
                <w:rFonts w:ascii="Arial Narrow" w:hAnsi="Arial Narrow" w:eastAsia="等线"/>
                <w:color w:val="000000"/>
                <w:szCs w:val="22"/>
              </w:rPr>
              <w:t>-18,943,822.70</w:t>
            </w:r>
          </w:p>
        </w:tc>
        <w:tc>
          <w:tcPr>
            <w:tcW w:w="809" w:type="pct"/>
            <w:shd w:val="clear" w:color="auto" w:fill="auto"/>
            <w:vAlign w:val="center"/>
          </w:tcPr>
          <w:p w14:paraId="7A3B6CB8">
            <w:pPr>
              <w:jc w:val="right"/>
              <w:rPr>
                <w:rFonts w:hint="eastAsia"/>
                <w:szCs w:val="21"/>
              </w:rPr>
            </w:pPr>
            <w:r>
              <w:rPr>
                <w:rFonts w:ascii="Arial Narrow" w:hAnsi="Arial Narrow" w:eastAsia="等线"/>
                <w:color w:val="000000"/>
                <w:szCs w:val="22"/>
              </w:rPr>
              <w:t>-87,643,899.12</w:t>
            </w:r>
          </w:p>
        </w:tc>
      </w:tr>
      <w:tr w14:paraId="7740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6B71C08D">
            <w:pPr>
              <w:ind w:firstLine="210" w:firstLineChars="100"/>
              <w:rPr>
                <w:rFonts w:hint="eastAsia"/>
              </w:rPr>
            </w:pPr>
            <w:r>
              <w:rPr>
                <w:rFonts w:hint="eastAsia"/>
              </w:rPr>
              <w:t>其他权益工具投资公允价值变动</w:t>
            </w:r>
          </w:p>
        </w:tc>
        <w:tc>
          <w:tcPr>
            <w:tcW w:w="692" w:type="pct"/>
            <w:shd w:val="clear" w:color="auto" w:fill="auto"/>
            <w:vAlign w:val="center"/>
          </w:tcPr>
          <w:p w14:paraId="05F4CB2D">
            <w:pPr>
              <w:jc w:val="right"/>
              <w:rPr>
                <w:rFonts w:hint="eastAsia"/>
              </w:rPr>
            </w:pPr>
            <w:r>
              <w:rPr>
                <w:rFonts w:ascii="Arial Narrow" w:hAnsi="Arial Narrow" w:eastAsia="等线"/>
                <w:color w:val="000000"/>
                <w:szCs w:val="22"/>
              </w:rPr>
              <w:t>-114,461,187.41</w:t>
            </w:r>
          </w:p>
        </w:tc>
        <w:tc>
          <w:tcPr>
            <w:tcW w:w="692" w:type="pct"/>
            <w:shd w:val="clear" w:color="auto" w:fill="auto"/>
            <w:vAlign w:val="center"/>
          </w:tcPr>
          <w:p w14:paraId="1B232AD5">
            <w:pPr>
              <w:jc w:val="right"/>
              <w:rPr>
                <w:rFonts w:hint="eastAsia"/>
                <w:szCs w:val="21"/>
              </w:rPr>
            </w:pPr>
            <w:r>
              <w:rPr>
                <w:rFonts w:ascii="Arial Narrow" w:hAnsi="Arial Narrow" w:eastAsia="等线"/>
                <w:color w:val="000000"/>
                <w:szCs w:val="22"/>
              </w:rPr>
              <w:t>-111,623,030.77</w:t>
            </w:r>
          </w:p>
        </w:tc>
        <w:tc>
          <w:tcPr>
            <w:tcW w:w="693" w:type="pct"/>
            <w:vAlign w:val="center"/>
          </w:tcPr>
          <w:p w14:paraId="2F2EEAAC">
            <w:pPr>
              <w:jc w:val="right"/>
              <w:rPr>
                <w:rFonts w:hint="eastAsia"/>
                <w:szCs w:val="21"/>
              </w:rPr>
            </w:pPr>
            <w:r>
              <w:rPr>
                <w:rFonts w:ascii="Arial Narrow" w:hAnsi="Arial Narrow" w:eastAsia="等线"/>
                <w:color w:val="000000"/>
                <w:szCs w:val="22"/>
              </w:rPr>
              <w:t>-78,599.84</w:t>
            </w:r>
          </w:p>
        </w:tc>
        <w:tc>
          <w:tcPr>
            <w:tcW w:w="693" w:type="pct"/>
            <w:shd w:val="clear" w:color="auto" w:fill="auto"/>
            <w:vAlign w:val="center"/>
          </w:tcPr>
          <w:p w14:paraId="35ED924A">
            <w:pPr>
              <w:jc w:val="right"/>
              <w:rPr>
                <w:rFonts w:hint="eastAsia"/>
                <w:szCs w:val="21"/>
              </w:rPr>
            </w:pPr>
            <w:r>
              <w:rPr>
                <w:rFonts w:ascii="Arial Narrow" w:hAnsi="Arial Narrow" w:eastAsia="等线"/>
                <w:color w:val="000000"/>
                <w:szCs w:val="22"/>
              </w:rPr>
              <w:t>-5,649.51</w:t>
            </w:r>
          </w:p>
        </w:tc>
        <w:tc>
          <w:tcPr>
            <w:tcW w:w="727" w:type="pct"/>
            <w:shd w:val="clear" w:color="auto" w:fill="auto"/>
            <w:vAlign w:val="center"/>
          </w:tcPr>
          <w:p w14:paraId="7611F77F">
            <w:pPr>
              <w:jc w:val="right"/>
              <w:rPr>
                <w:rFonts w:hint="eastAsia"/>
                <w:szCs w:val="21"/>
              </w:rPr>
            </w:pPr>
            <w:r>
              <w:rPr>
                <w:rFonts w:ascii="Arial Narrow" w:hAnsi="Arial Narrow" w:eastAsia="等线"/>
                <w:color w:val="000000"/>
                <w:szCs w:val="22"/>
              </w:rPr>
              <w:t>-111,538,781.42</w:t>
            </w:r>
          </w:p>
        </w:tc>
        <w:tc>
          <w:tcPr>
            <w:tcW w:w="809" w:type="pct"/>
            <w:shd w:val="clear" w:color="auto" w:fill="auto"/>
            <w:vAlign w:val="center"/>
          </w:tcPr>
          <w:p w14:paraId="2A50C271">
            <w:pPr>
              <w:jc w:val="right"/>
              <w:rPr>
                <w:rFonts w:hint="eastAsia"/>
                <w:szCs w:val="21"/>
              </w:rPr>
            </w:pPr>
            <w:r>
              <w:rPr>
                <w:rFonts w:ascii="Arial Narrow" w:hAnsi="Arial Narrow" w:eastAsia="等线"/>
                <w:color w:val="000000"/>
                <w:szCs w:val="22"/>
              </w:rPr>
              <w:t>-225,999,968.83</w:t>
            </w:r>
          </w:p>
        </w:tc>
      </w:tr>
      <w:tr w14:paraId="3925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7514105D">
            <w:pPr>
              <w:rPr>
                <w:rFonts w:hint="eastAsia"/>
                <w:szCs w:val="21"/>
              </w:rPr>
            </w:pPr>
            <w:r>
              <w:rPr>
                <w:rFonts w:hint="eastAsia"/>
                <w:szCs w:val="21"/>
              </w:rPr>
              <w:t>二、将重分类进损益的其他综合收益</w:t>
            </w:r>
          </w:p>
        </w:tc>
        <w:tc>
          <w:tcPr>
            <w:tcW w:w="692" w:type="pct"/>
            <w:shd w:val="clear" w:color="auto" w:fill="auto"/>
            <w:vAlign w:val="center"/>
          </w:tcPr>
          <w:p w14:paraId="1DC4ABE9">
            <w:pPr>
              <w:jc w:val="right"/>
              <w:rPr>
                <w:rFonts w:hint="eastAsia"/>
                <w:szCs w:val="21"/>
              </w:rPr>
            </w:pPr>
            <w:r>
              <w:rPr>
                <w:rFonts w:ascii="Arial Narrow" w:hAnsi="Arial Narrow" w:eastAsia="等线"/>
                <w:color w:val="000000"/>
                <w:szCs w:val="22"/>
              </w:rPr>
              <w:t>-5,246,607.42</w:t>
            </w:r>
          </w:p>
        </w:tc>
        <w:tc>
          <w:tcPr>
            <w:tcW w:w="692" w:type="pct"/>
            <w:shd w:val="clear" w:color="auto" w:fill="auto"/>
            <w:vAlign w:val="center"/>
          </w:tcPr>
          <w:p w14:paraId="1D03C152">
            <w:pPr>
              <w:jc w:val="right"/>
              <w:rPr>
                <w:rFonts w:hint="eastAsia"/>
                <w:szCs w:val="21"/>
              </w:rPr>
            </w:pPr>
            <w:r>
              <w:rPr>
                <w:rFonts w:ascii="Arial Narrow" w:hAnsi="Arial Narrow" w:eastAsia="等线"/>
                <w:color w:val="000000"/>
                <w:szCs w:val="22"/>
              </w:rPr>
              <w:t>255,785.94</w:t>
            </w:r>
          </w:p>
        </w:tc>
        <w:tc>
          <w:tcPr>
            <w:tcW w:w="693" w:type="pct"/>
            <w:vAlign w:val="center"/>
          </w:tcPr>
          <w:p w14:paraId="341C18B1">
            <w:pPr>
              <w:jc w:val="right"/>
              <w:rPr>
                <w:rFonts w:hint="eastAsia"/>
                <w:szCs w:val="21"/>
              </w:rPr>
            </w:pPr>
          </w:p>
        </w:tc>
        <w:tc>
          <w:tcPr>
            <w:tcW w:w="693" w:type="pct"/>
            <w:shd w:val="clear" w:color="auto" w:fill="auto"/>
            <w:vAlign w:val="center"/>
          </w:tcPr>
          <w:p w14:paraId="34EC1718">
            <w:pPr>
              <w:jc w:val="right"/>
              <w:rPr>
                <w:rFonts w:hint="eastAsia"/>
                <w:szCs w:val="21"/>
              </w:rPr>
            </w:pPr>
          </w:p>
        </w:tc>
        <w:tc>
          <w:tcPr>
            <w:tcW w:w="727" w:type="pct"/>
            <w:shd w:val="clear" w:color="auto" w:fill="auto"/>
            <w:vAlign w:val="center"/>
          </w:tcPr>
          <w:p w14:paraId="603EB08F">
            <w:pPr>
              <w:jc w:val="right"/>
              <w:rPr>
                <w:rFonts w:hint="eastAsia"/>
                <w:szCs w:val="21"/>
              </w:rPr>
            </w:pPr>
            <w:r>
              <w:rPr>
                <w:rFonts w:ascii="Arial Narrow" w:hAnsi="Arial Narrow" w:eastAsia="等线"/>
                <w:color w:val="000000"/>
                <w:szCs w:val="22"/>
              </w:rPr>
              <w:t>255,785.94</w:t>
            </w:r>
          </w:p>
        </w:tc>
        <w:tc>
          <w:tcPr>
            <w:tcW w:w="809" w:type="pct"/>
            <w:shd w:val="clear" w:color="auto" w:fill="auto"/>
            <w:vAlign w:val="center"/>
          </w:tcPr>
          <w:p w14:paraId="60084AAB">
            <w:pPr>
              <w:jc w:val="right"/>
              <w:rPr>
                <w:rFonts w:hint="eastAsia"/>
                <w:szCs w:val="21"/>
              </w:rPr>
            </w:pPr>
            <w:r>
              <w:rPr>
                <w:rFonts w:ascii="Arial Narrow" w:hAnsi="Arial Narrow" w:eastAsia="等线"/>
                <w:color w:val="000000"/>
                <w:szCs w:val="22"/>
              </w:rPr>
              <w:t>-4,990,821.48</w:t>
            </w:r>
          </w:p>
        </w:tc>
      </w:tr>
      <w:tr w14:paraId="76CC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6C7EB8EC">
            <w:pPr>
              <w:ind w:firstLine="210" w:firstLineChars="100"/>
              <w:rPr>
                <w:rFonts w:hint="eastAsia"/>
                <w:szCs w:val="21"/>
              </w:rPr>
            </w:pPr>
            <w:r>
              <w:rPr>
                <w:rFonts w:hint="eastAsia"/>
                <w:szCs w:val="21"/>
              </w:rPr>
              <w:t>外币财务报表折算差额</w:t>
            </w:r>
          </w:p>
        </w:tc>
        <w:tc>
          <w:tcPr>
            <w:tcW w:w="692" w:type="pct"/>
            <w:shd w:val="clear" w:color="auto" w:fill="auto"/>
            <w:vAlign w:val="center"/>
          </w:tcPr>
          <w:p w14:paraId="548915A4">
            <w:pPr>
              <w:jc w:val="right"/>
              <w:rPr>
                <w:rFonts w:hint="eastAsia"/>
                <w:szCs w:val="21"/>
              </w:rPr>
            </w:pPr>
            <w:r>
              <w:rPr>
                <w:rFonts w:ascii="Arial Narrow" w:hAnsi="Arial Narrow" w:eastAsia="等线"/>
                <w:color w:val="000000"/>
                <w:szCs w:val="22"/>
              </w:rPr>
              <w:t>-5,246,607.42</w:t>
            </w:r>
          </w:p>
        </w:tc>
        <w:tc>
          <w:tcPr>
            <w:tcW w:w="692" w:type="pct"/>
            <w:shd w:val="clear" w:color="auto" w:fill="auto"/>
            <w:vAlign w:val="center"/>
          </w:tcPr>
          <w:p w14:paraId="2A10219A">
            <w:pPr>
              <w:jc w:val="right"/>
              <w:rPr>
                <w:rFonts w:hint="eastAsia"/>
                <w:szCs w:val="21"/>
              </w:rPr>
            </w:pPr>
            <w:r>
              <w:rPr>
                <w:rFonts w:ascii="Arial Narrow" w:hAnsi="Arial Narrow" w:eastAsia="等线"/>
                <w:color w:val="000000"/>
                <w:szCs w:val="22"/>
              </w:rPr>
              <w:t>255,785.94</w:t>
            </w:r>
          </w:p>
        </w:tc>
        <w:tc>
          <w:tcPr>
            <w:tcW w:w="693" w:type="pct"/>
            <w:vAlign w:val="center"/>
          </w:tcPr>
          <w:p w14:paraId="47E5CF6F">
            <w:pPr>
              <w:jc w:val="right"/>
              <w:rPr>
                <w:rFonts w:hint="eastAsia"/>
                <w:szCs w:val="21"/>
              </w:rPr>
            </w:pPr>
          </w:p>
        </w:tc>
        <w:tc>
          <w:tcPr>
            <w:tcW w:w="693" w:type="pct"/>
            <w:shd w:val="clear" w:color="auto" w:fill="auto"/>
            <w:vAlign w:val="center"/>
          </w:tcPr>
          <w:p w14:paraId="5653C1E5">
            <w:pPr>
              <w:jc w:val="right"/>
              <w:rPr>
                <w:rFonts w:hint="eastAsia"/>
                <w:szCs w:val="21"/>
              </w:rPr>
            </w:pPr>
          </w:p>
        </w:tc>
        <w:tc>
          <w:tcPr>
            <w:tcW w:w="727" w:type="pct"/>
            <w:shd w:val="clear" w:color="auto" w:fill="auto"/>
            <w:vAlign w:val="center"/>
          </w:tcPr>
          <w:p w14:paraId="66424F99">
            <w:pPr>
              <w:jc w:val="right"/>
              <w:rPr>
                <w:rFonts w:hint="eastAsia"/>
                <w:szCs w:val="21"/>
              </w:rPr>
            </w:pPr>
            <w:r>
              <w:rPr>
                <w:rFonts w:ascii="Arial Narrow" w:hAnsi="Arial Narrow" w:eastAsia="等线"/>
                <w:color w:val="000000"/>
                <w:szCs w:val="22"/>
              </w:rPr>
              <w:t>255,785.94</w:t>
            </w:r>
          </w:p>
        </w:tc>
        <w:tc>
          <w:tcPr>
            <w:tcW w:w="809" w:type="pct"/>
            <w:shd w:val="clear" w:color="auto" w:fill="auto"/>
            <w:vAlign w:val="center"/>
          </w:tcPr>
          <w:p w14:paraId="18F47F85">
            <w:pPr>
              <w:jc w:val="right"/>
              <w:rPr>
                <w:rFonts w:hint="eastAsia"/>
                <w:szCs w:val="21"/>
              </w:rPr>
            </w:pPr>
            <w:r>
              <w:rPr>
                <w:rFonts w:ascii="Arial Narrow" w:hAnsi="Arial Narrow" w:eastAsia="等线"/>
                <w:color w:val="000000"/>
                <w:szCs w:val="22"/>
              </w:rPr>
              <w:t>-4,990,821.48</w:t>
            </w:r>
          </w:p>
        </w:tc>
      </w:tr>
      <w:tr w14:paraId="2749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shd w:val="clear" w:color="auto" w:fill="auto"/>
            <w:vAlign w:val="center"/>
          </w:tcPr>
          <w:p w14:paraId="2972883D">
            <w:pPr>
              <w:rPr>
                <w:rFonts w:hint="eastAsia"/>
                <w:szCs w:val="21"/>
              </w:rPr>
            </w:pPr>
            <w:r>
              <w:rPr>
                <w:rFonts w:hint="eastAsia"/>
                <w:szCs w:val="21"/>
              </w:rPr>
              <w:t>其他综合收益合计</w:t>
            </w:r>
          </w:p>
        </w:tc>
        <w:tc>
          <w:tcPr>
            <w:tcW w:w="692" w:type="pct"/>
            <w:shd w:val="clear" w:color="auto" w:fill="auto"/>
            <w:vAlign w:val="center"/>
          </w:tcPr>
          <w:p w14:paraId="29E14D93">
            <w:pPr>
              <w:jc w:val="right"/>
              <w:rPr>
                <w:rFonts w:hint="eastAsia"/>
                <w:szCs w:val="21"/>
              </w:rPr>
            </w:pPr>
            <w:r>
              <w:rPr>
                <w:rFonts w:ascii="Arial Narrow" w:hAnsi="Arial Narrow" w:eastAsia="等线"/>
                <w:color w:val="000000"/>
                <w:szCs w:val="22"/>
              </w:rPr>
              <w:t>-188,407,871.25</w:t>
            </w:r>
          </w:p>
        </w:tc>
        <w:tc>
          <w:tcPr>
            <w:tcW w:w="692" w:type="pct"/>
            <w:shd w:val="clear" w:color="auto" w:fill="auto"/>
            <w:vAlign w:val="center"/>
          </w:tcPr>
          <w:p w14:paraId="4369C9D5">
            <w:pPr>
              <w:jc w:val="right"/>
              <w:rPr>
                <w:rFonts w:hint="eastAsia"/>
                <w:szCs w:val="21"/>
              </w:rPr>
            </w:pPr>
            <w:r>
              <w:rPr>
                <w:rFonts w:ascii="Arial Narrow" w:hAnsi="Arial Narrow" w:eastAsia="等线"/>
                <w:color w:val="000000"/>
                <w:szCs w:val="22"/>
              </w:rPr>
              <w:t>-133,918,685.73</w:t>
            </w:r>
          </w:p>
        </w:tc>
        <w:tc>
          <w:tcPr>
            <w:tcW w:w="693" w:type="pct"/>
            <w:vAlign w:val="center"/>
          </w:tcPr>
          <w:p w14:paraId="4C70CA84">
            <w:pPr>
              <w:jc w:val="right"/>
              <w:rPr>
                <w:rFonts w:hint="eastAsia"/>
                <w:szCs w:val="21"/>
              </w:rPr>
            </w:pPr>
            <w:r>
              <w:rPr>
                <w:rFonts w:ascii="Arial Narrow" w:hAnsi="Arial Narrow" w:eastAsia="等线"/>
                <w:color w:val="000000"/>
                <w:szCs w:val="22"/>
              </w:rPr>
              <w:t>-78,599.84</w:t>
            </w:r>
          </w:p>
        </w:tc>
        <w:tc>
          <w:tcPr>
            <w:tcW w:w="693" w:type="pct"/>
            <w:shd w:val="clear" w:color="auto" w:fill="auto"/>
            <w:vAlign w:val="center"/>
          </w:tcPr>
          <w:p w14:paraId="1E161780">
            <w:pPr>
              <w:jc w:val="right"/>
              <w:rPr>
                <w:rFonts w:hint="eastAsia"/>
                <w:szCs w:val="21"/>
              </w:rPr>
            </w:pPr>
            <w:r>
              <w:rPr>
                <w:rFonts w:ascii="Arial Narrow" w:hAnsi="Arial Narrow" w:eastAsia="等线"/>
                <w:color w:val="000000"/>
                <w:szCs w:val="22"/>
              </w:rPr>
              <w:t>-3,613,267.71</w:t>
            </w:r>
          </w:p>
        </w:tc>
        <w:tc>
          <w:tcPr>
            <w:tcW w:w="727" w:type="pct"/>
            <w:shd w:val="clear" w:color="auto" w:fill="auto"/>
            <w:vAlign w:val="center"/>
          </w:tcPr>
          <w:p w14:paraId="50905268">
            <w:pPr>
              <w:jc w:val="right"/>
              <w:rPr>
                <w:rFonts w:hint="eastAsia"/>
                <w:szCs w:val="21"/>
              </w:rPr>
            </w:pPr>
            <w:r>
              <w:rPr>
                <w:rFonts w:ascii="Arial Narrow" w:hAnsi="Arial Narrow" w:eastAsia="等线"/>
                <w:color w:val="000000"/>
                <w:szCs w:val="22"/>
              </w:rPr>
              <w:t>-130,226,818.18</w:t>
            </w:r>
          </w:p>
        </w:tc>
        <w:tc>
          <w:tcPr>
            <w:tcW w:w="809" w:type="pct"/>
            <w:shd w:val="clear" w:color="auto" w:fill="auto"/>
            <w:vAlign w:val="center"/>
          </w:tcPr>
          <w:p w14:paraId="4BB62F81">
            <w:pPr>
              <w:jc w:val="right"/>
              <w:rPr>
                <w:rFonts w:hint="eastAsia"/>
                <w:szCs w:val="21"/>
              </w:rPr>
            </w:pPr>
            <w:r>
              <w:rPr>
                <w:rFonts w:ascii="Arial Narrow" w:hAnsi="Arial Narrow" w:eastAsia="等线"/>
                <w:color w:val="000000"/>
                <w:szCs w:val="22"/>
              </w:rPr>
              <w:t>-318,634,689.43</w:t>
            </w:r>
          </w:p>
        </w:tc>
      </w:tr>
    </w:tbl>
    <w:p w14:paraId="41F15679">
      <w:pPr>
        <w:rPr>
          <w:rFonts w:hint="eastAsia"/>
        </w:rPr>
      </w:pPr>
    </w:p>
    <w:p w14:paraId="03F114B8">
      <w:pPr>
        <w:spacing w:before="60" w:after="60"/>
        <w:rPr>
          <w:rFonts w:hint="eastAsia"/>
          <w:b/>
          <w:szCs w:val="21"/>
        </w:rPr>
      </w:pPr>
      <w:r>
        <w:rPr>
          <w:rFonts w:hint="eastAsia"/>
          <w:szCs w:val="21"/>
        </w:rPr>
        <w:t>其他说明，包括对现金流量套期损益的有效部分转为被套期项目初始确认金额调整：</w:t>
      </w:r>
    </w:p>
    <w:sdt>
      <w:sdtPr>
        <w:rPr>
          <w:rFonts w:hint="eastAsia"/>
          <w:szCs w:val="21"/>
        </w:rPr>
        <w:alias w:val="综合收益情况"/>
        <w:tag w:val="_GBC_5d84d969b6cc4ff285c66258c1721a98"/>
        <w:id w:val="2072374475"/>
        <w:placeholder>
          <w:docPart w:val="GBC22222222222222222222222222222"/>
        </w:placeholder>
      </w:sdtPr>
      <w:sdtEndPr>
        <w:rPr>
          <w:rFonts w:hint="eastAsia"/>
          <w:szCs w:val="21"/>
        </w:rPr>
      </w:sdtEndPr>
      <w:sdtContent>
        <w:p w14:paraId="52B48081">
          <w:pPr>
            <w:rPr>
              <w:rFonts w:hint="eastAsia"/>
              <w:szCs w:val="21"/>
            </w:rPr>
          </w:pPr>
          <w:r>
            <w:rPr>
              <w:rFonts w:hint="eastAsia"/>
              <w:szCs w:val="21"/>
            </w:rPr>
            <w:t>无</w:t>
          </w:r>
        </w:p>
      </w:sdtContent>
    </w:sdt>
    <w:p w14:paraId="63AF4F6D">
      <w:pPr>
        <w:rPr>
          <w:rFonts w:hint="eastAsia"/>
          <w:szCs w:val="21"/>
        </w:rPr>
        <w:sectPr>
          <w:pgSz w:w="16838" w:h="11906" w:orient="landscape"/>
          <w:pgMar w:top="1276" w:right="1440" w:bottom="1797" w:left="1525" w:header="856" w:footer="992" w:gutter="0"/>
          <w:cols w:space="425" w:num="1"/>
          <w:docGrid w:linePitch="312" w:charSpace="0"/>
        </w:sectPr>
      </w:pPr>
    </w:p>
    <w:p w14:paraId="71B2AE66">
      <w:pPr>
        <w:rPr>
          <w:rFonts w:hint="eastAsia"/>
          <w:szCs w:val="21"/>
        </w:rPr>
      </w:pPr>
    </w:p>
    <w:bookmarkEnd w:id="364"/>
    <w:p w14:paraId="6ED98194">
      <w:pPr>
        <w:pStyle w:val="70"/>
        <w:numPr>
          <w:ilvl w:val="0"/>
          <w:numId w:val="109"/>
        </w:numPr>
        <w:rPr>
          <w:szCs w:val="21"/>
        </w:rPr>
      </w:pPr>
      <w:r>
        <w:rPr>
          <w:szCs w:val="21"/>
        </w:rPr>
        <w:t>专项储备</w:t>
      </w:r>
    </w:p>
    <w:sdt>
      <w:sdtPr>
        <w:alias w:val="是否适用：专项储备[双击切换]"/>
        <w:tag w:val="_GBC_0e2f337ccf9a4bc6919cf02a896e57c1"/>
        <w:id w:val="-1597858235"/>
        <w:placeholder>
          <w:docPart w:val="GBC22222222222222222222222222222"/>
        </w:placeholder>
      </w:sdtPr>
      <w:sdtContent>
        <w:p w14:paraId="294CF4CA">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B79791B">
      <w:pPr>
        <w:rPr>
          <w:rFonts w:hint="eastAsia"/>
          <w:szCs w:val="21"/>
        </w:rPr>
      </w:pPr>
    </w:p>
    <w:p w14:paraId="2D182028">
      <w:pPr>
        <w:pStyle w:val="70"/>
        <w:numPr>
          <w:ilvl w:val="0"/>
          <w:numId w:val="109"/>
        </w:numPr>
        <w:rPr>
          <w:szCs w:val="21"/>
        </w:rPr>
      </w:pPr>
      <w:r>
        <w:rPr>
          <w:szCs w:val="21"/>
        </w:rPr>
        <w:t>盈余公积</w:t>
      </w:r>
    </w:p>
    <w:sdt>
      <w:sdtPr>
        <w:alias w:val="是否适用：盈余公积[双击切换]"/>
        <w:tag w:val="_GBC_5a507b0ba3a44a2c828e4df049852353"/>
        <w:id w:val="258958412"/>
        <w:placeholder>
          <w:docPart w:val="GBC22222222222222222222222222222"/>
        </w:placeholder>
      </w:sdtPr>
      <w:sdtContent>
        <w:p w14:paraId="11965AE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02AF902">
      <w:pPr>
        <w:jc w:val="right"/>
        <w:rPr>
          <w:rFonts w:hint="eastAsia"/>
          <w:szCs w:val="21"/>
        </w:rPr>
      </w:pPr>
      <w:r>
        <w:rPr>
          <w:rFonts w:hint="eastAsia"/>
          <w:szCs w:val="21"/>
        </w:rPr>
        <w:t>单位：</w:t>
      </w:r>
      <w:sdt>
        <w:sdtPr>
          <w:rPr>
            <w:rFonts w:hint="eastAsia"/>
            <w:szCs w:val="21"/>
          </w:rPr>
          <w:alias w:val="单位：财务附注：盈余公积"/>
          <w:tag w:val="_GBC_8ca7c8f8d04e47ff92c33109bbf55576"/>
          <w:id w:val="501239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9011670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659"/>
        <w:gridCol w:w="1784"/>
        <w:gridCol w:w="1789"/>
        <w:gridCol w:w="1802"/>
        <w:gridCol w:w="1789"/>
      </w:tblGrid>
      <w:tr w14:paraId="65DF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ascii="Arial Narrow" w:hAnsi="Arial Narrow" w:eastAsiaTheme="minorEastAsia"/>
              <w:szCs w:val="21"/>
            </w:rPr>
            <w:tag w:val="_PLD_448cc13fae91499a9f41c6e4c1f51937"/>
            <w:id w:val="-802310415"/>
          </w:sdtPr>
          <w:sdtEndPr>
            <w:rPr>
              <w:rFonts w:ascii="Arial Narrow" w:hAnsi="Arial Narrow" w:eastAsiaTheme="minorEastAsia"/>
              <w:szCs w:val="21"/>
            </w:rPr>
          </w:sdtEndPr>
          <w:sdtContent>
            <w:tc>
              <w:tcPr>
                <w:tcW w:w="940" w:type="pct"/>
              </w:tcPr>
              <w:p w14:paraId="1B9FA370">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112a59f6ca7b4b5f8ced860f9465eb1a"/>
            <w:id w:val="-1587376797"/>
          </w:sdtPr>
          <w:sdtEndPr>
            <w:rPr>
              <w:rFonts w:ascii="Arial Narrow" w:hAnsi="Arial Narrow" w:eastAsiaTheme="minorEastAsia"/>
              <w:szCs w:val="21"/>
            </w:rPr>
          </w:sdtEndPr>
          <w:sdtContent>
            <w:tc>
              <w:tcPr>
                <w:tcW w:w="1011" w:type="pct"/>
              </w:tcPr>
              <w:p w14:paraId="564DADC4">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a2c4f4720dd7427b93c04e32666cfd69"/>
            <w:id w:val="1717700577"/>
          </w:sdtPr>
          <w:sdtEndPr>
            <w:rPr>
              <w:rFonts w:ascii="Arial Narrow" w:hAnsi="Arial Narrow" w:eastAsiaTheme="minorEastAsia"/>
              <w:szCs w:val="21"/>
            </w:rPr>
          </w:sdtEndPr>
          <w:sdtContent>
            <w:tc>
              <w:tcPr>
                <w:tcW w:w="1014" w:type="pct"/>
              </w:tcPr>
              <w:p w14:paraId="7D102D3D">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ad1876bb4d7c41eaa003da876ae9e601"/>
            <w:id w:val="-2072027211"/>
          </w:sdtPr>
          <w:sdtEndPr>
            <w:rPr>
              <w:rFonts w:ascii="Arial Narrow" w:hAnsi="Arial Narrow" w:eastAsiaTheme="minorEastAsia"/>
              <w:szCs w:val="21"/>
            </w:rPr>
          </w:sdtEndPr>
          <w:sdtContent>
            <w:tc>
              <w:tcPr>
                <w:tcW w:w="1021" w:type="pct"/>
              </w:tcPr>
              <w:p w14:paraId="70A472B8">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45d6cc2a2d2140619579c3f035df8d6a"/>
            <w:id w:val="186336736"/>
          </w:sdtPr>
          <w:sdtEndPr>
            <w:rPr>
              <w:rFonts w:ascii="Arial Narrow" w:hAnsi="Arial Narrow" w:eastAsiaTheme="minorEastAsia"/>
              <w:szCs w:val="21"/>
            </w:rPr>
          </w:sdtEndPr>
          <w:sdtContent>
            <w:tc>
              <w:tcPr>
                <w:tcW w:w="1014" w:type="pct"/>
              </w:tcPr>
              <w:p w14:paraId="6FD1FCE5">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729C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shd w:val="clear" w:color="auto" w:fill="auto"/>
            <w:vAlign w:val="center"/>
          </w:tcPr>
          <w:p w14:paraId="54F02376">
            <w:pPr>
              <w:autoSpaceDE w:val="0"/>
              <w:autoSpaceDN w:val="0"/>
              <w:adjustRightInd w:val="0"/>
              <w:snapToGrid w:val="0"/>
              <w:jc w:val="both"/>
              <w:rPr>
                <w:rFonts w:ascii="Arial Narrow" w:hAnsi="Arial Narrow" w:eastAsiaTheme="minorEastAsia"/>
                <w:szCs w:val="21"/>
              </w:rPr>
            </w:pPr>
            <w:r>
              <w:rPr>
                <w:rFonts w:ascii="Arial Narrow" w:hAnsi="Arial Narrow" w:eastAsiaTheme="minorEastAsia"/>
                <w:szCs w:val="21"/>
              </w:rPr>
              <w:t>法定盈余公积</w:t>
            </w:r>
          </w:p>
        </w:tc>
        <w:tc>
          <w:tcPr>
            <w:tcW w:w="1011" w:type="pct"/>
            <w:shd w:val="clear" w:color="auto" w:fill="auto"/>
            <w:vAlign w:val="center"/>
          </w:tcPr>
          <w:p w14:paraId="1B8D3631">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369,657,198.90</w:t>
            </w:r>
          </w:p>
        </w:tc>
        <w:tc>
          <w:tcPr>
            <w:tcW w:w="1014" w:type="pct"/>
            <w:shd w:val="clear" w:color="auto" w:fill="auto"/>
            <w:vAlign w:val="center"/>
          </w:tcPr>
          <w:p w14:paraId="1364C4DA">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20,224.92</w:t>
            </w:r>
          </w:p>
        </w:tc>
        <w:tc>
          <w:tcPr>
            <w:tcW w:w="1021" w:type="pct"/>
            <w:shd w:val="clear" w:color="auto" w:fill="auto"/>
            <w:vAlign w:val="center"/>
          </w:tcPr>
          <w:p w14:paraId="1BE0AAE0">
            <w:pPr>
              <w:autoSpaceDE w:val="0"/>
              <w:autoSpaceDN w:val="0"/>
              <w:adjustRightInd w:val="0"/>
              <w:snapToGrid w:val="0"/>
              <w:ind w:right="180"/>
              <w:jc w:val="right"/>
              <w:rPr>
                <w:rFonts w:ascii="Arial Narrow" w:hAnsi="Arial Narrow" w:eastAsiaTheme="minorEastAsia"/>
                <w:szCs w:val="21"/>
              </w:rPr>
            </w:pPr>
          </w:p>
        </w:tc>
        <w:tc>
          <w:tcPr>
            <w:tcW w:w="1014" w:type="pct"/>
            <w:shd w:val="clear" w:color="auto" w:fill="auto"/>
            <w:vAlign w:val="center"/>
          </w:tcPr>
          <w:p w14:paraId="15081863">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369,677,423.82</w:t>
            </w:r>
          </w:p>
        </w:tc>
      </w:tr>
      <w:tr w14:paraId="0826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tcPr>
          <w:p w14:paraId="39646865">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011" w:type="pct"/>
            <w:vAlign w:val="center"/>
          </w:tcPr>
          <w:p w14:paraId="5C05BA0A">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369,657,198.90</w:t>
            </w:r>
          </w:p>
        </w:tc>
        <w:tc>
          <w:tcPr>
            <w:tcW w:w="1014" w:type="pct"/>
            <w:vAlign w:val="center"/>
          </w:tcPr>
          <w:p w14:paraId="62BEF92F">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20,224.92</w:t>
            </w:r>
          </w:p>
        </w:tc>
        <w:tc>
          <w:tcPr>
            <w:tcW w:w="1021" w:type="pct"/>
            <w:vAlign w:val="center"/>
          </w:tcPr>
          <w:p w14:paraId="536A5AF6">
            <w:pPr>
              <w:autoSpaceDE w:val="0"/>
              <w:autoSpaceDN w:val="0"/>
              <w:adjustRightInd w:val="0"/>
              <w:snapToGrid w:val="0"/>
              <w:ind w:right="180"/>
              <w:jc w:val="right"/>
              <w:rPr>
                <w:rFonts w:ascii="Arial Narrow" w:hAnsi="Arial Narrow" w:eastAsiaTheme="minorEastAsia"/>
                <w:szCs w:val="21"/>
              </w:rPr>
            </w:pPr>
          </w:p>
        </w:tc>
        <w:tc>
          <w:tcPr>
            <w:tcW w:w="1014" w:type="pct"/>
            <w:vAlign w:val="center"/>
          </w:tcPr>
          <w:p w14:paraId="323075DF">
            <w:pPr>
              <w:autoSpaceDE w:val="0"/>
              <w:autoSpaceDN w:val="0"/>
              <w:adjustRightInd w:val="0"/>
              <w:snapToGrid w:val="0"/>
              <w:ind w:right="180"/>
              <w:jc w:val="right"/>
              <w:rPr>
                <w:rFonts w:ascii="Arial Narrow" w:hAnsi="Arial Narrow" w:eastAsiaTheme="minorEastAsia"/>
                <w:szCs w:val="21"/>
              </w:rPr>
            </w:pPr>
            <w:r>
              <w:rPr>
                <w:rFonts w:ascii="Arial Narrow" w:hAnsi="Arial Narrow" w:eastAsiaTheme="minorEastAsia"/>
                <w:color w:val="000000"/>
                <w:szCs w:val="21"/>
              </w:rPr>
              <w:t>369,677,423.82</w:t>
            </w:r>
          </w:p>
        </w:tc>
      </w:tr>
    </w:tbl>
    <w:p w14:paraId="4F8A3002">
      <w:pPr>
        <w:spacing w:before="60" w:after="60"/>
        <w:rPr>
          <w:rFonts w:hint="eastAsia"/>
          <w:szCs w:val="21"/>
        </w:rPr>
      </w:pPr>
      <w:r>
        <w:rPr>
          <w:rFonts w:hint="eastAsia"/>
          <w:szCs w:val="21"/>
        </w:rPr>
        <w:t>盈余公积说明，包括本期增减变动情况、变动原因说明：</w:t>
      </w:r>
    </w:p>
    <w:sdt>
      <w:sdtPr>
        <w:rPr>
          <w:szCs w:val="21"/>
        </w:rPr>
        <w:alias w:val="盈余公积说明"/>
        <w:tag w:val="_GBC_538b8c4ba55d480592f5f9485177617e"/>
        <w:id w:val="-149212932"/>
        <w:placeholder>
          <w:docPart w:val="GBC22222222222222222222222222222"/>
        </w:placeholder>
      </w:sdtPr>
      <w:sdtEndPr>
        <w:rPr>
          <w:szCs w:val="21"/>
        </w:rPr>
      </w:sdtEndPr>
      <w:sdtContent>
        <w:p w14:paraId="0360A3E8">
          <w:pPr>
            <w:autoSpaceDE w:val="0"/>
            <w:autoSpaceDN w:val="0"/>
            <w:adjustRightInd w:val="0"/>
            <w:rPr>
              <w:rFonts w:hint="eastAsia"/>
              <w:szCs w:val="21"/>
            </w:rPr>
          </w:pPr>
          <w:r>
            <w:rPr>
              <w:rFonts w:hint="eastAsia"/>
              <w:szCs w:val="21"/>
            </w:rPr>
            <w:t>无</w:t>
          </w:r>
        </w:p>
      </w:sdtContent>
    </w:sdt>
    <w:p w14:paraId="2D7CB354">
      <w:pPr>
        <w:autoSpaceDE w:val="0"/>
        <w:autoSpaceDN w:val="0"/>
        <w:adjustRightInd w:val="0"/>
        <w:rPr>
          <w:rFonts w:hint="eastAsia"/>
          <w:color w:val="000000" w:themeColor="text1"/>
          <w:szCs w:val="21"/>
          <w14:textFill>
            <w14:solidFill>
              <w14:schemeClr w14:val="tx1"/>
            </w14:solidFill>
          </w14:textFill>
        </w:rPr>
      </w:pPr>
    </w:p>
    <w:p w14:paraId="23F87243">
      <w:pPr>
        <w:pStyle w:val="70"/>
        <w:numPr>
          <w:ilvl w:val="0"/>
          <w:numId w:val="109"/>
        </w:numPr>
        <w:rPr>
          <w:szCs w:val="21"/>
        </w:rPr>
      </w:pPr>
      <w:r>
        <w:rPr>
          <w:szCs w:val="21"/>
        </w:rPr>
        <w:t>未分配利润</w:t>
      </w:r>
    </w:p>
    <w:p w14:paraId="0D443887">
      <w:pPr>
        <w:rPr>
          <w:rFonts w:hint="eastAsia"/>
        </w:rPr>
      </w:pPr>
      <w:sdt>
        <w:sdtPr>
          <w:alias w:val="是否适用：未分配利润[双击切换]"/>
          <w:tag w:val="_GBC_0ccb002da9b649db91afd1ca2a9330f8"/>
          <w:id w:val="-1973199266"/>
          <w:lock w:val="contentLocked"/>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0D3951C3">
      <w:pPr>
        <w:jc w:val="right"/>
        <w:rPr>
          <w:rFonts w:hint="eastAsia"/>
          <w:szCs w:val="21"/>
        </w:rPr>
      </w:pPr>
      <w:r>
        <w:rPr>
          <w:rFonts w:hint="eastAsia"/>
          <w:szCs w:val="21"/>
        </w:rPr>
        <w:t>单位：</w:t>
      </w:r>
      <w:sdt>
        <w:sdtPr>
          <w:rPr>
            <w:rFonts w:hint="eastAsia"/>
            <w:szCs w:val="21"/>
          </w:rPr>
          <w:alias w:val="单位：财务附注：未分配利润"/>
          <w:tag w:val="_GBC_fc12fabcd66949d39f6f74b747284465"/>
          <w:id w:val="-20654792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16149349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400"/>
        <w:gridCol w:w="2755"/>
        <w:gridCol w:w="2668"/>
      </w:tblGrid>
      <w:tr w14:paraId="64D7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0da0a90f08b46f090b6fee887a691bc"/>
            <w:id w:val="2040857352"/>
          </w:sdtPr>
          <w:sdtContent>
            <w:tc>
              <w:tcPr>
                <w:tcW w:w="1927" w:type="pct"/>
                <w:vAlign w:val="center"/>
              </w:tcPr>
              <w:p w14:paraId="6B025A96">
                <w:pPr>
                  <w:jc w:val="center"/>
                  <w:rPr>
                    <w:rFonts w:hint="eastAsia"/>
                    <w:szCs w:val="21"/>
                  </w:rPr>
                </w:pPr>
                <w:r>
                  <w:rPr>
                    <w:rFonts w:hint="eastAsia"/>
                    <w:szCs w:val="21"/>
                  </w:rPr>
                  <w:t>项目</w:t>
                </w:r>
              </w:p>
            </w:tc>
          </w:sdtContent>
        </w:sdt>
        <w:sdt>
          <w:sdtPr>
            <w:tag w:val="_PLD_27c0ff4064964dc5b9e335151d04b603"/>
            <w:id w:val="-1952858369"/>
          </w:sdtPr>
          <w:sdtContent>
            <w:tc>
              <w:tcPr>
                <w:tcW w:w="1561" w:type="pct"/>
                <w:vAlign w:val="center"/>
              </w:tcPr>
              <w:p w14:paraId="545A27E6">
                <w:pPr>
                  <w:jc w:val="center"/>
                  <w:rPr>
                    <w:rFonts w:hint="eastAsia"/>
                    <w:szCs w:val="21"/>
                  </w:rPr>
                </w:pPr>
                <w:r>
                  <w:rPr>
                    <w:rFonts w:hint="eastAsia"/>
                    <w:szCs w:val="21"/>
                  </w:rPr>
                  <w:t>本期</w:t>
                </w:r>
              </w:p>
            </w:tc>
          </w:sdtContent>
        </w:sdt>
        <w:sdt>
          <w:sdtPr>
            <w:tag w:val="_PLD_613460741a0147b7be8212812793694e"/>
            <w:id w:val="-1292890756"/>
          </w:sdtPr>
          <w:sdtContent>
            <w:tc>
              <w:tcPr>
                <w:tcW w:w="1512" w:type="pct"/>
                <w:vAlign w:val="center"/>
              </w:tcPr>
              <w:p w14:paraId="21B982B1">
                <w:pPr>
                  <w:jc w:val="center"/>
                  <w:rPr>
                    <w:rFonts w:hint="eastAsia"/>
                    <w:szCs w:val="21"/>
                  </w:rPr>
                </w:pPr>
                <w:r>
                  <w:rPr>
                    <w:rFonts w:hint="eastAsia"/>
                    <w:szCs w:val="21"/>
                  </w:rPr>
                  <w:t>上期</w:t>
                </w:r>
              </w:p>
            </w:tc>
          </w:sdtContent>
        </w:sdt>
      </w:tr>
      <w:tr w14:paraId="40A2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38C387FE">
            <w:pPr>
              <w:rPr>
                <w:rFonts w:hint="eastAsia"/>
                <w:szCs w:val="21"/>
              </w:rPr>
            </w:pPr>
            <w:r>
              <w:rPr>
                <w:rFonts w:hint="eastAsia"/>
                <w:szCs w:val="21"/>
              </w:rPr>
              <w:t>调整前上期末未分配利润</w:t>
            </w:r>
          </w:p>
        </w:tc>
        <w:tc>
          <w:tcPr>
            <w:tcW w:w="1561" w:type="pct"/>
            <w:vAlign w:val="center"/>
          </w:tcPr>
          <w:p w14:paraId="4044E29B">
            <w:pPr>
              <w:ind w:right="6"/>
              <w:jc w:val="right"/>
              <w:rPr>
                <w:rFonts w:hint="eastAsia"/>
                <w:szCs w:val="21"/>
              </w:rPr>
            </w:pPr>
            <w:r>
              <w:rPr>
                <w:rFonts w:ascii="Arial Narrow" w:hAnsi="Arial Narrow" w:eastAsia="等线"/>
                <w:color w:val="000000"/>
                <w:sz w:val="22"/>
                <w:szCs w:val="22"/>
              </w:rPr>
              <w:t>4,463,369,702.05</w:t>
            </w:r>
          </w:p>
        </w:tc>
        <w:tc>
          <w:tcPr>
            <w:tcW w:w="1512" w:type="pct"/>
            <w:vAlign w:val="center"/>
          </w:tcPr>
          <w:p w14:paraId="2DB62B27">
            <w:pPr>
              <w:jc w:val="right"/>
              <w:rPr>
                <w:rFonts w:hint="eastAsia"/>
                <w:szCs w:val="21"/>
              </w:rPr>
            </w:pPr>
            <w:r>
              <w:rPr>
                <w:rFonts w:ascii="Arial Narrow" w:hAnsi="Arial Narrow" w:eastAsia="等线"/>
                <w:color w:val="000000"/>
                <w:sz w:val="22"/>
                <w:szCs w:val="22"/>
              </w:rPr>
              <w:t>4,386,998,483.78</w:t>
            </w:r>
          </w:p>
        </w:tc>
      </w:tr>
      <w:tr w14:paraId="1F43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2E9C63C8">
            <w:pPr>
              <w:rPr>
                <w:rFonts w:hint="eastAsia"/>
                <w:szCs w:val="21"/>
              </w:rPr>
            </w:pPr>
            <w:r>
              <w:rPr>
                <w:rFonts w:hint="eastAsia"/>
                <w:szCs w:val="21"/>
              </w:rPr>
              <w:t>调整后期初未分配利润</w:t>
            </w:r>
          </w:p>
        </w:tc>
        <w:tc>
          <w:tcPr>
            <w:tcW w:w="1561" w:type="pct"/>
            <w:vAlign w:val="center"/>
          </w:tcPr>
          <w:p w14:paraId="40ACAB99">
            <w:pPr>
              <w:ind w:right="6"/>
              <w:jc w:val="right"/>
              <w:rPr>
                <w:rFonts w:hint="eastAsia"/>
                <w:szCs w:val="21"/>
              </w:rPr>
            </w:pPr>
            <w:r>
              <w:rPr>
                <w:rFonts w:ascii="Arial Narrow" w:hAnsi="Arial Narrow" w:eastAsia="等线"/>
                <w:color w:val="000000"/>
                <w:sz w:val="22"/>
                <w:szCs w:val="22"/>
              </w:rPr>
              <w:t>4,463,369,702.05</w:t>
            </w:r>
          </w:p>
        </w:tc>
        <w:tc>
          <w:tcPr>
            <w:tcW w:w="1512" w:type="pct"/>
            <w:vAlign w:val="center"/>
          </w:tcPr>
          <w:p w14:paraId="3B3FF269">
            <w:pPr>
              <w:ind w:right="6"/>
              <w:jc w:val="right"/>
              <w:rPr>
                <w:rFonts w:hint="eastAsia"/>
                <w:szCs w:val="21"/>
              </w:rPr>
            </w:pPr>
            <w:r>
              <w:rPr>
                <w:rFonts w:ascii="Arial Narrow" w:hAnsi="Arial Narrow" w:eastAsia="等线"/>
                <w:color w:val="000000"/>
                <w:sz w:val="22"/>
                <w:szCs w:val="22"/>
              </w:rPr>
              <w:t>4,386,998,483.78</w:t>
            </w:r>
          </w:p>
        </w:tc>
      </w:tr>
      <w:tr w14:paraId="6E0D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7AB4622C">
            <w:pPr>
              <w:ind w:right="6"/>
              <w:rPr>
                <w:rFonts w:hint="eastAsia"/>
                <w:szCs w:val="21"/>
              </w:rPr>
            </w:pPr>
            <w:r>
              <w:rPr>
                <w:rFonts w:hint="eastAsia"/>
                <w:szCs w:val="21"/>
              </w:rPr>
              <w:t>加：本期归属于母公司所有者的净利润</w:t>
            </w:r>
          </w:p>
        </w:tc>
        <w:tc>
          <w:tcPr>
            <w:tcW w:w="1561" w:type="pct"/>
            <w:vAlign w:val="center"/>
          </w:tcPr>
          <w:p w14:paraId="75273C26">
            <w:pPr>
              <w:ind w:right="6"/>
              <w:jc w:val="right"/>
              <w:rPr>
                <w:rFonts w:hint="eastAsia"/>
                <w:szCs w:val="21"/>
              </w:rPr>
            </w:pPr>
            <w:r>
              <w:rPr>
                <w:rFonts w:ascii="Arial Narrow" w:hAnsi="Arial Narrow" w:eastAsia="等线"/>
                <w:color w:val="000000"/>
                <w:sz w:val="22"/>
                <w:szCs w:val="22"/>
              </w:rPr>
              <w:t>-4,228,257,792.02</w:t>
            </w:r>
          </w:p>
        </w:tc>
        <w:tc>
          <w:tcPr>
            <w:tcW w:w="1512" w:type="pct"/>
            <w:vAlign w:val="center"/>
          </w:tcPr>
          <w:p w14:paraId="7D3B7BE8">
            <w:pPr>
              <w:ind w:right="6"/>
              <w:jc w:val="right"/>
              <w:rPr>
                <w:rFonts w:hint="eastAsia"/>
                <w:szCs w:val="21"/>
              </w:rPr>
            </w:pPr>
            <w:r>
              <w:rPr>
                <w:rFonts w:ascii="Arial Narrow" w:hAnsi="Arial Narrow" w:eastAsia="等线"/>
                <w:color w:val="000000"/>
                <w:sz w:val="22"/>
                <w:szCs w:val="22"/>
              </w:rPr>
              <w:t>182,339,091.93</w:t>
            </w:r>
          </w:p>
        </w:tc>
      </w:tr>
      <w:tr w14:paraId="3259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135F4174">
            <w:pPr>
              <w:autoSpaceDE w:val="0"/>
              <w:autoSpaceDN w:val="0"/>
              <w:adjustRightInd w:val="0"/>
              <w:rPr>
                <w:rFonts w:hint="eastAsia"/>
                <w:szCs w:val="21"/>
              </w:rPr>
            </w:pPr>
            <w:r>
              <w:rPr>
                <w:rFonts w:hint="eastAsia"/>
                <w:szCs w:val="21"/>
              </w:rPr>
              <w:t>减：提取法定盈余公积</w:t>
            </w:r>
          </w:p>
        </w:tc>
        <w:tc>
          <w:tcPr>
            <w:tcW w:w="1561" w:type="pct"/>
            <w:vAlign w:val="center"/>
          </w:tcPr>
          <w:p w14:paraId="485EC5CC">
            <w:pPr>
              <w:jc w:val="right"/>
              <w:rPr>
                <w:rFonts w:hint="eastAsia"/>
                <w:szCs w:val="21"/>
              </w:rPr>
            </w:pPr>
            <w:r>
              <w:rPr>
                <w:rFonts w:ascii="Arial Narrow" w:hAnsi="Arial Narrow" w:eastAsia="等线"/>
                <w:color w:val="000000"/>
                <w:sz w:val="22"/>
                <w:szCs w:val="22"/>
              </w:rPr>
              <w:t>20,224.92</w:t>
            </w:r>
          </w:p>
        </w:tc>
        <w:tc>
          <w:tcPr>
            <w:tcW w:w="1512" w:type="pct"/>
            <w:vAlign w:val="center"/>
          </w:tcPr>
          <w:p w14:paraId="76D707F6">
            <w:pPr>
              <w:ind w:right="6"/>
              <w:jc w:val="right"/>
              <w:rPr>
                <w:rFonts w:hint="eastAsia"/>
                <w:szCs w:val="21"/>
              </w:rPr>
            </w:pPr>
            <w:r>
              <w:rPr>
                <w:rFonts w:ascii="Arial Narrow" w:hAnsi="Arial Narrow" w:eastAsia="等线"/>
                <w:color w:val="000000"/>
                <w:sz w:val="22"/>
                <w:szCs w:val="22"/>
              </w:rPr>
              <w:t>8,390,131.06</w:t>
            </w:r>
          </w:p>
        </w:tc>
      </w:tr>
      <w:tr w14:paraId="04CC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30590569">
            <w:pPr>
              <w:autoSpaceDE w:val="0"/>
              <w:autoSpaceDN w:val="0"/>
              <w:adjustRightInd w:val="0"/>
              <w:ind w:firstLine="420"/>
              <w:rPr>
                <w:rFonts w:hint="eastAsia"/>
                <w:szCs w:val="21"/>
              </w:rPr>
            </w:pPr>
            <w:r>
              <w:rPr>
                <w:rFonts w:hint="eastAsia"/>
                <w:szCs w:val="21"/>
              </w:rPr>
              <w:t>应付普通股股利</w:t>
            </w:r>
          </w:p>
        </w:tc>
        <w:tc>
          <w:tcPr>
            <w:tcW w:w="1561" w:type="pct"/>
            <w:vAlign w:val="center"/>
          </w:tcPr>
          <w:p w14:paraId="623150F4">
            <w:pPr>
              <w:jc w:val="right"/>
              <w:rPr>
                <w:rFonts w:hint="eastAsia"/>
                <w:szCs w:val="21"/>
              </w:rPr>
            </w:pPr>
            <w:r>
              <w:rPr>
                <w:rFonts w:ascii="Arial Narrow" w:hAnsi="Arial Narrow" w:eastAsia="等线"/>
                <w:color w:val="000000"/>
                <w:sz w:val="22"/>
                <w:szCs w:val="22"/>
              </w:rPr>
              <w:t>131,748,882.12</w:t>
            </w:r>
          </w:p>
        </w:tc>
        <w:tc>
          <w:tcPr>
            <w:tcW w:w="1512" w:type="pct"/>
            <w:vAlign w:val="center"/>
          </w:tcPr>
          <w:p w14:paraId="18FB893E">
            <w:pPr>
              <w:ind w:right="6"/>
              <w:jc w:val="right"/>
              <w:rPr>
                <w:rFonts w:hint="eastAsia"/>
                <w:szCs w:val="21"/>
              </w:rPr>
            </w:pPr>
            <w:r>
              <w:rPr>
                <w:rFonts w:ascii="Arial Narrow" w:hAnsi="Arial Narrow" w:eastAsia="等线"/>
                <w:color w:val="000000"/>
                <w:sz w:val="22"/>
                <w:szCs w:val="22"/>
              </w:rPr>
              <w:t>131,748,882.12</w:t>
            </w:r>
          </w:p>
        </w:tc>
      </w:tr>
      <w:tr w14:paraId="6931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bottom"/>
          </w:tcPr>
          <w:p w14:paraId="2895730C">
            <w:pPr>
              <w:autoSpaceDE w:val="0"/>
              <w:autoSpaceDN w:val="0"/>
              <w:adjustRightInd w:val="0"/>
              <w:rPr>
                <w:rFonts w:hint="eastAsia"/>
                <w:color w:val="000000"/>
                <w:szCs w:val="21"/>
              </w:rPr>
            </w:pPr>
            <w:r>
              <w:rPr>
                <w:color w:val="000000"/>
                <w:szCs w:val="21"/>
              </w:rPr>
              <w:t>其他综合收益结转留存收益</w:t>
            </w:r>
          </w:p>
        </w:tc>
        <w:tc>
          <w:tcPr>
            <w:tcW w:w="1561" w:type="pct"/>
            <w:vAlign w:val="center"/>
          </w:tcPr>
          <w:p w14:paraId="086B69C1">
            <w:pPr>
              <w:ind w:right="6"/>
              <w:jc w:val="right"/>
              <w:rPr>
                <w:rFonts w:ascii="Arial Narrow" w:hAnsi="Arial Narrow" w:eastAsia="等线"/>
                <w:color w:val="000000"/>
                <w:sz w:val="22"/>
                <w:szCs w:val="22"/>
              </w:rPr>
            </w:pPr>
            <w:r>
              <w:rPr>
                <w:rFonts w:ascii="Arial Narrow" w:hAnsi="Arial Narrow" w:eastAsia="等线"/>
                <w:color w:val="000000"/>
                <w:sz w:val="22"/>
                <w:szCs w:val="22"/>
              </w:rPr>
              <w:t>-78,599.84</w:t>
            </w:r>
          </w:p>
        </w:tc>
        <w:tc>
          <w:tcPr>
            <w:tcW w:w="1512" w:type="pct"/>
            <w:vAlign w:val="center"/>
          </w:tcPr>
          <w:p w14:paraId="1BC4D527">
            <w:pPr>
              <w:ind w:right="6"/>
              <w:jc w:val="right"/>
              <w:rPr>
                <w:rFonts w:ascii="Arial Narrow" w:hAnsi="Arial Narrow" w:eastAsia="等线"/>
                <w:color w:val="000000"/>
                <w:sz w:val="22"/>
                <w:szCs w:val="22"/>
              </w:rPr>
            </w:pPr>
            <w:r>
              <w:rPr>
                <w:rFonts w:ascii="Arial Narrow" w:hAnsi="Arial Narrow" w:eastAsia="等线"/>
                <w:color w:val="000000"/>
                <w:sz w:val="22"/>
                <w:szCs w:val="22"/>
              </w:rPr>
              <w:t>25,538,196.45</w:t>
            </w:r>
          </w:p>
        </w:tc>
      </w:tr>
      <w:tr w14:paraId="4C4F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tcPr>
          <w:p w14:paraId="4CC4CCAF">
            <w:pPr>
              <w:autoSpaceDE w:val="0"/>
              <w:autoSpaceDN w:val="0"/>
              <w:adjustRightInd w:val="0"/>
              <w:rPr>
                <w:rFonts w:hint="eastAsia"/>
                <w:szCs w:val="21"/>
              </w:rPr>
            </w:pPr>
            <w:r>
              <w:rPr>
                <w:rFonts w:hint="eastAsia"/>
                <w:color w:val="000000"/>
                <w:szCs w:val="21"/>
              </w:rPr>
              <w:t>所有者权益其他内部结转</w:t>
            </w:r>
          </w:p>
        </w:tc>
        <w:tc>
          <w:tcPr>
            <w:tcW w:w="1561" w:type="pct"/>
            <w:vAlign w:val="center"/>
          </w:tcPr>
          <w:p w14:paraId="34ED4059">
            <w:pPr>
              <w:ind w:right="6"/>
              <w:jc w:val="right"/>
              <w:rPr>
                <w:rFonts w:hint="eastAsia"/>
                <w:szCs w:val="21"/>
              </w:rPr>
            </w:pPr>
          </w:p>
        </w:tc>
        <w:tc>
          <w:tcPr>
            <w:tcW w:w="1512" w:type="pct"/>
            <w:vAlign w:val="center"/>
          </w:tcPr>
          <w:p w14:paraId="0CCA69F5">
            <w:pPr>
              <w:ind w:right="6"/>
              <w:jc w:val="right"/>
              <w:rPr>
                <w:rFonts w:hint="eastAsia"/>
                <w:szCs w:val="21"/>
              </w:rPr>
            </w:pPr>
            <w:r>
              <w:rPr>
                <w:rFonts w:ascii="Arial Narrow" w:hAnsi="Arial Narrow" w:eastAsia="等线"/>
                <w:color w:val="000000"/>
                <w:sz w:val="22"/>
                <w:szCs w:val="22"/>
              </w:rPr>
              <w:t>433,756.29</w:t>
            </w:r>
          </w:p>
        </w:tc>
      </w:tr>
      <w:tr w14:paraId="4FE6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tcPr>
          <w:p w14:paraId="2196C67F">
            <w:pPr>
              <w:autoSpaceDE w:val="0"/>
              <w:autoSpaceDN w:val="0"/>
              <w:adjustRightInd w:val="0"/>
              <w:rPr>
                <w:rFonts w:hint="eastAsia"/>
                <w:szCs w:val="21"/>
              </w:rPr>
            </w:pPr>
            <w:r>
              <w:rPr>
                <w:rFonts w:hint="eastAsia"/>
                <w:color w:val="000000"/>
                <w:szCs w:val="21"/>
              </w:rPr>
              <w:t>其他</w:t>
            </w:r>
          </w:p>
        </w:tc>
        <w:tc>
          <w:tcPr>
            <w:tcW w:w="1561" w:type="pct"/>
            <w:vAlign w:val="center"/>
          </w:tcPr>
          <w:p w14:paraId="3049CBA2">
            <w:pPr>
              <w:ind w:right="6"/>
              <w:jc w:val="right"/>
              <w:rPr>
                <w:rFonts w:hint="eastAsia"/>
                <w:szCs w:val="21"/>
              </w:rPr>
            </w:pPr>
            <w:r>
              <w:rPr>
                <w:rFonts w:ascii="Arial Narrow" w:hAnsi="Arial Narrow" w:eastAsia="等线"/>
                <w:color w:val="000000"/>
                <w:sz w:val="22"/>
                <w:szCs w:val="22"/>
              </w:rPr>
              <w:t>-13,870.56</w:t>
            </w:r>
          </w:p>
        </w:tc>
        <w:tc>
          <w:tcPr>
            <w:tcW w:w="1512" w:type="pct"/>
            <w:vAlign w:val="center"/>
          </w:tcPr>
          <w:p w14:paraId="1A15C2FF">
            <w:pPr>
              <w:ind w:right="6"/>
              <w:jc w:val="right"/>
              <w:rPr>
                <w:rFonts w:hint="eastAsia"/>
                <w:szCs w:val="21"/>
              </w:rPr>
            </w:pPr>
            <w:r>
              <w:rPr>
                <w:rFonts w:ascii="Arial Narrow" w:hAnsi="Arial Narrow" w:eastAsia="等线"/>
                <w:color w:val="000000"/>
                <w:sz w:val="22"/>
                <w:szCs w:val="22"/>
              </w:rPr>
              <w:t>8,199,186.78</w:t>
            </w:r>
          </w:p>
        </w:tc>
      </w:tr>
      <w:tr w14:paraId="3E31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927" w:type="pct"/>
            <w:vAlign w:val="center"/>
          </w:tcPr>
          <w:p w14:paraId="55DD6FB9">
            <w:pPr>
              <w:autoSpaceDE w:val="0"/>
              <w:autoSpaceDN w:val="0"/>
              <w:adjustRightInd w:val="0"/>
              <w:rPr>
                <w:rFonts w:hint="eastAsia"/>
                <w:szCs w:val="21"/>
              </w:rPr>
            </w:pPr>
            <w:r>
              <w:rPr>
                <w:rFonts w:hint="eastAsia"/>
                <w:szCs w:val="21"/>
              </w:rPr>
              <w:t>期末未分配利润</w:t>
            </w:r>
          </w:p>
        </w:tc>
        <w:tc>
          <w:tcPr>
            <w:tcW w:w="1561" w:type="pct"/>
            <w:vAlign w:val="center"/>
          </w:tcPr>
          <w:p w14:paraId="2B13E466">
            <w:pPr>
              <w:jc w:val="right"/>
              <w:rPr>
                <w:rFonts w:hint="eastAsia"/>
                <w:szCs w:val="21"/>
              </w:rPr>
            </w:pPr>
            <w:r>
              <w:rPr>
                <w:rFonts w:ascii="Arial Narrow" w:hAnsi="Arial Narrow" w:eastAsia="等线"/>
                <w:color w:val="000000"/>
                <w:sz w:val="22"/>
                <w:szCs w:val="22"/>
              </w:rPr>
              <w:t>103,250,332.59</w:t>
            </w:r>
          </w:p>
        </w:tc>
        <w:tc>
          <w:tcPr>
            <w:tcW w:w="1512" w:type="pct"/>
            <w:vAlign w:val="center"/>
          </w:tcPr>
          <w:p w14:paraId="352DEEE1">
            <w:pPr>
              <w:ind w:right="6"/>
              <w:jc w:val="right"/>
              <w:rPr>
                <w:rFonts w:hint="eastAsia"/>
                <w:szCs w:val="21"/>
              </w:rPr>
            </w:pPr>
            <w:r>
              <w:rPr>
                <w:rFonts w:ascii="Arial Narrow" w:hAnsi="Arial Narrow" w:eastAsia="等线"/>
                <w:color w:val="000000"/>
                <w:sz w:val="22"/>
                <w:szCs w:val="22"/>
              </w:rPr>
              <w:t>4,463,369,702.05</w:t>
            </w:r>
          </w:p>
        </w:tc>
      </w:tr>
    </w:tbl>
    <w:p w14:paraId="1C9F3560">
      <w:pPr>
        <w:spacing w:before="60" w:after="6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调整期初未分配利润明细：</w:t>
      </w:r>
    </w:p>
    <w:p w14:paraId="22CF7061">
      <w:pPr>
        <w:rPr>
          <w:rFonts w:hint="eastAsia"/>
          <w:szCs w:val="21"/>
        </w:rPr>
      </w:pPr>
      <w:r>
        <w:rPr>
          <w:rFonts w:hint="eastAsia"/>
          <w:szCs w:val="21"/>
        </w:rPr>
        <w:t>1、由于《企业会计准则》及其相关新规定进行追溯调整，影响期初未分配利润</w:t>
      </w:r>
      <w:sdt>
        <w:sdtPr>
          <w:rPr>
            <w:rFonts w:hint="eastAsia"/>
            <w:szCs w:val="21"/>
          </w:rPr>
          <w:alias w:val="依据《企业会计准则》及其相关规定进行追溯调整影响年初未分配利润合计"/>
          <w:tag w:val="_GBC_1fcb28b764eb43c48b913d5e107ed4eb"/>
          <w:id w:val="-2042886836"/>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w:t>
      </w:r>
    </w:p>
    <w:p w14:paraId="0B16FE2D">
      <w:pPr>
        <w:rPr>
          <w:rFonts w:hint="eastAsia"/>
          <w:szCs w:val="21"/>
        </w:rPr>
      </w:pPr>
      <w:r>
        <w:rPr>
          <w:rFonts w:hint="eastAsia"/>
          <w:szCs w:val="21"/>
        </w:rPr>
        <w:t>2、由于会计政策变更，影响期初未分配利润</w:t>
      </w:r>
      <w:sdt>
        <w:sdtPr>
          <w:rPr>
            <w:rFonts w:hint="eastAsia"/>
            <w:szCs w:val="21"/>
          </w:rPr>
          <w:alias w:val="由于会计政策变更影响年初未分配利润"/>
          <w:tag w:val="_GBC_0f2691a265a44dd08d91157d1df0cf3f"/>
          <w:id w:val="2080941073"/>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w:t>
      </w:r>
    </w:p>
    <w:p w14:paraId="0C21BC06">
      <w:pPr>
        <w:rPr>
          <w:rFonts w:hint="eastAsia"/>
          <w:szCs w:val="21"/>
        </w:rPr>
      </w:pPr>
      <w:r>
        <w:rPr>
          <w:rFonts w:hint="eastAsia"/>
          <w:szCs w:val="21"/>
        </w:rPr>
        <w:t>3、由于重大会计差错更正，影响期初未分配利润</w:t>
      </w:r>
      <w:sdt>
        <w:sdtPr>
          <w:rPr>
            <w:rFonts w:hint="eastAsia"/>
            <w:szCs w:val="21"/>
          </w:rPr>
          <w:alias w:val="由于重大会计差错更正影响年初未分配利润"/>
          <w:tag w:val="_GBC_6558a990019646559dec1140b9f53b0c"/>
          <w:id w:val="2120177347"/>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w:t>
      </w:r>
    </w:p>
    <w:p w14:paraId="0536E416">
      <w:pPr>
        <w:rPr>
          <w:rFonts w:hint="eastAsia"/>
          <w:szCs w:val="21"/>
        </w:rPr>
      </w:pPr>
      <w:r>
        <w:rPr>
          <w:rFonts w:hint="eastAsia"/>
          <w:szCs w:val="21"/>
        </w:rPr>
        <w:t>4、由于同一控制导致的合并范围变更，影响期初未分配利润</w:t>
      </w:r>
      <w:sdt>
        <w:sdtPr>
          <w:rPr>
            <w:rFonts w:hint="eastAsia"/>
            <w:szCs w:val="21"/>
          </w:rPr>
          <w:alias w:val="同一控制导致的合并范围变更影响年初未分配利润"/>
          <w:tag w:val="_GBC_f30de8253e8b446d94ba7a482cf7cae5"/>
          <w:id w:val="-747805921"/>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w:t>
      </w:r>
    </w:p>
    <w:p w14:paraId="25D8D26C">
      <w:pPr>
        <w:rPr>
          <w:rFonts w:hint="eastAsia"/>
          <w:szCs w:val="21"/>
        </w:rPr>
      </w:pPr>
      <w:r>
        <w:rPr>
          <w:rFonts w:hint="eastAsia"/>
          <w:szCs w:val="21"/>
        </w:rPr>
        <w:t>5、其他调整合计影响期初未分配利润</w:t>
      </w:r>
      <w:sdt>
        <w:sdtPr>
          <w:rPr>
            <w:rFonts w:hint="eastAsia"/>
            <w:szCs w:val="21"/>
          </w:rPr>
          <w:alias w:val="其他调整合计影响年初未分配利润"/>
          <w:tag w:val="_GBC_7fea08c189344f12b9e1dc7c084896bb"/>
          <w:id w:val="-256444940"/>
          <w:placeholder>
            <w:docPart w:val="GBC22222222222222222222222222222"/>
          </w:placeholder>
        </w:sdtPr>
        <w:sdtEndPr>
          <w:rPr>
            <w:rFonts w:hint="eastAsia"/>
            <w:szCs w:val="21"/>
          </w:rPr>
        </w:sdtEndPr>
        <w:sdtContent>
          <w:r>
            <w:rPr>
              <w:rFonts w:hint="eastAsia"/>
              <w:szCs w:val="21"/>
            </w:rPr>
            <w:t>0</w:t>
          </w:r>
        </w:sdtContent>
      </w:sdt>
      <w:r>
        <w:rPr>
          <w:rFonts w:hint="eastAsia"/>
          <w:szCs w:val="21"/>
        </w:rPr>
        <w:t xml:space="preserve"> 元。</w:t>
      </w:r>
    </w:p>
    <w:p w14:paraId="0A0D3614">
      <w:pPr>
        <w:rPr>
          <w:rFonts w:hint="eastAsia"/>
          <w:szCs w:val="21"/>
        </w:rPr>
      </w:pPr>
    </w:p>
    <w:p w14:paraId="37E063A0">
      <w:pPr>
        <w:pStyle w:val="70"/>
        <w:numPr>
          <w:ilvl w:val="0"/>
          <w:numId w:val="109"/>
        </w:numPr>
        <w:rPr>
          <w:szCs w:val="21"/>
        </w:rPr>
      </w:pPr>
      <w:r>
        <w:rPr>
          <w:szCs w:val="21"/>
        </w:rPr>
        <w:t>营业收入和营业成本</w:t>
      </w:r>
    </w:p>
    <w:p w14:paraId="365ABA1B">
      <w:pPr>
        <w:pStyle w:val="71"/>
        <w:numPr>
          <w:ilvl w:val="0"/>
          <w:numId w:val="147"/>
        </w:numPr>
        <w:ind w:left="426" w:hanging="426"/>
        <w:rPr>
          <w:rFonts w:hint="eastAsia"/>
        </w:rPr>
      </w:pPr>
      <w:r>
        <w:rPr>
          <w:rFonts w:hint="eastAsia"/>
        </w:rPr>
        <w:t>营业收入和营业成本情况</w:t>
      </w:r>
    </w:p>
    <w:sdt>
      <w:sdtPr>
        <w:alias w:val="是否适用：营业收入和营业成本[双击切换]"/>
        <w:tag w:val="_GBC_c0388196e3634afc823f4b5822c5937a"/>
        <w:id w:val="-42516981"/>
        <w:placeholder>
          <w:docPart w:val="GBC22222222222222222222222222222"/>
        </w:placeholder>
      </w:sdtPr>
      <w:sdtContent>
        <w:p w14:paraId="51A2748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05C3268">
      <w:pPr>
        <w:jc w:val="right"/>
        <w:rPr>
          <w:rFonts w:hint="eastAsia"/>
          <w:szCs w:val="21"/>
        </w:rPr>
      </w:pPr>
      <w:r>
        <w:rPr>
          <w:rFonts w:hint="eastAsia"/>
          <w:bCs/>
          <w:szCs w:val="21"/>
        </w:rPr>
        <w:t>单位：</w:t>
      </w:r>
      <w:sdt>
        <w:sdtPr>
          <w:rPr>
            <w:rFonts w:hint="eastAsia"/>
            <w:bCs/>
            <w:szCs w:val="21"/>
          </w:rPr>
          <w:alias w:val="单位：财务附注：营业收入"/>
          <w:tag w:val="_GBC_65cadde8ae1e4b178e7f2737b89bb434"/>
          <w:id w:val="18365690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bCs/>
            <w:szCs w:val="21"/>
          </w:r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8966599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bCs/>
            <w:szCs w:val="21"/>
          </w:rPr>
        </w:sdtEndPr>
        <w:sdtContent>
          <w:r>
            <w:rPr>
              <w:rFonts w:hint="eastAsia"/>
              <w:bCs/>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842"/>
        <w:gridCol w:w="1855"/>
        <w:gridCol w:w="1853"/>
        <w:gridCol w:w="1853"/>
      </w:tblGrid>
      <w:tr w14:paraId="58AF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77e8683f75cd4c9e919404e1278fe9a0"/>
            <w:id w:val="-1768229474"/>
          </w:sdtPr>
          <w:sdtEndPr>
            <w:rPr>
              <w:rFonts w:ascii="Arial Narrow" w:hAnsi="Arial Narrow" w:eastAsiaTheme="minorEastAsia"/>
              <w:szCs w:val="21"/>
            </w:rPr>
          </w:sdtEndPr>
          <w:sdtContent>
            <w:tc>
              <w:tcPr>
                <w:tcW w:w="805" w:type="pct"/>
                <w:vMerge w:val="restart"/>
                <w:tcBorders>
                  <w:top w:val="single" w:color="auto" w:sz="4" w:space="0"/>
                  <w:left w:val="single" w:color="auto" w:sz="4" w:space="0"/>
                  <w:right w:val="single" w:color="auto" w:sz="4" w:space="0"/>
                </w:tcBorders>
                <w:shd w:val="clear" w:color="auto" w:fill="auto"/>
                <w:vAlign w:val="center"/>
              </w:tcPr>
              <w:p w14:paraId="4C06ACCD">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e956f55a311f45a19dc3ce9396b931c9"/>
            <w:id w:val="397564170"/>
          </w:sdtPr>
          <w:sdtEndPr>
            <w:rPr>
              <w:rFonts w:ascii="Arial Narrow" w:hAnsi="Arial Narrow" w:eastAsiaTheme="minorEastAsia"/>
              <w:szCs w:val="21"/>
            </w:rPr>
          </w:sdtEndPr>
          <w:sdtContent>
            <w:tc>
              <w:tcPr>
                <w:tcW w:w="209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201954">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d175a7df90684e2bbdccc1ba942f2760"/>
            <w:id w:val="569234747"/>
          </w:sdtPr>
          <w:sdtEndPr>
            <w:rPr>
              <w:rFonts w:ascii="Arial Narrow" w:hAnsi="Arial Narrow" w:eastAsiaTheme="minorEastAsia"/>
              <w:szCs w:val="21"/>
            </w:rPr>
          </w:sdtEndPr>
          <w:sdtContent>
            <w:tc>
              <w:tcPr>
                <w:tcW w:w="21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7871B9">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4C6F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vMerge w:val="continue"/>
            <w:tcBorders>
              <w:left w:val="single" w:color="auto" w:sz="4" w:space="0"/>
              <w:bottom w:val="single" w:color="auto" w:sz="4" w:space="0"/>
              <w:right w:val="single" w:color="auto" w:sz="4" w:space="0"/>
            </w:tcBorders>
            <w:shd w:val="clear" w:color="auto" w:fill="auto"/>
          </w:tcPr>
          <w:p w14:paraId="65BE10F8">
            <w:pPr>
              <w:jc w:val="center"/>
              <w:rPr>
                <w:rFonts w:ascii="Arial Narrow" w:hAnsi="Arial Narrow" w:eastAsiaTheme="minorEastAsia"/>
                <w:szCs w:val="21"/>
              </w:rPr>
            </w:pPr>
          </w:p>
        </w:tc>
        <w:sdt>
          <w:sdtPr>
            <w:rPr>
              <w:rFonts w:ascii="Arial Narrow" w:hAnsi="Arial Narrow" w:eastAsiaTheme="minorEastAsia"/>
              <w:szCs w:val="21"/>
            </w:rPr>
            <w:tag w:val="_PLD_fe053e4bca564a1fbda44c85256ce067"/>
            <w:id w:val="-1545748453"/>
          </w:sdtPr>
          <w:sdtEndPr>
            <w:rPr>
              <w:rFonts w:ascii="Arial Narrow" w:hAnsi="Arial Narrow" w:eastAsiaTheme="minorEastAsia"/>
              <w:szCs w:val="21"/>
            </w:rPr>
          </w:sdtEndPr>
          <w:sdtContent>
            <w:tc>
              <w:tcPr>
                <w:tcW w:w="1044" w:type="pct"/>
                <w:tcBorders>
                  <w:top w:val="single" w:color="auto" w:sz="4" w:space="0"/>
                  <w:left w:val="single" w:color="auto" w:sz="4" w:space="0"/>
                  <w:bottom w:val="single" w:color="auto" w:sz="4" w:space="0"/>
                  <w:right w:val="single" w:color="auto" w:sz="4" w:space="0"/>
                </w:tcBorders>
                <w:shd w:val="clear" w:color="auto" w:fill="auto"/>
                <w:vAlign w:val="center"/>
              </w:tcPr>
              <w:p w14:paraId="479DD941">
                <w:pPr>
                  <w:jc w:val="center"/>
                  <w:rPr>
                    <w:rFonts w:ascii="Arial Narrow" w:hAnsi="Arial Narrow" w:eastAsiaTheme="minorEastAsia"/>
                    <w:szCs w:val="21"/>
                  </w:rPr>
                </w:pPr>
                <w:r>
                  <w:rPr>
                    <w:rFonts w:ascii="Arial Narrow" w:hAnsi="Arial Narrow" w:eastAsiaTheme="minorEastAsia"/>
                    <w:szCs w:val="21"/>
                  </w:rPr>
                  <w:t>收入</w:t>
                </w:r>
              </w:p>
            </w:tc>
          </w:sdtContent>
        </w:sdt>
        <w:sdt>
          <w:sdtPr>
            <w:rPr>
              <w:rFonts w:ascii="Arial Narrow" w:hAnsi="Arial Narrow" w:eastAsiaTheme="minorEastAsia"/>
              <w:szCs w:val="21"/>
            </w:rPr>
            <w:tag w:val="_PLD_88be7d92d03d4168a79d4492be4a258c"/>
            <w:id w:val="557058285"/>
          </w:sdtPr>
          <w:sdtEndPr>
            <w:rPr>
              <w:rFonts w:ascii="Arial Narrow" w:hAnsi="Arial Narrow" w:eastAsiaTheme="minorEastAsia"/>
              <w:szCs w:val="21"/>
            </w:rPr>
          </w:sdtEndPr>
          <w:sdtContent>
            <w:tc>
              <w:tcPr>
                <w:tcW w:w="1051" w:type="pct"/>
                <w:tcBorders>
                  <w:top w:val="single" w:color="auto" w:sz="4" w:space="0"/>
                  <w:left w:val="single" w:color="auto" w:sz="4" w:space="0"/>
                  <w:bottom w:val="single" w:color="auto" w:sz="4" w:space="0"/>
                  <w:right w:val="single" w:color="auto" w:sz="4" w:space="0"/>
                </w:tcBorders>
                <w:shd w:val="clear" w:color="auto" w:fill="auto"/>
                <w:vAlign w:val="center"/>
              </w:tcPr>
              <w:p w14:paraId="0DA46051">
                <w:pPr>
                  <w:jc w:val="center"/>
                  <w:rPr>
                    <w:rFonts w:ascii="Arial Narrow" w:hAnsi="Arial Narrow" w:eastAsiaTheme="minorEastAsia"/>
                    <w:szCs w:val="21"/>
                  </w:rPr>
                </w:pPr>
                <w:r>
                  <w:rPr>
                    <w:rFonts w:ascii="Arial Narrow" w:hAnsi="Arial Narrow" w:eastAsiaTheme="minorEastAsia"/>
                    <w:szCs w:val="21"/>
                  </w:rPr>
                  <w:t>成本</w:t>
                </w:r>
              </w:p>
            </w:tc>
          </w:sdtContent>
        </w:sdt>
        <w:sdt>
          <w:sdtPr>
            <w:rPr>
              <w:rFonts w:ascii="Arial Narrow" w:hAnsi="Arial Narrow" w:eastAsiaTheme="minorEastAsia"/>
              <w:szCs w:val="21"/>
            </w:rPr>
            <w:tag w:val="_PLD_5ba4682bc5644bc38c4b795c78508b1f"/>
            <w:id w:val="-1229223517"/>
          </w:sdtPr>
          <w:sdtEndPr>
            <w:rPr>
              <w:rFonts w:ascii="Arial Narrow" w:hAnsi="Arial Narrow" w:eastAsiaTheme="minorEastAsia"/>
              <w:szCs w:val="21"/>
            </w:rPr>
          </w:sdtEndPr>
          <w:sdtContent>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760FC4C3">
                <w:pPr>
                  <w:jc w:val="center"/>
                  <w:rPr>
                    <w:rFonts w:ascii="Arial Narrow" w:hAnsi="Arial Narrow" w:eastAsiaTheme="minorEastAsia"/>
                    <w:szCs w:val="21"/>
                  </w:rPr>
                </w:pPr>
                <w:r>
                  <w:rPr>
                    <w:rFonts w:ascii="Arial Narrow" w:hAnsi="Arial Narrow" w:eastAsiaTheme="minorEastAsia"/>
                    <w:szCs w:val="21"/>
                  </w:rPr>
                  <w:t>收入</w:t>
                </w:r>
              </w:p>
            </w:tc>
          </w:sdtContent>
        </w:sdt>
        <w:sdt>
          <w:sdtPr>
            <w:rPr>
              <w:rFonts w:ascii="Arial Narrow" w:hAnsi="Arial Narrow" w:eastAsiaTheme="minorEastAsia"/>
              <w:szCs w:val="21"/>
            </w:rPr>
            <w:tag w:val="_PLD_94a3ede4ab834e37a20364f2c6897976"/>
            <w:id w:val="-1577816066"/>
          </w:sdtPr>
          <w:sdtEndPr>
            <w:rPr>
              <w:rFonts w:ascii="Arial Narrow" w:hAnsi="Arial Narrow" w:eastAsiaTheme="minorEastAsia"/>
              <w:szCs w:val="21"/>
            </w:rPr>
          </w:sdtEndPr>
          <w:sdtContent>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55FC55AA">
                <w:pPr>
                  <w:jc w:val="center"/>
                  <w:rPr>
                    <w:rFonts w:ascii="Arial Narrow" w:hAnsi="Arial Narrow" w:eastAsiaTheme="minorEastAsia"/>
                    <w:szCs w:val="21"/>
                  </w:rPr>
                </w:pPr>
                <w:r>
                  <w:rPr>
                    <w:rFonts w:ascii="Arial Narrow" w:hAnsi="Arial Narrow" w:eastAsiaTheme="minorEastAsia"/>
                    <w:szCs w:val="21"/>
                  </w:rPr>
                  <w:t>成本</w:t>
                </w:r>
              </w:p>
            </w:tc>
          </w:sdtContent>
        </w:sdt>
      </w:tr>
      <w:tr w14:paraId="15C5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shd w:val="clear" w:color="auto" w:fill="auto"/>
          </w:tcPr>
          <w:p w14:paraId="61EE1B7E">
            <w:pPr>
              <w:rPr>
                <w:rFonts w:ascii="Arial Narrow" w:hAnsi="Arial Narrow" w:eastAsiaTheme="minorEastAsia"/>
                <w:szCs w:val="21"/>
              </w:rPr>
            </w:pPr>
            <w:r>
              <w:rPr>
                <w:rFonts w:ascii="Arial Narrow" w:hAnsi="Arial Narrow" w:eastAsiaTheme="minorEastAsia"/>
                <w:szCs w:val="21"/>
              </w:rPr>
              <w:t>主营业务</w:t>
            </w:r>
          </w:p>
        </w:tc>
        <w:tc>
          <w:tcPr>
            <w:tcW w:w="1044" w:type="pct"/>
            <w:tcBorders>
              <w:top w:val="single" w:color="auto" w:sz="4" w:space="0"/>
              <w:left w:val="single" w:color="auto" w:sz="4" w:space="0"/>
              <w:bottom w:val="single" w:color="auto" w:sz="4" w:space="0"/>
              <w:right w:val="single" w:color="auto" w:sz="4" w:space="0"/>
            </w:tcBorders>
            <w:shd w:val="clear" w:color="auto" w:fill="auto"/>
            <w:vAlign w:val="center"/>
          </w:tcPr>
          <w:p w14:paraId="06A19F72">
            <w:pPr>
              <w:jc w:val="right"/>
              <w:rPr>
                <w:rFonts w:ascii="Arial Narrow" w:hAnsi="Arial Narrow" w:eastAsiaTheme="minorEastAsia"/>
                <w:szCs w:val="21"/>
              </w:rPr>
            </w:pPr>
            <w:r>
              <w:rPr>
                <w:rFonts w:ascii="Arial Narrow" w:hAnsi="Arial Narrow" w:eastAsiaTheme="minorEastAsia"/>
                <w:color w:val="000000"/>
                <w:szCs w:val="21"/>
              </w:rPr>
              <w:t>9,601,856,291.91</w:t>
            </w:r>
          </w:p>
        </w:tc>
        <w:tc>
          <w:tcPr>
            <w:tcW w:w="1051" w:type="pct"/>
            <w:tcBorders>
              <w:top w:val="single" w:color="auto" w:sz="4" w:space="0"/>
              <w:left w:val="single" w:color="auto" w:sz="4" w:space="0"/>
              <w:bottom w:val="single" w:color="auto" w:sz="4" w:space="0"/>
              <w:right w:val="single" w:color="auto" w:sz="4" w:space="0"/>
            </w:tcBorders>
            <w:shd w:val="clear" w:color="auto" w:fill="auto"/>
            <w:vAlign w:val="center"/>
          </w:tcPr>
          <w:p w14:paraId="016E96C2">
            <w:pPr>
              <w:jc w:val="right"/>
              <w:rPr>
                <w:rFonts w:ascii="Arial Narrow" w:hAnsi="Arial Narrow" w:eastAsiaTheme="minorEastAsia"/>
                <w:szCs w:val="21"/>
              </w:rPr>
            </w:pPr>
            <w:r>
              <w:rPr>
                <w:rFonts w:ascii="Arial Narrow" w:hAnsi="Arial Narrow" w:eastAsiaTheme="minorEastAsia"/>
                <w:color w:val="000000"/>
                <w:szCs w:val="21"/>
              </w:rPr>
              <w:t>8,928,091,699.59</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0A9A48C0">
            <w:pPr>
              <w:jc w:val="right"/>
              <w:rPr>
                <w:rFonts w:ascii="Arial Narrow" w:hAnsi="Arial Narrow" w:eastAsiaTheme="minorEastAsia"/>
                <w:szCs w:val="21"/>
              </w:rPr>
            </w:pPr>
            <w:r>
              <w:rPr>
                <w:rFonts w:ascii="Arial Narrow" w:hAnsi="Arial Narrow" w:eastAsiaTheme="minorEastAsia"/>
                <w:color w:val="000000"/>
                <w:szCs w:val="21"/>
              </w:rPr>
              <w:t>11,252,768,328.85</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5BE5B109">
            <w:pPr>
              <w:jc w:val="right"/>
              <w:rPr>
                <w:rFonts w:ascii="Arial Narrow" w:hAnsi="Arial Narrow" w:eastAsiaTheme="minorEastAsia"/>
                <w:szCs w:val="21"/>
              </w:rPr>
            </w:pPr>
            <w:r>
              <w:rPr>
                <w:rFonts w:ascii="Arial Narrow" w:hAnsi="Arial Narrow" w:eastAsiaTheme="minorEastAsia"/>
                <w:color w:val="000000"/>
                <w:szCs w:val="21"/>
              </w:rPr>
              <w:t>9,745,829,730.01</w:t>
            </w:r>
          </w:p>
        </w:tc>
      </w:tr>
      <w:tr w14:paraId="5324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shd w:val="clear" w:color="auto" w:fill="auto"/>
          </w:tcPr>
          <w:p w14:paraId="57307887">
            <w:pPr>
              <w:rPr>
                <w:rFonts w:ascii="Arial Narrow" w:hAnsi="Arial Narrow" w:eastAsiaTheme="minorEastAsia"/>
                <w:szCs w:val="21"/>
              </w:rPr>
            </w:pPr>
            <w:r>
              <w:rPr>
                <w:rFonts w:ascii="Arial Narrow" w:hAnsi="Arial Narrow" w:eastAsiaTheme="minorEastAsia"/>
                <w:szCs w:val="21"/>
              </w:rPr>
              <w:t>其他业务</w:t>
            </w:r>
          </w:p>
        </w:tc>
        <w:tc>
          <w:tcPr>
            <w:tcW w:w="1044" w:type="pct"/>
            <w:tcBorders>
              <w:top w:val="single" w:color="auto" w:sz="4" w:space="0"/>
              <w:left w:val="single" w:color="auto" w:sz="4" w:space="0"/>
              <w:bottom w:val="single" w:color="auto" w:sz="4" w:space="0"/>
              <w:right w:val="single" w:color="auto" w:sz="4" w:space="0"/>
            </w:tcBorders>
            <w:shd w:val="clear" w:color="auto" w:fill="auto"/>
            <w:vAlign w:val="center"/>
          </w:tcPr>
          <w:p w14:paraId="798CBAAA">
            <w:pPr>
              <w:jc w:val="right"/>
              <w:rPr>
                <w:rFonts w:ascii="Arial Narrow" w:hAnsi="Arial Narrow" w:eastAsiaTheme="minorEastAsia"/>
                <w:szCs w:val="21"/>
              </w:rPr>
            </w:pPr>
            <w:r>
              <w:rPr>
                <w:rFonts w:ascii="Arial Narrow" w:hAnsi="Arial Narrow" w:eastAsiaTheme="minorEastAsia"/>
                <w:color w:val="000000"/>
                <w:szCs w:val="21"/>
              </w:rPr>
              <w:t>284,241,465.42</w:t>
            </w:r>
          </w:p>
        </w:tc>
        <w:tc>
          <w:tcPr>
            <w:tcW w:w="1051" w:type="pct"/>
            <w:tcBorders>
              <w:top w:val="single" w:color="auto" w:sz="4" w:space="0"/>
              <w:left w:val="single" w:color="auto" w:sz="4" w:space="0"/>
              <w:bottom w:val="single" w:color="auto" w:sz="4" w:space="0"/>
              <w:right w:val="single" w:color="auto" w:sz="4" w:space="0"/>
            </w:tcBorders>
            <w:shd w:val="clear" w:color="auto" w:fill="auto"/>
            <w:vAlign w:val="center"/>
          </w:tcPr>
          <w:p w14:paraId="26E213FB">
            <w:pPr>
              <w:jc w:val="right"/>
              <w:rPr>
                <w:rFonts w:ascii="Arial Narrow" w:hAnsi="Arial Narrow" w:eastAsiaTheme="minorEastAsia"/>
                <w:szCs w:val="21"/>
              </w:rPr>
            </w:pPr>
            <w:r>
              <w:rPr>
                <w:rFonts w:ascii="Arial Narrow" w:hAnsi="Arial Narrow" w:eastAsiaTheme="minorEastAsia"/>
                <w:color w:val="000000"/>
                <w:szCs w:val="21"/>
              </w:rPr>
              <w:t>278,089,708.68</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4A25405A">
            <w:pPr>
              <w:jc w:val="right"/>
              <w:rPr>
                <w:rFonts w:ascii="Arial Narrow" w:hAnsi="Arial Narrow" w:eastAsiaTheme="minorEastAsia"/>
                <w:szCs w:val="21"/>
              </w:rPr>
            </w:pPr>
            <w:r>
              <w:rPr>
                <w:rFonts w:ascii="Arial Narrow" w:hAnsi="Arial Narrow" w:eastAsiaTheme="minorEastAsia"/>
                <w:color w:val="000000"/>
                <w:szCs w:val="21"/>
              </w:rPr>
              <w:t>307,920,471.05</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12229111">
            <w:pPr>
              <w:jc w:val="right"/>
              <w:rPr>
                <w:rFonts w:ascii="Arial Narrow" w:hAnsi="Arial Narrow" w:eastAsiaTheme="minorEastAsia"/>
                <w:szCs w:val="21"/>
              </w:rPr>
            </w:pPr>
            <w:r>
              <w:rPr>
                <w:rFonts w:ascii="Arial Narrow" w:hAnsi="Arial Narrow" w:eastAsiaTheme="minorEastAsia"/>
                <w:color w:val="000000"/>
                <w:szCs w:val="21"/>
              </w:rPr>
              <w:t>197,787,601.76</w:t>
            </w:r>
          </w:p>
        </w:tc>
      </w:tr>
      <w:tr w14:paraId="5142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shd w:val="clear" w:color="auto" w:fill="auto"/>
            <w:vAlign w:val="center"/>
          </w:tcPr>
          <w:p w14:paraId="2742B16C">
            <w:pPr>
              <w:jc w:val="center"/>
              <w:rPr>
                <w:rFonts w:ascii="Arial Narrow" w:hAnsi="Arial Narrow" w:eastAsiaTheme="minorEastAsia"/>
                <w:szCs w:val="21"/>
              </w:rPr>
            </w:pPr>
            <w:r>
              <w:rPr>
                <w:rFonts w:ascii="Arial Narrow" w:hAnsi="Arial Narrow" w:eastAsiaTheme="minorEastAsia"/>
                <w:szCs w:val="21"/>
              </w:rPr>
              <w:t>合计</w:t>
            </w:r>
          </w:p>
        </w:tc>
        <w:tc>
          <w:tcPr>
            <w:tcW w:w="1044" w:type="pct"/>
            <w:tcBorders>
              <w:top w:val="single" w:color="auto" w:sz="4" w:space="0"/>
              <w:left w:val="single" w:color="auto" w:sz="4" w:space="0"/>
              <w:bottom w:val="single" w:color="auto" w:sz="4" w:space="0"/>
              <w:right w:val="single" w:color="auto" w:sz="4" w:space="0"/>
            </w:tcBorders>
            <w:shd w:val="clear" w:color="auto" w:fill="auto"/>
            <w:vAlign w:val="center"/>
          </w:tcPr>
          <w:p w14:paraId="449D5579">
            <w:pPr>
              <w:jc w:val="right"/>
              <w:rPr>
                <w:rFonts w:ascii="Arial Narrow" w:hAnsi="Arial Narrow" w:eastAsiaTheme="minorEastAsia"/>
                <w:szCs w:val="21"/>
              </w:rPr>
            </w:pPr>
            <w:r>
              <w:rPr>
                <w:rFonts w:ascii="Arial Narrow" w:hAnsi="Arial Narrow" w:eastAsiaTheme="minorEastAsia"/>
                <w:color w:val="000000"/>
                <w:szCs w:val="21"/>
              </w:rPr>
              <w:t>9,886,097,757.33</w:t>
            </w:r>
          </w:p>
        </w:tc>
        <w:tc>
          <w:tcPr>
            <w:tcW w:w="1051" w:type="pct"/>
            <w:tcBorders>
              <w:top w:val="single" w:color="auto" w:sz="4" w:space="0"/>
              <w:left w:val="single" w:color="auto" w:sz="4" w:space="0"/>
              <w:bottom w:val="single" w:color="auto" w:sz="4" w:space="0"/>
              <w:right w:val="single" w:color="auto" w:sz="4" w:space="0"/>
            </w:tcBorders>
            <w:shd w:val="clear" w:color="auto" w:fill="auto"/>
            <w:vAlign w:val="center"/>
          </w:tcPr>
          <w:p w14:paraId="62E4E99B">
            <w:pPr>
              <w:jc w:val="right"/>
              <w:rPr>
                <w:rFonts w:ascii="Arial Narrow" w:hAnsi="Arial Narrow" w:eastAsiaTheme="minorEastAsia"/>
                <w:szCs w:val="21"/>
              </w:rPr>
            </w:pPr>
            <w:r>
              <w:rPr>
                <w:rFonts w:ascii="Arial Narrow" w:hAnsi="Arial Narrow" w:eastAsiaTheme="minorEastAsia"/>
                <w:color w:val="000000"/>
                <w:szCs w:val="21"/>
              </w:rPr>
              <w:t>9,206,181,408.27</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02E2D9AC">
            <w:pPr>
              <w:jc w:val="right"/>
              <w:rPr>
                <w:rFonts w:ascii="Arial Narrow" w:hAnsi="Arial Narrow" w:eastAsiaTheme="minorEastAsia"/>
                <w:szCs w:val="21"/>
              </w:rPr>
            </w:pPr>
            <w:r>
              <w:rPr>
                <w:rFonts w:ascii="Arial Narrow" w:hAnsi="Arial Narrow" w:eastAsiaTheme="minorEastAsia"/>
                <w:color w:val="000000"/>
                <w:szCs w:val="21"/>
              </w:rPr>
              <w:t>11,560,688,799.90</w:t>
            </w:r>
          </w:p>
        </w:tc>
        <w:tc>
          <w:tcPr>
            <w:tcW w:w="1050" w:type="pct"/>
            <w:tcBorders>
              <w:top w:val="single" w:color="auto" w:sz="4" w:space="0"/>
              <w:left w:val="single" w:color="auto" w:sz="4" w:space="0"/>
              <w:bottom w:val="single" w:color="auto" w:sz="4" w:space="0"/>
              <w:right w:val="single" w:color="auto" w:sz="4" w:space="0"/>
            </w:tcBorders>
            <w:shd w:val="clear" w:color="auto" w:fill="auto"/>
            <w:vAlign w:val="center"/>
          </w:tcPr>
          <w:p w14:paraId="53C54059">
            <w:pPr>
              <w:jc w:val="right"/>
              <w:rPr>
                <w:rFonts w:ascii="Arial Narrow" w:hAnsi="Arial Narrow" w:eastAsiaTheme="minorEastAsia"/>
                <w:szCs w:val="21"/>
              </w:rPr>
            </w:pPr>
            <w:r>
              <w:rPr>
                <w:rFonts w:ascii="Arial Narrow" w:hAnsi="Arial Narrow" w:eastAsiaTheme="minorEastAsia"/>
                <w:color w:val="000000"/>
                <w:szCs w:val="21"/>
              </w:rPr>
              <w:t>9,943,617,331.77</w:t>
            </w:r>
          </w:p>
        </w:tc>
      </w:tr>
    </w:tbl>
    <w:p w14:paraId="7EF29858">
      <w:pPr>
        <w:rPr>
          <w:rFonts w:hint="eastAsia"/>
        </w:rPr>
      </w:pPr>
    </w:p>
    <w:p w14:paraId="3BCB572A">
      <w:pPr>
        <w:rPr>
          <w:rFonts w:hint="eastAsia"/>
        </w:rPr>
      </w:pPr>
    </w:p>
    <w:p w14:paraId="02DBAF04">
      <w:pPr>
        <w:rPr>
          <w:rFonts w:hint="eastAsia"/>
        </w:rPr>
        <w:sectPr>
          <w:pgSz w:w="11906" w:h="16838"/>
          <w:pgMar w:top="1440" w:right="1797" w:bottom="1525" w:left="1276" w:header="856" w:footer="992" w:gutter="0"/>
          <w:cols w:space="425" w:num="1"/>
          <w:docGrid w:linePitch="312" w:charSpace="0"/>
        </w:sectPr>
      </w:pPr>
    </w:p>
    <w:p w14:paraId="40D5EE3E">
      <w:pPr>
        <w:pStyle w:val="71"/>
        <w:numPr>
          <w:ilvl w:val="0"/>
          <w:numId w:val="147"/>
        </w:numPr>
        <w:ind w:left="426" w:hanging="426"/>
        <w:rPr>
          <w:rFonts w:hint="eastAsia"/>
        </w:rPr>
      </w:pPr>
      <w:bookmarkStart w:id="365" w:name="_Hlk89957177"/>
      <w:r>
        <w:rPr>
          <w:rFonts w:hint="eastAsia"/>
        </w:rPr>
        <w:t>营业收入扣除情况表</w:t>
      </w:r>
    </w:p>
    <w:p w14:paraId="6A21866E">
      <w:pPr>
        <w:wordWrap w:val="0"/>
        <w:jc w:val="right"/>
        <w:rPr>
          <w:rFonts w:hint="eastAsia"/>
        </w:rPr>
      </w:pPr>
      <w:r>
        <w:rPr>
          <w:rFonts w:hint="eastAsia"/>
        </w:rPr>
        <w:t>单位：</w:t>
      </w:r>
      <w:sdt>
        <w:sdtPr>
          <w:rPr>
            <w:rFonts w:hint="eastAsia"/>
          </w:rPr>
          <w:alias w:val="单位：营业收入扣除情况表"/>
          <w:tag w:val="_GBC_d1d3e280588b46c19364915abe6999e9"/>
          <w:id w:val="-112715946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 xml:space="preserve">  币种：</w:t>
      </w:r>
      <w:sdt>
        <w:sdtPr>
          <w:rPr>
            <w:rFonts w:hint="eastAsia"/>
          </w:rPr>
          <w:alias w:val="币种：营业收入扣除情况表 "/>
          <w:tag w:val="_GBC_da03892c33714b458fbaca9e5265b16c"/>
          <w:id w:val="-5305677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1"/>
        <w:gridCol w:w="1824"/>
        <w:gridCol w:w="2667"/>
        <w:gridCol w:w="1824"/>
        <w:gridCol w:w="2667"/>
      </w:tblGrid>
      <w:tr w14:paraId="13EA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sdt>
          <w:sdtPr>
            <w:rPr>
              <w:rFonts w:ascii="Arial Narrow" w:hAnsi="Arial Narrow" w:eastAsiaTheme="minorEastAsia"/>
              <w:szCs w:val="21"/>
            </w:rPr>
            <w:tag w:val="_PLD_cb540a79d64b46af8719328e5dfad08a"/>
            <w:id w:val="-2052678153"/>
          </w:sdtPr>
          <w:sdtEndPr>
            <w:rPr>
              <w:rFonts w:ascii="Arial Narrow" w:hAnsi="Arial Narrow" w:eastAsiaTheme="minorEastAsia"/>
              <w:szCs w:val="21"/>
            </w:rPr>
          </w:sdtEndPr>
          <w:sdtContent>
            <w:tc>
              <w:tcPr>
                <w:tcW w:w="1760" w:type="pct"/>
                <w:tcBorders>
                  <w:top w:val="single" w:color="auto" w:sz="4" w:space="0"/>
                  <w:left w:val="single" w:color="auto" w:sz="4" w:space="0"/>
                  <w:bottom w:val="single" w:color="auto" w:sz="4" w:space="0"/>
                  <w:right w:val="single" w:color="auto" w:sz="4" w:space="0"/>
                </w:tcBorders>
                <w:vAlign w:val="center"/>
              </w:tcPr>
              <w:p w14:paraId="232F2CDD">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34ea9f127a6c4d51ac3bae621589c0c3"/>
            <w:id w:val="1624970165"/>
          </w:sdtPr>
          <w:sdtEndPr>
            <w:rPr>
              <w:rFonts w:ascii="Arial Narrow" w:hAnsi="Arial Narrow" w:eastAsiaTheme="minorEastAsia"/>
              <w:szCs w:val="21"/>
            </w:rPr>
          </w:sdtEndPr>
          <w:sdtContent>
            <w:tc>
              <w:tcPr>
                <w:tcW w:w="658" w:type="pct"/>
                <w:tcBorders>
                  <w:top w:val="single" w:color="auto" w:sz="4" w:space="0"/>
                  <w:left w:val="single" w:color="auto" w:sz="4" w:space="0"/>
                  <w:bottom w:val="single" w:color="auto" w:sz="4" w:space="0"/>
                  <w:right w:val="single" w:color="auto" w:sz="4" w:space="0"/>
                </w:tcBorders>
                <w:vAlign w:val="center"/>
              </w:tcPr>
              <w:p w14:paraId="63D8DA46">
                <w:pPr>
                  <w:ind w:left="-105" w:leftChars="-50" w:right="-105" w:rightChars="-50"/>
                  <w:jc w:val="center"/>
                  <w:rPr>
                    <w:rFonts w:ascii="Arial Narrow" w:hAnsi="Arial Narrow" w:eastAsiaTheme="minorEastAsia"/>
                    <w:szCs w:val="21"/>
                  </w:rPr>
                </w:pPr>
                <w:r>
                  <w:rPr>
                    <w:rFonts w:ascii="Arial Narrow" w:hAnsi="Arial Narrow" w:eastAsiaTheme="minorEastAsia"/>
                    <w:szCs w:val="21"/>
                  </w:rPr>
                  <w:t>本年度</w:t>
                </w:r>
              </w:p>
            </w:tc>
          </w:sdtContent>
        </w:sdt>
        <w:sdt>
          <w:sdtPr>
            <w:rPr>
              <w:rFonts w:ascii="Arial Narrow" w:hAnsi="Arial Narrow" w:eastAsiaTheme="minorEastAsia"/>
              <w:szCs w:val="21"/>
            </w:rPr>
            <w:tag w:val="_PLD_c4ef6ff507d94909bda690fbb5dcb999"/>
            <w:id w:val="1499839469"/>
          </w:sdtPr>
          <w:sdtEndPr>
            <w:rPr>
              <w:rFonts w:ascii="Arial Narrow" w:hAnsi="Arial Narrow" w:eastAsiaTheme="minorEastAsia"/>
              <w:szCs w:val="21"/>
            </w:rPr>
          </w:sdtEndPr>
          <w:sdtContent>
            <w:tc>
              <w:tcPr>
                <w:tcW w:w="962" w:type="pct"/>
                <w:tcBorders>
                  <w:top w:val="single" w:color="auto" w:sz="4" w:space="0"/>
                  <w:left w:val="single" w:color="auto" w:sz="4" w:space="0"/>
                  <w:bottom w:val="single" w:color="auto" w:sz="4" w:space="0"/>
                  <w:right w:val="single" w:color="auto" w:sz="4" w:space="0"/>
                </w:tcBorders>
                <w:vAlign w:val="center"/>
              </w:tcPr>
              <w:p w14:paraId="113A8DEB">
                <w:pPr>
                  <w:ind w:left="-105" w:leftChars="-50" w:right="-105" w:rightChars="-50"/>
                  <w:jc w:val="center"/>
                  <w:rPr>
                    <w:rFonts w:ascii="Arial Narrow" w:hAnsi="Arial Narrow" w:eastAsiaTheme="minorEastAsia"/>
                    <w:szCs w:val="21"/>
                  </w:rPr>
                </w:pPr>
                <w:r>
                  <w:rPr>
                    <w:rFonts w:ascii="Arial Narrow" w:hAnsi="Arial Narrow" w:eastAsiaTheme="minorEastAsia"/>
                    <w:szCs w:val="21"/>
                  </w:rPr>
                  <w:t>具体扣除情况</w:t>
                </w:r>
              </w:p>
            </w:tc>
          </w:sdtContent>
        </w:sdt>
        <w:sdt>
          <w:sdtPr>
            <w:rPr>
              <w:rFonts w:ascii="Arial Narrow" w:hAnsi="Arial Narrow" w:eastAsiaTheme="minorEastAsia"/>
              <w:szCs w:val="21"/>
            </w:rPr>
            <w:tag w:val="_PLD_5917fc6262d24c6cb6c996e98f5f3c64"/>
            <w:id w:val="-511533093"/>
          </w:sdtPr>
          <w:sdtEndPr>
            <w:rPr>
              <w:rFonts w:ascii="Arial Narrow" w:hAnsi="Arial Narrow" w:eastAsiaTheme="minorEastAsia"/>
              <w:szCs w:val="21"/>
            </w:rPr>
          </w:sdtEndPr>
          <w:sdtContent>
            <w:tc>
              <w:tcPr>
                <w:tcW w:w="658" w:type="pct"/>
                <w:tcBorders>
                  <w:top w:val="single" w:color="auto" w:sz="4" w:space="0"/>
                  <w:left w:val="single" w:color="auto" w:sz="4" w:space="0"/>
                  <w:bottom w:val="single" w:color="auto" w:sz="4" w:space="0"/>
                  <w:right w:val="single" w:color="auto" w:sz="4" w:space="0"/>
                </w:tcBorders>
                <w:vAlign w:val="center"/>
              </w:tcPr>
              <w:p w14:paraId="0E6325B9">
                <w:pPr>
                  <w:ind w:left="-105" w:leftChars="-50" w:right="-105" w:rightChars="-50"/>
                  <w:jc w:val="center"/>
                  <w:rPr>
                    <w:rFonts w:ascii="Arial Narrow" w:hAnsi="Arial Narrow" w:eastAsiaTheme="minorEastAsia"/>
                    <w:szCs w:val="21"/>
                  </w:rPr>
                </w:pPr>
                <w:r>
                  <w:rPr>
                    <w:rFonts w:ascii="Arial Narrow" w:hAnsi="Arial Narrow" w:eastAsiaTheme="minorEastAsia"/>
                    <w:szCs w:val="21"/>
                  </w:rPr>
                  <w:t>上年度</w:t>
                </w:r>
              </w:p>
            </w:tc>
          </w:sdtContent>
        </w:sdt>
        <w:sdt>
          <w:sdtPr>
            <w:rPr>
              <w:rFonts w:ascii="Arial Narrow" w:hAnsi="Arial Narrow" w:eastAsiaTheme="minorEastAsia"/>
              <w:szCs w:val="21"/>
            </w:rPr>
            <w:tag w:val="_PLD_7cb2972759184347a8ccc52a599c90bd"/>
            <w:id w:val="-74507468"/>
          </w:sdtPr>
          <w:sdtEndPr>
            <w:rPr>
              <w:rFonts w:ascii="Arial Narrow" w:hAnsi="Arial Narrow" w:eastAsiaTheme="minorEastAsia"/>
              <w:szCs w:val="21"/>
            </w:rPr>
          </w:sdtEndPr>
          <w:sdtContent>
            <w:tc>
              <w:tcPr>
                <w:tcW w:w="962" w:type="pct"/>
                <w:tcBorders>
                  <w:top w:val="single" w:color="auto" w:sz="4" w:space="0"/>
                  <w:left w:val="single" w:color="auto" w:sz="4" w:space="0"/>
                  <w:bottom w:val="single" w:color="auto" w:sz="4" w:space="0"/>
                  <w:right w:val="single" w:color="auto" w:sz="4" w:space="0"/>
                </w:tcBorders>
                <w:vAlign w:val="center"/>
              </w:tcPr>
              <w:p w14:paraId="0CAAEA46">
                <w:pPr>
                  <w:ind w:left="-105" w:leftChars="-50" w:right="-105" w:rightChars="-50"/>
                  <w:jc w:val="center"/>
                  <w:rPr>
                    <w:rFonts w:ascii="Arial Narrow" w:hAnsi="Arial Narrow" w:eastAsiaTheme="minorEastAsia"/>
                    <w:szCs w:val="21"/>
                  </w:rPr>
                </w:pPr>
                <w:r>
                  <w:rPr>
                    <w:rFonts w:ascii="Arial Narrow" w:hAnsi="Arial Narrow" w:eastAsiaTheme="minorEastAsia"/>
                    <w:szCs w:val="21"/>
                  </w:rPr>
                  <w:t>具体扣除情况</w:t>
                </w:r>
              </w:p>
            </w:tc>
          </w:sdtContent>
        </w:sdt>
      </w:tr>
      <w:tr w14:paraId="3F26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pct"/>
            <w:tcBorders>
              <w:top w:val="single" w:color="auto" w:sz="4" w:space="0"/>
              <w:left w:val="single" w:color="auto" w:sz="4" w:space="0"/>
              <w:bottom w:val="single" w:color="auto" w:sz="4" w:space="0"/>
              <w:right w:val="single" w:color="auto" w:sz="4" w:space="0"/>
            </w:tcBorders>
            <w:vAlign w:val="center"/>
          </w:tcPr>
          <w:p w14:paraId="1C6D4BE9">
            <w:pPr>
              <w:rPr>
                <w:rFonts w:ascii="Arial Narrow" w:hAnsi="Arial Narrow" w:eastAsiaTheme="minorEastAsia"/>
                <w:szCs w:val="21"/>
              </w:rPr>
            </w:pPr>
            <w:r>
              <w:rPr>
                <w:rFonts w:ascii="Arial Narrow" w:hAnsi="Arial Narrow" w:eastAsiaTheme="minorEastAsia"/>
                <w:szCs w:val="21"/>
              </w:rPr>
              <w:t>营业收入金额</w:t>
            </w:r>
          </w:p>
        </w:tc>
        <w:tc>
          <w:tcPr>
            <w:tcW w:w="658" w:type="pct"/>
            <w:tcBorders>
              <w:top w:val="single" w:color="auto" w:sz="4" w:space="0"/>
              <w:left w:val="single" w:color="auto" w:sz="4" w:space="0"/>
              <w:bottom w:val="single" w:color="auto" w:sz="4" w:space="0"/>
              <w:right w:val="single" w:color="auto" w:sz="4" w:space="0"/>
            </w:tcBorders>
            <w:vAlign w:val="center"/>
          </w:tcPr>
          <w:p w14:paraId="2805EA16">
            <w:pPr>
              <w:jc w:val="right"/>
              <w:rPr>
                <w:rFonts w:ascii="Arial Narrow" w:hAnsi="Arial Narrow" w:eastAsiaTheme="minorEastAsia"/>
                <w:szCs w:val="21"/>
              </w:rPr>
            </w:pPr>
            <w:r>
              <w:rPr>
                <w:rFonts w:ascii="Arial Narrow" w:hAnsi="Arial Narrow" w:eastAsiaTheme="minorEastAsia"/>
                <w:color w:val="000000"/>
                <w:szCs w:val="21"/>
              </w:rPr>
              <w:t>988,609.78</w:t>
            </w:r>
          </w:p>
        </w:tc>
        <w:tc>
          <w:tcPr>
            <w:tcW w:w="962" w:type="pct"/>
            <w:tcBorders>
              <w:top w:val="single" w:color="auto" w:sz="4" w:space="0"/>
              <w:left w:val="single" w:color="auto" w:sz="4" w:space="0"/>
              <w:bottom w:val="single" w:color="auto" w:sz="4" w:space="0"/>
              <w:right w:val="single" w:color="auto" w:sz="4" w:space="0"/>
            </w:tcBorders>
            <w:vAlign w:val="bottom"/>
          </w:tcPr>
          <w:p w14:paraId="05F20990">
            <w:pPr>
              <w:rPr>
                <w:rFonts w:ascii="Arial Narrow" w:hAnsi="Arial Narrow" w:eastAsiaTheme="minorEastAsia"/>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1659C4D">
            <w:pPr>
              <w:jc w:val="right"/>
              <w:rPr>
                <w:rFonts w:ascii="Arial Narrow" w:hAnsi="Arial Narrow" w:eastAsiaTheme="minorEastAsia"/>
                <w:szCs w:val="21"/>
              </w:rPr>
            </w:pPr>
            <w:r>
              <w:rPr>
                <w:rFonts w:ascii="Arial Narrow" w:hAnsi="Arial Narrow" w:eastAsiaTheme="minorEastAsia"/>
                <w:color w:val="000000"/>
                <w:szCs w:val="21"/>
              </w:rPr>
              <w:t>1,156,068.88</w:t>
            </w:r>
          </w:p>
        </w:tc>
        <w:tc>
          <w:tcPr>
            <w:tcW w:w="962" w:type="pct"/>
            <w:tcBorders>
              <w:top w:val="single" w:color="auto" w:sz="4" w:space="0"/>
              <w:left w:val="single" w:color="auto" w:sz="4" w:space="0"/>
              <w:bottom w:val="single" w:color="auto" w:sz="4" w:space="0"/>
              <w:right w:val="single" w:color="auto" w:sz="4" w:space="0"/>
            </w:tcBorders>
            <w:vAlign w:val="bottom"/>
          </w:tcPr>
          <w:p w14:paraId="2229F849">
            <w:pPr>
              <w:rPr>
                <w:rFonts w:ascii="Arial Narrow" w:hAnsi="Arial Narrow" w:eastAsiaTheme="minorEastAsia"/>
                <w:szCs w:val="21"/>
              </w:rPr>
            </w:pPr>
          </w:p>
        </w:tc>
      </w:tr>
      <w:tr w14:paraId="490A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pct"/>
            <w:tcBorders>
              <w:top w:val="single" w:color="auto" w:sz="4" w:space="0"/>
              <w:left w:val="single" w:color="auto" w:sz="4" w:space="0"/>
              <w:bottom w:val="single" w:color="auto" w:sz="4" w:space="0"/>
              <w:right w:val="single" w:color="auto" w:sz="4" w:space="0"/>
            </w:tcBorders>
            <w:vAlign w:val="center"/>
          </w:tcPr>
          <w:p w14:paraId="5059A584">
            <w:pPr>
              <w:rPr>
                <w:rFonts w:ascii="Arial Narrow" w:hAnsi="Arial Narrow" w:eastAsiaTheme="minorEastAsia"/>
                <w:szCs w:val="21"/>
              </w:rPr>
            </w:pPr>
            <w:r>
              <w:rPr>
                <w:rFonts w:ascii="Arial Narrow" w:hAnsi="Arial Narrow" w:eastAsiaTheme="minorEastAsia"/>
                <w:szCs w:val="21"/>
              </w:rPr>
              <w:t>营业收入扣除项目合计金额</w:t>
            </w:r>
          </w:p>
        </w:tc>
        <w:tc>
          <w:tcPr>
            <w:tcW w:w="658" w:type="pct"/>
            <w:tcBorders>
              <w:top w:val="single" w:color="auto" w:sz="4" w:space="0"/>
              <w:left w:val="single" w:color="auto" w:sz="4" w:space="0"/>
              <w:bottom w:val="single" w:color="auto" w:sz="4" w:space="0"/>
              <w:right w:val="single" w:color="auto" w:sz="4" w:space="0"/>
            </w:tcBorders>
            <w:vAlign w:val="center"/>
          </w:tcPr>
          <w:p w14:paraId="1A2FAAFF">
            <w:pPr>
              <w:jc w:val="right"/>
              <w:rPr>
                <w:rFonts w:ascii="Arial Narrow" w:hAnsi="Arial Narrow" w:eastAsiaTheme="minorEastAsia"/>
                <w:szCs w:val="21"/>
              </w:rPr>
            </w:pPr>
            <w:r>
              <w:rPr>
                <w:rFonts w:ascii="Arial Narrow" w:hAnsi="Arial Narrow" w:eastAsiaTheme="minorEastAsia"/>
                <w:color w:val="000000"/>
                <w:szCs w:val="21"/>
              </w:rPr>
              <w:t>28,424.15</w:t>
            </w:r>
          </w:p>
        </w:tc>
        <w:tc>
          <w:tcPr>
            <w:tcW w:w="962" w:type="pct"/>
            <w:tcBorders>
              <w:top w:val="single" w:color="auto" w:sz="4" w:space="0"/>
              <w:left w:val="single" w:color="auto" w:sz="4" w:space="0"/>
              <w:bottom w:val="single" w:color="auto" w:sz="4" w:space="0"/>
              <w:right w:val="single" w:color="auto" w:sz="4" w:space="0"/>
            </w:tcBorders>
            <w:vAlign w:val="bottom"/>
          </w:tcPr>
          <w:p w14:paraId="31BFBDA6">
            <w:pPr>
              <w:rPr>
                <w:rFonts w:ascii="Arial Narrow" w:hAnsi="Arial Narrow" w:eastAsiaTheme="minorEastAsia"/>
                <w:szCs w:val="21"/>
              </w:rPr>
            </w:pPr>
            <w:r>
              <w:rPr>
                <w:rFonts w:ascii="Arial Narrow" w:hAnsi="Arial Narrow" w:eastAsiaTheme="minorEastAsia"/>
                <w:color w:val="000000"/>
                <w:szCs w:val="21"/>
              </w:rPr>
              <w:t>出租资产、销售材料等</w:t>
            </w:r>
          </w:p>
        </w:tc>
        <w:tc>
          <w:tcPr>
            <w:tcW w:w="658" w:type="pct"/>
            <w:tcBorders>
              <w:top w:val="single" w:color="auto" w:sz="4" w:space="0"/>
              <w:left w:val="single" w:color="auto" w:sz="4" w:space="0"/>
              <w:bottom w:val="single" w:color="auto" w:sz="4" w:space="0"/>
              <w:right w:val="single" w:color="auto" w:sz="4" w:space="0"/>
            </w:tcBorders>
            <w:vAlign w:val="center"/>
          </w:tcPr>
          <w:p w14:paraId="23DB47F2">
            <w:pPr>
              <w:jc w:val="right"/>
              <w:rPr>
                <w:rFonts w:ascii="Arial Narrow" w:hAnsi="Arial Narrow" w:eastAsiaTheme="minorEastAsia"/>
                <w:szCs w:val="21"/>
              </w:rPr>
            </w:pPr>
            <w:r>
              <w:rPr>
                <w:rFonts w:ascii="Arial Narrow" w:hAnsi="Arial Narrow" w:eastAsiaTheme="minorEastAsia"/>
                <w:color w:val="000000"/>
                <w:szCs w:val="21"/>
              </w:rPr>
              <w:t>30,792.05</w:t>
            </w:r>
          </w:p>
        </w:tc>
        <w:tc>
          <w:tcPr>
            <w:tcW w:w="962" w:type="pct"/>
            <w:tcBorders>
              <w:top w:val="single" w:color="auto" w:sz="4" w:space="0"/>
              <w:left w:val="single" w:color="auto" w:sz="4" w:space="0"/>
              <w:bottom w:val="single" w:color="auto" w:sz="4" w:space="0"/>
              <w:right w:val="single" w:color="auto" w:sz="4" w:space="0"/>
            </w:tcBorders>
            <w:vAlign w:val="center"/>
          </w:tcPr>
          <w:p w14:paraId="2E63E30F">
            <w:pPr>
              <w:jc w:val="both"/>
              <w:rPr>
                <w:rFonts w:ascii="Arial Narrow" w:hAnsi="Arial Narrow" w:eastAsiaTheme="minorEastAsia"/>
                <w:szCs w:val="21"/>
              </w:rPr>
            </w:pPr>
            <w:r>
              <w:rPr>
                <w:rFonts w:ascii="Arial Narrow" w:hAnsi="Arial Narrow" w:eastAsiaTheme="minorEastAsia"/>
                <w:color w:val="000000"/>
                <w:szCs w:val="21"/>
              </w:rPr>
              <w:t>出租资产、销售材料等</w:t>
            </w:r>
          </w:p>
        </w:tc>
      </w:tr>
      <w:tr w14:paraId="7DCE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1760" w:type="pct"/>
            <w:tcBorders>
              <w:top w:val="single" w:color="auto" w:sz="4" w:space="0"/>
              <w:left w:val="single" w:color="auto" w:sz="4" w:space="0"/>
              <w:bottom w:val="single" w:color="auto" w:sz="4" w:space="0"/>
              <w:right w:val="single" w:color="auto" w:sz="4" w:space="0"/>
            </w:tcBorders>
            <w:vAlign w:val="center"/>
          </w:tcPr>
          <w:p w14:paraId="353459B8">
            <w:pPr>
              <w:rPr>
                <w:rFonts w:ascii="Arial Narrow" w:hAnsi="Arial Narrow" w:eastAsiaTheme="minorEastAsia"/>
                <w:szCs w:val="21"/>
              </w:rPr>
            </w:pPr>
            <w:r>
              <w:rPr>
                <w:rFonts w:ascii="Arial Narrow" w:hAnsi="Arial Narrow" w:eastAsiaTheme="minorEastAsia"/>
                <w:szCs w:val="21"/>
              </w:rPr>
              <w:t>营业收入扣除项目合计金额占营业收入的比重（%）</w:t>
            </w:r>
          </w:p>
        </w:tc>
        <w:tc>
          <w:tcPr>
            <w:tcW w:w="658" w:type="pct"/>
            <w:tcBorders>
              <w:top w:val="single" w:color="auto" w:sz="4" w:space="0"/>
              <w:left w:val="single" w:color="auto" w:sz="4" w:space="0"/>
              <w:bottom w:val="single" w:color="auto" w:sz="4" w:space="0"/>
              <w:right w:val="single" w:color="auto" w:sz="4" w:space="0"/>
            </w:tcBorders>
            <w:vAlign w:val="center"/>
          </w:tcPr>
          <w:p w14:paraId="3462BFF6">
            <w:pPr>
              <w:jc w:val="right"/>
              <w:rPr>
                <w:rFonts w:ascii="Arial Narrow" w:hAnsi="Arial Narrow" w:eastAsiaTheme="minorEastAsia"/>
                <w:szCs w:val="21"/>
              </w:rPr>
            </w:pPr>
            <w:r>
              <w:rPr>
                <w:rFonts w:ascii="Arial Narrow" w:hAnsi="Arial Narrow" w:eastAsiaTheme="minorEastAsia"/>
                <w:color w:val="000000"/>
                <w:szCs w:val="21"/>
              </w:rPr>
              <w:t>2.88</w:t>
            </w:r>
          </w:p>
        </w:tc>
        <w:tc>
          <w:tcPr>
            <w:tcW w:w="962" w:type="pct"/>
            <w:tcBorders>
              <w:top w:val="single" w:color="auto" w:sz="4" w:space="0"/>
              <w:left w:val="single" w:color="auto" w:sz="4" w:space="0"/>
              <w:bottom w:val="single" w:color="auto" w:sz="4" w:space="0"/>
              <w:right w:val="single" w:color="auto" w:sz="4" w:space="0"/>
            </w:tcBorders>
            <w:vAlign w:val="bottom"/>
          </w:tcPr>
          <w:p w14:paraId="4B6B0B38">
            <w:pPr>
              <w:rPr>
                <w:rFonts w:ascii="Arial Narrow" w:hAnsi="Arial Narrow" w:eastAsiaTheme="minorEastAsia"/>
                <w:szCs w:val="21"/>
              </w:rPr>
            </w:pPr>
            <w:r>
              <w:rPr>
                <w:rFonts w:ascii="Arial Narrow" w:hAnsi="Arial Narrow" w:eastAsiaTheme="minorEastAsia"/>
                <w:color w:val="000000"/>
                <w:szCs w:val="21"/>
              </w:rPr>
              <w:t>/</w:t>
            </w:r>
          </w:p>
        </w:tc>
        <w:tc>
          <w:tcPr>
            <w:tcW w:w="658" w:type="pct"/>
            <w:tcBorders>
              <w:top w:val="single" w:color="auto" w:sz="4" w:space="0"/>
              <w:left w:val="single" w:color="auto" w:sz="4" w:space="0"/>
              <w:bottom w:val="single" w:color="auto" w:sz="4" w:space="0"/>
              <w:right w:val="single" w:color="auto" w:sz="4" w:space="0"/>
            </w:tcBorders>
            <w:vAlign w:val="center"/>
          </w:tcPr>
          <w:p w14:paraId="649A4ECA">
            <w:pPr>
              <w:jc w:val="right"/>
              <w:rPr>
                <w:rFonts w:ascii="Arial Narrow" w:hAnsi="Arial Narrow" w:eastAsiaTheme="minorEastAsia"/>
                <w:szCs w:val="21"/>
              </w:rPr>
            </w:pPr>
            <w:r>
              <w:rPr>
                <w:rFonts w:ascii="Arial Narrow" w:hAnsi="Arial Narrow" w:eastAsiaTheme="minorEastAsia"/>
                <w:color w:val="000000"/>
                <w:szCs w:val="21"/>
              </w:rPr>
              <w:t>2.66</w:t>
            </w:r>
          </w:p>
        </w:tc>
        <w:tc>
          <w:tcPr>
            <w:tcW w:w="962" w:type="pct"/>
            <w:tcBorders>
              <w:top w:val="single" w:color="auto" w:sz="4" w:space="0"/>
              <w:left w:val="single" w:color="auto" w:sz="4" w:space="0"/>
              <w:bottom w:val="single" w:color="auto" w:sz="4" w:space="0"/>
              <w:right w:val="single" w:color="auto" w:sz="4" w:space="0"/>
            </w:tcBorders>
            <w:vAlign w:val="center"/>
          </w:tcPr>
          <w:p w14:paraId="0ECD875C">
            <w:pPr>
              <w:jc w:val="center"/>
              <w:rPr>
                <w:rFonts w:ascii="Arial Narrow" w:hAnsi="Arial Narrow" w:eastAsiaTheme="minorEastAsia"/>
                <w:szCs w:val="21"/>
              </w:rPr>
            </w:pPr>
            <w:r>
              <w:rPr>
                <w:rFonts w:ascii="Arial Narrow" w:hAnsi="Arial Narrow" w:eastAsiaTheme="minorEastAsia"/>
                <w:color w:val="000000"/>
                <w:szCs w:val="21"/>
              </w:rPr>
              <w:t>/</w:t>
            </w:r>
          </w:p>
        </w:tc>
      </w:tr>
      <w:tr w14:paraId="0BE3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sdt>
          <w:sdtPr>
            <w:rPr>
              <w:rFonts w:ascii="Arial Narrow" w:hAnsi="Arial Narrow" w:eastAsiaTheme="minorEastAsia"/>
              <w:szCs w:val="21"/>
            </w:rPr>
            <w:tag w:val="_PLD_1ff2ec356c5243e7883e07f07f15b252"/>
            <w:id w:val="-181197268"/>
          </w:sdtPr>
          <w:sdtEndPr>
            <w:rPr>
              <w:rFonts w:ascii="Arial Narrow" w:hAnsi="Arial Narrow" w:eastAsiaTheme="minorEastAsia"/>
              <w:szCs w:val="21"/>
            </w:rPr>
          </w:sdtEndPr>
          <w:sdtContent>
            <w:tc>
              <w:tcPr>
                <w:tcW w:w="5000" w:type="pct"/>
                <w:gridSpan w:val="5"/>
                <w:tcBorders>
                  <w:top w:val="single" w:color="auto" w:sz="4" w:space="0"/>
                  <w:left w:val="single" w:color="auto" w:sz="4" w:space="0"/>
                  <w:bottom w:val="single" w:color="auto" w:sz="4" w:space="0"/>
                  <w:right w:val="single" w:color="auto" w:sz="4" w:space="0"/>
                </w:tcBorders>
                <w:vAlign w:val="center"/>
              </w:tcPr>
              <w:p w14:paraId="75C7C52A">
                <w:pPr>
                  <w:rPr>
                    <w:rFonts w:ascii="Arial Narrow" w:hAnsi="Arial Narrow" w:eastAsiaTheme="minorEastAsia"/>
                    <w:szCs w:val="21"/>
                  </w:rPr>
                </w:pPr>
                <w:r>
                  <w:rPr>
                    <w:rFonts w:ascii="Arial Narrow" w:hAnsi="Arial Narrow" w:eastAsiaTheme="minorEastAsia"/>
                    <w:b/>
                    <w:szCs w:val="21"/>
                  </w:rPr>
                  <w:t>一、与主营业务无关的业务收入</w:t>
                </w:r>
              </w:p>
            </w:tc>
          </w:sdtContent>
        </w:sdt>
      </w:tr>
      <w:tr w14:paraId="22C6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760" w:type="pct"/>
            <w:tcBorders>
              <w:top w:val="single" w:color="auto" w:sz="4" w:space="0"/>
              <w:left w:val="single" w:color="auto" w:sz="4" w:space="0"/>
              <w:bottom w:val="single" w:color="auto" w:sz="4" w:space="0"/>
              <w:right w:val="single" w:color="auto" w:sz="4" w:space="0"/>
            </w:tcBorders>
            <w:vAlign w:val="center"/>
          </w:tcPr>
          <w:p w14:paraId="3FE9687A">
            <w:pPr>
              <w:rPr>
                <w:rFonts w:ascii="Arial Narrow" w:hAnsi="Arial Narrow" w:eastAsiaTheme="minorEastAsia"/>
                <w:szCs w:val="21"/>
              </w:rPr>
            </w:pPr>
            <w:r>
              <w:rPr>
                <w:rFonts w:ascii="Arial Narrow" w:hAnsi="Arial Narrow" w:eastAsiaTheme="minorEastAsia"/>
                <w:szCs w:val="21"/>
              </w:rPr>
              <w:t>1. 正常经营之外的其他业务收入。如出租固定资产、无形资产、包装物，销售材料，用材料进行非货币性资产交换，经营受托管理业务等实现的收入，以及虽计入主营业务收入，但属于上市公司正常经营之外的收入。</w:t>
            </w:r>
          </w:p>
        </w:tc>
        <w:tc>
          <w:tcPr>
            <w:tcW w:w="658" w:type="pct"/>
            <w:tcBorders>
              <w:top w:val="single" w:color="auto" w:sz="4" w:space="0"/>
              <w:left w:val="single" w:color="auto" w:sz="4" w:space="0"/>
              <w:bottom w:val="single" w:color="auto" w:sz="4" w:space="0"/>
              <w:right w:val="single" w:color="auto" w:sz="4" w:space="0"/>
            </w:tcBorders>
            <w:vAlign w:val="center"/>
          </w:tcPr>
          <w:p w14:paraId="7859DFE4">
            <w:pPr>
              <w:jc w:val="right"/>
              <w:rPr>
                <w:rFonts w:ascii="Arial Narrow" w:hAnsi="Arial Narrow" w:eastAsiaTheme="minorEastAsia"/>
                <w:szCs w:val="21"/>
              </w:rPr>
            </w:pPr>
            <w:r>
              <w:rPr>
                <w:rFonts w:ascii="Arial Narrow" w:hAnsi="Arial Narrow" w:eastAsiaTheme="minorEastAsia"/>
                <w:color w:val="000000"/>
                <w:szCs w:val="21"/>
              </w:rPr>
              <w:t>28,424.15</w:t>
            </w:r>
          </w:p>
        </w:tc>
        <w:tc>
          <w:tcPr>
            <w:tcW w:w="962" w:type="pct"/>
            <w:tcBorders>
              <w:top w:val="single" w:color="auto" w:sz="4" w:space="0"/>
              <w:left w:val="single" w:color="auto" w:sz="4" w:space="0"/>
              <w:bottom w:val="single" w:color="auto" w:sz="4" w:space="0"/>
              <w:right w:val="single" w:color="auto" w:sz="4" w:space="0"/>
            </w:tcBorders>
            <w:vAlign w:val="bottom"/>
          </w:tcPr>
          <w:p w14:paraId="2AEF2A49">
            <w:pPr>
              <w:rPr>
                <w:rFonts w:ascii="Arial Narrow" w:hAnsi="Arial Narrow" w:eastAsiaTheme="minorEastAsia"/>
                <w:szCs w:val="21"/>
              </w:rPr>
            </w:pPr>
            <w:r>
              <w:rPr>
                <w:rFonts w:ascii="Arial Narrow" w:hAnsi="Arial Narrow" w:eastAsiaTheme="minorEastAsia"/>
                <w:color w:val="000000"/>
                <w:szCs w:val="21"/>
              </w:rPr>
              <w:t>出租资产、销售材料等</w:t>
            </w:r>
          </w:p>
        </w:tc>
        <w:tc>
          <w:tcPr>
            <w:tcW w:w="658" w:type="pct"/>
            <w:tcBorders>
              <w:top w:val="single" w:color="auto" w:sz="4" w:space="0"/>
              <w:left w:val="single" w:color="auto" w:sz="4" w:space="0"/>
              <w:bottom w:val="single" w:color="auto" w:sz="4" w:space="0"/>
              <w:right w:val="single" w:color="auto" w:sz="4" w:space="0"/>
            </w:tcBorders>
            <w:vAlign w:val="center"/>
          </w:tcPr>
          <w:p w14:paraId="3436011F">
            <w:pPr>
              <w:jc w:val="right"/>
              <w:rPr>
                <w:rFonts w:ascii="Arial Narrow" w:hAnsi="Arial Narrow" w:eastAsiaTheme="minorEastAsia"/>
                <w:szCs w:val="21"/>
              </w:rPr>
            </w:pPr>
            <w:r>
              <w:rPr>
                <w:rFonts w:ascii="Arial Narrow" w:hAnsi="Arial Narrow" w:eastAsiaTheme="minorEastAsia"/>
                <w:color w:val="000000"/>
                <w:szCs w:val="21"/>
              </w:rPr>
              <w:t>30,792.05</w:t>
            </w:r>
          </w:p>
        </w:tc>
        <w:tc>
          <w:tcPr>
            <w:tcW w:w="962" w:type="pct"/>
            <w:tcBorders>
              <w:top w:val="single" w:color="auto" w:sz="4" w:space="0"/>
              <w:left w:val="single" w:color="auto" w:sz="4" w:space="0"/>
              <w:bottom w:val="single" w:color="auto" w:sz="4" w:space="0"/>
              <w:right w:val="single" w:color="auto" w:sz="4" w:space="0"/>
            </w:tcBorders>
            <w:vAlign w:val="center"/>
          </w:tcPr>
          <w:p w14:paraId="16D5CA7F">
            <w:pPr>
              <w:jc w:val="both"/>
              <w:rPr>
                <w:rFonts w:ascii="Arial Narrow" w:hAnsi="Arial Narrow" w:eastAsiaTheme="minorEastAsia"/>
                <w:szCs w:val="21"/>
              </w:rPr>
            </w:pPr>
            <w:r>
              <w:rPr>
                <w:rFonts w:ascii="Arial Narrow" w:hAnsi="Arial Narrow" w:eastAsiaTheme="minorEastAsia"/>
                <w:color w:val="000000"/>
                <w:szCs w:val="21"/>
              </w:rPr>
              <w:t>出租资产、销售材料等</w:t>
            </w:r>
          </w:p>
        </w:tc>
      </w:tr>
      <w:tr w14:paraId="525D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1760" w:type="pct"/>
            <w:tcBorders>
              <w:top w:val="single" w:color="auto" w:sz="4" w:space="0"/>
              <w:left w:val="single" w:color="auto" w:sz="4" w:space="0"/>
              <w:bottom w:val="single" w:color="auto" w:sz="4" w:space="0"/>
              <w:right w:val="single" w:color="auto" w:sz="4" w:space="0"/>
            </w:tcBorders>
            <w:vAlign w:val="center"/>
          </w:tcPr>
          <w:p w14:paraId="5140C2DE">
            <w:pPr>
              <w:rPr>
                <w:rFonts w:ascii="Arial Narrow" w:hAnsi="Arial Narrow" w:eastAsiaTheme="minorEastAsia"/>
                <w:szCs w:val="21"/>
              </w:rPr>
            </w:pPr>
            <w:r>
              <w:rPr>
                <w:rFonts w:ascii="Arial Narrow" w:hAnsi="Arial Narrow" w:eastAsiaTheme="minorEastAsia"/>
                <w:b/>
                <w:szCs w:val="21"/>
              </w:rPr>
              <w:t>与主营业务无关的业务收入小计</w:t>
            </w:r>
          </w:p>
        </w:tc>
        <w:tc>
          <w:tcPr>
            <w:tcW w:w="658" w:type="pct"/>
            <w:tcBorders>
              <w:top w:val="single" w:color="auto" w:sz="4" w:space="0"/>
              <w:left w:val="single" w:color="auto" w:sz="4" w:space="0"/>
              <w:bottom w:val="single" w:color="auto" w:sz="4" w:space="0"/>
              <w:right w:val="single" w:color="auto" w:sz="4" w:space="0"/>
            </w:tcBorders>
            <w:vAlign w:val="center"/>
          </w:tcPr>
          <w:p w14:paraId="3C809FD5">
            <w:pPr>
              <w:jc w:val="right"/>
              <w:rPr>
                <w:rFonts w:ascii="Arial Narrow" w:hAnsi="Arial Narrow" w:eastAsiaTheme="minorEastAsia"/>
                <w:szCs w:val="21"/>
              </w:rPr>
            </w:pPr>
            <w:r>
              <w:rPr>
                <w:rFonts w:ascii="Arial Narrow" w:hAnsi="Arial Narrow" w:eastAsiaTheme="minorEastAsia"/>
                <w:color w:val="000000"/>
                <w:szCs w:val="21"/>
              </w:rPr>
              <w:t>28,424.15</w:t>
            </w:r>
          </w:p>
        </w:tc>
        <w:tc>
          <w:tcPr>
            <w:tcW w:w="962" w:type="pct"/>
            <w:tcBorders>
              <w:top w:val="single" w:color="auto" w:sz="4" w:space="0"/>
              <w:left w:val="single" w:color="auto" w:sz="4" w:space="0"/>
              <w:bottom w:val="single" w:color="auto" w:sz="4" w:space="0"/>
              <w:right w:val="single" w:color="auto" w:sz="4" w:space="0"/>
            </w:tcBorders>
            <w:vAlign w:val="bottom"/>
          </w:tcPr>
          <w:p w14:paraId="2D807869">
            <w:pPr>
              <w:rPr>
                <w:rFonts w:ascii="Arial Narrow" w:hAnsi="Arial Narrow" w:eastAsiaTheme="minorEastAsia"/>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498194E">
            <w:pPr>
              <w:jc w:val="right"/>
              <w:rPr>
                <w:rFonts w:ascii="Arial Narrow" w:hAnsi="Arial Narrow" w:eastAsiaTheme="minorEastAsia"/>
                <w:szCs w:val="21"/>
              </w:rPr>
            </w:pPr>
            <w:r>
              <w:rPr>
                <w:rFonts w:ascii="Arial Narrow" w:hAnsi="Arial Narrow" w:eastAsiaTheme="minorEastAsia"/>
                <w:color w:val="000000"/>
                <w:szCs w:val="21"/>
              </w:rPr>
              <w:t>30,792.05</w:t>
            </w:r>
          </w:p>
        </w:tc>
        <w:tc>
          <w:tcPr>
            <w:tcW w:w="962" w:type="pct"/>
            <w:tcBorders>
              <w:top w:val="single" w:color="auto" w:sz="4" w:space="0"/>
              <w:left w:val="single" w:color="auto" w:sz="4" w:space="0"/>
              <w:bottom w:val="single" w:color="auto" w:sz="4" w:space="0"/>
              <w:right w:val="single" w:color="auto" w:sz="4" w:space="0"/>
            </w:tcBorders>
            <w:vAlign w:val="bottom"/>
          </w:tcPr>
          <w:p w14:paraId="4A0F91EA">
            <w:pPr>
              <w:rPr>
                <w:rFonts w:ascii="Arial Narrow" w:hAnsi="Arial Narrow" w:eastAsiaTheme="minorEastAsia"/>
                <w:szCs w:val="21"/>
              </w:rPr>
            </w:pPr>
          </w:p>
        </w:tc>
      </w:tr>
      <w:tr w14:paraId="032A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sdt>
          <w:sdtPr>
            <w:rPr>
              <w:rFonts w:ascii="Arial Narrow" w:hAnsi="Arial Narrow" w:eastAsiaTheme="minorEastAsia"/>
              <w:szCs w:val="21"/>
            </w:rPr>
            <w:tag w:val="_PLD_eb46b11d58e24ec39df142bb74bcb74f"/>
            <w:id w:val="-1182970801"/>
          </w:sdtPr>
          <w:sdtEndPr>
            <w:rPr>
              <w:rFonts w:ascii="Arial Narrow" w:hAnsi="Arial Narrow" w:eastAsiaTheme="minorEastAsia"/>
              <w:szCs w:val="21"/>
            </w:rPr>
          </w:sdtEndPr>
          <w:sdtContent>
            <w:tc>
              <w:tcPr>
                <w:tcW w:w="5000" w:type="pct"/>
                <w:gridSpan w:val="5"/>
                <w:tcBorders>
                  <w:top w:val="single" w:color="auto" w:sz="4" w:space="0"/>
                  <w:left w:val="single" w:color="auto" w:sz="4" w:space="0"/>
                  <w:bottom w:val="single" w:color="auto" w:sz="4" w:space="0"/>
                  <w:right w:val="single" w:color="auto" w:sz="4" w:space="0"/>
                </w:tcBorders>
                <w:vAlign w:val="center"/>
              </w:tcPr>
              <w:p w14:paraId="6980898E">
                <w:pPr>
                  <w:rPr>
                    <w:rFonts w:ascii="Arial Narrow" w:hAnsi="Arial Narrow" w:eastAsiaTheme="minorEastAsia"/>
                    <w:szCs w:val="21"/>
                  </w:rPr>
                </w:pPr>
                <w:r>
                  <w:rPr>
                    <w:rFonts w:ascii="Arial Narrow" w:hAnsi="Arial Narrow" w:eastAsiaTheme="minorEastAsia"/>
                    <w:b/>
                    <w:szCs w:val="21"/>
                  </w:rPr>
                  <w:t>二、不具备商业实质的收入</w:t>
                </w:r>
              </w:p>
            </w:tc>
          </w:sdtContent>
        </w:sdt>
      </w:tr>
      <w:tr w14:paraId="1169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pct"/>
            <w:tcBorders>
              <w:top w:val="single" w:color="auto" w:sz="4" w:space="0"/>
              <w:left w:val="single" w:color="auto" w:sz="4" w:space="0"/>
              <w:bottom w:val="single" w:color="auto" w:sz="4" w:space="0"/>
              <w:right w:val="single" w:color="auto" w:sz="4" w:space="0"/>
            </w:tcBorders>
            <w:vAlign w:val="center"/>
          </w:tcPr>
          <w:p w14:paraId="0128FA8A">
            <w:pPr>
              <w:rPr>
                <w:rFonts w:ascii="Arial Narrow" w:hAnsi="Arial Narrow" w:eastAsiaTheme="minorEastAsia"/>
                <w:szCs w:val="21"/>
              </w:rPr>
            </w:pPr>
            <w:r>
              <w:rPr>
                <w:rFonts w:ascii="Arial Narrow" w:hAnsi="Arial Narrow" w:eastAsiaTheme="minorEastAsia"/>
                <w:b/>
                <w:szCs w:val="21"/>
              </w:rPr>
              <w:t>三、与主营业务无关或不具备商业实质的其他收入</w:t>
            </w:r>
          </w:p>
        </w:tc>
        <w:tc>
          <w:tcPr>
            <w:tcW w:w="658" w:type="pct"/>
            <w:tcBorders>
              <w:top w:val="single" w:color="auto" w:sz="4" w:space="0"/>
              <w:left w:val="single" w:color="auto" w:sz="4" w:space="0"/>
              <w:bottom w:val="single" w:color="auto" w:sz="4" w:space="0"/>
              <w:right w:val="single" w:color="auto" w:sz="4" w:space="0"/>
            </w:tcBorders>
            <w:vAlign w:val="center"/>
          </w:tcPr>
          <w:p w14:paraId="1C2026A6">
            <w:pPr>
              <w:jc w:val="right"/>
              <w:rPr>
                <w:rFonts w:ascii="Arial Narrow" w:hAnsi="Arial Narrow" w:eastAsiaTheme="minorEastAsia"/>
                <w:szCs w:val="21"/>
              </w:rPr>
            </w:pPr>
          </w:p>
        </w:tc>
        <w:tc>
          <w:tcPr>
            <w:tcW w:w="962" w:type="pct"/>
            <w:tcBorders>
              <w:top w:val="single" w:color="auto" w:sz="4" w:space="0"/>
              <w:left w:val="single" w:color="auto" w:sz="4" w:space="0"/>
              <w:bottom w:val="single" w:color="auto" w:sz="4" w:space="0"/>
              <w:right w:val="single" w:color="auto" w:sz="4" w:space="0"/>
            </w:tcBorders>
            <w:vAlign w:val="center"/>
          </w:tcPr>
          <w:p w14:paraId="18776FB9">
            <w:pPr>
              <w:rPr>
                <w:rFonts w:ascii="Arial Narrow" w:hAnsi="Arial Narrow" w:eastAsiaTheme="minorEastAsia"/>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905BAC7">
            <w:pPr>
              <w:jc w:val="right"/>
              <w:rPr>
                <w:rFonts w:ascii="Arial Narrow" w:hAnsi="Arial Narrow" w:eastAsiaTheme="minorEastAsia"/>
                <w:szCs w:val="21"/>
              </w:rPr>
            </w:pPr>
          </w:p>
        </w:tc>
        <w:tc>
          <w:tcPr>
            <w:tcW w:w="962" w:type="pct"/>
            <w:tcBorders>
              <w:top w:val="single" w:color="auto" w:sz="4" w:space="0"/>
              <w:left w:val="single" w:color="auto" w:sz="4" w:space="0"/>
              <w:bottom w:val="single" w:color="auto" w:sz="4" w:space="0"/>
              <w:right w:val="single" w:color="auto" w:sz="4" w:space="0"/>
            </w:tcBorders>
            <w:vAlign w:val="center"/>
          </w:tcPr>
          <w:p w14:paraId="2BDB26B8">
            <w:pPr>
              <w:rPr>
                <w:rFonts w:ascii="Arial Narrow" w:hAnsi="Arial Narrow" w:eastAsiaTheme="minorEastAsia"/>
                <w:szCs w:val="21"/>
              </w:rPr>
            </w:pPr>
          </w:p>
        </w:tc>
      </w:tr>
      <w:tr w14:paraId="7B00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pct"/>
            <w:tcBorders>
              <w:top w:val="single" w:color="auto" w:sz="4" w:space="0"/>
              <w:left w:val="single" w:color="auto" w:sz="4" w:space="0"/>
              <w:bottom w:val="single" w:color="auto" w:sz="4" w:space="0"/>
              <w:right w:val="single" w:color="auto" w:sz="4" w:space="0"/>
            </w:tcBorders>
            <w:vAlign w:val="center"/>
          </w:tcPr>
          <w:p w14:paraId="0A429CAD">
            <w:pPr>
              <w:rPr>
                <w:rFonts w:ascii="Arial Narrow" w:hAnsi="Arial Narrow" w:eastAsiaTheme="minorEastAsia"/>
                <w:szCs w:val="21"/>
              </w:rPr>
            </w:pPr>
            <w:r>
              <w:rPr>
                <w:rFonts w:ascii="Arial Narrow" w:hAnsi="Arial Narrow" w:eastAsiaTheme="minorEastAsia"/>
                <w:szCs w:val="21"/>
              </w:rPr>
              <w:t>营业收入扣除后金额</w:t>
            </w:r>
          </w:p>
        </w:tc>
        <w:tc>
          <w:tcPr>
            <w:tcW w:w="658" w:type="pct"/>
            <w:tcBorders>
              <w:top w:val="single" w:color="auto" w:sz="4" w:space="0"/>
              <w:left w:val="single" w:color="auto" w:sz="4" w:space="0"/>
              <w:bottom w:val="single" w:color="auto" w:sz="4" w:space="0"/>
              <w:right w:val="single" w:color="auto" w:sz="4" w:space="0"/>
            </w:tcBorders>
            <w:vAlign w:val="center"/>
          </w:tcPr>
          <w:p w14:paraId="38814FD9">
            <w:pPr>
              <w:jc w:val="right"/>
              <w:rPr>
                <w:rFonts w:ascii="Arial Narrow" w:hAnsi="Arial Narrow" w:eastAsiaTheme="minorEastAsia"/>
                <w:szCs w:val="21"/>
              </w:rPr>
            </w:pPr>
            <w:r>
              <w:rPr>
                <w:rFonts w:ascii="Arial Narrow" w:hAnsi="Arial Narrow" w:eastAsiaTheme="minorEastAsia"/>
                <w:color w:val="000000"/>
                <w:szCs w:val="21"/>
              </w:rPr>
              <w:t>960,185.63</w:t>
            </w:r>
          </w:p>
        </w:tc>
        <w:tc>
          <w:tcPr>
            <w:tcW w:w="962" w:type="pct"/>
            <w:tcBorders>
              <w:top w:val="single" w:color="auto" w:sz="4" w:space="0"/>
              <w:left w:val="single" w:color="auto" w:sz="4" w:space="0"/>
              <w:bottom w:val="single" w:color="auto" w:sz="4" w:space="0"/>
              <w:right w:val="single" w:color="auto" w:sz="4" w:space="0"/>
            </w:tcBorders>
            <w:vAlign w:val="bottom"/>
          </w:tcPr>
          <w:p w14:paraId="53E0F7BF">
            <w:pPr>
              <w:rPr>
                <w:rFonts w:ascii="Arial Narrow" w:hAnsi="Arial Narrow" w:eastAsiaTheme="minorEastAsia"/>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788D31E6">
            <w:pPr>
              <w:jc w:val="right"/>
              <w:rPr>
                <w:rFonts w:ascii="Arial Narrow" w:hAnsi="Arial Narrow" w:eastAsiaTheme="minorEastAsia"/>
                <w:szCs w:val="21"/>
              </w:rPr>
            </w:pPr>
            <w:r>
              <w:rPr>
                <w:rFonts w:ascii="Arial Narrow" w:hAnsi="Arial Narrow" w:eastAsiaTheme="minorEastAsia"/>
                <w:color w:val="000000"/>
                <w:szCs w:val="21"/>
              </w:rPr>
              <w:t>1,125,276.83</w:t>
            </w:r>
          </w:p>
        </w:tc>
        <w:tc>
          <w:tcPr>
            <w:tcW w:w="962" w:type="pct"/>
            <w:tcBorders>
              <w:top w:val="single" w:color="auto" w:sz="4" w:space="0"/>
              <w:left w:val="single" w:color="auto" w:sz="4" w:space="0"/>
              <w:bottom w:val="single" w:color="auto" w:sz="4" w:space="0"/>
              <w:right w:val="single" w:color="auto" w:sz="4" w:space="0"/>
            </w:tcBorders>
            <w:vAlign w:val="bottom"/>
          </w:tcPr>
          <w:p w14:paraId="5BC04AC0">
            <w:pPr>
              <w:rPr>
                <w:rFonts w:ascii="Arial Narrow" w:hAnsi="Arial Narrow" w:eastAsiaTheme="minorEastAsia"/>
                <w:szCs w:val="21"/>
              </w:rPr>
            </w:pPr>
          </w:p>
        </w:tc>
      </w:tr>
    </w:tbl>
    <w:p w14:paraId="5F4FBA51">
      <w:pPr>
        <w:rPr>
          <w:rFonts w:hint="eastAsia"/>
        </w:rPr>
      </w:pPr>
    </w:p>
    <w:p w14:paraId="10AB9DA7">
      <w:pPr>
        <w:rPr>
          <w:rFonts w:hint="eastAsia"/>
        </w:rPr>
        <w:sectPr>
          <w:pgSz w:w="16838" w:h="11906" w:orient="landscape"/>
          <w:pgMar w:top="1276" w:right="1440" w:bottom="1797" w:left="1525" w:header="856" w:footer="992" w:gutter="0"/>
          <w:cols w:space="425" w:num="1"/>
          <w:docGrid w:linePitch="312" w:charSpace="0"/>
        </w:sectPr>
      </w:pPr>
    </w:p>
    <w:bookmarkEnd w:id="365"/>
    <w:p w14:paraId="22CBDC8C">
      <w:pPr>
        <w:rPr>
          <w:rFonts w:hint="eastAsia"/>
        </w:rPr>
      </w:pPr>
    </w:p>
    <w:sdt>
      <w:sdtPr>
        <w:rPr>
          <w:rFonts w:hint="eastAsia" w:ascii="宋体" w:hAnsi="宋体" w:eastAsia="宋体" w:cs="宋体"/>
          <w:b w:val="0"/>
          <w:bCs w:val="0"/>
          <w:kern w:val="0"/>
          <w:szCs w:val="24"/>
        </w:rPr>
        <w:alias w:val="模块:合同产生的收入的情况"/>
        <w:tag w:val="_SEC_020e88e24a604d8684cb34b724e2379b"/>
        <w:id w:val="1118872252"/>
        <w:placeholder>
          <w:docPart w:val="GBC22222222222222222222222222222"/>
        </w:placeholder>
      </w:sdtPr>
      <w:sdtEndPr>
        <w:rPr>
          <w:rFonts w:hint="default" w:ascii="宋体" w:hAnsi="宋体" w:eastAsia="宋体" w:cs="宋体"/>
          <w:b w:val="0"/>
          <w:bCs w:val="0"/>
          <w:kern w:val="0"/>
          <w:szCs w:val="24"/>
        </w:rPr>
      </w:sdtEndPr>
      <w:sdtContent>
        <w:p w14:paraId="01D8A847">
          <w:pPr>
            <w:pStyle w:val="71"/>
            <w:numPr>
              <w:ilvl w:val="0"/>
              <w:numId w:val="147"/>
            </w:numPr>
            <w:ind w:left="426" w:hanging="426"/>
            <w:rPr>
              <w:rFonts w:hint="eastAsia"/>
            </w:rPr>
          </w:pPr>
          <w:bookmarkStart w:id="366" w:name="_Hlk533756233"/>
          <w:r>
            <w:rPr>
              <w:rFonts w:hint="eastAsia"/>
            </w:rPr>
            <w:t xml:space="preserve">营业收入、营业成本的分解信息 </w:t>
          </w:r>
        </w:p>
        <w:sdt>
          <w:sdtPr>
            <w:rPr>
              <w:rFonts w:ascii="宋体" w:hAnsi="宋体"/>
              <w:szCs w:val="21"/>
            </w:rPr>
            <w:alias w:val="是否适用：营业收入、营业成本的分解信息 [双击切换]"/>
            <w:tag w:val="_GBC_9ca3964974eb4c71856442f0683fa140"/>
            <w:id w:val="-846172860"/>
            <w:placeholder>
              <w:docPart w:val="GBC22222222222222222222222222222"/>
            </w:placeholder>
          </w:sdtPr>
          <w:sdtEndPr>
            <w:rPr>
              <w:rFonts w:ascii="宋体" w:hAnsi="宋体"/>
              <w:szCs w:val="21"/>
            </w:rPr>
          </w:sdtEndPr>
          <w:sdtContent>
            <w:p w14:paraId="6FBC4EDB">
              <w:pPr>
                <w:pStyle w:val="109"/>
                <w:ind w:firstLine="0" w:firstLineChars="0"/>
                <w:jc w:val="left"/>
                <w:rPr>
                  <w:rFonts w:hint="eastAsia"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262A2811">
          <w:pPr>
            <w:pStyle w:val="109"/>
            <w:ind w:firstLine="0" w:firstLineChars="0"/>
            <w:jc w:val="right"/>
            <w:rPr>
              <w:rFonts w:hint="eastAsia" w:ascii="宋体" w:hAnsi="宋体"/>
              <w:szCs w:val="21"/>
            </w:rPr>
          </w:pPr>
          <w:r>
            <w:rPr>
              <w:rFonts w:hint="eastAsia" w:ascii="宋体" w:hAnsi="宋体"/>
              <w:szCs w:val="21"/>
            </w:rPr>
            <w:t>单位：</w:t>
          </w:r>
          <w:sdt>
            <w:sdtPr>
              <w:rPr>
                <w:rFonts w:hint="eastAsia" w:ascii="宋体" w:hAnsi="宋体"/>
                <w:szCs w:val="21"/>
              </w:rPr>
              <w:alias w:val="单位：营业收入、营业成本的分解信息 "/>
              <w:tag w:val="_GBC_712aadfd959247489c16d4246880bfef"/>
              <w:id w:val="3190838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szCs w:val="21"/>
              </w:rPr>
            </w:sdtEndPr>
            <w:sdtContent>
              <w:r>
                <w:rPr>
                  <w:rFonts w:hint="eastAsia" w:ascii="宋体" w:hAnsi="宋体"/>
                  <w:szCs w:val="21"/>
                </w:rPr>
                <w:t>元</w:t>
              </w:r>
            </w:sdtContent>
          </w:sdt>
          <w:r>
            <w:rPr>
              <w:rFonts w:hint="eastAsia" w:ascii="宋体" w:hAnsi="宋体"/>
              <w:szCs w:val="21"/>
            </w:rPr>
            <w:t xml:space="preserve">  币种：</w:t>
          </w:r>
          <w:sdt>
            <w:sdtPr>
              <w:rPr>
                <w:rFonts w:hint="eastAsia" w:ascii="宋体" w:hAnsi="宋体"/>
                <w:szCs w:val="21"/>
              </w:rPr>
              <w:alias w:val="币种：营业收入、营业成本的分解信息 "/>
              <w:tag w:val="_GBC_ca9b26593dbf458b829ac632033cd724"/>
              <w:id w:val="14833537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szCs w:val="21"/>
              </w:rPr>
            </w:sdtEndPr>
            <w:sdtContent>
              <w:r>
                <w:rPr>
                  <w:rFonts w:hint="eastAsia" w:ascii="宋体" w:hAnsi="宋体"/>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0"/>
            <w:gridCol w:w="1622"/>
            <w:gridCol w:w="1659"/>
            <w:gridCol w:w="1659"/>
            <w:gridCol w:w="1653"/>
          </w:tblGrid>
          <w:tr w14:paraId="6FA5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ajorEastAsia"/>
                  <w:szCs w:val="21"/>
                </w:rPr>
                <w:tag w:val="_PLD_0e9269f20e6e4b7f8a6a8c59b9077225"/>
                <w:id w:val="966550966"/>
              </w:sdtPr>
              <w:sdtEndPr>
                <w:rPr>
                  <w:rFonts w:ascii="Arial Narrow" w:hAnsi="Arial Narrow" w:eastAsiaTheme="majorEastAsia"/>
                  <w:szCs w:val="21"/>
                </w:rPr>
              </w:sdtEndPr>
              <w:sdtContent>
                <w:tc>
                  <w:tcPr>
                    <w:tcW w:w="1264" w:type="pct"/>
                    <w:vMerge w:val="restart"/>
                    <w:tcBorders>
                      <w:top w:val="single" w:color="auto" w:sz="4" w:space="0"/>
                      <w:left w:val="single" w:color="auto" w:sz="4" w:space="0"/>
                      <w:right w:val="single" w:color="auto" w:sz="4" w:space="0"/>
                    </w:tcBorders>
                    <w:shd w:val="clear" w:color="auto" w:fill="auto"/>
                    <w:vAlign w:val="center"/>
                  </w:tcPr>
                  <w:p w14:paraId="3A4FCBFF">
                    <w:pPr>
                      <w:jc w:val="center"/>
                      <w:rPr>
                        <w:rFonts w:ascii="Arial Narrow" w:hAnsi="Arial Narrow" w:eastAsiaTheme="majorEastAsia"/>
                        <w:szCs w:val="21"/>
                      </w:rPr>
                    </w:pPr>
                    <w:r>
                      <w:rPr>
                        <w:rFonts w:ascii="Arial Narrow" w:hAnsi="Arial Narrow" w:eastAsiaTheme="majorEastAsia"/>
                        <w:szCs w:val="21"/>
                      </w:rPr>
                      <w:t>合同分类</w:t>
                    </w:r>
                  </w:p>
                </w:tc>
              </w:sdtContent>
            </w:sdt>
            <w:sdt>
              <w:sdtPr>
                <w:rPr>
                  <w:rFonts w:ascii="Arial Narrow" w:hAnsi="Arial Narrow" w:eastAsiaTheme="majorEastAsia"/>
                  <w:szCs w:val="21"/>
                </w:rPr>
                <w:alias w:val="合同产生的收入分部名称"/>
                <w:tag w:val="_GBC_ab0118fbe71a45709156970254ce1192"/>
                <w:id w:val="1378204104"/>
              </w:sdtPr>
              <w:sdtEndPr>
                <w:rPr>
                  <w:rFonts w:ascii="Arial Narrow" w:hAnsi="Arial Narrow" w:eastAsiaTheme="majorEastAsia"/>
                  <w:szCs w:val="21"/>
                </w:rPr>
              </w:sdtEndPr>
              <w:sdtContent>
                <w:tc>
                  <w:tcPr>
                    <w:tcW w:w="185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51DBD7">
                    <w:pPr>
                      <w:jc w:val="center"/>
                      <w:rPr>
                        <w:rFonts w:ascii="Arial Narrow" w:hAnsi="Arial Narrow" w:eastAsiaTheme="majorEastAsia"/>
                        <w:szCs w:val="21"/>
                      </w:rPr>
                    </w:pPr>
                    <w:r>
                      <w:rPr>
                        <w:rFonts w:ascii="Arial Narrow" w:hAnsi="Arial Narrow" w:eastAsiaTheme="majorEastAsia"/>
                        <w:szCs w:val="21"/>
                      </w:rPr>
                      <w:t>分部</w:t>
                    </w:r>
                  </w:p>
                </w:tc>
              </w:sdtContent>
            </w:sdt>
            <w:sdt>
              <w:sdtPr>
                <w:rPr>
                  <w:rFonts w:ascii="Arial Narrow" w:hAnsi="Arial Narrow" w:eastAsiaTheme="majorEastAsia"/>
                  <w:szCs w:val="21"/>
                </w:rPr>
                <w:tag w:val="_PLD_4c617eb15d544d45ba3090cf4fb369da"/>
                <w:id w:val="-2098937837"/>
              </w:sdtPr>
              <w:sdtEndPr>
                <w:rPr>
                  <w:rFonts w:ascii="Arial Narrow" w:hAnsi="Arial Narrow" w:eastAsiaTheme="majorEastAsia"/>
                  <w:szCs w:val="21"/>
                </w:rPr>
              </w:sdtEndPr>
              <w:sdtContent>
                <w:tc>
                  <w:tcPr>
                    <w:tcW w:w="1877" w:type="pct"/>
                    <w:gridSpan w:val="2"/>
                    <w:tcBorders>
                      <w:top w:val="single" w:color="auto" w:sz="4" w:space="0"/>
                      <w:left w:val="single" w:color="auto" w:sz="4" w:space="0"/>
                      <w:bottom w:val="single" w:color="auto" w:sz="4" w:space="0"/>
                      <w:right w:val="single" w:color="auto" w:sz="4" w:space="0"/>
                    </w:tcBorders>
                    <w:vAlign w:val="center"/>
                  </w:tcPr>
                  <w:p w14:paraId="396B97A7">
                    <w:pPr>
                      <w:jc w:val="center"/>
                      <w:rPr>
                        <w:rFonts w:ascii="Arial Narrow" w:hAnsi="Arial Narrow" w:eastAsiaTheme="majorEastAsia"/>
                        <w:szCs w:val="21"/>
                      </w:rPr>
                    </w:pPr>
                    <w:r>
                      <w:rPr>
                        <w:rFonts w:ascii="Arial Narrow" w:hAnsi="Arial Narrow" w:eastAsiaTheme="majorEastAsia"/>
                        <w:szCs w:val="21"/>
                      </w:rPr>
                      <w:t>合计</w:t>
                    </w:r>
                  </w:p>
                </w:tc>
              </w:sdtContent>
            </w:sdt>
          </w:tr>
          <w:tr w14:paraId="2C78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vMerge w:val="continue"/>
                <w:tcBorders>
                  <w:left w:val="single" w:color="auto" w:sz="4" w:space="0"/>
                  <w:bottom w:val="single" w:color="auto" w:sz="4" w:space="0"/>
                  <w:right w:val="single" w:color="auto" w:sz="4" w:space="0"/>
                </w:tcBorders>
                <w:shd w:val="clear" w:color="auto" w:fill="auto"/>
                <w:vAlign w:val="center"/>
              </w:tcPr>
              <w:p w14:paraId="459B4A70">
                <w:pPr>
                  <w:jc w:val="center"/>
                  <w:rPr>
                    <w:rFonts w:ascii="Arial Narrow" w:hAnsi="Arial Narrow" w:eastAsiaTheme="majorEastAsia"/>
                    <w:szCs w:val="21"/>
                  </w:rPr>
                </w:pPr>
              </w:p>
            </w:tc>
            <w:sdt>
              <w:sdtPr>
                <w:rPr>
                  <w:rFonts w:ascii="Arial Narrow" w:hAnsi="Arial Narrow" w:eastAsiaTheme="majorEastAsia"/>
                  <w:szCs w:val="21"/>
                </w:rPr>
                <w:tag w:val="_PLD_812056a1dd1146b887b2fe5989c7c698"/>
                <w:id w:val="60841718"/>
              </w:sdtPr>
              <w:sdtEndPr>
                <w:rPr>
                  <w:rFonts w:ascii="Arial Narrow" w:hAnsi="Arial Narrow" w:eastAsiaTheme="majorEastAsia"/>
                  <w:szCs w:val="21"/>
                </w:rPr>
              </w:sdtEndPr>
              <w:sdtContent>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71839742">
                    <w:pPr>
                      <w:jc w:val="center"/>
                      <w:rPr>
                        <w:rFonts w:ascii="Arial Narrow" w:hAnsi="Arial Narrow" w:eastAsiaTheme="majorEastAsia"/>
                        <w:szCs w:val="21"/>
                      </w:rPr>
                    </w:pPr>
                    <w:r>
                      <w:rPr>
                        <w:rFonts w:ascii="Arial Narrow" w:hAnsi="Arial Narrow" w:eastAsiaTheme="majorEastAsia"/>
                        <w:szCs w:val="21"/>
                      </w:rPr>
                      <w:t>营业收入</w:t>
                    </w:r>
                  </w:p>
                </w:tc>
              </w:sdtContent>
            </w:sdt>
            <w:sdt>
              <w:sdtPr>
                <w:rPr>
                  <w:rFonts w:ascii="Arial Narrow" w:hAnsi="Arial Narrow" w:eastAsiaTheme="majorEastAsia"/>
                  <w:szCs w:val="21"/>
                </w:rPr>
                <w:tag w:val="_PLD_a596be33430c4e278795102f77bfea46"/>
                <w:id w:val="1462919703"/>
              </w:sdtPr>
              <w:sdtEndPr>
                <w:rPr>
                  <w:rFonts w:ascii="Arial Narrow" w:hAnsi="Arial Narrow" w:eastAsiaTheme="majorEastAsia"/>
                  <w:szCs w:val="21"/>
                </w:rPr>
              </w:sdtEndPr>
              <w:sdtContent>
                <w:tc>
                  <w:tcPr>
                    <w:tcW w:w="940" w:type="pct"/>
                    <w:tcBorders>
                      <w:top w:val="single" w:color="auto" w:sz="4" w:space="0"/>
                      <w:left w:val="single" w:color="auto" w:sz="4" w:space="0"/>
                      <w:bottom w:val="single" w:color="auto" w:sz="4" w:space="0"/>
                      <w:right w:val="single" w:color="auto" w:sz="4" w:space="0"/>
                    </w:tcBorders>
                    <w:vAlign w:val="center"/>
                  </w:tcPr>
                  <w:p w14:paraId="604EA062">
                    <w:pPr>
                      <w:jc w:val="center"/>
                      <w:rPr>
                        <w:rFonts w:ascii="Arial Narrow" w:hAnsi="Arial Narrow" w:eastAsiaTheme="majorEastAsia"/>
                        <w:szCs w:val="21"/>
                      </w:rPr>
                    </w:pPr>
                    <w:r>
                      <w:rPr>
                        <w:rFonts w:ascii="Arial Narrow" w:hAnsi="Arial Narrow" w:eastAsiaTheme="majorEastAsia"/>
                        <w:szCs w:val="21"/>
                      </w:rPr>
                      <w:t>营业成本</w:t>
                    </w:r>
                  </w:p>
                </w:tc>
              </w:sdtContent>
            </w:sdt>
            <w:sdt>
              <w:sdtPr>
                <w:rPr>
                  <w:rFonts w:ascii="Arial Narrow" w:hAnsi="Arial Narrow" w:eastAsiaTheme="majorEastAsia"/>
                  <w:szCs w:val="21"/>
                </w:rPr>
                <w:tag w:val="_PLD_63400df9f177476bb0975376f62b78b9"/>
                <w:id w:val="1587424137"/>
              </w:sdtPr>
              <w:sdtEndPr>
                <w:rPr>
                  <w:rFonts w:ascii="Arial Narrow" w:hAnsi="Arial Narrow" w:eastAsiaTheme="majorEastAsia"/>
                  <w:szCs w:val="21"/>
                </w:rPr>
              </w:sdtEndPr>
              <w:sdtContent>
                <w:tc>
                  <w:tcPr>
                    <w:tcW w:w="940" w:type="pct"/>
                    <w:tcBorders>
                      <w:top w:val="single" w:color="auto" w:sz="4" w:space="0"/>
                      <w:left w:val="single" w:color="auto" w:sz="4" w:space="0"/>
                      <w:bottom w:val="single" w:color="auto" w:sz="4" w:space="0"/>
                      <w:right w:val="single" w:color="auto" w:sz="4" w:space="0"/>
                    </w:tcBorders>
                    <w:vAlign w:val="center"/>
                  </w:tcPr>
                  <w:p w14:paraId="436BAE89">
                    <w:pPr>
                      <w:jc w:val="center"/>
                      <w:rPr>
                        <w:rFonts w:ascii="Arial Narrow" w:hAnsi="Arial Narrow" w:eastAsiaTheme="majorEastAsia"/>
                        <w:szCs w:val="21"/>
                      </w:rPr>
                    </w:pPr>
                    <w:r>
                      <w:rPr>
                        <w:rFonts w:ascii="Arial Narrow" w:hAnsi="Arial Narrow" w:eastAsiaTheme="majorEastAsia"/>
                        <w:szCs w:val="21"/>
                      </w:rPr>
                      <w:t>营业收入</w:t>
                    </w:r>
                  </w:p>
                </w:tc>
              </w:sdtContent>
            </w:sdt>
            <w:sdt>
              <w:sdtPr>
                <w:rPr>
                  <w:rFonts w:ascii="Arial Narrow" w:hAnsi="Arial Narrow" w:eastAsiaTheme="majorEastAsia"/>
                  <w:szCs w:val="21"/>
                </w:rPr>
                <w:tag w:val="_PLD_ccb1ce0fea894f5892ff4f8ace575517"/>
                <w:id w:val="2037006637"/>
              </w:sdtPr>
              <w:sdtEndPr>
                <w:rPr>
                  <w:rFonts w:ascii="Arial Narrow" w:hAnsi="Arial Narrow" w:eastAsiaTheme="majorEastAsia"/>
                  <w:szCs w:val="21"/>
                </w:rPr>
              </w:sdtEndPr>
              <w:sdtContent>
                <w:tc>
                  <w:tcPr>
                    <w:tcW w:w="937" w:type="pct"/>
                    <w:tcBorders>
                      <w:top w:val="single" w:color="auto" w:sz="4" w:space="0"/>
                      <w:left w:val="single" w:color="auto" w:sz="4" w:space="0"/>
                      <w:bottom w:val="single" w:color="auto" w:sz="4" w:space="0"/>
                      <w:right w:val="single" w:color="auto" w:sz="4" w:space="0"/>
                    </w:tcBorders>
                    <w:vAlign w:val="center"/>
                  </w:tcPr>
                  <w:p w14:paraId="15139CEE">
                    <w:pPr>
                      <w:jc w:val="center"/>
                      <w:rPr>
                        <w:rFonts w:ascii="Arial Narrow" w:hAnsi="Arial Narrow" w:eastAsiaTheme="majorEastAsia"/>
                        <w:szCs w:val="21"/>
                      </w:rPr>
                    </w:pPr>
                    <w:r>
                      <w:rPr>
                        <w:rFonts w:ascii="Arial Narrow" w:hAnsi="Arial Narrow" w:eastAsiaTheme="majorEastAsia"/>
                        <w:szCs w:val="21"/>
                      </w:rPr>
                      <w:t>营业成本</w:t>
                    </w:r>
                  </w:p>
                </w:tc>
              </w:sdtContent>
            </w:sdt>
          </w:tr>
          <w:tr w14:paraId="5547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center"/>
              </w:tcPr>
              <w:p w14:paraId="39A24512">
                <w:pPr>
                  <w:rPr>
                    <w:rFonts w:ascii="Arial Narrow" w:hAnsi="Arial Narrow" w:eastAsiaTheme="majorEastAsia"/>
                    <w:szCs w:val="21"/>
                  </w:rPr>
                </w:pPr>
                <w:r>
                  <w:rPr>
                    <w:rFonts w:ascii="Arial Narrow" w:hAnsi="Arial Narrow" w:eastAsiaTheme="majorEastAsia"/>
                    <w:szCs w:val="21"/>
                  </w:rPr>
                  <w:t>按经营地区分类</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21408F38">
                <w:pPr>
                  <w:jc w:val="right"/>
                  <w:rPr>
                    <w:rFonts w:ascii="Arial Narrow" w:hAnsi="Arial Narrow" w:eastAsiaTheme="majorEastAsia"/>
                    <w:szCs w:val="21"/>
                  </w:rPr>
                </w:pPr>
                <w:r>
                  <w:rPr>
                    <w:rFonts w:ascii="Arial Narrow" w:hAnsi="Arial Narrow" w:eastAsiaTheme="majorEastAsia"/>
                    <w:szCs w:val="21"/>
                  </w:rPr>
                  <w:t>　</w:t>
                </w:r>
              </w:p>
            </w:tc>
            <w:tc>
              <w:tcPr>
                <w:tcW w:w="940" w:type="pct"/>
                <w:tcBorders>
                  <w:top w:val="single" w:color="auto" w:sz="4" w:space="0"/>
                  <w:left w:val="single" w:color="auto" w:sz="4" w:space="0"/>
                  <w:bottom w:val="single" w:color="auto" w:sz="4" w:space="0"/>
                  <w:right w:val="single" w:color="auto" w:sz="4" w:space="0"/>
                </w:tcBorders>
                <w:vAlign w:val="center"/>
              </w:tcPr>
              <w:p w14:paraId="44C31C5A">
                <w:pPr>
                  <w:jc w:val="right"/>
                  <w:rPr>
                    <w:rFonts w:ascii="Arial Narrow" w:hAnsi="Arial Narrow" w:eastAsiaTheme="majorEastAsia"/>
                    <w:szCs w:val="21"/>
                  </w:rPr>
                </w:pPr>
                <w:r>
                  <w:rPr>
                    <w:rFonts w:ascii="Arial Narrow" w:hAnsi="Arial Narrow" w:eastAsiaTheme="majorEastAsia"/>
                    <w:szCs w:val="21"/>
                  </w:rPr>
                  <w:t>　</w:t>
                </w:r>
              </w:p>
            </w:tc>
            <w:tc>
              <w:tcPr>
                <w:tcW w:w="940" w:type="pct"/>
                <w:tcBorders>
                  <w:top w:val="single" w:color="auto" w:sz="4" w:space="0"/>
                  <w:left w:val="single" w:color="auto" w:sz="4" w:space="0"/>
                  <w:bottom w:val="single" w:color="auto" w:sz="4" w:space="0"/>
                  <w:right w:val="single" w:color="auto" w:sz="4" w:space="0"/>
                </w:tcBorders>
                <w:vAlign w:val="center"/>
              </w:tcPr>
              <w:p w14:paraId="0C238DB4">
                <w:pPr>
                  <w:jc w:val="right"/>
                  <w:rPr>
                    <w:rFonts w:ascii="Arial Narrow" w:hAnsi="Arial Narrow" w:eastAsiaTheme="majorEastAsia"/>
                    <w:szCs w:val="21"/>
                  </w:rPr>
                </w:pPr>
                <w:r>
                  <w:rPr>
                    <w:rFonts w:ascii="Arial Narrow" w:hAnsi="Arial Narrow" w:eastAsiaTheme="majorEastAsia"/>
                    <w:szCs w:val="21"/>
                  </w:rPr>
                  <w:t>　</w:t>
                </w:r>
              </w:p>
            </w:tc>
            <w:tc>
              <w:tcPr>
                <w:tcW w:w="937" w:type="pct"/>
                <w:tcBorders>
                  <w:top w:val="single" w:color="auto" w:sz="4" w:space="0"/>
                  <w:left w:val="single" w:color="auto" w:sz="4" w:space="0"/>
                  <w:bottom w:val="single" w:color="auto" w:sz="4" w:space="0"/>
                  <w:right w:val="single" w:color="auto" w:sz="4" w:space="0"/>
                </w:tcBorders>
                <w:vAlign w:val="center"/>
              </w:tcPr>
              <w:p w14:paraId="4AFFE02C">
                <w:pPr>
                  <w:jc w:val="right"/>
                  <w:rPr>
                    <w:rFonts w:ascii="Arial Narrow" w:hAnsi="Arial Narrow" w:eastAsiaTheme="majorEastAsia"/>
                    <w:szCs w:val="21"/>
                  </w:rPr>
                </w:pPr>
                <w:r>
                  <w:rPr>
                    <w:rFonts w:ascii="Arial Narrow" w:hAnsi="Arial Narrow" w:eastAsiaTheme="majorEastAsia"/>
                    <w:szCs w:val="21"/>
                  </w:rPr>
                  <w:t>　</w:t>
                </w:r>
              </w:p>
            </w:tc>
          </w:tr>
          <w:tr w14:paraId="2D36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bottom"/>
              </w:tcPr>
              <w:p w14:paraId="3F2F7E7D">
                <w:pPr>
                  <w:ind w:firstLine="420" w:firstLineChars="200"/>
                  <w:rPr>
                    <w:rFonts w:ascii="Arial Narrow" w:hAnsi="Arial Narrow" w:eastAsiaTheme="majorEastAsia"/>
                    <w:szCs w:val="21"/>
                  </w:rPr>
                </w:pPr>
                <w:r>
                  <w:rPr>
                    <w:rFonts w:ascii="Arial Narrow" w:hAnsi="Arial Narrow" w:eastAsiaTheme="majorEastAsia"/>
                    <w:color w:val="000000"/>
                    <w:szCs w:val="21"/>
                  </w:rPr>
                  <w:t>境内</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1C145987">
                <w:pPr>
                  <w:jc w:val="right"/>
                  <w:rPr>
                    <w:rFonts w:ascii="Arial Narrow" w:hAnsi="Arial Narrow" w:eastAsiaTheme="majorEastAsia"/>
                    <w:szCs w:val="21"/>
                  </w:rPr>
                </w:pPr>
                <w:r>
                  <w:rPr>
                    <w:rFonts w:ascii="Arial Narrow" w:hAnsi="Arial Narrow" w:eastAsiaTheme="majorEastAsia"/>
                    <w:color w:val="000000"/>
                    <w:szCs w:val="21"/>
                  </w:rPr>
                  <w:t xml:space="preserve">9,298,803,153.40 </w:t>
                </w:r>
              </w:p>
            </w:tc>
            <w:tc>
              <w:tcPr>
                <w:tcW w:w="940" w:type="pct"/>
                <w:tcBorders>
                  <w:top w:val="single" w:color="auto" w:sz="4" w:space="0"/>
                  <w:left w:val="single" w:color="auto" w:sz="4" w:space="0"/>
                  <w:bottom w:val="single" w:color="auto" w:sz="4" w:space="0"/>
                  <w:right w:val="single" w:color="auto" w:sz="4" w:space="0"/>
                </w:tcBorders>
                <w:vAlign w:val="center"/>
              </w:tcPr>
              <w:p w14:paraId="53BB5AE5">
                <w:pPr>
                  <w:jc w:val="right"/>
                  <w:rPr>
                    <w:rFonts w:ascii="Arial Narrow" w:hAnsi="Arial Narrow" w:eastAsiaTheme="majorEastAsia"/>
                    <w:szCs w:val="21"/>
                  </w:rPr>
                </w:pPr>
                <w:r>
                  <w:rPr>
                    <w:rFonts w:ascii="Arial Narrow" w:hAnsi="Arial Narrow" w:eastAsiaTheme="majorEastAsia"/>
                    <w:color w:val="000000"/>
                    <w:szCs w:val="21"/>
                  </w:rPr>
                  <w:t xml:space="preserve">8,617,391,581.17 </w:t>
                </w:r>
              </w:p>
            </w:tc>
            <w:tc>
              <w:tcPr>
                <w:tcW w:w="940" w:type="pct"/>
                <w:tcBorders>
                  <w:top w:val="single" w:color="auto" w:sz="4" w:space="0"/>
                  <w:left w:val="single" w:color="auto" w:sz="4" w:space="0"/>
                  <w:bottom w:val="single" w:color="auto" w:sz="4" w:space="0"/>
                  <w:right w:val="single" w:color="auto" w:sz="4" w:space="0"/>
                </w:tcBorders>
                <w:vAlign w:val="center"/>
              </w:tcPr>
              <w:p w14:paraId="559AEEA3">
                <w:pPr>
                  <w:jc w:val="right"/>
                  <w:rPr>
                    <w:rFonts w:ascii="Arial Narrow" w:hAnsi="Arial Narrow" w:eastAsiaTheme="majorEastAsia"/>
                    <w:szCs w:val="21"/>
                  </w:rPr>
                </w:pPr>
                <w:r>
                  <w:rPr>
                    <w:rFonts w:ascii="Arial Narrow" w:hAnsi="Arial Narrow" w:eastAsiaTheme="majorEastAsia"/>
                    <w:color w:val="000000"/>
                    <w:szCs w:val="21"/>
                  </w:rPr>
                  <w:t xml:space="preserve">9,298,803,153.40 </w:t>
                </w:r>
              </w:p>
            </w:tc>
            <w:tc>
              <w:tcPr>
                <w:tcW w:w="937" w:type="pct"/>
                <w:tcBorders>
                  <w:top w:val="single" w:color="auto" w:sz="4" w:space="0"/>
                  <w:left w:val="single" w:color="auto" w:sz="4" w:space="0"/>
                  <w:bottom w:val="single" w:color="auto" w:sz="4" w:space="0"/>
                  <w:right w:val="single" w:color="auto" w:sz="4" w:space="0"/>
                </w:tcBorders>
                <w:vAlign w:val="center"/>
              </w:tcPr>
              <w:p w14:paraId="33C1CF30">
                <w:pPr>
                  <w:jc w:val="right"/>
                  <w:rPr>
                    <w:rFonts w:ascii="Arial Narrow" w:hAnsi="Arial Narrow" w:eastAsiaTheme="majorEastAsia"/>
                    <w:szCs w:val="21"/>
                  </w:rPr>
                </w:pPr>
                <w:r>
                  <w:rPr>
                    <w:rFonts w:ascii="Arial Narrow" w:hAnsi="Arial Narrow" w:eastAsiaTheme="majorEastAsia"/>
                    <w:color w:val="000000"/>
                    <w:szCs w:val="21"/>
                  </w:rPr>
                  <w:t xml:space="preserve">8,617,391,581.17 </w:t>
                </w:r>
              </w:p>
            </w:tc>
          </w:tr>
          <w:tr w14:paraId="1BFD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bottom"/>
              </w:tcPr>
              <w:p w14:paraId="13876C69">
                <w:pPr>
                  <w:ind w:firstLine="420" w:firstLineChars="200"/>
                  <w:rPr>
                    <w:rFonts w:ascii="Arial Narrow" w:hAnsi="Arial Narrow" w:eastAsiaTheme="majorEastAsia"/>
                    <w:szCs w:val="21"/>
                  </w:rPr>
                </w:pPr>
                <w:r>
                  <w:rPr>
                    <w:rFonts w:ascii="Arial Narrow" w:hAnsi="Arial Narrow" w:eastAsiaTheme="majorEastAsia"/>
                    <w:color w:val="000000"/>
                    <w:szCs w:val="21"/>
                  </w:rPr>
                  <w:t>境外</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4D56ADF1">
                <w:pPr>
                  <w:jc w:val="right"/>
                  <w:rPr>
                    <w:rFonts w:ascii="Arial Narrow" w:hAnsi="Arial Narrow" w:eastAsiaTheme="majorEastAsia"/>
                    <w:szCs w:val="21"/>
                  </w:rPr>
                </w:pPr>
                <w:r>
                  <w:rPr>
                    <w:rFonts w:ascii="Arial Narrow" w:hAnsi="Arial Narrow" w:eastAsiaTheme="majorEastAsia"/>
                    <w:color w:val="000000"/>
                    <w:szCs w:val="21"/>
                  </w:rPr>
                  <w:t xml:space="preserve"> 587,294,603.93 </w:t>
                </w:r>
              </w:p>
            </w:tc>
            <w:tc>
              <w:tcPr>
                <w:tcW w:w="940" w:type="pct"/>
                <w:tcBorders>
                  <w:top w:val="single" w:color="auto" w:sz="4" w:space="0"/>
                  <w:left w:val="single" w:color="auto" w:sz="4" w:space="0"/>
                  <w:bottom w:val="single" w:color="auto" w:sz="4" w:space="0"/>
                  <w:right w:val="single" w:color="auto" w:sz="4" w:space="0"/>
                </w:tcBorders>
                <w:vAlign w:val="center"/>
              </w:tcPr>
              <w:p w14:paraId="115BE06D">
                <w:pPr>
                  <w:jc w:val="right"/>
                  <w:rPr>
                    <w:rFonts w:ascii="Arial Narrow" w:hAnsi="Arial Narrow" w:eastAsiaTheme="majorEastAsia"/>
                    <w:szCs w:val="21"/>
                  </w:rPr>
                </w:pPr>
                <w:r>
                  <w:rPr>
                    <w:rFonts w:ascii="Arial Narrow" w:hAnsi="Arial Narrow" w:eastAsiaTheme="majorEastAsia"/>
                    <w:color w:val="000000"/>
                    <w:szCs w:val="21"/>
                  </w:rPr>
                  <w:t xml:space="preserve"> 588,789,827.10 </w:t>
                </w:r>
              </w:p>
            </w:tc>
            <w:tc>
              <w:tcPr>
                <w:tcW w:w="940" w:type="pct"/>
                <w:tcBorders>
                  <w:top w:val="single" w:color="auto" w:sz="4" w:space="0"/>
                  <w:left w:val="single" w:color="auto" w:sz="4" w:space="0"/>
                  <w:bottom w:val="single" w:color="auto" w:sz="4" w:space="0"/>
                  <w:right w:val="single" w:color="auto" w:sz="4" w:space="0"/>
                </w:tcBorders>
                <w:vAlign w:val="center"/>
              </w:tcPr>
              <w:p w14:paraId="0CBD8254">
                <w:pPr>
                  <w:jc w:val="right"/>
                  <w:rPr>
                    <w:rFonts w:ascii="Arial Narrow" w:hAnsi="Arial Narrow" w:eastAsiaTheme="majorEastAsia"/>
                    <w:szCs w:val="21"/>
                  </w:rPr>
                </w:pPr>
                <w:r>
                  <w:rPr>
                    <w:rFonts w:ascii="Arial Narrow" w:hAnsi="Arial Narrow" w:eastAsiaTheme="majorEastAsia"/>
                    <w:color w:val="000000"/>
                    <w:szCs w:val="21"/>
                  </w:rPr>
                  <w:t xml:space="preserve"> 587,294,603.93 </w:t>
                </w:r>
              </w:p>
            </w:tc>
            <w:tc>
              <w:tcPr>
                <w:tcW w:w="937" w:type="pct"/>
                <w:tcBorders>
                  <w:top w:val="single" w:color="auto" w:sz="4" w:space="0"/>
                  <w:left w:val="single" w:color="auto" w:sz="4" w:space="0"/>
                  <w:bottom w:val="single" w:color="auto" w:sz="4" w:space="0"/>
                  <w:right w:val="single" w:color="auto" w:sz="4" w:space="0"/>
                </w:tcBorders>
                <w:vAlign w:val="center"/>
              </w:tcPr>
              <w:p w14:paraId="5D3D83FD">
                <w:pPr>
                  <w:jc w:val="right"/>
                  <w:rPr>
                    <w:rFonts w:ascii="Arial Narrow" w:hAnsi="Arial Narrow" w:eastAsiaTheme="majorEastAsia"/>
                    <w:szCs w:val="21"/>
                  </w:rPr>
                </w:pPr>
                <w:r>
                  <w:rPr>
                    <w:rFonts w:ascii="Arial Narrow" w:hAnsi="Arial Narrow" w:eastAsiaTheme="majorEastAsia"/>
                    <w:color w:val="000000"/>
                    <w:szCs w:val="21"/>
                  </w:rPr>
                  <w:t xml:space="preserve"> 588,789,827.10 </w:t>
                </w:r>
              </w:p>
            </w:tc>
          </w:tr>
          <w:tr w14:paraId="28B7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center"/>
              </w:tcPr>
              <w:p w14:paraId="6615B54D">
                <w:pPr>
                  <w:rPr>
                    <w:rFonts w:ascii="Arial Narrow" w:hAnsi="Arial Narrow" w:eastAsiaTheme="majorEastAsia"/>
                    <w:szCs w:val="21"/>
                  </w:rPr>
                </w:pPr>
                <w:r>
                  <w:rPr>
                    <w:rFonts w:ascii="Arial Narrow" w:hAnsi="Arial Narrow" w:eastAsiaTheme="majorEastAsia"/>
                    <w:szCs w:val="21"/>
                  </w:rPr>
                  <w:t>市场或客户类型</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69D93F8F">
                <w:pPr>
                  <w:jc w:val="right"/>
                  <w:rPr>
                    <w:rFonts w:ascii="Arial Narrow" w:hAnsi="Arial Narrow" w:eastAsiaTheme="majorEastAsia"/>
                    <w:szCs w:val="21"/>
                  </w:rPr>
                </w:pPr>
              </w:p>
            </w:tc>
            <w:tc>
              <w:tcPr>
                <w:tcW w:w="940" w:type="pct"/>
                <w:tcBorders>
                  <w:top w:val="single" w:color="auto" w:sz="4" w:space="0"/>
                  <w:left w:val="single" w:color="auto" w:sz="4" w:space="0"/>
                  <w:bottom w:val="single" w:color="auto" w:sz="4" w:space="0"/>
                  <w:right w:val="single" w:color="auto" w:sz="4" w:space="0"/>
                </w:tcBorders>
                <w:vAlign w:val="center"/>
              </w:tcPr>
              <w:p w14:paraId="4E684310">
                <w:pPr>
                  <w:jc w:val="right"/>
                  <w:rPr>
                    <w:rFonts w:ascii="Arial Narrow" w:hAnsi="Arial Narrow" w:eastAsiaTheme="majorEastAsia"/>
                    <w:szCs w:val="21"/>
                  </w:rPr>
                </w:pPr>
              </w:p>
            </w:tc>
            <w:tc>
              <w:tcPr>
                <w:tcW w:w="940" w:type="pct"/>
                <w:tcBorders>
                  <w:top w:val="single" w:color="auto" w:sz="4" w:space="0"/>
                  <w:left w:val="single" w:color="auto" w:sz="4" w:space="0"/>
                  <w:bottom w:val="single" w:color="auto" w:sz="4" w:space="0"/>
                  <w:right w:val="single" w:color="auto" w:sz="4" w:space="0"/>
                </w:tcBorders>
                <w:vAlign w:val="center"/>
              </w:tcPr>
              <w:p w14:paraId="10E1AF28">
                <w:pPr>
                  <w:jc w:val="right"/>
                  <w:rPr>
                    <w:rFonts w:ascii="Arial Narrow" w:hAnsi="Arial Narrow" w:eastAsiaTheme="majorEastAsia"/>
                    <w:szCs w:val="21"/>
                  </w:rPr>
                </w:pPr>
              </w:p>
            </w:tc>
            <w:tc>
              <w:tcPr>
                <w:tcW w:w="937" w:type="pct"/>
                <w:tcBorders>
                  <w:top w:val="single" w:color="auto" w:sz="4" w:space="0"/>
                  <w:left w:val="single" w:color="auto" w:sz="4" w:space="0"/>
                  <w:bottom w:val="single" w:color="auto" w:sz="4" w:space="0"/>
                  <w:right w:val="single" w:color="auto" w:sz="4" w:space="0"/>
                </w:tcBorders>
                <w:vAlign w:val="center"/>
              </w:tcPr>
              <w:p w14:paraId="3D094C0D">
                <w:pPr>
                  <w:jc w:val="right"/>
                  <w:rPr>
                    <w:rFonts w:ascii="Arial Narrow" w:hAnsi="Arial Narrow" w:eastAsiaTheme="majorEastAsia"/>
                    <w:szCs w:val="21"/>
                  </w:rPr>
                </w:pPr>
              </w:p>
            </w:tc>
          </w:tr>
          <w:tr w14:paraId="0909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bottom"/>
              </w:tcPr>
              <w:p w14:paraId="1E67172B">
                <w:pPr>
                  <w:ind w:firstLine="420" w:firstLineChars="200"/>
                  <w:rPr>
                    <w:rFonts w:ascii="Arial Narrow" w:hAnsi="Arial Narrow" w:eastAsiaTheme="majorEastAsia"/>
                    <w:szCs w:val="21"/>
                  </w:rPr>
                </w:pPr>
                <w:r>
                  <w:rPr>
                    <w:rFonts w:ascii="Arial Narrow" w:hAnsi="Arial Narrow" w:eastAsiaTheme="majorEastAsia"/>
                    <w:color w:val="000000"/>
                    <w:szCs w:val="21"/>
                  </w:rPr>
                  <w:t>军品</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73F097B2">
                <w:pPr>
                  <w:jc w:val="right"/>
                  <w:rPr>
                    <w:rFonts w:ascii="Arial Narrow" w:hAnsi="Arial Narrow" w:eastAsiaTheme="majorEastAsia"/>
                    <w:szCs w:val="21"/>
                  </w:rPr>
                </w:pPr>
                <w:r>
                  <w:rPr>
                    <w:rFonts w:ascii="Arial Narrow" w:hAnsi="Arial Narrow" w:eastAsiaTheme="majorEastAsia"/>
                    <w:color w:val="000000"/>
                    <w:szCs w:val="21"/>
                  </w:rPr>
                  <w:t xml:space="preserve">3,867,312,267.99 </w:t>
                </w:r>
              </w:p>
            </w:tc>
            <w:tc>
              <w:tcPr>
                <w:tcW w:w="940" w:type="pct"/>
                <w:tcBorders>
                  <w:top w:val="single" w:color="auto" w:sz="4" w:space="0"/>
                  <w:left w:val="single" w:color="auto" w:sz="4" w:space="0"/>
                  <w:bottom w:val="single" w:color="auto" w:sz="4" w:space="0"/>
                  <w:right w:val="single" w:color="auto" w:sz="4" w:space="0"/>
                </w:tcBorders>
                <w:vAlign w:val="center"/>
              </w:tcPr>
              <w:p w14:paraId="6FF88803">
                <w:pPr>
                  <w:jc w:val="right"/>
                  <w:rPr>
                    <w:rFonts w:ascii="Arial Narrow" w:hAnsi="Arial Narrow" w:eastAsiaTheme="majorEastAsia"/>
                    <w:szCs w:val="21"/>
                  </w:rPr>
                </w:pPr>
                <w:r>
                  <w:rPr>
                    <w:rFonts w:ascii="Arial Narrow" w:hAnsi="Arial Narrow" w:eastAsiaTheme="majorEastAsia"/>
                    <w:color w:val="000000"/>
                    <w:szCs w:val="21"/>
                  </w:rPr>
                  <w:t xml:space="preserve">3,624,382,281.21 </w:t>
                </w:r>
              </w:p>
            </w:tc>
            <w:tc>
              <w:tcPr>
                <w:tcW w:w="940" w:type="pct"/>
                <w:tcBorders>
                  <w:top w:val="single" w:color="auto" w:sz="4" w:space="0"/>
                  <w:left w:val="single" w:color="auto" w:sz="4" w:space="0"/>
                  <w:bottom w:val="single" w:color="auto" w:sz="4" w:space="0"/>
                  <w:right w:val="single" w:color="auto" w:sz="4" w:space="0"/>
                </w:tcBorders>
                <w:vAlign w:val="center"/>
              </w:tcPr>
              <w:p w14:paraId="2C86E123">
                <w:pPr>
                  <w:jc w:val="right"/>
                  <w:rPr>
                    <w:rFonts w:ascii="Arial Narrow" w:hAnsi="Arial Narrow" w:eastAsiaTheme="majorEastAsia"/>
                    <w:szCs w:val="21"/>
                  </w:rPr>
                </w:pPr>
                <w:r>
                  <w:rPr>
                    <w:rFonts w:ascii="Arial Narrow" w:hAnsi="Arial Narrow" w:eastAsiaTheme="majorEastAsia"/>
                    <w:color w:val="000000"/>
                    <w:szCs w:val="21"/>
                  </w:rPr>
                  <w:t xml:space="preserve">3,867,312,267.99 </w:t>
                </w:r>
              </w:p>
            </w:tc>
            <w:tc>
              <w:tcPr>
                <w:tcW w:w="937" w:type="pct"/>
                <w:tcBorders>
                  <w:top w:val="single" w:color="auto" w:sz="4" w:space="0"/>
                  <w:left w:val="single" w:color="auto" w:sz="4" w:space="0"/>
                  <w:bottom w:val="single" w:color="auto" w:sz="4" w:space="0"/>
                  <w:right w:val="single" w:color="auto" w:sz="4" w:space="0"/>
                </w:tcBorders>
                <w:vAlign w:val="center"/>
              </w:tcPr>
              <w:p w14:paraId="4D77D3E8">
                <w:pPr>
                  <w:jc w:val="right"/>
                  <w:rPr>
                    <w:rFonts w:ascii="Arial Narrow" w:hAnsi="Arial Narrow" w:eastAsiaTheme="majorEastAsia"/>
                    <w:szCs w:val="21"/>
                  </w:rPr>
                </w:pPr>
                <w:r>
                  <w:rPr>
                    <w:rFonts w:ascii="Arial Narrow" w:hAnsi="Arial Narrow" w:eastAsiaTheme="majorEastAsia"/>
                    <w:color w:val="000000"/>
                    <w:szCs w:val="21"/>
                  </w:rPr>
                  <w:t xml:space="preserve">3,624,382,281.21 </w:t>
                </w:r>
              </w:p>
            </w:tc>
          </w:tr>
          <w:tr w14:paraId="3570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bottom"/>
              </w:tcPr>
              <w:p w14:paraId="623FF404">
                <w:pPr>
                  <w:ind w:firstLine="420" w:firstLineChars="200"/>
                  <w:rPr>
                    <w:rFonts w:ascii="Arial Narrow" w:hAnsi="Arial Narrow" w:eastAsiaTheme="majorEastAsia"/>
                    <w:szCs w:val="21"/>
                  </w:rPr>
                </w:pPr>
                <w:r>
                  <w:rPr>
                    <w:rFonts w:ascii="Arial Narrow" w:hAnsi="Arial Narrow" w:eastAsiaTheme="majorEastAsia"/>
                    <w:color w:val="000000"/>
                    <w:szCs w:val="21"/>
                  </w:rPr>
                  <w:t>民品</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4A812215">
                <w:pPr>
                  <w:jc w:val="right"/>
                  <w:rPr>
                    <w:rFonts w:ascii="Arial Narrow" w:hAnsi="Arial Narrow" w:eastAsiaTheme="majorEastAsia"/>
                    <w:szCs w:val="21"/>
                  </w:rPr>
                </w:pPr>
                <w:r>
                  <w:rPr>
                    <w:rFonts w:ascii="Arial Narrow" w:hAnsi="Arial Narrow" w:eastAsiaTheme="majorEastAsia"/>
                    <w:color w:val="000000"/>
                    <w:szCs w:val="21"/>
                  </w:rPr>
                  <w:t xml:space="preserve">5,280,832,269.93 </w:t>
                </w:r>
              </w:p>
            </w:tc>
            <w:tc>
              <w:tcPr>
                <w:tcW w:w="940" w:type="pct"/>
                <w:tcBorders>
                  <w:top w:val="single" w:color="auto" w:sz="4" w:space="0"/>
                  <w:left w:val="single" w:color="auto" w:sz="4" w:space="0"/>
                  <w:bottom w:val="single" w:color="auto" w:sz="4" w:space="0"/>
                  <w:right w:val="single" w:color="auto" w:sz="4" w:space="0"/>
                </w:tcBorders>
                <w:vAlign w:val="center"/>
              </w:tcPr>
              <w:p w14:paraId="5705574B">
                <w:pPr>
                  <w:jc w:val="right"/>
                  <w:rPr>
                    <w:rFonts w:ascii="Arial Narrow" w:hAnsi="Arial Narrow" w:eastAsiaTheme="majorEastAsia"/>
                    <w:szCs w:val="21"/>
                  </w:rPr>
                </w:pPr>
                <w:r>
                  <w:rPr>
                    <w:rFonts w:ascii="Arial Narrow" w:hAnsi="Arial Narrow" w:eastAsiaTheme="majorEastAsia"/>
                    <w:color w:val="000000"/>
                    <w:szCs w:val="21"/>
                  </w:rPr>
                  <w:t xml:space="preserve">4,911,950,616.67 </w:t>
                </w:r>
              </w:p>
            </w:tc>
            <w:tc>
              <w:tcPr>
                <w:tcW w:w="940" w:type="pct"/>
                <w:tcBorders>
                  <w:top w:val="single" w:color="auto" w:sz="4" w:space="0"/>
                  <w:left w:val="single" w:color="auto" w:sz="4" w:space="0"/>
                  <w:bottom w:val="single" w:color="auto" w:sz="4" w:space="0"/>
                  <w:right w:val="single" w:color="auto" w:sz="4" w:space="0"/>
                </w:tcBorders>
                <w:vAlign w:val="center"/>
              </w:tcPr>
              <w:p w14:paraId="02F2C605">
                <w:pPr>
                  <w:jc w:val="right"/>
                  <w:rPr>
                    <w:rFonts w:ascii="Arial Narrow" w:hAnsi="Arial Narrow" w:eastAsiaTheme="majorEastAsia"/>
                    <w:szCs w:val="21"/>
                  </w:rPr>
                </w:pPr>
                <w:r>
                  <w:rPr>
                    <w:rFonts w:ascii="Arial Narrow" w:hAnsi="Arial Narrow" w:eastAsiaTheme="majorEastAsia"/>
                    <w:color w:val="000000"/>
                    <w:szCs w:val="21"/>
                  </w:rPr>
                  <w:t xml:space="preserve">5,280,832,269.93 </w:t>
                </w:r>
              </w:p>
            </w:tc>
            <w:tc>
              <w:tcPr>
                <w:tcW w:w="937" w:type="pct"/>
                <w:tcBorders>
                  <w:top w:val="single" w:color="auto" w:sz="4" w:space="0"/>
                  <w:left w:val="single" w:color="auto" w:sz="4" w:space="0"/>
                  <w:bottom w:val="single" w:color="auto" w:sz="4" w:space="0"/>
                  <w:right w:val="single" w:color="auto" w:sz="4" w:space="0"/>
                </w:tcBorders>
                <w:vAlign w:val="center"/>
              </w:tcPr>
              <w:p w14:paraId="36A36544">
                <w:pPr>
                  <w:jc w:val="right"/>
                  <w:rPr>
                    <w:rFonts w:ascii="Arial Narrow" w:hAnsi="Arial Narrow" w:eastAsiaTheme="majorEastAsia"/>
                    <w:szCs w:val="21"/>
                  </w:rPr>
                </w:pPr>
                <w:r>
                  <w:rPr>
                    <w:rFonts w:ascii="Arial Narrow" w:hAnsi="Arial Narrow" w:eastAsiaTheme="majorEastAsia"/>
                    <w:color w:val="000000"/>
                    <w:szCs w:val="21"/>
                  </w:rPr>
                  <w:t xml:space="preserve">4,911,950,616.67 </w:t>
                </w:r>
              </w:p>
            </w:tc>
          </w:tr>
          <w:tr w14:paraId="4152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bottom"/>
              </w:tcPr>
              <w:p w14:paraId="4279F5C6">
                <w:pPr>
                  <w:ind w:firstLine="420" w:firstLineChars="200"/>
                  <w:rPr>
                    <w:rFonts w:ascii="Arial Narrow" w:hAnsi="Arial Narrow" w:eastAsiaTheme="majorEastAsia"/>
                    <w:szCs w:val="21"/>
                  </w:rPr>
                </w:pPr>
                <w:r>
                  <w:rPr>
                    <w:rFonts w:ascii="Arial Narrow" w:hAnsi="Arial Narrow" w:eastAsiaTheme="majorEastAsia"/>
                    <w:color w:val="000000"/>
                    <w:szCs w:val="21"/>
                  </w:rPr>
                  <w:t>贸易及其他</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5BD672E9">
                <w:pPr>
                  <w:jc w:val="right"/>
                  <w:rPr>
                    <w:rFonts w:ascii="Arial Narrow" w:hAnsi="Arial Narrow" w:eastAsiaTheme="majorEastAsia"/>
                    <w:szCs w:val="21"/>
                  </w:rPr>
                </w:pPr>
                <w:r>
                  <w:rPr>
                    <w:rFonts w:ascii="Arial Narrow" w:hAnsi="Arial Narrow" w:eastAsiaTheme="majorEastAsia"/>
                    <w:color w:val="000000"/>
                    <w:szCs w:val="21"/>
                  </w:rPr>
                  <w:t xml:space="preserve"> 737,953,219.41 </w:t>
                </w:r>
              </w:p>
            </w:tc>
            <w:tc>
              <w:tcPr>
                <w:tcW w:w="940" w:type="pct"/>
                <w:tcBorders>
                  <w:top w:val="single" w:color="auto" w:sz="4" w:space="0"/>
                  <w:left w:val="single" w:color="auto" w:sz="4" w:space="0"/>
                  <w:bottom w:val="single" w:color="auto" w:sz="4" w:space="0"/>
                  <w:right w:val="single" w:color="auto" w:sz="4" w:space="0"/>
                </w:tcBorders>
                <w:vAlign w:val="center"/>
              </w:tcPr>
              <w:p w14:paraId="4D034782">
                <w:pPr>
                  <w:jc w:val="right"/>
                  <w:rPr>
                    <w:rFonts w:ascii="Arial Narrow" w:hAnsi="Arial Narrow" w:eastAsiaTheme="majorEastAsia"/>
                    <w:szCs w:val="21"/>
                  </w:rPr>
                </w:pPr>
                <w:r>
                  <w:rPr>
                    <w:rFonts w:ascii="Arial Narrow" w:hAnsi="Arial Narrow" w:eastAsiaTheme="majorEastAsia"/>
                    <w:color w:val="000000"/>
                    <w:szCs w:val="21"/>
                  </w:rPr>
                  <w:t xml:space="preserve"> 669,848,510.39 </w:t>
                </w:r>
              </w:p>
            </w:tc>
            <w:tc>
              <w:tcPr>
                <w:tcW w:w="940" w:type="pct"/>
                <w:tcBorders>
                  <w:top w:val="single" w:color="auto" w:sz="4" w:space="0"/>
                  <w:left w:val="single" w:color="auto" w:sz="4" w:space="0"/>
                  <w:bottom w:val="single" w:color="auto" w:sz="4" w:space="0"/>
                  <w:right w:val="single" w:color="auto" w:sz="4" w:space="0"/>
                </w:tcBorders>
                <w:vAlign w:val="center"/>
              </w:tcPr>
              <w:p w14:paraId="11DB3187">
                <w:pPr>
                  <w:jc w:val="right"/>
                  <w:rPr>
                    <w:rFonts w:ascii="Arial Narrow" w:hAnsi="Arial Narrow" w:eastAsiaTheme="majorEastAsia"/>
                    <w:szCs w:val="21"/>
                  </w:rPr>
                </w:pPr>
                <w:r>
                  <w:rPr>
                    <w:rFonts w:ascii="Arial Narrow" w:hAnsi="Arial Narrow" w:eastAsiaTheme="majorEastAsia"/>
                    <w:color w:val="000000"/>
                    <w:szCs w:val="21"/>
                  </w:rPr>
                  <w:t xml:space="preserve"> 737,953,219.41 </w:t>
                </w:r>
              </w:p>
            </w:tc>
            <w:tc>
              <w:tcPr>
                <w:tcW w:w="937" w:type="pct"/>
                <w:tcBorders>
                  <w:top w:val="single" w:color="auto" w:sz="4" w:space="0"/>
                  <w:left w:val="single" w:color="auto" w:sz="4" w:space="0"/>
                  <w:bottom w:val="single" w:color="auto" w:sz="4" w:space="0"/>
                  <w:right w:val="single" w:color="auto" w:sz="4" w:space="0"/>
                </w:tcBorders>
                <w:vAlign w:val="center"/>
              </w:tcPr>
              <w:p w14:paraId="2107BFB8">
                <w:pPr>
                  <w:jc w:val="right"/>
                  <w:rPr>
                    <w:rFonts w:ascii="Arial Narrow" w:hAnsi="Arial Narrow" w:eastAsiaTheme="majorEastAsia"/>
                    <w:szCs w:val="21"/>
                  </w:rPr>
                </w:pPr>
                <w:r>
                  <w:rPr>
                    <w:rFonts w:ascii="Arial Narrow" w:hAnsi="Arial Narrow" w:eastAsiaTheme="majorEastAsia"/>
                    <w:color w:val="000000"/>
                    <w:szCs w:val="21"/>
                  </w:rPr>
                  <w:t xml:space="preserve"> 669,848,510.39 </w:t>
                </w:r>
              </w:p>
            </w:tc>
          </w:tr>
          <w:tr w14:paraId="354F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4" w:type="pct"/>
                <w:tcBorders>
                  <w:top w:val="single" w:color="auto" w:sz="4" w:space="0"/>
                  <w:left w:val="single" w:color="auto" w:sz="4" w:space="0"/>
                  <w:bottom w:val="single" w:color="auto" w:sz="4" w:space="0"/>
                  <w:right w:val="single" w:color="auto" w:sz="4" w:space="0"/>
                </w:tcBorders>
                <w:shd w:val="clear" w:color="auto" w:fill="auto"/>
                <w:vAlign w:val="center"/>
              </w:tcPr>
              <w:p w14:paraId="70B4FBF7">
                <w:pPr>
                  <w:jc w:val="center"/>
                  <w:rPr>
                    <w:rFonts w:ascii="Arial Narrow" w:hAnsi="Arial Narrow" w:eastAsiaTheme="majorEastAsia"/>
                    <w:szCs w:val="21"/>
                  </w:rPr>
                </w:pPr>
                <w:r>
                  <w:rPr>
                    <w:rFonts w:ascii="Arial Narrow" w:hAnsi="Arial Narrow" w:eastAsiaTheme="majorEastAsia"/>
                    <w:szCs w:val="21"/>
                  </w:rPr>
                  <w:t>合计</w:t>
                </w:r>
              </w:p>
            </w:tc>
            <w:tc>
              <w:tcPr>
                <w:tcW w:w="919" w:type="pct"/>
                <w:tcBorders>
                  <w:top w:val="single" w:color="auto" w:sz="4" w:space="0"/>
                  <w:left w:val="single" w:color="auto" w:sz="4" w:space="0"/>
                  <w:bottom w:val="single" w:color="auto" w:sz="4" w:space="0"/>
                  <w:right w:val="single" w:color="auto" w:sz="4" w:space="0"/>
                </w:tcBorders>
                <w:shd w:val="clear" w:color="auto" w:fill="auto"/>
                <w:vAlign w:val="center"/>
              </w:tcPr>
              <w:p w14:paraId="6A332BD0">
                <w:pPr>
                  <w:jc w:val="right"/>
                  <w:rPr>
                    <w:rFonts w:ascii="Arial Narrow" w:hAnsi="Arial Narrow" w:eastAsiaTheme="majorEastAsia"/>
                    <w:szCs w:val="21"/>
                  </w:rPr>
                </w:pPr>
                <w:r>
                  <w:rPr>
                    <w:rFonts w:ascii="Arial Narrow" w:hAnsi="Arial Narrow" w:eastAsiaTheme="majorEastAsia"/>
                    <w:color w:val="000000"/>
                    <w:szCs w:val="21"/>
                  </w:rPr>
                  <w:t xml:space="preserve">9,886,097,757.33 </w:t>
                </w:r>
              </w:p>
            </w:tc>
            <w:tc>
              <w:tcPr>
                <w:tcW w:w="940" w:type="pct"/>
                <w:tcBorders>
                  <w:top w:val="single" w:color="auto" w:sz="4" w:space="0"/>
                  <w:left w:val="single" w:color="auto" w:sz="4" w:space="0"/>
                  <w:bottom w:val="single" w:color="auto" w:sz="4" w:space="0"/>
                  <w:right w:val="single" w:color="auto" w:sz="4" w:space="0"/>
                </w:tcBorders>
                <w:vAlign w:val="center"/>
              </w:tcPr>
              <w:p w14:paraId="4824B8C8">
                <w:pPr>
                  <w:jc w:val="right"/>
                  <w:rPr>
                    <w:rFonts w:ascii="Arial Narrow" w:hAnsi="Arial Narrow" w:eastAsiaTheme="majorEastAsia"/>
                    <w:szCs w:val="21"/>
                  </w:rPr>
                </w:pPr>
                <w:r>
                  <w:rPr>
                    <w:rFonts w:ascii="Arial Narrow" w:hAnsi="Arial Narrow" w:eastAsiaTheme="majorEastAsia"/>
                    <w:color w:val="000000"/>
                    <w:szCs w:val="21"/>
                  </w:rPr>
                  <w:t xml:space="preserve">9,206,181,408.27 </w:t>
                </w:r>
              </w:p>
            </w:tc>
            <w:tc>
              <w:tcPr>
                <w:tcW w:w="940" w:type="pct"/>
                <w:tcBorders>
                  <w:top w:val="single" w:color="auto" w:sz="4" w:space="0"/>
                  <w:left w:val="single" w:color="auto" w:sz="4" w:space="0"/>
                  <w:bottom w:val="single" w:color="auto" w:sz="4" w:space="0"/>
                  <w:right w:val="single" w:color="auto" w:sz="4" w:space="0"/>
                </w:tcBorders>
                <w:vAlign w:val="center"/>
              </w:tcPr>
              <w:p w14:paraId="43D1B1EA">
                <w:pPr>
                  <w:jc w:val="right"/>
                  <w:rPr>
                    <w:rFonts w:ascii="Arial Narrow" w:hAnsi="Arial Narrow" w:eastAsiaTheme="majorEastAsia"/>
                    <w:szCs w:val="21"/>
                  </w:rPr>
                </w:pPr>
                <w:r>
                  <w:rPr>
                    <w:rFonts w:ascii="Arial Narrow" w:hAnsi="Arial Narrow" w:eastAsiaTheme="majorEastAsia"/>
                    <w:color w:val="000000"/>
                    <w:szCs w:val="21"/>
                  </w:rPr>
                  <w:t xml:space="preserve">9,886,097,757.33 </w:t>
                </w:r>
              </w:p>
            </w:tc>
            <w:tc>
              <w:tcPr>
                <w:tcW w:w="937" w:type="pct"/>
                <w:tcBorders>
                  <w:top w:val="single" w:color="auto" w:sz="4" w:space="0"/>
                  <w:left w:val="single" w:color="auto" w:sz="4" w:space="0"/>
                  <w:bottom w:val="single" w:color="auto" w:sz="4" w:space="0"/>
                  <w:right w:val="single" w:color="auto" w:sz="4" w:space="0"/>
                </w:tcBorders>
                <w:vAlign w:val="center"/>
              </w:tcPr>
              <w:p w14:paraId="5EA32F01">
                <w:pPr>
                  <w:jc w:val="right"/>
                  <w:rPr>
                    <w:rFonts w:ascii="Arial Narrow" w:hAnsi="Arial Narrow" w:eastAsiaTheme="majorEastAsia"/>
                    <w:szCs w:val="21"/>
                  </w:rPr>
                </w:pPr>
                <w:r>
                  <w:rPr>
                    <w:rFonts w:ascii="Arial Narrow" w:hAnsi="Arial Narrow" w:eastAsiaTheme="majorEastAsia"/>
                    <w:color w:val="000000"/>
                    <w:szCs w:val="21"/>
                  </w:rPr>
                  <w:t xml:space="preserve">9,206,181,408.27 </w:t>
                </w:r>
              </w:p>
            </w:tc>
          </w:tr>
        </w:tbl>
        <w:p w14:paraId="37A8CC28">
          <w:pPr>
            <w:rPr>
              <w:rFonts w:hint="eastAsia"/>
            </w:rPr>
          </w:pPr>
        </w:p>
        <w:p w14:paraId="61ACE2E9">
          <w:pPr>
            <w:rPr>
              <w:rFonts w:hint="eastAsia"/>
            </w:rPr>
          </w:pPr>
          <w:r>
            <w:rPr>
              <w:rFonts w:hint="eastAsia"/>
            </w:rPr>
            <w:t>其他说明：</w:t>
          </w:r>
        </w:p>
        <w:sdt>
          <w:sdtPr>
            <w:alias w:val="是否适用：营业收入、营业成本的分解信息说明 [双击切换]"/>
            <w:tag w:val="_GBC_f134aa472e8b45f8af819092314ab743"/>
            <w:id w:val="-1656596966"/>
            <w:placeholder>
              <w:docPart w:val="GBC22222222222222222222222222222"/>
            </w:placeholder>
          </w:sdtPr>
          <w:sdtContent>
            <w:p w14:paraId="06D52DF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B503A36">
          <w:pPr>
            <w:rPr>
              <w:rFonts w:hint="eastAsia"/>
            </w:rPr>
          </w:pPr>
        </w:p>
      </w:sdtContent>
    </w:sdt>
    <w:bookmarkEnd w:id="366"/>
    <w:p w14:paraId="0FD60449">
      <w:pPr>
        <w:pStyle w:val="71"/>
        <w:numPr>
          <w:ilvl w:val="0"/>
          <w:numId w:val="147"/>
        </w:numPr>
        <w:ind w:left="426" w:hanging="426"/>
        <w:rPr>
          <w:rFonts w:hint="eastAsia"/>
        </w:rPr>
      </w:pPr>
      <w:bookmarkStart w:id="367" w:name="_Hlk533670431"/>
      <w:r>
        <w:rPr>
          <w:rFonts w:hint="eastAsia"/>
        </w:rPr>
        <w:t>履约义务的说明</w:t>
      </w:r>
    </w:p>
    <w:sdt>
      <w:sdtPr>
        <w:alias w:val="是否适用：履约义务的说明[双击切换]"/>
        <w:tag w:val="_GBC_2bcc2970f5df4fc982ad2497089d8292"/>
        <w:id w:val="1598374342"/>
        <w:placeholder>
          <w:docPart w:val="GBC22222222222222222222222222222"/>
        </w:placeholder>
      </w:sdtPr>
      <w:sdtContent>
        <w:p w14:paraId="64FC471A">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D28E478">
      <w:pPr>
        <w:rPr>
          <w:rFonts w:hint="eastAsia"/>
        </w:rPr>
      </w:pPr>
    </w:p>
    <w:bookmarkEnd w:id="367"/>
    <w:p w14:paraId="3D409320">
      <w:pPr>
        <w:pStyle w:val="71"/>
        <w:numPr>
          <w:ilvl w:val="0"/>
          <w:numId w:val="147"/>
        </w:numPr>
        <w:ind w:left="426" w:hanging="426"/>
        <w:rPr>
          <w:rFonts w:hint="eastAsia"/>
        </w:rPr>
      </w:pPr>
      <w:bookmarkStart w:id="368" w:name="_Hlk533423938"/>
      <w:r>
        <w:rPr>
          <w:rFonts w:hint="eastAsia"/>
        </w:rPr>
        <w:t>分摊至剩余履约义务的说明</w:t>
      </w:r>
    </w:p>
    <w:sdt>
      <w:sdtPr>
        <w:alias w:val="是否适用：分摊至剩余履约义务的说明[双击切换]"/>
        <w:tag w:val="_GBC_67defaacf38a42549a2ed747c0fdb075"/>
        <w:id w:val="-1820259707"/>
        <w:placeholder>
          <w:docPart w:val="GBC22222222222222222222222222222"/>
        </w:placeholder>
      </w:sdtPr>
      <w:sdtContent>
        <w:p w14:paraId="715914EE">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BB0E2E7">
      <w:pPr>
        <w:rPr>
          <w:rFonts w:hint="eastAsia"/>
          <w:szCs w:val="21"/>
        </w:rPr>
      </w:pPr>
    </w:p>
    <w:bookmarkEnd w:id="368"/>
    <w:p w14:paraId="285DA1B4">
      <w:pPr>
        <w:pStyle w:val="71"/>
        <w:numPr>
          <w:ilvl w:val="0"/>
          <w:numId w:val="147"/>
        </w:numPr>
        <w:ind w:left="426" w:hanging="426"/>
        <w:rPr>
          <w:rFonts w:hint="eastAsia"/>
        </w:rPr>
      </w:pPr>
      <w:r>
        <w:rPr>
          <w:rFonts w:hint="eastAsia"/>
        </w:rPr>
        <w:t>重大合同变更或重大交易价格调整</w:t>
      </w:r>
    </w:p>
    <w:sdt>
      <w:sdtPr>
        <w:alias w:val="是否适用：重大合同变更或重大交易价格调整[双击切换]"/>
        <w:tag w:val="_GBC_0445697eb8d6440497b15f440010cd1d"/>
        <w:id w:val="-850561820"/>
        <w:placeholder>
          <w:docPart w:val="GBC22222222222222222222222222222"/>
        </w:placeholder>
      </w:sdtPr>
      <w:sdtContent>
        <w:p w14:paraId="47704AC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2B1A70C">
      <w:pPr>
        <w:rPr>
          <w:rFonts w:ascii="Arial" w:hAnsi="Arial"/>
          <w:szCs w:val="21"/>
        </w:rPr>
      </w:pPr>
    </w:p>
    <w:p w14:paraId="39F2AAB6">
      <w:pPr>
        <w:spacing w:before="60" w:after="60"/>
        <w:rPr>
          <w:rFonts w:hint="eastAsia"/>
          <w:szCs w:val="21"/>
        </w:rPr>
      </w:pPr>
      <w:bookmarkStart w:id="369" w:name="_Hlk26364697"/>
      <w:r>
        <w:rPr>
          <w:rFonts w:hint="eastAsia"/>
          <w:szCs w:val="21"/>
        </w:rPr>
        <w:t>其他说明：</w:t>
      </w:r>
    </w:p>
    <w:p w14:paraId="2D8BD4D8">
      <w:pPr>
        <w:rPr>
          <w:rFonts w:hint="eastAsia"/>
          <w:szCs w:val="21"/>
        </w:rPr>
      </w:pPr>
      <w:sdt>
        <w:sdtPr>
          <w:rPr>
            <w:szCs w:val="21"/>
          </w:rPr>
          <w:alias w:val="主营业务说明"/>
          <w:tag w:val="_GBC_817222ab73384ad1a188a632c919c846"/>
          <w:id w:val="-1530172769"/>
          <w:placeholder>
            <w:docPart w:val="GBC22222222222222222222222222222"/>
          </w:placeholder>
        </w:sdtPr>
        <w:sdtEndPr>
          <w:rPr>
            <w:szCs w:val="21"/>
          </w:rPr>
        </w:sdtEndPr>
        <w:sdtContent>
          <w:r>
            <w:rPr>
              <w:rFonts w:hint="eastAsia"/>
              <w:szCs w:val="21"/>
            </w:rPr>
            <w:t>无</w:t>
          </w:r>
        </w:sdtContent>
      </w:sdt>
    </w:p>
    <w:p w14:paraId="68713C4E">
      <w:pPr>
        <w:rPr>
          <w:rFonts w:hint="eastAsia"/>
          <w:szCs w:val="21"/>
        </w:rPr>
      </w:pPr>
    </w:p>
    <w:bookmarkEnd w:id="369"/>
    <w:p w14:paraId="5B23745F">
      <w:pPr>
        <w:pStyle w:val="70"/>
        <w:numPr>
          <w:ilvl w:val="0"/>
          <w:numId w:val="109"/>
        </w:numPr>
        <w:rPr>
          <w:szCs w:val="21"/>
        </w:rPr>
      </w:pPr>
      <w:r>
        <w:rPr>
          <w:szCs w:val="21"/>
        </w:rPr>
        <w:t>税金及附加</w:t>
      </w:r>
    </w:p>
    <w:sdt>
      <w:sdtPr>
        <w:alias w:val="是否适用：税金及附加[双击切换]"/>
        <w:tag w:val="_GBC_08eb9cdd2a3940549b0f2b47081f0a3d"/>
        <w:id w:val="-1364364215"/>
        <w:placeholder>
          <w:docPart w:val="GBC22222222222222222222222222222"/>
        </w:placeholder>
      </w:sdtPr>
      <w:sdtContent>
        <w:p w14:paraId="7A3439E6">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09E2125">
      <w:pPr>
        <w:jc w:val="right"/>
        <w:rPr>
          <w:rFonts w:hint="eastAsia"/>
          <w:b/>
          <w:szCs w:val="21"/>
        </w:rPr>
      </w:pPr>
      <w:r>
        <w:rPr>
          <w:rFonts w:hint="eastAsia"/>
          <w:szCs w:val="21"/>
        </w:rPr>
        <w:t>单位：</w:t>
      </w:r>
      <w:sdt>
        <w:sdtPr>
          <w:rPr>
            <w:rFonts w:hint="eastAsia"/>
            <w:szCs w:val="21"/>
          </w:rPr>
          <w:alias w:val="单位：财务附注：税金及附加"/>
          <w:tag w:val="_GBC_6e5742d697d44a7dabc4411d4cd3c055"/>
          <w:id w:val="-21256101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12335088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833"/>
        <w:gridCol w:w="2995"/>
        <w:gridCol w:w="2995"/>
      </w:tblGrid>
      <w:tr w14:paraId="2B56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szCs w:val="21"/>
            </w:rPr>
            <w:tag w:val="_PLD_82dcdcc171754a7b940a70d1c7daa5c1"/>
            <w:id w:val="-325673763"/>
          </w:sdtPr>
          <w:sdtEndPr>
            <w:rPr>
              <w:rFonts w:ascii="Arial Narrow" w:hAnsi="Arial Narrow" w:eastAsiaTheme="minorEastAsia"/>
              <w:szCs w:val="21"/>
            </w:rPr>
          </w:sdtEndPr>
          <w:sdtContent>
            <w:tc>
              <w:tcPr>
                <w:tcW w:w="1605" w:type="pct"/>
                <w:vAlign w:val="center"/>
              </w:tcPr>
              <w:p w14:paraId="0D6A5433">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a015e641f9074bee9ed1ee81511407cc"/>
            <w:id w:val="463629713"/>
          </w:sdtPr>
          <w:sdtEndPr>
            <w:rPr>
              <w:rFonts w:ascii="Arial Narrow" w:hAnsi="Arial Narrow" w:eastAsiaTheme="minorEastAsia"/>
              <w:szCs w:val="21"/>
            </w:rPr>
          </w:sdtEndPr>
          <w:sdtContent>
            <w:tc>
              <w:tcPr>
                <w:tcW w:w="1697" w:type="pct"/>
              </w:tcPr>
              <w:p w14:paraId="432CCE24">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5e944d291c9a4b0aab9f6558226d9112"/>
            <w:id w:val="-1406762938"/>
          </w:sdtPr>
          <w:sdtEndPr>
            <w:rPr>
              <w:rFonts w:ascii="Arial Narrow" w:hAnsi="Arial Narrow" w:eastAsiaTheme="minorEastAsia"/>
              <w:szCs w:val="21"/>
            </w:rPr>
          </w:sdtEndPr>
          <w:sdtContent>
            <w:tc>
              <w:tcPr>
                <w:tcW w:w="1697" w:type="pct"/>
                <w:vAlign w:val="center"/>
              </w:tcPr>
              <w:p w14:paraId="28ED1BF6">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3143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7E1E9ECC">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城市维护建设税</w:t>
            </w:r>
          </w:p>
        </w:tc>
        <w:tc>
          <w:tcPr>
            <w:tcW w:w="1697" w:type="pct"/>
            <w:vAlign w:val="center"/>
          </w:tcPr>
          <w:p w14:paraId="77BEF623">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5,974,267.42</w:t>
            </w:r>
          </w:p>
        </w:tc>
        <w:tc>
          <w:tcPr>
            <w:tcW w:w="1697" w:type="pct"/>
            <w:vAlign w:val="center"/>
          </w:tcPr>
          <w:p w14:paraId="73F5A18F">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12,214,522.39</w:t>
            </w:r>
          </w:p>
        </w:tc>
      </w:tr>
      <w:tr w14:paraId="7C66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15EBC58E">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教育费附加</w:t>
            </w:r>
          </w:p>
        </w:tc>
        <w:tc>
          <w:tcPr>
            <w:tcW w:w="1697" w:type="pct"/>
            <w:vAlign w:val="center"/>
          </w:tcPr>
          <w:p w14:paraId="11069A87">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5,130,504.71</w:t>
            </w:r>
          </w:p>
        </w:tc>
        <w:tc>
          <w:tcPr>
            <w:tcW w:w="1697" w:type="pct"/>
            <w:vAlign w:val="center"/>
          </w:tcPr>
          <w:p w14:paraId="4562DA8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9,886,619.77</w:t>
            </w:r>
          </w:p>
        </w:tc>
      </w:tr>
      <w:tr w14:paraId="79F7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6516B2F8">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房产税</w:t>
            </w:r>
          </w:p>
        </w:tc>
        <w:tc>
          <w:tcPr>
            <w:tcW w:w="1697" w:type="pct"/>
            <w:vAlign w:val="center"/>
          </w:tcPr>
          <w:p w14:paraId="32DCC10A">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41,982,125.25</w:t>
            </w:r>
          </w:p>
        </w:tc>
        <w:tc>
          <w:tcPr>
            <w:tcW w:w="1697" w:type="pct"/>
            <w:vAlign w:val="center"/>
          </w:tcPr>
          <w:p w14:paraId="59E67A84">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36,232,582.81</w:t>
            </w:r>
          </w:p>
        </w:tc>
      </w:tr>
      <w:tr w14:paraId="49CF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15603CFA">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土地使用税</w:t>
            </w:r>
          </w:p>
        </w:tc>
        <w:tc>
          <w:tcPr>
            <w:tcW w:w="1697" w:type="pct"/>
            <w:vAlign w:val="center"/>
          </w:tcPr>
          <w:p w14:paraId="280FFEFD">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33,932,312.66</w:t>
            </w:r>
          </w:p>
        </w:tc>
        <w:tc>
          <w:tcPr>
            <w:tcW w:w="1697" w:type="pct"/>
            <w:vAlign w:val="center"/>
          </w:tcPr>
          <w:p w14:paraId="08B60448">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30,610,271.20</w:t>
            </w:r>
          </w:p>
        </w:tc>
      </w:tr>
      <w:tr w14:paraId="5862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2620C29B">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车船使用税</w:t>
            </w:r>
          </w:p>
        </w:tc>
        <w:tc>
          <w:tcPr>
            <w:tcW w:w="1697" w:type="pct"/>
            <w:vAlign w:val="center"/>
          </w:tcPr>
          <w:p w14:paraId="51D68D8C">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105,070.35</w:t>
            </w:r>
          </w:p>
        </w:tc>
        <w:tc>
          <w:tcPr>
            <w:tcW w:w="1697" w:type="pct"/>
            <w:vAlign w:val="center"/>
          </w:tcPr>
          <w:p w14:paraId="2F011A83">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100,321.32</w:t>
            </w:r>
          </w:p>
        </w:tc>
      </w:tr>
      <w:tr w14:paraId="465D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655B30B8">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印花税</w:t>
            </w:r>
          </w:p>
        </w:tc>
        <w:tc>
          <w:tcPr>
            <w:tcW w:w="1697" w:type="pct"/>
            <w:vAlign w:val="center"/>
          </w:tcPr>
          <w:p w14:paraId="7668EAC4">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7,009,806.95</w:t>
            </w:r>
          </w:p>
        </w:tc>
        <w:tc>
          <w:tcPr>
            <w:tcW w:w="1697" w:type="pct"/>
            <w:vAlign w:val="center"/>
          </w:tcPr>
          <w:p w14:paraId="32035EEF">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9,493,962.22</w:t>
            </w:r>
          </w:p>
        </w:tc>
      </w:tr>
      <w:tr w14:paraId="7AC8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bottom"/>
          </w:tcPr>
          <w:p w14:paraId="16EFE8E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color w:val="000000"/>
                <w:szCs w:val="21"/>
              </w:rPr>
              <w:t>土地增值税</w:t>
            </w:r>
          </w:p>
        </w:tc>
        <w:tc>
          <w:tcPr>
            <w:tcW w:w="1697" w:type="pct"/>
            <w:vAlign w:val="center"/>
          </w:tcPr>
          <w:p w14:paraId="0CC5DFBA">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p>
        </w:tc>
        <w:tc>
          <w:tcPr>
            <w:tcW w:w="1697" w:type="pct"/>
            <w:vAlign w:val="center"/>
          </w:tcPr>
          <w:p w14:paraId="1E2489D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2,707,238.89</w:t>
            </w:r>
          </w:p>
        </w:tc>
      </w:tr>
      <w:tr w14:paraId="6F06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bottom"/>
          </w:tcPr>
          <w:p w14:paraId="7B73CC1D">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color w:val="000000"/>
                <w:szCs w:val="21"/>
              </w:rPr>
              <w:t>其他</w:t>
            </w:r>
          </w:p>
        </w:tc>
        <w:tc>
          <w:tcPr>
            <w:tcW w:w="1697" w:type="pct"/>
            <w:vAlign w:val="center"/>
          </w:tcPr>
          <w:p w14:paraId="246A78EF">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4,071,286.72</w:t>
            </w:r>
          </w:p>
        </w:tc>
        <w:tc>
          <w:tcPr>
            <w:tcW w:w="1697" w:type="pct"/>
            <w:vAlign w:val="center"/>
          </w:tcPr>
          <w:p w14:paraId="23AE412B">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1,854,360.12</w:t>
            </w:r>
          </w:p>
        </w:tc>
      </w:tr>
      <w:tr w14:paraId="1E7C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605" w:type="pct"/>
            <w:vAlign w:val="center"/>
          </w:tcPr>
          <w:p w14:paraId="72342089">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tc>
          <w:tcPr>
            <w:tcW w:w="1697" w:type="pct"/>
            <w:vAlign w:val="center"/>
          </w:tcPr>
          <w:p w14:paraId="54D114F0">
            <w:pPr>
              <w:autoSpaceDE w:val="0"/>
              <w:autoSpaceDN w:val="0"/>
              <w:adjustRightInd w:val="0"/>
              <w:snapToGrid w:val="0"/>
              <w:spacing w:line="240" w:lineRule="atLeast"/>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98,205,374.06</w:t>
            </w:r>
          </w:p>
        </w:tc>
        <w:tc>
          <w:tcPr>
            <w:tcW w:w="1697" w:type="pct"/>
            <w:vAlign w:val="center"/>
          </w:tcPr>
          <w:p w14:paraId="741D2E0D">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103,099,878.72</w:t>
            </w:r>
          </w:p>
        </w:tc>
      </w:tr>
    </w:tbl>
    <w:p w14:paraId="2C4761DA">
      <w:pPr>
        <w:spacing w:before="60" w:after="60"/>
        <w:rPr>
          <w:rFonts w:hint="eastAsia"/>
          <w:szCs w:val="21"/>
        </w:rPr>
      </w:pPr>
      <w:r>
        <w:rPr>
          <w:rFonts w:hint="eastAsia"/>
          <w:szCs w:val="21"/>
        </w:rPr>
        <w:t>其他说明：</w:t>
      </w:r>
    </w:p>
    <w:sdt>
      <w:sdtPr>
        <w:rPr>
          <w:rFonts w:hint="eastAsia"/>
          <w:szCs w:val="21"/>
        </w:rPr>
        <w:alias w:val="税金及附加说明"/>
        <w:tag w:val="_GBC_d333a7e7c5ed4b7896c9db975439c1ec"/>
        <w:id w:val="1776210854"/>
        <w:placeholder>
          <w:docPart w:val="GBC22222222222222222222222222222"/>
        </w:placeholder>
      </w:sdtPr>
      <w:sdtEndPr>
        <w:rPr>
          <w:rFonts w:hint="eastAsia"/>
          <w:szCs w:val="21"/>
        </w:rPr>
      </w:sdtEndPr>
      <w:sdtContent>
        <w:p w14:paraId="4981C076">
          <w:pPr>
            <w:rPr>
              <w:rFonts w:hint="eastAsia"/>
              <w:szCs w:val="21"/>
            </w:rPr>
          </w:pPr>
          <w:r>
            <w:rPr>
              <w:rFonts w:hint="eastAsia"/>
              <w:szCs w:val="21"/>
            </w:rPr>
            <w:t>无</w:t>
          </w:r>
        </w:p>
      </w:sdtContent>
    </w:sdt>
    <w:p w14:paraId="3EE6DB3D">
      <w:pPr>
        <w:pStyle w:val="70"/>
        <w:numPr>
          <w:ilvl w:val="0"/>
          <w:numId w:val="109"/>
        </w:numPr>
        <w:rPr>
          <w:szCs w:val="21"/>
        </w:rPr>
      </w:pPr>
      <w:r>
        <w:rPr>
          <w:szCs w:val="21"/>
        </w:rPr>
        <w:t>销售费用</w:t>
      </w:r>
    </w:p>
    <w:sdt>
      <w:sdtPr>
        <w:alias w:val="是否适用：销售费用[双击切换]"/>
        <w:tag w:val="_GBC_1a0ad35d35924f068ce1b2a2dc02a25f"/>
        <w:id w:val="-283346134"/>
        <w:placeholder>
          <w:docPart w:val="GBC22222222222222222222222222222"/>
        </w:placeholder>
      </w:sdtPr>
      <w:sdtContent>
        <w:p w14:paraId="39757985">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C3AC4B">
      <w:pPr>
        <w:pStyle w:val="109"/>
        <w:ind w:firstLine="0" w:firstLineChars="0"/>
        <w:jc w:val="right"/>
        <w:rPr>
          <w:rFonts w:hint="eastAsia" w:ascii="宋体" w:hAnsi="宋体"/>
          <w:szCs w:val="21"/>
        </w:rPr>
      </w:pPr>
      <w:r>
        <w:rPr>
          <w:rFonts w:hint="eastAsia" w:ascii="宋体" w:hAnsi="宋体"/>
          <w:szCs w:val="21"/>
        </w:rPr>
        <w:t>单位：</w:t>
      </w:r>
      <w:sdt>
        <w:sdtPr>
          <w:rPr>
            <w:rFonts w:hint="eastAsia" w:ascii="宋体" w:hAnsi="宋体"/>
            <w:szCs w:val="21"/>
          </w:rPr>
          <w:alias w:val="单位：销售费用"/>
          <w:tag w:val="_GBC_c5a59d97d8a94cda9b9fbd8a93ad19dc"/>
          <w:id w:val="16393882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szCs w:val="21"/>
          </w:rPr>
        </w:sdtEndPr>
        <w:sdtContent>
          <w:r>
            <w:rPr>
              <w:rFonts w:hint="eastAsia" w:ascii="宋体" w:hAnsi="宋体"/>
              <w:szCs w:val="21"/>
            </w:rPr>
            <w:t>元</w:t>
          </w:r>
        </w:sdtContent>
      </w:sdt>
      <w:r>
        <w:rPr>
          <w:rFonts w:hint="eastAsia" w:ascii="宋体" w:hAnsi="宋体"/>
          <w:szCs w:val="21"/>
        </w:rPr>
        <w:t xml:space="preserve">  币种：</w:t>
      </w:r>
      <w:sdt>
        <w:sdtPr>
          <w:rPr>
            <w:rFonts w:hint="eastAsia" w:ascii="宋体" w:hAnsi="宋体"/>
            <w:szCs w:val="21"/>
          </w:rPr>
          <w:alias w:val="币种：销售费用"/>
          <w:tag w:val="_GBC_57a629bddf6343a1aebbefc90d9378b0"/>
          <w:id w:val="4253088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szCs w:val="21"/>
          </w:rPr>
        </w:sdtEndPr>
        <w:sdtContent>
          <w:r>
            <w:rPr>
              <w:rFonts w:hint="eastAsia" w:ascii="宋体" w:hAnsi="宋体"/>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9"/>
        <w:gridCol w:w="2788"/>
        <w:gridCol w:w="2786"/>
      </w:tblGrid>
      <w:tr w14:paraId="2002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27c4bc503cfe4eafa415de62f182f2c1"/>
            <w:id w:val="1619257504"/>
          </w:sdtPr>
          <w:sdtEndPr>
            <w:rPr>
              <w:rFonts w:ascii="Arial Narrow" w:hAnsi="Arial Narrow" w:eastAsiaTheme="minorEastAsia"/>
              <w:szCs w:val="21"/>
            </w:rPr>
          </w:sdtEndPr>
          <w:sdtContent>
            <w:tc>
              <w:tcPr>
                <w:tcW w:w="1841" w:type="pct"/>
                <w:tcBorders>
                  <w:top w:val="single" w:color="auto" w:sz="4" w:space="0"/>
                  <w:left w:val="single" w:color="auto" w:sz="4" w:space="0"/>
                  <w:bottom w:val="single" w:color="auto" w:sz="4" w:space="0"/>
                  <w:right w:val="single" w:color="auto" w:sz="4" w:space="0"/>
                </w:tcBorders>
                <w:shd w:val="clear" w:color="auto" w:fill="auto"/>
                <w:vAlign w:val="center"/>
              </w:tcPr>
              <w:p w14:paraId="0D418720">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105cce5212fb42a182b1fd8e309ba67c"/>
            <w:id w:val="-1636940131"/>
          </w:sdtPr>
          <w:sdtEndPr>
            <w:rPr>
              <w:rFonts w:ascii="Arial Narrow" w:hAnsi="Arial Narrow" w:eastAsiaTheme="minorEastAsia"/>
              <w:szCs w:val="21"/>
            </w:rPr>
          </w:sdtEndPr>
          <w:sdtContent>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25E995F1">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5f148659054c4187a80f7bdffc9e9cde"/>
            <w:id w:val="979728470"/>
          </w:sdtPr>
          <w:sdtEndPr>
            <w:rPr>
              <w:rFonts w:ascii="Arial Narrow" w:hAnsi="Arial Narrow" w:eastAsiaTheme="minorEastAsia"/>
              <w:szCs w:val="21"/>
            </w:rPr>
          </w:sdtEndPr>
          <w:sdtContent>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0D2A04B0">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0E27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1C28BE26">
            <w:pPr>
              <w:rPr>
                <w:rFonts w:ascii="Arial Narrow" w:hAnsi="Arial Narrow" w:eastAsiaTheme="minorEastAsia"/>
                <w:szCs w:val="21"/>
              </w:rPr>
            </w:pPr>
            <w:r>
              <w:rPr>
                <w:rFonts w:ascii="Arial Narrow" w:hAnsi="Arial Narrow" w:eastAsiaTheme="minorEastAsia"/>
                <w:color w:val="000000"/>
                <w:szCs w:val="21"/>
              </w:rPr>
              <w:t>职工薪酬</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62137039">
            <w:pPr>
              <w:jc w:val="right"/>
              <w:rPr>
                <w:rFonts w:ascii="Arial Narrow" w:hAnsi="Arial Narrow" w:eastAsiaTheme="minorEastAsia"/>
                <w:szCs w:val="21"/>
              </w:rPr>
            </w:pPr>
            <w:r>
              <w:rPr>
                <w:rFonts w:ascii="Arial Narrow" w:hAnsi="Arial Narrow" w:eastAsiaTheme="minorEastAsia"/>
                <w:color w:val="000000"/>
                <w:szCs w:val="21"/>
              </w:rPr>
              <w:t>244,201,086.98</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1EC5324C">
            <w:pPr>
              <w:jc w:val="right"/>
              <w:rPr>
                <w:rFonts w:ascii="Arial Narrow" w:hAnsi="Arial Narrow" w:eastAsiaTheme="minorEastAsia"/>
                <w:szCs w:val="21"/>
              </w:rPr>
            </w:pPr>
            <w:r>
              <w:rPr>
                <w:rFonts w:ascii="Arial Narrow" w:hAnsi="Arial Narrow" w:eastAsiaTheme="minorEastAsia"/>
                <w:color w:val="000000"/>
                <w:szCs w:val="21"/>
              </w:rPr>
              <w:t>189,969,474.84</w:t>
            </w:r>
          </w:p>
        </w:tc>
      </w:tr>
      <w:tr w14:paraId="5EA4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12634164">
            <w:pPr>
              <w:rPr>
                <w:rFonts w:ascii="Arial Narrow" w:hAnsi="Arial Narrow" w:eastAsiaTheme="minorEastAsia"/>
                <w:szCs w:val="21"/>
              </w:rPr>
            </w:pPr>
            <w:r>
              <w:rPr>
                <w:rFonts w:ascii="Arial Narrow" w:hAnsi="Arial Narrow" w:eastAsiaTheme="minorEastAsia"/>
                <w:color w:val="000000"/>
                <w:szCs w:val="21"/>
              </w:rPr>
              <w:t>咨询费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04D062D6">
            <w:pPr>
              <w:jc w:val="right"/>
              <w:rPr>
                <w:rFonts w:ascii="Arial Narrow" w:hAnsi="Arial Narrow" w:eastAsiaTheme="minorEastAsia"/>
                <w:szCs w:val="21"/>
              </w:rPr>
            </w:pPr>
            <w:r>
              <w:rPr>
                <w:rFonts w:ascii="Arial Narrow" w:hAnsi="Arial Narrow" w:eastAsiaTheme="minorEastAsia"/>
                <w:color w:val="000000"/>
                <w:szCs w:val="21"/>
              </w:rPr>
              <w:t>47,133,618.20</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496C667C">
            <w:pPr>
              <w:jc w:val="right"/>
              <w:rPr>
                <w:rFonts w:ascii="Arial Narrow" w:hAnsi="Arial Narrow" w:eastAsiaTheme="minorEastAsia"/>
                <w:szCs w:val="21"/>
              </w:rPr>
            </w:pPr>
            <w:r>
              <w:rPr>
                <w:rFonts w:ascii="Arial Narrow" w:hAnsi="Arial Narrow" w:eastAsiaTheme="minorEastAsia"/>
                <w:color w:val="000000"/>
                <w:szCs w:val="21"/>
              </w:rPr>
              <w:t>38,261,323.97</w:t>
            </w:r>
          </w:p>
        </w:tc>
      </w:tr>
      <w:tr w14:paraId="4B6C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69ADC73C">
            <w:pPr>
              <w:rPr>
                <w:rFonts w:ascii="Arial Narrow" w:hAnsi="Arial Narrow" w:eastAsiaTheme="minorEastAsia"/>
                <w:szCs w:val="21"/>
              </w:rPr>
            </w:pPr>
            <w:r>
              <w:rPr>
                <w:rFonts w:ascii="Arial Narrow" w:hAnsi="Arial Narrow" w:eastAsiaTheme="minorEastAsia"/>
                <w:color w:val="000000"/>
                <w:szCs w:val="21"/>
              </w:rPr>
              <w:t>招标费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4AC13B5D">
            <w:pPr>
              <w:jc w:val="right"/>
              <w:rPr>
                <w:rFonts w:ascii="Arial Narrow" w:hAnsi="Arial Narrow" w:eastAsiaTheme="minorEastAsia"/>
                <w:szCs w:val="21"/>
              </w:rPr>
            </w:pPr>
            <w:r>
              <w:rPr>
                <w:rFonts w:ascii="Arial Narrow" w:hAnsi="Arial Narrow" w:eastAsiaTheme="minorEastAsia"/>
                <w:color w:val="000000"/>
                <w:szCs w:val="21"/>
              </w:rPr>
              <w:t>21,456,376.85</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720F2E35">
            <w:pPr>
              <w:jc w:val="right"/>
              <w:rPr>
                <w:rFonts w:ascii="Arial Narrow" w:hAnsi="Arial Narrow" w:eastAsiaTheme="minorEastAsia"/>
                <w:szCs w:val="21"/>
              </w:rPr>
            </w:pPr>
            <w:r>
              <w:rPr>
                <w:rFonts w:ascii="Arial Narrow" w:hAnsi="Arial Narrow" w:eastAsiaTheme="minorEastAsia"/>
                <w:color w:val="000000"/>
                <w:szCs w:val="21"/>
              </w:rPr>
              <w:t>20,412,854.42</w:t>
            </w:r>
          </w:p>
        </w:tc>
      </w:tr>
      <w:tr w14:paraId="738E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1FBAA3C6">
            <w:pPr>
              <w:rPr>
                <w:rFonts w:ascii="Arial Narrow" w:hAnsi="Arial Narrow" w:eastAsiaTheme="minorEastAsia"/>
                <w:szCs w:val="21"/>
              </w:rPr>
            </w:pPr>
            <w:r>
              <w:rPr>
                <w:rFonts w:ascii="Arial Narrow" w:hAnsi="Arial Narrow" w:eastAsiaTheme="minorEastAsia"/>
                <w:color w:val="000000"/>
                <w:szCs w:val="21"/>
              </w:rPr>
              <w:t>业务经费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5629AA69">
            <w:pPr>
              <w:jc w:val="right"/>
              <w:rPr>
                <w:rFonts w:ascii="Arial Narrow" w:hAnsi="Arial Narrow" w:eastAsiaTheme="minorEastAsia"/>
                <w:szCs w:val="21"/>
              </w:rPr>
            </w:pPr>
            <w:r>
              <w:rPr>
                <w:rFonts w:ascii="Arial Narrow" w:hAnsi="Arial Narrow" w:eastAsiaTheme="minorEastAsia"/>
                <w:color w:val="000000"/>
                <w:szCs w:val="21"/>
              </w:rPr>
              <w:t>7,903,554.26</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177B62ED">
            <w:pPr>
              <w:jc w:val="right"/>
              <w:rPr>
                <w:rFonts w:ascii="Arial Narrow" w:hAnsi="Arial Narrow" w:eastAsiaTheme="minorEastAsia"/>
                <w:szCs w:val="21"/>
              </w:rPr>
            </w:pPr>
            <w:r>
              <w:rPr>
                <w:rFonts w:ascii="Arial Narrow" w:hAnsi="Arial Narrow" w:eastAsiaTheme="minorEastAsia"/>
                <w:color w:val="000000"/>
                <w:szCs w:val="21"/>
              </w:rPr>
              <w:t>19,018,935.70</w:t>
            </w:r>
          </w:p>
        </w:tc>
      </w:tr>
      <w:tr w14:paraId="310A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4ACE11C5">
            <w:pPr>
              <w:rPr>
                <w:rFonts w:ascii="Arial Narrow" w:hAnsi="Arial Narrow" w:eastAsiaTheme="minorEastAsia"/>
                <w:szCs w:val="21"/>
              </w:rPr>
            </w:pPr>
            <w:r>
              <w:rPr>
                <w:rFonts w:ascii="Arial Narrow" w:hAnsi="Arial Narrow" w:eastAsiaTheme="minorEastAsia"/>
                <w:color w:val="000000"/>
                <w:szCs w:val="21"/>
              </w:rPr>
              <w:t>差旅费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5E8C9133">
            <w:pPr>
              <w:jc w:val="right"/>
              <w:rPr>
                <w:rFonts w:ascii="Arial Narrow" w:hAnsi="Arial Narrow" w:eastAsiaTheme="minorEastAsia"/>
                <w:szCs w:val="21"/>
              </w:rPr>
            </w:pPr>
            <w:r>
              <w:rPr>
                <w:rFonts w:ascii="Arial Narrow" w:hAnsi="Arial Narrow" w:eastAsiaTheme="minorEastAsia"/>
                <w:color w:val="000000"/>
                <w:szCs w:val="21"/>
              </w:rPr>
              <w:t>26,873,993.96</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51AB3B2D">
            <w:pPr>
              <w:jc w:val="right"/>
              <w:rPr>
                <w:rFonts w:ascii="Arial Narrow" w:hAnsi="Arial Narrow" w:eastAsiaTheme="minorEastAsia"/>
                <w:szCs w:val="21"/>
              </w:rPr>
            </w:pPr>
            <w:r>
              <w:rPr>
                <w:rFonts w:ascii="Arial Narrow" w:hAnsi="Arial Narrow" w:eastAsiaTheme="minorEastAsia"/>
                <w:color w:val="000000"/>
                <w:szCs w:val="21"/>
              </w:rPr>
              <w:t>23,696,952.60</w:t>
            </w:r>
          </w:p>
        </w:tc>
      </w:tr>
      <w:tr w14:paraId="30D9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6969469B">
            <w:pPr>
              <w:rPr>
                <w:rFonts w:ascii="Arial Narrow" w:hAnsi="Arial Narrow" w:eastAsiaTheme="minorEastAsia"/>
                <w:szCs w:val="21"/>
              </w:rPr>
            </w:pPr>
            <w:r>
              <w:rPr>
                <w:rFonts w:ascii="Arial Narrow" w:hAnsi="Arial Narrow" w:eastAsiaTheme="minorEastAsia"/>
                <w:color w:val="000000"/>
                <w:szCs w:val="21"/>
              </w:rPr>
              <w:t>业务招待费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06C69F39">
            <w:pPr>
              <w:jc w:val="right"/>
              <w:rPr>
                <w:rFonts w:ascii="Arial Narrow" w:hAnsi="Arial Narrow" w:eastAsiaTheme="minorEastAsia"/>
                <w:szCs w:val="21"/>
              </w:rPr>
            </w:pPr>
            <w:r>
              <w:rPr>
                <w:rFonts w:ascii="Arial Narrow" w:hAnsi="Arial Narrow" w:eastAsiaTheme="minorEastAsia"/>
                <w:color w:val="000000"/>
                <w:szCs w:val="21"/>
              </w:rPr>
              <w:t>12,840,712.71</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0CD70B4D">
            <w:pPr>
              <w:jc w:val="right"/>
              <w:rPr>
                <w:rFonts w:ascii="Arial Narrow" w:hAnsi="Arial Narrow" w:eastAsiaTheme="minorEastAsia"/>
                <w:szCs w:val="21"/>
              </w:rPr>
            </w:pPr>
            <w:r>
              <w:rPr>
                <w:rFonts w:ascii="Arial Narrow" w:hAnsi="Arial Narrow" w:eastAsiaTheme="minorEastAsia"/>
                <w:color w:val="000000"/>
                <w:szCs w:val="21"/>
              </w:rPr>
              <w:t>15,574,748.54</w:t>
            </w:r>
          </w:p>
        </w:tc>
      </w:tr>
      <w:tr w14:paraId="793D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172A6A6E">
            <w:pPr>
              <w:rPr>
                <w:rFonts w:ascii="Arial Narrow" w:hAnsi="Arial Narrow" w:eastAsiaTheme="minorEastAsia"/>
                <w:szCs w:val="21"/>
              </w:rPr>
            </w:pPr>
            <w:r>
              <w:rPr>
                <w:rFonts w:ascii="Arial Narrow" w:hAnsi="Arial Narrow" w:eastAsiaTheme="minorEastAsia"/>
                <w:color w:val="000000"/>
                <w:szCs w:val="21"/>
              </w:rPr>
              <w:t>广告及宣传费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5141CBA9">
            <w:pPr>
              <w:jc w:val="right"/>
              <w:rPr>
                <w:rFonts w:ascii="Arial Narrow" w:hAnsi="Arial Narrow" w:eastAsiaTheme="minorEastAsia"/>
                <w:szCs w:val="21"/>
              </w:rPr>
            </w:pPr>
            <w:r>
              <w:rPr>
                <w:rFonts w:ascii="Arial Narrow" w:hAnsi="Arial Narrow" w:eastAsiaTheme="minorEastAsia"/>
                <w:color w:val="000000"/>
                <w:szCs w:val="21"/>
              </w:rPr>
              <w:t>12,588,741.28</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642EFA18">
            <w:pPr>
              <w:jc w:val="right"/>
              <w:rPr>
                <w:rFonts w:ascii="Arial Narrow" w:hAnsi="Arial Narrow" w:eastAsiaTheme="minorEastAsia"/>
                <w:szCs w:val="21"/>
              </w:rPr>
            </w:pPr>
            <w:r>
              <w:rPr>
                <w:rFonts w:ascii="Arial Narrow" w:hAnsi="Arial Narrow" w:eastAsiaTheme="minorEastAsia"/>
                <w:color w:val="000000"/>
                <w:szCs w:val="21"/>
              </w:rPr>
              <w:t>4,550,326.93</w:t>
            </w:r>
          </w:p>
        </w:tc>
      </w:tr>
      <w:tr w14:paraId="0D83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40BAD9C2">
            <w:pPr>
              <w:rPr>
                <w:rFonts w:ascii="Arial Narrow" w:hAnsi="Arial Narrow" w:eastAsiaTheme="minorEastAsia"/>
                <w:szCs w:val="21"/>
              </w:rPr>
            </w:pPr>
            <w:r>
              <w:rPr>
                <w:rFonts w:ascii="Arial Narrow" w:hAnsi="Arial Narrow" w:eastAsiaTheme="minorEastAsia"/>
                <w:color w:val="000000"/>
                <w:szCs w:val="21"/>
              </w:rPr>
              <w:t>样品费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5B40AE6F">
            <w:pPr>
              <w:jc w:val="right"/>
              <w:rPr>
                <w:rFonts w:ascii="Arial Narrow" w:hAnsi="Arial Narrow" w:eastAsiaTheme="minorEastAsia"/>
                <w:szCs w:val="21"/>
              </w:rPr>
            </w:pPr>
            <w:r>
              <w:rPr>
                <w:rFonts w:ascii="Arial Narrow" w:hAnsi="Arial Narrow" w:eastAsiaTheme="minorEastAsia"/>
                <w:color w:val="000000"/>
                <w:szCs w:val="21"/>
              </w:rPr>
              <w:t>5,427,287.56</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5B70B2B0">
            <w:pPr>
              <w:jc w:val="right"/>
              <w:rPr>
                <w:rFonts w:ascii="Arial Narrow" w:hAnsi="Arial Narrow" w:eastAsiaTheme="minorEastAsia"/>
                <w:szCs w:val="21"/>
              </w:rPr>
            </w:pPr>
            <w:r>
              <w:rPr>
                <w:rFonts w:ascii="Arial Narrow" w:hAnsi="Arial Narrow" w:eastAsiaTheme="minorEastAsia"/>
                <w:color w:val="000000"/>
                <w:szCs w:val="21"/>
              </w:rPr>
              <w:t>3,520,910.25</w:t>
            </w:r>
          </w:p>
        </w:tc>
      </w:tr>
      <w:tr w14:paraId="04DF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181C5716">
            <w:pPr>
              <w:rPr>
                <w:rFonts w:ascii="Arial Narrow" w:hAnsi="Arial Narrow" w:eastAsiaTheme="minorEastAsia"/>
                <w:szCs w:val="21"/>
              </w:rPr>
            </w:pPr>
            <w:r>
              <w:rPr>
                <w:rFonts w:ascii="Arial Narrow" w:hAnsi="Arial Narrow" w:eastAsiaTheme="minorEastAsia"/>
                <w:color w:val="000000"/>
                <w:szCs w:val="21"/>
              </w:rPr>
              <w:t>租赁费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1245B7D8">
            <w:pPr>
              <w:jc w:val="right"/>
              <w:rPr>
                <w:rFonts w:ascii="Arial Narrow" w:hAnsi="Arial Narrow" w:eastAsiaTheme="minorEastAsia"/>
                <w:szCs w:val="21"/>
              </w:rPr>
            </w:pPr>
            <w:r>
              <w:rPr>
                <w:rFonts w:ascii="Arial Narrow" w:hAnsi="Arial Narrow" w:eastAsiaTheme="minorEastAsia"/>
                <w:color w:val="000000"/>
                <w:szCs w:val="21"/>
              </w:rPr>
              <w:t>4,014,633.05</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17AA8C93">
            <w:pPr>
              <w:jc w:val="right"/>
              <w:rPr>
                <w:rFonts w:ascii="Arial Narrow" w:hAnsi="Arial Narrow" w:eastAsiaTheme="minorEastAsia"/>
                <w:szCs w:val="21"/>
              </w:rPr>
            </w:pPr>
            <w:r>
              <w:rPr>
                <w:rFonts w:ascii="Arial Narrow" w:hAnsi="Arial Narrow" w:eastAsiaTheme="minorEastAsia"/>
                <w:color w:val="000000"/>
                <w:szCs w:val="21"/>
              </w:rPr>
              <w:t>5,402,846.81</w:t>
            </w:r>
          </w:p>
        </w:tc>
      </w:tr>
      <w:tr w14:paraId="5A3E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0FF9CF6E">
            <w:pPr>
              <w:rPr>
                <w:rFonts w:ascii="Arial Narrow" w:hAnsi="Arial Narrow" w:eastAsiaTheme="minorEastAsia"/>
                <w:szCs w:val="21"/>
              </w:rPr>
            </w:pPr>
            <w:r>
              <w:rPr>
                <w:rFonts w:ascii="Arial Narrow" w:hAnsi="Arial Narrow" w:eastAsiaTheme="minorEastAsia"/>
                <w:color w:val="000000"/>
                <w:szCs w:val="21"/>
              </w:rPr>
              <w:t>折旧费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7D977B4F">
            <w:pPr>
              <w:jc w:val="right"/>
              <w:rPr>
                <w:rFonts w:ascii="Arial Narrow" w:hAnsi="Arial Narrow" w:eastAsiaTheme="minorEastAsia"/>
                <w:szCs w:val="21"/>
              </w:rPr>
            </w:pPr>
            <w:r>
              <w:rPr>
                <w:rFonts w:ascii="Arial Narrow" w:hAnsi="Arial Narrow" w:eastAsiaTheme="minorEastAsia"/>
                <w:color w:val="000000"/>
                <w:szCs w:val="21"/>
              </w:rPr>
              <w:t>3,406,094.36</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3762896D">
            <w:pPr>
              <w:jc w:val="right"/>
              <w:rPr>
                <w:rFonts w:ascii="Arial Narrow" w:hAnsi="Arial Narrow" w:eastAsiaTheme="minorEastAsia"/>
                <w:szCs w:val="21"/>
              </w:rPr>
            </w:pPr>
            <w:r>
              <w:rPr>
                <w:rFonts w:ascii="Arial Narrow" w:hAnsi="Arial Narrow" w:eastAsiaTheme="minorEastAsia"/>
                <w:color w:val="000000"/>
                <w:szCs w:val="21"/>
              </w:rPr>
              <w:t>2,461,817.76</w:t>
            </w:r>
          </w:p>
        </w:tc>
      </w:tr>
      <w:tr w14:paraId="7FF1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38576AD9">
            <w:pPr>
              <w:rPr>
                <w:rFonts w:ascii="Arial Narrow" w:hAnsi="Arial Narrow" w:eastAsiaTheme="minorEastAsia"/>
                <w:szCs w:val="21"/>
              </w:rPr>
            </w:pPr>
            <w:r>
              <w:rPr>
                <w:rFonts w:ascii="Arial Narrow" w:hAnsi="Arial Narrow" w:eastAsiaTheme="minorEastAsia"/>
                <w:color w:val="000000"/>
                <w:szCs w:val="21"/>
              </w:rPr>
              <w:t>物料消耗</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0CAADE6D">
            <w:pPr>
              <w:jc w:val="right"/>
              <w:rPr>
                <w:rFonts w:ascii="Arial Narrow" w:hAnsi="Arial Narrow" w:eastAsiaTheme="minorEastAsia"/>
                <w:szCs w:val="21"/>
              </w:rPr>
            </w:pPr>
            <w:r>
              <w:rPr>
                <w:rFonts w:ascii="Arial Narrow" w:hAnsi="Arial Narrow" w:eastAsiaTheme="minorEastAsia"/>
                <w:color w:val="000000"/>
                <w:szCs w:val="21"/>
              </w:rPr>
              <w:t>4,385,329.68</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1223BC0A">
            <w:pPr>
              <w:jc w:val="right"/>
              <w:rPr>
                <w:rFonts w:ascii="Arial Narrow" w:hAnsi="Arial Narrow" w:eastAsiaTheme="minorEastAsia"/>
                <w:szCs w:val="21"/>
              </w:rPr>
            </w:pPr>
            <w:r>
              <w:rPr>
                <w:rFonts w:ascii="Arial Narrow" w:hAnsi="Arial Narrow" w:eastAsiaTheme="minorEastAsia"/>
                <w:color w:val="000000"/>
                <w:szCs w:val="21"/>
              </w:rPr>
              <w:t>2,529,034.02</w:t>
            </w:r>
          </w:p>
        </w:tc>
      </w:tr>
      <w:tr w14:paraId="788B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6FDC98E0">
            <w:pPr>
              <w:rPr>
                <w:rFonts w:ascii="Arial Narrow" w:hAnsi="Arial Narrow" w:eastAsiaTheme="minorEastAsia"/>
                <w:szCs w:val="21"/>
              </w:rPr>
            </w:pPr>
            <w:r>
              <w:rPr>
                <w:rFonts w:ascii="Arial Narrow" w:hAnsi="Arial Narrow" w:eastAsiaTheme="minorEastAsia"/>
                <w:color w:val="000000"/>
                <w:szCs w:val="21"/>
              </w:rPr>
              <w:t>展览费</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7CE1B232">
            <w:pPr>
              <w:jc w:val="right"/>
              <w:rPr>
                <w:rFonts w:ascii="Arial Narrow" w:hAnsi="Arial Narrow" w:eastAsiaTheme="minorEastAsia"/>
                <w:szCs w:val="21"/>
              </w:rPr>
            </w:pPr>
            <w:r>
              <w:rPr>
                <w:rFonts w:ascii="Arial Narrow" w:hAnsi="Arial Narrow" w:eastAsiaTheme="minorEastAsia"/>
                <w:color w:val="000000"/>
                <w:szCs w:val="21"/>
              </w:rPr>
              <w:t>9,174,876.30</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797E2CDC">
            <w:pPr>
              <w:jc w:val="right"/>
              <w:rPr>
                <w:rFonts w:ascii="Arial Narrow" w:hAnsi="Arial Narrow" w:eastAsiaTheme="minorEastAsia"/>
                <w:szCs w:val="21"/>
              </w:rPr>
            </w:pPr>
            <w:r>
              <w:rPr>
                <w:rFonts w:ascii="Arial Narrow" w:hAnsi="Arial Narrow" w:eastAsiaTheme="minorEastAsia"/>
                <w:color w:val="000000"/>
                <w:szCs w:val="21"/>
              </w:rPr>
              <w:t>6,328,995.55</w:t>
            </w:r>
          </w:p>
        </w:tc>
      </w:tr>
      <w:tr w14:paraId="3603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bottom"/>
          </w:tcPr>
          <w:p w14:paraId="52D44F08">
            <w:pPr>
              <w:rPr>
                <w:rFonts w:ascii="Arial Narrow" w:hAnsi="Arial Narrow" w:eastAsiaTheme="minorEastAsia"/>
                <w:szCs w:val="21"/>
              </w:rPr>
            </w:pPr>
            <w:r>
              <w:rPr>
                <w:rFonts w:ascii="Arial Narrow" w:hAnsi="Arial Narrow" w:eastAsiaTheme="minorEastAsia"/>
                <w:color w:val="000000"/>
                <w:szCs w:val="21"/>
              </w:rPr>
              <w:t>其他</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35E8BD20">
            <w:pPr>
              <w:jc w:val="right"/>
              <w:rPr>
                <w:rFonts w:ascii="Arial Narrow" w:hAnsi="Arial Narrow" w:eastAsiaTheme="minorEastAsia"/>
                <w:szCs w:val="21"/>
              </w:rPr>
            </w:pPr>
            <w:r>
              <w:rPr>
                <w:rFonts w:ascii="Arial Narrow" w:hAnsi="Arial Narrow" w:eastAsiaTheme="minorEastAsia"/>
                <w:color w:val="000000"/>
                <w:szCs w:val="21"/>
              </w:rPr>
              <w:t>58,458,669.50</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3CAC3896">
            <w:pPr>
              <w:jc w:val="right"/>
              <w:rPr>
                <w:rFonts w:ascii="Arial Narrow" w:hAnsi="Arial Narrow" w:eastAsiaTheme="minorEastAsia"/>
                <w:szCs w:val="21"/>
              </w:rPr>
            </w:pPr>
            <w:r>
              <w:rPr>
                <w:rFonts w:ascii="Arial Narrow" w:hAnsi="Arial Narrow" w:eastAsiaTheme="minorEastAsia"/>
                <w:color w:val="000000"/>
                <w:szCs w:val="21"/>
              </w:rPr>
              <w:t>31,945,256.54</w:t>
            </w:r>
          </w:p>
        </w:tc>
      </w:tr>
      <w:tr w14:paraId="7921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Borders>
              <w:top w:val="single" w:color="auto" w:sz="4" w:space="0"/>
              <w:left w:val="single" w:color="auto" w:sz="4" w:space="0"/>
              <w:bottom w:val="single" w:color="auto" w:sz="4" w:space="0"/>
              <w:right w:val="single" w:color="auto" w:sz="4" w:space="0"/>
            </w:tcBorders>
            <w:shd w:val="clear" w:color="auto" w:fill="auto"/>
            <w:vAlign w:val="center"/>
          </w:tcPr>
          <w:p w14:paraId="74F100F3">
            <w:pPr>
              <w:jc w:val="center"/>
              <w:rPr>
                <w:rFonts w:ascii="Arial Narrow" w:hAnsi="Arial Narrow" w:eastAsiaTheme="minorEastAsia"/>
                <w:szCs w:val="21"/>
              </w:rPr>
            </w:pPr>
            <w:r>
              <w:rPr>
                <w:rFonts w:ascii="Arial Narrow" w:hAnsi="Arial Narrow" w:eastAsiaTheme="minorEastAsia"/>
                <w:szCs w:val="21"/>
              </w:rPr>
              <w:t>合计</w:t>
            </w:r>
          </w:p>
        </w:tc>
        <w:tc>
          <w:tcPr>
            <w:tcW w:w="1580" w:type="pct"/>
            <w:tcBorders>
              <w:top w:val="single" w:color="auto" w:sz="4" w:space="0"/>
              <w:left w:val="single" w:color="auto" w:sz="4" w:space="0"/>
              <w:bottom w:val="single" w:color="auto" w:sz="4" w:space="0"/>
              <w:right w:val="single" w:color="auto" w:sz="4" w:space="0"/>
            </w:tcBorders>
            <w:shd w:val="clear" w:color="auto" w:fill="auto"/>
            <w:vAlign w:val="center"/>
          </w:tcPr>
          <w:p w14:paraId="5CBE6BAD">
            <w:pPr>
              <w:jc w:val="right"/>
              <w:rPr>
                <w:rFonts w:ascii="Arial Narrow" w:hAnsi="Arial Narrow" w:eastAsiaTheme="minorEastAsia"/>
                <w:szCs w:val="21"/>
              </w:rPr>
            </w:pPr>
            <w:r>
              <w:rPr>
                <w:rFonts w:ascii="Arial Narrow" w:hAnsi="Arial Narrow" w:eastAsiaTheme="minorEastAsia"/>
                <w:color w:val="000000"/>
                <w:szCs w:val="21"/>
              </w:rPr>
              <w:t>457,864,974.69</w:t>
            </w:r>
          </w:p>
        </w:tc>
        <w:tc>
          <w:tcPr>
            <w:tcW w:w="1579" w:type="pct"/>
            <w:tcBorders>
              <w:top w:val="single" w:color="auto" w:sz="4" w:space="0"/>
              <w:left w:val="single" w:color="auto" w:sz="4" w:space="0"/>
              <w:bottom w:val="single" w:color="auto" w:sz="4" w:space="0"/>
              <w:right w:val="single" w:color="auto" w:sz="4" w:space="0"/>
            </w:tcBorders>
            <w:shd w:val="clear" w:color="auto" w:fill="auto"/>
            <w:vAlign w:val="center"/>
          </w:tcPr>
          <w:p w14:paraId="1035C05D">
            <w:pPr>
              <w:jc w:val="right"/>
              <w:rPr>
                <w:rFonts w:ascii="Arial Narrow" w:hAnsi="Arial Narrow" w:eastAsiaTheme="minorEastAsia"/>
                <w:szCs w:val="21"/>
              </w:rPr>
            </w:pPr>
            <w:r>
              <w:rPr>
                <w:rFonts w:ascii="Arial Narrow" w:hAnsi="Arial Narrow" w:eastAsiaTheme="minorEastAsia"/>
                <w:color w:val="000000"/>
                <w:szCs w:val="21"/>
              </w:rPr>
              <w:t>363,673,477.93</w:t>
            </w:r>
          </w:p>
        </w:tc>
      </w:tr>
    </w:tbl>
    <w:p w14:paraId="1381D524">
      <w:pPr>
        <w:rPr>
          <w:rFonts w:hint="eastAsia"/>
        </w:rPr>
      </w:pPr>
    </w:p>
    <w:p w14:paraId="1DB2A11B">
      <w:pPr>
        <w:spacing w:before="60" w:after="60"/>
        <w:rPr>
          <w:rFonts w:hint="eastAsia"/>
          <w:szCs w:val="21"/>
        </w:rPr>
      </w:pPr>
      <w:r>
        <w:rPr>
          <w:rFonts w:hint="eastAsia"/>
          <w:szCs w:val="21"/>
        </w:rPr>
        <w:t>其他说明：</w:t>
      </w:r>
    </w:p>
    <w:sdt>
      <w:sdtPr>
        <w:rPr>
          <w:szCs w:val="21"/>
        </w:rPr>
        <w:alias w:val="销售费用的其他说明事项"/>
        <w:tag w:val="_GBC_da5acaab2dfe4976b479907a904edb4f"/>
        <w:id w:val="-915018144"/>
        <w:placeholder>
          <w:docPart w:val="GBC22222222222222222222222222222"/>
        </w:placeholder>
      </w:sdtPr>
      <w:sdtEndPr>
        <w:rPr>
          <w:szCs w:val="21"/>
        </w:rPr>
      </w:sdtEndPr>
      <w:sdtContent>
        <w:p w14:paraId="68DB4AD1">
          <w:pPr>
            <w:rPr>
              <w:rFonts w:hint="eastAsia"/>
              <w:szCs w:val="21"/>
            </w:rPr>
          </w:pPr>
          <w:r>
            <w:rPr>
              <w:rFonts w:hint="eastAsia"/>
              <w:szCs w:val="21"/>
            </w:rPr>
            <w:t>无</w:t>
          </w:r>
        </w:p>
      </w:sdtContent>
    </w:sdt>
    <w:p w14:paraId="3FD2351A">
      <w:pPr>
        <w:rPr>
          <w:rFonts w:hint="eastAsia"/>
          <w:szCs w:val="21"/>
        </w:rPr>
      </w:pPr>
    </w:p>
    <w:p w14:paraId="7E4C05FA">
      <w:pPr>
        <w:pStyle w:val="70"/>
        <w:numPr>
          <w:ilvl w:val="0"/>
          <w:numId w:val="109"/>
        </w:numPr>
        <w:rPr>
          <w:szCs w:val="21"/>
        </w:rPr>
      </w:pPr>
      <w:r>
        <w:rPr>
          <w:szCs w:val="21"/>
        </w:rPr>
        <w:t>管理费用</w:t>
      </w:r>
    </w:p>
    <w:sdt>
      <w:sdtPr>
        <w:alias w:val="是否适用：管理费用[双击切换]"/>
        <w:tag w:val="_GBC_b376fd9abaac4f3b8e5956b8dcd72faf"/>
        <w:id w:val="883454367"/>
        <w:placeholder>
          <w:docPart w:val="GBC22222222222222222222222222222"/>
        </w:placeholder>
      </w:sdtPr>
      <w:sdtContent>
        <w:p w14:paraId="458E385D">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C151B07">
      <w:pPr>
        <w:jc w:val="right"/>
        <w:rPr>
          <w:rFonts w:hint="eastAsia"/>
        </w:rPr>
      </w:pPr>
      <w:r>
        <w:rPr>
          <w:rFonts w:hint="eastAsia"/>
        </w:rPr>
        <w:t>单位：</w:t>
      </w:r>
      <w:sdt>
        <w:sdtPr>
          <w:rPr>
            <w:rFonts w:hint="eastAsia"/>
          </w:rPr>
          <w:alias w:val="单位：管理费用"/>
          <w:tag w:val="_GBC_73606f31bd404afb8bfe5aabe1a68278"/>
          <w:id w:val="11000644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6435843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6FC0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588268d9a550441d943c27cfc1105eb0"/>
            <w:id w:val="996692846"/>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tcPr>
              <w:p w14:paraId="0E9FB2D0">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0e4f4d04bcb2408d8a5744ac90a1f89b"/>
            <w:id w:val="-343095017"/>
          </w:sdtPr>
          <w:sdtEndPr>
            <w:rPr>
              <w:rFonts w:ascii="Arial Narrow" w:hAnsi="Arial Narrow" w:eastAsiaTheme="minorEastAsia"/>
              <w:szCs w:val="21"/>
            </w:rPr>
          </w:sdtEndPr>
          <w:sdtContent>
            <w:tc>
              <w:tcPr>
                <w:tcW w:w="1439" w:type="pct"/>
                <w:tcBorders>
                  <w:top w:val="single" w:color="auto" w:sz="4" w:space="0"/>
                  <w:left w:val="single" w:color="auto" w:sz="4" w:space="0"/>
                  <w:bottom w:val="single" w:color="auto" w:sz="4" w:space="0"/>
                  <w:right w:val="single" w:color="auto" w:sz="4" w:space="0"/>
                </w:tcBorders>
                <w:shd w:val="clear" w:color="auto" w:fill="auto"/>
              </w:tcPr>
              <w:p w14:paraId="1F9B7FD3">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6f1ab61237164c0db56540ae1980b62c"/>
            <w:id w:val="-261532821"/>
          </w:sdtPr>
          <w:sdtEndPr>
            <w:rPr>
              <w:rFonts w:ascii="Arial Narrow" w:hAnsi="Arial Narrow" w:eastAsiaTheme="minorEastAsia"/>
              <w:szCs w:val="21"/>
            </w:rPr>
          </w:sdtEndPr>
          <w:sdtContent>
            <w:tc>
              <w:tcPr>
                <w:tcW w:w="1348" w:type="pct"/>
                <w:tcBorders>
                  <w:top w:val="single" w:color="auto" w:sz="4" w:space="0"/>
                  <w:left w:val="single" w:color="auto" w:sz="4" w:space="0"/>
                  <w:bottom w:val="single" w:color="auto" w:sz="4" w:space="0"/>
                  <w:right w:val="single" w:color="auto" w:sz="4" w:space="0"/>
                </w:tcBorders>
                <w:shd w:val="clear" w:color="auto" w:fill="auto"/>
              </w:tcPr>
              <w:p w14:paraId="2B838637">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16DB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4CDA2FDB">
            <w:pPr>
              <w:rPr>
                <w:rFonts w:ascii="Arial Narrow" w:hAnsi="Arial Narrow" w:eastAsiaTheme="minorEastAsia"/>
                <w:szCs w:val="21"/>
              </w:rPr>
            </w:pPr>
            <w:r>
              <w:rPr>
                <w:rFonts w:ascii="Arial Narrow" w:hAnsi="Arial Narrow" w:eastAsiaTheme="minorEastAsia"/>
                <w:color w:val="000000"/>
                <w:szCs w:val="21"/>
              </w:rPr>
              <w:t>职工薪酬</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96ABB8C">
            <w:pPr>
              <w:jc w:val="right"/>
              <w:rPr>
                <w:rFonts w:ascii="Arial Narrow" w:hAnsi="Arial Narrow" w:eastAsiaTheme="minorEastAsia"/>
                <w:szCs w:val="21"/>
              </w:rPr>
            </w:pPr>
            <w:r>
              <w:rPr>
                <w:rFonts w:ascii="Arial Narrow" w:hAnsi="Arial Narrow" w:eastAsiaTheme="minorEastAsia"/>
                <w:color w:val="000000"/>
                <w:szCs w:val="21"/>
              </w:rPr>
              <w:t>420,221,141.57</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EA9E5A4">
            <w:pPr>
              <w:jc w:val="right"/>
              <w:rPr>
                <w:rFonts w:ascii="Arial Narrow" w:hAnsi="Arial Narrow" w:eastAsiaTheme="minorEastAsia"/>
                <w:szCs w:val="21"/>
              </w:rPr>
            </w:pPr>
            <w:r>
              <w:rPr>
                <w:rFonts w:ascii="Arial Narrow" w:hAnsi="Arial Narrow" w:eastAsiaTheme="minorEastAsia"/>
                <w:color w:val="000000"/>
                <w:szCs w:val="21"/>
              </w:rPr>
              <w:t>392,095,784.49</w:t>
            </w:r>
          </w:p>
        </w:tc>
      </w:tr>
      <w:tr w14:paraId="1FDC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2C0BBE4">
            <w:pPr>
              <w:rPr>
                <w:rFonts w:ascii="Arial Narrow" w:hAnsi="Arial Narrow" w:eastAsiaTheme="minorEastAsia"/>
                <w:szCs w:val="21"/>
              </w:rPr>
            </w:pPr>
            <w:r>
              <w:rPr>
                <w:rFonts w:ascii="Arial Narrow" w:hAnsi="Arial Narrow" w:eastAsiaTheme="minorEastAsia"/>
                <w:color w:val="000000"/>
                <w:szCs w:val="21"/>
              </w:rPr>
              <w:t>折旧费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6F4D1F3">
            <w:pPr>
              <w:jc w:val="right"/>
              <w:rPr>
                <w:rFonts w:ascii="Arial Narrow" w:hAnsi="Arial Narrow" w:eastAsiaTheme="minorEastAsia"/>
                <w:szCs w:val="21"/>
              </w:rPr>
            </w:pPr>
            <w:r>
              <w:rPr>
                <w:rFonts w:ascii="Arial Narrow" w:hAnsi="Arial Narrow" w:eastAsiaTheme="minorEastAsia"/>
                <w:color w:val="000000"/>
                <w:szCs w:val="21"/>
              </w:rPr>
              <w:t>72,794,418.94</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692732FD">
            <w:pPr>
              <w:jc w:val="right"/>
              <w:rPr>
                <w:rFonts w:ascii="Arial Narrow" w:hAnsi="Arial Narrow" w:eastAsiaTheme="minorEastAsia"/>
                <w:szCs w:val="21"/>
              </w:rPr>
            </w:pPr>
            <w:r>
              <w:rPr>
                <w:rFonts w:ascii="Arial Narrow" w:hAnsi="Arial Narrow" w:eastAsiaTheme="minorEastAsia"/>
                <w:color w:val="000000"/>
                <w:szCs w:val="21"/>
              </w:rPr>
              <w:t>70,512,775.20</w:t>
            </w:r>
          </w:p>
        </w:tc>
      </w:tr>
      <w:tr w14:paraId="03F9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589212FE">
            <w:pPr>
              <w:rPr>
                <w:rFonts w:ascii="Arial Narrow" w:hAnsi="Arial Narrow" w:eastAsiaTheme="minorEastAsia"/>
                <w:szCs w:val="21"/>
              </w:rPr>
            </w:pPr>
            <w:r>
              <w:rPr>
                <w:rFonts w:ascii="Arial Narrow" w:hAnsi="Arial Narrow" w:eastAsiaTheme="minorEastAsia"/>
                <w:color w:val="000000"/>
                <w:szCs w:val="21"/>
              </w:rPr>
              <w:t>累计摊销</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6EF72B0">
            <w:pPr>
              <w:jc w:val="right"/>
              <w:rPr>
                <w:rFonts w:ascii="Arial Narrow" w:hAnsi="Arial Narrow" w:eastAsiaTheme="minorEastAsia"/>
                <w:szCs w:val="21"/>
              </w:rPr>
            </w:pPr>
            <w:r>
              <w:rPr>
                <w:rFonts w:ascii="Arial Narrow" w:hAnsi="Arial Narrow" w:eastAsiaTheme="minorEastAsia"/>
                <w:color w:val="000000"/>
                <w:szCs w:val="21"/>
              </w:rPr>
              <w:t>42,229,603.13</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B0FB0AA">
            <w:pPr>
              <w:jc w:val="right"/>
              <w:rPr>
                <w:rFonts w:ascii="Arial Narrow" w:hAnsi="Arial Narrow" w:eastAsiaTheme="minorEastAsia"/>
                <w:szCs w:val="21"/>
              </w:rPr>
            </w:pPr>
            <w:r>
              <w:rPr>
                <w:rFonts w:ascii="Arial Narrow" w:hAnsi="Arial Narrow" w:eastAsiaTheme="minorEastAsia"/>
                <w:color w:val="000000"/>
                <w:szCs w:val="21"/>
              </w:rPr>
              <w:t>41,234,371.81</w:t>
            </w:r>
          </w:p>
        </w:tc>
      </w:tr>
      <w:tr w14:paraId="2AB4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CD11430">
            <w:pPr>
              <w:rPr>
                <w:rFonts w:ascii="Arial Narrow" w:hAnsi="Arial Narrow" w:eastAsiaTheme="minorEastAsia"/>
                <w:szCs w:val="21"/>
              </w:rPr>
            </w:pPr>
            <w:r>
              <w:rPr>
                <w:rFonts w:ascii="Arial Narrow" w:hAnsi="Arial Narrow" w:eastAsiaTheme="minorEastAsia"/>
                <w:color w:val="000000"/>
                <w:szCs w:val="21"/>
              </w:rPr>
              <w:t>租赁费及物业管理费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C003341">
            <w:pPr>
              <w:jc w:val="right"/>
              <w:rPr>
                <w:rFonts w:ascii="Arial Narrow" w:hAnsi="Arial Narrow" w:eastAsiaTheme="minorEastAsia"/>
                <w:szCs w:val="21"/>
              </w:rPr>
            </w:pPr>
            <w:r>
              <w:rPr>
                <w:rFonts w:ascii="Arial Narrow" w:hAnsi="Arial Narrow" w:eastAsiaTheme="minorEastAsia"/>
                <w:color w:val="000000"/>
                <w:szCs w:val="21"/>
              </w:rPr>
              <w:t>19,873,413.96</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EBB18D5">
            <w:pPr>
              <w:jc w:val="right"/>
              <w:rPr>
                <w:rFonts w:ascii="Arial Narrow" w:hAnsi="Arial Narrow" w:eastAsiaTheme="minorEastAsia"/>
                <w:szCs w:val="21"/>
              </w:rPr>
            </w:pPr>
            <w:r>
              <w:rPr>
                <w:rFonts w:ascii="Arial Narrow" w:hAnsi="Arial Narrow" w:eastAsiaTheme="minorEastAsia"/>
                <w:color w:val="000000"/>
                <w:szCs w:val="21"/>
              </w:rPr>
              <w:t>35,006,896.34</w:t>
            </w:r>
          </w:p>
        </w:tc>
      </w:tr>
      <w:tr w14:paraId="4BD6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6A261426">
            <w:pPr>
              <w:rPr>
                <w:rFonts w:ascii="Arial Narrow" w:hAnsi="Arial Narrow" w:eastAsiaTheme="minorEastAsia"/>
                <w:szCs w:val="21"/>
              </w:rPr>
            </w:pPr>
            <w:r>
              <w:rPr>
                <w:rFonts w:ascii="Arial Narrow" w:hAnsi="Arial Narrow" w:eastAsiaTheme="minorEastAsia"/>
                <w:color w:val="000000"/>
                <w:szCs w:val="21"/>
              </w:rPr>
              <w:t>聘请中介机构费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51DFF4A8">
            <w:pPr>
              <w:jc w:val="right"/>
              <w:rPr>
                <w:rFonts w:ascii="Arial Narrow" w:hAnsi="Arial Narrow" w:eastAsiaTheme="minorEastAsia"/>
                <w:szCs w:val="21"/>
              </w:rPr>
            </w:pPr>
            <w:r>
              <w:rPr>
                <w:rFonts w:ascii="Arial Narrow" w:hAnsi="Arial Narrow" w:eastAsiaTheme="minorEastAsia"/>
                <w:color w:val="000000"/>
                <w:szCs w:val="21"/>
              </w:rPr>
              <w:t>22,656,038.65</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17B9BEBB">
            <w:pPr>
              <w:jc w:val="right"/>
              <w:rPr>
                <w:rFonts w:ascii="Arial Narrow" w:hAnsi="Arial Narrow" w:eastAsiaTheme="minorEastAsia"/>
                <w:szCs w:val="21"/>
              </w:rPr>
            </w:pPr>
            <w:r>
              <w:rPr>
                <w:rFonts w:ascii="Arial Narrow" w:hAnsi="Arial Narrow" w:eastAsiaTheme="minorEastAsia"/>
                <w:color w:val="000000"/>
                <w:szCs w:val="21"/>
              </w:rPr>
              <w:t>23,073,210.09</w:t>
            </w:r>
          </w:p>
        </w:tc>
      </w:tr>
      <w:tr w14:paraId="6228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806F5FE">
            <w:pPr>
              <w:rPr>
                <w:rFonts w:ascii="Arial Narrow" w:hAnsi="Arial Narrow" w:eastAsiaTheme="minorEastAsia"/>
                <w:szCs w:val="21"/>
              </w:rPr>
            </w:pPr>
            <w:r>
              <w:rPr>
                <w:rFonts w:ascii="Arial Narrow" w:hAnsi="Arial Narrow" w:eastAsiaTheme="minorEastAsia"/>
                <w:color w:val="000000"/>
                <w:szCs w:val="21"/>
              </w:rPr>
              <w:t>水电费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0E17CFB1">
            <w:pPr>
              <w:jc w:val="right"/>
              <w:rPr>
                <w:rFonts w:ascii="Arial Narrow" w:hAnsi="Arial Narrow" w:eastAsiaTheme="minorEastAsia"/>
                <w:szCs w:val="21"/>
              </w:rPr>
            </w:pPr>
            <w:r>
              <w:rPr>
                <w:rFonts w:ascii="Arial Narrow" w:hAnsi="Arial Narrow" w:eastAsiaTheme="minorEastAsia"/>
                <w:color w:val="000000"/>
                <w:szCs w:val="21"/>
              </w:rPr>
              <w:t>14,956,368.48</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4287788A">
            <w:pPr>
              <w:jc w:val="right"/>
              <w:rPr>
                <w:rFonts w:ascii="Arial Narrow" w:hAnsi="Arial Narrow" w:eastAsiaTheme="minorEastAsia"/>
                <w:szCs w:val="21"/>
              </w:rPr>
            </w:pPr>
            <w:r>
              <w:rPr>
                <w:rFonts w:ascii="Arial Narrow" w:hAnsi="Arial Narrow" w:eastAsiaTheme="minorEastAsia"/>
                <w:color w:val="000000"/>
                <w:szCs w:val="21"/>
              </w:rPr>
              <w:t>14,835,985.96</w:t>
            </w:r>
          </w:p>
        </w:tc>
      </w:tr>
      <w:tr w14:paraId="4596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3A1FD0F4">
            <w:pPr>
              <w:rPr>
                <w:rFonts w:ascii="Arial Narrow" w:hAnsi="Arial Narrow" w:eastAsiaTheme="minorEastAsia"/>
                <w:szCs w:val="21"/>
              </w:rPr>
            </w:pPr>
            <w:r>
              <w:rPr>
                <w:rFonts w:ascii="Arial Narrow" w:hAnsi="Arial Narrow" w:eastAsiaTheme="minorEastAsia"/>
                <w:color w:val="000000"/>
                <w:szCs w:val="21"/>
              </w:rPr>
              <w:t>维修费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1A00352">
            <w:pPr>
              <w:jc w:val="right"/>
              <w:rPr>
                <w:rFonts w:ascii="Arial Narrow" w:hAnsi="Arial Narrow" w:eastAsiaTheme="minorEastAsia"/>
                <w:szCs w:val="21"/>
              </w:rPr>
            </w:pPr>
            <w:r>
              <w:rPr>
                <w:rFonts w:ascii="Arial Narrow" w:hAnsi="Arial Narrow" w:eastAsiaTheme="minorEastAsia"/>
                <w:color w:val="000000"/>
                <w:szCs w:val="21"/>
              </w:rPr>
              <w:t>35,886,587.96</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22AC4319">
            <w:pPr>
              <w:jc w:val="right"/>
              <w:rPr>
                <w:rFonts w:ascii="Arial Narrow" w:hAnsi="Arial Narrow" w:eastAsiaTheme="minorEastAsia"/>
                <w:szCs w:val="21"/>
              </w:rPr>
            </w:pPr>
            <w:r>
              <w:rPr>
                <w:rFonts w:ascii="Arial Narrow" w:hAnsi="Arial Narrow" w:eastAsiaTheme="minorEastAsia"/>
                <w:color w:val="000000"/>
                <w:szCs w:val="21"/>
              </w:rPr>
              <w:t>20,994,569.84</w:t>
            </w:r>
          </w:p>
        </w:tc>
      </w:tr>
      <w:tr w14:paraId="216E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468B2FEE">
            <w:pPr>
              <w:rPr>
                <w:rFonts w:ascii="Arial Narrow" w:hAnsi="Arial Narrow" w:eastAsiaTheme="minorEastAsia"/>
                <w:szCs w:val="21"/>
              </w:rPr>
            </w:pPr>
            <w:r>
              <w:rPr>
                <w:rFonts w:ascii="Arial Narrow" w:hAnsi="Arial Narrow" w:eastAsiaTheme="minorEastAsia"/>
                <w:color w:val="000000"/>
                <w:szCs w:val="21"/>
              </w:rPr>
              <w:t>差旅费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4BA8FA8">
            <w:pPr>
              <w:jc w:val="right"/>
              <w:rPr>
                <w:rFonts w:ascii="Arial Narrow" w:hAnsi="Arial Narrow" w:eastAsiaTheme="minorEastAsia"/>
                <w:szCs w:val="21"/>
              </w:rPr>
            </w:pPr>
            <w:r>
              <w:rPr>
                <w:rFonts w:ascii="Arial Narrow" w:hAnsi="Arial Narrow" w:eastAsiaTheme="minorEastAsia"/>
                <w:color w:val="000000"/>
                <w:szCs w:val="21"/>
              </w:rPr>
              <w:t>12,321,649.14</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642603D5">
            <w:pPr>
              <w:jc w:val="right"/>
              <w:rPr>
                <w:rFonts w:ascii="Arial Narrow" w:hAnsi="Arial Narrow" w:eastAsiaTheme="minorEastAsia"/>
                <w:szCs w:val="21"/>
              </w:rPr>
            </w:pPr>
            <w:r>
              <w:rPr>
                <w:rFonts w:ascii="Arial Narrow" w:hAnsi="Arial Narrow" w:eastAsiaTheme="minorEastAsia"/>
                <w:color w:val="000000"/>
                <w:szCs w:val="21"/>
              </w:rPr>
              <w:t>12,008,767.09</w:t>
            </w:r>
          </w:p>
        </w:tc>
      </w:tr>
      <w:tr w14:paraId="09B6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1415636D">
            <w:pPr>
              <w:rPr>
                <w:rFonts w:ascii="Arial Narrow" w:hAnsi="Arial Narrow" w:eastAsiaTheme="minorEastAsia"/>
                <w:szCs w:val="21"/>
              </w:rPr>
            </w:pPr>
            <w:r>
              <w:rPr>
                <w:rFonts w:ascii="Arial Narrow" w:hAnsi="Arial Narrow" w:eastAsiaTheme="minorEastAsia"/>
                <w:color w:val="000000"/>
                <w:szCs w:val="21"/>
              </w:rPr>
              <w:t>业务招待费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1393FFED">
            <w:pPr>
              <w:jc w:val="right"/>
              <w:rPr>
                <w:rFonts w:ascii="Arial Narrow" w:hAnsi="Arial Narrow" w:eastAsiaTheme="minorEastAsia"/>
                <w:szCs w:val="21"/>
              </w:rPr>
            </w:pPr>
            <w:r>
              <w:rPr>
                <w:rFonts w:ascii="Arial Narrow" w:hAnsi="Arial Narrow" w:eastAsiaTheme="minorEastAsia"/>
                <w:color w:val="000000"/>
                <w:szCs w:val="21"/>
              </w:rPr>
              <w:t>9,656,685.80</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2FCDEAD6">
            <w:pPr>
              <w:jc w:val="right"/>
              <w:rPr>
                <w:rFonts w:ascii="Arial Narrow" w:hAnsi="Arial Narrow" w:eastAsiaTheme="minorEastAsia"/>
                <w:szCs w:val="21"/>
              </w:rPr>
            </w:pPr>
            <w:r>
              <w:rPr>
                <w:rFonts w:ascii="Arial Narrow" w:hAnsi="Arial Narrow" w:eastAsiaTheme="minorEastAsia"/>
                <w:color w:val="000000"/>
                <w:szCs w:val="21"/>
              </w:rPr>
              <w:t>10,527,883.18</w:t>
            </w:r>
          </w:p>
        </w:tc>
      </w:tr>
      <w:tr w14:paraId="0D0B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45307391">
            <w:pPr>
              <w:rPr>
                <w:rFonts w:ascii="Arial Narrow" w:hAnsi="Arial Narrow" w:eastAsiaTheme="minorEastAsia"/>
                <w:szCs w:val="21"/>
              </w:rPr>
            </w:pPr>
            <w:r>
              <w:rPr>
                <w:rFonts w:ascii="Arial Narrow" w:hAnsi="Arial Narrow" w:eastAsiaTheme="minorEastAsia"/>
                <w:color w:val="000000"/>
                <w:szCs w:val="21"/>
              </w:rPr>
              <w:t>服务费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ECE5478">
            <w:pPr>
              <w:jc w:val="right"/>
              <w:rPr>
                <w:rFonts w:ascii="Arial Narrow" w:hAnsi="Arial Narrow" w:eastAsiaTheme="minorEastAsia"/>
                <w:szCs w:val="21"/>
              </w:rPr>
            </w:pPr>
            <w:r>
              <w:rPr>
                <w:rFonts w:ascii="Arial Narrow" w:hAnsi="Arial Narrow" w:eastAsiaTheme="minorEastAsia"/>
                <w:color w:val="000000"/>
                <w:szCs w:val="21"/>
              </w:rPr>
              <w:t>44,028,069.09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7C8B74C7">
            <w:pPr>
              <w:jc w:val="right"/>
              <w:rPr>
                <w:rFonts w:ascii="Arial Narrow" w:hAnsi="Arial Narrow" w:eastAsiaTheme="minorEastAsia"/>
                <w:szCs w:val="21"/>
              </w:rPr>
            </w:pPr>
            <w:r>
              <w:rPr>
                <w:rFonts w:ascii="Arial Narrow" w:hAnsi="Arial Narrow" w:eastAsiaTheme="minorEastAsia"/>
                <w:color w:val="000000"/>
                <w:szCs w:val="21"/>
              </w:rPr>
              <w:t>4,885,091.35</w:t>
            </w:r>
          </w:p>
        </w:tc>
      </w:tr>
      <w:tr w14:paraId="3596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1F7AB232">
            <w:pPr>
              <w:rPr>
                <w:rFonts w:ascii="Arial Narrow" w:hAnsi="Arial Narrow" w:eastAsiaTheme="minorEastAsia"/>
                <w:szCs w:val="21"/>
              </w:rPr>
            </w:pPr>
            <w:r>
              <w:rPr>
                <w:rFonts w:ascii="Arial Narrow" w:hAnsi="Arial Narrow" w:eastAsiaTheme="minorEastAsia"/>
                <w:color w:val="000000"/>
                <w:szCs w:val="21"/>
              </w:rPr>
              <w:t>污染治理费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112ECA6">
            <w:pPr>
              <w:jc w:val="right"/>
              <w:rPr>
                <w:rFonts w:ascii="Arial Narrow" w:hAnsi="Arial Narrow" w:eastAsiaTheme="minorEastAsia"/>
                <w:szCs w:val="21"/>
              </w:rPr>
            </w:pPr>
            <w:r>
              <w:rPr>
                <w:rFonts w:ascii="Arial Narrow" w:hAnsi="Arial Narrow" w:eastAsiaTheme="minorEastAsia"/>
                <w:color w:val="000000"/>
                <w:szCs w:val="21"/>
              </w:rPr>
              <w:t>206,983,848.29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0E0D76E5">
            <w:pPr>
              <w:jc w:val="right"/>
              <w:rPr>
                <w:rFonts w:ascii="Arial Narrow" w:hAnsi="Arial Narrow" w:eastAsiaTheme="minorEastAsia"/>
                <w:szCs w:val="21"/>
              </w:rPr>
            </w:pPr>
            <w:r>
              <w:rPr>
                <w:rFonts w:ascii="Arial Narrow" w:hAnsi="Arial Narrow" w:eastAsiaTheme="minorEastAsia"/>
                <w:color w:val="000000"/>
                <w:szCs w:val="21"/>
              </w:rPr>
              <w:t>3,223,233.41</w:t>
            </w:r>
          </w:p>
        </w:tc>
      </w:tr>
      <w:tr w14:paraId="48BF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7BFAC3D4">
            <w:pPr>
              <w:rPr>
                <w:rFonts w:ascii="Arial Narrow" w:hAnsi="Arial Narrow" w:eastAsiaTheme="minorEastAsia"/>
                <w:szCs w:val="21"/>
              </w:rPr>
            </w:pPr>
            <w:r>
              <w:rPr>
                <w:rFonts w:ascii="Arial Narrow" w:hAnsi="Arial Narrow" w:eastAsiaTheme="minorEastAsia"/>
                <w:color w:val="000000"/>
                <w:szCs w:val="21"/>
              </w:rPr>
              <w:t>交通费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5E379459">
            <w:pPr>
              <w:jc w:val="right"/>
              <w:rPr>
                <w:rFonts w:ascii="Arial Narrow" w:hAnsi="Arial Narrow" w:eastAsiaTheme="minorEastAsia"/>
                <w:szCs w:val="21"/>
              </w:rPr>
            </w:pPr>
            <w:r>
              <w:rPr>
                <w:rFonts w:ascii="Arial Narrow" w:hAnsi="Arial Narrow" w:eastAsiaTheme="minorEastAsia"/>
                <w:color w:val="000000"/>
                <w:szCs w:val="21"/>
              </w:rPr>
              <w:t>4,072,380.77</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15430FBF">
            <w:pPr>
              <w:jc w:val="right"/>
              <w:rPr>
                <w:rFonts w:ascii="Arial Narrow" w:hAnsi="Arial Narrow" w:eastAsiaTheme="minorEastAsia"/>
                <w:szCs w:val="21"/>
              </w:rPr>
            </w:pPr>
            <w:r>
              <w:rPr>
                <w:rFonts w:ascii="Arial Narrow" w:hAnsi="Arial Narrow" w:eastAsiaTheme="minorEastAsia"/>
                <w:color w:val="000000"/>
                <w:szCs w:val="21"/>
              </w:rPr>
              <w:t>5,081,052.51</w:t>
            </w:r>
          </w:p>
        </w:tc>
      </w:tr>
      <w:tr w14:paraId="6C90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3B6F730">
            <w:pPr>
              <w:rPr>
                <w:rFonts w:ascii="Arial Narrow" w:hAnsi="Arial Narrow" w:eastAsiaTheme="minorEastAsia"/>
                <w:szCs w:val="21"/>
              </w:rPr>
            </w:pPr>
            <w:r>
              <w:rPr>
                <w:rFonts w:ascii="Arial Narrow" w:hAnsi="Arial Narrow" w:eastAsiaTheme="minorEastAsia"/>
                <w:color w:val="000000"/>
                <w:szCs w:val="21"/>
              </w:rPr>
              <w:t>诉讼费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1D35AB14">
            <w:pPr>
              <w:jc w:val="right"/>
              <w:rPr>
                <w:rFonts w:ascii="Arial Narrow" w:hAnsi="Arial Narrow" w:eastAsiaTheme="minorEastAsia"/>
                <w:szCs w:val="21"/>
              </w:rPr>
            </w:pPr>
            <w:r>
              <w:rPr>
                <w:rFonts w:ascii="Arial Narrow" w:hAnsi="Arial Narrow" w:eastAsiaTheme="minorEastAsia"/>
                <w:color w:val="000000"/>
                <w:szCs w:val="21"/>
              </w:rPr>
              <w:t>6,359,562.15</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2EF0F269">
            <w:pPr>
              <w:jc w:val="right"/>
              <w:rPr>
                <w:rFonts w:ascii="Arial Narrow" w:hAnsi="Arial Narrow" w:eastAsiaTheme="minorEastAsia"/>
                <w:szCs w:val="21"/>
              </w:rPr>
            </w:pPr>
            <w:r>
              <w:rPr>
                <w:rFonts w:ascii="Arial Narrow" w:hAnsi="Arial Narrow" w:eastAsiaTheme="minorEastAsia"/>
                <w:color w:val="000000"/>
                <w:szCs w:val="21"/>
              </w:rPr>
              <w:t>2,512,468.13</w:t>
            </w:r>
          </w:p>
        </w:tc>
      </w:tr>
      <w:tr w14:paraId="35EC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7E70D961">
            <w:pPr>
              <w:rPr>
                <w:rFonts w:ascii="Arial Narrow" w:hAnsi="Arial Narrow" w:eastAsiaTheme="minorEastAsia"/>
                <w:szCs w:val="21"/>
              </w:rPr>
            </w:pPr>
            <w:r>
              <w:rPr>
                <w:rFonts w:ascii="Arial Narrow" w:hAnsi="Arial Narrow" w:eastAsiaTheme="minorEastAsia"/>
                <w:color w:val="000000"/>
                <w:szCs w:val="21"/>
              </w:rPr>
              <w:t>装卸费、运输费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A505CCB">
            <w:pPr>
              <w:jc w:val="right"/>
              <w:rPr>
                <w:rFonts w:ascii="Arial Narrow" w:hAnsi="Arial Narrow" w:eastAsiaTheme="minorEastAsia"/>
                <w:szCs w:val="21"/>
              </w:rPr>
            </w:pPr>
            <w:r>
              <w:rPr>
                <w:rFonts w:ascii="Arial Narrow" w:hAnsi="Arial Narrow" w:eastAsiaTheme="minorEastAsia"/>
                <w:color w:val="000000"/>
                <w:szCs w:val="21"/>
              </w:rPr>
              <w:t>9,828,190.36</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0804A9A5">
            <w:pPr>
              <w:jc w:val="right"/>
              <w:rPr>
                <w:rFonts w:ascii="Arial Narrow" w:hAnsi="Arial Narrow" w:eastAsiaTheme="minorEastAsia"/>
                <w:szCs w:val="21"/>
              </w:rPr>
            </w:pPr>
            <w:r>
              <w:rPr>
                <w:rFonts w:ascii="Arial Narrow" w:hAnsi="Arial Narrow" w:eastAsiaTheme="minorEastAsia"/>
                <w:color w:val="000000"/>
                <w:szCs w:val="21"/>
              </w:rPr>
              <w:t>4,232,708.98</w:t>
            </w:r>
          </w:p>
        </w:tc>
      </w:tr>
      <w:tr w14:paraId="0BBA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5C61E13C">
            <w:pPr>
              <w:rPr>
                <w:rFonts w:ascii="Arial Narrow" w:hAnsi="Arial Narrow" w:eastAsiaTheme="minorEastAsia"/>
                <w:szCs w:val="21"/>
              </w:rPr>
            </w:pPr>
            <w:r>
              <w:rPr>
                <w:rFonts w:ascii="Arial Narrow" w:hAnsi="Arial Narrow" w:eastAsiaTheme="minorEastAsia"/>
                <w:color w:val="000000"/>
                <w:szCs w:val="21"/>
              </w:rPr>
              <w:t>咨询费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20AAE0A">
            <w:pPr>
              <w:jc w:val="right"/>
              <w:rPr>
                <w:rFonts w:ascii="Arial Narrow" w:hAnsi="Arial Narrow" w:eastAsiaTheme="minorEastAsia"/>
                <w:szCs w:val="21"/>
              </w:rPr>
            </w:pPr>
            <w:r>
              <w:rPr>
                <w:rFonts w:ascii="Arial Narrow" w:hAnsi="Arial Narrow" w:eastAsiaTheme="minorEastAsia"/>
                <w:color w:val="000000"/>
                <w:szCs w:val="21"/>
              </w:rPr>
              <w:t>4,254,683.11</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EC3770B">
            <w:pPr>
              <w:jc w:val="right"/>
              <w:rPr>
                <w:rFonts w:ascii="Arial Narrow" w:hAnsi="Arial Narrow" w:eastAsiaTheme="minorEastAsia"/>
                <w:szCs w:val="21"/>
              </w:rPr>
            </w:pPr>
            <w:r>
              <w:rPr>
                <w:rFonts w:ascii="Arial Narrow" w:hAnsi="Arial Narrow" w:eastAsiaTheme="minorEastAsia"/>
                <w:color w:val="000000"/>
                <w:szCs w:val="21"/>
              </w:rPr>
              <w:t>329,064.49</w:t>
            </w:r>
          </w:p>
        </w:tc>
      </w:tr>
      <w:tr w14:paraId="40C9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18E8AF86">
            <w:pPr>
              <w:rPr>
                <w:rFonts w:ascii="Arial Narrow" w:hAnsi="Arial Narrow" w:eastAsiaTheme="minorEastAsia"/>
                <w:szCs w:val="21"/>
              </w:rPr>
            </w:pPr>
            <w:r>
              <w:rPr>
                <w:rFonts w:ascii="Arial Narrow" w:hAnsi="Arial Narrow" w:eastAsiaTheme="minorEastAsia"/>
                <w:color w:val="000000"/>
                <w:szCs w:val="21"/>
              </w:rPr>
              <w:t>安全费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1A26EDD">
            <w:pPr>
              <w:jc w:val="right"/>
              <w:rPr>
                <w:rFonts w:ascii="Arial Narrow" w:hAnsi="Arial Narrow" w:eastAsiaTheme="minorEastAsia"/>
                <w:szCs w:val="21"/>
              </w:rPr>
            </w:pPr>
            <w:r>
              <w:rPr>
                <w:rFonts w:ascii="Arial Narrow" w:hAnsi="Arial Narrow" w:eastAsiaTheme="minorEastAsia"/>
                <w:color w:val="000000"/>
                <w:szCs w:val="21"/>
              </w:rPr>
              <w:t>5,857,905.59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F83DD31">
            <w:pPr>
              <w:jc w:val="right"/>
              <w:rPr>
                <w:rFonts w:ascii="Arial Narrow" w:hAnsi="Arial Narrow" w:eastAsiaTheme="minorEastAsia"/>
                <w:szCs w:val="21"/>
              </w:rPr>
            </w:pPr>
            <w:r>
              <w:rPr>
                <w:rFonts w:ascii="Arial Narrow" w:hAnsi="Arial Narrow" w:eastAsiaTheme="minorEastAsia"/>
                <w:color w:val="000000"/>
                <w:szCs w:val="21"/>
              </w:rPr>
              <w:t>2,039,176.12</w:t>
            </w:r>
          </w:p>
        </w:tc>
      </w:tr>
      <w:tr w14:paraId="3069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70E0A18C">
            <w:pPr>
              <w:rPr>
                <w:rFonts w:ascii="Arial Narrow" w:hAnsi="Arial Narrow" w:eastAsiaTheme="minorEastAsia"/>
                <w:szCs w:val="21"/>
              </w:rPr>
            </w:pPr>
            <w:r>
              <w:rPr>
                <w:rFonts w:ascii="Arial Narrow" w:hAnsi="Arial Narrow" w:eastAsiaTheme="minorEastAsia"/>
                <w:color w:val="000000"/>
                <w:szCs w:val="21"/>
              </w:rPr>
              <w:t>其他</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4A27117">
            <w:pPr>
              <w:jc w:val="right"/>
              <w:rPr>
                <w:rFonts w:ascii="Arial Narrow" w:hAnsi="Arial Narrow" w:eastAsiaTheme="minorEastAsia"/>
                <w:szCs w:val="21"/>
              </w:rPr>
            </w:pPr>
            <w:r>
              <w:rPr>
                <w:rFonts w:ascii="Arial Narrow" w:hAnsi="Arial Narrow" w:eastAsiaTheme="minorEastAsia"/>
                <w:color w:val="000000"/>
                <w:szCs w:val="21"/>
              </w:rPr>
              <w:t>44,126,539.55</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16D97BAA">
            <w:pPr>
              <w:jc w:val="right"/>
              <w:rPr>
                <w:rFonts w:ascii="Arial Narrow" w:hAnsi="Arial Narrow" w:eastAsiaTheme="minorEastAsia"/>
                <w:szCs w:val="21"/>
              </w:rPr>
            </w:pPr>
            <w:r>
              <w:rPr>
                <w:rFonts w:ascii="Arial Narrow" w:hAnsi="Arial Narrow" w:eastAsiaTheme="minorEastAsia"/>
                <w:color w:val="000000"/>
                <w:szCs w:val="21"/>
              </w:rPr>
              <w:t>43,704,605.56</w:t>
            </w:r>
          </w:p>
        </w:tc>
      </w:tr>
      <w:tr w14:paraId="472A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202EE816">
            <w:pPr>
              <w:jc w:val="center"/>
              <w:rPr>
                <w:rFonts w:ascii="Arial Narrow" w:hAnsi="Arial Narrow" w:eastAsiaTheme="minorEastAsia"/>
                <w:szCs w:val="21"/>
              </w:rPr>
            </w:pPr>
            <w:r>
              <w:rPr>
                <w:rFonts w:ascii="Arial Narrow" w:hAnsi="Arial Narrow" w:eastAsiaTheme="minorEastAsia"/>
                <w:szCs w:val="21"/>
              </w:rPr>
              <w:t>合计</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28A654A">
            <w:pPr>
              <w:jc w:val="right"/>
              <w:rPr>
                <w:rFonts w:ascii="Arial Narrow" w:hAnsi="Arial Narrow" w:eastAsiaTheme="minorEastAsia"/>
                <w:szCs w:val="21"/>
              </w:rPr>
            </w:pPr>
            <w:r>
              <w:rPr>
                <w:rFonts w:ascii="Arial Narrow" w:hAnsi="Arial Narrow" w:eastAsiaTheme="minorEastAsia"/>
                <w:color w:val="000000"/>
                <w:szCs w:val="21"/>
              </w:rPr>
              <w:t>976,107,086.54</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25CA4CB">
            <w:pPr>
              <w:jc w:val="right"/>
              <w:rPr>
                <w:rFonts w:ascii="Arial Narrow" w:hAnsi="Arial Narrow" w:eastAsiaTheme="minorEastAsia"/>
                <w:szCs w:val="21"/>
              </w:rPr>
            </w:pPr>
            <w:r>
              <w:rPr>
                <w:rFonts w:ascii="Arial Narrow" w:hAnsi="Arial Narrow" w:eastAsiaTheme="minorEastAsia"/>
                <w:color w:val="000000"/>
                <w:szCs w:val="21"/>
              </w:rPr>
              <w:t>686,297,644.55</w:t>
            </w:r>
          </w:p>
        </w:tc>
      </w:tr>
    </w:tbl>
    <w:p w14:paraId="534311A5">
      <w:pPr>
        <w:rPr>
          <w:rFonts w:hint="eastAsia"/>
        </w:rPr>
      </w:pPr>
    </w:p>
    <w:p w14:paraId="251D6329">
      <w:pPr>
        <w:rPr>
          <w:rFonts w:hint="eastAsia"/>
          <w:szCs w:val="21"/>
        </w:rPr>
      </w:pPr>
      <w:r>
        <w:rPr>
          <w:rFonts w:hint="eastAsia"/>
          <w:szCs w:val="21"/>
        </w:rPr>
        <w:t>其他说明：</w:t>
      </w:r>
    </w:p>
    <w:sdt>
      <w:sdtPr>
        <w:rPr>
          <w:szCs w:val="21"/>
        </w:rPr>
        <w:alias w:val="管理费用的其他说明事项"/>
        <w:tag w:val="_GBC_9b151103b3714e6c9261d3362f24bd0a"/>
        <w:id w:val="2002842918"/>
        <w:placeholder>
          <w:docPart w:val="GBC22222222222222222222222222222"/>
        </w:placeholder>
      </w:sdtPr>
      <w:sdtEndPr>
        <w:rPr>
          <w:szCs w:val="21"/>
        </w:rPr>
      </w:sdtEndPr>
      <w:sdtContent>
        <w:p w14:paraId="7371D80F">
          <w:pPr>
            <w:rPr>
              <w:rFonts w:hint="eastAsia"/>
              <w:szCs w:val="21"/>
            </w:rPr>
          </w:pPr>
          <w:r>
            <w:rPr>
              <w:rFonts w:hint="eastAsia"/>
              <w:szCs w:val="21"/>
            </w:rPr>
            <w:t>无</w:t>
          </w:r>
        </w:p>
      </w:sdtContent>
    </w:sdt>
    <w:p w14:paraId="717AB22E">
      <w:pPr>
        <w:rPr>
          <w:rFonts w:hint="eastAsia"/>
          <w:szCs w:val="21"/>
        </w:rPr>
      </w:pPr>
    </w:p>
    <w:p w14:paraId="0B127CEF">
      <w:pPr>
        <w:pStyle w:val="70"/>
        <w:numPr>
          <w:ilvl w:val="0"/>
          <w:numId w:val="109"/>
        </w:numPr>
        <w:rPr>
          <w:szCs w:val="21"/>
        </w:rPr>
      </w:pPr>
      <w:bookmarkStart w:id="370" w:name="_Hlk155098459"/>
      <w:bookmarkStart w:id="371" w:name="_Hlk532912714"/>
      <w:r>
        <w:rPr>
          <w:szCs w:val="21"/>
        </w:rPr>
        <w:t>研发费用</w:t>
      </w:r>
    </w:p>
    <w:sdt>
      <w:sdtPr>
        <w:rPr>
          <w:szCs w:val="21"/>
        </w:rPr>
        <w:alias w:val="是否适用：研发费用[双击切换]"/>
        <w:tag w:val="_GBC_9898510b9c0a486f9cd9779f4b72b75c"/>
        <w:id w:val="529071031"/>
        <w:placeholder>
          <w:docPart w:val="GBC22222222222222222222222222222"/>
        </w:placeholder>
      </w:sdtPr>
      <w:sdtEndPr>
        <w:rPr>
          <w:szCs w:val="21"/>
        </w:rPr>
      </w:sdtEndPr>
      <w:sdtContent>
        <w:p w14:paraId="5F4F97CB">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B7F1EB7">
      <w:pPr>
        <w:pStyle w:val="109"/>
        <w:ind w:left="420" w:firstLine="0" w:firstLineChars="0"/>
        <w:jc w:val="right"/>
        <w:rPr>
          <w:szCs w:val="21"/>
        </w:rPr>
      </w:pPr>
      <w:r>
        <w:rPr>
          <w:rFonts w:hint="eastAsia"/>
          <w:szCs w:val="21"/>
        </w:rPr>
        <w:t>单位：</w:t>
      </w:r>
      <w:sdt>
        <w:sdtPr>
          <w:rPr>
            <w:rFonts w:hint="eastAsia"/>
            <w:szCs w:val="21"/>
          </w:rPr>
          <w:alias w:val="单位：研发费用"/>
          <w:tag w:val="_GBC_f2389528805243908680cac1cbf74aac"/>
          <w:id w:val="4528328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研发费用"/>
          <w:tag w:val="_GBC_fd53f958c2294dce9fb017f8207a7ff4"/>
          <w:id w:val="7815385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118B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70c22a459f7a4323bcf2b066e0398aee"/>
            <w:id w:val="1528983837"/>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tcPr>
              <w:p w14:paraId="06C5E6DD">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76c559fcf2df4f56bfb2994739826eb3"/>
            <w:id w:val="-1362895918"/>
          </w:sdtPr>
          <w:sdtEndPr>
            <w:rPr>
              <w:rFonts w:ascii="Arial Narrow" w:hAnsi="Arial Narrow" w:eastAsiaTheme="minorEastAsia"/>
              <w:szCs w:val="21"/>
            </w:rPr>
          </w:sdtEndPr>
          <w:sdtContent>
            <w:tc>
              <w:tcPr>
                <w:tcW w:w="1439" w:type="pct"/>
                <w:tcBorders>
                  <w:top w:val="single" w:color="auto" w:sz="4" w:space="0"/>
                  <w:left w:val="single" w:color="auto" w:sz="4" w:space="0"/>
                  <w:bottom w:val="single" w:color="auto" w:sz="4" w:space="0"/>
                  <w:right w:val="single" w:color="auto" w:sz="4" w:space="0"/>
                </w:tcBorders>
                <w:shd w:val="clear" w:color="auto" w:fill="auto"/>
              </w:tcPr>
              <w:p w14:paraId="71366EF8">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ec7e9f373a83410d886ebef444573eb8"/>
            <w:id w:val="2016879100"/>
          </w:sdtPr>
          <w:sdtEndPr>
            <w:rPr>
              <w:rFonts w:ascii="Arial Narrow" w:hAnsi="Arial Narrow" w:eastAsiaTheme="minorEastAsia"/>
              <w:szCs w:val="21"/>
            </w:rPr>
          </w:sdtEndPr>
          <w:sdtContent>
            <w:tc>
              <w:tcPr>
                <w:tcW w:w="1348" w:type="pct"/>
                <w:tcBorders>
                  <w:top w:val="single" w:color="auto" w:sz="4" w:space="0"/>
                  <w:left w:val="single" w:color="auto" w:sz="4" w:space="0"/>
                  <w:bottom w:val="single" w:color="auto" w:sz="4" w:space="0"/>
                  <w:right w:val="single" w:color="auto" w:sz="4" w:space="0"/>
                </w:tcBorders>
                <w:shd w:val="clear" w:color="auto" w:fill="auto"/>
              </w:tcPr>
              <w:p w14:paraId="504C1342">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2C55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364CEB71">
            <w:pPr>
              <w:rPr>
                <w:rFonts w:ascii="Arial Narrow" w:hAnsi="Arial Narrow" w:eastAsiaTheme="minorEastAsia"/>
                <w:szCs w:val="21"/>
              </w:rPr>
            </w:pPr>
            <w:r>
              <w:rPr>
                <w:rFonts w:ascii="Arial Narrow" w:hAnsi="Arial Narrow" w:eastAsiaTheme="minorEastAsia"/>
                <w:color w:val="000000"/>
                <w:szCs w:val="21"/>
              </w:rPr>
              <w:t>人工成本</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FF123B2">
            <w:pPr>
              <w:jc w:val="right"/>
              <w:rPr>
                <w:rFonts w:ascii="Arial Narrow" w:hAnsi="Arial Narrow" w:eastAsiaTheme="minorEastAsia"/>
                <w:szCs w:val="21"/>
              </w:rPr>
            </w:pPr>
            <w:r>
              <w:rPr>
                <w:rFonts w:ascii="Arial Narrow" w:hAnsi="Arial Narrow" w:eastAsiaTheme="minorEastAsia"/>
                <w:color w:val="000000"/>
                <w:szCs w:val="21"/>
              </w:rPr>
              <w:t>181,294,881.89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20F32EBF">
            <w:pPr>
              <w:jc w:val="right"/>
              <w:rPr>
                <w:rFonts w:ascii="Arial Narrow" w:hAnsi="Arial Narrow" w:eastAsiaTheme="minorEastAsia"/>
                <w:szCs w:val="21"/>
              </w:rPr>
            </w:pPr>
            <w:r>
              <w:rPr>
                <w:rFonts w:ascii="Arial Narrow" w:hAnsi="Arial Narrow" w:eastAsiaTheme="minorEastAsia"/>
                <w:color w:val="000000"/>
                <w:szCs w:val="21"/>
              </w:rPr>
              <w:t>165,642,581.69</w:t>
            </w:r>
          </w:p>
        </w:tc>
      </w:tr>
      <w:tr w14:paraId="57B3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554797B3">
            <w:pPr>
              <w:rPr>
                <w:rFonts w:ascii="Arial Narrow" w:hAnsi="Arial Narrow" w:eastAsiaTheme="minorEastAsia"/>
                <w:szCs w:val="21"/>
              </w:rPr>
            </w:pPr>
            <w:r>
              <w:rPr>
                <w:rFonts w:ascii="Arial Narrow" w:hAnsi="Arial Narrow" w:eastAsiaTheme="minorEastAsia"/>
                <w:color w:val="000000"/>
                <w:szCs w:val="21"/>
              </w:rPr>
              <w:t>材料、动力费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6937F2D">
            <w:pPr>
              <w:jc w:val="right"/>
              <w:rPr>
                <w:rFonts w:ascii="Arial Narrow" w:hAnsi="Arial Narrow" w:eastAsiaTheme="minorEastAsia"/>
                <w:szCs w:val="21"/>
              </w:rPr>
            </w:pPr>
            <w:r>
              <w:rPr>
                <w:rFonts w:ascii="Arial Narrow" w:hAnsi="Arial Narrow" w:eastAsiaTheme="minorEastAsia"/>
                <w:color w:val="000000"/>
                <w:szCs w:val="21"/>
              </w:rPr>
              <w:t>74,381,117.10</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382B052">
            <w:pPr>
              <w:jc w:val="right"/>
              <w:rPr>
                <w:rFonts w:ascii="Arial Narrow" w:hAnsi="Arial Narrow" w:eastAsiaTheme="minorEastAsia"/>
                <w:szCs w:val="21"/>
              </w:rPr>
            </w:pPr>
            <w:r>
              <w:rPr>
                <w:rFonts w:ascii="Arial Narrow" w:hAnsi="Arial Narrow" w:eastAsiaTheme="minorEastAsia"/>
                <w:color w:val="000000"/>
                <w:szCs w:val="21"/>
              </w:rPr>
              <w:t>129,880,428.40</w:t>
            </w:r>
          </w:p>
        </w:tc>
      </w:tr>
      <w:tr w14:paraId="178E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E99FB6B">
            <w:pPr>
              <w:rPr>
                <w:rFonts w:ascii="Arial Narrow" w:hAnsi="Arial Narrow" w:eastAsiaTheme="minorEastAsia"/>
                <w:szCs w:val="21"/>
              </w:rPr>
            </w:pPr>
            <w:r>
              <w:rPr>
                <w:rFonts w:ascii="Arial Narrow" w:hAnsi="Arial Narrow" w:eastAsiaTheme="minorEastAsia"/>
                <w:color w:val="000000"/>
                <w:szCs w:val="21"/>
              </w:rPr>
              <w:t>折旧及摊销费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44EF623">
            <w:pPr>
              <w:jc w:val="right"/>
              <w:rPr>
                <w:rFonts w:ascii="Arial Narrow" w:hAnsi="Arial Narrow" w:eastAsiaTheme="minorEastAsia"/>
                <w:szCs w:val="21"/>
              </w:rPr>
            </w:pPr>
            <w:r>
              <w:rPr>
                <w:rFonts w:ascii="Arial Narrow" w:hAnsi="Arial Narrow" w:eastAsiaTheme="minorEastAsia"/>
                <w:color w:val="000000"/>
                <w:szCs w:val="21"/>
              </w:rPr>
              <w:t>18,221,889.28</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24457462">
            <w:pPr>
              <w:jc w:val="right"/>
              <w:rPr>
                <w:rFonts w:ascii="Arial Narrow" w:hAnsi="Arial Narrow" w:eastAsiaTheme="minorEastAsia"/>
                <w:szCs w:val="21"/>
              </w:rPr>
            </w:pPr>
            <w:r>
              <w:rPr>
                <w:rFonts w:ascii="Arial Narrow" w:hAnsi="Arial Narrow" w:eastAsiaTheme="minorEastAsia"/>
                <w:color w:val="000000"/>
                <w:szCs w:val="21"/>
              </w:rPr>
              <w:t>18,715,582.76</w:t>
            </w:r>
          </w:p>
        </w:tc>
      </w:tr>
      <w:tr w14:paraId="63A9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54DD7989">
            <w:pPr>
              <w:rPr>
                <w:rFonts w:ascii="Arial Narrow" w:hAnsi="Arial Narrow" w:eastAsiaTheme="minorEastAsia"/>
                <w:szCs w:val="21"/>
              </w:rPr>
            </w:pPr>
            <w:r>
              <w:rPr>
                <w:rFonts w:ascii="Arial Narrow" w:hAnsi="Arial Narrow" w:eastAsiaTheme="minorEastAsia"/>
                <w:color w:val="000000"/>
                <w:szCs w:val="21"/>
              </w:rPr>
              <w:t>检验检测费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F8C667E">
            <w:pPr>
              <w:jc w:val="right"/>
              <w:rPr>
                <w:rFonts w:ascii="Arial Narrow" w:hAnsi="Arial Narrow" w:eastAsiaTheme="minorEastAsia"/>
                <w:szCs w:val="21"/>
              </w:rPr>
            </w:pPr>
            <w:r>
              <w:rPr>
                <w:rFonts w:ascii="Arial Narrow" w:hAnsi="Arial Narrow" w:eastAsiaTheme="minorEastAsia"/>
                <w:color w:val="000000"/>
                <w:szCs w:val="21"/>
              </w:rPr>
              <w:t>18,788,327.03</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844D4ED">
            <w:pPr>
              <w:jc w:val="right"/>
              <w:rPr>
                <w:rFonts w:ascii="Arial Narrow" w:hAnsi="Arial Narrow" w:eastAsiaTheme="minorEastAsia"/>
                <w:szCs w:val="21"/>
              </w:rPr>
            </w:pPr>
            <w:r>
              <w:rPr>
                <w:rFonts w:ascii="Arial Narrow" w:hAnsi="Arial Narrow" w:eastAsiaTheme="minorEastAsia"/>
                <w:color w:val="000000"/>
                <w:szCs w:val="21"/>
              </w:rPr>
              <w:t>20,592,841.64</w:t>
            </w:r>
          </w:p>
        </w:tc>
      </w:tr>
      <w:tr w14:paraId="3324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755B37A1">
            <w:pPr>
              <w:rPr>
                <w:rFonts w:ascii="Arial Narrow" w:hAnsi="Arial Narrow" w:eastAsiaTheme="minorEastAsia"/>
                <w:szCs w:val="21"/>
              </w:rPr>
            </w:pPr>
            <w:r>
              <w:rPr>
                <w:rFonts w:ascii="Arial Narrow" w:hAnsi="Arial Narrow" w:eastAsiaTheme="minorEastAsia"/>
                <w:color w:val="000000"/>
                <w:szCs w:val="21"/>
              </w:rPr>
              <w:t>其他</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7722249">
            <w:pPr>
              <w:jc w:val="right"/>
              <w:rPr>
                <w:rFonts w:ascii="Arial Narrow" w:hAnsi="Arial Narrow" w:eastAsiaTheme="minorEastAsia"/>
                <w:szCs w:val="21"/>
              </w:rPr>
            </w:pPr>
            <w:r>
              <w:rPr>
                <w:rFonts w:ascii="Arial Narrow" w:hAnsi="Arial Narrow" w:eastAsiaTheme="minorEastAsia"/>
                <w:color w:val="000000"/>
                <w:szCs w:val="21"/>
              </w:rPr>
              <w:t>44,356,522.29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009A1BAC">
            <w:pPr>
              <w:jc w:val="right"/>
              <w:rPr>
                <w:rFonts w:ascii="Arial Narrow" w:hAnsi="Arial Narrow" w:eastAsiaTheme="minorEastAsia"/>
                <w:szCs w:val="21"/>
              </w:rPr>
            </w:pPr>
            <w:r>
              <w:rPr>
                <w:rFonts w:ascii="Arial Narrow" w:hAnsi="Arial Narrow" w:eastAsiaTheme="minorEastAsia"/>
                <w:color w:val="000000"/>
                <w:szCs w:val="21"/>
              </w:rPr>
              <w:t>42,682,009.18</w:t>
            </w:r>
          </w:p>
        </w:tc>
      </w:tr>
      <w:tr w14:paraId="2F23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583C88AE">
            <w:pPr>
              <w:jc w:val="center"/>
              <w:rPr>
                <w:rFonts w:ascii="Arial Narrow" w:hAnsi="Arial Narrow" w:eastAsiaTheme="minorEastAsia"/>
                <w:szCs w:val="21"/>
              </w:rPr>
            </w:pPr>
            <w:r>
              <w:rPr>
                <w:rFonts w:ascii="Arial Narrow" w:hAnsi="Arial Narrow" w:eastAsiaTheme="minorEastAsia"/>
                <w:szCs w:val="21"/>
              </w:rPr>
              <w:t>合计</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255459D9">
            <w:pPr>
              <w:jc w:val="right"/>
              <w:rPr>
                <w:rFonts w:ascii="Arial Narrow" w:hAnsi="Arial Narrow" w:eastAsiaTheme="minorEastAsia"/>
                <w:szCs w:val="21"/>
              </w:rPr>
            </w:pPr>
            <w:r>
              <w:rPr>
                <w:rFonts w:ascii="Arial Narrow" w:hAnsi="Arial Narrow" w:eastAsiaTheme="minorEastAsia"/>
                <w:color w:val="000000"/>
                <w:szCs w:val="21"/>
              </w:rPr>
              <w:t>337,042,737.59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0079D1E">
            <w:pPr>
              <w:jc w:val="right"/>
              <w:rPr>
                <w:rFonts w:ascii="Arial Narrow" w:hAnsi="Arial Narrow" w:eastAsiaTheme="minorEastAsia"/>
                <w:szCs w:val="21"/>
              </w:rPr>
            </w:pPr>
            <w:r>
              <w:rPr>
                <w:rFonts w:ascii="Arial Narrow" w:hAnsi="Arial Narrow" w:eastAsiaTheme="minorEastAsia"/>
                <w:color w:val="000000"/>
                <w:szCs w:val="21"/>
              </w:rPr>
              <w:t>377,513,443.67</w:t>
            </w:r>
          </w:p>
        </w:tc>
      </w:tr>
    </w:tbl>
    <w:p w14:paraId="7C1019D4">
      <w:pPr>
        <w:rPr>
          <w:rFonts w:hint="eastAsia"/>
        </w:rPr>
      </w:pPr>
    </w:p>
    <w:p w14:paraId="7E76EF9D">
      <w:pPr>
        <w:rPr>
          <w:rFonts w:hint="eastAsia"/>
          <w:szCs w:val="21"/>
        </w:rPr>
      </w:pPr>
      <w:r>
        <w:rPr>
          <w:rFonts w:hint="eastAsia"/>
          <w:szCs w:val="21"/>
        </w:rPr>
        <w:t>其他说明：</w:t>
      </w:r>
    </w:p>
    <w:sdt>
      <w:sdtPr>
        <w:alias w:val="研发费用其他说明"/>
        <w:tag w:val="_GBC_da0db64d68d44b2fa6262eeadfe7c926"/>
        <w:id w:val="-10920796"/>
        <w:placeholder>
          <w:docPart w:val="GBC22222222222222222222222222222"/>
        </w:placeholder>
      </w:sdtPr>
      <w:sdtContent>
        <w:p w14:paraId="33D35691">
          <w:pPr>
            <w:rPr>
              <w:rFonts w:hint="eastAsia"/>
            </w:rPr>
          </w:pPr>
          <w:r>
            <w:rPr>
              <w:rFonts w:hint="eastAsia"/>
            </w:rPr>
            <w:t>无</w:t>
          </w:r>
        </w:p>
      </w:sdtContent>
    </w:sdt>
    <w:p w14:paraId="4DACCE51">
      <w:pPr>
        <w:rPr>
          <w:rFonts w:hint="eastAsia"/>
        </w:rPr>
      </w:pPr>
    </w:p>
    <w:bookmarkEnd w:id="370"/>
    <w:bookmarkEnd w:id="371"/>
    <w:p w14:paraId="7973EADD">
      <w:pPr>
        <w:pStyle w:val="70"/>
        <w:numPr>
          <w:ilvl w:val="0"/>
          <w:numId w:val="109"/>
        </w:numPr>
        <w:rPr>
          <w:szCs w:val="21"/>
        </w:rPr>
      </w:pPr>
      <w:r>
        <w:rPr>
          <w:szCs w:val="21"/>
        </w:rPr>
        <w:t>财务费用</w:t>
      </w:r>
    </w:p>
    <w:sdt>
      <w:sdtPr>
        <w:alias w:val="是否适用：财务费用[双击切换]"/>
        <w:tag w:val="_GBC_7e467c6faebc402ab141f588df31680d"/>
        <w:id w:val="1319074097"/>
        <w:placeholder>
          <w:docPart w:val="GBC22222222222222222222222222222"/>
        </w:placeholder>
      </w:sdtPr>
      <w:sdtContent>
        <w:p w14:paraId="6F0620A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91EECE6">
      <w:pPr>
        <w:jc w:val="right"/>
        <w:rPr>
          <w:rFonts w:hint="eastAsia"/>
        </w:rPr>
      </w:pPr>
      <w:r>
        <w:rPr>
          <w:rFonts w:hint="eastAsia"/>
        </w:rPr>
        <w:t>单位：</w:t>
      </w:r>
      <w:sdt>
        <w:sdtPr>
          <w:rPr>
            <w:rFonts w:hint="eastAsia"/>
          </w:rPr>
          <w:alias w:val="单位：财务费用"/>
          <w:tag w:val="_GBC_adcf988d29cd43aba011ce1310eac264"/>
          <w:id w:val="-13869545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18500123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1293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49977e87dd3f474489b24bbaed00293d"/>
            <w:id w:val="-112144812"/>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tcPr>
              <w:p w14:paraId="12730BC0">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f64aa2e290ce4904a39347c56117acb7"/>
            <w:id w:val="-606356933"/>
          </w:sdtPr>
          <w:sdtEndPr>
            <w:rPr>
              <w:rFonts w:ascii="Arial Narrow" w:hAnsi="Arial Narrow" w:eastAsiaTheme="minorEastAsia"/>
              <w:szCs w:val="21"/>
            </w:rPr>
          </w:sdtEndPr>
          <w:sdtContent>
            <w:tc>
              <w:tcPr>
                <w:tcW w:w="1439" w:type="pct"/>
                <w:tcBorders>
                  <w:top w:val="single" w:color="auto" w:sz="4" w:space="0"/>
                  <w:left w:val="single" w:color="auto" w:sz="4" w:space="0"/>
                  <w:bottom w:val="single" w:color="auto" w:sz="4" w:space="0"/>
                  <w:right w:val="single" w:color="auto" w:sz="4" w:space="0"/>
                </w:tcBorders>
                <w:shd w:val="clear" w:color="auto" w:fill="auto"/>
              </w:tcPr>
              <w:p w14:paraId="62967035">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178c78585f7e495ebd86923cb8c24338"/>
            <w:id w:val="-578516189"/>
          </w:sdtPr>
          <w:sdtEndPr>
            <w:rPr>
              <w:rFonts w:ascii="Arial Narrow" w:hAnsi="Arial Narrow" w:eastAsiaTheme="minorEastAsia"/>
              <w:szCs w:val="21"/>
            </w:rPr>
          </w:sdtEndPr>
          <w:sdtContent>
            <w:tc>
              <w:tcPr>
                <w:tcW w:w="1348" w:type="pct"/>
                <w:tcBorders>
                  <w:top w:val="single" w:color="auto" w:sz="4" w:space="0"/>
                  <w:left w:val="single" w:color="auto" w:sz="4" w:space="0"/>
                  <w:bottom w:val="single" w:color="auto" w:sz="4" w:space="0"/>
                  <w:right w:val="single" w:color="auto" w:sz="4" w:space="0"/>
                </w:tcBorders>
                <w:shd w:val="clear" w:color="auto" w:fill="auto"/>
              </w:tcPr>
              <w:p w14:paraId="405B8895">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4AA9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3FF35F0A">
            <w:pPr>
              <w:rPr>
                <w:rFonts w:ascii="Arial Narrow" w:hAnsi="Arial Narrow" w:eastAsiaTheme="minorEastAsia"/>
                <w:szCs w:val="21"/>
              </w:rPr>
            </w:pPr>
            <w:r>
              <w:rPr>
                <w:rFonts w:ascii="Arial Narrow" w:hAnsi="Arial Narrow" w:eastAsiaTheme="minorEastAsia"/>
                <w:color w:val="000000"/>
                <w:szCs w:val="21"/>
              </w:rPr>
              <w:t>利息支出</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691C790">
            <w:pPr>
              <w:jc w:val="right"/>
              <w:rPr>
                <w:rFonts w:ascii="Arial Narrow" w:hAnsi="Arial Narrow" w:eastAsiaTheme="minorEastAsia"/>
                <w:szCs w:val="21"/>
              </w:rPr>
            </w:pPr>
            <w:r>
              <w:rPr>
                <w:rFonts w:ascii="Arial Narrow" w:hAnsi="Arial Narrow" w:eastAsiaTheme="minorEastAsia"/>
                <w:color w:val="000000"/>
                <w:szCs w:val="21"/>
              </w:rPr>
              <w:t>56,780,496.79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1A1E3B6">
            <w:pPr>
              <w:jc w:val="right"/>
              <w:rPr>
                <w:rFonts w:ascii="Arial Narrow" w:hAnsi="Arial Narrow" w:eastAsiaTheme="minorEastAsia"/>
                <w:szCs w:val="21"/>
              </w:rPr>
            </w:pPr>
            <w:r>
              <w:rPr>
                <w:rFonts w:ascii="Arial Narrow" w:hAnsi="Arial Narrow" w:eastAsiaTheme="minorEastAsia"/>
                <w:color w:val="000000"/>
                <w:szCs w:val="21"/>
              </w:rPr>
              <w:t>77,232,431.04</w:t>
            </w:r>
          </w:p>
        </w:tc>
      </w:tr>
      <w:tr w14:paraId="3B36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4980898E">
            <w:pPr>
              <w:rPr>
                <w:rFonts w:ascii="Arial Narrow" w:hAnsi="Arial Narrow" w:eastAsiaTheme="minorEastAsia"/>
                <w:szCs w:val="21"/>
              </w:rPr>
            </w:pPr>
            <w:r>
              <w:rPr>
                <w:rFonts w:ascii="Arial Narrow" w:hAnsi="Arial Narrow" w:eastAsiaTheme="minorEastAsia"/>
                <w:color w:val="000000"/>
                <w:szCs w:val="21"/>
              </w:rPr>
              <w:t>减：利息收入</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329DC15">
            <w:pPr>
              <w:jc w:val="right"/>
              <w:rPr>
                <w:rFonts w:ascii="Arial Narrow" w:hAnsi="Arial Narrow" w:eastAsiaTheme="minorEastAsia"/>
                <w:szCs w:val="21"/>
              </w:rPr>
            </w:pPr>
            <w:r>
              <w:rPr>
                <w:rFonts w:ascii="Arial Narrow" w:hAnsi="Arial Narrow" w:eastAsiaTheme="minorEastAsia"/>
                <w:color w:val="000000"/>
                <w:szCs w:val="21"/>
              </w:rPr>
              <w:t>75,041,810.86</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7ED071E">
            <w:pPr>
              <w:jc w:val="right"/>
              <w:rPr>
                <w:rFonts w:ascii="Arial Narrow" w:hAnsi="Arial Narrow" w:eastAsiaTheme="minorEastAsia"/>
                <w:szCs w:val="21"/>
              </w:rPr>
            </w:pPr>
            <w:r>
              <w:rPr>
                <w:rFonts w:ascii="Arial Narrow" w:hAnsi="Arial Narrow" w:eastAsiaTheme="minorEastAsia"/>
                <w:color w:val="000000"/>
                <w:szCs w:val="21"/>
              </w:rPr>
              <w:t>116,202,690.51</w:t>
            </w:r>
          </w:p>
        </w:tc>
      </w:tr>
      <w:tr w14:paraId="6ABE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3F86DBF8">
            <w:pPr>
              <w:rPr>
                <w:rFonts w:ascii="Arial Narrow" w:hAnsi="Arial Narrow" w:eastAsiaTheme="minorEastAsia"/>
                <w:szCs w:val="21"/>
              </w:rPr>
            </w:pPr>
            <w:r>
              <w:rPr>
                <w:rFonts w:ascii="Arial Narrow" w:hAnsi="Arial Narrow" w:eastAsiaTheme="minorEastAsia"/>
                <w:color w:val="000000"/>
                <w:szCs w:val="21"/>
              </w:rPr>
              <w:t>汇兑损益</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33B18F0A">
            <w:pPr>
              <w:jc w:val="right"/>
              <w:rPr>
                <w:rFonts w:ascii="Arial Narrow" w:hAnsi="Arial Narrow" w:eastAsiaTheme="minorEastAsia"/>
                <w:szCs w:val="21"/>
              </w:rPr>
            </w:pPr>
            <w:r>
              <w:rPr>
                <w:rFonts w:ascii="Arial Narrow" w:hAnsi="Arial Narrow" w:eastAsiaTheme="minorEastAsia"/>
                <w:color w:val="000000"/>
                <w:szCs w:val="21"/>
              </w:rPr>
              <w:t>-14,613,326.19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DC93339">
            <w:pPr>
              <w:jc w:val="right"/>
              <w:rPr>
                <w:rFonts w:ascii="Arial Narrow" w:hAnsi="Arial Narrow" w:eastAsiaTheme="minorEastAsia"/>
                <w:szCs w:val="21"/>
              </w:rPr>
            </w:pPr>
            <w:r>
              <w:rPr>
                <w:rFonts w:ascii="Arial Narrow" w:hAnsi="Arial Narrow" w:eastAsiaTheme="minorEastAsia"/>
                <w:color w:val="000000"/>
                <w:szCs w:val="21"/>
              </w:rPr>
              <w:t>-5,350,218.82</w:t>
            </w:r>
          </w:p>
        </w:tc>
      </w:tr>
      <w:tr w14:paraId="5671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2FE5753">
            <w:pPr>
              <w:rPr>
                <w:rFonts w:ascii="Arial Narrow" w:hAnsi="Arial Narrow" w:eastAsiaTheme="minorEastAsia"/>
                <w:szCs w:val="21"/>
              </w:rPr>
            </w:pPr>
            <w:r>
              <w:rPr>
                <w:rFonts w:ascii="Arial Narrow" w:hAnsi="Arial Narrow" w:eastAsiaTheme="minorEastAsia"/>
                <w:color w:val="000000"/>
                <w:szCs w:val="21"/>
              </w:rPr>
              <w:t>银行手续费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268AEF7">
            <w:pPr>
              <w:jc w:val="right"/>
              <w:rPr>
                <w:rFonts w:ascii="Arial Narrow" w:hAnsi="Arial Narrow" w:eastAsiaTheme="minorEastAsia"/>
                <w:szCs w:val="21"/>
              </w:rPr>
            </w:pPr>
            <w:r>
              <w:rPr>
                <w:rFonts w:ascii="Arial Narrow" w:hAnsi="Arial Narrow" w:eastAsiaTheme="minorEastAsia"/>
                <w:color w:val="000000"/>
                <w:szCs w:val="21"/>
              </w:rPr>
              <w:t>4,374,498.09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50D3331">
            <w:pPr>
              <w:jc w:val="right"/>
              <w:rPr>
                <w:rFonts w:ascii="Arial Narrow" w:hAnsi="Arial Narrow" w:eastAsiaTheme="minorEastAsia"/>
                <w:szCs w:val="21"/>
              </w:rPr>
            </w:pPr>
            <w:r>
              <w:rPr>
                <w:rFonts w:ascii="Arial Narrow" w:hAnsi="Arial Narrow" w:eastAsiaTheme="minorEastAsia"/>
                <w:color w:val="000000"/>
                <w:szCs w:val="21"/>
              </w:rPr>
              <w:t>4,713,722.77</w:t>
            </w:r>
          </w:p>
        </w:tc>
      </w:tr>
      <w:tr w14:paraId="1D14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66D78943">
            <w:pPr>
              <w:rPr>
                <w:rFonts w:ascii="Arial Narrow" w:hAnsi="Arial Narrow" w:eastAsiaTheme="minorEastAsia"/>
                <w:szCs w:val="21"/>
              </w:rPr>
            </w:pPr>
            <w:r>
              <w:rPr>
                <w:rFonts w:ascii="Arial Narrow" w:hAnsi="Arial Narrow" w:eastAsiaTheme="minorEastAsia"/>
                <w:color w:val="000000"/>
                <w:szCs w:val="21"/>
              </w:rPr>
              <w:t>其他</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75B9AE6C">
            <w:pPr>
              <w:jc w:val="right"/>
              <w:rPr>
                <w:rFonts w:ascii="Arial Narrow" w:hAnsi="Arial Narrow" w:eastAsiaTheme="minorEastAsia"/>
                <w:szCs w:val="21"/>
              </w:rPr>
            </w:pPr>
            <w:r>
              <w:rPr>
                <w:rFonts w:ascii="Arial Narrow" w:hAnsi="Arial Narrow" w:eastAsiaTheme="minorEastAsia"/>
                <w:color w:val="000000"/>
                <w:szCs w:val="21"/>
              </w:rPr>
              <w:t>-112,978.69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6F655254">
            <w:pPr>
              <w:jc w:val="right"/>
              <w:rPr>
                <w:rFonts w:ascii="Arial Narrow" w:hAnsi="Arial Narrow" w:eastAsiaTheme="minorEastAsia"/>
                <w:szCs w:val="21"/>
              </w:rPr>
            </w:pPr>
            <w:r>
              <w:rPr>
                <w:rFonts w:ascii="Arial Narrow" w:hAnsi="Arial Narrow" w:eastAsiaTheme="minorEastAsia"/>
                <w:color w:val="000000"/>
                <w:szCs w:val="21"/>
              </w:rPr>
              <w:t>-1,681,637.69</w:t>
            </w:r>
          </w:p>
        </w:tc>
      </w:tr>
      <w:tr w14:paraId="3C48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2EC167C5">
            <w:pPr>
              <w:jc w:val="center"/>
              <w:rPr>
                <w:rFonts w:ascii="Arial Narrow" w:hAnsi="Arial Narrow" w:eastAsiaTheme="minorEastAsia"/>
                <w:szCs w:val="21"/>
              </w:rPr>
            </w:pPr>
            <w:r>
              <w:rPr>
                <w:rFonts w:ascii="Arial Narrow" w:hAnsi="Arial Narrow" w:eastAsiaTheme="minorEastAsia"/>
                <w:szCs w:val="21"/>
              </w:rPr>
              <w:t>合计</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CB6B2F4">
            <w:pPr>
              <w:jc w:val="right"/>
              <w:rPr>
                <w:rFonts w:ascii="Arial Narrow" w:hAnsi="Arial Narrow" w:eastAsiaTheme="minorEastAsia"/>
                <w:szCs w:val="21"/>
              </w:rPr>
            </w:pPr>
            <w:r>
              <w:rPr>
                <w:rFonts w:ascii="Arial Narrow" w:hAnsi="Arial Narrow" w:eastAsiaTheme="minorEastAsia"/>
                <w:color w:val="000000"/>
                <w:szCs w:val="21"/>
              </w:rPr>
              <w:t>-28,613,120.86</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17FC11EF">
            <w:pPr>
              <w:jc w:val="right"/>
              <w:rPr>
                <w:rFonts w:ascii="Arial Narrow" w:hAnsi="Arial Narrow" w:eastAsiaTheme="minorEastAsia"/>
                <w:szCs w:val="21"/>
              </w:rPr>
            </w:pPr>
            <w:r>
              <w:rPr>
                <w:rFonts w:ascii="Arial Narrow" w:hAnsi="Arial Narrow" w:eastAsiaTheme="minorEastAsia"/>
                <w:color w:val="000000"/>
                <w:szCs w:val="21"/>
              </w:rPr>
              <w:t>-41,288,393.21</w:t>
            </w:r>
          </w:p>
        </w:tc>
      </w:tr>
    </w:tbl>
    <w:p w14:paraId="4F4A602A">
      <w:pPr>
        <w:rPr>
          <w:rFonts w:hint="eastAsia"/>
          <w:szCs w:val="21"/>
        </w:rPr>
      </w:pPr>
      <w:r>
        <w:rPr>
          <w:rFonts w:hint="eastAsia"/>
          <w:szCs w:val="21"/>
        </w:rPr>
        <w:t>其他说明：</w:t>
      </w:r>
    </w:p>
    <w:sdt>
      <w:sdtPr>
        <w:rPr>
          <w:szCs w:val="21"/>
        </w:rPr>
        <w:alias w:val="财务费用的其他说明事项"/>
        <w:tag w:val="_GBC_ac6200ee95c7483d9ee9565f49369f9a"/>
        <w:id w:val="307213031"/>
        <w:placeholder>
          <w:docPart w:val="GBC22222222222222222222222222222"/>
        </w:placeholder>
      </w:sdtPr>
      <w:sdtEndPr>
        <w:rPr>
          <w:szCs w:val="21"/>
        </w:rPr>
      </w:sdtEndPr>
      <w:sdtContent>
        <w:p w14:paraId="7358131B">
          <w:pPr>
            <w:rPr>
              <w:rFonts w:hint="eastAsia"/>
              <w:szCs w:val="21"/>
            </w:rPr>
          </w:pPr>
          <w:r>
            <w:rPr>
              <w:rFonts w:hint="eastAsia"/>
              <w:szCs w:val="21"/>
            </w:rPr>
            <w:t>无</w:t>
          </w:r>
        </w:p>
      </w:sdtContent>
    </w:sdt>
    <w:p w14:paraId="14E1E993">
      <w:pPr>
        <w:rPr>
          <w:rFonts w:hint="eastAsia"/>
          <w:szCs w:val="21"/>
        </w:rPr>
      </w:pPr>
    </w:p>
    <w:p w14:paraId="39CA5C22">
      <w:pPr>
        <w:pStyle w:val="70"/>
        <w:numPr>
          <w:ilvl w:val="0"/>
          <w:numId w:val="109"/>
        </w:numPr>
        <w:rPr>
          <w:szCs w:val="21"/>
        </w:rPr>
      </w:pPr>
      <w:r>
        <w:rPr>
          <w:szCs w:val="21"/>
        </w:rPr>
        <w:t>其他收益</w:t>
      </w:r>
    </w:p>
    <w:sdt>
      <w:sdtPr>
        <w:rPr>
          <w:bCs/>
        </w:rPr>
        <w:alias w:val="是否适用：财务报表其他收益[双击切换]"/>
        <w:tag w:val="_GBC_24722ffac3b6474db1e1d7972d6e4a7b"/>
        <w:id w:val="-1638873172"/>
        <w:placeholder>
          <w:docPart w:val="GBC22222222222222222222222222222"/>
        </w:placeholder>
      </w:sdtPr>
      <w:sdtEndPr>
        <w:rPr>
          <w:bCs/>
        </w:rPr>
      </w:sdtEndPr>
      <w:sdtContent>
        <w:p w14:paraId="233D52E1">
          <w:pPr>
            <w:rPr>
              <w:rFonts w:hint="eastAsia"/>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02A14301">
      <w:pPr>
        <w:pStyle w:val="109"/>
        <w:ind w:left="420" w:firstLine="0" w:firstLineChars="0"/>
        <w:jc w:val="right"/>
        <w:rPr>
          <w:bCs/>
        </w:rPr>
      </w:pPr>
      <w:r>
        <w:rPr>
          <w:bCs/>
        </w:rPr>
        <w:t>单位：</w:t>
      </w:r>
      <w:sdt>
        <w:sdtPr>
          <w:rPr>
            <w:bCs/>
          </w:rPr>
          <w:alias w:val="单位：财务报表其他收益明细"/>
          <w:tag w:val="_GBC_74ea52f952324be7ab2c4c494ff673ce"/>
          <w:id w:val="17351927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bCs/>
          </w:rPr>
        </w:sdtEndPr>
        <w:sdtContent>
          <w:r>
            <w:rPr>
              <w:bCs/>
            </w:rPr>
            <w:t>元</w:t>
          </w:r>
        </w:sdtContent>
      </w:sdt>
      <w:r>
        <w:rPr>
          <w:bCs/>
        </w:rPr>
        <w:t xml:space="preserve">  币种：</w:t>
      </w:r>
      <w:sdt>
        <w:sdtPr>
          <w:rPr>
            <w:bCs/>
          </w:rPr>
          <w:alias w:val="币种：财务报表其他收益明细"/>
          <w:tag w:val="_GBC_8360ed9b182a496c9b5d2220a414a4cb"/>
          <w:id w:val="19765620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bCs/>
          </w:rPr>
        </w:sdtEndPr>
        <w:sdtContent>
          <w:r>
            <w:rPr>
              <w:bCs/>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9"/>
        <w:gridCol w:w="2942"/>
        <w:gridCol w:w="2942"/>
      </w:tblGrid>
      <w:tr w14:paraId="53C7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7df5d6dc8fe1463b8e0d41784241e311"/>
            <w:id w:val="-1427649264"/>
          </w:sdtPr>
          <w:sdtEndPr>
            <w:rPr>
              <w:rFonts w:ascii="Arial Narrow" w:hAnsi="Arial Narrow" w:eastAsiaTheme="minorEastAsia"/>
              <w:szCs w:val="21"/>
            </w:rPr>
          </w:sdtEndPr>
          <w:sdtContent>
            <w:tc>
              <w:tcPr>
                <w:tcW w:w="1666" w:type="pct"/>
                <w:shd w:val="clear" w:color="auto" w:fill="auto"/>
              </w:tcPr>
              <w:p w14:paraId="7F9438DA">
                <w:pPr>
                  <w:widowControl w:val="0"/>
                  <w:jc w:val="center"/>
                  <w:rPr>
                    <w:rFonts w:ascii="Arial Narrow" w:hAnsi="Arial Narrow" w:eastAsiaTheme="minorEastAsia"/>
                    <w:szCs w:val="21"/>
                  </w:rPr>
                </w:pPr>
                <w:r>
                  <w:rPr>
                    <w:rFonts w:ascii="Arial Narrow" w:hAnsi="Arial Narrow" w:eastAsiaTheme="minorEastAsia"/>
                    <w:szCs w:val="21"/>
                  </w:rPr>
                  <w:t>按性质分类</w:t>
                </w:r>
              </w:p>
            </w:tc>
          </w:sdtContent>
        </w:sdt>
        <w:sdt>
          <w:sdtPr>
            <w:rPr>
              <w:rFonts w:ascii="Arial Narrow" w:hAnsi="Arial Narrow" w:eastAsiaTheme="minorEastAsia"/>
              <w:szCs w:val="21"/>
            </w:rPr>
            <w:tag w:val="_PLD_2c34d48a6a534080943d2d340c325c15"/>
            <w:id w:val="1416738624"/>
          </w:sdtPr>
          <w:sdtEndPr>
            <w:rPr>
              <w:rFonts w:ascii="Arial Narrow" w:hAnsi="Arial Narrow" w:eastAsiaTheme="minorEastAsia"/>
              <w:szCs w:val="21"/>
            </w:rPr>
          </w:sdtEndPr>
          <w:sdtContent>
            <w:tc>
              <w:tcPr>
                <w:tcW w:w="1667" w:type="pct"/>
                <w:shd w:val="clear" w:color="auto" w:fill="auto"/>
              </w:tcPr>
              <w:p w14:paraId="74560BF0">
                <w:pPr>
                  <w:widowControl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1a2c9ed0a9704089897421e22b8696dd"/>
            <w:id w:val="1844278890"/>
          </w:sdtPr>
          <w:sdtEndPr>
            <w:rPr>
              <w:rFonts w:ascii="Arial Narrow" w:hAnsi="Arial Narrow" w:eastAsiaTheme="minorEastAsia"/>
              <w:szCs w:val="21"/>
            </w:rPr>
          </w:sdtEndPr>
          <w:sdtContent>
            <w:tc>
              <w:tcPr>
                <w:tcW w:w="1667" w:type="pct"/>
                <w:shd w:val="clear" w:color="auto" w:fill="auto"/>
              </w:tcPr>
              <w:p w14:paraId="2414F9FD">
                <w:pPr>
                  <w:widowControl w:val="0"/>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1F7A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1A049004">
            <w:pPr>
              <w:widowControl w:val="0"/>
              <w:rPr>
                <w:rFonts w:ascii="Arial Narrow" w:hAnsi="Arial Narrow" w:eastAsiaTheme="minorEastAsia"/>
                <w:szCs w:val="21"/>
              </w:rPr>
            </w:pPr>
            <w:r>
              <w:rPr>
                <w:rFonts w:ascii="Arial Narrow" w:hAnsi="Arial Narrow" w:eastAsiaTheme="minorEastAsia"/>
                <w:color w:val="000000"/>
                <w:szCs w:val="21"/>
              </w:rPr>
              <w:t>政府补助</w:t>
            </w:r>
          </w:p>
        </w:tc>
        <w:tc>
          <w:tcPr>
            <w:tcW w:w="1667" w:type="pct"/>
            <w:shd w:val="clear" w:color="auto" w:fill="auto"/>
            <w:vAlign w:val="center"/>
          </w:tcPr>
          <w:p w14:paraId="3C159F2D">
            <w:pPr>
              <w:widowControl w:val="0"/>
              <w:jc w:val="right"/>
              <w:rPr>
                <w:rFonts w:ascii="Arial Narrow" w:hAnsi="Arial Narrow" w:eastAsiaTheme="minorEastAsia"/>
                <w:szCs w:val="21"/>
              </w:rPr>
            </w:pPr>
            <w:r>
              <w:rPr>
                <w:rFonts w:ascii="Arial Narrow" w:hAnsi="Arial Narrow" w:eastAsiaTheme="minorEastAsia"/>
                <w:color w:val="000000"/>
                <w:szCs w:val="21"/>
              </w:rPr>
              <w:t>27,282,964.22</w:t>
            </w:r>
          </w:p>
        </w:tc>
        <w:tc>
          <w:tcPr>
            <w:tcW w:w="1667" w:type="pct"/>
            <w:shd w:val="clear" w:color="auto" w:fill="auto"/>
            <w:vAlign w:val="center"/>
          </w:tcPr>
          <w:p w14:paraId="24886441">
            <w:pPr>
              <w:widowControl w:val="0"/>
              <w:jc w:val="right"/>
              <w:rPr>
                <w:rFonts w:ascii="Arial Narrow" w:hAnsi="Arial Narrow" w:eastAsiaTheme="minorEastAsia"/>
                <w:szCs w:val="21"/>
              </w:rPr>
            </w:pPr>
            <w:r>
              <w:rPr>
                <w:rFonts w:ascii="Arial Narrow" w:hAnsi="Arial Narrow" w:eastAsiaTheme="minorEastAsia"/>
                <w:color w:val="000000"/>
                <w:szCs w:val="21"/>
              </w:rPr>
              <w:t>90,207,398.34</w:t>
            </w:r>
          </w:p>
        </w:tc>
      </w:tr>
      <w:tr w14:paraId="120C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1CDF82AC">
            <w:pPr>
              <w:widowControl w:val="0"/>
              <w:rPr>
                <w:rFonts w:ascii="Arial Narrow" w:hAnsi="Arial Narrow" w:eastAsiaTheme="minorEastAsia"/>
                <w:szCs w:val="21"/>
              </w:rPr>
            </w:pPr>
            <w:r>
              <w:rPr>
                <w:rFonts w:ascii="Arial Narrow" w:hAnsi="Arial Narrow" w:eastAsiaTheme="minorEastAsia"/>
                <w:color w:val="000000"/>
                <w:szCs w:val="21"/>
              </w:rPr>
              <w:t>增值税加计抵减</w:t>
            </w:r>
          </w:p>
        </w:tc>
        <w:tc>
          <w:tcPr>
            <w:tcW w:w="1667" w:type="pct"/>
            <w:shd w:val="clear" w:color="auto" w:fill="auto"/>
            <w:vAlign w:val="center"/>
          </w:tcPr>
          <w:p w14:paraId="45A4B276">
            <w:pPr>
              <w:widowControl w:val="0"/>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32,025,255.55</w:t>
            </w:r>
          </w:p>
        </w:tc>
        <w:tc>
          <w:tcPr>
            <w:tcW w:w="1667" w:type="pct"/>
            <w:shd w:val="clear" w:color="auto" w:fill="auto"/>
            <w:vAlign w:val="center"/>
          </w:tcPr>
          <w:p w14:paraId="5A5F38A0">
            <w:pPr>
              <w:widowControl w:val="0"/>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13,862,236.88</w:t>
            </w:r>
          </w:p>
        </w:tc>
      </w:tr>
      <w:tr w14:paraId="3585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484EA255">
            <w:pPr>
              <w:widowControl w:val="0"/>
              <w:rPr>
                <w:rFonts w:ascii="Arial Narrow" w:hAnsi="Arial Narrow" w:eastAsiaTheme="minorEastAsia"/>
                <w:szCs w:val="21"/>
              </w:rPr>
            </w:pPr>
            <w:r>
              <w:rPr>
                <w:rFonts w:ascii="Arial Narrow" w:hAnsi="Arial Narrow" w:eastAsiaTheme="minorEastAsia"/>
                <w:color w:val="000000"/>
                <w:szCs w:val="21"/>
              </w:rPr>
              <w:t>个税返还</w:t>
            </w:r>
          </w:p>
        </w:tc>
        <w:tc>
          <w:tcPr>
            <w:tcW w:w="1667" w:type="pct"/>
            <w:shd w:val="clear" w:color="auto" w:fill="auto"/>
            <w:vAlign w:val="center"/>
          </w:tcPr>
          <w:p w14:paraId="0BB66C13">
            <w:pPr>
              <w:widowControl w:val="0"/>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408,466.94</w:t>
            </w:r>
          </w:p>
        </w:tc>
        <w:tc>
          <w:tcPr>
            <w:tcW w:w="1667" w:type="pct"/>
            <w:shd w:val="clear" w:color="auto" w:fill="auto"/>
            <w:vAlign w:val="center"/>
          </w:tcPr>
          <w:p w14:paraId="705CDC88">
            <w:pPr>
              <w:widowControl w:val="0"/>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262,837.31</w:t>
            </w:r>
          </w:p>
        </w:tc>
      </w:tr>
      <w:tr w14:paraId="7017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53F9C2B2">
            <w:pPr>
              <w:widowControl w:val="0"/>
              <w:jc w:val="center"/>
              <w:rPr>
                <w:rFonts w:ascii="Arial Narrow" w:hAnsi="Arial Narrow" w:eastAsiaTheme="minorEastAsia"/>
                <w:szCs w:val="21"/>
              </w:rPr>
            </w:pPr>
            <w:r>
              <w:rPr>
                <w:rFonts w:ascii="Arial Narrow" w:hAnsi="Arial Narrow" w:eastAsiaTheme="minorEastAsia"/>
                <w:szCs w:val="21"/>
              </w:rPr>
              <w:t>合计</w:t>
            </w:r>
          </w:p>
        </w:tc>
        <w:tc>
          <w:tcPr>
            <w:tcW w:w="1667" w:type="pct"/>
            <w:shd w:val="clear" w:color="auto" w:fill="auto"/>
            <w:vAlign w:val="center"/>
          </w:tcPr>
          <w:p w14:paraId="2FAF13E9">
            <w:pPr>
              <w:widowControl w:val="0"/>
              <w:jc w:val="right"/>
              <w:rPr>
                <w:rFonts w:ascii="Arial Narrow" w:hAnsi="Arial Narrow" w:eastAsiaTheme="minorEastAsia"/>
                <w:szCs w:val="21"/>
              </w:rPr>
            </w:pPr>
            <w:r>
              <w:rPr>
                <w:rFonts w:ascii="Arial Narrow" w:hAnsi="Arial Narrow" w:eastAsiaTheme="minorEastAsia"/>
                <w:color w:val="000000"/>
                <w:szCs w:val="21"/>
              </w:rPr>
              <w:t>59,716,686.71</w:t>
            </w:r>
          </w:p>
        </w:tc>
        <w:tc>
          <w:tcPr>
            <w:tcW w:w="1667" w:type="pct"/>
            <w:shd w:val="clear" w:color="auto" w:fill="auto"/>
            <w:vAlign w:val="center"/>
          </w:tcPr>
          <w:p w14:paraId="6A9BA50A">
            <w:pPr>
              <w:widowControl w:val="0"/>
              <w:jc w:val="right"/>
              <w:rPr>
                <w:rFonts w:ascii="Arial Narrow" w:hAnsi="Arial Narrow" w:eastAsiaTheme="minorEastAsia"/>
                <w:szCs w:val="21"/>
              </w:rPr>
            </w:pPr>
            <w:r>
              <w:rPr>
                <w:rFonts w:ascii="Arial Narrow" w:hAnsi="Arial Narrow" w:eastAsiaTheme="minorEastAsia"/>
                <w:color w:val="000000"/>
                <w:szCs w:val="21"/>
              </w:rPr>
              <w:t>104,332,472.53</w:t>
            </w:r>
          </w:p>
        </w:tc>
      </w:tr>
    </w:tbl>
    <w:p w14:paraId="49852AA3">
      <w:pPr>
        <w:rPr>
          <w:rFonts w:hint="eastAsia"/>
        </w:rPr>
      </w:pPr>
      <w:r>
        <w:rPr>
          <w:rFonts w:hint="eastAsia"/>
        </w:rPr>
        <w:t>其他说明：</w:t>
      </w:r>
    </w:p>
    <w:sdt>
      <w:sdtPr>
        <w:alias w:val="财务报表其他收益其他说明"/>
        <w:tag w:val="_GBC_4b4ba73a66704c609e7c6617d0fa6694"/>
        <w:id w:val="513341831"/>
        <w:placeholder>
          <w:docPart w:val="GBC22222222222222222222222222222"/>
        </w:placeholder>
      </w:sdtPr>
      <w:sdtContent>
        <w:p w14:paraId="14C183A9">
          <w:pPr>
            <w:rPr>
              <w:rFonts w:hint="eastAsia"/>
            </w:rPr>
          </w:pPr>
          <w:r>
            <w:rPr>
              <w:rFonts w:hint="eastAsia"/>
            </w:rPr>
            <w:t>无</w:t>
          </w:r>
        </w:p>
      </w:sdtContent>
    </w:sdt>
    <w:p w14:paraId="5EE4B911">
      <w:pPr>
        <w:rPr>
          <w:rFonts w:hint="eastAsia"/>
        </w:rPr>
      </w:pPr>
    </w:p>
    <w:p w14:paraId="079CB6BE">
      <w:pPr>
        <w:pStyle w:val="70"/>
        <w:numPr>
          <w:ilvl w:val="0"/>
          <w:numId w:val="109"/>
        </w:numPr>
        <w:rPr>
          <w:szCs w:val="21"/>
        </w:rPr>
      </w:pPr>
      <w:bookmarkStart w:id="372" w:name="_Hlk11857276"/>
      <w:bookmarkEnd w:id="372"/>
      <w:bookmarkStart w:id="373" w:name="_Hlk24027658"/>
      <w:r>
        <w:rPr>
          <w:szCs w:val="21"/>
        </w:rPr>
        <w:t>投资收益</w:t>
      </w:r>
    </w:p>
    <w:sdt>
      <w:sdtPr>
        <w:alias w:val="是否适用：投资收益[双击切换]"/>
        <w:tag w:val="_GBC_f581223c46c2426aa46b9e88b6b47f4f"/>
        <w:id w:val="331110503"/>
        <w:placeholder>
          <w:docPart w:val="GBC22222222222222222222222222222"/>
        </w:placeholder>
      </w:sdtPr>
      <w:sdtContent>
        <w:p w14:paraId="221B4A4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FD4290">
      <w:pPr>
        <w:jc w:val="right"/>
        <w:rPr>
          <w:rFonts w:hint="eastAsia"/>
          <w:b/>
          <w:szCs w:val="21"/>
        </w:rPr>
      </w:pPr>
      <w:bookmarkStart w:id="374"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8740003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9845e736e0054165b2ee74d48d6dd757"/>
          <w:id w:val="19821094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1842"/>
        <w:gridCol w:w="2306"/>
      </w:tblGrid>
      <w:tr w14:paraId="4523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998e1ec79cfc4df397c6fa0a751f3489"/>
            <w:id w:val="-1564632030"/>
          </w:sdtPr>
          <w:sdtEndPr>
            <w:rPr>
              <w:rFonts w:ascii="Arial Narrow" w:hAnsi="Arial Narrow" w:eastAsiaTheme="minorEastAsia"/>
              <w:szCs w:val="21"/>
            </w:rPr>
          </w:sdtEndPr>
          <w:sdtContent>
            <w:tc>
              <w:tcPr>
                <w:tcW w:w="2648" w:type="pct"/>
                <w:vAlign w:val="center"/>
              </w:tcPr>
              <w:p w14:paraId="0DEF4DB5">
                <w:pPr>
                  <w:ind w:left="420" w:hanging="42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239208f1271348119306f77c15ab0ec0"/>
            <w:id w:val="503714524"/>
          </w:sdtPr>
          <w:sdtEndPr>
            <w:rPr>
              <w:rFonts w:ascii="Arial Narrow" w:hAnsi="Arial Narrow" w:eastAsiaTheme="minorEastAsia"/>
              <w:szCs w:val="21"/>
            </w:rPr>
          </w:sdtEndPr>
          <w:sdtContent>
            <w:tc>
              <w:tcPr>
                <w:tcW w:w="1044" w:type="pct"/>
                <w:vAlign w:val="center"/>
              </w:tcPr>
              <w:p w14:paraId="3084BF7E">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c548c34a5b7b4e3eb5536d1408d6cc7b"/>
            <w:id w:val="-1003894103"/>
          </w:sdtPr>
          <w:sdtEndPr>
            <w:rPr>
              <w:rFonts w:ascii="Arial Narrow" w:hAnsi="Arial Narrow" w:eastAsiaTheme="minorEastAsia"/>
              <w:szCs w:val="21"/>
            </w:rPr>
          </w:sdtEndPr>
          <w:sdtContent>
            <w:tc>
              <w:tcPr>
                <w:tcW w:w="1307" w:type="pct"/>
                <w:vAlign w:val="center"/>
              </w:tcPr>
              <w:p w14:paraId="6FB31B17">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34EC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70470E5B">
            <w:pPr>
              <w:rPr>
                <w:rFonts w:ascii="Arial Narrow" w:hAnsi="Arial Narrow" w:eastAsiaTheme="minorEastAsia"/>
                <w:szCs w:val="21"/>
              </w:rPr>
            </w:pPr>
            <w:r>
              <w:rPr>
                <w:rFonts w:ascii="Arial Narrow" w:hAnsi="Arial Narrow" w:eastAsiaTheme="minorEastAsia"/>
                <w:szCs w:val="21"/>
              </w:rPr>
              <w:t>权益法核算的长期股权投资收益</w:t>
            </w:r>
          </w:p>
        </w:tc>
        <w:tc>
          <w:tcPr>
            <w:tcW w:w="1044" w:type="pct"/>
            <w:vAlign w:val="center"/>
          </w:tcPr>
          <w:p w14:paraId="70FEA301">
            <w:pPr>
              <w:jc w:val="right"/>
              <w:rPr>
                <w:rFonts w:ascii="Arial Narrow" w:hAnsi="Arial Narrow" w:eastAsiaTheme="minorEastAsia"/>
                <w:szCs w:val="21"/>
              </w:rPr>
            </w:pPr>
            <w:r>
              <w:rPr>
                <w:rFonts w:ascii="Arial Narrow" w:hAnsi="Arial Narrow" w:eastAsiaTheme="minorEastAsia"/>
                <w:color w:val="000000"/>
                <w:szCs w:val="21"/>
              </w:rPr>
              <w:t>-37,198,316.41</w:t>
            </w:r>
          </w:p>
        </w:tc>
        <w:tc>
          <w:tcPr>
            <w:tcW w:w="1307" w:type="pct"/>
            <w:vAlign w:val="center"/>
          </w:tcPr>
          <w:p w14:paraId="73C05792">
            <w:pPr>
              <w:jc w:val="right"/>
              <w:rPr>
                <w:rFonts w:ascii="Arial Narrow" w:hAnsi="Arial Narrow" w:eastAsiaTheme="minorEastAsia"/>
                <w:szCs w:val="21"/>
              </w:rPr>
            </w:pPr>
            <w:r>
              <w:rPr>
                <w:rFonts w:ascii="Arial Narrow" w:hAnsi="Arial Narrow" w:eastAsiaTheme="minorEastAsia"/>
                <w:color w:val="000000"/>
                <w:szCs w:val="21"/>
              </w:rPr>
              <w:t>-6,841,418.77</w:t>
            </w:r>
          </w:p>
        </w:tc>
      </w:tr>
      <w:tr w14:paraId="1EB5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6B22D969">
            <w:pPr>
              <w:rPr>
                <w:rFonts w:ascii="Arial Narrow" w:hAnsi="Arial Narrow" w:eastAsiaTheme="minorEastAsia"/>
                <w:szCs w:val="21"/>
              </w:rPr>
            </w:pPr>
            <w:r>
              <w:rPr>
                <w:rFonts w:ascii="Arial Narrow" w:hAnsi="Arial Narrow" w:eastAsiaTheme="minorEastAsia"/>
                <w:szCs w:val="21"/>
              </w:rPr>
              <w:t>处置长期股权投资产生的投资收益</w:t>
            </w:r>
          </w:p>
        </w:tc>
        <w:tc>
          <w:tcPr>
            <w:tcW w:w="1044" w:type="pct"/>
            <w:vAlign w:val="center"/>
          </w:tcPr>
          <w:p w14:paraId="32FB90F9">
            <w:pPr>
              <w:jc w:val="right"/>
              <w:rPr>
                <w:rFonts w:ascii="Arial Narrow" w:hAnsi="Arial Narrow" w:eastAsiaTheme="minorEastAsia"/>
                <w:szCs w:val="21"/>
              </w:rPr>
            </w:pPr>
          </w:p>
        </w:tc>
        <w:tc>
          <w:tcPr>
            <w:tcW w:w="1307" w:type="pct"/>
            <w:vAlign w:val="center"/>
          </w:tcPr>
          <w:p w14:paraId="77F575CC">
            <w:pPr>
              <w:jc w:val="right"/>
              <w:rPr>
                <w:rFonts w:ascii="Arial Narrow" w:hAnsi="Arial Narrow" w:eastAsiaTheme="minorEastAsia"/>
                <w:szCs w:val="21"/>
              </w:rPr>
            </w:pPr>
            <w:r>
              <w:rPr>
                <w:rFonts w:ascii="Arial Narrow" w:hAnsi="Arial Narrow" w:eastAsiaTheme="minorEastAsia"/>
                <w:color w:val="000000"/>
                <w:szCs w:val="21"/>
              </w:rPr>
              <w:t>83,572,792.33</w:t>
            </w:r>
          </w:p>
        </w:tc>
      </w:tr>
      <w:tr w14:paraId="2BB6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230EDD42">
            <w:pPr>
              <w:rPr>
                <w:rFonts w:ascii="Arial Narrow" w:hAnsi="Arial Narrow" w:eastAsiaTheme="minorEastAsia"/>
                <w:szCs w:val="21"/>
              </w:rPr>
            </w:pPr>
            <w:r>
              <w:rPr>
                <w:rFonts w:ascii="Arial Narrow" w:hAnsi="Arial Narrow" w:eastAsiaTheme="minorEastAsia"/>
                <w:szCs w:val="21"/>
              </w:rPr>
              <w:t>交易性金融资产在持有期间的投资收益</w:t>
            </w:r>
          </w:p>
        </w:tc>
        <w:tc>
          <w:tcPr>
            <w:tcW w:w="1044" w:type="pct"/>
            <w:vAlign w:val="center"/>
          </w:tcPr>
          <w:p w14:paraId="0C4AF2AA">
            <w:pPr>
              <w:jc w:val="right"/>
              <w:rPr>
                <w:rFonts w:ascii="Arial Narrow" w:hAnsi="Arial Narrow" w:eastAsiaTheme="minorEastAsia"/>
                <w:szCs w:val="21"/>
              </w:rPr>
            </w:pPr>
            <w:r>
              <w:rPr>
                <w:rFonts w:ascii="Arial Narrow" w:hAnsi="Arial Narrow" w:eastAsiaTheme="minorEastAsia"/>
                <w:color w:val="000000"/>
                <w:szCs w:val="21"/>
              </w:rPr>
              <w:t>210.00</w:t>
            </w:r>
          </w:p>
        </w:tc>
        <w:tc>
          <w:tcPr>
            <w:tcW w:w="1307" w:type="pct"/>
            <w:vAlign w:val="center"/>
          </w:tcPr>
          <w:p w14:paraId="324C1463">
            <w:pPr>
              <w:jc w:val="right"/>
              <w:rPr>
                <w:rFonts w:ascii="Arial Narrow" w:hAnsi="Arial Narrow" w:eastAsiaTheme="minorEastAsia"/>
                <w:szCs w:val="21"/>
              </w:rPr>
            </w:pPr>
            <w:r>
              <w:rPr>
                <w:rFonts w:ascii="Arial Narrow" w:hAnsi="Arial Narrow" w:eastAsiaTheme="minorEastAsia"/>
                <w:color w:val="000000"/>
                <w:szCs w:val="21"/>
              </w:rPr>
              <w:t>1,853,215.07</w:t>
            </w:r>
          </w:p>
        </w:tc>
      </w:tr>
      <w:tr w14:paraId="1677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240A5F24">
            <w:pPr>
              <w:rPr>
                <w:rFonts w:ascii="Arial Narrow" w:hAnsi="Arial Narrow" w:eastAsiaTheme="minorEastAsia"/>
                <w:szCs w:val="21"/>
              </w:rPr>
            </w:pPr>
            <w:r>
              <w:rPr>
                <w:rFonts w:ascii="Arial Narrow" w:hAnsi="Arial Narrow" w:eastAsiaTheme="minorEastAsia"/>
                <w:szCs w:val="21"/>
              </w:rPr>
              <w:t>其他权益工具投资在持有期间取得的股利收入</w:t>
            </w:r>
          </w:p>
        </w:tc>
        <w:tc>
          <w:tcPr>
            <w:tcW w:w="1044" w:type="pct"/>
            <w:vAlign w:val="center"/>
          </w:tcPr>
          <w:p w14:paraId="3CF0A811">
            <w:pPr>
              <w:jc w:val="right"/>
              <w:rPr>
                <w:rFonts w:ascii="Arial Narrow" w:hAnsi="Arial Narrow" w:eastAsiaTheme="minorEastAsia"/>
                <w:szCs w:val="21"/>
              </w:rPr>
            </w:pPr>
            <w:r>
              <w:rPr>
                <w:rFonts w:ascii="Arial Narrow" w:hAnsi="Arial Narrow" w:eastAsiaTheme="minorEastAsia"/>
                <w:color w:val="000000"/>
                <w:szCs w:val="21"/>
              </w:rPr>
              <w:t>7,252,620.35</w:t>
            </w:r>
          </w:p>
        </w:tc>
        <w:tc>
          <w:tcPr>
            <w:tcW w:w="1307" w:type="pct"/>
            <w:vAlign w:val="center"/>
          </w:tcPr>
          <w:p w14:paraId="776C72A8">
            <w:pPr>
              <w:jc w:val="right"/>
              <w:rPr>
                <w:rFonts w:ascii="Arial Narrow" w:hAnsi="Arial Narrow" w:eastAsiaTheme="minorEastAsia"/>
                <w:szCs w:val="21"/>
              </w:rPr>
            </w:pPr>
            <w:r>
              <w:rPr>
                <w:rFonts w:ascii="Arial Narrow" w:hAnsi="Arial Narrow" w:eastAsiaTheme="minorEastAsia"/>
                <w:color w:val="000000"/>
                <w:szCs w:val="21"/>
              </w:rPr>
              <w:t>5,514,388.19</w:t>
            </w:r>
          </w:p>
        </w:tc>
      </w:tr>
      <w:tr w14:paraId="50B0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715CA4BA">
            <w:pPr>
              <w:rPr>
                <w:rFonts w:ascii="Arial Narrow" w:hAnsi="Arial Narrow" w:eastAsiaTheme="minorEastAsia"/>
                <w:szCs w:val="21"/>
              </w:rPr>
            </w:pPr>
            <w:r>
              <w:rPr>
                <w:rFonts w:ascii="Arial Narrow" w:hAnsi="Arial Narrow" w:eastAsiaTheme="minorEastAsia"/>
                <w:szCs w:val="21"/>
              </w:rPr>
              <w:t>处置交易性金融资产取得的投资收益</w:t>
            </w:r>
          </w:p>
        </w:tc>
        <w:tc>
          <w:tcPr>
            <w:tcW w:w="1044" w:type="pct"/>
            <w:vAlign w:val="center"/>
          </w:tcPr>
          <w:p w14:paraId="0A28617E">
            <w:pPr>
              <w:jc w:val="right"/>
              <w:rPr>
                <w:rFonts w:ascii="Arial Narrow" w:hAnsi="Arial Narrow" w:eastAsiaTheme="minorEastAsia"/>
                <w:szCs w:val="21"/>
              </w:rPr>
            </w:pPr>
          </w:p>
        </w:tc>
        <w:tc>
          <w:tcPr>
            <w:tcW w:w="1307" w:type="pct"/>
            <w:vAlign w:val="center"/>
          </w:tcPr>
          <w:p w14:paraId="4A30E43B">
            <w:pPr>
              <w:jc w:val="right"/>
              <w:rPr>
                <w:rFonts w:ascii="Arial Narrow" w:hAnsi="Arial Narrow" w:eastAsiaTheme="minorEastAsia"/>
                <w:szCs w:val="21"/>
              </w:rPr>
            </w:pPr>
            <w:r>
              <w:rPr>
                <w:rFonts w:ascii="Arial Narrow" w:hAnsi="Arial Narrow" w:eastAsiaTheme="minorEastAsia"/>
                <w:color w:val="000000"/>
                <w:szCs w:val="21"/>
              </w:rPr>
              <w:t>-924,429.34</w:t>
            </w:r>
          </w:p>
        </w:tc>
      </w:tr>
      <w:tr w14:paraId="1DE0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8" w:type="pct"/>
            <w:vAlign w:val="center"/>
          </w:tcPr>
          <w:p w14:paraId="33B8031D">
            <w:pPr>
              <w:jc w:val="center"/>
              <w:rPr>
                <w:rFonts w:ascii="Arial Narrow" w:hAnsi="Arial Narrow" w:eastAsiaTheme="minorEastAsia"/>
                <w:szCs w:val="21"/>
              </w:rPr>
            </w:pPr>
            <w:r>
              <w:rPr>
                <w:rFonts w:ascii="Arial Narrow" w:hAnsi="Arial Narrow" w:eastAsiaTheme="minorEastAsia"/>
                <w:szCs w:val="21"/>
              </w:rPr>
              <w:t>合计</w:t>
            </w:r>
          </w:p>
        </w:tc>
        <w:tc>
          <w:tcPr>
            <w:tcW w:w="1044" w:type="pct"/>
            <w:vAlign w:val="center"/>
          </w:tcPr>
          <w:p w14:paraId="355C3CCA">
            <w:pPr>
              <w:jc w:val="right"/>
              <w:rPr>
                <w:rFonts w:ascii="Arial Narrow" w:hAnsi="Arial Narrow" w:eastAsiaTheme="minorEastAsia"/>
                <w:szCs w:val="21"/>
              </w:rPr>
            </w:pPr>
            <w:r>
              <w:rPr>
                <w:rFonts w:ascii="Arial Narrow" w:hAnsi="Arial Narrow" w:eastAsiaTheme="minorEastAsia"/>
                <w:color w:val="000000"/>
                <w:szCs w:val="21"/>
              </w:rPr>
              <w:t>-29,945,486.06</w:t>
            </w:r>
          </w:p>
        </w:tc>
        <w:tc>
          <w:tcPr>
            <w:tcW w:w="1307" w:type="pct"/>
            <w:vAlign w:val="center"/>
          </w:tcPr>
          <w:p w14:paraId="2E94CF46">
            <w:pPr>
              <w:jc w:val="right"/>
              <w:rPr>
                <w:rFonts w:ascii="Arial Narrow" w:hAnsi="Arial Narrow" w:eastAsiaTheme="minorEastAsia"/>
                <w:szCs w:val="21"/>
              </w:rPr>
            </w:pPr>
            <w:r>
              <w:rPr>
                <w:rFonts w:ascii="Arial Narrow" w:hAnsi="Arial Narrow" w:eastAsiaTheme="minorEastAsia"/>
                <w:color w:val="000000"/>
                <w:szCs w:val="21"/>
              </w:rPr>
              <w:t>83,174,547.48</w:t>
            </w:r>
          </w:p>
        </w:tc>
      </w:tr>
      <w:bookmarkEnd w:id="374"/>
    </w:tbl>
    <w:p w14:paraId="4A590869">
      <w:pPr>
        <w:spacing w:before="60" w:after="60" w:line="360" w:lineRule="exact"/>
        <w:rPr>
          <w:rFonts w:hint="eastAsia"/>
          <w:szCs w:val="21"/>
        </w:rPr>
      </w:pPr>
      <w:r>
        <w:rPr>
          <w:rFonts w:hint="eastAsia"/>
          <w:szCs w:val="21"/>
        </w:rPr>
        <w:t>其他说明：</w:t>
      </w:r>
    </w:p>
    <w:sdt>
      <w:sdtPr>
        <w:rPr>
          <w:rFonts w:hint="eastAsia"/>
          <w:szCs w:val="21"/>
        </w:rPr>
        <w:alias w:val="投资收益说明"/>
        <w:tag w:val="_GBC_4461c08be8cf4739a76957c4ebbfc521"/>
        <w:id w:val="379294265"/>
        <w:placeholder>
          <w:docPart w:val="GBC22222222222222222222222222222"/>
        </w:placeholder>
      </w:sdtPr>
      <w:sdtEndPr>
        <w:rPr>
          <w:rFonts w:hint="eastAsia"/>
          <w:szCs w:val="21"/>
        </w:rPr>
      </w:sdtEndPr>
      <w:sdtContent>
        <w:p w14:paraId="54A48015">
          <w:pPr>
            <w:autoSpaceDE w:val="0"/>
            <w:autoSpaceDN w:val="0"/>
            <w:adjustRightInd w:val="0"/>
            <w:rPr>
              <w:rFonts w:hint="eastAsia"/>
              <w:szCs w:val="21"/>
            </w:rPr>
          </w:pPr>
          <w:r>
            <w:rPr>
              <w:rFonts w:hint="eastAsia"/>
              <w:szCs w:val="21"/>
            </w:rPr>
            <w:t>无</w:t>
          </w:r>
        </w:p>
      </w:sdtContent>
    </w:sdt>
    <w:p w14:paraId="45D27A99">
      <w:pPr>
        <w:autoSpaceDE w:val="0"/>
        <w:autoSpaceDN w:val="0"/>
        <w:adjustRightInd w:val="0"/>
        <w:rPr>
          <w:rFonts w:hint="eastAsia"/>
          <w:szCs w:val="21"/>
        </w:rPr>
      </w:pPr>
    </w:p>
    <w:bookmarkEnd w:id="373"/>
    <w:p w14:paraId="36B618AC">
      <w:pPr>
        <w:pStyle w:val="70"/>
        <w:numPr>
          <w:ilvl w:val="0"/>
          <w:numId w:val="109"/>
        </w:numPr>
        <w:rPr>
          <w:szCs w:val="21"/>
        </w:rPr>
      </w:pPr>
      <w:r>
        <w:rPr>
          <w:szCs w:val="21"/>
        </w:rPr>
        <w:t>净敞口套期收益</w:t>
      </w:r>
    </w:p>
    <w:sdt>
      <w:sdtPr>
        <w:alias w:val="是否适用：净敞口套期收益[双击切换]"/>
        <w:tag w:val="_GBC_0b9c0635e78547e1b23b27daf08672cd"/>
        <w:id w:val="-68585059"/>
        <w:placeholder>
          <w:docPart w:val="GBC22222222222222222222222222222"/>
        </w:placeholder>
      </w:sdtPr>
      <w:sdtContent>
        <w:p w14:paraId="02DD5734">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EBD72B1">
      <w:pPr>
        <w:autoSpaceDE w:val="0"/>
        <w:autoSpaceDN w:val="0"/>
        <w:adjustRightInd w:val="0"/>
        <w:rPr>
          <w:rFonts w:hint="eastAsia"/>
          <w:szCs w:val="21"/>
        </w:rPr>
      </w:pPr>
    </w:p>
    <w:p w14:paraId="4373A02E">
      <w:pPr>
        <w:pStyle w:val="70"/>
        <w:numPr>
          <w:ilvl w:val="0"/>
          <w:numId w:val="109"/>
        </w:numPr>
        <w:rPr>
          <w:szCs w:val="21"/>
        </w:rPr>
      </w:pPr>
      <w:bookmarkStart w:id="375" w:name="_Hlk534895224"/>
      <w:r>
        <w:rPr>
          <w:szCs w:val="21"/>
        </w:rPr>
        <w:t>公允价值变动收益</w:t>
      </w:r>
    </w:p>
    <w:sdt>
      <w:sdtPr>
        <w:alias w:val="是否适用：公允价值变动收益[双击切换]"/>
        <w:tag w:val="_GBC_703e46a239ba45afa37afdd4dcae0cb4"/>
        <w:id w:val="-771557877"/>
        <w:placeholder>
          <w:docPart w:val="GBC22222222222222222222222222222"/>
        </w:placeholder>
      </w:sdtPr>
      <w:sdtContent>
        <w:p w14:paraId="45D4E31F">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319F102">
      <w:pPr>
        <w:jc w:val="right"/>
        <w:rPr>
          <w:rFonts w:hint="eastAsia"/>
          <w:szCs w:val="21"/>
        </w:rPr>
      </w:pPr>
      <w:r>
        <w:rPr>
          <w:rFonts w:hint="eastAsia"/>
          <w:szCs w:val="21"/>
        </w:rPr>
        <w:t>单位：</w:t>
      </w:r>
      <w:sdt>
        <w:sdtPr>
          <w:rPr>
            <w:rFonts w:hint="eastAsia"/>
            <w:szCs w:val="21"/>
          </w:rPr>
          <w:alias w:val="单位：财务附注：公允价值变动收益"/>
          <w:tag w:val="_GBC_c4e1118ffbdf4d6f90815a9b487cc79b"/>
          <w:id w:val="19243674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704565e01a4148fe85dcf135bb9be9b6"/>
          <w:id w:val="532041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3"/>
        <w:gridCol w:w="2755"/>
        <w:gridCol w:w="2755"/>
      </w:tblGrid>
      <w:tr w14:paraId="2811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6e9a92135b46440eb6d0daa39f0ec40f"/>
            <w:id w:val="1153482517"/>
          </w:sdtPr>
          <w:sdtEndPr>
            <w:rPr>
              <w:rFonts w:ascii="Arial Narrow" w:hAnsi="Arial Narrow" w:eastAsiaTheme="minorEastAsia"/>
              <w:szCs w:val="21"/>
            </w:rPr>
          </w:sdtEndPr>
          <w:sdtContent>
            <w:tc>
              <w:tcPr>
                <w:tcW w:w="1877" w:type="pct"/>
                <w:tcBorders>
                  <w:top w:val="single" w:color="auto" w:sz="4" w:space="0"/>
                  <w:left w:val="single" w:color="auto" w:sz="4" w:space="0"/>
                  <w:bottom w:val="single" w:color="auto" w:sz="4" w:space="0"/>
                  <w:right w:val="single" w:color="auto" w:sz="4" w:space="0"/>
                </w:tcBorders>
                <w:vAlign w:val="center"/>
              </w:tcPr>
              <w:p w14:paraId="653F9DE9">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产生公允价值变动收益的来源</w:t>
                </w:r>
              </w:p>
            </w:tc>
          </w:sdtContent>
        </w:sdt>
        <w:sdt>
          <w:sdtPr>
            <w:rPr>
              <w:rFonts w:ascii="Arial Narrow" w:hAnsi="Arial Narrow" w:eastAsiaTheme="minorEastAsia"/>
              <w:szCs w:val="21"/>
            </w:rPr>
            <w:tag w:val="_PLD_7cd0c8223b6b499990a24553e928cba4"/>
            <w:id w:val="22210897"/>
          </w:sdtPr>
          <w:sdtEndPr>
            <w:rPr>
              <w:rFonts w:ascii="Arial Narrow" w:hAnsi="Arial Narrow" w:eastAsiaTheme="minorEastAsia"/>
              <w:szCs w:val="21"/>
            </w:rPr>
          </w:sdtEndPr>
          <w:sdtContent>
            <w:tc>
              <w:tcPr>
                <w:tcW w:w="1561" w:type="pct"/>
                <w:tcBorders>
                  <w:top w:val="single" w:color="auto" w:sz="4" w:space="0"/>
                  <w:left w:val="single" w:color="auto" w:sz="4" w:space="0"/>
                  <w:bottom w:val="single" w:color="auto" w:sz="4" w:space="0"/>
                  <w:right w:val="single" w:color="auto" w:sz="4" w:space="0"/>
                </w:tcBorders>
                <w:vAlign w:val="center"/>
              </w:tcPr>
              <w:p w14:paraId="5499D8B9">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1ebddc94af9345a99e7800415f9811c7"/>
            <w:id w:val="1020740861"/>
          </w:sdtPr>
          <w:sdtEndPr>
            <w:rPr>
              <w:rFonts w:ascii="Arial Narrow" w:hAnsi="Arial Narrow" w:eastAsiaTheme="minorEastAsia"/>
              <w:szCs w:val="21"/>
            </w:rPr>
          </w:sdtEndPr>
          <w:sdtContent>
            <w:tc>
              <w:tcPr>
                <w:tcW w:w="1561" w:type="pct"/>
                <w:tcBorders>
                  <w:top w:val="single" w:color="auto" w:sz="4" w:space="0"/>
                  <w:left w:val="single" w:color="auto" w:sz="4" w:space="0"/>
                  <w:bottom w:val="single" w:color="auto" w:sz="4" w:space="0"/>
                  <w:right w:val="single" w:color="auto" w:sz="4" w:space="0"/>
                </w:tcBorders>
                <w:vAlign w:val="center"/>
              </w:tcPr>
              <w:p w14:paraId="2D1C0C52">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1561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vAlign w:val="center"/>
          </w:tcPr>
          <w:p w14:paraId="41A21D70">
            <w:pPr>
              <w:rPr>
                <w:rFonts w:ascii="Arial Narrow" w:hAnsi="Arial Narrow" w:eastAsiaTheme="minorEastAsia"/>
                <w:szCs w:val="21"/>
              </w:rPr>
            </w:pPr>
            <w:r>
              <w:rPr>
                <w:rFonts w:ascii="Arial Narrow" w:hAnsi="Arial Narrow" w:eastAsiaTheme="minorEastAsia"/>
                <w:szCs w:val="21"/>
              </w:rPr>
              <w:t>交易性金融资产</w:t>
            </w:r>
          </w:p>
        </w:tc>
        <w:tc>
          <w:tcPr>
            <w:tcW w:w="1561" w:type="pct"/>
            <w:tcBorders>
              <w:top w:val="single" w:color="auto" w:sz="4" w:space="0"/>
              <w:left w:val="single" w:color="auto" w:sz="4" w:space="0"/>
              <w:bottom w:val="single" w:color="auto" w:sz="4" w:space="0"/>
              <w:right w:val="single" w:color="auto" w:sz="4" w:space="0"/>
            </w:tcBorders>
            <w:vAlign w:val="center"/>
          </w:tcPr>
          <w:p w14:paraId="03502649">
            <w:pPr>
              <w:autoSpaceDE w:val="0"/>
              <w:autoSpaceDN w:val="0"/>
              <w:adjustRightInd w:val="0"/>
              <w:jc w:val="right"/>
              <w:rPr>
                <w:rFonts w:ascii="Arial Narrow" w:hAnsi="Arial Narrow" w:eastAsiaTheme="minorEastAsia"/>
                <w:szCs w:val="21"/>
              </w:rPr>
            </w:pPr>
          </w:p>
        </w:tc>
        <w:tc>
          <w:tcPr>
            <w:tcW w:w="1561" w:type="pct"/>
            <w:tcBorders>
              <w:top w:val="single" w:color="auto" w:sz="4" w:space="0"/>
              <w:left w:val="single" w:color="auto" w:sz="4" w:space="0"/>
              <w:bottom w:val="single" w:color="auto" w:sz="4" w:space="0"/>
              <w:right w:val="single" w:color="auto" w:sz="4" w:space="0"/>
            </w:tcBorders>
            <w:vAlign w:val="center"/>
          </w:tcPr>
          <w:p w14:paraId="34D974C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-1,572,246.34</w:t>
            </w:r>
          </w:p>
        </w:tc>
      </w:tr>
      <w:tr w14:paraId="6FE3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tcBorders>
              <w:top w:val="single" w:color="auto" w:sz="4" w:space="0"/>
              <w:left w:val="single" w:color="auto" w:sz="4" w:space="0"/>
              <w:bottom w:val="single" w:color="auto" w:sz="4" w:space="0"/>
              <w:right w:val="single" w:color="auto" w:sz="4" w:space="0"/>
            </w:tcBorders>
            <w:vAlign w:val="center"/>
          </w:tcPr>
          <w:p w14:paraId="4AA36759">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1561" w:type="pct"/>
            <w:tcBorders>
              <w:top w:val="single" w:color="auto" w:sz="4" w:space="0"/>
              <w:left w:val="single" w:color="auto" w:sz="4" w:space="0"/>
              <w:bottom w:val="single" w:color="auto" w:sz="4" w:space="0"/>
              <w:right w:val="single" w:color="auto" w:sz="4" w:space="0"/>
            </w:tcBorders>
            <w:vAlign w:val="center"/>
          </w:tcPr>
          <w:p w14:paraId="79C09506">
            <w:pPr>
              <w:jc w:val="right"/>
              <w:rPr>
                <w:rFonts w:ascii="Arial Narrow" w:hAnsi="Arial Narrow" w:eastAsiaTheme="minorEastAsia"/>
                <w:szCs w:val="21"/>
              </w:rPr>
            </w:pPr>
          </w:p>
        </w:tc>
        <w:tc>
          <w:tcPr>
            <w:tcW w:w="1561" w:type="pct"/>
            <w:tcBorders>
              <w:top w:val="single" w:color="auto" w:sz="4" w:space="0"/>
              <w:left w:val="single" w:color="auto" w:sz="4" w:space="0"/>
              <w:bottom w:val="single" w:color="auto" w:sz="4" w:space="0"/>
              <w:right w:val="single" w:color="auto" w:sz="4" w:space="0"/>
            </w:tcBorders>
            <w:vAlign w:val="center"/>
          </w:tcPr>
          <w:p w14:paraId="6C22034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-1,572,246.34</w:t>
            </w:r>
          </w:p>
        </w:tc>
      </w:tr>
    </w:tbl>
    <w:p w14:paraId="16FCF2E9">
      <w:pPr>
        <w:spacing w:before="60" w:after="60"/>
        <w:rPr>
          <w:rFonts w:hint="eastAsia"/>
          <w:szCs w:val="21"/>
        </w:rPr>
      </w:pPr>
      <w:r>
        <w:rPr>
          <w:rFonts w:hint="eastAsia"/>
          <w:szCs w:val="21"/>
        </w:rPr>
        <w:t>其他说明：</w:t>
      </w:r>
    </w:p>
    <w:sdt>
      <w:sdtPr>
        <w:rPr>
          <w:rFonts w:hint="eastAsia"/>
          <w:szCs w:val="21"/>
        </w:rPr>
        <w:alias w:val="公允价值变动收益的说明"/>
        <w:tag w:val="_GBC_2de79fa0260c440dae18401771bdd5db"/>
        <w:id w:val="69088527"/>
        <w:placeholder>
          <w:docPart w:val="GBC22222222222222222222222222222"/>
        </w:placeholder>
      </w:sdtPr>
      <w:sdtEndPr>
        <w:rPr>
          <w:rFonts w:hint="eastAsia"/>
          <w:szCs w:val="21"/>
        </w:rPr>
      </w:sdtEndPr>
      <w:sdtContent>
        <w:p w14:paraId="00FF9550">
          <w:pPr>
            <w:rPr>
              <w:rFonts w:hint="eastAsia"/>
              <w:szCs w:val="21"/>
            </w:rPr>
          </w:pPr>
          <w:r>
            <w:rPr>
              <w:rFonts w:hint="eastAsia"/>
              <w:szCs w:val="21"/>
            </w:rPr>
            <w:t>无</w:t>
          </w:r>
        </w:p>
      </w:sdtContent>
    </w:sdt>
    <w:p w14:paraId="680FC82C">
      <w:pPr>
        <w:rPr>
          <w:rFonts w:hint="eastAsia" w:cstheme="minorBidi"/>
          <w:kern w:val="2"/>
          <w:szCs w:val="21"/>
        </w:rPr>
      </w:pPr>
    </w:p>
    <w:bookmarkEnd w:id="375"/>
    <w:p w14:paraId="407F1CF9">
      <w:pPr>
        <w:pStyle w:val="70"/>
        <w:numPr>
          <w:ilvl w:val="0"/>
          <w:numId w:val="109"/>
        </w:numPr>
        <w:rPr>
          <w:szCs w:val="21"/>
        </w:rPr>
      </w:pPr>
      <w:r>
        <w:rPr>
          <w:szCs w:val="21"/>
        </w:rPr>
        <w:t>信用减值损失</w:t>
      </w:r>
    </w:p>
    <w:sdt>
      <w:sdtPr>
        <w:alias w:val="是否适用：信用减值损失[双击切换]"/>
        <w:tag w:val="_GBC_3e1c9d9dad6c4530991d2befd4b098e3"/>
        <w:id w:val="-1038660844"/>
        <w:placeholder>
          <w:docPart w:val="GBC22222222222222222222222222222"/>
        </w:placeholder>
      </w:sdtPr>
      <w:sdtContent>
        <w:p w14:paraId="67874B5B">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62C62A">
      <w:pPr>
        <w:pStyle w:val="109"/>
        <w:ind w:left="420" w:firstLine="0" w:firstLineChars="0"/>
        <w:jc w:val="right"/>
      </w:pPr>
      <w:r>
        <w:rPr>
          <w:rFonts w:hint="eastAsia"/>
        </w:rPr>
        <w:t>单位：</w:t>
      </w:r>
      <w:sdt>
        <w:sdtPr>
          <w:rPr>
            <w:rFonts w:hint="eastAsia"/>
          </w:rPr>
          <w:alias w:val="单位：信用减值损失"/>
          <w:tag w:val="_GBC_64c0f12c02d44b548838a6936d90e525"/>
          <w:id w:val="-18679014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信用减值损失"/>
          <w:tag w:val="_GBC_4d6a964234bf4666a052d68fb8b9d060"/>
          <w:id w:val="19162859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0"/>
        <w:gridCol w:w="2620"/>
        <w:gridCol w:w="2643"/>
      </w:tblGrid>
      <w:tr w14:paraId="425C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32efbc222fba4f8b87e71fbd7550f57d"/>
            <w:id w:val="-650451093"/>
          </w:sdtPr>
          <w:sdtEndPr>
            <w:rPr>
              <w:rFonts w:ascii="Arial Narrow" w:hAnsi="Arial Narrow" w:eastAsiaTheme="minorEastAsia"/>
              <w:szCs w:val="21"/>
            </w:rPr>
          </w:sdtEndPr>
          <w:sdtContent>
            <w:tc>
              <w:tcPr>
                <w:tcW w:w="2017" w:type="pct"/>
                <w:shd w:val="clear" w:color="auto" w:fill="auto"/>
                <w:vAlign w:val="center"/>
              </w:tcPr>
              <w:p w14:paraId="04590683">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57fc93ac35684eca9207e23d2b2d6664"/>
            <w:id w:val="1418673599"/>
          </w:sdtPr>
          <w:sdtEndPr>
            <w:rPr>
              <w:rFonts w:ascii="Arial Narrow" w:hAnsi="Arial Narrow" w:eastAsiaTheme="minorEastAsia"/>
              <w:szCs w:val="21"/>
            </w:rPr>
          </w:sdtEndPr>
          <w:sdtContent>
            <w:tc>
              <w:tcPr>
                <w:tcW w:w="1485" w:type="pct"/>
                <w:shd w:val="clear" w:color="auto" w:fill="auto"/>
                <w:vAlign w:val="center"/>
              </w:tcPr>
              <w:p w14:paraId="665B8D7B">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ddb6bc4a58314fb2abbbb04ed4af2419"/>
            <w:id w:val="263810241"/>
          </w:sdtPr>
          <w:sdtEndPr>
            <w:rPr>
              <w:rFonts w:ascii="Arial Narrow" w:hAnsi="Arial Narrow" w:eastAsiaTheme="minorEastAsia"/>
              <w:szCs w:val="21"/>
            </w:rPr>
          </w:sdtEndPr>
          <w:sdtContent>
            <w:tc>
              <w:tcPr>
                <w:tcW w:w="1498" w:type="pct"/>
                <w:shd w:val="clear" w:color="auto" w:fill="auto"/>
                <w:vAlign w:val="center"/>
              </w:tcPr>
              <w:p w14:paraId="614F82DF">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76A1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shd w:val="clear" w:color="auto" w:fill="auto"/>
            <w:vAlign w:val="center"/>
          </w:tcPr>
          <w:p w14:paraId="5C73E4E4">
            <w:pPr>
              <w:rPr>
                <w:rFonts w:ascii="Arial Narrow" w:hAnsi="Arial Narrow" w:eastAsiaTheme="minorEastAsia"/>
                <w:szCs w:val="21"/>
              </w:rPr>
            </w:pPr>
            <w:r>
              <w:rPr>
                <w:rFonts w:ascii="Arial Narrow" w:hAnsi="Arial Narrow" w:eastAsiaTheme="minorEastAsia"/>
                <w:szCs w:val="21"/>
              </w:rPr>
              <w:t>应收账款坏账损失</w:t>
            </w:r>
          </w:p>
        </w:tc>
        <w:tc>
          <w:tcPr>
            <w:tcW w:w="1485" w:type="pct"/>
            <w:shd w:val="clear" w:color="auto" w:fill="auto"/>
            <w:vAlign w:val="center"/>
          </w:tcPr>
          <w:p w14:paraId="6520F07E">
            <w:pPr>
              <w:jc w:val="right"/>
              <w:rPr>
                <w:rFonts w:ascii="Arial Narrow" w:hAnsi="Arial Narrow" w:eastAsiaTheme="minorEastAsia"/>
                <w:szCs w:val="21"/>
              </w:rPr>
            </w:pPr>
            <w:r>
              <w:rPr>
                <w:rFonts w:ascii="Arial Narrow" w:hAnsi="Arial Narrow" w:eastAsiaTheme="minorEastAsia"/>
                <w:color w:val="000000"/>
                <w:szCs w:val="21"/>
              </w:rPr>
              <w:t>-108,843,510.65</w:t>
            </w:r>
          </w:p>
        </w:tc>
        <w:tc>
          <w:tcPr>
            <w:tcW w:w="1498" w:type="pct"/>
            <w:shd w:val="clear" w:color="auto" w:fill="auto"/>
            <w:vAlign w:val="center"/>
          </w:tcPr>
          <w:p w14:paraId="3BB700AB">
            <w:pPr>
              <w:jc w:val="right"/>
              <w:rPr>
                <w:rFonts w:ascii="Arial Narrow" w:hAnsi="Arial Narrow" w:eastAsiaTheme="minorEastAsia"/>
                <w:szCs w:val="21"/>
              </w:rPr>
            </w:pPr>
            <w:r>
              <w:rPr>
                <w:rFonts w:ascii="Arial Narrow" w:hAnsi="Arial Narrow" w:eastAsiaTheme="minorEastAsia"/>
                <w:color w:val="000000"/>
                <w:szCs w:val="21"/>
              </w:rPr>
              <w:t>-7,549,130.32</w:t>
            </w:r>
          </w:p>
        </w:tc>
      </w:tr>
      <w:tr w14:paraId="513D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shd w:val="clear" w:color="auto" w:fill="auto"/>
            <w:vAlign w:val="center"/>
          </w:tcPr>
          <w:p w14:paraId="2AD3AF6C">
            <w:pPr>
              <w:rPr>
                <w:rFonts w:ascii="Arial Narrow" w:hAnsi="Arial Narrow" w:eastAsiaTheme="minorEastAsia"/>
                <w:szCs w:val="21"/>
              </w:rPr>
            </w:pPr>
            <w:r>
              <w:rPr>
                <w:rFonts w:ascii="Arial Narrow" w:hAnsi="Arial Narrow" w:eastAsiaTheme="minorEastAsia"/>
                <w:szCs w:val="21"/>
              </w:rPr>
              <w:t>其他应收款坏账损失</w:t>
            </w:r>
          </w:p>
        </w:tc>
        <w:tc>
          <w:tcPr>
            <w:tcW w:w="1485" w:type="pct"/>
            <w:shd w:val="clear" w:color="auto" w:fill="auto"/>
            <w:vAlign w:val="center"/>
          </w:tcPr>
          <w:p w14:paraId="15FD86CC">
            <w:pPr>
              <w:jc w:val="right"/>
              <w:rPr>
                <w:rFonts w:ascii="Arial Narrow" w:hAnsi="Arial Narrow" w:eastAsiaTheme="minorEastAsia"/>
                <w:szCs w:val="21"/>
              </w:rPr>
            </w:pPr>
            <w:r>
              <w:rPr>
                <w:rFonts w:ascii="Arial Narrow" w:hAnsi="Arial Narrow" w:eastAsiaTheme="minorEastAsia"/>
                <w:color w:val="000000"/>
                <w:szCs w:val="21"/>
              </w:rPr>
              <w:t>-293,166,826.74</w:t>
            </w:r>
          </w:p>
        </w:tc>
        <w:tc>
          <w:tcPr>
            <w:tcW w:w="1498" w:type="pct"/>
            <w:shd w:val="clear" w:color="auto" w:fill="auto"/>
            <w:vAlign w:val="center"/>
          </w:tcPr>
          <w:p w14:paraId="3A28FB4E">
            <w:pPr>
              <w:jc w:val="right"/>
              <w:rPr>
                <w:rFonts w:ascii="Arial Narrow" w:hAnsi="Arial Narrow" w:eastAsiaTheme="minorEastAsia"/>
                <w:szCs w:val="21"/>
              </w:rPr>
            </w:pPr>
            <w:r>
              <w:rPr>
                <w:rFonts w:ascii="Arial Narrow" w:hAnsi="Arial Narrow" w:eastAsiaTheme="minorEastAsia"/>
                <w:color w:val="000000"/>
                <w:szCs w:val="21"/>
              </w:rPr>
              <w:t>-25,441,300.90</w:t>
            </w:r>
          </w:p>
        </w:tc>
      </w:tr>
      <w:tr w14:paraId="3879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shd w:val="clear" w:color="auto" w:fill="auto"/>
            <w:vAlign w:val="center"/>
          </w:tcPr>
          <w:p w14:paraId="375F64FE">
            <w:pPr>
              <w:rPr>
                <w:rFonts w:ascii="Arial Narrow" w:hAnsi="Arial Narrow" w:eastAsiaTheme="minorEastAsia"/>
                <w:szCs w:val="21"/>
              </w:rPr>
            </w:pPr>
            <w:r>
              <w:rPr>
                <w:rFonts w:ascii="Arial Narrow" w:hAnsi="Arial Narrow" w:eastAsiaTheme="minorEastAsia"/>
                <w:szCs w:val="21"/>
              </w:rPr>
              <w:t>长期应收款坏账损失</w:t>
            </w:r>
          </w:p>
        </w:tc>
        <w:tc>
          <w:tcPr>
            <w:tcW w:w="1485" w:type="pct"/>
            <w:shd w:val="clear" w:color="auto" w:fill="auto"/>
            <w:vAlign w:val="center"/>
          </w:tcPr>
          <w:p w14:paraId="61B241B5">
            <w:pPr>
              <w:jc w:val="right"/>
              <w:rPr>
                <w:rFonts w:ascii="Arial Narrow" w:hAnsi="Arial Narrow" w:eastAsiaTheme="minorEastAsia"/>
                <w:szCs w:val="21"/>
              </w:rPr>
            </w:pPr>
            <w:r>
              <w:rPr>
                <w:rFonts w:ascii="Arial Narrow" w:hAnsi="Arial Narrow" w:eastAsiaTheme="minorEastAsia"/>
                <w:color w:val="000000"/>
                <w:szCs w:val="21"/>
              </w:rPr>
              <w:t>-95,631,261.67</w:t>
            </w:r>
          </w:p>
        </w:tc>
        <w:tc>
          <w:tcPr>
            <w:tcW w:w="1498" w:type="pct"/>
            <w:shd w:val="clear" w:color="auto" w:fill="auto"/>
            <w:vAlign w:val="center"/>
          </w:tcPr>
          <w:p w14:paraId="0E8FAA01">
            <w:pPr>
              <w:jc w:val="right"/>
              <w:rPr>
                <w:rFonts w:ascii="Arial Narrow" w:hAnsi="Arial Narrow" w:eastAsiaTheme="minorEastAsia"/>
                <w:szCs w:val="21"/>
              </w:rPr>
            </w:pPr>
            <w:r>
              <w:rPr>
                <w:rFonts w:ascii="Arial Narrow" w:hAnsi="Arial Narrow" w:eastAsiaTheme="minorEastAsia"/>
                <w:color w:val="000000"/>
                <w:szCs w:val="21"/>
              </w:rPr>
              <w:t>-19,880,745.88</w:t>
            </w:r>
          </w:p>
        </w:tc>
      </w:tr>
      <w:tr w14:paraId="158C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shd w:val="clear" w:color="auto" w:fill="auto"/>
            <w:vAlign w:val="bottom"/>
          </w:tcPr>
          <w:p w14:paraId="252AA518">
            <w:pPr>
              <w:rPr>
                <w:rFonts w:ascii="Arial Narrow" w:hAnsi="Arial Narrow" w:eastAsiaTheme="minorEastAsia"/>
                <w:szCs w:val="21"/>
              </w:rPr>
            </w:pPr>
            <w:r>
              <w:rPr>
                <w:rFonts w:ascii="Arial Narrow" w:hAnsi="Arial Narrow" w:eastAsiaTheme="minorEastAsia"/>
                <w:color w:val="000000"/>
                <w:szCs w:val="21"/>
              </w:rPr>
              <w:t>预付账款坏账损失</w:t>
            </w:r>
          </w:p>
        </w:tc>
        <w:tc>
          <w:tcPr>
            <w:tcW w:w="1485" w:type="pct"/>
            <w:shd w:val="clear" w:color="auto" w:fill="auto"/>
            <w:vAlign w:val="center"/>
          </w:tcPr>
          <w:p w14:paraId="700C62F5">
            <w:pPr>
              <w:jc w:val="right"/>
              <w:rPr>
                <w:rFonts w:ascii="Arial Narrow" w:hAnsi="Arial Narrow" w:eastAsiaTheme="minorEastAsia"/>
                <w:szCs w:val="21"/>
              </w:rPr>
            </w:pPr>
            <w:r>
              <w:rPr>
                <w:rFonts w:ascii="Arial Narrow" w:hAnsi="Arial Narrow" w:eastAsiaTheme="minorEastAsia"/>
                <w:color w:val="000000"/>
                <w:szCs w:val="21"/>
              </w:rPr>
              <w:t>-12,784,314.71</w:t>
            </w:r>
          </w:p>
        </w:tc>
        <w:tc>
          <w:tcPr>
            <w:tcW w:w="1498" w:type="pct"/>
            <w:shd w:val="clear" w:color="auto" w:fill="auto"/>
            <w:vAlign w:val="center"/>
          </w:tcPr>
          <w:p w14:paraId="263D37A8">
            <w:pPr>
              <w:jc w:val="right"/>
              <w:rPr>
                <w:rFonts w:ascii="Arial Narrow" w:hAnsi="Arial Narrow" w:eastAsiaTheme="minorEastAsia"/>
                <w:szCs w:val="21"/>
              </w:rPr>
            </w:pPr>
            <w:r>
              <w:rPr>
                <w:rFonts w:ascii="Arial Narrow" w:hAnsi="Arial Narrow" w:eastAsiaTheme="minorEastAsia"/>
                <w:color w:val="000000"/>
                <w:szCs w:val="21"/>
              </w:rPr>
              <w:t>2,980,225.23</w:t>
            </w:r>
          </w:p>
        </w:tc>
      </w:tr>
      <w:tr w14:paraId="648C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shd w:val="clear" w:color="auto" w:fill="auto"/>
            <w:vAlign w:val="center"/>
          </w:tcPr>
          <w:p w14:paraId="447C97A4">
            <w:pPr>
              <w:jc w:val="center"/>
              <w:rPr>
                <w:rFonts w:ascii="Arial Narrow" w:hAnsi="Arial Narrow" w:eastAsiaTheme="minorEastAsia"/>
                <w:szCs w:val="21"/>
              </w:rPr>
            </w:pPr>
            <w:r>
              <w:rPr>
                <w:rFonts w:ascii="Arial Narrow" w:hAnsi="Arial Narrow" w:eastAsiaTheme="minorEastAsia"/>
                <w:szCs w:val="21"/>
              </w:rPr>
              <w:t>合计</w:t>
            </w:r>
          </w:p>
        </w:tc>
        <w:tc>
          <w:tcPr>
            <w:tcW w:w="1485" w:type="pct"/>
            <w:shd w:val="clear" w:color="auto" w:fill="auto"/>
            <w:vAlign w:val="center"/>
          </w:tcPr>
          <w:p w14:paraId="7AD23B27">
            <w:pPr>
              <w:jc w:val="right"/>
              <w:rPr>
                <w:rFonts w:ascii="Arial Narrow" w:hAnsi="Arial Narrow" w:eastAsiaTheme="minorEastAsia"/>
                <w:szCs w:val="21"/>
              </w:rPr>
            </w:pPr>
            <w:r>
              <w:rPr>
                <w:rFonts w:ascii="Arial Narrow" w:hAnsi="Arial Narrow" w:eastAsiaTheme="minorEastAsia"/>
                <w:color w:val="000000"/>
                <w:szCs w:val="21"/>
              </w:rPr>
              <w:t>-510,425,913.77</w:t>
            </w:r>
          </w:p>
        </w:tc>
        <w:tc>
          <w:tcPr>
            <w:tcW w:w="1498" w:type="pct"/>
            <w:shd w:val="clear" w:color="auto" w:fill="auto"/>
            <w:vAlign w:val="center"/>
          </w:tcPr>
          <w:p w14:paraId="6E34396E">
            <w:pPr>
              <w:jc w:val="right"/>
              <w:rPr>
                <w:rFonts w:ascii="Arial Narrow" w:hAnsi="Arial Narrow" w:eastAsiaTheme="minorEastAsia"/>
                <w:szCs w:val="21"/>
              </w:rPr>
            </w:pPr>
            <w:r>
              <w:rPr>
                <w:rFonts w:ascii="Arial Narrow" w:hAnsi="Arial Narrow" w:eastAsiaTheme="minorEastAsia"/>
                <w:color w:val="000000"/>
                <w:szCs w:val="21"/>
              </w:rPr>
              <w:t>-49,890,951.87</w:t>
            </w:r>
          </w:p>
        </w:tc>
      </w:tr>
    </w:tbl>
    <w:p w14:paraId="714CA9BE">
      <w:pPr>
        <w:rPr>
          <w:rFonts w:hint="eastAsia"/>
        </w:rPr>
      </w:pPr>
      <w:r>
        <w:rPr>
          <w:rFonts w:hint="eastAsia"/>
        </w:rPr>
        <w:t>其他</w:t>
      </w:r>
      <w:r>
        <w:t>说明</w:t>
      </w:r>
      <w:r>
        <w:rPr>
          <w:rFonts w:hint="eastAsia"/>
        </w:rPr>
        <w:t>：</w:t>
      </w:r>
    </w:p>
    <w:sdt>
      <w:sdtPr>
        <w:alias w:val="信用减值损失其他说明"/>
        <w:tag w:val="_GBC_c4f5a3728c354e07a647f36805e2176b"/>
        <w:id w:val="-2125837809"/>
        <w:placeholder>
          <w:docPart w:val="GBC22222222222222222222222222222"/>
        </w:placeholder>
      </w:sdtPr>
      <w:sdtContent>
        <w:p w14:paraId="2518DC81">
          <w:pPr>
            <w:rPr>
              <w:rFonts w:hint="eastAsia"/>
            </w:rPr>
          </w:pPr>
          <w:r>
            <w:rPr>
              <w:rFonts w:hint="eastAsia"/>
            </w:rPr>
            <w:t>无</w:t>
          </w:r>
        </w:p>
      </w:sdtContent>
    </w:sdt>
    <w:p w14:paraId="45D00BB7">
      <w:pPr>
        <w:rPr>
          <w:rFonts w:hint="eastAsia"/>
        </w:rPr>
      </w:pPr>
    </w:p>
    <w:p w14:paraId="1339AE13">
      <w:pPr>
        <w:pStyle w:val="70"/>
        <w:numPr>
          <w:ilvl w:val="0"/>
          <w:numId w:val="109"/>
        </w:numPr>
        <w:rPr>
          <w:szCs w:val="21"/>
        </w:rPr>
      </w:pPr>
      <w:r>
        <w:rPr>
          <w:szCs w:val="21"/>
        </w:rPr>
        <w:t>资产减值损失</w:t>
      </w:r>
    </w:p>
    <w:sdt>
      <w:sdtPr>
        <w:alias w:val="是否适用：资产减值损失[双击切换]"/>
        <w:tag w:val="_GBC_8b37643fea7c43289fdaf85f79b2bcae"/>
        <w:id w:val="1997061476"/>
        <w:placeholder>
          <w:docPart w:val="GBC22222222222222222222222222222"/>
        </w:placeholder>
      </w:sdtPr>
      <w:sdtContent>
        <w:p w14:paraId="26D7B89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D045DA">
      <w:pPr>
        <w:jc w:val="right"/>
        <w:rPr>
          <w:rFonts w:hint="eastAsia"/>
          <w:szCs w:val="21"/>
        </w:rPr>
      </w:pPr>
      <w:r>
        <w:rPr>
          <w:rFonts w:hint="eastAsia"/>
          <w:szCs w:val="21"/>
        </w:rPr>
        <w:t>单位：</w:t>
      </w:r>
      <w:sdt>
        <w:sdtPr>
          <w:rPr>
            <w:rFonts w:hint="eastAsia"/>
            <w:szCs w:val="21"/>
          </w:rPr>
          <w:alias w:val="单位：财务附注：资产减值损失"/>
          <w:tag w:val="_GBC_fe85f36c54dd476ea970b9d8ae08135d"/>
          <w:id w:val="3758962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1093265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2509"/>
        <w:gridCol w:w="3000"/>
      </w:tblGrid>
      <w:tr w14:paraId="7873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344de032f71b4e06985c561df3bcf55a"/>
            <w:id w:val="2067996811"/>
          </w:sdtPr>
          <w:sdtEndPr>
            <w:rPr>
              <w:rFonts w:ascii="Arial Narrow" w:hAnsi="Arial Narrow" w:eastAsiaTheme="minorEastAsia"/>
              <w:szCs w:val="21"/>
            </w:rPr>
          </w:sdtEndPr>
          <w:sdtContent>
            <w:tc>
              <w:tcPr>
                <w:tcW w:w="1878" w:type="pct"/>
                <w:tcBorders>
                  <w:top w:val="single" w:color="auto" w:sz="4" w:space="0"/>
                  <w:left w:val="single" w:color="auto" w:sz="4" w:space="0"/>
                  <w:bottom w:val="single" w:color="auto" w:sz="4" w:space="0"/>
                  <w:right w:val="single" w:color="auto" w:sz="4" w:space="0"/>
                </w:tcBorders>
                <w:vAlign w:val="center"/>
              </w:tcPr>
              <w:p w14:paraId="1D14985C">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9551307ec5c049a3aa84c3c7d3e61d92"/>
            <w:id w:val="-840393070"/>
          </w:sdtPr>
          <w:sdtEndPr>
            <w:rPr>
              <w:rFonts w:ascii="Arial Narrow" w:hAnsi="Arial Narrow" w:eastAsiaTheme="minorEastAsia"/>
              <w:szCs w:val="21"/>
            </w:rPr>
          </w:sdtEndPr>
          <w:sdtContent>
            <w:tc>
              <w:tcPr>
                <w:tcW w:w="1422" w:type="pct"/>
                <w:tcBorders>
                  <w:top w:val="single" w:color="auto" w:sz="4" w:space="0"/>
                  <w:left w:val="single" w:color="auto" w:sz="4" w:space="0"/>
                  <w:bottom w:val="single" w:color="auto" w:sz="4" w:space="0"/>
                  <w:right w:val="single" w:color="auto" w:sz="4" w:space="0"/>
                </w:tcBorders>
                <w:vAlign w:val="center"/>
              </w:tcPr>
              <w:p w14:paraId="3A25C4EF">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46a2a62cd1b1406f877f135b9d7e38a6"/>
            <w:id w:val="-1223062148"/>
          </w:sdtPr>
          <w:sdtEndPr>
            <w:rPr>
              <w:rFonts w:ascii="Arial Narrow" w:hAnsi="Arial Narrow" w:eastAsiaTheme="minorEastAsia"/>
              <w:szCs w:val="21"/>
            </w:rPr>
          </w:sdtEndPr>
          <w:sdtContent>
            <w:tc>
              <w:tcPr>
                <w:tcW w:w="1700" w:type="pct"/>
                <w:tcBorders>
                  <w:top w:val="single" w:color="auto" w:sz="4" w:space="0"/>
                  <w:left w:val="single" w:color="auto" w:sz="4" w:space="0"/>
                  <w:bottom w:val="single" w:color="auto" w:sz="4" w:space="0"/>
                  <w:right w:val="single" w:color="auto" w:sz="4" w:space="0"/>
                </w:tcBorders>
                <w:vAlign w:val="center"/>
              </w:tcPr>
              <w:p w14:paraId="5600D18D">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7845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5093EBF7">
            <w:pPr>
              <w:autoSpaceDE w:val="0"/>
              <w:autoSpaceDN w:val="0"/>
              <w:adjustRightInd w:val="0"/>
              <w:rPr>
                <w:rFonts w:ascii="Arial Narrow" w:hAnsi="Arial Narrow" w:eastAsiaTheme="minorEastAsia"/>
                <w:szCs w:val="21"/>
              </w:rPr>
            </w:pPr>
            <w:r>
              <w:rPr>
                <w:rFonts w:ascii="Arial Narrow" w:hAnsi="Arial Narrow" w:eastAsiaTheme="minorEastAsia"/>
                <w:szCs w:val="21"/>
              </w:rPr>
              <w:t>一、存货跌价损失及合同履约成本减值损失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55D0347A">
            <w:pPr>
              <w:jc w:val="right"/>
              <w:rPr>
                <w:rFonts w:ascii="Arial Narrow" w:hAnsi="Arial Narrow" w:eastAsiaTheme="minorEastAsia"/>
                <w:szCs w:val="21"/>
              </w:rPr>
            </w:pPr>
            <w:r>
              <w:rPr>
                <w:rFonts w:ascii="Arial Narrow" w:hAnsi="Arial Narrow" w:eastAsiaTheme="minorEastAsia"/>
                <w:color w:val="000000"/>
                <w:szCs w:val="21"/>
              </w:rPr>
              <w:t>-530,000,781.27</w:t>
            </w:r>
          </w:p>
        </w:tc>
        <w:tc>
          <w:tcPr>
            <w:tcW w:w="1700" w:type="pct"/>
            <w:tcBorders>
              <w:top w:val="single" w:color="auto" w:sz="4" w:space="0"/>
              <w:left w:val="single" w:color="auto" w:sz="4" w:space="0"/>
              <w:bottom w:val="single" w:color="auto" w:sz="4" w:space="0"/>
              <w:right w:val="single" w:color="auto" w:sz="4" w:space="0"/>
            </w:tcBorders>
            <w:vAlign w:val="center"/>
          </w:tcPr>
          <w:p w14:paraId="2F7A0CAE">
            <w:pPr>
              <w:jc w:val="right"/>
              <w:rPr>
                <w:rFonts w:ascii="Arial Narrow" w:hAnsi="Arial Narrow" w:eastAsiaTheme="minorEastAsia"/>
                <w:szCs w:val="21"/>
              </w:rPr>
            </w:pPr>
            <w:r>
              <w:rPr>
                <w:rFonts w:ascii="Arial Narrow" w:hAnsi="Arial Narrow" w:eastAsiaTheme="minorEastAsia"/>
                <w:color w:val="000000"/>
                <w:szCs w:val="21"/>
              </w:rPr>
              <w:t>-50,840,461.69</w:t>
            </w:r>
          </w:p>
        </w:tc>
      </w:tr>
      <w:tr w14:paraId="2178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12B4A48E">
            <w:pPr>
              <w:autoSpaceDE w:val="0"/>
              <w:autoSpaceDN w:val="0"/>
              <w:adjustRightInd w:val="0"/>
              <w:rPr>
                <w:rFonts w:ascii="Arial Narrow" w:hAnsi="Arial Narrow" w:eastAsiaTheme="minorEastAsia"/>
                <w:szCs w:val="21"/>
              </w:rPr>
            </w:pPr>
            <w:r>
              <w:rPr>
                <w:rFonts w:ascii="Arial Narrow" w:hAnsi="Arial Narrow" w:eastAsiaTheme="minorEastAsia"/>
                <w:szCs w:val="21"/>
              </w:rPr>
              <w:t>二、长期股权投资减值损失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3719A40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-7,721,583.57</w:t>
            </w:r>
          </w:p>
        </w:tc>
        <w:tc>
          <w:tcPr>
            <w:tcW w:w="1700" w:type="pct"/>
            <w:tcBorders>
              <w:top w:val="single" w:color="auto" w:sz="4" w:space="0"/>
              <w:left w:val="single" w:color="auto" w:sz="4" w:space="0"/>
              <w:bottom w:val="single" w:color="auto" w:sz="4" w:space="0"/>
              <w:right w:val="single" w:color="auto" w:sz="4" w:space="0"/>
            </w:tcBorders>
            <w:vAlign w:val="center"/>
          </w:tcPr>
          <w:p w14:paraId="6DB70645">
            <w:pPr>
              <w:autoSpaceDE w:val="0"/>
              <w:autoSpaceDN w:val="0"/>
              <w:adjustRightInd w:val="0"/>
              <w:jc w:val="right"/>
              <w:rPr>
                <w:rFonts w:ascii="Arial Narrow" w:hAnsi="Arial Narrow" w:eastAsiaTheme="minorEastAsia"/>
                <w:szCs w:val="21"/>
              </w:rPr>
            </w:pPr>
          </w:p>
        </w:tc>
      </w:tr>
      <w:tr w14:paraId="06DD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27193FC4">
            <w:pPr>
              <w:autoSpaceDE w:val="0"/>
              <w:autoSpaceDN w:val="0"/>
              <w:adjustRightInd w:val="0"/>
              <w:rPr>
                <w:rFonts w:ascii="Arial Narrow" w:hAnsi="Arial Narrow" w:eastAsiaTheme="minorEastAsia"/>
                <w:szCs w:val="21"/>
              </w:rPr>
            </w:pPr>
            <w:r>
              <w:rPr>
                <w:rFonts w:ascii="Arial Narrow" w:hAnsi="Arial Narrow" w:eastAsiaTheme="minorEastAsia"/>
                <w:szCs w:val="21"/>
              </w:rPr>
              <w:t>三、投资性房地产减值损失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0EAFF9F4">
            <w:pPr>
              <w:jc w:val="right"/>
              <w:rPr>
                <w:rFonts w:ascii="Arial Narrow" w:hAnsi="Arial Narrow" w:eastAsiaTheme="minorEastAsia"/>
                <w:szCs w:val="21"/>
              </w:rPr>
            </w:pPr>
            <w:r>
              <w:rPr>
                <w:rFonts w:ascii="Arial Narrow" w:hAnsi="Arial Narrow" w:eastAsiaTheme="minorEastAsia"/>
                <w:color w:val="000000"/>
                <w:szCs w:val="21"/>
              </w:rPr>
              <w:t>-123,387,062.68</w:t>
            </w:r>
          </w:p>
        </w:tc>
        <w:tc>
          <w:tcPr>
            <w:tcW w:w="1700" w:type="pct"/>
            <w:tcBorders>
              <w:top w:val="single" w:color="auto" w:sz="4" w:space="0"/>
              <w:left w:val="single" w:color="auto" w:sz="4" w:space="0"/>
              <w:bottom w:val="single" w:color="auto" w:sz="4" w:space="0"/>
              <w:right w:val="single" w:color="auto" w:sz="4" w:space="0"/>
            </w:tcBorders>
            <w:vAlign w:val="center"/>
          </w:tcPr>
          <w:p w14:paraId="1014BE84">
            <w:pPr>
              <w:jc w:val="right"/>
              <w:rPr>
                <w:rFonts w:ascii="Arial Narrow" w:hAnsi="Arial Narrow" w:eastAsiaTheme="minorEastAsia"/>
                <w:szCs w:val="21"/>
              </w:rPr>
            </w:pPr>
          </w:p>
        </w:tc>
      </w:tr>
      <w:tr w14:paraId="45A4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79F4D38E">
            <w:pPr>
              <w:autoSpaceDE w:val="0"/>
              <w:autoSpaceDN w:val="0"/>
              <w:adjustRightInd w:val="0"/>
              <w:rPr>
                <w:rFonts w:ascii="Arial Narrow" w:hAnsi="Arial Narrow" w:eastAsiaTheme="minorEastAsia"/>
                <w:szCs w:val="21"/>
              </w:rPr>
            </w:pPr>
            <w:r>
              <w:rPr>
                <w:rFonts w:ascii="Arial Narrow" w:hAnsi="Arial Narrow" w:eastAsiaTheme="minorEastAsia"/>
                <w:szCs w:val="21"/>
              </w:rPr>
              <w:t>四、固定资产减值损失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4064D7C9">
            <w:pPr>
              <w:jc w:val="right"/>
              <w:rPr>
                <w:rFonts w:ascii="Arial Narrow" w:hAnsi="Arial Narrow" w:eastAsiaTheme="minorEastAsia"/>
                <w:szCs w:val="21"/>
              </w:rPr>
            </w:pPr>
            <w:r>
              <w:rPr>
                <w:rFonts w:ascii="Arial Narrow" w:hAnsi="Arial Narrow" w:eastAsiaTheme="minorEastAsia"/>
                <w:color w:val="000000"/>
                <w:szCs w:val="21"/>
              </w:rPr>
              <w:t>-629,968,860.66</w:t>
            </w:r>
          </w:p>
        </w:tc>
        <w:tc>
          <w:tcPr>
            <w:tcW w:w="1700" w:type="pct"/>
            <w:tcBorders>
              <w:top w:val="single" w:color="auto" w:sz="4" w:space="0"/>
              <w:left w:val="single" w:color="auto" w:sz="4" w:space="0"/>
              <w:bottom w:val="single" w:color="auto" w:sz="4" w:space="0"/>
              <w:right w:val="single" w:color="auto" w:sz="4" w:space="0"/>
            </w:tcBorders>
            <w:vAlign w:val="center"/>
          </w:tcPr>
          <w:p w14:paraId="77B714C1">
            <w:pPr>
              <w:jc w:val="right"/>
              <w:rPr>
                <w:rFonts w:ascii="Arial Narrow" w:hAnsi="Arial Narrow" w:eastAsiaTheme="minorEastAsia"/>
                <w:szCs w:val="21"/>
              </w:rPr>
            </w:pPr>
          </w:p>
        </w:tc>
      </w:tr>
      <w:tr w14:paraId="4475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105D6953">
            <w:pPr>
              <w:autoSpaceDE w:val="0"/>
              <w:autoSpaceDN w:val="0"/>
              <w:adjustRightInd w:val="0"/>
              <w:rPr>
                <w:rFonts w:ascii="Arial Narrow" w:hAnsi="Arial Narrow" w:eastAsiaTheme="minorEastAsia"/>
                <w:szCs w:val="21"/>
              </w:rPr>
            </w:pPr>
            <w:r>
              <w:rPr>
                <w:rFonts w:ascii="Arial Narrow" w:hAnsi="Arial Narrow" w:eastAsiaTheme="minorEastAsia"/>
                <w:szCs w:val="21"/>
              </w:rPr>
              <w:t>五、在建工程减值损失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6A9E536A">
            <w:pPr>
              <w:jc w:val="right"/>
              <w:rPr>
                <w:rFonts w:ascii="Arial Narrow" w:hAnsi="Arial Narrow" w:eastAsiaTheme="minorEastAsia"/>
                <w:szCs w:val="21"/>
              </w:rPr>
            </w:pPr>
            <w:r>
              <w:rPr>
                <w:rFonts w:ascii="Arial Narrow" w:hAnsi="Arial Narrow" w:eastAsiaTheme="minorEastAsia"/>
                <w:color w:val="000000"/>
                <w:szCs w:val="21"/>
              </w:rPr>
              <w:t>-714,457,230.12</w:t>
            </w:r>
          </w:p>
        </w:tc>
        <w:tc>
          <w:tcPr>
            <w:tcW w:w="1700" w:type="pct"/>
            <w:tcBorders>
              <w:top w:val="single" w:color="auto" w:sz="4" w:space="0"/>
              <w:left w:val="single" w:color="auto" w:sz="4" w:space="0"/>
              <w:bottom w:val="single" w:color="auto" w:sz="4" w:space="0"/>
              <w:right w:val="single" w:color="auto" w:sz="4" w:space="0"/>
            </w:tcBorders>
            <w:vAlign w:val="center"/>
          </w:tcPr>
          <w:p w14:paraId="56F30789">
            <w:pPr>
              <w:jc w:val="right"/>
              <w:rPr>
                <w:rFonts w:ascii="Arial Narrow" w:hAnsi="Arial Narrow" w:eastAsiaTheme="minorEastAsia"/>
                <w:szCs w:val="21"/>
              </w:rPr>
            </w:pPr>
          </w:p>
        </w:tc>
      </w:tr>
      <w:tr w14:paraId="19D3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25CEB30D">
            <w:pPr>
              <w:autoSpaceDE w:val="0"/>
              <w:autoSpaceDN w:val="0"/>
              <w:adjustRightInd w:val="0"/>
              <w:rPr>
                <w:rFonts w:ascii="Arial Narrow" w:hAnsi="Arial Narrow" w:eastAsiaTheme="minorEastAsia"/>
                <w:szCs w:val="21"/>
              </w:rPr>
            </w:pPr>
            <w:r>
              <w:rPr>
                <w:rFonts w:ascii="Arial Narrow" w:hAnsi="Arial Narrow" w:eastAsiaTheme="minorEastAsia"/>
                <w:szCs w:val="21"/>
              </w:rPr>
              <w:t>六、无形资产减值损失</w:t>
            </w:r>
          </w:p>
        </w:tc>
        <w:tc>
          <w:tcPr>
            <w:tcW w:w="1422" w:type="pct"/>
            <w:tcBorders>
              <w:top w:val="single" w:color="auto" w:sz="4" w:space="0"/>
              <w:left w:val="single" w:color="auto" w:sz="4" w:space="0"/>
              <w:bottom w:val="single" w:color="auto" w:sz="4" w:space="0"/>
              <w:right w:val="single" w:color="auto" w:sz="4" w:space="0"/>
            </w:tcBorders>
            <w:vAlign w:val="center"/>
          </w:tcPr>
          <w:p w14:paraId="05B7BA3D">
            <w:pPr>
              <w:jc w:val="right"/>
              <w:rPr>
                <w:rFonts w:ascii="Arial Narrow" w:hAnsi="Arial Narrow" w:eastAsiaTheme="minorEastAsia"/>
                <w:szCs w:val="21"/>
              </w:rPr>
            </w:pPr>
            <w:r>
              <w:rPr>
                <w:rFonts w:ascii="Arial Narrow" w:hAnsi="Arial Narrow" w:eastAsiaTheme="minorEastAsia"/>
                <w:color w:val="000000"/>
                <w:szCs w:val="21"/>
              </w:rPr>
              <w:t>-444,775,287.19</w:t>
            </w:r>
          </w:p>
        </w:tc>
        <w:tc>
          <w:tcPr>
            <w:tcW w:w="1700" w:type="pct"/>
            <w:tcBorders>
              <w:top w:val="single" w:color="auto" w:sz="4" w:space="0"/>
              <w:left w:val="single" w:color="auto" w:sz="4" w:space="0"/>
              <w:bottom w:val="single" w:color="auto" w:sz="4" w:space="0"/>
              <w:right w:val="single" w:color="auto" w:sz="4" w:space="0"/>
            </w:tcBorders>
            <w:vAlign w:val="center"/>
          </w:tcPr>
          <w:p w14:paraId="747078B2">
            <w:pPr>
              <w:jc w:val="right"/>
              <w:rPr>
                <w:rFonts w:ascii="Arial Narrow" w:hAnsi="Arial Narrow" w:eastAsiaTheme="minorEastAsia"/>
                <w:szCs w:val="21"/>
              </w:rPr>
            </w:pPr>
          </w:p>
        </w:tc>
      </w:tr>
      <w:tr w14:paraId="499E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503C7F94">
            <w:pPr>
              <w:autoSpaceDE w:val="0"/>
              <w:autoSpaceDN w:val="0"/>
              <w:adjustRightInd w:val="0"/>
              <w:rPr>
                <w:rFonts w:ascii="Arial Narrow" w:hAnsi="Arial Narrow" w:eastAsiaTheme="minorEastAsia"/>
                <w:szCs w:val="21"/>
              </w:rPr>
            </w:pPr>
            <w:r>
              <w:rPr>
                <w:rFonts w:ascii="Arial Narrow" w:hAnsi="Arial Narrow" w:eastAsiaTheme="minorEastAsia"/>
                <w:szCs w:val="21"/>
              </w:rPr>
              <w:t>七、其他</w:t>
            </w:r>
          </w:p>
        </w:tc>
        <w:tc>
          <w:tcPr>
            <w:tcW w:w="1422" w:type="pct"/>
            <w:tcBorders>
              <w:top w:val="single" w:color="auto" w:sz="4" w:space="0"/>
              <w:left w:val="single" w:color="auto" w:sz="4" w:space="0"/>
              <w:bottom w:val="single" w:color="auto" w:sz="4" w:space="0"/>
              <w:right w:val="single" w:color="auto" w:sz="4" w:space="0"/>
            </w:tcBorders>
            <w:vAlign w:val="center"/>
          </w:tcPr>
          <w:p w14:paraId="3BF72D3A">
            <w:pPr>
              <w:jc w:val="right"/>
              <w:rPr>
                <w:rFonts w:ascii="Arial Narrow" w:hAnsi="Arial Narrow" w:eastAsiaTheme="minorEastAsia"/>
                <w:szCs w:val="21"/>
              </w:rPr>
            </w:pPr>
            <w:r>
              <w:rPr>
                <w:rFonts w:ascii="Arial Narrow" w:hAnsi="Arial Narrow" w:eastAsiaTheme="minorEastAsia"/>
                <w:color w:val="000000"/>
                <w:szCs w:val="21"/>
              </w:rPr>
              <w:t>-104,901,353.95</w:t>
            </w:r>
          </w:p>
        </w:tc>
        <w:tc>
          <w:tcPr>
            <w:tcW w:w="1700" w:type="pct"/>
            <w:tcBorders>
              <w:top w:val="single" w:color="auto" w:sz="4" w:space="0"/>
              <w:left w:val="single" w:color="auto" w:sz="4" w:space="0"/>
              <w:bottom w:val="single" w:color="auto" w:sz="4" w:space="0"/>
              <w:right w:val="single" w:color="auto" w:sz="4" w:space="0"/>
            </w:tcBorders>
            <w:vAlign w:val="center"/>
          </w:tcPr>
          <w:p w14:paraId="148EE975">
            <w:pPr>
              <w:jc w:val="right"/>
              <w:rPr>
                <w:rFonts w:ascii="Arial Narrow" w:hAnsi="Arial Narrow" w:eastAsiaTheme="minorEastAsia"/>
                <w:szCs w:val="21"/>
              </w:rPr>
            </w:pPr>
          </w:p>
        </w:tc>
      </w:tr>
      <w:tr w14:paraId="5F6F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vAlign w:val="center"/>
          </w:tcPr>
          <w:p w14:paraId="19EE2B52">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1422" w:type="pct"/>
            <w:tcBorders>
              <w:top w:val="single" w:color="auto" w:sz="4" w:space="0"/>
              <w:left w:val="single" w:color="auto" w:sz="4" w:space="0"/>
              <w:bottom w:val="single" w:color="auto" w:sz="4" w:space="0"/>
              <w:right w:val="single" w:color="auto" w:sz="4" w:space="0"/>
            </w:tcBorders>
            <w:vAlign w:val="center"/>
          </w:tcPr>
          <w:p w14:paraId="61009A17">
            <w:pPr>
              <w:jc w:val="right"/>
              <w:rPr>
                <w:rFonts w:ascii="Arial Narrow" w:hAnsi="Arial Narrow" w:eastAsiaTheme="minorEastAsia"/>
                <w:szCs w:val="21"/>
              </w:rPr>
            </w:pPr>
            <w:r>
              <w:rPr>
                <w:rFonts w:ascii="Arial Narrow" w:hAnsi="Arial Narrow" w:eastAsiaTheme="minorEastAsia"/>
                <w:color w:val="000000"/>
                <w:szCs w:val="21"/>
              </w:rPr>
              <w:t>-2,555,212,159.44</w:t>
            </w:r>
          </w:p>
        </w:tc>
        <w:tc>
          <w:tcPr>
            <w:tcW w:w="1700" w:type="pct"/>
            <w:tcBorders>
              <w:top w:val="single" w:color="auto" w:sz="4" w:space="0"/>
              <w:left w:val="single" w:color="auto" w:sz="4" w:space="0"/>
              <w:bottom w:val="single" w:color="auto" w:sz="4" w:space="0"/>
              <w:right w:val="single" w:color="auto" w:sz="4" w:space="0"/>
            </w:tcBorders>
            <w:vAlign w:val="center"/>
          </w:tcPr>
          <w:p w14:paraId="6F24521F">
            <w:pPr>
              <w:jc w:val="right"/>
              <w:rPr>
                <w:rFonts w:ascii="Arial Narrow" w:hAnsi="Arial Narrow" w:eastAsiaTheme="minorEastAsia"/>
                <w:szCs w:val="21"/>
              </w:rPr>
            </w:pPr>
            <w:r>
              <w:rPr>
                <w:rFonts w:ascii="Arial Narrow" w:hAnsi="Arial Narrow" w:eastAsiaTheme="minorEastAsia"/>
                <w:color w:val="000000"/>
                <w:szCs w:val="21"/>
              </w:rPr>
              <w:t>-50,840,461.69</w:t>
            </w:r>
          </w:p>
        </w:tc>
      </w:tr>
    </w:tbl>
    <w:p w14:paraId="51AC530C">
      <w:pPr>
        <w:spacing w:before="60" w:after="60"/>
        <w:rPr>
          <w:rFonts w:hint="eastAsia"/>
          <w:szCs w:val="21"/>
        </w:rPr>
      </w:pPr>
      <w:r>
        <w:rPr>
          <w:rFonts w:hint="eastAsia"/>
          <w:szCs w:val="21"/>
        </w:rPr>
        <w:t>其他说明：</w:t>
      </w:r>
    </w:p>
    <w:sdt>
      <w:sdtPr>
        <w:alias w:val="资产减值损失的说明"/>
        <w:tag w:val="_GBC_1e9b73a63ce74456883b0a5fd2597461"/>
        <w:id w:val="915825247"/>
        <w:placeholder>
          <w:docPart w:val="GBC22222222222222222222222222222"/>
        </w:placeholder>
      </w:sdtPr>
      <w:sdtContent>
        <w:p w14:paraId="5AFAD883">
          <w:pPr>
            <w:rPr>
              <w:rFonts w:hint="eastAsia"/>
            </w:rPr>
          </w:pPr>
          <w:r>
            <w:rPr>
              <w:rFonts w:hint="eastAsia"/>
            </w:rPr>
            <w:t>无</w:t>
          </w:r>
        </w:p>
      </w:sdtContent>
    </w:sdt>
    <w:p w14:paraId="6450FBAB">
      <w:pPr>
        <w:rPr>
          <w:rFonts w:asciiTheme="minorHAnsi" w:hAnsiTheme="minorHAnsi" w:eastAsiaTheme="minorEastAsia"/>
          <w:szCs w:val="22"/>
        </w:rPr>
      </w:pPr>
    </w:p>
    <w:p w14:paraId="11D3C669">
      <w:pPr>
        <w:rPr>
          <w:rFonts w:asciiTheme="minorHAnsi" w:hAnsiTheme="minorHAnsi" w:eastAsiaTheme="minorEastAsia"/>
          <w:szCs w:val="22"/>
        </w:rPr>
      </w:pPr>
    </w:p>
    <w:p w14:paraId="046F6438">
      <w:pPr>
        <w:pStyle w:val="70"/>
        <w:numPr>
          <w:ilvl w:val="0"/>
          <w:numId w:val="109"/>
        </w:numPr>
        <w:rPr>
          <w:szCs w:val="21"/>
        </w:rPr>
      </w:pPr>
      <w:r>
        <w:rPr>
          <w:szCs w:val="21"/>
        </w:rPr>
        <w:t>资产处置收益</w:t>
      </w:r>
    </w:p>
    <w:sdt>
      <w:sdtPr>
        <w:rPr>
          <w:bCs/>
        </w:rPr>
        <w:alias w:val="是否适用：资产处置收益[双击切换]"/>
        <w:tag w:val="_GBC_b76400e6a673420c9bc522936e82c207"/>
        <w:id w:val="716402163"/>
        <w:lock w:val="contentLocked"/>
        <w:placeholder>
          <w:docPart w:val="GBC22222222222222222222222222222"/>
        </w:placeholder>
      </w:sdtPr>
      <w:sdtEndPr>
        <w:rPr>
          <w:bCs/>
        </w:rPr>
      </w:sdtEndPr>
      <w:sdtContent>
        <w:p w14:paraId="4064630E">
          <w:pPr>
            <w:rPr>
              <w:rFonts w:hint="eastAsia"/>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6638D817">
      <w:pPr>
        <w:pStyle w:val="109"/>
        <w:ind w:left="420" w:firstLine="0" w:firstLineChars="0"/>
        <w:jc w:val="right"/>
        <w:rPr>
          <w:bCs/>
        </w:rPr>
      </w:pPr>
      <w:r>
        <w:rPr>
          <w:bCs/>
        </w:rPr>
        <w:t>单位：</w:t>
      </w:r>
      <w:sdt>
        <w:sdtPr>
          <w:rPr>
            <w:bCs/>
          </w:rPr>
          <w:alias w:val="单位：资产处置收益明细"/>
          <w:tag w:val="_GBC_7ec9558ba3654efb8bffe62787e178bb"/>
          <w:id w:val="16339834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bCs/>
          </w:rPr>
        </w:sdtEndPr>
        <w:sdtContent>
          <w:r>
            <w:rPr>
              <w:bCs/>
            </w:rPr>
            <w:t>元</w:t>
          </w:r>
        </w:sdtContent>
      </w:sdt>
      <w:r>
        <w:rPr>
          <w:bCs/>
        </w:rPr>
        <w:t xml:space="preserve">  币种：</w:t>
      </w:r>
      <w:sdt>
        <w:sdtPr>
          <w:rPr>
            <w:bCs/>
          </w:rPr>
          <w:alias w:val="币种：资产处置收益明细"/>
          <w:tag w:val="_GBC_6a67bd424d2842be9fe48ecebd5d6f35"/>
          <w:id w:val="8596977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bCs/>
          </w:rPr>
        </w:sdtEndPr>
        <w:sdtContent>
          <w:r>
            <w:rPr>
              <w:bCs/>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9"/>
        <w:gridCol w:w="2942"/>
        <w:gridCol w:w="2942"/>
      </w:tblGrid>
      <w:tr w14:paraId="3D81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6aa248f59d784f95a8d1e935bd71e05e"/>
            <w:id w:val="-1735926374"/>
          </w:sdtPr>
          <w:sdtEndPr>
            <w:rPr>
              <w:rFonts w:ascii="Arial Narrow" w:hAnsi="Arial Narrow" w:eastAsiaTheme="minorEastAsia"/>
              <w:szCs w:val="21"/>
            </w:rPr>
          </w:sdtEndPr>
          <w:sdtContent>
            <w:tc>
              <w:tcPr>
                <w:tcW w:w="1666" w:type="pct"/>
                <w:shd w:val="clear" w:color="auto" w:fill="auto"/>
              </w:tcPr>
              <w:p w14:paraId="2DC6D98D">
                <w:pPr>
                  <w:widowControl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130aaf0b75144f7d943c5d780cfc1b6b"/>
            <w:id w:val="-822191312"/>
          </w:sdtPr>
          <w:sdtEndPr>
            <w:rPr>
              <w:rFonts w:ascii="Arial Narrow" w:hAnsi="Arial Narrow" w:eastAsiaTheme="minorEastAsia"/>
              <w:szCs w:val="21"/>
            </w:rPr>
          </w:sdtEndPr>
          <w:sdtContent>
            <w:tc>
              <w:tcPr>
                <w:tcW w:w="1667" w:type="pct"/>
                <w:shd w:val="clear" w:color="auto" w:fill="auto"/>
              </w:tcPr>
              <w:p w14:paraId="4094BEFA">
                <w:pPr>
                  <w:widowControl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482f220f08ce46dc8e769190f957eec7"/>
            <w:id w:val="-1646262235"/>
          </w:sdtPr>
          <w:sdtEndPr>
            <w:rPr>
              <w:rFonts w:ascii="Arial Narrow" w:hAnsi="Arial Narrow" w:eastAsiaTheme="minorEastAsia"/>
              <w:szCs w:val="21"/>
            </w:rPr>
          </w:sdtEndPr>
          <w:sdtContent>
            <w:tc>
              <w:tcPr>
                <w:tcW w:w="1667" w:type="pct"/>
                <w:shd w:val="clear" w:color="auto" w:fill="auto"/>
              </w:tcPr>
              <w:p w14:paraId="256F64F9">
                <w:pPr>
                  <w:widowControl w:val="0"/>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1D3D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28DA5DAF">
            <w:pPr>
              <w:widowControl w:val="0"/>
              <w:rPr>
                <w:rFonts w:ascii="Arial Narrow" w:hAnsi="Arial Narrow" w:eastAsiaTheme="minorEastAsia"/>
                <w:szCs w:val="21"/>
              </w:rPr>
            </w:pPr>
            <w:r>
              <w:rPr>
                <w:rFonts w:ascii="Arial Narrow" w:hAnsi="Arial Narrow" w:eastAsiaTheme="minorEastAsia"/>
                <w:color w:val="000000"/>
                <w:szCs w:val="21"/>
              </w:rPr>
              <w:t>固定资产处置利得或损失</w:t>
            </w:r>
          </w:p>
        </w:tc>
        <w:tc>
          <w:tcPr>
            <w:tcW w:w="1667" w:type="pct"/>
            <w:shd w:val="clear" w:color="auto" w:fill="auto"/>
            <w:vAlign w:val="center"/>
          </w:tcPr>
          <w:p w14:paraId="5C48CBA1">
            <w:pPr>
              <w:widowControl w:val="0"/>
              <w:jc w:val="right"/>
              <w:rPr>
                <w:rFonts w:ascii="Arial Narrow" w:hAnsi="Arial Narrow" w:eastAsiaTheme="minorEastAsia"/>
                <w:szCs w:val="21"/>
              </w:rPr>
            </w:pPr>
            <w:r>
              <w:rPr>
                <w:rFonts w:ascii="Arial Narrow" w:hAnsi="Arial Narrow" w:eastAsiaTheme="minorEastAsia"/>
                <w:color w:val="000000"/>
                <w:szCs w:val="21"/>
              </w:rPr>
              <w:t>146,282.44</w:t>
            </w:r>
          </w:p>
        </w:tc>
        <w:tc>
          <w:tcPr>
            <w:tcW w:w="1667" w:type="pct"/>
            <w:shd w:val="clear" w:color="auto" w:fill="auto"/>
            <w:vAlign w:val="center"/>
          </w:tcPr>
          <w:p w14:paraId="6FB8BD25">
            <w:pPr>
              <w:widowControl w:val="0"/>
              <w:jc w:val="right"/>
              <w:rPr>
                <w:rFonts w:ascii="Arial Narrow" w:hAnsi="Arial Narrow" w:eastAsiaTheme="minorEastAsia"/>
                <w:szCs w:val="21"/>
              </w:rPr>
            </w:pPr>
            <w:r>
              <w:rPr>
                <w:rFonts w:ascii="Arial Narrow" w:hAnsi="Arial Narrow" w:eastAsiaTheme="minorEastAsia"/>
                <w:color w:val="000000"/>
                <w:szCs w:val="21"/>
              </w:rPr>
              <w:t>967,885.98</w:t>
            </w:r>
          </w:p>
        </w:tc>
      </w:tr>
      <w:tr w14:paraId="1665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4BB58979">
            <w:pPr>
              <w:widowControl w:val="0"/>
              <w:rPr>
                <w:rFonts w:ascii="Arial Narrow" w:hAnsi="Arial Narrow" w:eastAsiaTheme="minorEastAsia"/>
                <w:szCs w:val="21"/>
              </w:rPr>
            </w:pPr>
            <w:r>
              <w:rPr>
                <w:rFonts w:ascii="Arial Narrow" w:hAnsi="Arial Narrow" w:eastAsiaTheme="minorEastAsia"/>
                <w:color w:val="000000"/>
                <w:szCs w:val="21"/>
              </w:rPr>
              <w:t>无形资产处置利得或损失</w:t>
            </w:r>
          </w:p>
        </w:tc>
        <w:tc>
          <w:tcPr>
            <w:tcW w:w="1667" w:type="pct"/>
            <w:shd w:val="clear" w:color="auto" w:fill="auto"/>
            <w:vAlign w:val="center"/>
          </w:tcPr>
          <w:p w14:paraId="0E67CFEF">
            <w:pPr>
              <w:widowControl w:val="0"/>
              <w:jc w:val="right"/>
              <w:rPr>
                <w:rFonts w:ascii="Arial Narrow" w:hAnsi="Arial Narrow" w:eastAsiaTheme="minorEastAsia"/>
                <w:szCs w:val="21"/>
              </w:rPr>
            </w:pPr>
            <w:r>
              <w:rPr>
                <w:rFonts w:ascii="Arial Narrow" w:hAnsi="Arial Narrow" w:eastAsiaTheme="minorEastAsia"/>
                <w:color w:val="000000"/>
                <w:szCs w:val="21"/>
              </w:rPr>
              <w:t>200,822.27</w:t>
            </w:r>
          </w:p>
        </w:tc>
        <w:tc>
          <w:tcPr>
            <w:tcW w:w="1667" w:type="pct"/>
            <w:shd w:val="clear" w:color="auto" w:fill="auto"/>
            <w:vAlign w:val="center"/>
          </w:tcPr>
          <w:p w14:paraId="3FA0C9A8">
            <w:pPr>
              <w:widowControl w:val="0"/>
              <w:jc w:val="right"/>
              <w:rPr>
                <w:rFonts w:ascii="Arial Narrow" w:hAnsi="Arial Narrow" w:eastAsiaTheme="minorEastAsia"/>
                <w:szCs w:val="21"/>
              </w:rPr>
            </w:pPr>
            <w:r>
              <w:rPr>
                <w:rFonts w:ascii="Arial Narrow" w:hAnsi="Arial Narrow" w:eastAsiaTheme="minorEastAsia"/>
                <w:color w:val="000000"/>
                <w:szCs w:val="21"/>
              </w:rPr>
              <w:t>1,546,567.60</w:t>
            </w:r>
          </w:p>
        </w:tc>
      </w:tr>
      <w:tr w14:paraId="02D0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tcPr>
          <w:p w14:paraId="6FD880B1">
            <w:pPr>
              <w:widowControl w:val="0"/>
              <w:jc w:val="center"/>
              <w:rPr>
                <w:rFonts w:ascii="Arial Narrow" w:hAnsi="Arial Narrow" w:eastAsiaTheme="minorEastAsia"/>
                <w:szCs w:val="21"/>
              </w:rPr>
            </w:pPr>
            <w:r>
              <w:rPr>
                <w:rFonts w:ascii="Arial Narrow" w:hAnsi="Arial Narrow" w:eastAsiaTheme="minorEastAsia"/>
                <w:szCs w:val="21"/>
              </w:rPr>
              <w:t>合计</w:t>
            </w:r>
          </w:p>
        </w:tc>
        <w:tc>
          <w:tcPr>
            <w:tcW w:w="1667" w:type="pct"/>
            <w:shd w:val="clear" w:color="auto" w:fill="auto"/>
            <w:vAlign w:val="center"/>
          </w:tcPr>
          <w:p w14:paraId="5FCE0348">
            <w:pPr>
              <w:widowControl w:val="0"/>
              <w:jc w:val="right"/>
              <w:rPr>
                <w:rFonts w:ascii="Arial Narrow" w:hAnsi="Arial Narrow" w:eastAsiaTheme="minorEastAsia"/>
                <w:szCs w:val="21"/>
              </w:rPr>
            </w:pPr>
            <w:r>
              <w:rPr>
                <w:rFonts w:ascii="Arial Narrow" w:hAnsi="Arial Narrow" w:eastAsiaTheme="minorEastAsia"/>
                <w:color w:val="000000"/>
                <w:szCs w:val="21"/>
              </w:rPr>
              <w:t>347,104.71</w:t>
            </w:r>
          </w:p>
        </w:tc>
        <w:tc>
          <w:tcPr>
            <w:tcW w:w="1667" w:type="pct"/>
            <w:shd w:val="clear" w:color="auto" w:fill="auto"/>
            <w:vAlign w:val="center"/>
          </w:tcPr>
          <w:p w14:paraId="7D60BA18">
            <w:pPr>
              <w:widowControl w:val="0"/>
              <w:jc w:val="right"/>
              <w:rPr>
                <w:rFonts w:ascii="Arial Narrow" w:hAnsi="Arial Narrow" w:eastAsiaTheme="minorEastAsia"/>
                <w:szCs w:val="21"/>
              </w:rPr>
            </w:pPr>
            <w:r>
              <w:rPr>
                <w:rFonts w:ascii="Arial Narrow" w:hAnsi="Arial Narrow" w:eastAsiaTheme="minorEastAsia"/>
                <w:color w:val="000000"/>
                <w:szCs w:val="21"/>
              </w:rPr>
              <w:t>2,514,453.58</w:t>
            </w:r>
          </w:p>
        </w:tc>
      </w:tr>
    </w:tbl>
    <w:p w14:paraId="04C9AB8E">
      <w:pPr>
        <w:rPr>
          <w:rFonts w:hint="eastAsia"/>
        </w:rPr>
      </w:pPr>
      <w:r>
        <w:rPr>
          <w:rFonts w:hint="eastAsia"/>
        </w:rPr>
        <w:t>其他说明：</w:t>
      </w:r>
    </w:p>
    <w:sdt>
      <w:sdtPr>
        <w:alias w:val="资产处置收益其他说明"/>
        <w:tag w:val="_GBC_a5d14cbbaa9b4b96b1c008693dadc2d6"/>
        <w:id w:val="-1322884131"/>
        <w:placeholder>
          <w:docPart w:val="GBC22222222222222222222222222222"/>
        </w:placeholder>
      </w:sdtPr>
      <w:sdtContent>
        <w:p w14:paraId="47C717E4">
          <w:pPr>
            <w:rPr>
              <w:rFonts w:hint="eastAsia"/>
            </w:rPr>
          </w:pPr>
          <w:r>
            <w:rPr>
              <w:rFonts w:hint="eastAsia"/>
            </w:rPr>
            <w:t>无</w:t>
          </w:r>
        </w:p>
      </w:sdtContent>
    </w:sdt>
    <w:p w14:paraId="3BEC643B">
      <w:pPr>
        <w:autoSpaceDE w:val="0"/>
        <w:autoSpaceDN w:val="0"/>
        <w:adjustRightInd w:val="0"/>
        <w:rPr>
          <w:rFonts w:hint="eastAsia"/>
          <w:szCs w:val="21"/>
        </w:rPr>
      </w:pPr>
    </w:p>
    <w:p w14:paraId="76CDF0E4">
      <w:pPr>
        <w:pStyle w:val="70"/>
        <w:numPr>
          <w:ilvl w:val="0"/>
          <w:numId w:val="109"/>
        </w:numPr>
        <w:rPr>
          <w:szCs w:val="21"/>
        </w:rPr>
      </w:pPr>
      <w:r>
        <w:rPr>
          <w:szCs w:val="21"/>
        </w:rPr>
        <w:t>营业外收入</w:t>
      </w:r>
    </w:p>
    <w:p w14:paraId="559F4347">
      <w:pPr>
        <w:rPr>
          <w:rFonts w:hint="eastAsia"/>
        </w:rPr>
      </w:pPr>
      <w:r>
        <w:rPr>
          <w:rFonts w:hint="eastAsia"/>
        </w:rPr>
        <w:t>营业外收入情况</w:t>
      </w:r>
    </w:p>
    <w:sdt>
      <w:sdtPr>
        <w:rPr>
          <w:rFonts w:hint="eastAsia"/>
        </w:rPr>
        <w:alias w:val="是否适用：营业外收入情况 [双击切换]"/>
        <w:tag w:val="_GBC_4aec8b65d0e744aaaddac8859ae249bc"/>
        <w:id w:val="2133668487"/>
        <w:placeholder>
          <w:docPart w:val="GBC22222222222222222222222222222"/>
        </w:placeholder>
      </w:sdtPr>
      <w:sdtEndPr>
        <w:rPr>
          <w:rFonts w:hint="eastAsia"/>
        </w:rPr>
      </w:sdtEndPr>
      <w:sdtContent>
        <w:p w14:paraId="59E4DCB9">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3BF48E8F">
      <w:pPr>
        <w:jc w:val="right"/>
        <w:rPr>
          <w:rFonts w:hint="eastAsia"/>
        </w:rPr>
      </w:pPr>
      <w:r>
        <w:rPr>
          <w:rFonts w:hint="eastAsia"/>
        </w:rPr>
        <w:t>单位：</w:t>
      </w:r>
      <w:sdt>
        <w:sdtPr>
          <w:rPr>
            <w:rFonts w:hint="eastAsia"/>
          </w:rPr>
          <w:alias w:val="单位：财务附注：营业外收入"/>
          <w:tag w:val="_GBC_79d3fe1c29e746e7b2a9a9acfcc43449"/>
          <w:id w:val="-10411280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13686025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1983"/>
        <w:gridCol w:w="1892"/>
        <w:gridCol w:w="2259"/>
      </w:tblGrid>
      <w:tr w14:paraId="5CDA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1b52b1902e1443609ba6891d7076aebe"/>
            <w:id w:val="-939903818"/>
          </w:sdtPr>
          <w:sdtEndPr>
            <w:rPr>
              <w:rFonts w:ascii="Arial Narrow" w:hAnsi="Arial Narrow" w:eastAsiaTheme="minorEastAsia"/>
              <w:szCs w:val="21"/>
            </w:rPr>
          </w:sdtEndPr>
          <w:sdtContent>
            <w:tc>
              <w:tcPr>
                <w:tcW w:w="1524" w:type="pct"/>
                <w:tcBorders>
                  <w:top w:val="single" w:color="auto" w:sz="4" w:space="0"/>
                  <w:left w:val="single" w:color="auto" w:sz="4" w:space="0"/>
                  <w:bottom w:val="single" w:color="auto" w:sz="4" w:space="0"/>
                  <w:right w:val="single" w:color="auto" w:sz="4" w:space="0"/>
                </w:tcBorders>
                <w:vAlign w:val="center"/>
              </w:tcPr>
              <w:p w14:paraId="300DC643">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9dc87bd465124a2289f545f76d28c96c"/>
            <w:id w:val="1809967633"/>
          </w:sdtPr>
          <w:sdtEndPr>
            <w:rPr>
              <w:rFonts w:ascii="Arial Narrow" w:hAnsi="Arial Narrow" w:eastAsiaTheme="minorEastAsia"/>
              <w:szCs w:val="21"/>
            </w:rPr>
          </w:sdtEndPr>
          <w:sdtContent>
            <w:tc>
              <w:tcPr>
                <w:tcW w:w="1124" w:type="pct"/>
                <w:tcBorders>
                  <w:top w:val="single" w:color="auto" w:sz="4" w:space="0"/>
                  <w:left w:val="single" w:color="auto" w:sz="4" w:space="0"/>
                  <w:bottom w:val="single" w:color="auto" w:sz="4" w:space="0"/>
                  <w:right w:val="single" w:color="auto" w:sz="4" w:space="0"/>
                </w:tcBorders>
                <w:vAlign w:val="center"/>
              </w:tcPr>
              <w:p w14:paraId="1B7BC8AA">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e1b91f5db91a439083c1f9a1b7d17ef9"/>
            <w:id w:val="-316738554"/>
          </w:sdtPr>
          <w:sdtEndPr>
            <w:rPr>
              <w:rFonts w:ascii="Arial Narrow" w:hAnsi="Arial Narrow" w:eastAsiaTheme="minorEastAsia"/>
              <w:szCs w:val="21"/>
            </w:rPr>
          </w:sdtEndPr>
          <w:sdtContent>
            <w:tc>
              <w:tcPr>
                <w:tcW w:w="1072" w:type="pct"/>
                <w:tcBorders>
                  <w:top w:val="single" w:color="auto" w:sz="4" w:space="0"/>
                  <w:left w:val="single" w:color="auto" w:sz="4" w:space="0"/>
                  <w:bottom w:val="single" w:color="auto" w:sz="4" w:space="0"/>
                  <w:right w:val="single" w:color="auto" w:sz="4" w:space="0"/>
                </w:tcBorders>
                <w:vAlign w:val="center"/>
              </w:tcPr>
              <w:p w14:paraId="76CDF0CE">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上期发生额</w:t>
                </w:r>
              </w:p>
            </w:tc>
          </w:sdtContent>
        </w:sdt>
        <w:sdt>
          <w:sdtPr>
            <w:rPr>
              <w:rFonts w:ascii="Arial Narrow" w:hAnsi="Arial Narrow" w:eastAsiaTheme="minorEastAsia"/>
              <w:szCs w:val="21"/>
            </w:rPr>
            <w:tag w:val="_PLD_db1c9e08e7ea407889a350e8451d2848"/>
            <w:id w:val="-435829571"/>
          </w:sdtPr>
          <w:sdtEndPr>
            <w:rPr>
              <w:rFonts w:ascii="Arial Narrow" w:hAnsi="Arial Narrow" w:eastAsiaTheme="minorEastAsia"/>
              <w:szCs w:val="21"/>
            </w:rPr>
          </w:sdtEndPr>
          <w:sdtContent>
            <w:tc>
              <w:tcPr>
                <w:tcW w:w="1280" w:type="pct"/>
                <w:tcBorders>
                  <w:top w:val="single" w:color="auto" w:sz="4" w:space="0"/>
                  <w:left w:val="single" w:color="auto" w:sz="4" w:space="0"/>
                  <w:bottom w:val="single" w:color="auto" w:sz="4" w:space="0"/>
                  <w:right w:val="single" w:color="auto" w:sz="4" w:space="0"/>
                </w:tcBorders>
                <w:vAlign w:val="center"/>
              </w:tcPr>
              <w:p w14:paraId="559C00E0">
                <w:pPr>
                  <w:autoSpaceDE w:val="0"/>
                  <w:autoSpaceDN w:val="0"/>
                  <w:adjustRightInd w:val="0"/>
                  <w:jc w:val="center"/>
                  <w:rPr>
                    <w:rFonts w:ascii="Arial Narrow" w:hAnsi="Arial Narrow" w:eastAsiaTheme="minorEastAsia"/>
                    <w:color w:val="FF0000"/>
                    <w:szCs w:val="21"/>
                  </w:rPr>
                </w:pPr>
                <w:r>
                  <w:rPr>
                    <w:rFonts w:ascii="Arial Narrow" w:hAnsi="Arial Narrow" w:eastAsiaTheme="minorEastAsia"/>
                    <w:szCs w:val="21"/>
                  </w:rPr>
                  <w:t>计入当期非经常性损益的金额</w:t>
                </w:r>
              </w:p>
            </w:tc>
          </w:sdtContent>
        </w:sdt>
      </w:tr>
      <w:tr w14:paraId="4EF5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44F65022">
            <w:pPr>
              <w:autoSpaceDE w:val="0"/>
              <w:autoSpaceDN w:val="0"/>
              <w:adjustRightInd w:val="0"/>
              <w:rPr>
                <w:rFonts w:ascii="Arial Narrow" w:hAnsi="Arial Narrow" w:eastAsiaTheme="minorEastAsia"/>
                <w:szCs w:val="21"/>
              </w:rPr>
            </w:pPr>
            <w:r>
              <w:rPr>
                <w:rFonts w:ascii="Arial Narrow" w:hAnsi="Arial Narrow" w:eastAsiaTheme="minorEastAsia"/>
                <w:szCs w:val="21"/>
              </w:rPr>
              <w:t>非流动资产处置利得合计</w:t>
            </w:r>
          </w:p>
        </w:tc>
        <w:tc>
          <w:tcPr>
            <w:tcW w:w="1124" w:type="pct"/>
            <w:tcBorders>
              <w:top w:val="single" w:color="auto" w:sz="4" w:space="0"/>
              <w:left w:val="single" w:color="auto" w:sz="4" w:space="0"/>
              <w:bottom w:val="single" w:color="auto" w:sz="4" w:space="0"/>
              <w:right w:val="single" w:color="auto" w:sz="4" w:space="0"/>
            </w:tcBorders>
            <w:vAlign w:val="center"/>
          </w:tcPr>
          <w:p w14:paraId="386CF441">
            <w:pPr>
              <w:jc w:val="right"/>
              <w:rPr>
                <w:rFonts w:ascii="Arial Narrow" w:hAnsi="Arial Narrow" w:eastAsiaTheme="minorEastAsia"/>
                <w:szCs w:val="21"/>
              </w:rPr>
            </w:pPr>
            <w:r>
              <w:rPr>
                <w:rFonts w:ascii="Arial Narrow" w:hAnsi="Arial Narrow" w:eastAsiaTheme="minorEastAsia"/>
                <w:color w:val="000000"/>
                <w:szCs w:val="21"/>
              </w:rPr>
              <w:t>965,093.78</w:t>
            </w:r>
          </w:p>
        </w:tc>
        <w:tc>
          <w:tcPr>
            <w:tcW w:w="1072" w:type="pct"/>
            <w:tcBorders>
              <w:top w:val="single" w:color="auto" w:sz="4" w:space="0"/>
              <w:left w:val="single" w:color="auto" w:sz="4" w:space="0"/>
              <w:bottom w:val="single" w:color="auto" w:sz="4" w:space="0"/>
              <w:right w:val="single" w:color="auto" w:sz="4" w:space="0"/>
            </w:tcBorders>
            <w:vAlign w:val="center"/>
          </w:tcPr>
          <w:p w14:paraId="46E33B87">
            <w:pPr>
              <w:jc w:val="right"/>
              <w:rPr>
                <w:rFonts w:ascii="Arial Narrow" w:hAnsi="Arial Narrow" w:eastAsiaTheme="minorEastAsia"/>
                <w:szCs w:val="21"/>
              </w:rPr>
            </w:pPr>
            <w:r>
              <w:rPr>
                <w:rFonts w:ascii="Arial Narrow" w:hAnsi="Arial Narrow" w:eastAsiaTheme="minorEastAsia"/>
                <w:color w:val="000000"/>
                <w:szCs w:val="21"/>
              </w:rPr>
              <w:t>734,070.92</w:t>
            </w:r>
          </w:p>
        </w:tc>
        <w:tc>
          <w:tcPr>
            <w:tcW w:w="1280" w:type="pct"/>
            <w:tcBorders>
              <w:top w:val="single" w:color="auto" w:sz="4" w:space="0"/>
              <w:left w:val="single" w:color="auto" w:sz="4" w:space="0"/>
              <w:bottom w:val="single" w:color="auto" w:sz="4" w:space="0"/>
              <w:right w:val="single" w:color="auto" w:sz="4" w:space="0"/>
            </w:tcBorders>
            <w:vAlign w:val="center"/>
          </w:tcPr>
          <w:p w14:paraId="166F82B0">
            <w:pPr>
              <w:autoSpaceDE w:val="0"/>
              <w:autoSpaceDN w:val="0"/>
              <w:adjustRightInd w:val="0"/>
              <w:jc w:val="right"/>
              <w:rPr>
                <w:rFonts w:ascii="Arial Narrow" w:hAnsi="Arial Narrow" w:eastAsiaTheme="minorEastAsia"/>
                <w:szCs w:val="21"/>
                <w:highlight w:val="yellow"/>
              </w:rPr>
            </w:pPr>
            <w:r>
              <w:rPr>
                <w:rFonts w:ascii="Arial Narrow" w:hAnsi="Arial Narrow" w:eastAsiaTheme="minorEastAsia"/>
                <w:color w:val="000000"/>
                <w:szCs w:val="21"/>
              </w:rPr>
              <w:t>965,093.78</w:t>
            </w:r>
          </w:p>
        </w:tc>
      </w:tr>
      <w:tr w14:paraId="62FF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32F85512">
            <w:pPr>
              <w:autoSpaceDE w:val="0"/>
              <w:autoSpaceDN w:val="0"/>
              <w:adjustRightInd w:val="0"/>
              <w:rPr>
                <w:rFonts w:ascii="Arial Narrow" w:hAnsi="Arial Narrow" w:eastAsiaTheme="minorEastAsia"/>
                <w:szCs w:val="21"/>
              </w:rPr>
            </w:pPr>
            <w:r>
              <w:rPr>
                <w:rFonts w:ascii="Arial Narrow" w:hAnsi="Arial Narrow" w:eastAsiaTheme="minorEastAsia"/>
                <w:szCs w:val="21"/>
              </w:rPr>
              <w:t>其中：固定资产处置利得</w:t>
            </w:r>
          </w:p>
        </w:tc>
        <w:tc>
          <w:tcPr>
            <w:tcW w:w="1124" w:type="pct"/>
            <w:tcBorders>
              <w:top w:val="single" w:color="auto" w:sz="4" w:space="0"/>
              <w:left w:val="single" w:color="auto" w:sz="4" w:space="0"/>
              <w:bottom w:val="single" w:color="auto" w:sz="4" w:space="0"/>
              <w:right w:val="single" w:color="auto" w:sz="4" w:space="0"/>
            </w:tcBorders>
            <w:vAlign w:val="center"/>
          </w:tcPr>
          <w:p w14:paraId="7BE45BC4">
            <w:pPr>
              <w:jc w:val="right"/>
              <w:rPr>
                <w:rFonts w:ascii="Arial Narrow" w:hAnsi="Arial Narrow" w:eastAsiaTheme="minorEastAsia"/>
                <w:szCs w:val="21"/>
              </w:rPr>
            </w:pPr>
            <w:r>
              <w:rPr>
                <w:rFonts w:ascii="Arial Narrow" w:hAnsi="Arial Narrow" w:eastAsiaTheme="minorEastAsia"/>
                <w:color w:val="000000"/>
                <w:szCs w:val="21"/>
              </w:rPr>
              <w:t>965,093.78</w:t>
            </w:r>
          </w:p>
        </w:tc>
        <w:tc>
          <w:tcPr>
            <w:tcW w:w="1072" w:type="pct"/>
            <w:tcBorders>
              <w:top w:val="single" w:color="auto" w:sz="4" w:space="0"/>
              <w:left w:val="single" w:color="auto" w:sz="4" w:space="0"/>
              <w:bottom w:val="single" w:color="auto" w:sz="4" w:space="0"/>
              <w:right w:val="single" w:color="auto" w:sz="4" w:space="0"/>
            </w:tcBorders>
            <w:vAlign w:val="center"/>
          </w:tcPr>
          <w:p w14:paraId="02A1724E">
            <w:pPr>
              <w:jc w:val="right"/>
              <w:rPr>
                <w:rFonts w:ascii="Arial Narrow" w:hAnsi="Arial Narrow" w:eastAsiaTheme="minorEastAsia"/>
                <w:szCs w:val="21"/>
              </w:rPr>
            </w:pPr>
            <w:r>
              <w:rPr>
                <w:rFonts w:ascii="Arial Narrow" w:hAnsi="Arial Narrow" w:eastAsiaTheme="minorEastAsia"/>
                <w:color w:val="000000"/>
                <w:szCs w:val="21"/>
              </w:rPr>
              <w:t>734,070.92</w:t>
            </w:r>
          </w:p>
        </w:tc>
        <w:tc>
          <w:tcPr>
            <w:tcW w:w="1280" w:type="pct"/>
            <w:tcBorders>
              <w:top w:val="single" w:color="auto" w:sz="4" w:space="0"/>
              <w:left w:val="single" w:color="auto" w:sz="4" w:space="0"/>
              <w:bottom w:val="single" w:color="auto" w:sz="4" w:space="0"/>
              <w:right w:val="single" w:color="auto" w:sz="4" w:space="0"/>
            </w:tcBorders>
            <w:vAlign w:val="center"/>
          </w:tcPr>
          <w:p w14:paraId="06AAD6CF">
            <w:pPr>
              <w:autoSpaceDE w:val="0"/>
              <w:autoSpaceDN w:val="0"/>
              <w:adjustRightInd w:val="0"/>
              <w:jc w:val="right"/>
              <w:rPr>
                <w:rFonts w:ascii="Arial Narrow" w:hAnsi="Arial Narrow" w:eastAsiaTheme="minorEastAsia"/>
                <w:szCs w:val="21"/>
                <w:highlight w:val="yellow"/>
              </w:rPr>
            </w:pPr>
            <w:r>
              <w:rPr>
                <w:rFonts w:ascii="Arial Narrow" w:hAnsi="Arial Narrow" w:eastAsiaTheme="minorEastAsia"/>
                <w:color w:val="000000"/>
                <w:szCs w:val="21"/>
              </w:rPr>
              <w:t>965,093.78</w:t>
            </w:r>
          </w:p>
        </w:tc>
      </w:tr>
      <w:tr w14:paraId="022B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117390C9">
            <w:pPr>
              <w:rPr>
                <w:rFonts w:ascii="Arial Narrow" w:hAnsi="Arial Narrow" w:eastAsiaTheme="minorEastAsia"/>
                <w:szCs w:val="21"/>
              </w:rPr>
            </w:pPr>
            <w:r>
              <w:rPr>
                <w:rFonts w:ascii="Arial Narrow" w:hAnsi="Arial Narrow" w:eastAsiaTheme="minorEastAsia"/>
                <w:color w:val="000000"/>
                <w:szCs w:val="21"/>
              </w:rPr>
              <w:t>违约赔偿收入</w:t>
            </w:r>
          </w:p>
        </w:tc>
        <w:tc>
          <w:tcPr>
            <w:tcW w:w="1124" w:type="pct"/>
            <w:tcBorders>
              <w:top w:val="single" w:color="auto" w:sz="4" w:space="0"/>
              <w:left w:val="single" w:color="auto" w:sz="4" w:space="0"/>
              <w:bottom w:val="single" w:color="auto" w:sz="4" w:space="0"/>
              <w:right w:val="single" w:color="auto" w:sz="4" w:space="0"/>
            </w:tcBorders>
            <w:vAlign w:val="center"/>
          </w:tcPr>
          <w:p w14:paraId="19861CA7">
            <w:pPr>
              <w:jc w:val="right"/>
              <w:rPr>
                <w:rFonts w:ascii="Arial Narrow" w:hAnsi="Arial Narrow" w:eastAsiaTheme="minorEastAsia"/>
                <w:szCs w:val="21"/>
              </w:rPr>
            </w:pPr>
            <w:r>
              <w:rPr>
                <w:rFonts w:ascii="Arial Narrow" w:hAnsi="Arial Narrow" w:eastAsiaTheme="minorEastAsia"/>
                <w:color w:val="000000"/>
                <w:szCs w:val="21"/>
              </w:rPr>
              <w:t>1,634,655.74</w:t>
            </w:r>
          </w:p>
        </w:tc>
        <w:tc>
          <w:tcPr>
            <w:tcW w:w="1072" w:type="pct"/>
            <w:tcBorders>
              <w:top w:val="single" w:color="auto" w:sz="4" w:space="0"/>
              <w:left w:val="single" w:color="auto" w:sz="4" w:space="0"/>
              <w:bottom w:val="single" w:color="auto" w:sz="4" w:space="0"/>
              <w:right w:val="single" w:color="auto" w:sz="4" w:space="0"/>
            </w:tcBorders>
            <w:vAlign w:val="center"/>
          </w:tcPr>
          <w:p w14:paraId="4905FDE5">
            <w:pPr>
              <w:jc w:val="right"/>
              <w:rPr>
                <w:rFonts w:ascii="Arial Narrow" w:hAnsi="Arial Narrow" w:eastAsiaTheme="minorEastAsia"/>
                <w:szCs w:val="21"/>
              </w:rPr>
            </w:pPr>
            <w:r>
              <w:rPr>
                <w:rFonts w:ascii="Arial Narrow" w:hAnsi="Arial Narrow" w:eastAsiaTheme="minorEastAsia"/>
                <w:color w:val="000000"/>
                <w:szCs w:val="21"/>
              </w:rPr>
              <w:t>5,983,834.71</w:t>
            </w:r>
          </w:p>
        </w:tc>
        <w:tc>
          <w:tcPr>
            <w:tcW w:w="1280" w:type="pct"/>
            <w:tcBorders>
              <w:top w:val="single" w:color="auto" w:sz="4" w:space="0"/>
              <w:left w:val="single" w:color="auto" w:sz="4" w:space="0"/>
              <w:bottom w:val="single" w:color="auto" w:sz="4" w:space="0"/>
              <w:right w:val="single" w:color="auto" w:sz="4" w:space="0"/>
            </w:tcBorders>
            <w:vAlign w:val="center"/>
          </w:tcPr>
          <w:p w14:paraId="05EA221F">
            <w:pPr>
              <w:jc w:val="right"/>
              <w:rPr>
                <w:rFonts w:ascii="Arial Narrow" w:hAnsi="Arial Narrow" w:eastAsiaTheme="minorEastAsia"/>
                <w:szCs w:val="21"/>
                <w:highlight w:val="yellow"/>
              </w:rPr>
            </w:pPr>
            <w:r>
              <w:rPr>
                <w:rFonts w:ascii="Arial Narrow" w:hAnsi="Arial Narrow" w:eastAsiaTheme="minorEastAsia"/>
                <w:color w:val="000000"/>
                <w:szCs w:val="21"/>
              </w:rPr>
              <w:t>1,634,655.74</w:t>
            </w:r>
          </w:p>
        </w:tc>
      </w:tr>
      <w:tr w14:paraId="1635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5F48258B">
            <w:pPr>
              <w:rPr>
                <w:rFonts w:ascii="Arial Narrow" w:hAnsi="Arial Narrow" w:eastAsiaTheme="minorEastAsia"/>
                <w:szCs w:val="21"/>
              </w:rPr>
            </w:pPr>
            <w:r>
              <w:rPr>
                <w:rFonts w:ascii="Arial Narrow" w:hAnsi="Arial Narrow" w:eastAsiaTheme="minorEastAsia"/>
                <w:color w:val="000000"/>
                <w:szCs w:val="21"/>
              </w:rPr>
              <w:t>无需支付的应付款</w:t>
            </w:r>
          </w:p>
        </w:tc>
        <w:tc>
          <w:tcPr>
            <w:tcW w:w="1124" w:type="pct"/>
            <w:tcBorders>
              <w:top w:val="single" w:color="auto" w:sz="4" w:space="0"/>
              <w:left w:val="single" w:color="auto" w:sz="4" w:space="0"/>
              <w:bottom w:val="single" w:color="auto" w:sz="4" w:space="0"/>
              <w:right w:val="single" w:color="auto" w:sz="4" w:space="0"/>
            </w:tcBorders>
            <w:vAlign w:val="center"/>
          </w:tcPr>
          <w:p w14:paraId="6DD52F4B">
            <w:pPr>
              <w:jc w:val="right"/>
              <w:rPr>
                <w:rFonts w:ascii="Arial Narrow" w:hAnsi="Arial Narrow" w:eastAsiaTheme="minorEastAsia"/>
                <w:szCs w:val="21"/>
              </w:rPr>
            </w:pPr>
            <w:r>
              <w:rPr>
                <w:rFonts w:ascii="Arial Narrow" w:hAnsi="Arial Narrow" w:eastAsiaTheme="minorEastAsia"/>
                <w:color w:val="000000"/>
                <w:szCs w:val="21"/>
              </w:rPr>
              <w:t>8,470,013.25</w:t>
            </w:r>
          </w:p>
        </w:tc>
        <w:tc>
          <w:tcPr>
            <w:tcW w:w="1072" w:type="pct"/>
            <w:tcBorders>
              <w:top w:val="single" w:color="auto" w:sz="4" w:space="0"/>
              <w:left w:val="single" w:color="auto" w:sz="4" w:space="0"/>
              <w:bottom w:val="single" w:color="auto" w:sz="4" w:space="0"/>
              <w:right w:val="single" w:color="auto" w:sz="4" w:space="0"/>
            </w:tcBorders>
            <w:vAlign w:val="center"/>
          </w:tcPr>
          <w:p w14:paraId="26843C5F">
            <w:pPr>
              <w:jc w:val="right"/>
              <w:rPr>
                <w:rFonts w:ascii="Arial Narrow" w:hAnsi="Arial Narrow" w:eastAsiaTheme="minorEastAsia"/>
                <w:szCs w:val="21"/>
              </w:rPr>
            </w:pPr>
            <w:r>
              <w:rPr>
                <w:rFonts w:ascii="Arial Narrow" w:hAnsi="Arial Narrow" w:eastAsiaTheme="minorEastAsia"/>
                <w:color w:val="000000"/>
                <w:szCs w:val="21"/>
              </w:rPr>
              <w:t>7,531,317.67</w:t>
            </w:r>
          </w:p>
        </w:tc>
        <w:tc>
          <w:tcPr>
            <w:tcW w:w="1280" w:type="pct"/>
            <w:tcBorders>
              <w:top w:val="single" w:color="auto" w:sz="4" w:space="0"/>
              <w:left w:val="single" w:color="auto" w:sz="4" w:space="0"/>
              <w:bottom w:val="single" w:color="auto" w:sz="4" w:space="0"/>
              <w:right w:val="single" w:color="auto" w:sz="4" w:space="0"/>
            </w:tcBorders>
            <w:vAlign w:val="center"/>
          </w:tcPr>
          <w:p w14:paraId="3A0CC02F">
            <w:pPr>
              <w:jc w:val="right"/>
              <w:rPr>
                <w:rFonts w:ascii="Arial Narrow" w:hAnsi="Arial Narrow" w:eastAsiaTheme="minorEastAsia"/>
                <w:szCs w:val="21"/>
                <w:highlight w:val="yellow"/>
              </w:rPr>
            </w:pPr>
            <w:r>
              <w:rPr>
                <w:rFonts w:ascii="Arial Narrow" w:hAnsi="Arial Narrow" w:eastAsiaTheme="minorEastAsia"/>
                <w:color w:val="000000"/>
                <w:szCs w:val="21"/>
              </w:rPr>
              <w:t>8,470,013.25</w:t>
            </w:r>
          </w:p>
        </w:tc>
      </w:tr>
      <w:tr w14:paraId="558C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0988A072">
            <w:pPr>
              <w:rPr>
                <w:rFonts w:ascii="Arial Narrow" w:hAnsi="Arial Narrow" w:eastAsiaTheme="minorEastAsia"/>
                <w:szCs w:val="21"/>
              </w:rPr>
            </w:pPr>
            <w:r>
              <w:rPr>
                <w:rFonts w:ascii="Arial Narrow" w:hAnsi="Arial Narrow" w:eastAsiaTheme="minorEastAsia"/>
                <w:color w:val="000000"/>
                <w:szCs w:val="21"/>
              </w:rPr>
              <w:t>罚没、罚款收入</w:t>
            </w:r>
          </w:p>
        </w:tc>
        <w:tc>
          <w:tcPr>
            <w:tcW w:w="1124" w:type="pct"/>
            <w:tcBorders>
              <w:top w:val="single" w:color="auto" w:sz="4" w:space="0"/>
              <w:left w:val="single" w:color="auto" w:sz="4" w:space="0"/>
              <w:bottom w:val="single" w:color="auto" w:sz="4" w:space="0"/>
              <w:right w:val="single" w:color="auto" w:sz="4" w:space="0"/>
            </w:tcBorders>
            <w:vAlign w:val="center"/>
          </w:tcPr>
          <w:p w14:paraId="597FF879">
            <w:pPr>
              <w:jc w:val="right"/>
              <w:rPr>
                <w:rFonts w:ascii="Arial Narrow" w:hAnsi="Arial Narrow" w:eastAsiaTheme="minorEastAsia"/>
                <w:szCs w:val="21"/>
              </w:rPr>
            </w:pPr>
            <w:r>
              <w:rPr>
                <w:rFonts w:ascii="Arial Narrow" w:hAnsi="Arial Narrow" w:eastAsiaTheme="minorEastAsia"/>
                <w:color w:val="000000"/>
                <w:szCs w:val="21"/>
              </w:rPr>
              <w:t>2,332,709.09</w:t>
            </w:r>
          </w:p>
        </w:tc>
        <w:tc>
          <w:tcPr>
            <w:tcW w:w="1072" w:type="pct"/>
            <w:tcBorders>
              <w:top w:val="single" w:color="auto" w:sz="4" w:space="0"/>
              <w:left w:val="single" w:color="auto" w:sz="4" w:space="0"/>
              <w:bottom w:val="single" w:color="auto" w:sz="4" w:space="0"/>
              <w:right w:val="single" w:color="auto" w:sz="4" w:space="0"/>
            </w:tcBorders>
            <w:vAlign w:val="center"/>
          </w:tcPr>
          <w:p w14:paraId="1D6C299A">
            <w:pPr>
              <w:jc w:val="right"/>
              <w:rPr>
                <w:rFonts w:ascii="Arial Narrow" w:hAnsi="Arial Narrow" w:eastAsiaTheme="minorEastAsia"/>
                <w:szCs w:val="21"/>
              </w:rPr>
            </w:pPr>
            <w:r>
              <w:rPr>
                <w:rFonts w:ascii="Arial Narrow" w:hAnsi="Arial Narrow" w:eastAsiaTheme="minorEastAsia"/>
                <w:color w:val="000000"/>
                <w:szCs w:val="21"/>
              </w:rPr>
              <w:t>415,361.20</w:t>
            </w:r>
          </w:p>
        </w:tc>
        <w:tc>
          <w:tcPr>
            <w:tcW w:w="1280" w:type="pct"/>
            <w:tcBorders>
              <w:top w:val="single" w:color="auto" w:sz="4" w:space="0"/>
              <w:left w:val="single" w:color="auto" w:sz="4" w:space="0"/>
              <w:bottom w:val="single" w:color="auto" w:sz="4" w:space="0"/>
              <w:right w:val="single" w:color="auto" w:sz="4" w:space="0"/>
            </w:tcBorders>
            <w:vAlign w:val="center"/>
          </w:tcPr>
          <w:p w14:paraId="5984C525">
            <w:pPr>
              <w:jc w:val="right"/>
              <w:rPr>
                <w:rFonts w:ascii="Arial Narrow" w:hAnsi="Arial Narrow" w:eastAsiaTheme="minorEastAsia"/>
                <w:szCs w:val="21"/>
                <w:highlight w:val="yellow"/>
              </w:rPr>
            </w:pPr>
            <w:r>
              <w:rPr>
                <w:rFonts w:ascii="Arial Narrow" w:hAnsi="Arial Narrow" w:eastAsiaTheme="minorEastAsia"/>
                <w:color w:val="000000"/>
                <w:szCs w:val="21"/>
              </w:rPr>
              <w:t>2,332,709.09</w:t>
            </w:r>
          </w:p>
        </w:tc>
      </w:tr>
      <w:tr w14:paraId="59CB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6115F299">
            <w:pPr>
              <w:rPr>
                <w:rFonts w:ascii="Arial Narrow" w:hAnsi="Arial Narrow" w:eastAsiaTheme="minorEastAsia"/>
                <w:szCs w:val="21"/>
              </w:rPr>
            </w:pPr>
            <w:r>
              <w:rPr>
                <w:rFonts w:ascii="Arial Narrow" w:hAnsi="Arial Narrow" w:eastAsiaTheme="minorEastAsia"/>
                <w:color w:val="000000"/>
                <w:szCs w:val="21"/>
              </w:rPr>
              <w:t>其他</w:t>
            </w:r>
          </w:p>
        </w:tc>
        <w:tc>
          <w:tcPr>
            <w:tcW w:w="1124" w:type="pct"/>
            <w:tcBorders>
              <w:top w:val="single" w:color="auto" w:sz="4" w:space="0"/>
              <w:left w:val="single" w:color="auto" w:sz="4" w:space="0"/>
              <w:bottom w:val="single" w:color="auto" w:sz="4" w:space="0"/>
              <w:right w:val="single" w:color="auto" w:sz="4" w:space="0"/>
            </w:tcBorders>
            <w:vAlign w:val="center"/>
          </w:tcPr>
          <w:p w14:paraId="2208C5E2">
            <w:pPr>
              <w:jc w:val="right"/>
              <w:rPr>
                <w:rFonts w:ascii="Arial Narrow" w:hAnsi="Arial Narrow" w:eastAsiaTheme="minorEastAsia"/>
                <w:szCs w:val="21"/>
              </w:rPr>
            </w:pPr>
            <w:r>
              <w:rPr>
                <w:rFonts w:ascii="Arial Narrow" w:hAnsi="Arial Narrow" w:eastAsiaTheme="minorEastAsia"/>
                <w:color w:val="000000"/>
                <w:szCs w:val="21"/>
              </w:rPr>
              <w:t>2,479,851.30</w:t>
            </w:r>
          </w:p>
        </w:tc>
        <w:tc>
          <w:tcPr>
            <w:tcW w:w="1072" w:type="pct"/>
            <w:tcBorders>
              <w:top w:val="single" w:color="auto" w:sz="4" w:space="0"/>
              <w:left w:val="single" w:color="auto" w:sz="4" w:space="0"/>
              <w:bottom w:val="single" w:color="auto" w:sz="4" w:space="0"/>
              <w:right w:val="single" w:color="auto" w:sz="4" w:space="0"/>
            </w:tcBorders>
            <w:vAlign w:val="center"/>
          </w:tcPr>
          <w:p w14:paraId="459C219A">
            <w:pPr>
              <w:jc w:val="right"/>
              <w:rPr>
                <w:rFonts w:ascii="Arial Narrow" w:hAnsi="Arial Narrow" w:eastAsiaTheme="minorEastAsia"/>
                <w:szCs w:val="21"/>
              </w:rPr>
            </w:pPr>
            <w:r>
              <w:rPr>
                <w:rFonts w:ascii="Arial Narrow" w:hAnsi="Arial Narrow" w:eastAsiaTheme="minorEastAsia"/>
                <w:color w:val="000000"/>
                <w:szCs w:val="21"/>
              </w:rPr>
              <w:t>3,639,218.25</w:t>
            </w:r>
          </w:p>
        </w:tc>
        <w:tc>
          <w:tcPr>
            <w:tcW w:w="1280" w:type="pct"/>
            <w:tcBorders>
              <w:top w:val="single" w:color="auto" w:sz="4" w:space="0"/>
              <w:left w:val="single" w:color="auto" w:sz="4" w:space="0"/>
              <w:bottom w:val="single" w:color="auto" w:sz="4" w:space="0"/>
              <w:right w:val="single" w:color="auto" w:sz="4" w:space="0"/>
            </w:tcBorders>
            <w:vAlign w:val="center"/>
          </w:tcPr>
          <w:p w14:paraId="11C1FB1F">
            <w:pPr>
              <w:jc w:val="right"/>
              <w:rPr>
                <w:rFonts w:ascii="Arial Narrow" w:hAnsi="Arial Narrow" w:eastAsiaTheme="minorEastAsia"/>
                <w:szCs w:val="21"/>
                <w:highlight w:val="yellow"/>
              </w:rPr>
            </w:pPr>
            <w:r>
              <w:rPr>
                <w:rFonts w:ascii="Arial Narrow" w:hAnsi="Arial Narrow" w:eastAsiaTheme="minorEastAsia"/>
                <w:color w:val="000000"/>
                <w:szCs w:val="21"/>
              </w:rPr>
              <w:t>2,479,851.30</w:t>
            </w:r>
          </w:p>
        </w:tc>
      </w:tr>
      <w:tr w14:paraId="492E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725975DA">
            <w:pPr>
              <w:jc w:val="center"/>
              <w:rPr>
                <w:rFonts w:ascii="Arial Narrow" w:hAnsi="Arial Narrow" w:eastAsiaTheme="minorEastAsia"/>
                <w:szCs w:val="21"/>
              </w:rPr>
            </w:pPr>
            <w:r>
              <w:rPr>
                <w:rFonts w:ascii="Arial Narrow" w:hAnsi="Arial Narrow" w:eastAsiaTheme="minorEastAsia"/>
                <w:szCs w:val="21"/>
              </w:rPr>
              <w:t>合计</w:t>
            </w:r>
          </w:p>
        </w:tc>
        <w:tc>
          <w:tcPr>
            <w:tcW w:w="1124" w:type="pct"/>
            <w:tcBorders>
              <w:top w:val="single" w:color="auto" w:sz="4" w:space="0"/>
              <w:left w:val="single" w:color="auto" w:sz="4" w:space="0"/>
              <w:bottom w:val="single" w:color="auto" w:sz="4" w:space="0"/>
              <w:right w:val="single" w:color="auto" w:sz="4" w:space="0"/>
            </w:tcBorders>
            <w:vAlign w:val="center"/>
          </w:tcPr>
          <w:p w14:paraId="6D0B25BA">
            <w:pPr>
              <w:jc w:val="right"/>
              <w:rPr>
                <w:rFonts w:ascii="Arial Narrow" w:hAnsi="Arial Narrow" w:eastAsiaTheme="minorEastAsia"/>
                <w:szCs w:val="21"/>
              </w:rPr>
            </w:pPr>
            <w:r>
              <w:rPr>
                <w:rFonts w:ascii="Arial Narrow" w:hAnsi="Arial Narrow" w:eastAsiaTheme="minorEastAsia"/>
                <w:color w:val="000000"/>
                <w:szCs w:val="21"/>
              </w:rPr>
              <w:t>15,882,323.16</w:t>
            </w:r>
          </w:p>
        </w:tc>
        <w:tc>
          <w:tcPr>
            <w:tcW w:w="1072" w:type="pct"/>
            <w:tcBorders>
              <w:top w:val="single" w:color="auto" w:sz="4" w:space="0"/>
              <w:left w:val="single" w:color="auto" w:sz="4" w:space="0"/>
              <w:bottom w:val="single" w:color="auto" w:sz="4" w:space="0"/>
              <w:right w:val="single" w:color="auto" w:sz="4" w:space="0"/>
            </w:tcBorders>
            <w:vAlign w:val="center"/>
          </w:tcPr>
          <w:p w14:paraId="5FB34263">
            <w:pPr>
              <w:jc w:val="right"/>
              <w:rPr>
                <w:rFonts w:ascii="Arial Narrow" w:hAnsi="Arial Narrow" w:eastAsiaTheme="minorEastAsia"/>
                <w:szCs w:val="21"/>
              </w:rPr>
            </w:pPr>
            <w:r>
              <w:rPr>
                <w:rFonts w:ascii="Arial Narrow" w:hAnsi="Arial Narrow" w:eastAsiaTheme="minorEastAsia"/>
                <w:color w:val="000000"/>
                <w:szCs w:val="21"/>
              </w:rPr>
              <w:t>18,303,802.75</w:t>
            </w:r>
          </w:p>
        </w:tc>
        <w:tc>
          <w:tcPr>
            <w:tcW w:w="1280" w:type="pct"/>
            <w:tcBorders>
              <w:top w:val="single" w:color="auto" w:sz="4" w:space="0"/>
              <w:left w:val="single" w:color="auto" w:sz="4" w:space="0"/>
              <w:bottom w:val="single" w:color="auto" w:sz="4" w:space="0"/>
              <w:right w:val="single" w:color="auto" w:sz="4" w:space="0"/>
            </w:tcBorders>
            <w:vAlign w:val="center"/>
          </w:tcPr>
          <w:p w14:paraId="7B06A681">
            <w:pPr>
              <w:autoSpaceDE w:val="0"/>
              <w:autoSpaceDN w:val="0"/>
              <w:adjustRightInd w:val="0"/>
              <w:jc w:val="right"/>
              <w:rPr>
                <w:rFonts w:ascii="Arial Narrow" w:hAnsi="Arial Narrow" w:eastAsiaTheme="minorEastAsia"/>
                <w:szCs w:val="21"/>
                <w:highlight w:val="yellow"/>
              </w:rPr>
            </w:pPr>
            <w:r>
              <w:rPr>
                <w:rFonts w:ascii="Arial Narrow" w:hAnsi="Arial Narrow" w:eastAsiaTheme="minorEastAsia"/>
                <w:color w:val="000000"/>
                <w:szCs w:val="21"/>
              </w:rPr>
              <w:t>15,882,323.16</w:t>
            </w:r>
          </w:p>
        </w:tc>
      </w:tr>
    </w:tbl>
    <w:p w14:paraId="1C04C294">
      <w:pPr>
        <w:rPr>
          <w:rFonts w:hint="eastAsia"/>
        </w:rPr>
      </w:pPr>
    </w:p>
    <w:p w14:paraId="7DA97371">
      <w:pPr>
        <w:spacing w:before="60" w:after="60" w:line="360" w:lineRule="exact"/>
        <w:rPr>
          <w:rFonts w:hint="eastAsia"/>
          <w:szCs w:val="21"/>
        </w:rPr>
      </w:pPr>
      <w:r>
        <w:rPr>
          <w:rFonts w:hint="eastAsia"/>
          <w:szCs w:val="21"/>
        </w:rPr>
        <w:t>其他说明：</w:t>
      </w:r>
    </w:p>
    <w:sdt>
      <w:sdtPr>
        <w:rPr>
          <w:szCs w:val="21"/>
        </w:rPr>
        <w:alias w:val="是否适用：营业外收入说明[双击切换]"/>
        <w:tag w:val="_GBC_746f9c9c9cab4c2a87c7913a430e2392"/>
        <w:id w:val="-182597090"/>
        <w:placeholder>
          <w:docPart w:val="GBC22222222222222222222222222222"/>
        </w:placeholder>
      </w:sdtPr>
      <w:sdtEndPr>
        <w:rPr>
          <w:szCs w:val="21"/>
        </w:rPr>
      </w:sdtEndPr>
      <w:sdtContent>
        <w:p w14:paraId="7443914F">
          <w:pPr>
            <w:spacing w:before="60" w:after="60" w:line="360" w:lineRule="exact"/>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F2A852C">
      <w:pPr>
        <w:rPr>
          <w:rFonts w:hint="eastAsia"/>
        </w:rPr>
      </w:pPr>
    </w:p>
    <w:p w14:paraId="7D43E463">
      <w:pPr>
        <w:pStyle w:val="70"/>
        <w:numPr>
          <w:ilvl w:val="0"/>
          <w:numId w:val="109"/>
        </w:numPr>
        <w:rPr>
          <w:szCs w:val="21"/>
        </w:rPr>
      </w:pPr>
      <w:r>
        <w:rPr>
          <w:szCs w:val="21"/>
        </w:rPr>
        <w:t>营业外支出</w:t>
      </w:r>
    </w:p>
    <w:sdt>
      <w:sdtPr>
        <w:rPr>
          <w:rFonts w:hint="eastAsia"/>
          <w:szCs w:val="21"/>
        </w:rPr>
        <w:alias w:val="是否适用：营业外支出[双击切换]"/>
        <w:tag w:val="_GBC_8e8d3e6e563742f48edf759d6034f4ce"/>
        <w:id w:val="1277915672"/>
        <w:placeholder>
          <w:docPart w:val="GBC22222222222222222222222222222"/>
        </w:placeholder>
      </w:sdtPr>
      <w:sdtEndPr>
        <w:rPr>
          <w:rFonts w:hint="eastAsia"/>
          <w:szCs w:val="21"/>
        </w:rPr>
      </w:sdtEndPr>
      <w:sdtContent>
        <w:p w14:paraId="309DB063">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C849AB6">
      <w:pPr>
        <w:jc w:val="right"/>
        <w:rPr>
          <w:rFonts w:hint="eastAsia"/>
          <w:szCs w:val="21"/>
        </w:rPr>
      </w:pPr>
      <w:r>
        <w:rPr>
          <w:rFonts w:hint="eastAsia"/>
          <w:szCs w:val="21"/>
        </w:rPr>
        <w:t>单位：</w:t>
      </w:r>
      <w:sdt>
        <w:sdtPr>
          <w:rPr>
            <w:rFonts w:hint="eastAsia"/>
            <w:szCs w:val="21"/>
          </w:rPr>
          <w:alias w:val="单位：财务附注：营业外支出"/>
          <w:tag w:val="_GBC_825ccc5a51fd47a4888bf19121bc88e6"/>
          <w:id w:val="13504560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8968909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1983"/>
        <w:gridCol w:w="1892"/>
        <w:gridCol w:w="2259"/>
      </w:tblGrid>
      <w:tr w14:paraId="189F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3e5b39f95fae41609c103f36a1017c54"/>
            <w:id w:val="993686699"/>
          </w:sdtPr>
          <w:sdtEndPr>
            <w:rPr>
              <w:rFonts w:ascii="Arial Narrow" w:hAnsi="Arial Narrow" w:eastAsiaTheme="minorEastAsia"/>
              <w:szCs w:val="21"/>
            </w:rPr>
          </w:sdtEndPr>
          <w:sdtContent>
            <w:tc>
              <w:tcPr>
                <w:tcW w:w="1524" w:type="pct"/>
                <w:tcBorders>
                  <w:top w:val="single" w:color="auto" w:sz="4" w:space="0"/>
                  <w:left w:val="single" w:color="auto" w:sz="4" w:space="0"/>
                  <w:bottom w:val="single" w:color="auto" w:sz="4" w:space="0"/>
                  <w:right w:val="single" w:color="auto" w:sz="4" w:space="0"/>
                </w:tcBorders>
                <w:vAlign w:val="center"/>
              </w:tcPr>
              <w:p w14:paraId="762FFC4D">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9ea5703e0d9641a1acf20638053e3dd5"/>
            <w:id w:val="701836387"/>
          </w:sdtPr>
          <w:sdtEndPr>
            <w:rPr>
              <w:rFonts w:ascii="Arial Narrow" w:hAnsi="Arial Narrow" w:eastAsiaTheme="minorEastAsia"/>
              <w:szCs w:val="21"/>
            </w:rPr>
          </w:sdtEndPr>
          <w:sdtContent>
            <w:tc>
              <w:tcPr>
                <w:tcW w:w="1124" w:type="pct"/>
                <w:tcBorders>
                  <w:top w:val="single" w:color="auto" w:sz="4" w:space="0"/>
                  <w:left w:val="single" w:color="auto" w:sz="4" w:space="0"/>
                  <w:bottom w:val="single" w:color="auto" w:sz="4" w:space="0"/>
                  <w:right w:val="single" w:color="auto" w:sz="4" w:space="0"/>
                </w:tcBorders>
                <w:vAlign w:val="center"/>
              </w:tcPr>
              <w:p w14:paraId="29EEFB0D">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27cbc4bb29594bcfa61154a0d46b4d20"/>
            <w:id w:val="836420327"/>
          </w:sdtPr>
          <w:sdtEndPr>
            <w:rPr>
              <w:rFonts w:ascii="Arial Narrow" w:hAnsi="Arial Narrow" w:eastAsiaTheme="minorEastAsia"/>
              <w:szCs w:val="21"/>
            </w:rPr>
          </w:sdtEndPr>
          <w:sdtContent>
            <w:tc>
              <w:tcPr>
                <w:tcW w:w="1072" w:type="pct"/>
                <w:tcBorders>
                  <w:top w:val="single" w:color="auto" w:sz="4" w:space="0"/>
                  <w:left w:val="single" w:color="auto" w:sz="4" w:space="0"/>
                  <w:bottom w:val="single" w:color="auto" w:sz="4" w:space="0"/>
                  <w:right w:val="single" w:color="auto" w:sz="4" w:space="0"/>
                </w:tcBorders>
                <w:vAlign w:val="center"/>
              </w:tcPr>
              <w:p w14:paraId="5021FCE9">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上期发生额</w:t>
                </w:r>
              </w:p>
            </w:tc>
          </w:sdtContent>
        </w:sdt>
        <w:sdt>
          <w:sdtPr>
            <w:rPr>
              <w:rFonts w:ascii="Arial Narrow" w:hAnsi="Arial Narrow" w:eastAsiaTheme="minorEastAsia"/>
              <w:szCs w:val="21"/>
            </w:rPr>
            <w:tag w:val="_PLD_cab5bf568f924fed9d087fb26b588481"/>
            <w:id w:val="1841035383"/>
          </w:sdtPr>
          <w:sdtEndPr>
            <w:rPr>
              <w:rFonts w:ascii="Arial Narrow" w:hAnsi="Arial Narrow" w:eastAsiaTheme="minorEastAsia"/>
              <w:szCs w:val="21"/>
            </w:rPr>
          </w:sdtEndPr>
          <w:sdtContent>
            <w:tc>
              <w:tcPr>
                <w:tcW w:w="1280" w:type="pct"/>
                <w:tcBorders>
                  <w:top w:val="single" w:color="auto" w:sz="4" w:space="0"/>
                  <w:left w:val="single" w:color="auto" w:sz="4" w:space="0"/>
                  <w:bottom w:val="single" w:color="auto" w:sz="4" w:space="0"/>
                  <w:right w:val="single" w:color="auto" w:sz="4" w:space="0"/>
                </w:tcBorders>
                <w:vAlign w:val="center"/>
              </w:tcPr>
              <w:p w14:paraId="42F052A8">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计入当期非经常性损益的金额</w:t>
                </w:r>
              </w:p>
            </w:tc>
          </w:sdtContent>
        </w:sdt>
      </w:tr>
      <w:tr w14:paraId="0875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466D4910">
            <w:pPr>
              <w:autoSpaceDE w:val="0"/>
              <w:autoSpaceDN w:val="0"/>
              <w:adjustRightInd w:val="0"/>
              <w:rPr>
                <w:rFonts w:ascii="Arial Narrow" w:hAnsi="Arial Narrow" w:eastAsiaTheme="minorEastAsia"/>
                <w:szCs w:val="21"/>
              </w:rPr>
            </w:pPr>
            <w:r>
              <w:rPr>
                <w:rFonts w:ascii="Arial Narrow" w:hAnsi="Arial Narrow" w:eastAsiaTheme="minorEastAsia"/>
                <w:szCs w:val="21"/>
              </w:rPr>
              <w:t>非流动资产处置损失合计</w:t>
            </w:r>
          </w:p>
        </w:tc>
        <w:tc>
          <w:tcPr>
            <w:tcW w:w="1124" w:type="pct"/>
            <w:tcBorders>
              <w:top w:val="single" w:color="auto" w:sz="4" w:space="0"/>
              <w:left w:val="single" w:color="auto" w:sz="4" w:space="0"/>
              <w:bottom w:val="single" w:color="auto" w:sz="4" w:space="0"/>
              <w:right w:val="single" w:color="auto" w:sz="4" w:space="0"/>
            </w:tcBorders>
            <w:vAlign w:val="center"/>
          </w:tcPr>
          <w:p w14:paraId="6998C3E6">
            <w:pPr>
              <w:jc w:val="right"/>
              <w:rPr>
                <w:rFonts w:ascii="Arial Narrow" w:hAnsi="Arial Narrow" w:eastAsiaTheme="minorEastAsia"/>
                <w:szCs w:val="21"/>
              </w:rPr>
            </w:pPr>
            <w:r>
              <w:rPr>
                <w:rFonts w:ascii="Arial Narrow" w:hAnsi="Arial Narrow" w:eastAsiaTheme="minorEastAsia"/>
                <w:color w:val="000000"/>
                <w:szCs w:val="21"/>
              </w:rPr>
              <w:t>432,874.17</w:t>
            </w:r>
          </w:p>
        </w:tc>
        <w:tc>
          <w:tcPr>
            <w:tcW w:w="1072" w:type="pct"/>
            <w:tcBorders>
              <w:top w:val="single" w:color="auto" w:sz="4" w:space="0"/>
              <w:left w:val="single" w:color="auto" w:sz="4" w:space="0"/>
              <w:bottom w:val="single" w:color="auto" w:sz="4" w:space="0"/>
              <w:right w:val="single" w:color="auto" w:sz="4" w:space="0"/>
            </w:tcBorders>
            <w:vAlign w:val="center"/>
          </w:tcPr>
          <w:p w14:paraId="24A04DA3">
            <w:pPr>
              <w:jc w:val="right"/>
              <w:rPr>
                <w:rFonts w:ascii="Arial Narrow" w:hAnsi="Arial Narrow" w:eastAsiaTheme="minorEastAsia"/>
                <w:szCs w:val="21"/>
              </w:rPr>
            </w:pPr>
            <w:r>
              <w:rPr>
                <w:rFonts w:ascii="Arial Narrow" w:hAnsi="Arial Narrow" w:eastAsiaTheme="minorEastAsia"/>
                <w:color w:val="000000"/>
                <w:szCs w:val="21"/>
              </w:rPr>
              <w:t>538,651.23</w:t>
            </w:r>
          </w:p>
        </w:tc>
        <w:tc>
          <w:tcPr>
            <w:tcW w:w="1280" w:type="pct"/>
            <w:tcBorders>
              <w:top w:val="single" w:color="auto" w:sz="4" w:space="0"/>
              <w:left w:val="single" w:color="auto" w:sz="4" w:space="0"/>
              <w:bottom w:val="single" w:color="auto" w:sz="4" w:space="0"/>
              <w:right w:val="single" w:color="auto" w:sz="4" w:space="0"/>
            </w:tcBorders>
            <w:vAlign w:val="center"/>
          </w:tcPr>
          <w:p w14:paraId="34CF1C1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432,874.17</w:t>
            </w:r>
          </w:p>
        </w:tc>
      </w:tr>
      <w:tr w14:paraId="6079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1B43A25A">
            <w:pPr>
              <w:autoSpaceDE w:val="0"/>
              <w:autoSpaceDN w:val="0"/>
              <w:adjustRightInd w:val="0"/>
              <w:rPr>
                <w:rFonts w:ascii="Arial Narrow" w:hAnsi="Arial Narrow" w:eastAsiaTheme="minorEastAsia"/>
                <w:szCs w:val="21"/>
              </w:rPr>
            </w:pPr>
            <w:r>
              <w:rPr>
                <w:rFonts w:ascii="Arial Narrow" w:hAnsi="Arial Narrow" w:eastAsiaTheme="minorEastAsia"/>
                <w:szCs w:val="21"/>
              </w:rPr>
              <w:t>其中：固定资产处置损失</w:t>
            </w:r>
          </w:p>
        </w:tc>
        <w:tc>
          <w:tcPr>
            <w:tcW w:w="1124" w:type="pct"/>
            <w:tcBorders>
              <w:top w:val="single" w:color="auto" w:sz="4" w:space="0"/>
              <w:left w:val="single" w:color="auto" w:sz="4" w:space="0"/>
              <w:bottom w:val="single" w:color="auto" w:sz="4" w:space="0"/>
              <w:right w:val="single" w:color="auto" w:sz="4" w:space="0"/>
            </w:tcBorders>
            <w:vAlign w:val="center"/>
          </w:tcPr>
          <w:p w14:paraId="0CB80A8D">
            <w:pPr>
              <w:jc w:val="right"/>
              <w:rPr>
                <w:rFonts w:ascii="Arial Narrow" w:hAnsi="Arial Narrow" w:eastAsiaTheme="minorEastAsia"/>
                <w:szCs w:val="21"/>
              </w:rPr>
            </w:pPr>
            <w:r>
              <w:rPr>
                <w:rFonts w:ascii="Arial Narrow" w:hAnsi="Arial Narrow" w:eastAsiaTheme="minorEastAsia"/>
                <w:color w:val="000000"/>
                <w:szCs w:val="21"/>
              </w:rPr>
              <w:t>432,874.17</w:t>
            </w:r>
          </w:p>
        </w:tc>
        <w:tc>
          <w:tcPr>
            <w:tcW w:w="1072" w:type="pct"/>
            <w:tcBorders>
              <w:top w:val="single" w:color="auto" w:sz="4" w:space="0"/>
              <w:left w:val="single" w:color="auto" w:sz="4" w:space="0"/>
              <w:bottom w:val="single" w:color="auto" w:sz="4" w:space="0"/>
              <w:right w:val="single" w:color="auto" w:sz="4" w:space="0"/>
            </w:tcBorders>
            <w:vAlign w:val="center"/>
          </w:tcPr>
          <w:p w14:paraId="0B796B03">
            <w:pPr>
              <w:jc w:val="right"/>
              <w:rPr>
                <w:rFonts w:ascii="Arial Narrow" w:hAnsi="Arial Narrow" w:eastAsiaTheme="minorEastAsia"/>
                <w:szCs w:val="21"/>
              </w:rPr>
            </w:pPr>
            <w:r>
              <w:rPr>
                <w:rFonts w:ascii="Arial Narrow" w:hAnsi="Arial Narrow" w:eastAsiaTheme="minorEastAsia"/>
                <w:color w:val="000000"/>
                <w:szCs w:val="21"/>
              </w:rPr>
              <w:t>538,651.23</w:t>
            </w:r>
          </w:p>
        </w:tc>
        <w:tc>
          <w:tcPr>
            <w:tcW w:w="1280" w:type="pct"/>
            <w:tcBorders>
              <w:top w:val="single" w:color="auto" w:sz="4" w:space="0"/>
              <w:left w:val="single" w:color="auto" w:sz="4" w:space="0"/>
              <w:bottom w:val="single" w:color="auto" w:sz="4" w:space="0"/>
              <w:right w:val="single" w:color="auto" w:sz="4" w:space="0"/>
            </w:tcBorders>
            <w:vAlign w:val="center"/>
          </w:tcPr>
          <w:p w14:paraId="4C0B16E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432,874.17</w:t>
            </w:r>
          </w:p>
        </w:tc>
      </w:tr>
      <w:tr w14:paraId="5E7F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46FCE20E">
            <w:pPr>
              <w:autoSpaceDE w:val="0"/>
              <w:autoSpaceDN w:val="0"/>
              <w:adjustRightInd w:val="0"/>
              <w:rPr>
                <w:rFonts w:ascii="Arial Narrow" w:hAnsi="Arial Narrow" w:eastAsiaTheme="minorEastAsia"/>
                <w:szCs w:val="21"/>
              </w:rPr>
            </w:pPr>
            <w:r>
              <w:rPr>
                <w:rFonts w:ascii="Arial Narrow" w:hAnsi="Arial Narrow" w:eastAsiaTheme="minorEastAsia"/>
                <w:szCs w:val="21"/>
              </w:rPr>
              <w:t>对外捐赠</w:t>
            </w:r>
          </w:p>
        </w:tc>
        <w:tc>
          <w:tcPr>
            <w:tcW w:w="1124" w:type="pct"/>
            <w:tcBorders>
              <w:top w:val="single" w:color="auto" w:sz="4" w:space="0"/>
              <w:left w:val="single" w:color="auto" w:sz="4" w:space="0"/>
              <w:bottom w:val="single" w:color="auto" w:sz="4" w:space="0"/>
              <w:right w:val="single" w:color="auto" w:sz="4" w:space="0"/>
            </w:tcBorders>
            <w:vAlign w:val="center"/>
          </w:tcPr>
          <w:p w14:paraId="6E791012">
            <w:pPr>
              <w:jc w:val="right"/>
              <w:rPr>
                <w:rFonts w:ascii="Arial Narrow" w:hAnsi="Arial Narrow" w:eastAsiaTheme="minorEastAsia"/>
                <w:szCs w:val="21"/>
              </w:rPr>
            </w:pPr>
            <w:r>
              <w:rPr>
                <w:rFonts w:ascii="Arial Narrow" w:hAnsi="Arial Narrow" w:eastAsiaTheme="minorEastAsia"/>
                <w:color w:val="000000"/>
                <w:szCs w:val="21"/>
              </w:rPr>
              <w:t>180,462.05</w:t>
            </w:r>
          </w:p>
        </w:tc>
        <w:tc>
          <w:tcPr>
            <w:tcW w:w="1072" w:type="pct"/>
            <w:tcBorders>
              <w:top w:val="single" w:color="auto" w:sz="4" w:space="0"/>
              <w:left w:val="single" w:color="auto" w:sz="4" w:space="0"/>
              <w:bottom w:val="single" w:color="auto" w:sz="4" w:space="0"/>
              <w:right w:val="single" w:color="auto" w:sz="4" w:space="0"/>
            </w:tcBorders>
            <w:vAlign w:val="center"/>
          </w:tcPr>
          <w:p w14:paraId="356A6C57">
            <w:pPr>
              <w:jc w:val="right"/>
              <w:rPr>
                <w:rFonts w:ascii="Arial Narrow" w:hAnsi="Arial Narrow" w:eastAsiaTheme="minorEastAsia"/>
                <w:szCs w:val="21"/>
              </w:rPr>
            </w:pPr>
            <w:r>
              <w:rPr>
                <w:rFonts w:ascii="Arial Narrow" w:hAnsi="Arial Narrow" w:eastAsiaTheme="minorEastAsia"/>
                <w:color w:val="000000"/>
                <w:szCs w:val="21"/>
              </w:rPr>
              <w:t>229,066.22</w:t>
            </w:r>
          </w:p>
        </w:tc>
        <w:tc>
          <w:tcPr>
            <w:tcW w:w="1280" w:type="pct"/>
            <w:tcBorders>
              <w:top w:val="single" w:color="auto" w:sz="4" w:space="0"/>
              <w:left w:val="single" w:color="auto" w:sz="4" w:space="0"/>
              <w:bottom w:val="single" w:color="auto" w:sz="4" w:space="0"/>
              <w:right w:val="single" w:color="auto" w:sz="4" w:space="0"/>
            </w:tcBorders>
            <w:vAlign w:val="center"/>
          </w:tcPr>
          <w:p w14:paraId="4ECB0B5D">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180,462.05</w:t>
            </w:r>
          </w:p>
        </w:tc>
      </w:tr>
      <w:tr w14:paraId="64A0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5BDB14C6">
            <w:pPr>
              <w:rPr>
                <w:rFonts w:ascii="Arial Narrow" w:hAnsi="Arial Narrow" w:eastAsiaTheme="minorEastAsia"/>
                <w:color w:val="000000"/>
                <w:szCs w:val="21"/>
              </w:rPr>
            </w:pPr>
            <w:r>
              <w:rPr>
                <w:rFonts w:ascii="Arial Narrow" w:hAnsi="Arial Narrow" w:eastAsiaTheme="minorEastAsia"/>
                <w:color w:val="000000"/>
                <w:szCs w:val="21"/>
              </w:rPr>
              <w:t>非常损失</w:t>
            </w:r>
          </w:p>
        </w:tc>
        <w:tc>
          <w:tcPr>
            <w:tcW w:w="1124" w:type="pct"/>
            <w:tcBorders>
              <w:top w:val="single" w:color="auto" w:sz="4" w:space="0"/>
              <w:left w:val="single" w:color="auto" w:sz="4" w:space="0"/>
              <w:bottom w:val="single" w:color="auto" w:sz="4" w:space="0"/>
              <w:right w:val="single" w:color="auto" w:sz="4" w:space="0"/>
            </w:tcBorders>
            <w:vAlign w:val="center"/>
          </w:tcPr>
          <w:p w14:paraId="7EB8E7E3">
            <w:pPr>
              <w:jc w:val="right"/>
              <w:rPr>
                <w:rFonts w:ascii="Arial Narrow" w:hAnsi="Arial Narrow" w:eastAsiaTheme="minorEastAsia"/>
                <w:color w:val="000000"/>
                <w:szCs w:val="21"/>
              </w:rPr>
            </w:pPr>
            <w:r>
              <w:rPr>
                <w:rFonts w:ascii="Arial Narrow" w:hAnsi="Arial Narrow" w:eastAsiaTheme="minorEastAsia"/>
                <w:color w:val="000000"/>
                <w:szCs w:val="21"/>
              </w:rPr>
              <w:t>38,755,970.40</w:t>
            </w:r>
          </w:p>
        </w:tc>
        <w:tc>
          <w:tcPr>
            <w:tcW w:w="1072" w:type="pct"/>
            <w:tcBorders>
              <w:top w:val="single" w:color="auto" w:sz="4" w:space="0"/>
              <w:left w:val="single" w:color="auto" w:sz="4" w:space="0"/>
              <w:bottom w:val="single" w:color="auto" w:sz="4" w:space="0"/>
              <w:right w:val="single" w:color="auto" w:sz="4" w:space="0"/>
            </w:tcBorders>
            <w:vAlign w:val="center"/>
          </w:tcPr>
          <w:p w14:paraId="16A4E841">
            <w:pPr>
              <w:jc w:val="right"/>
              <w:rPr>
                <w:rFonts w:ascii="Arial Narrow" w:hAnsi="Arial Narrow" w:eastAsiaTheme="minorEastAsia"/>
                <w:szCs w:val="21"/>
              </w:rPr>
            </w:pPr>
          </w:p>
        </w:tc>
        <w:tc>
          <w:tcPr>
            <w:tcW w:w="1280" w:type="pct"/>
            <w:tcBorders>
              <w:top w:val="single" w:color="auto" w:sz="4" w:space="0"/>
              <w:left w:val="single" w:color="auto" w:sz="4" w:space="0"/>
              <w:bottom w:val="single" w:color="auto" w:sz="4" w:space="0"/>
              <w:right w:val="single" w:color="auto" w:sz="4" w:space="0"/>
            </w:tcBorders>
            <w:vAlign w:val="center"/>
          </w:tcPr>
          <w:p w14:paraId="4F6EB198">
            <w:pPr>
              <w:jc w:val="right"/>
              <w:rPr>
                <w:rFonts w:ascii="Arial Narrow" w:hAnsi="Arial Narrow" w:eastAsiaTheme="minorEastAsia"/>
                <w:szCs w:val="21"/>
              </w:rPr>
            </w:pPr>
            <w:r>
              <w:rPr>
                <w:rFonts w:ascii="Arial Narrow" w:hAnsi="Arial Narrow" w:eastAsiaTheme="minorEastAsia"/>
                <w:color w:val="000000"/>
                <w:szCs w:val="21"/>
              </w:rPr>
              <w:t>38,755,970.40</w:t>
            </w:r>
          </w:p>
        </w:tc>
      </w:tr>
      <w:tr w14:paraId="3BB6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67DE8CAF">
            <w:pPr>
              <w:rPr>
                <w:rFonts w:ascii="Arial Narrow" w:hAnsi="Arial Narrow" w:eastAsiaTheme="minorEastAsia"/>
                <w:szCs w:val="21"/>
              </w:rPr>
            </w:pPr>
            <w:r>
              <w:rPr>
                <w:rFonts w:ascii="Arial Narrow" w:hAnsi="Arial Narrow" w:eastAsiaTheme="minorEastAsia"/>
                <w:color w:val="000000"/>
                <w:szCs w:val="21"/>
              </w:rPr>
              <w:t>赔偿金、违约金</w:t>
            </w:r>
          </w:p>
        </w:tc>
        <w:tc>
          <w:tcPr>
            <w:tcW w:w="1124" w:type="pct"/>
            <w:tcBorders>
              <w:top w:val="single" w:color="auto" w:sz="4" w:space="0"/>
              <w:left w:val="single" w:color="auto" w:sz="4" w:space="0"/>
              <w:bottom w:val="single" w:color="auto" w:sz="4" w:space="0"/>
              <w:right w:val="single" w:color="auto" w:sz="4" w:space="0"/>
            </w:tcBorders>
            <w:vAlign w:val="center"/>
          </w:tcPr>
          <w:p w14:paraId="5FC7F27C">
            <w:pPr>
              <w:jc w:val="right"/>
              <w:rPr>
                <w:rFonts w:ascii="Arial Narrow" w:hAnsi="Arial Narrow" w:eastAsiaTheme="minorEastAsia"/>
                <w:szCs w:val="21"/>
              </w:rPr>
            </w:pPr>
            <w:r>
              <w:rPr>
                <w:rFonts w:ascii="Arial Narrow" w:hAnsi="Arial Narrow" w:eastAsiaTheme="minorEastAsia"/>
                <w:color w:val="000000"/>
                <w:szCs w:val="21"/>
              </w:rPr>
              <w:t>72,202,789.13</w:t>
            </w:r>
          </w:p>
        </w:tc>
        <w:tc>
          <w:tcPr>
            <w:tcW w:w="1072" w:type="pct"/>
            <w:tcBorders>
              <w:top w:val="single" w:color="auto" w:sz="4" w:space="0"/>
              <w:left w:val="single" w:color="auto" w:sz="4" w:space="0"/>
              <w:bottom w:val="single" w:color="auto" w:sz="4" w:space="0"/>
              <w:right w:val="single" w:color="auto" w:sz="4" w:space="0"/>
            </w:tcBorders>
            <w:vAlign w:val="center"/>
          </w:tcPr>
          <w:p w14:paraId="14AE61E1">
            <w:pPr>
              <w:jc w:val="right"/>
              <w:rPr>
                <w:rFonts w:ascii="Arial Narrow" w:hAnsi="Arial Narrow" w:eastAsiaTheme="minorEastAsia"/>
                <w:szCs w:val="21"/>
              </w:rPr>
            </w:pPr>
            <w:r>
              <w:rPr>
                <w:rFonts w:ascii="Arial Narrow" w:hAnsi="Arial Narrow" w:eastAsiaTheme="minorEastAsia"/>
                <w:color w:val="000000"/>
                <w:szCs w:val="21"/>
              </w:rPr>
              <w:t>9,018,199.03</w:t>
            </w:r>
          </w:p>
        </w:tc>
        <w:tc>
          <w:tcPr>
            <w:tcW w:w="1280" w:type="pct"/>
            <w:tcBorders>
              <w:top w:val="single" w:color="auto" w:sz="4" w:space="0"/>
              <w:left w:val="single" w:color="auto" w:sz="4" w:space="0"/>
              <w:bottom w:val="single" w:color="auto" w:sz="4" w:space="0"/>
              <w:right w:val="single" w:color="auto" w:sz="4" w:space="0"/>
            </w:tcBorders>
            <w:vAlign w:val="center"/>
          </w:tcPr>
          <w:p w14:paraId="00EDBE9F">
            <w:pPr>
              <w:jc w:val="right"/>
              <w:rPr>
                <w:rFonts w:ascii="Arial Narrow" w:hAnsi="Arial Narrow" w:eastAsiaTheme="minorEastAsia"/>
                <w:szCs w:val="21"/>
              </w:rPr>
            </w:pPr>
            <w:r>
              <w:rPr>
                <w:rFonts w:ascii="Arial Narrow" w:hAnsi="Arial Narrow" w:eastAsiaTheme="minorEastAsia"/>
                <w:color w:val="000000"/>
                <w:szCs w:val="21"/>
              </w:rPr>
              <w:t>72,202,789.13</w:t>
            </w:r>
          </w:p>
        </w:tc>
      </w:tr>
      <w:tr w14:paraId="2F07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4E81E0A7">
            <w:pPr>
              <w:rPr>
                <w:rFonts w:ascii="Arial Narrow" w:hAnsi="Arial Narrow" w:eastAsiaTheme="minorEastAsia"/>
                <w:szCs w:val="21"/>
              </w:rPr>
            </w:pPr>
            <w:r>
              <w:rPr>
                <w:rFonts w:ascii="Arial Narrow" w:hAnsi="Arial Narrow" w:eastAsiaTheme="minorEastAsia"/>
                <w:color w:val="000000"/>
                <w:szCs w:val="21"/>
              </w:rPr>
              <w:t>滞纳金及罚款支出</w:t>
            </w:r>
          </w:p>
        </w:tc>
        <w:tc>
          <w:tcPr>
            <w:tcW w:w="1124" w:type="pct"/>
            <w:tcBorders>
              <w:top w:val="single" w:color="auto" w:sz="4" w:space="0"/>
              <w:left w:val="single" w:color="auto" w:sz="4" w:space="0"/>
              <w:bottom w:val="single" w:color="auto" w:sz="4" w:space="0"/>
              <w:right w:val="single" w:color="auto" w:sz="4" w:space="0"/>
            </w:tcBorders>
            <w:vAlign w:val="center"/>
          </w:tcPr>
          <w:p w14:paraId="67943C16">
            <w:pPr>
              <w:jc w:val="right"/>
              <w:rPr>
                <w:rFonts w:ascii="Arial Narrow" w:hAnsi="Arial Narrow" w:eastAsiaTheme="minorEastAsia"/>
                <w:szCs w:val="21"/>
              </w:rPr>
            </w:pPr>
            <w:r>
              <w:rPr>
                <w:rFonts w:ascii="Arial Narrow" w:hAnsi="Arial Narrow" w:eastAsiaTheme="minorEastAsia"/>
                <w:color w:val="000000"/>
                <w:szCs w:val="21"/>
              </w:rPr>
              <w:t>8,504,009.99</w:t>
            </w:r>
          </w:p>
        </w:tc>
        <w:tc>
          <w:tcPr>
            <w:tcW w:w="1072" w:type="pct"/>
            <w:tcBorders>
              <w:top w:val="single" w:color="auto" w:sz="4" w:space="0"/>
              <w:left w:val="single" w:color="auto" w:sz="4" w:space="0"/>
              <w:bottom w:val="single" w:color="auto" w:sz="4" w:space="0"/>
              <w:right w:val="single" w:color="auto" w:sz="4" w:space="0"/>
            </w:tcBorders>
            <w:vAlign w:val="center"/>
          </w:tcPr>
          <w:p w14:paraId="3CD1F487">
            <w:pPr>
              <w:jc w:val="right"/>
              <w:rPr>
                <w:rFonts w:ascii="Arial Narrow" w:hAnsi="Arial Narrow" w:eastAsiaTheme="minorEastAsia"/>
                <w:szCs w:val="21"/>
              </w:rPr>
            </w:pPr>
            <w:r>
              <w:rPr>
                <w:rFonts w:ascii="Arial Narrow" w:hAnsi="Arial Narrow" w:eastAsiaTheme="minorEastAsia"/>
                <w:color w:val="000000"/>
                <w:szCs w:val="21"/>
              </w:rPr>
              <w:t>6,701,559.07</w:t>
            </w:r>
          </w:p>
        </w:tc>
        <w:tc>
          <w:tcPr>
            <w:tcW w:w="1280" w:type="pct"/>
            <w:tcBorders>
              <w:top w:val="single" w:color="auto" w:sz="4" w:space="0"/>
              <w:left w:val="single" w:color="auto" w:sz="4" w:space="0"/>
              <w:bottom w:val="single" w:color="auto" w:sz="4" w:space="0"/>
              <w:right w:val="single" w:color="auto" w:sz="4" w:space="0"/>
            </w:tcBorders>
            <w:vAlign w:val="center"/>
          </w:tcPr>
          <w:p w14:paraId="5D9EC565">
            <w:pPr>
              <w:jc w:val="right"/>
              <w:rPr>
                <w:rFonts w:ascii="Arial Narrow" w:hAnsi="Arial Narrow" w:eastAsiaTheme="minorEastAsia"/>
                <w:szCs w:val="21"/>
              </w:rPr>
            </w:pPr>
            <w:r>
              <w:rPr>
                <w:rFonts w:ascii="Arial Narrow" w:hAnsi="Arial Narrow" w:eastAsiaTheme="minorEastAsia"/>
                <w:color w:val="000000"/>
                <w:szCs w:val="21"/>
              </w:rPr>
              <w:t>8,504,009.99</w:t>
            </w:r>
          </w:p>
        </w:tc>
      </w:tr>
      <w:tr w14:paraId="4E20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bottom"/>
          </w:tcPr>
          <w:p w14:paraId="65E4E85D">
            <w:pPr>
              <w:rPr>
                <w:rFonts w:ascii="Arial Narrow" w:hAnsi="Arial Narrow" w:eastAsiaTheme="minorEastAsia"/>
                <w:szCs w:val="21"/>
              </w:rPr>
            </w:pPr>
            <w:r>
              <w:rPr>
                <w:rFonts w:ascii="Arial Narrow" w:hAnsi="Arial Narrow" w:eastAsiaTheme="minorEastAsia"/>
                <w:color w:val="000000"/>
                <w:szCs w:val="21"/>
              </w:rPr>
              <w:t>其他</w:t>
            </w:r>
          </w:p>
        </w:tc>
        <w:tc>
          <w:tcPr>
            <w:tcW w:w="1124" w:type="pct"/>
            <w:tcBorders>
              <w:top w:val="single" w:color="auto" w:sz="4" w:space="0"/>
              <w:left w:val="single" w:color="auto" w:sz="4" w:space="0"/>
              <w:bottom w:val="single" w:color="auto" w:sz="4" w:space="0"/>
              <w:right w:val="single" w:color="auto" w:sz="4" w:space="0"/>
            </w:tcBorders>
            <w:vAlign w:val="center"/>
          </w:tcPr>
          <w:p w14:paraId="19B334C5">
            <w:pPr>
              <w:jc w:val="right"/>
              <w:rPr>
                <w:rFonts w:ascii="Arial Narrow" w:hAnsi="Arial Narrow" w:eastAsiaTheme="minorEastAsia"/>
                <w:szCs w:val="21"/>
              </w:rPr>
            </w:pPr>
            <w:r>
              <w:rPr>
                <w:rFonts w:ascii="Arial Narrow" w:hAnsi="Arial Narrow" w:eastAsiaTheme="minorEastAsia"/>
                <w:color w:val="000000"/>
                <w:szCs w:val="21"/>
              </w:rPr>
              <w:t>519,337.72</w:t>
            </w:r>
          </w:p>
        </w:tc>
        <w:tc>
          <w:tcPr>
            <w:tcW w:w="1072" w:type="pct"/>
            <w:tcBorders>
              <w:top w:val="single" w:color="auto" w:sz="4" w:space="0"/>
              <w:left w:val="single" w:color="auto" w:sz="4" w:space="0"/>
              <w:bottom w:val="single" w:color="auto" w:sz="4" w:space="0"/>
              <w:right w:val="single" w:color="auto" w:sz="4" w:space="0"/>
            </w:tcBorders>
            <w:vAlign w:val="center"/>
          </w:tcPr>
          <w:p w14:paraId="0AFC1C26">
            <w:pPr>
              <w:jc w:val="right"/>
              <w:rPr>
                <w:rFonts w:ascii="Arial Narrow" w:hAnsi="Arial Narrow" w:eastAsiaTheme="minorEastAsia"/>
                <w:szCs w:val="21"/>
              </w:rPr>
            </w:pPr>
            <w:r>
              <w:rPr>
                <w:rFonts w:ascii="Arial Narrow" w:hAnsi="Arial Narrow" w:eastAsiaTheme="minorEastAsia"/>
                <w:color w:val="000000"/>
                <w:szCs w:val="21"/>
              </w:rPr>
              <w:t>717,181.37</w:t>
            </w:r>
          </w:p>
        </w:tc>
        <w:tc>
          <w:tcPr>
            <w:tcW w:w="1280" w:type="pct"/>
            <w:tcBorders>
              <w:top w:val="single" w:color="auto" w:sz="4" w:space="0"/>
              <w:left w:val="single" w:color="auto" w:sz="4" w:space="0"/>
              <w:bottom w:val="single" w:color="auto" w:sz="4" w:space="0"/>
              <w:right w:val="single" w:color="auto" w:sz="4" w:space="0"/>
            </w:tcBorders>
            <w:vAlign w:val="center"/>
          </w:tcPr>
          <w:p w14:paraId="04D08239">
            <w:pPr>
              <w:jc w:val="right"/>
              <w:rPr>
                <w:rFonts w:ascii="Arial Narrow" w:hAnsi="Arial Narrow" w:eastAsiaTheme="minorEastAsia"/>
                <w:szCs w:val="21"/>
              </w:rPr>
            </w:pPr>
            <w:r>
              <w:rPr>
                <w:rFonts w:ascii="Arial Narrow" w:hAnsi="Arial Narrow" w:eastAsiaTheme="minorEastAsia"/>
                <w:color w:val="000000"/>
                <w:szCs w:val="21"/>
              </w:rPr>
              <w:t>519,337.72</w:t>
            </w:r>
          </w:p>
        </w:tc>
      </w:tr>
      <w:tr w14:paraId="5158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14:paraId="5047A262">
            <w:pPr>
              <w:ind w:right="6"/>
              <w:jc w:val="center"/>
              <w:rPr>
                <w:rFonts w:ascii="Arial Narrow" w:hAnsi="Arial Narrow" w:eastAsiaTheme="minorEastAsia"/>
                <w:szCs w:val="21"/>
              </w:rPr>
            </w:pPr>
            <w:r>
              <w:rPr>
                <w:rFonts w:ascii="Arial Narrow" w:hAnsi="Arial Narrow" w:eastAsiaTheme="minorEastAsia"/>
                <w:szCs w:val="21"/>
              </w:rPr>
              <w:t>合计</w:t>
            </w:r>
          </w:p>
        </w:tc>
        <w:tc>
          <w:tcPr>
            <w:tcW w:w="1124" w:type="pct"/>
            <w:tcBorders>
              <w:top w:val="single" w:color="auto" w:sz="4" w:space="0"/>
              <w:left w:val="single" w:color="auto" w:sz="4" w:space="0"/>
              <w:bottom w:val="single" w:color="auto" w:sz="4" w:space="0"/>
              <w:right w:val="single" w:color="auto" w:sz="4" w:space="0"/>
            </w:tcBorders>
            <w:vAlign w:val="center"/>
          </w:tcPr>
          <w:p w14:paraId="672D5940">
            <w:pPr>
              <w:jc w:val="right"/>
              <w:rPr>
                <w:rFonts w:ascii="Arial Narrow" w:hAnsi="Arial Narrow" w:eastAsiaTheme="minorEastAsia"/>
                <w:szCs w:val="21"/>
              </w:rPr>
            </w:pPr>
            <w:r>
              <w:rPr>
                <w:rFonts w:ascii="Arial Narrow" w:hAnsi="Arial Narrow" w:eastAsiaTheme="minorEastAsia"/>
                <w:color w:val="000000"/>
                <w:szCs w:val="21"/>
              </w:rPr>
              <w:t>120,595,443.46</w:t>
            </w:r>
          </w:p>
        </w:tc>
        <w:tc>
          <w:tcPr>
            <w:tcW w:w="1072" w:type="pct"/>
            <w:tcBorders>
              <w:top w:val="single" w:color="auto" w:sz="4" w:space="0"/>
              <w:left w:val="single" w:color="auto" w:sz="4" w:space="0"/>
              <w:bottom w:val="single" w:color="auto" w:sz="4" w:space="0"/>
              <w:right w:val="single" w:color="auto" w:sz="4" w:space="0"/>
            </w:tcBorders>
            <w:vAlign w:val="center"/>
          </w:tcPr>
          <w:p w14:paraId="51C5C94F">
            <w:pPr>
              <w:jc w:val="right"/>
              <w:rPr>
                <w:rFonts w:ascii="Arial Narrow" w:hAnsi="Arial Narrow" w:eastAsiaTheme="minorEastAsia"/>
                <w:szCs w:val="21"/>
              </w:rPr>
            </w:pPr>
            <w:r>
              <w:rPr>
                <w:rFonts w:ascii="Arial Narrow" w:hAnsi="Arial Narrow" w:eastAsiaTheme="minorEastAsia"/>
                <w:color w:val="000000"/>
                <w:szCs w:val="21"/>
              </w:rPr>
              <w:t>17,204,656.92</w:t>
            </w:r>
          </w:p>
        </w:tc>
        <w:tc>
          <w:tcPr>
            <w:tcW w:w="1280" w:type="pct"/>
            <w:tcBorders>
              <w:top w:val="single" w:color="auto" w:sz="4" w:space="0"/>
              <w:left w:val="single" w:color="auto" w:sz="4" w:space="0"/>
              <w:bottom w:val="single" w:color="auto" w:sz="4" w:space="0"/>
              <w:right w:val="single" w:color="auto" w:sz="4" w:space="0"/>
            </w:tcBorders>
            <w:vAlign w:val="center"/>
          </w:tcPr>
          <w:p w14:paraId="2BC8CC78">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120,595,443.46</w:t>
            </w:r>
          </w:p>
        </w:tc>
      </w:tr>
    </w:tbl>
    <w:p w14:paraId="58928AC4">
      <w:pPr>
        <w:spacing w:before="60" w:after="60"/>
        <w:rPr>
          <w:rFonts w:hint="eastAsia"/>
          <w:szCs w:val="21"/>
        </w:rPr>
      </w:pPr>
      <w:r>
        <w:rPr>
          <w:rFonts w:hint="eastAsia"/>
          <w:szCs w:val="21"/>
        </w:rPr>
        <w:t>其他说明：</w:t>
      </w:r>
    </w:p>
    <w:sdt>
      <w:sdtPr>
        <w:rPr>
          <w:rFonts w:hint="eastAsia"/>
          <w:szCs w:val="21"/>
        </w:rPr>
        <w:alias w:val="营业外支出说明"/>
        <w:tag w:val="_GBC_88ac743f9ece44c8ba4b737327409578"/>
        <w:id w:val="1237437543"/>
        <w:placeholder>
          <w:docPart w:val="GBC22222222222222222222222222222"/>
        </w:placeholder>
      </w:sdtPr>
      <w:sdtEndPr>
        <w:rPr>
          <w:rFonts w:hint="eastAsia" w:asciiTheme="minorHAnsi" w:hAnsiTheme="minorHAnsi" w:eastAsiaTheme="minorEastAsia"/>
          <w:szCs w:val="21"/>
        </w:rPr>
      </w:sdtEndPr>
      <w:sdtContent>
        <w:p w14:paraId="08E27558">
          <w:pPr>
            <w:rPr>
              <w:rFonts w:hint="eastAsia"/>
              <w:szCs w:val="21"/>
            </w:rPr>
          </w:pPr>
          <w:r>
            <w:rPr>
              <w:rFonts w:hint="eastAsia"/>
              <w:szCs w:val="21"/>
            </w:rPr>
            <w:t>无</w:t>
          </w:r>
        </w:p>
      </w:sdtContent>
    </w:sdt>
    <w:p w14:paraId="72BC7946">
      <w:pPr>
        <w:rPr>
          <w:rFonts w:hint="eastAsia"/>
        </w:rPr>
      </w:pPr>
    </w:p>
    <w:p w14:paraId="43855722">
      <w:pPr>
        <w:pStyle w:val="70"/>
        <w:numPr>
          <w:ilvl w:val="0"/>
          <w:numId w:val="109"/>
        </w:numPr>
        <w:rPr>
          <w:szCs w:val="21"/>
        </w:rPr>
      </w:pPr>
      <w:r>
        <w:rPr>
          <w:szCs w:val="21"/>
        </w:rPr>
        <w:t>所得税费用</w:t>
      </w:r>
    </w:p>
    <w:p w14:paraId="6D6C91FC">
      <w:pPr>
        <w:pStyle w:val="71"/>
        <w:numPr>
          <w:ilvl w:val="0"/>
          <w:numId w:val="148"/>
        </w:numPr>
        <w:ind w:left="426" w:hanging="426"/>
        <w:rPr>
          <w:rFonts w:hint="eastAsia"/>
        </w:rPr>
      </w:pPr>
      <w:r>
        <w:rPr>
          <w:rFonts w:hint="eastAsia"/>
        </w:rPr>
        <w:t>所得税费用表</w:t>
      </w:r>
    </w:p>
    <w:sdt>
      <w:sdtPr>
        <w:alias w:val="是否适用：所得税费用表[双击切换]"/>
        <w:tag w:val="_GBC_3ea18046339d457a8712506679035498"/>
        <w:id w:val="-1279795675"/>
        <w:placeholder>
          <w:docPart w:val="GBC22222222222222222222222222222"/>
        </w:placeholder>
      </w:sdtPr>
      <w:sdtContent>
        <w:p w14:paraId="79295A31">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2760E80">
      <w:pPr>
        <w:wordWrap w:val="0"/>
        <w:jc w:val="right"/>
        <w:rPr>
          <w:rFonts w:hint="eastAsia"/>
          <w:szCs w:val="21"/>
        </w:rPr>
      </w:pPr>
      <w:r>
        <w:rPr>
          <w:rFonts w:hint="eastAsia"/>
          <w:szCs w:val="21"/>
        </w:rPr>
        <w:t>单位：</w:t>
      </w:r>
      <w:sdt>
        <w:sdtPr>
          <w:rPr>
            <w:rFonts w:hint="eastAsia"/>
            <w:szCs w:val="21"/>
          </w:rPr>
          <w:alias w:val="单位：财务附注：所得税费用"/>
          <w:tag w:val="_GBC_5e89c62734b24d50a562694dcf8d2206"/>
          <w:id w:val="-18756885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18953858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31"/>
        <w:gridCol w:w="2854"/>
        <w:gridCol w:w="2838"/>
      </w:tblGrid>
      <w:tr w14:paraId="4A57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279" w:hRule="atLeast"/>
        </w:trPr>
        <w:sdt>
          <w:sdtPr>
            <w:rPr>
              <w:rFonts w:ascii="Arial Narrow" w:hAnsi="Arial Narrow" w:eastAsiaTheme="minorEastAsia"/>
              <w:szCs w:val="21"/>
            </w:rPr>
            <w:tag w:val="_PLD_e0d72a7f55e04c898352587240ce636b"/>
            <w:id w:val="845675559"/>
          </w:sdtPr>
          <w:sdtEndPr>
            <w:rPr>
              <w:rFonts w:ascii="Arial Narrow" w:hAnsi="Arial Narrow" w:eastAsiaTheme="minorEastAsia"/>
              <w:szCs w:val="21"/>
            </w:rPr>
          </w:sdtEndPr>
          <w:sdtContent>
            <w:tc>
              <w:tcPr>
                <w:tcW w:w="1774" w:type="pct"/>
                <w:vAlign w:val="center"/>
              </w:tcPr>
              <w:p w14:paraId="4617125A">
                <w:pPr>
                  <w:ind w:right="6"/>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e2b12491de324856a6b2f7034aa875da"/>
            <w:id w:val="-964267319"/>
          </w:sdtPr>
          <w:sdtEndPr>
            <w:rPr>
              <w:rFonts w:ascii="Arial Narrow" w:hAnsi="Arial Narrow" w:eastAsiaTheme="minorEastAsia"/>
              <w:szCs w:val="21"/>
            </w:rPr>
          </w:sdtEndPr>
          <w:sdtContent>
            <w:tc>
              <w:tcPr>
                <w:tcW w:w="1617" w:type="pct"/>
                <w:vAlign w:val="center"/>
              </w:tcPr>
              <w:p w14:paraId="7E27D5F7">
                <w:pPr>
                  <w:ind w:right="6"/>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4b2515977b8d462088eb538637703bf1"/>
            <w:id w:val="-724766593"/>
          </w:sdtPr>
          <w:sdtEndPr>
            <w:rPr>
              <w:rFonts w:ascii="Arial Narrow" w:hAnsi="Arial Narrow" w:eastAsiaTheme="minorEastAsia"/>
              <w:szCs w:val="21"/>
            </w:rPr>
          </w:sdtEndPr>
          <w:sdtContent>
            <w:tc>
              <w:tcPr>
                <w:tcW w:w="1608" w:type="pct"/>
                <w:vAlign w:val="center"/>
              </w:tcPr>
              <w:p w14:paraId="59486BAD">
                <w:pPr>
                  <w:ind w:right="6"/>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7387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774" w:type="pct"/>
          </w:tcPr>
          <w:p w14:paraId="2045598F">
            <w:pPr>
              <w:ind w:right="6"/>
              <w:rPr>
                <w:rFonts w:ascii="Arial Narrow" w:hAnsi="Arial Narrow" w:eastAsiaTheme="minorEastAsia"/>
                <w:b/>
                <w:bCs/>
                <w:szCs w:val="21"/>
              </w:rPr>
            </w:pPr>
            <w:r>
              <w:rPr>
                <w:rFonts w:ascii="Arial Narrow" w:hAnsi="Arial Narrow" w:eastAsiaTheme="minorEastAsia"/>
                <w:szCs w:val="21"/>
              </w:rPr>
              <w:t>当期所得税费用</w:t>
            </w:r>
          </w:p>
        </w:tc>
        <w:tc>
          <w:tcPr>
            <w:tcW w:w="1617" w:type="pct"/>
            <w:vAlign w:val="center"/>
          </w:tcPr>
          <w:p w14:paraId="1F898869">
            <w:pPr>
              <w:jc w:val="right"/>
              <w:rPr>
                <w:rFonts w:ascii="Arial Narrow" w:hAnsi="Arial Narrow" w:eastAsiaTheme="minorEastAsia"/>
                <w:szCs w:val="21"/>
              </w:rPr>
            </w:pPr>
            <w:r>
              <w:rPr>
                <w:rFonts w:ascii="Arial Narrow" w:hAnsi="Arial Narrow" w:eastAsiaTheme="minorEastAsia"/>
                <w:color w:val="000000"/>
                <w:szCs w:val="21"/>
              </w:rPr>
              <w:t>46,614,747.49</w:t>
            </w:r>
          </w:p>
        </w:tc>
        <w:tc>
          <w:tcPr>
            <w:tcW w:w="1608" w:type="pct"/>
            <w:vAlign w:val="center"/>
          </w:tcPr>
          <w:p w14:paraId="7A42E63A">
            <w:pPr>
              <w:ind w:right="6"/>
              <w:jc w:val="right"/>
              <w:rPr>
                <w:rFonts w:ascii="Arial Narrow" w:hAnsi="Arial Narrow" w:eastAsiaTheme="minorEastAsia"/>
                <w:szCs w:val="21"/>
              </w:rPr>
            </w:pPr>
            <w:r>
              <w:rPr>
                <w:rFonts w:ascii="Arial Narrow" w:hAnsi="Arial Narrow" w:eastAsiaTheme="minorEastAsia"/>
                <w:color w:val="000000"/>
                <w:szCs w:val="21"/>
              </w:rPr>
              <w:t>31,011,750.93</w:t>
            </w:r>
          </w:p>
        </w:tc>
      </w:tr>
      <w:tr w14:paraId="2820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774" w:type="pct"/>
          </w:tcPr>
          <w:p w14:paraId="27C3E478">
            <w:pPr>
              <w:ind w:right="6"/>
              <w:rPr>
                <w:rFonts w:ascii="Arial Narrow" w:hAnsi="Arial Narrow" w:eastAsiaTheme="minorEastAsia"/>
                <w:szCs w:val="21"/>
              </w:rPr>
            </w:pPr>
            <w:r>
              <w:rPr>
                <w:rFonts w:ascii="Arial Narrow" w:hAnsi="Arial Narrow" w:eastAsiaTheme="minorEastAsia"/>
                <w:szCs w:val="21"/>
              </w:rPr>
              <w:t>递延所得税费用</w:t>
            </w:r>
          </w:p>
        </w:tc>
        <w:tc>
          <w:tcPr>
            <w:tcW w:w="1617" w:type="pct"/>
            <w:vAlign w:val="center"/>
          </w:tcPr>
          <w:p w14:paraId="2120A131">
            <w:pPr>
              <w:jc w:val="right"/>
              <w:rPr>
                <w:rFonts w:ascii="Arial Narrow" w:hAnsi="Arial Narrow" w:eastAsiaTheme="minorEastAsia"/>
                <w:szCs w:val="21"/>
              </w:rPr>
            </w:pPr>
            <w:r>
              <w:rPr>
                <w:rFonts w:ascii="Arial Narrow" w:hAnsi="Arial Narrow" w:eastAsiaTheme="minorEastAsia"/>
                <w:color w:val="000000"/>
                <w:szCs w:val="21"/>
              </w:rPr>
              <w:t>-82,264,598.25</w:t>
            </w:r>
          </w:p>
        </w:tc>
        <w:tc>
          <w:tcPr>
            <w:tcW w:w="1608" w:type="pct"/>
            <w:vAlign w:val="center"/>
          </w:tcPr>
          <w:p w14:paraId="7BD4A738">
            <w:pPr>
              <w:ind w:right="6"/>
              <w:jc w:val="right"/>
              <w:rPr>
                <w:rFonts w:ascii="Arial Narrow" w:hAnsi="Arial Narrow" w:eastAsiaTheme="minorEastAsia"/>
                <w:szCs w:val="21"/>
              </w:rPr>
            </w:pPr>
            <w:r>
              <w:rPr>
                <w:rFonts w:ascii="Arial Narrow" w:hAnsi="Arial Narrow" w:eastAsiaTheme="minorEastAsia"/>
                <w:color w:val="000000"/>
                <w:szCs w:val="21"/>
              </w:rPr>
              <w:t>-3,252,536.10</w:t>
            </w:r>
          </w:p>
        </w:tc>
      </w:tr>
      <w:tr w14:paraId="10D5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774" w:type="pct"/>
          </w:tcPr>
          <w:p w14:paraId="5BAFA9AD">
            <w:pPr>
              <w:ind w:right="6"/>
              <w:jc w:val="center"/>
              <w:rPr>
                <w:rFonts w:ascii="Arial Narrow" w:hAnsi="Arial Narrow" w:eastAsiaTheme="minorEastAsia"/>
                <w:szCs w:val="21"/>
              </w:rPr>
            </w:pPr>
            <w:r>
              <w:rPr>
                <w:rFonts w:ascii="Arial Narrow" w:hAnsi="Arial Narrow" w:eastAsiaTheme="minorEastAsia"/>
                <w:szCs w:val="21"/>
              </w:rPr>
              <w:t>合计</w:t>
            </w:r>
          </w:p>
        </w:tc>
        <w:tc>
          <w:tcPr>
            <w:tcW w:w="1617" w:type="pct"/>
            <w:vAlign w:val="center"/>
          </w:tcPr>
          <w:p w14:paraId="7D0D4921">
            <w:pPr>
              <w:ind w:right="6"/>
              <w:jc w:val="right"/>
              <w:rPr>
                <w:rFonts w:ascii="Arial Narrow" w:hAnsi="Arial Narrow" w:eastAsiaTheme="minorEastAsia"/>
                <w:szCs w:val="21"/>
              </w:rPr>
            </w:pPr>
            <w:r>
              <w:rPr>
                <w:rFonts w:ascii="Arial Narrow" w:hAnsi="Arial Narrow" w:eastAsiaTheme="minorEastAsia"/>
                <w:color w:val="000000"/>
                <w:szCs w:val="21"/>
              </w:rPr>
              <w:t>-35,649,850.76</w:t>
            </w:r>
          </w:p>
        </w:tc>
        <w:tc>
          <w:tcPr>
            <w:tcW w:w="1608" w:type="pct"/>
            <w:vAlign w:val="center"/>
          </w:tcPr>
          <w:p w14:paraId="01BB7DCA">
            <w:pPr>
              <w:ind w:right="6"/>
              <w:jc w:val="right"/>
              <w:rPr>
                <w:rFonts w:ascii="Arial Narrow" w:hAnsi="Arial Narrow" w:eastAsiaTheme="minorEastAsia"/>
                <w:szCs w:val="21"/>
              </w:rPr>
            </w:pPr>
            <w:r>
              <w:rPr>
                <w:rFonts w:ascii="Arial Narrow" w:hAnsi="Arial Narrow" w:eastAsiaTheme="minorEastAsia"/>
                <w:color w:val="000000"/>
                <w:szCs w:val="21"/>
              </w:rPr>
              <w:t>27,759,214.83</w:t>
            </w:r>
          </w:p>
        </w:tc>
      </w:tr>
    </w:tbl>
    <w:p w14:paraId="63CA9599">
      <w:pPr>
        <w:rPr>
          <w:rFonts w:hint="eastAsia"/>
          <w:szCs w:val="21"/>
        </w:rPr>
      </w:pPr>
    </w:p>
    <w:p w14:paraId="6DD9EA4B">
      <w:pPr>
        <w:pStyle w:val="71"/>
        <w:numPr>
          <w:ilvl w:val="0"/>
          <w:numId w:val="148"/>
        </w:numPr>
        <w:ind w:left="426" w:hanging="426"/>
        <w:rPr>
          <w:rFonts w:hint="eastAsia"/>
        </w:rPr>
      </w:pPr>
      <w:r>
        <w:rPr>
          <w:rFonts w:hint="eastAsia"/>
        </w:rPr>
        <w:t>会计利润与所得税费用调整过程</w:t>
      </w:r>
    </w:p>
    <w:sdt>
      <w:sdtPr>
        <w:alias w:val="是否适用：会计利润与所得税费用调整过程[双击切换]"/>
        <w:tag w:val="_GBC_add00d323e2049ad8bc932f632966661"/>
        <w:id w:val="-1611969512"/>
        <w:placeholder>
          <w:docPart w:val="GBC22222222222222222222222222222"/>
        </w:placeholder>
      </w:sdtPr>
      <w:sdtContent>
        <w:p w14:paraId="5BFE25AC">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F81D03">
      <w:pPr>
        <w:jc w:val="right"/>
        <w:rPr>
          <w:rFonts w:hint="eastAsia"/>
        </w:rPr>
      </w:pPr>
      <w:r>
        <w:rPr>
          <w:rFonts w:hint="eastAsia"/>
        </w:rPr>
        <w:t>单位：</w:t>
      </w:r>
      <w:sdt>
        <w:sdtPr>
          <w:rPr>
            <w:rFonts w:hint="eastAsia"/>
          </w:rPr>
          <w:alias w:val="单位：会计利润与所得税费用调整过程"/>
          <w:tag w:val="_GBC_10825cb9bb5e445c9210ee34dc80406a"/>
          <w:id w:val="21297378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10567852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13" w:type="dxa"/>
          <w:bottom w:w="0" w:type="dxa"/>
          <w:right w:w="113" w:type="dxa"/>
        </w:tblCellMar>
      </w:tblPr>
      <w:tblGrid>
        <w:gridCol w:w="4269"/>
        <w:gridCol w:w="4554"/>
      </w:tblGrid>
      <w:tr w14:paraId="1178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sdt>
          <w:sdtPr>
            <w:rPr>
              <w:rFonts w:ascii="Arial Narrow" w:hAnsi="Arial Narrow" w:eastAsiaTheme="minorEastAsia"/>
              <w:szCs w:val="21"/>
            </w:rPr>
            <w:tag w:val="_PLD_1123621c9879400694da9a8842888e14"/>
            <w:id w:val="-1412148722"/>
          </w:sdtPr>
          <w:sdtEndPr>
            <w:rPr>
              <w:rFonts w:ascii="Arial Narrow" w:hAnsi="Arial Narrow" w:eastAsiaTheme="minorEastAsia"/>
              <w:szCs w:val="21"/>
            </w:rPr>
          </w:sdtEndPr>
          <w:sdtContent>
            <w:tc>
              <w:tcPr>
                <w:tcW w:w="2419" w:type="pct"/>
                <w:tcBorders>
                  <w:top w:val="single" w:color="auto" w:sz="4" w:space="0"/>
                  <w:left w:val="single" w:color="auto" w:sz="4" w:space="0"/>
                  <w:bottom w:val="single" w:color="auto" w:sz="4" w:space="0"/>
                  <w:right w:val="single" w:color="auto" w:sz="4" w:space="0"/>
                </w:tcBorders>
                <w:shd w:val="clear" w:color="auto" w:fill="auto"/>
              </w:tcPr>
              <w:p w14:paraId="2C7DDAA7">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4a270148a32846b69754961e55c75a04"/>
            <w:id w:val="959851086"/>
          </w:sdtPr>
          <w:sdtEndPr>
            <w:rPr>
              <w:rFonts w:ascii="Arial Narrow" w:hAnsi="Arial Narrow" w:eastAsiaTheme="minorEastAsia"/>
              <w:szCs w:val="21"/>
            </w:rPr>
          </w:sdtEndPr>
          <w:sdtContent>
            <w:tc>
              <w:tcPr>
                <w:tcW w:w="2581" w:type="pct"/>
                <w:tcBorders>
                  <w:top w:val="single" w:color="auto" w:sz="4" w:space="0"/>
                  <w:left w:val="single" w:color="auto" w:sz="4" w:space="0"/>
                  <w:bottom w:val="single" w:color="auto" w:sz="4" w:space="0"/>
                  <w:right w:val="single" w:color="auto" w:sz="4" w:space="0"/>
                </w:tcBorders>
                <w:shd w:val="clear" w:color="auto" w:fill="auto"/>
              </w:tcPr>
              <w:p w14:paraId="7339F4FC">
                <w:pPr>
                  <w:jc w:val="center"/>
                  <w:rPr>
                    <w:rFonts w:ascii="Arial Narrow" w:hAnsi="Arial Narrow" w:eastAsiaTheme="minorEastAsia"/>
                    <w:szCs w:val="21"/>
                  </w:rPr>
                </w:pPr>
                <w:r>
                  <w:rPr>
                    <w:rFonts w:ascii="Arial Narrow" w:hAnsi="Arial Narrow" w:eastAsiaTheme="minorEastAsia"/>
                    <w:szCs w:val="21"/>
                  </w:rPr>
                  <w:t>本期发生额</w:t>
                </w:r>
              </w:p>
            </w:tc>
          </w:sdtContent>
        </w:sdt>
      </w:tr>
      <w:tr w14:paraId="1DE44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4EB61606">
            <w:pPr>
              <w:ind w:right="6"/>
              <w:rPr>
                <w:rFonts w:ascii="Arial Narrow" w:hAnsi="Arial Narrow" w:eastAsiaTheme="minorEastAsia"/>
                <w:b/>
                <w:bCs/>
                <w:szCs w:val="21"/>
              </w:rPr>
            </w:pPr>
            <w:r>
              <w:rPr>
                <w:rFonts w:ascii="Arial Narrow" w:hAnsi="Arial Narrow" w:eastAsiaTheme="minorEastAsia"/>
                <w:szCs w:val="21"/>
              </w:rPr>
              <w:t>利润总额</w:t>
            </w:r>
          </w:p>
        </w:tc>
        <w:tc>
          <w:tcPr>
            <w:tcW w:w="2581" w:type="pct"/>
            <w:tcBorders>
              <w:top w:val="single" w:color="auto" w:sz="4" w:space="0"/>
              <w:left w:val="single" w:color="auto" w:sz="4" w:space="0"/>
              <w:bottom w:val="single" w:color="auto" w:sz="6" w:space="0"/>
              <w:right w:val="single" w:color="auto" w:sz="6" w:space="0"/>
            </w:tcBorders>
            <w:shd w:val="clear" w:color="auto" w:fill="auto"/>
            <w:vAlign w:val="center"/>
          </w:tcPr>
          <w:p w14:paraId="3A77B840">
            <w:pPr>
              <w:jc w:val="right"/>
              <w:rPr>
                <w:rFonts w:ascii="Arial Narrow" w:hAnsi="Arial Narrow" w:eastAsiaTheme="minorEastAsia"/>
                <w:szCs w:val="21"/>
              </w:rPr>
            </w:pPr>
            <w:r>
              <w:rPr>
                <w:rFonts w:ascii="Arial Narrow" w:hAnsi="Arial Narrow" w:eastAsiaTheme="minorEastAsia"/>
                <w:color w:val="000000"/>
                <w:szCs w:val="21"/>
              </w:rPr>
              <w:t>-4,300,923,591.11</w:t>
            </w:r>
          </w:p>
        </w:tc>
      </w:tr>
      <w:tr w14:paraId="4649A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58AF9638">
            <w:pPr>
              <w:ind w:right="6"/>
              <w:rPr>
                <w:rFonts w:ascii="Arial Narrow" w:hAnsi="Arial Narrow" w:eastAsiaTheme="minorEastAsia"/>
                <w:szCs w:val="21"/>
              </w:rPr>
            </w:pPr>
            <w:r>
              <w:rPr>
                <w:rFonts w:ascii="Arial Narrow" w:hAnsi="Arial Narrow" w:eastAsiaTheme="minorEastAsia"/>
                <w:szCs w:val="21"/>
              </w:rPr>
              <w:t>按法定/适用税率计算的所得税费用</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6322BA15">
            <w:pPr>
              <w:jc w:val="right"/>
              <w:rPr>
                <w:rFonts w:ascii="Arial Narrow" w:hAnsi="Arial Narrow" w:eastAsiaTheme="minorEastAsia"/>
                <w:szCs w:val="21"/>
              </w:rPr>
            </w:pPr>
            <w:r>
              <w:rPr>
                <w:rFonts w:ascii="Arial Narrow" w:hAnsi="Arial Narrow" w:eastAsiaTheme="minorEastAsia"/>
                <w:color w:val="000000"/>
                <w:szCs w:val="21"/>
              </w:rPr>
              <w:t>-1,075,230,897.78</w:t>
            </w:r>
          </w:p>
        </w:tc>
      </w:tr>
      <w:tr w14:paraId="552F4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rPr>
          <w:trHeight w:val="139" w:hRule="atLeast"/>
        </w:trPr>
        <w:tc>
          <w:tcPr>
            <w:tcW w:w="2419" w:type="pct"/>
            <w:tcBorders>
              <w:top w:val="single" w:color="auto" w:sz="4" w:space="0"/>
              <w:left w:val="single" w:color="auto" w:sz="4" w:space="0"/>
              <w:bottom w:val="single" w:color="auto" w:sz="4" w:space="0"/>
              <w:right w:val="single" w:color="auto" w:sz="4" w:space="0"/>
            </w:tcBorders>
            <w:shd w:val="clear" w:color="auto" w:fill="auto"/>
          </w:tcPr>
          <w:p w14:paraId="13666BD7">
            <w:pPr>
              <w:ind w:right="6"/>
              <w:rPr>
                <w:rFonts w:ascii="Arial Narrow" w:hAnsi="Arial Narrow" w:eastAsiaTheme="minorEastAsia"/>
                <w:szCs w:val="21"/>
              </w:rPr>
            </w:pPr>
            <w:r>
              <w:rPr>
                <w:rFonts w:ascii="Arial Narrow" w:hAnsi="Arial Narrow" w:eastAsiaTheme="minorEastAsia"/>
                <w:szCs w:val="21"/>
              </w:rPr>
              <w:t>子公司适用不同税率的影响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5B43DAD7">
            <w:pPr>
              <w:jc w:val="right"/>
              <w:rPr>
                <w:rFonts w:ascii="Arial Narrow" w:hAnsi="Arial Narrow" w:eastAsiaTheme="minorEastAsia"/>
                <w:szCs w:val="21"/>
              </w:rPr>
            </w:pPr>
            <w:r>
              <w:rPr>
                <w:rFonts w:ascii="Arial Narrow" w:hAnsi="Arial Narrow" w:eastAsiaTheme="minorEastAsia"/>
                <w:color w:val="000000"/>
                <w:szCs w:val="21"/>
              </w:rPr>
              <w:t>178,857,874.97</w:t>
            </w:r>
          </w:p>
        </w:tc>
      </w:tr>
      <w:tr w14:paraId="1CA53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12795F24">
            <w:pPr>
              <w:ind w:right="6"/>
              <w:rPr>
                <w:rFonts w:ascii="Arial Narrow" w:hAnsi="Arial Narrow" w:eastAsiaTheme="minorEastAsia"/>
                <w:szCs w:val="21"/>
              </w:rPr>
            </w:pPr>
            <w:r>
              <w:rPr>
                <w:rFonts w:ascii="Arial Narrow" w:hAnsi="Arial Narrow" w:eastAsiaTheme="minorEastAsia"/>
                <w:szCs w:val="21"/>
              </w:rPr>
              <w:t>调整以前期间所得税的影响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55439482">
            <w:pPr>
              <w:jc w:val="right"/>
              <w:rPr>
                <w:rFonts w:ascii="Arial Narrow" w:hAnsi="Arial Narrow" w:eastAsiaTheme="minorEastAsia"/>
                <w:szCs w:val="21"/>
              </w:rPr>
            </w:pPr>
            <w:r>
              <w:rPr>
                <w:rFonts w:ascii="Arial Narrow" w:hAnsi="Arial Narrow" w:eastAsiaTheme="minorEastAsia"/>
                <w:color w:val="000000"/>
                <w:szCs w:val="21"/>
              </w:rPr>
              <w:t>12,606,890.37</w:t>
            </w:r>
          </w:p>
        </w:tc>
      </w:tr>
      <w:tr w14:paraId="09CD5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08D8A3A6">
            <w:pPr>
              <w:ind w:right="6"/>
              <w:rPr>
                <w:rFonts w:ascii="Arial Narrow" w:hAnsi="Arial Narrow" w:eastAsiaTheme="minorEastAsia"/>
                <w:szCs w:val="21"/>
              </w:rPr>
            </w:pPr>
            <w:r>
              <w:rPr>
                <w:rFonts w:ascii="Arial Narrow" w:hAnsi="Arial Narrow" w:eastAsiaTheme="minorEastAsia"/>
                <w:szCs w:val="21"/>
              </w:rPr>
              <w:t>非应税收入的影响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7A0AC24F">
            <w:pPr>
              <w:jc w:val="right"/>
              <w:rPr>
                <w:rFonts w:ascii="Arial Narrow" w:hAnsi="Arial Narrow" w:eastAsiaTheme="minorEastAsia"/>
                <w:szCs w:val="21"/>
              </w:rPr>
            </w:pPr>
            <w:r>
              <w:rPr>
                <w:rFonts w:ascii="Arial Narrow" w:hAnsi="Arial Narrow" w:eastAsiaTheme="minorEastAsia"/>
                <w:color w:val="000000"/>
                <w:szCs w:val="21"/>
              </w:rPr>
              <w:t>-29,906,382.56</w:t>
            </w:r>
          </w:p>
        </w:tc>
      </w:tr>
      <w:tr w14:paraId="1901A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2626AE56">
            <w:pPr>
              <w:ind w:right="6"/>
              <w:rPr>
                <w:rFonts w:ascii="Arial Narrow" w:hAnsi="Arial Narrow" w:eastAsiaTheme="minorEastAsia"/>
                <w:szCs w:val="21"/>
              </w:rPr>
            </w:pPr>
            <w:r>
              <w:rPr>
                <w:rFonts w:ascii="Arial Narrow" w:hAnsi="Arial Narrow" w:eastAsiaTheme="minorEastAsia"/>
                <w:szCs w:val="21"/>
              </w:rPr>
              <w:t>不可抵扣的成本、费用和损失的影响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34FAEA77">
            <w:pPr>
              <w:jc w:val="right"/>
              <w:rPr>
                <w:rFonts w:ascii="Arial Narrow" w:hAnsi="Arial Narrow" w:eastAsiaTheme="minorEastAsia"/>
                <w:szCs w:val="21"/>
              </w:rPr>
            </w:pPr>
            <w:r>
              <w:rPr>
                <w:rFonts w:ascii="Arial Narrow" w:hAnsi="Arial Narrow" w:eastAsiaTheme="minorEastAsia"/>
                <w:color w:val="000000"/>
                <w:szCs w:val="21"/>
              </w:rPr>
              <w:t>8,060,689.87</w:t>
            </w:r>
          </w:p>
        </w:tc>
      </w:tr>
      <w:tr w14:paraId="43E17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705D57EF">
            <w:pPr>
              <w:ind w:right="6"/>
              <w:rPr>
                <w:rFonts w:ascii="Arial Narrow" w:hAnsi="Arial Narrow" w:eastAsiaTheme="minorEastAsia"/>
                <w:szCs w:val="21"/>
              </w:rPr>
            </w:pPr>
            <w:r>
              <w:rPr>
                <w:rFonts w:ascii="Arial Narrow" w:hAnsi="Arial Narrow" w:eastAsiaTheme="minorEastAsia"/>
                <w:szCs w:val="21"/>
              </w:rPr>
              <w:t>使用前期未确认递延所得税资产的可抵扣亏损的影响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48035BB1">
            <w:pPr>
              <w:jc w:val="right"/>
              <w:rPr>
                <w:rFonts w:ascii="Arial Narrow" w:hAnsi="Arial Narrow" w:eastAsiaTheme="minorEastAsia"/>
                <w:szCs w:val="21"/>
              </w:rPr>
            </w:pPr>
            <w:r>
              <w:rPr>
                <w:rFonts w:ascii="Arial Narrow" w:hAnsi="Arial Narrow" w:eastAsiaTheme="minorEastAsia"/>
                <w:color w:val="000000"/>
                <w:szCs w:val="21"/>
              </w:rPr>
              <w:t>-2,699,800.20</w:t>
            </w:r>
          </w:p>
        </w:tc>
      </w:tr>
      <w:tr w14:paraId="564B3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3B8B3D14">
            <w:pPr>
              <w:ind w:right="6"/>
              <w:rPr>
                <w:rFonts w:ascii="Arial Narrow" w:hAnsi="Arial Narrow" w:eastAsiaTheme="minorEastAsia"/>
                <w:szCs w:val="21"/>
              </w:rPr>
            </w:pPr>
            <w:r>
              <w:rPr>
                <w:rFonts w:ascii="Arial Narrow" w:hAnsi="Arial Narrow" w:eastAsiaTheme="minorEastAsia"/>
                <w:szCs w:val="21"/>
              </w:rPr>
              <w:t>本期未确认递延所得税资产的可抵扣暂时性差异或可抵扣亏损的影响</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67B2ED6C">
            <w:pPr>
              <w:jc w:val="right"/>
              <w:rPr>
                <w:rFonts w:ascii="Arial Narrow" w:hAnsi="Arial Narrow" w:eastAsiaTheme="minorEastAsia"/>
                <w:szCs w:val="21"/>
              </w:rPr>
            </w:pPr>
            <w:r>
              <w:rPr>
                <w:rFonts w:ascii="Arial Narrow" w:hAnsi="Arial Narrow" w:eastAsiaTheme="minorEastAsia"/>
                <w:color w:val="000000"/>
                <w:szCs w:val="21"/>
              </w:rPr>
              <w:t>880,630,328.74</w:t>
            </w:r>
          </w:p>
        </w:tc>
      </w:tr>
      <w:tr w14:paraId="02C9B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6" w:space="0"/>
              <w:bottom w:val="single" w:color="auto" w:sz="6" w:space="0"/>
              <w:right w:val="single" w:color="auto" w:sz="6" w:space="0"/>
            </w:tcBorders>
            <w:shd w:val="clear" w:color="auto" w:fill="auto"/>
            <w:vAlign w:val="bottom"/>
          </w:tcPr>
          <w:p w14:paraId="1F29F941">
            <w:pPr>
              <w:rPr>
                <w:rFonts w:ascii="Arial Narrow" w:hAnsi="Arial Narrow" w:eastAsiaTheme="minorEastAsia"/>
                <w:szCs w:val="21"/>
              </w:rPr>
            </w:pPr>
            <w:r>
              <w:rPr>
                <w:rFonts w:ascii="Arial Narrow" w:hAnsi="Arial Narrow" w:eastAsiaTheme="minorEastAsia"/>
                <w:color w:val="000000"/>
                <w:szCs w:val="21"/>
              </w:rPr>
              <w:t>研发费用加计扣除</w:t>
            </w:r>
          </w:p>
        </w:tc>
        <w:tc>
          <w:tcPr>
            <w:tcW w:w="2581" w:type="pct"/>
            <w:tcBorders>
              <w:top w:val="single" w:color="auto" w:sz="6" w:space="0"/>
              <w:left w:val="single" w:color="auto" w:sz="6" w:space="0"/>
              <w:bottom w:val="single" w:color="auto" w:sz="6" w:space="0"/>
              <w:right w:val="single" w:color="auto" w:sz="6" w:space="0"/>
            </w:tcBorders>
            <w:shd w:val="clear" w:color="auto" w:fill="auto"/>
            <w:vAlign w:val="center"/>
          </w:tcPr>
          <w:p w14:paraId="284BE62A">
            <w:pPr>
              <w:jc w:val="right"/>
              <w:rPr>
                <w:rFonts w:ascii="Arial Narrow" w:hAnsi="Arial Narrow" w:eastAsiaTheme="minorEastAsia"/>
                <w:szCs w:val="21"/>
              </w:rPr>
            </w:pPr>
            <w:r>
              <w:rPr>
                <w:rFonts w:ascii="Arial Narrow" w:hAnsi="Arial Narrow" w:eastAsiaTheme="minorEastAsia"/>
                <w:color w:val="000000"/>
                <w:szCs w:val="21"/>
              </w:rPr>
              <w:t>-7,968,554.17</w:t>
            </w:r>
          </w:p>
        </w:tc>
      </w:tr>
      <w:tr w14:paraId="0E3F0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13" w:type="dxa"/>
            <w:bottom w:w="0" w:type="dxa"/>
            <w:right w:w="113" w:type="dxa"/>
          </w:tblCellMar>
        </w:tblPrEx>
        <w:tc>
          <w:tcPr>
            <w:tcW w:w="2419" w:type="pct"/>
            <w:tcBorders>
              <w:top w:val="single" w:color="auto" w:sz="4" w:space="0"/>
              <w:left w:val="single" w:color="auto" w:sz="4" w:space="0"/>
              <w:bottom w:val="single" w:color="auto" w:sz="4" w:space="0"/>
              <w:right w:val="single" w:color="auto" w:sz="4" w:space="0"/>
            </w:tcBorders>
            <w:shd w:val="clear" w:color="auto" w:fill="auto"/>
          </w:tcPr>
          <w:p w14:paraId="6F139780">
            <w:pPr>
              <w:rPr>
                <w:rFonts w:ascii="Arial Narrow" w:hAnsi="Arial Narrow" w:eastAsiaTheme="minorEastAsia"/>
                <w:szCs w:val="21"/>
              </w:rPr>
            </w:pPr>
            <w:r>
              <w:rPr>
                <w:rFonts w:ascii="Arial Narrow" w:hAnsi="Arial Narrow" w:eastAsiaTheme="minorEastAsia"/>
                <w:szCs w:val="21"/>
              </w:rPr>
              <w:t>所得税费用</w:t>
            </w:r>
          </w:p>
        </w:tc>
        <w:tc>
          <w:tcPr>
            <w:tcW w:w="2581" w:type="pct"/>
            <w:tcBorders>
              <w:top w:val="single" w:color="auto" w:sz="6" w:space="0"/>
              <w:left w:val="single" w:color="auto" w:sz="4" w:space="0"/>
              <w:bottom w:val="single" w:color="auto" w:sz="6" w:space="0"/>
              <w:right w:val="single" w:color="auto" w:sz="6" w:space="0"/>
            </w:tcBorders>
            <w:shd w:val="clear" w:color="auto" w:fill="auto"/>
            <w:vAlign w:val="center"/>
          </w:tcPr>
          <w:p w14:paraId="5DA7ED14">
            <w:pPr>
              <w:jc w:val="right"/>
              <w:rPr>
                <w:rFonts w:ascii="Arial Narrow" w:hAnsi="Arial Narrow" w:eastAsiaTheme="minorEastAsia"/>
                <w:szCs w:val="21"/>
              </w:rPr>
            </w:pPr>
            <w:r>
              <w:rPr>
                <w:rFonts w:ascii="Arial Narrow" w:hAnsi="Arial Narrow" w:eastAsiaTheme="minorEastAsia"/>
                <w:color w:val="000000"/>
                <w:szCs w:val="21"/>
              </w:rPr>
              <w:t>-35,649,850.76</w:t>
            </w:r>
          </w:p>
        </w:tc>
      </w:tr>
    </w:tbl>
    <w:p w14:paraId="222AECD7">
      <w:pPr>
        <w:rPr>
          <w:rFonts w:hint="eastAsia"/>
          <w:szCs w:val="21"/>
        </w:rPr>
      </w:pPr>
    </w:p>
    <w:p w14:paraId="63CCC88C">
      <w:pPr>
        <w:spacing w:before="60" w:after="60"/>
        <w:rPr>
          <w:rFonts w:hint="eastAsia"/>
          <w:szCs w:val="21"/>
        </w:rPr>
      </w:pPr>
      <w:r>
        <w:rPr>
          <w:rFonts w:hint="eastAsia"/>
          <w:szCs w:val="21"/>
        </w:rPr>
        <w:t>其他说明：</w:t>
      </w:r>
    </w:p>
    <w:sdt>
      <w:sdtPr>
        <w:rPr>
          <w:szCs w:val="21"/>
        </w:rPr>
        <w:alias w:val="是否适用：所得税费用的说明[双击切换]"/>
        <w:tag w:val="_GBC_6d867e6606c643469619e039bd83c158"/>
        <w:id w:val="990607178"/>
        <w:placeholder>
          <w:docPart w:val="GBC22222222222222222222222222222"/>
        </w:placeholder>
      </w:sdtPr>
      <w:sdtEndPr>
        <w:rPr>
          <w:szCs w:val="21"/>
        </w:rPr>
      </w:sdtEndPr>
      <w:sdtContent>
        <w:p w14:paraId="436E21C1">
          <w:pPr>
            <w:spacing w:before="60" w:after="60"/>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311C2BA">
      <w:pPr>
        <w:rPr>
          <w:rFonts w:hint="eastAsia"/>
          <w:b/>
        </w:rPr>
      </w:pPr>
    </w:p>
    <w:p w14:paraId="0B683CB4">
      <w:pPr>
        <w:pStyle w:val="70"/>
        <w:numPr>
          <w:ilvl w:val="0"/>
          <w:numId w:val="109"/>
        </w:numPr>
        <w:rPr>
          <w:szCs w:val="21"/>
        </w:rPr>
      </w:pPr>
      <w:r>
        <w:rPr>
          <w:szCs w:val="21"/>
        </w:rPr>
        <w:t>其他综合收益</w:t>
      </w:r>
    </w:p>
    <w:sdt>
      <w:sdtPr>
        <w:alias w:val="是否适用：其他综合收益说明[双击切换]"/>
        <w:tag w:val="_GBC_055e86e99cd742699e3e89a438a26b74"/>
        <w:id w:val="-1645573192"/>
        <w:placeholder>
          <w:docPart w:val="GBC22222222222222222222222222222"/>
        </w:placeholder>
      </w:sdtPr>
      <w:sdtContent>
        <w:p w14:paraId="38ED84DB">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B0E99A2">
      <w:pPr>
        <w:rPr>
          <w:rFonts w:hint="eastAsia"/>
        </w:rPr>
      </w:pPr>
      <w:sdt>
        <w:sdtPr>
          <w:rPr>
            <w:rFonts w:hint="eastAsia"/>
            <w:szCs w:val="21"/>
          </w:rPr>
          <w:alias w:val="其他综合收益详见附注"/>
          <w:tag w:val="_GBC_88f79522b3404a9cba25ea8b611e6680"/>
          <w:id w:val="1564981515"/>
          <w:placeholder>
            <w:docPart w:val="GBC22222222222222222222222222222"/>
          </w:placeholder>
        </w:sdtPr>
        <w:sdtEndPr>
          <w:rPr>
            <w:rFonts w:hint="eastAsia"/>
            <w:szCs w:val="21"/>
          </w:rPr>
        </w:sdtEndPr>
        <w:sdtContent>
          <w:r>
            <w:rPr>
              <w:rFonts w:hint="eastAsia"/>
              <w:szCs w:val="21"/>
            </w:rPr>
            <w:t>详见附注七、57</w:t>
          </w:r>
        </w:sdtContent>
      </w:sdt>
    </w:p>
    <w:p w14:paraId="4A2887AF">
      <w:pPr>
        <w:rPr>
          <w:rFonts w:hint="eastAsia"/>
        </w:rPr>
      </w:pPr>
    </w:p>
    <w:p w14:paraId="0FEA2862">
      <w:pPr>
        <w:pStyle w:val="70"/>
        <w:numPr>
          <w:ilvl w:val="0"/>
          <w:numId w:val="109"/>
        </w:numPr>
        <w:rPr>
          <w:szCs w:val="21"/>
        </w:rPr>
      </w:pPr>
      <w:r>
        <w:rPr>
          <w:szCs w:val="21"/>
        </w:rPr>
        <w:t>现金流量表项目</w:t>
      </w:r>
    </w:p>
    <w:p w14:paraId="251BE8FB">
      <w:pPr>
        <w:pStyle w:val="71"/>
        <w:numPr>
          <w:ilvl w:val="0"/>
          <w:numId w:val="149"/>
        </w:numPr>
        <w:ind w:left="426" w:hanging="426"/>
        <w:rPr>
          <w:rFonts w:hint="eastAsia"/>
        </w:rPr>
      </w:pPr>
      <w:r>
        <w:rPr>
          <w:rFonts w:hint="eastAsia"/>
        </w:rPr>
        <w:t>与经营活动有关的现金</w:t>
      </w:r>
    </w:p>
    <w:p w14:paraId="3AC5B38F">
      <w:pPr>
        <w:rPr>
          <w:rFonts w:hint="eastAsia"/>
        </w:rPr>
      </w:pPr>
      <w:r>
        <w:rPr>
          <w:rFonts w:hint="eastAsia"/>
        </w:rPr>
        <w:t>收到的其他与经营活动有关的现金</w:t>
      </w:r>
    </w:p>
    <w:sdt>
      <w:sdtPr>
        <w:alias w:val="是否适用：收到的其他与经营活动有关的现金[双击切换]"/>
        <w:tag w:val="_GBC_27345010807c4445aa9d99ce1518a33b"/>
        <w:id w:val="813768250"/>
        <w:placeholder>
          <w:docPart w:val="GBC22222222222222222222222222222"/>
        </w:placeholder>
      </w:sdtPr>
      <w:sdtContent>
        <w:p w14:paraId="4D864EA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483AD50">
      <w:pPr>
        <w:jc w:val="right"/>
        <w:rPr>
          <w:rFonts w:hint="eastAsia"/>
          <w:szCs w:val="21"/>
        </w:rPr>
      </w:pPr>
      <w:r>
        <w:rPr>
          <w:rFonts w:hint="eastAsia"/>
          <w:szCs w:val="21"/>
        </w:rPr>
        <w:t>单位：</w:t>
      </w:r>
      <w:sdt>
        <w:sdtPr>
          <w:rPr>
            <w:rFonts w:hint="eastAsia"/>
            <w:szCs w:val="21"/>
          </w:rPr>
          <w:alias w:val="单位：财务附注：收到的其他与经营活动有关的现金"/>
          <w:tag w:val="_GBC_dda6e50e7ee34f71977565af2472b533"/>
          <w:id w:val="-6037351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7236004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321"/>
        <w:gridCol w:w="2756"/>
        <w:gridCol w:w="2746"/>
      </w:tblGrid>
      <w:tr w14:paraId="5533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blHeader/>
        </w:trPr>
        <w:sdt>
          <w:sdtPr>
            <w:rPr>
              <w:rFonts w:ascii="Arial Narrow" w:hAnsi="Arial Narrow" w:eastAsiaTheme="minorEastAsia"/>
              <w:szCs w:val="21"/>
            </w:rPr>
            <w:tag w:val="_PLD_f7a5d7090c5c4e2b95d9e6f0ea383580"/>
            <w:id w:val="-1544898932"/>
          </w:sdtPr>
          <w:sdtEndPr>
            <w:rPr>
              <w:rFonts w:ascii="Arial Narrow" w:hAnsi="Arial Narrow" w:eastAsiaTheme="minorEastAsia"/>
              <w:szCs w:val="21"/>
            </w:rPr>
          </w:sdtEndPr>
          <w:sdtContent>
            <w:tc>
              <w:tcPr>
                <w:tcW w:w="1882" w:type="pct"/>
              </w:tcPr>
              <w:p w14:paraId="183DDFFD">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6a2d5fc680f64ea980912395fdf43d18"/>
            <w:id w:val="2144844609"/>
          </w:sdtPr>
          <w:sdtEndPr>
            <w:rPr>
              <w:rFonts w:ascii="Arial Narrow" w:hAnsi="Arial Narrow" w:eastAsiaTheme="minorEastAsia"/>
              <w:szCs w:val="21"/>
            </w:rPr>
          </w:sdtEndPr>
          <w:sdtContent>
            <w:tc>
              <w:tcPr>
                <w:tcW w:w="1562" w:type="pct"/>
              </w:tcPr>
              <w:p w14:paraId="18C6B97D">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4c33d44ff7254e8994d6dacbfee10de3"/>
            <w:id w:val="444744706"/>
          </w:sdtPr>
          <w:sdtEndPr>
            <w:rPr>
              <w:rFonts w:ascii="Arial Narrow" w:hAnsi="Arial Narrow" w:eastAsiaTheme="minorEastAsia"/>
              <w:szCs w:val="21"/>
            </w:rPr>
          </w:sdtEndPr>
          <w:sdtContent>
            <w:tc>
              <w:tcPr>
                <w:tcW w:w="1556" w:type="pct"/>
              </w:tcPr>
              <w:p w14:paraId="1AC6BC51">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411F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25D1A976">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往来款</w:t>
            </w:r>
          </w:p>
        </w:tc>
        <w:tc>
          <w:tcPr>
            <w:tcW w:w="1562" w:type="pct"/>
            <w:vAlign w:val="center"/>
          </w:tcPr>
          <w:p w14:paraId="775EE922">
            <w:pPr>
              <w:jc w:val="right"/>
              <w:rPr>
                <w:rFonts w:ascii="Arial Narrow" w:hAnsi="Arial Narrow" w:eastAsiaTheme="minorEastAsia"/>
                <w:szCs w:val="21"/>
              </w:rPr>
            </w:pPr>
            <w:r>
              <w:rPr>
                <w:rFonts w:ascii="Arial Narrow" w:hAnsi="Arial Narrow" w:eastAsiaTheme="minorEastAsia"/>
                <w:color w:val="000000"/>
                <w:szCs w:val="21"/>
              </w:rPr>
              <w:t>334,207,273.20</w:t>
            </w:r>
          </w:p>
        </w:tc>
        <w:tc>
          <w:tcPr>
            <w:tcW w:w="1556" w:type="pct"/>
            <w:vAlign w:val="center"/>
          </w:tcPr>
          <w:p w14:paraId="0F22B251">
            <w:pPr>
              <w:jc w:val="right"/>
              <w:rPr>
                <w:rFonts w:ascii="Arial Narrow" w:hAnsi="Arial Narrow" w:eastAsiaTheme="minorEastAsia"/>
                <w:szCs w:val="21"/>
              </w:rPr>
            </w:pPr>
            <w:r>
              <w:rPr>
                <w:rFonts w:ascii="Arial Narrow" w:hAnsi="Arial Narrow" w:eastAsiaTheme="minorEastAsia"/>
                <w:color w:val="000000"/>
                <w:szCs w:val="21"/>
              </w:rPr>
              <w:t>311,210,748.83</w:t>
            </w:r>
          </w:p>
        </w:tc>
      </w:tr>
      <w:tr w14:paraId="62F6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73C00BA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收退回的保证金</w:t>
            </w:r>
          </w:p>
        </w:tc>
        <w:tc>
          <w:tcPr>
            <w:tcW w:w="1562" w:type="pct"/>
            <w:vAlign w:val="center"/>
          </w:tcPr>
          <w:p w14:paraId="298B4ADA">
            <w:pPr>
              <w:jc w:val="right"/>
              <w:rPr>
                <w:rFonts w:ascii="Arial Narrow" w:hAnsi="Arial Narrow" w:eastAsiaTheme="minorEastAsia"/>
                <w:szCs w:val="21"/>
              </w:rPr>
            </w:pPr>
            <w:r>
              <w:rPr>
                <w:rFonts w:ascii="Arial Narrow" w:hAnsi="Arial Narrow" w:eastAsiaTheme="minorEastAsia"/>
                <w:color w:val="000000"/>
                <w:szCs w:val="21"/>
              </w:rPr>
              <w:t>222,279,029.28</w:t>
            </w:r>
          </w:p>
        </w:tc>
        <w:tc>
          <w:tcPr>
            <w:tcW w:w="1556" w:type="pct"/>
            <w:vAlign w:val="center"/>
          </w:tcPr>
          <w:p w14:paraId="5FC3508E">
            <w:pPr>
              <w:jc w:val="right"/>
              <w:rPr>
                <w:rFonts w:ascii="Arial Narrow" w:hAnsi="Arial Narrow" w:eastAsiaTheme="minorEastAsia"/>
                <w:szCs w:val="21"/>
              </w:rPr>
            </w:pPr>
            <w:r>
              <w:rPr>
                <w:rFonts w:ascii="Arial Narrow" w:hAnsi="Arial Narrow" w:eastAsiaTheme="minorEastAsia"/>
                <w:color w:val="000000"/>
                <w:szCs w:val="21"/>
              </w:rPr>
              <w:t>237,463,462.76</w:t>
            </w:r>
          </w:p>
        </w:tc>
      </w:tr>
      <w:tr w14:paraId="7E34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1B8500BE">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利息收入</w:t>
            </w:r>
          </w:p>
        </w:tc>
        <w:tc>
          <w:tcPr>
            <w:tcW w:w="1562" w:type="pct"/>
            <w:vAlign w:val="center"/>
          </w:tcPr>
          <w:p w14:paraId="587A49F2">
            <w:pPr>
              <w:jc w:val="right"/>
              <w:rPr>
                <w:rFonts w:ascii="Arial Narrow" w:hAnsi="Arial Narrow" w:eastAsiaTheme="minorEastAsia"/>
                <w:szCs w:val="21"/>
              </w:rPr>
            </w:pPr>
            <w:r>
              <w:rPr>
                <w:rFonts w:ascii="Arial Narrow" w:hAnsi="Arial Narrow" w:eastAsiaTheme="minorEastAsia"/>
                <w:color w:val="000000"/>
                <w:szCs w:val="21"/>
              </w:rPr>
              <w:t>64,855,135.80</w:t>
            </w:r>
          </w:p>
        </w:tc>
        <w:tc>
          <w:tcPr>
            <w:tcW w:w="1556" w:type="pct"/>
            <w:vAlign w:val="center"/>
          </w:tcPr>
          <w:p w14:paraId="6673A958">
            <w:pPr>
              <w:jc w:val="right"/>
              <w:rPr>
                <w:rFonts w:ascii="Arial Narrow" w:hAnsi="Arial Narrow" w:eastAsiaTheme="minorEastAsia"/>
                <w:szCs w:val="21"/>
              </w:rPr>
            </w:pPr>
            <w:r>
              <w:rPr>
                <w:rFonts w:ascii="Arial Narrow" w:hAnsi="Arial Narrow" w:eastAsiaTheme="minorEastAsia"/>
                <w:color w:val="000000"/>
                <w:szCs w:val="21"/>
              </w:rPr>
              <w:t>114,473,482.63</w:t>
            </w:r>
          </w:p>
        </w:tc>
      </w:tr>
      <w:tr w14:paraId="138A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40FB39CA">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租金收入</w:t>
            </w:r>
          </w:p>
        </w:tc>
        <w:tc>
          <w:tcPr>
            <w:tcW w:w="1562" w:type="pct"/>
            <w:vAlign w:val="center"/>
          </w:tcPr>
          <w:p w14:paraId="00E4C34B">
            <w:pPr>
              <w:jc w:val="right"/>
              <w:rPr>
                <w:rFonts w:ascii="Arial Narrow" w:hAnsi="Arial Narrow" w:eastAsiaTheme="minorEastAsia"/>
                <w:szCs w:val="21"/>
              </w:rPr>
            </w:pPr>
            <w:r>
              <w:rPr>
                <w:rFonts w:ascii="Arial Narrow" w:hAnsi="Arial Narrow" w:eastAsiaTheme="minorEastAsia"/>
                <w:color w:val="000000"/>
                <w:szCs w:val="21"/>
              </w:rPr>
              <w:t>67,475,653.51</w:t>
            </w:r>
          </w:p>
        </w:tc>
        <w:tc>
          <w:tcPr>
            <w:tcW w:w="1556" w:type="pct"/>
            <w:vAlign w:val="center"/>
          </w:tcPr>
          <w:p w14:paraId="6324BD9B">
            <w:pPr>
              <w:jc w:val="right"/>
              <w:rPr>
                <w:rFonts w:ascii="Arial Narrow" w:hAnsi="Arial Narrow" w:eastAsiaTheme="minorEastAsia"/>
                <w:szCs w:val="21"/>
              </w:rPr>
            </w:pPr>
            <w:r>
              <w:rPr>
                <w:rFonts w:ascii="Arial Narrow" w:hAnsi="Arial Narrow" w:eastAsiaTheme="minorEastAsia"/>
                <w:color w:val="000000"/>
                <w:szCs w:val="21"/>
              </w:rPr>
              <w:t>42,879,670.60</w:t>
            </w:r>
          </w:p>
        </w:tc>
      </w:tr>
      <w:tr w14:paraId="2C81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4E0E265A">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政府补助</w:t>
            </w:r>
          </w:p>
        </w:tc>
        <w:tc>
          <w:tcPr>
            <w:tcW w:w="1562" w:type="pct"/>
            <w:vAlign w:val="center"/>
          </w:tcPr>
          <w:p w14:paraId="0FE22B0E">
            <w:pPr>
              <w:jc w:val="right"/>
              <w:rPr>
                <w:rFonts w:ascii="Arial Narrow" w:hAnsi="Arial Narrow" w:eastAsiaTheme="minorEastAsia"/>
                <w:szCs w:val="21"/>
              </w:rPr>
            </w:pPr>
            <w:r>
              <w:rPr>
                <w:rFonts w:ascii="Arial Narrow" w:hAnsi="Arial Narrow" w:eastAsiaTheme="minorEastAsia"/>
                <w:color w:val="000000"/>
                <w:szCs w:val="21"/>
              </w:rPr>
              <w:t>36,939,487.59</w:t>
            </w:r>
          </w:p>
        </w:tc>
        <w:tc>
          <w:tcPr>
            <w:tcW w:w="1556" w:type="pct"/>
            <w:vAlign w:val="center"/>
          </w:tcPr>
          <w:p w14:paraId="729A8230">
            <w:pPr>
              <w:jc w:val="right"/>
              <w:rPr>
                <w:rFonts w:ascii="Arial Narrow" w:hAnsi="Arial Narrow" w:eastAsiaTheme="minorEastAsia"/>
                <w:szCs w:val="21"/>
              </w:rPr>
            </w:pPr>
            <w:r>
              <w:rPr>
                <w:rFonts w:ascii="Arial Narrow" w:hAnsi="Arial Narrow" w:eastAsiaTheme="minorEastAsia"/>
                <w:color w:val="000000"/>
                <w:szCs w:val="21"/>
              </w:rPr>
              <w:t>50,190,530.61</w:t>
            </w:r>
          </w:p>
        </w:tc>
      </w:tr>
      <w:tr w14:paraId="71D7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79FD3BEA">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备用金结算</w:t>
            </w:r>
          </w:p>
        </w:tc>
        <w:tc>
          <w:tcPr>
            <w:tcW w:w="1562" w:type="pct"/>
            <w:vAlign w:val="center"/>
          </w:tcPr>
          <w:p w14:paraId="02F072A7">
            <w:pPr>
              <w:jc w:val="right"/>
              <w:rPr>
                <w:rFonts w:ascii="Arial Narrow" w:hAnsi="Arial Narrow" w:eastAsiaTheme="minorEastAsia"/>
                <w:szCs w:val="21"/>
              </w:rPr>
            </w:pPr>
            <w:r>
              <w:rPr>
                <w:rFonts w:ascii="Arial Narrow" w:hAnsi="Arial Narrow" w:eastAsiaTheme="minorEastAsia"/>
                <w:color w:val="000000"/>
                <w:szCs w:val="21"/>
              </w:rPr>
              <w:t>9,899,328.00</w:t>
            </w:r>
          </w:p>
        </w:tc>
        <w:tc>
          <w:tcPr>
            <w:tcW w:w="1556" w:type="pct"/>
            <w:vAlign w:val="center"/>
          </w:tcPr>
          <w:p w14:paraId="5D6B20D8">
            <w:pPr>
              <w:jc w:val="right"/>
              <w:rPr>
                <w:rFonts w:ascii="Arial Narrow" w:hAnsi="Arial Narrow" w:eastAsiaTheme="minorEastAsia"/>
                <w:szCs w:val="21"/>
              </w:rPr>
            </w:pPr>
            <w:r>
              <w:rPr>
                <w:rFonts w:ascii="Arial Narrow" w:hAnsi="Arial Narrow" w:eastAsiaTheme="minorEastAsia"/>
                <w:color w:val="000000"/>
                <w:szCs w:val="21"/>
              </w:rPr>
              <w:t>14,741,831.92</w:t>
            </w:r>
          </w:p>
        </w:tc>
      </w:tr>
      <w:tr w14:paraId="012E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052422BE">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代收水电费用等</w:t>
            </w:r>
          </w:p>
        </w:tc>
        <w:tc>
          <w:tcPr>
            <w:tcW w:w="1562" w:type="pct"/>
            <w:vAlign w:val="center"/>
          </w:tcPr>
          <w:p w14:paraId="565587B2">
            <w:pPr>
              <w:jc w:val="right"/>
              <w:rPr>
                <w:rFonts w:ascii="Arial Narrow" w:hAnsi="Arial Narrow" w:eastAsiaTheme="minorEastAsia"/>
                <w:szCs w:val="21"/>
              </w:rPr>
            </w:pPr>
            <w:r>
              <w:rPr>
                <w:rFonts w:ascii="Arial Narrow" w:hAnsi="Arial Narrow" w:eastAsiaTheme="minorEastAsia"/>
                <w:color w:val="000000"/>
                <w:szCs w:val="21"/>
              </w:rPr>
              <w:t>8,573,079.83</w:t>
            </w:r>
          </w:p>
        </w:tc>
        <w:tc>
          <w:tcPr>
            <w:tcW w:w="1556" w:type="pct"/>
            <w:vAlign w:val="center"/>
          </w:tcPr>
          <w:p w14:paraId="2A43AC1B">
            <w:pPr>
              <w:jc w:val="right"/>
              <w:rPr>
                <w:rFonts w:ascii="Arial Narrow" w:hAnsi="Arial Narrow" w:eastAsiaTheme="minorEastAsia"/>
                <w:szCs w:val="21"/>
              </w:rPr>
            </w:pPr>
            <w:r>
              <w:rPr>
                <w:rFonts w:ascii="Arial Narrow" w:hAnsi="Arial Narrow" w:eastAsiaTheme="minorEastAsia"/>
                <w:color w:val="000000"/>
                <w:szCs w:val="21"/>
              </w:rPr>
              <w:t>14,744,189.95</w:t>
            </w:r>
          </w:p>
        </w:tc>
      </w:tr>
      <w:tr w14:paraId="2AF8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6731DF58">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零星收入</w:t>
            </w:r>
          </w:p>
        </w:tc>
        <w:tc>
          <w:tcPr>
            <w:tcW w:w="1562" w:type="pct"/>
            <w:vAlign w:val="center"/>
          </w:tcPr>
          <w:p w14:paraId="7F521319">
            <w:pPr>
              <w:jc w:val="right"/>
              <w:rPr>
                <w:rFonts w:ascii="Arial Narrow" w:hAnsi="Arial Narrow" w:eastAsiaTheme="minorEastAsia"/>
                <w:szCs w:val="21"/>
              </w:rPr>
            </w:pPr>
            <w:r>
              <w:rPr>
                <w:rFonts w:ascii="Arial Narrow" w:hAnsi="Arial Narrow" w:eastAsiaTheme="minorEastAsia"/>
                <w:color w:val="000000"/>
                <w:szCs w:val="21"/>
              </w:rPr>
              <w:t>3,039,220.89</w:t>
            </w:r>
          </w:p>
        </w:tc>
        <w:tc>
          <w:tcPr>
            <w:tcW w:w="1556" w:type="pct"/>
            <w:vAlign w:val="center"/>
          </w:tcPr>
          <w:p w14:paraId="0AB3B37A">
            <w:pPr>
              <w:jc w:val="right"/>
              <w:rPr>
                <w:rFonts w:ascii="Arial Narrow" w:hAnsi="Arial Narrow" w:eastAsiaTheme="minorEastAsia"/>
                <w:szCs w:val="21"/>
              </w:rPr>
            </w:pPr>
            <w:r>
              <w:rPr>
                <w:rFonts w:ascii="Arial Narrow" w:hAnsi="Arial Narrow" w:eastAsiaTheme="minorEastAsia"/>
                <w:color w:val="000000"/>
                <w:szCs w:val="21"/>
              </w:rPr>
              <w:t>1,994,838.33</w:t>
            </w:r>
          </w:p>
        </w:tc>
      </w:tr>
      <w:tr w14:paraId="0F57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2C88ADD2">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代收社保返还款</w:t>
            </w:r>
          </w:p>
        </w:tc>
        <w:tc>
          <w:tcPr>
            <w:tcW w:w="1562" w:type="pct"/>
            <w:vAlign w:val="center"/>
          </w:tcPr>
          <w:p w14:paraId="1281109B">
            <w:pPr>
              <w:jc w:val="right"/>
              <w:rPr>
                <w:rFonts w:ascii="Arial Narrow" w:hAnsi="Arial Narrow" w:eastAsiaTheme="minorEastAsia"/>
                <w:szCs w:val="21"/>
              </w:rPr>
            </w:pPr>
            <w:r>
              <w:rPr>
                <w:rFonts w:ascii="Arial Narrow" w:hAnsi="Arial Narrow" w:eastAsiaTheme="minorEastAsia"/>
                <w:color w:val="000000"/>
                <w:szCs w:val="21"/>
              </w:rPr>
              <w:t>5,078,504.02</w:t>
            </w:r>
          </w:p>
        </w:tc>
        <w:tc>
          <w:tcPr>
            <w:tcW w:w="1556" w:type="pct"/>
            <w:vAlign w:val="center"/>
          </w:tcPr>
          <w:p w14:paraId="7C66D070">
            <w:pPr>
              <w:jc w:val="right"/>
              <w:rPr>
                <w:rFonts w:ascii="Arial Narrow" w:hAnsi="Arial Narrow" w:eastAsiaTheme="minorEastAsia"/>
                <w:szCs w:val="21"/>
              </w:rPr>
            </w:pPr>
            <w:r>
              <w:rPr>
                <w:rFonts w:ascii="Arial Narrow" w:hAnsi="Arial Narrow" w:eastAsiaTheme="minorEastAsia"/>
                <w:color w:val="000000"/>
                <w:szCs w:val="21"/>
              </w:rPr>
              <w:t>4,760,071.73</w:t>
            </w:r>
          </w:p>
        </w:tc>
      </w:tr>
      <w:tr w14:paraId="723A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2510F38B">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szCs w:val="21"/>
              </w:rPr>
              <w:t>其他</w:t>
            </w:r>
          </w:p>
        </w:tc>
        <w:tc>
          <w:tcPr>
            <w:tcW w:w="1562" w:type="pct"/>
            <w:vAlign w:val="center"/>
          </w:tcPr>
          <w:p w14:paraId="165BDAE3">
            <w:pPr>
              <w:jc w:val="right"/>
              <w:rPr>
                <w:rFonts w:ascii="Arial Narrow" w:hAnsi="Arial Narrow" w:eastAsiaTheme="minorEastAsia"/>
                <w:szCs w:val="21"/>
              </w:rPr>
            </w:pPr>
            <w:r>
              <w:rPr>
                <w:rFonts w:ascii="Arial Narrow" w:hAnsi="Arial Narrow" w:eastAsiaTheme="minorEastAsia"/>
                <w:color w:val="000000"/>
                <w:szCs w:val="21"/>
              </w:rPr>
              <w:t>35,246,599.68</w:t>
            </w:r>
          </w:p>
        </w:tc>
        <w:tc>
          <w:tcPr>
            <w:tcW w:w="1556" w:type="pct"/>
            <w:vAlign w:val="center"/>
          </w:tcPr>
          <w:p w14:paraId="5CE90391">
            <w:pPr>
              <w:jc w:val="right"/>
              <w:rPr>
                <w:rFonts w:ascii="Arial Narrow" w:hAnsi="Arial Narrow" w:eastAsiaTheme="minorEastAsia"/>
                <w:szCs w:val="21"/>
              </w:rPr>
            </w:pPr>
            <w:r>
              <w:rPr>
                <w:rFonts w:ascii="Arial Narrow" w:hAnsi="Arial Narrow" w:eastAsiaTheme="minorEastAsia"/>
                <w:color w:val="000000"/>
                <w:szCs w:val="21"/>
              </w:rPr>
              <w:t>34,828,500.01</w:t>
            </w:r>
          </w:p>
        </w:tc>
      </w:tr>
      <w:tr w14:paraId="6321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5C6DE3F7">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tc>
          <w:tcPr>
            <w:tcW w:w="1562" w:type="pct"/>
            <w:vAlign w:val="center"/>
          </w:tcPr>
          <w:p w14:paraId="7ECF5384">
            <w:pPr>
              <w:jc w:val="right"/>
              <w:rPr>
                <w:rFonts w:ascii="Arial Narrow" w:hAnsi="Arial Narrow" w:eastAsiaTheme="minorEastAsia"/>
                <w:szCs w:val="21"/>
              </w:rPr>
            </w:pPr>
            <w:r>
              <w:rPr>
                <w:rFonts w:ascii="Arial Narrow" w:hAnsi="Arial Narrow" w:eastAsiaTheme="minorEastAsia"/>
                <w:color w:val="000000"/>
                <w:szCs w:val="21"/>
              </w:rPr>
              <w:t>787,593,311.80</w:t>
            </w:r>
          </w:p>
        </w:tc>
        <w:tc>
          <w:tcPr>
            <w:tcW w:w="1556" w:type="pct"/>
            <w:vAlign w:val="center"/>
          </w:tcPr>
          <w:p w14:paraId="72C3F885">
            <w:pPr>
              <w:jc w:val="right"/>
              <w:rPr>
                <w:rFonts w:ascii="Arial Narrow" w:hAnsi="Arial Narrow" w:eastAsiaTheme="minorEastAsia"/>
                <w:szCs w:val="21"/>
              </w:rPr>
            </w:pPr>
            <w:r>
              <w:rPr>
                <w:rFonts w:ascii="Arial Narrow" w:hAnsi="Arial Narrow" w:eastAsiaTheme="minorEastAsia"/>
                <w:color w:val="000000"/>
                <w:szCs w:val="21"/>
              </w:rPr>
              <w:t>827,287,327.37</w:t>
            </w:r>
          </w:p>
        </w:tc>
      </w:tr>
    </w:tbl>
    <w:p w14:paraId="28758FB1">
      <w:pPr>
        <w:rPr>
          <w:rFonts w:hint="eastAsia"/>
        </w:rPr>
      </w:pPr>
    </w:p>
    <w:p w14:paraId="288A848A">
      <w:pPr>
        <w:snapToGrid w:val="0"/>
        <w:spacing w:before="60" w:after="60" w:line="240" w:lineRule="atLeast"/>
        <w:rPr>
          <w:rFonts w:hint="eastAsia"/>
          <w:szCs w:val="21"/>
        </w:rPr>
      </w:pPr>
      <w:r>
        <w:rPr>
          <w:rFonts w:hint="eastAsia"/>
          <w:szCs w:val="21"/>
        </w:rPr>
        <w:t>收到的其他与经营活动有关的现金说明：</w:t>
      </w:r>
    </w:p>
    <w:sdt>
      <w:sdtPr>
        <w:rPr>
          <w:szCs w:val="21"/>
        </w:rPr>
        <w:alias w:val="收到的其他与经营活动有关的现金说明"/>
        <w:tag w:val="_GBC_2e3adcc96d704a9b8dd36934b863d3d4"/>
        <w:id w:val="1154338678"/>
        <w:placeholder>
          <w:docPart w:val="GBC22222222222222222222222222222"/>
        </w:placeholder>
      </w:sdtPr>
      <w:sdtEndPr>
        <w:rPr>
          <w:szCs w:val="21"/>
        </w:rPr>
      </w:sdtEndPr>
      <w:sdtContent>
        <w:p w14:paraId="650B5B4D">
          <w:pPr>
            <w:rPr>
              <w:rFonts w:hint="eastAsia"/>
              <w:szCs w:val="21"/>
            </w:rPr>
          </w:pPr>
          <w:r>
            <w:rPr>
              <w:rFonts w:hint="eastAsia"/>
              <w:szCs w:val="21"/>
            </w:rPr>
            <w:t>无</w:t>
          </w:r>
        </w:p>
      </w:sdtContent>
    </w:sdt>
    <w:p w14:paraId="7FBA8983">
      <w:pPr>
        <w:rPr>
          <w:rFonts w:hint="eastAsia"/>
          <w:szCs w:val="21"/>
        </w:rPr>
      </w:pPr>
    </w:p>
    <w:p w14:paraId="323A600D">
      <w:pPr>
        <w:rPr>
          <w:rFonts w:hint="eastAsia"/>
        </w:rPr>
      </w:pPr>
      <w:r>
        <w:rPr>
          <w:rFonts w:hint="eastAsia"/>
        </w:rPr>
        <w:t>支付的其他与经营活动有关的现金</w:t>
      </w:r>
    </w:p>
    <w:sdt>
      <w:sdtPr>
        <w:alias w:val="是否适用：支付的其他与经营活动有关的现金[双击切换]"/>
        <w:tag w:val="_GBC_f4dd9812849049808cd722f0acb16a7a"/>
        <w:id w:val="930473368"/>
        <w:placeholder>
          <w:docPart w:val="GBC22222222222222222222222222222"/>
        </w:placeholder>
      </w:sdtPr>
      <w:sdtContent>
        <w:p w14:paraId="0483972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749C6F9">
      <w:pPr>
        <w:jc w:val="right"/>
        <w:rPr>
          <w:rFonts w:hint="eastAsia"/>
          <w:szCs w:val="21"/>
        </w:rPr>
      </w:pPr>
      <w:r>
        <w:rPr>
          <w:rFonts w:hint="eastAsia"/>
          <w:szCs w:val="21"/>
        </w:rPr>
        <w:t>单位：</w:t>
      </w:r>
      <w:sdt>
        <w:sdtPr>
          <w:rPr>
            <w:rFonts w:hint="eastAsia"/>
            <w:szCs w:val="21"/>
          </w:rPr>
          <w:alias w:val="单位：财务附注：支付的其他与经营活动有关的现金"/>
          <w:tag w:val="_GBC_43b6d286fa3345adb12f59f8ca6d94fd"/>
          <w:id w:val="14196049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4962203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321"/>
        <w:gridCol w:w="2737"/>
        <w:gridCol w:w="2765"/>
      </w:tblGrid>
      <w:tr w14:paraId="35A3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szCs w:val="21"/>
            </w:rPr>
            <w:tag w:val="_PLD_313336294a534de9a634e32311d5592e"/>
            <w:id w:val="444354934"/>
          </w:sdtPr>
          <w:sdtEndPr>
            <w:rPr>
              <w:rFonts w:ascii="Arial Narrow" w:hAnsi="Arial Narrow" w:eastAsiaTheme="minorEastAsia"/>
              <w:szCs w:val="21"/>
            </w:rPr>
          </w:sdtEndPr>
          <w:sdtContent>
            <w:tc>
              <w:tcPr>
                <w:tcW w:w="1882" w:type="pct"/>
              </w:tcPr>
              <w:p w14:paraId="74630D34">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254446e36934468da941d479360a4c79"/>
            <w:id w:val="2022035997"/>
          </w:sdtPr>
          <w:sdtEndPr>
            <w:rPr>
              <w:rFonts w:ascii="Arial Narrow" w:hAnsi="Arial Narrow" w:eastAsiaTheme="minorEastAsia"/>
              <w:szCs w:val="21"/>
            </w:rPr>
          </w:sdtEndPr>
          <w:sdtContent>
            <w:tc>
              <w:tcPr>
                <w:tcW w:w="1551" w:type="pct"/>
              </w:tcPr>
              <w:p w14:paraId="16FE806D">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7dc479c1c10240cc94f89ea3fc1d6136"/>
            <w:id w:val="-80067125"/>
          </w:sdtPr>
          <w:sdtEndPr>
            <w:rPr>
              <w:rFonts w:ascii="Arial Narrow" w:hAnsi="Arial Narrow" w:eastAsiaTheme="minorEastAsia"/>
              <w:szCs w:val="21"/>
            </w:rPr>
          </w:sdtEndPr>
          <w:sdtContent>
            <w:tc>
              <w:tcPr>
                <w:tcW w:w="1567" w:type="pct"/>
              </w:tcPr>
              <w:p w14:paraId="3C9184E1">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784D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5B1209EA">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往来款</w:t>
            </w:r>
          </w:p>
        </w:tc>
        <w:tc>
          <w:tcPr>
            <w:tcW w:w="1551" w:type="pct"/>
            <w:vAlign w:val="center"/>
          </w:tcPr>
          <w:p w14:paraId="5E13359D">
            <w:pPr>
              <w:jc w:val="right"/>
              <w:rPr>
                <w:rFonts w:ascii="Arial Narrow" w:hAnsi="Arial Narrow" w:eastAsiaTheme="minorEastAsia"/>
                <w:szCs w:val="21"/>
              </w:rPr>
            </w:pPr>
            <w:r>
              <w:rPr>
                <w:rFonts w:ascii="Arial Narrow" w:hAnsi="Arial Narrow" w:eastAsiaTheme="minorEastAsia"/>
                <w:color w:val="000000"/>
                <w:szCs w:val="21"/>
              </w:rPr>
              <w:t>319,018,517.20</w:t>
            </w:r>
          </w:p>
        </w:tc>
        <w:tc>
          <w:tcPr>
            <w:tcW w:w="1567" w:type="pct"/>
            <w:vAlign w:val="center"/>
          </w:tcPr>
          <w:p w14:paraId="21FCBF8C">
            <w:pPr>
              <w:jc w:val="right"/>
              <w:rPr>
                <w:rFonts w:ascii="Arial Narrow" w:hAnsi="Arial Narrow" w:eastAsiaTheme="minorEastAsia"/>
                <w:szCs w:val="21"/>
              </w:rPr>
            </w:pPr>
            <w:r>
              <w:rPr>
                <w:rFonts w:ascii="Arial Narrow" w:hAnsi="Arial Narrow" w:eastAsiaTheme="minorEastAsia"/>
                <w:color w:val="000000"/>
                <w:szCs w:val="21"/>
              </w:rPr>
              <w:t>585,140,333.42</w:t>
            </w:r>
          </w:p>
        </w:tc>
      </w:tr>
      <w:tr w14:paraId="3FFE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3DBABCE0">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期间费用</w:t>
            </w:r>
          </w:p>
        </w:tc>
        <w:tc>
          <w:tcPr>
            <w:tcW w:w="1551" w:type="pct"/>
            <w:vAlign w:val="center"/>
          </w:tcPr>
          <w:p w14:paraId="3FECC035">
            <w:pPr>
              <w:jc w:val="right"/>
              <w:rPr>
                <w:rFonts w:ascii="Arial Narrow" w:hAnsi="Arial Narrow" w:eastAsiaTheme="minorEastAsia"/>
                <w:szCs w:val="21"/>
              </w:rPr>
            </w:pPr>
            <w:r>
              <w:rPr>
                <w:rFonts w:ascii="Arial Narrow" w:hAnsi="Arial Narrow" w:eastAsiaTheme="minorEastAsia"/>
                <w:color w:val="000000"/>
                <w:szCs w:val="21"/>
              </w:rPr>
              <w:t>330,451,558.06</w:t>
            </w:r>
          </w:p>
        </w:tc>
        <w:tc>
          <w:tcPr>
            <w:tcW w:w="1567" w:type="pct"/>
            <w:vAlign w:val="center"/>
          </w:tcPr>
          <w:p w14:paraId="78967B21">
            <w:pPr>
              <w:jc w:val="right"/>
              <w:rPr>
                <w:rFonts w:ascii="Arial Narrow" w:hAnsi="Arial Narrow" w:eastAsiaTheme="minorEastAsia"/>
                <w:szCs w:val="21"/>
              </w:rPr>
            </w:pPr>
            <w:r>
              <w:rPr>
                <w:rFonts w:ascii="Arial Narrow" w:hAnsi="Arial Narrow" w:eastAsiaTheme="minorEastAsia"/>
                <w:color w:val="000000"/>
                <w:szCs w:val="21"/>
              </w:rPr>
              <w:t>350,742,427.71</w:t>
            </w:r>
          </w:p>
        </w:tc>
      </w:tr>
      <w:tr w14:paraId="3C50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20E336E4">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支付保证金</w:t>
            </w:r>
          </w:p>
        </w:tc>
        <w:tc>
          <w:tcPr>
            <w:tcW w:w="1551" w:type="pct"/>
            <w:vAlign w:val="center"/>
          </w:tcPr>
          <w:p w14:paraId="47BD9435">
            <w:pPr>
              <w:jc w:val="right"/>
              <w:rPr>
                <w:rFonts w:ascii="Arial Narrow" w:hAnsi="Arial Narrow" w:eastAsiaTheme="minorEastAsia"/>
                <w:szCs w:val="21"/>
              </w:rPr>
            </w:pPr>
            <w:r>
              <w:rPr>
                <w:rFonts w:ascii="Arial Narrow" w:hAnsi="Arial Narrow" w:eastAsiaTheme="minorEastAsia"/>
                <w:color w:val="000000"/>
                <w:szCs w:val="21"/>
              </w:rPr>
              <w:t>275,269,721.98</w:t>
            </w:r>
          </w:p>
        </w:tc>
        <w:tc>
          <w:tcPr>
            <w:tcW w:w="1567" w:type="pct"/>
            <w:vAlign w:val="center"/>
          </w:tcPr>
          <w:p w14:paraId="4EEB84C1">
            <w:pPr>
              <w:jc w:val="right"/>
              <w:rPr>
                <w:rFonts w:ascii="Arial Narrow" w:hAnsi="Arial Narrow" w:eastAsiaTheme="minorEastAsia"/>
                <w:szCs w:val="21"/>
              </w:rPr>
            </w:pPr>
            <w:r>
              <w:rPr>
                <w:rFonts w:ascii="Arial Narrow" w:hAnsi="Arial Narrow" w:eastAsiaTheme="minorEastAsia"/>
                <w:color w:val="000000"/>
                <w:szCs w:val="21"/>
              </w:rPr>
              <w:t>257,407,092.53</w:t>
            </w:r>
          </w:p>
        </w:tc>
      </w:tr>
      <w:tr w14:paraId="5C84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5364708B">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代收代付款</w:t>
            </w:r>
          </w:p>
        </w:tc>
        <w:tc>
          <w:tcPr>
            <w:tcW w:w="1551" w:type="pct"/>
            <w:vAlign w:val="center"/>
          </w:tcPr>
          <w:p w14:paraId="4F3E6A06">
            <w:pPr>
              <w:jc w:val="right"/>
              <w:rPr>
                <w:rFonts w:ascii="Arial Narrow" w:hAnsi="Arial Narrow" w:eastAsiaTheme="minorEastAsia"/>
                <w:szCs w:val="21"/>
              </w:rPr>
            </w:pPr>
            <w:r>
              <w:rPr>
                <w:rFonts w:ascii="Arial Narrow" w:hAnsi="Arial Narrow" w:eastAsiaTheme="minorEastAsia"/>
                <w:color w:val="000000"/>
                <w:szCs w:val="21"/>
              </w:rPr>
              <w:t>39,047,861.68</w:t>
            </w:r>
          </w:p>
        </w:tc>
        <w:tc>
          <w:tcPr>
            <w:tcW w:w="1567" w:type="pct"/>
            <w:vAlign w:val="center"/>
          </w:tcPr>
          <w:p w14:paraId="287646BE">
            <w:pPr>
              <w:jc w:val="right"/>
              <w:rPr>
                <w:rFonts w:ascii="Arial Narrow" w:hAnsi="Arial Narrow" w:eastAsiaTheme="minorEastAsia"/>
                <w:szCs w:val="21"/>
              </w:rPr>
            </w:pPr>
            <w:r>
              <w:rPr>
                <w:rFonts w:ascii="Arial Narrow" w:hAnsi="Arial Narrow" w:eastAsiaTheme="minorEastAsia"/>
                <w:color w:val="000000"/>
                <w:szCs w:val="21"/>
              </w:rPr>
              <w:t>32,464,060.51</w:t>
            </w:r>
          </w:p>
        </w:tc>
      </w:tr>
      <w:tr w14:paraId="2580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733432D0">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备用金</w:t>
            </w:r>
          </w:p>
        </w:tc>
        <w:tc>
          <w:tcPr>
            <w:tcW w:w="1551" w:type="pct"/>
            <w:vAlign w:val="center"/>
          </w:tcPr>
          <w:p w14:paraId="348E5850">
            <w:pPr>
              <w:jc w:val="right"/>
              <w:rPr>
                <w:rFonts w:ascii="Arial Narrow" w:hAnsi="Arial Narrow" w:eastAsiaTheme="minorEastAsia"/>
                <w:szCs w:val="21"/>
              </w:rPr>
            </w:pPr>
            <w:r>
              <w:rPr>
                <w:rFonts w:ascii="Arial Narrow" w:hAnsi="Arial Narrow" w:eastAsiaTheme="minorEastAsia"/>
                <w:color w:val="000000"/>
                <w:szCs w:val="21"/>
              </w:rPr>
              <w:t>21,288,283.11</w:t>
            </w:r>
          </w:p>
        </w:tc>
        <w:tc>
          <w:tcPr>
            <w:tcW w:w="1567" w:type="pct"/>
            <w:vAlign w:val="center"/>
          </w:tcPr>
          <w:p w14:paraId="53DECD8D">
            <w:pPr>
              <w:jc w:val="right"/>
              <w:rPr>
                <w:rFonts w:ascii="Arial Narrow" w:hAnsi="Arial Narrow" w:eastAsiaTheme="minorEastAsia"/>
                <w:szCs w:val="21"/>
              </w:rPr>
            </w:pPr>
            <w:r>
              <w:rPr>
                <w:rFonts w:ascii="Arial Narrow" w:hAnsi="Arial Narrow" w:eastAsiaTheme="minorEastAsia"/>
                <w:color w:val="000000"/>
                <w:szCs w:val="21"/>
              </w:rPr>
              <w:t>37,001,454.77</w:t>
            </w:r>
          </w:p>
        </w:tc>
      </w:tr>
      <w:tr w14:paraId="2DD4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43BDD274">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其他</w:t>
            </w:r>
          </w:p>
        </w:tc>
        <w:tc>
          <w:tcPr>
            <w:tcW w:w="1551" w:type="pct"/>
            <w:vAlign w:val="center"/>
          </w:tcPr>
          <w:p w14:paraId="643F7558">
            <w:pPr>
              <w:jc w:val="right"/>
              <w:rPr>
                <w:rFonts w:ascii="Arial Narrow" w:hAnsi="Arial Narrow" w:eastAsiaTheme="minorEastAsia"/>
                <w:szCs w:val="21"/>
              </w:rPr>
            </w:pPr>
            <w:r>
              <w:rPr>
                <w:rFonts w:ascii="Arial Narrow" w:hAnsi="Arial Narrow" w:eastAsiaTheme="minorEastAsia"/>
                <w:color w:val="000000"/>
                <w:szCs w:val="21"/>
              </w:rPr>
              <w:t>34,036,104.69</w:t>
            </w:r>
          </w:p>
        </w:tc>
        <w:tc>
          <w:tcPr>
            <w:tcW w:w="1567" w:type="pct"/>
            <w:vAlign w:val="center"/>
          </w:tcPr>
          <w:p w14:paraId="71859C90">
            <w:pPr>
              <w:jc w:val="right"/>
              <w:rPr>
                <w:rFonts w:ascii="Arial Narrow" w:hAnsi="Arial Narrow" w:eastAsiaTheme="minorEastAsia"/>
                <w:szCs w:val="21"/>
              </w:rPr>
            </w:pPr>
            <w:r>
              <w:rPr>
                <w:rFonts w:ascii="Arial Narrow" w:hAnsi="Arial Narrow" w:eastAsiaTheme="minorEastAsia"/>
                <w:color w:val="000000"/>
                <w:szCs w:val="21"/>
              </w:rPr>
              <w:t>27,663,176.31</w:t>
            </w:r>
          </w:p>
        </w:tc>
      </w:tr>
      <w:tr w14:paraId="7997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41CA6490">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551" w:type="pct"/>
            <w:vAlign w:val="center"/>
          </w:tcPr>
          <w:p w14:paraId="0C80C993">
            <w:pPr>
              <w:jc w:val="right"/>
              <w:rPr>
                <w:rFonts w:ascii="Arial Narrow" w:hAnsi="Arial Narrow" w:eastAsiaTheme="minorEastAsia"/>
                <w:szCs w:val="21"/>
              </w:rPr>
            </w:pPr>
            <w:r>
              <w:rPr>
                <w:rFonts w:ascii="Arial Narrow" w:hAnsi="Arial Narrow" w:eastAsiaTheme="minorEastAsia"/>
                <w:color w:val="000000"/>
                <w:szCs w:val="21"/>
              </w:rPr>
              <w:t>1,019,112,046.72</w:t>
            </w:r>
          </w:p>
        </w:tc>
        <w:tc>
          <w:tcPr>
            <w:tcW w:w="1567" w:type="pct"/>
            <w:vAlign w:val="center"/>
          </w:tcPr>
          <w:p w14:paraId="43C1B709">
            <w:pPr>
              <w:jc w:val="right"/>
              <w:rPr>
                <w:rFonts w:ascii="Arial Narrow" w:hAnsi="Arial Narrow" w:eastAsiaTheme="minorEastAsia"/>
                <w:szCs w:val="21"/>
              </w:rPr>
            </w:pPr>
            <w:r>
              <w:rPr>
                <w:rFonts w:ascii="Arial Narrow" w:hAnsi="Arial Narrow" w:eastAsiaTheme="minorEastAsia"/>
                <w:color w:val="000000"/>
                <w:szCs w:val="21"/>
              </w:rPr>
              <w:t>1,290,418,545.25</w:t>
            </w:r>
          </w:p>
        </w:tc>
      </w:tr>
    </w:tbl>
    <w:p w14:paraId="4D07826F">
      <w:pPr>
        <w:spacing w:before="60" w:after="60"/>
        <w:rPr>
          <w:rFonts w:hint="eastAsia"/>
          <w:szCs w:val="21"/>
        </w:rPr>
      </w:pPr>
      <w:r>
        <w:rPr>
          <w:rFonts w:hint="eastAsia"/>
          <w:szCs w:val="21"/>
        </w:rPr>
        <w:t>支付的其他与经营活动有关的现金说明：</w:t>
      </w:r>
    </w:p>
    <w:sdt>
      <w:sdtPr>
        <w:rPr>
          <w:rFonts w:hint="eastAsia"/>
          <w:szCs w:val="21"/>
        </w:rPr>
        <w:alias w:val="支付的其他与经营活动有关的现金说明"/>
        <w:tag w:val="_GBC_0465de66d71e4a34a0d6c076baa704db"/>
        <w:id w:val="-1040432083"/>
        <w:placeholder>
          <w:docPart w:val="GBC22222222222222222222222222222"/>
        </w:placeholder>
      </w:sdtPr>
      <w:sdtEndPr>
        <w:rPr>
          <w:rFonts w:hint="eastAsia"/>
          <w:szCs w:val="21"/>
        </w:rPr>
      </w:sdtEndPr>
      <w:sdtContent>
        <w:p w14:paraId="3423CB25">
          <w:pPr>
            <w:ind w:right="5"/>
            <w:rPr>
              <w:rFonts w:hint="eastAsia"/>
              <w:szCs w:val="21"/>
            </w:rPr>
          </w:pPr>
          <w:r>
            <w:rPr>
              <w:rFonts w:hint="eastAsia"/>
              <w:szCs w:val="21"/>
            </w:rPr>
            <w:t>无</w:t>
          </w:r>
        </w:p>
      </w:sdtContent>
    </w:sdt>
    <w:p w14:paraId="5C3516B8">
      <w:pPr>
        <w:pStyle w:val="71"/>
        <w:numPr>
          <w:ilvl w:val="0"/>
          <w:numId w:val="149"/>
        </w:numPr>
        <w:ind w:left="426" w:hanging="426"/>
        <w:rPr>
          <w:rFonts w:hint="eastAsia"/>
        </w:rPr>
      </w:pPr>
      <w:r>
        <w:rPr>
          <w:rFonts w:hint="eastAsia"/>
        </w:rPr>
        <w:t>与投资活动有关的现金</w:t>
      </w:r>
    </w:p>
    <w:p w14:paraId="7BB5673C">
      <w:pPr>
        <w:rPr>
          <w:rFonts w:hint="eastAsia"/>
        </w:rPr>
      </w:pPr>
      <w:r>
        <w:rPr>
          <w:rFonts w:hint="eastAsia"/>
        </w:rPr>
        <w:t>收到的重要的投资活动有关的现金</w:t>
      </w:r>
    </w:p>
    <w:sdt>
      <w:sdtPr>
        <w:alias w:val="是否适用：收到的重要的投资活动有关的现金[双击切换]"/>
        <w:tag w:val="_GBC_9196f5edd13f48c58cf11429e2524db4"/>
        <w:id w:val="-860359916"/>
        <w:placeholder>
          <w:docPart w:val="GBC22222222222222222222222222222"/>
        </w:placeholder>
      </w:sdtPr>
      <w:sdtContent>
        <w:p w14:paraId="7946533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8DDA3E3">
      <w:pPr>
        <w:rPr>
          <w:rFonts w:hint="eastAsia"/>
        </w:rPr>
      </w:pPr>
    </w:p>
    <w:p w14:paraId="59E50472">
      <w:pPr>
        <w:rPr>
          <w:rFonts w:hint="eastAsia"/>
        </w:rPr>
      </w:pPr>
    </w:p>
    <w:p w14:paraId="41E86B9C">
      <w:pPr>
        <w:rPr>
          <w:rFonts w:hint="eastAsia"/>
        </w:rPr>
      </w:pPr>
      <w:r>
        <w:rPr>
          <w:rFonts w:hint="eastAsia"/>
        </w:rPr>
        <w:t>支付的重要的投资活动有关的现金</w:t>
      </w:r>
    </w:p>
    <w:sdt>
      <w:sdtPr>
        <w:alias w:val="是否适用：支付的重要的投资活动有关的现金[双击切换]"/>
        <w:tag w:val="_GBC_87278c8d34004ae4ad117e1026d10209"/>
        <w:id w:val="-1421174136"/>
        <w:placeholder>
          <w:docPart w:val="GBC22222222222222222222222222222"/>
        </w:placeholder>
      </w:sdtPr>
      <w:sdtContent>
        <w:p w14:paraId="0C7507E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7242B26">
      <w:pPr>
        <w:rPr>
          <w:rFonts w:hint="eastAsia"/>
        </w:rPr>
      </w:pPr>
    </w:p>
    <w:p w14:paraId="11981511">
      <w:pPr>
        <w:rPr>
          <w:rFonts w:hint="eastAsia"/>
        </w:rPr>
      </w:pPr>
    </w:p>
    <w:p w14:paraId="126CF2DD">
      <w:pPr>
        <w:rPr>
          <w:rFonts w:hint="eastAsia"/>
        </w:rPr>
      </w:pPr>
      <w:r>
        <w:rPr>
          <w:rFonts w:hint="eastAsia"/>
        </w:rPr>
        <w:t>收到的其他与投资活动有关的现金</w:t>
      </w:r>
    </w:p>
    <w:sdt>
      <w:sdtPr>
        <w:alias w:val="是否适用：收到的其他与投资活动有关的现金[双击切换]"/>
        <w:tag w:val="_GBC_a9d11a87566b448d9e6aac9a017a8388"/>
        <w:id w:val="-1037956519"/>
        <w:placeholder>
          <w:docPart w:val="GBC22222222222222222222222222222"/>
        </w:placeholder>
      </w:sdtPr>
      <w:sdtContent>
        <w:p w14:paraId="78ADB8E9">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B9BBE6D">
      <w:pPr>
        <w:jc w:val="right"/>
        <w:rPr>
          <w:rFonts w:hint="eastAsia"/>
          <w:szCs w:val="21"/>
        </w:rPr>
      </w:pPr>
      <w:r>
        <w:rPr>
          <w:rFonts w:hint="eastAsia"/>
          <w:szCs w:val="21"/>
        </w:rPr>
        <w:t>单位：</w:t>
      </w:r>
      <w:sdt>
        <w:sdtPr>
          <w:rPr>
            <w:rFonts w:hint="eastAsia"/>
            <w:szCs w:val="21"/>
          </w:rPr>
          <w:alias w:val="单位：财务附注：收到的其他与投资活动有关的现金"/>
          <w:tag w:val="_GBC_0c9cf16095dd4d5ab3121520e225b633"/>
          <w:id w:val="10898202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201352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321"/>
        <w:gridCol w:w="2839"/>
        <w:gridCol w:w="2663"/>
      </w:tblGrid>
      <w:tr w14:paraId="0E72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szCs w:val="21"/>
            </w:rPr>
            <w:tag w:val="_PLD_8fe69c5749494bb49faf620c5198417e"/>
            <w:id w:val="-1940516988"/>
          </w:sdtPr>
          <w:sdtEndPr>
            <w:rPr>
              <w:rFonts w:ascii="Arial Narrow" w:hAnsi="Arial Narrow" w:eastAsiaTheme="minorEastAsia"/>
              <w:szCs w:val="21"/>
            </w:rPr>
          </w:sdtEndPr>
          <w:sdtContent>
            <w:tc>
              <w:tcPr>
                <w:tcW w:w="1882" w:type="pct"/>
              </w:tcPr>
              <w:p w14:paraId="60E53822">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bf91a26c50244250a28701d650837068"/>
            <w:id w:val="-2123602273"/>
          </w:sdtPr>
          <w:sdtEndPr>
            <w:rPr>
              <w:rFonts w:ascii="Arial Narrow" w:hAnsi="Arial Narrow" w:eastAsiaTheme="minorEastAsia"/>
              <w:szCs w:val="21"/>
            </w:rPr>
          </w:sdtEndPr>
          <w:sdtContent>
            <w:tc>
              <w:tcPr>
                <w:tcW w:w="1609" w:type="pct"/>
              </w:tcPr>
              <w:p w14:paraId="54A756B4">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6ba4cebdd5f34f0ebe4577174e11dd6c"/>
            <w:id w:val="994295129"/>
          </w:sdtPr>
          <w:sdtEndPr>
            <w:rPr>
              <w:rFonts w:ascii="Arial Narrow" w:hAnsi="Arial Narrow" w:eastAsiaTheme="minorEastAsia"/>
              <w:szCs w:val="21"/>
            </w:rPr>
          </w:sdtEndPr>
          <w:sdtContent>
            <w:tc>
              <w:tcPr>
                <w:tcW w:w="1509" w:type="pct"/>
              </w:tcPr>
              <w:p w14:paraId="32B615E0">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3E6F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4893486B">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color w:val="000000"/>
                <w:szCs w:val="21"/>
              </w:rPr>
              <w:t>退回的保证金</w:t>
            </w:r>
          </w:p>
        </w:tc>
        <w:tc>
          <w:tcPr>
            <w:tcW w:w="1609" w:type="pct"/>
            <w:vAlign w:val="center"/>
          </w:tcPr>
          <w:p w14:paraId="554E1653">
            <w:pPr>
              <w:jc w:val="right"/>
              <w:rPr>
                <w:rFonts w:ascii="Arial Narrow" w:hAnsi="Arial Narrow" w:eastAsiaTheme="minorEastAsia"/>
                <w:szCs w:val="21"/>
              </w:rPr>
            </w:pPr>
          </w:p>
        </w:tc>
        <w:tc>
          <w:tcPr>
            <w:tcW w:w="1509" w:type="pct"/>
            <w:vAlign w:val="center"/>
          </w:tcPr>
          <w:p w14:paraId="2FBB45BF">
            <w:pPr>
              <w:jc w:val="right"/>
              <w:rPr>
                <w:rFonts w:ascii="Arial Narrow" w:hAnsi="Arial Narrow" w:eastAsiaTheme="minorEastAsia"/>
                <w:szCs w:val="21"/>
              </w:rPr>
            </w:pPr>
            <w:r>
              <w:rPr>
                <w:rFonts w:ascii="Arial Narrow" w:hAnsi="Arial Narrow" w:eastAsiaTheme="minorEastAsia"/>
                <w:color w:val="000000"/>
                <w:szCs w:val="21"/>
              </w:rPr>
              <w:t>373,287,795.41</w:t>
            </w:r>
          </w:p>
        </w:tc>
      </w:tr>
      <w:tr w14:paraId="0744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54483095">
            <w:pPr>
              <w:autoSpaceDE w:val="0"/>
              <w:autoSpaceDN w:val="0"/>
              <w:adjustRightInd w:val="0"/>
              <w:snapToGrid w:val="0"/>
              <w:spacing w:line="240" w:lineRule="atLeast"/>
              <w:rPr>
                <w:rFonts w:ascii="Arial Narrow" w:hAnsi="Arial Narrow" w:eastAsiaTheme="minorEastAsia"/>
                <w:szCs w:val="21"/>
              </w:rPr>
            </w:pPr>
            <w:r>
              <w:rPr>
                <w:rFonts w:ascii="Arial Narrow" w:hAnsi="Arial Narrow" w:eastAsiaTheme="minorEastAsia"/>
                <w:color w:val="000000"/>
                <w:szCs w:val="21"/>
              </w:rPr>
              <w:t>借款本金及利息</w:t>
            </w:r>
          </w:p>
        </w:tc>
        <w:tc>
          <w:tcPr>
            <w:tcW w:w="1609" w:type="pct"/>
            <w:vAlign w:val="center"/>
          </w:tcPr>
          <w:p w14:paraId="707CAD7A">
            <w:pPr>
              <w:jc w:val="right"/>
              <w:rPr>
                <w:rFonts w:ascii="Arial Narrow" w:hAnsi="Arial Narrow" w:eastAsiaTheme="minorEastAsia"/>
                <w:szCs w:val="21"/>
              </w:rPr>
            </w:pPr>
            <w:r>
              <w:rPr>
                <w:rFonts w:ascii="Arial Narrow" w:hAnsi="Arial Narrow" w:eastAsiaTheme="minorEastAsia"/>
                <w:color w:val="000000"/>
                <w:szCs w:val="21"/>
              </w:rPr>
              <w:t>356,999.96</w:t>
            </w:r>
          </w:p>
        </w:tc>
        <w:tc>
          <w:tcPr>
            <w:tcW w:w="1509" w:type="pct"/>
            <w:vAlign w:val="center"/>
          </w:tcPr>
          <w:p w14:paraId="7A1809FE">
            <w:pPr>
              <w:jc w:val="right"/>
              <w:rPr>
                <w:rFonts w:ascii="Arial Narrow" w:hAnsi="Arial Narrow" w:eastAsiaTheme="minorEastAsia"/>
                <w:szCs w:val="21"/>
              </w:rPr>
            </w:pPr>
            <w:r>
              <w:rPr>
                <w:rFonts w:ascii="Arial Narrow" w:hAnsi="Arial Narrow" w:eastAsiaTheme="minorEastAsia"/>
                <w:color w:val="000000"/>
                <w:szCs w:val="21"/>
              </w:rPr>
              <w:t>740,617,105.57</w:t>
            </w:r>
          </w:p>
        </w:tc>
      </w:tr>
      <w:tr w14:paraId="0D86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31FF552A">
            <w:pPr>
              <w:autoSpaceDE w:val="0"/>
              <w:autoSpaceDN w:val="0"/>
              <w:adjustRightInd w:val="0"/>
              <w:snapToGrid w:val="0"/>
              <w:spacing w:line="240" w:lineRule="atLeast"/>
              <w:rPr>
                <w:rFonts w:ascii="Arial Narrow" w:hAnsi="Arial Narrow" w:eastAsiaTheme="minorEastAsia"/>
                <w:color w:val="000000"/>
                <w:szCs w:val="21"/>
              </w:rPr>
            </w:pPr>
            <w:r>
              <w:rPr>
                <w:rFonts w:ascii="Arial Narrow" w:hAnsi="Arial Narrow" w:eastAsiaTheme="minorEastAsia"/>
                <w:color w:val="000000"/>
                <w:szCs w:val="21"/>
              </w:rPr>
              <w:t>其他</w:t>
            </w:r>
          </w:p>
        </w:tc>
        <w:tc>
          <w:tcPr>
            <w:tcW w:w="1609" w:type="pct"/>
            <w:vAlign w:val="center"/>
          </w:tcPr>
          <w:p w14:paraId="2B730D84">
            <w:pPr>
              <w:jc w:val="right"/>
              <w:rPr>
                <w:rFonts w:ascii="Arial Narrow" w:hAnsi="Arial Narrow" w:eastAsiaTheme="minorEastAsia"/>
                <w:color w:val="000000"/>
                <w:szCs w:val="21"/>
              </w:rPr>
            </w:pPr>
            <w:r>
              <w:rPr>
                <w:rFonts w:ascii="Arial Narrow" w:hAnsi="Arial Narrow" w:eastAsiaTheme="minorEastAsia"/>
                <w:color w:val="000000"/>
                <w:szCs w:val="21"/>
              </w:rPr>
              <w:t>1,349,460.52</w:t>
            </w:r>
          </w:p>
        </w:tc>
        <w:tc>
          <w:tcPr>
            <w:tcW w:w="1509" w:type="pct"/>
            <w:vAlign w:val="center"/>
          </w:tcPr>
          <w:p w14:paraId="77DA51F3">
            <w:pPr>
              <w:jc w:val="right"/>
              <w:rPr>
                <w:rFonts w:ascii="Arial Narrow" w:hAnsi="Arial Narrow" w:eastAsiaTheme="minorEastAsia"/>
                <w:color w:val="000000"/>
                <w:szCs w:val="21"/>
              </w:rPr>
            </w:pPr>
          </w:p>
        </w:tc>
      </w:tr>
      <w:tr w14:paraId="29E4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6225CB5C">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tc>
          <w:tcPr>
            <w:tcW w:w="1609" w:type="pct"/>
            <w:vAlign w:val="center"/>
          </w:tcPr>
          <w:p w14:paraId="5EF77D4F">
            <w:pPr>
              <w:jc w:val="right"/>
              <w:rPr>
                <w:rFonts w:ascii="Arial Narrow" w:hAnsi="Arial Narrow" w:eastAsiaTheme="minorEastAsia"/>
                <w:szCs w:val="21"/>
              </w:rPr>
            </w:pPr>
            <w:r>
              <w:rPr>
                <w:rFonts w:ascii="Arial Narrow" w:hAnsi="Arial Narrow" w:eastAsiaTheme="minorEastAsia"/>
                <w:color w:val="000000"/>
                <w:szCs w:val="21"/>
              </w:rPr>
              <w:t>1,706,460.48</w:t>
            </w:r>
          </w:p>
        </w:tc>
        <w:tc>
          <w:tcPr>
            <w:tcW w:w="1509" w:type="pct"/>
            <w:vAlign w:val="center"/>
          </w:tcPr>
          <w:p w14:paraId="578F2753">
            <w:pPr>
              <w:jc w:val="right"/>
              <w:rPr>
                <w:rFonts w:ascii="Arial Narrow" w:hAnsi="Arial Narrow" w:eastAsiaTheme="minorEastAsia"/>
                <w:szCs w:val="21"/>
              </w:rPr>
            </w:pPr>
            <w:r>
              <w:rPr>
                <w:rFonts w:ascii="Arial Narrow" w:hAnsi="Arial Narrow" w:eastAsiaTheme="minorEastAsia"/>
                <w:color w:val="000000"/>
                <w:szCs w:val="21"/>
              </w:rPr>
              <w:t>1,113,904,900.98</w:t>
            </w:r>
          </w:p>
        </w:tc>
      </w:tr>
    </w:tbl>
    <w:p w14:paraId="3D9C981C">
      <w:pPr>
        <w:snapToGrid w:val="0"/>
        <w:spacing w:before="60" w:after="60"/>
        <w:rPr>
          <w:rFonts w:hint="eastAsia"/>
          <w:szCs w:val="21"/>
        </w:rPr>
      </w:pPr>
      <w:r>
        <w:rPr>
          <w:rFonts w:hint="eastAsia"/>
          <w:szCs w:val="21"/>
        </w:rPr>
        <w:t>收到的其他与投资活动有关的现金说明：</w:t>
      </w:r>
    </w:p>
    <w:sdt>
      <w:sdtPr>
        <w:rPr>
          <w:szCs w:val="21"/>
        </w:rPr>
        <w:alias w:val="收到的其他与投资活动有关的现金说明"/>
        <w:tag w:val="_GBC_4f6584697d884cfd99a931a45c33cdac"/>
        <w:id w:val="1784846738"/>
        <w:placeholder>
          <w:docPart w:val="GBC22222222222222222222222222222"/>
        </w:placeholder>
      </w:sdtPr>
      <w:sdtEndPr>
        <w:rPr>
          <w:szCs w:val="21"/>
        </w:rPr>
      </w:sdtEndPr>
      <w:sdtContent>
        <w:p w14:paraId="3B84309B">
          <w:pPr>
            <w:snapToGrid w:val="0"/>
            <w:spacing w:line="240" w:lineRule="atLeast"/>
            <w:rPr>
              <w:rFonts w:hint="eastAsia"/>
              <w:szCs w:val="21"/>
            </w:rPr>
          </w:pPr>
          <w:r>
            <w:rPr>
              <w:rFonts w:hint="eastAsia"/>
              <w:szCs w:val="21"/>
            </w:rPr>
            <w:t>无</w:t>
          </w:r>
        </w:p>
      </w:sdtContent>
    </w:sdt>
    <w:p w14:paraId="59497A42">
      <w:pPr>
        <w:rPr>
          <w:rFonts w:hint="eastAsia"/>
          <w:szCs w:val="21"/>
        </w:rPr>
      </w:pPr>
    </w:p>
    <w:p w14:paraId="72E4088B">
      <w:pPr>
        <w:rPr>
          <w:rFonts w:hint="eastAsia"/>
        </w:rPr>
      </w:pPr>
      <w:r>
        <w:rPr>
          <w:rFonts w:hint="eastAsia"/>
        </w:rPr>
        <w:t>支付的其他与投资活动有关的现金</w:t>
      </w:r>
    </w:p>
    <w:sdt>
      <w:sdtPr>
        <w:alias w:val="是否适用：支付的其他与投资活动有关的现金[双击切换]"/>
        <w:tag w:val="_GBC_c733aab18a804ecea142a329ce5180ba"/>
        <w:id w:val="-528107833"/>
        <w:placeholder>
          <w:docPart w:val="GBC22222222222222222222222222222"/>
        </w:placeholder>
      </w:sdtPr>
      <w:sdtContent>
        <w:p w14:paraId="3128C325">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D856DD0">
      <w:pPr>
        <w:rPr>
          <w:rFonts w:hint="eastAsia"/>
          <w:szCs w:val="21"/>
        </w:rPr>
      </w:pPr>
    </w:p>
    <w:p w14:paraId="52D2841A">
      <w:pPr>
        <w:rPr>
          <w:rFonts w:hint="eastAsia"/>
          <w:szCs w:val="21"/>
        </w:rPr>
      </w:pPr>
    </w:p>
    <w:p w14:paraId="7122B47B">
      <w:pPr>
        <w:pStyle w:val="71"/>
        <w:numPr>
          <w:ilvl w:val="0"/>
          <w:numId w:val="149"/>
        </w:numPr>
        <w:ind w:left="426" w:hanging="426"/>
        <w:rPr>
          <w:rFonts w:hint="eastAsia"/>
        </w:rPr>
      </w:pPr>
      <w:r>
        <w:rPr>
          <w:rFonts w:hint="eastAsia"/>
        </w:rPr>
        <w:t>与筹资活动有关的现金</w:t>
      </w:r>
    </w:p>
    <w:p w14:paraId="5B72C71F">
      <w:pPr>
        <w:rPr>
          <w:rFonts w:hint="eastAsia"/>
        </w:rPr>
      </w:pPr>
      <w:r>
        <w:rPr>
          <w:rFonts w:hint="eastAsia"/>
        </w:rPr>
        <w:t>收到的其他与筹资活动有关的现金</w:t>
      </w:r>
    </w:p>
    <w:sdt>
      <w:sdtPr>
        <w:alias w:val="是否适用：收到的其他与筹资活动有关的现金[双击切换]"/>
        <w:tag w:val="_GBC_031910cf781944cf80900ffa99f7a9d7"/>
        <w:id w:val="1183944350"/>
        <w:placeholder>
          <w:docPart w:val="GBC22222222222222222222222222222"/>
        </w:placeholder>
      </w:sdtPr>
      <w:sdtContent>
        <w:p w14:paraId="5D4DD49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DE18704">
      <w:pPr>
        <w:jc w:val="right"/>
        <w:rPr>
          <w:rFonts w:hint="eastAsia"/>
          <w:szCs w:val="21"/>
        </w:rPr>
      </w:pPr>
      <w:r>
        <w:rPr>
          <w:rFonts w:hint="eastAsia"/>
          <w:szCs w:val="21"/>
        </w:rPr>
        <w:t>单位：</w:t>
      </w:r>
      <w:sdt>
        <w:sdtPr>
          <w:rPr>
            <w:rFonts w:hint="eastAsia"/>
            <w:szCs w:val="21"/>
          </w:rPr>
          <w:alias w:val="单位：财务附注：收到的其他与筹资活动有关的现金"/>
          <w:tag w:val="_GBC_666160c9e7144e11b24beaa82a8d20a2"/>
          <w:id w:val="-17572011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13088270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321"/>
        <w:gridCol w:w="2841"/>
        <w:gridCol w:w="2661"/>
      </w:tblGrid>
      <w:tr w14:paraId="6E63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rPr>
            <w:tag w:val="_PLD_a77349a2c05f473b9ac20b64fc24179e"/>
            <w:id w:val="-255973823"/>
          </w:sdtPr>
          <w:sdtEndPr>
            <w:rPr>
              <w:rFonts w:ascii="Arial Narrow" w:hAnsi="Arial Narrow" w:eastAsiaTheme="minorEastAsia"/>
            </w:rPr>
          </w:sdtEndPr>
          <w:sdtContent>
            <w:tc>
              <w:tcPr>
                <w:tcW w:w="1882" w:type="pct"/>
              </w:tcPr>
              <w:p w14:paraId="200555FC">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4f0ec6d40c994acb9eb5b3560f97c407"/>
            <w:id w:val="-623853157"/>
          </w:sdtPr>
          <w:sdtEndPr>
            <w:rPr>
              <w:rFonts w:ascii="Arial Narrow" w:hAnsi="Arial Narrow" w:eastAsiaTheme="minorEastAsia"/>
            </w:rPr>
          </w:sdtEndPr>
          <w:sdtContent>
            <w:tc>
              <w:tcPr>
                <w:tcW w:w="1610" w:type="pct"/>
              </w:tcPr>
              <w:p w14:paraId="07C05A80">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rPr>
                  <w:t>本期发生额</w:t>
                </w:r>
              </w:p>
            </w:tc>
          </w:sdtContent>
        </w:sdt>
        <w:sdt>
          <w:sdtPr>
            <w:rPr>
              <w:rFonts w:ascii="Arial Narrow" w:hAnsi="Arial Narrow" w:eastAsiaTheme="minorEastAsia"/>
            </w:rPr>
            <w:tag w:val="_PLD_aa071ffac82040379300e6f5150e4ff7"/>
            <w:id w:val="-867837983"/>
          </w:sdtPr>
          <w:sdtEndPr>
            <w:rPr>
              <w:rFonts w:ascii="Arial Narrow" w:hAnsi="Arial Narrow" w:eastAsiaTheme="minorEastAsia"/>
            </w:rPr>
          </w:sdtEndPr>
          <w:sdtContent>
            <w:tc>
              <w:tcPr>
                <w:tcW w:w="1508" w:type="pct"/>
              </w:tcPr>
              <w:p w14:paraId="795C8B95">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rPr>
                  <w:t>上期发生额</w:t>
                </w:r>
              </w:p>
            </w:tc>
          </w:sdtContent>
        </w:sdt>
      </w:tr>
      <w:tr w14:paraId="0ACA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037BFA90">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信用证、票据保证金等</w:t>
            </w:r>
          </w:p>
        </w:tc>
        <w:tc>
          <w:tcPr>
            <w:tcW w:w="1610" w:type="pct"/>
            <w:vAlign w:val="center"/>
          </w:tcPr>
          <w:p w14:paraId="46481897">
            <w:pPr>
              <w:jc w:val="right"/>
              <w:rPr>
                <w:rFonts w:ascii="Arial Narrow" w:hAnsi="Arial Narrow" w:eastAsiaTheme="minorEastAsia"/>
                <w:szCs w:val="21"/>
              </w:rPr>
            </w:pPr>
            <w:r>
              <w:rPr>
                <w:rFonts w:ascii="Arial Narrow" w:hAnsi="Arial Narrow" w:eastAsiaTheme="minorEastAsia"/>
                <w:color w:val="000000"/>
                <w:szCs w:val="21"/>
              </w:rPr>
              <w:t>14,696,035.41</w:t>
            </w:r>
          </w:p>
        </w:tc>
        <w:tc>
          <w:tcPr>
            <w:tcW w:w="1508" w:type="pct"/>
            <w:vAlign w:val="center"/>
          </w:tcPr>
          <w:p w14:paraId="56E42E1F">
            <w:pPr>
              <w:jc w:val="right"/>
              <w:rPr>
                <w:rFonts w:ascii="Arial Narrow" w:hAnsi="Arial Narrow" w:eastAsiaTheme="minorEastAsia"/>
                <w:szCs w:val="21"/>
              </w:rPr>
            </w:pPr>
            <w:r>
              <w:rPr>
                <w:rFonts w:ascii="Arial Narrow" w:hAnsi="Arial Narrow" w:eastAsiaTheme="minorEastAsia"/>
                <w:color w:val="000000"/>
                <w:szCs w:val="21"/>
              </w:rPr>
              <w:t>17,554,004.49</w:t>
            </w:r>
          </w:p>
        </w:tc>
      </w:tr>
      <w:tr w14:paraId="4A77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0E74894E">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借款本金</w:t>
            </w:r>
          </w:p>
        </w:tc>
        <w:tc>
          <w:tcPr>
            <w:tcW w:w="1610" w:type="pct"/>
            <w:vAlign w:val="center"/>
          </w:tcPr>
          <w:p w14:paraId="27C42CB6">
            <w:pPr>
              <w:jc w:val="right"/>
              <w:rPr>
                <w:rFonts w:ascii="Arial Narrow" w:hAnsi="Arial Narrow" w:eastAsiaTheme="minorEastAsia"/>
                <w:szCs w:val="21"/>
              </w:rPr>
            </w:pPr>
          </w:p>
        </w:tc>
        <w:tc>
          <w:tcPr>
            <w:tcW w:w="1508" w:type="pct"/>
            <w:vAlign w:val="center"/>
          </w:tcPr>
          <w:p w14:paraId="2BF3FE83">
            <w:pPr>
              <w:jc w:val="right"/>
              <w:rPr>
                <w:rFonts w:ascii="Arial Narrow" w:hAnsi="Arial Narrow" w:eastAsiaTheme="minorEastAsia"/>
                <w:szCs w:val="21"/>
              </w:rPr>
            </w:pPr>
            <w:r>
              <w:rPr>
                <w:rFonts w:ascii="Arial Narrow" w:hAnsi="Arial Narrow" w:eastAsiaTheme="minorEastAsia"/>
                <w:color w:val="000000"/>
                <w:szCs w:val="21"/>
              </w:rPr>
              <w:t>1,363,000,000.00</w:t>
            </w:r>
          </w:p>
        </w:tc>
      </w:tr>
      <w:tr w14:paraId="636D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6BD4D234">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1610" w:type="pct"/>
            <w:vAlign w:val="center"/>
          </w:tcPr>
          <w:p w14:paraId="5E910FB2">
            <w:pPr>
              <w:jc w:val="right"/>
              <w:rPr>
                <w:rFonts w:ascii="Arial Narrow" w:hAnsi="Arial Narrow" w:eastAsiaTheme="minorEastAsia"/>
                <w:szCs w:val="21"/>
              </w:rPr>
            </w:pPr>
            <w:r>
              <w:rPr>
                <w:rFonts w:ascii="Arial Narrow" w:hAnsi="Arial Narrow" w:eastAsiaTheme="minorEastAsia"/>
                <w:color w:val="000000"/>
                <w:szCs w:val="21"/>
              </w:rPr>
              <w:t>14,696,035.41</w:t>
            </w:r>
          </w:p>
        </w:tc>
        <w:tc>
          <w:tcPr>
            <w:tcW w:w="1508" w:type="pct"/>
            <w:vAlign w:val="center"/>
          </w:tcPr>
          <w:p w14:paraId="7E1414C6">
            <w:pPr>
              <w:jc w:val="right"/>
              <w:rPr>
                <w:rFonts w:ascii="Arial Narrow" w:hAnsi="Arial Narrow" w:eastAsiaTheme="minorEastAsia"/>
                <w:szCs w:val="21"/>
              </w:rPr>
            </w:pPr>
            <w:r>
              <w:rPr>
                <w:rFonts w:ascii="Arial Narrow" w:hAnsi="Arial Narrow" w:eastAsiaTheme="minorEastAsia"/>
                <w:color w:val="000000"/>
                <w:szCs w:val="21"/>
              </w:rPr>
              <w:t>1,380,554,004.49</w:t>
            </w:r>
          </w:p>
        </w:tc>
      </w:tr>
    </w:tbl>
    <w:p w14:paraId="0B154084">
      <w:pPr>
        <w:spacing w:before="60" w:after="60"/>
        <w:rPr>
          <w:rFonts w:hint="eastAsia"/>
          <w:szCs w:val="21"/>
        </w:rPr>
      </w:pPr>
      <w:r>
        <w:rPr>
          <w:rFonts w:hint="eastAsia"/>
          <w:szCs w:val="21"/>
        </w:rPr>
        <w:t>收到的其他与筹资活动有关的现金说明：</w:t>
      </w:r>
    </w:p>
    <w:sdt>
      <w:sdtPr>
        <w:rPr>
          <w:rFonts w:hint="eastAsia"/>
          <w:szCs w:val="21"/>
        </w:rPr>
        <w:alias w:val="收到的其他与筹资活动有关的现金说明"/>
        <w:tag w:val="_GBC_d2ec2a0599ab42678694df6c15643c4d"/>
        <w:id w:val="1054119918"/>
        <w:placeholder>
          <w:docPart w:val="GBC22222222222222222222222222222"/>
        </w:placeholder>
      </w:sdtPr>
      <w:sdtEndPr>
        <w:rPr>
          <w:rFonts w:hint="eastAsia"/>
          <w:szCs w:val="22"/>
        </w:rPr>
      </w:sdtEndPr>
      <w:sdtContent>
        <w:p w14:paraId="4958ACAB">
          <w:pPr>
            <w:rPr>
              <w:rFonts w:hint="eastAsia"/>
            </w:rPr>
          </w:pPr>
          <w:r>
            <w:rPr>
              <w:rFonts w:hint="eastAsia"/>
              <w:szCs w:val="21"/>
            </w:rPr>
            <w:t>无</w:t>
          </w:r>
        </w:p>
      </w:sdtContent>
    </w:sdt>
    <w:p w14:paraId="69E4F61C">
      <w:pPr>
        <w:rPr>
          <w:rFonts w:hint="eastAsia"/>
        </w:rPr>
      </w:pPr>
    </w:p>
    <w:p w14:paraId="0FC26FC9">
      <w:pPr>
        <w:rPr>
          <w:rFonts w:hint="eastAsia"/>
        </w:rPr>
      </w:pPr>
      <w:r>
        <w:rPr>
          <w:rFonts w:hint="eastAsia"/>
        </w:rPr>
        <w:t>支付的其他与筹资活动有关的现金</w:t>
      </w:r>
    </w:p>
    <w:sdt>
      <w:sdtPr>
        <w:alias w:val="是否适用：支付的其他与筹资活动有关的现金[双击切换]"/>
        <w:tag w:val="_GBC_fcc0d0c43a2d4fa88ca685f3e36f2f40"/>
        <w:id w:val="-685744922"/>
        <w:placeholder>
          <w:docPart w:val="GBC22222222222222222222222222222"/>
        </w:placeholder>
      </w:sdtPr>
      <w:sdtContent>
        <w:p w14:paraId="31471CCE">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28D9D0">
      <w:pPr>
        <w:jc w:val="right"/>
        <w:rPr>
          <w:rFonts w:hint="eastAsia"/>
          <w:szCs w:val="21"/>
        </w:rPr>
      </w:pPr>
      <w:r>
        <w:rPr>
          <w:rFonts w:hint="eastAsia"/>
          <w:szCs w:val="21"/>
        </w:rPr>
        <w:t>单位：</w:t>
      </w:r>
      <w:sdt>
        <w:sdtPr>
          <w:rPr>
            <w:rFonts w:hint="eastAsia"/>
            <w:szCs w:val="21"/>
          </w:rPr>
          <w:alias w:val="单位：财务附注：支付的其他与筹资活动有关的现金"/>
          <w:tag w:val="_GBC_f301b3c53ede43608ccf55c09ef288e7"/>
          <w:id w:val="7301188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2316743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321"/>
        <w:gridCol w:w="2841"/>
        <w:gridCol w:w="2661"/>
      </w:tblGrid>
      <w:tr w14:paraId="28BE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rPr>
            <w:tag w:val="_PLD_e2db8e0335cc47fe9b6461eeb2befa7e"/>
            <w:id w:val="-25956349"/>
          </w:sdtPr>
          <w:sdtEndPr>
            <w:rPr>
              <w:rFonts w:ascii="Arial Narrow" w:hAnsi="Arial Narrow" w:eastAsiaTheme="minorEastAsia"/>
            </w:rPr>
          </w:sdtEndPr>
          <w:sdtContent>
            <w:tc>
              <w:tcPr>
                <w:tcW w:w="1882" w:type="pct"/>
              </w:tcPr>
              <w:p w14:paraId="0A38C546">
                <w:pPr>
                  <w:autoSpaceDE w:val="0"/>
                  <w:autoSpaceDN w:val="0"/>
                  <w:adjustRightInd w:val="0"/>
                  <w:snapToGrid w:val="0"/>
                  <w:jc w:val="center"/>
                  <w:rPr>
                    <w:rFonts w:ascii="Arial Narrow" w:hAnsi="Arial Narrow" w:eastAsiaTheme="minorEastAsia"/>
                  </w:rPr>
                </w:pPr>
                <w:r>
                  <w:rPr>
                    <w:rFonts w:ascii="Arial Narrow" w:hAnsi="Arial Narrow" w:eastAsiaTheme="minorEastAsia"/>
                  </w:rPr>
                  <w:t>项目</w:t>
                </w:r>
              </w:p>
            </w:tc>
          </w:sdtContent>
        </w:sdt>
        <w:sdt>
          <w:sdtPr>
            <w:rPr>
              <w:rFonts w:ascii="Arial Narrow" w:hAnsi="Arial Narrow" w:eastAsiaTheme="minorEastAsia"/>
            </w:rPr>
            <w:tag w:val="_PLD_bb4a54a8a5be4a6691e4d59483217c64"/>
            <w:id w:val="473190366"/>
          </w:sdtPr>
          <w:sdtEndPr>
            <w:rPr>
              <w:rFonts w:ascii="Arial Narrow" w:hAnsi="Arial Narrow" w:eastAsiaTheme="minorEastAsia"/>
            </w:rPr>
          </w:sdtEndPr>
          <w:sdtContent>
            <w:tc>
              <w:tcPr>
                <w:tcW w:w="1610" w:type="pct"/>
              </w:tcPr>
              <w:p w14:paraId="3EF4D78F">
                <w:pPr>
                  <w:autoSpaceDE w:val="0"/>
                  <w:autoSpaceDN w:val="0"/>
                  <w:adjustRightInd w:val="0"/>
                  <w:snapToGrid w:val="0"/>
                  <w:jc w:val="center"/>
                  <w:rPr>
                    <w:rFonts w:ascii="Arial Narrow" w:hAnsi="Arial Narrow" w:eastAsiaTheme="minorEastAsia"/>
                  </w:rPr>
                </w:pPr>
                <w:r>
                  <w:rPr>
                    <w:rFonts w:ascii="Arial Narrow" w:hAnsi="Arial Narrow" w:eastAsiaTheme="minorEastAsia"/>
                  </w:rPr>
                  <w:t>本期发生额</w:t>
                </w:r>
              </w:p>
            </w:tc>
          </w:sdtContent>
        </w:sdt>
        <w:sdt>
          <w:sdtPr>
            <w:rPr>
              <w:rFonts w:ascii="Arial Narrow" w:hAnsi="Arial Narrow" w:eastAsiaTheme="minorEastAsia"/>
            </w:rPr>
            <w:tag w:val="_PLD_a4930447bc4d450faf79f923eef8597b"/>
            <w:id w:val="1544709661"/>
          </w:sdtPr>
          <w:sdtEndPr>
            <w:rPr>
              <w:rFonts w:ascii="Arial Narrow" w:hAnsi="Arial Narrow" w:eastAsiaTheme="minorEastAsia"/>
            </w:rPr>
          </w:sdtEndPr>
          <w:sdtContent>
            <w:tc>
              <w:tcPr>
                <w:tcW w:w="1508" w:type="pct"/>
              </w:tcPr>
              <w:p w14:paraId="51FE6D94">
                <w:pPr>
                  <w:autoSpaceDE w:val="0"/>
                  <w:autoSpaceDN w:val="0"/>
                  <w:adjustRightInd w:val="0"/>
                  <w:snapToGrid w:val="0"/>
                  <w:jc w:val="center"/>
                  <w:rPr>
                    <w:rFonts w:ascii="Arial Narrow" w:hAnsi="Arial Narrow" w:eastAsiaTheme="minorEastAsia"/>
                  </w:rPr>
                </w:pPr>
                <w:r>
                  <w:rPr>
                    <w:rFonts w:ascii="Arial Narrow" w:hAnsi="Arial Narrow" w:eastAsiaTheme="minorEastAsia"/>
                  </w:rPr>
                  <w:t>上期发生额</w:t>
                </w:r>
              </w:p>
            </w:tc>
          </w:sdtContent>
        </w:sdt>
      </w:tr>
      <w:tr w14:paraId="3F3B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33D0CFBB">
            <w:pPr>
              <w:autoSpaceDE w:val="0"/>
              <w:autoSpaceDN w:val="0"/>
              <w:adjustRightInd w:val="0"/>
              <w:snapToGrid w:val="0"/>
              <w:rPr>
                <w:rFonts w:ascii="Arial Narrow" w:hAnsi="Arial Narrow" w:eastAsiaTheme="minorEastAsia"/>
              </w:rPr>
            </w:pPr>
            <w:r>
              <w:rPr>
                <w:rFonts w:ascii="Arial Narrow" w:hAnsi="Arial Narrow" w:eastAsiaTheme="minorEastAsia"/>
                <w:color w:val="000000"/>
                <w:szCs w:val="21"/>
              </w:rPr>
              <w:t>信用证、票据保证金等</w:t>
            </w:r>
          </w:p>
        </w:tc>
        <w:tc>
          <w:tcPr>
            <w:tcW w:w="1610" w:type="pct"/>
            <w:vAlign w:val="center"/>
          </w:tcPr>
          <w:p w14:paraId="6CBE16BE">
            <w:pPr>
              <w:jc w:val="right"/>
              <w:rPr>
                <w:rFonts w:ascii="Arial Narrow" w:hAnsi="Arial Narrow" w:eastAsiaTheme="minorEastAsia"/>
              </w:rPr>
            </w:pPr>
            <w:r>
              <w:rPr>
                <w:rFonts w:ascii="Arial Narrow" w:hAnsi="Arial Narrow" w:eastAsiaTheme="minorEastAsia"/>
                <w:color w:val="000000"/>
                <w:szCs w:val="21"/>
              </w:rPr>
              <w:t>6,595,491.72</w:t>
            </w:r>
          </w:p>
        </w:tc>
        <w:tc>
          <w:tcPr>
            <w:tcW w:w="1508" w:type="pct"/>
            <w:vAlign w:val="center"/>
          </w:tcPr>
          <w:p w14:paraId="537B60BF">
            <w:pPr>
              <w:jc w:val="right"/>
              <w:rPr>
                <w:rFonts w:ascii="Arial Narrow" w:hAnsi="Arial Narrow" w:eastAsiaTheme="minorEastAsia"/>
              </w:rPr>
            </w:pPr>
            <w:r>
              <w:rPr>
                <w:rFonts w:ascii="Arial Narrow" w:hAnsi="Arial Narrow" w:eastAsiaTheme="minorEastAsia"/>
                <w:color w:val="000000"/>
                <w:szCs w:val="21"/>
              </w:rPr>
              <w:t>24,322,910.94</w:t>
            </w:r>
          </w:p>
        </w:tc>
      </w:tr>
      <w:tr w14:paraId="5383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71F8700A">
            <w:pPr>
              <w:autoSpaceDE w:val="0"/>
              <w:autoSpaceDN w:val="0"/>
              <w:adjustRightInd w:val="0"/>
              <w:snapToGrid w:val="0"/>
              <w:rPr>
                <w:rFonts w:ascii="Arial Narrow" w:hAnsi="Arial Narrow" w:eastAsiaTheme="minorEastAsia"/>
              </w:rPr>
            </w:pPr>
            <w:r>
              <w:rPr>
                <w:rFonts w:ascii="Arial Narrow" w:hAnsi="Arial Narrow" w:eastAsiaTheme="minorEastAsia"/>
                <w:color w:val="000000"/>
                <w:szCs w:val="21"/>
              </w:rPr>
              <w:t>租赁支出</w:t>
            </w:r>
          </w:p>
        </w:tc>
        <w:tc>
          <w:tcPr>
            <w:tcW w:w="1610" w:type="pct"/>
            <w:vAlign w:val="center"/>
          </w:tcPr>
          <w:p w14:paraId="62EF238C">
            <w:pPr>
              <w:jc w:val="right"/>
              <w:rPr>
                <w:rFonts w:ascii="Arial Narrow" w:hAnsi="Arial Narrow" w:eastAsiaTheme="minorEastAsia"/>
              </w:rPr>
            </w:pPr>
            <w:r>
              <w:rPr>
                <w:rFonts w:ascii="Arial Narrow" w:hAnsi="Arial Narrow" w:eastAsiaTheme="minorEastAsia"/>
                <w:color w:val="000000"/>
                <w:szCs w:val="21"/>
              </w:rPr>
              <w:t>1,930,000.00</w:t>
            </w:r>
          </w:p>
        </w:tc>
        <w:tc>
          <w:tcPr>
            <w:tcW w:w="1508" w:type="pct"/>
            <w:vAlign w:val="center"/>
          </w:tcPr>
          <w:p w14:paraId="0B338BB4">
            <w:pPr>
              <w:jc w:val="right"/>
              <w:rPr>
                <w:rFonts w:ascii="Arial Narrow" w:hAnsi="Arial Narrow" w:eastAsiaTheme="minorEastAsia"/>
              </w:rPr>
            </w:pPr>
            <w:r>
              <w:rPr>
                <w:rFonts w:ascii="Arial Narrow" w:hAnsi="Arial Narrow" w:eastAsiaTheme="minorEastAsia"/>
                <w:color w:val="000000"/>
                <w:szCs w:val="21"/>
              </w:rPr>
              <w:t>23,965,074.21</w:t>
            </w:r>
          </w:p>
        </w:tc>
      </w:tr>
      <w:tr w14:paraId="1926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19CA459A">
            <w:pPr>
              <w:autoSpaceDE w:val="0"/>
              <w:autoSpaceDN w:val="0"/>
              <w:adjustRightInd w:val="0"/>
              <w:snapToGrid w:val="0"/>
              <w:rPr>
                <w:rFonts w:ascii="Arial Narrow" w:hAnsi="Arial Narrow" w:eastAsiaTheme="minorEastAsia"/>
              </w:rPr>
            </w:pPr>
            <w:r>
              <w:rPr>
                <w:rFonts w:ascii="Arial Narrow" w:hAnsi="Arial Narrow" w:eastAsiaTheme="minorEastAsia"/>
                <w:color w:val="000000"/>
                <w:szCs w:val="21"/>
              </w:rPr>
              <w:t>退小股东投资款</w:t>
            </w:r>
          </w:p>
        </w:tc>
        <w:tc>
          <w:tcPr>
            <w:tcW w:w="1610" w:type="pct"/>
            <w:vAlign w:val="center"/>
          </w:tcPr>
          <w:p w14:paraId="7FDCEA8D">
            <w:pPr>
              <w:jc w:val="right"/>
              <w:rPr>
                <w:rFonts w:ascii="Arial Narrow" w:hAnsi="Arial Narrow" w:eastAsiaTheme="minorEastAsia"/>
              </w:rPr>
            </w:pPr>
          </w:p>
        </w:tc>
        <w:tc>
          <w:tcPr>
            <w:tcW w:w="1508" w:type="pct"/>
            <w:vAlign w:val="center"/>
          </w:tcPr>
          <w:p w14:paraId="591F199C">
            <w:pPr>
              <w:jc w:val="right"/>
              <w:rPr>
                <w:rFonts w:ascii="Arial Narrow" w:hAnsi="Arial Narrow" w:eastAsiaTheme="minorEastAsia"/>
              </w:rPr>
            </w:pPr>
            <w:r>
              <w:rPr>
                <w:rFonts w:ascii="Arial Narrow" w:hAnsi="Arial Narrow" w:eastAsiaTheme="minorEastAsia"/>
                <w:color w:val="000000"/>
                <w:szCs w:val="21"/>
              </w:rPr>
              <w:t>20,000,000.00</w:t>
            </w:r>
          </w:p>
        </w:tc>
      </w:tr>
      <w:tr w14:paraId="7905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35573C3A">
            <w:pPr>
              <w:autoSpaceDE w:val="0"/>
              <w:autoSpaceDN w:val="0"/>
              <w:adjustRightInd w:val="0"/>
              <w:snapToGrid w:val="0"/>
              <w:rPr>
                <w:rFonts w:ascii="Arial Narrow" w:hAnsi="Arial Narrow" w:eastAsiaTheme="minorEastAsia"/>
              </w:rPr>
            </w:pPr>
            <w:r>
              <w:rPr>
                <w:rFonts w:ascii="Arial Narrow" w:hAnsi="Arial Narrow" w:eastAsiaTheme="minorEastAsia"/>
                <w:color w:val="000000"/>
                <w:szCs w:val="21"/>
              </w:rPr>
              <w:t>借款利息</w:t>
            </w:r>
          </w:p>
        </w:tc>
        <w:tc>
          <w:tcPr>
            <w:tcW w:w="1610" w:type="pct"/>
            <w:vAlign w:val="center"/>
          </w:tcPr>
          <w:p w14:paraId="6EAE5DCD">
            <w:pPr>
              <w:jc w:val="right"/>
              <w:rPr>
                <w:rFonts w:ascii="Arial Narrow" w:hAnsi="Arial Narrow" w:eastAsiaTheme="minorEastAsia"/>
              </w:rPr>
            </w:pPr>
          </w:p>
        </w:tc>
        <w:tc>
          <w:tcPr>
            <w:tcW w:w="1508" w:type="pct"/>
            <w:vAlign w:val="center"/>
          </w:tcPr>
          <w:p w14:paraId="32516E6B">
            <w:pPr>
              <w:jc w:val="right"/>
              <w:rPr>
                <w:rFonts w:ascii="Arial Narrow" w:hAnsi="Arial Narrow" w:eastAsiaTheme="minorEastAsia"/>
              </w:rPr>
            </w:pPr>
            <w:r>
              <w:rPr>
                <w:rFonts w:ascii="Arial Narrow" w:hAnsi="Arial Narrow" w:eastAsiaTheme="minorEastAsia"/>
                <w:color w:val="000000"/>
                <w:szCs w:val="21"/>
              </w:rPr>
              <w:t>666,036.15</w:t>
            </w:r>
          </w:p>
        </w:tc>
      </w:tr>
      <w:tr w14:paraId="47F9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14:paraId="58F7E17A">
            <w:pPr>
              <w:autoSpaceDE w:val="0"/>
              <w:autoSpaceDN w:val="0"/>
              <w:adjustRightInd w:val="0"/>
              <w:snapToGrid w:val="0"/>
              <w:jc w:val="center"/>
              <w:rPr>
                <w:rFonts w:ascii="Arial Narrow" w:hAnsi="Arial Narrow" w:eastAsiaTheme="minorEastAsia"/>
              </w:rPr>
            </w:pPr>
            <w:r>
              <w:rPr>
                <w:rFonts w:ascii="Arial Narrow" w:hAnsi="Arial Narrow" w:eastAsiaTheme="minorEastAsia"/>
              </w:rPr>
              <w:t>合计</w:t>
            </w:r>
          </w:p>
        </w:tc>
        <w:tc>
          <w:tcPr>
            <w:tcW w:w="1610" w:type="pct"/>
            <w:vAlign w:val="center"/>
          </w:tcPr>
          <w:p w14:paraId="3891F663">
            <w:pPr>
              <w:jc w:val="right"/>
              <w:rPr>
                <w:rFonts w:ascii="Arial Narrow" w:hAnsi="Arial Narrow" w:eastAsiaTheme="minorEastAsia"/>
              </w:rPr>
            </w:pPr>
            <w:r>
              <w:rPr>
                <w:rFonts w:ascii="Arial Narrow" w:hAnsi="Arial Narrow" w:eastAsiaTheme="minorEastAsia"/>
                <w:color w:val="000000"/>
                <w:szCs w:val="21"/>
              </w:rPr>
              <w:t>8,525,491.72</w:t>
            </w:r>
          </w:p>
        </w:tc>
        <w:tc>
          <w:tcPr>
            <w:tcW w:w="1508" w:type="pct"/>
            <w:vAlign w:val="center"/>
          </w:tcPr>
          <w:p w14:paraId="52A61179">
            <w:pPr>
              <w:jc w:val="right"/>
              <w:rPr>
                <w:rFonts w:ascii="Arial Narrow" w:hAnsi="Arial Narrow" w:eastAsiaTheme="minorEastAsia"/>
              </w:rPr>
            </w:pPr>
            <w:r>
              <w:rPr>
                <w:rFonts w:ascii="Arial Narrow" w:hAnsi="Arial Narrow" w:eastAsiaTheme="minorEastAsia"/>
                <w:color w:val="000000"/>
                <w:szCs w:val="21"/>
              </w:rPr>
              <w:t>68,954,021.30</w:t>
            </w:r>
          </w:p>
        </w:tc>
      </w:tr>
    </w:tbl>
    <w:p w14:paraId="4092BE42">
      <w:pPr>
        <w:spacing w:before="60" w:after="60"/>
        <w:rPr>
          <w:rFonts w:hint="eastAsia"/>
        </w:rPr>
      </w:pPr>
      <w:r>
        <w:rPr>
          <w:rFonts w:hint="eastAsia"/>
        </w:rPr>
        <w:t>支付的其他与筹资活动有关的现金说明：</w:t>
      </w:r>
    </w:p>
    <w:sdt>
      <w:sdtPr>
        <w:rPr>
          <w:rFonts w:hint="eastAsia"/>
        </w:rPr>
        <w:alias w:val="支付的其他与筹资活动有关的现金说明"/>
        <w:tag w:val="_GBC_1701b304ff9b4fe296ba35640eccbe16"/>
        <w:id w:val="-1128315862"/>
        <w:placeholder>
          <w:docPart w:val="GBC22222222222222222222222222222"/>
        </w:placeholder>
      </w:sdtPr>
      <w:sdtEndPr>
        <w:rPr>
          <w:rFonts w:hint="eastAsia"/>
        </w:rPr>
      </w:sdtEndPr>
      <w:sdtContent>
        <w:p w14:paraId="5899CA8F">
          <w:pPr>
            <w:ind w:right="5"/>
            <w:rPr>
              <w:rFonts w:asciiTheme="minorHAnsi" w:hAnsiTheme="minorHAnsi" w:cstheme="minorBidi"/>
              <w:kern w:val="2"/>
              <w:szCs w:val="22"/>
            </w:rPr>
          </w:pPr>
          <w:r>
            <w:rPr>
              <w:rFonts w:hint="eastAsia"/>
            </w:rPr>
            <w:t>无</w:t>
          </w:r>
        </w:p>
      </w:sdtContent>
    </w:sdt>
    <w:p w14:paraId="6E9A0E81">
      <w:pPr>
        <w:ind w:right="5"/>
        <w:rPr>
          <w:rFonts w:hint="eastAsia"/>
        </w:rPr>
        <w:sectPr>
          <w:pgSz w:w="11906" w:h="16838"/>
          <w:pgMar w:top="1440" w:right="1797" w:bottom="1525" w:left="1276" w:header="856" w:footer="992" w:gutter="0"/>
          <w:cols w:space="425" w:num="1"/>
          <w:docGrid w:linePitch="312" w:charSpace="0"/>
        </w:sectPr>
      </w:pPr>
    </w:p>
    <w:p w14:paraId="1EFCAEF6">
      <w:pPr>
        <w:ind w:right="5"/>
        <w:rPr>
          <w:rFonts w:hint="eastAsia"/>
        </w:rPr>
      </w:pPr>
    </w:p>
    <w:p w14:paraId="5ED0D321">
      <w:pPr>
        <w:ind w:right="5"/>
        <w:rPr>
          <w:rFonts w:hint="eastAsia"/>
        </w:rPr>
      </w:pPr>
      <w:r>
        <w:rPr>
          <w:rFonts w:hint="eastAsia"/>
        </w:rPr>
        <w:t>筹资活动产生的各项负债变动情况</w:t>
      </w:r>
    </w:p>
    <w:sdt>
      <w:sdtPr>
        <w:alias w:val="是否适用：筹资活动产生的各项负债变动情况[双击切换]"/>
        <w:tag w:val="_GBC_6935418490e145edaf7010b5534b8d6c"/>
        <w:id w:val="1367645404"/>
        <w:placeholder>
          <w:docPart w:val="GBC22222222222222222222222222222"/>
        </w:placeholder>
      </w:sdtPr>
      <w:sdtContent>
        <w:p w14:paraId="0C4088E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D1FA8A">
      <w:pPr>
        <w:jc w:val="right"/>
        <w:rPr>
          <w:rFonts w:hint="eastAsia"/>
          <w:szCs w:val="21"/>
        </w:rPr>
      </w:pPr>
      <w:r>
        <w:rPr>
          <w:rFonts w:hint="eastAsia"/>
          <w:szCs w:val="21"/>
        </w:rPr>
        <w:t>单位：</w:t>
      </w:r>
      <w:sdt>
        <w:sdtPr>
          <w:rPr>
            <w:rFonts w:hint="eastAsia"/>
            <w:szCs w:val="21"/>
          </w:rPr>
          <w:alias w:val="单位：筹资活动产生的各项负债变动情况"/>
          <w:tag w:val="_GBC_925389d7776444c688d3aa66f662adfd"/>
          <w:id w:val="17423050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筹资活动产生的各项负债变动情况"/>
          <w:tag w:val="_GBC_3a33ea855d774ed4a7e23b58b10b2ecd"/>
          <w:id w:val="-9942573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83"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843"/>
        <w:gridCol w:w="1731"/>
        <w:gridCol w:w="1956"/>
        <w:gridCol w:w="1984"/>
        <w:gridCol w:w="2263"/>
        <w:gridCol w:w="1979"/>
        <w:gridCol w:w="2337"/>
      </w:tblGrid>
      <w:tr w14:paraId="1F05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sdt>
          <w:sdtPr>
            <w:rPr>
              <w:rFonts w:ascii="Arial Narrow" w:hAnsi="Arial Narrow" w:eastAsiaTheme="minorEastAsia"/>
              <w:szCs w:val="21"/>
            </w:rPr>
            <w:tag w:val="_PLD_5f8ab210fee34d74a9ce8c73775994d9"/>
            <w:id w:val="-1858343424"/>
          </w:sdtPr>
          <w:sdtEndPr>
            <w:rPr>
              <w:rFonts w:ascii="Arial Narrow" w:hAnsi="Arial Narrow" w:eastAsiaTheme="minorEastAsia"/>
              <w:szCs w:val="21"/>
            </w:rPr>
          </w:sdtEndPr>
          <w:sdtContent>
            <w:tc>
              <w:tcPr>
                <w:tcW w:w="654" w:type="pct"/>
                <w:vMerge w:val="restart"/>
                <w:vAlign w:val="center"/>
              </w:tcPr>
              <w:p w14:paraId="6C853F12">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bab049d4c26d47d49041c46652b3d748"/>
            <w:id w:val="-740091626"/>
          </w:sdtPr>
          <w:sdtEndPr>
            <w:rPr>
              <w:rFonts w:ascii="Arial Narrow" w:hAnsi="Arial Narrow" w:eastAsiaTheme="minorEastAsia"/>
              <w:szCs w:val="21"/>
            </w:rPr>
          </w:sdtEndPr>
          <w:sdtContent>
            <w:tc>
              <w:tcPr>
                <w:tcW w:w="614" w:type="pct"/>
                <w:vMerge w:val="restart"/>
                <w:vAlign w:val="center"/>
              </w:tcPr>
              <w:p w14:paraId="4ED1858E">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期初余额</w:t>
                </w:r>
              </w:p>
            </w:tc>
          </w:sdtContent>
        </w:sdt>
        <w:sdt>
          <w:sdtPr>
            <w:rPr>
              <w:rFonts w:ascii="Arial Narrow" w:hAnsi="Arial Narrow" w:eastAsiaTheme="minorEastAsia"/>
              <w:szCs w:val="21"/>
            </w:rPr>
            <w:tag w:val="_PLD_440b2c54c3664dc199a52a962ffbbdd3"/>
            <w:id w:val="-1298830694"/>
          </w:sdtPr>
          <w:sdtEndPr>
            <w:rPr>
              <w:rFonts w:ascii="Arial Narrow" w:hAnsi="Arial Narrow" w:eastAsiaTheme="minorEastAsia"/>
              <w:szCs w:val="21"/>
            </w:rPr>
          </w:sdtEndPr>
          <w:sdtContent>
            <w:tc>
              <w:tcPr>
                <w:tcW w:w="1398" w:type="pct"/>
                <w:gridSpan w:val="2"/>
                <w:vAlign w:val="center"/>
              </w:tcPr>
              <w:p w14:paraId="56FD87B4">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本期增加</w:t>
                </w:r>
              </w:p>
            </w:tc>
          </w:sdtContent>
        </w:sdt>
        <w:sdt>
          <w:sdtPr>
            <w:rPr>
              <w:rFonts w:ascii="Arial Narrow" w:hAnsi="Arial Narrow" w:eastAsiaTheme="minorEastAsia"/>
              <w:szCs w:val="21"/>
            </w:rPr>
            <w:tag w:val="_PLD_4dc104f2ec524f5a86e41fb0db78ed82"/>
            <w:id w:val="-99109641"/>
          </w:sdtPr>
          <w:sdtEndPr>
            <w:rPr>
              <w:rFonts w:ascii="Arial Narrow" w:hAnsi="Arial Narrow" w:eastAsiaTheme="minorEastAsia"/>
              <w:szCs w:val="21"/>
            </w:rPr>
          </w:sdtEndPr>
          <w:sdtContent>
            <w:tc>
              <w:tcPr>
                <w:tcW w:w="1505" w:type="pct"/>
                <w:gridSpan w:val="2"/>
                <w:vAlign w:val="center"/>
              </w:tcPr>
              <w:p w14:paraId="574BEC8A">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本期减少</w:t>
                </w:r>
              </w:p>
            </w:tc>
          </w:sdtContent>
        </w:sdt>
        <w:sdt>
          <w:sdtPr>
            <w:rPr>
              <w:rFonts w:ascii="Arial Narrow" w:hAnsi="Arial Narrow" w:eastAsiaTheme="minorEastAsia"/>
              <w:szCs w:val="21"/>
            </w:rPr>
            <w:tag w:val="_PLD_54378f5247a844d49aa0017541fa519d"/>
            <w:id w:val="-979918666"/>
          </w:sdtPr>
          <w:sdtEndPr>
            <w:rPr>
              <w:rFonts w:ascii="Arial Narrow" w:hAnsi="Arial Narrow" w:eastAsiaTheme="minorEastAsia"/>
              <w:szCs w:val="21"/>
            </w:rPr>
          </w:sdtEndPr>
          <w:sdtContent>
            <w:tc>
              <w:tcPr>
                <w:tcW w:w="829" w:type="pct"/>
                <w:vMerge w:val="restart"/>
                <w:vAlign w:val="center"/>
              </w:tcPr>
              <w:p w14:paraId="16BE5668">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期末余额</w:t>
                </w:r>
              </w:p>
            </w:tc>
          </w:sdtContent>
        </w:sdt>
      </w:tr>
      <w:tr w14:paraId="0E10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tc>
          <w:tcPr>
            <w:tcW w:w="654" w:type="pct"/>
            <w:vMerge w:val="continue"/>
          </w:tcPr>
          <w:p w14:paraId="34D7817B">
            <w:pPr>
              <w:autoSpaceDE w:val="0"/>
              <w:autoSpaceDN w:val="0"/>
              <w:adjustRightInd w:val="0"/>
              <w:snapToGrid w:val="0"/>
              <w:jc w:val="center"/>
              <w:rPr>
                <w:rFonts w:ascii="Arial Narrow" w:hAnsi="Arial Narrow" w:eastAsiaTheme="minorEastAsia"/>
                <w:szCs w:val="21"/>
              </w:rPr>
            </w:pPr>
          </w:p>
        </w:tc>
        <w:tc>
          <w:tcPr>
            <w:tcW w:w="614" w:type="pct"/>
            <w:vMerge w:val="continue"/>
          </w:tcPr>
          <w:p w14:paraId="4A8F2958">
            <w:pPr>
              <w:autoSpaceDE w:val="0"/>
              <w:autoSpaceDN w:val="0"/>
              <w:adjustRightInd w:val="0"/>
              <w:snapToGrid w:val="0"/>
              <w:jc w:val="center"/>
              <w:rPr>
                <w:rFonts w:ascii="Arial Narrow" w:hAnsi="Arial Narrow" w:eastAsiaTheme="minorEastAsia"/>
                <w:szCs w:val="21"/>
              </w:rPr>
            </w:pPr>
          </w:p>
        </w:tc>
        <w:sdt>
          <w:sdtPr>
            <w:rPr>
              <w:rFonts w:ascii="Arial Narrow" w:hAnsi="Arial Narrow" w:eastAsiaTheme="minorEastAsia"/>
              <w:szCs w:val="21"/>
            </w:rPr>
            <w:tag w:val="_PLD_420e321954544771b0b73780f2164d28"/>
            <w:id w:val="-713896035"/>
          </w:sdtPr>
          <w:sdtEndPr>
            <w:rPr>
              <w:rFonts w:ascii="Arial Narrow" w:hAnsi="Arial Narrow" w:eastAsiaTheme="minorEastAsia"/>
              <w:szCs w:val="21"/>
            </w:rPr>
          </w:sdtEndPr>
          <w:sdtContent>
            <w:tc>
              <w:tcPr>
                <w:tcW w:w="694" w:type="pct"/>
                <w:vAlign w:val="center"/>
              </w:tcPr>
              <w:p w14:paraId="7131F0C1">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现金变动</w:t>
                </w:r>
              </w:p>
            </w:tc>
          </w:sdtContent>
        </w:sdt>
        <w:sdt>
          <w:sdtPr>
            <w:rPr>
              <w:rFonts w:ascii="Arial Narrow" w:hAnsi="Arial Narrow" w:eastAsiaTheme="minorEastAsia"/>
              <w:szCs w:val="21"/>
            </w:rPr>
            <w:tag w:val="_PLD_258fabff104642c7837f9d6f4d653a0f"/>
            <w:id w:val="580264721"/>
          </w:sdtPr>
          <w:sdtEndPr>
            <w:rPr>
              <w:rFonts w:ascii="Arial Narrow" w:hAnsi="Arial Narrow" w:eastAsiaTheme="minorEastAsia"/>
              <w:szCs w:val="21"/>
            </w:rPr>
          </w:sdtEndPr>
          <w:sdtContent>
            <w:tc>
              <w:tcPr>
                <w:tcW w:w="704" w:type="pct"/>
                <w:vAlign w:val="center"/>
              </w:tcPr>
              <w:p w14:paraId="23EE0983">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非现金变动</w:t>
                </w:r>
              </w:p>
            </w:tc>
          </w:sdtContent>
        </w:sdt>
        <w:sdt>
          <w:sdtPr>
            <w:rPr>
              <w:rFonts w:ascii="Arial Narrow" w:hAnsi="Arial Narrow" w:eastAsiaTheme="minorEastAsia"/>
              <w:szCs w:val="21"/>
            </w:rPr>
            <w:tag w:val="_PLD_3c34596330aa4ababb3e1ef50efc7668"/>
            <w:id w:val="-1684266493"/>
          </w:sdtPr>
          <w:sdtEndPr>
            <w:rPr>
              <w:rFonts w:ascii="Arial Narrow" w:hAnsi="Arial Narrow" w:eastAsiaTheme="minorEastAsia"/>
              <w:szCs w:val="21"/>
            </w:rPr>
          </w:sdtEndPr>
          <w:sdtContent>
            <w:tc>
              <w:tcPr>
                <w:tcW w:w="803" w:type="pct"/>
                <w:vAlign w:val="center"/>
              </w:tcPr>
              <w:p w14:paraId="7DEFA18E">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现金变动</w:t>
                </w:r>
              </w:p>
            </w:tc>
          </w:sdtContent>
        </w:sdt>
        <w:sdt>
          <w:sdtPr>
            <w:rPr>
              <w:rFonts w:ascii="Arial Narrow" w:hAnsi="Arial Narrow" w:eastAsiaTheme="minorEastAsia"/>
              <w:szCs w:val="21"/>
            </w:rPr>
            <w:tag w:val="_PLD_5640b38554e340769223289d39b620da"/>
            <w:id w:val="209774159"/>
          </w:sdtPr>
          <w:sdtEndPr>
            <w:rPr>
              <w:rFonts w:ascii="Arial Narrow" w:hAnsi="Arial Narrow" w:eastAsiaTheme="minorEastAsia"/>
              <w:szCs w:val="21"/>
            </w:rPr>
          </w:sdtEndPr>
          <w:sdtContent>
            <w:tc>
              <w:tcPr>
                <w:tcW w:w="702" w:type="pct"/>
                <w:vAlign w:val="center"/>
              </w:tcPr>
              <w:p w14:paraId="6D15C2EA">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非现金变动</w:t>
                </w:r>
              </w:p>
            </w:tc>
          </w:sdtContent>
        </w:sdt>
        <w:tc>
          <w:tcPr>
            <w:tcW w:w="829" w:type="pct"/>
            <w:vMerge w:val="continue"/>
            <w:vAlign w:val="center"/>
          </w:tcPr>
          <w:p w14:paraId="76E36E6F">
            <w:pPr>
              <w:autoSpaceDE w:val="0"/>
              <w:autoSpaceDN w:val="0"/>
              <w:adjustRightInd w:val="0"/>
              <w:snapToGrid w:val="0"/>
              <w:jc w:val="center"/>
              <w:rPr>
                <w:rFonts w:ascii="Arial Narrow" w:hAnsi="Arial Narrow" w:eastAsiaTheme="minorEastAsia"/>
                <w:szCs w:val="21"/>
              </w:rPr>
            </w:pPr>
          </w:p>
        </w:tc>
      </w:tr>
      <w:tr w14:paraId="596D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2DF1C234">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短期借款</w:t>
            </w:r>
          </w:p>
        </w:tc>
        <w:tc>
          <w:tcPr>
            <w:tcW w:w="614" w:type="pct"/>
            <w:vAlign w:val="center"/>
          </w:tcPr>
          <w:p w14:paraId="2EB41F8E">
            <w:pPr>
              <w:jc w:val="right"/>
              <w:rPr>
                <w:rFonts w:ascii="Arial Narrow" w:hAnsi="Arial Narrow" w:eastAsiaTheme="minorEastAsia"/>
                <w:szCs w:val="21"/>
              </w:rPr>
            </w:pPr>
            <w:r>
              <w:rPr>
                <w:rFonts w:ascii="Arial Narrow" w:hAnsi="Arial Narrow" w:eastAsiaTheme="minorEastAsia"/>
                <w:color w:val="000000"/>
                <w:szCs w:val="21"/>
              </w:rPr>
              <w:t xml:space="preserve">394,683,439.41 </w:t>
            </w:r>
          </w:p>
        </w:tc>
        <w:tc>
          <w:tcPr>
            <w:tcW w:w="694" w:type="pct"/>
            <w:vAlign w:val="center"/>
          </w:tcPr>
          <w:p w14:paraId="4F2B5C2F">
            <w:pPr>
              <w:jc w:val="right"/>
              <w:rPr>
                <w:rFonts w:ascii="Arial Narrow" w:hAnsi="Arial Narrow" w:eastAsiaTheme="minorEastAsia"/>
                <w:szCs w:val="21"/>
              </w:rPr>
            </w:pPr>
            <w:r>
              <w:rPr>
                <w:rFonts w:ascii="Arial Narrow" w:hAnsi="Arial Narrow" w:eastAsiaTheme="minorEastAsia"/>
                <w:color w:val="000000"/>
                <w:szCs w:val="21"/>
              </w:rPr>
              <w:t xml:space="preserve">736,733,650.31 </w:t>
            </w:r>
          </w:p>
        </w:tc>
        <w:tc>
          <w:tcPr>
            <w:tcW w:w="704" w:type="pct"/>
            <w:vAlign w:val="center"/>
          </w:tcPr>
          <w:p w14:paraId="4D7C497F">
            <w:pPr>
              <w:jc w:val="right"/>
              <w:rPr>
                <w:rFonts w:ascii="Arial Narrow" w:hAnsi="Arial Narrow" w:eastAsiaTheme="minorEastAsia"/>
                <w:szCs w:val="21"/>
              </w:rPr>
            </w:pPr>
            <w:r>
              <w:rPr>
                <w:rFonts w:ascii="Arial Narrow" w:hAnsi="Arial Narrow" w:eastAsiaTheme="minorEastAsia"/>
                <w:color w:val="000000"/>
                <w:szCs w:val="21"/>
              </w:rPr>
              <w:t xml:space="preserve">186,330.49 </w:t>
            </w:r>
          </w:p>
        </w:tc>
        <w:tc>
          <w:tcPr>
            <w:tcW w:w="803" w:type="pct"/>
            <w:vAlign w:val="center"/>
          </w:tcPr>
          <w:p w14:paraId="341C5F7C">
            <w:pPr>
              <w:jc w:val="right"/>
              <w:rPr>
                <w:rFonts w:ascii="Arial Narrow" w:hAnsi="Arial Narrow" w:eastAsiaTheme="minorEastAsia"/>
                <w:szCs w:val="21"/>
              </w:rPr>
            </w:pPr>
            <w:r>
              <w:rPr>
                <w:rFonts w:ascii="Arial Narrow" w:hAnsi="Arial Narrow" w:eastAsiaTheme="minorEastAsia"/>
                <w:color w:val="000000"/>
                <w:szCs w:val="21"/>
              </w:rPr>
              <w:t xml:space="preserve">691,133,650.31 </w:t>
            </w:r>
          </w:p>
        </w:tc>
        <w:tc>
          <w:tcPr>
            <w:tcW w:w="702" w:type="pct"/>
            <w:vAlign w:val="center"/>
          </w:tcPr>
          <w:p w14:paraId="3F87E36D">
            <w:pPr>
              <w:jc w:val="right"/>
              <w:rPr>
                <w:rFonts w:ascii="Arial Narrow" w:hAnsi="Arial Narrow" w:eastAsiaTheme="minorEastAsia"/>
                <w:szCs w:val="21"/>
              </w:rPr>
            </w:pPr>
            <w:r>
              <w:rPr>
                <w:rFonts w:ascii="Arial Narrow" w:hAnsi="Arial Narrow" w:eastAsiaTheme="minorEastAsia"/>
                <w:color w:val="000000"/>
                <w:szCs w:val="21"/>
              </w:rPr>
              <w:t xml:space="preserve">283,439.41 </w:t>
            </w:r>
          </w:p>
        </w:tc>
        <w:tc>
          <w:tcPr>
            <w:tcW w:w="829" w:type="pct"/>
            <w:vAlign w:val="center"/>
          </w:tcPr>
          <w:p w14:paraId="5B2C9C18">
            <w:pPr>
              <w:jc w:val="right"/>
              <w:rPr>
                <w:rFonts w:ascii="Arial Narrow" w:hAnsi="Arial Narrow" w:eastAsiaTheme="minorEastAsia"/>
                <w:szCs w:val="21"/>
              </w:rPr>
            </w:pPr>
            <w:r>
              <w:rPr>
                <w:rFonts w:ascii="Arial Narrow" w:hAnsi="Arial Narrow" w:eastAsiaTheme="minorEastAsia"/>
                <w:color w:val="000000"/>
                <w:szCs w:val="21"/>
              </w:rPr>
              <w:t xml:space="preserve">440,186,330.49 </w:t>
            </w:r>
          </w:p>
        </w:tc>
      </w:tr>
      <w:tr w14:paraId="6CC4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1752910E">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长期借款（含一年内到期的长期借款）</w:t>
            </w:r>
          </w:p>
        </w:tc>
        <w:tc>
          <w:tcPr>
            <w:tcW w:w="614" w:type="pct"/>
            <w:vAlign w:val="center"/>
          </w:tcPr>
          <w:p w14:paraId="55937451">
            <w:pPr>
              <w:jc w:val="right"/>
              <w:rPr>
                <w:rFonts w:ascii="Arial Narrow" w:hAnsi="Arial Narrow" w:eastAsiaTheme="minorEastAsia"/>
                <w:szCs w:val="21"/>
              </w:rPr>
            </w:pPr>
            <w:r>
              <w:rPr>
                <w:rFonts w:ascii="Arial Narrow" w:hAnsi="Arial Narrow" w:eastAsiaTheme="minorEastAsia"/>
                <w:color w:val="000000"/>
                <w:szCs w:val="21"/>
              </w:rPr>
              <w:t xml:space="preserve">1,190,130,262.88 </w:t>
            </w:r>
          </w:p>
        </w:tc>
        <w:tc>
          <w:tcPr>
            <w:tcW w:w="694" w:type="pct"/>
            <w:vAlign w:val="center"/>
          </w:tcPr>
          <w:p w14:paraId="14E23B0B">
            <w:pPr>
              <w:jc w:val="right"/>
              <w:rPr>
                <w:rFonts w:ascii="Arial Narrow" w:hAnsi="Arial Narrow" w:eastAsiaTheme="minorEastAsia"/>
                <w:szCs w:val="21"/>
              </w:rPr>
            </w:pPr>
            <w:r>
              <w:rPr>
                <w:rFonts w:ascii="Arial Narrow" w:hAnsi="Arial Narrow" w:eastAsiaTheme="minorEastAsia"/>
                <w:color w:val="000000"/>
                <w:szCs w:val="21"/>
              </w:rPr>
              <w:t xml:space="preserve">300,000,000.00 </w:t>
            </w:r>
          </w:p>
        </w:tc>
        <w:tc>
          <w:tcPr>
            <w:tcW w:w="704" w:type="pct"/>
            <w:vAlign w:val="center"/>
          </w:tcPr>
          <w:p w14:paraId="45FFD2E3">
            <w:pPr>
              <w:jc w:val="right"/>
              <w:rPr>
                <w:rFonts w:ascii="Arial Narrow" w:hAnsi="Arial Narrow" w:eastAsiaTheme="minorEastAsia"/>
                <w:szCs w:val="21"/>
              </w:rPr>
            </w:pPr>
            <w:r>
              <w:rPr>
                <w:rFonts w:ascii="Arial Narrow" w:hAnsi="Arial Narrow" w:eastAsiaTheme="minorEastAsia"/>
                <w:color w:val="000000"/>
                <w:szCs w:val="21"/>
              </w:rPr>
              <w:t xml:space="preserve">345,901.40 </w:t>
            </w:r>
          </w:p>
        </w:tc>
        <w:tc>
          <w:tcPr>
            <w:tcW w:w="803" w:type="pct"/>
            <w:vAlign w:val="center"/>
          </w:tcPr>
          <w:p w14:paraId="024A29A8">
            <w:pPr>
              <w:jc w:val="right"/>
              <w:rPr>
                <w:rFonts w:ascii="Arial Narrow" w:hAnsi="Arial Narrow" w:eastAsiaTheme="minorEastAsia"/>
                <w:szCs w:val="21"/>
              </w:rPr>
            </w:pPr>
            <w:r>
              <w:rPr>
                <w:rFonts w:ascii="Arial Narrow" w:hAnsi="Arial Narrow" w:eastAsiaTheme="minorEastAsia"/>
                <w:color w:val="000000"/>
                <w:szCs w:val="21"/>
              </w:rPr>
              <w:t xml:space="preserve">959,375,000.00 </w:t>
            </w:r>
          </w:p>
        </w:tc>
        <w:tc>
          <w:tcPr>
            <w:tcW w:w="702" w:type="pct"/>
            <w:vAlign w:val="center"/>
          </w:tcPr>
          <w:p w14:paraId="722CC7AD">
            <w:pPr>
              <w:jc w:val="right"/>
              <w:rPr>
                <w:rFonts w:ascii="Arial Narrow" w:hAnsi="Arial Narrow" w:eastAsiaTheme="minorEastAsia"/>
                <w:szCs w:val="21"/>
              </w:rPr>
            </w:pPr>
            <w:r>
              <w:rPr>
                <w:rFonts w:ascii="Arial Narrow" w:hAnsi="Arial Narrow" w:eastAsiaTheme="minorEastAsia"/>
                <w:color w:val="000000"/>
                <w:szCs w:val="21"/>
              </w:rPr>
              <w:t xml:space="preserve">880,262.88 </w:t>
            </w:r>
          </w:p>
        </w:tc>
        <w:tc>
          <w:tcPr>
            <w:tcW w:w="829" w:type="pct"/>
            <w:vAlign w:val="center"/>
          </w:tcPr>
          <w:p w14:paraId="3AF53A27">
            <w:pPr>
              <w:jc w:val="right"/>
              <w:rPr>
                <w:rFonts w:ascii="Arial Narrow" w:hAnsi="Arial Narrow" w:eastAsiaTheme="minorEastAsia"/>
                <w:szCs w:val="21"/>
              </w:rPr>
            </w:pPr>
            <w:r>
              <w:rPr>
                <w:rFonts w:ascii="Arial Narrow" w:hAnsi="Arial Narrow" w:eastAsiaTheme="minorEastAsia"/>
                <w:color w:val="000000"/>
                <w:szCs w:val="21"/>
              </w:rPr>
              <w:t xml:space="preserve">530,220,901.40 </w:t>
            </w:r>
          </w:p>
        </w:tc>
      </w:tr>
      <w:tr w14:paraId="4AC7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1B8B99A6">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应付债券（含一年内到期的应付债券）</w:t>
            </w:r>
          </w:p>
        </w:tc>
        <w:tc>
          <w:tcPr>
            <w:tcW w:w="614" w:type="pct"/>
            <w:vAlign w:val="center"/>
          </w:tcPr>
          <w:p w14:paraId="55924254">
            <w:pPr>
              <w:jc w:val="right"/>
              <w:rPr>
                <w:rFonts w:ascii="Arial Narrow" w:hAnsi="Arial Narrow" w:eastAsiaTheme="minorEastAsia"/>
                <w:szCs w:val="21"/>
              </w:rPr>
            </w:pPr>
            <w:r>
              <w:rPr>
                <w:rFonts w:ascii="Arial Narrow" w:hAnsi="Arial Narrow" w:eastAsiaTheme="minorEastAsia"/>
                <w:color w:val="000000"/>
                <w:szCs w:val="21"/>
              </w:rPr>
              <w:t xml:space="preserve">528,639,768.89 </w:t>
            </w:r>
          </w:p>
        </w:tc>
        <w:tc>
          <w:tcPr>
            <w:tcW w:w="694" w:type="pct"/>
            <w:vAlign w:val="center"/>
          </w:tcPr>
          <w:p w14:paraId="6707863A">
            <w:pPr>
              <w:jc w:val="right"/>
              <w:rPr>
                <w:rFonts w:ascii="Arial Narrow" w:hAnsi="Arial Narrow" w:eastAsiaTheme="minorEastAsia"/>
                <w:szCs w:val="21"/>
              </w:rPr>
            </w:pPr>
            <w:r>
              <w:rPr>
                <w:rFonts w:ascii="Arial Narrow" w:hAnsi="Arial Narrow" w:eastAsiaTheme="minorEastAsia"/>
                <w:color w:val="000000"/>
                <w:szCs w:val="21"/>
              </w:rPr>
              <w:t xml:space="preserve">0.00 </w:t>
            </w:r>
          </w:p>
        </w:tc>
        <w:tc>
          <w:tcPr>
            <w:tcW w:w="704" w:type="pct"/>
            <w:vAlign w:val="center"/>
          </w:tcPr>
          <w:p w14:paraId="26B546A0">
            <w:pPr>
              <w:jc w:val="right"/>
              <w:rPr>
                <w:rFonts w:ascii="Arial Narrow" w:hAnsi="Arial Narrow" w:eastAsiaTheme="minorEastAsia"/>
                <w:szCs w:val="21"/>
              </w:rPr>
            </w:pPr>
            <w:r>
              <w:rPr>
                <w:rFonts w:ascii="Arial Narrow" w:hAnsi="Arial Narrow" w:eastAsiaTheme="minorEastAsia"/>
                <w:color w:val="000000"/>
                <w:szCs w:val="21"/>
              </w:rPr>
              <w:t xml:space="preserve">15,894,789.50 </w:t>
            </w:r>
          </w:p>
        </w:tc>
        <w:tc>
          <w:tcPr>
            <w:tcW w:w="803" w:type="pct"/>
            <w:vAlign w:val="center"/>
          </w:tcPr>
          <w:p w14:paraId="13631CA7">
            <w:pPr>
              <w:jc w:val="right"/>
              <w:rPr>
                <w:rFonts w:ascii="Arial Narrow" w:hAnsi="Arial Narrow" w:eastAsiaTheme="minorEastAsia"/>
                <w:szCs w:val="21"/>
              </w:rPr>
            </w:pPr>
            <w:r>
              <w:rPr>
                <w:rFonts w:ascii="Arial Narrow" w:hAnsi="Arial Narrow" w:eastAsiaTheme="minorEastAsia"/>
                <w:color w:val="000000"/>
                <w:szCs w:val="21"/>
              </w:rPr>
              <w:t xml:space="preserve">15,870,000.00 </w:t>
            </w:r>
          </w:p>
        </w:tc>
        <w:tc>
          <w:tcPr>
            <w:tcW w:w="702" w:type="pct"/>
            <w:vAlign w:val="center"/>
          </w:tcPr>
          <w:p w14:paraId="5C4EF2CE">
            <w:pPr>
              <w:jc w:val="right"/>
              <w:rPr>
                <w:rFonts w:ascii="Arial Narrow" w:hAnsi="Arial Narrow" w:eastAsiaTheme="minorEastAsia"/>
                <w:szCs w:val="21"/>
              </w:rPr>
            </w:pPr>
            <w:r>
              <w:rPr>
                <w:rFonts w:ascii="Arial Narrow" w:hAnsi="Arial Narrow" w:eastAsiaTheme="minorEastAsia"/>
                <w:color w:val="000000"/>
                <w:szCs w:val="21"/>
              </w:rPr>
              <w:t xml:space="preserve">-171,677.70 </w:t>
            </w:r>
          </w:p>
        </w:tc>
        <w:tc>
          <w:tcPr>
            <w:tcW w:w="829" w:type="pct"/>
            <w:vAlign w:val="center"/>
          </w:tcPr>
          <w:p w14:paraId="5BC5B541">
            <w:pPr>
              <w:jc w:val="right"/>
              <w:rPr>
                <w:rFonts w:ascii="Arial Narrow" w:hAnsi="Arial Narrow" w:eastAsiaTheme="minorEastAsia"/>
                <w:szCs w:val="21"/>
              </w:rPr>
            </w:pPr>
            <w:r>
              <w:rPr>
                <w:rFonts w:ascii="Arial Narrow" w:hAnsi="Arial Narrow" w:eastAsiaTheme="minorEastAsia"/>
                <w:color w:val="000000"/>
                <w:szCs w:val="21"/>
              </w:rPr>
              <w:t xml:space="preserve">528,836,236.09 </w:t>
            </w:r>
          </w:p>
        </w:tc>
      </w:tr>
      <w:tr w14:paraId="6235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64D4C9B9">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关联方借款</w:t>
            </w:r>
          </w:p>
        </w:tc>
        <w:tc>
          <w:tcPr>
            <w:tcW w:w="614" w:type="pct"/>
            <w:vAlign w:val="center"/>
          </w:tcPr>
          <w:p w14:paraId="524BBC50">
            <w:pPr>
              <w:jc w:val="right"/>
              <w:rPr>
                <w:rFonts w:ascii="Arial Narrow" w:hAnsi="Arial Narrow" w:eastAsiaTheme="minorEastAsia"/>
                <w:szCs w:val="21"/>
              </w:rPr>
            </w:pPr>
            <w:r>
              <w:rPr>
                <w:rFonts w:ascii="Arial Narrow" w:hAnsi="Arial Narrow" w:eastAsiaTheme="minorEastAsia"/>
                <w:color w:val="000000"/>
                <w:szCs w:val="21"/>
              </w:rPr>
              <w:t xml:space="preserve">85,657,645.34 </w:t>
            </w:r>
          </w:p>
        </w:tc>
        <w:tc>
          <w:tcPr>
            <w:tcW w:w="694" w:type="pct"/>
            <w:vAlign w:val="center"/>
          </w:tcPr>
          <w:p w14:paraId="3E841770">
            <w:pPr>
              <w:jc w:val="right"/>
              <w:rPr>
                <w:rFonts w:ascii="Arial Narrow" w:hAnsi="Arial Narrow" w:eastAsiaTheme="minorEastAsia"/>
                <w:szCs w:val="21"/>
              </w:rPr>
            </w:pPr>
            <w:r>
              <w:rPr>
                <w:rFonts w:ascii="Arial Narrow" w:hAnsi="Arial Narrow" w:eastAsiaTheme="minorEastAsia"/>
                <w:color w:val="000000"/>
                <w:szCs w:val="21"/>
              </w:rPr>
              <w:t xml:space="preserve">223,000,000.00 </w:t>
            </w:r>
          </w:p>
        </w:tc>
        <w:tc>
          <w:tcPr>
            <w:tcW w:w="704" w:type="pct"/>
            <w:vAlign w:val="center"/>
          </w:tcPr>
          <w:p w14:paraId="6C83FD60">
            <w:pPr>
              <w:jc w:val="right"/>
              <w:rPr>
                <w:rFonts w:ascii="Arial Narrow" w:hAnsi="Arial Narrow" w:eastAsiaTheme="minorEastAsia"/>
                <w:szCs w:val="21"/>
              </w:rPr>
            </w:pPr>
            <w:r>
              <w:rPr>
                <w:rFonts w:ascii="Arial Narrow" w:hAnsi="Arial Narrow" w:eastAsiaTheme="minorEastAsia"/>
                <w:color w:val="000000"/>
                <w:szCs w:val="21"/>
              </w:rPr>
              <w:t xml:space="preserve">134,230.55 </w:t>
            </w:r>
          </w:p>
        </w:tc>
        <w:tc>
          <w:tcPr>
            <w:tcW w:w="803" w:type="pct"/>
            <w:vAlign w:val="center"/>
          </w:tcPr>
          <w:p w14:paraId="1E9C35FA">
            <w:pPr>
              <w:jc w:val="right"/>
              <w:rPr>
                <w:rFonts w:ascii="Arial Narrow" w:hAnsi="Arial Narrow" w:eastAsiaTheme="minorEastAsia"/>
                <w:szCs w:val="21"/>
              </w:rPr>
            </w:pPr>
            <w:r>
              <w:rPr>
                <w:rFonts w:ascii="Arial Narrow" w:hAnsi="Arial Narrow" w:eastAsiaTheme="minorEastAsia"/>
                <w:color w:val="000000"/>
                <w:szCs w:val="21"/>
              </w:rPr>
              <w:t xml:space="preserve">39,000,000.00 </w:t>
            </w:r>
          </w:p>
        </w:tc>
        <w:tc>
          <w:tcPr>
            <w:tcW w:w="702" w:type="pct"/>
            <w:vAlign w:val="center"/>
          </w:tcPr>
          <w:p w14:paraId="69CF7316">
            <w:pPr>
              <w:jc w:val="right"/>
              <w:rPr>
                <w:rFonts w:ascii="Arial Narrow" w:hAnsi="Arial Narrow" w:eastAsiaTheme="minorEastAsia"/>
                <w:szCs w:val="21"/>
              </w:rPr>
            </w:pPr>
          </w:p>
        </w:tc>
        <w:tc>
          <w:tcPr>
            <w:tcW w:w="829" w:type="pct"/>
            <w:vAlign w:val="center"/>
          </w:tcPr>
          <w:p w14:paraId="567F06D5">
            <w:pPr>
              <w:jc w:val="right"/>
              <w:rPr>
                <w:rFonts w:ascii="Arial Narrow" w:hAnsi="Arial Narrow" w:eastAsiaTheme="minorEastAsia"/>
                <w:szCs w:val="21"/>
              </w:rPr>
            </w:pPr>
            <w:r>
              <w:rPr>
                <w:rFonts w:ascii="Arial Narrow" w:hAnsi="Arial Narrow" w:eastAsiaTheme="minorEastAsia"/>
                <w:color w:val="000000"/>
                <w:szCs w:val="21"/>
              </w:rPr>
              <w:t xml:space="preserve">269,791,875.89 </w:t>
            </w:r>
          </w:p>
        </w:tc>
      </w:tr>
      <w:tr w14:paraId="1A19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04D4E0EB">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租赁负债（含一年内到期的租赁负债）</w:t>
            </w:r>
          </w:p>
        </w:tc>
        <w:tc>
          <w:tcPr>
            <w:tcW w:w="614" w:type="pct"/>
            <w:vAlign w:val="center"/>
          </w:tcPr>
          <w:p w14:paraId="75C54FA4">
            <w:pPr>
              <w:jc w:val="right"/>
              <w:rPr>
                <w:rFonts w:ascii="Arial Narrow" w:hAnsi="Arial Narrow" w:eastAsiaTheme="minorEastAsia"/>
                <w:szCs w:val="21"/>
              </w:rPr>
            </w:pPr>
            <w:r>
              <w:rPr>
                <w:rFonts w:ascii="Arial Narrow" w:hAnsi="Arial Narrow" w:eastAsiaTheme="minorEastAsia"/>
                <w:color w:val="000000"/>
                <w:szCs w:val="21"/>
              </w:rPr>
              <w:t xml:space="preserve">20,362,620.45 </w:t>
            </w:r>
          </w:p>
        </w:tc>
        <w:tc>
          <w:tcPr>
            <w:tcW w:w="694" w:type="pct"/>
            <w:vAlign w:val="center"/>
          </w:tcPr>
          <w:p w14:paraId="2D8D303A">
            <w:pPr>
              <w:jc w:val="right"/>
              <w:rPr>
                <w:rFonts w:ascii="Arial Narrow" w:hAnsi="Arial Narrow" w:eastAsiaTheme="minorEastAsia"/>
                <w:szCs w:val="21"/>
              </w:rPr>
            </w:pPr>
          </w:p>
        </w:tc>
        <w:tc>
          <w:tcPr>
            <w:tcW w:w="704" w:type="pct"/>
            <w:vAlign w:val="center"/>
          </w:tcPr>
          <w:p w14:paraId="1C7FFF68">
            <w:pPr>
              <w:jc w:val="right"/>
              <w:rPr>
                <w:rFonts w:ascii="Arial Narrow" w:hAnsi="Arial Narrow" w:eastAsiaTheme="minorEastAsia"/>
                <w:szCs w:val="21"/>
              </w:rPr>
            </w:pPr>
            <w:r>
              <w:rPr>
                <w:rFonts w:ascii="Arial Narrow" w:hAnsi="Arial Narrow" w:eastAsiaTheme="minorEastAsia"/>
                <w:color w:val="000000"/>
                <w:szCs w:val="21"/>
              </w:rPr>
              <w:t xml:space="preserve">808,052.76 </w:t>
            </w:r>
          </w:p>
        </w:tc>
        <w:tc>
          <w:tcPr>
            <w:tcW w:w="803" w:type="pct"/>
            <w:vAlign w:val="center"/>
          </w:tcPr>
          <w:p w14:paraId="7576068E">
            <w:pPr>
              <w:jc w:val="right"/>
              <w:rPr>
                <w:rFonts w:ascii="Arial Narrow" w:hAnsi="Arial Narrow" w:eastAsiaTheme="minorEastAsia"/>
                <w:szCs w:val="21"/>
              </w:rPr>
            </w:pPr>
            <w:r>
              <w:rPr>
                <w:rFonts w:ascii="Arial Narrow" w:hAnsi="Arial Narrow" w:eastAsiaTheme="minorEastAsia"/>
                <w:color w:val="000000"/>
                <w:szCs w:val="21"/>
              </w:rPr>
              <w:t xml:space="preserve">1,930,000.00 </w:t>
            </w:r>
          </w:p>
        </w:tc>
        <w:tc>
          <w:tcPr>
            <w:tcW w:w="702" w:type="pct"/>
            <w:vAlign w:val="center"/>
          </w:tcPr>
          <w:p w14:paraId="4BE66441">
            <w:pPr>
              <w:jc w:val="right"/>
              <w:rPr>
                <w:rFonts w:ascii="Arial Narrow" w:hAnsi="Arial Narrow" w:eastAsiaTheme="minorEastAsia"/>
                <w:szCs w:val="21"/>
              </w:rPr>
            </w:pPr>
            <w:r>
              <w:rPr>
                <w:rFonts w:ascii="Arial Narrow" w:hAnsi="Arial Narrow" w:eastAsiaTheme="minorEastAsia"/>
                <w:color w:val="000000"/>
                <w:szCs w:val="21"/>
              </w:rPr>
              <w:t xml:space="preserve">8,097,698.48 </w:t>
            </w:r>
          </w:p>
        </w:tc>
        <w:tc>
          <w:tcPr>
            <w:tcW w:w="829" w:type="pct"/>
            <w:vAlign w:val="center"/>
          </w:tcPr>
          <w:p w14:paraId="60A0F664">
            <w:pPr>
              <w:jc w:val="right"/>
              <w:rPr>
                <w:rFonts w:ascii="Arial Narrow" w:hAnsi="Arial Narrow" w:eastAsiaTheme="minorEastAsia"/>
                <w:szCs w:val="21"/>
              </w:rPr>
            </w:pPr>
            <w:r>
              <w:rPr>
                <w:rFonts w:ascii="Arial Narrow" w:hAnsi="Arial Narrow" w:eastAsiaTheme="minorEastAsia"/>
                <w:color w:val="000000"/>
                <w:szCs w:val="21"/>
              </w:rPr>
              <w:t xml:space="preserve">11,142,974.73 </w:t>
            </w:r>
          </w:p>
        </w:tc>
      </w:tr>
      <w:tr w14:paraId="7CE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vAlign w:val="center"/>
          </w:tcPr>
          <w:p w14:paraId="58F0F8A9">
            <w:pPr>
              <w:autoSpaceDE w:val="0"/>
              <w:autoSpaceDN w:val="0"/>
              <w:adjustRightInd w:val="0"/>
              <w:snapToGrid w:val="0"/>
              <w:rPr>
                <w:rFonts w:ascii="Arial Narrow" w:hAnsi="Arial Narrow" w:eastAsiaTheme="minorEastAsia"/>
                <w:szCs w:val="21"/>
              </w:rPr>
            </w:pPr>
            <w:r>
              <w:rPr>
                <w:rFonts w:ascii="Arial Narrow" w:hAnsi="Arial Narrow" w:eastAsiaTheme="minorEastAsia"/>
                <w:color w:val="000000"/>
                <w:szCs w:val="21"/>
              </w:rPr>
              <w:t>应付利息</w:t>
            </w:r>
          </w:p>
        </w:tc>
        <w:tc>
          <w:tcPr>
            <w:tcW w:w="614" w:type="pct"/>
            <w:vAlign w:val="center"/>
          </w:tcPr>
          <w:p w14:paraId="2F805425">
            <w:pPr>
              <w:jc w:val="right"/>
              <w:rPr>
                <w:rFonts w:ascii="Arial Narrow" w:hAnsi="Arial Narrow" w:eastAsiaTheme="minorEastAsia"/>
                <w:szCs w:val="21"/>
              </w:rPr>
            </w:pPr>
          </w:p>
        </w:tc>
        <w:tc>
          <w:tcPr>
            <w:tcW w:w="694" w:type="pct"/>
            <w:vAlign w:val="center"/>
          </w:tcPr>
          <w:p w14:paraId="6928E6BB">
            <w:pPr>
              <w:jc w:val="right"/>
              <w:rPr>
                <w:rFonts w:ascii="Arial Narrow" w:hAnsi="Arial Narrow" w:eastAsiaTheme="minorEastAsia"/>
                <w:szCs w:val="21"/>
              </w:rPr>
            </w:pPr>
          </w:p>
        </w:tc>
        <w:tc>
          <w:tcPr>
            <w:tcW w:w="704" w:type="pct"/>
            <w:vAlign w:val="center"/>
          </w:tcPr>
          <w:p w14:paraId="61288539">
            <w:pPr>
              <w:jc w:val="right"/>
              <w:rPr>
                <w:rFonts w:ascii="Arial Narrow" w:hAnsi="Arial Narrow" w:eastAsiaTheme="minorEastAsia"/>
                <w:szCs w:val="21"/>
              </w:rPr>
            </w:pPr>
            <w:r>
              <w:rPr>
                <w:rFonts w:ascii="Arial Narrow" w:hAnsi="Arial Narrow" w:eastAsiaTheme="minorEastAsia"/>
                <w:color w:val="000000"/>
                <w:szCs w:val="21"/>
              </w:rPr>
              <w:t xml:space="preserve">35,629,144.53 </w:t>
            </w:r>
          </w:p>
        </w:tc>
        <w:tc>
          <w:tcPr>
            <w:tcW w:w="803" w:type="pct"/>
            <w:vAlign w:val="center"/>
          </w:tcPr>
          <w:p w14:paraId="6A8BCE1F">
            <w:pPr>
              <w:jc w:val="right"/>
              <w:rPr>
                <w:rFonts w:ascii="Arial Narrow" w:hAnsi="Arial Narrow" w:eastAsiaTheme="minorEastAsia"/>
                <w:szCs w:val="21"/>
              </w:rPr>
            </w:pPr>
            <w:r>
              <w:rPr>
                <w:rFonts w:ascii="Arial Narrow" w:hAnsi="Arial Narrow" w:eastAsiaTheme="minorEastAsia"/>
                <w:color w:val="000000"/>
                <w:szCs w:val="21"/>
              </w:rPr>
              <w:t xml:space="preserve">35,629,144.53 </w:t>
            </w:r>
          </w:p>
        </w:tc>
        <w:tc>
          <w:tcPr>
            <w:tcW w:w="702" w:type="pct"/>
            <w:vAlign w:val="center"/>
          </w:tcPr>
          <w:p w14:paraId="106F631E">
            <w:pPr>
              <w:jc w:val="right"/>
              <w:rPr>
                <w:rFonts w:ascii="Arial Narrow" w:hAnsi="Arial Narrow" w:eastAsiaTheme="minorEastAsia"/>
                <w:szCs w:val="21"/>
              </w:rPr>
            </w:pPr>
          </w:p>
        </w:tc>
        <w:tc>
          <w:tcPr>
            <w:tcW w:w="829" w:type="pct"/>
            <w:vAlign w:val="center"/>
          </w:tcPr>
          <w:p w14:paraId="1C3A1FF0">
            <w:pPr>
              <w:jc w:val="right"/>
              <w:rPr>
                <w:rFonts w:ascii="Arial Narrow" w:hAnsi="Arial Narrow" w:eastAsiaTheme="minorEastAsia"/>
                <w:szCs w:val="21"/>
              </w:rPr>
            </w:pPr>
          </w:p>
        </w:tc>
      </w:tr>
      <w:tr w14:paraId="0D84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654" w:type="pct"/>
          </w:tcPr>
          <w:p w14:paraId="64C1E3ED">
            <w:pPr>
              <w:autoSpaceDE w:val="0"/>
              <w:autoSpaceDN w:val="0"/>
              <w:adjustRightInd w:val="0"/>
              <w:snapToGrid w:val="0"/>
              <w:jc w:val="center"/>
              <w:rPr>
                <w:rFonts w:ascii="Arial Narrow" w:hAnsi="Arial Narrow" w:eastAsiaTheme="minorEastAsia"/>
                <w:szCs w:val="21"/>
              </w:rPr>
            </w:pPr>
            <w:r>
              <w:rPr>
                <w:rFonts w:ascii="Arial Narrow" w:hAnsi="Arial Narrow" w:eastAsiaTheme="minorEastAsia"/>
                <w:szCs w:val="21"/>
              </w:rPr>
              <w:t>合计</w:t>
            </w:r>
          </w:p>
        </w:tc>
        <w:tc>
          <w:tcPr>
            <w:tcW w:w="614" w:type="pct"/>
            <w:vAlign w:val="center"/>
          </w:tcPr>
          <w:p w14:paraId="7D51DBC0">
            <w:pPr>
              <w:jc w:val="right"/>
              <w:rPr>
                <w:rFonts w:ascii="Arial Narrow" w:hAnsi="Arial Narrow" w:eastAsiaTheme="minorEastAsia"/>
                <w:szCs w:val="21"/>
              </w:rPr>
            </w:pPr>
            <w:r>
              <w:rPr>
                <w:rFonts w:ascii="Arial Narrow" w:hAnsi="Arial Narrow" w:eastAsiaTheme="minorEastAsia"/>
                <w:color w:val="000000"/>
                <w:szCs w:val="21"/>
              </w:rPr>
              <w:t xml:space="preserve">2,219,473,736.97 </w:t>
            </w:r>
          </w:p>
        </w:tc>
        <w:tc>
          <w:tcPr>
            <w:tcW w:w="694" w:type="pct"/>
            <w:vAlign w:val="center"/>
          </w:tcPr>
          <w:p w14:paraId="48686117">
            <w:pPr>
              <w:jc w:val="right"/>
              <w:rPr>
                <w:rFonts w:ascii="Arial Narrow" w:hAnsi="Arial Narrow" w:eastAsiaTheme="minorEastAsia"/>
                <w:szCs w:val="21"/>
              </w:rPr>
            </w:pPr>
            <w:r>
              <w:rPr>
                <w:rFonts w:ascii="Arial Narrow" w:hAnsi="Arial Narrow" w:eastAsiaTheme="minorEastAsia"/>
                <w:color w:val="000000"/>
                <w:szCs w:val="21"/>
              </w:rPr>
              <w:t xml:space="preserve">1,259,733,650.31 </w:t>
            </w:r>
          </w:p>
        </w:tc>
        <w:tc>
          <w:tcPr>
            <w:tcW w:w="704" w:type="pct"/>
            <w:vAlign w:val="center"/>
          </w:tcPr>
          <w:p w14:paraId="6761916F">
            <w:pPr>
              <w:jc w:val="right"/>
              <w:rPr>
                <w:rFonts w:ascii="Arial Narrow" w:hAnsi="Arial Narrow" w:eastAsiaTheme="minorEastAsia"/>
                <w:szCs w:val="21"/>
              </w:rPr>
            </w:pPr>
            <w:r>
              <w:rPr>
                <w:rFonts w:ascii="Arial Narrow" w:hAnsi="Arial Narrow" w:eastAsiaTheme="minorEastAsia"/>
                <w:color w:val="000000"/>
                <w:szCs w:val="21"/>
              </w:rPr>
              <w:t xml:space="preserve">52,998,449.23 </w:t>
            </w:r>
          </w:p>
        </w:tc>
        <w:tc>
          <w:tcPr>
            <w:tcW w:w="803" w:type="pct"/>
            <w:vAlign w:val="center"/>
          </w:tcPr>
          <w:p w14:paraId="2515469D">
            <w:pPr>
              <w:jc w:val="right"/>
              <w:rPr>
                <w:rFonts w:ascii="Arial Narrow" w:hAnsi="Arial Narrow" w:eastAsiaTheme="minorEastAsia"/>
                <w:szCs w:val="21"/>
              </w:rPr>
            </w:pPr>
            <w:r>
              <w:rPr>
                <w:rFonts w:ascii="Arial Narrow" w:hAnsi="Arial Narrow" w:eastAsiaTheme="minorEastAsia"/>
                <w:color w:val="000000"/>
                <w:szCs w:val="21"/>
              </w:rPr>
              <w:t xml:space="preserve">1,742,937,794.84 </w:t>
            </w:r>
          </w:p>
        </w:tc>
        <w:tc>
          <w:tcPr>
            <w:tcW w:w="702" w:type="pct"/>
            <w:vAlign w:val="center"/>
          </w:tcPr>
          <w:p w14:paraId="3C42AF1B">
            <w:pPr>
              <w:jc w:val="right"/>
              <w:rPr>
                <w:rFonts w:ascii="Arial Narrow" w:hAnsi="Arial Narrow" w:eastAsiaTheme="minorEastAsia"/>
                <w:szCs w:val="21"/>
              </w:rPr>
            </w:pPr>
            <w:r>
              <w:rPr>
                <w:rFonts w:ascii="Arial Narrow" w:hAnsi="Arial Narrow" w:eastAsiaTheme="minorEastAsia"/>
                <w:color w:val="000000"/>
                <w:szCs w:val="21"/>
              </w:rPr>
              <w:t xml:space="preserve">9,089,723.07 </w:t>
            </w:r>
          </w:p>
        </w:tc>
        <w:tc>
          <w:tcPr>
            <w:tcW w:w="829" w:type="pct"/>
            <w:vAlign w:val="center"/>
          </w:tcPr>
          <w:p w14:paraId="65446FE1">
            <w:pPr>
              <w:jc w:val="right"/>
              <w:rPr>
                <w:rFonts w:ascii="Arial Narrow" w:hAnsi="Arial Narrow" w:eastAsiaTheme="minorEastAsia"/>
                <w:szCs w:val="21"/>
              </w:rPr>
            </w:pPr>
            <w:r>
              <w:rPr>
                <w:rFonts w:ascii="Arial Narrow" w:hAnsi="Arial Narrow" w:eastAsiaTheme="minorEastAsia"/>
                <w:color w:val="000000"/>
                <w:szCs w:val="21"/>
              </w:rPr>
              <w:t xml:space="preserve">1,780,178,318.60 </w:t>
            </w:r>
          </w:p>
        </w:tc>
      </w:tr>
    </w:tbl>
    <w:p w14:paraId="13BFD297">
      <w:pPr>
        <w:rPr>
          <w:rFonts w:hint="eastAsia"/>
        </w:rPr>
        <w:sectPr>
          <w:pgSz w:w="16838" w:h="11906" w:orient="landscape"/>
          <w:pgMar w:top="1276" w:right="1440" w:bottom="1797" w:left="1525" w:header="856" w:footer="992" w:gutter="0"/>
          <w:cols w:space="425" w:num="1"/>
          <w:docGrid w:linePitch="312" w:charSpace="0"/>
        </w:sectPr>
      </w:pPr>
    </w:p>
    <w:p w14:paraId="41557001">
      <w:pPr>
        <w:rPr>
          <w:rFonts w:hint="eastAsia"/>
        </w:rPr>
      </w:pPr>
    </w:p>
    <w:p w14:paraId="05B69F1F">
      <w:pPr>
        <w:pStyle w:val="71"/>
        <w:numPr>
          <w:ilvl w:val="0"/>
          <w:numId w:val="149"/>
        </w:numPr>
        <w:ind w:left="426" w:hanging="426"/>
        <w:rPr>
          <w:rFonts w:hint="eastAsia"/>
        </w:rPr>
      </w:pPr>
      <w:r>
        <w:rPr>
          <w:rFonts w:hint="eastAsia"/>
        </w:rPr>
        <w:t>以净额列报现金流量的说明</w:t>
      </w:r>
    </w:p>
    <w:sdt>
      <w:sdtPr>
        <w:alias w:val="是否适用：以净额列报现金流量的说明[双击切换]"/>
        <w:tag w:val="_GBC_3444590230dd455c82f347bceb8bbf05"/>
        <w:id w:val="-743878033"/>
        <w:placeholder>
          <w:docPart w:val="GBC22222222222222222222222222222"/>
        </w:placeholder>
      </w:sdtPr>
      <w:sdtContent>
        <w:p w14:paraId="773179A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E010697">
      <w:pPr>
        <w:rPr>
          <w:rFonts w:hint="eastAsia"/>
        </w:rPr>
      </w:pPr>
    </w:p>
    <w:p w14:paraId="4015BB76">
      <w:pPr>
        <w:pStyle w:val="71"/>
        <w:numPr>
          <w:ilvl w:val="0"/>
          <w:numId w:val="149"/>
        </w:numPr>
        <w:ind w:left="426" w:hanging="426"/>
        <w:rPr>
          <w:rFonts w:hint="eastAsia"/>
        </w:rPr>
      </w:pPr>
      <w:r>
        <w:rPr>
          <w:rFonts w:hint="eastAsia"/>
        </w:rPr>
        <w:t>不涉及当期现金收支、但影响企业财务状况或在未来可能影响企业现金流量的重大活动及财务影响</w:t>
      </w:r>
    </w:p>
    <w:sdt>
      <w:sdtPr>
        <w:alias w:val="是否适用：不涉及当期现金收支、但影响企业财务状况或在未来可能影响企业现金流量的重大活动及财务影响[双击切换]"/>
        <w:tag w:val="_GBC_e3d6d1f344c64af2ad0a827f24c95739"/>
        <w:id w:val="-1176340451"/>
        <w:placeholder>
          <w:docPart w:val="GBC22222222222222222222222222222"/>
        </w:placeholder>
      </w:sdtPr>
      <w:sdtContent>
        <w:p w14:paraId="5FF29C63">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966756D">
      <w:pPr>
        <w:ind w:right="5"/>
        <w:rPr>
          <w:rFonts w:ascii="Calibri" w:hAnsi="Calibri" w:cs="Times New Roman"/>
          <w:kern w:val="2"/>
          <w:szCs w:val="22"/>
        </w:rPr>
      </w:pPr>
    </w:p>
    <w:p w14:paraId="6AB3D347">
      <w:pPr>
        <w:pStyle w:val="70"/>
        <w:numPr>
          <w:ilvl w:val="0"/>
          <w:numId w:val="109"/>
        </w:numPr>
        <w:rPr>
          <w:szCs w:val="21"/>
        </w:rPr>
      </w:pPr>
      <w:r>
        <w:rPr>
          <w:szCs w:val="21"/>
        </w:rPr>
        <w:t>现金流量表补充资料</w:t>
      </w:r>
    </w:p>
    <w:p w14:paraId="0FBD2E3A">
      <w:pPr>
        <w:pStyle w:val="71"/>
        <w:numPr>
          <w:ilvl w:val="0"/>
          <w:numId w:val="150"/>
        </w:numPr>
        <w:ind w:left="426" w:hanging="426"/>
        <w:rPr>
          <w:rFonts w:hint="eastAsia"/>
        </w:rPr>
      </w:pPr>
      <w:r>
        <w:rPr>
          <w:rFonts w:hint="eastAsia"/>
        </w:rPr>
        <w:t>现金流量表补充资料</w:t>
      </w:r>
    </w:p>
    <w:sdt>
      <w:sdtPr>
        <w:rPr>
          <w:rFonts w:hint="eastAsia"/>
        </w:rPr>
        <w:alias w:val="是否适用：现金流量表补充资料[双击切换]"/>
        <w:tag w:val="_GBC_f77ea662869c431fa9c3cd98fccb529c"/>
        <w:id w:val="1461223322"/>
        <w:placeholder>
          <w:docPart w:val="GBC22222222222222222222222222222"/>
        </w:placeholder>
      </w:sdtPr>
      <w:sdtEndPr>
        <w:rPr>
          <w:rFonts w:hint="eastAsia"/>
        </w:rPr>
      </w:sdtEndPr>
      <w:sdtContent>
        <w:p w14:paraId="67A31BF8">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7774DC12">
      <w:pPr>
        <w:jc w:val="right"/>
        <w:rPr>
          <w:rFonts w:hint="eastAsia"/>
        </w:rPr>
      </w:pPr>
      <w:r>
        <w:rPr>
          <w:rFonts w:hint="eastAsia"/>
        </w:rPr>
        <w:t>单位：</w:t>
      </w:r>
      <w:sdt>
        <w:sdtPr>
          <w:rPr>
            <w:rFonts w:hint="eastAsia"/>
          </w:rPr>
          <w:alias w:val="单位：财务附注：现金流量表补充资料"/>
          <w:tag w:val="_GBC_816fc4f2c97b4b12911114202247ee82"/>
          <w:id w:val="-21283097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4889124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91"/>
        <w:gridCol w:w="2126"/>
        <w:gridCol w:w="2306"/>
      </w:tblGrid>
      <w:tr w14:paraId="0D994F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39bfd38318b44efe9fa609ad19a8685a"/>
            <w:id w:val="-1785721100"/>
          </w:sdtPr>
          <w:sdtEndPr>
            <w:rPr>
              <w:rFonts w:ascii="Arial Narrow" w:hAnsi="Arial Narrow" w:eastAsiaTheme="minorEastAsia"/>
              <w:szCs w:val="21"/>
            </w:rPr>
          </w:sdtEndPr>
          <w:sdtContent>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592B9CB8">
                <w:pPr>
                  <w:jc w:val="center"/>
                  <w:rPr>
                    <w:rFonts w:ascii="Arial Narrow" w:hAnsi="Arial Narrow" w:eastAsiaTheme="minorEastAsia"/>
                    <w:bCs/>
                    <w:szCs w:val="21"/>
                  </w:rPr>
                </w:pPr>
                <w:r>
                  <w:rPr>
                    <w:rFonts w:ascii="Arial Narrow" w:hAnsi="Arial Narrow" w:eastAsiaTheme="minorEastAsia"/>
                    <w:bCs/>
                    <w:szCs w:val="21"/>
                  </w:rPr>
                  <w:t>补充资料</w:t>
                </w:r>
              </w:p>
            </w:tc>
          </w:sdtContent>
        </w:sdt>
        <w:sdt>
          <w:sdtPr>
            <w:rPr>
              <w:rFonts w:ascii="Arial Narrow" w:hAnsi="Arial Narrow" w:eastAsiaTheme="minorEastAsia"/>
              <w:szCs w:val="21"/>
            </w:rPr>
            <w:tag w:val="_PLD_8ef3863737f6403496cc160c411b0b03"/>
            <w:id w:val="79026823"/>
          </w:sdtPr>
          <w:sdtEndPr>
            <w:rPr>
              <w:rFonts w:ascii="Arial Narrow" w:hAnsi="Arial Narrow" w:eastAsiaTheme="minorEastAsia"/>
              <w:szCs w:val="21"/>
            </w:rPr>
          </w:sdtEndPr>
          <w:sdtContent>
            <w:tc>
              <w:tcPr>
                <w:tcW w:w="1205" w:type="pct"/>
                <w:tcBorders>
                  <w:top w:val="single" w:color="auto" w:sz="4" w:space="0"/>
                  <w:left w:val="single" w:color="auto" w:sz="4" w:space="0"/>
                  <w:bottom w:val="single" w:color="auto" w:sz="4" w:space="0"/>
                  <w:right w:val="single" w:color="auto" w:sz="4" w:space="0"/>
                </w:tcBorders>
                <w:shd w:val="clear" w:color="auto" w:fill="auto"/>
                <w:vAlign w:val="center"/>
              </w:tcPr>
              <w:p w14:paraId="7928142F">
                <w:pPr>
                  <w:jc w:val="center"/>
                  <w:rPr>
                    <w:rFonts w:ascii="Arial Narrow" w:hAnsi="Arial Narrow" w:eastAsiaTheme="minorEastAsia"/>
                    <w:szCs w:val="21"/>
                  </w:rPr>
                </w:pPr>
                <w:r>
                  <w:rPr>
                    <w:rFonts w:ascii="Arial Narrow" w:hAnsi="Arial Narrow" w:eastAsiaTheme="minorEastAsia"/>
                    <w:szCs w:val="21"/>
                  </w:rPr>
                  <w:t>本期金额</w:t>
                </w:r>
              </w:p>
            </w:tc>
          </w:sdtContent>
        </w:sdt>
        <w:sdt>
          <w:sdtPr>
            <w:rPr>
              <w:rFonts w:ascii="Arial Narrow" w:hAnsi="Arial Narrow" w:eastAsiaTheme="minorEastAsia"/>
              <w:szCs w:val="21"/>
            </w:rPr>
            <w:tag w:val="_PLD_73eb01f791e44a84b1edbc96aa42b3f3"/>
            <w:id w:val="-870844497"/>
          </w:sdtPr>
          <w:sdtEndPr>
            <w:rPr>
              <w:rFonts w:ascii="Arial Narrow" w:hAnsi="Arial Narrow" w:eastAsiaTheme="minorEastAsia"/>
              <w:szCs w:val="21"/>
            </w:rPr>
          </w:sdtEndPr>
          <w:sdtContent>
            <w:tc>
              <w:tcPr>
                <w:tcW w:w="1307" w:type="pct"/>
                <w:tcBorders>
                  <w:top w:val="single" w:color="auto" w:sz="4" w:space="0"/>
                  <w:left w:val="single" w:color="auto" w:sz="4" w:space="0"/>
                  <w:bottom w:val="single" w:color="auto" w:sz="4" w:space="0"/>
                  <w:right w:val="single" w:color="auto" w:sz="4" w:space="0"/>
                </w:tcBorders>
                <w:shd w:val="clear" w:color="auto" w:fill="auto"/>
                <w:vAlign w:val="center"/>
              </w:tcPr>
              <w:p w14:paraId="119B4B02">
                <w:pPr>
                  <w:jc w:val="center"/>
                  <w:rPr>
                    <w:rFonts w:ascii="Arial Narrow" w:hAnsi="Arial Narrow" w:eastAsiaTheme="minorEastAsia"/>
                    <w:szCs w:val="21"/>
                  </w:rPr>
                </w:pPr>
                <w:r>
                  <w:rPr>
                    <w:rFonts w:ascii="Arial Narrow" w:hAnsi="Arial Narrow" w:eastAsiaTheme="minorEastAsia"/>
                    <w:szCs w:val="21"/>
                  </w:rPr>
                  <w:t>上期金额</w:t>
                </w:r>
              </w:p>
            </w:tc>
          </w:sdtContent>
        </w:sdt>
      </w:tr>
      <w:tr w14:paraId="50393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eastAsiaTheme="minorEastAsia"/>
              <w:szCs w:val="21"/>
            </w:rPr>
            <w:tag w:val="_PLD_c6db035658bd4a67bcf46ade47da315d"/>
            <w:id w:val="1339195922"/>
          </w:sdtPr>
          <w:sdtEndPr>
            <w:rPr>
              <w:rFonts w:ascii="Arial Narrow" w:hAnsi="Arial Narrow" w:eastAsiaTheme="minorEastAsia"/>
              <w:szCs w:val="21"/>
            </w:rPr>
          </w:sdtEndPr>
          <w:sdtContent>
            <w:tc>
              <w:tcPr>
                <w:tcW w:w="5000" w:type="pct"/>
                <w:gridSpan w:val="3"/>
                <w:tcBorders>
                  <w:top w:val="single" w:color="auto" w:sz="4" w:space="0"/>
                  <w:left w:val="single" w:color="auto" w:sz="4" w:space="0"/>
                  <w:bottom w:val="single" w:color="auto" w:sz="4" w:space="0"/>
                  <w:right w:val="outset" w:color="auto" w:sz="4" w:space="0"/>
                </w:tcBorders>
                <w:shd w:val="clear" w:color="auto" w:fill="auto"/>
                <w:vAlign w:val="center"/>
              </w:tcPr>
              <w:p w14:paraId="4D9E6298">
                <w:pPr>
                  <w:jc w:val="both"/>
                  <w:rPr>
                    <w:rFonts w:ascii="Arial Narrow" w:hAnsi="Arial Narrow" w:eastAsiaTheme="minorEastAsia"/>
                    <w:b/>
                    <w:szCs w:val="21"/>
                  </w:rPr>
                </w:pPr>
                <w:r>
                  <w:rPr>
                    <w:rFonts w:ascii="Arial Narrow" w:hAnsi="Arial Narrow" w:eastAsiaTheme="minorEastAsia"/>
                    <w:b/>
                    <w:bCs/>
                    <w:szCs w:val="21"/>
                  </w:rPr>
                  <w:t>1．将净利润调节为经营活动现金流量：</w:t>
                </w:r>
              </w:p>
            </w:tc>
          </w:sdtContent>
        </w:sdt>
      </w:tr>
      <w:tr w14:paraId="7B509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3E2E4509">
            <w:pPr>
              <w:rPr>
                <w:rFonts w:ascii="Arial Narrow" w:hAnsi="Arial Narrow" w:eastAsiaTheme="minorEastAsia"/>
                <w:szCs w:val="21"/>
              </w:rPr>
            </w:pPr>
            <w:r>
              <w:rPr>
                <w:rFonts w:ascii="Arial Narrow" w:hAnsi="Arial Narrow" w:eastAsiaTheme="minorEastAsia"/>
                <w:szCs w:val="21"/>
              </w:rPr>
              <w:t>净利润</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101B46CF">
            <w:pPr>
              <w:jc w:val="right"/>
              <w:rPr>
                <w:rFonts w:ascii="Arial Narrow" w:hAnsi="Arial Narrow" w:eastAsiaTheme="minorEastAsia"/>
                <w:szCs w:val="21"/>
              </w:rPr>
            </w:pPr>
            <w:r>
              <w:rPr>
                <w:rFonts w:ascii="Arial Narrow" w:hAnsi="Arial Narrow" w:eastAsiaTheme="minorEastAsia"/>
                <w:color w:val="000000"/>
                <w:szCs w:val="21"/>
              </w:rPr>
              <w:t>-4,265,273,740.35</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01783331">
            <w:pPr>
              <w:jc w:val="right"/>
              <w:rPr>
                <w:rFonts w:ascii="Arial Narrow" w:hAnsi="Arial Narrow" w:eastAsiaTheme="minorEastAsia"/>
                <w:szCs w:val="21"/>
              </w:rPr>
            </w:pPr>
            <w:r>
              <w:rPr>
                <w:rFonts w:ascii="Arial Narrow" w:hAnsi="Arial Narrow" w:eastAsiaTheme="minorEastAsia"/>
                <w:color w:val="000000"/>
                <w:szCs w:val="21"/>
              </w:rPr>
              <w:t>188,833,161.16</w:t>
            </w:r>
          </w:p>
        </w:tc>
      </w:tr>
      <w:tr w14:paraId="3DA627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5DBAB772">
            <w:pPr>
              <w:rPr>
                <w:rFonts w:ascii="Arial Narrow" w:hAnsi="Arial Narrow" w:eastAsiaTheme="minorEastAsia"/>
                <w:szCs w:val="21"/>
              </w:rPr>
            </w:pPr>
            <w:r>
              <w:rPr>
                <w:rFonts w:ascii="Arial Narrow" w:hAnsi="Arial Narrow" w:eastAsiaTheme="minorEastAsia"/>
                <w:szCs w:val="21"/>
              </w:rPr>
              <w:t>加：资产减值准备</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5F1C8261">
            <w:pPr>
              <w:jc w:val="right"/>
              <w:rPr>
                <w:rFonts w:ascii="Arial Narrow" w:hAnsi="Arial Narrow" w:eastAsiaTheme="minorEastAsia"/>
                <w:szCs w:val="21"/>
              </w:rPr>
            </w:pPr>
            <w:r>
              <w:rPr>
                <w:rFonts w:ascii="Arial Narrow" w:hAnsi="Arial Narrow" w:eastAsiaTheme="minorEastAsia"/>
                <w:color w:val="000000"/>
                <w:szCs w:val="21"/>
              </w:rPr>
              <w:t>2,555,212,159.44</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63C2A7A4">
            <w:pPr>
              <w:jc w:val="right"/>
              <w:rPr>
                <w:rFonts w:ascii="Arial Narrow" w:hAnsi="Arial Narrow" w:eastAsiaTheme="minorEastAsia"/>
                <w:szCs w:val="21"/>
              </w:rPr>
            </w:pPr>
            <w:r>
              <w:rPr>
                <w:rFonts w:ascii="Arial Narrow" w:hAnsi="Arial Narrow" w:eastAsiaTheme="minorEastAsia"/>
                <w:color w:val="000000"/>
                <w:szCs w:val="21"/>
              </w:rPr>
              <w:t>50,840,461.69</w:t>
            </w:r>
          </w:p>
        </w:tc>
      </w:tr>
      <w:tr w14:paraId="5BCCE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2A4DF829">
            <w:pPr>
              <w:rPr>
                <w:rFonts w:ascii="Arial Narrow" w:hAnsi="Arial Narrow" w:eastAsiaTheme="minorEastAsia"/>
                <w:szCs w:val="21"/>
              </w:rPr>
            </w:pPr>
            <w:r>
              <w:rPr>
                <w:rFonts w:ascii="Arial Narrow" w:hAnsi="Arial Narrow" w:eastAsiaTheme="minorEastAsia"/>
                <w:szCs w:val="21"/>
              </w:rPr>
              <w:t>信用减值损失</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0C361996">
            <w:pPr>
              <w:jc w:val="right"/>
              <w:rPr>
                <w:rFonts w:ascii="Arial Narrow" w:hAnsi="Arial Narrow" w:eastAsiaTheme="minorEastAsia"/>
                <w:szCs w:val="21"/>
              </w:rPr>
            </w:pPr>
            <w:r>
              <w:rPr>
                <w:rFonts w:ascii="Arial Narrow" w:hAnsi="Arial Narrow" w:eastAsiaTheme="minorEastAsia"/>
                <w:color w:val="000000"/>
                <w:szCs w:val="21"/>
              </w:rPr>
              <w:t>510,425,913.77</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1280370F">
            <w:pPr>
              <w:jc w:val="right"/>
              <w:rPr>
                <w:rFonts w:ascii="Arial Narrow" w:hAnsi="Arial Narrow" w:eastAsiaTheme="minorEastAsia"/>
                <w:szCs w:val="21"/>
              </w:rPr>
            </w:pPr>
            <w:r>
              <w:rPr>
                <w:rFonts w:ascii="Arial Narrow" w:hAnsi="Arial Narrow" w:eastAsiaTheme="minorEastAsia"/>
                <w:color w:val="000000"/>
                <w:szCs w:val="21"/>
              </w:rPr>
              <w:t>49,890,951.87</w:t>
            </w:r>
          </w:p>
        </w:tc>
      </w:tr>
      <w:tr w14:paraId="345486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5F4674FA">
            <w:pPr>
              <w:rPr>
                <w:rFonts w:ascii="Arial Narrow" w:hAnsi="Arial Narrow" w:eastAsiaTheme="minorEastAsia"/>
                <w:szCs w:val="21"/>
              </w:rPr>
            </w:pPr>
            <w:r>
              <w:rPr>
                <w:rFonts w:ascii="Arial Narrow" w:hAnsi="Arial Narrow" w:eastAsiaTheme="minorEastAsia"/>
                <w:szCs w:val="21"/>
              </w:rPr>
              <w:t>固定资产折旧、油气资产折耗、生产性生物资产折旧</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2D027A35">
            <w:pPr>
              <w:jc w:val="right"/>
              <w:rPr>
                <w:rFonts w:ascii="Arial Narrow" w:hAnsi="Arial Narrow" w:eastAsiaTheme="minorEastAsia"/>
                <w:szCs w:val="21"/>
              </w:rPr>
            </w:pPr>
            <w:r>
              <w:rPr>
                <w:rFonts w:ascii="Arial Narrow" w:hAnsi="Arial Narrow" w:eastAsiaTheme="minorEastAsia"/>
                <w:color w:val="000000"/>
                <w:szCs w:val="21"/>
              </w:rPr>
              <w:t>326,843,305.06</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5316FF7F">
            <w:pPr>
              <w:jc w:val="right"/>
              <w:rPr>
                <w:rFonts w:ascii="Arial Narrow" w:hAnsi="Arial Narrow" w:eastAsiaTheme="minorEastAsia"/>
                <w:szCs w:val="21"/>
              </w:rPr>
            </w:pPr>
            <w:r>
              <w:rPr>
                <w:rFonts w:ascii="Arial Narrow" w:hAnsi="Arial Narrow" w:eastAsiaTheme="minorEastAsia"/>
                <w:color w:val="000000"/>
                <w:szCs w:val="21"/>
              </w:rPr>
              <w:t>306,765,475.73</w:t>
            </w:r>
          </w:p>
        </w:tc>
      </w:tr>
      <w:tr w14:paraId="6BA64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29B7B9E8">
            <w:pPr>
              <w:rPr>
                <w:rFonts w:ascii="Arial Narrow" w:hAnsi="Arial Narrow" w:eastAsiaTheme="minorEastAsia"/>
                <w:szCs w:val="21"/>
              </w:rPr>
            </w:pPr>
            <w:r>
              <w:rPr>
                <w:rFonts w:ascii="Arial Narrow" w:hAnsi="Arial Narrow" w:eastAsiaTheme="minorEastAsia"/>
                <w:szCs w:val="21"/>
              </w:rPr>
              <w:t>使用权资产摊销</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0863CCFB">
            <w:pPr>
              <w:jc w:val="right"/>
              <w:rPr>
                <w:rFonts w:ascii="Arial Narrow" w:hAnsi="Arial Narrow" w:eastAsiaTheme="minorEastAsia"/>
                <w:szCs w:val="21"/>
              </w:rPr>
            </w:pPr>
            <w:r>
              <w:rPr>
                <w:rFonts w:ascii="Arial Narrow" w:hAnsi="Arial Narrow" w:eastAsiaTheme="minorEastAsia"/>
                <w:color w:val="000000"/>
                <w:szCs w:val="21"/>
              </w:rPr>
              <w:t>6,959,332.62</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77BB6889">
            <w:pPr>
              <w:jc w:val="right"/>
              <w:rPr>
                <w:rFonts w:ascii="Arial Narrow" w:hAnsi="Arial Narrow" w:eastAsiaTheme="minorEastAsia"/>
                <w:szCs w:val="21"/>
              </w:rPr>
            </w:pPr>
            <w:r>
              <w:rPr>
                <w:rFonts w:ascii="Arial Narrow" w:hAnsi="Arial Narrow" w:eastAsiaTheme="minorEastAsia"/>
                <w:color w:val="000000"/>
                <w:szCs w:val="21"/>
              </w:rPr>
              <w:t>19,479,506.66</w:t>
            </w:r>
          </w:p>
        </w:tc>
      </w:tr>
      <w:tr w14:paraId="01240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52BE2A7">
            <w:pPr>
              <w:rPr>
                <w:rFonts w:ascii="Arial Narrow" w:hAnsi="Arial Narrow" w:eastAsiaTheme="minorEastAsia"/>
                <w:szCs w:val="21"/>
              </w:rPr>
            </w:pPr>
            <w:r>
              <w:rPr>
                <w:rFonts w:ascii="Arial Narrow" w:hAnsi="Arial Narrow" w:eastAsiaTheme="minorEastAsia"/>
                <w:szCs w:val="21"/>
              </w:rPr>
              <w:t>无形资产摊销</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5FA307B1">
            <w:pPr>
              <w:jc w:val="right"/>
              <w:rPr>
                <w:rFonts w:ascii="Arial Narrow" w:hAnsi="Arial Narrow" w:eastAsiaTheme="minorEastAsia"/>
                <w:szCs w:val="21"/>
              </w:rPr>
            </w:pPr>
            <w:r>
              <w:rPr>
                <w:rFonts w:ascii="Arial Narrow" w:hAnsi="Arial Narrow" w:eastAsiaTheme="minorEastAsia"/>
                <w:color w:val="000000"/>
                <w:szCs w:val="21"/>
              </w:rPr>
              <w:t>58,149,697.93</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0C6B0824">
            <w:pPr>
              <w:jc w:val="right"/>
              <w:rPr>
                <w:rFonts w:ascii="Arial Narrow" w:hAnsi="Arial Narrow" w:eastAsiaTheme="minorEastAsia"/>
                <w:szCs w:val="21"/>
              </w:rPr>
            </w:pPr>
            <w:r>
              <w:rPr>
                <w:rFonts w:ascii="Arial Narrow" w:hAnsi="Arial Narrow" w:eastAsiaTheme="minorEastAsia"/>
                <w:color w:val="000000"/>
                <w:szCs w:val="21"/>
              </w:rPr>
              <w:t>58,568,130.03</w:t>
            </w:r>
          </w:p>
        </w:tc>
      </w:tr>
      <w:tr w14:paraId="4BCD0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5DAED3D3">
            <w:pPr>
              <w:rPr>
                <w:rFonts w:ascii="Arial Narrow" w:hAnsi="Arial Narrow" w:eastAsiaTheme="minorEastAsia"/>
                <w:szCs w:val="21"/>
              </w:rPr>
            </w:pPr>
            <w:r>
              <w:rPr>
                <w:rFonts w:ascii="Arial Narrow" w:hAnsi="Arial Narrow" w:eastAsiaTheme="minorEastAsia"/>
                <w:szCs w:val="21"/>
              </w:rPr>
              <w:t>长期待摊费用摊销</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170131C7">
            <w:pPr>
              <w:jc w:val="right"/>
              <w:rPr>
                <w:rFonts w:ascii="Arial Narrow" w:hAnsi="Arial Narrow" w:eastAsiaTheme="minorEastAsia"/>
                <w:szCs w:val="21"/>
              </w:rPr>
            </w:pPr>
            <w:r>
              <w:rPr>
                <w:rFonts w:ascii="Arial Narrow" w:hAnsi="Arial Narrow" w:eastAsiaTheme="minorEastAsia"/>
                <w:color w:val="000000"/>
                <w:szCs w:val="21"/>
              </w:rPr>
              <w:t>8,472,122.31</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23DF625B">
            <w:pPr>
              <w:jc w:val="right"/>
              <w:rPr>
                <w:rFonts w:ascii="Arial Narrow" w:hAnsi="Arial Narrow" w:eastAsiaTheme="minorEastAsia"/>
                <w:szCs w:val="21"/>
              </w:rPr>
            </w:pPr>
            <w:r>
              <w:rPr>
                <w:rFonts w:ascii="Arial Narrow" w:hAnsi="Arial Narrow" w:eastAsiaTheme="minorEastAsia"/>
                <w:color w:val="000000"/>
                <w:szCs w:val="21"/>
              </w:rPr>
              <w:t>7,000,209.22</w:t>
            </w:r>
          </w:p>
        </w:tc>
      </w:tr>
      <w:tr w14:paraId="2DE09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137903D0">
            <w:pPr>
              <w:rPr>
                <w:rFonts w:ascii="Arial Narrow" w:hAnsi="Arial Narrow" w:eastAsiaTheme="minorEastAsia"/>
                <w:szCs w:val="21"/>
              </w:rPr>
            </w:pPr>
            <w:r>
              <w:rPr>
                <w:rFonts w:ascii="Arial Narrow" w:hAnsi="Arial Narrow" w:eastAsiaTheme="minorEastAsia"/>
                <w:szCs w:val="21"/>
              </w:rPr>
              <w:t>处置固定资产、无形资产和其他长期资产的损失（收益以“－”号填列）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2493EBA0">
            <w:pPr>
              <w:jc w:val="right"/>
              <w:rPr>
                <w:rFonts w:ascii="Arial Narrow" w:hAnsi="Arial Narrow" w:eastAsiaTheme="minorEastAsia"/>
                <w:szCs w:val="21"/>
              </w:rPr>
            </w:pPr>
            <w:r>
              <w:rPr>
                <w:rFonts w:ascii="Arial Narrow" w:hAnsi="Arial Narrow" w:eastAsiaTheme="minorEastAsia"/>
                <w:color w:val="000000"/>
                <w:szCs w:val="21"/>
              </w:rPr>
              <w:t>-347,104.71</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59C32148">
            <w:pPr>
              <w:jc w:val="right"/>
              <w:rPr>
                <w:rFonts w:ascii="Arial Narrow" w:hAnsi="Arial Narrow" w:eastAsiaTheme="minorEastAsia"/>
                <w:szCs w:val="21"/>
              </w:rPr>
            </w:pPr>
            <w:r>
              <w:rPr>
                <w:rFonts w:ascii="Arial Narrow" w:hAnsi="Arial Narrow" w:eastAsiaTheme="minorEastAsia"/>
                <w:color w:val="000000"/>
                <w:szCs w:val="21"/>
              </w:rPr>
              <w:t>-2,514,453.58</w:t>
            </w:r>
          </w:p>
        </w:tc>
      </w:tr>
      <w:tr w14:paraId="6D1BD9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1D174D9D">
            <w:pPr>
              <w:rPr>
                <w:rFonts w:ascii="Arial Narrow" w:hAnsi="Arial Narrow" w:eastAsiaTheme="minorEastAsia"/>
                <w:szCs w:val="21"/>
              </w:rPr>
            </w:pPr>
            <w:r>
              <w:rPr>
                <w:rFonts w:ascii="Arial Narrow" w:hAnsi="Arial Narrow" w:eastAsiaTheme="minorEastAsia"/>
                <w:szCs w:val="21"/>
              </w:rPr>
              <w:t>固定资产报废损失（收益以“－”号填列）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22094293">
            <w:pPr>
              <w:jc w:val="right"/>
              <w:rPr>
                <w:rFonts w:ascii="Arial Narrow" w:hAnsi="Arial Narrow" w:eastAsiaTheme="minorEastAsia"/>
                <w:szCs w:val="21"/>
              </w:rPr>
            </w:pPr>
            <w:r>
              <w:rPr>
                <w:rFonts w:ascii="Arial Narrow" w:hAnsi="Arial Narrow" w:eastAsiaTheme="minorEastAsia"/>
                <w:color w:val="000000"/>
                <w:szCs w:val="21"/>
              </w:rPr>
              <w:t>-532,219.61</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584BC044">
            <w:pPr>
              <w:jc w:val="right"/>
              <w:rPr>
                <w:rFonts w:ascii="Arial Narrow" w:hAnsi="Arial Narrow" w:eastAsiaTheme="minorEastAsia"/>
                <w:szCs w:val="21"/>
              </w:rPr>
            </w:pPr>
            <w:r>
              <w:rPr>
                <w:rFonts w:ascii="Arial Narrow" w:hAnsi="Arial Narrow" w:eastAsiaTheme="minorEastAsia"/>
                <w:color w:val="000000"/>
                <w:szCs w:val="21"/>
              </w:rPr>
              <w:t>195,419.69</w:t>
            </w:r>
          </w:p>
        </w:tc>
      </w:tr>
      <w:tr w14:paraId="3133C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07D8DEA">
            <w:pPr>
              <w:rPr>
                <w:rFonts w:ascii="Arial Narrow" w:hAnsi="Arial Narrow" w:eastAsiaTheme="minorEastAsia"/>
                <w:szCs w:val="21"/>
              </w:rPr>
            </w:pPr>
            <w:r>
              <w:rPr>
                <w:rFonts w:ascii="Arial Narrow" w:hAnsi="Arial Narrow" w:eastAsiaTheme="minorEastAsia"/>
                <w:szCs w:val="21"/>
              </w:rPr>
              <w:t>公允价值变动损失（收益以“－”号填列）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4BBA2AE4">
            <w:pPr>
              <w:jc w:val="right"/>
              <w:rPr>
                <w:rFonts w:ascii="Arial Narrow" w:hAnsi="Arial Narrow" w:eastAsiaTheme="minorEastAsia"/>
                <w:szCs w:val="21"/>
              </w:rPr>
            </w:pP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400C4159">
            <w:pPr>
              <w:jc w:val="right"/>
              <w:rPr>
                <w:rFonts w:ascii="Arial Narrow" w:hAnsi="Arial Narrow" w:eastAsiaTheme="minorEastAsia"/>
                <w:szCs w:val="21"/>
              </w:rPr>
            </w:pPr>
            <w:r>
              <w:rPr>
                <w:rFonts w:ascii="Arial Narrow" w:hAnsi="Arial Narrow" w:eastAsiaTheme="minorEastAsia"/>
                <w:color w:val="000000"/>
                <w:szCs w:val="21"/>
              </w:rPr>
              <w:t>1,572,246.34</w:t>
            </w:r>
          </w:p>
        </w:tc>
      </w:tr>
      <w:tr w14:paraId="0B7C66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2AB1E9E6">
            <w:pPr>
              <w:rPr>
                <w:rFonts w:ascii="Arial Narrow" w:hAnsi="Arial Narrow" w:eastAsiaTheme="minorEastAsia"/>
                <w:szCs w:val="21"/>
              </w:rPr>
            </w:pPr>
            <w:r>
              <w:rPr>
                <w:rFonts w:ascii="Arial Narrow" w:hAnsi="Arial Narrow" w:eastAsiaTheme="minorEastAsia"/>
                <w:szCs w:val="21"/>
              </w:rPr>
              <w:t>财务费用（收益以“－”号填列）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0666F68C">
            <w:pPr>
              <w:jc w:val="right"/>
              <w:rPr>
                <w:rFonts w:ascii="Arial Narrow" w:hAnsi="Arial Narrow" w:eastAsiaTheme="minorEastAsia"/>
                <w:szCs w:val="21"/>
              </w:rPr>
            </w:pPr>
            <w:r>
              <w:rPr>
                <w:rFonts w:ascii="Arial Narrow" w:hAnsi="Arial Narrow" w:eastAsiaTheme="minorEastAsia"/>
                <w:color w:val="000000"/>
                <w:szCs w:val="21"/>
              </w:rPr>
              <w:t>42,167,170.60</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370D121B">
            <w:pPr>
              <w:jc w:val="right"/>
              <w:rPr>
                <w:rFonts w:ascii="Arial Narrow" w:hAnsi="Arial Narrow" w:eastAsiaTheme="minorEastAsia"/>
                <w:szCs w:val="21"/>
              </w:rPr>
            </w:pPr>
            <w:r>
              <w:rPr>
                <w:rFonts w:ascii="Arial Narrow" w:hAnsi="Arial Narrow" w:eastAsiaTheme="minorEastAsia"/>
                <w:color w:val="000000"/>
                <w:szCs w:val="21"/>
              </w:rPr>
              <w:t>71,882,212.22</w:t>
            </w:r>
          </w:p>
        </w:tc>
      </w:tr>
      <w:tr w14:paraId="68B5A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3E8693FB">
            <w:pPr>
              <w:rPr>
                <w:rFonts w:ascii="Arial Narrow" w:hAnsi="Arial Narrow" w:eastAsiaTheme="minorEastAsia"/>
                <w:szCs w:val="21"/>
              </w:rPr>
            </w:pPr>
            <w:r>
              <w:rPr>
                <w:rFonts w:ascii="Arial Narrow" w:hAnsi="Arial Narrow" w:eastAsiaTheme="minorEastAsia"/>
                <w:szCs w:val="21"/>
              </w:rPr>
              <w:t>投资损失（收益以“－”号填列）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4BE7C8E4">
            <w:pPr>
              <w:jc w:val="right"/>
              <w:rPr>
                <w:rFonts w:ascii="Arial Narrow" w:hAnsi="Arial Narrow" w:eastAsiaTheme="minorEastAsia"/>
                <w:szCs w:val="21"/>
              </w:rPr>
            </w:pPr>
            <w:r>
              <w:rPr>
                <w:rFonts w:ascii="Arial Narrow" w:hAnsi="Arial Narrow" w:eastAsiaTheme="minorEastAsia"/>
                <w:color w:val="000000"/>
                <w:szCs w:val="21"/>
              </w:rPr>
              <w:t>29,945,486.06</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1612C253">
            <w:pPr>
              <w:jc w:val="right"/>
              <w:rPr>
                <w:rFonts w:ascii="Arial Narrow" w:hAnsi="Arial Narrow" w:eastAsiaTheme="minorEastAsia"/>
                <w:szCs w:val="21"/>
              </w:rPr>
            </w:pPr>
            <w:r>
              <w:rPr>
                <w:rFonts w:ascii="Arial Narrow" w:hAnsi="Arial Narrow" w:eastAsiaTheme="minorEastAsia"/>
                <w:color w:val="000000"/>
                <w:szCs w:val="21"/>
              </w:rPr>
              <w:t>-83,174,547.48</w:t>
            </w:r>
          </w:p>
        </w:tc>
      </w:tr>
      <w:tr w14:paraId="061EE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1C0AE88A">
            <w:pPr>
              <w:rPr>
                <w:rFonts w:ascii="Arial Narrow" w:hAnsi="Arial Narrow" w:eastAsiaTheme="minorEastAsia"/>
                <w:szCs w:val="21"/>
              </w:rPr>
            </w:pPr>
            <w:r>
              <w:rPr>
                <w:rFonts w:ascii="Arial Narrow" w:hAnsi="Arial Narrow" w:eastAsiaTheme="minorEastAsia"/>
                <w:szCs w:val="21"/>
              </w:rPr>
              <w:t>递延所得税资产减少（增加以“－”号填列）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6987BD8A">
            <w:pPr>
              <w:jc w:val="right"/>
              <w:rPr>
                <w:rFonts w:ascii="Arial Narrow" w:hAnsi="Arial Narrow" w:eastAsiaTheme="minorEastAsia"/>
                <w:szCs w:val="21"/>
              </w:rPr>
            </w:pPr>
            <w:r>
              <w:rPr>
                <w:rFonts w:ascii="Arial Narrow" w:hAnsi="Arial Narrow" w:eastAsiaTheme="minorEastAsia"/>
                <w:color w:val="000000"/>
                <w:szCs w:val="21"/>
              </w:rPr>
              <w:t>-84,440,248.06</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177F34F2">
            <w:pPr>
              <w:jc w:val="right"/>
              <w:rPr>
                <w:rFonts w:ascii="Arial Narrow" w:hAnsi="Arial Narrow" w:eastAsiaTheme="minorEastAsia"/>
                <w:szCs w:val="21"/>
              </w:rPr>
            </w:pPr>
            <w:r>
              <w:rPr>
                <w:rFonts w:ascii="Arial Narrow" w:hAnsi="Arial Narrow" w:eastAsiaTheme="minorEastAsia"/>
                <w:color w:val="000000"/>
                <w:szCs w:val="21"/>
              </w:rPr>
              <w:t>6,110,567.88</w:t>
            </w:r>
          </w:p>
        </w:tc>
      </w:tr>
      <w:tr w14:paraId="057FE1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B34C195">
            <w:pPr>
              <w:rPr>
                <w:rFonts w:ascii="Arial Narrow" w:hAnsi="Arial Narrow" w:eastAsiaTheme="minorEastAsia"/>
                <w:szCs w:val="21"/>
              </w:rPr>
            </w:pPr>
            <w:r>
              <w:rPr>
                <w:rFonts w:ascii="Arial Narrow" w:hAnsi="Arial Narrow" w:eastAsiaTheme="minorEastAsia"/>
                <w:szCs w:val="21"/>
              </w:rPr>
              <w:t>递延所得税负债增加（减少以“－”号填列）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61F35335">
            <w:pPr>
              <w:jc w:val="right"/>
              <w:rPr>
                <w:rFonts w:ascii="Arial Narrow" w:hAnsi="Arial Narrow" w:eastAsiaTheme="minorEastAsia"/>
                <w:szCs w:val="21"/>
              </w:rPr>
            </w:pPr>
            <w:r>
              <w:rPr>
                <w:rFonts w:ascii="Arial Narrow" w:hAnsi="Arial Narrow" w:eastAsiaTheme="minorEastAsia"/>
                <w:color w:val="000000"/>
                <w:szCs w:val="21"/>
              </w:rPr>
              <w:t>-1,486,700.03</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4ECC0F9D">
            <w:pPr>
              <w:jc w:val="right"/>
              <w:rPr>
                <w:rFonts w:ascii="Arial Narrow" w:hAnsi="Arial Narrow" w:eastAsiaTheme="minorEastAsia"/>
                <w:szCs w:val="21"/>
              </w:rPr>
            </w:pPr>
            <w:r>
              <w:rPr>
                <w:rFonts w:ascii="Arial Narrow" w:hAnsi="Arial Narrow" w:eastAsiaTheme="minorEastAsia"/>
                <w:color w:val="000000"/>
                <w:szCs w:val="21"/>
              </w:rPr>
              <w:t>-13,413,008.95</w:t>
            </w:r>
          </w:p>
        </w:tc>
      </w:tr>
      <w:tr w14:paraId="27A7A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15F852A4">
            <w:pPr>
              <w:rPr>
                <w:rFonts w:ascii="Arial Narrow" w:hAnsi="Arial Narrow" w:eastAsiaTheme="minorEastAsia"/>
                <w:szCs w:val="21"/>
              </w:rPr>
            </w:pPr>
            <w:r>
              <w:rPr>
                <w:rFonts w:ascii="Arial Narrow" w:hAnsi="Arial Narrow" w:eastAsiaTheme="minorEastAsia"/>
                <w:szCs w:val="21"/>
              </w:rPr>
              <w:t>存货的减少（增加以“－”号填列）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728725F5">
            <w:pPr>
              <w:jc w:val="right"/>
              <w:rPr>
                <w:rFonts w:ascii="Arial Narrow" w:hAnsi="Arial Narrow" w:eastAsiaTheme="minorEastAsia"/>
                <w:szCs w:val="21"/>
              </w:rPr>
            </w:pPr>
            <w:r>
              <w:rPr>
                <w:rFonts w:ascii="Arial Narrow" w:hAnsi="Arial Narrow" w:eastAsiaTheme="minorEastAsia"/>
                <w:color w:val="000000"/>
                <w:szCs w:val="21"/>
              </w:rPr>
              <w:t>1,089,721,051.87</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45C813AD">
            <w:pPr>
              <w:jc w:val="right"/>
              <w:rPr>
                <w:rFonts w:ascii="Arial Narrow" w:hAnsi="Arial Narrow" w:eastAsiaTheme="minorEastAsia"/>
                <w:szCs w:val="21"/>
              </w:rPr>
            </w:pPr>
            <w:r>
              <w:rPr>
                <w:rFonts w:ascii="Arial Narrow" w:hAnsi="Arial Narrow" w:eastAsiaTheme="minorEastAsia"/>
                <w:color w:val="000000"/>
                <w:szCs w:val="21"/>
              </w:rPr>
              <w:t>445,891,796.70</w:t>
            </w:r>
          </w:p>
        </w:tc>
      </w:tr>
      <w:tr w14:paraId="47635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6DBC950">
            <w:pPr>
              <w:rPr>
                <w:rFonts w:ascii="Arial Narrow" w:hAnsi="Arial Narrow" w:eastAsiaTheme="minorEastAsia"/>
                <w:szCs w:val="21"/>
              </w:rPr>
            </w:pPr>
            <w:r>
              <w:rPr>
                <w:rFonts w:ascii="Arial Narrow" w:hAnsi="Arial Narrow" w:eastAsiaTheme="minorEastAsia"/>
                <w:szCs w:val="21"/>
              </w:rPr>
              <w:t>经营性应收项目的减少（增加以“－”号填列）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18C6FEF8">
            <w:pPr>
              <w:jc w:val="right"/>
              <w:rPr>
                <w:rFonts w:ascii="Arial Narrow" w:hAnsi="Arial Narrow" w:eastAsiaTheme="minorEastAsia"/>
                <w:szCs w:val="21"/>
              </w:rPr>
            </w:pPr>
            <w:r>
              <w:rPr>
                <w:rFonts w:ascii="Arial Narrow" w:hAnsi="Arial Narrow" w:eastAsiaTheme="minorEastAsia"/>
                <w:color w:val="000000"/>
                <w:szCs w:val="21"/>
              </w:rPr>
              <w:t>35,949,241.33</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25304211">
            <w:pPr>
              <w:jc w:val="right"/>
              <w:rPr>
                <w:rFonts w:ascii="Arial Narrow" w:hAnsi="Arial Narrow" w:eastAsiaTheme="minorEastAsia"/>
                <w:szCs w:val="21"/>
              </w:rPr>
            </w:pPr>
            <w:r>
              <w:rPr>
                <w:rFonts w:ascii="Arial Narrow" w:hAnsi="Arial Narrow" w:eastAsiaTheme="minorEastAsia"/>
                <w:color w:val="000000"/>
                <w:szCs w:val="21"/>
              </w:rPr>
              <w:t>912,938,604.14</w:t>
            </w:r>
          </w:p>
        </w:tc>
      </w:tr>
      <w:tr w14:paraId="7EDC7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48C39E02">
            <w:pPr>
              <w:rPr>
                <w:rFonts w:ascii="Arial Narrow" w:hAnsi="Arial Narrow" w:eastAsiaTheme="minorEastAsia"/>
                <w:szCs w:val="21"/>
              </w:rPr>
            </w:pPr>
            <w:r>
              <w:rPr>
                <w:rFonts w:ascii="Arial Narrow" w:hAnsi="Arial Narrow" w:eastAsiaTheme="minorEastAsia"/>
                <w:szCs w:val="21"/>
              </w:rPr>
              <w:t>经营性应付项目的增加（减少以“－”号填列）</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13917FFB">
            <w:pPr>
              <w:jc w:val="right"/>
              <w:rPr>
                <w:rFonts w:ascii="Arial Narrow" w:hAnsi="Arial Narrow" w:eastAsiaTheme="minorEastAsia"/>
                <w:szCs w:val="21"/>
              </w:rPr>
            </w:pPr>
            <w:r>
              <w:rPr>
                <w:rFonts w:ascii="Arial Narrow" w:hAnsi="Arial Narrow" w:eastAsiaTheme="minorEastAsia"/>
                <w:color w:val="000000"/>
                <w:szCs w:val="21"/>
              </w:rPr>
              <w:t>-234,972,738.69</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4FE77E13">
            <w:pPr>
              <w:jc w:val="right"/>
              <w:rPr>
                <w:rFonts w:ascii="Arial Narrow" w:hAnsi="Arial Narrow" w:eastAsiaTheme="minorEastAsia"/>
                <w:szCs w:val="21"/>
              </w:rPr>
            </w:pPr>
            <w:r>
              <w:rPr>
                <w:rFonts w:ascii="Arial Narrow" w:hAnsi="Arial Narrow" w:eastAsiaTheme="minorEastAsia"/>
                <w:color w:val="000000"/>
                <w:szCs w:val="21"/>
              </w:rPr>
              <w:t>-902,804,730.92</w:t>
            </w:r>
          </w:p>
        </w:tc>
      </w:tr>
      <w:tr w14:paraId="24F95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B44A05D">
            <w:pPr>
              <w:rPr>
                <w:rFonts w:ascii="Arial Narrow" w:hAnsi="Arial Narrow" w:eastAsiaTheme="minorEastAsia"/>
                <w:szCs w:val="21"/>
              </w:rPr>
            </w:pPr>
            <w:r>
              <w:rPr>
                <w:rFonts w:ascii="Arial Narrow" w:hAnsi="Arial Narrow" w:eastAsiaTheme="minorEastAsia"/>
                <w:szCs w:val="21"/>
              </w:rPr>
              <w:t>其他</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42C91216">
            <w:pPr>
              <w:jc w:val="right"/>
              <w:rPr>
                <w:rFonts w:ascii="Arial Narrow" w:hAnsi="Arial Narrow" w:eastAsiaTheme="minorEastAsia"/>
                <w:szCs w:val="21"/>
              </w:rPr>
            </w:pPr>
            <w:r>
              <w:rPr>
                <w:rFonts w:ascii="Arial Narrow" w:hAnsi="Arial Narrow" w:eastAsiaTheme="minorEastAsia"/>
                <w:color w:val="000000"/>
                <w:szCs w:val="21"/>
              </w:rPr>
              <w:t>38,755,970.40</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36C7AB09">
            <w:pPr>
              <w:jc w:val="right"/>
              <w:rPr>
                <w:rFonts w:ascii="Arial Narrow" w:hAnsi="Arial Narrow" w:eastAsiaTheme="minorEastAsia"/>
                <w:szCs w:val="21"/>
              </w:rPr>
            </w:pPr>
          </w:p>
        </w:tc>
      </w:tr>
      <w:tr w14:paraId="378F6F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0CBE631D">
            <w:pPr>
              <w:rPr>
                <w:rFonts w:ascii="Arial Narrow" w:hAnsi="Arial Narrow" w:eastAsiaTheme="minorEastAsia"/>
                <w:szCs w:val="21"/>
              </w:rPr>
            </w:pPr>
            <w:r>
              <w:rPr>
                <w:rFonts w:ascii="Arial Narrow" w:hAnsi="Arial Narrow" w:eastAsiaTheme="minorEastAsia"/>
                <w:szCs w:val="21"/>
              </w:rPr>
              <w:t>经营活动产生的现金流量净额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center"/>
          </w:tcPr>
          <w:p w14:paraId="7EED05C8">
            <w:pPr>
              <w:jc w:val="right"/>
              <w:rPr>
                <w:rFonts w:ascii="Arial Narrow" w:hAnsi="Arial Narrow" w:eastAsiaTheme="minorEastAsia"/>
                <w:szCs w:val="21"/>
              </w:rPr>
            </w:pPr>
            <w:r>
              <w:rPr>
                <w:rFonts w:ascii="Arial Narrow" w:hAnsi="Arial Narrow" w:eastAsiaTheme="minorEastAsia"/>
                <w:color w:val="000000"/>
                <w:szCs w:val="21"/>
              </w:rPr>
              <w:t>115,548,699.94</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center"/>
          </w:tcPr>
          <w:p w14:paraId="6603B6FA">
            <w:pPr>
              <w:jc w:val="right"/>
              <w:rPr>
                <w:rFonts w:ascii="Arial Narrow" w:hAnsi="Arial Narrow" w:eastAsiaTheme="minorEastAsia"/>
                <w:szCs w:val="21"/>
              </w:rPr>
            </w:pPr>
            <w:r>
              <w:rPr>
                <w:rFonts w:ascii="Arial Narrow" w:hAnsi="Arial Narrow" w:eastAsiaTheme="minorEastAsia"/>
                <w:color w:val="000000"/>
                <w:szCs w:val="21"/>
              </w:rPr>
              <w:t>1,118,062,002.40</w:t>
            </w:r>
          </w:p>
        </w:tc>
      </w:tr>
      <w:tr w14:paraId="296F8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eastAsiaTheme="minorEastAsia"/>
              <w:szCs w:val="21"/>
            </w:rPr>
            <w:tag w:val="_PLD_4b9bf22c7a64477db916821f6ee032d7"/>
            <w:id w:val="913978778"/>
          </w:sdtPr>
          <w:sdtEndPr>
            <w:rPr>
              <w:rFonts w:ascii="Arial Narrow" w:hAnsi="Arial Narrow" w:eastAsiaTheme="minorEastAsia"/>
              <w:szCs w:val="21"/>
            </w:rPr>
          </w:sdtEndPr>
          <w:sdtContent>
            <w:tc>
              <w:tcPr>
                <w:tcW w:w="5000" w:type="pct"/>
                <w:gridSpan w:val="3"/>
                <w:tcBorders>
                  <w:top w:val="single" w:color="auto" w:sz="4" w:space="0"/>
                  <w:left w:val="single" w:color="auto" w:sz="4" w:space="0"/>
                  <w:bottom w:val="single" w:color="auto" w:sz="4" w:space="0"/>
                  <w:right w:val="outset" w:color="auto" w:sz="4" w:space="0"/>
                </w:tcBorders>
                <w:shd w:val="clear" w:color="auto" w:fill="auto"/>
                <w:vAlign w:val="center"/>
              </w:tcPr>
              <w:p w14:paraId="14AC1A09">
                <w:pPr>
                  <w:rPr>
                    <w:rFonts w:ascii="Arial Narrow" w:hAnsi="Arial Narrow" w:eastAsiaTheme="minorEastAsia"/>
                    <w:szCs w:val="21"/>
                  </w:rPr>
                </w:pPr>
                <w:r>
                  <w:rPr>
                    <w:rFonts w:ascii="Arial Narrow" w:hAnsi="Arial Narrow" w:eastAsiaTheme="minorEastAsia"/>
                    <w:b/>
                    <w:bCs/>
                    <w:szCs w:val="21"/>
                  </w:rPr>
                  <w:t>2．不涉及现金收支的重大投资和筹资活动：</w:t>
                </w:r>
              </w:p>
            </w:tc>
          </w:sdtContent>
        </w:sdt>
      </w:tr>
      <w:tr w14:paraId="4BA5B2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ascii="Arial Narrow" w:hAnsi="Arial Narrow" w:eastAsiaTheme="minorEastAsia"/>
              <w:szCs w:val="21"/>
            </w:rPr>
            <w:tag w:val="_PLD_b32f2ba3b4a94101978cc22144b58749"/>
            <w:id w:val="-1486781281"/>
          </w:sdtPr>
          <w:sdtEndPr>
            <w:rPr>
              <w:rFonts w:ascii="Arial Narrow" w:hAnsi="Arial Narrow" w:eastAsiaTheme="minorEastAsia"/>
              <w:szCs w:val="21"/>
            </w:rPr>
          </w:sdtEndPr>
          <w:sdtContent>
            <w:tc>
              <w:tcPr>
                <w:tcW w:w="5000" w:type="pct"/>
                <w:gridSpan w:val="3"/>
                <w:tcBorders>
                  <w:top w:val="single" w:color="auto" w:sz="4" w:space="0"/>
                  <w:left w:val="single" w:color="auto" w:sz="4" w:space="0"/>
                  <w:bottom w:val="single" w:color="auto" w:sz="4" w:space="0"/>
                  <w:right w:val="outset" w:color="auto" w:sz="4" w:space="0"/>
                </w:tcBorders>
                <w:shd w:val="clear" w:color="auto" w:fill="auto"/>
                <w:vAlign w:val="center"/>
              </w:tcPr>
              <w:p w14:paraId="79123C71">
                <w:pPr>
                  <w:rPr>
                    <w:rFonts w:ascii="Arial Narrow" w:hAnsi="Arial Narrow" w:eastAsiaTheme="minorEastAsia"/>
                    <w:szCs w:val="21"/>
                  </w:rPr>
                </w:pPr>
                <w:r>
                  <w:rPr>
                    <w:rFonts w:ascii="Arial Narrow" w:hAnsi="Arial Narrow" w:eastAsiaTheme="minorEastAsia"/>
                    <w:b/>
                    <w:bCs/>
                    <w:szCs w:val="21"/>
                  </w:rPr>
                  <w:t>3．现金及现金等价物净变动情况：</w:t>
                </w:r>
              </w:p>
            </w:tc>
          </w:sdtContent>
        </w:sdt>
      </w:tr>
      <w:tr w14:paraId="0251D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2EABEE32">
            <w:pPr>
              <w:rPr>
                <w:rFonts w:ascii="Arial Narrow" w:hAnsi="Arial Narrow" w:eastAsiaTheme="minorEastAsia"/>
                <w:szCs w:val="21"/>
              </w:rPr>
            </w:pPr>
            <w:r>
              <w:rPr>
                <w:rFonts w:ascii="Arial Narrow" w:hAnsi="Arial Narrow" w:eastAsiaTheme="minorEastAsia"/>
                <w:szCs w:val="21"/>
              </w:rPr>
              <w:t>现金的期末余额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bottom"/>
          </w:tcPr>
          <w:p w14:paraId="14DDAF5C">
            <w:pPr>
              <w:jc w:val="right"/>
              <w:rPr>
                <w:rFonts w:ascii="Arial Narrow" w:hAnsi="Arial Narrow" w:eastAsiaTheme="minorEastAsia"/>
                <w:szCs w:val="21"/>
              </w:rPr>
            </w:pPr>
            <w:r>
              <w:rPr>
                <w:rFonts w:ascii="Arial Narrow" w:hAnsi="Arial Narrow" w:eastAsiaTheme="minorEastAsia"/>
                <w:color w:val="000000"/>
                <w:szCs w:val="21"/>
              </w:rPr>
              <w:t>5,365,543,602.37</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bottom"/>
          </w:tcPr>
          <w:p w14:paraId="179D22EF">
            <w:pPr>
              <w:jc w:val="right"/>
              <w:rPr>
                <w:rFonts w:ascii="Arial Narrow" w:hAnsi="Arial Narrow" w:eastAsiaTheme="minorEastAsia"/>
                <w:szCs w:val="21"/>
              </w:rPr>
            </w:pPr>
            <w:r>
              <w:rPr>
                <w:rFonts w:ascii="Arial Narrow" w:hAnsi="Arial Narrow" w:eastAsiaTheme="minorEastAsia"/>
                <w:color w:val="000000"/>
                <w:szCs w:val="21"/>
              </w:rPr>
              <w:t>6,495,626,671.63</w:t>
            </w:r>
          </w:p>
        </w:tc>
      </w:tr>
      <w:tr w14:paraId="1EAD6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1959E6B1">
            <w:pPr>
              <w:rPr>
                <w:rFonts w:ascii="Arial Narrow" w:hAnsi="Arial Narrow" w:eastAsiaTheme="minorEastAsia"/>
                <w:szCs w:val="21"/>
              </w:rPr>
            </w:pPr>
            <w:r>
              <w:rPr>
                <w:rFonts w:ascii="Arial Narrow" w:hAnsi="Arial Narrow" w:eastAsiaTheme="minorEastAsia"/>
                <w:szCs w:val="21"/>
              </w:rPr>
              <w:t>减：现金的期初余额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bottom"/>
          </w:tcPr>
          <w:p w14:paraId="28F3CE99">
            <w:pPr>
              <w:jc w:val="right"/>
              <w:rPr>
                <w:rFonts w:ascii="Arial Narrow" w:hAnsi="Arial Narrow" w:eastAsiaTheme="minorEastAsia"/>
                <w:bCs/>
                <w:szCs w:val="21"/>
              </w:rPr>
            </w:pPr>
            <w:r>
              <w:rPr>
                <w:rFonts w:ascii="Arial Narrow" w:hAnsi="Arial Narrow" w:eastAsiaTheme="minorEastAsia"/>
                <w:color w:val="000000"/>
                <w:szCs w:val="21"/>
              </w:rPr>
              <w:t>6,495,626,671.63</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bottom"/>
          </w:tcPr>
          <w:p w14:paraId="2C499A33">
            <w:pPr>
              <w:jc w:val="right"/>
              <w:rPr>
                <w:rFonts w:ascii="Arial Narrow" w:hAnsi="Arial Narrow" w:eastAsiaTheme="minorEastAsia"/>
                <w:bCs/>
                <w:szCs w:val="21"/>
              </w:rPr>
            </w:pPr>
            <w:r>
              <w:rPr>
                <w:rFonts w:ascii="Arial Narrow" w:hAnsi="Arial Narrow" w:eastAsiaTheme="minorEastAsia"/>
                <w:color w:val="000000"/>
                <w:szCs w:val="21"/>
              </w:rPr>
              <w:t>5,167,082,095.36</w:t>
            </w:r>
          </w:p>
        </w:tc>
      </w:tr>
      <w:tr w14:paraId="2F5BA4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7E9A195E">
            <w:pPr>
              <w:rPr>
                <w:rFonts w:ascii="Arial Narrow" w:hAnsi="Arial Narrow" w:eastAsiaTheme="minorEastAsia"/>
                <w:szCs w:val="21"/>
              </w:rPr>
            </w:pPr>
            <w:r>
              <w:rPr>
                <w:rFonts w:ascii="Arial Narrow" w:hAnsi="Arial Narrow" w:eastAsiaTheme="minorEastAsia"/>
                <w:szCs w:val="21"/>
              </w:rPr>
              <w:t>加：现金等价物的期末余额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bottom"/>
          </w:tcPr>
          <w:p w14:paraId="78CC35FD">
            <w:pPr>
              <w:jc w:val="right"/>
              <w:rPr>
                <w:rFonts w:ascii="Arial Narrow" w:hAnsi="Arial Narrow" w:eastAsiaTheme="minorEastAsia"/>
                <w:szCs w:val="21"/>
              </w:rPr>
            </w:pPr>
          </w:p>
        </w:tc>
        <w:tc>
          <w:tcPr>
            <w:tcW w:w="1307" w:type="pct"/>
            <w:tcBorders>
              <w:top w:val="outset" w:color="auto" w:sz="4" w:space="0"/>
              <w:left w:val="outset" w:color="auto" w:sz="4" w:space="0"/>
              <w:bottom w:val="outset" w:color="auto" w:sz="4" w:space="0"/>
              <w:right w:val="outset" w:color="auto" w:sz="4" w:space="0"/>
            </w:tcBorders>
            <w:shd w:val="clear" w:color="auto" w:fill="auto"/>
            <w:vAlign w:val="bottom"/>
          </w:tcPr>
          <w:p w14:paraId="4D401B14">
            <w:pPr>
              <w:jc w:val="right"/>
              <w:rPr>
                <w:rFonts w:ascii="Arial Narrow" w:hAnsi="Arial Narrow" w:eastAsiaTheme="minorEastAsia"/>
                <w:szCs w:val="21"/>
              </w:rPr>
            </w:pPr>
          </w:p>
        </w:tc>
      </w:tr>
      <w:tr w14:paraId="2D481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69D42AE9">
            <w:pPr>
              <w:rPr>
                <w:rFonts w:ascii="Arial Narrow" w:hAnsi="Arial Narrow" w:eastAsiaTheme="minorEastAsia"/>
                <w:szCs w:val="21"/>
              </w:rPr>
            </w:pPr>
            <w:r>
              <w:rPr>
                <w:rFonts w:ascii="Arial Narrow" w:hAnsi="Arial Narrow" w:eastAsiaTheme="minorEastAsia"/>
                <w:szCs w:val="21"/>
              </w:rPr>
              <w:t>减：现金等价物的期初余额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bottom"/>
          </w:tcPr>
          <w:p w14:paraId="0B7F19AB">
            <w:pPr>
              <w:jc w:val="right"/>
              <w:rPr>
                <w:rFonts w:ascii="Arial Narrow" w:hAnsi="Arial Narrow" w:eastAsiaTheme="minorEastAsia"/>
                <w:bCs/>
                <w:szCs w:val="21"/>
              </w:rPr>
            </w:pPr>
          </w:p>
        </w:tc>
        <w:tc>
          <w:tcPr>
            <w:tcW w:w="1307" w:type="pct"/>
            <w:tcBorders>
              <w:top w:val="outset" w:color="auto" w:sz="4" w:space="0"/>
              <w:left w:val="outset" w:color="auto" w:sz="4" w:space="0"/>
              <w:bottom w:val="outset" w:color="auto" w:sz="4" w:space="0"/>
              <w:right w:val="outset" w:color="auto" w:sz="4" w:space="0"/>
            </w:tcBorders>
            <w:shd w:val="clear" w:color="auto" w:fill="auto"/>
            <w:vAlign w:val="bottom"/>
          </w:tcPr>
          <w:p w14:paraId="2608739D">
            <w:pPr>
              <w:jc w:val="right"/>
              <w:rPr>
                <w:rFonts w:ascii="Arial Narrow" w:hAnsi="Arial Narrow" w:eastAsiaTheme="minorEastAsia"/>
                <w:bCs/>
                <w:szCs w:val="21"/>
              </w:rPr>
            </w:pPr>
          </w:p>
        </w:tc>
      </w:tr>
      <w:tr w14:paraId="43AB92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88" w:type="pct"/>
            <w:tcBorders>
              <w:top w:val="single" w:color="auto" w:sz="4" w:space="0"/>
              <w:left w:val="single" w:color="auto" w:sz="4" w:space="0"/>
              <w:bottom w:val="single" w:color="auto" w:sz="4" w:space="0"/>
              <w:right w:val="single" w:color="auto" w:sz="4" w:space="0"/>
            </w:tcBorders>
            <w:shd w:val="clear" w:color="auto" w:fill="auto"/>
            <w:vAlign w:val="center"/>
          </w:tcPr>
          <w:p w14:paraId="413D6FEE">
            <w:pPr>
              <w:rPr>
                <w:rFonts w:ascii="Arial Narrow" w:hAnsi="Arial Narrow" w:eastAsiaTheme="minorEastAsia"/>
                <w:szCs w:val="21"/>
              </w:rPr>
            </w:pPr>
            <w:r>
              <w:rPr>
                <w:rFonts w:ascii="Arial Narrow" w:hAnsi="Arial Narrow" w:eastAsiaTheme="minorEastAsia"/>
                <w:szCs w:val="21"/>
              </w:rPr>
              <w:t>现金及现金等价物净增加额</w:t>
            </w:r>
          </w:p>
        </w:tc>
        <w:tc>
          <w:tcPr>
            <w:tcW w:w="1205" w:type="pct"/>
            <w:tcBorders>
              <w:top w:val="outset" w:color="auto" w:sz="4" w:space="0"/>
              <w:left w:val="single" w:color="auto" w:sz="4" w:space="0"/>
              <w:bottom w:val="outset" w:color="auto" w:sz="4" w:space="0"/>
              <w:right w:val="outset" w:color="auto" w:sz="4" w:space="0"/>
            </w:tcBorders>
            <w:shd w:val="clear" w:color="auto" w:fill="auto"/>
            <w:vAlign w:val="bottom"/>
          </w:tcPr>
          <w:p w14:paraId="6CFBDC65">
            <w:pPr>
              <w:jc w:val="right"/>
              <w:rPr>
                <w:rFonts w:ascii="Arial Narrow" w:hAnsi="Arial Narrow" w:eastAsiaTheme="minorEastAsia"/>
                <w:szCs w:val="21"/>
              </w:rPr>
            </w:pPr>
            <w:r>
              <w:rPr>
                <w:rFonts w:ascii="Arial Narrow" w:hAnsi="Arial Narrow" w:eastAsiaTheme="minorEastAsia"/>
                <w:color w:val="000000"/>
                <w:szCs w:val="21"/>
              </w:rPr>
              <w:t>-1,130,083,069.26</w:t>
            </w:r>
          </w:p>
        </w:tc>
        <w:tc>
          <w:tcPr>
            <w:tcW w:w="1307" w:type="pct"/>
            <w:tcBorders>
              <w:top w:val="outset" w:color="auto" w:sz="4" w:space="0"/>
              <w:left w:val="outset" w:color="auto" w:sz="4" w:space="0"/>
              <w:bottom w:val="outset" w:color="auto" w:sz="4" w:space="0"/>
              <w:right w:val="outset" w:color="auto" w:sz="4" w:space="0"/>
            </w:tcBorders>
            <w:shd w:val="clear" w:color="auto" w:fill="auto"/>
            <w:vAlign w:val="bottom"/>
          </w:tcPr>
          <w:p w14:paraId="1542EDDA">
            <w:pPr>
              <w:jc w:val="right"/>
              <w:rPr>
                <w:rFonts w:ascii="Arial Narrow" w:hAnsi="Arial Narrow" w:eastAsiaTheme="minorEastAsia"/>
                <w:bCs/>
                <w:szCs w:val="21"/>
              </w:rPr>
            </w:pPr>
            <w:r>
              <w:rPr>
                <w:rFonts w:ascii="Arial Narrow" w:hAnsi="Arial Narrow" w:eastAsiaTheme="minorEastAsia"/>
                <w:color w:val="000000"/>
                <w:szCs w:val="21"/>
              </w:rPr>
              <w:t>1,328,544,576.27</w:t>
            </w:r>
          </w:p>
        </w:tc>
      </w:tr>
    </w:tbl>
    <w:p w14:paraId="280EA5A3">
      <w:pPr>
        <w:rPr>
          <w:rFonts w:hint="eastAsia"/>
        </w:rPr>
      </w:pPr>
    </w:p>
    <w:p w14:paraId="54F5186F">
      <w:pPr>
        <w:pStyle w:val="71"/>
        <w:numPr>
          <w:ilvl w:val="0"/>
          <w:numId w:val="150"/>
        </w:numPr>
        <w:ind w:left="426" w:hanging="426"/>
        <w:rPr>
          <w:rFonts w:hint="eastAsia"/>
        </w:rPr>
      </w:pPr>
      <w:r>
        <w:rPr>
          <w:rFonts w:hint="eastAsia"/>
        </w:rPr>
        <w:t>本期支付的取得子公司的现金净额</w:t>
      </w:r>
    </w:p>
    <w:p w14:paraId="59B73955">
      <w:pPr>
        <w:rPr>
          <w:rFonts w:hint="eastAsia"/>
        </w:rPr>
      </w:pPr>
      <w:sdt>
        <w:sdtPr>
          <w:alias w:val="是否适用：本期支付的取得子公司的现金净额[双击切换]"/>
          <w:tag w:val="_GBC_e15d87c710624e119515f4697cba951d"/>
          <w:id w:val="703757216"/>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23500599">
      <w:pPr>
        <w:rPr>
          <w:rFonts w:hint="eastAsia"/>
        </w:rPr>
      </w:pPr>
    </w:p>
    <w:p w14:paraId="4FF39653">
      <w:pPr>
        <w:rPr>
          <w:rFonts w:hint="eastAsia"/>
        </w:rPr>
      </w:pPr>
    </w:p>
    <w:p w14:paraId="4EDABC87">
      <w:pPr>
        <w:pStyle w:val="71"/>
        <w:numPr>
          <w:ilvl w:val="0"/>
          <w:numId w:val="150"/>
        </w:numPr>
        <w:ind w:left="426" w:hanging="426"/>
        <w:rPr>
          <w:rFonts w:hint="eastAsia"/>
        </w:rPr>
      </w:pPr>
      <w:r>
        <w:rPr>
          <w:rFonts w:hint="eastAsia"/>
        </w:rPr>
        <w:t>本期收到的处置子公司的现金净额</w:t>
      </w:r>
    </w:p>
    <w:p w14:paraId="387F60BC">
      <w:pPr>
        <w:rPr>
          <w:rFonts w:hint="eastAsia"/>
        </w:rPr>
      </w:pPr>
      <w:sdt>
        <w:sdtPr>
          <w:alias w:val="是否适用：本期收到的处置子公司的现金净额[双击切换]"/>
          <w:tag w:val="_GBC_34f955c7fd1f404b9df6ccd09e080d38"/>
          <w:id w:val="306982106"/>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2B9CA058">
      <w:pPr>
        <w:rPr>
          <w:rFonts w:hint="eastAsia"/>
        </w:rPr>
      </w:pPr>
    </w:p>
    <w:p w14:paraId="32C021CB">
      <w:pPr>
        <w:rPr>
          <w:rFonts w:hint="eastAsia"/>
        </w:rPr>
      </w:pPr>
    </w:p>
    <w:p w14:paraId="0FDD29B6">
      <w:pPr>
        <w:pStyle w:val="71"/>
        <w:numPr>
          <w:ilvl w:val="0"/>
          <w:numId w:val="150"/>
        </w:numPr>
        <w:ind w:left="426" w:hanging="426"/>
        <w:rPr>
          <w:rFonts w:hint="eastAsia"/>
        </w:rPr>
      </w:pPr>
      <w:bookmarkStart w:id="376" w:name="_Hlk152667287"/>
      <w:r>
        <w:rPr>
          <w:rFonts w:hint="eastAsia"/>
        </w:rPr>
        <w:t>现金和现金等价物的构成</w:t>
      </w:r>
    </w:p>
    <w:sdt>
      <w:sdtPr>
        <w:alias w:val="是否适用：现金和现金等价物的构成[双击切换]"/>
        <w:tag w:val="_GBC_e0555d7e87b94189b1eb8131088a70ab"/>
        <w:id w:val="-1976462"/>
        <w:placeholder>
          <w:docPart w:val="GBC22222222222222222222222222222"/>
        </w:placeholder>
      </w:sdtPr>
      <w:sdtContent>
        <w:p w14:paraId="3295F11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D4F3EF3">
      <w:pPr>
        <w:jc w:val="right"/>
        <w:rPr>
          <w:rFonts w:hint="eastAsia"/>
          <w:b/>
          <w:szCs w:val="21"/>
        </w:rPr>
      </w:pPr>
      <w:r>
        <w:rPr>
          <w:rFonts w:hint="eastAsia"/>
        </w:rPr>
        <w:t>单位：</w:t>
      </w:r>
      <w:sdt>
        <w:sdtPr>
          <w:rPr>
            <w:rFonts w:hint="eastAsia"/>
          </w:rPr>
          <w:alias w:val="单位：财务附注：现金和现金等价物的构成"/>
          <w:tag w:val="_GBC_1e304caf56fc443fa3c4a1d772d34293"/>
          <w:id w:val="-189125561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现金和现金等价物的构成"/>
          <w:tag w:val="_GBC_d3515d75fc184b1e9585a67f7cb04faa"/>
          <w:id w:val="-7686272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2"/>
        <w:gridCol w:w="2335"/>
        <w:gridCol w:w="2666"/>
      </w:tblGrid>
      <w:tr w14:paraId="7F8D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rPr>
              <w:rFonts w:ascii="Arial Narrow" w:hAnsi="Arial Narrow" w:eastAsiaTheme="minorEastAsia"/>
            </w:rPr>
            <w:tag w:val="_PLD_7ae145dd51fc48d4a76bb239061b0a6e"/>
            <w:id w:val="1597134028"/>
          </w:sdtPr>
          <w:sdtEndPr>
            <w:rPr>
              <w:rFonts w:ascii="Arial Narrow" w:hAnsi="Arial Narrow" w:eastAsiaTheme="minorEastAsia"/>
            </w:rPr>
          </w:sdtEndPr>
          <w:sdtContent>
            <w:tc>
              <w:tcPr>
                <w:tcW w:w="2166" w:type="pct"/>
                <w:tcBorders>
                  <w:bottom w:val="single" w:color="auto" w:sz="4" w:space="0"/>
                </w:tcBorders>
                <w:shd w:val="clear" w:color="auto" w:fill="auto"/>
                <w:vAlign w:val="center"/>
              </w:tcPr>
              <w:p w14:paraId="242EB537">
                <w:pPr>
                  <w:ind w:left="-107" w:leftChars="-51"/>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426ac24378064f8ab324e59db3ac5d98"/>
            <w:id w:val="1783220518"/>
          </w:sdtPr>
          <w:sdtEndPr>
            <w:rPr>
              <w:rFonts w:ascii="Arial Narrow" w:hAnsi="Arial Narrow" w:eastAsiaTheme="minorEastAsia"/>
            </w:rPr>
          </w:sdtEndPr>
          <w:sdtContent>
            <w:tc>
              <w:tcPr>
                <w:tcW w:w="1323" w:type="pct"/>
                <w:shd w:val="clear" w:color="auto" w:fill="auto"/>
                <w:vAlign w:val="center"/>
              </w:tcPr>
              <w:p w14:paraId="2EEAB6A7">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d8d41db246514c0dbfacfe0f48eeceac"/>
            <w:id w:val="371045204"/>
          </w:sdtPr>
          <w:sdtEndPr>
            <w:rPr>
              <w:rFonts w:ascii="Arial Narrow" w:hAnsi="Arial Narrow" w:eastAsiaTheme="minorEastAsia"/>
            </w:rPr>
          </w:sdtEndPr>
          <w:sdtContent>
            <w:tc>
              <w:tcPr>
                <w:tcW w:w="1511" w:type="pct"/>
                <w:shd w:val="clear" w:color="auto" w:fill="auto"/>
                <w:vAlign w:val="center"/>
              </w:tcPr>
              <w:p w14:paraId="7D6DFCEE">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42A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674EAB50">
            <w:pPr>
              <w:rPr>
                <w:rFonts w:ascii="Arial Narrow" w:hAnsi="Arial Narrow" w:eastAsiaTheme="minorEastAsia"/>
                <w:szCs w:val="21"/>
              </w:rPr>
            </w:pPr>
            <w:r>
              <w:rPr>
                <w:rFonts w:ascii="Arial Narrow" w:hAnsi="Arial Narrow" w:eastAsiaTheme="minorEastAsia"/>
                <w:szCs w:val="21"/>
              </w:rPr>
              <w:t>一、现金</w:t>
            </w:r>
          </w:p>
        </w:tc>
        <w:tc>
          <w:tcPr>
            <w:tcW w:w="1323" w:type="pct"/>
            <w:shd w:val="clear" w:color="auto" w:fill="auto"/>
            <w:vAlign w:val="center"/>
          </w:tcPr>
          <w:p w14:paraId="500F0FD3">
            <w:pPr>
              <w:jc w:val="right"/>
              <w:rPr>
                <w:rFonts w:ascii="Arial Narrow" w:hAnsi="Arial Narrow" w:eastAsiaTheme="minorEastAsia"/>
                <w:szCs w:val="21"/>
              </w:rPr>
            </w:pPr>
            <w:r>
              <w:rPr>
                <w:rFonts w:ascii="Arial Narrow" w:hAnsi="Arial Narrow" w:eastAsiaTheme="minorEastAsia"/>
                <w:color w:val="000000"/>
                <w:szCs w:val="21"/>
              </w:rPr>
              <w:t>5,365,543,602.37</w:t>
            </w:r>
          </w:p>
        </w:tc>
        <w:tc>
          <w:tcPr>
            <w:tcW w:w="1511" w:type="pct"/>
            <w:shd w:val="clear" w:color="auto" w:fill="auto"/>
            <w:vAlign w:val="center"/>
          </w:tcPr>
          <w:p w14:paraId="6CDF03D7">
            <w:pPr>
              <w:jc w:val="right"/>
              <w:rPr>
                <w:rFonts w:ascii="Arial Narrow" w:hAnsi="Arial Narrow" w:eastAsiaTheme="minorEastAsia"/>
                <w:szCs w:val="21"/>
              </w:rPr>
            </w:pPr>
            <w:r>
              <w:rPr>
                <w:rFonts w:ascii="Arial Narrow" w:hAnsi="Arial Narrow" w:eastAsiaTheme="minorEastAsia"/>
                <w:color w:val="000000"/>
                <w:szCs w:val="21"/>
              </w:rPr>
              <w:t>6,495,626,671.63</w:t>
            </w:r>
          </w:p>
        </w:tc>
      </w:tr>
      <w:tr w14:paraId="576F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0D1DE759">
            <w:pPr>
              <w:rPr>
                <w:rFonts w:ascii="Arial Narrow" w:hAnsi="Arial Narrow" w:eastAsiaTheme="minorEastAsia"/>
                <w:szCs w:val="21"/>
              </w:rPr>
            </w:pPr>
            <w:r>
              <w:rPr>
                <w:rFonts w:ascii="Arial Narrow" w:hAnsi="Arial Narrow" w:eastAsiaTheme="minorEastAsia"/>
                <w:szCs w:val="21"/>
              </w:rPr>
              <w:t>其中：库存现金</w:t>
            </w:r>
          </w:p>
        </w:tc>
        <w:tc>
          <w:tcPr>
            <w:tcW w:w="1323" w:type="pct"/>
            <w:shd w:val="clear" w:color="auto" w:fill="auto"/>
            <w:vAlign w:val="center"/>
          </w:tcPr>
          <w:p w14:paraId="4F40F6D5">
            <w:pPr>
              <w:jc w:val="right"/>
              <w:rPr>
                <w:rFonts w:ascii="Arial Narrow" w:hAnsi="Arial Narrow" w:eastAsiaTheme="minorEastAsia"/>
                <w:szCs w:val="21"/>
              </w:rPr>
            </w:pPr>
            <w:r>
              <w:rPr>
                <w:rFonts w:ascii="Arial Narrow" w:hAnsi="Arial Narrow" w:eastAsiaTheme="minorEastAsia"/>
                <w:color w:val="000000"/>
                <w:szCs w:val="21"/>
              </w:rPr>
              <w:t>10,209.00</w:t>
            </w:r>
          </w:p>
        </w:tc>
        <w:tc>
          <w:tcPr>
            <w:tcW w:w="1511" w:type="pct"/>
            <w:shd w:val="clear" w:color="auto" w:fill="auto"/>
            <w:vAlign w:val="center"/>
          </w:tcPr>
          <w:p w14:paraId="0A4A1762">
            <w:pPr>
              <w:jc w:val="right"/>
              <w:rPr>
                <w:rFonts w:ascii="Arial Narrow" w:hAnsi="Arial Narrow" w:eastAsiaTheme="minorEastAsia"/>
                <w:szCs w:val="21"/>
              </w:rPr>
            </w:pPr>
            <w:r>
              <w:rPr>
                <w:rFonts w:ascii="Arial Narrow" w:hAnsi="Arial Narrow" w:eastAsiaTheme="minorEastAsia"/>
                <w:color w:val="000000"/>
                <w:szCs w:val="21"/>
              </w:rPr>
              <w:t>24,807.30</w:t>
            </w:r>
          </w:p>
        </w:tc>
      </w:tr>
      <w:tr w14:paraId="4ED4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755D311D">
            <w:pPr>
              <w:rPr>
                <w:rFonts w:ascii="Arial Narrow" w:hAnsi="Arial Narrow" w:eastAsiaTheme="minorEastAsia"/>
                <w:szCs w:val="21"/>
              </w:rPr>
            </w:pPr>
            <w:r>
              <w:rPr>
                <w:rFonts w:ascii="Arial Narrow" w:hAnsi="Arial Narrow" w:eastAsiaTheme="minorEastAsia"/>
                <w:szCs w:val="21"/>
              </w:rPr>
              <w:t>　　可随时用于支付的银行存款</w:t>
            </w:r>
          </w:p>
        </w:tc>
        <w:tc>
          <w:tcPr>
            <w:tcW w:w="1323" w:type="pct"/>
            <w:shd w:val="clear" w:color="auto" w:fill="auto"/>
            <w:vAlign w:val="center"/>
          </w:tcPr>
          <w:p w14:paraId="13322BA9">
            <w:pPr>
              <w:jc w:val="right"/>
              <w:rPr>
                <w:rFonts w:ascii="Arial Narrow" w:hAnsi="Arial Narrow" w:eastAsiaTheme="minorEastAsia"/>
                <w:szCs w:val="21"/>
              </w:rPr>
            </w:pPr>
            <w:r>
              <w:rPr>
                <w:rFonts w:ascii="Arial Narrow" w:hAnsi="Arial Narrow" w:eastAsiaTheme="minorEastAsia"/>
                <w:color w:val="000000"/>
                <w:szCs w:val="21"/>
              </w:rPr>
              <w:t>5,361,852,189.84</w:t>
            </w:r>
          </w:p>
        </w:tc>
        <w:tc>
          <w:tcPr>
            <w:tcW w:w="1511" w:type="pct"/>
            <w:shd w:val="clear" w:color="auto" w:fill="auto"/>
            <w:vAlign w:val="center"/>
          </w:tcPr>
          <w:p w14:paraId="06C1AB45">
            <w:pPr>
              <w:jc w:val="right"/>
              <w:rPr>
                <w:rFonts w:ascii="Arial Narrow" w:hAnsi="Arial Narrow" w:eastAsiaTheme="minorEastAsia"/>
                <w:szCs w:val="21"/>
              </w:rPr>
            </w:pPr>
            <w:r>
              <w:rPr>
                <w:rFonts w:ascii="Arial Narrow" w:hAnsi="Arial Narrow" w:eastAsiaTheme="minorEastAsia"/>
                <w:color w:val="000000"/>
                <w:szCs w:val="21"/>
              </w:rPr>
              <w:t>6,451,080,201.08</w:t>
            </w:r>
          </w:p>
        </w:tc>
      </w:tr>
      <w:tr w14:paraId="0DC7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3B843418">
            <w:pPr>
              <w:rPr>
                <w:rFonts w:ascii="Arial Narrow" w:hAnsi="Arial Narrow" w:eastAsiaTheme="minorEastAsia"/>
                <w:szCs w:val="21"/>
              </w:rPr>
            </w:pPr>
            <w:r>
              <w:rPr>
                <w:rFonts w:ascii="Arial Narrow" w:hAnsi="Arial Narrow" w:eastAsiaTheme="minorEastAsia"/>
                <w:szCs w:val="21"/>
              </w:rPr>
              <w:t>　　可随时用于支付的其他货币资金</w:t>
            </w:r>
          </w:p>
        </w:tc>
        <w:tc>
          <w:tcPr>
            <w:tcW w:w="1323" w:type="pct"/>
            <w:shd w:val="clear" w:color="auto" w:fill="auto"/>
            <w:vAlign w:val="center"/>
          </w:tcPr>
          <w:p w14:paraId="59CF3F8E">
            <w:pPr>
              <w:jc w:val="right"/>
              <w:rPr>
                <w:rFonts w:ascii="Arial Narrow" w:hAnsi="Arial Narrow" w:eastAsiaTheme="minorEastAsia"/>
                <w:szCs w:val="21"/>
              </w:rPr>
            </w:pPr>
            <w:r>
              <w:rPr>
                <w:rFonts w:ascii="Arial Narrow" w:hAnsi="Arial Narrow" w:eastAsiaTheme="minorEastAsia"/>
                <w:color w:val="000000"/>
                <w:szCs w:val="21"/>
              </w:rPr>
              <w:t>3,681,203.53</w:t>
            </w:r>
          </w:p>
        </w:tc>
        <w:tc>
          <w:tcPr>
            <w:tcW w:w="1511" w:type="pct"/>
            <w:shd w:val="clear" w:color="auto" w:fill="auto"/>
            <w:vAlign w:val="center"/>
          </w:tcPr>
          <w:p w14:paraId="7EC60552">
            <w:pPr>
              <w:jc w:val="right"/>
              <w:rPr>
                <w:rFonts w:ascii="Arial Narrow" w:hAnsi="Arial Narrow" w:eastAsiaTheme="minorEastAsia"/>
                <w:szCs w:val="21"/>
              </w:rPr>
            </w:pPr>
            <w:r>
              <w:rPr>
                <w:rFonts w:ascii="Arial Narrow" w:hAnsi="Arial Narrow" w:eastAsiaTheme="minorEastAsia"/>
                <w:color w:val="000000"/>
                <w:szCs w:val="21"/>
              </w:rPr>
              <w:t>44,521,663.25</w:t>
            </w:r>
          </w:p>
        </w:tc>
      </w:tr>
      <w:tr w14:paraId="343D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2EA4A575">
            <w:pPr>
              <w:rPr>
                <w:rFonts w:ascii="Arial Narrow" w:hAnsi="Arial Narrow" w:eastAsiaTheme="minorEastAsia"/>
                <w:szCs w:val="21"/>
              </w:rPr>
            </w:pPr>
            <w:r>
              <w:rPr>
                <w:rFonts w:ascii="Arial Narrow" w:hAnsi="Arial Narrow" w:eastAsiaTheme="minorEastAsia"/>
                <w:szCs w:val="21"/>
              </w:rPr>
              <w:t>二、现金等价物</w:t>
            </w:r>
          </w:p>
        </w:tc>
        <w:tc>
          <w:tcPr>
            <w:tcW w:w="1323" w:type="pct"/>
            <w:shd w:val="clear" w:color="auto" w:fill="auto"/>
            <w:vAlign w:val="center"/>
          </w:tcPr>
          <w:p w14:paraId="7D6C4A20">
            <w:pPr>
              <w:jc w:val="right"/>
              <w:rPr>
                <w:rFonts w:ascii="Arial Narrow" w:hAnsi="Arial Narrow" w:eastAsiaTheme="minorEastAsia"/>
                <w:szCs w:val="21"/>
              </w:rPr>
            </w:pPr>
          </w:p>
        </w:tc>
        <w:tc>
          <w:tcPr>
            <w:tcW w:w="1511" w:type="pct"/>
            <w:shd w:val="clear" w:color="auto" w:fill="auto"/>
            <w:vAlign w:val="center"/>
          </w:tcPr>
          <w:p w14:paraId="3E64988C">
            <w:pPr>
              <w:jc w:val="right"/>
              <w:rPr>
                <w:rFonts w:ascii="Arial Narrow" w:hAnsi="Arial Narrow" w:eastAsiaTheme="minorEastAsia"/>
                <w:szCs w:val="21"/>
              </w:rPr>
            </w:pPr>
          </w:p>
        </w:tc>
      </w:tr>
      <w:tr w14:paraId="6B43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76650300">
            <w:pPr>
              <w:rPr>
                <w:rFonts w:ascii="Arial Narrow" w:hAnsi="Arial Narrow" w:eastAsiaTheme="minorEastAsia"/>
                <w:szCs w:val="21"/>
              </w:rPr>
            </w:pPr>
            <w:r>
              <w:rPr>
                <w:rFonts w:ascii="Arial Narrow" w:hAnsi="Arial Narrow" w:eastAsiaTheme="minorEastAsia"/>
                <w:szCs w:val="21"/>
              </w:rPr>
              <w:t>三、期末现金及现金等价物余额</w:t>
            </w:r>
          </w:p>
        </w:tc>
        <w:tc>
          <w:tcPr>
            <w:tcW w:w="1323" w:type="pct"/>
            <w:shd w:val="clear" w:color="auto" w:fill="auto"/>
            <w:vAlign w:val="center"/>
          </w:tcPr>
          <w:p w14:paraId="1C310466">
            <w:pPr>
              <w:jc w:val="right"/>
              <w:rPr>
                <w:rFonts w:ascii="Arial Narrow" w:hAnsi="Arial Narrow" w:eastAsiaTheme="minorEastAsia"/>
                <w:szCs w:val="21"/>
              </w:rPr>
            </w:pPr>
            <w:r>
              <w:rPr>
                <w:rFonts w:ascii="Arial Narrow" w:hAnsi="Arial Narrow" w:eastAsiaTheme="minorEastAsia"/>
                <w:color w:val="000000"/>
                <w:szCs w:val="21"/>
              </w:rPr>
              <w:t>5,365,543,602.37</w:t>
            </w:r>
          </w:p>
        </w:tc>
        <w:tc>
          <w:tcPr>
            <w:tcW w:w="1511" w:type="pct"/>
            <w:shd w:val="clear" w:color="auto" w:fill="auto"/>
            <w:vAlign w:val="center"/>
          </w:tcPr>
          <w:p w14:paraId="1F827807">
            <w:pPr>
              <w:jc w:val="right"/>
              <w:rPr>
                <w:rFonts w:ascii="Arial Narrow" w:hAnsi="Arial Narrow" w:eastAsiaTheme="minorEastAsia"/>
                <w:szCs w:val="21"/>
              </w:rPr>
            </w:pPr>
            <w:r>
              <w:rPr>
                <w:rFonts w:ascii="Arial Narrow" w:hAnsi="Arial Narrow" w:eastAsiaTheme="minorEastAsia"/>
                <w:color w:val="000000"/>
                <w:szCs w:val="21"/>
              </w:rPr>
              <w:t>6,495,626,671.63</w:t>
            </w:r>
          </w:p>
        </w:tc>
      </w:tr>
      <w:tr w14:paraId="0E6A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66" w:type="pct"/>
            <w:shd w:val="clear" w:color="auto" w:fill="auto"/>
            <w:vAlign w:val="center"/>
          </w:tcPr>
          <w:p w14:paraId="114CACB9">
            <w:pPr>
              <w:rPr>
                <w:rFonts w:ascii="Arial Narrow" w:hAnsi="Arial Narrow" w:eastAsiaTheme="minorEastAsia"/>
                <w:szCs w:val="21"/>
              </w:rPr>
            </w:pPr>
            <w:r>
              <w:rPr>
                <w:rFonts w:ascii="Arial Narrow" w:hAnsi="Arial Narrow" w:eastAsiaTheme="minorEastAsia"/>
                <w:szCs w:val="21"/>
              </w:rPr>
              <w:t>其中：母公司或集团内子公司使用受限制的现金和现金等价物</w:t>
            </w:r>
          </w:p>
        </w:tc>
        <w:tc>
          <w:tcPr>
            <w:tcW w:w="1323" w:type="pct"/>
            <w:shd w:val="clear" w:color="auto" w:fill="auto"/>
            <w:vAlign w:val="center"/>
          </w:tcPr>
          <w:p w14:paraId="458B029C">
            <w:pPr>
              <w:jc w:val="right"/>
              <w:rPr>
                <w:rFonts w:ascii="Arial Narrow" w:hAnsi="Arial Narrow" w:eastAsiaTheme="minorEastAsia"/>
                <w:szCs w:val="21"/>
              </w:rPr>
            </w:pPr>
            <w:r>
              <w:rPr>
                <w:rFonts w:ascii="Arial Narrow" w:hAnsi="Arial Narrow" w:eastAsiaTheme="minorEastAsia"/>
                <w:color w:val="000000"/>
                <w:szCs w:val="21"/>
              </w:rPr>
              <w:t>80,994,497.32</w:t>
            </w:r>
          </w:p>
        </w:tc>
        <w:tc>
          <w:tcPr>
            <w:tcW w:w="1511" w:type="pct"/>
            <w:shd w:val="clear" w:color="auto" w:fill="auto"/>
            <w:vAlign w:val="center"/>
          </w:tcPr>
          <w:p w14:paraId="00EFE681">
            <w:pPr>
              <w:jc w:val="right"/>
              <w:rPr>
                <w:rFonts w:ascii="Arial Narrow" w:hAnsi="Arial Narrow" w:eastAsiaTheme="minorEastAsia"/>
                <w:szCs w:val="21"/>
              </w:rPr>
            </w:pPr>
          </w:p>
        </w:tc>
      </w:tr>
    </w:tbl>
    <w:p w14:paraId="290DE52E">
      <w:pPr>
        <w:spacing w:before="60" w:after="60"/>
        <w:rPr>
          <w:rFonts w:hint="eastAsia"/>
          <w:szCs w:val="21"/>
        </w:rPr>
      </w:pPr>
    </w:p>
    <w:p w14:paraId="151DCFBF">
      <w:pPr>
        <w:pStyle w:val="71"/>
        <w:numPr>
          <w:ilvl w:val="0"/>
          <w:numId w:val="150"/>
        </w:numPr>
        <w:ind w:left="426" w:hanging="426"/>
        <w:rPr>
          <w:rFonts w:hint="eastAsia"/>
        </w:rPr>
      </w:pPr>
      <w:r>
        <w:rPr>
          <w:rFonts w:hint="eastAsia"/>
        </w:rPr>
        <w:t>使用范围受限但仍作为现金和现金等价物列示的情况</w:t>
      </w:r>
    </w:p>
    <w:sdt>
      <w:sdtPr>
        <w:alias w:val="是否适用：使用范围受限但仍作为现金和现金等价物列示的情况[双击切换]"/>
        <w:tag w:val="_GBC_3f4f3ab69b8d40ad90e4e461178c0e10"/>
        <w:id w:val="34320168"/>
        <w:placeholder>
          <w:docPart w:val="GBC22222222222222222222222222222"/>
        </w:placeholder>
      </w:sdtPr>
      <w:sdtContent>
        <w:p w14:paraId="24FEABA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2533BCE">
      <w:pPr>
        <w:rPr>
          <w:rFonts w:hint="eastAsia"/>
          <w:szCs w:val="21"/>
        </w:rPr>
      </w:pPr>
    </w:p>
    <w:p w14:paraId="590D156A">
      <w:pPr>
        <w:pStyle w:val="71"/>
        <w:numPr>
          <w:ilvl w:val="0"/>
          <w:numId w:val="150"/>
        </w:numPr>
        <w:ind w:left="426" w:hanging="426"/>
        <w:rPr>
          <w:rFonts w:hint="eastAsia"/>
        </w:rPr>
      </w:pPr>
      <w:r>
        <w:rPr>
          <w:rFonts w:hint="eastAsia"/>
        </w:rPr>
        <w:t>不属于现金及现金等价物的货币资金</w:t>
      </w:r>
    </w:p>
    <w:sdt>
      <w:sdtPr>
        <w:alias w:val="是否适用：不属于现金及现金等价物的货币资金[双击切换]"/>
        <w:tag w:val="_GBC_a99c932c933e4271bbb13783f71a0a6a"/>
        <w:id w:val="-48686583"/>
        <w:placeholder>
          <w:docPart w:val="GBC22222222222222222222222222222"/>
        </w:placeholder>
      </w:sdtPr>
      <w:sdtContent>
        <w:p w14:paraId="0B2E54C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6D18844">
      <w:pPr>
        <w:rPr>
          <w:rFonts w:hint="eastAsia"/>
          <w:szCs w:val="21"/>
        </w:rPr>
      </w:pPr>
    </w:p>
    <w:p w14:paraId="0B769DF3">
      <w:pPr>
        <w:spacing w:before="60" w:after="60"/>
        <w:rPr>
          <w:rFonts w:hint="eastAsia"/>
          <w:szCs w:val="21"/>
        </w:rPr>
      </w:pPr>
      <w:r>
        <w:rPr>
          <w:rFonts w:hint="eastAsia"/>
          <w:szCs w:val="21"/>
        </w:rPr>
        <w:t>其他说明：</w:t>
      </w:r>
    </w:p>
    <w:sdt>
      <w:sdtPr>
        <w:rPr>
          <w:szCs w:val="21"/>
        </w:rPr>
        <w:alias w:val="是否适用：现金流量表补充资料的说明[双击切换]"/>
        <w:tag w:val="_GBC_73894bf4981b4beaae2551b205a2e7cc"/>
        <w:id w:val="135455454"/>
        <w:placeholder>
          <w:docPart w:val="GBC22222222222222222222222222222"/>
        </w:placeholder>
      </w:sdtPr>
      <w:sdtEndPr>
        <w:rPr>
          <w:szCs w:val="21"/>
        </w:rPr>
      </w:sdtEndPr>
      <w:sdtContent>
        <w:p w14:paraId="7DAF70E2">
          <w:pPr>
            <w:spacing w:before="60" w:after="60"/>
            <w:rPr>
              <w:rFonts w:hint="eastAsia"/>
              <w:szCs w:val="22"/>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E8A80AB">
      <w:pPr>
        <w:rPr>
          <w:rFonts w:hint="eastAsia"/>
        </w:rPr>
      </w:pPr>
    </w:p>
    <w:bookmarkEnd w:id="376"/>
    <w:p w14:paraId="3276EF9F">
      <w:pPr>
        <w:pStyle w:val="70"/>
        <w:numPr>
          <w:ilvl w:val="0"/>
          <w:numId w:val="109"/>
        </w:numPr>
        <w:rPr>
          <w:szCs w:val="21"/>
        </w:rPr>
      </w:pPr>
      <w:r>
        <w:rPr>
          <w:szCs w:val="21"/>
        </w:rPr>
        <w:t>所有者权益变动表项目注释</w:t>
      </w:r>
    </w:p>
    <w:p w14:paraId="17D375E4">
      <w:pPr>
        <w:rPr>
          <w:rFonts w:hint="eastAsia"/>
        </w:rPr>
      </w:pPr>
      <w:r>
        <w:rPr>
          <w:rFonts w:hint="eastAsia"/>
        </w:rPr>
        <w:t>说明对上年期末余额进行调整的“其他”项目名称及调整金额等事项：</w:t>
      </w:r>
    </w:p>
    <w:sdt>
      <w:sdtPr>
        <w:alias w:val="是否适用：所有者权益变动表项目注释[双击切换]"/>
        <w:tag w:val="_GBC_fca039532a374a3e9daa81c75d491b1f"/>
        <w:id w:val="-947539834"/>
        <w:placeholder>
          <w:docPart w:val="GBC22222222222222222222222222222"/>
        </w:placeholder>
      </w:sdtPr>
      <w:sdtContent>
        <w:p w14:paraId="0C67116D">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914419C">
      <w:pPr>
        <w:rPr>
          <w:rFonts w:hint="eastAsia"/>
          <w:szCs w:val="21"/>
        </w:rPr>
      </w:pPr>
    </w:p>
    <w:p w14:paraId="4925F4A8">
      <w:pPr>
        <w:pStyle w:val="70"/>
        <w:numPr>
          <w:ilvl w:val="0"/>
          <w:numId w:val="109"/>
        </w:numPr>
        <w:rPr>
          <w:szCs w:val="21"/>
        </w:rPr>
      </w:pPr>
      <w:r>
        <w:rPr>
          <w:szCs w:val="21"/>
        </w:rPr>
        <w:t>外币货币性项目</w:t>
      </w:r>
    </w:p>
    <w:p w14:paraId="5027BBF4">
      <w:pPr>
        <w:pStyle w:val="71"/>
        <w:numPr>
          <w:ilvl w:val="0"/>
          <w:numId w:val="151"/>
        </w:numPr>
        <w:ind w:left="426" w:hanging="426"/>
        <w:rPr>
          <w:rFonts w:hint="eastAsia" w:ascii="宋体" w:hAnsi="宋体"/>
          <w:b w:val="0"/>
          <w:szCs w:val="21"/>
        </w:rPr>
      </w:pPr>
      <w:r>
        <w:rPr>
          <w:rStyle w:val="103"/>
          <w:rFonts w:hint="eastAsia" w:ascii="宋体" w:hAnsi="宋体"/>
          <w:b/>
          <w:bCs w:val="0"/>
          <w:szCs w:val="21"/>
        </w:rPr>
        <w:t>外币货币性项目</w:t>
      </w:r>
    </w:p>
    <w:sdt>
      <w:sdtPr>
        <w:alias w:val="是否适用：外币货币性项目[双击切换]"/>
        <w:tag w:val="_GBC_6b0f646811a94c228ba6be3453047191"/>
        <w:id w:val="1652939802"/>
        <w:placeholder>
          <w:docPart w:val="GBC22222222222222222222222222222"/>
        </w:placeholder>
      </w:sdtPr>
      <w:sdtContent>
        <w:p w14:paraId="1F62613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C37A80A">
      <w:pPr>
        <w:pStyle w:val="109"/>
        <w:ind w:firstLine="0" w:firstLineChars="0"/>
        <w:jc w:val="right"/>
        <w:rPr>
          <w:rFonts w:hint="eastAsia" w:ascii="宋体" w:hAnsi="宋体"/>
          <w:szCs w:val="21"/>
        </w:rPr>
      </w:pPr>
      <w:r>
        <w:rPr>
          <w:rFonts w:hint="eastAsia" w:ascii="宋体" w:hAnsi="宋体"/>
          <w:szCs w:val="21"/>
        </w:rPr>
        <w:t>单位：</w:t>
      </w:r>
      <w:sdt>
        <w:sdtPr>
          <w:rPr>
            <w:rFonts w:hint="eastAsia" w:ascii="宋体" w:hAnsi="宋体"/>
            <w:szCs w:val="21"/>
          </w:rPr>
          <w:alias w:val="单位：财务附注：外币货币性项目"/>
          <w:tag w:val="_GBC_43871b6586c8428c8da522abb267c528"/>
          <w:id w:val="8280195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szCs w:val="21"/>
          </w:rPr>
        </w:sdtEndPr>
        <w:sdtContent>
          <w:r>
            <w:rPr>
              <w:rFonts w:hint="eastAsia" w:ascii="宋体" w:hAnsi="宋体"/>
              <w:szCs w:val="21"/>
            </w:rPr>
            <w:t>元</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1998"/>
        <w:gridCol w:w="2006"/>
        <w:gridCol w:w="1994"/>
      </w:tblGrid>
      <w:tr w14:paraId="6A6F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a5c3516dfa974dea983fcf6d3a5e4272"/>
            <w:id w:val="1312064023"/>
          </w:sdtPr>
          <w:sdtEndPr>
            <w:rPr>
              <w:rFonts w:ascii="Arial Narrow" w:hAnsi="Arial Narrow" w:eastAsiaTheme="minorEastAsia"/>
              <w:szCs w:val="21"/>
            </w:rPr>
          </w:sdtEndPr>
          <w:sdtContent>
            <w:tc>
              <w:tcPr>
                <w:tcW w:w="1601" w:type="pct"/>
                <w:tcBorders>
                  <w:top w:val="single" w:color="auto" w:sz="4" w:space="0"/>
                  <w:left w:val="single" w:color="auto" w:sz="4" w:space="0"/>
                  <w:bottom w:val="single" w:color="auto" w:sz="4" w:space="0"/>
                  <w:right w:val="single" w:color="auto" w:sz="4" w:space="0"/>
                </w:tcBorders>
                <w:shd w:val="clear" w:color="auto" w:fill="auto"/>
                <w:vAlign w:val="center"/>
              </w:tcPr>
              <w:p w14:paraId="1E363830">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c677b8fd217342e7b28e98a1c8e497e9"/>
            <w:id w:val="-26718773"/>
          </w:sdtPr>
          <w:sdtEndPr>
            <w:rPr>
              <w:rFonts w:ascii="Arial Narrow" w:hAnsi="Arial Narrow" w:eastAsiaTheme="minorEastAsia"/>
              <w:szCs w:val="21"/>
            </w:rPr>
          </w:sdtEndPr>
          <w:sdtContent>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211657E4">
                <w:pPr>
                  <w:jc w:val="center"/>
                  <w:rPr>
                    <w:rFonts w:ascii="Arial Narrow" w:hAnsi="Arial Narrow" w:eastAsiaTheme="minorEastAsia"/>
                    <w:szCs w:val="21"/>
                  </w:rPr>
                </w:pPr>
                <w:r>
                  <w:rPr>
                    <w:rFonts w:ascii="Arial Narrow" w:hAnsi="Arial Narrow" w:eastAsiaTheme="minorEastAsia"/>
                    <w:szCs w:val="21"/>
                  </w:rPr>
                  <w:t>期末外币余额</w:t>
                </w:r>
              </w:p>
            </w:tc>
          </w:sdtContent>
        </w:sdt>
        <w:sdt>
          <w:sdtPr>
            <w:rPr>
              <w:rFonts w:ascii="Arial Narrow" w:hAnsi="Arial Narrow" w:eastAsiaTheme="minorEastAsia"/>
              <w:szCs w:val="21"/>
            </w:rPr>
            <w:tag w:val="_PLD_e0e88022a2754ae991eb4bb1a9caae4f"/>
            <w:id w:val="-1192678917"/>
          </w:sdtPr>
          <w:sdtEndPr>
            <w:rPr>
              <w:rFonts w:ascii="Arial Narrow" w:hAnsi="Arial Narrow" w:eastAsiaTheme="minorEastAsia"/>
              <w:szCs w:val="21"/>
            </w:rPr>
          </w:sdtEndPr>
          <w:sdtContent>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7136801F">
                <w:pPr>
                  <w:jc w:val="center"/>
                  <w:rPr>
                    <w:rFonts w:ascii="Arial Narrow" w:hAnsi="Arial Narrow" w:eastAsiaTheme="minorEastAsia"/>
                    <w:szCs w:val="21"/>
                  </w:rPr>
                </w:pPr>
                <w:r>
                  <w:rPr>
                    <w:rFonts w:ascii="Arial Narrow" w:hAnsi="Arial Narrow" w:eastAsiaTheme="minorEastAsia"/>
                    <w:szCs w:val="21"/>
                  </w:rPr>
                  <w:t>折算汇率</w:t>
                </w:r>
              </w:p>
            </w:tc>
          </w:sdtContent>
        </w:sdt>
        <w:sdt>
          <w:sdtPr>
            <w:rPr>
              <w:rFonts w:ascii="Arial Narrow" w:hAnsi="Arial Narrow" w:eastAsiaTheme="minorEastAsia"/>
              <w:szCs w:val="21"/>
            </w:rPr>
            <w:tag w:val="_PLD_a1542d7b69a444ef9e91ceaf4a96f49d"/>
            <w:id w:val="-720129390"/>
          </w:sdtPr>
          <w:sdtEndPr>
            <w:rPr>
              <w:rFonts w:ascii="Arial Narrow" w:hAnsi="Arial Narrow" w:eastAsiaTheme="minorEastAsia"/>
              <w:szCs w:val="21"/>
            </w:rPr>
          </w:sdtEndPr>
          <w:sdtContent>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52DE0B3D">
                <w:pPr>
                  <w:jc w:val="center"/>
                  <w:rPr>
                    <w:rFonts w:ascii="Arial Narrow" w:hAnsi="Arial Narrow" w:eastAsiaTheme="minorEastAsia"/>
                    <w:szCs w:val="21"/>
                  </w:rPr>
                </w:pPr>
                <w:r>
                  <w:rPr>
                    <w:rFonts w:ascii="Arial Narrow" w:hAnsi="Arial Narrow" w:eastAsiaTheme="minorEastAsia"/>
                    <w:szCs w:val="21"/>
                  </w:rPr>
                  <w:t>期末折算人民币</w:t>
                </w:r>
              </w:p>
              <w:p w14:paraId="2B62053E">
                <w:pPr>
                  <w:jc w:val="center"/>
                  <w:rPr>
                    <w:rFonts w:ascii="Arial Narrow" w:hAnsi="Arial Narrow" w:eastAsiaTheme="minorEastAsia"/>
                    <w:szCs w:val="21"/>
                  </w:rPr>
                </w:pPr>
                <w:r>
                  <w:rPr>
                    <w:rFonts w:ascii="Arial Narrow" w:hAnsi="Arial Narrow" w:eastAsiaTheme="minorEastAsia"/>
                    <w:szCs w:val="21"/>
                  </w:rPr>
                  <w:t>余额</w:t>
                </w:r>
              </w:p>
            </w:tc>
          </w:sdtContent>
        </w:sdt>
      </w:tr>
      <w:tr w14:paraId="59DF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62CEB1D8">
            <w:pPr>
              <w:rPr>
                <w:rFonts w:ascii="Arial Narrow" w:hAnsi="Arial Narrow" w:eastAsiaTheme="minorEastAsia"/>
                <w:szCs w:val="21"/>
              </w:rPr>
            </w:pPr>
            <w:r>
              <w:rPr>
                <w:rFonts w:ascii="Arial Narrow" w:hAnsi="Arial Narrow" w:eastAsiaTheme="minorEastAsia"/>
                <w:szCs w:val="21"/>
              </w:rPr>
              <w:t>货币资金</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2E89A2E8">
            <w:pPr>
              <w:jc w:val="right"/>
              <w:rPr>
                <w:rFonts w:ascii="Arial Narrow" w:hAnsi="Arial Narrow" w:eastAsiaTheme="minorEastAsia"/>
                <w:szCs w:val="21"/>
              </w:rPr>
            </w:pPr>
            <w:r>
              <w:rPr>
                <w:rFonts w:ascii="Arial Narrow" w:hAnsi="Arial Narrow" w:eastAsiaTheme="minorEastAsia"/>
                <w:szCs w:val="21"/>
              </w:rPr>
              <w:t>-</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713B6649">
            <w:pPr>
              <w:jc w:val="right"/>
              <w:rPr>
                <w:rFonts w:ascii="Arial Narrow" w:hAnsi="Arial Narrow" w:eastAsiaTheme="minorEastAsia"/>
                <w:szCs w:val="21"/>
              </w:rPr>
            </w:pPr>
            <w:r>
              <w:rPr>
                <w:rFonts w:ascii="Arial Narrow" w:hAnsi="Arial Narrow" w:eastAsiaTheme="minorEastAsia"/>
                <w:szCs w:val="21"/>
              </w:rPr>
              <w:t>-</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0ECFEDB7">
            <w:pPr>
              <w:jc w:val="right"/>
              <w:rPr>
                <w:rFonts w:ascii="Arial Narrow" w:hAnsi="Arial Narrow" w:eastAsiaTheme="minorEastAsia"/>
                <w:szCs w:val="21"/>
              </w:rPr>
            </w:pPr>
            <w:r>
              <w:rPr>
                <w:rFonts w:ascii="Arial Narrow" w:hAnsi="Arial Narrow" w:cs="Times New Roman" w:eastAsiaTheme="minorEastAsia"/>
                <w:color w:val="000000"/>
                <w:szCs w:val="21"/>
              </w:rPr>
              <w:t xml:space="preserve">46,260,561.40 </w:t>
            </w:r>
          </w:p>
        </w:tc>
      </w:tr>
      <w:tr w14:paraId="3BCF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66C93BF2">
            <w:pPr>
              <w:rPr>
                <w:rFonts w:ascii="Arial Narrow" w:hAnsi="Arial Narrow" w:eastAsiaTheme="minorEastAsia"/>
                <w:szCs w:val="21"/>
              </w:rPr>
            </w:pPr>
            <w:r>
              <w:rPr>
                <w:rFonts w:ascii="Arial Narrow" w:hAnsi="Arial Narrow" w:eastAsiaTheme="minorEastAsia"/>
                <w:szCs w:val="21"/>
              </w:rPr>
              <w:t>其中：</w:t>
            </w:r>
            <w:sdt>
              <w:sdtPr>
                <w:rPr>
                  <w:rFonts w:ascii="Arial Narrow" w:hAnsi="Arial Narrow" w:eastAsiaTheme="minorEastAsia"/>
                  <w:szCs w:val="21"/>
                </w:rPr>
                <w:alias w:val="以外币核算的币种明细-币种名称"/>
                <w:tag w:val="_GBC_b9ad493c07994625bf872e807197c998"/>
                <w:id w:val="-31757414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rPr>
                  <w:rFonts w:ascii="Arial Narrow" w:hAnsi="Arial Narrow" w:eastAsiaTheme="minorEastAsia"/>
                  <w:szCs w:val="21"/>
                </w:rPr>
              </w:sdtEndPr>
              <w:sdtContent>
                <w:r>
                  <w:rPr>
                    <w:rFonts w:ascii="Arial Narrow" w:hAnsi="Arial Narrow" w:eastAsiaTheme="minorEastAsia"/>
                    <w:szCs w:val="21"/>
                  </w:rPr>
                  <w:t>美元</w:t>
                </w:r>
              </w:sdtContent>
            </w:sdt>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510D9F2F">
            <w:pPr>
              <w:jc w:val="right"/>
              <w:rPr>
                <w:rFonts w:ascii="Arial Narrow" w:hAnsi="Arial Narrow" w:eastAsiaTheme="minorEastAsia"/>
                <w:szCs w:val="21"/>
              </w:rPr>
            </w:pPr>
            <w:r>
              <w:rPr>
                <w:rFonts w:ascii="Arial Narrow" w:hAnsi="Arial Narrow" w:cs="Times New Roman" w:eastAsiaTheme="minorEastAsia"/>
                <w:color w:val="000000"/>
                <w:szCs w:val="21"/>
              </w:rPr>
              <w:t>528,877.18</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12A0B9F9">
            <w:pPr>
              <w:jc w:val="right"/>
              <w:rPr>
                <w:rFonts w:ascii="Arial Narrow" w:hAnsi="Arial Narrow" w:eastAsiaTheme="minorEastAsia"/>
                <w:szCs w:val="21"/>
              </w:rPr>
            </w:pPr>
            <w:r>
              <w:rPr>
                <w:rFonts w:ascii="Arial Narrow" w:hAnsi="Arial Narrow" w:cs="Times New Roman" w:eastAsiaTheme="minorEastAsia"/>
                <w:color w:val="000000"/>
                <w:szCs w:val="21"/>
              </w:rPr>
              <w:t>7.1884</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3B0B4E83">
            <w:pPr>
              <w:jc w:val="right"/>
              <w:rPr>
                <w:rFonts w:ascii="Arial Narrow" w:hAnsi="Arial Narrow" w:eastAsiaTheme="minorEastAsia"/>
                <w:szCs w:val="21"/>
              </w:rPr>
            </w:pPr>
            <w:r>
              <w:rPr>
                <w:rFonts w:ascii="Arial Narrow" w:hAnsi="Arial Narrow" w:cs="Times New Roman" w:eastAsiaTheme="minorEastAsia"/>
                <w:color w:val="000000"/>
                <w:szCs w:val="21"/>
              </w:rPr>
              <w:t xml:space="preserve">3,801,780.72 </w:t>
            </w:r>
          </w:p>
        </w:tc>
      </w:tr>
      <w:tr w14:paraId="0DB0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2F34D40A">
            <w:pPr>
              <w:rPr>
                <w:rFonts w:ascii="Arial Narrow" w:hAnsi="Arial Narrow" w:eastAsiaTheme="minorEastAsia"/>
                <w:szCs w:val="21"/>
              </w:rPr>
            </w:pPr>
            <w:r>
              <w:rPr>
                <w:rFonts w:ascii="Arial Narrow" w:hAnsi="Arial Narrow" w:eastAsiaTheme="minorEastAsia"/>
                <w:szCs w:val="21"/>
              </w:rPr>
              <w:t>　　　欧元</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18B74AAB">
            <w:pPr>
              <w:jc w:val="right"/>
              <w:rPr>
                <w:rFonts w:ascii="Arial Narrow" w:hAnsi="Arial Narrow" w:eastAsiaTheme="minorEastAsia"/>
                <w:szCs w:val="21"/>
              </w:rPr>
            </w:pPr>
            <w:r>
              <w:rPr>
                <w:rFonts w:ascii="Arial Narrow" w:hAnsi="Arial Narrow" w:cs="Times New Roman" w:eastAsiaTheme="minorEastAsia"/>
                <w:color w:val="000000"/>
                <w:szCs w:val="21"/>
              </w:rPr>
              <w:t>3.81</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4AB83D17">
            <w:pPr>
              <w:jc w:val="right"/>
              <w:rPr>
                <w:rFonts w:ascii="Arial Narrow" w:hAnsi="Arial Narrow" w:eastAsiaTheme="minorEastAsia"/>
                <w:szCs w:val="21"/>
              </w:rPr>
            </w:pPr>
            <w:r>
              <w:rPr>
                <w:rFonts w:ascii="Arial Narrow" w:hAnsi="Arial Narrow" w:cs="Times New Roman" w:eastAsiaTheme="minorEastAsia"/>
                <w:color w:val="000000"/>
                <w:szCs w:val="21"/>
              </w:rPr>
              <w:t>7.5257</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190C7353">
            <w:pPr>
              <w:jc w:val="right"/>
              <w:rPr>
                <w:rFonts w:ascii="Arial Narrow" w:hAnsi="Arial Narrow" w:eastAsiaTheme="minorEastAsia"/>
                <w:szCs w:val="21"/>
              </w:rPr>
            </w:pPr>
            <w:r>
              <w:rPr>
                <w:rFonts w:ascii="Arial Narrow" w:hAnsi="Arial Narrow" w:cs="Times New Roman" w:eastAsiaTheme="minorEastAsia"/>
                <w:color w:val="000000"/>
                <w:szCs w:val="21"/>
              </w:rPr>
              <w:t>28.67</w:t>
            </w:r>
          </w:p>
        </w:tc>
      </w:tr>
      <w:tr w14:paraId="7336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589023DD">
            <w:pPr>
              <w:rPr>
                <w:rFonts w:ascii="Arial Narrow" w:hAnsi="Arial Narrow" w:eastAsiaTheme="minorEastAsia"/>
                <w:szCs w:val="21"/>
              </w:rPr>
            </w:pPr>
            <w:r>
              <w:rPr>
                <w:rFonts w:ascii="Arial Narrow" w:hAnsi="Arial Narrow" w:eastAsiaTheme="minorEastAsia"/>
                <w:szCs w:val="21"/>
              </w:rPr>
              <w:t>　　　港币</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2CBCC082">
            <w:pPr>
              <w:jc w:val="right"/>
              <w:rPr>
                <w:rFonts w:ascii="Arial Narrow" w:hAnsi="Arial Narrow" w:eastAsiaTheme="minorEastAsia"/>
                <w:szCs w:val="21"/>
              </w:rPr>
            </w:pPr>
            <w:r>
              <w:rPr>
                <w:rFonts w:ascii="Arial Narrow" w:hAnsi="Arial Narrow" w:cs="Times New Roman" w:eastAsiaTheme="minorEastAsia"/>
                <w:color w:val="000000"/>
                <w:szCs w:val="21"/>
              </w:rPr>
              <w:t>45,849,803.47</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6032124B">
            <w:pPr>
              <w:jc w:val="right"/>
              <w:rPr>
                <w:rFonts w:ascii="Arial Narrow" w:hAnsi="Arial Narrow" w:eastAsiaTheme="minorEastAsia"/>
                <w:szCs w:val="21"/>
              </w:rPr>
            </w:pPr>
            <w:r>
              <w:rPr>
                <w:rFonts w:ascii="Arial Narrow" w:hAnsi="Arial Narrow" w:cs="Times New Roman" w:eastAsiaTheme="minorEastAsia"/>
                <w:color w:val="000000"/>
                <w:szCs w:val="21"/>
              </w:rPr>
              <w:t>0.92604</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7BF4A3A1">
            <w:pPr>
              <w:jc w:val="right"/>
              <w:rPr>
                <w:rFonts w:ascii="Arial Narrow" w:hAnsi="Arial Narrow" w:eastAsiaTheme="minorEastAsia"/>
                <w:szCs w:val="21"/>
              </w:rPr>
            </w:pPr>
            <w:r>
              <w:rPr>
                <w:rFonts w:ascii="Arial Narrow" w:hAnsi="Arial Narrow" w:cs="Times New Roman" w:eastAsiaTheme="minorEastAsia"/>
                <w:color w:val="000000"/>
                <w:szCs w:val="21"/>
              </w:rPr>
              <w:t>42,458,752.01</w:t>
            </w:r>
          </w:p>
        </w:tc>
      </w:tr>
      <w:tr w14:paraId="1E14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0698556F">
            <w:pPr>
              <w:rPr>
                <w:rFonts w:ascii="Arial Narrow" w:hAnsi="Arial Narrow" w:eastAsiaTheme="minorEastAsia"/>
                <w:szCs w:val="21"/>
              </w:rPr>
            </w:pPr>
            <w:r>
              <w:rPr>
                <w:rFonts w:ascii="Arial Narrow" w:hAnsi="Arial Narrow" w:eastAsiaTheme="minorEastAsia"/>
                <w:szCs w:val="21"/>
              </w:rPr>
              <w:t>应收账款</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1D123800">
            <w:pPr>
              <w:jc w:val="right"/>
              <w:rPr>
                <w:rFonts w:ascii="Arial Narrow" w:hAnsi="Arial Narrow" w:eastAsiaTheme="minorEastAsia"/>
                <w:szCs w:val="21"/>
              </w:rPr>
            </w:pPr>
            <w:r>
              <w:rPr>
                <w:rFonts w:ascii="Arial Narrow" w:hAnsi="Arial Narrow" w:eastAsiaTheme="minorEastAsia"/>
                <w:color w:val="000000"/>
                <w:szCs w:val="21"/>
              </w:rPr>
              <w:t>-</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5EFB2613">
            <w:pPr>
              <w:jc w:val="right"/>
              <w:rPr>
                <w:rFonts w:ascii="Arial Narrow" w:hAnsi="Arial Narrow" w:eastAsiaTheme="minorEastAsia"/>
                <w:szCs w:val="21"/>
              </w:rPr>
            </w:pPr>
            <w:r>
              <w:rPr>
                <w:rFonts w:ascii="Arial Narrow" w:hAnsi="Arial Narrow" w:eastAsiaTheme="minorEastAsia"/>
                <w:color w:val="000000"/>
                <w:szCs w:val="21"/>
              </w:rPr>
              <w:t>-</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63F08B14">
            <w:pPr>
              <w:jc w:val="right"/>
              <w:rPr>
                <w:rFonts w:ascii="Arial Narrow" w:hAnsi="Arial Narrow" w:eastAsiaTheme="minorEastAsia"/>
                <w:szCs w:val="21"/>
              </w:rPr>
            </w:pPr>
            <w:r>
              <w:rPr>
                <w:rFonts w:ascii="Arial Narrow" w:hAnsi="Arial Narrow" w:cs="Times New Roman" w:eastAsiaTheme="minorEastAsia"/>
                <w:color w:val="000000"/>
                <w:szCs w:val="21"/>
              </w:rPr>
              <w:t>148,060,682.59</w:t>
            </w:r>
          </w:p>
        </w:tc>
      </w:tr>
      <w:tr w14:paraId="7AD2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126CFCF8">
            <w:pPr>
              <w:rPr>
                <w:rFonts w:ascii="Arial Narrow" w:hAnsi="Arial Narrow" w:eastAsiaTheme="minorEastAsia"/>
                <w:szCs w:val="21"/>
              </w:rPr>
            </w:pPr>
            <w:r>
              <w:rPr>
                <w:rFonts w:ascii="Arial Narrow" w:hAnsi="Arial Narrow" w:eastAsiaTheme="minorEastAsia"/>
                <w:szCs w:val="21"/>
              </w:rPr>
              <w:t>其中：美元</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7A316B4A">
            <w:pPr>
              <w:jc w:val="right"/>
              <w:rPr>
                <w:rFonts w:ascii="Arial Narrow" w:hAnsi="Arial Narrow" w:eastAsiaTheme="minorEastAsia"/>
                <w:szCs w:val="21"/>
              </w:rPr>
            </w:pPr>
            <w:r>
              <w:rPr>
                <w:rFonts w:ascii="Arial Narrow" w:hAnsi="Arial Narrow" w:cs="Times New Roman" w:eastAsiaTheme="minorEastAsia"/>
                <w:color w:val="000000"/>
                <w:szCs w:val="21"/>
              </w:rPr>
              <w:t>20,499,730.17</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54EDF4BC">
            <w:pPr>
              <w:jc w:val="right"/>
              <w:rPr>
                <w:rFonts w:ascii="Arial Narrow" w:hAnsi="Arial Narrow" w:eastAsiaTheme="minorEastAsia"/>
                <w:szCs w:val="21"/>
              </w:rPr>
            </w:pPr>
            <w:r>
              <w:rPr>
                <w:rFonts w:ascii="Arial Narrow" w:hAnsi="Arial Narrow" w:cs="Times New Roman" w:eastAsiaTheme="minorEastAsia"/>
                <w:color w:val="000000"/>
                <w:szCs w:val="21"/>
              </w:rPr>
              <w:t>7.1884</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47D2BE11">
            <w:pPr>
              <w:jc w:val="right"/>
              <w:rPr>
                <w:rFonts w:ascii="Arial Narrow" w:hAnsi="Arial Narrow" w:eastAsiaTheme="minorEastAsia"/>
                <w:szCs w:val="21"/>
              </w:rPr>
            </w:pPr>
            <w:r>
              <w:rPr>
                <w:rFonts w:ascii="Arial Narrow" w:hAnsi="Arial Narrow" w:cs="Times New Roman" w:eastAsiaTheme="minorEastAsia"/>
                <w:color w:val="000000"/>
                <w:szCs w:val="21"/>
              </w:rPr>
              <w:t>147,360,260.35</w:t>
            </w:r>
          </w:p>
        </w:tc>
      </w:tr>
      <w:tr w14:paraId="76F3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shd w:val="clear" w:color="auto" w:fill="auto"/>
          </w:tcPr>
          <w:p w14:paraId="761F0045">
            <w:pPr>
              <w:rPr>
                <w:rFonts w:ascii="Arial Narrow" w:hAnsi="Arial Narrow" w:eastAsiaTheme="minorEastAsia"/>
                <w:szCs w:val="21"/>
              </w:rPr>
            </w:pPr>
            <w:r>
              <w:rPr>
                <w:rFonts w:ascii="Arial Narrow" w:hAnsi="Arial Narrow" w:eastAsiaTheme="minorEastAsia"/>
                <w:szCs w:val="21"/>
              </w:rPr>
              <w:t>　　　欧元</w:t>
            </w:r>
          </w:p>
        </w:tc>
        <w:tc>
          <w:tcPr>
            <w:tcW w:w="1132" w:type="pct"/>
            <w:tcBorders>
              <w:top w:val="single" w:color="auto" w:sz="4" w:space="0"/>
              <w:left w:val="single" w:color="auto" w:sz="4" w:space="0"/>
              <w:bottom w:val="single" w:color="auto" w:sz="4" w:space="0"/>
              <w:right w:val="single" w:color="auto" w:sz="4" w:space="0"/>
            </w:tcBorders>
            <w:shd w:val="clear" w:color="auto" w:fill="auto"/>
            <w:vAlign w:val="center"/>
          </w:tcPr>
          <w:p w14:paraId="1E5A3C4C">
            <w:pPr>
              <w:jc w:val="right"/>
              <w:rPr>
                <w:rFonts w:ascii="Arial Narrow" w:hAnsi="Arial Narrow" w:eastAsiaTheme="minorEastAsia"/>
                <w:szCs w:val="21"/>
              </w:rPr>
            </w:pPr>
            <w:r>
              <w:rPr>
                <w:rFonts w:ascii="Arial Narrow" w:hAnsi="Arial Narrow" w:cs="Times New Roman" w:eastAsiaTheme="minorEastAsia"/>
                <w:color w:val="000000"/>
                <w:szCs w:val="21"/>
              </w:rPr>
              <w:t>93,070.71</w:t>
            </w:r>
          </w:p>
        </w:tc>
        <w:tc>
          <w:tcPr>
            <w:tcW w:w="1137" w:type="pct"/>
            <w:tcBorders>
              <w:top w:val="single" w:color="auto" w:sz="4" w:space="0"/>
              <w:left w:val="single" w:color="auto" w:sz="4" w:space="0"/>
              <w:bottom w:val="single" w:color="auto" w:sz="4" w:space="0"/>
              <w:right w:val="single" w:color="auto" w:sz="4" w:space="0"/>
            </w:tcBorders>
            <w:shd w:val="clear" w:color="auto" w:fill="auto"/>
            <w:vAlign w:val="center"/>
          </w:tcPr>
          <w:p w14:paraId="06C7F260">
            <w:pPr>
              <w:jc w:val="right"/>
              <w:rPr>
                <w:rFonts w:ascii="Arial Narrow" w:hAnsi="Arial Narrow" w:eastAsiaTheme="minorEastAsia"/>
                <w:szCs w:val="21"/>
              </w:rPr>
            </w:pPr>
            <w:r>
              <w:rPr>
                <w:rFonts w:ascii="Arial Narrow" w:hAnsi="Arial Narrow" w:cs="Times New Roman" w:eastAsiaTheme="minorEastAsia"/>
                <w:color w:val="000000"/>
                <w:szCs w:val="21"/>
              </w:rPr>
              <w:t>7.5257</w:t>
            </w:r>
          </w:p>
        </w:tc>
        <w:tc>
          <w:tcPr>
            <w:tcW w:w="1130" w:type="pct"/>
            <w:tcBorders>
              <w:top w:val="single" w:color="auto" w:sz="4" w:space="0"/>
              <w:left w:val="single" w:color="auto" w:sz="4" w:space="0"/>
              <w:bottom w:val="single" w:color="auto" w:sz="4" w:space="0"/>
              <w:right w:val="single" w:color="auto" w:sz="4" w:space="0"/>
            </w:tcBorders>
            <w:shd w:val="clear" w:color="auto" w:fill="auto"/>
            <w:vAlign w:val="center"/>
          </w:tcPr>
          <w:p w14:paraId="3FA9FA48">
            <w:pPr>
              <w:jc w:val="right"/>
              <w:rPr>
                <w:rFonts w:ascii="Arial Narrow" w:hAnsi="Arial Narrow" w:eastAsiaTheme="minorEastAsia"/>
                <w:szCs w:val="21"/>
              </w:rPr>
            </w:pPr>
            <w:r>
              <w:rPr>
                <w:rFonts w:ascii="Arial Narrow" w:hAnsi="Arial Narrow" w:cs="Times New Roman" w:eastAsiaTheme="minorEastAsia"/>
                <w:color w:val="000000"/>
                <w:szCs w:val="21"/>
              </w:rPr>
              <w:t>700,422.24</w:t>
            </w:r>
          </w:p>
        </w:tc>
      </w:tr>
    </w:tbl>
    <w:p w14:paraId="6258A715">
      <w:pPr>
        <w:spacing w:before="60" w:after="60"/>
        <w:rPr>
          <w:rFonts w:hint="eastAsia"/>
          <w:szCs w:val="21"/>
        </w:rPr>
      </w:pPr>
      <w:r>
        <w:rPr>
          <w:rFonts w:hint="eastAsia"/>
          <w:szCs w:val="21"/>
        </w:rPr>
        <w:t>其他说明：</w:t>
      </w:r>
    </w:p>
    <w:sdt>
      <w:sdtPr>
        <w:rPr>
          <w:szCs w:val="21"/>
        </w:rPr>
        <w:alias w:val="外币货币性项目的其他说明"/>
        <w:tag w:val="_GBC_293dd519b8b44c699246ad508c51bbfd"/>
        <w:id w:val="1993130990"/>
        <w:placeholder>
          <w:docPart w:val="GBC22222222222222222222222222222"/>
        </w:placeholder>
      </w:sdtPr>
      <w:sdtEndPr>
        <w:rPr>
          <w:szCs w:val="21"/>
        </w:rPr>
      </w:sdtEndPr>
      <w:sdtContent>
        <w:p w14:paraId="7E0EC729">
          <w:pPr>
            <w:rPr>
              <w:rFonts w:hint="eastAsia"/>
              <w:szCs w:val="21"/>
            </w:rPr>
          </w:pPr>
          <w:r>
            <w:rPr>
              <w:rFonts w:hint="eastAsia"/>
              <w:szCs w:val="21"/>
            </w:rPr>
            <w:t>无</w:t>
          </w:r>
        </w:p>
      </w:sdtContent>
    </w:sdt>
    <w:p w14:paraId="17FB7DBD">
      <w:pPr>
        <w:rPr>
          <w:rFonts w:hint="eastAsia"/>
          <w:szCs w:val="21"/>
        </w:rPr>
      </w:pPr>
    </w:p>
    <w:p w14:paraId="2613694B">
      <w:pPr>
        <w:pStyle w:val="71"/>
        <w:numPr>
          <w:ilvl w:val="0"/>
          <w:numId w:val="151"/>
        </w:numPr>
        <w:ind w:left="426" w:hanging="426"/>
        <w:rPr>
          <w:rFonts w:hint="eastAsia" w:ascii="宋体" w:hAnsi="宋体"/>
          <w:b w:val="0"/>
          <w:szCs w:val="21"/>
        </w:rPr>
      </w:pPr>
      <w:r>
        <w:rPr>
          <w:rStyle w:val="103"/>
          <w:rFonts w:hint="eastAsia" w:ascii="宋体" w:hAnsi="宋体"/>
          <w:b/>
          <w:bCs w:val="0"/>
          <w:szCs w:val="21"/>
        </w:rPr>
        <w:t>境外经营实体说明，包括对于重要的境外经营实体，应披露其境外主要经营地、记账本位币及选择依据，记账本位币发生变化的还应披露原因</w:t>
      </w:r>
    </w:p>
    <w:p w14:paraId="51BB2D79">
      <w:pPr>
        <w:rPr>
          <w:rFonts w:hint="eastAsia"/>
          <w:szCs w:val="21"/>
        </w:rPr>
      </w:pPr>
      <w:sdt>
        <w:sdtPr>
          <w:rPr>
            <w:szCs w:val="21"/>
          </w:rPr>
          <w:alias w:val="是否适用：境外经营实体主要报表项目的折算汇率[双击切换]"/>
          <w:tag w:val="_GBC_c433d39e245c4fb79cd5170717bb5b9c"/>
          <w:id w:val="-559022980"/>
          <w:placeholder>
            <w:docPart w:val="GBC22222222222222222222222222222"/>
          </w:placeholder>
        </w:sdtPr>
        <w:sdtEndPr>
          <w:rPr>
            <w:szCs w:val="21"/>
          </w:rPr>
        </w:sdtEndPr>
        <w:sdtContent>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sdtContent>
      </w:sdt>
    </w:p>
    <w:sdt>
      <w:sdtPr>
        <w:rPr>
          <w:szCs w:val="21"/>
        </w:rPr>
        <w:alias w:val="境外经营实体主要报表项目的折算汇率"/>
        <w:tag w:val="_GBC_24ad08f8e8ec4d4db3f0bf80f7306c7e"/>
        <w:id w:val="2115938236"/>
        <w:placeholder>
          <w:docPart w:val="GBC22222222222222222222222222222"/>
        </w:placeholder>
      </w:sdtPr>
      <w:sdtEndPr>
        <w:rPr>
          <w:szCs w:val="21"/>
        </w:rPr>
      </w:sdtEndPr>
      <w:sdtContent>
        <w:p w14:paraId="720E1AA6">
          <w:pPr>
            <w:rPr>
              <w:rFonts w:hint="eastAsia"/>
              <w:szCs w:val="21"/>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701"/>
            <w:gridCol w:w="1802"/>
            <w:gridCol w:w="2206"/>
          </w:tblGrid>
          <w:tr w14:paraId="6D41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63C554F">
                <w:pPr>
                  <w:widowControl w:val="0"/>
                  <w:jc w:val="center"/>
                  <w:rPr>
                    <w:rFonts w:hint="eastAsia"/>
                    <w:szCs w:val="21"/>
                  </w:rPr>
                </w:pPr>
                <w:r>
                  <w:rPr>
                    <w:rFonts w:hint="eastAsia"/>
                    <w:color w:val="000000"/>
                    <w:szCs w:val="21"/>
                  </w:rPr>
                  <w:t>境外经营实体</w:t>
                </w:r>
              </w:p>
            </w:tc>
            <w:tc>
              <w:tcPr>
                <w:tcW w:w="1701" w:type="dxa"/>
                <w:vAlign w:val="center"/>
              </w:tcPr>
              <w:p w14:paraId="43A18699">
                <w:pPr>
                  <w:widowControl w:val="0"/>
                  <w:jc w:val="center"/>
                  <w:rPr>
                    <w:rFonts w:hint="eastAsia"/>
                    <w:szCs w:val="21"/>
                  </w:rPr>
                </w:pPr>
                <w:r>
                  <w:rPr>
                    <w:rFonts w:hint="eastAsia"/>
                    <w:color w:val="000000"/>
                    <w:szCs w:val="21"/>
                  </w:rPr>
                  <w:t>经营地</w:t>
                </w:r>
              </w:p>
            </w:tc>
            <w:tc>
              <w:tcPr>
                <w:tcW w:w="1802" w:type="dxa"/>
                <w:vAlign w:val="center"/>
              </w:tcPr>
              <w:p w14:paraId="26B57FB0">
                <w:pPr>
                  <w:widowControl w:val="0"/>
                  <w:jc w:val="center"/>
                  <w:rPr>
                    <w:rFonts w:hint="eastAsia"/>
                    <w:szCs w:val="21"/>
                  </w:rPr>
                </w:pPr>
                <w:r>
                  <w:rPr>
                    <w:rFonts w:hint="eastAsia"/>
                    <w:color w:val="000000"/>
                    <w:szCs w:val="21"/>
                  </w:rPr>
                  <w:t>记账本位币</w:t>
                </w:r>
              </w:p>
            </w:tc>
            <w:tc>
              <w:tcPr>
                <w:tcW w:w="2206" w:type="dxa"/>
                <w:vAlign w:val="center"/>
              </w:tcPr>
              <w:p w14:paraId="1BF05031">
                <w:pPr>
                  <w:widowControl w:val="0"/>
                  <w:jc w:val="center"/>
                  <w:rPr>
                    <w:rFonts w:hint="eastAsia"/>
                    <w:szCs w:val="21"/>
                  </w:rPr>
                </w:pPr>
                <w:r>
                  <w:rPr>
                    <w:rFonts w:hint="eastAsia"/>
                    <w:color w:val="000000"/>
                    <w:szCs w:val="21"/>
                  </w:rPr>
                  <w:t>记账本位币选择依据</w:t>
                </w:r>
              </w:p>
            </w:tc>
          </w:tr>
          <w:tr w14:paraId="2505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774FD27C">
                <w:pPr>
                  <w:widowControl w:val="0"/>
                  <w:jc w:val="center"/>
                  <w:rPr>
                    <w:rFonts w:hint="eastAsia"/>
                    <w:szCs w:val="21"/>
                  </w:rPr>
                </w:pPr>
                <w:r>
                  <w:rPr>
                    <w:rFonts w:hint="eastAsia"/>
                    <w:color w:val="000000"/>
                    <w:szCs w:val="21"/>
                  </w:rPr>
                  <w:t>际华海外投资有限公司</w:t>
                </w:r>
              </w:p>
            </w:tc>
            <w:tc>
              <w:tcPr>
                <w:tcW w:w="1701" w:type="dxa"/>
                <w:vAlign w:val="center"/>
              </w:tcPr>
              <w:p w14:paraId="4C4AE17F">
                <w:pPr>
                  <w:widowControl w:val="0"/>
                  <w:jc w:val="center"/>
                  <w:rPr>
                    <w:rFonts w:hint="eastAsia"/>
                    <w:szCs w:val="21"/>
                  </w:rPr>
                </w:pPr>
                <w:r>
                  <w:rPr>
                    <w:rFonts w:hint="eastAsia"/>
                    <w:color w:val="000000"/>
                    <w:szCs w:val="21"/>
                  </w:rPr>
                  <w:t>北京市</w:t>
                </w:r>
              </w:p>
            </w:tc>
            <w:tc>
              <w:tcPr>
                <w:tcW w:w="1802" w:type="dxa"/>
                <w:vAlign w:val="center"/>
              </w:tcPr>
              <w:p w14:paraId="6FB9A81D">
                <w:pPr>
                  <w:widowControl w:val="0"/>
                  <w:jc w:val="center"/>
                  <w:rPr>
                    <w:rFonts w:hint="eastAsia"/>
                    <w:szCs w:val="21"/>
                  </w:rPr>
                </w:pPr>
                <w:r>
                  <w:rPr>
                    <w:rFonts w:hint="eastAsia"/>
                    <w:color w:val="000000"/>
                    <w:szCs w:val="21"/>
                  </w:rPr>
                  <w:t>欧元</w:t>
                </w:r>
              </w:p>
            </w:tc>
            <w:tc>
              <w:tcPr>
                <w:tcW w:w="2206" w:type="dxa"/>
                <w:vAlign w:val="center"/>
              </w:tcPr>
              <w:p w14:paraId="40735EB7">
                <w:pPr>
                  <w:widowControl w:val="0"/>
                  <w:jc w:val="center"/>
                  <w:rPr>
                    <w:rFonts w:hint="eastAsia"/>
                    <w:szCs w:val="21"/>
                  </w:rPr>
                </w:pPr>
                <w:r>
                  <w:rPr>
                    <w:rFonts w:hint="eastAsia"/>
                    <w:color w:val="000000"/>
                    <w:szCs w:val="21"/>
                  </w:rPr>
                  <w:t>主要结算货币</w:t>
                </w:r>
              </w:p>
            </w:tc>
          </w:tr>
        </w:tbl>
        <w:p w14:paraId="14CC62E3">
          <w:pPr>
            <w:rPr>
              <w:rFonts w:hint="eastAsia"/>
              <w:szCs w:val="21"/>
            </w:rPr>
          </w:pPr>
        </w:p>
      </w:sdtContent>
    </w:sdt>
    <w:p w14:paraId="7FFA4F77">
      <w:pPr>
        <w:rPr>
          <w:rFonts w:hint="eastAsia"/>
        </w:rPr>
      </w:pPr>
    </w:p>
    <w:p w14:paraId="40C7807E">
      <w:pPr>
        <w:pStyle w:val="70"/>
        <w:numPr>
          <w:ilvl w:val="0"/>
          <w:numId w:val="109"/>
        </w:numPr>
        <w:rPr>
          <w:szCs w:val="21"/>
        </w:rPr>
      </w:pPr>
      <w:r>
        <w:rPr>
          <w:szCs w:val="21"/>
        </w:rPr>
        <w:t>租赁</w:t>
      </w:r>
    </w:p>
    <w:p w14:paraId="409929C8">
      <w:pPr>
        <w:pStyle w:val="71"/>
        <w:numPr>
          <w:ilvl w:val="0"/>
          <w:numId w:val="152"/>
        </w:numPr>
        <w:ind w:left="0" w:firstLine="0"/>
        <w:rPr>
          <w:rFonts w:hint="eastAsia"/>
        </w:rPr>
      </w:pPr>
      <w:r>
        <w:t>作为承租人</w:t>
      </w:r>
    </w:p>
    <w:sdt>
      <w:sdtPr>
        <w:alias w:val="是否适用：作为承租人[双击切换]"/>
        <w:tag w:val="_GBC_fe311ebf6010457c8817199183148161"/>
        <w:id w:val="665216436"/>
        <w:lock w:val="contentLocked"/>
        <w:placeholder>
          <w:docPart w:val="GBC22222222222222222222222222222"/>
        </w:placeholder>
      </w:sdtPr>
      <w:sdtContent>
        <w:p w14:paraId="4EE4A67C">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D3D22B">
      <w:pPr>
        <w:rPr>
          <w:rFonts w:hint="eastAsia"/>
        </w:rPr>
      </w:pPr>
    </w:p>
    <w:p w14:paraId="3D327D69">
      <w:pPr>
        <w:rPr>
          <w:rFonts w:hint="eastAsia"/>
        </w:rPr>
      </w:pPr>
      <w:r>
        <w:rPr>
          <w:rFonts w:hint="eastAsia"/>
        </w:rPr>
        <w:t>未纳入租赁负债计量的可变租赁付款额</w:t>
      </w:r>
    </w:p>
    <w:sdt>
      <w:sdtPr>
        <w:alias w:val="是否适用：未纳入租赁负债计量的可变租赁付款额[双击切换]"/>
        <w:tag w:val="_GBC_80d6a089e2ee407391cb1582a957568e"/>
        <w:id w:val="214165778"/>
        <w:placeholder>
          <w:docPart w:val="GBC22222222222222222222222222222"/>
        </w:placeholder>
      </w:sdtPr>
      <w:sdtContent>
        <w:p w14:paraId="45A33D9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27FC5D2">
      <w:pPr>
        <w:rPr>
          <w:rFonts w:hint="eastAsia"/>
        </w:rPr>
      </w:pPr>
    </w:p>
    <w:p w14:paraId="1AD4C097">
      <w:pPr>
        <w:rPr>
          <w:rFonts w:hint="eastAsia"/>
        </w:rPr>
      </w:pPr>
      <w:r>
        <w:rPr>
          <w:rFonts w:hint="eastAsia"/>
        </w:rPr>
        <w:t>简化处理的短期租赁或低价值资产的租赁费用</w:t>
      </w:r>
    </w:p>
    <w:sdt>
      <w:sdtPr>
        <w:alias w:val="是否适用：简化处理的短期租赁或低价值资产的租赁费用[双击切换]"/>
        <w:tag w:val="_GBC_9750a0f7bb7b4d4eb353b64f9aef7ed1"/>
        <w:id w:val="-1545055710"/>
        <w:placeholder>
          <w:docPart w:val="GBC22222222222222222222222222222"/>
        </w:placeholder>
      </w:sdtPr>
      <w:sdtContent>
        <w:p w14:paraId="6EED1647">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kern w:val="0"/>
          <w:szCs w:val="24"/>
        </w:rPr>
        <w:alias w:val="简化处理的短期租赁或低价值资产的租赁费用"/>
        <w:tag w:val="_GBC_3b8234b2706245babde4cf12e0a046e4"/>
        <w:id w:val="1159651756"/>
        <w:lock w:val="sdtLocked"/>
        <w:placeholder>
          <w:docPart w:val="GBC22222222222222222222222222222"/>
        </w:placeholder>
      </w:sdtPr>
      <w:sdtEndPr>
        <w:rPr>
          <w:rFonts w:ascii="宋体" w:hAnsi="宋体" w:cs="宋体"/>
          <w:kern w:val="0"/>
          <w:szCs w:val="24"/>
        </w:rPr>
      </w:sdtEndPr>
      <w:sdtContent>
        <w:p w14:paraId="59F2A449">
          <w:pPr>
            <w:pStyle w:val="44"/>
            <w:ind w:left="420" w:firstLine="0" w:firstLineChars="0"/>
            <w:jc w:val="right"/>
            <w:rPr>
              <w:szCs w:val="21"/>
            </w:rPr>
          </w:pPr>
          <w:r>
            <w:rPr>
              <w:rFonts w:hint="eastAsia"/>
              <w:szCs w:val="21"/>
            </w:rPr>
            <w:t>单位：</w:t>
          </w:r>
          <w:sdt>
            <w:sdtPr>
              <w:rPr>
                <w:rFonts w:hint="eastAsia"/>
                <w:szCs w:val="21"/>
              </w:rPr>
              <w:alias w:val="单位：研发费用"/>
              <w:tag w:val="_GBC_cf8eb084313b4a1daa3dbb7d47c6cc60"/>
              <w:id w:val="938646104"/>
              <w:placeholder>
                <w:docPart w:val="0CC132D03074442B8EF34A5D9011BE9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研发费用"/>
              <w:tag w:val="_GBC_572bef247e4247e09454933a69c36e65"/>
              <w:id w:val="1909732956"/>
              <w:placeholder>
                <w:docPart w:val="0CC132D03074442B8EF34A5D9011BE9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1"/>
            <w:gridCol w:w="2941"/>
            <w:gridCol w:w="2941"/>
          </w:tblGrid>
          <w:tr w14:paraId="5523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F31DD97">
                <w:pPr>
                  <w:widowControl w:val="0"/>
                  <w:jc w:val="center"/>
                  <w:rPr>
                    <w:rFonts w:ascii="Arial Narrow" w:hAnsi="Arial Narrow" w:eastAsiaTheme="minorEastAsia"/>
                    <w:szCs w:val="21"/>
                  </w:rPr>
                </w:pPr>
                <w:r>
                  <w:rPr>
                    <w:rFonts w:ascii="Arial Narrow" w:hAnsi="Arial Narrow" w:eastAsiaTheme="minorEastAsia"/>
                    <w:color w:val="000000"/>
                    <w:szCs w:val="21"/>
                  </w:rPr>
                  <w:t>项目</w:t>
                </w:r>
              </w:p>
            </w:tc>
            <w:tc>
              <w:tcPr>
                <w:tcW w:w="2941" w:type="dxa"/>
                <w:vAlign w:val="center"/>
              </w:tcPr>
              <w:p w14:paraId="470ECEB5">
                <w:pPr>
                  <w:widowControl w:val="0"/>
                  <w:jc w:val="center"/>
                  <w:rPr>
                    <w:rFonts w:ascii="Arial Narrow" w:hAnsi="Arial Narrow" w:eastAsiaTheme="minorEastAsia"/>
                    <w:szCs w:val="21"/>
                  </w:rPr>
                </w:pPr>
                <w:r>
                  <w:rPr>
                    <w:rFonts w:ascii="Arial Narrow" w:hAnsi="Arial Narrow" w:eastAsiaTheme="minorEastAsia"/>
                    <w:color w:val="000000"/>
                    <w:szCs w:val="21"/>
                  </w:rPr>
                  <w:t>本期发生额</w:t>
                </w:r>
              </w:p>
            </w:tc>
            <w:tc>
              <w:tcPr>
                <w:tcW w:w="2941" w:type="dxa"/>
                <w:vAlign w:val="center"/>
              </w:tcPr>
              <w:p w14:paraId="1E1CE254">
                <w:pPr>
                  <w:widowControl w:val="0"/>
                  <w:jc w:val="center"/>
                  <w:rPr>
                    <w:rFonts w:ascii="Arial Narrow" w:hAnsi="Arial Narrow" w:eastAsiaTheme="minorEastAsia"/>
                    <w:szCs w:val="21"/>
                  </w:rPr>
                </w:pPr>
                <w:r>
                  <w:rPr>
                    <w:rFonts w:ascii="Arial Narrow" w:hAnsi="Arial Narrow" w:eastAsiaTheme="minorEastAsia"/>
                    <w:color w:val="000000"/>
                    <w:szCs w:val="21"/>
                  </w:rPr>
                  <w:t>上期发生额</w:t>
                </w:r>
              </w:p>
            </w:tc>
          </w:tr>
          <w:tr w14:paraId="4BA9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AE22BE2">
                <w:pPr>
                  <w:widowControl w:val="0"/>
                  <w:jc w:val="both"/>
                  <w:rPr>
                    <w:rFonts w:ascii="Arial Narrow" w:hAnsi="Arial Narrow" w:eastAsiaTheme="minorEastAsia"/>
                    <w:szCs w:val="21"/>
                  </w:rPr>
                </w:pPr>
                <w:r>
                  <w:rPr>
                    <w:rFonts w:ascii="Arial Narrow" w:hAnsi="Arial Narrow" w:eastAsiaTheme="minorEastAsia"/>
                    <w:color w:val="000000"/>
                    <w:szCs w:val="21"/>
                  </w:rPr>
                  <w:t>租赁负债的利息</w:t>
                </w:r>
              </w:p>
            </w:tc>
            <w:tc>
              <w:tcPr>
                <w:tcW w:w="2941" w:type="dxa"/>
                <w:vAlign w:val="center"/>
              </w:tcPr>
              <w:p w14:paraId="61BA5C42">
                <w:pPr>
                  <w:widowControl w:val="0"/>
                  <w:jc w:val="right"/>
                  <w:rPr>
                    <w:rFonts w:ascii="Arial Narrow" w:hAnsi="Arial Narrow" w:eastAsiaTheme="minorEastAsia"/>
                    <w:szCs w:val="21"/>
                  </w:rPr>
                </w:pPr>
                <w:r>
                  <w:rPr>
                    <w:rFonts w:ascii="Arial Narrow" w:hAnsi="Arial Narrow" w:eastAsiaTheme="minorEastAsia"/>
                    <w:color w:val="000000"/>
                    <w:szCs w:val="21"/>
                  </w:rPr>
                  <w:t>808,052.76</w:t>
                </w:r>
              </w:p>
            </w:tc>
            <w:tc>
              <w:tcPr>
                <w:tcW w:w="2941" w:type="dxa"/>
                <w:vAlign w:val="center"/>
              </w:tcPr>
              <w:p w14:paraId="4572440A">
                <w:pPr>
                  <w:widowControl w:val="0"/>
                  <w:jc w:val="right"/>
                  <w:rPr>
                    <w:rFonts w:ascii="Arial Narrow" w:hAnsi="Arial Narrow" w:eastAsiaTheme="minorEastAsia"/>
                    <w:szCs w:val="21"/>
                  </w:rPr>
                </w:pPr>
                <w:r>
                  <w:rPr>
                    <w:rFonts w:ascii="Arial Narrow" w:hAnsi="Arial Narrow" w:eastAsiaTheme="minorEastAsia"/>
                    <w:color w:val="000000"/>
                    <w:szCs w:val="21"/>
                  </w:rPr>
                  <w:t>1,361,180.36</w:t>
                </w:r>
              </w:p>
            </w:tc>
          </w:tr>
          <w:tr w14:paraId="0BA9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12747A3B">
                <w:pPr>
                  <w:widowControl w:val="0"/>
                  <w:jc w:val="both"/>
                  <w:rPr>
                    <w:rFonts w:ascii="Arial Narrow" w:hAnsi="Arial Narrow" w:eastAsiaTheme="minorEastAsia"/>
                    <w:szCs w:val="21"/>
                  </w:rPr>
                </w:pPr>
                <w:r>
                  <w:rPr>
                    <w:rFonts w:ascii="Arial Narrow" w:hAnsi="Arial Narrow" w:eastAsiaTheme="minorEastAsia"/>
                    <w:color w:val="000000"/>
                    <w:szCs w:val="21"/>
                  </w:rPr>
                  <w:t>短期租赁费用</w:t>
                </w:r>
              </w:p>
            </w:tc>
            <w:tc>
              <w:tcPr>
                <w:tcW w:w="2941" w:type="dxa"/>
                <w:vAlign w:val="center"/>
              </w:tcPr>
              <w:p w14:paraId="1981E96D">
                <w:pPr>
                  <w:widowControl w:val="0"/>
                  <w:jc w:val="right"/>
                  <w:rPr>
                    <w:rFonts w:ascii="Arial Narrow" w:hAnsi="Arial Narrow" w:eastAsiaTheme="minorEastAsia"/>
                    <w:szCs w:val="21"/>
                  </w:rPr>
                </w:pPr>
                <w:r>
                  <w:rPr>
                    <w:rFonts w:ascii="Arial Narrow" w:hAnsi="Arial Narrow" w:eastAsiaTheme="minorEastAsia"/>
                    <w:color w:val="000000"/>
                    <w:szCs w:val="21"/>
                  </w:rPr>
                  <w:t>33,542,218.12</w:t>
                </w:r>
              </w:p>
            </w:tc>
            <w:tc>
              <w:tcPr>
                <w:tcW w:w="2941" w:type="dxa"/>
                <w:vAlign w:val="center"/>
              </w:tcPr>
              <w:p w14:paraId="27E4B2B9">
                <w:pPr>
                  <w:widowControl w:val="0"/>
                  <w:jc w:val="right"/>
                  <w:rPr>
                    <w:rFonts w:ascii="Arial Narrow" w:hAnsi="Arial Narrow" w:eastAsiaTheme="minorEastAsia"/>
                    <w:szCs w:val="21"/>
                  </w:rPr>
                </w:pPr>
                <w:r>
                  <w:rPr>
                    <w:rFonts w:ascii="Arial Narrow" w:hAnsi="Arial Narrow" w:eastAsiaTheme="minorEastAsia"/>
                    <w:color w:val="000000"/>
                    <w:szCs w:val="21"/>
                  </w:rPr>
                  <w:t>32,980,579.28</w:t>
                </w:r>
              </w:p>
            </w:tc>
          </w:tr>
          <w:tr w14:paraId="7675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5BC0D9B6">
                <w:pPr>
                  <w:widowControl w:val="0"/>
                  <w:jc w:val="both"/>
                  <w:rPr>
                    <w:rFonts w:ascii="Arial Narrow" w:hAnsi="Arial Narrow" w:eastAsiaTheme="minorEastAsia"/>
                    <w:szCs w:val="21"/>
                  </w:rPr>
                </w:pPr>
                <w:r>
                  <w:rPr>
                    <w:rFonts w:ascii="Arial Narrow" w:hAnsi="Arial Narrow" w:eastAsiaTheme="minorEastAsia"/>
                    <w:color w:val="000000"/>
                    <w:szCs w:val="21"/>
                  </w:rPr>
                  <w:t>低价值资产租赁费用</w:t>
                </w:r>
              </w:p>
            </w:tc>
            <w:tc>
              <w:tcPr>
                <w:tcW w:w="2941" w:type="dxa"/>
                <w:vAlign w:val="center"/>
              </w:tcPr>
              <w:p w14:paraId="106D0BF6">
                <w:pPr>
                  <w:widowControl w:val="0"/>
                  <w:jc w:val="right"/>
                  <w:rPr>
                    <w:rFonts w:ascii="Arial Narrow" w:hAnsi="Arial Narrow" w:eastAsiaTheme="minorEastAsia"/>
                    <w:szCs w:val="21"/>
                  </w:rPr>
                </w:pPr>
                <w:r>
                  <w:rPr>
                    <w:rFonts w:ascii="Arial Narrow" w:hAnsi="Arial Narrow" w:eastAsiaTheme="minorEastAsia"/>
                    <w:color w:val="000000"/>
                    <w:szCs w:val="21"/>
                  </w:rPr>
                  <w:t>404,420.57</w:t>
                </w:r>
              </w:p>
            </w:tc>
            <w:tc>
              <w:tcPr>
                <w:tcW w:w="2941" w:type="dxa"/>
                <w:vAlign w:val="center"/>
              </w:tcPr>
              <w:p w14:paraId="4270A4F9">
                <w:pPr>
                  <w:widowControl w:val="0"/>
                  <w:jc w:val="right"/>
                  <w:rPr>
                    <w:rFonts w:ascii="Arial Narrow" w:hAnsi="Arial Narrow" w:eastAsiaTheme="minorEastAsia"/>
                    <w:szCs w:val="21"/>
                  </w:rPr>
                </w:pPr>
                <w:r>
                  <w:rPr>
                    <w:rFonts w:ascii="Arial Narrow" w:hAnsi="Arial Narrow" w:eastAsiaTheme="minorEastAsia"/>
                    <w:color w:val="000000"/>
                    <w:szCs w:val="21"/>
                  </w:rPr>
                  <w:t>186,348.60</w:t>
                </w:r>
              </w:p>
            </w:tc>
          </w:tr>
        </w:tbl>
        <w:p w14:paraId="187C8F31">
          <w:pPr>
            <w:rPr>
              <w:rFonts w:hint="eastAsia"/>
            </w:rPr>
          </w:pPr>
        </w:p>
      </w:sdtContent>
    </w:sdt>
    <w:p w14:paraId="7D8E05C4">
      <w:pPr>
        <w:rPr>
          <w:rFonts w:hint="eastAsia"/>
        </w:rPr>
      </w:pPr>
    </w:p>
    <w:p w14:paraId="4C802E88">
      <w:pPr>
        <w:rPr>
          <w:rFonts w:hint="eastAsia"/>
        </w:rPr>
      </w:pPr>
      <w:r>
        <w:rPr>
          <w:rFonts w:hint="eastAsia"/>
        </w:rPr>
        <w:t>售后租回交易及判断依据</w:t>
      </w:r>
    </w:p>
    <w:sdt>
      <w:sdtPr>
        <w:alias w:val="是否适用：售后租回交易及判断依据[双击切换]"/>
        <w:tag w:val="_GBC_a5dfb8e554434d8eb3f4c59e01e27ea4"/>
        <w:id w:val="-248113892"/>
        <w:placeholder>
          <w:docPart w:val="GBC22222222222222222222222222222"/>
        </w:placeholder>
      </w:sdtPr>
      <w:sdtContent>
        <w:p w14:paraId="6AF4BF0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A506C7E">
      <w:pPr>
        <w:rPr>
          <w:rFonts w:hint="eastAsia"/>
        </w:rPr>
      </w:pPr>
    </w:p>
    <w:p w14:paraId="0A5F039B">
      <w:pPr>
        <w:rPr>
          <w:rFonts w:hint="eastAsia"/>
        </w:rPr>
      </w:pPr>
      <w:r>
        <w:rPr>
          <w:rFonts w:hint="eastAsia"/>
        </w:rPr>
        <w:t>与租赁相关的现金流出总额</w:t>
      </w:r>
      <w:sdt>
        <w:sdtPr>
          <w:rPr>
            <w:rFonts w:hint="eastAsia"/>
          </w:rPr>
          <w:alias w:val="与租赁相关的现金流出总额"/>
          <w:tag w:val="_GBC_c17023cf7ca74e9a8636a8f592034a57"/>
          <w:id w:val="-1369211233"/>
          <w:placeholder>
            <w:docPart w:val="GBC22222222222222222222222222222"/>
          </w:placeholder>
        </w:sdtPr>
        <w:sdtEndPr>
          <w:rPr>
            <w:rFonts w:hint="eastAsia"/>
          </w:rPr>
        </w:sdtEndPr>
        <w:sdtContent>
          <w:r>
            <w:rPr>
              <w:rFonts w:hint="eastAsia"/>
            </w:rPr>
            <w:t>29,124,145.60</w:t>
          </w:r>
        </w:sdtContent>
      </w:sdt>
      <w:r>
        <w:rPr>
          <w:rFonts w:hint="eastAsia"/>
        </w:rPr>
        <w:t>(单位：</w:t>
      </w:r>
      <w:sdt>
        <w:sdtPr>
          <w:rPr>
            <w:rFonts w:hint="eastAsia"/>
          </w:rPr>
          <w:alias w:val="单位：与租赁相关的现金流出总额"/>
          <w:tag w:val="_GBC_958c18bfb6e24086971643691eba660d"/>
          <w:id w:val="6175971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与租赁相关的现金流出总额"/>
          <w:tag w:val="_GBC_fca975f845d34a26bdc9764887518796"/>
          <w:id w:val="14895190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r>
        <w:rPr>
          <w:rFonts w:hint="eastAsia"/>
        </w:rPr>
        <w:t>)</w:t>
      </w:r>
    </w:p>
    <w:p w14:paraId="7A19FF03">
      <w:pPr>
        <w:rPr>
          <w:rFonts w:hint="eastAsia"/>
        </w:rPr>
      </w:pPr>
    </w:p>
    <w:p w14:paraId="52590EA6">
      <w:pPr>
        <w:pStyle w:val="71"/>
        <w:numPr>
          <w:ilvl w:val="0"/>
          <w:numId w:val="152"/>
        </w:numPr>
        <w:ind w:left="0" w:firstLine="0"/>
        <w:rPr>
          <w:rFonts w:hint="eastAsia"/>
        </w:rPr>
      </w:pPr>
      <w:r>
        <w:t>作为出租人</w:t>
      </w:r>
    </w:p>
    <w:p w14:paraId="3D93DA2F">
      <w:pPr>
        <w:rPr>
          <w:rFonts w:hint="eastAsia"/>
        </w:rPr>
      </w:pPr>
      <w:r>
        <w:t>作为出租人的经营</w:t>
      </w:r>
      <w:r>
        <w:rPr>
          <w:rFonts w:hint="eastAsia"/>
        </w:rPr>
        <w:t>租赁</w:t>
      </w:r>
    </w:p>
    <w:sdt>
      <w:sdtPr>
        <w:rPr>
          <w:rFonts w:hint="eastAsia"/>
        </w:rPr>
        <w:alias w:val="是否适用：作为出租人的经营租赁[双击切换]"/>
        <w:tag w:val="_GBC_d5cd3a4b291f4a089f0080385207b552"/>
        <w:id w:val="306365620"/>
        <w:placeholder>
          <w:docPart w:val="GBC22222222222222222222222222222"/>
        </w:placeholder>
      </w:sdtPr>
      <w:sdtEndPr>
        <w:rPr>
          <w:rFonts w:hint="eastAsia"/>
        </w:rPr>
      </w:sdtEndPr>
      <w:sdtContent>
        <w:p w14:paraId="6C261BC8">
          <w:pPr>
            <w:rPr>
              <w:rFonts w:hint="eastAsia"/>
            </w:rPr>
          </w:pPr>
          <w:r>
            <w:fldChar w:fldCharType="begin"/>
          </w:r>
          <w:r>
            <w:instrText xml:space="preserve"> </w:instrText>
          </w:r>
          <w:r>
            <w:rPr>
              <w:rFonts w:hint="eastAsia"/>
            </w:rPr>
            <w:instrText xml:space="preserve">MACROBUTTON  SnrToggleCheckbox √适用</w:instrText>
          </w:r>
          <w:r>
            <w:instrText xml:space="preserve"> </w:instrText>
          </w:r>
          <w:r>
            <w:fldChar w:fldCharType="end"/>
          </w:r>
          <w:r>
            <w:fldChar w:fldCharType="begin"/>
          </w:r>
          <w:r>
            <w:instrText xml:space="preserve"> MACROBUTTON  SnrToggleCheckbox □不适用 </w:instrText>
          </w:r>
          <w:r>
            <w:fldChar w:fldCharType="end"/>
          </w:r>
        </w:p>
      </w:sdtContent>
    </w:sdt>
    <w:p w14:paraId="0D04B847">
      <w:pPr>
        <w:jc w:val="right"/>
        <w:rPr>
          <w:rFonts w:hint="eastAsia"/>
        </w:rPr>
      </w:pPr>
      <w:r>
        <w:rPr>
          <w:rFonts w:hint="eastAsia"/>
        </w:rPr>
        <w:t>单位：</w:t>
      </w:r>
      <w:sdt>
        <w:sdtPr>
          <w:rPr>
            <w:rFonts w:hint="eastAsia"/>
          </w:rPr>
          <w:alias w:val="单位：作为出租人的经营租赁"/>
          <w:tag w:val="_GBC_33154e0a2b6b4de1ba1d9ac25d94b964"/>
          <w:id w:val="-187583631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作为出租人的经营租赁"/>
          <w:tag w:val="_GBC_74d27fbc036640eebacb9f62324bdfd2"/>
          <w:id w:val="-10712747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3"/>
        <w:gridCol w:w="2160"/>
      </w:tblGrid>
      <w:tr w14:paraId="52F2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00ecb26a541b4476ae397f9dc938c006"/>
            <w:id w:val="1649556360"/>
          </w:sdtPr>
          <w:sdtEndPr>
            <w:rPr>
              <w:rFonts w:ascii="Arial Narrow" w:hAnsi="Arial Narrow" w:eastAsiaTheme="minorEastAsia"/>
              <w:szCs w:val="21"/>
            </w:rPr>
          </w:sdtEndPr>
          <w:sdtContent>
            <w:tc>
              <w:tcPr>
                <w:tcW w:w="3776" w:type="pct"/>
                <w:shd w:val="clear" w:color="auto" w:fill="auto"/>
                <w:vAlign w:val="center"/>
              </w:tcPr>
              <w:p w14:paraId="6D8683F3">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96216f0f4e664412a0e5e854a957fa35"/>
            <w:id w:val="627438238"/>
          </w:sdtPr>
          <w:sdtEndPr>
            <w:rPr>
              <w:rFonts w:ascii="Arial Narrow" w:hAnsi="Arial Narrow" w:eastAsiaTheme="minorEastAsia"/>
              <w:szCs w:val="21"/>
            </w:rPr>
          </w:sdtEndPr>
          <w:sdtContent>
            <w:tc>
              <w:tcPr>
                <w:tcW w:w="1224" w:type="pct"/>
                <w:shd w:val="clear" w:color="auto" w:fill="auto"/>
                <w:vAlign w:val="center"/>
              </w:tcPr>
              <w:p w14:paraId="5C80F1AB">
                <w:pPr>
                  <w:jc w:val="center"/>
                  <w:rPr>
                    <w:rFonts w:ascii="Arial Narrow" w:hAnsi="Arial Narrow" w:eastAsiaTheme="minorEastAsia"/>
                    <w:szCs w:val="21"/>
                  </w:rPr>
                </w:pPr>
                <w:r>
                  <w:rPr>
                    <w:rFonts w:ascii="Arial Narrow" w:hAnsi="Arial Narrow" w:eastAsiaTheme="minorEastAsia"/>
                    <w:szCs w:val="21"/>
                  </w:rPr>
                  <w:t>租赁收入</w:t>
                </w:r>
              </w:p>
            </w:tc>
          </w:sdtContent>
        </w:sdt>
      </w:tr>
      <w:tr w14:paraId="5C6C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32554038">
            <w:pPr>
              <w:rPr>
                <w:rFonts w:ascii="Arial Narrow" w:hAnsi="Arial Narrow" w:eastAsiaTheme="minorEastAsia"/>
                <w:szCs w:val="21"/>
              </w:rPr>
            </w:pPr>
            <w:r>
              <w:rPr>
                <w:rFonts w:ascii="Arial Narrow" w:hAnsi="Arial Narrow" w:eastAsiaTheme="minorEastAsia"/>
                <w:szCs w:val="21"/>
              </w:rPr>
              <w:t>际华三五零二职业装有限公司房屋及建筑物租赁</w:t>
            </w:r>
          </w:p>
        </w:tc>
        <w:tc>
          <w:tcPr>
            <w:tcW w:w="1224" w:type="pct"/>
            <w:shd w:val="clear" w:color="auto" w:fill="auto"/>
            <w:vAlign w:val="center"/>
          </w:tcPr>
          <w:p w14:paraId="0B8D7E43">
            <w:pPr>
              <w:jc w:val="right"/>
              <w:rPr>
                <w:rFonts w:ascii="Arial Narrow" w:hAnsi="Arial Narrow" w:eastAsiaTheme="minorEastAsia"/>
                <w:szCs w:val="21"/>
              </w:rPr>
            </w:pPr>
            <w:r>
              <w:rPr>
                <w:rFonts w:ascii="Arial Narrow" w:hAnsi="Arial Narrow" w:eastAsiaTheme="minorEastAsia"/>
                <w:color w:val="000000"/>
                <w:szCs w:val="21"/>
              </w:rPr>
              <w:t xml:space="preserve"> 2,425,797.73 </w:t>
            </w:r>
          </w:p>
        </w:tc>
      </w:tr>
      <w:tr w14:paraId="40AA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28EBAB8">
            <w:pPr>
              <w:rPr>
                <w:rFonts w:ascii="Arial Narrow" w:hAnsi="Arial Narrow" w:eastAsiaTheme="minorEastAsia"/>
                <w:szCs w:val="21"/>
              </w:rPr>
            </w:pPr>
            <w:r>
              <w:rPr>
                <w:rFonts w:ascii="Arial Narrow" w:hAnsi="Arial Narrow" w:eastAsiaTheme="minorEastAsia"/>
                <w:szCs w:val="21"/>
              </w:rPr>
              <w:t>南京际华三五〇三服装有限公司房屋及建筑物租赁</w:t>
            </w:r>
          </w:p>
        </w:tc>
        <w:tc>
          <w:tcPr>
            <w:tcW w:w="1224" w:type="pct"/>
            <w:shd w:val="clear" w:color="auto" w:fill="auto"/>
            <w:vAlign w:val="center"/>
          </w:tcPr>
          <w:p w14:paraId="489E1370">
            <w:pPr>
              <w:jc w:val="right"/>
              <w:rPr>
                <w:rFonts w:ascii="Arial Narrow" w:hAnsi="Arial Narrow" w:eastAsiaTheme="minorEastAsia"/>
                <w:szCs w:val="21"/>
              </w:rPr>
            </w:pPr>
            <w:r>
              <w:rPr>
                <w:rFonts w:ascii="Arial Narrow" w:hAnsi="Arial Narrow" w:eastAsiaTheme="minorEastAsia"/>
                <w:color w:val="000000"/>
                <w:szCs w:val="21"/>
              </w:rPr>
              <w:t xml:space="preserve"> 1,469,724.80 </w:t>
            </w:r>
          </w:p>
        </w:tc>
      </w:tr>
      <w:tr w14:paraId="1B26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600BB555">
            <w:pPr>
              <w:rPr>
                <w:rFonts w:ascii="Arial Narrow" w:hAnsi="Arial Narrow" w:eastAsiaTheme="minorEastAsia"/>
                <w:szCs w:val="21"/>
              </w:rPr>
            </w:pPr>
            <w:r>
              <w:rPr>
                <w:rFonts w:ascii="Arial Narrow" w:hAnsi="Arial Narrow" w:eastAsiaTheme="minorEastAsia"/>
                <w:szCs w:val="21"/>
              </w:rPr>
              <w:t>际华三五零六纺织服装有限公司房屋及建筑物租赁</w:t>
            </w:r>
          </w:p>
        </w:tc>
        <w:tc>
          <w:tcPr>
            <w:tcW w:w="1224" w:type="pct"/>
            <w:shd w:val="clear" w:color="auto" w:fill="auto"/>
            <w:vAlign w:val="center"/>
          </w:tcPr>
          <w:p w14:paraId="3C386D86">
            <w:pPr>
              <w:jc w:val="right"/>
              <w:rPr>
                <w:rFonts w:ascii="Arial Narrow" w:hAnsi="Arial Narrow" w:eastAsiaTheme="minorEastAsia"/>
                <w:szCs w:val="21"/>
              </w:rPr>
            </w:pPr>
            <w:r>
              <w:rPr>
                <w:rFonts w:ascii="Arial Narrow" w:hAnsi="Arial Narrow" w:eastAsiaTheme="minorEastAsia"/>
                <w:color w:val="000000"/>
                <w:szCs w:val="21"/>
              </w:rPr>
              <w:t xml:space="preserve"> 43,797,296.16 </w:t>
            </w:r>
          </w:p>
        </w:tc>
      </w:tr>
      <w:tr w14:paraId="6FC7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3435DD33">
            <w:pPr>
              <w:rPr>
                <w:rFonts w:ascii="Arial Narrow" w:hAnsi="Arial Narrow" w:eastAsiaTheme="minorEastAsia"/>
                <w:szCs w:val="21"/>
              </w:rPr>
            </w:pPr>
            <w:r>
              <w:rPr>
                <w:rFonts w:ascii="Arial Narrow" w:hAnsi="Arial Narrow" w:eastAsiaTheme="minorEastAsia"/>
                <w:szCs w:val="21"/>
              </w:rPr>
              <w:t>际华三五零九纺织有限公司房屋及建筑物租赁</w:t>
            </w:r>
          </w:p>
        </w:tc>
        <w:tc>
          <w:tcPr>
            <w:tcW w:w="1224" w:type="pct"/>
            <w:shd w:val="clear" w:color="auto" w:fill="auto"/>
            <w:vAlign w:val="center"/>
          </w:tcPr>
          <w:p w14:paraId="1173C44C">
            <w:pPr>
              <w:jc w:val="right"/>
              <w:rPr>
                <w:rFonts w:ascii="Arial Narrow" w:hAnsi="Arial Narrow" w:eastAsiaTheme="minorEastAsia"/>
                <w:szCs w:val="21"/>
              </w:rPr>
            </w:pPr>
            <w:r>
              <w:rPr>
                <w:rFonts w:ascii="Arial Narrow" w:hAnsi="Arial Narrow" w:eastAsiaTheme="minorEastAsia"/>
                <w:color w:val="000000"/>
                <w:szCs w:val="21"/>
              </w:rPr>
              <w:t xml:space="preserve"> 52,666.67 </w:t>
            </w:r>
          </w:p>
        </w:tc>
      </w:tr>
      <w:tr w14:paraId="25E7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472B81F">
            <w:pPr>
              <w:rPr>
                <w:rFonts w:ascii="Arial Narrow" w:hAnsi="Arial Narrow" w:eastAsiaTheme="minorEastAsia"/>
                <w:szCs w:val="21"/>
              </w:rPr>
            </w:pPr>
            <w:r>
              <w:rPr>
                <w:rFonts w:ascii="Arial Narrow" w:hAnsi="Arial Narrow" w:eastAsiaTheme="minorEastAsia"/>
                <w:szCs w:val="21"/>
              </w:rPr>
              <w:t>际华三五一一实业有限公司房屋建筑物及土地租赁</w:t>
            </w:r>
          </w:p>
        </w:tc>
        <w:tc>
          <w:tcPr>
            <w:tcW w:w="1224" w:type="pct"/>
            <w:shd w:val="clear" w:color="auto" w:fill="auto"/>
            <w:vAlign w:val="center"/>
          </w:tcPr>
          <w:p w14:paraId="500E6663">
            <w:pPr>
              <w:jc w:val="right"/>
              <w:rPr>
                <w:rFonts w:ascii="Arial Narrow" w:hAnsi="Arial Narrow" w:eastAsiaTheme="minorEastAsia"/>
                <w:szCs w:val="21"/>
              </w:rPr>
            </w:pPr>
            <w:r>
              <w:rPr>
                <w:rFonts w:ascii="Arial Narrow" w:hAnsi="Arial Narrow" w:eastAsiaTheme="minorEastAsia"/>
                <w:color w:val="000000"/>
                <w:szCs w:val="21"/>
              </w:rPr>
              <w:t xml:space="preserve"> 20,597,051.67 </w:t>
            </w:r>
          </w:p>
        </w:tc>
      </w:tr>
      <w:tr w14:paraId="3109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3DBF2879">
            <w:pPr>
              <w:rPr>
                <w:rFonts w:ascii="Arial Narrow" w:hAnsi="Arial Narrow" w:eastAsiaTheme="minorEastAsia"/>
                <w:szCs w:val="21"/>
              </w:rPr>
            </w:pPr>
            <w:r>
              <w:rPr>
                <w:rFonts w:ascii="Arial Narrow" w:hAnsi="Arial Narrow" w:eastAsiaTheme="minorEastAsia"/>
                <w:szCs w:val="21"/>
              </w:rPr>
              <w:t>际华三五一二皮革服装有限公司房屋建筑物及土地租赁</w:t>
            </w:r>
          </w:p>
        </w:tc>
        <w:tc>
          <w:tcPr>
            <w:tcW w:w="1224" w:type="pct"/>
            <w:shd w:val="clear" w:color="auto" w:fill="auto"/>
            <w:vAlign w:val="center"/>
          </w:tcPr>
          <w:p w14:paraId="69808033">
            <w:pPr>
              <w:jc w:val="right"/>
              <w:rPr>
                <w:rFonts w:ascii="Arial Narrow" w:hAnsi="Arial Narrow" w:eastAsiaTheme="minorEastAsia"/>
                <w:szCs w:val="21"/>
              </w:rPr>
            </w:pPr>
            <w:r>
              <w:rPr>
                <w:rFonts w:ascii="Arial Narrow" w:hAnsi="Arial Narrow" w:eastAsiaTheme="minorEastAsia"/>
                <w:color w:val="000000"/>
                <w:szCs w:val="21"/>
              </w:rPr>
              <w:t xml:space="preserve"> 4,872,952.38 </w:t>
            </w:r>
          </w:p>
        </w:tc>
      </w:tr>
      <w:tr w14:paraId="17FE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F7C24DA">
            <w:pPr>
              <w:rPr>
                <w:rFonts w:ascii="Arial Narrow" w:hAnsi="Arial Narrow" w:eastAsiaTheme="minorEastAsia"/>
                <w:szCs w:val="21"/>
              </w:rPr>
            </w:pPr>
            <w:r>
              <w:rPr>
                <w:rFonts w:ascii="Arial Narrow" w:hAnsi="Arial Narrow" w:eastAsiaTheme="minorEastAsia"/>
                <w:szCs w:val="21"/>
              </w:rPr>
              <w:t>际华三五一三实业有限公司房屋及建筑物租赁</w:t>
            </w:r>
          </w:p>
        </w:tc>
        <w:tc>
          <w:tcPr>
            <w:tcW w:w="1224" w:type="pct"/>
            <w:shd w:val="clear" w:color="auto" w:fill="auto"/>
            <w:vAlign w:val="center"/>
          </w:tcPr>
          <w:p w14:paraId="389EB189">
            <w:pPr>
              <w:jc w:val="right"/>
              <w:rPr>
                <w:rFonts w:ascii="Arial Narrow" w:hAnsi="Arial Narrow" w:eastAsiaTheme="minorEastAsia"/>
                <w:szCs w:val="21"/>
              </w:rPr>
            </w:pPr>
            <w:r>
              <w:rPr>
                <w:rFonts w:ascii="Arial Narrow" w:hAnsi="Arial Narrow" w:eastAsiaTheme="minorEastAsia"/>
                <w:color w:val="000000"/>
                <w:szCs w:val="21"/>
              </w:rPr>
              <w:t xml:space="preserve"> 21,846,191.14 </w:t>
            </w:r>
          </w:p>
        </w:tc>
      </w:tr>
      <w:tr w14:paraId="74D5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1DBAB315">
            <w:pPr>
              <w:rPr>
                <w:rFonts w:ascii="Arial Narrow" w:hAnsi="Arial Narrow" w:eastAsiaTheme="minorEastAsia"/>
                <w:szCs w:val="21"/>
              </w:rPr>
            </w:pPr>
            <w:r>
              <w:rPr>
                <w:rFonts w:ascii="Arial Narrow" w:hAnsi="Arial Narrow" w:eastAsiaTheme="minorEastAsia"/>
                <w:szCs w:val="21"/>
              </w:rPr>
              <w:t>际华三五一四制革制鞋有限公司房屋及建筑物租赁</w:t>
            </w:r>
          </w:p>
        </w:tc>
        <w:tc>
          <w:tcPr>
            <w:tcW w:w="1224" w:type="pct"/>
            <w:shd w:val="clear" w:color="auto" w:fill="auto"/>
            <w:vAlign w:val="center"/>
          </w:tcPr>
          <w:p w14:paraId="1E74F7B6">
            <w:pPr>
              <w:jc w:val="right"/>
              <w:rPr>
                <w:rFonts w:ascii="Arial Narrow" w:hAnsi="Arial Narrow" w:eastAsiaTheme="minorEastAsia"/>
                <w:szCs w:val="21"/>
              </w:rPr>
            </w:pPr>
            <w:r>
              <w:rPr>
                <w:rFonts w:ascii="Arial Narrow" w:hAnsi="Arial Narrow" w:eastAsiaTheme="minorEastAsia"/>
                <w:color w:val="000000"/>
                <w:szCs w:val="21"/>
              </w:rPr>
              <w:t xml:space="preserve"> 10,869,859.43 </w:t>
            </w:r>
          </w:p>
        </w:tc>
      </w:tr>
      <w:tr w14:paraId="6E28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46B26400">
            <w:pPr>
              <w:rPr>
                <w:rFonts w:ascii="Arial Narrow" w:hAnsi="Arial Narrow" w:eastAsiaTheme="minorEastAsia"/>
                <w:szCs w:val="21"/>
              </w:rPr>
            </w:pPr>
            <w:r>
              <w:rPr>
                <w:rFonts w:ascii="Arial Narrow" w:hAnsi="Arial Narrow" w:eastAsiaTheme="minorEastAsia"/>
                <w:szCs w:val="21"/>
              </w:rPr>
              <w:t>际华三五一五皮革皮鞋有限公司房屋及设备租赁</w:t>
            </w:r>
          </w:p>
        </w:tc>
        <w:tc>
          <w:tcPr>
            <w:tcW w:w="1224" w:type="pct"/>
            <w:shd w:val="clear" w:color="auto" w:fill="auto"/>
            <w:vAlign w:val="center"/>
          </w:tcPr>
          <w:p w14:paraId="44B3230D">
            <w:pPr>
              <w:jc w:val="right"/>
              <w:rPr>
                <w:rFonts w:ascii="Arial Narrow" w:hAnsi="Arial Narrow" w:eastAsiaTheme="minorEastAsia"/>
                <w:szCs w:val="21"/>
              </w:rPr>
            </w:pPr>
            <w:r>
              <w:rPr>
                <w:rFonts w:ascii="Arial Narrow" w:hAnsi="Arial Narrow" w:eastAsiaTheme="minorEastAsia"/>
                <w:color w:val="000000"/>
                <w:szCs w:val="21"/>
              </w:rPr>
              <w:t xml:space="preserve"> 8,374,739.02 </w:t>
            </w:r>
          </w:p>
        </w:tc>
      </w:tr>
      <w:tr w14:paraId="5F98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2AC4FB9A">
            <w:pPr>
              <w:rPr>
                <w:rFonts w:ascii="Arial Narrow" w:hAnsi="Arial Narrow" w:eastAsiaTheme="minorEastAsia"/>
                <w:szCs w:val="21"/>
              </w:rPr>
            </w:pPr>
            <w:r>
              <w:rPr>
                <w:rFonts w:ascii="Arial Narrow" w:hAnsi="Arial Narrow" w:eastAsiaTheme="minorEastAsia"/>
                <w:szCs w:val="21"/>
              </w:rPr>
              <w:t>南京际华三五二一特种装备有限公司房屋及设备租赁</w:t>
            </w:r>
          </w:p>
        </w:tc>
        <w:tc>
          <w:tcPr>
            <w:tcW w:w="1224" w:type="pct"/>
            <w:shd w:val="clear" w:color="auto" w:fill="auto"/>
            <w:vAlign w:val="center"/>
          </w:tcPr>
          <w:p w14:paraId="61F51717">
            <w:pPr>
              <w:jc w:val="right"/>
              <w:rPr>
                <w:rFonts w:ascii="Arial Narrow" w:hAnsi="Arial Narrow" w:eastAsiaTheme="minorEastAsia"/>
                <w:szCs w:val="21"/>
              </w:rPr>
            </w:pPr>
            <w:r>
              <w:rPr>
                <w:rFonts w:ascii="Arial Narrow" w:hAnsi="Arial Narrow" w:eastAsiaTheme="minorEastAsia"/>
                <w:color w:val="000000"/>
                <w:szCs w:val="21"/>
              </w:rPr>
              <w:t xml:space="preserve"> 6,952,244.66 </w:t>
            </w:r>
          </w:p>
        </w:tc>
      </w:tr>
      <w:tr w14:paraId="7A6A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6977041D">
            <w:pPr>
              <w:rPr>
                <w:rFonts w:ascii="Arial Narrow" w:hAnsi="Arial Narrow" w:eastAsiaTheme="minorEastAsia"/>
                <w:szCs w:val="21"/>
              </w:rPr>
            </w:pPr>
            <w:r>
              <w:rPr>
                <w:rFonts w:ascii="Arial Narrow" w:hAnsi="Arial Narrow" w:eastAsiaTheme="minorEastAsia"/>
                <w:szCs w:val="21"/>
              </w:rPr>
              <w:t>际华三五二二装具饰品有限公司房屋及建筑物租赁</w:t>
            </w:r>
          </w:p>
        </w:tc>
        <w:tc>
          <w:tcPr>
            <w:tcW w:w="1224" w:type="pct"/>
            <w:shd w:val="clear" w:color="auto" w:fill="auto"/>
            <w:vAlign w:val="center"/>
          </w:tcPr>
          <w:p w14:paraId="15E5BDC1">
            <w:pPr>
              <w:jc w:val="right"/>
              <w:rPr>
                <w:rFonts w:ascii="Arial Narrow" w:hAnsi="Arial Narrow" w:eastAsiaTheme="minorEastAsia"/>
                <w:szCs w:val="21"/>
              </w:rPr>
            </w:pPr>
            <w:r>
              <w:rPr>
                <w:rFonts w:ascii="Arial Narrow" w:hAnsi="Arial Narrow" w:eastAsiaTheme="minorEastAsia"/>
                <w:color w:val="000000"/>
                <w:szCs w:val="21"/>
              </w:rPr>
              <w:t xml:space="preserve"> 10,546,342.49 </w:t>
            </w:r>
          </w:p>
        </w:tc>
      </w:tr>
      <w:tr w14:paraId="5798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3C63ABD">
            <w:pPr>
              <w:rPr>
                <w:rFonts w:ascii="Arial Narrow" w:hAnsi="Arial Narrow" w:eastAsiaTheme="minorEastAsia"/>
                <w:szCs w:val="21"/>
              </w:rPr>
            </w:pPr>
            <w:r>
              <w:rPr>
                <w:rFonts w:ascii="Arial Narrow" w:hAnsi="Arial Narrow" w:eastAsiaTheme="minorEastAsia"/>
                <w:szCs w:val="21"/>
              </w:rPr>
              <w:t>际华三五三四制衣有限公司房屋设备及土地租赁</w:t>
            </w:r>
          </w:p>
        </w:tc>
        <w:tc>
          <w:tcPr>
            <w:tcW w:w="1224" w:type="pct"/>
            <w:shd w:val="clear" w:color="auto" w:fill="auto"/>
            <w:vAlign w:val="center"/>
          </w:tcPr>
          <w:p w14:paraId="76C83E32">
            <w:pPr>
              <w:jc w:val="right"/>
              <w:rPr>
                <w:rFonts w:ascii="Arial Narrow" w:hAnsi="Arial Narrow" w:eastAsiaTheme="minorEastAsia"/>
                <w:szCs w:val="21"/>
              </w:rPr>
            </w:pPr>
            <w:r>
              <w:rPr>
                <w:rFonts w:ascii="Arial Narrow" w:hAnsi="Arial Narrow" w:eastAsiaTheme="minorEastAsia"/>
                <w:color w:val="000000"/>
                <w:szCs w:val="21"/>
              </w:rPr>
              <w:t xml:space="preserve"> 16,712,158.40 </w:t>
            </w:r>
          </w:p>
        </w:tc>
      </w:tr>
      <w:tr w14:paraId="14E4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0F3EF31C">
            <w:pPr>
              <w:rPr>
                <w:rFonts w:ascii="Arial Narrow" w:hAnsi="Arial Narrow" w:eastAsiaTheme="minorEastAsia"/>
                <w:szCs w:val="21"/>
              </w:rPr>
            </w:pPr>
            <w:r>
              <w:rPr>
                <w:rFonts w:ascii="Arial Narrow" w:hAnsi="Arial Narrow" w:eastAsiaTheme="minorEastAsia"/>
                <w:szCs w:val="21"/>
              </w:rPr>
              <w:t>际华三五三六实业有限公司房屋及建筑物租赁</w:t>
            </w:r>
          </w:p>
        </w:tc>
        <w:tc>
          <w:tcPr>
            <w:tcW w:w="1224" w:type="pct"/>
            <w:shd w:val="clear" w:color="auto" w:fill="auto"/>
            <w:vAlign w:val="center"/>
          </w:tcPr>
          <w:p w14:paraId="7D012B5F">
            <w:pPr>
              <w:jc w:val="right"/>
              <w:rPr>
                <w:rFonts w:ascii="Arial Narrow" w:hAnsi="Arial Narrow" w:eastAsiaTheme="minorEastAsia"/>
                <w:szCs w:val="21"/>
              </w:rPr>
            </w:pPr>
            <w:r>
              <w:rPr>
                <w:rFonts w:ascii="Arial Narrow" w:hAnsi="Arial Narrow" w:eastAsiaTheme="minorEastAsia"/>
                <w:color w:val="000000"/>
                <w:szCs w:val="21"/>
              </w:rPr>
              <w:t xml:space="preserve"> 222,915.98 </w:t>
            </w:r>
          </w:p>
        </w:tc>
      </w:tr>
      <w:tr w14:paraId="29B5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0ED85745">
            <w:pPr>
              <w:rPr>
                <w:rFonts w:ascii="Arial Narrow" w:hAnsi="Arial Narrow" w:eastAsiaTheme="minorEastAsia"/>
                <w:szCs w:val="21"/>
              </w:rPr>
            </w:pPr>
            <w:r>
              <w:rPr>
                <w:rFonts w:ascii="Arial Narrow" w:hAnsi="Arial Narrow" w:eastAsiaTheme="minorEastAsia"/>
                <w:szCs w:val="21"/>
              </w:rPr>
              <w:t>际华三五四二纺织有限公司房屋及建筑物租赁</w:t>
            </w:r>
          </w:p>
        </w:tc>
        <w:tc>
          <w:tcPr>
            <w:tcW w:w="1224" w:type="pct"/>
            <w:shd w:val="clear" w:color="auto" w:fill="auto"/>
            <w:vAlign w:val="center"/>
          </w:tcPr>
          <w:p w14:paraId="1C98A8D7">
            <w:pPr>
              <w:jc w:val="right"/>
              <w:rPr>
                <w:rFonts w:ascii="Arial Narrow" w:hAnsi="Arial Narrow" w:eastAsiaTheme="minorEastAsia"/>
                <w:szCs w:val="21"/>
              </w:rPr>
            </w:pPr>
            <w:r>
              <w:rPr>
                <w:rFonts w:ascii="Arial Narrow" w:hAnsi="Arial Narrow" w:eastAsiaTheme="minorEastAsia"/>
                <w:color w:val="000000"/>
                <w:szCs w:val="21"/>
              </w:rPr>
              <w:t xml:space="preserve"> 575,920.46 </w:t>
            </w:r>
          </w:p>
        </w:tc>
      </w:tr>
      <w:tr w14:paraId="6A04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2D2BD83D">
            <w:pPr>
              <w:rPr>
                <w:rFonts w:ascii="Arial Narrow" w:hAnsi="Arial Narrow" w:eastAsiaTheme="minorEastAsia"/>
                <w:szCs w:val="21"/>
              </w:rPr>
            </w:pPr>
            <w:r>
              <w:rPr>
                <w:rFonts w:ascii="Arial Narrow" w:hAnsi="Arial Narrow" w:eastAsiaTheme="minorEastAsia"/>
                <w:szCs w:val="21"/>
              </w:rPr>
              <w:t>际华三五四三针织服饰有限公司房屋及建筑物租赁</w:t>
            </w:r>
          </w:p>
        </w:tc>
        <w:tc>
          <w:tcPr>
            <w:tcW w:w="1224" w:type="pct"/>
            <w:shd w:val="clear" w:color="auto" w:fill="auto"/>
            <w:vAlign w:val="center"/>
          </w:tcPr>
          <w:p w14:paraId="0613666B">
            <w:pPr>
              <w:jc w:val="right"/>
              <w:rPr>
                <w:rFonts w:ascii="Arial Narrow" w:hAnsi="Arial Narrow" w:eastAsiaTheme="minorEastAsia"/>
                <w:szCs w:val="21"/>
              </w:rPr>
            </w:pPr>
            <w:r>
              <w:rPr>
                <w:rFonts w:ascii="Arial Narrow" w:hAnsi="Arial Narrow" w:eastAsiaTheme="minorEastAsia"/>
                <w:color w:val="000000"/>
                <w:szCs w:val="21"/>
              </w:rPr>
              <w:t xml:space="preserve"> 1,982,633.60 </w:t>
            </w:r>
          </w:p>
        </w:tc>
      </w:tr>
      <w:tr w14:paraId="60BD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3CBD5F6D">
            <w:pPr>
              <w:rPr>
                <w:rFonts w:ascii="Arial Narrow" w:hAnsi="Arial Narrow" w:eastAsiaTheme="minorEastAsia"/>
                <w:szCs w:val="21"/>
              </w:rPr>
            </w:pPr>
            <w:r>
              <w:rPr>
                <w:rFonts w:ascii="Arial Narrow" w:hAnsi="Arial Narrow" w:eastAsiaTheme="minorEastAsia"/>
                <w:szCs w:val="21"/>
              </w:rPr>
              <w:t>沈阳际华三五四七特种装具有限公司房屋及建筑物租赁</w:t>
            </w:r>
          </w:p>
        </w:tc>
        <w:tc>
          <w:tcPr>
            <w:tcW w:w="1224" w:type="pct"/>
            <w:shd w:val="clear" w:color="auto" w:fill="auto"/>
            <w:vAlign w:val="center"/>
          </w:tcPr>
          <w:p w14:paraId="4802A7F2">
            <w:pPr>
              <w:jc w:val="right"/>
              <w:rPr>
                <w:rFonts w:ascii="Arial Narrow" w:hAnsi="Arial Narrow" w:eastAsiaTheme="minorEastAsia"/>
                <w:szCs w:val="21"/>
              </w:rPr>
            </w:pPr>
            <w:r>
              <w:rPr>
                <w:rFonts w:ascii="Arial Narrow" w:hAnsi="Arial Narrow" w:eastAsiaTheme="minorEastAsia"/>
                <w:color w:val="000000"/>
                <w:szCs w:val="21"/>
              </w:rPr>
              <w:t xml:space="preserve"> 1,833,793.81 </w:t>
            </w:r>
          </w:p>
        </w:tc>
      </w:tr>
      <w:tr w14:paraId="09E8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E365B66">
            <w:pPr>
              <w:rPr>
                <w:rFonts w:ascii="Arial Narrow" w:hAnsi="Arial Narrow" w:eastAsiaTheme="minorEastAsia"/>
                <w:szCs w:val="21"/>
              </w:rPr>
            </w:pPr>
            <w:r>
              <w:rPr>
                <w:rFonts w:ascii="Arial Narrow" w:hAnsi="Arial Narrow" w:eastAsiaTheme="minorEastAsia"/>
                <w:szCs w:val="21"/>
              </w:rPr>
              <w:t>际华橡胶工业有限公司房屋土地及设备租赁</w:t>
            </w:r>
          </w:p>
        </w:tc>
        <w:tc>
          <w:tcPr>
            <w:tcW w:w="1224" w:type="pct"/>
            <w:shd w:val="clear" w:color="auto" w:fill="auto"/>
            <w:vAlign w:val="center"/>
          </w:tcPr>
          <w:p w14:paraId="665D4479">
            <w:pPr>
              <w:jc w:val="right"/>
              <w:rPr>
                <w:rFonts w:ascii="Arial Narrow" w:hAnsi="Arial Narrow" w:eastAsiaTheme="minorEastAsia"/>
                <w:szCs w:val="21"/>
              </w:rPr>
            </w:pPr>
            <w:r>
              <w:rPr>
                <w:rFonts w:ascii="Arial Narrow" w:hAnsi="Arial Narrow" w:eastAsiaTheme="minorEastAsia"/>
                <w:color w:val="000000"/>
                <w:szCs w:val="21"/>
              </w:rPr>
              <w:t xml:space="preserve"> 18,469,965.92 </w:t>
            </w:r>
          </w:p>
        </w:tc>
      </w:tr>
      <w:tr w14:paraId="078A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32A6CF5C">
            <w:pPr>
              <w:rPr>
                <w:rFonts w:ascii="Arial Narrow" w:hAnsi="Arial Narrow" w:eastAsiaTheme="minorEastAsia"/>
                <w:szCs w:val="21"/>
              </w:rPr>
            </w:pPr>
            <w:r>
              <w:rPr>
                <w:rFonts w:ascii="Arial Narrow" w:hAnsi="Arial Narrow" w:eastAsiaTheme="minorEastAsia"/>
                <w:szCs w:val="21"/>
              </w:rPr>
              <w:t>内蒙古际华森普利服装皮业有限公司房屋及建筑物租赁</w:t>
            </w:r>
          </w:p>
        </w:tc>
        <w:tc>
          <w:tcPr>
            <w:tcW w:w="1224" w:type="pct"/>
            <w:shd w:val="clear" w:color="auto" w:fill="auto"/>
            <w:vAlign w:val="center"/>
          </w:tcPr>
          <w:p w14:paraId="446DD12A">
            <w:pPr>
              <w:jc w:val="right"/>
              <w:rPr>
                <w:rFonts w:ascii="Arial Narrow" w:hAnsi="Arial Narrow" w:eastAsiaTheme="minorEastAsia"/>
                <w:szCs w:val="21"/>
              </w:rPr>
            </w:pPr>
            <w:r>
              <w:rPr>
                <w:rFonts w:ascii="Arial Narrow" w:hAnsi="Arial Narrow" w:eastAsiaTheme="minorEastAsia"/>
                <w:color w:val="000000"/>
                <w:szCs w:val="21"/>
              </w:rPr>
              <w:t xml:space="preserve"> 158,655.48 </w:t>
            </w:r>
          </w:p>
        </w:tc>
      </w:tr>
      <w:tr w14:paraId="1BEF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58AA751F">
            <w:pPr>
              <w:rPr>
                <w:rFonts w:ascii="Arial Narrow" w:hAnsi="Arial Narrow" w:eastAsiaTheme="minorEastAsia"/>
                <w:szCs w:val="21"/>
              </w:rPr>
            </w:pPr>
            <w:r>
              <w:rPr>
                <w:rFonts w:ascii="Arial Narrow" w:hAnsi="Arial Narrow" w:eastAsiaTheme="minorEastAsia"/>
                <w:szCs w:val="21"/>
              </w:rPr>
              <w:t>重庆际华目的地中心实业有限公司房屋建筑物及土地租赁</w:t>
            </w:r>
          </w:p>
        </w:tc>
        <w:tc>
          <w:tcPr>
            <w:tcW w:w="1224" w:type="pct"/>
            <w:shd w:val="clear" w:color="auto" w:fill="auto"/>
            <w:vAlign w:val="center"/>
          </w:tcPr>
          <w:p w14:paraId="1E5BFB4F">
            <w:pPr>
              <w:jc w:val="right"/>
              <w:rPr>
                <w:rFonts w:ascii="Arial Narrow" w:hAnsi="Arial Narrow" w:eastAsiaTheme="minorEastAsia"/>
                <w:szCs w:val="21"/>
              </w:rPr>
            </w:pPr>
            <w:r>
              <w:rPr>
                <w:rFonts w:ascii="Arial Narrow" w:hAnsi="Arial Narrow" w:eastAsiaTheme="minorEastAsia"/>
                <w:color w:val="000000"/>
                <w:szCs w:val="21"/>
              </w:rPr>
              <w:t xml:space="preserve"> 9,001,625.98 </w:t>
            </w:r>
          </w:p>
        </w:tc>
      </w:tr>
      <w:tr w14:paraId="6336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48677F21">
            <w:pPr>
              <w:rPr>
                <w:rFonts w:ascii="Arial Narrow" w:hAnsi="Arial Narrow" w:eastAsiaTheme="minorEastAsia"/>
                <w:szCs w:val="21"/>
              </w:rPr>
            </w:pPr>
            <w:r>
              <w:rPr>
                <w:rFonts w:ascii="Arial Narrow" w:hAnsi="Arial Narrow" w:eastAsiaTheme="minorEastAsia"/>
                <w:szCs w:val="21"/>
              </w:rPr>
              <w:t>新疆际华七五五五职业装有限公司房屋及建筑物租赁</w:t>
            </w:r>
          </w:p>
        </w:tc>
        <w:tc>
          <w:tcPr>
            <w:tcW w:w="1224" w:type="pct"/>
            <w:shd w:val="clear" w:color="auto" w:fill="auto"/>
            <w:vAlign w:val="center"/>
          </w:tcPr>
          <w:p w14:paraId="4585024F">
            <w:pPr>
              <w:jc w:val="right"/>
              <w:rPr>
                <w:rFonts w:ascii="Arial Narrow" w:hAnsi="Arial Narrow" w:eastAsiaTheme="minorEastAsia"/>
                <w:szCs w:val="21"/>
              </w:rPr>
            </w:pPr>
            <w:r>
              <w:rPr>
                <w:rFonts w:ascii="Arial Narrow" w:hAnsi="Arial Narrow" w:eastAsiaTheme="minorEastAsia"/>
                <w:color w:val="000000"/>
                <w:szCs w:val="21"/>
              </w:rPr>
              <w:t xml:space="preserve"> 2,391,947.14 </w:t>
            </w:r>
          </w:p>
        </w:tc>
      </w:tr>
      <w:tr w14:paraId="7D11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2E98FA76">
            <w:pPr>
              <w:rPr>
                <w:rFonts w:ascii="Arial Narrow" w:hAnsi="Arial Narrow" w:eastAsiaTheme="minorEastAsia"/>
                <w:szCs w:val="21"/>
              </w:rPr>
            </w:pPr>
            <w:r>
              <w:rPr>
                <w:rFonts w:ascii="Arial Narrow" w:hAnsi="Arial Narrow" w:eastAsiaTheme="minorEastAsia"/>
                <w:szCs w:val="21"/>
              </w:rPr>
              <w:t>际华（邢台）投资有限公司房屋及建筑物租赁</w:t>
            </w:r>
          </w:p>
        </w:tc>
        <w:tc>
          <w:tcPr>
            <w:tcW w:w="1224" w:type="pct"/>
            <w:shd w:val="clear" w:color="auto" w:fill="auto"/>
            <w:vAlign w:val="center"/>
          </w:tcPr>
          <w:p w14:paraId="3DCD51B7">
            <w:pPr>
              <w:jc w:val="right"/>
              <w:rPr>
                <w:rFonts w:ascii="Arial Narrow" w:hAnsi="Arial Narrow" w:eastAsiaTheme="minorEastAsia"/>
                <w:szCs w:val="21"/>
              </w:rPr>
            </w:pPr>
            <w:r>
              <w:rPr>
                <w:rFonts w:ascii="Arial Narrow" w:hAnsi="Arial Narrow" w:eastAsiaTheme="minorEastAsia"/>
                <w:color w:val="000000"/>
                <w:szCs w:val="21"/>
              </w:rPr>
              <w:t xml:space="preserve"> 2,980,858.79 </w:t>
            </w:r>
          </w:p>
        </w:tc>
      </w:tr>
      <w:tr w14:paraId="50E5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6" w:type="pct"/>
            <w:shd w:val="clear" w:color="auto" w:fill="auto"/>
            <w:vAlign w:val="center"/>
          </w:tcPr>
          <w:p w14:paraId="6D399129">
            <w:pPr>
              <w:jc w:val="center"/>
              <w:rPr>
                <w:rFonts w:ascii="Arial Narrow" w:hAnsi="Arial Narrow" w:eastAsiaTheme="minorEastAsia"/>
                <w:szCs w:val="21"/>
              </w:rPr>
            </w:pPr>
            <w:r>
              <w:rPr>
                <w:rFonts w:ascii="Arial Narrow" w:hAnsi="Arial Narrow" w:eastAsiaTheme="minorEastAsia"/>
                <w:szCs w:val="21"/>
              </w:rPr>
              <w:t>合计</w:t>
            </w:r>
          </w:p>
        </w:tc>
        <w:tc>
          <w:tcPr>
            <w:tcW w:w="1224" w:type="pct"/>
            <w:shd w:val="clear" w:color="auto" w:fill="auto"/>
            <w:vAlign w:val="center"/>
          </w:tcPr>
          <w:p w14:paraId="5482B2ED">
            <w:pPr>
              <w:jc w:val="right"/>
              <w:rPr>
                <w:rFonts w:ascii="Arial Narrow" w:hAnsi="Arial Narrow" w:eastAsiaTheme="minorEastAsia"/>
                <w:szCs w:val="21"/>
              </w:rPr>
            </w:pPr>
            <w:r>
              <w:rPr>
                <w:rFonts w:ascii="Arial Narrow" w:hAnsi="Arial Narrow" w:eastAsiaTheme="minorEastAsia"/>
                <w:color w:val="000000"/>
                <w:szCs w:val="21"/>
              </w:rPr>
              <w:t xml:space="preserve"> 186,135,341.71 </w:t>
            </w:r>
          </w:p>
        </w:tc>
      </w:tr>
    </w:tbl>
    <w:p w14:paraId="19BDF3A2">
      <w:pPr>
        <w:rPr>
          <w:rFonts w:hint="eastAsia"/>
        </w:rPr>
      </w:pPr>
    </w:p>
    <w:p w14:paraId="7A894074">
      <w:pPr>
        <w:rPr>
          <w:rFonts w:hint="eastAsia"/>
        </w:rPr>
      </w:pPr>
      <w:r>
        <w:t>作为出租人的融资租赁</w:t>
      </w:r>
    </w:p>
    <w:sdt>
      <w:sdtPr>
        <w:alias w:val="是否适用：作为出租人的融资租赁[双击切换]"/>
        <w:tag w:val="_GBC_a96fee2f2d7c4192a3a8f10ae08d73cc"/>
        <w:id w:val="1014270989"/>
        <w:placeholder>
          <w:docPart w:val="GBC22222222222222222222222222222"/>
        </w:placeholder>
      </w:sdtPr>
      <w:sdtContent>
        <w:p w14:paraId="01011B7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5468CC5">
      <w:pPr>
        <w:rPr>
          <w:rFonts w:hint="eastAsia"/>
          <w:b/>
          <w:szCs w:val="21"/>
        </w:rPr>
      </w:pPr>
    </w:p>
    <w:p w14:paraId="22878172">
      <w:pPr>
        <w:rPr>
          <w:rFonts w:hint="eastAsia"/>
        </w:rPr>
      </w:pPr>
      <w:r>
        <w:t>未折现租赁收款额与租赁投资净额的调节表</w:t>
      </w:r>
    </w:p>
    <w:sdt>
      <w:sdtPr>
        <w:alias w:val="是否适用：未折现租赁收款额与租赁投资净额的调节表?[双击切换]"/>
        <w:tag w:val="_GBC_4a108274280e49bd8dc1cba49cff5159"/>
        <w:id w:val="-2052445771"/>
        <w:placeholder>
          <w:docPart w:val="GBC22222222222222222222222222222"/>
        </w:placeholder>
      </w:sdtPr>
      <w:sdtContent>
        <w:p w14:paraId="46187B97">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44A1730">
      <w:pPr>
        <w:rPr>
          <w:rFonts w:hint="eastAsia"/>
          <w:b/>
          <w:szCs w:val="21"/>
        </w:rPr>
      </w:pPr>
    </w:p>
    <w:p w14:paraId="19686348">
      <w:pPr>
        <w:rPr>
          <w:rFonts w:hint="eastAsia"/>
        </w:rPr>
      </w:pPr>
      <w:r>
        <w:t>未来五年</w:t>
      </w:r>
      <w:r>
        <w:rPr>
          <w:rFonts w:hint="eastAsia"/>
        </w:rPr>
        <w:t>未</w:t>
      </w:r>
      <w:r>
        <w:t>折现租赁收款额</w:t>
      </w:r>
    </w:p>
    <w:sdt>
      <w:sdtPr>
        <w:alias w:val="是否适用：未来五年未折现租赁收款额[双击切换]"/>
        <w:tag w:val="_GBC_60c95c043b424e188bd225c67d071e24"/>
        <w:id w:val="1385211074"/>
        <w:placeholder>
          <w:docPart w:val="GBC22222222222222222222222222222"/>
        </w:placeholder>
      </w:sdtPr>
      <w:sdtContent>
        <w:p w14:paraId="15AF5AE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BB5A66E">
      <w:pPr>
        <w:rPr>
          <w:rFonts w:hint="eastAsia"/>
          <w:b/>
          <w:szCs w:val="21"/>
        </w:rPr>
      </w:pPr>
    </w:p>
    <w:p w14:paraId="033F991B">
      <w:pPr>
        <w:pStyle w:val="71"/>
        <w:numPr>
          <w:ilvl w:val="0"/>
          <w:numId w:val="152"/>
        </w:numPr>
        <w:ind w:left="0" w:firstLine="0"/>
        <w:rPr>
          <w:rFonts w:hint="eastAsia"/>
        </w:rPr>
      </w:pPr>
      <w:r>
        <w:t>作为生产商或经销商确认融资租赁销售损益</w:t>
      </w:r>
    </w:p>
    <w:sdt>
      <w:sdtPr>
        <w:alias w:val="是否适用：作为生产商或经销商确认融资租赁销售损益[双击切换]"/>
        <w:tag w:val="_GBC_595c7ca108a34d50bffdd3e765cca466"/>
        <w:id w:val="-160011980"/>
        <w:placeholder>
          <w:docPart w:val="GBC22222222222222222222222222222"/>
        </w:placeholder>
      </w:sdtPr>
      <w:sdtContent>
        <w:p w14:paraId="1C4F028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E461066">
      <w:pPr>
        <w:rPr>
          <w:rFonts w:hint="eastAsia"/>
        </w:rPr>
      </w:pPr>
    </w:p>
    <w:p w14:paraId="1E1F9BAE">
      <w:pPr>
        <w:rPr>
          <w:rFonts w:hint="eastAsia"/>
        </w:rPr>
      </w:pPr>
      <w:r>
        <w:rPr>
          <w:rFonts w:hint="eastAsia"/>
        </w:rPr>
        <w:t>其他说明：</w:t>
      </w:r>
    </w:p>
    <w:sdt>
      <w:sdtPr>
        <w:alias w:val="租赁其他说明"/>
        <w:tag w:val="_GBC_c4951ce943a04c5e965df092a40963b7"/>
        <w:id w:val="1159039707"/>
        <w:placeholder>
          <w:docPart w:val="GBC22222222222222222222222222222"/>
        </w:placeholder>
      </w:sdtPr>
      <w:sdtContent>
        <w:p w14:paraId="3DA41803">
          <w:pPr>
            <w:rPr>
              <w:rFonts w:hint="eastAsia"/>
            </w:rPr>
          </w:pPr>
          <w:r>
            <w:rPr>
              <w:rFonts w:hint="eastAsia"/>
            </w:rPr>
            <w:t>无</w:t>
          </w:r>
        </w:p>
      </w:sdtContent>
    </w:sdt>
    <w:p w14:paraId="5B39EE99">
      <w:pPr>
        <w:rPr>
          <w:rFonts w:hint="eastAsia"/>
        </w:rPr>
      </w:pPr>
    </w:p>
    <w:p w14:paraId="588356AC">
      <w:pPr>
        <w:pStyle w:val="70"/>
        <w:numPr>
          <w:ilvl w:val="0"/>
          <w:numId w:val="109"/>
        </w:numPr>
        <w:rPr>
          <w:szCs w:val="21"/>
        </w:rPr>
      </w:pPr>
      <w:bookmarkStart w:id="377" w:name="_Hlk182485828"/>
      <w:r>
        <w:rPr>
          <w:szCs w:val="21"/>
        </w:rPr>
        <w:t>数据资源</w:t>
      </w:r>
    </w:p>
    <w:sdt>
      <w:sdtPr>
        <w:rPr>
          <w:color w:val="000000" w:themeColor="text1"/>
          <w14:textFill>
            <w14:solidFill>
              <w14:schemeClr w14:val="tx1"/>
            </w14:solidFill>
          </w14:textFill>
        </w:rPr>
        <w:alias w:val="是否适用：附注数据资源需要说明的事项[双击切换]"/>
        <w:tag w:val="_GBC_a8e8280e20f44ceba7092d703f59659a"/>
        <w:id w:val="1132514399"/>
        <w:placeholder>
          <w:docPart w:val="GBC22222222222222222222222222222"/>
        </w:placeholder>
      </w:sdtPr>
      <w:sdtEndPr>
        <w:rPr>
          <w:color w:val="000000" w:themeColor="text1"/>
          <w14:textFill>
            <w14:solidFill>
              <w14:schemeClr w14:val="tx1"/>
            </w14:solidFill>
          </w14:textFill>
        </w:rPr>
      </w:sdtEndPr>
      <w:sdtContent>
        <w:p w14:paraId="537DE7D3">
          <w:pPr>
            <w:rPr>
              <w:rFonts w:hint="eastAsia"/>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p w14:paraId="2033630B">
      <w:pPr>
        <w:rPr>
          <w:rFonts w:hint="eastAsia"/>
          <w:color w:val="000000" w:themeColor="text1"/>
          <w14:textFill>
            <w14:solidFill>
              <w14:schemeClr w14:val="tx1"/>
            </w14:solidFill>
          </w14:textFill>
        </w:rPr>
      </w:pPr>
    </w:p>
    <w:bookmarkEnd w:id="377"/>
    <w:p w14:paraId="6E6B6B38">
      <w:pPr>
        <w:pStyle w:val="70"/>
        <w:numPr>
          <w:ilvl w:val="0"/>
          <w:numId w:val="109"/>
        </w:numPr>
        <w:rPr>
          <w:szCs w:val="21"/>
        </w:rPr>
      </w:pPr>
      <w:r>
        <w:rPr>
          <w:szCs w:val="21"/>
        </w:rPr>
        <w:t>其他</w:t>
      </w:r>
    </w:p>
    <w:sdt>
      <w:sdtPr>
        <w:alias w:val="是否适用：合并财务报表项目注释其他需要说明的事项[双击切换]"/>
        <w:tag w:val="_GBC_67815da71293483fad0e823098235edb"/>
        <w:id w:val="-929192671"/>
        <w:placeholder>
          <w:docPart w:val="GBC22222222222222222222222222222"/>
        </w:placeholder>
      </w:sdtPr>
      <w:sdtContent>
        <w:p w14:paraId="71F8BBEB">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E4E0E38">
      <w:pPr>
        <w:rPr>
          <w:rFonts w:hint="eastAsia"/>
          <w:szCs w:val="21"/>
        </w:rPr>
      </w:pPr>
    </w:p>
    <w:sdt>
      <w:sdtPr>
        <w:rPr>
          <w:rFonts w:ascii="Arial" w:hAnsi="Arial" w:cs="Times New Roman"/>
          <w:b/>
          <w:bCs/>
          <w:kern w:val="2"/>
          <w:szCs w:val="21"/>
        </w:rPr>
        <w:tag w:val="_PLD_e009033c7cae4d21a71e1aae4a3a6059"/>
        <w:id w:val="773053447"/>
      </w:sdtPr>
      <w:sdtEndPr>
        <w:rPr>
          <w:rFonts w:ascii="Arial" w:hAnsi="Arial" w:cs="Times New Roman"/>
          <w:b/>
          <w:bCs/>
          <w:kern w:val="2"/>
          <w:szCs w:val="21"/>
        </w:rPr>
      </w:sdtEndPr>
      <w:sdtContent>
        <w:p w14:paraId="4A3B24EC">
          <w:pPr>
            <w:keepNext/>
            <w:keepLines/>
            <w:widowControl w:val="0"/>
            <w:numPr>
              <w:ilvl w:val="0"/>
              <w:numId w:val="87"/>
            </w:numPr>
            <w:spacing w:before="60" w:line="360" w:lineRule="auto"/>
            <w:jc w:val="both"/>
            <w:outlineLvl w:val="1"/>
            <w:rPr>
              <w:rFonts w:ascii="Arial" w:hAnsi="Arial" w:cs="Times New Roman"/>
              <w:b/>
              <w:bCs/>
              <w:kern w:val="2"/>
              <w:szCs w:val="21"/>
            </w:rPr>
          </w:pPr>
          <w:bookmarkStart w:id="378" w:name="_Hlk40108415"/>
          <w:r>
            <w:rPr>
              <w:rFonts w:hint="eastAsia" w:ascii="Arial" w:hAnsi="Arial" w:cs="Times New Roman"/>
              <w:b/>
              <w:bCs/>
              <w:kern w:val="2"/>
              <w:szCs w:val="21"/>
            </w:rPr>
            <w:t>研发支出</w:t>
          </w:r>
        </w:p>
      </w:sdtContent>
    </w:sdt>
    <w:p w14:paraId="5A043D30">
      <w:pPr>
        <w:keepNext/>
        <w:keepLines/>
        <w:widowControl w:val="0"/>
        <w:numPr>
          <w:ilvl w:val="0"/>
          <w:numId w:val="153"/>
        </w:numPr>
        <w:spacing w:before="60" w:line="360" w:lineRule="auto"/>
        <w:jc w:val="both"/>
        <w:outlineLvl w:val="2"/>
        <w:rPr>
          <w:rFonts w:ascii="Calibri" w:hAnsi="Calibri" w:cs="Times New Roman"/>
          <w:b/>
          <w:bCs/>
          <w:kern w:val="2"/>
          <w:szCs w:val="32"/>
        </w:rPr>
      </w:pPr>
      <w:r>
        <w:rPr>
          <w:rFonts w:hint="eastAsia" w:ascii="Calibri" w:hAnsi="Calibri" w:cs="Times New Roman"/>
          <w:b/>
          <w:bCs/>
          <w:kern w:val="2"/>
          <w:szCs w:val="32"/>
        </w:rPr>
        <w:t>按费用性质列示</w:t>
      </w:r>
    </w:p>
    <w:sdt>
      <w:sdtPr>
        <w:rPr>
          <w:szCs w:val="21"/>
        </w:rPr>
        <w:alias w:val="是否适用：研发费用[双击切换]"/>
        <w:tag w:val="_GBC_04b52b9f74d642ed996cff71b3380562"/>
        <w:id w:val="1810898333"/>
        <w:placeholder>
          <w:docPart w:val="D54B4F1F8E754B1FA4DBA2900AD39AAB"/>
        </w:placeholder>
      </w:sdtPr>
      <w:sdtEndPr>
        <w:rPr>
          <w:szCs w:val="21"/>
        </w:rPr>
      </w:sdtEndPr>
      <w:sdtContent>
        <w:p w14:paraId="6FAC30E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BDCFF49">
      <w:pPr>
        <w:pStyle w:val="44"/>
        <w:ind w:left="420" w:firstLine="0" w:firstLineChars="0"/>
        <w:jc w:val="right"/>
        <w:rPr>
          <w:szCs w:val="21"/>
        </w:rPr>
      </w:pPr>
      <w:r>
        <w:rPr>
          <w:rFonts w:hint="eastAsia"/>
          <w:szCs w:val="21"/>
        </w:rPr>
        <w:t>单位：</w:t>
      </w:r>
      <w:sdt>
        <w:sdtPr>
          <w:rPr>
            <w:rFonts w:hint="eastAsia"/>
            <w:szCs w:val="21"/>
          </w:rPr>
          <w:alias w:val="单位：研发费用"/>
          <w:tag w:val="_GBC_cf8eb084313b4a1daa3dbb7d47c6cc60"/>
          <w:id w:val="1887824059"/>
          <w:placeholder>
            <w:docPart w:val="D54B4F1F8E754B1FA4DBA2900AD39AAB"/>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研发费用"/>
          <w:tag w:val="_GBC_572bef247e4247e09454933a69c36e65"/>
          <w:id w:val="-1106347717"/>
          <w:placeholder>
            <w:docPart w:val="D54B4F1F8E754B1FA4DBA2900AD39AA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2539"/>
        <w:gridCol w:w="2379"/>
      </w:tblGrid>
      <w:tr w14:paraId="0921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Cs w:val="21"/>
            </w:rPr>
            <w:tag w:val="_PLD_373a371c2fc74073850def05593a1e6b"/>
            <w:id w:val="779840914"/>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tcPr>
              <w:p w14:paraId="0678DFE2">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tag w:val="_PLD_6822cfd6a9f74188bf87ee408083b254"/>
            <w:id w:val="-578369428"/>
          </w:sdtPr>
          <w:sdtEndPr>
            <w:rPr>
              <w:rFonts w:ascii="Arial Narrow" w:hAnsi="Arial Narrow" w:eastAsiaTheme="minorEastAsia"/>
              <w:szCs w:val="21"/>
            </w:rPr>
          </w:sdtEndPr>
          <w:sdtContent>
            <w:tc>
              <w:tcPr>
                <w:tcW w:w="1439" w:type="pct"/>
                <w:tcBorders>
                  <w:top w:val="single" w:color="auto" w:sz="4" w:space="0"/>
                  <w:left w:val="single" w:color="auto" w:sz="4" w:space="0"/>
                  <w:bottom w:val="single" w:color="auto" w:sz="4" w:space="0"/>
                  <w:right w:val="single" w:color="auto" w:sz="4" w:space="0"/>
                </w:tcBorders>
                <w:shd w:val="clear" w:color="auto" w:fill="auto"/>
              </w:tcPr>
              <w:p w14:paraId="66319FD1">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9179c21572a24986aa54bad16a61a225"/>
            <w:id w:val="863257994"/>
          </w:sdtPr>
          <w:sdtEndPr>
            <w:rPr>
              <w:rFonts w:ascii="Arial Narrow" w:hAnsi="Arial Narrow" w:eastAsiaTheme="minorEastAsia"/>
              <w:szCs w:val="21"/>
            </w:rPr>
          </w:sdtEndPr>
          <w:sdtContent>
            <w:tc>
              <w:tcPr>
                <w:tcW w:w="1348" w:type="pct"/>
                <w:tcBorders>
                  <w:top w:val="single" w:color="auto" w:sz="4" w:space="0"/>
                  <w:left w:val="single" w:color="auto" w:sz="4" w:space="0"/>
                  <w:bottom w:val="single" w:color="auto" w:sz="4" w:space="0"/>
                  <w:right w:val="single" w:color="auto" w:sz="4" w:space="0"/>
                </w:tcBorders>
                <w:shd w:val="clear" w:color="auto" w:fill="auto"/>
              </w:tcPr>
              <w:p w14:paraId="18CCF00B">
                <w:pPr>
                  <w:jc w:val="center"/>
                  <w:rPr>
                    <w:rFonts w:ascii="Arial Narrow" w:hAnsi="Arial Narrow" w:eastAsiaTheme="minorEastAsia"/>
                    <w:szCs w:val="21"/>
                  </w:rPr>
                </w:pPr>
                <w:r>
                  <w:rPr>
                    <w:rFonts w:ascii="Arial Narrow" w:hAnsi="Arial Narrow" w:eastAsiaTheme="minorEastAsia"/>
                    <w:szCs w:val="21"/>
                  </w:rPr>
                  <w:t>上期发生额</w:t>
                </w:r>
              </w:p>
            </w:tc>
          </w:sdtContent>
        </w:sdt>
      </w:tr>
      <w:sdt>
        <w:sdtPr>
          <w:rPr>
            <w:rFonts w:ascii="Arial Narrow" w:hAnsi="Arial Narrow" w:eastAsiaTheme="minorEastAsia"/>
            <w:color w:val="000000"/>
            <w:szCs w:val="21"/>
          </w:rPr>
          <w:alias w:val="研发费用明细"/>
          <w:tag w:val="_TUP_aac17b4f82164ea4af4e1d65f9fea4b2"/>
          <w:id w:val="617648034"/>
          <w:placeholder>
            <w:docPart w:val="198A7340AE7E4C0D9B1D11C7E62EB5A9"/>
          </w:placeholder>
        </w:sdtPr>
        <w:sdtEndPr>
          <w:rPr>
            <w:rFonts w:ascii="Arial Narrow" w:hAnsi="Arial Narrow" w:eastAsiaTheme="minorEastAsia"/>
            <w:color w:val="000000"/>
            <w:szCs w:val="21"/>
          </w:rPr>
        </w:sdtEndPr>
        <w:sdtContent>
          <w:tr w14:paraId="2E6F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65EBC0E7">
                <w:pPr>
                  <w:rPr>
                    <w:rFonts w:ascii="Arial Narrow" w:hAnsi="Arial Narrow" w:eastAsiaTheme="minorEastAsia"/>
                    <w:szCs w:val="21"/>
                  </w:rPr>
                </w:pPr>
                <w:r>
                  <w:rPr>
                    <w:rFonts w:ascii="Arial Narrow" w:hAnsi="Arial Narrow" w:eastAsiaTheme="minorEastAsia"/>
                    <w:color w:val="000000"/>
                    <w:szCs w:val="21"/>
                  </w:rPr>
                  <w:t>人工成本</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205458E1">
                <w:pPr>
                  <w:jc w:val="right"/>
                  <w:rPr>
                    <w:rFonts w:ascii="Arial Narrow" w:hAnsi="Arial Narrow" w:eastAsiaTheme="minorEastAsia"/>
                    <w:szCs w:val="21"/>
                  </w:rPr>
                </w:pPr>
                <w:r>
                  <w:rPr>
                    <w:rFonts w:ascii="Arial Narrow" w:hAnsi="Arial Narrow" w:eastAsiaTheme="minorEastAsia"/>
                    <w:color w:val="000000"/>
                    <w:szCs w:val="21"/>
                  </w:rPr>
                  <w:t>181,294,881.89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5EE265FC">
                <w:pPr>
                  <w:jc w:val="right"/>
                  <w:rPr>
                    <w:rFonts w:ascii="Arial Narrow" w:hAnsi="Arial Narrow" w:eastAsiaTheme="minorEastAsia"/>
                    <w:szCs w:val="21"/>
                  </w:rPr>
                </w:pPr>
                <w:r>
                  <w:rPr>
                    <w:rFonts w:ascii="Arial Narrow" w:hAnsi="Arial Narrow" w:eastAsiaTheme="minorEastAsia"/>
                    <w:color w:val="000000"/>
                    <w:szCs w:val="21"/>
                  </w:rPr>
                  <w:t>165,642,581.69</w:t>
                </w:r>
              </w:p>
            </w:tc>
          </w:tr>
        </w:sdtContent>
      </w:sdt>
      <w:sdt>
        <w:sdtPr>
          <w:rPr>
            <w:rFonts w:ascii="Arial Narrow" w:hAnsi="Arial Narrow" w:eastAsiaTheme="minorEastAsia"/>
            <w:color w:val="000000"/>
            <w:szCs w:val="21"/>
          </w:rPr>
          <w:alias w:val="研发费用明细"/>
          <w:tag w:val="_TUP_aac17b4f82164ea4af4e1d65f9fea4b2"/>
          <w:id w:val="249173458"/>
          <w:placeholder>
            <w:docPart w:val="3895F3F8C3AA429CA12CD4245FADFC18"/>
          </w:placeholder>
        </w:sdtPr>
        <w:sdtEndPr>
          <w:rPr>
            <w:rFonts w:ascii="Arial Narrow" w:hAnsi="Arial Narrow" w:eastAsiaTheme="minorEastAsia"/>
            <w:color w:val="000000"/>
            <w:szCs w:val="21"/>
          </w:rPr>
        </w:sdtEndPr>
        <w:sdtContent>
          <w:tr w14:paraId="52F7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20A5C04">
                <w:pPr>
                  <w:rPr>
                    <w:rFonts w:ascii="Arial Narrow" w:hAnsi="Arial Narrow" w:eastAsiaTheme="minorEastAsia"/>
                    <w:szCs w:val="21"/>
                  </w:rPr>
                </w:pPr>
                <w:r>
                  <w:rPr>
                    <w:rFonts w:ascii="Arial Narrow" w:hAnsi="Arial Narrow" w:eastAsiaTheme="minorEastAsia"/>
                    <w:color w:val="000000"/>
                    <w:szCs w:val="21"/>
                  </w:rPr>
                  <w:t>材料、动力费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278BB2D">
                <w:pPr>
                  <w:jc w:val="right"/>
                  <w:rPr>
                    <w:rFonts w:ascii="Arial Narrow" w:hAnsi="Arial Narrow" w:eastAsiaTheme="minorEastAsia"/>
                    <w:szCs w:val="21"/>
                  </w:rPr>
                </w:pPr>
                <w:r>
                  <w:rPr>
                    <w:rFonts w:ascii="Arial Narrow" w:hAnsi="Arial Narrow" w:eastAsiaTheme="minorEastAsia"/>
                    <w:color w:val="000000"/>
                    <w:szCs w:val="21"/>
                  </w:rPr>
                  <w:t>74,381,117.10</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4CB19041">
                <w:pPr>
                  <w:jc w:val="right"/>
                  <w:rPr>
                    <w:rFonts w:ascii="Arial Narrow" w:hAnsi="Arial Narrow" w:eastAsiaTheme="minorEastAsia"/>
                    <w:szCs w:val="21"/>
                  </w:rPr>
                </w:pPr>
                <w:r>
                  <w:rPr>
                    <w:rFonts w:ascii="Arial Narrow" w:hAnsi="Arial Narrow" w:eastAsiaTheme="minorEastAsia"/>
                    <w:color w:val="000000"/>
                    <w:szCs w:val="21"/>
                  </w:rPr>
                  <w:t>129,880,428.40</w:t>
                </w:r>
              </w:p>
            </w:tc>
          </w:tr>
        </w:sdtContent>
      </w:sdt>
      <w:sdt>
        <w:sdtPr>
          <w:rPr>
            <w:rFonts w:ascii="Arial Narrow" w:hAnsi="Arial Narrow" w:eastAsiaTheme="minorEastAsia"/>
            <w:color w:val="000000"/>
            <w:szCs w:val="21"/>
          </w:rPr>
          <w:alias w:val="研发费用明细"/>
          <w:tag w:val="_TUP_aac17b4f82164ea4af4e1d65f9fea4b2"/>
          <w:id w:val="-1929026629"/>
          <w:placeholder>
            <w:docPart w:val="3895F3F8C3AA429CA12CD4245FADFC18"/>
          </w:placeholder>
        </w:sdtPr>
        <w:sdtEndPr>
          <w:rPr>
            <w:rFonts w:ascii="Arial Narrow" w:hAnsi="Arial Narrow" w:eastAsiaTheme="minorEastAsia"/>
            <w:color w:val="000000"/>
            <w:szCs w:val="21"/>
          </w:rPr>
        </w:sdtEndPr>
        <w:sdtContent>
          <w:tr w14:paraId="7AD5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0D90A6A2">
                <w:pPr>
                  <w:rPr>
                    <w:rFonts w:ascii="Arial Narrow" w:hAnsi="Arial Narrow" w:eastAsiaTheme="minorEastAsia"/>
                    <w:szCs w:val="21"/>
                  </w:rPr>
                </w:pPr>
                <w:r>
                  <w:rPr>
                    <w:rFonts w:ascii="Arial Narrow" w:hAnsi="Arial Narrow" w:eastAsiaTheme="minorEastAsia"/>
                    <w:color w:val="000000"/>
                    <w:szCs w:val="21"/>
                  </w:rPr>
                  <w:t>折旧及摊销费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01554483">
                <w:pPr>
                  <w:jc w:val="right"/>
                  <w:rPr>
                    <w:rFonts w:ascii="Arial Narrow" w:hAnsi="Arial Narrow" w:eastAsiaTheme="minorEastAsia"/>
                    <w:szCs w:val="21"/>
                  </w:rPr>
                </w:pPr>
                <w:r>
                  <w:rPr>
                    <w:rFonts w:ascii="Arial Narrow" w:hAnsi="Arial Narrow" w:eastAsiaTheme="minorEastAsia"/>
                    <w:color w:val="000000"/>
                    <w:szCs w:val="21"/>
                  </w:rPr>
                  <w:t>18,221,889.28</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F31F6C9">
                <w:pPr>
                  <w:jc w:val="right"/>
                  <w:rPr>
                    <w:rFonts w:ascii="Arial Narrow" w:hAnsi="Arial Narrow" w:eastAsiaTheme="minorEastAsia"/>
                    <w:szCs w:val="21"/>
                  </w:rPr>
                </w:pPr>
                <w:r>
                  <w:rPr>
                    <w:rFonts w:ascii="Arial Narrow" w:hAnsi="Arial Narrow" w:eastAsiaTheme="minorEastAsia"/>
                    <w:color w:val="000000"/>
                    <w:szCs w:val="21"/>
                  </w:rPr>
                  <w:t>18,715,582.76</w:t>
                </w:r>
              </w:p>
            </w:tc>
          </w:tr>
        </w:sdtContent>
      </w:sdt>
      <w:sdt>
        <w:sdtPr>
          <w:rPr>
            <w:rFonts w:ascii="Arial Narrow" w:hAnsi="Arial Narrow" w:eastAsiaTheme="minorEastAsia"/>
            <w:color w:val="000000"/>
            <w:szCs w:val="21"/>
          </w:rPr>
          <w:alias w:val="研发费用明细"/>
          <w:tag w:val="_TUP_aac17b4f82164ea4af4e1d65f9fea4b2"/>
          <w:id w:val="956063203"/>
          <w:placeholder>
            <w:docPart w:val="3895F3F8C3AA429CA12CD4245FADFC18"/>
          </w:placeholder>
        </w:sdtPr>
        <w:sdtEndPr>
          <w:rPr>
            <w:rFonts w:ascii="Arial Narrow" w:hAnsi="Arial Narrow" w:eastAsiaTheme="minorEastAsia"/>
            <w:color w:val="000000"/>
            <w:szCs w:val="21"/>
          </w:rPr>
        </w:sdtEndPr>
        <w:sdtContent>
          <w:tr w14:paraId="6B95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6261565D">
                <w:pPr>
                  <w:rPr>
                    <w:rFonts w:ascii="Arial Narrow" w:hAnsi="Arial Narrow" w:eastAsiaTheme="minorEastAsia"/>
                    <w:szCs w:val="21"/>
                  </w:rPr>
                </w:pPr>
                <w:r>
                  <w:rPr>
                    <w:rFonts w:ascii="Arial Narrow" w:hAnsi="Arial Narrow" w:eastAsiaTheme="minorEastAsia"/>
                    <w:color w:val="000000"/>
                    <w:szCs w:val="21"/>
                  </w:rPr>
                  <w:t>检验检测费</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4B3B0BD2">
                <w:pPr>
                  <w:jc w:val="right"/>
                  <w:rPr>
                    <w:rFonts w:ascii="Arial Narrow" w:hAnsi="Arial Narrow" w:eastAsiaTheme="minorEastAsia"/>
                    <w:szCs w:val="21"/>
                  </w:rPr>
                </w:pPr>
                <w:r>
                  <w:rPr>
                    <w:rFonts w:ascii="Arial Narrow" w:hAnsi="Arial Narrow" w:eastAsiaTheme="minorEastAsia"/>
                    <w:color w:val="000000"/>
                    <w:szCs w:val="21"/>
                  </w:rPr>
                  <w:t>18,788,327.03</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3414F8E">
                <w:pPr>
                  <w:jc w:val="right"/>
                  <w:rPr>
                    <w:rFonts w:ascii="Arial Narrow" w:hAnsi="Arial Narrow" w:eastAsiaTheme="minorEastAsia"/>
                    <w:szCs w:val="21"/>
                  </w:rPr>
                </w:pPr>
                <w:r>
                  <w:rPr>
                    <w:rFonts w:ascii="Arial Narrow" w:hAnsi="Arial Narrow" w:eastAsiaTheme="minorEastAsia"/>
                    <w:color w:val="000000"/>
                    <w:szCs w:val="21"/>
                  </w:rPr>
                  <w:t>20,592,841.64</w:t>
                </w:r>
              </w:p>
            </w:tc>
          </w:tr>
        </w:sdtContent>
      </w:sdt>
      <w:sdt>
        <w:sdtPr>
          <w:rPr>
            <w:rFonts w:ascii="Arial Narrow" w:hAnsi="Arial Narrow" w:eastAsiaTheme="minorEastAsia"/>
            <w:color w:val="000000"/>
            <w:szCs w:val="21"/>
          </w:rPr>
          <w:alias w:val="研发费用明细"/>
          <w:tag w:val="_TUP_aac17b4f82164ea4af4e1d65f9fea4b2"/>
          <w:id w:val="-1007443504"/>
          <w:placeholder>
            <w:docPart w:val="3895F3F8C3AA429CA12CD4245FADFC18"/>
          </w:placeholder>
        </w:sdtPr>
        <w:sdtEndPr>
          <w:rPr>
            <w:rFonts w:ascii="Arial Narrow" w:hAnsi="Arial Narrow" w:eastAsiaTheme="minorEastAsia"/>
            <w:color w:val="000000"/>
            <w:szCs w:val="21"/>
          </w:rPr>
        </w:sdtEndPr>
        <w:sdtContent>
          <w:tr w14:paraId="5D75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shd w:val="clear" w:color="auto" w:fill="auto"/>
                <w:vAlign w:val="bottom"/>
              </w:tcPr>
              <w:p w14:paraId="6DDAED14">
                <w:pPr>
                  <w:rPr>
                    <w:rFonts w:ascii="Arial Narrow" w:hAnsi="Arial Narrow" w:eastAsiaTheme="minorEastAsia"/>
                    <w:szCs w:val="21"/>
                  </w:rPr>
                </w:pPr>
                <w:r>
                  <w:rPr>
                    <w:rFonts w:ascii="Arial Narrow" w:hAnsi="Arial Narrow" w:eastAsiaTheme="minorEastAsia"/>
                    <w:color w:val="000000"/>
                    <w:szCs w:val="21"/>
                  </w:rPr>
                  <w:t>其他</w:t>
                </w:r>
              </w:p>
            </w:tc>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02C604FE">
                <w:pPr>
                  <w:jc w:val="right"/>
                  <w:rPr>
                    <w:rFonts w:ascii="Arial Narrow" w:hAnsi="Arial Narrow" w:eastAsiaTheme="minorEastAsia"/>
                    <w:szCs w:val="21"/>
                  </w:rPr>
                </w:pPr>
                <w:r>
                  <w:rPr>
                    <w:rFonts w:ascii="Arial Narrow" w:hAnsi="Arial Narrow" w:eastAsiaTheme="minorEastAsia"/>
                    <w:color w:val="000000"/>
                    <w:szCs w:val="21"/>
                  </w:rPr>
                  <w:t>44,356,522.29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01BA26F8">
                <w:pPr>
                  <w:jc w:val="right"/>
                  <w:rPr>
                    <w:rFonts w:ascii="Arial Narrow" w:hAnsi="Arial Narrow" w:eastAsiaTheme="minorEastAsia"/>
                    <w:szCs w:val="21"/>
                  </w:rPr>
                </w:pPr>
                <w:r>
                  <w:rPr>
                    <w:rFonts w:ascii="Arial Narrow" w:hAnsi="Arial Narrow" w:eastAsiaTheme="minorEastAsia"/>
                    <w:color w:val="000000"/>
                    <w:szCs w:val="21"/>
                  </w:rPr>
                  <w:t>42,682,009.18</w:t>
                </w:r>
              </w:p>
            </w:tc>
          </w:tr>
        </w:sdtContent>
      </w:sdt>
      <w:tr w14:paraId="7A5A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7607e07033404f718217f1ea165e2281"/>
            <w:id w:val="1465769784"/>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06D6821E">
                <w:pPr>
                  <w:jc w:val="center"/>
                  <w:rPr>
                    <w:rFonts w:ascii="Arial Narrow" w:hAnsi="Arial Narrow" w:eastAsiaTheme="minorEastAsia"/>
                    <w:szCs w:val="21"/>
                  </w:rPr>
                </w:pPr>
                <w:r>
                  <w:rPr>
                    <w:rFonts w:ascii="Arial Narrow" w:hAnsi="Arial Narrow" w:eastAsiaTheme="minorEastAsia"/>
                    <w:szCs w:val="21"/>
                  </w:rPr>
                  <w:t>合计</w:t>
                </w:r>
              </w:p>
            </w:tc>
          </w:sdtContent>
        </w:sdt>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6E4A6F38">
            <w:pPr>
              <w:jc w:val="right"/>
              <w:rPr>
                <w:rFonts w:ascii="Arial Narrow" w:hAnsi="Arial Narrow" w:eastAsiaTheme="minorEastAsia"/>
                <w:szCs w:val="21"/>
              </w:rPr>
            </w:pPr>
            <w:r>
              <w:rPr>
                <w:rFonts w:ascii="Arial Narrow" w:hAnsi="Arial Narrow" w:eastAsiaTheme="minorEastAsia"/>
                <w:color w:val="000000"/>
                <w:szCs w:val="21"/>
              </w:rPr>
              <w:t>337,042,737.59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3899ABA2">
            <w:pPr>
              <w:jc w:val="right"/>
              <w:rPr>
                <w:rFonts w:ascii="Arial Narrow" w:hAnsi="Arial Narrow" w:eastAsiaTheme="minorEastAsia"/>
                <w:szCs w:val="21"/>
              </w:rPr>
            </w:pPr>
            <w:r>
              <w:rPr>
                <w:rFonts w:ascii="Arial Narrow" w:hAnsi="Arial Narrow" w:eastAsiaTheme="minorEastAsia"/>
                <w:color w:val="000000"/>
                <w:szCs w:val="21"/>
              </w:rPr>
              <w:t>377,513,443.67</w:t>
            </w:r>
          </w:p>
        </w:tc>
      </w:tr>
      <w:tr w14:paraId="58A9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d7eda666c92c4e80b5228902cf5c7cf0"/>
            <w:id w:val="-614899227"/>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72C0412D">
                <w:pPr>
                  <w:rPr>
                    <w:rFonts w:ascii="Arial Narrow" w:hAnsi="Arial Narrow" w:eastAsiaTheme="minorEastAsia"/>
                    <w:szCs w:val="21"/>
                  </w:rPr>
                </w:pPr>
                <w:r>
                  <w:rPr>
                    <w:rFonts w:ascii="Arial Narrow" w:hAnsi="Arial Narrow" w:eastAsiaTheme="minorEastAsia"/>
                    <w:szCs w:val="21"/>
                  </w:rPr>
                  <w:t>其中：费用化研发支出</w:t>
                </w:r>
              </w:p>
            </w:tc>
          </w:sdtContent>
        </w:sdt>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5491613E">
            <w:pPr>
              <w:jc w:val="right"/>
              <w:rPr>
                <w:rFonts w:ascii="Arial Narrow" w:hAnsi="Arial Narrow" w:eastAsiaTheme="minorEastAsia"/>
                <w:szCs w:val="21"/>
              </w:rPr>
            </w:pPr>
            <w:r>
              <w:rPr>
                <w:rFonts w:ascii="Arial Narrow" w:hAnsi="Arial Narrow" w:eastAsiaTheme="minorEastAsia"/>
                <w:color w:val="000000"/>
                <w:szCs w:val="21"/>
              </w:rPr>
              <w:t>337,042,737.59</w:t>
            </w: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684C7823">
            <w:pPr>
              <w:jc w:val="right"/>
              <w:rPr>
                <w:rFonts w:ascii="Arial Narrow" w:hAnsi="Arial Narrow" w:eastAsiaTheme="minorEastAsia"/>
                <w:szCs w:val="21"/>
              </w:rPr>
            </w:pPr>
            <w:r>
              <w:rPr>
                <w:rFonts w:ascii="Arial Narrow" w:hAnsi="Arial Narrow" w:eastAsiaTheme="minorEastAsia"/>
                <w:color w:val="000000"/>
                <w:szCs w:val="21"/>
              </w:rPr>
              <w:t>377,513,443.67</w:t>
            </w:r>
          </w:p>
        </w:tc>
      </w:tr>
      <w:tr w14:paraId="4737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20a40dce0d964cb0a8109b6f1ad48692"/>
            <w:id w:val="-224071043"/>
          </w:sdtPr>
          <w:sdtEndPr>
            <w:rPr>
              <w:rFonts w:ascii="Arial Narrow" w:hAnsi="Arial Narrow" w:eastAsiaTheme="minorEastAsia"/>
              <w:szCs w:val="21"/>
            </w:rPr>
          </w:sdtEndPr>
          <w:sdtContent>
            <w:tc>
              <w:tcPr>
                <w:tcW w:w="2213" w:type="pct"/>
                <w:tcBorders>
                  <w:top w:val="single" w:color="auto" w:sz="4" w:space="0"/>
                  <w:left w:val="single" w:color="auto" w:sz="4" w:space="0"/>
                  <w:bottom w:val="single" w:color="auto" w:sz="4" w:space="0"/>
                  <w:right w:val="single" w:color="auto" w:sz="4" w:space="0"/>
                </w:tcBorders>
                <w:shd w:val="clear" w:color="auto" w:fill="auto"/>
                <w:vAlign w:val="center"/>
              </w:tcPr>
              <w:p w14:paraId="06AF66A9">
                <w:pPr>
                  <w:ind w:firstLine="630" w:firstLineChars="300"/>
                  <w:rPr>
                    <w:rFonts w:ascii="Arial Narrow" w:hAnsi="Arial Narrow" w:eastAsiaTheme="minorEastAsia"/>
                    <w:szCs w:val="21"/>
                  </w:rPr>
                </w:pPr>
                <w:r>
                  <w:rPr>
                    <w:rFonts w:ascii="Arial Narrow" w:hAnsi="Arial Narrow" w:eastAsiaTheme="minorEastAsia"/>
                    <w:szCs w:val="21"/>
                  </w:rPr>
                  <w:t>资本化研发支出</w:t>
                </w:r>
              </w:p>
            </w:tc>
          </w:sdtContent>
        </w:sdt>
        <w:tc>
          <w:tcPr>
            <w:tcW w:w="1439" w:type="pct"/>
            <w:tcBorders>
              <w:top w:val="single" w:color="auto" w:sz="4" w:space="0"/>
              <w:left w:val="single" w:color="auto" w:sz="4" w:space="0"/>
              <w:bottom w:val="single" w:color="auto" w:sz="4" w:space="0"/>
              <w:right w:val="single" w:color="auto" w:sz="4" w:space="0"/>
            </w:tcBorders>
            <w:shd w:val="clear" w:color="auto" w:fill="auto"/>
            <w:vAlign w:val="center"/>
          </w:tcPr>
          <w:p w14:paraId="12020810">
            <w:pPr>
              <w:jc w:val="right"/>
              <w:rPr>
                <w:rFonts w:ascii="Arial Narrow" w:hAnsi="Arial Narrow" w:eastAsiaTheme="minorEastAsia"/>
                <w:szCs w:val="21"/>
              </w:rPr>
            </w:pPr>
          </w:p>
        </w:tc>
        <w:tc>
          <w:tcPr>
            <w:tcW w:w="1348" w:type="pct"/>
            <w:tcBorders>
              <w:top w:val="single" w:color="auto" w:sz="4" w:space="0"/>
              <w:left w:val="single" w:color="auto" w:sz="4" w:space="0"/>
              <w:bottom w:val="single" w:color="auto" w:sz="4" w:space="0"/>
              <w:right w:val="single" w:color="auto" w:sz="4" w:space="0"/>
            </w:tcBorders>
            <w:shd w:val="clear" w:color="auto" w:fill="auto"/>
            <w:vAlign w:val="center"/>
          </w:tcPr>
          <w:p w14:paraId="72FBF6CC">
            <w:pPr>
              <w:jc w:val="right"/>
              <w:rPr>
                <w:rFonts w:ascii="Arial Narrow" w:hAnsi="Arial Narrow" w:eastAsiaTheme="minorEastAsia"/>
                <w:szCs w:val="21"/>
              </w:rPr>
            </w:pPr>
          </w:p>
        </w:tc>
      </w:tr>
    </w:tbl>
    <w:p w14:paraId="4459496F">
      <w:pPr>
        <w:rPr>
          <w:rFonts w:hint="eastAsia"/>
        </w:rPr>
      </w:pPr>
    </w:p>
    <w:p w14:paraId="035FA774">
      <w:pPr>
        <w:rPr>
          <w:rFonts w:hint="eastAsia"/>
          <w:szCs w:val="21"/>
        </w:rPr>
      </w:pPr>
      <w:r>
        <w:rPr>
          <w:rFonts w:hint="eastAsia"/>
          <w:szCs w:val="21"/>
        </w:rPr>
        <w:t>其他说明：</w:t>
      </w:r>
    </w:p>
    <w:sdt>
      <w:sdtPr>
        <w:alias w:val="研发支出按费用性质列示的其他说明"/>
        <w:tag w:val="_GBC_832f0bcbd22345ddb2d8bda2e55f93da"/>
        <w:id w:val="330952698"/>
        <w:placeholder>
          <w:docPart w:val="D54B4F1F8E754B1FA4DBA2900AD39AAB"/>
        </w:placeholder>
      </w:sdtPr>
      <w:sdtContent>
        <w:p w14:paraId="07A7C5DD">
          <w:pPr>
            <w:rPr>
              <w:rFonts w:hint="eastAsia"/>
            </w:rPr>
          </w:pPr>
          <w:r>
            <w:rPr>
              <w:rFonts w:hint="eastAsia"/>
            </w:rPr>
            <w:t>无</w:t>
          </w:r>
        </w:p>
      </w:sdtContent>
    </w:sdt>
    <w:p w14:paraId="4A5E7604">
      <w:pPr>
        <w:rPr>
          <w:rFonts w:hint="eastAsia"/>
        </w:rPr>
      </w:pPr>
    </w:p>
    <w:p w14:paraId="075795FB">
      <w:pPr>
        <w:rPr>
          <w:rFonts w:hint="eastAsia"/>
        </w:rPr>
      </w:pPr>
    </w:p>
    <w:bookmarkEnd w:id="378"/>
    <w:p w14:paraId="28E482E3">
      <w:pPr>
        <w:pStyle w:val="70"/>
        <w:numPr>
          <w:ilvl w:val="0"/>
          <w:numId w:val="153"/>
        </w:numPr>
      </w:pPr>
      <w:bookmarkStart w:id="379" w:name="_Hlk153266294"/>
      <w:r>
        <w:rPr>
          <w:rFonts w:hint="eastAsia"/>
        </w:rPr>
        <w:t>符合资本化条件的研发项目开发支出</w:t>
      </w:r>
    </w:p>
    <w:sdt>
      <w:sdtPr>
        <w:alias w:val="是否适用：开发支出[双击切换]"/>
        <w:tag w:val="_GBC_173f2bb3b2db483e82638801b8b2955b"/>
        <w:id w:val="1215545572"/>
        <w:placeholder>
          <w:docPart w:val="GBC22222222222222222222222222222"/>
        </w:placeholder>
      </w:sdtPr>
      <w:sdtContent>
        <w:p w14:paraId="7378F49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0EA234E">
      <w:pPr>
        <w:rPr>
          <w:rFonts w:hint="eastAsia"/>
          <w:szCs w:val="21"/>
        </w:rPr>
      </w:pPr>
    </w:p>
    <w:bookmarkEnd w:id="379"/>
    <w:p w14:paraId="024C08D2">
      <w:pPr>
        <w:rPr>
          <w:rFonts w:hint="eastAsia"/>
          <w:szCs w:val="21"/>
        </w:rPr>
      </w:pPr>
      <w:r>
        <w:rPr>
          <w:szCs w:val="21"/>
        </w:rPr>
        <w:t>重要的资本化研发项目</w:t>
      </w:r>
    </w:p>
    <w:sdt>
      <w:sdtPr>
        <w:rPr>
          <w:szCs w:val="21"/>
        </w:rPr>
        <w:alias w:val="是否适用：重要的资本化研发项目[双击切换]"/>
        <w:tag w:val="_GBC_d1b90c9364924f2791f75c6b9a12139f"/>
        <w:id w:val="1448733028"/>
        <w:placeholder>
          <w:docPart w:val="GBC22222222222222222222222222222"/>
        </w:placeholder>
      </w:sdtPr>
      <w:sdtEndPr>
        <w:rPr>
          <w:szCs w:val="21"/>
        </w:rPr>
      </w:sdtEndPr>
      <w:sdtContent>
        <w:p w14:paraId="26A35083">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2E66BCC">
      <w:pPr>
        <w:rPr>
          <w:rFonts w:hint="eastAsia"/>
          <w:szCs w:val="21"/>
        </w:rPr>
      </w:pPr>
    </w:p>
    <w:p w14:paraId="625488CE">
      <w:pPr>
        <w:rPr>
          <w:rFonts w:hint="eastAsia"/>
          <w:szCs w:val="21"/>
        </w:rPr>
      </w:pPr>
      <w:r>
        <w:rPr>
          <w:szCs w:val="21"/>
        </w:rPr>
        <w:t>开发支出减值准备</w:t>
      </w:r>
    </w:p>
    <w:sdt>
      <w:sdtPr>
        <w:rPr>
          <w:szCs w:val="21"/>
        </w:rPr>
        <w:alias w:val="是否适用：开发支出减值准备[双击切换]"/>
        <w:tag w:val="_GBC_54eb6a513e574cfa85e9b90a1588b10f"/>
        <w:id w:val="347068513"/>
        <w:placeholder>
          <w:docPart w:val="GBC22222222222222222222222222222"/>
        </w:placeholder>
      </w:sdtPr>
      <w:sdtEndPr>
        <w:rPr>
          <w:szCs w:val="21"/>
        </w:rPr>
      </w:sdtEndPr>
      <w:sdtContent>
        <w:p w14:paraId="21F4407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BBC6D7E">
      <w:pPr>
        <w:rPr>
          <w:rFonts w:hint="eastAsia"/>
          <w:szCs w:val="21"/>
        </w:rPr>
      </w:pPr>
    </w:p>
    <w:p w14:paraId="32596AF9">
      <w:pPr>
        <w:rPr>
          <w:rFonts w:hint="eastAsia"/>
          <w:szCs w:val="21"/>
        </w:rPr>
      </w:pPr>
      <w:r>
        <w:rPr>
          <w:rFonts w:hint="eastAsia"/>
          <w:szCs w:val="21"/>
        </w:rPr>
        <w:t>其他说明：</w:t>
      </w:r>
    </w:p>
    <w:sdt>
      <w:sdtPr>
        <w:alias w:val="符合资本化条件的研发项目开发支出的其他说明"/>
        <w:tag w:val="_GBC_3c7da8ec7a3a443ba6a37565a5e99433"/>
        <w:id w:val="1889226326"/>
        <w:placeholder>
          <w:docPart w:val="GBC22222222222222222222222222222"/>
        </w:placeholder>
      </w:sdtPr>
      <w:sdtContent>
        <w:p w14:paraId="2B699B37">
          <w:pPr>
            <w:rPr>
              <w:rFonts w:hint="eastAsia"/>
            </w:rPr>
          </w:pPr>
          <w:r>
            <w:rPr>
              <w:rFonts w:hint="eastAsia"/>
            </w:rPr>
            <w:t>无</w:t>
          </w:r>
        </w:p>
      </w:sdtContent>
    </w:sdt>
    <w:p w14:paraId="0D744EC5">
      <w:pPr>
        <w:rPr>
          <w:rFonts w:hint="eastAsia"/>
          <w:szCs w:val="21"/>
        </w:rPr>
      </w:pPr>
    </w:p>
    <w:p w14:paraId="41FEA17A">
      <w:pPr>
        <w:pStyle w:val="70"/>
        <w:numPr>
          <w:ilvl w:val="0"/>
          <w:numId w:val="153"/>
        </w:numPr>
      </w:pPr>
      <w:r>
        <w:rPr>
          <w:rFonts w:hint="eastAsia"/>
        </w:rPr>
        <w:t>重要的外购在研项目</w:t>
      </w:r>
    </w:p>
    <w:sdt>
      <w:sdtPr>
        <w:rPr>
          <w:szCs w:val="21"/>
        </w:rPr>
        <w:alias w:val="是否适用：重要的外购在研项目[双击切换]"/>
        <w:tag w:val="_GBC_8385c2c52dfe44b6b2522468b8800584"/>
        <w:id w:val="2073539067"/>
        <w:placeholder>
          <w:docPart w:val="GBC22222222222222222222222222222"/>
        </w:placeholder>
      </w:sdtPr>
      <w:sdtEndPr>
        <w:rPr>
          <w:szCs w:val="21"/>
        </w:rPr>
      </w:sdtEndPr>
      <w:sdtContent>
        <w:p w14:paraId="60858AD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AD9702D">
      <w:pPr>
        <w:rPr>
          <w:rFonts w:hint="eastAsia"/>
          <w:szCs w:val="21"/>
        </w:rPr>
      </w:pPr>
    </w:p>
    <w:p w14:paraId="52B12AE4">
      <w:pPr>
        <w:rPr>
          <w:rFonts w:hint="eastAsia"/>
          <w:szCs w:val="21"/>
        </w:rPr>
      </w:pPr>
    </w:p>
    <w:p w14:paraId="71C73DAC">
      <w:pPr>
        <w:pStyle w:val="69"/>
        <w:numPr>
          <w:ilvl w:val="0"/>
          <w:numId w:val="87"/>
        </w:numPr>
        <w:rPr>
          <w:rFonts w:hint="eastAsia" w:ascii="宋体" w:hAnsi="宋体"/>
        </w:rPr>
      </w:pPr>
      <w:r>
        <w:rPr>
          <w:rFonts w:hint="eastAsia"/>
        </w:rPr>
        <w:t>合并范围的变更</w:t>
      </w:r>
    </w:p>
    <w:p w14:paraId="0395EF51">
      <w:pPr>
        <w:pStyle w:val="70"/>
        <w:numPr>
          <w:ilvl w:val="0"/>
          <w:numId w:val="154"/>
        </w:numPr>
        <w:rPr>
          <w:rFonts w:hint="eastAsia" w:ascii="宋体" w:hAnsi="宋体" w:cs="Arial"/>
          <w:szCs w:val="21"/>
        </w:rPr>
      </w:pPr>
      <w:r>
        <w:rPr>
          <w:rFonts w:hint="eastAsia" w:ascii="宋体" w:hAnsi="宋体" w:cs="Arial"/>
          <w:szCs w:val="21"/>
        </w:rPr>
        <w:t>非同一控制下企业合并</w:t>
      </w:r>
    </w:p>
    <w:sdt>
      <w:sdtPr>
        <w:alias w:val="是否适用：非同一控制下企业合并[双击切换]"/>
        <w:tag w:val="_GBC_f305adddf4654659bd28ceedc072aa05"/>
        <w:id w:val="1506786610"/>
        <w:placeholder>
          <w:docPart w:val="GBC22222222222222222222222222222"/>
        </w:placeholder>
      </w:sdtPr>
      <w:sdtContent>
        <w:p w14:paraId="2A0AA56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32C8906">
      <w:pPr>
        <w:rPr>
          <w:rFonts w:hint="eastAsia"/>
        </w:rPr>
      </w:pPr>
    </w:p>
    <w:p w14:paraId="19752A0D">
      <w:pPr>
        <w:rPr>
          <w:rFonts w:hint="eastAsia" w:cstheme="minorBidi"/>
          <w:szCs w:val="21"/>
        </w:rPr>
      </w:pPr>
    </w:p>
    <w:p w14:paraId="3EDAF469">
      <w:pPr>
        <w:rPr>
          <w:rFonts w:hint="eastAsia"/>
          <w:szCs w:val="21"/>
        </w:rPr>
      </w:pPr>
    </w:p>
    <w:p w14:paraId="70DF491E">
      <w:pPr>
        <w:pStyle w:val="70"/>
        <w:numPr>
          <w:ilvl w:val="0"/>
          <w:numId w:val="154"/>
        </w:numPr>
        <w:rPr>
          <w:rFonts w:hint="eastAsia" w:ascii="宋体" w:hAnsi="宋体" w:cs="Arial"/>
          <w:szCs w:val="21"/>
        </w:rPr>
      </w:pPr>
      <w:r>
        <w:rPr>
          <w:rFonts w:hint="eastAsia" w:ascii="宋体" w:hAnsi="宋体" w:cs="Arial"/>
          <w:szCs w:val="21"/>
        </w:rPr>
        <w:t>同一控制下企业合并</w:t>
      </w:r>
    </w:p>
    <w:sdt>
      <w:sdtPr>
        <w:alias w:val="是否适用：同一控制下企业合并[双击切换]"/>
        <w:tag w:val="_GBC_698d1a451f094ec0bf9c3a278d26a0d3"/>
        <w:id w:val="-2119597499"/>
        <w:placeholder>
          <w:docPart w:val="GBC22222222222222222222222222222"/>
        </w:placeholder>
      </w:sdtPr>
      <w:sdtContent>
        <w:p w14:paraId="4104F018">
          <w:pPr>
            <w:rPr>
              <w:rFonts w:hint="eastAsia" w:cs="Arial"/>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BD48065">
      <w:pPr>
        <w:rPr>
          <w:rFonts w:hint="eastAsia" w:cs="Arial"/>
          <w:szCs w:val="21"/>
        </w:rPr>
      </w:pPr>
    </w:p>
    <w:p w14:paraId="624E7DE1">
      <w:pPr>
        <w:pStyle w:val="70"/>
        <w:numPr>
          <w:ilvl w:val="0"/>
          <w:numId w:val="154"/>
        </w:numPr>
        <w:rPr>
          <w:rFonts w:hint="eastAsia" w:ascii="宋体" w:hAnsi="宋体" w:cs="Arial"/>
          <w:szCs w:val="21"/>
        </w:rPr>
      </w:pPr>
      <w:r>
        <w:rPr>
          <w:rFonts w:hint="eastAsia" w:ascii="宋体" w:hAnsi="宋体" w:cs="Arial"/>
          <w:szCs w:val="21"/>
        </w:rPr>
        <w:t>反向购买</w:t>
      </w:r>
    </w:p>
    <w:sdt>
      <w:sdtPr>
        <w:alias w:val="是否适用：反向购买[双击切换]"/>
        <w:tag w:val="_GBC_717fa638fefe45c09c1f2627ba167ee4"/>
        <w:id w:val="-227698113"/>
        <w:placeholder>
          <w:docPart w:val="GBC22222222222222222222222222222"/>
        </w:placeholder>
      </w:sdtPr>
      <w:sdtContent>
        <w:p w14:paraId="783FFCBF">
          <w:pPr>
            <w:rPr>
              <w:rFonts w:hint="eastAsia" w:cs="Arial"/>
              <w:szCs w:val="21"/>
              <w:lang w:val="en-GB"/>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2758DFB">
      <w:pPr>
        <w:rPr>
          <w:rFonts w:hint="eastAsia" w:cs="Arial"/>
          <w:szCs w:val="21"/>
          <w:lang w:val="en-GB"/>
        </w:rPr>
      </w:pPr>
    </w:p>
    <w:p w14:paraId="02D4B63F">
      <w:pPr>
        <w:rPr>
          <w:rFonts w:hint="eastAsia" w:cs="Arial"/>
          <w:szCs w:val="21"/>
        </w:rPr>
      </w:pPr>
    </w:p>
    <w:p w14:paraId="35603D1E">
      <w:pPr>
        <w:rPr>
          <w:rFonts w:hint="eastAsia" w:cs="Arial"/>
          <w:szCs w:val="21"/>
        </w:rPr>
        <w:sectPr>
          <w:pgSz w:w="11906" w:h="16838"/>
          <w:pgMar w:top="1440" w:right="1797" w:bottom="1525" w:left="1276" w:header="856" w:footer="992" w:gutter="0"/>
          <w:cols w:space="425" w:num="1"/>
          <w:docGrid w:linePitch="312" w:charSpace="0"/>
        </w:sectPr>
      </w:pPr>
    </w:p>
    <w:p w14:paraId="48158483">
      <w:pPr>
        <w:pStyle w:val="70"/>
        <w:numPr>
          <w:ilvl w:val="0"/>
          <w:numId w:val="154"/>
        </w:numPr>
        <w:rPr>
          <w:rFonts w:hint="eastAsia" w:ascii="宋体" w:hAnsi="宋体" w:cs="Arial"/>
          <w:szCs w:val="21"/>
        </w:rPr>
      </w:pPr>
      <w:r>
        <w:rPr>
          <w:rFonts w:hint="eastAsia" w:ascii="宋体" w:hAnsi="宋体" w:cs="Arial"/>
          <w:szCs w:val="21"/>
        </w:rPr>
        <w:t>处置子公司</w:t>
      </w:r>
    </w:p>
    <w:p w14:paraId="7C89738C">
      <w:pPr>
        <w:rPr>
          <w:rFonts w:hint="eastAsia"/>
        </w:rPr>
      </w:pPr>
      <w:r>
        <w:rPr>
          <w:rFonts w:hint="eastAsia"/>
        </w:rPr>
        <w:t>本期是否存在</w:t>
      </w:r>
      <w:r>
        <w:t>丧失</w:t>
      </w:r>
      <w:r>
        <w:rPr>
          <w:rFonts w:hint="eastAsia"/>
        </w:rPr>
        <w:t>子公司</w:t>
      </w:r>
      <w:r>
        <w:t>控制权</w:t>
      </w:r>
      <w:r>
        <w:rPr>
          <w:rFonts w:hint="eastAsia"/>
        </w:rPr>
        <w:t>的交易或事项</w:t>
      </w:r>
    </w:p>
    <w:sdt>
      <w:sdtPr>
        <w:rPr>
          <w:rFonts w:hint="eastAsia" w:cs="Arial"/>
          <w:szCs w:val="21"/>
        </w:rPr>
        <w:alias w:val="是否存在单次交易处置对子公司投资即丧失控制权的情形[双击切换]"/>
        <w:tag w:val="_GBC_34b271ee01844be4a0580269d95adcf3"/>
        <w:id w:val="-1303994922"/>
        <w:placeholder>
          <w:docPart w:val="GBC22222222222222222222222222222"/>
        </w:placeholder>
      </w:sdtPr>
      <w:sdtEndPr>
        <w:rPr>
          <w:rFonts w:hint="eastAsia" w:cs="Arial"/>
          <w:szCs w:val="21"/>
        </w:rPr>
      </w:sdtEndPr>
      <w:sdtContent>
        <w:p w14:paraId="47D5F372">
          <w:pPr>
            <w:rPr>
              <w:rFonts w:hint="eastAsia" w:cs="Arial"/>
              <w:szCs w:val="21"/>
            </w:rPr>
          </w:pPr>
          <w:r>
            <w:rPr>
              <w:rFonts w:cs="Arial"/>
              <w:szCs w:val="21"/>
            </w:rPr>
            <w:fldChar w:fldCharType="begin"/>
          </w:r>
          <w:r>
            <w:rPr>
              <w:rFonts w:hint="eastAsia" w:cs="Arial"/>
              <w:szCs w:val="21"/>
            </w:rPr>
            <w:instrText xml:space="preserve">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21543EAF">
      <w:pPr>
        <w:rPr>
          <w:rFonts w:hint="eastAsia"/>
        </w:rPr>
      </w:pPr>
    </w:p>
    <w:p w14:paraId="75E93B7F">
      <w:pPr>
        <w:rPr>
          <w:rFonts w:hint="eastAsia" w:cs="Arial"/>
          <w:color w:val="000000"/>
          <w:szCs w:val="21"/>
        </w:rPr>
      </w:pPr>
      <w:r>
        <w:rPr>
          <w:rFonts w:hint="eastAsia" w:cs="Arial"/>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977326311"/>
        <w:placeholder>
          <w:docPart w:val="GBC22222222222222222222222222222"/>
        </w:placeholder>
      </w:sdtPr>
      <w:sdtEndPr>
        <w:rPr>
          <w:rFonts w:cs="Arial"/>
          <w:color w:val="000000"/>
          <w:szCs w:val="21"/>
        </w:rPr>
      </w:sdtEndPr>
      <w:sdtContent>
        <w:p w14:paraId="7DBE1741">
          <w:pPr>
            <w:rPr>
              <w:rFonts w:hint="eastAsia"/>
              <w:color w:val="000000"/>
              <w:szCs w:val="21"/>
            </w:rPr>
          </w:pPr>
          <w:r>
            <w:rPr>
              <w:rFonts w:cs="Arial"/>
              <w:color w:val="000000"/>
              <w:szCs w:val="21"/>
            </w:rPr>
            <w:fldChar w:fldCharType="begin"/>
          </w:r>
          <w:r>
            <w:rPr>
              <w:rFonts w:hint="eastAsia"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Pr>
              <w:rFonts w:hint="eastAsia" w:cs="Arial"/>
              <w:color w:val="000000"/>
              <w:szCs w:val="21"/>
            </w:rPr>
            <w:instrText xml:space="preserve"> MACROBUTTON  SnrToggleCheckbox √不适用 </w:instrText>
          </w:r>
          <w:r>
            <w:rPr>
              <w:rFonts w:cs="Arial"/>
              <w:color w:val="000000"/>
              <w:szCs w:val="21"/>
            </w:rPr>
            <w:fldChar w:fldCharType="end"/>
          </w:r>
        </w:p>
      </w:sdtContent>
    </w:sdt>
    <w:p w14:paraId="008F0111">
      <w:pPr>
        <w:pStyle w:val="15"/>
        <w:rPr>
          <w:color w:val="000000"/>
        </w:rPr>
      </w:pPr>
    </w:p>
    <w:p w14:paraId="0928A4BF">
      <w:pPr>
        <w:rPr>
          <w:rFonts w:hint="eastAsia" w:cs="Arial"/>
          <w:szCs w:val="21"/>
        </w:rPr>
      </w:pPr>
      <w:bookmarkStart w:id="380" w:name="_Hlk153549147"/>
      <w:r>
        <w:rPr>
          <w:rFonts w:hint="eastAsia" w:cs="Arial"/>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4b70a49fc9804e569104ce532e1e0bd8"/>
        <w:id w:val="-265309789"/>
        <w:placeholder>
          <w:docPart w:val="GBC22222222222222222222222222222"/>
        </w:placeholder>
      </w:sdtPr>
      <w:sdtEndPr>
        <w:rPr>
          <w:rFonts w:hint="eastAsia"/>
        </w:rPr>
      </w:sdtEndPr>
      <w:sdtContent>
        <w:p w14:paraId="3082BB56">
          <w:pPr>
            <w:pStyle w:val="15"/>
          </w:pPr>
          <w:r>
            <w:rPr>
              <w:color w:val="000000"/>
            </w:rPr>
            <w:fldChar w:fldCharType="begin"/>
          </w:r>
          <w:r>
            <w:rPr>
              <w:rFonts w:hint="eastAsia"/>
              <w:color w:val="000000"/>
            </w:rPr>
            <w:instrText xml:space="preserve">MACROBUTTON  SnrToggleCheckbox □适用 </w:instrText>
          </w:r>
          <w:r>
            <w:rPr>
              <w:color w:val="000000"/>
            </w:rPr>
            <w:fldChar w:fldCharType="end"/>
          </w:r>
          <w:r>
            <w:rPr>
              <w:rFonts w:ascii="宋体" w:hAnsi="宋体"/>
              <w:color w:val="000000"/>
            </w:rPr>
            <w:fldChar w:fldCharType="begin"/>
          </w:r>
          <w:r>
            <w:rPr>
              <w:rFonts w:hint="eastAsia" w:ascii="宋体" w:hAnsi="宋体"/>
              <w:color w:val="000000"/>
            </w:rPr>
            <w:instrText xml:space="preserve"> MACROBUTTON  SnrToggleCheckbox √不适用 </w:instrText>
          </w:r>
          <w:r>
            <w:rPr>
              <w:rFonts w:ascii="宋体" w:hAnsi="宋体"/>
              <w:color w:val="000000"/>
            </w:rPr>
            <w:fldChar w:fldCharType="end"/>
          </w:r>
        </w:p>
      </w:sdtContent>
    </w:sdt>
    <w:p w14:paraId="10E5CF35">
      <w:pPr>
        <w:rPr>
          <w:rFonts w:hint="eastAsia"/>
        </w:rPr>
      </w:pPr>
    </w:p>
    <w:bookmarkEnd w:id="380"/>
    <w:p w14:paraId="2259A869">
      <w:pPr>
        <w:rPr>
          <w:rFonts w:hint="eastAsia" w:cs="Arial"/>
          <w:color w:val="000000"/>
          <w:szCs w:val="21"/>
        </w:rPr>
      </w:pPr>
      <w:r>
        <w:rPr>
          <w:rFonts w:hint="eastAsia" w:cs="Arial"/>
          <w:color w:val="000000"/>
          <w:szCs w:val="21"/>
        </w:rPr>
        <w:t>其他说明：</w:t>
      </w:r>
    </w:p>
    <w:sdt>
      <w:sdtPr>
        <w:rPr>
          <w:rFonts w:cs="Arial"/>
          <w:color w:val="000000"/>
          <w:szCs w:val="21"/>
        </w:rPr>
        <w:alias w:val="是否适用：是否存在通过多次交易分步处置对子公司投资且在本期丧失控制权的情形的说明[双击切换]"/>
        <w:tag w:val="_GBC_c934ae55b23744bba8048538d6771d0e"/>
        <w:id w:val="336740243"/>
        <w:placeholder>
          <w:docPart w:val="GBC22222222222222222222222222222"/>
        </w:placeholder>
      </w:sdtPr>
      <w:sdtEndPr>
        <w:rPr>
          <w:rFonts w:cs="Arial"/>
          <w:color w:val="000000"/>
          <w:szCs w:val="21"/>
        </w:rPr>
      </w:sdtEndPr>
      <w:sdtContent>
        <w:p w14:paraId="3378E5B9">
          <w:pPr>
            <w:rPr>
              <w:rFonts w:ascii="Calibri" w:hAnsi="Calibri" w:cs="Arial"/>
              <w:color w:val="000000"/>
            </w:rPr>
          </w:pPr>
          <w:r>
            <w:rPr>
              <w:rFonts w:cs="Arial"/>
              <w:color w:val="000000"/>
              <w:szCs w:val="21"/>
            </w:rPr>
            <w:fldChar w:fldCharType="begin"/>
          </w:r>
          <w:r>
            <w:rPr>
              <w:rFonts w:hint="eastAsia"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Pr>
              <w:rFonts w:hint="eastAsia" w:cs="Arial"/>
              <w:color w:val="000000"/>
              <w:szCs w:val="21"/>
            </w:rPr>
            <w:instrText xml:space="preserve"> MACROBUTTON  SnrToggleCheckbox √不适用 </w:instrText>
          </w:r>
          <w:r>
            <w:rPr>
              <w:rFonts w:cs="Arial"/>
              <w:color w:val="000000"/>
              <w:szCs w:val="21"/>
            </w:rPr>
            <w:fldChar w:fldCharType="end"/>
          </w:r>
        </w:p>
      </w:sdtContent>
    </w:sdt>
    <w:p w14:paraId="4011A613">
      <w:pPr>
        <w:rPr>
          <w:rFonts w:ascii="Calibri" w:hAnsi="Calibri" w:cs="Arial"/>
          <w:color w:val="000000"/>
        </w:rPr>
      </w:pPr>
    </w:p>
    <w:p w14:paraId="001D05C4">
      <w:pPr>
        <w:pStyle w:val="70"/>
        <w:numPr>
          <w:ilvl w:val="0"/>
          <w:numId w:val="154"/>
        </w:numPr>
        <w:rPr>
          <w:rFonts w:hint="eastAsia" w:ascii="宋体" w:hAnsi="宋体" w:cs="Arial"/>
          <w:szCs w:val="21"/>
        </w:rPr>
      </w:pPr>
      <w:r>
        <w:rPr>
          <w:rFonts w:hint="eastAsia" w:ascii="宋体" w:hAnsi="宋体" w:cs="Arial"/>
          <w:szCs w:val="21"/>
        </w:rPr>
        <w:t>其他原因的合并范围变动</w:t>
      </w:r>
    </w:p>
    <w:p w14:paraId="7472E207">
      <w:pPr>
        <w:rPr>
          <w:rFonts w:hint="eastAsia"/>
        </w:rPr>
      </w:pPr>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763346248"/>
        <w:placeholder>
          <w:docPart w:val="GBC22222222222222222222222222222"/>
        </w:placeholder>
      </w:sdtPr>
      <w:sdtContent>
        <w:p w14:paraId="76561EB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584150851"/>
        <w:placeholder>
          <w:docPart w:val="GBC22222222222222222222222222222"/>
        </w:placeholder>
      </w:sdtPr>
      <w:sdtEndPr>
        <w:rPr>
          <w:rFonts w:cs="Arial" w:asciiTheme="minorHAnsi" w:hAnsiTheme="minorHAnsi" w:eastAsiaTheme="minorEastAsia"/>
          <w:color w:val="000000"/>
        </w:rPr>
      </w:sdtEndPr>
      <w:sdtContent>
        <w:p w14:paraId="60E5BB48">
          <w:pPr>
            <w:rPr>
              <w:rFonts w:cs="Arial" w:asciiTheme="minorHAnsi" w:hAnsiTheme="minorHAnsi" w:eastAsiaTheme="minorEastAsia"/>
              <w:color w:val="000000"/>
            </w:rPr>
          </w:pPr>
          <w:bookmarkStart w:id="381" w:name="OLE_LINK10"/>
          <w:r>
            <w:rPr>
              <w:rFonts w:hint="eastAsia" w:cs="Arial"/>
              <w:color w:val="000000"/>
            </w:rPr>
            <w:t>新设立子公司：2024年本公司设立全资子公司新疆华锦生态纺织印染有限责任公司、天津兴华科技产业有限公司。</w:t>
          </w:r>
        </w:p>
      </w:sdtContent>
    </w:sdt>
    <w:bookmarkEnd w:id="381"/>
    <w:p w14:paraId="684EA0C8">
      <w:pPr>
        <w:rPr>
          <w:rFonts w:cs="Arial" w:asciiTheme="minorHAnsi" w:hAnsiTheme="minorHAnsi" w:eastAsiaTheme="minorEastAsia"/>
          <w:color w:val="000000"/>
        </w:rPr>
      </w:pPr>
    </w:p>
    <w:p w14:paraId="2B7AFA84">
      <w:pPr>
        <w:pStyle w:val="70"/>
        <w:numPr>
          <w:ilvl w:val="0"/>
          <w:numId w:val="154"/>
        </w:numPr>
        <w:rPr>
          <w:rFonts w:hint="eastAsia" w:ascii="宋体" w:hAnsi="宋体" w:cs="Arial"/>
          <w:szCs w:val="21"/>
        </w:rPr>
      </w:pPr>
      <w:r>
        <w:rPr>
          <w:rFonts w:hint="eastAsia" w:ascii="宋体" w:hAnsi="宋体" w:cs="Arial"/>
          <w:szCs w:val="21"/>
        </w:rPr>
        <w:t>其他</w:t>
      </w:r>
    </w:p>
    <w:sdt>
      <w:sdtPr>
        <w:rPr>
          <w:rFonts w:hint="eastAsia" w:cs="Arial"/>
          <w:color w:val="000000"/>
        </w:rPr>
        <w:alias w:val="是否适用：合并范围的变更-其他说明[双击切换]"/>
        <w:tag w:val="_GBC_f93907dc64cd43f0a9e4c85b200aec0c"/>
        <w:id w:val="162053974"/>
        <w:placeholder>
          <w:docPart w:val="GBC22222222222222222222222222222"/>
        </w:placeholder>
      </w:sdtPr>
      <w:sdtEndPr>
        <w:rPr>
          <w:rFonts w:hint="eastAsia" w:cs="Arial"/>
          <w:color w:val="000000"/>
        </w:rPr>
      </w:sdtEndPr>
      <w:sdtContent>
        <w:p w14:paraId="3D93F7E4">
          <w:pPr>
            <w:rPr>
              <w:rFonts w:cs="Arial" w:asciiTheme="minorHAnsi" w:hAnsiTheme="minorHAnsi" w:eastAsiaTheme="minorEastAsia"/>
              <w:color w:val="000000"/>
            </w:rPr>
          </w:pPr>
          <w:r>
            <w:rPr>
              <w:rFonts w:cs="Arial"/>
              <w:color w:val="000000"/>
            </w:rPr>
            <w:fldChar w:fldCharType="begin"/>
          </w:r>
          <w:r>
            <w:rPr>
              <w:rFonts w:hint="eastAsia" w:cs="Arial"/>
              <w:color w:val="000000"/>
            </w:rPr>
            <w:instrText xml:space="preserve"> MACROBUTTON  SnrToggleCheckbox □适用  </w:instrText>
          </w:r>
          <w:r>
            <w:rPr>
              <w:rFonts w:cs="Arial"/>
              <w:color w:val="000000"/>
            </w:rPr>
            <w:fldChar w:fldCharType="end"/>
          </w:r>
          <w:r>
            <w:rPr>
              <w:rFonts w:cs="Arial"/>
              <w:color w:val="000000"/>
            </w:rPr>
            <w:fldChar w:fldCharType="begin"/>
          </w:r>
          <w:r>
            <w:rPr>
              <w:rFonts w:hint="eastAsia" w:cs="Arial"/>
              <w:color w:val="000000"/>
            </w:rPr>
            <w:instrText xml:space="preserve"> MACROBUTTON  SnrToggleCheckbox √不适用 </w:instrText>
          </w:r>
          <w:r>
            <w:rPr>
              <w:rFonts w:cs="Arial"/>
              <w:color w:val="000000"/>
            </w:rPr>
            <w:fldChar w:fldCharType="end"/>
          </w:r>
        </w:p>
      </w:sdtContent>
    </w:sdt>
    <w:p w14:paraId="7099B5C6">
      <w:pPr>
        <w:rPr>
          <w:rFonts w:hint="eastAsia" w:cs="Arial"/>
          <w:color w:val="000000"/>
        </w:rPr>
      </w:pPr>
    </w:p>
    <w:p w14:paraId="53DF65DD">
      <w:pPr>
        <w:rPr>
          <w:rFonts w:hint="eastAsia" w:cs="Arial"/>
          <w:color w:val="000000"/>
        </w:rPr>
        <w:sectPr>
          <w:pgSz w:w="16838" w:h="11906" w:orient="landscape"/>
          <w:pgMar w:top="1797" w:right="1525" w:bottom="1276" w:left="1440" w:header="856" w:footer="992" w:gutter="0"/>
          <w:cols w:space="425" w:num="1"/>
          <w:docGrid w:linePitch="312" w:charSpace="0"/>
        </w:sectPr>
      </w:pPr>
    </w:p>
    <w:p w14:paraId="3C53AFB8">
      <w:pPr>
        <w:pStyle w:val="69"/>
        <w:numPr>
          <w:ilvl w:val="0"/>
          <w:numId w:val="87"/>
        </w:numPr>
        <w:rPr>
          <w:rFonts w:hint="eastAsia" w:ascii="宋体" w:hAnsi="宋体"/>
        </w:rPr>
      </w:pPr>
      <w:r>
        <w:rPr>
          <w:rFonts w:hint="eastAsia"/>
        </w:rPr>
        <w:t>在其他主体中的权益</w:t>
      </w:r>
    </w:p>
    <w:p w14:paraId="7188F6EA">
      <w:pPr>
        <w:pStyle w:val="70"/>
        <w:numPr>
          <w:ilvl w:val="2"/>
          <w:numId w:val="155"/>
        </w:numPr>
      </w:pPr>
      <w:r>
        <w:rPr>
          <w:rFonts w:hint="eastAsia"/>
        </w:rPr>
        <w:t>在子公司中的权益</w:t>
      </w:r>
    </w:p>
    <w:p w14:paraId="2E755D61">
      <w:pPr>
        <w:pStyle w:val="71"/>
        <w:numPr>
          <w:ilvl w:val="3"/>
          <w:numId w:val="156"/>
        </w:numPr>
        <w:ind w:left="426" w:hanging="426" w:hangingChars="202"/>
        <w:rPr>
          <w:rFonts w:hint="eastAsia"/>
        </w:rPr>
      </w:pPr>
      <w:r>
        <w:rPr>
          <w:rFonts w:hint="eastAsia"/>
        </w:rPr>
        <w:t>企业集团的构成</w:t>
      </w:r>
    </w:p>
    <w:sdt>
      <w:sdtPr>
        <w:alias w:val="是否适用：企业集团的构成[双击切换]"/>
        <w:tag w:val="_GBC_f4dcd24cd0a6465f817fe278addb6568"/>
        <w:id w:val="-1630695778"/>
        <w:placeholder>
          <w:docPart w:val="GBC22222222222222222222222222222"/>
        </w:placeholder>
      </w:sdtPr>
      <w:sdtContent>
        <w:p w14:paraId="678C1B24">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4FA2A2B">
      <w:pPr>
        <w:jc w:val="right"/>
        <w:rPr>
          <w:rFonts w:hint="eastAsia"/>
        </w:rPr>
      </w:pPr>
      <w:r>
        <w:rPr>
          <w:rFonts w:hint="eastAsia"/>
        </w:rPr>
        <w:t>单位：</w:t>
      </w:r>
      <w:sdt>
        <w:sdtPr>
          <w:rPr>
            <w:rFonts w:hint="eastAsia"/>
          </w:rPr>
          <w:alias w:val="单位：企业集团的构成"/>
          <w:tag w:val="_GBC_69130484488a4b33b14f19ef0f1abce9"/>
          <w:id w:val="-154250369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万元</w:t>
          </w:r>
        </w:sdtContent>
      </w:sdt>
      <w:r>
        <w:rPr>
          <w:rFonts w:hint="eastAsia"/>
        </w:rPr>
        <w:t xml:space="preserve">  币种：</w:t>
      </w:r>
      <w:sdt>
        <w:sdtPr>
          <w:rPr>
            <w:rFonts w:hint="eastAsia"/>
          </w:rPr>
          <w:alias w:val="币种：企业集团的构成"/>
          <w:tag w:val="_GBC_3be075e5c9a5407c89e1aab348039bf5"/>
          <w:id w:val="-4665875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1388"/>
        <w:gridCol w:w="983"/>
        <w:gridCol w:w="1246"/>
        <w:gridCol w:w="1195"/>
        <w:gridCol w:w="748"/>
        <w:gridCol w:w="1313"/>
      </w:tblGrid>
      <w:tr w14:paraId="3332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blHeader/>
        </w:trPr>
        <w:sdt>
          <w:sdtPr>
            <w:rPr>
              <w:rFonts w:ascii="Arial Narrow" w:hAnsi="Arial Narrow" w:eastAsiaTheme="minorEastAsia"/>
              <w:szCs w:val="21"/>
            </w:rPr>
            <w:tag w:val="_PLD_d102f36c2e2645ad9579603ca28588c8"/>
            <w:id w:val="-725375587"/>
          </w:sdtPr>
          <w:sdtEndPr>
            <w:rPr>
              <w:rFonts w:ascii="Arial Narrow" w:hAnsi="Arial Narrow" w:eastAsiaTheme="minorEastAsia"/>
              <w:szCs w:val="21"/>
            </w:rPr>
          </w:sdtEndPr>
          <w:sdtContent>
            <w:tc>
              <w:tcPr>
                <w:tcW w:w="1107" w:type="pct"/>
                <w:vMerge w:val="restart"/>
                <w:shd w:val="clear" w:color="auto" w:fill="auto"/>
                <w:vAlign w:val="center"/>
              </w:tcPr>
              <w:p w14:paraId="628790EC">
                <w:pPr>
                  <w:jc w:val="center"/>
                  <w:rPr>
                    <w:rFonts w:ascii="Arial Narrow" w:hAnsi="Arial Narrow" w:cs="Arial" w:eastAsiaTheme="minorEastAsia"/>
                    <w:szCs w:val="21"/>
                    <w:lang w:val="en-GB"/>
                  </w:rPr>
                </w:pPr>
                <w:r>
                  <w:rPr>
                    <w:rFonts w:ascii="Arial Narrow" w:hAnsi="Arial Narrow" w:cs="Arial" w:eastAsiaTheme="minorEastAsia"/>
                    <w:szCs w:val="21"/>
                    <w:lang w:val="en-GB"/>
                  </w:rPr>
                  <w:t>子公司</w:t>
                </w:r>
              </w:p>
              <w:p w14:paraId="05CFA925">
                <w:pPr>
                  <w:jc w:val="center"/>
                  <w:rPr>
                    <w:rFonts w:ascii="Arial Narrow" w:hAnsi="Arial Narrow" w:cs="Arial" w:eastAsiaTheme="minorEastAsia"/>
                    <w:szCs w:val="21"/>
                  </w:rPr>
                </w:pPr>
                <w:r>
                  <w:rPr>
                    <w:rFonts w:ascii="Arial Narrow" w:hAnsi="Arial Narrow" w:cs="Arial" w:eastAsiaTheme="minorEastAsia"/>
                    <w:szCs w:val="21"/>
                    <w:lang w:val="en-GB"/>
                  </w:rPr>
                  <w:t>名称</w:t>
                </w:r>
              </w:p>
            </w:tc>
          </w:sdtContent>
        </w:sdt>
        <w:sdt>
          <w:sdtPr>
            <w:rPr>
              <w:rFonts w:ascii="Arial Narrow" w:hAnsi="Arial Narrow" w:eastAsiaTheme="minorEastAsia"/>
              <w:szCs w:val="21"/>
            </w:rPr>
            <w:tag w:val="_PLD_f2f68356b5494ce8941038ba206c0e79"/>
            <w:id w:val="-912457576"/>
          </w:sdtPr>
          <w:sdtEndPr>
            <w:rPr>
              <w:rFonts w:ascii="Arial Narrow" w:hAnsi="Arial Narrow" w:eastAsiaTheme="minorEastAsia"/>
              <w:szCs w:val="21"/>
            </w:rPr>
          </w:sdtEndPr>
          <w:sdtContent>
            <w:tc>
              <w:tcPr>
                <w:tcW w:w="788" w:type="pct"/>
                <w:vMerge w:val="restart"/>
                <w:shd w:val="clear" w:color="auto" w:fill="auto"/>
                <w:vAlign w:val="center"/>
              </w:tcPr>
              <w:p w14:paraId="0A98AA24">
                <w:pPr>
                  <w:jc w:val="center"/>
                  <w:rPr>
                    <w:rFonts w:ascii="Arial Narrow" w:hAnsi="Arial Narrow" w:cs="Arial" w:eastAsiaTheme="minorEastAsia"/>
                    <w:szCs w:val="21"/>
                  </w:rPr>
                </w:pPr>
                <w:r>
                  <w:rPr>
                    <w:rFonts w:ascii="Arial Narrow" w:hAnsi="Arial Narrow" w:cs="Arial" w:eastAsiaTheme="minorEastAsia"/>
                    <w:szCs w:val="21"/>
                    <w:lang w:val="en-GB"/>
                  </w:rPr>
                  <w:t>主要经营地</w:t>
                </w:r>
              </w:p>
            </w:tc>
          </w:sdtContent>
        </w:sdt>
        <w:tc>
          <w:tcPr>
            <w:tcW w:w="546" w:type="pct"/>
            <w:vMerge w:val="restart"/>
            <w:vAlign w:val="center"/>
          </w:tcPr>
          <w:sdt>
            <w:sdtPr>
              <w:rPr>
                <w:rFonts w:ascii="Arial Narrow" w:hAnsi="Arial Narrow" w:eastAsiaTheme="minorEastAsia"/>
                <w:szCs w:val="21"/>
              </w:rPr>
              <w:tag w:val="_PLD_e8bcd6ecc6b44104942668e86b86bbbe"/>
              <w:id w:val="125434188"/>
            </w:sdtPr>
            <w:sdtEndPr>
              <w:rPr>
                <w:rFonts w:ascii="Arial Narrow" w:hAnsi="Arial Narrow" w:eastAsiaTheme="minorEastAsia"/>
                <w:szCs w:val="21"/>
              </w:rPr>
            </w:sdtEndPr>
            <w:sdtContent>
              <w:p w14:paraId="0C15E993">
                <w:pPr>
                  <w:jc w:val="center"/>
                  <w:rPr>
                    <w:rFonts w:ascii="Arial Narrow" w:hAnsi="Arial Narrow" w:eastAsiaTheme="minorEastAsia"/>
                    <w:szCs w:val="21"/>
                  </w:rPr>
                </w:pPr>
                <w:r>
                  <w:rPr>
                    <w:rFonts w:ascii="Arial Narrow" w:hAnsi="Arial Narrow" w:eastAsiaTheme="minorEastAsia"/>
                    <w:szCs w:val="21"/>
                  </w:rPr>
                  <w:t>注册</w:t>
                </w:r>
              </w:p>
              <w:p w14:paraId="1DC3D550">
                <w:pPr>
                  <w:jc w:val="center"/>
                  <w:rPr>
                    <w:rFonts w:ascii="Arial Narrow" w:hAnsi="Arial Narrow" w:eastAsiaTheme="minorEastAsia"/>
                    <w:szCs w:val="21"/>
                  </w:rPr>
                </w:pPr>
                <w:r>
                  <w:rPr>
                    <w:rFonts w:ascii="Arial Narrow" w:hAnsi="Arial Narrow" w:eastAsiaTheme="minorEastAsia"/>
                    <w:szCs w:val="21"/>
                  </w:rPr>
                  <w:t>资本</w:t>
                </w:r>
              </w:p>
            </w:sdtContent>
          </w:sdt>
        </w:tc>
        <w:sdt>
          <w:sdtPr>
            <w:rPr>
              <w:rFonts w:ascii="Arial Narrow" w:hAnsi="Arial Narrow" w:eastAsiaTheme="minorEastAsia"/>
              <w:szCs w:val="21"/>
            </w:rPr>
            <w:tag w:val="_PLD_e9cbfd017bcc45b9be4599d5ee950f92"/>
            <w:id w:val="1124196183"/>
          </w:sdtPr>
          <w:sdtEndPr>
            <w:rPr>
              <w:rFonts w:ascii="Arial Narrow" w:hAnsi="Arial Narrow" w:eastAsiaTheme="minorEastAsia"/>
              <w:szCs w:val="21"/>
            </w:rPr>
          </w:sdtEndPr>
          <w:sdtContent>
            <w:tc>
              <w:tcPr>
                <w:tcW w:w="708" w:type="pct"/>
                <w:vMerge w:val="restart"/>
                <w:shd w:val="clear" w:color="auto" w:fill="auto"/>
                <w:vAlign w:val="center"/>
              </w:tcPr>
              <w:p w14:paraId="7CDB144F">
                <w:pPr>
                  <w:jc w:val="center"/>
                  <w:rPr>
                    <w:rFonts w:ascii="Arial Narrow" w:hAnsi="Arial Narrow" w:cs="Arial" w:eastAsiaTheme="minorEastAsia"/>
                    <w:szCs w:val="21"/>
                  </w:rPr>
                </w:pPr>
                <w:r>
                  <w:rPr>
                    <w:rFonts w:ascii="Arial Narrow" w:hAnsi="Arial Narrow" w:cs="Arial" w:eastAsiaTheme="minorEastAsia"/>
                    <w:szCs w:val="21"/>
                    <w:lang w:val="en-GB"/>
                  </w:rPr>
                  <w:t>注册地</w:t>
                </w:r>
              </w:p>
            </w:tc>
          </w:sdtContent>
        </w:sdt>
        <w:sdt>
          <w:sdtPr>
            <w:rPr>
              <w:rFonts w:ascii="Arial Narrow" w:hAnsi="Arial Narrow" w:eastAsiaTheme="minorEastAsia"/>
              <w:szCs w:val="21"/>
            </w:rPr>
            <w:tag w:val="_PLD_da5558f3e8f24c30b756f825b0ebca03"/>
            <w:id w:val="-2033799655"/>
          </w:sdtPr>
          <w:sdtEndPr>
            <w:rPr>
              <w:rFonts w:ascii="Arial Narrow" w:hAnsi="Arial Narrow" w:eastAsiaTheme="minorEastAsia"/>
              <w:szCs w:val="21"/>
            </w:rPr>
          </w:sdtEndPr>
          <w:sdtContent>
            <w:tc>
              <w:tcPr>
                <w:tcW w:w="679" w:type="pct"/>
                <w:vMerge w:val="restart"/>
                <w:shd w:val="clear" w:color="auto" w:fill="auto"/>
                <w:vAlign w:val="center"/>
              </w:tcPr>
              <w:p w14:paraId="7BA70804">
                <w:pPr>
                  <w:jc w:val="center"/>
                  <w:rPr>
                    <w:rFonts w:ascii="Arial Narrow" w:hAnsi="Arial Narrow" w:cs="Arial" w:eastAsiaTheme="minorEastAsia"/>
                    <w:szCs w:val="21"/>
                  </w:rPr>
                </w:pPr>
                <w:r>
                  <w:rPr>
                    <w:rFonts w:ascii="Arial Narrow" w:hAnsi="Arial Narrow" w:cs="Arial" w:eastAsiaTheme="minorEastAsia"/>
                    <w:szCs w:val="21"/>
                    <w:lang w:val="en-GB"/>
                  </w:rPr>
                  <w:t>业务性质</w:t>
                </w:r>
              </w:p>
            </w:tc>
          </w:sdtContent>
        </w:sdt>
        <w:sdt>
          <w:sdtPr>
            <w:rPr>
              <w:rFonts w:ascii="Arial Narrow" w:hAnsi="Arial Narrow" w:eastAsiaTheme="minorEastAsia"/>
              <w:szCs w:val="21"/>
            </w:rPr>
            <w:tag w:val="_PLD_817e427c8eff4fd1875d12860133e99e"/>
            <w:id w:val="1790014318"/>
          </w:sdtPr>
          <w:sdtEndPr>
            <w:rPr>
              <w:rFonts w:ascii="Arial Narrow" w:hAnsi="Arial Narrow" w:eastAsiaTheme="minorEastAsia"/>
              <w:szCs w:val="21"/>
            </w:rPr>
          </w:sdtEndPr>
          <w:sdtContent>
            <w:tc>
              <w:tcPr>
                <w:tcW w:w="425" w:type="pct"/>
                <w:shd w:val="clear" w:color="auto" w:fill="auto"/>
                <w:vAlign w:val="center"/>
              </w:tcPr>
              <w:p w14:paraId="51EB8241">
                <w:pPr>
                  <w:jc w:val="center"/>
                  <w:rPr>
                    <w:rFonts w:ascii="Arial Narrow" w:hAnsi="Arial Narrow" w:cs="Arial" w:eastAsiaTheme="minorEastAsia"/>
                    <w:szCs w:val="21"/>
                  </w:rPr>
                </w:pPr>
                <w:r>
                  <w:rPr>
                    <w:rFonts w:ascii="Arial Narrow" w:hAnsi="Arial Narrow" w:cs="Arial" w:eastAsiaTheme="minorEastAsia"/>
                    <w:szCs w:val="21"/>
                    <w:lang w:val="en-GB"/>
                  </w:rPr>
                  <w:t>持股比例</w:t>
                </w:r>
                <w:r>
                  <w:rPr>
                    <w:rFonts w:ascii="Arial Narrow" w:hAnsi="Arial Narrow" w:cs="Arial" w:eastAsiaTheme="minorEastAsia"/>
                    <w:szCs w:val="21"/>
                  </w:rPr>
                  <w:t>(%)</w:t>
                </w:r>
              </w:p>
            </w:tc>
          </w:sdtContent>
        </w:sdt>
        <w:sdt>
          <w:sdtPr>
            <w:rPr>
              <w:rFonts w:ascii="Arial Narrow" w:hAnsi="Arial Narrow" w:eastAsiaTheme="minorEastAsia"/>
              <w:szCs w:val="21"/>
            </w:rPr>
            <w:tag w:val="_PLD_0bb5e453efe4450ba0d853b98eb2c2b0"/>
            <w:id w:val="-1711643943"/>
          </w:sdtPr>
          <w:sdtEndPr>
            <w:rPr>
              <w:rFonts w:ascii="Arial Narrow" w:hAnsi="Arial Narrow" w:eastAsiaTheme="minorEastAsia"/>
              <w:szCs w:val="21"/>
            </w:rPr>
          </w:sdtEndPr>
          <w:sdtContent>
            <w:tc>
              <w:tcPr>
                <w:tcW w:w="745" w:type="pct"/>
                <w:vMerge w:val="restart"/>
                <w:shd w:val="clear" w:color="auto" w:fill="auto"/>
                <w:vAlign w:val="center"/>
              </w:tcPr>
              <w:p w14:paraId="52F0DABE">
                <w:pPr>
                  <w:jc w:val="center"/>
                  <w:rPr>
                    <w:rFonts w:ascii="Arial Narrow" w:hAnsi="Arial Narrow" w:cs="Arial" w:eastAsiaTheme="minorEastAsia"/>
                    <w:szCs w:val="21"/>
                    <w:lang w:val="en-GB"/>
                  </w:rPr>
                </w:pPr>
                <w:r>
                  <w:rPr>
                    <w:rFonts w:ascii="Arial Narrow" w:hAnsi="Arial Narrow" w:cs="Arial" w:eastAsiaTheme="minorEastAsia"/>
                    <w:szCs w:val="21"/>
                    <w:lang w:val="en-GB"/>
                  </w:rPr>
                  <w:t>取得</w:t>
                </w:r>
              </w:p>
              <w:p w14:paraId="7D0490C6">
                <w:pPr>
                  <w:jc w:val="center"/>
                  <w:rPr>
                    <w:rFonts w:ascii="Arial Narrow" w:hAnsi="Arial Narrow" w:cs="Arial" w:eastAsiaTheme="minorEastAsia"/>
                    <w:szCs w:val="21"/>
                    <w:lang w:val="en-GB"/>
                  </w:rPr>
                </w:pPr>
                <w:r>
                  <w:rPr>
                    <w:rFonts w:ascii="Arial Narrow" w:hAnsi="Arial Narrow" w:cs="Arial" w:eastAsiaTheme="minorEastAsia"/>
                    <w:szCs w:val="21"/>
                    <w:lang w:val="en-GB"/>
                  </w:rPr>
                  <w:t>方式</w:t>
                </w:r>
              </w:p>
            </w:tc>
          </w:sdtContent>
        </w:sdt>
      </w:tr>
      <w:tr w14:paraId="0909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blHeader/>
        </w:trPr>
        <w:tc>
          <w:tcPr>
            <w:tcW w:w="1107" w:type="pct"/>
            <w:vMerge w:val="continue"/>
            <w:shd w:val="clear" w:color="auto" w:fill="auto"/>
            <w:vAlign w:val="center"/>
          </w:tcPr>
          <w:p w14:paraId="4416CC15">
            <w:pPr>
              <w:jc w:val="center"/>
              <w:rPr>
                <w:rFonts w:ascii="Arial Narrow" w:hAnsi="Arial Narrow" w:cs="Arial" w:eastAsiaTheme="minorEastAsia"/>
                <w:szCs w:val="21"/>
              </w:rPr>
            </w:pPr>
          </w:p>
        </w:tc>
        <w:tc>
          <w:tcPr>
            <w:tcW w:w="788" w:type="pct"/>
            <w:vMerge w:val="continue"/>
            <w:shd w:val="clear" w:color="auto" w:fill="auto"/>
            <w:vAlign w:val="center"/>
          </w:tcPr>
          <w:p w14:paraId="39A02C07">
            <w:pPr>
              <w:jc w:val="center"/>
              <w:rPr>
                <w:rFonts w:ascii="Arial Narrow" w:hAnsi="Arial Narrow" w:cs="Arial" w:eastAsiaTheme="minorEastAsia"/>
                <w:szCs w:val="21"/>
              </w:rPr>
            </w:pPr>
          </w:p>
        </w:tc>
        <w:tc>
          <w:tcPr>
            <w:tcW w:w="546" w:type="pct"/>
            <w:vMerge w:val="continue"/>
            <w:vAlign w:val="center"/>
          </w:tcPr>
          <w:p w14:paraId="50C5DFAF">
            <w:pPr>
              <w:jc w:val="center"/>
              <w:rPr>
                <w:rFonts w:ascii="Arial Narrow" w:hAnsi="Arial Narrow" w:cs="Arial" w:eastAsiaTheme="minorEastAsia"/>
                <w:szCs w:val="21"/>
              </w:rPr>
            </w:pPr>
          </w:p>
        </w:tc>
        <w:tc>
          <w:tcPr>
            <w:tcW w:w="708" w:type="pct"/>
            <w:vMerge w:val="continue"/>
            <w:shd w:val="clear" w:color="auto" w:fill="auto"/>
            <w:vAlign w:val="center"/>
          </w:tcPr>
          <w:p w14:paraId="52231FEE">
            <w:pPr>
              <w:jc w:val="center"/>
              <w:rPr>
                <w:rFonts w:ascii="Arial Narrow" w:hAnsi="Arial Narrow" w:cs="Arial" w:eastAsiaTheme="minorEastAsia"/>
                <w:szCs w:val="21"/>
              </w:rPr>
            </w:pPr>
          </w:p>
        </w:tc>
        <w:tc>
          <w:tcPr>
            <w:tcW w:w="679" w:type="pct"/>
            <w:vMerge w:val="continue"/>
            <w:shd w:val="clear" w:color="auto" w:fill="auto"/>
            <w:vAlign w:val="center"/>
          </w:tcPr>
          <w:p w14:paraId="288CC1C2">
            <w:pPr>
              <w:jc w:val="center"/>
              <w:rPr>
                <w:rFonts w:ascii="Arial Narrow" w:hAnsi="Arial Narrow" w:cs="Arial" w:eastAsiaTheme="minorEastAsia"/>
                <w:szCs w:val="21"/>
              </w:rPr>
            </w:pPr>
          </w:p>
        </w:tc>
        <w:sdt>
          <w:sdtPr>
            <w:rPr>
              <w:rFonts w:ascii="Arial Narrow" w:hAnsi="Arial Narrow" w:eastAsiaTheme="minorEastAsia"/>
              <w:szCs w:val="21"/>
            </w:rPr>
            <w:tag w:val="_PLD_3f641d83162f4ae3a8840b93258d7ced"/>
            <w:id w:val="-2060549022"/>
          </w:sdtPr>
          <w:sdtEndPr>
            <w:rPr>
              <w:rFonts w:ascii="Arial Narrow" w:hAnsi="Arial Narrow" w:eastAsiaTheme="minorEastAsia"/>
              <w:szCs w:val="21"/>
            </w:rPr>
          </w:sdtEndPr>
          <w:sdtContent>
            <w:tc>
              <w:tcPr>
                <w:tcW w:w="425" w:type="pct"/>
                <w:shd w:val="clear" w:color="auto" w:fill="auto"/>
                <w:vAlign w:val="center"/>
              </w:tcPr>
              <w:p w14:paraId="3AF1F037">
                <w:pPr>
                  <w:jc w:val="center"/>
                  <w:rPr>
                    <w:rFonts w:ascii="Arial Narrow" w:hAnsi="Arial Narrow" w:cs="Arial" w:eastAsiaTheme="minorEastAsia"/>
                    <w:szCs w:val="21"/>
                  </w:rPr>
                </w:pPr>
                <w:r>
                  <w:rPr>
                    <w:rFonts w:ascii="Arial Narrow" w:hAnsi="Arial Narrow" w:cs="Arial" w:eastAsiaTheme="minorEastAsia"/>
                    <w:szCs w:val="21"/>
                    <w:lang w:val="en-GB"/>
                  </w:rPr>
                  <w:t>直接</w:t>
                </w:r>
              </w:p>
            </w:tc>
          </w:sdtContent>
        </w:sdt>
        <w:tc>
          <w:tcPr>
            <w:tcW w:w="745" w:type="pct"/>
            <w:vMerge w:val="continue"/>
            <w:vAlign w:val="center"/>
          </w:tcPr>
          <w:p w14:paraId="6E99456B">
            <w:pPr>
              <w:jc w:val="center"/>
              <w:rPr>
                <w:rFonts w:ascii="Arial Narrow" w:hAnsi="Arial Narrow" w:cs="Arial" w:eastAsiaTheme="minorEastAsia"/>
                <w:szCs w:val="21"/>
              </w:rPr>
            </w:pPr>
          </w:p>
        </w:tc>
      </w:tr>
      <w:tr w14:paraId="700D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D14BE68">
            <w:pPr>
              <w:jc w:val="both"/>
              <w:rPr>
                <w:rFonts w:ascii="Arial Narrow" w:hAnsi="Arial Narrow" w:eastAsiaTheme="minorEastAsia"/>
                <w:szCs w:val="21"/>
              </w:rPr>
            </w:pPr>
            <w:r>
              <w:rPr>
                <w:rFonts w:ascii="Arial Narrow" w:hAnsi="Arial Narrow" w:eastAsiaTheme="minorEastAsia"/>
                <w:szCs w:val="21"/>
              </w:rPr>
              <w:t>际华三五零二职业装有限公司</w:t>
            </w:r>
          </w:p>
        </w:tc>
        <w:tc>
          <w:tcPr>
            <w:tcW w:w="788" w:type="pct"/>
            <w:vAlign w:val="center"/>
          </w:tcPr>
          <w:p w14:paraId="5FD96BF4">
            <w:pPr>
              <w:jc w:val="center"/>
              <w:rPr>
                <w:rFonts w:ascii="Arial Narrow" w:hAnsi="Arial Narrow" w:eastAsiaTheme="minorEastAsia"/>
                <w:szCs w:val="21"/>
              </w:rPr>
            </w:pPr>
            <w:r>
              <w:rPr>
                <w:rFonts w:ascii="Arial Narrow" w:hAnsi="Arial Narrow" w:eastAsiaTheme="minorEastAsia"/>
                <w:szCs w:val="21"/>
              </w:rPr>
              <w:t>河北省井陉县</w:t>
            </w:r>
          </w:p>
        </w:tc>
        <w:tc>
          <w:tcPr>
            <w:tcW w:w="546" w:type="pct"/>
            <w:vAlign w:val="center"/>
          </w:tcPr>
          <w:p w14:paraId="330F571E">
            <w:pPr>
              <w:jc w:val="center"/>
              <w:rPr>
                <w:rFonts w:ascii="Arial Narrow" w:hAnsi="Arial Narrow" w:eastAsiaTheme="minorEastAsia"/>
                <w:szCs w:val="21"/>
              </w:rPr>
            </w:pPr>
            <w:r>
              <w:rPr>
                <w:rFonts w:ascii="Arial Narrow" w:hAnsi="Arial Narrow" w:eastAsiaTheme="minorEastAsia"/>
                <w:szCs w:val="21"/>
              </w:rPr>
              <w:t>30,000</w:t>
            </w:r>
          </w:p>
        </w:tc>
        <w:tc>
          <w:tcPr>
            <w:tcW w:w="708" w:type="pct"/>
            <w:vAlign w:val="center"/>
          </w:tcPr>
          <w:p w14:paraId="6E8DEDD1">
            <w:pPr>
              <w:jc w:val="center"/>
              <w:rPr>
                <w:rFonts w:ascii="Arial Narrow" w:hAnsi="Arial Narrow" w:eastAsiaTheme="minorEastAsia"/>
                <w:szCs w:val="21"/>
              </w:rPr>
            </w:pPr>
            <w:r>
              <w:rPr>
                <w:rFonts w:ascii="Arial Narrow" w:hAnsi="Arial Narrow" w:eastAsiaTheme="minorEastAsia"/>
                <w:szCs w:val="21"/>
              </w:rPr>
              <w:t>河北省井陉县</w:t>
            </w:r>
          </w:p>
        </w:tc>
        <w:tc>
          <w:tcPr>
            <w:tcW w:w="679" w:type="pct"/>
            <w:vAlign w:val="center"/>
          </w:tcPr>
          <w:p w14:paraId="55E9558C">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7383C7FA">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219BC625">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69F0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8FED150">
            <w:pPr>
              <w:jc w:val="both"/>
              <w:rPr>
                <w:rFonts w:ascii="Arial Narrow" w:hAnsi="Arial Narrow" w:eastAsiaTheme="minorEastAsia"/>
                <w:szCs w:val="21"/>
              </w:rPr>
            </w:pPr>
            <w:r>
              <w:rPr>
                <w:rFonts w:ascii="Arial Narrow" w:hAnsi="Arial Narrow" w:eastAsiaTheme="minorEastAsia"/>
                <w:szCs w:val="21"/>
              </w:rPr>
              <w:t>河北万润应急科技有限公司</w:t>
            </w:r>
          </w:p>
        </w:tc>
        <w:tc>
          <w:tcPr>
            <w:tcW w:w="788" w:type="pct"/>
            <w:vAlign w:val="center"/>
          </w:tcPr>
          <w:p w14:paraId="72B0C4CC">
            <w:pPr>
              <w:jc w:val="center"/>
              <w:rPr>
                <w:rFonts w:ascii="Arial Narrow" w:hAnsi="Arial Narrow" w:eastAsiaTheme="minorEastAsia"/>
                <w:szCs w:val="21"/>
              </w:rPr>
            </w:pPr>
            <w:r>
              <w:rPr>
                <w:rFonts w:ascii="Arial Narrow" w:hAnsi="Arial Narrow" w:eastAsiaTheme="minorEastAsia"/>
                <w:szCs w:val="21"/>
              </w:rPr>
              <w:t>河北省石家庄市</w:t>
            </w:r>
          </w:p>
        </w:tc>
        <w:tc>
          <w:tcPr>
            <w:tcW w:w="546" w:type="pct"/>
            <w:vAlign w:val="center"/>
          </w:tcPr>
          <w:p w14:paraId="027AC50B">
            <w:pPr>
              <w:jc w:val="center"/>
              <w:rPr>
                <w:rFonts w:ascii="Arial Narrow" w:hAnsi="Arial Narrow" w:eastAsiaTheme="minorEastAsia"/>
                <w:szCs w:val="21"/>
              </w:rPr>
            </w:pPr>
            <w:r>
              <w:rPr>
                <w:rFonts w:ascii="Arial Narrow" w:hAnsi="Arial Narrow" w:eastAsiaTheme="minorEastAsia"/>
                <w:szCs w:val="21"/>
              </w:rPr>
              <w:t>800</w:t>
            </w:r>
          </w:p>
        </w:tc>
        <w:tc>
          <w:tcPr>
            <w:tcW w:w="708" w:type="pct"/>
            <w:vAlign w:val="center"/>
          </w:tcPr>
          <w:p w14:paraId="3AE5DF15">
            <w:pPr>
              <w:jc w:val="center"/>
              <w:rPr>
                <w:rFonts w:ascii="Arial Narrow" w:hAnsi="Arial Narrow" w:eastAsiaTheme="minorEastAsia"/>
                <w:szCs w:val="21"/>
              </w:rPr>
            </w:pPr>
            <w:r>
              <w:rPr>
                <w:rFonts w:ascii="Arial Narrow" w:hAnsi="Arial Narrow" w:eastAsiaTheme="minorEastAsia"/>
                <w:szCs w:val="21"/>
              </w:rPr>
              <w:t>河北省石家庄市</w:t>
            </w:r>
          </w:p>
        </w:tc>
        <w:tc>
          <w:tcPr>
            <w:tcW w:w="679" w:type="pct"/>
            <w:vAlign w:val="center"/>
          </w:tcPr>
          <w:p w14:paraId="1FAC094B">
            <w:pPr>
              <w:jc w:val="center"/>
              <w:rPr>
                <w:rFonts w:ascii="Arial Narrow" w:hAnsi="Arial Narrow" w:eastAsiaTheme="minorEastAsia"/>
                <w:szCs w:val="21"/>
              </w:rPr>
            </w:pPr>
            <w:r>
              <w:rPr>
                <w:rFonts w:ascii="Arial Narrow" w:hAnsi="Arial Narrow" w:eastAsiaTheme="minorEastAsia"/>
                <w:szCs w:val="21"/>
              </w:rPr>
              <w:t>商贸</w:t>
            </w:r>
          </w:p>
        </w:tc>
        <w:tc>
          <w:tcPr>
            <w:tcW w:w="425" w:type="pct"/>
            <w:vAlign w:val="center"/>
          </w:tcPr>
          <w:p w14:paraId="25ED3280">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17B73171">
            <w:pPr>
              <w:jc w:val="center"/>
              <w:rPr>
                <w:rFonts w:ascii="Arial Narrow" w:hAnsi="Arial Narrow" w:eastAsiaTheme="minorEastAsia"/>
                <w:szCs w:val="21"/>
              </w:rPr>
            </w:pPr>
            <w:r>
              <w:rPr>
                <w:rFonts w:ascii="Arial Narrow" w:hAnsi="Arial Narrow" w:eastAsiaTheme="minorEastAsia"/>
                <w:szCs w:val="21"/>
              </w:rPr>
              <w:t>出资设立</w:t>
            </w:r>
          </w:p>
        </w:tc>
      </w:tr>
      <w:tr w14:paraId="0C3A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B71577E">
            <w:pPr>
              <w:jc w:val="both"/>
              <w:rPr>
                <w:rFonts w:ascii="Arial Narrow" w:hAnsi="Arial Narrow" w:eastAsiaTheme="minorEastAsia"/>
                <w:szCs w:val="21"/>
              </w:rPr>
            </w:pPr>
            <w:r>
              <w:rPr>
                <w:rFonts w:ascii="Arial Narrow" w:hAnsi="Arial Narrow" w:eastAsiaTheme="minorEastAsia"/>
                <w:szCs w:val="21"/>
              </w:rPr>
              <w:t>际华防护科技有限公司</w:t>
            </w:r>
          </w:p>
        </w:tc>
        <w:tc>
          <w:tcPr>
            <w:tcW w:w="788" w:type="pct"/>
            <w:vAlign w:val="center"/>
          </w:tcPr>
          <w:p w14:paraId="56366CDD">
            <w:pPr>
              <w:jc w:val="center"/>
              <w:rPr>
                <w:rFonts w:ascii="Arial Narrow" w:hAnsi="Arial Narrow" w:eastAsiaTheme="minorEastAsia"/>
                <w:szCs w:val="21"/>
              </w:rPr>
            </w:pPr>
            <w:r>
              <w:rPr>
                <w:rFonts w:ascii="Arial Narrow" w:hAnsi="Arial Narrow" w:eastAsiaTheme="minorEastAsia"/>
                <w:szCs w:val="21"/>
              </w:rPr>
              <w:t>北京市</w:t>
            </w:r>
          </w:p>
        </w:tc>
        <w:tc>
          <w:tcPr>
            <w:tcW w:w="546" w:type="pct"/>
            <w:vAlign w:val="center"/>
          </w:tcPr>
          <w:p w14:paraId="00FB504D">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444450AC">
            <w:pPr>
              <w:jc w:val="center"/>
              <w:rPr>
                <w:rFonts w:ascii="Arial Narrow" w:hAnsi="Arial Narrow" w:eastAsiaTheme="minorEastAsia"/>
                <w:szCs w:val="21"/>
              </w:rPr>
            </w:pPr>
            <w:r>
              <w:rPr>
                <w:rFonts w:ascii="Arial Narrow" w:hAnsi="Arial Narrow" w:eastAsiaTheme="minorEastAsia"/>
                <w:szCs w:val="21"/>
              </w:rPr>
              <w:t>北京市</w:t>
            </w:r>
          </w:p>
        </w:tc>
        <w:tc>
          <w:tcPr>
            <w:tcW w:w="679" w:type="pct"/>
            <w:vAlign w:val="center"/>
          </w:tcPr>
          <w:p w14:paraId="0BD7A0E5">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A4417ED">
            <w:pPr>
              <w:jc w:val="center"/>
              <w:rPr>
                <w:rFonts w:ascii="Arial Narrow" w:hAnsi="Arial Narrow" w:eastAsiaTheme="minorEastAsia"/>
                <w:szCs w:val="21"/>
              </w:rPr>
            </w:pPr>
            <w:r>
              <w:rPr>
                <w:rFonts w:ascii="Arial Narrow" w:hAnsi="Arial Narrow" w:eastAsiaTheme="minorEastAsia"/>
                <w:szCs w:val="21"/>
              </w:rPr>
              <w:t>60</w:t>
            </w:r>
          </w:p>
        </w:tc>
        <w:tc>
          <w:tcPr>
            <w:tcW w:w="745" w:type="pct"/>
            <w:vAlign w:val="center"/>
          </w:tcPr>
          <w:p w14:paraId="5156DBC7">
            <w:pPr>
              <w:jc w:val="center"/>
              <w:rPr>
                <w:rFonts w:ascii="Arial Narrow" w:hAnsi="Arial Narrow" w:eastAsiaTheme="minorEastAsia"/>
                <w:szCs w:val="21"/>
              </w:rPr>
            </w:pPr>
            <w:r>
              <w:rPr>
                <w:rFonts w:ascii="Arial Narrow" w:hAnsi="Arial Narrow" w:eastAsiaTheme="minorEastAsia"/>
                <w:szCs w:val="21"/>
              </w:rPr>
              <w:t>出资设立</w:t>
            </w:r>
          </w:p>
        </w:tc>
      </w:tr>
      <w:tr w14:paraId="7863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26B4879">
            <w:pPr>
              <w:jc w:val="both"/>
              <w:rPr>
                <w:rFonts w:ascii="Arial Narrow" w:hAnsi="Arial Narrow" w:eastAsiaTheme="minorEastAsia"/>
                <w:szCs w:val="21"/>
              </w:rPr>
            </w:pPr>
            <w:r>
              <w:rPr>
                <w:rFonts w:ascii="Arial Narrow" w:hAnsi="Arial Narrow" w:eastAsiaTheme="minorEastAsia"/>
                <w:szCs w:val="21"/>
              </w:rPr>
              <w:t>南京际华三五〇三服装有限公司</w:t>
            </w:r>
          </w:p>
        </w:tc>
        <w:tc>
          <w:tcPr>
            <w:tcW w:w="788" w:type="pct"/>
            <w:vAlign w:val="center"/>
          </w:tcPr>
          <w:p w14:paraId="58C80693">
            <w:pPr>
              <w:jc w:val="center"/>
              <w:rPr>
                <w:rFonts w:ascii="Arial Narrow" w:hAnsi="Arial Narrow" w:eastAsiaTheme="minorEastAsia"/>
                <w:szCs w:val="21"/>
              </w:rPr>
            </w:pPr>
            <w:r>
              <w:rPr>
                <w:rFonts w:ascii="Arial Narrow" w:hAnsi="Arial Narrow" w:eastAsiaTheme="minorEastAsia"/>
                <w:szCs w:val="21"/>
              </w:rPr>
              <w:t>江苏省南京市</w:t>
            </w:r>
          </w:p>
        </w:tc>
        <w:tc>
          <w:tcPr>
            <w:tcW w:w="546" w:type="pct"/>
            <w:vAlign w:val="center"/>
          </w:tcPr>
          <w:p w14:paraId="0CB10D39">
            <w:pPr>
              <w:jc w:val="center"/>
              <w:rPr>
                <w:rFonts w:ascii="Arial Narrow" w:hAnsi="Arial Narrow" w:eastAsiaTheme="minorEastAsia"/>
                <w:szCs w:val="21"/>
              </w:rPr>
            </w:pPr>
            <w:r>
              <w:rPr>
                <w:rFonts w:ascii="Arial Narrow" w:hAnsi="Arial Narrow" w:eastAsiaTheme="minorEastAsia"/>
                <w:szCs w:val="21"/>
              </w:rPr>
              <w:t>15,000</w:t>
            </w:r>
          </w:p>
        </w:tc>
        <w:tc>
          <w:tcPr>
            <w:tcW w:w="708" w:type="pct"/>
            <w:vAlign w:val="center"/>
          </w:tcPr>
          <w:p w14:paraId="7F54F2AF">
            <w:pPr>
              <w:jc w:val="center"/>
              <w:rPr>
                <w:rFonts w:ascii="Arial Narrow" w:hAnsi="Arial Narrow" w:eastAsiaTheme="minorEastAsia"/>
                <w:szCs w:val="21"/>
              </w:rPr>
            </w:pPr>
            <w:r>
              <w:rPr>
                <w:rFonts w:ascii="Arial Narrow" w:hAnsi="Arial Narrow" w:eastAsiaTheme="minorEastAsia"/>
                <w:szCs w:val="21"/>
              </w:rPr>
              <w:t>江苏省南京市</w:t>
            </w:r>
          </w:p>
        </w:tc>
        <w:tc>
          <w:tcPr>
            <w:tcW w:w="679" w:type="pct"/>
            <w:vAlign w:val="center"/>
          </w:tcPr>
          <w:p w14:paraId="78EF1F81">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898827D">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DD2BB2B">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31D9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264AB6E">
            <w:pPr>
              <w:jc w:val="both"/>
              <w:rPr>
                <w:rFonts w:ascii="Arial Narrow" w:hAnsi="Arial Narrow" w:eastAsiaTheme="minorEastAsia"/>
                <w:szCs w:val="21"/>
              </w:rPr>
            </w:pPr>
            <w:r>
              <w:rPr>
                <w:rFonts w:ascii="Arial Narrow" w:hAnsi="Arial Narrow" w:eastAsiaTheme="minorEastAsia"/>
                <w:szCs w:val="21"/>
              </w:rPr>
              <w:t>际华三五零六纺织服装有限公司</w:t>
            </w:r>
          </w:p>
        </w:tc>
        <w:tc>
          <w:tcPr>
            <w:tcW w:w="788" w:type="pct"/>
            <w:vAlign w:val="center"/>
          </w:tcPr>
          <w:p w14:paraId="3B115196">
            <w:pPr>
              <w:jc w:val="center"/>
              <w:rPr>
                <w:rFonts w:ascii="Arial Narrow" w:hAnsi="Arial Narrow" w:eastAsiaTheme="minorEastAsia"/>
                <w:szCs w:val="21"/>
              </w:rPr>
            </w:pPr>
            <w:r>
              <w:rPr>
                <w:rFonts w:ascii="Arial Narrow" w:hAnsi="Arial Narrow" w:eastAsiaTheme="minorEastAsia"/>
                <w:szCs w:val="21"/>
              </w:rPr>
              <w:t>湖北省武汉市</w:t>
            </w:r>
          </w:p>
        </w:tc>
        <w:tc>
          <w:tcPr>
            <w:tcW w:w="546" w:type="pct"/>
            <w:vAlign w:val="center"/>
          </w:tcPr>
          <w:p w14:paraId="2273AAEE">
            <w:pPr>
              <w:jc w:val="center"/>
              <w:rPr>
                <w:rFonts w:ascii="Arial Narrow" w:hAnsi="Arial Narrow" w:eastAsiaTheme="minorEastAsia"/>
                <w:szCs w:val="21"/>
              </w:rPr>
            </w:pPr>
            <w:r>
              <w:rPr>
                <w:rFonts w:ascii="Arial Narrow" w:hAnsi="Arial Narrow" w:eastAsiaTheme="minorEastAsia"/>
                <w:szCs w:val="21"/>
              </w:rPr>
              <w:t>20,000</w:t>
            </w:r>
          </w:p>
        </w:tc>
        <w:tc>
          <w:tcPr>
            <w:tcW w:w="708" w:type="pct"/>
            <w:vAlign w:val="center"/>
          </w:tcPr>
          <w:p w14:paraId="4A713238">
            <w:pPr>
              <w:jc w:val="center"/>
              <w:rPr>
                <w:rFonts w:ascii="Arial Narrow" w:hAnsi="Arial Narrow" w:eastAsiaTheme="minorEastAsia"/>
                <w:szCs w:val="21"/>
              </w:rPr>
            </w:pPr>
            <w:r>
              <w:rPr>
                <w:rFonts w:ascii="Arial Narrow" w:hAnsi="Arial Narrow" w:eastAsiaTheme="minorEastAsia"/>
                <w:szCs w:val="21"/>
              </w:rPr>
              <w:t>湖北省武汉市</w:t>
            </w:r>
          </w:p>
        </w:tc>
        <w:tc>
          <w:tcPr>
            <w:tcW w:w="679" w:type="pct"/>
            <w:vAlign w:val="center"/>
          </w:tcPr>
          <w:p w14:paraId="73A06C4D">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C67BDA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2E2CCD6">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06A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06BD51F">
            <w:pPr>
              <w:jc w:val="both"/>
              <w:rPr>
                <w:rFonts w:ascii="Arial Narrow" w:hAnsi="Arial Narrow" w:eastAsiaTheme="minorEastAsia"/>
                <w:szCs w:val="21"/>
              </w:rPr>
            </w:pPr>
            <w:r>
              <w:rPr>
                <w:rFonts w:ascii="Arial Narrow" w:hAnsi="Arial Narrow" w:eastAsiaTheme="minorEastAsia"/>
                <w:szCs w:val="21"/>
              </w:rPr>
              <w:t>武汉盛华投资管理有限公司</w:t>
            </w:r>
          </w:p>
        </w:tc>
        <w:tc>
          <w:tcPr>
            <w:tcW w:w="788" w:type="pct"/>
            <w:vAlign w:val="center"/>
          </w:tcPr>
          <w:p w14:paraId="73DC0676">
            <w:pPr>
              <w:jc w:val="center"/>
              <w:rPr>
                <w:rFonts w:ascii="Arial Narrow" w:hAnsi="Arial Narrow" w:eastAsiaTheme="minorEastAsia"/>
                <w:szCs w:val="21"/>
              </w:rPr>
            </w:pPr>
            <w:r>
              <w:rPr>
                <w:rFonts w:ascii="Arial Narrow" w:hAnsi="Arial Narrow" w:eastAsiaTheme="minorEastAsia"/>
                <w:szCs w:val="21"/>
              </w:rPr>
              <w:t>湖北省武汉市</w:t>
            </w:r>
          </w:p>
        </w:tc>
        <w:tc>
          <w:tcPr>
            <w:tcW w:w="546" w:type="pct"/>
            <w:vAlign w:val="center"/>
          </w:tcPr>
          <w:p w14:paraId="5AF0D4FA">
            <w:pPr>
              <w:jc w:val="center"/>
              <w:rPr>
                <w:rFonts w:ascii="Arial Narrow" w:hAnsi="Arial Narrow" w:eastAsiaTheme="minorEastAsia"/>
                <w:szCs w:val="21"/>
              </w:rPr>
            </w:pPr>
            <w:r>
              <w:rPr>
                <w:rFonts w:ascii="Arial Narrow" w:hAnsi="Arial Narrow" w:eastAsiaTheme="minorEastAsia"/>
                <w:szCs w:val="21"/>
              </w:rPr>
              <w:t>10,000</w:t>
            </w:r>
          </w:p>
        </w:tc>
        <w:tc>
          <w:tcPr>
            <w:tcW w:w="708" w:type="pct"/>
            <w:vAlign w:val="center"/>
          </w:tcPr>
          <w:p w14:paraId="64275B40">
            <w:pPr>
              <w:jc w:val="center"/>
              <w:rPr>
                <w:rFonts w:ascii="Arial Narrow" w:hAnsi="Arial Narrow" w:eastAsiaTheme="minorEastAsia"/>
                <w:szCs w:val="21"/>
              </w:rPr>
            </w:pPr>
            <w:r>
              <w:rPr>
                <w:rFonts w:ascii="Arial Narrow" w:hAnsi="Arial Narrow" w:eastAsiaTheme="minorEastAsia"/>
                <w:szCs w:val="21"/>
              </w:rPr>
              <w:t>湖北省武汉市</w:t>
            </w:r>
          </w:p>
        </w:tc>
        <w:tc>
          <w:tcPr>
            <w:tcW w:w="679" w:type="pct"/>
            <w:vAlign w:val="center"/>
          </w:tcPr>
          <w:p w14:paraId="54E49DAF">
            <w:pPr>
              <w:jc w:val="center"/>
              <w:rPr>
                <w:rFonts w:ascii="Arial Narrow" w:hAnsi="Arial Narrow" w:eastAsiaTheme="minorEastAsia"/>
                <w:szCs w:val="21"/>
              </w:rPr>
            </w:pPr>
            <w:r>
              <w:rPr>
                <w:rFonts w:ascii="Arial Narrow" w:hAnsi="Arial Narrow" w:eastAsiaTheme="minorEastAsia"/>
                <w:szCs w:val="21"/>
              </w:rPr>
              <w:t>投资管理</w:t>
            </w:r>
          </w:p>
        </w:tc>
        <w:tc>
          <w:tcPr>
            <w:tcW w:w="425" w:type="pct"/>
            <w:vAlign w:val="center"/>
          </w:tcPr>
          <w:p w14:paraId="618230F1">
            <w:pPr>
              <w:jc w:val="center"/>
              <w:rPr>
                <w:rFonts w:ascii="Arial Narrow" w:hAnsi="Arial Narrow" w:eastAsiaTheme="minorEastAsia"/>
                <w:szCs w:val="21"/>
              </w:rPr>
            </w:pPr>
            <w:r>
              <w:rPr>
                <w:rFonts w:ascii="Arial Narrow" w:hAnsi="Arial Narrow" w:eastAsiaTheme="minorEastAsia"/>
                <w:szCs w:val="21"/>
              </w:rPr>
              <w:t>75</w:t>
            </w:r>
          </w:p>
        </w:tc>
        <w:tc>
          <w:tcPr>
            <w:tcW w:w="745" w:type="pct"/>
            <w:vAlign w:val="center"/>
          </w:tcPr>
          <w:p w14:paraId="5A9C7CBE">
            <w:pPr>
              <w:jc w:val="center"/>
              <w:rPr>
                <w:rFonts w:ascii="Arial Narrow" w:hAnsi="Arial Narrow" w:eastAsiaTheme="minorEastAsia"/>
                <w:szCs w:val="21"/>
              </w:rPr>
            </w:pPr>
            <w:r>
              <w:rPr>
                <w:rFonts w:ascii="Arial Narrow" w:hAnsi="Arial Narrow" w:eastAsiaTheme="minorEastAsia"/>
                <w:szCs w:val="21"/>
              </w:rPr>
              <w:t>出资设立</w:t>
            </w:r>
          </w:p>
        </w:tc>
      </w:tr>
      <w:tr w14:paraId="75DE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EF6713A">
            <w:pPr>
              <w:jc w:val="both"/>
              <w:rPr>
                <w:rFonts w:ascii="Arial Narrow" w:hAnsi="Arial Narrow" w:eastAsiaTheme="minorEastAsia"/>
                <w:szCs w:val="21"/>
              </w:rPr>
            </w:pPr>
            <w:r>
              <w:rPr>
                <w:rFonts w:ascii="Arial Narrow" w:hAnsi="Arial Narrow" w:eastAsiaTheme="minorEastAsia"/>
                <w:szCs w:val="21"/>
              </w:rPr>
              <w:t>际华三五三四制衣有限公司</w:t>
            </w:r>
          </w:p>
        </w:tc>
        <w:tc>
          <w:tcPr>
            <w:tcW w:w="788" w:type="pct"/>
            <w:vAlign w:val="center"/>
          </w:tcPr>
          <w:p w14:paraId="5F62AA57">
            <w:pPr>
              <w:jc w:val="center"/>
              <w:rPr>
                <w:rFonts w:ascii="Arial Narrow" w:hAnsi="Arial Narrow" w:eastAsiaTheme="minorEastAsia"/>
                <w:szCs w:val="21"/>
              </w:rPr>
            </w:pPr>
            <w:r>
              <w:rPr>
                <w:rFonts w:ascii="Arial Narrow" w:hAnsi="Arial Narrow" w:eastAsiaTheme="minorEastAsia"/>
                <w:szCs w:val="21"/>
              </w:rPr>
              <w:t>山西省运城市</w:t>
            </w:r>
          </w:p>
        </w:tc>
        <w:tc>
          <w:tcPr>
            <w:tcW w:w="546" w:type="pct"/>
            <w:vAlign w:val="center"/>
          </w:tcPr>
          <w:p w14:paraId="672DB780">
            <w:pPr>
              <w:jc w:val="center"/>
              <w:rPr>
                <w:rFonts w:ascii="Arial Narrow" w:hAnsi="Arial Narrow" w:eastAsiaTheme="minorEastAsia"/>
                <w:szCs w:val="21"/>
              </w:rPr>
            </w:pPr>
            <w:r>
              <w:rPr>
                <w:rFonts w:ascii="Arial Narrow" w:hAnsi="Arial Narrow" w:eastAsiaTheme="minorEastAsia"/>
                <w:szCs w:val="21"/>
              </w:rPr>
              <w:t>15,000</w:t>
            </w:r>
          </w:p>
        </w:tc>
        <w:tc>
          <w:tcPr>
            <w:tcW w:w="708" w:type="pct"/>
            <w:vAlign w:val="center"/>
          </w:tcPr>
          <w:p w14:paraId="5FE598EB">
            <w:pPr>
              <w:jc w:val="center"/>
              <w:rPr>
                <w:rFonts w:ascii="Arial Narrow" w:hAnsi="Arial Narrow" w:eastAsiaTheme="minorEastAsia"/>
                <w:szCs w:val="21"/>
              </w:rPr>
            </w:pPr>
            <w:r>
              <w:rPr>
                <w:rFonts w:ascii="Arial Narrow" w:hAnsi="Arial Narrow" w:eastAsiaTheme="minorEastAsia"/>
                <w:szCs w:val="21"/>
              </w:rPr>
              <w:t>山西省运城市</w:t>
            </w:r>
          </w:p>
        </w:tc>
        <w:tc>
          <w:tcPr>
            <w:tcW w:w="679" w:type="pct"/>
            <w:vAlign w:val="center"/>
          </w:tcPr>
          <w:p w14:paraId="06284D09">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532007B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0ED3FEB3">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0050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0077B59B">
            <w:pPr>
              <w:jc w:val="both"/>
              <w:rPr>
                <w:rFonts w:ascii="Arial Narrow" w:hAnsi="Arial Narrow" w:eastAsiaTheme="minorEastAsia"/>
                <w:szCs w:val="21"/>
              </w:rPr>
            </w:pPr>
            <w:r>
              <w:rPr>
                <w:rFonts w:ascii="Arial Narrow" w:hAnsi="Arial Narrow" w:eastAsiaTheme="minorEastAsia"/>
                <w:szCs w:val="21"/>
              </w:rPr>
              <w:t>运城市空港开发区华禹房地产开发有限公司</w:t>
            </w:r>
          </w:p>
        </w:tc>
        <w:tc>
          <w:tcPr>
            <w:tcW w:w="788" w:type="pct"/>
            <w:vAlign w:val="center"/>
          </w:tcPr>
          <w:p w14:paraId="0B7EB861">
            <w:pPr>
              <w:jc w:val="center"/>
              <w:rPr>
                <w:rFonts w:ascii="Arial Narrow" w:hAnsi="Arial Narrow" w:eastAsiaTheme="minorEastAsia"/>
                <w:szCs w:val="21"/>
              </w:rPr>
            </w:pPr>
            <w:r>
              <w:rPr>
                <w:rFonts w:ascii="Arial Narrow" w:hAnsi="Arial Narrow" w:eastAsiaTheme="minorEastAsia"/>
                <w:szCs w:val="21"/>
              </w:rPr>
              <w:t>山西省运城市</w:t>
            </w:r>
          </w:p>
        </w:tc>
        <w:tc>
          <w:tcPr>
            <w:tcW w:w="546" w:type="pct"/>
            <w:vAlign w:val="center"/>
          </w:tcPr>
          <w:p w14:paraId="17741624">
            <w:pPr>
              <w:jc w:val="center"/>
              <w:rPr>
                <w:rFonts w:ascii="Arial Narrow" w:hAnsi="Arial Narrow" w:eastAsiaTheme="minorEastAsia"/>
                <w:szCs w:val="21"/>
              </w:rPr>
            </w:pPr>
            <w:r>
              <w:rPr>
                <w:rFonts w:ascii="Arial Narrow" w:hAnsi="Arial Narrow" w:eastAsiaTheme="minorEastAsia"/>
                <w:szCs w:val="21"/>
              </w:rPr>
              <w:t>3,000</w:t>
            </w:r>
          </w:p>
        </w:tc>
        <w:tc>
          <w:tcPr>
            <w:tcW w:w="708" w:type="pct"/>
            <w:vAlign w:val="center"/>
          </w:tcPr>
          <w:p w14:paraId="5B822B32">
            <w:pPr>
              <w:jc w:val="center"/>
              <w:rPr>
                <w:rFonts w:ascii="Arial Narrow" w:hAnsi="Arial Narrow" w:eastAsiaTheme="minorEastAsia"/>
                <w:szCs w:val="21"/>
              </w:rPr>
            </w:pPr>
            <w:r>
              <w:rPr>
                <w:rFonts w:ascii="Arial Narrow" w:hAnsi="Arial Narrow" w:eastAsiaTheme="minorEastAsia"/>
                <w:szCs w:val="21"/>
              </w:rPr>
              <w:t>山西省运城市</w:t>
            </w:r>
          </w:p>
        </w:tc>
        <w:tc>
          <w:tcPr>
            <w:tcW w:w="679" w:type="pct"/>
            <w:vAlign w:val="center"/>
          </w:tcPr>
          <w:p w14:paraId="2BC003A1">
            <w:pPr>
              <w:jc w:val="center"/>
              <w:rPr>
                <w:rFonts w:ascii="Arial Narrow" w:hAnsi="Arial Narrow" w:eastAsiaTheme="minorEastAsia"/>
                <w:szCs w:val="21"/>
              </w:rPr>
            </w:pPr>
            <w:r>
              <w:rPr>
                <w:rFonts w:ascii="Arial Narrow" w:hAnsi="Arial Narrow" w:eastAsiaTheme="minorEastAsia"/>
                <w:szCs w:val="21"/>
              </w:rPr>
              <w:t>房地产开发</w:t>
            </w:r>
          </w:p>
        </w:tc>
        <w:tc>
          <w:tcPr>
            <w:tcW w:w="425" w:type="pct"/>
            <w:vAlign w:val="center"/>
          </w:tcPr>
          <w:p w14:paraId="00580D36">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CFF7C4D">
            <w:pPr>
              <w:jc w:val="center"/>
              <w:rPr>
                <w:rFonts w:ascii="Arial Narrow" w:hAnsi="Arial Narrow" w:eastAsiaTheme="minorEastAsia"/>
                <w:szCs w:val="21"/>
              </w:rPr>
            </w:pPr>
            <w:r>
              <w:rPr>
                <w:rFonts w:ascii="Arial Narrow" w:hAnsi="Arial Narrow" w:eastAsiaTheme="minorEastAsia"/>
                <w:szCs w:val="21"/>
              </w:rPr>
              <w:t>出资设立</w:t>
            </w:r>
          </w:p>
        </w:tc>
      </w:tr>
      <w:tr w14:paraId="1B80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2846057A">
            <w:pPr>
              <w:jc w:val="both"/>
              <w:rPr>
                <w:rFonts w:ascii="Arial Narrow" w:hAnsi="Arial Narrow" w:eastAsiaTheme="minorEastAsia"/>
                <w:szCs w:val="21"/>
              </w:rPr>
            </w:pPr>
            <w:r>
              <w:rPr>
                <w:rFonts w:ascii="Arial Narrow" w:hAnsi="Arial Narrow" w:eastAsiaTheme="minorEastAsia"/>
                <w:szCs w:val="21"/>
              </w:rPr>
              <w:t>际华三五三六实业有限公司</w:t>
            </w:r>
          </w:p>
        </w:tc>
        <w:tc>
          <w:tcPr>
            <w:tcW w:w="788" w:type="pct"/>
            <w:vAlign w:val="center"/>
          </w:tcPr>
          <w:p w14:paraId="214CE227">
            <w:pPr>
              <w:jc w:val="center"/>
              <w:rPr>
                <w:rFonts w:ascii="Arial Narrow" w:hAnsi="Arial Narrow" w:eastAsiaTheme="minorEastAsia"/>
                <w:szCs w:val="21"/>
              </w:rPr>
            </w:pPr>
            <w:r>
              <w:rPr>
                <w:rFonts w:ascii="Arial Narrow" w:hAnsi="Arial Narrow" w:eastAsiaTheme="minorEastAsia"/>
                <w:szCs w:val="21"/>
              </w:rPr>
              <w:t>四川省绵阳市</w:t>
            </w:r>
          </w:p>
        </w:tc>
        <w:tc>
          <w:tcPr>
            <w:tcW w:w="546" w:type="pct"/>
            <w:vAlign w:val="center"/>
          </w:tcPr>
          <w:p w14:paraId="1D8CC950">
            <w:pPr>
              <w:jc w:val="center"/>
              <w:rPr>
                <w:rFonts w:ascii="Arial Narrow" w:hAnsi="Arial Narrow" w:eastAsiaTheme="minorEastAsia"/>
                <w:szCs w:val="21"/>
              </w:rPr>
            </w:pPr>
            <w:r>
              <w:rPr>
                <w:rFonts w:ascii="Arial Narrow" w:hAnsi="Arial Narrow" w:eastAsiaTheme="minorEastAsia"/>
                <w:szCs w:val="21"/>
              </w:rPr>
              <w:t>22,000</w:t>
            </w:r>
          </w:p>
        </w:tc>
        <w:tc>
          <w:tcPr>
            <w:tcW w:w="708" w:type="pct"/>
            <w:vAlign w:val="center"/>
          </w:tcPr>
          <w:p w14:paraId="3D13BF0E">
            <w:pPr>
              <w:jc w:val="center"/>
              <w:rPr>
                <w:rFonts w:ascii="Arial Narrow" w:hAnsi="Arial Narrow" w:eastAsiaTheme="minorEastAsia"/>
                <w:szCs w:val="21"/>
              </w:rPr>
            </w:pPr>
            <w:r>
              <w:rPr>
                <w:rFonts w:ascii="Arial Narrow" w:hAnsi="Arial Narrow" w:eastAsiaTheme="minorEastAsia"/>
                <w:szCs w:val="21"/>
              </w:rPr>
              <w:t>四川省绵阳市</w:t>
            </w:r>
          </w:p>
        </w:tc>
        <w:tc>
          <w:tcPr>
            <w:tcW w:w="679" w:type="pct"/>
            <w:vAlign w:val="center"/>
          </w:tcPr>
          <w:p w14:paraId="39955062">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30398057">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28FD610C">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6D70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A738EE2">
            <w:pPr>
              <w:jc w:val="both"/>
              <w:rPr>
                <w:rFonts w:ascii="Arial Narrow" w:hAnsi="Arial Narrow" w:eastAsiaTheme="minorEastAsia"/>
                <w:szCs w:val="21"/>
              </w:rPr>
            </w:pPr>
            <w:r>
              <w:rPr>
                <w:rFonts w:ascii="Arial Narrow" w:hAnsi="Arial Narrow" w:eastAsiaTheme="minorEastAsia"/>
                <w:szCs w:val="21"/>
              </w:rPr>
              <w:t>南京际华五三零二服饰装具有限责任公司</w:t>
            </w:r>
          </w:p>
        </w:tc>
        <w:tc>
          <w:tcPr>
            <w:tcW w:w="788" w:type="pct"/>
            <w:vAlign w:val="center"/>
          </w:tcPr>
          <w:p w14:paraId="7E3D3656">
            <w:pPr>
              <w:jc w:val="center"/>
              <w:rPr>
                <w:rFonts w:ascii="Arial Narrow" w:hAnsi="Arial Narrow" w:eastAsiaTheme="minorEastAsia"/>
                <w:szCs w:val="21"/>
              </w:rPr>
            </w:pPr>
            <w:r>
              <w:rPr>
                <w:rFonts w:ascii="Arial Narrow" w:hAnsi="Arial Narrow" w:eastAsiaTheme="minorEastAsia"/>
                <w:szCs w:val="21"/>
              </w:rPr>
              <w:t>江苏省南京市</w:t>
            </w:r>
          </w:p>
        </w:tc>
        <w:tc>
          <w:tcPr>
            <w:tcW w:w="546" w:type="pct"/>
            <w:vAlign w:val="center"/>
          </w:tcPr>
          <w:p w14:paraId="0D5A70F7">
            <w:pPr>
              <w:jc w:val="center"/>
              <w:rPr>
                <w:rFonts w:ascii="Arial Narrow" w:hAnsi="Arial Narrow" w:eastAsiaTheme="minorEastAsia"/>
                <w:szCs w:val="21"/>
              </w:rPr>
            </w:pPr>
            <w:r>
              <w:rPr>
                <w:rFonts w:ascii="Arial Narrow" w:hAnsi="Arial Narrow" w:eastAsiaTheme="minorEastAsia"/>
                <w:szCs w:val="21"/>
              </w:rPr>
              <w:t>10,100</w:t>
            </w:r>
          </w:p>
        </w:tc>
        <w:tc>
          <w:tcPr>
            <w:tcW w:w="708" w:type="pct"/>
            <w:vAlign w:val="center"/>
          </w:tcPr>
          <w:p w14:paraId="61AC609C">
            <w:pPr>
              <w:jc w:val="center"/>
              <w:rPr>
                <w:rFonts w:ascii="Arial Narrow" w:hAnsi="Arial Narrow" w:eastAsiaTheme="minorEastAsia"/>
                <w:szCs w:val="21"/>
              </w:rPr>
            </w:pPr>
            <w:r>
              <w:rPr>
                <w:rFonts w:ascii="Arial Narrow" w:hAnsi="Arial Narrow" w:eastAsiaTheme="minorEastAsia"/>
                <w:szCs w:val="21"/>
              </w:rPr>
              <w:t>江苏省南京市</w:t>
            </w:r>
          </w:p>
        </w:tc>
        <w:tc>
          <w:tcPr>
            <w:tcW w:w="679" w:type="pct"/>
            <w:vAlign w:val="center"/>
          </w:tcPr>
          <w:p w14:paraId="2D03394F">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FBA501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9A015CA">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3934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DA16D4F">
            <w:pPr>
              <w:jc w:val="both"/>
              <w:rPr>
                <w:rFonts w:ascii="Arial Narrow" w:hAnsi="Arial Narrow" w:eastAsiaTheme="minorEastAsia"/>
                <w:szCs w:val="21"/>
              </w:rPr>
            </w:pPr>
            <w:r>
              <w:rPr>
                <w:rFonts w:ascii="Arial Narrow" w:hAnsi="Arial Narrow" w:eastAsiaTheme="minorEastAsia"/>
                <w:szCs w:val="21"/>
              </w:rPr>
              <w:t>新疆际华七五五五职业装有限公司</w:t>
            </w:r>
          </w:p>
        </w:tc>
        <w:tc>
          <w:tcPr>
            <w:tcW w:w="788" w:type="pct"/>
            <w:vAlign w:val="center"/>
          </w:tcPr>
          <w:p w14:paraId="54EB1EFA">
            <w:pPr>
              <w:jc w:val="center"/>
              <w:rPr>
                <w:rFonts w:ascii="Arial Narrow" w:hAnsi="Arial Narrow" w:eastAsiaTheme="minorEastAsia"/>
                <w:szCs w:val="21"/>
              </w:rPr>
            </w:pPr>
            <w:r>
              <w:rPr>
                <w:rFonts w:ascii="Arial Narrow" w:hAnsi="Arial Narrow" w:eastAsiaTheme="minorEastAsia"/>
                <w:szCs w:val="21"/>
              </w:rPr>
              <w:t>新疆昌吉市</w:t>
            </w:r>
          </w:p>
        </w:tc>
        <w:tc>
          <w:tcPr>
            <w:tcW w:w="546" w:type="pct"/>
            <w:vAlign w:val="center"/>
          </w:tcPr>
          <w:p w14:paraId="5B104E43">
            <w:pPr>
              <w:jc w:val="center"/>
              <w:rPr>
                <w:rFonts w:ascii="Arial Narrow" w:hAnsi="Arial Narrow" w:eastAsiaTheme="minorEastAsia"/>
                <w:szCs w:val="21"/>
              </w:rPr>
            </w:pPr>
            <w:r>
              <w:rPr>
                <w:rFonts w:ascii="Arial Narrow" w:hAnsi="Arial Narrow" w:eastAsiaTheme="minorEastAsia"/>
                <w:szCs w:val="21"/>
              </w:rPr>
              <w:t>13,550</w:t>
            </w:r>
          </w:p>
        </w:tc>
        <w:tc>
          <w:tcPr>
            <w:tcW w:w="708" w:type="pct"/>
            <w:vAlign w:val="center"/>
          </w:tcPr>
          <w:p w14:paraId="1B973A55">
            <w:pPr>
              <w:jc w:val="center"/>
              <w:rPr>
                <w:rFonts w:ascii="Arial Narrow" w:hAnsi="Arial Narrow" w:eastAsiaTheme="minorEastAsia"/>
                <w:szCs w:val="21"/>
              </w:rPr>
            </w:pPr>
            <w:r>
              <w:rPr>
                <w:rFonts w:ascii="Arial Narrow" w:hAnsi="Arial Narrow" w:eastAsiaTheme="minorEastAsia"/>
                <w:szCs w:val="21"/>
              </w:rPr>
              <w:t>新疆昌吉市</w:t>
            </w:r>
          </w:p>
        </w:tc>
        <w:tc>
          <w:tcPr>
            <w:tcW w:w="679" w:type="pct"/>
            <w:vAlign w:val="center"/>
          </w:tcPr>
          <w:p w14:paraId="13A58821">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506404C6">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2817EEE8">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1AD8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1271F67">
            <w:pPr>
              <w:jc w:val="both"/>
              <w:rPr>
                <w:rFonts w:ascii="Arial Narrow" w:hAnsi="Arial Narrow" w:eastAsiaTheme="minorEastAsia"/>
                <w:szCs w:val="21"/>
              </w:rPr>
            </w:pPr>
            <w:r>
              <w:rPr>
                <w:rFonts w:ascii="Arial Narrow" w:hAnsi="Arial Narrow" w:eastAsiaTheme="minorEastAsia"/>
                <w:szCs w:val="21"/>
              </w:rPr>
              <w:t>呼图壁县万源棉业有限公司</w:t>
            </w:r>
          </w:p>
        </w:tc>
        <w:tc>
          <w:tcPr>
            <w:tcW w:w="788" w:type="pct"/>
            <w:vAlign w:val="center"/>
          </w:tcPr>
          <w:p w14:paraId="14EC970D">
            <w:pPr>
              <w:jc w:val="center"/>
              <w:rPr>
                <w:rFonts w:ascii="Arial Narrow" w:hAnsi="Arial Narrow" w:eastAsiaTheme="minorEastAsia"/>
                <w:szCs w:val="21"/>
              </w:rPr>
            </w:pPr>
            <w:r>
              <w:rPr>
                <w:rFonts w:ascii="Arial Narrow" w:hAnsi="Arial Narrow" w:eastAsiaTheme="minorEastAsia"/>
                <w:szCs w:val="21"/>
              </w:rPr>
              <w:t>新疆呼图壁县</w:t>
            </w:r>
          </w:p>
        </w:tc>
        <w:tc>
          <w:tcPr>
            <w:tcW w:w="546" w:type="pct"/>
            <w:vAlign w:val="center"/>
          </w:tcPr>
          <w:p w14:paraId="536B7F06">
            <w:pPr>
              <w:jc w:val="center"/>
              <w:rPr>
                <w:rFonts w:ascii="Arial Narrow" w:hAnsi="Arial Narrow" w:eastAsiaTheme="minorEastAsia"/>
                <w:szCs w:val="21"/>
              </w:rPr>
            </w:pPr>
            <w:r>
              <w:rPr>
                <w:rFonts w:ascii="Arial Narrow" w:hAnsi="Arial Narrow" w:eastAsiaTheme="minorEastAsia"/>
                <w:szCs w:val="21"/>
              </w:rPr>
              <w:t>1,600</w:t>
            </w:r>
          </w:p>
        </w:tc>
        <w:tc>
          <w:tcPr>
            <w:tcW w:w="708" w:type="pct"/>
            <w:vAlign w:val="center"/>
          </w:tcPr>
          <w:p w14:paraId="5DF4F6F3">
            <w:pPr>
              <w:jc w:val="center"/>
              <w:rPr>
                <w:rFonts w:ascii="Arial Narrow" w:hAnsi="Arial Narrow" w:eastAsiaTheme="minorEastAsia"/>
                <w:szCs w:val="21"/>
              </w:rPr>
            </w:pPr>
            <w:r>
              <w:rPr>
                <w:rFonts w:ascii="Arial Narrow" w:hAnsi="Arial Narrow" w:eastAsiaTheme="minorEastAsia"/>
                <w:szCs w:val="21"/>
              </w:rPr>
              <w:t>新疆呼图壁县</w:t>
            </w:r>
          </w:p>
        </w:tc>
        <w:tc>
          <w:tcPr>
            <w:tcW w:w="679" w:type="pct"/>
            <w:vAlign w:val="center"/>
          </w:tcPr>
          <w:p w14:paraId="19B2A617">
            <w:pPr>
              <w:jc w:val="center"/>
              <w:rPr>
                <w:rFonts w:ascii="Arial Narrow" w:hAnsi="Arial Narrow" w:eastAsiaTheme="minorEastAsia"/>
                <w:szCs w:val="21"/>
              </w:rPr>
            </w:pPr>
            <w:r>
              <w:rPr>
                <w:rFonts w:ascii="Arial Narrow" w:hAnsi="Arial Narrow" w:eastAsiaTheme="minorEastAsia"/>
                <w:szCs w:val="21"/>
              </w:rPr>
              <w:t>农产品加工销售</w:t>
            </w:r>
          </w:p>
        </w:tc>
        <w:tc>
          <w:tcPr>
            <w:tcW w:w="425" w:type="pct"/>
            <w:vAlign w:val="center"/>
          </w:tcPr>
          <w:p w14:paraId="759A83B7">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3BBE8A2">
            <w:pPr>
              <w:jc w:val="center"/>
              <w:rPr>
                <w:rFonts w:ascii="Arial Narrow" w:hAnsi="Arial Narrow" w:eastAsiaTheme="minorEastAsia"/>
                <w:szCs w:val="21"/>
              </w:rPr>
            </w:pPr>
            <w:r>
              <w:rPr>
                <w:rFonts w:ascii="Arial Narrow" w:hAnsi="Arial Narrow" w:eastAsiaTheme="minorEastAsia"/>
                <w:szCs w:val="21"/>
              </w:rPr>
              <w:t>非同一控制下企业合并</w:t>
            </w:r>
          </w:p>
        </w:tc>
      </w:tr>
      <w:tr w14:paraId="37FA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C77117C">
            <w:pPr>
              <w:jc w:val="both"/>
              <w:rPr>
                <w:rFonts w:ascii="Arial Narrow" w:hAnsi="Arial Narrow" w:eastAsiaTheme="minorEastAsia"/>
                <w:szCs w:val="21"/>
              </w:rPr>
            </w:pPr>
            <w:r>
              <w:rPr>
                <w:rFonts w:ascii="Arial Narrow" w:hAnsi="Arial Narrow" w:eastAsiaTheme="minorEastAsia"/>
                <w:szCs w:val="21"/>
              </w:rPr>
              <w:t>际华三五零九纺织有限公司</w:t>
            </w:r>
          </w:p>
        </w:tc>
        <w:tc>
          <w:tcPr>
            <w:tcW w:w="788" w:type="pct"/>
            <w:vAlign w:val="center"/>
          </w:tcPr>
          <w:p w14:paraId="7EE6C099">
            <w:pPr>
              <w:jc w:val="center"/>
              <w:rPr>
                <w:rFonts w:ascii="Arial Narrow" w:hAnsi="Arial Narrow" w:eastAsiaTheme="minorEastAsia"/>
                <w:szCs w:val="21"/>
              </w:rPr>
            </w:pPr>
            <w:r>
              <w:rPr>
                <w:rFonts w:ascii="Arial Narrow" w:hAnsi="Arial Narrow" w:eastAsiaTheme="minorEastAsia"/>
                <w:szCs w:val="21"/>
              </w:rPr>
              <w:t>湖北省汉川市</w:t>
            </w:r>
          </w:p>
        </w:tc>
        <w:tc>
          <w:tcPr>
            <w:tcW w:w="546" w:type="pct"/>
            <w:vAlign w:val="center"/>
          </w:tcPr>
          <w:p w14:paraId="7577A5D7">
            <w:pPr>
              <w:jc w:val="center"/>
              <w:rPr>
                <w:rFonts w:ascii="Arial Narrow" w:hAnsi="Arial Narrow" w:eastAsiaTheme="minorEastAsia"/>
                <w:szCs w:val="21"/>
              </w:rPr>
            </w:pPr>
            <w:r>
              <w:rPr>
                <w:rFonts w:ascii="Arial Narrow" w:hAnsi="Arial Narrow" w:eastAsiaTheme="minorEastAsia"/>
                <w:szCs w:val="21"/>
              </w:rPr>
              <w:t>10,080</w:t>
            </w:r>
          </w:p>
        </w:tc>
        <w:tc>
          <w:tcPr>
            <w:tcW w:w="708" w:type="pct"/>
            <w:vAlign w:val="center"/>
          </w:tcPr>
          <w:p w14:paraId="0A22177A">
            <w:pPr>
              <w:jc w:val="center"/>
              <w:rPr>
                <w:rFonts w:ascii="Arial Narrow" w:hAnsi="Arial Narrow" w:eastAsiaTheme="minorEastAsia"/>
                <w:szCs w:val="21"/>
              </w:rPr>
            </w:pPr>
            <w:r>
              <w:rPr>
                <w:rFonts w:ascii="Arial Narrow" w:hAnsi="Arial Narrow" w:eastAsiaTheme="minorEastAsia"/>
                <w:szCs w:val="21"/>
              </w:rPr>
              <w:t>湖北省汉川市</w:t>
            </w:r>
          </w:p>
        </w:tc>
        <w:tc>
          <w:tcPr>
            <w:tcW w:w="679" w:type="pct"/>
            <w:vAlign w:val="center"/>
          </w:tcPr>
          <w:p w14:paraId="58EB6C39">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5AA3BCC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68E9BC6">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7CE3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2F92DAC7">
            <w:pPr>
              <w:jc w:val="both"/>
              <w:rPr>
                <w:rFonts w:ascii="Arial Narrow" w:hAnsi="Arial Narrow" w:eastAsiaTheme="minorEastAsia"/>
                <w:szCs w:val="21"/>
              </w:rPr>
            </w:pPr>
            <w:r>
              <w:rPr>
                <w:rFonts w:ascii="Arial Narrow" w:hAnsi="Arial Narrow" w:eastAsiaTheme="minorEastAsia"/>
                <w:szCs w:val="21"/>
              </w:rPr>
              <w:t>际华三五一一实业有限公司</w:t>
            </w:r>
          </w:p>
        </w:tc>
        <w:tc>
          <w:tcPr>
            <w:tcW w:w="788" w:type="pct"/>
            <w:vAlign w:val="center"/>
          </w:tcPr>
          <w:p w14:paraId="2FDFDF1B">
            <w:pPr>
              <w:jc w:val="center"/>
              <w:rPr>
                <w:rFonts w:ascii="Arial Narrow" w:hAnsi="Arial Narrow" w:eastAsiaTheme="minorEastAsia"/>
                <w:szCs w:val="21"/>
              </w:rPr>
            </w:pPr>
            <w:r>
              <w:rPr>
                <w:rFonts w:ascii="Arial Narrow" w:hAnsi="Arial Narrow" w:eastAsiaTheme="minorEastAsia"/>
                <w:szCs w:val="21"/>
              </w:rPr>
              <w:t>陕西省西安市</w:t>
            </w:r>
          </w:p>
        </w:tc>
        <w:tc>
          <w:tcPr>
            <w:tcW w:w="546" w:type="pct"/>
            <w:vAlign w:val="center"/>
          </w:tcPr>
          <w:p w14:paraId="3A7EEE58">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328A7026">
            <w:pPr>
              <w:jc w:val="center"/>
              <w:rPr>
                <w:rFonts w:ascii="Arial Narrow" w:hAnsi="Arial Narrow" w:eastAsiaTheme="minorEastAsia"/>
                <w:szCs w:val="21"/>
              </w:rPr>
            </w:pPr>
            <w:r>
              <w:rPr>
                <w:rFonts w:ascii="Arial Narrow" w:hAnsi="Arial Narrow" w:eastAsiaTheme="minorEastAsia"/>
                <w:szCs w:val="21"/>
              </w:rPr>
              <w:t>陕西省西安市</w:t>
            </w:r>
          </w:p>
        </w:tc>
        <w:tc>
          <w:tcPr>
            <w:tcW w:w="679" w:type="pct"/>
            <w:vAlign w:val="center"/>
          </w:tcPr>
          <w:p w14:paraId="03FD34E7">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23E3464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10AF843">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895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2FA5AC32">
            <w:pPr>
              <w:jc w:val="both"/>
              <w:rPr>
                <w:rFonts w:ascii="Arial Narrow" w:hAnsi="Arial Narrow" w:eastAsiaTheme="minorEastAsia"/>
                <w:szCs w:val="21"/>
              </w:rPr>
            </w:pPr>
            <w:r>
              <w:rPr>
                <w:rFonts w:ascii="Arial Narrow" w:hAnsi="Arial Narrow" w:eastAsiaTheme="minorEastAsia"/>
                <w:szCs w:val="21"/>
              </w:rPr>
              <w:t>际华三五四二纺织有限公司</w:t>
            </w:r>
          </w:p>
        </w:tc>
        <w:tc>
          <w:tcPr>
            <w:tcW w:w="788" w:type="pct"/>
            <w:vAlign w:val="center"/>
          </w:tcPr>
          <w:p w14:paraId="01CBD342">
            <w:pPr>
              <w:jc w:val="center"/>
              <w:rPr>
                <w:rFonts w:ascii="Arial Narrow" w:hAnsi="Arial Narrow" w:eastAsiaTheme="minorEastAsia"/>
                <w:szCs w:val="21"/>
              </w:rPr>
            </w:pPr>
            <w:r>
              <w:rPr>
                <w:rFonts w:ascii="Arial Narrow" w:hAnsi="Arial Narrow" w:eastAsiaTheme="minorEastAsia"/>
                <w:szCs w:val="21"/>
              </w:rPr>
              <w:t>湖北省襄阳市</w:t>
            </w:r>
          </w:p>
        </w:tc>
        <w:tc>
          <w:tcPr>
            <w:tcW w:w="546" w:type="pct"/>
            <w:vAlign w:val="center"/>
          </w:tcPr>
          <w:p w14:paraId="03743D55">
            <w:pPr>
              <w:jc w:val="center"/>
              <w:rPr>
                <w:rFonts w:ascii="Arial Narrow" w:hAnsi="Arial Narrow" w:eastAsiaTheme="minorEastAsia"/>
                <w:szCs w:val="21"/>
              </w:rPr>
            </w:pPr>
            <w:r>
              <w:rPr>
                <w:rFonts w:ascii="Arial Narrow" w:hAnsi="Arial Narrow" w:eastAsiaTheme="minorEastAsia"/>
                <w:szCs w:val="21"/>
              </w:rPr>
              <w:t>16,051.60</w:t>
            </w:r>
          </w:p>
        </w:tc>
        <w:tc>
          <w:tcPr>
            <w:tcW w:w="708" w:type="pct"/>
            <w:vAlign w:val="center"/>
          </w:tcPr>
          <w:p w14:paraId="1D619BC2">
            <w:pPr>
              <w:jc w:val="center"/>
              <w:rPr>
                <w:rFonts w:ascii="Arial Narrow" w:hAnsi="Arial Narrow" w:eastAsiaTheme="minorEastAsia"/>
                <w:szCs w:val="21"/>
              </w:rPr>
            </w:pPr>
            <w:r>
              <w:rPr>
                <w:rFonts w:ascii="Arial Narrow" w:hAnsi="Arial Narrow" w:eastAsiaTheme="minorEastAsia"/>
                <w:szCs w:val="21"/>
              </w:rPr>
              <w:t>湖北省襄阳市</w:t>
            </w:r>
          </w:p>
        </w:tc>
        <w:tc>
          <w:tcPr>
            <w:tcW w:w="679" w:type="pct"/>
            <w:vAlign w:val="center"/>
          </w:tcPr>
          <w:p w14:paraId="44A11C96">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73D27D25">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D17E415">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6EF3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A98C968">
            <w:pPr>
              <w:jc w:val="both"/>
              <w:rPr>
                <w:rFonts w:ascii="Arial Narrow" w:hAnsi="Arial Narrow" w:eastAsiaTheme="minorEastAsia"/>
                <w:szCs w:val="21"/>
              </w:rPr>
            </w:pPr>
            <w:r>
              <w:rPr>
                <w:rFonts w:ascii="Arial Narrow" w:hAnsi="Arial Narrow" w:eastAsiaTheme="minorEastAsia"/>
                <w:szCs w:val="21"/>
              </w:rPr>
              <w:t>际华三五四三针织服饰有限公司</w:t>
            </w:r>
          </w:p>
        </w:tc>
        <w:tc>
          <w:tcPr>
            <w:tcW w:w="788" w:type="pct"/>
            <w:vAlign w:val="center"/>
          </w:tcPr>
          <w:p w14:paraId="127361AB">
            <w:pPr>
              <w:jc w:val="center"/>
              <w:rPr>
                <w:rFonts w:ascii="Arial Narrow" w:hAnsi="Arial Narrow" w:eastAsiaTheme="minorEastAsia"/>
                <w:szCs w:val="21"/>
              </w:rPr>
            </w:pPr>
            <w:r>
              <w:rPr>
                <w:rFonts w:ascii="Arial Narrow" w:hAnsi="Arial Narrow" w:eastAsiaTheme="minorEastAsia"/>
                <w:szCs w:val="21"/>
              </w:rPr>
              <w:t>河北省涿州市</w:t>
            </w:r>
          </w:p>
        </w:tc>
        <w:tc>
          <w:tcPr>
            <w:tcW w:w="546" w:type="pct"/>
            <w:vAlign w:val="center"/>
          </w:tcPr>
          <w:p w14:paraId="6F768A27">
            <w:pPr>
              <w:jc w:val="center"/>
              <w:rPr>
                <w:rFonts w:ascii="Arial Narrow" w:hAnsi="Arial Narrow" w:eastAsiaTheme="minorEastAsia"/>
                <w:szCs w:val="21"/>
              </w:rPr>
            </w:pPr>
            <w:r>
              <w:rPr>
                <w:rFonts w:ascii="Arial Narrow" w:hAnsi="Arial Narrow" w:eastAsiaTheme="minorEastAsia"/>
                <w:szCs w:val="21"/>
              </w:rPr>
              <w:t>30,000</w:t>
            </w:r>
          </w:p>
        </w:tc>
        <w:tc>
          <w:tcPr>
            <w:tcW w:w="708" w:type="pct"/>
            <w:vAlign w:val="center"/>
          </w:tcPr>
          <w:p w14:paraId="319EDA61">
            <w:pPr>
              <w:jc w:val="center"/>
              <w:rPr>
                <w:rFonts w:ascii="Arial Narrow" w:hAnsi="Arial Narrow" w:eastAsiaTheme="minorEastAsia"/>
                <w:szCs w:val="21"/>
              </w:rPr>
            </w:pPr>
            <w:r>
              <w:rPr>
                <w:rFonts w:ascii="Arial Narrow" w:hAnsi="Arial Narrow" w:eastAsiaTheme="minorEastAsia"/>
                <w:szCs w:val="21"/>
              </w:rPr>
              <w:t>河北省涿州市</w:t>
            </w:r>
          </w:p>
        </w:tc>
        <w:tc>
          <w:tcPr>
            <w:tcW w:w="679" w:type="pct"/>
            <w:vAlign w:val="center"/>
          </w:tcPr>
          <w:p w14:paraId="362C7768">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2EDA526">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1E590E0">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DEB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667E9E8">
            <w:pPr>
              <w:jc w:val="both"/>
              <w:rPr>
                <w:rFonts w:ascii="Arial Narrow" w:hAnsi="Arial Narrow" w:eastAsiaTheme="minorEastAsia"/>
                <w:szCs w:val="21"/>
              </w:rPr>
            </w:pPr>
            <w:r>
              <w:rPr>
                <w:rFonts w:ascii="Arial Narrow" w:hAnsi="Arial Narrow" w:eastAsiaTheme="minorEastAsia"/>
                <w:szCs w:val="21"/>
              </w:rPr>
              <w:t>湖北际华针织有限公司</w:t>
            </w:r>
          </w:p>
        </w:tc>
        <w:tc>
          <w:tcPr>
            <w:tcW w:w="788" w:type="pct"/>
            <w:vAlign w:val="center"/>
          </w:tcPr>
          <w:p w14:paraId="2B8529A5">
            <w:pPr>
              <w:jc w:val="center"/>
              <w:rPr>
                <w:rFonts w:ascii="Arial Narrow" w:hAnsi="Arial Narrow" w:eastAsiaTheme="minorEastAsia"/>
                <w:szCs w:val="21"/>
              </w:rPr>
            </w:pPr>
            <w:r>
              <w:rPr>
                <w:rFonts w:ascii="Arial Narrow" w:hAnsi="Arial Narrow" w:eastAsiaTheme="minorEastAsia"/>
                <w:szCs w:val="21"/>
              </w:rPr>
              <w:t>湖北省孝感市</w:t>
            </w:r>
          </w:p>
        </w:tc>
        <w:tc>
          <w:tcPr>
            <w:tcW w:w="546" w:type="pct"/>
            <w:vAlign w:val="center"/>
          </w:tcPr>
          <w:p w14:paraId="2E9B79E8">
            <w:pPr>
              <w:jc w:val="center"/>
              <w:rPr>
                <w:rFonts w:ascii="Arial Narrow" w:hAnsi="Arial Narrow" w:eastAsiaTheme="minorEastAsia"/>
                <w:szCs w:val="21"/>
              </w:rPr>
            </w:pPr>
            <w:r>
              <w:rPr>
                <w:rFonts w:ascii="Arial Narrow" w:hAnsi="Arial Narrow" w:eastAsiaTheme="minorEastAsia"/>
                <w:szCs w:val="21"/>
              </w:rPr>
              <w:t>800</w:t>
            </w:r>
          </w:p>
        </w:tc>
        <w:tc>
          <w:tcPr>
            <w:tcW w:w="708" w:type="pct"/>
            <w:vAlign w:val="center"/>
          </w:tcPr>
          <w:p w14:paraId="1DA08064">
            <w:pPr>
              <w:jc w:val="center"/>
              <w:rPr>
                <w:rFonts w:ascii="Arial Narrow" w:hAnsi="Arial Narrow" w:eastAsiaTheme="minorEastAsia"/>
                <w:szCs w:val="21"/>
              </w:rPr>
            </w:pPr>
            <w:r>
              <w:rPr>
                <w:rFonts w:ascii="Arial Narrow" w:hAnsi="Arial Narrow" w:eastAsiaTheme="minorEastAsia"/>
                <w:szCs w:val="21"/>
              </w:rPr>
              <w:t>湖北省孝感市</w:t>
            </w:r>
          </w:p>
        </w:tc>
        <w:tc>
          <w:tcPr>
            <w:tcW w:w="679" w:type="pct"/>
            <w:vAlign w:val="center"/>
          </w:tcPr>
          <w:p w14:paraId="316A3E44">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53E38A8C">
            <w:pPr>
              <w:jc w:val="center"/>
              <w:rPr>
                <w:rFonts w:ascii="Arial Narrow" w:hAnsi="Arial Narrow" w:eastAsiaTheme="minorEastAsia"/>
                <w:szCs w:val="21"/>
              </w:rPr>
            </w:pPr>
            <w:r>
              <w:rPr>
                <w:rFonts w:ascii="Arial Narrow" w:hAnsi="Arial Narrow" w:eastAsiaTheme="minorEastAsia"/>
                <w:szCs w:val="21"/>
              </w:rPr>
              <w:t>51</w:t>
            </w:r>
          </w:p>
        </w:tc>
        <w:tc>
          <w:tcPr>
            <w:tcW w:w="745" w:type="pct"/>
            <w:vAlign w:val="center"/>
          </w:tcPr>
          <w:p w14:paraId="5B470083">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3EB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1439618">
            <w:pPr>
              <w:jc w:val="both"/>
              <w:rPr>
                <w:rFonts w:ascii="Arial Narrow" w:hAnsi="Arial Narrow" w:eastAsiaTheme="minorEastAsia"/>
                <w:szCs w:val="21"/>
              </w:rPr>
            </w:pPr>
            <w:r>
              <w:rPr>
                <w:rFonts w:ascii="Arial Narrow" w:hAnsi="Arial Narrow" w:eastAsiaTheme="minorEastAsia"/>
                <w:szCs w:val="21"/>
              </w:rPr>
              <w:t>咸阳际华新三零印染有限公司</w:t>
            </w:r>
          </w:p>
        </w:tc>
        <w:tc>
          <w:tcPr>
            <w:tcW w:w="788" w:type="pct"/>
            <w:vAlign w:val="center"/>
          </w:tcPr>
          <w:p w14:paraId="78E1EFA8">
            <w:pPr>
              <w:jc w:val="center"/>
              <w:rPr>
                <w:rFonts w:ascii="Arial Narrow" w:hAnsi="Arial Narrow" w:eastAsiaTheme="minorEastAsia"/>
                <w:szCs w:val="21"/>
              </w:rPr>
            </w:pPr>
            <w:r>
              <w:rPr>
                <w:rFonts w:ascii="Arial Narrow" w:hAnsi="Arial Narrow" w:eastAsiaTheme="minorEastAsia"/>
                <w:szCs w:val="21"/>
              </w:rPr>
              <w:t>陕西省咸阳市</w:t>
            </w:r>
          </w:p>
        </w:tc>
        <w:tc>
          <w:tcPr>
            <w:tcW w:w="546" w:type="pct"/>
            <w:vAlign w:val="center"/>
          </w:tcPr>
          <w:p w14:paraId="0EB3F12D">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2838099D">
            <w:pPr>
              <w:jc w:val="center"/>
              <w:rPr>
                <w:rFonts w:ascii="Arial Narrow" w:hAnsi="Arial Narrow" w:eastAsiaTheme="minorEastAsia"/>
                <w:szCs w:val="21"/>
              </w:rPr>
            </w:pPr>
            <w:r>
              <w:rPr>
                <w:rFonts w:ascii="Arial Narrow" w:hAnsi="Arial Narrow" w:eastAsiaTheme="minorEastAsia"/>
                <w:szCs w:val="21"/>
              </w:rPr>
              <w:t>陕西省咸阳市</w:t>
            </w:r>
          </w:p>
        </w:tc>
        <w:tc>
          <w:tcPr>
            <w:tcW w:w="679" w:type="pct"/>
            <w:vAlign w:val="center"/>
          </w:tcPr>
          <w:p w14:paraId="08D5A3B4">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6F5F7CD">
            <w:pPr>
              <w:jc w:val="center"/>
              <w:rPr>
                <w:rFonts w:ascii="Arial Narrow" w:hAnsi="Arial Narrow" w:eastAsiaTheme="minorEastAsia"/>
                <w:szCs w:val="21"/>
              </w:rPr>
            </w:pPr>
            <w:r>
              <w:rPr>
                <w:rFonts w:ascii="Arial Narrow" w:hAnsi="Arial Narrow" w:eastAsiaTheme="minorEastAsia"/>
                <w:szCs w:val="21"/>
              </w:rPr>
              <w:t>68.1</w:t>
            </w:r>
          </w:p>
        </w:tc>
        <w:tc>
          <w:tcPr>
            <w:tcW w:w="745" w:type="pct"/>
            <w:vAlign w:val="center"/>
          </w:tcPr>
          <w:p w14:paraId="25302AEC">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57F3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84574DF">
            <w:pPr>
              <w:jc w:val="both"/>
              <w:rPr>
                <w:rFonts w:ascii="Arial Narrow" w:hAnsi="Arial Narrow" w:eastAsiaTheme="minorEastAsia"/>
                <w:szCs w:val="21"/>
              </w:rPr>
            </w:pPr>
            <w:r>
              <w:rPr>
                <w:rFonts w:ascii="Arial Narrow" w:hAnsi="Arial Narrow" w:eastAsiaTheme="minorEastAsia"/>
                <w:szCs w:val="21"/>
              </w:rPr>
              <w:t>际华三五一二皮革服装有限公司</w:t>
            </w:r>
          </w:p>
        </w:tc>
        <w:tc>
          <w:tcPr>
            <w:tcW w:w="788" w:type="pct"/>
            <w:vAlign w:val="center"/>
          </w:tcPr>
          <w:p w14:paraId="5BA17117">
            <w:pPr>
              <w:jc w:val="center"/>
              <w:rPr>
                <w:rFonts w:ascii="Arial Narrow" w:hAnsi="Arial Narrow" w:eastAsiaTheme="minorEastAsia"/>
                <w:szCs w:val="21"/>
              </w:rPr>
            </w:pPr>
            <w:r>
              <w:rPr>
                <w:rFonts w:ascii="Arial Narrow" w:hAnsi="Arial Narrow" w:eastAsiaTheme="minorEastAsia"/>
                <w:szCs w:val="21"/>
              </w:rPr>
              <w:t>甘肃省兰州市</w:t>
            </w:r>
          </w:p>
        </w:tc>
        <w:tc>
          <w:tcPr>
            <w:tcW w:w="546" w:type="pct"/>
            <w:vAlign w:val="center"/>
          </w:tcPr>
          <w:p w14:paraId="5B7C76A4">
            <w:pPr>
              <w:jc w:val="center"/>
              <w:rPr>
                <w:rFonts w:ascii="Arial Narrow" w:hAnsi="Arial Narrow" w:eastAsiaTheme="minorEastAsia"/>
                <w:szCs w:val="21"/>
              </w:rPr>
            </w:pPr>
            <w:r>
              <w:rPr>
                <w:rFonts w:ascii="Arial Narrow" w:hAnsi="Arial Narrow" w:eastAsiaTheme="minorEastAsia"/>
                <w:szCs w:val="21"/>
              </w:rPr>
              <w:t>15,000</w:t>
            </w:r>
          </w:p>
        </w:tc>
        <w:tc>
          <w:tcPr>
            <w:tcW w:w="708" w:type="pct"/>
            <w:vAlign w:val="center"/>
          </w:tcPr>
          <w:p w14:paraId="50E05203">
            <w:pPr>
              <w:jc w:val="center"/>
              <w:rPr>
                <w:rFonts w:ascii="Arial Narrow" w:hAnsi="Arial Narrow" w:eastAsiaTheme="minorEastAsia"/>
                <w:szCs w:val="21"/>
              </w:rPr>
            </w:pPr>
            <w:r>
              <w:rPr>
                <w:rFonts w:ascii="Arial Narrow" w:hAnsi="Arial Narrow" w:eastAsiaTheme="minorEastAsia"/>
                <w:szCs w:val="21"/>
              </w:rPr>
              <w:t>甘肃省兰州市</w:t>
            </w:r>
          </w:p>
        </w:tc>
        <w:tc>
          <w:tcPr>
            <w:tcW w:w="679" w:type="pct"/>
            <w:vAlign w:val="center"/>
          </w:tcPr>
          <w:p w14:paraId="48B70E29">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31A72944">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74E6DE88">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67E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5455AE8">
            <w:pPr>
              <w:jc w:val="both"/>
              <w:rPr>
                <w:rFonts w:ascii="Arial Narrow" w:hAnsi="Arial Narrow" w:eastAsiaTheme="minorEastAsia"/>
                <w:szCs w:val="21"/>
              </w:rPr>
            </w:pPr>
            <w:r>
              <w:rPr>
                <w:rFonts w:ascii="Arial Narrow" w:hAnsi="Arial Narrow" w:eastAsiaTheme="minorEastAsia"/>
                <w:szCs w:val="21"/>
              </w:rPr>
              <w:t>际华三五一三实业有限公司</w:t>
            </w:r>
          </w:p>
        </w:tc>
        <w:tc>
          <w:tcPr>
            <w:tcW w:w="788" w:type="pct"/>
            <w:vAlign w:val="center"/>
          </w:tcPr>
          <w:p w14:paraId="10BD4329">
            <w:pPr>
              <w:jc w:val="center"/>
              <w:rPr>
                <w:rFonts w:ascii="Arial Narrow" w:hAnsi="Arial Narrow" w:eastAsiaTheme="minorEastAsia"/>
                <w:szCs w:val="21"/>
              </w:rPr>
            </w:pPr>
            <w:r>
              <w:rPr>
                <w:rFonts w:ascii="Arial Narrow" w:hAnsi="Arial Narrow" w:eastAsiaTheme="minorEastAsia"/>
                <w:szCs w:val="21"/>
              </w:rPr>
              <w:t>陕西省西安市</w:t>
            </w:r>
          </w:p>
        </w:tc>
        <w:tc>
          <w:tcPr>
            <w:tcW w:w="546" w:type="pct"/>
            <w:vAlign w:val="center"/>
          </w:tcPr>
          <w:p w14:paraId="47C63D4F">
            <w:pPr>
              <w:jc w:val="center"/>
              <w:rPr>
                <w:rFonts w:ascii="Arial Narrow" w:hAnsi="Arial Narrow" w:eastAsiaTheme="minorEastAsia"/>
                <w:szCs w:val="21"/>
              </w:rPr>
            </w:pPr>
            <w:r>
              <w:rPr>
                <w:rFonts w:ascii="Arial Narrow" w:hAnsi="Arial Narrow" w:eastAsiaTheme="minorEastAsia"/>
                <w:szCs w:val="21"/>
              </w:rPr>
              <w:t>34,500</w:t>
            </w:r>
          </w:p>
        </w:tc>
        <w:tc>
          <w:tcPr>
            <w:tcW w:w="708" w:type="pct"/>
            <w:vAlign w:val="center"/>
          </w:tcPr>
          <w:p w14:paraId="1B2AC922">
            <w:pPr>
              <w:jc w:val="center"/>
              <w:rPr>
                <w:rFonts w:ascii="Arial Narrow" w:hAnsi="Arial Narrow" w:eastAsiaTheme="minorEastAsia"/>
                <w:szCs w:val="21"/>
              </w:rPr>
            </w:pPr>
            <w:r>
              <w:rPr>
                <w:rFonts w:ascii="Arial Narrow" w:hAnsi="Arial Narrow" w:eastAsiaTheme="minorEastAsia"/>
                <w:szCs w:val="21"/>
              </w:rPr>
              <w:t>陕西省西安市</w:t>
            </w:r>
          </w:p>
        </w:tc>
        <w:tc>
          <w:tcPr>
            <w:tcW w:w="679" w:type="pct"/>
            <w:vAlign w:val="center"/>
          </w:tcPr>
          <w:p w14:paraId="5372D120">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76CDA62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A6CAEE4">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6DBF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21C551F">
            <w:pPr>
              <w:jc w:val="both"/>
              <w:rPr>
                <w:rFonts w:ascii="Arial Narrow" w:hAnsi="Arial Narrow" w:eastAsiaTheme="minorEastAsia"/>
                <w:szCs w:val="21"/>
              </w:rPr>
            </w:pPr>
            <w:r>
              <w:rPr>
                <w:rFonts w:ascii="Arial Narrow" w:hAnsi="Arial Narrow" w:eastAsiaTheme="minorEastAsia"/>
                <w:szCs w:val="21"/>
              </w:rPr>
              <w:t>际华三五一四制革制鞋有限公司</w:t>
            </w:r>
          </w:p>
        </w:tc>
        <w:tc>
          <w:tcPr>
            <w:tcW w:w="788" w:type="pct"/>
            <w:vAlign w:val="center"/>
          </w:tcPr>
          <w:p w14:paraId="43FA6EC9">
            <w:pPr>
              <w:jc w:val="center"/>
              <w:rPr>
                <w:rFonts w:ascii="Arial Narrow" w:hAnsi="Arial Narrow" w:eastAsiaTheme="minorEastAsia"/>
                <w:szCs w:val="21"/>
              </w:rPr>
            </w:pPr>
            <w:r>
              <w:rPr>
                <w:rFonts w:ascii="Arial Narrow" w:hAnsi="Arial Narrow" w:eastAsiaTheme="minorEastAsia"/>
                <w:szCs w:val="21"/>
              </w:rPr>
              <w:t>河北省石家庄市</w:t>
            </w:r>
          </w:p>
        </w:tc>
        <w:tc>
          <w:tcPr>
            <w:tcW w:w="546" w:type="pct"/>
            <w:vAlign w:val="center"/>
          </w:tcPr>
          <w:p w14:paraId="7978FDD7">
            <w:pPr>
              <w:jc w:val="center"/>
              <w:rPr>
                <w:rFonts w:ascii="Arial Narrow" w:hAnsi="Arial Narrow" w:eastAsiaTheme="minorEastAsia"/>
                <w:szCs w:val="21"/>
              </w:rPr>
            </w:pPr>
            <w:r>
              <w:rPr>
                <w:rFonts w:ascii="Arial Narrow" w:hAnsi="Arial Narrow" w:eastAsiaTheme="minorEastAsia"/>
                <w:szCs w:val="21"/>
              </w:rPr>
              <w:t>41,000</w:t>
            </w:r>
          </w:p>
        </w:tc>
        <w:tc>
          <w:tcPr>
            <w:tcW w:w="708" w:type="pct"/>
            <w:vAlign w:val="center"/>
          </w:tcPr>
          <w:p w14:paraId="31AF25BB">
            <w:pPr>
              <w:jc w:val="center"/>
              <w:rPr>
                <w:rFonts w:ascii="Arial Narrow" w:hAnsi="Arial Narrow" w:eastAsiaTheme="minorEastAsia"/>
                <w:szCs w:val="21"/>
              </w:rPr>
            </w:pPr>
            <w:r>
              <w:rPr>
                <w:rFonts w:ascii="Arial Narrow" w:hAnsi="Arial Narrow" w:eastAsiaTheme="minorEastAsia"/>
                <w:szCs w:val="21"/>
              </w:rPr>
              <w:t>河北省石家庄市</w:t>
            </w:r>
          </w:p>
        </w:tc>
        <w:tc>
          <w:tcPr>
            <w:tcW w:w="679" w:type="pct"/>
            <w:vAlign w:val="center"/>
          </w:tcPr>
          <w:p w14:paraId="27473DE4">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731E2E30">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7DEE9E3">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BEB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87BC93A">
            <w:pPr>
              <w:jc w:val="both"/>
              <w:rPr>
                <w:rFonts w:ascii="Arial Narrow" w:hAnsi="Arial Narrow" w:eastAsiaTheme="minorEastAsia"/>
                <w:szCs w:val="21"/>
              </w:rPr>
            </w:pPr>
            <w:r>
              <w:rPr>
                <w:rFonts w:ascii="Arial Narrow" w:hAnsi="Arial Narrow" w:eastAsiaTheme="minorEastAsia"/>
                <w:szCs w:val="21"/>
              </w:rPr>
              <w:t>际华三五一五皮革皮鞋有限公司</w:t>
            </w:r>
          </w:p>
        </w:tc>
        <w:tc>
          <w:tcPr>
            <w:tcW w:w="788" w:type="pct"/>
            <w:vAlign w:val="center"/>
          </w:tcPr>
          <w:p w14:paraId="6FE3B1C6">
            <w:pPr>
              <w:jc w:val="center"/>
              <w:rPr>
                <w:rFonts w:ascii="Arial Narrow" w:hAnsi="Arial Narrow" w:eastAsiaTheme="minorEastAsia"/>
                <w:szCs w:val="21"/>
              </w:rPr>
            </w:pPr>
            <w:r>
              <w:rPr>
                <w:rFonts w:ascii="Arial Narrow" w:hAnsi="Arial Narrow" w:eastAsiaTheme="minorEastAsia"/>
                <w:szCs w:val="21"/>
              </w:rPr>
              <w:t>河南省漯河市</w:t>
            </w:r>
          </w:p>
        </w:tc>
        <w:tc>
          <w:tcPr>
            <w:tcW w:w="546" w:type="pct"/>
            <w:vAlign w:val="center"/>
          </w:tcPr>
          <w:p w14:paraId="0D27F4DD">
            <w:pPr>
              <w:jc w:val="center"/>
              <w:rPr>
                <w:rFonts w:ascii="Arial Narrow" w:hAnsi="Arial Narrow" w:eastAsiaTheme="minorEastAsia"/>
                <w:szCs w:val="21"/>
              </w:rPr>
            </w:pPr>
            <w:r>
              <w:rPr>
                <w:rFonts w:ascii="Arial Narrow" w:hAnsi="Arial Narrow" w:eastAsiaTheme="minorEastAsia"/>
                <w:szCs w:val="21"/>
              </w:rPr>
              <w:t>41,000</w:t>
            </w:r>
          </w:p>
        </w:tc>
        <w:tc>
          <w:tcPr>
            <w:tcW w:w="708" w:type="pct"/>
            <w:vAlign w:val="center"/>
          </w:tcPr>
          <w:p w14:paraId="50E9868B">
            <w:pPr>
              <w:jc w:val="center"/>
              <w:rPr>
                <w:rFonts w:ascii="Arial Narrow" w:hAnsi="Arial Narrow" w:eastAsiaTheme="minorEastAsia"/>
                <w:szCs w:val="21"/>
              </w:rPr>
            </w:pPr>
            <w:r>
              <w:rPr>
                <w:rFonts w:ascii="Arial Narrow" w:hAnsi="Arial Narrow" w:eastAsiaTheme="minorEastAsia"/>
                <w:szCs w:val="21"/>
              </w:rPr>
              <w:t>河南省漯河市</w:t>
            </w:r>
          </w:p>
        </w:tc>
        <w:tc>
          <w:tcPr>
            <w:tcW w:w="679" w:type="pct"/>
            <w:vAlign w:val="center"/>
          </w:tcPr>
          <w:p w14:paraId="29DB6E8B">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22CA17C">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53C0DD4">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3C63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EFDB994">
            <w:pPr>
              <w:jc w:val="both"/>
              <w:rPr>
                <w:rFonts w:ascii="Arial Narrow" w:hAnsi="Arial Narrow" w:eastAsiaTheme="minorEastAsia"/>
                <w:szCs w:val="21"/>
              </w:rPr>
            </w:pPr>
            <w:r>
              <w:rPr>
                <w:rFonts w:ascii="Arial Narrow" w:hAnsi="Arial Narrow" w:eastAsiaTheme="minorEastAsia"/>
                <w:szCs w:val="21"/>
              </w:rPr>
              <w:t>漯河强人商贸有限公司</w:t>
            </w:r>
          </w:p>
        </w:tc>
        <w:tc>
          <w:tcPr>
            <w:tcW w:w="788" w:type="pct"/>
            <w:vAlign w:val="center"/>
          </w:tcPr>
          <w:p w14:paraId="06C51AE4">
            <w:pPr>
              <w:jc w:val="center"/>
              <w:rPr>
                <w:rFonts w:ascii="Arial Narrow" w:hAnsi="Arial Narrow" w:eastAsiaTheme="minorEastAsia"/>
                <w:szCs w:val="21"/>
              </w:rPr>
            </w:pPr>
            <w:r>
              <w:rPr>
                <w:rFonts w:ascii="Arial Narrow" w:hAnsi="Arial Narrow" w:eastAsiaTheme="minorEastAsia"/>
                <w:szCs w:val="21"/>
              </w:rPr>
              <w:t>河南省漯河市</w:t>
            </w:r>
          </w:p>
        </w:tc>
        <w:tc>
          <w:tcPr>
            <w:tcW w:w="546" w:type="pct"/>
            <w:vAlign w:val="center"/>
          </w:tcPr>
          <w:p w14:paraId="52A5522D">
            <w:pPr>
              <w:jc w:val="center"/>
              <w:rPr>
                <w:rFonts w:ascii="Arial Narrow" w:hAnsi="Arial Narrow" w:eastAsiaTheme="minorEastAsia"/>
                <w:szCs w:val="21"/>
              </w:rPr>
            </w:pPr>
            <w:r>
              <w:rPr>
                <w:rFonts w:ascii="Arial Narrow" w:hAnsi="Arial Narrow" w:eastAsiaTheme="minorEastAsia"/>
                <w:szCs w:val="21"/>
              </w:rPr>
              <w:t>2,000</w:t>
            </w:r>
          </w:p>
        </w:tc>
        <w:tc>
          <w:tcPr>
            <w:tcW w:w="708" w:type="pct"/>
            <w:vAlign w:val="center"/>
          </w:tcPr>
          <w:p w14:paraId="2B4E6EC7">
            <w:pPr>
              <w:jc w:val="center"/>
              <w:rPr>
                <w:rFonts w:ascii="Arial Narrow" w:hAnsi="Arial Narrow" w:eastAsiaTheme="minorEastAsia"/>
                <w:szCs w:val="21"/>
              </w:rPr>
            </w:pPr>
            <w:r>
              <w:rPr>
                <w:rFonts w:ascii="Arial Narrow" w:hAnsi="Arial Narrow" w:eastAsiaTheme="minorEastAsia"/>
                <w:szCs w:val="21"/>
              </w:rPr>
              <w:t>河南省漯河市</w:t>
            </w:r>
          </w:p>
        </w:tc>
        <w:tc>
          <w:tcPr>
            <w:tcW w:w="679" w:type="pct"/>
            <w:vAlign w:val="center"/>
          </w:tcPr>
          <w:p w14:paraId="7AFC8761">
            <w:pPr>
              <w:jc w:val="center"/>
              <w:rPr>
                <w:rFonts w:ascii="Arial Narrow" w:hAnsi="Arial Narrow" w:eastAsiaTheme="minorEastAsia"/>
                <w:szCs w:val="21"/>
              </w:rPr>
            </w:pPr>
            <w:r>
              <w:rPr>
                <w:rFonts w:ascii="Arial Narrow" w:hAnsi="Arial Narrow" w:eastAsiaTheme="minorEastAsia"/>
                <w:szCs w:val="21"/>
              </w:rPr>
              <w:t>商贸</w:t>
            </w:r>
          </w:p>
        </w:tc>
        <w:tc>
          <w:tcPr>
            <w:tcW w:w="425" w:type="pct"/>
            <w:vAlign w:val="center"/>
          </w:tcPr>
          <w:p w14:paraId="44E2923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30F48AD">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266E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30A6D9D">
            <w:pPr>
              <w:jc w:val="both"/>
              <w:rPr>
                <w:rFonts w:ascii="Arial Narrow" w:hAnsi="Arial Narrow" w:eastAsiaTheme="minorEastAsia"/>
                <w:szCs w:val="21"/>
              </w:rPr>
            </w:pPr>
            <w:r>
              <w:rPr>
                <w:rFonts w:ascii="Arial Narrow" w:hAnsi="Arial Narrow" w:eastAsiaTheme="minorEastAsia"/>
                <w:szCs w:val="21"/>
              </w:rPr>
              <w:t>内蒙古际华森普利服装皮业有限公司</w:t>
            </w:r>
          </w:p>
        </w:tc>
        <w:tc>
          <w:tcPr>
            <w:tcW w:w="788" w:type="pct"/>
            <w:vAlign w:val="center"/>
          </w:tcPr>
          <w:p w14:paraId="221C0916">
            <w:pPr>
              <w:jc w:val="center"/>
              <w:rPr>
                <w:rFonts w:ascii="Arial Narrow" w:hAnsi="Arial Narrow" w:eastAsiaTheme="minorEastAsia"/>
                <w:szCs w:val="21"/>
              </w:rPr>
            </w:pPr>
            <w:r>
              <w:rPr>
                <w:rFonts w:ascii="Arial Narrow" w:hAnsi="Arial Narrow" w:eastAsiaTheme="minorEastAsia"/>
                <w:szCs w:val="21"/>
              </w:rPr>
              <w:t>内蒙古巴彦淖尔市</w:t>
            </w:r>
          </w:p>
        </w:tc>
        <w:tc>
          <w:tcPr>
            <w:tcW w:w="546" w:type="pct"/>
            <w:vAlign w:val="center"/>
          </w:tcPr>
          <w:p w14:paraId="28955DCC">
            <w:pPr>
              <w:jc w:val="center"/>
              <w:rPr>
                <w:rFonts w:ascii="Arial Narrow" w:hAnsi="Arial Narrow" w:eastAsiaTheme="minorEastAsia"/>
                <w:szCs w:val="21"/>
              </w:rPr>
            </w:pPr>
            <w:r>
              <w:rPr>
                <w:rFonts w:ascii="Arial Narrow" w:hAnsi="Arial Narrow" w:eastAsiaTheme="minorEastAsia"/>
                <w:szCs w:val="21"/>
              </w:rPr>
              <w:t>10,100</w:t>
            </w:r>
          </w:p>
        </w:tc>
        <w:tc>
          <w:tcPr>
            <w:tcW w:w="708" w:type="pct"/>
            <w:vAlign w:val="center"/>
          </w:tcPr>
          <w:p w14:paraId="053C158F">
            <w:pPr>
              <w:jc w:val="center"/>
              <w:rPr>
                <w:rFonts w:ascii="Arial Narrow" w:hAnsi="Arial Narrow" w:eastAsiaTheme="minorEastAsia"/>
                <w:szCs w:val="21"/>
              </w:rPr>
            </w:pPr>
            <w:r>
              <w:rPr>
                <w:rFonts w:ascii="Arial Narrow" w:hAnsi="Arial Narrow" w:eastAsiaTheme="minorEastAsia"/>
                <w:szCs w:val="21"/>
              </w:rPr>
              <w:t>内蒙古巴彦淖尔市</w:t>
            </w:r>
          </w:p>
        </w:tc>
        <w:tc>
          <w:tcPr>
            <w:tcW w:w="679" w:type="pct"/>
            <w:vAlign w:val="center"/>
          </w:tcPr>
          <w:p w14:paraId="6D13B622">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283F367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1C19D78A">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6CC6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A52BFF3">
            <w:pPr>
              <w:jc w:val="both"/>
              <w:rPr>
                <w:rFonts w:ascii="Arial Narrow" w:hAnsi="Arial Narrow" w:eastAsiaTheme="minorEastAsia"/>
                <w:szCs w:val="21"/>
              </w:rPr>
            </w:pPr>
            <w:r>
              <w:rPr>
                <w:rFonts w:ascii="Arial Narrow" w:hAnsi="Arial Narrow" w:eastAsiaTheme="minorEastAsia"/>
                <w:szCs w:val="21"/>
              </w:rPr>
              <w:t>际华橡胶工业有限公司</w:t>
            </w:r>
          </w:p>
        </w:tc>
        <w:tc>
          <w:tcPr>
            <w:tcW w:w="788" w:type="pct"/>
            <w:vAlign w:val="center"/>
          </w:tcPr>
          <w:p w14:paraId="539AC3AA">
            <w:pPr>
              <w:jc w:val="center"/>
              <w:rPr>
                <w:rFonts w:ascii="Arial Narrow" w:hAnsi="Arial Narrow" w:eastAsiaTheme="minorEastAsia"/>
                <w:szCs w:val="21"/>
              </w:rPr>
            </w:pPr>
            <w:r>
              <w:rPr>
                <w:rFonts w:ascii="Arial Narrow" w:hAnsi="Arial Narrow" w:eastAsiaTheme="minorEastAsia"/>
                <w:szCs w:val="21"/>
              </w:rPr>
              <w:t>湖南省岳阳市</w:t>
            </w:r>
          </w:p>
        </w:tc>
        <w:tc>
          <w:tcPr>
            <w:tcW w:w="546" w:type="pct"/>
            <w:vAlign w:val="center"/>
          </w:tcPr>
          <w:p w14:paraId="73512A4B">
            <w:pPr>
              <w:jc w:val="center"/>
              <w:rPr>
                <w:rFonts w:ascii="Arial Narrow" w:hAnsi="Arial Narrow" w:eastAsiaTheme="minorEastAsia"/>
                <w:szCs w:val="21"/>
              </w:rPr>
            </w:pPr>
            <w:r>
              <w:rPr>
                <w:rFonts w:ascii="Arial Narrow" w:hAnsi="Arial Narrow" w:eastAsiaTheme="minorEastAsia"/>
                <w:szCs w:val="21"/>
              </w:rPr>
              <w:t>15,000</w:t>
            </w:r>
          </w:p>
        </w:tc>
        <w:tc>
          <w:tcPr>
            <w:tcW w:w="708" w:type="pct"/>
            <w:vAlign w:val="center"/>
          </w:tcPr>
          <w:p w14:paraId="0BD081C6">
            <w:pPr>
              <w:jc w:val="center"/>
              <w:rPr>
                <w:rFonts w:ascii="Arial Narrow" w:hAnsi="Arial Narrow" w:eastAsiaTheme="minorEastAsia"/>
                <w:szCs w:val="21"/>
              </w:rPr>
            </w:pPr>
            <w:r>
              <w:rPr>
                <w:rFonts w:ascii="Arial Narrow" w:hAnsi="Arial Narrow" w:eastAsiaTheme="minorEastAsia"/>
                <w:szCs w:val="21"/>
              </w:rPr>
              <w:t>湖南省岳阳市</w:t>
            </w:r>
          </w:p>
        </w:tc>
        <w:tc>
          <w:tcPr>
            <w:tcW w:w="679" w:type="pct"/>
            <w:vAlign w:val="center"/>
          </w:tcPr>
          <w:p w14:paraId="590F4C97">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3AFA1785">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27651AEA">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52B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0FC82F4F">
            <w:pPr>
              <w:jc w:val="both"/>
              <w:rPr>
                <w:rFonts w:ascii="Arial Narrow" w:hAnsi="Arial Narrow" w:eastAsiaTheme="minorEastAsia"/>
                <w:szCs w:val="21"/>
              </w:rPr>
            </w:pPr>
            <w:r>
              <w:rPr>
                <w:rFonts w:ascii="Arial Narrow" w:hAnsi="Arial Narrow" w:eastAsiaTheme="minorEastAsia"/>
                <w:szCs w:val="21"/>
              </w:rPr>
              <w:t>际华制鞋工业有限公司</w:t>
            </w:r>
          </w:p>
        </w:tc>
        <w:tc>
          <w:tcPr>
            <w:tcW w:w="788" w:type="pct"/>
            <w:vAlign w:val="center"/>
          </w:tcPr>
          <w:p w14:paraId="0DCBB528">
            <w:pPr>
              <w:jc w:val="center"/>
              <w:rPr>
                <w:rFonts w:ascii="Arial Narrow" w:hAnsi="Arial Narrow" w:eastAsiaTheme="minorEastAsia"/>
                <w:szCs w:val="21"/>
              </w:rPr>
            </w:pPr>
            <w:r>
              <w:rPr>
                <w:rFonts w:ascii="Arial Narrow" w:hAnsi="Arial Narrow" w:eastAsiaTheme="minorEastAsia"/>
                <w:szCs w:val="21"/>
              </w:rPr>
              <w:t>贵州省贵阳市</w:t>
            </w:r>
          </w:p>
        </w:tc>
        <w:tc>
          <w:tcPr>
            <w:tcW w:w="546" w:type="pct"/>
            <w:vAlign w:val="center"/>
          </w:tcPr>
          <w:p w14:paraId="5AF16FA2">
            <w:pPr>
              <w:jc w:val="center"/>
              <w:rPr>
                <w:rFonts w:ascii="Arial Narrow" w:hAnsi="Arial Narrow" w:eastAsiaTheme="minorEastAsia"/>
                <w:szCs w:val="21"/>
              </w:rPr>
            </w:pPr>
            <w:r>
              <w:rPr>
                <w:rFonts w:ascii="Arial Narrow" w:hAnsi="Arial Narrow" w:eastAsiaTheme="minorEastAsia"/>
                <w:szCs w:val="21"/>
              </w:rPr>
              <w:t>25,100</w:t>
            </w:r>
          </w:p>
        </w:tc>
        <w:tc>
          <w:tcPr>
            <w:tcW w:w="708" w:type="pct"/>
            <w:vAlign w:val="center"/>
          </w:tcPr>
          <w:p w14:paraId="7B548B37">
            <w:pPr>
              <w:jc w:val="center"/>
              <w:rPr>
                <w:rFonts w:ascii="Arial Narrow" w:hAnsi="Arial Narrow" w:eastAsiaTheme="minorEastAsia"/>
                <w:szCs w:val="21"/>
              </w:rPr>
            </w:pPr>
            <w:r>
              <w:rPr>
                <w:rFonts w:ascii="Arial Narrow" w:hAnsi="Arial Narrow" w:eastAsiaTheme="minorEastAsia"/>
                <w:szCs w:val="21"/>
              </w:rPr>
              <w:t>贵州省贵阳市</w:t>
            </w:r>
          </w:p>
        </w:tc>
        <w:tc>
          <w:tcPr>
            <w:tcW w:w="679" w:type="pct"/>
            <w:vAlign w:val="center"/>
          </w:tcPr>
          <w:p w14:paraId="756DB65D">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CF9F185">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BB325CC">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416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5E838687">
            <w:pPr>
              <w:jc w:val="both"/>
              <w:rPr>
                <w:rFonts w:ascii="Arial Narrow" w:hAnsi="Arial Narrow" w:eastAsiaTheme="minorEastAsia"/>
                <w:szCs w:val="21"/>
              </w:rPr>
            </w:pPr>
            <w:r>
              <w:rPr>
                <w:rFonts w:ascii="Arial Narrow" w:hAnsi="Arial Narrow" w:eastAsiaTheme="minorEastAsia"/>
                <w:szCs w:val="21"/>
              </w:rPr>
              <w:t>西双版纳南博有限责任公司</w:t>
            </w:r>
          </w:p>
        </w:tc>
        <w:tc>
          <w:tcPr>
            <w:tcW w:w="788" w:type="pct"/>
            <w:vAlign w:val="center"/>
          </w:tcPr>
          <w:p w14:paraId="76CCE4F9">
            <w:pPr>
              <w:jc w:val="center"/>
              <w:rPr>
                <w:rFonts w:ascii="Arial Narrow" w:hAnsi="Arial Narrow" w:eastAsiaTheme="minorEastAsia"/>
                <w:szCs w:val="21"/>
              </w:rPr>
            </w:pPr>
            <w:r>
              <w:rPr>
                <w:rFonts w:ascii="Arial Narrow" w:hAnsi="Arial Narrow" w:eastAsiaTheme="minorEastAsia"/>
                <w:szCs w:val="21"/>
              </w:rPr>
              <w:t>云南省景洪市</w:t>
            </w:r>
          </w:p>
        </w:tc>
        <w:tc>
          <w:tcPr>
            <w:tcW w:w="546" w:type="pct"/>
            <w:vAlign w:val="center"/>
          </w:tcPr>
          <w:p w14:paraId="2D790EEE">
            <w:pPr>
              <w:jc w:val="center"/>
              <w:rPr>
                <w:rFonts w:ascii="Arial Narrow" w:hAnsi="Arial Narrow" w:eastAsiaTheme="minorEastAsia"/>
                <w:szCs w:val="21"/>
              </w:rPr>
            </w:pPr>
            <w:r>
              <w:rPr>
                <w:rFonts w:ascii="Arial Narrow" w:hAnsi="Arial Narrow" w:eastAsiaTheme="minorEastAsia"/>
                <w:szCs w:val="21"/>
              </w:rPr>
              <w:t>4,000</w:t>
            </w:r>
          </w:p>
        </w:tc>
        <w:tc>
          <w:tcPr>
            <w:tcW w:w="708" w:type="pct"/>
            <w:vAlign w:val="center"/>
          </w:tcPr>
          <w:p w14:paraId="183E9EA6">
            <w:pPr>
              <w:jc w:val="center"/>
              <w:rPr>
                <w:rFonts w:ascii="Arial Narrow" w:hAnsi="Arial Narrow" w:eastAsiaTheme="minorEastAsia"/>
                <w:szCs w:val="21"/>
              </w:rPr>
            </w:pPr>
            <w:r>
              <w:rPr>
                <w:rFonts w:ascii="Arial Narrow" w:hAnsi="Arial Narrow" w:eastAsiaTheme="minorEastAsia"/>
                <w:szCs w:val="21"/>
              </w:rPr>
              <w:t>云南省景洪市</w:t>
            </w:r>
          </w:p>
        </w:tc>
        <w:tc>
          <w:tcPr>
            <w:tcW w:w="679" w:type="pct"/>
            <w:vAlign w:val="center"/>
          </w:tcPr>
          <w:p w14:paraId="35590625">
            <w:pPr>
              <w:jc w:val="center"/>
              <w:rPr>
                <w:rFonts w:ascii="Arial Narrow" w:hAnsi="Arial Narrow" w:eastAsiaTheme="minorEastAsia"/>
                <w:szCs w:val="21"/>
              </w:rPr>
            </w:pPr>
            <w:r>
              <w:rPr>
                <w:rFonts w:ascii="Arial Narrow" w:hAnsi="Arial Narrow" w:eastAsiaTheme="minorEastAsia"/>
                <w:szCs w:val="21"/>
              </w:rPr>
              <w:t>橡胶加工销售</w:t>
            </w:r>
          </w:p>
        </w:tc>
        <w:tc>
          <w:tcPr>
            <w:tcW w:w="425" w:type="pct"/>
            <w:vAlign w:val="center"/>
          </w:tcPr>
          <w:p w14:paraId="334D89FE">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0B392DD">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7822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D2282DE">
            <w:pPr>
              <w:jc w:val="both"/>
              <w:rPr>
                <w:rFonts w:ascii="Arial Narrow" w:hAnsi="Arial Narrow" w:eastAsiaTheme="minorEastAsia"/>
                <w:szCs w:val="21"/>
              </w:rPr>
            </w:pPr>
            <w:r>
              <w:rPr>
                <w:rFonts w:ascii="Arial Narrow" w:hAnsi="Arial Narrow" w:eastAsiaTheme="minorEastAsia"/>
                <w:szCs w:val="21"/>
              </w:rPr>
              <w:t>际华三五三九制鞋有限公司</w:t>
            </w:r>
          </w:p>
        </w:tc>
        <w:tc>
          <w:tcPr>
            <w:tcW w:w="788" w:type="pct"/>
            <w:vAlign w:val="center"/>
          </w:tcPr>
          <w:p w14:paraId="500332B9">
            <w:pPr>
              <w:jc w:val="center"/>
              <w:rPr>
                <w:rFonts w:ascii="Arial Narrow" w:hAnsi="Arial Narrow" w:eastAsiaTheme="minorEastAsia"/>
                <w:szCs w:val="21"/>
              </w:rPr>
            </w:pPr>
            <w:r>
              <w:rPr>
                <w:rFonts w:ascii="Arial Narrow" w:hAnsi="Arial Narrow" w:eastAsiaTheme="minorEastAsia"/>
                <w:szCs w:val="21"/>
              </w:rPr>
              <w:t>重庆市</w:t>
            </w:r>
          </w:p>
        </w:tc>
        <w:tc>
          <w:tcPr>
            <w:tcW w:w="546" w:type="pct"/>
            <w:vAlign w:val="center"/>
          </w:tcPr>
          <w:p w14:paraId="25BDC644">
            <w:pPr>
              <w:jc w:val="center"/>
              <w:rPr>
                <w:rFonts w:ascii="Arial Narrow" w:hAnsi="Arial Narrow" w:eastAsiaTheme="minorEastAsia"/>
                <w:szCs w:val="21"/>
              </w:rPr>
            </w:pPr>
            <w:r>
              <w:rPr>
                <w:rFonts w:ascii="Arial Narrow" w:hAnsi="Arial Narrow" w:eastAsiaTheme="minorEastAsia"/>
                <w:szCs w:val="21"/>
              </w:rPr>
              <w:t>20,100</w:t>
            </w:r>
          </w:p>
        </w:tc>
        <w:tc>
          <w:tcPr>
            <w:tcW w:w="708" w:type="pct"/>
            <w:vAlign w:val="center"/>
          </w:tcPr>
          <w:p w14:paraId="7C6BD71F">
            <w:pPr>
              <w:jc w:val="center"/>
              <w:rPr>
                <w:rFonts w:ascii="Arial Narrow" w:hAnsi="Arial Narrow" w:eastAsiaTheme="minorEastAsia"/>
                <w:szCs w:val="21"/>
              </w:rPr>
            </w:pPr>
            <w:r>
              <w:rPr>
                <w:rFonts w:ascii="Arial Narrow" w:hAnsi="Arial Narrow" w:eastAsiaTheme="minorEastAsia"/>
                <w:szCs w:val="21"/>
              </w:rPr>
              <w:t>重庆市</w:t>
            </w:r>
          </w:p>
        </w:tc>
        <w:tc>
          <w:tcPr>
            <w:tcW w:w="679" w:type="pct"/>
            <w:vAlign w:val="center"/>
          </w:tcPr>
          <w:p w14:paraId="5028B7D9">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4521D5C6">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3E12F3E2">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51C0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F28916A">
            <w:pPr>
              <w:jc w:val="both"/>
              <w:rPr>
                <w:rFonts w:ascii="Arial Narrow" w:hAnsi="Arial Narrow" w:eastAsiaTheme="minorEastAsia"/>
                <w:szCs w:val="21"/>
              </w:rPr>
            </w:pPr>
            <w:r>
              <w:rPr>
                <w:rFonts w:ascii="Arial Narrow" w:hAnsi="Arial Narrow" w:eastAsiaTheme="minorEastAsia"/>
                <w:szCs w:val="21"/>
              </w:rPr>
              <w:t>重庆巨盾实业有限公司</w:t>
            </w:r>
          </w:p>
        </w:tc>
        <w:tc>
          <w:tcPr>
            <w:tcW w:w="788" w:type="pct"/>
            <w:vAlign w:val="center"/>
          </w:tcPr>
          <w:p w14:paraId="025F78F0">
            <w:pPr>
              <w:jc w:val="center"/>
              <w:rPr>
                <w:rFonts w:ascii="Arial Narrow" w:hAnsi="Arial Narrow" w:eastAsiaTheme="minorEastAsia"/>
                <w:szCs w:val="21"/>
              </w:rPr>
            </w:pPr>
            <w:r>
              <w:rPr>
                <w:rFonts w:ascii="Arial Narrow" w:hAnsi="Arial Narrow" w:eastAsiaTheme="minorEastAsia"/>
                <w:szCs w:val="21"/>
              </w:rPr>
              <w:t>重庆市</w:t>
            </w:r>
          </w:p>
        </w:tc>
        <w:tc>
          <w:tcPr>
            <w:tcW w:w="546" w:type="pct"/>
            <w:vAlign w:val="center"/>
          </w:tcPr>
          <w:p w14:paraId="23AF322E">
            <w:pPr>
              <w:jc w:val="center"/>
              <w:rPr>
                <w:rFonts w:ascii="Arial Narrow" w:hAnsi="Arial Narrow" w:eastAsiaTheme="minorEastAsia"/>
                <w:szCs w:val="21"/>
              </w:rPr>
            </w:pPr>
            <w:r>
              <w:rPr>
                <w:rFonts w:ascii="Arial Narrow" w:hAnsi="Arial Narrow" w:eastAsiaTheme="minorEastAsia"/>
                <w:szCs w:val="21"/>
              </w:rPr>
              <w:t>2,000</w:t>
            </w:r>
          </w:p>
        </w:tc>
        <w:tc>
          <w:tcPr>
            <w:tcW w:w="708" w:type="pct"/>
            <w:vAlign w:val="center"/>
          </w:tcPr>
          <w:p w14:paraId="1324E1E3">
            <w:pPr>
              <w:jc w:val="center"/>
              <w:rPr>
                <w:rFonts w:ascii="Arial Narrow" w:hAnsi="Arial Narrow" w:eastAsiaTheme="minorEastAsia"/>
                <w:szCs w:val="21"/>
              </w:rPr>
            </w:pPr>
            <w:r>
              <w:rPr>
                <w:rFonts w:ascii="Arial Narrow" w:hAnsi="Arial Narrow" w:eastAsiaTheme="minorEastAsia"/>
                <w:szCs w:val="21"/>
              </w:rPr>
              <w:t>重庆市</w:t>
            </w:r>
          </w:p>
        </w:tc>
        <w:tc>
          <w:tcPr>
            <w:tcW w:w="679" w:type="pct"/>
            <w:vAlign w:val="center"/>
          </w:tcPr>
          <w:p w14:paraId="08FA7D69">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CA9E49D">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CB408BD">
            <w:pPr>
              <w:jc w:val="center"/>
              <w:rPr>
                <w:rFonts w:ascii="Arial Narrow" w:hAnsi="Arial Narrow" w:eastAsiaTheme="minorEastAsia"/>
                <w:szCs w:val="21"/>
              </w:rPr>
            </w:pPr>
            <w:r>
              <w:rPr>
                <w:rFonts w:ascii="Arial Narrow" w:hAnsi="Arial Narrow" w:eastAsiaTheme="minorEastAsia"/>
                <w:szCs w:val="21"/>
              </w:rPr>
              <w:t>出资设立</w:t>
            </w:r>
          </w:p>
        </w:tc>
      </w:tr>
      <w:tr w14:paraId="597B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5579CF39">
            <w:pPr>
              <w:jc w:val="both"/>
              <w:rPr>
                <w:rFonts w:ascii="Arial Narrow" w:hAnsi="Arial Narrow" w:eastAsiaTheme="minorEastAsia"/>
                <w:szCs w:val="21"/>
              </w:rPr>
            </w:pPr>
            <w:r>
              <w:rPr>
                <w:rFonts w:ascii="Arial Narrow" w:hAnsi="Arial Narrow" w:eastAsiaTheme="minorEastAsia"/>
                <w:szCs w:val="21"/>
              </w:rPr>
              <w:t>南京际华三五二一特种装备有限公司</w:t>
            </w:r>
          </w:p>
        </w:tc>
        <w:tc>
          <w:tcPr>
            <w:tcW w:w="788" w:type="pct"/>
            <w:vAlign w:val="center"/>
          </w:tcPr>
          <w:p w14:paraId="3D0F9C6B">
            <w:pPr>
              <w:jc w:val="center"/>
              <w:rPr>
                <w:rFonts w:ascii="Arial Narrow" w:hAnsi="Arial Narrow" w:eastAsiaTheme="minorEastAsia"/>
                <w:szCs w:val="21"/>
              </w:rPr>
            </w:pPr>
            <w:r>
              <w:rPr>
                <w:rFonts w:ascii="Arial Narrow" w:hAnsi="Arial Narrow" w:eastAsiaTheme="minorEastAsia"/>
                <w:szCs w:val="21"/>
              </w:rPr>
              <w:t>江苏省南京市</w:t>
            </w:r>
          </w:p>
        </w:tc>
        <w:tc>
          <w:tcPr>
            <w:tcW w:w="546" w:type="pct"/>
            <w:vAlign w:val="center"/>
          </w:tcPr>
          <w:p w14:paraId="1AF07F21">
            <w:pPr>
              <w:jc w:val="center"/>
              <w:rPr>
                <w:rFonts w:ascii="Arial Narrow" w:hAnsi="Arial Narrow" w:eastAsiaTheme="minorEastAsia"/>
                <w:szCs w:val="21"/>
              </w:rPr>
            </w:pPr>
            <w:r>
              <w:rPr>
                <w:rFonts w:ascii="Arial Narrow" w:hAnsi="Arial Narrow" w:eastAsiaTheme="minorEastAsia"/>
                <w:szCs w:val="21"/>
              </w:rPr>
              <w:t>30,000</w:t>
            </w:r>
          </w:p>
        </w:tc>
        <w:tc>
          <w:tcPr>
            <w:tcW w:w="708" w:type="pct"/>
            <w:vAlign w:val="center"/>
          </w:tcPr>
          <w:p w14:paraId="1749C8B1">
            <w:pPr>
              <w:jc w:val="center"/>
              <w:rPr>
                <w:rFonts w:ascii="Arial Narrow" w:hAnsi="Arial Narrow" w:eastAsiaTheme="minorEastAsia"/>
                <w:szCs w:val="21"/>
              </w:rPr>
            </w:pPr>
            <w:r>
              <w:rPr>
                <w:rFonts w:ascii="Arial Narrow" w:hAnsi="Arial Narrow" w:eastAsiaTheme="minorEastAsia"/>
                <w:szCs w:val="21"/>
              </w:rPr>
              <w:t>江苏省南京市</w:t>
            </w:r>
          </w:p>
        </w:tc>
        <w:tc>
          <w:tcPr>
            <w:tcW w:w="679" w:type="pct"/>
            <w:vAlign w:val="center"/>
          </w:tcPr>
          <w:p w14:paraId="04A4EE85">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465F0AF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7350E88">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0B75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CF6B7E4">
            <w:pPr>
              <w:jc w:val="both"/>
              <w:rPr>
                <w:rFonts w:ascii="Arial Narrow" w:hAnsi="Arial Narrow" w:eastAsiaTheme="minorEastAsia"/>
                <w:szCs w:val="21"/>
              </w:rPr>
            </w:pPr>
            <w:r>
              <w:rPr>
                <w:rFonts w:ascii="Arial Narrow" w:hAnsi="Arial Narrow" w:eastAsiaTheme="minorEastAsia"/>
                <w:szCs w:val="21"/>
              </w:rPr>
              <w:t>南京际华三五二一环保科技有限公司</w:t>
            </w:r>
          </w:p>
        </w:tc>
        <w:tc>
          <w:tcPr>
            <w:tcW w:w="788" w:type="pct"/>
            <w:vAlign w:val="center"/>
          </w:tcPr>
          <w:p w14:paraId="4FF98C54">
            <w:pPr>
              <w:jc w:val="center"/>
              <w:rPr>
                <w:rFonts w:ascii="Arial Narrow" w:hAnsi="Arial Narrow" w:eastAsiaTheme="minorEastAsia"/>
                <w:szCs w:val="21"/>
              </w:rPr>
            </w:pPr>
            <w:r>
              <w:rPr>
                <w:rFonts w:ascii="Arial Narrow" w:hAnsi="Arial Narrow" w:eastAsiaTheme="minorEastAsia"/>
                <w:szCs w:val="21"/>
              </w:rPr>
              <w:t>江苏省南京市</w:t>
            </w:r>
          </w:p>
        </w:tc>
        <w:tc>
          <w:tcPr>
            <w:tcW w:w="546" w:type="pct"/>
            <w:vAlign w:val="center"/>
          </w:tcPr>
          <w:p w14:paraId="33895EF0">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380BF0A9">
            <w:pPr>
              <w:jc w:val="center"/>
              <w:rPr>
                <w:rFonts w:ascii="Arial Narrow" w:hAnsi="Arial Narrow" w:eastAsiaTheme="minorEastAsia"/>
                <w:szCs w:val="21"/>
              </w:rPr>
            </w:pPr>
            <w:r>
              <w:rPr>
                <w:rFonts w:ascii="Arial Narrow" w:hAnsi="Arial Narrow" w:eastAsiaTheme="minorEastAsia"/>
                <w:szCs w:val="21"/>
              </w:rPr>
              <w:t>江苏省南京市</w:t>
            </w:r>
          </w:p>
        </w:tc>
        <w:tc>
          <w:tcPr>
            <w:tcW w:w="679" w:type="pct"/>
            <w:vAlign w:val="center"/>
          </w:tcPr>
          <w:p w14:paraId="3D1C4435">
            <w:pPr>
              <w:jc w:val="center"/>
              <w:rPr>
                <w:rFonts w:ascii="Arial Narrow" w:hAnsi="Arial Narrow" w:eastAsiaTheme="minorEastAsia"/>
                <w:szCs w:val="21"/>
              </w:rPr>
            </w:pPr>
            <w:r>
              <w:rPr>
                <w:rFonts w:ascii="Arial Narrow" w:hAnsi="Arial Narrow" w:eastAsiaTheme="minorEastAsia"/>
                <w:szCs w:val="21"/>
              </w:rPr>
              <w:t>环保滤材制造</w:t>
            </w:r>
          </w:p>
        </w:tc>
        <w:tc>
          <w:tcPr>
            <w:tcW w:w="425" w:type="pct"/>
            <w:vAlign w:val="center"/>
          </w:tcPr>
          <w:p w14:paraId="007183A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1DD4E581">
            <w:pPr>
              <w:jc w:val="center"/>
              <w:rPr>
                <w:rFonts w:ascii="Arial Narrow" w:hAnsi="Arial Narrow" w:eastAsiaTheme="minorEastAsia"/>
                <w:szCs w:val="21"/>
              </w:rPr>
            </w:pPr>
            <w:r>
              <w:rPr>
                <w:rFonts w:ascii="Arial Narrow" w:hAnsi="Arial Narrow" w:eastAsiaTheme="minorEastAsia"/>
                <w:szCs w:val="21"/>
              </w:rPr>
              <w:t>出资设立</w:t>
            </w:r>
          </w:p>
        </w:tc>
      </w:tr>
      <w:tr w14:paraId="0B74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2DA69EF1">
            <w:pPr>
              <w:jc w:val="both"/>
              <w:rPr>
                <w:rFonts w:ascii="Arial Narrow" w:hAnsi="Arial Narrow" w:eastAsiaTheme="minorEastAsia"/>
                <w:szCs w:val="21"/>
              </w:rPr>
            </w:pPr>
            <w:r>
              <w:rPr>
                <w:rFonts w:ascii="Arial Narrow" w:hAnsi="Arial Narrow" w:eastAsiaTheme="minorEastAsia"/>
                <w:szCs w:val="21"/>
              </w:rPr>
              <w:t>南京际华国润过滤技术有限公司</w:t>
            </w:r>
          </w:p>
        </w:tc>
        <w:tc>
          <w:tcPr>
            <w:tcW w:w="788" w:type="pct"/>
            <w:vAlign w:val="center"/>
          </w:tcPr>
          <w:p w14:paraId="6C2C46F2">
            <w:pPr>
              <w:jc w:val="center"/>
              <w:rPr>
                <w:rFonts w:ascii="Arial Narrow" w:hAnsi="Arial Narrow" w:eastAsiaTheme="minorEastAsia"/>
                <w:szCs w:val="21"/>
              </w:rPr>
            </w:pPr>
            <w:r>
              <w:rPr>
                <w:rFonts w:ascii="Arial Narrow" w:hAnsi="Arial Narrow" w:eastAsiaTheme="minorEastAsia"/>
                <w:szCs w:val="21"/>
              </w:rPr>
              <w:t>江苏省南京市</w:t>
            </w:r>
          </w:p>
        </w:tc>
        <w:tc>
          <w:tcPr>
            <w:tcW w:w="546" w:type="pct"/>
            <w:vAlign w:val="center"/>
          </w:tcPr>
          <w:p w14:paraId="79AAADBB">
            <w:pPr>
              <w:jc w:val="center"/>
              <w:rPr>
                <w:rFonts w:ascii="Arial Narrow" w:hAnsi="Arial Narrow" w:eastAsiaTheme="minorEastAsia"/>
                <w:szCs w:val="21"/>
              </w:rPr>
            </w:pPr>
            <w:r>
              <w:rPr>
                <w:rFonts w:ascii="Arial Narrow" w:hAnsi="Arial Narrow" w:eastAsiaTheme="minorEastAsia"/>
                <w:szCs w:val="21"/>
              </w:rPr>
              <w:t>800</w:t>
            </w:r>
          </w:p>
        </w:tc>
        <w:tc>
          <w:tcPr>
            <w:tcW w:w="708" w:type="pct"/>
            <w:vAlign w:val="center"/>
          </w:tcPr>
          <w:p w14:paraId="23D7D240">
            <w:pPr>
              <w:jc w:val="center"/>
              <w:rPr>
                <w:rFonts w:ascii="Arial Narrow" w:hAnsi="Arial Narrow" w:eastAsiaTheme="minorEastAsia"/>
                <w:szCs w:val="21"/>
              </w:rPr>
            </w:pPr>
            <w:r>
              <w:rPr>
                <w:rFonts w:ascii="Arial Narrow" w:hAnsi="Arial Narrow" w:eastAsiaTheme="minorEastAsia"/>
                <w:szCs w:val="21"/>
              </w:rPr>
              <w:t>江苏省南京市</w:t>
            </w:r>
          </w:p>
        </w:tc>
        <w:tc>
          <w:tcPr>
            <w:tcW w:w="679" w:type="pct"/>
            <w:vAlign w:val="center"/>
          </w:tcPr>
          <w:p w14:paraId="29A9A9B5">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6CE05107">
            <w:pPr>
              <w:jc w:val="center"/>
              <w:rPr>
                <w:rFonts w:ascii="Arial Narrow" w:hAnsi="Arial Narrow" w:eastAsiaTheme="minorEastAsia"/>
                <w:szCs w:val="21"/>
              </w:rPr>
            </w:pPr>
            <w:r>
              <w:rPr>
                <w:rFonts w:ascii="Arial Narrow" w:hAnsi="Arial Narrow" w:eastAsiaTheme="minorEastAsia"/>
                <w:szCs w:val="21"/>
              </w:rPr>
              <w:t>35</w:t>
            </w:r>
          </w:p>
        </w:tc>
        <w:tc>
          <w:tcPr>
            <w:tcW w:w="745" w:type="pct"/>
            <w:vAlign w:val="center"/>
          </w:tcPr>
          <w:p w14:paraId="7491764C">
            <w:pPr>
              <w:jc w:val="center"/>
              <w:rPr>
                <w:rFonts w:ascii="Arial Narrow" w:hAnsi="Arial Narrow" w:eastAsiaTheme="minorEastAsia"/>
                <w:szCs w:val="21"/>
              </w:rPr>
            </w:pPr>
            <w:r>
              <w:rPr>
                <w:rFonts w:ascii="Arial Narrow" w:hAnsi="Arial Narrow" w:eastAsiaTheme="minorEastAsia"/>
                <w:szCs w:val="21"/>
              </w:rPr>
              <w:t>出资设立</w:t>
            </w:r>
          </w:p>
        </w:tc>
      </w:tr>
      <w:tr w14:paraId="6FB5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02CBFFD1">
            <w:pPr>
              <w:jc w:val="both"/>
              <w:rPr>
                <w:rFonts w:ascii="Arial Narrow" w:hAnsi="Arial Narrow" w:eastAsiaTheme="minorEastAsia"/>
                <w:szCs w:val="21"/>
              </w:rPr>
            </w:pPr>
            <w:r>
              <w:rPr>
                <w:rFonts w:ascii="Arial Narrow" w:hAnsi="Arial Narrow" w:eastAsiaTheme="minorEastAsia"/>
                <w:szCs w:val="21"/>
              </w:rPr>
              <w:t>际华三五二二装具饰品有限公司</w:t>
            </w:r>
          </w:p>
        </w:tc>
        <w:tc>
          <w:tcPr>
            <w:tcW w:w="788" w:type="pct"/>
            <w:vAlign w:val="center"/>
          </w:tcPr>
          <w:p w14:paraId="6721B4C3">
            <w:pPr>
              <w:jc w:val="center"/>
              <w:rPr>
                <w:rFonts w:ascii="Arial Narrow" w:hAnsi="Arial Narrow" w:eastAsiaTheme="minorEastAsia"/>
                <w:szCs w:val="21"/>
              </w:rPr>
            </w:pPr>
            <w:r>
              <w:rPr>
                <w:rFonts w:ascii="Arial Narrow" w:hAnsi="Arial Narrow" w:eastAsiaTheme="minorEastAsia"/>
                <w:szCs w:val="21"/>
              </w:rPr>
              <w:t>天津市</w:t>
            </w:r>
          </w:p>
        </w:tc>
        <w:tc>
          <w:tcPr>
            <w:tcW w:w="546" w:type="pct"/>
            <w:vAlign w:val="center"/>
          </w:tcPr>
          <w:p w14:paraId="132093C2">
            <w:pPr>
              <w:jc w:val="center"/>
              <w:rPr>
                <w:rFonts w:ascii="Arial Narrow" w:hAnsi="Arial Narrow" w:eastAsiaTheme="minorEastAsia"/>
                <w:szCs w:val="21"/>
              </w:rPr>
            </w:pPr>
            <w:r>
              <w:rPr>
                <w:rFonts w:ascii="Arial Narrow" w:hAnsi="Arial Narrow" w:eastAsiaTheme="minorEastAsia"/>
                <w:szCs w:val="21"/>
              </w:rPr>
              <w:t>25,000</w:t>
            </w:r>
          </w:p>
        </w:tc>
        <w:tc>
          <w:tcPr>
            <w:tcW w:w="708" w:type="pct"/>
            <w:vAlign w:val="center"/>
          </w:tcPr>
          <w:p w14:paraId="63D127B5">
            <w:pPr>
              <w:jc w:val="center"/>
              <w:rPr>
                <w:rFonts w:ascii="Arial Narrow" w:hAnsi="Arial Narrow" w:eastAsiaTheme="minorEastAsia"/>
                <w:szCs w:val="21"/>
              </w:rPr>
            </w:pPr>
            <w:r>
              <w:rPr>
                <w:rFonts w:ascii="Arial Narrow" w:hAnsi="Arial Narrow" w:eastAsiaTheme="minorEastAsia"/>
                <w:szCs w:val="21"/>
              </w:rPr>
              <w:t>天津市</w:t>
            </w:r>
          </w:p>
        </w:tc>
        <w:tc>
          <w:tcPr>
            <w:tcW w:w="679" w:type="pct"/>
            <w:vAlign w:val="center"/>
          </w:tcPr>
          <w:p w14:paraId="69ED275D">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4A0C081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A9FCE2C">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7869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8E77772">
            <w:pPr>
              <w:jc w:val="both"/>
              <w:rPr>
                <w:rFonts w:ascii="Arial Narrow" w:hAnsi="Arial Narrow" w:eastAsiaTheme="minorEastAsia"/>
                <w:szCs w:val="21"/>
              </w:rPr>
            </w:pPr>
            <w:r>
              <w:rPr>
                <w:rFonts w:ascii="Arial Narrow" w:hAnsi="Arial Narrow" w:eastAsiaTheme="minorEastAsia"/>
                <w:szCs w:val="21"/>
              </w:rPr>
              <w:t>际华（内蒙古）新能源发展有限公司</w:t>
            </w:r>
          </w:p>
        </w:tc>
        <w:tc>
          <w:tcPr>
            <w:tcW w:w="788" w:type="pct"/>
            <w:vAlign w:val="center"/>
          </w:tcPr>
          <w:p w14:paraId="02DE2144">
            <w:pPr>
              <w:jc w:val="center"/>
              <w:rPr>
                <w:rFonts w:ascii="Arial Narrow" w:hAnsi="Arial Narrow" w:eastAsiaTheme="minorEastAsia"/>
                <w:szCs w:val="21"/>
              </w:rPr>
            </w:pPr>
            <w:r>
              <w:rPr>
                <w:rFonts w:ascii="Arial Narrow" w:hAnsi="Arial Narrow" w:eastAsiaTheme="minorEastAsia"/>
                <w:szCs w:val="21"/>
              </w:rPr>
              <w:t>天津市</w:t>
            </w:r>
          </w:p>
        </w:tc>
        <w:tc>
          <w:tcPr>
            <w:tcW w:w="546" w:type="pct"/>
            <w:vAlign w:val="center"/>
          </w:tcPr>
          <w:p w14:paraId="1EAEE0CE">
            <w:pPr>
              <w:jc w:val="center"/>
              <w:rPr>
                <w:rFonts w:ascii="Arial Narrow" w:hAnsi="Arial Narrow" w:eastAsiaTheme="minorEastAsia"/>
                <w:szCs w:val="21"/>
              </w:rPr>
            </w:pPr>
            <w:r>
              <w:rPr>
                <w:rFonts w:ascii="Arial Narrow" w:hAnsi="Arial Narrow" w:eastAsiaTheme="minorEastAsia"/>
                <w:szCs w:val="21"/>
              </w:rPr>
              <w:t>971.56</w:t>
            </w:r>
          </w:p>
        </w:tc>
        <w:tc>
          <w:tcPr>
            <w:tcW w:w="708" w:type="pct"/>
            <w:vAlign w:val="center"/>
          </w:tcPr>
          <w:p w14:paraId="35F31408">
            <w:pPr>
              <w:jc w:val="center"/>
              <w:rPr>
                <w:rFonts w:ascii="Arial Narrow" w:hAnsi="Arial Narrow" w:eastAsiaTheme="minorEastAsia"/>
                <w:szCs w:val="21"/>
              </w:rPr>
            </w:pPr>
            <w:r>
              <w:rPr>
                <w:rFonts w:ascii="Arial Narrow" w:hAnsi="Arial Narrow" w:eastAsiaTheme="minorEastAsia"/>
                <w:szCs w:val="21"/>
              </w:rPr>
              <w:t>内蒙古巴彦淖尔市</w:t>
            </w:r>
          </w:p>
        </w:tc>
        <w:tc>
          <w:tcPr>
            <w:tcW w:w="679" w:type="pct"/>
            <w:vAlign w:val="center"/>
          </w:tcPr>
          <w:p w14:paraId="4954558A">
            <w:pPr>
              <w:jc w:val="center"/>
              <w:rPr>
                <w:rFonts w:ascii="Arial Narrow" w:hAnsi="Arial Narrow" w:eastAsiaTheme="minorEastAsia"/>
                <w:szCs w:val="21"/>
              </w:rPr>
            </w:pPr>
            <w:r>
              <w:rPr>
                <w:rFonts w:ascii="Arial Narrow" w:hAnsi="Arial Narrow" w:eastAsiaTheme="minorEastAsia"/>
                <w:szCs w:val="21"/>
              </w:rPr>
              <w:t>医疗器械制造</w:t>
            </w:r>
          </w:p>
        </w:tc>
        <w:tc>
          <w:tcPr>
            <w:tcW w:w="425" w:type="pct"/>
            <w:vAlign w:val="center"/>
          </w:tcPr>
          <w:p w14:paraId="436278C8">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33C06ED8">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4F4A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23CEB3F">
            <w:pPr>
              <w:jc w:val="both"/>
              <w:rPr>
                <w:rFonts w:ascii="Arial Narrow" w:hAnsi="Arial Narrow" w:eastAsiaTheme="minorEastAsia"/>
                <w:szCs w:val="21"/>
              </w:rPr>
            </w:pPr>
            <w:r>
              <w:rPr>
                <w:rFonts w:ascii="Arial Narrow" w:hAnsi="Arial Narrow" w:eastAsiaTheme="minorEastAsia"/>
                <w:szCs w:val="21"/>
              </w:rPr>
              <w:t>际华（天津）新能源投资有限公司</w:t>
            </w:r>
          </w:p>
        </w:tc>
        <w:tc>
          <w:tcPr>
            <w:tcW w:w="788" w:type="pct"/>
            <w:vAlign w:val="center"/>
          </w:tcPr>
          <w:p w14:paraId="2619B3EB">
            <w:pPr>
              <w:jc w:val="center"/>
              <w:rPr>
                <w:rFonts w:ascii="Arial Narrow" w:hAnsi="Arial Narrow" w:eastAsiaTheme="minorEastAsia"/>
                <w:szCs w:val="21"/>
              </w:rPr>
            </w:pPr>
            <w:r>
              <w:rPr>
                <w:rFonts w:ascii="Arial Narrow" w:hAnsi="Arial Narrow" w:eastAsiaTheme="minorEastAsia"/>
                <w:szCs w:val="21"/>
              </w:rPr>
              <w:t>天津市</w:t>
            </w:r>
          </w:p>
        </w:tc>
        <w:tc>
          <w:tcPr>
            <w:tcW w:w="546" w:type="pct"/>
            <w:vAlign w:val="center"/>
          </w:tcPr>
          <w:p w14:paraId="431804BB">
            <w:pPr>
              <w:jc w:val="center"/>
              <w:rPr>
                <w:rFonts w:ascii="Arial Narrow" w:hAnsi="Arial Narrow" w:eastAsiaTheme="minorEastAsia"/>
                <w:szCs w:val="21"/>
              </w:rPr>
            </w:pPr>
            <w:r>
              <w:rPr>
                <w:rFonts w:ascii="Arial Narrow" w:hAnsi="Arial Narrow" w:eastAsiaTheme="minorEastAsia"/>
                <w:szCs w:val="21"/>
              </w:rPr>
              <w:t>10,000</w:t>
            </w:r>
          </w:p>
        </w:tc>
        <w:tc>
          <w:tcPr>
            <w:tcW w:w="708" w:type="pct"/>
            <w:vAlign w:val="center"/>
          </w:tcPr>
          <w:p w14:paraId="0B7A42EB">
            <w:pPr>
              <w:jc w:val="center"/>
              <w:rPr>
                <w:rFonts w:ascii="Arial Narrow" w:hAnsi="Arial Narrow" w:eastAsiaTheme="minorEastAsia"/>
                <w:szCs w:val="21"/>
              </w:rPr>
            </w:pPr>
            <w:r>
              <w:rPr>
                <w:rFonts w:ascii="Arial Narrow" w:hAnsi="Arial Narrow" w:eastAsiaTheme="minorEastAsia"/>
                <w:szCs w:val="21"/>
              </w:rPr>
              <w:t>天津市</w:t>
            </w:r>
          </w:p>
        </w:tc>
        <w:tc>
          <w:tcPr>
            <w:tcW w:w="679" w:type="pct"/>
            <w:vAlign w:val="center"/>
          </w:tcPr>
          <w:p w14:paraId="6C65E1B3">
            <w:pPr>
              <w:jc w:val="center"/>
              <w:rPr>
                <w:rFonts w:ascii="Arial Narrow" w:hAnsi="Arial Narrow" w:eastAsiaTheme="minorEastAsia"/>
                <w:szCs w:val="21"/>
              </w:rPr>
            </w:pPr>
            <w:r>
              <w:rPr>
                <w:rFonts w:ascii="Arial Narrow" w:hAnsi="Arial Narrow" w:eastAsiaTheme="minorEastAsia"/>
                <w:szCs w:val="21"/>
              </w:rPr>
              <w:t>投资管理</w:t>
            </w:r>
          </w:p>
        </w:tc>
        <w:tc>
          <w:tcPr>
            <w:tcW w:w="425" w:type="pct"/>
            <w:vAlign w:val="center"/>
          </w:tcPr>
          <w:p w14:paraId="1B906FF0">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0F2310D9">
            <w:pPr>
              <w:jc w:val="center"/>
              <w:rPr>
                <w:rFonts w:ascii="Arial Narrow" w:hAnsi="Arial Narrow" w:eastAsiaTheme="minorEastAsia"/>
                <w:szCs w:val="21"/>
              </w:rPr>
            </w:pPr>
            <w:r>
              <w:rPr>
                <w:rFonts w:ascii="Arial Narrow" w:hAnsi="Arial Narrow" w:eastAsiaTheme="minorEastAsia"/>
                <w:szCs w:val="21"/>
              </w:rPr>
              <w:t>出资设立</w:t>
            </w:r>
          </w:p>
        </w:tc>
      </w:tr>
      <w:tr w14:paraId="346B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67D41D5C">
            <w:pPr>
              <w:jc w:val="both"/>
              <w:rPr>
                <w:rFonts w:ascii="Arial Narrow" w:hAnsi="Arial Narrow" w:eastAsiaTheme="minorEastAsia"/>
                <w:szCs w:val="21"/>
              </w:rPr>
            </w:pPr>
            <w:r>
              <w:rPr>
                <w:rFonts w:ascii="Arial Narrow" w:hAnsi="Arial Narrow" w:eastAsiaTheme="minorEastAsia"/>
                <w:szCs w:val="21"/>
              </w:rPr>
              <w:t>沈阳际华三五四七特种装具有限公司</w:t>
            </w:r>
          </w:p>
        </w:tc>
        <w:tc>
          <w:tcPr>
            <w:tcW w:w="788" w:type="pct"/>
            <w:vAlign w:val="center"/>
          </w:tcPr>
          <w:p w14:paraId="4F7733D4">
            <w:pPr>
              <w:jc w:val="center"/>
              <w:rPr>
                <w:rFonts w:ascii="Arial Narrow" w:hAnsi="Arial Narrow" w:eastAsiaTheme="minorEastAsia"/>
                <w:szCs w:val="21"/>
              </w:rPr>
            </w:pPr>
            <w:r>
              <w:rPr>
                <w:rFonts w:ascii="Arial Narrow" w:hAnsi="Arial Narrow" w:eastAsiaTheme="minorEastAsia"/>
                <w:szCs w:val="21"/>
              </w:rPr>
              <w:t>辽宁省沈阳市</w:t>
            </w:r>
          </w:p>
        </w:tc>
        <w:tc>
          <w:tcPr>
            <w:tcW w:w="546" w:type="pct"/>
            <w:vAlign w:val="center"/>
          </w:tcPr>
          <w:p w14:paraId="2B0C2AF4">
            <w:pPr>
              <w:jc w:val="center"/>
              <w:rPr>
                <w:rFonts w:ascii="Arial Narrow" w:hAnsi="Arial Narrow" w:eastAsiaTheme="minorEastAsia"/>
                <w:szCs w:val="21"/>
              </w:rPr>
            </w:pPr>
            <w:r>
              <w:rPr>
                <w:rFonts w:ascii="Arial Narrow" w:hAnsi="Arial Narrow" w:eastAsiaTheme="minorEastAsia"/>
                <w:szCs w:val="21"/>
              </w:rPr>
              <w:t>20,000</w:t>
            </w:r>
          </w:p>
        </w:tc>
        <w:tc>
          <w:tcPr>
            <w:tcW w:w="708" w:type="pct"/>
            <w:vAlign w:val="center"/>
          </w:tcPr>
          <w:p w14:paraId="0CD88B71">
            <w:pPr>
              <w:jc w:val="center"/>
              <w:rPr>
                <w:rFonts w:ascii="Arial Narrow" w:hAnsi="Arial Narrow" w:eastAsiaTheme="minorEastAsia"/>
                <w:szCs w:val="21"/>
              </w:rPr>
            </w:pPr>
            <w:r>
              <w:rPr>
                <w:rFonts w:ascii="Arial Narrow" w:hAnsi="Arial Narrow" w:eastAsiaTheme="minorEastAsia"/>
                <w:szCs w:val="21"/>
              </w:rPr>
              <w:t>辽宁省沈阳市</w:t>
            </w:r>
          </w:p>
        </w:tc>
        <w:tc>
          <w:tcPr>
            <w:tcW w:w="679" w:type="pct"/>
            <w:vAlign w:val="center"/>
          </w:tcPr>
          <w:p w14:paraId="6A6A1563">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2C35EA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1C138896">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78AD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1F0ECC24">
            <w:pPr>
              <w:jc w:val="both"/>
              <w:rPr>
                <w:rFonts w:ascii="Arial Narrow" w:hAnsi="Arial Narrow" w:eastAsiaTheme="minorEastAsia"/>
                <w:szCs w:val="21"/>
              </w:rPr>
            </w:pPr>
            <w:r>
              <w:rPr>
                <w:rFonts w:ascii="Arial Narrow" w:hAnsi="Arial Narrow" w:eastAsiaTheme="minorEastAsia"/>
                <w:szCs w:val="21"/>
              </w:rPr>
              <w:t>际华连锁商务有限公司</w:t>
            </w:r>
          </w:p>
        </w:tc>
        <w:tc>
          <w:tcPr>
            <w:tcW w:w="788" w:type="pct"/>
            <w:vAlign w:val="center"/>
          </w:tcPr>
          <w:p w14:paraId="15BA4471">
            <w:pPr>
              <w:jc w:val="center"/>
              <w:rPr>
                <w:rFonts w:ascii="Arial Narrow" w:hAnsi="Arial Narrow" w:eastAsiaTheme="minorEastAsia"/>
                <w:szCs w:val="21"/>
              </w:rPr>
            </w:pPr>
            <w:r>
              <w:rPr>
                <w:rFonts w:ascii="Arial Narrow" w:hAnsi="Arial Narrow" w:eastAsiaTheme="minorEastAsia"/>
                <w:szCs w:val="21"/>
              </w:rPr>
              <w:t>北京市</w:t>
            </w:r>
          </w:p>
        </w:tc>
        <w:tc>
          <w:tcPr>
            <w:tcW w:w="546" w:type="pct"/>
            <w:vAlign w:val="center"/>
          </w:tcPr>
          <w:p w14:paraId="25E061D8">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2C165730">
            <w:pPr>
              <w:jc w:val="center"/>
              <w:rPr>
                <w:rFonts w:ascii="Arial Narrow" w:hAnsi="Arial Narrow" w:eastAsiaTheme="minorEastAsia"/>
                <w:szCs w:val="21"/>
              </w:rPr>
            </w:pPr>
            <w:r>
              <w:rPr>
                <w:rFonts w:ascii="Arial Narrow" w:hAnsi="Arial Narrow" w:eastAsiaTheme="minorEastAsia"/>
                <w:szCs w:val="21"/>
              </w:rPr>
              <w:t>北京市</w:t>
            </w:r>
          </w:p>
        </w:tc>
        <w:tc>
          <w:tcPr>
            <w:tcW w:w="679" w:type="pct"/>
            <w:vAlign w:val="center"/>
          </w:tcPr>
          <w:p w14:paraId="701B9D5C">
            <w:pPr>
              <w:jc w:val="center"/>
              <w:rPr>
                <w:rFonts w:ascii="Arial Narrow" w:hAnsi="Arial Narrow" w:eastAsiaTheme="minorEastAsia"/>
                <w:szCs w:val="21"/>
              </w:rPr>
            </w:pPr>
            <w:r>
              <w:rPr>
                <w:rFonts w:ascii="Arial Narrow" w:hAnsi="Arial Narrow" w:eastAsiaTheme="minorEastAsia"/>
                <w:szCs w:val="21"/>
              </w:rPr>
              <w:t>零售业</w:t>
            </w:r>
          </w:p>
        </w:tc>
        <w:tc>
          <w:tcPr>
            <w:tcW w:w="425" w:type="pct"/>
            <w:vAlign w:val="center"/>
          </w:tcPr>
          <w:p w14:paraId="6E70B2DA">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748A4CB4">
            <w:pPr>
              <w:jc w:val="center"/>
              <w:rPr>
                <w:rFonts w:ascii="Arial Narrow" w:hAnsi="Arial Narrow" w:eastAsiaTheme="minorEastAsia"/>
                <w:szCs w:val="21"/>
              </w:rPr>
            </w:pPr>
            <w:r>
              <w:rPr>
                <w:rFonts w:ascii="Arial Narrow" w:hAnsi="Arial Narrow" w:eastAsiaTheme="minorEastAsia"/>
                <w:szCs w:val="21"/>
              </w:rPr>
              <w:t>出资设立</w:t>
            </w:r>
          </w:p>
        </w:tc>
      </w:tr>
      <w:tr w14:paraId="4529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4B2CC97">
            <w:pPr>
              <w:jc w:val="both"/>
              <w:rPr>
                <w:rFonts w:ascii="Arial Narrow" w:hAnsi="Arial Narrow" w:eastAsiaTheme="minorEastAsia"/>
                <w:szCs w:val="21"/>
              </w:rPr>
            </w:pPr>
            <w:r>
              <w:rPr>
                <w:rFonts w:ascii="Arial Narrow" w:hAnsi="Arial Narrow" w:eastAsiaTheme="minorEastAsia"/>
                <w:szCs w:val="21"/>
              </w:rPr>
              <w:t>新兴际华国际贸易有限公司</w:t>
            </w:r>
          </w:p>
        </w:tc>
        <w:tc>
          <w:tcPr>
            <w:tcW w:w="788" w:type="pct"/>
            <w:vAlign w:val="center"/>
          </w:tcPr>
          <w:p w14:paraId="4A5F88E8">
            <w:pPr>
              <w:jc w:val="center"/>
              <w:rPr>
                <w:rFonts w:ascii="Arial Narrow" w:hAnsi="Arial Narrow" w:eastAsiaTheme="minorEastAsia"/>
                <w:szCs w:val="21"/>
              </w:rPr>
            </w:pPr>
            <w:r>
              <w:rPr>
                <w:rFonts w:ascii="Arial Narrow" w:hAnsi="Arial Narrow" w:eastAsiaTheme="minorEastAsia"/>
                <w:szCs w:val="21"/>
              </w:rPr>
              <w:t>北京市</w:t>
            </w:r>
          </w:p>
        </w:tc>
        <w:tc>
          <w:tcPr>
            <w:tcW w:w="546" w:type="pct"/>
            <w:vAlign w:val="center"/>
          </w:tcPr>
          <w:p w14:paraId="4E141422">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73552CBF">
            <w:pPr>
              <w:jc w:val="center"/>
              <w:rPr>
                <w:rFonts w:ascii="Arial Narrow" w:hAnsi="Arial Narrow" w:eastAsiaTheme="minorEastAsia"/>
                <w:szCs w:val="21"/>
              </w:rPr>
            </w:pPr>
            <w:r>
              <w:rPr>
                <w:rFonts w:ascii="Arial Narrow" w:hAnsi="Arial Narrow" w:eastAsiaTheme="minorEastAsia"/>
                <w:szCs w:val="21"/>
              </w:rPr>
              <w:t>北京市</w:t>
            </w:r>
          </w:p>
        </w:tc>
        <w:tc>
          <w:tcPr>
            <w:tcW w:w="679" w:type="pct"/>
            <w:vAlign w:val="center"/>
          </w:tcPr>
          <w:p w14:paraId="25A297C5">
            <w:pPr>
              <w:jc w:val="center"/>
              <w:rPr>
                <w:rFonts w:ascii="Arial Narrow" w:hAnsi="Arial Narrow" w:eastAsiaTheme="minorEastAsia"/>
                <w:szCs w:val="21"/>
              </w:rPr>
            </w:pPr>
            <w:r>
              <w:rPr>
                <w:rFonts w:ascii="Arial Narrow" w:hAnsi="Arial Narrow" w:eastAsiaTheme="minorEastAsia"/>
                <w:szCs w:val="21"/>
              </w:rPr>
              <w:t>商贸</w:t>
            </w:r>
          </w:p>
        </w:tc>
        <w:tc>
          <w:tcPr>
            <w:tcW w:w="425" w:type="pct"/>
            <w:vAlign w:val="center"/>
          </w:tcPr>
          <w:p w14:paraId="69A5281F">
            <w:pPr>
              <w:jc w:val="center"/>
              <w:rPr>
                <w:rFonts w:ascii="Arial Narrow" w:hAnsi="Arial Narrow" w:eastAsiaTheme="minorEastAsia"/>
                <w:szCs w:val="21"/>
              </w:rPr>
            </w:pPr>
            <w:r>
              <w:rPr>
                <w:rFonts w:ascii="Arial Narrow" w:hAnsi="Arial Narrow" w:eastAsiaTheme="minorEastAsia"/>
                <w:szCs w:val="21"/>
              </w:rPr>
              <w:t>49</w:t>
            </w:r>
          </w:p>
        </w:tc>
        <w:tc>
          <w:tcPr>
            <w:tcW w:w="745" w:type="pct"/>
            <w:vAlign w:val="center"/>
          </w:tcPr>
          <w:p w14:paraId="00011903">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22A6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5B042E28">
            <w:pPr>
              <w:jc w:val="both"/>
              <w:rPr>
                <w:rFonts w:ascii="Arial Narrow" w:hAnsi="Arial Narrow" w:eastAsiaTheme="minorEastAsia"/>
                <w:szCs w:val="21"/>
              </w:rPr>
            </w:pPr>
            <w:r>
              <w:rPr>
                <w:rFonts w:ascii="Arial Narrow" w:hAnsi="Arial Narrow" w:eastAsiaTheme="minorEastAsia"/>
                <w:szCs w:val="21"/>
              </w:rPr>
              <w:t>新兴际华国际贸易（天津）有限公司</w:t>
            </w:r>
          </w:p>
        </w:tc>
        <w:tc>
          <w:tcPr>
            <w:tcW w:w="788" w:type="pct"/>
            <w:vAlign w:val="center"/>
          </w:tcPr>
          <w:p w14:paraId="4A6B9D6E">
            <w:pPr>
              <w:jc w:val="center"/>
              <w:rPr>
                <w:rFonts w:ascii="Arial Narrow" w:hAnsi="Arial Narrow" w:eastAsiaTheme="minorEastAsia"/>
                <w:szCs w:val="21"/>
              </w:rPr>
            </w:pPr>
            <w:r>
              <w:rPr>
                <w:rFonts w:ascii="Arial Narrow" w:hAnsi="Arial Narrow" w:eastAsiaTheme="minorEastAsia"/>
                <w:szCs w:val="21"/>
              </w:rPr>
              <w:t>天津市</w:t>
            </w:r>
          </w:p>
        </w:tc>
        <w:tc>
          <w:tcPr>
            <w:tcW w:w="546" w:type="pct"/>
            <w:vAlign w:val="center"/>
          </w:tcPr>
          <w:p w14:paraId="1D836A31">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558D9C7C">
            <w:pPr>
              <w:jc w:val="center"/>
              <w:rPr>
                <w:rFonts w:ascii="Arial Narrow" w:hAnsi="Arial Narrow" w:eastAsiaTheme="minorEastAsia"/>
                <w:szCs w:val="21"/>
              </w:rPr>
            </w:pPr>
            <w:r>
              <w:rPr>
                <w:rFonts w:ascii="Arial Narrow" w:hAnsi="Arial Narrow" w:eastAsiaTheme="minorEastAsia"/>
                <w:szCs w:val="21"/>
              </w:rPr>
              <w:t>天津市</w:t>
            </w:r>
          </w:p>
        </w:tc>
        <w:tc>
          <w:tcPr>
            <w:tcW w:w="679" w:type="pct"/>
            <w:vAlign w:val="center"/>
          </w:tcPr>
          <w:p w14:paraId="34B93436">
            <w:pPr>
              <w:jc w:val="center"/>
              <w:rPr>
                <w:rFonts w:ascii="Arial Narrow" w:hAnsi="Arial Narrow" w:eastAsiaTheme="minorEastAsia"/>
                <w:szCs w:val="21"/>
              </w:rPr>
            </w:pPr>
            <w:r>
              <w:rPr>
                <w:rFonts w:ascii="Arial Narrow" w:hAnsi="Arial Narrow" w:eastAsiaTheme="minorEastAsia"/>
                <w:szCs w:val="21"/>
              </w:rPr>
              <w:t>商贸</w:t>
            </w:r>
          </w:p>
        </w:tc>
        <w:tc>
          <w:tcPr>
            <w:tcW w:w="425" w:type="pct"/>
            <w:vAlign w:val="center"/>
          </w:tcPr>
          <w:p w14:paraId="4014DC6D">
            <w:pPr>
              <w:jc w:val="center"/>
              <w:rPr>
                <w:rFonts w:ascii="Arial Narrow" w:hAnsi="Arial Narrow" w:eastAsiaTheme="minorEastAsia"/>
                <w:szCs w:val="21"/>
              </w:rPr>
            </w:pPr>
            <w:r>
              <w:rPr>
                <w:rFonts w:ascii="Arial Narrow" w:hAnsi="Arial Narrow" w:eastAsiaTheme="minorEastAsia"/>
                <w:szCs w:val="21"/>
              </w:rPr>
              <w:t>49</w:t>
            </w:r>
          </w:p>
        </w:tc>
        <w:tc>
          <w:tcPr>
            <w:tcW w:w="745" w:type="pct"/>
            <w:vAlign w:val="center"/>
          </w:tcPr>
          <w:p w14:paraId="7B590F25">
            <w:pPr>
              <w:jc w:val="center"/>
              <w:rPr>
                <w:rFonts w:ascii="Arial Narrow" w:hAnsi="Arial Narrow" w:eastAsiaTheme="minorEastAsia"/>
                <w:szCs w:val="21"/>
              </w:rPr>
            </w:pPr>
            <w:r>
              <w:rPr>
                <w:rFonts w:ascii="Arial Narrow" w:hAnsi="Arial Narrow" w:eastAsiaTheme="minorEastAsia"/>
                <w:szCs w:val="21"/>
              </w:rPr>
              <w:t>同一控制下企业合并</w:t>
            </w:r>
          </w:p>
        </w:tc>
      </w:tr>
      <w:tr w14:paraId="3770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B80F1E4">
            <w:pPr>
              <w:jc w:val="both"/>
              <w:rPr>
                <w:rFonts w:ascii="Arial Narrow" w:hAnsi="Arial Narrow" w:eastAsiaTheme="minorEastAsia"/>
                <w:szCs w:val="21"/>
              </w:rPr>
            </w:pPr>
            <w:r>
              <w:rPr>
                <w:rFonts w:ascii="Arial Narrow" w:hAnsi="Arial Narrow" w:eastAsiaTheme="minorEastAsia"/>
                <w:szCs w:val="21"/>
              </w:rPr>
              <w:t>长春际华投资建设有限公司</w:t>
            </w:r>
          </w:p>
        </w:tc>
        <w:tc>
          <w:tcPr>
            <w:tcW w:w="788" w:type="pct"/>
            <w:vAlign w:val="center"/>
          </w:tcPr>
          <w:p w14:paraId="1CCCA347">
            <w:pPr>
              <w:jc w:val="center"/>
              <w:rPr>
                <w:rFonts w:ascii="Arial Narrow" w:hAnsi="Arial Narrow" w:eastAsiaTheme="minorEastAsia"/>
                <w:szCs w:val="21"/>
              </w:rPr>
            </w:pPr>
            <w:r>
              <w:rPr>
                <w:rFonts w:ascii="Arial Narrow" w:hAnsi="Arial Narrow" w:eastAsiaTheme="minorEastAsia"/>
                <w:szCs w:val="21"/>
              </w:rPr>
              <w:t>吉林省长春市</w:t>
            </w:r>
          </w:p>
        </w:tc>
        <w:tc>
          <w:tcPr>
            <w:tcW w:w="546" w:type="pct"/>
            <w:vAlign w:val="center"/>
          </w:tcPr>
          <w:p w14:paraId="71A0A08C">
            <w:pPr>
              <w:jc w:val="center"/>
              <w:rPr>
                <w:rFonts w:ascii="Arial Narrow" w:hAnsi="Arial Narrow" w:eastAsiaTheme="minorEastAsia"/>
                <w:szCs w:val="21"/>
              </w:rPr>
            </w:pPr>
            <w:r>
              <w:rPr>
                <w:rFonts w:ascii="Arial Narrow" w:hAnsi="Arial Narrow" w:eastAsiaTheme="minorEastAsia"/>
                <w:szCs w:val="21"/>
              </w:rPr>
              <w:t>10,000</w:t>
            </w:r>
          </w:p>
        </w:tc>
        <w:tc>
          <w:tcPr>
            <w:tcW w:w="708" w:type="pct"/>
            <w:vAlign w:val="center"/>
          </w:tcPr>
          <w:p w14:paraId="3A3C1F2F">
            <w:pPr>
              <w:jc w:val="center"/>
              <w:rPr>
                <w:rFonts w:ascii="Arial Narrow" w:hAnsi="Arial Narrow" w:eastAsiaTheme="minorEastAsia"/>
                <w:szCs w:val="21"/>
              </w:rPr>
            </w:pPr>
            <w:r>
              <w:rPr>
                <w:rFonts w:ascii="Arial Narrow" w:hAnsi="Arial Narrow" w:eastAsiaTheme="minorEastAsia"/>
                <w:szCs w:val="21"/>
              </w:rPr>
              <w:t>吉林省长春市</w:t>
            </w:r>
          </w:p>
        </w:tc>
        <w:tc>
          <w:tcPr>
            <w:tcW w:w="679" w:type="pct"/>
            <w:vAlign w:val="center"/>
          </w:tcPr>
          <w:p w14:paraId="2F851F86">
            <w:pPr>
              <w:jc w:val="center"/>
              <w:rPr>
                <w:rFonts w:ascii="Arial Narrow" w:hAnsi="Arial Narrow" w:eastAsiaTheme="minorEastAsia"/>
                <w:szCs w:val="21"/>
              </w:rPr>
            </w:pPr>
            <w:r>
              <w:rPr>
                <w:rFonts w:ascii="Arial Narrow" w:hAnsi="Arial Narrow" w:eastAsiaTheme="minorEastAsia"/>
                <w:szCs w:val="21"/>
              </w:rPr>
              <w:t>房地产开发业</w:t>
            </w:r>
          </w:p>
        </w:tc>
        <w:tc>
          <w:tcPr>
            <w:tcW w:w="425" w:type="pct"/>
            <w:vAlign w:val="center"/>
          </w:tcPr>
          <w:p w14:paraId="21171C2B">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0EA051D9">
            <w:pPr>
              <w:jc w:val="center"/>
              <w:rPr>
                <w:rFonts w:ascii="Arial Narrow" w:hAnsi="Arial Narrow" w:eastAsiaTheme="minorEastAsia"/>
                <w:szCs w:val="21"/>
              </w:rPr>
            </w:pPr>
            <w:r>
              <w:rPr>
                <w:rFonts w:ascii="Arial Narrow" w:hAnsi="Arial Narrow" w:eastAsiaTheme="minorEastAsia"/>
                <w:szCs w:val="21"/>
              </w:rPr>
              <w:t>出资设立</w:t>
            </w:r>
          </w:p>
        </w:tc>
      </w:tr>
      <w:tr w14:paraId="4E46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AFAD168">
            <w:pPr>
              <w:jc w:val="both"/>
              <w:rPr>
                <w:rFonts w:ascii="Arial Narrow" w:hAnsi="Arial Narrow" w:eastAsiaTheme="minorEastAsia"/>
                <w:szCs w:val="21"/>
              </w:rPr>
            </w:pPr>
            <w:r>
              <w:rPr>
                <w:rFonts w:ascii="Arial Narrow" w:hAnsi="Arial Narrow" w:eastAsiaTheme="minorEastAsia"/>
                <w:szCs w:val="21"/>
              </w:rPr>
              <w:t>际华（邢台）投资有限公司</w:t>
            </w:r>
          </w:p>
        </w:tc>
        <w:tc>
          <w:tcPr>
            <w:tcW w:w="788" w:type="pct"/>
            <w:vAlign w:val="center"/>
          </w:tcPr>
          <w:p w14:paraId="03407B1F">
            <w:pPr>
              <w:jc w:val="center"/>
              <w:rPr>
                <w:rFonts w:ascii="Arial Narrow" w:hAnsi="Arial Narrow" w:eastAsiaTheme="minorEastAsia"/>
                <w:szCs w:val="21"/>
              </w:rPr>
            </w:pPr>
            <w:r>
              <w:rPr>
                <w:rFonts w:ascii="Arial Narrow" w:hAnsi="Arial Narrow" w:eastAsiaTheme="minorEastAsia"/>
                <w:szCs w:val="21"/>
              </w:rPr>
              <w:t>河北省邢台市</w:t>
            </w:r>
          </w:p>
        </w:tc>
        <w:tc>
          <w:tcPr>
            <w:tcW w:w="546" w:type="pct"/>
            <w:vAlign w:val="center"/>
          </w:tcPr>
          <w:p w14:paraId="5BBFFCF2">
            <w:pPr>
              <w:jc w:val="center"/>
              <w:rPr>
                <w:rFonts w:ascii="Arial Narrow" w:hAnsi="Arial Narrow" w:eastAsiaTheme="minorEastAsia"/>
                <w:szCs w:val="21"/>
              </w:rPr>
            </w:pPr>
            <w:r>
              <w:rPr>
                <w:rFonts w:ascii="Arial Narrow" w:hAnsi="Arial Narrow" w:eastAsiaTheme="minorEastAsia"/>
                <w:szCs w:val="21"/>
              </w:rPr>
              <w:t>10,000</w:t>
            </w:r>
          </w:p>
        </w:tc>
        <w:tc>
          <w:tcPr>
            <w:tcW w:w="708" w:type="pct"/>
            <w:vAlign w:val="center"/>
          </w:tcPr>
          <w:p w14:paraId="6F57C1F4">
            <w:pPr>
              <w:jc w:val="center"/>
              <w:rPr>
                <w:rFonts w:ascii="Arial Narrow" w:hAnsi="Arial Narrow" w:eastAsiaTheme="minorEastAsia"/>
                <w:szCs w:val="21"/>
              </w:rPr>
            </w:pPr>
            <w:r>
              <w:rPr>
                <w:rFonts w:ascii="Arial Narrow" w:hAnsi="Arial Narrow" w:eastAsiaTheme="minorEastAsia"/>
                <w:szCs w:val="21"/>
              </w:rPr>
              <w:t>河北省邢台市</w:t>
            </w:r>
          </w:p>
        </w:tc>
        <w:tc>
          <w:tcPr>
            <w:tcW w:w="679" w:type="pct"/>
            <w:vAlign w:val="center"/>
          </w:tcPr>
          <w:p w14:paraId="14B8B005">
            <w:pPr>
              <w:jc w:val="center"/>
              <w:rPr>
                <w:rFonts w:ascii="Arial Narrow" w:hAnsi="Arial Narrow" w:eastAsiaTheme="minorEastAsia"/>
                <w:szCs w:val="21"/>
              </w:rPr>
            </w:pPr>
            <w:r>
              <w:rPr>
                <w:rFonts w:ascii="Arial Narrow" w:hAnsi="Arial Narrow" w:eastAsiaTheme="minorEastAsia"/>
                <w:szCs w:val="21"/>
              </w:rPr>
              <w:t>投资管理</w:t>
            </w:r>
          </w:p>
        </w:tc>
        <w:tc>
          <w:tcPr>
            <w:tcW w:w="425" w:type="pct"/>
            <w:vAlign w:val="center"/>
          </w:tcPr>
          <w:p w14:paraId="0C456565">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D4F824C">
            <w:pPr>
              <w:jc w:val="center"/>
              <w:rPr>
                <w:rFonts w:ascii="Arial Narrow" w:hAnsi="Arial Narrow" w:eastAsiaTheme="minorEastAsia"/>
                <w:szCs w:val="21"/>
              </w:rPr>
            </w:pPr>
            <w:r>
              <w:rPr>
                <w:rFonts w:ascii="Arial Narrow" w:hAnsi="Arial Narrow" w:eastAsiaTheme="minorEastAsia"/>
                <w:szCs w:val="21"/>
              </w:rPr>
              <w:t>出资设立</w:t>
            </w:r>
          </w:p>
        </w:tc>
      </w:tr>
      <w:tr w14:paraId="1620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004489BF">
            <w:pPr>
              <w:jc w:val="both"/>
              <w:rPr>
                <w:rFonts w:ascii="Arial Narrow" w:hAnsi="Arial Narrow" w:eastAsiaTheme="minorEastAsia"/>
                <w:szCs w:val="21"/>
              </w:rPr>
            </w:pPr>
            <w:r>
              <w:rPr>
                <w:rFonts w:ascii="Arial Narrow" w:hAnsi="Arial Narrow" w:eastAsiaTheme="minorEastAsia"/>
                <w:szCs w:val="21"/>
              </w:rPr>
              <w:t>际华海外投资有限公司</w:t>
            </w:r>
          </w:p>
        </w:tc>
        <w:tc>
          <w:tcPr>
            <w:tcW w:w="788" w:type="pct"/>
            <w:vAlign w:val="center"/>
          </w:tcPr>
          <w:p w14:paraId="60651A42">
            <w:pPr>
              <w:jc w:val="center"/>
              <w:rPr>
                <w:rFonts w:ascii="Arial Narrow" w:hAnsi="Arial Narrow" w:eastAsiaTheme="minorEastAsia"/>
                <w:szCs w:val="21"/>
              </w:rPr>
            </w:pPr>
            <w:r>
              <w:rPr>
                <w:rFonts w:ascii="Arial Narrow" w:hAnsi="Arial Narrow" w:eastAsiaTheme="minorEastAsia"/>
                <w:szCs w:val="21"/>
              </w:rPr>
              <w:t>北京市</w:t>
            </w:r>
          </w:p>
        </w:tc>
        <w:tc>
          <w:tcPr>
            <w:tcW w:w="546" w:type="pct"/>
            <w:vAlign w:val="center"/>
          </w:tcPr>
          <w:p w14:paraId="21AD46D2">
            <w:pPr>
              <w:jc w:val="center"/>
              <w:rPr>
                <w:rFonts w:ascii="Arial Narrow" w:hAnsi="Arial Narrow" w:eastAsiaTheme="minorEastAsia"/>
                <w:szCs w:val="21"/>
              </w:rPr>
            </w:pPr>
            <w:r>
              <w:rPr>
                <w:rFonts w:ascii="Arial Narrow" w:hAnsi="Arial Narrow" w:eastAsiaTheme="minorEastAsia"/>
                <w:szCs w:val="21"/>
              </w:rPr>
              <w:t>14,514.20</w:t>
            </w:r>
          </w:p>
        </w:tc>
        <w:tc>
          <w:tcPr>
            <w:tcW w:w="708" w:type="pct"/>
            <w:vAlign w:val="center"/>
          </w:tcPr>
          <w:p w14:paraId="0F82BD49">
            <w:pPr>
              <w:jc w:val="center"/>
              <w:rPr>
                <w:rFonts w:ascii="Arial Narrow" w:hAnsi="Arial Narrow" w:eastAsiaTheme="minorEastAsia"/>
                <w:szCs w:val="21"/>
              </w:rPr>
            </w:pPr>
            <w:r>
              <w:rPr>
                <w:rFonts w:ascii="Arial Narrow" w:hAnsi="Arial Narrow" w:eastAsiaTheme="minorEastAsia"/>
                <w:szCs w:val="21"/>
              </w:rPr>
              <w:t>中国香港</w:t>
            </w:r>
          </w:p>
        </w:tc>
        <w:tc>
          <w:tcPr>
            <w:tcW w:w="679" w:type="pct"/>
            <w:vAlign w:val="center"/>
          </w:tcPr>
          <w:p w14:paraId="25A44894">
            <w:pPr>
              <w:jc w:val="center"/>
              <w:rPr>
                <w:rFonts w:ascii="Arial Narrow" w:hAnsi="Arial Narrow" w:eastAsiaTheme="minorEastAsia"/>
                <w:szCs w:val="21"/>
              </w:rPr>
            </w:pPr>
            <w:r>
              <w:rPr>
                <w:rFonts w:ascii="Arial Narrow" w:hAnsi="Arial Narrow" w:eastAsiaTheme="minorEastAsia"/>
                <w:szCs w:val="21"/>
              </w:rPr>
              <w:t>对外投资</w:t>
            </w:r>
          </w:p>
        </w:tc>
        <w:tc>
          <w:tcPr>
            <w:tcW w:w="425" w:type="pct"/>
            <w:vAlign w:val="center"/>
          </w:tcPr>
          <w:p w14:paraId="2A810BF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33B3DC8A">
            <w:pPr>
              <w:jc w:val="center"/>
              <w:rPr>
                <w:rFonts w:ascii="Arial Narrow" w:hAnsi="Arial Narrow" w:eastAsiaTheme="minorEastAsia"/>
                <w:szCs w:val="21"/>
              </w:rPr>
            </w:pPr>
            <w:r>
              <w:rPr>
                <w:rFonts w:ascii="Arial Narrow" w:hAnsi="Arial Narrow" w:eastAsiaTheme="minorEastAsia"/>
                <w:szCs w:val="21"/>
              </w:rPr>
              <w:t>出资设立</w:t>
            </w:r>
          </w:p>
        </w:tc>
      </w:tr>
      <w:tr w14:paraId="61C4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6C0211C">
            <w:pPr>
              <w:jc w:val="both"/>
              <w:rPr>
                <w:rFonts w:ascii="Arial Narrow" w:hAnsi="Arial Narrow" w:eastAsiaTheme="minorEastAsia"/>
                <w:szCs w:val="21"/>
              </w:rPr>
            </w:pPr>
            <w:r>
              <w:rPr>
                <w:rFonts w:ascii="Arial Narrow" w:hAnsi="Arial Narrow" w:eastAsiaTheme="minorEastAsia"/>
                <w:szCs w:val="21"/>
              </w:rPr>
              <w:t>重庆际华目的地中心实业有限公司</w:t>
            </w:r>
          </w:p>
        </w:tc>
        <w:tc>
          <w:tcPr>
            <w:tcW w:w="788" w:type="pct"/>
            <w:vAlign w:val="center"/>
          </w:tcPr>
          <w:p w14:paraId="43C31599">
            <w:pPr>
              <w:jc w:val="center"/>
              <w:rPr>
                <w:rFonts w:ascii="Arial Narrow" w:hAnsi="Arial Narrow" w:eastAsiaTheme="minorEastAsia"/>
                <w:szCs w:val="21"/>
              </w:rPr>
            </w:pPr>
            <w:r>
              <w:rPr>
                <w:rFonts w:ascii="Arial Narrow" w:hAnsi="Arial Narrow" w:eastAsiaTheme="minorEastAsia"/>
                <w:szCs w:val="21"/>
              </w:rPr>
              <w:t>重庆市</w:t>
            </w:r>
          </w:p>
        </w:tc>
        <w:tc>
          <w:tcPr>
            <w:tcW w:w="546" w:type="pct"/>
            <w:vAlign w:val="center"/>
          </w:tcPr>
          <w:p w14:paraId="2E20741C">
            <w:pPr>
              <w:jc w:val="center"/>
              <w:rPr>
                <w:rFonts w:ascii="Arial Narrow" w:hAnsi="Arial Narrow" w:eastAsiaTheme="minorEastAsia"/>
                <w:szCs w:val="21"/>
              </w:rPr>
            </w:pPr>
            <w:r>
              <w:rPr>
                <w:rFonts w:ascii="Arial Narrow" w:hAnsi="Arial Narrow" w:eastAsiaTheme="minorEastAsia"/>
                <w:szCs w:val="21"/>
              </w:rPr>
              <w:t>15,000</w:t>
            </w:r>
          </w:p>
        </w:tc>
        <w:tc>
          <w:tcPr>
            <w:tcW w:w="708" w:type="pct"/>
            <w:vAlign w:val="center"/>
          </w:tcPr>
          <w:p w14:paraId="2E1334BC">
            <w:pPr>
              <w:jc w:val="center"/>
              <w:rPr>
                <w:rFonts w:ascii="Arial Narrow" w:hAnsi="Arial Narrow" w:eastAsiaTheme="minorEastAsia"/>
                <w:szCs w:val="21"/>
              </w:rPr>
            </w:pPr>
            <w:r>
              <w:rPr>
                <w:rFonts w:ascii="Arial Narrow" w:hAnsi="Arial Narrow" w:eastAsiaTheme="minorEastAsia"/>
                <w:szCs w:val="21"/>
              </w:rPr>
              <w:t>重庆市</w:t>
            </w:r>
          </w:p>
        </w:tc>
        <w:tc>
          <w:tcPr>
            <w:tcW w:w="679" w:type="pct"/>
            <w:vAlign w:val="center"/>
          </w:tcPr>
          <w:p w14:paraId="31DACC9E">
            <w:pPr>
              <w:jc w:val="center"/>
              <w:rPr>
                <w:rFonts w:ascii="Arial Narrow" w:hAnsi="Arial Narrow" w:eastAsiaTheme="minorEastAsia"/>
                <w:szCs w:val="21"/>
              </w:rPr>
            </w:pPr>
            <w:r>
              <w:rPr>
                <w:rFonts w:ascii="Arial Narrow" w:hAnsi="Arial Narrow" w:eastAsiaTheme="minorEastAsia"/>
                <w:szCs w:val="21"/>
              </w:rPr>
              <w:t>投资管理</w:t>
            </w:r>
          </w:p>
        </w:tc>
        <w:tc>
          <w:tcPr>
            <w:tcW w:w="425" w:type="pct"/>
            <w:vAlign w:val="center"/>
          </w:tcPr>
          <w:p w14:paraId="31E88558">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050406F">
            <w:pPr>
              <w:jc w:val="center"/>
              <w:rPr>
                <w:rFonts w:ascii="Arial Narrow" w:hAnsi="Arial Narrow" w:eastAsiaTheme="minorEastAsia"/>
                <w:szCs w:val="21"/>
              </w:rPr>
            </w:pPr>
            <w:r>
              <w:rPr>
                <w:rFonts w:ascii="Arial Narrow" w:hAnsi="Arial Narrow" w:eastAsiaTheme="minorEastAsia"/>
                <w:szCs w:val="21"/>
              </w:rPr>
              <w:t>出资设立</w:t>
            </w:r>
          </w:p>
        </w:tc>
      </w:tr>
      <w:tr w14:paraId="54A2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529612E3">
            <w:pPr>
              <w:jc w:val="both"/>
              <w:rPr>
                <w:rFonts w:ascii="Arial Narrow" w:hAnsi="Arial Narrow" w:eastAsiaTheme="minorEastAsia"/>
                <w:szCs w:val="21"/>
              </w:rPr>
            </w:pPr>
            <w:r>
              <w:rPr>
                <w:rFonts w:ascii="Arial Narrow" w:hAnsi="Arial Narrow" w:eastAsiaTheme="minorEastAsia"/>
                <w:szCs w:val="21"/>
              </w:rPr>
              <w:t>岳阳际华置业有限公司</w:t>
            </w:r>
          </w:p>
        </w:tc>
        <w:tc>
          <w:tcPr>
            <w:tcW w:w="788" w:type="pct"/>
            <w:vAlign w:val="center"/>
          </w:tcPr>
          <w:p w14:paraId="625F7244">
            <w:pPr>
              <w:jc w:val="center"/>
              <w:rPr>
                <w:rFonts w:ascii="Arial Narrow" w:hAnsi="Arial Narrow" w:eastAsiaTheme="minorEastAsia"/>
                <w:szCs w:val="21"/>
              </w:rPr>
            </w:pPr>
            <w:r>
              <w:rPr>
                <w:rFonts w:ascii="Arial Narrow" w:hAnsi="Arial Narrow" w:eastAsiaTheme="minorEastAsia"/>
                <w:szCs w:val="21"/>
              </w:rPr>
              <w:t>湖南省岳阳市</w:t>
            </w:r>
          </w:p>
        </w:tc>
        <w:tc>
          <w:tcPr>
            <w:tcW w:w="546" w:type="pct"/>
            <w:vAlign w:val="center"/>
          </w:tcPr>
          <w:p w14:paraId="02AF98D0">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25860B93">
            <w:pPr>
              <w:jc w:val="center"/>
              <w:rPr>
                <w:rFonts w:ascii="Arial Narrow" w:hAnsi="Arial Narrow" w:eastAsiaTheme="minorEastAsia"/>
                <w:szCs w:val="21"/>
              </w:rPr>
            </w:pPr>
            <w:r>
              <w:rPr>
                <w:rFonts w:ascii="Arial Narrow" w:hAnsi="Arial Narrow" w:eastAsiaTheme="minorEastAsia"/>
                <w:szCs w:val="21"/>
              </w:rPr>
              <w:t>湖南省岳阳市</w:t>
            </w:r>
          </w:p>
        </w:tc>
        <w:tc>
          <w:tcPr>
            <w:tcW w:w="679" w:type="pct"/>
            <w:vAlign w:val="center"/>
          </w:tcPr>
          <w:p w14:paraId="2276E019">
            <w:pPr>
              <w:jc w:val="center"/>
              <w:rPr>
                <w:rFonts w:ascii="Arial Narrow" w:hAnsi="Arial Narrow" w:eastAsiaTheme="minorEastAsia"/>
                <w:szCs w:val="21"/>
              </w:rPr>
            </w:pPr>
            <w:r>
              <w:rPr>
                <w:rFonts w:ascii="Arial Narrow" w:hAnsi="Arial Narrow" w:eastAsiaTheme="minorEastAsia"/>
                <w:szCs w:val="21"/>
              </w:rPr>
              <w:t>房地产开发</w:t>
            </w:r>
          </w:p>
        </w:tc>
        <w:tc>
          <w:tcPr>
            <w:tcW w:w="425" w:type="pct"/>
            <w:vAlign w:val="center"/>
          </w:tcPr>
          <w:p w14:paraId="457FD375">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3E00811">
            <w:pPr>
              <w:jc w:val="center"/>
              <w:rPr>
                <w:rFonts w:ascii="Arial Narrow" w:hAnsi="Arial Narrow" w:eastAsiaTheme="minorEastAsia"/>
                <w:szCs w:val="21"/>
              </w:rPr>
            </w:pPr>
            <w:r>
              <w:rPr>
                <w:rFonts w:ascii="Arial Narrow" w:hAnsi="Arial Narrow" w:eastAsiaTheme="minorEastAsia"/>
                <w:szCs w:val="21"/>
              </w:rPr>
              <w:t>出资设立</w:t>
            </w:r>
          </w:p>
        </w:tc>
      </w:tr>
      <w:tr w14:paraId="7DEB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759CD2D3">
            <w:pPr>
              <w:jc w:val="both"/>
              <w:rPr>
                <w:rFonts w:ascii="Arial Narrow" w:hAnsi="Arial Narrow" w:eastAsiaTheme="minorEastAsia"/>
                <w:szCs w:val="21"/>
              </w:rPr>
            </w:pPr>
            <w:r>
              <w:rPr>
                <w:rFonts w:ascii="Arial Narrow" w:hAnsi="Arial Narrow" w:eastAsiaTheme="minorEastAsia"/>
                <w:szCs w:val="21"/>
              </w:rPr>
              <w:t>南京际华装备科技有限公司</w:t>
            </w:r>
          </w:p>
        </w:tc>
        <w:tc>
          <w:tcPr>
            <w:tcW w:w="788" w:type="pct"/>
            <w:vAlign w:val="center"/>
          </w:tcPr>
          <w:p w14:paraId="1C50D6E0">
            <w:pPr>
              <w:jc w:val="center"/>
              <w:rPr>
                <w:rFonts w:ascii="Arial Narrow" w:hAnsi="Arial Narrow" w:eastAsiaTheme="minorEastAsia"/>
                <w:szCs w:val="21"/>
              </w:rPr>
            </w:pPr>
            <w:r>
              <w:rPr>
                <w:rFonts w:ascii="Arial Narrow" w:hAnsi="Arial Narrow" w:eastAsiaTheme="minorEastAsia"/>
                <w:szCs w:val="21"/>
              </w:rPr>
              <w:t>江苏南京市</w:t>
            </w:r>
          </w:p>
        </w:tc>
        <w:tc>
          <w:tcPr>
            <w:tcW w:w="546" w:type="pct"/>
            <w:vAlign w:val="center"/>
          </w:tcPr>
          <w:p w14:paraId="64500A57">
            <w:pPr>
              <w:jc w:val="center"/>
              <w:rPr>
                <w:rFonts w:ascii="Arial Narrow" w:hAnsi="Arial Narrow" w:eastAsiaTheme="minorEastAsia"/>
                <w:szCs w:val="21"/>
              </w:rPr>
            </w:pPr>
            <w:r>
              <w:rPr>
                <w:rFonts w:ascii="Arial Narrow" w:hAnsi="Arial Narrow" w:eastAsiaTheme="minorEastAsia"/>
                <w:szCs w:val="21"/>
              </w:rPr>
              <w:t>5,000</w:t>
            </w:r>
          </w:p>
        </w:tc>
        <w:tc>
          <w:tcPr>
            <w:tcW w:w="708" w:type="pct"/>
            <w:vAlign w:val="center"/>
          </w:tcPr>
          <w:p w14:paraId="6DA9A9EF">
            <w:pPr>
              <w:jc w:val="center"/>
              <w:rPr>
                <w:rFonts w:ascii="Arial Narrow" w:hAnsi="Arial Narrow" w:eastAsiaTheme="minorEastAsia"/>
                <w:szCs w:val="21"/>
              </w:rPr>
            </w:pPr>
            <w:r>
              <w:rPr>
                <w:rFonts w:ascii="Arial Narrow" w:hAnsi="Arial Narrow" w:eastAsiaTheme="minorEastAsia"/>
                <w:szCs w:val="21"/>
              </w:rPr>
              <w:t>江苏南京市</w:t>
            </w:r>
          </w:p>
        </w:tc>
        <w:tc>
          <w:tcPr>
            <w:tcW w:w="679" w:type="pct"/>
            <w:vAlign w:val="center"/>
          </w:tcPr>
          <w:p w14:paraId="20E9191B">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2974EE36">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05E35973">
            <w:pPr>
              <w:jc w:val="center"/>
              <w:rPr>
                <w:rFonts w:ascii="Arial Narrow" w:hAnsi="Arial Narrow" w:eastAsiaTheme="minorEastAsia"/>
                <w:szCs w:val="21"/>
              </w:rPr>
            </w:pPr>
            <w:r>
              <w:rPr>
                <w:rFonts w:ascii="Arial Narrow" w:hAnsi="Arial Narrow" w:eastAsiaTheme="minorEastAsia"/>
                <w:szCs w:val="21"/>
              </w:rPr>
              <w:t>出资设立</w:t>
            </w:r>
          </w:p>
        </w:tc>
      </w:tr>
      <w:tr w14:paraId="7C39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449DCF2F">
            <w:pPr>
              <w:jc w:val="both"/>
              <w:rPr>
                <w:rFonts w:ascii="Arial Narrow" w:hAnsi="Arial Narrow" w:eastAsiaTheme="minorEastAsia"/>
                <w:szCs w:val="21"/>
              </w:rPr>
            </w:pPr>
            <w:r>
              <w:rPr>
                <w:rFonts w:ascii="Arial Narrow" w:hAnsi="Arial Narrow" w:eastAsiaTheme="minorEastAsia"/>
                <w:szCs w:val="21"/>
              </w:rPr>
              <w:t>新疆际华服装科技有限公司</w:t>
            </w:r>
          </w:p>
        </w:tc>
        <w:tc>
          <w:tcPr>
            <w:tcW w:w="788" w:type="pct"/>
            <w:vAlign w:val="center"/>
          </w:tcPr>
          <w:p w14:paraId="7522131D">
            <w:pPr>
              <w:jc w:val="center"/>
              <w:rPr>
                <w:rFonts w:ascii="Arial Narrow" w:hAnsi="Arial Narrow" w:eastAsiaTheme="minorEastAsia"/>
                <w:szCs w:val="21"/>
              </w:rPr>
            </w:pPr>
            <w:r>
              <w:rPr>
                <w:rFonts w:ascii="Arial Narrow" w:hAnsi="Arial Narrow" w:eastAsiaTheme="minorEastAsia"/>
                <w:szCs w:val="21"/>
              </w:rPr>
              <w:t>新疆阿克苏市</w:t>
            </w:r>
          </w:p>
        </w:tc>
        <w:tc>
          <w:tcPr>
            <w:tcW w:w="546" w:type="pct"/>
            <w:vAlign w:val="center"/>
          </w:tcPr>
          <w:p w14:paraId="374445F5">
            <w:pPr>
              <w:jc w:val="center"/>
              <w:rPr>
                <w:rFonts w:ascii="Arial Narrow" w:hAnsi="Arial Narrow" w:eastAsiaTheme="minorEastAsia"/>
                <w:szCs w:val="21"/>
              </w:rPr>
            </w:pPr>
            <w:r>
              <w:rPr>
                <w:rFonts w:ascii="Arial Narrow" w:hAnsi="Arial Narrow" w:eastAsiaTheme="minorEastAsia"/>
                <w:szCs w:val="21"/>
              </w:rPr>
              <w:t>2,200</w:t>
            </w:r>
          </w:p>
        </w:tc>
        <w:tc>
          <w:tcPr>
            <w:tcW w:w="708" w:type="pct"/>
            <w:vAlign w:val="center"/>
          </w:tcPr>
          <w:p w14:paraId="513C9CBF">
            <w:pPr>
              <w:jc w:val="center"/>
              <w:rPr>
                <w:rFonts w:ascii="Arial Narrow" w:hAnsi="Arial Narrow" w:eastAsiaTheme="minorEastAsia"/>
                <w:szCs w:val="21"/>
              </w:rPr>
            </w:pPr>
            <w:r>
              <w:rPr>
                <w:rFonts w:ascii="Arial Narrow" w:hAnsi="Arial Narrow" w:eastAsiaTheme="minorEastAsia"/>
                <w:szCs w:val="21"/>
              </w:rPr>
              <w:t>新疆阿克苏市</w:t>
            </w:r>
          </w:p>
        </w:tc>
        <w:tc>
          <w:tcPr>
            <w:tcW w:w="679" w:type="pct"/>
            <w:vAlign w:val="center"/>
          </w:tcPr>
          <w:p w14:paraId="1D5635F0">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0F5FF6E8">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6F8FD707">
            <w:pPr>
              <w:jc w:val="center"/>
              <w:rPr>
                <w:rFonts w:ascii="Arial Narrow" w:hAnsi="Arial Narrow" w:eastAsiaTheme="minorEastAsia"/>
                <w:szCs w:val="21"/>
              </w:rPr>
            </w:pPr>
            <w:r>
              <w:rPr>
                <w:rFonts w:ascii="Arial Narrow" w:hAnsi="Arial Narrow" w:eastAsiaTheme="minorEastAsia"/>
                <w:szCs w:val="21"/>
              </w:rPr>
              <w:t>出资设立</w:t>
            </w:r>
          </w:p>
        </w:tc>
      </w:tr>
      <w:tr w14:paraId="68D7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6FEA469">
            <w:pPr>
              <w:jc w:val="both"/>
              <w:rPr>
                <w:rFonts w:ascii="Arial Narrow" w:hAnsi="Arial Narrow" w:eastAsiaTheme="minorEastAsia"/>
                <w:szCs w:val="21"/>
              </w:rPr>
            </w:pPr>
            <w:r>
              <w:rPr>
                <w:rFonts w:ascii="Arial Narrow" w:hAnsi="Arial Narrow" w:eastAsiaTheme="minorEastAsia"/>
                <w:szCs w:val="21"/>
              </w:rPr>
              <w:t>新疆际华科技产业发展有限公司</w:t>
            </w:r>
          </w:p>
        </w:tc>
        <w:tc>
          <w:tcPr>
            <w:tcW w:w="788" w:type="pct"/>
            <w:vAlign w:val="center"/>
          </w:tcPr>
          <w:p w14:paraId="61F62BC8">
            <w:pPr>
              <w:jc w:val="center"/>
              <w:rPr>
                <w:rFonts w:ascii="Arial Narrow" w:hAnsi="Arial Narrow" w:eastAsiaTheme="minorEastAsia"/>
                <w:szCs w:val="21"/>
              </w:rPr>
            </w:pPr>
            <w:r>
              <w:rPr>
                <w:rFonts w:ascii="Arial Narrow" w:hAnsi="Arial Narrow" w:eastAsiaTheme="minorEastAsia"/>
                <w:szCs w:val="21"/>
              </w:rPr>
              <w:t>新疆和田市</w:t>
            </w:r>
          </w:p>
        </w:tc>
        <w:tc>
          <w:tcPr>
            <w:tcW w:w="546" w:type="pct"/>
            <w:vAlign w:val="center"/>
          </w:tcPr>
          <w:p w14:paraId="3BFA771E">
            <w:pPr>
              <w:jc w:val="center"/>
              <w:rPr>
                <w:rFonts w:ascii="Arial Narrow" w:hAnsi="Arial Narrow" w:eastAsiaTheme="minorEastAsia"/>
                <w:szCs w:val="21"/>
              </w:rPr>
            </w:pPr>
            <w:r>
              <w:rPr>
                <w:rFonts w:ascii="Arial Narrow" w:hAnsi="Arial Narrow" w:eastAsiaTheme="minorEastAsia"/>
                <w:szCs w:val="21"/>
              </w:rPr>
              <w:t>1,000</w:t>
            </w:r>
          </w:p>
        </w:tc>
        <w:tc>
          <w:tcPr>
            <w:tcW w:w="708" w:type="pct"/>
            <w:vAlign w:val="center"/>
          </w:tcPr>
          <w:p w14:paraId="12B87D1D">
            <w:pPr>
              <w:jc w:val="center"/>
              <w:rPr>
                <w:rFonts w:ascii="Arial Narrow" w:hAnsi="Arial Narrow" w:eastAsiaTheme="minorEastAsia"/>
                <w:szCs w:val="21"/>
              </w:rPr>
            </w:pPr>
            <w:r>
              <w:rPr>
                <w:rFonts w:ascii="Arial Narrow" w:hAnsi="Arial Narrow" w:eastAsiaTheme="minorEastAsia"/>
                <w:szCs w:val="21"/>
              </w:rPr>
              <w:t>新疆和田市</w:t>
            </w:r>
          </w:p>
        </w:tc>
        <w:tc>
          <w:tcPr>
            <w:tcW w:w="679" w:type="pct"/>
            <w:vAlign w:val="center"/>
          </w:tcPr>
          <w:p w14:paraId="4AA47263">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21C52A4A">
            <w:pPr>
              <w:jc w:val="center"/>
              <w:rPr>
                <w:rFonts w:ascii="Arial Narrow" w:hAnsi="Arial Narrow" w:eastAsiaTheme="minorEastAsia"/>
                <w:szCs w:val="21"/>
              </w:rPr>
            </w:pPr>
            <w:r>
              <w:rPr>
                <w:rFonts w:ascii="Arial Narrow" w:hAnsi="Arial Narrow" w:eastAsiaTheme="minorEastAsia"/>
                <w:szCs w:val="21"/>
              </w:rPr>
              <w:t>51</w:t>
            </w:r>
          </w:p>
        </w:tc>
        <w:tc>
          <w:tcPr>
            <w:tcW w:w="745" w:type="pct"/>
            <w:vAlign w:val="center"/>
          </w:tcPr>
          <w:p w14:paraId="23F4290F">
            <w:pPr>
              <w:jc w:val="center"/>
              <w:rPr>
                <w:rFonts w:ascii="Arial Narrow" w:hAnsi="Arial Narrow" w:eastAsiaTheme="minorEastAsia"/>
                <w:szCs w:val="21"/>
              </w:rPr>
            </w:pPr>
            <w:r>
              <w:rPr>
                <w:rFonts w:ascii="Arial Narrow" w:hAnsi="Arial Narrow" w:eastAsiaTheme="minorEastAsia"/>
                <w:szCs w:val="21"/>
              </w:rPr>
              <w:t>出资设立</w:t>
            </w:r>
          </w:p>
        </w:tc>
      </w:tr>
      <w:tr w14:paraId="03FC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D8E993C">
            <w:pPr>
              <w:jc w:val="both"/>
              <w:rPr>
                <w:rFonts w:ascii="Arial Narrow" w:hAnsi="Arial Narrow" w:eastAsiaTheme="minorEastAsia"/>
                <w:szCs w:val="21"/>
              </w:rPr>
            </w:pPr>
            <w:r>
              <w:rPr>
                <w:rFonts w:ascii="Arial Narrow" w:hAnsi="Arial Narrow" w:eastAsiaTheme="minorEastAsia"/>
                <w:szCs w:val="21"/>
              </w:rPr>
              <w:t>际华置业（兰州）有限公司</w:t>
            </w:r>
          </w:p>
        </w:tc>
        <w:tc>
          <w:tcPr>
            <w:tcW w:w="788" w:type="pct"/>
            <w:vAlign w:val="center"/>
          </w:tcPr>
          <w:p w14:paraId="2299570F">
            <w:pPr>
              <w:jc w:val="center"/>
              <w:rPr>
                <w:rFonts w:ascii="Arial Narrow" w:hAnsi="Arial Narrow" w:eastAsiaTheme="minorEastAsia"/>
                <w:szCs w:val="21"/>
              </w:rPr>
            </w:pPr>
            <w:r>
              <w:rPr>
                <w:rFonts w:ascii="Arial Narrow" w:hAnsi="Arial Narrow" w:eastAsiaTheme="minorEastAsia"/>
                <w:szCs w:val="21"/>
              </w:rPr>
              <w:t>甘肃省兰州市</w:t>
            </w:r>
          </w:p>
        </w:tc>
        <w:tc>
          <w:tcPr>
            <w:tcW w:w="546" w:type="pct"/>
            <w:vAlign w:val="center"/>
          </w:tcPr>
          <w:p w14:paraId="6FADA021">
            <w:pPr>
              <w:jc w:val="center"/>
              <w:rPr>
                <w:rFonts w:ascii="Arial Narrow" w:hAnsi="Arial Narrow" w:eastAsiaTheme="minorEastAsia"/>
                <w:szCs w:val="21"/>
              </w:rPr>
            </w:pPr>
            <w:r>
              <w:rPr>
                <w:rFonts w:ascii="Arial Narrow" w:hAnsi="Arial Narrow" w:eastAsiaTheme="minorEastAsia"/>
                <w:szCs w:val="21"/>
              </w:rPr>
              <w:t>800</w:t>
            </w:r>
          </w:p>
        </w:tc>
        <w:tc>
          <w:tcPr>
            <w:tcW w:w="708" w:type="pct"/>
            <w:vAlign w:val="center"/>
          </w:tcPr>
          <w:p w14:paraId="72E50F57">
            <w:pPr>
              <w:jc w:val="center"/>
              <w:rPr>
                <w:rFonts w:ascii="Arial Narrow" w:hAnsi="Arial Narrow" w:eastAsiaTheme="minorEastAsia"/>
                <w:szCs w:val="21"/>
              </w:rPr>
            </w:pPr>
            <w:r>
              <w:rPr>
                <w:rFonts w:ascii="Arial Narrow" w:hAnsi="Arial Narrow" w:eastAsiaTheme="minorEastAsia"/>
                <w:szCs w:val="21"/>
              </w:rPr>
              <w:t>甘肃省兰州市</w:t>
            </w:r>
          </w:p>
        </w:tc>
        <w:tc>
          <w:tcPr>
            <w:tcW w:w="679" w:type="pct"/>
            <w:vAlign w:val="center"/>
          </w:tcPr>
          <w:p w14:paraId="588A7876">
            <w:pPr>
              <w:jc w:val="center"/>
              <w:rPr>
                <w:rFonts w:ascii="Arial Narrow" w:hAnsi="Arial Narrow" w:eastAsiaTheme="minorEastAsia"/>
                <w:szCs w:val="21"/>
              </w:rPr>
            </w:pPr>
            <w:r>
              <w:rPr>
                <w:rFonts w:ascii="Arial Narrow" w:hAnsi="Arial Narrow" w:eastAsiaTheme="minorEastAsia"/>
                <w:szCs w:val="21"/>
              </w:rPr>
              <w:t>房地产开发</w:t>
            </w:r>
          </w:p>
        </w:tc>
        <w:tc>
          <w:tcPr>
            <w:tcW w:w="425" w:type="pct"/>
            <w:vAlign w:val="center"/>
          </w:tcPr>
          <w:p w14:paraId="533C2A72">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4635409D">
            <w:pPr>
              <w:jc w:val="center"/>
              <w:rPr>
                <w:rFonts w:ascii="Arial Narrow" w:hAnsi="Arial Narrow" w:eastAsiaTheme="minorEastAsia"/>
                <w:szCs w:val="21"/>
              </w:rPr>
            </w:pPr>
            <w:r>
              <w:rPr>
                <w:rFonts w:ascii="Arial Narrow" w:hAnsi="Arial Narrow" w:eastAsiaTheme="minorEastAsia"/>
                <w:szCs w:val="21"/>
              </w:rPr>
              <w:t>出资设立</w:t>
            </w:r>
          </w:p>
        </w:tc>
      </w:tr>
      <w:tr w14:paraId="49E3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0DD70180">
            <w:pPr>
              <w:jc w:val="both"/>
              <w:rPr>
                <w:rFonts w:ascii="Arial Narrow" w:hAnsi="Arial Narrow" w:eastAsiaTheme="minorEastAsia"/>
                <w:szCs w:val="21"/>
              </w:rPr>
            </w:pPr>
            <w:r>
              <w:rPr>
                <w:rFonts w:ascii="Arial Narrow" w:hAnsi="Arial Narrow" w:eastAsiaTheme="minorEastAsia"/>
                <w:szCs w:val="21"/>
              </w:rPr>
              <w:t>新疆华锦生态纺织印染有限责任公司</w:t>
            </w:r>
          </w:p>
        </w:tc>
        <w:tc>
          <w:tcPr>
            <w:tcW w:w="788" w:type="pct"/>
            <w:vAlign w:val="center"/>
          </w:tcPr>
          <w:p w14:paraId="0C613371">
            <w:pPr>
              <w:jc w:val="center"/>
              <w:rPr>
                <w:rFonts w:ascii="Arial Narrow" w:hAnsi="Arial Narrow" w:eastAsiaTheme="minorEastAsia"/>
                <w:szCs w:val="21"/>
              </w:rPr>
            </w:pPr>
            <w:r>
              <w:rPr>
                <w:rFonts w:ascii="Arial Narrow" w:hAnsi="Arial Narrow" w:eastAsiaTheme="minorEastAsia"/>
                <w:szCs w:val="21"/>
              </w:rPr>
              <w:t>新疆库尔勒市</w:t>
            </w:r>
          </w:p>
        </w:tc>
        <w:tc>
          <w:tcPr>
            <w:tcW w:w="546" w:type="pct"/>
            <w:vAlign w:val="center"/>
          </w:tcPr>
          <w:p w14:paraId="07FF2269">
            <w:pPr>
              <w:jc w:val="center"/>
              <w:rPr>
                <w:rFonts w:ascii="Arial Narrow" w:hAnsi="Arial Narrow" w:eastAsiaTheme="minorEastAsia"/>
                <w:szCs w:val="21"/>
              </w:rPr>
            </w:pPr>
            <w:r>
              <w:rPr>
                <w:rFonts w:ascii="Arial Narrow" w:hAnsi="Arial Narrow" w:eastAsiaTheme="minorEastAsia"/>
                <w:szCs w:val="21"/>
              </w:rPr>
              <w:t>16,500</w:t>
            </w:r>
          </w:p>
        </w:tc>
        <w:tc>
          <w:tcPr>
            <w:tcW w:w="708" w:type="pct"/>
            <w:vAlign w:val="center"/>
          </w:tcPr>
          <w:p w14:paraId="61D7DE00">
            <w:pPr>
              <w:jc w:val="center"/>
              <w:rPr>
                <w:rFonts w:ascii="Arial Narrow" w:hAnsi="Arial Narrow" w:eastAsiaTheme="minorEastAsia"/>
                <w:szCs w:val="21"/>
              </w:rPr>
            </w:pPr>
            <w:r>
              <w:rPr>
                <w:rFonts w:ascii="Arial Narrow" w:hAnsi="Arial Narrow" w:eastAsiaTheme="minorEastAsia"/>
                <w:szCs w:val="21"/>
              </w:rPr>
              <w:t>新疆库尔勒市</w:t>
            </w:r>
          </w:p>
        </w:tc>
        <w:tc>
          <w:tcPr>
            <w:tcW w:w="679" w:type="pct"/>
            <w:vAlign w:val="center"/>
          </w:tcPr>
          <w:p w14:paraId="316C8742">
            <w:pPr>
              <w:jc w:val="center"/>
              <w:rPr>
                <w:rFonts w:ascii="Arial Narrow" w:hAnsi="Arial Narrow" w:eastAsiaTheme="minorEastAsia"/>
                <w:szCs w:val="21"/>
              </w:rPr>
            </w:pPr>
            <w:r>
              <w:rPr>
                <w:rFonts w:ascii="Arial Narrow" w:hAnsi="Arial Narrow" w:eastAsiaTheme="minorEastAsia"/>
                <w:szCs w:val="21"/>
              </w:rPr>
              <w:t>制造业</w:t>
            </w:r>
          </w:p>
        </w:tc>
        <w:tc>
          <w:tcPr>
            <w:tcW w:w="425" w:type="pct"/>
            <w:vAlign w:val="center"/>
          </w:tcPr>
          <w:p w14:paraId="2B8DBFFA">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780A9ADB">
            <w:pPr>
              <w:jc w:val="center"/>
              <w:rPr>
                <w:rFonts w:ascii="Arial Narrow" w:hAnsi="Arial Narrow" w:eastAsiaTheme="minorEastAsia"/>
                <w:szCs w:val="21"/>
              </w:rPr>
            </w:pPr>
            <w:r>
              <w:rPr>
                <w:rFonts w:ascii="Arial Narrow" w:hAnsi="Arial Narrow" w:eastAsiaTheme="minorEastAsia"/>
                <w:szCs w:val="21"/>
              </w:rPr>
              <w:t>出资设立</w:t>
            </w:r>
          </w:p>
        </w:tc>
      </w:tr>
      <w:tr w14:paraId="2BEB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vAlign w:val="center"/>
          </w:tcPr>
          <w:p w14:paraId="3FEB77D5">
            <w:pPr>
              <w:jc w:val="both"/>
              <w:rPr>
                <w:rFonts w:ascii="Arial Narrow" w:hAnsi="Arial Narrow" w:eastAsiaTheme="minorEastAsia"/>
                <w:szCs w:val="21"/>
              </w:rPr>
            </w:pPr>
            <w:r>
              <w:rPr>
                <w:rFonts w:ascii="Arial Narrow" w:hAnsi="Arial Narrow" w:eastAsiaTheme="minorEastAsia"/>
                <w:szCs w:val="21"/>
              </w:rPr>
              <w:t>天津兴华科技产业有限公司</w:t>
            </w:r>
          </w:p>
        </w:tc>
        <w:tc>
          <w:tcPr>
            <w:tcW w:w="788" w:type="pct"/>
            <w:vAlign w:val="center"/>
          </w:tcPr>
          <w:p w14:paraId="4760F2A8">
            <w:pPr>
              <w:jc w:val="center"/>
              <w:rPr>
                <w:rFonts w:ascii="Arial Narrow" w:hAnsi="Arial Narrow" w:eastAsiaTheme="minorEastAsia"/>
                <w:szCs w:val="21"/>
              </w:rPr>
            </w:pPr>
            <w:r>
              <w:rPr>
                <w:rFonts w:ascii="Arial Narrow" w:hAnsi="Arial Narrow" w:eastAsiaTheme="minorEastAsia"/>
                <w:szCs w:val="21"/>
              </w:rPr>
              <w:t>天津市西青区</w:t>
            </w:r>
          </w:p>
        </w:tc>
        <w:tc>
          <w:tcPr>
            <w:tcW w:w="546" w:type="pct"/>
            <w:vAlign w:val="center"/>
          </w:tcPr>
          <w:p w14:paraId="6D49ED6C">
            <w:pPr>
              <w:jc w:val="center"/>
              <w:rPr>
                <w:rFonts w:ascii="Arial Narrow" w:hAnsi="Arial Narrow" w:eastAsiaTheme="minorEastAsia"/>
                <w:szCs w:val="21"/>
              </w:rPr>
            </w:pPr>
            <w:r>
              <w:rPr>
                <w:rFonts w:ascii="Arial Narrow" w:hAnsi="Arial Narrow" w:eastAsiaTheme="minorEastAsia"/>
                <w:szCs w:val="21"/>
              </w:rPr>
              <w:t>100</w:t>
            </w:r>
          </w:p>
        </w:tc>
        <w:tc>
          <w:tcPr>
            <w:tcW w:w="708" w:type="pct"/>
            <w:vAlign w:val="center"/>
          </w:tcPr>
          <w:p w14:paraId="482632A2">
            <w:pPr>
              <w:jc w:val="center"/>
              <w:rPr>
                <w:rFonts w:ascii="Arial Narrow" w:hAnsi="Arial Narrow" w:eastAsiaTheme="minorEastAsia"/>
                <w:szCs w:val="21"/>
              </w:rPr>
            </w:pPr>
            <w:r>
              <w:rPr>
                <w:rFonts w:ascii="Arial Narrow" w:hAnsi="Arial Narrow" w:eastAsiaTheme="minorEastAsia"/>
                <w:szCs w:val="21"/>
              </w:rPr>
              <w:t>天津市西青区</w:t>
            </w:r>
          </w:p>
        </w:tc>
        <w:tc>
          <w:tcPr>
            <w:tcW w:w="679" w:type="pct"/>
            <w:vAlign w:val="center"/>
          </w:tcPr>
          <w:p w14:paraId="7C7147FD">
            <w:pPr>
              <w:jc w:val="center"/>
              <w:rPr>
                <w:rFonts w:ascii="Arial Narrow" w:hAnsi="Arial Narrow" w:eastAsiaTheme="minorEastAsia"/>
                <w:szCs w:val="21"/>
              </w:rPr>
            </w:pPr>
            <w:r>
              <w:rPr>
                <w:rFonts w:ascii="Arial Narrow" w:hAnsi="Arial Narrow" w:eastAsiaTheme="minorEastAsia"/>
                <w:szCs w:val="21"/>
              </w:rPr>
              <w:t>科技推广和应用服务业</w:t>
            </w:r>
          </w:p>
        </w:tc>
        <w:tc>
          <w:tcPr>
            <w:tcW w:w="425" w:type="pct"/>
            <w:vAlign w:val="center"/>
          </w:tcPr>
          <w:p w14:paraId="20E3BEA1">
            <w:pPr>
              <w:jc w:val="center"/>
              <w:rPr>
                <w:rFonts w:ascii="Arial Narrow" w:hAnsi="Arial Narrow" w:eastAsiaTheme="minorEastAsia"/>
                <w:szCs w:val="21"/>
              </w:rPr>
            </w:pPr>
            <w:r>
              <w:rPr>
                <w:rFonts w:ascii="Arial Narrow" w:hAnsi="Arial Narrow" w:eastAsiaTheme="minorEastAsia"/>
                <w:szCs w:val="21"/>
              </w:rPr>
              <w:t>100</w:t>
            </w:r>
          </w:p>
        </w:tc>
        <w:tc>
          <w:tcPr>
            <w:tcW w:w="745" w:type="pct"/>
            <w:vAlign w:val="center"/>
          </w:tcPr>
          <w:p w14:paraId="5C14FAEE">
            <w:pPr>
              <w:jc w:val="center"/>
              <w:rPr>
                <w:rFonts w:ascii="Arial Narrow" w:hAnsi="Arial Narrow" w:eastAsiaTheme="minorEastAsia"/>
                <w:szCs w:val="21"/>
              </w:rPr>
            </w:pPr>
            <w:r>
              <w:rPr>
                <w:rFonts w:ascii="Arial Narrow" w:hAnsi="Arial Narrow" w:eastAsiaTheme="minorEastAsia"/>
                <w:szCs w:val="21"/>
              </w:rPr>
              <w:t>出资设立</w:t>
            </w:r>
          </w:p>
        </w:tc>
      </w:tr>
    </w:tbl>
    <w:p w14:paraId="026E0AB4">
      <w:pPr>
        <w:rPr>
          <w:rFonts w:hint="eastAsia"/>
        </w:rPr>
      </w:pPr>
    </w:p>
    <w:p w14:paraId="78944E3C">
      <w:pPr>
        <w:rPr>
          <w:rFonts w:hint="eastAsia" w:cs="Arial"/>
          <w:szCs w:val="21"/>
        </w:rPr>
      </w:pPr>
      <w:r>
        <w:rPr>
          <w:rFonts w:hint="eastAsia" w:cs="Arial"/>
          <w:szCs w:val="21"/>
        </w:rPr>
        <w:t>在子公司的持股比例不同于表决权比例的说明：</w:t>
      </w:r>
    </w:p>
    <w:sdt>
      <w:sdtPr>
        <w:rPr>
          <w:rFonts w:cs="Arial"/>
          <w:szCs w:val="21"/>
        </w:rPr>
        <w:alias w:val="在子公司的持股比例不同于表决权比例的说明"/>
        <w:tag w:val="_GBC_b7be591163dc47e4b00f98006e6fbb0b"/>
        <w:id w:val="944663862"/>
        <w:placeholder>
          <w:docPart w:val="GBC22222222222222222222222222222"/>
        </w:placeholder>
      </w:sdtPr>
      <w:sdtEndPr>
        <w:rPr>
          <w:rFonts w:cs="Arial"/>
          <w:szCs w:val="21"/>
        </w:rPr>
      </w:sdtEndPr>
      <w:sdtContent>
        <w:p w14:paraId="6C8A5066">
          <w:pPr>
            <w:ind w:firstLine="420" w:firstLineChars="200"/>
            <w:rPr>
              <w:rFonts w:hint="eastAsia" w:cs="Arial"/>
              <w:szCs w:val="21"/>
            </w:rPr>
          </w:pPr>
          <w:r>
            <w:rPr>
              <w:rFonts w:hint="eastAsia" w:cs="Arial"/>
              <w:szCs w:val="21"/>
            </w:rPr>
            <w:t>南京际华国润过滤技术有限公司章程约定：公司设董事会，成员为5人，南京际华三五二一环保科技有限公司委派3名，山东怀信环境科技有限公司委派1名，璟坤过滤技术（上海）有限公司委派1名。董事会会议的表决权实行一人一票，董事会作出决议，必须过半数董事通过。</w:t>
          </w:r>
        </w:p>
      </w:sdtContent>
    </w:sdt>
    <w:p w14:paraId="113B5BF5">
      <w:pPr>
        <w:rPr>
          <w:rFonts w:hint="eastAsia" w:cs="Arial"/>
          <w:szCs w:val="21"/>
        </w:rPr>
      </w:pPr>
    </w:p>
    <w:p w14:paraId="2D438612">
      <w:pPr>
        <w:rPr>
          <w:rFonts w:hint="eastAsia" w:cs="Arial"/>
          <w:szCs w:val="21"/>
        </w:rPr>
      </w:pPr>
      <w:r>
        <w:rPr>
          <w:rFonts w:hint="eastAsia" w:cs="Arial"/>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118531111"/>
        <w:placeholder>
          <w:docPart w:val="GBC22222222222222222222222222222"/>
        </w:placeholder>
      </w:sdtPr>
      <w:sdtEndPr>
        <w:rPr>
          <w:rFonts w:cs="Arial"/>
          <w:szCs w:val="21"/>
        </w:rPr>
      </w:sdtEndPr>
      <w:sdtContent>
        <w:p w14:paraId="127B1FA2">
          <w:pPr>
            <w:ind w:firstLine="420" w:firstLineChars="200"/>
            <w:rPr>
              <w:rFonts w:hint="eastAsia" w:cs="Arial"/>
              <w:szCs w:val="21"/>
            </w:rPr>
          </w:pPr>
          <w:r>
            <w:rPr>
              <w:rFonts w:hint="eastAsia" w:cs="Arial"/>
              <w:szCs w:val="21"/>
            </w:rPr>
            <w:t>2012年5月，本公司与母公司新兴际华集团有限公司共同对新兴际华国际贸易有限公司（以下简称“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p>
      </w:sdtContent>
    </w:sdt>
    <w:p w14:paraId="18793B15">
      <w:pPr>
        <w:rPr>
          <w:rFonts w:hint="eastAsia" w:cs="Arial"/>
          <w:szCs w:val="21"/>
        </w:rPr>
      </w:pPr>
    </w:p>
    <w:p w14:paraId="7DDC5510">
      <w:pPr>
        <w:rPr>
          <w:rFonts w:hint="eastAsia" w:cs="Arial"/>
          <w:szCs w:val="21"/>
        </w:rPr>
      </w:pPr>
      <w:r>
        <w:rPr>
          <w:rFonts w:hint="eastAsia" w:cs="Arial"/>
          <w:szCs w:val="21"/>
        </w:rPr>
        <w:t>对于纳入合并范围的重要的结构化主体，控制的依据：</w:t>
      </w:r>
    </w:p>
    <w:sdt>
      <w:sdtPr>
        <w:rPr>
          <w:rFonts w:hint="eastAsia" w:cs="Arial"/>
          <w:szCs w:val="21"/>
        </w:rPr>
        <w:alias w:val="对于纳入合并范围的重要的结构化主体，控制的依据"/>
        <w:tag w:val="_GBC_254d83ec47cd4003902f2d0f6017d432"/>
        <w:id w:val="-476837669"/>
        <w:placeholder>
          <w:docPart w:val="GBC22222222222222222222222222222"/>
        </w:placeholder>
      </w:sdtPr>
      <w:sdtEndPr>
        <w:rPr>
          <w:rFonts w:hint="eastAsia" w:cs="Arial"/>
          <w:szCs w:val="21"/>
        </w:rPr>
      </w:sdtEndPr>
      <w:sdtContent>
        <w:p w14:paraId="08B84F1C">
          <w:pPr>
            <w:rPr>
              <w:rFonts w:hint="eastAsia" w:cs="Arial"/>
              <w:szCs w:val="21"/>
            </w:rPr>
          </w:pPr>
          <w:r>
            <w:rPr>
              <w:rFonts w:hint="eastAsia" w:cs="Arial"/>
              <w:szCs w:val="21"/>
            </w:rPr>
            <w:t>无</w:t>
          </w:r>
        </w:p>
      </w:sdtContent>
    </w:sdt>
    <w:p w14:paraId="21BFA83C">
      <w:pPr>
        <w:rPr>
          <w:rFonts w:hint="eastAsia" w:cs="Arial"/>
          <w:szCs w:val="21"/>
        </w:rPr>
      </w:pPr>
    </w:p>
    <w:p w14:paraId="50A5CF13">
      <w:pPr>
        <w:rPr>
          <w:rFonts w:hint="eastAsia" w:cs="Arial"/>
          <w:szCs w:val="21"/>
        </w:rPr>
      </w:pPr>
      <w:r>
        <w:rPr>
          <w:rFonts w:hint="eastAsia" w:cs="Arial"/>
          <w:szCs w:val="21"/>
        </w:rPr>
        <w:t>确定公司是代理人还是委托人的依据：</w:t>
      </w:r>
    </w:p>
    <w:sdt>
      <w:sdtPr>
        <w:rPr>
          <w:rFonts w:hint="eastAsia" w:cs="Arial"/>
          <w:szCs w:val="21"/>
        </w:rPr>
        <w:alias w:val="确定公司是代理人还是委托人的依据"/>
        <w:tag w:val="_GBC_f515cb0c8a654271b5991b0accabe800"/>
        <w:id w:val="367732218"/>
        <w:placeholder>
          <w:docPart w:val="GBC22222222222222222222222222222"/>
        </w:placeholder>
      </w:sdtPr>
      <w:sdtEndPr>
        <w:rPr>
          <w:rFonts w:hint="eastAsia" w:cs="Arial"/>
          <w:szCs w:val="21"/>
        </w:rPr>
      </w:sdtEndPr>
      <w:sdtContent>
        <w:p w14:paraId="0405FE79">
          <w:pPr>
            <w:ind w:firstLine="420" w:firstLineChars="200"/>
            <w:rPr>
              <w:rFonts w:hint="eastAsia" w:cs="Arial"/>
              <w:szCs w:val="21"/>
            </w:rPr>
          </w:pPr>
          <w:r>
            <w:rPr>
              <w:rFonts w:hint="eastAsia" w:cs="Arial"/>
              <w:szCs w:val="21"/>
            </w:rPr>
            <w:t>2012 年5月，本公司与母公司新兴际华集团有限公司共同对新兴际华国际贸易有限公司（以下简称“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p>
      </w:sdtContent>
    </w:sdt>
    <w:p w14:paraId="75001104">
      <w:pPr>
        <w:rPr>
          <w:rFonts w:hint="eastAsia" w:cs="Arial"/>
          <w:szCs w:val="21"/>
        </w:rPr>
      </w:pPr>
    </w:p>
    <w:p w14:paraId="1E99B4FA">
      <w:pPr>
        <w:rPr>
          <w:rFonts w:hint="eastAsia" w:cs="Arial"/>
          <w:szCs w:val="21"/>
        </w:rPr>
      </w:pPr>
      <w:r>
        <w:rPr>
          <w:rFonts w:hint="eastAsia" w:cs="Arial"/>
          <w:szCs w:val="21"/>
        </w:rPr>
        <w:t>其他说明：</w:t>
      </w:r>
    </w:p>
    <w:sdt>
      <w:sdtPr>
        <w:rPr>
          <w:rFonts w:cs="Arial"/>
          <w:szCs w:val="21"/>
        </w:rPr>
        <w:alias w:val="企业集团的构成的其他需要说明的事项"/>
        <w:tag w:val="_GBC_7dc3099f920f4546b2a983c0eb4c2ce0"/>
        <w:id w:val="997618666"/>
        <w:placeholder>
          <w:docPart w:val="GBC22222222222222222222222222222"/>
        </w:placeholder>
      </w:sdtPr>
      <w:sdtEndPr>
        <w:rPr>
          <w:rFonts w:cs="Arial"/>
          <w:szCs w:val="21"/>
        </w:rPr>
      </w:sdtEndPr>
      <w:sdtContent>
        <w:p w14:paraId="09C08B4D">
          <w:pPr>
            <w:rPr>
              <w:rFonts w:hint="eastAsia" w:cstheme="minorBidi"/>
              <w:szCs w:val="21"/>
            </w:rPr>
          </w:pPr>
          <w:r>
            <w:rPr>
              <w:rFonts w:hint="eastAsia" w:cs="Arial"/>
              <w:szCs w:val="21"/>
            </w:rPr>
            <w:t>无</w:t>
          </w:r>
        </w:p>
      </w:sdtContent>
    </w:sdt>
    <w:p w14:paraId="3AACD074">
      <w:pPr>
        <w:rPr>
          <w:rFonts w:hint="eastAsia" w:cs="Arial"/>
          <w:szCs w:val="21"/>
        </w:rPr>
      </w:pPr>
    </w:p>
    <w:p w14:paraId="12C5D6EC">
      <w:pPr>
        <w:pStyle w:val="71"/>
        <w:numPr>
          <w:ilvl w:val="3"/>
          <w:numId w:val="156"/>
        </w:numPr>
        <w:ind w:left="426" w:hanging="426" w:hangingChars="202"/>
        <w:rPr>
          <w:rFonts w:hint="eastAsia"/>
        </w:rPr>
      </w:pPr>
      <w:r>
        <w:rPr>
          <w:rFonts w:hint="eastAsia"/>
        </w:rPr>
        <w:t>重要的非全资子公司</w:t>
      </w:r>
    </w:p>
    <w:sdt>
      <w:sdtPr>
        <w:alias w:val="是否适用：重要的非全资子公司[双击切换]"/>
        <w:tag w:val="_GBC_51a84bfe201248b8bd5edb53b6cd6283"/>
        <w:id w:val="1080952343"/>
        <w:placeholder>
          <w:docPart w:val="GBC22222222222222222222222222222"/>
        </w:placeholder>
      </w:sdtPr>
      <w:sdtContent>
        <w:p w14:paraId="4AD2DAF9">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62767FD">
      <w:pPr>
        <w:jc w:val="right"/>
        <w:rPr>
          <w:rFonts w:hint="eastAsia"/>
        </w:rPr>
      </w:pPr>
      <w:r>
        <w:rPr>
          <w:rFonts w:hint="eastAsia"/>
        </w:rPr>
        <w:t>单位：</w:t>
      </w:r>
      <w:sdt>
        <w:sdtPr>
          <w:rPr>
            <w:rFonts w:hint="eastAsia"/>
          </w:rPr>
          <w:alias w:val="单位：财务附注：重要的非全资子公司"/>
          <w:tag w:val="_GBC_e5936e9952394755bacf71d437afcd44"/>
          <w:id w:val="-66285778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8886180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1135"/>
        <w:gridCol w:w="1560"/>
        <w:gridCol w:w="1600"/>
        <w:gridCol w:w="1698"/>
      </w:tblGrid>
      <w:tr w14:paraId="58CF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ascii="Arial Narrow" w:hAnsi="Arial Narrow" w:eastAsiaTheme="minorEastAsia"/>
              <w:szCs w:val="21"/>
            </w:rPr>
            <w:tag w:val="_PLD_5428bb469efb45b09d2152fb27b33f8a"/>
            <w:id w:val="1867175530"/>
          </w:sdtPr>
          <w:sdtEndPr>
            <w:rPr>
              <w:rFonts w:ascii="Arial Narrow" w:hAnsi="Arial Narrow" w:eastAsiaTheme="minorEastAsia"/>
              <w:szCs w:val="21"/>
            </w:rPr>
          </w:sdtEndPr>
          <w:sdtContent>
            <w:tc>
              <w:tcPr>
                <w:tcW w:w="1604" w:type="pct"/>
                <w:shd w:val="clear" w:color="auto" w:fill="auto"/>
                <w:vAlign w:val="center"/>
              </w:tcPr>
              <w:p w14:paraId="00CD0D1C">
                <w:pPr>
                  <w:jc w:val="center"/>
                  <w:rPr>
                    <w:rFonts w:ascii="Arial Narrow" w:hAnsi="Arial Narrow" w:cs="Arial" w:eastAsiaTheme="minorEastAsia"/>
                    <w:szCs w:val="21"/>
                  </w:rPr>
                </w:pPr>
                <w:r>
                  <w:rPr>
                    <w:rFonts w:ascii="Arial Narrow" w:hAnsi="Arial Narrow" w:cs="Arial" w:eastAsiaTheme="minorEastAsia"/>
                    <w:szCs w:val="21"/>
                    <w:lang w:val="en-GB"/>
                  </w:rPr>
                  <w:t>子公司名称</w:t>
                </w:r>
              </w:p>
            </w:tc>
          </w:sdtContent>
        </w:sdt>
        <w:sdt>
          <w:sdtPr>
            <w:rPr>
              <w:rFonts w:ascii="Arial Narrow" w:hAnsi="Arial Narrow" w:eastAsiaTheme="minorEastAsia"/>
              <w:szCs w:val="21"/>
            </w:rPr>
            <w:tag w:val="_PLD_6f42810edcef4f808238b34484325c1a"/>
            <w:id w:val="-56562678"/>
          </w:sdtPr>
          <w:sdtEndPr>
            <w:rPr>
              <w:rFonts w:ascii="Arial Narrow" w:hAnsi="Arial Narrow" w:eastAsiaTheme="minorEastAsia"/>
              <w:szCs w:val="21"/>
            </w:rPr>
          </w:sdtEndPr>
          <w:sdtContent>
            <w:tc>
              <w:tcPr>
                <w:tcW w:w="643" w:type="pct"/>
                <w:shd w:val="clear" w:color="auto" w:fill="auto"/>
                <w:vAlign w:val="center"/>
              </w:tcPr>
              <w:p w14:paraId="2A3248B8">
                <w:pPr>
                  <w:jc w:val="center"/>
                  <w:rPr>
                    <w:rFonts w:ascii="Arial Narrow" w:hAnsi="Arial Narrow" w:cs="Arial" w:eastAsiaTheme="minorEastAsia"/>
                    <w:szCs w:val="21"/>
                  </w:rPr>
                </w:pPr>
                <w:r>
                  <w:rPr>
                    <w:rFonts w:ascii="Arial Narrow" w:hAnsi="Arial Narrow" w:cs="Arial" w:eastAsiaTheme="minorEastAsia"/>
                    <w:bCs/>
                    <w:szCs w:val="21"/>
                    <w:lang w:val="en-GB"/>
                  </w:rPr>
                  <w:t>少数股东持股比例</w:t>
                </w:r>
              </w:p>
            </w:tc>
          </w:sdtContent>
        </w:sdt>
        <w:sdt>
          <w:sdtPr>
            <w:rPr>
              <w:rFonts w:ascii="Arial Narrow" w:hAnsi="Arial Narrow" w:eastAsiaTheme="minorEastAsia"/>
              <w:szCs w:val="21"/>
            </w:rPr>
            <w:tag w:val="_PLD_5fe25832d2ec4782a2b0dd4183a7a18d"/>
            <w:id w:val="-1300068698"/>
          </w:sdtPr>
          <w:sdtEndPr>
            <w:rPr>
              <w:rFonts w:ascii="Arial Narrow" w:hAnsi="Arial Narrow" w:eastAsiaTheme="minorEastAsia"/>
              <w:szCs w:val="21"/>
            </w:rPr>
          </w:sdtEndPr>
          <w:sdtContent>
            <w:tc>
              <w:tcPr>
                <w:tcW w:w="884" w:type="pct"/>
                <w:shd w:val="clear" w:color="auto" w:fill="auto"/>
                <w:vAlign w:val="center"/>
              </w:tcPr>
              <w:p w14:paraId="661C85C5">
                <w:pPr>
                  <w:jc w:val="center"/>
                  <w:rPr>
                    <w:rFonts w:ascii="Arial Narrow" w:hAnsi="Arial Narrow" w:cs="Arial" w:eastAsiaTheme="minorEastAsia"/>
                    <w:szCs w:val="21"/>
                  </w:rPr>
                </w:pPr>
                <w:r>
                  <w:rPr>
                    <w:rFonts w:ascii="Arial Narrow" w:hAnsi="Arial Narrow" w:cs="Arial" w:eastAsiaTheme="minorEastAsia"/>
                    <w:bCs/>
                    <w:szCs w:val="21"/>
                    <w:lang w:val="en-GB"/>
                  </w:rPr>
                  <w:t>本期归属于少数股东的损益</w:t>
                </w:r>
              </w:p>
            </w:tc>
          </w:sdtContent>
        </w:sdt>
        <w:sdt>
          <w:sdtPr>
            <w:rPr>
              <w:rFonts w:ascii="Arial Narrow" w:hAnsi="Arial Narrow" w:eastAsiaTheme="minorEastAsia"/>
              <w:szCs w:val="21"/>
            </w:rPr>
            <w:tag w:val="_PLD_2a49e43dba264aa2a5a6a65baca97c74"/>
            <w:id w:val="-470281880"/>
          </w:sdtPr>
          <w:sdtEndPr>
            <w:rPr>
              <w:rFonts w:ascii="Arial Narrow" w:hAnsi="Arial Narrow" w:eastAsiaTheme="minorEastAsia"/>
              <w:szCs w:val="21"/>
            </w:rPr>
          </w:sdtEndPr>
          <w:sdtContent>
            <w:tc>
              <w:tcPr>
                <w:tcW w:w="907" w:type="pct"/>
                <w:shd w:val="clear" w:color="auto" w:fill="auto"/>
                <w:vAlign w:val="center"/>
              </w:tcPr>
              <w:p w14:paraId="6F44C8FB">
                <w:pPr>
                  <w:jc w:val="center"/>
                  <w:rPr>
                    <w:rFonts w:ascii="Arial Narrow" w:hAnsi="Arial Narrow" w:cs="Arial" w:eastAsiaTheme="minorEastAsia"/>
                    <w:szCs w:val="21"/>
                  </w:rPr>
                </w:pPr>
                <w:r>
                  <w:rPr>
                    <w:rFonts w:ascii="Arial Narrow" w:hAnsi="Arial Narrow" w:cs="Arial" w:eastAsiaTheme="minorEastAsia"/>
                    <w:bCs/>
                    <w:szCs w:val="21"/>
                    <w:lang w:val="en-GB"/>
                  </w:rPr>
                  <w:t>本期向少数股东宣告分派的股利</w:t>
                </w:r>
              </w:p>
            </w:tc>
          </w:sdtContent>
        </w:sdt>
        <w:sdt>
          <w:sdtPr>
            <w:rPr>
              <w:rFonts w:ascii="Arial Narrow" w:hAnsi="Arial Narrow" w:eastAsiaTheme="minorEastAsia"/>
              <w:szCs w:val="21"/>
            </w:rPr>
            <w:tag w:val="_PLD_fb758b5ac95741fa930b476448e32371"/>
            <w:id w:val="404878524"/>
          </w:sdtPr>
          <w:sdtEndPr>
            <w:rPr>
              <w:rFonts w:ascii="Arial Narrow" w:hAnsi="Arial Narrow" w:eastAsiaTheme="minorEastAsia"/>
              <w:szCs w:val="21"/>
            </w:rPr>
          </w:sdtEndPr>
          <w:sdtContent>
            <w:tc>
              <w:tcPr>
                <w:tcW w:w="963" w:type="pct"/>
                <w:shd w:val="clear" w:color="auto" w:fill="auto"/>
                <w:vAlign w:val="center"/>
              </w:tcPr>
              <w:p w14:paraId="3CDF2D09">
                <w:pPr>
                  <w:ind w:right="-16"/>
                  <w:jc w:val="center"/>
                  <w:rPr>
                    <w:rFonts w:ascii="Arial Narrow" w:hAnsi="Arial Narrow" w:cs="Arial" w:eastAsiaTheme="minorEastAsia"/>
                    <w:bCs/>
                    <w:szCs w:val="21"/>
                  </w:rPr>
                </w:pPr>
                <w:r>
                  <w:rPr>
                    <w:rFonts w:ascii="Arial Narrow" w:hAnsi="Arial Narrow" w:cs="Arial" w:eastAsiaTheme="minorEastAsia"/>
                    <w:bCs/>
                    <w:szCs w:val="21"/>
                    <w:lang w:val="en-GB"/>
                  </w:rPr>
                  <w:t>期末少数股东权益余额</w:t>
                </w:r>
              </w:p>
            </w:tc>
          </w:sdtContent>
        </w:sdt>
      </w:tr>
      <w:tr w14:paraId="766D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pct"/>
          </w:tcPr>
          <w:p w14:paraId="2BDA6FE2">
            <w:pPr>
              <w:rPr>
                <w:rFonts w:ascii="Arial Narrow" w:hAnsi="Arial Narrow" w:eastAsiaTheme="minorEastAsia"/>
                <w:szCs w:val="21"/>
              </w:rPr>
            </w:pPr>
            <w:r>
              <w:rPr>
                <w:rFonts w:ascii="Arial Narrow" w:hAnsi="Arial Narrow" w:eastAsiaTheme="minorEastAsia"/>
                <w:color w:val="000000"/>
                <w:szCs w:val="21"/>
              </w:rPr>
              <w:t>湖北际华针织有限公司</w:t>
            </w:r>
          </w:p>
        </w:tc>
        <w:tc>
          <w:tcPr>
            <w:tcW w:w="643" w:type="pct"/>
            <w:vAlign w:val="center"/>
          </w:tcPr>
          <w:p w14:paraId="7602F06A">
            <w:pPr>
              <w:jc w:val="right"/>
              <w:rPr>
                <w:rFonts w:ascii="Arial Narrow" w:hAnsi="Arial Narrow" w:eastAsiaTheme="minorEastAsia"/>
                <w:szCs w:val="21"/>
              </w:rPr>
            </w:pPr>
            <w:r>
              <w:rPr>
                <w:rFonts w:ascii="Arial Narrow" w:hAnsi="Arial Narrow" w:eastAsiaTheme="minorEastAsia"/>
                <w:color w:val="000000"/>
                <w:szCs w:val="21"/>
              </w:rPr>
              <w:t>49%</w:t>
            </w:r>
          </w:p>
        </w:tc>
        <w:tc>
          <w:tcPr>
            <w:tcW w:w="884" w:type="pct"/>
            <w:vAlign w:val="center"/>
          </w:tcPr>
          <w:p w14:paraId="69CDFF00">
            <w:pPr>
              <w:jc w:val="right"/>
              <w:rPr>
                <w:rFonts w:ascii="Arial Narrow" w:hAnsi="Arial Narrow" w:eastAsiaTheme="minorEastAsia"/>
                <w:szCs w:val="21"/>
              </w:rPr>
            </w:pPr>
            <w:r>
              <w:rPr>
                <w:rFonts w:ascii="Arial Narrow" w:hAnsi="Arial Narrow" w:eastAsiaTheme="minorEastAsia"/>
                <w:color w:val="000000"/>
                <w:szCs w:val="21"/>
              </w:rPr>
              <w:t xml:space="preserve"> 211,632.64 </w:t>
            </w:r>
          </w:p>
        </w:tc>
        <w:tc>
          <w:tcPr>
            <w:tcW w:w="907" w:type="pct"/>
            <w:vAlign w:val="center"/>
          </w:tcPr>
          <w:p w14:paraId="1EBCA3CE">
            <w:pPr>
              <w:jc w:val="right"/>
              <w:rPr>
                <w:rFonts w:ascii="Arial Narrow" w:hAnsi="Arial Narrow" w:eastAsiaTheme="minorEastAsia"/>
                <w:szCs w:val="21"/>
              </w:rPr>
            </w:pPr>
          </w:p>
        </w:tc>
        <w:tc>
          <w:tcPr>
            <w:tcW w:w="963" w:type="pct"/>
            <w:vAlign w:val="center"/>
          </w:tcPr>
          <w:p w14:paraId="45E4D287">
            <w:pPr>
              <w:jc w:val="right"/>
              <w:rPr>
                <w:rFonts w:ascii="Arial Narrow" w:hAnsi="Arial Narrow" w:eastAsiaTheme="minorEastAsia"/>
                <w:szCs w:val="21"/>
              </w:rPr>
            </w:pPr>
            <w:r>
              <w:rPr>
                <w:rFonts w:ascii="Arial Narrow" w:hAnsi="Arial Narrow" w:eastAsiaTheme="minorEastAsia"/>
                <w:color w:val="000000"/>
                <w:szCs w:val="21"/>
              </w:rPr>
              <w:t xml:space="preserve"> 88,179,763.14 </w:t>
            </w:r>
          </w:p>
        </w:tc>
      </w:tr>
      <w:tr w14:paraId="385C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pct"/>
          </w:tcPr>
          <w:p w14:paraId="5D9B8D3D">
            <w:pPr>
              <w:rPr>
                <w:rFonts w:ascii="Arial Narrow" w:hAnsi="Arial Narrow" w:eastAsiaTheme="minorEastAsia"/>
                <w:szCs w:val="21"/>
              </w:rPr>
            </w:pPr>
            <w:r>
              <w:rPr>
                <w:rFonts w:ascii="Arial Narrow" w:hAnsi="Arial Narrow" w:eastAsiaTheme="minorEastAsia"/>
                <w:color w:val="000000"/>
                <w:szCs w:val="21"/>
              </w:rPr>
              <w:t>新兴际华国际贸易有限公司</w:t>
            </w:r>
          </w:p>
        </w:tc>
        <w:tc>
          <w:tcPr>
            <w:tcW w:w="643" w:type="pct"/>
            <w:vAlign w:val="center"/>
          </w:tcPr>
          <w:p w14:paraId="3386331B">
            <w:pPr>
              <w:jc w:val="right"/>
              <w:rPr>
                <w:rFonts w:ascii="Arial Narrow" w:hAnsi="Arial Narrow" w:eastAsiaTheme="minorEastAsia"/>
                <w:szCs w:val="21"/>
              </w:rPr>
            </w:pPr>
            <w:r>
              <w:rPr>
                <w:rFonts w:ascii="Arial Narrow" w:hAnsi="Arial Narrow" w:eastAsiaTheme="minorEastAsia"/>
                <w:color w:val="000000"/>
                <w:szCs w:val="21"/>
              </w:rPr>
              <w:t>51%</w:t>
            </w:r>
          </w:p>
        </w:tc>
        <w:tc>
          <w:tcPr>
            <w:tcW w:w="884" w:type="pct"/>
            <w:vAlign w:val="center"/>
          </w:tcPr>
          <w:p w14:paraId="3E635366">
            <w:pPr>
              <w:jc w:val="right"/>
              <w:rPr>
                <w:rFonts w:ascii="Arial Narrow" w:hAnsi="Arial Narrow" w:eastAsiaTheme="minorEastAsia"/>
                <w:szCs w:val="21"/>
              </w:rPr>
            </w:pPr>
            <w:r>
              <w:rPr>
                <w:rFonts w:ascii="Arial Narrow" w:hAnsi="Arial Narrow" w:eastAsiaTheme="minorEastAsia"/>
                <w:color w:val="000000"/>
                <w:szCs w:val="21"/>
              </w:rPr>
              <w:t xml:space="preserve"> -35,085,325.12 </w:t>
            </w:r>
          </w:p>
        </w:tc>
        <w:tc>
          <w:tcPr>
            <w:tcW w:w="907" w:type="pct"/>
            <w:vAlign w:val="center"/>
          </w:tcPr>
          <w:p w14:paraId="03833990">
            <w:pPr>
              <w:jc w:val="right"/>
              <w:rPr>
                <w:rFonts w:ascii="Arial Narrow" w:hAnsi="Arial Narrow" w:eastAsiaTheme="minorEastAsia"/>
                <w:szCs w:val="21"/>
              </w:rPr>
            </w:pPr>
          </w:p>
        </w:tc>
        <w:tc>
          <w:tcPr>
            <w:tcW w:w="963" w:type="pct"/>
            <w:vAlign w:val="center"/>
          </w:tcPr>
          <w:p w14:paraId="5C44040E">
            <w:pPr>
              <w:jc w:val="right"/>
              <w:rPr>
                <w:rFonts w:ascii="Arial Narrow" w:hAnsi="Arial Narrow" w:eastAsiaTheme="minorEastAsia"/>
                <w:szCs w:val="21"/>
              </w:rPr>
            </w:pPr>
            <w:r>
              <w:rPr>
                <w:rFonts w:ascii="Arial Narrow" w:hAnsi="Arial Narrow" w:eastAsiaTheme="minorEastAsia"/>
                <w:color w:val="000000"/>
                <w:szCs w:val="21"/>
              </w:rPr>
              <w:t xml:space="preserve"> -172,062,948.90 </w:t>
            </w:r>
          </w:p>
        </w:tc>
      </w:tr>
    </w:tbl>
    <w:p w14:paraId="4E3B48DF">
      <w:pPr>
        <w:rPr>
          <w:rFonts w:hint="eastAsia" w:cs="Arial"/>
          <w:szCs w:val="21"/>
        </w:rPr>
      </w:pPr>
      <w:r>
        <w:rPr>
          <w:rFonts w:hint="eastAsia" w:cs="Arial"/>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111545499"/>
        <w:placeholder>
          <w:docPart w:val="GBC22222222222222222222222222222"/>
        </w:placeholder>
      </w:sdtPr>
      <w:sdtEndPr>
        <w:rPr>
          <w:rFonts w:cs="Arial"/>
          <w:szCs w:val="21"/>
        </w:rPr>
      </w:sdtEndPr>
      <w:sdtContent>
        <w:p w14:paraId="3FBC9068">
          <w:pPr>
            <w:rPr>
              <w:rFonts w:hint="eastAsia" w:cs="Arial"/>
              <w:szCs w:val="21"/>
            </w:rPr>
          </w:pPr>
          <w:r>
            <w:rPr>
              <w:rFonts w:cs="Arial"/>
              <w:szCs w:val="21"/>
            </w:rPr>
            <w:fldChar w:fldCharType="begin"/>
          </w:r>
          <w:r>
            <w:rPr>
              <w:rFonts w:hint="eastAsia" w:cs="Arial"/>
              <w:szCs w:val="21"/>
            </w:rPr>
            <w:instrText xml:space="preserve">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11C54828">
      <w:pPr>
        <w:ind w:firstLine="420" w:firstLineChars="200"/>
        <w:rPr>
          <w:rFonts w:hint="eastAsia"/>
        </w:rPr>
      </w:pPr>
      <w:sdt>
        <w:sdtPr>
          <w:rPr>
            <w:rFonts w:cs="Arial"/>
            <w:szCs w:val="21"/>
          </w:rPr>
          <w:alias w:val="子公司少数股东的持股比例不同于表决权比例的原因说明"/>
          <w:tag w:val="_GBC_fbc604c8ca7f4a248fbf762126693e45"/>
          <w:id w:val="1319075123"/>
          <w:placeholder>
            <w:docPart w:val="A44F1F400D154154B95CE5AAC3E9C855"/>
          </w:placeholder>
        </w:sdtPr>
        <w:sdtEndPr>
          <w:rPr>
            <w:rFonts w:cs="Arial"/>
            <w:szCs w:val="21"/>
          </w:rPr>
        </w:sdtEndPr>
        <w:sdtContent>
          <w:r>
            <w:rPr>
              <w:rFonts w:hint="eastAsia" w:cs="Arial"/>
              <w:szCs w:val="21"/>
            </w:rPr>
            <w:t>2012 年5月，本公司与母公司新兴际华集团有限公司共同对新兴际华国际贸易有限公司（以下简称“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sdtContent>
      </w:sdt>
    </w:p>
    <w:p w14:paraId="3FFCADF0">
      <w:pPr>
        <w:rPr>
          <w:rFonts w:hint="eastAsia" w:cs="Arial"/>
          <w:szCs w:val="21"/>
        </w:rPr>
      </w:pPr>
    </w:p>
    <w:p w14:paraId="5BA9A6F4">
      <w:pPr>
        <w:rPr>
          <w:rFonts w:hint="eastAsia" w:cs="Arial"/>
          <w:szCs w:val="21"/>
        </w:rPr>
      </w:pPr>
      <w:r>
        <w:rPr>
          <w:rFonts w:hint="eastAsia" w:cs="Arial"/>
          <w:szCs w:val="21"/>
        </w:rPr>
        <w:t>其他说明：</w:t>
      </w:r>
    </w:p>
    <w:sdt>
      <w:sdtPr>
        <w:rPr>
          <w:rFonts w:cs="Arial"/>
          <w:szCs w:val="21"/>
        </w:rPr>
        <w:alias w:val="是否适用：重要的非全资子公司其他说明[双击切换]"/>
        <w:tag w:val="_GBC_eb65403cb5164cc9a0cf4afea08b150d"/>
        <w:id w:val="1520512421"/>
        <w:placeholder>
          <w:docPart w:val="GBC22222222222222222222222222222"/>
        </w:placeholder>
      </w:sdtPr>
      <w:sdtEndPr>
        <w:rPr>
          <w:rFonts w:cs="Arial"/>
          <w:szCs w:val="21"/>
        </w:rPr>
      </w:sdtEndPr>
      <w:sdtContent>
        <w:p w14:paraId="658441DA">
          <w:pPr>
            <w:rPr>
              <w:rFonts w:hint="eastAsia" w:cs="Arial"/>
              <w:szCs w:val="21"/>
            </w:rPr>
          </w:pPr>
          <w:r>
            <w:rPr>
              <w:rFonts w:cs="Arial"/>
              <w:szCs w:val="21"/>
            </w:rPr>
            <w:fldChar w:fldCharType="begin"/>
          </w:r>
          <w:r>
            <w:rPr>
              <w:rFonts w:hint="eastAsia" w:cs="Arial"/>
              <w:szCs w:val="21"/>
            </w:rPr>
            <w:instrText xml:space="preserve">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03C562EA">
      <w:pPr>
        <w:rPr>
          <w:rFonts w:hint="eastAsia" w:cs="Arial"/>
          <w:szCs w:val="21"/>
        </w:rPr>
        <w:sectPr>
          <w:pgSz w:w="11906" w:h="16838"/>
          <w:pgMar w:top="1525" w:right="1276" w:bottom="1440" w:left="1797" w:header="856" w:footer="992" w:gutter="0"/>
          <w:cols w:space="425" w:num="1"/>
          <w:docGrid w:linePitch="312" w:charSpace="0"/>
        </w:sectPr>
      </w:pPr>
    </w:p>
    <w:p w14:paraId="1DDF2D6D">
      <w:pPr>
        <w:rPr>
          <w:rFonts w:hint="eastAsia" w:cs="Arial"/>
          <w:szCs w:val="21"/>
        </w:rPr>
      </w:pPr>
    </w:p>
    <w:p w14:paraId="15DE7149">
      <w:pPr>
        <w:pStyle w:val="71"/>
        <w:numPr>
          <w:ilvl w:val="3"/>
          <w:numId w:val="156"/>
        </w:numPr>
        <w:ind w:left="426" w:hanging="426" w:hangingChars="202"/>
        <w:rPr>
          <w:rFonts w:hint="eastAsia"/>
        </w:rPr>
      </w:pPr>
      <w:bookmarkStart w:id="382" w:name="OLE_LINK14"/>
      <w:r>
        <w:rPr>
          <w:rFonts w:hint="eastAsia"/>
        </w:rPr>
        <w:t>重要非全资子公司的主要财务信息</w:t>
      </w:r>
    </w:p>
    <w:bookmarkEnd w:id="382"/>
    <w:sdt>
      <w:sdtPr>
        <w:alias w:val="是否适用：重要非全资子公司的主要财务信息[双击切换]"/>
        <w:tag w:val="_GBC_04ab753eff3c46fda94161ee757bd1fa"/>
        <w:id w:val="1964310855"/>
        <w:placeholder>
          <w:docPart w:val="GBC22222222222222222222222222222"/>
        </w:placeholder>
      </w:sdtPr>
      <w:sdtContent>
        <w:p w14:paraId="11ACCA5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CDA8C99">
      <w:pPr>
        <w:jc w:val="right"/>
        <w:rPr>
          <w:rFonts w:hint="eastAsia"/>
        </w:rPr>
      </w:pPr>
      <w:r>
        <w:rPr>
          <w:rFonts w:hint="eastAsia"/>
        </w:rPr>
        <w:t>单位：</w:t>
      </w:r>
      <w:sdt>
        <w:sdtPr>
          <w:rPr>
            <w:rFonts w:hint="eastAsia"/>
          </w:rPr>
          <w:alias w:val="单位：财务附注：重要非全资子公司的主要财务信息"/>
          <w:tag w:val="_GBC_ba918360b15748859fb63cacad1f617d"/>
          <w:id w:val="12171673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万元</w:t>
          </w:r>
        </w:sdtContent>
      </w:sdt>
      <w:r>
        <w:rPr>
          <w:rFonts w:hint="eastAsia"/>
        </w:rPr>
        <w:t xml:space="preserve">  币种：</w:t>
      </w:r>
      <w:sdt>
        <w:sdtPr>
          <w:rPr>
            <w:rFonts w:hint="eastAsia"/>
          </w:rPr>
          <w:alias w:val="币种：财务附注：重要非全资子公司的主要财务信息"/>
          <w:tag w:val="_GBC_af5cc4f1e7a74e3d8f9c9fea25fdf05f"/>
          <w:id w:val="4320998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1019"/>
        <w:gridCol w:w="1029"/>
        <w:gridCol w:w="1029"/>
        <w:gridCol w:w="1029"/>
        <w:gridCol w:w="1031"/>
        <w:gridCol w:w="1034"/>
        <w:gridCol w:w="1031"/>
        <w:gridCol w:w="1031"/>
        <w:gridCol w:w="1031"/>
        <w:gridCol w:w="1031"/>
        <w:gridCol w:w="1031"/>
        <w:gridCol w:w="1019"/>
      </w:tblGrid>
      <w:tr w14:paraId="2F8D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ascii="Arial Narrow" w:hAnsi="Arial Narrow" w:eastAsiaTheme="minorEastAsia"/>
            </w:rPr>
            <w:tag w:val="_PLD_d5dae06c1d0c4fdea02e2f6e645a1e09"/>
            <w:id w:val="337889213"/>
          </w:sdtPr>
          <w:sdtEndPr>
            <w:rPr>
              <w:rFonts w:ascii="Arial Narrow" w:hAnsi="Arial Narrow" w:eastAsiaTheme="minorEastAsia"/>
            </w:rPr>
          </w:sdtEndPr>
          <w:sdtContent>
            <w:tc>
              <w:tcPr>
                <w:tcW w:w="548" w:type="pct"/>
                <w:vMerge w:val="restart"/>
                <w:shd w:val="clear" w:color="auto" w:fill="auto"/>
                <w:vAlign w:val="center"/>
              </w:tcPr>
              <w:p w14:paraId="57509722">
                <w:pPr>
                  <w:ind w:right="-16"/>
                  <w:jc w:val="center"/>
                  <w:rPr>
                    <w:rFonts w:ascii="Arial Narrow" w:hAnsi="Arial Narrow" w:cs="Arial" w:eastAsiaTheme="minorEastAsia"/>
                    <w:bCs/>
                    <w:szCs w:val="21"/>
                  </w:rPr>
                </w:pPr>
                <w:r>
                  <w:rPr>
                    <w:rFonts w:ascii="Arial Narrow" w:hAnsi="Arial Narrow" w:cs="Arial" w:eastAsiaTheme="minorEastAsia"/>
                    <w:bCs/>
                    <w:szCs w:val="21"/>
                    <w:lang w:val="en-GB"/>
                  </w:rPr>
                  <w:t>子公司名称</w:t>
                </w:r>
              </w:p>
            </w:tc>
          </w:sdtContent>
        </w:sdt>
        <w:sdt>
          <w:sdtPr>
            <w:rPr>
              <w:rFonts w:ascii="Arial Narrow" w:hAnsi="Arial Narrow" w:eastAsiaTheme="minorEastAsia"/>
            </w:rPr>
            <w:tag w:val="_PLD_6cc7af9079654f428ee1cf0edd2c70b1"/>
            <w:id w:val="394480303"/>
          </w:sdtPr>
          <w:sdtEndPr>
            <w:rPr>
              <w:rFonts w:ascii="Arial Narrow" w:hAnsi="Arial Narrow" w:eastAsiaTheme="minorEastAsia"/>
            </w:rPr>
          </w:sdtEndPr>
          <w:sdtContent>
            <w:tc>
              <w:tcPr>
                <w:tcW w:w="2226" w:type="pct"/>
                <w:gridSpan w:val="6"/>
                <w:shd w:val="clear" w:color="auto" w:fill="auto"/>
                <w:vAlign w:val="center"/>
              </w:tcPr>
              <w:p w14:paraId="49C2CD1E">
                <w:pPr>
                  <w:ind w:right="-16"/>
                  <w:jc w:val="center"/>
                  <w:rPr>
                    <w:rFonts w:ascii="Arial Narrow" w:hAnsi="Arial Narrow" w:cs="Arial" w:eastAsiaTheme="minorEastAsia"/>
                    <w:bCs/>
                    <w:szCs w:val="21"/>
                  </w:rPr>
                </w:pPr>
                <w:r>
                  <w:rPr>
                    <w:rFonts w:ascii="Arial Narrow" w:hAnsi="Arial Narrow" w:cs="Arial" w:eastAsiaTheme="minorEastAsia"/>
                    <w:bCs/>
                    <w:szCs w:val="21"/>
                    <w:lang w:val="en-GB"/>
                  </w:rPr>
                  <w:t>期末余额</w:t>
                </w:r>
              </w:p>
            </w:tc>
          </w:sdtContent>
        </w:sdt>
        <w:sdt>
          <w:sdtPr>
            <w:rPr>
              <w:rFonts w:ascii="Arial Narrow" w:hAnsi="Arial Narrow" w:eastAsiaTheme="minorEastAsia"/>
            </w:rPr>
            <w:tag w:val="_PLD_64749f66f68948bd92fb0a885f835f78"/>
            <w:id w:val="1681468155"/>
          </w:sdtPr>
          <w:sdtEndPr>
            <w:rPr>
              <w:rFonts w:ascii="Arial Narrow" w:hAnsi="Arial Narrow" w:eastAsiaTheme="minorEastAsia"/>
            </w:rPr>
          </w:sdtEndPr>
          <w:sdtContent>
            <w:tc>
              <w:tcPr>
                <w:tcW w:w="2227" w:type="pct"/>
                <w:gridSpan w:val="6"/>
                <w:shd w:val="clear" w:color="auto" w:fill="auto"/>
                <w:vAlign w:val="center"/>
              </w:tcPr>
              <w:p w14:paraId="5143C29A">
                <w:pPr>
                  <w:ind w:right="-16"/>
                  <w:jc w:val="center"/>
                  <w:rPr>
                    <w:rFonts w:ascii="Arial Narrow" w:hAnsi="Arial Narrow" w:cs="Arial" w:eastAsiaTheme="minorEastAsia"/>
                    <w:bCs/>
                    <w:szCs w:val="21"/>
                  </w:rPr>
                </w:pPr>
                <w:r>
                  <w:rPr>
                    <w:rFonts w:ascii="Arial Narrow" w:hAnsi="Arial Narrow" w:cs="Arial" w:eastAsiaTheme="minorEastAsia"/>
                    <w:bCs/>
                    <w:szCs w:val="21"/>
                    <w:lang w:val="en-GB"/>
                  </w:rPr>
                  <w:t>期初余额</w:t>
                </w:r>
              </w:p>
            </w:tc>
          </w:sdtContent>
        </w:sdt>
      </w:tr>
      <w:tr w14:paraId="5616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548" w:type="pct"/>
            <w:vMerge w:val="continue"/>
            <w:shd w:val="clear" w:color="auto" w:fill="auto"/>
            <w:vAlign w:val="center"/>
          </w:tcPr>
          <w:p w14:paraId="5F60355A">
            <w:pPr>
              <w:rPr>
                <w:rFonts w:ascii="Arial Narrow" w:hAnsi="Arial Narrow" w:cs="Arial" w:eastAsiaTheme="minorEastAsia"/>
                <w:bCs/>
                <w:szCs w:val="21"/>
              </w:rPr>
            </w:pPr>
          </w:p>
        </w:tc>
        <w:sdt>
          <w:sdtPr>
            <w:rPr>
              <w:rFonts w:ascii="Arial Narrow" w:hAnsi="Arial Narrow" w:eastAsiaTheme="minorEastAsia"/>
            </w:rPr>
            <w:tag w:val="_PLD_bfcbeed8b46d4b8da13c03613130a3c9"/>
            <w:id w:val="809139730"/>
          </w:sdtPr>
          <w:sdtEndPr>
            <w:rPr>
              <w:rFonts w:ascii="Arial Narrow" w:hAnsi="Arial Narrow" w:eastAsiaTheme="minorEastAsia"/>
            </w:rPr>
          </w:sdtEndPr>
          <w:sdtContent>
            <w:tc>
              <w:tcPr>
                <w:tcW w:w="368" w:type="pct"/>
                <w:shd w:val="clear" w:color="auto" w:fill="auto"/>
                <w:vAlign w:val="center"/>
              </w:tcPr>
              <w:p w14:paraId="08EBB356">
                <w:pPr>
                  <w:jc w:val="center"/>
                  <w:rPr>
                    <w:rFonts w:ascii="Arial Narrow" w:hAnsi="Arial Narrow" w:cs="Arial" w:eastAsiaTheme="minorEastAsia"/>
                    <w:szCs w:val="21"/>
                  </w:rPr>
                </w:pPr>
                <w:r>
                  <w:rPr>
                    <w:rFonts w:ascii="Arial Narrow" w:hAnsi="Arial Narrow" w:cs="Arial" w:eastAsiaTheme="minorEastAsia"/>
                    <w:szCs w:val="21"/>
                    <w:lang w:val="en-GB"/>
                  </w:rPr>
                  <w:t>流动资产</w:t>
                </w:r>
              </w:p>
            </w:tc>
          </w:sdtContent>
        </w:sdt>
        <w:sdt>
          <w:sdtPr>
            <w:rPr>
              <w:rFonts w:ascii="Arial Narrow" w:hAnsi="Arial Narrow" w:eastAsiaTheme="minorEastAsia"/>
            </w:rPr>
            <w:tag w:val="_PLD_22bcaa48c51f400d9b2d6a387002778f"/>
            <w:id w:val="-537502891"/>
          </w:sdtPr>
          <w:sdtEndPr>
            <w:rPr>
              <w:rFonts w:ascii="Arial Narrow" w:hAnsi="Arial Narrow" w:eastAsiaTheme="minorEastAsia"/>
            </w:rPr>
          </w:sdtEndPr>
          <w:sdtContent>
            <w:tc>
              <w:tcPr>
                <w:tcW w:w="371" w:type="pct"/>
                <w:shd w:val="clear" w:color="auto" w:fill="auto"/>
                <w:vAlign w:val="center"/>
              </w:tcPr>
              <w:p w14:paraId="554BA476">
                <w:pPr>
                  <w:ind w:left="-40" w:right="-97"/>
                  <w:jc w:val="center"/>
                  <w:rPr>
                    <w:rFonts w:ascii="Arial Narrow" w:hAnsi="Arial Narrow" w:cs="Arial" w:eastAsiaTheme="minorEastAsia"/>
                    <w:szCs w:val="21"/>
                  </w:rPr>
                </w:pPr>
                <w:r>
                  <w:rPr>
                    <w:rFonts w:ascii="Arial Narrow" w:hAnsi="Arial Narrow" w:cs="Arial" w:eastAsiaTheme="minorEastAsia"/>
                    <w:szCs w:val="21"/>
                    <w:lang w:val="en-GB"/>
                  </w:rPr>
                  <w:t>非流动资产</w:t>
                </w:r>
              </w:p>
            </w:tc>
          </w:sdtContent>
        </w:sdt>
        <w:sdt>
          <w:sdtPr>
            <w:rPr>
              <w:rFonts w:ascii="Arial Narrow" w:hAnsi="Arial Narrow" w:eastAsiaTheme="minorEastAsia"/>
            </w:rPr>
            <w:tag w:val="_PLD_a7790df686914e0f8cc8668009824e9e"/>
            <w:id w:val="812366606"/>
          </w:sdtPr>
          <w:sdtEndPr>
            <w:rPr>
              <w:rFonts w:ascii="Arial Narrow" w:hAnsi="Arial Narrow" w:eastAsiaTheme="minorEastAsia"/>
            </w:rPr>
          </w:sdtEndPr>
          <w:sdtContent>
            <w:tc>
              <w:tcPr>
                <w:tcW w:w="371" w:type="pct"/>
                <w:shd w:val="clear" w:color="auto" w:fill="auto"/>
                <w:vAlign w:val="center"/>
              </w:tcPr>
              <w:p w14:paraId="51F121E0">
                <w:pPr>
                  <w:jc w:val="center"/>
                  <w:rPr>
                    <w:rFonts w:ascii="Arial Narrow" w:hAnsi="Arial Narrow" w:cs="Arial" w:eastAsiaTheme="minorEastAsia"/>
                    <w:szCs w:val="21"/>
                  </w:rPr>
                </w:pPr>
                <w:r>
                  <w:rPr>
                    <w:rFonts w:ascii="Arial Narrow" w:hAnsi="Arial Narrow" w:cs="Arial" w:eastAsiaTheme="minorEastAsia"/>
                    <w:szCs w:val="21"/>
                    <w:lang w:val="en-GB"/>
                  </w:rPr>
                  <w:t>资产合计</w:t>
                </w:r>
              </w:p>
            </w:tc>
          </w:sdtContent>
        </w:sdt>
        <w:sdt>
          <w:sdtPr>
            <w:rPr>
              <w:rFonts w:ascii="Arial Narrow" w:hAnsi="Arial Narrow" w:eastAsiaTheme="minorEastAsia"/>
            </w:rPr>
            <w:tag w:val="_PLD_a6a87cbf1eb046db9bbca57bcceaf08a"/>
            <w:id w:val="1718932162"/>
          </w:sdtPr>
          <w:sdtEndPr>
            <w:rPr>
              <w:rFonts w:ascii="Arial Narrow" w:hAnsi="Arial Narrow" w:eastAsiaTheme="minorEastAsia"/>
            </w:rPr>
          </w:sdtEndPr>
          <w:sdtContent>
            <w:tc>
              <w:tcPr>
                <w:tcW w:w="371" w:type="pct"/>
                <w:shd w:val="clear" w:color="auto" w:fill="auto"/>
                <w:vAlign w:val="center"/>
              </w:tcPr>
              <w:p w14:paraId="2AAD7481">
                <w:pPr>
                  <w:jc w:val="center"/>
                  <w:rPr>
                    <w:rFonts w:ascii="Arial Narrow" w:hAnsi="Arial Narrow" w:cs="Arial" w:eastAsiaTheme="minorEastAsia"/>
                    <w:szCs w:val="21"/>
                  </w:rPr>
                </w:pPr>
                <w:r>
                  <w:rPr>
                    <w:rFonts w:ascii="Arial Narrow" w:hAnsi="Arial Narrow" w:cs="Arial" w:eastAsiaTheme="minorEastAsia"/>
                    <w:szCs w:val="21"/>
                    <w:lang w:val="en-GB"/>
                  </w:rPr>
                  <w:t>流动负债</w:t>
                </w:r>
              </w:p>
            </w:tc>
          </w:sdtContent>
        </w:sdt>
        <w:sdt>
          <w:sdtPr>
            <w:rPr>
              <w:rFonts w:ascii="Arial Narrow" w:hAnsi="Arial Narrow" w:eastAsiaTheme="minorEastAsia"/>
            </w:rPr>
            <w:tag w:val="_PLD_bed2f2ec1880450a93ab1b045e836c87"/>
            <w:id w:val="-1087296658"/>
          </w:sdtPr>
          <w:sdtEndPr>
            <w:rPr>
              <w:rFonts w:ascii="Arial Narrow" w:hAnsi="Arial Narrow" w:eastAsiaTheme="minorEastAsia"/>
            </w:rPr>
          </w:sdtEndPr>
          <w:sdtContent>
            <w:tc>
              <w:tcPr>
                <w:tcW w:w="372" w:type="pct"/>
                <w:shd w:val="clear" w:color="auto" w:fill="auto"/>
                <w:vAlign w:val="center"/>
              </w:tcPr>
              <w:p w14:paraId="5B5B4271">
                <w:pPr>
                  <w:ind w:left="-40" w:right="-97"/>
                  <w:jc w:val="center"/>
                  <w:rPr>
                    <w:rFonts w:ascii="Arial Narrow" w:hAnsi="Arial Narrow" w:cs="Arial" w:eastAsiaTheme="minorEastAsia"/>
                    <w:szCs w:val="21"/>
                  </w:rPr>
                </w:pPr>
                <w:r>
                  <w:rPr>
                    <w:rFonts w:ascii="Arial Narrow" w:hAnsi="Arial Narrow" w:cs="Arial" w:eastAsiaTheme="minorEastAsia"/>
                    <w:szCs w:val="21"/>
                    <w:lang w:val="en-GB"/>
                  </w:rPr>
                  <w:t>非流动负债</w:t>
                </w:r>
              </w:p>
            </w:tc>
          </w:sdtContent>
        </w:sdt>
        <w:sdt>
          <w:sdtPr>
            <w:rPr>
              <w:rFonts w:ascii="Arial Narrow" w:hAnsi="Arial Narrow" w:eastAsiaTheme="minorEastAsia"/>
            </w:rPr>
            <w:tag w:val="_PLD_3609f15b31554b67a5a1ff617bd5582d"/>
            <w:id w:val="2003543693"/>
          </w:sdtPr>
          <w:sdtEndPr>
            <w:rPr>
              <w:rFonts w:ascii="Arial Narrow" w:hAnsi="Arial Narrow" w:eastAsiaTheme="minorEastAsia"/>
            </w:rPr>
          </w:sdtEndPr>
          <w:sdtContent>
            <w:tc>
              <w:tcPr>
                <w:tcW w:w="372" w:type="pct"/>
                <w:shd w:val="clear" w:color="auto" w:fill="auto"/>
                <w:vAlign w:val="center"/>
              </w:tcPr>
              <w:p w14:paraId="5710D120">
                <w:pPr>
                  <w:jc w:val="center"/>
                  <w:rPr>
                    <w:rFonts w:ascii="Arial Narrow" w:hAnsi="Arial Narrow" w:cs="Arial" w:eastAsiaTheme="minorEastAsia"/>
                    <w:szCs w:val="21"/>
                  </w:rPr>
                </w:pPr>
                <w:r>
                  <w:rPr>
                    <w:rFonts w:ascii="Arial Narrow" w:hAnsi="Arial Narrow" w:cs="Arial" w:eastAsiaTheme="minorEastAsia"/>
                    <w:szCs w:val="21"/>
                    <w:lang w:val="en-GB"/>
                  </w:rPr>
                  <w:t>负债合计</w:t>
                </w:r>
              </w:p>
            </w:tc>
          </w:sdtContent>
        </w:sdt>
        <w:sdt>
          <w:sdtPr>
            <w:rPr>
              <w:rFonts w:ascii="Arial Narrow" w:hAnsi="Arial Narrow" w:eastAsiaTheme="minorEastAsia"/>
            </w:rPr>
            <w:tag w:val="_PLD_35c03e5c5e124d339d35180c4515f97a"/>
            <w:id w:val="-767005551"/>
          </w:sdtPr>
          <w:sdtEndPr>
            <w:rPr>
              <w:rFonts w:ascii="Arial Narrow" w:hAnsi="Arial Narrow" w:eastAsiaTheme="minorEastAsia"/>
            </w:rPr>
          </w:sdtEndPr>
          <w:sdtContent>
            <w:tc>
              <w:tcPr>
                <w:tcW w:w="372" w:type="pct"/>
                <w:shd w:val="clear" w:color="auto" w:fill="auto"/>
                <w:vAlign w:val="center"/>
              </w:tcPr>
              <w:p w14:paraId="3B339DEE">
                <w:pPr>
                  <w:jc w:val="center"/>
                  <w:rPr>
                    <w:rFonts w:ascii="Arial Narrow" w:hAnsi="Arial Narrow" w:cs="Arial" w:eastAsiaTheme="minorEastAsia"/>
                    <w:szCs w:val="21"/>
                  </w:rPr>
                </w:pPr>
                <w:r>
                  <w:rPr>
                    <w:rFonts w:ascii="Arial Narrow" w:hAnsi="Arial Narrow" w:cs="Arial" w:eastAsiaTheme="minorEastAsia"/>
                    <w:szCs w:val="21"/>
                    <w:lang w:val="en-GB"/>
                  </w:rPr>
                  <w:t>流动资产</w:t>
                </w:r>
              </w:p>
            </w:tc>
          </w:sdtContent>
        </w:sdt>
        <w:sdt>
          <w:sdtPr>
            <w:rPr>
              <w:rFonts w:ascii="Arial Narrow" w:hAnsi="Arial Narrow" w:eastAsiaTheme="minorEastAsia"/>
            </w:rPr>
            <w:tag w:val="_PLD_c9852fe654ce474bb582d7b8dab46c0a"/>
            <w:id w:val="1524820983"/>
          </w:sdtPr>
          <w:sdtEndPr>
            <w:rPr>
              <w:rFonts w:ascii="Arial Narrow" w:hAnsi="Arial Narrow" w:eastAsiaTheme="minorEastAsia"/>
            </w:rPr>
          </w:sdtEndPr>
          <w:sdtContent>
            <w:tc>
              <w:tcPr>
                <w:tcW w:w="372" w:type="pct"/>
                <w:shd w:val="clear" w:color="auto" w:fill="auto"/>
                <w:vAlign w:val="center"/>
              </w:tcPr>
              <w:p w14:paraId="463E7D1E">
                <w:pPr>
                  <w:ind w:left="-40" w:right="-97"/>
                  <w:jc w:val="center"/>
                  <w:rPr>
                    <w:rFonts w:ascii="Arial Narrow" w:hAnsi="Arial Narrow" w:cs="Arial" w:eastAsiaTheme="minorEastAsia"/>
                    <w:szCs w:val="21"/>
                  </w:rPr>
                </w:pPr>
                <w:r>
                  <w:rPr>
                    <w:rFonts w:ascii="Arial Narrow" w:hAnsi="Arial Narrow" w:cs="Arial" w:eastAsiaTheme="minorEastAsia"/>
                    <w:szCs w:val="21"/>
                    <w:lang w:val="en-GB"/>
                  </w:rPr>
                  <w:t>非流动资产</w:t>
                </w:r>
              </w:p>
            </w:tc>
          </w:sdtContent>
        </w:sdt>
        <w:sdt>
          <w:sdtPr>
            <w:rPr>
              <w:rFonts w:ascii="Arial Narrow" w:hAnsi="Arial Narrow" w:eastAsiaTheme="minorEastAsia"/>
            </w:rPr>
            <w:tag w:val="_PLD_e7455f798f7740fdafaf89940e8195c3"/>
            <w:id w:val="-1020390572"/>
          </w:sdtPr>
          <w:sdtEndPr>
            <w:rPr>
              <w:rFonts w:ascii="Arial Narrow" w:hAnsi="Arial Narrow" w:eastAsiaTheme="minorEastAsia"/>
            </w:rPr>
          </w:sdtEndPr>
          <w:sdtContent>
            <w:tc>
              <w:tcPr>
                <w:tcW w:w="372" w:type="pct"/>
                <w:shd w:val="clear" w:color="auto" w:fill="auto"/>
                <w:vAlign w:val="center"/>
              </w:tcPr>
              <w:p w14:paraId="6652B094">
                <w:pPr>
                  <w:jc w:val="center"/>
                  <w:rPr>
                    <w:rFonts w:ascii="Arial Narrow" w:hAnsi="Arial Narrow" w:cs="Arial" w:eastAsiaTheme="minorEastAsia"/>
                    <w:szCs w:val="21"/>
                  </w:rPr>
                </w:pPr>
                <w:r>
                  <w:rPr>
                    <w:rFonts w:ascii="Arial Narrow" w:hAnsi="Arial Narrow" w:cs="Arial" w:eastAsiaTheme="minorEastAsia"/>
                    <w:szCs w:val="21"/>
                    <w:lang w:val="en-GB"/>
                  </w:rPr>
                  <w:t>资产合计</w:t>
                </w:r>
              </w:p>
            </w:tc>
          </w:sdtContent>
        </w:sdt>
        <w:sdt>
          <w:sdtPr>
            <w:rPr>
              <w:rFonts w:ascii="Arial Narrow" w:hAnsi="Arial Narrow" w:eastAsiaTheme="minorEastAsia"/>
            </w:rPr>
            <w:tag w:val="_PLD_b590bdfc5abd4f30a4b1c3cf13a2772b"/>
            <w:id w:val="-1150746295"/>
          </w:sdtPr>
          <w:sdtEndPr>
            <w:rPr>
              <w:rFonts w:ascii="Arial Narrow" w:hAnsi="Arial Narrow" w:eastAsiaTheme="minorEastAsia"/>
            </w:rPr>
          </w:sdtEndPr>
          <w:sdtContent>
            <w:tc>
              <w:tcPr>
                <w:tcW w:w="372" w:type="pct"/>
                <w:shd w:val="clear" w:color="auto" w:fill="auto"/>
                <w:vAlign w:val="center"/>
              </w:tcPr>
              <w:p w14:paraId="0D4CFEF3">
                <w:pPr>
                  <w:jc w:val="center"/>
                  <w:rPr>
                    <w:rFonts w:ascii="Arial Narrow" w:hAnsi="Arial Narrow" w:cs="Arial" w:eastAsiaTheme="minorEastAsia"/>
                    <w:szCs w:val="21"/>
                  </w:rPr>
                </w:pPr>
                <w:r>
                  <w:rPr>
                    <w:rFonts w:ascii="Arial Narrow" w:hAnsi="Arial Narrow" w:cs="Arial" w:eastAsiaTheme="minorEastAsia"/>
                    <w:szCs w:val="21"/>
                    <w:lang w:val="en-GB"/>
                  </w:rPr>
                  <w:t>流动负债</w:t>
                </w:r>
              </w:p>
            </w:tc>
          </w:sdtContent>
        </w:sdt>
        <w:sdt>
          <w:sdtPr>
            <w:rPr>
              <w:rFonts w:ascii="Arial Narrow" w:hAnsi="Arial Narrow" w:eastAsiaTheme="minorEastAsia"/>
            </w:rPr>
            <w:tag w:val="_PLD_acc4c516f1954954b9ffdd4ee0900cfe"/>
            <w:id w:val="-1653216248"/>
          </w:sdtPr>
          <w:sdtEndPr>
            <w:rPr>
              <w:rFonts w:ascii="Arial Narrow" w:hAnsi="Arial Narrow" w:eastAsiaTheme="minorEastAsia"/>
            </w:rPr>
          </w:sdtEndPr>
          <w:sdtContent>
            <w:tc>
              <w:tcPr>
                <w:tcW w:w="372" w:type="pct"/>
                <w:shd w:val="clear" w:color="auto" w:fill="auto"/>
                <w:vAlign w:val="center"/>
              </w:tcPr>
              <w:p w14:paraId="5DDD7A4E">
                <w:pPr>
                  <w:ind w:left="-40" w:right="-97"/>
                  <w:jc w:val="center"/>
                  <w:rPr>
                    <w:rFonts w:ascii="Arial Narrow" w:hAnsi="Arial Narrow" w:cs="Arial" w:eastAsiaTheme="minorEastAsia"/>
                    <w:szCs w:val="21"/>
                  </w:rPr>
                </w:pPr>
                <w:r>
                  <w:rPr>
                    <w:rFonts w:ascii="Arial Narrow" w:hAnsi="Arial Narrow" w:cs="Arial" w:eastAsiaTheme="minorEastAsia"/>
                    <w:szCs w:val="21"/>
                    <w:lang w:val="en-GB"/>
                  </w:rPr>
                  <w:t>非流动负债</w:t>
                </w:r>
              </w:p>
            </w:tc>
          </w:sdtContent>
        </w:sdt>
        <w:sdt>
          <w:sdtPr>
            <w:rPr>
              <w:rFonts w:ascii="Arial Narrow" w:hAnsi="Arial Narrow" w:eastAsiaTheme="minorEastAsia"/>
            </w:rPr>
            <w:tag w:val="_PLD_397eebedf0c14a0e8060aa378e6e579d"/>
            <w:id w:val="1653023677"/>
          </w:sdtPr>
          <w:sdtEndPr>
            <w:rPr>
              <w:rFonts w:ascii="Arial Narrow" w:hAnsi="Arial Narrow" w:eastAsiaTheme="minorEastAsia"/>
            </w:rPr>
          </w:sdtEndPr>
          <w:sdtContent>
            <w:tc>
              <w:tcPr>
                <w:tcW w:w="368" w:type="pct"/>
                <w:shd w:val="clear" w:color="auto" w:fill="auto"/>
                <w:vAlign w:val="center"/>
              </w:tcPr>
              <w:p w14:paraId="14A9EDDC">
                <w:pPr>
                  <w:jc w:val="center"/>
                  <w:rPr>
                    <w:rFonts w:ascii="Arial Narrow" w:hAnsi="Arial Narrow" w:cs="Arial" w:eastAsiaTheme="minorEastAsia"/>
                    <w:szCs w:val="21"/>
                  </w:rPr>
                </w:pPr>
                <w:r>
                  <w:rPr>
                    <w:rFonts w:ascii="Arial Narrow" w:hAnsi="Arial Narrow" w:cs="Arial" w:eastAsiaTheme="minorEastAsia"/>
                    <w:szCs w:val="21"/>
                    <w:lang w:val="en-GB"/>
                  </w:rPr>
                  <w:t>负债合计</w:t>
                </w:r>
              </w:p>
            </w:tc>
          </w:sdtContent>
        </w:sdt>
      </w:tr>
      <w:tr w14:paraId="4478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pct"/>
            <w:vAlign w:val="bottom"/>
          </w:tcPr>
          <w:p w14:paraId="463C4367">
            <w:pPr>
              <w:rPr>
                <w:rFonts w:ascii="Arial Narrow" w:hAnsi="Arial Narrow" w:eastAsiaTheme="minorEastAsia"/>
                <w:szCs w:val="21"/>
              </w:rPr>
            </w:pPr>
            <w:r>
              <w:rPr>
                <w:rFonts w:ascii="Arial Narrow" w:hAnsi="Arial Narrow" w:eastAsiaTheme="minorEastAsia"/>
                <w:color w:val="000000"/>
                <w:szCs w:val="21"/>
              </w:rPr>
              <w:t>湖北际华针织有限公司</w:t>
            </w:r>
          </w:p>
        </w:tc>
        <w:tc>
          <w:tcPr>
            <w:tcW w:w="368" w:type="pct"/>
            <w:vAlign w:val="center"/>
          </w:tcPr>
          <w:p w14:paraId="10F2A056">
            <w:pPr>
              <w:jc w:val="right"/>
              <w:rPr>
                <w:rFonts w:ascii="Arial Narrow" w:hAnsi="Arial Narrow" w:eastAsiaTheme="minorEastAsia"/>
                <w:szCs w:val="21"/>
              </w:rPr>
            </w:pPr>
            <w:r>
              <w:rPr>
                <w:rFonts w:ascii="Arial Narrow" w:hAnsi="Arial Narrow" w:eastAsiaTheme="minorEastAsia"/>
                <w:color w:val="000000"/>
                <w:sz w:val="22"/>
                <w:szCs w:val="22"/>
              </w:rPr>
              <w:t>14,137.02</w:t>
            </w:r>
          </w:p>
        </w:tc>
        <w:tc>
          <w:tcPr>
            <w:tcW w:w="371" w:type="pct"/>
            <w:vAlign w:val="center"/>
          </w:tcPr>
          <w:p w14:paraId="46FDB585">
            <w:pPr>
              <w:jc w:val="right"/>
              <w:rPr>
                <w:rFonts w:ascii="Arial Narrow" w:hAnsi="Arial Narrow" w:eastAsiaTheme="minorEastAsia"/>
                <w:szCs w:val="21"/>
              </w:rPr>
            </w:pPr>
            <w:r>
              <w:rPr>
                <w:rFonts w:ascii="Arial Narrow" w:hAnsi="Arial Narrow" w:eastAsiaTheme="minorEastAsia"/>
                <w:color w:val="000000"/>
                <w:sz w:val="22"/>
                <w:szCs w:val="22"/>
              </w:rPr>
              <w:t>8,430.08</w:t>
            </w:r>
          </w:p>
        </w:tc>
        <w:tc>
          <w:tcPr>
            <w:tcW w:w="371" w:type="pct"/>
            <w:vAlign w:val="center"/>
          </w:tcPr>
          <w:p w14:paraId="0E298497">
            <w:pPr>
              <w:jc w:val="right"/>
              <w:rPr>
                <w:rFonts w:ascii="Arial Narrow" w:hAnsi="Arial Narrow" w:eastAsiaTheme="minorEastAsia"/>
                <w:szCs w:val="21"/>
              </w:rPr>
            </w:pPr>
            <w:r>
              <w:rPr>
                <w:rFonts w:ascii="Arial Narrow" w:hAnsi="Arial Narrow" w:eastAsiaTheme="minorEastAsia"/>
                <w:color w:val="000000"/>
                <w:sz w:val="22"/>
                <w:szCs w:val="22"/>
              </w:rPr>
              <w:t>22,567.10</w:t>
            </w:r>
          </w:p>
        </w:tc>
        <w:tc>
          <w:tcPr>
            <w:tcW w:w="371" w:type="pct"/>
            <w:vAlign w:val="center"/>
          </w:tcPr>
          <w:p w14:paraId="69D03D17">
            <w:pPr>
              <w:jc w:val="right"/>
              <w:rPr>
                <w:rFonts w:ascii="Arial Narrow" w:hAnsi="Arial Narrow" w:eastAsiaTheme="minorEastAsia"/>
                <w:szCs w:val="21"/>
              </w:rPr>
            </w:pPr>
            <w:r>
              <w:rPr>
                <w:rFonts w:ascii="Arial Narrow" w:hAnsi="Arial Narrow" w:eastAsiaTheme="minorEastAsia"/>
                <w:color w:val="000000"/>
                <w:sz w:val="22"/>
                <w:szCs w:val="22"/>
              </w:rPr>
              <w:t>4,571.23</w:t>
            </w:r>
          </w:p>
        </w:tc>
        <w:tc>
          <w:tcPr>
            <w:tcW w:w="372" w:type="pct"/>
            <w:vAlign w:val="center"/>
          </w:tcPr>
          <w:p w14:paraId="74C489F2">
            <w:pPr>
              <w:jc w:val="right"/>
              <w:rPr>
                <w:rFonts w:ascii="Arial Narrow" w:hAnsi="Arial Narrow" w:eastAsiaTheme="minorEastAsia"/>
                <w:szCs w:val="21"/>
              </w:rPr>
            </w:pPr>
          </w:p>
        </w:tc>
        <w:tc>
          <w:tcPr>
            <w:tcW w:w="372" w:type="pct"/>
            <w:vAlign w:val="center"/>
          </w:tcPr>
          <w:p w14:paraId="32ED0D04">
            <w:pPr>
              <w:jc w:val="right"/>
              <w:rPr>
                <w:rFonts w:ascii="Arial Narrow" w:hAnsi="Arial Narrow" w:eastAsiaTheme="minorEastAsia"/>
                <w:szCs w:val="21"/>
              </w:rPr>
            </w:pPr>
            <w:r>
              <w:rPr>
                <w:rFonts w:ascii="Arial Narrow" w:hAnsi="Arial Narrow" w:eastAsiaTheme="minorEastAsia"/>
                <w:color w:val="000000"/>
                <w:sz w:val="22"/>
                <w:szCs w:val="22"/>
              </w:rPr>
              <w:t>4,571.23</w:t>
            </w:r>
          </w:p>
        </w:tc>
        <w:tc>
          <w:tcPr>
            <w:tcW w:w="372" w:type="pct"/>
            <w:vAlign w:val="center"/>
          </w:tcPr>
          <w:p w14:paraId="4B190EEB">
            <w:pPr>
              <w:jc w:val="right"/>
              <w:rPr>
                <w:rFonts w:ascii="Arial Narrow" w:hAnsi="Arial Narrow" w:eastAsiaTheme="minorEastAsia"/>
                <w:szCs w:val="21"/>
              </w:rPr>
            </w:pPr>
            <w:r>
              <w:rPr>
                <w:rFonts w:ascii="Arial Narrow" w:hAnsi="Arial Narrow" w:eastAsiaTheme="minorEastAsia"/>
                <w:color w:val="000000"/>
                <w:sz w:val="22"/>
                <w:szCs w:val="22"/>
              </w:rPr>
              <w:t>16,106.79</w:t>
            </w:r>
          </w:p>
        </w:tc>
        <w:tc>
          <w:tcPr>
            <w:tcW w:w="372" w:type="pct"/>
            <w:vAlign w:val="center"/>
          </w:tcPr>
          <w:p w14:paraId="1B5E3D9E">
            <w:pPr>
              <w:jc w:val="right"/>
              <w:rPr>
                <w:rFonts w:ascii="Arial Narrow" w:hAnsi="Arial Narrow" w:eastAsiaTheme="minorEastAsia"/>
                <w:szCs w:val="21"/>
              </w:rPr>
            </w:pPr>
            <w:r>
              <w:rPr>
                <w:rFonts w:ascii="Arial Narrow" w:hAnsi="Arial Narrow" w:eastAsiaTheme="minorEastAsia"/>
                <w:color w:val="000000"/>
                <w:sz w:val="22"/>
                <w:szCs w:val="22"/>
              </w:rPr>
              <w:t>8,018.32</w:t>
            </w:r>
          </w:p>
        </w:tc>
        <w:tc>
          <w:tcPr>
            <w:tcW w:w="372" w:type="pct"/>
            <w:vAlign w:val="center"/>
          </w:tcPr>
          <w:p w14:paraId="096E8DA0">
            <w:pPr>
              <w:jc w:val="right"/>
              <w:rPr>
                <w:rFonts w:ascii="Arial Narrow" w:hAnsi="Arial Narrow" w:eastAsiaTheme="minorEastAsia"/>
                <w:szCs w:val="21"/>
              </w:rPr>
            </w:pPr>
            <w:r>
              <w:rPr>
                <w:rFonts w:ascii="Arial Narrow" w:hAnsi="Arial Narrow" w:eastAsiaTheme="minorEastAsia"/>
                <w:color w:val="000000"/>
                <w:sz w:val="22"/>
                <w:szCs w:val="22"/>
              </w:rPr>
              <w:t>24,125.11</w:t>
            </w:r>
          </w:p>
        </w:tc>
        <w:tc>
          <w:tcPr>
            <w:tcW w:w="372" w:type="pct"/>
            <w:vAlign w:val="center"/>
          </w:tcPr>
          <w:p w14:paraId="713BE194">
            <w:pPr>
              <w:jc w:val="right"/>
              <w:rPr>
                <w:rFonts w:ascii="Arial Narrow" w:hAnsi="Arial Narrow" w:eastAsiaTheme="minorEastAsia"/>
                <w:szCs w:val="21"/>
              </w:rPr>
            </w:pPr>
            <w:r>
              <w:rPr>
                <w:rFonts w:ascii="Arial Narrow" w:hAnsi="Arial Narrow" w:eastAsiaTheme="minorEastAsia"/>
                <w:color w:val="000000"/>
                <w:sz w:val="22"/>
                <w:szCs w:val="22"/>
              </w:rPr>
              <w:t>6,172.43</w:t>
            </w:r>
          </w:p>
        </w:tc>
        <w:tc>
          <w:tcPr>
            <w:tcW w:w="372" w:type="pct"/>
            <w:vAlign w:val="center"/>
          </w:tcPr>
          <w:p w14:paraId="2149DC49">
            <w:pPr>
              <w:jc w:val="right"/>
              <w:rPr>
                <w:rFonts w:ascii="Arial Narrow" w:hAnsi="Arial Narrow" w:eastAsiaTheme="minorEastAsia"/>
                <w:szCs w:val="21"/>
              </w:rPr>
            </w:pPr>
          </w:p>
        </w:tc>
        <w:tc>
          <w:tcPr>
            <w:tcW w:w="368" w:type="pct"/>
            <w:vAlign w:val="center"/>
          </w:tcPr>
          <w:p w14:paraId="29949731">
            <w:pPr>
              <w:jc w:val="right"/>
              <w:rPr>
                <w:rFonts w:ascii="Arial Narrow" w:hAnsi="Arial Narrow" w:eastAsiaTheme="minorEastAsia"/>
                <w:szCs w:val="21"/>
              </w:rPr>
            </w:pPr>
            <w:r>
              <w:rPr>
                <w:rFonts w:ascii="Arial Narrow" w:hAnsi="Arial Narrow" w:eastAsiaTheme="minorEastAsia"/>
                <w:color w:val="000000"/>
                <w:sz w:val="22"/>
                <w:szCs w:val="22"/>
              </w:rPr>
              <w:t>6,172.43</w:t>
            </w:r>
          </w:p>
        </w:tc>
      </w:tr>
      <w:tr w14:paraId="7230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pct"/>
            <w:vAlign w:val="bottom"/>
          </w:tcPr>
          <w:p w14:paraId="6E719497">
            <w:pPr>
              <w:rPr>
                <w:rFonts w:ascii="Arial Narrow" w:hAnsi="Arial Narrow" w:eastAsiaTheme="minorEastAsia"/>
                <w:szCs w:val="21"/>
              </w:rPr>
            </w:pPr>
            <w:r>
              <w:rPr>
                <w:rFonts w:ascii="Arial Narrow" w:hAnsi="Arial Narrow" w:eastAsiaTheme="minorEastAsia"/>
                <w:color w:val="000000"/>
                <w:szCs w:val="21"/>
              </w:rPr>
              <w:t>新兴际华国际贸易有限公司</w:t>
            </w:r>
          </w:p>
        </w:tc>
        <w:tc>
          <w:tcPr>
            <w:tcW w:w="368" w:type="pct"/>
            <w:vAlign w:val="center"/>
          </w:tcPr>
          <w:p w14:paraId="165E570D">
            <w:pPr>
              <w:jc w:val="right"/>
              <w:rPr>
                <w:rFonts w:ascii="Arial Narrow" w:hAnsi="Arial Narrow" w:eastAsiaTheme="minorEastAsia"/>
                <w:szCs w:val="21"/>
              </w:rPr>
            </w:pPr>
            <w:r>
              <w:rPr>
                <w:rFonts w:ascii="Arial Narrow" w:hAnsi="Arial Narrow" w:eastAsiaTheme="minorEastAsia"/>
                <w:color w:val="000000"/>
                <w:sz w:val="22"/>
                <w:szCs w:val="22"/>
              </w:rPr>
              <w:t>18,885.73</w:t>
            </w:r>
          </w:p>
        </w:tc>
        <w:tc>
          <w:tcPr>
            <w:tcW w:w="371" w:type="pct"/>
            <w:vAlign w:val="center"/>
          </w:tcPr>
          <w:p w14:paraId="3C3E3A4E">
            <w:pPr>
              <w:jc w:val="right"/>
              <w:rPr>
                <w:rFonts w:ascii="Arial Narrow" w:hAnsi="Arial Narrow" w:eastAsiaTheme="minorEastAsia"/>
                <w:szCs w:val="21"/>
              </w:rPr>
            </w:pPr>
            <w:r>
              <w:rPr>
                <w:rFonts w:ascii="Arial Narrow" w:hAnsi="Arial Narrow" w:eastAsiaTheme="minorEastAsia"/>
                <w:color w:val="000000"/>
                <w:sz w:val="22"/>
                <w:szCs w:val="22"/>
              </w:rPr>
              <w:t>1,453.99</w:t>
            </w:r>
          </w:p>
        </w:tc>
        <w:tc>
          <w:tcPr>
            <w:tcW w:w="371" w:type="pct"/>
            <w:vAlign w:val="center"/>
          </w:tcPr>
          <w:p w14:paraId="3A4F9F19">
            <w:pPr>
              <w:jc w:val="right"/>
              <w:rPr>
                <w:rFonts w:ascii="Arial Narrow" w:hAnsi="Arial Narrow" w:eastAsiaTheme="minorEastAsia"/>
                <w:szCs w:val="21"/>
              </w:rPr>
            </w:pPr>
            <w:r>
              <w:rPr>
                <w:rFonts w:ascii="Arial Narrow" w:hAnsi="Arial Narrow" w:eastAsiaTheme="minorEastAsia"/>
                <w:color w:val="000000"/>
                <w:sz w:val="22"/>
                <w:szCs w:val="22"/>
              </w:rPr>
              <w:t>20,339.72</w:t>
            </w:r>
          </w:p>
        </w:tc>
        <w:tc>
          <w:tcPr>
            <w:tcW w:w="371" w:type="pct"/>
            <w:vAlign w:val="center"/>
          </w:tcPr>
          <w:p w14:paraId="1B9756FA">
            <w:pPr>
              <w:jc w:val="right"/>
              <w:rPr>
                <w:rFonts w:ascii="Arial Narrow" w:hAnsi="Arial Narrow" w:eastAsiaTheme="minorEastAsia"/>
                <w:szCs w:val="21"/>
              </w:rPr>
            </w:pPr>
            <w:r>
              <w:rPr>
                <w:rFonts w:ascii="Arial Narrow" w:hAnsi="Arial Narrow" w:eastAsiaTheme="minorEastAsia"/>
                <w:color w:val="000000"/>
                <w:sz w:val="22"/>
                <w:szCs w:val="22"/>
              </w:rPr>
              <w:t>54,077.55</w:t>
            </w:r>
          </w:p>
        </w:tc>
        <w:tc>
          <w:tcPr>
            <w:tcW w:w="372" w:type="pct"/>
            <w:vAlign w:val="center"/>
          </w:tcPr>
          <w:p w14:paraId="17F086F2">
            <w:pPr>
              <w:jc w:val="right"/>
              <w:rPr>
                <w:rFonts w:ascii="Arial Narrow" w:hAnsi="Arial Narrow" w:eastAsiaTheme="minorEastAsia"/>
                <w:szCs w:val="21"/>
              </w:rPr>
            </w:pPr>
          </w:p>
        </w:tc>
        <w:tc>
          <w:tcPr>
            <w:tcW w:w="372" w:type="pct"/>
            <w:vAlign w:val="center"/>
          </w:tcPr>
          <w:p w14:paraId="0175A864">
            <w:pPr>
              <w:jc w:val="right"/>
              <w:rPr>
                <w:rFonts w:ascii="Arial Narrow" w:hAnsi="Arial Narrow" w:eastAsiaTheme="minorEastAsia"/>
                <w:szCs w:val="21"/>
              </w:rPr>
            </w:pPr>
            <w:r>
              <w:rPr>
                <w:rFonts w:ascii="Arial Narrow" w:hAnsi="Arial Narrow" w:eastAsiaTheme="minorEastAsia"/>
                <w:color w:val="000000"/>
                <w:sz w:val="22"/>
                <w:szCs w:val="22"/>
              </w:rPr>
              <w:t>54,077.55</w:t>
            </w:r>
          </w:p>
        </w:tc>
        <w:tc>
          <w:tcPr>
            <w:tcW w:w="372" w:type="pct"/>
            <w:vAlign w:val="center"/>
          </w:tcPr>
          <w:p w14:paraId="19C9B9D4">
            <w:pPr>
              <w:jc w:val="right"/>
              <w:rPr>
                <w:rFonts w:ascii="Arial Narrow" w:hAnsi="Arial Narrow" w:eastAsiaTheme="minorEastAsia"/>
                <w:szCs w:val="21"/>
              </w:rPr>
            </w:pPr>
            <w:r>
              <w:rPr>
                <w:rFonts w:ascii="Arial Narrow" w:hAnsi="Arial Narrow" w:eastAsiaTheme="minorEastAsia"/>
                <w:color w:val="000000"/>
                <w:sz w:val="22"/>
                <w:szCs w:val="22"/>
              </w:rPr>
              <w:t>27,546.84</w:t>
            </w:r>
          </w:p>
        </w:tc>
        <w:tc>
          <w:tcPr>
            <w:tcW w:w="372" w:type="pct"/>
            <w:vAlign w:val="center"/>
          </w:tcPr>
          <w:p w14:paraId="6AEAC804">
            <w:pPr>
              <w:jc w:val="right"/>
              <w:rPr>
                <w:rFonts w:ascii="Arial Narrow" w:hAnsi="Arial Narrow" w:eastAsiaTheme="minorEastAsia"/>
                <w:szCs w:val="21"/>
              </w:rPr>
            </w:pPr>
            <w:r>
              <w:rPr>
                <w:rFonts w:ascii="Arial Narrow" w:hAnsi="Arial Narrow" w:eastAsiaTheme="minorEastAsia"/>
                <w:color w:val="000000"/>
                <w:sz w:val="22"/>
                <w:szCs w:val="22"/>
              </w:rPr>
              <w:t>1,454.25</w:t>
            </w:r>
          </w:p>
        </w:tc>
        <w:tc>
          <w:tcPr>
            <w:tcW w:w="372" w:type="pct"/>
            <w:vAlign w:val="center"/>
          </w:tcPr>
          <w:p w14:paraId="4C082A2A">
            <w:pPr>
              <w:jc w:val="right"/>
              <w:rPr>
                <w:rFonts w:ascii="Arial Narrow" w:hAnsi="Arial Narrow" w:eastAsiaTheme="minorEastAsia"/>
                <w:szCs w:val="21"/>
              </w:rPr>
            </w:pPr>
            <w:r>
              <w:rPr>
                <w:rFonts w:ascii="Arial Narrow" w:hAnsi="Arial Narrow" w:eastAsiaTheme="minorEastAsia"/>
                <w:color w:val="000000"/>
                <w:sz w:val="22"/>
                <w:szCs w:val="22"/>
              </w:rPr>
              <w:t>29,001.09</w:t>
            </w:r>
          </w:p>
        </w:tc>
        <w:tc>
          <w:tcPr>
            <w:tcW w:w="372" w:type="pct"/>
            <w:vAlign w:val="center"/>
          </w:tcPr>
          <w:p w14:paraId="70467448">
            <w:pPr>
              <w:jc w:val="right"/>
              <w:rPr>
                <w:rFonts w:ascii="Arial Narrow" w:hAnsi="Arial Narrow" w:eastAsiaTheme="minorEastAsia"/>
                <w:szCs w:val="21"/>
              </w:rPr>
            </w:pPr>
            <w:r>
              <w:rPr>
                <w:rFonts w:ascii="Arial Narrow" w:hAnsi="Arial Narrow" w:eastAsiaTheme="minorEastAsia"/>
                <w:color w:val="000000"/>
                <w:sz w:val="22"/>
                <w:szCs w:val="22"/>
              </w:rPr>
              <w:t>55,859.45</w:t>
            </w:r>
          </w:p>
        </w:tc>
        <w:tc>
          <w:tcPr>
            <w:tcW w:w="372" w:type="pct"/>
            <w:vAlign w:val="center"/>
          </w:tcPr>
          <w:p w14:paraId="59E7E4FE">
            <w:pPr>
              <w:jc w:val="right"/>
              <w:rPr>
                <w:rFonts w:ascii="Arial Narrow" w:hAnsi="Arial Narrow" w:eastAsiaTheme="minorEastAsia"/>
                <w:szCs w:val="21"/>
              </w:rPr>
            </w:pPr>
          </w:p>
        </w:tc>
        <w:tc>
          <w:tcPr>
            <w:tcW w:w="368" w:type="pct"/>
            <w:vAlign w:val="center"/>
          </w:tcPr>
          <w:p w14:paraId="3048C169">
            <w:pPr>
              <w:jc w:val="right"/>
              <w:rPr>
                <w:rFonts w:ascii="Arial Narrow" w:hAnsi="Arial Narrow" w:eastAsiaTheme="minorEastAsia"/>
                <w:szCs w:val="21"/>
              </w:rPr>
            </w:pPr>
            <w:r>
              <w:rPr>
                <w:rFonts w:ascii="Arial Narrow" w:hAnsi="Arial Narrow" w:eastAsiaTheme="minorEastAsia"/>
                <w:color w:val="000000"/>
                <w:sz w:val="22"/>
                <w:szCs w:val="22"/>
              </w:rPr>
              <w:t>55,859.45</w:t>
            </w:r>
          </w:p>
        </w:tc>
      </w:tr>
    </w:tbl>
    <w:p w14:paraId="500A6DD5">
      <w:pPr>
        <w:rPr>
          <w:rFonts w:hint="eastAsia" w:cs="Arial"/>
          <w:szCs w:val="21"/>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0"/>
        <w:gridCol w:w="1381"/>
        <w:gridCol w:w="1381"/>
        <w:gridCol w:w="1381"/>
        <w:gridCol w:w="1381"/>
        <w:gridCol w:w="1381"/>
        <w:gridCol w:w="1381"/>
        <w:gridCol w:w="1381"/>
        <w:gridCol w:w="1386"/>
      </w:tblGrid>
      <w:tr w14:paraId="0953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ascii="Arial Narrow" w:hAnsi="Arial Narrow" w:eastAsiaTheme="minorEastAsia"/>
            </w:rPr>
            <w:tag w:val="_PLD_f862f5520ccd48d7b0fd3b875414eb44"/>
            <w:id w:val="1339806469"/>
          </w:sdtPr>
          <w:sdtEndPr>
            <w:rPr>
              <w:rFonts w:ascii="Arial Narrow" w:hAnsi="Arial Narrow" w:eastAsiaTheme="minorEastAsia"/>
            </w:rPr>
          </w:sdtEndPr>
          <w:sdtContent>
            <w:tc>
              <w:tcPr>
                <w:tcW w:w="1014" w:type="pct"/>
                <w:vMerge w:val="restart"/>
                <w:shd w:val="clear" w:color="auto" w:fill="auto"/>
                <w:vAlign w:val="center"/>
              </w:tcPr>
              <w:p w14:paraId="3B24632A">
                <w:pPr>
                  <w:spacing w:line="276" w:lineRule="auto"/>
                  <w:ind w:right="-16"/>
                  <w:jc w:val="center"/>
                  <w:rPr>
                    <w:rFonts w:ascii="Arial Narrow" w:hAnsi="Arial Narrow" w:cs="Arial" w:eastAsiaTheme="minorEastAsia"/>
                    <w:bCs/>
                    <w:szCs w:val="21"/>
                  </w:rPr>
                </w:pPr>
                <w:r>
                  <w:rPr>
                    <w:rFonts w:ascii="Arial Narrow" w:hAnsi="Arial Narrow" w:cs="Arial" w:eastAsiaTheme="minorEastAsia"/>
                    <w:bCs/>
                    <w:szCs w:val="21"/>
                    <w:lang w:val="en-GB"/>
                  </w:rPr>
                  <w:t>子公司名称</w:t>
                </w:r>
              </w:p>
            </w:tc>
          </w:sdtContent>
        </w:sdt>
        <w:sdt>
          <w:sdtPr>
            <w:rPr>
              <w:rFonts w:ascii="Arial Narrow" w:hAnsi="Arial Narrow" w:eastAsiaTheme="minorEastAsia"/>
            </w:rPr>
            <w:tag w:val="_PLD_5506f9b7657a4249a69db52c93f94b62"/>
            <w:id w:val="-839232410"/>
          </w:sdtPr>
          <w:sdtEndPr>
            <w:rPr>
              <w:rFonts w:ascii="Arial Narrow" w:hAnsi="Arial Narrow" w:eastAsiaTheme="minorEastAsia"/>
            </w:rPr>
          </w:sdtEndPr>
          <w:sdtContent>
            <w:tc>
              <w:tcPr>
                <w:tcW w:w="1992" w:type="pct"/>
                <w:gridSpan w:val="4"/>
                <w:shd w:val="clear" w:color="auto" w:fill="auto"/>
                <w:vAlign w:val="center"/>
              </w:tcPr>
              <w:p w14:paraId="7DFD137A">
                <w:pPr>
                  <w:spacing w:line="276" w:lineRule="auto"/>
                  <w:ind w:right="-16"/>
                  <w:jc w:val="center"/>
                  <w:rPr>
                    <w:rFonts w:ascii="Arial Narrow" w:hAnsi="Arial Narrow" w:cs="Arial" w:eastAsiaTheme="minorEastAsia"/>
                    <w:bCs/>
                    <w:szCs w:val="21"/>
                  </w:rPr>
                </w:pPr>
                <w:r>
                  <w:rPr>
                    <w:rFonts w:ascii="Arial Narrow" w:hAnsi="Arial Narrow" w:cs="Arial" w:eastAsiaTheme="minorEastAsia"/>
                    <w:bCs/>
                    <w:szCs w:val="21"/>
                    <w:lang w:val="en-GB"/>
                  </w:rPr>
                  <w:t>本期发生额</w:t>
                </w:r>
              </w:p>
            </w:tc>
          </w:sdtContent>
        </w:sdt>
        <w:sdt>
          <w:sdtPr>
            <w:rPr>
              <w:rFonts w:ascii="Arial Narrow" w:hAnsi="Arial Narrow" w:eastAsiaTheme="minorEastAsia"/>
            </w:rPr>
            <w:tag w:val="_PLD_063dddde33114bd0989718130d614207"/>
            <w:id w:val="766970788"/>
          </w:sdtPr>
          <w:sdtEndPr>
            <w:rPr>
              <w:rFonts w:ascii="Arial Narrow" w:hAnsi="Arial Narrow" w:eastAsiaTheme="minorEastAsia"/>
            </w:rPr>
          </w:sdtEndPr>
          <w:sdtContent>
            <w:tc>
              <w:tcPr>
                <w:tcW w:w="1994" w:type="pct"/>
                <w:gridSpan w:val="4"/>
                <w:shd w:val="clear" w:color="auto" w:fill="auto"/>
                <w:vAlign w:val="center"/>
              </w:tcPr>
              <w:p w14:paraId="70E12BA0">
                <w:pPr>
                  <w:spacing w:line="276" w:lineRule="auto"/>
                  <w:ind w:right="-16"/>
                  <w:jc w:val="center"/>
                  <w:rPr>
                    <w:rFonts w:ascii="Arial Narrow" w:hAnsi="Arial Narrow" w:cs="Arial" w:eastAsiaTheme="minorEastAsia"/>
                    <w:bCs/>
                    <w:szCs w:val="21"/>
                  </w:rPr>
                </w:pPr>
                <w:r>
                  <w:rPr>
                    <w:rFonts w:ascii="Arial Narrow" w:hAnsi="Arial Narrow" w:cs="Arial" w:eastAsiaTheme="minorEastAsia"/>
                    <w:bCs/>
                    <w:szCs w:val="21"/>
                    <w:lang w:val="en-GB"/>
                  </w:rPr>
                  <w:t>上期发生额</w:t>
                </w:r>
              </w:p>
            </w:tc>
          </w:sdtContent>
        </w:sdt>
      </w:tr>
      <w:tr w14:paraId="576D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1" w:hRule="atLeast"/>
        </w:trPr>
        <w:tc>
          <w:tcPr>
            <w:tcW w:w="1014" w:type="pct"/>
            <w:vMerge w:val="continue"/>
            <w:shd w:val="clear" w:color="auto" w:fill="auto"/>
            <w:vAlign w:val="center"/>
          </w:tcPr>
          <w:p w14:paraId="636828B7">
            <w:pPr>
              <w:jc w:val="center"/>
              <w:rPr>
                <w:rFonts w:ascii="Arial Narrow" w:hAnsi="Arial Narrow" w:cs="Arial" w:eastAsiaTheme="minorEastAsia"/>
                <w:bCs/>
                <w:szCs w:val="21"/>
              </w:rPr>
            </w:pPr>
          </w:p>
        </w:tc>
        <w:sdt>
          <w:sdtPr>
            <w:rPr>
              <w:rFonts w:ascii="Arial Narrow" w:hAnsi="Arial Narrow" w:eastAsiaTheme="minorEastAsia"/>
            </w:rPr>
            <w:tag w:val="_PLD_0ff6644b89fa49828839f84e0b320d2e"/>
            <w:id w:val="-262541019"/>
          </w:sdtPr>
          <w:sdtEndPr>
            <w:rPr>
              <w:rFonts w:ascii="Arial Narrow" w:hAnsi="Arial Narrow" w:eastAsiaTheme="minorEastAsia"/>
            </w:rPr>
          </w:sdtEndPr>
          <w:sdtContent>
            <w:tc>
              <w:tcPr>
                <w:tcW w:w="498" w:type="pct"/>
                <w:shd w:val="clear" w:color="auto" w:fill="auto"/>
                <w:vAlign w:val="center"/>
              </w:tcPr>
              <w:p w14:paraId="2DEED870">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营业收入</w:t>
                </w:r>
              </w:p>
            </w:tc>
          </w:sdtContent>
        </w:sdt>
        <w:sdt>
          <w:sdtPr>
            <w:rPr>
              <w:rFonts w:ascii="Arial Narrow" w:hAnsi="Arial Narrow" w:eastAsiaTheme="minorEastAsia"/>
            </w:rPr>
            <w:tag w:val="_PLD_3ed6f54533ae4b35b5749cded650328b"/>
            <w:id w:val="2039621469"/>
          </w:sdtPr>
          <w:sdtEndPr>
            <w:rPr>
              <w:rFonts w:ascii="Arial Narrow" w:hAnsi="Arial Narrow" w:eastAsiaTheme="minorEastAsia"/>
            </w:rPr>
          </w:sdtEndPr>
          <w:sdtContent>
            <w:tc>
              <w:tcPr>
                <w:tcW w:w="498" w:type="pct"/>
                <w:shd w:val="clear" w:color="auto" w:fill="auto"/>
                <w:vAlign w:val="center"/>
              </w:tcPr>
              <w:p w14:paraId="3EF20001">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净利润</w:t>
                </w:r>
              </w:p>
            </w:tc>
          </w:sdtContent>
        </w:sdt>
        <w:sdt>
          <w:sdtPr>
            <w:rPr>
              <w:rFonts w:ascii="Arial Narrow" w:hAnsi="Arial Narrow" w:eastAsiaTheme="minorEastAsia"/>
            </w:rPr>
            <w:tag w:val="_PLD_f277e496f88240b8a09027ca500f53c9"/>
            <w:id w:val="1462071056"/>
          </w:sdtPr>
          <w:sdtEndPr>
            <w:rPr>
              <w:rFonts w:ascii="Arial Narrow" w:hAnsi="Arial Narrow" w:eastAsiaTheme="minorEastAsia"/>
            </w:rPr>
          </w:sdtEndPr>
          <w:sdtContent>
            <w:tc>
              <w:tcPr>
                <w:tcW w:w="498" w:type="pct"/>
                <w:shd w:val="clear" w:color="auto" w:fill="auto"/>
                <w:vAlign w:val="center"/>
              </w:tcPr>
              <w:p w14:paraId="64F6EC7F">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综合收益总额</w:t>
                </w:r>
              </w:p>
            </w:tc>
          </w:sdtContent>
        </w:sdt>
        <w:sdt>
          <w:sdtPr>
            <w:rPr>
              <w:rFonts w:ascii="Arial Narrow" w:hAnsi="Arial Narrow" w:eastAsiaTheme="minorEastAsia"/>
            </w:rPr>
            <w:tag w:val="_PLD_b06ad8ebb20b4c158ab41b3105f22658"/>
            <w:id w:val="2138832850"/>
          </w:sdtPr>
          <w:sdtEndPr>
            <w:rPr>
              <w:rFonts w:ascii="Arial Narrow" w:hAnsi="Arial Narrow" w:eastAsiaTheme="minorEastAsia"/>
            </w:rPr>
          </w:sdtEndPr>
          <w:sdtContent>
            <w:tc>
              <w:tcPr>
                <w:tcW w:w="498" w:type="pct"/>
                <w:shd w:val="clear" w:color="auto" w:fill="auto"/>
                <w:vAlign w:val="center"/>
              </w:tcPr>
              <w:p w14:paraId="6FDB9E93">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经营活动现金流量</w:t>
                </w:r>
              </w:p>
            </w:tc>
          </w:sdtContent>
        </w:sdt>
        <w:sdt>
          <w:sdtPr>
            <w:rPr>
              <w:rFonts w:ascii="Arial Narrow" w:hAnsi="Arial Narrow" w:eastAsiaTheme="minorEastAsia"/>
            </w:rPr>
            <w:tag w:val="_PLD_4fc4163d4ea74839b6634e2ab30a43dd"/>
            <w:id w:val="2014878181"/>
          </w:sdtPr>
          <w:sdtEndPr>
            <w:rPr>
              <w:rFonts w:ascii="Arial Narrow" w:hAnsi="Arial Narrow" w:eastAsiaTheme="minorEastAsia"/>
            </w:rPr>
          </w:sdtEndPr>
          <w:sdtContent>
            <w:tc>
              <w:tcPr>
                <w:tcW w:w="498" w:type="pct"/>
                <w:shd w:val="clear" w:color="auto" w:fill="auto"/>
                <w:vAlign w:val="center"/>
              </w:tcPr>
              <w:p w14:paraId="575F5075">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营业收入</w:t>
                </w:r>
              </w:p>
            </w:tc>
          </w:sdtContent>
        </w:sdt>
        <w:sdt>
          <w:sdtPr>
            <w:rPr>
              <w:rFonts w:ascii="Arial Narrow" w:hAnsi="Arial Narrow" w:eastAsiaTheme="minorEastAsia"/>
            </w:rPr>
            <w:tag w:val="_PLD_afe353d057d34119880797ab0530197f"/>
            <w:id w:val="1289935960"/>
          </w:sdtPr>
          <w:sdtEndPr>
            <w:rPr>
              <w:rFonts w:ascii="Arial Narrow" w:hAnsi="Arial Narrow" w:eastAsiaTheme="minorEastAsia"/>
            </w:rPr>
          </w:sdtEndPr>
          <w:sdtContent>
            <w:tc>
              <w:tcPr>
                <w:tcW w:w="498" w:type="pct"/>
                <w:shd w:val="clear" w:color="auto" w:fill="auto"/>
                <w:vAlign w:val="center"/>
              </w:tcPr>
              <w:p w14:paraId="7E9E776F">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净利润</w:t>
                </w:r>
              </w:p>
            </w:tc>
          </w:sdtContent>
        </w:sdt>
        <w:sdt>
          <w:sdtPr>
            <w:rPr>
              <w:rFonts w:ascii="Arial Narrow" w:hAnsi="Arial Narrow" w:eastAsiaTheme="minorEastAsia"/>
            </w:rPr>
            <w:tag w:val="_PLD_06c5ed8a09a8478bb7daf6526e9a9894"/>
            <w:id w:val="-2059544477"/>
          </w:sdtPr>
          <w:sdtEndPr>
            <w:rPr>
              <w:rFonts w:ascii="Arial Narrow" w:hAnsi="Arial Narrow" w:eastAsiaTheme="minorEastAsia"/>
            </w:rPr>
          </w:sdtEndPr>
          <w:sdtContent>
            <w:tc>
              <w:tcPr>
                <w:tcW w:w="498" w:type="pct"/>
                <w:shd w:val="clear" w:color="auto" w:fill="auto"/>
                <w:vAlign w:val="center"/>
              </w:tcPr>
              <w:p w14:paraId="2058E2D9">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综合收益总额</w:t>
                </w:r>
              </w:p>
            </w:tc>
          </w:sdtContent>
        </w:sdt>
        <w:sdt>
          <w:sdtPr>
            <w:rPr>
              <w:rFonts w:ascii="Arial Narrow" w:hAnsi="Arial Narrow" w:eastAsiaTheme="minorEastAsia"/>
            </w:rPr>
            <w:tag w:val="_PLD_4bb5318561af41709725de1d7e458dde"/>
            <w:id w:val="-1027783608"/>
          </w:sdtPr>
          <w:sdtEndPr>
            <w:rPr>
              <w:rFonts w:ascii="Arial Narrow" w:hAnsi="Arial Narrow" w:eastAsiaTheme="minorEastAsia"/>
            </w:rPr>
          </w:sdtEndPr>
          <w:sdtContent>
            <w:tc>
              <w:tcPr>
                <w:tcW w:w="500" w:type="pct"/>
                <w:shd w:val="clear" w:color="auto" w:fill="auto"/>
                <w:vAlign w:val="center"/>
              </w:tcPr>
              <w:p w14:paraId="0D036CB0">
                <w:pPr>
                  <w:spacing w:line="276" w:lineRule="auto"/>
                  <w:jc w:val="center"/>
                  <w:rPr>
                    <w:rFonts w:ascii="Arial Narrow" w:hAnsi="Arial Narrow" w:cs="Arial" w:eastAsiaTheme="minorEastAsia"/>
                    <w:szCs w:val="21"/>
                  </w:rPr>
                </w:pPr>
                <w:r>
                  <w:rPr>
                    <w:rFonts w:ascii="Arial Narrow" w:hAnsi="Arial Narrow" w:cs="Arial" w:eastAsiaTheme="minorEastAsia"/>
                    <w:szCs w:val="21"/>
                    <w:lang w:val="en-GB"/>
                  </w:rPr>
                  <w:t>经营活动现金流量</w:t>
                </w:r>
              </w:p>
            </w:tc>
          </w:sdtContent>
        </w:sdt>
      </w:tr>
      <w:tr w14:paraId="3EC8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pct"/>
            <w:vAlign w:val="bottom"/>
          </w:tcPr>
          <w:p w14:paraId="15F7196B">
            <w:pPr>
              <w:spacing w:line="276" w:lineRule="auto"/>
              <w:rPr>
                <w:rFonts w:ascii="Arial Narrow" w:hAnsi="Arial Narrow" w:eastAsiaTheme="minorEastAsia"/>
                <w:szCs w:val="21"/>
              </w:rPr>
            </w:pPr>
            <w:r>
              <w:rPr>
                <w:rFonts w:ascii="Arial Narrow" w:hAnsi="Arial Narrow" w:eastAsiaTheme="minorEastAsia"/>
                <w:color w:val="000000"/>
                <w:szCs w:val="21"/>
              </w:rPr>
              <w:t>湖北际华针织有限公司</w:t>
            </w:r>
          </w:p>
        </w:tc>
        <w:tc>
          <w:tcPr>
            <w:tcW w:w="498" w:type="pct"/>
            <w:vAlign w:val="center"/>
          </w:tcPr>
          <w:p w14:paraId="4396D684">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18,194.22</w:t>
            </w:r>
          </w:p>
        </w:tc>
        <w:tc>
          <w:tcPr>
            <w:tcW w:w="498" w:type="pct"/>
            <w:vAlign w:val="center"/>
          </w:tcPr>
          <w:p w14:paraId="0CB06C15">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43.19</w:t>
            </w:r>
          </w:p>
        </w:tc>
        <w:tc>
          <w:tcPr>
            <w:tcW w:w="498" w:type="pct"/>
            <w:vAlign w:val="center"/>
          </w:tcPr>
          <w:p w14:paraId="672F2B35">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43.19</w:t>
            </w:r>
          </w:p>
        </w:tc>
        <w:tc>
          <w:tcPr>
            <w:tcW w:w="498" w:type="pct"/>
            <w:vAlign w:val="center"/>
          </w:tcPr>
          <w:p w14:paraId="17997855">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580.63</w:t>
            </w:r>
          </w:p>
        </w:tc>
        <w:tc>
          <w:tcPr>
            <w:tcW w:w="498" w:type="pct"/>
            <w:vAlign w:val="center"/>
          </w:tcPr>
          <w:p w14:paraId="75AA13D1">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20,060.93</w:t>
            </w:r>
          </w:p>
        </w:tc>
        <w:tc>
          <w:tcPr>
            <w:tcW w:w="498" w:type="pct"/>
            <w:vAlign w:val="center"/>
          </w:tcPr>
          <w:p w14:paraId="18C728F2">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1,176.33</w:t>
            </w:r>
          </w:p>
        </w:tc>
        <w:tc>
          <w:tcPr>
            <w:tcW w:w="498" w:type="pct"/>
            <w:vAlign w:val="center"/>
          </w:tcPr>
          <w:p w14:paraId="2B7A94AC">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1,176.33</w:t>
            </w:r>
          </w:p>
        </w:tc>
        <w:tc>
          <w:tcPr>
            <w:tcW w:w="500" w:type="pct"/>
            <w:vAlign w:val="center"/>
          </w:tcPr>
          <w:p w14:paraId="18A64C46">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2,231.62</w:t>
            </w:r>
          </w:p>
        </w:tc>
      </w:tr>
      <w:tr w14:paraId="6497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pct"/>
            <w:vAlign w:val="bottom"/>
          </w:tcPr>
          <w:p w14:paraId="3B2CD224">
            <w:pPr>
              <w:spacing w:line="276" w:lineRule="auto"/>
              <w:rPr>
                <w:rFonts w:ascii="Arial Narrow" w:hAnsi="Arial Narrow" w:eastAsiaTheme="minorEastAsia"/>
                <w:szCs w:val="21"/>
              </w:rPr>
            </w:pPr>
            <w:r>
              <w:rPr>
                <w:rFonts w:ascii="Arial Narrow" w:hAnsi="Arial Narrow" w:eastAsiaTheme="minorEastAsia"/>
                <w:color w:val="000000"/>
                <w:szCs w:val="21"/>
              </w:rPr>
              <w:t>新兴际华国际贸易有限公司</w:t>
            </w:r>
          </w:p>
        </w:tc>
        <w:tc>
          <w:tcPr>
            <w:tcW w:w="498" w:type="pct"/>
            <w:vAlign w:val="center"/>
          </w:tcPr>
          <w:p w14:paraId="41867822">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22,811.67</w:t>
            </w:r>
          </w:p>
        </w:tc>
        <w:tc>
          <w:tcPr>
            <w:tcW w:w="498" w:type="pct"/>
            <w:vAlign w:val="center"/>
          </w:tcPr>
          <w:p w14:paraId="5EBB8E03">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-6,879.48</w:t>
            </w:r>
          </w:p>
        </w:tc>
        <w:tc>
          <w:tcPr>
            <w:tcW w:w="498" w:type="pct"/>
            <w:vAlign w:val="center"/>
          </w:tcPr>
          <w:p w14:paraId="5C43E4E0">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-6,879.48</w:t>
            </w:r>
          </w:p>
        </w:tc>
        <w:tc>
          <w:tcPr>
            <w:tcW w:w="498" w:type="pct"/>
            <w:vAlign w:val="center"/>
          </w:tcPr>
          <w:p w14:paraId="33B052C5">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393.29</w:t>
            </w:r>
          </w:p>
        </w:tc>
        <w:tc>
          <w:tcPr>
            <w:tcW w:w="498" w:type="pct"/>
            <w:vAlign w:val="center"/>
          </w:tcPr>
          <w:p w14:paraId="0E6430E7">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69,293.28</w:t>
            </w:r>
          </w:p>
        </w:tc>
        <w:tc>
          <w:tcPr>
            <w:tcW w:w="498" w:type="pct"/>
            <w:vAlign w:val="center"/>
          </w:tcPr>
          <w:p w14:paraId="34B4BF86">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849.88</w:t>
            </w:r>
          </w:p>
        </w:tc>
        <w:tc>
          <w:tcPr>
            <w:tcW w:w="498" w:type="pct"/>
            <w:vAlign w:val="center"/>
          </w:tcPr>
          <w:p w14:paraId="15243499">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849.88</w:t>
            </w:r>
          </w:p>
        </w:tc>
        <w:tc>
          <w:tcPr>
            <w:tcW w:w="500" w:type="pct"/>
            <w:vAlign w:val="center"/>
          </w:tcPr>
          <w:p w14:paraId="29029EE9">
            <w:pPr>
              <w:spacing w:line="276" w:lineRule="auto"/>
              <w:jc w:val="right"/>
              <w:rPr>
                <w:rFonts w:ascii="Arial Narrow" w:hAnsi="Arial Narrow" w:eastAsiaTheme="minorEastAsia"/>
                <w:szCs w:val="21"/>
              </w:rPr>
            </w:pPr>
            <w:r>
              <w:rPr>
                <w:rFonts w:ascii="Arial Narrow" w:hAnsi="Arial Narrow" w:eastAsiaTheme="minorEastAsia"/>
                <w:color w:val="000000"/>
                <w:sz w:val="22"/>
                <w:szCs w:val="22"/>
              </w:rPr>
              <w:t>-1,154.22</w:t>
            </w:r>
          </w:p>
        </w:tc>
      </w:tr>
    </w:tbl>
    <w:p w14:paraId="1320CCEF">
      <w:pPr>
        <w:rPr>
          <w:rFonts w:hint="eastAsia" w:cs="Arial"/>
          <w:szCs w:val="21"/>
        </w:rPr>
      </w:pPr>
      <w:r>
        <w:rPr>
          <w:rFonts w:hint="eastAsia" w:cs="Arial"/>
          <w:szCs w:val="21"/>
        </w:rPr>
        <w:t>其他说明：</w:t>
      </w:r>
    </w:p>
    <w:sdt>
      <w:sdtPr>
        <w:rPr>
          <w:rFonts w:cs="Arial"/>
          <w:szCs w:val="21"/>
        </w:rPr>
        <w:alias w:val="重要非全资子公司的主要财务信息的其他说明"/>
        <w:tag w:val="_GBC_c6413d961dad488aae6fcf0fda2bf33a"/>
        <w:id w:val="-845862830"/>
        <w:placeholder>
          <w:docPart w:val="GBC22222222222222222222222222222"/>
        </w:placeholder>
      </w:sdtPr>
      <w:sdtEndPr>
        <w:rPr>
          <w:rFonts w:cs="Arial"/>
          <w:szCs w:val="21"/>
        </w:rPr>
      </w:sdtEndPr>
      <w:sdtContent>
        <w:p w14:paraId="6C62A2D8">
          <w:pPr>
            <w:rPr>
              <w:rFonts w:hint="eastAsia" w:cs="Arial"/>
              <w:szCs w:val="21"/>
            </w:rPr>
          </w:pPr>
          <w:r>
            <w:rPr>
              <w:rFonts w:hint="eastAsia" w:cs="Arial"/>
              <w:szCs w:val="21"/>
            </w:rPr>
            <w:t>无</w:t>
          </w:r>
        </w:p>
      </w:sdtContent>
    </w:sdt>
    <w:p w14:paraId="1F0E3740">
      <w:pPr>
        <w:rPr>
          <w:rFonts w:hint="eastAsia" w:cs="Arial"/>
          <w:szCs w:val="21"/>
        </w:rPr>
      </w:pPr>
    </w:p>
    <w:p w14:paraId="7F6A529C">
      <w:pPr>
        <w:pStyle w:val="71"/>
        <w:numPr>
          <w:ilvl w:val="3"/>
          <w:numId w:val="156"/>
        </w:numPr>
        <w:ind w:left="426" w:hanging="426" w:hangingChars="202"/>
        <w:rPr>
          <w:rFonts w:hint="eastAsia"/>
        </w:rPr>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247921536"/>
        <w:placeholder>
          <w:docPart w:val="GBC22222222222222222222222222222"/>
        </w:placeholder>
      </w:sdtPr>
      <w:sdtContent>
        <w:p w14:paraId="14D4C343">
          <w:pPr>
            <w:rPr>
              <w:rFonts w:hint="eastAsia" w:cs="Arial"/>
              <w:b/>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1538ADA">
      <w:pPr>
        <w:rPr>
          <w:rFonts w:hint="eastAsia" w:cs="Arial"/>
          <w:szCs w:val="21"/>
        </w:rPr>
      </w:pPr>
    </w:p>
    <w:p w14:paraId="3D0298CC">
      <w:pPr>
        <w:pStyle w:val="71"/>
        <w:numPr>
          <w:ilvl w:val="3"/>
          <w:numId w:val="156"/>
        </w:numPr>
        <w:ind w:left="426" w:hanging="426" w:hangingChars="202"/>
        <w:rPr>
          <w:rFonts w:hint="eastAsia"/>
        </w:rPr>
      </w:pPr>
      <w:r>
        <w:rPr>
          <w:rFonts w:hint="eastAsia"/>
        </w:rPr>
        <w:t>向纳入合并财务报表范围的结构化主体提供的财务支持或其他支持</w:t>
      </w:r>
    </w:p>
    <w:sdt>
      <w:sdtPr>
        <w:rPr>
          <w:rFonts w:hint="eastAsia" w:cs="Arial"/>
          <w:szCs w:val="21"/>
        </w:rPr>
        <w:alias w:val="是否适用：向纳入合并财务报表范围的结构化主体提供的财务支持或其他支持[双击切换]"/>
        <w:tag w:val="_GBC_395393741a9c49d1bd1b845f818ade1e"/>
        <w:id w:val="-778791904"/>
        <w:placeholder>
          <w:docPart w:val="GBC22222222222222222222222222222"/>
        </w:placeholder>
      </w:sdtPr>
      <w:sdtEndPr>
        <w:rPr>
          <w:rFonts w:hint="eastAsia" w:cs="Arial"/>
          <w:szCs w:val="21"/>
        </w:rPr>
      </w:sdtEndPr>
      <w:sdtContent>
        <w:p w14:paraId="26AFC0B7">
          <w:pPr>
            <w:rPr>
              <w:rFonts w:hint="eastAsia" w:cs="Arial"/>
              <w:szCs w:val="21"/>
            </w:rPr>
          </w:pPr>
          <w:r>
            <w:rPr>
              <w:rFonts w:cs="Arial"/>
              <w:szCs w:val="21"/>
            </w:rPr>
            <w:fldChar w:fldCharType="begin"/>
          </w:r>
          <w:r>
            <w:rPr>
              <w:rFonts w:hint="eastAsia" w:cs="Arial"/>
              <w:szCs w:val="21"/>
            </w:rPr>
            <w:instrText xml:space="preserve"> 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3F810040">
      <w:pPr>
        <w:rPr>
          <w:rFonts w:hint="eastAsia" w:cs="Arial"/>
          <w:b/>
          <w:szCs w:val="21"/>
        </w:rPr>
      </w:pPr>
    </w:p>
    <w:p w14:paraId="52F373EF">
      <w:pPr>
        <w:rPr>
          <w:rFonts w:hint="eastAsia"/>
          <w:szCs w:val="21"/>
        </w:rPr>
      </w:pPr>
      <w:r>
        <w:rPr>
          <w:rFonts w:hint="eastAsia"/>
          <w:szCs w:val="21"/>
        </w:rPr>
        <w:t>其他说明：</w:t>
      </w:r>
    </w:p>
    <w:sdt>
      <w:sdtPr>
        <w:rPr>
          <w:szCs w:val="21"/>
        </w:rPr>
        <w:alias w:val="是否适用：在子公司中的权益其他说明[双击切换]"/>
        <w:tag w:val="_GBC_b26ad9d381c8467f9c05b435b2cb6493"/>
        <w:id w:val="-456949267"/>
        <w:placeholder>
          <w:docPart w:val="GBC22222222222222222222222222222"/>
        </w:placeholder>
      </w:sdtPr>
      <w:sdtEndPr>
        <w:rPr>
          <w:szCs w:val="21"/>
        </w:rPr>
      </w:sdtEndPr>
      <w:sdtContent>
        <w:p w14:paraId="63130AC7">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BD3B5DF">
      <w:pPr>
        <w:rPr>
          <w:rFonts w:hint="eastAsia"/>
          <w:szCs w:val="21"/>
        </w:rPr>
        <w:sectPr>
          <w:pgSz w:w="16838" w:h="11906" w:orient="landscape"/>
          <w:pgMar w:top="1797" w:right="1525" w:bottom="1276" w:left="1440" w:header="856" w:footer="992" w:gutter="0"/>
          <w:cols w:space="425" w:num="1"/>
          <w:docGrid w:linePitch="312" w:charSpace="0"/>
        </w:sectPr>
      </w:pPr>
    </w:p>
    <w:p w14:paraId="6C9150C1">
      <w:pPr>
        <w:rPr>
          <w:rFonts w:hint="eastAsia"/>
          <w:szCs w:val="21"/>
        </w:rPr>
      </w:pPr>
    </w:p>
    <w:p w14:paraId="1DD3DB80">
      <w:pPr>
        <w:pStyle w:val="70"/>
        <w:numPr>
          <w:ilvl w:val="2"/>
          <w:numId w:val="155"/>
        </w:numPr>
      </w:pPr>
      <w:r>
        <w:rPr>
          <w:rFonts w:hint="eastAsia"/>
        </w:rPr>
        <w:t>在子公司的所有者权益份额发生变化且仍控制子公司的交易</w:t>
      </w:r>
    </w:p>
    <w:sdt>
      <w:sdtPr>
        <w:alias w:val="是否适用：在子公司的所有者权益份额发生变化且仍控制子公司的交易[双击切换]"/>
        <w:tag w:val="_GBC_4c0599836d204e25b4d5d4f8434a2c4c"/>
        <w:id w:val="-1366211931"/>
        <w:placeholder>
          <w:docPart w:val="GBC22222222222222222222222222222"/>
        </w:placeholder>
      </w:sdtPr>
      <w:sdtContent>
        <w:p w14:paraId="639879D1">
          <w:pPr>
            <w:rPr>
              <w:rFonts w:hint="eastAsia" w:cs="Arial"/>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31CF9CA">
      <w:pPr>
        <w:rPr>
          <w:rFonts w:hint="eastAsia" w:cs="Arial"/>
          <w:szCs w:val="21"/>
        </w:rPr>
      </w:pPr>
    </w:p>
    <w:p w14:paraId="79A792A5">
      <w:pPr>
        <w:rPr>
          <w:rFonts w:hint="eastAsia"/>
          <w:szCs w:val="21"/>
        </w:rPr>
      </w:pPr>
    </w:p>
    <w:p w14:paraId="2CB1C319">
      <w:pPr>
        <w:pStyle w:val="70"/>
        <w:numPr>
          <w:ilvl w:val="2"/>
          <w:numId w:val="155"/>
        </w:numPr>
      </w:pPr>
      <w:r>
        <w:rPr>
          <w:rFonts w:hint="eastAsia"/>
        </w:rPr>
        <w:t>在合营企业或联营企业中的权益</w:t>
      </w:r>
    </w:p>
    <w:sdt>
      <w:sdtPr>
        <w:alias w:val="是否适用：在合营企业或联营企业中的权益[双击切换]"/>
        <w:tag w:val="_GBC_2bff91875b7a49f3929c4613048756c1"/>
        <w:id w:val="-2901327"/>
        <w:placeholder>
          <w:docPart w:val="GBC22222222222222222222222222222"/>
        </w:placeholder>
      </w:sdtPr>
      <w:sdtContent>
        <w:p w14:paraId="3A96530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3FAF454">
      <w:pPr>
        <w:pStyle w:val="71"/>
        <w:numPr>
          <w:ilvl w:val="3"/>
          <w:numId w:val="157"/>
        </w:numPr>
        <w:ind w:left="426" w:hanging="426" w:hangingChars="202"/>
        <w:rPr>
          <w:rFonts w:hint="eastAsia"/>
        </w:rPr>
      </w:pPr>
      <w:r>
        <w:rPr>
          <w:rFonts w:hint="eastAsia"/>
        </w:rPr>
        <w:t>重要的合营企业或联营企业</w:t>
      </w:r>
    </w:p>
    <w:sdt>
      <w:sdtPr>
        <w:rPr>
          <w:rFonts w:hint="eastAsia"/>
        </w:rPr>
        <w:alias w:val="是否适用：重要的合营企业或联营企业[双击切换]"/>
        <w:tag w:val="_GBC_99df64ed4bb84c2da5fb54cda5ae039b"/>
        <w:id w:val="2000232851"/>
        <w:placeholder>
          <w:docPart w:val="GBC22222222222222222222222222222"/>
        </w:placeholder>
      </w:sdtPr>
      <w:sdtEndPr>
        <w:rPr>
          <w:rFonts w:hint="eastAsia"/>
        </w:rPr>
      </w:sdtEndPr>
      <w:sdtContent>
        <w:p w14:paraId="3D7BFF60">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5900DCF1">
      <w:pPr>
        <w:jc w:val="right"/>
        <w:rPr>
          <w:rFonts w:hint="eastAsia"/>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133"/>
        <w:gridCol w:w="992"/>
        <w:gridCol w:w="992"/>
        <w:gridCol w:w="1034"/>
        <w:gridCol w:w="1066"/>
        <w:gridCol w:w="1768"/>
      </w:tblGrid>
      <w:tr w14:paraId="3D48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sdt>
          <w:sdtPr>
            <w:rPr>
              <w:rFonts w:ascii="Arial Narrow" w:hAnsi="Arial Narrow" w:eastAsiaTheme="minorEastAsia"/>
            </w:rPr>
            <w:tag w:val="_PLD_6004d65b7e3443dc82381484e3885a6b"/>
            <w:id w:val="1544951313"/>
          </w:sdtPr>
          <w:sdtEndPr>
            <w:rPr>
              <w:rFonts w:ascii="Arial Narrow" w:hAnsi="Arial Narrow" w:eastAsiaTheme="minorEastAsia"/>
            </w:rPr>
          </w:sdtEndPr>
          <w:sdtContent>
            <w:tc>
              <w:tcPr>
                <w:tcW w:w="1042" w:type="pct"/>
                <w:vMerge w:val="restart"/>
                <w:shd w:val="clear" w:color="auto" w:fill="auto"/>
                <w:vAlign w:val="center"/>
              </w:tcPr>
              <w:p w14:paraId="1128E5F1">
                <w:pPr>
                  <w:jc w:val="center"/>
                  <w:rPr>
                    <w:rFonts w:ascii="Arial Narrow" w:hAnsi="Arial Narrow" w:cs="Arial" w:eastAsiaTheme="minorEastAsia"/>
                    <w:szCs w:val="21"/>
                  </w:rPr>
                </w:pPr>
                <w:r>
                  <w:rPr>
                    <w:rFonts w:ascii="Arial Narrow" w:hAnsi="Arial Narrow" w:cs="Arial" w:eastAsiaTheme="minorEastAsia"/>
                    <w:szCs w:val="21"/>
                    <w:lang w:val="en-GB"/>
                  </w:rPr>
                  <w:t>合营企业或联营企业名称</w:t>
                </w:r>
              </w:p>
            </w:tc>
          </w:sdtContent>
        </w:sdt>
        <w:sdt>
          <w:sdtPr>
            <w:rPr>
              <w:rFonts w:ascii="Arial Narrow" w:hAnsi="Arial Narrow" w:eastAsiaTheme="minorEastAsia"/>
            </w:rPr>
            <w:tag w:val="_PLD_2e148655e91e4b998bd7a7d0b10c96fd"/>
            <w:id w:val="-717978256"/>
          </w:sdtPr>
          <w:sdtEndPr>
            <w:rPr>
              <w:rFonts w:ascii="Arial Narrow" w:hAnsi="Arial Narrow" w:eastAsiaTheme="minorEastAsia"/>
            </w:rPr>
          </w:sdtEndPr>
          <w:sdtContent>
            <w:tc>
              <w:tcPr>
                <w:tcW w:w="642" w:type="pct"/>
                <w:vMerge w:val="restart"/>
                <w:shd w:val="clear" w:color="auto" w:fill="auto"/>
                <w:vAlign w:val="center"/>
              </w:tcPr>
              <w:p w14:paraId="690A009A">
                <w:pPr>
                  <w:jc w:val="center"/>
                  <w:rPr>
                    <w:rFonts w:ascii="Arial Narrow" w:hAnsi="Arial Narrow" w:cs="Arial" w:eastAsiaTheme="minorEastAsia"/>
                    <w:szCs w:val="21"/>
                  </w:rPr>
                </w:pPr>
                <w:r>
                  <w:rPr>
                    <w:rFonts w:ascii="Arial Narrow" w:hAnsi="Arial Narrow" w:cs="Arial" w:eastAsiaTheme="minorEastAsia"/>
                    <w:szCs w:val="21"/>
                    <w:lang w:val="en-GB"/>
                  </w:rPr>
                  <w:t>主要经营地</w:t>
                </w:r>
              </w:p>
            </w:tc>
          </w:sdtContent>
        </w:sdt>
        <w:sdt>
          <w:sdtPr>
            <w:rPr>
              <w:rFonts w:ascii="Arial Narrow" w:hAnsi="Arial Narrow" w:eastAsiaTheme="minorEastAsia"/>
            </w:rPr>
            <w:tag w:val="_PLD_32e2714eb7074350886ae0d40b5c34b1"/>
            <w:id w:val="-2007735147"/>
          </w:sdtPr>
          <w:sdtEndPr>
            <w:rPr>
              <w:rFonts w:ascii="Arial Narrow" w:hAnsi="Arial Narrow" w:eastAsiaTheme="minorEastAsia"/>
            </w:rPr>
          </w:sdtEndPr>
          <w:sdtContent>
            <w:tc>
              <w:tcPr>
                <w:tcW w:w="562" w:type="pct"/>
                <w:vMerge w:val="restart"/>
                <w:shd w:val="clear" w:color="auto" w:fill="auto"/>
                <w:vAlign w:val="center"/>
              </w:tcPr>
              <w:p w14:paraId="3FC5FAAC">
                <w:pPr>
                  <w:jc w:val="center"/>
                  <w:rPr>
                    <w:rFonts w:ascii="Arial Narrow" w:hAnsi="Arial Narrow" w:cs="Arial" w:eastAsiaTheme="minorEastAsia"/>
                    <w:szCs w:val="21"/>
                  </w:rPr>
                </w:pPr>
                <w:r>
                  <w:rPr>
                    <w:rFonts w:ascii="Arial Narrow" w:hAnsi="Arial Narrow" w:cs="Arial" w:eastAsiaTheme="minorEastAsia"/>
                    <w:szCs w:val="21"/>
                    <w:lang w:val="en-GB"/>
                  </w:rPr>
                  <w:t>注册地</w:t>
                </w:r>
              </w:p>
            </w:tc>
          </w:sdtContent>
        </w:sdt>
        <w:sdt>
          <w:sdtPr>
            <w:rPr>
              <w:rFonts w:ascii="Arial Narrow" w:hAnsi="Arial Narrow" w:eastAsiaTheme="minorEastAsia"/>
            </w:rPr>
            <w:tag w:val="_PLD_d429c77b8bef473a98608606ebcd4d75"/>
            <w:id w:val="-237402835"/>
          </w:sdtPr>
          <w:sdtEndPr>
            <w:rPr>
              <w:rFonts w:ascii="Arial Narrow" w:hAnsi="Arial Narrow" w:eastAsiaTheme="minorEastAsia"/>
            </w:rPr>
          </w:sdtEndPr>
          <w:sdtContent>
            <w:tc>
              <w:tcPr>
                <w:tcW w:w="562" w:type="pct"/>
                <w:vMerge w:val="restart"/>
                <w:shd w:val="clear" w:color="auto" w:fill="auto"/>
                <w:vAlign w:val="center"/>
              </w:tcPr>
              <w:p w14:paraId="292E7373">
                <w:pPr>
                  <w:jc w:val="center"/>
                  <w:rPr>
                    <w:rFonts w:ascii="Arial Narrow" w:hAnsi="Arial Narrow" w:cs="Arial" w:eastAsiaTheme="minorEastAsia"/>
                    <w:szCs w:val="21"/>
                  </w:rPr>
                </w:pPr>
                <w:r>
                  <w:rPr>
                    <w:rFonts w:ascii="Arial Narrow" w:hAnsi="Arial Narrow" w:cs="Arial" w:eastAsiaTheme="minorEastAsia"/>
                    <w:szCs w:val="21"/>
                    <w:lang w:val="en-GB"/>
                  </w:rPr>
                  <w:t>业务性质</w:t>
                </w:r>
              </w:p>
            </w:tc>
          </w:sdtContent>
        </w:sdt>
        <w:sdt>
          <w:sdtPr>
            <w:rPr>
              <w:rFonts w:ascii="Arial Narrow" w:hAnsi="Arial Narrow" w:eastAsiaTheme="minorEastAsia"/>
            </w:rPr>
            <w:tag w:val="_PLD_bc055f9d5073401a85de2316f2a2b7ce"/>
            <w:id w:val="1501075166"/>
          </w:sdtPr>
          <w:sdtEndPr>
            <w:rPr>
              <w:rFonts w:ascii="Arial Narrow" w:hAnsi="Arial Narrow" w:eastAsiaTheme="minorEastAsia"/>
            </w:rPr>
          </w:sdtEndPr>
          <w:sdtContent>
            <w:tc>
              <w:tcPr>
                <w:tcW w:w="1190" w:type="pct"/>
                <w:gridSpan w:val="2"/>
                <w:shd w:val="clear" w:color="auto" w:fill="auto"/>
                <w:vAlign w:val="center"/>
              </w:tcPr>
              <w:p w14:paraId="760FC9E2">
                <w:pPr>
                  <w:jc w:val="center"/>
                  <w:rPr>
                    <w:rFonts w:ascii="Arial Narrow" w:hAnsi="Arial Narrow" w:cs="Arial" w:eastAsiaTheme="minorEastAsia"/>
                    <w:szCs w:val="21"/>
                  </w:rPr>
                </w:pPr>
                <w:r>
                  <w:rPr>
                    <w:rFonts w:ascii="Arial Narrow" w:hAnsi="Arial Narrow" w:cs="Arial" w:eastAsiaTheme="minorEastAsia"/>
                    <w:szCs w:val="21"/>
                    <w:lang w:val="en-GB"/>
                  </w:rPr>
                  <w:t>持股比例</w:t>
                </w:r>
                <w:r>
                  <w:rPr>
                    <w:rFonts w:ascii="Arial Narrow" w:hAnsi="Arial Narrow" w:cs="Arial" w:eastAsiaTheme="minorEastAsia"/>
                    <w:szCs w:val="21"/>
                  </w:rPr>
                  <w:t>(%)</w:t>
                </w:r>
              </w:p>
            </w:tc>
          </w:sdtContent>
        </w:sdt>
        <w:sdt>
          <w:sdtPr>
            <w:rPr>
              <w:rFonts w:ascii="Arial Narrow" w:hAnsi="Arial Narrow" w:eastAsiaTheme="minorEastAsia"/>
            </w:rPr>
            <w:tag w:val="_PLD_96c57a3220e8432f8deedb4873fcf29c"/>
            <w:id w:val="375283275"/>
          </w:sdtPr>
          <w:sdtEndPr>
            <w:rPr>
              <w:rFonts w:ascii="Arial Narrow" w:hAnsi="Arial Narrow" w:eastAsiaTheme="minorEastAsia"/>
            </w:rPr>
          </w:sdtEndPr>
          <w:sdtContent>
            <w:tc>
              <w:tcPr>
                <w:tcW w:w="1002" w:type="pct"/>
                <w:vMerge w:val="restart"/>
                <w:shd w:val="clear" w:color="auto" w:fill="auto"/>
                <w:vAlign w:val="center"/>
              </w:tcPr>
              <w:p w14:paraId="56C0CB67">
                <w:pPr>
                  <w:jc w:val="center"/>
                  <w:rPr>
                    <w:rFonts w:ascii="Arial Narrow" w:hAnsi="Arial Narrow" w:cs="Arial" w:eastAsiaTheme="minorEastAsia"/>
                    <w:szCs w:val="21"/>
                  </w:rPr>
                </w:pPr>
                <w:r>
                  <w:rPr>
                    <w:rFonts w:ascii="Arial Narrow" w:hAnsi="Arial Narrow" w:cs="Arial" w:eastAsiaTheme="minorEastAsia"/>
                    <w:szCs w:val="21"/>
                    <w:lang w:val="en-GB"/>
                  </w:rPr>
                  <w:t>对合营企业或联营企业投资的会计处理方法</w:t>
                </w:r>
              </w:p>
            </w:tc>
          </w:sdtContent>
        </w:sdt>
      </w:tr>
      <w:tr w14:paraId="7F39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042" w:type="pct"/>
            <w:vMerge w:val="continue"/>
            <w:shd w:val="clear" w:color="auto" w:fill="auto"/>
            <w:vAlign w:val="center"/>
          </w:tcPr>
          <w:p w14:paraId="0E8BA7FF">
            <w:pPr>
              <w:rPr>
                <w:rFonts w:ascii="Arial Narrow" w:hAnsi="Arial Narrow" w:cs="Arial" w:eastAsiaTheme="minorEastAsia"/>
                <w:szCs w:val="21"/>
              </w:rPr>
            </w:pPr>
          </w:p>
        </w:tc>
        <w:tc>
          <w:tcPr>
            <w:tcW w:w="642" w:type="pct"/>
            <w:vMerge w:val="continue"/>
            <w:shd w:val="clear" w:color="auto" w:fill="auto"/>
            <w:vAlign w:val="center"/>
          </w:tcPr>
          <w:p w14:paraId="1EB8AB72">
            <w:pPr>
              <w:rPr>
                <w:rFonts w:ascii="Arial Narrow" w:hAnsi="Arial Narrow" w:cs="Arial" w:eastAsiaTheme="minorEastAsia"/>
                <w:szCs w:val="21"/>
              </w:rPr>
            </w:pPr>
          </w:p>
        </w:tc>
        <w:tc>
          <w:tcPr>
            <w:tcW w:w="562" w:type="pct"/>
            <w:vMerge w:val="continue"/>
            <w:shd w:val="clear" w:color="auto" w:fill="auto"/>
            <w:vAlign w:val="center"/>
          </w:tcPr>
          <w:p w14:paraId="2D95E4AB">
            <w:pPr>
              <w:rPr>
                <w:rFonts w:ascii="Arial Narrow" w:hAnsi="Arial Narrow" w:cs="Arial" w:eastAsiaTheme="minorEastAsia"/>
                <w:szCs w:val="21"/>
              </w:rPr>
            </w:pPr>
          </w:p>
        </w:tc>
        <w:tc>
          <w:tcPr>
            <w:tcW w:w="562" w:type="pct"/>
            <w:vMerge w:val="continue"/>
            <w:shd w:val="clear" w:color="auto" w:fill="auto"/>
            <w:vAlign w:val="center"/>
          </w:tcPr>
          <w:p w14:paraId="6A724D0F">
            <w:pPr>
              <w:rPr>
                <w:rFonts w:ascii="Arial Narrow" w:hAnsi="Arial Narrow" w:cs="Arial" w:eastAsiaTheme="minorEastAsia"/>
                <w:szCs w:val="21"/>
              </w:rPr>
            </w:pPr>
          </w:p>
        </w:tc>
        <w:sdt>
          <w:sdtPr>
            <w:rPr>
              <w:rFonts w:ascii="Arial Narrow" w:hAnsi="Arial Narrow" w:eastAsiaTheme="minorEastAsia"/>
            </w:rPr>
            <w:tag w:val="_PLD_076e5c9e7ab64e6db098592664f75c64"/>
            <w:id w:val="-867984914"/>
          </w:sdtPr>
          <w:sdtEndPr>
            <w:rPr>
              <w:rFonts w:ascii="Arial Narrow" w:hAnsi="Arial Narrow" w:eastAsiaTheme="minorEastAsia"/>
            </w:rPr>
          </w:sdtEndPr>
          <w:sdtContent>
            <w:tc>
              <w:tcPr>
                <w:tcW w:w="586" w:type="pct"/>
                <w:shd w:val="clear" w:color="auto" w:fill="auto"/>
                <w:vAlign w:val="center"/>
              </w:tcPr>
              <w:p w14:paraId="3E032997">
                <w:pPr>
                  <w:jc w:val="center"/>
                  <w:rPr>
                    <w:rFonts w:ascii="Arial Narrow" w:hAnsi="Arial Narrow" w:cs="Arial" w:eastAsiaTheme="minorEastAsia"/>
                    <w:szCs w:val="21"/>
                  </w:rPr>
                </w:pPr>
                <w:r>
                  <w:rPr>
                    <w:rFonts w:ascii="Arial Narrow" w:hAnsi="Arial Narrow" w:cs="Arial" w:eastAsiaTheme="minorEastAsia"/>
                    <w:szCs w:val="21"/>
                    <w:lang w:val="en-GB"/>
                  </w:rPr>
                  <w:t>直接</w:t>
                </w:r>
              </w:p>
            </w:tc>
          </w:sdtContent>
        </w:sdt>
        <w:sdt>
          <w:sdtPr>
            <w:rPr>
              <w:rFonts w:ascii="Arial Narrow" w:hAnsi="Arial Narrow" w:eastAsiaTheme="minorEastAsia"/>
            </w:rPr>
            <w:tag w:val="_PLD_49b77f1690ee4cc88f829d510135f0bf"/>
            <w:id w:val="-1784408470"/>
          </w:sdtPr>
          <w:sdtEndPr>
            <w:rPr>
              <w:rFonts w:ascii="Arial Narrow" w:hAnsi="Arial Narrow" w:eastAsiaTheme="minorEastAsia"/>
            </w:rPr>
          </w:sdtEndPr>
          <w:sdtContent>
            <w:tc>
              <w:tcPr>
                <w:tcW w:w="604" w:type="pct"/>
                <w:shd w:val="clear" w:color="auto" w:fill="auto"/>
                <w:vAlign w:val="center"/>
              </w:tcPr>
              <w:p w14:paraId="1A5F6A56">
                <w:pPr>
                  <w:jc w:val="center"/>
                  <w:rPr>
                    <w:rFonts w:ascii="Arial Narrow" w:hAnsi="Arial Narrow" w:cs="Arial" w:eastAsiaTheme="minorEastAsia"/>
                    <w:szCs w:val="21"/>
                  </w:rPr>
                </w:pPr>
                <w:r>
                  <w:rPr>
                    <w:rFonts w:ascii="Arial Narrow" w:hAnsi="Arial Narrow" w:cs="Arial" w:eastAsiaTheme="minorEastAsia"/>
                    <w:szCs w:val="21"/>
                    <w:lang w:val="en-GB"/>
                  </w:rPr>
                  <w:t>间接</w:t>
                </w:r>
              </w:p>
            </w:tc>
          </w:sdtContent>
        </w:sdt>
        <w:tc>
          <w:tcPr>
            <w:tcW w:w="1002" w:type="pct"/>
            <w:vMerge w:val="continue"/>
            <w:vAlign w:val="center"/>
          </w:tcPr>
          <w:p w14:paraId="597F2EF8">
            <w:pPr>
              <w:rPr>
                <w:rFonts w:ascii="Arial Narrow" w:hAnsi="Arial Narrow" w:cs="Arial" w:eastAsiaTheme="minorEastAsia"/>
                <w:szCs w:val="21"/>
              </w:rPr>
            </w:pPr>
          </w:p>
        </w:tc>
      </w:tr>
      <w:tr w14:paraId="6346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bottom"/>
          </w:tcPr>
          <w:p w14:paraId="09299737">
            <w:pPr>
              <w:rPr>
                <w:rFonts w:ascii="Arial Narrow" w:hAnsi="Arial Narrow" w:eastAsiaTheme="minorEastAsia"/>
                <w:szCs w:val="21"/>
              </w:rPr>
            </w:pPr>
            <w:r>
              <w:rPr>
                <w:rFonts w:ascii="Arial Narrow" w:hAnsi="Arial Narrow" w:eastAsiaTheme="minorEastAsia"/>
                <w:color w:val="000000"/>
                <w:szCs w:val="21"/>
              </w:rPr>
              <w:t xml:space="preserve">湖南中晟高分子新材料有限公司 </w:t>
            </w:r>
          </w:p>
        </w:tc>
        <w:tc>
          <w:tcPr>
            <w:tcW w:w="642" w:type="pct"/>
            <w:vAlign w:val="center"/>
          </w:tcPr>
          <w:p w14:paraId="1B9AD706">
            <w:pPr>
              <w:jc w:val="center"/>
              <w:rPr>
                <w:rFonts w:ascii="Arial Narrow" w:hAnsi="Arial Narrow" w:eastAsiaTheme="minorEastAsia"/>
                <w:szCs w:val="21"/>
              </w:rPr>
            </w:pPr>
            <w:r>
              <w:rPr>
                <w:rFonts w:ascii="Arial Narrow" w:hAnsi="Arial Narrow" w:eastAsiaTheme="minorEastAsia"/>
                <w:color w:val="000000"/>
                <w:szCs w:val="21"/>
              </w:rPr>
              <w:t>岳阳</w:t>
            </w:r>
          </w:p>
        </w:tc>
        <w:tc>
          <w:tcPr>
            <w:tcW w:w="562" w:type="pct"/>
            <w:vAlign w:val="center"/>
          </w:tcPr>
          <w:p w14:paraId="1E37C3F1">
            <w:pPr>
              <w:jc w:val="center"/>
              <w:rPr>
                <w:rFonts w:ascii="Arial Narrow" w:hAnsi="Arial Narrow" w:eastAsiaTheme="minorEastAsia"/>
                <w:szCs w:val="21"/>
              </w:rPr>
            </w:pPr>
            <w:r>
              <w:rPr>
                <w:rFonts w:ascii="Arial Narrow" w:hAnsi="Arial Narrow" w:eastAsiaTheme="minorEastAsia"/>
                <w:color w:val="000000"/>
                <w:szCs w:val="21"/>
              </w:rPr>
              <w:t>岳阳</w:t>
            </w:r>
          </w:p>
        </w:tc>
        <w:tc>
          <w:tcPr>
            <w:tcW w:w="562" w:type="pct"/>
            <w:vAlign w:val="center"/>
          </w:tcPr>
          <w:p w14:paraId="5C64C852">
            <w:pPr>
              <w:jc w:val="center"/>
              <w:rPr>
                <w:rFonts w:ascii="Arial Narrow" w:hAnsi="Arial Narrow" w:eastAsiaTheme="minorEastAsia"/>
                <w:szCs w:val="21"/>
              </w:rPr>
            </w:pPr>
            <w:r>
              <w:rPr>
                <w:rFonts w:ascii="Arial Narrow" w:hAnsi="Arial Narrow" w:eastAsiaTheme="minorEastAsia"/>
                <w:color w:val="000000"/>
                <w:szCs w:val="21"/>
              </w:rPr>
              <w:t>制造业</w:t>
            </w:r>
          </w:p>
        </w:tc>
        <w:tc>
          <w:tcPr>
            <w:tcW w:w="586" w:type="pct"/>
            <w:vAlign w:val="center"/>
          </w:tcPr>
          <w:p w14:paraId="2165CE7A">
            <w:pPr>
              <w:jc w:val="center"/>
              <w:rPr>
                <w:rFonts w:ascii="Arial Narrow" w:hAnsi="Arial Narrow" w:eastAsiaTheme="minorEastAsia"/>
                <w:szCs w:val="21"/>
              </w:rPr>
            </w:pPr>
            <w:r>
              <w:rPr>
                <w:rFonts w:ascii="Arial Narrow" w:hAnsi="Arial Narrow" w:eastAsiaTheme="minorEastAsia"/>
                <w:color w:val="000000"/>
                <w:sz w:val="22"/>
                <w:szCs w:val="22"/>
              </w:rPr>
              <w:t>50.00</w:t>
            </w:r>
          </w:p>
        </w:tc>
        <w:tc>
          <w:tcPr>
            <w:tcW w:w="604" w:type="pct"/>
            <w:vAlign w:val="center"/>
          </w:tcPr>
          <w:p w14:paraId="59AEEC3F">
            <w:pPr>
              <w:jc w:val="center"/>
              <w:rPr>
                <w:rFonts w:ascii="Arial Narrow" w:hAnsi="Arial Narrow" w:eastAsiaTheme="minorEastAsia"/>
                <w:szCs w:val="21"/>
              </w:rPr>
            </w:pPr>
          </w:p>
        </w:tc>
        <w:tc>
          <w:tcPr>
            <w:tcW w:w="1002" w:type="pct"/>
            <w:vAlign w:val="center"/>
          </w:tcPr>
          <w:p w14:paraId="26AA0322">
            <w:pPr>
              <w:jc w:val="center"/>
              <w:rPr>
                <w:rFonts w:ascii="Arial Narrow" w:hAnsi="Arial Narrow" w:eastAsiaTheme="minorEastAsia"/>
                <w:szCs w:val="21"/>
              </w:rPr>
            </w:pPr>
            <w:r>
              <w:rPr>
                <w:rFonts w:ascii="Arial Narrow" w:hAnsi="Arial Narrow" w:eastAsiaTheme="minorEastAsia"/>
                <w:color w:val="000000"/>
                <w:szCs w:val="21"/>
              </w:rPr>
              <w:t>权益法</w:t>
            </w:r>
          </w:p>
        </w:tc>
      </w:tr>
      <w:tr w14:paraId="6BEC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bottom"/>
          </w:tcPr>
          <w:p w14:paraId="6A731CDD">
            <w:pP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642" w:type="pct"/>
            <w:vAlign w:val="center"/>
          </w:tcPr>
          <w:p w14:paraId="5D27410C">
            <w:pPr>
              <w:jc w:val="center"/>
              <w:rPr>
                <w:rFonts w:ascii="Arial Narrow" w:hAnsi="Arial Narrow" w:eastAsiaTheme="minorEastAsia"/>
                <w:szCs w:val="21"/>
              </w:rPr>
            </w:pPr>
            <w:r>
              <w:rPr>
                <w:rFonts w:ascii="Arial Narrow" w:hAnsi="Arial Narrow" w:eastAsiaTheme="minorEastAsia"/>
                <w:color w:val="000000"/>
                <w:szCs w:val="21"/>
              </w:rPr>
              <w:t>南京</w:t>
            </w:r>
          </w:p>
        </w:tc>
        <w:tc>
          <w:tcPr>
            <w:tcW w:w="562" w:type="pct"/>
            <w:vAlign w:val="center"/>
          </w:tcPr>
          <w:p w14:paraId="45F73F61">
            <w:pPr>
              <w:jc w:val="center"/>
              <w:rPr>
                <w:rFonts w:ascii="Arial Narrow" w:hAnsi="Arial Narrow" w:eastAsiaTheme="minorEastAsia"/>
                <w:szCs w:val="21"/>
              </w:rPr>
            </w:pPr>
            <w:r>
              <w:rPr>
                <w:rFonts w:ascii="Arial Narrow" w:hAnsi="Arial Narrow" w:eastAsiaTheme="minorEastAsia"/>
                <w:color w:val="000000"/>
                <w:szCs w:val="21"/>
              </w:rPr>
              <w:t>南京</w:t>
            </w:r>
          </w:p>
        </w:tc>
        <w:tc>
          <w:tcPr>
            <w:tcW w:w="562" w:type="pct"/>
            <w:vAlign w:val="center"/>
          </w:tcPr>
          <w:p w14:paraId="394733CC">
            <w:pPr>
              <w:jc w:val="center"/>
              <w:rPr>
                <w:rFonts w:ascii="Arial Narrow" w:hAnsi="Arial Narrow" w:eastAsiaTheme="minorEastAsia"/>
                <w:szCs w:val="21"/>
              </w:rPr>
            </w:pPr>
            <w:r>
              <w:rPr>
                <w:rFonts w:ascii="Arial Narrow" w:hAnsi="Arial Narrow" w:eastAsiaTheme="minorEastAsia"/>
                <w:color w:val="000000"/>
                <w:szCs w:val="21"/>
              </w:rPr>
              <w:t>制造业</w:t>
            </w:r>
          </w:p>
        </w:tc>
        <w:tc>
          <w:tcPr>
            <w:tcW w:w="586" w:type="pct"/>
            <w:vAlign w:val="center"/>
          </w:tcPr>
          <w:p w14:paraId="7B9ADE7D">
            <w:pPr>
              <w:jc w:val="center"/>
              <w:rPr>
                <w:rFonts w:ascii="Arial Narrow" w:hAnsi="Arial Narrow" w:eastAsiaTheme="minorEastAsia"/>
                <w:szCs w:val="21"/>
              </w:rPr>
            </w:pPr>
            <w:r>
              <w:rPr>
                <w:rFonts w:ascii="Arial Narrow" w:hAnsi="Arial Narrow" w:eastAsiaTheme="minorEastAsia"/>
                <w:color w:val="000000"/>
                <w:sz w:val="22"/>
                <w:szCs w:val="22"/>
              </w:rPr>
              <w:t>35.00</w:t>
            </w:r>
          </w:p>
        </w:tc>
        <w:tc>
          <w:tcPr>
            <w:tcW w:w="604" w:type="pct"/>
            <w:vAlign w:val="center"/>
          </w:tcPr>
          <w:p w14:paraId="7F566940">
            <w:pPr>
              <w:jc w:val="center"/>
              <w:rPr>
                <w:rFonts w:ascii="Arial Narrow" w:hAnsi="Arial Narrow" w:eastAsiaTheme="minorEastAsia"/>
                <w:szCs w:val="21"/>
              </w:rPr>
            </w:pPr>
          </w:p>
        </w:tc>
        <w:tc>
          <w:tcPr>
            <w:tcW w:w="1002" w:type="pct"/>
            <w:vAlign w:val="center"/>
          </w:tcPr>
          <w:p w14:paraId="3110C898">
            <w:pPr>
              <w:jc w:val="center"/>
              <w:rPr>
                <w:rFonts w:ascii="Arial Narrow" w:hAnsi="Arial Narrow" w:eastAsiaTheme="minorEastAsia"/>
                <w:szCs w:val="21"/>
              </w:rPr>
            </w:pPr>
            <w:r>
              <w:rPr>
                <w:rFonts w:ascii="Arial Narrow" w:hAnsi="Arial Narrow" w:eastAsiaTheme="minorEastAsia"/>
                <w:color w:val="000000"/>
                <w:szCs w:val="21"/>
              </w:rPr>
              <w:t>权益法</w:t>
            </w:r>
          </w:p>
        </w:tc>
      </w:tr>
    </w:tbl>
    <w:p w14:paraId="5E380A1C">
      <w:pPr>
        <w:rPr>
          <w:rFonts w:hint="eastAsia" w:cs="Arial"/>
          <w:szCs w:val="21"/>
        </w:rPr>
      </w:pPr>
      <w:r>
        <w:rPr>
          <w:rFonts w:hint="eastAsia" w:cs="Arial"/>
          <w:szCs w:val="21"/>
        </w:rPr>
        <w:t>在合营企业或联营企业的持股比例不同于表决权比例的说明：</w:t>
      </w:r>
    </w:p>
    <w:p w14:paraId="26E8B49B">
      <w:pPr>
        <w:rPr>
          <w:rFonts w:hint="eastAsia" w:cs="Arial"/>
          <w:szCs w:val="21"/>
        </w:rPr>
      </w:pPr>
      <w:sdt>
        <w:sdtPr>
          <w:rPr>
            <w:rFonts w:cs="Arial"/>
            <w:szCs w:val="21"/>
          </w:rPr>
          <w:alias w:val="在合营企业或联营企业的持股比例不同于表决权比例的说明"/>
          <w:tag w:val="_GBC_b18385c11aff4424b360bd0cb4f81376"/>
          <w:id w:val="948519967"/>
          <w:placeholder>
            <w:docPart w:val="GBC22222222222222222222222222222"/>
          </w:placeholder>
        </w:sdtPr>
        <w:sdtEndPr>
          <w:rPr>
            <w:rFonts w:cs="Arial"/>
            <w:szCs w:val="21"/>
          </w:rPr>
        </w:sdtEndPr>
        <w:sdtContent>
          <w:r>
            <w:rPr>
              <w:rFonts w:hint="eastAsia" w:cs="Arial"/>
              <w:szCs w:val="21"/>
            </w:rPr>
            <w:t>无</w:t>
          </w:r>
        </w:sdtContent>
      </w:sdt>
    </w:p>
    <w:p w14:paraId="48656F61">
      <w:pPr>
        <w:rPr>
          <w:rFonts w:hint="eastAsia" w:cs="Arial"/>
          <w:szCs w:val="21"/>
        </w:rPr>
      </w:pPr>
    </w:p>
    <w:p w14:paraId="766ECA9B">
      <w:pPr>
        <w:rPr>
          <w:rFonts w:hint="eastAsia" w:cs="Arial"/>
          <w:szCs w:val="21"/>
        </w:rPr>
      </w:pPr>
      <w:r>
        <w:rPr>
          <w:rFonts w:hint="eastAsia" w:cs="Arial"/>
          <w:szCs w:val="21"/>
        </w:rPr>
        <w:t>持有</w:t>
      </w:r>
      <w:r>
        <w:rPr>
          <w:rFonts w:cs="Arial"/>
          <w:szCs w:val="21"/>
        </w:rPr>
        <w:t>20%以下表决权但具有重大影响，或者持有20%或以上表决权但不具有重大影响的依据：</w:t>
      </w:r>
    </w:p>
    <w:p w14:paraId="135F8B81">
      <w:pPr>
        <w:rPr>
          <w:rFonts w:hint="eastAsia" w:cs="Arial"/>
          <w:szCs w:val="21"/>
        </w:rPr>
      </w:pPr>
      <w:sdt>
        <w:sdtPr>
          <w:rPr>
            <w:rFonts w:cs="Arial"/>
            <w:szCs w:val="21"/>
          </w:rPr>
          <w:alias w:val="持有20%以下表决权但具有重大影响，或者持有20%或以上表决权但不具有重大影响的依据"/>
          <w:tag w:val="_GBC_08a71a8c491f4c758da0748f7570fb28"/>
          <w:id w:val="-1326278839"/>
          <w:placeholder>
            <w:docPart w:val="GBC22222222222222222222222222222"/>
          </w:placeholder>
        </w:sdtPr>
        <w:sdtEndPr>
          <w:rPr>
            <w:rFonts w:cs="Arial"/>
            <w:szCs w:val="21"/>
          </w:rPr>
        </w:sdtEndPr>
        <w:sdtContent>
          <w:r>
            <w:rPr>
              <w:rFonts w:hint="eastAsia" w:cs="Arial"/>
              <w:szCs w:val="21"/>
            </w:rPr>
            <w:t>无</w:t>
          </w:r>
        </w:sdtContent>
      </w:sdt>
    </w:p>
    <w:p w14:paraId="53779C9E">
      <w:pPr>
        <w:rPr>
          <w:rFonts w:hint="eastAsia" w:cstheme="minorBidi"/>
          <w:szCs w:val="21"/>
        </w:rPr>
      </w:pPr>
    </w:p>
    <w:p w14:paraId="2EC0418D">
      <w:pPr>
        <w:pStyle w:val="71"/>
        <w:numPr>
          <w:ilvl w:val="3"/>
          <w:numId w:val="157"/>
        </w:numPr>
        <w:ind w:left="426" w:hanging="426" w:hangingChars="202"/>
        <w:rPr>
          <w:rFonts w:hint="eastAsia"/>
        </w:rPr>
      </w:pPr>
      <w:r>
        <w:rPr>
          <w:rFonts w:hint="eastAsia"/>
        </w:rPr>
        <w:t>重要合营企业的主要财务信息</w:t>
      </w:r>
    </w:p>
    <w:sdt>
      <w:sdtPr>
        <w:rPr>
          <w:rFonts w:hint="eastAsia"/>
        </w:rPr>
        <w:alias w:val="是否适用：重要合营企业的主要财务信息[双击切换]"/>
        <w:tag w:val="_GBC_8218a872fcd045d290940ccf3b3bdfa5"/>
        <w:id w:val="868426353"/>
        <w:placeholder>
          <w:docPart w:val="GBC22222222222222222222222222222"/>
        </w:placeholder>
      </w:sdtPr>
      <w:sdtEndPr>
        <w:rPr>
          <w:rFonts w:hint="eastAsia"/>
        </w:rPr>
      </w:sdtEndPr>
      <w:sdtContent>
        <w:p w14:paraId="209F8422">
          <w:pPr>
            <w:rPr>
              <w:rFonts w:hint="eastAsia" w:cs="Arial"/>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B757C2A">
      <w:pPr>
        <w:rPr>
          <w:rFonts w:hint="eastAsia" w:cs="Arial"/>
          <w:szCs w:val="21"/>
        </w:rPr>
      </w:pPr>
    </w:p>
    <w:p w14:paraId="152934FF">
      <w:pPr>
        <w:rPr>
          <w:rFonts w:hint="eastAsia" w:cstheme="minorBidi"/>
          <w:szCs w:val="21"/>
        </w:rPr>
      </w:pPr>
    </w:p>
    <w:p w14:paraId="68E2D71A">
      <w:pPr>
        <w:pStyle w:val="71"/>
        <w:numPr>
          <w:ilvl w:val="3"/>
          <w:numId w:val="157"/>
        </w:numPr>
        <w:ind w:left="426" w:hanging="426" w:hangingChars="202"/>
        <w:rPr>
          <w:rFonts w:hint="eastAsia"/>
        </w:rPr>
      </w:pPr>
      <w:r>
        <w:rPr>
          <w:rFonts w:hint="eastAsia"/>
        </w:rPr>
        <w:t>重要联营企业的主要财务信息</w:t>
      </w:r>
    </w:p>
    <w:sdt>
      <w:sdtPr>
        <w:rPr>
          <w:rFonts w:hint="eastAsia"/>
        </w:rPr>
        <w:alias w:val="是否适用：重要联营企业的主要财务信息[双击切换]"/>
        <w:tag w:val="_GBC_e570958be6b64b7d8be73c12ea5135f1"/>
        <w:id w:val="-1937964852"/>
        <w:placeholder>
          <w:docPart w:val="GBC22222222222222222222222222222"/>
        </w:placeholder>
      </w:sdtPr>
      <w:sdtEndPr>
        <w:rPr>
          <w:rFonts w:hint="eastAsia"/>
        </w:rPr>
      </w:sdtEndPr>
      <w:sdtContent>
        <w:p w14:paraId="6162F0B0">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2BB86D86">
      <w:pPr>
        <w:jc w:val="right"/>
        <w:rPr>
          <w:rFonts w:hint="eastAsia"/>
        </w:rPr>
      </w:pPr>
      <w:r>
        <w:rPr>
          <w:rFonts w:hint="eastAsia"/>
        </w:rPr>
        <w:t>单位：</w:t>
      </w:r>
      <w:sdt>
        <w:sdtPr>
          <w:rPr>
            <w:rFonts w:hint="eastAsia"/>
          </w:rPr>
          <w:alias w:val="单位：财务附注：重要联营企业的主要财务信息"/>
          <w:tag w:val="_GBC_0306b30be35040cd86d2b964142011d4"/>
          <w:id w:val="-3759298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11258940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1493"/>
        <w:gridCol w:w="1493"/>
        <w:gridCol w:w="1491"/>
        <w:gridCol w:w="1493"/>
      </w:tblGrid>
      <w:tr w14:paraId="143B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617" w:type="pct"/>
            <w:vMerge w:val="restart"/>
            <w:shd w:val="clear" w:color="auto" w:fill="auto"/>
            <w:vAlign w:val="center"/>
          </w:tcPr>
          <w:p w14:paraId="5D4E827F">
            <w:pPr>
              <w:jc w:val="center"/>
              <w:rPr>
                <w:rFonts w:ascii="Arial Narrow" w:hAnsi="Arial Narrow" w:cs="Arial" w:eastAsiaTheme="minorEastAsia"/>
                <w:szCs w:val="21"/>
              </w:rPr>
            </w:pPr>
          </w:p>
        </w:tc>
        <w:tc>
          <w:tcPr>
            <w:tcW w:w="1692" w:type="pct"/>
            <w:gridSpan w:val="2"/>
            <w:shd w:val="clear" w:color="auto" w:fill="auto"/>
            <w:vAlign w:val="center"/>
          </w:tcPr>
          <w:sdt>
            <w:sdtPr>
              <w:rPr>
                <w:rFonts w:ascii="Arial Narrow" w:hAnsi="Arial Narrow" w:eastAsiaTheme="minorEastAsia"/>
                <w:szCs w:val="21"/>
              </w:rPr>
              <w:tag w:val="_PLD_3f5fa209abb242d7b7cbb1f0a249e5ed"/>
              <w:id w:val="-1345629214"/>
            </w:sdtPr>
            <w:sdtEndPr>
              <w:rPr>
                <w:rFonts w:ascii="Arial Narrow" w:hAnsi="Arial Narrow" w:eastAsiaTheme="minorEastAsia"/>
                <w:szCs w:val="21"/>
              </w:rPr>
            </w:sdtEndPr>
            <w:sdtContent>
              <w:p w14:paraId="27F133A8">
                <w:pPr>
                  <w:jc w:val="center"/>
                  <w:rPr>
                    <w:rFonts w:ascii="Arial Narrow" w:hAnsi="Arial Narrow" w:cs="Arial" w:eastAsiaTheme="minorEastAsia"/>
                    <w:szCs w:val="21"/>
                  </w:rPr>
                </w:pPr>
                <w:r>
                  <w:rPr>
                    <w:rFonts w:ascii="Arial Narrow" w:hAnsi="Arial Narrow" w:cs="Arial" w:eastAsiaTheme="minorEastAsia"/>
                    <w:szCs w:val="21"/>
                    <w:lang w:val="en-GB"/>
                  </w:rPr>
                  <w:t>期末余额</w:t>
                </w:r>
                <w:r>
                  <w:rPr>
                    <w:rFonts w:ascii="Arial Narrow" w:hAnsi="Arial Narrow" w:cs="Arial" w:eastAsiaTheme="minorEastAsia"/>
                    <w:szCs w:val="21"/>
                  </w:rPr>
                  <w:t xml:space="preserve">/ </w:t>
                </w:r>
                <w:r>
                  <w:rPr>
                    <w:rFonts w:ascii="Arial Narrow" w:hAnsi="Arial Narrow" w:cs="Arial" w:eastAsiaTheme="minorEastAsia"/>
                    <w:szCs w:val="21"/>
                    <w:lang w:val="en-GB"/>
                  </w:rPr>
                  <w:t>本期发生额</w:t>
                </w:r>
              </w:p>
            </w:sdtContent>
          </w:sdt>
        </w:tc>
        <w:tc>
          <w:tcPr>
            <w:tcW w:w="1691" w:type="pct"/>
            <w:gridSpan w:val="2"/>
            <w:shd w:val="clear" w:color="auto" w:fill="auto"/>
            <w:vAlign w:val="center"/>
          </w:tcPr>
          <w:sdt>
            <w:sdtPr>
              <w:rPr>
                <w:rFonts w:ascii="Arial Narrow" w:hAnsi="Arial Narrow" w:eastAsiaTheme="minorEastAsia"/>
                <w:szCs w:val="21"/>
              </w:rPr>
              <w:tag w:val="_PLD_84be18983356408eb53d1d34932bd41a"/>
              <w:id w:val="1834419775"/>
            </w:sdtPr>
            <w:sdtEndPr>
              <w:rPr>
                <w:rFonts w:ascii="Arial Narrow" w:hAnsi="Arial Narrow" w:eastAsiaTheme="minorEastAsia"/>
                <w:szCs w:val="21"/>
              </w:rPr>
            </w:sdtEndPr>
            <w:sdtContent>
              <w:p w14:paraId="6B576E9F">
                <w:pPr>
                  <w:jc w:val="center"/>
                  <w:rPr>
                    <w:rFonts w:ascii="Arial Narrow" w:hAnsi="Arial Narrow" w:cs="Arial" w:eastAsiaTheme="minorEastAsia"/>
                    <w:szCs w:val="21"/>
                    <w:lang w:val="en-GB"/>
                  </w:rPr>
                </w:pPr>
                <w:r>
                  <w:rPr>
                    <w:rFonts w:ascii="Arial Narrow" w:hAnsi="Arial Narrow" w:cs="Arial" w:eastAsiaTheme="minorEastAsia"/>
                    <w:szCs w:val="21"/>
                    <w:lang w:val="en-GB"/>
                  </w:rPr>
                  <w:t>期初余额</w:t>
                </w:r>
                <w:r>
                  <w:rPr>
                    <w:rFonts w:ascii="Arial Narrow" w:hAnsi="Arial Narrow" w:cs="Arial" w:eastAsiaTheme="minorEastAsia"/>
                    <w:szCs w:val="21"/>
                  </w:rPr>
                  <w:t xml:space="preserve">/ </w:t>
                </w:r>
                <w:r>
                  <w:rPr>
                    <w:rFonts w:ascii="Arial Narrow" w:hAnsi="Arial Narrow" w:cs="Arial" w:eastAsiaTheme="minorEastAsia"/>
                    <w:szCs w:val="21"/>
                    <w:lang w:val="en-GB"/>
                  </w:rPr>
                  <w:t>上期发生额</w:t>
                </w:r>
              </w:p>
            </w:sdtContent>
          </w:sdt>
        </w:tc>
      </w:tr>
      <w:tr w14:paraId="5744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617" w:type="pct"/>
            <w:vMerge w:val="continue"/>
            <w:shd w:val="clear" w:color="auto" w:fill="auto"/>
            <w:vAlign w:val="center"/>
          </w:tcPr>
          <w:p w14:paraId="54FF17A2">
            <w:pPr>
              <w:rPr>
                <w:rFonts w:ascii="Arial Narrow" w:hAnsi="Arial Narrow" w:cs="Arial" w:eastAsiaTheme="minorEastAsia"/>
                <w:szCs w:val="21"/>
              </w:rPr>
            </w:pPr>
          </w:p>
        </w:tc>
        <w:tc>
          <w:tcPr>
            <w:tcW w:w="846" w:type="pct"/>
            <w:shd w:val="clear" w:color="auto" w:fill="auto"/>
            <w:vAlign w:val="center"/>
          </w:tcPr>
          <w:p w14:paraId="593A7445">
            <w:pPr>
              <w:jc w:val="center"/>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846" w:type="pct"/>
            <w:shd w:val="clear" w:color="auto" w:fill="auto"/>
            <w:vAlign w:val="center"/>
          </w:tcPr>
          <w:p w14:paraId="328B73C7">
            <w:pPr>
              <w:jc w:val="cente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845" w:type="pct"/>
            <w:shd w:val="clear" w:color="auto" w:fill="auto"/>
            <w:vAlign w:val="center"/>
          </w:tcPr>
          <w:p w14:paraId="2AE564AC">
            <w:pPr>
              <w:jc w:val="center"/>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846" w:type="pct"/>
            <w:shd w:val="clear" w:color="auto" w:fill="auto"/>
            <w:vAlign w:val="center"/>
          </w:tcPr>
          <w:p w14:paraId="3D53E9FC">
            <w:pPr>
              <w:jc w:val="cente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r>
      <w:tr w14:paraId="4EDE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6F189421">
            <w:pPr>
              <w:rPr>
                <w:rFonts w:ascii="Arial Narrow" w:hAnsi="Arial Narrow" w:cs="Arial" w:eastAsiaTheme="minorEastAsia"/>
                <w:color w:val="000000"/>
                <w:szCs w:val="21"/>
              </w:rPr>
            </w:pPr>
            <w:r>
              <w:rPr>
                <w:rFonts w:ascii="Arial Narrow" w:hAnsi="Arial Narrow" w:cs="Arial" w:eastAsiaTheme="minorEastAsia"/>
                <w:color w:val="000000"/>
                <w:szCs w:val="21"/>
                <w:lang w:val="en-GB"/>
              </w:rPr>
              <w:t>流动资产</w:t>
            </w:r>
          </w:p>
        </w:tc>
        <w:tc>
          <w:tcPr>
            <w:tcW w:w="846" w:type="pct"/>
            <w:shd w:val="clear" w:color="auto" w:fill="auto"/>
            <w:vAlign w:val="center"/>
          </w:tcPr>
          <w:p w14:paraId="1CF79D3E">
            <w:pPr>
              <w:jc w:val="right"/>
              <w:rPr>
                <w:rFonts w:ascii="Arial Narrow" w:hAnsi="Arial Narrow" w:eastAsiaTheme="minorEastAsia"/>
                <w:szCs w:val="21"/>
              </w:rPr>
            </w:pPr>
            <w:r>
              <w:rPr>
                <w:rFonts w:ascii="Arial Narrow" w:hAnsi="Arial Narrow" w:eastAsiaTheme="minorEastAsia"/>
                <w:color w:val="000000"/>
                <w:szCs w:val="21"/>
              </w:rPr>
              <w:t>36,027,187.31</w:t>
            </w:r>
          </w:p>
        </w:tc>
        <w:tc>
          <w:tcPr>
            <w:tcW w:w="846" w:type="pct"/>
            <w:shd w:val="clear" w:color="auto" w:fill="auto"/>
            <w:vAlign w:val="center"/>
          </w:tcPr>
          <w:p w14:paraId="625812B0">
            <w:pPr>
              <w:jc w:val="right"/>
              <w:rPr>
                <w:rFonts w:ascii="Arial Narrow" w:hAnsi="Arial Narrow" w:eastAsiaTheme="minorEastAsia"/>
                <w:szCs w:val="21"/>
              </w:rPr>
            </w:pPr>
            <w:r>
              <w:rPr>
                <w:rFonts w:ascii="Arial Narrow" w:hAnsi="Arial Narrow" w:eastAsiaTheme="minorEastAsia"/>
                <w:color w:val="000000"/>
                <w:szCs w:val="21"/>
              </w:rPr>
              <w:t>75,278,947.24</w:t>
            </w:r>
          </w:p>
        </w:tc>
        <w:tc>
          <w:tcPr>
            <w:tcW w:w="845" w:type="pct"/>
            <w:vAlign w:val="center"/>
          </w:tcPr>
          <w:p w14:paraId="67D1C87F">
            <w:pPr>
              <w:jc w:val="right"/>
              <w:rPr>
                <w:rFonts w:ascii="Arial Narrow" w:hAnsi="Arial Narrow" w:eastAsiaTheme="minorEastAsia"/>
                <w:szCs w:val="21"/>
              </w:rPr>
            </w:pPr>
            <w:r>
              <w:rPr>
                <w:rFonts w:ascii="Arial Narrow" w:hAnsi="Arial Narrow" w:eastAsiaTheme="minorEastAsia"/>
                <w:color w:val="000000"/>
                <w:szCs w:val="21"/>
              </w:rPr>
              <w:t>46,051,999.82</w:t>
            </w:r>
          </w:p>
        </w:tc>
        <w:tc>
          <w:tcPr>
            <w:tcW w:w="846" w:type="pct"/>
            <w:vAlign w:val="center"/>
          </w:tcPr>
          <w:p w14:paraId="760592D0">
            <w:pPr>
              <w:jc w:val="right"/>
              <w:rPr>
                <w:rFonts w:ascii="Arial Narrow" w:hAnsi="Arial Narrow" w:eastAsiaTheme="minorEastAsia"/>
                <w:szCs w:val="21"/>
              </w:rPr>
            </w:pPr>
            <w:r>
              <w:rPr>
                <w:rFonts w:ascii="Arial Narrow" w:hAnsi="Arial Narrow" w:eastAsiaTheme="minorEastAsia"/>
                <w:color w:val="000000"/>
                <w:szCs w:val="21"/>
              </w:rPr>
              <w:t>69,468,490.56</w:t>
            </w:r>
          </w:p>
        </w:tc>
      </w:tr>
      <w:tr w14:paraId="4C7B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3F064343">
            <w:pPr>
              <w:rPr>
                <w:rFonts w:ascii="Arial Narrow" w:hAnsi="Arial Narrow" w:cs="Arial" w:eastAsiaTheme="minorEastAsia"/>
                <w:color w:val="000000"/>
                <w:szCs w:val="21"/>
              </w:rPr>
            </w:pPr>
            <w:r>
              <w:rPr>
                <w:rFonts w:ascii="Arial Narrow" w:hAnsi="Arial Narrow" w:cs="Arial" w:eastAsiaTheme="minorEastAsia"/>
                <w:color w:val="000000"/>
                <w:szCs w:val="21"/>
                <w:lang w:val="en-GB"/>
              </w:rPr>
              <w:t>非流动资产</w:t>
            </w:r>
          </w:p>
        </w:tc>
        <w:tc>
          <w:tcPr>
            <w:tcW w:w="846" w:type="pct"/>
            <w:shd w:val="clear" w:color="auto" w:fill="auto"/>
            <w:vAlign w:val="center"/>
          </w:tcPr>
          <w:p w14:paraId="6E4F3568">
            <w:pPr>
              <w:jc w:val="right"/>
              <w:rPr>
                <w:rFonts w:ascii="Arial Narrow" w:hAnsi="Arial Narrow" w:eastAsiaTheme="minorEastAsia"/>
                <w:szCs w:val="21"/>
              </w:rPr>
            </w:pPr>
            <w:r>
              <w:rPr>
                <w:rFonts w:ascii="Arial Narrow" w:hAnsi="Arial Narrow" w:eastAsiaTheme="minorEastAsia"/>
                <w:color w:val="000000"/>
                <w:szCs w:val="21"/>
              </w:rPr>
              <w:t>49,310,053.60</w:t>
            </w:r>
          </w:p>
        </w:tc>
        <w:tc>
          <w:tcPr>
            <w:tcW w:w="846" w:type="pct"/>
            <w:shd w:val="clear" w:color="auto" w:fill="auto"/>
            <w:vAlign w:val="center"/>
          </w:tcPr>
          <w:p w14:paraId="6FC0CF57">
            <w:pPr>
              <w:jc w:val="right"/>
              <w:rPr>
                <w:rFonts w:ascii="Arial Narrow" w:hAnsi="Arial Narrow" w:eastAsiaTheme="minorEastAsia"/>
                <w:szCs w:val="21"/>
              </w:rPr>
            </w:pPr>
            <w:r>
              <w:rPr>
                <w:rFonts w:ascii="Arial Narrow" w:hAnsi="Arial Narrow" w:eastAsiaTheme="minorEastAsia"/>
                <w:color w:val="000000"/>
                <w:szCs w:val="21"/>
              </w:rPr>
              <w:t>27,253,949.18</w:t>
            </w:r>
          </w:p>
        </w:tc>
        <w:tc>
          <w:tcPr>
            <w:tcW w:w="845" w:type="pct"/>
            <w:vAlign w:val="center"/>
          </w:tcPr>
          <w:p w14:paraId="52DF207C">
            <w:pPr>
              <w:jc w:val="right"/>
              <w:rPr>
                <w:rFonts w:ascii="Arial Narrow" w:hAnsi="Arial Narrow" w:eastAsiaTheme="minorEastAsia"/>
                <w:szCs w:val="21"/>
              </w:rPr>
            </w:pPr>
            <w:r>
              <w:rPr>
                <w:rFonts w:ascii="Arial Narrow" w:hAnsi="Arial Narrow" w:eastAsiaTheme="minorEastAsia"/>
                <w:color w:val="000000"/>
                <w:szCs w:val="21"/>
              </w:rPr>
              <w:t>55,925,853.64</w:t>
            </w:r>
          </w:p>
        </w:tc>
        <w:tc>
          <w:tcPr>
            <w:tcW w:w="846" w:type="pct"/>
            <w:vAlign w:val="center"/>
          </w:tcPr>
          <w:p w14:paraId="54EE13D5">
            <w:pPr>
              <w:jc w:val="right"/>
              <w:rPr>
                <w:rFonts w:ascii="Arial Narrow" w:hAnsi="Arial Narrow" w:eastAsiaTheme="minorEastAsia"/>
                <w:szCs w:val="21"/>
              </w:rPr>
            </w:pPr>
            <w:r>
              <w:rPr>
                <w:rFonts w:ascii="Arial Narrow" w:hAnsi="Arial Narrow" w:eastAsiaTheme="minorEastAsia"/>
                <w:color w:val="000000"/>
                <w:szCs w:val="21"/>
              </w:rPr>
              <w:t>26,476,711.82</w:t>
            </w:r>
          </w:p>
        </w:tc>
      </w:tr>
      <w:tr w14:paraId="6E9A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3E4020E3">
            <w:pPr>
              <w:rPr>
                <w:rFonts w:ascii="Arial Narrow" w:hAnsi="Arial Narrow" w:cs="Arial" w:eastAsiaTheme="minorEastAsia"/>
                <w:color w:val="000000"/>
                <w:szCs w:val="21"/>
              </w:rPr>
            </w:pPr>
            <w:r>
              <w:rPr>
                <w:rFonts w:ascii="Arial Narrow" w:hAnsi="Arial Narrow" w:cs="Arial" w:eastAsiaTheme="minorEastAsia"/>
                <w:color w:val="000000"/>
                <w:szCs w:val="21"/>
                <w:lang w:val="en-GB"/>
              </w:rPr>
              <w:t>资产合计</w:t>
            </w:r>
          </w:p>
        </w:tc>
        <w:tc>
          <w:tcPr>
            <w:tcW w:w="846" w:type="pct"/>
            <w:shd w:val="clear" w:color="auto" w:fill="auto"/>
            <w:vAlign w:val="center"/>
          </w:tcPr>
          <w:p w14:paraId="3D3A8B6B">
            <w:pPr>
              <w:jc w:val="right"/>
              <w:rPr>
                <w:rFonts w:ascii="Arial Narrow" w:hAnsi="Arial Narrow" w:eastAsiaTheme="minorEastAsia"/>
                <w:szCs w:val="21"/>
              </w:rPr>
            </w:pPr>
            <w:r>
              <w:rPr>
                <w:rFonts w:ascii="Arial Narrow" w:hAnsi="Arial Narrow" w:eastAsiaTheme="minorEastAsia"/>
                <w:color w:val="000000"/>
                <w:szCs w:val="21"/>
              </w:rPr>
              <w:t>85,337,240.91</w:t>
            </w:r>
          </w:p>
        </w:tc>
        <w:tc>
          <w:tcPr>
            <w:tcW w:w="846" w:type="pct"/>
            <w:shd w:val="clear" w:color="auto" w:fill="auto"/>
            <w:vAlign w:val="center"/>
          </w:tcPr>
          <w:p w14:paraId="0A035161">
            <w:pPr>
              <w:jc w:val="right"/>
              <w:rPr>
                <w:rFonts w:ascii="Arial Narrow" w:hAnsi="Arial Narrow" w:eastAsiaTheme="minorEastAsia"/>
                <w:szCs w:val="21"/>
              </w:rPr>
            </w:pPr>
            <w:r>
              <w:rPr>
                <w:rFonts w:ascii="Arial Narrow" w:hAnsi="Arial Narrow" w:eastAsiaTheme="minorEastAsia"/>
                <w:color w:val="000000"/>
                <w:szCs w:val="21"/>
              </w:rPr>
              <w:t>102,532,896.42</w:t>
            </w:r>
          </w:p>
        </w:tc>
        <w:tc>
          <w:tcPr>
            <w:tcW w:w="845" w:type="pct"/>
            <w:vAlign w:val="center"/>
          </w:tcPr>
          <w:p w14:paraId="3C55B0FC">
            <w:pPr>
              <w:jc w:val="right"/>
              <w:rPr>
                <w:rFonts w:ascii="Arial Narrow" w:hAnsi="Arial Narrow" w:eastAsiaTheme="minorEastAsia"/>
                <w:szCs w:val="21"/>
              </w:rPr>
            </w:pPr>
            <w:r>
              <w:rPr>
                <w:rFonts w:ascii="Arial Narrow" w:hAnsi="Arial Narrow" w:eastAsiaTheme="minorEastAsia"/>
                <w:color w:val="000000"/>
                <w:szCs w:val="21"/>
              </w:rPr>
              <w:t>101,977,853.46</w:t>
            </w:r>
          </w:p>
        </w:tc>
        <w:tc>
          <w:tcPr>
            <w:tcW w:w="846" w:type="pct"/>
            <w:vAlign w:val="center"/>
          </w:tcPr>
          <w:p w14:paraId="3E73769C">
            <w:pPr>
              <w:jc w:val="right"/>
              <w:rPr>
                <w:rFonts w:ascii="Arial Narrow" w:hAnsi="Arial Narrow" w:eastAsiaTheme="minorEastAsia"/>
                <w:szCs w:val="21"/>
              </w:rPr>
            </w:pPr>
            <w:r>
              <w:rPr>
                <w:rFonts w:ascii="Arial Narrow" w:hAnsi="Arial Narrow" w:eastAsiaTheme="minorEastAsia"/>
                <w:color w:val="000000"/>
                <w:szCs w:val="21"/>
              </w:rPr>
              <w:t>95,945,202.38</w:t>
            </w:r>
          </w:p>
        </w:tc>
      </w:tr>
      <w:tr w14:paraId="16DE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62FE7D8">
            <w:pPr>
              <w:jc w:val="right"/>
              <w:rPr>
                <w:rFonts w:ascii="Arial Narrow" w:hAnsi="Arial Narrow" w:eastAsiaTheme="minorEastAsia"/>
                <w:szCs w:val="21"/>
              </w:rPr>
            </w:pPr>
          </w:p>
        </w:tc>
      </w:tr>
      <w:tr w14:paraId="5710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617" w:type="pct"/>
            <w:shd w:val="clear" w:color="auto" w:fill="auto"/>
            <w:vAlign w:val="center"/>
          </w:tcPr>
          <w:p w14:paraId="6170B137">
            <w:pPr>
              <w:rPr>
                <w:rFonts w:ascii="Arial Narrow" w:hAnsi="Arial Narrow" w:cs="Arial" w:eastAsiaTheme="minorEastAsia"/>
                <w:color w:val="000000"/>
                <w:szCs w:val="21"/>
              </w:rPr>
            </w:pPr>
            <w:r>
              <w:rPr>
                <w:rFonts w:ascii="Arial Narrow" w:hAnsi="Arial Narrow" w:cs="Arial" w:eastAsiaTheme="minorEastAsia"/>
                <w:color w:val="000000"/>
                <w:szCs w:val="21"/>
                <w:lang w:val="en-GB"/>
              </w:rPr>
              <w:t>流动负债</w:t>
            </w:r>
          </w:p>
        </w:tc>
        <w:tc>
          <w:tcPr>
            <w:tcW w:w="846" w:type="pct"/>
            <w:shd w:val="clear" w:color="auto" w:fill="auto"/>
            <w:vAlign w:val="center"/>
          </w:tcPr>
          <w:p w14:paraId="3B4B83FE">
            <w:pPr>
              <w:jc w:val="right"/>
              <w:rPr>
                <w:rFonts w:ascii="Arial Narrow" w:hAnsi="Arial Narrow" w:eastAsiaTheme="minorEastAsia"/>
                <w:szCs w:val="21"/>
              </w:rPr>
            </w:pPr>
            <w:r>
              <w:rPr>
                <w:rFonts w:ascii="Arial Narrow" w:hAnsi="Arial Narrow" w:eastAsiaTheme="minorEastAsia"/>
                <w:color w:val="000000"/>
                <w:szCs w:val="21"/>
              </w:rPr>
              <w:t>28,012,432.86</w:t>
            </w:r>
          </w:p>
        </w:tc>
        <w:tc>
          <w:tcPr>
            <w:tcW w:w="846" w:type="pct"/>
            <w:shd w:val="clear" w:color="auto" w:fill="auto"/>
            <w:vAlign w:val="center"/>
          </w:tcPr>
          <w:p w14:paraId="5B136829">
            <w:pPr>
              <w:jc w:val="right"/>
              <w:rPr>
                <w:rFonts w:ascii="Arial Narrow" w:hAnsi="Arial Narrow" w:eastAsiaTheme="minorEastAsia"/>
                <w:szCs w:val="21"/>
              </w:rPr>
            </w:pPr>
            <w:r>
              <w:rPr>
                <w:rFonts w:ascii="Arial Narrow" w:hAnsi="Arial Narrow" w:eastAsiaTheme="minorEastAsia"/>
                <w:color w:val="000000"/>
                <w:szCs w:val="21"/>
              </w:rPr>
              <w:t>78,903,009.62</w:t>
            </w:r>
          </w:p>
        </w:tc>
        <w:tc>
          <w:tcPr>
            <w:tcW w:w="845" w:type="pct"/>
            <w:vAlign w:val="center"/>
          </w:tcPr>
          <w:p w14:paraId="128FD247">
            <w:pPr>
              <w:jc w:val="right"/>
              <w:rPr>
                <w:rFonts w:ascii="Arial Narrow" w:hAnsi="Arial Narrow" w:eastAsiaTheme="minorEastAsia"/>
                <w:szCs w:val="21"/>
              </w:rPr>
            </w:pPr>
            <w:r>
              <w:rPr>
                <w:rFonts w:ascii="Arial Narrow" w:hAnsi="Arial Narrow" w:eastAsiaTheme="minorEastAsia"/>
                <w:color w:val="000000"/>
                <w:szCs w:val="21"/>
              </w:rPr>
              <w:t>28,124,112.34</w:t>
            </w:r>
          </w:p>
        </w:tc>
        <w:tc>
          <w:tcPr>
            <w:tcW w:w="846" w:type="pct"/>
            <w:vAlign w:val="center"/>
          </w:tcPr>
          <w:p w14:paraId="3282980E">
            <w:pPr>
              <w:jc w:val="right"/>
              <w:rPr>
                <w:rFonts w:ascii="Arial Narrow" w:hAnsi="Arial Narrow" w:eastAsiaTheme="minorEastAsia"/>
                <w:szCs w:val="21"/>
              </w:rPr>
            </w:pPr>
            <w:r>
              <w:rPr>
                <w:rFonts w:ascii="Arial Narrow" w:hAnsi="Arial Narrow" w:eastAsiaTheme="minorEastAsia"/>
                <w:color w:val="000000"/>
                <w:szCs w:val="21"/>
              </w:rPr>
              <w:t>71,506,740.18</w:t>
            </w:r>
          </w:p>
        </w:tc>
      </w:tr>
      <w:tr w14:paraId="6D66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1F1B3C80">
            <w:pPr>
              <w:rPr>
                <w:rFonts w:ascii="Arial Narrow" w:hAnsi="Arial Narrow" w:cs="Arial" w:eastAsiaTheme="minorEastAsia"/>
                <w:color w:val="000000"/>
                <w:szCs w:val="21"/>
              </w:rPr>
            </w:pPr>
            <w:r>
              <w:rPr>
                <w:rFonts w:ascii="Arial Narrow" w:hAnsi="Arial Narrow" w:cs="Arial" w:eastAsiaTheme="minorEastAsia"/>
                <w:color w:val="000000"/>
                <w:szCs w:val="21"/>
                <w:lang w:val="en-GB"/>
              </w:rPr>
              <w:t>非流动负债</w:t>
            </w:r>
          </w:p>
        </w:tc>
        <w:tc>
          <w:tcPr>
            <w:tcW w:w="846" w:type="pct"/>
            <w:shd w:val="clear" w:color="auto" w:fill="auto"/>
            <w:vAlign w:val="center"/>
          </w:tcPr>
          <w:p w14:paraId="72ECC101">
            <w:pPr>
              <w:jc w:val="right"/>
              <w:rPr>
                <w:rFonts w:ascii="Arial Narrow" w:hAnsi="Arial Narrow" w:eastAsiaTheme="minorEastAsia"/>
                <w:szCs w:val="21"/>
              </w:rPr>
            </w:pPr>
          </w:p>
        </w:tc>
        <w:tc>
          <w:tcPr>
            <w:tcW w:w="846" w:type="pct"/>
            <w:shd w:val="clear" w:color="auto" w:fill="auto"/>
            <w:vAlign w:val="center"/>
          </w:tcPr>
          <w:p w14:paraId="7FB540A4">
            <w:pPr>
              <w:jc w:val="right"/>
              <w:rPr>
                <w:rFonts w:ascii="Arial Narrow" w:hAnsi="Arial Narrow" w:eastAsiaTheme="minorEastAsia"/>
                <w:szCs w:val="21"/>
              </w:rPr>
            </w:pPr>
            <w:r>
              <w:rPr>
                <w:rFonts w:ascii="Arial Narrow" w:hAnsi="Arial Narrow" w:eastAsiaTheme="minorEastAsia"/>
                <w:color w:val="000000"/>
                <w:szCs w:val="21"/>
              </w:rPr>
              <w:t>1,891,561.45</w:t>
            </w:r>
          </w:p>
        </w:tc>
        <w:tc>
          <w:tcPr>
            <w:tcW w:w="845" w:type="pct"/>
            <w:vAlign w:val="center"/>
          </w:tcPr>
          <w:p w14:paraId="677DC864">
            <w:pPr>
              <w:jc w:val="right"/>
              <w:rPr>
                <w:rFonts w:ascii="Arial Narrow" w:hAnsi="Arial Narrow" w:eastAsiaTheme="minorEastAsia"/>
                <w:szCs w:val="21"/>
              </w:rPr>
            </w:pPr>
          </w:p>
        </w:tc>
        <w:tc>
          <w:tcPr>
            <w:tcW w:w="846" w:type="pct"/>
            <w:vAlign w:val="center"/>
          </w:tcPr>
          <w:p w14:paraId="5F7D850F">
            <w:pPr>
              <w:jc w:val="right"/>
              <w:rPr>
                <w:rFonts w:ascii="Arial Narrow" w:hAnsi="Arial Narrow" w:eastAsiaTheme="minorEastAsia"/>
                <w:szCs w:val="21"/>
              </w:rPr>
            </w:pPr>
            <w:r>
              <w:rPr>
                <w:rFonts w:ascii="Arial Narrow" w:hAnsi="Arial Narrow" w:eastAsiaTheme="minorEastAsia"/>
                <w:color w:val="000000"/>
                <w:szCs w:val="21"/>
              </w:rPr>
              <w:t>3,381,432.23</w:t>
            </w:r>
          </w:p>
        </w:tc>
      </w:tr>
      <w:tr w14:paraId="61ED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0FE56994">
            <w:pPr>
              <w:rPr>
                <w:rFonts w:ascii="Arial Narrow" w:hAnsi="Arial Narrow" w:cs="Arial" w:eastAsiaTheme="minorEastAsia"/>
                <w:color w:val="000000"/>
                <w:szCs w:val="21"/>
              </w:rPr>
            </w:pPr>
            <w:r>
              <w:rPr>
                <w:rFonts w:ascii="Arial Narrow" w:hAnsi="Arial Narrow" w:cs="Arial" w:eastAsiaTheme="minorEastAsia"/>
                <w:color w:val="000000"/>
                <w:szCs w:val="21"/>
                <w:lang w:val="en-GB"/>
              </w:rPr>
              <w:t>负债合计</w:t>
            </w:r>
          </w:p>
        </w:tc>
        <w:tc>
          <w:tcPr>
            <w:tcW w:w="846" w:type="pct"/>
            <w:shd w:val="clear" w:color="auto" w:fill="auto"/>
            <w:vAlign w:val="center"/>
          </w:tcPr>
          <w:p w14:paraId="6F101D2B">
            <w:pPr>
              <w:jc w:val="right"/>
              <w:rPr>
                <w:rFonts w:ascii="Arial Narrow" w:hAnsi="Arial Narrow" w:eastAsiaTheme="minorEastAsia"/>
                <w:szCs w:val="21"/>
              </w:rPr>
            </w:pPr>
            <w:r>
              <w:rPr>
                <w:rFonts w:ascii="Arial Narrow" w:hAnsi="Arial Narrow" w:eastAsiaTheme="minorEastAsia"/>
                <w:color w:val="000000"/>
                <w:szCs w:val="21"/>
              </w:rPr>
              <w:t>28,012,432.86</w:t>
            </w:r>
          </w:p>
        </w:tc>
        <w:tc>
          <w:tcPr>
            <w:tcW w:w="846" w:type="pct"/>
            <w:shd w:val="clear" w:color="auto" w:fill="auto"/>
            <w:vAlign w:val="center"/>
          </w:tcPr>
          <w:p w14:paraId="583BE29F">
            <w:pPr>
              <w:jc w:val="right"/>
              <w:rPr>
                <w:rFonts w:ascii="Arial Narrow" w:hAnsi="Arial Narrow" w:eastAsiaTheme="minorEastAsia"/>
                <w:szCs w:val="21"/>
              </w:rPr>
            </w:pPr>
            <w:r>
              <w:rPr>
                <w:rFonts w:ascii="Arial Narrow" w:hAnsi="Arial Narrow" w:eastAsiaTheme="minorEastAsia"/>
                <w:color w:val="000000"/>
                <w:szCs w:val="21"/>
              </w:rPr>
              <w:t>80,794,571.07</w:t>
            </w:r>
          </w:p>
        </w:tc>
        <w:tc>
          <w:tcPr>
            <w:tcW w:w="845" w:type="pct"/>
            <w:vAlign w:val="center"/>
          </w:tcPr>
          <w:p w14:paraId="0C71CC1A">
            <w:pPr>
              <w:jc w:val="right"/>
              <w:rPr>
                <w:rFonts w:ascii="Arial Narrow" w:hAnsi="Arial Narrow" w:eastAsiaTheme="minorEastAsia"/>
                <w:szCs w:val="21"/>
              </w:rPr>
            </w:pPr>
            <w:r>
              <w:rPr>
                <w:rFonts w:ascii="Arial Narrow" w:hAnsi="Arial Narrow" w:eastAsiaTheme="minorEastAsia"/>
                <w:color w:val="000000"/>
                <w:szCs w:val="21"/>
              </w:rPr>
              <w:t>28,124,112.34</w:t>
            </w:r>
          </w:p>
        </w:tc>
        <w:tc>
          <w:tcPr>
            <w:tcW w:w="846" w:type="pct"/>
            <w:vAlign w:val="center"/>
          </w:tcPr>
          <w:p w14:paraId="04AFA8DD">
            <w:pPr>
              <w:jc w:val="right"/>
              <w:rPr>
                <w:rFonts w:ascii="Arial Narrow" w:hAnsi="Arial Narrow" w:eastAsiaTheme="minorEastAsia"/>
                <w:szCs w:val="21"/>
              </w:rPr>
            </w:pPr>
            <w:r>
              <w:rPr>
                <w:rFonts w:ascii="Arial Narrow" w:hAnsi="Arial Narrow" w:eastAsiaTheme="minorEastAsia"/>
                <w:color w:val="000000"/>
                <w:szCs w:val="21"/>
              </w:rPr>
              <w:t>74,888,172.41</w:t>
            </w:r>
          </w:p>
        </w:tc>
      </w:tr>
      <w:tr w14:paraId="4E79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7A273DC5">
            <w:pPr>
              <w:jc w:val="right"/>
              <w:rPr>
                <w:rFonts w:ascii="Arial Narrow" w:hAnsi="Arial Narrow" w:eastAsiaTheme="minorEastAsia"/>
                <w:szCs w:val="21"/>
              </w:rPr>
            </w:pPr>
          </w:p>
        </w:tc>
      </w:tr>
      <w:tr w14:paraId="09A4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2DEA850A">
            <w:pPr>
              <w:rPr>
                <w:rFonts w:ascii="Arial Narrow" w:hAnsi="Arial Narrow" w:cs="Arial" w:eastAsiaTheme="minorEastAsia"/>
                <w:color w:val="000000"/>
                <w:szCs w:val="21"/>
              </w:rPr>
            </w:pPr>
            <w:r>
              <w:rPr>
                <w:rFonts w:ascii="Arial Narrow" w:hAnsi="Arial Narrow" w:cs="Arial" w:eastAsiaTheme="minorEastAsia"/>
                <w:color w:val="000000"/>
                <w:szCs w:val="21"/>
                <w:lang w:val="en-GB"/>
              </w:rPr>
              <w:t>少数股东权益</w:t>
            </w:r>
          </w:p>
        </w:tc>
        <w:tc>
          <w:tcPr>
            <w:tcW w:w="846" w:type="pct"/>
            <w:shd w:val="clear" w:color="auto" w:fill="auto"/>
            <w:vAlign w:val="center"/>
          </w:tcPr>
          <w:p w14:paraId="18FE8F6D">
            <w:pPr>
              <w:jc w:val="right"/>
              <w:rPr>
                <w:rFonts w:ascii="Arial Narrow" w:hAnsi="Arial Narrow" w:eastAsiaTheme="minorEastAsia"/>
                <w:szCs w:val="21"/>
              </w:rPr>
            </w:pPr>
          </w:p>
        </w:tc>
        <w:tc>
          <w:tcPr>
            <w:tcW w:w="846" w:type="pct"/>
            <w:shd w:val="clear" w:color="auto" w:fill="auto"/>
            <w:vAlign w:val="center"/>
          </w:tcPr>
          <w:p w14:paraId="78D10450">
            <w:pPr>
              <w:jc w:val="right"/>
              <w:rPr>
                <w:rFonts w:ascii="Arial Narrow" w:hAnsi="Arial Narrow" w:eastAsiaTheme="minorEastAsia"/>
                <w:szCs w:val="21"/>
              </w:rPr>
            </w:pPr>
          </w:p>
        </w:tc>
        <w:tc>
          <w:tcPr>
            <w:tcW w:w="845" w:type="pct"/>
            <w:vAlign w:val="center"/>
          </w:tcPr>
          <w:p w14:paraId="059F685A">
            <w:pPr>
              <w:jc w:val="right"/>
              <w:rPr>
                <w:rFonts w:ascii="Arial Narrow" w:hAnsi="Arial Narrow" w:eastAsiaTheme="minorEastAsia"/>
                <w:szCs w:val="21"/>
              </w:rPr>
            </w:pPr>
          </w:p>
        </w:tc>
        <w:tc>
          <w:tcPr>
            <w:tcW w:w="846" w:type="pct"/>
            <w:vAlign w:val="center"/>
          </w:tcPr>
          <w:p w14:paraId="4F72FEC4">
            <w:pPr>
              <w:jc w:val="right"/>
              <w:rPr>
                <w:rFonts w:ascii="Arial Narrow" w:hAnsi="Arial Narrow" w:eastAsiaTheme="minorEastAsia"/>
                <w:szCs w:val="21"/>
              </w:rPr>
            </w:pPr>
          </w:p>
        </w:tc>
      </w:tr>
      <w:tr w14:paraId="369D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055A49CE">
            <w:pPr>
              <w:rPr>
                <w:rFonts w:ascii="Arial Narrow" w:hAnsi="Arial Narrow" w:cs="Arial" w:eastAsiaTheme="minorEastAsia"/>
                <w:color w:val="000000"/>
                <w:szCs w:val="21"/>
              </w:rPr>
            </w:pPr>
            <w:r>
              <w:rPr>
                <w:rFonts w:ascii="Arial Narrow" w:hAnsi="Arial Narrow" w:cs="Arial" w:eastAsiaTheme="minorEastAsia"/>
                <w:color w:val="000000"/>
                <w:szCs w:val="21"/>
                <w:lang w:val="en-GB"/>
              </w:rPr>
              <w:t>归属于母公司股东权益</w:t>
            </w:r>
          </w:p>
        </w:tc>
        <w:tc>
          <w:tcPr>
            <w:tcW w:w="846" w:type="pct"/>
            <w:shd w:val="clear" w:color="auto" w:fill="auto"/>
            <w:vAlign w:val="center"/>
          </w:tcPr>
          <w:p w14:paraId="73CE064D">
            <w:pPr>
              <w:jc w:val="right"/>
              <w:rPr>
                <w:rFonts w:ascii="Arial Narrow" w:hAnsi="Arial Narrow" w:eastAsiaTheme="minorEastAsia"/>
                <w:szCs w:val="21"/>
              </w:rPr>
            </w:pPr>
            <w:r>
              <w:rPr>
                <w:rFonts w:ascii="Arial Narrow" w:hAnsi="Arial Narrow" w:eastAsiaTheme="minorEastAsia"/>
                <w:color w:val="000000"/>
                <w:szCs w:val="21"/>
              </w:rPr>
              <w:t>57,324,808.05</w:t>
            </w:r>
          </w:p>
        </w:tc>
        <w:tc>
          <w:tcPr>
            <w:tcW w:w="846" w:type="pct"/>
            <w:shd w:val="clear" w:color="auto" w:fill="auto"/>
            <w:vAlign w:val="center"/>
          </w:tcPr>
          <w:p w14:paraId="41D4A717">
            <w:pPr>
              <w:jc w:val="right"/>
              <w:rPr>
                <w:rFonts w:ascii="Arial Narrow" w:hAnsi="Arial Narrow" w:eastAsiaTheme="minorEastAsia"/>
                <w:szCs w:val="21"/>
              </w:rPr>
            </w:pPr>
            <w:r>
              <w:rPr>
                <w:rFonts w:ascii="Arial Narrow" w:hAnsi="Arial Narrow" w:eastAsiaTheme="minorEastAsia"/>
                <w:color w:val="000000"/>
                <w:szCs w:val="21"/>
              </w:rPr>
              <w:t>21,738,325.35</w:t>
            </w:r>
          </w:p>
        </w:tc>
        <w:tc>
          <w:tcPr>
            <w:tcW w:w="845" w:type="pct"/>
            <w:vAlign w:val="center"/>
          </w:tcPr>
          <w:p w14:paraId="161B0595">
            <w:pPr>
              <w:jc w:val="right"/>
              <w:rPr>
                <w:rFonts w:ascii="Arial Narrow" w:hAnsi="Arial Narrow" w:eastAsiaTheme="minorEastAsia"/>
                <w:szCs w:val="21"/>
              </w:rPr>
            </w:pPr>
            <w:r>
              <w:rPr>
                <w:rFonts w:ascii="Arial Narrow" w:hAnsi="Arial Narrow" w:eastAsiaTheme="minorEastAsia"/>
                <w:color w:val="000000"/>
                <w:szCs w:val="21"/>
              </w:rPr>
              <w:t>73,853,741.12</w:t>
            </w:r>
          </w:p>
        </w:tc>
        <w:tc>
          <w:tcPr>
            <w:tcW w:w="846" w:type="pct"/>
            <w:vAlign w:val="center"/>
          </w:tcPr>
          <w:p w14:paraId="25B1F202">
            <w:pPr>
              <w:jc w:val="right"/>
              <w:rPr>
                <w:rFonts w:ascii="Arial Narrow" w:hAnsi="Arial Narrow" w:eastAsiaTheme="minorEastAsia"/>
                <w:szCs w:val="21"/>
              </w:rPr>
            </w:pPr>
            <w:r>
              <w:rPr>
                <w:rFonts w:ascii="Arial Narrow" w:hAnsi="Arial Narrow" w:eastAsiaTheme="minorEastAsia"/>
                <w:color w:val="000000"/>
                <w:szCs w:val="21"/>
              </w:rPr>
              <w:t>21,057,029.97</w:t>
            </w:r>
          </w:p>
        </w:tc>
      </w:tr>
      <w:tr w14:paraId="2DAE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5454682">
            <w:pPr>
              <w:jc w:val="right"/>
              <w:rPr>
                <w:rFonts w:ascii="Arial Narrow" w:hAnsi="Arial Narrow" w:eastAsiaTheme="minorEastAsia"/>
                <w:szCs w:val="21"/>
              </w:rPr>
            </w:pPr>
          </w:p>
        </w:tc>
      </w:tr>
      <w:tr w14:paraId="7089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2489B455">
            <w:pPr>
              <w:rPr>
                <w:rFonts w:ascii="Arial Narrow" w:hAnsi="Arial Narrow" w:cs="Arial" w:eastAsiaTheme="minorEastAsia"/>
                <w:color w:val="000000"/>
                <w:szCs w:val="21"/>
              </w:rPr>
            </w:pPr>
            <w:r>
              <w:rPr>
                <w:rFonts w:ascii="Arial Narrow" w:hAnsi="Arial Narrow" w:cs="Arial" w:eastAsiaTheme="minorEastAsia"/>
                <w:color w:val="000000"/>
                <w:szCs w:val="21"/>
                <w:lang w:val="en-GB"/>
              </w:rPr>
              <w:t>按持股比例计算的净资产份额</w:t>
            </w:r>
          </w:p>
        </w:tc>
        <w:tc>
          <w:tcPr>
            <w:tcW w:w="846" w:type="pct"/>
            <w:shd w:val="clear" w:color="auto" w:fill="auto"/>
            <w:vAlign w:val="center"/>
          </w:tcPr>
          <w:p w14:paraId="51D7E9C9">
            <w:pPr>
              <w:jc w:val="right"/>
              <w:rPr>
                <w:rFonts w:ascii="Arial Narrow" w:hAnsi="Arial Narrow" w:eastAsiaTheme="minorEastAsia"/>
                <w:szCs w:val="21"/>
              </w:rPr>
            </w:pPr>
            <w:r>
              <w:rPr>
                <w:rFonts w:ascii="Arial Narrow" w:hAnsi="Arial Narrow" w:eastAsiaTheme="minorEastAsia"/>
                <w:color w:val="000000"/>
                <w:szCs w:val="21"/>
              </w:rPr>
              <w:t>28,662,404.03</w:t>
            </w:r>
          </w:p>
        </w:tc>
        <w:tc>
          <w:tcPr>
            <w:tcW w:w="846" w:type="pct"/>
            <w:shd w:val="clear" w:color="auto" w:fill="auto"/>
            <w:vAlign w:val="center"/>
          </w:tcPr>
          <w:p w14:paraId="633093BE">
            <w:pPr>
              <w:jc w:val="right"/>
              <w:rPr>
                <w:rFonts w:ascii="Arial Narrow" w:hAnsi="Arial Narrow" w:eastAsiaTheme="minorEastAsia"/>
                <w:szCs w:val="21"/>
              </w:rPr>
            </w:pPr>
            <w:r>
              <w:rPr>
                <w:rFonts w:ascii="Arial Narrow" w:hAnsi="Arial Narrow" w:eastAsiaTheme="minorEastAsia"/>
                <w:color w:val="000000"/>
                <w:szCs w:val="21"/>
              </w:rPr>
              <w:t>7,608,413.87</w:t>
            </w:r>
          </w:p>
        </w:tc>
        <w:tc>
          <w:tcPr>
            <w:tcW w:w="845" w:type="pct"/>
            <w:vAlign w:val="center"/>
          </w:tcPr>
          <w:p w14:paraId="59A0C40D">
            <w:pPr>
              <w:jc w:val="right"/>
              <w:rPr>
                <w:rFonts w:ascii="Arial Narrow" w:hAnsi="Arial Narrow" w:eastAsiaTheme="minorEastAsia"/>
                <w:szCs w:val="21"/>
              </w:rPr>
            </w:pPr>
            <w:r>
              <w:rPr>
                <w:rFonts w:ascii="Arial Narrow" w:hAnsi="Arial Narrow" w:eastAsiaTheme="minorEastAsia"/>
                <w:color w:val="000000"/>
                <w:szCs w:val="21"/>
              </w:rPr>
              <w:t>36,926,870.56</w:t>
            </w:r>
          </w:p>
        </w:tc>
        <w:tc>
          <w:tcPr>
            <w:tcW w:w="846" w:type="pct"/>
            <w:vAlign w:val="center"/>
          </w:tcPr>
          <w:p w14:paraId="078E135F">
            <w:pPr>
              <w:jc w:val="right"/>
              <w:rPr>
                <w:rFonts w:ascii="Arial Narrow" w:hAnsi="Arial Narrow" w:eastAsiaTheme="minorEastAsia"/>
                <w:szCs w:val="21"/>
              </w:rPr>
            </w:pPr>
            <w:r>
              <w:rPr>
                <w:rFonts w:ascii="Arial Narrow" w:hAnsi="Arial Narrow" w:eastAsiaTheme="minorEastAsia"/>
                <w:color w:val="000000"/>
                <w:szCs w:val="21"/>
              </w:rPr>
              <w:t>7,369,960.49</w:t>
            </w:r>
          </w:p>
        </w:tc>
      </w:tr>
      <w:tr w14:paraId="552B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307FEDBF">
            <w:pPr>
              <w:rPr>
                <w:rFonts w:ascii="Arial Narrow" w:hAnsi="Arial Narrow" w:cs="Arial" w:eastAsiaTheme="minorEastAsia"/>
                <w:color w:val="000000"/>
                <w:szCs w:val="21"/>
              </w:rPr>
            </w:pPr>
            <w:r>
              <w:rPr>
                <w:rFonts w:ascii="Arial Narrow" w:hAnsi="Arial Narrow" w:cs="Arial" w:eastAsiaTheme="minorEastAsia"/>
                <w:color w:val="000000"/>
                <w:szCs w:val="21"/>
                <w:lang w:val="en-GB"/>
              </w:rPr>
              <w:t>对联营企业权益投资的账面价值</w:t>
            </w:r>
          </w:p>
        </w:tc>
        <w:tc>
          <w:tcPr>
            <w:tcW w:w="846" w:type="pct"/>
            <w:shd w:val="clear" w:color="auto" w:fill="auto"/>
            <w:vAlign w:val="center"/>
          </w:tcPr>
          <w:p w14:paraId="36D0972C">
            <w:pPr>
              <w:jc w:val="right"/>
              <w:rPr>
                <w:rFonts w:ascii="Arial Narrow" w:hAnsi="Arial Narrow" w:eastAsiaTheme="minorEastAsia"/>
                <w:szCs w:val="21"/>
              </w:rPr>
            </w:pPr>
            <w:r>
              <w:rPr>
                <w:rFonts w:ascii="Arial Narrow" w:hAnsi="Arial Narrow" w:eastAsiaTheme="minorEastAsia"/>
                <w:color w:val="000000"/>
                <w:szCs w:val="21"/>
              </w:rPr>
              <w:t>28,662,404.03</w:t>
            </w:r>
          </w:p>
        </w:tc>
        <w:tc>
          <w:tcPr>
            <w:tcW w:w="846" w:type="pct"/>
            <w:shd w:val="clear" w:color="auto" w:fill="auto"/>
            <w:vAlign w:val="center"/>
          </w:tcPr>
          <w:p w14:paraId="7B444434">
            <w:pPr>
              <w:jc w:val="right"/>
              <w:rPr>
                <w:rFonts w:ascii="Arial Narrow" w:hAnsi="Arial Narrow" w:eastAsiaTheme="minorEastAsia"/>
                <w:szCs w:val="21"/>
              </w:rPr>
            </w:pPr>
            <w:r>
              <w:rPr>
                <w:rFonts w:ascii="Arial Narrow" w:hAnsi="Arial Narrow" w:eastAsiaTheme="minorEastAsia"/>
                <w:color w:val="000000"/>
                <w:szCs w:val="21"/>
              </w:rPr>
              <w:t>7,608,413.87</w:t>
            </w:r>
          </w:p>
        </w:tc>
        <w:tc>
          <w:tcPr>
            <w:tcW w:w="845" w:type="pct"/>
            <w:vAlign w:val="center"/>
          </w:tcPr>
          <w:p w14:paraId="04F97B33">
            <w:pPr>
              <w:jc w:val="right"/>
              <w:rPr>
                <w:rFonts w:ascii="Arial Narrow" w:hAnsi="Arial Narrow" w:eastAsiaTheme="minorEastAsia"/>
                <w:szCs w:val="21"/>
              </w:rPr>
            </w:pPr>
            <w:r>
              <w:rPr>
                <w:rFonts w:ascii="Arial Narrow" w:hAnsi="Arial Narrow" w:eastAsiaTheme="minorEastAsia"/>
                <w:color w:val="000000"/>
                <w:szCs w:val="21"/>
              </w:rPr>
              <w:t>36,926,870.56</w:t>
            </w:r>
          </w:p>
        </w:tc>
        <w:tc>
          <w:tcPr>
            <w:tcW w:w="846" w:type="pct"/>
            <w:vAlign w:val="center"/>
          </w:tcPr>
          <w:p w14:paraId="71F81430">
            <w:pPr>
              <w:jc w:val="right"/>
              <w:rPr>
                <w:rFonts w:ascii="Arial Narrow" w:hAnsi="Arial Narrow" w:eastAsiaTheme="minorEastAsia"/>
                <w:szCs w:val="21"/>
              </w:rPr>
            </w:pPr>
            <w:r>
              <w:rPr>
                <w:rFonts w:ascii="Arial Narrow" w:hAnsi="Arial Narrow" w:eastAsiaTheme="minorEastAsia"/>
                <w:color w:val="000000"/>
                <w:szCs w:val="21"/>
              </w:rPr>
              <w:t>7,369,960.49</w:t>
            </w:r>
          </w:p>
        </w:tc>
      </w:tr>
      <w:tr w14:paraId="33D6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35DE7FB9">
            <w:pPr>
              <w:jc w:val="right"/>
              <w:rPr>
                <w:rFonts w:ascii="Arial Narrow" w:hAnsi="Arial Narrow" w:eastAsiaTheme="minorEastAsia"/>
                <w:szCs w:val="21"/>
              </w:rPr>
            </w:pPr>
          </w:p>
        </w:tc>
      </w:tr>
      <w:tr w14:paraId="3F30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4C32DD23">
            <w:pPr>
              <w:rPr>
                <w:rFonts w:ascii="Arial Narrow" w:hAnsi="Arial Narrow" w:cs="Arial" w:eastAsiaTheme="minorEastAsia"/>
                <w:color w:val="000000"/>
                <w:szCs w:val="21"/>
              </w:rPr>
            </w:pPr>
            <w:r>
              <w:rPr>
                <w:rFonts w:ascii="Arial Narrow" w:hAnsi="Arial Narrow" w:cs="Arial" w:eastAsiaTheme="minorEastAsia"/>
                <w:color w:val="000000"/>
                <w:szCs w:val="21"/>
                <w:lang w:val="en-GB"/>
              </w:rPr>
              <w:t>营业收入</w:t>
            </w:r>
          </w:p>
        </w:tc>
        <w:tc>
          <w:tcPr>
            <w:tcW w:w="846" w:type="pct"/>
            <w:shd w:val="clear" w:color="auto" w:fill="auto"/>
            <w:vAlign w:val="center"/>
          </w:tcPr>
          <w:p w14:paraId="565A7449">
            <w:pPr>
              <w:jc w:val="right"/>
              <w:rPr>
                <w:rFonts w:ascii="Arial Narrow" w:hAnsi="Arial Narrow" w:eastAsiaTheme="minorEastAsia"/>
                <w:szCs w:val="21"/>
              </w:rPr>
            </w:pPr>
            <w:r>
              <w:rPr>
                <w:rFonts w:ascii="Arial Narrow" w:hAnsi="Arial Narrow" w:eastAsiaTheme="minorEastAsia"/>
                <w:color w:val="000000"/>
                <w:szCs w:val="21"/>
              </w:rPr>
              <w:t>103,129,890.49</w:t>
            </w:r>
          </w:p>
        </w:tc>
        <w:tc>
          <w:tcPr>
            <w:tcW w:w="846" w:type="pct"/>
            <w:shd w:val="clear" w:color="auto" w:fill="auto"/>
            <w:vAlign w:val="center"/>
          </w:tcPr>
          <w:p w14:paraId="672BF5ED">
            <w:pPr>
              <w:jc w:val="right"/>
              <w:rPr>
                <w:rFonts w:ascii="Arial Narrow" w:hAnsi="Arial Narrow" w:eastAsiaTheme="minorEastAsia"/>
                <w:szCs w:val="21"/>
              </w:rPr>
            </w:pPr>
            <w:r>
              <w:rPr>
                <w:rFonts w:ascii="Arial Narrow" w:hAnsi="Arial Narrow" w:eastAsiaTheme="minorEastAsia"/>
                <w:color w:val="000000"/>
                <w:szCs w:val="21"/>
              </w:rPr>
              <w:t>113,354,848.14</w:t>
            </w:r>
          </w:p>
        </w:tc>
        <w:tc>
          <w:tcPr>
            <w:tcW w:w="845" w:type="pct"/>
            <w:vAlign w:val="center"/>
          </w:tcPr>
          <w:p w14:paraId="1C866409">
            <w:pPr>
              <w:jc w:val="right"/>
              <w:rPr>
                <w:rFonts w:ascii="Arial Narrow" w:hAnsi="Arial Narrow" w:eastAsiaTheme="minorEastAsia"/>
                <w:szCs w:val="21"/>
              </w:rPr>
            </w:pPr>
            <w:r>
              <w:rPr>
                <w:rFonts w:ascii="Arial Narrow" w:hAnsi="Arial Narrow" w:eastAsiaTheme="minorEastAsia"/>
                <w:color w:val="000000"/>
                <w:szCs w:val="21"/>
              </w:rPr>
              <w:t>95,754,969.43</w:t>
            </w:r>
          </w:p>
        </w:tc>
        <w:tc>
          <w:tcPr>
            <w:tcW w:w="846" w:type="pct"/>
            <w:vAlign w:val="center"/>
          </w:tcPr>
          <w:p w14:paraId="6AB86610">
            <w:pPr>
              <w:jc w:val="right"/>
              <w:rPr>
                <w:rFonts w:ascii="Arial Narrow" w:hAnsi="Arial Narrow" w:eastAsiaTheme="minorEastAsia"/>
                <w:szCs w:val="21"/>
              </w:rPr>
            </w:pPr>
            <w:r>
              <w:rPr>
                <w:rFonts w:ascii="Arial Narrow" w:hAnsi="Arial Narrow" w:eastAsiaTheme="minorEastAsia"/>
                <w:color w:val="000000"/>
                <w:szCs w:val="21"/>
              </w:rPr>
              <w:t>96,760,928.74</w:t>
            </w:r>
          </w:p>
        </w:tc>
      </w:tr>
      <w:tr w14:paraId="48C4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3F0DE413">
            <w:pPr>
              <w:rPr>
                <w:rFonts w:ascii="Arial Narrow" w:hAnsi="Arial Narrow" w:cs="Arial" w:eastAsiaTheme="minorEastAsia"/>
                <w:color w:val="000000"/>
                <w:szCs w:val="21"/>
              </w:rPr>
            </w:pPr>
            <w:r>
              <w:rPr>
                <w:rFonts w:ascii="Arial Narrow" w:hAnsi="Arial Narrow" w:cs="Arial" w:eastAsiaTheme="minorEastAsia"/>
                <w:color w:val="000000"/>
                <w:szCs w:val="21"/>
                <w:lang w:val="en-GB"/>
              </w:rPr>
              <w:t>净利润</w:t>
            </w:r>
          </w:p>
        </w:tc>
        <w:tc>
          <w:tcPr>
            <w:tcW w:w="846" w:type="pct"/>
            <w:shd w:val="clear" w:color="auto" w:fill="auto"/>
            <w:vAlign w:val="center"/>
          </w:tcPr>
          <w:p w14:paraId="12F395BB">
            <w:pPr>
              <w:jc w:val="right"/>
              <w:rPr>
                <w:rFonts w:ascii="Arial Narrow" w:hAnsi="Arial Narrow" w:eastAsiaTheme="minorEastAsia"/>
                <w:szCs w:val="21"/>
              </w:rPr>
            </w:pPr>
            <w:r>
              <w:rPr>
                <w:rFonts w:ascii="Arial Narrow" w:hAnsi="Arial Narrow" w:eastAsiaTheme="minorEastAsia"/>
                <w:color w:val="000000"/>
                <w:szCs w:val="21"/>
              </w:rPr>
              <w:t>-16,528,933.06</w:t>
            </w:r>
          </w:p>
        </w:tc>
        <w:tc>
          <w:tcPr>
            <w:tcW w:w="846" w:type="pct"/>
            <w:shd w:val="clear" w:color="auto" w:fill="auto"/>
            <w:vAlign w:val="center"/>
          </w:tcPr>
          <w:p w14:paraId="25C3DED5">
            <w:pPr>
              <w:jc w:val="right"/>
              <w:rPr>
                <w:rFonts w:ascii="Arial Narrow" w:hAnsi="Arial Narrow" w:eastAsiaTheme="minorEastAsia"/>
                <w:szCs w:val="21"/>
              </w:rPr>
            </w:pPr>
            <w:r>
              <w:rPr>
                <w:rFonts w:ascii="Arial Narrow" w:hAnsi="Arial Narrow" w:eastAsiaTheme="minorEastAsia"/>
                <w:color w:val="000000"/>
                <w:szCs w:val="21"/>
              </w:rPr>
              <w:t>681,295.38</w:t>
            </w:r>
          </w:p>
        </w:tc>
        <w:tc>
          <w:tcPr>
            <w:tcW w:w="845" w:type="pct"/>
            <w:vAlign w:val="center"/>
          </w:tcPr>
          <w:p w14:paraId="6648582F">
            <w:pPr>
              <w:jc w:val="right"/>
              <w:rPr>
                <w:rFonts w:ascii="Arial Narrow" w:hAnsi="Arial Narrow" w:eastAsiaTheme="minorEastAsia"/>
                <w:szCs w:val="21"/>
              </w:rPr>
            </w:pPr>
            <w:r>
              <w:rPr>
                <w:rFonts w:ascii="Arial Narrow" w:hAnsi="Arial Narrow" w:eastAsiaTheme="minorEastAsia"/>
                <w:color w:val="000000"/>
                <w:szCs w:val="21"/>
              </w:rPr>
              <w:t>-5,039,056.15</w:t>
            </w:r>
          </w:p>
        </w:tc>
        <w:tc>
          <w:tcPr>
            <w:tcW w:w="846" w:type="pct"/>
            <w:vAlign w:val="center"/>
          </w:tcPr>
          <w:p w14:paraId="006BF5DE">
            <w:pPr>
              <w:jc w:val="right"/>
              <w:rPr>
                <w:rFonts w:ascii="Arial Narrow" w:hAnsi="Arial Narrow" w:eastAsiaTheme="minorEastAsia"/>
                <w:szCs w:val="21"/>
              </w:rPr>
            </w:pPr>
            <w:r>
              <w:rPr>
                <w:rFonts w:ascii="Arial Narrow" w:hAnsi="Arial Narrow" w:eastAsiaTheme="minorEastAsia"/>
                <w:color w:val="000000"/>
                <w:szCs w:val="21"/>
              </w:rPr>
              <w:t>2,049,489.12</w:t>
            </w:r>
          </w:p>
        </w:tc>
      </w:tr>
      <w:tr w14:paraId="2074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1FD9AB06">
            <w:pPr>
              <w:rPr>
                <w:rFonts w:ascii="Arial Narrow" w:hAnsi="Arial Narrow" w:cs="Arial" w:eastAsiaTheme="minorEastAsia"/>
                <w:color w:val="000000"/>
                <w:szCs w:val="21"/>
              </w:rPr>
            </w:pPr>
            <w:r>
              <w:rPr>
                <w:rFonts w:ascii="Arial Narrow" w:hAnsi="Arial Narrow" w:cs="Arial" w:eastAsiaTheme="minorEastAsia"/>
                <w:color w:val="000000"/>
                <w:szCs w:val="21"/>
                <w:lang w:val="en-GB"/>
              </w:rPr>
              <w:t>综合收益总额</w:t>
            </w:r>
          </w:p>
        </w:tc>
        <w:tc>
          <w:tcPr>
            <w:tcW w:w="846" w:type="pct"/>
            <w:shd w:val="clear" w:color="auto" w:fill="auto"/>
            <w:vAlign w:val="center"/>
          </w:tcPr>
          <w:p w14:paraId="7C82B7AE">
            <w:pPr>
              <w:jc w:val="right"/>
              <w:rPr>
                <w:rFonts w:ascii="Arial Narrow" w:hAnsi="Arial Narrow" w:eastAsiaTheme="minorEastAsia"/>
                <w:szCs w:val="21"/>
              </w:rPr>
            </w:pPr>
            <w:r>
              <w:rPr>
                <w:rFonts w:ascii="Arial Narrow" w:hAnsi="Arial Narrow" w:eastAsiaTheme="minorEastAsia"/>
                <w:color w:val="000000"/>
                <w:szCs w:val="21"/>
              </w:rPr>
              <w:t>-16,528,933.06</w:t>
            </w:r>
          </w:p>
        </w:tc>
        <w:tc>
          <w:tcPr>
            <w:tcW w:w="846" w:type="pct"/>
            <w:shd w:val="clear" w:color="auto" w:fill="auto"/>
            <w:vAlign w:val="center"/>
          </w:tcPr>
          <w:p w14:paraId="3DCD7863">
            <w:pPr>
              <w:jc w:val="right"/>
              <w:rPr>
                <w:rFonts w:ascii="Arial Narrow" w:hAnsi="Arial Narrow" w:eastAsiaTheme="minorEastAsia"/>
                <w:szCs w:val="21"/>
              </w:rPr>
            </w:pPr>
            <w:r>
              <w:rPr>
                <w:rFonts w:ascii="Arial Narrow" w:hAnsi="Arial Narrow" w:eastAsiaTheme="minorEastAsia"/>
                <w:color w:val="000000"/>
                <w:szCs w:val="21"/>
              </w:rPr>
              <w:t>681,295.38</w:t>
            </w:r>
          </w:p>
        </w:tc>
        <w:tc>
          <w:tcPr>
            <w:tcW w:w="845" w:type="pct"/>
            <w:vAlign w:val="center"/>
          </w:tcPr>
          <w:p w14:paraId="0E903048">
            <w:pPr>
              <w:jc w:val="right"/>
              <w:rPr>
                <w:rFonts w:ascii="Arial Narrow" w:hAnsi="Arial Narrow" w:eastAsiaTheme="minorEastAsia"/>
                <w:szCs w:val="21"/>
              </w:rPr>
            </w:pPr>
            <w:r>
              <w:rPr>
                <w:rFonts w:ascii="Arial Narrow" w:hAnsi="Arial Narrow" w:eastAsiaTheme="minorEastAsia"/>
                <w:color w:val="000000"/>
                <w:szCs w:val="21"/>
              </w:rPr>
              <w:t>-5,039,056.15</w:t>
            </w:r>
          </w:p>
        </w:tc>
        <w:tc>
          <w:tcPr>
            <w:tcW w:w="846" w:type="pct"/>
            <w:vAlign w:val="center"/>
          </w:tcPr>
          <w:p w14:paraId="4C98E41E">
            <w:pPr>
              <w:jc w:val="right"/>
              <w:rPr>
                <w:rFonts w:ascii="Arial Narrow" w:hAnsi="Arial Narrow" w:eastAsiaTheme="minorEastAsia"/>
                <w:szCs w:val="21"/>
              </w:rPr>
            </w:pPr>
            <w:r>
              <w:rPr>
                <w:rFonts w:ascii="Arial Narrow" w:hAnsi="Arial Narrow" w:eastAsiaTheme="minorEastAsia"/>
                <w:color w:val="000000"/>
                <w:szCs w:val="21"/>
              </w:rPr>
              <w:t>2,049,489.12</w:t>
            </w:r>
          </w:p>
        </w:tc>
      </w:tr>
      <w:tr w14:paraId="207A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24732F5">
            <w:pPr>
              <w:jc w:val="right"/>
              <w:rPr>
                <w:rFonts w:ascii="Arial Narrow" w:hAnsi="Arial Narrow" w:eastAsiaTheme="minorEastAsia"/>
                <w:szCs w:val="21"/>
              </w:rPr>
            </w:pPr>
          </w:p>
        </w:tc>
      </w:tr>
      <w:tr w14:paraId="194E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pct"/>
            <w:shd w:val="clear" w:color="auto" w:fill="auto"/>
            <w:vAlign w:val="center"/>
          </w:tcPr>
          <w:p w14:paraId="1C3FA618">
            <w:pPr>
              <w:rPr>
                <w:rFonts w:ascii="Arial Narrow" w:hAnsi="Arial Narrow" w:cs="Arial" w:eastAsiaTheme="minorEastAsia"/>
                <w:color w:val="000000"/>
                <w:szCs w:val="21"/>
              </w:rPr>
            </w:pPr>
            <w:r>
              <w:rPr>
                <w:rFonts w:ascii="Arial Narrow" w:hAnsi="Arial Narrow" w:cs="Arial" w:eastAsiaTheme="minorEastAsia"/>
                <w:color w:val="000000"/>
                <w:szCs w:val="21"/>
                <w:lang w:val="en-GB"/>
              </w:rPr>
              <w:t>本年度收到的来自联营企业的股利</w:t>
            </w:r>
          </w:p>
        </w:tc>
        <w:tc>
          <w:tcPr>
            <w:tcW w:w="846" w:type="pct"/>
            <w:shd w:val="clear" w:color="auto" w:fill="auto"/>
            <w:vAlign w:val="center"/>
          </w:tcPr>
          <w:p w14:paraId="50D3BADD">
            <w:pPr>
              <w:jc w:val="right"/>
              <w:rPr>
                <w:rFonts w:ascii="Arial Narrow" w:hAnsi="Arial Narrow" w:eastAsiaTheme="minorEastAsia"/>
                <w:color w:val="000000"/>
                <w:szCs w:val="21"/>
              </w:rPr>
            </w:pPr>
          </w:p>
        </w:tc>
        <w:tc>
          <w:tcPr>
            <w:tcW w:w="846" w:type="pct"/>
            <w:shd w:val="clear" w:color="auto" w:fill="auto"/>
            <w:vAlign w:val="center"/>
          </w:tcPr>
          <w:p w14:paraId="65B48973">
            <w:pPr>
              <w:jc w:val="right"/>
              <w:rPr>
                <w:rFonts w:ascii="Arial Narrow" w:hAnsi="Arial Narrow" w:eastAsiaTheme="minorEastAsia"/>
                <w:color w:val="000000"/>
                <w:szCs w:val="21"/>
              </w:rPr>
            </w:pPr>
            <w:r>
              <w:rPr>
                <w:rFonts w:ascii="Arial Narrow" w:hAnsi="Arial Narrow" w:eastAsiaTheme="minorEastAsia"/>
                <w:color w:val="000000"/>
                <w:szCs w:val="21"/>
              </w:rPr>
              <w:t>2,635,500.00</w:t>
            </w:r>
          </w:p>
        </w:tc>
        <w:tc>
          <w:tcPr>
            <w:tcW w:w="845" w:type="pct"/>
            <w:vAlign w:val="center"/>
          </w:tcPr>
          <w:p w14:paraId="5A09E076">
            <w:pPr>
              <w:jc w:val="right"/>
              <w:rPr>
                <w:rFonts w:ascii="Arial Narrow" w:hAnsi="Arial Narrow" w:eastAsiaTheme="minorEastAsia"/>
                <w:color w:val="000000"/>
                <w:szCs w:val="21"/>
              </w:rPr>
            </w:pPr>
          </w:p>
        </w:tc>
        <w:tc>
          <w:tcPr>
            <w:tcW w:w="846" w:type="pct"/>
            <w:vAlign w:val="center"/>
          </w:tcPr>
          <w:p w14:paraId="47F4E6FC">
            <w:pPr>
              <w:jc w:val="right"/>
              <w:rPr>
                <w:rFonts w:ascii="Arial Narrow" w:hAnsi="Arial Narrow" w:eastAsiaTheme="minorEastAsia"/>
                <w:szCs w:val="21"/>
              </w:rPr>
            </w:pPr>
          </w:p>
        </w:tc>
      </w:tr>
    </w:tbl>
    <w:p w14:paraId="64A46080">
      <w:pPr>
        <w:rPr>
          <w:rFonts w:hint="eastAsia" w:cs="Arial"/>
          <w:szCs w:val="21"/>
        </w:rPr>
      </w:pPr>
      <w:r>
        <w:rPr>
          <w:rFonts w:hint="eastAsia" w:cs="Arial"/>
          <w:szCs w:val="21"/>
        </w:rPr>
        <w:t>其他说明：</w:t>
      </w:r>
    </w:p>
    <w:sdt>
      <w:sdtPr>
        <w:rPr>
          <w:rFonts w:hint="eastAsia" w:cs="Arial"/>
          <w:szCs w:val="21"/>
        </w:rPr>
        <w:alias w:val="重要联营企业的主要财务信息其他说明的方法"/>
        <w:tag w:val="_GBC_49602fee37fb4c848eee594868d16caa"/>
        <w:id w:val="-382487085"/>
        <w:placeholder>
          <w:docPart w:val="GBC22222222222222222222222222222"/>
        </w:placeholder>
      </w:sdtPr>
      <w:sdtEndPr>
        <w:rPr>
          <w:rFonts w:hint="eastAsia" w:cs="Arial"/>
          <w:szCs w:val="21"/>
        </w:rPr>
      </w:sdtEndPr>
      <w:sdtContent>
        <w:p w14:paraId="1116FA7A">
          <w:pPr>
            <w:rPr>
              <w:rFonts w:hint="eastAsia" w:cs="Arial"/>
              <w:szCs w:val="21"/>
            </w:rPr>
          </w:pPr>
          <w:r>
            <w:rPr>
              <w:rFonts w:hint="eastAsia" w:cs="Arial"/>
              <w:szCs w:val="21"/>
            </w:rPr>
            <w:t>际华中晟材料科技（岳阳）有限公司已于2025年更名为湖南中晟高分子新材料有限公司</w:t>
          </w:r>
        </w:p>
      </w:sdtContent>
    </w:sdt>
    <w:p w14:paraId="3993C3FB">
      <w:pPr>
        <w:rPr>
          <w:rFonts w:hint="eastAsia" w:cs="Arial"/>
          <w:szCs w:val="21"/>
        </w:rPr>
      </w:pPr>
    </w:p>
    <w:p w14:paraId="74D24DB8">
      <w:pPr>
        <w:pStyle w:val="71"/>
        <w:numPr>
          <w:ilvl w:val="3"/>
          <w:numId w:val="157"/>
        </w:numPr>
        <w:ind w:left="426" w:hanging="426" w:hangingChars="202"/>
        <w:rPr>
          <w:rFonts w:hint="eastAsia"/>
        </w:rPr>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825199058"/>
        <w:placeholder>
          <w:docPart w:val="GBC22222222222222222222222222222"/>
        </w:placeholder>
      </w:sdtPr>
      <w:sdtEndPr>
        <w:rPr>
          <w:rFonts w:hint="eastAsia"/>
        </w:rPr>
      </w:sdtEndPr>
      <w:sdtContent>
        <w:p w14:paraId="42FC8E5E">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6DEE962B">
      <w:pPr>
        <w:jc w:val="right"/>
        <w:rPr>
          <w:rFonts w:hint="eastAsia"/>
        </w:rPr>
      </w:pPr>
      <w:r>
        <w:rPr>
          <w:rFonts w:hint="eastAsia"/>
        </w:rPr>
        <w:t>单位：</w:t>
      </w:r>
      <w:sdt>
        <w:sdtPr>
          <w:rPr>
            <w:rFonts w:hint="eastAsia"/>
          </w:rPr>
          <w:alias w:val="单位：财务附注：不重要的合营企业和联营企业的汇总财务信息"/>
          <w:tag w:val="_GBC_d02efd9c85904b029b5a51b02d9519e8"/>
          <w:id w:val="7157042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7770226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2995"/>
        <w:gridCol w:w="2998"/>
      </w:tblGrid>
      <w:tr w14:paraId="425D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604" w:type="pct"/>
            <w:shd w:val="clear" w:color="auto" w:fill="auto"/>
          </w:tcPr>
          <w:p w14:paraId="7503F0A5">
            <w:pPr>
              <w:jc w:val="center"/>
              <w:rPr>
                <w:rFonts w:ascii="Arial Narrow" w:hAnsi="Arial Narrow" w:cs="Arial" w:eastAsiaTheme="minorEastAsia"/>
                <w:szCs w:val="21"/>
              </w:rPr>
            </w:pPr>
          </w:p>
        </w:tc>
        <w:sdt>
          <w:sdtPr>
            <w:rPr>
              <w:rFonts w:ascii="Arial Narrow" w:hAnsi="Arial Narrow" w:eastAsiaTheme="minorEastAsia"/>
              <w:szCs w:val="21"/>
            </w:rPr>
            <w:tag w:val="_PLD_0f94e995a1b3419692bd4d8e5c6d3e83"/>
            <w:id w:val="-1268232399"/>
          </w:sdtPr>
          <w:sdtEndPr>
            <w:rPr>
              <w:rFonts w:ascii="Arial Narrow" w:hAnsi="Arial Narrow" w:eastAsiaTheme="minorEastAsia"/>
              <w:szCs w:val="21"/>
            </w:rPr>
          </w:sdtEndPr>
          <w:sdtContent>
            <w:tc>
              <w:tcPr>
                <w:tcW w:w="1697" w:type="pct"/>
                <w:shd w:val="clear" w:color="auto" w:fill="auto"/>
              </w:tcPr>
              <w:p w14:paraId="3333E20D">
                <w:pPr>
                  <w:jc w:val="center"/>
                  <w:rPr>
                    <w:rFonts w:ascii="Arial Narrow" w:hAnsi="Arial Narrow" w:cs="Arial" w:eastAsiaTheme="minorEastAsia"/>
                    <w:szCs w:val="21"/>
                  </w:rPr>
                </w:pPr>
                <w:r>
                  <w:rPr>
                    <w:rFonts w:ascii="Arial Narrow" w:hAnsi="Arial Narrow" w:cs="Arial" w:eastAsiaTheme="minorEastAsia"/>
                    <w:szCs w:val="21"/>
                    <w:lang w:val="en-GB"/>
                  </w:rPr>
                  <w:t>期末余额</w:t>
                </w:r>
                <w:r>
                  <w:rPr>
                    <w:rFonts w:ascii="Arial Narrow" w:hAnsi="Arial Narrow" w:cs="Arial" w:eastAsiaTheme="minorEastAsia"/>
                    <w:szCs w:val="21"/>
                  </w:rPr>
                  <w:t xml:space="preserve">/ </w:t>
                </w:r>
                <w:r>
                  <w:rPr>
                    <w:rFonts w:ascii="Arial Narrow" w:hAnsi="Arial Narrow" w:cs="Arial" w:eastAsiaTheme="minorEastAsia"/>
                    <w:szCs w:val="21"/>
                    <w:lang w:val="en-GB"/>
                  </w:rPr>
                  <w:t>本期发生额</w:t>
                </w:r>
              </w:p>
            </w:tc>
          </w:sdtContent>
        </w:sdt>
        <w:sdt>
          <w:sdtPr>
            <w:rPr>
              <w:rFonts w:ascii="Arial Narrow" w:hAnsi="Arial Narrow" w:eastAsiaTheme="minorEastAsia"/>
              <w:szCs w:val="21"/>
            </w:rPr>
            <w:tag w:val="_PLD_41f132b6b30d40258178a800b0285b01"/>
            <w:id w:val="1352527945"/>
          </w:sdtPr>
          <w:sdtEndPr>
            <w:rPr>
              <w:rFonts w:ascii="Arial Narrow" w:hAnsi="Arial Narrow" w:eastAsiaTheme="minorEastAsia"/>
              <w:szCs w:val="21"/>
            </w:rPr>
          </w:sdtEndPr>
          <w:sdtContent>
            <w:tc>
              <w:tcPr>
                <w:tcW w:w="1699" w:type="pct"/>
                <w:shd w:val="clear" w:color="auto" w:fill="auto"/>
              </w:tcPr>
              <w:p w14:paraId="6873ED27">
                <w:pPr>
                  <w:jc w:val="center"/>
                  <w:rPr>
                    <w:rFonts w:ascii="Arial Narrow" w:hAnsi="Arial Narrow" w:cs="Arial" w:eastAsiaTheme="minorEastAsia"/>
                    <w:szCs w:val="21"/>
                  </w:rPr>
                </w:pPr>
                <w:r>
                  <w:rPr>
                    <w:rFonts w:ascii="Arial Narrow" w:hAnsi="Arial Narrow" w:cs="Arial" w:eastAsiaTheme="minorEastAsia"/>
                    <w:szCs w:val="21"/>
                    <w:lang w:val="en-GB"/>
                  </w:rPr>
                  <w:t>期初余额</w:t>
                </w:r>
                <w:r>
                  <w:rPr>
                    <w:rFonts w:ascii="Arial Narrow" w:hAnsi="Arial Narrow" w:cs="Arial" w:eastAsiaTheme="minorEastAsia"/>
                    <w:szCs w:val="21"/>
                  </w:rPr>
                  <w:t xml:space="preserve">/ </w:t>
                </w:r>
                <w:r>
                  <w:rPr>
                    <w:rFonts w:ascii="Arial Narrow" w:hAnsi="Arial Narrow" w:cs="Arial" w:eastAsiaTheme="minorEastAsia"/>
                    <w:szCs w:val="21"/>
                    <w:lang w:val="en-GB"/>
                  </w:rPr>
                  <w:t>上期发生额</w:t>
                </w:r>
              </w:p>
            </w:tc>
          </w:sdtContent>
        </w:sdt>
      </w:tr>
      <w:tr w14:paraId="619B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Arial Narrow" w:hAnsi="Arial Narrow" w:eastAsiaTheme="minorEastAsia"/>
              <w:szCs w:val="21"/>
            </w:rPr>
            <w:tag w:val="_PLD_cbda7c3468d14ed7a076bd7c6a1d9c6f"/>
            <w:id w:val="1866795253"/>
          </w:sdtPr>
          <w:sdtEndPr>
            <w:rPr>
              <w:rFonts w:ascii="Arial Narrow" w:hAnsi="Arial Narrow" w:eastAsiaTheme="minorEastAsia"/>
              <w:szCs w:val="21"/>
            </w:rPr>
          </w:sdtEndPr>
          <w:sdtContent>
            <w:tc>
              <w:tcPr>
                <w:tcW w:w="5000" w:type="pct"/>
                <w:gridSpan w:val="3"/>
                <w:shd w:val="clear" w:color="auto" w:fill="auto"/>
              </w:tcPr>
              <w:p w14:paraId="35C85618">
                <w:pPr>
                  <w:rPr>
                    <w:rFonts w:ascii="Arial Narrow" w:hAnsi="Arial Narrow" w:eastAsiaTheme="minorEastAsia"/>
                    <w:szCs w:val="21"/>
                  </w:rPr>
                </w:pPr>
                <w:r>
                  <w:rPr>
                    <w:rFonts w:ascii="Arial Narrow" w:hAnsi="Arial Narrow" w:cs="Arial" w:eastAsiaTheme="minorEastAsia"/>
                    <w:szCs w:val="21"/>
                    <w:lang w:val="en-GB"/>
                  </w:rPr>
                  <w:t>联营企业：</w:t>
                </w:r>
              </w:p>
            </w:tc>
          </w:sdtContent>
        </w:sdt>
      </w:tr>
      <w:tr w14:paraId="42F6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shd w:val="clear" w:color="auto" w:fill="auto"/>
            <w:vAlign w:val="center"/>
          </w:tcPr>
          <w:p w14:paraId="295EB753">
            <w:pPr>
              <w:rPr>
                <w:rFonts w:ascii="Arial Narrow" w:hAnsi="Arial Narrow" w:cs="Arial" w:eastAsiaTheme="minorEastAsia"/>
                <w:color w:val="000000"/>
                <w:szCs w:val="21"/>
              </w:rPr>
            </w:pPr>
            <w:r>
              <w:rPr>
                <w:rFonts w:ascii="Arial Narrow" w:hAnsi="Arial Narrow" w:cs="Arial" w:eastAsiaTheme="minorEastAsia"/>
                <w:color w:val="000000"/>
                <w:szCs w:val="21"/>
                <w:lang w:val="en-GB"/>
              </w:rPr>
              <w:t>投资账面价值合计</w:t>
            </w:r>
          </w:p>
        </w:tc>
        <w:tc>
          <w:tcPr>
            <w:tcW w:w="1697" w:type="pct"/>
            <w:vAlign w:val="center"/>
          </w:tcPr>
          <w:p w14:paraId="31ABC3B8">
            <w:pPr>
              <w:jc w:val="right"/>
              <w:rPr>
                <w:rFonts w:ascii="Arial Narrow" w:hAnsi="Arial Narrow" w:eastAsiaTheme="minorEastAsia"/>
                <w:szCs w:val="21"/>
              </w:rPr>
            </w:pPr>
            <w:r>
              <w:rPr>
                <w:rFonts w:ascii="Arial Narrow" w:hAnsi="Arial Narrow" w:eastAsiaTheme="minorEastAsia"/>
                <w:color w:val="000000"/>
                <w:szCs w:val="21"/>
              </w:rPr>
              <w:t>11,738,839.26</w:t>
            </w:r>
          </w:p>
        </w:tc>
        <w:tc>
          <w:tcPr>
            <w:tcW w:w="1699" w:type="pct"/>
            <w:vAlign w:val="center"/>
          </w:tcPr>
          <w:p w14:paraId="25803825">
            <w:pPr>
              <w:jc w:val="right"/>
              <w:rPr>
                <w:rFonts w:ascii="Arial Narrow" w:hAnsi="Arial Narrow" w:eastAsiaTheme="minorEastAsia"/>
                <w:szCs w:val="21"/>
              </w:rPr>
            </w:pPr>
            <w:r>
              <w:rPr>
                <w:rFonts w:ascii="Arial Narrow" w:hAnsi="Arial Narrow" w:eastAsiaTheme="minorEastAsia"/>
                <w:color w:val="000000"/>
                <w:szCs w:val="21"/>
              </w:rPr>
              <w:t>48,632,726.09</w:t>
            </w:r>
          </w:p>
        </w:tc>
      </w:tr>
      <w:tr w14:paraId="47E4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ascii="Arial Narrow" w:hAnsi="Arial Narrow" w:eastAsiaTheme="minorEastAsia"/>
              <w:szCs w:val="21"/>
            </w:rPr>
            <w:tag w:val="_PLD_83ce74083a4545808d6b87b66cb814b0"/>
            <w:id w:val="-264466312"/>
          </w:sdtPr>
          <w:sdtEndPr>
            <w:rPr>
              <w:rFonts w:ascii="Arial Narrow" w:hAnsi="Arial Narrow" w:eastAsiaTheme="minorEastAsia"/>
              <w:szCs w:val="21"/>
            </w:rPr>
          </w:sdtEndPr>
          <w:sdtContent>
            <w:tc>
              <w:tcPr>
                <w:tcW w:w="5000" w:type="pct"/>
                <w:gridSpan w:val="3"/>
                <w:shd w:val="clear" w:color="auto" w:fill="auto"/>
                <w:vAlign w:val="center"/>
              </w:tcPr>
              <w:p w14:paraId="0DB7311E">
                <w:pPr>
                  <w:rPr>
                    <w:rFonts w:ascii="Arial Narrow" w:hAnsi="Arial Narrow" w:eastAsiaTheme="minorEastAsia"/>
                    <w:szCs w:val="21"/>
                  </w:rPr>
                </w:pPr>
                <w:r>
                  <w:rPr>
                    <w:rFonts w:ascii="Arial Narrow" w:hAnsi="Arial Narrow" w:cs="Arial" w:eastAsiaTheme="minorEastAsia"/>
                    <w:color w:val="000000"/>
                    <w:szCs w:val="21"/>
                    <w:lang w:val="en-GB"/>
                  </w:rPr>
                  <w:t>下列各项按持股比例计算的合计数</w:t>
                </w:r>
              </w:p>
            </w:tc>
          </w:sdtContent>
        </w:sdt>
      </w:tr>
      <w:tr w14:paraId="396A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shd w:val="clear" w:color="auto" w:fill="auto"/>
            <w:vAlign w:val="center"/>
          </w:tcPr>
          <w:p w14:paraId="11E56ABF">
            <w:pPr>
              <w:rPr>
                <w:rFonts w:ascii="Arial Narrow" w:hAnsi="Arial Narrow" w:cs="Arial" w:eastAsiaTheme="minorEastAsia"/>
                <w:color w:val="000000"/>
                <w:szCs w:val="21"/>
              </w:rPr>
            </w:pPr>
            <w:r>
              <w:rPr>
                <w:rFonts w:ascii="Arial Narrow" w:hAnsi="Arial Narrow" w:cs="Arial" w:eastAsiaTheme="minorEastAsia"/>
                <w:color w:val="000000"/>
                <w:szCs w:val="21"/>
              </w:rPr>
              <w:t>--</w:t>
            </w:r>
            <w:r>
              <w:rPr>
                <w:rFonts w:ascii="Arial Narrow" w:hAnsi="Arial Narrow" w:cs="Arial" w:eastAsiaTheme="minorEastAsia"/>
                <w:color w:val="000000"/>
                <w:szCs w:val="21"/>
                <w:lang w:val="en-GB"/>
              </w:rPr>
              <w:t>净利润</w:t>
            </w:r>
          </w:p>
        </w:tc>
        <w:tc>
          <w:tcPr>
            <w:tcW w:w="1697" w:type="pct"/>
            <w:vAlign w:val="center"/>
          </w:tcPr>
          <w:p w14:paraId="293CE26D">
            <w:pPr>
              <w:jc w:val="right"/>
              <w:rPr>
                <w:rFonts w:ascii="Arial Narrow" w:hAnsi="Arial Narrow" w:eastAsiaTheme="minorEastAsia"/>
                <w:szCs w:val="21"/>
              </w:rPr>
            </w:pPr>
            <w:r>
              <w:rPr>
                <w:rFonts w:ascii="Arial Narrow" w:hAnsi="Arial Narrow" w:eastAsiaTheme="minorEastAsia"/>
                <w:color w:val="000000"/>
                <w:szCs w:val="21"/>
              </w:rPr>
              <w:t>-190,987,210.72</w:t>
            </w:r>
          </w:p>
        </w:tc>
        <w:tc>
          <w:tcPr>
            <w:tcW w:w="1699" w:type="pct"/>
            <w:vAlign w:val="center"/>
          </w:tcPr>
          <w:p w14:paraId="1FC73C8D">
            <w:pPr>
              <w:jc w:val="right"/>
              <w:rPr>
                <w:rFonts w:ascii="Arial Narrow" w:hAnsi="Arial Narrow" w:eastAsiaTheme="minorEastAsia"/>
                <w:szCs w:val="21"/>
              </w:rPr>
            </w:pPr>
            <w:r>
              <w:rPr>
                <w:rFonts w:ascii="Arial Narrow" w:hAnsi="Arial Narrow" w:eastAsiaTheme="minorEastAsia"/>
                <w:color w:val="000000"/>
                <w:szCs w:val="21"/>
              </w:rPr>
              <w:t>-18,517,773.73</w:t>
            </w:r>
          </w:p>
        </w:tc>
      </w:tr>
      <w:tr w14:paraId="5834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shd w:val="clear" w:color="auto" w:fill="auto"/>
            <w:vAlign w:val="center"/>
          </w:tcPr>
          <w:p w14:paraId="4DC5C09E">
            <w:pPr>
              <w:rPr>
                <w:rFonts w:ascii="Arial Narrow" w:hAnsi="Arial Narrow" w:cs="Arial" w:eastAsiaTheme="minorEastAsia"/>
                <w:color w:val="000000"/>
                <w:szCs w:val="21"/>
              </w:rPr>
            </w:pPr>
            <w:r>
              <w:rPr>
                <w:rFonts w:ascii="Arial Narrow" w:hAnsi="Arial Narrow" w:cs="Arial" w:eastAsiaTheme="minorEastAsia"/>
                <w:color w:val="000000"/>
                <w:szCs w:val="21"/>
              </w:rPr>
              <w:t>--</w:t>
            </w:r>
            <w:r>
              <w:rPr>
                <w:rFonts w:ascii="Arial Narrow" w:hAnsi="Arial Narrow" w:cs="Arial" w:eastAsiaTheme="minorEastAsia"/>
                <w:color w:val="000000"/>
                <w:szCs w:val="21"/>
                <w:lang w:val="en-GB"/>
              </w:rPr>
              <w:t>其他综合收益</w:t>
            </w:r>
          </w:p>
        </w:tc>
        <w:tc>
          <w:tcPr>
            <w:tcW w:w="1697" w:type="pct"/>
            <w:vAlign w:val="center"/>
          </w:tcPr>
          <w:p w14:paraId="367B47EA">
            <w:pPr>
              <w:jc w:val="right"/>
              <w:rPr>
                <w:rFonts w:ascii="Arial Narrow" w:hAnsi="Arial Narrow" w:eastAsiaTheme="minorEastAsia"/>
                <w:szCs w:val="21"/>
              </w:rPr>
            </w:pPr>
          </w:p>
        </w:tc>
        <w:tc>
          <w:tcPr>
            <w:tcW w:w="1699" w:type="pct"/>
            <w:vAlign w:val="center"/>
          </w:tcPr>
          <w:p w14:paraId="32829FAB">
            <w:pPr>
              <w:jc w:val="right"/>
              <w:rPr>
                <w:rFonts w:ascii="Arial Narrow" w:hAnsi="Arial Narrow" w:eastAsiaTheme="minorEastAsia"/>
                <w:szCs w:val="21"/>
              </w:rPr>
            </w:pPr>
          </w:p>
        </w:tc>
      </w:tr>
      <w:tr w14:paraId="1A2A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shd w:val="clear" w:color="auto" w:fill="auto"/>
            <w:vAlign w:val="center"/>
          </w:tcPr>
          <w:p w14:paraId="6733199D">
            <w:pPr>
              <w:rPr>
                <w:rFonts w:ascii="Arial Narrow" w:hAnsi="Arial Narrow" w:cs="Arial" w:eastAsiaTheme="minorEastAsia"/>
                <w:color w:val="000000"/>
                <w:szCs w:val="21"/>
              </w:rPr>
            </w:pPr>
            <w:r>
              <w:rPr>
                <w:rFonts w:ascii="Arial Narrow" w:hAnsi="Arial Narrow" w:cs="Arial" w:eastAsiaTheme="minorEastAsia"/>
                <w:color w:val="000000"/>
                <w:szCs w:val="21"/>
              </w:rPr>
              <w:t>--</w:t>
            </w:r>
            <w:r>
              <w:rPr>
                <w:rFonts w:ascii="Arial Narrow" w:hAnsi="Arial Narrow" w:cs="Arial" w:eastAsiaTheme="minorEastAsia"/>
                <w:color w:val="000000"/>
                <w:szCs w:val="21"/>
                <w:lang w:val="en-GB"/>
              </w:rPr>
              <w:t>综合收益总额</w:t>
            </w:r>
          </w:p>
        </w:tc>
        <w:tc>
          <w:tcPr>
            <w:tcW w:w="1697" w:type="pct"/>
            <w:vAlign w:val="center"/>
          </w:tcPr>
          <w:p w14:paraId="2E6A94D2">
            <w:pPr>
              <w:jc w:val="right"/>
              <w:rPr>
                <w:rFonts w:ascii="Arial Narrow" w:hAnsi="Arial Narrow" w:eastAsiaTheme="minorEastAsia"/>
                <w:szCs w:val="21"/>
              </w:rPr>
            </w:pPr>
            <w:r>
              <w:rPr>
                <w:rFonts w:ascii="Arial Narrow" w:hAnsi="Arial Narrow" w:eastAsiaTheme="minorEastAsia"/>
                <w:color w:val="000000"/>
                <w:szCs w:val="21"/>
              </w:rPr>
              <w:t>-190,987,210.72</w:t>
            </w:r>
          </w:p>
        </w:tc>
        <w:tc>
          <w:tcPr>
            <w:tcW w:w="1699" w:type="pct"/>
            <w:vAlign w:val="center"/>
          </w:tcPr>
          <w:p w14:paraId="49DC0EA3">
            <w:pPr>
              <w:jc w:val="right"/>
              <w:rPr>
                <w:rFonts w:ascii="Arial Narrow" w:hAnsi="Arial Narrow" w:eastAsiaTheme="minorEastAsia"/>
                <w:szCs w:val="21"/>
              </w:rPr>
            </w:pPr>
            <w:r>
              <w:rPr>
                <w:rFonts w:ascii="Arial Narrow" w:hAnsi="Arial Narrow" w:eastAsiaTheme="minorEastAsia"/>
                <w:color w:val="000000"/>
                <w:szCs w:val="21"/>
              </w:rPr>
              <w:t>-18,517,773.73</w:t>
            </w:r>
          </w:p>
        </w:tc>
      </w:tr>
    </w:tbl>
    <w:p w14:paraId="6415ECB7">
      <w:pPr>
        <w:rPr>
          <w:rFonts w:hint="eastAsia" w:cs="Arial"/>
          <w:szCs w:val="21"/>
        </w:rPr>
      </w:pPr>
      <w:r>
        <w:rPr>
          <w:rFonts w:hint="eastAsia" w:cs="Arial"/>
          <w:szCs w:val="21"/>
        </w:rPr>
        <w:t>其他说明：</w:t>
      </w:r>
    </w:p>
    <w:p w14:paraId="38271DF8">
      <w:pPr>
        <w:rPr>
          <w:rFonts w:hint="eastAsia" w:cs="Arial"/>
          <w:szCs w:val="21"/>
        </w:rPr>
      </w:pPr>
      <w:sdt>
        <w:sdtPr>
          <w:rPr>
            <w:szCs w:val="21"/>
          </w:rPr>
          <w:alias w:val="不重要的合营企业和联营企业的汇总财务信息其他说明"/>
          <w:tag w:val="_GBC_78096995ca9848409e6780ab5f1386f8"/>
          <w:id w:val="-1196918194"/>
          <w:placeholder>
            <w:docPart w:val="GBC22222222222222222222222222222"/>
          </w:placeholder>
        </w:sdtPr>
        <w:sdtEndPr>
          <w:rPr>
            <w:szCs w:val="21"/>
          </w:rPr>
        </w:sdtEndPr>
        <w:sdtContent>
          <w:r>
            <w:rPr>
              <w:rFonts w:hint="eastAsia"/>
              <w:szCs w:val="21"/>
            </w:rPr>
            <w:t>无</w:t>
          </w:r>
        </w:sdtContent>
      </w:sdt>
    </w:p>
    <w:p w14:paraId="4FB585BD">
      <w:pPr>
        <w:rPr>
          <w:rFonts w:hint="eastAsia" w:cs="Arial"/>
          <w:szCs w:val="21"/>
        </w:rPr>
      </w:pPr>
    </w:p>
    <w:p w14:paraId="01D88AEA">
      <w:pPr>
        <w:pStyle w:val="71"/>
        <w:numPr>
          <w:ilvl w:val="3"/>
          <w:numId w:val="157"/>
        </w:numPr>
        <w:ind w:left="426" w:hanging="426" w:hangingChars="202"/>
        <w:rPr>
          <w:rFonts w:hint="eastAsia"/>
        </w:rPr>
      </w:pPr>
      <w:r>
        <w:rPr>
          <w:rFonts w:hint="eastAsia"/>
        </w:rPr>
        <w:t>合营企业或联营企业向本公司转移资金的能力存在重大限制的说明</w:t>
      </w:r>
    </w:p>
    <w:sdt>
      <w:sdtPr>
        <w:rPr>
          <w:rFonts w:hint="eastAsia" w:cs="Arial"/>
          <w:szCs w:val="21"/>
        </w:rPr>
        <w:alias w:val="是否适用：合营企业或联营企业向本公司转移资金的能力存在重大限制的说明[双击切换]"/>
        <w:tag w:val="_GBC_6adf336cbf6141a59d29de2be4c5a55b"/>
        <w:id w:val="1673686726"/>
        <w:placeholder>
          <w:docPart w:val="GBC22222222222222222222222222222"/>
        </w:placeholder>
      </w:sdtPr>
      <w:sdtEndPr>
        <w:rPr>
          <w:rFonts w:hint="eastAsia" w:cs="Arial"/>
          <w:szCs w:val="21"/>
        </w:rPr>
      </w:sdtEndPr>
      <w:sdtContent>
        <w:p w14:paraId="5B32A0CE">
          <w:pPr>
            <w:rPr>
              <w:rFonts w:hint="eastAsia"/>
            </w:rPr>
          </w:pPr>
          <w:r>
            <w:rPr>
              <w:rFonts w:cs="Arial"/>
              <w:szCs w:val="21"/>
            </w:rPr>
            <w:fldChar w:fldCharType="begin"/>
          </w:r>
          <w:r>
            <w:rPr>
              <w:rFonts w:hint="eastAsia" w:cs="Arial"/>
              <w:szCs w:val="21"/>
            </w:rPr>
            <w:instrText xml:space="preserve"> 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404FDA79">
      <w:pPr>
        <w:rPr>
          <w:rFonts w:hint="eastAsia" w:cs="Arial"/>
          <w:szCs w:val="21"/>
        </w:rPr>
      </w:pPr>
    </w:p>
    <w:p w14:paraId="527D336A">
      <w:pPr>
        <w:pStyle w:val="71"/>
        <w:numPr>
          <w:ilvl w:val="3"/>
          <w:numId w:val="157"/>
        </w:numPr>
        <w:ind w:left="426" w:hanging="426" w:hangingChars="202"/>
        <w:rPr>
          <w:rFonts w:hint="eastAsia"/>
        </w:rPr>
      </w:pPr>
      <w:r>
        <w:rPr>
          <w:rFonts w:hint="eastAsia"/>
        </w:rPr>
        <w:t>合营企业或联营企业发生的</w:t>
      </w:r>
      <w:bookmarkStart w:id="383" w:name="OLE_LINK17"/>
      <w:r>
        <w:rPr>
          <w:rFonts w:hint="eastAsia"/>
        </w:rPr>
        <w:t>超额亏损</w:t>
      </w:r>
      <w:bookmarkEnd w:id="383"/>
    </w:p>
    <w:sdt>
      <w:sdtPr>
        <w:rPr>
          <w:rFonts w:hint="eastAsia"/>
        </w:rPr>
        <w:alias w:val="是否适用：合营企业或联营企业发生的超额亏损[双击切换]"/>
        <w:tag w:val="_GBC_06d01e334df443999a288d3ef1be1420"/>
        <w:id w:val="950126374"/>
        <w:placeholder>
          <w:docPart w:val="GBC22222222222222222222222222222"/>
        </w:placeholder>
      </w:sdtPr>
      <w:sdtEndPr>
        <w:rPr>
          <w:rFonts w:hint="eastAsia"/>
        </w:rPr>
      </w:sdtEndPr>
      <w:sdtContent>
        <w:p w14:paraId="282A5315">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7AC223D8">
      <w:pPr>
        <w:jc w:val="right"/>
        <w:rPr>
          <w:rFonts w:hint="eastAsia"/>
        </w:rPr>
      </w:pPr>
      <w:r>
        <w:rPr>
          <w:rFonts w:hint="eastAsia"/>
        </w:rPr>
        <w:t>单位：</w:t>
      </w:r>
      <w:sdt>
        <w:sdtPr>
          <w:rPr>
            <w:rFonts w:hint="eastAsia"/>
          </w:rPr>
          <w:alias w:val="单位：财务附注：合营企业或联营企业发生的超额亏损"/>
          <w:tag w:val="_GBC_9b4b48485e2c48b587d05345d1b8f906"/>
          <w:id w:val="14205195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合营企业或联营企业发生的超额亏损"/>
          <w:tag w:val="_GBC_7d2c2ed8c3ee46d0b970983fec01e300"/>
          <w:id w:val="7696690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3"/>
        <w:gridCol w:w="2635"/>
        <w:gridCol w:w="2155"/>
      </w:tblGrid>
      <w:tr w14:paraId="372C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sdt>
          <w:sdtPr>
            <w:rPr>
              <w:rFonts w:ascii="Arial Narrow" w:hAnsi="Arial Narrow" w:eastAsiaTheme="minorEastAsia"/>
              <w:szCs w:val="21"/>
            </w:rPr>
            <w:tag w:val="_PLD_dba2b5e5428c4b18a6a7e6365882bcb1"/>
            <w:id w:val="-274252581"/>
          </w:sdtPr>
          <w:sdtEndPr>
            <w:rPr>
              <w:rFonts w:ascii="Arial Narrow" w:hAnsi="Arial Narrow" w:eastAsiaTheme="minorEastAsia"/>
              <w:szCs w:val="21"/>
            </w:rPr>
          </w:sdtEndPr>
          <w:sdtContent>
            <w:tc>
              <w:tcPr>
                <w:tcW w:w="2286" w:type="pct"/>
                <w:shd w:val="clear" w:color="auto" w:fill="auto"/>
                <w:vAlign w:val="center"/>
              </w:tcPr>
              <w:p w14:paraId="04E5FFCC">
                <w:pPr>
                  <w:jc w:val="center"/>
                  <w:rPr>
                    <w:rFonts w:ascii="Arial Narrow" w:hAnsi="Arial Narrow" w:cs="Arial" w:eastAsiaTheme="minorEastAsia"/>
                    <w:szCs w:val="21"/>
                  </w:rPr>
                </w:pPr>
                <w:r>
                  <w:rPr>
                    <w:rFonts w:ascii="Arial Narrow" w:hAnsi="Arial Narrow" w:cs="Arial" w:eastAsiaTheme="minorEastAsia"/>
                    <w:szCs w:val="21"/>
                    <w:lang w:val="en-GB"/>
                  </w:rPr>
                  <w:t>合营企业或联营企业名称</w:t>
                </w:r>
              </w:p>
            </w:tc>
          </w:sdtContent>
        </w:sdt>
        <w:sdt>
          <w:sdtPr>
            <w:rPr>
              <w:rFonts w:ascii="Arial Narrow" w:hAnsi="Arial Narrow" w:eastAsiaTheme="minorEastAsia"/>
              <w:szCs w:val="21"/>
            </w:rPr>
            <w:tag w:val="_PLD_6f0ec2b6f23a4c3ea29cbbf75e6521f2"/>
            <w:id w:val="312068521"/>
          </w:sdtPr>
          <w:sdtEndPr>
            <w:rPr>
              <w:rFonts w:ascii="Arial Narrow" w:hAnsi="Arial Narrow" w:eastAsiaTheme="minorEastAsia"/>
              <w:szCs w:val="21"/>
            </w:rPr>
          </w:sdtEndPr>
          <w:sdtContent>
            <w:tc>
              <w:tcPr>
                <w:tcW w:w="1493" w:type="pct"/>
                <w:shd w:val="clear" w:color="auto" w:fill="auto"/>
                <w:vAlign w:val="center"/>
              </w:tcPr>
              <w:p w14:paraId="4B81A4B8">
                <w:pPr>
                  <w:jc w:val="center"/>
                  <w:rPr>
                    <w:rFonts w:ascii="Arial Narrow" w:hAnsi="Arial Narrow" w:cs="Arial" w:eastAsiaTheme="minorEastAsia"/>
                    <w:szCs w:val="21"/>
                    <w:lang w:val="en-GB"/>
                  </w:rPr>
                </w:pPr>
                <w:r>
                  <w:rPr>
                    <w:rFonts w:ascii="Arial Narrow" w:hAnsi="Arial Narrow" w:cs="Arial" w:eastAsiaTheme="minorEastAsia"/>
                    <w:szCs w:val="21"/>
                    <w:lang w:val="en-GB"/>
                  </w:rPr>
                  <w:t>本期未确认的损失</w:t>
                </w:r>
              </w:p>
              <w:p w14:paraId="4798F6A4">
                <w:pPr>
                  <w:jc w:val="center"/>
                  <w:rPr>
                    <w:rFonts w:ascii="Arial Narrow" w:hAnsi="Arial Narrow" w:cs="Arial" w:eastAsiaTheme="minorEastAsia"/>
                    <w:szCs w:val="21"/>
                    <w:lang w:val="en-GB"/>
                  </w:rPr>
                </w:pPr>
                <w:r>
                  <w:rPr>
                    <w:rFonts w:ascii="Arial Narrow" w:hAnsi="Arial Narrow" w:cs="Arial" w:eastAsiaTheme="minorEastAsia"/>
                    <w:szCs w:val="21"/>
                    <w:lang w:val="en-GB"/>
                  </w:rPr>
                  <w:t>（或本期分享的净利润）</w:t>
                </w:r>
              </w:p>
            </w:tc>
          </w:sdtContent>
        </w:sdt>
        <w:sdt>
          <w:sdtPr>
            <w:rPr>
              <w:rFonts w:ascii="Arial Narrow" w:hAnsi="Arial Narrow" w:eastAsiaTheme="minorEastAsia"/>
              <w:szCs w:val="21"/>
            </w:rPr>
            <w:tag w:val="_PLD_2e91ae41b3a94567a4e71e8d1e99d11c"/>
            <w:id w:val="-1182509070"/>
          </w:sdtPr>
          <w:sdtEndPr>
            <w:rPr>
              <w:rFonts w:ascii="Arial Narrow" w:hAnsi="Arial Narrow" w:eastAsiaTheme="minorEastAsia"/>
              <w:szCs w:val="21"/>
            </w:rPr>
          </w:sdtEndPr>
          <w:sdtContent>
            <w:tc>
              <w:tcPr>
                <w:tcW w:w="1221" w:type="pct"/>
                <w:shd w:val="clear" w:color="auto" w:fill="auto"/>
                <w:vAlign w:val="center"/>
              </w:tcPr>
              <w:p w14:paraId="523ADC93">
                <w:pPr>
                  <w:jc w:val="center"/>
                  <w:rPr>
                    <w:rFonts w:ascii="Arial Narrow" w:hAnsi="Arial Narrow" w:cs="Arial" w:eastAsiaTheme="minorEastAsia"/>
                    <w:szCs w:val="21"/>
                    <w:lang w:val="en-GB"/>
                  </w:rPr>
                </w:pPr>
                <w:r>
                  <w:rPr>
                    <w:rFonts w:ascii="Arial Narrow" w:hAnsi="Arial Narrow" w:cs="Arial" w:eastAsiaTheme="minorEastAsia"/>
                    <w:szCs w:val="21"/>
                    <w:lang w:val="en-GB"/>
                  </w:rPr>
                  <w:t>本期末累积未确认的损失</w:t>
                </w:r>
              </w:p>
            </w:tc>
          </w:sdtContent>
        </w:sdt>
      </w:tr>
      <w:tr w14:paraId="6180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6" w:type="pct"/>
            <w:shd w:val="clear" w:color="auto" w:fill="auto"/>
            <w:vAlign w:val="bottom"/>
          </w:tcPr>
          <w:p w14:paraId="75D18C8E">
            <w:pPr>
              <w:rPr>
                <w:rFonts w:ascii="Arial Narrow" w:hAnsi="Arial Narrow" w:eastAsiaTheme="minorEastAsia"/>
                <w:szCs w:val="21"/>
              </w:rPr>
            </w:pPr>
            <w:r>
              <w:rPr>
                <w:rFonts w:ascii="Arial Narrow" w:hAnsi="Arial Narrow" w:eastAsiaTheme="minorEastAsia"/>
                <w:color w:val="000000"/>
                <w:szCs w:val="21"/>
              </w:rPr>
              <w:t>湖北际华置业有限公司</w:t>
            </w:r>
          </w:p>
        </w:tc>
        <w:tc>
          <w:tcPr>
            <w:tcW w:w="1493" w:type="pct"/>
            <w:shd w:val="clear" w:color="auto" w:fill="auto"/>
            <w:vAlign w:val="center"/>
          </w:tcPr>
          <w:p w14:paraId="33A4D53E">
            <w:pPr>
              <w:jc w:val="right"/>
              <w:rPr>
                <w:rFonts w:ascii="Arial Narrow" w:hAnsi="Arial Narrow" w:eastAsiaTheme="minorEastAsia"/>
                <w:szCs w:val="21"/>
              </w:rPr>
            </w:pPr>
            <w:r>
              <w:rPr>
                <w:rFonts w:ascii="Arial Narrow" w:hAnsi="Arial Narrow" w:eastAsiaTheme="minorEastAsia"/>
                <w:color w:val="000000"/>
                <w:szCs w:val="21"/>
              </w:rPr>
              <w:t>9,876,362.57</w:t>
            </w:r>
          </w:p>
        </w:tc>
        <w:tc>
          <w:tcPr>
            <w:tcW w:w="1221" w:type="pct"/>
            <w:shd w:val="clear" w:color="auto" w:fill="auto"/>
            <w:vAlign w:val="center"/>
          </w:tcPr>
          <w:p w14:paraId="5595739B">
            <w:pPr>
              <w:jc w:val="right"/>
              <w:rPr>
                <w:rFonts w:ascii="Arial Narrow" w:hAnsi="Arial Narrow" w:eastAsiaTheme="minorEastAsia"/>
                <w:szCs w:val="21"/>
              </w:rPr>
            </w:pPr>
            <w:r>
              <w:rPr>
                <w:rFonts w:ascii="Arial Narrow" w:hAnsi="Arial Narrow" w:eastAsiaTheme="minorEastAsia"/>
                <w:color w:val="000000"/>
                <w:szCs w:val="21"/>
              </w:rPr>
              <w:t>9,876,362.57</w:t>
            </w:r>
          </w:p>
        </w:tc>
      </w:tr>
      <w:tr w14:paraId="30B4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6" w:type="pct"/>
            <w:shd w:val="clear" w:color="auto" w:fill="auto"/>
            <w:vAlign w:val="bottom"/>
          </w:tcPr>
          <w:p w14:paraId="3CC7B6C2">
            <w:pPr>
              <w:rPr>
                <w:rFonts w:ascii="Arial Narrow" w:hAnsi="Arial Narrow" w:eastAsiaTheme="minorEastAsia"/>
                <w:szCs w:val="21"/>
              </w:rPr>
            </w:pPr>
            <w:bookmarkStart w:id="384" w:name="OLE_LINK15"/>
            <w:r>
              <w:rPr>
                <w:rFonts w:ascii="Arial Narrow" w:hAnsi="Arial Narrow" w:eastAsiaTheme="minorEastAsia"/>
                <w:color w:val="000000"/>
                <w:szCs w:val="21"/>
              </w:rPr>
              <w:t>宜昌际华仙女服饰有限公司</w:t>
            </w:r>
            <w:bookmarkEnd w:id="384"/>
          </w:p>
        </w:tc>
        <w:tc>
          <w:tcPr>
            <w:tcW w:w="1493" w:type="pct"/>
            <w:shd w:val="clear" w:color="auto" w:fill="auto"/>
            <w:vAlign w:val="center"/>
          </w:tcPr>
          <w:p w14:paraId="2506686E">
            <w:pPr>
              <w:jc w:val="right"/>
              <w:rPr>
                <w:rFonts w:ascii="Arial Narrow" w:hAnsi="Arial Narrow" w:eastAsiaTheme="minorEastAsia"/>
                <w:szCs w:val="21"/>
              </w:rPr>
            </w:pPr>
            <w:r>
              <w:rPr>
                <w:rFonts w:ascii="Arial Narrow" w:hAnsi="Arial Narrow" w:eastAsiaTheme="minorEastAsia"/>
                <w:color w:val="000000"/>
                <w:szCs w:val="21"/>
              </w:rPr>
              <w:t>4,622,111.44</w:t>
            </w:r>
          </w:p>
        </w:tc>
        <w:tc>
          <w:tcPr>
            <w:tcW w:w="1221" w:type="pct"/>
            <w:shd w:val="clear" w:color="auto" w:fill="auto"/>
            <w:vAlign w:val="center"/>
          </w:tcPr>
          <w:p w14:paraId="01E10620">
            <w:pPr>
              <w:jc w:val="right"/>
              <w:rPr>
                <w:rFonts w:ascii="Arial Narrow" w:hAnsi="Arial Narrow" w:eastAsiaTheme="minorEastAsia"/>
                <w:szCs w:val="21"/>
              </w:rPr>
            </w:pPr>
            <w:r>
              <w:rPr>
                <w:rFonts w:ascii="Arial Narrow" w:hAnsi="Arial Narrow" w:eastAsiaTheme="minorEastAsia"/>
                <w:color w:val="000000"/>
                <w:szCs w:val="21"/>
              </w:rPr>
              <w:t>4,622,111.44</w:t>
            </w:r>
          </w:p>
        </w:tc>
      </w:tr>
    </w:tbl>
    <w:p w14:paraId="209D9663">
      <w:pPr>
        <w:rPr>
          <w:rFonts w:hint="eastAsia" w:cs="Arial"/>
          <w:szCs w:val="21"/>
        </w:rPr>
      </w:pPr>
      <w:r>
        <w:rPr>
          <w:rFonts w:hint="eastAsia" w:cs="Arial"/>
          <w:szCs w:val="21"/>
        </w:rPr>
        <w:t>其他说明：</w:t>
      </w:r>
    </w:p>
    <w:sdt>
      <w:sdtPr>
        <w:rPr>
          <w:rFonts w:cs="Arial"/>
          <w:szCs w:val="21"/>
        </w:rPr>
        <w:alias w:val="合营企业或联营企业发生的超额亏损的其他说明"/>
        <w:tag w:val="_GBC_cd40de2e5da84ad9ada2436c92f0269a"/>
        <w:id w:val="789938696"/>
        <w:placeholder>
          <w:docPart w:val="GBC22222222222222222222222222222"/>
        </w:placeholder>
      </w:sdtPr>
      <w:sdtEndPr>
        <w:rPr>
          <w:rFonts w:cs="Arial"/>
          <w:szCs w:val="21"/>
        </w:rPr>
      </w:sdtEndPr>
      <w:sdtContent>
        <w:p w14:paraId="589F0F88">
          <w:pPr>
            <w:rPr>
              <w:rFonts w:hint="eastAsia" w:cs="Arial"/>
              <w:szCs w:val="21"/>
            </w:rPr>
          </w:pPr>
          <w:r>
            <w:rPr>
              <w:rFonts w:hint="eastAsia" w:cs="Arial"/>
              <w:szCs w:val="21"/>
            </w:rPr>
            <w:t>无</w:t>
          </w:r>
        </w:p>
      </w:sdtContent>
    </w:sdt>
    <w:p w14:paraId="6923BDC1">
      <w:pPr>
        <w:rPr>
          <w:rFonts w:hint="eastAsia" w:cs="Arial"/>
          <w:szCs w:val="21"/>
        </w:rPr>
      </w:pPr>
    </w:p>
    <w:p w14:paraId="1B337DCA">
      <w:pPr>
        <w:pStyle w:val="71"/>
        <w:numPr>
          <w:ilvl w:val="3"/>
          <w:numId w:val="157"/>
        </w:numPr>
        <w:ind w:left="426" w:hanging="426" w:hangingChars="202"/>
        <w:rPr>
          <w:rFonts w:hint="eastAsia"/>
        </w:rPr>
      </w:pPr>
      <w:r>
        <w:rPr>
          <w:rFonts w:hint="eastAsia"/>
        </w:rPr>
        <w:t>与合营企业投资相关的未确认承诺</w:t>
      </w:r>
    </w:p>
    <w:sdt>
      <w:sdtPr>
        <w:rPr>
          <w:rFonts w:hint="eastAsia" w:cs="Arial"/>
          <w:szCs w:val="21"/>
        </w:rPr>
        <w:alias w:val="是否适用：与合营企业投资相关的未确认承诺[双击切换]"/>
        <w:tag w:val="_GBC_31e45f9d52434cea9a9a27d328e562ec"/>
        <w:id w:val="-1051380447"/>
        <w:placeholder>
          <w:docPart w:val="GBC22222222222222222222222222222"/>
        </w:placeholder>
      </w:sdtPr>
      <w:sdtEndPr>
        <w:rPr>
          <w:rFonts w:hint="eastAsia" w:cs="Arial"/>
          <w:szCs w:val="21"/>
        </w:rPr>
      </w:sdtEndPr>
      <w:sdtContent>
        <w:p w14:paraId="00A2B4CF">
          <w:pPr>
            <w:rPr>
              <w:rFonts w:hint="eastAsia" w:cs="Arial"/>
              <w:szCs w:val="21"/>
            </w:rPr>
          </w:pPr>
          <w:r>
            <w:rPr>
              <w:rFonts w:cs="Arial"/>
              <w:szCs w:val="21"/>
            </w:rPr>
            <w:fldChar w:fldCharType="begin"/>
          </w:r>
          <w:r>
            <w:rPr>
              <w:rFonts w:hint="eastAsia" w:cs="Arial"/>
              <w:szCs w:val="21"/>
            </w:rPr>
            <w:instrText xml:space="preserve"> 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7CFF0E83">
      <w:pPr>
        <w:rPr>
          <w:rFonts w:hint="eastAsia" w:cs="Arial"/>
          <w:szCs w:val="21"/>
        </w:rPr>
      </w:pPr>
    </w:p>
    <w:p w14:paraId="5FDCA2F6">
      <w:pPr>
        <w:pStyle w:val="71"/>
        <w:numPr>
          <w:ilvl w:val="3"/>
          <w:numId w:val="157"/>
        </w:numPr>
        <w:ind w:left="426" w:hanging="426" w:hangingChars="202"/>
        <w:rPr>
          <w:rFonts w:hint="eastAsia"/>
        </w:rPr>
      </w:pPr>
      <w:r>
        <w:rPr>
          <w:rFonts w:hint="eastAsia"/>
        </w:rPr>
        <w:t>与合营企业或联营企业投资相关的或有负债</w:t>
      </w:r>
    </w:p>
    <w:sdt>
      <w:sdtPr>
        <w:rPr>
          <w:rFonts w:hint="eastAsia" w:cs="Arial"/>
          <w:szCs w:val="21"/>
        </w:rPr>
        <w:alias w:val="是否适用：与合营企业或联营企业投资相关的或有负债[双击切换]"/>
        <w:tag w:val="_GBC_d3c6dfcab3ab42afb854d4ea2e7c9b9f"/>
        <w:id w:val="-1790040829"/>
        <w:placeholder>
          <w:docPart w:val="GBC22222222222222222222222222222"/>
        </w:placeholder>
      </w:sdtPr>
      <w:sdtEndPr>
        <w:rPr>
          <w:rFonts w:hint="eastAsia" w:cs="Arial"/>
          <w:szCs w:val="21"/>
        </w:rPr>
      </w:sdtEndPr>
      <w:sdtContent>
        <w:p w14:paraId="668D489C">
          <w:pPr>
            <w:rPr>
              <w:rFonts w:hint="eastAsia" w:cs="Arial"/>
              <w:szCs w:val="21"/>
            </w:rPr>
          </w:pPr>
          <w:r>
            <w:rPr>
              <w:rFonts w:cs="Arial"/>
              <w:szCs w:val="21"/>
            </w:rPr>
            <w:fldChar w:fldCharType="begin"/>
          </w:r>
          <w:r>
            <w:rPr>
              <w:rFonts w:hint="eastAsia" w:cs="Arial"/>
              <w:szCs w:val="21"/>
            </w:rPr>
            <w:instrText xml:space="preserve"> 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55276F3F">
      <w:pPr>
        <w:rPr>
          <w:rFonts w:hint="eastAsia" w:cs="Arial"/>
          <w:szCs w:val="21"/>
        </w:rPr>
      </w:pPr>
    </w:p>
    <w:p w14:paraId="64E3B746">
      <w:pPr>
        <w:pStyle w:val="70"/>
        <w:numPr>
          <w:ilvl w:val="2"/>
          <w:numId w:val="155"/>
        </w:numPr>
      </w:pPr>
      <w:r>
        <w:rPr>
          <w:rFonts w:hint="eastAsia"/>
        </w:rPr>
        <w:t>重要的共同经营</w:t>
      </w:r>
    </w:p>
    <w:sdt>
      <w:sdtPr>
        <w:alias w:val="是否适用：重要的共同经营[双击切换]"/>
        <w:tag w:val="_GBC_8a0341a844454c89848e95b9c64a8efb"/>
        <w:id w:val="667369720"/>
        <w:placeholder>
          <w:docPart w:val="GBC22222222222222222222222222222"/>
        </w:placeholder>
      </w:sdtPr>
      <w:sdtContent>
        <w:p w14:paraId="0EFAEE25">
          <w:pPr>
            <w:rPr>
              <w:rFonts w:hint="eastAsia" w:cs="Arial"/>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4E65052">
      <w:pPr>
        <w:rPr>
          <w:rFonts w:hint="eastAsia" w:cs="Arial"/>
          <w:szCs w:val="21"/>
        </w:rPr>
      </w:pPr>
    </w:p>
    <w:p w14:paraId="42A43D5E">
      <w:pPr>
        <w:rPr>
          <w:rFonts w:hint="eastAsia" w:cs="Arial"/>
          <w:szCs w:val="21"/>
        </w:rPr>
      </w:pPr>
    </w:p>
    <w:p w14:paraId="31D3286D">
      <w:pPr>
        <w:pStyle w:val="70"/>
        <w:numPr>
          <w:ilvl w:val="2"/>
          <w:numId w:val="155"/>
        </w:numPr>
      </w:pPr>
      <w:r>
        <w:rPr>
          <w:rFonts w:hint="eastAsia"/>
        </w:rPr>
        <w:t>在未纳入合并财务报表范围的结构化主体中的权益</w:t>
      </w:r>
    </w:p>
    <w:p w14:paraId="0CC298F2">
      <w:pPr>
        <w:rPr>
          <w:rFonts w:hint="eastAsia" w:cs="Arial"/>
          <w:szCs w:val="21"/>
        </w:rPr>
      </w:pPr>
      <w:r>
        <w:rPr>
          <w:rFonts w:hint="eastAsia" w:cs="Arial"/>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897357522"/>
        <w:placeholder>
          <w:docPart w:val="GBC22222222222222222222222222222"/>
        </w:placeholder>
      </w:sdtPr>
      <w:sdtEndPr>
        <w:rPr>
          <w:rFonts w:cs="Arial"/>
          <w:szCs w:val="21"/>
        </w:rPr>
      </w:sdtEndPr>
      <w:sdtContent>
        <w:p w14:paraId="56C1EA4F">
          <w:pPr>
            <w:rPr>
              <w:rFonts w:hint="eastAsia" w:cs="Arial"/>
              <w:szCs w:val="21"/>
            </w:rPr>
          </w:pPr>
          <w:r>
            <w:rPr>
              <w:rFonts w:cs="Arial"/>
              <w:szCs w:val="21"/>
            </w:rPr>
            <w:fldChar w:fldCharType="begin"/>
          </w:r>
          <w:r>
            <w:rPr>
              <w:rFonts w:hint="eastAsia" w:cs="Arial"/>
              <w:szCs w:val="21"/>
            </w:rPr>
            <w:instrText xml:space="preserve">MACROBUTTON  SnrToggleCheckbox □适用 </w:instrText>
          </w:r>
          <w:r>
            <w:rPr>
              <w:rFonts w:cs="Arial"/>
              <w:szCs w:val="21"/>
            </w:rPr>
            <w:fldChar w:fldCharType="end"/>
          </w:r>
          <w:r>
            <w:rPr>
              <w:rFonts w:cs="Arial"/>
              <w:szCs w:val="21"/>
            </w:rPr>
            <w:fldChar w:fldCharType="begin"/>
          </w:r>
          <w:r>
            <w:rPr>
              <w:rFonts w:hint="eastAsia" w:cs="Arial"/>
              <w:szCs w:val="21"/>
            </w:rPr>
            <w:instrText xml:space="preserve"> MACROBUTTON  SnrToggleCheckbox √不适用 </w:instrText>
          </w:r>
          <w:r>
            <w:rPr>
              <w:rFonts w:cs="Arial"/>
              <w:szCs w:val="21"/>
            </w:rPr>
            <w:fldChar w:fldCharType="end"/>
          </w:r>
        </w:p>
      </w:sdtContent>
    </w:sdt>
    <w:p w14:paraId="6846CE42">
      <w:pPr>
        <w:rPr>
          <w:rFonts w:hint="eastAsia" w:cs="Arial"/>
          <w:szCs w:val="21"/>
        </w:rPr>
      </w:pPr>
    </w:p>
    <w:p w14:paraId="7F63B9F3">
      <w:pPr>
        <w:pStyle w:val="70"/>
        <w:numPr>
          <w:ilvl w:val="2"/>
          <w:numId w:val="155"/>
        </w:numPr>
      </w:pPr>
      <w:r>
        <w:rPr>
          <w:rFonts w:hint="eastAsia"/>
        </w:rPr>
        <w:t>其他</w:t>
      </w:r>
    </w:p>
    <w:sdt>
      <w:sdtPr>
        <w:rPr>
          <w:rFonts w:hint="eastAsia"/>
        </w:rPr>
        <w:alias w:val="是否适用：在其他主体中的权益其他需要说明的事项[双击切换]"/>
        <w:tag w:val="_GBC_f97a284e61d54ed588c46ec336af6ef8"/>
        <w:id w:val="1959909567"/>
        <w:placeholder>
          <w:docPart w:val="GBC22222222222222222222222222222"/>
        </w:placeholder>
      </w:sdtPr>
      <w:sdtEndPr>
        <w:rPr>
          <w:rFonts w:hint="eastAsia"/>
        </w:rPr>
      </w:sdtEndPr>
      <w:sdtContent>
        <w:p w14:paraId="7F14736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F8558ED">
      <w:pPr>
        <w:rPr>
          <w:rFonts w:hint="eastAsia"/>
        </w:rPr>
      </w:pPr>
    </w:p>
    <w:p w14:paraId="4E9BBDC3">
      <w:pPr>
        <w:pStyle w:val="69"/>
        <w:numPr>
          <w:ilvl w:val="0"/>
          <w:numId w:val="87"/>
        </w:numPr>
        <w:rPr>
          <w:rFonts w:hint="eastAsia" w:ascii="宋体" w:hAnsi="宋体"/>
        </w:rPr>
      </w:pPr>
      <w:r>
        <w:rPr>
          <w:rFonts w:hint="eastAsia"/>
        </w:rPr>
        <w:t>政府补助</w:t>
      </w:r>
    </w:p>
    <w:p w14:paraId="47CBB430">
      <w:pPr>
        <w:pStyle w:val="70"/>
        <w:numPr>
          <w:ilvl w:val="0"/>
          <w:numId w:val="158"/>
        </w:numPr>
        <w:ind w:left="0" w:firstLine="0"/>
      </w:pPr>
      <w:r>
        <w:t>报告期末按应收金额确认的政府补助</w:t>
      </w:r>
    </w:p>
    <w:sdt>
      <w:sdtPr>
        <w:alias w:val="是否适用：按应收金额确认的政府补助[双击切换]"/>
        <w:tag w:val="_GBC_e1e20d7c43844cb8b0392ce8a915912f"/>
        <w:id w:val="-1911683378"/>
        <w:placeholder>
          <w:docPart w:val="GBC22222222222222222222222222222"/>
        </w:placeholder>
      </w:sdtPr>
      <w:sdtContent>
        <w:p w14:paraId="77AB016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66281CB">
      <w:pPr>
        <w:rPr>
          <w:rFonts w:hint="eastAsia"/>
        </w:rPr>
      </w:pPr>
    </w:p>
    <w:p w14:paraId="3C1A48CD">
      <w:pPr>
        <w:rPr>
          <w:rFonts w:hint="eastAsia"/>
        </w:rPr>
      </w:pPr>
      <w:r>
        <w:t>未能在预计时点收到预计金额的政府补助</w:t>
      </w:r>
      <w:r>
        <w:rPr>
          <w:rFonts w:hint="eastAsia"/>
        </w:rPr>
        <w:t>的</w:t>
      </w:r>
      <w:r>
        <w:t>原因</w:t>
      </w:r>
    </w:p>
    <w:sdt>
      <w:sdtPr>
        <w:alias w:val="是否适用：未能在预计时点收到预计金额的政府补助的原因[双击切换]"/>
        <w:tag w:val="_GBC_c472b4b5f35848de9076579016736dc0"/>
        <w:id w:val="1597447908"/>
        <w:placeholder>
          <w:docPart w:val="GBC22222222222222222222222222222"/>
        </w:placeholder>
      </w:sdtPr>
      <w:sdtContent>
        <w:p w14:paraId="3E1646C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7A549D4">
      <w:pPr>
        <w:rPr>
          <w:rFonts w:hint="eastAsia"/>
        </w:rPr>
      </w:pPr>
    </w:p>
    <w:p w14:paraId="1B0E438D">
      <w:pPr>
        <w:pStyle w:val="70"/>
        <w:numPr>
          <w:ilvl w:val="0"/>
          <w:numId w:val="158"/>
        </w:numPr>
        <w:ind w:left="0" w:firstLine="0"/>
      </w:pPr>
      <w:r>
        <w:t>涉及政府补助的负债项目</w:t>
      </w:r>
    </w:p>
    <w:sdt>
      <w:sdtPr>
        <w:alias w:val="是否适用：涉及政府补助的负债项目[双击切换]"/>
        <w:tag w:val="_GBC_ed9e8fabcc8e4318b2ec33d01e83aec4"/>
        <w:id w:val="1321696084"/>
        <w:placeholder>
          <w:docPart w:val="GBC22222222222222222222222222222"/>
        </w:placeholder>
      </w:sdtPr>
      <w:sdtContent>
        <w:p w14:paraId="0D4243AE">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2B1A51">
      <w:pPr>
        <w:jc w:val="right"/>
        <w:rPr>
          <w:rFonts w:hint="eastAsia"/>
        </w:rPr>
      </w:pPr>
      <w:r>
        <w:rPr>
          <w:rFonts w:hint="eastAsia"/>
        </w:rPr>
        <w:t>单位：</w:t>
      </w:r>
      <w:sdt>
        <w:sdtPr>
          <w:rPr>
            <w:rFonts w:hint="eastAsia"/>
          </w:rPr>
          <w:alias w:val="单位：涉及政府补助的负债项目"/>
          <w:tag w:val="_GBC_7f1d795aca2d46699971ecb934072fbd"/>
          <w:id w:val="-148131200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涉及政府补助的负债项目"/>
          <w:tag w:val="_GBC_ba4177cbae6044fa854e8e3dea407bcc"/>
          <w:id w:val="6312156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1563"/>
        <w:gridCol w:w="1405"/>
        <w:gridCol w:w="1512"/>
        <w:gridCol w:w="1124"/>
        <w:gridCol w:w="1512"/>
        <w:gridCol w:w="718"/>
      </w:tblGrid>
      <w:tr w14:paraId="6D87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 w:val="18"/>
              <w:szCs w:val="18"/>
            </w:rPr>
            <w:tag w:val="_PLD_51e96a8ef830445cb15689886ccd8ab5"/>
            <w:id w:val="490378952"/>
          </w:sdtPr>
          <w:sdtEndPr>
            <w:rPr>
              <w:rFonts w:ascii="Arial Narrow" w:hAnsi="Arial Narrow" w:eastAsiaTheme="minorEastAsia"/>
              <w:sz w:val="18"/>
              <w:szCs w:val="18"/>
            </w:rPr>
          </w:sdtEndPr>
          <w:sdtContent>
            <w:tc>
              <w:tcPr>
                <w:tcW w:w="560" w:type="pct"/>
                <w:shd w:val="clear" w:color="auto" w:fill="auto"/>
                <w:vAlign w:val="center"/>
              </w:tcPr>
              <w:p w14:paraId="0A9D606F">
                <w:pPr>
                  <w:jc w:val="center"/>
                  <w:rPr>
                    <w:rFonts w:ascii="Arial Narrow" w:hAnsi="Arial Narrow" w:eastAsiaTheme="minorEastAsia"/>
                    <w:sz w:val="18"/>
                    <w:szCs w:val="18"/>
                  </w:rPr>
                </w:pPr>
                <w:r>
                  <w:rPr>
                    <w:rFonts w:ascii="Arial Narrow" w:hAnsi="Arial Narrow" w:eastAsiaTheme="minorEastAsia"/>
                    <w:sz w:val="18"/>
                    <w:szCs w:val="18"/>
                  </w:rPr>
                  <w:t>财务报表项目</w:t>
                </w:r>
              </w:p>
            </w:tc>
          </w:sdtContent>
        </w:sdt>
        <w:sdt>
          <w:sdtPr>
            <w:rPr>
              <w:rFonts w:ascii="Arial Narrow" w:hAnsi="Arial Narrow" w:eastAsiaTheme="minorEastAsia"/>
              <w:sz w:val="18"/>
              <w:szCs w:val="18"/>
            </w:rPr>
            <w:tag w:val="_PLD_13c2708d76d140e9a2c8b42ee30372fa"/>
            <w:id w:val="-912230907"/>
          </w:sdtPr>
          <w:sdtEndPr>
            <w:rPr>
              <w:rFonts w:ascii="Arial Narrow" w:hAnsi="Arial Narrow" w:eastAsiaTheme="minorEastAsia"/>
              <w:sz w:val="18"/>
              <w:szCs w:val="18"/>
            </w:rPr>
          </w:sdtEndPr>
          <w:sdtContent>
            <w:tc>
              <w:tcPr>
                <w:tcW w:w="886" w:type="pct"/>
                <w:shd w:val="clear" w:color="auto" w:fill="auto"/>
                <w:vAlign w:val="center"/>
              </w:tcPr>
              <w:p w14:paraId="52892EFB">
                <w:pPr>
                  <w:jc w:val="center"/>
                  <w:rPr>
                    <w:rFonts w:ascii="Arial Narrow" w:hAnsi="Arial Narrow" w:eastAsiaTheme="minorEastAsia"/>
                    <w:sz w:val="18"/>
                    <w:szCs w:val="18"/>
                  </w:rPr>
                </w:pPr>
                <w:r>
                  <w:rPr>
                    <w:rFonts w:ascii="Arial Narrow" w:hAnsi="Arial Narrow" w:eastAsiaTheme="minorEastAsia"/>
                    <w:sz w:val="18"/>
                    <w:szCs w:val="18"/>
                  </w:rPr>
                  <w:t>期初余额</w:t>
                </w:r>
              </w:p>
            </w:tc>
          </w:sdtContent>
        </w:sdt>
        <w:sdt>
          <w:sdtPr>
            <w:rPr>
              <w:rFonts w:ascii="Arial Narrow" w:hAnsi="Arial Narrow" w:eastAsiaTheme="minorEastAsia"/>
              <w:sz w:val="18"/>
              <w:szCs w:val="18"/>
            </w:rPr>
            <w:tag w:val="_PLD_baee6e4484a048eca37a455836f6d23a"/>
            <w:id w:val="-124858636"/>
          </w:sdtPr>
          <w:sdtEndPr>
            <w:rPr>
              <w:rFonts w:ascii="Arial Narrow" w:hAnsi="Arial Narrow" w:eastAsiaTheme="minorEastAsia"/>
              <w:sz w:val="18"/>
              <w:szCs w:val="18"/>
            </w:rPr>
          </w:sdtEndPr>
          <w:sdtContent>
            <w:tc>
              <w:tcPr>
                <w:tcW w:w="796" w:type="pct"/>
                <w:shd w:val="clear" w:color="auto" w:fill="auto"/>
                <w:vAlign w:val="center"/>
              </w:tcPr>
              <w:p w14:paraId="73DC36E9">
                <w:pPr>
                  <w:jc w:val="center"/>
                  <w:rPr>
                    <w:rFonts w:ascii="Arial Narrow" w:hAnsi="Arial Narrow" w:eastAsiaTheme="minorEastAsia"/>
                    <w:sz w:val="18"/>
                    <w:szCs w:val="18"/>
                  </w:rPr>
                </w:pPr>
                <w:r>
                  <w:rPr>
                    <w:rFonts w:ascii="Arial Narrow" w:hAnsi="Arial Narrow" w:eastAsiaTheme="minorEastAsia"/>
                    <w:sz w:val="18"/>
                    <w:szCs w:val="18"/>
                  </w:rPr>
                  <w:t>本期新增补助金额</w:t>
                </w:r>
              </w:p>
            </w:tc>
          </w:sdtContent>
        </w:sdt>
        <w:sdt>
          <w:sdtPr>
            <w:rPr>
              <w:rFonts w:ascii="Arial Narrow" w:hAnsi="Arial Narrow" w:eastAsiaTheme="minorEastAsia"/>
              <w:sz w:val="18"/>
              <w:szCs w:val="18"/>
            </w:rPr>
            <w:tag w:val="_PLD_fe390be730354706a1af1589fdc9ce78"/>
            <w:id w:val="1106084677"/>
          </w:sdtPr>
          <w:sdtEndPr>
            <w:rPr>
              <w:rFonts w:ascii="Arial Narrow" w:hAnsi="Arial Narrow" w:eastAsiaTheme="minorEastAsia"/>
              <w:sz w:val="18"/>
              <w:szCs w:val="18"/>
            </w:rPr>
          </w:sdtEndPr>
          <w:sdtContent>
            <w:tc>
              <w:tcPr>
                <w:tcW w:w="857" w:type="pct"/>
                <w:vAlign w:val="center"/>
              </w:tcPr>
              <w:p w14:paraId="6CB9EE4D">
                <w:pPr>
                  <w:jc w:val="center"/>
                  <w:rPr>
                    <w:rFonts w:ascii="Arial Narrow" w:hAnsi="Arial Narrow" w:eastAsiaTheme="minorEastAsia"/>
                    <w:sz w:val="18"/>
                    <w:szCs w:val="18"/>
                  </w:rPr>
                </w:pPr>
                <w:r>
                  <w:rPr>
                    <w:rFonts w:ascii="Arial Narrow" w:hAnsi="Arial Narrow" w:eastAsiaTheme="minorEastAsia"/>
                    <w:sz w:val="18"/>
                    <w:szCs w:val="18"/>
                  </w:rPr>
                  <w:t>本期转入其他收益</w:t>
                </w:r>
              </w:p>
            </w:tc>
          </w:sdtContent>
        </w:sdt>
        <w:sdt>
          <w:sdtPr>
            <w:rPr>
              <w:rFonts w:ascii="Arial Narrow" w:hAnsi="Arial Narrow" w:eastAsiaTheme="minorEastAsia"/>
              <w:sz w:val="18"/>
              <w:szCs w:val="18"/>
            </w:rPr>
            <w:tag w:val="_PLD_0574cd35fdf24bda85fc60dbc5d663ad"/>
            <w:id w:val="1007328627"/>
          </w:sdtPr>
          <w:sdtEndPr>
            <w:rPr>
              <w:rFonts w:ascii="Arial Narrow" w:hAnsi="Arial Narrow" w:eastAsiaTheme="minorEastAsia"/>
              <w:sz w:val="18"/>
              <w:szCs w:val="18"/>
            </w:rPr>
          </w:sdtEndPr>
          <w:sdtContent>
            <w:tc>
              <w:tcPr>
                <w:tcW w:w="637" w:type="pct"/>
                <w:vAlign w:val="center"/>
              </w:tcPr>
              <w:p w14:paraId="33F7E73A">
                <w:pPr>
                  <w:jc w:val="center"/>
                  <w:rPr>
                    <w:rFonts w:ascii="Arial Narrow" w:hAnsi="Arial Narrow" w:eastAsiaTheme="minorEastAsia"/>
                    <w:sz w:val="18"/>
                    <w:szCs w:val="18"/>
                  </w:rPr>
                </w:pPr>
                <w:r>
                  <w:rPr>
                    <w:rFonts w:ascii="Arial Narrow" w:hAnsi="Arial Narrow" w:eastAsiaTheme="minorEastAsia"/>
                    <w:sz w:val="18"/>
                    <w:szCs w:val="18"/>
                  </w:rPr>
                  <w:t>本期其他变动</w:t>
                </w:r>
              </w:p>
            </w:tc>
          </w:sdtContent>
        </w:sdt>
        <w:sdt>
          <w:sdtPr>
            <w:rPr>
              <w:rFonts w:ascii="Arial Narrow" w:hAnsi="Arial Narrow" w:eastAsiaTheme="minorEastAsia"/>
              <w:sz w:val="18"/>
              <w:szCs w:val="18"/>
            </w:rPr>
            <w:tag w:val="_PLD_b4cd227caa134d8da03257df3775b63f"/>
            <w:id w:val="-1640482810"/>
          </w:sdtPr>
          <w:sdtEndPr>
            <w:rPr>
              <w:rFonts w:ascii="Arial Narrow" w:hAnsi="Arial Narrow" w:eastAsiaTheme="minorEastAsia"/>
              <w:sz w:val="18"/>
              <w:szCs w:val="18"/>
            </w:rPr>
          </w:sdtEndPr>
          <w:sdtContent>
            <w:tc>
              <w:tcPr>
                <w:tcW w:w="857" w:type="pct"/>
                <w:vAlign w:val="center"/>
              </w:tcPr>
              <w:p w14:paraId="486E5B3C">
                <w:pPr>
                  <w:jc w:val="center"/>
                  <w:rPr>
                    <w:rFonts w:ascii="Arial Narrow" w:hAnsi="Arial Narrow" w:eastAsiaTheme="minorEastAsia"/>
                    <w:sz w:val="18"/>
                    <w:szCs w:val="18"/>
                  </w:rPr>
                </w:pPr>
                <w:r>
                  <w:rPr>
                    <w:rFonts w:ascii="Arial Narrow" w:hAnsi="Arial Narrow" w:eastAsiaTheme="minorEastAsia"/>
                    <w:sz w:val="18"/>
                    <w:szCs w:val="18"/>
                  </w:rPr>
                  <w:t>期末余额</w:t>
                </w:r>
              </w:p>
            </w:tc>
          </w:sdtContent>
        </w:sdt>
        <w:sdt>
          <w:sdtPr>
            <w:rPr>
              <w:rFonts w:ascii="Arial Narrow" w:hAnsi="Arial Narrow" w:eastAsiaTheme="minorEastAsia"/>
              <w:sz w:val="18"/>
              <w:szCs w:val="18"/>
            </w:rPr>
            <w:tag w:val="_PLD_9149efa168c746cfa58bdc4f4b4275bd"/>
            <w:id w:val="-1928644703"/>
          </w:sdtPr>
          <w:sdtEndPr>
            <w:rPr>
              <w:rFonts w:ascii="Arial Narrow" w:hAnsi="Arial Narrow" w:eastAsiaTheme="minorEastAsia"/>
              <w:sz w:val="18"/>
              <w:szCs w:val="18"/>
            </w:rPr>
          </w:sdtEndPr>
          <w:sdtContent>
            <w:tc>
              <w:tcPr>
                <w:tcW w:w="407" w:type="pct"/>
                <w:vAlign w:val="center"/>
              </w:tcPr>
              <w:p w14:paraId="4CAEEB5B">
                <w:pPr>
                  <w:jc w:val="center"/>
                  <w:rPr>
                    <w:rFonts w:ascii="Arial Narrow" w:hAnsi="Arial Narrow" w:eastAsiaTheme="minorEastAsia"/>
                    <w:sz w:val="18"/>
                    <w:szCs w:val="18"/>
                  </w:rPr>
                </w:pPr>
                <w:r>
                  <w:rPr>
                    <w:rFonts w:ascii="Arial Narrow" w:hAnsi="Arial Narrow" w:eastAsiaTheme="minorEastAsia"/>
                    <w:sz w:val="18"/>
                    <w:szCs w:val="18"/>
                  </w:rPr>
                  <w:t>与资产/收益相关</w:t>
                </w:r>
              </w:p>
            </w:tc>
          </w:sdtContent>
        </w:sdt>
      </w:tr>
      <w:tr w14:paraId="70B7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shd w:val="clear" w:color="auto" w:fill="auto"/>
            <w:vAlign w:val="center"/>
          </w:tcPr>
          <w:p w14:paraId="115F08F8">
            <w:pPr>
              <w:rPr>
                <w:rFonts w:ascii="Arial Narrow" w:hAnsi="Arial Narrow" w:eastAsiaTheme="minorEastAsia"/>
                <w:sz w:val="18"/>
                <w:szCs w:val="18"/>
              </w:rPr>
            </w:pPr>
            <w:r>
              <w:rPr>
                <w:rFonts w:ascii="Arial Narrow" w:hAnsi="Arial Narrow" w:eastAsiaTheme="minorEastAsia"/>
                <w:color w:val="000000"/>
                <w:sz w:val="18"/>
                <w:szCs w:val="18"/>
              </w:rPr>
              <w:t>递延收益</w:t>
            </w:r>
          </w:p>
        </w:tc>
        <w:tc>
          <w:tcPr>
            <w:tcW w:w="886" w:type="pct"/>
            <w:shd w:val="clear" w:color="auto" w:fill="auto"/>
            <w:vAlign w:val="center"/>
          </w:tcPr>
          <w:p w14:paraId="05E7D190">
            <w:pPr>
              <w:jc w:val="right"/>
              <w:rPr>
                <w:rFonts w:ascii="Arial Narrow" w:hAnsi="Arial Narrow" w:eastAsiaTheme="minorEastAsia"/>
                <w:sz w:val="18"/>
                <w:szCs w:val="18"/>
              </w:rPr>
            </w:pPr>
            <w:r>
              <w:rPr>
                <w:rFonts w:ascii="Arial Narrow" w:hAnsi="Arial Narrow" w:eastAsiaTheme="minorEastAsia"/>
                <w:color w:val="000000"/>
                <w:sz w:val="18"/>
                <w:szCs w:val="18"/>
              </w:rPr>
              <w:t>107,306,954.40</w:t>
            </w:r>
          </w:p>
        </w:tc>
        <w:tc>
          <w:tcPr>
            <w:tcW w:w="796" w:type="pct"/>
            <w:shd w:val="clear" w:color="auto" w:fill="auto"/>
            <w:vAlign w:val="center"/>
          </w:tcPr>
          <w:p w14:paraId="295F2F05">
            <w:pPr>
              <w:jc w:val="right"/>
              <w:rPr>
                <w:rFonts w:ascii="Arial Narrow" w:hAnsi="Arial Narrow" w:eastAsiaTheme="minorEastAsia"/>
                <w:sz w:val="18"/>
                <w:szCs w:val="18"/>
              </w:rPr>
            </w:pPr>
            <w:r>
              <w:rPr>
                <w:rFonts w:ascii="Arial Narrow" w:hAnsi="Arial Narrow" w:eastAsiaTheme="minorEastAsia"/>
                <w:color w:val="000000"/>
                <w:sz w:val="18"/>
                <w:szCs w:val="18"/>
              </w:rPr>
              <w:t>9,773,300.00</w:t>
            </w:r>
          </w:p>
        </w:tc>
        <w:tc>
          <w:tcPr>
            <w:tcW w:w="857" w:type="pct"/>
            <w:vAlign w:val="center"/>
          </w:tcPr>
          <w:p w14:paraId="451647E5">
            <w:pPr>
              <w:jc w:val="right"/>
              <w:rPr>
                <w:rFonts w:ascii="Arial Narrow" w:hAnsi="Arial Narrow" w:eastAsiaTheme="minorEastAsia"/>
                <w:sz w:val="18"/>
                <w:szCs w:val="18"/>
              </w:rPr>
            </w:pPr>
            <w:r>
              <w:rPr>
                <w:rFonts w:ascii="Arial Narrow" w:hAnsi="Arial Narrow" w:eastAsiaTheme="minorEastAsia"/>
                <w:color w:val="000000"/>
                <w:sz w:val="18"/>
                <w:szCs w:val="18"/>
              </w:rPr>
              <w:t>27,587,301.92</w:t>
            </w:r>
          </w:p>
        </w:tc>
        <w:tc>
          <w:tcPr>
            <w:tcW w:w="637" w:type="pct"/>
            <w:vAlign w:val="center"/>
          </w:tcPr>
          <w:p w14:paraId="02D0F3F0">
            <w:pPr>
              <w:jc w:val="right"/>
              <w:rPr>
                <w:rFonts w:ascii="Arial Narrow" w:hAnsi="Arial Narrow" w:eastAsiaTheme="minorEastAsia"/>
                <w:sz w:val="18"/>
                <w:szCs w:val="18"/>
              </w:rPr>
            </w:pPr>
            <w:r>
              <w:rPr>
                <w:rFonts w:ascii="Arial Narrow" w:hAnsi="Arial Narrow" w:eastAsiaTheme="minorEastAsia"/>
                <w:color w:val="000000"/>
                <w:sz w:val="18"/>
                <w:szCs w:val="18"/>
              </w:rPr>
              <w:t>50,000.00</w:t>
            </w:r>
          </w:p>
        </w:tc>
        <w:tc>
          <w:tcPr>
            <w:tcW w:w="857" w:type="pct"/>
            <w:vAlign w:val="center"/>
          </w:tcPr>
          <w:p w14:paraId="252AE634">
            <w:pPr>
              <w:jc w:val="right"/>
              <w:rPr>
                <w:rFonts w:ascii="Arial Narrow" w:hAnsi="Arial Narrow" w:eastAsiaTheme="minorEastAsia"/>
                <w:sz w:val="18"/>
                <w:szCs w:val="18"/>
              </w:rPr>
            </w:pPr>
            <w:r>
              <w:rPr>
                <w:rFonts w:ascii="Arial Narrow" w:hAnsi="Arial Narrow" w:eastAsiaTheme="minorEastAsia"/>
                <w:color w:val="000000"/>
                <w:sz w:val="18"/>
                <w:szCs w:val="18"/>
              </w:rPr>
              <w:t>89,442,952.48</w:t>
            </w:r>
          </w:p>
        </w:tc>
        <w:tc>
          <w:tcPr>
            <w:tcW w:w="407" w:type="pct"/>
            <w:vAlign w:val="center"/>
          </w:tcPr>
          <w:p w14:paraId="79CE0C37">
            <w:pPr>
              <w:rPr>
                <w:rFonts w:ascii="Arial Narrow" w:hAnsi="Arial Narrow" w:eastAsiaTheme="minorEastAsia"/>
                <w:sz w:val="18"/>
                <w:szCs w:val="18"/>
              </w:rPr>
            </w:pPr>
            <w:r>
              <w:rPr>
                <w:rFonts w:ascii="Arial Narrow" w:hAnsi="Arial Narrow" w:eastAsiaTheme="minorEastAsia"/>
                <w:color w:val="000000"/>
                <w:sz w:val="18"/>
                <w:szCs w:val="18"/>
              </w:rPr>
              <w:t>与资产相关/与收益相关</w:t>
            </w:r>
          </w:p>
        </w:tc>
      </w:tr>
      <w:tr w14:paraId="225B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tcBorders>
              <w:top w:val="single" w:color="auto" w:sz="4" w:space="0"/>
              <w:left w:val="single" w:color="auto" w:sz="4" w:space="0"/>
              <w:bottom w:val="single" w:color="auto" w:sz="4" w:space="0"/>
              <w:right w:val="single" w:color="auto" w:sz="4" w:space="0"/>
            </w:tcBorders>
            <w:shd w:val="clear" w:color="auto" w:fill="auto"/>
          </w:tcPr>
          <w:p w14:paraId="6B2F0BF3">
            <w:pPr>
              <w:jc w:val="center"/>
              <w:rPr>
                <w:rFonts w:ascii="Arial Narrow" w:hAnsi="Arial Narrow" w:eastAsiaTheme="minorEastAsia"/>
                <w:sz w:val="18"/>
                <w:szCs w:val="18"/>
              </w:rPr>
            </w:pPr>
            <w:r>
              <w:rPr>
                <w:rFonts w:ascii="Arial Narrow" w:hAnsi="Arial Narrow" w:eastAsiaTheme="minorEastAsia"/>
                <w:sz w:val="18"/>
                <w:szCs w:val="18"/>
              </w:rPr>
              <w:t>合计</w:t>
            </w:r>
          </w:p>
        </w:tc>
        <w:tc>
          <w:tcPr>
            <w:tcW w:w="886" w:type="pct"/>
            <w:tcBorders>
              <w:top w:val="single" w:color="auto" w:sz="4" w:space="0"/>
              <w:left w:val="single" w:color="auto" w:sz="4" w:space="0"/>
              <w:bottom w:val="single" w:color="auto" w:sz="4" w:space="0"/>
              <w:right w:val="single" w:color="auto" w:sz="4" w:space="0"/>
            </w:tcBorders>
            <w:shd w:val="clear" w:color="auto" w:fill="auto"/>
            <w:vAlign w:val="center"/>
          </w:tcPr>
          <w:p w14:paraId="06EA5733">
            <w:pPr>
              <w:jc w:val="right"/>
              <w:rPr>
                <w:rFonts w:ascii="Arial Narrow" w:hAnsi="Arial Narrow" w:eastAsiaTheme="minorEastAsia"/>
                <w:sz w:val="18"/>
                <w:szCs w:val="18"/>
              </w:rPr>
            </w:pPr>
            <w:r>
              <w:rPr>
                <w:rFonts w:ascii="Arial Narrow" w:hAnsi="Arial Narrow" w:eastAsiaTheme="minorEastAsia"/>
                <w:color w:val="000000"/>
                <w:sz w:val="18"/>
                <w:szCs w:val="18"/>
              </w:rPr>
              <w:t>107,306,954.40</w:t>
            </w:r>
          </w:p>
        </w:tc>
        <w:tc>
          <w:tcPr>
            <w:tcW w:w="796" w:type="pct"/>
            <w:tcBorders>
              <w:top w:val="single" w:color="auto" w:sz="4" w:space="0"/>
              <w:left w:val="single" w:color="auto" w:sz="4" w:space="0"/>
              <w:bottom w:val="single" w:color="auto" w:sz="4" w:space="0"/>
              <w:right w:val="single" w:color="auto" w:sz="4" w:space="0"/>
            </w:tcBorders>
            <w:shd w:val="clear" w:color="auto" w:fill="auto"/>
            <w:vAlign w:val="center"/>
          </w:tcPr>
          <w:p w14:paraId="672004FC">
            <w:pPr>
              <w:jc w:val="right"/>
              <w:rPr>
                <w:rFonts w:ascii="Arial Narrow" w:hAnsi="Arial Narrow" w:eastAsiaTheme="minorEastAsia"/>
                <w:sz w:val="18"/>
                <w:szCs w:val="18"/>
              </w:rPr>
            </w:pPr>
            <w:r>
              <w:rPr>
                <w:rFonts w:ascii="Arial Narrow" w:hAnsi="Arial Narrow" w:eastAsiaTheme="minorEastAsia"/>
                <w:color w:val="000000"/>
                <w:sz w:val="18"/>
                <w:szCs w:val="18"/>
              </w:rPr>
              <w:t>9,773,300.00</w:t>
            </w:r>
          </w:p>
        </w:tc>
        <w:tc>
          <w:tcPr>
            <w:tcW w:w="857" w:type="pct"/>
            <w:tcBorders>
              <w:top w:val="single" w:color="auto" w:sz="4" w:space="0"/>
              <w:left w:val="single" w:color="auto" w:sz="4" w:space="0"/>
              <w:bottom w:val="single" w:color="auto" w:sz="4" w:space="0"/>
              <w:right w:val="single" w:color="auto" w:sz="4" w:space="0"/>
            </w:tcBorders>
            <w:vAlign w:val="center"/>
          </w:tcPr>
          <w:p w14:paraId="19145B6C">
            <w:pPr>
              <w:jc w:val="right"/>
              <w:rPr>
                <w:rFonts w:ascii="Arial Narrow" w:hAnsi="Arial Narrow" w:eastAsiaTheme="minorEastAsia"/>
                <w:sz w:val="18"/>
                <w:szCs w:val="18"/>
              </w:rPr>
            </w:pPr>
            <w:r>
              <w:rPr>
                <w:rFonts w:ascii="Arial Narrow" w:hAnsi="Arial Narrow" w:eastAsiaTheme="minorEastAsia"/>
                <w:color w:val="000000"/>
                <w:sz w:val="18"/>
                <w:szCs w:val="18"/>
              </w:rPr>
              <w:t>27,587,301.92</w:t>
            </w:r>
          </w:p>
        </w:tc>
        <w:tc>
          <w:tcPr>
            <w:tcW w:w="637" w:type="pct"/>
            <w:tcBorders>
              <w:top w:val="single" w:color="auto" w:sz="4" w:space="0"/>
              <w:left w:val="single" w:color="auto" w:sz="4" w:space="0"/>
              <w:bottom w:val="single" w:color="auto" w:sz="4" w:space="0"/>
              <w:right w:val="single" w:color="auto" w:sz="4" w:space="0"/>
            </w:tcBorders>
            <w:vAlign w:val="center"/>
          </w:tcPr>
          <w:p w14:paraId="3D03F349">
            <w:pPr>
              <w:jc w:val="right"/>
              <w:rPr>
                <w:rFonts w:ascii="Arial Narrow" w:hAnsi="Arial Narrow" w:eastAsiaTheme="minorEastAsia"/>
                <w:sz w:val="18"/>
                <w:szCs w:val="18"/>
              </w:rPr>
            </w:pPr>
            <w:r>
              <w:rPr>
                <w:rFonts w:ascii="Arial Narrow" w:hAnsi="Arial Narrow" w:eastAsiaTheme="minorEastAsia"/>
                <w:color w:val="000000"/>
                <w:sz w:val="18"/>
                <w:szCs w:val="18"/>
              </w:rPr>
              <w:t>50,000.00</w:t>
            </w:r>
          </w:p>
        </w:tc>
        <w:tc>
          <w:tcPr>
            <w:tcW w:w="857" w:type="pct"/>
            <w:tcBorders>
              <w:top w:val="single" w:color="auto" w:sz="4" w:space="0"/>
              <w:left w:val="single" w:color="auto" w:sz="4" w:space="0"/>
              <w:bottom w:val="single" w:color="auto" w:sz="4" w:space="0"/>
              <w:right w:val="single" w:color="auto" w:sz="4" w:space="0"/>
            </w:tcBorders>
            <w:vAlign w:val="center"/>
          </w:tcPr>
          <w:p w14:paraId="5B990212">
            <w:pPr>
              <w:jc w:val="right"/>
              <w:rPr>
                <w:rFonts w:ascii="Arial Narrow" w:hAnsi="Arial Narrow" w:eastAsiaTheme="minorEastAsia"/>
                <w:sz w:val="18"/>
                <w:szCs w:val="18"/>
              </w:rPr>
            </w:pPr>
            <w:r>
              <w:rPr>
                <w:rFonts w:ascii="Arial Narrow" w:hAnsi="Arial Narrow" w:eastAsiaTheme="minorEastAsia"/>
                <w:color w:val="000000"/>
                <w:sz w:val="18"/>
                <w:szCs w:val="18"/>
              </w:rPr>
              <w:t>89,442,952.48</w:t>
            </w:r>
          </w:p>
        </w:tc>
        <w:tc>
          <w:tcPr>
            <w:tcW w:w="407" w:type="pct"/>
            <w:tcBorders>
              <w:top w:val="single" w:color="auto" w:sz="4" w:space="0"/>
              <w:left w:val="single" w:color="auto" w:sz="4" w:space="0"/>
              <w:bottom w:val="single" w:color="auto" w:sz="4" w:space="0"/>
              <w:right w:val="single" w:color="auto" w:sz="4" w:space="0"/>
            </w:tcBorders>
          </w:tcPr>
          <w:p w14:paraId="17F1627B">
            <w:pPr>
              <w:rPr>
                <w:rFonts w:ascii="Arial Narrow" w:hAnsi="Arial Narrow" w:eastAsiaTheme="minorEastAsia"/>
                <w:sz w:val="18"/>
                <w:szCs w:val="18"/>
              </w:rPr>
            </w:pPr>
            <w:r>
              <w:rPr>
                <w:rFonts w:ascii="Arial Narrow" w:hAnsi="Arial Narrow" w:eastAsiaTheme="minorEastAsia"/>
                <w:sz w:val="18"/>
                <w:szCs w:val="18"/>
              </w:rPr>
              <w:t>/</w:t>
            </w:r>
          </w:p>
        </w:tc>
      </w:tr>
    </w:tbl>
    <w:p w14:paraId="33BE8909">
      <w:pPr>
        <w:rPr>
          <w:rFonts w:hint="eastAsia"/>
        </w:rPr>
      </w:pPr>
    </w:p>
    <w:p w14:paraId="2F9BDF89">
      <w:pPr>
        <w:pStyle w:val="70"/>
        <w:numPr>
          <w:ilvl w:val="0"/>
          <w:numId w:val="158"/>
        </w:numPr>
        <w:ind w:left="0" w:firstLine="0"/>
      </w:pPr>
      <w:bookmarkStart w:id="385" w:name="_Hlk153267407"/>
      <w:r>
        <w:rPr>
          <w:rFonts w:hint="eastAsia" w:cs="宋体"/>
          <w:kern w:val="0"/>
          <w:szCs w:val="24"/>
        </w:rPr>
        <w:t>计入当期</w:t>
      </w:r>
      <w:r>
        <w:rPr>
          <w:rFonts w:hint="eastAsia" w:ascii="宋体" w:hAnsi="宋体" w:cs="宋体"/>
          <w:kern w:val="0"/>
          <w:szCs w:val="24"/>
        </w:rPr>
        <w:t>损益</w:t>
      </w:r>
      <w:r>
        <w:rPr>
          <w:rFonts w:hint="eastAsia" w:cs="宋体"/>
          <w:kern w:val="0"/>
          <w:szCs w:val="24"/>
        </w:rPr>
        <w:t>的政府补助</w:t>
      </w:r>
    </w:p>
    <w:sdt>
      <w:sdtPr>
        <w:rPr>
          <w:rStyle w:val="103"/>
          <w:rFonts w:ascii="宋体" w:hAnsi="宋体"/>
          <w:b w:val="0"/>
          <w:szCs w:val="21"/>
        </w:rPr>
        <w:alias w:val="是否适用：计入当期损益的政府补助[双击切换]"/>
        <w:tag w:val="_GBC_8ddf92f66bfa4f87b73074ebf5a7bd32"/>
        <w:id w:val="2068845575"/>
        <w:placeholder>
          <w:docPart w:val="GBC22222222222222222222222222222"/>
        </w:placeholder>
      </w:sdtPr>
      <w:sdtEndPr>
        <w:rPr>
          <w:rStyle w:val="103"/>
          <w:rFonts w:ascii="宋体" w:hAnsi="宋体"/>
          <w:b w:val="0"/>
          <w:szCs w:val="21"/>
        </w:rPr>
      </w:sdtEndPr>
      <w:sdtContent>
        <w:p w14:paraId="09DB4644">
          <w:pPr>
            <w:rPr>
              <w:rStyle w:val="103"/>
              <w:rFonts w:hint="eastAsia" w:ascii="宋体" w:hAnsi="宋体"/>
              <w:b w:val="0"/>
              <w:szCs w:val="21"/>
            </w:rPr>
          </w:pPr>
          <w:r>
            <w:rPr>
              <w:rStyle w:val="103"/>
              <w:rFonts w:ascii="宋体" w:hAnsi="宋体"/>
              <w:b w:val="0"/>
              <w:szCs w:val="21"/>
            </w:rPr>
            <w:fldChar w:fldCharType="begin"/>
          </w:r>
          <w:r>
            <w:rPr>
              <w:rStyle w:val="103"/>
              <w:rFonts w:hint="eastAsia" w:ascii="宋体" w:hAnsi="宋体"/>
              <w:b w:val="0"/>
              <w:szCs w:val="21"/>
            </w:rPr>
            <w:instrText xml:space="preserve">MACROBUTTON  SnrToggleCheckbox √适用 </w:instrText>
          </w:r>
          <w:r>
            <w:rPr>
              <w:rStyle w:val="103"/>
              <w:rFonts w:ascii="宋体" w:hAnsi="宋体"/>
              <w:b w:val="0"/>
              <w:szCs w:val="21"/>
            </w:rPr>
            <w:fldChar w:fldCharType="end"/>
          </w:r>
          <w:r>
            <w:rPr>
              <w:rStyle w:val="103"/>
              <w:rFonts w:ascii="宋体" w:hAnsi="宋体"/>
              <w:b w:val="0"/>
              <w:szCs w:val="21"/>
            </w:rPr>
            <w:fldChar w:fldCharType="begin"/>
          </w:r>
          <w:r>
            <w:rPr>
              <w:rStyle w:val="103"/>
              <w:rFonts w:ascii="宋体" w:hAnsi="宋体"/>
              <w:b w:val="0"/>
              <w:szCs w:val="21"/>
            </w:rPr>
            <w:instrText xml:space="preserve"> MACROBUTTON  SnrToggleCheckbox □不适用 </w:instrText>
          </w:r>
          <w:r>
            <w:rPr>
              <w:rStyle w:val="103"/>
              <w:rFonts w:ascii="宋体" w:hAnsi="宋体"/>
              <w:b w:val="0"/>
              <w:szCs w:val="21"/>
            </w:rPr>
            <w:fldChar w:fldCharType="end"/>
          </w:r>
        </w:p>
      </w:sdtContent>
    </w:sdt>
    <w:p w14:paraId="3C235AB9">
      <w:pPr>
        <w:jc w:val="right"/>
        <w:rPr>
          <w:rFonts w:hint="eastAsia"/>
          <w:szCs w:val="21"/>
        </w:rPr>
      </w:pPr>
      <w:r>
        <w:rPr>
          <w:rFonts w:hint="eastAsia"/>
          <w:szCs w:val="21"/>
        </w:rPr>
        <w:t xml:space="preserve"> 单位：</w:t>
      </w:r>
      <w:sdt>
        <w:sdtPr>
          <w:rPr>
            <w:rFonts w:hint="eastAsia"/>
            <w:szCs w:val="21"/>
          </w:rPr>
          <w:alias w:val="单位：财务附注：计入当期损益的政府补助"/>
          <w:tag w:val="_GBC_e18208ff61f24ff591a3dc1a23c8a26c"/>
          <w:id w:val="-16329346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46d58cfd963545aba949fdc131aee974"/>
          <w:id w:val="13014245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799"/>
        <w:gridCol w:w="3012"/>
        <w:gridCol w:w="3012"/>
      </w:tblGrid>
      <w:tr w14:paraId="0F9A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556" w:hRule="atLeast"/>
          <w:jc w:val="center"/>
        </w:trPr>
        <w:sdt>
          <w:sdtPr>
            <w:rPr>
              <w:rFonts w:ascii="Arial Narrow" w:hAnsi="Arial Narrow" w:eastAsiaTheme="minorEastAsia"/>
              <w:szCs w:val="21"/>
            </w:rPr>
            <w:tag w:val="_PLD_5b4079791e994686811417a70944bd9d"/>
            <w:id w:val="1281308717"/>
          </w:sdtPr>
          <w:sdtEndPr>
            <w:rPr>
              <w:rFonts w:ascii="Arial Narrow" w:hAnsi="Arial Narrow" w:eastAsiaTheme="minorEastAsia"/>
              <w:szCs w:val="21"/>
            </w:rPr>
          </w:sdtEndPr>
          <w:sdtContent>
            <w:tc>
              <w:tcPr>
                <w:tcW w:w="1586" w:type="pct"/>
                <w:tcBorders>
                  <w:top w:val="single" w:color="auto" w:sz="4" w:space="0"/>
                  <w:left w:val="single" w:color="auto" w:sz="4" w:space="0"/>
                  <w:bottom w:val="single" w:color="auto" w:sz="4" w:space="0"/>
                  <w:right w:val="single" w:color="auto" w:sz="4" w:space="0"/>
                </w:tcBorders>
                <w:vAlign w:val="center"/>
              </w:tcPr>
              <w:p w14:paraId="335C31A4">
                <w:pPr>
                  <w:jc w:val="center"/>
                  <w:rPr>
                    <w:rFonts w:ascii="Arial Narrow" w:hAnsi="Arial Narrow" w:eastAsiaTheme="minorEastAsia"/>
                    <w:szCs w:val="21"/>
                  </w:rPr>
                </w:pPr>
                <w:r>
                  <w:rPr>
                    <w:rFonts w:ascii="Arial Narrow" w:hAnsi="Arial Narrow" w:eastAsiaTheme="minorEastAsia"/>
                    <w:szCs w:val="21"/>
                  </w:rPr>
                  <w:t>类型</w:t>
                </w:r>
              </w:p>
            </w:tc>
          </w:sdtContent>
        </w:sdt>
        <w:sdt>
          <w:sdtPr>
            <w:rPr>
              <w:rFonts w:ascii="Arial Narrow" w:hAnsi="Arial Narrow" w:eastAsiaTheme="minorEastAsia"/>
              <w:szCs w:val="21"/>
            </w:rPr>
            <w:tag w:val="_PLD_ae1ceb2d189344a5ad7763348cb654c3"/>
            <w:id w:val="2023204004"/>
          </w:sdtPr>
          <w:sdtEndPr>
            <w:rPr>
              <w:rFonts w:ascii="Arial Narrow" w:hAnsi="Arial Narrow" w:eastAsiaTheme="minorEastAsia"/>
              <w:szCs w:val="21"/>
            </w:rPr>
          </w:sdtEndPr>
          <w:sdtContent>
            <w:tc>
              <w:tcPr>
                <w:tcW w:w="1707" w:type="pct"/>
                <w:tcBorders>
                  <w:top w:val="single" w:color="auto" w:sz="4" w:space="0"/>
                  <w:left w:val="single" w:color="auto" w:sz="4" w:space="0"/>
                  <w:bottom w:val="single" w:color="auto" w:sz="4" w:space="0"/>
                  <w:right w:val="single" w:color="auto" w:sz="4" w:space="0"/>
                </w:tcBorders>
                <w:vAlign w:val="center"/>
              </w:tcPr>
              <w:p w14:paraId="72E93086">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szCs w:val="21"/>
            </w:rPr>
            <w:tag w:val="_PLD_e615d326bd42416e8f3721fad0ff2852"/>
            <w:id w:val="-2038961485"/>
          </w:sdtPr>
          <w:sdtEndPr>
            <w:rPr>
              <w:rFonts w:ascii="Arial Narrow" w:hAnsi="Arial Narrow" w:eastAsiaTheme="minorEastAsia"/>
              <w:szCs w:val="21"/>
            </w:rPr>
          </w:sdtEndPr>
          <w:sdtContent>
            <w:tc>
              <w:tcPr>
                <w:tcW w:w="1707" w:type="pct"/>
                <w:tcBorders>
                  <w:top w:val="single" w:color="auto" w:sz="4" w:space="0"/>
                  <w:left w:val="single" w:color="auto" w:sz="4" w:space="0"/>
                  <w:bottom w:val="single" w:color="auto" w:sz="4" w:space="0"/>
                  <w:right w:val="single" w:color="auto" w:sz="4" w:space="0"/>
                </w:tcBorders>
                <w:vAlign w:val="center"/>
              </w:tcPr>
              <w:p w14:paraId="76F77D9C">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1B82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bottom"/>
          </w:tcPr>
          <w:p w14:paraId="413C5CBE">
            <w:pPr>
              <w:rPr>
                <w:rFonts w:ascii="Arial Narrow" w:hAnsi="Arial Narrow" w:eastAsiaTheme="minorEastAsia"/>
                <w:szCs w:val="21"/>
              </w:rPr>
            </w:pPr>
            <w:r>
              <w:rPr>
                <w:rFonts w:ascii="Arial Narrow" w:hAnsi="Arial Narrow" w:eastAsiaTheme="minorEastAsia"/>
                <w:color w:val="000000"/>
                <w:szCs w:val="21"/>
              </w:rPr>
              <w:t>与资产相关</w:t>
            </w:r>
          </w:p>
        </w:tc>
        <w:tc>
          <w:tcPr>
            <w:tcW w:w="1707" w:type="pct"/>
            <w:tcBorders>
              <w:top w:val="single" w:color="auto" w:sz="4" w:space="0"/>
              <w:left w:val="single" w:color="auto" w:sz="4" w:space="0"/>
              <w:bottom w:val="single" w:color="auto" w:sz="4" w:space="0"/>
              <w:right w:val="single" w:color="auto" w:sz="4" w:space="0"/>
            </w:tcBorders>
            <w:vAlign w:val="center"/>
          </w:tcPr>
          <w:p w14:paraId="43BEB3FF">
            <w:pPr>
              <w:jc w:val="right"/>
              <w:rPr>
                <w:rFonts w:ascii="Arial Narrow" w:hAnsi="Arial Narrow" w:eastAsiaTheme="minorEastAsia"/>
                <w:szCs w:val="21"/>
              </w:rPr>
            </w:pPr>
            <w:r>
              <w:rPr>
                <w:rFonts w:ascii="Arial Narrow" w:hAnsi="Arial Narrow" w:eastAsiaTheme="minorEastAsia"/>
                <w:color w:val="000000"/>
                <w:szCs w:val="21"/>
              </w:rPr>
              <w:t>20,876,746.21</w:t>
            </w:r>
          </w:p>
        </w:tc>
        <w:tc>
          <w:tcPr>
            <w:tcW w:w="1707" w:type="pct"/>
            <w:tcBorders>
              <w:top w:val="single" w:color="auto" w:sz="4" w:space="0"/>
              <w:left w:val="single" w:color="auto" w:sz="4" w:space="0"/>
              <w:bottom w:val="single" w:color="auto" w:sz="4" w:space="0"/>
              <w:right w:val="single" w:color="auto" w:sz="4" w:space="0"/>
            </w:tcBorders>
            <w:vAlign w:val="center"/>
          </w:tcPr>
          <w:p w14:paraId="060C28B7">
            <w:pPr>
              <w:jc w:val="right"/>
              <w:rPr>
                <w:rFonts w:ascii="Arial Narrow" w:hAnsi="Arial Narrow" w:eastAsiaTheme="minorEastAsia"/>
                <w:szCs w:val="21"/>
              </w:rPr>
            </w:pPr>
            <w:r>
              <w:rPr>
                <w:rFonts w:ascii="Arial Narrow" w:hAnsi="Arial Narrow" w:eastAsiaTheme="minorEastAsia"/>
                <w:color w:val="000000"/>
                <w:szCs w:val="21"/>
              </w:rPr>
              <w:t>33,834,687.01</w:t>
            </w:r>
          </w:p>
        </w:tc>
      </w:tr>
      <w:tr w14:paraId="529D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bottom"/>
          </w:tcPr>
          <w:p w14:paraId="7BF13083">
            <w:pPr>
              <w:rPr>
                <w:rFonts w:ascii="Arial Narrow" w:hAnsi="Arial Narrow" w:eastAsiaTheme="minorEastAsia"/>
                <w:szCs w:val="21"/>
              </w:rPr>
            </w:pPr>
            <w:r>
              <w:rPr>
                <w:rFonts w:ascii="Arial Narrow" w:hAnsi="Arial Narrow" w:eastAsiaTheme="minorEastAsia"/>
                <w:color w:val="000000"/>
                <w:szCs w:val="21"/>
              </w:rPr>
              <w:t>与收益相关</w:t>
            </w:r>
          </w:p>
        </w:tc>
        <w:tc>
          <w:tcPr>
            <w:tcW w:w="1707" w:type="pct"/>
            <w:tcBorders>
              <w:top w:val="single" w:color="auto" w:sz="4" w:space="0"/>
              <w:left w:val="single" w:color="auto" w:sz="4" w:space="0"/>
              <w:bottom w:val="single" w:color="auto" w:sz="4" w:space="0"/>
              <w:right w:val="single" w:color="auto" w:sz="4" w:space="0"/>
            </w:tcBorders>
            <w:vAlign w:val="center"/>
          </w:tcPr>
          <w:p w14:paraId="6EDF0F9E">
            <w:pPr>
              <w:jc w:val="right"/>
              <w:rPr>
                <w:rFonts w:ascii="Arial Narrow" w:hAnsi="Arial Narrow" w:eastAsiaTheme="minorEastAsia"/>
                <w:szCs w:val="21"/>
              </w:rPr>
            </w:pPr>
            <w:r>
              <w:rPr>
                <w:rFonts w:ascii="Arial Narrow" w:hAnsi="Arial Narrow" w:eastAsiaTheme="minorEastAsia"/>
                <w:color w:val="000000"/>
                <w:szCs w:val="21"/>
              </w:rPr>
              <w:t>9,516,318.01</w:t>
            </w:r>
          </w:p>
        </w:tc>
        <w:tc>
          <w:tcPr>
            <w:tcW w:w="1707" w:type="pct"/>
            <w:tcBorders>
              <w:top w:val="single" w:color="auto" w:sz="4" w:space="0"/>
              <w:left w:val="single" w:color="auto" w:sz="4" w:space="0"/>
              <w:bottom w:val="single" w:color="auto" w:sz="4" w:space="0"/>
              <w:right w:val="single" w:color="auto" w:sz="4" w:space="0"/>
            </w:tcBorders>
            <w:vAlign w:val="center"/>
          </w:tcPr>
          <w:p w14:paraId="7E670E51">
            <w:pPr>
              <w:jc w:val="right"/>
              <w:rPr>
                <w:rFonts w:ascii="Arial Narrow" w:hAnsi="Arial Narrow" w:eastAsiaTheme="minorEastAsia"/>
                <w:szCs w:val="21"/>
              </w:rPr>
            </w:pPr>
            <w:r>
              <w:rPr>
                <w:rFonts w:ascii="Arial Narrow" w:hAnsi="Arial Narrow" w:eastAsiaTheme="minorEastAsia"/>
                <w:color w:val="000000"/>
                <w:szCs w:val="21"/>
              </w:rPr>
              <w:t>62,308,044.88</w:t>
            </w:r>
          </w:p>
        </w:tc>
      </w:tr>
      <w:tr w14:paraId="69ED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center"/>
          </w:tcPr>
          <w:p w14:paraId="71AACA69">
            <w:pPr>
              <w:jc w:val="center"/>
              <w:rPr>
                <w:rFonts w:ascii="Arial Narrow" w:hAnsi="Arial Narrow" w:eastAsiaTheme="minorEastAsia"/>
                <w:szCs w:val="21"/>
              </w:rPr>
            </w:pPr>
            <w:r>
              <w:rPr>
                <w:rFonts w:ascii="Arial Narrow" w:hAnsi="Arial Narrow" w:eastAsiaTheme="minorEastAsia"/>
                <w:szCs w:val="21"/>
              </w:rPr>
              <w:t>合计</w:t>
            </w:r>
          </w:p>
        </w:tc>
        <w:tc>
          <w:tcPr>
            <w:tcW w:w="1707" w:type="pct"/>
            <w:tcBorders>
              <w:top w:val="single" w:color="auto" w:sz="4" w:space="0"/>
              <w:left w:val="single" w:color="auto" w:sz="4" w:space="0"/>
              <w:bottom w:val="single" w:color="auto" w:sz="4" w:space="0"/>
              <w:right w:val="single" w:color="auto" w:sz="4" w:space="0"/>
            </w:tcBorders>
            <w:vAlign w:val="center"/>
          </w:tcPr>
          <w:p w14:paraId="402406E5">
            <w:pPr>
              <w:jc w:val="right"/>
              <w:rPr>
                <w:rFonts w:ascii="Arial Narrow" w:hAnsi="Arial Narrow" w:eastAsiaTheme="minorEastAsia"/>
                <w:szCs w:val="21"/>
              </w:rPr>
            </w:pPr>
            <w:r>
              <w:rPr>
                <w:rFonts w:ascii="Arial Narrow" w:hAnsi="Arial Narrow" w:eastAsiaTheme="minorEastAsia"/>
                <w:color w:val="000000"/>
                <w:szCs w:val="21"/>
              </w:rPr>
              <w:t>30,393,064.22</w:t>
            </w:r>
          </w:p>
        </w:tc>
        <w:tc>
          <w:tcPr>
            <w:tcW w:w="1707" w:type="pct"/>
            <w:tcBorders>
              <w:top w:val="single" w:color="auto" w:sz="4" w:space="0"/>
              <w:left w:val="single" w:color="auto" w:sz="4" w:space="0"/>
              <w:bottom w:val="single" w:color="auto" w:sz="4" w:space="0"/>
              <w:right w:val="single" w:color="auto" w:sz="4" w:space="0"/>
            </w:tcBorders>
            <w:vAlign w:val="center"/>
          </w:tcPr>
          <w:p w14:paraId="412956A2">
            <w:pPr>
              <w:jc w:val="right"/>
              <w:rPr>
                <w:rFonts w:ascii="Arial Narrow" w:hAnsi="Arial Narrow" w:eastAsiaTheme="minorEastAsia"/>
                <w:szCs w:val="21"/>
              </w:rPr>
            </w:pPr>
            <w:r>
              <w:rPr>
                <w:rFonts w:ascii="Arial Narrow" w:hAnsi="Arial Narrow" w:eastAsiaTheme="minorEastAsia"/>
                <w:color w:val="000000"/>
                <w:szCs w:val="21"/>
              </w:rPr>
              <w:t>96,142,731.89</w:t>
            </w:r>
          </w:p>
        </w:tc>
      </w:tr>
    </w:tbl>
    <w:p w14:paraId="52311FA7">
      <w:pPr>
        <w:rPr>
          <w:rFonts w:hint="eastAsia"/>
        </w:rPr>
      </w:pPr>
    </w:p>
    <w:bookmarkEnd w:id="385"/>
    <w:p w14:paraId="41983245">
      <w:pPr>
        <w:rPr>
          <w:rFonts w:hint="eastAsia"/>
        </w:rPr>
      </w:pPr>
      <w:bookmarkStart w:id="386" w:name="_Hlk153267868"/>
      <w:r>
        <w:rPr>
          <w:rFonts w:hint="eastAsia"/>
        </w:rPr>
        <w:t>其他说明：</w:t>
      </w:r>
    </w:p>
    <w:sdt>
      <w:sdtPr>
        <w:alias w:val="政府补助说明"/>
        <w:tag w:val="_GBC_8011e9ada7d741aeb9f59a958e812614"/>
        <w:id w:val="1079641126"/>
        <w:placeholder>
          <w:docPart w:val="GBC22222222222222222222222222222"/>
        </w:placeholder>
      </w:sdtPr>
      <w:sdtContent>
        <w:p w14:paraId="7F2CA47A">
          <w:pPr>
            <w:rPr>
              <w:rFonts w:hint="eastAsia"/>
            </w:rPr>
          </w:pPr>
          <w:r>
            <w:rPr>
              <w:rFonts w:hint="eastAsia"/>
            </w:rPr>
            <w:t>计入当期损益的政府补助明细</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701"/>
            <w:gridCol w:w="1612"/>
            <w:gridCol w:w="1765"/>
            <w:gridCol w:w="1765"/>
          </w:tblGrid>
          <w:tr w14:paraId="306D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80" w:type="dxa"/>
                <w:vAlign w:val="center"/>
              </w:tcPr>
              <w:p w14:paraId="0A104332">
                <w:pPr>
                  <w:widowControl w:val="0"/>
                  <w:jc w:val="center"/>
                  <w:rPr>
                    <w:rFonts w:ascii="Arial Narrow" w:hAnsi="Arial Narrow" w:eastAsiaTheme="minorEastAsia"/>
                    <w:szCs w:val="21"/>
                  </w:rPr>
                </w:pPr>
                <w:r>
                  <w:rPr>
                    <w:rFonts w:ascii="Arial Narrow" w:hAnsi="Arial Narrow" w:eastAsiaTheme="minorEastAsia"/>
                    <w:szCs w:val="21"/>
                  </w:rPr>
                  <w:t>补助项目</w:t>
                </w:r>
              </w:p>
            </w:tc>
            <w:tc>
              <w:tcPr>
                <w:tcW w:w="1701" w:type="dxa"/>
                <w:vAlign w:val="center"/>
              </w:tcPr>
              <w:p w14:paraId="2CEE7A8E">
                <w:pPr>
                  <w:widowControl w:val="0"/>
                  <w:jc w:val="center"/>
                  <w:rPr>
                    <w:rFonts w:ascii="Arial Narrow" w:hAnsi="Arial Narrow" w:eastAsiaTheme="minorEastAsia"/>
                    <w:szCs w:val="21"/>
                  </w:rPr>
                </w:pPr>
                <w:r>
                  <w:rPr>
                    <w:rFonts w:ascii="Arial Narrow" w:hAnsi="Arial Narrow" w:eastAsiaTheme="minorEastAsia"/>
                    <w:szCs w:val="21"/>
                  </w:rPr>
                  <w:t>会计科目</w:t>
                </w:r>
              </w:p>
            </w:tc>
            <w:tc>
              <w:tcPr>
                <w:tcW w:w="1612" w:type="dxa"/>
                <w:vAlign w:val="center"/>
              </w:tcPr>
              <w:p w14:paraId="53E06590">
                <w:pPr>
                  <w:widowControl w:val="0"/>
                  <w:jc w:val="center"/>
                  <w:rPr>
                    <w:rFonts w:ascii="Arial Narrow" w:hAnsi="Arial Narrow" w:eastAsiaTheme="minorEastAsia"/>
                    <w:szCs w:val="21"/>
                  </w:rPr>
                </w:pPr>
                <w:r>
                  <w:rPr>
                    <w:rFonts w:ascii="Arial Narrow" w:hAnsi="Arial Narrow" w:eastAsiaTheme="minorEastAsia"/>
                    <w:szCs w:val="21"/>
                  </w:rPr>
                  <w:t>本期发生额</w:t>
                </w:r>
              </w:p>
            </w:tc>
            <w:tc>
              <w:tcPr>
                <w:tcW w:w="1765" w:type="dxa"/>
                <w:vAlign w:val="center"/>
              </w:tcPr>
              <w:p w14:paraId="62A52631">
                <w:pPr>
                  <w:widowControl w:val="0"/>
                  <w:jc w:val="center"/>
                  <w:rPr>
                    <w:rFonts w:ascii="Arial Narrow" w:hAnsi="Arial Narrow" w:eastAsiaTheme="minorEastAsia"/>
                    <w:szCs w:val="21"/>
                  </w:rPr>
                </w:pPr>
                <w:r>
                  <w:rPr>
                    <w:rFonts w:ascii="Arial Narrow" w:hAnsi="Arial Narrow" w:eastAsiaTheme="minorEastAsia"/>
                    <w:szCs w:val="21"/>
                  </w:rPr>
                  <w:t>上期发生额</w:t>
                </w:r>
              </w:p>
            </w:tc>
            <w:tc>
              <w:tcPr>
                <w:tcW w:w="1765" w:type="dxa"/>
                <w:vAlign w:val="center"/>
              </w:tcPr>
              <w:p w14:paraId="74B720AE">
                <w:pPr>
                  <w:widowControl w:val="0"/>
                  <w:jc w:val="center"/>
                  <w:rPr>
                    <w:rFonts w:ascii="Arial Narrow" w:hAnsi="Arial Narrow" w:eastAsiaTheme="minorEastAsia"/>
                    <w:szCs w:val="21"/>
                  </w:rPr>
                </w:pPr>
                <w:r>
                  <w:rPr>
                    <w:rFonts w:ascii="Arial Narrow" w:hAnsi="Arial Narrow" w:eastAsiaTheme="minorEastAsia"/>
                    <w:szCs w:val="21"/>
                  </w:rPr>
                  <w:t>与资产相关/与收益相关</w:t>
                </w:r>
              </w:p>
            </w:tc>
          </w:tr>
          <w:tr w14:paraId="18D6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AE7C27E">
                <w:pPr>
                  <w:widowControl w:val="0"/>
                  <w:jc w:val="both"/>
                  <w:rPr>
                    <w:rFonts w:ascii="Arial Narrow" w:hAnsi="Arial Narrow" w:eastAsiaTheme="minorEastAsia"/>
                    <w:szCs w:val="21"/>
                  </w:rPr>
                </w:pPr>
                <w:r>
                  <w:rPr>
                    <w:rFonts w:ascii="Arial Narrow" w:hAnsi="Arial Narrow" w:eastAsiaTheme="minorEastAsia"/>
                    <w:szCs w:val="21"/>
                  </w:rPr>
                  <w:t>递延收益摊销</w:t>
                </w:r>
              </w:p>
            </w:tc>
            <w:tc>
              <w:tcPr>
                <w:tcW w:w="1701" w:type="dxa"/>
                <w:vAlign w:val="center"/>
              </w:tcPr>
              <w:p w14:paraId="281D6319">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A6F6B5C">
                <w:pPr>
                  <w:widowControl w:val="0"/>
                  <w:jc w:val="right"/>
                  <w:rPr>
                    <w:rFonts w:ascii="Arial Narrow" w:hAnsi="Arial Narrow" w:eastAsiaTheme="minorEastAsia"/>
                    <w:szCs w:val="21"/>
                  </w:rPr>
                </w:pPr>
              </w:p>
            </w:tc>
            <w:tc>
              <w:tcPr>
                <w:tcW w:w="1765" w:type="dxa"/>
                <w:vAlign w:val="center"/>
              </w:tcPr>
              <w:p w14:paraId="6F766184">
                <w:pPr>
                  <w:widowControl w:val="0"/>
                  <w:jc w:val="right"/>
                  <w:rPr>
                    <w:rFonts w:ascii="Arial Narrow" w:hAnsi="Arial Narrow" w:eastAsiaTheme="minorEastAsia"/>
                    <w:szCs w:val="21"/>
                  </w:rPr>
                </w:pPr>
              </w:p>
            </w:tc>
            <w:tc>
              <w:tcPr>
                <w:tcW w:w="1765" w:type="dxa"/>
              </w:tcPr>
              <w:p w14:paraId="2B87EE87">
                <w:pPr>
                  <w:widowControl w:val="0"/>
                  <w:jc w:val="both"/>
                  <w:rPr>
                    <w:rFonts w:ascii="Arial Narrow" w:hAnsi="Arial Narrow" w:eastAsiaTheme="minorEastAsia"/>
                    <w:szCs w:val="21"/>
                  </w:rPr>
                </w:pPr>
              </w:p>
            </w:tc>
          </w:tr>
          <w:tr w14:paraId="5393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939162B">
                <w:pPr>
                  <w:widowControl w:val="0"/>
                  <w:jc w:val="both"/>
                  <w:rPr>
                    <w:rFonts w:ascii="Arial Narrow" w:hAnsi="Arial Narrow" w:eastAsiaTheme="minorEastAsia"/>
                    <w:szCs w:val="21"/>
                  </w:rPr>
                </w:pPr>
                <w:r>
                  <w:rPr>
                    <w:rFonts w:ascii="Arial Narrow" w:hAnsi="Arial Narrow" w:eastAsiaTheme="minorEastAsia"/>
                    <w:szCs w:val="21"/>
                  </w:rPr>
                  <w:t>设备补贴资金</w:t>
                </w:r>
              </w:p>
            </w:tc>
            <w:tc>
              <w:tcPr>
                <w:tcW w:w="1701" w:type="dxa"/>
                <w:vAlign w:val="center"/>
              </w:tcPr>
              <w:p w14:paraId="1E14620A">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F01DB33">
                <w:pPr>
                  <w:widowControl w:val="0"/>
                  <w:jc w:val="right"/>
                  <w:rPr>
                    <w:rFonts w:ascii="Arial Narrow" w:hAnsi="Arial Narrow" w:eastAsiaTheme="minorEastAsia"/>
                    <w:szCs w:val="21"/>
                  </w:rPr>
                </w:pPr>
                <w:r>
                  <w:rPr>
                    <w:rFonts w:ascii="Arial Narrow" w:hAnsi="Arial Narrow" w:eastAsiaTheme="minorEastAsia"/>
                    <w:szCs w:val="21"/>
                  </w:rPr>
                  <w:t>8,744,998.91</w:t>
                </w:r>
              </w:p>
            </w:tc>
            <w:tc>
              <w:tcPr>
                <w:tcW w:w="1765" w:type="dxa"/>
                <w:vAlign w:val="center"/>
              </w:tcPr>
              <w:p w14:paraId="5542E488">
                <w:pPr>
                  <w:widowControl w:val="0"/>
                  <w:jc w:val="right"/>
                  <w:rPr>
                    <w:rFonts w:ascii="Arial Narrow" w:hAnsi="Arial Narrow" w:eastAsiaTheme="minorEastAsia"/>
                    <w:szCs w:val="21"/>
                  </w:rPr>
                </w:pPr>
                <w:r>
                  <w:rPr>
                    <w:rFonts w:ascii="Arial Narrow" w:hAnsi="Arial Narrow" w:eastAsiaTheme="minorEastAsia"/>
                    <w:szCs w:val="21"/>
                  </w:rPr>
                  <w:t>8,744,998.91</w:t>
                </w:r>
              </w:p>
            </w:tc>
            <w:tc>
              <w:tcPr>
                <w:tcW w:w="1765" w:type="dxa"/>
              </w:tcPr>
              <w:p w14:paraId="0246074F">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3D48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9F12FEE">
                <w:pPr>
                  <w:widowControl w:val="0"/>
                  <w:jc w:val="both"/>
                  <w:rPr>
                    <w:rFonts w:ascii="Arial Narrow" w:hAnsi="Arial Narrow" w:eastAsiaTheme="minorEastAsia"/>
                    <w:szCs w:val="21"/>
                  </w:rPr>
                </w:pPr>
                <w:r>
                  <w:rPr>
                    <w:rFonts w:ascii="Arial Narrow" w:hAnsi="Arial Narrow" w:eastAsiaTheme="minorEastAsia"/>
                    <w:szCs w:val="21"/>
                  </w:rPr>
                  <w:t>重庆两江新区现代服务业综合试点专项补助</w:t>
                </w:r>
              </w:p>
            </w:tc>
            <w:tc>
              <w:tcPr>
                <w:tcW w:w="1701" w:type="dxa"/>
                <w:vAlign w:val="center"/>
              </w:tcPr>
              <w:p w14:paraId="44C8A157">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FE26550">
                <w:pPr>
                  <w:widowControl w:val="0"/>
                  <w:jc w:val="right"/>
                  <w:rPr>
                    <w:rFonts w:ascii="Arial Narrow" w:hAnsi="Arial Narrow" w:eastAsiaTheme="minorEastAsia"/>
                    <w:szCs w:val="21"/>
                  </w:rPr>
                </w:pPr>
                <w:r>
                  <w:rPr>
                    <w:rFonts w:ascii="Arial Narrow" w:hAnsi="Arial Narrow" w:eastAsiaTheme="minorEastAsia"/>
                    <w:szCs w:val="21"/>
                  </w:rPr>
                  <w:t>1,210,986.72</w:t>
                </w:r>
              </w:p>
            </w:tc>
            <w:tc>
              <w:tcPr>
                <w:tcW w:w="1765" w:type="dxa"/>
                <w:vAlign w:val="center"/>
              </w:tcPr>
              <w:p w14:paraId="0B559EAF">
                <w:pPr>
                  <w:widowControl w:val="0"/>
                  <w:jc w:val="right"/>
                  <w:rPr>
                    <w:rFonts w:ascii="Arial Narrow" w:hAnsi="Arial Narrow" w:eastAsiaTheme="minorEastAsia"/>
                    <w:szCs w:val="21"/>
                  </w:rPr>
                </w:pPr>
                <w:r>
                  <w:rPr>
                    <w:rFonts w:ascii="Arial Narrow" w:hAnsi="Arial Narrow" w:eastAsiaTheme="minorEastAsia"/>
                    <w:szCs w:val="21"/>
                  </w:rPr>
                  <w:t>1,210,986.72</w:t>
                </w:r>
              </w:p>
            </w:tc>
            <w:tc>
              <w:tcPr>
                <w:tcW w:w="1765" w:type="dxa"/>
              </w:tcPr>
              <w:p w14:paraId="6EB55346">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2886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30998D4">
                <w:pPr>
                  <w:widowControl w:val="0"/>
                  <w:jc w:val="both"/>
                  <w:rPr>
                    <w:rFonts w:ascii="Arial Narrow" w:hAnsi="Arial Narrow" w:eastAsiaTheme="minorEastAsia"/>
                    <w:szCs w:val="21"/>
                  </w:rPr>
                </w:pPr>
                <w:r>
                  <w:rPr>
                    <w:rFonts w:ascii="Arial Narrow" w:hAnsi="Arial Narrow" w:eastAsiaTheme="minorEastAsia"/>
                    <w:szCs w:val="21"/>
                  </w:rPr>
                  <w:t>新能源、新材料及新型智能化装备产业化项目</w:t>
                </w:r>
              </w:p>
            </w:tc>
            <w:tc>
              <w:tcPr>
                <w:tcW w:w="1701" w:type="dxa"/>
                <w:vAlign w:val="center"/>
              </w:tcPr>
              <w:p w14:paraId="4238D355">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19104750">
                <w:pPr>
                  <w:widowControl w:val="0"/>
                  <w:jc w:val="right"/>
                  <w:rPr>
                    <w:rFonts w:ascii="Arial Narrow" w:hAnsi="Arial Narrow" w:eastAsiaTheme="minorEastAsia"/>
                    <w:szCs w:val="21"/>
                  </w:rPr>
                </w:pPr>
                <w:r>
                  <w:rPr>
                    <w:rFonts w:ascii="Arial Narrow" w:hAnsi="Arial Narrow" w:eastAsiaTheme="minorEastAsia"/>
                    <w:szCs w:val="21"/>
                  </w:rPr>
                  <w:t>99,999.96</w:t>
                </w:r>
              </w:p>
            </w:tc>
            <w:tc>
              <w:tcPr>
                <w:tcW w:w="1765" w:type="dxa"/>
                <w:vAlign w:val="center"/>
              </w:tcPr>
              <w:p w14:paraId="208C7CF7">
                <w:pPr>
                  <w:widowControl w:val="0"/>
                  <w:jc w:val="right"/>
                  <w:rPr>
                    <w:rFonts w:ascii="Arial Narrow" w:hAnsi="Arial Narrow" w:eastAsiaTheme="minorEastAsia"/>
                    <w:szCs w:val="21"/>
                  </w:rPr>
                </w:pPr>
                <w:r>
                  <w:rPr>
                    <w:rFonts w:ascii="Arial Narrow" w:hAnsi="Arial Narrow" w:eastAsiaTheme="minorEastAsia"/>
                    <w:szCs w:val="21"/>
                  </w:rPr>
                  <w:t>8,358,333.33</w:t>
                </w:r>
              </w:p>
            </w:tc>
            <w:tc>
              <w:tcPr>
                <w:tcW w:w="1765" w:type="dxa"/>
              </w:tcPr>
              <w:p w14:paraId="48A2CC59">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667F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2D76926">
                <w:pPr>
                  <w:widowControl w:val="0"/>
                  <w:jc w:val="both"/>
                  <w:rPr>
                    <w:rFonts w:ascii="Arial Narrow" w:hAnsi="Arial Narrow" w:eastAsiaTheme="minorEastAsia"/>
                    <w:szCs w:val="21"/>
                  </w:rPr>
                </w:pPr>
                <w:r>
                  <w:rPr>
                    <w:rFonts w:ascii="Arial Narrow" w:hAnsi="Arial Narrow" w:eastAsiaTheme="minorEastAsia"/>
                    <w:szCs w:val="21"/>
                  </w:rPr>
                  <w:t>抚宁分公司产业园项目</w:t>
                </w:r>
              </w:p>
            </w:tc>
            <w:tc>
              <w:tcPr>
                <w:tcW w:w="1701" w:type="dxa"/>
                <w:vAlign w:val="center"/>
              </w:tcPr>
              <w:p w14:paraId="5CE9AC5F">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B86A2FD">
                <w:pPr>
                  <w:widowControl w:val="0"/>
                  <w:jc w:val="right"/>
                  <w:rPr>
                    <w:rFonts w:ascii="Arial Narrow" w:hAnsi="Arial Narrow" w:eastAsiaTheme="minorEastAsia"/>
                    <w:szCs w:val="21"/>
                  </w:rPr>
                </w:pPr>
                <w:r>
                  <w:rPr>
                    <w:rFonts w:ascii="Arial Narrow" w:hAnsi="Arial Narrow" w:eastAsiaTheme="minorEastAsia"/>
                    <w:szCs w:val="21"/>
                  </w:rPr>
                  <w:t>418,508.73</w:t>
                </w:r>
              </w:p>
            </w:tc>
            <w:tc>
              <w:tcPr>
                <w:tcW w:w="1765" w:type="dxa"/>
                <w:vAlign w:val="center"/>
              </w:tcPr>
              <w:p w14:paraId="47277BA8">
                <w:pPr>
                  <w:widowControl w:val="0"/>
                  <w:jc w:val="right"/>
                  <w:rPr>
                    <w:rFonts w:ascii="Arial Narrow" w:hAnsi="Arial Narrow" w:eastAsiaTheme="minorEastAsia"/>
                    <w:szCs w:val="21"/>
                  </w:rPr>
                </w:pPr>
                <w:r>
                  <w:rPr>
                    <w:rFonts w:ascii="Arial Narrow" w:hAnsi="Arial Narrow" w:eastAsiaTheme="minorEastAsia"/>
                    <w:szCs w:val="21"/>
                  </w:rPr>
                  <w:t>418,508.73</w:t>
                </w:r>
              </w:p>
            </w:tc>
            <w:tc>
              <w:tcPr>
                <w:tcW w:w="1765" w:type="dxa"/>
              </w:tcPr>
              <w:p w14:paraId="50BFBB44">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53F8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5CEC417">
                <w:pPr>
                  <w:widowControl w:val="0"/>
                  <w:jc w:val="both"/>
                  <w:rPr>
                    <w:rFonts w:ascii="Arial Narrow" w:hAnsi="Arial Narrow" w:eastAsiaTheme="minorEastAsia"/>
                    <w:szCs w:val="21"/>
                  </w:rPr>
                </w:pPr>
                <w:r>
                  <w:rPr>
                    <w:rFonts w:ascii="Arial Narrow" w:hAnsi="Arial Narrow" w:eastAsiaTheme="minorEastAsia"/>
                    <w:szCs w:val="21"/>
                  </w:rPr>
                  <w:t>搬迁返还补偿款</w:t>
                </w:r>
              </w:p>
            </w:tc>
            <w:tc>
              <w:tcPr>
                <w:tcW w:w="1701" w:type="dxa"/>
                <w:vAlign w:val="center"/>
              </w:tcPr>
              <w:p w14:paraId="78458F8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1FA11554">
                <w:pPr>
                  <w:widowControl w:val="0"/>
                  <w:jc w:val="right"/>
                  <w:rPr>
                    <w:rFonts w:ascii="Arial Narrow" w:hAnsi="Arial Narrow" w:eastAsiaTheme="minorEastAsia"/>
                    <w:szCs w:val="21"/>
                  </w:rPr>
                </w:pPr>
                <w:r>
                  <w:rPr>
                    <w:rFonts w:ascii="Arial Narrow" w:hAnsi="Arial Narrow" w:eastAsiaTheme="minorEastAsia"/>
                    <w:szCs w:val="21"/>
                  </w:rPr>
                  <w:t>936,570.21</w:t>
                </w:r>
              </w:p>
            </w:tc>
            <w:tc>
              <w:tcPr>
                <w:tcW w:w="1765" w:type="dxa"/>
                <w:vAlign w:val="center"/>
              </w:tcPr>
              <w:p w14:paraId="01BBE9CC">
                <w:pPr>
                  <w:widowControl w:val="0"/>
                  <w:jc w:val="right"/>
                  <w:rPr>
                    <w:rFonts w:ascii="Arial Narrow" w:hAnsi="Arial Narrow" w:eastAsiaTheme="minorEastAsia"/>
                    <w:szCs w:val="21"/>
                  </w:rPr>
                </w:pPr>
                <w:r>
                  <w:rPr>
                    <w:rFonts w:ascii="Arial Narrow" w:hAnsi="Arial Narrow" w:eastAsiaTheme="minorEastAsia"/>
                    <w:szCs w:val="21"/>
                  </w:rPr>
                  <w:t>936,570.19</w:t>
                </w:r>
              </w:p>
            </w:tc>
            <w:tc>
              <w:tcPr>
                <w:tcW w:w="1765" w:type="dxa"/>
              </w:tcPr>
              <w:p w14:paraId="2104E604">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42E8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1045653">
                <w:pPr>
                  <w:widowControl w:val="0"/>
                  <w:jc w:val="both"/>
                  <w:rPr>
                    <w:rFonts w:ascii="Arial Narrow" w:hAnsi="Arial Narrow" w:eastAsiaTheme="minorEastAsia"/>
                    <w:szCs w:val="21"/>
                  </w:rPr>
                </w:pPr>
                <w:r>
                  <w:rPr>
                    <w:rFonts w:ascii="Arial Narrow" w:hAnsi="Arial Narrow" w:eastAsiaTheme="minorEastAsia"/>
                    <w:szCs w:val="21"/>
                  </w:rPr>
                  <w:t>新园区专项扶持资金</w:t>
                </w:r>
              </w:p>
            </w:tc>
            <w:tc>
              <w:tcPr>
                <w:tcW w:w="1701" w:type="dxa"/>
                <w:vAlign w:val="center"/>
              </w:tcPr>
              <w:p w14:paraId="6E705C75">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6797D815">
                <w:pPr>
                  <w:widowControl w:val="0"/>
                  <w:jc w:val="right"/>
                  <w:rPr>
                    <w:rFonts w:ascii="Arial Narrow" w:hAnsi="Arial Narrow" w:eastAsiaTheme="minorEastAsia"/>
                    <w:szCs w:val="21"/>
                  </w:rPr>
                </w:pPr>
                <w:r>
                  <w:rPr>
                    <w:rFonts w:ascii="Arial Narrow" w:hAnsi="Arial Narrow" w:eastAsiaTheme="minorEastAsia"/>
                    <w:szCs w:val="21"/>
                  </w:rPr>
                  <w:t>417,815.53</w:t>
                </w:r>
              </w:p>
            </w:tc>
            <w:tc>
              <w:tcPr>
                <w:tcW w:w="1765" w:type="dxa"/>
                <w:vAlign w:val="center"/>
              </w:tcPr>
              <w:p w14:paraId="474986E7">
                <w:pPr>
                  <w:widowControl w:val="0"/>
                  <w:jc w:val="right"/>
                  <w:rPr>
                    <w:rFonts w:ascii="Arial Narrow" w:hAnsi="Arial Narrow" w:eastAsiaTheme="minorEastAsia"/>
                    <w:szCs w:val="21"/>
                  </w:rPr>
                </w:pPr>
                <w:r>
                  <w:rPr>
                    <w:rFonts w:ascii="Arial Narrow" w:hAnsi="Arial Narrow" w:eastAsiaTheme="minorEastAsia"/>
                    <w:szCs w:val="21"/>
                  </w:rPr>
                  <w:t>417,815.58</w:t>
                </w:r>
              </w:p>
            </w:tc>
            <w:tc>
              <w:tcPr>
                <w:tcW w:w="1765" w:type="dxa"/>
              </w:tcPr>
              <w:p w14:paraId="6AC92D9F">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33EB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F42DACA">
                <w:pPr>
                  <w:widowControl w:val="0"/>
                  <w:jc w:val="both"/>
                  <w:rPr>
                    <w:rFonts w:ascii="Arial Narrow" w:hAnsi="Arial Narrow" w:eastAsiaTheme="minorEastAsia"/>
                    <w:szCs w:val="21"/>
                  </w:rPr>
                </w:pPr>
                <w:r>
                  <w:rPr>
                    <w:rFonts w:ascii="Arial Narrow" w:hAnsi="Arial Narrow" w:eastAsiaTheme="minorEastAsia"/>
                    <w:szCs w:val="21"/>
                  </w:rPr>
                  <w:t>洁净工房及设备</w:t>
                </w:r>
              </w:p>
            </w:tc>
            <w:tc>
              <w:tcPr>
                <w:tcW w:w="1701" w:type="dxa"/>
                <w:vAlign w:val="center"/>
              </w:tcPr>
              <w:p w14:paraId="22D04D8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C3BEFB8">
                <w:pPr>
                  <w:widowControl w:val="0"/>
                  <w:jc w:val="right"/>
                  <w:rPr>
                    <w:rFonts w:ascii="Arial Narrow" w:hAnsi="Arial Narrow" w:eastAsiaTheme="minorEastAsia"/>
                    <w:szCs w:val="21"/>
                  </w:rPr>
                </w:pPr>
                <w:r>
                  <w:rPr>
                    <w:rFonts w:ascii="Arial Narrow" w:hAnsi="Arial Narrow" w:eastAsiaTheme="minorEastAsia"/>
                    <w:szCs w:val="21"/>
                  </w:rPr>
                  <w:t>1,131,235.92</w:t>
                </w:r>
              </w:p>
            </w:tc>
            <w:tc>
              <w:tcPr>
                <w:tcW w:w="1765" w:type="dxa"/>
                <w:vAlign w:val="center"/>
              </w:tcPr>
              <w:p w14:paraId="126822FD">
                <w:pPr>
                  <w:widowControl w:val="0"/>
                  <w:jc w:val="right"/>
                  <w:rPr>
                    <w:rFonts w:ascii="Arial Narrow" w:hAnsi="Arial Narrow" w:eastAsiaTheme="minorEastAsia"/>
                    <w:szCs w:val="21"/>
                  </w:rPr>
                </w:pPr>
                <w:r>
                  <w:rPr>
                    <w:rFonts w:ascii="Arial Narrow" w:hAnsi="Arial Narrow" w:eastAsiaTheme="minorEastAsia"/>
                    <w:szCs w:val="21"/>
                  </w:rPr>
                  <w:t>1,131,235.92</w:t>
                </w:r>
              </w:p>
            </w:tc>
            <w:tc>
              <w:tcPr>
                <w:tcW w:w="1765" w:type="dxa"/>
              </w:tcPr>
              <w:p w14:paraId="4012FFC7">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5931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608345B">
                <w:pPr>
                  <w:widowControl w:val="0"/>
                  <w:jc w:val="both"/>
                  <w:rPr>
                    <w:rFonts w:ascii="Arial Narrow" w:hAnsi="Arial Narrow" w:eastAsiaTheme="minorEastAsia"/>
                    <w:szCs w:val="21"/>
                  </w:rPr>
                </w:pPr>
                <w:r>
                  <w:rPr>
                    <w:rFonts w:ascii="Arial Narrow" w:hAnsi="Arial Narrow" w:eastAsiaTheme="minorEastAsia"/>
                    <w:szCs w:val="21"/>
                  </w:rPr>
                  <w:t>新区基地建设和军民融合补助</w:t>
                </w:r>
              </w:p>
            </w:tc>
            <w:tc>
              <w:tcPr>
                <w:tcW w:w="1701" w:type="dxa"/>
                <w:vAlign w:val="center"/>
              </w:tcPr>
              <w:p w14:paraId="63CD7F3E">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D9754D9">
                <w:pPr>
                  <w:widowControl w:val="0"/>
                  <w:jc w:val="right"/>
                  <w:rPr>
                    <w:rFonts w:ascii="Arial Narrow" w:hAnsi="Arial Narrow" w:eastAsiaTheme="minorEastAsia"/>
                    <w:szCs w:val="21"/>
                  </w:rPr>
                </w:pPr>
                <w:r>
                  <w:rPr>
                    <w:rFonts w:ascii="Arial Narrow" w:hAnsi="Arial Narrow" w:eastAsiaTheme="minorEastAsia"/>
                    <w:szCs w:val="21"/>
                  </w:rPr>
                  <w:t>415,789.56</w:t>
                </w:r>
              </w:p>
            </w:tc>
            <w:tc>
              <w:tcPr>
                <w:tcW w:w="1765" w:type="dxa"/>
                <w:vAlign w:val="center"/>
              </w:tcPr>
              <w:p w14:paraId="119EF52E">
                <w:pPr>
                  <w:widowControl w:val="0"/>
                  <w:jc w:val="right"/>
                  <w:rPr>
                    <w:rFonts w:ascii="Arial Narrow" w:hAnsi="Arial Narrow" w:eastAsiaTheme="minorEastAsia"/>
                    <w:szCs w:val="21"/>
                  </w:rPr>
                </w:pPr>
                <w:r>
                  <w:rPr>
                    <w:rFonts w:ascii="Arial Narrow" w:hAnsi="Arial Narrow" w:eastAsiaTheme="minorEastAsia"/>
                    <w:szCs w:val="21"/>
                  </w:rPr>
                  <w:t>415,789.56</w:t>
                </w:r>
              </w:p>
            </w:tc>
            <w:tc>
              <w:tcPr>
                <w:tcW w:w="1765" w:type="dxa"/>
              </w:tcPr>
              <w:p w14:paraId="1A30B237">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35A6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1C36B0B">
                <w:pPr>
                  <w:widowControl w:val="0"/>
                  <w:jc w:val="both"/>
                  <w:rPr>
                    <w:rFonts w:ascii="Arial Narrow" w:hAnsi="Arial Narrow" w:eastAsiaTheme="minorEastAsia"/>
                    <w:szCs w:val="21"/>
                  </w:rPr>
                </w:pPr>
                <w:r>
                  <w:rPr>
                    <w:rFonts w:ascii="Arial Narrow" w:hAnsi="Arial Narrow" w:eastAsiaTheme="minorEastAsia"/>
                    <w:szCs w:val="21"/>
                  </w:rPr>
                  <w:t>智能工厂</w:t>
                </w:r>
              </w:p>
            </w:tc>
            <w:tc>
              <w:tcPr>
                <w:tcW w:w="1701" w:type="dxa"/>
                <w:vAlign w:val="center"/>
              </w:tcPr>
              <w:p w14:paraId="20EE5D44">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737CAC21">
                <w:pPr>
                  <w:widowControl w:val="0"/>
                  <w:jc w:val="right"/>
                  <w:rPr>
                    <w:rFonts w:ascii="Arial Narrow" w:hAnsi="Arial Narrow" w:eastAsiaTheme="minorEastAsia"/>
                    <w:szCs w:val="21"/>
                  </w:rPr>
                </w:pPr>
                <w:r>
                  <w:rPr>
                    <w:rFonts w:ascii="Arial Narrow" w:hAnsi="Arial Narrow" w:eastAsiaTheme="minorEastAsia"/>
                    <w:szCs w:val="21"/>
                  </w:rPr>
                  <w:t>866,000.00</w:t>
                </w:r>
              </w:p>
            </w:tc>
            <w:tc>
              <w:tcPr>
                <w:tcW w:w="1765" w:type="dxa"/>
                <w:vAlign w:val="center"/>
              </w:tcPr>
              <w:p w14:paraId="10E45132">
                <w:pPr>
                  <w:widowControl w:val="0"/>
                  <w:jc w:val="right"/>
                  <w:rPr>
                    <w:rFonts w:ascii="Arial Narrow" w:hAnsi="Arial Narrow" w:eastAsiaTheme="minorEastAsia"/>
                    <w:szCs w:val="21"/>
                  </w:rPr>
                </w:pPr>
                <w:r>
                  <w:rPr>
                    <w:rFonts w:ascii="Arial Narrow" w:hAnsi="Arial Narrow" w:eastAsiaTheme="minorEastAsia"/>
                    <w:szCs w:val="21"/>
                  </w:rPr>
                  <w:t>866,000.00</w:t>
                </w:r>
              </w:p>
            </w:tc>
            <w:tc>
              <w:tcPr>
                <w:tcW w:w="1765" w:type="dxa"/>
              </w:tcPr>
              <w:p w14:paraId="220BB186">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3447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2BF6C16">
                <w:pPr>
                  <w:widowControl w:val="0"/>
                  <w:jc w:val="both"/>
                  <w:rPr>
                    <w:rFonts w:ascii="Arial Narrow" w:hAnsi="Arial Narrow" w:eastAsiaTheme="minorEastAsia"/>
                    <w:szCs w:val="21"/>
                  </w:rPr>
                </w:pPr>
                <w:r>
                  <w:rPr>
                    <w:rFonts w:ascii="Arial Narrow" w:hAnsi="Arial Narrow" w:eastAsiaTheme="minorEastAsia"/>
                    <w:szCs w:val="21"/>
                  </w:rPr>
                  <w:t>体育小镇建设扶持资金</w:t>
                </w:r>
              </w:p>
            </w:tc>
            <w:tc>
              <w:tcPr>
                <w:tcW w:w="1701" w:type="dxa"/>
                <w:vAlign w:val="center"/>
              </w:tcPr>
              <w:p w14:paraId="44A267E7">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578CF94">
                <w:pPr>
                  <w:widowControl w:val="0"/>
                  <w:jc w:val="right"/>
                  <w:rPr>
                    <w:rFonts w:ascii="Arial Narrow" w:hAnsi="Arial Narrow" w:eastAsiaTheme="minorEastAsia"/>
                    <w:szCs w:val="21"/>
                  </w:rPr>
                </w:pPr>
                <w:r>
                  <w:rPr>
                    <w:rFonts w:ascii="Arial Narrow" w:hAnsi="Arial Narrow" w:eastAsiaTheme="minorEastAsia"/>
                    <w:szCs w:val="21"/>
                  </w:rPr>
                  <w:t>183,486.24</w:t>
                </w:r>
              </w:p>
            </w:tc>
            <w:tc>
              <w:tcPr>
                <w:tcW w:w="1765" w:type="dxa"/>
                <w:vAlign w:val="center"/>
              </w:tcPr>
              <w:p w14:paraId="26C01F42">
                <w:pPr>
                  <w:widowControl w:val="0"/>
                  <w:jc w:val="right"/>
                  <w:rPr>
                    <w:rFonts w:ascii="Arial Narrow" w:hAnsi="Arial Narrow" w:eastAsiaTheme="minorEastAsia"/>
                    <w:szCs w:val="21"/>
                  </w:rPr>
                </w:pPr>
                <w:r>
                  <w:rPr>
                    <w:rFonts w:ascii="Arial Narrow" w:hAnsi="Arial Narrow" w:eastAsiaTheme="minorEastAsia"/>
                    <w:szCs w:val="21"/>
                  </w:rPr>
                  <w:t>183,486.24</w:t>
                </w:r>
              </w:p>
            </w:tc>
            <w:tc>
              <w:tcPr>
                <w:tcW w:w="1765" w:type="dxa"/>
              </w:tcPr>
              <w:p w14:paraId="337BED2F">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66D1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3AA1E9F">
                <w:pPr>
                  <w:widowControl w:val="0"/>
                  <w:jc w:val="both"/>
                  <w:rPr>
                    <w:rFonts w:ascii="Arial Narrow" w:hAnsi="Arial Narrow" w:eastAsiaTheme="minorEastAsia"/>
                    <w:szCs w:val="21"/>
                  </w:rPr>
                </w:pPr>
                <w:r>
                  <w:rPr>
                    <w:rFonts w:ascii="Arial Narrow" w:hAnsi="Arial Narrow" w:eastAsiaTheme="minorEastAsia"/>
                    <w:szCs w:val="21"/>
                  </w:rPr>
                  <w:t>供用电及热力系统改造项目</w:t>
                </w:r>
              </w:p>
            </w:tc>
            <w:tc>
              <w:tcPr>
                <w:tcW w:w="1701" w:type="dxa"/>
                <w:vAlign w:val="center"/>
              </w:tcPr>
              <w:p w14:paraId="5065728F">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EE8A5A6">
                <w:pPr>
                  <w:widowControl w:val="0"/>
                  <w:jc w:val="right"/>
                  <w:rPr>
                    <w:rFonts w:ascii="Arial Narrow" w:hAnsi="Arial Narrow" w:eastAsiaTheme="minorEastAsia"/>
                    <w:szCs w:val="21"/>
                  </w:rPr>
                </w:pPr>
                <w:r>
                  <w:rPr>
                    <w:rFonts w:ascii="Arial Narrow" w:hAnsi="Arial Narrow" w:eastAsiaTheme="minorEastAsia"/>
                    <w:szCs w:val="21"/>
                  </w:rPr>
                  <w:t>180,000.00</w:t>
                </w:r>
              </w:p>
            </w:tc>
            <w:tc>
              <w:tcPr>
                <w:tcW w:w="1765" w:type="dxa"/>
                <w:vAlign w:val="center"/>
              </w:tcPr>
              <w:p w14:paraId="1E27B902">
                <w:pPr>
                  <w:widowControl w:val="0"/>
                  <w:jc w:val="right"/>
                  <w:rPr>
                    <w:rFonts w:ascii="Arial Narrow" w:hAnsi="Arial Narrow" w:eastAsiaTheme="minorEastAsia"/>
                    <w:szCs w:val="21"/>
                  </w:rPr>
                </w:pPr>
                <w:r>
                  <w:rPr>
                    <w:rFonts w:ascii="Arial Narrow" w:hAnsi="Arial Narrow" w:eastAsiaTheme="minorEastAsia"/>
                    <w:szCs w:val="21"/>
                  </w:rPr>
                  <w:t>180,000.00</w:t>
                </w:r>
              </w:p>
            </w:tc>
            <w:tc>
              <w:tcPr>
                <w:tcW w:w="1765" w:type="dxa"/>
              </w:tcPr>
              <w:p w14:paraId="74F1442F">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7276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84D70FD">
                <w:pPr>
                  <w:widowControl w:val="0"/>
                  <w:jc w:val="both"/>
                  <w:rPr>
                    <w:rFonts w:ascii="Arial Narrow" w:hAnsi="Arial Narrow" w:eastAsiaTheme="minorEastAsia"/>
                    <w:szCs w:val="21"/>
                  </w:rPr>
                </w:pPr>
                <w:r>
                  <w:rPr>
                    <w:rFonts w:ascii="Arial Narrow" w:hAnsi="Arial Narrow" w:eastAsiaTheme="minorEastAsia"/>
                    <w:szCs w:val="21"/>
                  </w:rPr>
                  <w:t>单兵作战一体化系统项目</w:t>
                </w:r>
              </w:p>
            </w:tc>
            <w:tc>
              <w:tcPr>
                <w:tcW w:w="1701" w:type="dxa"/>
                <w:vAlign w:val="center"/>
              </w:tcPr>
              <w:p w14:paraId="6DF44DE8">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05DBFBB">
                <w:pPr>
                  <w:widowControl w:val="0"/>
                  <w:jc w:val="right"/>
                  <w:rPr>
                    <w:rFonts w:ascii="Arial Narrow" w:hAnsi="Arial Narrow" w:eastAsiaTheme="minorEastAsia"/>
                    <w:szCs w:val="21"/>
                  </w:rPr>
                </w:pPr>
                <w:r>
                  <w:rPr>
                    <w:rFonts w:ascii="Arial Narrow" w:hAnsi="Arial Narrow" w:eastAsiaTheme="minorEastAsia"/>
                    <w:szCs w:val="21"/>
                  </w:rPr>
                  <w:t>55,000.00</w:t>
                </w:r>
              </w:p>
            </w:tc>
            <w:tc>
              <w:tcPr>
                <w:tcW w:w="1765" w:type="dxa"/>
                <w:vAlign w:val="center"/>
              </w:tcPr>
              <w:p w14:paraId="37914BEA">
                <w:pPr>
                  <w:widowControl w:val="0"/>
                  <w:jc w:val="right"/>
                  <w:rPr>
                    <w:rFonts w:ascii="Arial Narrow" w:hAnsi="Arial Narrow" w:eastAsiaTheme="minorEastAsia"/>
                    <w:szCs w:val="21"/>
                  </w:rPr>
                </w:pPr>
                <w:r>
                  <w:rPr>
                    <w:rFonts w:ascii="Arial Narrow" w:hAnsi="Arial Narrow" w:eastAsiaTheme="minorEastAsia"/>
                    <w:szCs w:val="21"/>
                  </w:rPr>
                  <w:t>305,000.00</w:t>
                </w:r>
              </w:p>
            </w:tc>
            <w:tc>
              <w:tcPr>
                <w:tcW w:w="1765" w:type="dxa"/>
              </w:tcPr>
              <w:p w14:paraId="5C1A27D3">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4B1A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BBE7234">
                <w:pPr>
                  <w:widowControl w:val="0"/>
                  <w:jc w:val="both"/>
                  <w:rPr>
                    <w:rFonts w:ascii="Arial Narrow" w:hAnsi="Arial Narrow" w:eastAsiaTheme="minorEastAsia"/>
                    <w:szCs w:val="21"/>
                  </w:rPr>
                </w:pPr>
                <w:r>
                  <w:rPr>
                    <w:rFonts w:ascii="Arial Narrow" w:hAnsi="Arial Narrow" w:eastAsiaTheme="minorEastAsia"/>
                    <w:szCs w:val="21"/>
                  </w:rPr>
                  <w:t>兰州新区财政局甘肃省医疗物资供给储备补助资金</w:t>
                </w:r>
              </w:p>
            </w:tc>
            <w:tc>
              <w:tcPr>
                <w:tcW w:w="1701" w:type="dxa"/>
                <w:vAlign w:val="center"/>
              </w:tcPr>
              <w:p w14:paraId="64301F83">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535D0A3">
                <w:pPr>
                  <w:widowControl w:val="0"/>
                  <w:jc w:val="right"/>
                  <w:rPr>
                    <w:rFonts w:ascii="Arial Narrow" w:hAnsi="Arial Narrow" w:eastAsiaTheme="minorEastAsia"/>
                    <w:szCs w:val="21"/>
                  </w:rPr>
                </w:pPr>
                <w:r>
                  <w:rPr>
                    <w:rFonts w:ascii="Arial Narrow" w:hAnsi="Arial Narrow" w:eastAsiaTheme="minorEastAsia"/>
                    <w:szCs w:val="21"/>
                  </w:rPr>
                  <w:t>300,000.00</w:t>
                </w:r>
              </w:p>
            </w:tc>
            <w:tc>
              <w:tcPr>
                <w:tcW w:w="1765" w:type="dxa"/>
                <w:vAlign w:val="center"/>
              </w:tcPr>
              <w:p w14:paraId="1C91D436">
                <w:pPr>
                  <w:widowControl w:val="0"/>
                  <w:jc w:val="right"/>
                  <w:rPr>
                    <w:rFonts w:ascii="Arial Narrow" w:hAnsi="Arial Narrow" w:eastAsiaTheme="minorEastAsia"/>
                    <w:szCs w:val="21"/>
                  </w:rPr>
                </w:pPr>
                <w:r>
                  <w:rPr>
                    <w:rFonts w:ascii="Arial Narrow" w:hAnsi="Arial Narrow" w:eastAsiaTheme="minorEastAsia"/>
                    <w:szCs w:val="21"/>
                  </w:rPr>
                  <w:t>300,000.00</w:t>
                </w:r>
              </w:p>
            </w:tc>
            <w:tc>
              <w:tcPr>
                <w:tcW w:w="1765" w:type="dxa"/>
              </w:tcPr>
              <w:p w14:paraId="2186CAAD">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4B4A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03F772B">
                <w:pPr>
                  <w:widowControl w:val="0"/>
                  <w:jc w:val="both"/>
                  <w:rPr>
                    <w:rFonts w:ascii="Arial Narrow" w:hAnsi="Arial Narrow" w:eastAsiaTheme="minorEastAsia"/>
                    <w:szCs w:val="21"/>
                  </w:rPr>
                </w:pPr>
                <w:r>
                  <w:rPr>
                    <w:rFonts w:ascii="Arial Narrow" w:hAnsi="Arial Narrow" w:eastAsiaTheme="minorEastAsia"/>
                    <w:szCs w:val="21"/>
                  </w:rPr>
                  <w:t>应急与要素保障资金</w:t>
                </w:r>
              </w:p>
            </w:tc>
            <w:tc>
              <w:tcPr>
                <w:tcW w:w="1701" w:type="dxa"/>
                <w:vAlign w:val="center"/>
              </w:tcPr>
              <w:p w14:paraId="5DCB8B1B">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64A46685">
                <w:pPr>
                  <w:widowControl w:val="0"/>
                  <w:jc w:val="right"/>
                  <w:rPr>
                    <w:rFonts w:ascii="Arial Narrow" w:hAnsi="Arial Narrow" w:eastAsiaTheme="minorEastAsia"/>
                    <w:szCs w:val="21"/>
                  </w:rPr>
                </w:pPr>
                <w:r>
                  <w:rPr>
                    <w:rFonts w:ascii="Arial Narrow" w:hAnsi="Arial Narrow" w:eastAsiaTheme="minorEastAsia"/>
                    <w:szCs w:val="21"/>
                  </w:rPr>
                  <w:t>1,187,692.31</w:t>
                </w:r>
              </w:p>
            </w:tc>
            <w:tc>
              <w:tcPr>
                <w:tcW w:w="1765" w:type="dxa"/>
                <w:vAlign w:val="center"/>
              </w:tcPr>
              <w:p w14:paraId="11FDE2BF">
                <w:pPr>
                  <w:widowControl w:val="0"/>
                  <w:jc w:val="right"/>
                  <w:rPr>
                    <w:rFonts w:ascii="Arial Narrow" w:hAnsi="Arial Narrow" w:eastAsiaTheme="minorEastAsia"/>
                    <w:szCs w:val="21"/>
                  </w:rPr>
                </w:pPr>
                <w:r>
                  <w:rPr>
                    <w:rFonts w:ascii="Arial Narrow" w:hAnsi="Arial Narrow" w:eastAsiaTheme="minorEastAsia"/>
                    <w:szCs w:val="21"/>
                  </w:rPr>
                  <w:t>1,187,692.31</w:t>
                </w:r>
              </w:p>
            </w:tc>
            <w:tc>
              <w:tcPr>
                <w:tcW w:w="1765" w:type="dxa"/>
              </w:tcPr>
              <w:p w14:paraId="53F0787A">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343F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C7E4C73">
                <w:pPr>
                  <w:widowControl w:val="0"/>
                  <w:jc w:val="both"/>
                  <w:rPr>
                    <w:rFonts w:ascii="Arial Narrow" w:hAnsi="Arial Narrow" w:eastAsiaTheme="minorEastAsia"/>
                    <w:szCs w:val="21"/>
                  </w:rPr>
                </w:pPr>
                <w:r>
                  <w:rPr>
                    <w:rFonts w:ascii="Arial Narrow" w:hAnsi="Arial Narrow" w:eastAsiaTheme="minorEastAsia"/>
                    <w:szCs w:val="21"/>
                  </w:rPr>
                  <w:t>技改转产补助款</w:t>
                </w:r>
              </w:p>
            </w:tc>
            <w:tc>
              <w:tcPr>
                <w:tcW w:w="1701" w:type="dxa"/>
                <w:vAlign w:val="center"/>
              </w:tcPr>
              <w:p w14:paraId="64479358">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8EC8052">
                <w:pPr>
                  <w:widowControl w:val="0"/>
                  <w:jc w:val="right"/>
                  <w:rPr>
                    <w:rFonts w:ascii="Arial Narrow" w:hAnsi="Arial Narrow" w:eastAsiaTheme="minorEastAsia"/>
                    <w:szCs w:val="21"/>
                  </w:rPr>
                </w:pPr>
                <w:r>
                  <w:rPr>
                    <w:rFonts w:ascii="Arial Narrow" w:hAnsi="Arial Narrow" w:eastAsiaTheme="minorEastAsia"/>
                    <w:szCs w:val="21"/>
                  </w:rPr>
                  <w:t>307,692.31</w:t>
                </w:r>
              </w:p>
            </w:tc>
            <w:tc>
              <w:tcPr>
                <w:tcW w:w="1765" w:type="dxa"/>
                <w:vAlign w:val="center"/>
              </w:tcPr>
              <w:p w14:paraId="14038C1B">
                <w:pPr>
                  <w:widowControl w:val="0"/>
                  <w:jc w:val="right"/>
                  <w:rPr>
                    <w:rFonts w:ascii="Arial Narrow" w:hAnsi="Arial Narrow" w:eastAsiaTheme="minorEastAsia"/>
                    <w:szCs w:val="21"/>
                  </w:rPr>
                </w:pPr>
                <w:r>
                  <w:rPr>
                    <w:rFonts w:ascii="Arial Narrow" w:hAnsi="Arial Narrow" w:eastAsiaTheme="minorEastAsia"/>
                    <w:szCs w:val="21"/>
                  </w:rPr>
                  <w:t>307,692.31</w:t>
                </w:r>
              </w:p>
            </w:tc>
            <w:tc>
              <w:tcPr>
                <w:tcW w:w="1765" w:type="dxa"/>
              </w:tcPr>
              <w:p w14:paraId="672291C4">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19B7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02DD613">
                <w:pPr>
                  <w:widowControl w:val="0"/>
                  <w:jc w:val="both"/>
                  <w:rPr>
                    <w:rFonts w:ascii="Arial Narrow" w:hAnsi="Arial Narrow" w:eastAsiaTheme="minorEastAsia"/>
                    <w:szCs w:val="21"/>
                  </w:rPr>
                </w:pPr>
                <w:r>
                  <w:rPr>
                    <w:rFonts w:ascii="Arial Narrow" w:hAnsi="Arial Narrow" w:eastAsiaTheme="minorEastAsia"/>
                    <w:szCs w:val="21"/>
                  </w:rPr>
                  <w:t>嵌入柔性传感系统兼具热防护与危化品阻隔功能的灭火防护服研发</w:t>
                </w:r>
              </w:p>
            </w:tc>
            <w:tc>
              <w:tcPr>
                <w:tcW w:w="1701" w:type="dxa"/>
                <w:vAlign w:val="center"/>
              </w:tcPr>
              <w:p w14:paraId="297A8247">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BE49C82">
                <w:pPr>
                  <w:widowControl w:val="0"/>
                  <w:jc w:val="right"/>
                  <w:rPr>
                    <w:rFonts w:ascii="Arial Narrow" w:hAnsi="Arial Narrow" w:eastAsiaTheme="minorEastAsia"/>
                    <w:szCs w:val="21"/>
                  </w:rPr>
                </w:pPr>
                <w:r>
                  <w:rPr>
                    <w:rFonts w:ascii="Arial Narrow" w:hAnsi="Arial Narrow" w:eastAsiaTheme="minorEastAsia"/>
                    <w:szCs w:val="21"/>
                  </w:rPr>
                  <w:t>632,753.83</w:t>
                </w:r>
              </w:p>
            </w:tc>
            <w:tc>
              <w:tcPr>
                <w:tcW w:w="1765" w:type="dxa"/>
                <w:vAlign w:val="center"/>
              </w:tcPr>
              <w:p w14:paraId="6C550256">
                <w:pPr>
                  <w:widowControl w:val="0"/>
                  <w:jc w:val="right"/>
                  <w:rPr>
                    <w:rFonts w:ascii="Arial Narrow" w:hAnsi="Arial Narrow" w:eastAsiaTheme="minorEastAsia"/>
                    <w:szCs w:val="21"/>
                  </w:rPr>
                </w:pPr>
              </w:p>
            </w:tc>
            <w:tc>
              <w:tcPr>
                <w:tcW w:w="1765" w:type="dxa"/>
              </w:tcPr>
              <w:p w14:paraId="144798A7">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4F92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1C2BC40">
                <w:pPr>
                  <w:widowControl w:val="0"/>
                  <w:jc w:val="both"/>
                  <w:rPr>
                    <w:rFonts w:ascii="Arial Narrow" w:hAnsi="Arial Narrow" w:eastAsiaTheme="minorEastAsia"/>
                    <w:szCs w:val="21"/>
                  </w:rPr>
                </w:pPr>
                <w:r>
                  <w:rPr>
                    <w:rFonts w:ascii="Arial Narrow" w:hAnsi="Arial Narrow" w:eastAsiaTheme="minorEastAsia"/>
                    <w:szCs w:val="21"/>
                  </w:rPr>
                  <w:t>工业设计发展专项资金补贴</w:t>
                </w:r>
              </w:p>
            </w:tc>
            <w:tc>
              <w:tcPr>
                <w:tcW w:w="1701" w:type="dxa"/>
                <w:vAlign w:val="center"/>
              </w:tcPr>
              <w:p w14:paraId="66BCBBB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717B2F5A">
                <w:pPr>
                  <w:widowControl w:val="0"/>
                  <w:jc w:val="right"/>
                  <w:rPr>
                    <w:rFonts w:ascii="Arial Narrow" w:hAnsi="Arial Narrow" w:eastAsiaTheme="minorEastAsia"/>
                    <w:szCs w:val="21"/>
                  </w:rPr>
                </w:pPr>
              </w:p>
            </w:tc>
            <w:tc>
              <w:tcPr>
                <w:tcW w:w="1765" w:type="dxa"/>
                <w:vAlign w:val="center"/>
              </w:tcPr>
              <w:p w14:paraId="1DD48CE7">
                <w:pPr>
                  <w:widowControl w:val="0"/>
                  <w:jc w:val="right"/>
                  <w:rPr>
                    <w:rFonts w:ascii="Arial Narrow" w:hAnsi="Arial Narrow" w:eastAsiaTheme="minorEastAsia"/>
                    <w:szCs w:val="21"/>
                  </w:rPr>
                </w:pPr>
                <w:r>
                  <w:rPr>
                    <w:rFonts w:ascii="Arial Narrow" w:hAnsi="Arial Narrow" w:eastAsiaTheme="minorEastAsia"/>
                    <w:szCs w:val="21"/>
                  </w:rPr>
                  <w:t>1,000,000.00</w:t>
                </w:r>
              </w:p>
            </w:tc>
            <w:tc>
              <w:tcPr>
                <w:tcW w:w="1765" w:type="dxa"/>
              </w:tcPr>
              <w:p w14:paraId="7E2E4179">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66B8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8AB9D06">
                <w:pPr>
                  <w:widowControl w:val="0"/>
                  <w:jc w:val="both"/>
                  <w:rPr>
                    <w:rFonts w:ascii="Arial Narrow" w:hAnsi="Arial Narrow" w:eastAsiaTheme="minorEastAsia"/>
                    <w:szCs w:val="21"/>
                  </w:rPr>
                </w:pPr>
                <w:r>
                  <w:rPr>
                    <w:rFonts w:ascii="Arial Narrow" w:hAnsi="Arial Narrow" w:eastAsiaTheme="minorEastAsia"/>
                    <w:szCs w:val="21"/>
                  </w:rPr>
                  <w:t>其他</w:t>
                </w:r>
              </w:p>
            </w:tc>
            <w:tc>
              <w:tcPr>
                <w:tcW w:w="1701" w:type="dxa"/>
                <w:vAlign w:val="center"/>
              </w:tcPr>
              <w:p w14:paraId="7AB3BCA7">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5C594BD3">
                <w:pPr>
                  <w:widowControl w:val="0"/>
                  <w:jc w:val="right"/>
                  <w:rPr>
                    <w:rFonts w:ascii="Arial Narrow" w:hAnsi="Arial Narrow" w:eastAsiaTheme="minorEastAsia"/>
                    <w:szCs w:val="21"/>
                  </w:rPr>
                </w:pPr>
                <w:r>
                  <w:rPr>
                    <w:rFonts w:ascii="Arial Narrow" w:hAnsi="Arial Narrow" w:eastAsiaTheme="minorEastAsia"/>
                    <w:szCs w:val="21"/>
                  </w:rPr>
                  <w:t xml:space="preserve"> 10,498,771.69 </w:t>
                </w:r>
              </w:p>
            </w:tc>
            <w:tc>
              <w:tcPr>
                <w:tcW w:w="1765" w:type="dxa"/>
                <w:vAlign w:val="center"/>
              </w:tcPr>
              <w:p w14:paraId="68BED2EA">
                <w:pPr>
                  <w:widowControl w:val="0"/>
                  <w:jc w:val="right"/>
                  <w:rPr>
                    <w:rFonts w:ascii="Arial Narrow" w:hAnsi="Arial Narrow" w:eastAsiaTheme="minorEastAsia"/>
                    <w:szCs w:val="21"/>
                  </w:rPr>
                </w:pPr>
                <w:r>
                  <w:rPr>
                    <w:rFonts w:ascii="Arial Narrow" w:hAnsi="Arial Narrow" w:eastAsiaTheme="minorEastAsia"/>
                    <w:szCs w:val="21"/>
                  </w:rPr>
                  <w:t>6,898,426.39</w:t>
                </w:r>
              </w:p>
            </w:tc>
            <w:tc>
              <w:tcPr>
                <w:tcW w:w="1765" w:type="dxa"/>
              </w:tcPr>
              <w:p w14:paraId="7BAE3F1C">
                <w:pPr>
                  <w:widowControl w:val="0"/>
                  <w:jc w:val="both"/>
                  <w:rPr>
                    <w:rFonts w:ascii="Arial Narrow" w:hAnsi="Arial Narrow" w:eastAsiaTheme="minorEastAsia"/>
                    <w:szCs w:val="21"/>
                  </w:rPr>
                </w:pPr>
                <w:r>
                  <w:rPr>
                    <w:rFonts w:ascii="Arial Narrow" w:hAnsi="Arial Narrow" w:eastAsiaTheme="minorEastAsia"/>
                    <w:szCs w:val="21"/>
                  </w:rPr>
                  <w:t>与资产相关、与收益相关</w:t>
                </w:r>
              </w:p>
            </w:tc>
          </w:tr>
          <w:tr w14:paraId="440A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E6DD35A">
                <w:pPr>
                  <w:widowControl w:val="0"/>
                  <w:jc w:val="both"/>
                  <w:rPr>
                    <w:rFonts w:ascii="Arial Narrow" w:hAnsi="Arial Narrow" w:eastAsiaTheme="minorEastAsia"/>
                    <w:szCs w:val="21"/>
                  </w:rPr>
                </w:pPr>
                <w:r>
                  <w:rPr>
                    <w:rFonts w:ascii="Arial Narrow" w:hAnsi="Arial Narrow" w:eastAsiaTheme="minorEastAsia"/>
                    <w:szCs w:val="21"/>
                  </w:rPr>
                  <w:t>直接计入其他收益</w:t>
                </w:r>
              </w:p>
            </w:tc>
            <w:tc>
              <w:tcPr>
                <w:tcW w:w="1701" w:type="dxa"/>
                <w:vAlign w:val="center"/>
              </w:tcPr>
              <w:p w14:paraId="365214B0">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5F07A7C">
                <w:pPr>
                  <w:widowControl w:val="0"/>
                  <w:jc w:val="right"/>
                  <w:rPr>
                    <w:rFonts w:ascii="Arial Narrow" w:hAnsi="Arial Narrow" w:eastAsiaTheme="minorEastAsia"/>
                    <w:szCs w:val="21"/>
                  </w:rPr>
                </w:pPr>
              </w:p>
            </w:tc>
            <w:tc>
              <w:tcPr>
                <w:tcW w:w="1765" w:type="dxa"/>
                <w:vAlign w:val="center"/>
              </w:tcPr>
              <w:p w14:paraId="759792A7">
                <w:pPr>
                  <w:widowControl w:val="0"/>
                  <w:jc w:val="right"/>
                  <w:rPr>
                    <w:rFonts w:ascii="Arial Narrow" w:hAnsi="Arial Narrow" w:eastAsiaTheme="minorEastAsia"/>
                    <w:szCs w:val="21"/>
                  </w:rPr>
                </w:pPr>
              </w:p>
            </w:tc>
            <w:tc>
              <w:tcPr>
                <w:tcW w:w="1765" w:type="dxa"/>
              </w:tcPr>
              <w:p w14:paraId="52E205EE">
                <w:pPr>
                  <w:widowControl w:val="0"/>
                  <w:jc w:val="both"/>
                  <w:rPr>
                    <w:rFonts w:ascii="Arial Narrow" w:hAnsi="Arial Narrow" w:eastAsiaTheme="minorEastAsia"/>
                    <w:szCs w:val="21"/>
                  </w:rPr>
                </w:pPr>
              </w:p>
            </w:tc>
          </w:tr>
          <w:tr w14:paraId="18E4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D03EACC">
                <w:pPr>
                  <w:widowControl w:val="0"/>
                  <w:jc w:val="both"/>
                  <w:rPr>
                    <w:rFonts w:ascii="Arial Narrow" w:hAnsi="Arial Narrow" w:eastAsiaTheme="minorEastAsia"/>
                    <w:szCs w:val="21"/>
                  </w:rPr>
                </w:pPr>
                <w:r>
                  <w:rPr>
                    <w:rFonts w:ascii="Arial Narrow" w:hAnsi="Arial Narrow" w:eastAsiaTheme="minorEastAsia"/>
                    <w:szCs w:val="21"/>
                  </w:rPr>
                  <w:t>出疆棉花及服装运输费用补贴</w:t>
                </w:r>
              </w:p>
            </w:tc>
            <w:tc>
              <w:tcPr>
                <w:tcW w:w="1701" w:type="dxa"/>
                <w:vAlign w:val="center"/>
              </w:tcPr>
              <w:p w14:paraId="7A53743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6E9F4A15">
                <w:pPr>
                  <w:widowControl w:val="0"/>
                  <w:jc w:val="right"/>
                  <w:rPr>
                    <w:rFonts w:ascii="Arial Narrow" w:hAnsi="Arial Narrow" w:eastAsiaTheme="minorEastAsia"/>
                    <w:szCs w:val="21"/>
                  </w:rPr>
                </w:pPr>
                <w:r>
                  <w:rPr>
                    <w:rFonts w:ascii="Arial Narrow" w:hAnsi="Arial Narrow" w:eastAsiaTheme="minorEastAsia"/>
                    <w:szCs w:val="21"/>
                  </w:rPr>
                  <w:t>8,316,955.59</w:t>
                </w:r>
              </w:p>
            </w:tc>
            <w:tc>
              <w:tcPr>
                <w:tcW w:w="1765" w:type="dxa"/>
                <w:vAlign w:val="center"/>
              </w:tcPr>
              <w:p w14:paraId="6FEA06A1">
                <w:pPr>
                  <w:widowControl w:val="0"/>
                  <w:jc w:val="right"/>
                  <w:rPr>
                    <w:rFonts w:ascii="Arial Narrow" w:hAnsi="Arial Narrow" w:eastAsiaTheme="minorEastAsia"/>
                    <w:szCs w:val="21"/>
                  </w:rPr>
                </w:pPr>
                <w:r>
                  <w:rPr>
                    <w:rFonts w:ascii="Arial Narrow" w:hAnsi="Arial Narrow" w:eastAsiaTheme="minorEastAsia"/>
                    <w:szCs w:val="21"/>
                  </w:rPr>
                  <w:t>5,241,939.96</w:t>
                </w:r>
              </w:p>
            </w:tc>
            <w:tc>
              <w:tcPr>
                <w:tcW w:w="1765" w:type="dxa"/>
              </w:tcPr>
              <w:p w14:paraId="000D4A33">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0339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5F11148">
                <w:pPr>
                  <w:widowControl w:val="0"/>
                  <w:jc w:val="both"/>
                  <w:rPr>
                    <w:rFonts w:ascii="Arial Narrow" w:hAnsi="Arial Narrow" w:eastAsiaTheme="minorEastAsia"/>
                    <w:szCs w:val="21"/>
                  </w:rPr>
                </w:pPr>
                <w:r>
                  <w:rPr>
                    <w:rFonts w:ascii="Arial Narrow" w:hAnsi="Arial Narrow" w:eastAsiaTheme="minorEastAsia"/>
                    <w:szCs w:val="21"/>
                  </w:rPr>
                  <w:t>高质量发展奖励资金</w:t>
                </w:r>
              </w:p>
            </w:tc>
            <w:tc>
              <w:tcPr>
                <w:tcW w:w="1701" w:type="dxa"/>
                <w:vAlign w:val="center"/>
              </w:tcPr>
              <w:p w14:paraId="0C30B871">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44207AB2">
                <w:pPr>
                  <w:widowControl w:val="0"/>
                  <w:jc w:val="right"/>
                  <w:rPr>
                    <w:rFonts w:ascii="Arial Narrow" w:hAnsi="Arial Narrow" w:eastAsiaTheme="minorEastAsia"/>
                    <w:szCs w:val="21"/>
                  </w:rPr>
                </w:pPr>
                <w:r>
                  <w:rPr>
                    <w:rFonts w:ascii="Arial Narrow" w:hAnsi="Arial Narrow" w:eastAsiaTheme="minorEastAsia"/>
                    <w:szCs w:val="21"/>
                  </w:rPr>
                  <w:t>983,254.00</w:t>
                </w:r>
              </w:p>
            </w:tc>
            <w:tc>
              <w:tcPr>
                <w:tcW w:w="1765" w:type="dxa"/>
                <w:vAlign w:val="center"/>
              </w:tcPr>
              <w:p w14:paraId="2D0FD66D">
                <w:pPr>
                  <w:widowControl w:val="0"/>
                  <w:jc w:val="right"/>
                  <w:rPr>
                    <w:rFonts w:ascii="Arial Narrow" w:hAnsi="Arial Narrow" w:eastAsiaTheme="minorEastAsia"/>
                    <w:szCs w:val="21"/>
                  </w:rPr>
                </w:pPr>
                <w:r>
                  <w:rPr>
                    <w:rFonts w:ascii="Arial Narrow" w:hAnsi="Arial Narrow" w:eastAsiaTheme="minorEastAsia"/>
                    <w:szCs w:val="21"/>
                  </w:rPr>
                  <w:t>4,067,672.00</w:t>
                </w:r>
              </w:p>
            </w:tc>
            <w:tc>
              <w:tcPr>
                <w:tcW w:w="1765" w:type="dxa"/>
              </w:tcPr>
              <w:p w14:paraId="53A1DA1B">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2536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3FDCF205">
                <w:pPr>
                  <w:widowControl w:val="0"/>
                  <w:jc w:val="both"/>
                  <w:rPr>
                    <w:rFonts w:ascii="Arial Narrow" w:hAnsi="Arial Narrow" w:eastAsiaTheme="minorEastAsia"/>
                    <w:szCs w:val="21"/>
                  </w:rPr>
                </w:pPr>
                <w:r>
                  <w:rPr>
                    <w:rFonts w:ascii="Arial Narrow" w:hAnsi="Arial Narrow" w:eastAsiaTheme="minorEastAsia"/>
                    <w:szCs w:val="21"/>
                  </w:rPr>
                  <w:t>襄阳市保障性租赁住房租金补贴</w:t>
                </w:r>
              </w:p>
            </w:tc>
            <w:tc>
              <w:tcPr>
                <w:tcW w:w="1701" w:type="dxa"/>
                <w:vAlign w:val="center"/>
              </w:tcPr>
              <w:p w14:paraId="1A3D8A7B">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45F640F0">
                <w:pPr>
                  <w:widowControl w:val="0"/>
                  <w:jc w:val="right"/>
                  <w:rPr>
                    <w:rFonts w:ascii="Arial Narrow" w:hAnsi="Arial Narrow" w:eastAsiaTheme="minorEastAsia"/>
                    <w:szCs w:val="21"/>
                  </w:rPr>
                </w:pPr>
              </w:p>
            </w:tc>
            <w:tc>
              <w:tcPr>
                <w:tcW w:w="1765" w:type="dxa"/>
                <w:vAlign w:val="center"/>
              </w:tcPr>
              <w:p w14:paraId="13261021">
                <w:pPr>
                  <w:widowControl w:val="0"/>
                  <w:jc w:val="right"/>
                  <w:rPr>
                    <w:rFonts w:ascii="Arial Narrow" w:hAnsi="Arial Narrow" w:eastAsiaTheme="minorEastAsia"/>
                    <w:szCs w:val="21"/>
                  </w:rPr>
                </w:pPr>
                <w:r>
                  <w:rPr>
                    <w:rFonts w:ascii="Arial Narrow" w:hAnsi="Arial Narrow" w:eastAsiaTheme="minorEastAsia"/>
                    <w:szCs w:val="21"/>
                  </w:rPr>
                  <w:t>3,555,384.00</w:t>
                </w:r>
              </w:p>
            </w:tc>
            <w:tc>
              <w:tcPr>
                <w:tcW w:w="1765" w:type="dxa"/>
              </w:tcPr>
              <w:p w14:paraId="36458CC5">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376D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86A464E">
                <w:pPr>
                  <w:widowControl w:val="0"/>
                  <w:jc w:val="both"/>
                  <w:rPr>
                    <w:rFonts w:ascii="Arial Narrow" w:hAnsi="Arial Narrow" w:eastAsiaTheme="minorEastAsia"/>
                    <w:szCs w:val="21"/>
                  </w:rPr>
                </w:pPr>
                <w:r>
                  <w:rPr>
                    <w:rFonts w:ascii="Arial Narrow" w:hAnsi="Arial Narrow" w:eastAsiaTheme="minorEastAsia"/>
                    <w:szCs w:val="21"/>
                  </w:rPr>
                  <w:t>稳岗补贴</w:t>
                </w:r>
              </w:p>
            </w:tc>
            <w:tc>
              <w:tcPr>
                <w:tcW w:w="1701" w:type="dxa"/>
                <w:vAlign w:val="center"/>
              </w:tcPr>
              <w:p w14:paraId="1017EDF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111B99D">
                <w:pPr>
                  <w:widowControl w:val="0"/>
                  <w:jc w:val="right"/>
                  <w:rPr>
                    <w:rFonts w:ascii="Arial Narrow" w:hAnsi="Arial Narrow" w:eastAsiaTheme="minorEastAsia"/>
                    <w:szCs w:val="21"/>
                  </w:rPr>
                </w:pPr>
                <w:r>
                  <w:rPr>
                    <w:rFonts w:ascii="Arial Narrow" w:hAnsi="Arial Narrow" w:cs="Times New Roman" w:eastAsiaTheme="minorEastAsia"/>
                    <w:color w:val="000000"/>
                    <w:szCs w:val="21"/>
                  </w:rPr>
                  <w:t xml:space="preserve"> 3,774,322.09 </w:t>
                </w:r>
              </w:p>
            </w:tc>
            <w:tc>
              <w:tcPr>
                <w:tcW w:w="1765" w:type="dxa"/>
                <w:vAlign w:val="center"/>
              </w:tcPr>
              <w:p w14:paraId="200A6014">
                <w:pPr>
                  <w:widowControl w:val="0"/>
                  <w:jc w:val="right"/>
                  <w:rPr>
                    <w:rFonts w:ascii="Arial Narrow" w:hAnsi="Arial Narrow" w:eastAsiaTheme="minorEastAsia"/>
                    <w:szCs w:val="21"/>
                  </w:rPr>
                </w:pPr>
                <w:r>
                  <w:rPr>
                    <w:rFonts w:ascii="Arial Narrow" w:hAnsi="Arial Narrow" w:cs="Times New Roman" w:eastAsiaTheme="minorEastAsia"/>
                    <w:color w:val="000000"/>
                    <w:szCs w:val="21"/>
                  </w:rPr>
                  <w:t>1,931,515.83</w:t>
                </w:r>
              </w:p>
            </w:tc>
            <w:tc>
              <w:tcPr>
                <w:tcW w:w="1765" w:type="dxa"/>
              </w:tcPr>
              <w:p w14:paraId="4914A0E7">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5AA2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4C97394">
                <w:pPr>
                  <w:widowControl w:val="0"/>
                  <w:jc w:val="both"/>
                  <w:rPr>
                    <w:rFonts w:ascii="Arial Narrow" w:hAnsi="Arial Narrow" w:eastAsiaTheme="minorEastAsia"/>
                    <w:szCs w:val="21"/>
                  </w:rPr>
                </w:pPr>
                <w:r>
                  <w:rPr>
                    <w:rFonts w:ascii="Arial Narrow" w:hAnsi="Arial Narrow" w:eastAsiaTheme="minorEastAsia"/>
                    <w:szCs w:val="21"/>
                  </w:rPr>
                  <w:t>融合发展专项补助</w:t>
                </w:r>
              </w:p>
            </w:tc>
            <w:tc>
              <w:tcPr>
                <w:tcW w:w="1701" w:type="dxa"/>
                <w:vAlign w:val="center"/>
              </w:tcPr>
              <w:p w14:paraId="3F63ADC9">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6E0EDA9F">
                <w:pPr>
                  <w:widowControl w:val="0"/>
                  <w:jc w:val="right"/>
                  <w:rPr>
                    <w:rFonts w:ascii="Arial Narrow" w:hAnsi="Arial Narrow" w:eastAsiaTheme="minorEastAsia"/>
                    <w:szCs w:val="21"/>
                  </w:rPr>
                </w:pPr>
              </w:p>
            </w:tc>
            <w:tc>
              <w:tcPr>
                <w:tcW w:w="1765" w:type="dxa"/>
                <w:vAlign w:val="center"/>
              </w:tcPr>
              <w:p w14:paraId="4AE60776">
                <w:pPr>
                  <w:widowControl w:val="0"/>
                  <w:jc w:val="right"/>
                  <w:rPr>
                    <w:rFonts w:ascii="Arial Narrow" w:hAnsi="Arial Narrow" w:eastAsiaTheme="minorEastAsia"/>
                    <w:szCs w:val="21"/>
                  </w:rPr>
                </w:pPr>
                <w:r>
                  <w:rPr>
                    <w:rFonts w:ascii="Arial Narrow" w:hAnsi="Arial Narrow" w:eastAsiaTheme="minorEastAsia"/>
                    <w:szCs w:val="21"/>
                  </w:rPr>
                  <w:t>2,030,000.00</w:t>
                </w:r>
              </w:p>
            </w:tc>
            <w:tc>
              <w:tcPr>
                <w:tcW w:w="1765" w:type="dxa"/>
              </w:tcPr>
              <w:p w14:paraId="75B923E3">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5CBA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3025FF86">
                <w:pPr>
                  <w:widowControl w:val="0"/>
                  <w:jc w:val="both"/>
                  <w:rPr>
                    <w:rFonts w:ascii="Arial Narrow" w:hAnsi="Arial Narrow" w:eastAsiaTheme="minorEastAsia"/>
                    <w:szCs w:val="21"/>
                  </w:rPr>
                </w:pPr>
                <w:r>
                  <w:rPr>
                    <w:rFonts w:ascii="Arial Narrow" w:hAnsi="Arial Narrow" w:eastAsiaTheme="minorEastAsia"/>
                    <w:szCs w:val="21"/>
                  </w:rPr>
                  <w:t>企业扶持税收返还奖励</w:t>
                </w:r>
              </w:p>
            </w:tc>
            <w:tc>
              <w:tcPr>
                <w:tcW w:w="1701" w:type="dxa"/>
                <w:vAlign w:val="center"/>
              </w:tcPr>
              <w:p w14:paraId="3CC871A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70BDC3F3">
                <w:pPr>
                  <w:widowControl w:val="0"/>
                  <w:jc w:val="right"/>
                  <w:rPr>
                    <w:rFonts w:ascii="Arial Narrow" w:hAnsi="Arial Narrow" w:eastAsiaTheme="minorEastAsia"/>
                    <w:szCs w:val="21"/>
                  </w:rPr>
                </w:pPr>
              </w:p>
            </w:tc>
            <w:tc>
              <w:tcPr>
                <w:tcW w:w="1765" w:type="dxa"/>
                <w:vAlign w:val="center"/>
              </w:tcPr>
              <w:p w14:paraId="3B1333C5">
                <w:pPr>
                  <w:widowControl w:val="0"/>
                  <w:jc w:val="right"/>
                  <w:rPr>
                    <w:rFonts w:ascii="Arial Narrow" w:hAnsi="Arial Narrow" w:eastAsiaTheme="minorEastAsia"/>
                    <w:szCs w:val="21"/>
                  </w:rPr>
                </w:pPr>
                <w:r>
                  <w:rPr>
                    <w:rFonts w:ascii="Arial Narrow" w:hAnsi="Arial Narrow" w:eastAsiaTheme="minorEastAsia"/>
                    <w:szCs w:val="21"/>
                  </w:rPr>
                  <w:t>7,716,863.79</w:t>
                </w:r>
              </w:p>
            </w:tc>
            <w:tc>
              <w:tcPr>
                <w:tcW w:w="1765" w:type="dxa"/>
              </w:tcPr>
              <w:p w14:paraId="6AB5D505">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12C1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98945E5">
                <w:pPr>
                  <w:widowControl w:val="0"/>
                  <w:jc w:val="both"/>
                  <w:rPr>
                    <w:rFonts w:ascii="Arial Narrow" w:hAnsi="Arial Narrow" w:eastAsiaTheme="minorEastAsia"/>
                    <w:szCs w:val="21"/>
                  </w:rPr>
                </w:pPr>
                <w:r>
                  <w:rPr>
                    <w:rFonts w:ascii="Arial Narrow" w:hAnsi="Arial Narrow" w:eastAsiaTheme="minorEastAsia"/>
                    <w:szCs w:val="21"/>
                  </w:rPr>
                  <w:t>河北省支持研发加计扣除政策奖补资金</w:t>
                </w:r>
              </w:p>
            </w:tc>
            <w:tc>
              <w:tcPr>
                <w:tcW w:w="1701" w:type="dxa"/>
                <w:vAlign w:val="center"/>
              </w:tcPr>
              <w:p w14:paraId="524B4C97">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DC61400">
                <w:pPr>
                  <w:widowControl w:val="0"/>
                  <w:jc w:val="right"/>
                  <w:rPr>
                    <w:rFonts w:ascii="Arial Narrow" w:hAnsi="Arial Narrow" w:eastAsiaTheme="minorEastAsia"/>
                    <w:szCs w:val="21"/>
                  </w:rPr>
                </w:pPr>
              </w:p>
            </w:tc>
            <w:tc>
              <w:tcPr>
                <w:tcW w:w="1765" w:type="dxa"/>
                <w:vAlign w:val="center"/>
              </w:tcPr>
              <w:p w14:paraId="22FA00FE">
                <w:pPr>
                  <w:widowControl w:val="0"/>
                  <w:jc w:val="right"/>
                  <w:rPr>
                    <w:rFonts w:ascii="Arial Narrow" w:hAnsi="Arial Narrow" w:eastAsiaTheme="minorEastAsia"/>
                    <w:szCs w:val="21"/>
                  </w:rPr>
                </w:pPr>
                <w:r>
                  <w:rPr>
                    <w:rFonts w:ascii="Arial Narrow" w:hAnsi="Arial Narrow" w:eastAsiaTheme="minorEastAsia"/>
                    <w:szCs w:val="21"/>
                  </w:rPr>
                  <w:t>2,064,979.00</w:t>
                </w:r>
              </w:p>
            </w:tc>
            <w:tc>
              <w:tcPr>
                <w:tcW w:w="1765" w:type="dxa"/>
              </w:tcPr>
              <w:p w14:paraId="6C04E491">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3B8E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2D02ABD">
                <w:pPr>
                  <w:widowControl w:val="0"/>
                  <w:jc w:val="both"/>
                  <w:rPr>
                    <w:rFonts w:ascii="Arial Narrow" w:hAnsi="Arial Narrow" w:eastAsiaTheme="minorEastAsia"/>
                    <w:szCs w:val="21"/>
                  </w:rPr>
                </w:pPr>
                <w:r>
                  <w:rPr>
                    <w:rFonts w:ascii="Arial Narrow" w:hAnsi="Arial Narrow" w:eastAsiaTheme="minorEastAsia"/>
                    <w:szCs w:val="21"/>
                  </w:rPr>
                  <w:t>襄阳市标准化奖励政策补助</w:t>
                </w:r>
              </w:p>
            </w:tc>
            <w:tc>
              <w:tcPr>
                <w:tcW w:w="1701" w:type="dxa"/>
                <w:vAlign w:val="center"/>
              </w:tcPr>
              <w:p w14:paraId="2704472A">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6A2ADA11">
                <w:pPr>
                  <w:widowControl w:val="0"/>
                  <w:jc w:val="right"/>
                  <w:rPr>
                    <w:rFonts w:ascii="Arial Narrow" w:hAnsi="Arial Narrow" w:eastAsiaTheme="minorEastAsia"/>
                    <w:szCs w:val="21"/>
                  </w:rPr>
                </w:pPr>
              </w:p>
            </w:tc>
            <w:tc>
              <w:tcPr>
                <w:tcW w:w="1765" w:type="dxa"/>
                <w:vAlign w:val="center"/>
              </w:tcPr>
              <w:p w14:paraId="08FCA6C8">
                <w:pPr>
                  <w:widowControl w:val="0"/>
                  <w:jc w:val="right"/>
                  <w:rPr>
                    <w:rFonts w:ascii="Arial Narrow" w:hAnsi="Arial Narrow" w:eastAsiaTheme="minorEastAsia"/>
                    <w:szCs w:val="21"/>
                  </w:rPr>
                </w:pPr>
                <w:r>
                  <w:rPr>
                    <w:rFonts w:ascii="Arial Narrow" w:hAnsi="Arial Narrow" w:eastAsiaTheme="minorEastAsia"/>
                    <w:szCs w:val="21"/>
                  </w:rPr>
                  <w:t>1,000,000.00</w:t>
                </w:r>
              </w:p>
            </w:tc>
            <w:tc>
              <w:tcPr>
                <w:tcW w:w="1765" w:type="dxa"/>
              </w:tcPr>
              <w:p w14:paraId="5F96E9A5">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4A0A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EE50B9F">
                <w:pPr>
                  <w:widowControl w:val="0"/>
                  <w:jc w:val="both"/>
                  <w:rPr>
                    <w:rFonts w:ascii="Arial Narrow" w:hAnsi="Arial Narrow" w:eastAsiaTheme="minorEastAsia"/>
                    <w:szCs w:val="21"/>
                  </w:rPr>
                </w:pPr>
                <w:r>
                  <w:rPr>
                    <w:rFonts w:ascii="Arial Narrow" w:hAnsi="Arial Narrow" w:eastAsiaTheme="minorEastAsia"/>
                    <w:szCs w:val="21"/>
                  </w:rPr>
                  <w:t>中央大气污染防治项目补助</w:t>
                </w:r>
              </w:p>
            </w:tc>
            <w:tc>
              <w:tcPr>
                <w:tcW w:w="1701" w:type="dxa"/>
                <w:vAlign w:val="center"/>
              </w:tcPr>
              <w:p w14:paraId="13FBC1A9">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3C411D47">
                <w:pPr>
                  <w:widowControl w:val="0"/>
                  <w:jc w:val="right"/>
                  <w:rPr>
                    <w:rFonts w:ascii="Arial Narrow" w:hAnsi="Arial Narrow" w:eastAsiaTheme="minorEastAsia"/>
                    <w:szCs w:val="21"/>
                  </w:rPr>
                </w:pPr>
              </w:p>
            </w:tc>
            <w:tc>
              <w:tcPr>
                <w:tcW w:w="1765" w:type="dxa"/>
                <w:vAlign w:val="center"/>
              </w:tcPr>
              <w:p w14:paraId="290CFF11">
                <w:pPr>
                  <w:widowControl w:val="0"/>
                  <w:jc w:val="right"/>
                  <w:rPr>
                    <w:rFonts w:ascii="Arial Narrow" w:hAnsi="Arial Narrow" w:eastAsiaTheme="minorEastAsia"/>
                    <w:szCs w:val="21"/>
                  </w:rPr>
                </w:pPr>
                <w:r>
                  <w:rPr>
                    <w:rFonts w:ascii="Arial Narrow" w:hAnsi="Arial Narrow" w:eastAsiaTheme="minorEastAsia"/>
                    <w:szCs w:val="21"/>
                  </w:rPr>
                  <w:t>2,400,000.00</w:t>
                </w:r>
              </w:p>
            </w:tc>
            <w:tc>
              <w:tcPr>
                <w:tcW w:w="1765" w:type="dxa"/>
              </w:tcPr>
              <w:p w14:paraId="72A1F395">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0C80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307484A">
                <w:pPr>
                  <w:widowControl w:val="0"/>
                  <w:jc w:val="both"/>
                  <w:rPr>
                    <w:rFonts w:ascii="Arial Narrow" w:hAnsi="Arial Narrow" w:eastAsiaTheme="minorEastAsia"/>
                    <w:szCs w:val="21"/>
                  </w:rPr>
                </w:pPr>
                <w:r>
                  <w:rPr>
                    <w:rFonts w:ascii="Arial Narrow" w:hAnsi="Arial Narrow" w:eastAsiaTheme="minorEastAsia"/>
                    <w:szCs w:val="21"/>
                  </w:rPr>
                  <w:t>自由贸易试验区岳阳片区资金补贴</w:t>
                </w:r>
              </w:p>
            </w:tc>
            <w:tc>
              <w:tcPr>
                <w:tcW w:w="1701" w:type="dxa"/>
                <w:vAlign w:val="center"/>
              </w:tcPr>
              <w:p w14:paraId="196CEEB1">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30DAB6F">
                <w:pPr>
                  <w:widowControl w:val="0"/>
                  <w:jc w:val="right"/>
                  <w:rPr>
                    <w:rFonts w:ascii="Arial Narrow" w:hAnsi="Arial Narrow" w:eastAsiaTheme="minorEastAsia"/>
                    <w:szCs w:val="21"/>
                  </w:rPr>
                </w:pPr>
              </w:p>
            </w:tc>
            <w:tc>
              <w:tcPr>
                <w:tcW w:w="1765" w:type="dxa"/>
                <w:vAlign w:val="center"/>
              </w:tcPr>
              <w:p w14:paraId="3E767E77">
                <w:pPr>
                  <w:widowControl w:val="0"/>
                  <w:jc w:val="right"/>
                  <w:rPr>
                    <w:rFonts w:ascii="Arial Narrow" w:hAnsi="Arial Narrow" w:eastAsiaTheme="minorEastAsia"/>
                    <w:szCs w:val="21"/>
                  </w:rPr>
                </w:pPr>
                <w:r>
                  <w:rPr>
                    <w:rFonts w:ascii="Arial Narrow" w:hAnsi="Arial Narrow" w:eastAsiaTheme="minorEastAsia"/>
                    <w:szCs w:val="21"/>
                  </w:rPr>
                  <w:t>1,322,244.00</w:t>
                </w:r>
              </w:p>
            </w:tc>
            <w:tc>
              <w:tcPr>
                <w:tcW w:w="1765" w:type="dxa"/>
              </w:tcPr>
              <w:p w14:paraId="62DE7D76">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780E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79B8E0F">
                <w:pPr>
                  <w:widowControl w:val="0"/>
                  <w:jc w:val="both"/>
                  <w:rPr>
                    <w:rFonts w:ascii="Arial Narrow" w:hAnsi="Arial Narrow" w:eastAsiaTheme="minorEastAsia"/>
                    <w:szCs w:val="21"/>
                  </w:rPr>
                </w:pPr>
                <w:r>
                  <w:rPr>
                    <w:rFonts w:ascii="Arial Narrow" w:hAnsi="Arial Narrow" w:eastAsiaTheme="minorEastAsia"/>
                    <w:szCs w:val="21"/>
                  </w:rPr>
                  <w:t>高分子材料研究及制品开发项目补助资金</w:t>
                </w:r>
              </w:p>
            </w:tc>
            <w:tc>
              <w:tcPr>
                <w:tcW w:w="1701" w:type="dxa"/>
                <w:vAlign w:val="center"/>
              </w:tcPr>
              <w:p w14:paraId="15A5A819">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F2E87F9">
                <w:pPr>
                  <w:widowControl w:val="0"/>
                  <w:jc w:val="right"/>
                  <w:rPr>
                    <w:rFonts w:ascii="Arial Narrow" w:hAnsi="Arial Narrow" w:eastAsiaTheme="minorEastAsia"/>
                    <w:szCs w:val="21"/>
                  </w:rPr>
                </w:pPr>
              </w:p>
            </w:tc>
            <w:tc>
              <w:tcPr>
                <w:tcW w:w="1765" w:type="dxa"/>
                <w:vAlign w:val="center"/>
              </w:tcPr>
              <w:p w14:paraId="07231A7A">
                <w:pPr>
                  <w:widowControl w:val="0"/>
                  <w:jc w:val="right"/>
                  <w:rPr>
                    <w:rFonts w:ascii="Arial Narrow" w:hAnsi="Arial Narrow" w:eastAsiaTheme="minorEastAsia"/>
                    <w:szCs w:val="21"/>
                  </w:rPr>
                </w:pPr>
                <w:r>
                  <w:rPr>
                    <w:rFonts w:ascii="Arial Narrow" w:hAnsi="Arial Narrow" w:eastAsiaTheme="minorEastAsia"/>
                    <w:szCs w:val="21"/>
                  </w:rPr>
                  <w:t>3,000,000.00</w:t>
                </w:r>
              </w:p>
            </w:tc>
            <w:tc>
              <w:tcPr>
                <w:tcW w:w="1765" w:type="dxa"/>
              </w:tcPr>
              <w:p w14:paraId="68BB6494">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56EB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C6C7D7E">
                <w:pPr>
                  <w:widowControl w:val="0"/>
                  <w:jc w:val="both"/>
                  <w:rPr>
                    <w:rFonts w:ascii="Arial Narrow" w:hAnsi="Arial Narrow" w:eastAsiaTheme="minorEastAsia"/>
                    <w:szCs w:val="21"/>
                  </w:rPr>
                </w:pPr>
                <w:r>
                  <w:rPr>
                    <w:rFonts w:ascii="Arial Narrow" w:hAnsi="Arial Narrow" w:eastAsiaTheme="minorEastAsia"/>
                    <w:szCs w:val="21"/>
                  </w:rPr>
                  <w:t>产业专项奖励补助</w:t>
                </w:r>
              </w:p>
            </w:tc>
            <w:tc>
              <w:tcPr>
                <w:tcW w:w="1701" w:type="dxa"/>
                <w:vAlign w:val="center"/>
              </w:tcPr>
              <w:p w14:paraId="491737CB">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1AC44B9A">
                <w:pPr>
                  <w:widowControl w:val="0"/>
                  <w:jc w:val="right"/>
                  <w:rPr>
                    <w:rFonts w:ascii="Arial Narrow" w:hAnsi="Arial Narrow" w:eastAsiaTheme="minorEastAsia"/>
                    <w:szCs w:val="21"/>
                  </w:rPr>
                </w:pPr>
              </w:p>
            </w:tc>
            <w:tc>
              <w:tcPr>
                <w:tcW w:w="1765" w:type="dxa"/>
                <w:vAlign w:val="center"/>
              </w:tcPr>
              <w:p w14:paraId="77951926">
                <w:pPr>
                  <w:widowControl w:val="0"/>
                  <w:jc w:val="right"/>
                  <w:rPr>
                    <w:rFonts w:ascii="Arial Narrow" w:hAnsi="Arial Narrow" w:eastAsiaTheme="minorEastAsia"/>
                    <w:szCs w:val="21"/>
                  </w:rPr>
                </w:pPr>
                <w:r>
                  <w:rPr>
                    <w:rFonts w:ascii="Arial Narrow" w:hAnsi="Arial Narrow" w:eastAsiaTheme="minorEastAsia"/>
                    <w:szCs w:val="21"/>
                  </w:rPr>
                  <w:t>1,040,000.00</w:t>
                </w:r>
              </w:p>
            </w:tc>
            <w:tc>
              <w:tcPr>
                <w:tcW w:w="1765" w:type="dxa"/>
              </w:tcPr>
              <w:p w14:paraId="2DF2CE94">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7A73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CA50E67">
                <w:pPr>
                  <w:widowControl w:val="0"/>
                  <w:jc w:val="both"/>
                  <w:rPr>
                    <w:rFonts w:ascii="Arial Narrow" w:hAnsi="Arial Narrow" w:eastAsiaTheme="minorEastAsia"/>
                    <w:szCs w:val="21"/>
                  </w:rPr>
                </w:pPr>
                <w:r>
                  <w:rPr>
                    <w:rFonts w:ascii="Arial Narrow" w:hAnsi="Arial Narrow" w:eastAsiaTheme="minorEastAsia"/>
                    <w:szCs w:val="21"/>
                  </w:rPr>
                  <w:t>征收及补偿款</w:t>
                </w:r>
              </w:p>
            </w:tc>
            <w:tc>
              <w:tcPr>
                <w:tcW w:w="1701" w:type="dxa"/>
                <w:vAlign w:val="center"/>
              </w:tcPr>
              <w:p w14:paraId="5326531E">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004F8D9A">
                <w:pPr>
                  <w:widowControl w:val="0"/>
                  <w:jc w:val="right"/>
                  <w:rPr>
                    <w:rFonts w:ascii="Arial Narrow" w:hAnsi="Arial Narrow" w:eastAsiaTheme="minorEastAsia"/>
                    <w:szCs w:val="21"/>
                  </w:rPr>
                </w:pPr>
              </w:p>
            </w:tc>
            <w:tc>
              <w:tcPr>
                <w:tcW w:w="1765" w:type="dxa"/>
                <w:vAlign w:val="center"/>
              </w:tcPr>
              <w:p w14:paraId="06F80F69">
                <w:pPr>
                  <w:widowControl w:val="0"/>
                  <w:jc w:val="right"/>
                  <w:rPr>
                    <w:rFonts w:ascii="Arial Narrow" w:hAnsi="Arial Narrow" w:eastAsiaTheme="minorEastAsia"/>
                    <w:szCs w:val="21"/>
                  </w:rPr>
                </w:pPr>
                <w:r>
                  <w:rPr>
                    <w:rFonts w:ascii="Arial Narrow" w:hAnsi="Arial Narrow" w:eastAsiaTheme="minorEastAsia"/>
                    <w:szCs w:val="21"/>
                  </w:rPr>
                  <w:t>4,178,728.92</w:t>
                </w:r>
              </w:p>
            </w:tc>
            <w:tc>
              <w:tcPr>
                <w:tcW w:w="1765" w:type="dxa"/>
              </w:tcPr>
              <w:p w14:paraId="7573E70A">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268B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3823D17F">
                <w:pPr>
                  <w:widowControl w:val="0"/>
                  <w:jc w:val="both"/>
                  <w:rPr>
                    <w:rFonts w:ascii="Arial Narrow" w:hAnsi="Arial Narrow" w:eastAsiaTheme="minorEastAsia"/>
                    <w:szCs w:val="21"/>
                  </w:rPr>
                </w:pPr>
                <w:r>
                  <w:rPr>
                    <w:rFonts w:ascii="Arial Narrow" w:hAnsi="Arial Narrow" w:eastAsiaTheme="minorEastAsia"/>
                    <w:szCs w:val="21"/>
                  </w:rPr>
                  <w:t>职业技能培训补贴</w:t>
                </w:r>
              </w:p>
            </w:tc>
            <w:tc>
              <w:tcPr>
                <w:tcW w:w="1701" w:type="dxa"/>
                <w:vAlign w:val="center"/>
              </w:tcPr>
              <w:p w14:paraId="5128C66F">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4516D3D">
                <w:pPr>
                  <w:widowControl w:val="0"/>
                  <w:jc w:val="right"/>
                  <w:rPr>
                    <w:rFonts w:ascii="Arial Narrow" w:hAnsi="Arial Narrow" w:eastAsiaTheme="minorEastAsia"/>
                    <w:szCs w:val="21"/>
                  </w:rPr>
                </w:pPr>
                <w:r>
                  <w:rPr>
                    <w:rFonts w:ascii="Arial Narrow" w:hAnsi="Arial Narrow" w:eastAsiaTheme="minorEastAsia"/>
                    <w:szCs w:val="21"/>
                  </w:rPr>
                  <w:t>1,572,464.00</w:t>
                </w:r>
              </w:p>
            </w:tc>
            <w:tc>
              <w:tcPr>
                <w:tcW w:w="1765" w:type="dxa"/>
                <w:vAlign w:val="center"/>
              </w:tcPr>
              <w:p w14:paraId="62D879A0">
                <w:pPr>
                  <w:widowControl w:val="0"/>
                  <w:jc w:val="right"/>
                  <w:rPr>
                    <w:rFonts w:ascii="Arial Narrow" w:hAnsi="Arial Narrow" w:eastAsiaTheme="minorEastAsia"/>
                    <w:szCs w:val="21"/>
                  </w:rPr>
                </w:pPr>
              </w:p>
            </w:tc>
            <w:tc>
              <w:tcPr>
                <w:tcW w:w="1765" w:type="dxa"/>
              </w:tcPr>
              <w:p w14:paraId="25BEDF5F">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0869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2855F1D">
                <w:pPr>
                  <w:widowControl w:val="0"/>
                  <w:jc w:val="both"/>
                  <w:rPr>
                    <w:rFonts w:ascii="Arial Narrow" w:hAnsi="Arial Narrow" w:eastAsiaTheme="minorEastAsia"/>
                    <w:szCs w:val="21"/>
                  </w:rPr>
                </w:pPr>
                <w:r>
                  <w:rPr>
                    <w:rFonts w:ascii="Arial Narrow" w:hAnsi="Arial Narrow" w:eastAsiaTheme="minorEastAsia"/>
                    <w:szCs w:val="21"/>
                  </w:rPr>
                  <w:t>专精特新或高新技术企业认定奖励</w:t>
                </w:r>
              </w:p>
            </w:tc>
            <w:tc>
              <w:tcPr>
                <w:tcW w:w="1701" w:type="dxa"/>
                <w:vAlign w:val="center"/>
              </w:tcPr>
              <w:p w14:paraId="319ECD0D">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342D4CAE">
                <w:pPr>
                  <w:widowControl w:val="0"/>
                  <w:jc w:val="right"/>
                  <w:rPr>
                    <w:rFonts w:ascii="Arial Narrow" w:hAnsi="Arial Narrow" w:eastAsiaTheme="minorEastAsia"/>
                    <w:szCs w:val="21"/>
                  </w:rPr>
                </w:pPr>
                <w:r>
                  <w:rPr>
                    <w:rFonts w:ascii="Arial Narrow" w:hAnsi="Arial Narrow" w:eastAsiaTheme="minorEastAsia"/>
                    <w:szCs w:val="21"/>
                  </w:rPr>
                  <w:t>1,490,000.00</w:t>
                </w:r>
              </w:p>
            </w:tc>
            <w:tc>
              <w:tcPr>
                <w:tcW w:w="1765" w:type="dxa"/>
                <w:vAlign w:val="center"/>
              </w:tcPr>
              <w:p w14:paraId="48E38AB3">
                <w:pPr>
                  <w:widowControl w:val="0"/>
                  <w:jc w:val="right"/>
                  <w:rPr>
                    <w:rFonts w:ascii="Arial Narrow" w:hAnsi="Arial Narrow" w:eastAsiaTheme="minorEastAsia"/>
                    <w:szCs w:val="21"/>
                  </w:rPr>
                </w:pPr>
              </w:p>
            </w:tc>
            <w:tc>
              <w:tcPr>
                <w:tcW w:w="1765" w:type="dxa"/>
              </w:tcPr>
              <w:p w14:paraId="5C4CC68C">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1147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FF6F550">
                <w:pPr>
                  <w:widowControl w:val="0"/>
                  <w:jc w:val="both"/>
                  <w:rPr>
                    <w:rFonts w:ascii="Arial Narrow" w:hAnsi="Arial Narrow" w:eastAsiaTheme="minorEastAsia"/>
                    <w:szCs w:val="21"/>
                  </w:rPr>
                </w:pPr>
                <w:r>
                  <w:rPr>
                    <w:rFonts w:ascii="Arial Narrow" w:hAnsi="Arial Narrow" w:eastAsiaTheme="minorEastAsia"/>
                    <w:szCs w:val="21"/>
                  </w:rPr>
                  <w:t>退回退二进三奖补资金</w:t>
                </w:r>
              </w:p>
            </w:tc>
            <w:tc>
              <w:tcPr>
                <w:tcW w:w="1701" w:type="dxa"/>
                <w:vAlign w:val="center"/>
              </w:tcPr>
              <w:p w14:paraId="202DEF6E">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1D4721FC">
                <w:pPr>
                  <w:widowControl w:val="0"/>
                  <w:jc w:val="right"/>
                  <w:rPr>
                    <w:rFonts w:ascii="Arial Narrow" w:hAnsi="Arial Narrow" w:eastAsiaTheme="minorEastAsia"/>
                    <w:szCs w:val="21"/>
                  </w:rPr>
                </w:pPr>
                <w:r>
                  <w:rPr>
                    <w:rFonts w:ascii="Arial Narrow" w:hAnsi="Arial Narrow" w:eastAsiaTheme="minorEastAsia"/>
                    <w:szCs w:val="21"/>
                  </w:rPr>
                  <w:t>-27,854,300.00</w:t>
                </w:r>
              </w:p>
            </w:tc>
            <w:tc>
              <w:tcPr>
                <w:tcW w:w="1765" w:type="dxa"/>
                <w:vAlign w:val="center"/>
              </w:tcPr>
              <w:p w14:paraId="4CEF7DEA">
                <w:pPr>
                  <w:widowControl w:val="0"/>
                  <w:jc w:val="right"/>
                  <w:rPr>
                    <w:rFonts w:ascii="Arial Narrow" w:hAnsi="Arial Narrow" w:eastAsiaTheme="minorEastAsia"/>
                    <w:szCs w:val="21"/>
                  </w:rPr>
                </w:pPr>
              </w:p>
            </w:tc>
            <w:tc>
              <w:tcPr>
                <w:tcW w:w="1765" w:type="dxa"/>
              </w:tcPr>
              <w:p w14:paraId="1ABE4AC8">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7A84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5CA8A7D">
                <w:pPr>
                  <w:widowControl w:val="0"/>
                  <w:jc w:val="both"/>
                  <w:rPr>
                    <w:rFonts w:ascii="Arial Narrow" w:hAnsi="Arial Narrow" w:eastAsiaTheme="minorEastAsia"/>
                    <w:szCs w:val="21"/>
                  </w:rPr>
                </w:pPr>
                <w:r>
                  <w:rPr>
                    <w:rFonts w:ascii="Arial Narrow" w:hAnsi="Arial Narrow" w:eastAsiaTheme="minorEastAsia"/>
                    <w:szCs w:val="21"/>
                  </w:rPr>
                  <w:t>其他</w:t>
                </w:r>
              </w:p>
            </w:tc>
            <w:tc>
              <w:tcPr>
                <w:tcW w:w="1701" w:type="dxa"/>
                <w:vAlign w:val="center"/>
              </w:tcPr>
              <w:p w14:paraId="462F7E4E">
                <w:pPr>
                  <w:widowControl w:val="0"/>
                  <w:jc w:val="center"/>
                  <w:rPr>
                    <w:rFonts w:ascii="Arial Narrow" w:hAnsi="Arial Narrow" w:eastAsiaTheme="minorEastAsia"/>
                    <w:szCs w:val="21"/>
                  </w:rPr>
                </w:pPr>
                <w:r>
                  <w:rPr>
                    <w:rFonts w:ascii="Arial Narrow" w:hAnsi="Arial Narrow" w:eastAsiaTheme="minorEastAsia"/>
                    <w:szCs w:val="21"/>
                  </w:rPr>
                  <w:t>其他收益</w:t>
                </w:r>
              </w:p>
            </w:tc>
            <w:tc>
              <w:tcPr>
                <w:tcW w:w="1612" w:type="dxa"/>
                <w:vAlign w:val="center"/>
              </w:tcPr>
              <w:p w14:paraId="270D4636">
                <w:pPr>
                  <w:widowControl w:val="0"/>
                  <w:jc w:val="right"/>
                  <w:rPr>
                    <w:rFonts w:ascii="Arial Narrow" w:hAnsi="Arial Narrow" w:eastAsiaTheme="minorEastAsia"/>
                    <w:szCs w:val="21"/>
                  </w:rPr>
                </w:pPr>
                <w:r>
                  <w:rPr>
                    <w:rFonts w:ascii="Arial Narrow" w:hAnsi="Arial Narrow" w:eastAsiaTheme="minorEastAsia"/>
                    <w:szCs w:val="21"/>
                  </w:rPr>
                  <w:t>11,412,966.62</w:t>
                </w:r>
              </w:p>
            </w:tc>
            <w:tc>
              <w:tcPr>
                <w:tcW w:w="1765" w:type="dxa"/>
                <w:vAlign w:val="center"/>
              </w:tcPr>
              <w:p w14:paraId="434B5138">
                <w:pPr>
                  <w:widowControl w:val="0"/>
                  <w:jc w:val="right"/>
                  <w:rPr>
                    <w:rFonts w:ascii="Arial Narrow" w:hAnsi="Arial Narrow" w:eastAsiaTheme="minorEastAsia"/>
                    <w:szCs w:val="21"/>
                  </w:rPr>
                </w:pPr>
                <w:r>
                  <w:rPr>
                    <w:rFonts w:ascii="Arial Narrow" w:hAnsi="Arial Narrow" w:eastAsiaTheme="minorEastAsia"/>
                    <w:szCs w:val="21"/>
                  </w:rPr>
                  <w:t>17,795,534.65</w:t>
                </w:r>
              </w:p>
            </w:tc>
            <w:tc>
              <w:tcPr>
                <w:tcW w:w="1765" w:type="dxa"/>
              </w:tcPr>
              <w:p w14:paraId="3B77B5C0">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5F49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D0B2C49">
                <w:pPr>
                  <w:widowControl w:val="0"/>
                  <w:jc w:val="both"/>
                  <w:rPr>
                    <w:rFonts w:ascii="Arial Narrow" w:hAnsi="Arial Narrow" w:eastAsiaTheme="minorEastAsia"/>
                    <w:szCs w:val="21"/>
                  </w:rPr>
                </w:pPr>
                <w:r>
                  <w:rPr>
                    <w:rFonts w:ascii="Arial Narrow" w:hAnsi="Arial Narrow" w:eastAsiaTheme="minorEastAsia"/>
                    <w:szCs w:val="21"/>
                  </w:rPr>
                  <w:t>冲减成本费用的政府补助</w:t>
                </w:r>
              </w:p>
            </w:tc>
            <w:tc>
              <w:tcPr>
                <w:tcW w:w="1701" w:type="dxa"/>
                <w:vAlign w:val="center"/>
              </w:tcPr>
              <w:p w14:paraId="30AEF1F8">
                <w:pPr>
                  <w:widowControl w:val="0"/>
                  <w:jc w:val="center"/>
                  <w:rPr>
                    <w:rFonts w:ascii="Arial Narrow" w:hAnsi="Arial Narrow" w:eastAsiaTheme="minorEastAsia"/>
                    <w:szCs w:val="21"/>
                  </w:rPr>
                </w:pPr>
              </w:p>
            </w:tc>
            <w:tc>
              <w:tcPr>
                <w:tcW w:w="1612" w:type="dxa"/>
                <w:vAlign w:val="center"/>
              </w:tcPr>
              <w:p w14:paraId="42857DE7">
                <w:pPr>
                  <w:widowControl w:val="0"/>
                  <w:jc w:val="right"/>
                  <w:rPr>
                    <w:rFonts w:ascii="Arial Narrow" w:hAnsi="Arial Narrow" w:eastAsiaTheme="minorEastAsia"/>
                    <w:szCs w:val="21"/>
                  </w:rPr>
                </w:pPr>
              </w:p>
            </w:tc>
            <w:tc>
              <w:tcPr>
                <w:tcW w:w="1765" w:type="dxa"/>
                <w:vAlign w:val="center"/>
              </w:tcPr>
              <w:p w14:paraId="163BD359">
                <w:pPr>
                  <w:widowControl w:val="0"/>
                  <w:jc w:val="right"/>
                  <w:rPr>
                    <w:rFonts w:ascii="Arial Narrow" w:hAnsi="Arial Narrow" w:eastAsiaTheme="minorEastAsia"/>
                    <w:szCs w:val="21"/>
                  </w:rPr>
                </w:pPr>
              </w:p>
            </w:tc>
            <w:tc>
              <w:tcPr>
                <w:tcW w:w="1765" w:type="dxa"/>
              </w:tcPr>
              <w:p w14:paraId="1027BB4D">
                <w:pPr>
                  <w:widowControl w:val="0"/>
                  <w:jc w:val="both"/>
                  <w:rPr>
                    <w:rFonts w:ascii="Arial Narrow" w:hAnsi="Arial Narrow" w:eastAsiaTheme="minorEastAsia"/>
                    <w:szCs w:val="21"/>
                  </w:rPr>
                </w:pPr>
              </w:p>
            </w:tc>
          </w:tr>
          <w:tr w14:paraId="07D4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67A1B19">
                <w:pPr>
                  <w:widowControl w:val="0"/>
                  <w:jc w:val="both"/>
                  <w:rPr>
                    <w:rFonts w:ascii="Arial Narrow" w:hAnsi="Arial Narrow" w:eastAsiaTheme="minorEastAsia"/>
                    <w:szCs w:val="21"/>
                  </w:rPr>
                </w:pPr>
                <w:r>
                  <w:rPr>
                    <w:rFonts w:ascii="Arial Narrow" w:hAnsi="Arial Narrow" w:eastAsiaTheme="minorEastAsia"/>
                    <w:szCs w:val="21"/>
                  </w:rPr>
                  <w:t>镇热泵项目</w:t>
                </w:r>
              </w:p>
            </w:tc>
            <w:tc>
              <w:tcPr>
                <w:tcW w:w="1701" w:type="dxa"/>
                <w:vAlign w:val="center"/>
              </w:tcPr>
              <w:p w14:paraId="656E4407">
                <w:pPr>
                  <w:widowControl w:val="0"/>
                  <w:jc w:val="center"/>
                  <w:rPr>
                    <w:rFonts w:ascii="Arial Narrow" w:hAnsi="Arial Narrow" w:eastAsiaTheme="minorEastAsia"/>
                    <w:szCs w:val="21"/>
                  </w:rPr>
                </w:pPr>
                <w:r>
                  <w:rPr>
                    <w:rFonts w:ascii="Arial Narrow" w:hAnsi="Arial Narrow" w:eastAsiaTheme="minorEastAsia"/>
                    <w:szCs w:val="21"/>
                  </w:rPr>
                  <w:t>主营业务成本</w:t>
                </w:r>
              </w:p>
            </w:tc>
            <w:tc>
              <w:tcPr>
                <w:tcW w:w="1612" w:type="dxa"/>
                <w:vAlign w:val="center"/>
              </w:tcPr>
              <w:p w14:paraId="5234B85A">
                <w:pPr>
                  <w:widowControl w:val="0"/>
                  <w:jc w:val="right"/>
                  <w:rPr>
                    <w:rFonts w:ascii="Arial Narrow" w:hAnsi="Arial Narrow" w:eastAsiaTheme="minorEastAsia"/>
                    <w:szCs w:val="21"/>
                  </w:rPr>
                </w:pPr>
              </w:p>
            </w:tc>
            <w:tc>
              <w:tcPr>
                <w:tcW w:w="1765" w:type="dxa"/>
                <w:vAlign w:val="center"/>
              </w:tcPr>
              <w:p w14:paraId="4B913F8B">
                <w:pPr>
                  <w:widowControl w:val="0"/>
                  <w:jc w:val="right"/>
                  <w:rPr>
                    <w:rFonts w:ascii="Arial Narrow" w:hAnsi="Arial Narrow" w:eastAsiaTheme="minorEastAsia"/>
                    <w:szCs w:val="21"/>
                  </w:rPr>
                </w:pPr>
                <w:r>
                  <w:rPr>
                    <w:rFonts w:ascii="Arial Narrow" w:hAnsi="Arial Narrow" w:eastAsiaTheme="minorEastAsia"/>
                    <w:szCs w:val="21"/>
                  </w:rPr>
                  <w:t>5,523,333.55</w:t>
                </w:r>
              </w:p>
            </w:tc>
            <w:tc>
              <w:tcPr>
                <w:tcW w:w="1765" w:type="dxa"/>
              </w:tcPr>
              <w:p w14:paraId="1E3F9216">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5936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FF44A4D">
                <w:pPr>
                  <w:widowControl w:val="0"/>
                  <w:jc w:val="both"/>
                  <w:rPr>
                    <w:rFonts w:ascii="Arial Narrow" w:hAnsi="Arial Narrow" w:eastAsiaTheme="minorEastAsia"/>
                    <w:szCs w:val="21"/>
                  </w:rPr>
                </w:pPr>
                <w:r>
                  <w:rPr>
                    <w:rFonts w:ascii="Arial Narrow" w:hAnsi="Arial Narrow" w:eastAsiaTheme="minorEastAsia"/>
                    <w:szCs w:val="21"/>
                  </w:rPr>
                  <w:t>吉林省服务业发展专项资金</w:t>
                </w:r>
              </w:p>
            </w:tc>
            <w:tc>
              <w:tcPr>
                <w:tcW w:w="1701" w:type="dxa"/>
                <w:vAlign w:val="center"/>
              </w:tcPr>
              <w:p w14:paraId="09D36450">
                <w:pPr>
                  <w:widowControl w:val="0"/>
                  <w:jc w:val="center"/>
                  <w:rPr>
                    <w:rFonts w:ascii="Arial Narrow" w:hAnsi="Arial Narrow" w:eastAsiaTheme="minorEastAsia"/>
                    <w:szCs w:val="21"/>
                  </w:rPr>
                </w:pPr>
                <w:r>
                  <w:rPr>
                    <w:rFonts w:ascii="Arial Narrow" w:hAnsi="Arial Narrow" w:eastAsiaTheme="minorEastAsia"/>
                    <w:szCs w:val="21"/>
                  </w:rPr>
                  <w:t>管理费用</w:t>
                </w:r>
              </w:p>
            </w:tc>
            <w:tc>
              <w:tcPr>
                <w:tcW w:w="1612" w:type="dxa"/>
                <w:vAlign w:val="center"/>
              </w:tcPr>
              <w:p w14:paraId="0DBBF9C1">
                <w:pPr>
                  <w:widowControl w:val="0"/>
                  <w:jc w:val="right"/>
                  <w:rPr>
                    <w:rFonts w:ascii="Arial Narrow" w:hAnsi="Arial Narrow" w:eastAsiaTheme="minorEastAsia"/>
                    <w:szCs w:val="21"/>
                  </w:rPr>
                </w:pPr>
                <w:r>
                  <w:rPr>
                    <w:rFonts w:ascii="Arial Narrow" w:hAnsi="Arial Narrow" w:eastAsiaTheme="minorEastAsia"/>
                    <w:szCs w:val="21"/>
                  </w:rPr>
                  <w:t>50,000.00</w:t>
                </w:r>
              </w:p>
            </w:tc>
            <w:tc>
              <w:tcPr>
                <w:tcW w:w="1765" w:type="dxa"/>
                <w:vAlign w:val="center"/>
              </w:tcPr>
              <w:p w14:paraId="7F69066D">
                <w:pPr>
                  <w:widowControl w:val="0"/>
                  <w:jc w:val="right"/>
                  <w:rPr>
                    <w:rFonts w:ascii="Arial Narrow" w:hAnsi="Arial Narrow" w:eastAsiaTheme="minorEastAsia"/>
                    <w:szCs w:val="21"/>
                  </w:rPr>
                </w:pPr>
                <w:r>
                  <w:rPr>
                    <w:rFonts w:ascii="Arial Narrow" w:hAnsi="Arial Narrow" w:eastAsiaTheme="minorEastAsia"/>
                    <w:szCs w:val="21"/>
                  </w:rPr>
                  <w:t>50,000.00</w:t>
                </w:r>
              </w:p>
            </w:tc>
            <w:tc>
              <w:tcPr>
                <w:tcW w:w="1765" w:type="dxa"/>
              </w:tcPr>
              <w:p w14:paraId="7B286EF7">
                <w:pPr>
                  <w:widowControl w:val="0"/>
                  <w:jc w:val="both"/>
                  <w:rPr>
                    <w:rFonts w:ascii="Arial Narrow" w:hAnsi="Arial Narrow" w:eastAsiaTheme="minorEastAsia"/>
                    <w:szCs w:val="21"/>
                  </w:rPr>
                </w:pPr>
                <w:r>
                  <w:rPr>
                    <w:rFonts w:ascii="Arial Narrow" w:hAnsi="Arial Narrow" w:eastAsiaTheme="minorEastAsia"/>
                    <w:szCs w:val="21"/>
                  </w:rPr>
                  <w:t>与资产相关</w:t>
                </w:r>
              </w:p>
            </w:tc>
          </w:tr>
          <w:tr w14:paraId="5F2A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871442D">
                <w:pPr>
                  <w:widowControl w:val="0"/>
                  <w:jc w:val="both"/>
                  <w:rPr>
                    <w:rFonts w:ascii="Arial Narrow" w:hAnsi="Arial Narrow" w:eastAsiaTheme="minorEastAsia"/>
                    <w:szCs w:val="21"/>
                  </w:rPr>
                </w:pPr>
                <w:r>
                  <w:rPr>
                    <w:rFonts w:ascii="Arial Narrow" w:hAnsi="Arial Narrow" w:eastAsiaTheme="minorEastAsia"/>
                    <w:szCs w:val="21"/>
                  </w:rPr>
                  <w:t>财政贴息</w:t>
                </w:r>
              </w:p>
            </w:tc>
            <w:tc>
              <w:tcPr>
                <w:tcW w:w="1701" w:type="dxa"/>
                <w:vAlign w:val="center"/>
              </w:tcPr>
              <w:p w14:paraId="7C5127FE">
                <w:pPr>
                  <w:widowControl w:val="0"/>
                  <w:jc w:val="center"/>
                  <w:rPr>
                    <w:rFonts w:ascii="Arial Narrow" w:hAnsi="Arial Narrow" w:eastAsiaTheme="minorEastAsia"/>
                    <w:szCs w:val="21"/>
                  </w:rPr>
                </w:pPr>
                <w:r>
                  <w:rPr>
                    <w:rFonts w:ascii="Arial Narrow" w:hAnsi="Arial Narrow" w:eastAsiaTheme="minorEastAsia"/>
                    <w:szCs w:val="21"/>
                  </w:rPr>
                  <w:t>财务费用</w:t>
                </w:r>
              </w:p>
            </w:tc>
            <w:tc>
              <w:tcPr>
                <w:tcW w:w="1612" w:type="dxa"/>
                <w:vAlign w:val="center"/>
              </w:tcPr>
              <w:p w14:paraId="50783D93">
                <w:pPr>
                  <w:widowControl w:val="0"/>
                  <w:jc w:val="right"/>
                  <w:rPr>
                    <w:rFonts w:ascii="Arial Narrow" w:hAnsi="Arial Narrow" w:eastAsiaTheme="minorEastAsia"/>
                    <w:szCs w:val="21"/>
                  </w:rPr>
                </w:pPr>
                <w:r>
                  <w:rPr>
                    <w:rFonts w:ascii="Arial Narrow" w:hAnsi="Arial Narrow" w:eastAsiaTheme="minorEastAsia"/>
                    <w:szCs w:val="21"/>
                  </w:rPr>
                  <w:t>3,060,100.00</w:t>
                </w:r>
              </w:p>
            </w:tc>
            <w:tc>
              <w:tcPr>
                <w:tcW w:w="1765" w:type="dxa"/>
                <w:vAlign w:val="center"/>
              </w:tcPr>
              <w:p w14:paraId="2FDF0573">
                <w:pPr>
                  <w:widowControl w:val="0"/>
                  <w:jc w:val="right"/>
                  <w:rPr>
                    <w:rFonts w:ascii="Arial Narrow" w:hAnsi="Arial Narrow" w:eastAsiaTheme="minorEastAsia"/>
                    <w:szCs w:val="21"/>
                  </w:rPr>
                </w:pPr>
                <w:r>
                  <w:rPr>
                    <w:rFonts w:ascii="Arial Narrow" w:hAnsi="Arial Narrow" w:eastAsiaTheme="minorEastAsia"/>
                    <w:szCs w:val="21"/>
                  </w:rPr>
                  <w:t>362,000.00</w:t>
                </w:r>
              </w:p>
            </w:tc>
            <w:tc>
              <w:tcPr>
                <w:tcW w:w="1765" w:type="dxa"/>
              </w:tcPr>
              <w:p w14:paraId="19E0C67A">
                <w:pPr>
                  <w:widowControl w:val="0"/>
                  <w:jc w:val="both"/>
                  <w:rPr>
                    <w:rFonts w:ascii="Arial Narrow" w:hAnsi="Arial Narrow" w:eastAsiaTheme="minorEastAsia"/>
                    <w:szCs w:val="21"/>
                  </w:rPr>
                </w:pPr>
                <w:r>
                  <w:rPr>
                    <w:rFonts w:ascii="Arial Narrow" w:hAnsi="Arial Narrow" w:eastAsiaTheme="minorEastAsia"/>
                    <w:szCs w:val="21"/>
                  </w:rPr>
                  <w:t>与收益相关</w:t>
                </w:r>
              </w:p>
            </w:tc>
          </w:tr>
          <w:tr w14:paraId="3602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B8ED1D6">
                <w:pPr>
                  <w:widowControl w:val="0"/>
                  <w:jc w:val="center"/>
                  <w:rPr>
                    <w:rFonts w:ascii="Arial Narrow" w:hAnsi="Arial Narrow" w:eastAsiaTheme="minorEastAsia"/>
                    <w:szCs w:val="21"/>
                  </w:rPr>
                </w:pPr>
                <w:r>
                  <w:rPr>
                    <w:rFonts w:ascii="Arial Narrow" w:hAnsi="Arial Narrow" w:eastAsiaTheme="minorEastAsia"/>
                    <w:szCs w:val="21"/>
                  </w:rPr>
                  <w:t>合计数</w:t>
                </w:r>
              </w:p>
            </w:tc>
            <w:tc>
              <w:tcPr>
                <w:tcW w:w="1701" w:type="dxa"/>
                <w:vAlign w:val="center"/>
              </w:tcPr>
              <w:p w14:paraId="0114C5B4">
                <w:pPr>
                  <w:widowControl w:val="0"/>
                  <w:jc w:val="center"/>
                  <w:rPr>
                    <w:rFonts w:ascii="Arial Narrow" w:hAnsi="Arial Narrow" w:eastAsiaTheme="minorEastAsia"/>
                    <w:szCs w:val="21"/>
                  </w:rPr>
                </w:pPr>
              </w:p>
            </w:tc>
            <w:tc>
              <w:tcPr>
                <w:tcW w:w="1612" w:type="dxa"/>
                <w:vAlign w:val="center"/>
              </w:tcPr>
              <w:p w14:paraId="14F13E65">
                <w:pPr>
                  <w:widowControl w:val="0"/>
                  <w:jc w:val="right"/>
                  <w:rPr>
                    <w:rFonts w:ascii="Arial Narrow" w:hAnsi="Arial Narrow" w:eastAsiaTheme="minorEastAsia"/>
                    <w:szCs w:val="21"/>
                  </w:rPr>
                </w:pPr>
                <w:r>
                  <w:rPr>
                    <w:rFonts w:ascii="Arial Narrow" w:hAnsi="Arial Narrow" w:eastAsiaTheme="minorEastAsia"/>
                    <w:szCs w:val="21"/>
                  </w:rPr>
                  <w:t>30,393,064.22</w:t>
                </w:r>
              </w:p>
            </w:tc>
            <w:tc>
              <w:tcPr>
                <w:tcW w:w="1765" w:type="dxa"/>
                <w:vAlign w:val="center"/>
              </w:tcPr>
              <w:p w14:paraId="05F35E6C">
                <w:pPr>
                  <w:widowControl w:val="0"/>
                  <w:jc w:val="right"/>
                  <w:rPr>
                    <w:rFonts w:ascii="Arial Narrow" w:hAnsi="Arial Narrow" w:eastAsiaTheme="minorEastAsia"/>
                    <w:szCs w:val="21"/>
                  </w:rPr>
                </w:pPr>
                <w:r>
                  <w:rPr>
                    <w:rFonts w:ascii="Arial Narrow" w:hAnsi="Arial Narrow" w:eastAsiaTheme="minorEastAsia"/>
                    <w:szCs w:val="21"/>
                  </w:rPr>
                  <w:t>96,142,731.89</w:t>
                </w:r>
              </w:p>
            </w:tc>
            <w:tc>
              <w:tcPr>
                <w:tcW w:w="1765" w:type="dxa"/>
              </w:tcPr>
              <w:p w14:paraId="6479F6EA">
                <w:pPr>
                  <w:widowControl w:val="0"/>
                  <w:jc w:val="both"/>
                  <w:rPr>
                    <w:rFonts w:ascii="Arial Narrow" w:hAnsi="Arial Narrow" w:eastAsiaTheme="minorEastAsia"/>
                    <w:szCs w:val="21"/>
                  </w:rPr>
                </w:pPr>
              </w:p>
            </w:tc>
          </w:tr>
        </w:tbl>
        <w:p w14:paraId="06CD4A6D">
          <w:pPr>
            <w:rPr>
              <w:rFonts w:hint="eastAsia"/>
            </w:rPr>
          </w:pPr>
        </w:p>
      </w:sdtContent>
    </w:sdt>
    <w:p w14:paraId="0CACE469">
      <w:pPr>
        <w:rPr>
          <w:rFonts w:hint="eastAsia"/>
        </w:rPr>
      </w:pPr>
    </w:p>
    <w:bookmarkEnd w:id="386"/>
    <w:p w14:paraId="5FC33515">
      <w:pPr>
        <w:pStyle w:val="69"/>
        <w:numPr>
          <w:ilvl w:val="0"/>
          <w:numId w:val="87"/>
        </w:numPr>
        <w:rPr>
          <w:rFonts w:hint="eastAsia" w:ascii="宋体" w:hAnsi="宋体"/>
        </w:rPr>
      </w:pPr>
      <w:r>
        <w:rPr>
          <w:rFonts w:hint="eastAsia"/>
        </w:rPr>
        <w:t>与金融工具相关的风险</w:t>
      </w:r>
    </w:p>
    <w:p w14:paraId="5ED85585">
      <w:pPr>
        <w:pStyle w:val="70"/>
        <w:numPr>
          <w:ilvl w:val="0"/>
          <w:numId w:val="159"/>
        </w:numPr>
      </w:pPr>
      <w:r>
        <w:rPr>
          <w:rFonts w:hint="eastAsia"/>
        </w:rPr>
        <w:t>金融工具的风险</w:t>
      </w:r>
    </w:p>
    <w:sdt>
      <w:sdtPr>
        <w:alias w:val="是否适用：与金融工具相关的风险[双击切换]"/>
        <w:tag w:val="_GBC_2be38aac6aaa4945a48be2cdc11eaaf6"/>
        <w:id w:val="2030677098"/>
        <w:placeholder>
          <w:docPart w:val="GBC22222222222222222222222222222"/>
        </w:placeholder>
      </w:sdtPr>
      <w:sdtContent>
        <w:p w14:paraId="7209FE5E">
          <w:pPr>
            <w:rPr>
              <w:rFonts w:hint="eastAsia"/>
              <w:b/>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47046ED">
      <w:pPr>
        <w:rPr>
          <w:rFonts w:hint="eastAsia"/>
        </w:rPr>
      </w:pPr>
    </w:p>
    <w:p w14:paraId="625D9F6D">
      <w:pPr>
        <w:pStyle w:val="70"/>
        <w:numPr>
          <w:ilvl w:val="0"/>
          <w:numId w:val="159"/>
        </w:numPr>
      </w:pPr>
      <w:r>
        <w:rPr>
          <w:rFonts w:hint="eastAsia"/>
        </w:rPr>
        <w:t>套期</w:t>
      </w:r>
    </w:p>
    <w:p w14:paraId="3CBA14AE">
      <w:pPr>
        <w:pStyle w:val="71"/>
        <w:numPr>
          <w:ilvl w:val="0"/>
          <w:numId w:val="160"/>
        </w:numPr>
        <w:ind w:left="0" w:firstLine="0"/>
        <w:rPr>
          <w:rFonts w:hint="eastAsia"/>
        </w:rPr>
      </w:pPr>
      <w:r>
        <w:rPr>
          <w:rFonts w:hint="eastAsia"/>
        </w:rPr>
        <w:t>公司开展套期业务进行风险管理</w:t>
      </w:r>
    </w:p>
    <w:sdt>
      <w:sdtPr>
        <w:alias w:val="是否适用：公司开展套期业务进行风险管理情况[双击切换]"/>
        <w:tag w:val="_GBC_71d11701ff3e412981460bc27e88a1b5"/>
        <w:id w:val="-1205097735"/>
        <w:placeholder>
          <w:docPart w:val="GBC22222222222222222222222222222"/>
        </w:placeholder>
      </w:sdtPr>
      <w:sdtContent>
        <w:p w14:paraId="614FB1D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F8E07D2">
      <w:pPr>
        <w:rPr>
          <w:rFonts w:hint="eastAsia"/>
        </w:rPr>
      </w:pPr>
    </w:p>
    <w:p w14:paraId="4966AC1F">
      <w:pPr>
        <w:rPr>
          <w:rFonts w:hint="eastAsia"/>
        </w:rPr>
      </w:pPr>
      <w:r>
        <w:rPr>
          <w:rFonts w:hint="eastAsia"/>
        </w:rPr>
        <w:t>其他说明：</w:t>
      </w:r>
    </w:p>
    <w:sdt>
      <w:sdtPr>
        <w:alias w:val="是否适用：公司开展套期业务进行风险管理的其他说明[双击切换]"/>
        <w:tag w:val="_GBC_bc39ee99cbfc4e469ac321509f461420"/>
        <w:id w:val="-2083677130"/>
        <w:placeholder>
          <w:docPart w:val="GBC22222222222222222222222222222"/>
        </w:placeholder>
      </w:sdtPr>
      <w:sdtContent>
        <w:p w14:paraId="4B29CE4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DDAD72E">
      <w:pPr>
        <w:rPr>
          <w:rFonts w:hint="eastAsia"/>
          <w:color w:val="808080"/>
          <w:szCs w:val="21"/>
        </w:rPr>
      </w:pPr>
    </w:p>
    <w:p w14:paraId="6F7DCD56">
      <w:pPr>
        <w:pStyle w:val="71"/>
        <w:numPr>
          <w:ilvl w:val="0"/>
          <w:numId w:val="160"/>
        </w:numPr>
        <w:ind w:left="0" w:firstLine="0"/>
        <w:rPr>
          <w:rFonts w:hint="eastAsia"/>
        </w:rPr>
      </w:pPr>
      <w:r>
        <w:rPr>
          <w:rFonts w:hint="eastAsia"/>
        </w:rPr>
        <w:t>公司开展符合条件套期业务并应用套期会计</w:t>
      </w:r>
    </w:p>
    <w:sdt>
      <w:sdtPr>
        <w:alias w:val="是否适用：公司开展符合条件套期业务并应用套期会计情况[双击切换]"/>
        <w:tag w:val="_GBC_346f997d46464bdda5750bdd43495d02"/>
        <w:id w:val="706990059"/>
        <w:placeholder>
          <w:docPart w:val="GBC22222222222222222222222222222"/>
        </w:placeholder>
      </w:sdtPr>
      <w:sdtContent>
        <w:p w14:paraId="141335D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221A4D5">
      <w:pPr>
        <w:rPr>
          <w:rFonts w:hint="eastAsia"/>
          <w:color w:val="808080"/>
          <w:szCs w:val="21"/>
        </w:rPr>
      </w:pPr>
    </w:p>
    <w:p w14:paraId="40062B30">
      <w:pPr>
        <w:rPr>
          <w:rFonts w:hint="eastAsia"/>
        </w:rPr>
      </w:pPr>
      <w:r>
        <w:rPr>
          <w:rFonts w:hint="eastAsia"/>
        </w:rPr>
        <w:t>其他说明：</w:t>
      </w:r>
    </w:p>
    <w:sdt>
      <w:sdtPr>
        <w:alias w:val="是否适用：公司开展符合条件套期业务并应用套期会计情况的其他说明[双击切换]"/>
        <w:tag w:val="_GBC_7f3675a931be4fe0b3ba0ed19f75108a"/>
        <w:id w:val="-711737664"/>
        <w:placeholder>
          <w:docPart w:val="GBC22222222222222222222222222222"/>
        </w:placeholder>
      </w:sdtPr>
      <w:sdtContent>
        <w:p w14:paraId="529B175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2DB1383">
      <w:pPr>
        <w:rPr>
          <w:rFonts w:hint="eastAsia"/>
          <w:color w:val="808080"/>
          <w:szCs w:val="21"/>
        </w:rPr>
      </w:pPr>
    </w:p>
    <w:p w14:paraId="49885730">
      <w:pPr>
        <w:pStyle w:val="71"/>
        <w:numPr>
          <w:ilvl w:val="0"/>
          <w:numId w:val="160"/>
        </w:numPr>
        <w:ind w:left="0" w:firstLine="0"/>
        <w:rPr>
          <w:rFonts w:hint="eastAsia"/>
        </w:rPr>
      </w:pPr>
      <w:r>
        <w:rPr>
          <w:rFonts w:hint="eastAsia"/>
        </w:rPr>
        <w:t>公司开展套期业务进行风险管理、预期能实现风险管理目标但未应用套期会计</w:t>
      </w:r>
    </w:p>
    <w:sdt>
      <w:sdtPr>
        <w:alias w:val="是否适用：公司开展套期业务进行风险管理、预期能实现风险管理目标但未应用套期会计[双击切换]"/>
        <w:tag w:val="_GBC_a8e3b34e51d64b48bca9359ee5d1c683"/>
        <w:id w:val="735448327"/>
        <w:placeholder>
          <w:docPart w:val="GBC22222222222222222222222222222"/>
        </w:placeholder>
      </w:sdtPr>
      <w:sdtContent>
        <w:p w14:paraId="5665701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9986FD6">
      <w:pPr>
        <w:rPr>
          <w:rFonts w:hint="eastAsia"/>
        </w:rPr>
      </w:pPr>
    </w:p>
    <w:p w14:paraId="0C88FB92">
      <w:pPr>
        <w:rPr>
          <w:rFonts w:hint="eastAsia"/>
        </w:rPr>
      </w:pPr>
      <w:r>
        <w:rPr>
          <w:rFonts w:hint="eastAsia"/>
        </w:rPr>
        <w:t>其他说明：</w:t>
      </w:r>
    </w:p>
    <w:sdt>
      <w:sdtPr>
        <w:alias w:val="是否适用：公司开展套期业务进行风险管理、预期能实现风险管理目标但未应用套期会计的其他说明[双击切换]"/>
        <w:tag w:val="_GBC_7e60464ee1bf40b8b1d2fa0c0e7df1e4"/>
        <w:id w:val="255256252"/>
        <w:placeholder>
          <w:docPart w:val="GBC22222222222222222222222222222"/>
        </w:placeholder>
      </w:sdtPr>
      <w:sdtContent>
        <w:p w14:paraId="549BC69C">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71F3219">
      <w:pPr>
        <w:rPr>
          <w:rFonts w:hint="eastAsia"/>
          <w:color w:val="808080"/>
          <w:szCs w:val="21"/>
        </w:rPr>
      </w:pPr>
    </w:p>
    <w:p w14:paraId="02D1EAB6">
      <w:pPr>
        <w:pStyle w:val="70"/>
        <w:numPr>
          <w:ilvl w:val="0"/>
          <w:numId w:val="159"/>
        </w:numPr>
      </w:pPr>
      <w:r>
        <w:rPr>
          <w:rFonts w:hint="eastAsia"/>
        </w:rPr>
        <w:t>金融资产转移</w:t>
      </w:r>
    </w:p>
    <w:p w14:paraId="4A2604E2">
      <w:pPr>
        <w:pStyle w:val="71"/>
        <w:numPr>
          <w:ilvl w:val="0"/>
          <w:numId w:val="161"/>
        </w:numPr>
        <w:ind w:left="425" w:hanging="425"/>
        <w:rPr>
          <w:rFonts w:hint="eastAsia"/>
        </w:rPr>
      </w:pPr>
      <w:bookmarkStart w:id="387" w:name="_Hlk153550670"/>
      <w:r>
        <w:rPr>
          <w:rFonts w:hint="eastAsia"/>
        </w:rPr>
        <w:t>转移方式分类</w:t>
      </w:r>
    </w:p>
    <w:sdt>
      <w:sdtPr>
        <w:alias w:val="是否适用：转移方式分类[双击切换]"/>
        <w:tag w:val="_GBC_ff6f967e629c4a6b934da2a3f33a107d"/>
        <w:id w:val="706616594"/>
        <w:placeholder>
          <w:docPart w:val="GBC22222222222222222222222222222"/>
        </w:placeholder>
      </w:sdtPr>
      <w:sdtContent>
        <w:p w14:paraId="43E50B0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3E6E7BC">
      <w:pPr>
        <w:rPr>
          <w:rFonts w:hint="eastAsia"/>
          <w:color w:val="808080"/>
          <w:szCs w:val="21"/>
        </w:rPr>
      </w:pPr>
    </w:p>
    <w:bookmarkEnd w:id="387"/>
    <w:p w14:paraId="44E61F68">
      <w:pPr>
        <w:pStyle w:val="71"/>
        <w:numPr>
          <w:ilvl w:val="0"/>
          <w:numId w:val="161"/>
        </w:numPr>
        <w:ind w:left="425" w:hanging="425"/>
        <w:rPr>
          <w:rFonts w:hint="eastAsia"/>
        </w:rPr>
      </w:pPr>
      <w:r>
        <w:rPr>
          <w:rFonts w:hint="eastAsia"/>
        </w:rPr>
        <w:t>因转移而终止确认的金融资产</w:t>
      </w:r>
    </w:p>
    <w:sdt>
      <w:sdtPr>
        <w:rPr>
          <w:rFonts w:hint="eastAsia"/>
        </w:rPr>
        <w:alias w:val="是否适用：因转移而终止确认的金融资产[双击切换]"/>
        <w:tag w:val="_GBC_9fb1347e32aa4376959cf58d1383255a"/>
        <w:id w:val="2039552093"/>
        <w:placeholder>
          <w:docPart w:val="GBC22222222222222222222222222222"/>
        </w:placeholder>
      </w:sdtPr>
      <w:sdtEndPr>
        <w:rPr>
          <w:rFonts w:hint="eastAsia"/>
        </w:rPr>
      </w:sdtEndPr>
      <w:sdtContent>
        <w:p w14:paraId="08F3ACC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9224A2A">
      <w:pPr>
        <w:rPr>
          <w:rFonts w:hint="eastAsia"/>
          <w:color w:val="808080"/>
          <w:szCs w:val="21"/>
        </w:rPr>
      </w:pPr>
    </w:p>
    <w:p w14:paraId="07393774">
      <w:pPr>
        <w:pStyle w:val="71"/>
        <w:numPr>
          <w:ilvl w:val="0"/>
          <w:numId w:val="161"/>
        </w:numPr>
        <w:ind w:left="425" w:hanging="425"/>
        <w:rPr>
          <w:rFonts w:hint="eastAsia"/>
        </w:rPr>
      </w:pPr>
      <w:r>
        <w:rPr>
          <w:rFonts w:hint="eastAsia"/>
        </w:rPr>
        <w:t>继续涉入的转移金融资产</w:t>
      </w:r>
    </w:p>
    <w:sdt>
      <w:sdtPr>
        <w:alias w:val="是否适用：继续涉入的转移金融资产[双击切换]"/>
        <w:tag w:val="_GBC_b604f7fddde64fe6935f4995b9a88a21"/>
        <w:id w:val="-472438026"/>
        <w:placeholder>
          <w:docPart w:val="GBC22222222222222222222222222222"/>
        </w:placeholder>
      </w:sdtPr>
      <w:sdtContent>
        <w:p w14:paraId="5181D18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A73E6B1">
      <w:pPr>
        <w:rPr>
          <w:rFonts w:hint="eastAsia"/>
          <w:b/>
          <w:bCs/>
          <w:color w:val="808080"/>
          <w:szCs w:val="21"/>
        </w:rPr>
      </w:pPr>
    </w:p>
    <w:p w14:paraId="7C4EFE67">
      <w:pPr>
        <w:rPr>
          <w:rFonts w:hint="eastAsia"/>
        </w:rPr>
      </w:pPr>
      <w:r>
        <w:rPr>
          <w:rFonts w:hint="eastAsia"/>
        </w:rPr>
        <w:t>其他说明：</w:t>
      </w:r>
    </w:p>
    <w:sdt>
      <w:sdtPr>
        <w:alias w:val="是否适用：金融资产转移其他说明[双击切换]"/>
        <w:tag w:val="_GBC_205480d73c8a413b9678dd4798b26763"/>
        <w:id w:val="1704594041"/>
        <w:placeholder>
          <w:docPart w:val="GBC22222222222222222222222222222"/>
        </w:placeholder>
      </w:sdtPr>
      <w:sdtContent>
        <w:p w14:paraId="19257608">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D2DC6C7">
      <w:pPr>
        <w:rPr>
          <w:rFonts w:hint="eastAsia"/>
          <w:color w:val="808080"/>
          <w:szCs w:val="21"/>
        </w:rPr>
      </w:pPr>
    </w:p>
    <w:p w14:paraId="702FB122">
      <w:pPr>
        <w:pStyle w:val="69"/>
        <w:numPr>
          <w:ilvl w:val="0"/>
          <w:numId w:val="87"/>
        </w:numPr>
        <w:rPr>
          <w:rFonts w:hint="eastAsia" w:ascii="宋体" w:hAnsi="宋体"/>
        </w:rPr>
      </w:pPr>
      <w:r>
        <w:rPr>
          <w:rFonts w:hint="eastAsia"/>
        </w:rPr>
        <w:t>公允价值的披露</w:t>
      </w:r>
    </w:p>
    <w:p w14:paraId="70AB5451">
      <w:pPr>
        <w:pStyle w:val="70"/>
        <w:numPr>
          <w:ilvl w:val="0"/>
          <w:numId w:val="162"/>
        </w:numPr>
      </w:pPr>
      <w:bookmarkStart w:id="388" w:name="_Hlk10539195"/>
      <w:bookmarkStart w:id="389" w:name="_Hlk24030209"/>
      <w:r>
        <w:rPr>
          <w:rFonts w:hint="eastAsia"/>
        </w:rPr>
        <w:t>以公允价值计量的资产和负债的期末公允价值</w:t>
      </w:r>
    </w:p>
    <w:sdt>
      <w:sdtPr>
        <w:alias w:val="是否适用：以公允价值计量的资产和负债的期末公允价值[双击切换]"/>
        <w:tag w:val="_GBC_6fbb4bafbfc548fdbb4a25b91f07bd6a"/>
        <w:id w:val="10424958"/>
        <w:placeholder>
          <w:docPart w:val="GBC22222222222222222222222222222"/>
        </w:placeholder>
      </w:sdtPr>
      <w:sdtContent>
        <w:p w14:paraId="77CEA813">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12DC75">
      <w:pPr>
        <w:jc w:val="right"/>
        <w:rPr>
          <w:rFonts w:hint="eastAsia"/>
        </w:rPr>
      </w:pPr>
      <w:r>
        <w:rPr>
          <w:rFonts w:hint="eastAsia"/>
        </w:rPr>
        <w:t>单位：</w:t>
      </w:r>
      <w:sdt>
        <w:sdtPr>
          <w:rPr>
            <w:rFonts w:hint="eastAsia"/>
          </w:rPr>
          <w:alias w:val="单位：财务附注：以公允价值计量的资产和负债的期末公允价值"/>
          <w:tag w:val="_GBC_2c45ed0b719e4292b6389023b9ce1031"/>
          <w:id w:val="-11509795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4c0658ced5d64a5f80dc11bb84ac9dbd"/>
          <w:id w:val="-2313924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bookmarkEnd w:id="388"/>
    <w:bookmarkEnd w:id="389"/>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6"/>
        <w:gridCol w:w="2737"/>
        <w:gridCol w:w="2740"/>
      </w:tblGrid>
      <w:tr w14:paraId="1236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sdt>
          <w:sdtPr>
            <w:rPr>
              <w:rFonts w:ascii="Arial Narrow" w:hAnsi="Arial Narrow" w:eastAsiaTheme="minorEastAsia"/>
              <w:szCs w:val="21"/>
            </w:rPr>
            <w:tag w:val="_PLD_163e93b7c897498dae37bc5c38a11afe"/>
            <w:id w:val="-1800225036"/>
          </w:sdtPr>
          <w:sdtEndPr>
            <w:rPr>
              <w:rFonts w:ascii="Arial Narrow" w:hAnsi="Arial Narrow" w:eastAsiaTheme="minorEastAsia"/>
              <w:szCs w:val="21"/>
            </w:rPr>
          </w:sdtEndPr>
          <w:sdtContent>
            <w:tc>
              <w:tcPr>
                <w:tcW w:w="1896" w:type="pct"/>
                <w:vMerge w:val="restart"/>
                <w:tcBorders>
                  <w:top w:val="single" w:color="auto" w:sz="4" w:space="0"/>
                  <w:left w:val="single" w:color="auto" w:sz="4" w:space="0"/>
                  <w:right w:val="single" w:color="auto" w:sz="4" w:space="0"/>
                </w:tcBorders>
                <w:shd w:val="clear" w:color="auto" w:fill="auto"/>
                <w:vAlign w:val="center"/>
              </w:tcPr>
              <w:p w14:paraId="309F352C">
                <w:pPr>
                  <w:jc w:val="center"/>
                  <w:outlineLvl w:val="2"/>
                  <w:rPr>
                    <w:rFonts w:ascii="Arial Narrow" w:hAnsi="Arial Narrow" w:cs="Cambria" w:eastAsiaTheme="minorEastAsia"/>
                    <w:szCs w:val="21"/>
                  </w:rPr>
                </w:pPr>
                <w:r>
                  <w:rPr>
                    <w:rFonts w:ascii="Arial Narrow" w:hAnsi="Arial Narrow" w:cs="Cambria" w:eastAsiaTheme="minorEastAsia"/>
                    <w:szCs w:val="21"/>
                  </w:rPr>
                  <w:t>项目</w:t>
                </w:r>
              </w:p>
            </w:tc>
          </w:sdtContent>
        </w:sdt>
        <w:sdt>
          <w:sdtPr>
            <w:rPr>
              <w:rFonts w:ascii="Arial Narrow" w:hAnsi="Arial Narrow" w:eastAsiaTheme="minorEastAsia"/>
              <w:szCs w:val="21"/>
            </w:rPr>
            <w:tag w:val="_PLD_b8bd62f651414617bea8612c55db30ce"/>
            <w:id w:val="241304018"/>
          </w:sdtPr>
          <w:sdtEndPr>
            <w:rPr>
              <w:rFonts w:ascii="Arial Narrow" w:hAnsi="Arial Narrow" w:eastAsiaTheme="minorEastAsia"/>
              <w:szCs w:val="21"/>
            </w:rPr>
          </w:sdtEndPr>
          <w:sdtContent>
            <w:tc>
              <w:tcPr>
                <w:tcW w:w="310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C79899">
                <w:pPr>
                  <w:jc w:val="center"/>
                  <w:outlineLvl w:val="2"/>
                  <w:rPr>
                    <w:rFonts w:ascii="Arial Narrow" w:hAnsi="Arial Narrow" w:cs="Cambria" w:eastAsiaTheme="minorEastAsia"/>
                    <w:szCs w:val="21"/>
                  </w:rPr>
                </w:pPr>
                <w:r>
                  <w:rPr>
                    <w:rFonts w:ascii="Arial Narrow" w:hAnsi="Arial Narrow" w:cs="Cambria" w:eastAsiaTheme="minorEastAsia"/>
                    <w:szCs w:val="21"/>
                  </w:rPr>
                  <w:t>期末公允价值</w:t>
                </w:r>
              </w:p>
            </w:tc>
          </w:sdtContent>
        </w:sdt>
      </w:tr>
      <w:tr w14:paraId="4E29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896" w:type="pct"/>
            <w:vMerge w:val="continue"/>
            <w:tcBorders>
              <w:left w:val="single" w:color="auto" w:sz="4" w:space="0"/>
              <w:bottom w:val="single" w:color="auto" w:sz="4" w:space="0"/>
              <w:right w:val="single" w:color="auto" w:sz="4" w:space="0"/>
            </w:tcBorders>
            <w:shd w:val="clear" w:color="auto" w:fill="auto"/>
            <w:vAlign w:val="center"/>
          </w:tcPr>
          <w:p w14:paraId="3DCDF5CF">
            <w:pPr>
              <w:jc w:val="center"/>
              <w:outlineLvl w:val="2"/>
              <w:rPr>
                <w:rFonts w:ascii="Arial Narrow" w:hAnsi="Arial Narrow" w:cs="Cambria" w:eastAsiaTheme="minorEastAsia"/>
                <w:szCs w:val="21"/>
              </w:rPr>
            </w:pPr>
          </w:p>
        </w:tc>
        <w:sdt>
          <w:sdtPr>
            <w:rPr>
              <w:rFonts w:ascii="Arial Narrow" w:hAnsi="Arial Narrow" w:eastAsiaTheme="minorEastAsia"/>
              <w:szCs w:val="21"/>
            </w:rPr>
            <w:tag w:val="_PLD_4cb787262d4b4096b0d321ac48721dd2"/>
            <w:id w:val="1049575106"/>
          </w:sdtPr>
          <w:sdtEndPr>
            <w:rPr>
              <w:rFonts w:ascii="Arial Narrow" w:hAnsi="Arial Narrow" w:eastAsiaTheme="minorEastAsia"/>
              <w:szCs w:val="21"/>
            </w:rPr>
          </w:sdtEndPr>
          <w:sdtContent>
            <w:tc>
              <w:tcPr>
                <w:tcW w:w="1551" w:type="pct"/>
                <w:tcBorders>
                  <w:top w:val="single" w:color="auto" w:sz="4" w:space="0"/>
                  <w:left w:val="single" w:color="auto" w:sz="4" w:space="0"/>
                  <w:bottom w:val="single" w:color="auto" w:sz="4" w:space="0"/>
                  <w:right w:val="single" w:color="auto" w:sz="4" w:space="0"/>
                </w:tcBorders>
                <w:shd w:val="clear" w:color="auto" w:fill="auto"/>
                <w:vAlign w:val="center"/>
              </w:tcPr>
              <w:p w14:paraId="215BEAC1">
                <w:pPr>
                  <w:jc w:val="center"/>
                  <w:outlineLvl w:val="2"/>
                  <w:rPr>
                    <w:rFonts w:ascii="Arial Narrow" w:hAnsi="Arial Narrow" w:cs="Cambria" w:eastAsiaTheme="minorEastAsia"/>
                    <w:szCs w:val="21"/>
                  </w:rPr>
                </w:pPr>
                <w:r>
                  <w:rPr>
                    <w:rFonts w:ascii="Arial Narrow" w:hAnsi="Arial Narrow" w:cs="Cambria" w:eastAsiaTheme="minorEastAsia"/>
                    <w:szCs w:val="21"/>
                  </w:rPr>
                  <w:t>第三层次公允价值计量</w:t>
                </w:r>
              </w:p>
            </w:tc>
          </w:sdtContent>
        </w:sdt>
        <w:sdt>
          <w:sdtPr>
            <w:rPr>
              <w:rFonts w:ascii="Arial Narrow" w:hAnsi="Arial Narrow" w:eastAsiaTheme="minorEastAsia"/>
              <w:szCs w:val="21"/>
            </w:rPr>
            <w:tag w:val="_PLD_fb89c54d0c8e4fe2990587a96b78b5ca"/>
            <w:id w:val="-477150571"/>
          </w:sdtPr>
          <w:sdtEndPr>
            <w:rPr>
              <w:rFonts w:ascii="Arial Narrow" w:hAnsi="Arial Narrow" w:eastAsiaTheme="minorEastAsia"/>
              <w:szCs w:val="21"/>
            </w:rPr>
          </w:sdtEndPr>
          <w:sdtContent>
            <w:tc>
              <w:tcPr>
                <w:tcW w:w="1553" w:type="pct"/>
                <w:tcBorders>
                  <w:top w:val="single" w:color="auto" w:sz="4" w:space="0"/>
                  <w:left w:val="single" w:color="auto" w:sz="4" w:space="0"/>
                  <w:bottom w:val="single" w:color="auto" w:sz="4" w:space="0"/>
                  <w:right w:val="single" w:color="auto" w:sz="4" w:space="0"/>
                </w:tcBorders>
                <w:shd w:val="clear" w:color="auto" w:fill="auto"/>
                <w:vAlign w:val="center"/>
              </w:tcPr>
              <w:p w14:paraId="5E49BECF">
                <w:pPr>
                  <w:jc w:val="center"/>
                  <w:outlineLvl w:val="2"/>
                  <w:rPr>
                    <w:rFonts w:ascii="Arial Narrow" w:hAnsi="Arial Narrow" w:cs="Cambria" w:eastAsiaTheme="minorEastAsia"/>
                    <w:szCs w:val="21"/>
                  </w:rPr>
                </w:pPr>
                <w:r>
                  <w:rPr>
                    <w:rFonts w:ascii="Arial Narrow" w:hAnsi="Arial Narrow" w:cs="Cambria" w:eastAsiaTheme="minorEastAsia"/>
                    <w:szCs w:val="21"/>
                  </w:rPr>
                  <w:t>合计</w:t>
                </w:r>
              </w:p>
            </w:tc>
          </w:sdtContent>
        </w:sdt>
      </w:tr>
      <w:tr w14:paraId="319D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3BDF38CB">
            <w:pPr>
              <w:outlineLvl w:val="2"/>
              <w:rPr>
                <w:rFonts w:ascii="Arial Narrow" w:hAnsi="Arial Narrow" w:cs="Cambria" w:eastAsiaTheme="minorEastAsia"/>
                <w:b/>
                <w:szCs w:val="21"/>
              </w:rPr>
            </w:pPr>
            <w:r>
              <w:rPr>
                <w:rFonts w:ascii="Arial Narrow" w:hAnsi="Arial Narrow" w:cs="Cambria" w:eastAsiaTheme="minorEastAsia"/>
                <w:b/>
                <w:szCs w:val="21"/>
              </w:rPr>
              <w:t>一、持续的公允价值计量</w:t>
            </w:r>
          </w:p>
        </w:tc>
        <w:tc>
          <w:tcPr>
            <w:tcW w:w="1551" w:type="pct"/>
            <w:tcBorders>
              <w:top w:val="single" w:color="auto" w:sz="4" w:space="0"/>
              <w:left w:val="single" w:color="auto" w:sz="4" w:space="0"/>
              <w:bottom w:val="single" w:color="auto" w:sz="4" w:space="0"/>
              <w:right w:val="single" w:color="auto" w:sz="4" w:space="0"/>
            </w:tcBorders>
            <w:vAlign w:val="center"/>
          </w:tcPr>
          <w:p w14:paraId="7D928AA0">
            <w:pPr>
              <w:jc w:val="right"/>
              <w:outlineLvl w:val="2"/>
              <w:rPr>
                <w:rFonts w:ascii="Arial Narrow" w:hAnsi="Arial Narrow" w:cs="Cambria" w:eastAsiaTheme="minorEastAsia"/>
                <w:szCs w:val="21"/>
              </w:rPr>
            </w:pPr>
          </w:p>
        </w:tc>
        <w:tc>
          <w:tcPr>
            <w:tcW w:w="1553" w:type="pct"/>
            <w:tcBorders>
              <w:top w:val="single" w:color="auto" w:sz="4" w:space="0"/>
              <w:left w:val="single" w:color="auto" w:sz="4" w:space="0"/>
              <w:bottom w:val="single" w:color="auto" w:sz="4" w:space="0"/>
              <w:right w:val="single" w:color="auto" w:sz="4" w:space="0"/>
            </w:tcBorders>
            <w:vAlign w:val="center"/>
          </w:tcPr>
          <w:p w14:paraId="79DD15E1">
            <w:pPr>
              <w:jc w:val="right"/>
              <w:outlineLvl w:val="2"/>
              <w:rPr>
                <w:rFonts w:ascii="Arial Narrow" w:hAnsi="Arial Narrow" w:cs="Cambria" w:eastAsiaTheme="minorEastAsia"/>
                <w:szCs w:val="21"/>
              </w:rPr>
            </w:pPr>
          </w:p>
        </w:tc>
      </w:tr>
      <w:tr w14:paraId="5C87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7D611C2C">
            <w:pPr>
              <w:outlineLvl w:val="2"/>
              <w:rPr>
                <w:rFonts w:ascii="Arial Narrow" w:hAnsi="Arial Narrow" w:eastAsiaTheme="minorEastAsia"/>
                <w:szCs w:val="21"/>
              </w:rPr>
            </w:pPr>
            <w:r>
              <w:rPr>
                <w:rFonts w:ascii="Arial Narrow" w:hAnsi="Arial Narrow" w:eastAsiaTheme="minorEastAsia"/>
                <w:szCs w:val="21"/>
              </w:rPr>
              <w:t>（一）交易性金融资产</w:t>
            </w:r>
          </w:p>
        </w:tc>
        <w:tc>
          <w:tcPr>
            <w:tcW w:w="1551" w:type="pct"/>
            <w:tcBorders>
              <w:top w:val="single" w:color="auto" w:sz="4" w:space="0"/>
              <w:left w:val="single" w:color="auto" w:sz="4" w:space="0"/>
              <w:bottom w:val="single" w:color="auto" w:sz="4" w:space="0"/>
              <w:right w:val="single" w:color="auto" w:sz="4" w:space="0"/>
            </w:tcBorders>
            <w:vAlign w:val="center"/>
          </w:tcPr>
          <w:p w14:paraId="1182C191">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c>
          <w:tcPr>
            <w:tcW w:w="1553" w:type="pct"/>
            <w:tcBorders>
              <w:top w:val="single" w:color="auto" w:sz="4" w:space="0"/>
              <w:left w:val="single" w:color="auto" w:sz="4" w:space="0"/>
              <w:bottom w:val="single" w:color="auto" w:sz="4" w:space="0"/>
              <w:right w:val="single" w:color="auto" w:sz="4" w:space="0"/>
            </w:tcBorders>
            <w:vAlign w:val="center"/>
          </w:tcPr>
          <w:p w14:paraId="60489BA2">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r>
      <w:tr w14:paraId="7A18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57219971">
            <w:pPr>
              <w:outlineLvl w:val="2"/>
              <w:rPr>
                <w:rFonts w:ascii="Arial Narrow" w:hAnsi="Arial Narrow" w:eastAsiaTheme="minorEastAsia"/>
                <w:szCs w:val="21"/>
              </w:rPr>
            </w:pPr>
            <w:r>
              <w:rPr>
                <w:rFonts w:ascii="Arial Narrow" w:hAnsi="Arial Narrow" w:eastAsiaTheme="minorEastAsia"/>
                <w:szCs w:val="21"/>
              </w:rPr>
              <w:t>1.以公允价值计量且变动计入当期损益的金融资产</w:t>
            </w:r>
          </w:p>
        </w:tc>
        <w:tc>
          <w:tcPr>
            <w:tcW w:w="1551" w:type="pct"/>
            <w:tcBorders>
              <w:top w:val="single" w:color="auto" w:sz="4" w:space="0"/>
              <w:left w:val="single" w:color="auto" w:sz="4" w:space="0"/>
              <w:bottom w:val="single" w:color="auto" w:sz="4" w:space="0"/>
              <w:right w:val="single" w:color="auto" w:sz="4" w:space="0"/>
            </w:tcBorders>
            <w:vAlign w:val="center"/>
          </w:tcPr>
          <w:p w14:paraId="3F0857F9">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c>
          <w:tcPr>
            <w:tcW w:w="1553" w:type="pct"/>
            <w:tcBorders>
              <w:top w:val="single" w:color="auto" w:sz="4" w:space="0"/>
              <w:left w:val="single" w:color="auto" w:sz="4" w:space="0"/>
              <w:bottom w:val="single" w:color="auto" w:sz="4" w:space="0"/>
              <w:right w:val="single" w:color="auto" w:sz="4" w:space="0"/>
            </w:tcBorders>
            <w:vAlign w:val="center"/>
          </w:tcPr>
          <w:p w14:paraId="3E23AFB8">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r>
      <w:tr w14:paraId="0A40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29107109">
            <w:pPr>
              <w:outlineLvl w:val="2"/>
              <w:rPr>
                <w:rFonts w:ascii="Arial Narrow" w:hAnsi="Arial Narrow" w:cs="Cambria" w:eastAsiaTheme="minorEastAsia"/>
                <w:szCs w:val="21"/>
              </w:rPr>
            </w:pPr>
            <w:r>
              <w:rPr>
                <w:rFonts w:ascii="Arial Narrow" w:hAnsi="Arial Narrow" w:cs="Cambria" w:eastAsiaTheme="minorEastAsia"/>
                <w:szCs w:val="21"/>
              </w:rPr>
              <w:t>（1）债务工具投资</w:t>
            </w:r>
          </w:p>
        </w:tc>
        <w:tc>
          <w:tcPr>
            <w:tcW w:w="1551" w:type="pct"/>
            <w:tcBorders>
              <w:top w:val="single" w:color="auto" w:sz="4" w:space="0"/>
              <w:left w:val="single" w:color="auto" w:sz="4" w:space="0"/>
              <w:bottom w:val="single" w:color="auto" w:sz="4" w:space="0"/>
              <w:right w:val="single" w:color="auto" w:sz="4" w:space="0"/>
            </w:tcBorders>
            <w:vAlign w:val="center"/>
          </w:tcPr>
          <w:p w14:paraId="76CD3BC2">
            <w:pPr>
              <w:jc w:val="right"/>
              <w:outlineLvl w:val="2"/>
              <w:rPr>
                <w:rFonts w:ascii="Arial Narrow" w:hAnsi="Arial Narrow" w:cs="Cambria" w:eastAsiaTheme="minorEastAsia"/>
                <w:szCs w:val="21"/>
              </w:rPr>
            </w:pPr>
          </w:p>
        </w:tc>
        <w:tc>
          <w:tcPr>
            <w:tcW w:w="1553" w:type="pct"/>
            <w:tcBorders>
              <w:top w:val="single" w:color="auto" w:sz="4" w:space="0"/>
              <w:left w:val="single" w:color="auto" w:sz="4" w:space="0"/>
              <w:bottom w:val="single" w:color="auto" w:sz="4" w:space="0"/>
              <w:right w:val="single" w:color="auto" w:sz="4" w:space="0"/>
            </w:tcBorders>
            <w:vAlign w:val="center"/>
          </w:tcPr>
          <w:p w14:paraId="3A7A8B58">
            <w:pPr>
              <w:jc w:val="right"/>
              <w:outlineLvl w:val="2"/>
              <w:rPr>
                <w:rFonts w:ascii="Arial Narrow" w:hAnsi="Arial Narrow" w:cs="Cambria" w:eastAsiaTheme="minorEastAsia"/>
                <w:szCs w:val="21"/>
              </w:rPr>
            </w:pPr>
          </w:p>
        </w:tc>
      </w:tr>
      <w:tr w14:paraId="45CD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6A0F3062">
            <w:pPr>
              <w:outlineLvl w:val="2"/>
              <w:rPr>
                <w:rFonts w:ascii="Arial Narrow" w:hAnsi="Arial Narrow" w:cs="Cambria" w:eastAsiaTheme="minorEastAsia"/>
                <w:szCs w:val="21"/>
              </w:rPr>
            </w:pPr>
            <w:r>
              <w:rPr>
                <w:rFonts w:ascii="Arial Narrow" w:hAnsi="Arial Narrow" w:cs="Cambria" w:eastAsiaTheme="minorEastAsia"/>
                <w:szCs w:val="21"/>
              </w:rPr>
              <w:t>（2）权益工具投资</w:t>
            </w:r>
          </w:p>
        </w:tc>
        <w:tc>
          <w:tcPr>
            <w:tcW w:w="1551" w:type="pct"/>
            <w:tcBorders>
              <w:top w:val="single" w:color="auto" w:sz="4" w:space="0"/>
              <w:left w:val="single" w:color="auto" w:sz="4" w:space="0"/>
              <w:bottom w:val="single" w:color="auto" w:sz="4" w:space="0"/>
              <w:right w:val="single" w:color="auto" w:sz="4" w:space="0"/>
            </w:tcBorders>
            <w:vAlign w:val="center"/>
          </w:tcPr>
          <w:p w14:paraId="63C01E27">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c>
          <w:tcPr>
            <w:tcW w:w="1553" w:type="pct"/>
            <w:tcBorders>
              <w:top w:val="single" w:color="auto" w:sz="4" w:space="0"/>
              <w:left w:val="single" w:color="auto" w:sz="4" w:space="0"/>
              <w:bottom w:val="single" w:color="auto" w:sz="4" w:space="0"/>
              <w:right w:val="single" w:color="auto" w:sz="4" w:space="0"/>
            </w:tcBorders>
            <w:vAlign w:val="center"/>
          </w:tcPr>
          <w:p w14:paraId="5C51B65A">
            <w:pPr>
              <w:jc w:val="right"/>
              <w:outlineLvl w:val="2"/>
              <w:rPr>
                <w:rFonts w:ascii="Arial Narrow" w:hAnsi="Arial Narrow" w:cs="Cambria" w:eastAsiaTheme="minorEastAsia"/>
                <w:szCs w:val="21"/>
              </w:rPr>
            </w:pPr>
            <w:r>
              <w:rPr>
                <w:rFonts w:ascii="Arial Narrow" w:hAnsi="Arial Narrow" w:eastAsiaTheme="minorEastAsia"/>
                <w:color w:val="000000"/>
                <w:szCs w:val="21"/>
              </w:rPr>
              <w:t>630,009.80</w:t>
            </w:r>
          </w:p>
        </w:tc>
      </w:tr>
      <w:tr w14:paraId="7C92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00D392B4">
            <w:pPr>
              <w:outlineLvl w:val="2"/>
              <w:rPr>
                <w:rFonts w:ascii="Arial Narrow" w:hAnsi="Arial Narrow" w:eastAsiaTheme="minorEastAsia"/>
                <w:szCs w:val="21"/>
              </w:rPr>
            </w:pPr>
            <w:r>
              <w:rPr>
                <w:rFonts w:ascii="Arial Narrow" w:hAnsi="Arial Narrow" w:eastAsiaTheme="minorEastAsia"/>
                <w:szCs w:val="21"/>
              </w:rPr>
              <w:t>（二）其他债权投资</w:t>
            </w:r>
          </w:p>
        </w:tc>
        <w:tc>
          <w:tcPr>
            <w:tcW w:w="1551" w:type="pct"/>
            <w:tcBorders>
              <w:top w:val="single" w:color="auto" w:sz="4" w:space="0"/>
              <w:left w:val="single" w:color="auto" w:sz="4" w:space="0"/>
              <w:bottom w:val="single" w:color="auto" w:sz="4" w:space="0"/>
              <w:right w:val="single" w:color="auto" w:sz="4" w:space="0"/>
            </w:tcBorders>
            <w:vAlign w:val="center"/>
          </w:tcPr>
          <w:p w14:paraId="4FAFA3D5">
            <w:pPr>
              <w:jc w:val="right"/>
              <w:outlineLvl w:val="2"/>
              <w:rPr>
                <w:rFonts w:ascii="Arial Narrow" w:hAnsi="Arial Narrow" w:cs="Cambria" w:eastAsiaTheme="minorEastAsia"/>
                <w:szCs w:val="21"/>
              </w:rPr>
            </w:pPr>
          </w:p>
        </w:tc>
        <w:tc>
          <w:tcPr>
            <w:tcW w:w="1553" w:type="pct"/>
            <w:tcBorders>
              <w:top w:val="single" w:color="auto" w:sz="4" w:space="0"/>
              <w:left w:val="single" w:color="auto" w:sz="4" w:space="0"/>
              <w:bottom w:val="single" w:color="auto" w:sz="4" w:space="0"/>
              <w:right w:val="single" w:color="auto" w:sz="4" w:space="0"/>
            </w:tcBorders>
            <w:vAlign w:val="center"/>
          </w:tcPr>
          <w:p w14:paraId="202D152C">
            <w:pPr>
              <w:jc w:val="right"/>
              <w:outlineLvl w:val="2"/>
              <w:rPr>
                <w:rFonts w:ascii="Arial Narrow" w:hAnsi="Arial Narrow" w:cs="Cambria" w:eastAsiaTheme="minorEastAsia"/>
                <w:szCs w:val="21"/>
              </w:rPr>
            </w:pPr>
          </w:p>
        </w:tc>
      </w:tr>
      <w:tr w14:paraId="67B6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087376A6">
            <w:pPr>
              <w:outlineLvl w:val="2"/>
              <w:rPr>
                <w:rFonts w:ascii="Arial Narrow" w:hAnsi="Arial Narrow" w:eastAsiaTheme="minorEastAsia"/>
                <w:szCs w:val="21"/>
              </w:rPr>
            </w:pPr>
            <w:r>
              <w:rPr>
                <w:rFonts w:ascii="Arial Narrow" w:hAnsi="Arial Narrow" w:eastAsiaTheme="minorEastAsia"/>
                <w:szCs w:val="21"/>
              </w:rPr>
              <w:t>（三）其他权益工具投资</w:t>
            </w:r>
          </w:p>
        </w:tc>
        <w:tc>
          <w:tcPr>
            <w:tcW w:w="1551" w:type="pct"/>
            <w:tcBorders>
              <w:top w:val="single" w:color="auto" w:sz="4" w:space="0"/>
              <w:left w:val="single" w:color="auto" w:sz="4" w:space="0"/>
              <w:bottom w:val="single" w:color="auto" w:sz="4" w:space="0"/>
              <w:right w:val="single" w:color="auto" w:sz="4" w:space="0"/>
            </w:tcBorders>
            <w:vAlign w:val="center"/>
          </w:tcPr>
          <w:p w14:paraId="509B8590">
            <w:pPr>
              <w:jc w:val="right"/>
              <w:outlineLvl w:val="2"/>
              <w:rPr>
                <w:rFonts w:ascii="Arial Narrow" w:hAnsi="Arial Narrow" w:cs="Cambria" w:eastAsiaTheme="minorEastAsia"/>
                <w:szCs w:val="21"/>
              </w:rPr>
            </w:pPr>
            <w:r>
              <w:rPr>
                <w:rFonts w:ascii="Arial Narrow" w:hAnsi="Arial Narrow" w:eastAsiaTheme="minorEastAsia"/>
                <w:color w:val="000000"/>
                <w:szCs w:val="21"/>
              </w:rPr>
              <w:t>519,981,620.71</w:t>
            </w:r>
          </w:p>
        </w:tc>
        <w:tc>
          <w:tcPr>
            <w:tcW w:w="1553" w:type="pct"/>
            <w:tcBorders>
              <w:top w:val="single" w:color="auto" w:sz="4" w:space="0"/>
              <w:left w:val="single" w:color="auto" w:sz="4" w:space="0"/>
              <w:bottom w:val="single" w:color="auto" w:sz="4" w:space="0"/>
              <w:right w:val="single" w:color="auto" w:sz="4" w:space="0"/>
            </w:tcBorders>
            <w:vAlign w:val="center"/>
          </w:tcPr>
          <w:p w14:paraId="795FB52F">
            <w:pPr>
              <w:jc w:val="right"/>
              <w:outlineLvl w:val="2"/>
              <w:rPr>
                <w:rFonts w:ascii="Arial Narrow" w:hAnsi="Arial Narrow" w:cs="Cambria" w:eastAsiaTheme="minorEastAsia"/>
                <w:szCs w:val="21"/>
              </w:rPr>
            </w:pPr>
            <w:r>
              <w:rPr>
                <w:rFonts w:ascii="Arial Narrow" w:hAnsi="Arial Narrow" w:eastAsiaTheme="minorEastAsia"/>
                <w:color w:val="000000"/>
                <w:szCs w:val="21"/>
              </w:rPr>
              <w:t>519,981,620.71</w:t>
            </w:r>
          </w:p>
        </w:tc>
      </w:tr>
      <w:tr w14:paraId="450E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68A56A1C">
            <w:pPr>
              <w:outlineLvl w:val="2"/>
              <w:rPr>
                <w:rFonts w:ascii="Arial Narrow" w:hAnsi="Arial Narrow" w:cs="Cambria" w:eastAsiaTheme="minorEastAsia"/>
                <w:szCs w:val="21"/>
              </w:rPr>
            </w:pPr>
            <w:r>
              <w:rPr>
                <w:rFonts w:ascii="Arial Narrow" w:hAnsi="Arial Narrow" w:cs="Cambria" w:eastAsiaTheme="minorEastAsia"/>
                <w:szCs w:val="21"/>
              </w:rPr>
              <w:t>（四）投资性房地产</w:t>
            </w:r>
          </w:p>
        </w:tc>
        <w:tc>
          <w:tcPr>
            <w:tcW w:w="1551" w:type="pct"/>
            <w:tcBorders>
              <w:top w:val="single" w:color="auto" w:sz="4" w:space="0"/>
              <w:left w:val="single" w:color="auto" w:sz="4" w:space="0"/>
              <w:bottom w:val="single" w:color="auto" w:sz="4" w:space="0"/>
              <w:right w:val="single" w:color="auto" w:sz="4" w:space="0"/>
            </w:tcBorders>
            <w:vAlign w:val="center"/>
          </w:tcPr>
          <w:p w14:paraId="2CE4A444">
            <w:pPr>
              <w:jc w:val="right"/>
              <w:outlineLvl w:val="2"/>
              <w:rPr>
                <w:rFonts w:ascii="Arial Narrow" w:hAnsi="Arial Narrow" w:cs="Cambria" w:eastAsiaTheme="minorEastAsia"/>
                <w:szCs w:val="21"/>
              </w:rPr>
            </w:pPr>
          </w:p>
        </w:tc>
        <w:tc>
          <w:tcPr>
            <w:tcW w:w="1553" w:type="pct"/>
            <w:tcBorders>
              <w:top w:val="single" w:color="auto" w:sz="4" w:space="0"/>
              <w:left w:val="single" w:color="auto" w:sz="4" w:space="0"/>
              <w:bottom w:val="single" w:color="auto" w:sz="4" w:space="0"/>
              <w:right w:val="single" w:color="auto" w:sz="4" w:space="0"/>
            </w:tcBorders>
            <w:vAlign w:val="center"/>
          </w:tcPr>
          <w:p w14:paraId="5A7E945A">
            <w:pPr>
              <w:jc w:val="right"/>
              <w:outlineLvl w:val="2"/>
              <w:rPr>
                <w:rFonts w:ascii="Arial Narrow" w:hAnsi="Arial Narrow" w:cs="Cambria" w:eastAsiaTheme="minorEastAsia"/>
                <w:szCs w:val="21"/>
              </w:rPr>
            </w:pPr>
          </w:p>
        </w:tc>
      </w:tr>
      <w:tr w14:paraId="5981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3371442E">
            <w:pPr>
              <w:outlineLvl w:val="2"/>
              <w:rPr>
                <w:rFonts w:ascii="Arial Narrow" w:hAnsi="Arial Narrow" w:cs="Cambria" w:eastAsiaTheme="minorEastAsia"/>
                <w:szCs w:val="21"/>
              </w:rPr>
            </w:pPr>
            <w:r>
              <w:rPr>
                <w:rFonts w:ascii="Arial Narrow" w:hAnsi="Arial Narrow" w:cs="Cambria" w:eastAsiaTheme="minorEastAsia"/>
                <w:szCs w:val="21"/>
              </w:rPr>
              <w:t>（五）生物资产</w:t>
            </w:r>
          </w:p>
        </w:tc>
        <w:tc>
          <w:tcPr>
            <w:tcW w:w="1551" w:type="pct"/>
            <w:tcBorders>
              <w:top w:val="single" w:color="auto" w:sz="4" w:space="0"/>
              <w:left w:val="single" w:color="auto" w:sz="4" w:space="0"/>
              <w:bottom w:val="single" w:color="auto" w:sz="4" w:space="0"/>
              <w:right w:val="single" w:color="auto" w:sz="4" w:space="0"/>
            </w:tcBorders>
            <w:vAlign w:val="center"/>
          </w:tcPr>
          <w:p w14:paraId="1B5179E5">
            <w:pPr>
              <w:jc w:val="right"/>
              <w:outlineLvl w:val="2"/>
              <w:rPr>
                <w:rFonts w:ascii="Arial Narrow" w:hAnsi="Arial Narrow" w:cs="Cambria" w:eastAsiaTheme="minorEastAsia"/>
                <w:szCs w:val="21"/>
              </w:rPr>
            </w:pPr>
          </w:p>
        </w:tc>
        <w:tc>
          <w:tcPr>
            <w:tcW w:w="1553" w:type="pct"/>
            <w:tcBorders>
              <w:top w:val="single" w:color="auto" w:sz="4" w:space="0"/>
              <w:left w:val="single" w:color="auto" w:sz="4" w:space="0"/>
              <w:bottom w:val="single" w:color="auto" w:sz="4" w:space="0"/>
              <w:right w:val="single" w:color="auto" w:sz="4" w:space="0"/>
            </w:tcBorders>
            <w:vAlign w:val="center"/>
          </w:tcPr>
          <w:p w14:paraId="1FBE1039">
            <w:pPr>
              <w:jc w:val="right"/>
              <w:outlineLvl w:val="2"/>
              <w:rPr>
                <w:rFonts w:ascii="Arial Narrow" w:hAnsi="Arial Narrow" w:cs="Cambria" w:eastAsiaTheme="minorEastAsia"/>
                <w:szCs w:val="21"/>
              </w:rPr>
            </w:pPr>
          </w:p>
        </w:tc>
      </w:tr>
      <w:tr w14:paraId="5DF3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2F88F318">
            <w:pPr>
              <w:outlineLvl w:val="2"/>
              <w:rPr>
                <w:rFonts w:ascii="Arial Narrow" w:hAnsi="Arial Narrow" w:cs="Cambria" w:eastAsiaTheme="minorEastAsia"/>
                <w:szCs w:val="21"/>
              </w:rPr>
            </w:pPr>
            <w:r>
              <w:rPr>
                <w:rFonts w:ascii="Arial Narrow" w:hAnsi="Arial Narrow" w:cs="Cambria" w:eastAsiaTheme="minorEastAsia"/>
                <w:szCs w:val="21"/>
              </w:rPr>
              <w:t>（六）应收款项融资</w:t>
            </w:r>
          </w:p>
        </w:tc>
        <w:tc>
          <w:tcPr>
            <w:tcW w:w="1551" w:type="pct"/>
            <w:tcBorders>
              <w:top w:val="single" w:color="auto" w:sz="4" w:space="0"/>
              <w:left w:val="single" w:color="auto" w:sz="4" w:space="0"/>
              <w:bottom w:val="single" w:color="auto" w:sz="4" w:space="0"/>
              <w:right w:val="single" w:color="auto" w:sz="4" w:space="0"/>
            </w:tcBorders>
            <w:vAlign w:val="center"/>
          </w:tcPr>
          <w:p w14:paraId="33E2B596">
            <w:pPr>
              <w:jc w:val="right"/>
              <w:outlineLvl w:val="2"/>
              <w:rPr>
                <w:rFonts w:ascii="Arial Narrow" w:hAnsi="Arial Narrow" w:cs="Cambria" w:eastAsiaTheme="minorEastAsia"/>
                <w:szCs w:val="21"/>
                <w:highlight w:val="yellow"/>
              </w:rPr>
            </w:pPr>
            <w:r>
              <w:rPr>
                <w:rFonts w:ascii="Arial Narrow" w:hAnsi="Arial Narrow" w:eastAsiaTheme="minorEastAsia"/>
                <w:color w:val="000000"/>
                <w:szCs w:val="21"/>
              </w:rPr>
              <w:t>20,627,331.54</w:t>
            </w:r>
          </w:p>
        </w:tc>
        <w:tc>
          <w:tcPr>
            <w:tcW w:w="1553" w:type="pct"/>
            <w:tcBorders>
              <w:top w:val="single" w:color="auto" w:sz="4" w:space="0"/>
              <w:left w:val="single" w:color="auto" w:sz="4" w:space="0"/>
              <w:bottom w:val="single" w:color="auto" w:sz="4" w:space="0"/>
              <w:right w:val="single" w:color="auto" w:sz="4" w:space="0"/>
            </w:tcBorders>
            <w:vAlign w:val="center"/>
          </w:tcPr>
          <w:p w14:paraId="1B5D1B7A">
            <w:pPr>
              <w:jc w:val="right"/>
              <w:outlineLvl w:val="2"/>
              <w:rPr>
                <w:rFonts w:ascii="Arial Narrow" w:hAnsi="Arial Narrow" w:cs="Cambria" w:eastAsiaTheme="minorEastAsia"/>
                <w:szCs w:val="21"/>
                <w:highlight w:val="yellow"/>
              </w:rPr>
            </w:pPr>
            <w:r>
              <w:rPr>
                <w:rFonts w:ascii="Arial Narrow" w:hAnsi="Arial Narrow" w:eastAsiaTheme="minorEastAsia"/>
                <w:color w:val="000000"/>
                <w:szCs w:val="21"/>
              </w:rPr>
              <w:t>20,627,331.54</w:t>
            </w:r>
          </w:p>
        </w:tc>
      </w:tr>
      <w:tr w14:paraId="33D7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896" w:type="pct"/>
            <w:tcBorders>
              <w:top w:val="single" w:color="auto" w:sz="4" w:space="0"/>
              <w:left w:val="single" w:color="auto" w:sz="4" w:space="0"/>
              <w:bottom w:val="single" w:color="auto" w:sz="4" w:space="0"/>
              <w:right w:val="single" w:color="auto" w:sz="4" w:space="0"/>
            </w:tcBorders>
            <w:shd w:val="clear" w:color="auto" w:fill="auto"/>
            <w:vAlign w:val="center"/>
          </w:tcPr>
          <w:p w14:paraId="139A8DFF">
            <w:pPr>
              <w:outlineLvl w:val="2"/>
              <w:rPr>
                <w:rFonts w:ascii="Arial Narrow" w:hAnsi="Arial Narrow" w:cs="Cambria" w:eastAsiaTheme="minorEastAsia"/>
                <w:b/>
                <w:szCs w:val="21"/>
              </w:rPr>
            </w:pPr>
            <w:r>
              <w:rPr>
                <w:rFonts w:ascii="Arial Narrow" w:hAnsi="Arial Narrow" w:cs="Cambria" w:eastAsiaTheme="minorEastAsia"/>
                <w:b/>
                <w:szCs w:val="21"/>
              </w:rPr>
              <w:t>持续以公允价值计量的资产总额</w:t>
            </w:r>
          </w:p>
        </w:tc>
        <w:tc>
          <w:tcPr>
            <w:tcW w:w="1551" w:type="pct"/>
            <w:tcBorders>
              <w:top w:val="single" w:color="auto" w:sz="4" w:space="0"/>
              <w:left w:val="single" w:color="auto" w:sz="4" w:space="0"/>
              <w:bottom w:val="single" w:color="auto" w:sz="4" w:space="0"/>
              <w:right w:val="single" w:color="auto" w:sz="4" w:space="0"/>
            </w:tcBorders>
            <w:vAlign w:val="center"/>
          </w:tcPr>
          <w:p w14:paraId="2B462C7B">
            <w:pPr>
              <w:jc w:val="right"/>
              <w:outlineLvl w:val="2"/>
              <w:rPr>
                <w:rFonts w:ascii="Arial Narrow" w:hAnsi="Arial Narrow" w:cs="Cambria" w:eastAsiaTheme="minorEastAsia"/>
                <w:szCs w:val="21"/>
                <w:highlight w:val="yellow"/>
              </w:rPr>
            </w:pPr>
            <w:r>
              <w:rPr>
                <w:rFonts w:ascii="Arial Narrow" w:hAnsi="Arial Narrow" w:eastAsiaTheme="minorEastAsia"/>
                <w:color w:val="000000"/>
                <w:szCs w:val="21"/>
              </w:rPr>
              <w:t>541,238,962.05</w:t>
            </w:r>
          </w:p>
        </w:tc>
        <w:tc>
          <w:tcPr>
            <w:tcW w:w="1553" w:type="pct"/>
            <w:tcBorders>
              <w:top w:val="single" w:color="auto" w:sz="4" w:space="0"/>
              <w:left w:val="single" w:color="auto" w:sz="4" w:space="0"/>
              <w:bottom w:val="single" w:color="auto" w:sz="4" w:space="0"/>
              <w:right w:val="single" w:color="auto" w:sz="4" w:space="0"/>
            </w:tcBorders>
            <w:vAlign w:val="center"/>
          </w:tcPr>
          <w:p w14:paraId="3E25310B">
            <w:pPr>
              <w:jc w:val="right"/>
              <w:outlineLvl w:val="2"/>
              <w:rPr>
                <w:rFonts w:ascii="Arial Narrow" w:hAnsi="Arial Narrow" w:cs="Cambria" w:eastAsiaTheme="minorEastAsia"/>
                <w:szCs w:val="21"/>
                <w:highlight w:val="yellow"/>
              </w:rPr>
            </w:pPr>
            <w:r>
              <w:rPr>
                <w:rFonts w:ascii="Arial Narrow" w:hAnsi="Arial Narrow" w:eastAsiaTheme="minorEastAsia"/>
                <w:color w:val="000000"/>
                <w:szCs w:val="21"/>
              </w:rPr>
              <w:t>541,238,962.05</w:t>
            </w:r>
          </w:p>
        </w:tc>
      </w:tr>
    </w:tbl>
    <w:p w14:paraId="7C3BACDC">
      <w:pPr>
        <w:rPr>
          <w:rFonts w:hint="eastAsia"/>
        </w:rPr>
      </w:pPr>
    </w:p>
    <w:p w14:paraId="60A559FC">
      <w:pPr>
        <w:pStyle w:val="70"/>
        <w:numPr>
          <w:ilvl w:val="0"/>
          <w:numId w:val="162"/>
        </w:numPr>
      </w:pPr>
      <w:r>
        <w:rPr>
          <w:rFonts w:hint="eastAsia"/>
        </w:rPr>
        <w:t>持续和非持续第一层次公允价值计量项目市价的确定依据</w:t>
      </w:r>
    </w:p>
    <w:sdt>
      <w:sdtPr>
        <w:rPr>
          <w:rFonts w:hint="eastAsia" w:cs="Arial"/>
          <w:szCs w:val="21"/>
        </w:rPr>
        <w:alias w:val="是否适用：持续和非持续第一层次公允价值计量项目市价的确定依据[双击切换]"/>
        <w:tag w:val="_GBC_fc42dd94906341819da0f825b0c88571"/>
        <w:id w:val="-1673412799"/>
        <w:placeholder>
          <w:docPart w:val="GBC22222222222222222222222222222"/>
        </w:placeholder>
      </w:sdtPr>
      <w:sdtEndPr>
        <w:rPr>
          <w:rFonts w:hint="eastAsia" w:cs="Arial"/>
          <w:szCs w:val="21"/>
        </w:rPr>
      </w:sdtEndPr>
      <w:sdtContent>
        <w:p w14:paraId="4279F17D">
          <w:pPr>
            <w:rPr>
              <w:rFonts w:hint="eastAsia" w:cs="Arial"/>
              <w:szCs w:val="21"/>
            </w:rPr>
          </w:pPr>
          <w:r>
            <w:rPr>
              <w:rFonts w:cs="Arial"/>
              <w:szCs w:val="21"/>
            </w:rPr>
            <w:fldChar w:fldCharType="begin"/>
          </w:r>
          <w:r>
            <w:rPr>
              <w:rFonts w:cs="Arial"/>
              <w:szCs w:val="21"/>
            </w:rPr>
            <w:instrText xml:space="preserve"> </w:instrText>
          </w:r>
          <w:r>
            <w:rPr>
              <w:rFonts w:hint="eastAsia" w:cs="Arial"/>
              <w:szCs w:val="21"/>
            </w:rPr>
            <w:instrText xml:space="preserve">MACROBUTTON  SnrToggleCheckbox √适用 </w:instrText>
          </w:r>
          <w:r>
            <w:rPr>
              <w:rFonts w:cs="Arial"/>
              <w:szCs w:val="21"/>
            </w:rPr>
            <w:instrText xml:space="preserve">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5B321330">
      <w:pPr>
        <w:ind w:firstLine="420" w:firstLineChars="200"/>
        <w:rPr>
          <w:rFonts w:hint="eastAsia" w:cs="Arial"/>
          <w:szCs w:val="21"/>
        </w:rPr>
      </w:pPr>
      <w:sdt>
        <w:sdtPr>
          <w:rPr>
            <w:rFonts w:hint="eastAsia" w:cs="Arial"/>
            <w:szCs w:val="21"/>
          </w:rPr>
          <w:alias w:val="持续和非持续第一层次公允价值计量项目市价的确定依据"/>
          <w:tag w:val="_GBC_8db65a2ca59047da919942f97cfc594e"/>
          <w:id w:val="2056889026"/>
          <w:placeholder>
            <w:docPart w:val="GBC22222222222222222222222222222"/>
          </w:placeholder>
        </w:sdtPr>
        <w:sdtEndPr>
          <w:rPr>
            <w:rFonts w:hint="eastAsia" w:cs="Arial"/>
            <w:szCs w:val="21"/>
          </w:rPr>
        </w:sdtEndPr>
        <w:sdtContent>
          <w:r>
            <w:rPr>
              <w:rFonts w:hint="eastAsia" w:cs="Arial"/>
              <w:szCs w:val="21"/>
            </w:rPr>
            <w:t>是在计量日能够取得的相同资产或负债在活跃市场上未经调整的报价。</w:t>
          </w:r>
        </w:sdtContent>
      </w:sdt>
    </w:p>
    <w:p w14:paraId="2B16FCEB">
      <w:pPr>
        <w:tabs>
          <w:tab w:val="left" w:pos="1134"/>
        </w:tabs>
        <w:rPr>
          <w:rFonts w:hint="eastAsia" w:cs="Cambria"/>
          <w:b/>
          <w:szCs w:val="21"/>
        </w:rPr>
      </w:pPr>
    </w:p>
    <w:p w14:paraId="2BF18D1A">
      <w:pPr>
        <w:pStyle w:val="70"/>
        <w:numPr>
          <w:ilvl w:val="0"/>
          <w:numId w:val="162"/>
        </w:numPr>
      </w:pPr>
      <w:r>
        <w:rPr>
          <w:rFonts w:hint="eastAsia"/>
        </w:rPr>
        <w:t>持续和非持续第二层次公允价值计量项目，采用的估值技术和重要参数的定性及定量信息</w:t>
      </w:r>
    </w:p>
    <w:sdt>
      <w:sdtPr>
        <w:rPr>
          <w:rFonts w:hint="eastAsia" w:cs="Cambria"/>
          <w:szCs w:val="21"/>
        </w:rPr>
        <w:alias w:val="是否适用：持续和非持续第二层次公允价值计量项目，采用的估值技术和重要参数的定性及定量信息[双击切换]"/>
        <w:tag w:val="_GBC_524db4de656b4bccac2fc473643fe7a6"/>
        <w:id w:val="1033763146"/>
        <w:placeholder>
          <w:docPart w:val="GBC22222222222222222222222222222"/>
        </w:placeholder>
      </w:sdtPr>
      <w:sdtEndPr>
        <w:rPr>
          <w:rFonts w:hint="eastAsia" w:cs="Cambria"/>
          <w:szCs w:val="21"/>
        </w:rPr>
      </w:sdtEndPr>
      <w:sdtContent>
        <w:p w14:paraId="6CBEEE17">
          <w:pPr>
            <w:tabs>
              <w:tab w:val="left" w:pos="1134"/>
            </w:tabs>
            <w:rPr>
              <w:rFonts w:hint="eastAsia" w:cs="Cambria"/>
              <w:szCs w:val="21"/>
            </w:rPr>
          </w:pPr>
          <w:r>
            <w:rPr>
              <w:rFonts w:cs="Cambria"/>
              <w:szCs w:val="21"/>
            </w:rPr>
            <w:fldChar w:fldCharType="begin"/>
          </w:r>
          <w:r>
            <w:rPr>
              <w:rFonts w:cs="Cambria"/>
              <w:szCs w:val="21"/>
            </w:rPr>
            <w:instrText xml:space="preserve"> </w:instrText>
          </w:r>
          <w:r>
            <w:rPr>
              <w:rFonts w:hint="eastAsia" w:cs="Cambria"/>
              <w:szCs w:val="21"/>
            </w:rPr>
            <w:instrText xml:space="preserve">MACROBUTTON  SnrToggleCheckbox √适用 </w:instrText>
          </w:r>
          <w:r>
            <w:rPr>
              <w:rFonts w:cs="Cambria"/>
              <w:szCs w:val="21"/>
            </w:rPr>
            <w:instrText xml:space="preserve">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86046014"/>
        <w:placeholder>
          <w:docPart w:val="GBC22222222222222222222222222222"/>
        </w:placeholder>
      </w:sdtPr>
      <w:sdtEndPr>
        <w:rPr>
          <w:rFonts w:cs="Cambria"/>
          <w:szCs w:val="21"/>
        </w:rPr>
      </w:sdtEndPr>
      <w:sdtContent>
        <w:p w14:paraId="43CA63CF">
          <w:pPr>
            <w:tabs>
              <w:tab w:val="left" w:pos="1134"/>
            </w:tabs>
            <w:ind w:firstLine="420" w:firstLineChars="200"/>
            <w:rPr>
              <w:rFonts w:hint="eastAsia" w:cs="Cambria"/>
              <w:szCs w:val="21"/>
            </w:rPr>
          </w:pPr>
          <w:r>
            <w:rPr>
              <w:rFonts w:hint="eastAsia" w:cs="Cambria"/>
              <w:szCs w:val="21"/>
            </w:rPr>
            <w:t xml:space="preserve">是除第一层次输入值外相关资产或负债直接或间接可观察的输入值； </w:t>
          </w:r>
        </w:p>
        <w:p w14:paraId="73C0EBC7">
          <w:pPr>
            <w:tabs>
              <w:tab w:val="left" w:pos="1134"/>
            </w:tabs>
            <w:ind w:firstLine="420" w:firstLineChars="200"/>
            <w:rPr>
              <w:rFonts w:hint="eastAsia" w:cs="Cambria"/>
              <w:szCs w:val="21"/>
            </w:rPr>
          </w:pPr>
          <w:r>
            <w:rPr>
              <w:rFonts w:hint="eastAsia" w:cs="Cambria"/>
              <w:szCs w:val="21"/>
            </w:rPr>
            <w:t>第二层次输入值包括：1）活跃市场中类似资产或负债的报价；2）非活跃市场中相同或类似资产或负债的报价；3）除报价以外的其他可观察输入值，包括在正常报价间隔期间可观察的利率和收益率曲线、隐含波动率和信用利差等；4）市场验证的输入值等。</w:t>
          </w:r>
        </w:p>
      </w:sdtContent>
    </w:sdt>
    <w:p w14:paraId="4B222236">
      <w:pPr>
        <w:rPr>
          <w:rFonts w:hint="eastAsia"/>
          <w:szCs w:val="21"/>
        </w:rPr>
      </w:pPr>
    </w:p>
    <w:p w14:paraId="77874143">
      <w:pPr>
        <w:pStyle w:val="70"/>
        <w:numPr>
          <w:ilvl w:val="0"/>
          <w:numId w:val="162"/>
        </w:numPr>
      </w:pPr>
      <w:r>
        <w:rPr>
          <w:rFonts w:hint="eastAsia"/>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983781739"/>
        <w:placeholder>
          <w:docPart w:val="GBC22222222222222222222222222222"/>
        </w:placeholder>
      </w:sdtPr>
      <w:sdtEndPr>
        <w:rPr>
          <w:rFonts w:hint="eastAsia"/>
          <w:szCs w:val="21"/>
        </w:rPr>
      </w:sdtEndPr>
      <w:sdtContent>
        <w:p w14:paraId="1ADFAAC4">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397510942"/>
        <w:placeholder>
          <w:docPart w:val="GBC22222222222222222222222222222"/>
        </w:placeholder>
      </w:sdtPr>
      <w:sdtEndPr>
        <w:rPr>
          <w:rFonts w:hint="eastAsia"/>
          <w:szCs w:val="21"/>
        </w:rPr>
      </w:sdtEndPr>
      <w:sdtContent>
        <w:p w14:paraId="11A6EBC3">
          <w:pPr>
            <w:ind w:firstLine="420" w:firstLineChars="200"/>
            <w:rPr>
              <w:rFonts w:hint="eastAsia"/>
              <w:szCs w:val="21"/>
            </w:rPr>
          </w:pPr>
          <w:r>
            <w:rPr>
              <w:rFonts w:hint="eastAsia"/>
              <w:szCs w:val="21"/>
            </w:rPr>
            <w:t>是相关资产或负债的不可观察输入值。</w:t>
          </w:r>
        </w:p>
      </w:sdtContent>
    </w:sdt>
    <w:p w14:paraId="4BAF410D">
      <w:pPr>
        <w:tabs>
          <w:tab w:val="left" w:pos="1134"/>
        </w:tabs>
        <w:rPr>
          <w:rFonts w:hint="eastAsia" w:cs="Cambria"/>
          <w:b/>
          <w:szCs w:val="21"/>
        </w:rPr>
      </w:pPr>
    </w:p>
    <w:p w14:paraId="1D5F65D1">
      <w:pPr>
        <w:pStyle w:val="70"/>
        <w:numPr>
          <w:ilvl w:val="0"/>
          <w:numId w:val="162"/>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560367469"/>
        <w:placeholder>
          <w:docPart w:val="GBC22222222222222222222222222222"/>
        </w:placeholder>
      </w:sdtPr>
      <w:sdtEndPr>
        <w:rPr>
          <w:rFonts w:hint="eastAsia"/>
          <w:szCs w:val="21"/>
        </w:rPr>
      </w:sdtEndPr>
      <w:sdtContent>
        <w:p w14:paraId="5F5D106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04B215A">
      <w:pPr>
        <w:tabs>
          <w:tab w:val="left" w:pos="1134"/>
        </w:tabs>
        <w:rPr>
          <w:rFonts w:hint="eastAsia" w:cs="Cambria"/>
          <w:b/>
          <w:szCs w:val="21"/>
        </w:rPr>
      </w:pPr>
    </w:p>
    <w:p w14:paraId="2D4B3CAF">
      <w:pPr>
        <w:pStyle w:val="70"/>
        <w:numPr>
          <w:ilvl w:val="0"/>
          <w:numId w:val="162"/>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2038188678"/>
        <w:placeholder>
          <w:docPart w:val="GBC22222222222222222222222222222"/>
        </w:placeholder>
      </w:sdtPr>
      <w:sdtEndPr>
        <w:rPr>
          <w:rFonts w:hint="eastAsia"/>
          <w:szCs w:val="21"/>
        </w:rPr>
      </w:sdtEndPr>
      <w:sdtContent>
        <w:p w14:paraId="20F81FC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9E8576E">
      <w:pPr>
        <w:tabs>
          <w:tab w:val="left" w:pos="1134"/>
        </w:tabs>
        <w:rPr>
          <w:rFonts w:hint="eastAsia" w:cs="Cambria"/>
          <w:b/>
          <w:szCs w:val="21"/>
        </w:rPr>
      </w:pPr>
    </w:p>
    <w:p w14:paraId="116F0901">
      <w:pPr>
        <w:pStyle w:val="70"/>
        <w:numPr>
          <w:ilvl w:val="0"/>
          <w:numId w:val="162"/>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856225203"/>
        <w:placeholder>
          <w:docPart w:val="GBC22222222222222222222222222222"/>
        </w:placeholder>
      </w:sdtPr>
      <w:sdtEndPr>
        <w:rPr>
          <w:rFonts w:hint="eastAsia"/>
          <w:szCs w:val="21"/>
        </w:rPr>
      </w:sdtEndPr>
      <w:sdtContent>
        <w:p w14:paraId="3A819184">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7B8491A">
      <w:pPr>
        <w:rPr>
          <w:rFonts w:hint="eastAsia" w:cstheme="minorBidi"/>
          <w:szCs w:val="21"/>
        </w:rPr>
      </w:pPr>
    </w:p>
    <w:p w14:paraId="13D91D40">
      <w:pPr>
        <w:pStyle w:val="70"/>
        <w:numPr>
          <w:ilvl w:val="0"/>
          <w:numId w:val="162"/>
        </w:numPr>
      </w:pPr>
      <w:r>
        <w:rPr>
          <w:rFonts w:hint="eastAsia"/>
        </w:rPr>
        <w:t>不以公允价值计量的金融资产和金融负债的公允价值情况</w:t>
      </w:r>
    </w:p>
    <w:sdt>
      <w:sdtPr>
        <w:rPr>
          <w:rFonts w:hint="eastAsia" w:cstheme="minorBidi"/>
          <w:szCs w:val="21"/>
        </w:rPr>
        <w:alias w:val="是否适用：不以公允价值计量的金融资产和金融负债的公允价值情况[双击切换]"/>
        <w:tag w:val="_GBC_734377ec924449c3ae79732fec24b52d"/>
        <w:id w:val="-1423257427"/>
        <w:placeholder>
          <w:docPart w:val="GBC22222222222222222222222222222"/>
        </w:placeholder>
      </w:sdtPr>
      <w:sdtEndPr>
        <w:rPr>
          <w:rFonts w:hint="eastAsia" w:cstheme="minorBidi"/>
          <w:szCs w:val="21"/>
        </w:rPr>
      </w:sdtEndPr>
      <w:sdtContent>
        <w:p w14:paraId="44FE8E28">
          <w:pPr>
            <w:rPr>
              <w:rFonts w:hint="eastAsia" w:cstheme="minorBidi"/>
              <w:szCs w:val="21"/>
            </w:rPr>
          </w:pPr>
          <w:r>
            <w:rPr>
              <w:rFonts w:cstheme="minorBidi"/>
              <w:szCs w:val="21"/>
            </w:rPr>
            <w:fldChar w:fldCharType="begin"/>
          </w:r>
          <w:r>
            <w:rPr>
              <w:rFonts w:hint="eastAsia"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hint="eastAsia" w:cstheme="minorBidi"/>
              <w:szCs w:val="21"/>
            </w:rPr>
            <w:instrText xml:space="preserve"> MACROBUTTON  SnrToggleCheckbox √不适用 </w:instrText>
          </w:r>
          <w:r>
            <w:rPr>
              <w:rFonts w:cstheme="minorBidi"/>
              <w:szCs w:val="21"/>
            </w:rPr>
            <w:fldChar w:fldCharType="end"/>
          </w:r>
        </w:p>
      </w:sdtContent>
    </w:sdt>
    <w:p w14:paraId="74A05F62">
      <w:pPr>
        <w:rPr>
          <w:rFonts w:hint="eastAsia" w:cstheme="minorBidi"/>
          <w:szCs w:val="21"/>
        </w:rPr>
      </w:pPr>
    </w:p>
    <w:p w14:paraId="47781E0C">
      <w:pPr>
        <w:pStyle w:val="70"/>
        <w:numPr>
          <w:ilvl w:val="0"/>
          <w:numId w:val="162"/>
        </w:numPr>
      </w:pPr>
      <w:r>
        <w:rPr>
          <w:rFonts w:hint="eastAsia"/>
        </w:rPr>
        <w:t>其他</w:t>
      </w:r>
    </w:p>
    <w:sdt>
      <w:sdtPr>
        <w:rPr>
          <w:rFonts w:hint="eastAsia"/>
          <w:szCs w:val="21"/>
        </w:rPr>
        <w:alias w:val="是否适用：公允价值其他需要披露的事项[双击切换]"/>
        <w:tag w:val="_GBC_face0919374341aba02b14f2247ac908"/>
        <w:id w:val="-381793806"/>
        <w:placeholder>
          <w:docPart w:val="GBC22222222222222222222222222222"/>
        </w:placeholder>
      </w:sdtPr>
      <w:sdtEndPr>
        <w:rPr>
          <w:rFonts w:hint="eastAsia"/>
          <w:szCs w:val="21"/>
        </w:rPr>
      </w:sdtEndPr>
      <w:sdtContent>
        <w:p w14:paraId="4C3DB2A5">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4EB4B63">
      <w:pPr>
        <w:rPr>
          <w:rFonts w:hint="eastAsia"/>
          <w:szCs w:val="21"/>
        </w:rPr>
      </w:pPr>
    </w:p>
    <w:p w14:paraId="75FB353C">
      <w:pPr>
        <w:pStyle w:val="69"/>
        <w:numPr>
          <w:ilvl w:val="0"/>
          <w:numId w:val="87"/>
        </w:numPr>
        <w:rPr>
          <w:rFonts w:hint="eastAsia" w:ascii="宋体" w:hAnsi="宋体"/>
        </w:rPr>
      </w:pPr>
      <w:r>
        <w:rPr>
          <w:rFonts w:hint="eastAsia"/>
        </w:rPr>
        <w:t>关联方及关联交易</w:t>
      </w:r>
    </w:p>
    <w:p w14:paraId="41364212">
      <w:pPr>
        <w:pStyle w:val="70"/>
        <w:numPr>
          <w:ilvl w:val="0"/>
          <w:numId w:val="163"/>
        </w:numPr>
      </w:pPr>
      <w:r>
        <w:rPr>
          <w:rFonts w:hint="eastAsia"/>
        </w:rPr>
        <w:t>本企业的母公司情况</w:t>
      </w:r>
    </w:p>
    <w:sdt>
      <w:sdtPr>
        <w:rPr>
          <w:rFonts w:hint="eastAsia"/>
        </w:rPr>
        <w:alias w:val="是否适用：本企业的母公司情况[双击切换]"/>
        <w:tag w:val="_GBC_fe5dd4a2c9ad405db72189e05b735e0c"/>
        <w:id w:val="776831326"/>
        <w:placeholder>
          <w:docPart w:val="GBC22222222222222222222222222222"/>
        </w:placeholder>
      </w:sdtPr>
      <w:sdtEndPr>
        <w:rPr>
          <w:rFonts w:hint="eastAsia"/>
        </w:rPr>
      </w:sdtEndPr>
      <w:sdtContent>
        <w:p w14:paraId="59918F5E">
          <w:pPr>
            <w:rPr>
              <w:rFonts w:hint="eastAsia"/>
            </w:rPr>
          </w:pPr>
          <w:r>
            <w:fldChar w:fldCharType="begin"/>
          </w:r>
          <w:r>
            <w:instrText xml:space="preserve"> </w:instrText>
          </w:r>
          <w:r>
            <w:rPr>
              <w:rFonts w:hint="eastAsia"/>
            </w:rPr>
            <w:instrText xml:space="preserve">MACROBUTTON  SnrToggleCheckbox √适用 </w:instrText>
          </w:r>
          <w:r>
            <w:instrText xml:space="preserve"> </w:instrText>
          </w:r>
          <w:r>
            <w:fldChar w:fldCharType="end"/>
          </w:r>
          <w:r>
            <w:fldChar w:fldCharType="begin"/>
          </w:r>
          <w:r>
            <w:instrText xml:space="preserve"> MACROBUTTON  SnrToggleCheckbox □不适用 </w:instrText>
          </w:r>
          <w:r>
            <w:fldChar w:fldCharType="end"/>
          </w:r>
        </w:p>
      </w:sdtContent>
    </w:sdt>
    <w:p w14:paraId="4035F964">
      <w:pPr>
        <w:jc w:val="right"/>
        <w:rPr>
          <w:rFonts w:hint="eastAsia"/>
        </w:rPr>
      </w:pPr>
      <w:r>
        <w:rPr>
          <w:rFonts w:hint="eastAsia"/>
        </w:rPr>
        <w:t>单位：</w:t>
      </w:r>
      <w:sdt>
        <w:sdtPr>
          <w:rPr>
            <w:rFonts w:hint="eastAsia"/>
          </w:rPr>
          <w:alias w:val="单位：财务附注：本企业的母公司情况"/>
          <w:tag w:val="_GBC_4bdd8b08e4ce41af93512866e6012a92"/>
          <w:id w:val="13641661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13968619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1"/>
        <w:gridCol w:w="1203"/>
        <w:gridCol w:w="2545"/>
        <w:gridCol w:w="1135"/>
        <w:gridCol w:w="1276"/>
        <w:gridCol w:w="1313"/>
      </w:tblGrid>
      <w:tr w14:paraId="4AC3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sdt>
          <w:sdtPr>
            <w:tag w:val="_PLD_78501cc34b694302b18c1ea75399510e"/>
            <w:id w:val="326868170"/>
          </w:sdtPr>
          <w:sdtContent>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71AD4EE9">
                <w:pPr>
                  <w:jc w:val="center"/>
                  <w:rPr>
                    <w:rFonts w:hint="eastAsia" w:cs="Cambria"/>
                    <w:szCs w:val="21"/>
                  </w:rPr>
                </w:pPr>
                <w:r>
                  <w:rPr>
                    <w:rFonts w:hint="eastAsia" w:cs="Cambria"/>
                    <w:szCs w:val="21"/>
                  </w:rPr>
                  <w:t>母公司名称</w:t>
                </w:r>
              </w:p>
            </w:tc>
          </w:sdtContent>
        </w:sdt>
        <w:sdt>
          <w:sdtPr>
            <w:tag w:val="_PLD_9cf29fdb6dc54a2ca1191c007bb19ceb"/>
            <w:id w:val="1150329168"/>
          </w:sdtPr>
          <w:sdtContent>
            <w:tc>
              <w:tcPr>
                <w:tcW w:w="682" w:type="pct"/>
                <w:tcBorders>
                  <w:top w:val="single" w:color="auto" w:sz="4" w:space="0"/>
                  <w:left w:val="single" w:color="auto" w:sz="4" w:space="0"/>
                  <w:bottom w:val="single" w:color="auto" w:sz="4" w:space="0"/>
                  <w:right w:val="single" w:color="auto" w:sz="4" w:space="0"/>
                </w:tcBorders>
                <w:shd w:val="clear" w:color="auto" w:fill="auto"/>
                <w:vAlign w:val="center"/>
              </w:tcPr>
              <w:p w14:paraId="20B93BD4">
                <w:pPr>
                  <w:jc w:val="center"/>
                  <w:rPr>
                    <w:rFonts w:hint="eastAsia" w:cs="Cambria"/>
                    <w:szCs w:val="21"/>
                  </w:rPr>
                </w:pPr>
                <w:r>
                  <w:rPr>
                    <w:rFonts w:hint="eastAsia" w:cs="Cambria"/>
                    <w:szCs w:val="21"/>
                  </w:rPr>
                  <w:t>注册地</w:t>
                </w:r>
              </w:p>
            </w:tc>
          </w:sdtContent>
        </w:sdt>
        <w:sdt>
          <w:sdtPr>
            <w:tag w:val="_PLD_738e924675434f8ea1a19e9f01f12c6a"/>
            <w:id w:val="-794747114"/>
          </w:sdtPr>
          <w:sdtContent>
            <w:tc>
              <w:tcPr>
                <w:tcW w:w="1442" w:type="pct"/>
                <w:tcBorders>
                  <w:top w:val="single" w:color="auto" w:sz="4" w:space="0"/>
                  <w:left w:val="single" w:color="auto" w:sz="4" w:space="0"/>
                  <w:bottom w:val="single" w:color="auto" w:sz="4" w:space="0"/>
                  <w:right w:val="single" w:color="auto" w:sz="4" w:space="0"/>
                </w:tcBorders>
                <w:shd w:val="clear" w:color="auto" w:fill="auto"/>
                <w:vAlign w:val="center"/>
              </w:tcPr>
              <w:p w14:paraId="7D38FF2A">
                <w:pPr>
                  <w:jc w:val="center"/>
                  <w:rPr>
                    <w:rFonts w:hint="eastAsia" w:cs="Cambria"/>
                    <w:szCs w:val="21"/>
                  </w:rPr>
                </w:pPr>
                <w:r>
                  <w:rPr>
                    <w:rFonts w:hint="eastAsia" w:cs="Cambria"/>
                    <w:szCs w:val="21"/>
                  </w:rPr>
                  <w:t>业务性质</w:t>
                </w:r>
              </w:p>
            </w:tc>
          </w:sdtContent>
        </w:sdt>
        <w:sdt>
          <w:sdtPr>
            <w:tag w:val="_PLD_8f8ae05947724183906b020ada85e914"/>
            <w:id w:val="-385481242"/>
          </w:sdtPr>
          <w:sdtContent>
            <w:tc>
              <w:tcPr>
                <w:tcW w:w="643" w:type="pct"/>
                <w:tcBorders>
                  <w:top w:val="single" w:color="auto" w:sz="4" w:space="0"/>
                  <w:left w:val="single" w:color="auto" w:sz="4" w:space="0"/>
                  <w:bottom w:val="single" w:color="auto" w:sz="4" w:space="0"/>
                  <w:right w:val="single" w:color="auto" w:sz="4" w:space="0"/>
                </w:tcBorders>
                <w:shd w:val="clear" w:color="auto" w:fill="auto"/>
                <w:vAlign w:val="center"/>
              </w:tcPr>
              <w:p w14:paraId="0EA1F595">
                <w:pPr>
                  <w:jc w:val="center"/>
                  <w:rPr>
                    <w:rFonts w:hint="eastAsia" w:cs="Cambria"/>
                    <w:szCs w:val="21"/>
                  </w:rPr>
                </w:pPr>
                <w:r>
                  <w:rPr>
                    <w:rFonts w:hint="eastAsia" w:cs="Cambria"/>
                    <w:szCs w:val="21"/>
                  </w:rPr>
                  <w:t>注册资本</w:t>
                </w:r>
              </w:p>
            </w:tc>
          </w:sdtContent>
        </w:sdt>
        <w:sdt>
          <w:sdtPr>
            <w:tag w:val="_PLD_41f7f469dbcc4ee39514954cb008b0a4"/>
            <w:id w:val="-1569251314"/>
          </w:sdtPr>
          <w:sdtContent>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14:paraId="76570A66">
                <w:pPr>
                  <w:jc w:val="center"/>
                  <w:rPr>
                    <w:rFonts w:hint="eastAsia" w:cs="Cambria"/>
                    <w:szCs w:val="21"/>
                  </w:rPr>
                </w:pPr>
                <w:r>
                  <w:rPr>
                    <w:rFonts w:hint="eastAsia" w:cs="Cambria"/>
                    <w:szCs w:val="21"/>
                  </w:rPr>
                  <w:t>母公司对本企业的持股比例</w:t>
                </w:r>
                <w:r>
                  <w:rPr>
                    <w:rFonts w:cs="Cambria"/>
                    <w:szCs w:val="21"/>
                  </w:rPr>
                  <w:t>(%)</w:t>
                </w:r>
              </w:p>
            </w:tc>
          </w:sdtContent>
        </w:sdt>
        <w:sdt>
          <w:sdtPr>
            <w:tag w:val="_PLD_dab7bc4321ca44eb9d8565239cbf42f7"/>
            <w:id w:val="-34511104"/>
          </w:sdtPr>
          <w:sdtContent>
            <w:tc>
              <w:tcPr>
                <w:tcW w:w="745" w:type="pct"/>
                <w:tcBorders>
                  <w:top w:val="single" w:color="auto" w:sz="4" w:space="0"/>
                  <w:left w:val="single" w:color="auto" w:sz="4" w:space="0"/>
                  <w:bottom w:val="single" w:color="auto" w:sz="4" w:space="0"/>
                  <w:right w:val="single" w:color="auto" w:sz="4" w:space="0"/>
                </w:tcBorders>
                <w:shd w:val="clear" w:color="auto" w:fill="auto"/>
                <w:vAlign w:val="center"/>
              </w:tcPr>
              <w:p w14:paraId="0436F0E1">
                <w:pPr>
                  <w:jc w:val="center"/>
                  <w:rPr>
                    <w:rFonts w:hint="eastAsia" w:cs="Cambria"/>
                    <w:szCs w:val="21"/>
                  </w:rPr>
                </w:pPr>
                <w:r>
                  <w:rPr>
                    <w:rFonts w:hint="eastAsia" w:cs="Cambria"/>
                    <w:szCs w:val="21"/>
                  </w:rPr>
                  <w:t>母公司对本企业的表决权比例</w:t>
                </w:r>
                <w:r>
                  <w:rPr>
                    <w:rFonts w:cs="Cambria"/>
                    <w:szCs w:val="21"/>
                  </w:rPr>
                  <w:t>(%)</w:t>
                </w:r>
              </w:p>
            </w:tc>
          </w:sdtContent>
        </w:sdt>
      </w:tr>
      <w:tr w14:paraId="6C5D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4F87C33C">
            <w:pPr>
              <w:rPr>
                <w:rFonts w:hint="eastAsia" w:cs="Cambria"/>
                <w:szCs w:val="21"/>
              </w:rPr>
            </w:pPr>
            <w:r>
              <w:rPr>
                <w:rFonts w:hint="eastAsia"/>
                <w:color w:val="000000"/>
                <w:szCs w:val="21"/>
              </w:rPr>
              <w:t>新兴际华集团有限公司</w:t>
            </w:r>
          </w:p>
        </w:tc>
        <w:tc>
          <w:tcPr>
            <w:tcW w:w="682" w:type="pct"/>
            <w:tcBorders>
              <w:top w:val="single" w:color="auto" w:sz="4" w:space="0"/>
              <w:left w:val="single" w:color="auto" w:sz="4" w:space="0"/>
              <w:bottom w:val="single" w:color="auto" w:sz="4" w:space="0"/>
              <w:right w:val="single" w:color="auto" w:sz="4" w:space="0"/>
            </w:tcBorders>
            <w:shd w:val="clear" w:color="auto" w:fill="auto"/>
            <w:vAlign w:val="center"/>
          </w:tcPr>
          <w:p w14:paraId="2659B6E1">
            <w:pPr>
              <w:jc w:val="both"/>
              <w:rPr>
                <w:rFonts w:hint="eastAsia" w:cs="Cambria"/>
                <w:szCs w:val="21"/>
              </w:rPr>
            </w:pPr>
            <w:r>
              <w:rPr>
                <w:rFonts w:hint="eastAsia"/>
                <w:color w:val="000000"/>
                <w:szCs w:val="21"/>
              </w:rPr>
              <w:t>北京市朝阳区东三环中路5号楼62层、63层</w:t>
            </w:r>
          </w:p>
        </w:tc>
        <w:tc>
          <w:tcPr>
            <w:tcW w:w="1442" w:type="pct"/>
            <w:tcBorders>
              <w:top w:val="single" w:color="auto" w:sz="4" w:space="0"/>
              <w:left w:val="single" w:color="auto" w:sz="4" w:space="0"/>
              <w:bottom w:val="single" w:color="auto" w:sz="4" w:space="0"/>
              <w:right w:val="single" w:color="auto" w:sz="4" w:space="0"/>
            </w:tcBorders>
            <w:shd w:val="clear" w:color="auto" w:fill="auto"/>
            <w:vAlign w:val="center"/>
          </w:tcPr>
          <w:p w14:paraId="5AC9A6A9">
            <w:pPr>
              <w:jc w:val="both"/>
              <w:rPr>
                <w:rFonts w:hint="eastAsia" w:cs="Cambria"/>
                <w:szCs w:val="21"/>
              </w:rPr>
            </w:pPr>
            <w:r>
              <w:rPr>
                <w:rFonts w:hint="eastAsia"/>
                <w:color w:val="000000"/>
                <w:szCs w:val="21"/>
              </w:rPr>
              <w:t>经营国务院授权范围内的国有资产，开展有关投资业务；对所投资公司和直属企业资产的经营管理等</w:t>
            </w:r>
          </w:p>
        </w:tc>
        <w:tc>
          <w:tcPr>
            <w:tcW w:w="643" w:type="pct"/>
            <w:tcBorders>
              <w:top w:val="single" w:color="auto" w:sz="4" w:space="0"/>
              <w:left w:val="single" w:color="auto" w:sz="4" w:space="0"/>
              <w:bottom w:val="single" w:color="auto" w:sz="4" w:space="0"/>
              <w:right w:val="single" w:color="auto" w:sz="4" w:space="0"/>
            </w:tcBorders>
            <w:shd w:val="clear" w:color="auto" w:fill="auto"/>
            <w:vAlign w:val="center"/>
          </w:tcPr>
          <w:p w14:paraId="050B81D5">
            <w:pPr>
              <w:jc w:val="right"/>
              <w:rPr>
                <w:rFonts w:hint="eastAsia" w:cs="Cambria"/>
                <w:szCs w:val="21"/>
              </w:rPr>
            </w:pPr>
            <w:r>
              <w:rPr>
                <w:rFonts w:hint="eastAsia" w:ascii="Arial Narrow" w:hAnsi="Arial Narrow"/>
                <w:color w:val="000000"/>
                <w:szCs w:val="21"/>
              </w:rPr>
              <w:t>518,730.00</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14:paraId="25807317">
            <w:pPr>
              <w:jc w:val="right"/>
              <w:rPr>
                <w:rFonts w:hint="eastAsia" w:cs="Cambria"/>
                <w:szCs w:val="21"/>
              </w:rPr>
            </w:pPr>
            <w:r>
              <w:rPr>
                <w:rFonts w:ascii="Arial Narrow" w:hAnsi="Arial Narrow"/>
                <w:color w:val="000000"/>
                <w:szCs w:val="21"/>
              </w:rPr>
              <w:t>47.55</w:t>
            </w:r>
          </w:p>
        </w:tc>
        <w:tc>
          <w:tcPr>
            <w:tcW w:w="745" w:type="pct"/>
            <w:tcBorders>
              <w:top w:val="single" w:color="auto" w:sz="4" w:space="0"/>
              <w:left w:val="single" w:color="auto" w:sz="4" w:space="0"/>
              <w:bottom w:val="single" w:color="auto" w:sz="4" w:space="0"/>
              <w:right w:val="single" w:color="auto" w:sz="4" w:space="0"/>
            </w:tcBorders>
            <w:shd w:val="clear" w:color="auto" w:fill="auto"/>
            <w:vAlign w:val="center"/>
          </w:tcPr>
          <w:p w14:paraId="4BCC015C">
            <w:pPr>
              <w:jc w:val="right"/>
              <w:rPr>
                <w:rFonts w:hint="eastAsia" w:cs="Cambria"/>
                <w:szCs w:val="21"/>
              </w:rPr>
            </w:pPr>
            <w:r>
              <w:rPr>
                <w:rFonts w:ascii="Arial Narrow" w:hAnsi="Arial Narrow"/>
                <w:color w:val="000000"/>
                <w:szCs w:val="21"/>
              </w:rPr>
              <w:t>47.55</w:t>
            </w:r>
          </w:p>
        </w:tc>
      </w:tr>
    </w:tbl>
    <w:p w14:paraId="5B8C0B18">
      <w:pPr>
        <w:tabs>
          <w:tab w:val="left" w:pos="1134"/>
        </w:tabs>
        <w:rPr>
          <w:rFonts w:hint="eastAsia" w:cs="Cambria"/>
          <w:szCs w:val="21"/>
        </w:rPr>
      </w:pPr>
      <w:r>
        <w:rPr>
          <w:rFonts w:hint="eastAsia" w:cs="Cambria"/>
          <w:szCs w:val="21"/>
        </w:rPr>
        <w:t>本企业的母公司情况的说明</w:t>
      </w:r>
    </w:p>
    <w:sdt>
      <w:sdtPr>
        <w:rPr>
          <w:rFonts w:cs="Cambria"/>
          <w:szCs w:val="21"/>
        </w:rPr>
        <w:alias w:val="本企业的母公司情况的说明"/>
        <w:tag w:val="_GBC_23f67537c1df4d9d9ede9fbc78ad06a4"/>
        <w:id w:val="-957493527"/>
        <w:placeholder>
          <w:docPart w:val="GBC22222222222222222222222222222"/>
        </w:placeholder>
      </w:sdtPr>
      <w:sdtEndPr>
        <w:rPr>
          <w:rFonts w:cs="Cambria"/>
          <w:szCs w:val="21"/>
          <w:highlight w:val="yellow"/>
        </w:rPr>
      </w:sdtEndPr>
      <w:sdtContent>
        <w:p w14:paraId="26928DCF">
          <w:pPr>
            <w:tabs>
              <w:tab w:val="left" w:pos="1134"/>
            </w:tabs>
            <w:ind w:firstLine="420" w:firstLineChars="200"/>
            <w:rPr>
              <w:rFonts w:hint="eastAsia" w:cs="Cambria"/>
              <w:szCs w:val="21"/>
            </w:rPr>
          </w:pPr>
          <w:r>
            <w:rPr>
              <w:rFonts w:hint="eastAsia" w:cs="Cambria"/>
              <w:szCs w:val="21"/>
            </w:rPr>
            <w:t>无</w:t>
          </w:r>
        </w:p>
      </w:sdtContent>
    </w:sdt>
    <w:p w14:paraId="5F56FBDD">
      <w:pPr>
        <w:rPr>
          <w:rFonts w:hint="eastAsia"/>
          <w:szCs w:val="21"/>
        </w:rPr>
      </w:pPr>
      <w:r>
        <w:rPr>
          <w:rFonts w:hint="eastAsia"/>
          <w:szCs w:val="21"/>
        </w:rPr>
        <w:t>本企业最终控制方是</w:t>
      </w:r>
      <w:sdt>
        <w:sdtPr>
          <w:rPr>
            <w:rFonts w:hint="eastAsia"/>
            <w:szCs w:val="21"/>
          </w:rPr>
          <w:alias w:val="本企业最终控制方"/>
          <w:tag w:val="_GBC_951a676520994ab7a3822c5f58c20b7d"/>
          <w:id w:val="920374058"/>
          <w:placeholder>
            <w:docPart w:val="GBC22222222222222222222222222222"/>
          </w:placeholder>
        </w:sdtPr>
        <w:sdtEndPr>
          <w:rPr>
            <w:rFonts w:hint="eastAsia"/>
            <w:szCs w:val="21"/>
          </w:rPr>
        </w:sdtEndPr>
        <w:sdtContent>
          <w:r>
            <w:rPr>
              <w:rFonts w:hint="eastAsia"/>
              <w:szCs w:val="21"/>
            </w:rPr>
            <w:t>国务院国有资产监督管理委员会</w:t>
          </w:r>
        </w:sdtContent>
      </w:sdt>
    </w:p>
    <w:p w14:paraId="270939EF">
      <w:pPr>
        <w:rPr>
          <w:rFonts w:hint="eastAsia"/>
          <w:szCs w:val="21"/>
        </w:rPr>
      </w:pPr>
      <w:r>
        <w:rPr>
          <w:rFonts w:hint="eastAsia"/>
          <w:szCs w:val="21"/>
        </w:rPr>
        <w:t>其他说明：</w:t>
      </w:r>
    </w:p>
    <w:sdt>
      <w:sdtPr>
        <w:rPr>
          <w:szCs w:val="21"/>
        </w:rPr>
        <w:alias w:val="本企业的母公司情况的其他说明"/>
        <w:tag w:val="_GBC_72b4ca7a02944263a74be4174baff4cf"/>
        <w:id w:val="1725407529"/>
        <w:placeholder>
          <w:docPart w:val="GBC22222222222222222222222222222"/>
        </w:placeholder>
      </w:sdtPr>
      <w:sdtEndPr>
        <w:rPr>
          <w:szCs w:val="21"/>
        </w:rPr>
      </w:sdtEndPr>
      <w:sdtContent>
        <w:p w14:paraId="280047D6">
          <w:pPr>
            <w:rPr>
              <w:rFonts w:hint="eastAsia"/>
              <w:szCs w:val="21"/>
            </w:rPr>
          </w:pPr>
          <w:r>
            <w:rPr>
              <w:rFonts w:hint="eastAsia"/>
              <w:szCs w:val="21"/>
            </w:rPr>
            <w:t>无</w:t>
          </w:r>
        </w:p>
      </w:sdtContent>
    </w:sdt>
    <w:p w14:paraId="2DD0B78F">
      <w:pPr>
        <w:pStyle w:val="70"/>
        <w:numPr>
          <w:ilvl w:val="0"/>
          <w:numId w:val="163"/>
        </w:numPr>
      </w:pPr>
      <w:r>
        <w:rPr>
          <w:rFonts w:hint="eastAsia"/>
        </w:rPr>
        <w:t>本企业的子公司情况</w:t>
      </w:r>
    </w:p>
    <w:p w14:paraId="3B1EA21F">
      <w:pPr>
        <w:rPr>
          <w:rFonts w:hint="eastAsia"/>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167099883"/>
        <w:placeholder>
          <w:docPart w:val="GBC22222222222222222222222222222"/>
        </w:placeholder>
      </w:sdtPr>
      <w:sdtEndPr>
        <w:rPr>
          <w:rFonts w:hint="eastAsia"/>
          <w:szCs w:val="21"/>
        </w:rPr>
      </w:sdtEndPr>
      <w:sdtContent>
        <w:p w14:paraId="213E4971">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2088578888"/>
        <w:placeholder>
          <w:docPart w:val="GBC22222222222222222222222222222"/>
        </w:placeholder>
      </w:sdtPr>
      <w:sdtEndPr>
        <w:rPr>
          <w:rFonts w:hint="eastAsia"/>
          <w:szCs w:val="21"/>
        </w:rPr>
      </w:sdtEndPr>
      <w:sdtContent>
        <w:p w14:paraId="6D944725">
          <w:pPr>
            <w:rPr>
              <w:rFonts w:hint="eastAsia"/>
              <w:szCs w:val="21"/>
            </w:rPr>
          </w:pPr>
          <w:r>
            <w:rPr>
              <w:rFonts w:hint="eastAsia"/>
              <w:szCs w:val="21"/>
            </w:rPr>
            <w:t>十、1、（1）</w:t>
          </w:r>
        </w:p>
      </w:sdtContent>
    </w:sdt>
    <w:p w14:paraId="6C7A4123">
      <w:pPr>
        <w:tabs>
          <w:tab w:val="left" w:pos="1134"/>
        </w:tabs>
        <w:rPr>
          <w:rFonts w:hint="eastAsia" w:cs="Cambria"/>
          <w:szCs w:val="21"/>
        </w:rPr>
      </w:pPr>
    </w:p>
    <w:p w14:paraId="2921CEBB">
      <w:pPr>
        <w:pStyle w:val="70"/>
        <w:numPr>
          <w:ilvl w:val="0"/>
          <w:numId w:val="163"/>
        </w:numPr>
      </w:pPr>
      <w:r>
        <w:rPr>
          <w:rFonts w:hint="eastAsia"/>
        </w:rPr>
        <w:t>本企业合营和联营企业情况</w:t>
      </w:r>
    </w:p>
    <w:p w14:paraId="1104AEE2">
      <w:pPr>
        <w:rPr>
          <w:rFonts w:hint="eastAsia"/>
        </w:rPr>
      </w:pPr>
      <w:r>
        <w:rPr>
          <w:rFonts w:hint="eastAsia"/>
        </w:rPr>
        <w:t>本企业重要的合营或联营企业详见附注</w:t>
      </w:r>
    </w:p>
    <w:sdt>
      <w:sdtPr>
        <w:alias w:val="是否适用：本企业重要的合营或联营企业详见附注[双击切换]"/>
        <w:tag w:val="_GBC_a44d5ddc347344bcaadf8652bc7a927c"/>
        <w:id w:val="748538259"/>
        <w:placeholder>
          <w:docPart w:val="GBC22222222222222222222222222222"/>
        </w:placeholder>
      </w:sdtPr>
      <w:sdtContent>
        <w:p w14:paraId="7BB5CA7F">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2113554492"/>
        <w:placeholder>
          <w:docPart w:val="GBC22222222222222222222222222222"/>
        </w:placeholder>
      </w:sdtPr>
      <w:sdtEndPr>
        <w:rPr>
          <w:rFonts w:hint="eastAsia"/>
        </w:rPr>
      </w:sdtEndPr>
      <w:sdtContent>
        <w:p w14:paraId="08266566">
          <w:pPr>
            <w:rPr>
              <w:rFonts w:hint="eastAsia"/>
            </w:rPr>
          </w:pPr>
          <w:r>
            <w:rPr>
              <w:rFonts w:hint="eastAsia"/>
            </w:rPr>
            <w:t>十、3、（1）</w:t>
          </w:r>
        </w:p>
      </w:sdtContent>
    </w:sdt>
    <w:p w14:paraId="440CA5E3">
      <w:pPr>
        <w:rPr>
          <w:rFonts w:hint="eastAsia"/>
        </w:rPr>
      </w:pPr>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981644523"/>
        <w:placeholder>
          <w:docPart w:val="GBC22222222222222222222222222222"/>
        </w:placeholder>
      </w:sdtPr>
      <w:sdtContent>
        <w:p w14:paraId="3444D945">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3725"/>
      </w:tblGrid>
      <w:tr w14:paraId="3E8D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0e6d2a60380d424fbe39edbe16e876ad"/>
            <w:id w:val="1345363682"/>
          </w:sdtPr>
          <w:sdtContent>
            <w:tc>
              <w:tcPr>
                <w:tcW w:w="2889" w:type="pct"/>
                <w:tcBorders>
                  <w:top w:val="single" w:color="auto" w:sz="4" w:space="0"/>
                  <w:left w:val="single" w:color="auto" w:sz="4" w:space="0"/>
                  <w:bottom w:val="single" w:color="auto" w:sz="4" w:space="0"/>
                  <w:right w:val="single" w:color="auto" w:sz="4" w:space="0"/>
                </w:tcBorders>
                <w:shd w:val="clear" w:color="auto" w:fill="auto"/>
              </w:tcPr>
              <w:p w14:paraId="4AC974F1">
                <w:pPr>
                  <w:jc w:val="center"/>
                  <w:rPr>
                    <w:rFonts w:hint="eastAsia" w:cs="Cambria"/>
                    <w:szCs w:val="21"/>
                  </w:rPr>
                </w:pPr>
                <w:r>
                  <w:rPr>
                    <w:rFonts w:hint="eastAsia" w:cs="Cambria"/>
                    <w:szCs w:val="21"/>
                  </w:rPr>
                  <w:t>合营或联营企业名称</w:t>
                </w:r>
              </w:p>
            </w:tc>
          </w:sdtContent>
        </w:sdt>
        <w:sdt>
          <w:sdtPr>
            <w:tag w:val="_PLD_7a4c0374bc514021b6a270655cb81e9e"/>
            <w:id w:val="-1817408008"/>
          </w:sdtPr>
          <w:sdtContent>
            <w:tc>
              <w:tcPr>
                <w:tcW w:w="2111" w:type="pct"/>
                <w:tcBorders>
                  <w:top w:val="single" w:color="auto" w:sz="4" w:space="0"/>
                  <w:left w:val="single" w:color="auto" w:sz="4" w:space="0"/>
                  <w:bottom w:val="single" w:color="auto" w:sz="4" w:space="0"/>
                  <w:right w:val="single" w:color="auto" w:sz="4" w:space="0"/>
                </w:tcBorders>
                <w:shd w:val="clear" w:color="auto" w:fill="auto"/>
              </w:tcPr>
              <w:p w14:paraId="2D9815EC">
                <w:pPr>
                  <w:jc w:val="center"/>
                  <w:rPr>
                    <w:rFonts w:hint="eastAsia" w:cs="Cambria"/>
                    <w:szCs w:val="21"/>
                  </w:rPr>
                </w:pPr>
                <w:r>
                  <w:rPr>
                    <w:rFonts w:hint="eastAsia" w:cs="Cambria"/>
                    <w:szCs w:val="21"/>
                  </w:rPr>
                  <w:t>与本企业关系</w:t>
                </w:r>
              </w:p>
            </w:tc>
          </w:sdtContent>
        </w:sdt>
      </w:tr>
      <w:tr w14:paraId="272A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6002B05F">
            <w:pPr>
              <w:rPr>
                <w:rFonts w:hint="eastAsia"/>
                <w:szCs w:val="21"/>
              </w:rPr>
            </w:pPr>
            <w:r>
              <w:rPr>
                <w:rFonts w:hint="eastAsia"/>
                <w:color w:val="000000"/>
                <w:szCs w:val="21"/>
              </w:rPr>
              <w:t>南京英斯瑞德高分子材料股份有限公司</w:t>
            </w:r>
          </w:p>
        </w:tc>
        <w:tc>
          <w:tcPr>
            <w:tcW w:w="2111" w:type="pct"/>
            <w:tcBorders>
              <w:top w:val="single" w:color="auto" w:sz="4" w:space="0"/>
              <w:left w:val="single" w:color="auto" w:sz="4" w:space="0"/>
              <w:bottom w:val="single" w:color="auto" w:sz="4" w:space="0"/>
              <w:right w:val="single" w:color="auto" w:sz="4" w:space="0"/>
            </w:tcBorders>
          </w:tcPr>
          <w:p w14:paraId="623505C0">
            <w:pPr>
              <w:rPr>
                <w:rFonts w:hint="eastAsia"/>
                <w:szCs w:val="21"/>
              </w:rPr>
            </w:pPr>
            <w:r>
              <w:t>子公司联营企业</w:t>
            </w:r>
          </w:p>
        </w:tc>
      </w:tr>
      <w:tr w14:paraId="5665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2419AC6A">
            <w:pPr>
              <w:rPr>
                <w:rFonts w:hint="eastAsia"/>
                <w:szCs w:val="21"/>
              </w:rPr>
            </w:pPr>
            <w:r>
              <w:rPr>
                <w:rFonts w:hint="eastAsia"/>
                <w:color w:val="000000"/>
                <w:szCs w:val="21"/>
              </w:rPr>
              <w:t>河北玄德智能科技发展股份有限公司</w:t>
            </w:r>
          </w:p>
        </w:tc>
        <w:tc>
          <w:tcPr>
            <w:tcW w:w="2111" w:type="pct"/>
            <w:tcBorders>
              <w:top w:val="single" w:color="auto" w:sz="4" w:space="0"/>
              <w:left w:val="single" w:color="auto" w:sz="4" w:space="0"/>
              <w:bottom w:val="single" w:color="auto" w:sz="4" w:space="0"/>
              <w:right w:val="single" w:color="auto" w:sz="4" w:space="0"/>
            </w:tcBorders>
          </w:tcPr>
          <w:p w14:paraId="07F829BD">
            <w:pPr>
              <w:rPr>
                <w:rFonts w:hint="eastAsia"/>
                <w:szCs w:val="21"/>
              </w:rPr>
            </w:pPr>
            <w:r>
              <w:t>子公司联营企业</w:t>
            </w:r>
          </w:p>
        </w:tc>
      </w:tr>
      <w:tr w14:paraId="03C2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2116D713">
            <w:pPr>
              <w:rPr>
                <w:rFonts w:hint="eastAsia"/>
                <w:szCs w:val="21"/>
              </w:rPr>
            </w:pPr>
            <w:r>
              <w:rPr>
                <w:rFonts w:hint="eastAsia"/>
                <w:color w:val="000000"/>
                <w:szCs w:val="21"/>
              </w:rPr>
              <w:t>宜昌际华仙女服饰有限公司</w:t>
            </w:r>
          </w:p>
        </w:tc>
        <w:tc>
          <w:tcPr>
            <w:tcW w:w="2111" w:type="pct"/>
            <w:tcBorders>
              <w:top w:val="single" w:color="auto" w:sz="4" w:space="0"/>
              <w:left w:val="single" w:color="auto" w:sz="4" w:space="0"/>
              <w:bottom w:val="single" w:color="auto" w:sz="4" w:space="0"/>
              <w:right w:val="single" w:color="auto" w:sz="4" w:space="0"/>
            </w:tcBorders>
          </w:tcPr>
          <w:p w14:paraId="0445C5CE">
            <w:pPr>
              <w:rPr>
                <w:rFonts w:hint="eastAsia"/>
                <w:szCs w:val="21"/>
              </w:rPr>
            </w:pPr>
            <w:r>
              <w:t>子公司联营企业</w:t>
            </w:r>
          </w:p>
        </w:tc>
      </w:tr>
      <w:tr w14:paraId="5B3F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472284A5">
            <w:pPr>
              <w:rPr>
                <w:rFonts w:hint="eastAsia"/>
                <w:szCs w:val="21"/>
              </w:rPr>
            </w:pPr>
            <w:r>
              <w:rPr>
                <w:rFonts w:hint="eastAsia"/>
                <w:color w:val="000000"/>
                <w:szCs w:val="21"/>
              </w:rPr>
              <w:t>湖南中晟高分子新材料有限公司</w:t>
            </w:r>
          </w:p>
        </w:tc>
        <w:tc>
          <w:tcPr>
            <w:tcW w:w="2111" w:type="pct"/>
            <w:tcBorders>
              <w:top w:val="single" w:color="auto" w:sz="4" w:space="0"/>
              <w:left w:val="single" w:color="auto" w:sz="4" w:space="0"/>
              <w:bottom w:val="single" w:color="auto" w:sz="4" w:space="0"/>
              <w:right w:val="single" w:color="auto" w:sz="4" w:space="0"/>
            </w:tcBorders>
          </w:tcPr>
          <w:p w14:paraId="12477AD2">
            <w:pPr>
              <w:rPr>
                <w:rFonts w:hint="eastAsia"/>
                <w:szCs w:val="21"/>
              </w:rPr>
            </w:pPr>
            <w:r>
              <w:t>子公司联营企业</w:t>
            </w:r>
          </w:p>
        </w:tc>
      </w:tr>
      <w:tr w14:paraId="76AA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2FDF41D2">
            <w:pPr>
              <w:rPr>
                <w:rFonts w:hint="eastAsia"/>
                <w:szCs w:val="21"/>
              </w:rPr>
            </w:pPr>
            <w:r>
              <w:rPr>
                <w:rFonts w:hint="eastAsia"/>
                <w:color w:val="000000"/>
                <w:szCs w:val="21"/>
              </w:rPr>
              <w:t>湖北际华置业有限公司</w:t>
            </w:r>
          </w:p>
        </w:tc>
        <w:tc>
          <w:tcPr>
            <w:tcW w:w="2111" w:type="pct"/>
            <w:tcBorders>
              <w:top w:val="single" w:color="auto" w:sz="4" w:space="0"/>
              <w:left w:val="single" w:color="auto" w:sz="4" w:space="0"/>
              <w:bottom w:val="single" w:color="auto" w:sz="4" w:space="0"/>
              <w:right w:val="single" w:color="auto" w:sz="4" w:space="0"/>
            </w:tcBorders>
          </w:tcPr>
          <w:p w14:paraId="22ECEF6E">
            <w:pPr>
              <w:rPr>
                <w:rFonts w:hint="eastAsia"/>
                <w:szCs w:val="21"/>
              </w:rPr>
            </w:pPr>
            <w:r>
              <w:t>子公司联营企业</w:t>
            </w:r>
          </w:p>
        </w:tc>
      </w:tr>
      <w:tr w14:paraId="1F20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76205258">
            <w:pPr>
              <w:rPr>
                <w:rFonts w:hint="eastAsia"/>
                <w:szCs w:val="21"/>
              </w:rPr>
            </w:pPr>
            <w:r>
              <w:rPr>
                <w:rFonts w:hint="eastAsia"/>
                <w:color w:val="000000"/>
                <w:szCs w:val="21"/>
              </w:rPr>
              <w:t>际华洁能（天津）环保科技发展有限公司</w:t>
            </w:r>
          </w:p>
        </w:tc>
        <w:tc>
          <w:tcPr>
            <w:tcW w:w="2111" w:type="pct"/>
            <w:tcBorders>
              <w:top w:val="single" w:color="auto" w:sz="4" w:space="0"/>
              <w:left w:val="single" w:color="auto" w:sz="4" w:space="0"/>
              <w:bottom w:val="single" w:color="auto" w:sz="4" w:space="0"/>
              <w:right w:val="single" w:color="auto" w:sz="4" w:space="0"/>
            </w:tcBorders>
          </w:tcPr>
          <w:p w14:paraId="5103F021">
            <w:pPr>
              <w:rPr>
                <w:rFonts w:hint="eastAsia"/>
                <w:szCs w:val="21"/>
              </w:rPr>
            </w:pPr>
            <w:r>
              <w:t>子公司联营企业</w:t>
            </w:r>
          </w:p>
        </w:tc>
      </w:tr>
      <w:tr w14:paraId="64D6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889" w:type="pct"/>
            <w:tcBorders>
              <w:top w:val="single" w:color="auto" w:sz="4" w:space="0"/>
              <w:left w:val="single" w:color="auto" w:sz="4" w:space="0"/>
              <w:bottom w:val="single" w:color="auto" w:sz="4" w:space="0"/>
              <w:right w:val="single" w:color="auto" w:sz="4" w:space="0"/>
            </w:tcBorders>
          </w:tcPr>
          <w:p w14:paraId="2BA1E7F2">
            <w:pPr>
              <w:rPr>
                <w:rFonts w:hint="eastAsia"/>
                <w:szCs w:val="21"/>
              </w:rPr>
            </w:pPr>
            <w:r>
              <w:rPr>
                <w:rFonts w:hint="eastAsia"/>
                <w:color w:val="000000"/>
                <w:szCs w:val="21"/>
              </w:rPr>
              <w:t>邢台诚达房地产开发有限公司</w:t>
            </w:r>
          </w:p>
        </w:tc>
        <w:tc>
          <w:tcPr>
            <w:tcW w:w="2111" w:type="pct"/>
            <w:tcBorders>
              <w:top w:val="single" w:color="auto" w:sz="4" w:space="0"/>
              <w:left w:val="single" w:color="auto" w:sz="4" w:space="0"/>
              <w:bottom w:val="single" w:color="auto" w:sz="4" w:space="0"/>
              <w:right w:val="single" w:color="auto" w:sz="4" w:space="0"/>
            </w:tcBorders>
          </w:tcPr>
          <w:p w14:paraId="7D4BED2D">
            <w:pPr>
              <w:rPr>
                <w:rFonts w:hint="eastAsia"/>
                <w:szCs w:val="21"/>
              </w:rPr>
            </w:pPr>
            <w:r>
              <w:t>子公司联营企业</w:t>
            </w:r>
          </w:p>
        </w:tc>
      </w:tr>
    </w:tbl>
    <w:p w14:paraId="3CF74883">
      <w:pPr>
        <w:rPr>
          <w:rFonts w:hint="eastAsia"/>
        </w:rPr>
      </w:pPr>
    </w:p>
    <w:p w14:paraId="567F8319">
      <w:pPr>
        <w:tabs>
          <w:tab w:val="left" w:pos="1134"/>
        </w:tabs>
        <w:rPr>
          <w:rFonts w:hint="eastAsia" w:cs="Cambria"/>
          <w:szCs w:val="21"/>
        </w:rPr>
      </w:pPr>
      <w:r>
        <w:rPr>
          <w:rFonts w:hint="eastAsia" w:cs="Cambria"/>
          <w:szCs w:val="21"/>
        </w:rPr>
        <w:t>其他说明：</w:t>
      </w:r>
    </w:p>
    <w:sdt>
      <w:sdtPr>
        <w:rPr>
          <w:rFonts w:cs="Cambria"/>
          <w:szCs w:val="21"/>
        </w:rPr>
        <w:alias w:val="是否适用：存在关联方交易或余额的合营和联营企业情况说明[双击切换]"/>
        <w:tag w:val="_GBC_491f62bb76ba49c482a64272865cc4a1"/>
        <w:id w:val="-869295157"/>
        <w:placeholder>
          <w:docPart w:val="GBC22222222222222222222222222222"/>
        </w:placeholder>
      </w:sdtPr>
      <w:sdtEndPr>
        <w:rPr>
          <w:rFonts w:cs="Cambria"/>
          <w:szCs w:val="21"/>
        </w:rPr>
      </w:sdtEndPr>
      <w:sdtContent>
        <w:p w14:paraId="32DB540D">
          <w:pPr>
            <w:tabs>
              <w:tab w:val="left" w:pos="1134"/>
            </w:tabs>
            <w:rPr>
              <w:rFonts w:hint="eastAsia" w:cs="Cambria"/>
              <w:szCs w:val="21"/>
            </w:rPr>
          </w:pPr>
          <w:r>
            <w:rPr>
              <w:rFonts w:cs="Cambria"/>
              <w:szCs w:val="21"/>
            </w:rPr>
            <w:fldChar w:fldCharType="begin"/>
          </w:r>
          <w:r>
            <w:rPr>
              <w:rFonts w:hint="eastAsia" w:cs="Cambria"/>
              <w:szCs w:val="21"/>
            </w:rPr>
            <w:instrText xml:space="preserve">MACROBUTTON  SnrToggleCheckbox □适用 </w:instrText>
          </w:r>
          <w:r>
            <w:rPr>
              <w:rFonts w:cs="Cambria"/>
              <w:szCs w:val="21"/>
            </w:rPr>
            <w:fldChar w:fldCharType="end"/>
          </w:r>
          <w:r>
            <w:rPr>
              <w:rFonts w:cs="Cambria"/>
              <w:szCs w:val="21"/>
            </w:rPr>
            <w:fldChar w:fldCharType="begin"/>
          </w:r>
          <w:r>
            <w:rPr>
              <w:rFonts w:hint="eastAsia" w:cs="Cambria"/>
              <w:szCs w:val="21"/>
            </w:rPr>
            <w:instrText xml:space="preserve"> MACROBUTTON  SnrToggleCheckbox √不适用 </w:instrText>
          </w:r>
          <w:r>
            <w:rPr>
              <w:rFonts w:cs="Cambria"/>
              <w:szCs w:val="21"/>
            </w:rPr>
            <w:fldChar w:fldCharType="end"/>
          </w:r>
        </w:p>
      </w:sdtContent>
    </w:sdt>
    <w:p w14:paraId="2334531C">
      <w:pPr>
        <w:tabs>
          <w:tab w:val="left" w:pos="1134"/>
        </w:tabs>
        <w:rPr>
          <w:rFonts w:hint="eastAsia" w:cs="Cambria"/>
          <w:szCs w:val="21"/>
        </w:rPr>
      </w:pPr>
    </w:p>
    <w:p w14:paraId="29653197">
      <w:pPr>
        <w:pStyle w:val="70"/>
        <w:numPr>
          <w:ilvl w:val="0"/>
          <w:numId w:val="163"/>
        </w:numPr>
      </w:pPr>
      <w:r>
        <w:rPr>
          <w:rFonts w:hint="eastAsia"/>
        </w:rPr>
        <w:t>其他关联方情况</w:t>
      </w:r>
    </w:p>
    <w:sdt>
      <w:sdtPr>
        <w:alias w:val="是否适用：其他关联方情况[双击切换]"/>
        <w:tag w:val="_GBC_42246b4c04fc4462b5fb05a5db67f4d0"/>
        <w:id w:val="383924952"/>
        <w:placeholder>
          <w:docPart w:val="GBC22222222222222222222222222222"/>
        </w:placeholder>
      </w:sdtPr>
      <w:sdtContent>
        <w:p w14:paraId="2A2C2E3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3725"/>
      </w:tblGrid>
      <w:tr w14:paraId="4E34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blHeader/>
        </w:trPr>
        <w:sdt>
          <w:sdtPr>
            <w:tag w:val="_PLD_36db3e8c12e04d279b0c2956ad69d8a6"/>
            <w:id w:val="-2011368062"/>
          </w:sdtPr>
          <w:sdtContent>
            <w:tc>
              <w:tcPr>
                <w:tcW w:w="2889" w:type="pct"/>
                <w:tcBorders>
                  <w:top w:val="single" w:color="auto" w:sz="4" w:space="0"/>
                  <w:left w:val="single" w:color="auto" w:sz="4" w:space="0"/>
                  <w:bottom w:val="single" w:color="auto" w:sz="4" w:space="0"/>
                  <w:right w:val="single" w:color="auto" w:sz="4" w:space="0"/>
                </w:tcBorders>
                <w:shd w:val="clear" w:color="auto" w:fill="auto"/>
                <w:vAlign w:val="center"/>
              </w:tcPr>
              <w:p w14:paraId="0A195356">
                <w:pPr>
                  <w:jc w:val="center"/>
                  <w:rPr>
                    <w:rFonts w:hint="eastAsia" w:cs="Cambria"/>
                    <w:szCs w:val="21"/>
                  </w:rPr>
                </w:pPr>
                <w:r>
                  <w:rPr>
                    <w:rFonts w:hint="eastAsia" w:cs="Cambria"/>
                    <w:szCs w:val="21"/>
                  </w:rPr>
                  <w:t>其他关联方名称</w:t>
                </w:r>
              </w:p>
            </w:tc>
          </w:sdtContent>
        </w:sdt>
        <w:sdt>
          <w:sdtPr>
            <w:tag w:val="_PLD_b851a2cc9280416290b9ebf815c49236"/>
            <w:id w:val="-348264356"/>
          </w:sdtPr>
          <w:sdtContent>
            <w:tc>
              <w:tcPr>
                <w:tcW w:w="2111" w:type="pct"/>
                <w:tcBorders>
                  <w:top w:val="single" w:color="auto" w:sz="4" w:space="0"/>
                  <w:left w:val="single" w:color="auto" w:sz="4" w:space="0"/>
                  <w:bottom w:val="single" w:color="auto" w:sz="4" w:space="0"/>
                  <w:right w:val="single" w:color="auto" w:sz="4" w:space="0"/>
                </w:tcBorders>
                <w:shd w:val="clear" w:color="auto" w:fill="auto"/>
                <w:vAlign w:val="center"/>
              </w:tcPr>
              <w:p w14:paraId="089EC690">
                <w:pPr>
                  <w:jc w:val="center"/>
                  <w:rPr>
                    <w:rFonts w:hint="eastAsia" w:cs="Cambria"/>
                    <w:szCs w:val="21"/>
                  </w:rPr>
                </w:pPr>
                <w:r>
                  <w:rPr>
                    <w:rFonts w:hint="eastAsia" w:cs="Cambria"/>
                    <w:szCs w:val="21"/>
                  </w:rPr>
                  <w:t>其他关联方与本企业关系</w:t>
                </w:r>
              </w:p>
            </w:tc>
          </w:sdtContent>
        </w:sdt>
      </w:tr>
      <w:tr w14:paraId="6965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5452971">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北京呼家楼宾馆有限公司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953A820">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78BB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5D78F4E">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河北新兴能源科技股份有限公司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9A1A170">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611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1C0212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际华（北京）康养产业发展有限公司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2C4E1A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ABC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5E40D8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新兴际华（北京）材料技术研究院有限公司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18E816B7">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415B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FCD1B0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新兴际华应急装备技术有限公司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A93561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001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D09904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新兴际华资产经营管理有限公司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2F1597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3F4A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FD4730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芜湖新兴铸管有限责任公司</w:t>
            </w:r>
          </w:p>
        </w:tc>
        <w:tc>
          <w:tcPr>
            <w:tcW w:w="2111" w:type="pct"/>
            <w:tcBorders>
              <w:top w:val="single" w:color="auto" w:sz="4" w:space="0"/>
              <w:left w:val="single" w:color="auto" w:sz="4" w:space="0"/>
              <w:bottom w:val="single" w:color="auto" w:sz="4" w:space="0"/>
              <w:right w:val="single" w:color="auto" w:sz="4" w:space="0"/>
            </w:tcBorders>
            <w:vAlign w:val="bottom"/>
          </w:tcPr>
          <w:p w14:paraId="344E6A2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A68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CCCFB67">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新兴际华投资有限公司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ED55D4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739C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571CA34">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新兴际华应急产业有限公司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9671BA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DEF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2F90BEF">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石家庄际华资产管理有限公司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74BB1C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2C78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A09F18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广东新兴铸管有限公司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A8431D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61D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5B1194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上海际华物流有限公司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623CA87">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951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512DA8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际华五三零三服装有限公司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F55600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3C9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214A530">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辽宁际华三五二三特种装备有限公司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D11ED4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7F3B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52A517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秦皇岛际华三五四四鞋业有限公司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384F86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78A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BA4617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贵州际华三五三五商贸有限公司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C3B3C70">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3C7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4DEA14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新兴职业装备生产技术研究所</w:t>
            </w:r>
          </w:p>
        </w:tc>
        <w:tc>
          <w:tcPr>
            <w:tcW w:w="2111" w:type="pct"/>
            <w:tcBorders>
              <w:top w:val="single" w:color="auto" w:sz="4" w:space="0"/>
              <w:left w:val="single" w:color="auto" w:sz="4" w:space="0"/>
              <w:bottom w:val="single" w:color="auto" w:sz="4" w:space="0"/>
              <w:right w:val="single" w:color="auto" w:sz="4" w:space="0"/>
            </w:tcBorders>
            <w:vAlign w:val="bottom"/>
          </w:tcPr>
          <w:p w14:paraId="2BDE8CA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C2C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01A1CF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济南泰山鞋厂</w:t>
            </w:r>
          </w:p>
        </w:tc>
        <w:tc>
          <w:tcPr>
            <w:tcW w:w="2111" w:type="pct"/>
            <w:tcBorders>
              <w:top w:val="single" w:color="auto" w:sz="4" w:space="0"/>
              <w:left w:val="single" w:color="auto" w:sz="4" w:space="0"/>
              <w:bottom w:val="single" w:color="auto" w:sz="4" w:space="0"/>
              <w:right w:val="single" w:color="auto" w:sz="4" w:space="0"/>
            </w:tcBorders>
            <w:vAlign w:val="bottom"/>
          </w:tcPr>
          <w:p w14:paraId="64D64BF4">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2CD5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C9355A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黄石新兴管业有限公司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B490F1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FB3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BB19847">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湖北新兴全力机械有限公司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72BA05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BE8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3FF4A1F">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新兴重工集团有限公司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3CB5E2E">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B2F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EDFDA8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新兴河北工程技术有限公司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CD0393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2432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E0BC0B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天津华津制药有限公司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3ED5DC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CD7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CC3C3A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河北新兴铸管有限公司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D3607D5">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28CD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85606B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桃江新兴管件有限责任公司</w:t>
            </w:r>
          </w:p>
        </w:tc>
        <w:tc>
          <w:tcPr>
            <w:tcW w:w="2111" w:type="pct"/>
            <w:tcBorders>
              <w:top w:val="single" w:color="auto" w:sz="4" w:space="0"/>
              <w:left w:val="single" w:color="auto" w:sz="4" w:space="0"/>
              <w:bottom w:val="single" w:color="auto" w:sz="4" w:space="0"/>
              <w:right w:val="single" w:color="auto" w:sz="4" w:space="0"/>
            </w:tcBorders>
            <w:vAlign w:val="bottom"/>
          </w:tcPr>
          <w:p w14:paraId="374D3A95">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E3E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1B4E5F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新兴铸管新疆控股集团有限公司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3E689B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869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743676F">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聚联智汇水务科技有限公司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1FE3FCE5">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7D9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7890324">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上海三五一六置业有限公司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E4A6A39">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2B9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D7F99C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广州新星投资发展有限公司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33A682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131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440E75C">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中新联进出口有限公司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8F885C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095E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7EBF8D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北京三五零一服装厂有限公司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2B5F3F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81B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35A347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武汉际华园投资建设有限公司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69BF53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3D1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24F2CC6">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咸阳际华投资发展有限公司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275949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2E5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EF073D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汉川际华三五零九置业有限公司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999231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2EA7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1DD0CA4">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新兴际华检验检测（北京）有限公司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83AB110">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00B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121426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天津双鹿大厦有限公司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3FDF0C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BD0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F9CF05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南京际华五三零二科技发展有限公司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2BD1B6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355D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8D9D3C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广东际华园投资发展有限公司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79EE25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BF0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48261A0">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荷原置业江苏有限公司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8E81EC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A9B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67555B1">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新兴际华（岳阳）投资发展有限公司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E652DC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69A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F518E5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际华军研（北京）特种装备科技有限公司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6CECCFD">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78C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058457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南京新际资产运营有限公司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56DFCE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8A0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E93843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际华三五二三特种装备有限公司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C44709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3935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F9C35C6">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新兴铸管（上海）供应链管理有限公司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6C7C74C">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BEC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056F3C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新兴铸管国际发展有限公司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2D336DE">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B9A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3F979B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新兴际华伊犁农牧科技发展有限公司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4BFC2A4">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3A8D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FB590A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襄阳新兴际华投资发展有限公司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37BAC4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F99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DBEF051">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南京三五〇三投资发展有限公司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1164D1D">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CE2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C4B16CC">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新兴铸管集团邯郸新材料有限公司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7B66F9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1E0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A342977">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新兴际华集团财务有限公司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E27A48E">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48B0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32A18F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河南甾体生物科技有限公司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10C1C9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C2D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6DAD81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沧州新兴新材料有限公司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4A07ED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BF9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1827B61">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北京三兴汽车有限公司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5C404D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6FF8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05C4BEE">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上海力声特医学科技有限公司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FD9C21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CC6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00B1F1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天津金汇药业集团有限公司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5B430E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6B37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89A8AA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财富嘉苑（天津）置业有限公司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BC6F880">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9E8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E2475F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新兴发展（芜湖）有限公司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7CF61D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8FB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B4BC53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新兴铸管阜康能源有限公司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4D92207">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7EA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439027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中铸新兴企业管理有限公司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A1FFAED">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7E07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CF62A9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新兴铸管股份有限公司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ACD38C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469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231F97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新兴发展（北京）国际贸易有限公司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23B34E7">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BB3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323D60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新兴凌云医药化工有限公司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0D5F8B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5D2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4B05463">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中钢集团滨海实业有限公司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BA220D9">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4663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989A94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广东新兴发展供应链管理有限公司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212FEB5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52BD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785136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贵港新兴城投有限责任公司</w:t>
            </w:r>
          </w:p>
        </w:tc>
        <w:tc>
          <w:tcPr>
            <w:tcW w:w="2111" w:type="pct"/>
            <w:tcBorders>
              <w:top w:val="single" w:color="auto" w:sz="4" w:space="0"/>
              <w:left w:val="single" w:color="auto" w:sz="4" w:space="0"/>
              <w:bottom w:val="single" w:color="auto" w:sz="4" w:space="0"/>
              <w:right w:val="single" w:color="auto" w:sz="4" w:space="0"/>
            </w:tcBorders>
            <w:vAlign w:val="bottom"/>
          </w:tcPr>
          <w:p w14:paraId="47459049">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FE8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B920E21">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新兴际华（上海）工程科技研究院有限公司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D34DBF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0EDB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6CB1CD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陕西际华园开发建设有限公司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91ED4EC">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030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018539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四川省川建管道有限公司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104AC9E7">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9EB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D3DA68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新兴际华科技集团有限公司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12A2C1C">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71B0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8AAAC3F">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荷原商业管理（北京）有限公司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69EB5C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42E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DD26BA0">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武汉汉江资产运营有限公司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C779F7B">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0AA0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8B5E06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新兴移山（天津）重工有限公司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46DFD73">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F5C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938B467">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新兴际华物业服务（北京）有限公司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F6DB8F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964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D01D6C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新兴际华（北京）应急救援科技有限公司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1A99CD44">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7C0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AE738EB">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荷原置地控股有限公司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537F5A86">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D49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14EBF3B5">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际华（天津）智能热力有限公司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AF111EA">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其他关联方</w:t>
            </w:r>
          </w:p>
        </w:tc>
      </w:tr>
      <w:tr w14:paraId="4DDB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5FCCA57">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湖北三六一一应急装备有限公司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DEB103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1B83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68978F02">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襄阳新兴精密制造有限公司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195636DD">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631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10967F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天津移山工程机械有限公司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0E682B8">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80E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2964CA9">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新兴际华科技（天津）有限公司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6B07DF4C">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4415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A4639FF">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新兴铸管（上海）金属资源有限公司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032BD849">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32EA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7B0D7E3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大连新东昌置地有限公司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FB020E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7751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5F8DB4A4">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鄂钢医院</w:t>
            </w:r>
          </w:p>
        </w:tc>
        <w:tc>
          <w:tcPr>
            <w:tcW w:w="2111" w:type="pct"/>
            <w:tcBorders>
              <w:top w:val="single" w:color="auto" w:sz="4" w:space="0"/>
              <w:left w:val="single" w:color="auto" w:sz="4" w:space="0"/>
              <w:bottom w:val="single" w:color="auto" w:sz="4" w:space="0"/>
              <w:right w:val="single" w:color="auto" w:sz="4" w:space="0"/>
            </w:tcBorders>
            <w:vAlign w:val="bottom"/>
          </w:tcPr>
          <w:p w14:paraId="5A57D9F5">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母公司的控股子公司</w:t>
            </w:r>
          </w:p>
        </w:tc>
      </w:tr>
      <w:tr w14:paraId="15CB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0B94206D">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新兴达美（天津）投资有限公司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CACA1E1">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28E0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2BFD9E4A">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新兴际华资本控股有限公司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3BAE4D82">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5AE6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3CEF5894">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三兴汽车（天津）有限公司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4525EC46">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r w14:paraId="78F8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889" w:type="pct"/>
            <w:tcBorders>
              <w:top w:val="single" w:color="auto" w:sz="4" w:space="0"/>
              <w:left w:val="single" w:color="auto" w:sz="4" w:space="0"/>
              <w:bottom w:val="single" w:color="auto" w:sz="4" w:space="0"/>
              <w:right w:val="single" w:color="auto" w:sz="4" w:space="0"/>
            </w:tcBorders>
            <w:vAlign w:val="bottom"/>
          </w:tcPr>
          <w:p w14:paraId="470DF4C8">
            <w:pPr>
              <w:rPr>
                <w:rFonts w:hint="eastAsia" w:cs="Cambria" w:asciiTheme="minorEastAsia" w:hAnsiTheme="minorEastAsia" w:eastAsiaTheme="minorEastAsia"/>
                <w:szCs w:val="21"/>
              </w:rPr>
            </w:pPr>
            <w:r>
              <w:rPr>
                <w:rFonts w:hint="eastAsia" w:asciiTheme="minorEastAsia" w:hAnsiTheme="minorEastAsia" w:eastAsiaTheme="minorEastAsia"/>
                <w:color w:val="000000"/>
                <w:szCs w:val="21"/>
              </w:rPr>
              <w:t>新兴际华（北京）智能装备技术研究院有限公司</w:t>
            </w:r>
          </w:p>
        </w:tc>
        <w:tc>
          <w:tcPr>
            <w:tcW w:w="2111" w:type="pct"/>
            <w:tcBorders>
              <w:top w:val="single" w:color="auto" w:sz="4" w:space="0"/>
              <w:left w:val="single" w:color="auto" w:sz="4" w:space="0"/>
              <w:bottom w:val="single" w:color="auto" w:sz="4" w:space="0"/>
              <w:right w:val="single" w:color="auto" w:sz="4" w:space="0"/>
            </w:tcBorders>
            <w:vAlign w:val="bottom"/>
          </w:tcPr>
          <w:p w14:paraId="7D747D4F">
            <w:pPr>
              <w:rPr>
                <w:rFonts w:hint="eastAsia" w:asciiTheme="minorEastAsia" w:hAnsiTheme="minorEastAsia" w:eastAsiaTheme="minorEastAsia"/>
                <w:szCs w:val="21"/>
              </w:rPr>
            </w:pPr>
            <w:r>
              <w:rPr>
                <w:rFonts w:hint="eastAsia" w:asciiTheme="minorEastAsia" w:hAnsiTheme="minorEastAsia" w:eastAsiaTheme="minorEastAsia"/>
                <w:color w:val="000000"/>
                <w:szCs w:val="21"/>
              </w:rPr>
              <w:t>母公司的全资子公司</w:t>
            </w:r>
          </w:p>
        </w:tc>
      </w:tr>
    </w:tbl>
    <w:p w14:paraId="64F626DD">
      <w:pPr>
        <w:rPr>
          <w:rFonts w:hint="eastAsia"/>
        </w:rPr>
      </w:pPr>
    </w:p>
    <w:p w14:paraId="3B681FAE">
      <w:pPr>
        <w:tabs>
          <w:tab w:val="left" w:pos="1134"/>
        </w:tabs>
        <w:rPr>
          <w:rFonts w:hint="eastAsia" w:cs="Cambria"/>
          <w:szCs w:val="21"/>
        </w:rPr>
      </w:pPr>
      <w:r>
        <w:rPr>
          <w:rFonts w:hint="eastAsia" w:cs="Cambria"/>
          <w:szCs w:val="21"/>
        </w:rPr>
        <w:t>其他说明：</w:t>
      </w:r>
    </w:p>
    <w:sdt>
      <w:sdtPr>
        <w:rPr>
          <w:rFonts w:cs="Cambria"/>
          <w:szCs w:val="21"/>
        </w:rPr>
        <w:alias w:val="本企业的其他关联方情况的说明"/>
        <w:tag w:val="_GBC_117952daaba845fa964eb3e2e22e8fc5"/>
        <w:id w:val="808678763"/>
        <w:placeholder>
          <w:docPart w:val="GBC22222222222222222222222222222"/>
        </w:placeholder>
      </w:sdtPr>
      <w:sdtEndPr>
        <w:rPr>
          <w:rFonts w:cs="Cambria"/>
          <w:szCs w:val="21"/>
        </w:rPr>
      </w:sdtEndPr>
      <w:sdtContent>
        <w:p w14:paraId="24942C01">
          <w:pPr>
            <w:tabs>
              <w:tab w:val="left" w:pos="1134"/>
            </w:tabs>
            <w:rPr>
              <w:rFonts w:hint="eastAsia" w:cs="Cambria"/>
              <w:szCs w:val="21"/>
            </w:rPr>
          </w:pPr>
          <w:r>
            <w:rPr>
              <w:rFonts w:hint="eastAsia" w:cs="Cambria"/>
              <w:szCs w:val="21"/>
            </w:rPr>
            <w:t>无</w:t>
          </w:r>
        </w:p>
      </w:sdtContent>
    </w:sdt>
    <w:p w14:paraId="6368FB60">
      <w:pPr>
        <w:tabs>
          <w:tab w:val="left" w:pos="1134"/>
        </w:tabs>
        <w:rPr>
          <w:rFonts w:hint="eastAsia" w:cs="Cambria"/>
          <w:b/>
          <w:szCs w:val="21"/>
        </w:rPr>
      </w:pPr>
    </w:p>
    <w:p w14:paraId="4D8089FC">
      <w:pPr>
        <w:pStyle w:val="70"/>
        <w:numPr>
          <w:ilvl w:val="0"/>
          <w:numId w:val="163"/>
        </w:numPr>
      </w:pPr>
      <w:r>
        <w:rPr>
          <w:rFonts w:hint="eastAsia"/>
        </w:rPr>
        <w:t>关联交易情况</w:t>
      </w:r>
    </w:p>
    <w:p w14:paraId="573A68E7">
      <w:pPr>
        <w:pStyle w:val="71"/>
        <w:numPr>
          <w:ilvl w:val="3"/>
          <w:numId w:val="164"/>
        </w:numPr>
        <w:ind w:left="424" w:hanging="424" w:hangingChars="201"/>
        <w:rPr>
          <w:rFonts w:hint="eastAsia"/>
        </w:rPr>
      </w:pPr>
      <w:r>
        <w:rPr>
          <w:rFonts w:hint="eastAsia"/>
        </w:rPr>
        <w:t>购销商品、提供和接受劳务的关联交易</w:t>
      </w:r>
    </w:p>
    <w:p w14:paraId="76D75662">
      <w:pPr>
        <w:rPr>
          <w:rFonts w:hint="eastAsia"/>
        </w:rPr>
      </w:pPr>
      <w:r>
        <w:rPr>
          <w:rFonts w:hint="eastAsia"/>
        </w:rPr>
        <w:t>采购商品/接受劳务情况表</w:t>
      </w:r>
    </w:p>
    <w:sdt>
      <w:sdtPr>
        <w:alias w:val="是否适用：采购商品或接受劳务情况表[双击切换]"/>
        <w:tag w:val="_GBC_c080653feddc4cf2a468adfbb755dff3"/>
        <w:id w:val="-484782175"/>
        <w:placeholder>
          <w:docPart w:val="GBC22222222222222222222222222222"/>
        </w:placeholder>
      </w:sdtPr>
      <w:sdtContent>
        <w:p w14:paraId="3E19E018">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B6C12E">
      <w:pPr>
        <w:jc w:val="right"/>
        <w:rPr>
          <w:rFonts w:hint="eastAsia" w:cs="Cambria"/>
          <w:b/>
          <w:bCs/>
          <w:szCs w:val="21"/>
        </w:rPr>
      </w:pPr>
      <w:r>
        <w:rPr>
          <w:rFonts w:hint="eastAsia" w:cs="Cambria"/>
          <w:szCs w:val="21"/>
        </w:rPr>
        <w:t>单位：</w:t>
      </w:r>
      <w:sdt>
        <w:sdtPr>
          <w:rPr>
            <w:rFonts w:hint="eastAsia" w:cs="Cambria"/>
            <w:szCs w:val="21"/>
          </w:rPr>
          <w:alias w:val="单位：采购商品接受劳务情况表"/>
          <w:tag w:val="_GBC_60c7e55aaf24447a8a860810d4064a69"/>
          <w:id w:val="-11167510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szCs w:val="21"/>
          </w:rPr>
        </w:sdtEndPr>
        <w:sdtContent>
          <w:r>
            <w:rPr>
              <w:rFonts w:hint="eastAsia" w:cs="Cambria"/>
              <w:szCs w:val="21"/>
            </w:rPr>
            <w:t>元</w:t>
          </w:r>
        </w:sdtContent>
      </w:sdt>
      <w:r>
        <w:rPr>
          <w:rFonts w:hint="eastAsia" w:cs="Cambria"/>
          <w:szCs w:val="21"/>
        </w:rPr>
        <w:t xml:space="preserve">  币种：</w:t>
      </w:r>
      <w:sdt>
        <w:sdtPr>
          <w:rPr>
            <w:rFonts w:hint="eastAsia" w:cs="Cambria"/>
            <w:szCs w:val="21"/>
          </w:rPr>
          <w:alias w:val="币种：采购商品接受劳务情况表"/>
          <w:tag w:val="_GBC_18feeecfa5c34459a62da7de5d6b5a90"/>
          <w:id w:val="7385177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szCs w:val="21"/>
          </w:rPr>
        </w:sdtEndPr>
        <w:sdtContent>
          <w:r>
            <w:rPr>
              <w:rFonts w:hint="eastAsia" w:cs="Cambr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822"/>
        <w:gridCol w:w="1703"/>
        <w:gridCol w:w="1558"/>
        <w:gridCol w:w="1740"/>
      </w:tblGrid>
      <w:tr w14:paraId="34B78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5" w:hRule="atLeast"/>
          <w:tblHeader/>
        </w:trPr>
        <w:sdt>
          <w:sdtPr>
            <w:rPr>
              <w:rFonts w:ascii="Arial Narrow" w:hAnsi="Arial Narrow" w:eastAsiaTheme="minorEastAsia"/>
              <w:szCs w:val="21"/>
            </w:rPr>
            <w:tag w:val="_PLD_ed4fd195f176464f83eb8db1dbcbc443"/>
            <w:id w:val="340284026"/>
          </w:sdtPr>
          <w:sdtEndPr>
            <w:rPr>
              <w:rFonts w:ascii="Arial Narrow" w:hAnsi="Arial Narrow" w:eastAsiaTheme="minorEastAsia"/>
              <w:szCs w:val="21"/>
            </w:rPr>
          </w:sdtEndPr>
          <w:sdtContent>
            <w:tc>
              <w:tcPr>
                <w:tcW w:w="2166" w:type="pct"/>
                <w:tcBorders>
                  <w:top w:val="single" w:color="auto" w:sz="4" w:space="0"/>
                  <w:left w:val="single" w:color="auto" w:sz="4" w:space="0"/>
                  <w:bottom w:val="single" w:color="auto" w:sz="4" w:space="0"/>
                  <w:right w:val="single" w:color="auto" w:sz="4" w:space="0"/>
                </w:tcBorders>
                <w:shd w:val="clear" w:color="auto" w:fill="auto"/>
                <w:vAlign w:val="center"/>
              </w:tcPr>
              <w:p w14:paraId="02FA0E75">
                <w:pPr>
                  <w:jc w:val="center"/>
                  <w:rPr>
                    <w:rFonts w:ascii="Arial Narrow" w:hAnsi="Arial Narrow" w:cs="Cambria" w:eastAsiaTheme="minorEastAsia"/>
                    <w:szCs w:val="21"/>
                  </w:rPr>
                </w:pPr>
                <w:r>
                  <w:rPr>
                    <w:rFonts w:ascii="Arial Narrow" w:hAnsi="Arial Narrow" w:cs="Cambria" w:eastAsiaTheme="minorEastAsia"/>
                    <w:szCs w:val="21"/>
                  </w:rPr>
                  <w:t>关联方</w:t>
                </w:r>
              </w:p>
            </w:tc>
          </w:sdtContent>
        </w:sdt>
        <w:sdt>
          <w:sdtPr>
            <w:rPr>
              <w:rFonts w:ascii="Arial Narrow" w:hAnsi="Arial Narrow" w:eastAsiaTheme="minorEastAsia"/>
              <w:szCs w:val="21"/>
            </w:rPr>
            <w:tag w:val="_PLD_013e7578c973447da6bccdb1a3924d96"/>
            <w:id w:val="1454285464"/>
          </w:sdtPr>
          <w:sdtEndPr>
            <w:rPr>
              <w:rFonts w:ascii="Arial Narrow" w:hAnsi="Arial Narrow" w:eastAsiaTheme="minorEastAsia"/>
              <w:szCs w:val="21"/>
            </w:rPr>
          </w:sdtEndPr>
          <w:sdtContent>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4E093EDF">
                <w:pPr>
                  <w:jc w:val="center"/>
                  <w:rPr>
                    <w:rFonts w:ascii="Arial Narrow" w:hAnsi="Arial Narrow" w:cs="Cambria" w:eastAsiaTheme="minorEastAsia"/>
                    <w:szCs w:val="21"/>
                  </w:rPr>
                </w:pPr>
                <w:r>
                  <w:rPr>
                    <w:rFonts w:ascii="Arial Narrow" w:hAnsi="Arial Narrow" w:cs="Cambria" w:eastAsiaTheme="minorEastAsia"/>
                    <w:szCs w:val="21"/>
                  </w:rPr>
                  <w:t>关联交易内容</w:t>
                </w:r>
              </w:p>
            </w:tc>
          </w:sdtContent>
        </w:sdt>
        <w:sdt>
          <w:sdtPr>
            <w:rPr>
              <w:rFonts w:ascii="Arial Narrow" w:hAnsi="Arial Narrow" w:eastAsiaTheme="minorEastAsia"/>
              <w:szCs w:val="21"/>
            </w:rPr>
            <w:tag w:val="_PLD_6b54e09a146a4c34bba286909831c05b"/>
            <w:id w:val="35324816"/>
          </w:sdtPr>
          <w:sdtEndPr>
            <w:rPr>
              <w:rFonts w:ascii="Arial Narrow" w:hAnsi="Arial Narrow" w:eastAsiaTheme="minorEastAsia"/>
              <w:szCs w:val="21"/>
            </w:rPr>
          </w:sdtEndPr>
          <w:sdtContent>
            <w:tc>
              <w:tcPr>
                <w:tcW w:w="883" w:type="pct"/>
                <w:tcBorders>
                  <w:top w:val="single" w:color="auto" w:sz="4" w:space="0"/>
                  <w:left w:val="single" w:color="auto" w:sz="4" w:space="0"/>
                  <w:right w:val="single" w:color="auto" w:sz="4" w:space="0"/>
                </w:tcBorders>
                <w:shd w:val="clear" w:color="auto" w:fill="auto"/>
                <w:vAlign w:val="center"/>
              </w:tcPr>
              <w:p w14:paraId="53BDDCD6">
                <w:pPr>
                  <w:jc w:val="center"/>
                  <w:rPr>
                    <w:rFonts w:ascii="Arial Narrow" w:hAnsi="Arial Narrow" w:cs="Cambria" w:eastAsiaTheme="minorEastAsia"/>
                    <w:szCs w:val="21"/>
                  </w:rPr>
                </w:pPr>
                <w:r>
                  <w:rPr>
                    <w:rFonts w:ascii="Arial Narrow" w:hAnsi="Arial Narrow" w:cs="Cambria" w:eastAsiaTheme="minorEastAsia"/>
                    <w:szCs w:val="21"/>
                  </w:rPr>
                  <w:t>本期发生额</w:t>
                </w:r>
              </w:p>
            </w:tc>
          </w:sdtContent>
        </w:sdt>
        <w:sdt>
          <w:sdtPr>
            <w:rPr>
              <w:rFonts w:ascii="Arial Narrow" w:hAnsi="Arial Narrow" w:eastAsiaTheme="minorEastAsia"/>
              <w:szCs w:val="21"/>
            </w:rPr>
            <w:tag w:val="_PLD_9f856a67de3d45acbef7ccb12b35985d"/>
            <w:id w:val="798959597"/>
          </w:sdtPr>
          <w:sdtEndPr>
            <w:rPr>
              <w:rFonts w:ascii="Arial Narrow" w:hAnsi="Arial Narrow" w:eastAsiaTheme="minorEastAsia"/>
              <w:szCs w:val="21"/>
            </w:rPr>
          </w:sdtEndPr>
          <w:sdtContent>
            <w:tc>
              <w:tcPr>
                <w:tcW w:w="986" w:type="pct"/>
                <w:tcBorders>
                  <w:top w:val="single" w:color="auto" w:sz="4" w:space="0"/>
                  <w:left w:val="single" w:color="auto" w:sz="4" w:space="0"/>
                  <w:right w:val="single" w:color="auto" w:sz="4" w:space="0"/>
                </w:tcBorders>
                <w:shd w:val="clear" w:color="auto" w:fill="auto"/>
                <w:vAlign w:val="center"/>
              </w:tcPr>
              <w:p w14:paraId="35CDD6D5">
                <w:pPr>
                  <w:jc w:val="center"/>
                  <w:rPr>
                    <w:rFonts w:ascii="Arial Narrow" w:hAnsi="Arial Narrow" w:cs="Cambria" w:eastAsiaTheme="minorEastAsia"/>
                    <w:szCs w:val="21"/>
                  </w:rPr>
                </w:pPr>
                <w:r>
                  <w:rPr>
                    <w:rFonts w:ascii="Arial Narrow" w:hAnsi="Arial Narrow" w:cs="Cambria" w:eastAsiaTheme="minorEastAsia"/>
                    <w:szCs w:val="21"/>
                  </w:rPr>
                  <w:t>上期发生额</w:t>
                </w:r>
              </w:p>
            </w:tc>
          </w:sdtContent>
        </w:sdt>
      </w:tr>
      <w:tr w14:paraId="763C7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F06AEF4">
            <w:pPr>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E72B77C">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51F5D8CD">
            <w:pPr>
              <w:jc w:val="right"/>
              <w:rPr>
                <w:rFonts w:ascii="Arial Narrow" w:hAnsi="Arial Narrow" w:eastAsiaTheme="minorEastAsia"/>
                <w:szCs w:val="21"/>
              </w:rPr>
            </w:pPr>
            <w:r>
              <w:rPr>
                <w:rFonts w:ascii="Arial Narrow" w:hAnsi="Arial Narrow" w:eastAsiaTheme="minorEastAsia"/>
                <w:color w:val="000000"/>
                <w:szCs w:val="21"/>
              </w:rPr>
              <w:t>38,508,893.50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F8B189F">
            <w:pPr>
              <w:jc w:val="right"/>
              <w:rPr>
                <w:rFonts w:ascii="Arial Narrow" w:hAnsi="Arial Narrow" w:eastAsiaTheme="minorEastAsia"/>
                <w:szCs w:val="21"/>
              </w:rPr>
            </w:pPr>
            <w:r>
              <w:rPr>
                <w:rFonts w:ascii="Arial Narrow" w:hAnsi="Arial Narrow" w:eastAsiaTheme="minorEastAsia"/>
                <w:color w:val="000000"/>
                <w:szCs w:val="21"/>
              </w:rPr>
              <w:t>35,402,211.87</w:t>
            </w:r>
          </w:p>
        </w:tc>
      </w:tr>
      <w:tr w14:paraId="68D36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8D5B6CF">
            <w:pPr>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09D2C5E5">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5FE997C">
            <w:pPr>
              <w:jc w:val="right"/>
              <w:rPr>
                <w:rFonts w:ascii="Arial Narrow" w:hAnsi="Arial Narrow" w:eastAsiaTheme="minorEastAsia"/>
                <w:szCs w:val="21"/>
              </w:rPr>
            </w:pPr>
            <w:r>
              <w:rPr>
                <w:rFonts w:ascii="Arial Narrow" w:hAnsi="Arial Narrow" w:eastAsiaTheme="minorEastAsia"/>
                <w:color w:val="000000"/>
                <w:szCs w:val="21"/>
              </w:rPr>
              <w:t>73,663,796.78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3532C33">
            <w:pPr>
              <w:jc w:val="right"/>
              <w:rPr>
                <w:rFonts w:ascii="Arial Narrow" w:hAnsi="Arial Narrow" w:eastAsiaTheme="minorEastAsia"/>
                <w:szCs w:val="21"/>
              </w:rPr>
            </w:pPr>
          </w:p>
        </w:tc>
      </w:tr>
      <w:tr w14:paraId="0D07EF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113B9A28">
            <w:pP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6959E03">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24DBBCBF">
            <w:pPr>
              <w:jc w:val="right"/>
              <w:rPr>
                <w:rFonts w:ascii="Arial Narrow" w:hAnsi="Arial Narrow" w:eastAsiaTheme="minorEastAsia"/>
                <w:szCs w:val="21"/>
              </w:rPr>
            </w:pPr>
            <w:r>
              <w:rPr>
                <w:rFonts w:ascii="Arial Narrow" w:hAnsi="Arial Narrow" w:eastAsiaTheme="minorEastAsia"/>
                <w:color w:val="000000"/>
                <w:szCs w:val="21"/>
              </w:rPr>
              <w:t>11,512,454.13</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1CE4B532">
            <w:pPr>
              <w:jc w:val="right"/>
              <w:rPr>
                <w:rFonts w:ascii="Arial Narrow" w:hAnsi="Arial Narrow" w:eastAsiaTheme="minorEastAsia"/>
                <w:szCs w:val="21"/>
              </w:rPr>
            </w:pPr>
          </w:p>
        </w:tc>
      </w:tr>
      <w:tr w14:paraId="2A32C9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478B4D1">
            <w:pPr>
              <w:rPr>
                <w:rFonts w:ascii="Arial Narrow" w:hAnsi="Arial Narrow" w:eastAsiaTheme="minorEastAsia"/>
                <w:szCs w:val="21"/>
              </w:rPr>
            </w:pPr>
            <w:r>
              <w:rPr>
                <w:rFonts w:ascii="Arial Narrow" w:hAnsi="Arial Narrow" w:eastAsiaTheme="minorEastAsia"/>
                <w:color w:val="000000"/>
                <w:szCs w:val="21"/>
              </w:rPr>
              <w:t>湖北三六一一应急装备有限公司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25BD5A58">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6C3FA015">
            <w:pPr>
              <w:jc w:val="right"/>
              <w:rPr>
                <w:rFonts w:ascii="Arial Narrow" w:hAnsi="Arial Narrow" w:eastAsiaTheme="minorEastAsia"/>
                <w:szCs w:val="21"/>
              </w:rPr>
            </w:pPr>
            <w:r>
              <w:rPr>
                <w:rFonts w:ascii="Arial Narrow" w:hAnsi="Arial Narrow" w:eastAsiaTheme="minorEastAsia"/>
                <w:color w:val="000000"/>
                <w:szCs w:val="21"/>
              </w:rPr>
              <w:t>5,283,185.82</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FED35B8">
            <w:pPr>
              <w:jc w:val="right"/>
              <w:rPr>
                <w:rFonts w:ascii="Arial Narrow" w:hAnsi="Arial Narrow" w:eastAsiaTheme="minorEastAsia"/>
                <w:szCs w:val="21"/>
              </w:rPr>
            </w:pPr>
          </w:p>
        </w:tc>
      </w:tr>
      <w:tr w14:paraId="663DF2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976B39E">
            <w:pPr>
              <w:rPr>
                <w:rFonts w:ascii="Arial Narrow" w:hAnsi="Arial Narrow" w:eastAsiaTheme="minorEastAsia"/>
                <w:szCs w:val="21"/>
              </w:rPr>
            </w:pPr>
            <w:r>
              <w:rPr>
                <w:rFonts w:ascii="Arial Narrow" w:hAnsi="Arial Narrow" w:eastAsiaTheme="minorEastAsia"/>
                <w:color w:val="000000"/>
                <w:szCs w:val="21"/>
              </w:rPr>
              <w:t>天津移山工程机械有限公司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9D5A52A">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42E2455">
            <w:pPr>
              <w:jc w:val="right"/>
              <w:rPr>
                <w:rFonts w:ascii="Arial Narrow" w:hAnsi="Arial Narrow" w:eastAsiaTheme="minorEastAsia"/>
                <w:szCs w:val="21"/>
              </w:rPr>
            </w:pPr>
            <w:r>
              <w:rPr>
                <w:rFonts w:ascii="Arial Narrow" w:hAnsi="Arial Narrow" w:eastAsiaTheme="minorEastAsia"/>
                <w:color w:val="000000"/>
                <w:szCs w:val="21"/>
              </w:rPr>
              <w:t>1,451,091.19</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2934B62F">
            <w:pPr>
              <w:jc w:val="right"/>
              <w:rPr>
                <w:rFonts w:ascii="Arial Narrow" w:hAnsi="Arial Narrow" w:eastAsiaTheme="minorEastAsia"/>
                <w:szCs w:val="21"/>
              </w:rPr>
            </w:pPr>
          </w:p>
        </w:tc>
      </w:tr>
      <w:tr w14:paraId="4BF275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195B89D">
            <w:pPr>
              <w:rPr>
                <w:rFonts w:ascii="Arial Narrow" w:hAnsi="Arial Narrow" w:eastAsiaTheme="minorEastAsia"/>
                <w:szCs w:val="21"/>
              </w:rPr>
            </w:pPr>
            <w:r>
              <w:rPr>
                <w:rFonts w:ascii="Arial Narrow" w:hAnsi="Arial Narrow" w:eastAsiaTheme="minorEastAsia"/>
                <w:color w:val="000000"/>
                <w:szCs w:val="21"/>
              </w:rPr>
              <w:t>新兴际华科技（天津）有限公司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17D84038">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5E246E72">
            <w:pPr>
              <w:jc w:val="right"/>
              <w:rPr>
                <w:rFonts w:ascii="Arial Narrow" w:hAnsi="Arial Narrow" w:eastAsiaTheme="minorEastAsia"/>
                <w:szCs w:val="21"/>
              </w:rPr>
            </w:pPr>
            <w:r>
              <w:rPr>
                <w:rFonts w:ascii="Arial Narrow" w:hAnsi="Arial Narrow" w:eastAsiaTheme="minorEastAsia"/>
                <w:color w:val="000000"/>
                <w:szCs w:val="21"/>
              </w:rPr>
              <w:t>612,469.02</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6ADFDE8">
            <w:pPr>
              <w:jc w:val="right"/>
              <w:rPr>
                <w:rFonts w:ascii="Arial Narrow" w:hAnsi="Arial Narrow" w:eastAsiaTheme="minorEastAsia"/>
                <w:szCs w:val="21"/>
              </w:rPr>
            </w:pPr>
          </w:p>
        </w:tc>
      </w:tr>
      <w:tr w14:paraId="61833C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2F9B9FF0">
            <w:pPr>
              <w:rPr>
                <w:rFonts w:ascii="Arial Narrow" w:hAnsi="Arial Narrow" w:eastAsiaTheme="minorEastAsia"/>
                <w:szCs w:val="21"/>
              </w:rPr>
            </w:pPr>
            <w:r>
              <w:rPr>
                <w:rFonts w:ascii="Arial Narrow" w:hAnsi="Arial Narrow" w:eastAsiaTheme="minorEastAsia"/>
                <w:color w:val="000000"/>
                <w:szCs w:val="21"/>
              </w:rPr>
              <w:t>汉川际华三五零九置业有限公司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00539096">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20DE682B">
            <w:pPr>
              <w:jc w:val="right"/>
              <w:rPr>
                <w:rFonts w:ascii="Arial Narrow" w:hAnsi="Arial Narrow" w:eastAsiaTheme="minorEastAsia"/>
                <w:szCs w:val="21"/>
              </w:rPr>
            </w:pPr>
            <w:r>
              <w:rPr>
                <w:rFonts w:ascii="Arial Narrow" w:hAnsi="Arial Narrow" w:eastAsiaTheme="minorEastAsia"/>
                <w:color w:val="000000"/>
                <w:szCs w:val="21"/>
              </w:rPr>
              <w:t>560,597.19</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0F4EEA67">
            <w:pPr>
              <w:jc w:val="right"/>
              <w:rPr>
                <w:rFonts w:ascii="Arial Narrow" w:hAnsi="Arial Narrow" w:eastAsiaTheme="minorEastAsia"/>
                <w:szCs w:val="21"/>
              </w:rPr>
            </w:pPr>
            <w:r>
              <w:rPr>
                <w:rFonts w:ascii="Arial Narrow" w:hAnsi="Arial Narrow" w:eastAsiaTheme="minorEastAsia"/>
                <w:color w:val="000000"/>
                <w:szCs w:val="21"/>
              </w:rPr>
              <w:t>877,161.95</w:t>
            </w:r>
          </w:p>
        </w:tc>
      </w:tr>
      <w:tr w14:paraId="666320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2C02D9D">
            <w:pPr>
              <w:rPr>
                <w:rFonts w:ascii="Arial Narrow" w:hAnsi="Arial Narrow" w:eastAsiaTheme="minorEastAsia"/>
                <w:szCs w:val="21"/>
              </w:rPr>
            </w:pPr>
            <w:r>
              <w:rPr>
                <w:rFonts w:ascii="Arial Narrow" w:hAnsi="Arial Narrow" w:eastAsiaTheme="minorEastAsia"/>
                <w:color w:val="000000"/>
                <w:szCs w:val="21"/>
              </w:rPr>
              <w:t>新兴际华（北京）材料技术研究院有限公司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21A288CC">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366CCC1">
            <w:pPr>
              <w:jc w:val="right"/>
              <w:rPr>
                <w:rFonts w:ascii="Arial Narrow" w:hAnsi="Arial Narrow" w:eastAsiaTheme="minorEastAsia"/>
                <w:szCs w:val="21"/>
              </w:rPr>
            </w:pPr>
            <w:r>
              <w:rPr>
                <w:rFonts w:ascii="Arial Narrow" w:hAnsi="Arial Narrow" w:eastAsiaTheme="minorEastAsia"/>
                <w:color w:val="000000"/>
                <w:szCs w:val="21"/>
              </w:rPr>
              <w:t>415,176.98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9CA065E">
            <w:pPr>
              <w:jc w:val="right"/>
              <w:rPr>
                <w:rFonts w:ascii="Arial Narrow" w:hAnsi="Arial Narrow" w:eastAsiaTheme="minorEastAsia"/>
                <w:szCs w:val="21"/>
              </w:rPr>
            </w:pPr>
            <w:r>
              <w:rPr>
                <w:rFonts w:ascii="Arial Narrow" w:hAnsi="Arial Narrow" w:eastAsiaTheme="minorEastAsia"/>
                <w:color w:val="000000"/>
                <w:szCs w:val="21"/>
              </w:rPr>
              <w:t>82,743.36</w:t>
            </w:r>
          </w:p>
        </w:tc>
      </w:tr>
      <w:tr w14:paraId="2DAF6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3E40030">
            <w:pPr>
              <w:rPr>
                <w:rFonts w:ascii="Arial Narrow" w:hAnsi="Arial Narrow" w:eastAsiaTheme="minorEastAsia"/>
                <w:szCs w:val="21"/>
              </w:rPr>
            </w:pPr>
            <w:r>
              <w:rPr>
                <w:rFonts w:ascii="Arial Narrow" w:hAnsi="Arial Narrow" w:eastAsiaTheme="minorEastAsia"/>
                <w:color w:val="000000"/>
                <w:szCs w:val="21"/>
              </w:rPr>
              <w:t>际华五三零三服装有限公司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CE7F1CD">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4934206F">
            <w:pPr>
              <w:jc w:val="right"/>
              <w:rPr>
                <w:rFonts w:ascii="Arial Narrow" w:hAnsi="Arial Narrow" w:eastAsiaTheme="minorEastAsia"/>
                <w:szCs w:val="21"/>
              </w:rPr>
            </w:pPr>
            <w:r>
              <w:rPr>
                <w:rFonts w:ascii="Arial Narrow" w:hAnsi="Arial Narrow" w:eastAsiaTheme="minorEastAsia"/>
                <w:color w:val="000000"/>
                <w:szCs w:val="21"/>
              </w:rPr>
              <w:t>327,877.88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FCD2FCB">
            <w:pPr>
              <w:jc w:val="right"/>
              <w:rPr>
                <w:rFonts w:ascii="Arial Narrow" w:hAnsi="Arial Narrow" w:eastAsiaTheme="minorEastAsia"/>
                <w:szCs w:val="21"/>
              </w:rPr>
            </w:pPr>
          </w:p>
        </w:tc>
      </w:tr>
      <w:tr w14:paraId="4ECB90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3D110B34">
            <w:pPr>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1E7AD8B">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3FF99DAA">
            <w:pPr>
              <w:jc w:val="right"/>
              <w:rPr>
                <w:rFonts w:ascii="Arial Narrow" w:hAnsi="Arial Narrow" w:eastAsiaTheme="minorEastAsia"/>
                <w:szCs w:val="21"/>
              </w:rPr>
            </w:pPr>
            <w:r>
              <w:rPr>
                <w:rFonts w:ascii="Arial Narrow" w:hAnsi="Arial Narrow" w:eastAsiaTheme="minorEastAsia"/>
                <w:color w:val="000000"/>
                <w:szCs w:val="21"/>
              </w:rPr>
              <w:t>219,169.82</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622595F">
            <w:pPr>
              <w:jc w:val="right"/>
              <w:rPr>
                <w:rFonts w:ascii="Arial Narrow" w:hAnsi="Arial Narrow" w:eastAsiaTheme="minorEastAsia"/>
                <w:szCs w:val="21"/>
              </w:rPr>
            </w:pPr>
          </w:p>
        </w:tc>
      </w:tr>
      <w:tr w14:paraId="59B18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27F6CB4">
            <w:pPr>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1D7A19DF">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03F49D0">
            <w:pPr>
              <w:jc w:val="right"/>
              <w:rPr>
                <w:rFonts w:ascii="Arial Narrow" w:hAnsi="Arial Narrow" w:eastAsiaTheme="minorEastAsia"/>
                <w:szCs w:val="21"/>
              </w:rPr>
            </w:pPr>
            <w:r>
              <w:rPr>
                <w:rFonts w:ascii="Arial Narrow" w:hAnsi="Arial Narrow" w:eastAsiaTheme="minorEastAsia"/>
                <w:color w:val="000000"/>
                <w:szCs w:val="21"/>
              </w:rPr>
              <w:t>3,456.64</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6FFAD8B">
            <w:pPr>
              <w:jc w:val="right"/>
              <w:rPr>
                <w:rFonts w:ascii="Arial Narrow" w:hAnsi="Arial Narrow" w:eastAsiaTheme="minorEastAsia"/>
                <w:szCs w:val="21"/>
              </w:rPr>
            </w:pPr>
          </w:p>
        </w:tc>
      </w:tr>
      <w:tr w14:paraId="33C24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A7F4178">
            <w:pPr>
              <w:rPr>
                <w:rFonts w:ascii="Arial Narrow" w:hAnsi="Arial Narrow" w:eastAsiaTheme="minorEastAsia"/>
                <w:szCs w:val="21"/>
              </w:rPr>
            </w:pPr>
            <w:r>
              <w:rPr>
                <w:rFonts w:ascii="Arial Narrow" w:hAnsi="Arial Narrow" w:eastAsiaTheme="minorEastAsia"/>
                <w:color w:val="000000"/>
                <w:szCs w:val="21"/>
              </w:rPr>
              <w:t>南京际华五三零二科技发展有限公司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4EFF56B5">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34AE4DD9">
            <w:pPr>
              <w:jc w:val="right"/>
              <w:rPr>
                <w:rFonts w:ascii="Arial Narrow" w:hAnsi="Arial Narrow" w:eastAsiaTheme="minorEastAsia"/>
                <w:szCs w:val="21"/>
              </w:rPr>
            </w:pPr>
            <w:r>
              <w:rPr>
                <w:rFonts w:ascii="Arial Narrow" w:hAnsi="Arial Narrow" w:eastAsiaTheme="minorEastAsia"/>
                <w:color w:val="000000"/>
                <w:szCs w:val="21"/>
              </w:rPr>
              <w:t>3,335.05</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1DED4D7C">
            <w:pPr>
              <w:jc w:val="right"/>
              <w:rPr>
                <w:rFonts w:ascii="Arial Narrow" w:hAnsi="Arial Narrow" w:eastAsiaTheme="minorEastAsia"/>
                <w:szCs w:val="21"/>
              </w:rPr>
            </w:pPr>
          </w:p>
        </w:tc>
      </w:tr>
      <w:tr w14:paraId="289243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3ED41DCA">
            <w:pPr>
              <w:rPr>
                <w:rFonts w:ascii="Arial Narrow" w:hAnsi="Arial Narrow" w:eastAsiaTheme="minorEastAsia"/>
                <w:szCs w:val="21"/>
              </w:rPr>
            </w:pPr>
            <w:r>
              <w:rPr>
                <w:rFonts w:ascii="Arial Narrow" w:hAnsi="Arial Narrow" w:eastAsiaTheme="minorEastAsia"/>
                <w:color w:val="000000"/>
                <w:szCs w:val="21"/>
              </w:rPr>
              <w:t>北京呼家楼宾馆有限公司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6A87B662">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36CABEF">
            <w:pPr>
              <w:jc w:val="right"/>
              <w:rPr>
                <w:rFonts w:ascii="Arial Narrow" w:hAnsi="Arial Narrow" w:eastAsiaTheme="minorEastAsia"/>
                <w:szCs w:val="21"/>
              </w:rPr>
            </w:pPr>
            <w:r>
              <w:rPr>
                <w:rFonts w:ascii="Arial Narrow" w:hAnsi="Arial Narrow" w:eastAsiaTheme="minorEastAsia"/>
                <w:color w:val="000000"/>
                <w:szCs w:val="21"/>
              </w:rPr>
              <w:t>520.76</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2B0CE3F7">
            <w:pPr>
              <w:jc w:val="right"/>
              <w:rPr>
                <w:rFonts w:ascii="Arial Narrow" w:hAnsi="Arial Narrow" w:eastAsiaTheme="minorEastAsia"/>
                <w:szCs w:val="21"/>
              </w:rPr>
            </w:pPr>
          </w:p>
        </w:tc>
      </w:tr>
      <w:tr w14:paraId="537ED5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E2854B8">
            <w:pPr>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C46C6E0">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0248436A">
            <w:pPr>
              <w:jc w:val="right"/>
              <w:rPr>
                <w:rFonts w:ascii="Arial Narrow" w:hAnsi="Arial Narrow" w:eastAsiaTheme="minorEastAsia"/>
                <w:szCs w:val="21"/>
              </w:rPr>
            </w:pP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294EEA4A">
            <w:pPr>
              <w:jc w:val="right"/>
              <w:rPr>
                <w:rFonts w:ascii="Arial Narrow" w:hAnsi="Arial Narrow" w:eastAsiaTheme="minorEastAsia"/>
                <w:szCs w:val="21"/>
              </w:rPr>
            </w:pPr>
            <w:r>
              <w:rPr>
                <w:rFonts w:ascii="Arial Narrow" w:hAnsi="Arial Narrow" w:eastAsiaTheme="minorEastAsia"/>
                <w:color w:val="000000"/>
                <w:szCs w:val="21"/>
              </w:rPr>
              <w:t>2,121,277.03</w:t>
            </w:r>
          </w:p>
        </w:tc>
      </w:tr>
      <w:tr w14:paraId="67FDE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43DFDDAC">
            <w:pPr>
              <w:rPr>
                <w:rFonts w:ascii="Arial Narrow" w:hAnsi="Arial Narrow" w:eastAsiaTheme="minorEastAsia"/>
                <w:szCs w:val="21"/>
              </w:rPr>
            </w:pPr>
            <w:r>
              <w:rPr>
                <w:rFonts w:ascii="Arial Narrow" w:hAnsi="Arial Narrow" w:eastAsiaTheme="minorEastAsia"/>
                <w:color w:val="000000"/>
                <w:szCs w:val="21"/>
              </w:rPr>
              <w:t>天津金汇药业集团有限公司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E47ED84">
            <w:pPr>
              <w:jc w:val="center"/>
              <w:rPr>
                <w:rFonts w:ascii="Arial Narrow" w:hAnsi="Arial Narrow" w:eastAsiaTheme="minorEastAsia"/>
                <w:szCs w:val="21"/>
              </w:rPr>
            </w:pPr>
            <w:r>
              <w:rPr>
                <w:rFonts w:ascii="Arial Narrow" w:hAnsi="Arial Narrow" w:eastAsiaTheme="minorEastAsia"/>
                <w:color w:val="000000"/>
                <w:szCs w:val="21"/>
              </w:rPr>
              <w:t>采购商品</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286FDF95">
            <w:pPr>
              <w:jc w:val="right"/>
              <w:rPr>
                <w:rFonts w:ascii="Arial Narrow" w:hAnsi="Arial Narrow" w:eastAsiaTheme="minorEastAsia"/>
                <w:szCs w:val="21"/>
              </w:rPr>
            </w:pP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6E13011">
            <w:pPr>
              <w:jc w:val="right"/>
              <w:rPr>
                <w:rFonts w:ascii="Arial Narrow" w:hAnsi="Arial Narrow" w:eastAsiaTheme="minorEastAsia"/>
                <w:szCs w:val="21"/>
              </w:rPr>
            </w:pPr>
            <w:r>
              <w:rPr>
                <w:rFonts w:ascii="Arial Narrow" w:hAnsi="Arial Narrow" w:eastAsiaTheme="minorEastAsia"/>
                <w:color w:val="000000"/>
                <w:szCs w:val="21"/>
              </w:rPr>
              <w:t>52,425.00</w:t>
            </w:r>
          </w:p>
        </w:tc>
      </w:tr>
      <w:tr w14:paraId="7B794E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138620E8">
            <w:pPr>
              <w:rPr>
                <w:rFonts w:ascii="Arial Narrow" w:hAnsi="Arial Narrow" w:eastAsiaTheme="minorEastAsia"/>
                <w:szCs w:val="21"/>
              </w:rPr>
            </w:pPr>
            <w:r>
              <w:rPr>
                <w:rFonts w:ascii="Arial Narrow" w:hAnsi="Arial Narrow" w:eastAsiaTheme="minorEastAsia"/>
                <w:color w:val="000000"/>
                <w:szCs w:val="21"/>
              </w:rPr>
              <w:t>新兴际华资产经营管理有限公司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1BA92E03">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4456F8BD">
            <w:pPr>
              <w:jc w:val="right"/>
              <w:rPr>
                <w:rFonts w:ascii="Arial Narrow" w:hAnsi="Arial Narrow" w:eastAsiaTheme="minorEastAsia"/>
                <w:szCs w:val="21"/>
              </w:rPr>
            </w:pPr>
            <w:r>
              <w:rPr>
                <w:rFonts w:ascii="Arial Narrow" w:hAnsi="Arial Narrow" w:eastAsiaTheme="minorEastAsia"/>
                <w:color w:val="000000"/>
                <w:szCs w:val="21"/>
              </w:rPr>
              <w:t>75,044,380.99</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79147B8">
            <w:pPr>
              <w:jc w:val="right"/>
              <w:rPr>
                <w:rFonts w:ascii="Arial Narrow" w:hAnsi="Arial Narrow" w:eastAsiaTheme="minorEastAsia"/>
                <w:szCs w:val="21"/>
              </w:rPr>
            </w:pPr>
            <w:r>
              <w:rPr>
                <w:rFonts w:ascii="Arial Narrow" w:hAnsi="Arial Narrow" w:eastAsiaTheme="minorEastAsia"/>
                <w:color w:val="000000"/>
                <w:szCs w:val="21"/>
              </w:rPr>
              <w:t>72,188,016.58</w:t>
            </w:r>
          </w:p>
        </w:tc>
      </w:tr>
      <w:tr w14:paraId="71ED6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7C99EAB">
            <w:pPr>
              <w:rPr>
                <w:rFonts w:ascii="Arial Narrow" w:hAnsi="Arial Narrow" w:eastAsiaTheme="minorEastAsia"/>
                <w:szCs w:val="21"/>
              </w:rPr>
            </w:pPr>
            <w:r>
              <w:rPr>
                <w:rFonts w:ascii="Arial Narrow" w:hAnsi="Arial Narrow" w:eastAsiaTheme="minorEastAsia"/>
                <w:color w:val="000000"/>
                <w:szCs w:val="21"/>
              </w:rPr>
              <w:t>新兴际华集团财务有限公司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0CD90AD3">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D80E823">
            <w:pPr>
              <w:jc w:val="right"/>
              <w:rPr>
                <w:rFonts w:ascii="Arial Narrow" w:hAnsi="Arial Narrow" w:eastAsiaTheme="minorEastAsia"/>
                <w:szCs w:val="21"/>
              </w:rPr>
            </w:pPr>
            <w:r>
              <w:rPr>
                <w:rFonts w:ascii="Arial Narrow" w:hAnsi="Arial Narrow" w:eastAsiaTheme="minorEastAsia"/>
                <w:color w:val="000000"/>
                <w:szCs w:val="21"/>
              </w:rPr>
              <w:t>11,084,805.55</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5567C5A">
            <w:pPr>
              <w:jc w:val="right"/>
              <w:rPr>
                <w:rFonts w:ascii="Arial Narrow" w:hAnsi="Arial Narrow" w:eastAsiaTheme="minorEastAsia"/>
                <w:szCs w:val="21"/>
              </w:rPr>
            </w:pPr>
            <w:r>
              <w:rPr>
                <w:rFonts w:ascii="Arial Narrow" w:hAnsi="Arial Narrow" w:eastAsiaTheme="minorEastAsia"/>
                <w:color w:val="000000"/>
                <w:szCs w:val="21"/>
              </w:rPr>
              <w:t>4,604,486.10</w:t>
            </w:r>
          </w:p>
        </w:tc>
      </w:tr>
      <w:tr w14:paraId="77F375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3BF2678B">
            <w:pPr>
              <w:rPr>
                <w:rFonts w:ascii="Arial Narrow" w:hAnsi="Arial Narrow" w:eastAsiaTheme="minorEastAsia"/>
                <w:szCs w:val="21"/>
              </w:rPr>
            </w:pPr>
            <w:r>
              <w:rPr>
                <w:rFonts w:ascii="Arial Narrow" w:hAnsi="Arial Narrow" w:eastAsiaTheme="minorEastAsia"/>
                <w:color w:val="000000"/>
                <w:szCs w:val="21"/>
              </w:rPr>
              <w:t>荷原置地控股有限公司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D7B1D88">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5728C2AC">
            <w:pPr>
              <w:jc w:val="right"/>
              <w:rPr>
                <w:rFonts w:ascii="Arial Narrow" w:hAnsi="Arial Narrow" w:eastAsiaTheme="minorEastAsia"/>
                <w:szCs w:val="21"/>
              </w:rPr>
            </w:pPr>
            <w:r>
              <w:rPr>
                <w:rFonts w:ascii="Arial Narrow" w:hAnsi="Arial Narrow" w:eastAsiaTheme="minorEastAsia"/>
                <w:color w:val="000000"/>
                <w:szCs w:val="21"/>
              </w:rPr>
              <w:t>8,723,071.73</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1C11946">
            <w:pPr>
              <w:jc w:val="right"/>
              <w:rPr>
                <w:rFonts w:ascii="Arial Narrow" w:hAnsi="Arial Narrow" w:eastAsiaTheme="minorEastAsia"/>
                <w:szCs w:val="21"/>
              </w:rPr>
            </w:pPr>
          </w:p>
        </w:tc>
      </w:tr>
      <w:tr w14:paraId="265AD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51F4B492">
            <w:pPr>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3C03475">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6FA94A29">
            <w:pPr>
              <w:jc w:val="right"/>
              <w:rPr>
                <w:rFonts w:ascii="Arial Narrow" w:hAnsi="Arial Narrow" w:eastAsiaTheme="minorEastAsia"/>
                <w:szCs w:val="21"/>
              </w:rPr>
            </w:pPr>
            <w:r>
              <w:rPr>
                <w:rFonts w:ascii="Arial Narrow" w:hAnsi="Arial Narrow" w:eastAsiaTheme="minorEastAsia"/>
                <w:color w:val="000000"/>
                <w:szCs w:val="21"/>
              </w:rPr>
              <w:t>2,334,080.55</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C8F090B">
            <w:pPr>
              <w:jc w:val="right"/>
              <w:rPr>
                <w:rFonts w:ascii="Arial Narrow" w:hAnsi="Arial Narrow" w:eastAsiaTheme="minorEastAsia"/>
                <w:szCs w:val="21"/>
              </w:rPr>
            </w:pPr>
            <w:r>
              <w:rPr>
                <w:rFonts w:ascii="Arial Narrow" w:hAnsi="Arial Narrow" w:eastAsiaTheme="minorEastAsia"/>
                <w:color w:val="000000"/>
                <w:szCs w:val="21"/>
              </w:rPr>
              <w:t>530,872.23</w:t>
            </w:r>
          </w:p>
        </w:tc>
      </w:tr>
      <w:tr w14:paraId="400DD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062F3589">
            <w:pPr>
              <w:rPr>
                <w:rFonts w:ascii="Arial Narrow" w:hAnsi="Arial Narrow" w:eastAsiaTheme="minorEastAsia"/>
                <w:szCs w:val="21"/>
              </w:rPr>
            </w:pPr>
            <w:r>
              <w:rPr>
                <w:rFonts w:ascii="Arial Narrow" w:hAnsi="Arial Narrow" w:eastAsiaTheme="minorEastAsia"/>
                <w:color w:val="000000"/>
                <w:szCs w:val="21"/>
              </w:rPr>
              <w:t>新兴际华物业服务（北京）有限公司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C257640">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243658E8">
            <w:pPr>
              <w:jc w:val="right"/>
              <w:rPr>
                <w:rFonts w:ascii="Arial Narrow" w:hAnsi="Arial Narrow" w:eastAsiaTheme="minorEastAsia"/>
                <w:szCs w:val="21"/>
              </w:rPr>
            </w:pPr>
            <w:r>
              <w:rPr>
                <w:rFonts w:ascii="Arial Narrow" w:hAnsi="Arial Narrow" w:eastAsiaTheme="minorEastAsia"/>
                <w:color w:val="000000"/>
                <w:szCs w:val="21"/>
              </w:rPr>
              <w:t>2,832,472.03</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3FD8616">
            <w:pPr>
              <w:jc w:val="right"/>
              <w:rPr>
                <w:rFonts w:ascii="Arial Narrow" w:hAnsi="Arial Narrow" w:eastAsiaTheme="minorEastAsia"/>
                <w:szCs w:val="21"/>
              </w:rPr>
            </w:pPr>
          </w:p>
        </w:tc>
      </w:tr>
      <w:tr w14:paraId="14DF1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6D08C99C">
            <w:pPr>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052B56D1">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6AAE4E30">
            <w:pPr>
              <w:jc w:val="right"/>
              <w:rPr>
                <w:rFonts w:ascii="Arial Narrow" w:hAnsi="Arial Narrow" w:eastAsiaTheme="minorEastAsia"/>
                <w:szCs w:val="21"/>
              </w:rPr>
            </w:pPr>
            <w:r>
              <w:rPr>
                <w:rFonts w:ascii="Arial Narrow" w:hAnsi="Arial Narrow" w:eastAsiaTheme="minorEastAsia"/>
                <w:color w:val="000000"/>
                <w:szCs w:val="21"/>
              </w:rPr>
              <w:t>1,962,641.50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BFA8578">
            <w:pPr>
              <w:jc w:val="right"/>
              <w:rPr>
                <w:rFonts w:ascii="Arial Narrow" w:hAnsi="Arial Narrow" w:eastAsiaTheme="minorEastAsia"/>
                <w:szCs w:val="21"/>
              </w:rPr>
            </w:pPr>
            <w:r>
              <w:rPr>
                <w:rFonts w:ascii="Arial Narrow" w:hAnsi="Arial Narrow" w:eastAsiaTheme="minorEastAsia"/>
                <w:color w:val="000000"/>
                <w:szCs w:val="21"/>
              </w:rPr>
              <w:t>841,132.08</w:t>
            </w:r>
          </w:p>
        </w:tc>
      </w:tr>
      <w:tr w14:paraId="4C59C2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4D0F21CF">
            <w:pPr>
              <w:rPr>
                <w:rFonts w:ascii="Arial Narrow" w:hAnsi="Arial Narrow" w:eastAsiaTheme="minorEastAsia"/>
                <w:szCs w:val="21"/>
              </w:rPr>
            </w:pPr>
            <w:r>
              <w:rPr>
                <w:rFonts w:ascii="Arial Narrow" w:hAnsi="Arial Narrow" w:eastAsiaTheme="minorEastAsia"/>
                <w:color w:val="000000"/>
                <w:szCs w:val="21"/>
              </w:rPr>
              <w:t>新兴际华（北京）材料技术研究院有限公司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5890EBEC">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4AB7A1E3">
            <w:pPr>
              <w:jc w:val="right"/>
              <w:rPr>
                <w:rFonts w:ascii="Arial Narrow" w:hAnsi="Arial Narrow" w:eastAsiaTheme="minorEastAsia"/>
                <w:szCs w:val="21"/>
              </w:rPr>
            </w:pPr>
            <w:r>
              <w:rPr>
                <w:rFonts w:ascii="Arial Narrow" w:hAnsi="Arial Narrow" w:eastAsiaTheme="minorEastAsia"/>
                <w:color w:val="000000"/>
                <w:szCs w:val="21"/>
              </w:rPr>
              <w:t>1,553,750.00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01CA638D">
            <w:pPr>
              <w:jc w:val="right"/>
              <w:rPr>
                <w:rFonts w:ascii="Arial Narrow" w:hAnsi="Arial Narrow" w:eastAsiaTheme="minorEastAsia"/>
                <w:szCs w:val="21"/>
              </w:rPr>
            </w:pPr>
          </w:p>
        </w:tc>
      </w:tr>
      <w:tr w14:paraId="31BA12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2A925318">
            <w:pPr>
              <w:rPr>
                <w:rFonts w:ascii="Arial Narrow" w:hAnsi="Arial Narrow" w:eastAsiaTheme="minorEastAsia"/>
                <w:szCs w:val="21"/>
              </w:rPr>
            </w:pPr>
            <w:r>
              <w:rPr>
                <w:rFonts w:ascii="Arial Narrow" w:hAnsi="Arial Narrow" w:eastAsiaTheme="minorEastAsia"/>
                <w:color w:val="000000"/>
                <w:szCs w:val="21"/>
              </w:rPr>
              <w:t>北京呼家楼宾馆有限公司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4A8A816E">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3E943E44">
            <w:pPr>
              <w:jc w:val="right"/>
              <w:rPr>
                <w:rFonts w:ascii="Arial Narrow" w:hAnsi="Arial Narrow" w:eastAsiaTheme="minorEastAsia"/>
                <w:szCs w:val="21"/>
              </w:rPr>
            </w:pPr>
            <w:r>
              <w:rPr>
                <w:rFonts w:ascii="Arial Narrow" w:hAnsi="Arial Narrow" w:eastAsiaTheme="minorEastAsia"/>
                <w:color w:val="000000"/>
                <w:szCs w:val="21"/>
              </w:rPr>
              <w:t>795,581.15</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5825805B">
            <w:pPr>
              <w:jc w:val="right"/>
              <w:rPr>
                <w:rFonts w:ascii="Arial Narrow" w:hAnsi="Arial Narrow" w:eastAsiaTheme="minorEastAsia"/>
                <w:szCs w:val="21"/>
              </w:rPr>
            </w:pPr>
          </w:p>
        </w:tc>
      </w:tr>
      <w:tr w14:paraId="4FA3F4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4A5550A1">
            <w:pPr>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4602FA84">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7B518579">
            <w:pPr>
              <w:jc w:val="right"/>
              <w:rPr>
                <w:rFonts w:ascii="Arial Narrow" w:hAnsi="Arial Narrow" w:eastAsiaTheme="minorEastAsia"/>
                <w:szCs w:val="21"/>
              </w:rPr>
            </w:pPr>
            <w:r>
              <w:rPr>
                <w:rFonts w:ascii="Arial Narrow" w:hAnsi="Arial Narrow" w:eastAsiaTheme="minorEastAsia"/>
                <w:color w:val="000000"/>
                <w:szCs w:val="21"/>
              </w:rPr>
              <w:t>682,633.78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017A65E7">
            <w:pPr>
              <w:jc w:val="right"/>
              <w:rPr>
                <w:rFonts w:ascii="Arial Narrow" w:hAnsi="Arial Narrow" w:eastAsiaTheme="minorEastAsia"/>
                <w:szCs w:val="21"/>
              </w:rPr>
            </w:pPr>
            <w:r>
              <w:rPr>
                <w:rFonts w:ascii="Arial Narrow" w:hAnsi="Arial Narrow" w:eastAsiaTheme="minorEastAsia"/>
                <w:color w:val="000000"/>
                <w:szCs w:val="21"/>
              </w:rPr>
              <w:t>782,939.28</w:t>
            </w:r>
          </w:p>
        </w:tc>
      </w:tr>
      <w:tr w14:paraId="3EB910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5FEBC629">
            <w:pPr>
              <w:rPr>
                <w:rFonts w:ascii="Arial Narrow" w:hAnsi="Arial Narrow" w:eastAsiaTheme="minorEastAsia"/>
                <w:szCs w:val="21"/>
              </w:rPr>
            </w:pPr>
            <w:r>
              <w:rPr>
                <w:rFonts w:ascii="Arial Narrow" w:hAnsi="Arial Narrow" w:eastAsiaTheme="minorEastAsia"/>
                <w:color w:val="000000"/>
                <w:szCs w:val="21"/>
              </w:rPr>
              <w:t>聚联智汇水务科技有限公司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31DEEC1">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5E5D567A">
            <w:pPr>
              <w:jc w:val="right"/>
              <w:rPr>
                <w:rFonts w:ascii="Arial Narrow" w:hAnsi="Arial Narrow" w:eastAsiaTheme="minorEastAsia"/>
                <w:szCs w:val="21"/>
              </w:rPr>
            </w:pPr>
            <w:r>
              <w:rPr>
                <w:rFonts w:ascii="Arial Narrow" w:hAnsi="Arial Narrow" w:eastAsiaTheme="minorEastAsia"/>
                <w:color w:val="000000"/>
                <w:szCs w:val="21"/>
              </w:rPr>
              <w:t>389,272.22</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DCB639B">
            <w:pPr>
              <w:jc w:val="right"/>
              <w:rPr>
                <w:rFonts w:ascii="Arial Narrow" w:hAnsi="Arial Narrow" w:eastAsiaTheme="minorEastAsia"/>
                <w:szCs w:val="21"/>
              </w:rPr>
            </w:pPr>
          </w:p>
        </w:tc>
      </w:tr>
      <w:tr w14:paraId="31D843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5CBF5909">
            <w:pPr>
              <w:rPr>
                <w:rFonts w:ascii="Arial Narrow" w:hAnsi="Arial Narrow" w:eastAsiaTheme="minorEastAsia"/>
                <w:szCs w:val="21"/>
              </w:rPr>
            </w:pPr>
            <w:r>
              <w:rPr>
                <w:rFonts w:ascii="Arial Narrow" w:hAnsi="Arial Narrow" w:eastAsiaTheme="minorEastAsia"/>
                <w:color w:val="000000"/>
                <w:szCs w:val="21"/>
              </w:rPr>
              <w:t>咸阳际华投资发展有限公司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3C78DBB">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09950226">
            <w:pPr>
              <w:jc w:val="right"/>
              <w:rPr>
                <w:rFonts w:ascii="Arial Narrow" w:hAnsi="Arial Narrow" w:eastAsiaTheme="minorEastAsia"/>
                <w:szCs w:val="21"/>
              </w:rPr>
            </w:pPr>
            <w:r>
              <w:rPr>
                <w:rFonts w:ascii="Arial Narrow" w:hAnsi="Arial Narrow" w:eastAsiaTheme="minorEastAsia"/>
                <w:color w:val="000000"/>
                <w:szCs w:val="21"/>
              </w:rPr>
              <w:t>340,565.58</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4801CA9">
            <w:pPr>
              <w:jc w:val="right"/>
              <w:rPr>
                <w:rFonts w:ascii="Arial Narrow" w:hAnsi="Arial Narrow" w:eastAsiaTheme="minorEastAsia"/>
                <w:szCs w:val="21"/>
              </w:rPr>
            </w:pPr>
            <w:r>
              <w:rPr>
                <w:rFonts w:ascii="Arial Narrow" w:hAnsi="Arial Narrow" w:eastAsiaTheme="minorEastAsia"/>
                <w:color w:val="000000"/>
                <w:szCs w:val="21"/>
              </w:rPr>
              <w:t>288,972.48</w:t>
            </w:r>
          </w:p>
        </w:tc>
      </w:tr>
      <w:tr w14:paraId="32525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509CCA3B">
            <w:pPr>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2A0720E9">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6E865E90">
            <w:pPr>
              <w:jc w:val="right"/>
              <w:rPr>
                <w:rFonts w:ascii="Arial Narrow" w:hAnsi="Arial Narrow" w:eastAsiaTheme="minorEastAsia"/>
                <w:szCs w:val="21"/>
              </w:rPr>
            </w:pPr>
            <w:r>
              <w:rPr>
                <w:rFonts w:ascii="Arial Narrow" w:hAnsi="Arial Narrow" w:eastAsiaTheme="minorEastAsia"/>
                <w:color w:val="000000"/>
                <w:szCs w:val="21"/>
              </w:rPr>
              <w:t>27,522.94</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3E6A4F0">
            <w:pPr>
              <w:jc w:val="right"/>
              <w:rPr>
                <w:rFonts w:ascii="Arial Narrow" w:hAnsi="Arial Narrow" w:eastAsiaTheme="minorEastAsia"/>
                <w:szCs w:val="21"/>
              </w:rPr>
            </w:pPr>
            <w:r>
              <w:rPr>
                <w:rFonts w:ascii="Arial Narrow" w:hAnsi="Arial Narrow" w:eastAsiaTheme="minorEastAsia"/>
                <w:color w:val="000000"/>
                <w:szCs w:val="21"/>
              </w:rPr>
              <w:t>5,413.92</w:t>
            </w:r>
          </w:p>
        </w:tc>
      </w:tr>
      <w:tr w14:paraId="1C8895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1AF831E0">
            <w:pPr>
              <w:rPr>
                <w:rFonts w:ascii="Arial Narrow" w:hAnsi="Arial Narrow" w:eastAsiaTheme="minorEastAsia"/>
                <w:szCs w:val="21"/>
              </w:rPr>
            </w:pPr>
            <w:r>
              <w:rPr>
                <w:rFonts w:ascii="Arial Narrow" w:hAnsi="Arial Narrow" w:eastAsiaTheme="minorEastAsia"/>
                <w:color w:val="000000"/>
                <w:szCs w:val="21"/>
              </w:rPr>
              <w:t>北京三五零一服装厂有限公司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3E9E2FAC">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5597B665">
            <w:pPr>
              <w:jc w:val="right"/>
              <w:rPr>
                <w:rFonts w:ascii="Arial Narrow" w:hAnsi="Arial Narrow" w:eastAsiaTheme="minorEastAsia"/>
                <w:szCs w:val="21"/>
              </w:rPr>
            </w:pPr>
            <w:r>
              <w:rPr>
                <w:rFonts w:ascii="Arial Narrow" w:hAnsi="Arial Narrow" w:eastAsiaTheme="minorEastAsia"/>
                <w:color w:val="000000"/>
                <w:szCs w:val="21"/>
              </w:rPr>
              <w:t>8,571.43</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383D2386">
            <w:pPr>
              <w:jc w:val="right"/>
              <w:rPr>
                <w:rFonts w:ascii="Arial Narrow" w:hAnsi="Arial Narrow" w:eastAsiaTheme="minorEastAsia"/>
                <w:szCs w:val="21"/>
              </w:rPr>
            </w:pPr>
            <w:r>
              <w:rPr>
                <w:rFonts w:ascii="Arial Narrow" w:hAnsi="Arial Narrow" w:eastAsiaTheme="minorEastAsia"/>
                <w:color w:val="000000"/>
                <w:szCs w:val="21"/>
              </w:rPr>
              <w:t>34,285.72</w:t>
            </w:r>
          </w:p>
        </w:tc>
      </w:tr>
      <w:tr w14:paraId="29BE11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3EDE6C89">
            <w:pPr>
              <w:rPr>
                <w:rFonts w:ascii="Arial Narrow" w:hAnsi="Arial Narrow" w:eastAsiaTheme="minorEastAsia"/>
                <w:szCs w:val="21"/>
              </w:rPr>
            </w:pPr>
            <w:r>
              <w:rPr>
                <w:rFonts w:ascii="Arial Narrow" w:hAnsi="Arial Narrow" w:eastAsiaTheme="minorEastAsia"/>
                <w:color w:val="000000"/>
                <w:szCs w:val="21"/>
              </w:rPr>
              <w:t>南京三五〇三投资发展有限公司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5F69896">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1048A403">
            <w:pPr>
              <w:jc w:val="right"/>
              <w:rPr>
                <w:rFonts w:ascii="Arial Narrow" w:hAnsi="Arial Narrow" w:eastAsiaTheme="minorEastAsia"/>
                <w:szCs w:val="21"/>
              </w:rPr>
            </w:pP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DC8C1C2">
            <w:pPr>
              <w:jc w:val="right"/>
              <w:rPr>
                <w:rFonts w:ascii="Arial Narrow" w:hAnsi="Arial Narrow" w:eastAsiaTheme="minorEastAsia"/>
                <w:szCs w:val="21"/>
              </w:rPr>
            </w:pPr>
            <w:r>
              <w:rPr>
                <w:rFonts w:ascii="Arial Narrow" w:hAnsi="Arial Narrow" w:eastAsiaTheme="minorEastAsia"/>
                <w:color w:val="000000"/>
                <w:szCs w:val="21"/>
              </w:rPr>
              <w:t>1,733.00</w:t>
            </w:r>
          </w:p>
        </w:tc>
      </w:tr>
      <w:tr w14:paraId="7D22F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166" w:type="pct"/>
            <w:tcBorders>
              <w:top w:val="single" w:color="auto" w:sz="4" w:space="0"/>
              <w:left w:val="single" w:color="auto" w:sz="4" w:space="0"/>
              <w:bottom w:val="single" w:color="auto" w:sz="4" w:space="0"/>
              <w:right w:val="single" w:color="auto" w:sz="4" w:space="0"/>
            </w:tcBorders>
            <w:shd w:val="clear" w:color="auto" w:fill="auto"/>
            <w:vAlign w:val="bottom"/>
          </w:tcPr>
          <w:p w14:paraId="7BC2CB39">
            <w:pPr>
              <w:rPr>
                <w:rFonts w:ascii="Arial Narrow" w:hAnsi="Arial Narrow" w:eastAsiaTheme="minorEastAsia"/>
                <w:szCs w:val="21"/>
              </w:rPr>
            </w:pPr>
            <w:r>
              <w:rPr>
                <w:rFonts w:ascii="Arial Narrow" w:hAnsi="Arial Narrow" w:eastAsiaTheme="minorEastAsia"/>
                <w:color w:val="000000"/>
                <w:szCs w:val="21"/>
              </w:rPr>
              <w:t>河北玄德智能科技发展股份有限公司</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AFB3BE5">
            <w:pPr>
              <w:jc w:val="center"/>
              <w:rPr>
                <w:rFonts w:ascii="Arial Narrow" w:hAnsi="Arial Narrow" w:eastAsiaTheme="minorEastAsia"/>
                <w:szCs w:val="21"/>
              </w:rPr>
            </w:pPr>
            <w:r>
              <w:rPr>
                <w:rFonts w:ascii="Arial Narrow" w:hAnsi="Arial Narrow" w:eastAsiaTheme="minorEastAsia"/>
                <w:color w:val="000000"/>
                <w:szCs w:val="21"/>
              </w:rPr>
              <w:t>接受劳务</w:t>
            </w:r>
          </w:p>
        </w:tc>
        <w:tc>
          <w:tcPr>
            <w:tcW w:w="883" w:type="pct"/>
            <w:tcBorders>
              <w:top w:val="single" w:color="auto" w:sz="4" w:space="0"/>
              <w:left w:val="single" w:color="auto" w:sz="4" w:space="0"/>
              <w:bottom w:val="single" w:color="auto" w:sz="4" w:space="0"/>
              <w:right w:val="single" w:color="auto" w:sz="4" w:space="0"/>
            </w:tcBorders>
            <w:shd w:val="clear" w:color="auto" w:fill="auto"/>
            <w:vAlign w:val="center"/>
          </w:tcPr>
          <w:p w14:paraId="1335B981">
            <w:pPr>
              <w:jc w:val="right"/>
              <w:rPr>
                <w:rFonts w:ascii="Arial Narrow" w:hAnsi="Arial Narrow" w:eastAsiaTheme="minorEastAsia"/>
                <w:szCs w:val="21"/>
              </w:rPr>
            </w:pP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0F1A4057">
            <w:pPr>
              <w:jc w:val="right"/>
              <w:rPr>
                <w:rFonts w:ascii="Arial Narrow" w:hAnsi="Arial Narrow" w:eastAsiaTheme="minorEastAsia"/>
                <w:szCs w:val="21"/>
              </w:rPr>
            </w:pPr>
            <w:r>
              <w:rPr>
                <w:rFonts w:ascii="Arial Narrow" w:hAnsi="Arial Narrow" w:eastAsiaTheme="minorEastAsia"/>
                <w:color w:val="000000"/>
                <w:szCs w:val="21"/>
              </w:rPr>
              <w:t>437,964.00</w:t>
            </w:r>
          </w:p>
        </w:tc>
      </w:tr>
    </w:tbl>
    <w:p w14:paraId="42A17CCF">
      <w:pPr>
        <w:rPr>
          <w:rFonts w:hint="eastAsia"/>
        </w:rPr>
      </w:pPr>
    </w:p>
    <w:p w14:paraId="3B83A2EA">
      <w:pPr>
        <w:ind w:right="-775" w:rightChars="-369"/>
        <w:rPr>
          <w:rFonts w:hint="eastAsia"/>
          <w:szCs w:val="21"/>
        </w:rPr>
      </w:pPr>
      <w:r>
        <w:rPr>
          <w:rFonts w:hint="eastAsia"/>
          <w:szCs w:val="21"/>
        </w:rPr>
        <w:t>出售商品/提供劳务情况表</w:t>
      </w:r>
    </w:p>
    <w:sdt>
      <w:sdtPr>
        <w:rPr>
          <w:szCs w:val="21"/>
        </w:rPr>
        <w:alias w:val="是否适用：出售商品或提供劳务情况表[双击切换]"/>
        <w:tag w:val="_GBC_38804595ac014174a1f7bfa274a356d2"/>
        <w:id w:val="1866481125"/>
        <w:placeholder>
          <w:docPart w:val="GBC22222222222222222222222222222"/>
        </w:placeholder>
      </w:sdtPr>
      <w:sdtEndPr>
        <w:rPr>
          <w:szCs w:val="21"/>
        </w:rPr>
      </w:sdtEndPr>
      <w:sdtContent>
        <w:p w14:paraId="440DC0E0">
          <w:pPr>
            <w:ind w:right="-775" w:rightChars="-369"/>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AD315B">
      <w:pPr>
        <w:tabs>
          <w:tab w:val="left" w:pos="3870"/>
        </w:tabs>
        <w:jc w:val="right"/>
        <w:rPr>
          <w:rFonts w:hint="eastAsia" w:cs="Cambria"/>
          <w:szCs w:val="21"/>
        </w:rPr>
      </w:pPr>
      <w:r>
        <w:rPr>
          <w:szCs w:val="21"/>
        </w:rPr>
        <w:t>单位</w:t>
      </w:r>
      <w:r>
        <w:rPr>
          <w:rFonts w:hint="eastAsia"/>
          <w:szCs w:val="21"/>
        </w:rPr>
        <w:t>：</w:t>
      </w:r>
      <w:sdt>
        <w:sdtPr>
          <w:rPr>
            <w:szCs w:val="21"/>
          </w:rPr>
          <w:alias w:val="单位：出售商品提供劳务情况表"/>
          <w:tag w:val="_GBC_74429e932533428390da29c9e567c1c8"/>
          <w:id w:val="-81418248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szCs w:val="21"/>
          </w:rPr>
        </w:sdtEndPr>
        <w:sdtContent>
          <w:r>
            <w:rPr>
              <w:szCs w:val="21"/>
            </w:rPr>
            <w:t>元</w:t>
          </w:r>
        </w:sdtContent>
      </w:sdt>
      <w:r>
        <w:rPr>
          <w:szCs w:val="21"/>
        </w:rPr>
        <w:t xml:space="preserve">  币种：</w:t>
      </w:r>
      <w:sdt>
        <w:sdtPr>
          <w:rPr>
            <w:szCs w:val="21"/>
          </w:rPr>
          <w:alias w:val="币种：出售商品提供劳务情况表"/>
          <w:tag w:val="_GBC_4fc61a58f8e34c3c8024ea0b63c2bd2f"/>
          <w:id w:val="6085523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szCs w:val="21"/>
          </w:rPr>
        </w:sdtEndPr>
        <w:sdtContent>
          <w:r>
            <w:rPr>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106"/>
        <w:gridCol w:w="1498"/>
        <w:gridCol w:w="1581"/>
        <w:gridCol w:w="1638"/>
      </w:tblGrid>
      <w:tr w14:paraId="69D4E4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3" w:hRule="atLeast"/>
          <w:tblHeader/>
        </w:trPr>
        <w:sdt>
          <w:sdtPr>
            <w:rPr>
              <w:rFonts w:ascii="Arial Narrow" w:hAnsi="Arial Narrow" w:eastAsiaTheme="minorEastAsia"/>
              <w:szCs w:val="21"/>
            </w:rPr>
            <w:tag w:val="_PLD_8f46d61b556c4e7e9874d48274581d06"/>
            <w:id w:val="-1287576731"/>
          </w:sdtPr>
          <w:sdtEndPr>
            <w:rPr>
              <w:rFonts w:ascii="Arial Narrow" w:hAnsi="Arial Narrow" w:eastAsiaTheme="minorEastAsia"/>
              <w:szCs w:val="21"/>
            </w:rPr>
          </w:sdtEndPr>
          <w:sdtContent>
            <w:tc>
              <w:tcPr>
                <w:tcW w:w="2327" w:type="pct"/>
                <w:tcBorders>
                  <w:top w:val="single" w:color="auto" w:sz="4" w:space="0"/>
                  <w:left w:val="single" w:color="auto" w:sz="4" w:space="0"/>
                  <w:bottom w:val="single" w:color="auto" w:sz="4" w:space="0"/>
                  <w:right w:val="single" w:color="auto" w:sz="4" w:space="0"/>
                </w:tcBorders>
                <w:shd w:val="clear" w:color="auto" w:fill="auto"/>
                <w:vAlign w:val="center"/>
              </w:tcPr>
              <w:p w14:paraId="7AEE58C1">
                <w:pPr>
                  <w:jc w:val="center"/>
                  <w:rPr>
                    <w:rFonts w:ascii="Arial Narrow" w:hAnsi="Arial Narrow" w:cs="Cambria" w:eastAsiaTheme="minorEastAsia"/>
                    <w:szCs w:val="21"/>
                  </w:rPr>
                </w:pPr>
                <w:r>
                  <w:rPr>
                    <w:rFonts w:ascii="Arial Narrow" w:hAnsi="Arial Narrow" w:cs="Cambria" w:eastAsiaTheme="minorEastAsia"/>
                    <w:szCs w:val="21"/>
                  </w:rPr>
                  <w:t>关联方</w:t>
                </w:r>
              </w:p>
            </w:tc>
          </w:sdtContent>
        </w:sdt>
        <w:sdt>
          <w:sdtPr>
            <w:rPr>
              <w:rFonts w:ascii="Arial Narrow" w:hAnsi="Arial Narrow" w:eastAsiaTheme="minorEastAsia"/>
              <w:szCs w:val="21"/>
            </w:rPr>
            <w:tag w:val="_PLD_86c6996d2c00443589b89411b2b4bde3"/>
            <w:id w:val="453919430"/>
          </w:sdtPr>
          <w:sdtEndPr>
            <w:rPr>
              <w:rFonts w:ascii="Arial Narrow" w:hAnsi="Arial Narrow" w:eastAsiaTheme="minorEastAsia"/>
              <w:szCs w:val="21"/>
            </w:rPr>
          </w:sdtEndPr>
          <w:sdtContent>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4CFCD3D">
                <w:pPr>
                  <w:jc w:val="center"/>
                  <w:rPr>
                    <w:rFonts w:ascii="Arial Narrow" w:hAnsi="Arial Narrow" w:cs="Cambria" w:eastAsiaTheme="minorEastAsia"/>
                    <w:szCs w:val="21"/>
                  </w:rPr>
                </w:pPr>
                <w:r>
                  <w:rPr>
                    <w:rFonts w:ascii="Arial Narrow" w:hAnsi="Arial Narrow" w:cs="Cambria" w:eastAsiaTheme="minorEastAsia"/>
                    <w:szCs w:val="21"/>
                  </w:rPr>
                  <w:t>关联交易内容</w:t>
                </w:r>
              </w:p>
            </w:tc>
          </w:sdtContent>
        </w:sdt>
        <w:sdt>
          <w:sdtPr>
            <w:rPr>
              <w:rFonts w:ascii="Arial Narrow" w:hAnsi="Arial Narrow" w:eastAsiaTheme="minorEastAsia"/>
              <w:szCs w:val="21"/>
            </w:rPr>
            <w:tag w:val="_PLD_52688fb5000a4ccb8c43276d58764eb4"/>
            <w:id w:val="-259066418"/>
          </w:sdtPr>
          <w:sdtEndPr>
            <w:rPr>
              <w:rFonts w:ascii="Arial Narrow" w:hAnsi="Arial Narrow" w:eastAsiaTheme="minorEastAsia"/>
              <w:szCs w:val="21"/>
            </w:rPr>
          </w:sdtEndPr>
          <w:sdtContent>
            <w:tc>
              <w:tcPr>
                <w:tcW w:w="896" w:type="pct"/>
                <w:tcBorders>
                  <w:top w:val="single" w:color="auto" w:sz="4" w:space="0"/>
                  <w:left w:val="single" w:color="auto" w:sz="4" w:space="0"/>
                  <w:right w:val="single" w:color="auto" w:sz="4" w:space="0"/>
                </w:tcBorders>
                <w:shd w:val="clear" w:color="auto" w:fill="auto"/>
                <w:vAlign w:val="center"/>
              </w:tcPr>
              <w:p w14:paraId="53017101">
                <w:pPr>
                  <w:jc w:val="center"/>
                  <w:rPr>
                    <w:rFonts w:ascii="Arial Narrow" w:hAnsi="Arial Narrow" w:cs="Cambria" w:eastAsiaTheme="minorEastAsia"/>
                    <w:szCs w:val="21"/>
                  </w:rPr>
                </w:pPr>
                <w:r>
                  <w:rPr>
                    <w:rFonts w:ascii="Arial Narrow" w:hAnsi="Arial Narrow" w:cs="Cambria" w:eastAsiaTheme="minorEastAsia"/>
                    <w:szCs w:val="21"/>
                  </w:rPr>
                  <w:t>本期发生额</w:t>
                </w:r>
              </w:p>
            </w:tc>
          </w:sdtContent>
        </w:sdt>
        <w:sdt>
          <w:sdtPr>
            <w:rPr>
              <w:rFonts w:ascii="Arial Narrow" w:hAnsi="Arial Narrow" w:eastAsiaTheme="minorEastAsia"/>
              <w:szCs w:val="21"/>
            </w:rPr>
            <w:tag w:val="_PLD_e0158fcec29a443ca9e08a44a2489407"/>
            <w:id w:val="1077022975"/>
          </w:sdtPr>
          <w:sdtEndPr>
            <w:rPr>
              <w:rFonts w:ascii="Arial Narrow" w:hAnsi="Arial Narrow" w:eastAsiaTheme="minorEastAsia"/>
              <w:szCs w:val="21"/>
            </w:rPr>
          </w:sdtEndPr>
          <w:sdtContent>
            <w:tc>
              <w:tcPr>
                <w:tcW w:w="928" w:type="pct"/>
                <w:tcBorders>
                  <w:top w:val="single" w:color="auto" w:sz="4" w:space="0"/>
                  <w:left w:val="single" w:color="auto" w:sz="4" w:space="0"/>
                  <w:right w:val="single" w:color="auto" w:sz="4" w:space="0"/>
                </w:tcBorders>
                <w:shd w:val="clear" w:color="auto" w:fill="auto"/>
                <w:vAlign w:val="center"/>
              </w:tcPr>
              <w:p w14:paraId="79591704">
                <w:pPr>
                  <w:jc w:val="center"/>
                  <w:rPr>
                    <w:rFonts w:ascii="Arial Narrow" w:hAnsi="Arial Narrow" w:cs="Cambria" w:eastAsiaTheme="minorEastAsia"/>
                    <w:szCs w:val="21"/>
                  </w:rPr>
                </w:pPr>
                <w:r>
                  <w:rPr>
                    <w:rFonts w:ascii="Arial Narrow" w:hAnsi="Arial Narrow" w:cs="Cambria" w:eastAsiaTheme="minorEastAsia"/>
                    <w:szCs w:val="21"/>
                  </w:rPr>
                  <w:t>上期发生额</w:t>
                </w:r>
              </w:p>
            </w:tc>
          </w:sdtContent>
        </w:sdt>
      </w:tr>
      <w:tr w14:paraId="2E82BE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7537E75">
            <w:pPr>
              <w:rPr>
                <w:rFonts w:ascii="Arial Narrow" w:hAnsi="Arial Narrow" w:eastAsiaTheme="minorEastAsia"/>
                <w:szCs w:val="21"/>
              </w:rPr>
            </w:pPr>
            <w:r>
              <w:rPr>
                <w:rFonts w:ascii="Arial Narrow" w:hAnsi="Arial Narrow" w:eastAsiaTheme="minorEastAsia"/>
                <w:color w:val="000000"/>
                <w:szCs w:val="21"/>
              </w:rPr>
              <w:t>新兴铸管股份有限公司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927080C">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96CA160">
            <w:pPr>
              <w:jc w:val="right"/>
              <w:rPr>
                <w:rFonts w:ascii="Arial Narrow" w:hAnsi="Arial Narrow" w:eastAsiaTheme="minorEastAsia"/>
                <w:szCs w:val="21"/>
              </w:rPr>
            </w:pPr>
            <w:r>
              <w:rPr>
                <w:rFonts w:ascii="Arial Narrow" w:hAnsi="Arial Narrow" w:eastAsiaTheme="minorEastAsia"/>
                <w:color w:val="000000"/>
                <w:szCs w:val="21"/>
              </w:rPr>
              <w:t>38,279,277.07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777EB17">
            <w:pPr>
              <w:jc w:val="right"/>
              <w:rPr>
                <w:rFonts w:ascii="Arial Narrow" w:hAnsi="Arial Narrow" w:eastAsiaTheme="minorEastAsia"/>
                <w:szCs w:val="21"/>
              </w:rPr>
            </w:pPr>
            <w:r>
              <w:rPr>
                <w:rFonts w:ascii="Arial Narrow" w:hAnsi="Arial Narrow" w:eastAsiaTheme="minorEastAsia"/>
                <w:color w:val="000000"/>
                <w:szCs w:val="21"/>
              </w:rPr>
              <w:t>7,002,785.16</w:t>
            </w:r>
          </w:p>
        </w:tc>
      </w:tr>
      <w:tr w14:paraId="34B30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8C2CE3E">
            <w:pPr>
              <w:rPr>
                <w:rFonts w:ascii="Arial Narrow" w:hAnsi="Arial Narrow" w:eastAsiaTheme="minorEastAsia"/>
                <w:szCs w:val="21"/>
              </w:rPr>
            </w:pPr>
            <w:r>
              <w:rPr>
                <w:rFonts w:ascii="Arial Narrow" w:hAnsi="Arial Narrow" w:eastAsiaTheme="minorEastAsia"/>
                <w:color w:val="000000"/>
                <w:szCs w:val="21"/>
              </w:rPr>
              <w:t>聚联智汇水务科技有限公司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46F1D9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5CE96AD">
            <w:pPr>
              <w:jc w:val="right"/>
              <w:rPr>
                <w:rFonts w:ascii="Arial Narrow" w:hAnsi="Arial Narrow" w:eastAsiaTheme="minorEastAsia"/>
                <w:szCs w:val="21"/>
              </w:rPr>
            </w:pPr>
            <w:r>
              <w:rPr>
                <w:rFonts w:ascii="Arial Narrow" w:hAnsi="Arial Narrow" w:eastAsiaTheme="minorEastAsia"/>
                <w:color w:val="000000"/>
                <w:szCs w:val="21"/>
              </w:rPr>
              <w:t>35,713,231.37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1773181">
            <w:pPr>
              <w:jc w:val="right"/>
              <w:rPr>
                <w:rFonts w:ascii="Arial Narrow" w:hAnsi="Arial Narrow" w:eastAsiaTheme="minorEastAsia"/>
                <w:szCs w:val="21"/>
              </w:rPr>
            </w:pPr>
            <w:r>
              <w:rPr>
                <w:rFonts w:ascii="Arial Narrow" w:hAnsi="Arial Narrow" w:eastAsiaTheme="minorEastAsia"/>
                <w:color w:val="000000"/>
                <w:szCs w:val="21"/>
              </w:rPr>
              <w:t>53,457,182.61</w:t>
            </w:r>
          </w:p>
        </w:tc>
      </w:tr>
      <w:tr w14:paraId="72FA75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315870D">
            <w:pPr>
              <w:rPr>
                <w:rFonts w:ascii="Arial Narrow" w:hAnsi="Arial Narrow" w:eastAsiaTheme="minorEastAsia"/>
                <w:szCs w:val="21"/>
              </w:rPr>
            </w:pPr>
            <w:r>
              <w:rPr>
                <w:rFonts w:ascii="Arial Narrow" w:hAnsi="Arial Narrow" w:eastAsiaTheme="minorEastAsia"/>
                <w:color w:val="000000"/>
                <w:szCs w:val="21"/>
              </w:rPr>
              <w:t>新兴际华应急装备技术有限公司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BEADF20">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C7ED3EB">
            <w:pPr>
              <w:jc w:val="right"/>
              <w:rPr>
                <w:rFonts w:ascii="Arial Narrow" w:hAnsi="Arial Narrow" w:eastAsiaTheme="minorEastAsia"/>
                <w:szCs w:val="21"/>
              </w:rPr>
            </w:pPr>
            <w:r>
              <w:rPr>
                <w:rFonts w:ascii="Arial Narrow" w:hAnsi="Arial Narrow" w:eastAsiaTheme="minorEastAsia"/>
                <w:color w:val="000000"/>
                <w:szCs w:val="21"/>
              </w:rPr>
              <w:t>31,123,665.78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894E3F8">
            <w:pPr>
              <w:jc w:val="right"/>
              <w:rPr>
                <w:rFonts w:ascii="Arial Narrow" w:hAnsi="Arial Narrow" w:eastAsiaTheme="minorEastAsia"/>
                <w:szCs w:val="21"/>
              </w:rPr>
            </w:pPr>
            <w:r>
              <w:rPr>
                <w:rFonts w:ascii="Arial Narrow" w:hAnsi="Arial Narrow" w:eastAsiaTheme="minorEastAsia"/>
                <w:color w:val="000000"/>
                <w:szCs w:val="21"/>
              </w:rPr>
              <w:t>2,223,421.74</w:t>
            </w:r>
          </w:p>
        </w:tc>
      </w:tr>
      <w:tr w14:paraId="4A682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D877D4B">
            <w:pP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1DE651D">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BD9CC38">
            <w:pPr>
              <w:jc w:val="right"/>
              <w:rPr>
                <w:rFonts w:ascii="Arial Narrow" w:hAnsi="Arial Narrow" w:eastAsiaTheme="minorEastAsia"/>
                <w:szCs w:val="21"/>
              </w:rPr>
            </w:pPr>
            <w:r>
              <w:rPr>
                <w:rFonts w:ascii="Arial Narrow" w:hAnsi="Arial Narrow" w:eastAsiaTheme="minorEastAsia"/>
                <w:color w:val="000000"/>
                <w:szCs w:val="21"/>
              </w:rPr>
              <w:t>4,631,105.33</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1D7C7383">
            <w:pPr>
              <w:jc w:val="right"/>
              <w:rPr>
                <w:rFonts w:ascii="Arial Narrow" w:hAnsi="Arial Narrow" w:eastAsiaTheme="minorEastAsia"/>
                <w:szCs w:val="21"/>
              </w:rPr>
            </w:pPr>
            <w:r>
              <w:rPr>
                <w:rFonts w:ascii="Arial Narrow" w:hAnsi="Arial Narrow" w:eastAsiaTheme="minorEastAsia"/>
                <w:color w:val="000000"/>
                <w:szCs w:val="21"/>
              </w:rPr>
              <w:t>4,290,626.39</w:t>
            </w:r>
          </w:p>
        </w:tc>
      </w:tr>
      <w:tr w14:paraId="2E74FD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817BDB2">
            <w:pPr>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1D504F1">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42B82FE">
            <w:pPr>
              <w:jc w:val="right"/>
              <w:rPr>
                <w:rFonts w:ascii="Arial Narrow" w:hAnsi="Arial Narrow" w:eastAsiaTheme="minorEastAsia"/>
                <w:szCs w:val="21"/>
              </w:rPr>
            </w:pPr>
            <w:r>
              <w:rPr>
                <w:rFonts w:ascii="Arial Narrow" w:hAnsi="Arial Narrow" w:eastAsiaTheme="minorEastAsia"/>
                <w:color w:val="000000"/>
                <w:szCs w:val="21"/>
              </w:rPr>
              <w:t>2,493,810.07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44D2443">
            <w:pPr>
              <w:jc w:val="right"/>
              <w:rPr>
                <w:rFonts w:ascii="Arial Narrow" w:hAnsi="Arial Narrow" w:eastAsiaTheme="minorEastAsia"/>
                <w:szCs w:val="21"/>
              </w:rPr>
            </w:pPr>
            <w:r>
              <w:rPr>
                <w:rFonts w:ascii="Arial Narrow" w:hAnsi="Arial Narrow" w:eastAsiaTheme="minorEastAsia"/>
                <w:color w:val="000000"/>
                <w:szCs w:val="21"/>
              </w:rPr>
              <w:t>4,339,094.02</w:t>
            </w:r>
          </w:p>
        </w:tc>
      </w:tr>
      <w:tr w14:paraId="69ED9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93F246C">
            <w:pPr>
              <w:rPr>
                <w:rFonts w:ascii="Arial Narrow" w:hAnsi="Arial Narrow" w:eastAsiaTheme="minorEastAsia"/>
                <w:szCs w:val="21"/>
              </w:rPr>
            </w:pPr>
            <w:r>
              <w:rPr>
                <w:rFonts w:ascii="Arial Narrow" w:hAnsi="Arial Narrow" w:eastAsiaTheme="minorEastAsia"/>
                <w:color w:val="000000"/>
                <w:szCs w:val="21"/>
              </w:rPr>
              <w:t>新兴际华（北京）应急救援科技有限公司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6653892">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438241C">
            <w:pPr>
              <w:jc w:val="right"/>
              <w:rPr>
                <w:rFonts w:ascii="Arial Narrow" w:hAnsi="Arial Narrow" w:eastAsiaTheme="minorEastAsia"/>
                <w:szCs w:val="21"/>
              </w:rPr>
            </w:pPr>
            <w:r>
              <w:rPr>
                <w:rFonts w:ascii="Arial Narrow" w:hAnsi="Arial Narrow" w:eastAsiaTheme="minorEastAsia"/>
                <w:color w:val="000000"/>
                <w:szCs w:val="21"/>
              </w:rPr>
              <w:t>1,715,529.24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8CE35AB">
            <w:pPr>
              <w:jc w:val="right"/>
              <w:rPr>
                <w:rFonts w:ascii="Arial Narrow" w:hAnsi="Arial Narrow" w:eastAsiaTheme="minorEastAsia"/>
                <w:szCs w:val="21"/>
              </w:rPr>
            </w:pPr>
          </w:p>
        </w:tc>
      </w:tr>
      <w:tr w14:paraId="79F28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C0870A1">
            <w:pPr>
              <w:rPr>
                <w:rFonts w:ascii="Arial Narrow" w:hAnsi="Arial Narrow" w:eastAsiaTheme="minorEastAsia"/>
                <w:szCs w:val="21"/>
              </w:rPr>
            </w:pPr>
            <w:r>
              <w:rPr>
                <w:rFonts w:ascii="Arial Narrow" w:hAnsi="Arial Narrow" w:eastAsiaTheme="minorEastAsia"/>
                <w:color w:val="000000"/>
                <w:szCs w:val="21"/>
              </w:rPr>
              <w:t>新兴际华（北京）材料技术研究院有限公司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AD5BE42">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4F0C7CA">
            <w:pPr>
              <w:jc w:val="right"/>
              <w:rPr>
                <w:rFonts w:ascii="Arial Narrow" w:hAnsi="Arial Narrow" w:eastAsiaTheme="minorEastAsia"/>
                <w:szCs w:val="21"/>
              </w:rPr>
            </w:pPr>
            <w:r>
              <w:rPr>
                <w:rFonts w:ascii="Arial Narrow" w:hAnsi="Arial Narrow" w:eastAsiaTheme="minorEastAsia"/>
                <w:color w:val="000000"/>
                <w:szCs w:val="21"/>
              </w:rPr>
              <w:t>660,017.99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42D53BF">
            <w:pPr>
              <w:jc w:val="right"/>
              <w:rPr>
                <w:rFonts w:ascii="Arial Narrow" w:hAnsi="Arial Narrow" w:eastAsiaTheme="minorEastAsia"/>
                <w:szCs w:val="21"/>
              </w:rPr>
            </w:pPr>
            <w:r>
              <w:rPr>
                <w:rFonts w:ascii="Arial Narrow" w:hAnsi="Arial Narrow" w:eastAsiaTheme="minorEastAsia"/>
                <w:color w:val="000000"/>
                <w:szCs w:val="21"/>
              </w:rPr>
              <w:t>406,201.77</w:t>
            </w:r>
          </w:p>
        </w:tc>
      </w:tr>
      <w:tr w14:paraId="7D28D9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7EBF16D">
            <w:pPr>
              <w:rPr>
                <w:rFonts w:ascii="Arial Narrow" w:hAnsi="Arial Narrow" w:eastAsiaTheme="minorEastAsia"/>
                <w:szCs w:val="21"/>
              </w:rPr>
            </w:pPr>
            <w:r>
              <w:rPr>
                <w:rFonts w:ascii="Arial Narrow" w:hAnsi="Arial Narrow" w:eastAsiaTheme="minorEastAsia"/>
                <w:color w:val="000000"/>
                <w:szCs w:val="21"/>
              </w:rPr>
              <w:t>芜湖新兴铸管有限责任公司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199D9F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64B7367">
            <w:pPr>
              <w:jc w:val="right"/>
              <w:rPr>
                <w:rFonts w:ascii="Arial Narrow" w:hAnsi="Arial Narrow" w:eastAsiaTheme="minorEastAsia"/>
                <w:szCs w:val="21"/>
              </w:rPr>
            </w:pPr>
            <w:r>
              <w:rPr>
                <w:rFonts w:ascii="Arial Narrow" w:hAnsi="Arial Narrow" w:eastAsiaTheme="minorEastAsia"/>
                <w:color w:val="000000"/>
                <w:szCs w:val="21"/>
              </w:rPr>
              <w:t>603,535.39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79729BB">
            <w:pPr>
              <w:jc w:val="right"/>
              <w:rPr>
                <w:rFonts w:ascii="Arial Narrow" w:hAnsi="Arial Narrow" w:eastAsiaTheme="minorEastAsia"/>
                <w:szCs w:val="21"/>
              </w:rPr>
            </w:pPr>
            <w:r>
              <w:rPr>
                <w:rFonts w:ascii="Arial Narrow" w:hAnsi="Arial Narrow" w:eastAsiaTheme="minorEastAsia"/>
                <w:color w:val="000000"/>
                <w:szCs w:val="21"/>
              </w:rPr>
              <w:t>569,244.68</w:t>
            </w:r>
          </w:p>
        </w:tc>
      </w:tr>
      <w:tr w14:paraId="29307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333ADAC">
            <w:pPr>
              <w:rPr>
                <w:rFonts w:ascii="Arial Narrow" w:hAnsi="Arial Narrow" w:eastAsiaTheme="minorEastAsia"/>
                <w:szCs w:val="21"/>
              </w:rPr>
            </w:pPr>
            <w:r>
              <w:rPr>
                <w:rFonts w:ascii="Arial Narrow" w:hAnsi="Arial Narrow" w:eastAsiaTheme="minorEastAsia"/>
                <w:color w:val="000000"/>
                <w:szCs w:val="21"/>
              </w:rPr>
              <w:t>辽宁际华三五二三特种装备有限公司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09A61A6">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DA0DFB2">
            <w:pPr>
              <w:jc w:val="right"/>
              <w:rPr>
                <w:rFonts w:ascii="Arial Narrow" w:hAnsi="Arial Narrow" w:eastAsiaTheme="minorEastAsia"/>
                <w:szCs w:val="21"/>
              </w:rPr>
            </w:pPr>
            <w:r>
              <w:rPr>
                <w:rFonts w:ascii="Arial Narrow" w:hAnsi="Arial Narrow" w:eastAsiaTheme="minorEastAsia"/>
                <w:color w:val="000000"/>
                <w:szCs w:val="21"/>
              </w:rPr>
              <w:t>339,469.02</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FB26097">
            <w:pPr>
              <w:jc w:val="right"/>
              <w:rPr>
                <w:rFonts w:ascii="Arial Narrow" w:hAnsi="Arial Narrow" w:eastAsiaTheme="minorEastAsia"/>
                <w:szCs w:val="21"/>
              </w:rPr>
            </w:pPr>
            <w:r>
              <w:rPr>
                <w:rFonts w:ascii="Arial Narrow" w:hAnsi="Arial Narrow" w:eastAsiaTheme="minorEastAsia"/>
                <w:color w:val="000000"/>
                <w:szCs w:val="21"/>
              </w:rPr>
              <w:t>2,654.87</w:t>
            </w:r>
          </w:p>
        </w:tc>
      </w:tr>
      <w:tr w14:paraId="5DBE71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297E7DB">
            <w:pPr>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8A6A468">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BFE208C">
            <w:pPr>
              <w:jc w:val="right"/>
              <w:rPr>
                <w:rFonts w:ascii="Arial Narrow" w:hAnsi="Arial Narrow" w:eastAsiaTheme="minorEastAsia"/>
                <w:szCs w:val="21"/>
              </w:rPr>
            </w:pPr>
            <w:r>
              <w:rPr>
                <w:rFonts w:ascii="Arial Narrow" w:hAnsi="Arial Narrow" w:eastAsiaTheme="minorEastAsia"/>
                <w:color w:val="000000"/>
                <w:szCs w:val="21"/>
              </w:rPr>
              <w:t>306,054.27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F334A84">
            <w:pPr>
              <w:jc w:val="right"/>
              <w:rPr>
                <w:rFonts w:ascii="Arial Narrow" w:hAnsi="Arial Narrow" w:eastAsiaTheme="minorEastAsia"/>
                <w:szCs w:val="21"/>
              </w:rPr>
            </w:pPr>
            <w:r>
              <w:rPr>
                <w:rFonts w:ascii="Arial Narrow" w:hAnsi="Arial Narrow" w:eastAsiaTheme="minorEastAsia"/>
                <w:color w:val="000000"/>
                <w:szCs w:val="21"/>
              </w:rPr>
              <w:t>20,513.27</w:t>
            </w:r>
          </w:p>
        </w:tc>
      </w:tr>
      <w:tr w14:paraId="1B4DB0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E1573F9">
            <w:pPr>
              <w:rPr>
                <w:rFonts w:ascii="Arial Narrow" w:hAnsi="Arial Narrow" w:eastAsiaTheme="minorEastAsia"/>
                <w:szCs w:val="21"/>
              </w:rPr>
            </w:pPr>
            <w:r>
              <w:rPr>
                <w:rFonts w:ascii="Arial Narrow" w:hAnsi="Arial Narrow" w:eastAsiaTheme="minorEastAsia"/>
                <w:color w:val="000000"/>
                <w:szCs w:val="21"/>
              </w:rPr>
              <w:t>广东际华园投资发展有限公司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80EF8F0">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170F52B">
            <w:pPr>
              <w:jc w:val="right"/>
              <w:rPr>
                <w:rFonts w:ascii="Arial Narrow" w:hAnsi="Arial Narrow" w:eastAsiaTheme="minorEastAsia"/>
                <w:szCs w:val="21"/>
              </w:rPr>
            </w:pPr>
            <w:r>
              <w:rPr>
                <w:rFonts w:ascii="Arial Narrow" w:hAnsi="Arial Narrow" w:eastAsiaTheme="minorEastAsia"/>
                <w:color w:val="000000"/>
                <w:szCs w:val="21"/>
              </w:rPr>
              <w:t>314,986.76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57A2E43">
            <w:pPr>
              <w:jc w:val="right"/>
              <w:rPr>
                <w:rFonts w:ascii="Arial Narrow" w:hAnsi="Arial Narrow" w:eastAsiaTheme="minorEastAsia"/>
                <w:szCs w:val="21"/>
              </w:rPr>
            </w:pPr>
            <w:r>
              <w:rPr>
                <w:rFonts w:ascii="Arial Narrow" w:hAnsi="Arial Narrow" w:eastAsiaTheme="minorEastAsia"/>
                <w:color w:val="000000"/>
                <w:szCs w:val="21"/>
              </w:rPr>
              <w:t>266,156.64</w:t>
            </w:r>
          </w:p>
        </w:tc>
      </w:tr>
      <w:tr w14:paraId="68A89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E7F0D0D">
            <w:pPr>
              <w:rPr>
                <w:rFonts w:ascii="Arial Narrow" w:hAnsi="Arial Narrow" w:eastAsiaTheme="minorEastAsia"/>
                <w:szCs w:val="21"/>
              </w:rPr>
            </w:pPr>
            <w:r>
              <w:rPr>
                <w:rFonts w:ascii="Arial Narrow" w:hAnsi="Arial Narrow" w:eastAsiaTheme="minorEastAsia"/>
                <w:color w:val="000000"/>
                <w:szCs w:val="21"/>
              </w:rPr>
              <w:t>际华五三零三服装有限公司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B247467">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092749B">
            <w:pPr>
              <w:jc w:val="right"/>
              <w:rPr>
                <w:rFonts w:ascii="Arial Narrow" w:hAnsi="Arial Narrow" w:eastAsiaTheme="minorEastAsia"/>
                <w:szCs w:val="21"/>
              </w:rPr>
            </w:pPr>
            <w:r>
              <w:rPr>
                <w:rFonts w:ascii="Arial Narrow" w:hAnsi="Arial Narrow" w:eastAsiaTheme="minorEastAsia"/>
                <w:color w:val="000000"/>
                <w:szCs w:val="21"/>
              </w:rPr>
              <w:t>291,311.50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D9001FA">
            <w:pPr>
              <w:jc w:val="right"/>
              <w:rPr>
                <w:rFonts w:ascii="Arial Narrow" w:hAnsi="Arial Narrow" w:eastAsiaTheme="minorEastAsia"/>
                <w:szCs w:val="21"/>
              </w:rPr>
            </w:pPr>
          </w:p>
        </w:tc>
      </w:tr>
      <w:tr w14:paraId="3C75A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701AD43">
            <w:pPr>
              <w:rPr>
                <w:rFonts w:ascii="Arial Narrow" w:hAnsi="Arial Narrow" w:eastAsiaTheme="minorEastAsia"/>
                <w:szCs w:val="21"/>
              </w:rPr>
            </w:pPr>
            <w:r>
              <w:rPr>
                <w:rFonts w:ascii="Arial Narrow" w:hAnsi="Arial Narrow" w:eastAsiaTheme="minorEastAsia"/>
                <w:color w:val="000000"/>
                <w:szCs w:val="21"/>
              </w:rPr>
              <w:t>河北新兴铸管有限公司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660BDDB">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8603E38">
            <w:pPr>
              <w:jc w:val="right"/>
              <w:rPr>
                <w:rFonts w:ascii="Arial Narrow" w:hAnsi="Arial Narrow" w:eastAsiaTheme="minorEastAsia"/>
                <w:szCs w:val="21"/>
              </w:rPr>
            </w:pPr>
            <w:r>
              <w:rPr>
                <w:rFonts w:ascii="Arial Narrow" w:hAnsi="Arial Narrow" w:eastAsiaTheme="minorEastAsia"/>
                <w:color w:val="000000"/>
                <w:szCs w:val="21"/>
              </w:rPr>
              <w:t>241,415.95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F3FC502">
            <w:pPr>
              <w:jc w:val="right"/>
              <w:rPr>
                <w:rFonts w:ascii="Arial Narrow" w:hAnsi="Arial Narrow" w:eastAsiaTheme="minorEastAsia"/>
                <w:szCs w:val="21"/>
              </w:rPr>
            </w:pPr>
          </w:p>
        </w:tc>
      </w:tr>
      <w:tr w14:paraId="42C2A2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9D3D594">
            <w:pPr>
              <w:rPr>
                <w:rFonts w:ascii="Arial Narrow" w:hAnsi="Arial Narrow" w:eastAsiaTheme="minorEastAsia"/>
                <w:szCs w:val="21"/>
              </w:rPr>
            </w:pPr>
            <w:r>
              <w:rPr>
                <w:rFonts w:ascii="Arial Narrow" w:hAnsi="Arial Narrow" w:eastAsiaTheme="minorEastAsia"/>
                <w:color w:val="000000"/>
                <w:szCs w:val="21"/>
              </w:rPr>
              <w:t>新兴际华应急产业有限公司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EB53AC0">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99BA321">
            <w:pPr>
              <w:jc w:val="right"/>
              <w:rPr>
                <w:rFonts w:ascii="Arial Narrow" w:hAnsi="Arial Narrow" w:eastAsiaTheme="minorEastAsia"/>
                <w:szCs w:val="21"/>
              </w:rPr>
            </w:pPr>
            <w:r>
              <w:rPr>
                <w:rFonts w:ascii="Arial Narrow" w:hAnsi="Arial Narrow" w:eastAsiaTheme="minorEastAsia"/>
                <w:color w:val="000000"/>
                <w:szCs w:val="21"/>
              </w:rPr>
              <w:t>228,642.84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2CDF87D">
            <w:pPr>
              <w:jc w:val="right"/>
              <w:rPr>
                <w:rFonts w:ascii="Arial Narrow" w:hAnsi="Arial Narrow" w:eastAsiaTheme="minorEastAsia"/>
                <w:szCs w:val="21"/>
              </w:rPr>
            </w:pPr>
            <w:r>
              <w:rPr>
                <w:rFonts w:ascii="Arial Narrow" w:hAnsi="Arial Narrow" w:eastAsiaTheme="minorEastAsia"/>
                <w:color w:val="000000"/>
                <w:szCs w:val="21"/>
              </w:rPr>
              <w:t>6,095,828.01</w:t>
            </w:r>
          </w:p>
        </w:tc>
      </w:tr>
      <w:tr w14:paraId="3331F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FE2346A">
            <w:pPr>
              <w:rPr>
                <w:rFonts w:ascii="Arial Narrow" w:hAnsi="Arial Narrow" w:eastAsiaTheme="minorEastAsia"/>
                <w:szCs w:val="21"/>
              </w:rPr>
            </w:pPr>
            <w:r>
              <w:rPr>
                <w:rFonts w:ascii="Arial Narrow" w:hAnsi="Arial Narrow" w:eastAsiaTheme="minorEastAsia"/>
                <w:color w:val="000000"/>
                <w:szCs w:val="21"/>
              </w:rPr>
              <w:t>新兴重工集团有限公司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401ADC2">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F73D0DB">
            <w:pPr>
              <w:jc w:val="right"/>
              <w:rPr>
                <w:rFonts w:ascii="Arial Narrow" w:hAnsi="Arial Narrow" w:eastAsiaTheme="minorEastAsia"/>
                <w:szCs w:val="21"/>
              </w:rPr>
            </w:pPr>
            <w:r>
              <w:rPr>
                <w:rFonts w:ascii="Arial Narrow" w:hAnsi="Arial Narrow" w:eastAsiaTheme="minorEastAsia"/>
                <w:color w:val="000000"/>
                <w:szCs w:val="21"/>
              </w:rPr>
              <w:t>165,663.73</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920322F">
            <w:pPr>
              <w:jc w:val="right"/>
              <w:rPr>
                <w:rFonts w:ascii="Arial Narrow" w:hAnsi="Arial Narrow" w:eastAsiaTheme="minorEastAsia"/>
                <w:szCs w:val="21"/>
              </w:rPr>
            </w:pPr>
          </w:p>
        </w:tc>
      </w:tr>
      <w:tr w14:paraId="414162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F429D69">
            <w:pPr>
              <w:rPr>
                <w:rFonts w:ascii="Arial Narrow" w:hAnsi="Arial Narrow" w:eastAsiaTheme="minorEastAsia"/>
                <w:szCs w:val="21"/>
              </w:rPr>
            </w:pPr>
            <w:r>
              <w:rPr>
                <w:rFonts w:ascii="Arial Narrow" w:hAnsi="Arial Narrow" w:eastAsiaTheme="minorEastAsia"/>
                <w:color w:val="000000"/>
                <w:szCs w:val="21"/>
              </w:rPr>
              <w:t>黄石新兴管业有限公司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99D8BA7">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C035C97">
            <w:pPr>
              <w:jc w:val="right"/>
              <w:rPr>
                <w:rFonts w:ascii="Arial Narrow" w:hAnsi="Arial Narrow" w:eastAsiaTheme="minorEastAsia"/>
                <w:szCs w:val="21"/>
              </w:rPr>
            </w:pPr>
            <w:r>
              <w:rPr>
                <w:rFonts w:ascii="Arial Narrow" w:hAnsi="Arial Narrow" w:eastAsiaTheme="minorEastAsia"/>
                <w:color w:val="000000"/>
                <w:szCs w:val="21"/>
              </w:rPr>
              <w:t>161,852.22</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803B4F0">
            <w:pPr>
              <w:jc w:val="right"/>
              <w:rPr>
                <w:rFonts w:ascii="Arial Narrow" w:hAnsi="Arial Narrow" w:eastAsiaTheme="minorEastAsia"/>
                <w:szCs w:val="21"/>
              </w:rPr>
            </w:pPr>
            <w:r>
              <w:rPr>
                <w:rFonts w:ascii="Arial Narrow" w:hAnsi="Arial Narrow" w:eastAsiaTheme="minorEastAsia"/>
                <w:color w:val="000000"/>
                <w:szCs w:val="21"/>
              </w:rPr>
              <w:t>699,996.45</w:t>
            </w:r>
          </w:p>
        </w:tc>
      </w:tr>
      <w:tr w14:paraId="118E7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4617163">
            <w:pPr>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947862F">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7F37ACA">
            <w:pPr>
              <w:jc w:val="right"/>
              <w:rPr>
                <w:rFonts w:ascii="Arial Narrow" w:hAnsi="Arial Narrow" w:eastAsiaTheme="minorEastAsia"/>
                <w:szCs w:val="21"/>
              </w:rPr>
            </w:pPr>
            <w:r>
              <w:rPr>
                <w:rFonts w:ascii="Arial Narrow" w:hAnsi="Arial Narrow" w:eastAsiaTheme="minorEastAsia"/>
                <w:color w:val="000000"/>
                <w:szCs w:val="21"/>
              </w:rPr>
              <w:t>154,823.88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12BA5653">
            <w:pPr>
              <w:jc w:val="right"/>
              <w:rPr>
                <w:rFonts w:ascii="Arial Narrow" w:hAnsi="Arial Narrow" w:eastAsiaTheme="minorEastAsia"/>
                <w:szCs w:val="21"/>
              </w:rPr>
            </w:pPr>
            <w:r>
              <w:rPr>
                <w:rFonts w:ascii="Arial Narrow" w:hAnsi="Arial Narrow" w:eastAsiaTheme="minorEastAsia"/>
                <w:color w:val="000000"/>
                <w:szCs w:val="21"/>
              </w:rPr>
              <w:t>220,385.19</w:t>
            </w:r>
          </w:p>
        </w:tc>
      </w:tr>
      <w:tr w14:paraId="2089EF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19708E2">
            <w:pPr>
              <w:rPr>
                <w:rFonts w:ascii="Arial Narrow" w:hAnsi="Arial Narrow" w:eastAsiaTheme="minorEastAsia"/>
                <w:szCs w:val="21"/>
              </w:rPr>
            </w:pPr>
            <w:r>
              <w:rPr>
                <w:rFonts w:ascii="Arial Narrow" w:hAnsi="Arial Narrow" w:eastAsiaTheme="minorEastAsia"/>
                <w:color w:val="000000"/>
                <w:szCs w:val="21"/>
              </w:rPr>
              <w:t>桃江新兴管件有限责任公司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A3C80EC">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E2AA7C4">
            <w:pPr>
              <w:jc w:val="right"/>
              <w:rPr>
                <w:rFonts w:ascii="Arial Narrow" w:hAnsi="Arial Narrow" w:eastAsiaTheme="minorEastAsia"/>
                <w:szCs w:val="21"/>
              </w:rPr>
            </w:pPr>
            <w:r>
              <w:rPr>
                <w:rFonts w:ascii="Arial Narrow" w:hAnsi="Arial Narrow" w:eastAsiaTheme="minorEastAsia"/>
                <w:color w:val="000000"/>
                <w:szCs w:val="21"/>
              </w:rPr>
              <w:t>104,453.81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572CF5E">
            <w:pPr>
              <w:jc w:val="right"/>
              <w:rPr>
                <w:rFonts w:ascii="Arial Narrow" w:hAnsi="Arial Narrow" w:eastAsiaTheme="minorEastAsia"/>
                <w:szCs w:val="21"/>
              </w:rPr>
            </w:pPr>
            <w:r>
              <w:rPr>
                <w:rFonts w:ascii="Arial Narrow" w:hAnsi="Arial Narrow" w:eastAsiaTheme="minorEastAsia"/>
                <w:color w:val="000000"/>
                <w:szCs w:val="21"/>
              </w:rPr>
              <w:t>165,842.21</w:t>
            </w:r>
          </w:p>
        </w:tc>
      </w:tr>
      <w:tr w14:paraId="18AC12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6B08EAF">
            <w:pPr>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E5ECFDB">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658B6D6">
            <w:pPr>
              <w:jc w:val="right"/>
              <w:rPr>
                <w:rFonts w:ascii="Arial Narrow" w:hAnsi="Arial Narrow" w:eastAsiaTheme="minorEastAsia"/>
                <w:szCs w:val="21"/>
              </w:rPr>
            </w:pPr>
            <w:r>
              <w:rPr>
                <w:rFonts w:ascii="Arial Narrow" w:hAnsi="Arial Narrow" w:eastAsiaTheme="minorEastAsia"/>
                <w:color w:val="000000"/>
                <w:szCs w:val="21"/>
              </w:rPr>
              <w:t>94,672.57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46B0504">
            <w:pPr>
              <w:jc w:val="right"/>
              <w:rPr>
                <w:rFonts w:ascii="Arial Narrow" w:hAnsi="Arial Narrow" w:eastAsiaTheme="minorEastAsia"/>
                <w:szCs w:val="21"/>
              </w:rPr>
            </w:pPr>
          </w:p>
        </w:tc>
      </w:tr>
      <w:tr w14:paraId="74873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C55D889">
            <w:pPr>
              <w:rPr>
                <w:rFonts w:ascii="Arial Narrow" w:hAnsi="Arial Narrow" w:eastAsiaTheme="minorEastAsia"/>
                <w:szCs w:val="21"/>
              </w:rPr>
            </w:pPr>
            <w:r>
              <w:rPr>
                <w:rFonts w:ascii="Arial Narrow" w:hAnsi="Arial Narrow" w:eastAsiaTheme="minorEastAsia"/>
                <w:color w:val="000000"/>
                <w:szCs w:val="21"/>
              </w:rPr>
              <w:t>襄阳新兴精密制造有限公司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460B72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D5EC2D6">
            <w:pPr>
              <w:jc w:val="right"/>
              <w:rPr>
                <w:rFonts w:ascii="Arial Narrow" w:hAnsi="Arial Narrow" w:eastAsiaTheme="minorEastAsia"/>
                <w:szCs w:val="21"/>
              </w:rPr>
            </w:pPr>
            <w:r>
              <w:rPr>
                <w:rFonts w:ascii="Arial Narrow" w:hAnsi="Arial Narrow" w:eastAsiaTheme="minorEastAsia"/>
                <w:color w:val="000000"/>
                <w:szCs w:val="21"/>
              </w:rPr>
              <w:t>87,610.62</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7654EA8">
            <w:pPr>
              <w:jc w:val="right"/>
              <w:rPr>
                <w:rFonts w:ascii="Arial Narrow" w:hAnsi="Arial Narrow" w:eastAsiaTheme="minorEastAsia"/>
                <w:szCs w:val="21"/>
              </w:rPr>
            </w:pPr>
          </w:p>
        </w:tc>
      </w:tr>
      <w:tr w14:paraId="4E2AA4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370BD53">
            <w:pPr>
              <w:rPr>
                <w:rFonts w:ascii="Arial Narrow" w:hAnsi="Arial Narrow" w:eastAsiaTheme="minorEastAsia"/>
                <w:szCs w:val="21"/>
              </w:rPr>
            </w:pPr>
            <w:r>
              <w:rPr>
                <w:rFonts w:ascii="Arial Narrow" w:hAnsi="Arial Narrow" w:eastAsiaTheme="minorEastAsia"/>
                <w:color w:val="000000"/>
                <w:szCs w:val="21"/>
              </w:rPr>
              <w:t>大连新东昌置地有限公司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71BC18B">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EDCA14D">
            <w:pPr>
              <w:jc w:val="right"/>
              <w:rPr>
                <w:rFonts w:ascii="Arial Narrow" w:hAnsi="Arial Narrow" w:eastAsiaTheme="minorEastAsia"/>
                <w:szCs w:val="21"/>
              </w:rPr>
            </w:pPr>
            <w:r>
              <w:rPr>
                <w:rFonts w:ascii="Arial Narrow" w:hAnsi="Arial Narrow" w:eastAsiaTheme="minorEastAsia"/>
                <w:color w:val="000000"/>
                <w:szCs w:val="21"/>
              </w:rPr>
              <w:t>74,787.61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1124DC78">
            <w:pPr>
              <w:jc w:val="right"/>
              <w:rPr>
                <w:rFonts w:ascii="Arial Narrow" w:hAnsi="Arial Narrow" w:eastAsiaTheme="minorEastAsia"/>
                <w:szCs w:val="21"/>
              </w:rPr>
            </w:pPr>
          </w:p>
        </w:tc>
      </w:tr>
      <w:tr w14:paraId="78727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4FEA287">
            <w:pPr>
              <w:rPr>
                <w:rFonts w:ascii="Arial Narrow" w:hAnsi="Arial Narrow" w:eastAsiaTheme="minorEastAsia"/>
                <w:szCs w:val="21"/>
              </w:rPr>
            </w:pPr>
            <w:r>
              <w:rPr>
                <w:rFonts w:ascii="Arial Narrow" w:hAnsi="Arial Narrow" w:eastAsiaTheme="minorEastAsia"/>
                <w:color w:val="000000"/>
                <w:szCs w:val="21"/>
              </w:rPr>
              <w:t>广东新兴铸管有限公司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7ADF3E7">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772BD1B">
            <w:pPr>
              <w:jc w:val="right"/>
              <w:rPr>
                <w:rFonts w:ascii="Arial Narrow" w:hAnsi="Arial Narrow" w:eastAsiaTheme="minorEastAsia"/>
                <w:szCs w:val="21"/>
              </w:rPr>
            </w:pPr>
            <w:r>
              <w:rPr>
                <w:rFonts w:ascii="Arial Narrow" w:hAnsi="Arial Narrow" w:eastAsiaTheme="minorEastAsia"/>
                <w:color w:val="000000"/>
                <w:szCs w:val="21"/>
              </w:rPr>
              <w:t>68,212.39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7CDACFF">
            <w:pPr>
              <w:jc w:val="right"/>
              <w:rPr>
                <w:rFonts w:ascii="Arial Narrow" w:hAnsi="Arial Narrow" w:eastAsiaTheme="minorEastAsia"/>
                <w:szCs w:val="21"/>
              </w:rPr>
            </w:pPr>
            <w:r>
              <w:rPr>
                <w:rFonts w:ascii="Arial Narrow" w:hAnsi="Arial Narrow" w:eastAsiaTheme="minorEastAsia"/>
                <w:color w:val="000000"/>
                <w:szCs w:val="21"/>
              </w:rPr>
              <w:t>541,902.66</w:t>
            </w:r>
          </w:p>
        </w:tc>
      </w:tr>
      <w:tr w14:paraId="15777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9C9A0ED">
            <w:pPr>
              <w:rPr>
                <w:rFonts w:ascii="Arial Narrow" w:hAnsi="Arial Narrow" w:eastAsiaTheme="minorEastAsia"/>
                <w:szCs w:val="21"/>
              </w:rPr>
            </w:pPr>
            <w:r>
              <w:rPr>
                <w:rFonts w:ascii="Arial Narrow" w:hAnsi="Arial Narrow" w:eastAsiaTheme="minorEastAsia"/>
                <w:color w:val="000000"/>
                <w:szCs w:val="21"/>
              </w:rPr>
              <w:t>湖北新兴全力机械有限公司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72F971D">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7C50667">
            <w:pPr>
              <w:jc w:val="right"/>
              <w:rPr>
                <w:rFonts w:ascii="Arial Narrow" w:hAnsi="Arial Narrow" w:eastAsiaTheme="minorEastAsia"/>
                <w:szCs w:val="21"/>
              </w:rPr>
            </w:pPr>
            <w:r>
              <w:rPr>
                <w:rFonts w:ascii="Arial Narrow" w:hAnsi="Arial Narrow" w:eastAsiaTheme="minorEastAsia"/>
                <w:color w:val="000000"/>
                <w:szCs w:val="21"/>
              </w:rPr>
              <w:t>58,601.77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C939994">
            <w:pPr>
              <w:jc w:val="right"/>
              <w:rPr>
                <w:rFonts w:ascii="Arial Narrow" w:hAnsi="Arial Narrow" w:eastAsiaTheme="minorEastAsia"/>
                <w:szCs w:val="21"/>
              </w:rPr>
            </w:pPr>
            <w:r>
              <w:rPr>
                <w:rFonts w:ascii="Arial Narrow" w:hAnsi="Arial Narrow" w:eastAsiaTheme="minorEastAsia"/>
                <w:color w:val="000000"/>
                <w:szCs w:val="21"/>
              </w:rPr>
              <w:t>163,846.90</w:t>
            </w:r>
          </w:p>
        </w:tc>
      </w:tr>
      <w:tr w14:paraId="77891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2E05B9F">
            <w:pPr>
              <w:rPr>
                <w:rFonts w:ascii="Arial Narrow" w:hAnsi="Arial Narrow" w:eastAsiaTheme="minorEastAsia"/>
                <w:szCs w:val="21"/>
              </w:rPr>
            </w:pPr>
            <w:r>
              <w:rPr>
                <w:rFonts w:ascii="Arial Narrow" w:hAnsi="Arial Narrow" w:eastAsiaTheme="minorEastAsia"/>
                <w:color w:val="000000"/>
                <w:szCs w:val="21"/>
              </w:rPr>
              <w:t>新兴铸管集团邯郸新材料有限公司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4279CC2">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EB58894">
            <w:pPr>
              <w:jc w:val="right"/>
              <w:rPr>
                <w:rFonts w:ascii="Arial Narrow" w:hAnsi="Arial Narrow" w:eastAsiaTheme="minorEastAsia"/>
                <w:szCs w:val="21"/>
              </w:rPr>
            </w:pPr>
            <w:r>
              <w:rPr>
                <w:rFonts w:ascii="Arial Narrow" w:hAnsi="Arial Narrow" w:eastAsiaTheme="minorEastAsia"/>
                <w:color w:val="000000"/>
                <w:szCs w:val="21"/>
              </w:rPr>
              <w:t>58,023.90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5458842">
            <w:pPr>
              <w:jc w:val="right"/>
              <w:rPr>
                <w:rFonts w:ascii="Arial Narrow" w:hAnsi="Arial Narrow" w:eastAsiaTheme="minorEastAsia"/>
                <w:szCs w:val="21"/>
              </w:rPr>
            </w:pPr>
            <w:r>
              <w:rPr>
                <w:rFonts w:ascii="Arial Narrow" w:hAnsi="Arial Narrow" w:eastAsiaTheme="minorEastAsia"/>
                <w:color w:val="000000"/>
                <w:szCs w:val="21"/>
              </w:rPr>
              <w:t>113,238.94</w:t>
            </w:r>
          </w:p>
        </w:tc>
      </w:tr>
      <w:tr w14:paraId="6E1371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0E1B299">
            <w:pPr>
              <w:rPr>
                <w:rFonts w:ascii="Arial Narrow" w:hAnsi="Arial Narrow" w:eastAsiaTheme="minorEastAsia"/>
                <w:szCs w:val="21"/>
              </w:rPr>
            </w:pPr>
            <w:r>
              <w:rPr>
                <w:rFonts w:ascii="Arial Narrow" w:hAnsi="Arial Narrow" w:eastAsiaTheme="minorEastAsia"/>
                <w:color w:val="000000"/>
                <w:szCs w:val="21"/>
              </w:rPr>
              <w:t>新兴铸管阜康能源有限公司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D8D947D">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B865162">
            <w:pPr>
              <w:jc w:val="right"/>
              <w:rPr>
                <w:rFonts w:ascii="Arial Narrow" w:hAnsi="Arial Narrow" w:eastAsiaTheme="minorEastAsia"/>
                <w:szCs w:val="21"/>
              </w:rPr>
            </w:pPr>
            <w:r>
              <w:rPr>
                <w:rFonts w:ascii="Arial Narrow" w:hAnsi="Arial Narrow" w:eastAsiaTheme="minorEastAsia"/>
                <w:color w:val="000000"/>
                <w:szCs w:val="21"/>
              </w:rPr>
              <w:t>51,769.91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AECEB7F">
            <w:pPr>
              <w:jc w:val="right"/>
              <w:rPr>
                <w:rFonts w:ascii="Arial Narrow" w:hAnsi="Arial Narrow" w:eastAsiaTheme="minorEastAsia"/>
                <w:szCs w:val="21"/>
              </w:rPr>
            </w:pPr>
            <w:r>
              <w:rPr>
                <w:rFonts w:ascii="Arial Narrow" w:hAnsi="Arial Narrow" w:eastAsiaTheme="minorEastAsia"/>
                <w:color w:val="000000"/>
                <w:szCs w:val="21"/>
              </w:rPr>
              <w:t>77,575.22</w:t>
            </w:r>
          </w:p>
        </w:tc>
      </w:tr>
      <w:tr w14:paraId="09A50C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AFA148E">
            <w:pPr>
              <w:rPr>
                <w:rFonts w:ascii="Arial Narrow" w:hAnsi="Arial Narrow" w:eastAsiaTheme="minorEastAsia"/>
                <w:szCs w:val="21"/>
              </w:rPr>
            </w:pPr>
            <w:r>
              <w:rPr>
                <w:rFonts w:ascii="Arial Narrow" w:hAnsi="Arial Narrow" w:eastAsiaTheme="minorEastAsia"/>
                <w:color w:val="000000"/>
                <w:szCs w:val="21"/>
              </w:rPr>
              <w:t>新兴发展（北京）国际贸易有限公司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6F39647">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9D90407">
            <w:pPr>
              <w:jc w:val="right"/>
              <w:rPr>
                <w:rFonts w:ascii="Arial Narrow" w:hAnsi="Arial Narrow" w:eastAsiaTheme="minorEastAsia"/>
                <w:szCs w:val="21"/>
              </w:rPr>
            </w:pPr>
            <w:r>
              <w:rPr>
                <w:rFonts w:ascii="Arial Narrow" w:hAnsi="Arial Narrow" w:eastAsiaTheme="minorEastAsia"/>
                <w:color w:val="000000"/>
                <w:szCs w:val="21"/>
              </w:rPr>
              <w:t>39,358.41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57C390B">
            <w:pPr>
              <w:jc w:val="right"/>
              <w:rPr>
                <w:rFonts w:ascii="Arial Narrow" w:hAnsi="Arial Narrow" w:eastAsiaTheme="minorEastAsia"/>
                <w:szCs w:val="21"/>
              </w:rPr>
            </w:pPr>
            <w:r>
              <w:rPr>
                <w:rFonts w:ascii="Arial Narrow" w:hAnsi="Arial Narrow" w:eastAsiaTheme="minorEastAsia"/>
                <w:color w:val="000000"/>
                <w:szCs w:val="21"/>
              </w:rPr>
              <w:t>194,764.60</w:t>
            </w:r>
          </w:p>
        </w:tc>
      </w:tr>
      <w:tr w14:paraId="584536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BE9CC7A">
            <w:pPr>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3562548">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AE12781">
            <w:pPr>
              <w:jc w:val="right"/>
              <w:rPr>
                <w:rFonts w:ascii="Arial Narrow" w:hAnsi="Arial Narrow" w:eastAsiaTheme="minorEastAsia"/>
                <w:szCs w:val="21"/>
              </w:rPr>
            </w:pPr>
            <w:r>
              <w:rPr>
                <w:rFonts w:ascii="Arial Narrow" w:hAnsi="Arial Narrow" w:eastAsiaTheme="minorEastAsia"/>
                <w:color w:val="000000"/>
                <w:szCs w:val="21"/>
              </w:rPr>
              <w:t>35,462.15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AB54C84">
            <w:pPr>
              <w:jc w:val="right"/>
              <w:rPr>
                <w:rFonts w:ascii="Arial Narrow" w:hAnsi="Arial Narrow" w:eastAsiaTheme="minorEastAsia"/>
                <w:szCs w:val="21"/>
              </w:rPr>
            </w:pPr>
          </w:p>
        </w:tc>
      </w:tr>
      <w:tr w14:paraId="2CAAE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2551271">
            <w:pPr>
              <w:rPr>
                <w:rFonts w:ascii="Arial Narrow" w:hAnsi="Arial Narrow" w:eastAsiaTheme="minorEastAsia"/>
                <w:szCs w:val="21"/>
              </w:rPr>
            </w:pPr>
            <w:r>
              <w:rPr>
                <w:rFonts w:ascii="Arial Narrow" w:hAnsi="Arial Narrow" w:eastAsiaTheme="minorEastAsia"/>
                <w:color w:val="000000"/>
                <w:szCs w:val="21"/>
              </w:rPr>
              <w:t>新兴际华资产经营管理有限公司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4B1786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765E5B5">
            <w:pPr>
              <w:jc w:val="right"/>
              <w:rPr>
                <w:rFonts w:ascii="Arial Narrow" w:hAnsi="Arial Narrow" w:eastAsiaTheme="minorEastAsia"/>
                <w:szCs w:val="21"/>
              </w:rPr>
            </w:pPr>
            <w:r>
              <w:rPr>
                <w:rFonts w:ascii="Arial Narrow" w:hAnsi="Arial Narrow" w:eastAsiaTheme="minorEastAsia"/>
                <w:color w:val="000000"/>
                <w:szCs w:val="21"/>
              </w:rPr>
              <w:t>31,699.12</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B2A311D">
            <w:pPr>
              <w:jc w:val="right"/>
              <w:rPr>
                <w:rFonts w:ascii="Arial Narrow" w:hAnsi="Arial Narrow" w:eastAsiaTheme="minorEastAsia"/>
                <w:szCs w:val="21"/>
              </w:rPr>
            </w:pPr>
            <w:r>
              <w:rPr>
                <w:rFonts w:ascii="Arial Narrow" w:hAnsi="Arial Narrow" w:eastAsiaTheme="minorEastAsia"/>
                <w:color w:val="000000"/>
                <w:szCs w:val="21"/>
              </w:rPr>
              <w:t>276,902.68</w:t>
            </w:r>
          </w:p>
        </w:tc>
      </w:tr>
      <w:tr w14:paraId="5A91F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4B832B5">
            <w:pPr>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97E1236">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48D6DE6">
            <w:pPr>
              <w:jc w:val="right"/>
              <w:rPr>
                <w:rFonts w:ascii="Arial Narrow" w:hAnsi="Arial Narrow" w:eastAsiaTheme="minorEastAsia"/>
                <w:szCs w:val="21"/>
              </w:rPr>
            </w:pPr>
            <w:r>
              <w:rPr>
                <w:rFonts w:ascii="Arial Narrow" w:hAnsi="Arial Narrow" w:eastAsiaTheme="minorEastAsia"/>
                <w:color w:val="000000"/>
                <w:szCs w:val="21"/>
              </w:rPr>
              <w:t>619,828.10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10BDC096">
            <w:pPr>
              <w:jc w:val="right"/>
              <w:rPr>
                <w:rFonts w:ascii="Arial Narrow" w:hAnsi="Arial Narrow" w:eastAsiaTheme="minorEastAsia"/>
                <w:szCs w:val="21"/>
              </w:rPr>
            </w:pPr>
            <w:r>
              <w:rPr>
                <w:rFonts w:ascii="Arial Narrow" w:hAnsi="Arial Narrow" w:eastAsiaTheme="minorEastAsia"/>
                <w:color w:val="000000"/>
                <w:szCs w:val="21"/>
              </w:rPr>
              <w:t>39,901.23</w:t>
            </w:r>
          </w:p>
        </w:tc>
      </w:tr>
      <w:tr w14:paraId="180F25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DDE5830">
            <w:pPr>
              <w:rPr>
                <w:rFonts w:ascii="Arial Narrow" w:hAnsi="Arial Narrow" w:eastAsiaTheme="minorEastAsia"/>
                <w:szCs w:val="21"/>
              </w:rPr>
            </w:pPr>
            <w:r>
              <w:rPr>
                <w:rFonts w:ascii="Arial Narrow" w:hAnsi="Arial Narrow" w:eastAsiaTheme="minorEastAsia"/>
                <w:color w:val="000000"/>
                <w:szCs w:val="21"/>
              </w:rPr>
              <w:t>陕西际华园开发建设有限公司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5E9E66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939DE42">
            <w:pPr>
              <w:jc w:val="right"/>
              <w:rPr>
                <w:rFonts w:ascii="Arial Narrow" w:hAnsi="Arial Narrow" w:eastAsiaTheme="minorEastAsia"/>
                <w:szCs w:val="21"/>
              </w:rPr>
            </w:pPr>
            <w:r>
              <w:rPr>
                <w:rFonts w:ascii="Arial Narrow" w:hAnsi="Arial Narrow" w:eastAsiaTheme="minorEastAsia"/>
                <w:color w:val="000000"/>
                <w:szCs w:val="21"/>
              </w:rPr>
              <w:t>26,548.69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C104AB6">
            <w:pPr>
              <w:jc w:val="right"/>
              <w:rPr>
                <w:rFonts w:ascii="Arial Narrow" w:hAnsi="Arial Narrow" w:eastAsiaTheme="minorEastAsia"/>
                <w:szCs w:val="21"/>
              </w:rPr>
            </w:pPr>
          </w:p>
        </w:tc>
      </w:tr>
      <w:tr w14:paraId="7894F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82EA7AD">
            <w:pPr>
              <w:rPr>
                <w:rFonts w:ascii="Arial Narrow" w:hAnsi="Arial Narrow" w:eastAsiaTheme="minorEastAsia"/>
                <w:szCs w:val="21"/>
              </w:rPr>
            </w:pPr>
            <w:r>
              <w:rPr>
                <w:rFonts w:ascii="Arial Narrow" w:hAnsi="Arial Narrow" w:eastAsiaTheme="minorEastAsia"/>
                <w:color w:val="000000"/>
                <w:szCs w:val="21"/>
              </w:rPr>
              <w:t>湖北三六一一应急装备有限公司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0E362A0">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E4B789B">
            <w:pPr>
              <w:jc w:val="right"/>
              <w:rPr>
                <w:rFonts w:ascii="Arial Narrow" w:hAnsi="Arial Narrow" w:eastAsiaTheme="minorEastAsia"/>
                <w:szCs w:val="21"/>
              </w:rPr>
            </w:pPr>
            <w:r>
              <w:rPr>
                <w:rFonts w:ascii="Arial Narrow" w:hAnsi="Arial Narrow" w:eastAsiaTheme="minorEastAsia"/>
                <w:color w:val="000000"/>
                <w:szCs w:val="21"/>
              </w:rPr>
              <w:t>21,495.57</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05E9C09">
            <w:pPr>
              <w:jc w:val="right"/>
              <w:rPr>
                <w:rFonts w:ascii="Arial Narrow" w:hAnsi="Arial Narrow" w:eastAsiaTheme="minorEastAsia"/>
                <w:szCs w:val="21"/>
              </w:rPr>
            </w:pPr>
          </w:p>
        </w:tc>
      </w:tr>
      <w:tr w14:paraId="742E7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678D64C">
            <w:pPr>
              <w:rPr>
                <w:rFonts w:ascii="Arial Narrow" w:hAnsi="Arial Narrow" w:eastAsiaTheme="minorEastAsia"/>
                <w:szCs w:val="21"/>
              </w:rPr>
            </w:pPr>
            <w:r>
              <w:rPr>
                <w:rFonts w:ascii="Arial Narrow" w:hAnsi="Arial Narrow" w:eastAsiaTheme="minorEastAsia"/>
                <w:color w:val="000000"/>
                <w:szCs w:val="21"/>
              </w:rPr>
              <w:t>北京三兴汽车有限公司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4C1CCB1">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9D68D25">
            <w:pPr>
              <w:jc w:val="right"/>
              <w:rPr>
                <w:rFonts w:ascii="Arial Narrow" w:hAnsi="Arial Narrow" w:eastAsiaTheme="minorEastAsia"/>
                <w:szCs w:val="21"/>
              </w:rPr>
            </w:pPr>
            <w:r>
              <w:rPr>
                <w:rFonts w:ascii="Arial Narrow" w:hAnsi="Arial Narrow" w:eastAsiaTheme="minorEastAsia"/>
                <w:color w:val="000000"/>
                <w:szCs w:val="21"/>
              </w:rPr>
              <w:t>18,938.05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6F1C565">
            <w:pPr>
              <w:jc w:val="right"/>
              <w:rPr>
                <w:rFonts w:ascii="Arial Narrow" w:hAnsi="Arial Narrow" w:eastAsiaTheme="minorEastAsia"/>
                <w:szCs w:val="21"/>
              </w:rPr>
            </w:pPr>
            <w:r>
              <w:rPr>
                <w:rFonts w:ascii="Arial Narrow" w:hAnsi="Arial Narrow" w:eastAsiaTheme="minorEastAsia"/>
                <w:color w:val="000000"/>
                <w:szCs w:val="21"/>
              </w:rPr>
              <w:t>15,309.14</w:t>
            </w:r>
          </w:p>
        </w:tc>
      </w:tr>
      <w:tr w14:paraId="362410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6B3C634">
            <w:pPr>
              <w:rPr>
                <w:rFonts w:ascii="Arial Narrow" w:hAnsi="Arial Narrow" w:eastAsiaTheme="minorEastAsia"/>
                <w:szCs w:val="21"/>
              </w:rPr>
            </w:pPr>
            <w:r>
              <w:rPr>
                <w:rFonts w:ascii="Arial Narrow" w:hAnsi="Arial Narrow" w:eastAsiaTheme="minorEastAsia"/>
                <w:color w:val="000000"/>
                <w:szCs w:val="21"/>
              </w:rPr>
              <w:t>北京三五零一服装厂有限公司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9C786B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688F64C">
            <w:pPr>
              <w:jc w:val="right"/>
              <w:rPr>
                <w:rFonts w:ascii="Arial Narrow" w:hAnsi="Arial Narrow" w:eastAsiaTheme="minorEastAsia"/>
                <w:szCs w:val="21"/>
              </w:rPr>
            </w:pPr>
            <w:r>
              <w:rPr>
                <w:rFonts w:ascii="Arial Narrow" w:hAnsi="Arial Narrow" w:eastAsiaTheme="minorEastAsia"/>
                <w:color w:val="000000"/>
                <w:szCs w:val="21"/>
              </w:rPr>
              <w:t>20,178.76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F5DA231">
            <w:pPr>
              <w:jc w:val="right"/>
              <w:rPr>
                <w:rFonts w:ascii="Arial Narrow" w:hAnsi="Arial Narrow" w:eastAsiaTheme="minorEastAsia"/>
                <w:szCs w:val="21"/>
              </w:rPr>
            </w:pPr>
            <w:r>
              <w:rPr>
                <w:rFonts w:ascii="Arial Narrow" w:hAnsi="Arial Narrow" w:eastAsiaTheme="minorEastAsia"/>
                <w:color w:val="000000"/>
                <w:szCs w:val="21"/>
              </w:rPr>
              <w:t>1,238.94</w:t>
            </w:r>
          </w:p>
        </w:tc>
      </w:tr>
      <w:tr w14:paraId="064F3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0A5BB54">
            <w:pPr>
              <w:rPr>
                <w:rFonts w:ascii="Arial Narrow" w:hAnsi="Arial Narrow" w:eastAsiaTheme="minorEastAsia"/>
                <w:szCs w:val="21"/>
              </w:rPr>
            </w:pPr>
            <w:r>
              <w:rPr>
                <w:rFonts w:ascii="Arial Narrow" w:hAnsi="Arial Narrow" w:eastAsiaTheme="minorEastAsia"/>
                <w:color w:val="000000"/>
                <w:szCs w:val="21"/>
              </w:rPr>
              <w:t>鄂钢医院</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1104F19">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9B733CB">
            <w:pPr>
              <w:jc w:val="right"/>
              <w:rPr>
                <w:rFonts w:ascii="Arial Narrow" w:hAnsi="Arial Narrow" w:eastAsiaTheme="minorEastAsia"/>
                <w:szCs w:val="21"/>
              </w:rPr>
            </w:pPr>
            <w:r>
              <w:rPr>
                <w:rFonts w:ascii="Arial Narrow" w:hAnsi="Arial Narrow" w:eastAsiaTheme="minorEastAsia"/>
                <w:color w:val="000000"/>
                <w:szCs w:val="21"/>
              </w:rPr>
              <w:t>18,884.96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44AD80D">
            <w:pPr>
              <w:jc w:val="right"/>
              <w:rPr>
                <w:rFonts w:ascii="Arial Narrow" w:hAnsi="Arial Narrow" w:eastAsiaTheme="minorEastAsia"/>
                <w:szCs w:val="21"/>
              </w:rPr>
            </w:pPr>
          </w:p>
        </w:tc>
      </w:tr>
      <w:tr w14:paraId="7EAFBA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79935EC">
            <w:pPr>
              <w:rPr>
                <w:rFonts w:ascii="Arial Narrow" w:hAnsi="Arial Narrow" w:eastAsiaTheme="minorEastAsia"/>
                <w:szCs w:val="21"/>
              </w:rPr>
            </w:pPr>
            <w:r>
              <w:rPr>
                <w:rFonts w:ascii="Arial Narrow" w:hAnsi="Arial Narrow" w:eastAsiaTheme="minorEastAsia"/>
                <w:color w:val="000000"/>
                <w:szCs w:val="21"/>
              </w:rPr>
              <w:t>新兴达美（天津）投资有限公司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BB6598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D96669D">
            <w:pPr>
              <w:jc w:val="right"/>
              <w:rPr>
                <w:rFonts w:ascii="Arial Narrow" w:hAnsi="Arial Narrow" w:eastAsiaTheme="minorEastAsia"/>
                <w:szCs w:val="21"/>
              </w:rPr>
            </w:pPr>
            <w:r>
              <w:rPr>
                <w:rFonts w:ascii="Arial Narrow" w:hAnsi="Arial Narrow" w:eastAsiaTheme="minorEastAsia"/>
                <w:color w:val="000000"/>
                <w:szCs w:val="21"/>
              </w:rPr>
              <w:t>9,292.04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DEB808E">
            <w:pPr>
              <w:jc w:val="right"/>
              <w:rPr>
                <w:rFonts w:ascii="Arial Narrow" w:hAnsi="Arial Narrow" w:eastAsiaTheme="minorEastAsia"/>
                <w:szCs w:val="21"/>
              </w:rPr>
            </w:pPr>
          </w:p>
        </w:tc>
      </w:tr>
      <w:tr w14:paraId="53F5F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6939919">
            <w:pPr>
              <w:rPr>
                <w:rFonts w:ascii="Arial Narrow" w:hAnsi="Arial Narrow" w:eastAsiaTheme="minorEastAsia"/>
                <w:szCs w:val="21"/>
              </w:rPr>
            </w:pPr>
            <w:r>
              <w:rPr>
                <w:rFonts w:ascii="Arial Narrow" w:hAnsi="Arial Narrow" w:eastAsiaTheme="minorEastAsia"/>
                <w:color w:val="000000"/>
                <w:szCs w:val="21"/>
              </w:rPr>
              <w:t>新兴际华资本控股有限公司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76515A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BFC324E">
            <w:pPr>
              <w:jc w:val="right"/>
              <w:rPr>
                <w:rFonts w:ascii="Arial Narrow" w:hAnsi="Arial Narrow" w:eastAsiaTheme="minorEastAsia"/>
                <w:szCs w:val="21"/>
              </w:rPr>
            </w:pPr>
            <w:r>
              <w:rPr>
                <w:rFonts w:ascii="Arial Narrow" w:hAnsi="Arial Narrow" w:eastAsiaTheme="minorEastAsia"/>
                <w:color w:val="000000"/>
                <w:szCs w:val="21"/>
              </w:rPr>
              <w:t>8,849.56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522D298">
            <w:pPr>
              <w:jc w:val="right"/>
              <w:rPr>
                <w:rFonts w:ascii="Arial Narrow" w:hAnsi="Arial Narrow" w:eastAsiaTheme="minorEastAsia"/>
                <w:szCs w:val="21"/>
              </w:rPr>
            </w:pPr>
          </w:p>
        </w:tc>
      </w:tr>
      <w:tr w14:paraId="78E4E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F582CD1">
            <w:pPr>
              <w:rPr>
                <w:rFonts w:ascii="Arial Narrow" w:hAnsi="Arial Narrow" w:eastAsiaTheme="minorEastAsia"/>
                <w:szCs w:val="21"/>
              </w:rPr>
            </w:pPr>
            <w:r>
              <w:rPr>
                <w:rFonts w:ascii="Arial Narrow" w:hAnsi="Arial Narrow" w:eastAsiaTheme="minorEastAsia"/>
                <w:color w:val="000000"/>
                <w:szCs w:val="21"/>
              </w:rPr>
              <w:t>广东新兴发展供应链管理有限公司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4BC1AC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F5D1240">
            <w:pPr>
              <w:jc w:val="right"/>
              <w:rPr>
                <w:rFonts w:ascii="Arial Narrow" w:hAnsi="Arial Narrow" w:eastAsiaTheme="minorEastAsia"/>
                <w:szCs w:val="21"/>
              </w:rPr>
            </w:pPr>
            <w:r>
              <w:rPr>
                <w:rFonts w:ascii="Arial Narrow" w:hAnsi="Arial Narrow" w:eastAsiaTheme="minorEastAsia"/>
                <w:color w:val="000000"/>
                <w:szCs w:val="21"/>
              </w:rPr>
              <w:t>16,831.69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091EAAF">
            <w:pPr>
              <w:jc w:val="right"/>
              <w:rPr>
                <w:rFonts w:ascii="Arial Narrow" w:hAnsi="Arial Narrow" w:eastAsiaTheme="minorEastAsia"/>
                <w:szCs w:val="21"/>
              </w:rPr>
            </w:pPr>
            <w:r>
              <w:rPr>
                <w:rFonts w:ascii="Arial Narrow" w:hAnsi="Arial Narrow" w:eastAsiaTheme="minorEastAsia"/>
                <w:color w:val="000000"/>
                <w:szCs w:val="21"/>
              </w:rPr>
              <w:t>23,464.48</w:t>
            </w:r>
          </w:p>
        </w:tc>
      </w:tr>
      <w:tr w14:paraId="51A493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1BF16E2">
            <w:pPr>
              <w:rPr>
                <w:rFonts w:ascii="Arial Narrow" w:hAnsi="Arial Narrow" w:eastAsiaTheme="minorEastAsia"/>
                <w:szCs w:val="21"/>
              </w:rPr>
            </w:pPr>
            <w:r>
              <w:rPr>
                <w:rFonts w:ascii="Arial Narrow" w:hAnsi="Arial Narrow" w:eastAsiaTheme="minorEastAsia"/>
                <w:color w:val="000000"/>
                <w:szCs w:val="21"/>
              </w:rPr>
              <w:t>新兴际华集团财务有限公司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ADD8A2F">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00AFBC0">
            <w:pPr>
              <w:jc w:val="right"/>
              <w:rPr>
                <w:rFonts w:ascii="Arial Narrow" w:hAnsi="Arial Narrow" w:eastAsiaTheme="minorEastAsia"/>
                <w:szCs w:val="21"/>
              </w:rPr>
            </w:pPr>
            <w:r>
              <w:rPr>
                <w:rFonts w:ascii="Arial Narrow" w:hAnsi="Arial Narrow" w:eastAsiaTheme="minorEastAsia"/>
                <w:color w:val="000000"/>
                <w:szCs w:val="21"/>
              </w:rPr>
              <w:t>6,778.76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068DAF5">
            <w:pPr>
              <w:jc w:val="right"/>
              <w:rPr>
                <w:rFonts w:ascii="Arial Narrow" w:hAnsi="Arial Narrow" w:eastAsiaTheme="minorEastAsia"/>
                <w:szCs w:val="21"/>
              </w:rPr>
            </w:pPr>
            <w:r>
              <w:rPr>
                <w:rFonts w:ascii="Arial Narrow" w:hAnsi="Arial Narrow" w:eastAsiaTheme="minorEastAsia"/>
                <w:color w:val="000000"/>
                <w:szCs w:val="21"/>
              </w:rPr>
              <w:t>1,238.94</w:t>
            </w:r>
          </w:p>
        </w:tc>
      </w:tr>
      <w:tr w14:paraId="53F8E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1AF7C65">
            <w:pPr>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443FC6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F367008">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674A55E">
            <w:pPr>
              <w:jc w:val="right"/>
              <w:rPr>
                <w:rFonts w:ascii="Arial Narrow" w:hAnsi="Arial Narrow" w:eastAsiaTheme="minorEastAsia"/>
                <w:szCs w:val="21"/>
              </w:rPr>
            </w:pPr>
            <w:r>
              <w:rPr>
                <w:rFonts w:ascii="Arial Narrow" w:hAnsi="Arial Narrow" w:eastAsiaTheme="minorEastAsia"/>
                <w:color w:val="000000"/>
                <w:szCs w:val="21"/>
              </w:rPr>
              <w:t>7,497.34</w:t>
            </w:r>
          </w:p>
        </w:tc>
      </w:tr>
      <w:tr w14:paraId="38857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E85B3F5">
            <w:pPr>
              <w:rPr>
                <w:rFonts w:ascii="Arial Narrow" w:hAnsi="Arial Narrow" w:eastAsiaTheme="minorEastAsia"/>
                <w:szCs w:val="21"/>
              </w:rPr>
            </w:pPr>
            <w:r>
              <w:rPr>
                <w:rFonts w:ascii="Arial Narrow" w:hAnsi="Arial Narrow" w:eastAsiaTheme="minorEastAsia"/>
                <w:color w:val="000000"/>
                <w:szCs w:val="21"/>
              </w:rPr>
              <w:t>上海力声特医学科技有限公司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A556411">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8ECC480">
            <w:pPr>
              <w:jc w:val="right"/>
              <w:rPr>
                <w:rFonts w:ascii="Arial Narrow" w:hAnsi="Arial Narrow" w:eastAsiaTheme="minorEastAsia"/>
                <w:szCs w:val="21"/>
              </w:rPr>
            </w:pPr>
            <w:r>
              <w:rPr>
                <w:rFonts w:ascii="Arial Narrow" w:hAnsi="Arial Narrow" w:eastAsiaTheme="minorEastAsia"/>
                <w:color w:val="000000"/>
                <w:szCs w:val="21"/>
              </w:rPr>
              <w:t>11,283.18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E3B6B05">
            <w:pPr>
              <w:jc w:val="right"/>
              <w:rPr>
                <w:rFonts w:ascii="Arial Narrow" w:hAnsi="Arial Narrow" w:eastAsiaTheme="minorEastAsia"/>
                <w:szCs w:val="21"/>
              </w:rPr>
            </w:pPr>
          </w:p>
        </w:tc>
      </w:tr>
      <w:tr w14:paraId="04682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32D99CE">
            <w:pPr>
              <w:rPr>
                <w:rFonts w:ascii="Arial Narrow" w:hAnsi="Arial Narrow" w:eastAsiaTheme="minorEastAsia"/>
                <w:szCs w:val="21"/>
              </w:rPr>
            </w:pPr>
            <w:r>
              <w:rPr>
                <w:rFonts w:ascii="Arial Narrow" w:hAnsi="Arial Narrow" w:eastAsiaTheme="minorEastAsia"/>
                <w:color w:val="000000"/>
                <w:szCs w:val="21"/>
              </w:rPr>
              <w:t>际华军研（北京）特种装备科技有限公司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7726368">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A5C5217">
            <w:pPr>
              <w:jc w:val="right"/>
              <w:rPr>
                <w:rFonts w:ascii="Arial Narrow" w:hAnsi="Arial Narrow" w:eastAsiaTheme="minorEastAsia"/>
                <w:szCs w:val="21"/>
              </w:rPr>
            </w:pPr>
            <w:r>
              <w:rPr>
                <w:rFonts w:ascii="Arial Narrow" w:hAnsi="Arial Narrow" w:eastAsiaTheme="minorEastAsia"/>
                <w:color w:val="000000"/>
                <w:szCs w:val="21"/>
              </w:rPr>
              <w:t>7,807.08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2C616DF">
            <w:pPr>
              <w:jc w:val="right"/>
              <w:rPr>
                <w:rFonts w:ascii="Arial Narrow" w:hAnsi="Arial Narrow" w:eastAsiaTheme="minorEastAsia"/>
                <w:szCs w:val="21"/>
              </w:rPr>
            </w:pPr>
            <w:r>
              <w:rPr>
                <w:rFonts w:ascii="Arial Narrow" w:hAnsi="Arial Narrow" w:eastAsiaTheme="minorEastAsia"/>
                <w:color w:val="000000"/>
                <w:szCs w:val="21"/>
              </w:rPr>
              <w:t>19,421.22</w:t>
            </w:r>
          </w:p>
        </w:tc>
      </w:tr>
      <w:tr w14:paraId="48CA9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B869D27">
            <w:pPr>
              <w:rPr>
                <w:rFonts w:ascii="Arial Narrow" w:hAnsi="Arial Narrow" w:eastAsiaTheme="minorEastAsia"/>
                <w:szCs w:val="21"/>
              </w:rPr>
            </w:pPr>
            <w:r>
              <w:rPr>
                <w:rFonts w:ascii="Arial Narrow" w:hAnsi="Arial Narrow" w:eastAsiaTheme="minorEastAsia"/>
                <w:color w:val="000000"/>
                <w:szCs w:val="21"/>
              </w:rPr>
              <w:t>新兴凌云医药化工有限公司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647A36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5543A29">
            <w:pPr>
              <w:jc w:val="right"/>
              <w:rPr>
                <w:rFonts w:ascii="Arial Narrow" w:hAnsi="Arial Narrow" w:eastAsiaTheme="minorEastAsia"/>
                <w:szCs w:val="21"/>
              </w:rPr>
            </w:pPr>
            <w:r>
              <w:rPr>
                <w:rFonts w:ascii="Arial Narrow" w:hAnsi="Arial Narrow" w:eastAsiaTheme="minorEastAsia"/>
                <w:color w:val="000000"/>
                <w:szCs w:val="21"/>
              </w:rPr>
              <w:t>7,396.04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B481E98">
            <w:pPr>
              <w:jc w:val="right"/>
              <w:rPr>
                <w:rFonts w:ascii="Arial Narrow" w:hAnsi="Arial Narrow" w:eastAsiaTheme="minorEastAsia"/>
                <w:szCs w:val="21"/>
              </w:rPr>
            </w:pPr>
            <w:r>
              <w:rPr>
                <w:rFonts w:ascii="Arial Narrow" w:hAnsi="Arial Narrow" w:eastAsiaTheme="minorEastAsia"/>
                <w:color w:val="000000"/>
                <w:szCs w:val="21"/>
              </w:rPr>
              <w:t>17,699.12</w:t>
            </w:r>
          </w:p>
        </w:tc>
      </w:tr>
      <w:tr w14:paraId="2DC11E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EEB0255">
            <w:pPr>
              <w:rPr>
                <w:rFonts w:ascii="Arial Narrow" w:hAnsi="Arial Narrow" w:eastAsiaTheme="minorEastAsia"/>
                <w:szCs w:val="21"/>
              </w:rPr>
            </w:pPr>
            <w:r>
              <w:rPr>
                <w:rFonts w:ascii="Arial Narrow" w:hAnsi="Arial Narrow" w:eastAsiaTheme="minorEastAsia"/>
                <w:color w:val="000000"/>
                <w:szCs w:val="21"/>
              </w:rPr>
              <w:t>新兴铸管（上海）金属资源有限公司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8C544A8">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2E7A957">
            <w:pPr>
              <w:jc w:val="right"/>
              <w:rPr>
                <w:rFonts w:ascii="Arial Narrow" w:hAnsi="Arial Narrow" w:eastAsiaTheme="minorEastAsia"/>
                <w:szCs w:val="21"/>
              </w:rPr>
            </w:pPr>
            <w:r>
              <w:rPr>
                <w:rFonts w:ascii="Arial Narrow" w:hAnsi="Arial Narrow" w:eastAsiaTheme="minorEastAsia"/>
                <w:color w:val="000000"/>
                <w:szCs w:val="21"/>
              </w:rPr>
              <w:t>7,353.98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C582CF3">
            <w:pPr>
              <w:jc w:val="right"/>
              <w:rPr>
                <w:rFonts w:ascii="Arial Narrow" w:hAnsi="Arial Narrow" w:eastAsiaTheme="minorEastAsia"/>
                <w:szCs w:val="21"/>
              </w:rPr>
            </w:pPr>
          </w:p>
        </w:tc>
      </w:tr>
      <w:tr w14:paraId="3D642D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4BDE180">
            <w:pPr>
              <w:rPr>
                <w:rFonts w:ascii="Arial Narrow" w:hAnsi="Arial Narrow" w:eastAsiaTheme="minorEastAsia"/>
                <w:szCs w:val="21"/>
              </w:rPr>
            </w:pPr>
            <w:r>
              <w:rPr>
                <w:rFonts w:ascii="Arial Narrow" w:hAnsi="Arial Narrow" w:eastAsiaTheme="minorEastAsia"/>
                <w:color w:val="000000"/>
                <w:szCs w:val="21"/>
              </w:rPr>
              <w:t>天津移山工程机械有限公司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380D7BB">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0E11C90">
            <w:pPr>
              <w:jc w:val="right"/>
              <w:rPr>
                <w:rFonts w:ascii="Arial Narrow" w:hAnsi="Arial Narrow" w:eastAsiaTheme="minorEastAsia"/>
                <w:szCs w:val="21"/>
              </w:rPr>
            </w:pPr>
            <w:r>
              <w:rPr>
                <w:rFonts w:ascii="Arial Narrow" w:hAnsi="Arial Narrow" w:eastAsiaTheme="minorEastAsia"/>
                <w:color w:val="000000"/>
                <w:szCs w:val="21"/>
              </w:rPr>
              <w:t>7,079.65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711B547">
            <w:pPr>
              <w:jc w:val="right"/>
              <w:rPr>
                <w:rFonts w:ascii="Arial Narrow" w:hAnsi="Arial Narrow" w:eastAsiaTheme="minorEastAsia"/>
                <w:szCs w:val="21"/>
              </w:rPr>
            </w:pPr>
          </w:p>
        </w:tc>
      </w:tr>
      <w:tr w14:paraId="0F657D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7201CEA">
            <w:pPr>
              <w:rPr>
                <w:rFonts w:ascii="Arial Narrow" w:hAnsi="Arial Narrow" w:eastAsiaTheme="minorEastAsia"/>
                <w:szCs w:val="21"/>
              </w:rPr>
            </w:pPr>
            <w:r>
              <w:rPr>
                <w:rFonts w:ascii="Arial Narrow" w:hAnsi="Arial Narrow" w:eastAsiaTheme="minorEastAsia"/>
                <w:color w:val="000000"/>
                <w:szCs w:val="21"/>
              </w:rPr>
              <w:t>天津双鹿大厦有限公司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6021FC4">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A89651E">
            <w:pPr>
              <w:jc w:val="right"/>
              <w:rPr>
                <w:rFonts w:ascii="Arial Narrow" w:hAnsi="Arial Narrow" w:eastAsiaTheme="minorEastAsia"/>
                <w:szCs w:val="21"/>
              </w:rPr>
            </w:pPr>
            <w:r>
              <w:rPr>
                <w:rFonts w:ascii="Arial Narrow" w:hAnsi="Arial Narrow" w:eastAsiaTheme="minorEastAsia"/>
                <w:color w:val="000000"/>
                <w:szCs w:val="21"/>
              </w:rPr>
              <w:t>2,300.88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3F8EB3E">
            <w:pPr>
              <w:jc w:val="right"/>
              <w:rPr>
                <w:rFonts w:ascii="Arial Narrow" w:hAnsi="Arial Narrow" w:eastAsiaTheme="minorEastAsia"/>
                <w:szCs w:val="21"/>
              </w:rPr>
            </w:pPr>
          </w:p>
        </w:tc>
      </w:tr>
      <w:tr w14:paraId="34420C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39E61C5">
            <w:pPr>
              <w:rPr>
                <w:rFonts w:ascii="Arial Narrow" w:hAnsi="Arial Narrow" w:eastAsiaTheme="minorEastAsia"/>
                <w:szCs w:val="21"/>
              </w:rPr>
            </w:pPr>
            <w:r>
              <w:rPr>
                <w:rFonts w:ascii="Arial Narrow" w:hAnsi="Arial Narrow" w:eastAsiaTheme="minorEastAsia"/>
                <w:color w:val="000000"/>
                <w:szCs w:val="21"/>
              </w:rPr>
              <w:t>天津华津制药有限公司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E1991C4">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5F9E5D2">
            <w:pPr>
              <w:jc w:val="right"/>
              <w:rPr>
                <w:rFonts w:ascii="Arial Narrow" w:hAnsi="Arial Narrow" w:eastAsiaTheme="minorEastAsia"/>
                <w:szCs w:val="21"/>
              </w:rPr>
            </w:pPr>
            <w:r>
              <w:rPr>
                <w:rFonts w:ascii="Arial Narrow" w:hAnsi="Arial Narrow" w:eastAsiaTheme="minorEastAsia"/>
                <w:color w:val="000000"/>
                <w:szCs w:val="21"/>
              </w:rPr>
              <w:t>3,367.26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EF2660D">
            <w:pPr>
              <w:jc w:val="right"/>
              <w:rPr>
                <w:rFonts w:ascii="Arial Narrow" w:hAnsi="Arial Narrow" w:eastAsiaTheme="minorEastAsia"/>
                <w:szCs w:val="21"/>
              </w:rPr>
            </w:pPr>
          </w:p>
        </w:tc>
      </w:tr>
      <w:tr w14:paraId="0A0019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4F3615B">
            <w:pPr>
              <w:rPr>
                <w:rFonts w:ascii="Arial Narrow" w:hAnsi="Arial Narrow" w:eastAsiaTheme="minorEastAsia"/>
                <w:szCs w:val="21"/>
              </w:rPr>
            </w:pPr>
            <w:r>
              <w:rPr>
                <w:rFonts w:ascii="Arial Narrow" w:hAnsi="Arial Narrow" w:eastAsiaTheme="minorEastAsia"/>
                <w:color w:val="000000"/>
                <w:szCs w:val="21"/>
              </w:rPr>
              <w:t>天津金汇药业集团有限公司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7EAC44F">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47A0C40">
            <w:pPr>
              <w:jc w:val="right"/>
              <w:rPr>
                <w:rFonts w:ascii="Arial Narrow" w:hAnsi="Arial Narrow" w:eastAsiaTheme="minorEastAsia"/>
                <w:szCs w:val="21"/>
              </w:rPr>
            </w:pPr>
            <w:r>
              <w:rPr>
                <w:rFonts w:ascii="Arial Narrow" w:hAnsi="Arial Narrow" w:eastAsiaTheme="minorEastAsia"/>
                <w:color w:val="000000"/>
                <w:szCs w:val="21"/>
              </w:rPr>
              <w:t>2,530.96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934CF43">
            <w:pPr>
              <w:jc w:val="right"/>
              <w:rPr>
                <w:rFonts w:ascii="Arial Narrow" w:hAnsi="Arial Narrow" w:eastAsiaTheme="minorEastAsia"/>
                <w:szCs w:val="21"/>
              </w:rPr>
            </w:pPr>
            <w:r>
              <w:rPr>
                <w:rFonts w:ascii="Arial Narrow" w:hAnsi="Arial Narrow" w:eastAsiaTheme="minorEastAsia"/>
                <w:color w:val="000000"/>
                <w:szCs w:val="21"/>
              </w:rPr>
              <w:t>2,933.63</w:t>
            </w:r>
          </w:p>
        </w:tc>
      </w:tr>
      <w:tr w14:paraId="0AEA9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0D68DC3">
            <w:pPr>
              <w:rPr>
                <w:rFonts w:ascii="Arial Narrow" w:hAnsi="Arial Narrow" w:eastAsiaTheme="minorEastAsia"/>
                <w:szCs w:val="21"/>
              </w:rPr>
            </w:pPr>
            <w:r>
              <w:rPr>
                <w:rFonts w:ascii="Arial Narrow" w:hAnsi="Arial Narrow" w:eastAsiaTheme="minorEastAsia"/>
                <w:color w:val="000000"/>
                <w:szCs w:val="21"/>
              </w:rPr>
              <w:t>河南甾体生物科技有限公司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2094AEF">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98C652D">
            <w:pPr>
              <w:jc w:val="right"/>
              <w:rPr>
                <w:rFonts w:ascii="Arial Narrow" w:hAnsi="Arial Narrow" w:eastAsiaTheme="minorEastAsia"/>
                <w:szCs w:val="21"/>
              </w:rPr>
            </w:pPr>
            <w:r>
              <w:rPr>
                <w:rFonts w:ascii="Arial Narrow" w:hAnsi="Arial Narrow" w:eastAsiaTheme="minorEastAsia"/>
                <w:color w:val="000000"/>
                <w:szCs w:val="21"/>
              </w:rPr>
              <w:t>2,185.83</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A124B96">
            <w:pPr>
              <w:jc w:val="right"/>
              <w:rPr>
                <w:rFonts w:ascii="Arial Narrow" w:hAnsi="Arial Narrow" w:eastAsiaTheme="minorEastAsia"/>
                <w:szCs w:val="21"/>
              </w:rPr>
            </w:pPr>
            <w:r>
              <w:rPr>
                <w:rFonts w:ascii="Arial Narrow" w:hAnsi="Arial Narrow" w:eastAsiaTheme="minorEastAsia"/>
                <w:color w:val="000000"/>
                <w:szCs w:val="21"/>
              </w:rPr>
              <w:t>2,358.41</w:t>
            </w:r>
          </w:p>
        </w:tc>
      </w:tr>
      <w:tr w14:paraId="4E3D6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548285C">
            <w:pPr>
              <w:rPr>
                <w:rFonts w:ascii="Arial Narrow" w:hAnsi="Arial Narrow" w:eastAsiaTheme="minorEastAsia"/>
                <w:szCs w:val="21"/>
              </w:rPr>
            </w:pPr>
            <w:r>
              <w:rPr>
                <w:rFonts w:ascii="Arial Narrow" w:hAnsi="Arial Narrow" w:eastAsiaTheme="minorEastAsia"/>
                <w:color w:val="000000"/>
                <w:szCs w:val="21"/>
              </w:rPr>
              <w:t>北京呼家楼宾馆有限公司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C412C76">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B5378F2">
            <w:pPr>
              <w:jc w:val="right"/>
              <w:rPr>
                <w:rFonts w:ascii="Arial Narrow" w:hAnsi="Arial Narrow" w:eastAsiaTheme="minorEastAsia"/>
                <w:szCs w:val="21"/>
              </w:rPr>
            </w:pPr>
            <w:r>
              <w:rPr>
                <w:rFonts w:ascii="Arial Narrow" w:hAnsi="Arial Narrow" w:eastAsiaTheme="minorEastAsia"/>
                <w:color w:val="000000"/>
                <w:szCs w:val="21"/>
              </w:rPr>
              <w:t>1,467.51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1C5399BB">
            <w:pPr>
              <w:jc w:val="right"/>
              <w:rPr>
                <w:rFonts w:ascii="Arial Narrow" w:hAnsi="Arial Narrow" w:eastAsiaTheme="minorEastAsia"/>
                <w:szCs w:val="21"/>
              </w:rPr>
            </w:pPr>
            <w:r>
              <w:rPr>
                <w:rFonts w:ascii="Arial Narrow" w:hAnsi="Arial Narrow" w:eastAsiaTheme="minorEastAsia"/>
                <w:color w:val="000000"/>
                <w:szCs w:val="21"/>
              </w:rPr>
              <w:t>1,501.95</w:t>
            </w:r>
          </w:p>
        </w:tc>
      </w:tr>
      <w:tr w14:paraId="5CA0D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5DE0B4E">
            <w:pPr>
              <w:rPr>
                <w:rFonts w:ascii="Arial Narrow" w:hAnsi="Arial Narrow" w:eastAsiaTheme="minorEastAsia"/>
                <w:szCs w:val="21"/>
              </w:rPr>
            </w:pPr>
            <w:r>
              <w:rPr>
                <w:rFonts w:ascii="Arial Narrow" w:hAnsi="Arial Narrow" w:eastAsiaTheme="minorEastAsia"/>
                <w:color w:val="000000"/>
                <w:szCs w:val="21"/>
              </w:rPr>
              <w:t>贵港新兴城投有限责任公司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2646489">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071B442">
            <w:pPr>
              <w:jc w:val="right"/>
              <w:rPr>
                <w:rFonts w:ascii="Arial Narrow" w:hAnsi="Arial Narrow" w:eastAsiaTheme="minorEastAsia"/>
                <w:szCs w:val="21"/>
              </w:rPr>
            </w:pPr>
            <w:r>
              <w:rPr>
                <w:rFonts w:ascii="Arial Narrow" w:hAnsi="Arial Narrow" w:eastAsiaTheme="minorEastAsia"/>
                <w:color w:val="000000"/>
                <w:szCs w:val="21"/>
              </w:rPr>
              <w:t>1,433.63</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51D35AC">
            <w:pPr>
              <w:jc w:val="right"/>
              <w:rPr>
                <w:rFonts w:ascii="Arial Narrow" w:hAnsi="Arial Narrow" w:eastAsiaTheme="minorEastAsia"/>
                <w:szCs w:val="21"/>
              </w:rPr>
            </w:pPr>
            <w:r>
              <w:rPr>
                <w:rFonts w:ascii="Arial Narrow" w:hAnsi="Arial Narrow" w:eastAsiaTheme="minorEastAsia"/>
                <w:color w:val="000000"/>
                <w:szCs w:val="21"/>
              </w:rPr>
              <w:t>242,238.07</w:t>
            </w:r>
          </w:p>
        </w:tc>
      </w:tr>
      <w:tr w14:paraId="2D350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27E0400">
            <w:pPr>
              <w:rPr>
                <w:rFonts w:ascii="Arial Narrow" w:hAnsi="Arial Narrow" w:eastAsiaTheme="minorEastAsia"/>
                <w:szCs w:val="21"/>
              </w:rPr>
            </w:pPr>
            <w:r>
              <w:rPr>
                <w:rFonts w:ascii="Arial Narrow" w:hAnsi="Arial Narrow" w:eastAsiaTheme="minorEastAsia"/>
                <w:color w:val="000000"/>
                <w:szCs w:val="21"/>
              </w:rPr>
              <w:t>南京三五〇三投资发展有限公司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76C326A">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CD6F21C">
            <w:pPr>
              <w:jc w:val="right"/>
              <w:rPr>
                <w:rFonts w:ascii="Arial Narrow" w:hAnsi="Arial Narrow" w:eastAsiaTheme="minorEastAsia"/>
                <w:szCs w:val="21"/>
              </w:rPr>
            </w:pPr>
            <w:r>
              <w:rPr>
                <w:rFonts w:ascii="Arial Narrow" w:hAnsi="Arial Narrow" w:eastAsiaTheme="minorEastAsia"/>
                <w:color w:val="000000"/>
                <w:szCs w:val="21"/>
              </w:rPr>
              <w:t>1,338.06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D1301B4">
            <w:pPr>
              <w:jc w:val="right"/>
              <w:rPr>
                <w:rFonts w:ascii="Arial Narrow" w:hAnsi="Arial Narrow" w:eastAsiaTheme="minorEastAsia"/>
                <w:szCs w:val="21"/>
              </w:rPr>
            </w:pPr>
          </w:p>
        </w:tc>
      </w:tr>
      <w:tr w14:paraId="5729D9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6780530B">
            <w:pPr>
              <w:rPr>
                <w:rFonts w:ascii="Arial Narrow" w:hAnsi="Arial Narrow" w:eastAsiaTheme="minorEastAsia"/>
                <w:szCs w:val="21"/>
              </w:rPr>
            </w:pPr>
            <w:r>
              <w:rPr>
                <w:rFonts w:ascii="Arial Narrow" w:hAnsi="Arial Narrow" w:eastAsiaTheme="minorEastAsia"/>
                <w:color w:val="000000"/>
                <w:szCs w:val="21"/>
              </w:rPr>
              <w:t>新兴际华（岳阳）投资发展有限公司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0FEAB2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4F9E9EB">
            <w:pPr>
              <w:jc w:val="right"/>
              <w:rPr>
                <w:rFonts w:ascii="Arial Narrow" w:hAnsi="Arial Narrow" w:eastAsiaTheme="minorEastAsia"/>
                <w:szCs w:val="21"/>
              </w:rPr>
            </w:pPr>
            <w:r>
              <w:rPr>
                <w:rFonts w:ascii="Arial Narrow" w:hAnsi="Arial Narrow" w:eastAsiaTheme="minorEastAsia"/>
                <w:color w:val="000000"/>
                <w:szCs w:val="21"/>
              </w:rPr>
              <w:t>1,203.54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28F868F">
            <w:pPr>
              <w:jc w:val="right"/>
              <w:rPr>
                <w:rFonts w:ascii="Arial Narrow" w:hAnsi="Arial Narrow" w:eastAsiaTheme="minorEastAsia"/>
                <w:szCs w:val="21"/>
              </w:rPr>
            </w:pPr>
            <w:r>
              <w:rPr>
                <w:rFonts w:ascii="Arial Narrow" w:hAnsi="Arial Narrow" w:eastAsiaTheme="minorEastAsia"/>
                <w:color w:val="000000"/>
                <w:szCs w:val="21"/>
              </w:rPr>
              <w:t>2,123.89</w:t>
            </w:r>
          </w:p>
        </w:tc>
      </w:tr>
      <w:tr w14:paraId="7D32E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B8B68CF">
            <w:pPr>
              <w:rPr>
                <w:rFonts w:ascii="Arial Narrow" w:hAnsi="Arial Narrow" w:eastAsiaTheme="minorEastAsia"/>
                <w:szCs w:val="21"/>
              </w:rPr>
            </w:pPr>
            <w:r>
              <w:rPr>
                <w:rFonts w:ascii="Arial Narrow" w:hAnsi="Arial Narrow" w:eastAsiaTheme="minorEastAsia"/>
                <w:color w:val="000000"/>
                <w:szCs w:val="21"/>
              </w:rPr>
              <w:t>广州新星投资发展有限公司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E40D0B3">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793347A">
            <w:pPr>
              <w:jc w:val="right"/>
              <w:rPr>
                <w:rFonts w:ascii="Arial Narrow" w:hAnsi="Arial Narrow" w:eastAsiaTheme="minorEastAsia"/>
                <w:szCs w:val="21"/>
              </w:rPr>
            </w:pPr>
            <w:r>
              <w:rPr>
                <w:rFonts w:ascii="Arial Narrow" w:hAnsi="Arial Narrow" w:eastAsiaTheme="minorEastAsia"/>
                <w:color w:val="000000"/>
                <w:szCs w:val="21"/>
              </w:rPr>
              <w:t>938.05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550F0CE">
            <w:pPr>
              <w:jc w:val="right"/>
              <w:rPr>
                <w:rFonts w:ascii="Arial Narrow" w:hAnsi="Arial Narrow" w:eastAsiaTheme="minorEastAsia"/>
                <w:szCs w:val="21"/>
              </w:rPr>
            </w:pPr>
          </w:p>
        </w:tc>
      </w:tr>
      <w:tr w14:paraId="0EF111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531C53A">
            <w:pPr>
              <w:rPr>
                <w:rFonts w:ascii="Arial Narrow" w:hAnsi="Arial Narrow" w:eastAsiaTheme="minorEastAsia"/>
                <w:szCs w:val="21"/>
              </w:rPr>
            </w:pPr>
            <w:r>
              <w:rPr>
                <w:rFonts w:ascii="Arial Narrow" w:hAnsi="Arial Narrow" w:eastAsiaTheme="minorEastAsia"/>
                <w:color w:val="000000"/>
                <w:szCs w:val="21"/>
              </w:rPr>
              <w:t>四川省川建管道有限公司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168189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1851103">
            <w:pPr>
              <w:jc w:val="right"/>
              <w:rPr>
                <w:rFonts w:ascii="Arial Narrow" w:hAnsi="Arial Narrow" w:eastAsiaTheme="minorEastAsia"/>
                <w:szCs w:val="21"/>
              </w:rPr>
            </w:pPr>
            <w:r>
              <w:rPr>
                <w:rFonts w:ascii="Arial Narrow" w:hAnsi="Arial Narrow" w:eastAsiaTheme="minorEastAsia"/>
                <w:color w:val="000000"/>
                <w:szCs w:val="21"/>
              </w:rPr>
              <w:t>752.21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8EA48A1">
            <w:pPr>
              <w:jc w:val="right"/>
              <w:rPr>
                <w:rFonts w:ascii="Arial Narrow" w:hAnsi="Arial Narrow" w:eastAsiaTheme="minorEastAsia"/>
                <w:szCs w:val="21"/>
              </w:rPr>
            </w:pPr>
          </w:p>
        </w:tc>
      </w:tr>
      <w:tr w14:paraId="491B1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1420ECC">
            <w:pPr>
              <w:rPr>
                <w:rFonts w:ascii="Arial Narrow" w:hAnsi="Arial Narrow" w:eastAsiaTheme="minorEastAsia"/>
                <w:szCs w:val="21"/>
              </w:rPr>
            </w:pPr>
            <w:r>
              <w:rPr>
                <w:rFonts w:ascii="Arial Narrow" w:hAnsi="Arial Narrow" w:eastAsiaTheme="minorEastAsia"/>
                <w:color w:val="000000"/>
                <w:szCs w:val="21"/>
              </w:rPr>
              <w:t>河北新兴能源科技股份有限公司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E3E761B">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D45ED61">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EB0A0F2">
            <w:pPr>
              <w:jc w:val="right"/>
              <w:rPr>
                <w:rFonts w:ascii="Arial Narrow" w:hAnsi="Arial Narrow" w:eastAsiaTheme="minorEastAsia"/>
                <w:szCs w:val="21"/>
              </w:rPr>
            </w:pPr>
            <w:r>
              <w:rPr>
                <w:rFonts w:ascii="Arial Narrow" w:hAnsi="Arial Narrow" w:eastAsiaTheme="minorEastAsia"/>
                <w:color w:val="000000"/>
                <w:szCs w:val="21"/>
              </w:rPr>
              <w:t>95,044.25</w:t>
            </w:r>
          </w:p>
        </w:tc>
      </w:tr>
      <w:tr w14:paraId="5A8AF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0431EA8">
            <w:pPr>
              <w:rPr>
                <w:rFonts w:ascii="Arial Narrow" w:hAnsi="Arial Narrow" w:eastAsiaTheme="minorEastAsia"/>
                <w:szCs w:val="21"/>
              </w:rPr>
            </w:pPr>
            <w:r>
              <w:rPr>
                <w:rFonts w:ascii="Arial Narrow" w:hAnsi="Arial Narrow" w:eastAsiaTheme="minorEastAsia"/>
                <w:color w:val="000000"/>
                <w:szCs w:val="21"/>
              </w:rPr>
              <w:t>汉川际华三五零九置业有限公司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9FBD5A5">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D3FE0C6">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69EF0DC">
            <w:pPr>
              <w:jc w:val="right"/>
              <w:rPr>
                <w:rFonts w:ascii="Arial Narrow" w:hAnsi="Arial Narrow" w:eastAsiaTheme="minorEastAsia"/>
                <w:szCs w:val="21"/>
              </w:rPr>
            </w:pPr>
            <w:r>
              <w:rPr>
                <w:rFonts w:ascii="Arial Narrow" w:hAnsi="Arial Narrow" w:eastAsiaTheme="minorEastAsia"/>
                <w:color w:val="000000"/>
                <w:szCs w:val="21"/>
              </w:rPr>
              <w:t>339,784.36</w:t>
            </w:r>
          </w:p>
        </w:tc>
      </w:tr>
      <w:tr w14:paraId="77C5E2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FEC7D3E">
            <w:pPr>
              <w:rPr>
                <w:rFonts w:ascii="Arial Narrow" w:hAnsi="Arial Narrow" w:eastAsiaTheme="minorEastAsia"/>
                <w:szCs w:val="21"/>
              </w:rPr>
            </w:pPr>
            <w:r>
              <w:rPr>
                <w:rFonts w:ascii="Arial Narrow" w:hAnsi="Arial Narrow" w:eastAsiaTheme="minorEastAsia"/>
                <w:color w:val="000000"/>
                <w:szCs w:val="21"/>
              </w:rPr>
              <w:t>襄阳新兴际华投资发展有限公司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E8D6859">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1E8FA59">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1D8DDE9">
            <w:pPr>
              <w:jc w:val="right"/>
              <w:rPr>
                <w:rFonts w:ascii="Arial Narrow" w:hAnsi="Arial Narrow" w:eastAsiaTheme="minorEastAsia"/>
                <w:szCs w:val="21"/>
              </w:rPr>
            </w:pPr>
            <w:r>
              <w:rPr>
                <w:rFonts w:ascii="Arial Narrow" w:hAnsi="Arial Narrow" w:eastAsiaTheme="minorEastAsia"/>
                <w:color w:val="000000"/>
                <w:szCs w:val="21"/>
              </w:rPr>
              <w:t>1,163.72</w:t>
            </w:r>
          </w:p>
        </w:tc>
      </w:tr>
      <w:tr w14:paraId="0C334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D858A57">
            <w:pPr>
              <w:rPr>
                <w:rFonts w:ascii="Arial Narrow" w:hAnsi="Arial Narrow" w:eastAsiaTheme="minorEastAsia"/>
                <w:szCs w:val="21"/>
              </w:rPr>
            </w:pPr>
            <w:r>
              <w:rPr>
                <w:rFonts w:ascii="Arial Narrow" w:hAnsi="Arial Narrow" w:eastAsiaTheme="minorEastAsia"/>
                <w:color w:val="000000"/>
                <w:szCs w:val="21"/>
              </w:rPr>
              <w:t>财富嘉苑（天津）置业有限公司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7191B54">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93A1265">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3E0A553">
            <w:pPr>
              <w:jc w:val="right"/>
              <w:rPr>
                <w:rFonts w:ascii="Arial Narrow" w:hAnsi="Arial Narrow" w:eastAsiaTheme="minorEastAsia"/>
                <w:szCs w:val="21"/>
              </w:rPr>
            </w:pPr>
            <w:r>
              <w:rPr>
                <w:rFonts w:ascii="Arial Narrow" w:hAnsi="Arial Narrow" w:eastAsiaTheme="minorEastAsia"/>
                <w:color w:val="000000"/>
                <w:szCs w:val="21"/>
              </w:rPr>
              <w:t>28,230.09</w:t>
            </w:r>
          </w:p>
        </w:tc>
      </w:tr>
      <w:tr w14:paraId="4FA802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6F496CB">
            <w:pPr>
              <w:rPr>
                <w:rFonts w:ascii="Arial Narrow" w:hAnsi="Arial Narrow" w:eastAsiaTheme="minorEastAsia"/>
                <w:szCs w:val="21"/>
              </w:rPr>
            </w:pPr>
            <w:r>
              <w:rPr>
                <w:rFonts w:ascii="Arial Narrow" w:hAnsi="Arial Narrow" w:eastAsiaTheme="minorEastAsia"/>
                <w:color w:val="000000"/>
                <w:szCs w:val="21"/>
              </w:rPr>
              <w:t>新兴发展（芜湖）有限公司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049BF78">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8430A46">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EEE1BA9">
            <w:pPr>
              <w:jc w:val="right"/>
              <w:rPr>
                <w:rFonts w:ascii="Arial Narrow" w:hAnsi="Arial Narrow" w:eastAsiaTheme="minorEastAsia"/>
                <w:szCs w:val="21"/>
              </w:rPr>
            </w:pPr>
            <w:r>
              <w:rPr>
                <w:rFonts w:ascii="Arial Narrow" w:hAnsi="Arial Narrow" w:eastAsiaTheme="minorEastAsia"/>
                <w:color w:val="000000"/>
                <w:szCs w:val="21"/>
              </w:rPr>
              <w:t>2,212.39</w:t>
            </w:r>
          </w:p>
        </w:tc>
      </w:tr>
      <w:tr w14:paraId="55BBC6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B75D09A">
            <w:pPr>
              <w:rPr>
                <w:rFonts w:ascii="Arial Narrow" w:hAnsi="Arial Narrow" w:eastAsiaTheme="minorEastAsia"/>
                <w:szCs w:val="21"/>
              </w:rPr>
            </w:pPr>
            <w:r>
              <w:rPr>
                <w:rFonts w:ascii="Arial Narrow" w:hAnsi="Arial Narrow" w:eastAsiaTheme="minorEastAsia"/>
                <w:color w:val="000000"/>
                <w:szCs w:val="21"/>
              </w:rPr>
              <w:t>中铸新兴企业管理有限公司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1D0A2CC">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6C0259E1">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13EEAA0">
            <w:pPr>
              <w:jc w:val="right"/>
              <w:rPr>
                <w:rFonts w:ascii="Arial Narrow" w:hAnsi="Arial Narrow" w:eastAsiaTheme="minorEastAsia"/>
                <w:szCs w:val="21"/>
              </w:rPr>
            </w:pPr>
            <w:r>
              <w:rPr>
                <w:rFonts w:ascii="Arial Narrow" w:hAnsi="Arial Narrow" w:eastAsiaTheme="minorEastAsia"/>
                <w:color w:val="000000"/>
                <w:szCs w:val="21"/>
              </w:rPr>
              <w:t>60,530.98</w:t>
            </w:r>
          </w:p>
        </w:tc>
      </w:tr>
      <w:tr w14:paraId="0FFA97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FBC110C">
            <w:pPr>
              <w:rPr>
                <w:rFonts w:ascii="Arial Narrow" w:hAnsi="Arial Narrow" w:eastAsiaTheme="minorEastAsia"/>
                <w:szCs w:val="21"/>
              </w:rPr>
            </w:pPr>
            <w:r>
              <w:rPr>
                <w:rFonts w:ascii="Arial Narrow" w:hAnsi="Arial Narrow" w:eastAsiaTheme="minorEastAsia"/>
                <w:color w:val="000000"/>
                <w:szCs w:val="21"/>
              </w:rPr>
              <w:t>新兴际华科技集团有限公司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CE6B156">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92DD7A8">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EB71056">
            <w:pPr>
              <w:jc w:val="right"/>
              <w:rPr>
                <w:rFonts w:ascii="Arial Narrow" w:hAnsi="Arial Narrow" w:eastAsiaTheme="minorEastAsia"/>
                <w:szCs w:val="21"/>
              </w:rPr>
            </w:pPr>
            <w:r>
              <w:rPr>
                <w:rFonts w:ascii="Arial Narrow" w:hAnsi="Arial Narrow" w:eastAsiaTheme="minorEastAsia"/>
                <w:color w:val="000000"/>
                <w:szCs w:val="21"/>
              </w:rPr>
              <w:t>8,690.02</w:t>
            </w:r>
          </w:p>
        </w:tc>
      </w:tr>
      <w:tr w14:paraId="6320C2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BA3FD8D">
            <w:pPr>
              <w:rPr>
                <w:rFonts w:ascii="Arial Narrow" w:hAnsi="Arial Narrow" w:eastAsiaTheme="minorEastAsia"/>
                <w:szCs w:val="21"/>
              </w:rPr>
            </w:pPr>
            <w:r>
              <w:rPr>
                <w:rFonts w:ascii="Arial Narrow" w:hAnsi="Arial Narrow" w:eastAsiaTheme="minorEastAsia"/>
                <w:color w:val="000000"/>
                <w:szCs w:val="21"/>
              </w:rPr>
              <w:t>沧州新兴新材料有限公司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D42CD81">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6D2D26A">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0DEEC6C">
            <w:pPr>
              <w:jc w:val="right"/>
              <w:rPr>
                <w:rFonts w:ascii="Arial Narrow" w:hAnsi="Arial Narrow" w:eastAsiaTheme="minorEastAsia"/>
                <w:szCs w:val="21"/>
              </w:rPr>
            </w:pPr>
            <w:r>
              <w:rPr>
                <w:rFonts w:ascii="Arial Narrow" w:hAnsi="Arial Narrow" w:eastAsiaTheme="minorEastAsia"/>
                <w:color w:val="000000"/>
                <w:szCs w:val="21"/>
              </w:rPr>
              <w:t>69,026.55</w:t>
            </w:r>
          </w:p>
        </w:tc>
      </w:tr>
      <w:tr w14:paraId="11811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ADC1F94">
            <w:pPr>
              <w:rPr>
                <w:rFonts w:ascii="Arial Narrow" w:hAnsi="Arial Narrow" w:eastAsiaTheme="minorEastAsia"/>
                <w:szCs w:val="21"/>
              </w:rPr>
            </w:pPr>
            <w:r>
              <w:rPr>
                <w:rFonts w:ascii="Arial Narrow" w:hAnsi="Arial Narrow" w:eastAsiaTheme="minorEastAsia"/>
                <w:color w:val="000000"/>
                <w:szCs w:val="21"/>
              </w:rPr>
              <w:t>中新联进出口有限公司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69B47D2E">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C3336D6">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3CB8383">
            <w:pPr>
              <w:jc w:val="right"/>
              <w:rPr>
                <w:rFonts w:ascii="Arial Narrow" w:hAnsi="Arial Narrow" w:eastAsiaTheme="minorEastAsia"/>
                <w:szCs w:val="21"/>
              </w:rPr>
            </w:pPr>
            <w:r>
              <w:rPr>
                <w:rFonts w:ascii="Arial Narrow" w:hAnsi="Arial Narrow" w:eastAsiaTheme="minorEastAsia"/>
                <w:color w:val="000000"/>
                <w:szCs w:val="21"/>
              </w:rPr>
              <w:t>6,194.69</w:t>
            </w:r>
          </w:p>
        </w:tc>
      </w:tr>
      <w:tr w14:paraId="0F54BB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01A12B8">
            <w:pPr>
              <w:rPr>
                <w:rFonts w:ascii="Arial Narrow" w:hAnsi="Arial Narrow" w:eastAsiaTheme="minorEastAsia"/>
                <w:szCs w:val="21"/>
              </w:rPr>
            </w:pPr>
            <w:r>
              <w:rPr>
                <w:rFonts w:ascii="Arial Narrow" w:hAnsi="Arial Narrow" w:eastAsiaTheme="minorEastAsia"/>
                <w:color w:val="000000"/>
                <w:szCs w:val="21"/>
              </w:rPr>
              <w:t>新兴铸管（上海）供应链管理有限公司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34CF317">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A166F74">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9BE9487">
            <w:pPr>
              <w:jc w:val="right"/>
              <w:rPr>
                <w:rFonts w:ascii="Arial Narrow" w:hAnsi="Arial Narrow" w:eastAsiaTheme="minorEastAsia"/>
                <w:szCs w:val="21"/>
              </w:rPr>
            </w:pPr>
            <w:r>
              <w:rPr>
                <w:rFonts w:ascii="Arial Narrow" w:hAnsi="Arial Narrow" w:eastAsiaTheme="minorEastAsia"/>
                <w:color w:val="000000"/>
                <w:szCs w:val="21"/>
              </w:rPr>
              <w:t>639,893.81</w:t>
            </w:r>
          </w:p>
        </w:tc>
      </w:tr>
      <w:tr w14:paraId="74017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0A1BADB">
            <w:pPr>
              <w:rPr>
                <w:rFonts w:ascii="Arial Narrow" w:hAnsi="Arial Narrow" w:eastAsiaTheme="minorEastAsia"/>
                <w:szCs w:val="21"/>
              </w:rPr>
            </w:pPr>
            <w:r>
              <w:rPr>
                <w:rFonts w:ascii="Arial Narrow" w:hAnsi="Arial Narrow" w:eastAsiaTheme="minorEastAsia"/>
                <w:color w:val="000000"/>
                <w:szCs w:val="21"/>
              </w:rPr>
              <w:t>新兴铸管国际发展有限公司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78A4D83">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FCC47EC">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AEFFE74">
            <w:pPr>
              <w:jc w:val="right"/>
              <w:rPr>
                <w:rFonts w:ascii="Arial Narrow" w:hAnsi="Arial Narrow" w:eastAsiaTheme="minorEastAsia"/>
                <w:szCs w:val="21"/>
              </w:rPr>
            </w:pPr>
            <w:r>
              <w:rPr>
                <w:rFonts w:ascii="Arial Narrow" w:hAnsi="Arial Narrow" w:eastAsiaTheme="minorEastAsia"/>
                <w:color w:val="000000"/>
                <w:szCs w:val="21"/>
              </w:rPr>
              <w:t>580.74</w:t>
            </w:r>
          </w:p>
        </w:tc>
      </w:tr>
      <w:tr w14:paraId="7D237A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7B9594D">
            <w:pPr>
              <w:rPr>
                <w:rFonts w:ascii="Arial Narrow" w:hAnsi="Arial Narrow" w:eastAsiaTheme="minorEastAsia"/>
                <w:szCs w:val="21"/>
              </w:rPr>
            </w:pPr>
            <w:r>
              <w:rPr>
                <w:rFonts w:ascii="Arial Narrow" w:hAnsi="Arial Narrow" w:eastAsiaTheme="minorEastAsia"/>
                <w:color w:val="000000"/>
                <w:szCs w:val="21"/>
              </w:rPr>
              <w:t>际华（北京）康养产业发展有限公司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CA3E579">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6A7083B">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0F39EE4">
            <w:pPr>
              <w:jc w:val="right"/>
              <w:rPr>
                <w:rFonts w:ascii="Arial Narrow" w:hAnsi="Arial Narrow" w:eastAsiaTheme="minorEastAsia"/>
                <w:szCs w:val="21"/>
              </w:rPr>
            </w:pPr>
            <w:r>
              <w:rPr>
                <w:rFonts w:ascii="Arial Narrow" w:hAnsi="Arial Narrow" w:eastAsiaTheme="minorEastAsia"/>
                <w:color w:val="000000"/>
                <w:szCs w:val="21"/>
              </w:rPr>
              <w:t>19,289.38</w:t>
            </w:r>
          </w:p>
        </w:tc>
      </w:tr>
      <w:tr w14:paraId="08982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51B98A2">
            <w:pPr>
              <w:rPr>
                <w:rFonts w:ascii="Arial Narrow" w:hAnsi="Arial Narrow" w:eastAsiaTheme="minorEastAsia"/>
                <w:szCs w:val="21"/>
              </w:rPr>
            </w:pPr>
            <w:r>
              <w:rPr>
                <w:rFonts w:ascii="Arial Narrow" w:hAnsi="Arial Narrow" w:eastAsiaTheme="minorEastAsia"/>
                <w:color w:val="000000"/>
                <w:szCs w:val="21"/>
              </w:rPr>
              <w:t>荷原置业江苏有限公司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EBB692D">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6BEB386">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CF9DCCB">
            <w:pPr>
              <w:jc w:val="right"/>
              <w:rPr>
                <w:rFonts w:ascii="Arial Narrow" w:hAnsi="Arial Narrow" w:eastAsiaTheme="minorEastAsia"/>
                <w:szCs w:val="21"/>
              </w:rPr>
            </w:pPr>
            <w:r>
              <w:rPr>
                <w:rFonts w:ascii="Arial Narrow" w:hAnsi="Arial Narrow" w:eastAsiaTheme="minorEastAsia"/>
                <w:color w:val="000000"/>
                <w:szCs w:val="21"/>
              </w:rPr>
              <w:t>36,017.69</w:t>
            </w:r>
          </w:p>
        </w:tc>
      </w:tr>
      <w:tr w14:paraId="09115F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0D00361">
            <w:pPr>
              <w:rPr>
                <w:rFonts w:ascii="Arial Narrow" w:hAnsi="Arial Narrow" w:eastAsiaTheme="minorEastAsia"/>
                <w:szCs w:val="21"/>
              </w:rPr>
            </w:pPr>
            <w:r>
              <w:rPr>
                <w:rFonts w:ascii="Arial Narrow" w:hAnsi="Arial Narrow" w:eastAsiaTheme="minorEastAsia"/>
                <w:color w:val="000000"/>
                <w:szCs w:val="21"/>
              </w:rPr>
              <w:t>武汉际华园投资建设有限公司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71E8C49">
            <w:pPr>
              <w:jc w:val="center"/>
              <w:rPr>
                <w:rFonts w:ascii="Arial Narrow" w:hAnsi="Arial Narrow" w:eastAsiaTheme="minorEastAsia"/>
                <w:szCs w:val="21"/>
              </w:rPr>
            </w:pPr>
            <w:r>
              <w:rPr>
                <w:rFonts w:ascii="Arial Narrow" w:hAnsi="Arial Narrow" w:eastAsiaTheme="minorEastAsia"/>
                <w:color w:val="000000"/>
                <w:szCs w:val="21"/>
              </w:rPr>
              <w:t>销售商品</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9F8A383">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2A5AE02">
            <w:pPr>
              <w:jc w:val="right"/>
              <w:rPr>
                <w:rFonts w:ascii="Arial Narrow" w:hAnsi="Arial Narrow" w:eastAsiaTheme="minorEastAsia"/>
                <w:szCs w:val="21"/>
              </w:rPr>
            </w:pPr>
            <w:r>
              <w:rPr>
                <w:rFonts w:ascii="Arial Narrow" w:hAnsi="Arial Narrow" w:eastAsiaTheme="minorEastAsia"/>
                <w:color w:val="000000"/>
                <w:szCs w:val="21"/>
              </w:rPr>
              <w:t>16,814.16</w:t>
            </w:r>
          </w:p>
        </w:tc>
      </w:tr>
      <w:tr w14:paraId="5A9EF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A8073B0">
            <w:pPr>
              <w:rPr>
                <w:rFonts w:ascii="Arial Narrow" w:hAnsi="Arial Narrow" w:eastAsiaTheme="minorEastAsia"/>
                <w:szCs w:val="21"/>
              </w:rPr>
            </w:pPr>
            <w:r>
              <w:rPr>
                <w:rFonts w:ascii="Arial Narrow" w:hAnsi="Arial Narrow" w:eastAsiaTheme="minorEastAsia"/>
                <w:color w:val="000000"/>
                <w:szCs w:val="21"/>
              </w:rPr>
              <w:t>新兴际华集团财务有限公司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CE32BC9">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21399CF">
            <w:pPr>
              <w:jc w:val="right"/>
              <w:rPr>
                <w:rFonts w:ascii="Arial Narrow" w:hAnsi="Arial Narrow" w:eastAsiaTheme="minorEastAsia"/>
                <w:szCs w:val="21"/>
              </w:rPr>
            </w:pPr>
            <w:r>
              <w:rPr>
                <w:rFonts w:ascii="Arial Narrow" w:hAnsi="Arial Narrow" w:eastAsiaTheme="minorEastAsia"/>
                <w:color w:val="000000"/>
                <w:szCs w:val="21"/>
              </w:rPr>
              <w:t>30,480,997.48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500613B">
            <w:pPr>
              <w:jc w:val="right"/>
              <w:rPr>
                <w:rFonts w:ascii="Arial Narrow" w:hAnsi="Arial Narrow" w:eastAsiaTheme="minorEastAsia"/>
                <w:szCs w:val="21"/>
              </w:rPr>
            </w:pPr>
            <w:r>
              <w:rPr>
                <w:rFonts w:ascii="Arial Narrow" w:hAnsi="Arial Narrow" w:eastAsiaTheme="minorEastAsia"/>
                <w:color w:val="000000"/>
                <w:szCs w:val="21"/>
              </w:rPr>
              <w:t>18,847,389.25</w:t>
            </w:r>
          </w:p>
        </w:tc>
      </w:tr>
      <w:tr w14:paraId="7B0016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F47382C">
            <w:pPr>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A42ACE8">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AEFE73F">
            <w:pPr>
              <w:jc w:val="right"/>
              <w:rPr>
                <w:rFonts w:ascii="Arial Narrow" w:hAnsi="Arial Narrow" w:eastAsiaTheme="minorEastAsia"/>
                <w:szCs w:val="21"/>
              </w:rPr>
            </w:pPr>
            <w:r>
              <w:rPr>
                <w:rFonts w:ascii="Arial Narrow" w:hAnsi="Arial Narrow" w:eastAsiaTheme="minorEastAsia"/>
                <w:color w:val="000000"/>
                <w:szCs w:val="21"/>
              </w:rPr>
              <w:t>1,061,320.75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08720C0">
            <w:pPr>
              <w:jc w:val="right"/>
              <w:rPr>
                <w:rFonts w:ascii="Arial Narrow" w:hAnsi="Arial Narrow" w:eastAsiaTheme="minorEastAsia"/>
                <w:szCs w:val="21"/>
              </w:rPr>
            </w:pPr>
          </w:p>
        </w:tc>
      </w:tr>
      <w:tr w14:paraId="2A7EA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BFB9B51">
            <w:pPr>
              <w:rPr>
                <w:rFonts w:ascii="Arial Narrow" w:hAnsi="Arial Narrow" w:eastAsiaTheme="minorEastAsia"/>
                <w:color w:val="000000"/>
                <w:szCs w:val="21"/>
              </w:rPr>
            </w:pPr>
            <w:r>
              <w:rPr>
                <w:rFonts w:ascii="Arial Narrow" w:hAnsi="Arial Narrow" w:eastAsiaTheme="minorEastAsia"/>
                <w:color w:val="000000"/>
                <w:szCs w:val="21"/>
              </w:rPr>
              <w:t>宜昌际华仙女服饰有限公司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E824A8B">
            <w:pPr>
              <w:jc w:val="center"/>
              <w:rPr>
                <w:rFonts w:ascii="Arial Narrow" w:hAnsi="Arial Narrow" w:eastAsiaTheme="minorEastAsia"/>
                <w:color w:val="000000"/>
                <w:szCs w:val="21"/>
              </w:rPr>
            </w:pPr>
            <w:r>
              <w:rPr>
                <w:rFonts w:ascii="Arial Narrow" w:hAnsi="Arial Narrow" w:eastAsiaTheme="minorEastAsia"/>
                <w:color w:val="000000"/>
                <w:szCs w:val="21"/>
              </w:rPr>
              <w:t>接受劳务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772815A">
            <w:pPr>
              <w:jc w:val="right"/>
              <w:rPr>
                <w:rFonts w:ascii="Arial Narrow" w:hAnsi="Arial Narrow" w:eastAsiaTheme="minorEastAsia"/>
                <w:color w:val="000000"/>
                <w:szCs w:val="21"/>
              </w:rPr>
            </w:pPr>
            <w:r>
              <w:rPr>
                <w:rFonts w:ascii="Arial Narrow" w:hAnsi="Arial Narrow" w:eastAsiaTheme="minorEastAsia"/>
                <w:color w:val="000000"/>
                <w:szCs w:val="21"/>
              </w:rPr>
              <w:t>940,980.58</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ED91EC8">
            <w:pPr>
              <w:jc w:val="right"/>
              <w:rPr>
                <w:rFonts w:ascii="Arial Narrow" w:hAnsi="Arial Narrow" w:eastAsiaTheme="minorEastAsia"/>
                <w:szCs w:val="21"/>
              </w:rPr>
            </w:pPr>
          </w:p>
        </w:tc>
      </w:tr>
      <w:tr w14:paraId="3AEA8C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D6A3C87">
            <w:pPr>
              <w:rPr>
                <w:rFonts w:ascii="Arial Narrow" w:hAnsi="Arial Narrow" w:eastAsiaTheme="minorEastAsia"/>
                <w:szCs w:val="21"/>
              </w:rPr>
            </w:pPr>
            <w:r>
              <w:rPr>
                <w:rFonts w:ascii="Arial Narrow" w:hAnsi="Arial Narrow" w:eastAsiaTheme="minorEastAsia"/>
                <w:color w:val="000000"/>
                <w:szCs w:val="21"/>
              </w:rPr>
              <w:t>武汉汉江资产运营有限公司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FA0DF88">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9AC521A">
            <w:pPr>
              <w:jc w:val="right"/>
              <w:rPr>
                <w:rFonts w:ascii="Arial Narrow" w:hAnsi="Arial Narrow" w:eastAsiaTheme="minorEastAsia"/>
                <w:szCs w:val="21"/>
              </w:rPr>
            </w:pPr>
            <w:r>
              <w:rPr>
                <w:rFonts w:ascii="Arial Narrow" w:hAnsi="Arial Narrow" w:eastAsiaTheme="minorEastAsia"/>
                <w:color w:val="000000"/>
                <w:szCs w:val="21"/>
              </w:rPr>
              <w:t>606,518.49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2D6864A">
            <w:pPr>
              <w:jc w:val="right"/>
              <w:rPr>
                <w:rFonts w:ascii="Arial Narrow" w:hAnsi="Arial Narrow" w:eastAsiaTheme="minorEastAsia"/>
                <w:szCs w:val="21"/>
              </w:rPr>
            </w:pPr>
          </w:p>
        </w:tc>
      </w:tr>
      <w:tr w14:paraId="4600BA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317B090">
            <w:pPr>
              <w:rPr>
                <w:rFonts w:ascii="Arial Narrow" w:hAnsi="Arial Narrow" w:eastAsiaTheme="minorEastAsia"/>
                <w:szCs w:val="21"/>
              </w:rPr>
            </w:pPr>
            <w:r>
              <w:rPr>
                <w:rFonts w:ascii="Arial Narrow" w:hAnsi="Arial Narrow" w:eastAsiaTheme="minorEastAsia"/>
                <w:color w:val="000000"/>
                <w:szCs w:val="21"/>
              </w:rPr>
              <w:t>新兴职业装备生产技术研究所</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EDD69EA">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F351B8A">
            <w:pPr>
              <w:jc w:val="right"/>
              <w:rPr>
                <w:rFonts w:ascii="Arial Narrow" w:hAnsi="Arial Narrow" w:eastAsiaTheme="minorEastAsia"/>
                <w:szCs w:val="21"/>
              </w:rPr>
            </w:pPr>
            <w:r>
              <w:rPr>
                <w:rFonts w:ascii="Arial Narrow" w:hAnsi="Arial Narrow" w:eastAsiaTheme="minorEastAsia"/>
                <w:color w:val="000000"/>
                <w:szCs w:val="21"/>
              </w:rPr>
              <w:t>377,358.49</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36E3554">
            <w:pPr>
              <w:jc w:val="right"/>
              <w:rPr>
                <w:rFonts w:ascii="Arial Narrow" w:hAnsi="Arial Narrow" w:eastAsiaTheme="minorEastAsia"/>
                <w:szCs w:val="21"/>
              </w:rPr>
            </w:pPr>
          </w:p>
        </w:tc>
      </w:tr>
      <w:tr w14:paraId="343BD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24F3F279">
            <w:pPr>
              <w:rPr>
                <w:rFonts w:ascii="Arial Narrow" w:hAnsi="Arial Narrow" w:eastAsiaTheme="minorEastAsia"/>
                <w:szCs w:val="21"/>
              </w:rPr>
            </w:pPr>
            <w:r>
              <w:rPr>
                <w:rFonts w:ascii="Arial Narrow" w:hAnsi="Arial Narrow" w:eastAsiaTheme="minorEastAsia"/>
                <w:color w:val="000000"/>
                <w:szCs w:val="21"/>
              </w:rPr>
              <w:t>南京新际资产运营有限公司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DA9CB6C">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5EDC24E">
            <w:pPr>
              <w:jc w:val="right"/>
              <w:rPr>
                <w:rFonts w:ascii="Arial Narrow" w:hAnsi="Arial Narrow" w:eastAsiaTheme="minorEastAsia"/>
                <w:szCs w:val="21"/>
              </w:rPr>
            </w:pPr>
            <w:r>
              <w:rPr>
                <w:rFonts w:ascii="Arial Narrow" w:hAnsi="Arial Narrow" w:eastAsiaTheme="minorEastAsia"/>
                <w:color w:val="000000"/>
                <w:szCs w:val="21"/>
              </w:rPr>
              <w:t>171,502.75</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D43FC87">
            <w:pPr>
              <w:jc w:val="right"/>
              <w:rPr>
                <w:rFonts w:ascii="Arial Narrow" w:hAnsi="Arial Narrow" w:eastAsiaTheme="minorEastAsia"/>
                <w:szCs w:val="21"/>
              </w:rPr>
            </w:pPr>
            <w:r>
              <w:rPr>
                <w:rFonts w:ascii="Arial Narrow" w:hAnsi="Arial Narrow" w:eastAsiaTheme="minorEastAsia"/>
                <w:color w:val="000000"/>
                <w:szCs w:val="21"/>
              </w:rPr>
              <w:t>463,255.79</w:t>
            </w:r>
          </w:p>
        </w:tc>
      </w:tr>
      <w:tr w14:paraId="04854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5D5DC5B">
            <w:pPr>
              <w:rPr>
                <w:rFonts w:ascii="Arial Narrow" w:hAnsi="Arial Narrow" w:eastAsiaTheme="minorEastAsia"/>
                <w:szCs w:val="21"/>
              </w:rPr>
            </w:pPr>
            <w:r>
              <w:rPr>
                <w:rFonts w:ascii="Arial Narrow" w:hAnsi="Arial Narrow" w:eastAsiaTheme="minorEastAsia"/>
                <w:color w:val="000000"/>
                <w:szCs w:val="21"/>
              </w:rPr>
              <w:t>三兴汽车（天津）有限公司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87383CC">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29402F2">
            <w:pPr>
              <w:jc w:val="right"/>
              <w:rPr>
                <w:rFonts w:ascii="Arial Narrow" w:hAnsi="Arial Narrow" w:eastAsiaTheme="minorEastAsia"/>
                <w:szCs w:val="21"/>
              </w:rPr>
            </w:pPr>
            <w:r>
              <w:rPr>
                <w:rFonts w:ascii="Arial Narrow" w:hAnsi="Arial Narrow" w:eastAsiaTheme="minorEastAsia"/>
                <w:color w:val="000000"/>
                <w:szCs w:val="21"/>
              </w:rPr>
              <w:t>112,607.81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341F5F3">
            <w:pPr>
              <w:jc w:val="right"/>
              <w:rPr>
                <w:rFonts w:ascii="Arial Narrow" w:hAnsi="Arial Narrow" w:eastAsiaTheme="minorEastAsia"/>
                <w:szCs w:val="21"/>
              </w:rPr>
            </w:pPr>
          </w:p>
        </w:tc>
      </w:tr>
      <w:tr w14:paraId="6249E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7ADE217">
            <w:pPr>
              <w:rPr>
                <w:rFonts w:ascii="Arial Narrow" w:hAnsi="Arial Narrow" w:eastAsiaTheme="minorEastAsia"/>
                <w:szCs w:val="21"/>
              </w:rPr>
            </w:pPr>
            <w:r>
              <w:rPr>
                <w:rFonts w:ascii="Arial Narrow" w:hAnsi="Arial Narrow" w:eastAsiaTheme="minorEastAsia"/>
                <w:color w:val="000000"/>
                <w:szCs w:val="21"/>
              </w:rPr>
              <w:t>新兴际华科技（天津）有限公司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4C74FDE">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5D4FC460">
            <w:pPr>
              <w:jc w:val="right"/>
              <w:rPr>
                <w:rFonts w:ascii="Arial Narrow" w:hAnsi="Arial Narrow" w:eastAsiaTheme="minorEastAsia"/>
                <w:szCs w:val="21"/>
              </w:rPr>
            </w:pPr>
            <w:r>
              <w:rPr>
                <w:rFonts w:ascii="Arial Narrow" w:hAnsi="Arial Narrow" w:eastAsiaTheme="minorEastAsia"/>
                <w:color w:val="000000"/>
                <w:szCs w:val="21"/>
              </w:rPr>
              <w:t>74,607.81</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82D70B6">
            <w:pPr>
              <w:jc w:val="right"/>
              <w:rPr>
                <w:rFonts w:ascii="Arial Narrow" w:hAnsi="Arial Narrow" w:eastAsiaTheme="minorEastAsia"/>
                <w:szCs w:val="21"/>
              </w:rPr>
            </w:pPr>
          </w:p>
        </w:tc>
      </w:tr>
      <w:tr w14:paraId="16EAB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942278F">
            <w:pPr>
              <w:rPr>
                <w:rFonts w:ascii="Arial Narrow" w:hAnsi="Arial Narrow" w:eastAsiaTheme="minorEastAsia"/>
                <w:szCs w:val="21"/>
              </w:rPr>
            </w:pPr>
            <w:r>
              <w:rPr>
                <w:rFonts w:ascii="Arial Narrow" w:hAnsi="Arial Narrow" w:eastAsiaTheme="minorEastAsia"/>
                <w:color w:val="000000"/>
                <w:szCs w:val="21"/>
              </w:rPr>
              <w:t>新兴际华（北京）智能装备技术研究院有限公司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9F4672E">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026F51B">
            <w:pPr>
              <w:jc w:val="right"/>
              <w:rPr>
                <w:rFonts w:ascii="Arial Narrow" w:hAnsi="Arial Narrow" w:eastAsiaTheme="minorEastAsia"/>
                <w:szCs w:val="21"/>
              </w:rPr>
            </w:pPr>
            <w:r>
              <w:rPr>
                <w:rFonts w:ascii="Arial Narrow" w:hAnsi="Arial Narrow" w:eastAsiaTheme="minorEastAsia"/>
                <w:color w:val="000000"/>
                <w:szCs w:val="21"/>
              </w:rPr>
              <w:t>74,402.60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195B26B">
            <w:pPr>
              <w:jc w:val="right"/>
              <w:rPr>
                <w:rFonts w:ascii="Arial Narrow" w:hAnsi="Arial Narrow" w:eastAsiaTheme="minorEastAsia"/>
                <w:szCs w:val="21"/>
              </w:rPr>
            </w:pPr>
          </w:p>
        </w:tc>
      </w:tr>
      <w:tr w14:paraId="0EDEA1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5F2F3E1">
            <w:pPr>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1482D68F">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A6DDAED">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6374B207">
            <w:pPr>
              <w:jc w:val="right"/>
              <w:rPr>
                <w:rFonts w:ascii="Arial Narrow" w:hAnsi="Arial Narrow" w:eastAsiaTheme="minorEastAsia"/>
                <w:szCs w:val="21"/>
              </w:rPr>
            </w:pPr>
            <w:r>
              <w:rPr>
                <w:rFonts w:ascii="Arial Narrow" w:hAnsi="Arial Narrow" w:eastAsiaTheme="minorEastAsia"/>
                <w:color w:val="000000"/>
                <w:szCs w:val="21"/>
              </w:rPr>
              <w:t>148,535.85</w:t>
            </w:r>
          </w:p>
        </w:tc>
      </w:tr>
      <w:tr w14:paraId="71862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0DD9B44F">
            <w:pPr>
              <w:rPr>
                <w:rFonts w:ascii="Arial Narrow" w:hAnsi="Arial Narrow" w:eastAsiaTheme="minorEastAsia"/>
                <w:szCs w:val="21"/>
              </w:rPr>
            </w:pPr>
            <w:r>
              <w:rPr>
                <w:rFonts w:ascii="Arial Narrow" w:hAnsi="Arial Narrow" w:eastAsiaTheme="minorEastAsia"/>
                <w:color w:val="000000"/>
                <w:szCs w:val="21"/>
              </w:rPr>
              <w:t>新兴际华（北京）材料技术研究院有限公司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73E6EB53">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CDECAEE">
            <w:pPr>
              <w:jc w:val="right"/>
              <w:rPr>
                <w:rFonts w:ascii="Arial Narrow" w:hAnsi="Arial Narrow" w:eastAsiaTheme="minorEastAsia"/>
                <w:szCs w:val="21"/>
              </w:rPr>
            </w:pPr>
            <w:r>
              <w:rPr>
                <w:rFonts w:ascii="Arial Narrow" w:hAnsi="Arial Narrow" w:eastAsiaTheme="minorEastAsia"/>
                <w:color w:val="000000"/>
                <w:szCs w:val="21"/>
              </w:rPr>
              <w:t>34,105.20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A1C0F5D">
            <w:pPr>
              <w:jc w:val="right"/>
              <w:rPr>
                <w:rFonts w:ascii="Arial Narrow" w:hAnsi="Arial Narrow" w:eastAsiaTheme="minorEastAsia"/>
                <w:szCs w:val="21"/>
              </w:rPr>
            </w:pPr>
            <w:r>
              <w:rPr>
                <w:rFonts w:ascii="Arial Narrow" w:hAnsi="Arial Narrow" w:eastAsiaTheme="minorEastAsia"/>
                <w:color w:val="000000"/>
                <w:szCs w:val="21"/>
              </w:rPr>
              <w:t>8,805.31</w:t>
            </w:r>
          </w:p>
        </w:tc>
      </w:tr>
      <w:tr w14:paraId="1D164D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1F3C449">
            <w:pPr>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FBDFC43">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68364B6">
            <w:pPr>
              <w:jc w:val="right"/>
              <w:rPr>
                <w:rFonts w:ascii="Arial Narrow" w:hAnsi="Arial Narrow" w:eastAsiaTheme="minorEastAsia"/>
                <w:szCs w:val="21"/>
              </w:rPr>
            </w:pPr>
            <w:r>
              <w:rPr>
                <w:rFonts w:ascii="Arial Narrow" w:hAnsi="Arial Narrow" w:eastAsiaTheme="minorEastAsia"/>
                <w:color w:val="000000"/>
                <w:szCs w:val="21"/>
              </w:rPr>
              <w:t>14,150.94</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9BB9A2C">
            <w:pPr>
              <w:jc w:val="right"/>
              <w:rPr>
                <w:rFonts w:ascii="Arial Narrow" w:hAnsi="Arial Narrow" w:eastAsiaTheme="minorEastAsia"/>
                <w:szCs w:val="21"/>
              </w:rPr>
            </w:pPr>
          </w:p>
        </w:tc>
      </w:tr>
      <w:tr w14:paraId="71A4E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7BB34D58">
            <w:pPr>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8AB18B0">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46DEEB2F">
            <w:pPr>
              <w:jc w:val="right"/>
              <w:rPr>
                <w:rFonts w:ascii="Arial Narrow" w:hAnsi="Arial Narrow" w:eastAsiaTheme="minorEastAsia"/>
                <w:szCs w:val="21"/>
              </w:rPr>
            </w:pPr>
            <w:r>
              <w:rPr>
                <w:rFonts w:ascii="Arial Narrow" w:hAnsi="Arial Narrow" w:eastAsiaTheme="minorEastAsia"/>
                <w:color w:val="000000"/>
                <w:szCs w:val="21"/>
              </w:rPr>
              <w:t>10,377.36</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70F13C58">
            <w:pPr>
              <w:jc w:val="right"/>
              <w:rPr>
                <w:rFonts w:ascii="Arial Narrow" w:hAnsi="Arial Narrow" w:eastAsiaTheme="minorEastAsia"/>
                <w:szCs w:val="21"/>
              </w:rPr>
            </w:pPr>
          </w:p>
        </w:tc>
      </w:tr>
      <w:tr w14:paraId="75E02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5E34DAB8">
            <w:pPr>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CB79AA3">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AB4383B">
            <w:pPr>
              <w:jc w:val="right"/>
              <w:rPr>
                <w:rFonts w:ascii="Arial Narrow" w:hAnsi="Arial Narrow" w:eastAsiaTheme="minorEastAsia"/>
                <w:szCs w:val="21"/>
              </w:rPr>
            </w:pPr>
            <w:r>
              <w:rPr>
                <w:rFonts w:ascii="Arial Narrow" w:hAnsi="Arial Narrow" w:eastAsiaTheme="minorEastAsia"/>
                <w:color w:val="000000"/>
                <w:szCs w:val="21"/>
              </w:rPr>
              <w:t>3,982.30</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EDE012F">
            <w:pPr>
              <w:jc w:val="right"/>
              <w:rPr>
                <w:rFonts w:ascii="Arial Narrow" w:hAnsi="Arial Narrow" w:eastAsiaTheme="minorEastAsia"/>
                <w:szCs w:val="21"/>
              </w:rPr>
            </w:pPr>
          </w:p>
        </w:tc>
      </w:tr>
      <w:tr w14:paraId="36F40F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287D6A5">
            <w:pPr>
              <w:rPr>
                <w:rFonts w:ascii="Arial Narrow" w:hAnsi="Arial Narrow" w:eastAsiaTheme="minorEastAsia"/>
                <w:szCs w:val="21"/>
              </w:rPr>
            </w:pPr>
            <w:r>
              <w:rPr>
                <w:rFonts w:ascii="Arial Narrow" w:hAnsi="Arial Narrow" w:eastAsiaTheme="minorEastAsia"/>
                <w:color w:val="000000"/>
                <w:szCs w:val="21"/>
              </w:rPr>
              <w:t>新兴际华应急装备技术有限公司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20424425">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293D0EDE">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267022CE">
            <w:pPr>
              <w:jc w:val="right"/>
              <w:rPr>
                <w:rFonts w:ascii="Arial Narrow" w:hAnsi="Arial Narrow" w:eastAsiaTheme="minorEastAsia"/>
                <w:szCs w:val="21"/>
              </w:rPr>
            </w:pPr>
            <w:r>
              <w:rPr>
                <w:rFonts w:ascii="Arial Narrow" w:hAnsi="Arial Narrow" w:eastAsiaTheme="minorEastAsia"/>
                <w:color w:val="000000"/>
                <w:szCs w:val="21"/>
              </w:rPr>
              <w:t>15,777.00</w:t>
            </w:r>
          </w:p>
        </w:tc>
      </w:tr>
      <w:tr w14:paraId="013D9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C076DD2">
            <w:pPr>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540CFA30">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10E6E8AB">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578AAD0">
            <w:pPr>
              <w:jc w:val="right"/>
              <w:rPr>
                <w:rFonts w:ascii="Arial Narrow" w:hAnsi="Arial Narrow" w:eastAsiaTheme="minorEastAsia"/>
                <w:szCs w:val="21"/>
              </w:rPr>
            </w:pPr>
            <w:r>
              <w:rPr>
                <w:rFonts w:ascii="Arial Narrow" w:hAnsi="Arial Narrow" w:eastAsiaTheme="minorEastAsia"/>
                <w:color w:val="000000"/>
                <w:szCs w:val="21"/>
              </w:rPr>
              <w:t>4,360.38</w:t>
            </w:r>
          </w:p>
        </w:tc>
      </w:tr>
      <w:tr w14:paraId="2E3067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3263A4CF">
            <w:pPr>
              <w:rPr>
                <w:rFonts w:ascii="Arial Narrow" w:hAnsi="Arial Narrow" w:eastAsiaTheme="minorEastAsia"/>
                <w:szCs w:val="21"/>
              </w:rPr>
            </w:pPr>
            <w:r>
              <w:rPr>
                <w:rFonts w:ascii="Arial Narrow" w:hAnsi="Arial Narrow" w:eastAsiaTheme="minorEastAsia"/>
                <w:color w:val="000000"/>
                <w:szCs w:val="21"/>
              </w:rPr>
              <w:t>新兴际华资产经营管理有限公司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3B666C1">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7790B903">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0616A7CF">
            <w:pPr>
              <w:jc w:val="right"/>
              <w:rPr>
                <w:rFonts w:ascii="Arial Narrow" w:hAnsi="Arial Narrow" w:eastAsiaTheme="minorEastAsia"/>
                <w:szCs w:val="21"/>
              </w:rPr>
            </w:pPr>
            <w:r>
              <w:rPr>
                <w:rFonts w:ascii="Arial Narrow" w:hAnsi="Arial Narrow" w:eastAsiaTheme="minorEastAsia"/>
                <w:color w:val="000000"/>
                <w:szCs w:val="21"/>
              </w:rPr>
              <w:t>3,311,880.80</w:t>
            </w:r>
          </w:p>
        </w:tc>
      </w:tr>
      <w:tr w14:paraId="2C4FE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20DAE48">
            <w:pPr>
              <w:rPr>
                <w:rFonts w:ascii="Arial Narrow" w:hAnsi="Arial Narrow" w:eastAsiaTheme="minorEastAsia"/>
                <w:szCs w:val="21"/>
              </w:rPr>
            </w:pPr>
            <w:r>
              <w:rPr>
                <w:rFonts w:ascii="Arial Narrow" w:hAnsi="Arial Narrow" w:eastAsiaTheme="minorEastAsia"/>
                <w:color w:val="000000"/>
                <w:szCs w:val="21"/>
              </w:rPr>
              <w:t>北京三兴汽车有限公司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31E3B296">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0746E156">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453F669A">
            <w:pPr>
              <w:jc w:val="right"/>
              <w:rPr>
                <w:rFonts w:ascii="Arial Narrow" w:hAnsi="Arial Narrow" w:eastAsiaTheme="minorEastAsia"/>
                <w:szCs w:val="21"/>
              </w:rPr>
            </w:pPr>
            <w:r>
              <w:rPr>
                <w:rFonts w:ascii="Arial Narrow" w:hAnsi="Arial Narrow" w:eastAsiaTheme="minorEastAsia"/>
                <w:color w:val="000000"/>
                <w:szCs w:val="21"/>
              </w:rPr>
              <w:t>386,792.45</w:t>
            </w:r>
          </w:p>
        </w:tc>
      </w:tr>
      <w:tr w14:paraId="2A0CDC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10F45CCB">
            <w:pPr>
              <w:rPr>
                <w:rFonts w:ascii="Arial Narrow" w:hAnsi="Arial Narrow" w:eastAsiaTheme="minorEastAsia"/>
                <w:szCs w:val="21"/>
              </w:rPr>
            </w:pPr>
            <w:r>
              <w:rPr>
                <w:rFonts w:ascii="Arial Narrow" w:hAnsi="Arial Narrow" w:eastAsiaTheme="minorEastAsia"/>
                <w:color w:val="000000"/>
                <w:szCs w:val="21"/>
              </w:rPr>
              <w:t>新兴际华物业服务（北京）有限公司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0998914B">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D0AB0E7">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5E3172C5">
            <w:pPr>
              <w:jc w:val="right"/>
              <w:rPr>
                <w:rFonts w:ascii="Arial Narrow" w:hAnsi="Arial Narrow" w:eastAsiaTheme="minorEastAsia"/>
                <w:szCs w:val="21"/>
              </w:rPr>
            </w:pPr>
            <w:r>
              <w:rPr>
                <w:rFonts w:ascii="Arial Narrow" w:hAnsi="Arial Narrow" w:eastAsiaTheme="minorEastAsia"/>
                <w:color w:val="000000"/>
                <w:szCs w:val="21"/>
              </w:rPr>
              <w:t>247,307.34</w:t>
            </w:r>
          </w:p>
        </w:tc>
      </w:tr>
      <w:tr w14:paraId="2FA820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27" w:type="pct"/>
            <w:tcBorders>
              <w:top w:val="single" w:color="auto" w:sz="4" w:space="0"/>
              <w:left w:val="single" w:color="auto" w:sz="4" w:space="0"/>
              <w:bottom w:val="single" w:color="auto" w:sz="4" w:space="0"/>
              <w:right w:val="single" w:color="auto" w:sz="4" w:space="0"/>
            </w:tcBorders>
            <w:shd w:val="clear" w:color="auto" w:fill="auto"/>
            <w:vAlign w:val="bottom"/>
          </w:tcPr>
          <w:p w14:paraId="4A660C1F">
            <w:pPr>
              <w:rPr>
                <w:rFonts w:ascii="Arial Narrow" w:hAnsi="Arial Narrow" w:eastAsiaTheme="minorEastAsia"/>
                <w:szCs w:val="21"/>
              </w:rPr>
            </w:pPr>
            <w:r>
              <w:rPr>
                <w:rFonts w:ascii="Arial Narrow" w:hAnsi="Arial Narrow" w:eastAsiaTheme="minorEastAsia"/>
                <w:color w:val="000000"/>
                <w:szCs w:val="21"/>
              </w:rPr>
              <w:t>中铸新兴企业管理有限公司</w:t>
            </w:r>
          </w:p>
        </w:tc>
        <w:tc>
          <w:tcPr>
            <w:tcW w:w="849" w:type="pct"/>
            <w:tcBorders>
              <w:top w:val="single" w:color="auto" w:sz="4" w:space="0"/>
              <w:left w:val="single" w:color="auto" w:sz="4" w:space="0"/>
              <w:bottom w:val="single" w:color="auto" w:sz="4" w:space="0"/>
              <w:right w:val="single" w:color="auto" w:sz="4" w:space="0"/>
            </w:tcBorders>
            <w:shd w:val="clear" w:color="auto" w:fill="auto"/>
            <w:vAlign w:val="center"/>
          </w:tcPr>
          <w:p w14:paraId="47EBE032">
            <w:pPr>
              <w:jc w:val="center"/>
              <w:rPr>
                <w:rFonts w:ascii="Arial Narrow" w:hAnsi="Arial Narrow" w:eastAsiaTheme="minorEastAsia"/>
                <w:szCs w:val="21"/>
              </w:rPr>
            </w:pPr>
            <w:r>
              <w:rPr>
                <w:rFonts w:ascii="Arial Narrow" w:hAnsi="Arial Narrow" w:eastAsiaTheme="minorEastAsia"/>
                <w:color w:val="000000"/>
                <w:szCs w:val="21"/>
              </w:rPr>
              <w:t>提供劳务</w:t>
            </w:r>
          </w:p>
        </w:tc>
        <w:tc>
          <w:tcPr>
            <w:tcW w:w="896" w:type="pct"/>
            <w:tcBorders>
              <w:top w:val="single" w:color="auto" w:sz="4" w:space="0"/>
              <w:left w:val="single" w:color="auto" w:sz="4" w:space="0"/>
              <w:bottom w:val="single" w:color="auto" w:sz="4" w:space="0"/>
              <w:right w:val="single" w:color="auto" w:sz="4" w:space="0"/>
            </w:tcBorders>
            <w:shd w:val="clear" w:color="auto" w:fill="auto"/>
            <w:vAlign w:val="center"/>
          </w:tcPr>
          <w:p w14:paraId="3F04BD53">
            <w:pPr>
              <w:jc w:val="right"/>
              <w:rPr>
                <w:rFonts w:ascii="Arial Narrow" w:hAnsi="Arial Narrow" w:eastAsiaTheme="minorEastAsia"/>
                <w:szCs w:val="21"/>
              </w:rPr>
            </w:pP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w14:paraId="33DFE6DB">
            <w:pPr>
              <w:jc w:val="right"/>
              <w:rPr>
                <w:rFonts w:ascii="Arial Narrow" w:hAnsi="Arial Narrow" w:eastAsiaTheme="minorEastAsia"/>
                <w:szCs w:val="21"/>
              </w:rPr>
            </w:pPr>
            <w:r>
              <w:rPr>
                <w:rFonts w:ascii="Arial Narrow" w:hAnsi="Arial Narrow" w:eastAsiaTheme="minorEastAsia"/>
                <w:color w:val="000000"/>
                <w:szCs w:val="21"/>
              </w:rPr>
              <w:t>3,396.23</w:t>
            </w:r>
          </w:p>
        </w:tc>
      </w:tr>
    </w:tbl>
    <w:p w14:paraId="646010B2">
      <w:pPr>
        <w:rPr>
          <w:rFonts w:hint="eastAsia"/>
        </w:rPr>
      </w:pPr>
    </w:p>
    <w:p w14:paraId="30187F81">
      <w:pPr>
        <w:rPr>
          <w:rFonts w:hint="eastAsia" w:cs="Cambria"/>
          <w:szCs w:val="21"/>
        </w:rPr>
      </w:pPr>
      <w:r>
        <w:rPr>
          <w:rFonts w:hint="eastAsia" w:cs="Cambr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292717283"/>
        <w:placeholder>
          <w:docPart w:val="GBC22222222222222222222222222222"/>
        </w:placeholder>
      </w:sdtPr>
      <w:sdtEndPr>
        <w:rPr>
          <w:rFonts w:cs="Cambria"/>
          <w:szCs w:val="21"/>
        </w:rPr>
      </w:sdtEndPr>
      <w:sdtContent>
        <w:p w14:paraId="535B3E36">
          <w:pPr>
            <w:rPr>
              <w:rFonts w:hint="eastAsia" w:cs="Cambria"/>
              <w:szCs w:val="21"/>
            </w:rPr>
          </w:pPr>
          <w:r>
            <w:rPr>
              <w:rFonts w:cs="Cambria"/>
              <w:szCs w:val="21"/>
            </w:rPr>
            <w:fldChar w:fldCharType="begin"/>
          </w:r>
          <w:r>
            <w:rPr>
              <w:rFonts w:hint="eastAsia" w:cs="Cambria"/>
              <w:szCs w:val="21"/>
            </w:rPr>
            <w:instrText xml:space="preserve">MACROBUTTON  SnrToggleCheckbox □适用 </w:instrText>
          </w:r>
          <w:r>
            <w:rPr>
              <w:rFonts w:cs="Cambria"/>
              <w:szCs w:val="21"/>
            </w:rPr>
            <w:fldChar w:fldCharType="end"/>
          </w:r>
          <w:r>
            <w:rPr>
              <w:rFonts w:cs="Cambria"/>
              <w:szCs w:val="21"/>
            </w:rPr>
            <w:fldChar w:fldCharType="begin"/>
          </w:r>
          <w:r>
            <w:rPr>
              <w:rFonts w:hint="eastAsia" w:cs="Cambria"/>
              <w:szCs w:val="21"/>
            </w:rPr>
            <w:instrText xml:space="preserve"> MACROBUTTON  SnrToggleCheckbox √不适用 </w:instrText>
          </w:r>
          <w:r>
            <w:rPr>
              <w:rFonts w:cs="Cambria"/>
              <w:szCs w:val="21"/>
            </w:rPr>
            <w:fldChar w:fldCharType="end"/>
          </w:r>
        </w:p>
      </w:sdtContent>
    </w:sdt>
    <w:p w14:paraId="6E6E9174">
      <w:pPr>
        <w:rPr>
          <w:rFonts w:hint="eastAsia" w:cs="Cambria"/>
          <w:szCs w:val="21"/>
        </w:rPr>
      </w:pPr>
    </w:p>
    <w:p w14:paraId="22CF084D">
      <w:pPr>
        <w:pStyle w:val="71"/>
        <w:numPr>
          <w:ilvl w:val="3"/>
          <w:numId w:val="164"/>
        </w:numPr>
        <w:ind w:left="424" w:hanging="424" w:hangingChars="201"/>
        <w:rPr>
          <w:rFonts w:hint="eastAsia"/>
        </w:rPr>
      </w:pPr>
      <w:r>
        <w:rPr>
          <w:rFonts w:hint="eastAsia"/>
        </w:rPr>
        <w:t>关联受托管理/承包及委托管理/出包情况</w:t>
      </w:r>
    </w:p>
    <w:p w14:paraId="7B7E40DE">
      <w:pPr>
        <w:rPr>
          <w:rFonts w:hint="eastAsia"/>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334454717"/>
        <w:placeholder>
          <w:docPart w:val="GBC22222222222222222222222222222"/>
        </w:placeholder>
      </w:sdtPr>
      <w:sdtEndPr>
        <w:rPr>
          <w:rFonts w:cs="Cambria"/>
          <w:szCs w:val="21"/>
        </w:rPr>
      </w:sdtEndPr>
      <w:sdtContent>
        <w:p w14:paraId="4F0F3614">
          <w:pPr>
            <w:rPr>
              <w:rFonts w:hint="eastAsia" w:cs="Cambria"/>
              <w:szCs w:val="21"/>
            </w:rPr>
          </w:pPr>
          <w:r>
            <w:rPr>
              <w:rFonts w:cs="Cambria"/>
              <w:szCs w:val="21"/>
            </w:rPr>
            <w:fldChar w:fldCharType="begin"/>
          </w:r>
          <w:r>
            <w:rPr>
              <w:rFonts w:hint="eastAsia" w:cs="Cambria"/>
              <w:szCs w:val="21"/>
            </w:rPr>
            <w:instrText xml:space="preserve">MACROBUTTON  SnrToggleCheckbox □适用 </w:instrText>
          </w:r>
          <w:r>
            <w:rPr>
              <w:rFonts w:cs="Cambria"/>
              <w:szCs w:val="21"/>
            </w:rPr>
            <w:fldChar w:fldCharType="end"/>
          </w:r>
          <w:r>
            <w:rPr>
              <w:rFonts w:cs="Cambria"/>
              <w:szCs w:val="21"/>
            </w:rPr>
            <w:fldChar w:fldCharType="begin"/>
          </w:r>
          <w:r>
            <w:rPr>
              <w:rFonts w:hint="eastAsia" w:cs="Cambria"/>
              <w:szCs w:val="21"/>
            </w:rPr>
            <w:instrText xml:space="preserve"> MACROBUTTON  SnrToggleCheckbox √不适用 </w:instrText>
          </w:r>
          <w:r>
            <w:rPr>
              <w:rFonts w:cs="Cambria"/>
              <w:szCs w:val="21"/>
            </w:rPr>
            <w:fldChar w:fldCharType="end"/>
          </w:r>
        </w:p>
      </w:sdtContent>
    </w:sdt>
    <w:p w14:paraId="208CEE76">
      <w:pPr>
        <w:rPr>
          <w:rFonts w:hint="eastAsia" w:cs="Cambria"/>
          <w:szCs w:val="21"/>
        </w:rPr>
      </w:pPr>
    </w:p>
    <w:p w14:paraId="159A7276">
      <w:pPr>
        <w:rPr>
          <w:rFonts w:hint="eastAsia" w:cs="Cambria"/>
          <w:szCs w:val="21"/>
        </w:rPr>
      </w:pPr>
      <w:r>
        <w:rPr>
          <w:rFonts w:hint="eastAsia" w:cs="Cambria"/>
          <w:szCs w:val="21"/>
        </w:rPr>
        <w:t>关联托管/承包情况说明</w:t>
      </w:r>
    </w:p>
    <w:sdt>
      <w:sdtPr>
        <w:rPr>
          <w:rFonts w:cs="Cambria"/>
          <w:szCs w:val="21"/>
        </w:rPr>
        <w:alias w:val="是否适用：关联托管或承包情况说明[双击切换]"/>
        <w:tag w:val="_GBC_60aca51a92e545e9bbad9ba5228083c8"/>
        <w:id w:val="-1989317521"/>
        <w:placeholder>
          <w:docPart w:val="GBC22222222222222222222222222222"/>
        </w:placeholder>
      </w:sdtPr>
      <w:sdtEndPr>
        <w:rPr>
          <w:rFonts w:cs="Cambria"/>
          <w:szCs w:val="21"/>
        </w:rPr>
      </w:sdtEndPr>
      <w:sdtContent>
        <w:p w14:paraId="05225ADB">
          <w:pPr>
            <w:rPr>
              <w:rFonts w:hint="eastAsia" w:cs="Cambria"/>
              <w:szCs w:val="21"/>
            </w:rPr>
          </w:pPr>
          <w:r>
            <w:rPr>
              <w:rFonts w:cs="Cambria"/>
              <w:szCs w:val="21"/>
            </w:rPr>
            <w:fldChar w:fldCharType="begin"/>
          </w:r>
          <w:r>
            <w:rPr>
              <w:rFonts w:hint="eastAsia" w:cs="Cambria"/>
              <w:szCs w:val="21"/>
            </w:rPr>
            <w:instrText xml:space="preserve">MACROBUTTON  SnrToggleCheckbox □适用 </w:instrText>
          </w:r>
          <w:r>
            <w:rPr>
              <w:rFonts w:cs="Cambria"/>
              <w:szCs w:val="21"/>
            </w:rPr>
            <w:fldChar w:fldCharType="end"/>
          </w:r>
          <w:r>
            <w:rPr>
              <w:rFonts w:cs="Cambria"/>
              <w:szCs w:val="21"/>
            </w:rPr>
            <w:fldChar w:fldCharType="begin"/>
          </w:r>
          <w:r>
            <w:rPr>
              <w:rFonts w:hint="eastAsia" w:cs="Cambria"/>
              <w:szCs w:val="21"/>
            </w:rPr>
            <w:instrText xml:space="preserve"> MACROBUTTON  SnrToggleCheckbox √不适用 </w:instrText>
          </w:r>
          <w:r>
            <w:rPr>
              <w:rFonts w:cs="Cambria"/>
              <w:szCs w:val="21"/>
            </w:rPr>
            <w:fldChar w:fldCharType="end"/>
          </w:r>
        </w:p>
      </w:sdtContent>
    </w:sdt>
    <w:p w14:paraId="12043A8F">
      <w:pPr>
        <w:rPr>
          <w:rFonts w:hint="eastAsia" w:cs="Cambria"/>
          <w:szCs w:val="21"/>
        </w:rPr>
      </w:pPr>
    </w:p>
    <w:p w14:paraId="47473FDD">
      <w:pPr>
        <w:rPr>
          <w:rFonts w:hint="eastAsia" w:cs="Cambria"/>
          <w:bCs/>
          <w:szCs w:val="21"/>
        </w:rPr>
      </w:pPr>
      <w:r>
        <w:rPr>
          <w:rFonts w:hint="eastAsia"/>
          <w:szCs w:val="21"/>
        </w:rPr>
        <w:t>本公司</w:t>
      </w:r>
      <w:r>
        <w:rPr>
          <w:rFonts w:hint="eastAsia" w:cs="Cambria"/>
          <w:bCs/>
          <w:szCs w:val="21"/>
        </w:rPr>
        <w:t>委托管理/出包情况表</w:t>
      </w:r>
    </w:p>
    <w:sdt>
      <w:sdtPr>
        <w:rPr>
          <w:rFonts w:cs="Cambria"/>
          <w:bCs/>
          <w:szCs w:val="21"/>
        </w:rPr>
        <w:alias w:val="是否适用：本公司委托管理或出包情况表[双击切换]"/>
        <w:tag w:val="_GBC_4655dfffa9a7464b8715035e819d5968"/>
        <w:id w:val="1201828439"/>
        <w:placeholder>
          <w:docPart w:val="GBC22222222222222222222222222222"/>
        </w:placeholder>
      </w:sdtPr>
      <w:sdtEndPr>
        <w:rPr>
          <w:rFonts w:cs="Cambria"/>
          <w:bCs/>
          <w:szCs w:val="21"/>
        </w:rPr>
      </w:sdtEndPr>
      <w:sdtContent>
        <w:p w14:paraId="1369D8CE">
          <w:pPr>
            <w:rPr>
              <w:rFonts w:hint="eastAsia" w:cs="Cambria"/>
              <w:bCs/>
              <w:szCs w:val="21"/>
            </w:rPr>
          </w:pPr>
          <w:r>
            <w:rPr>
              <w:rFonts w:cs="Cambria"/>
              <w:bCs/>
              <w:szCs w:val="21"/>
            </w:rPr>
            <w:fldChar w:fldCharType="begin"/>
          </w:r>
          <w:r>
            <w:rPr>
              <w:rFonts w:hint="eastAsia"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5EAF104E">
      <w:pPr>
        <w:jc w:val="right"/>
        <w:rPr>
          <w:rFonts w:hint="eastAsia" w:cs="Cambria"/>
          <w:bCs/>
          <w:szCs w:val="21"/>
        </w:rPr>
      </w:pPr>
      <w:r>
        <w:rPr>
          <w:rFonts w:hint="eastAsia" w:cs="Cambria"/>
          <w:bCs/>
          <w:szCs w:val="21"/>
        </w:rPr>
        <w:t>单位：</w:t>
      </w:r>
      <w:sdt>
        <w:sdtPr>
          <w:rPr>
            <w:rFonts w:hint="eastAsia" w:cs="Cambria"/>
            <w:bCs/>
            <w:szCs w:val="21"/>
          </w:rPr>
          <w:alias w:val="单位：公司委托管理出包情况表"/>
          <w:tag w:val="_GBC_d6076998b85440afb6e201eacf68d6bd"/>
          <w:id w:val="-6458928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bCs/>
            <w:szCs w:val="21"/>
          </w:rPr>
        </w:sdtEndPr>
        <w:sdtContent>
          <w:r>
            <w:rPr>
              <w:rFonts w:hint="eastAsia" w:cs="Cambria"/>
              <w:bCs/>
              <w:szCs w:val="21"/>
            </w:rPr>
            <w:t>元</w:t>
          </w:r>
        </w:sdtContent>
      </w:sdt>
      <w:r>
        <w:rPr>
          <w:rFonts w:hint="eastAsia" w:cs="Cambria"/>
          <w:bCs/>
          <w:szCs w:val="21"/>
        </w:rPr>
        <w:t xml:space="preserve">  币种：</w:t>
      </w:r>
      <w:sdt>
        <w:sdtPr>
          <w:rPr>
            <w:rFonts w:hint="eastAsia" w:cs="Cambria"/>
            <w:bCs/>
            <w:szCs w:val="21"/>
          </w:rPr>
          <w:alias w:val="币种：公司委托管理出包情况表"/>
          <w:tag w:val="_GBC_8d7490805c27467382b80106ac21a4a0"/>
          <w:id w:val="144897366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bCs/>
            <w:szCs w:val="21"/>
          </w:rPr>
        </w:sdtEndPr>
        <w:sdtContent>
          <w:r>
            <w:rPr>
              <w:rFonts w:hint="eastAsia" w:cs="Cambria"/>
              <w:bCs/>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284"/>
        <w:gridCol w:w="1275"/>
        <w:gridCol w:w="1225"/>
        <w:gridCol w:w="1066"/>
        <w:gridCol w:w="1202"/>
        <w:gridCol w:w="1352"/>
        <w:gridCol w:w="1419"/>
      </w:tblGrid>
      <w:tr w14:paraId="5617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63" w:hRule="atLeast"/>
        </w:trPr>
        <w:sdt>
          <w:sdtPr>
            <w:rPr>
              <w:rFonts w:ascii="Arial Narrow" w:hAnsi="Arial Narrow" w:eastAsiaTheme="minorEastAsia"/>
              <w:szCs w:val="21"/>
            </w:rPr>
            <w:tag w:val="_PLD_c4133444a822482fa3e7b8e457035215"/>
            <w:id w:val="-25481663"/>
          </w:sdtPr>
          <w:sdtEndPr>
            <w:rPr>
              <w:rFonts w:ascii="Arial Narrow" w:hAnsi="Arial Narrow" w:eastAsiaTheme="minorEastAsia"/>
              <w:szCs w:val="21"/>
            </w:rPr>
          </w:sdtEndPr>
          <w:sdtContent>
            <w:tc>
              <w:tcPr>
                <w:tcW w:w="728" w:type="pct"/>
                <w:tcBorders>
                  <w:top w:val="single" w:color="auto" w:sz="4" w:space="0"/>
                  <w:left w:val="single" w:color="auto" w:sz="4" w:space="0"/>
                  <w:right w:val="single" w:color="auto" w:sz="4" w:space="0"/>
                </w:tcBorders>
                <w:shd w:val="clear" w:color="auto" w:fill="auto"/>
                <w:vAlign w:val="center"/>
              </w:tcPr>
              <w:p w14:paraId="7D116663">
                <w:pPr>
                  <w:jc w:val="center"/>
                  <w:rPr>
                    <w:rFonts w:ascii="Arial Narrow" w:hAnsi="Arial Narrow" w:eastAsiaTheme="minorEastAsia"/>
                    <w:szCs w:val="21"/>
                  </w:rPr>
                </w:pPr>
                <w:r>
                  <w:rPr>
                    <w:rFonts w:ascii="Arial Narrow" w:hAnsi="Arial Narrow" w:eastAsiaTheme="minorEastAsia"/>
                    <w:szCs w:val="21"/>
                  </w:rPr>
                  <w:t>委托方/出包方名称</w:t>
                </w:r>
              </w:p>
            </w:tc>
          </w:sdtContent>
        </w:sdt>
        <w:sdt>
          <w:sdtPr>
            <w:rPr>
              <w:rFonts w:ascii="Arial Narrow" w:hAnsi="Arial Narrow" w:eastAsiaTheme="minorEastAsia"/>
              <w:szCs w:val="21"/>
            </w:rPr>
            <w:tag w:val="_PLD_343de9ba84d247f1ac435b326cd6d23d"/>
            <w:id w:val="-861749291"/>
          </w:sdtPr>
          <w:sdtEndPr>
            <w:rPr>
              <w:rFonts w:ascii="Arial Narrow" w:hAnsi="Arial Narrow" w:eastAsiaTheme="minorEastAsia"/>
              <w:szCs w:val="21"/>
            </w:rPr>
          </w:sdtEndPr>
          <w:sdtContent>
            <w:tc>
              <w:tcPr>
                <w:tcW w:w="723" w:type="pct"/>
                <w:tcBorders>
                  <w:top w:val="single" w:color="auto" w:sz="4" w:space="0"/>
                  <w:left w:val="single" w:color="auto" w:sz="4" w:space="0"/>
                  <w:right w:val="single" w:color="auto" w:sz="4" w:space="0"/>
                </w:tcBorders>
                <w:shd w:val="clear" w:color="auto" w:fill="auto"/>
                <w:vAlign w:val="center"/>
              </w:tcPr>
              <w:p w14:paraId="1F91CCF1">
                <w:pPr>
                  <w:jc w:val="center"/>
                  <w:rPr>
                    <w:rFonts w:ascii="Arial Narrow" w:hAnsi="Arial Narrow" w:eastAsiaTheme="minorEastAsia"/>
                    <w:szCs w:val="21"/>
                  </w:rPr>
                </w:pPr>
                <w:r>
                  <w:rPr>
                    <w:rFonts w:ascii="Arial Narrow" w:hAnsi="Arial Narrow" w:eastAsiaTheme="minorEastAsia"/>
                    <w:szCs w:val="21"/>
                  </w:rPr>
                  <w:t>受托方/出包方名称</w:t>
                </w:r>
              </w:p>
            </w:tc>
          </w:sdtContent>
        </w:sdt>
        <w:sdt>
          <w:sdtPr>
            <w:rPr>
              <w:rFonts w:ascii="Arial Narrow" w:hAnsi="Arial Narrow" w:eastAsiaTheme="minorEastAsia"/>
              <w:szCs w:val="21"/>
            </w:rPr>
            <w:tag w:val="_PLD_412fac120e054a0f8bb59d63097ca955"/>
            <w:id w:val="-1554687445"/>
          </w:sdtPr>
          <w:sdtEndPr>
            <w:rPr>
              <w:rFonts w:ascii="Arial Narrow" w:hAnsi="Arial Narrow" w:eastAsiaTheme="minorEastAsia"/>
              <w:szCs w:val="21"/>
            </w:rPr>
          </w:sdtEndPr>
          <w:sdtContent>
            <w:tc>
              <w:tcPr>
                <w:tcW w:w="694" w:type="pct"/>
                <w:tcBorders>
                  <w:top w:val="single" w:color="auto" w:sz="4" w:space="0"/>
                  <w:left w:val="single" w:color="auto" w:sz="4" w:space="0"/>
                  <w:right w:val="single" w:color="auto" w:sz="4" w:space="0"/>
                </w:tcBorders>
                <w:shd w:val="clear" w:color="auto" w:fill="auto"/>
                <w:vAlign w:val="center"/>
              </w:tcPr>
              <w:p w14:paraId="376FFF76">
                <w:pPr>
                  <w:jc w:val="center"/>
                  <w:rPr>
                    <w:rFonts w:ascii="Arial Narrow" w:hAnsi="Arial Narrow" w:eastAsiaTheme="minorEastAsia"/>
                    <w:szCs w:val="21"/>
                  </w:rPr>
                </w:pPr>
                <w:r>
                  <w:rPr>
                    <w:rFonts w:ascii="Arial Narrow" w:hAnsi="Arial Narrow" w:eastAsiaTheme="minorEastAsia"/>
                    <w:szCs w:val="21"/>
                  </w:rPr>
                  <w:t>委托/出包资产类型</w:t>
                </w:r>
              </w:p>
            </w:tc>
          </w:sdtContent>
        </w:sdt>
        <w:sdt>
          <w:sdtPr>
            <w:rPr>
              <w:rFonts w:ascii="Arial Narrow" w:hAnsi="Arial Narrow" w:eastAsiaTheme="minorEastAsia"/>
              <w:szCs w:val="21"/>
            </w:rPr>
            <w:tag w:val="_PLD_d6ea2680939e469f90d72d8f459285b4"/>
            <w:id w:val="1921450187"/>
          </w:sdtPr>
          <w:sdtEndPr>
            <w:rPr>
              <w:rFonts w:ascii="Arial Narrow" w:hAnsi="Arial Narrow" w:eastAsiaTheme="minorEastAsia"/>
              <w:szCs w:val="21"/>
            </w:rPr>
          </w:sdtEndPr>
          <w:sdtContent>
            <w:tc>
              <w:tcPr>
                <w:tcW w:w="604" w:type="pct"/>
                <w:tcBorders>
                  <w:top w:val="single" w:color="auto" w:sz="4" w:space="0"/>
                  <w:left w:val="single" w:color="auto" w:sz="4" w:space="0"/>
                  <w:right w:val="single" w:color="auto" w:sz="4" w:space="0"/>
                </w:tcBorders>
                <w:shd w:val="clear" w:color="auto" w:fill="auto"/>
                <w:vAlign w:val="center"/>
              </w:tcPr>
              <w:p w14:paraId="5EA81766">
                <w:pPr>
                  <w:jc w:val="center"/>
                  <w:rPr>
                    <w:rFonts w:ascii="Arial Narrow" w:hAnsi="Arial Narrow" w:eastAsiaTheme="minorEastAsia"/>
                    <w:szCs w:val="21"/>
                  </w:rPr>
                </w:pPr>
                <w:r>
                  <w:rPr>
                    <w:rFonts w:ascii="Arial Narrow" w:hAnsi="Arial Narrow" w:eastAsiaTheme="minorEastAsia"/>
                    <w:szCs w:val="21"/>
                  </w:rPr>
                  <w:t>委托/出包起始日</w:t>
                </w:r>
              </w:p>
            </w:tc>
          </w:sdtContent>
        </w:sdt>
        <w:sdt>
          <w:sdtPr>
            <w:rPr>
              <w:rFonts w:ascii="Arial Narrow" w:hAnsi="Arial Narrow" w:eastAsiaTheme="minorEastAsia"/>
              <w:szCs w:val="21"/>
            </w:rPr>
            <w:tag w:val="_PLD_d099e6c1a932486b9955d4a0b9aea8ba"/>
            <w:id w:val="-1282565823"/>
          </w:sdtPr>
          <w:sdtEndPr>
            <w:rPr>
              <w:rFonts w:ascii="Arial Narrow" w:hAnsi="Arial Narrow" w:eastAsiaTheme="minorEastAsia"/>
              <w:szCs w:val="21"/>
            </w:rPr>
          </w:sdtEndPr>
          <w:sdtContent>
            <w:tc>
              <w:tcPr>
                <w:tcW w:w="681" w:type="pct"/>
                <w:tcBorders>
                  <w:top w:val="single" w:color="auto" w:sz="4" w:space="0"/>
                  <w:left w:val="single" w:color="auto" w:sz="4" w:space="0"/>
                  <w:right w:val="single" w:color="auto" w:sz="4" w:space="0"/>
                </w:tcBorders>
                <w:shd w:val="clear" w:color="auto" w:fill="auto"/>
                <w:vAlign w:val="center"/>
              </w:tcPr>
              <w:p w14:paraId="71969378">
                <w:pPr>
                  <w:jc w:val="center"/>
                  <w:rPr>
                    <w:rFonts w:ascii="Arial Narrow" w:hAnsi="Arial Narrow" w:eastAsiaTheme="minorEastAsia"/>
                    <w:szCs w:val="21"/>
                  </w:rPr>
                </w:pPr>
                <w:r>
                  <w:rPr>
                    <w:rFonts w:ascii="Arial Narrow" w:hAnsi="Arial Narrow" w:eastAsiaTheme="minorEastAsia"/>
                    <w:szCs w:val="21"/>
                  </w:rPr>
                  <w:t>委托/出包终止日</w:t>
                </w:r>
              </w:p>
            </w:tc>
          </w:sdtContent>
        </w:sdt>
        <w:sdt>
          <w:sdtPr>
            <w:rPr>
              <w:rFonts w:ascii="Arial Narrow" w:hAnsi="Arial Narrow" w:eastAsiaTheme="minorEastAsia"/>
              <w:szCs w:val="21"/>
            </w:rPr>
            <w:tag w:val="_PLD_12a8636b5f16454c9a7e0868e89f3879"/>
            <w:id w:val="-1445526917"/>
          </w:sdtPr>
          <w:sdtEndPr>
            <w:rPr>
              <w:rFonts w:ascii="Arial Narrow" w:hAnsi="Arial Narrow" w:eastAsiaTheme="minorEastAsia"/>
              <w:szCs w:val="21"/>
            </w:rPr>
          </w:sdtEndPr>
          <w:sdtContent>
            <w:tc>
              <w:tcPr>
                <w:tcW w:w="766" w:type="pct"/>
                <w:tcBorders>
                  <w:top w:val="single" w:color="auto" w:sz="4" w:space="0"/>
                  <w:left w:val="single" w:color="auto" w:sz="4" w:space="0"/>
                  <w:right w:val="single" w:color="auto" w:sz="4" w:space="0"/>
                </w:tcBorders>
                <w:shd w:val="clear" w:color="auto" w:fill="auto"/>
                <w:vAlign w:val="center"/>
              </w:tcPr>
              <w:p w14:paraId="38A4669E">
                <w:pPr>
                  <w:jc w:val="center"/>
                  <w:rPr>
                    <w:rFonts w:ascii="Arial Narrow" w:hAnsi="Arial Narrow" w:eastAsiaTheme="minorEastAsia"/>
                    <w:szCs w:val="21"/>
                  </w:rPr>
                </w:pPr>
                <w:r>
                  <w:rPr>
                    <w:rFonts w:ascii="Arial Narrow" w:hAnsi="Arial Narrow" w:eastAsiaTheme="minorEastAsia"/>
                    <w:szCs w:val="21"/>
                  </w:rPr>
                  <w:t>托管费/出包费定价依据</w:t>
                </w:r>
              </w:p>
            </w:tc>
          </w:sdtContent>
        </w:sdt>
        <w:sdt>
          <w:sdtPr>
            <w:rPr>
              <w:rFonts w:ascii="Arial Narrow" w:hAnsi="Arial Narrow" w:eastAsiaTheme="minorEastAsia"/>
              <w:szCs w:val="21"/>
            </w:rPr>
            <w:tag w:val="_PLD_769fa9f45142421cb63a5420d9cc154e"/>
            <w:id w:val="2014029734"/>
          </w:sdtPr>
          <w:sdtEndPr>
            <w:rPr>
              <w:rFonts w:ascii="Arial Narrow" w:hAnsi="Arial Narrow" w:eastAsiaTheme="minorEastAsia"/>
              <w:szCs w:val="21"/>
            </w:rPr>
          </w:sdtEndPr>
          <w:sdtContent>
            <w:tc>
              <w:tcPr>
                <w:tcW w:w="804" w:type="pct"/>
                <w:tcBorders>
                  <w:top w:val="single" w:color="auto" w:sz="4" w:space="0"/>
                  <w:left w:val="single" w:color="auto" w:sz="4" w:space="0"/>
                  <w:right w:val="single" w:color="auto" w:sz="4" w:space="0"/>
                </w:tcBorders>
                <w:shd w:val="clear" w:color="auto" w:fill="auto"/>
                <w:vAlign w:val="center"/>
              </w:tcPr>
              <w:p w14:paraId="16019757">
                <w:pPr>
                  <w:jc w:val="center"/>
                  <w:rPr>
                    <w:rFonts w:ascii="Arial Narrow" w:hAnsi="Arial Narrow" w:eastAsiaTheme="minorEastAsia"/>
                    <w:szCs w:val="21"/>
                  </w:rPr>
                </w:pPr>
                <w:r>
                  <w:rPr>
                    <w:rFonts w:ascii="Arial Narrow" w:hAnsi="Arial Narrow" w:eastAsiaTheme="minorEastAsia"/>
                    <w:szCs w:val="21"/>
                  </w:rPr>
                  <w:t>本期确认的托管费/出包费</w:t>
                </w:r>
              </w:p>
            </w:tc>
          </w:sdtContent>
        </w:sdt>
      </w:tr>
      <w:tr w14:paraId="3C82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28" w:type="pct"/>
            <w:tcBorders>
              <w:top w:val="single" w:color="auto" w:sz="4" w:space="0"/>
              <w:left w:val="single" w:color="auto" w:sz="4" w:space="0"/>
              <w:bottom w:val="single" w:color="auto" w:sz="4" w:space="0"/>
              <w:right w:val="single" w:color="auto" w:sz="4" w:space="0"/>
            </w:tcBorders>
            <w:vAlign w:val="center"/>
          </w:tcPr>
          <w:p w14:paraId="617757B5">
            <w:pPr>
              <w:jc w:val="center"/>
              <w:rPr>
                <w:rFonts w:ascii="Arial Narrow" w:hAnsi="Arial Narrow" w:eastAsiaTheme="minorEastAsia"/>
                <w:szCs w:val="21"/>
              </w:rPr>
            </w:pPr>
            <w:r>
              <w:rPr>
                <w:rFonts w:ascii="Arial Narrow" w:hAnsi="Arial Narrow" w:eastAsiaTheme="minorEastAsia"/>
                <w:color w:val="000000"/>
                <w:szCs w:val="21"/>
              </w:rPr>
              <w:t>际华集团股份有限公司</w:t>
            </w:r>
          </w:p>
        </w:tc>
        <w:tc>
          <w:tcPr>
            <w:tcW w:w="723" w:type="pct"/>
            <w:tcBorders>
              <w:top w:val="single" w:color="auto" w:sz="4" w:space="0"/>
              <w:left w:val="single" w:color="auto" w:sz="4" w:space="0"/>
              <w:bottom w:val="single" w:color="auto" w:sz="4" w:space="0"/>
              <w:right w:val="single" w:color="auto" w:sz="4" w:space="0"/>
            </w:tcBorders>
            <w:vAlign w:val="center"/>
          </w:tcPr>
          <w:p w14:paraId="3A6C9378">
            <w:pPr>
              <w:jc w:val="center"/>
              <w:rPr>
                <w:rFonts w:ascii="Arial Narrow" w:hAnsi="Arial Narrow" w:eastAsiaTheme="minorEastAsia"/>
                <w:szCs w:val="21"/>
              </w:rPr>
            </w:pPr>
            <w:r>
              <w:rPr>
                <w:rFonts w:ascii="Arial Narrow" w:hAnsi="Arial Narrow" w:eastAsiaTheme="minorEastAsia"/>
                <w:color w:val="000000"/>
                <w:szCs w:val="21"/>
              </w:rPr>
              <w:t>新兴际华资产经营管理有限公司</w:t>
            </w:r>
          </w:p>
        </w:tc>
        <w:tc>
          <w:tcPr>
            <w:tcW w:w="694" w:type="pct"/>
            <w:tcBorders>
              <w:top w:val="single" w:color="auto" w:sz="4" w:space="0"/>
              <w:left w:val="single" w:color="auto" w:sz="4" w:space="0"/>
              <w:bottom w:val="single" w:color="auto" w:sz="4" w:space="0"/>
              <w:right w:val="single" w:color="auto" w:sz="4" w:space="0"/>
            </w:tcBorders>
            <w:vAlign w:val="center"/>
          </w:tcPr>
          <w:p w14:paraId="72623ED4">
            <w:pPr>
              <w:jc w:val="center"/>
              <w:rPr>
                <w:rFonts w:ascii="Arial Narrow" w:hAnsi="Arial Narrow" w:eastAsiaTheme="minorEastAsia"/>
                <w:szCs w:val="21"/>
              </w:rPr>
            </w:pPr>
            <w:r>
              <w:rPr>
                <w:rFonts w:ascii="Arial Narrow" w:hAnsi="Arial Narrow" w:eastAsiaTheme="minorEastAsia"/>
                <w:color w:val="000000"/>
                <w:szCs w:val="21"/>
              </w:rPr>
              <w:t>股权托管</w:t>
            </w:r>
          </w:p>
        </w:tc>
        <w:tc>
          <w:tcPr>
            <w:tcW w:w="604" w:type="pct"/>
            <w:tcBorders>
              <w:top w:val="single" w:color="auto" w:sz="4" w:space="0"/>
              <w:left w:val="single" w:color="auto" w:sz="4" w:space="0"/>
              <w:bottom w:val="single" w:color="auto" w:sz="4" w:space="0"/>
              <w:right w:val="single" w:color="auto" w:sz="4" w:space="0"/>
            </w:tcBorders>
            <w:vAlign w:val="center"/>
          </w:tcPr>
          <w:p w14:paraId="3E113BDC">
            <w:pPr>
              <w:jc w:val="center"/>
              <w:rPr>
                <w:rFonts w:ascii="Arial Narrow" w:hAnsi="Arial Narrow" w:eastAsiaTheme="minorEastAsia"/>
                <w:szCs w:val="21"/>
              </w:rPr>
            </w:pPr>
            <w:r>
              <w:rPr>
                <w:rFonts w:ascii="Arial Narrow" w:hAnsi="Arial Narrow" w:eastAsiaTheme="minorEastAsia"/>
                <w:color w:val="000000"/>
                <w:szCs w:val="21"/>
              </w:rPr>
              <w:t>2022年10月1日</w:t>
            </w:r>
          </w:p>
        </w:tc>
        <w:tc>
          <w:tcPr>
            <w:tcW w:w="681" w:type="pct"/>
            <w:tcBorders>
              <w:top w:val="single" w:color="auto" w:sz="4" w:space="0"/>
              <w:left w:val="single" w:color="auto" w:sz="4" w:space="0"/>
              <w:bottom w:val="single" w:color="auto" w:sz="4" w:space="0"/>
              <w:right w:val="single" w:color="auto" w:sz="4" w:space="0"/>
            </w:tcBorders>
            <w:vAlign w:val="center"/>
          </w:tcPr>
          <w:p w14:paraId="36322FAE">
            <w:pPr>
              <w:jc w:val="center"/>
              <w:rPr>
                <w:rFonts w:ascii="Arial Narrow" w:hAnsi="Arial Narrow" w:eastAsiaTheme="minorEastAsia"/>
                <w:szCs w:val="21"/>
              </w:rPr>
            </w:pPr>
            <w:r>
              <w:rPr>
                <w:rFonts w:ascii="Arial Narrow" w:hAnsi="Arial Narrow" w:eastAsiaTheme="minorEastAsia"/>
                <w:color w:val="000000"/>
                <w:szCs w:val="21"/>
              </w:rPr>
              <w:t>2025年12月31日</w:t>
            </w:r>
          </w:p>
        </w:tc>
        <w:tc>
          <w:tcPr>
            <w:tcW w:w="766" w:type="pct"/>
            <w:tcBorders>
              <w:top w:val="single" w:color="auto" w:sz="4" w:space="0"/>
              <w:left w:val="single" w:color="auto" w:sz="4" w:space="0"/>
              <w:bottom w:val="single" w:color="auto" w:sz="4" w:space="0"/>
              <w:right w:val="single" w:color="auto" w:sz="4" w:space="0"/>
            </w:tcBorders>
            <w:vAlign w:val="center"/>
          </w:tcPr>
          <w:p w14:paraId="3E5BE800">
            <w:pPr>
              <w:jc w:val="center"/>
              <w:rPr>
                <w:rFonts w:ascii="Arial Narrow" w:hAnsi="Arial Narrow" w:eastAsiaTheme="minorEastAsia"/>
                <w:szCs w:val="21"/>
              </w:rPr>
            </w:pPr>
            <w:r>
              <w:rPr>
                <w:rFonts w:ascii="Arial Narrow" w:hAnsi="Arial Narrow" w:eastAsiaTheme="minorEastAsia"/>
                <w:color w:val="000000"/>
                <w:szCs w:val="21"/>
              </w:rPr>
              <w:t>《际华园委托经营管理协议》</w:t>
            </w:r>
          </w:p>
        </w:tc>
        <w:tc>
          <w:tcPr>
            <w:tcW w:w="804" w:type="pct"/>
            <w:tcBorders>
              <w:top w:val="single" w:color="auto" w:sz="4" w:space="0"/>
              <w:left w:val="single" w:color="auto" w:sz="4" w:space="0"/>
              <w:bottom w:val="single" w:color="auto" w:sz="4" w:space="0"/>
              <w:right w:val="single" w:color="auto" w:sz="4" w:space="0"/>
            </w:tcBorders>
            <w:vAlign w:val="center"/>
          </w:tcPr>
          <w:p w14:paraId="66E00DE8">
            <w:pPr>
              <w:jc w:val="center"/>
              <w:rPr>
                <w:rFonts w:ascii="Arial Narrow" w:hAnsi="Arial Narrow" w:eastAsiaTheme="minorEastAsia"/>
                <w:szCs w:val="21"/>
              </w:rPr>
            </w:pPr>
          </w:p>
        </w:tc>
      </w:tr>
      <w:tr w14:paraId="072E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28" w:type="pct"/>
            <w:tcBorders>
              <w:top w:val="single" w:color="auto" w:sz="4" w:space="0"/>
              <w:left w:val="single" w:color="auto" w:sz="4" w:space="0"/>
              <w:bottom w:val="single" w:color="auto" w:sz="4" w:space="0"/>
              <w:right w:val="single" w:color="auto" w:sz="4" w:space="0"/>
            </w:tcBorders>
            <w:vAlign w:val="center"/>
          </w:tcPr>
          <w:p w14:paraId="7209D2C3">
            <w:pPr>
              <w:jc w:val="center"/>
              <w:rPr>
                <w:rFonts w:ascii="Arial Narrow" w:hAnsi="Arial Narrow" w:eastAsiaTheme="minorEastAsia"/>
                <w:szCs w:val="21"/>
              </w:rPr>
            </w:pPr>
            <w:r>
              <w:rPr>
                <w:rFonts w:ascii="Arial Narrow" w:hAnsi="Arial Narrow" w:eastAsiaTheme="minorEastAsia"/>
                <w:color w:val="000000"/>
                <w:szCs w:val="21"/>
              </w:rPr>
              <w:t>际华三五三六实业有限公司</w:t>
            </w:r>
          </w:p>
        </w:tc>
        <w:tc>
          <w:tcPr>
            <w:tcW w:w="723" w:type="pct"/>
            <w:tcBorders>
              <w:top w:val="single" w:color="auto" w:sz="4" w:space="0"/>
              <w:left w:val="single" w:color="auto" w:sz="4" w:space="0"/>
              <w:bottom w:val="single" w:color="auto" w:sz="4" w:space="0"/>
              <w:right w:val="single" w:color="auto" w:sz="4" w:space="0"/>
            </w:tcBorders>
            <w:vAlign w:val="center"/>
          </w:tcPr>
          <w:p w14:paraId="7DE786DC">
            <w:pPr>
              <w:jc w:val="center"/>
              <w:rPr>
                <w:rFonts w:ascii="Arial Narrow" w:hAnsi="Arial Narrow" w:eastAsiaTheme="minorEastAsia"/>
                <w:szCs w:val="21"/>
              </w:rPr>
            </w:pPr>
            <w:r>
              <w:rPr>
                <w:rFonts w:ascii="Arial Narrow" w:hAnsi="Arial Narrow" w:eastAsiaTheme="minorEastAsia"/>
                <w:color w:val="000000"/>
                <w:szCs w:val="21"/>
              </w:rPr>
              <w:t>荷原置地控股有限公司</w:t>
            </w:r>
          </w:p>
        </w:tc>
        <w:tc>
          <w:tcPr>
            <w:tcW w:w="694" w:type="pct"/>
            <w:tcBorders>
              <w:top w:val="single" w:color="auto" w:sz="4" w:space="0"/>
              <w:left w:val="single" w:color="auto" w:sz="4" w:space="0"/>
              <w:bottom w:val="single" w:color="auto" w:sz="4" w:space="0"/>
              <w:right w:val="single" w:color="auto" w:sz="4" w:space="0"/>
            </w:tcBorders>
            <w:vAlign w:val="center"/>
          </w:tcPr>
          <w:p w14:paraId="362DA839">
            <w:pPr>
              <w:jc w:val="center"/>
              <w:rPr>
                <w:rFonts w:ascii="Arial Narrow" w:hAnsi="Arial Narrow" w:eastAsiaTheme="minorEastAsia"/>
                <w:szCs w:val="21"/>
              </w:rPr>
            </w:pPr>
            <w:r>
              <w:rPr>
                <w:rFonts w:ascii="Arial Narrow" w:hAnsi="Arial Narrow" w:eastAsiaTheme="minorEastAsia"/>
                <w:color w:val="000000"/>
                <w:szCs w:val="21"/>
              </w:rPr>
              <w:t>其他资产托管</w:t>
            </w:r>
          </w:p>
        </w:tc>
        <w:tc>
          <w:tcPr>
            <w:tcW w:w="604" w:type="pct"/>
            <w:tcBorders>
              <w:top w:val="single" w:color="auto" w:sz="4" w:space="0"/>
              <w:left w:val="single" w:color="auto" w:sz="4" w:space="0"/>
              <w:bottom w:val="single" w:color="auto" w:sz="4" w:space="0"/>
              <w:right w:val="single" w:color="auto" w:sz="4" w:space="0"/>
            </w:tcBorders>
            <w:vAlign w:val="center"/>
          </w:tcPr>
          <w:p w14:paraId="109B67C1">
            <w:pPr>
              <w:jc w:val="center"/>
              <w:rPr>
                <w:rFonts w:ascii="Arial Narrow" w:hAnsi="Arial Narrow" w:eastAsiaTheme="minorEastAsia"/>
                <w:szCs w:val="21"/>
              </w:rPr>
            </w:pPr>
            <w:r>
              <w:rPr>
                <w:rFonts w:ascii="Arial Narrow" w:hAnsi="Arial Narrow" w:eastAsiaTheme="minorEastAsia"/>
                <w:color w:val="000000"/>
                <w:szCs w:val="21"/>
              </w:rPr>
              <w:t>2022年9月30日</w:t>
            </w:r>
          </w:p>
        </w:tc>
        <w:tc>
          <w:tcPr>
            <w:tcW w:w="681" w:type="pct"/>
            <w:tcBorders>
              <w:top w:val="single" w:color="auto" w:sz="4" w:space="0"/>
              <w:left w:val="single" w:color="auto" w:sz="4" w:space="0"/>
              <w:bottom w:val="single" w:color="auto" w:sz="4" w:space="0"/>
              <w:right w:val="single" w:color="auto" w:sz="4" w:space="0"/>
            </w:tcBorders>
            <w:vAlign w:val="center"/>
          </w:tcPr>
          <w:p w14:paraId="34E810CF">
            <w:pPr>
              <w:jc w:val="center"/>
              <w:rPr>
                <w:rFonts w:ascii="Arial Narrow" w:hAnsi="Arial Narrow" w:eastAsiaTheme="minorEastAsia"/>
                <w:szCs w:val="21"/>
              </w:rPr>
            </w:pPr>
            <w:r>
              <w:rPr>
                <w:rStyle w:val="136"/>
                <w:rFonts w:eastAsiaTheme="minorEastAsia"/>
              </w:rPr>
              <w:t>项目最后一期销售物业交付满1</w:t>
            </w:r>
            <w:r>
              <w:rPr>
                <w:rStyle w:val="137"/>
                <w:rFonts w:hint="default" w:ascii="Arial Narrow" w:hAnsi="Arial Narrow" w:eastAsiaTheme="minorEastAsia"/>
              </w:rPr>
              <w:t>个月为止</w:t>
            </w:r>
          </w:p>
        </w:tc>
        <w:tc>
          <w:tcPr>
            <w:tcW w:w="766" w:type="pct"/>
            <w:tcBorders>
              <w:top w:val="single" w:color="auto" w:sz="4" w:space="0"/>
              <w:left w:val="single" w:color="auto" w:sz="4" w:space="0"/>
              <w:bottom w:val="single" w:color="auto" w:sz="4" w:space="0"/>
              <w:right w:val="single" w:color="auto" w:sz="4" w:space="0"/>
            </w:tcBorders>
            <w:vAlign w:val="center"/>
          </w:tcPr>
          <w:p w14:paraId="45D9A9CB">
            <w:pPr>
              <w:jc w:val="center"/>
              <w:rPr>
                <w:rFonts w:ascii="Arial Narrow" w:hAnsi="Arial Narrow" w:eastAsiaTheme="minorEastAsia"/>
                <w:szCs w:val="21"/>
              </w:rPr>
            </w:pPr>
            <w:r>
              <w:rPr>
                <w:rStyle w:val="136"/>
                <w:rFonts w:eastAsiaTheme="minorEastAsia"/>
              </w:rPr>
              <w:t>《3536</w:t>
            </w:r>
            <w:r>
              <w:rPr>
                <w:rStyle w:val="137"/>
                <w:rFonts w:hint="default" w:ascii="Arial Narrow" w:hAnsi="Arial Narrow" w:eastAsiaTheme="minorEastAsia"/>
              </w:rPr>
              <w:t>公司与新兴建新公司之带资代建协议》</w:t>
            </w:r>
          </w:p>
        </w:tc>
        <w:tc>
          <w:tcPr>
            <w:tcW w:w="804" w:type="pct"/>
            <w:tcBorders>
              <w:top w:val="single" w:color="auto" w:sz="4" w:space="0"/>
              <w:left w:val="single" w:color="auto" w:sz="4" w:space="0"/>
              <w:bottom w:val="single" w:color="auto" w:sz="4" w:space="0"/>
              <w:right w:val="single" w:color="auto" w:sz="4" w:space="0"/>
            </w:tcBorders>
            <w:vAlign w:val="center"/>
          </w:tcPr>
          <w:p w14:paraId="4A53AD5B">
            <w:pPr>
              <w:jc w:val="center"/>
              <w:rPr>
                <w:rFonts w:ascii="Arial Narrow" w:hAnsi="Arial Narrow" w:eastAsiaTheme="minorEastAsia"/>
                <w:szCs w:val="21"/>
              </w:rPr>
            </w:pPr>
          </w:p>
        </w:tc>
      </w:tr>
      <w:tr w14:paraId="5A65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28" w:type="pct"/>
            <w:tcBorders>
              <w:top w:val="single" w:color="auto" w:sz="4" w:space="0"/>
              <w:left w:val="single" w:color="auto" w:sz="4" w:space="0"/>
              <w:bottom w:val="single" w:color="auto" w:sz="4" w:space="0"/>
              <w:right w:val="single" w:color="auto" w:sz="4" w:space="0"/>
            </w:tcBorders>
            <w:vAlign w:val="center"/>
          </w:tcPr>
          <w:p w14:paraId="2721D4C7">
            <w:pPr>
              <w:jc w:val="center"/>
              <w:rPr>
                <w:rFonts w:ascii="Arial Narrow" w:hAnsi="Arial Narrow" w:eastAsiaTheme="minorEastAsia"/>
                <w:color w:val="000000"/>
                <w:szCs w:val="21"/>
              </w:rPr>
            </w:pPr>
            <w:r>
              <w:rPr>
                <w:rFonts w:ascii="Arial Narrow" w:hAnsi="Arial Narrow" w:eastAsiaTheme="minorEastAsia"/>
                <w:color w:val="000000"/>
                <w:szCs w:val="21"/>
              </w:rPr>
              <w:t>际华集团股份有限公司</w:t>
            </w:r>
          </w:p>
        </w:tc>
        <w:tc>
          <w:tcPr>
            <w:tcW w:w="723" w:type="pct"/>
            <w:tcBorders>
              <w:top w:val="single" w:color="auto" w:sz="4" w:space="0"/>
              <w:left w:val="single" w:color="auto" w:sz="4" w:space="0"/>
              <w:bottom w:val="single" w:color="auto" w:sz="4" w:space="0"/>
              <w:right w:val="single" w:color="auto" w:sz="4" w:space="0"/>
            </w:tcBorders>
            <w:vAlign w:val="center"/>
          </w:tcPr>
          <w:p w14:paraId="57EC941C">
            <w:pPr>
              <w:jc w:val="center"/>
              <w:rPr>
                <w:rFonts w:ascii="Arial Narrow" w:hAnsi="Arial Narrow" w:eastAsiaTheme="minorEastAsia"/>
                <w:color w:val="000000"/>
                <w:szCs w:val="21"/>
              </w:rPr>
            </w:pPr>
            <w:r>
              <w:rPr>
                <w:rFonts w:ascii="Arial Narrow" w:hAnsi="Arial Narrow" w:eastAsiaTheme="minorEastAsia"/>
                <w:color w:val="000000"/>
                <w:szCs w:val="21"/>
              </w:rPr>
              <w:t>新兴重工集团有限公司</w:t>
            </w:r>
          </w:p>
        </w:tc>
        <w:tc>
          <w:tcPr>
            <w:tcW w:w="694" w:type="pct"/>
            <w:tcBorders>
              <w:top w:val="single" w:color="auto" w:sz="4" w:space="0"/>
              <w:left w:val="single" w:color="auto" w:sz="4" w:space="0"/>
              <w:bottom w:val="single" w:color="auto" w:sz="4" w:space="0"/>
              <w:right w:val="single" w:color="auto" w:sz="4" w:space="0"/>
            </w:tcBorders>
            <w:vAlign w:val="center"/>
          </w:tcPr>
          <w:p w14:paraId="29FACA65">
            <w:pPr>
              <w:jc w:val="center"/>
              <w:rPr>
                <w:rFonts w:ascii="Arial Narrow" w:hAnsi="Arial Narrow" w:eastAsiaTheme="minorEastAsia"/>
                <w:color w:val="000000"/>
                <w:szCs w:val="21"/>
              </w:rPr>
            </w:pPr>
            <w:r>
              <w:rPr>
                <w:rFonts w:ascii="Arial Narrow" w:hAnsi="Arial Narrow" w:eastAsiaTheme="minorEastAsia"/>
                <w:color w:val="000000"/>
                <w:szCs w:val="21"/>
              </w:rPr>
              <w:t>股权托管</w:t>
            </w:r>
          </w:p>
        </w:tc>
        <w:tc>
          <w:tcPr>
            <w:tcW w:w="604" w:type="pct"/>
            <w:tcBorders>
              <w:top w:val="single" w:color="auto" w:sz="4" w:space="0"/>
              <w:left w:val="single" w:color="auto" w:sz="4" w:space="0"/>
              <w:bottom w:val="single" w:color="auto" w:sz="4" w:space="0"/>
              <w:right w:val="single" w:color="auto" w:sz="4" w:space="0"/>
            </w:tcBorders>
            <w:vAlign w:val="center"/>
          </w:tcPr>
          <w:p w14:paraId="15333E77">
            <w:pPr>
              <w:jc w:val="center"/>
              <w:rPr>
                <w:rFonts w:ascii="Arial Narrow" w:hAnsi="Arial Narrow" w:eastAsiaTheme="minorEastAsia"/>
                <w:color w:val="000000"/>
                <w:szCs w:val="21"/>
              </w:rPr>
            </w:pPr>
            <w:r>
              <w:rPr>
                <w:rFonts w:ascii="Arial Narrow" w:hAnsi="Arial Narrow" w:eastAsiaTheme="minorEastAsia"/>
                <w:color w:val="000000"/>
                <w:szCs w:val="21"/>
              </w:rPr>
              <w:t>2024年12月12日</w:t>
            </w:r>
          </w:p>
        </w:tc>
        <w:tc>
          <w:tcPr>
            <w:tcW w:w="681" w:type="pct"/>
            <w:tcBorders>
              <w:top w:val="single" w:color="auto" w:sz="4" w:space="0"/>
              <w:left w:val="single" w:color="auto" w:sz="4" w:space="0"/>
              <w:bottom w:val="single" w:color="auto" w:sz="4" w:space="0"/>
              <w:right w:val="single" w:color="auto" w:sz="4" w:space="0"/>
            </w:tcBorders>
            <w:vAlign w:val="center"/>
          </w:tcPr>
          <w:p w14:paraId="69F0106D">
            <w:pPr>
              <w:jc w:val="center"/>
              <w:rPr>
                <w:rStyle w:val="136"/>
                <w:rFonts w:eastAsiaTheme="minorEastAsia"/>
              </w:rPr>
            </w:pPr>
            <w:r>
              <w:rPr>
                <w:rFonts w:ascii="Arial Narrow" w:hAnsi="Arial Narrow" w:eastAsiaTheme="minorEastAsia"/>
                <w:color w:val="000000"/>
                <w:szCs w:val="21"/>
              </w:rPr>
              <w:t>2027年12月31日</w:t>
            </w:r>
          </w:p>
        </w:tc>
        <w:tc>
          <w:tcPr>
            <w:tcW w:w="766" w:type="pct"/>
            <w:tcBorders>
              <w:top w:val="single" w:color="auto" w:sz="4" w:space="0"/>
              <w:left w:val="single" w:color="auto" w:sz="4" w:space="0"/>
              <w:bottom w:val="single" w:color="auto" w:sz="4" w:space="0"/>
              <w:right w:val="single" w:color="auto" w:sz="4" w:space="0"/>
            </w:tcBorders>
            <w:vAlign w:val="center"/>
          </w:tcPr>
          <w:p w14:paraId="39B32474">
            <w:pPr>
              <w:jc w:val="center"/>
              <w:rPr>
                <w:rStyle w:val="136"/>
                <w:rFonts w:eastAsiaTheme="minorEastAsia"/>
              </w:rPr>
            </w:pPr>
            <w:r>
              <w:rPr>
                <w:rFonts w:ascii="Arial Narrow" w:hAnsi="Arial Narrow" w:eastAsiaTheme="minorEastAsia"/>
                <w:color w:val="000000"/>
                <w:szCs w:val="21"/>
              </w:rPr>
              <w:t>《际华（邢台）投资有限公司委托管理协议》</w:t>
            </w:r>
          </w:p>
        </w:tc>
        <w:tc>
          <w:tcPr>
            <w:tcW w:w="804" w:type="pct"/>
            <w:tcBorders>
              <w:top w:val="single" w:color="auto" w:sz="4" w:space="0"/>
              <w:left w:val="single" w:color="auto" w:sz="4" w:space="0"/>
              <w:bottom w:val="single" w:color="auto" w:sz="4" w:space="0"/>
              <w:right w:val="single" w:color="auto" w:sz="4" w:space="0"/>
            </w:tcBorders>
            <w:vAlign w:val="center"/>
          </w:tcPr>
          <w:p w14:paraId="288A3D79">
            <w:pPr>
              <w:jc w:val="center"/>
              <w:rPr>
                <w:rFonts w:ascii="Arial Narrow" w:hAnsi="Arial Narrow" w:eastAsiaTheme="minorEastAsia"/>
                <w:szCs w:val="21"/>
              </w:rPr>
            </w:pPr>
          </w:p>
        </w:tc>
      </w:tr>
    </w:tbl>
    <w:p w14:paraId="1A8D889B">
      <w:pPr>
        <w:rPr>
          <w:rFonts w:hint="eastAsia" w:cs="Cambria"/>
          <w:bCs/>
          <w:szCs w:val="21"/>
        </w:rPr>
      </w:pPr>
    </w:p>
    <w:p w14:paraId="42BE5808">
      <w:pPr>
        <w:rPr>
          <w:rFonts w:hint="eastAsia" w:cs="Cambria"/>
          <w:bCs/>
          <w:szCs w:val="21"/>
        </w:rPr>
      </w:pPr>
      <w:r>
        <w:rPr>
          <w:rFonts w:hint="eastAsia" w:cs="Cambria"/>
          <w:bCs/>
          <w:szCs w:val="21"/>
        </w:rPr>
        <w:t>关联管理/出包情况说明</w:t>
      </w:r>
    </w:p>
    <w:sdt>
      <w:sdtPr>
        <w:rPr>
          <w:rFonts w:cs="Cambria"/>
          <w:bCs/>
          <w:szCs w:val="21"/>
        </w:rPr>
        <w:alias w:val="是否适用：关联管理或出包情况说明[双击切换]"/>
        <w:tag w:val="_GBC_a21df8e7013c4b70bab4125cabda8c46"/>
        <w:id w:val="-328983718"/>
        <w:placeholder>
          <w:docPart w:val="GBC22222222222222222222222222222"/>
        </w:placeholder>
      </w:sdtPr>
      <w:sdtEndPr>
        <w:rPr>
          <w:rFonts w:cs="Cambria"/>
          <w:bCs/>
          <w:szCs w:val="21"/>
        </w:rPr>
      </w:sdtEndPr>
      <w:sdtContent>
        <w:p w14:paraId="1B440DD0">
          <w:pPr>
            <w:rPr>
              <w:rFonts w:hint="eastAsia" w:cs="Cambria"/>
              <w:bCs/>
              <w:szCs w:val="21"/>
            </w:rPr>
          </w:pPr>
          <w:r>
            <w:rPr>
              <w:rFonts w:cs="Cambria"/>
              <w:bCs/>
              <w:szCs w:val="21"/>
            </w:rPr>
            <w:fldChar w:fldCharType="begin"/>
          </w:r>
          <w:r>
            <w:rPr>
              <w:rFonts w:hint="eastAsia"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sdt>
      <w:sdtPr>
        <w:rPr>
          <w:rFonts w:cs="Cambria"/>
          <w:bCs/>
          <w:szCs w:val="21"/>
        </w:rPr>
        <w:alias w:val="关联管理或出包情况说明"/>
        <w:tag w:val="_GBC_9d83cbe9646544c7af79e26291248d73"/>
        <w:id w:val="-1408067199"/>
        <w:placeholder>
          <w:docPart w:val="GBC22222222222222222222222222222"/>
        </w:placeholder>
      </w:sdtPr>
      <w:sdtEndPr>
        <w:rPr>
          <w:rFonts w:cs="Cambria"/>
          <w:bCs/>
          <w:szCs w:val="21"/>
        </w:rPr>
      </w:sdtEndPr>
      <w:sdtContent>
        <w:p w14:paraId="3815AA7A">
          <w:pPr>
            <w:ind w:firstLine="420" w:firstLineChars="200"/>
            <w:rPr>
              <w:rFonts w:hint="eastAsia" w:cs="Cambria"/>
              <w:bCs/>
              <w:szCs w:val="21"/>
            </w:rPr>
          </w:pPr>
          <w:r>
            <w:rPr>
              <w:rFonts w:hint="eastAsia" w:cs="Cambria"/>
              <w:bCs/>
              <w:szCs w:val="21"/>
            </w:rPr>
            <w:t xml:space="preserve">公司与新兴际华资产经营管理有限公司于2022年9月30日在北京签署了《际华园委托经营管理协议》。根据协议约定，公司委托新兴际华资产经营管理有限公司对公司下属全资子公司陕西际华园开发建设有限公司、重庆际华目的地中心实业有限公司、长春际华投资建设有限公司进行经营管理，委托管理期限至2025年12月31日。 </w:t>
          </w:r>
        </w:p>
        <w:p w14:paraId="1CD2B56A">
          <w:pPr>
            <w:ind w:firstLine="420" w:firstLineChars="200"/>
            <w:rPr>
              <w:rFonts w:hint="eastAsia" w:cs="Cambria"/>
              <w:bCs/>
              <w:szCs w:val="21"/>
            </w:rPr>
          </w:pPr>
          <w:r>
            <w:rPr>
              <w:rFonts w:hint="eastAsia" w:cs="Cambria"/>
              <w:bCs/>
              <w:szCs w:val="21"/>
            </w:rPr>
            <w:t>公司之子公司际华三五三六实业有限公司与新兴建新（深圳）开发控股有限公司于2022年9月30日在北京签署了《3536公司与新兴建新公司之带资代建协议》，委托新兴建新（深圳）开发控股有限公司对3536公司所持有的位于绵阳市绵兴路东段62号地块进行开发建设管理，由新兴建新公司负责项目融资、开发建设管理、销售管理等相关经营管理事宜，并收取融资利息以及代建服务费等相关费用。委托管理期限至项目最后一期销售物业交付满1个月为止。</w:t>
          </w:r>
        </w:p>
        <w:p w14:paraId="00A6B1EB">
          <w:pPr>
            <w:ind w:firstLine="420" w:firstLineChars="200"/>
            <w:rPr>
              <w:rFonts w:hint="eastAsia" w:cs="Cambria"/>
              <w:bCs/>
              <w:szCs w:val="21"/>
            </w:rPr>
          </w:pPr>
          <w:r>
            <w:rPr>
              <w:rFonts w:hint="eastAsia" w:cs="Cambria"/>
              <w:bCs/>
              <w:szCs w:val="21"/>
            </w:rPr>
            <w:t>公司与新兴重工集团有限公司于2024年12月12日在北京签署了《际华（邢台）投资有限公司委托管理协议》。根据协议约定，公司委托新兴重工集团有限公司对公司下属全资子公司际华（邢台）投资有限公司进行经营管理，委托管理期限至2027年12月31日。</w:t>
          </w:r>
        </w:p>
      </w:sdtContent>
    </w:sdt>
    <w:p w14:paraId="5A86569C">
      <w:pPr>
        <w:rPr>
          <w:rFonts w:hint="eastAsia" w:cs="Cambria"/>
          <w:szCs w:val="21"/>
        </w:rPr>
      </w:pPr>
    </w:p>
    <w:p w14:paraId="6EB573DD">
      <w:pPr>
        <w:pStyle w:val="71"/>
        <w:numPr>
          <w:ilvl w:val="3"/>
          <w:numId w:val="164"/>
        </w:numPr>
        <w:ind w:left="424" w:hanging="424" w:hangingChars="201"/>
        <w:rPr>
          <w:rFonts w:hint="eastAsia"/>
        </w:rPr>
      </w:pPr>
      <w:r>
        <w:rPr>
          <w:rFonts w:hint="eastAsia"/>
        </w:rPr>
        <w:t>关联租赁情况</w:t>
      </w:r>
    </w:p>
    <w:p w14:paraId="422AD348">
      <w:pPr>
        <w:rPr>
          <w:rFonts w:hint="eastAsia"/>
          <w:szCs w:val="21"/>
        </w:rPr>
      </w:pPr>
      <w:r>
        <w:rPr>
          <w:rFonts w:hint="eastAsia"/>
          <w:szCs w:val="21"/>
        </w:rPr>
        <w:t>本公司作为出租方：</w:t>
      </w:r>
    </w:p>
    <w:sdt>
      <w:sdtPr>
        <w:rPr>
          <w:szCs w:val="21"/>
        </w:rPr>
        <w:alias w:val="是否适用：本公司作为出租方的租赁情况表[双击切换]"/>
        <w:tag w:val="_GBC_b67e8ccf7ec147d698f9f192968e98bf"/>
        <w:id w:val="1260948505"/>
        <w:placeholder>
          <w:docPart w:val="GBC22222222222222222222222222222"/>
        </w:placeholder>
      </w:sdtPr>
      <w:sdtEndPr>
        <w:rPr>
          <w:szCs w:val="21"/>
        </w:rPr>
      </w:sdtEndPr>
      <w:sdtContent>
        <w:p w14:paraId="7FF83D81">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15C8196">
      <w:pPr>
        <w:jc w:val="right"/>
        <w:rPr>
          <w:rFonts w:hint="eastAsia"/>
          <w:szCs w:val="21"/>
        </w:rPr>
      </w:pPr>
      <w:r>
        <w:rPr>
          <w:rFonts w:hint="eastAsia"/>
          <w:szCs w:val="21"/>
        </w:rPr>
        <w:t>单位：</w:t>
      </w:r>
      <w:sdt>
        <w:sdtPr>
          <w:rPr>
            <w:rFonts w:hint="eastAsia"/>
            <w:szCs w:val="21"/>
          </w:rPr>
          <w:alias w:val="单位：关联租赁情况"/>
          <w:tag w:val="_GBC_d95d648c603a49478a4e0e7a1274bc6b"/>
          <w:id w:val="478138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20080952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6"/>
        <w:gridCol w:w="1700"/>
        <w:gridCol w:w="2268"/>
        <w:gridCol w:w="2449"/>
      </w:tblGrid>
      <w:tr w14:paraId="1873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sdt>
          <w:sdtPr>
            <w:rPr>
              <w:rFonts w:ascii="Arial Narrow" w:hAnsi="Arial Narrow" w:eastAsiaTheme="minorEastAsia"/>
              <w:szCs w:val="21"/>
            </w:rPr>
            <w:tag w:val="_PLD_cc1d9e6700c8464abef135c18dae1347"/>
            <w:id w:val="85890395"/>
          </w:sdtPr>
          <w:sdtEndPr>
            <w:rPr>
              <w:rFonts w:ascii="Arial Narrow" w:hAnsi="Arial Narrow" w:eastAsiaTheme="minorEastAsia"/>
              <w:szCs w:val="21"/>
            </w:rPr>
          </w:sdtEndPr>
          <w:sdtContent>
            <w:tc>
              <w:tcPr>
                <w:tcW w:w="1363" w:type="pct"/>
                <w:tcBorders>
                  <w:top w:val="single" w:color="auto" w:sz="4" w:space="0"/>
                  <w:left w:val="single" w:color="auto" w:sz="4" w:space="0"/>
                  <w:right w:val="single" w:color="auto" w:sz="4" w:space="0"/>
                </w:tcBorders>
                <w:shd w:val="clear" w:color="auto" w:fill="auto"/>
                <w:vAlign w:val="center"/>
              </w:tcPr>
              <w:p w14:paraId="04E43DEC">
                <w:pPr>
                  <w:jc w:val="center"/>
                  <w:rPr>
                    <w:rFonts w:ascii="Arial Narrow" w:hAnsi="Arial Narrow" w:eastAsiaTheme="minorEastAsia"/>
                    <w:szCs w:val="21"/>
                  </w:rPr>
                </w:pPr>
                <w:r>
                  <w:rPr>
                    <w:rFonts w:ascii="Arial Narrow" w:hAnsi="Arial Narrow" w:eastAsiaTheme="minorEastAsia"/>
                    <w:szCs w:val="21"/>
                  </w:rPr>
                  <w:t>承租方名称</w:t>
                </w:r>
              </w:p>
            </w:tc>
          </w:sdtContent>
        </w:sdt>
        <w:sdt>
          <w:sdtPr>
            <w:rPr>
              <w:rFonts w:ascii="Arial Narrow" w:hAnsi="Arial Narrow" w:eastAsiaTheme="minorEastAsia"/>
              <w:szCs w:val="21"/>
            </w:rPr>
            <w:tag w:val="_PLD_7c70ec7c258c47ab93562d23df95ba25"/>
            <w:id w:val="471181024"/>
          </w:sdtPr>
          <w:sdtEndPr>
            <w:rPr>
              <w:rFonts w:ascii="Arial Narrow" w:hAnsi="Arial Narrow" w:eastAsiaTheme="minorEastAsia"/>
              <w:szCs w:val="21"/>
            </w:rPr>
          </w:sdtEndPr>
          <w:sdtContent>
            <w:tc>
              <w:tcPr>
                <w:tcW w:w="963" w:type="pct"/>
                <w:tcBorders>
                  <w:top w:val="single" w:color="auto" w:sz="4" w:space="0"/>
                  <w:left w:val="single" w:color="auto" w:sz="4" w:space="0"/>
                  <w:right w:val="single" w:color="auto" w:sz="4" w:space="0"/>
                </w:tcBorders>
                <w:shd w:val="clear" w:color="auto" w:fill="auto"/>
                <w:vAlign w:val="center"/>
              </w:tcPr>
              <w:p w14:paraId="432845E6">
                <w:pPr>
                  <w:jc w:val="center"/>
                  <w:rPr>
                    <w:rFonts w:ascii="Arial Narrow" w:hAnsi="Arial Narrow" w:eastAsiaTheme="minorEastAsia"/>
                    <w:szCs w:val="21"/>
                  </w:rPr>
                </w:pPr>
                <w:r>
                  <w:rPr>
                    <w:rFonts w:ascii="Arial Narrow" w:hAnsi="Arial Narrow" w:eastAsiaTheme="minorEastAsia"/>
                    <w:szCs w:val="21"/>
                  </w:rPr>
                  <w:t>租赁资产种类</w:t>
                </w:r>
              </w:p>
            </w:tc>
          </w:sdtContent>
        </w:sdt>
        <w:sdt>
          <w:sdtPr>
            <w:rPr>
              <w:rFonts w:ascii="Arial Narrow" w:hAnsi="Arial Narrow" w:eastAsiaTheme="minorEastAsia"/>
              <w:szCs w:val="21"/>
            </w:rPr>
            <w:tag w:val="_PLD_b73b5bf2ad5b438bac8401815956bbdb"/>
            <w:id w:val="817845345"/>
          </w:sdtPr>
          <w:sdtEndPr>
            <w:rPr>
              <w:rFonts w:ascii="Arial Narrow" w:hAnsi="Arial Narrow" w:eastAsiaTheme="minorEastAsia"/>
              <w:szCs w:val="21"/>
            </w:rPr>
          </w:sdtEndPr>
          <w:sdtContent>
            <w:tc>
              <w:tcPr>
                <w:tcW w:w="1285" w:type="pct"/>
                <w:tcBorders>
                  <w:top w:val="single" w:color="auto" w:sz="4" w:space="0"/>
                  <w:left w:val="single" w:color="auto" w:sz="4" w:space="0"/>
                  <w:right w:val="single" w:color="auto" w:sz="4" w:space="0"/>
                </w:tcBorders>
                <w:shd w:val="clear" w:color="auto" w:fill="auto"/>
                <w:vAlign w:val="center"/>
              </w:tcPr>
              <w:p w14:paraId="7B0E671C">
                <w:pPr>
                  <w:jc w:val="center"/>
                  <w:rPr>
                    <w:rFonts w:ascii="Arial Narrow" w:hAnsi="Arial Narrow" w:eastAsiaTheme="minorEastAsia"/>
                    <w:szCs w:val="21"/>
                  </w:rPr>
                </w:pPr>
                <w:r>
                  <w:rPr>
                    <w:rFonts w:ascii="Arial Narrow" w:hAnsi="Arial Narrow" w:eastAsiaTheme="minorEastAsia"/>
                    <w:szCs w:val="21"/>
                  </w:rPr>
                  <w:t>本期确认的租赁收入</w:t>
                </w:r>
              </w:p>
            </w:tc>
          </w:sdtContent>
        </w:sdt>
        <w:sdt>
          <w:sdtPr>
            <w:rPr>
              <w:rFonts w:ascii="Arial Narrow" w:hAnsi="Arial Narrow" w:eastAsiaTheme="minorEastAsia"/>
              <w:szCs w:val="21"/>
            </w:rPr>
            <w:tag w:val="_PLD_08d45094bbb64f479287ecd678beea52"/>
            <w:id w:val="1375960965"/>
          </w:sdtPr>
          <w:sdtEndPr>
            <w:rPr>
              <w:rFonts w:ascii="Arial Narrow" w:hAnsi="Arial Narrow" w:eastAsiaTheme="minorEastAsia"/>
              <w:szCs w:val="21"/>
            </w:rPr>
          </w:sdtEndPr>
          <w:sdtContent>
            <w:tc>
              <w:tcPr>
                <w:tcW w:w="1388" w:type="pct"/>
                <w:tcBorders>
                  <w:top w:val="single" w:color="auto" w:sz="4" w:space="0"/>
                  <w:left w:val="single" w:color="auto" w:sz="4" w:space="0"/>
                  <w:right w:val="single" w:color="auto" w:sz="4" w:space="0"/>
                </w:tcBorders>
                <w:shd w:val="clear" w:color="auto" w:fill="auto"/>
                <w:vAlign w:val="center"/>
              </w:tcPr>
              <w:p w14:paraId="7296A637">
                <w:pPr>
                  <w:jc w:val="center"/>
                  <w:rPr>
                    <w:rFonts w:ascii="Arial Narrow" w:hAnsi="Arial Narrow" w:eastAsiaTheme="minorEastAsia"/>
                    <w:szCs w:val="21"/>
                  </w:rPr>
                </w:pPr>
                <w:r>
                  <w:rPr>
                    <w:rFonts w:ascii="Arial Narrow" w:hAnsi="Arial Narrow" w:eastAsiaTheme="minorEastAsia"/>
                    <w:szCs w:val="21"/>
                  </w:rPr>
                  <w:t>上期确认的租赁收入</w:t>
                </w:r>
              </w:p>
            </w:tc>
          </w:sdtContent>
        </w:sdt>
      </w:tr>
      <w:tr w14:paraId="09DE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F5DAC4C">
            <w:pPr>
              <w:jc w:val="center"/>
              <w:rPr>
                <w:rFonts w:ascii="Arial Narrow" w:hAnsi="Arial Narrow" w:eastAsiaTheme="minorEastAsia"/>
                <w:szCs w:val="21"/>
              </w:rPr>
            </w:pPr>
            <w:r>
              <w:rPr>
                <w:rFonts w:ascii="Arial Narrow" w:hAnsi="Arial Narrow" w:eastAsiaTheme="minorEastAsia"/>
                <w:color w:val="000000"/>
                <w:szCs w:val="21"/>
              </w:rPr>
              <w:t>天津双鹿大厦有限公司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67A79029">
            <w:pPr>
              <w:jc w:val="center"/>
              <w:rPr>
                <w:rFonts w:ascii="Arial Narrow" w:hAnsi="Arial Narrow" w:eastAsiaTheme="minorEastAsia"/>
                <w:szCs w:val="21"/>
              </w:rPr>
            </w:pPr>
            <w:r>
              <w:rPr>
                <w:rFonts w:ascii="Arial Narrow" w:hAnsi="Arial Narrow" w:eastAsiaTheme="minorEastAsia"/>
                <w:color w:val="000000"/>
                <w:szCs w:val="21"/>
              </w:rPr>
              <w:t>房屋</w:t>
            </w:r>
          </w:p>
        </w:tc>
        <w:tc>
          <w:tcPr>
            <w:tcW w:w="1285" w:type="pct"/>
            <w:tcBorders>
              <w:top w:val="single" w:color="auto" w:sz="4" w:space="0"/>
              <w:left w:val="single" w:color="auto" w:sz="4" w:space="0"/>
              <w:bottom w:val="single" w:color="auto" w:sz="4" w:space="0"/>
              <w:right w:val="single" w:color="auto" w:sz="4" w:space="0"/>
            </w:tcBorders>
            <w:vAlign w:val="center"/>
          </w:tcPr>
          <w:p w14:paraId="225269B6">
            <w:pPr>
              <w:jc w:val="right"/>
              <w:rPr>
                <w:rFonts w:ascii="Arial Narrow" w:hAnsi="Arial Narrow" w:eastAsiaTheme="minorEastAsia"/>
                <w:szCs w:val="21"/>
              </w:rPr>
            </w:pPr>
            <w:r>
              <w:rPr>
                <w:rFonts w:ascii="Arial Narrow" w:hAnsi="Arial Narrow" w:eastAsiaTheme="minorEastAsia"/>
                <w:color w:val="000000"/>
                <w:szCs w:val="21"/>
              </w:rPr>
              <w:t>2,857,142.82</w:t>
            </w:r>
          </w:p>
        </w:tc>
        <w:tc>
          <w:tcPr>
            <w:tcW w:w="1388" w:type="pct"/>
            <w:tcBorders>
              <w:top w:val="single" w:color="auto" w:sz="4" w:space="0"/>
              <w:left w:val="single" w:color="auto" w:sz="4" w:space="0"/>
              <w:bottom w:val="single" w:color="auto" w:sz="4" w:space="0"/>
              <w:right w:val="single" w:color="auto" w:sz="4" w:space="0"/>
            </w:tcBorders>
            <w:vAlign w:val="center"/>
          </w:tcPr>
          <w:p w14:paraId="4EAE2569">
            <w:pPr>
              <w:jc w:val="right"/>
              <w:rPr>
                <w:rFonts w:ascii="Arial Narrow" w:hAnsi="Arial Narrow" w:eastAsiaTheme="minorEastAsia"/>
                <w:szCs w:val="21"/>
              </w:rPr>
            </w:pPr>
            <w:r>
              <w:rPr>
                <w:rFonts w:ascii="Arial Narrow" w:hAnsi="Arial Narrow" w:eastAsiaTheme="minorEastAsia"/>
                <w:color w:val="000000"/>
                <w:szCs w:val="21"/>
              </w:rPr>
              <w:t>4,761,904.70</w:t>
            </w:r>
          </w:p>
        </w:tc>
      </w:tr>
      <w:tr w14:paraId="0ED6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D12030E">
            <w:pPr>
              <w:jc w:val="center"/>
              <w:rPr>
                <w:rFonts w:ascii="Arial Narrow" w:hAnsi="Arial Narrow" w:eastAsiaTheme="minorEastAsia"/>
                <w:szCs w:val="21"/>
              </w:rPr>
            </w:pPr>
            <w:r>
              <w:rPr>
                <w:rFonts w:ascii="Arial Narrow" w:hAnsi="Arial Narrow" w:eastAsiaTheme="minorEastAsia"/>
                <w:color w:val="000000"/>
                <w:szCs w:val="21"/>
              </w:rPr>
              <w:t>陕西际华园开发建设有限公司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670C1670">
            <w:pPr>
              <w:jc w:val="center"/>
              <w:rPr>
                <w:rFonts w:ascii="Arial Narrow" w:hAnsi="Arial Narrow" w:eastAsiaTheme="minorEastAsia"/>
                <w:szCs w:val="21"/>
              </w:rPr>
            </w:pPr>
            <w:r>
              <w:rPr>
                <w:rFonts w:ascii="Arial Narrow" w:hAnsi="Arial Narrow" w:eastAsiaTheme="minorEastAsia"/>
                <w:color w:val="000000"/>
                <w:szCs w:val="21"/>
              </w:rPr>
              <w:t>房屋</w:t>
            </w:r>
          </w:p>
        </w:tc>
        <w:tc>
          <w:tcPr>
            <w:tcW w:w="1285" w:type="pct"/>
            <w:tcBorders>
              <w:top w:val="single" w:color="auto" w:sz="4" w:space="0"/>
              <w:left w:val="single" w:color="auto" w:sz="4" w:space="0"/>
              <w:bottom w:val="single" w:color="auto" w:sz="4" w:space="0"/>
              <w:right w:val="single" w:color="auto" w:sz="4" w:space="0"/>
            </w:tcBorders>
            <w:vAlign w:val="center"/>
          </w:tcPr>
          <w:p w14:paraId="55C5A552">
            <w:pPr>
              <w:jc w:val="right"/>
              <w:rPr>
                <w:rFonts w:ascii="Arial Narrow" w:hAnsi="Arial Narrow" w:eastAsiaTheme="minorEastAsia"/>
                <w:szCs w:val="21"/>
              </w:rPr>
            </w:pPr>
            <w:r>
              <w:rPr>
                <w:rFonts w:ascii="Arial Narrow" w:hAnsi="Arial Narrow" w:eastAsiaTheme="minorEastAsia"/>
                <w:color w:val="000000"/>
                <w:szCs w:val="21"/>
              </w:rPr>
              <w:t>493,333.33</w:t>
            </w:r>
          </w:p>
        </w:tc>
        <w:tc>
          <w:tcPr>
            <w:tcW w:w="1388" w:type="pct"/>
            <w:tcBorders>
              <w:top w:val="single" w:color="auto" w:sz="4" w:space="0"/>
              <w:left w:val="single" w:color="auto" w:sz="4" w:space="0"/>
              <w:bottom w:val="single" w:color="auto" w:sz="4" w:space="0"/>
              <w:right w:val="single" w:color="auto" w:sz="4" w:space="0"/>
            </w:tcBorders>
            <w:vAlign w:val="center"/>
          </w:tcPr>
          <w:p w14:paraId="1A642471">
            <w:pPr>
              <w:jc w:val="right"/>
              <w:rPr>
                <w:rFonts w:ascii="Arial Narrow" w:hAnsi="Arial Narrow" w:eastAsiaTheme="minorEastAsia"/>
                <w:szCs w:val="21"/>
              </w:rPr>
            </w:pPr>
            <w:r>
              <w:rPr>
                <w:rFonts w:ascii="Arial Narrow" w:hAnsi="Arial Narrow" w:eastAsiaTheme="minorEastAsia"/>
                <w:color w:val="000000"/>
                <w:szCs w:val="21"/>
              </w:rPr>
              <w:t>389,333.34</w:t>
            </w:r>
          </w:p>
        </w:tc>
      </w:tr>
      <w:tr w14:paraId="6DD4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F2AD40D">
            <w:pPr>
              <w:jc w:val="center"/>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2915F7FA">
            <w:pPr>
              <w:jc w:val="center"/>
              <w:rPr>
                <w:rFonts w:ascii="Arial Narrow" w:hAnsi="Arial Narrow" w:eastAsiaTheme="minorEastAsia"/>
                <w:szCs w:val="21"/>
              </w:rPr>
            </w:pPr>
            <w:r>
              <w:rPr>
                <w:rFonts w:ascii="Arial Narrow" w:hAnsi="Arial Narrow" w:eastAsiaTheme="minorEastAsia"/>
                <w:color w:val="000000"/>
                <w:szCs w:val="21"/>
              </w:rPr>
              <w:t>房屋</w:t>
            </w:r>
          </w:p>
        </w:tc>
        <w:tc>
          <w:tcPr>
            <w:tcW w:w="1285" w:type="pct"/>
            <w:tcBorders>
              <w:top w:val="single" w:color="auto" w:sz="4" w:space="0"/>
              <w:left w:val="single" w:color="auto" w:sz="4" w:space="0"/>
              <w:bottom w:val="single" w:color="auto" w:sz="4" w:space="0"/>
              <w:right w:val="single" w:color="auto" w:sz="4" w:space="0"/>
            </w:tcBorders>
            <w:vAlign w:val="center"/>
          </w:tcPr>
          <w:p w14:paraId="4AD6F209">
            <w:pPr>
              <w:jc w:val="right"/>
              <w:rPr>
                <w:rFonts w:ascii="Arial Narrow" w:hAnsi="Arial Narrow" w:eastAsiaTheme="minorEastAsia"/>
                <w:szCs w:val="21"/>
              </w:rPr>
            </w:pPr>
            <w:r>
              <w:rPr>
                <w:rFonts w:ascii="Arial Narrow" w:hAnsi="Arial Narrow" w:eastAsiaTheme="minorEastAsia"/>
                <w:color w:val="000000"/>
                <w:szCs w:val="21"/>
              </w:rPr>
              <w:t>687,809.75</w:t>
            </w:r>
          </w:p>
        </w:tc>
        <w:tc>
          <w:tcPr>
            <w:tcW w:w="1388" w:type="pct"/>
            <w:tcBorders>
              <w:top w:val="single" w:color="auto" w:sz="4" w:space="0"/>
              <w:left w:val="single" w:color="auto" w:sz="4" w:space="0"/>
              <w:bottom w:val="single" w:color="auto" w:sz="4" w:space="0"/>
              <w:right w:val="single" w:color="auto" w:sz="4" w:space="0"/>
            </w:tcBorders>
            <w:vAlign w:val="center"/>
          </w:tcPr>
          <w:p w14:paraId="0A4E02F6">
            <w:pPr>
              <w:jc w:val="right"/>
              <w:rPr>
                <w:rFonts w:ascii="Arial Narrow" w:hAnsi="Arial Narrow" w:eastAsiaTheme="minorEastAsia"/>
                <w:szCs w:val="21"/>
              </w:rPr>
            </w:pPr>
            <w:r>
              <w:rPr>
                <w:rFonts w:ascii="Arial Narrow" w:hAnsi="Arial Narrow" w:eastAsiaTheme="minorEastAsia"/>
                <w:color w:val="000000"/>
                <w:szCs w:val="21"/>
              </w:rPr>
              <w:t>450,990.18</w:t>
            </w:r>
          </w:p>
        </w:tc>
      </w:tr>
      <w:tr w14:paraId="4B33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7B05A48">
            <w:pPr>
              <w:jc w:val="center"/>
              <w:rPr>
                <w:rFonts w:ascii="Arial Narrow" w:hAnsi="Arial Narrow" w:eastAsiaTheme="minorEastAsia"/>
                <w:color w:val="000000"/>
                <w:szCs w:val="21"/>
              </w:rPr>
            </w:pPr>
            <w:r>
              <w:rPr>
                <w:rFonts w:ascii="Arial Narrow" w:hAnsi="Arial Narrow" w:eastAsiaTheme="minorEastAsia"/>
                <w:color w:val="000000"/>
                <w:szCs w:val="21"/>
              </w:rPr>
              <w:t>湖南中晟高分子新材料有限公司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43847E3B">
            <w:pPr>
              <w:jc w:val="center"/>
              <w:rPr>
                <w:rFonts w:ascii="Arial Narrow" w:hAnsi="Arial Narrow" w:eastAsiaTheme="minorEastAsia"/>
                <w:color w:val="000000"/>
                <w:szCs w:val="21"/>
              </w:rPr>
            </w:pPr>
            <w:r>
              <w:rPr>
                <w:rFonts w:ascii="Arial Narrow" w:hAnsi="Arial Narrow" w:eastAsiaTheme="minorEastAsia"/>
                <w:color w:val="000000"/>
                <w:szCs w:val="21"/>
              </w:rPr>
              <w:t>房屋</w:t>
            </w:r>
          </w:p>
        </w:tc>
        <w:tc>
          <w:tcPr>
            <w:tcW w:w="1285" w:type="pct"/>
            <w:tcBorders>
              <w:top w:val="single" w:color="auto" w:sz="4" w:space="0"/>
              <w:left w:val="single" w:color="auto" w:sz="4" w:space="0"/>
              <w:bottom w:val="single" w:color="auto" w:sz="4" w:space="0"/>
              <w:right w:val="single" w:color="auto" w:sz="4" w:space="0"/>
            </w:tcBorders>
            <w:vAlign w:val="center"/>
          </w:tcPr>
          <w:p w14:paraId="4CEB83DC">
            <w:pPr>
              <w:jc w:val="right"/>
              <w:rPr>
                <w:rFonts w:ascii="Arial Narrow" w:hAnsi="Arial Narrow" w:eastAsiaTheme="minorEastAsia"/>
                <w:szCs w:val="21"/>
              </w:rPr>
            </w:pPr>
            <w:r>
              <w:rPr>
                <w:rFonts w:ascii="Arial Narrow" w:hAnsi="Arial Narrow" w:eastAsiaTheme="minorEastAsia"/>
                <w:color w:val="000000"/>
                <w:szCs w:val="21"/>
              </w:rPr>
              <w:t>4,220,183.52</w:t>
            </w:r>
          </w:p>
        </w:tc>
        <w:tc>
          <w:tcPr>
            <w:tcW w:w="1388" w:type="pct"/>
            <w:tcBorders>
              <w:top w:val="single" w:color="auto" w:sz="4" w:space="0"/>
              <w:left w:val="single" w:color="auto" w:sz="4" w:space="0"/>
              <w:bottom w:val="single" w:color="auto" w:sz="4" w:space="0"/>
              <w:right w:val="single" w:color="auto" w:sz="4" w:space="0"/>
            </w:tcBorders>
            <w:vAlign w:val="center"/>
          </w:tcPr>
          <w:p w14:paraId="022E7461">
            <w:pPr>
              <w:jc w:val="right"/>
              <w:rPr>
                <w:rFonts w:ascii="Arial Narrow" w:hAnsi="Arial Narrow" w:eastAsiaTheme="minorEastAsia"/>
                <w:color w:val="000000"/>
                <w:szCs w:val="21"/>
              </w:rPr>
            </w:pPr>
          </w:p>
        </w:tc>
      </w:tr>
      <w:tr w14:paraId="3129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E22D68F">
            <w:pPr>
              <w:jc w:val="center"/>
              <w:rPr>
                <w:rFonts w:ascii="Arial Narrow" w:hAnsi="Arial Narrow" w:eastAsiaTheme="minorEastAsia"/>
                <w:color w:val="000000"/>
                <w:szCs w:val="21"/>
              </w:rPr>
            </w:pPr>
            <w:r>
              <w:rPr>
                <w:rFonts w:ascii="Arial Narrow" w:hAnsi="Arial Narrow" w:eastAsiaTheme="minorEastAsia"/>
                <w:color w:val="000000"/>
                <w:szCs w:val="21"/>
              </w:rPr>
              <w:t>南京英斯瑞德高分子材料股份有限公司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798E0A5B">
            <w:pPr>
              <w:jc w:val="center"/>
              <w:rPr>
                <w:rFonts w:ascii="Arial Narrow" w:hAnsi="Arial Narrow" w:eastAsiaTheme="minorEastAsia"/>
                <w:color w:val="000000"/>
                <w:szCs w:val="21"/>
              </w:rPr>
            </w:pPr>
            <w:r>
              <w:rPr>
                <w:rFonts w:ascii="Arial Narrow" w:hAnsi="Arial Narrow" w:eastAsiaTheme="minorEastAsia"/>
                <w:color w:val="000000"/>
                <w:szCs w:val="21"/>
              </w:rPr>
              <w:t>房屋、机器设备</w:t>
            </w:r>
          </w:p>
        </w:tc>
        <w:tc>
          <w:tcPr>
            <w:tcW w:w="1285" w:type="pct"/>
            <w:tcBorders>
              <w:top w:val="single" w:color="auto" w:sz="4" w:space="0"/>
              <w:left w:val="single" w:color="auto" w:sz="4" w:space="0"/>
              <w:bottom w:val="single" w:color="auto" w:sz="4" w:space="0"/>
              <w:right w:val="single" w:color="auto" w:sz="4" w:space="0"/>
            </w:tcBorders>
            <w:vAlign w:val="center"/>
          </w:tcPr>
          <w:p w14:paraId="5930402A">
            <w:pPr>
              <w:jc w:val="right"/>
              <w:rPr>
                <w:rFonts w:ascii="Arial Narrow" w:hAnsi="Arial Narrow" w:eastAsiaTheme="minorEastAsia"/>
                <w:szCs w:val="21"/>
              </w:rPr>
            </w:pPr>
            <w:r>
              <w:rPr>
                <w:rFonts w:ascii="Arial Narrow" w:hAnsi="Arial Narrow" w:eastAsiaTheme="minorEastAsia"/>
                <w:color w:val="000000"/>
                <w:szCs w:val="21"/>
              </w:rPr>
              <w:t>1,671,765.88</w:t>
            </w:r>
          </w:p>
        </w:tc>
        <w:tc>
          <w:tcPr>
            <w:tcW w:w="1388" w:type="pct"/>
            <w:tcBorders>
              <w:top w:val="single" w:color="auto" w:sz="4" w:space="0"/>
              <w:left w:val="single" w:color="auto" w:sz="4" w:space="0"/>
              <w:bottom w:val="single" w:color="auto" w:sz="4" w:space="0"/>
              <w:right w:val="single" w:color="auto" w:sz="4" w:space="0"/>
            </w:tcBorders>
            <w:vAlign w:val="center"/>
          </w:tcPr>
          <w:p w14:paraId="2B1A75E2">
            <w:pPr>
              <w:jc w:val="right"/>
              <w:rPr>
                <w:rFonts w:ascii="Arial Narrow" w:hAnsi="Arial Narrow" w:eastAsiaTheme="minorEastAsia"/>
                <w:color w:val="000000"/>
                <w:szCs w:val="21"/>
              </w:rPr>
            </w:pPr>
          </w:p>
        </w:tc>
      </w:tr>
      <w:tr w14:paraId="2631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0F7E697">
            <w:pPr>
              <w:jc w:val="center"/>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63" w:type="pct"/>
            <w:tcBorders>
              <w:top w:val="single" w:color="auto" w:sz="4" w:space="0"/>
              <w:left w:val="single" w:color="auto" w:sz="4" w:space="0"/>
              <w:bottom w:val="single" w:color="auto" w:sz="4" w:space="0"/>
              <w:right w:val="single" w:color="auto" w:sz="4" w:space="0"/>
            </w:tcBorders>
            <w:vAlign w:val="center"/>
          </w:tcPr>
          <w:p w14:paraId="5156173B">
            <w:pPr>
              <w:jc w:val="center"/>
              <w:rPr>
                <w:rFonts w:ascii="Arial Narrow" w:hAnsi="Arial Narrow" w:eastAsiaTheme="minorEastAsia"/>
                <w:szCs w:val="21"/>
              </w:rPr>
            </w:pPr>
            <w:r>
              <w:rPr>
                <w:rFonts w:ascii="Arial Narrow" w:hAnsi="Arial Narrow" w:eastAsiaTheme="minorEastAsia"/>
                <w:color w:val="000000"/>
                <w:szCs w:val="21"/>
              </w:rPr>
              <w:t>房屋</w:t>
            </w:r>
          </w:p>
        </w:tc>
        <w:tc>
          <w:tcPr>
            <w:tcW w:w="1285" w:type="pct"/>
            <w:tcBorders>
              <w:top w:val="single" w:color="auto" w:sz="4" w:space="0"/>
              <w:left w:val="single" w:color="auto" w:sz="4" w:space="0"/>
              <w:bottom w:val="single" w:color="auto" w:sz="4" w:space="0"/>
              <w:right w:val="single" w:color="auto" w:sz="4" w:space="0"/>
            </w:tcBorders>
            <w:vAlign w:val="center"/>
          </w:tcPr>
          <w:p w14:paraId="6EC60D3F">
            <w:pPr>
              <w:jc w:val="right"/>
              <w:rPr>
                <w:rFonts w:ascii="Arial Narrow" w:hAnsi="Arial Narrow" w:eastAsiaTheme="minorEastAsia"/>
                <w:szCs w:val="21"/>
              </w:rPr>
            </w:pPr>
          </w:p>
        </w:tc>
        <w:tc>
          <w:tcPr>
            <w:tcW w:w="1388" w:type="pct"/>
            <w:tcBorders>
              <w:top w:val="single" w:color="auto" w:sz="4" w:space="0"/>
              <w:left w:val="single" w:color="auto" w:sz="4" w:space="0"/>
              <w:bottom w:val="single" w:color="auto" w:sz="4" w:space="0"/>
              <w:right w:val="single" w:color="auto" w:sz="4" w:space="0"/>
            </w:tcBorders>
            <w:vAlign w:val="center"/>
          </w:tcPr>
          <w:p w14:paraId="3EF7096C">
            <w:pPr>
              <w:jc w:val="right"/>
              <w:rPr>
                <w:rFonts w:ascii="Arial Narrow" w:hAnsi="Arial Narrow" w:eastAsiaTheme="minorEastAsia"/>
                <w:szCs w:val="21"/>
              </w:rPr>
            </w:pPr>
            <w:r>
              <w:rPr>
                <w:rFonts w:ascii="Arial Narrow" w:hAnsi="Arial Narrow" w:eastAsiaTheme="minorEastAsia"/>
                <w:color w:val="000000"/>
                <w:szCs w:val="21"/>
              </w:rPr>
              <w:t>108,588.68</w:t>
            </w:r>
          </w:p>
        </w:tc>
      </w:tr>
      <w:tr w14:paraId="190D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7906E45">
            <w:pPr>
              <w:jc w:val="center"/>
              <w:rPr>
                <w:rFonts w:ascii="Arial Narrow" w:hAnsi="Arial Narrow" w:eastAsiaTheme="minorEastAsia"/>
                <w:szCs w:val="21"/>
              </w:rPr>
            </w:pPr>
            <w:r>
              <w:rPr>
                <w:rFonts w:ascii="Arial Narrow" w:hAnsi="Arial Narrow" w:eastAsiaTheme="minorEastAsia"/>
                <w:color w:val="000000"/>
                <w:szCs w:val="21"/>
              </w:rPr>
              <w:t>合计</w:t>
            </w:r>
          </w:p>
        </w:tc>
        <w:tc>
          <w:tcPr>
            <w:tcW w:w="963" w:type="pct"/>
            <w:tcBorders>
              <w:top w:val="single" w:color="auto" w:sz="4" w:space="0"/>
              <w:left w:val="single" w:color="auto" w:sz="4" w:space="0"/>
              <w:bottom w:val="single" w:color="auto" w:sz="4" w:space="0"/>
              <w:right w:val="single" w:color="auto" w:sz="4" w:space="0"/>
            </w:tcBorders>
            <w:vAlign w:val="center"/>
          </w:tcPr>
          <w:p w14:paraId="6AE31705">
            <w:pPr>
              <w:jc w:val="center"/>
              <w:rPr>
                <w:rFonts w:ascii="Arial Narrow" w:hAnsi="Arial Narrow" w:eastAsiaTheme="minorEastAsia"/>
                <w:szCs w:val="21"/>
              </w:rPr>
            </w:pPr>
          </w:p>
        </w:tc>
        <w:tc>
          <w:tcPr>
            <w:tcW w:w="1285" w:type="pct"/>
            <w:tcBorders>
              <w:top w:val="single" w:color="auto" w:sz="4" w:space="0"/>
              <w:left w:val="single" w:color="auto" w:sz="4" w:space="0"/>
              <w:bottom w:val="single" w:color="auto" w:sz="4" w:space="0"/>
              <w:right w:val="single" w:color="auto" w:sz="4" w:space="0"/>
            </w:tcBorders>
            <w:vAlign w:val="center"/>
          </w:tcPr>
          <w:p w14:paraId="24F6FF5F">
            <w:pPr>
              <w:jc w:val="right"/>
              <w:rPr>
                <w:rFonts w:ascii="Arial Narrow" w:hAnsi="Arial Narrow" w:eastAsiaTheme="minorEastAsia"/>
                <w:szCs w:val="21"/>
              </w:rPr>
            </w:pPr>
            <w:r>
              <w:rPr>
                <w:rFonts w:ascii="Arial Narrow" w:hAnsi="Arial Narrow" w:eastAsiaTheme="minorEastAsia"/>
                <w:color w:val="000000"/>
                <w:szCs w:val="21"/>
              </w:rPr>
              <w:t>9,930,235.30</w:t>
            </w:r>
          </w:p>
        </w:tc>
        <w:tc>
          <w:tcPr>
            <w:tcW w:w="1388" w:type="pct"/>
            <w:tcBorders>
              <w:top w:val="single" w:color="auto" w:sz="4" w:space="0"/>
              <w:left w:val="single" w:color="auto" w:sz="4" w:space="0"/>
              <w:bottom w:val="single" w:color="auto" w:sz="4" w:space="0"/>
              <w:right w:val="single" w:color="auto" w:sz="4" w:space="0"/>
            </w:tcBorders>
            <w:vAlign w:val="center"/>
          </w:tcPr>
          <w:p w14:paraId="32AFB05C">
            <w:pPr>
              <w:jc w:val="right"/>
              <w:rPr>
                <w:rFonts w:ascii="Arial Narrow" w:hAnsi="Arial Narrow" w:eastAsiaTheme="minorEastAsia"/>
                <w:szCs w:val="21"/>
              </w:rPr>
            </w:pPr>
            <w:r>
              <w:rPr>
                <w:rFonts w:ascii="Arial Narrow" w:hAnsi="Arial Narrow" w:eastAsiaTheme="minorEastAsia"/>
                <w:color w:val="000000"/>
                <w:szCs w:val="21"/>
              </w:rPr>
              <w:t>5,710,816.90</w:t>
            </w:r>
          </w:p>
        </w:tc>
      </w:tr>
    </w:tbl>
    <w:p w14:paraId="38C8E3A9">
      <w:pPr>
        <w:rPr>
          <w:rFonts w:hint="eastAsia"/>
          <w:szCs w:val="21"/>
        </w:rPr>
        <w:sectPr>
          <w:pgSz w:w="11906" w:h="16838"/>
          <w:pgMar w:top="1525" w:right="1276" w:bottom="1440" w:left="1797" w:header="856" w:footer="992" w:gutter="0"/>
          <w:cols w:space="425" w:num="1"/>
          <w:docGrid w:linePitch="312" w:charSpace="0"/>
        </w:sectPr>
      </w:pPr>
    </w:p>
    <w:p w14:paraId="0DD29208">
      <w:pPr>
        <w:rPr>
          <w:rFonts w:hint="eastAsia"/>
          <w:szCs w:val="21"/>
        </w:rPr>
      </w:pPr>
    </w:p>
    <w:p w14:paraId="6238E2E5">
      <w:pPr>
        <w:rPr>
          <w:rFonts w:hint="eastAsia"/>
          <w:szCs w:val="21"/>
        </w:rPr>
      </w:pPr>
      <w:r>
        <w:rPr>
          <w:rFonts w:hint="eastAsia"/>
          <w:szCs w:val="21"/>
        </w:rPr>
        <w:t>本公司作为承租方：</w:t>
      </w:r>
    </w:p>
    <w:sdt>
      <w:sdtPr>
        <w:rPr>
          <w:szCs w:val="21"/>
        </w:rPr>
        <w:alias w:val="是否适用：本公司作为承租方的租赁情况表[双击切换]"/>
        <w:tag w:val="_GBC_f8542afd84e2430aad299d7024543330"/>
        <w:id w:val="2055741579"/>
        <w:placeholder>
          <w:docPart w:val="GBC22222222222222222222222222222"/>
        </w:placeholder>
      </w:sdtPr>
      <w:sdtEndPr>
        <w:rPr>
          <w:szCs w:val="21"/>
        </w:rPr>
      </w:sdtEndPr>
      <w:sdtContent>
        <w:p w14:paraId="3B65488D">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79D2F80">
      <w:pPr>
        <w:jc w:val="right"/>
        <w:rPr>
          <w:rFonts w:hint="eastAsia"/>
          <w:szCs w:val="21"/>
        </w:rPr>
      </w:pPr>
      <w:r>
        <w:rPr>
          <w:rFonts w:hint="eastAsia"/>
          <w:szCs w:val="21"/>
        </w:rPr>
        <w:t>单位：</w:t>
      </w:r>
      <w:sdt>
        <w:sdtPr>
          <w:rPr>
            <w:rFonts w:hint="eastAsia"/>
            <w:szCs w:val="21"/>
          </w:rPr>
          <w:alias w:val="单位：公司承租情况表"/>
          <w:tag w:val="_GBC_8ac97dab93ef410a9d23b3aefc024986"/>
          <w:id w:val="-7243693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10564325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49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0"/>
        <w:gridCol w:w="1135"/>
        <w:gridCol w:w="1702"/>
        <w:gridCol w:w="1700"/>
        <w:gridCol w:w="1559"/>
        <w:gridCol w:w="1562"/>
        <w:gridCol w:w="1515"/>
        <w:gridCol w:w="1631"/>
      </w:tblGrid>
      <w:tr w14:paraId="25DF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sdt>
          <w:sdtPr>
            <w:tag w:val="_PLD_e1362814a2c74f61b2928db98e04eae7"/>
            <w:id w:val="1175155506"/>
          </w:sdtPr>
          <w:sdtContent>
            <w:tc>
              <w:tcPr>
                <w:tcW w:w="1078" w:type="pct"/>
                <w:vMerge w:val="restart"/>
                <w:shd w:val="clear" w:color="auto" w:fill="auto"/>
                <w:vAlign w:val="center"/>
              </w:tcPr>
              <w:p w14:paraId="27A8CF93">
                <w:pPr>
                  <w:jc w:val="center"/>
                  <w:rPr>
                    <w:rFonts w:hint="eastAsia"/>
                  </w:rPr>
                </w:pPr>
                <w:r>
                  <w:rPr>
                    <w:rFonts w:hint="eastAsia"/>
                  </w:rPr>
                  <w:t>出租方名称</w:t>
                </w:r>
              </w:p>
            </w:tc>
          </w:sdtContent>
        </w:sdt>
        <w:sdt>
          <w:sdtPr>
            <w:tag w:val="_PLD_047e2a729b7746bcb598e4fead4c9704"/>
            <w:id w:val="-1752035553"/>
          </w:sdtPr>
          <w:sdtContent>
            <w:tc>
              <w:tcPr>
                <w:tcW w:w="412" w:type="pct"/>
                <w:vMerge w:val="restart"/>
                <w:shd w:val="clear" w:color="auto" w:fill="auto"/>
                <w:vAlign w:val="center"/>
              </w:tcPr>
              <w:p w14:paraId="122FEFAE">
                <w:pPr>
                  <w:jc w:val="center"/>
                  <w:rPr>
                    <w:rFonts w:hint="eastAsia"/>
                  </w:rPr>
                </w:pPr>
                <w:r>
                  <w:rPr>
                    <w:rFonts w:hint="eastAsia"/>
                  </w:rPr>
                  <w:t>租赁资产种类</w:t>
                </w:r>
              </w:p>
            </w:tc>
          </w:sdtContent>
        </w:sdt>
        <w:sdt>
          <w:sdtPr>
            <w:tag w:val="_PLD_707ae22896aa4e5f88d965f8f59d4c6e"/>
            <w:id w:val="1707206382"/>
          </w:sdtPr>
          <w:sdtContent>
            <w:tc>
              <w:tcPr>
                <w:tcW w:w="1235" w:type="pct"/>
                <w:gridSpan w:val="2"/>
                <w:shd w:val="clear" w:color="auto" w:fill="auto"/>
                <w:vAlign w:val="center"/>
              </w:tcPr>
              <w:p w14:paraId="540A9F4E">
                <w:pPr>
                  <w:jc w:val="center"/>
                  <w:rPr>
                    <w:rFonts w:hint="eastAsia"/>
                  </w:rPr>
                </w:pPr>
                <w:r>
                  <w:rPr>
                    <w:rFonts w:hint="eastAsia"/>
                  </w:rPr>
                  <w:t>简化处理的短期租赁和低价值资产租赁的租金费用（如适用）</w:t>
                </w:r>
              </w:p>
            </w:tc>
          </w:sdtContent>
        </w:sdt>
        <w:sdt>
          <w:sdtPr>
            <w:tag w:val="_PLD_1baa64de6b674b698ef955c65d71ad39"/>
            <w:id w:val="-1263149282"/>
          </w:sdtPr>
          <w:sdtContent>
            <w:tc>
              <w:tcPr>
                <w:tcW w:w="1133" w:type="pct"/>
                <w:gridSpan w:val="2"/>
                <w:shd w:val="clear" w:color="auto" w:fill="auto"/>
                <w:vAlign w:val="center"/>
              </w:tcPr>
              <w:p w14:paraId="368E5CE9">
                <w:pPr>
                  <w:jc w:val="center"/>
                  <w:rPr>
                    <w:rFonts w:hint="eastAsia"/>
                  </w:rPr>
                </w:pPr>
                <w:r>
                  <w:rPr>
                    <w:rFonts w:hint="eastAsia"/>
                  </w:rPr>
                  <w:t>支付的租金</w:t>
                </w:r>
              </w:p>
            </w:tc>
          </w:sdtContent>
        </w:sdt>
        <w:sdt>
          <w:sdtPr>
            <w:tag w:val="_PLD_a2264da8a9184627878bbc6a7ead0e32"/>
            <w:id w:val="-498430105"/>
          </w:sdtPr>
          <w:sdtContent>
            <w:tc>
              <w:tcPr>
                <w:tcW w:w="1142" w:type="pct"/>
                <w:gridSpan w:val="2"/>
                <w:shd w:val="clear" w:color="auto" w:fill="auto"/>
                <w:vAlign w:val="center"/>
              </w:tcPr>
              <w:p w14:paraId="0E8F2DDD">
                <w:pPr>
                  <w:jc w:val="center"/>
                  <w:rPr>
                    <w:rFonts w:hint="eastAsia"/>
                  </w:rPr>
                </w:pPr>
                <w:r>
                  <w:rPr>
                    <w:rFonts w:hint="eastAsia"/>
                  </w:rPr>
                  <w:t>承担的租赁负债利息支出</w:t>
                </w:r>
              </w:p>
            </w:tc>
          </w:sdtContent>
        </w:sdt>
      </w:tr>
      <w:tr w14:paraId="4D13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vMerge w:val="continue"/>
            <w:shd w:val="clear" w:color="auto" w:fill="auto"/>
            <w:vAlign w:val="center"/>
          </w:tcPr>
          <w:p w14:paraId="7FF0B00E">
            <w:pPr>
              <w:jc w:val="center"/>
              <w:rPr>
                <w:rFonts w:hint="eastAsia"/>
              </w:rPr>
            </w:pPr>
          </w:p>
        </w:tc>
        <w:tc>
          <w:tcPr>
            <w:tcW w:w="412" w:type="pct"/>
            <w:vMerge w:val="continue"/>
            <w:shd w:val="clear" w:color="auto" w:fill="auto"/>
            <w:vAlign w:val="center"/>
          </w:tcPr>
          <w:p w14:paraId="4F9F16ED">
            <w:pPr>
              <w:jc w:val="center"/>
              <w:rPr>
                <w:rFonts w:hint="eastAsia"/>
              </w:rPr>
            </w:pPr>
          </w:p>
        </w:tc>
        <w:sdt>
          <w:sdtPr>
            <w:tag w:val="_PLD_decc14885e564c878d621bd073910caf"/>
            <w:id w:val="-1071268413"/>
          </w:sdtPr>
          <w:sdtContent>
            <w:tc>
              <w:tcPr>
                <w:tcW w:w="618" w:type="pct"/>
                <w:shd w:val="clear" w:color="auto" w:fill="auto"/>
                <w:vAlign w:val="center"/>
              </w:tcPr>
              <w:p w14:paraId="253F5618">
                <w:pPr>
                  <w:jc w:val="center"/>
                  <w:rPr>
                    <w:rFonts w:hint="eastAsia"/>
                  </w:rPr>
                </w:pPr>
                <w:r>
                  <w:rPr>
                    <w:rFonts w:hint="eastAsia"/>
                  </w:rPr>
                  <w:t>本期发生额</w:t>
                </w:r>
              </w:p>
            </w:tc>
          </w:sdtContent>
        </w:sdt>
        <w:sdt>
          <w:sdtPr>
            <w:tag w:val="_PLD_117a0c49df0d4b6fa483abd2a84ab152"/>
            <w:id w:val="1058053252"/>
          </w:sdtPr>
          <w:sdtContent>
            <w:tc>
              <w:tcPr>
                <w:tcW w:w="617" w:type="pct"/>
                <w:shd w:val="clear" w:color="auto" w:fill="auto"/>
                <w:vAlign w:val="center"/>
              </w:tcPr>
              <w:p w14:paraId="09D6A1F3">
                <w:pPr>
                  <w:jc w:val="center"/>
                  <w:rPr>
                    <w:rFonts w:hint="eastAsia"/>
                  </w:rPr>
                </w:pPr>
                <w:r>
                  <w:rPr>
                    <w:rFonts w:hint="eastAsia"/>
                  </w:rPr>
                  <w:t>上期发生额</w:t>
                </w:r>
              </w:p>
            </w:tc>
          </w:sdtContent>
        </w:sdt>
        <w:sdt>
          <w:sdtPr>
            <w:tag w:val="_PLD_3f2742ed232b49a08af3ae7fa5b07bc9"/>
            <w:id w:val="-443994022"/>
          </w:sdtPr>
          <w:sdtContent>
            <w:tc>
              <w:tcPr>
                <w:tcW w:w="566" w:type="pct"/>
                <w:shd w:val="clear" w:color="auto" w:fill="auto"/>
                <w:vAlign w:val="center"/>
              </w:tcPr>
              <w:p w14:paraId="0A0FA8D8">
                <w:pPr>
                  <w:jc w:val="center"/>
                  <w:rPr>
                    <w:rFonts w:hint="eastAsia"/>
                  </w:rPr>
                </w:pPr>
                <w:r>
                  <w:rPr>
                    <w:rFonts w:hint="eastAsia"/>
                  </w:rPr>
                  <w:t>本期发生额</w:t>
                </w:r>
              </w:p>
            </w:tc>
          </w:sdtContent>
        </w:sdt>
        <w:sdt>
          <w:sdtPr>
            <w:tag w:val="_PLD_863dd7645d5d460d86f3326ef79f954f"/>
            <w:id w:val="937106524"/>
          </w:sdtPr>
          <w:sdtContent>
            <w:tc>
              <w:tcPr>
                <w:tcW w:w="567" w:type="pct"/>
                <w:shd w:val="clear" w:color="auto" w:fill="auto"/>
                <w:vAlign w:val="center"/>
              </w:tcPr>
              <w:p w14:paraId="15CD177A">
                <w:pPr>
                  <w:jc w:val="center"/>
                  <w:rPr>
                    <w:rFonts w:hint="eastAsia"/>
                  </w:rPr>
                </w:pPr>
                <w:r>
                  <w:rPr>
                    <w:rFonts w:hint="eastAsia"/>
                  </w:rPr>
                  <w:t>上期发生额</w:t>
                </w:r>
              </w:p>
            </w:tc>
          </w:sdtContent>
        </w:sdt>
        <w:sdt>
          <w:sdtPr>
            <w:tag w:val="_PLD_97ac55cb0d5049e0af948382a891d7d1"/>
            <w:id w:val="877435591"/>
          </w:sdtPr>
          <w:sdtContent>
            <w:tc>
              <w:tcPr>
                <w:tcW w:w="550" w:type="pct"/>
                <w:shd w:val="clear" w:color="auto" w:fill="auto"/>
                <w:vAlign w:val="center"/>
              </w:tcPr>
              <w:p w14:paraId="780A4EDA">
                <w:pPr>
                  <w:jc w:val="center"/>
                  <w:rPr>
                    <w:rFonts w:hint="eastAsia"/>
                  </w:rPr>
                </w:pPr>
                <w:r>
                  <w:rPr>
                    <w:rFonts w:hint="eastAsia"/>
                  </w:rPr>
                  <w:t>本期发生额</w:t>
                </w:r>
              </w:p>
            </w:tc>
          </w:sdtContent>
        </w:sdt>
        <w:sdt>
          <w:sdtPr>
            <w:tag w:val="_PLD_7493ba206860489b86a598a5ef76eb1d"/>
            <w:id w:val="441732675"/>
          </w:sdtPr>
          <w:sdtContent>
            <w:tc>
              <w:tcPr>
                <w:tcW w:w="592" w:type="pct"/>
                <w:shd w:val="clear" w:color="auto" w:fill="auto"/>
                <w:vAlign w:val="center"/>
              </w:tcPr>
              <w:p w14:paraId="3E7FEF7D">
                <w:pPr>
                  <w:jc w:val="center"/>
                  <w:rPr>
                    <w:rFonts w:hint="eastAsia"/>
                  </w:rPr>
                </w:pPr>
                <w:r>
                  <w:rPr>
                    <w:rFonts w:hint="eastAsia"/>
                  </w:rPr>
                  <w:t>上期发生额</w:t>
                </w:r>
              </w:p>
            </w:tc>
          </w:sdtContent>
        </w:sdt>
      </w:tr>
      <w:tr w14:paraId="247E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7EBB1816">
            <w:pPr>
              <w:jc w:val="both"/>
              <w:rPr>
                <w:rFonts w:hint="eastAsia"/>
              </w:rPr>
            </w:pPr>
            <w:r>
              <w:t>咸阳际华投资发展有限公司</w:t>
            </w:r>
          </w:p>
        </w:tc>
        <w:tc>
          <w:tcPr>
            <w:tcW w:w="412" w:type="pct"/>
            <w:shd w:val="clear" w:color="auto" w:fill="auto"/>
            <w:vAlign w:val="center"/>
          </w:tcPr>
          <w:p w14:paraId="21013272">
            <w:pPr>
              <w:jc w:val="center"/>
              <w:rPr>
                <w:rFonts w:hint="eastAsia"/>
              </w:rPr>
            </w:pPr>
            <w:r>
              <w:t>房屋</w:t>
            </w:r>
          </w:p>
          <w:p w14:paraId="6A981221">
            <w:pPr>
              <w:jc w:val="center"/>
              <w:rPr>
                <w:rFonts w:hint="eastAsia"/>
              </w:rPr>
            </w:pPr>
            <w:r>
              <w:t>土地</w:t>
            </w:r>
          </w:p>
        </w:tc>
        <w:tc>
          <w:tcPr>
            <w:tcW w:w="618" w:type="pct"/>
            <w:shd w:val="clear" w:color="auto" w:fill="auto"/>
            <w:vAlign w:val="center"/>
          </w:tcPr>
          <w:p w14:paraId="66FC6BDB">
            <w:pPr>
              <w:jc w:val="right"/>
              <w:rPr>
                <w:rFonts w:hint="eastAsia"/>
              </w:rPr>
            </w:pPr>
            <w:r>
              <w:rPr>
                <w:rFonts w:ascii="Arial Narrow" w:hAnsi="Arial Narrow"/>
                <w:color w:val="000000"/>
                <w:sz w:val="22"/>
                <w:szCs w:val="22"/>
              </w:rPr>
              <w:t>1,053,647.89</w:t>
            </w:r>
          </w:p>
        </w:tc>
        <w:tc>
          <w:tcPr>
            <w:tcW w:w="617" w:type="pct"/>
            <w:shd w:val="clear" w:color="auto" w:fill="auto"/>
            <w:vAlign w:val="center"/>
          </w:tcPr>
          <w:p w14:paraId="7CC291AA">
            <w:pPr>
              <w:jc w:val="right"/>
              <w:rPr>
                <w:rFonts w:hint="eastAsia"/>
              </w:rPr>
            </w:pPr>
            <w:r>
              <w:rPr>
                <w:rFonts w:ascii="Arial Narrow" w:hAnsi="Arial Narrow"/>
                <w:color w:val="000000"/>
                <w:sz w:val="22"/>
                <w:szCs w:val="22"/>
              </w:rPr>
              <w:t>853,647.89</w:t>
            </w:r>
          </w:p>
        </w:tc>
        <w:tc>
          <w:tcPr>
            <w:tcW w:w="566" w:type="pct"/>
            <w:shd w:val="clear" w:color="auto" w:fill="auto"/>
            <w:vAlign w:val="center"/>
          </w:tcPr>
          <w:p w14:paraId="4F5B102E">
            <w:pPr>
              <w:jc w:val="right"/>
              <w:rPr>
                <w:rFonts w:hint="eastAsia"/>
              </w:rPr>
            </w:pPr>
          </w:p>
        </w:tc>
        <w:tc>
          <w:tcPr>
            <w:tcW w:w="567" w:type="pct"/>
            <w:shd w:val="clear" w:color="auto" w:fill="auto"/>
            <w:vAlign w:val="center"/>
          </w:tcPr>
          <w:p w14:paraId="7388A46D">
            <w:pPr>
              <w:jc w:val="right"/>
              <w:rPr>
                <w:rFonts w:hint="eastAsia"/>
              </w:rPr>
            </w:pPr>
            <w:r>
              <w:rPr>
                <w:rFonts w:ascii="Arial Narrow" w:hAnsi="Arial Narrow"/>
                <w:color w:val="000000"/>
                <w:sz w:val="22"/>
                <w:szCs w:val="22"/>
              </w:rPr>
              <w:t>520,458.48</w:t>
            </w:r>
          </w:p>
        </w:tc>
        <w:tc>
          <w:tcPr>
            <w:tcW w:w="550" w:type="pct"/>
            <w:shd w:val="clear" w:color="auto" w:fill="auto"/>
            <w:vAlign w:val="center"/>
          </w:tcPr>
          <w:p w14:paraId="5C18E321">
            <w:pPr>
              <w:jc w:val="right"/>
              <w:rPr>
                <w:rFonts w:hint="eastAsia"/>
              </w:rPr>
            </w:pPr>
          </w:p>
        </w:tc>
        <w:tc>
          <w:tcPr>
            <w:tcW w:w="592" w:type="pct"/>
            <w:shd w:val="clear" w:color="auto" w:fill="auto"/>
            <w:vAlign w:val="center"/>
          </w:tcPr>
          <w:p w14:paraId="41CE5ACE">
            <w:pPr>
              <w:jc w:val="right"/>
              <w:rPr>
                <w:rFonts w:hint="eastAsia"/>
              </w:rPr>
            </w:pPr>
          </w:p>
        </w:tc>
      </w:tr>
      <w:tr w14:paraId="1C2C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204DE657">
            <w:pPr>
              <w:jc w:val="both"/>
              <w:rPr>
                <w:rFonts w:hint="eastAsia"/>
              </w:rPr>
            </w:pPr>
            <w:r>
              <w:t>新兴际华投资有限公司</w:t>
            </w:r>
          </w:p>
        </w:tc>
        <w:tc>
          <w:tcPr>
            <w:tcW w:w="412" w:type="pct"/>
            <w:shd w:val="clear" w:color="auto" w:fill="auto"/>
            <w:vAlign w:val="center"/>
          </w:tcPr>
          <w:p w14:paraId="5CA4640E">
            <w:pPr>
              <w:jc w:val="center"/>
              <w:rPr>
                <w:rFonts w:hint="eastAsia"/>
              </w:rPr>
            </w:pPr>
            <w:r>
              <w:t>房屋</w:t>
            </w:r>
          </w:p>
          <w:p w14:paraId="678A6AA0">
            <w:pPr>
              <w:jc w:val="center"/>
              <w:rPr>
                <w:rFonts w:hint="eastAsia"/>
              </w:rPr>
            </w:pPr>
            <w:r>
              <w:t>土地</w:t>
            </w:r>
          </w:p>
        </w:tc>
        <w:tc>
          <w:tcPr>
            <w:tcW w:w="618" w:type="pct"/>
            <w:shd w:val="clear" w:color="auto" w:fill="auto"/>
            <w:vAlign w:val="center"/>
          </w:tcPr>
          <w:p w14:paraId="44295FDB">
            <w:pPr>
              <w:jc w:val="right"/>
              <w:rPr>
                <w:rFonts w:hint="eastAsia"/>
              </w:rPr>
            </w:pPr>
            <w:r>
              <w:rPr>
                <w:rFonts w:ascii="Arial Narrow" w:hAnsi="Arial Narrow"/>
                <w:color w:val="000000"/>
                <w:sz w:val="22"/>
                <w:szCs w:val="22"/>
              </w:rPr>
              <w:t>1,147,668.12</w:t>
            </w:r>
          </w:p>
        </w:tc>
        <w:tc>
          <w:tcPr>
            <w:tcW w:w="617" w:type="pct"/>
            <w:shd w:val="clear" w:color="auto" w:fill="auto"/>
            <w:vAlign w:val="center"/>
          </w:tcPr>
          <w:p w14:paraId="024F2556">
            <w:pPr>
              <w:jc w:val="right"/>
              <w:rPr>
                <w:rFonts w:hint="eastAsia"/>
              </w:rPr>
            </w:pPr>
            <w:r>
              <w:rPr>
                <w:rFonts w:ascii="Arial Narrow" w:hAnsi="Arial Narrow"/>
                <w:color w:val="000000"/>
                <w:sz w:val="22"/>
                <w:szCs w:val="22"/>
              </w:rPr>
              <w:t>1,856,056.00</w:t>
            </w:r>
          </w:p>
        </w:tc>
        <w:tc>
          <w:tcPr>
            <w:tcW w:w="566" w:type="pct"/>
            <w:shd w:val="clear" w:color="auto" w:fill="auto"/>
            <w:vAlign w:val="center"/>
          </w:tcPr>
          <w:p w14:paraId="31580060">
            <w:pPr>
              <w:jc w:val="right"/>
              <w:rPr>
                <w:rFonts w:hint="eastAsia"/>
              </w:rPr>
            </w:pPr>
          </w:p>
        </w:tc>
        <w:tc>
          <w:tcPr>
            <w:tcW w:w="567" w:type="pct"/>
            <w:shd w:val="clear" w:color="auto" w:fill="auto"/>
            <w:vAlign w:val="center"/>
          </w:tcPr>
          <w:p w14:paraId="18133C32">
            <w:pPr>
              <w:jc w:val="right"/>
              <w:rPr>
                <w:rFonts w:hint="eastAsia"/>
              </w:rPr>
            </w:pPr>
            <w:r>
              <w:rPr>
                <w:rFonts w:ascii="Arial Narrow" w:hAnsi="Arial Narrow"/>
                <w:color w:val="000000"/>
                <w:sz w:val="22"/>
                <w:szCs w:val="22"/>
              </w:rPr>
              <w:t>914,041.71</w:t>
            </w:r>
          </w:p>
        </w:tc>
        <w:tc>
          <w:tcPr>
            <w:tcW w:w="550" w:type="pct"/>
            <w:shd w:val="clear" w:color="auto" w:fill="auto"/>
            <w:vAlign w:val="center"/>
          </w:tcPr>
          <w:p w14:paraId="34F90210">
            <w:pPr>
              <w:jc w:val="right"/>
              <w:rPr>
                <w:rFonts w:hint="eastAsia"/>
              </w:rPr>
            </w:pPr>
          </w:p>
        </w:tc>
        <w:tc>
          <w:tcPr>
            <w:tcW w:w="592" w:type="pct"/>
            <w:shd w:val="clear" w:color="auto" w:fill="auto"/>
            <w:vAlign w:val="center"/>
          </w:tcPr>
          <w:p w14:paraId="4FD0E69E">
            <w:pPr>
              <w:jc w:val="right"/>
              <w:rPr>
                <w:rFonts w:hint="eastAsia"/>
              </w:rPr>
            </w:pPr>
          </w:p>
        </w:tc>
      </w:tr>
      <w:tr w14:paraId="6E22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65F4CBC4">
            <w:pPr>
              <w:jc w:val="both"/>
              <w:rPr>
                <w:rFonts w:hint="eastAsia"/>
              </w:rPr>
            </w:pPr>
            <w:r>
              <w:t>武汉汉江资产运营有限公司</w:t>
            </w:r>
          </w:p>
        </w:tc>
        <w:tc>
          <w:tcPr>
            <w:tcW w:w="412" w:type="pct"/>
            <w:shd w:val="clear" w:color="auto" w:fill="auto"/>
            <w:vAlign w:val="center"/>
          </w:tcPr>
          <w:p w14:paraId="24A58818">
            <w:pPr>
              <w:jc w:val="center"/>
              <w:rPr>
                <w:rFonts w:hint="eastAsia"/>
              </w:rPr>
            </w:pPr>
            <w:r>
              <w:t>房屋</w:t>
            </w:r>
          </w:p>
          <w:p w14:paraId="7B3A005B">
            <w:pPr>
              <w:jc w:val="center"/>
              <w:rPr>
                <w:rFonts w:hint="eastAsia"/>
              </w:rPr>
            </w:pPr>
            <w:r>
              <w:t>土地</w:t>
            </w:r>
          </w:p>
        </w:tc>
        <w:tc>
          <w:tcPr>
            <w:tcW w:w="618" w:type="pct"/>
            <w:shd w:val="clear" w:color="auto" w:fill="auto"/>
            <w:vAlign w:val="center"/>
          </w:tcPr>
          <w:p w14:paraId="7B2CA14F">
            <w:pPr>
              <w:jc w:val="right"/>
              <w:rPr>
                <w:rFonts w:hint="eastAsia"/>
              </w:rPr>
            </w:pPr>
            <w:r>
              <w:rPr>
                <w:rFonts w:ascii="Arial Narrow" w:hAnsi="Arial Narrow"/>
                <w:color w:val="000000"/>
                <w:sz w:val="22"/>
                <w:szCs w:val="22"/>
              </w:rPr>
              <w:t>47,619.05</w:t>
            </w:r>
          </w:p>
        </w:tc>
        <w:tc>
          <w:tcPr>
            <w:tcW w:w="617" w:type="pct"/>
            <w:shd w:val="clear" w:color="auto" w:fill="auto"/>
            <w:vAlign w:val="center"/>
          </w:tcPr>
          <w:p w14:paraId="7A355672">
            <w:pPr>
              <w:jc w:val="right"/>
              <w:rPr>
                <w:rFonts w:hint="eastAsia"/>
              </w:rPr>
            </w:pPr>
          </w:p>
        </w:tc>
        <w:tc>
          <w:tcPr>
            <w:tcW w:w="566" w:type="pct"/>
            <w:shd w:val="clear" w:color="auto" w:fill="auto"/>
            <w:vAlign w:val="center"/>
          </w:tcPr>
          <w:p w14:paraId="6B425244">
            <w:pPr>
              <w:jc w:val="right"/>
              <w:rPr>
                <w:rFonts w:hint="eastAsia"/>
              </w:rPr>
            </w:pPr>
            <w:r>
              <w:rPr>
                <w:rFonts w:ascii="Arial Narrow" w:hAnsi="Arial Narrow"/>
                <w:color w:val="000000"/>
                <w:sz w:val="22"/>
                <w:szCs w:val="22"/>
              </w:rPr>
              <w:t>50,000.00</w:t>
            </w:r>
          </w:p>
        </w:tc>
        <w:tc>
          <w:tcPr>
            <w:tcW w:w="567" w:type="pct"/>
            <w:shd w:val="clear" w:color="auto" w:fill="auto"/>
            <w:vAlign w:val="center"/>
          </w:tcPr>
          <w:p w14:paraId="6A5AE879">
            <w:pPr>
              <w:jc w:val="right"/>
              <w:rPr>
                <w:rFonts w:hint="eastAsia"/>
              </w:rPr>
            </w:pPr>
            <w:r>
              <w:rPr>
                <w:rFonts w:ascii="Arial Narrow" w:hAnsi="Arial Narrow"/>
                <w:color w:val="000000"/>
                <w:sz w:val="22"/>
                <w:szCs w:val="22"/>
              </w:rPr>
              <w:t>8,610,000.00</w:t>
            </w:r>
          </w:p>
        </w:tc>
        <w:tc>
          <w:tcPr>
            <w:tcW w:w="550" w:type="pct"/>
            <w:shd w:val="clear" w:color="auto" w:fill="auto"/>
            <w:vAlign w:val="center"/>
          </w:tcPr>
          <w:p w14:paraId="3C9547D8">
            <w:pPr>
              <w:jc w:val="right"/>
              <w:rPr>
                <w:rFonts w:hint="eastAsia"/>
              </w:rPr>
            </w:pPr>
            <w:r>
              <w:rPr>
                <w:rFonts w:ascii="Arial Narrow" w:hAnsi="Arial Narrow"/>
                <w:color w:val="000000"/>
                <w:sz w:val="22"/>
                <w:szCs w:val="22"/>
              </w:rPr>
              <w:t>191,116.82</w:t>
            </w:r>
          </w:p>
        </w:tc>
        <w:tc>
          <w:tcPr>
            <w:tcW w:w="592" w:type="pct"/>
            <w:shd w:val="clear" w:color="auto" w:fill="auto"/>
            <w:vAlign w:val="center"/>
          </w:tcPr>
          <w:p w14:paraId="45F1F3CC">
            <w:pPr>
              <w:jc w:val="right"/>
              <w:rPr>
                <w:rFonts w:hint="eastAsia"/>
              </w:rPr>
            </w:pPr>
            <w:r>
              <w:rPr>
                <w:rFonts w:ascii="Arial Narrow" w:hAnsi="Arial Narrow"/>
                <w:color w:val="000000"/>
                <w:sz w:val="22"/>
                <w:szCs w:val="22"/>
              </w:rPr>
              <w:t>606,210.58</w:t>
            </w:r>
          </w:p>
        </w:tc>
      </w:tr>
      <w:tr w14:paraId="1992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454BD989">
            <w:pPr>
              <w:jc w:val="both"/>
              <w:rPr>
                <w:rFonts w:hint="eastAsia"/>
              </w:rPr>
            </w:pPr>
            <w:r>
              <w:t>北京三五零一服装厂有限公司</w:t>
            </w:r>
          </w:p>
        </w:tc>
        <w:tc>
          <w:tcPr>
            <w:tcW w:w="412" w:type="pct"/>
            <w:shd w:val="clear" w:color="auto" w:fill="auto"/>
            <w:vAlign w:val="center"/>
          </w:tcPr>
          <w:p w14:paraId="09E52A53">
            <w:pPr>
              <w:jc w:val="center"/>
              <w:rPr>
                <w:rFonts w:hint="eastAsia"/>
              </w:rPr>
            </w:pPr>
            <w:r>
              <w:t>房屋</w:t>
            </w:r>
          </w:p>
        </w:tc>
        <w:tc>
          <w:tcPr>
            <w:tcW w:w="618" w:type="pct"/>
            <w:shd w:val="clear" w:color="auto" w:fill="auto"/>
            <w:vAlign w:val="center"/>
          </w:tcPr>
          <w:p w14:paraId="3795658E">
            <w:pPr>
              <w:jc w:val="right"/>
              <w:rPr>
                <w:rFonts w:hint="eastAsia"/>
              </w:rPr>
            </w:pPr>
            <w:r>
              <w:rPr>
                <w:rFonts w:ascii="Arial Narrow" w:hAnsi="Arial Narrow"/>
                <w:color w:val="000000"/>
                <w:sz w:val="22"/>
                <w:szCs w:val="22"/>
              </w:rPr>
              <w:t>9,166,928.62</w:t>
            </w:r>
          </w:p>
        </w:tc>
        <w:tc>
          <w:tcPr>
            <w:tcW w:w="617" w:type="pct"/>
            <w:shd w:val="clear" w:color="auto" w:fill="auto"/>
            <w:vAlign w:val="center"/>
          </w:tcPr>
          <w:p w14:paraId="7965C349">
            <w:pPr>
              <w:jc w:val="right"/>
              <w:rPr>
                <w:rFonts w:hint="eastAsia"/>
              </w:rPr>
            </w:pPr>
            <w:r>
              <w:rPr>
                <w:rFonts w:ascii="Arial Narrow" w:hAnsi="Arial Narrow"/>
                <w:color w:val="000000"/>
                <w:sz w:val="22"/>
                <w:szCs w:val="22"/>
              </w:rPr>
              <w:t>4,928,417.50</w:t>
            </w:r>
          </w:p>
        </w:tc>
        <w:tc>
          <w:tcPr>
            <w:tcW w:w="566" w:type="pct"/>
            <w:shd w:val="clear" w:color="auto" w:fill="auto"/>
            <w:vAlign w:val="center"/>
          </w:tcPr>
          <w:p w14:paraId="5001CB65">
            <w:pPr>
              <w:jc w:val="right"/>
              <w:rPr>
                <w:rFonts w:hint="eastAsia"/>
              </w:rPr>
            </w:pPr>
            <w:r>
              <w:rPr>
                <w:rFonts w:ascii="Arial Narrow" w:hAnsi="Arial Narrow"/>
                <w:color w:val="000000"/>
                <w:sz w:val="22"/>
                <w:szCs w:val="22"/>
              </w:rPr>
              <w:t>5,137,956.36</w:t>
            </w:r>
          </w:p>
        </w:tc>
        <w:tc>
          <w:tcPr>
            <w:tcW w:w="567" w:type="pct"/>
            <w:shd w:val="clear" w:color="auto" w:fill="auto"/>
            <w:vAlign w:val="center"/>
          </w:tcPr>
          <w:p w14:paraId="6FE4AF8A">
            <w:pPr>
              <w:jc w:val="right"/>
              <w:rPr>
                <w:rFonts w:hint="eastAsia"/>
              </w:rPr>
            </w:pPr>
            <w:r>
              <w:rPr>
                <w:rFonts w:ascii="Arial Narrow" w:hAnsi="Arial Narrow"/>
                <w:color w:val="000000"/>
                <w:sz w:val="22"/>
                <w:szCs w:val="22"/>
              </w:rPr>
              <w:t>18,599,912.64</w:t>
            </w:r>
          </w:p>
        </w:tc>
        <w:tc>
          <w:tcPr>
            <w:tcW w:w="550" w:type="pct"/>
            <w:shd w:val="clear" w:color="auto" w:fill="auto"/>
            <w:vAlign w:val="center"/>
          </w:tcPr>
          <w:p w14:paraId="332F36C5">
            <w:pPr>
              <w:jc w:val="right"/>
              <w:rPr>
                <w:rFonts w:hint="eastAsia"/>
              </w:rPr>
            </w:pPr>
          </w:p>
        </w:tc>
        <w:tc>
          <w:tcPr>
            <w:tcW w:w="592" w:type="pct"/>
            <w:shd w:val="clear" w:color="auto" w:fill="auto"/>
            <w:vAlign w:val="center"/>
          </w:tcPr>
          <w:p w14:paraId="3555044D">
            <w:pPr>
              <w:jc w:val="right"/>
              <w:rPr>
                <w:rFonts w:hint="eastAsia"/>
              </w:rPr>
            </w:pPr>
            <w:r>
              <w:rPr>
                <w:rFonts w:ascii="Arial Narrow" w:hAnsi="Arial Narrow"/>
                <w:color w:val="000000"/>
                <w:sz w:val="22"/>
                <w:szCs w:val="22"/>
              </w:rPr>
              <w:t>126,156.20</w:t>
            </w:r>
          </w:p>
        </w:tc>
      </w:tr>
      <w:tr w14:paraId="4D3C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2E8B5979">
            <w:pPr>
              <w:jc w:val="both"/>
              <w:rPr>
                <w:rFonts w:hint="eastAsia"/>
              </w:rPr>
            </w:pPr>
            <w:r>
              <w:t>襄阳新兴际华投资发展有限公司</w:t>
            </w:r>
          </w:p>
        </w:tc>
        <w:tc>
          <w:tcPr>
            <w:tcW w:w="412" w:type="pct"/>
            <w:shd w:val="clear" w:color="auto" w:fill="auto"/>
            <w:vAlign w:val="center"/>
          </w:tcPr>
          <w:p w14:paraId="32F44149">
            <w:pPr>
              <w:jc w:val="center"/>
              <w:rPr>
                <w:rFonts w:hint="eastAsia"/>
              </w:rPr>
            </w:pPr>
            <w:r>
              <w:t>房屋</w:t>
            </w:r>
          </w:p>
        </w:tc>
        <w:tc>
          <w:tcPr>
            <w:tcW w:w="618" w:type="pct"/>
            <w:shd w:val="clear" w:color="auto" w:fill="auto"/>
            <w:vAlign w:val="center"/>
          </w:tcPr>
          <w:p w14:paraId="5F796E8D">
            <w:pPr>
              <w:jc w:val="right"/>
              <w:rPr>
                <w:rFonts w:hint="eastAsia"/>
              </w:rPr>
            </w:pPr>
            <w:r>
              <w:rPr>
                <w:rFonts w:ascii="Arial Narrow" w:hAnsi="Arial Narrow"/>
                <w:color w:val="000000"/>
                <w:sz w:val="22"/>
                <w:szCs w:val="22"/>
              </w:rPr>
              <w:t>5,714.29</w:t>
            </w:r>
          </w:p>
        </w:tc>
        <w:tc>
          <w:tcPr>
            <w:tcW w:w="617" w:type="pct"/>
            <w:shd w:val="clear" w:color="auto" w:fill="auto"/>
            <w:vAlign w:val="center"/>
          </w:tcPr>
          <w:p w14:paraId="5092F9AE">
            <w:pPr>
              <w:jc w:val="right"/>
              <w:rPr>
                <w:rFonts w:hint="eastAsia"/>
              </w:rPr>
            </w:pPr>
            <w:r>
              <w:rPr>
                <w:rFonts w:ascii="Arial Narrow" w:hAnsi="Arial Narrow"/>
                <w:color w:val="000000"/>
                <w:sz w:val="22"/>
                <w:szCs w:val="22"/>
              </w:rPr>
              <w:t>4,800.68</w:t>
            </w:r>
          </w:p>
        </w:tc>
        <w:tc>
          <w:tcPr>
            <w:tcW w:w="566" w:type="pct"/>
            <w:shd w:val="clear" w:color="auto" w:fill="auto"/>
            <w:vAlign w:val="center"/>
          </w:tcPr>
          <w:p w14:paraId="3181559D">
            <w:pPr>
              <w:jc w:val="right"/>
              <w:rPr>
                <w:rFonts w:hint="eastAsia"/>
              </w:rPr>
            </w:pPr>
            <w:r>
              <w:rPr>
                <w:rFonts w:ascii="Arial Narrow" w:hAnsi="Arial Narrow"/>
                <w:color w:val="000000"/>
                <w:sz w:val="22"/>
                <w:szCs w:val="22"/>
              </w:rPr>
              <w:t>6,000.00</w:t>
            </w:r>
          </w:p>
        </w:tc>
        <w:tc>
          <w:tcPr>
            <w:tcW w:w="567" w:type="pct"/>
            <w:shd w:val="clear" w:color="auto" w:fill="auto"/>
            <w:vAlign w:val="center"/>
          </w:tcPr>
          <w:p w14:paraId="49BE33DD">
            <w:pPr>
              <w:jc w:val="right"/>
              <w:rPr>
                <w:rFonts w:hint="eastAsia"/>
              </w:rPr>
            </w:pPr>
            <w:r>
              <w:rPr>
                <w:rFonts w:ascii="Arial Narrow" w:hAnsi="Arial Narrow"/>
                <w:color w:val="000000"/>
                <w:sz w:val="22"/>
                <w:szCs w:val="22"/>
              </w:rPr>
              <w:t>5,043.00</w:t>
            </w:r>
          </w:p>
        </w:tc>
        <w:tc>
          <w:tcPr>
            <w:tcW w:w="550" w:type="pct"/>
            <w:shd w:val="clear" w:color="auto" w:fill="auto"/>
            <w:vAlign w:val="center"/>
          </w:tcPr>
          <w:p w14:paraId="20D8783C">
            <w:pPr>
              <w:jc w:val="right"/>
              <w:rPr>
                <w:rFonts w:hint="eastAsia"/>
              </w:rPr>
            </w:pPr>
          </w:p>
        </w:tc>
        <w:tc>
          <w:tcPr>
            <w:tcW w:w="592" w:type="pct"/>
            <w:shd w:val="clear" w:color="auto" w:fill="auto"/>
            <w:vAlign w:val="center"/>
          </w:tcPr>
          <w:p w14:paraId="2B894C32">
            <w:pPr>
              <w:jc w:val="right"/>
              <w:rPr>
                <w:rFonts w:hint="eastAsia"/>
              </w:rPr>
            </w:pPr>
          </w:p>
        </w:tc>
      </w:tr>
      <w:tr w14:paraId="0CE2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35ABE492">
            <w:pPr>
              <w:jc w:val="both"/>
              <w:rPr>
                <w:rFonts w:hint="eastAsia"/>
              </w:rPr>
            </w:pPr>
            <w:r>
              <w:t>南京际华五三零二科技发展有限公司</w:t>
            </w:r>
          </w:p>
        </w:tc>
        <w:tc>
          <w:tcPr>
            <w:tcW w:w="412" w:type="pct"/>
            <w:shd w:val="clear" w:color="auto" w:fill="auto"/>
            <w:vAlign w:val="center"/>
          </w:tcPr>
          <w:p w14:paraId="1E6C91E1">
            <w:pPr>
              <w:jc w:val="center"/>
              <w:rPr>
                <w:rFonts w:hint="eastAsia"/>
              </w:rPr>
            </w:pPr>
            <w:r>
              <w:t>房屋</w:t>
            </w:r>
          </w:p>
        </w:tc>
        <w:tc>
          <w:tcPr>
            <w:tcW w:w="618" w:type="pct"/>
            <w:shd w:val="clear" w:color="auto" w:fill="auto"/>
            <w:vAlign w:val="center"/>
          </w:tcPr>
          <w:p w14:paraId="46251A3D">
            <w:pPr>
              <w:jc w:val="right"/>
              <w:rPr>
                <w:rFonts w:hint="eastAsia"/>
              </w:rPr>
            </w:pPr>
            <w:r>
              <w:rPr>
                <w:rFonts w:ascii="Arial Narrow" w:hAnsi="Arial Narrow"/>
                <w:color w:val="000000"/>
                <w:sz w:val="22"/>
                <w:szCs w:val="22"/>
              </w:rPr>
              <w:t>85,714.26</w:t>
            </w:r>
          </w:p>
        </w:tc>
        <w:tc>
          <w:tcPr>
            <w:tcW w:w="617" w:type="pct"/>
            <w:shd w:val="clear" w:color="auto" w:fill="auto"/>
            <w:vAlign w:val="center"/>
          </w:tcPr>
          <w:p w14:paraId="186C642A">
            <w:pPr>
              <w:jc w:val="right"/>
              <w:rPr>
                <w:rFonts w:hint="eastAsia"/>
              </w:rPr>
            </w:pPr>
            <w:r>
              <w:rPr>
                <w:rFonts w:ascii="Arial Narrow" w:hAnsi="Arial Narrow"/>
                <w:color w:val="000000"/>
                <w:sz w:val="22"/>
                <w:szCs w:val="22"/>
              </w:rPr>
              <w:t>180,000.00</w:t>
            </w:r>
          </w:p>
        </w:tc>
        <w:tc>
          <w:tcPr>
            <w:tcW w:w="566" w:type="pct"/>
            <w:shd w:val="clear" w:color="auto" w:fill="auto"/>
            <w:vAlign w:val="center"/>
          </w:tcPr>
          <w:p w14:paraId="114B561C">
            <w:pPr>
              <w:jc w:val="right"/>
              <w:rPr>
                <w:rFonts w:hint="eastAsia"/>
              </w:rPr>
            </w:pPr>
          </w:p>
        </w:tc>
        <w:tc>
          <w:tcPr>
            <w:tcW w:w="567" w:type="pct"/>
            <w:shd w:val="clear" w:color="auto" w:fill="auto"/>
            <w:vAlign w:val="center"/>
          </w:tcPr>
          <w:p w14:paraId="12332227">
            <w:pPr>
              <w:jc w:val="right"/>
              <w:rPr>
                <w:rFonts w:hint="eastAsia"/>
              </w:rPr>
            </w:pPr>
            <w:r>
              <w:rPr>
                <w:rFonts w:ascii="Arial Narrow" w:hAnsi="Arial Narrow"/>
                <w:color w:val="000000"/>
                <w:sz w:val="22"/>
                <w:szCs w:val="22"/>
              </w:rPr>
              <w:t>180,000.00</w:t>
            </w:r>
          </w:p>
        </w:tc>
        <w:tc>
          <w:tcPr>
            <w:tcW w:w="550" w:type="pct"/>
            <w:shd w:val="clear" w:color="auto" w:fill="auto"/>
            <w:vAlign w:val="center"/>
          </w:tcPr>
          <w:p w14:paraId="4EB1EB90">
            <w:pPr>
              <w:jc w:val="right"/>
              <w:rPr>
                <w:rFonts w:hint="eastAsia"/>
              </w:rPr>
            </w:pPr>
          </w:p>
        </w:tc>
        <w:tc>
          <w:tcPr>
            <w:tcW w:w="592" w:type="pct"/>
            <w:shd w:val="clear" w:color="auto" w:fill="auto"/>
            <w:vAlign w:val="center"/>
          </w:tcPr>
          <w:p w14:paraId="1AA6D266">
            <w:pPr>
              <w:jc w:val="right"/>
              <w:rPr>
                <w:rFonts w:hint="eastAsia"/>
              </w:rPr>
            </w:pPr>
          </w:p>
        </w:tc>
      </w:tr>
      <w:tr w14:paraId="5062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629B5FD7">
            <w:pPr>
              <w:jc w:val="both"/>
              <w:rPr>
                <w:rFonts w:hint="eastAsia"/>
              </w:rPr>
            </w:pPr>
            <w:r>
              <w:t>上海际华物流有限公司</w:t>
            </w:r>
          </w:p>
        </w:tc>
        <w:tc>
          <w:tcPr>
            <w:tcW w:w="412" w:type="pct"/>
            <w:shd w:val="clear" w:color="auto" w:fill="auto"/>
            <w:vAlign w:val="center"/>
          </w:tcPr>
          <w:p w14:paraId="2F2FD2E7">
            <w:pPr>
              <w:jc w:val="center"/>
              <w:rPr>
                <w:rFonts w:hint="eastAsia"/>
              </w:rPr>
            </w:pPr>
            <w:r>
              <w:t>房屋</w:t>
            </w:r>
          </w:p>
          <w:p w14:paraId="7DB8A38D">
            <w:pPr>
              <w:jc w:val="center"/>
              <w:rPr>
                <w:rFonts w:hint="eastAsia"/>
              </w:rPr>
            </w:pPr>
            <w:r>
              <w:t>土地</w:t>
            </w:r>
          </w:p>
        </w:tc>
        <w:tc>
          <w:tcPr>
            <w:tcW w:w="618" w:type="pct"/>
            <w:shd w:val="clear" w:color="auto" w:fill="auto"/>
            <w:vAlign w:val="center"/>
          </w:tcPr>
          <w:p w14:paraId="2F67605E">
            <w:pPr>
              <w:jc w:val="right"/>
              <w:rPr>
                <w:rFonts w:hint="eastAsia"/>
              </w:rPr>
            </w:pPr>
            <w:r>
              <w:rPr>
                <w:rFonts w:ascii="Arial Narrow" w:hAnsi="Arial Narrow"/>
                <w:color w:val="000000"/>
                <w:sz w:val="22"/>
                <w:szCs w:val="22"/>
              </w:rPr>
              <w:t>142,857.14</w:t>
            </w:r>
          </w:p>
        </w:tc>
        <w:tc>
          <w:tcPr>
            <w:tcW w:w="617" w:type="pct"/>
            <w:shd w:val="clear" w:color="auto" w:fill="auto"/>
            <w:vAlign w:val="center"/>
          </w:tcPr>
          <w:p w14:paraId="2BE8D1A3">
            <w:pPr>
              <w:jc w:val="right"/>
              <w:rPr>
                <w:rFonts w:hint="eastAsia"/>
              </w:rPr>
            </w:pPr>
            <w:r>
              <w:rPr>
                <w:rFonts w:ascii="Arial Narrow" w:hAnsi="Arial Narrow"/>
                <w:color w:val="000000"/>
                <w:sz w:val="22"/>
                <w:szCs w:val="22"/>
              </w:rPr>
              <w:t>185,714.24</w:t>
            </w:r>
          </w:p>
        </w:tc>
        <w:tc>
          <w:tcPr>
            <w:tcW w:w="566" w:type="pct"/>
            <w:shd w:val="clear" w:color="auto" w:fill="auto"/>
            <w:vAlign w:val="center"/>
          </w:tcPr>
          <w:p w14:paraId="1DBF2BBD">
            <w:pPr>
              <w:jc w:val="right"/>
              <w:rPr>
                <w:rFonts w:hint="eastAsia"/>
              </w:rPr>
            </w:pPr>
            <w:r>
              <w:rPr>
                <w:rFonts w:ascii="Arial Narrow" w:hAnsi="Arial Narrow"/>
                <w:color w:val="000000"/>
                <w:sz w:val="22"/>
                <w:szCs w:val="22"/>
              </w:rPr>
              <w:t>150,000.00</w:t>
            </w:r>
          </w:p>
        </w:tc>
        <w:tc>
          <w:tcPr>
            <w:tcW w:w="567" w:type="pct"/>
            <w:shd w:val="clear" w:color="auto" w:fill="auto"/>
            <w:vAlign w:val="center"/>
          </w:tcPr>
          <w:p w14:paraId="49FDBD1D">
            <w:pPr>
              <w:jc w:val="right"/>
              <w:rPr>
                <w:rFonts w:hint="eastAsia"/>
              </w:rPr>
            </w:pPr>
            <w:r>
              <w:rPr>
                <w:rFonts w:ascii="Arial Narrow" w:hAnsi="Arial Narrow"/>
                <w:color w:val="000000"/>
                <w:sz w:val="22"/>
                <w:szCs w:val="22"/>
              </w:rPr>
              <w:t>195,000.00</w:t>
            </w:r>
          </w:p>
        </w:tc>
        <w:tc>
          <w:tcPr>
            <w:tcW w:w="550" w:type="pct"/>
            <w:shd w:val="clear" w:color="auto" w:fill="auto"/>
            <w:vAlign w:val="center"/>
          </w:tcPr>
          <w:p w14:paraId="264CD801">
            <w:pPr>
              <w:jc w:val="right"/>
              <w:rPr>
                <w:rFonts w:hint="eastAsia"/>
              </w:rPr>
            </w:pPr>
          </w:p>
        </w:tc>
        <w:tc>
          <w:tcPr>
            <w:tcW w:w="592" w:type="pct"/>
            <w:shd w:val="clear" w:color="auto" w:fill="auto"/>
            <w:vAlign w:val="center"/>
          </w:tcPr>
          <w:p w14:paraId="6D07695D">
            <w:pPr>
              <w:jc w:val="right"/>
              <w:rPr>
                <w:rFonts w:hint="eastAsia"/>
              </w:rPr>
            </w:pPr>
          </w:p>
        </w:tc>
      </w:tr>
      <w:tr w14:paraId="64F8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5CC66B59">
            <w:pPr>
              <w:jc w:val="both"/>
              <w:rPr>
                <w:rFonts w:hint="eastAsia"/>
              </w:rPr>
            </w:pPr>
            <w:r>
              <w:t>南京新际资产运营有限公司</w:t>
            </w:r>
          </w:p>
        </w:tc>
        <w:tc>
          <w:tcPr>
            <w:tcW w:w="412" w:type="pct"/>
            <w:shd w:val="clear" w:color="auto" w:fill="auto"/>
            <w:vAlign w:val="center"/>
          </w:tcPr>
          <w:p w14:paraId="43112C78">
            <w:pPr>
              <w:jc w:val="center"/>
              <w:rPr>
                <w:rFonts w:hint="eastAsia"/>
              </w:rPr>
            </w:pPr>
            <w:r>
              <w:t>房屋</w:t>
            </w:r>
          </w:p>
        </w:tc>
        <w:tc>
          <w:tcPr>
            <w:tcW w:w="618" w:type="pct"/>
            <w:shd w:val="clear" w:color="auto" w:fill="auto"/>
            <w:vAlign w:val="center"/>
          </w:tcPr>
          <w:p w14:paraId="04E3CA18">
            <w:pPr>
              <w:jc w:val="right"/>
              <w:rPr>
                <w:rFonts w:hint="eastAsia"/>
              </w:rPr>
            </w:pPr>
          </w:p>
        </w:tc>
        <w:tc>
          <w:tcPr>
            <w:tcW w:w="617" w:type="pct"/>
            <w:shd w:val="clear" w:color="auto" w:fill="auto"/>
            <w:vAlign w:val="center"/>
          </w:tcPr>
          <w:p w14:paraId="31CCADAC">
            <w:pPr>
              <w:jc w:val="right"/>
              <w:rPr>
                <w:rFonts w:hint="eastAsia"/>
              </w:rPr>
            </w:pPr>
          </w:p>
        </w:tc>
        <w:tc>
          <w:tcPr>
            <w:tcW w:w="566" w:type="pct"/>
            <w:shd w:val="clear" w:color="auto" w:fill="auto"/>
            <w:vAlign w:val="center"/>
          </w:tcPr>
          <w:p w14:paraId="142F66BF">
            <w:pPr>
              <w:jc w:val="right"/>
              <w:rPr>
                <w:rFonts w:hint="eastAsia"/>
              </w:rPr>
            </w:pPr>
            <w:r>
              <w:rPr>
                <w:rFonts w:ascii="Arial Narrow" w:hAnsi="Arial Narrow"/>
                <w:color w:val="000000"/>
                <w:sz w:val="22"/>
                <w:szCs w:val="22"/>
              </w:rPr>
              <w:t>500,000.00</w:t>
            </w:r>
          </w:p>
        </w:tc>
        <w:tc>
          <w:tcPr>
            <w:tcW w:w="567" w:type="pct"/>
            <w:shd w:val="clear" w:color="auto" w:fill="auto"/>
            <w:vAlign w:val="center"/>
          </w:tcPr>
          <w:p w14:paraId="798556E5">
            <w:pPr>
              <w:jc w:val="right"/>
              <w:rPr>
                <w:rFonts w:hint="eastAsia"/>
              </w:rPr>
            </w:pPr>
            <w:r>
              <w:rPr>
                <w:rFonts w:ascii="Arial Narrow" w:hAnsi="Arial Narrow"/>
                <w:color w:val="000000"/>
                <w:sz w:val="22"/>
                <w:szCs w:val="22"/>
              </w:rPr>
              <w:t>3,000,000.00</w:t>
            </w:r>
          </w:p>
        </w:tc>
        <w:tc>
          <w:tcPr>
            <w:tcW w:w="550" w:type="pct"/>
            <w:shd w:val="clear" w:color="auto" w:fill="auto"/>
            <w:vAlign w:val="center"/>
          </w:tcPr>
          <w:p w14:paraId="0B638129">
            <w:pPr>
              <w:jc w:val="right"/>
              <w:rPr>
                <w:rFonts w:hint="eastAsia"/>
              </w:rPr>
            </w:pPr>
          </w:p>
        </w:tc>
        <w:tc>
          <w:tcPr>
            <w:tcW w:w="592" w:type="pct"/>
            <w:shd w:val="clear" w:color="auto" w:fill="auto"/>
            <w:vAlign w:val="center"/>
          </w:tcPr>
          <w:p w14:paraId="035EC004">
            <w:pPr>
              <w:jc w:val="right"/>
              <w:rPr>
                <w:rFonts w:hint="eastAsia"/>
              </w:rPr>
            </w:pPr>
          </w:p>
        </w:tc>
      </w:tr>
      <w:tr w14:paraId="7C88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3F07D3F0">
            <w:pPr>
              <w:jc w:val="both"/>
              <w:rPr>
                <w:rFonts w:hint="eastAsia"/>
              </w:rPr>
            </w:pPr>
            <w:r>
              <w:t>石家庄际华资产管理有限公司</w:t>
            </w:r>
          </w:p>
        </w:tc>
        <w:tc>
          <w:tcPr>
            <w:tcW w:w="412" w:type="pct"/>
            <w:shd w:val="clear" w:color="auto" w:fill="auto"/>
            <w:vAlign w:val="center"/>
          </w:tcPr>
          <w:p w14:paraId="2A5A7B40">
            <w:pPr>
              <w:jc w:val="center"/>
              <w:rPr>
                <w:rFonts w:hint="eastAsia"/>
              </w:rPr>
            </w:pPr>
            <w:r>
              <w:t>房屋</w:t>
            </w:r>
          </w:p>
        </w:tc>
        <w:tc>
          <w:tcPr>
            <w:tcW w:w="618" w:type="pct"/>
            <w:shd w:val="clear" w:color="auto" w:fill="auto"/>
            <w:vAlign w:val="center"/>
          </w:tcPr>
          <w:p w14:paraId="6C3710A7">
            <w:pPr>
              <w:jc w:val="right"/>
              <w:rPr>
                <w:rFonts w:hint="eastAsia"/>
              </w:rPr>
            </w:pPr>
            <w:r>
              <w:rPr>
                <w:rFonts w:ascii="Arial Narrow" w:hAnsi="Arial Narrow"/>
                <w:color w:val="000000"/>
                <w:sz w:val="22"/>
                <w:szCs w:val="22"/>
              </w:rPr>
              <w:t>818,452.55</w:t>
            </w:r>
          </w:p>
        </w:tc>
        <w:tc>
          <w:tcPr>
            <w:tcW w:w="617" w:type="pct"/>
            <w:shd w:val="clear" w:color="auto" w:fill="auto"/>
            <w:vAlign w:val="center"/>
          </w:tcPr>
          <w:p w14:paraId="1786BEAC">
            <w:pPr>
              <w:jc w:val="right"/>
              <w:rPr>
                <w:rFonts w:hint="eastAsia"/>
              </w:rPr>
            </w:pPr>
            <w:r>
              <w:rPr>
                <w:rFonts w:ascii="Arial Narrow" w:hAnsi="Arial Narrow"/>
                <w:color w:val="000000"/>
                <w:sz w:val="22"/>
                <w:szCs w:val="22"/>
              </w:rPr>
              <w:t>609,680.35</w:t>
            </w:r>
          </w:p>
        </w:tc>
        <w:tc>
          <w:tcPr>
            <w:tcW w:w="566" w:type="pct"/>
            <w:shd w:val="clear" w:color="auto" w:fill="auto"/>
            <w:vAlign w:val="center"/>
          </w:tcPr>
          <w:p w14:paraId="274D8475">
            <w:pPr>
              <w:jc w:val="right"/>
              <w:rPr>
                <w:rFonts w:hint="eastAsia"/>
              </w:rPr>
            </w:pPr>
            <w:r>
              <w:rPr>
                <w:rFonts w:ascii="Arial Narrow" w:hAnsi="Arial Narrow"/>
                <w:color w:val="000000"/>
                <w:sz w:val="22"/>
                <w:szCs w:val="22"/>
              </w:rPr>
              <w:t>859,375.18</w:t>
            </w:r>
          </w:p>
        </w:tc>
        <w:tc>
          <w:tcPr>
            <w:tcW w:w="567" w:type="pct"/>
            <w:shd w:val="clear" w:color="auto" w:fill="auto"/>
            <w:vAlign w:val="center"/>
          </w:tcPr>
          <w:p w14:paraId="63DF4A47">
            <w:pPr>
              <w:jc w:val="right"/>
              <w:rPr>
                <w:rFonts w:hint="eastAsia"/>
              </w:rPr>
            </w:pPr>
            <w:r>
              <w:rPr>
                <w:rFonts w:ascii="Arial Narrow" w:hAnsi="Arial Narrow"/>
                <w:color w:val="000000"/>
                <w:sz w:val="22"/>
                <w:szCs w:val="22"/>
              </w:rPr>
              <w:t>640,164.37</w:t>
            </w:r>
          </w:p>
        </w:tc>
        <w:tc>
          <w:tcPr>
            <w:tcW w:w="550" w:type="pct"/>
            <w:shd w:val="clear" w:color="auto" w:fill="auto"/>
            <w:vAlign w:val="center"/>
          </w:tcPr>
          <w:p w14:paraId="08317477">
            <w:pPr>
              <w:jc w:val="right"/>
              <w:rPr>
                <w:rFonts w:hint="eastAsia"/>
              </w:rPr>
            </w:pPr>
          </w:p>
        </w:tc>
        <w:tc>
          <w:tcPr>
            <w:tcW w:w="592" w:type="pct"/>
            <w:shd w:val="clear" w:color="auto" w:fill="auto"/>
            <w:vAlign w:val="center"/>
          </w:tcPr>
          <w:p w14:paraId="6C4DB792">
            <w:pPr>
              <w:jc w:val="right"/>
              <w:rPr>
                <w:rFonts w:hint="eastAsia"/>
              </w:rPr>
            </w:pPr>
          </w:p>
        </w:tc>
      </w:tr>
      <w:tr w14:paraId="0968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113FC236">
            <w:pPr>
              <w:jc w:val="both"/>
              <w:rPr>
                <w:rFonts w:hint="eastAsia"/>
              </w:rPr>
            </w:pPr>
            <w:r>
              <w:t>新兴际华（上海）工程科技研究院有限公司</w:t>
            </w:r>
          </w:p>
        </w:tc>
        <w:tc>
          <w:tcPr>
            <w:tcW w:w="412" w:type="pct"/>
            <w:shd w:val="clear" w:color="auto" w:fill="auto"/>
            <w:vAlign w:val="center"/>
          </w:tcPr>
          <w:p w14:paraId="560A507B">
            <w:pPr>
              <w:jc w:val="center"/>
              <w:rPr>
                <w:rFonts w:hint="eastAsia"/>
              </w:rPr>
            </w:pPr>
            <w:r>
              <w:t>房屋</w:t>
            </w:r>
          </w:p>
        </w:tc>
        <w:tc>
          <w:tcPr>
            <w:tcW w:w="618" w:type="pct"/>
            <w:shd w:val="clear" w:color="auto" w:fill="auto"/>
            <w:vAlign w:val="center"/>
          </w:tcPr>
          <w:p w14:paraId="64BE67BB">
            <w:pPr>
              <w:jc w:val="right"/>
              <w:rPr>
                <w:rFonts w:hint="eastAsia"/>
              </w:rPr>
            </w:pPr>
            <w:r>
              <w:rPr>
                <w:rFonts w:ascii="Arial Narrow" w:hAnsi="Arial Narrow"/>
                <w:color w:val="000000"/>
                <w:sz w:val="22"/>
                <w:szCs w:val="22"/>
              </w:rPr>
              <w:t>58,200.00</w:t>
            </w:r>
          </w:p>
        </w:tc>
        <w:tc>
          <w:tcPr>
            <w:tcW w:w="617" w:type="pct"/>
            <w:shd w:val="clear" w:color="auto" w:fill="auto"/>
            <w:vAlign w:val="center"/>
          </w:tcPr>
          <w:p w14:paraId="779E6418">
            <w:pPr>
              <w:jc w:val="right"/>
              <w:rPr>
                <w:rFonts w:hint="eastAsia"/>
              </w:rPr>
            </w:pPr>
            <w:r>
              <w:rPr>
                <w:rFonts w:ascii="Arial Narrow" w:hAnsi="Arial Narrow"/>
                <w:color w:val="000000"/>
                <w:sz w:val="22"/>
                <w:szCs w:val="22"/>
              </w:rPr>
              <w:t>9,700.00</w:t>
            </w:r>
          </w:p>
        </w:tc>
        <w:tc>
          <w:tcPr>
            <w:tcW w:w="566" w:type="pct"/>
            <w:shd w:val="clear" w:color="auto" w:fill="auto"/>
            <w:vAlign w:val="center"/>
          </w:tcPr>
          <w:p w14:paraId="1272F3E4">
            <w:pPr>
              <w:jc w:val="right"/>
              <w:rPr>
                <w:rFonts w:hint="eastAsia"/>
              </w:rPr>
            </w:pPr>
            <w:r>
              <w:rPr>
                <w:rFonts w:ascii="Arial Narrow" w:hAnsi="Arial Narrow"/>
                <w:color w:val="000000"/>
                <w:sz w:val="22"/>
                <w:szCs w:val="22"/>
              </w:rPr>
              <w:t>63,438.00</w:t>
            </w:r>
          </w:p>
        </w:tc>
        <w:tc>
          <w:tcPr>
            <w:tcW w:w="567" w:type="pct"/>
            <w:shd w:val="clear" w:color="auto" w:fill="auto"/>
            <w:vAlign w:val="center"/>
          </w:tcPr>
          <w:p w14:paraId="5F033F61">
            <w:pPr>
              <w:jc w:val="right"/>
              <w:rPr>
                <w:rFonts w:hint="eastAsia"/>
              </w:rPr>
            </w:pPr>
            <w:r>
              <w:rPr>
                <w:rFonts w:ascii="Arial Narrow" w:hAnsi="Arial Narrow"/>
                <w:color w:val="000000"/>
                <w:sz w:val="22"/>
                <w:szCs w:val="22"/>
              </w:rPr>
              <w:t>10,573.00</w:t>
            </w:r>
          </w:p>
        </w:tc>
        <w:tc>
          <w:tcPr>
            <w:tcW w:w="550" w:type="pct"/>
            <w:shd w:val="clear" w:color="auto" w:fill="auto"/>
            <w:vAlign w:val="center"/>
          </w:tcPr>
          <w:p w14:paraId="1AA34601">
            <w:pPr>
              <w:jc w:val="right"/>
              <w:rPr>
                <w:rFonts w:hint="eastAsia"/>
              </w:rPr>
            </w:pPr>
          </w:p>
        </w:tc>
        <w:tc>
          <w:tcPr>
            <w:tcW w:w="592" w:type="pct"/>
            <w:shd w:val="clear" w:color="auto" w:fill="auto"/>
            <w:vAlign w:val="center"/>
          </w:tcPr>
          <w:p w14:paraId="04C15F12">
            <w:pPr>
              <w:jc w:val="right"/>
              <w:rPr>
                <w:rFonts w:hint="eastAsia"/>
              </w:rPr>
            </w:pPr>
          </w:p>
        </w:tc>
      </w:tr>
      <w:tr w14:paraId="17F0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pct"/>
            <w:shd w:val="clear" w:color="auto" w:fill="auto"/>
            <w:vAlign w:val="center"/>
          </w:tcPr>
          <w:p w14:paraId="194CE9CA">
            <w:pPr>
              <w:jc w:val="center"/>
              <w:rPr>
                <w:rFonts w:hint="eastAsia"/>
              </w:rPr>
            </w:pPr>
            <w:r>
              <w:t>合计</w:t>
            </w:r>
          </w:p>
        </w:tc>
        <w:tc>
          <w:tcPr>
            <w:tcW w:w="412" w:type="pct"/>
            <w:shd w:val="clear" w:color="auto" w:fill="auto"/>
            <w:vAlign w:val="center"/>
          </w:tcPr>
          <w:p w14:paraId="36B1B9A8">
            <w:pPr>
              <w:jc w:val="center"/>
              <w:rPr>
                <w:rFonts w:hint="eastAsia"/>
              </w:rPr>
            </w:pPr>
          </w:p>
        </w:tc>
        <w:tc>
          <w:tcPr>
            <w:tcW w:w="618" w:type="pct"/>
            <w:shd w:val="clear" w:color="auto" w:fill="auto"/>
            <w:vAlign w:val="center"/>
          </w:tcPr>
          <w:p w14:paraId="5B2C429D">
            <w:pPr>
              <w:jc w:val="right"/>
              <w:rPr>
                <w:rFonts w:hint="eastAsia"/>
              </w:rPr>
            </w:pPr>
            <w:r>
              <w:rPr>
                <w:rFonts w:ascii="Arial Narrow" w:hAnsi="Arial Narrow"/>
                <w:color w:val="000000"/>
                <w:sz w:val="22"/>
                <w:szCs w:val="22"/>
              </w:rPr>
              <w:t>12,526,801.92</w:t>
            </w:r>
          </w:p>
        </w:tc>
        <w:tc>
          <w:tcPr>
            <w:tcW w:w="617" w:type="pct"/>
            <w:shd w:val="clear" w:color="auto" w:fill="auto"/>
            <w:vAlign w:val="center"/>
          </w:tcPr>
          <w:p w14:paraId="4C04600B">
            <w:pPr>
              <w:jc w:val="right"/>
              <w:rPr>
                <w:rFonts w:hint="eastAsia"/>
              </w:rPr>
            </w:pPr>
            <w:r>
              <w:rPr>
                <w:rFonts w:ascii="Arial Narrow" w:hAnsi="Arial Narrow"/>
                <w:color w:val="000000"/>
                <w:sz w:val="22"/>
                <w:szCs w:val="22"/>
              </w:rPr>
              <w:t>8,628,016.66</w:t>
            </w:r>
          </w:p>
        </w:tc>
        <w:tc>
          <w:tcPr>
            <w:tcW w:w="566" w:type="pct"/>
            <w:shd w:val="clear" w:color="auto" w:fill="auto"/>
            <w:vAlign w:val="center"/>
          </w:tcPr>
          <w:p w14:paraId="5EE56C1F">
            <w:pPr>
              <w:jc w:val="right"/>
              <w:rPr>
                <w:rFonts w:hint="eastAsia"/>
              </w:rPr>
            </w:pPr>
            <w:r>
              <w:rPr>
                <w:rFonts w:ascii="Arial Narrow" w:hAnsi="Arial Narrow"/>
                <w:color w:val="000000"/>
                <w:sz w:val="22"/>
                <w:szCs w:val="22"/>
              </w:rPr>
              <w:t>6,766,769.54</w:t>
            </w:r>
          </w:p>
        </w:tc>
        <w:tc>
          <w:tcPr>
            <w:tcW w:w="567" w:type="pct"/>
            <w:shd w:val="clear" w:color="auto" w:fill="auto"/>
            <w:vAlign w:val="center"/>
          </w:tcPr>
          <w:p w14:paraId="2271D135">
            <w:pPr>
              <w:jc w:val="right"/>
              <w:rPr>
                <w:rFonts w:hint="eastAsia"/>
              </w:rPr>
            </w:pPr>
            <w:r>
              <w:rPr>
                <w:rFonts w:ascii="Arial Narrow" w:hAnsi="Arial Narrow"/>
                <w:color w:val="000000"/>
                <w:sz w:val="22"/>
                <w:szCs w:val="22"/>
              </w:rPr>
              <w:t>32,675,193.20</w:t>
            </w:r>
          </w:p>
        </w:tc>
        <w:tc>
          <w:tcPr>
            <w:tcW w:w="550" w:type="pct"/>
            <w:shd w:val="clear" w:color="auto" w:fill="auto"/>
            <w:vAlign w:val="center"/>
          </w:tcPr>
          <w:p w14:paraId="03739FF8">
            <w:pPr>
              <w:jc w:val="right"/>
              <w:rPr>
                <w:rFonts w:hint="eastAsia"/>
              </w:rPr>
            </w:pPr>
            <w:r>
              <w:rPr>
                <w:rFonts w:ascii="Arial Narrow" w:hAnsi="Arial Narrow"/>
                <w:color w:val="000000"/>
                <w:sz w:val="22"/>
                <w:szCs w:val="22"/>
              </w:rPr>
              <w:t>191,116.82</w:t>
            </w:r>
          </w:p>
        </w:tc>
        <w:tc>
          <w:tcPr>
            <w:tcW w:w="592" w:type="pct"/>
            <w:shd w:val="clear" w:color="auto" w:fill="auto"/>
            <w:vAlign w:val="center"/>
          </w:tcPr>
          <w:p w14:paraId="05CCAC0A">
            <w:pPr>
              <w:jc w:val="right"/>
              <w:rPr>
                <w:rFonts w:hint="eastAsia"/>
              </w:rPr>
            </w:pPr>
            <w:r>
              <w:rPr>
                <w:rFonts w:ascii="Arial Narrow" w:hAnsi="Arial Narrow"/>
                <w:color w:val="000000"/>
                <w:sz w:val="22"/>
                <w:szCs w:val="22"/>
              </w:rPr>
              <w:t>732,366.78</w:t>
            </w:r>
          </w:p>
        </w:tc>
      </w:tr>
    </w:tbl>
    <w:p w14:paraId="050DB2C8">
      <w:pPr>
        <w:rPr>
          <w:rFonts w:hint="eastAsia"/>
        </w:rPr>
      </w:pPr>
    </w:p>
    <w:p w14:paraId="5441545C">
      <w:pPr>
        <w:rPr>
          <w:rFonts w:hint="eastAsia"/>
          <w:szCs w:val="21"/>
        </w:rPr>
      </w:pPr>
      <w:r>
        <w:rPr>
          <w:rFonts w:hint="eastAsia"/>
          <w:szCs w:val="21"/>
        </w:rPr>
        <w:t>关联租赁情况说明</w:t>
      </w:r>
    </w:p>
    <w:sdt>
      <w:sdtPr>
        <w:rPr>
          <w:szCs w:val="21"/>
        </w:rPr>
        <w:alias w:val="是否适用：关联租赁情况说明[双击切换]"/>
        <w:tag w:val="_GBC_f11304240a9e46d8b340976a035205d3"/>
        <w:id w:val="-1442682220"/>
        <w:placeholder>
          <w:docPart w:val="GBC22222222222222222222222222222"/>
        </w:placeholder>
      </w:sdtPr>
      <w:sdtEndPr>
        <w:rPr>
          <w:szCs w:val="21"/>
        </w:rPr>
      </w:sdtEndPr>
      <w:sdtContent>
        <w:p w14:paraId="75874F8B">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3038AB2">
      <w:pPr>
        <w:rPr>
          <w:rFonts w:hint="eastAsia"/>
          <w:szCs w:val="21"/>
        </w:rPr>
      </w:pPr>
    </w:p>
    <w:p w14:paraId="19ECAA9B">
      <w:pPr>
        <w:rPr>
          <w:rFonts w:hint="eastAsia"/>
        </w:rPr>
      </w:pPr>
    </w:p>
    <w:p w14:paraId="2759AAEA">
      <w:pPr>
        <w:rPr>
          <w:rFonts w:hint="eastAsia"/>
        </w:rPr>
        <w:sectPr>
          <w:pgSz w:w="16838" w:h="11906" w:orient="landscape"/>
          <w:pgMar w:top="1797" w:right="1525" w:bottom="1276" w:left="1440" w:header="856" w:footer="992" w:gutter="0"/>
          <w:cols w:space="425" w:num="1"/>
          <w:docGrid w:linePitch="312" w:charSpace="0"/>
        </w:sectPr>
      </w:pPr>
    </w:p>
    <w:p w14:paraId="35FEAC19">
      <w:pPr>
        <w:rPr>
          <w:rFonts w:hint="eastAsia"/>
        </w:rPr>
      </w:pPr>
    </w:p>
    <w:p w14:paraId="061D13CD">
      <w:pPr>
        <w:pStyle w:val="71"/>
        <w:numPr>
          <w:ilvl w:val="3"/>
          <w:numId w:val="164"/>
        </w:numPr>
        <w:ind w:left="424" w:hanging="424" w:hangingChars="201"/>
        <w:rPr>
          <w:rFonts w:hint="eastAsia"/>
        </w:rPr>
      </w:pPr>
      <w:r>
        <w:rPr>
          <w:rFonts w:hint="eastAsia"/>
        </w:rPr>
        <w:t>关联担保情况</w:t>
      </w:r>
    </w:p>
    <w:p w14:paraId="248D5559">
      <w:pPr>
        <w:rPr>
          <w:rFonts w:hint="eastAsia"/>
        </w:rPr>
      </w:pPr>
      <w:r>
        <w:rPr>
          <w:rFonts w:hint="eastAsia"/>
        </w:rPr>
        <w:t>本公司作为担保方</w:t>
      </w:r>
    </w:p>
    <w:sdt>
      <w:sdtPr>
        <w:alias w:val="是否适用：本公司作为担保方的担保情况表[双击切换]"/>
        <w:tag w:val="_GBC_4ba390d56c0645788c7893af84ca2773"/>
        <w:id w:val="-105892890"/>
        <w:placeholder>
          <w:docPart w:val="GBC22222222222222222222222222222"/>
        </w:placeholder>
      </w:sdtPr>
      <w:sdtContent>
        <w:p w14:paraId="5775E980">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AE3317C">
      <w:pPr>
        <w:rPr>
          <w:rFonts w:hint="eastAsia"/>
        </w:rPr>
      </w:pPr>
    </w:p>
    <w:p w14:paraId="618BAF10">
      <w:pPr>
        <w:rPr>
          <w:rFonts w:ascii="Cambria" w:hAnsi="Cambria" w:cs="Cambria"/>
        </w:rPr>
      </w:pPr>
      <w:r>
        <w:rPr>
          <w:rFonts w:hint="eastAsia" w:ascii="Cambria" w:hAnsi="Cambria" w:cs="Cambria"/>
        </w:rPr>
        <w:t>本公司作为被担保方</w:t>
      </w:r>
    </w:p>
    <w:sdt>
      <w:sdtPr>
        <w:rPr>
          <w:rFonts w:ascii="Cambria" w:hAnsi="Cambria" w:cs="Cambria"/>
        </w:rPr>
        <w:alias w:val="是否适用：本公司作为被担保方的担保情况表[双击切换]"/>
        <w:tag w:val="_GBC_24ee28d66e214f089c669dca4a51a3a4"/>
        <w:id w:val="1325699360"/>
        <w:placeholder>
          <w:docPart w:val="GBC22222222222222222222222222222"/>
        </w:placeholder>
      </w:sdtPr>
      <w:sdtEndPr>
        <w:rPr>
          <w:rFonts w:ascii="Cambria" w:hAnsi="Cambria" w:cs="Cambria"/>
        </w:rPr>
      </w:sdtEndPr>
      <w:sdtContent>
        <w:p w14:paraId="3D39F387">
          <w:pPr>
            <w:rPr>
              <w:rFonts w:ascii="Cambria" w:hAnsi="Cambria" w:cs="Cambria"/>
            </w:rPr>
          </w:pPr>
          <w:r>
            <w:rPr>
              <w:rFonts w:cs="Cambria"/>
            </w:rPr>
            <w:fldChar w:fldCharType="begin"/>
          </w:r>
          <w:r>
            <w:rPr>
              <w:rFonts w:hint="eastAsia" w:cs="Cambria"/>
            </w:rPr>
            <w:instrText xml:space="preserve">MACROBUTTON  SnrToggleCheckbox □适用 </w:instrText>
          </w:r>
          <w:r>
            <w:rPr>
              <w:rFonts w:cs="Cambria"/>
            </w:rPr>
            <w:fldChar w:fldCharType="end"/>
          </w:r>
          <w:r>
            <w:rPr>
              <w:rFonts w:cs="Cambria"/>
            </w:rPr>
            <w:fldChar w:fldCharType="begin"/>
          </w:r>
          <w:r>
            <w:rPr>
              <w:rFonts w:hint="eastAsia" w:cs="Cambria"/>
            </w:rPr>
            <w:instrText xml:space="preserve"> MACROBUTTON  SnrToggleCheckbox √不适用 </w:instrText>
          </w:r>
          <w:r>
            <w:rPr>
              <w:rFonts w:cs="Cambria"/>
            </w:rPr>
            <w:fldChar w:fldCharType="end"/>
          </w:r>
        </w:p>
      </w:sdtContent>
    </w:sdt>
    <w:p w14:paraId="14FE56CF">
      <w:pPr>
        <w:rPr>
          <w:rFonts w:hint="eastAsia"/>
        </w:rPr>
      </w:pPr>
    </w:p>
    <w:p w14:paraId="734060F9">
      <w:pPr>
        <w:rPr>
          <w:rFonts w:ascii="Cambria" w:hAnsi="Cambria" w:cs="Cambria"/>
        </w:rPr>
      </w:pPr>
      <w:r>
        <w:rPr>
          <w:rFonts w:hint="eastAsia" w:ascii="Cambria" w:hAnsi="Cambria" w:cs="Cambria"/>
        </w:rPr>
        <w:t>关联担保情况说明</w:t>
      </w:r>
    </w:p>
    <w:sdt>
      <w:sdtPr>
        <w:rPr>
          <w:rFonts w:ascii="Cambria" w:hAnsi="Cambria" w:cs="Cambria"/>
        </w:rPr>
        <w:alias w:val="是否适用：关联担保情况说明[双击切换]"/>
        <w:tag w:val="_GBC_455c21d6a2674726afee6a2386be7898"/>
        <w:id w:val="-363673560"/>
        <w:placeholder>
          <w:docPart w:val="GBC22222222222222222222222222222"/>
        </w:placeholder>
      </w:sdtPr>
      <w:sdtEndPr>
        <w:rPr>
          <w:rFonts w:ascii="Cambria" w:hAnsi="Cambria" w:cs="Cambria"/>
        </w:rPr>
      </w:sdtEndPr>
      <w:sdtContent>
        <w:p w14:paraId="1984AC09">
          <w:pPr>
            <w:rPr>
              <w:rFonts w:ascii="Cambria" w:hAnsi="Cambria" w:cs="Cambria"/>
            </w:rPr>
          </w:pPr>
          <w:r>
            <w:rPr>
              <w:rFonts w:cs="Cambria"/>
            </w:rPr>
            <w:fldChar w:fldCharType="begin"/>
          </w:r>
          <w:r>
            <w:rPr>
              <w:rFonts w:hint="eastAsia" w:cs="Cambria"/>
            </w:rPr>
            <w:instrText xml:space="preserve">MACROBUTTON  SnrToggleCheckbox □适用 </w:instrText>
          </w:r>
          <w:r>
            <w:rPr>
              <w:rFonts w:cs="Cambria"/>
            </w:rPr>
            <w:fldChar w:fldCharType="end"/>
          </w:r>
          <w:r>
            <w:rPr>
              <w:rFonts w:cs="Cambria"/>
            </w:rPr>
            <w:fldChar w:fldCharType="begin"/>
          </w:r>
          <w:r>
            <w:rPr>
              <w:rFonts w:hint="eastAsia" w:cs="Cambria"/>
            </w:rPr>
            <w:instrText xml:space="preserve"> MACROBUTTON  SnrToggleCheckbox √不适用 </w:instrText>
          </w:r>
          <w:r>
            <w:rPr>
              <w:rFonts w:cs="Cambria"/>
            </w:rPr>
            <w:fldChar w:fldCharType="end"/>
          </w:r>
        </w:p>
      </w:sdtContent>
    </w:sdt>
    <w:p w14:paraId="11C8A48C">
      <w:pPr>
        <w:rPr>
          <w:rFonts w:ascii="Cambria" w:hAnsi="Cambria" w:cs="Cambria"/>
          <w:sz w:val="20"/>
          <w:szCs w:val="20"/>
        </w:rPr>
      </w:pPr>
    </w:p>
    <w:p w14:paraId="595D4914">
      <w:pPr>
        <w:pStyle w:val="71"/>
        <w:numPr>
          <w:ilvl w:val="3"/>
          <w:numId w:val="164"/>
        </w:numPr>
        <w:ind w:left="424" w:hanging="424" w:hangingChars="201"/>
        <w:rPr>
          <w:rFonts w:hint="eastAsia"/>
        </w:rPr>
      </w:pPr>
      <w:r>
        <w:rPr>
          <w:rFonts w:hint="eastAsia"/>
        </w:rPr>
        <w:t>关联方资金拆借</w:t>
      </w:r>
    </w:p>
    <w:sdt>
      <w:sdtPr>
        <w:alias w:val="是否适用：关联方资金拆借[双击切换]"/>
        <w:tag w:val="_GBC_9b5630a86e1e452494249106e2600b15"/>
        <w:id w:val="552046307"/>
        <w:placeholder>
          <w:docPart w:val="GBC22222222222222222222222222222"/>
        </w:placeholder>
      </w:sdtPr>
      <w:sdtContent>
        <w:p w14:paraId="6AC96346">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F25A8E">
      <w:pPr>
        <w:jc w:val="right"/>
        <w:rPr>
          <w:rFonts w:ascii="Cambria" w:hAnsi="Cambria" w:cs="Cambria"/>
        </w:rPr>
      </w:pPr>
      <w:r>
        <w:rPr>
          <w:rFonts w:hint="eastAsia" w:ascii="Cambria" w:hAnsi="Cambria" w:cs="Cambria"/>
        </w:rPr>
        <w:t>单位：</w:t>
      </w:r>
      <w:sdt>
        <w:sdtPr>
          <w:rPr>
            <w:rFonts w:hint="eastAsia" w:ascii="Cambria" w:hAnsi="Cambria" w:cs="Cambria"/>
          </w:rPr>
          <w:alias w:val="单位：关联方资金拆借"/>
          <w:tag w:val="_GBC_638fcfec5a6e4e3da37731c50c9e14c8"/>
          <w:id w:val="-2831098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Cambria" w:hAnsi="Cambria" w:cs="Cambria"/>
          </w:rPr>
        </w:sdtEndPr>
        <w:sdtContent>
          <w:r>
            <w:rPr>
              <w:rFonts w:hint="eastAsia" w:ascii="Cambria" w:hAnsi="Cambria" w:cs="Cambria"/>
            </w:rPr>
            <w:t>元</w:t>
          </w:r>
        </w:sdtContent>
      </w:sdt>
      <w:r>
        <w:rPr>
          <w:rFonts w:hint="eastAsia" w:ascii="Cambria" w:hAnsi="Cambria" w:cs="Cambria"/>
        </w:rPr>
        <w:t xml:space="preserve">  币种：</w:t>
      </w:r>
      <w:sdt>
        <w:sdtPr>
          <w:rPr>
            <w:rFonts w:hint="eastAsia" w:ascii="Cambria" w:hAnsi="Cambria" w:cs="Cambria"/>
          </w:rPr>
          <w:alias w:val="币种：关联方资金拆借"/>
          <w:tag w:val="_GBC_9ffab5562b4d42a7ad87881f0bdc32c6"/>
          <w:id w:val="8461465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Cambria" w:hAnsi="Cambria" w:cs="Cambria"/>
          </w:rPr>
        </w:sdtEndPr>
        <w:sdtContent>
          <w:r>
            <w:rPr>
              <w:rFonts w:hint="eastAsia" w:ascii="Cambria" w:hAnsi="Cambria" w:cs="Cambr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2051"/>
        <w:gridCol w:w="1738"/>
        <w:gridCol w:w="1740"/>
      </w:tblGrid>
      <w:tr w14:paraId="5CDF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szCs w:val="21"/>
            </w:rPr>
            <w:tag w:val="_PLD_ba0b1157f84a43a686cdfdb96fc9f605"/>
            <w:id w:val="-339852140"/>
          </w:sdtPr>
          <w:sdtEndPr>
            <w:rPr>
              <w:rFonts w:ascii="Arial Narrow" w:hAnsi="Arial Narrow"/>
              <w:szCs w:val="21"/>
            </w:rPr>
          </w:sdtEndPr>
          <w:sdtContent>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3587F7C2">
                <w:pPr>
                  <w:jc w:val="center"/>
                  <w:rPr>
                    <w:rFonts w:ascii="Arial Narrow" w:hAnsi="Arial Narrow" w:cs="Cambria"/>
                    <w:szCs w:val="21"/>
                  </w:rPr>
                </w:pPr>
                <w:r>
                  <w:rPr>
                    <w:rFonts w:ascii="Arial Narrow" w:hAnsi="Arial Narrow" w:cs="Cambria"/>
                    <w:szCs w:val="21"/>
                  </w:rPr>
                  <w:t>关联方</w:t>
                </w:r>
              </w:p>
            </w:tc>
          </w:sdtContent>
        </w:sdt>
        <w:sdt>
          <w:sdtPr>
            <w:rPr>
              <w:rFonts w:ascii="Arial Narrow" w:hAnsi="Arial Narrow"/>
              <w:szCs w:val="21"/>
            </w:rPr>
            <w:tag w:val="_PLD_d89f0030cf1644d88e79247fb06b91f6"/>
            <w:id w:val="1202600139"/>
          </w:sdtPr>
          <w:sdtEndPr>
            <w:rPr>
              <w:rFonts w:ascii="Arial Narrow" w:hAnsi="Arial Narrow"/>
              <w:szCs w:val="21"/>
            </w:rPr>
          </w:sdtEndPr>
          <w:sdtContent>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3C389B07">
                <w:pPr>
                  <w:jc w:val="center"/>
                  <w:rPr>
                    <w:rFonts w:ascii="Arial Narrow" w:hAnsi="Arial Narrow" w:cs="Cambria"/>
                    <w:szCs w:val="21"/>
                  </w:rPr>
                </w:pPr>
                <w:r>
                  <w:rPr>
                    <w:rFonts w:ascii="Arial Narrow" w:hAnsi="Arial Narrow" w:cs="Cambria"/>
                    <w:szCs w:val="21"/>
                  </w:rPr>
                  <w:t>拆借金额</w:t>
                </w:r>
              </w:p>
            </w:tc>
          </w:sdtContent>
        </w:sdt>
        <w:sdt>
          <w:sdtPr>
            <w:rPr>
              <w:rFonts w:ascii="Arial Narrow" w:hAnsi="Arial Narrow"/>
              <w:szCs w:val="21"/>
            </w:rPr>
            <w:tag w:val="_PLD_1a3f019482694e2a9a19e9e491c88664"/>
            <w:id w:val="155351652"/>
          </w:sdtPr>
          <w:sdtEndPr>
            <w:rPr>
              <w:rFonts w:ascii="Arial Narrow" w:hAnsi="Arial Narrow"/>
              <w:szCs w:val="21"/>
            </w:rPr>
          </w:sdtEndPr>
          <w:sdtContent>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2A0354E">
                <w:pPr>
                  <w:jc w:val="center"/>
                  <w:rPr>
                    <w:rFonts w:ascii="Arial Narrow" w:hAnsi="Arial Narrow" w:cs="Cambria"/>
                    <w:szCs w:val="21"/>
                  </w:rPr>
                </w:pPr>
                <w:r>
                  <w:rPr>
                    <w:rFonts w:ascii="Arial Narrow" w:hAnsi="Arial Narrow" w:cs="Cambria"/>
                    <w:szCs w:val="21"/>
                  </w:rPr>
                  <w:t>起始日</w:t>
                </w:r>
              </w:p>
            </w:tc>
          </w:sdtContent>
        </w:sdt>
        <w:sdt>
          <w:sdtPr>
            <w:rPr>
              <w:rFonts w:ascii="Arial Narrow" w:hAnsi="Arial Narrow"/>
              <w:szCs w:val="21"/>
            </w:rPr>
            <w:tag w:val="_PLD_18f4f70188ee44fa8cca86fccfa00f81"/>
            <w:id w:val="-1143038856"/>
          </w:sdtPr>
          <w:sdtEndPr>
            <w:rPr>
              <w:rFonts w:ascii="Arial Narrow" w:hAnsi="Arial Narrow"/>
              <w:szCs w:val="21"/>
            </w:rPr>
          </w:sdtEndPr>
          <w:sdtContent>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729E267">
                <w:pPr>
                  <w:jc w:val="center"/>
                  <w:rPr>
                    <w:rFonts w:ascii="Arial Narrow" w:hAnsi="Arial Narrow" w:cs="Cambria"/>
                    <w:szCs w:val="21"/>
                  </w:rPr>
                </w:pPr>
                <w:r>
                  <w:rPr>
                    <w:rFonts w:ascii="Arial Narrow" w:hAnsi="Arial Narrow" w:cs="Cambria"/>
                    <w:szCs w:val="21"/>
                  </w:rPr>
                  <w:t>到期日</w:t>
                </w:r>
              </w:p>
            </w:tc>
          </w:sdtContent>
        </w:sdt>
      </w:tr>
      <w:tr w14:paraId="2139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szCs w:val="21"/>
            </w:rPr>
            <w:tag w:val="_PLD_bbb3c9aea6344d1392ee30f16141055a"/>
            <w:id w:val="1936170477"/>
          </w:sdtPr>
          <w:sdtEndPr>
            <w:rPr>
              <w:rFonts w:ascii="Arial Narrow" w:hAnsi="Arial Narrow"/>
              <w:szCs w:val="21"/>
            </w:rPr>
          </w:sdtEndPr>
          <w:sdtContent>
            <w:tc>
              <w:tcPr>
                <w:tcW w:w="4998" w:type="pct"/>
                <w:gridSpan w:val="4"/>
                <w:tcBorders>
                  <w:top w:val="single" w:color="auto" w:sz="4" w:space="0"/>
                  <w:left w:val="single" w:color="auto" w:sz="4" w:space="0"/>
                  <w:bottom w:val="single" w:color="auto" w:sz="4" w:space="0"/>
                  <w:right w:val="single" w:color="auto" w:sz="4" w:space="0"/>
                </w:tcBorders>
                <w:shd w:val="clear" w:color="auto" w:fill="auto"/>
              </w:tcPr>
              <w:p w14:paraId="017C8651">
                <w:pPr>
                  <w:rPr>
                    <w:rFonts w:ascii="Arial Narrow" w:hAnsi="Arial Narrow" w:cs="Cambria"/>
                    <w:szCs w:val="21"/>
                  </w:rPr>
                </w:pPr>
                <w:r>
                  <w:rPr>
                    <w:rFonts w:ascii="Arial Narrow" w:hAnsi="Arial Narrow" w:cs="Cambria"/>
                    <w:szCs w:val="21"/>
                  </w:rPr>
                  <w:t>拆入</w:t>
                </w:r>
              </w:p>
            </w:tc>
          </w:sdtContent>
        </w:sdt>
      </w:tr>
      <w:tr w14:paraId="3328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351715D4">
            <w:pPr>
              <w:rPr>
                <w:rFonts w:ascii="Arial Narrow" w:hAnsi="Arial Narrow" w:cs="Cambria"/>
                <w:szCs w:val="21"/>
              </w:rPr>
            </w:pPr>
            <w:r>
              <w:rPr>
                <w:rFonts w:ascii="Arial Narrow" w:hAnsi="Arial Narrow"/>
                <w:szCs w:val="21"/>
              </w:rPr>
              <w:t>新兴际华资产经营管理有限公司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51AD2A2A">
            <w:pPr>
              <w:jc w:val="right"/>
              <w:rPr>
                <w:rFonts w:ascii="Arial Narrow" w:hAnsi="Arial Narrow" w:cs="Cambria"/>
                <w:szCs w:val="21"/>
              </w:rPr>
            </w:pPr>
            <w:r>
              <w:rPr>
                <w:rFonts w:ascii="Arial Narrow" w:hAnsi="Arial Narrow"/>
                <w:szCs w:val="21"/>
              </w:rPr>
              <w:t>11,000,000.00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B375BAB">
            <w:pPr>
              <w:jc w:val="center"/>
              <w:rPr>
                <w:rFonts w:ascii="Arial Narrow" w:hAnsi="Arial Narrow" w:cs="Cambria"/>
                <w:szCs w:val="21"/>
              </w:rPr>
            </w:pPr>
            <w:r>
              <w:rPr>
                <w:rFonts w:ascii="Arial Narrow" w:hAnsi="Arial Narrow"/>
                <w:szCs w:val="21"/>
              </w:rPr>
              <w:t>2023/7/18</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5C49F84">
            <w:pPr>
              <w:jc w:val="center"/>
              <w:rPr>
                <w:rFonts w:ascii="Arial Narrow" w:hAnsi="Arial Narrow" w:cs="Cambria"/>
                <w:szCs w:val="21"/>
              </w:rPr>
            </w:pPr>
            <w:r>
              <w:rPr>
                <w:rFonts w:ascii="Arial Narrow" w:hAnsi="Arial Narrow"/>
                <w:szCs w:val="21"/>
              </w:rPr>
              <w:t>2025/12/31</w:t>
            </w:r>
          </w:p>
        </w:tc>
      </w:tr>
      <w:tr w14:paraId="6280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2C96351D">
            <w:pPr>
              <w:rPr>
                <w:rFonts w:ascii="Arial Narrow" w:hAnsi="Arial Narrow" w:cs="Cambria"/>
                <w:szCs w:val="21"/>
              </w:rPr>
            </w:pPr>
            <w:r>
              <w:rPr>
                <w:rFonts w:ascii="Arial Narrow" w:hAnsi="Arial Narrow"/>
                <w:szCs w:val="21"/>
              </w:rPr>
              <w:t>新兴际华资产经营管理有限公司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9806571">
            <w:pPr>
              <w:jc w:val="right"/>
              <w:rPr>
                <w:rFonts w:ascii="Arial Narrow" w:hAnsi="Arial Narrow" w:cs="Cambria"/>
                <w:szCs w:val="21"/>
              </w:rPr>
            </w:pPr>
            <w:r>
              <w:rPr>
                <w:rFonts w:ascii="Arial Narrow" w:hAnsi="Arial Narrow"/>
                <w:szCs w:val="21"/>
              </w:rPr>
              <w:t>3,000,000.00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DC05399">
            <w:pPr>
              <w:jc w:val="center"/>
              <w:rPr>
                <w:rFonts w:ascii="Arial Narrow" w:hAnsi="Arial Narrow" w:cs="Cambria"/>
                <w:szCs w:val="21"/>
              </w:rPr>
            </w:pPr>
            <w:r>
              <w:rPr>
                <w:rFonts w:ascii="Arial Narrow" w:hAnsi="Arial Narrow"/>
                <w:szCs w:val="21"/>
              </w:rPr>
              <w:t>2024/1/22</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6541397">
            <w:pPr>
              <w:jc w:val="center"/>
              <w:rPr>
                <w:rFonts w:ascii="Arial Narrow" w:hAnsi="Arial Narrow" w:cs="Cambria"/>
                <w:szCs w:val="21"/>
              </w:rPr>
            </w:pPr>
            <w:r>
              <w:rPr>
                <w:rFonts w:ascii="Arial Narrow" w:hAnsi="Arial Narrow"/>
                <w:szCs w:val="21"/>
              </w:rPr>
              <w:t>2025/12/31</w:t>
            </w:r>
          </w:p>
        </w:tc>
      </w:tr>
      <w:tr w14:paraId="18BC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6BC4854F">
            <w:pPr>
              <w:rPr>
                <w:rFonts w:ascii="Arial Narrow" w:hAnsi="Arial Narrow" w:cs="Cambria"/>
                <w:szCs w:val="21"/>
              </w:rPr>
            </w:pPr>
            <w:r>
              <w:rPr>
                <w:rFonts w:ascii="Arial Narrow" w:hAnsi="Arial Narrow"/>
                <w:szCs w:val="21"/>
              </w:rPr>
              <w:t>新兴际华资产经营管理有限公司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6D3B122B">
            <w:pPr>
              <w:jc w:val="right"/>
              <w:rPr>
                <w:rFonts w:ascii="Arial Narrow" w:hAnsi="Arial Narrow" w:cs="Cambria"/>
                <w:szCs w:val="21"/>
              </w:rPr>
            </w:pPr>
            <w:r>
              <w:rPr>
                <w:rFonts w:ascii="Arial Narrow" w:hAnsi="Arial Narrow"/>
                <w:szCs w:val="21"/>
              </w:rPr>
              <w:t>2,000,000.00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E35002C">
            <w:pPr>
              <w:jc w:val="center"/>
              <w:rPr>
                <w:rFonts w:ascii="Arial Narrow" w:hAnsi="Arial Narrow" w:cs="Cambria"/>
                <w:szCs w:val="21"/>
              </w:rPr>
            </w:pPr>
            <w:r>
              <w:rPr>
                <w:rFonts w:ascii="Arial Narrow" w:hAnsi="Arial Narrow"/>
                <w:szCs w:val="21"/>
              </w:rPr>
              <w:t>2024/6/28</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25457E6">
            <w:pPr>
              <w:jc w:val="center"/>
              <w:rPr>
                <w:rFonts w:ascii="Arial Narrow" w:hAnsi="Arial Narrow" w:cs="Cambria"/>
                <w:szCs w:val="21"/>
              </w:rPr>
            </w:pPr>
            <w:r>
              <w:rPr>
                <w:rFonts w:ascii="Arial Narrow" w:hAnsi="Arial Narrow"/>
                <w:szCs w:val="21"/>
              </w:rPr>
              <w:t>2024/7/31</w:t>
            </w:r>
          </w:p>
        </w:tc>
      </w:tr>
      <w:tr w14:paraId="0F20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226C9460">
            <w:pPr>
              <w:rPr>
                <w:rFonts w:ascii="Arial Narrow" w:hAnsi="Arial Narrow" w:cs="Cambria"/>
                <w:szCs w:val="21"/>
              </w:rPr>
            </w:pPr>
            <w:r>
              <w:rPr>
                <w:rFonts w:ascii="Arial Narrow" w:hAnsi="Arial Narrow"/>
                <w:szCs w:val="21"/>
              </w:rPr>
              <w:t>新兴际华资产经营管理有限公司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3A84E691">
            <w:pPr>
              <w:jc w:val="right"/>
              <w:rPr>
                <w:rFonts w:ascii="Arial Narrow" w:hAnsi="Arial Narrow" w:cs="Cambria"/>
                <w:szCs w:val="21"/>
              </w:rPr>
            </w:pPr>
            <w:r>
              <w:rPr>
                <w:rFonts w:ascii="Arial Narrow" w:hAnsi="Arial Narrow"/>
                <w:szCs w:val="21"/>
              </w:rPr>
              <w:t>3,000,000.00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78E0B4A">
            <w:pPr>
              <w:jc w:val="center"/>
              <w:rPr>
                <w:rFonts w:ascii="Arial Narrow" w:hAnsi="Arial Narrow" w:cs="Cambria"/>
                <w:szCs w:val="21"/>
              </w:rPr>
            </w:pPr>
            <w:r>
              <w:rPr>
                <w:rFonts w:ascii="Arial Narrow" w:hAnsi="Arial Narrow"/>
                <w:szCs w:val="21"/>
              </w:rPr>
              <w:t>2024/10/10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F53DBB7">
            <w:pPr>
              <w:jc w:val="center"/>
              <w:rPr>
                <w:rFonts w:ascii="Arial Narrow" w:hAnsi="Arial Narrow" w:cs="Cambria"/>
                <w:szCs w:val="21"/>
              </w:rPr>
            </w:pPr>
            <w:r>
              <w:rPr>
                <w:rFonts w:ascii="Arial Narrow" w:hAnsi="Arial Narrow"/>
                <w:szCs w:val="21"/>
              </w:rPr>
              <w:t>2025/10/9</w:t>
            </w:r>
          </w:p>
        </w:tc>
      </w:tr>
      <w:tr w14:paraId="148D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7B4DE951">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6FCCC12">
            <w:pPr>
              <w:jc w:val="right"/>
              <w:rPr>
                <w:rFonts w:ascii="Arial Narrow" w:hAnsi="Arial Narrow" w:cs="Cambria"/>
                <w:szCs w:val="21"/>
              </w:rPr>
            </w:pPr>
            <w:r>
              <w:rPr>
                <w:rFonts w:ascii="Arial Narrow" w:hAnsi="Arial Narrow"/>
                <w:szCs w:val="21"/>
              </w:rPr>
              <w:t>2,188,300.00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B2DD449">
            <w:pPr>
              <w:jc w:val="center"/>
              <w:rPr>
                <w:rFonts w:ascii="Arial Narrow" w:hAnsi="Arial Narrow" w:cs="Cambria"/>
                <w:szCs w:val="21"/>
              </w:rPr>
            </w:pPr>
            <w:r>
              <w:rPr>
                <w:rFonts w:ascii="Arial Narrow" w:hAnsi="Arial Narrow"/>
                <w:szCs w:val="21"/>
              </w:rPr>
              <w:t>2019/2/26</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835D734">
            <w:pPr>
              <w:jc w:val="center"/>
              <w:rPr>
                <w:rFonts w:ascii="Arial Narrow" w:hAnsi="Arial Narrow" w:cs="Cambria"/>
                <w:szCs w:val="21"/>
              </w:rPr>
            </w:pPr>
            <w:r>
              <w:rPr>
                <w:rFonts w:ascii="Arial Narrow" w:hAnsi="Arial Narrow"/>
                <w:szCs w:val="21"/>
              </w:rPr>
              <w:t>2025/2/26</w:t>
            </w:r>
          </w:p>
        </w:tc>
      </w:tr>
      <w:tr w14:paraId="721E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18864E36">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3731B52">
            <w:pPr>
              <w:jc w:val="right"/>
              <w:rPr>
                <w:rFonts w:ascii="Arial Narrow" w:hAnsi="Arial Narrow" w:cs="Cambria"/>
                <w:szCs w:val="21"/>
              </w:rPr>
            </w:pPr>
            <w:r>
              <w:rPr>
                <w:rFonts w:ascii="Arial Narrow" w:hAnsi="Arial Narrow"/>
                <w:szCs w:val="21"/>
              </w:rPr>
              <w:t>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1EC115A">
            <w:pPr>
              <w:jc w:val="center"/>
              <w:rPr>
                <w:rFonts w:ascii="Arial Narrow" w:hAnsi="Arial Narrow" w:cs="Cambria"/>
                <w:szCs w:val="21"/>
              </w:rPr>
            </w:pPr>
            <w:r>
              <w:rPr>
                <w:rFonts w:ascii="Arial Narrow" w:hAnsi="Arial Narrow"/>
                <w:szCs w:val="21"/>
              </w:rPr>
              <w:t>2019/1/19</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8626735">
            <w:pPr>
              <w:jc w:val="center"/>
              <w:rPr>
                <w:rFonts w:ascii="Arial Narrow" w:hAnsi="Arial Narrow" w:cs="Cambria"/>
                <w:szCs w:val="21"/>
              </w:rPr>
            </w:pPr>
            <w:r>
              <w:rPr>
                <w:rFonts w:ascii="Arial Narrow" w:hAnsi="Arial Narrow"/>
                <w:szCs w:val="21"/>
              </w:rPr>
              <w:t>2025/1/19</w:t>
            </w:r>
          </w:p>
        </w:tc>
      </w:tr>
      <w:tr w14:paraId="4126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12889DC6">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E1968B5">
            <w:pPr>
              <w:jc w:val="right"/>
              <w:rPr>
                <w:rFonts w:ascii="Arial Narrow" w:hAnsi="Arial Narrow" w:cs="Cambria"/>
                <w:szCs w:val="21"/>
              </w:rPr>
            </w:pPr>
            <w:r>
              <w:rPr>
                <w:rFonts w:ascii="Arial Narrow" w:hAnsi="Arial Narrow"/>
                <w:szCs w:val="21"/>
              </w:rPr>
              <w:t>10,000,000.00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FD2AEEF">
            <w:pPr>
              <w:jc w:val="center"/>
              <w:rPr>
                <w:rFonts w:ascii="Arial Narrow" w:hAnsi="Arial Narrow" w:cs="Cambria"/>
                <w:szCs w:val="21"/>
              </w:rPr>
            </w:pPr>
            <w:r>
              <w:rPr>
                <w:rFonts w:ascii="Arial Narrow" w:hAnsi="Arial Narrow"/>
                <w:szCs w:val="21"/>
              </w:rPr>
              <w:t>2019/2/7</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08DF617">
            <w:pPr>
              <w:jc w:val="center"/>
              <w:rPr>
                <w:rFonts w:ascii="Arial Narrow" w:hAnsi="Arial Narrow" w:cs="Cambria"/>
                <w:szCs w:val="21"/>
              </w:rPr>
            </w:pPr>
            <w:r>
              <w:rPr>
                <w:rFonts w:ascii="Arial Narrow" w:hAnsi="Arial Narrow"/>
                <w:szCs w:val="21"/>
              </w:rPr>
              <w:t>2025/2/7</w:t>
            </w:r>
          </w:p>
        </w:tc>
      </w:tr>
      <w:tr w14:paraId="11B8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0797C115">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63D708E9">
            <w:pPr>
              <w:jc w:val="right"/>
              <w:rPr>
                <w:rFonts w:ascii="Arial Narrow" w:hAnsi="Arial Narrow" w:cs="Cambria"/>
                <w:szCs w:val="21"/>
              </w:rPr>
            </w:pPr>
            <w:r>
              <w:rPr>
                <w:rFonts w:ascii="Arial Narrow" w:hAnsi="Arial Narrow"/>
                <w:szCs w:val="21"/>
              </w:rPr>
              <w:t>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B7DBB05">
            <w:pPr>
              <w:jc w:val="center"/>
              <w:rPr>
                <w:rFonts w:ascii="Arial Narrow" w:hAnsi="Arial Narrow" w:cs="Cambria"/>
                <w:szCs w:val="21"/>
              </w:rPr>
            </w:pPr>
            <w:r>
              <w:rPr>
                <w:rFonts w:ascii="Arial Narrow" w:hAnsi="Arial Narrow"/>
                <w:szCs w:val="21"/>
              </w:rPr>
              <w:t>2019/2/14</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17C89A1">
            <w:pPr>
              <w:jc w:val="center"/>
              <w:rPr>
                <w:rFonts w:ascii="Arial Narrow" w:hAnsi="Arial Narrow" w:cs="Cambria"/>
                <w:szCs w:val="21"/>
              </w:rPr>
            </w:pPr>
            <w:r>
              <w:rPr>
                <w:rFonts w:ascii="Arial Narrow" w:hAnsi="Arial Narrow"/>
                <w:szCs w:val="21"/>
              </w:rPr>
              <w:t>2025/2/14</w:t>
            </w:r>
          </w:p>
        </w:tc>
      </w:tr>
      <w:tr w14:paraId="3DA1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786B415B">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45B73984">
            <w:pPr>
              <w:jc w:val="right"/>
              <w:rPr>
                <w:rFonts w:ascii="Arial Narrow" w:hAnsi="Arial Narrow" w:cs="Cambria"/>
                <w:szCs w:val="21"/>
              </w:rPr>
            </w:pPr>
            <w:r>
              <w:rPr>
                <w:rFonts w:ascii="Arial Narrow" w:hAnsi="Arial Narrow"/>
                <w:szCs w:val="21"/>
              </w:rPr>
              <w:t>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12667BA">
            <w:pPr>
              <w:jc w:val="center"/>
              <w:rPr>
                <w:rFonts w:ascii="Arial Narrow" w:hAnsi="Arial Narrow" w:cs="Cambria"/>
                <w:szCs w:val="21"/>
              </w:rPr>
            </w:pPr>
            <w:r>
              <w:rPr>
                <w:rFonts w:ascii="Arial Narrow" w:hAnsi="Arial Narrow"/>
                <w:szCs w:val="21"/>
              </w:rPr>
              <w:t>2019/4/15</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9661E30">
            <w:pPr>
              <w:jc w:val="center"/>
              <w:rPr>
                <w:rFonts w:ascii="Arial Narrow" w:hAnsi="Arial Narrow" w:cs="Cambria"/>
                <w:szCs w:val="21"/>
              </w:rPr>
            </w:pPr>
            <w:r>
              <w:rPr>
                <w:rFonts w:ascii="Arial Narrow" w:hAnsi="Arial Narrow"/>
                <w:szCs w:val="21"/>
              </w:rPr>
              <w:t>2025/4/15</w:t>
            </w:r>
          </w:p>
        </w:tc>
      </w:tr>
      <w:tr w14:paraId="1334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666B5363">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3E6AF8D2">
            <w:pPr>
              <w:jc w:val="right"/>
              <w:rPr>
                <w:rFonts w:ascii="Arial Narrow" w:hAnsi="Arial Narrow" w:cs="Cambria"/>
                <w:szCs w:val="21"/>
              </w:rPr>
            </w:pPr>
            <w:r>
              <w:rPr>
                <w:rFonts w:ascii="Arial Narrow" w:hAnsi="Arial Narrow"/>
                <w:szCs w:val="21"/>
              </w:rPr>
              <w:t>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8D873CC">
            <w:pPr>
              <w:jc w:val="center"/>
              <w:rPr>
                <w:rFonts w:ascii="Arial Narrow" w:hAnsi="Arial Narrow" w:cs="Cambria"/>
                <w:szCs w:val="21"/>
              </w:rPr>
            </w:pPr>
            <w:r>
              <w:rPr>
                <w:rFonts w:ascii="Arial Narrow" w:hAnsi="Arial Narrow"/>
                <w:szCs w:val="21"/>
              </w:rPr>
              <w:t>2019/4/30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2DF14FB">
            <w:pPr>
              <w:jc w:val="center"/>
              <w:rPr>
                <w:rFonts w:ascii="Arial Narrow" w:hAnsi="Arial Narrow" w:cs="Cambria"/>
                <w:szCs w:val="21"/>
              </w:rPr>
            </w:pPr>
            <w:r>
              <w:rPr>
                <w:rFonts w:ascii="Arial Narrow" w:hAnsi="Arial Narrow"/>
                <w:szCs w:val="21"/>
              </w:rPr>
              <w:t>2025/4/30</w:t>
            </w:r>
          </w:p>
        </w:tc>
      </w:tr>
      <w:tr w14:paraId="28D7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63F88066">
            <w:pPr>
              <w:rPr>
                <w:rFonts w:ascii="Arial Narrow" w:hAnsi="Arial Narrow" w:cs="Cambria"/>
                <w:szCs w:val="21"/>
              </w:rPr>
            </w:pPr>
            <w:r>
              <w:rPr>
                <w:rFonts w:ascii="Arial Narrow" w:hAnsi="Arial Narrow"/>
                <w:szCs w:val="21"/>
              </w:rPr>
              <w:t>新兴际华投资有限公司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4F62C13D">
            <w:pPr>
              <w:jc w:val="right"/>
              <w:rPr>
                <w:rFonts w:ascii="Arial Narrow" w:hAnsi="Arial Narrow" w:cs="Cambria"/>
                <w:szCs w:val="21"/>
              </w:rPr>
            </w:pPr>
            <w:r>
              <w:rPr>
                <w:rFonts w:ascii="Arial Narrow" w:hAnsi="Arial Narrow"/>
                <w:szCs w:val="21"/>
              </w:rPr>
              <w:t>3,969,300.00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A9C287D">
            <w:pPr>
              <w:jc w:val="center"/>
              <w:rPr>
                <w:rFonts w:ascii="Arial Narrow" w:hAnsi="Arial Narrow" w:cs="Cambria"/>
                <w:szCs w:val="21"/>
              </w:rPr>
            </w:pPr>
            <w:r>
              <w:rPr>
                <w:rFonts w:ascii="Arial Narrow" w:hAnsi="Arial Narrow"/>
                <w:szCs w:val="21"/>
              </w:rPr>
              <w:t>2018/10/26</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3CA0964">
            <w:pPr>
              <w:jc w:val="center"/>
              <w:rPr>
                <w:rFonts w:ascii="Arial Narrow" w:hAnsi="Arial Narrow" w:cs="Cambria"/>
                <w:szCs w:val="21"/>
              </w:rPr>
            </w:pPr>
            <w:r>
              <w:rPr>
                <w:rFonts w:ascii="Arial Narrow" w:hAnsi="Arial Narrow"/>
                <w:szCs w:val="21"/>
              </w:rPr>
              <w:t>2025/10/26</w:t>
            </w:r>
          </w:p>
        </w:tc>
      </w:tr>
      <w:tr w14:paraId="02B9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62FA272C">
            <w:pPr>
              <w:rPr>
                <w:rFonts w:ascii="Arial Narrow" w:hAnsi="Arial Narrow" w:cs="Cambria"/>
                <w:szCs w:val="21"/>
              </w:rPr>
            </w:pPr>
            <w:r>
              <w:rPr>
                <w:rFonts w:ascii="Arial Narrow" w:hAnsi="Arial Narrow"/>
                <w:szCs w:val="21"/>
              </w:rPr>
              <w:t>咸阳际华投资发展有限公司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31BDA7FD">
            <w:pPr>
              <w:jc w:val="right"/>
              <w:rPr>
                <w:rFonts w:ascii="Arial Narrow" w:hAnsi="Arial Narrow" w:cs="Cambria"/>
                <w:szCs w:val="21"/>
              </w:rPr>
            </w:pPr>
            <w:r>
              <w:rPr>
                <w:rFonts w:ascii="Arial Narrow" w:hAnsi="Arial Narrow"/>
                <w:szCs w:val="21"/>
              </w:rPr>
              <w:t>3,500,045.34</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3E2690E">
            <w:pPr>
              <w:jc w:val="center"/>
              <w:rPr>
                <w:rFonts w:ascii="Arial Narrow" w:hAnsi="Arial Narrow" w:cs="Cambria"/>
                <w:szCs w:val="21"/>
              </w:rPr>
            </w:pPr>
            <w:r>
              <w:rPr>
                <w:rFonts w:ascii="Arial Narrow" w:hAnsi="Arial Narrow"/>
                <w:szCs w:val="21"/>
              </w:rPr>
              <w:t>2015/4/1</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FE51740">
            <w:pPr>
              <w:jc w:val="center"/>
              <w:rPr>
                <w:rFonts w:ascii="Arial Narrow" w:hAnsi="Arial Narrow" w:cs="Cambria"/>
                <w:szCs w:val="21"/>
              </w:rPr>
            </w:pPr>
            <w:r>
              <w:rPr>
                <w:rFonts w:ascii="Arial Narrow" w:hAnsi="Arial Narrow"/>
                <w:szCs w:val="21"/>
              </w:rPr>
              <w:t>无明确日期</w:t>
            </w:r>
          </w:p>
        </w:tc>
      </w:tr>
      <w:tr w14:paraId="317D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2DB795F1">
            <w:pPr>
              <w:rPr>
                <w:rFonts w:ascii="Arial Narrow" w:hAnsi="Arial Narrow" w:cs="Cambria"/>
                <w:szCs w:val="21"/>
              </w:rPr>
            </w:pPr>
            <w:r>
              <w:rPr>
                <w:rFonts w:ascii="Arial Narrow" w:hAnsi="Arial Narrow"/>
                <w:szCs w:val="21"/>
              </w:rPr>
              <w:t>新兴际华集团有限公司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7000967">
            <w:pPr>
              <w:jc w:val="right"/>
              <w:rPr>
                <w:rFonts w:ascii="Arial Narrow" w:hAnsi="Arial Narrow" w:cs="Cambria"/>
                <w:szCs w:val="21"/>
              </w:rPr>
            </w:pPr>
            <w:r>
              <w:rPr>
                <w:rFonts w:ascii="Arial Narrow" w:hAnsi="Arial Narrow"/>
                <w:szCs w:val="21"/>
              </w:rPr>
              <w:t>35,000,000.00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775B6DE">
            <w:pPr>
              <w:jc w:val="center"/>
              <w:rPr>
                <w:rFonts w:ascii="Arial Narrow" w:hAnsi="Arial Narrow" w:cs="Cambria"/>
                <w:szCs w:val="21"/>
              </w:rPr>
            </w:pPr>
            <w:r>
              <w:rPr>
                <w:rFonts w:ascii="Arial Narrow" w:hAnsi="Arial Narrow"/>
                <w:szCs w:val="21"/>
              </w:rPr>
              <w:t>2023/6/28</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9F545A1">
            <w:pPr>
              <w:jc w:val="center"/>
              <w:rPr>
                <w:rFonts w:ascii="Arial Narrow" w:hAnsi="Arial Narrow" w:cs="Cambria"/>
                <w:szCs w:val="21"/>
              </w:rPr>
            </w:pPr>
            <w:r>
              <w:rPr>
                <w:rFonts w:ascii="Arial Narrow" w:hAnsi="Arial Narrow"/>
                <w:szCs w:val="21"/>
              </w:rPr>
              <w:t>2024/6/28</w:t>
            </w:r>
          </w:p>
        </w:tc>
      </w:tr>
      <w:tr w14:paraId="66C2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24DACAAE">
            <w:pPr>
              <w:rPr>
                <w:rFonts w:ascii="Arial Narrow" w:hAnsi="Arial Narrow" w:cs="Cambria"/>
                <w:szCs w:val="21"/>
              </w:rPr>
            </w:pPr>
            <w:r>
              <w:rPr>
                <w:rFonts w:ascii="Arial Narrow" w:hAnsi="Arial Narrow"/>
                <w:szCs w:val="21"/>
              </w:rPr>
              <w:t>新兴际华集团有限公司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89E4AC7">
            <w:pPr>
              <w:jc w:val="right"/>
              <w:rPr>
                <w:rFonts w:ascii="Arial Narrow" w:hAnsi="Arial Narrow" w:cs="Cambria"/>
                <w:szCs w:val="21"/>
              </w:rPr>
            </w:pPr>
            <w:r>
              <w:rPr>
                <w:rFonts w:ascii="Arial Narrow" w:hAnsi="Arial Narrow"/>
                <w:szCs w:val="21"/>
              </w:rPr>
              <w:t>35,000,000.00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BA79EC4">
            <w:pPr>
              <w:jc w:val="center"/>
              <w:rPr>
                <w:rFonts w:ascii="Arial Narrow" w:hAnsi="Arial Narrow" w:cs="Cambria"/>
                <w:szCs w:val="21"/>
              </w:rPr>
            </w:pPr>
            <w:r>
              <w:rPr>
                <w:rFonts w:ascii="Arial Narrow" w:hAnsi="Arial Narrow"/>
                <w:szCs w:val="21"/>
              </w:rPr>
              <w:t>2024/6/28</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882A364">
            <w:pPr>
              <w:jc w:val="center"/>
              <w:rPr>
                <w:rFonts w:ascii="Arial Narrow" w:hAnsi="Arial Narrow" w:cs="Cambria"/>
                <w:szCs w:val="21"/>
              </w:rPr>
            </w:pPr>
            <w:r>
              <w:rPr>
                <w:rFonts w:ascii="Arial Narrow" w:hAnsi="Arial Narrow"/>
                <w:szCs w:val="21"/>
              </w:rPr>
              <w:t>2025/6/28</w:t>
            </w:r>
          </w:p>
        </w:tc>
      </w:tr>
      <w:tr w14:paraId="419E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5FFA690A">
            <w:pPr>
              <w:rPr>
                <w:rFonts w:ascii="Arial Narrow" w:hAnsi="Arial Narrow" w:cs="Cambria"/>
                <w:szCs w:val="21"/>
              </w:rPr>
            </w:pPr>
            <w:r>
              <w:rPr>
                <w:rFonts w:ascii="Arial Narrow" w:hAnsi="Arial Narrow"/>
                <w:szCs w:val="21"/>
              </w:rPr>
              <w:t>新兴际华集团有限公司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249C8478">
            <w:pPr>
              <w:jc w:val="right"/>
              <w:rPr>
                <w:rFonts w:ascii="Arial Narrow" w:hAnsi="Arial Narrow" w:cs="Cambria"/>
                <w:szCs w:val="21"/>
              </w:rPr>
            </w:pPr>
            <w:r>
              <w:rPr>
                <w:rFonts w:ascii="Arial Narrow" w:hAnsi="Arial Narrow"/>
                <w:szCs w:val="21"/>
              </w:rPr>
              <w:t>180,000,000.00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392AF49">
            <w:pPr>
              <w:jc w:val="center"/>
              <w:rPr>
                <w:rFonts w:ascii="Arial Narrow" w:hAnsi="Arial Narrow" w:cs="Cambria"/>
                <w:szCs w:val="21"/>
              </w:rPr>
            </w:pPr>
            <w:r>
              <w:rPr>
                <w:rFonts w:ascii="Arial Narrow" w:hAnsi="Arial Narrow"/>
                <w:szCs w:val="21"/>
              </w:rPr>
              <w:t>2024/8/15</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D5B4621">
            <w:pPr>
              <w:jc w:val="center"/>
              <w:rPr>
                <w:rFonts w:ascii="Arial Narrow" w:hAnsi="Arial Narrow" w:cs="Cambria"/>
                <w:szCs w:val="21"/>
              </w:rPr>
            </w:pPr>
            <w:r>
              <w:rPr>
                <w:rFonts w:ascii="Arial Narrow" w:hAnsi="Arial Narrow"/>
                <w:szCs w:val="21"/>
              </w:rPr>
              <w:t>2025/8/15</w:t>
            </w:r>
          </w:p>
        </w:tc>
      </w:tr>
      <w:tr w14:paraId="17D4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70DD8C00">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E50CF89">
            <w:pPr>
              <w:jc w:val="right"/>
              <w:rPr>
                <w:rFonts w:ascii="Arial Narrow" w:hAnsi="Arial Narrow" w:cs="Cambria"/>
                <w:szCs w:val="21"/>
              </w:rPr>
            </w:pPr>
            <w:r>
              <w:rPr>
                <w:rFonts w:ascii="Arial Narrow" w:hAnsi="Arial Narrow"/>
                <w:szCs w:val="21"/>
              </w:rPr>
              <w:t>200,000,000.00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D36BE91">
            <w:pPr>
              <w:jc w:val="center"/>
              <w:rPr>
                <w:rFonts w:ascii="Arial Narrow" w:hAnsi="Arial Narrow" w:cs="Cambria"/>
                <w:szCs w:val="21"/>
              </w:rPr>
            </w:pPr>
            <w:r>
              <w:rPr>
                <w:rFonts w:ascii="Arial Narrow" w:hAnsi="Arial Narrow"/>
                <w:szCs w:val="21"/>
              </w:rPr>
              <w:t>2023/4/27</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839ADFF">
            <w:pPr>
              <w:jc w:val="center"/>
              <w:rPr>
                <w:rFonts w:ascii="Arial Narrow" w:hAnsi="Arial Narrow" w:cs="Cambria"/>
                <w:szCs w:val="21"/>
              </w:rPr>
            </w:pPr>
            <w:r>
              <w:rPr>
                <w:rFonts w:ascii="Arial Narrow" w:hAnsi="Arial Narrow"/>
                <w:szCs w:val="21"/>
              </w:rPr>
              <w:t>2026/4/27</w:t>
            </w:r>
          </w:p>
        </w:tc>
      </w:tr>
      <w:tr w14:paraId="370B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5E24BDF5">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42983ECA">
            <w:pPr>
              <w:jc w:val="right"/>
              <w:rPr>
                <w:rFonts w:ascii="Arial Narrow" w:hAnsi="Arial Narrow" w:cs="Cambria"/>
                <w:szCs w:val="21"/>
              </w:rPr>
            </w:pPr>
            <w:r>
              <w:rPr>
                <w:rFonts w:ascii="Arial Narrow" w:hAnsi="Arial Narrow"/>
                <w:szCs w:val="21"/>
              </w:rPr>
              <w:t>300,000,000.00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5AD9C9A">
            <w:pPr>
              <w:jc w:val="center"/>
              <w:rPr>
                <w:rFonts w:ascii="Arial Narrow" w:hAnsi="Arial Narrow" w:cs="Cambria"/>
                <w:szCs w:val="21"/>
              </w:rPr>
            </w:pPr>
            <w:r>
              <w:rPr>
                <w:rFonts w:ascii="Arial Narrow" w:hAnsi="Arial Narrow"/>
                <w:szCs w:val="21"/>
              </w:rPr>
              <w:t>2024/6/26</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05DBC40">
            <w:pPr>
              <w:jc w:val="center"/>
              <w:rPr>
                <w:rFonts w:ascii="Arial Narrow" w:hAnsi="Arial Narrow" w:cs="Cambria"/>
                <w:szCs w:val="21"/>
              </w:rPr>
            </w:pPr>
            <w:r>
              <w:rPr>
                <w:rFonts w:ascii="Arial Narrow" w:hAnsi="Arial Narrow"/>
                <w:szCs w:val="21"/>
              </w:rPr>
              <w:t>2027/6/25</w:t>
            </w:r>
          </w:p>
        </w:tc>
      </w:tr>
      <w:tr w14:paraId="4CA0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5A58F665">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21F161CD">
            <w:pPr>
              <w:jc w:val="right"/>
              <w:rPr>
                <w:rFonts w:ascii="Arial Narrow" w:hAnsi="Arial Narrow" w:cs="Cambria"/>
                <w:szCs w:val="21"/>
              </w:rPr>
            </w:pPr>
            <w:r>
              <w:rPr>
                <w:rFonts w:ascii="Arial Narrow" w:hAnsi="Arial Narrow"/>
                <w:szCs w:val="21"/>
              </w:rPr>
              <w:t>20,000,000.00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441B889">
            <w:pPr>
              <w:jc w:val="center"/>
              <w:rPr>
                <w:rFonts w:ascii="Arial Narrow" w:hAnsi="Arial Narrow" w:cs="Cambria"/>
                <w:szCs w:val="21"/>
              </w:rPr>
            </w:pPr>
            <w:r>
              <w:rPr>
                <w:rFonts w:ascii="Arial Narrow" w:hAnsi="Arial Narrow"/>
                <w:szCs w:val="21"/>
              </w:rPr>
              <w:t>2024/4/2</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851290D">
            <w:pPr>
              <w:jc w:val="center"/>
              <w:rPr>
                <w:rFonts w:ascii="Arial Narrow" w:hAnsi="Arial Narrow" w:cs="Cambria"/>
                <w:szCs w:val="21"/>
              </w:rPr>
            </w:pPr>
            <w:r>
              <w:rPr>
                <w:rFonts w:ascii="Arial Narrow" w:hAnsi="Arial Narrow"/>
                <w:szCs w:val="21"/>
              </w:rPr>
              <w:t>2024/6/27</w:t>
            </w:r>
          </w:p>
        </w:tc>
      </w:tr>
      <w:tr w14:paraId="17B2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49BD8A85">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0777FED7">
            <w:pPr>
              <w:jc w:val="right"/>
              <w:rPr>
                <w:rFonts w:ascii="Arial Narrow" w:hAnsi="Arial Narrow" w:cs="Cambria"/>
                <w:szCs w:val="21"/>
              </w:rPr>
            </w:pPr>
            <w:r>
              <w:rPr>
                <w:rFonts w:ascii="Arial Narrow" w:hAnsi="Arial Narrow"/>
                <w:szCs w:val="21"/>
              </w:rPr>
              <w:t>20,000,000.00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1782E83">
            <w:pPr>
              <w:jc w:val="center"/>
              <w:rPr>
                <w:rFonts w:ascii="Arial Narrow" w:hAnsi="Arial Narrow" w:cs="Cambria"/>
                <w:szCs w:val="21"/>
              </w:rPr>
            </w:pPr>
            <w:r>
              <w:rPr>
                <w:rFonts w:ascii="Arial Narrow" w:hAnsi="Arial Narrow"/>
                <w:szCs w:val="21"/>
              </w:rPr>
              <w:t>2024/2/6</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A9D181B">
            <w:pPr>
              <w:jc w:val="center"/>
              <w:rPr>
                <w:rFonts w:ascii="Arial Narrow" w:hAnsi="Arial Narrow" w:cs="Cambria"/>
                <w:szCs w:val="21"/>
              </w:rPr>
            </w:pPr>
            <w:r>
              <w:rPr>
                <w:rFonts w:ascii="Arial Narrow" w:hAnsi="Arial Narrow"/>
                <w:szCs w:val="21"/>
              </w:rPr>
              <w:t>2024/6/27</w:t>
            </w:r>
          </w:p>
        </w:tc>
      </w:tr>
      <w:tr w14:paraId="5216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36D8C333">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34C53E37">
            <w:pPr>
              <w:jc w:val="right"/>
              <w:rPr>
                <w:rFonts w:ascii="Arial Narrow" w:hAnsi="Arial Narrow" w:cs="Cambria"/>
                <w:szCs w:val="21"/>
              </w:rPr>
            </w:pPr>
            <w:r>
              <w:rPr>
                <w:rFonts w:ascii="Arial Narrow" w:hAnsi="Arial Narrow"/>
                <w:szCs w:val="21"/>
              </w:rPr>
              <w:t>15,000,000.00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DF090C9">
            <w:pPr>
              <w:jc w:val="center"/>
              <w:rPr>
                <w:rFonts w:ascii="Arial Narrow" w:hAnsi="Arial Narrow" w:cs="Cambria"/>
                <w:szCs w:val="21"/>
              </w:rPr>
            </w:pPr>
            <w:r>
              <w:rPr>
                <w:rFonts w:ascii="Arial Narrow" w:hAnsi="Arial Narrow"/>
                <w:szCs w:val="21"/>
              </w:rPr>
              <w:t>2024/3/15</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0EF2976">
            <w:pPr>
              <w:jc w:val="center"/>
              <w:rPr>
                <w:rFonts w:ascii="Arial Narrow" w:hAnsi="Arial Narrow" w:cs="Cambria"/>
                <w:szCs w:val="21"/>
              </w:rPr>
            </w:pPr>
            <w:r>
              <w:rPr>
                <w:rFonts w:ascii="Arial Narrow" w:hAnsi="Arial Narrow"/>
                <w:szCs w:val="21"/>
              </w:rPr>
              <w:t>2024/6/27</w:t>
            </w:r>
          </w:p>
        </w:tc>
      </w:tr>
      <w:tr w14:paraId="45B9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4563DD6C">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233242F1">
            <w:pPr>
              <w:jc w:val="right"/>
              <w:rPr>
                <w:rFonts w:ascii="Arial Narrow" w:hAnsi="Arial Narrow" w:cs="Cambria"/>
                <w:szCs w:val="21"/>
              </w:rPr>
            </w:pPr>
            <w:r>
              <w:rPr>
                <w:rFonts w:ascii="Arial Narrow" w:hAnsi="Arial Narrow"/>
                <w:szCs w:val="21"/>
              </w:rPr>
              <w:t>15,000,000.00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A3ECEB2">
            <w:pPr>
              <w:jc w:val="center"/>
              <w:rPr>
                <w:rFonts w:ascii="Arial Narrow" w:hAnsi="Arial Narrow" w:cs="Cambria"/>
                <w:szCs w:val="21"/>
              </w:rPr>
            </w:pPr>
            <w:r>
              <w:rPr>
                <w:rFonts w:ascii="Arial Narrow" w:hAnsi="Arial Narrow"/>
                <w:szCs w:val="21"/>
              </w:rPr>
              <w:t>2024/4/24</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68C76E1">
            <w:pPr>
              <w:jc w:val="center"/>
              <w:rPr>
                <w:rFonts w:ascii="Arial Narrow" w:hAnsi="Arial Narrow" w:cs="Cambria"/>
                <w:szCs w:val="21"/>
              </w:rPr>
            </w:pPr>
            <w:r>
              <w:rPr>
                <w:rFonts w:ascii="Arial Narrow" w:hAnsi="Arial Narrow"/>
                <w:szCs w:val="21"/>
              </w:rPr>
              <w:t>2024/6/27</w:t>
            </w:r>
          </w:p>
        </w:tc>
      </w:tr>
      <w:tr w14:paraId="223E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746504AB">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6271197E">
            <w:pPr>
              <w:jc w:val="right"/>
              <w:rPr>
                <w:rFonts w:ascii="Arial Narrow" w:hAnsi="Arial Narrow" w:cs="Cambria"/>
                <w:szCs w:val="21"/>
              </w:rPr>
            </w:pPr>
            <w:r>
              <w:rPr>
                <w:rFonts w:ascii="Arial Narrow" w:hAnsi="Arial Narrow"/>
                <w:szCs w:val="21"/>
              </w:rPr>
              <w:t>70,000,000.00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27EBDCE7">
            <w:pPr>
              <w:jc w:val="center"/>
              <w:rPr>
                <w:rFonts w:ascii="Arial Narrow" w:hAnsi="Arial Narrow" w:cs="Cambria"/>
                <w:szCs w:val="21"/>
              </w:rPr>
            </w:pPr>
            <w:r>
              <w:rPr>
                <w:rFonts w:ascii="Arial Narrow" w:hAnsi="Arial Narrow"/>
                <w:szCs w:val="21"/>
              </w:rPr>
              <w:t>2024/1/30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E865380">
            <w:pPr>
              <w:jc w:val="center"/>
              <w:rPr>
                <w:rFonts w:ascii="Arial Narrow" w:hAnsi="Arial Narrow" w:cs="Cambria"/>
                <w:szCs w:val="21"/>
              </w:rPr>
            </w:pPr>
            <w:r>
              <w:rPr>
                <w:rFonts w:ascii="Arial Narrow" w:hAnsi="Arial Narrow"/>
                <w:szCs w:val="21"/>
              </w:rPr>
              <w:t>2024/6/3</w:t>
            </w:r>
          </w:p>
        </w:tc>
      </w:tr>
      <w:tr w14:paraId="6F39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430D57EC">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1F2C263">
            <w:pPr>
              <w:jc w:val="right"/>
              <w:rPr>
                <w:rFonts w:ascii="Arial Narrow" w:hAnsi="Arial Narrow" w:cs="Cambria"/>
                <w:szCs w:val="21"/>
              </w:rPr>
            </w:pPr>
            <w:r>
              <w:rPr>
                <w:rFonts w:ascii="Arial Narrow" w:hAnsi="Arial Narrow"/>
                <w:szCs w:val="21"/>
              </w:rPr>
              <w:t>20,000,000.00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9183F03">
            <w:pPr>
              <w:jc w:val="center"/>
              <w:rPr>
                <w:rFonts w:ascii="Arial Narrow" w:hAnsi="Arial Narrow" w:cs="Cambria"/>
                <w:szCs w:val="21"/>
              </w:rPr>
            </w:pPr>
            <w:r>
              <w:rPr>
                <w:rFonts w:ascii="Arial Narrow" w:hAnsi="Arial Narrow"/>
                <w:szCs w:val="21"/>
              </w:rPr>
              <w:t>2024/9/18</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2361110">
            <w:pPr>
              <w:jc w:val="center"/>
              <w:rPr>
                <w:rFonts w:ascii="Arial Narrow" w:hAnsi="Arial Narrow" w:cs="Cambria"/>
                <w:szCs w:val="21"/>
              </w:rPr>
            </w:pPr>
            <w:r>
              <w:rPr>
                <w:rFonts w:ascii="Arial Narrow" w:hAnsi="Arial Narrow"/>
                <w:szCs w:val="21"/>
              </w:rPr>
              <w:t>2025/3/18</w:t>
            </w:r>
          </w:p>
        </w:tc>
      </w:tr>
      <w:tr w14:paraId="5B46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030279CB">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1071EB7">
            <w:pPr>
              <w:jc w:val="right"/>
              <w:rPr>
                <w:rFonts w:ascii="Arial Narrow" w:hAnsi="Arial Narrow" w:cs="Cambria"/>
                <w:szCs w:val="21"/>
              </w:rPr>
            </w:pPr>
            <w:r>
              <w:rPr>
                <w:rFonts w:ascii="Arial Narrow" w:hAnsi="Arial Narrow"/>
                <w:szCs w:val="21"/>
              </w:rPr>
              <w:t>20,000,000.00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59320E46">
            <w:pPr>
              <w:jc w:val="center"/>
              <w:rPr>
                <w:rFonts w:ascii="Arial Narrow" w:hAnsi="Arial Narrow" w:cs="Cambria"/>
                <w:szCs w:val="21"/>
              </w:rPr>
            </w:pPr>
            <w:r>
              <w:rPr>
                <w:rFonts w:ascii="Arial Narrow" w:hAnsi="Arial Narrow"/>
                <w:szCs w:val="21"/>
              </w:rPr>
              <w:t>2024/10/17</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05A8252">
            <w:pPr>
              <w:jc w:val="center"/>
              <w:rPr>
                <w:rFonts w:ascii="Arial Narrow" w:hAnsi="Arial Narrow" w:cs="Cambria"/>
                <w:szCs w:val="21"/>
              </w:rPr>
            </w:pPr>
            <w:r>
              <w:rPr>
                <w:rFonts w:ascii="Arial Narrow" w:hAnsi="Arial Narrow"/>
                <w:szCs w:val="21"/>
              </w:rPr>
              <w:t>2025/4/17</w:t>
            </w:r>
          </w:p>
        </w:tc>
      </w:tr>
      <w:tr w14:paraId="7EB0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3A458467">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7F52ECC">
            <w:pPr>
              <w:jc w:val="right"/>
              <w:rPr>
                <w:rFonts w:ascii="Arial Narrow" w:hAnsi="Arial Narrow" w:cs="Cambria"/>
                <w:szCs w:val="21"/>
              </w:rPr>
            </w:pPr>
            <w:r>
              <w:rPr>
                <w:rFonts w:ascii="Arial Narrow" w:hAnsi="Arial Narrow"/>
                <w:szCs w:val="21"/>
              </w:rPr>
              <w:t>20,000,000.00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3411179C">
            <w:pPr>
              <w:jc w:val="center"/>
              <w:rPr>
                <w:rFonts w:ascii="Arial Narrow" w:hAnsi="Arial Narrow" w:cs="Cambria"/>
                <w:szCs w:val="21"/>
              </w:rPr>
            </w:pPr>
            <w:r>
              <w:rPr>
                <w:rFonts w:ascii="Arial Narrow" w:hAnsi="Arial Narrow"/>
                <w:szCs w:val="21"/>
              </w:rPr>
              <w:t>2024/11/26</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0EC38ACD">
            <w:pPr>
              <w:jc w:val="center"/>
              <w:rPr>
                <w:rFonts w:ascii="Arial Narrow" w:hAnsi="Arial Narrow" w:cs="Cambria"/>
                <w:szCs w:val="21"/>
              </w:rPr>
            </w:pPr>
            <w:r>
              <w:rPr>
                <w:rFonts w:ascii="Arial Narrow" w:hAnsi="Arial Narrow"/>
                <w:szCs w:val="21"/>
              </w:rPr>
              <w:t>2025/5/26</w:t>
            </w:r>
          </w:p>
        </w:tc>
      </w:tr>
      <w:tr w14:paraId="5D7D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552E815D">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7425B24F">
            <w:pPr>
              <w:jc w:val="right"/>
              <w:rPr>
                <w:rFonts w:ascii="Arial Narrow" w:hAnsi="Arial Narrow" w:cs="Cambria"/>
                <w:szCs w:val="21"/>
              </w:rPr>
            </w:pPr>
            <w:r>
              <w:rPr>
                <w:rFonts w:ascii="Arial Narrow" w:hAnsi="Arial Narrow"/>
                <w:szCs w:val="21"/>
              </w:rPr>
              <w:t>23,000,000.00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536859F">
            <w:pPr>
              <w:jc w:val="center"/>
              <w:rPr>
                <w:rFonts w:ascii="Arial Narrow" w:hAnsi="Arial Narrow" w:cs="Cambria"/>
                <w:szCs w:val="21"/>
              </w:rPr>
            </w:pPr>
            <w:r>
              <w:rPr>
                <w:rFonts w:ascii="Arial Narrow" w:hAnsi="Arial Narrow"/>
                <w:szCs w:val="21"/>
              </w:rPr>
              <w:t>2024/12/11</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77B10797">
            <w:pPr>
              <w:jc w:val="center"/>
              <w:rPr>
                <w:rFonts w:ascii="Arial Narrow" w:hAnsi="Arial Narrow" w:cs="Cambria"/>
                <w:szCs w:val="21"/>
              </w:rPr>
            </w:pPr>
            <w:r>
              <w:rPr>
                <w:rFonts w:ascii="Arial Narrow" w:hAnsi="Arial Narrow"/>
                <w:szCs w:val="21"/>
              </w:rPr>
              <w:t>2025/6/11</w:t>
            </w:r>
          </w:p>
        </w:tc>
      </w:tr>
      <w:tr w14:paraId="67F6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23ABC8D2">
            <w:pPr>
              <w:rPr>
                <w:rFonts w:ascii="Arial Narrow" w:hAnsi="Arial Narrow" w:cs="Cambria"/>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043DCAF">
            <w:pPr>
              <w:jc w:val="right"/>
              <w:rPr>
                <w:rFonts w:ascii="Arial Narrow" w:hAnsi="Arial Narrow" w:cs="Cambria"/>
                <w:szCs w:val="21"/>
              </w:rPr>
            </w:pPr>
            <w:r>
              <w:rPr>
                <w:rFonts w:ascii="Arial Narrow" w:hAnsi="Arial Narrow"/>
                <w:szCs w:val="21"/>
              </w:rPr>
              <w:t>7,000,000.00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675E87D">
            <w:pPr>
              <w:jc w:val="center"/>
              <w:rPr>
                <w:rFonts w:ascii="Arial Narrow" w:hAnsi="Arial Narrow" w:cs="Cambria"/>
                <w:szCs w:val="21"/>
              </w:rPr>
            </w:pPr>
            <w:r>
              <w:rPr>
                <w:rFonts w:ascii="Arial Narrow" w:hAnsi="Arial Narrow"/>
                <w:szCs w:val="21"/>
              </w:rPr>
              <w:t>2024/12/25</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464BEC1">
            <w:pPr>
              <w:jc w:val="center"/>
              <w:rPr>
                <w:rFonts w:ascii="Arial Narrow" w:hAnsi="Arial Narrow" w:cs="Cambria"/>
                <w:szCs w:val="21"/>
              </w:rPr>
            </w:pPr>
            <w:r>
              <w:rPr>
                <w:rFonts w:ascii="Arial Narrow" w:hAnsi="Arial Narrow"/>
                <w:szCs w:val="21"/>
              </w:rPr>
              <w:t>2025/7/25</w:t>
            </w:r>
          </w:p>
        </w:tc>
      </w:tr>
      <w:tr w14:paraId="136C60D2">
        <w:tblPrEx>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012C2AA1">
            <w:pPr>
              <w:rPr>
                <w:rFonts w:ascii="Arial Narrow" w:hAnsi="Arial Narrow"/>
                <w:szCs w:val="21"/>
              </w:rPr>
            </w:pPr>
            <w:r>
              <w:rPr>
                <w:rFonts w:ascii="Arial Narrow" w:hAnsi="Arial Narrow"/>
                <w:szCs w:val="21"/>
              </w:rPr>
              <w:t>新兴际华集团财务有限公司</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166C0B54">
            <w:pPr>
              <w:jc w:val="right"/>
              <w:rPr>
                <w:rFonts w:ascii="Arial Narrow" w:hAnsi="Arial Narrow"/>
                <w:szCs w:val="21"/>
              </w:rPr>
            </w:pPr>
            <w:r>
              <w:rPr>
                <w:rFonts w:ascii="Arial Narrow" w:hAnsi="Arial Narrow"/>
                <w:color w:val="000000"/>
                <w:szCs w:val="21"/>
              </w:rPr>
              <w:t>40,000,000.00</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9FB48C4">
            <w:pPr>
              <w:jc w:val="center"/>
              <w:rPr>
                <w:rFonts w:ascii="Arial Narrow" w:hAnsi="Arial Narrow"/>
                <w:szCs w:val="21"/>
              </w:rPr>
            </w:pPr>
            <w:r>
              <w:rPr>
                <w:rFonts w:ascii="Arial Narrow" w:hAnsi="Arial Narrow"/>
                <w:szCs w:val="21"/>
              </w:rPr>
              <w:t>2024/3/4</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482375D6">
            <w:pPr>
              <w:jc w:val="center"/>
              <w:rPr>
                <w:rFonts w:ascii="Arial Narrow" w:hAnsi="Arial Narrow"/>
                <w:szCs w:val="21"/>
              </w:rPr>
            </w:pPr>
            <w:r>
              <w:rPr>
                <w:rFonts w:ascii="Arial Narrow" w:hAnsi="Arial Narrow"/>
                <w:szCs w:val="21"/>
              </w:rPr>
              <w:t>2025/3/4</w:t>
            </w:r>
          </w:p>
        </w:tc>
      </w:tr>
      <w:tr w14:paraId="340B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pct"/>
            <w:tcBorders>
              <w:top w:val="single" w:color="auto" w:sz="4" w:space="0"/>
              <w:left w:val="single" w:color="auto" w:sz="4" w:space="0"/>
              <w:bottom w:val="single" w:color="auto" w:sz="4" w:space="0"/>
              <w:right w:val="single" w:color="auto" w:sz="4" w:space="0"/>
            </w:tcBorders>
            <w:shd w:val="clear" w:color="auto" w:fill="auto"/>
            <w:vAlign w:val="center"/>
          </w:tcPr>
          <w:p w14:paraId="3FCB161B">
            <w:pPr>
              <w:jc w:val="center"/>
              <w:rPr>
                <w:rFonts w:ascii="Arial Narrow" w:hAnsi="Arial Narrow"/>
                <w:szCs w:val="21"/>
              </w:rPr>
            </w:pPr>
            <w:r>
              <w:rPr>
                <w:rFonts w:ascii="Arial Narrow" w:hAnsi="Arial Narrow"/>
                <w:color w:val="000000"/>
                <w:szCs w:val="21"/>
              </w:rPr>
              <w:t>合计</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6D1BDE07">
            <w:pPr>
              <w:jc w:val="right"/>
              <w:rPr>
                <w:rFonts w:ascii="Arial Narrow" w:hAnsi="Arial Narrow"/>
                <w:szCs w:val="21"/>
              </w:rPr>
            </w:pPr>
            <w:r>
              <w:rPr>
                <w:rFonts w:ascii="Arial Narrow" w:hAnsi="Arial Narrow"/>
                <w:color w:val="000000"/>
                <w:szCs w:val="21"/>
              </w:rPr>
              <w:t>1,078,657,645.34</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12192AD">
            <w:pPr>
              <w:jc w:val="right"/>
              <w:rPr>
                <w:rFonts w:ascii="Arial Narrow" w:hAnsi="Arial Narrow"/>
                <w:szCs w:val="21"/>
              </w:rPr>
            </w:pP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6004D27C">
            <w:pPr>
              <w:jc w:val="right"/>
              <w:rPr>
                <w:rFonts w:ascii="Arial Narrow" w:hAnsi="Arial Narrow"/>
                <w:szCs w:val="21"/>
              </w:rPr>
            </w:pPr>
          </w:p>
        </w:tc>
      </w:tr>
    </w:tbl>
    <w:p w14:paraId="41984470">
      <w:pPr>
        <w:rPr>
          <w:rFonts w:hint="eastAsia"/>
        </w:rPr>
      </w:pPr>
    </w:p>
    <w:p w14:paraId="50480011">
      <w:pPr>
        <w:rPr>
          <w:rFonts w:hint="eastAsia"/>
          <w:szCs w:val="21"/>
        </w:rPr>
      </w:pPr>
    </w:p>
    <w:p w14:paraId="7537671E">
      <w:pPr>
        <w:pStyle w:val="71"/>
        <w:numPr>
          <w:ilvl w:val="3"/>
          <w:numId w:val="164"/>
        </w:numPr>
        <w:ind w:left="424" w:hanging="424" w:hangingChars="201"/>
        <w:rPr>
          <w:rFonts w:hint="eastAsia"/>
        </w:rPr>
      </w:pPr>
      <w:r>
        <w:rPr>
          <w:rFonts w:hint="eastAsia"/>
        </w:rPr>
        <w:t>关联方资产转让、债务重组情况</w:t>
      </w:r>
    </w:p>
    <w:sdt>
      <w:sdtPr>
        <w:alias w:val="是否适用：关联方资产转让、债务重组情况[双击切换]"/>
        <w:tag w:val="_GBC_6f8fce72ce784c23aba8af28c51de336"/>
        <w:id w:val="627280013"/>
        <w:placeholder>
          <w:docPart w:val="GBC22222222222222222222222222222"/>
        </w:placeholder>
      </w:sdtPr>
      <w:sdtContent>
        <w:p w14:paraId="296948C9">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04C2256">
      <w:pPr>
        <w:jc w:val="right"/>
        <w:rPr>
          <w:rFonts w:hint="eastAsia"/>
          <w:szCs w:val="21"/>
        </w:rPr>
      </w:pPr>
      <w:r>
        <w:rPr>
          <w:rFonts w:hint="eastAsia"/>
          <w:szCs w:val="21"/>
        </w:rPr>
        <w:t>单位：</w:t>
      </w:r>
      <w:sdt>
        <w:sdtPr>
          <w:rPr>
            <w:rFonts w:hint="eastAsia"/>
            <w:szCs w:val="21"/>
          </w:rPr>
          <w:alias w:val="单位：关联方资产转让、债务重组情况"/>
          <w:tag w:val="_GBC_11798a48ec2f45e49b07d6c9abc571a5"/>
          <w:id w:val="-425349337"/>
          <w:placeholder>
            <w:docPart w:val="B2673E0ED77A430F9B8C95FD00D95C16"/>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万元</w:t>
          </w:r>
        </w:sdtContent>
      </w:sdt>
      <w:r>
        <w:rPr>
          <w:rFonts w:hint="eastAsia"/>
          <w:szCs w:val="21"/>
        </w:rPr>
        <w:t xml:space="preserve">  币种：</w:t>
      </w:r>
      <w:sdt>
        <w:sdtPr>
          <w:rPr>
            <w:rFonts w:hint="eastAsia"/>
            <w:szCs w:val="21"/>
          </w:rPr>
          <w:alias w:val="币种：关联方资产转让、债务重组情况"/>
          <w:tag w:val="_GBC_ae7ae62d8d5c4a7f82a3664f4e9abebf"/>
          <w:id w:val="-529186334"/>
          <w:placeholder>
            <w:docPart w:val="B2673E0ED77A430F9B8C95FD00D95C1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Layout w:type="autofit"/>
        <w:tblCellMar>
          <w:top w:w="0" w:type="dxa"/>
          <w:left w:w="108" w:type="dxa"/>
          <w:bottom w:w="0" w:type="dxa"/>
          <w:right w:w="108" w:type="dxa"/>
        </w:tblCellMar>
      </w:tblPr>
      <w:tblGrid>
        <w:gridCol w:w="2169"/>
        <w:gridCol w:w="2204"/>
        <w:gridCol w:w="2227"/>
        <w:gridCol w:w="2223"/>
      </w:tblGrid>
      <w:tr w14:paraId="4E226DD2">
        <w:tblPrEx>
          <w:tblCellMar>
            <w:top w:w="0" w:type="dxa"/>
            <w:left w:w="108" w:type="dxa"/>
            <w:bottom w:w="0" w:type="dxa"/>
            <w:right w:w="108" w:type="dxa"/>
          </w:tblCellMar>
        </w:tblPrEx>
        <w:trPr>
          <w:trHeight w:val="324" w:hRule="atLeast"/>
        </w:trPr>
        <w:sdt>
          <w:sdtPr>
            <w:rPr>
              <w:rFonts w:ascii="Arial Narrow" w:hAnsi="Arial Narrow" w:eastAsiaTheme="majorEastAsia"/>
            </w:rPr>
            <w:tag w:val="_PLD_22ce680888944f14b3e7264684be604e"/>
            <w:id w:val="-718199712"/>
          </w:sdtPr>
          <w:sdtEndPr>
            <w:rPr>
              <w:rFonts w:ascii="Arial Narrow" w:hAnsi="Arial Narrow" w:eastAsiaTheme="majorEastAsia"/>
            </w:rPr>
          </w:sdtEndPr>
          <w:sdtContent>
            <w:tc>
              <w:tcPr>
                <w:tcW w:w="1229" w:type="pct"/>
                <w:tcBorders>
                  <w:top w:val="single" w:color="auto" w:sz="4" w:space="0"/>
                  <w:left w:val="single" w:color="auto" w:sz="4" w:space="0"/>
                  <w:bottom w:val="single" w:color="auto" w:sz="4" w:space="0"/>
                  <w:right w:val="single" w:color="auto" w:sz="4" w:space="0"/>
                </w:tcBorders>
                <w:vAlign w:val="center"/>
              </w:tcPr>
              <w:p w14:paraId="73CE1C8C">
                <w:pPr>
                  <w:jc w:val="center"/>
                  <w:rPr>
                    <w:rFonts w:ascii="Arial Narrow" w:hAnsi="Arial Narrow" w:eastAsiaTheme="majorEastAsia"/>
                    <w:szCs w:val="21"/>
                  </w:rPr>
                </w:pPr>
                <w:r>
                  <w:rPr>
                    <w:rFonts w:ascii="Arial Narrow" w:hAnsi="Arial Narrow" w:eastAsiaTheme="majorEastAsia"/>
                    <w:szCs w:val="21"/>
                  </w:rPr>
                  <w:t>关联方</w:t>
                </w:r>
              </w:p>
            </w:tc>
          </w:sdtContent>
        </w:sdt>
        <w:sdt>
          <w:sdtPr>
            <w:rPr>
              <w:rFonts w:ascii="Arial Narrow" w:hAnsi="Arial Narrow" w:eastAsiaTheme="majorEastAsia"/>
            </w:rPr>
            <w:tag w:val="_PLD_7ddb67ea8a4948d4a2436ccd4c3a53a7"/>
            <w:id w:val="-1248035909"/>
          </w:sdtPr>
          <w:sdtEndPr>
            <w:rPr>
              <w:rFonts w:ascii="Arial Narrow" w:hAnsi="Arial Narrow" w:eastAsiaTheme="majorEastAsia"/>
            </w:rPr>
          </w:sdtEndPr>
          <w:sdtContent>
            <w:tc>
              <w:tcPr>
                <w:tcW w:w="1249" w:type="pct"/>
                <w:tcBorders>
                  <w:top w:val="single" w:color="auto" w:sz="4" w:space="0"/>
                  <w:left w:val="single" w:color="auto" w:sz="4" w:space="0"/>
                  <w:bottom w:val="single" w:color="auto" w:sz="4" w:space="0"/>
                  <w:right w:val="single" w:color="auto" w:sz="4" w:space="0"/>
                </w:tcBorders>
                <w:vAlign w:val="center"/>
              </w:tcPr>
              <w:p w14:paraId="452A28DC">
                <w:pPr>
                  <w:jc w:val="center"/>
                  <w:rPr>
                    <w:rFonts w:ascii="Arial Narrow" w:hAnsi="Arial Narrow" w:eastAsiaTheme="majorEastAsia"/>
                    <w:szCs w:val="21"/>
                  </w:rPr>
                </w:pPr>
                <w:r>
                  <w:rPr>
                    <w:rFonts w:ascii="Arial Narrow" w:hAnsi="Arial Narrow" w:eastAsiaTheme="majorEastAsia"/>
                    <w:szCs w:val="21"/>
                  </w:rPr>
                  <w:t>关联交易内容</w:t>
                </w:r>
              </w:p>
            </w:tc>
          </w:sdtContent>
        </w:sdt>
        <w:sdt>
          <w:sdtPr>
            <w:rPr>
              <w:rFonts w:ascii="Arial Narrow" w:hAnsi="Arial Narrow" w:eastAsiaTheme="majorEastAsia"/>
            </w:rPr>
            <w:tag w:val="_PLD_d6af393840d741f1884a5e969b07e0e0"/>
            <w:id w:val="72008448"/>
          </w:sdtPr>
          <w:sdtEndPr>
            <w:rPr>
              <w:rFonts w:ascii="Arial Narrow" w:hAnsi="Arial Narrow" w:eastAsiaTheme="majorEastAsia"/>
            </w:rPr>
          </w:sdtEndPr>
          <w:sdtContent>
            <w:tc>
              <w:tcPr>
                <w:tcW w:w="1262" w:type="pct"/>
                <w:tcBorders>
                  <w:top w:val="single" w:color="auto" w:sz="4" w:space="0"/>
                  <w:left w:val="single" w:color="auto" w:sz="4" w:space="0"/>
                  <w:right w:val="single" w:color="auto" w:sz="4" w:space="0"/>
                </w:tcBorders>
                <w:vAlign w:val="center"/>
              </w:tcPr>
              <w:p w14:paraId="7D6E5F74">
                <w:pPr>
                  <w:jc w:val="center"/>
                  <w:rPr>
                    <w:rFonts w:ascii="Arial Narrow" w:hAnsi="Arial Narrow" w:eastAsiaTheme="majorEastAsia"/>
                    <w:szCs w:val="21"/>
                  </w:rPr>
                </w:pPr>
                <w:r>
                  <w:rPr>
                    <w:rFonts w:ascii="Arial Narrow" w:hAnsi="Arial Narrow" w:eastAsiaTheme="majorEastAsia"/>
                    <w:szCs w:val="21"/>
                  </w:rPr>
                  <w:t>本期发生额</w:t>
                </w:r>
              </w:p>
            </w:tc>
          </w:sdtContent>
        </w:sdt>
        <w:sdt>
          <w:sdtPr>
            <w:rPr>
              <w:rFonts w:ascii="Arial Narrow" w:hAnsi="Arial Narrow" w:eastAsiaTheme="majorEastAsia"/>
            </w:rPr>
            <w:tag w:val="_PLD_b93cea02524a421badcc18b1374e1edb"/>
            <w:id w:val="1233583014"/>
          </w:sdtPr>
          <w:sdtEndPr>
            <w:rPr>
              <w:rFonts w:ascii="Arial Narrow" w:hAnsi="Arial Narrow" w:eastAsiaTheme="majorEastAsia"/>
            </w:rPr>
          </w:sdtEndPr>
          <w:sdtContent>
            <w:tc>
              <w:tcPr>
                <w:tcW w:w="1260" w:type="pct"/>
                <w:tcBorders>
                  <w:top w:val="single" w:color="auto" w:sz="4" w:space="0"/>
                  <w:left w:val="single" w:color="auto" w:sz="4" w:space="0"/>
                  <w:right w:val="single" w:color="auto" w:sz="4" w:space="0"/>
                </w:tcBorders>
                <w:vAlign w:val="center"/>
              </w:tcPr>
              <w:p w14:paraId="0E50D5B0">
                <w:pPr>
                  <w:jc w:val="center"/>
                  <w:rPr>
                    <w:rFonts w:ascii="Arial Narrow" w:hAnsi="Arial Narrow" w:eastAsiaTheme="majorEastAsia"/>
                    <w:szCs w:val="21"/>
                  </w:rPr>
                </w:pPr>
                <w:r>
                  <w:rPr>
                    <w:rFonts w:ascii="Arial Narrow" w:hAnsi="Arial Narrow" w:eastAsiaTheme="majorEastAsia"/>
                    <w:szCs w:val="21"/>
                  </w:rPr>
                  <w:t>上期发生额</w:t>
                </w:r>
              </w:p>
            </w:tc>
          </w:sdtContent>
        </w:sdt>
      </w:tr>
      <w:tr w14:paraId="27A4935F">
        <w:tblPrEx>
          <w:tblCellMar>
            <w:top w:w="0" w:type="dxa"/>
            <w:left w:w="108" w:type="dxa"/>
            <w:bottom w:w="0" w:type="dxa"/>
            <w:right w:w="108" w:type="dxa"/>
          </w:tblCellMar>
        </w:tblPrEx>
        <w:tc>
          <w:tcPr>
            <w:tcW w:w="1229" w:type="pct"/>
            <w:tcBorders>
              <w:top w:val="single" w:color="auto" w:sz="4" w:space="0"/>
              <w:left w:val="single" w:color="auto" w:sz="4" w:space="0"/>
              <w:bottom w:val="single" w:color="auto" w:sz="4" w:space="0"/>
              <w:right w:val="single" w:color="auto" w:sz="4" w:space="0"/>
            </w:tcBorders>
            <w:vAlign w:val="center"/>
          </w:tcPr>
          <w:p w14:paraId="19DBE390">
            <w:pPr>
              <w:rPr>
                <w:rFonts w:ascii="Arial Narrow" w:hAnsi="Arial Narrow" w:eastAsiaTheme="majorEastAsia"/>
                <w:szCs w:val="21"/>
              </w:rPr>
            </w:pPr>
            <w:r>
              <w:rPr>
                <w:rFonts w:ascii="Arial Narrow" w:hAnsi="Arial Narrow" w:eastAsiaTheme="majorEastAsia"/>
                <w:color w:val="000000"/>
                <w:szCs w:val="21"/>
              </w:rPr>
              <w:t>新兴际华资产经营管理有限公司</w:t>
            </w:r>
          </w:p>
        </w:tc>
        <w:tc>
          <w:tcPr>
            <w:tcW w:w="1249" w:type="pct"/>
            <w:tcBorders>
              <w:top w:val="single" w:color="auto" w:sz="4" w:space="0"/>
              <w:left w:val="single" w:color="auto" w:sz="4" w:space="0"/>
              <w:bottom w:val="single" w:color="auto" w:sz="4" w:space="0"/>
              <w:right w:val="single" w:color="auto" w:sz="4" w:space="0"/>
            </w:tcBorders>
            <w:vAlign w:val="center"/>
          </w:tcPr>
          <w:p w14:paraId="23B5CFB9">
            <w:pPr>
              <w:rPr>
                <w:rFonts w:ascii="Arial Narrow" w:hAnsi="Arial Narrow" w:eastAsiaTheme="majorEastAsia"/>
                <w:szCs w:val="21"/>
              </w:rPr>
            </w:pPr>
            <w:r>
              <w:rPr>
                <w:rFonts w:ascii="Arial Narrow" w:hAnsi="Arial Narrow" w:eastAsiaTheme="majorEastAsia"/>
                <w:color w:val="000000"/>
                <w:szCs w:val="21"/>
              </w:rPr>
              <w:t>转让陕西际华园股权</w:t>
            </w:r>
          </w:p>
        </w:tc>
        <w:tc>
          <w:tcPr>
            <w:tcW w:w="1262" w:type="pct"/>
            <w:tcBorders>
              <w:top w:val="single" w:color="auto" w:sz="4" w:space="0"/>
              <w:left w:val="single" w:color="auto" w:sz="4" w:space="0"/>
              <w:bottom w:val="single" w:color="auto" w:sz="4" w:space="0"/>
              <w:right w:val="single" w:color="auto" w:sz="4" w:space="0"/>
            </w:tcBorders>
            <w:vAlign w:val="center"/>
          </w:tcPr>
          <w:p w14:paraId="10EEBFD5">
            <w:pPr>
              <w:jc w:val="right"/>
              <w:rPr>
                <w:rFonts w:ascii="Arial Narrow" w:hAnsi="Arial Narrow" w:eastAsiaTheme="majorEastAsia"/>
                <w:szCs w:val="21"/>
              </w:rPr>
            </w:pPr>
          </w:p>
        </w:tc>
        <w:tc>
          <w:tcPr>
            <w:tcW w:w="1260" w:type="pct"/>
            <w:tcBorders>
              <w:top w:val="single" w:color="auto" w:sz="4" w:space="0"/>
              <w:left w:val="single" w:color="auto" w:sz="4" w:space="0"/>
              <w:bottom w:val="single" w:color="auto" w:sz="4" w:space="0"/>
              <w:right w:val="single" w:color="auto" w:sz="4" w:space="0"/>
            </w:tcBorders>
            <w:vAlign w:val="center"/>
          </w:tcPr>
          <w:p w14:paraId="3241F6C4">
            <w:pPr>
              <w:jc w:val="right"/>
              <w:rPr>
                <w:rFonts w:ascii="Arial Narrow" w:hAnsi="Arial Narrow" w:eastAsiaTheme="majorEastAsia"/>
                <w:szCs w:val="21"/>
              </w:rPr>
            </w:pPr>
            <w:r>
              <w:rPr>
                <w:rFonts w:ascii="Arial Narrow" w:hAnsi="Arial Narrow" w:eastAsiaTheme="majorEastAsia"/>
                <w:color w:val="000000"/>
                <w:szCs w:val="21"/>
              </w:rPr>
              <w:t xml:space="preserve">8,843.57 </w:t>
            </w:r>
          </w:p>
        </w:tc>
      </w:tr>
    </w:tbl>
    <w:p w14:paraId="735CF0C0">
      <w:pPr>
        <w:rPr>
          <w:rFonts w:hint="eastAsia"/>
        </w:rPr>
      </w:pPr>
    </w:p>
    <w:p w14:paraId="35ACA9A7">
      <w:pPr>
        <w:rPr>
          <w:rFonts w:hint="eastAsia"/>
        </w:rPr>
      </w:pPr>
    </w:p>
    <w:p w14:paraId="4719FE8B">
      <w:pPr>
        <w:pStyle w:val="71"/>
        <w:numPr>
          <w:ilvl w:val="3"/>
          <w:numId w:val="164"/>
        </w:numPr>
        <w:ind w:left="424" w:hanging="424" w:hangingChars="201"/>
        <w:rPr>
          <w:rFonts w:hint="eastAsia"/>
        </w:rPr>
      </w:pPr>
      <w:r>
        <w:rPr>
          <w:rFonts w:hint="eastAsia"/>
        </w:rPr>
        <w:t>关键管理人员报酬</w:t>
      </w:r>
    </w:p>
    <w:sdt>
      <w:sdtPr>
        <w:alias w:val="是否适用：关键管理人员报酬[双击切换]"/>
        <w:tag w:val="_GBC_4768ccd806f845f4b6f5f0ec038ec747"/>
        <w:id w:val="1959994736"/>
        <w:placeholder>
          <w:docPart w:val="GBC22222222222222222222222222222"/>
        </w:placeholder>
      </w:sdtPr>
      <w:sdtContent>
        <w:p w14:paraId="4B46E4D3">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C553AE">
      <w:pPr>
        <w:jc w:val="right"/>
        <w:rPr>
          <w:rFonts w:ascii="Cambria" w:hAnsi="Cambria" w:cs="Cambria"/>
        </w:rPr>
      </w:pPr>
      <w:r>
        <w:rPr>
          <w:rFonts w:hint="eastAsia" w:ascii="Cambria" w:hAnsi="Cambria" w:cs="Cambria"/>
        </w:rPr>
        <w:t>单位：</w:t>
      </w:r>
      <w:sdt>
        <w:sdtPr>
          <w:rPr>
            <w:rFonts w:hint="eastAsia" w:ascii="Cambria" w:hAnsi="Cambria" w:cs="Cambria"/>
          </w:rPr>
          <w:alias w:val="单位：财务附注：关键管理人员报酬"/>
          <w:tag w:val="_GBC_3dcac03c36954e5ab3dab539e6a2f735"/>
          <w:id w:val="-20273151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Cambria" w:hAnsi="Cambria" w:cs="Cambria"/>
          </w:rPr>
        </w:sdtEndPr>
        <w:sdtContent>
          <w:r>
            <w:rPr>
              <w:rFonts w:hint="eastAsia" w:ascii="Cambria" w:hAnsi="Cambria" w:cs="Cambria"/>
            </w:rPr>
            <w:t>万元</w:t>
          </w:r>
        </w:sdtContent>
      </w:sdt>
      <w:r>
        <w:rPr>
          <w:rFonts w:hint="eastAsia" w:ascii="Cambria" w:hAnsi="Cambria" w:cs="Cambria"/>
        </w:rPr>
        <w:t xml:space="preserve">  币种：</w:t>
      </w:r>
      <w:sdt>
        <w:sdtPr>
          <w:rPr>
            <w:rFonts w:hint="eastAsia" w:ascii="Cambria" w:hAnsi="Cambria" w:cs="Cambria"/>
          </w:rPr>
          <w:alias w:val="币种：财务附注：关键管理人员报酬"/>
          <w:tag w:val="_GBC_9bf846a4da0046829fd7baa3fd1fe348"/>
          <w:id w:val="-9921761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Cambria" w:hAnsi="Cambria" w:cs="Cambria"/>
          </w:rPr>
        </w:sdtEndPr>
        <w:sdtContent>
          <w:r>
            <w:rPr>
              <w:rFonts w:hint="eastAsia" w:ascii="Cambria" w:hAnsi="Cambria" w:cs="Cambr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3192"/>
        <w:gridCol w:w="2439"/>
      </w:tblGrid>
      <w:tr w14:paraId="63CC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3d38745be5c64397b1dab92289838da1"/>
            <w:id w:val="600924266"/>
          </w:sdtPr>
          <w:sdtEndPr>
            <w:rPr>
              <w:rFonts w:ascii="Arial Narrow" w:hAnsi="Arial Narrow" w:eastAsiaTheme="minorEastAsia"/>
            </w:rPr>
          </w:sdtEndPr>
          <w:sdtContent>
            <w:tc>
              <w:tcPr>
                <w:tcW w:w="1809" w:type="pct"/>
                <w:tcBorders>
                  <w:top w:val="single" w:color="auto" w:sz="4" w:space="0"/>
                  <w:left w:val="single" w:color="auto" w:sz="4" w:space="0"/>
                  <w:bottom w:val="single" w:color="auto" w:sz="4" w:space="0"/>
                  <w:right w:val="single" w:color="auto" w:sz="4" w:space="0"/>
                </w:tcBorders>
                <w:shd w:val="clear" w:color="auto" w:fill="auto"/>
                <w:vAlign w:val="center"/>
              </w:tcPr>
              <w:p w14:paraId="22284308">
                <w:pPr>
                  <w:jc w:val="center"/>
                  <w:rPr>
                    <w:rFonts w:ascii="Arial Narrow" w:hAnsi="Arial Narrow" w:cs="Cambria" w:eastAsiaTheme="minorEastAsia"/>
                  </w:rPr>
                </w:pPr>
                <w:r>
                  <w:rPr>
                    <w:rFonts w:ascii="Arial Narrow" w:hAnsi="Arial Narrow" w:cs="Cambria" w:eastAsiaTheme="minorEastAsia"/>
                  </w:rPr>
                  <w:t>项目</w:t>
                </w:r>
              </w:p>
            </w:tc>
          </w:sdtContent>
        </w:sdt>
        <w:sdt>
          <w:sdtPr>
            <w:rPr>
              <w:rFonts w:ascii="Arial Narrow" w:hAnsi="Arial Narrow" w:eastAsiaTheme="minorEastAsia"/>
            </w:rPr>
            <w:tag w:val="_PLD_31133ff59dcf4a7b93a7991d1f435b05"/>
            <w:id w:val="648788517"/>
          </w:sdtPr>
          <w:sdtEndPr>
            <w:rPr>
              <w:rFonts w:ascii="Arial Narrow" w:hAnsi="Arial Narrow" w:eastAsiaTheme="minorEastAsia"/>
            </w:rPr>
          </w:sdtEndPr>
          <w:sdtContent>
            <w:tc>
              <w:tcPr>
                <w:tcW w:w="1809" w:type="pct"/>
                <w:tcBorders>
                  <w:top w:val="single" w:color="auto" w:sz="4" w:space="0"/>
                  <w:left w:val="single" w:color="auto" w:sz="4" w:space="0"/>
                  <w:bottom w:val="single" w:color="auto" w:sz="4" w:space="0"/>
                  <w:right w:val="single" w:color="auto" w:sz="4" w:space="0"/>
                </w:tcBorders>
                <w:shd w:val="clear" w:color="auto" w:fill="auto"/>
                <w:vAlign w:val="center"/>
              </w:tcPr>
              <w:p w14:paraId="7DA05774">
                <w:pPr>
                  <w:jc w:val="center"/>
                  <w:rPr>
                    <w:rFonts w:ascii="Arial Narrow" w:hAnsi="Arial Narrow" w:cs="Cambria" w:eastAsiaTheme="minorEastAsia"/>
                  </w:rPr>
                </w:pPr>
                <w:r>
                  <w:rPr>
                    <w:rFonts w:ascii="Arial Narrow" w:hAnsi="Arial Narrow" w:cs="Cambria" w:eastAsiaTheme="minorEastAsia"/>
                  </w:rPr>
                  <w:t>本期发生额</w:t>
                </w:r>
              </w:p>
            </w:tc>
          </w:sdtContent>
        </w:sdt>
        <w:sdt>
          <w:sdtPr>
            <w:rPr>
              <w:rFonts w:ascii="Arial Narrow" w:hAnsi="Arial Narrow" w:eastAsiaTheme="minorEastAsia"/>
            </w:rPr>
            <w:tag w:val="_PLD_e08658a238f7419ca0d4ce3386ff565e"/>
            <w:id w:val="1902712350"/>
          </w:sdtPr>
          <w:sdtEndPr>
            <w:rPr>
              <w:rFonts w:ascii="Arial Narrow" w:hAnsi="Arial Narrow" w:eastAsiaTheme="minorEastAsia"/>
            </w:rPr>
          </w:sdtEndPr>
          <w:sdtContent>
            <w:tc>
              <w:tcPr>
                <w:tcW w:w="1382" w:type="pct"/>
                <w:tcBorders>
                  <w:top w:val="single" w:color="auto" w:sz="4" w:space="0"/>
                  <w:left w:val="single" w:color="auto" w:sz="4" w:space="0"/>
                  <w:bottom w:val="single" w:color="auto" w:sz="4" w:space="0"/>
                  <w:right w:val="single" w:color="auto" w:sz="4" w:space="0"/>
                </w:tcBorders>
                <w:shd w:val="clear" w:color="auto" w:fill="auto"/>
                <w:vAlign w:val="center"/>
              </w:tcPr>
              <w:p w14:paraId="0B47FD46">
                <w:pPr>
                  <w:jc w:val="center"/>
                  <w:rPr>
                    <w:rFonts w:ascii="Arial Narrow" w:hAnsi="Arial Narrow" w:cs="Cambria" w:eastAsiaTheme="minorEastAsia"/>
                  </w:rPr>
                </w:pPr>
                <w:r>
                  <w:rPr>
                    <w:rFonts w:ascii="Arial Narrow" w:hAnsi="Arial Narrow" w:cs="Cambria" w:eastAsiaTheme="minorEastAsia"/>
                  </w:rPr>
                  <w:t>上期发生额</w:t>
                </w:r>
              </w:p>
            </w:tc>
          </w:sdtContent>
        </w:sdt>
      </w:tr>
      <w:tr w14:paraId="7BB9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pct"/>
            <w:tcBorders>
              <w:top w:val="single" w:color="auto" w:sz="4" w:space="0"/>
              <w:left w:val="single" w:color="auto" w:sz="4" w:space="0"/>
              <w:bottom w:val="single" w:color="auto" w:sz="4" w:space="0"/>
              <w:right w:val="single" w:color="auto" w:sz="4" w:space="0"/>
            </w:tcBorders>
            <w:shd w:val="clear" w:color="auto" w:fill="auto"/>
          </w:tcPr>
          <w:p w14:paraId="25CBC4D2">
            <w:pPr>
              <w:rPr>
                <w:rFonts w:ascii="Arial Narrow" w:hAnsi="Arial Narrow" w:cs="Cambria" w:eastAsiaTheme="minorEastAsia"/>
              </w:rPr>
            </w:pPr>
            <w:r>
              <w:rPr>
                <w:rFonts w:ascii="Arial Narrow" w:hAnsi="Arial Narrow" w:cs="Cambria" w:eastAsiaTheme="minorEastAsia"/>
              </w:rPr>
              <w:t>关键管理人员报酬</w:t>
            </w:r>
          </w:p>
        </w:tc>
        <w:tc>
          <w:tcPr>
            <w:tcW w:w="1809" w:type="pct"/>
            <w:tcBorders>
              <w:top w:val="single" w:color="auto" w:sz="4" w:space="0"/>
              <w:left w:val="single" w:color="auto" w:sz="4" w:space="0"/>
              <w:bottom w:val="single" w:color="auto" w:sz="4" w:space="0"/>
              <w:right w:val="single" w:color="auto" w:sz="4" w:space="0"/>
            </w:tcBorders>
            <w:shd w:val="clear" w:color="auto" w:fill="auto"/>
            <w:vAlign w:val="center"/>
          </w:tcPr>
          <w:p w14:paraId="154A71E6">
            <w:pPr>
              <w:jc w:val="right"/>
              <w:rPr>
                <w:rFonts w:ascii="Arial Narrow" w:hAnsi="Arial Narrow" w:cs="Cambria" w:eastAsiaTheme="minorEastAsia"/>
              </w:rPr>
            </w:pPr>
            <w:r>
              <w:rPr>
                <w:rFonts w:ascii="Arial Narrow" w:hAnsi="Arial Narrow" w:cs="Cambria" w:eastAsiaTheme="minorEastAsia"/>
              </w:rPr>
              <w:t>751.67</w:t>
            </w:r>
          </w:p>
        </w:tc>
        <w:tc>
          <w:tcPr>
            <w:tcW w:w="1382" w:type="pct"/>
            <w:tcBorders>
              <w:top w:val="single" w:color="auto" w:sz="4" w:space="0"/>
              <w:left w:val="single" w:color="auto" w:sz="4" w:space="0"/>
              <w:bottom w:val="single" w:color="auto" w:sz="4" w:space="0"/>
              <w:right w:val="single" w:color="auto" w:sz="4" w:space="0"/>
            </w:tcBorders>
            <w:shd w:val="clear" w:color="auto" w:fill="auto"/>
            <w:vAlign w:val="center"/>
          </w:tcPr>
          <w:p w14:paraId="64005494">
            <w:pPr>
              <w:jc w:val="right"/>
              <w:rPr>
                <w:rFonts w:ascii="Arial Narrow" w:hAnsi="Arial Narrow" w:cs="Cambria" w:eastAsiaTheme="minorEastAsia"/>
              </w:rPr>
            </w:pPr>
            <w:r>
              <w:rPr>
                <w:rFonts w:ascii="Arial Narrow" w:hAnsi="Arial Narrow" w:cs="Cambria" w:eastAsiaTheme="minorEastAsia"/>
              </w:rPr>
              <w:t>868.81</w:t>
            </w:r>
          </w:p>
        </w:tc>
      </w:tr>
    </w:tbl>
    <w:p w14:paraId="18220B80">
      <w:pPr>
        <w:rPr>
          <w:rFonts w:hint="eastAsia"/>
        </w:rPr>
      </w:pPr>
    </w:p>
    <w:p w14:paraId="6D1FF128">
      <w:pPr>
        <w:pStyle w:val="71"/>
        <w:numPr>
          <w:ilvl w:val="3"/>
          <w:numId w:val="164"/>
        </w:numPr>
        <w:ind w:left="424" w:hanging="424" w:hangingChars="201"/>
        <w:rPr>
          <w:rFonts w:hint="eastAsia"/>
        </w:rPr>
      </w:pPr>
      <w:r>
        <w:rPr>
          <w:rFonts w:hint="eastAsia"/>
        </w:rPr>
        <w:t>其他关联交易</w:t>
      </w:r>
    </w:p>
    <w:sdt>
      <w:sdtPr>
        <w:rPr>
          <w:rFonts w:hint="eastAsia"/>
          <w:szCs w:val="21"/>
        </w:rPr>
        <w:alias w:val="是否适用：其他关联交易[双击切换]"/>
        <w:tag w:val="_GBC_a1203a07d7684e08bdc2f1959f1cb9ae"/>
        <w:id w:val="-978761755"/>
        <w:placeholder>
          <w:docPart w:val="GBC22222222222222222222222222222"/>
        </w:placeholder>
      </w:sdtPr>
      <w:sdtEndPr>
        <w:rPr>
          <w:rFonts w:hint="eastAsia"/>
          <w:szCs w:val="21"/>
        </w:rPr>
      </w:sdtEndPr>
      <w:sdtContent>
        <w:p w14:paraId="54E41BB2">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E075C19">
      <w:pPr>
        <w:rPr>
          <w:rFonts w:hint="eastAsia"/>
          <w:szCs w:val="21"/>
        </w:rPr>
      </w:pPr>
    </w:p>
    <w:p w14:paraId="0B64FC28">
      <w:pPr>
        <w:pStyle w:val="70"/>
        <w:numPr>
          <w:ilvl w:val="0"/>
          <w:numId w:val="163"/>
        </w:numPr>
      </w:pPr>
      <w:r>
        <w:rPr>
          <w:rFonts w:hint="eastAsia"/>
        </w:rPr>
        <w:t>应收、应付关联方等未结算项目情况</w:t>
      </w:r>
    </w:p>
    <w:p w14:paraId="3C2A528A">
      <w:pPr>
        <w:pStyle w:val="71"/>
        <w:numPr>
          <w:ilvl w:val="3"/>
          <w:numId w:val="165"/>
        </w:numPr>
        <w:ind w:left="426" w:hanging="426" w:hangingChars="202"/>
        <w:rPr>
          <w:rFonts w:hint="eastAsia" w:ascii="宋体" w:hAnsi="宋体" w:cs="Arial"/>
          <w:szCs w:val="21"/>
        </w:rPr>
      </w:pPr>
      <w:r>
        <w:rPr>
          <w:rFonts w:hint="eastAsia"/>
        </w:rPr>
        <w:t>应收项目</w:t>
      </w:r>
    </w:p>
    <w:sdt>
      <w:sdtPr>
        <w:rPr>
          <w:rFonts w:hint="eastAsia"/>
          <w:szCs w:val="21"/>
        </w:rPr>
        <w:alias w:val="是否适用：应收项目[双击切换]"/>
        <w:tag w:val="_GBC_4ae94d538d2e44ae839d59a1751a6d01"/>
        <w:id w:val="1929928547"/>
        <w:placeholder>
          <w:docPart w:val="GBC22222222222222222222222222222"/>
        </w:placeholder>
      </w:sdtPr>
      <w:sdtEndPr>
        <w:rPr>
          <w:rFonts w:hint="eastAsia"/>
          <w:szCs w:val="21"/>
        </w:rPr>
      </w:sdtEndPr>
      <w:sdtContent>
        <w:p w14:paraId="3EAD40F7">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7A20C7D">
      <w:pPr>
        <w:jc w:val="right"/>
        <w:rPr>
          <w:rFonts w:hint="eastAsia"/>
          <w:szCs w:val="21"/>
        </w:rPr>
      </w:pPr>
      <w:r>
        <w:rPr>
          <w:rFonts w:hint="eastAsia"/>
          <w:szCs w:val="21"/>
        </w:rPr>
        <w:t>单位：</w:t>
      </w:r>
      <w:sdt>
        <w:sdtPr>
          <w:rPr>
            <w:rFonts w:hint="eastAsia"/>
            <w:szCs w:val="21"/>
          </w:rPr>
          <w:alias w:val="单位：上市公司应收关联方款项"/>
          <w:tag w:val="_GBC_83968b233566404db428b085bcb695b8"/>
          <w:id w:val="-13944303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18380678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985"/>
        <w:gridCol w:w="1560"/>
        <w:gridCol w:w="1417"/>
        <w:gridCol w:w="1558"/>
        <w:gridCol w:w="1276"/>
      </w:tblGrid>
      <w:tr w14:paraId="6809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sz w:val="18"/>
              <w:szCs w:val="18"/>
            </w:rPr>
            <w:tag w:val="_PLD_c0c6dc2d23f94f929199b42c584f57ca"/>
            <w:id w:val="452519195"/>
          </w:sdtPr>
          <w:sdtEndPr>
            <w:rPr>
              <w:rFonts w:ascii="Arial Narrow" w:hAnsi="Arial Narrow" w:eastAsiaTheme="minorEastAsia"/>
              <w:sz w:val="18"/>
              <w:szCs w:val="18"/>
            </w:rPr>
          </w:sdtEndPr>
          <w:sdtContent>
            <w:tc>
              <w:tcPr>
                <w:tcW w:w="632" w:type="pct"/>
                <w:vMerge w:val="restart"/>
                <w:tcBorders>
                  <w:top w:val="single" w:color="auto" w:sz="4" w:space="0"/>
                  <w:left w:val="single" w:color="auto" w:sz="4" w:space="0"/>
                  <w:right w:val="single" w:color="auto" w:sz="4" w:space="0"/>
                </w:tcBorders>
                <w:vAlign w:val="center"/>
              </w:tcPr>
              <w:p w14:paraId="565AA171">
                <w:pPr>
                  <w:jc w:val="center"/>
                  <w:rPr>
                    <w:rFonts w:ascii="Arial Narrow" w:hAnsi="Arial Narrow" w:eastAsiaTheme="minorEastAsia"/>
                    <w:sz w:val="18"/>
                    <w:szCs w:val="18"/>
                  </w:rPr>
                </w:pPr>
                <w:r>
                  <w:rPr>
                    <w:rFonts w:ascii="Arial Narrow" w:hAnsi="Arial Narrow" w:eastAsiaTheme="minorEastAsia"/>
                    <w:sz w:val="18"/>
                    <w:szCs w:val="18"/>
                  </w:rPr>
                  <w:t>项目名称</w:t>
                </w:r>
              </w:p>
            </w:tc>
          </w:sdtContent>
        </w:sdt>
        <w:sdt>
          <w:sdtPr>
            <w:rPr>
              <w:rFonts w:ascii="Arial Narrow" w:hAnsi="Arial Narrow" w:eastAsiaTheme="minorEastAsia"/>
              <w:sz w:val="18"/>
              <w:szCs w:val="18"/>
            </w:rPr>
            <w:tag w:val="_PLD_56aedf077d5c4d3b814d04d193f71af7"/>
            <w:id w:val="-1571575681"/>
          </w:sdtPr>
          <w:sdtEndPr>
            <w:rPr>
              <w:rFonts w:ascii="Arial Narrow" w:hAnsi="Arial Narrow" w:eastAsiaTheme="minorEastAsia"/>
              <w:sz w:val="18"/>
              <w:szCs w:val="18"/>
            </w:rPr>
          </w:sdtEndPr>
          <w:sdtContent>
            <w:tc>
              <w:tcPr>
                <w:tcW w:w="1112" w:type="pct"/>
                <w:vMerge w:val="restart"/>
                <w:tcBorders>
                  <w:top w:val="single" w:color="auto" w:sz="4" w:space="0"/>
                  <w:left w:val="single" w:color="auto" w:sz="4" w:space="0"/>
                  <w:right w:val="single" w:color="auto" w:sz="4" w:space="0"/>
                </w:tcBorders>
                <w:vAlign w:val="center"/>
              </w:tcPr>
              <w:p w14:paraId="6DF05CAA">
                <w:pPr>
                  <w:jc w:val="center"/>
                  <w:rPr>
                    <w:rFonts w:ascii="Arial Narrow" w:hAnsi="Arial Narrow" w:eastAsiaTheme="minorEastAsia"/>
                    <w:sz w:val="18"/>
                    <w:szCs w:val="18"/>
                  </w:rPr>
                </w:pPr>
                <w:r>
                  <w:rPr>
                    <w:rFonts w:ascii="Arial Narrow" w:hAnsi="Arial Narrow" w:eastAsiaTheme="minorEastAsia"/>
                    <w:sz w:val="18"/>
                    <w:szCs w:val="18"/>
                  </w:rPr>
                  <w:t>关联方</w:t>
                </w:r>
              </w:p>
            </w:tc>
          </w:sdtContent>
        </w:sdt>
        <w:sdt>
          <w:sdtPr>
            <w:rPr>
              <w:rFonts w:ascii="Arial Narrow" w:hAnsi="Arial Narrow" w:eastAsiaTheme="minorEastAsia"/>
              <w:sz w:val="18"/>
              <w:szCs w:val="18"/>
            </w:rPr>
            <w:tag w:val="_PLD_e8867e7b52fb42f4b447e445a20beebc"/>
            <w:id w:val="1843820064"/>
          </w:sdtPr>
          <w:sdtEndPr>
            <w:rPr>
              <w:rFonts w:ascii="Arial Narrow" w:hAnsi="Arial Narrow" w:eastAsiaTheme="minorEastAsia"/>
              <w:sz w:val="18"/>
              <w:szCs w:val="18"/>
            </w:rPr>
          </w:sdtEndPr>
          <w:sdtContent>
            <w:tc>
              <w:tcPr>
                <w:tcW w:w="1668" w:type="pct"/>
                <w:gridSpan w:val="2"/>
                <w:tcBorders>
                  <w:top w:val="single" w:color="auto" w:sz="4" w:space="0"/>
                  <w:left w:val="single" w:color="auto" w:sz="4" w:space="0"/>
                  <w:bottom w:val="single" w:color="auto" w:sz="4" w:space="0"/>
                  <w:right w:val="single" w:color="auto" w:sz="4" w:space="0"/>
                </w:tcBorders>
                <w:vAlign w:val="center"/>
              </w:tcPr>
              <w:p w14:paraId="391FE630">
                <w:pPr>
                  <w:jc w:val="center"/>
                  <w:rPr>
                    <w:rFonts w:ascii="Arial Narrow" w:hAnsi="Arial Narrow" w:eastAsiaTheme="minorEastAsia"/>
                    <w:sz w:val="18"/>
                    <w:szCs w:val="18"/>
                  </w:rPr>
                </w:pPr>
                <w:r>
                  <w:rPr>
                    <w:rFonts w:ascii="Arial Narrow" w:hAnsi="Arial Narrow" w:eastAsiaTheme="minorEastAsia"/>
                    <w:sz w:val="18"/>
                    <w:szCs w:val="18"/>
                  </w:rPr>
                  <w:t>期末余额</w:t>
                </w:r>
              </w:p>
            </w:tc>
          </w:sdtContent>
        </w:sdt>
        <w:sdt>
          <w:sdtPr>
            <w:rPr>
              <w:rFonts w:ascii="Arial Narrow" w:hAnsi="Arial Narrow" w:eastAsiaTheme="minorEastAsia"/>
              <w:sz w:val="18"/>
              <w:szCs w:val="18"/>
            </w:rPr>
            <w:tag w:val="_PLD_6a4888e558004037a5faac678bea523c"/>
            <w:id w:val="301352707"/>
          </w:sdtPr>
          <w:sdtEndPr>
            <w:rPr>
              <w:rFonts w:ascii="Arial Narrow" w:hAnsi="Arial Narrow" w:eastAsiaTheme="minorEastAsia"/>
              <w:sz w:val="18"/>
              <w:szCs w:val="18"/>
            </w:rPr>
          </w:sdtEndPr>
          <w:sdtContent>
            <w:tc>
              <w:tcPr>
                <w:tcW w:w="1588" w:type="pct"/>
                <w:gridSpan w:val="2"/>
                <w:tcBorders>
                  <w:top w:val="single" w:color="auto" w:sz="4" w:space="0"/>
                  <w:left w:val="single" w:color="auto" w:sz="4" w:space="0"/>
                  <w:bottom w:val="single" w:color="auto" w:sz="4" w:space="0"/>
                  <w:right w:val="single" w:color="auto" w:sz="4" w:space="0"/>
                </w:tcBorders>
                <w:vAlign w:val="center"/>
              </w:tcPr>
              <w:p w14:paraId="17CE7FCE">
                <w:pPr>
                  <w:jc w:val="center"/>
                  <w:rPr>
                    <w:rFonts w:ascii="Arial Narrow" w:hAnsi="Arial Narrow" w:eastAsiaTheme="minorEastAsia"/>
                    <w:sz w:val="18"/>
                    <w:szCs w:val="18"/>
                  </w:rPr>
                </w:pPr>
                <w:r>
                  <w:rPr>
                    <w:rFonts w:ascii="Arial Narrow" w:hAnsi="Arial Narrow" w:eastAsiaTheme="minorEastAsia"/>
                    <w:sz w:val="18"/>
                    <w:szCs w:val="18"/>
                  </w:rPr>
                  <w:t>期初余额</w:t>
                </w:r>
              </w:p>
            </w:tc>
          </w:sdtContent>
        </w:sdt>
      </w:tr>
      <w:tr w14:paraId="42E7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32" w:type="pct"/>
            <w:vMerge w:val="continue"/>
            <w:tcBorders>
              <w:left w:val="single" w:color="auto" w:sz="4" w:space="0"/>
              <w:bottom w:val="single" w:color="auto" w:sz="4" w:space="0"/>
              <w:right w:val="single" w:color="auto" w:sz="4" w:space="0"/>
            </w:tcBorders>
            <w:vAlign w:val="center"/>
          </w:tcPr>
          <w:p w14:paraId="57A8ADCB">
            <w:pPr>
              <w:jc w:val="both"/>
              <w:rPr>
                <w:rFonts w:ascii="Arial Narrow" w:hAnsi="Arial Narrow" w:eastAsiaTheme="minorEastAsia"/>
                <w:sz w:val="18"/>
                <w:szCs w:val="18"/>
              </w:rPr>
            </w:pPr>
          </w:p>
        </w:tc>
        <w:tc>
          <w:tcPr>
            <w:tcW w:w="1112" w:type="pct"/>
            <w:vMerge w:val="continue"/>
            <w:tcBorders>
              <w:left w:val="single" w:color="auto" w:sz="4" w:space="0"/>
              <w:bottom w:val="single" w:color="auto" w:sz="4" w:space="0"/>
              <w:right w:val="single" w:color="auto" w:sz="4" w:space="0"/>
            </w:tcBorders>
            <w:vAlign w:val="center"/>
          </w:tcPr>
          <w:p w14:paraId="7D202D0B">
            <w:pPr>
              <w:jc w:val="center"/>
              <w:rPr>
                <w:rFonts w:ascii="Arial Narrow" w:hAnsi="Arial Narrow" w:eastAsiaTheme="minorEastAsia"/>
                <w:sz w:val="18"/>
                <w:szCs w:val="18"/>
              </w:rPr>
            </w:pPr>
          </w:p>
        </w:tc>
        <w:sdt>
          <w:sdtPr>
            <w:rPr>
              <w:rFonts w:ascii="Arial Narrow" w:hAnsi="Arial Narrow" w:eastAsiaTheme="minorEastAsia"/>
              <w:sz w:val="18"/>
              <w:szCs w:val="18"/>
            </w:rPr>
            <w:tag w:val="_PLD_0545f54235344f978e1e8356e1b05042"/>
            <w:id w:val="-2100016831"/>
          </w:sdtPr>
          <w:sdtEndPr>
            <w:rPr>
              <w:rFonts w:ascii="Arial Narrow" w:hAnsi="Arial Narrow" w:eastAsiaTheme="minorEastAsia"/>
              <w:sz w:val="18"/>
              <w:szCs w:val="18"/>
            </w:rPr>
          </w:sdtEndPr>
          <w:sdtContent>
            <w:tc>
              <w:tcPr>
                <w:tcW w:w="874" w:type="pct"/>
                <w:tcBorders>
                  <w:top w:val="single" w:color="auto" w:sz="4" w:space="0"/>
                  <w:left w:val="single" w:color="auto" w:sz="4" w:space="0"/>
                  <w:bottom w:val="single" w:color="auto" w:sz="4" w:space="0"/>
                  <w:right w:val="single" w:color="auto" w:sz="4" w:space="0"/>
                </w:tcBorders>
                <w:vAlign w:val="center"/>
              </w:tcPr>
              <w:p w14:paraId="566CF934">
                <w:pPr>
                  <w:jc w:val="center"/>
                  <w:rPr>
                    <w:rFonts w:ascii="Arial Narrow" w:hAnsi="Arial Narrow" w:eastAsiaTheme="minorEastAsia"/>
                    <w:sz w:val="18"/>
                    <w:szCs w:val="18"/>
                  </w:rPr>
                </w:pPr>
                <w:r>
                  <w:rPr>
                    <w:rFonts w:ascii="Arial Narrow" w:hAnsi="Arial Narrow" w:eastAsiaTheme="minorEastAsia"/>
                    <w:sz w:val="18"/>
                    <w:szCs w:val="18"/>
                  </w:rPr>
                  <w:t>账面余额</w:t>
                </w:r>
              </w:p>
            </w:tc>
          </w:sdtContent>
        </w:sdt>
        <w:sdt>
          <w:sdtPr>
            <w:rPr>
              <w:rFonts w:ascii="Arial Narrow" w:hAnsi="Arial Narrow" w:eastAsiaTheme="minorEastAsia"/>
              <w:sz w:val="18"/>
              <w:szCs w:val="18"/>
            </w:rPr>
            <w:tag w:val="_PLD_9e6982f3b5cd46e9b3be23eda364cd7a"/>
            <w:id w:val="-1455475778"/>
          </w:sdtPr>
          <w:sdtEndPr>
            <w:rPr>
              <w:rFonts w:ascii="Arial Narrow" w:hAnsi="Arial Narrow" w:eastAsiaTheme="minorEastAsia"/>
              <w:sz w:val="18"/>
              <w:szCs w:val="18"/>
            </w:rPr>
          </w:sdtEndPr>
          <w:sdtContent>
            <w:tc>
              <w:tcPr>
                <w:tcW w:w="794" w:type="pct"/>
                <w:tcBorders>
                  <w:top w:val="single" w:color="auto" w:sz="4" w:space="0"/>
                  <w:left w:val="single" w:color="auto" w:sz="4" w:space="0"/>
                  <w:bottom w:val="single" w:color="auto" w:sz="4" w:space="0"/>
                  <w:right w:val="single" w:color="auto" w:sz="4" w:space="0"/>
                </w:tcBorders>
                <w:vAlign w:val="center"/>
              </w:tcPr>
              <w:p w14:paraId="2DA1239F">
                <w:pPr>
                  <w:jc w:val="center"/>
                  <w:rPr>
                    <w:rFonts w:ascii="Arial Narrow" w:hAnsi="Arial Narrow" w:eastAsiaTheme="minorEastAsia"/>
                    <w:sz w:val="18"/>
                    <w:szCs w:val="18"/>
                  </w:rPr>
                </w:pPr>
                <w:r>
                  <w:rPr>
                    <w:rFonts w:ascii="Arial Narrow" w:hAnsi="Arial Narrow" w:eastAsiaTheme="minorEastAsia"/>
                    <w:sz w:val="18"/>
                    <w:szCs w:val="18"/>
                  </w:rPr>
                  <w:t>坏账准备</w:t>
                </w:r>
              </w:p>
            </w:tc>
          </w:sdtContent>
        </w:sdt>
        <w:sdt>
          <w:sdtPr>
            <w:rPr>
              <w:rFonts w:ascii="Arial Narrow" w:hAnsi="Arial Narrow" w:eastAsiaTheme="minorEastAsia"/>
              <w:sz w:val="18"/>
              <w:szCs w:val="18"/>
            </w:rPr>
            <w:tag w:val="_PLD_5c8e0a4ac99e4539bea932f77317d8de"/>
            <w:id w:val="1179237549"/>
          </w:sdtPr>
          <w:sdtEndPr>
            <w:rPr>
              <w:rFonts w:ascii="Arial Narrow" w:hAnsi="Arial Narrow" w:eastAsiaTheme="minorEastAsia"/>
              <w:sz w:val="18"/>
              <w:szCs w:val="18"/>
            </w:rPr>
          </w:sdtEndPr>
          <w:sdtContent>
            <w:tc>
              <w:tcPr>
                <w:tcW w:w="873" w:type="pct"/>
                <w:tcBorders>
                  <w:top w:val="single" w:color="auto" w:sz="4" w:space="0"/>
                  <w:left w:val="single" w:color="auto" w:sz="4" w:space="0"/>
                  <w:bottom w:val="single" w:color="auto" w:sz="4" w:space="0"/>
                  <w:right w:val="single" w:color="auto" w:sz="4" w:space="0"/>
                </w:tcBorders>
                <w:vAlign w:val="center"/>
              </w:tcPr>
              <w:p w14:paraId="19E05B89">
                <w:pPr>
                  <w:jc w:val="center"/>
                  <w:rPr>
                    <w:rFonts w:ascii="Arial Narrow" w:hAnsi="Arial Narrow" w:eastAsiaTheme="minorEastAsia"/>
                    <w:sz w:val="18"/>
                    <w:szCs w:val="18"/>
                  </w:rPr>
                </w:pPr>
                <w:r>
                  <w:rPr>
                    <w:rFonts w:ascii="Arial Narrow" w:hAnsi="Arial Narrow" w:eastAsiaTheme="minorEastAsia"/>
                    <w:sz w:val="18"/>
                    <w:szCs w:val="18"/>
                  </w:rPr>
                  <w:t>账面余额</w:t>
                </w:r>
              </w:p>
            </w:tc>
          </w:sdtContent>
        </w:sdt>
        <w:sdt>
          <w:sdtPr>
            <w:rPr>
              <w:rFonts w:ascii="Arial Narrow" w:hAnsi="Arial Narrow" w:eastAsiaTheme="minorEastAsia"/>
              <w:sz w:val="18"/>
              <w:szCs w:val="18"/>
            </w:rPr>
            <w:tag w:val="_PLD_c5afa9908d794831a4bc715802a1061d"/>
            <w:id w:val="-1641408734"/>
          </w:sdtPr>
          <w:sdtEndPr>
            <w:rPr>
              <w:rFonts w:ascii="Arial Narrow" w:hAnsi="Arial Narrow" w:eastAsiaTheme="minorEastAsia"/>
              <w:sz w:val="18"/>
              <w:szCs w:val="18"/>
            </w:rPr>
          </w:sdtEndPr>
          <w:sdtContent>
            <w:tc>
              <w:tcPr>
                <w:tcW w:w="715" w:type="pct"/>
                <w:tcBorders>
                  <w:top w:val="single" w:color="auto" w:sz="4" w:space="0"/>
                  <w:left w:val="single" w:color="auto" w:sz="4" w:space="0"/>
                  <w:bottom w:val="single" w:color="auto" w:sz="4" w:space="0"/>
                  <w:right w:val="single" w:color="auto" w:sz="4" w:space="0"/>
                </w:tcBorders>
                <w:vAlign w:val="center"/>
              </w:tcPr>
              <w:p w14:paraId="4F246944">
                <w:pPr>
                  <w:jc w:val="center"/>
                  <w:rPr>
                    <w:rFonts w:ascii="Arial Narrow" w:hAnsi="Arial Narrow" w:eastAsiaTheme="minorEastAsia"/>
                    <w:sz w:val="18"/>
                    <w:szCs w:val="18"/>
                  </w:rPr>
                </w:pPr>
                <w:r>
                  <w:rPr>
                    <w:rFonts w:ascii="Arial Narrow" w:hAnsi="Arial Narrow" w:eastAsiaTheme="minorEastAsia"/>
                    <w:sz w:val="18"/>
                    <w:szCs w:val="18"/>
                  </w:rPr>
                  <w:t>坏账准备</w:t>
                </w:r>
              </w:p>
            </w:tc>
          </w:sdtContent>
        </w:sdt>
      </w:tr>
      <w:tr w14:paraId="29A5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A039A1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银行存款</w:t>
            </w:r>
          </w:p>
        </w:tc>
        <w:tc>
          <w:tcPr>
            <w:tcW w:w="1112" w:type="pct"/>
            <w:tcBorders>
              <w:top w:val="single" w:color="auto" w:sz="4" w:space="0"/>
              <w:left w:val="single" w:color="auto" w:sz="4" w:space="0"/>
              <w:bottom w:val="single" w:color="auto" w:sz="4" w:space="0"/>
              <w:right w:val="single" w:color="auto" w:sz="4" w:space="0"/>
            </w:tcBorders>
          </w:tcPr>
          <w:p w14:paraId="373A9AC7">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5E508FE5">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53AD2898">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34FB3858">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24AD5BBE">
            <w:pPr>
              <w:autoSpaceDE w:val="0"/>
              <w:autoSpaceDN w:val="0"/>
              <w:adjustRightInd w:val="0"/>
              <w:jc w:val="right"/>
              <w:rPr>
                <w:rFonts w:ascii="Arial Narrow" w:hAnsi="Arial Narrow" w:eastAsiaTheme="minorEastAsia"/>
                <w:sz w:val="18"/>
                <w:szCs w:val="18"/>
              </w:rPr>
            </w:pPr>
          </w:p>
        </w:tc>
      </w:tr>
      <w:tr w14:paraId="262E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4355AA4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银行存款</w:t>
            </w:r>
          </w:p>
        </w:tc>
        <w:tc>
          <w:tcPr>
            <w:tcW w:w="1112" w:type="pct"/>
            <w:tcBorders>
              <w:top w:val="single" w:color="auto" w:sz="4" w:space="0"/>
              <w:left w:val="single" w:color="auto" w:sz="4" w:space="0"/>
              <w:bottom w:val="single" w:color="auto" w:sz="4" w:space="0"/>
              <w:right w:val="single" w:color="auto" w:sz="4" w:space="0"/>
            </w:tcBorders>
          </w:tcPr>
          <w:p w14:paraId="48717C38">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新兴际华集团财务有限公司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4B74CC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3,351,736,657.29</w:t>
            </w:r>
          </w:p>
        </w:tc>
        <w:tc>
          <w:tcPr>
            <w:tcW w:w="794" w:type="pct"/>
            <w:tcBorders>
              <w:top w:val="single" w:color="auto" w:sz="4" w:space="0"/>
              <w:left w:val="single" w:color="auto" w:sz="4" w:space="0"/>
              <w:bottom w:val="single" w:color="auto" w:sz="4" w:space="0"/>
              <w:right w:val="single" w:color="auto" w:sz="4" w:space="0"/>
            </w:tcBorders>
            <w:vAlign w:val="center"/>
          </w:tcPr>
          <w:p w14:paraId="470A5A38">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7333F8F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3,485,877,870.41</w:t>
            </w:r>
          </w:p>
        </w:tc>
        <w:tc>
          <w:tcPr>
            <w:tcW w:w="715" w:type="pct"/>
            <w:tcBorders>
              <w:top w:val="single" w:color="auto" w:sz="4" w:space="0"/>
              <w:left w:val="single" w:color="auto" w:sz="4" w:space="0"/>
              <w:bottom w:val="single" w:color="auto" w:sz="4" w:space="0"/>
              <w:right w:val="single" w:color="auto" w:sz="4" w:space="0"/>
            </w:tcBorders>
            <w:vAlign w:val="center"/>
          </w:tcPr>
          <w:p w14:paraId="2BE25D9E">
            <w:pPr>
              <w:autoSpaceDE w:val="0"/>
              <w:autoSpaceDN w:val="0"/>
              <w:adjustRightInd w:val="0"/>
              <w:jc w:val="right"/>
              <w:rPr>
                <w:rFonts w:ascii="Arial Narrow" w:hAnsi="Arial Narrow" w:eastAsiaTheme="minorEastAsia"/>
                <w:sz w:val="18"/>
                <w:szCs w:val="18"/>
              </w:rPr>
            </w:pPr>
          </w:p>
        </w:tc>
      </w:tr>
      <w:tr w14:paraId="4E26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6762C1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应收票据</w:t>
            </w:r>
          </w:p>
        </w:tc>
        <w:tc>
          <w:tcPr>
            <w:tcW w:w="1112" w:type="pct"/>
            <w:tcBorders>
              <w:top w:val="single" w:color="auto" w:sz="4" w:space="0"/>
              <w:left w:val="single" w:color="auto" w:sz="4" w:space="0"/>
              <w:bottom w:val="single" w:color="auto" w:sz="4" w:space="0"/>
              <w:right w:val="single" w:color="auto" w:sz="4" w:space="0"/>
            </w:tcBorders>
          </w:tcPr>
          <w:p w14:paraId="0E872623">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71CEB8C5">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22935647">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0961AD40">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0340205C">
            <w:pPr>
              <w:autoSpaceDE w:val="0"/>
              <w:autoSpaceDN w:val="0"/>
              <w:adjustRightInd w:val="0"/>
              <w:jc w:val="right"/>
              <w:rPr>
                <w:rFonts w:ascii="Arial Narrow" w:hAnsi="Arial Narrow" w:eastAsiaTheme="minorEastAsia"/>
                <w:sz w:val="18"/>
                <w:szCs w:val="18"/>
              </w:rPr>
            </w:pPr>
          </w:p>
        </w:tc>
      </w:tr>
      <w:tr w14:paraId="137E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4F64ED6">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应收票据</w:t>
            </w:r>
          </w:p>
        </w:tc>
        <w:tc>
          <w:tcPr>
            <w:tcW w:w="1112" w:type="pct"/>
            <w:tcBorders>
              <w:top w:val="single" w:color="auto" w:sz="4" w:space="0"/>
              <w:left w:val="single" w:color="auto" w:sz="4" w:space="0"/>
              <w:bottom w:val="single" w:color="auto" w:sz="4" w:space="0"/>
              <w:right w:val="single" w:color="auto" w:sz="4" w:space="0"/>
            </w:tcBorders>
          </w:tcPr>
          <w:p w14:paraId="183B3C1D">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芜湖新兴铸管有限责任公司</w:t>
            </w:r>
          </w:p>
        </w:tc>
        <w:tc>
          <w:tcPr>
            <w:tcW w:w="874" w:type="pct"/>
            <w:tcBorders>
              <w:top w:val="single" w:color="auto" w:sz="4" w:space="0"/>
              <w:left w:val="single" w:color="auto" w:sz="4" w:space="0"/>
              <w:bottom w:val="single" w:color="auto" w:sz="4" w:space="0"/>
              <w:right w:val="single" w:color="auto" w:sz="4" w:space="0"/>
            </w:tcBorders>
            <w:vAlign w:val="center"/>
          </w:tcPr>
          <w:p w14:paraId="337DEC3E">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00DCD9D9">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339E0CB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166,315.00</w:t>
            </w:r>
          </w:p>
        </w:tc>
        <w:tc>
          <w:tcPr>
            <w:tcW w:w="715" w:type="pct"/>
            <w:tcBorders>
              <w:top w:val="single" w:color="auto" w:sz="4" w:space="0"/>
              <w:left w:val="single" w:color="auto" w:sz="4" w:space="0"/>
              <w:bottom w:val="single" w:color="auto" w:sz="4" w:space="0"/>
              <w:right w:val="single" w:color="auto" w:sz="4" w:space="0"/>
            </w:tcBorders>
            <w:vAlign w:val="center"/>
          </w:tcPr>
          <w:p w14:paraId="515A6268">
            <w:pPr>
              <w:autoSpaceDE w:val="0"/>
              <w:autoSpaceDN w:val="0"/>
              <w:adjustRightInd w:val="0"/>
              <w:jc w:val="right"/>
              <w:rPr>
                <w:rFonts w:ascii="Arial Narrow" w:hAnsi="Arial Narrow" w:eastAsiaTheme="minorEastAsia"/>
                <w:sz w:val="18"/>
                <w:szCs w:val="18"/>
              </w:rPr>
            </w:pPr>
          </w:p>
        </w:tc>
      </w:tr>
      <w:tr w14:paraId="47B9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61CF0B4">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应收票据</w:t>
            </w:r>
          </w:p>
        </w:tc>
        <w:tc>
          <w:tcPr>
            <w:tcW w:w="1112" w:type="pct"/>
            <w:tcBorders>
              <w:top w:val="single" w:color="auto" w:sz="4" w:space="0"/>
              <w:left w:val="single" w:color="auto" w:sz="4" w:space="0"/>
              <w:bottom w:val="single" w:color="auto" w:sz="4" w:space="0"/>
              <w:right w:val="single" w:color="auto" w:sz="4" w:space="0"/>
            </w:tcBorders>
          </w:tcPr>
          <w:p w14:paraId="7F4B2864">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1597FF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6,511.88</w:t>
            </w:r>
          </w:p>
        </w:tc>
        <w:tc>
          <w:tcPr>
            <w:tcW w:w="794" w:type="pct"/>
            <w:tcBorders>
              <w:top w:val="single" w:color="auto" w:sz="4" w:space="0"/>
              <w:left w:val="single" w:color="auto" w:sz="4" w:space="0"/>
              <w:bottom w:val="single" w:color="auto" w:sz="4" w:space="0"/>
              <w:right w:val="single" w:color="auto" w:sz="4" w:space="0"/>
            </w:tcBorders>
            <w:vAlign w:val="center"/>
          </w:tcPr>
          <w:p w14:paraId="618ECF1D">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3EAC8811">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7BECD521">
            <w:pPr>
              <w:autoSpaceDE w:val="0"/>
              <w:autoSpaceDN w:val="0"/>
              <w:adjustRightInd w:val="0"/>
              <w:jc w:val="right"/>
              <w:rPr>
                <w:rFonts w:ascii="Arial Narrow" w:hAnsi="Arial Narrow" w:eastAsiaTheme="minorEastAsia"/>
                <w:sz w:val="18"/>
                <w:szCs w:val="18"/>
              </w:rPr>
            </w:pPr>
          </w:p>
        </w:tc>
      </w:tr>
      <w:tr w14:paraId="500F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BF88DB4">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应收票据</w:t>
            </w:r>
          </w:p>
        </w:tc>
        <w:tc>
          <w:tcPr>
            <w:tcW w:w="1112" w:type="pct"/>
            <w:tcBorders>
              <w:top w:val="single" w:color="auto" w:sz="4" w:space="0"/>
              <w:left w:val="single" w:color="auto" w:sz="4" w:space="0"/>
              <w:bottom w:val="single" w:color="auto" w:sz="4" w:space="0"/>
              <w:right w:val="single" w:color="auto" w:sz="4" w:space="0"/>
            </w:tcBorders>
          </w:tcPr>
          <w:p w14:paraId="796104C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广东新兴铸管有限公司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1A0271E9">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AD8C318">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8C16C8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77,674.00</w:t>
            </w:r>
          </w:p>
        </w:tc>
        <w:tc>
          <w:tcPr>
            <w:tcW w:w="715" w:type="pct"/>
            <w:tcBorders>
              <w:top w:val="single" w:color="auto" w:sz="4" w:space="0"/>
              <w:left w:val="single" w:color="auto" w:sz="4" w:space="0"/>
              <w:bottom w:val="single" w:color="auto" w:sz="4" w:space="0"/>
              <w:right w:val="single" w:color="auto" w:sz="4" w:space="0"/>
            </w:tcBorders>
            <w:vAlign w:val="center"/>
          </w:tcPr>
          <w:p w14:paraId="4F6E2860">
            <w:pPr>
              <w:autoSpaceDE w:val="0"/>
              <w:autoSpaceDN w:val="0"/>
              <w:adjustRightInd w:val="0"/>
              <w:jc w:val="right"/>
              <w:rPr>
                <w:rFonts w:ascii="Arial Narrow" w:hAnsi="Arial Narrow" w:eastAsiaTheme="minorEastAsia"/>
                <w:sz w:val="18"/>
                <w:szCs w:val="18"/>
              </w:rPr>
            </w:pPr>
          </w:p>
        </w:tc>
      </w:tr>
      <w:tr w14:paraId="4E40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90B85D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应收款项融资</w:t>
            </w:r>
          </w:p>
        </w:tc>
        <w:tc>
          <w:tcPr>
            <w:tcW w:w="1112" w:type="pct"/>
            <w:tcBorders>
              <w:top w:val="single" w:color="auto" w:sz="4" w:space="0"/>
              <w:left w:val="single" w:color="auto" w:sz="4" w:space="0"/>
              <w:bottom w:val="single" w:color="auto" w:sz="4" w:space="0"/>
              <w:right w:val="single" w:color="auto" w:sz="4" w:space="0"/>
            </w:tcBorders>
          </w:tcPr>
          <w:p w14:paraId="1A1B672C">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2851CE70">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5697527">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9C04A8A">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00F83CCB">
            <w:pPr>
              <w:autoSpaceDE w:val="0"/>
              <w:autoSpaceDN w:val="0"/>
              <w:adjustRightInd w:val="0"/>
              <w:jc w:val="right"/>
              <w:rPr>
                <w:rFonts w:ascii="Arial Narrow" w:hAnsi="Arial Narrow" w:eastAsiaTheme="minorEastAsia"/>
                <w:sz w:val="18"/>
                <w:szCs w:val="18"/>
              </w:rPr>
            </w:pPr>
          </w:p>
        </w:tc>
      </w:tr>
      <w:tr w14:paraId="048D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D082A4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应收款项融资</w:t>
            </w:r>
          </w:p>
        </w:tc>
        <w:tc>
          <w:tcPr>
            <w:tcW w:w="1112" w:type="pct"/>
            <w:tcBorders>
              <w:top w:val="single" w:color="auto" w:sz="4" w:space="0"/>
              <w:left w:val="single" w:color="auto" w:sz="4" w:space="0"/>
              <w:bottom w:val="single" w:color="auto" w:sz="4" w:space="0"/>
              <w:right w:val="single" w:color="auto" w:sz="4" w:space="0"/>
            </w:tcBorders>
          </w:tcPr>
          <w:p w14:paraId="2D4BF6A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黄石新兴管业有限公司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64282B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50,000.00</w:t>
            </w:r>
          </w:p>
        </w:tc>
        <w:tc>
          <w:tcPr>
            <w:tcW w:w="794" w:type="pct"/>
            <w:tcBorders>
              <w:top w:val="single" w:color="auto" w:sz="4" w:space="0"/>
              <w:left w:val="single" w:color="auto" w:sz="4" w:space="0"/>
              <w:bottom w:val="single" w:color="auto" w:sz="4" w:space="0"/>
              <w:right w:val="single" w:color="auto" w:sz="4" w:space="0"/>
            </w:tcBorders>
            <w:vAlign w:val="center"/>
          </w:tcPr>
          <w:p w14:paraId="509C9D36">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23480373">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1CB91CA9">
            <w:pPr>
              <w:autoSpaceDE w:val="0"/>
              <w:autoSpaceDN w:val="0"/>
              <w:adjustRightInd w:val="0"/>
              <w:jc w:val="right"/>
              <w:rPr>
                <w:rFonts w:ascii="Arial Narrow" w:hAnsi="Arial Narrow" w:eastAsiaTheme="minorEastAsia"/>
                <w:sz w:val="18"/>
                <w:szCs w:val="18"/>
              </w:rPr>
            </w:pPr>
          </w:p>
        </w:tc>
      </w:tr>
      <w:tr w14:paraId="5097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8752038">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0061CF80">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43621C18">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25DCA036">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BFAF12A">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05029EEB">
            <w:pPr>
              <w:autoSpaceDE w:val="0"/>
              <w:autoSpaceDN w:val="0"/>
              <w:adjustRightInd w:val="0"/>
              <w:jc w:val="right"/>
              <w:rPr>
                <w:rFonts w:ascii="Arial Narrow" w:hAnsi="Arial Narrow" w:eastAsiaTheme="minorEastAsia"/>
                <w:sz w:val="18"/>
                <w:szCs w:val="18"/>
              </w:rPr>
            </w:pPr>
          </w:p>
        </w:tc>
      </w:tr>
      <w:tr w14:paraId="6FCF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9ABF37E">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34A90A2E">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辽宁际华三五二三特种装备有限公司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3F865A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12,701,429.99</w:t>
            </w:r>
          </w:p>
        </w:tc>
        <w:tc>
          <w:tcPr>
            <w:tcW w:w="794" w:type="pct"/>
            <w:tcBorders>
              <w:top w:val="single" w:color="auto" w:sz="4" w:space="0"/>
              <w:left w:val="single" w:color="auto" w:sz="4" w:space="0"/>
              <w:bottom w:val="single" w:color="auto" w:sz="4" w:space="0"/>
              <w:right w:val="single" w:color="auto" w:sz="4" w:space="0"/>
            </w:tcBorders>
            <w:vAlign w:val="center"/>
          </w:tcPr>
          <w:p w14:paraId="7B604A1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4,074,395.15</w:t>
            </w:r>
          </w:p>
        </w:tc>
        <w:tc>
          <w:tcPr>
            <w:tcW w:w="873" w:type="pct"/>
            <w:tcBorders>
              <w:top w:val="single" w:color="auto" w:sz="4" w:space="0"/>
              <w:left w:val="single" w:color="auto" w:sz="4" w:space="0"/>
              <w:bottom w:val="single" w:color="auto" w:sz="4" w:space="0"/>
              <w:right w:val="single" w:color="auto" w:sz="4" w:space="0"/>
            </w:tcBorders>
            <w:vAlign w:val="center"/>
          </w:tcPr>
          <w:p w14:paraId="3807952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15,001,429.99</w:t>
            </w:r>
          </w:p>
        </w:tc>
        <w:tc>
          <w:tcPr>
            <w:tcW w:w="715" w:type="pct"/>
            <w:tcBorders>
              <w:top w:val="single" w:color="auto" w:sz="4" w:space="0"/>
              <w:left w:val="single" w:color="auto" w:sz="4" w:space="0"/>
              <w:bottom w:val="single" w:color="auto" w:sz="4" w:space="0"/>
              <w:right w:val="single" w:color="auto" w:sz="4" w:space="0"/>
            </w:tcBorders>
            <w:vAlign w:val="center"/>
          </w:tcPr>
          <w:p w14:paraId="15F1943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3,766,812.87</w:t>
            </w:r>
          </w:p>
        </w:tc>
      </w:tr>
      <w:tr w14:paraId="672A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77B131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79760CB">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新兴际华应急产业有限公司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356941F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9,289,778.56</w:t>
            </w:r>
          </w:p>
        </w:tc>
        <w:tc>
          <w:tcPr>
            <w:tcW w:w="794" w:type="pct"/>
            <w:tcBorders>
              <w:top w:val="single" w:color="auto" w:sz="4" w:space="0"/>
              <w:left w:val="single" w:color="auto" w:sz="4" w:space="0"/>
              <w:bottom w:val="single" w:color="auto" w:sz="4" w:space="0"/>
              <w:right w:val="single" w:color="auto" w:sz="4" w:space="0"/>
            </w:tcBorders>
            <w:vAlign w:val="center"/>
          </w:tcPr>
          <w:p w14:paraId="22152C2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1,712,161.30</w:t>
            </w:r>
          </w:p>
        </w:tc>
        <w:tc>
          <w:tcPr>
            <w:tcW w:w="873" w:type="pct"/>
            <w:tcBorders>
              <w:top w:val="single" w:color="auto" w:sz="4" w:space="0"/>
              <w:left w:val="single" w:color="auto" w:sz="4" w:space="0"/>
              <w:bottom w:val="single" w:color="auto" w:sz="4" w:space="0"/>
              <w:right w:val="single" w:color="auto" w:sz="4" w:space="0"/>
            </w:tcBorders>
            <w:vAlign w:val="center"/>
          </w:tcPr>
          <w:p w14:paraId="214B923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10,437,816.80</w:t>
            </w:r>
          </w:p>
        </w:tc>
        <w:tc>
          <w:tcPr>
            <w:tcW w:w="715" w:type="pct"/>
            <w:tcBorders>
              <w:top w:val="single" w:color="auto" w:sz="4" w:space="0"/>
              <w:left w:val="single" w:color="auto" w:sz="4" w:space="0"/>
              <w:bottom w:val="single" w:color="auto" w:sz="4" w:space="0"/>
              <w:right w:val="single" w:color="auto" w:sz="4" w:space="0"/>
            </w:tcBorders>
            <w:vAlign w:val="center"/>
          </w:tcPr>
          <w:p w14:paraId="6B34E46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1,198,984.95</w:t>
            </w:r>
          </w:p>
        </w:tc>
      </w:tr>
      <w:tr w14:paraId="4B99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8A6F690">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84DCE2D">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聚联智汇水务科技有限公司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BEB625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5,018,296.35</w:t>
            </w:r>
          </w:p>
        </w:tc>
        <w:tc>
          <w:tcPr>
            <w:tcW w:w="794" w:type="pct"/>
            <w:tcBorders>
              <w:top w:val="single" w:color="auto" w:sz="4" w:space="0"/>
              <w:left w:val="single" w:color="auto" w:sz="4" w:space="0"/>
              <w:bottom w:val="single" w:color="auto" w:sz="4" w:space="0"/>
              <w:right w:val="single" w:color="auto" w:sz="4" w:space="0"/>
            </w:tcBorders>
            <w:vAlign w:val="center"/>
          </w:tcPr>
          <w:p w14:paraId="1028CD8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203,331.18</w:t>
            </w:r>
          </w:p>
        </w:tc>
        <w:tc>
          <w:tcPr>
            <w:tcW w:w="873" w:type="pct"/>
            <w:tcBorders>
              <w:top w:val="single" w:color="auto" w:sz="4" w:space="0"/>
              <w:left w:val="single" w:color="auto" w:sz="4" w:space="0"/>
              <w:bottom w:val="single" w:color="auto" w:sz="4" w:space="0"/>
              <w:right w:val="single" w:color="auto" w:sz="4" w:space="0"/>
            </w:tcBorders>
            <w:vAlign w:val="center"/>
          </w:tcPr>
          <w:p w14:paraId="086225D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11,680,345.04</w:t>
            </w:r>
          </w:p>
        </w:tc>
        <w:tc>
          <w:tcPr>
            <w:tcW w:w="715" w:type="pct"/>
            <w:tcBorders>
              <w:top w:val="single" w:color="auto" w:sz="4" w:space="0"/>
              <w:left w:val="single" w:color="auto" w:sz="4" w:space="0"/>
              <w:bottom w:val="single" w:color="auto" w:sz="4" w:space="0"/>
              <w:right w:val="single" w:color="auto" w:sz="4" w:space="0"/>
            </w:tcBorders>
            <w:vAlign w:val="center"/>
          </w:tcPr>
          <w:p w14:paraId="3852628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421,887.89</w:t>
            </w:r>
          </w:p>
        </w:tc>
      </w:tr>
      <w:tr w14:paraId="176C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0BEEC39">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7793288">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新兴际华应急装备技术有限公司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1F944D7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3,426,191.20</w:t>
            </w:r>
          </w:p>
        </w:tc>
        <w:tc>
          <w:tcPr>
            <w:tcW w:w="794" w:type="pct"/>
            <w:tcBorders>
              <w:top w:val="single" w:color="auto" w:sz="4" w:space="0"/>
              <w:left w:val="single" w:color="auto" w:sz="4" w:space="0"/>
              <w:bottom w:val="single" w:color="auto" w:sz="4" w:space="0"/>
              <w:right w:val="single" w:color="auto" w:sz="4" w:space="0"/>
            </w:tcBorders>
            <w:vAlign w:val="center"/>
          </w:tcPr>
          <w:p w14:paraId="176DBC8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142,735.38</w:t>
            </w:r>
          </w:p>
        </w:tc>
        <w:tc>
          <w:tcPr>
            <w:tcW w:w="873" w:type="pct"/>
            <w:tcBorders>
              <w:top w:val="single" w:color="auto" w:sz="4" w:space="0"/>
              <w:left w:val="single" w:color="auto" w:sz="4" w:space="0"/>
              <w:bottom w:val="single" w:color="auto" w:sz="4" w:space="0"/>
              <w:right w:val="single" w:color="auto" w:sz="4" w:space="0"/>
            </w:tcBorders>
            <w:vAlign w:val="center"/>
          </w:tcPr>
          <w:p w14:paraId="67E76EF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3,062,548.00</w:t>
            </w:r>
          </w:p>
        </w:tc>
        <w:tc>
          <w:tcPr>
            <w:tcW w:w="715" w:type="pct"/>
            <w:tcBorders>
              <w:top w:val="single" w:color="auto" w:sz="4" w:space="0"/>
              <w:left w:val="single" w:color="auto" w:sz="4" w:space="0"/>
              <w:bottom w:val="single" w:color="auto" w:sz="4" w:space="0"/>
              <w:right w:val="single" w:color="auto" w:sz="4" w:space="0"/>
            </w:tcBorders>
            <w:vAlign w:val="center"/>
          </w:tcPr>
          <w:p w14:paraId="349A1D8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435,903.43</w:t>
            </w:r>
          </w:p>
        </w:tc>
      </w:tr>
      <w:tr w14:paraId="5047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D491AF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389D2A70">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071CBF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30,116,091.02</w:t>
            </w:r>
          </w:p>
        </w:tc>
        <w:tc>
          <w:tcPr>
            <w:tcW w:w="794" w:type="pct"/>
            <w:tcBorders>
              <w:top w:val="single" w:color="auto" w:sz="4" w:space="0"/>
              <w:left w:val="single" w:color="auto" w:sz="4" w:space="0"/>
              <w:bottom w:val="single" w:color="auto" w:sz="4" w:space="0"/>
              <w:right w:val="single" w:color="auto" w:sz="4" w:space="0"/>
            </w:tcBorders>
            <w:vAlign w:val="center"/>
          </w:tcPr>
          <w:p w14:paraId="28AA0B2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1,224,305.17</w:t>
            </w:r>
          </w:p>
        </w:tc>
        <w:tc>
          <w:tcPr>
            <w:tcW w:w="873" w:type="pct"/>
            <w:tcBorders>
              <w:top w:val="single" w:color="auto" w:sz="4" w:space="0"/>
              <w:left w:val="single" w:color="auto" w:sz="4" w:space="0"/>
              <w:bottom w:val="single" w:color="auto" w:sz="4" w:space="0"/>
              <w:right w:val="single" w:color="auto" w:sz="4" w:space="0"/>
            </w:tcBorders>
            <w:vAlign w:val="center"/>
          </w:tcPr>
          <w:p w14:paraId="1E79F9B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5,141,236.84</w:t>
            </w:r>
          </w:p>
        </w:tc>
        <w:tc>
          <w:tcPr>
            <w:tcW w:w="715" w:type="pct"/>
            <w:tcBorders>
              <w:top w:val="single" w:color="auto" w:sz="4" w:space="0"/>
              <w:left w:val="single" w:color="auto" w:sz="4" w:space="0"/>
              <w:bottom w:val="single" w:color="auto" w:sz="4" w:space="0"/>
              <w:right w:val="single" w:color="auto" w:sz="4" w:space="0"/>
            </w:tcBorders>
            <w:vAlign w:val="center"/>
          </w:tcPr>
          <w:p w14:paraId="486E733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215,605.76</w:t>
            </w:r>
          </w:p>
        </w:tc>
      </w:tr>
      <w:tr w14:paraId="611E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1946EE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6705DD4">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秦皇岛际华三五四四鞋业有限公司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FCC5EC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1,985,745.05</w:t>
            </w:r>
          </w:p>
        </w:tc>
        <w:tc>
          <w:tcPr>
            <w:tcW w:w="794" w:type="pct"/>
            <w:tcBorders>
              <w:top w:val="single" w:color="auto" w:sz="4" w:space="0"/>
              <w:left w:val="single" w:color="auto" w:sz="4" w:space="0"/>
              <w:bottom w:val="single" w:color="auto" w:sz="4" w:space="0"/>
              <w:right w:val="single" w:color="auto" w:sz="4" w:space="0"/>
            </w:tcBorders>
            <w:vAlign w:val="center"/>
          </w:tcPr>
          <w:p w14:paraId="0E5D3DE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756,692.75</w:t>
            </w:r>
          </w:p>
        </w:tc>
        <w:tc>
          <w:tcPr>
            <w:tcW w:w="873" w:type="pct"/>
            <w:tcBorders>
              <w:top w:val="single" w:color="auto" w:sz="4" w:space="0"/>
              <w:left w:val="single" w:color="auto" w:sz="4" w:space="0"/>
              <w:bottom w:val="single" w:color="auto" w:sz="4" w:space="0"/>
              <w:right w:val="single" w:color="auto" w:sz="4" w:space="0"/>
            </w:tcBorders>
            <w:vAlign w:val="center"/>
          </w:tcPr>
          <w:p w14:paraId="2A1BBA2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1,985,745.05</w:t>
            </w:r>
          </w:p>
        </w:tc>
        <w:tc>
          <w:tcPr>
            <w:tcW w:w="715" w:type="pct"/>
            <w:tcBorders>
              <w:top w:val="single" w:color="auto" w:sz="4" w:space="0"/>
              <w:left w:val="single" w:color="auto" w:sz="4" w:space="0"/>
              <w:bottom w:val="single" w:color="auto" w:sz="4" w:space="0"/>
              <w:right w:val="single" w:color="auto" w:sz="4" w:space="0"/>
            </w:tcBorders>
            <w:vAlign w:val="center"/>
          </w:tcPr>
          <w:p w14:paraId="04C0523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563,495.76</w:t>
            </w:r>
          </w:p>
        </w:tc>
      </w:tr>
      <w:tr w14:paraId="4E92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6AD9F4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7DC4214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新兴际华（北京）应急救援科技有限公司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83ECEA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1,659,360.00</w:t>
            </w:r>
          </w:p>
        </w:tc>
        <w:tc>
          <w:tcPr>
            <w:tcW w:w="794" w:type="pct"/>
            <w:tcBorders>
              <w:top w:val="single" w:color="auto" w:sz="4" w:space="0"/>
              <w:left w:val="single" w:color="auto" w:sz="4" w:space="0"/>
              <w:bottom w:val="single" w:color="auto" w:sz="4" w:space="0"/>
              <w:right w:val="single" w:color="auto" w:sz="4" w:space="0"/>
            </w:tcBorders>
            <w:vAlign w:val="center"/>
          </w:tcPr>
          <w:p w14:paraId="4C8ADFB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67,233.90</w:t>
            </w:r>
          </w:p>
        </w:tc>
        <w:tc>
          <w:tcPr>
            <w:tcW w:w="873" w:type="pct"/>
            <w:tcBorders>
              <w:top w:val="single" w:color="auto" w:sz="4" w:space="0"/>
              <w:left w:val="single" w:color="auto" w:sz="4" w:space="0"/>
              <w:bottom w:val="single" w:color="auto" w:sz="4" w:space="0"/>
              <w:right w:val="single" w:color="auto" w:sz="4" w:space="0"/>
            </w:tcBorders>
            <w:vAlign w:val="center"/>
          </w:tcPr>
          <w:p w14:paraId="06B563C6">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77C152CE">
            <w:pPr>
              <w:autoSpaceDE w:val="0"/>
              <w:autoSpaceDN w:val="0"/>
              <w:adjustRightInd w:val="0"/>
              <w:jc w:val="right"/>
              <w:rPr>
                <w:rFonts w:ascii="Arial Narrow" w:hAnsi="Arial Narrow" w:eastAsiaTheme="minorEastAsia"/>
                <w:sz w:val="18"/>
                <w:szCs w:val="18"/>
              </w:rPr>
            </w:pPr>
          </w:p>
        </w:tc>
      </w:tr>
      <w:tr w14:paraId="73B1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BD051E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31E3E1A4">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济南泰山鞋厂</w:t>
            </w:r>
          </w:p>
        </w:tc>
        <w:tc>
          <w:tcPr>
            <w:tcW w:w="874" w:type="pct"/>
            <w:tcBorders>
              <w:top w:val="single" w:color="auto" w:sz="4" w:space="0"/>
              <w:left w:val="single" w:color="auto" w:sz="4" w:space="0"/>
              <w:bottom w:val="single" w:color="auto" w:sz="4" w:space="0"/>
              <w:right w:val="single" w:color="auto" w:sz="4" w:space="0"/>
            </w:tcBorders>
            <w:vAlign w:val="center"/>
          </w:tcPr>
          <w:p w14:paraId="0E5423D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1,620,892.33</w:t>
            </w:r>
          </w:p>
        </w:tc>
        <w:tc>
          <w:tcPr>
            <w:tcW w:w="794" w:type="pct"/>
            <w:tcBorders>
              <w:top w:val="single" w:color="auto" w:sz="4" w:space="0"/>
              <w:left w:val="single" w:color="auto" w:sz="4" w:space="0"/>
              <w:bottom w:val="single" w:color="auto" w:sz="4" w:space="0"/>
              <w:right w:val="single" w:color="auto" w:sz="4" w:space="0"/>
            </w:tcBorders>
            <w:vAlign w:val="center"/>
          </w:tcPr>
          <w:p w14:paraId="4CEF27E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1,620,892.33</w:t>
            </w:r>
          </w:p>
        </w:tc>
        <w:tc>
          <w:tcPr>
            <w:tcW w:w="873" w:type="pct"/>
            <w:tcBorders>
              <w:top w:val="single" w:color="auto" w:sz="4" w:space="0"/>
              <w:left w:val="single" w:color="auto" w:sz="4" w:space="0"/>
              <w:bottom w:val="single" w:color="auto" w:sz="4" w:space="0"/>
              <w:right w:val="single" w:color="auto" w:sz="4" w:space="0"/>
            </w:tcBorders>
            <w:vAlign w:val="center"/>
          </w:tcPr>
          <w:p w14:paraId="0DDB738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1,620,892.33</w:t>
            </w:r>
          </w:p>
        </w:tc>
        <w:tc>
          <w:tcPr>
            <w:tcW w:w="715" w:type="pct"/>
            <w:tcBorders>
              <w:top w:val="single" w:color="auto" w:sz="4" w:space="0"/>
              <w:left w:val="single" w:color="auto" w:sz="4" w:space="0"/>
              <w:bottom w:val="single" w:color="auto" w:sz="4" w:space="0"/>
              <w:right w:val="single" w:color="auto" w:sz="4" w:space="0"/>
            </w:tcBorders>
            <w:vAlign w:val="center"/>
          </w:tcPr>
          <w:p w14:paraId="36EB15D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1,615,811.99</w:t>
            </w:r>
          </w:p>
        </w:tc>
      </w:tr>
      <w:tr w14:paraId="59C5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D00CE4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72F70F40">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际华洁能（天津）环保科技发展有限公司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B10FBB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1,097,374.75</w:t>
            </w:r>
          </w:p>
        </w:tc>
        <w:tc>
          <w:tcPr>
            <w:tcW w:w="794" w:type="pct"/>
            <w:tcBorders>
              <w:top w:val="single" w:color="auto" w:sz="4" w:space="0"/>
              <w:left w:val="single" w:color="auto" w:sz="4" w:space="0"/>
              <w:bottom w:val="single" w:color="auto" w:sz="4" w:space="0"/>
              <w:right w:val="single" w:color="auto" w:sz="4" w:space="0"/>
            </w:tcBorders>
            <w:vAlign w:val="center"/>
          </w:tcPr>
          <w:p w14:paraId="25948F7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1,097,374.75</w:t>
            </w:r>
          </w:p>
        </w:tc>
        <w:tc>
          <w:tcPr>
            <w:tcW w:w="873" w:type="pct"/>
            <w:tcBorders>
              <w:top w:val="single" w:color="auto" w:sz="4" w:space="0"/>
              <w:left w:val="single" w:color="auto" w:sz="4" w:space="0"/>
              <w:bottom w:val="single" w:color="auto" w:sz="4" w:space="0"/>
              <w:right w:val="single" w:color="auto" w:sz="4" w:space="0"/>
            </w:tcBorders>
            <w:vAlign w:val="center"/>
          </w:tcPr>
          <w:p w14:paraId="4F4FA93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1,097,374.75</w:t>
            </w:r>
          </w:p>
        </w:tc>
        <w:tc>
          <w:tcPr>
            <w:tcW w:w="715" w:type="pct"/>
            <w:tcBorders>
              <w:top w:val="single" w:color="auto" w:sz="4" w:space="0"/>
              <w:left w:val="single" w:color="auto" w:sz="4" w:space="0"/>
              <w:bottom w:val="single" w:color="auto" w:sz="4" w:space="0"/>
              <w:right w:val="single" w:color="auto" w:sz="4" w:space="0"/>
            </w:tcBorders>
            <w:vAlign w:val="center"/>
          </w:tcPr>
          <w:p w14:paraId="3E1C2BB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277,417.49</w:t>
            </w:r>
          </w:p>
        </w:tc>
      </w:tr>
      <w:tr w14:paraId="209E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5380491">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5113F4F5">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际华五三零三服装有限公司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5A9436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930,959.46</w:t>
            </w:r>
          </w:p>
        </w:tc>
        <w:tc>
          <w:tcPr>
            <w:tcW w:w="794" w:type="pct"/>
            <w:tcBorders>
              <w:top w:val="single" w:color="auto" w:sz="4" w:space="0"/>
              <w:left w:val="single" w:color="auto" w:sz="4" w:space="0"/>
              <w:bottom w:val="single" w:color="auto" w:sz="4" w:space="0"/>
              <w:right w:val="single" w:color="auto" w:sz="4" w:space="0"/>
            </w:tcBorders>
            <w:vAlign w:val="center"/>
          </w:tcPr>
          <w:p w14:paraId="498ABB0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733,470.83</w:t>
            </w:r>
          </w:p>
        </w:tc>
        <w:tc>
          <w:tcPr>
            <w:tcW w:w="873" w:type="pct"/>
            <w:tcBorders>
              <w:top w:val="single" w:color="auto" w:sz="4" w:space="0"/>
              <w:left w:val="single" w:color="auto" w:sz="4" w:space="0"/>
              <w:bottom w:val="single" w:color="auto" w:sz="4" w:space="0"/>
              <w:right w:val="single" w:color="auto" w:sz="4" w:space="0"/>
            </w:tcBorders>
            <w:vAlign w:val="center"/>
          </w:tcPr>
          <w:p w14:paraId="6A36C14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1,051,679.46</w:t>
            </w:r>
          </w:p>
        </w:tc>
        <w:tc>
          <w:tcPr>
            <w:tcW w:w="715" w:type="pct"/>
            <w:tcBorders>
              <w:top w:val="single" w:color="auto" w:sz="4" w:space="0"/>
              <w:left w:val="single" w:color="auto" w:sz="4" w:space="0"/>
              <w:bottom w:val="single" w:color="auto" w:sz="4" w:space="0"/>
              <w:right w:val="single" w:color="auto" w:sz="4" w:space="0"/>
            </w:tcBorders>
            <w:vAlign w:val="center"/>
          </w:tcPr>
          <w:p w14:paraId="51A0CB2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550,610.53</w:t>
            </w:r>
          </w:p>
        </w:tc>
      </w:tr>
      <w:tr w14:paraId="5DD3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E1F34D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0E3A4F4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新兴际华投资有限公司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E01364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426,285.86</w:t>
            </w:r>
          </w:p>
        </w:tc>
        <w:tc>
          <w:tcPr>
            <w:tcW w:w="794" w:type="pct"/>
            <w:tcBorders>
              <w:top w:val="single" w:color="auto" w:sz="4" w:space="0"/>
              <w:left w:val="single" w:color="auto" w:sz="4" w:space="0"/>
              <w:bottom w:val="single" w:color="auto" w:sz="4" w:space="0"/>
              <w:right w:val="single" w:color="auto" w:sz="4" w:space="0"/>
            </w:tcBorders>
            <w:vAlign w:val="center"/>
          </w:tcPr>
          <w:p w14:paraId="3F8C44E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406,674.05</w:t>
            </w:r>
          </w:p>
        </w:tc>
        <w:tc>
          <w:tcPr>
            <w:tcW w:w="873" w:type="pct"/>
            <w:tcBorders>
              <w:top w:val="single" w:color="auto" w:sz="4" w:space="0"/>
              <w:left w:val="single" w:color="auto" w:sz="4" w:space="0"/>
              <w:bottom w:val="single" w:color="auto" w:sz="4" w:space="0"/>
              <w:right w:val="single" w:color="auto" w:sz="4" w:space="0"/>
            </w:tcBorders>
            <w:vAlign w:val="center"/>
          </w:tcPr>
          <w:p w14:paraId="033CC06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405,845.86</w:t>
            </w:r>
          </w:p>
        </w:tc>
        <w:tc>
          <w:tcPr>
            <w:tcW w:w="715" w:type="pct"/>
            <w:tcBorders>
              <w:top w:val="single" w:color="auto" w:sz="4" w:space="0"/>
              <w:left w:val="single" w:color="auto" w:sz="4" w:space="0"/>
              <w:bottom w:val="single" w:color="auto" w:sz="4" w:space="0"/>
              <w:right w:val="single" w:color="auto" w:sz="4" w:space="0"/>
            </w:tcBorders>
            <w:vAlign w:val="center"/>
          </w:tcPr>
          <w:p w14:paraId="4CAE829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270,563.90</w:t>
            </w:r>
          </w:p>
        </w:tc>
      </w:tr>
      <w:tr w14:paraId="62A4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0DD4FA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546AA77">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天津华津制药有限公司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306726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415,270.44</w:t>
            </w:r>
          </w:p>
        </w:tc>
        <w:tc>
          <w:tcPr>
            <w:tcW w:w="794" w:type="pct"/>
            <w:tcBorders>
              <w:top w:val="single" w:color="auto" w:sz="4" w:space="0"/>
              <w:left w:val="single" w:color="auto" w:sz="4" w:space="0"/>
              <w:bottom w:val="single" w:color="auto" w:sz="4" w:space="0"/>
              <w:right w:val="single" w:color="auto" w:sz="4" w:space="0"/>
            </w:tcBorders>
            <w:vAlign w:val="center"/>
          </w:tcPr>
          <w:p w14:paraId="09604EE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415,270.44</w:t>
            </w:r>
          </w:p>
        </w:tc>
        <w:tc>
          <w:tcPr>
            <w:tcW w:w="873" w:type="pct"/>
            <w:tcBorders>
              <w:top w:val="single" w:color="auto" w:sz="4" w:space="0"/>
              <w:left w:val="single" w:color="auto" w:sz="4" w:space="0"/>
              <w:bottom w:val="single" w:color="auto" w:sz="4" w:space="0"/>
              <w:right w:val="single" w:color="auto" w:sz="4" w:space="0"/>
            </w:tcBorders>
            <w:vAlign w:val="center"/>
          </w:tcPr>
          <w:p w14:paraId="4EBF100A">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415,270.44</w:t>
            </w:r>
          </w:p>
        </w:tc>
        <w:tc>
          <w:tcPr>
            <w:tcW w:w="715" w:type="pct"/>
            <w:tcBorders>
              <w:top w:val="single" w:color="auto" w:sz="4" w:space="0"/>
              <w:left w:val="single" w:color="auto" w:sz="4" w:space="0"/>
              <w:bottom w:val="single" w:color="auto" w:sz="4" w:space="0"/>
              <w:right w:val="single" w:color="auto" w:sz="4" w:space="0"/>
            </w:tcBorders>
            <w:vAlign w:val="center"/>
          </w:tcPr>
          <w:p w14:paraId="12D7249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311,430.56</w:t>
            </w:r>
          </w:p>
        </w:tc>
      </w:tr>
      <w:tr w14:paraId="34D4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48C88EFC">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512235C8">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河北新兴能源科技股份有限公司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8762A8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295,824.00</w:t>
            </w:r>
          </w:p>
        </w:tc>
        <w:tc>
          <w:tcPr>
            <w:tcW w:w="794" w:type="pct"/>
            <w:tcBorders>
              <w:top w:val="single" w:color="auto" w:sz="4" w:space="0"/>
              <w:left w:val="single" w:color="auto" w:sz="4" w:space="0"/>
              <w:bottom w:val="single" w:color="auto" w:sz="4" w:space="0"/>
              <w:right w:val="single" w:color="auto" w:sz="4" w:space="0"/>
            </w:tcBorders>
            <w:vAlign w:val="center"/>
          </w:tcPr>
          <w:p w14:paraId="5849391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80,096.53</w:t>
            </w:r>
          </w:p>
        </w:tc>
        <w:tc>
          <w:tcPr>
            <w:tcW w:w="873" w:type="pct"/>
            <w:tcBorders>
              <w:top w:val="single" w:color="auto" w:sz="4" w:space="0"/>
              <w:left w:val="single" w:color="auto" w:sz="4" w:space="0"/>
              <w:bottom w:val="single" w:color="auto" w:sz="4" w:space="0"/>
              <w:right w:val="single" w:color="auto" w:sz="4" w:space="0"/>
            </w:tcBorders>
            <w:vAlign w:val="center"/>
          </w:tcPr>
          <w:p w14:paraId="0C209B0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898,824.00</w:t>
            </w:r>
          </w:p>
        </w:tc>
        <w:tc>
          <w:tcPr>
            <w:tcW w:w="715" w:type="pct"/>
            <w:tcBorders>
              <w:top w:val="single" w:color="auto" w:sz="4" w:space="0"/>
              <w:left w:val="single" w:color="auto" w:sz="4" w:space="0"/>
              <w:bottom w:val="single" w:color="auto" w:sz="4" w:space="0"/>
              <w:right w:val="single" w:color="auto" w:sz="4" w:space="0"/>
            </w:tcBorders>
            <w:vAlign w:val="center"/>
          </w:tcPr>
          <w:p w14:paraId="59E8035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202,603.36</w:t>
            </w:r>
          </w:p>
        </w:tc>
      </w:tr>
      <w:tr w14:paraId="4415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AF181DB">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7E0F8F10">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芜湖新兴铸管有限责任公司</w:t>
            </w:r>
          </w:p>
        </w:tc>
        <w:tc>
          <w:tcPr>
            <w:tcW w:w="874" w:type="pct"/>
            <w:tcBorders>
              <w:top w:val="single" w:color="auto" w:sz="4" w:space="0"/>
              <w:left w:val="single" w:color="auto" w:sz="4" w:space="0"/>
              <w:bottom w:val="single" w:color="auto" w:sz="4" w:space="0"/>
              <w:right w:val="single" w:color="auto" w:sz="4" w:space="0"/>
            </w:tcBorders>
            <w:vAlign w:val="center"/>
          </w:tcPr>
          <w:p w14:paraId="35F0573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284,028.49</w:t>
            </w:r>
          </w:p>
        </w:tc>
        <w:tc>
          <w:tcPr>
            <w:tcW w:w="794" w:type="pct"/>
            <w:tcBorders>
              <w:top w:val="single" w:color="auto" w:sz="4" w:space="0"/>
              <w:left w:val="single" w:color="auto" w:sz="4" w:space="0"/>
              <w:bottom w:val="single" w:color="auto" w:sz="4" w:space="0"/>
              <w:right w:val="single" w:color="auto" w:sz="4" w:space="0"/>
            </w:tcBorders>
            <w:vAlign w:val="center"/>
          </w:tcPr>
          <w:p w14:paraId="604EC34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11,508.26</w:t>
            </w:r>
          </w:p>
        </w:tc>
        <w:tc>
          <w:tcPr>
            <w:tcW w:w="873" w:type="pct"/>
            <w:tcBorders>
              <w:top w:val="single" w:color="auto" w:sz="4" w:space="0"/>
              <w:left w:val="single" w:color="auto" w:sz="4" w:space="0"/>
              <w:bottom w:val="single" w:color="auto" w:sz="4" w:space="0"/>
              <w:right w:val="single" w:color="auto" w:sz="4" w:space="0"/>
            </w:tcBorders>
            <w:vAlign w:val="center"/>
          </w:tcPr>
          <w:p w14:paraId="48A7578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21,464.47</w:t>
            </w:r>
          </w:p>
        </w:tc>
        <w:tc>
          <w:tcPr>
            <w:tcW w:w="715" w:type="pct"/>
            <w:tcBorders>
              <w:top w:val="single" w:color="auto" w:sz="4" w:space="0"/>
              <w:left w:val="single" w:color="auto" w:sz="4" w:space="0"/>
              <w:bottom w:val="single" w:color="auto" w:sz="4" w:space="0"/>
              <w:right w:val="single" w:color="auto" w:sz="4" w:space="0"/>
            </w:tcBorders>
            <w:vAlign w:val="center"/>
          </w:tcPr>
          <w:p w14:paraId="56D4FDB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775.29</w:t>
            </w:r>
          </w:p>
        </w:tc>
      </w:tr>
      <w:tr w14:paraId="0B78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FFFDF5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62738D5">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河北新兴铸管有限公司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9BC40B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194,900.30</w:t>
            </w:r>
          </w:p>
        </w:tc>
        <w:tc>
          <w:tcPr>
            <w:tcW w:w="794" w:type="pct"/>
            <w:tcBorders>
              <w:top w:val="single" w:color="auto" w:sz="4" w:space="0"/>
              <w:left w:val="single" w:color="auto" w:sz="4" w:space="0"/>
              <w:bottom w:val="single" w:color="auto" w:sz="4" w:space="0"/>
              <w:right w:val="single" w:color="auto" w:sz="4" w:space="0"/>
            </w:tcBorders>
            <w:vAlign w:val="center"/>
          </w:tcPr>
          <w:p w14:paraId="160C41B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125,960.32</w:t>
            </w:r>
          </w:p>
        </w:tc>
        <w:tc>
          <w:tcPr>
            <w:tcW w:w="873" w:type="pct"/>
            <w:tcBorders>
              <w:top w:val="single" w:color="auto" w:sz="4" w:space="0"/>
              <w:left w:val="single" w:color="auto" w:sz="4" w:space="0"/>
              <w:bottom w:val="single" w:color="auto" w:sz="4" w:space="0"/>
              <w:right w:val="single" w:color="auto" w:sz="4" w:space="0"/>
            </w:tcBorders>
            <w:vAlign w:val="center"/>
          </w:tcPr>
          <w:p w14:paraId="6F41E60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194,900.30</w:t>
            </w:r>
          </w:p>
        </w:tc>
        <w:tc>
          <w:tcPr>
            <w:tcW w:w="715" w:type="pct"/>
            <w:tcBorders>
              <w:top w:val="single" w:color="auto" w:sz="4" w:space="0"/>
              <w:left w:val="single" w:color="auto" w:sz="4" w:space="0"/>
              <w:bottom w:val="single" w:color="auto" w:sz="4" w:space="0"/>
              <w:right w:val="single" w:color="auto" w:sz="4" w:space="0"/>
            </w:tcBorders>
            <w:vAlign w:val="center"/>
          </w:tcPr>
          <w:p w14:paraId="4E220DC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85,633.66</w:t>
            </w:r>
          </w:p>
        </w:tc>
      </w:tr>
      <w:tr w14:paraId="4551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765C33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05FFFFB6">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桃江新兴管件有限责任公司</w:t>
            </w:r>
          </w:p>
        </w:tc>
        <w:tc>
          <w:tcPr>
            <w:tcW w:w="874" w:type="pct"/>
            <w:tcBorders>
              <w:top w:val="single" w:color="auto" w:sz="4" w:space="0"/>
              <w:left w:val="single" w:color="auto" w:sz="4" w:space="0"/>
              <w:bottom w:val="single" w:color="auto" w:sz="4" w:space="0"/>
              <w:right w:val="single" w:color="auto" w:sz="4" w:space="0"/>
            </w:tcBorders>
            <w:vAlign w:val="center"/>
          </w:tcPr>
          <w:p w14:paraId="4901A8F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150,748.40</w:t>
            </w:r>
          </w:p>
        </w:tc>
        <w:tc>
          <w:tcPr>
            <w:tcW w:w="794" w:type="pct"/>
            <w:tcBorders>
              <w:top w:val="single" w:color="auto" w:sz="4" w:space="0"/>
              <w:left w:val="single" w:color="auto" w:sz="4" w:space="0"/>
              <w:bottom w:val="single" w:color="auto" w:sz="4" w:space="0"/>
              <w:right w:val="single" w:color="auto" w:sz="4" w:space="0"/>
            </w:tcBorders>
            <w:vAlign w:val="center"/>
          </w:tcPr>
          <w:p w14:paraId="5FBB8F8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10,769.17</w:t>
            </w:r>
          </w:p>
        </w:tc>
        <w:tc>
          <w:tcPr>
            <w:tcW w:w="873" w:type="pct"/>
            <w:tcBorders>
              <w:top w:val="single" w:color="auto" w:sz="4" w:space="0"/>
              <w:left w:val="single" w:color="auto" w:sz="4" w:space="0"/>
              <w:bottom w:val="single" w:color="auto" w:sz="4" w:space="0"/>
              <w:right w:val="single" w:color="auto" w:sz="4" w:space="0"/>
            </w:tcBorders>
            <w:vAlign w:val="center"/>
          </w:tcPr>
          <w:p w14:paraId="397EF82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212,715.60</w:t>
            </w:r>
          </w:p>
        </w:tc>
        <w:tc>
          <w:tcPr>
            <w:tcW w:w="715" w:type="pct"/>
            <w:tcBorders>
              <w:top w:val="single" w:color="auto" w:sz="4" w:space="0"/>
              <w:left w:val="single" w:color="auto" w:sz="4" w:space="0"/>
              <w:bottom w:val="single" w:color="auto" w:sz="4" w:space="0"/>
              <w:right w:val="single" w:color="auto" w:sz="4" w:space="0"/>
            </w:tcBorders>
            <w:vAlign w:val="center"/>
          </w:tcPr>
          <w:p w14:paraId="5703BC0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13,125.01</w:t>
            </w:r>
          </w:p>
        </w:tc>
      </w:tr>
      <w:tr w14:paraId="6157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412AD49">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B8EAC93">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河北玄德智能科技发展股份有限公司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B7F622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148,535.20</w:t>
            </w:r>
          </w:p>
        </w:tc>
        <w:tc>
          <w:tcPr>
            <w:tcW w:w="794" w:type="pct"/>
            <w:tcBorders>
              <w:top w:val="single" w:color="auto" w:sz="4" w:space="0"/>
              <w:left w:val="single" w:color="auto" w:sz="4" w:space="0"/>
              <w:bottom w:val="single" w:color="auto" w:sz="4" w:space="0"/>
              <w:right w:val="single" w:color="auto" w:sz="4" w:space="0"/>
            </w:tcBorders>
            <w:vAlign w:val="center"/>
          </w:tcPr>
          <w:p w14:paraId="40E69CB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47,647.48</w:t>
            </w:r>
          </w:p>
        </w:tc>
        <w:tc>
          <w:tcPr>
            <w:tcW w:w="873" w:type="pct"/>
            <w:tcBorders>
              <w:top w:val="single" w:color="auto" w:sz="4" w:space="0"/>
              <w:left w:val="single" w:color="auto" w:sz="4" w:space="0"/>
              <w:bottom w:val="single" w:color="auto" w:sz="4" w:space="0"/>
              <w:right w:val="single" w:color="auto" w:sz="4" w:space="0"/>
            </w:tcBorders>
            <w:vAlign w:val="center"/>
          </w:tcPr>
          <w:p w14:paraId="6A17B53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200,335.20</w:t>
            </w:r>
          </w:p>
        </w:tc>
        <w:tc>
          <w:tcPr>
            <w:tcW w:w="715" w:type="pct"/>
            <w:tcBorders>
              <w:top w:val="single" w:color="auto" w:sz="4" w:space="0"/>
              <w:left w:val="single" w:color="auto" w:sz="4" w:space="0"/>
              <w:bottom w:val="single" w:color="auto" w:sz="4" w:space="0"/>
              <w:right w:val="single" w:color="auto" w:sz="4" w:space="0"/>
            </w:tcBorders>
            <w:vAlign w:val="center"/>
          </w:tcPr>
          <w:p w14:paraId="2A8F951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50,303.55</w:t>
            </w:r>
          </w:p>
        </w:tc>
      </w:tr>
      <w:tr w14:paraId="5BBB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9E0E698">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73FB5066">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黄石新兴管业有限公司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B484A9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105,119.00</w:t>
            </w:r>
          </w:p>
        </w:tc>
        <w:tc>
          <w:tcPr>
            <w:tcW w:w="794" w:type="pct"/>
            <w:tcBorders>
              <w:top w:val="single" w:color="auto" w:sz="4" w:space="0"/>
              <w:left w:val="single" w:color="auto" w:sz="4" w:space="0"/>
              <w:bottom w:val="single" w:color="auto" w:sz="4" w:space="0"/>
              <w:right w:val="single" w:color="auto" w:sz="4" w:space="0"/>
            </w:tcBorders>
            <w:vAlign w:val="center"/>
          </w:tcPr>
          <w:p w14:paraId="6F61A41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4,259.21</w:t>
            </w:r>
          </w:p>
        </w:tc>
        <w:tc>
          <w:tcPr>
            <w:tcW w:w="873" w:type="pct"/>
            <w:tcBorders>
              <w:top w:val="single" w:color="auto" w:sz="4" w:space="0"/>
              <w:left w:val="single" w:color="auto" w:sz="4" w:space="0"/>
              <w:bottom w:val="single" w:color="auto" w:sz="4" w:space="0"/>
              <w:right w:val="single" w:color="auto" w:sz="4" w:space="0"/>
            </w:tcBorders>
            <w:vAlign w:val="center"/>
          </w:tcPr>
          <w:p w14:paraId="0FE0290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99,326.00</w:t>
            </w:r>
          </w:p>
        </w:tc>
        <w:tc>
          <w:tcPr>
            <w:tcW w:w="715" w:type="pct"/>
            <w:tcBorders>
              <w:top w:val="single" w:color="auto" w:sz="4" w:space="0"/>
              <w:left w:val="single" w:color="auto" w:sz="4" w:space="0"/>
              <w:bottom w:val="single" w:color="auto" w:sz="4" w:space="0"/>
              <w:right w:val="single" w:color="auto" w:sz="4" w:space="0"/>
            </w:tcBorders>
            <w:vAlign w:val="center"/>
          </w:tcPr>
          <w:p w14:paraId="25918C3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3,587.60</w:t>
            </w:r>
          </w:p>
        </w:tc>
      </w:tr>
      <w:tr w14:paraId="1429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2A18098">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8CF24BB">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中新联进出口有限公司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DC0E7C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91,845.00</w:t>
            </w:r>
          </w:p>
        </w:tc>
        <w:tc>
          <w:tcPr>
            <w:tcW w:w="794" w:type="pct"/>
            <w:tcBorders>
              <w:top w:val="single" w:color="auto" w:sz="4" w:space="0"/>
              <w:left w:val="single" w:color="auto" w:sz="4" w:space="0"/>
              <w:bottom w:val="single" w:color="auto" w:sz="4" w:space="0"/>
              <w:right w:val="single" w:color="auto" w:sz="4" w:space="0"/>
            </w:tcBorders>
            <w:vAlign w:val="center"/>
          </w:tcPr>
          <w:p w14:paraId="4C88D94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91,845.00</w:t>
            </w:r>
          </w:p>
        </w:tc>
        <w:tc>
          <w:tcPr>
            <w:tcW w:w="873" w:type="pct"/>
            <w:tcBorders>
              <w:top w:val="single" w:color="auto" w:sz="4" w:space="0"/>
              <w:left w:val="single" w:color="auto" w:sz="4" w:space="0"/>
              <w:bottom w:val="single" w:color="auto" w:sz="4" w:space="0"/>
              <w:right w:val="single" w:color="auto" w:sz="4" w:space="0"/>
            </w:tcBorders>
            <w:vAlign w:val="center"/>
          </w:tcPr>
          <w:p w14:paraId="3904F2D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91,845.00</w:t>
            </w:r>
          </w:p>
        </w:tc>
        <w:tc>
          <w:tcPr>
            <w:tcW w:w="715" w:type="pct"/>
            <w:tcBorders>
              <w:top w:val="single" w:color="auto" w:sz="4" w:space="0"/>
              <w:left w:val="single" w:color="auto" w:sz="4" w:space="0"/>
              <w:bottom w:val="single" w:color="auto" w:sz="4" w:space="0"/>
              <w:right w:val="single" w:color="auto" w:sz="4" w:space="0"/>
            </w:tcBorders>
            <w:vAlign w:val="center"/>
          </w:tcPr>
          <w:p w14:paraId="0DE48E0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91,845.00</w:t>
            </w:r>
          </w:p>
        </w:tc>
      </w:tr>
      <w:tr w14:paraId="286A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2AD3A48">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AA19DD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大连新东昌置地有限公司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53232F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84,510.00</w:t>
            </w:r>
          </w:p>
        </w:tc>
        <w:tc>
          <w:tcPr>
            <w:tcW w:w="794" w:type="pct"/>
            <w:tcBorders>
              <w:top w:val="single" w:color="auto" w:sz="4" w:space="0"/>
              <w:left w:val="single" w:color="auto" w:sz="4" w:space="0"/>
              <w:bottom w:val="single" w:color="auto" w:sz="4" w:space="0"/>
              <w:right w:val="single" w:color="auto" w:sz="4" w:space="0"/>
            </w:tcBorders>
            <w:vAlign w:val="center"/>
          </w:tcPr>
          <w:p w14:paraId="31D9844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3,424.17</w:t>
            </w:r>
          </w:p>
        </w:tc>
        <w:tc>
          <w:tcPr>
            <w:tcW w:w="873" w:type="pct"/>
            <w:tcBorders>
              <w:top w:val="single" w:color="auto" w:sz="4" w:space="0"/>
              <w:left w:val="single" w:color="auto" w:sz="4" w:space="0"/>
              <w:bottom w:val="single" w:color="auto" w:sz="4" w:space="0"/>
              <w:right w:val="single" w:color="auto" w:sz="4" w:space="0"/>
            </w:tcBorders>
            <w:vAlign w:val="center"/>
          </w:tcPr>
          <w:p w14:paraId="00B5204B">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3FA49811">
            <w:pPr>
              <w:autoSpaceDE w:val="0"/>
              <w:autoSpaceDN w:val="0"/>
              <w:adjustRightInd w:val="0"/>
              <w:jc w:val="right"/>
              <w:rPr>
                <w:rFonts w:ascii="Arial Narrow" w:hAnsi="Arial Narrow" w:eastAsiaTheme="minorEastAsia"/>
                <w:sz w:val="18"/>
                <w:szCs w:val="18"/>
              </w:rPr>
            </w:pPr>
          </w:p>
        </w:tc>
      </w:tr>
      <w:tr w14:paraId="68ED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ADE57E1">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5EDE174C">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湖北新兴全力机械有限公司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930A02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46,060.00</w:t>
            </w:r>
          </w:p>
        </w:tc>
        <w:tc>
          <w:tcPr>
            <w:tcW w:w="794" w:type="pct"/>
            <w:tcBorders>
              <w:top w:val="single" w:color="auto" w:sz="4" w:space="0"/>
              <w:left w:val="single" w:color="auto" w:sz="4" w:space="0"/>
              <w:bottom w:val="single" w:color="auto" w:sz="4" w:space="0"/>
              <w:right w:val="single" w:color="auto" w:sz="4" w:space="0"/>
            </w:tcBorders>
            <w:vAlign w:val="center"/>
          </w:tcPr>
          <w:p w14:paraId="297D582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1,866.26</w:t>
            </w:r>
          </w:p>
        </w:tc>
        <w:tc>
          <w:tcPr>
            <w:tcW w:w="873" w:type="pct"/>
            <w:tcBorders>
              <w:top w:val="single" w:color="auto" w:sz="4" w:space="0"/>
              <w:left w:val="single" w:color="auto" w:sz="4" w:space="0"/>
              <w:bottom w:val="single" w:color="auto" w:sz="4" w:space="0"/>
              <w:right w:val="single" w:color="auto" w:sz="4" w:space="0"/>
            </w:tcBorders>
            <w:vAlign w:val="center"/>
          </w:tcPr>
          <w:p w14:paraId="48AAC0E8">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59B752BB">
            <w:pPr>
              <w:autoSpaceDE w:val="0"/>
              <w:autoSpaceDN w:val="0"/>
              <w:adjustRightInd w:val="0"/>
              <w:jc w:val="right"/>
              <w:rPr>
                <w:rFonts w:ascii="Arial Narrow" w:hAnsi="Arial Narrow" w:eastAsiaTheme="minorEastAsia"/>
                <w:sz w:val="18"/>
                <w:szCs w:val="18"/>
              </w:rPr>
            </w:pPr>
          </w:p>
        </w:tc>
      </w:tr>
      <w:tr w14:paraId="7B4A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19C76D6">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A87AB62">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石家庄际华资产管理有限公司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1C6BEE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33,200.00</w:t>
            </w:r>
          </w:p>
        </w:tc>
        <w:tc>
          <w:tcPr>
            <w:tcW w:w="794" w:type="pct"/>
            <w:tcBorders>
              <w:top w:val="single" w:color="auto" w:sz="4" w:space="0"/>
              <w:left w:val="single" w:color="auto" w:sz="4" w:space="0"/>
              <w:bottom w:val="single" w:color="auto" w:sz="4" w:space="0"/>
              <w:right w:val="single" w:color="auto" w:sz="4" w:space="0"/>
            </w:tcBorders>
            <w:vAlign w:val="center"/>
          </w:tcPr>
          <w:p w14:paraId="70972D6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1,345.20</w:t>
            </w:r>
          </w:p>
        </w:tc>
        <w:tc>
          <w:tcPr>
            <w:tcW w:w="873" w:type="pct"/>
            <w:tcBorders>
              <w:top w:val="single" w:color="auto" w:sz="4" w:space="0"/>
              <w:left w:val="single" w:color="auto" w:sz="4" w:space="0"/>
              <w:bottom w:val="single" w:color="auto" w:sz="4" w:space="0"/>
              <w:right w:val="single" w:color="auto" w:sz="4" w:space="0"/>
            </w:tcBorders>
            <w:vAlign w:val="center"/>
          </w:tcPr>
          <w:p w14:paraId="72B51E1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7,603.78</w:t>
            </w:r>
          </w:p>
        </w:tc>
        <w:tc>
          <w:tcPr>
            <w:tcW w:w="715" w:type="pct"/>
            <w:tcBorders>
              <w:top w:val="single" w:color="auto" w:sz="4" w:space="0"/>
              <w:left w:val="single" w:color="auto" w:sz="4" w:space="0"/>
              <w:bottom w:val="single" w:color="auto" w:sz="4" w:space="0"/>
              <w:right w:val="single" w:color="auto" w:sz="4" w:space="0"/>
            </w:tcBorders>
            <w:vAlign w:val="center"/>
          </w:tcPr>
          <w:p w14:paraId="294FF3D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1,909.29</w:t>
            </w:r>
          </w:p>
        </w:tc>
      </w:tr>
      <w:tr w14:paraId="37AC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3539AFA">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396D07EB">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上海三五一六置业有限公司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6D5847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28,305.00</w:t>
            </w:r>
          </w:p>
        </w:tc>
        <w:tc>
          <w:tcPr>
            <w:tcW w:w="794" w:type="pct"/>
            <w:tcBorders>
              <w:top w:val="single" w:color="auto" w:sz="4" w:space="0"/>
              <w:left w:val="single" w:color="auto" w:sz="4" w:space="0"/>
              <w:bottom w:val="single" w:color="auto" w:sz="4" w:space="0"/>
              <w:right w:val="single" w:color="auto" w:sz="4" w:space="0"/>
            </w:tcBorders>
            <w:vAlign w:val="center"/>
          </w:tcPr>
          <w:p w14:paraId="6847754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28,305.00</w:t>
            </w:r>
          </w:p>
        </w:tc>
        <w:tc>
          <w:tcPr>
            <w:tcW w:w="873" w:type="pct"/>
            <w:tcBorders>
              <w:top w:val="single" w:color="auto" w:sz="4" w:space="0"/>
              <w:left w:val="single" w:color="auto" w:sz="4" w:space="0"/>
              <w:bottom w:val="single" w:color="auto" w:sz="4" w:space="0"/>
              <w:right w:val="single" w:color="auto" w:sz="4" w:space="0"/>
            </w:tcBorders>
            <w:vAlign w:val="center"/>
          </w:tcPr>
          <w:p w14:paraId="186B6A3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28,305.00</w:t>
            </w:r>
          </w:p>
        </w:tc>
        <w:tc>
          <w:tcPr>
            <w:tcW w:w="715" w:type="pct"/>
            <w:tcBorders>
              <w:top w:val="single" w:color="auto" w:sz="4" w:space="0"/>
              <w:left w:val="single" w:color="auto" w:sz="4" w:space="0"/>
              <w:bottom w:val="single" w:color="auto" w:sz="4" w:space="0"/>
              <w:right w:val="single" w:color="auto" w:sz="4" w:space="0"/>
            </w:tcBorders>
            <w:vAlign w:val="center"/>
          </w:tcPr>
          <w:p w14:paraId="6BD724C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28,305.00</w:t>
            </w:r>
          </w:p>
        </w:tc>
      </w:tr>
      <w:tr w14:paraId="3E06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ECAA80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F9C54B5">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新兴移山（天津）重工有限公司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B6A608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26,100.00</w:t>
            </w:r>
          </w:p>
        </w:tc>
        <w:tc>
          <w:tcPr>
            <w:tcW w:w="794" w:type="pct"/>
            <w:tcBorders>
              <w:top w:val="single" w:color="auto" w:sz="4" w:space="0"/>
              <w:left w:val="single" w:color="auto" w:sz="4" w:space="0"/>
              <w:bottom w:val="single" w:color="auto" w:sz="4" w:space="0"/>
              <w:right w:val="single" w:color="auto" w:sz="4" w:space="0"/>
            </w:tcBorders>
            <w:vAlign w:val="center"/>
          </w:tcPr>
          <w:p w14:paraId="4B05B41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14,417.88</w:t>
            </w:r>
          </w:p>
        </w:tc>
        <w:tc>
          <w:tcPr>
            <w:tcW w:w="873" w:type="pct"/>
            <w:tcBorders>
              <w:top w:val="single" w:color="auto" w:sz="4" w:space="0"/>
              <w:left w:val="single" w:color="auto" w:sz="4" w:space="0"/>
              <w:bottom w:val="single" w:color="auto" w:sz="4" w:space="0"/>
              <w:right w:val="single" w:color="auto" w:sz="4" w:space="0"/>
            </w:tcBorders>
            <w:vAlign w:val="center"/>
          </w:tcPr>
          <w:p w14:paraId="34D9E3A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26,100.00</w:t>
            </w:r>
          </w:p>
        </w:tc>
        <w:tc>
          <w:tcPr>
            <w:tcW w:w="715" w:type="pct"/>
            <w:tcBorders>
              <w:top w:val="single" w:color="auto" w:sz="4" w:space="0"/>
              <w:left w:val="single" w:color="auto" w:sz="4" w:space="0"/>
              <w:bottom w:val="single" w:color="auto" w:sz="4" w:space="0"/>
              <w:right w:val="single" w:color="auto" w:sz="4" w:space="0"/>
            </w:tcBorders>
            <w:vAlign w:val="center"/>
          </w:tcPr>
          <w:p w14:paraId="25FEE0E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9,830.44</w:t>
            </w:r>
          </w:p>
        </w:tc>
      </w:tr>
      <w:tr w14:paraId="4937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D807307">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63C99028">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广东新兴铸管有限公司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6AC4CB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24,640.00</w:t>
            </w:r>
          </w:p>
        </w:tc>
        <w:tc>
          <w:tcPr>
            <w:tcW w:w="794" w:type="pct"/>
            <w:tcBorders>
              <w:top w:val="single" w:color="auto" w:sz="4" w:space="0"/>
              <w:left w:val="single" w:color="auto" w:sz="4" w:space="0"/>
              <w:bottom w:val="single" w:color="auto" w:sz="4" w:space="0"/>
              <w:right w:val="single" w:color="auto" w:sz="4" w:space="0"/>
            </w:tcBorders>
            <w:vAlign w:val="center"/>
          </w:tcPr>
          <w:p w14:paraId="5B07B77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998.36</w:t>
            </w:r>
          </w:p>
        </w:tc>
        <w:tc>
          <w:tcPr>
            <w:tcW w:w="873" w:type="pct"/>
            <w:tcBorders>
              <w:top w:val="single" w:color="auto" w:sz="4" w:space="0"/>
              <w:left w:val="single" w:color="auto" w:sz="4" w:space="0"/>
              <w:bottom w:val="single" w:color="auto" w:sz="4" w:space="0"/>
              <w:right w:val="single" w:color="auto" w:sz="4" w:space="0"/>
            </w:tcBorders>
            <w:vAlign w:val="center"/>
          </w:tcPr>
          <w:p w14:paraId="5215FF6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337,890.00</w:t>
            </w:r>
          </w:p>
        </w:tc>
        <w:tc>
          <w:tcPr>
            <w:tcW w:w="715" w:type="pct"/>
            <w:tcBorders>
              <w:top w:val="single" w:color="auto" w:sz="4" w:space="0"/>
              <w:left w:val="single" w:color="auto" w:sz="4" w:space="0"/>
              <w:bottom w:val="single" w:color="auto" w:sz="4" w:space="0"/>
              <w:right w:val="single" w:color="auto" w:sz="4" w:space="0"/>
            </w:tcBorders>
            <w:vAlign w:val="center"/>
          </w:tcPr>
          <w:p w14:paraId="30F52FC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12,204.41</w:t>
            </w:r>
          </w:p>
        </w:tc>
      </w:tr>
      <w:tr w14:paraId="23E9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1B1DA9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4F1B346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新兴河北工程技术有限公司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1B76A0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21,230.65</w:t>
            </w:r>
          </w:p>
        </w:tc>
        <w:tc>
          <w:tcPr>
            <w:tcW w:w="794" w:type="pct"/>
            <w:tcBorders>
              <w:top w:val="single" w:color="auto" w:sz="4" w:space="0"/>
              <w:left w:val="single" w:color="auto" w:sz="4" w:space="0"/>
              <w:bottom w:val="single" w:color="auto" w:sz="4" w:space="0"/>
              <w:right w:val="single" w:color="auto" w:sz="4" w:space="0"/>
            </w:tcBorders>
            <w:vAlign w:val="center"/>
          </w:tcPr>
          <w:p w14:paraId="546C6BD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21,230.65</w:t>
            </w:r>
          </w:p>
        </w:tc>
        <w:tc>
          <w:tcPr>
            <w:tcW w:w="873" w:type="pct"/>
            <w:tcBorders>
              <w:top w:val="single" w:color="auto" w:sz="4" w:space="0"/>
              <w:left w:val="single" w:color="auto" w:sz="4" w:space="0"/>
              <w:bottom w:val="single" w:color="auto" w:sz="4" w:space="0"/>
              <w:right w:val="single" w:color="auto" w:sz="4" w:space="0"/>
            </w:tcBorders>
            <w:vAlign w:val="center"/>
          </w:tcPr>
          <w:p w14:paraId="5E72A96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21,230.65</w:t>
            </w:r>
          </w:p>
        </w:tc>
        <w:tc>
          <w:tcPr>
            <w:tcW w:w="715" w:type="pct"/>
            <w:tcBorders>
              <w:top w:val="single" w:color="auto" w:sz="4" w:space="0"/>
              <w:left w:val="single" w:color="auto" w:sz="4" w:space="0"/>
              <w:bottom w:val="single" w:color="auto" w:sz="4" w:space="0"/>
              <w:right w:val="single" w:color="auto" w:sz="4" w:space="0"/>
            </w:tcBorders>
            <w:vAlign w:val="center"/>
          </w:tcPr>
          <w:p w14:paraId="6FDA472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14,153.77</w:t>
            </w:r>
          </w:p>
        </w:tc>
      </w:tr>
      <w:tr w14:paraId="3BA3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A05539C">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965809C">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新兴际华（北京）材料技术研究院有限公司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6039A9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17,880.00</w:t>
            </w:r>
          </w:p>
        </w:tc>
        <w:tc>
          <w:tcPr>
            <w:tcW w:w="794" w:type="pct"/>
            <w:tcBorders>
              <w:top w:val="single" w:color="auto" w:sz="4" w:space="0"/>
              <w:left w:val="single" w:color="auto" w:sz="4" w:space="0"/>
              <w:bottom w:val="single" w:color="auto" w:sz="4" w:space="0"/>
              <w:right w:val="single" w:color="auto" w:sz="4" w:space="0"/>
            </w:tcBorders>
            <w:vAlign w:val="center"/>
          </w:tcPr>
          <w:p w14:paraId="334E7C5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724.46</w:t>
            </w:r>
          </w:p>
        </w:tc>
        <w:tc>
          <w:tcPr>
            <w:tcW w:w="873" w:type="pct"/>
            <w:tcBorders>
              <w:top w:val="single" w:color="auto" w:sz="4" w:space="0"/>
              <w:left w:val="single" w:color="auto" w:sz="4" w:space="0"/>
              <w:bottom w:val="single" w:color="auto" w:sz="4" w:space="0"/>
              <w:right w:val="single" w:color="auto" w:sz="4" w:space="0"/>
            </w:tcBorders>
            <w:vAlign w:val="center"/>
          </w:tcPr>
          <w:p w14:paraId="65057F4E">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1EF1C1C8">
            <w:pPr>
              <w:autoSpaceDE w:val="0"/>
              <w:autoSpaceDN w:val="0"/>
              <w:adjustRightInd w:val="0"/>
              <w:jc w:val="right"/>
              <w:rPr>
                <w:rFonts w:ascii="Arial Narrow" w:hAnsi="Arial Narrow" w:eastAsiaTheme="minorEastAsia"/>
                <w:sz w:val="18"/>
                <w:szCs w:val="18"/>
              </w:rPr>
            </w:pPr>
          </w:p>
        </w:tc>
      </w:tr>
      <w:tr w14:paraId="2196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9A67E24">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2341ED3E">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新兴铸管集团邯郸新材料有限公司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333725E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17,542.00</w:t>
            </w:r>
          </w:p>
        </w:tc>
        <w:tc>
          <w:tcPr>
            <w:tcW w:w="794" w:type="pct"/>
            <w:tcBorders>
              <w:top w:val="single" w:color="auto" w:sz="4" w:space="0"/>
              <w:left w:val="single" w:color="auto" w:sz="4" w:space="0"/>
              <w:bottom w:val="single" w:color="auto" w:sz="4" w:space="0"/>
              <w:right w:val="single" w:color="auto" w:sz="4" w:space="0"/>
            </w:tcBorders>
            <w:vAlign w:val="center"/>
          </w:tcPr>
          <w:p w14:paraId="65B632E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710.77</w:t>
            </w:r>
          </w:p>
        </w:tc>
        <w:tc>
          <w:tcPr>
            <w:tcW w:w="873" w:type="pct"/>
            <w:tcBorders>
              <w:top w:val="single" w:color="auto" w:sz="4" w:space="0"/>
              <w:left w:val="single" w:color="auto" w:sz="4" w:space="0"/>
              <w:bottom w:val="single" w:color="auto" w:sz="4" w:space="0"/>
              <w:right w:val="single" w:color="auto" w:sz="4" w:space="0"/>
            </w:tcBorders>
            <w:vAlign w:val="center"/>
          </w:tcPr>
          <w:p w14:paraId="19CCEC1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76,860.00</w:t>
            </w:r>
          </w:p>
        </w:tc>
        <w:tc>
          <w:tcPr>
            <w:tcW w:w="715" w:type="pct"/>
            <w:tcBorders>
              <w:top w:val="single" w:color="auto" w:sz="4" w:space="0"/>
              <w:left w:val="single" w:color="auto" w:sz="4" w:space="0"/>
              <w:bottom w:val="single" w:color="auto" w:sz="4" w:space="0"/>
              <w:right w:val="single" w:color="auto" w:sz="4" w:space="0"/>
            </w:tcBorders>
            <w:vAlign w:val="center"/>
          </w:tcPr>
          <w:p w14:paraId="658B06F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2,776.14</w:t>
            </w:r>
          </w:p>
        </w:tc>
      </w:tr>
      <w:tr w14:paraId="39F2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5BE426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0F05A5FC">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广州新星投资发展有限公司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6BD7C1A">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10,101.70</w:t>
            </w:r>
          </w:p>
        </w:tc>
        <w:tc>
          <w:tcPr>
            <w:tcW w:w="794" w:type="pct"/>
            <w:tcBorders>
              <w:top w:val="single" w:color="auto" w:sz="4" w:space="0"/>
              <w:left w:val="single" w:color="auto" w:sz="4" w:space="0"/>
              <w:bottom w:val="single" w:color="auto" w:sz="4" w:space="0"/>
              <w:right w:val="single" w:color="auto" w:sz="4" w:space="0"/>
            </w:tcBorders>
            <w:vAlign w:val="center"/>
          </w:tcPr>
          <w:p w14:paraId="0E4EDD3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10,101.70</w:t>
            </w:r>
          </w:p>
        </w:tc>
        <w:tc>
          <w:tcPr>
            <w:tcW w:w="873" w:type="pct"/>
            <w:tcBorders>
              <w:top w:val="single" w:color="auto" w:sz="4" w:space="0"/>
              <w:left w:val="single" w:color="auto" w:sz="4" w:space="0"/>
              <w:bottom w:val="single" w:color="auto" w:sz="4" w:space="0"/>
              <w:right w:val="single" w:color="auto" w:sz="4" w:space="0"/>
            </w:tcBorders>
            <w:vAlign w:val="center"/>
          </w:tcPr>
          <w:p w14:paraId="0288824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10,101.70</w:t>
            </w:r>
          </w:p>
        </w:tc>
        <w:tc>
          <w:tcPr>
            <w:tcW w:w="715" w:type="pct"/>
            <w:tcBorders>
              <w:top w:val="single" w:color="auto" w:sz="4" w:space="0"/>
              <w:left w:val="single" w:color="auto" w:sz="4" w:space="0"/>
              <w:bottom w:val="single" w:color="auto" w:sz="4" w:space="0"/>
              <w:right w:val="single" w:color="auto" w:sz="4" w:space="0"/>
            </w:tcBorders>
            <w:vAlign w:val="center"/>
          </w:tcPr>
          <w:p w14:paraId="49FAEA0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10,101.70</w:t>
            </w:r>
          </w:p>
        </w:tc>
      </w:tr>
      <w:tr w14:paraId="1B15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83BCC7E">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4920B286">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新兴职业装备生产技术研究所</w:t>
            </w:r>
          </w:p>
        </w:tc>
        <w:tc>
          <w:tcPr>
            <w:tcW w:w="874" w:type="pct"/>
            <w:tcBorders>
              <w:top w:val="single" w:color="auto" w:sz="4" w:space="0"/>
              <w:left w:val="single" w:color="auto" w:sz="4" w:space="0"/>
              <w:bottom w:val="single" w:color="auto" w:sz="4" w:space="0"/>
              <w:right w:val="single" w:color="auto" w:sz="4" w:space="0"/>
            </w:tcBorders>
            <w:vAlign w:val="center"/>
          </w:tcPr>
          <w:p w14:paraId="066D93BA">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7,710.00</w:t>
            </w:r>
          </w:p>
        </w:tc>
        <w:tc>
          <w:tcPr>
            <w:tcW w:w="794" w:type="pct"/>
            <w:tcBorders>
              <w:top w:val="single" w:color="auto" w:sz="4" w:space="0"/>
              <w:left w:val="single" w:color="auto" w:sz="4" w:space="0"/>
              <w:bottom w:val="single" w:color="auto" w:sz="4" w:space="0"/>
              <w:right w:val="single" w:color="auto" w:sz="4" w:space="0"/>
            </w:tcBorders>
            <w:vAlign w:val="center"/>
          </w:tcPr>
          <w:p w14:paraId="34C9004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4,259.07</w:t>
            </w:r>
          </w:p>
        </w:tc>
        <w:tc>
          <w:tcPr>
            <w:tcW w:w="873" w:type="pct"/>
            <w:tcBorders>
              <w:top w:val="single" w:color="auto" w:sz="4" w:space="0"/>
              <w:left w:val="single" w:color="auto" w:sz="4" w:space="0"/>
              <w:bottom w:val="single" w:color="auto" w:sz="4" w:space="0"/>
              <w:right w:val="single" w:color="auto" w:sz="4" w:space="0"/>
            </w:tcBorders>
            <w:vAlign w:val="center"/>
          </w:tcPr>
          <w:p w14:paraId="1E1C054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7,710.00</w:t>
            </w:r>
          </w:p>
        </w:tc>
        <w:tc>
          <w:tcPr>
            <w:tcW w:w="715" w:type="pct"/>
            <w:tcBorders>
              <w:top w:val="single" w:color="auto" w:sz="4" w:space="0"/>
              <w:left w:val="single" w:color="auto" w:sz="4" w:space="0"/>
              <w:bottom w:val="single" w:color="auto" w:sz="4" w:space="0"/>
              <w:right w:val="single" w:color="auto" w:sz="4" w:space="0"/>
            </w:tcBorders>
            <w:vAlign w:val="center"/>
          </w:tcPr>
          <w:p w14:paraId="3404113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2,903.94</w:t>
            </w:r>
          </w:p>
        </w:tc>
      </w:tr>
      <w:tr w14:paraId="777A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2A91A20">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4C5BF35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新兴重工集团有限公司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E93803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1,440.00</w:t>
            </w:r>
          </w:p>
        </w:tc>
        <w:tc>
          <w:tcPr>
            <w:tcW w:w="794" w:type="pct"/>
            <w:tcBorders>
              <w:top w:val="single" w:color="auto" w:sz="4" w:space="0"/>
              <w:left w:val="single" w:color="auto" w:sz="4" w:space="0"/>
              <w:bottom w:val="single" w:color="auto" w:sz="4" w:space="0"/>
              <w:right w:val="single" w:color="auto" w:sz="4" w:space="0"/>
            </w:tcBorders>
            <w:vAlign w:val="center"/>
          </w:tcPr>
          <w:p w14:paraId="7BAB750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461.93</w:t>
            </w:r>
          </w:p>
        </w:tc>
        <w:tc>
          <w:tcPr>
            <w:tcW w:w="873" w:type="pct"/>
            <w:tcBorders>
              <w:top w:val="single" w:color="auto" w:sz="4" w:space="0"/>
              <w:left w:val="single" w:color="auto" w:sz="4" w:space="0"/>
              <w:bottom w:val="single" w:color="auto" w:sz="4" w:space="0"/>
              <w:right w:val="single" w:color="auto" w:sz="4" w:space="0"/>
            </w:tcBorders>
            <w:vAlign w:val="center"/>
          </w:tcPr>
          <w:p w14:paraId="7BB4A74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1,440.00</w:t>
            </w:r>
          </w:p>
        </w:tc>
        <w:tc>
          <w:tcPr>
            <w:tcW w:w="715" w:type="pct"/>
            <w:tcBorders>
              <w:top w:val="single" w:color="auto" w:sz="4" w:space="0"/>
              <w:left w:val="single" w:color="auto" w:sz="4" w:space="0"/>
              <w:bottom w:val="single" w:color="auto" w:sz="4" w:space="0"/>
              <w:right w:val="single" w:color="auto" w:sz="4" w:space="0"/>
            </w:tcBorders>
            <w:vAlign w:val="center"/>
          </w:tcPr>
          <w:p w14:paraId="5C81B7F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361.58</w:t>
            </w:r>
          </w:p>
        </w:tc>
      </w:tr>
      <w:tr w14:paraId="6D2F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D38D26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77EBCFD7">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新兴际华资产经营管理有限公司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C916DEF">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23322FE">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5ED25AD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312,200.00</w:t>
            </w:r>
          </w:p>
        </w:tc>
        <w:tc>
          <w:tcPr>
            <w:tcW w:w="715" w:type="pct"/>
            <w:tcBorders>
              <w:top w:val="single" w:color="auto" w:sz="4" w:space="0"/>
              <w:left w:val="single" w:color="auto" w:sz="4" w:space="0"/>
              <w:bottom w:val="single" w:color="auto" w:sz="4" w:space="0"/>
              <w:right w:val="single" w:color="auto" w:sz="4" w:space="0"/>
            </w:tcBorders>
            <w:vAlign w:val="center"/>
          </w:tcPr>
          <w:p w14:paraId="46F2D70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11,276.50</w:t>
            </w:r>
          </w:p>
        </w:tc>
      </w:tr>
      <w:tr w14:paraId="04C7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CB9259A">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45E47E41">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贵港新兴城投有限责任公司</w:t>
            </w:r>
          </w:p>
        </w:tc>
        <w:tc>
          <w:tcPr>
            <w:tcW w:w="874" w:type="pct"/>
            <w:tcBorders>
              <w:top w:val="single" w:color="auto" w:sz="4" w:space="0"/>
              <w:left w:val="single" w:color="auto" w:sz="4" w:space="0"/>
              <w:bottom w:val="single" w:color="auto" w:sz="4" w:space="0"/>
              <w:right w:val="single" w:color="auto" w:sz="4" w:space="0"/>
            </w:tcBorders>
            <w:vAlign w:val="center"/>
          </w:tcPr>
          <w:p w14:paraId="69CC605F">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09A17C4">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28EB2B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111,009.00</w:t>
            </w:r>
          </w:p>
        </w:tc>
        <w:tc>
          <w:tcPr>
            <w:tcW w:w="715" w:type="pct"/>
            <w:tcBorders>
              <w:top w:val="single" w:color="auto" w:sz="4" w:space="0"/>
              <w:left w:val="single" w:color="auto" w:sz="4" w:space="0"/>
              <w:bottom w:val="single" w:color="auto" w:sz="4" w:space="0"/>
              <w:right w:val="single" w:color="auto" w:sz="4" w:space="0"/>
            </w:tcBorders>
            <w:vAlign w:val="center"/>
          </w:tcPr>
          <w:p w14:paraId="0769E6C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4,009.59</w:t>
            </w:r>
          </w:p>
        </w:tc>
      </w:tr>
      <w:tr w14:paraId="0785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49BDAB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4A23AE9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新兴铸管阜康能源有限公司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5EDFBEC">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25E66C7F">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3DCFCD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87,660.00</w:t>
            </w:r>
          </w:p>
        </w:tc>
        <w:tc>
          <w:tcPr>
            <w:tcW w:w="715" w:type="pct"/>
            <w:tcBorders>
              <w:top w:val="single" w:color="auto" w:sz="4" w:space="0"/>
              <w:left w:val="single" w:color="auto" w:sz="4" w:space="0"/>
              <w:bottom w:val="single" w:color="auto" w:sz="4" w:space="0"/>
              <w:right w:val="single" w:color="auto" w:sz="4" w:space="0"/>
            </w:tcBorders>
            <w:vAlign w:val="center"/>
          </w:tcPr>
          <w:p w14:paraId="1FDD4AA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3,166.23</w:t>
            </w:r>
          </w:p>
        </w:tc>
      </w:tr>
      <w:tr w14:paraId="1EE7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435A7DC">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097584B5">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新兴铸管新疆控股集团有限公司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C70C8CD">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0DD45165">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254338F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4,000.00</w:t>
            </w:r>
          </w:p>
        </w:tc>
        <w:tc>
          <w:tcPr>
            <w:tcW w:w="715" w:type="pct"/>
            <w:tcBorders>
              <w:top w:val="single" w:color="auto" w:sz="4" w:space="0"/>
              <w:left w:val="single" w:color="auto" w:sz="4" w:space="0"/>
              <w:bottom w:val="single" w:color="auto" w:sz="4" w:space="0"/>
              <w:right w:val="single" w:color="auto" w:sz="4" w:space="0"/>
            </w:tcBorders>
            <w:vAlign w:val="center"/>
          </w:tcPr>
          <w:p w14:paraId="1EEDABE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4,000.00</w:t>
            </w:r>
          </w:p>
        </w:tc>
      </w:tr>
      <w:tr w14:paraId="192C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CDD87D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应收账款</w:t>
            </w:r>
          </w:p>
        </w:tc>
        <w:tc>
          <w:tcPr>
            <w:tcW w:w="1112" w:type="pct"/>
            <w:tcBorders>
              <w:top w:val="single" w:color="auto" w:sz="4" w:space="0"/>
              <w:left w:val="single" w:color="auto" w:sz="4" w:space="0"/>
              <w:bottom w:val="single" w:color="auto" w:sz="4" w:space="0"/>
              <w:right w:val="single" w:color="auto" w:sz="4" w:space="0"/>
            </w:tcBorders>
          </w:tcPr>
          <w:p w14:paraId="19B2079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上海际华物流有限公司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DDB2C89">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3C487270">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425B176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850.00</w:t>
            </w:r>
          </w:p>
        </w:tc>
        <w:tc>
          <w:tcPr>
            <w:tcW w:w="715" w:type="pct"/>
            <w:tcBorders>
              <w:top w:val="single" w:color="auto" w:sz="4" w:space="0"/>
              <w:left w:val="single" w:color="auto" w:sz="4" w:space="0"/>
              <w:bottom w:val="single" w:color="auto" w:sz="4" w:space="0"/>
              <w:right w:val="single" w:color="auto" w:sz="4" w:space="0"/>
            </w:tcBorders>
            <w:vAlign w:val="center"/>
          </w:tcPr>
          <w:p w14:paraId="3B9D35F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213.43</w:t>
            </w:r>
          </w:p>
        </w:tc>
      </w:tr>
      <w:tr w14:paraId="4E1F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493C5FA3">
            <w:pPr>
              <w:autoSpaceDE w:val="0"/>
              <w:autoSpaceDN w:val="0"/>
              <w:adjustRightInd w:val="0"/>
              <w:jc w:val="both"/>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预付款项</w:t>
            </w:r>
          </w:p>
        </w:tc>
        <w:tc>
          <w:tcPr>
            <w:tcW w:w="1112" w:type="pct"/>
            <w:tcBorders>
              <w:top w:val="single" w:color="auto" w:sz="4" w:space="0"/>
              <w:left w:val="single" w:color="auto" w:sz="4" w:space="0"/>
              <w:bottom w:val="single" w:color="auto" w:sz="4" w:space="0"/>
              <w:right w:val="single" w:color="auto" w:sz="4" w:space="0"/>
            </w:tcBorders>
          </w:tcPr>
          <w:p w14:paraId="2C2DD66B">
            <w:pPr>
              <w:autoSpaceDE w:val="0"/>
              <w:autoSpaceDN w:val="0"/>
              <w:adjustRightInd w:val="0"/>
              <w:rPr>
                <w:rFonts w:ascii="Arial Narrow" w:hAnsi="Arial Narrow" w:eastAsiaTheme="minorEastAsia"/>
                <w:color w:val="000000" w:themeColor="text1"/>
                <w:sz w:val="18"/>
                <w:szCs w:val="18"/>
                <w14:textFill>
                  <w14:solidFill>
                    <w14:schemeClr w14:val="tx1"/>
                  </w14:solidFill>
                </w14:textFill>
              </w:rPr>
            </w:pPr>
          </w:p>
        </w:tc>
        <w:tc>
          <w:tcPr>
            <w:tcW w:w="874" w:type="pct"/>
            <w:tcBorders>
              <w:top w:val="single" w:color="auto" w:sz="4" w:space="0"/>
              <w:left w:val="single" w:color="auto" w:sz="4" w:space="0"/>
              <w:bottom w:val="single" w:color="auto" w:sz="4" w:space="0"/>
              <w:right w:val="single" w:color="auto" w:sz="4" w:space="0"/>
            </w:tcBorders>
            <w:vAlign w:val="center"/>
          </w:tcPr>
          <w:p w14:paraId="7587976B">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DC8C7D3">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4AA6CF7B">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7C7275D3">
            <w:pPr>
              <w:autoSpaceDE w:val="0"/>
              <w:autoSpaceDN w:val="0"/>
              <w:adjustRightInd w:val="0"/>
              <w:jc w:val="right"/>
              <w:rPr>
                <w:rFonts w:ascii="Arial Narrow" w:hAnsi="Arial Narrow" w:eastAsiaTheme="minorEastAsia"/>
                <w:sz w:val="18"/>
                <w:szCs w:val="18"/>
              </w:rPr>
            </w:pPr>
          </w:p>
        </w:tc>
      </w:tr>
      <w:tr w14:paraId="306E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AFC078C">
            <w:pPr>
              <w:autoSpaceDE w:val="0"/>
              <w:autoSpaceDN w:val="0"/>
              <w:adjustRightInd w:val="0"/>
              <w:jc w:val="both"/>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预付款项</w:t>
            </w:r>
          </w:p>
        </w:tc>
        <w:tc>
          <w:tcPr>
            <w:tcW w:w="1112" w:type="pct"/>
            <w:tcBorders>
              <w:top w:val="single" w:color="auto" w:sz="4" w:space="0"/>
              <w:left w:val="single" w:color="auto" w:sz="4" w:space="0"/>
              <w:bottom w:val="single" w:color="auto" w:sz="4" w:space="0"/>
              <w:right w:val="single" w:color="auto" w:sz="4" w:space="0"/>
            </w:tcBorders>
          </w:tcPr>
          <w:p w14:paraId="51BA458C">
            <w:pPr>
              <w:autoSpaceDE w:val="0"/>
              <w:autoSpaceDN w:val="0"/>
              <w:adjustRightInd w:val="0"/>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北京三五零一服装厂有限公司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20AF4D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154,845.15</w:t>
            </w:r>
          </w:p>
        </w:tc>
        <w:tc>
          <w:tcPr>
            <w:tcW w:w="794" w:type="pct"/>
            <w:tcBorders>
              <w:top w:val="single" w:color="auto" w:sz="4" w:space="0"/>
              <w:left w:val="single" w:color="auto" w:sz="4" w:space="0"/>
              <w:bottom w:val="single" w:color="auto" w:sz="4" w:space="0"/>
              <w:right w:val="single" w:color="auto" w:sz="4" w:space="0"/>
            </w:tcBorders>
            <w:vAlign w:val="center"/>
          </w:tcPr>
          <w:p w14:paraId="295F7B94">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4F149B5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154,845.15</w:t>
            </w:r>
          </w:p>
        </w:tc>
        <w:tc>
          <w:tcPr>
            <w:tcW w:w="715" w:type="pct"/>
            <w:tcBorders>
              <w:top w:val="single" w:color="auto" w:sz="4" w:space="0"/>
              <w:left w:val="single" w:color="auto" w:sz="4" w:space="0"/>
              <w:bottom w:val="single" w:color="auto" w:sz="4" w:space="0"/>
              <w:right w:val="single" w:color="auto" w:sz="4" w:space="0"/>
            </w:tcBorders>
            <w:vAlign w:val="center"/>
          </w:tcPr>
          <w:p w14:paraId="6497D90E">
            <w:pPr>
              <w:autoSpaceDE w:val="0"/>
              <w:autoSpaceDN w:val="0"/>
              <w:adjustRightInd w:val="0"/>
              <w:jc w:val="right"/>
              <w:rPr>
                <w:rFonts w:ascii="Arial Narrow" w:hAnsi="Arial Narrow" w:eastAsiaTheme="minorEastAsia"/>
                <w:sz w:val="18"/>
                <w:szCs w:val="18"/>
              </w:rPr>
            </w:pPr>
          </w:p>
        </w:tc>
      </w:tr>
      <w:tr w14:paraId="6B09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57CDAD3">
            <w:pPr>
              <w:autoSpaceDE w:val="0"/>
              <w:autoSpaceDN w:val="0"/>
              <w:adjustRightInd w:val="0"/>
              <w:jc w:val="both"/>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预付款项</w:t>
            </w:r>
          </w:p>
        </w:tc>
        <w:tc>
          <w:tcPr>
            <w:tcW w:w="1112" w:type="pct"/>
            <w:tcBorders>
              <w:top w:val="single" w:color="auto" w:sz="4" w:space="0"/>
              <w:left w:val="single" w:color="auto" w:sz="4" w:space="0"/>
              <w:bottom w:val="single" w:color="auto" w:sz="4" w:space="0"/>
              <w:right w:val="single" w:color="auto" w:sz="4" w:space="0"/>
            </w:tcBorders>
          </w:tcPr>
          <w:p w14:paraId="41E385ED">
            <w:pPr>
              <w:autoSpaceDE w:val="0"/>
              <w:autoSpaceDN w:val="0"/>
              <w:adjustRightInd w:val="0"/>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新兴际华（上海）工程科技研究院有限公司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095B48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358.94</w:t>
            </w:r>
          </w:p>
        </w:tc>
        <w:tc>
          <w:tcPr>
            <w:tcW w:w="794" w:type="pct"/>
            <w:tcBorders>
              <w:top w:val="single" w:color="auto" w:sz="4" w:space="0"/>
              <w:left w:val="single" w:color="auto" w:sz="4" w:space="0"/>
              <w:bottom w:val="single" w:color="auto" w:sz="4" w:space="0"/>
              <w:right w:val="single" w:color="auto" w:sz="4" w:space="0"/>
            </w:tcBorders>
            <w:vAlign w:val="center"/>
          </w:tcPr>
          <w:p w14:paraId="1A3C952A">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21331D1D">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40F0A57F">
            <w:pPr>
              <w:autoSpaceDE w:val="0"/>
              <w:autoSpaceDN w:val="0"/>
              <w:adjustRightInd w:val="0"/>
              <w:jc w:val="right"/>
              <w:rPr>
                <w:rFonts w:ascii="Arial Narrow" w:hAnsi="Arial Narrow" w:eastAsiaTheme="minorEastAsia"/>
                <w:sz w:val="18"/>
                <w:szCs w:val="18"/>
              </w:rPr>
            </w:pPr>
          </w:p>
        </w:tc>
      </w:tr>
      <w:tr w14:paraId="2CFA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17CC32C">
            <w:pPr>
              <w:autoSpaceDE w:val="0"/>
              <w:autoSpaceDN w:val="0"/>
              <w:adjustRightInd w:val="0"/>
              <w:jc w:val="both"/>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预付款项</w:t>
            </w:r>
          </w:p>
        </w:tc>
        <w:tc>
          <w:tcPr>
            <w:tcW w:w="1112" w:type="pct"/>
            <w:tcBorders>
              <w:top w:val="single" w:color="auto" w:sz="4" w:space="0"/>
              <w:left w:val="single" w:color="auto" w:sz="4" w:space="0"/>
              <w:bottom w:val="single" w:color="auto" w:sz="4" w:space="0"/>
              <w:right w:val="single" w:color="auto" w:sz="4" w:space="0"/>
            </w:tcBorders>
          </w:tcPr>
          <w:p w14:paraId="5A586957">
            <w:pPr>
              <w:autoSpaceDE w:val="0"/>
              <w:autoSpaceDN w:val="0"/>
              <w:adjustRightInd w:val="0"/>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秦皇岛际华三五四四鞋业有限公司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CCE2046">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5AB8E5F5">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025AE19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928,512.97</w:t>
            </w:r>
          </w:p>
        </w:tc>
        <w:tc>
          <w:tcPr>
            <w:tcW w:w="715" w:type="pct"/>
            <w:tcBorders>
              <w:top w:val="single" w:color="auto" w:sz="4" w:space="0"/>
              <w:left w:val="single" w:color="auto" w:sz="4" w:space="0"/>
              <w:bottom w:val="single" w:color="auto" w:sz="4" w:space="0"/>
              <w:right w:val="single" w:color="auto" w:sz="4" w:space="0"/>
            </w:tcBorders>
            <w:vAlign w:val="center"/>
          </w:tcPr>
          <w:p w14:paraId="738E164E">
            <w:pPr>
              <w:autoSpaceDE w:val="0"/>
              <w:autoSpaceDN w:val="0"/>
              <w:adjustRightInd w:val="0"/>
              <w:jc w:val="right"/>
              <w:rPr>
                <w:rFonts w:ascii="Arial Narrow" w:hAnsi="Arial Narrow" w:eastAsiaTheme="minorEastAsia"/>
                <w:sz w:val="18"/>
                <w:szCs w:val="18"/>
              </w:rPr>
            </w:pPr>
          </w:p>
        </w:tc>
      </w:tr>
      <w:tr w14:paraId="754F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4D0B1CC">
            <w:pPr>
              <w:autoSpaceDE w:val="0"/>
              <w:autoSpaceDN w:val="0"/>
              <w:adjustRightInd w:val="0"/>
              <w:jc w:val="both"/>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预付款项</w:t>
            </w:r>
          </w:p>
        </w:tc>
        <w:tc>
          <w:tcPr>
            <w:tcW w:w="1112" w:type="pct"/>
            <w:tcBorders>
              <w:top w:val="single" w:color="auto" w:sz="4" w:space="0"/>
              <w:left w:val="single" w:color="auto" w:sz="4" w:space="0"/>
              <w:bottom w:val="single" w:color="auto" w:sz="4" w:space="0"/>
              <w:right w:val="single" w:color="auto" w:sz="4" w:space="0"/>
            </w:tcBorders>
          </w:tcPr>
          <w:p w14:paraId="7541A4CA">
            <w:pPr>
              <w:autoSpaceDE w:val="0"/>
              <w:autoSpaceDN w:val="0"/>
              <w:adjustRightInd w:val="0"/>
              <w:rPr>
                <w:rFonts w:ascii="Arial Narrow" w:hAnsi="Arial Narrow" w:eastAsiaTheme="minorEastAsia"/>
                <w:color w:val="000000" w:themeColor="text1"/>
                <w:sz w:val="18"/>
                <w:szCs w:val="18"/>
                <w14:textFill>
                  <w14:solidFill>
                    <w14:schemeClr w14:val="tx1"/>
                  </w14:solidFill>
                </w14:textFill>
              </w:rPr>
            </w:pPr>
            <w:r>
              <w:rPr>
                <w:rFonts w:ascii="Arial Narrow" w:hAnsi="Arial Narrow" w:eastAsiaTheme="minorEastAsia"/>
                <w:color w:val="000000" w:themeColor="text1"/>
                <w:sz w:val="18"/>
                <w:szCs w:val="18"/>
                <w14:textFill>
                  <w14:solidFill>
                    <w14:schemeClr w14:val="tx1"/>
                  </w14:solidFill>
                </w14:textFill>
              </w:rPr>
              <w:t>河北玄德智能科技发展股份有限公司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25BD6BC">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4849E627">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560F49B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459,388.00</w:t>
            </w:r>
          </w:p>
        </w:tc>
        <w:tc>
          <w:tcPr>
            <w:tcW w:w="715" w:type="pct"/>
            <w:tcBorders>
              <w:top w:val="single" w:color="auto" w:sz="4" w:space="0"/>
              <w:left w:val="single" w:color="auto" w:sz="4" w:space="0"/>
              <w:bottom w:val="single" w:color="auto" w:sz="4" w:space="0"/>
              <w:right w:val="single" w:color="auto" w:sz="4" w:space="0"/>
            </w:tcBorders>
            <w:vAlign w:val="center"/>
          </w:tcPr>
          <w:p w14:paraId="238D0D97">
            <w:pPr>
              <w:autoSpaceDE w:val="0"/>
              <w:autoSpaceDN w:val="0"/>
              <w:adjustRightInd w:val="0"/>
              <w:jc w:val="right"/>
              <w:rPr>
                <w:rFonts w:ascii="Arial Narrow" w:hAnsi="Arial Narrow" w:eastAsiaTheme="minorEastAsia"/>
                <w:sz w:val="18"/>
                <w:szCs w:val="18"/>
              </w:rPr>
            </w:pPr>
          </w:p>
        </w:tc>
      </w:tr>
      <w:tr w14:paraId="4232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4E1C5F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1475BC74">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03CB6884">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2D75302C">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03C5E5E0">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5A106657">
            <w:pPr>
              <w:autoSpaceDE w:val="0"/>
              <w:autoSpaceDN w:val="0"/>
              <w:adjustRightInd w:val="0"/>
              <w:jc w:val="right"/>
              <w:rPr>
                <w:rFonts w:ascii="Arial Narrow" w:hAnsi="Arial Narrow" w:eastAsiaTheme="minorEastAsia"/>
                <w:sz w:val="18"/>
                <w:szCs w:val="18"/>
              </w:rPr>
            </w:pPr>
          </w:p>
        </w:tc>
      </w:tr>
      <w:tr w14:paraId="2181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87967AC">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248AFEE3">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际华洁能（天津）环保科技发展有限公司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361164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103,786,567.99</w:t>
            </w:r>
          </w:p>
        </w:tc>
        <w:tc>
          <w:tcPr>
            <w:tcW w:w="794" w:type="pct"/>
            <w:tcBorders>
              <w:top w:val="single" w:color="auto" w:sz="4" w:space="0"/>
              <w:left w:val="single" w:color="auto" w:sz="4" w:space="0"/>
              <w:bottom w:val="single" w:color="auto" w:sz="4" w:space="0"/>
              <w:right w:val="single" w:color="auto" w:sz="4" w:space="0"/>
            </w:tcBorders>
            <w:vAlign w:val="center"/>
          </w:tcPr>
          <w:p w14:paraId="3EA10E3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103,786,567.99</w:t>
            </w:r>
          </w:p>
        </w:tc>
        <w:tc>
          <w:tcPr>
            <w:tcW w:w="873" w:type="pct"/>
            <w:tcBorders>
              <w:top w:val="single" w:color="auto" w:sz="4" w:space="0"/>
              <w:left w:val="single" w:color="auto" w:sz="4" w:space="0"/>
              <w:bottom w:val="single" w:color="auto" w:sz="4" w:space="0"/>
              <w:right w:val="single" w:color="auto" w:sz="4" w:space="0"/>
            </w:tcBorders>
            <w:vAlign w:val="center"/>
          </w:tcPr>
          <w:p w14:paraId="43AA4A9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103,786,567.99</w:t>
            </w:r>
          </w:p>
        </w:tc>
        <w:tc>
          <w:tcPr>
            <w:tcW w:w="715" w:type="pct"/>
            <w:tcBorders>
              <w:top w:val="single" w:color="auto" w:sz="4" w:space="0"/>
              <w:left w:val="single" w:color="auto" w:sz="4" w:space="0"/>
              <w:bottom w:val="single" w:color="auto" w:sz="4" w:space="0"/>
              <w:right w:val="single" w:color="auto" w:sz="4" w:space="0"/>
            </w:tcBorders>
            <w:vAlign w:val="center"/>
          </w:tcPr>
          <w:p w14:paraId="76FB4B3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6,243,869.13</w:t>
            </w:r>
          </w:p>
        </w:tc>
      </w:tr>
      <w:tr w14:paraId="0623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D44F9B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0A2C96FC">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邢台诚达房地产开发有限公司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BA8E95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39,661,746.49</w:t>
            </w:r>
          </w:p>
        </w:tc>
        <w:tc>
          <w:tcPr>
            <w:tcW w:w="794" w:type="pct"/>
            <w:tcBorders>
              <w:top w:val="single" w:color="auto" w:sz="4" w:space="0"/>
              <w:left w:val="single" w:color="auto" w:sz="4" w:space="0"/>
              <w:bottom w:val="single" w:color="auto" w:sz="4" w:space="0"/>
              <w:right w:val="single" w:color="auto" w:sz="4" w:space="0"/>
            </w:tcBorders>
            <w:vAlign w:val="center"/>
          </w:tcPr>
          <w:p w14:paraId="4A0C4D0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12,739,026.70</w:t>
            </w:r>
          </w:p>
        </w:tc>
        <w:tc>
          <w:tcPr>
            <w:tcW w:w="873" w:type="pct"/>
            <w:tcBorders>
              <w:top w:val="single" w:color="auto" w:sz="4" w:space="0"/>
              <w:left w:val="single" w:color="auto" w:sz="4" w:space="0"/>
              <w:bottom w:val="single" w:color="auto" w:sz="4" w:space="0"/>
              <w:right w:val="single" w:color="auto" w:sz="4" w:space="0"/>
            </w:tcBorders>
            <w:vAlign w:val="center"/>
          </w:tcPr>
          <w:p w14:paraId="54F3D5CA">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39,661,746.49</w:t>
            </w:r>
          </w:p>
        </w:tc>
        <w:tc>
          <w:tcPr>
            <w:tcW w:w="715" w:type="pct"/>
            <w:tcBorders>
              <w:top w:val="single" w:color="auto" w:sz="4" w:space="0"/>
              <w:left w:val="single" w:color="auto" w:sz="4" w:space="0"/>
              <w:bottom w:val="single" w:color="auto" w:sz="4" w:space="0"/>
              <w:right w:val="single" w:color="auto" w:sz="4" w:space="0"/>
            </w:tcBorders>
            <w:vAlign w:val="center"/>
          </w:tcPr>
          <w:p w14:paraId="295D94D4">
            <w:pPr>
              <w:autoSpaceDE w:val="0"/>
              <w:autoSpaceDN w:val="0"/>
              <w:adjustRightInd w:val="0"/>
              <w:jc w:val="right"/>
              <w:rPr>
                <w:rFonts w:ascii="Arial Narrow" w:hAnsi="Arial Narrow" w:eastAsiaTheme="minorEastAsia"/>
                <w:sz w:val="18"/>
                <w:szCs w:val="18"/>
              </w:rPr>
            </w:pPr>
          </w:p>
        </w:tc>
      </w:tr>
      <w:tr w14:paraId="7CA4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5130E90">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17226C7A">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辽宁际华三五二三特种装备有限公司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1EA846B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28,850,951.84</w:t>
            </w:r>
          </w:p>
        </w:tc>
        <w:tc>
          <w:tcPr>
            <w:tcW w:w="794" w:type="pct"/>
            <w:tcBorders>
              <w:top w:val="single" w:color="auto" w:sz="4" w:space="0"/>
              <w:left w:val="single" w:color="auto" w:sz="4" w:space="0"/>
              <w:bottom w:val="single" w:color="auto" w:sz="4" w:space="0"/>
              <w:right w:val="single" w:color="auto" w:sz="4" w:space="0"/>
            </w:tcBorders>
            <w:vAlign w:val="center"/>
          </w:tcPr>
          <w:p w14:paraId="38AD650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9,616,983.95</w:t>
            </w:r>
          </w:p>
        </w:tc>
        <w:tc>
          <w:tcPr>
            <w:tcW w:w="873" w:type="pct"/>
            <w:tcBorders>
              <w:top w:val="single" w:color="auto" w:sz="4" w:space="0"/>
              <w:left w:val="single" w:color="auto" w:sz="4" w:space="0"/>
              <w:bottom w:val="single" w:color="auto" w:sz="4" w:space="0"/>
              <w:right w:val="single" w:color="auto" w:sz="4" w:space="0"/>
            </w:tcBorders>
            <w:vAlign w:val="center"/>
          </w:tcPr>
          <w:p w14:paraId="6F0A484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28,850,951.84</w:t>
            </w:r>
          </w:p>
        </w:tc>
        <w:tc>
          <w:tcPr>
            <w:tcW w:w="715" w:type="pct"/>
            <w:tcBorders>
              <w:top w:val="single" w:color="auto" w:sz="4" w:space="0"/>
              <w:left w:val="single" w:color="auto" w:sz="4" w:space="0"/>
              <w:bottom w:val="single" w:color="auto" w:sz="4" w:space="0"/>
              <w:right w:val="single" w:color="auto" w:sz="4" w:space="0"/>
            </w:tcBorders>
            <w:vAlign w:val="center"/>
          </w:tcPr>
          <w:p w14:paraId="78840AE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69,290.16</w:t>
            </w:r>
          </w:p>
        </w:tc>
      </w:tr>
      <w:tr w14:paraId="3FA9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483A4F31">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7FFCE3BD">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际华（天津）智能热力有限公司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3B9BAC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22,920,000.00</w:t>
            </w:r>
          </w:p>
        </w:tc>
        <w:tc>
          <w:tcPr>
            <w:tcW w:w="794" w:type="pct"/>
            <w:tcBorders>
              <w:top w:val="single" w:color="auto" w:sz="4" w:space="0"/>
              <w:left w:val="single" w:color="auto" w:sz="4" w:space="0"/>
              <w:bottom w:val="single" w:color="auto" w:sz="4" w:space="0"/>
              <w:right w:val="single" w:color="auto" w:sz="4" w:space="0"/>
            </w:tcBorders>
            <w:vAlign w:val="center"/>
          </w:tcPr>
          <w:p w14:paraId="27402F1A">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22,920,000.00</w:t>
            </w:r>
          </w:p>
        </w:tc>
        <w:tc>
          <w:tcPr>
            <w:tcW w:w="873" w:type="pct"/>
            <w:tcBorders>
              <w:top w:val="single" w:color="auto" w:sz="4" w:space="0"/>
              <w:left w:val="single" w:color="auto" w:sz="4" w:space="0"/>
              <w:bottom w:val="single" w:color="auto" w:sz="4" w:space="0"/>
              <w:right w:val="single" w:color="auto" w:sz="4" w:space="0"/>
            </w:tcBorders>
            <w:vAlign w:val="center"/>
          </w:tcPr>
          <w:p w14:paraId="645BD01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22,150,000.00</w:t>
            </w:r>
          </w:p>
        </w:tc>
        <w:tc>
          <w:tcPr>
            <w:tcW w:w="715" w:type="pct"/>
            <w:tcBorders>
              <w:top w:val="single" w:color="auto" w:sz="4" w:space="0"/>
              <w:left w:val="single" w:color="auto" w:sz="4" w:space="0"/>
              <w:bottom w:val="single" w:color="auto" w:sz="4" w:space="0"/>
              <w:right w:val="single" w:color="auto" w:sz="4" w:space="0"/>
            </w:tcBorders>
            <w:vAlign w:val="center"/>
          </w:tcPr>
          <w:p w14:paraId="314BAFF1">
            <w:pPr>
              <w:autoSpaceDE w:val="0"/>
              <w:autoSpaceDN w:val="0"/>
              <w:adjustRightInd w:val="0"/>
              <w:jc w:val="right"/>
              <w:rPr>
                <w:rFonts w:ascii="Arial Narrow" w:hAnsi="Arial Narrow" w:eastAsiaTheme="minorEastAsia"/>
                <w:sz w:val="18"/>
                <w:szCs w:val="18"/>
              </w:rPr>
            </w:pPr>
          </w:p>
        </w:tc>
      </w:tr>
      <w:tr w14:paraId="24CC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6C7492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064DF59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宜昌际华仙女服饰有限公司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7D3AA4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21,332,832.34</w:t>
            </w:r>
          </w:p>
        </w:tc>
        <w:tc>
          <w:tcPr>
            <w:tcW w:w="794" w:type="pct"/>
            <w:tcBorders>
              <w:top w:val="single" w:color="auto" w:sz="4" w:space="0"/>
              <w:left w:val="single" w:color="auto" w:sz="4" w:space="0"/>
              <w:bottom w:val="single" w:color="auto" w:sz="4" w:space="0"/>
              <w:right w:val="single" w:color="auto" w:sz="4" w:space="0"/>
            </w:tcBorders>
            <w:vAlign w:val="center"/>
          </w:tcPr>
          <w:p w14:paraId="0E391CE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21,332,832.34</w:t>
            </w:r>
          </w:p>
        </w:tc>
        <w:tc>
          <w:tcPr>
            <w:tcW w:w="873" w:type="pct"/>
            <w:tcBorders>
              <w:top w:val="single" w:color="auto" w:sz="4" w:space="0"/>
              <w:left w:val="single" w:color="auto" w:sz="4" w:space="0"/>
              <w:bottom w:val="single" w:color="auto" w:sz="4" w:space="0"/>
              <w:right w:val="single" w:color="auto" w:sz="4" w:space="0"/>
            </w:tcBorders>
            <w:vAlign w:val="center"/>
          </w:tcPr>
          <w:p w14:paraId="40165DA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20,311,902.75</w:t>
            </w:r>
          </w:p>
        </w:tc>
        <w:tc>
          <w:tcPr>
            <w:tcW w:w="715" w:type="pct"/>
            <w:tcBorders>
              <w:top w:val="single" w:color="auto" w:sz="4" w:space="0"/>
              <w:left w:val="single" w:color="auto" w:sz="4" w:space="0"/>
              <w:bottom w:val="single" w:color="auto" w:sz="4" w:space="0"/>
              <w:right w:val="single" w:color="auto" w:sz="4" w:space="0"/>
            </w:tcBorders>
            <w:vAlign w:val="center"/>
          </w:tcPr>
          <w:p w14:paraId="35129433">
            <w:pPr>
              <w:autoSpaceDE w:val="0"/>
              <w:autoSpaceDN w:val="0"/>
              <w:adjustRightInd w:val="0"/>
              <w:jc w:val="right"/>
              <w:rPr>
                <w:rFonts w:ascii="Arial Narrow" w:hAnsi="Arial Narrow" w:eastAsiaTheme="minorEastAsia"/>
                <w:sz w:val="18"/>
                <w:szCs w:val="18"/>
              </w:rPr>
            </w:pPr>
          </w:p>
        </w:tc>
      </w:tr>
      <w:tr w14:paraId="5B99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486EC09A">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5BDF9CB3">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湖北际华置业有限公司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C8B672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12,390,000.00</w:t>
            </w:r>
          </w:p>
        </w:tc>
        <w:tc>
          <w:tcPr>
            <w:tcW w:w="794" w:type="pct"/>
            <w:tcBorders>
              <w:top w:val="single" w:color="auto" w:sz="4" w:space="0"/>
              <w:left w:val="single" w:color="auto" w:sz="4" w:space="0"/>
              <w:bottom w:val="single" w:color="auto" w:sz="4" w:space="0"/>
              <w:right w:val="single" w:color="auto" w:sz="4" w:space="0"/>
            </w:tcBorders>
            <w:vAlign w:val="center"/>
          </w:tcPr>
          <w:p w14:paraId="7B02159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2,676,736.39</w:t>
            </w:r>
          </w:p>
        </w:tc>
        <w:tc>
          <w:tcPr>
            <w:tcW w:w="873" w:type="pct"/>
            <w:tcBorders>
              <w:top w:val="single" w:color="auto" w:sz="4" w:space="0"/>
              <w:left w:val="single" w:color="auto" w:sz="4" w:space="0"/>
              <w:bottom w:val="single" w:color="auto" w:sz="4" w:space="0"/>
              <w:right w:val="single" w:color="auto" w:sz="4" w:space="0"/>
            </w:tcBorders>
            <w:vAlign w:val="center"/>
          </w:tcPr>
          <w:p w14:paraId="1A043A4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12,390,000.00</w:t>
            </w:r>
          </w:p>
        </w:tc>
        <w:tc>
          <w:tcPr>
            <w:tcW w:w="715" w:type="pct"/>
            <w:tcBorders>
              <w:top w:val="single" w:color="auto" w:sz="4" w:space="0"/>
              <w:left w:val="single" w:color="auto" w:sz="4" w:space="0"/>
              <w:bottom w:val="single" w:color="auto" w:sz="4" w:space="0"/>
              <w:right w:val="single" w:color="auto" w:sz="4" w:space="0"/>
            </w:tcBorders>
            <w:vAlign w:val="center"/>
          </w:tcPr>
          <w:p w14:paraId="2F3D3EAA">
            <w:pPr>
              <w:autoSpaceDE w:val="0"/>
              <w:autoSpaceDN w:val="0"/>
              <w:adjustRightInd w:val="0"/>
              <w:jc w:val="right"/>
              <w:rPr>
                <w:rFonts w:ascii="Arial Narrow" w:hAnsi="Arial Narrow" w:eastAsiaTheme="minorEastAsia"/>
                <w:sz w:val="18"/>
                <w:szCs w:val="18"/>
              </w:rPr>
            </w:pPr>
          </w:p>
        </w:tc>
      </w:tr>
      <w:tr w14:paraId="75E4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38D02DA9">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2574736E">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秦皇岛际华三五四四鞋业有限公司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F7CFDE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3,794,925.67</w:t>
            </w:r>
          </w:p>
        </w:tc>
        <w:tc>
          <w:tcPr>
            <w:tcW w:w="794" w:type="pct"/>
            <w:tcBorders>
              <w:top w:val="single" w:color="auto" w:sz="4" w:space="0"/>
              <w:left w:val="single" w:color="auto" w:sz="4" w:space="0"/>
              <w:bottom w:val="single" w:color="auto" w:sz="4" w:space="0"/>
              <w:right w:val="single" w:color="auto" w:sz="4" w:space="0"/>
            </w:tcBorders>
            <w:vAlign w:val="center"/>
          </w:tcPr>
          <w:p w14:paraId="79266B6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808,985.80</w:t>
            </w:r>
          </w:p>
        </w:tc>
        <w:tc>
          <w:tcPr>
            <w:tcW w:w="873" w:type="pct"/>
            <w:tcBorders>
              <w:top w:val="single" w:color="auto" w:sz="4" w:space="0"/>
              <w:left w:val="single" w:color="auto" w:sz="4" w:space="0"/>
              <w:bottom w:val="single" w:color="auto" w:sz="4" w:space="0"/>
              <w:right w:val="single" w:color="auto" w:sz="4" w:space="0"/>
            </w:tcBorders>
            <w:vAlign w:val="center"/>
          </w:tcPr>
          <w:p w14:paraId="51F4180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2,891,852.70</w:t>
            </w:r>
          </w:p>
        </w:tc>
        <w:tc>
          <w:tcPr>
            <w:tcW w:w="715" w:type="pct"/>
            <w:tcBorders>
              <w:top w:val="single" w:color="auto" w:sz="4" w:space="0"/>
              <w:left w:val="single" w:color="auto" w:sz="4" w:space="0"/>
              <w:bottom w:val="single" w:color="auto" w:sz="4" w:space="0"/>
              <w:right w:val="single" w:color="auto" w:sz="4" w:space="0"/>
            </w:tcBorders>
            <w:vAlign w:val="center"/>
          </w:tcPr>
          <w:p w14:paraId="1C4A9FE2">
            <w:pPr>
              <w:autoSpaceDE w:val="0"/>
              <w:autoSpaceDN w:val="0"/>
              <w:adjustRightInd w:val="0"/>
              <w:jc w:val="right"/>
              <w:rPr>
                <w:rFonts w:ascii="Arial Narrow" w:hAnsi="Arial Narrow" w:eastAsiaTheme="minorEastAsia"/>
                <w:sz w:val="18"/>
                <w:szCs w:val="18"/>
              </w:rPr>
            </w:pPr>
          </w:p>
        </w:tc>
      </w:tr>
      <w:tr w14:paraId="3A9E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5F787A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141B27A6">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天津双鹿大厦有限公司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0CCBDF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2,399,836.35</w:t>
            </w:r>
          </w:p>
        </w:tc>
        <w:tc>
          <w:tcPr>
            <w:tcW w:w="794" w:type="pct"/>
            <w:tcBorders>
              <w:top w:val="single" w:color="auto" w:sz="4" w:space="0"/>
              <w:left w:val="single" w:color="auto" w:sz="4" w:space="0"/>
              <w:bottom w:val="single" w:color="auto" w:sz="4" w:space="0"/>
              <w:right w:val="single" w:color="auto" w:sz="4" w:space="0"/>
            </w:tcBorders>
            <w:vAlign w:val="center"/>
          </w:tcPr>
          <w:p w14:paraId="79A031B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455,410.99</w:t>
            </w:r>
          </w:p>
        </w:tc>
        <w:tc>
          <w:tcPr>
            <w:tcW w:w="873" w:type="pct"/>
            <w:tcBorders>
              <w:top w:val="single" w:color="auto" w:sz="4" w:space="0"/>
              <w:left w:val="single" w:color="auto" w:sz="4" w:space="0"/>
              <w:bottom w:val="single" w:color="auto" w:sz="4" w:space="0"/>
              <w:right w:val="single" w:color="auto" w:sz="4" w:space="0"/>
            </w:tcBorders>
            <w:vAlign w:val="center"/>
          </w:tcPr>
          <w:p w14:paraId="11A1733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3,069,836.35</w:t>
            </w:r>
          </w:p>
        </w:tc>
        <w:tc>
          <w:tcPr>
            <w:tcW w:w="715" w:type="pct"/>
            <w:tcBorders>
              <w:top w:val="single" w:color="auto" w:sz="4" w:space="0"/>
              <w:left w:val="single" w:color="auto" w:sz="4" w:space="0"/>
              <w:bottom w:val="single" w:color="auto" w:sz="4" w:space="0"/>
              <w:right w:val="single" w:color="auto" w:sz="4" w:space="0"/>
            </w:tcBorders>
            <w:vAlign w:val="center"/>
          </w:tcPr>
          <w:p w14:paraId="79CCA338">
            <w:pPr>
              <w:autoSpaceDE w:val="0"/>
              <w:autoSpaceDN w:val="0"/>
              <w:adjustRightInd w:val="0"/>
              <w:jc w:val="right"/>
              <w:rPr>
                <w:rFonts w:ascii="Arial Narrow" w:hAnsi="Arial Narrow" w:eastAsiaTheme="minorEastAsia"/>
                <w:sz w:val="18"/>
                <w:szCs w:val="18"/>
              </w:rPr>
            </w:pPr>
          </w:p>
        </w:tc>
      </w:tr>
      <w:tr w14:paraId="4C7D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0214E6E">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48CACF64">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聚联智汇水务科技有限公司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7830BD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900,000.00</w:t>
            </w:r>
          </w:p>
        </w:tc>
        <w:tc>
          <w:tcPr>
            <w:tcW w:w="794" w:type="pct"/>
            <w:tcBorders>
              <w:top w:val="single" w:color="auto" w:sz="4" w:space="0"/>
              <w:left w:val="single" w:color="auto" w:sz="4" w:space="0"/>
              <w:bottom w:val="single" w:color="auto" w:sz="4" w:space="0"/>
              <w:right w:val="single" w:color="auto" w:sz="4" w:space="0"/>
            </w:tcBorders>
            <w:vAlign w:val="center"/>
          </w:tcPr>
          <w:p w14:paraId="696B03A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218,099.81</w:t>
            </w:r>
          </w:p>
        </w:tc>
        <w:tc>
          <w:tcPr>
            <w:tcW w:w="873" w:type="pct"/>
            <w:tcBorders>
              <w:top w:val="single" w:color="auto" w:sz="4" w:space="0"/>
              <w:left w:val="single" w:color="auto" w:sz="4" w:space="0"/>
              <w:bottom w:val="single" w:color="auto" w:sz="4" w:space="0"/>
              <w:right w:val="single" w:color="auto" w:sz="4" w:space="0"/>
            </w:tcBorders>
            <w:vAlign w:val="center"/>
          </w:tcPr>
          <w:p w14:paraId="497762B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900,000.00</w:t>
            </w:r>
          </w:p>
        </w:tc>
        <w:tc>
          <w:tcPr>
            <w:tcW w:w="715" w:type="pct"/>
            <w:tcBorders>
              <w:top w:val="single" w:color="auto" w:sz="4" w:space="0"/>
              <w:left w:val="single" w:color="auto" w:sz="4" w:space="0"/>
              <w:bottom w:val="single" w:color="auto" w:sz="4" w:space="0"/>
              <w:right w:val="single" w:color="auto" w:sz="4" w:space="0"/>
            </w:tcBorders>
            <w:vAlign w:val="center"/>
          </w:tcPr>
          <w:p w14:paraId="041248BE">
            <w:pPr>
              <w:autoSpaceDE w:val="0"/>
              <w:autoSpaceDN w:val="0"/>
              <w:adjustRightInd w:val="0"/>
              <w:jc w:val="right"/>
              <w:rPr>
                <w:rFonts w:ascii="Arial Narrow" w:hAnsi="Arial Narrow" w:eastAsiaTheme="minorEastAsia"/>
                <w:sz w:val="18"/>
                <w:szCs w:val="18"/>
              </w:rPr>
            </w:pPr>
          </w:p>
        </w:tc>
      </w:tr>
      <w:tr w14:paraId="4831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1026E7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5553E301">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南京三五〇三投资发展有限公司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E38842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487,608.81</w:t>
            </w:r>
          </w:p>
        </w:tc>
        <w:tc>
          <w:tcPr>
            <w:tcW w:w="794" w:type="pct"/>
            <w:tcBorders>
              <w:top w:val="single" w:color="auto" w:sz="4" w:space="0"/>
              <w:left w:val="single" w:color="auto" w:sz="4" w:space="0"/>
              <w:bottom w:val="single" w:color="auto" w:sz="4" w:space="0"/>
              <w:right w:val="single" w:color="auto" w:sz="4" w:space="0"/>
            </w:tcBorders>
            <w:vAlign w:val="center"/>
          </w:tcPr>
          <w:p w14:paraId="29332CA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333,725.26</w:t>
            </w:r>
          </w:p>
        </w:tc>
        <w:tc>
          <w:tcPr>
            <w:tcW w:w="873" w:type="pct"/>
            <w:tcBorders>
              <w:top w:val="single" w:color="auto" w:sz="4" w:space="0"/>
              <w:left w:val="single" w:color="auto" w:sz="4" w:space="0"/>
              <w:bottom w:val="single" w:color="auto" w:sz="4" w:space="0"/>
              <w:right w:val="single" w:color="auto" w:sz="4" w:space="0"/>
            </w:tcBorders>
            <w:vAlign w:val="center"/>
          </w:tcPr>
          <w:p w14:paraId="2B44E40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487,608.81</w:t>
            </w:r>
          </w:p>
        </w:tc>
        <w:tc>
          <w:tcPr>
            <w:tcW w:w="715" w:type="pct"/>
            <w:tcBorders>
              <w:top w:val="single" w:color="auto" w:sz="4" w:space="0"/>
              <w:left w:val="single" w:color="auto" w:sz="4" w:space="0"/>
              <w:bottom w:val="single" w:color="auto" w:sz="4" w:space="0"/>
              <w:right w:val="single" w:color="auto" w:sz="4" w:space="0"/>
            </w:tcBorders>
            <w:vAlign w:val="center"/>
          </w:tcPr>
          <w:p w14:paraId="0CEBABF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324,236.28</w:t>
            </w:r>
          </w:p>
        </w:tc>
      </w:tr>
      <w:tr w14:paraId="009D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1BC06E6B">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4058C3BB">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新兴铸管股份有限公司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859B40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310,000.00</w:t>
            </w:r>
          </w:p>
        </w:tc>
        <w:tc>
          <w:tcPr>
            <w:tcW w:w="794" w:type="pct"/>
            <w:tcBorders>
              <w:top w:val="single" w:color="auto" w:sz="4" w:space="0"/>
              <w:left w:val="single" w:color="auto" w:sz="4" w:space="0"/>
              <w:bottom w:val="single" w:color="auto" w:sz="4" w:space="0"/>
              <w:right w:val="single" w:color="auto" w:sz="4" w:space="0"/>
            </w:tcBorders>
            <w:vAlign w:val="center"/>
          </w:tcPr>
          <w:p w14:paraId="145B406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59,545.79</w:t>
            </w:r>
          </w:p>
        </w:tc>
        <w:tc>
          <w:tcPr>
            <w:tcW w:w="873" w:type="pct"/>
            <w:tcBorders>
              <w:top w:val="single" w:color="auto" w:sz="4" w:space="0"/>
              <w:left w:val="single" w:color="auto" w:sz="4" w:space="0"/>
              <w:bottom w:val="single" w:color="auto" w:sz="4" w:space="0"/>
              <w:right w:val="single" w:color="auto" w:sz="4" w:space="0"/>
            </w:tcBorders>
            <w:vAlign w:val="center"/>
          </w:tcPr>
          <w:p w14:paraId="0BC1EE6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20,000.00</w:t>
            </w:r>
          </w:p>
        </w:tc>
        <w:tc>
          <w:tcPr>
            <w:tcW w:w="715" w:type="pct"/>
            <w:tcBorders>
              <w:top w:val="single" w:color="auto" w:sz="4" w:space="0"/>
              <w:left w:val="single" w:color="auto" w:sz="4" w:space="0"/>
              <w:bottom w:val="single" w:color="auto" w:sz="4" w:space="0"/>
              <w:right w:val="single" w:color="auto" w:sz="4" w:space="0"/>
            </w:tcBorders>
            <w:vAlign w:val="center"/>
          </w:tcPr>
          <w:p w14:paraId="29E2E5F7">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24.00</w:t>
            </w:r>
          </w:p>
        </w:tc>
      </w:tr>
      <w:tr w14:paraId="2DA0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46FE6C6">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73F4FBDD">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上海际华物流有限公司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186F52F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173,208.49</w:t>
            </w:r>
          </w:p>
        </w:tc>
        <w:tc>
          <w:tcPr>
            <w:tcW w:w="794" w:type="pct"/>
            <w:tcBorders>
              <w:top w:val="single" w:color="auto" w:sz="4" w:space="0"/>
              <w:left w:val="single" w:color="auto" w:sz="4" w:space="0"/>
              <w:bottom w:val="single" w:color="auto" w:sz="4" w:space="0"/>
              <w:right w:val="single" w:color="auto" w:sz="4" w:space="0"/>
            </w:tcBorders>
            <w:vAlign w:val="center"/>
          </w:tcPr>
          <w:p w14:paraId="01CFCCB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32,454.91</w:t>
            </w:r>
          </w:p>
        </w:tc>
        <w:tc>
          <w:tcPr>
            <w:tcW w:w="873" w:type="pct"/>
            <w:tcBorders>
              <w:top w:val="single" w:color="auto" w:sz="4" w:space="0"/>
              <w:left w:val="single" w:color="auto" w:sz="4" w:space="0"/>
              <w:bottom w:val="single" w:color="auto" w:sz="4" w:space="0"/>
              <w:right w:val="single" w:color="auto" w:sz="4" w:space="0"/>
            </w:tcBorders>
            <w:vAlign w:val="center"/>
          </w:tcPr>
          <w:p w14:paraId="1BEC63CA">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56BD0CC8">
            <w:pPr>
              <w:autoSpaceDE w:val="0"/>
              <w:autoSpaceDN w:val="0"/>
              <w:adjustRightInd w:val="0"/>
              <w:jc w:val="right"/>
              <w:rPr>
                <w:rFonts w:ascii="Arial Narrow" w:hAnsi="Arial Narrow" w:eastAsiaTheme="minorEastAsia"/>
                <w:sz w:val="18"/>
                <w:szCs w:val="18"/>
              </w:rPr>
            </w:pPr>
          </w:p>
        </w:tc>
      </w:tr>
      <w:tr w14:paraId="333D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8046EB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5D17B59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陕西际华园开发建设有限公司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719E901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59,116.86</w:t>
            </w:r>
          </w:p>
        </w:tc>
        <w:tc>
          <w:tcPr>
            <w:tcW w:w="794" w:type="pct"/>
            <w:tcBorders>
              <w:top w:val="single" w:color="auto" w:sz="4" w:space="0"/>
              <w:left w:val="single" w:color="auto" w:sz="4" w:space="0"/>
              <w:bottom w:val="single" w:color="auto" w:sz="4" w:space="0"/>
              <w:right w:val="single" w:color="auto" w:sz="4" w:space="0"/>
            </w:tcBorders>
            <w:vAlign w:val="center"/>
          </w:tcPr>
          <w:p w14:paraId="6B099BB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11,077.01</w:t>
            </w:r>
          </w:p>
        </w:tc>
        <w:tc>
          <w:tcPr>
            <w:tcW w:w="873" w:type="pct"/>
            <w:tcBorders>
              <w:top w:val="single" w:color="auto" w:sz="4" w:space="0"/>
              <w:left w:val="single" w:color="auto" w:sz="4" w:space="0"/>
              <w:bottom w:val="single" w:color="auto" w:sz="4" w:space="0"/>
              <w:right w:val="single" w:color="auto" w:sz="4" w:space="0"/>
            </w:tcBorders>
            <w:vAlign w:val="center"/>
          </w:tcPr>
          <w:p w14:paraId="6AA7968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146,456.49</w:t>
            </w:r>
          </w:p>
        </w:tc>
        <w:tc>
          <w:tcPr>
            <w:tcW w:w="715" w:type="pct"/>
            <w:tcBorders>
              <w:top w:val="single" w:color="auto" w:sz="4" w:space="0"/>
              <w:left w:val="single" w:color="auto" w:sz="4" w:space="0"/>
              <w:bottom w:val="single" w:color="auto" w:sz="4" w:space="0"/>
              <w:right w:val="single" w:color="auto" w:sz="4" w:space="0"/>
            </w:tcBorders>
            <w:vAlign w:val="center"/>
          </w:tcPr>
          <w:p w14:paraId="3A463A78">
            <w:pPr>
              <w:autoSpaceDE w:val="0"/>
              <w:autoSpaceDN w:val="0"/>
              <w:adjustRightInd w:val="0"/>
              <w:jc w:val="right"/>
              <w:rPr>
                <w:rFonts w:ascii="Arial Narrow" w:hAnsi="Arial Narrow" w:eastAsiaTheme="minorEastAsia"/>
                <w:sz w:val="18"/>
                <w:szCs w:val="18"/>
              </w:rPr>
            </w:pPr>
          </w:p>
        </w:tc>
      </w:tr>
      <w:tr w14:paraId="42BA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5BCA356">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10D2FAC1">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广东新兴铸管有限公司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8EA6FC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52,440.00</w:t>
            </w:r>
          </w:p>
        </w:tc>
        <w:tc>
          <w:tcPr>
            <w:tcW w:w="794" w:type="pct"/>
            <w:tcBorders>
              <w:top w:val="single" w:color="auto" w:sz="4" w:space="0"/>
              <w:left w:val="single" w:color="auto" w:sz="4" w:space="0"/>
              <w:bottom w:val="single" w:color="auto" w:sz="4" w:space="0"/>
              <w:right w:val="single" w:color="auto" w:sz="4" w:space="0"/>
            </w:tcBorders>
            <w:vAlign w:val="center"/>
          </w:tcPr>
          <w:p w14:paraId="24CF82A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9,825.94</w:t>
            </w:r>
          </w:p>
        </w:tc>
        <w:tc>
          <w:tcPr>
            <w:tcW w:w="873" w:type="pct"/>
            <w:tcBorders>
              <w:top w:val="single" w:color="auto" w:sz="4" w:space="0"/>
              <w:left w:val="single" w:color="auto" w:sz="4" w:space="0"/>
              <w:bottom w:val="single" w:color="auto" w:sz="4" w:space="0"/>
              <w:right w:val="single" w:color="auto" w:sz="4" w:space="0"/>
            </w:tcBorders>
            <w:vAlign w:val="center"/>
          </w:tcPr>
          <w:p w14:paraId="47D34A0E">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0FCCE6B0">
            <w:pPr>
              <w:autoSpaceDE w:val="0"/>
              <w:autoSpaceDN w:val="0"/>
              <w:adjustRightInd w:val="0"/>
              <w:jc w:val="right"/>
              <w:rPr>
                <w:rFonts w:ascii="Arial Narrow" w:hAnsi="Arial Narrow" w:eastAsiaTheme="minorEastAsia"/>
                <w:sz w:val="18"/>
                <w:szCs w:val="18"/>
              </w:rPr>
            </w:pPr>
          </w:p>
        </w:tc>
      </w:tr>
      <w:tr w14:paraId="78EA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0BDDBC0C">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5483CC49">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新兴河北工程技术有限公司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5F40E1A3">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30,000.00</w:t>
            </w:r>
          </w:p>
        </w:tc>
        <w:tc>
          <w:tcPr>
            <w:tcW w:w="794" w:type="pct"/>
            <w:tcBorders>
              <w:top w:val="single" w:color="auto" w:sz="4" w:space="0"/>
              <w:left w:val="single" w:color="auto" w:sz="4" w:space="0"/>
              <w:bottom w:val="single" w:color="auto" w:sz="4" w:space="0"/>
              <w:right w:val="single" w:color="auto" w:sz="4" w:space="0"/>
            </w:tcBorders>
            <w:vAlign w:val="center"/>
          </w:tcPr>
          <w:p w14:paraId="571D113D">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30,000.00</w:t>
            </w:r>
          </w:p>
        </w:tc>
        <w:tc>
          <w:tcPr>
            <w:tcW w:w="873" w:type="pct"/>
            <w:tcBorders>
              <w:top w:val="single" w:color="auto" w:sz="4" w:space="0"/>
              <w:left w:val="single" w:color="auto" w:sz="4" w:space="0"/>
              <w:bottom w:val="single" w:color="auto" w:sz="4" w:space="0"/>
              <w:right w:val="single" w:color="auto" w:sz="4" w:space="0"/>
            </w:tcBorders>
            <w:vAlign w:val="center"/>
          </w:tcPr>
          <w:p w14:paraId="112B480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30,000.00</w:t>
            </w:r>
          </w:p>
        </w:tc>
        <w:tc>
          <w:tcPr>
            <w:tcW w:w="715" w:type="pct"/>
            <w:tcBorders>
              <w:top w:val="single" w:color="auto" w:sz="4" w:space="0"/>
              <w:left w:val="single" w:color="auto" w:sz="4" w:space="0"/>
              <w:bottom w:val="single" w:color="auto" w:sz="4" w:space="0"/>
              <w:right w:val="single" w:color="auto" w:sz="4" w:space="0"/>
            </w:tcBorders>
            <w:vAlign w:val="center"/>
          </w:tcPr>
          <w:p w14:paraId="4475DE9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30,000.00</w:t>
            </w:r>
          </w:p>
        </w:tc>
      </w:tr>
      <w:tr w14:paraId="4866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2FA5112">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6804FD92">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新兴际华资产经营管理有限公司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280C8A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23,940.00</w:t>
            </w:r>
          </w:p>
        </w:tc>
        <w:tc>
          <w:tcPr>
            <w:tcW w:w="794" w:type="pct"/>
            <w:tcBorders>
              <w:top w:val="single" w:color="auto" w:sz="4" w:space="0"/>
              <w:left w:val="single" w:color="auto" w:sz="4" w:space="0"/>
              <w:bottom w:val="single" w:color="auto" w:sz="4" w:space="0"/>
              <w:right w:val="single" w:color="auto" w:sz="4" w:space="0"/>
            </w:tcBorders>
            <w:vAlign w:val="center"/>
          </w:tcPr>
          <w:p w14:paraId="419F20E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4,485.75</w:t>
            </w:r>
          </w:p>
        </w:tc>
        <w:tc>
          <w:tcPr>
            <w:tcW w:w="873" w:type="pct"/>
            <w:tcBorders>
              <w:top w:val="single" w:color="auto" w:sz="4" w:space="0"/>
              <w:left w:val="single" w:color="auto" w:sz="4" w:space="0"/>
              <w:bottom w:val="single" w:color="auto" w:sz="4" w:space="0"/>
              <w:right w:val="single" w:color="auto" w:sz="4" w:space="0"/>
            </w:tcBorders>
            <w:vAlign w:val="center"/>
          </w:tcPr>
          <w:p w14:paraId="10BE6DDA">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74890A8D">
            <w:pPr>
              <w:autoSpaceDE w:val="0"/>
              <w:autoSpaceDN w:val="0"/>
              <w:adjustRightInd w:val="0"/>
              <w:jc w:val="right"/>
              <w:rPr>
                <w:rFonts w:ascii="Arial Narrow" w:hAnsi="Arial Narrow" w:eastAsiaTheme="minorEastAsia"/>
                <w:sz w:val="18"/>
                <w:szCs w:val="18"/>
              </w:rPr>
            </w:pPr>
          </w:p>
        </w:tc>
      </w:tr>
      <w:tr w14:paraId="298F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6DD3B8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104124CD">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新兴际华（上海）工程科技研究院有限公司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2E2D8AE4">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9,889.00</w:t>
            </w:r>
          </w:p>
        </w:tc>
        <w:tc>
          <w:tcPr>
            <w:tcW w:w="794" w:type="pct"/>
            <w:tcBorders>
              <w:top w:val="single" w:color="auto" w:sz="4" w:space="0"/>
              <w:left w:val="single" w:color="auto" w:sz="4" w:space="0"/>
              <w:bottom w:val="single" w:color="auto" w:sz="4" w:space="0"/>
              <w:right w:val="single" w:color="auto" w:sz="4" w:space="0"/>
            </w:tcBorders>
            <w:vAlign w:val="center"/>
          </w:tcPr>
          <w:p w14:paraId="24360C1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1,852.95</w:t>
            </w:r>
          </w:p>
        </w:tc>
        <w:tc>
          <w:tcPr>
            <w:tcW w:w="873" w:type="pct"/>
            <w:tcBorders>
              <w:top w:val="single" w:color="auto" w:sz="4" w:space="0"/>
              <w:left w:val="single" w:color="auto" w:sz="4" w:space="0"/>
              <w:bottom w:val="single" w:color="auto" w:sz="4" w:space="0"/>
              <w:right w:val="single" w:color="auto" w:sz="4" w:space="0"/>
            </w:tcBorders>
            <w:vAlign w:val="center"/>
          </w:tcPr>
          <w:p w14:paraId="4879CDB4">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03D550F4">
            <w:pPr>
              <w:autoSpaceDE w:val="0"/>
              <w:autoSpaceDN w:val="0"/>
              <w:adjustRightInd w:val="0"/>
              <w:jc w:val="right"/>
              <w:rPr>
                <w:rFonts w:ascii="Arial Narrow" w:hAnsi="Arial Narrow" w:eastAsiaTheme="minorEastAsia"/>
                <w:sz w:val="18"/>
                <w:szCs w:val="18"/>
              </w:rPr>
            </w:pPr>
          </w:p>
        </w:tc>
      </w:tr>
      <w:tr w14:paraId="7DCE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BEE054E">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754E8D86">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北京三五零一服装厂有限公司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6198483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7,814.25</w:t>
            </w:r>
          </w:p>
        </w:tc>
        <w:tc>
          <w:tcPr>
            <w:tcW w:w="794" w:type="pct"/>
            <w:tcBorders>
              <w:top w:val="single" w:color="auto" w:sz="4" w:space="0"/>
              <w:left w:val="single" w:color="auto" w:sz="4" w:space="0"/>
              <w:bottom w:val="single" w:color="auto" w:sz="4" w:space="0"/>
              <w:right w:val="single" w:color="auto" w:sz="4" w:space="0"/>
            </w:tcBorders>
            <w:vAlign w:val="center"/>
          </w:tcPr>
          <w:p w14:paraId="2A1632A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1,688.19</w:t>
            </w:r>
          </w:p>
        </w:tc>
        <w:tc>
          <w:tcPr>
            <w:tcW w:w="873" w:type="pct"/>
            <w:tcBorders>
              <w:top w:val="single" w:color="auto" w:sz="4" w:space="0"/>
              <w:left w:val="single" w:color="auto" w:sz="4" w:space="0"/>
              <w:bottom w:val="single" w:color="auto" w:sz="4" w:space="0"/>
              <w:right w:val="single" w:color="auto" w:sz="4" w:space="0"/>
            </w:tcBorders>
            <w:vAlign w:val="center"/>
          </w:tcPr>
          <w:p w14:paraId="30A2FD8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7,814.25</w:t>
            </w:r>
          </w:p>
        </w:tc>
        <w:tc>
          <w:tcPr>
            <w:tcW w:w="715" w:type="pct"/>
            <w:tcBorders>
              <w:top w:val="single" w:color="auto" w:sz="4" w:space="0"/>
              <w:left w:val="single" w:color="auto" w:sz="4" w:space="0"/>
              <w:bottom w:val="single" w:color="auto" w:sz="4" w:space="0"/>
              <w:right w:val="single" w:color="auto" w:sz="4" w:space="0"/>
            </w:tcBorders>
            <w:vAlign w:val="center"/>
          </w:tcPr>
          <w:p w14:paraId="77E3EB7E">
            <w:pPr>
              <w:autoSpaceDE w:val="0"/>
              <w:autoSpaceDN w:val="0"/>
              <w:adjustRightInd w:val="0"/>
              <w:jc w:val="right"/>
              <w:rPr>
                <w:rFonts w:ascii="Arial Narrow" w:hAnsi="Arial Narrow" w:eastAsiaTheme="minorEastAsia"/>
                <w:sz w:val="18"/>
                <w:szCs w:val="18"/>
              </w:rPr>
            </w:pPr>
          </w:p>
        </w:tc>
      </w:tr>
      <w:tr w14:paraId="745E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A6F01B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3FA17A8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新兴职业装备生产技术研究所</w:t>
            </w:r>
          </w:p>
        </w:tc>
        <w:tc>
          <w:tcPr>
            <w:tcW w:w="874" w:type="pct"/>
            <w:tcBorders>
              <w:top w:val="single" w:color="auto" w:sz="4" w:space="0"/>
              <w:left w:val="single" w:color="auto" w:sz="4" w:space="0"/>
              <w:bottom w:val="single" w:color="auto" w:sz="4" w:space="0"/>
              <w:right w:val="single" w:color="auto" w:sz="4" w:space="0"/>
            </w:tcBorders>
            <w:vAlign w:val="center"/>
          </w:tcPr>
          <w:p w14:paraId="30E798D1">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2,700.00</w:t>
            </w:r>
          </w:p>
        </w:tc>
        <w:tc>
          <w:tcPr>
            <w:tcW w:w="794" w:type="pct"/>
            <w:tcBorders>
              <w:top w:val="single" w:color="auto" w:sz="4" w:space="0"/>
              <w:left w:val="single" w:color="auto" w:sz="4" w:space="0"/>
              <w:bottom w:val="single" w:color="auto" w:sz="4" w:space="0"/>
              <w:right w:val="single" w:color="auto" w:sz="4" w:space="0"/>
            </w:tcBorders>
            <w:vAlign w:val="center"/>
          </w:tcPr>
          <w:p w14:paraId="3FDE4DB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2,700.00</w:t>
            </w:r>
          </w:p>
        </w:tc>
        <w:tc>
          <w:tcPr>
            <w:tcW w:w="873" w:type="pct"/>
            <w:tcBorders>
              <w:top w:val="single" w:color="auto" w:sz="4" w:space="0"/>
              <w:left w:val="single" w:color="auto" w:sz="4" w:space="0"/>
              <w:bottom w:val="single" w:color="auto" w:sz="4" w:space="0"/>
              <w:right w:val="single" w:color="auto" w:sz="4" w:space="0"/>
            </w:tcBorders>
            <w:vAlign w:val="center"/>
          </w:tcPr>
          <w:p w14:paraId="4E590DE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2,700.00</w:t>
            </w:r>
          </w:p>
        </w:tc>
        <w:tc>
          <w:tcPr>
            <w:tcW w:w="715" w:type="pct"/>
            <w:tcBorders>
              <w:top w:val="single" w:color="auto" w:sz="4" w:space="0"/>
              <w:left w:val="single" w:color="auto" w:sz="4" w:space="0"/>
              <w:bottom w:val="single" w:color="auto" w:sz="4" w:space="0"/>
              <w:right w:val="single" w:color="auto" w:sz="4" w:space="0"/>
            </w:tcBorders>
            <w:vAlign w:val="center"/>
          </w:tcPr>
          <w:p w14:paraId="4976F9E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2,700.00</w:t>
            </w:r>
          </w:p>
        </w:tc>
      </w:tr>
      <w:tr w14:paraId="435B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CD0473A">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3D496B0A">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贵州际华三五三五商贸有限公司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49C38D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446.00</w:t>
            </w:r>
          </w:p>
        </w:tc>
        <w:tc>
          <w:tcPr>
            <w:tcW w:w="794" w:type="pct"/>
            <w:tcBorders>
              <w:top w:val="single" w:color="auto" w:sz="4" w:space="0"/>
              <w:left w:val="single" w:color="auto" w:sz="4" w:space="0"/>
              <w:bottom w:val="single" w:color="auto" w:sz="4" w:space="0"/>
              <w:right w:val="single" w:color="auto" w:sz="4" w:space="0"/>
            </w:tcBorders>
            <w:vAlign w:val="center"/>
          </w:tcPr>
          <w:p w14:paraId="383DAAFC">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84.64</w:t>
            </w:r>
          </w:p>
        </w:tc>
        <w:tc>
          <w:tcPr>
            <w:tcW w:w="873" w:type="pct"/>
            <w:tcBorders>
              <w:top w:val="single" w:color="auto" w:sz="4" w:space="0"/>
              <w:left w:val="single" w:color="auto" w:sz="4" w:space="0"/>
              <w:bottom w:val="single" w:color="auto" w:sz="4" w:space="0"/>
              <w:right w:val="single" w:color="auto" w:sz="4" w:space="0"/>
            </w:tcBorders>
            <w:vAlign w:val="center"/>
          </w:tcPr>
          <w:p w14:paraId="30D54A55">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446.00</w:t>
            </w:r>
          </w:p>
        </w:tc>
        <w:tc>
          <w:tcPr>
            <w:tcW w:w="715" w:type="pct"/>
            <w:tcBorders>
              <w:top w:val="single" w:color="auto" w:sz="4" w:space="0"/>
              <w:left w:val="single" w:color="auto" w:sz="4" w:space="0"/>
              <w:bottom w:val="single" w:color="auto" w:sz="4" w:space="0"/>
              <w:right w:val="single" w:color="auto" w:sz="4" w:space="0"/>
            </w:tcBorders>
            <w:vAlign w:val="center"/>
          </w:tcPr>
          <w:p w14:paraId="01916EFB">
            <w:pPr>
              <w:autoSpaceDE w:val="0"/>
              <w:autoSpaceDN w:val="0"/>
              <w:adjustRightInd w:val="0"/>
              <w:jc w:val="right"/>
              <w:rPr>
                <w:rFonts w:ascii="Arial Narrow" w:hAnsi="Arial Narrow" w:eastAsiaTheme="minorEastAsia"/>
                <w:sz w:val="18"/>
                <w:szCs w:val="18"/>
              </w:rPr>
            </w:pPr>
          </w:p>
        </w:tc>
      </w:tr>
      <w:tr w14:paraId="54E4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0B2678F">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773BA84C">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汉川际华三五零九置业有限公司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46B45329">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308.38</w:t>
            </w:r>
          </w:p>
        </w:tc>
        <w:tc>
          <w:tcPr>
            <w:tcW w:w="794" w:type="pct"/>
            <w:tcBorders>
              <w:top w:val="single" w:color="auto" w:sz="4" w:space="0"/>
              <w:left w:val="single" w:color="auto" w:sz="4" w:space="0"/>
              <w:bottom w:val="single" w:color="auto" w:sz="4" w:space="0"/>
              <w:right w:val="single" w:color="auto" w:sz="4" w:space="0"/>
            </w:tcBorders>
            <w:vAlign w:val="center"/>
          </w:tcPr>
          <w:p w14:paraId="0EE726F0">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58.52</w:t>
            </w:r>
          </w:p>
        </w:tc>
        <w:tc>
          <w:tcPr>
            <w:tcW w:w="873" w:type="pct"/>
            <w:tcBorders>
              <w:top w:val="single" w:color="auto" w:sz="4" w:space="0"/>
              <w:left w:val="single" w:color="auto" w:sz="4" w:space="0"/>
              <w:bottom w:val="single" w:color="auto" w:sz="4" w:space="0"/>
              <w:right w:val="single" w:color="auto" w:sz="4" w:space="0"/>
            </w:tcBorders>
            <w:vAlign w:val="center"/>
          </w:tcPr>
          <w:p w14:paraId="54CD6CE6">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308.38</w:t>
            </w:r>
          </w:p>
        </w:tc>
        <w:tc>
          <w:tcPr>
            <w:tcW w:w="715" w:type="pct"/>
            <w:tcBorders>
              <w:top w:val="single" w:color="auto" w:sz="4" w:space="0"/>
              <w:left w:val="single" w:color="auto" w:sz="4" w:space="0"/>
              <w:bottom w:val="single" w:color="auto" w:sz="4" w:space="0"/>
              <w:right w:val="single" w:color="auto" w:sz="4" w:space="0"/>
            </w:tcBorders>
            <w:vAlign w:val="center"/>
          </w:tcPr>
          <w:p w14:paraId="67D797BB">
            <w:pPr>
              <w:autoSpaceDE w:val="0"/>
              <w:autoSpaceDN w:val="0"/>
              <w:adjustRightInd w:val="0"/>
              <w:jc w:val="right"/>
              <w:rPr>
                <w:rFonts w:ascii="Arial Narrow" w:hAnsi="Arial Narrow" w:eastAsiaTheme="minorEastAsia"/>
                <w:sz w:val="18"/>
                <w:szCs w:val="18"/>
              </w:rPr>
            </w:pPr>
          </w:p>
        </w:tc>
      </w:tr>
      <w:tr w14:paraId="2E5A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6AC63715">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513C228E">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武汉际华园投资建设有限公司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0B067A3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0.48</w:t>
            </w:r>
          </w:p>
        </w:tc>
        <w:tc>
          <w:tcPr>
            <w:tcW w:w="794" w:type="pct"/>
            <w:tcBorders>
              <w:top w:val="single" w:color="auto" w:sz="4" w:space="0"/>
              <w:left w:val="single" w:color="auto" w:sz="4" w:space="0"/>
              <w:bottom w:val="single" w:color="auto" w:sz="4" w:space="0"/>
              <w:right w:val="single" w:color="auto" w:sz="4" w:space="0"/>
            </w:tcBorders>
            <w:vAlign w:val="center"/>
          </w:tcPr>
          <w:p w14:paraId="128BD858">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0.09</w:t>
            </w:r>
          </w:p>
        </w:tc>
        <w:tc>
          <w:tcPr>
            <w:tcW w:w="873" w:type="pct"/>
            <w:tcBorders>
              <w:top w:val="single" w:color="auto" w:sz="4" w:space="0"/>
              <w:left w:val="single" w:color="auto" w:sz="4" w:space="0"/>
              <w:bottom w:val="single" w:color="auto" w:sz="4" w:space="0"/>
              <w:right w:val="single" w:color="auto" w:sz="4" w:space="0"/>
            </w:tcBorders>
            <w:vAlign w:val="center"/>
          </w:tcPr>
          <w:p w14:paraId="19F75035">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3FCCC97C">
            <w:pPr>
              <w:autoSpaceDE w:val="0"/>
              <w:autoSpaceDN w:val="0"/>
              <w:adjustRightInd w:val="0"/>
              <w:jc w:val="right"/>
              <w:rPr>
                <w:rFonts w:ascii="Arial Narrow" w:hAnsi="Arial Narrow" w:eastAsiaTheme="minorEastAsia"/>
                <w:sz w:val="18"/>
                <w:szCs w:val="18"/>
              </w:rPr>
            </w:pPr>
          </w:p>
        </w:tc>
      </w:tr>
      <w:tr w14:paraId="1CD3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FB21669">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其他应收款</w:t>
            </w:r>
          </w:p>
        </w:tc>
        <w:tc>
          <w:tcPr>
            <w:tcW w:w="1112" w:type="pct"/>
            <w:tcBorders>
              <w:top w:val="single" w:color="auto" w:sz="4" w:space="0"/>
              <w:left w:val="single" w:color="auto" w:sz="4" w:space="0"/>
              <w:bottom w:val="single" w:color="auto" w:sz="4" w:space="0"/>
              <w:right w:val="single" w:color="auto" w:sz="4" w:space="0"/>
            </w:tcBorders>
          </w:tcPr>
          <w:p w14:paraId="4E12A36B">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南京新际资产运营有限公司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3C142194">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6B58FF35">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5043894B">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1,020,830.54</w:t>
            </w:r>
          </w:p>
        </w:tc>
        <w:tc>
          <w:tcPr>
            <w:tcW w:w="715" w:type="pct"/>
            <w:tcBorders>
              <w:top w:val="single" w:color="auto" w:sz="4" w:space="0"/>
              <w:left w:val="single" w:color="auto" w:sz="4" w:space="0"/>
              <w:bottom w:val="single" w:color="auto" w:sz="4" w:space="0"/>
              <w:right w:val="single" w:color="auto" w:sz="4" w:space="0"/>
            </w:tcBorders>
            <w:vAlign w:val="center"/>
          </w:tcPr>
          <w:p w14:paraId="49F6D198">
            <w:pPr>
              <w:autoSpaceDE w:val="0"/>
              <w:autoSpaceDN w:val="0"/>
              <w:adjustRightInd w:val="0"/>
              <w:jc w:val="right"/>
              <w:rPr>
                <w:rFonts w:ascii="Arial Narrow" w:hAnsi="Arial Narrow" w:eastAsiaTheme="minorEastAsia"/>
                <w:sz w:val="18"/>
                <w:szCs w:val="18"/>
              </w:rPr>
            </w:pPr>
          </w:p>
        </w:tc>
      </w:tr>
      <w:tr w14:paraId="16D6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7D0BAF73">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应收股利</w:t>
            </w:r>
          </w:p>
        </w:tc>
        <w:tc>
          <w:tcPr>
            <w:tcW w:w="1112" w:type="pct"/>
            <w:tcBorders>
              <w:top w:val="single" w:color="auto" w:sz="4" w:space="0"/>
              <w:left w:val="single" w:color="auto" w:sz="4" w:space="0"/>
              <w:bottom w:val="single" w:color="auto" w:sz="4" w:space="0"/>
              <w:right w:val="single" w:color="auto" w:sz="4" w:space="0"/>
            </w:tcBorders>
          </w:tcPr>
          <w:p w14:paraId="4456DBA5">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53350F00">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358D4679">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07D550C6">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1D8873FA">
            <w:pPr>
              <w:autoSpaceDE w:val="0"/>
              <w:autoSpaceDN w:val="0"/>
              <w:adjustRightInd w:val="0"/>
              <w:jc w:val="right"/>
              <w:rPr>
                <w:rFonts w:ascii="Arial Narrow" w:hAnsi="Arial Narrow" w:eastAsiaTheme="minorEastAsia"/>
                <w:sz w:val="18"/>
                <w:szCs w:val="18"/>
              </w:rPr>
            </w:pPr>
          </w:p>
        </w:tc>
      </w:tr>
      <w:tr w14:paraId="4023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D9308DD">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应收股利</w:t>
            </w:r>
          </w:p>
        </w:tc>
        <w:tc>
          <w:tcPr>
            <w:tcW w:w="1112" w:type="pct"/>
            <w:tcBorders>
              <w:top w:val="single" w:color="auto" w:sz="4" w:space="0"/>
              <w:left w:val="single" w:color="auto" w:sz="4" w:space="0"/>
              <w:bottom w:val="single" w:color="auto" w:sz="4" w:space="0"/>
              <w:right w:val="single" w:color="auto" w:sz="4" w:space="0"/>
            </w:tcBorders>
          </w:tcPr>
          <w:p w14:paraId="7CC7C4FF">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新兴际华投资有限公司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16DD6C1E">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52,107,547.75</w:t>
            </w:r>
          </w:p>
        </w:tc>
        <w:tc>
          <w:tcPr>
            <w:tcW w:w="794" w:type="pct"/>
            <w:tcBorders>
              <w:top w:val="single" w:color="auto" w:sz="4" w:space="0"/>
              <w:left w:val="single" w:color="auto" w:sz="4" w:space="0"/>
              <w:bottom w:val="single" w:color="auto" w:sz="4" w:space="0"/>
              <w:right w:val="single" w:color="auto" w:sz="4" w:space="0"/>
            </w:tcBorders>
            <w:vAlign w:val="center"/>
          </w:tcPr>
          <w:p w14:paraId="47896994">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7DA432D2">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52,590,000.00</w:t>
            </w:r>
          </w:p>
        </w:tc>
        <w:tc>
          <w:tcPr>
            <w:tcW w:w="715" w:type="pct"/>
            <w:tcBorders>
              <w:top w:val="single" w:color="auto" w:sz="4" w:space="0"/>
              <w:left w:val="single" w:color="auto" w:sz="4" w:space="0"/>
              <w:bottom w:val="single" w:color="auto" w:sz="4" w:space="0"/>
              <w:right w:val="single" w:color="auto" w:sz="4" w:space="0"/>
            </w:tcBorders>
            <w:vAlign w:val="center"/>
          </w:tcPr>
          <w:p w14:paraId="1F3E9D40">
            <w:pPr>
              <w:autoSpaceDE w:val="0"/>
              <w:autoSpaceDN w:val="0"/>
              <w:adjustRightInd w:val="0"/>
              <w:jc w:val="right"/>
              <w:rPr>
                <w:rFonts w:ascii="Arial Narrow" w:hAnsi="Arial Narrow" w:eastAsiaTheme="minorEastAsia"/>
                <w:sz w:val="18"/>
                <w:szCs w:val="18"/>
              </w:rPr>
            </w:pPr>
          </w:p>
        </w:tc>
      </w:tr>
      <w:tr w14:paraId="4F00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26BD1354">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其他非流动资产</w:t>
            </w:r>
          </w:p>
        </w:tc>
        <w:tc>
          <w:tcPr>
            <w:tcW w:w="1112" w:type="pct"/>
            <w:tcBorders>
              <w:top w:val="single" w:color="auto" w:sz="4" w:space="0"/>
              <w:left w:val="single" w:color="auto" w:sz="4" w:space="0"/>
              <w:bottom w:val="single" w:color="auto" w:sz="4" w:space="0"/>
              <w:right w:val="single" w:color="auto" w:sz="4" w:space="0"/>
            </w:tcBorders>
            <w:vAlign w:val="center"/>
          </w:tcPr>
          <w:p w14:paraId="3E9B53C2">
            <w:pPr>
              <w:autoSpaceDE w:val="0"/>
              <w:autoSpaceDN w:val="0"/>
              <w:adjustRightInd w:val="0"/>
              <w:rPr>
                <w:rFonts w:ascii="Arial Narrow" w:hAnsi="Arial Narrow" w:eastAsiaTheme="minorEastAsia"/>
                <w:sz w:val="18"/>
                <w:szCs w:val="18"/>
              </w:rPr>
            </w:pPr>
          </w:p>
        </w:tc>
        <w:tc>
          <w:tcPr>
            <w:tcW w:w="874" w:type="pct"/>
            <w:tcBorders>
              <w:top w:val="single" w:color="auto" w:sz="4" w:space="0"/>
              <w:left w:val="single" w:color="auto" w:sz="4" w:space="0"/>
              <w:bottom w:val="single" w:color="auto" w:sz="4" w:space="0"/>
              <w:right w:val="single" w:color="auto" w:sz="4" w:space="0"/>
            </w:tcBorders>
            <w:vAlign w:val="center"/>
          </w:tcPr>
          <w:p w14:paraId="67E915F0">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73FB7792">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1126FEA6">
            <w:pPr>
              <w:autoSpaceDE w:val="0"/>
              <w:autoSpaceDN w:val="0"/>
              <w:adjustRightInd w:val="0"/>
              <w:jc w:val="right"/>
              <w:rPr>
                <w:rFonts w:ascii="Arial Narrow" w:hAnsi="Arial Narrow" w:eastAsiaTheme="minorEastAsia"/>
                <w:sz w:val="18"/>
                <w:szCs w:val="18"/>
              </w:rPr>
            </w:pPr>
          </w:p>
        </w:tc>
        <w:tc>
          <w:tcPr>
            <w:tcW w:w="715" w:type="pct"/>
            <w:tcBorders>
              <w:top w:val="single" w:color="auto" w:sz="4" w:space="0"/>
              <w:left w:val="single" w:color="auto" w:sz="4" w:space="0"/>
              <w:bottom w:val="single" w:color="auto" w:sz="4" w:space="0"/>
              <w:right w:val="single" w:color="auto" w:sz="4" w:space="0"/>
            </w:tcBorders>
            <w:vAlign w:val="center"/>
          </w:tcPr>
          <w:p w14:paraId="2003DB48">
            <w:pPr>
              <w:autoSpaceDE w:val="0"/>
              <w:autoSpaceDN w:val="0"/>
              <w:adjustRightInd w:val="0"/>
              <w:jc w:val="right"/>
              <w:rPr>
                <w:rFonts w:ascii="Arial Narrow" w:hAnsi="Arial Narrow" w:eastAsiaTheme="minorEastAsia"/>
                <w:sz w:val="18"/>
                <w:szCs w:val="18"/>
              </w:rPr>
            </w:pPr>
          </w:p>
        </w:tc>
      </w:tr>
      <w:tr w14:paraId="2601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tcBorders>
              <w:top w:val="single" w:color="auto" w:sz="4" w:space="0"/>
              <w:left w:val="single" w:color="auto" w:sz="4" w:space="0"/>
              <w:bottom w:val="single" w:color="auto" w:sz="4" w:space="0"/>
              <w:right w:val="single" w:color="auto" w:sz="4" w:space="0"/>
            </w:tcBorders>
            <w:vAlign w:val="center"/>
          </w:tcPr>
          <w:p w14:paraId="525B78B8">
            <w:pPr>
              <w:autoSpaceDE w:val="0"/>
              <w:autoSpaceDN w:val="0"/>
              <w:adjustRightInd w:val="0"/>
              <w:jc w:val="both"/>
              <w:rPr>
                <w:rFonts w:ascii="Arial Narrow" w:hAnsi="Arial Narrow" w:eastAsiaTheme="minorEastAsia"/>
                <w:sz w:val="18"/>
                <w:szCs w:val="18"/>
              </w:rPr>
            </w:pPr>
            <w:r>
              <w:rPr>
                <w:rFonts w:ascii="Arial Narrow" w:hAnsi="Arial Narrow" w:eastAsiaTheme="minorEastAsia"/>
                <w:color w:val="000000"/>
                <w:sz w:val="18"/>
                <w:szCs w:val="18"/>
              </w:rPr>
              <w:t>其他非流动资产</w:t>
            </w:r>
          </w:p>
        </w:tc>
        <w:tc>
          <w:tcPr>
            <w:tcW w:w="1112" w:type="pct"/>
            <w:tcBorders>
              <w:top w:val="single" w:color="auto" w:sz="4" w:space="0"/>
              <w:left w:val="single" w:color="auto" w:sz="4" w:space="0"/>
              <w:bottom w:val="single" w:color="auto" w:sz="4" w:space="0"/>
              <w:right w:val="single" w:color="auto" w:sz="4" w:space="0"/>
            </w:tcBorders>
            <w:vAlign w:val="center"/>
          </w:tcPr>
          <w:p w14:paraId="1A330090">
            <w:pPr>
              <w:autoSpaceDE w:val="0"/>
              <w:autoSpaceDN w:val="0"/>
              <w:adjustRightInd w:val="0"/>
              <w:rPr>
                <w:rFonts w:ascii="Arial Narrow" w:hAnsi="Arial Narrow" w:eastAsiaTheme="minorEastAsia"/>
                <w:sz w:val="18"/>
                <w:szCs w:val="18"/>
              </w:rPr>
            </w:pPr>
            <w:r>
              <w:rPr>
                <w:rFonts w:ascii="Arial Narrow" w:hAnsi="Arial Narrow" w:eastAsiaTheme="minorEastAsia"/>
                <w:color w:val="000000"/>
                <w:sz w:val="18"/>
                <w:szCs w:val="18"/>
              </w:rPr>
              <w:t>新兴际华资产经营管理有限公司</w:t>
            </w:r>
          </w:p>
        </w:tc>
        <w:tc>
          <w:tcPr>
            <w:tcW w:w="874" w:type="pct"/>
            <w:tcBorders>
              <w:top w:val="single" w:color="auto" w:sz="4" w:space="0"/>
              <w:left w:val="single" w:color="auto" w:sz="4" w:space="0"/>
              <w:bottom w:val="single" w:color="auto" w:sz="4" w:space="0"/>
              <w:right w:val="single" w:color="auto" w:sz="4" w:space="0"/>
            </w:tcBorders>
            <w:vAlign w:val="center"/>
          </w:tcPr>
          <w:p w14:paraId="31A9665C">
            <w:pPr>
              <w:autoSpaceDE w:val="0"/>
              <w:autoSpaceDN w:val="0"/>
              <w:adjustRightInd w:val="0"/>
              <w:jc w:val="right"/>
              <w:rPr>
                <w:rFonts w:ascii="Arial Narrow" w:hAnsi="Arial Narrow" w:eastAsiaTheme="minorEastAsia"/>
                <w:sz w:val="18"/>
                <w:szCs w:val="18"/>
              </w:rPr>
            </w:pPr>
          </w:p>
        </w:tc>
        <w:tc>
          <w:tcPr>
            <w:tcW w:w="794" w:type="pct"/>
            <w:tcBorders>
              <w:top w:val="single" w:color="auto" w:sz="4" w:space="0"/>
              <w:left w:val="single" w:color="auto" w:sz="4" w:space="0"/>
              <w:bottom w:val="single" w:color="auto" w:sz="4" w:space="0"/>
              <w:right w:val="single" w:color="auto" w:sz="4" w:space="0"/>
            </w:tcBorders>
            <w:vAlign w:val="center"/>
          </w:tcPr>
          <w:p w14:paraId="4AC8AD4A">
            <w:pPr>
              <w:autoSpaceDE w:val="0"/>
              <w:autoSpaceDN w:val="0"/>
              <w:adjustRightInd w:val="0"/>
              <w:jc w:val="right"/>
              <w:rPr>
                <w:rFonts w:ascii="Arial Narrow" w:hAnsi="Arial Narrow" w:eastAsiaTheme="minorEastAsia"/>
                <w:sz w:val="18"/>
                <w:szCs w:val="18"/>
              </w:rPr>
            </w:pPr>
          </w:p>
        </w:tc>
        <w:tc>
          <w:tcPr>
            <w:tcW w:w="873" w:type="pct"/>
            <w:tcBorders>
              <w:top w:val="single" w:color="auto" w:sz="4" w:space="0"/>
              <w:left w:val="single" w:color="auto" w:sz="4" w:space="0"/>
              <w:bottom w:val="single" w:color="auto" w:sz="4" w:space="0"/>
              <w:right w:val="single" w:color="auto" w:sz="4" w:space="0"/>
            </w:tcBorders>
            <w:vAlign w:val="center"/>
          </w:tcPr>
          <w:p w14:paraId="0FACCFDF">
            <w:pPr>
              <w:autoSpaceDE w:val="0"/>
              <w:autoSpaceDN w:val="0"/>
              <w:adjustRightInd w:val="0"/>
              <w:jc w:val="right"/>
              <w:rPr>
                <w:rFonts w:ascii="Arial Narrow" w:hAnsi="Arial Narrow" w:eastAsiaTheme="minorEastAsia"/>
                <w:sz w:val="18"/>
                <w:szCs w:val="18"/>
              </w:rPr>
            </w:pPr>
            <w:r>
              <w:rPr>
                <w:rFonts w:ascii="Arial Narrow" w:hAnsi="Arial Narrow" w:eastAsiaTheme="minorEastAsia"/>
                <w:color w:val="000000"/>
                <w:sz w:val="18"/>
                <w:szCs w:val="18"/>
              </w:rPr>
              <w:t>150,038,854.23</w:t>
            </w:r>
          </w:p>
        </w:tc>
        <w:tc>
          <w:tcPr>
            <w:tcW w:w="715" w:type="pct"/>
            <w:tcBorders>
              <w:top w:val="single" w:color="auto" w:sz="4" w:space="0"/>
              <w:left w:val="single" w:color="auto" w:sz="4" w:space="0"/>
              <w:bottom w:val="single" w:color="auto" w:sz="4" w:space="0"/>
              <w:right w:val="single" w:color="auto" w:sz="4" w:space="0"/>
            </w:tcBorders>
            <w:vAlign w:val="center"/>
          </w:tcPr>
          <w:p w14:paraId="73AF4545">
            <w:pPr>
              <w:autoSpaceDE w:val="0"/>
              <w:autoSpaceDN w:val="0"/>
              <w:adjustRightInd w:val="0"/>
              <w:jc w:val="right"/>
              <w:rPr>
                <w:rFonts w:ascii="Arial Narrow" w:hAnsi="Arial Narrow" w:eastAsiaTheme="minorEastAsia"/>
                <w:sz w:val="18"/>
                <w:szCs w:val="18"/>
              </w:rPr>
            </w:pPr>
          </w:p>
        </w:tc>
      </w:tr>
    </w:tbl>
    <w:p w14:paraId="201264EB">
      <w:pPr>
        <w:rPr>
          <w:rFonts w:hint="eastAsia"/>
        </w:rPr>
      </w:pPr>
    </w:p>
    <w:p w14:paraId="2D5992C0">
      <w:pPr>
        <w:pStyle w:val="71"/>
        <w:numPr>
          <w:ilvl w:val="3"/>
          <w:numId w:val="165"/>
        </w:numPr>
        <w:ind w:left="426" w:hanging="426" w:hangingChars="202"/>
        <w:rPr>
          <w:rFonts w:hint="eastAsia" w:ascii="宋体" w:hAnsi="宋体" w:cs="Arial"/>
          <w:szCs w:val="21"/>
        </w:rPr>
      </w:pPr>
      <w:r>
        <w:rPr>
          <w:rFonts w:hint="eastAsia"/>
        </w:rPr>
        <w:t>应付项目</w:t>
      </w:r>
    </w:p>
    <w:sdt>
      <w:sdtPr>
        <w:rPr>
          <w:rFonts w:hint="eastAsia"/>
          <w:szCs w:val="21"/>
        </w:rPr>
        <w:alias w:val="是否适用：应付项目[双击切换]"/>
        <w:tag w:val="_GBC_41bc31a1fefb4e25918c1ece7c27be62"/>
        <w:id w:val="758951072"/>
        <w:placeholder>
          <w:docPart w:val="GBC22222222222222222222222222222"/>
        </w:placeholder>
      </w:sdtPr>
      <w:sdtEndPr>
        <w:rPr>
          <w:rFonts w:hint="eastAsia"/>
          <w:szCs w:val="21"/>
        </w:rPr>
      </w:sdtEndPr>
      <w:sdtContent>
        <w:p w14:paraId="605F8EFD">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FD6570">
      <w:pPr>
        <w:jc w:val="right"/>
        <w:rPr>
          <w:rFonts w:hint="eastAsia"/>
          <w:szCs w:val="21"/>
        </w:rPr>
      </w:pPr>
      <w:r>
        <w:rPr>
          <w:rFonts w:hint="eastAsia"/>
          <w:szCs w:val="21"/>
        </w:rPr>
        <w:t>单位：</w:t>
      </w:r>
      <w:sdt>
        <w:sdtPr>
          <w:rPr>
            <w:rFonts w:hint="eastAsia"/>
            <w:szCs w:val="21"/>
          </w:rPr>
          <w:alias w:val="单位：上市公司应付关联方款项"/>
          <w:tag w:val="_GBC_dda5edeadff34e4f829b49a813d869a1"/>
          <w:id w:val="-3394639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5545959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3934"/>
        <w:gridCol w:w="1685"/>
        <w:gridCol w:w="1685"/>
      </w:tblGrid>
      <w:tr w14:paraId="4EBC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ascii="Arial Narrow" w:hAnsi="Arial Narrow" w:eastAsiaTheme="minorEastAsia"/>
            </w:rPr>
            <w:tag w:val="_PLD_e606617d378f48ec942565c9488249ee"/>
            <w:id w:val="-92325880"/>
          </w:sdtPr>
          <w:sdtEndPr>
            <w:rPr>
              <w:rFonts w:ascii="Arial Narrow" w:hAnsi="Arial Narrow" w:eastAsiaTheme="minorEastAsia"/>
            </w:rPr>
          </w:sdtEndPr>
          <w:sdtContent>
            <w:tc>
              <w:tcPr>
                <w:tcW w:w="860" w:type="pct"/>
                <w:tcBorders>
                  <w:top w:val="single" w:color="auto" w:sz="4" w:space="0"/>
                  <w:left w:val="single" w:color="auto" w:sz="4" w:space="0"/>
                  <w:right w:val="single" w:color="auto" w:sz="4" w:space="0"/>
                </w:tcBorders>
                <w:vAlign w:val="center"/>
              </w:tcPr>
              <w:p w14:paraId="41BF4E7A">
                <w:pPr>
                  <w:jc w:val="center"/>
                  <w:rPr>
                    <w:rFonts w:ascii="Arial Narrow" w:hAnsi="Arial Narrow" w:eastAsiaTheme="minorEastAsia"/>
                    <w:szCs w:val="21"/>
                  </w:rPr>
                </w:pPr>
                <w:r>
                  <w:rPr>
                    <w:rFonts w:ascii="Arial Narrow" w:hAnsi="Arial Narrow" w:eastAsiaTheme="minorEastAsia"/>
                    <w:szCs w:val="21"/>
                  </w:rPr>
                  <w:t>项目名称</w:t>
                </w:r>
              </w:p>
            </w:tc>
          </w:sdtContent>
        </w:sdt>
        <w:sdt>
          <w:sdtPr>
            <w:rPr>
              <w:rFonts w:ascii="Arial Narrow" w:hAnsi="Arial Narrow" w:eastAsiaTheme="minorEastAsia"/>
            </w:rPr>
            <w:tag w:val="_PLD_8c0f65fb9987497db9d8cb750665f14a"/>
            <w:id w:val="-519702331"/>
          </w:sdtPr>
          <w:sdtEndPr>
            <w:rPr>
              <w:rFonts w:ascii="Arial Narrow" w:hAnsi="Arial Narrow" w:eastAsiaTheme="minorEastAsia"/>
            </w:rPr>
          </w:sdtEndPr>
          <w:sdtContent>
            <w:tc>
              <w:tcPr>
                <w:tcW w:w="2229" w:type="pct"/>
                <w:tcBorders>
                  <w:top w:val="single" w:color="auto" w:sz="4" w:space="0"/>
                  <w:left w:val="single" w:color="auto" w:sz="4" w:space="0"/>
                  <w:right w:val="single" w:color="auto" w:sz="4" w:space="0"/>
                </w:tcBorders>
                <w:vAlign w:val="center"/>
              </w:tcPr>
              <w:p w14:paraId="63327BE7">
                <w:pPr>
                  <w:jc w:val="center"/>
                  <w:rPr>
                    <w:rFonts w:ascii="Arial Narrow" w:hAnsi="Arial Narrow" w:eastAsiaTheme="minorEastAsia"/>
                    <w:szCs w:val="21"/>
                  </w:rPr>
                </w:pPr>
                <w:r>
                  <w:rPr>
                    <w:rFonts w:ascii="Arial Narrow" w:hAnsi="Arial Narrow" w:eastAsiaTheme="minorEastAsia"/>
                    <w:szCs w:val="21"/>
                  </w:rPr>
                  <w:t>关联方</w:t>
                </w:r>
              </w:p>
            </w:tc>
          </w:sdtContent>
        </w:sdt>
        <w:sdt>
          <w:sdtPr>
            <w:rPr>
              <w:rFonts w:ascii="Arial Narrow" w:hAnsi="Arial Narrow" w:eastAsiaTheme="minorEastAsia"/>
            </w:rPr>
            <w:tag w:val="_PLD_6abb3a201708442494b9fede0eddf518"/>
            <w:id w:val="254639256"/>
          </w:sdtPr>
          <w:sdtEndPr>
            <w:rPr>
              <w:rFonts w:ascii="Arial Narrow" w:hAnsi="Arial Narrow" w:eastAsiaTheme="minorEastAsia"/>
            </w:rPr>
          </w:sdtEndPr>
          <w:sdtContent>
            <w:tc>
              <w:tcPr>
                <w:tcW w:w="955" w:type="pct"/>
                <w:tcBorders>
                  <w:top w:val="single" w:color="auto" w:sz="4" w:space="0"/>
                  <w:left w:val="single" w:color="auto" w:sz="4" w:space="0"/>
                  <w:bottom w:val="single" w:color="auto" w:sz="4" w:space="0"/>
                  <w:right w:val="single" w:color="auto" w:sz="4" w:space="0"/>
                </w:tcBorders>
                <w:vAlign w:val="center"/>
              </w:tcPr>
              <w:p w14:paraId="22C8481A">
                <w:pPr>
                  <w:jc w:val="center"/>
                  <w:rPr>
                    <w:rFonts w:ascii="Arial Narrow" w:hAnsi="Arial Narrow" w:eastAsiaTheme="minorEastAsia"/>
                    <w:szCs w:val="21"/>
                  </w:rPr>
                </w:pPr>
                <w:r>
                  <w:rPr>
                    <w:rFonts w:ascii="Arial Narrow" w:hAnsi="Arial Narrow" w:eastAsiaTheme="minorEastAsia"/>
                    <w:szCs w:val="21"/>
                  </w:rPr>
                  <w:t>期末账面余额</w:t>
                </w:r>
              </w:p>
            </w:tc>
          </w:sdtContent>
        </w:sdt>
        <w:sdt>
          <w:sdtPr>
            <w:rPr>
              <w:rFonts w:ascii="Arial Narrow" w:hAnsi="Arial Narrow" w:eastAsiaTheme="minorEastAsia"/>
            </w:rPr>
            <w:tag w:val="_PLD_55efe2bab54445818fecaf16ed9366f9"/>
            <w:id w:val="1097445725"/>
          </w:sdtPr>
          <w:sdtEndPr>
            <w:rPr>
              <w:rFonts w:ascii="Arial Narrow" w:hAnsi="Arial Narrow" w:eastAsiaTheme="minorEastAsia"/>
            </w:rPr>
          </w:sdtEndPr>
          <w:sdtContent>
            <w:tc>
              <w:tcPr>
                <w:tcW w:w="955" w:type="pct"/>
                <w:tcBorders>
                  <w:top w:val="single" w:color="auto" w:sz="4" w:space="0"/>
                  <w:left w:val="single" w:color="auto" w:sz="4" w:space="0"/>
                  <w:bottom w:val="single" w:color="auto" w:sz="4" w:space="0"/>
                  <w:right w:val="single" w:color="auto" w:sz="4" w:space="0"/>
                </w:tcBorders>
                <w:vAlign w:val="center"/>
              </w:tcPr>
              <w:p w14:paraId="7882D898">
                <w:pPr>
                  <w:jc w:val="center"/>
                  <w:rPr>
                    <w:rFonts w:ascii="Arial Narrow" w:hAnsi="Arial Narrow" w:eastAsiaTheme="minorEastAsia"/>
                    <w:szCs w:val="21"/>
                  </w:rPr>
                </w:pPr>
                <w:r>
                  <w:rPr>
                    <w:rFonts w:ascii="Arial Narrow" w:hAnsi="Arial Narrow" w:eastAsiaTheme="minorEastAsia"/>
                    <w:szCs w:val="21"/>
                  </w:rPr>
                  <w:t>期初账面余额</w:t>
                </w:r>
              </w:p>
            </w:tc>
          </w:sdtContent>
        </w:sdt>
      </w:tr>
      <w:tr w14:paraId="72D5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7EAF7C6">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7C302006">
            <w:pPr>
              <w:autoSpaceDE w:val="0"/>
              <w:autoSpaceDN w:val="0"/>
              <w:adjustRightInd w:val="0"/>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5D496FC1">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5511667">
            <w:pPr>
              <w:autoSpaceDE w:val="0"/>
              <w:autoSpaceDN w:val="0"/>
              <w:adjustRightInd w:val="0"/>
              <w:jc w:val="right"/>
              <w:rPr>
                <w:rFonts w:ascii="Arial Narrow" w:hAnsi="Arial Narrow" w:eastAsiaTheme="minorEastAsia"/>
                <w:szCs w:val="21"/>
              </w:rPr>
            </w:pPr>
          </w:p>
        </w:tc>
      </w:tr>
      <w:tr w14:paraId="7499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7E9F382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3D3AB18C">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新兴达美（天津）投资有限公司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0FBA1F4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13,260,789.43</w:t>
            </w:r>
          </w:p>
        </w:tc>
        <w:tc>
          <w:tcPr>
            <w:tcW w:w="955" w:type="pct"/>
            <w:tcBorders>
              <w:top w:val="single" w:color="auto" w:sz="4" w:space="0"/>
              <w:left w:val="single" w:color="auto" w:sz="4" w:space="0"/>
              <w:bottom w:val="single" w:color="auto" w:sz="4" w:space="0"/>
              <w:right w:val="single" w:color="auto" w:sz="4" w:space="0"/>
            </w:tcBorders>
            <w:vAlign w:val="center"/>
          </w:tcPr>
          <w:p w14:paraId="724FA5D6">
            <w:pPr>
              <w:autoSpaceDE w:val="0"/>
              <w:autoSpaceDN w:val="0"/>
              <w:adjustRightInd w:val="0"/>
              <w:jc w:val="right"/>
              <w:rPr>
                <w:rFonts w:ascii="Arial Narrow" w:hAnsi="Arial Narrow" w:eastAsiaTheme="minorEastAsia"/>
                <w:szCs w:val="21"/>
              </w:rPr>
            </w:pPr>
          </w:p>
        </w:tc>
      </w:tr>
      <w:tr w14:paraId="4112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022B5A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5EA0CAF9">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湖南中晟高分子新材料有限公司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9978879">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7,278,432.86</w:t>
            </w:r>
          </w:p>
        </w:tc>
        <w:tc>
          <w:tcPr>
            <w:tcW w:w="955" w:type="pct"/>
            <w:tcBorders>
              <w:top w:val="single" w:color="auto" w:sz="4" w:space="0"/>
              <w:left w:val="single" w:color="auto" w:sz="4" w:space="0"/>
              <w:bottom w:val="single" w:color="auto" w:sz="4" w:space="0"/>
              <w:right w:val="single" w:color="auto" w:sz="4" w:space="0"/>
            </w:tcBorders>
            <w:vAlign w:val="center"/>
          </w:tcPr>
          <w:p w14:paraId="255B77E1">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3,987,696.11</w:t>
            </w:r>
          </w:p>
        </w:tc>
      </w:tr>
      <w:tr w14:paraId="558A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62E5EB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3BF584ED">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4F9532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5,645,720.38</w:t>
            </w:r>
          </w:p>
        </w:tc>
        <w:tc>
          <w:tcPr>
            <w:tcW w:w="955" w:type="pct"/>
            <w:tcBorders>
              <w:top w:val="single" w:color="auto" w:sz="4" w:space="0"/>
              <w:left w:val="single" w:color="auto" w:sz="4" w:space="0"/>
              <w:bottom w:val="single" w:color="auto" w:sz="4" w:space="0"/>
              <w:right w:val="single" w:color="auto" w:sz="4" w:space="0"/>
            </w:tcBorders>
            <w:vAlign w:val="center"/>
          </w:tcPr>
          <w:p w14:paraId="7BF733C9">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6,035,487.14</w:t>
            </w:r>
          </w:p>
        </w:tc>
      </w:tr>
      <w:tr w14:paraId="624B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4A4589B">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6FE81968">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财富嘉苑（天津）置业有限公司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623A896">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5,492,141.39</w:t>
            </w:r>
          </w:p>
        </w:tc>
        <w:tc>
          <w:tcPr>
            <w:tcW w:w="955" w:type="pct"/>
            <w:tcBorders>
              <w:top w:val="single" w:color="auto" w:sz="4" w:space="0"/>
              <w:left w:val="single" w:color="auto" w:sz="4" w:space="0"/>
              <w:bottom w:val="single" w:color="auto" w:sz="4" w:space="0"/>
              <w:right w:val="single" w:color="auto" w:sz="4" w:space="0"/>
            </w:tcBorders>
            <w:vAlign w:val="center"/>
          </w:tcPr>
          <w:p w14:paraId="11075B6F">
            <w:pPr>
              <w:autoSpaceDE w:val="0"/>
              <w:autoSpaceDN w:val="0"/>
              <w:adjustRightInd w:val="0"/>
              <w:jc w:val="right"/>
              <w:rPr>
                <w:rFonts w:ascii="Arial Narrow" w:hAnsi="Arial Narrow" w:eastAsiaTheme="minorEastAsia"/>
                <w:szCs w:val="21"/>
              </w:rPr>
            </w:pPr>
          </w:p>
        </w:tc>
      </w:tr>
      <w:tr w14:paraId="3FC0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4E4D5E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59EFAED3">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南京英斯瑞德高分子材料股份有限公司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B12CAAA">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3,788,593.77</w:t>
            </w:r>
          </w:p>
        </w:tc>
        <w:tc>
          <w:tcPr>
            <w:tcW w:w="955" w:type="pct"/>
            <w:tcBorders>
              <w:top w:val="single" w:color="auto" w:sz="4" w:space="0"/>
              <w:left w:val="single" w:color="auto" w:sz="4" w:space="0"/>
              <w:bottom w:val="single" w:color="auto" w:sz="4" w:space="0"/>
              <w:right w:val="single" w:color="auto" w:sz="4" w:space="0"/>
            </w:tcBorders>
            <w:vAlign w:val="center"/>
          </w:tcPr>
          <w:p w14:paraId="7AF5B8D1">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2,587,318.10</w:t>
            </w:r>
          </w:p>
        </w:tc>
      </w:tr>
      <w:tr w14:paraId="48F8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7CCE060">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19C8A82E">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1E8B65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1,962,641.50</w:t>
            </w:r>
          </w:p>
        </w:tc>
        <w:tc>
          <w:tcPr>
            <w:tcW w:w="955" w:type="pct"/>
            <w:tcBorders>
              <w:top w:val="single" w:color="auto" w:sz="4" w:space="0"/>
              <w:left w:val="single" w:color="auto" w:sz="4" w:space="0"/>
              <w:bottom w:val="single" w:color="auto" w:sz="4" w:space="0"/>
              <w:right w:val="single" w:color="auto" w:sz="4" w:space="0"/>
            </w:tcBorders>
            <w:vAlign w:val="center"/>
          </w:tcPr>
          <w:p w14:paraId="17A8FCD5">
            <w:pPr>
              <w:autoSpaceDE w:val="0"/>
              <w:autoSpaceDN w:val="0"/>
              <w:adjustRightInd w:val="0"/>
              <w:jc w:val="right"/>
              <w:rPr>
                <w:rFonts w:ascii="Arial Narrow" w:hAnsi="Arial Narrow" w:eastAsiaTheme="minorEastAsia"/>
                <w:szCs w:val="21"/>
              </w:rPr>
            </w:pPr>
          </w:p>
        </w:tc>
      </w:tr>
      <w:tr w14:paraId="0BDA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74AA988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4FAB6B1B">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辽宁际华三五二三特种装备有限公司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7E38DDD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1,238,021.31</w:t>
            </w:r>
          </w:p>
        </w:tc>
        <w:tc>
          <w:tcPr>
            <w:tcW w:w="955" w:type="pct"/>
            <w:tcBorders>
              <w:top w:val="single" w:color="auto" w:sz="4" w:space="0"/>
              <w:left w:val="single" w:color="auto" w:sz="4" w:space="0"/>
              <w:bottom w:val="single" w:color="auto" w:sz="4" w:space="0"/>
              <w:right w:val="single" w:color="auto" w:sz="4" w:space="0"/>
            </w:tcBorders>
            <w:vAlign w:val="center"/>
          </w:tcPr>
          <w:p w14:paraId="66A2BA8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1,238,021.31</w:t>
            </w:r>
          </w:p>
        </w:tc>
      </w:tr>
      <w:tr w14:paraId="37A7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7EBC6B6">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0B3323FD">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新兴际华物业服务（北京）有限公司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3F85BA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751,354.76</w:t>
            </w:r>
          </w:p>
        </w:tc>
        <w:tc>
          <w:tcPr>
            <w:tcW w:w="955" w:type="pct"/>
            <w:tcBorders>
              <w:top w:val="single" w:color="auto" w:sz="4" w:space="0"/>
              <w:left w:val="single" w:color="auto" w:sz="4" w:space="0"/>
              <w:bottom w:val="single" w:color="auto" w:sz="4" w:space="0"/>
              <w:right w:val="single" w:color="auto" w:sz="4" w:space="0"/>
            </w:tcBorders>
            <w:vAlign w:val="center"/>
          </w:tcPr>
          <w:p w14:paraId="29E0FF18">
            <w:pPr>
              <w:autoSpaceDE w:val="0"/>
              <w:autoSpaceDN w:val="0"/>
              <w:adjustRightInd w:val="0"/>
              <w:jc w:val="right"/>
              <w:rPr>
                <w:rFonts w:ascii="Arial Narrow" w:hAnsi="Arial Narrow" w:eastAsiaTheme="minorEastAsia"/>
                <w:szCs w:val="21"/>
              </w:rPr>
            </w:pPr>
          </w:p>
        </w:tc>
      </w:tr>
      <w:tr w14:paraId="0CCA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D779D34">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10D6A35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南京新际资产运营有限公司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5442296">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659,522.82</w:t>
            </w:r>
          </w:p>
        </w:tc>
        <w:tc>
          <w:tcPr>
            <w:tcW w:w="955" w:type="pct"/>
            <w:tcBorders>
              <w:top w:val="single" w:color="auto" w:sz="4" w:space="0"/>
              <w:left w:val="single" w:color="auto" w:sz="4" w:space="0"/>
              <w:bottom w:val="single" w:color="auto" w:sz="4" w:space="0"/>
              <w:right w:val="single" w:color="auto" w:sz="4" w:space="0"/>
            </w:tcBorders>
            <w:vAlign w:val="center"/>
          </w:tcPr>
          <w:p w14:paraId="71EF84E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2,134,684.09</w:t>
            </w:r>
          </w:p>
        </w:tc>
      </w:tr>
      <w:tr w14:paraId="7ED6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3097127">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5C46AB00">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新兴际华（北京）材料技术研究院有限公司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E1B03E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451,430.00</w:t>
            </w:r>
          </w:p>
        </w:tc>
        <w:tc>
          <w:tcPr>
            <w:tcW w:w="955" w:type="pct"/>
            <w:tcBorders>
              <w:top w:val="single" w:color="auto" w:sz="4" w:space="0"/>
              <w:left w:val="single" w:color="auto" w:sz="4" w:space="0"/>
              <w:bottom w:val="single" w:color="auto" w:sz="4" w:space="0"/>
              <w:right w:val="single" w:color="auto" w:sz="4" w:space="0"/>
            </w:tcBorders>
            <w:vAlign w:val="center"/>
          </w:tcPr>
          <w:p w14:paraId="0D728EA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93,500.00</w:t>
            </w:r>
          </w:p>
        </w:tc>
      </w:tr>
      <w:tr w14:paraId="6480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46F6DD0">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11D479D7">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际华五三零三服装有限公司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F52E63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430,000.00</w:t>
            </w:r>
          </w:p>
        </w:tc>
        <w:tc>
          <w:tcPr>
            <w:tcW w:w="955" w:type="pct"/>
            <w:tcBorders>
              <w:top w:val="single" w:color="auto" w:sz="4" w:space="0"/>
              <w:left w:val="single" w:color="auto" w:sz="4" w:space="0"/>
              <w:bottom w:val="single" w:color="auto" w:sz="4" w:space="0"/>
              <w:right w:val="single" w:color="auto" w:sz="4" w:space="0"/>
            </w:tcBorders>
            <w:vAlign w:val="center"/>
          </w:tcPr>
          <w:p w14:paraId="4A561C1A">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430,000.00</w:t>
            </w:r>
          </w:p>
        </w:tc>
      </w:tr>
      <w:tr w14:paraId="2422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06A85B8">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5198B404">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6A3EE4ED">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258,345.76</w:t>
            </w:r>
          </w:p>
        </w:tc>
        <w:tc>
          <w:tcPr>
            <w:tcW w:w="955" w:type="pct"/>
            <w:tcBorders>
              <w:top w:val="single" w:color="auto" w:sz="4" w:space="0"/>
              <w:left w:val="single" w:color="auto" w:sz="4" w:space="0"/>
              <w:bottom w:val="single" w:color="auto" w:sz="4" w:space="0"/>
              <w:right w:val="single" w:color="auto" w:sz="4" w:space="0"/>
            </w:tcBorders>
            <w:vAlign w:val="center"/>
          </w:tcPr>
          <w:p w14:paraId="09E1526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258,345.76</w:t>
            </w:r>
          </w:p>
        </w:tc>
      </w:tr>
      <w:tr w14:paraId="7B2C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0AC0CF8">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737A5D1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851EA69">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140,616.42</w:t>
            </w:r>
          </w:p>
        </w:tc>
        <w:tc>
          <w:tcPr>
            <w:tcW w:w="955" w:type="pct"/>
            <w:tcBorders>
              <w:top w:val="single" w:color="auto" w:sz="4" w:space="0"/>
              <w:left w:val="single" w:color="auto" w:sz="4" w:space="0"/>
              <w:bottom w:val="single" w:color="auto" w:sz="4" w:space="0"/>
              <w:right w:val="single" w:color="auto" w:sz="4" w:space="0"/>
            </w:tcBorders>
            <w:vAlign w:val="center"/>
          </w:tcPr>
          <w:p w14:paraId="399A9AAF">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731,494.39</w:t>
            </w:r>
          </w:p>
        </w:tc>
      </w:tr>
      <w:tr w14:paraId="7F8B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555D1CD">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485E5AE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际华三五二三特种装备有限公司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66D1F096">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71,339.40</w:t>
            </w:r>
          </w:p>
        </w:tc>
        <w:tc>
          <w:tcPr>
            <w:tcW w:w="955" w:type="pct"/>
            <w:tcBorders>
              <w:top w:val="single" w:color="auto" w:sz="4" w:space="0"/>
              <w:left w:val="single" w:color="auto" w:sz="4" w:space="0"/>
              <w:bottom w:val="single" w:color="auto" w:sz="4" w:space="0"/>
              <w:right w:val="single" w:color="auto" w:sz="4" w:space="0"/>
            </w:tcBorders>
            <w:vAlign w:val="center"/>
          </w:tcPr>
          <w:p w14:paraId="1F078BD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71,339.40</w:t>
            </w:r>
          </w:p>
        </w:tc>
      </w:tr>
      <w:tr w14:paraId="62A4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375A91A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28938D9D">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新兴际华应急装备技术有限公司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FAC8BDD">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69,312.00</w:t>
            </w:r>
          </w:p>
        </w:tc>
        <w:tc>
          <w:tcPr>
            <w:tcW w:w="955" w:type="pct"/>
            <w:tcBorders>
              <w:top w:val="single" w:color="auto" w:sz="4" w:space="0"/>
              <w:left w:val="single" w:color="auto" w:sz="4" w:space="0"/>
              <w:bottom w:val="single" w:color="auto" w:sz="4" w:space="0"/>
              <w:right w:val="single" w:color="auto" w:sz="4" w:space="0"/>
            </w:tcBorders>
            <w:vAlign w:val="center"/>
          </w:tcPr>
          <w:p w14:paraId="597E703B">
            <w:pPr>
              <w:autoSpaceDE w:val="0"/>
              <w:autoSpaceDN w:val="0"/>
              <w:adjustRightInd w:val="0"/>
              <w:jc w:val="right"/>
              <w:rPr>
                <w:rFonts w:ascii="Arial Narrow" w:hAnsi="Arial Narrow" w:eastAsiaTheme="minorEastAsia"/>
                <w:szCs w:val="21"/>
              </w:rPr>
            </w:pPr>
          </w:p>
        </w:tc>
      </w:tr>
      <w:tr w14:paraId="5221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7A4A70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62A9BC92">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河北玄德智能科技发展股份有限公司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4B409E1">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50,000.00</w:t>
            </w:r>
          </w:p>
        </w:tc>
        <w:tc>
          <w:tcPr>
            <w:tcW w:w="955" w:type="pct"/>
            <w:tcBorders>
              <w:top w:val="single" w:color="auto" w:sz="4" w:space="0"/>
              <w:left w:val="single" w:color="auto" w:sz="4" w:space="0"/>
              <w:bottom w:val="single" w:color="auto" w:sz="4" w:space="0"/>
              <w:right w:val="single" w:color="auto" w:sz="4" w:space="0"/>
            </w:tcBorders>
            <w:vAlign w:val="center"/>
          </w:tcPr>
          <w:p w14:paraId="29EBB23D">
            <w:pPr>
              <w:autoSpaceDE w:val="0"/>
              <w:autoSpaceDN w:val="0"/>
              <w:adjustRightInd w:val="0"/>
              <w:jc w:val="right"/>
              <w:rPr>
                <w:rFonts w:ascii="Arial Narrow" w:hAnsi="Arial Narrow" w:eastAsiaTheme="minorEastAsia"/>
                <w:szCs w:val="21"/>
              </w:rPr>
            </w:pPr>
          </w:p>
        </w:tc>
      </w:tr>
      <w:tr w14:paraId="0D10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E70AE1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73D41A2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新兴移山（天津）重工有限公司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AFC03A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26,100.00</w:t>
            </w:r>
          </w:p>
        </w:tc>
        <w:tc>
          <w:tcPr>
            <w:tcW w:w="955" w:type="pct"/>
            <w:tcBorders>
              <w:top w:val="single" w:color="auto" w:sz="4" w:space="0"/>
              <w:left w:val="single" w:color="auto" w:sz="4" w:space="0"/>
              <w:bottom w:val="single" w:color="auto" w:sz="4" w:space="0"/>
              <w:right w:val="single" w:color="auto" w:sz="4" w:space="0"/>
            </w:tcBorders>
            <w:vAlign w:val="center"/>
          </w:tcPr>
          <w:p w14:paraId="21246A58">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26,100.00</w:t>
            </w:r>
          </w:p>
        </w:tc>
      </w:tr>
      <w:tr w14:paraId="535C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C6091E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2FCB632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济南泰山鞋厂</w:t>
            </w:r>
          </w:p>
        </w:tc>
        <w:tc>
          <w:tcPr>
            <w:tcW w:w="955" w:type="pct"/>
            <w:tcBorders>
              <w:top w:val="single" w:color="auto" w:sz="4" w:space="0"/>
              <w:left w:val="single" w:color="auto" w:sz="4" w:space="0"/>
              <w:bottom w:val="single" w:color="auto" w:sz="4" w:space="0"/>
              <w:right w:val="single" w:color="auto" w:sz="4" w:space="0"/>
            </w:tcBorders>
            <w:vAlign w:val="center"/>
          </w:tcPr>
          <w:p w14:paraId="28A6B2A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9,810.19</w:t>
            </w:r>
          </w:p>
        </w:tc>
        <w:tc>
          <w:tcPr>
            <w:tcW w:w="955" w:type="pct"/>
            <w:tcBorders>
              <w:top w:val="single" w:color="auto" w:sz="4" w:space="0"/>
              <w:left w:val="single" w:color="auto" w:sz="4" w:space="0"/>
              <w:bottom w:val="single" w:color="auto" w:sz="4" w:space="0"/>
              <w:right w:val="single" w:color="auto" w:sz="4" w:space="0"/>
            </w:tcBorders>
            <w:vAlign w:val="center"/>
          </w:tcPr>
          <w:p w14:paraId="1E202CA0">
            <w:pPr>
              <w:autoSpaceDE w:val="0"/>
              <w:autoSpaceDN w:val="0"/>
              <w:adjustRightInd w:val="0"/>
              <w:jc w:val="right"/>
              <w:rPr>
                <w:rFonts w:ascii="Arial Narrow" w:hAnsi="Arial Narrow" w:eastAsiaTheme="minorEastAsia"/>
                <w:szCs w:val="21"/>
              </w:rPr>
            </w:pPr>
          </w:p>
        </w:tc>
      </w:tr>
      <w:tr w14:paraId="2E89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5FCFDF2">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75A6F212">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际华军研（北京）特种装备科技有限公司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0A18F7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3,237.00</w:t>
            </w:r>
          </w:p>
        </w:tc>
        <w:tc>
          <w:tcPr>
            <w:tcW w:w="955" w:type="pct"/>
            <w:tcBorders>
              <w:top w:val="single" w:color="auto" w:sz="4" w:space="0"/>
              <w:left w:val="single" w:color="auto" w:sz="4" w:space="0"/>
              <w:bottom w:val="single" w:color="auto" w:sz="4" w:space="0"/>
              <w:right w:val="single" w:color="auto" w:sz="4" w:space="0"/>
            </w:tcBorders>
            <w:vAlign w:val="center"/>
          </w:tcPr>
          <w:p w14:paraId="710A2DBC">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3,237.00</w:t>
            </w:r>
          </w:p>
        </w:tc>
      </w:tr>
      <w:tr w14:paraId="5125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92D1B5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027F2FA7">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汉川际华三五零九置业有限公司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6453D8FB">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7FB801A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213,860.36</w:t>
            </w:r>
          </w:p>
        </w:tc>
      </w:tr>
      <w:tr w14:paraId="242F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2201DC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45245562">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DEC5982">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0F329FF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10,280.00</w:t>
            </w:r>
          </w:p>
        </w:tc>
      </w:tr>
      <w:tr w14:paraId="50D7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3CB7C9FC">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71CC8A8E">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南京际华五三零二科技发展有限公司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EEC6AC3">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5EC89A5F">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0.90</w:t>
            </w:r>
          </w:p>
        </w:tc>
      </w:tr>
      <w:tr w14:paraId="56C5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7CF2F2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应付账款</w:t>
            </w:r>
          </w:p>
        </w:tc>
        <w:tc>
          <w:tcPr>
            <w:tcW w:w="2229" w:type="pct"/>
            <w:tcBorders>
              <w:top w:val="single" w:color="auto" w:sz="4" w:space="0"/>
              <w:left w:val="single" w:color="auto" w:sz="4" w:space="0"/>
              <w:bottom w:val="single" w:color="auto" w:sz="4" w:space="0"/>
              <w:right w:val="single" w:color="auto" w:sz="4" w:space="0"/>
            </w:tcBorders>
          </w:tcPr>
          <w:p w14:paraId="1251E269">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天津金汇药业集团有限公司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6A67A2CB">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24DD3EF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13,725.00</w:t>
            </w:r>
          </w:p>
        </w:tc>
      </w:tr>
      <w:tr w14:paraId="52F9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3ED67D7">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应付票据</w:t>
            </w:r>
          </w:p>
        </w:tc>
        <w:tc>
          <w:tcPr>
            <w:tcW w:w="2229" w:type="pct"/>
            <w:tcBorders>
              <w:top w:val="single" w:color="auto" w:sz="4" w:space="0"/>
              <w:left w:val="single" w:color="auto" w:sz="4" w:space="0"/>
              <w:bottom w:val="single" w:color="auto" w:sz="4" w:space="0"/>
              <w:right w:val="single" w:color="auto" w:sz="4" w:space="0"/>
            </w:tcBorders>
          </w:tcPr>
          <w:p w14:paraId="45B54E7D">
            <w:pPr>
              <w:autoSpaceDE w:val="0"/>
              <w:autoSpaceDN w:val="0"/>
              <w:adjustRightInd w:val="0"/>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5790F1C4">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E97DCAB">
            <w:pPr>
              <w:autoSpaceDE w:val="0"/>
              <w:autoSpaceDN w:val="0"/>
              <w:adjustRightInd w:val="0"/>
              <w:jc w:val="right"/>
              <w:rPr>
                <w:rFonts w:ascii="Arial Narrow" w:hAnsi="Arial Narrow" w:eastAsiaTheme="minorEastAsia"/>
                <w:szCs w:val="21"/>
              </w:rPr>
            </w:pPr>
          </w:p>
        </w:tc>
      </w:tr>
      <w:tr w14:paraId="23BF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87B157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应付票据</w:t>
            </w:r>
          </w:p>
        </w:tc>
        <w:tc>
          <w:tcPr>
            <w:tcW w:w="2229" w:type="pct"/>
            <w:tcBorders>
              <w:top w:val="single" w:color="auto" w:sz="4" w:space="0"/>
              <w:left w:val="single" w:color="auto" w:sz="4" w:space="0"/>
              <w:bottom w:val="single" w:color="auto" w:sz="4" w:space="0"/>
              <w:right w:val="single" w:color="auto" w:sz="4" w:space="0"/>
            </w:tcBorders>
          </w:tcPr>
          <w:p w14:paraId="34F44F0D">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B897C1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12,470,000.00</w:t>
            </w:r>
          </w:p>
        </w:tc>
        <w:tc>
          <w:tcPr>
            <w:tcW w:w="955" w:type="pct"/>
            <w:tcBorders>
              <w:top w:val="single" w:color="auto" w:sz="4" w:space="0"/>
              <w:left w:val="single" w:color="auto" w:sz="4" w:space="0"/>
              <w:bottom w:val="single" w:color="auto" w:sz="4" w:space="0"/>
              <w:right w:val="single" w:color="auto" w:sz="4" w:space="0"/>
            </w:tcBorders>
            <w:vAlign w:val="center"/>
          </w:tcPr>
          <w:p w14:paraId="046B4EF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11,000,000.00</w:t>
            </w:r>
          </w:p>
        </w:tc>
      </w:tr>
      <w:tr w14:paraId="65C4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77ED017">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应付票据</w:t>
            </w:r>
          </w:p>
        </w:tc>
        <w:tc>
          <w:tcPr>
            <w:tcW w:w="2229" w:type="pct"/>
            <w:tcBorders>
              <w:top w:val="single" w:color="auto" w:sz="4" w:space="0"/>
              <w:left w:val="single" w:color="auto" w:sz="4" w:space="0"/>
              <w:bottom w:val="single" w:color="auto" w:sz="4" w:space="0"/>
              <w:right w:val="single" w:color="auto" w:sz="4" w:space="0"/>
            </w:tcBorders>
          </w:tcPr>
          <w:p w14:paraId="7701B049">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6D4C7A0">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7BFAF633">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200,000.00</w:t>
            </w:r>
          </w:p>
        </w:tc>
      </w:tr>
      <w:tr w14:paraId="3BFE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B843370">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09B61FDD">
            <w:pPr>
              <w:autoSpaceDE w:val="0"/>
              <w:autoSpaceDN w:val="0"/>
              <w:adjustRightInd w:val="0"/>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2AF12266">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7FC176F9">
            <w:pPr>
              <w:autoSpaceDE w:val="0"/>
              <w:autoSpaceDN w:val="0"/>
              <w:adjustRightInd w:val="0"/>
              <w:jc w:val="right"/>
              <w:rPr>
                <w:rFonts w:ascii="Arial Narrow" w:hAnsi="Arial Narrow" w:eastAsiaTheme="minorEastAsia"/>
                <w:szCs w:val="21"/>
              </w:rPr>
            </w:pPr>
          </w:p>
        </w:tc>
      </w:tr>
      <w:tr w14:paraId="4564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E150064">
            <w:pPr>
              <w:autoSpaceDE w:val="0"/>
              <w:autoSpaceDN w:val="0"/>
              <w:adjustRightInd w:val="0"/>
              <w:jc w:val="both"/>
              <w:rPr>
                <w:rFonts w:ascii="Arial Narrow" w:hAnsi="Arial Narrow" w:eastAsiaTheme="minorEastAsia"/>
                <w:szCs w:val="21"/>
                <w:highlight w:val="cyan"/>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26BCB3ED">
            <w:pPr>
              <w:autoSpaceDE w:val="0"/>
              <w:autoSpaceDN w:val="0"/>
              <w:adjustRightInd w:val="0"/>
              <w:rPr>
                <w:rFonts w:ascii="Arial Narrow" w:hAnsi="Arial Narrow" w:eastAsiaTheme="minorEastAsia"/>
                <w:szCs w:val="21"/>
                <w:highlight w:val="cyan"/>
              </w:rPr>
            </w:pPr>
            <w:r>
              <w:rPr>
                <w:rFonts w:ascii="Arial Narrow" w:hAnsi="Arial Narrow" w:eastAsiaTheme="minorEastAsia"/>
                <w:color w:val="000000"/>
                <w:szCs w:val="21"/>
              </w:rPr>
              <w:t>荷原置地控股有限公司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04F5C65">
            <w:pPr>
              <w:autoSpaceDE w:val="0"/>
              <w:autoSpaceDN w:val="0"/>
              <w:adjustRightInd w:val="0"/>
              <w:jc w:val="right"/>
              <w:rPr>
                <w:rFonts w:ascii="Arial Narrow" w:hAnsi="Arial Narrow" w:eastAsiaTheme="minorEastAsia"/>
                <w:szCs w:val="21"/>
                <w:highlight w:val="cyan"/>
              </w:rPr>
            </w:pPr>
            <w:r>
              <w:rPr>
                <w:rFonts w:ascii="Arial Narrow" w:hAnsi="Arial Narrow" w:eastAsiaTheme="minorEastAsia"/>
                <w:color w:val="000000"/>
                <w:szCs w:val="21"/>
              </w:rPr>
              <w:t>120,536,500.00</w:t>
            </w:r>
          </w:p>
        </w:tc>
        <w:tc>
          <w:tcPr>
            <w:tcW w:w="955" w:type="pct"/>
            <w:tcBorders>
              <w:top w:val="single" w:color="auto" w:sz="4" w:space="0"/>
              <w:left w:val="single" w:color="auto" w:sz="4" w:space="0"/>
              <w:bottom w:val="single" w:color="auto" w:sz="4" w:space="0"/>
              <w:right w:val="single" w:color="auto" w:sz="4" w:space="0"/>
            </w:tcBorders>
            <w:vAlign w:val="center"/>
          </w:tcPr>
          <w:p w14:paraId="6F986B9A">
            <w:pPr>
              <w:autoSpaceDE w:val="0"/>
              <w:autoSpaceDN w:val="0"/>
              <w:adjustRightInd w:val="0"/>
              <w:jc w:val="right"/>
              <w:rPr>
                <w:rFonts w:ascii="Arial Narrow" w:hAnsi="Arial Narrow" w:eastAsiaTheme="minorEastAsia"/>
                <w:szCs w:val="21"/>
                <w:highlight w:val="cyan"/>
              </w:rPr>
            </w:pPr>
          </w:p>
        </w:tc>
      </w:tr>
      <w:tr w14:paraId="523F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869FD3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25253E7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0D945C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100,643,638.62</w:t>
            </w:r>
          </w:p>
        </w:tc>
        <w:tc>
          <w:tcPr>
            <w:tcW w:w="955" w:type="pct"/>
            <w:tcBorders>
              <w:top w:val="single" w:color="auto" w:sz="4" w:space="0"/>
              <w:left w:val="single" w:color="auto" w:sz="4" w:space="0"/>
              <w:bottom w:val="single" w:color="auto" w:sz="4" w:space="0"/>
              <w:right w:val="single" w:color="auto" w:sz="4" w:space="0"/>
            </w:tcBorders>
            <w:vAlign w:val="center"/>
          </w:tcPr>
          <w:p w14:paraId="4A55A24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102,652,258.22</w:t>
            </w:r>
          </w:p>
        </w:tc>
      </w:tr>
      <w:tr w14:paraId="4BA3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39BAD50">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6654CFD2">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天津华津制药有限公司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EB58B7F">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25,971,509.03</w:t>
            </w:r>
          </w:p>
        </w:tc>
        <w:tc>
          <w:tcPr>
            <w:tcW w:w="955" w:type="pct"/>
            <w:tcBorders>
              <w:top w:val="single" w:color="auto" w:sz="4" w:space="0"/>
              <w:left w:val="single" w:color="auto" w:sz="4" w:space="0"/>
              <w:bottom w:val="single" w:color="auto" w:sz="4" w:space="0"/>
              <w:right w:val="single" w:color="auto" w:sz="4" w:space="0"/>
            </w:tcBorders>
            <w:vAlign w:val="center"/>
          </w:tcPr>
          <w:p w14:paraId="75B569AA">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25,971,509.03</w:t>
            </w:r>
          </w:p>
        </w:tc>
      </w:tr>
      <w:tr w14:paraId="75E2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E443EA1">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B2387BE">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新兴际华资产经营管理有限公司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D1B7B63">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15,468,619.15</w:t>
            </w:r>
          </w:p>
        </w:tc>
        <w:tc>
          <w:tcPr>
            <w:tcW w:w="955" w:type="pct"/>
            <w:tcBorders>
              <w:top w:val="single" w:color="auto" w:sz="4" w:space="0"/>
              <w:left w:val="single" w:color="auto" w:sz="4" w:space="0"/>
              <w:bottom w:val="single" w:color="auto" w:sz="4" w:space="0"/>
              <w:right w:val="single" w:color="auto" w:sz="4" w:space="0"/>
            </w:tcBorders>
            <w:vAlign w:val="center"/>
          </w:tcPr>
          <w:p w14:paraId="4259461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11,020,193.11</w:t>
            </w:r>
          </w:p>
        </w:tc>
      </w:tr>
      <w:tr w14:paraId="072D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3EB92B4">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F67A2C8">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武汉汉江资产运营有限公司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5DCD6F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8,939,819.27</w:t>
            </w:r>
          </w:p>
        </w:tc>
        <w:tc>
          <w:tcPr>
            <w:tcW w:w="955" w:type="pct"/>
            <w:tcBorders>
              <w:top w:val="single" w:color="auto" w:sz="4" w:space="0"/>
              <w:left w:val="single" w:color="auto" w:sz="4" w:space="0"/>
              <w:bottom w:val="single" w:color="auto" w:sz="4" w:space="0"/>
              <w:right w:val="single" w:color="auto" w:sz="4" w:space="0"/>
            </w:tcBorders>
            <w:vAlign w:val="center"/>
          </w:tcPr>
          <w:p w14:paraId="44302CA1">
            <w:pPr>
              <w:autoSpaceDE w:val="0"/>
              <w:autoSpaceDN w:val="0"/>
              <w:adjustRightInd w:val="0"/>
              <w:jc w:val="right"/>
              <w:rPr>
                <w:rFonts w:ascii="Arial Narrow" w:hAnsi="Arial Narrow" w:eastAsiaTheme="minorEastAsia"/>
                <w:szCs w:val="21"/>
              </w:rPr>
            </w:pPr>
          </w:p>
        </w:tc>
      </w:tr>
      <w:tr w14:paraId="7AA7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57F48D4">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5F19DE02">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咸阳际华投资发展有限公司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7E66C94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8,013,656.19</w:t>
            </w:r>
          </w:p>
        </w:tc>
        <w:tc>
          <w:tcPr>
            <w:tcW w:w="955" w:type="pct"/>
            <w:tcBorders>
              <w:top w:val="single" w:color="auto" w:sz="4" w:space="0"/>
              <w:left w:val="single" w:color="auto" w:sz="4" w:space="0"/>
              <w:bottom w:val="single" w:color="auto" w:sz="4" w:space="0"/>
              <w:right w:val="single" w:color="auto" w:sz="4" w:space="0"/>
            </w:tcBorders>
            <w:vAlign w:val="center"/>
          </w:tcPr>
          <w:p w14:paraId="48442E0A">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7,063,819.55</w:t>
            </w:r>
          </w:p>
        </w:tc>
      </w:tr>
      <w:tr w14:paraId="11F9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746B7940">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5A1777C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新兴重工集团有限公司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15AB39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650,000.00</w:t>
            </w:r>
          </w:p>
        </w:tc>
        <w:tc>
          <w:tcPr>
            <w:tcW w:w="955" w:type="pct"/>
            <w:tcBorders>
              <w:top w:val="single" w:color="auto" w:sz="4" w:space="0"/>
              <w:left w:val="single" w:color="auto" w:sz="4" w:space="0"/>
              <w:bottom w:val="single" w:color="auto" w:sz="4" w:space="0"/>
              <w:right w:val="single" w:color="auto" w:sz="4" w:space="0"/>
            </w:tcBorders>
            <w:vAlign w:val="center"/>
          </w:tcPr>
          <w:p w14:paraId="1FA82E0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650,000.00</w:t>
            </w:r>
          </w:p>
        </w:tc>
      </w:tr>
      <w:tr w14:paraId="5C9D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D74C3C3">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386E19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88917DA">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565,946.87</w:t>
            </w:r>
          </w:p>
        </w:tc>
        <w:tc>
          <w:tcPr>
            <w:tcW w:w="955" w:type="pct"/>
            <w:tcBorders>
              <w:top w:val="single" w:color="auto" w:sz="4" w:space="0"/>
              <w:left w:val="single" w:color="auto" w:sz="4" w:space="0"/>
              <w:bottom w:val="single" w:color="auto" w:sz="4" w:space="0"/>
              <w:right w:val="single" w:color="auto" w:sz="4" w:space="0"/>
            </w:tcBorders>
            <w:vAlign w:val="center"/>
          </w:tcPr>
          <w:p w14:paraId="5E64D073">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462,944.10</w:t>
            </w:r>
          </w:p>
        </w:tc>
      </w:tr>
      <w:tr w14:paraId="6985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26F00FAF">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62967999">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秦皇岛际华三五四四鞋业有限公司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1C3D84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260,761.00</w:t>
            </w:r>
          </w:p>
        </w:tc>
        <w:tc>
          <w:tcPr>
            <w:tcW w:w="955" w:type="pct"/>
            <w:tcBorders>
              <w:top w:val="single" w:color="auto" w:sz="4" w:space="0"/>
              <w:left w:val="single" w:color="auto" w:sz="4" w:space="0"/>
              <w:bottom w:val="single" w:color="auto" w:sz="4" w:space="0"/>
              <w:right w:val="single" w:color="auto" w:sz="4" w:space="0"/>
            </w:tcBorders>
            <w:vAlign w:val="center"/>
          </w:tcPr>
          <w:p w14:paraId="114D9CCD">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260,761.00</w:t>
            </w:r>
          </w:p>
        </w:tc>
      </w:tr>
      <w:tr w14:paraId="3AEB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321CD524">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17298C24">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济南泰山鞋厂</w:t>
            </w:r>
          </w:p>
        </w:tc>
        <w:tc>
          <w:tcPr>
            <w:tcW w:w="955" w:type="pct"/>
            <w:tcBorders>
              <w:top w:val="single" w:color="auto" w:sz="4" w:space="0"/>
              <w:left w:val="single" w:color="auto" w:sz="4" w:space="0"/>
              <w:bottom w:val="single" w:color="auto" w:sz="4" w:space="0"/>
              <w:right w:val="single" w:color="auto" w:sz="4" w:space="0"/>
            </w:tcBorders>
            <w:vAlign w:val="center"/>
          </w:tcPr>
          <w:p w14:paraId="2FF1EE3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160,000.00</w:t>
            </w:r>
          </w:p>
        </w:tc>
        <w:tc>
          <w:tcPr>
            <w:tcW w:w="955" w:type="pct"/>
            <w:tcBorders>
              <w:top w:val="single" w:color="auto" w:sz="4" w:space="0"/>
              <w:left w:val="single" w:color="auto" w:sz="4" w:space="0"/>
              <w:bottom w:val="single" w:color="auto" w:sz="4" w:space="0"/>
              <w:right w:val="single" w:color="auto" w:sz="4" w:space="0"/>
            </w:tcBorders>
            <w:vAlign w:val="center"/>
          </w:tcPr>
          <w:p w14:paraId="6F4B683F">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160,000.00</w:t>
            </w:r>
          </w:p>
        </w:tc>
      </w:tr>
      <w:tr w14:paraId="6899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DA95123">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139A9644">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南京际华五三零二科技发展有限公司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C836D9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85,714.26</w:t>
            </w:r>
          </w:p>
        </w:tc>
        <w:tc>
          <w:tcPr>
            <w:tcW w:w="955" w:type="pct"/>
            <w:tcBorders>
              <w:top w:val="single" w:color="auto" w:sz="4" w:space="0"/>
              <w:left w:val="single" w:color="auto" w:sz="4" w:space="0"/>
              <w:bottom w:val="single" w:color="auto" w:sz="4" w:space="0"/>
              <w:right w:val="single" w:color="auto" w:sz="4" w:space="0"/>
            </w:tcBorders>
            <w:vAlign w:val="center"/>
          </w:tcPr>
          <w:p w14:paraId="490F3CBA">
            <w:pPr>
              <w:autoSpaceDE w:val="0"/>
              <w:autoSpaceDN w:val="0"/>
              <w:adjustRightInd w:val="0"/>
              <w:jc w:val="right"/>
              <w:rPr>
                <w:rFonts w:ascii="Arial Narrow" w:hAnsi="Arial Narrow" w:eastAsiaTheme="minorEastAsia"/>
                <w:szCs w:val="21"/>
              </w:rPr>
            </w:pPr>
          </w:p>
        </w:tc>
      </w:tr>
      <w:tr w14:paraId="1257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2ABB551">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057D856">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新兴铸管股份有限公司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75135B5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57,245.84</w:t>
            </w:r>
          </w:p>
        </w:tc>
        <w:tc>
          <w:tcPr>
            <w:tcW w:w="955" w:type="pct"/>
            <w:tcBorders>
              <w:top w:val="single" w:color="auto" w:sz="4" w:space="0"/>
              <w:left w:val="single" w:color="auto" w:sz="4" w:space="0"/>
              <w:bottom w:val="single" w:color="auto" w:sz="4" w:space="0"/>
              <w:right w:val="single" w:color="auto" w:sz="4" w:space="0"/>
            </w:tcBorders>
            <w:vAlign w:val="center"/>
          </w:tcPr>
          <w:p w14:paraId="02A5165F">
            <w:pPr>
              <w:autoSpaceDE w:val="0"/>
              <w:autoSpaceDN w:val="0"/>
              <w:adjustRightInd w:val="0"/>
              <w:jc w:val="right"/>
              <w:rPr>
                <w:rFonts w:ascii="Arial Narrow" w:hAnsi="Arial Narrow" w:eastAsiaTheme="minorEastAsia"/>
                <w:szCs w:val="21"/>
              </w:rPr>
            </w:pPr>
          </w:p>
        </w:tc>
      </w:tr>
      <w:tr w14:paraId="50C3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F387847">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446B1EB3">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贵州际华三五三五商贸有限公司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C8589E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41,323.94</w:t>
            </w:r>
          </w:p>
        </w:tc>
        <w:tc>
          <w:tcPr>
            <w:tcW w:w="955" w:type="pct"/>
            <w:tcBorders>
              <w:top w:val="single" w:color="auto" w:sz="4" w:space="0"/>
              <w:left w:val="single" w:color="auto" w:sz="4" w:space="0"/>
              <w:bottom w:val="single" w:color="auto" w:sz="4" w:space="0"/>
              <w:right w:val="single" w:color="auto" w:sz="4" w:space="0"/>
            </w:tcBorders>
            <w:vAlign w:val="center"/>
          </w:tcPr>
          <w:p w14:paraId="0A072FD8">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41,323.94</w:t>
            </w:r>
          </w:p>
        </w:tc>
      </w:tr>
      <w:tr w14:paraId="76DE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8BAF19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66D393A9">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新兴际华伊犁农牧科技发展有限公司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5DD497C1">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18,732.00</w:t>
            </w:r>
          </w:p>
        </w:tc>
        <w:tc>
          <w:tcPr>
            <w:tcW w:w="955" w:type="pct"/>
            <w:tcBorders>
              <w:top w:val="single" w:color="auto" w:sz="4" w:space="0"/>
              <w:left w:val="single" w:color="auto" w:sz="4" w:space="0"/>
              <w:bottom w:val="single" w:color="auto" w:sz="4" w:space="0"/>
              <w:right w:val="single" w:color="auto" w:sz="4" w:space="0"/>
            </w:tcBorders>
            <w:vAlign w:val="center"/>
          </w:tcPr>
          <w:p w14:paraId="3FCEAD6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18,732.00</w:t>
            </w:r>
          </w:p>
        </w:tc>
      </w:tr>
      <w:tr w14:paraId="2B4B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799BA4D">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3F8D021A">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新兴际华检验检测（北京）有限公司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F96690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8,515.50</w:t>
            </w:r>
          </w:p>
        </w:tc>
        <w:tc>
          <w:tcPr>
            <w:tcW w:w="955" w:type="pct"/>
            <w:tcBorders>
              <w:top w:val="single" w:color="auto" w:sz="4" w:space="0"/>
              <w:left w:val="single" w:color="auto" w:sz="4" w:space="0"/>
              <w:bottom w:val="single" w:color="auto" w:sz="4" w:space="0"/>
              <w:right w:val="single" w:color="auto" w:sz="4" w:space="0"/>
            </w:tcBorders>
            <w:vAlign w:val="center"/>
          </w:tcPr>
          <w:p w14:paraId="6847F341">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5,880.00</w:t>
            </w:r>
          </w:p>
        </w:tc>
      </w:tr>
      <w:tr w14:paraId="15EE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A59A607">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C432338">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上海际华物流有限公司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6AB22E4">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1,500.00</w:t>
            </w:r>
          </w:p>
        </w:tc>
        <w:tc>
          <w:tcPr>
            <w:tcW w:w="955" w:type="pct"/>
            <w:tcBorders>
              <w:top w:val="single" w:color="auto" w:sz="4" w:space="0"/>
              <w:left w:val="single" w:color="auto" w:sz="4" w:space="0"/>
              <w:bottom w:val="single" w:color="auto" w:sz="4" w:space="0"/>
              <w:right w:val="single" w:color="auto" w:sz="4" w:space="0"/>
            </w:tcBorders>
            <w:vAlign w:val="center"/>
          </w:tcPr>
          <w:p w14:paraId="5E664EEE">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1,500.00</w:t>
            </w:r>
          </w:p>
        </w:tc>
      </w:tr>
      <w:tr w14:paraId="0C91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AEB431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E79E25B">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石家庄际华资产管理有限公司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4EDB9D1">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4EFE4B09">
            <w:pPr>
              <w:autoSpaceDE w:val="0"/>
              <w:autoSpaceDN w:val="0"/>
              <w:adjustRightInd w:val="0"/>
              <w:jc w:val="right"/>
              <w:rPr>
                <w:rFonts w:ascii="Arial Narrow" w:hAnsi="Arial Narrow" w:eastAsiaTheme="minorEastAsia"/>
                <w:szCs w:val="21"/>
              </w:rPr>
            </w:pPr>
          </w:p>
        </w:tc>
      </w:tr>
      <w:tr w14:paraId="199C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3774679">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51D764A0">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际华三五二三特种装备有限公司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F3C31B4">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534BAF97">
            <w:pPr>
              <w:autoSpaceDE w:val="0"/>
              <w:autoSpaceDN w:val="0"/>
              <w:adjustRightInd w:val="0"/>
              <w:jc w:val="right"/>
              <w:rPr>
                <w:rFonts w:ascii="Arial Narrow" w:hAnsi="Arial Narrow" w:eastAsiaTheme="minorEastAsia"/>
                <w:szCs w:val="21"/>
              </w:rPr>
            </w:pPr>
          </w:p>
        </w:tc>
      </w:tr>
      <w:tr w14:paraId="12AA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12E8B5C9">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0492AE53">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新兴际华（上海）工程科技研究院有限公司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0A365283">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108337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901,980.36</w:t>
            </w:r>
          </w:p>
        </w:tc>
      </w:tr>
      <w:tr w14:paraId="34BF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31A4007C">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其他应付款</w:t>
            </w:r>
          </w:p>
        </w:tc>
        <w:tc>
          <w:tcPr>
            <w:tcW w:w="2229" w:type="pct"/>
            <w:tcBorders>
              <w:top w:val="single" w:color="auto" w:sz="4" w:space="0"/>
              <w:left w:val="single" w:color="auto" w:sz="4" w:space="0"/>
              <w:bottom w:val="single" w:color="auto" w:sz="4" w:space="0"/>
              <w:right w:val="single" w:color="auto" w:sz="4" w:space="0"/>
            </w:tcBorders>
          </w:tcPr>
          <w:p w14:paraId="7BB35615">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新兴际华物业服务（北京）有限公司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29FA56F2">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03E64A6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247,307.34</w:t>
            </w:r>
          </w:p>
        </w:tc>
      </w:tr>
      <w:tr w14:paraId="2455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419F1DC6">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10461F55">
            <w:pPr>
              <w:autoSpaceDE w:val="0"/>
              <w:autoSpaceDN w:val="0"/>
              <w:adjustRightInd w:val="0"/>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D2CB0A8">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6820062">
            <w:pPr>
              <w:autoSpaceDE w:val="0"/>
              <w:autoSpaceDN w:val="0"/>
              <w:adjustRightInd w:val="0"/>
              <w:jc w:val="right"/>
              <w:rPr>
                <w:rFonts w:ascii="Arial Narrow" w:hAnsi="Arial Narrow" w:eastAsiaTheme="minorEastAsia"/>
                <w:szCs w:val="21"/>
              </w:rPr>
            </w:pPr>
          </w:p>
        </w:tc>
      </w:tr>
      <w:tr w14:paraId="5D0C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05774CD3">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4CCAE37D">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新兴铸管股份有限公司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E860C0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0.19</w:t>
            </w:r>
          </w:p>
        </w:tc>
        <w:tc>
          <w:tcPr>
            <w:tcW w:w="955" w:type="pct"/>
            <w:tcBorders>
              <w:top w:val="single" w:color="auto" w:sz="4" w:space="0"/>
              <w:left w:val="single" w:color="auto" w:sz="4" w:space="0"/>
              <w:bottom w:val="single" w:color="auto" w:sz="4" w:space="0"/>
              <w:right w:val="single" w:color="auto" w:sz="4" w:space="0"/>
            </w:tcBorders>
            <w:vAlign w:val="center"/>
          </w:tcPr>
          <w:p w14:paraId="1788255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0.39</w:t>
            </w:r>
          </w:p>
        </w:tc>
      </w:tr>
      <w:tr w14:paraId="3787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3738883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0ECF88D8">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新兴铸管国际发展有限公司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4AC18389">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1.00</w:t>
            </w:r>
          </w:p>
        </w:tc>
        <w:tc>
          <w:tcPr>
            <w:tcW w:w="955" w:type="pct"/>
            <w:tcBorders>
              <w:top w:val="single" w:color="auto" w:sz="4" w:space="0"/>
              <w:left w:val="single" w:color="auto" w:sz="4" w:space="0"/>
              <w:bottom w:val="single" w:color="auto" w:sz="4" w:space="0"/>
              <w:right w:val="single" w:color="auto" w:sz="4" w:space="0"/>
            </w:tcBorders>
            <w:vAlign w:val="center"/>
          </w:tcPr>
          <w:p w14:paraId="7CDFFA0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1.00</w:t>
            </w:r>
          </w:p>
        </w:tc>
      </w:tr>
      <w:tr w14:paraId="79E8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73D7C75A">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3807CA5F">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陕西际华园开发建设有限公司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DEB6FF6">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156,800.00</w:t>
            </w:r>
          </w:p>
        </w:tc>
        <w:tc>
          <w:tcPr>
            <w:tcW w:w="955" w:type="pct"/>
            <w:tcBorders>
              <w:top w:val="single" w:color="auto" w:sz="4" w:space="0"/>
              <w:left w:val="single" w:color="auto" w:sz="4" w:space="0"/>
              <w:bottom w:val="single" w:color="auto" w:sz="4" w:space="0"/>
              <w:right w:val="single" w:color="auto" w:sz="4" w:space="0"/>
            </w:tcBorders>
            <w:vAlign w:val="center"/>
          </w:tcPr>
          <w:p w14:paraId="6C32F4D9">
            <w:pPr>
              <w:autoSpaceDE w:val="0"/>
              <w:autoSpaceDN w:val="0"/>
              <w:adjustRightInd w:val="0"/>
              <w:jc w:val="right"/>
              <w:rPr>
                <w:rFonts w:ascii="Arial Narrow" w:hAnsi="Arial Narrow" w:eastAsiaTheme="minorEastAsia"/>
                <w:szCs w:val="21"/>
              </w:rPr>
            </w:pPr>
          </w:p>
        </w:tc>
      </w:tr>
      <w:tr w14:paraId="4276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A97CEB9">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0CE26CCC">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新兴铸管（上海）金属资源有限公司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65747C9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440.00</w:t>
            </w:r>
          </w:p>
        </w:tc>
        <w:tc>
          <w:tcPr>
            <w:tcW w:w="955" w:type="pct"/>
            <w:tcBorders>
              <w:top w:val="single" w:color="auto" w:sz="4" w:space="0"/>
              <w:left w:val="single" w:color="auto" w:sz="4" w:space="0"/>
              <w:bottom w:val="single" w:color="auto" w:sz="4" w:space="0"/>
              <w:right w:val="single" w:color="auto" w:sz="4" w:space="0"/>
            </w:tcBorders>
            <w:vAlign w:val="center"/>
          </w:tcPr>
          <w:p w14:paraId="40DB91D4">
            <w:pPr>
              <w:autoSpaceDE w:val="0"/>
              <w:autoSpaceDN w:val="0"/>
              <w:adjustRightInd w:val="0"/>
              <w:jc w:val="right"/>
              <w:rPr>
                <w:rFonts w:ascii="Arial Narrow" w:hAnsi="Arial Narrow" w:eastAsiaTheme="minorEastAsia"/>
                <w:szCs w:val="21"/>
              </w:rPr>
            </w:pPr>
          </w:p>
        </w:tc>
      </w:tr>
      <w:tr w14:paraId="4C61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5059F5F2">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263D1670">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荷原商业管理（北京）有限公司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10929225">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25,790.00</w:t>
            </w:r>
          </w:p>
        </w:tc>
        <w:tc>
          <w:tcPr>
            <w:tcW w:w="955" w:type="pct"/>
            <w:tcBorders>
              <w:top w:val="single" w:color="auto" w:sz="4" w:space="0"/>
              <w:left w:val="single" w:color="auto" w:sz="4" w:space="0"/>
              <w:bottom w:val="single" w:color="auto" w:sz="4" w:space="0"/>
              <w:right w:val="single" w:color="auto" w:sz="4" w:space="0"/>
            </w:tcBorders>
            <w:vAlign w:val="center"/>
          </w:tcPr>
          <w:p w14:paraId="61FD458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25,790.00</w:t>
            </w:r>
          </w:p>
        </w:tc>
      </w:tr>
      <w:tr w14:paraId="0C3F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07CAF4E">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预收款项</w:t>
            </w:r>
          </w:p>
        </w:tc>
        <w:tc>
          <w:tcPr>
            <w:tcW w:w="2229" w:type="pct"/>
            <w:tcBorders>
              <w:top w:val="single" w:color="auto" w:sz="4" w:space="0"/>
              <w:left w:val="single" w:color="auto" w:sz="4" w:space="0"/>
              <w:bottom w:val="single" w:color="auto" w:sz="4" w:space="0"/>
              <w:right w:val="single" w:color="auto" w:sz="4" w:space="0"/>
            </w:tcBorders>
          </w:tcPr>
          <w:p w14:paraId="2A5E2711">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新兴际华物业服务（北京）有限公司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790D87F2">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28,700.00</w:t>
            </w:r>
          </w:p>
        </w:tc>
        <w:tc>
          <w:tcPr>
            <w:tcW w:w="955" w:type="pct"/>
            <w:tcBorders>
              <w:top w:val="single" w:color="auto" w:sz="4" w:space="0"/>
              <w:left w:val="single" w:color="auto" w:sz="4" w:space="0"/>
              <w:bottom w:val="single" w:color="auto" w:sz="4" w:space="0"/>
              <w:right w:val="single" w:color="auto" w:sz="4" w:space="0"/>
            </w:tcBorders>
            <w:vAlign w:val="center"/>
          </w:tcPr>
          <w:p w14:paraId="172547C7">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28,700.00</w:t>
            </w:r>
          </w:p>
        </w:tc>
      </w:tr>
      <w:tr w14:paraId="5A11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73F92803">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其他流动负债</w:t>
            </w:r>
          </w:p>
        </w:tc>
        <w:tc>
          <w:tcPr>
            <w:tcW w:w="2229" w:type="pct"/>
            <w:tcBorders>
              <w:top w:val="single" w:color="auto" w:sz="4" w:space="0"/>
              <w:left w:val="single" w:color="auto" w:sz="4" w:space="0"/>
              <w:bottom w:val="single" w:color="auto" w:sz="4" w:space="0"/>
              <w:right w:val="single" w:color="auto" w:sz="4" w:space="0"/>
            </w:tcBorders>
          </w:tcPr>
          <w:p w14:paraId="3880ED35">
            <w:pPr>
              <w:autoSpaceDE w:val="0"/>
              <w:autoSpaceDN w:val="0"/>
              <w:adjustRightInd w:val="0"/>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4518D64E">
            <w:pPr>
              <w:autoSpaceDE w:val="0"/>
              <w:autoSpaceDN w:val="0"/>
              <w:adjustRightInd w:val="0"/>
              <w:jc w:val="right"/>
              <w:rPr>
                <w:rFonts w:ascii="Arial Narrow" w:hAnsi="Arial Narrow" w:eastAsiaTheme="minorEastAsia"/>
                <w:szCs w:val="21"/>
              </w:rPr>
            </w:pPr>
          </w:p>
        </w:tc>
        <w:tc>
          <w:tcPr>
            <w:tcW w:w="955" w:type="pct"/>
            <w:tcBorders>
              <w:top w:val="single" w:color="auto" w:sz="4" w:space="0"/>
              <w:left w:val="single" w:color="auto" w:sz="4" w:space="0"/>
              <w:bottom w:val="single" w:color="auto" w:sz="4" w:space="0"/>
              <w:right w:val="single" w:color="auto" w:sz="4" w:space="0"/>
            </w:tcBorders>
            <w:vAlign w:val="center"/>
          </w:tcPr>
          <w:p w14:paraId="64E2562F">
            <w:pPr>
              <w:autoSpaceDE w:val="0"/>
              <w:autoSpaceDN w:val="0"/>
              <w:adjustRightInd w:val="0"/>
              <w:jc w:val="right"/>
              <w:rPr>
                <w:rFonts w:ascii="Arial Narrow" w:hAnsi="Arial Narrow" w:eastAsiaTheme="minorEastAsia"/>
                <w:szCs w:val="21"/>
              </w:rPr>
            </w:pPr>
          </w:p>
        </w:tc>
      </w:tr>
      <w:tr w14:paraId="241A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pct"/>
            <w:tcBorders>
              <w:top w:val="single" w:color="auto" w:sz="4" w:space="0"/>
              <w:left w:val="single" w:color="auto" w:sz="4" w:space="0"/>
              <w:bottom w:val="single" w:color="auto" w:sz="4" w:space="0"/>
              <w:right w:val="single" w:color="auto" w:sz="4" w:space="0"/>
            </w:tcBorders>
            <w:vAlign w:val="center"/>
          </w:tcPr>
          <w:p w14:paraId="62CACAC2">
            <w:pPr>
              <w:autoSpaceDE w:val="0"/>
              <w:autoSpaceDN w:val="0"/>
              <w:adjustRightInd w:val="0"/>
              <w:jc w:val="both"/>
              <w:rPr>
                <w:rFonts w:ascii="Arial Narrow" w:hAnsi="Arial Narrow" w:eastAsiaTheme="minorEastAsia"/>
                <w:szCs w:val="21"/>
              </w:rPr>
            </w:pPr>
            <w:r>
              <w:rPr>
                <w:rFonts w:ascii="Arial Narrow" w:hAnsi="Arial Narrow" w:eastAsiaTheme="minorEastAsia"/>
                <w:color w:val="000000"/>
                <w:szCs w:val="21"/>
              </w:rPr>
              <w:t>其他流动负债</w:t>
            </w:r>
          </w:p>
        </w:tc>
        <w:tc>
          <w:tcPr>
            <w:tcW w:w="2229" w:type="pct"/>
            <w:tcBorders>
              <w:top w:val="single" w:color="auto" w:sz="4" w:space="0"/>
              <w:left w:val="single" w:color="auto" w:sz="4" w:space="0"/>
              <w:bottom w:val="single" w:color="auto" w:sz="4" w:space="0"/>
              <w:right w:val="single" w:color="auto" w:sz="4" w:space="0"/>
            </w:tcBorders>
          </w:tcPr>
          <w:p w14:paraId="18D16266">
            <w:pPr>
              <w:autoSpaceDE w:val="0"/>
              <w:autoSpaceDN w:val="0"/>
              <w:adjustRightInd w:val="0"/>
              <w:rPr>
                <w:rFonts w:ascii="Arial Narrow" w:hAnsi="Arial Narrow" w:eastAsiaTheme="minorEastAsia"/>
                <w:szCs w:val="21"/>
              </w:rPr>
            </w:pPr>
            <w:r>
              <w:rPr>
                <w:rFonts w:ascii="Arial Narrow" w:hAnsi="Arial Narrow" w:eastAsiaTheme="minorEastAsia"/>
                <w:color w:val="000000"/>
                <w:szCs w:val="21"/>
              </w:rPr>
              <w:t>新兴际华集团有限公司</w:t>
            </w:r>
          </w:p>
        </w:tc>
        <w:tc>
          <w:tcPr>
            <w:tcW w:w="955" w:type="pct"/>
            <w:tcBorders>
              <w:top w:val="single" w:color="auto" w:sz="4" w:space="0"/>
              <w:left w:val="single" w:color="auto" w:sz="4" w:space="0"/>
              <w:bottom w:val="single" w:color="auto" w:sz="4" w:space="0"/>
              <w:right w:val="single" w:color="auto" w:sz="4" w:space="0"/>
            </w:tcBorders>
            <w:vAlign w:val="center"/>
          </w:tcPr>
          <w:p w14:paraId="33B8A870">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215,000,000.00</w:t>
            </w:r>
          </w:p>
        </w:tc>
        <w:tc>
          <w:tcPr>
            <w:tcW w:w="955" w:type="pct"/>
            <w:tcBorders>
              <w:top w:val="single" w:color="auto" w:sz="4" w:space="0"/>
              <w:left w:val="single" w:color="auto" w:sz="4" w:space="0"/>
              <w:bottom w:val="single" w:color="auto" w:sz="4" w:space="0"/>
              <w:right w:val="single" w:color="auto" w:sz="4" w:space="0"/>
            </w:tcBorders>
            <w:vAlign w:val="center"/>
          </w:tcPr>
          <w:p w14:paraId="4E22B22B">
            <w:pPr>
              <w:autoSpaceDE w:val="0"/>
              <w:autoSpaceDN w:val="0"/>
              <w:adjustRightInd w:val="0"/>
              <w:jc w:val="right"/>
              <w:rPr>
                <w:rFonts w:ascii="Arial Narrow" w:hAnsi="Arial Narrow" w:eastAsiaTheme="minorEastAsia"/>
                <w:szCs w:val="21"/>
              </w:rPr>
            </w:pPr>
            <w:r>
              <w:rPr>
                <w:rFonts w:ascii="Arial Narrow" w:hAnsi="Arial Narrow" w:eastAsiaTheme="minorEastAsia"/>
                <w:color w:val="000000"/>
                <w:szCs w:val="21"/>
              </w:rPr>
              <w:t>35,000,000.00</w:t>
            </w:r>
          </w:p>
        </w:tc>
      </w:tr>
    </w:tbl>
    <w:p w14:paraId="14B94CB8">
      <w:pPr>
        <w:rPr>
          <w:rFonts w:hint="eastAsia"/>
        </w:rPr>
      </w:pPr>
    </w:p>
    <w:p w14:paraId="2369F351">
      <w:pPr>
        <w:pStyle w:val="71"/>
        <w:numPr>
          <w:ilvl w:val="3"/>
          <w:numId w:val="165"/>
        </w:numPr>
        <w:ind w:left="426" w:hanging="426" w:hangingChars="202"/>
        <w:rPr>
          <w:rFonts w:hint="eastAsia" w:ascii="宋体" w:hAnsi="宋体" w:cs="Arial"/>
          <w:szCs w:val="21"/>
        </w:rPr>
      </w:pPr>
      <w:r>
        <w:rPr>
          <w:rFonts w:hint="eastAsia"/>
        </w:rPr>
        <w:t>其他项目</w:t>
      </w:r>
    </w:p>
    <w:sdt>
      <w:sdtPr>
        <w:rPr>
          <w:szCs w:val="21"/>
        </w:rPr>
        <w:alias w:val="是否适用：关联方其他未结算项目情况[双击切换]"/>
        <w:tag w:val="_GBC_61142f5ee3c54a58901e03781b59f5db"/>
        <w:id w:val="-759375802"/>
        <w:placeholder>
          <w:docPart w:val="GBC22222222222222222222222222222"/>
        </w:placeholder>
      </w:sdtPr>
      <w:sdtEndPr>
        <w:rPr>
          <w:szCs w:val="21"/>
        </w:rPr>
      </w:sdtEndPr>
      <w:sdtContent>
        <w:p w14:paraId="526CD04C">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22A8682">
      <w:pPr>
        <w:rPr>
          <w:rFonts w:hint="eastAsia" w:ascii="仿宋_GB2312" w:eastAsia="仿宋_GB2312"/>
          <w:szCs w:val="21"/>
        </w:rPr>
      </w:pPr>
    </w:p>
    <w:p w14:paraId="337FE354">
      <w:pPr>
        <w:pStyle w:val="70"/>
        <w:numPr>
          <w:ilvl w:val="0"/>
          <w:numId w:val="163"/>
        </w:numPr>
      </w:pPr>
      <w:r>
        <w:rPr>
          <w:rFonts w:hint="eastAsia"/>
        </w:rPr>
        <w:t>关联方承诺</w:t>
      </w:r>
    </w:p>
    <w:sdt>
      <w:sdtPr>
        <w:rPr>
          <w:rFonts w:hint="eastAsia"/>
          <w:szCs w:val="21"/>
        </w:rPr>
        <w:alias w:val="是否适用：关联方承诺[双击切换]"/>
        <w:tag w:val="_GBC_cf52a7b0760b4670b5fc5ea8d7363a6c"/>
        <w:id w:val="1757401336"/>
        <w:placeholder>
          <w:docPart w:val="GBC22222222222222222222222222222"/>
        </w:placeholder>
      </w:sdtPr>
      <w:sdtEndPr>
        <w:rPr>
          <w:rFonts w:hint="eastAsia"/>
          <w:szCs w:val="21"/>
        </w:rPr>
      </w:sdtEndPr>
      <w:sdtContent>
        <w:p w14:paraId="6FF88B3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D02920E">
      <w:pPr>
        <w:tabs>
          <w:tab w:val="left" w:pos="1134"/>
        </w:tabs>
        <w:rPr>
          <w:rFonts w:ascii="Cambria" w:hAnsi="Cambria" w:cs="Cambria" w:eastAsiaTheme="minorEastAsia"/>
          <w:sz w:val="20"/>
          <w:szCs w:val="20"/>
        </w:rPr>
      </w:pPr>
    </w:p>
    <w:p w14:paraId="56A9F655">
      <w:pPr>
        <w:pStyle w:val="70"/>
        <w:numPr>
          <w:ilvl w:val="0"/>
          <w:numId w:val="163"/>
        </w:numPr>
      </w:pPr>
      <w:r>
        <w:rPr>
          <w:rFonts w:hint="eastAsia"/>
        </w:rPr>
        <w:t>其他</w:t>
      </w:r>
    </w:p>
    <w:sdt>
      <w:sdtPr>
        <w:rPr>
          <w:rFonts w:hint="eastAsia"/>
        </w:rPr>
        <w:alias w:val="是否适用：关联方及关联情况的其他说明[双击切换]"/>
        <w:tag w:val="_GBC_0fbd096440c645128adaffccb05f4e2f"/>
        <w:id w:val="595603391"/>
        <w:placeholder>
          <w:docPart w:val="GBC22222222222222222222222222222"/>
        </w:placeholder>
      </w:sdtPr>
      <w:sdtEndPr>
        <w:rPr>
          <w:rFonts w:hint="eastAsia"/>
        </w:rPr>
      </w:sdtEndPr>
      <w:sdtContent>
        <w:p w14:paraId="4EA5B594">
          <w:pPr>
            <w:tabs>
              <w:tab w:val="left" w:pos="1134"/>
            </w:tabs>
            <w:rPr>
              <w:rFonts w:hint="eastAsia" w:cs="Cambria" w:asciiTheme="minorEastAsia" w:hAnsiTheme="minorEastAsia" w:eastAsiaTheme="minorEastAsia"/>
              <w:bCs/>
              <w:sz w:val="20"/>
              <w:szCs w:val="20"/>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633C263">
      <w:pPr>
        <w:tabs>
          <w:tab w:val="left" w:pos="1134"/>
        </w:tabs>
        <w:rPr>
          <w:rFonts w:hint="eastAsia" w:cs="Cambria"/>
          <w:szCs w:val="21"/>
        </w:rPr>
      </w:pPr>
    </w:p>
    <w:p w14:paraId="4AB51EB7">
      <w:pPr>
        <w:pStyle w:val="69"/>
        <w:numPr>
          <w:ilvl w:val="0"/>
          <w:numId w:val="87"/>
        </w:numPr>
        <w:rPr>
          <w:rFonts w:hint="eastAsia" w:ascii="宋体" w:hAnsi="宋体"/>
        </w:rPr>
      </w:pPr>
      <w:r>
        <w:rPr>
          <w:rFonts w:hint="eastAsia"/>
        </w:rPr>
        <w:t>股份支付</w:t>
      </w:r>
    </w:p>
    <w:p w14:paraId="216828A6">
      <w:pPr>
        <w:pStyle w:val="70"/>
        <w:numPr>
          <w:ilvl w:val="0"/>
          <w:numId w:val="166"/>
        </w:numPr>
        <w:ind w:left="450" w:hanging="450"/>
        <w:rPr>
          <w:color w:val="000000" w:themeColor="text1"/>
          <w14:textFill>
            <w14:solidFill>
              <w14:schemeClr w14:val="tx1"/>
            </w14:solidFill>
          </w14:textFill>
        </w:rPr>
      </w:pPr>
      <w:bookmarkStart w:id="390" w:name="_Hlk182486041"/>
      <w:bookmarkStart w:id="391" w:name="_Hlk40787153"/>
      <w:bookmarkStart w:id="392" w:name="_Hlk151135509"/>
      <w:r>
        <w:rPr>
          <w:rFonts w:hint="eastAsia"/>
          <w:color w:val="000000" w:themeColor="text1"/>
          <w14:textFill>
            <w14:solidFill>
              <w14:schemeClr w14:val="tx1"/>
            </w14:solidFill>
          </w14:textFill>
        </w:rPr>
        <w:t>各项权益工具</w:t>
      </w:r>
    </w:p>
    <w:sdt>
      <w:sdtPr>
        <w:rPr>
          <w:color w:val="000000" w:themeColor="text1"/>
          <w14:textFill>
            <w14:solidFill>
              <w14:schemeClr w14:val="tx1"/>
            </w14:solidFill>
          </w14:textFill>
        </w:rPr>
        <w:alias w:val="是否适用：各项权益工具[双击切换]"/>
        <w:tag w:val="_GBC_591f7158994b46b7adfcd7566ff3a5b8"/>
        <w:id w:val="150572413"/>
        <w:placeholder>
          <w:docPart w:val="GBC22222222222222222222222222222"/>
        </w:placeholder>
      </w:sdtPr>
      <w:sdtEndPr>
        <w:rPr>
          <w:color w:val="000000" w:themeColor="text1"/>
          <w14:textFill>
            <w14:solidFill>
              <w14:schemeClr w14:val="tx1"/>
            </w14:solidFill>
          </w14:textFill>
        </w:rPr>
      </w:sdtEndPr>
      <w:sdtContent>
        <w:p w14:paraId="6D3418B8">
          <w:pPr>
            <w:rPr>
              <w:rFonts w:hint="eastAsia"/>
              <w:color w:val="000000" w:themeColor="text1"/>
              <w14:textFill>
                <w14:solidFill>
                  <w14:schemeClr w14:val="tx1"/>
                </w14:solidFill>
              </w14:textFill>
            </w:rPr>
          </w:pPr>
          <w:bookmarkStart w:id="393" w:name="_Hlk168492989"/>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393"/>
    <w:p w14:paraId="6A9218CC">
      <w:pPr>
        <w:rPr>
          <w:rFonts w:hint="eastAsia"/>
          <w:color w:val="000000" w:themeColor="text1"/>
          <w14:textFill>
            <w14:solidFill>
              <w14:schemeClr w14:val="tx1"/>
            </w14:solidFill>
          </w14:textFill>
        </w:rPr>
      </w:pPr>
      <w:bookmarkStart w:id="394" w:name="_Hlk168478628"/>
    </w:p>
    <w:p w14:paraId="02A53F36">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期末发行在外的股票期权或其他权益工具</w:t>
      </w:r>
    </w:p>
    <w:sdt>
      <w:sdtPr>
        <w:rPr>
          <w:color w:val="000000" w:themeColor="text1"/>
          <w14:textFill>
            <w14:solidFill>
              <w14:schemeClr w14:val="tx1"/>
            </w14:solidFill>
          </w14:textFill>
        </w:rPr>
        <w:alias w:val="是否适用：期末发行在外的股票期权或其他权益工具[双击切换]"/>
        <w:tag w:val="_GBC_8f850d6c945b493292d68c3127f1182d"/>
        <w:id w:val="1168291627"/>
        <w:placeholder>
          <w:docPart w:val="GBC22222222222222222222222222222"/>
        </w:placeholder>
      </w:sdtPr>
      <w:sdtEndPr>
        <w:rPr>
          <w:color w:val="000000" w:themeColor="text1"/>
          <w14:textFill>
            <w14:solidFill>
              <w14:schemeClr w14:val="tx1"/>
            </w14:solidFill>
          </w14:textFill>
        </w:rPr>
      </w:sdtEndPr>
      <w:sdtContent>
        <w:p w14:paraId="1876B18B">
          <w:pPr>
            <w:rPr>
              <w:rFonts w:hint="eastAsia"/>
              <w:color w:val="000000" w:themeColor="text1"/>
              <w14:textFill>
                <w14:solidFill>
                  <w14:schemeClr w14:val="tx1"/>
                </w14:solidFill>
              </w14:textFill>
            </w:rPr>
          </w:pPr>
          <w:bookmarkStart w:id="395" w:name="_Hlk168493896"/>
          <w:bookmarkStart w:id="396" w:name="_Hlk168493917"/>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394"/>
    <w:bookmarkEnd w:id="395"/>
    <w:bookmarkEnd w:id="396"/>
    <w:p w14:paraId="22C69CC3">
      <w:pPr>
        <w:rPr>
          <w:rFonts w:hint="eastAsia"/>
          <w:color w:val="000000" w:themeColor="text1"/>
          <w14:textFill>
            <w14:solidFill>
              <w14:schemeClr w14:val="tx1"/>
            </w14:solidFill>
          </w14:textFill>
        </w:rPr>
      </w:pPr>
    </w:p>
    <w:p w14:paraId="3878ACB2">
      <w:pPr>
        <w:rPr>
          <w:rFonts w:hint="eastAsia"/>
        </w:rPr>
      </w:pPr>
    </w:p>
    <w:bookmarkEnd w:id="390"/>
    <w:bookmarkEnd w:id="391"/>
    <w:p w14:paraId="088609ED">
      <w:pPr>
        <w:pStyle w:val="70"/>
        <w:numPr>
          <w:ilvl w:val="0"/>
          <w:numId w:val="166"/>
        </w:numPr>
        <w:ind w:left="450" w:hanging="450"/>
        <w:rPr>
          <w:color w:val="000000" w:themeColor="text1"/>
          <w14:textFill>
            <w14:solidFill>
              <w14:schemeClr w14:val="tx1"/>
            </w14:solidFill>
          </w14:textFill>
        </w:rPr>
      </w:pPr>
      <w:bookmarkStart w:id="397" w:name="_Hlk40787255"/>
      <w:r>
        <w:rPr>
          <w:rFonts w:hint="eastAsia"/>
          <w:color w:val="000000" w:themeColor="text1"/>
          <w14:textFill>
            <w14:solidFill>
              <w14:schemeClr w14:val="tx1"/>
            </w14:solidFill>
          </w14:textFill>
        </w:rPr>
        <w:t>以权益结算的股份支付情况</w:t>
      </w:r>
    </w:p>
    <w:sdt>
      <w:sdtPr>
        <w:alias w:val="是否适用：以权益结算的股份支付情况[双击切换]"/>
        <w:tag w:val="_GBC_180733cce6b5415097c0582f27918a4f"/>
        <w:id w:val="1570997062"/>
        <w:placeholder>
          <w:docPart w:val="GBC22222222222222222222222222222"/>
        </w:placeholder>
      </w:sdtPr>
      <w:sdtContent>
        <w:p w14:paraId="193773BC">
          <w:pPr>
            <w:rPr>
              <w:rFonts w:hint="eastAsia" w:cstheme="minorBidi"/>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65D1824">
      <w:pPr>
        <w:rPr>
          <w:rFonts w:hint="eastAsia" w:cstheme="minorBidi"/>
        </w:rPr>
      </w:pPr>
    </w:p>
    <w:bookmarkEnd w:id="392"/>
    <w:bookmarkEnd w:id="397"/>
    <w:p w14:paraId="5C73F052">
      <w:pPr>
        <w:rPr>
          <w:rFonts w:hint="eastAsia"/>
        </w:rPr>
      </w:pPr>
      <w:bookmarkStart w:id="398" w:name="_Hlk40787299"/>
      <w:bookmarkEnd w:id="398"/>
    </w:p>
    <w:p w14:paraId="66D7726C">
      <w:pPr>
        <w:pStyle w:val="70"/>
        <w:numPr>
          <w:ilvl w:val="0"/>
          <w:numId w:val="166"/>
        </w:numPr>
        <w:ind w:left="450" w:hanging="450"/>
        <w:rPr>
          <w:color w:val="000000" w:themeColor="text1"/>
          <w14:textFill>
            <w14:solidFill>
              <w14:schemeClr w14:val="tx1"/>
            </w14:solidFill>
          </w14:textFill>
        </w:rPr>
      </w:pPr>
      <w:r>
        <w:rPr>
          <w:rFonts w:hint="eastAsia"/>
          <w:color w:val="000000" w:themeColor="text1"/>
          <w14:textFill>
            <w14:solidFill>
              <w14:schemeClr w14:val="tx1"/>
            </w14:solidFill>
          </w14:textFill>
        </w:rPr>
        <w:t>以现金结算的股份支付情况</w:t>
      </w:r>
    </w:p>
    <w:sdt>
      <w:sdtPr>
        <w:alias w:val="是否适用：以现金结算的股份支付情况[双击切换]"/>
        <w:tag w:val="_GBC_aa134f611909486bb3a2d6258058f88d"/>
        <w:id w:val="1882052741"/>
        <w:placeholder>
          <w:docPart w:val="GBC22222222222222222222222222222"/>
        </w:placeholder>
      </w:sdtPr>
      <w:sdtContent>
        <w:p w14:paraId="6C1F418F">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DD13830">
      <w:pPr>
        <w:rPr>
          <w:rFonts w:hint="eastAsia"/>
        </w:rPr>
      </w:pPr>
    </w:p>
    <w:p w14:paraId="0622FA12">
      <w:pPr>
        <w:pStyle w:val="70"/>
        <w:numPr>
          <w:ilvl w:val="0"/>
          <w:numId w:val="166"/>
        </w:numPr>
        <w:ind w:left="450" w:hanging="450"/>
        <w:rPr>
          <w:color w:val="000000" w:themeColor="text1"/>
          <w14:textFill>
            <w14:solidFill>
              <w14:schemeClr w14:val="tx1"/>
            </w14:solidFill>
          </w14:textFill>
        </w:rPr>
      </w:pPr>
      <w:bookmarkStart w:id="399" w:name="_Hlk182486377"/>
      <w:r>
        <w:rPr>
          <w:rFonts w:hint="eastAsia"/>
          <w:color w:val="000000" w:themeColor="text1"/>
          <w14:textFill>
            <w14:solidFill>
              <w14:schemeClr w14:val="tx1"/>
            </w14:solidFill>
          </w14:textFill>
        </w:rPr>
        <w:t>本期股份支付费用</w:t>
      </w:r>
    </w:p>
    <w:sdt>
      <w:sdtPr>
        <w:rPr>
          <w:color w:val="000000" w:themeColor="text1"/>
          <w14:textFill>
            <w14:solidFill>
              <w14:schemeClr w14:val="tx1"/>
            </w14:solidFill>
          </w14:textFill>
        </w:rPr>
        <w:alias w:val="是否适用：股份支付费用[双击切换]"/>
        <w:tag w:val="_GBC_1ce28477cfda4be8ba3dd9f6b49b5010"/>
        <w:id w:val="-888104794"/>
        <w:placeholder>
          <w:docPart w:val="GBC22222222222222222222222222222"/>
        </w:placeholder>
      </w:sdtPr>
      <w:sdtEndPr>
        <w:rPr>
          <w:color w:val="000000" w:themeColor="text1"/>
          <w14:textFill>
            <w14:solidFill>
              <w14:schemeClr w14:val="tx1"/>
            </w14:solidFill>
          </w14:textFill>
        </w:rPr>
      </w:sdtEndPr>
      <w:sdtContent>
        <w:p w14:paraId="06E04668">
          <w:pPr>
            <w:rPr>
              <w:rFonts w:hint="eastAsia"/>
              <w:color w:val="000000" w:themeColor="text1"/>
              <w14:textFill>
                <w14:solidFill>
                  <w14:schemeClr w14:val="tx1"/>
                </w14:solidFill>
              </w14:textFill>
            </w:rPr>
          </w:pPr>
          <w:bookmarkStart w:id="400" w:name="_Hlk168494235"/>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□适用 </w:instrTex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√不适用 </w:instrText>
          </w:r>
          <w:r>
            <w:rPr>
              <w:color w:val="000000" w:themeColor="text1"/>
              <w14:textFill>
                <w14:solidFill>
                  <w14:schemeClr w14:val="tx1"/>
                </w14:solidFill>
              </w14:textFill>
            </w:rPr>
            <w:fldChar w:fldCharType="end"/>
          </w:r>
        </w:p>
      </w:sdtContent>
    </w:sdt>
    <w:bookmarkEnd w:id="400"/>
    <w:p w14:paraId="290DD3C9">
      <w:pPr>
        <w:rPr>
          <w:rFonts w:hint="eastAsia"/>
          <w:color w:val="000000" w:themeColor="text1"/>
          <w14:textFill>
            <w14:solidFill>
              <w14:schemeClr w14:val="tx1"/>
            </w14:solidFill>
          </w14:textFill>
        </w:rPr>
      </w:pPr>
      <w:bookmarkStart w:id="401" w:name="_Hlk168494436"/>
    </w:p>
    <w:p w14:paraId="12829812">
      <w:pPr>
        <w:rPr>
          <w:rFonts w:hint="eastAsia"/>
          <w:color w:val="000000" w:themeColor="text1"/>
          <w14:textFill>
            <w14:solidFill>
              <w14:schemeClr w14:val="tx1"/>
            </w14:solidFill>
          </w14:textFill>
        </w:rPr>
      </w:pPr>
    </w:p>
    <w:bookmarkEnd w:id="399"/>
    <w:bookmarkEnd w:id="401"/>
    <w:p w14:paraId="37109A0B">
      <w:pPr>
        <w:pStyle w:val="70"/>
        <w:numPr>
          <w:ilvl w:val="0"/>
          <w:numId w:val="166"/>
        </w:numPr>
        <w:ind w:left="450" w:hanging="450"/>
        <w:rPr>
          <w:color w:val="000000" w:themeColor="text1"/>
          <w14:textFill>
            <w14:solidFill>
              <w14:schemeClr w14:val="tx1"/>
            </w14:solidFill>
          </w14:textFill>
        </w:rPr>
      </w:pPr>
      <w:r>
        <w:rPr>
          <w:rFonts w:hint="eastAsia"/>
          <w:color w:val="000000" w:themeColor="text1"/>
          <w14:textFill>
            <w14:solidFill>
              <w14:schemeClr w14:val="tx1"/>
            </w14:solidFill>
          </w14:textFill>
        </w:rPr>
        <w:t>股份支付的修改、终止情况</w:t>
      </w:r>
    </w:p>
    <w:sdt>
      <w:sdtPr>
        <w:rPr>
          <w:rFonts w:hint="eastAsia"/>
          <w:szCs w:val="21"/>
        </w:rPr>
        <w:alias w:val="是否适用：股份支付的修改、终止情况[双击切换]"/>
        <w:tag w:val="_GBC_6da986e9834d42b9bb7548673f325962"/>
        <w:id w:val="-1956713480"/>
        <w:placeholder>
          <w:docPart w:val="GBC22222222222222222222222222222"/>
        </w:placeholder>
      </w:sdtPr>
      <w:sdtEndPr>
        <w:rPr>
          <w:rFonts w:hint="eastAsia"/>
          <w:szCs w:val="21"/>
        </w:rPr>
      </w:sdtEndPr>
      <w:sdtContent>
        <w:p w14:paraId="7AF1A5CE">
          <w:pPr>
            <w:rPr>
              <w:rFonts w:asciiTheme="minorHAnsi" w:hAnsiTheme="minorHAnsi" w:eastAsiaTheme="minorEastAsia" w:cstheme="minorBidi"/>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372D6EF">
      <w:pPr>
        <w:ind w:firstLine="210" w:firstLineChars="100"/>
        <w:rPr>
          <w:rFonts w:hint="eastAsia"/>
          <w:szCs w:val="21"/>
        </w:rPr>
      </w:pPr>
    </w:p>
    <w:p w14:paraId="07AC557C">
      <w:pPr>
        <w:pStyle w:val="70"/>
        <w:numPr>
          <w:ilvl w:val="0"/>
          <w:numId w:val="166"/>
        </w:numPr>
        <w:ind w:left="450" w:hanging="450"/>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sdt>
      <w:sdtPr>
        <w:rPr>
          <w:rFonts w:hint="eastAsia"/>
          <w:szCs w:val="21"/>
        </w:rPr>
        <w:alias w:val="是否适用：股份支付的其他情况说明[双击切换]"/>
        <w:tag w:val="_GBC_d03d26e0d4844b798c3d4b87d2578ece"/>
        <w:id w:val="-366058505"/>
        <w:placeholder>
          <w:docPart w:val="GBC22222222222222222222222222222"/>
        </w:placeholder>
      </w:sdtPr>
      <w:sdtEndPr>
        <w:rPr>
          <w:rFonts w:hint="eastAsia"/>
          <w:szCs w:val="21"/>
        </w:rPr>
      </w:sdtEndPr>
      <w:sdtContent>
        <w:p w14:paraId="47E4585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E1DE317">
      <w:pPr>
        <w:rPr>
          <w:rFonts w:hint="eastAsia"/>
          <w:szCs w:val="21"/>
        </w:rPr>
      </w:pPr>
    </w:p>
    <w:p w14:paraId="7B9DA8E4">
      <w:pPr>
        <w:pStyle w:val="69"/>
        <w:numPr>
          <w:ilvl w:val="0"/>
          <w:numId w:val="87"/>
        </w:numPr>
        <w:rPr>
          <w:rFonts w:hint="eastAsia" w:ascii="宋体" w:hAnsi="宋体"/>
        </w:rPr>
      </w:pPr>
      <w:r>
        <w:rPr>
          <w:rFonts w:hint="eastAsia"/>
        </w:rPr>
        <w:t>承诺及或有事项</w:t>
      </w:r>
    </w:p>
    <w:p w14:paraId="6A65343A">
      <w:pPr>
        <w:pStyle w:val="70"/>
        <w:numPr>
          <w:ilvl w:val="0"/>
          <w:numId w:val="167"/>
        </w:numPr>
        <w:rPr>
          <w:rFonts w:hint="eastAsia" w:ascii="宋体" w:hAnsi="宋体"/>
        </w:rPr>
      </w:pPr>
      <w:r>
        <w:rPr>
          <w:rFonts w:hint="eastAsia" w:ascii="宋体" w:hAnsi="宋体"/>
        </w:rPr>
        <w:t>重要承诺事项</w:t>
      </w:r>
    </w:p>
    <w:sdt>
      <w:sdtPr>
        <w:alias w:val="是否适用：重要承诺事项[双击切换]"/>
        <w:tag w:val="_GBC_568be9a6805040a8b9fbd5c5d07b45dd"/>
        <w:id w:val="1412658895"/>
        <w:placeholder>
          <w:docPart w:val="GBC22222222222222222222222222222"/>
        </w:placeholder>
      </w:sdtPr>
      <w:sdtContent>
        <w:p w14:paraId="47918995">
          <w:pPr>
            <w:rPr>
              <w:rFonts w:hint="eastAsia" w:cs="Cambria"/>
              <w:bCs/>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6D4F656">
      <w:pPr>
        <w:rPr>
          <w:rFonts w:hint="eastAsia"/>
        </w:rPr>
      </w:pPr>
    </w:p>
    <w:p w14:paraId="72FB1948">
      <w:pPr>
        <w:pStyle w:val="70"/>
        <w:numPr>
          <w:ilvl w:val="0"/>
          <w:numId w:val="167"/>
        </w:numPr>
        <w:rPr>
          <w:rFonts w:hint="eastAsia" w:ascii="宋体" w:hAnsi="宋体"/>
        </w:rPr>
      </w:pPr>
      <w:r>
        <w:rPr>
          <w:rFonts w:hint="eastAsia" w:ascii="宋体" w:hAnsi="宋体"/>
        </w:rPr>
        <w:t>或有事项</w:t>
      </w:r>
    </w:p>
    <w:p w14:paraId="2605C968">
      <w:pPr>
        <w:pStyle w:val="71"/>
        <w:numPr>
          <w:ilvl w:val="3"/>
          <w:numId w:val="168"/>
        </w:numPr>
        <w:ind w:left="426" w:hanging="426" w:hangingChars="202"/>
        <w:rPr>
          <w:rFonts w:hint="eastAsia"/>
        </w:rPr>
      </w:pPr>
      <w:r>
        <w:rPr>
          <w:rFonts w:hint="eastAsia"/>
        </w:rPr>
        <w:t>资产负债表日存在的重要或有事项</w:t>
      </w:r>
    </w:p>
    <w:sdt>
      <w:sdtPr>
        <w:rPr>
          <w:rFonts w:hint="eastAsia"/>
        </w:rPr>
        <w:alias w:val="是否适用：资产负债表日存在的重要或有事项[双击切换]"/>
        <w:tag w:val="_GBC_d987504ad98e408986b4fc6f62089ffe"/>
        <w:id w:val="-1418013845"/>
        <w:placeholder>
          <w:docPart w:val="GBC22222222222222222222222222222"/>
        </w:placeholder>
      </w:sdtPr>
      <w:sdtEndPr>
        <w:rPr>
          <w:rFonts w:hint="eastAsia"/>
        </w:rPr>
      </w:sdtEndPr>
      <w:sdtContent>
        <w:p w14:paraId="416A65E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9D380C5">
      <w:pPr>
        <w:rPr>
          <w:rFonts w:hint="eastAsia"/>
        </w:rPr>
      </w:pPr>
    </w:p>
    <w:p w14:paraId="31FFCE19">
      <w:pPr>
        <w:pStyle w:val="71"/>
        <w:numPr>
          <w:ilvl w:val="3"/>
          <w:numId w:val="168"/>
        </w:numPr>
        <w:ind w:left="426" w:hanging="426" w:hangingChars="202"/>
        <w:rPr>
          <w:rFonts w:hint="eastAsia"/>
        </w:rPr>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925996450"/>
        <w:placeholder>
          <w:docPart w:val="GBC22222222222222222222222222222"/>
        </w:placeholder>
      </w:sdtPr>
      <w:sdtEndPr>
        <w:rPr>
          <w:rFonts w:hint="eastAsia"/>
        </w:rPr>
      </w:sdtEndPr>
      <w:sdtContent>
        <w:p w14:paraId="34B930CA">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F9179CB">
      <w:pPr>
        <w:rPr>
          <w:rFonts w:asciiTheme="minorHAnsi" w:hAnsiTheme="minorHAnsi" w:cstheme="minorBidi"/>
        </w:rPr>
      </w:pPr>
    </w:p>
    <w:p w14:paraId="4AFA345E">
      <w:pPr>
        <w:pStyle w:val="70"/>
        <w:numPr>
          <w:ilvl w:val="0"/>
          <w:numId w:val="167"/>
        </w:numPr>
        <w:rPr>
          <w:rFonts w:hint="eastAsia" w:ascii="宋体" w:hAnsi="宋体"/>
        </w:rPr>
      </w:pPr>
      <w:r>
        <w:rPr>
          <w:rFonts w:hint="eastAsia" w:ascii="宋体" w:hAnsi="宋体"/>
        </w:rPr>
        <w:t>其他</w:t>
      </w:r>
    </w:p>
    <w:sdt>
      <w:sdtPr>
        <w:rPr>
          <w:rFonts w:hint="eastAsia"/>
        </w:rPr>
        <w:alias w:val="是否适用：承诺及或有事项的其他情况说明[双击切换]"/>
        <w:tag w:val="_GBC_cf5b3c02da904b4ea27843983d9a6248"/>
        <w:id w:val="-2139089980"/>
        <w:placeholder>
          <w:docPart w:val="GBC22222222222222222222222222222"/>
        </w:placeholder>
      </w:sdtPr>
      <w:sdtEndPr>
        <w:rPr>
          <w:rFonts w:hint="eastAsia"/>
        </w:rPr>
      </w:sdtEndPr>
      <w:sdtContent>
        <w:p w14:paraId="54A2F5B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AB98FDB">
      <w:pPr>
        <w:rPr>
          <w:rFonts w:hint="eastAsia"/>
          <w:szCs w:val="21"/>
        </w:rPr>
      </w:pPr>
    </w:p>
    <w:p w14:paraId="0BD06947">
      <w:pPr>
        <w:pStyle w:val="69"/>
        <w:numPr>
          <w:ilvl w:val="0"/>
          <w:numId w:val="87"/>
        </w:numPr>
        <w:rPr>
          <w:rFonts w:hint="eastAsia" w:ascii="宋体" w:hAnsi="宋体"/>
        </w:rPr>
      </w:pPr>
      <w:r>
        <w:rPr>
          <w:rFonts w:hint="eastAsia"/>
        </w:rPr>
        <w:t>资产负债表日后事项</w:t>
      </w:r>
    </w:p>
    <w:p w14:paraId="55637C6B">
      <w:pPr>
        <w:pStyle w:val="70"/>
        <w:numPr>
          <w:ilvl w:val="0"/>
          <w:numId w:val="169"/>
        </w:numPr>
      </w:pPr>
      <w:r>
        <w:rPr>
          <w:rFonts w:hint="eastAsia"/>
        </w:rPr>
        <w:t>重要的非调整事项</w:t>
      </w:r>
    </w:p>
    <w:sdt>
      <w:sdtPr>
        <w:alias w:val="是否适用：重要的非调整事项[双击切换]"/>
        <w:tag w:val="_GBC_5d94a9ce52454687be716014c1894fef"/>
        <w:id w:val="-1558317065"/>
        <w:placeholder>
          <w:docPart w:val="GBC22222222222222222222222222222"/>
        </w:placeholder>
      </w:sdtPr>
      <w:sdtContent>
        <w:p w14:paraId="5530E3B7">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611875C">
      <w:pPr>
        <w:rPr>
          <w:rFonts w:hint="eastAsia"/>
        </w:rPr>
      </w:pPr>
    </w:p>
    <w:p w14:paraId="4F9CBF0B">
      <w:pPr>
        <w:pStyle w:val="70"/>
        <w:numPr>
          <w:ilvl w:val="0"/>
          <w:numId w:val="169"/>
        </w:numPr>
      </w:pPr>
      <w:r>
        <w:rPr>
          <w:rFonts w:hint="eastAsia"/>
        </w:rPr>
        <w:t>利润分配情况</w:t>
      </w:r>
    </w:p>
    <w:sdt>
      <w:sdtPr>
        <w:alias w:val="是否适用：利润分配情况[双击切换]"/>
        <w:tag w:val="_GBC_9a91fb54a6c146e5b9ee1ecff3141237"/>
        <w:id w:val="1066155958"/>
        <w:placeholder>
          <w:docPart w:val="GBC22222222222222222222222222222"/>
        </w:placeholder>
      </w:sdtPr>
      <w:sdtContent>
        <w:p w14:paraId="38D4D4A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70980B3">
      <w:pPr>
        <w:rPr>
          <w:rFonts w:hint="eastAsia"/>
        </w:rPr>
      </w:pPr>
    </w:p>
    <w:p w14:paraId="57EEC69C">
      <w:pPr>
        <w:pStyle w:val="70"/>
        <w:numPr>
          <w:ilvl w:val="0"/>
          <w:numId w:val="169"/>
        </w:numPr>
      </w:pPr>
      <w:r>
        <w:rPr>
          <w:rFonts w:hint="eastAsia"/>
        </w:rPr>
        <w:t>销售退回</w:t>
      </w:r>
    </w:p>
    <w:sdt>
      <w:sdtPr>
        <w:alias w:val="是否适用：销售退回[双击切换]"/>
        <w:tag w:val="_GBC_7fb2ecaa1ffb494486f4a8b2e94240d2"/>
        <w:id w:val="270287368"/>
        <w:placeholder>
          <w:docPart w:val="GBC22222222222222222222222222222"/>
        </w:placeholder>
      </w:sdtPr>
      <w:sdtContent>
        <w:p w14:paraId="6658E691">
          <w:pPr>
            <w:rPr>
              <w:rFonts w:hint="eastAsia"/>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B924162">
      <w:pPr>
        <w:rPr>
          <w:rFonts w:hint="eastAsia"/>
          <w:szCs w:val="21"/>
        </w:rPr>
      </w:pPr>
    </w:p>
    <w:p w14:paraId="34E33E58">
      <w:pPr>
        <w:pStyle w:val="70"/>
        <w:numPr>
          <w:ilvl w:val="0"/>
          <w:numId w:val="169"/>
        </w:numPr>
      </w:pPr>
      <w:r>
        <w:rPr>
          <w:rFonts w:hint="eastAsia"/>
        </w:rPr>
        <w:t>其他资产负债表日后事项说明</w:t>
      </w:r>
    </w:p>
    <w:sdt>
      <w:sdtPr>
        <w:rPr>
          <w:rFonts w:hint="eastAsia"/>
        </w:rPr>
        <w:alias w:val="是否适用：其他资产负债表日后事项说明[双击切换]"/>
        <w:tag w:val="_GBC_4fc0f824aaea4ed096cae3b9f97ff314"/>
        <w:id w:val="1984585136"/>
        <w:placeholder>
          <w:docPart w:val="GBC22222222222222222222222222222"/>
        </w:placeholder>
      </w:sdtPr>
      <w:sdtEndPr>
        <w:rPr>
          <w:rFonts w:hint="eastAsia"/>
        </w:rPr>
      </w:sdtEndPr>
      <w:sdtContent>
        <w:p w14:paraId="5CA1DB7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86D0845">
      <w:pPr>
        <w:rPr>
          <w:rFonts w:hint="eastAsia"/>
          <w:szCs w:val="21"/>
        </w:rPr>
      </w:pPr>
    </w:p>
    <w:p w14:paraId="19E32712">
      <w:pPr>
        <w:pStyle w:val="69"/>
        <w:numPr>
          <w:ilvl w:val="0"/>
          <w:numId w:val="87"/>
        </w:numPr>
        <w:rPr>
          <w:rFonts w:hint="eastAsia" w:ascii="宋体" w:hAnsi="宋体"/>
        </w:rPr>
      </w:pPr>
      <w:bookmarkStart w:id="402" w:name="OLE_LINK19"/>
      <w:r>
        <w:rPr>
          <w:rFonts w:hint="eastAsia"/>
        </w:rPr>
        <w:t>其他重要事项</w:t>
      </w:r>
    </w:p>
    <w:bookmarkEnd w:id="402"/>
    <w:p w14:paraId="3A5E9583">
      <w:pPr>
        <w:pStyle w:val="70"/>
        <w:numPr>
          <w:ilvl w:val="0"/>
          <w:numId w:val="170"/>
        </w:numPr>
      </w:pPr>
      <w:r>
        <w:rPr>
          <w:rFonts w:hint="eastAsia"/>
        </w:rPr>
        <w:t>前期会计差错更正</w:t>
      </w:r>
    </w:p>
    <w:p w14:paraId="599A905D">
      <w:pPr>
        <w:pStyle w:val="71"/>
        <w:numPr>
          <w:ilvl w:val="3"/>
          <w:numId w:val="171"/>
        </w:numPr>
        <w:ind w:left="426" w:hanging="426" w:hangingChars="202"/>
        <w:rPr>
          <w:rFonts w:hint="eastAsia"/>
        </w:rPr>
      </w:pPr>
      <w:r>
        <w:rPr>
          <w:rFonts w:hint="eastAsia"/>
        </w:rPr>
        <w:t>追溯重述法</w:t>
      </w:r>
    </w:p>
    <w:sdt>
      <w:sdtPr>
        <w:rPr>
          <w:rFonts w:hint="eastAsia"/>
          <w:szCs w:val="21"/>
        </w:rPr>
        <w:alias w:val="是否适用：追溯重述法[双击切换]"/>
        <w:tag w:val="_GBC_19d462bfe01047cd87b083dddf885193"/>
        <w:id w:val="-1940054190"/>
        <w:placeholder>
          <w:docPart w:val="GBC22222222222222222222222222222"/>
        </w:placeholder>
      </w:sdtPr>
      <w:sdtEndPr>
        <w:rPr>
          <w:rFonts w:hint="eastAsia"/>
          <w:szCs w:val="21"/>
        </w:rPr>
      </w:sdtEndPr>
      <w:sdtContent>
        <w:p w14:paraId="2F0D482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7FC98ED">
      <w:pPr>
        <w:rPr>
          <w:rFonts w:hint="eastAsia"/>
        </w:rPr>
      </w:pPr>
    </w:p>
    <w:p w14:paraId="2B9639B1">
      <w:pPr>
        <w:pStyle w:val="71"/>
        <w:numPr>
          <w:ilvl w:val="3"/>
          <w:numId w:val="171"/>
        </w:numPr>
        <w:ind w:left="426" w:hanging="426" w:hangingChars="202"/>
        <w:rPr>
          <w:rFonts w:hint="eastAsia"/>
        </w:rPr>
      </w:pPr>
      <w:r>
        <w:rPr>
          <w:rFonts w:hint="eastAsia"/>
        </w:rPr>
        <w:t>未来适用法</w:t>
      </w:r>
    </w:p>
    <w:sdt>
      <w:sdtPr>
        <w:alias w:val="是否适用：未来适用法[双击切换]"/>
        <w:tag w:val="_GBC_6fd6421ddf524335aa8fac02bc322e70"/>
        <w:id w:val="-749961581"/>
        <w:placeholder>
          <w:docPart w:val="GBC22222222222222222222222222222"/>
        </w:placeholder>
      </w:sdtPr>
      <w:sdtContent>
        <w:p w14:paraId="2EABB376">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514E871">
      <w:pPr>
        <w:rPr>
          <w:rFonts w:hint="eastAsia"/>
        </w:rPr>
      </w:pPr>
    </w:p>
    <w:p w14:paraId="0C107E2D">
      <w:pPr>
        <w:pStyle w:val="70"/>
        <w:numPr>
          <w:ilvl w:val="0"/>
          <w:numId w:val="170"/>
        </w:numPr>
      </w:pPr>
      <w:r>
        <w:rPr>
          <w:rFonts w:hint="eastAsia"/>
        </w:rPr>
        <w:t>重要债务重组</w:t>
      </w:r>
    </w:p>
    <w:sdt>
      <w:sdtPr>
        <w:alias w:val="是否适用：重要债务重组[双击切换]"/>
        <w:tag w:val="_GBC_6b3631222f074ee0b23297cdcd94685f"/>
        <w:id w:val="710085233"/>
        <w:placeholder>
          <w:docPart w:val="GBC22222222222222222222222222222"/>
        </w:placeholder>
      </w:sdtPr>
      <w:sdtContent>
        <w:p w14:paraId="6FC542AF">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5DB11EB">
      <w:pPr>
        <w:spacing w:line="360" w:lineRule="exact"/>
        <w:ind w:right="5"/>
        <w:rPr>
          <w:rFonts w:hint="eastAsia"/>
          <w:szCs w:val="21"/>
        </w:rPr>
      </w:pPr>
    </w:p>
    <w:p w14:paraId="004B4927">
      <w:pPr>
        <w:rPr>
          <w:rFonts w:hint="eastAsia"/>
          <w:szCs w:val="21"/>
        </w:rPr>
      </w:pPr>
    </w:p>
    <w:p w14:paraId="63421C68">
      <w:pPr>
        <w:pStyle w:val="70"/>
        <w:numPr>
          <w:ilvl w:val="0"/>
          <w:numId w:val="170"/>
        </w:numPr>
      </w:pPr>
      <w:r>
        <w:rPr>
          <w:rFonts w:hint="eastAsia"/>
        </w:rPr>
        <w:t>资产置换</w:t>
      </w:r>
    </w:p>
    <w:p w14:paraId="7A48A74F">
      <w:pPr>
        <w:pStyle w:val="71"/>
        <w:numPr>
          <w:ilvl w:val="3"/>
          <w:numId w:val="172"/>
        </w:numPr>
        <w:ind w:left="426" w:hanging="426" w:hangingChars="202"/>
        <w:rPr>
          <w:rFonts w:hint="eastAsia"/>
        </w:rPr>
      </w:pPr>
      <w:r>
        <w:rPr>
          <w:rFonts w:hint="eastAsia"/>
        </w:rPr>
        <w:t>非货币性资产交换</w:t>
      </w:r>
    </w:p>
    <w:sdt>
      <w:sdtPr>
        <w:rPr>
          <w:rFonts w:hint="eastAsia"/>
          <w:szCs w:val="21"/>
        </w:rPr>
        <w:alias w:val="是否适用：非货币性资产交换[双击切换]"/>
        <w:tag w:val="_GBC_480975ada702478dae8a1468d6e0c3cd"/>
        <w:id w:val="-312720755"/>
        <w:placeholder>
          <w:docPart w:val="GBC22222222222222222222222222222"/>
        </w:placeholder>
      </w:sdtPr>
      <w:sdtEndPr>
        <w:rPr>
          <w:rFonts w:hint="eastAsia"/>
          <w:szCs w:val="21"/>
        </w:rPr>
      </w:sdtEndPr>
      <w:sdtContent>
        <w:p w14:paraId="5F6C8DFA">
          <w:pPr>
            <w:spacing w:line="360" w:lineRule="exact"/>
            <w:ind w:right="5"/>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28F8816">
      <w:pPr>
        <w:rPr>
          <w:rFonts w:hint="eastAsia"/>
          <w:szCs w:val="21"/>
        </w:rPr>
      </w:pPr>
    </w:p>
    <w:p w14:paraId="37648CC8">
      <w:pPr>
        <w:pStyle w:val="71"/>
        <w:numPr>
          <w:ilvl w:val="3"/>
          <w:numId w:val="172"/>
        </w:numPr>
        <w:ind w:left="426" w:hanging="426" w:hangingChars="202"/>
        <w:rPr>
          <w:rFonts w:hint="eastAsia"/>
        </w:rPr>
      </w:pPr>
      <w:r>
        <w:rPr>
          <w:rFonts w:hint="eastAsia"/>
        </w:rPr>
        <w:t>其他资产置换</w:t>
      </w:r>
    </w:p>
    <w:sdt>
      <w:sdtPr>
        <w:rPr>
          <w:rFonts w:hint="eastAsia"/>
          <w:szCs w:val="21"/>
        </w:rPr>
        <w:alias w:val="是否适用：其他资产置换[双击切换]"/>
        <w:tag w:val="_GBC_d4d75cf02549483681739e6eb10910ff"/>
        <w:id w:val="2088116968"/>
        <w:placeholder>
          <w:docPart w:val="GBC22222222222222222222222222222"/>
        </w:placeholder>
      </w:sdtPr>
      <w:sdtEndPr>
        <w:rPr>
          <w:rFonts w:hint="eastAsia"/>
          <w:szCs w:val="21"/>
        </w:rPr>
      </w:sdtEndPr>
      <w:sdtContent>
        <w:p w14:paraId="038F5FA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E5505EC">
      <w:pPr>
        <w:rPr>
          <w:rFonts w:hint="eastAsia"/>
        </w:rPr>
      </w:pPr>
    </w:p>
    <w:p w14:paraId="0ED1056E">
      <w:pPr>
        <w:pStyle w:val="70"/>
        <w:numPr>
          <w:ilvl w:val="0"/>
          <w:numId w:val="170"/>
        </w:numPr>
      </w:pPr>
      <w:r>
        <w:rPr>
          <w:rFonts w:hint="eastAsia"/>
        </w:rPr>
        <w:t>年金计划</w:t>
      </w:r>
    </w:p>
    <w:sdt>
      <w:sdtPr>
        <w:alias w:val="是否适用：年金计划[双击切换]"/>
        <w:tag w:val="_GBC_7abcd6901bc848d8b58391e0ddd63034"/>
        <w:id w:val="1938712856"/>
        <w:placeholder>
          <w:docPart w:val="GBC22222222222222222222222222222"/>
        </w:placeholder>
      </w:sdtPr>
      <w:sdtContent>
        <w:p w14:paraId="78686FE1">
          <w:pPr>
            <w:rPr>
              <w:rFonts w:asciiTheme="minorHAnsi" w:hAnsiTheme="minorHAnsi" w:eastAsiaTheme="minorEastAsia" w:cstheme="minorBidi"/>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99915F4">
      <w:pPr>
        <w:rPr>
          <w:rFonts w:hint="eastAsia"/>
          <w:szCs w:val="21"/>
        </w:rPr>
      </w:pPr>
    </w:p>
    <w:p w14:paraId="60EC1E5C">
      <w:pPr>
        <w:pStyle w:val="70"/>
        <w:numPr>
          <w:ilvl w:val="0"/>
          <w:numId w:val="170"/>
        </w:numPr>
      </w:pPr>
      <w:r>
        <w:rPr>
          <w:rFonts w:hint="eastAsia"/>
        </w:rPr>
        <w:t>终止经营</w:t>
      </w:r>
    </w:p>
    <w:p w14:paraId="5D559EC4">
      <w:pPr>
        <w:rPr>
          <w:rFonts w:hint="eastAsia" w:cstheme="minorBidi"/>
          <w:kern w:val="2"/>
          <w:szCs w:val="21"/>
        </w:rPr>
      </w:pPr>
      <w:sdt>
        <w:sdtPr>
          <w:alias w:val="是否适用：终止经营[双击切换]"/>
          <w:tag w:val="_GBC_667e81a5639a48488e957a55e45c7763"/>
          <w:id w:val="210854721"/>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sdtContent>
      </w:sdt>
    </w:p>
    <w:p w14:paraId="0D0FCD40">
      <w:pPr>
        <w:rPr>
          <w:rFonts w:hint="eastAsia" w:cstheme="minorBidi"/>
          <w:kern w:val="2"/>
          <w:szCs w:val="21"/>
        </w:rPr>
      </w:pPr>
    </w:p>
    <w:p w14:paraId="3241D0D7">
      <w:pPr>
        <w:rPr>
          <w:rFonts w:hint="eastAsia"/>
          <w:szCs w:val="21"/>
        </w:rPr>
      </w:pPr>
    </w:p>
    <w:p w14:paraId="21F5919D">
      <w:pPr>
        <w:pStyle w:val="70"/>
        <w:numPr>
          <w:ilvl w:val="0"/>
          <w:numId w:val="170"/>
        </w:numPr>
      </w:pPr>
      <w:r>
        <w:rPr>
          <w:rFonts w:hint="eastAsia"/>
        </w:rPr>
        <w:t>分部信息</w:t>
      </w:r>
    </w:p>
    <w:p w14:paraId="64DFEEC7">
      <w:pPr>
        <w:pStyle w:val="71"/>
        <w:numPr>
          <w:ilvl w:val="3"/>
          <w:numId w:val="173"/>
        </w:numPr>
        <w:ind w:left="426" w:hanging="426" w:hangingChars="202"/>
        <w:rPr>
          <w:rFonts w:hint="eastAsia"/>
        </w:rPr>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308444095"/>
        <w:placeholder>
          <w:docPart w:val="GBC22222222222222222222222222222"/>
        </w:placeholder>
      </w:sdtPr>
      <w:sdtEndPr>
        <w:rPr>
          <w:rFonts w:hint="eastAsia"/>
          <w:szCs w:val="21"/>
        </w:rPr>
      </w:sdtEndPr>
      <w:sdtContent>
        <w:p w14:paraId="7DD831B7">
          <w:pPr>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报告分部的确定依据与会计政策"/>
        <w:tag w:val="_GBC_93ce2d8a1bb34f5498420754de576c4b"/>
        <w:id w:val="-1620824115"/>
        <w:placeholder>
          <w:docPart w:val="GBC22222222222222222222222222222"/>
        </w:placeholder>
      </w:sdtPr>
      <w:sdtEndPr>
        <w:rPr>
          <w:szCs w:val="21"/>
        </w:rPr>
      </w:sdtEndPr>
      <w:sdtContent>
        <w:p w14:paraId="69F8291F">
          <w:pPr>
            <w:ind w:firstLine="420" w:firstLineChars="200"/>
            <w:rPr>
              <w:rFonts w:hint="eastAsia"/>
              <w:szCs w:val="21"/>
            </w:rPr>
          </w:pPr>
          <w:r>
            <w:rPr>
              <w:rFonts w:hint="eastAsia"/>
              <w:szCs w:val="21"/>
            </w:rPr>
            <w:t>根据公司内部组织结构和经营管理要求，按照行业划分成两个业务板块，分为制造业、贸易及其他。</w:t>
          </w:r>
        </w:p>
      </w:sdtContent>
    </w:sdt>
    <w:p w14:paraId="704E7CF9">
      <w:pPr>
        <w:rPr>
          <w:rFonts w:hint="eastAsia"/>
          <w:szCs w:val="21"/>
        </w:rPr>
      </w:pPr>
    </w:p>
    <w:p w14:paraId="0E1D602F">
      <w:pPr>
        <w:pStyle w:val="71"/>
        <w:numPr>
          <w:ilvl w:val="3"/>
          <w:numId w:val="173"/>
        </w:numPr>
        <w:ind w:left="426" w:hanging="426" w:hangingChars="202"/>
        <w:rPr>
          <w:rFonts w:hint="eastAsia"/>
        </w:rPr>
      </w:pPr>
      <w:r>
        <w:rPr>
          <w:rFonts w:hint="eastAsia"/>
        </w:rPr>
        <w:t>报告分部的财务信息</w:t>
      </w:r>
    </w:p>
    <w:sdt>
      <w:sdtPr>
        <w:rPr>
          <w:rFonts w:hint="eastAsia" w:ascii="宋体" w:hAnsi="宋体"/>
          <w:szCs w:val="21"/>
        </w:rPr>
        <w:alias w:val="是否适用：报告分部的财务信息[双击切换]"/>
        <w:tag w:val="_GBC_560c7b592f324714b8c87339e43684af"/>
        <w:id w:val="457462633"/>
        <w:placeholder>
          <w:docPart w:val="GBC22222222222222222222222222222"/>
        </w:placeholder>
      </w:sdtPr>
      <w:sdtEndPr>
        <w:rPr>
          <w:rFonts w:hint="eastAsia" w:ascii="宋体" w:hAnsi="宋体"/>
          <w:szCs w:val="21"/>
        </w:rPr>
      </w:sdtEndPr>
      <w:sdtContent>
        <w:p w14:paraId="17FFAB24">
          <w:pPr>
            <w:pStyle w:val="109"/>
            <w:ind w:firstLine="0" w:firstLineChars="0"/>
            <w:jc w:val="left"/>
            <w:rPr>
              <w:rFonts w:hint="eastAsia" w:ascii="宋体" w:hAnsi="宋体"/>
              <w:szCs w:val="21"/>
            </w:rPr>
          </w:pP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MACROBUTTON  SnrToggleCheckbox √适用 </w:instrText>
          </w:r>
          <w:r>
            <w:rPr>
              <w:rFonts w:ascii="宋体" w:hAnsi="宋体"/>
              <w:szCs w:val="21"/>
            </w:rPr>
            <w:instrText xml:space="preserve">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4655432B">
      <w:pPr>
        <w:pStyle w:val="109"/>
        <w:ind w:firstLine="0" w:firstLineChars="0"/>
        <w:jc w:val="right"/>
        <w:rPr>
          <w:rFonts w:hint="eastAsia" w:ascii="宋体" w:hAnsi="宋体"/>
          <w:szCs w:val="21"/>
        </w:rPr>
      </w:pPr>
      <w:r>
        <w:rPr>
          <w:rFonts w:hint="eastAsia" w:ascii="宋体" w:hAnsi="宋体"/>
          <w:szCs w:val="21"/>
        </w:rPr>
        <w:t>单位：</w:t>
      </w:r>
      <w:sdt>
        <w:sdtPr>
          <w:rPr>
            <w:rFonts w:hint="eastAsia" w:ascii="宋体" w:hAnsi="宋体"/>
            <w:szCs w:val="21"/>
          </w:rPr>
          <w:alias w:val="单位：财务附注：报告分部的财务信息"/>
          <w:tag w:val="_GBC_7605447fe81f42cb8fddf03d31f4d9f1"/>
          <w:id w:val="7598742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szCs w:val="21"/>
          </w:rPr>
        </w:sdtEndPr>
        <w:sdtContent>
          <w:r>
            <w:rPr>
              <w:rFonts w:hint="eastAsia" w:ascii="宋体" w:hAnsi="宋体"/>
              <w:szCs w:val="21"/>
            </w:rPr>
            <w:t>万元</w:t>
          </w:r>
        </w:sdtContent>
      </w:sdt>
      <w:r>
        <w:rPr>
          <w:rFonts w:hint="eastAsia" w:ascii="宋体" w:hAnsi="宋体"/>
          <w:szCs w:val="21"/>
        </w:rPr>
        <w:t xml:space="preserve">  币种：</w:t>
      </w:r>
      <w:sdt>
        <w:sdtPr>
          <w:rPr>
            <w:rFonts w:hint="eastAsia" w:ascii="宋体" w:hAnsi="宋体"/>
            <w:szCs w:val="21"/>
          </w:rPr>
          <w:alias w:val="币种：财务附注：报告分部的财务信息"/>
          <w:tag w:val="_GBC_91822203e5c047ed9e288f2f546dc41a"/>
          <w:id w:val="-13809305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szCs w:val="21"/>
          </w:rPr>
        </w:sdtEndPr>
        <w:sdtContent>
          <w:r>
            <w:rPr>
              <w:rFonts w:hint="eastAsia" w:ascii="宋体" w:hAnsi="宋体"/>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4"/>
        <w:gridCol w:w="1728"/>
        <w:gridCol w:w="1765"/>
        <w:gridCol w:w="1713"/>
        <w:gridCol w:w="1373"/>
      </w:tblGrid>
      <w:tr w14:paraId="4696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8bb9bb00490c4a64b03d36d56a7709e9"/>
            <w:id w:val="367886866"/>
          </w:sdtPr>
          <w:sdtEndPr>
            <w:rPr>
              <w:rFonts w:ascii="Arial Narrow" w:hAnsi="Arial Narrow" w:eastAsiaTheme="minorEastAsia"/>
              <w:szCs w:val="21"/>
            </w:rPr>
          </w:sdtEndPr>
          <w:sdtContent>
            <w:tc>
              <w:tcPr>
                <w:tcW w:w="1272" w:type="pct"/>
                <w:tcBorders>
                  <w:top w:val="single" w:color="auto" w:sz="4" w:space="0"/>
                  <w:left w:val="single" w:color="auto" w:sz="4" w:space="0"/>
                  <w:bottom w:val="single" w:color="auto" w:sz="4" w:space="0"/>
                  <w:right w:val="single" w:color="auto" w:sz="4" w:space="0"/>
                </w:tcBorders>
                <w:shd w:val="clear" w:color="auto" w:fill="auto"/>
              </w:tcPr>
              <w:p w14:paraId="19D61FA8">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szCs w:val="21"/>
            </w:rPr>
            <w:alias w:val="分部报告科目名称"/>
            <w:tag w:val="_GBC_d1aef1f6815f4feea7e8db1d0cd6557a"/>
            <w:id w:val="916680503"/>
          </w:sdtPr>
          <w:sdtEndPr>
            <w:rPr>
              <w:rFonts w:ascii="Arial Narrow" w:hAnsi="Arial Narrow" w:eastAsiaTheme="minorEastAsia"/>
              <w:szCs w:val="21"/>
            </w:rPr>
          </w:sdtEndPr>
          <w:sdtContent>
            <w:tc>
              <w:tcPr>
                <w:tcW w:w="979" w:type="pct"/>
                <w:tcBorders>
                  <w:top w:val="single" w:color="auto" w:sz="4" w:space="0"/>
                  <w:left w:val="single" w:color="auto" w:sz="4" w:space="0"/>
                  <w:bottom w:val="single" w:color="auto" w:sz="4" w:space="0"/>
                  <w:right w:val="single" w:color="auto" w:sz="4" w:space="0"/>
                </w:tcBorders>
                <w:shd w:val="clear" w:color="auto" w:fill="auto"/>
              </w:tcPr>
              <w:p w14:paraId="468934E4">
                <w:pPr>
                  <w:jc w:val="center"/>
                  <w:rPr>
                    <w:rFonts w:ascii="Arial Narrow" w:hAnsi="Arial Narrow" w:eastAsiaTheme="minorEastAsia"/>
                    <w:szCs w:val="21"/>
                  </w:rPr>
                </w:pPr>
                <w:r>
                  <w:rPr>
                    <w:rFonts w:ascii="Arial Narrow" w:hAnsi="Arial Narrow" w:eastAsiaTheme="minorEastAsia"/>
                    <w:szCs w:val="21"/>
                  </w:rPr>
                  <w:t>制造业</w:t>
                </w:r>
              </w:p>
            </w:tc>
          </w:sdtContent>
        </w:sdt>
        <w:tc>
          <w:tcPr>
            <w:tcW w:w="1000" w:type="pct"/>
            <w:tcBorders>
              <w:top w:val="single" w:color="auto" w:sz="4" w:space="0"/>
              <w:left w:val="single" w:color="auto" w:sz="4" w:space="0"/>
              <w:bottom w:val="single" w:color="auto" w:sz="4" w:space="0"/>
              <w:right w:val="single" w:color="auto" w:sz="4" w:space="0"/>
            </w:tcBorders>
            <w:shd w:val="clear" w:color="auto" w:fill="auto"/>
          </w:tcPr>
          <w:p w14:paraId="18BEE5E6">
            <w:pPr>
              <w:jc w:val="center"/>
              <w:rPr>
                <w:rFonts w:ascii="Arial Narrow" w:hAnsi="Arial Narrow" w:eastAsiaTheme="minorEastAsia"/>
                <w:szCs w:val="21"/>
              </w:rPr>
            </w:pPr>
            <w:r>
              <w:rPr>
                <w:rFonts w:ascii="Arial Narrow" w:hAnsi="Arial Narrow" w:eastAsiaTheme="minorEastAsia"/>
                <w:szCs w:val="21"/>
              </w:rPr>
              <w:t>贸易及其他</w:t>
            </w:r>
          </w:p>
        </w:tc>
        <w:sdt>
          <w:sdtPr>
            <w:rPr>
              <w:rFonts w:ascii="Arial Narrow" w:hAnsi="Arial Narrow" w:eastAsiaTheme="minorEastAsia"/>
              <w:szCs w:val="21"/>
            </w:rPr>
            <w:tag w:val="_PLD_caa532a3a35d4f79bf28cdd5e48fdb25"/>
            <w:id w:val="-124323177"/>
          </w:sdtPr>
          <w:sdtEndPr>
            <w:rPr>
              <w:rFonts w:ascii="Arial Narrow" w:hAnsi="Arial Narrow" w:eastAsiaTheme="minorEastAsia"/>
              <w:szCs w:val="21"/>
            </w:rPr>
          </w:sdtEndPr>
          <w:sdtContent>
            <w:tc>
              <w:tcPr>
                <w:tcW w:w="971" w:type="pct"/>
                <w:tcBorders>
                  <w:top w:val="single" w:color="auto" w:sz="4" w:space="0"/>
                  <w:left w:val="single" w:color="auto" w:sz="4" w:space="0"/>
                  <w:bottom w:val="single" w:color="auto" w:sz="4" w:space="0"/>
                  <w:right w:val="single" w:color="auto" w:sz="4" w:space="0"/>
                </w:tcBorders>
                <w:shd w:val="clear" w:color="auto" w:fill="auto"/>
              </w:tcPr>
              <w:p w14:paraId="6E865E93">
                <w:pPr>
                  <w:jc w:val="center"/>
                  <w:rPr>
                    <w:rFonts w:ascii="Arial Narrow" w:hAnsi="Arial Narrow" w:eastAsiaTheme="minorEastAsia"/>
                    <w:szCs w:val="21"/>
                  </w:rPr>
                </w:pPr>
                <w:r>
                  <w:rPr>
                    <w:rFonts w:ascii="Arial Narrow" w:hAnsi="Arial Narrow" w:eastAsiaTheme="minorEastAsia"/>
                    <w:szCs w:val="21"/>
                  </w:rPr>
                  <w:t>分部间抵销</w:t>
                </w:r>
              </w:p>
            </w:tc>
          </w:sdtContent>
        </w:sdt>
        <w:sdt>
          <w:sdtPr>
            <w:rPr>
              <w:rFonts w:ascii="Arial Narrow" w:hAnsi="Arial Narrow" w:eastAsiaTheme="minorEastAsia"/>
              <w:szCs w:val="21"/>
            </w:rPr>
            <w:tag w:val="_PLD_9308666856e6454c86d77bbd6c0e9bde"/>
            <w:id w:val="-535125707"/>
          </w:sdtPr>
          <w:sdtEndPr>
            <w:rPr>
              <w:rFonts w:ascii="Arial Narrow" w:hAnsi="Arial Narrow" w:eastAsiaTheme="minorEastAsia"/>
              <w:szCs w:val="21"/>
            </w:rPr>
          </w:sdtEndPr>
          <w:sdtContent>
            <w:tc>
              <w:tcPr>
                <w:tcW w:w="778" w:type="pct"/>
                <w:tcBorders>
                  <w:top w:val="single" w:color="auto" w:sz="4" w:space="0"/>
                  <w:left w:val="single" w:color="auto" w:sz="4" w:space="0"/>
                  <w:bottom w:val="single" w:color="auto" w:sz="4" w:space="0"/>
                  <w:right w:val="single" w:color="auto" w:sz="4" w:space="0"/>
                </w:tcBorders>
                <w:shd w:val="clear" w:color="auto" w:fill="auto"/>
              </w:tcPr>
              <w:p w14:paraId="33E72C2F">
                <w:pPr>
                  <w:jc w:val="center"/>
                  <w:rPr>
                    <w:rFonts w:ascii="Arial Narrow" w:hAnsi="Arial Narrow" w:eastAsiaTheme="minorEastAsia"/>
                    <w:szCs w:val="21"/>
                  </w:rPr>
                </w:pPr>
                <w:r>
                  <w:rPr>
                    <w:rFonts w:ascii="Arial Narrow" w:hAnsi="Arial Narrow" w:eastAsiaTheme="minorEastAsia"/>
                    <w:szCs w:val="21"/>
                  </w:rPr>
                  <w:t>合计</w:t>
                </w:r>
              </w:p>
            </w:tc>
          </w:sdtContent>
        </w:sdt>
      </w:tr>
      <w:tr w14:paraId="014F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216DEEA7">
            <w:pPr>
              <w:rPr>
                <w:rFonts w:ascii="Arial Narrow" w:hAnsi="Arial Narrow" w:eastAsiaTheme="minorEastAsia"/>
                <w:szCs w:val="21"/>
              </w:rPr>
            </w:pPr>
            <w:r>
              <w:rPr>
                <w:rFonts w:ascii="Arial Narrow" w:hAnsi="Arial Narrow" w:eastAsiaTheme="minorEastAsia"/>
                <w:szCs w:val="21"/>
              </w:rPr>
              <w:t>2024年度</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116943C7">
            <w:pPr>
              <w:jc w:val="right"/>
              <w:rPr>
                <w:rFonts w:ascii="Arial Narrow" w:hAnsi="Arial Narrow" w:eastAsiaTheme="minorEastAsia"/>
                <w:szCs w:val="21"/>
              </w:rPr>
            </w:pP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E59EB3C">
            <w:pPr>
              <w:jc w:val="right"/>
              <w:rPr>
                <w:rFonts w:ascii="Arial Narrow" w:hAnsi="Arial Narrow" w:eastAsiaTheme="minorEastAsia"/>
                <w:szCs w:val="21"/>
              </w:rPr>
            </w:pP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2AA20A48">
            <w:pPr>
              <w:jc w:val="right"/>
              <w:rPr>
                <w:rFonts w:ascii="Arial Narrow" w:hAnsi="Arial Narrow" w:eastAsiaTheme="minorEastAsia"/>
                <w:szCs w:val="21"/>
              </w:rPr>
            </w:pP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25712973">
            <w:pPr>
              <w:jc w:val="right"/>
              <w:rPr>
                <w:rFonts w:ascii="Arial Narrow" w:hAnsi="Arial Narrow" w:eastAsiaTheme="minorEastAsia"/>
                <w:szCs w:val="21"/>
              </w:rPr>
            </w:pPr>
          </w:p>
        </w:tc>
      </w:tr>
      <w:tr w14:paraId="0034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71E72CBE">
            <w:pPr>
              <w:rPr>
                <w:rFonts w:ascii="Arial Narrow" w:hAnsi="Arial Narrow" w:eastAsiaTheme="minorEastAsia"/>
                <w:szCs w:val="21"/>
              </w:rPr>
            </w:pPr>
            <w:r>
              <w:rPr>
                <w:rFonts w:ascii="Arial Narrow" w:hAnsi="Arial Narrow" w:eastAsiaTheme="minorEastAsia"/>
                <w:szCs w:val="21"/>
              </w:rPr>
              <w:t>主营业务收入</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4CAC7454">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963,629.04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EF790E9">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45,371.18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4A7EFEAE">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48,814.59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04FD305B">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960,185.63 </w:t>
            </w:r>
          </w:p>
        </w:tc>
      </w:tr>
      <w:tr w14:paraId="639E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051E5705">
            <w:pPr>
              <w:rPr>
                <w:rFonts w:ascii="Arial Narrow" w:hAnsi="Arial Narrow" w:eastAsiaTheme="minorEastAsia"/>
                <w:szCs w:val="21"/>
              </w:rPr>
            </w:pPr>
            <w:r>
              <w:rPr>
                <w:rFonts w:ascii="Arial Narrow" w:hAnsi="Arial Narrow" w:eastAsiaTheme="minorEastAsia"/>
                <w:szCs w:val="21"/>
              </w:rPr>
              <w:t>主营业务成本</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77FD1B8E">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902,146.88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4416FC6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39,175.88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40DDB8A2">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48,513.59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1501080E">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892,809.17 </w:t>
            </w:r>
          </w:p>
        </w:tc>
      </w:tr>
      <w:tr w14:paraId="2CD3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5AA4486E">
            <w:pPr>
              <w:rPr>
                <w:rFonts w:ascii="Arial Narrow" w:hAnsi="Arial Narrow" w:eastAsiaTheme="minorEastAsia"/>
                <w:szCs w:val="21"/>
              </w:rPr>
            </w:pPr>
            <w:r>
              <w:rPr>
                <w:rFonts w:ascii="Arial Narrow" w:hAnsi="Arial Narrow" w:eastAsiaTheme="minorEastAsia"/>
                <w:szCs w:val="21"/>
              </w:rPr>
              <w:t>负债总额</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6B7B989F">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976,890.21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F9B04D8">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916,520.58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7915C0AF">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1,027,619.08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528E0145">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865,791.71 </w:t>
            </w:r>
          </w:p>
        </w:tc>
      </w:tr>
      <w:tr w14:paraId="7F5E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4AB2D20E">
            <w:pPr>
              <w:rPr>
                <w:rFonts w:ascii="Arial Narrow" w:hAnsi="Arial Narrow" w:eastAsiaTheme="minorEastAsia"/>
                <w:szCs w:val="21"/>
              </w:rPr>
            </w:pPr>
            <w:r>
              <w:rPr>
                <w:rFonts w:ascii="Arial Narrow" w:hAnsi="Arial Narrow" w:eastAsiaTheme="minorEastAsia"/>
                <w:szCs w:val="21"/>
              </w:rPr>
              <w:t>资产总额</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493152A7">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1,881,714.95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43CBC45">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1,919,931.42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290F5040">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1,684,359.86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4B866F08">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2,117,286.51 </w:t>
            </w:r>
          </w:p>
        </w:tc>
      </w:tr>
      <w:tr w14:paraId="1E8D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629D3348">
            <w:pPr>
              <w:rPr>
                <w:rFonts w:ascii="Arial Narrow" w:hAnsi="Arial Narrow" w:eastAsiaTheme="minorEastAsia"/>
                <w:szCs w:val="21"/>
              </w:rPr>
            </w:pPr>
            <w:r>
              <w:rPr>
                <w:rFonts w:ascii="Arial Narrow" w:hAnsi="Arial Narrow" w:eastAsiaTheme="minorEastAsia"/>
                <w:szCs w:val="21"/>
              </w:rPr>
              <w:t>2023年度</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43C5382F">
            <w:pPr>
              <w:jc w:val="right"/>
              <w:rPr>
                <w:rFonts w:ascii="Arial Narrow" w:hAnsi="Arial Narrow" w:eastAsiaTheme="minorEastAsia"/>
                <w:color w:val="000000" w:themeColor="text1"/>
                <w:szCs w:val="21"/>
                <w14:textFill>
                  <w14:solidFill>
                    <w14:schemeClr w14:val="tx1"/>
                  </w14:solidFill>
                </w14:textFill>
              </w:rPr>
            </w:pP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009338D">
            <w:pPr>
              <w:jc w:val="right"/>
              <w:rPr>
                <w:rFonts w:ascii="Arial Narrow" w:hAnsi="Arial Narrow" w:eastAsiaTheme="minorEastAsia"/>
                <w:color w:val="000000" w:themeColor="text1"/>
                <w:szCs w:val="21"/>
                <w14:textFill>
                  <w14:solidFill>
                    <w14:schemeClr w14:val="tx1"/>
                  </w14:solidFill>
                </w14:textFill>
              </w:rPr>
            </w:pP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7C0B5ED8">
            <w:pPr>
              <w:jc w:val="right"/>
              <w:rPr>
                <w:rFonts w:ascii="Arial Narrow" w:hAnsi="Arial Narrow" w:eastAsiaTheme="minorEastAsia"/>
                <w:color w:val="000000" w:themeColor="text1"/>
                <w:szCs w:val="21"/>
                <w14:textFill>
                  <w14:solidFill>
                    <w14:schemeClr w14:val="tx1"/>
                  </w14:solidFill>
                </w14:textFill>
              </w:rPr>
            </w:pP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5B426E44">
            <w:pPr>
              <w:jc w:val="right"/>
              <w:rPr>
                <w:rFonts w:ascii="Arial Narrow" w:hAnsi="Arial Narrow" w:eastAsiaTheme="minorEastAsia"/>
                <w:color w:val="000000" w:themeColor="text1"/>
                <w:szCs w:val="21"/>
                <w14:textFill>
                  <w14:solidFill>
                    <w14:schemeClr w14:val="tx1"/>
                  </w14:solidFill>
                </w14:textFill>
              </w:rPr>
            </w:pPr>
          </w:p>
        </w:tc>
      </w:tr>
      <w:tr w14:paraId="0AF1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2728EED1">
            <w:pPr>
              <w:rPr>
                <w:rFonts w:ascii="Arial Narrow" w:hAnsi="Arial Narrow" w:eastAsiaTheme="minorEastAsia"/>
                <w:szCs w:val="21"/>
              </w:rPr>
            </w:pPr>
            <w:r>
              <w:rPr>
                <w:rFonts w:ascii="Arial Narrow" w:hAnsi="Arial Narrow" w:eastAsiaTheme="minorEastAsia"/>
                <w:szCs w:val="21"/>
              </w:rPr>
              <w:t>主营业务收入</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685EA23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1,110,346.71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181ED1A">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87,583.61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4071BF1C">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72,653.49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66BD65A5">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1,125,276.83 </w:t>
            </w:r>
          </w:p>
        </w:tc>
      </w:tr>
      <w:tr w14:paraId="1294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656138E5">
            <w:pPr>
              <w:rPr>
                <w:rFonts w:ascii="Arial Narrow" w:hAnsi="Arial Narrow" w:eastAsiaTheme="minorEastAsia"/>
                <w:szCs w:val="21"/>
              </w:rPr>
            </w:pPr>
            <w:r>
              <w:rPr>
                <w:rFonts w:ascii="Arial Narrow" w:hAnsi="Arial Narrow" w:eastAsiaTheme="minorEastAsia"/>
                <w:szCs w:val="21"/>
              </w:rPr>
              <w:t>主营业务成本</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5DD09550">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967,964.98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25FCFC0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79,364.36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755D4379">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72,746.37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15F27C3C">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974,582.97 </w:t>
            </w:r>
          </w:p>
        </w:tc>
      </w:tr>
      <w:tr w14:paraId="2BF9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7086E894">
            <w:pPr>
              <w:rPr>
                <w:rFonts w:ascii="Arial Narrow" w:hAnsi="Arial Narrow" w:eastAsiaTheme="minorEastAsia"/>
                <w:szCs w:val="21"/>
              </w:rPr>
            </w:pPr>
            <w:r>
              <w:rPr>
                <w:rFonts w:ascii="Arial Narrow" w:hAnsi="Arial Narrow" w:eastAsiaTheme="minorEastAsia"/>
                <w:szCs w:val="21"/>
              </w:rPr>
              <w:t>负债总额</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029579B8">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984,436.79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3B6B3660">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1,014,057.11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1B11D300">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1,058,873.77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15D8747B">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939,620.13 </w:t>
            </w:r>
          </w:p>
        </w:tc>
      </w:tr>
      <w:tr w14:paraId="6DDD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pct"/>
            <w:tcBorders>
              <w:top w:val="single" w:color="auto" w:sz="4" w:space="0"/>
              <w:left w:val="single" w:color="auto" w:sz="4" w:space="0"/>
              <w:bottom w:val="single" w:color="auto" w:sz="4" w:space="0"/>
              <w:right w:val="single" w:color="auto" w:sz="4" w:space="0"/>
            </w:tcBorders>
            <w:shd w:val="clear" w:color="auto" w:fill="auto"/>
            <w:vAlign w:val="center"/>
          </w:tcPr>
          <w:p w14:paraId="13F730BA">
            <w:pPr>
              <w:rPr>
                <w:rFonts w:ascii="Arial Narrow" w:hAnsi="Arial Narrow" w:eastAsiaTheme="minorEastAsia"/>
                <w:szCs w:val="21"/>
              </w:rPr>
            </w:pPr>
            <w:r>
              <w:rPr>
                <w:rFonts w:ascii="Arial Narrow" w:hAnsi="Arial Narrow" w:eastAsiaTheme="minorEastAsia"/>
                <w:szCs w:val="21"/>
              </w:rPr>
              <w:t>资产总额</w:t>
            </w:r>
          </w:p>
        </w:tc>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14:paraId="0D150659">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2,069,379.64 </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AA12F56">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2,230,581.20 </w:t>
            </w:r>
          </w:p>
        </w:tc>
        <w:tc>
          <w:tcPr>
            <w:tcW w:w="971" w:type="pct"/>
            <w:tcBorders>
              <w:top w:val="single" w:color="auto" w:sz="4" w:space="0"/>
              <w:left w:val="single" w:color="auto" w:sz="4" w:space="0"/>
              <w:bottom w:val="single" w:color="auto" w:sz="4" w:space="0"/>
              <w:right w:val="single" w:color="auto" w:sz="4" w:space="0"/>
            </w:tcBorders>
            <w:shd w:val="clear" w:color="auto" w:fill="auto"/>
            <w:vAlign w:val="center"/>
          </w:tcPr>
          <w:p w14:paraId="14A2007D">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1,656,456.71 </w:t>
            </w:r>
          </w:p>
        </w:tc>
        <w:tc>
          <w:tcPr>
            <w:tcW w:w="778" w:type="pct"/>
            <w:tcBorders>
              <w:top w:val="single" w:color="auto" w:sz="4" w:space="0"/>
              <w:left w:val="single" w:color="auto" w:sz="4" w:space="0"/>
              <w:bottom w:val="single" w:color="auto" w:sz="4" w:space="0"/>
              <w:right w:val="single" w:color="auto" w:sz="4" w:space="0"/>
            </w:tcBorders>
            <w:shd w:val="clear" w:color="auto" w:fill="auto"/>
            <w:vAlign w:val="center"/>
          </w:tcPr>
          <w:p w14:paraId="25F973D5">
            <w:pPr>
              <w:jc w:val="right"/>
              <w:rPr>
                <w:rFonts w:ascii="Arial Narrow" w:hAnsi="Arial Narrow" w:eastAsiaTheme="minorEastAsia"/>
                <w:color w:val="000000" w:themeColor="text1"/>
                <w:szCs w:val="21"/>
                <w14:textFill>
                  <w14:solidFill>
                    <w14:schemeClr w14:val="tx1"/>
                  </w14:solidFill>
                </w14:textFill>
              </w:rPr>
            </w:pPr>
            <w:r>
              <w:rPr>
                <w:rFonts w:ascii="Arial Narrow" w:hAnsi="Arial Narrow" w:eastAsiaTheme="minorEastAsia"/>
                <w:color w:val="000000" w:themeColor="text1"/>
                <w:szCs w:val="21"/>
                <w14:textFill>
                  <w14:solidFill>
                    <w14:schemeClr w14:val="tx1"/>
                  </w14:solidFill>
                </w14:textFill>
              </w:rPr>
              <w:t xml:space="preserve">2,643,504.13 </w:t>
            </w:r>
          </w:p>
        </w:tc>
      </w:tr>
    </w:tbl>
    <w:p w14:paraId="660E80E3">
      <w:pPr>
        <w:rPr>
          <w:rFonts w:hint="eastAsia"/>
        </w:rPr>
      </w:pPr>
    </w:p>
    <w:p w14:paraId="34AE0C38">
      <w:pPr>
        <w:pStyle w:val="71"/>
        <w:numPr>
          <w:ilvl w:val="3"/>
          <w:numId w:val="173"/>
        </w:numPr>
        <w:ind w:left="426" w:hanging="426" w:hangingChars="202"/>
        <w:rPr>
          <w:rFonts w:hint="eastAsia"/>
        </w:rPr>
      </w:pPr>
      <w:r>
        <w:rPr>
          <w:rFonts w:hint="eastAsia"/>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115297004"/>
        <w:placeholder>
          <w:docPart w:val="GBC22222222222222222222222222222"/>
        </w:placeholder>
      </w:sdtPr>
      <w:sdtEndPr>
        <w:rPr>
          <w:rFonts w:hint="eastAsia"/>
          <w:szCs w:val="21"/>
        </w:rPr>
      </w:sdtEndPr>
      <w:sdtContent>
        <w:p w14:paraId="67497CD7">
          <w:pPr>
            <w:jc w:val="both"/>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94738B3">
      <w:pPr>
        <w:rPr>
          <w:rFonts w:hint="eastAsia"/>
          <w:szCs w:val="21"/>
        </w:rPr>
      </w:pPr>
    </w:p>
    <w:p w14:paraId="0C56D06C">
      <w:pPr>
        <w:pStyle w:val="71"/>
        <w:numPr>
          <w:ilvl w:val="3"/>
          <w:numId w:val="173"/>
        </w:numPr>
        <w:ind w:left="426" w:hanging="426" w:hangingChars="202"/>
        <w:rPr>
          <w:rFonts w:hint="eastAsia"/>
        </w:rPr>
      </w:pPr>
      <w:r>
        <w:rPr>
          <w:rFonts w:hint="eastAsia"/>
        </w:rPr>
        <w:t>其他说明</w:t>
      </w:r>
    </w:p>
    <w:sdt>
      <w:sdtPr>
        <w:rPr>
          <w:rFonts w:hint="eastAsia"/>
          <w:szCs w:val="21"/>
        </w:rPr>
        <w:alias w:val="是否适用：分部信息的其他说明[双击切换]"/>
        <w:tag w:val="_GBC_a7173613038248df8d31b8ffe91e1e27"/>
        <w:id w:val="-1143275784"/>
        <w:placeholder>
          <w:docPart w:val="GBC22222222222222222222222222222"/>
        </w:placeholder>
      </w:sdtPr>
      <w:sdtEndPr>
        <w:rPr>
          <w:rFonts w:hint="eastAsia"/>
          <w:szCs w:val="21"/>
        </w:rPr>
      </w:sdtEndPr>
      <w:sdtContent>
        <w:p w14:paraId="33D7B9B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5FC7612">
      <w:pPr>
        <w:rPr>
          <w:rFonts w:hint="eastAsia"/>
          <w:szCs w:val="21"/>
        </w:rPr>
      </w:pPr>
    </w:p>
    <w:p w14:paraId="714A9383">
      <w:pPr>
        <w:pStyle w:val="70"/>
        <w:numPr>
          <w:ilvl w:val="0"/>
          <w:numId w:val="170"/>
        </w:numPr>
      </w:pPr>
      <w:r>
        <w:rPr>
          <w:rFonts w:hint="eastAsia"/>
        </w:rPr>
        <w:t>其他对投资者决策有影响的重要交易和事项</w:t>
      </w:r>
    </w:p>
    <w:sdt>
      <w:sdtPr>
        <w:rPr>
          <w:rFonts w:hint="eastAsia"/>
          <w:szCs w:val="21"/>
        </w:rPr>
        <w:alias w:val="是否适用：其他对投资者决策有影响的重要交易和事项[双击切换]"/>
        <w:tag w:val="_GBC_fb50fde0c1774b5b8ae2688488649ea7"/>
        <w:id w:val="-692074690"/>
        <w:placeholder>
          <w:docPart w:val="GBC22222222222222222222222222222"/>
        </w:placeholder>
      </w:sdtPr>
      <w:sdtEndPr>
        <w:rPr>
          <w:rFonts w:hint="eastAsia"/>
          <w:szCs w:val="21"/>
        </w:rPr>
      </w:sdtEndPr>
      <w:sdtContent>
        <w:p w14:paraId="7A2BC614">
          <w:pPr>
            <w:spacing w:line="360" w:lineRule="exact"/>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C5AF6AE">
      <w:pPr>
        <w:rPr>
          <w:rFonts w:hint="eastAsia"/>
          <w:szCs w:val="21"/>
        </w:rPr>
      </w:pPr>
    </w:p>
    <w:p w14:paraId="48B67682">
      <w:pPr>
        <w:pStyle w:val="70"/>
        <w:numPr>
          <w:ilvl w:val="0"/>
          <w:numId w:val="170"/>
        </w:numPr>
      </w:pPr>
      <w:r>
        <w:rPr>
          <w:rFonts w:hint="eastAsia"/>
        </w:rPr>
        <w:t>其他</w:t>
      </w:r>
    </w:p>
    <w:sdt>
      <w:sdtPr>
        <w:rPr>
          <w:rFonts w:hint="eastAsia"/>
          <w:szCs w:val="21"/>
        </w:rPr>
        <w:alias w:val="是否适用：其他重要事项的说明[双击切换]"/>
        <w:tag w:val="_GBC_fb43f52ac5bc49a4b33e34d6b1758f09"/>
        <w:id w:val="-73362639"/>
        <w:placeholder>
          <w:docPart w:val="GBC22222222222222222222222222222"/>
        </w:placeholder>
      </w:sdtPr>
      <w:sdtEndPr>
        <w:rPr>
          <w:rFonts w:hint="eastAsia"/>
          <w:szCs w:val="21"/>
        </w:rPr>
      </w:sdtEndPr>
      <w:sdtContent>
        <w:p w14:paraId="199BDB8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0F8B701">
      <w:pPr>
        <w:rPr>
          <w:rFonts w:hint="eastAsia"/>
          <w:szCs w:val="21"/>
        </w:rPr>
      </w:pPr>
    </w:p>
    <w:p w14:paraId="0B41FA5A">
      <w:pPr>
        <w:pStyle w:val="69"/>
        <w:numPr>
          <w:ilvl w:val="0"/>
          <w:numId w:val="87"/>
        </w:numPr>
        <w:rPr>
          <w:rFonts w:hint="eastAsia" w:ascii="宋体" w:hAnsi="宋体"/>
        </w:rPr>
      </w:pPr>
      <w:r>
        <w:rPr>
          <w:rFonts w:hint="eastAsia"/>
        </w:rPr>
        <w:t>母公司财务报表主要项目注释</w:t>
      </w:r>
    </w:p>
    <w:p w14:paraId="7D2E1187">
      <w:pPr>
        <w:pStyle w:val="70"/>
        <w:numPr>
          <w:ilvl w:val="0"/>
          <w:numId w:val="174"/>
        </w:numPr>
      </w:pPr>
      <w:r>
        <w:rPr>
          <w:rFonts w:hint="eastAsia" w:ascii="宋体" w:hAnsi="宋体"/>
          <w:szCs w:val="21"/>
        </w:rPr>
        <w:t>应收账款</w:t>
      </w:r>
    </w:p>
    <w:p w14:paraId="6B636924">
      <w:pPr>
        <w:pStyle w:val="71"/>
        <w:numPr>
          <w:ilvl w:val="3"/>
          <w:numId w:val="175"/>
        </w:numPr>
        <w:ind w:left="426" w:hanging="426" w:hangingChars="202"/>
        <w:rPr>
          <w:rFonts w:hint="eastAsia"/>
        </w:rPr>
      </w:pPr>
      <w:bookmarkStart w:id="403" w:name="_Hlk533796665"/>
      <w:r>
        <w:rPr>
          <w:rFonts w:hint="eastAsia"/>
        </w:rPr>
        <w:t>按账龄披露</w:t>
      </w:r>
    </w:p>
    <w:sdt>
      <w:sdtPr>
        <w:alias w:val="是否适用：母公司应收账款按账龄披露[双击切换]"/>
        <w:tag w:val="_GBC_dafcd7d733014c4a8aaa9a9a4b6c92f1"/>
        <w:id w:val="365502365"/>
        <w:placeholder>
          <w:docPart w:val="GBC22222222222222222222222222222"/>
        </w:placeholder>
      </w:sdtPr>
      <w:sdtContent>
        <w:p w14:paraId="5FC58914">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28BFF9">
      <w:pPr>
        <w:jc w:val="right"/>
        <w:rPr>
          <w:rFonts w:hint="eastAsia"/>
          <w:szCs w:val="21"/>
        </w:rPr>
      </w:pPr>
      <w:r>
        <w:rPr>
          <w:rFonts w:hint="eastAsia"/>
          <w:szCs w:val="21"/>
        </w:rPr>
        <w:t>单位：</w:t>
      </w:r>
      <w:sdt>
        <w:sdtPr>
          <w:rPr>
            <w:rFonts w:hint="eastAsia"/>
            <w:szCs w:val="21"/>
          </w:rPr>
          <w:alias w:val="单位：母公司应收账款按账龄披露"/>
          <w:tag w:val="_GBC_6f3238355b1f4a02b89a4d1aa10b0026"/>
          <w:id w:val="6010698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账款按账龄披露"/>
          <w:tag w:val="_GBC_c255ef872ced4f4ba9701062491ddd60"/>
          <w:id w:val="-16985349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975"/>
        <w:gridCol w:w="2975"/>
      </w:tblGrid>
      <w:tr w14:paraId="5DF6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91f1d8bffa9649c89e109fe838d32207"/>
            <w:id w:val="-2002885151"/>
          </w:sdtPr>
          <w:sdtEndPr>
            <w:rPr>
              <w:rFonts w:ascii="Arial Narrow" w:hAnsi="Arial Narrow" w:eastAsiaTheme="minorEastAsia"/>
            </w:rPr>
          </w:sdtEndPr>
          <w:sdtContent>
            <w:tc>
              <w:tcPr>
                <w:tcW w:w="1628" w:type="pct"/>
                <w:tcBorders>
                  <w:top w:val="single" w:color="auto" w:sz="4" w:space="0"/>
                  <w:left w:val="single" w:color="auto" w:sz="4" w:space="0"/>
                  <w:bottom w:val="single" w:color="auto" w:sz="4" w:space="0"/>
                  <w:right w:val="single" w:color="auto" w:sz="4" w:space="0"/>
                </w:tcBorders>
                <w:vAlign w:val="center"/>
              </w:tcPr>
              <w:p w14:paraId="0E598907">
                <w:pPr>
                  <w:jc w:val="center"/>
                  <w:rPr>
                    <w:rFonts w:ascii="Arial Narrow" w:hAnsi="Arial Narrow" w:eastAsiaTheme="minorEastAsia"/>
                    <w:szCs w:val="21"/>
                  </w:rPr>
                </w:pPr>
                <w:r>
                  <w:rPr>
                    <w:rFonts w:ascii="Arial Narrow" w:hAnsi="Arial Narrow" w:eastAsiaTheme="minorEastAsia"/>
                    <w:szCs w:val="21"/>
                  </w:rPr>
                  <w:t>账龄</w:t>
                </w:r>
              </w:p>
            </w:tc>
          </w:sdtContent>
        </w:sdt>
        <w:sdt>
          <w:sdtPr>
            <w:rPr>
              <w:rFonts w:ascii="Arial Narrow" w:hAnsi="Arial Narrow" w:eastAsiaTheme="minorEastAsia"/>
            </w:rPr>
            <w:tag w:val="_PLD_6b7aa27e99b34e1eb61af3bd12c578d2"/>
            <w:id w:val="-858277241"/>
          </w:sdtPr>
          <w:sdtEndPr>
            <w:rPr>
              <w:rFonts w:ascii="Arial Narrow" w:hAnsi="Arial Narrow" w:eastAsiaTheme="minorEastAsia"/>
            </w:rPr>
          </w:sdtEndPr>
          <w:sdtContent>
            <w:tc>
              <w:tcPr>
                <w:tcW w:w="1686" w:type="pct"/>
                <w:tcBorders>
                  <w:top w:val="single" w:color="auto" w:sz="4" w:space="0"/>
                  <w:left w:val="single" w:color="auto" w:sz="4" w:space="0"/>
                  <w:bottom w:val="single" w:color="auto" w:sz="4" w:space="0"/>
                  <w:right w:val="single" w:color="auto" w:sz="4" w:space="0"/>
                </w:tcBorders>
                <w:vAlign w:val="center"/>
              </w:tcPr>
              <w:p w14:paraId="1BEA95A8">
                <w:pPr>
                  <w:jc w:val="center"/>
                  <w:rPr>
                    <w:rFonts w:ascii="Arial Narrow" w:hAnsi="Arial Narrow" w:eastAsiaTheme="minorEastAsia"/>
                    <w:szCs w:val="21"/>
                  </w:rPr>
                </w:pPr>
                <w:r>
                  <w:rPr>
                    <w:rFonts w:ascii="Arial Narrow" w:hAnsi="Arial Narrow" w:eastAsiaTheme="minorEastAsia"/>
                    <w:szCs w:val="21"/>
                  </w:rPr>
                  <w:t>期末账面余额</w:t>
                </w:r>
              </w:p>
            </w:tc>
          </w:sdtContent>
        </w:sdt>
        <w:sdt>
          <w:sdtPr>
            <w:rPr>
              <w:rFonts w:ascii="Arial Narrow" w:hAnsi="Arial Narrow" w:eastAsiaTheme="minorEastAsia"/>
            </w:rPr>
            <w:tag w:val="_PLD_0e2d3c046f184578857e4606189d40ef"/>
            <w:id w:val="523138773"/>
          </w:sdtPr>
          <w:sdtEndPr>
            <w:rPr>
              <w:rFonts w:ascii="Arial Narrow" w:hAnsi="Arial Narrow" w:eastAsiaTheme="minorEastAsia"/>
            </w:rPr>
          </w:sdtEndPr>
          <w:sdtContent>
            <w:tc>
              <w:tcPr>
                <w:tcW w:w="1686" w:type="pct"/>
                <w:tcBorders>
                  <w:top w:val="single" w:color="auto" w:sz="4" w:space="0"/>
                  <w:left w:val="single" w:color="auto" w:sz="4" w:space="0"/>
                  <w:bottom w:val="single" w:color="auto" w:sz="4" w:space="0"/>
                  <w:right w:val="single" w:color="auto" w:sz="4" w:space="0"/>
                </w:tcBorders>
              </w:tcPr>
              <w:p w14:paraId="117C05C8">
                <w:pPr>
                  <w:jc w:val="center"/>
                  <w:rPr>
                    <w:rFonts w:ascii="Arial Narrow" w:hAnsi="Arial Narrow" w:eastAsiaTheme="minorEastAsia"/>
                  </w:rPr>
                </w:pPr>
                <w:r>
                  <w:rPr>
                    <w:rFonts w:ascii="Arial Narrow" w:hAnsi="Arial Narrow" w:eastAsiaTheme="minorEastAsia"/>
                  </w:rPr>
                  <w:t>期初账面余额</w:t>
                </w:r>
              </w:p>
            </w:tc>
          </w:sdtContent>
        </w:sdt>
      </w:tr>
      <w:tr w14:paraId="708D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4B8D2082">
            <w:pPr>
              <w:rPr>
                <w:rFonts w:ascii="Arial Narrow" w:hAnsi="Arial Narrow" w:eastAsiaTheme="minorEastAsia"/>
                <w:szCs w:val="21"/>
              </w:rPr>
            </w:pPr>
            <w:r>
              <w:rPr>
                <w:rFonts w:ascii="Arial Narrow" w:hAnsi="Arial Narrow" w:eastAsiaTheme="minorEastAsia"/>
                <w:szCs w:val="21"/>
              </w:rPr>
              <w:t>1年以内</w:t>
            </w:r>
          </w:p>
        </w:tc>
        <w:tc>
          <w:tcPr>
            <w:tcW w:w="1686" w:type="pct"/>
            <w:tcBorders>
              <w:top w:val="single" w:color="auto" w:sz="4" w:space="0"/>
              <w:left w:val="single" w:color="auto" w:sz="4" w:space="0"/>
              <w:bottom w:val="single" w:color="auto" w:sz="4" w:space="0"/>
              <w:right w:val="single" w:color="auto" w:sz="4" w:space="0"/>
            </w:tcBorders>
            <w:vAlign w:val="center"/>
          </w:tcPr>
          <w:p w14:paraId="0024EC61">
            <w:pPr>
              <w:jc w:val="right"/>
              <w:rPr>
                <w:rFonts w:ascii="Arial Narrow" w:hAnsi="Arial Narrow" w:eastAsiaTheme="minorEastAsia"/>
                <w:szCs w:val="21"/>
              </w:rPr>
            </w:pPr>
          </w:p>
        </w:tc>
        <w:tc>
          <w:tcPr>
            <w:tcW w:w="1686" w:type="pct"/>
            <w:tcBorders>
              <w:top w:val="single" w:color="auto" w:sz="4" w:space="0"/>
              <w:left w:val="single" w:color="auto" w:sz="4" w:space="0"/>
              <w:bottom w:val="single" w:color="auto" w:sz="4" w:space="0"/>
              <w:right w:val="single" w:color="auto" w:sz="4" w:space="0"/>
            </w:tcBorders>
            <w:vAlign w:val="center"/>
          </w:tcPr>
          <w:p w14:paraId="238CEDDA">
            <w:pPr>
              <w:jc w:val="right"/>
              <w:rPr>
                <w:rFonts w:ascii="Arial Narrow" w:hAnsi="Arial Narrow" w:eastAsiaTheme="minorEastAsia"/>
                <w:szCs w:val="21"/>
              </w:rPr>
            </w:pPr>
            <w:r>
              <w:rPr>
                <w:rFonts w:ascii="Arial Narrow" w:hAnsi="Arial Narrow" w:eastAsiaTheme="minorEastAsia"/>
                <w:color w:val="000000"/>
                <w:szCs w:val="21"/>
              </w:rPr>
              <w:t>18,409.47</w:t>
            </w:r>
          </w:p>
        </w:tc>
      </w:tr>
      <w:tr w14:paraId="4836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00CA03CD">
            <w:pPr>
              <w:rPr>
                <w:rFonts w:ascii="Arial Narrow" w:hAnsi="Arial Narrow" w:eastAsiaTheme="minorEastAsia"/>
                <w:szCs w:val="21"/>
              </w:rPr>
            </w:pPr>
            <w:r>
              <w:rPr>
                <w:rFonts w:ascii="Arial Narrow" w:hAnsi="Arial Narrow" w:eastAsiaTheme="minorEastAsia"/>
                <w:szCs w:val="21"/>
              </w:rPr>
              <w:t>1年以内小计</w:t>
            </w:r>
          </w:p>
        </w:tc>
        <w:tc>
          <w:tcPr>
            <w:tcW w:w="1686" w:type="pct"/>
            <w:tcBorders>
              <w:top w:val="single" w:color="auto" w:sz="4" w:space="0"/>
              <w:left w:val="single" w:color="auto" w:sz="4" w:space="0"/>
              <w:bottom w:val="single" w:color="auto" w:sz="4" w:space="0"/>
              <w:right w:val="single" w:color="auto" w:sz="4" w:space="0"/>
            </w:tcBorders>
            <w:vAlign w:val="center"/>
          </w:tcPr>
          <w:p w14:paraId="610088F1">
            <w:pPr>
              <w:jc w:val="right"/>
              <w:rPr>
                <w:rFonts w:ascii="Arial Narrow" w:hAnsi="Arial Narrow" w:eastAsiaTheme="minorEastAsia"/>
                <w:szCs w:val="21"/>
              </w:rPr>
            </w:pPr>
          </w:p>
        </w:tc>
        <w:tc>
          <w:tcPr>
            <w:tcW w:w="1686" w:type="pct"/>
            <w:tcBorders>
              <w:top w:val="single" w:color="auto" w:sz="4" w:space="0"/>
              <w:left w:val="single" w:color="auto" w:sz="4" w:space="0"/>
              <w:bottom w:val="single" w:color="auto" w:sz="4" w:space="0"/>
              <w:right w:val="single" w:color="auto" w:sz="4" w:space="0"/>
            </w:tcBorders>
            <w:vAlign w:val="center"/>
          </w:tcPr>
          <w:p w14:paraId="6C926B9A">
            <w:pPr>
              <w:jc w:val="right"/>
              <w:rPr>
                <w:rFonts w:ascii="Arial Narrow" w:hAnsi="Arial Narrow" w:eastAsiaTheme="minorEastAsia"/>
                <w:szCs w:val="21"/>
              </w:rPr>
            </w:pPr>
            <w:r>
              <w:rPr>
                <w:rFonts w:ascii="Arial Narrow" w:hAnsi="Arial Narrow" w:eastAsiaTheme="minorEastAsia"/>
                <w:color w:val="000000"/>
                <w:szCs w:val="21"/>
              </w:rPr>
              <w:t>18,409.47</w:t>
            </w:r>
          </w:p>
        </w:tc>
      </w:tr>
      <w:tr w14:paraId="2EBF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7D577EED">
            <w:pPr>
              <w:rPr>
                <w:rFonts w:ascii="Arial Narrow" w:hAnsi="Arial Narrow" w:eastAsiaTheme="minorEastAsia"/>
                <w:szCs w:val="21"/>
              </w:rPr>
            </w:pPr>
            <w:r>
              <w:rPr>
                <w:rFonts w:ascii="Arial Narrow" w:hAnsi="Arial Narrow" w:eastAsiaTheme="minorEastAsia"/>
                <w:szCs w:val="21"/>
              </w:rPr>
              <w:t>1至2年</w:t>
            </w:r>
          </w:p>
        </w:tc>
        <w:tc>
          <w:tcPr>
            <w:tcW w:w="1686" w:type="pct"/>
            <w:tcBorders>
              <w:top w:val="single" w:color="auto" w:sz="4" w:space="0"/>
              <w:left w:val="single" w:color="auto" w:sz="4" w:space="0"/>
              <w:bottom w:val="single" w:color="auto" w:sz="4" w:space="0"/>
              <w:right w:val="single" w:color="auto" w:sz="4" w:space="0"/>
            </w:tcBorders>
            <w:vAlign w:val="center"/>
          </w:tcPr>
          <w:p w14:paraId="20AD529F">
            <w:pPr>
              <w:jc w:val="right"/>
              <w:rPr>
                <w:rFonts w:ascii="Arial Narrow" w:hAnsi="Arial Narrow" w:eastAsiaTheme="minorEastAsia"/>
                <w:szCs w:val="21"/>
              </w:rPr>
            </w:pPr>
          </w:p>
        </w:tc>
        <w:tc>
          <w:tcPr>
            <w:tcW w:w="1686" w:type="pct"/>
            <w:tcBorders>
              <w:top w:val="single" w:color="auto" w:sz="4" w:space="0"/>
              <w:left w:val="single" w:color="auto" w:sz="4" w:space="0"/>
              <w:bottom w:val="single" w:color="auto" w:sz="4" w:space="0"/>
              <w:right w:val="single" w:color="auto" w:sz="4" w:space="0"/>
            </w:tcBorders>
            <w:vAlign w:val="center"/>
          </w:tcPr>
          <w:p w14:paraId="34474F71">
            <w:pPr>
              <w:jc w:val="right"/>
              <w:rPr>
                <w:rFonts w:ascii="Arial Narrow" w:hAnsi="Arial Narrow" w:eastAsiaTheme="minorEastAsia"/>
                <w:szCs w:val="21"/>
              </w:rPr>
            </w:pPr>
            <w:r>
              <w:rPr>
                <w:rFonts w:ascii="Arial Narrow" w:hAnsi="Arial Narrow" w:eastAsiaTheme="minorEastAsia"/>
                <w:color w:val="000000"/>
                <w:szCs w:val="21"/>
              </w:rPr>
              <w:t>2,485,732.72</w:t>
            </w:r>
          </w:p>
        </w:tc>
      </w:tr>
      <w:tr w14:paraId="0DEA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7FB67164">
            <w:pPr>
              <w:rPr>
                <w:rFonts w:ascii="Arial Narrow" w:hAnsi="Arial Narrow" w:eastAsiaTheme="minorEastAsia"/>
                <w:szCs w:val="21"/>
              </w:rPr>
            </w:pPr>
            <w:r>
              <w:rPr>
                <w:rFonts w:ascii="Arial Narrow" w:hAnsi="Arial Narrow" w:eastAsiaTheme="minorEastAsia"/>
                <w:szCs w:val="21"/>
              </w:rPr>
              <w:t>2至3年</w:t>
            </w:r>
          </w:p>
        </w:tc>
        <w:tc>
          <w:tcPr>
            <w:tcW w:w="1686" w:type="pct"/>
            <w:tcBorders>
              <w:top w:val="single" w:color="auto" w:sz="4" w:space="0"/>
              <w:left w:val="single" w:color="auto" w:sz="4" w:space="0"/>
              <w:bottom w:val="single" w:color="auto" w:sz="4" w:space="0"/>
              <w:right w:val="single" w:color="auto" w:sz="4" w:space="0"/>
            </w:tcBorders>
            <w:vAlign w:val="center"/>
          </w:tcPr>
          <w:p w14:paraId="1528F4EE">
            <w:pPr>
              <w:jc w:val="right"/>
              <w:rPr>
                <w:rFonts w:ascii="Arial Narrow" w:hAnsi="Arial Narrow" w:eastAsiaTheme="minorEastAsia"/>
                <w:szCs w:val="21"/>
              </w:rPr>
            </w:pPr>
            <w:r>
              <w:rPr>
                <w:rFonts w:ascii="Arial Narrow" w:hAnsi="Arial Narrow" w:eastAsiaTheme="minorEastAsia"/>
                <w:color w:val="000000"/>
                <w:szCs w:val="21"/>
              </w:rPr>
              <w:t>2,485,732.72</w:t>
            </w:r>
          </w:p>
        </w:tc>
        <w:tc>
          <w:tcPr>
            <w:tcW w:w="1686" w:type="pct"/>
            <w:tcBorders>
              <w:top w:val="single" w:color="auto" w:sz="4" w:space="0"/>
              <w:left w:val="single" w:color="auto" w:sz="4" w:space="0"/>
              <w:bottom w:val="single" w:color="auto" w:sz="4" w:space="0"/>
              <w:right w:val="single" w:color="auto" w:sz="4" w:space="0"/>
            </w:tcBorders>
            <w:vAlign w:val="center"/>
          </w:tcPr>
          <w:p w14:paraId="5F48FBA4">
            <w:pPr>
              <w:jc w:val="right"/>
              <w:rPr>
                <w:rFonts w:ascii="Arial Narrow" w:hAnsi="Arial Narrow" w:eastAsiaTheme="minorEastAsia"/>
                <w:szCs w:val="21"/>
              </w:rPr>
            </w:pPr>
            <w:r>
              <w:rPr>
                <w:rFonts w:ascii="Arial Narrow" w:hAnsi="Arial Narrow" w:eastAsiaTheme="minorEastAsia"/>
                <w:color w:val="000000"/>
                <w:szCs w:val="21"/>
              </w:rPr>
              <w:t>144,844.32</w:t>
            </w:r>
          </w:p>
        </w:tc>
      </w:tr>
      <w:tr w14:paraId="49BC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2A6B0B95">
            <w:pPr>
              <w:rPr>
                <w:rFonts w:ascii="Arial Narrow" w:hAnsi="Arial Narrow" w:eastAsiaTheme="minorEastAsia"/>
                <w:szCs w:val="21"/>
              </w:rPr>
            </w:pPr>
            <w:r>
              <w:rPr>
                <w:rFonts w:ascii="Arial Narrow" w:hAnsi="Arial Narrow" w:eastAsiaTheme="minorEastAsia"/>
                <w:szCs w:val="21"/>
              </w:rPr>
              <w:t>3至4年</w:t>
            </w:r>
          </w:p>
        </w:tc>
        <w:tc>
          <w:tcPr>
            <w:tcW w:w="1686" w:type="pct"/>
            <w:tcBorders>
              <w:top w:val="single" w:color="auto" w:sz="4" w:space="0"/>
              <w:left w:val="single" w:color="auto" w:sz="4" w:space="0"/>
              <w:bottom w:val="single" w:color="auto" w:sz="4" w:space="0"/>
              <w:right w:val="single" w:color="auto" w:sz="4" w:space="0"/>
            </w:tcBorders>
            <w:vAlign w:val="center"/>
          </w:tcPr>
          <w:p w14:paraId="67A81271">
            <w:pPr>
              <w:jc w:val="right"/>
              <w:rPr>
                <w:rFonts w:ascii="Arial Narrow" w:hAnsi="Arial Narrow" w:eastAsiaTheme="minorEastAsia"/>
                <w:szCs w:val="21"/>
              </w:rPr>
            </w:pPr>
            <w:r>
              <w:rPr>
                <w:rFonts w:ascii="Arial Narrow" w:hAnsi="Arial Narrow" w:eastAsiaTheme="minorEastAsia"/>
                <w:color w:val="000000"/>
                <w:szCs w:val="21"/>
              </w:rPr>
              <w:t>144,844.32</w:t>
            </w:r>
          </w:p>
        </w:tc>
        <w:tc>
          <w:tcPr>
            <w:tcW w:w="1686" w:type="pct"/>
            <w:tcBorders>
              <w:top w:val="single" w:color="auto" w:sz="4" w:space="0"/>
              <w:left w:val="single" w:color="auto" w:sz="4" w:space="0"/>
              <w:bottom w:val="single" w:color="auto" w:sz="4" w:space="0"/>
              <w:right w:val="single" w:color="auto" w:sz="4" w:space="0"/>
            </w:tcBorders>
            <w:vAlign w:val="center"/>
          </w:tcPr>
          <w:p w14:paraId="35D8658C">
            <w:pPr>
              <w:jc w:val="right"/>
              <w:rPr>
                <w:rFonts w:ascii="Arial Narrow" w:hAnsi="Arial Narrow" w:eastAsiaTheme="minorEastAsia"/>
                <w:szCs w:val="21"/>
              </w:rPr>
            </w:pPr>
            <w:r>
              <w:rPr>
                <w:rFonts w:ascii="Arial Narrow" w:hAnsi="Arial Narrow" w:eastAsiaTheme="minorEastAsia"/>
                <w:color w:val="000000"/>
                <w:szCs w:val="21"/>
              </w:rPr>
              <w:t>1,903,677.13</w:t>
            </w:r>
          </w:p>
        </w:tc>
      </w:tr>
      <w:tr w14:paraId="39EF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6078F4AA">
            <w:pPr>
              <w:rPr>
                <w:rFonts w:ascii="Arial Narrow" w:hAnsi="Arial Narrow" w:eastAsiaTheme="minorEastAsia"/>
                <w:szCs w:val="21"/>
              </w:rPr>
            </w:pPr>
            <w:r>
              <w:rPr>
                <w:rFonts w:ascii="Arial Narrow" w:hAnsi="Arial Narrow" w:eastAsiaTheme="minorEastAsia"/>
                <w:szCs w:val="21"/>
              </w:rPr>
              <w:t>4至5年</w:t>
            </w:r>
          </w:p>
        </w:tc>
        <w:tc>
          <w:tcPr>
            <w:tcW w:w="1686" w:type="pct"/>
            <w:tcBorders>
              <w:top w:val="single" w:color="auto" w:sz="4" w:space="0"/>
              <w:left w:val="single" w:color="auto" w:sz="4" w:space="0"/>
              <w:bottom w:val="single" w:color="auto" w:sz="4" w:space="0"/>
              <w:right w:val="single" w:color="auto" w:sz="4" w:space="0"/>
            </w:tcBorders>
            <w:vAlign w:val="center"/>
          </w:tcPr>
          <w:p w14:paraId="1B4EFC8B">
            <w:pPr>
              <w:jc w:val="right"/>
              <w:rPr>
                <w:rFonts w:ascii="Arial Narrow" w:hAnsi="Arial Narrow" w:eastAsiaTheme="minorEastAsia"/>
                <w:szCs w:val="21"/>
              </w:rPr>
            </w:pPr>
            <w:r>
              <w:rPr>
                <w:rFonts w:ascii="Arial Narrow" w:hAnsi="Arial Narrow" w:eastAsiaTheme="minorEastAsia"/>
                <w:color w:val="000000"/>
                <w:szCs w:val="21"/>
              </w:rPr>
              <w:t>1,903,677.13</w:t>
            </w:r>
          </w:p>
        </w:tc>
        <w:tc>
          <w:tcPr>
            <w:tcW w:w="1686" w:type="pct"/>
            <w:tcBorders>
              <w:top w:val="single" w:color="auto" w:sz="4" w:space="0"/>
              <w:left w:val="single" w:color="auto" w:sz="4" w:space="0"/>
              <w:bottom w:val="single" w:color="auto" w:sz="4" w:space="0"/>
              <w:right w:val="single" w:color="auto" w:sz="4" w:space="0"/>
            </w:tcBorders>
            <w:vAlign w:val="center"/>
          </w:tcPr>
          <w:p w14:paraId="403B31B8">
            <w:pPr>
              <w:jc w:val="right"/>
              <w:rPr>
                <w:rFonts w:ascii="Arial Narrow" w:hAnsi="Arial Narrow" w:eastAsiaTheme="minorEastAsia"/>
                <w:szCs w:val="21"/>
              </w:rPr>
            </w:pPr>
          </w:p>
        </w:tc>
      </w:tr>
      <w:tr w14:paraId="498C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14:paraId="28EF46F9">
            <w:pPr>
              <w:rPr>
                <w:rFonts w:ascii="Arial Narrow" w:hAnsi="Arial Narrow" w:eastAsiaTheme="minorEastAsia"/>
                <w:szCs w:val="21"/>
              </w:rPr>
            </w:pPr>
            <w:r>
              <w:rPr>
                <w:rFonts w:ascii="Arial Narrow" w:hAnsi="Arial Narrow" w:eastAsiaTheme="minorEastAsia"/>
                <w:szCs w:val="21"/>
              </w:rPr>
              <w:t>5年以上</w:t>
            </w:r>
          </w:p>
        </w:tc>
        <w:tc>
          <w:tcPr>
            <w:tcW w:w="1686" w:type="pct"/>
            <w:tcBorders>
              <w:top w:val="single" w:color="auto" w:sz="4" w:space="0"/>
              <w:left w:val="single" w:color="auto" w:sz="4" w:space="0"/>
              <w:bottom w:val="single" w:color="auto" w:sz="4" w:space="0"/>
              <w:right w:val="single" w:color="auto" w:sz="4" w:space="0"/>
            </w:tcBorders>
            <w:vAlign w:val="center"/>
          </w:tcPr>
          <w:p w14:paraId="7E8287F5">
            <w:pPr>
              <w:jc w:val="right"/>
              <w:rPr>
                <w:rFonts w:ascii="Arial Narrow" w:hAnsi="Arial Narrow" w:eastAsiaTheme="minorEastAsia"/>
                <w:szCs w:val="21"/>
              </w:rPr>
            </w:pPr>
            <w:r>
              <w:rPr>
                <w:rFonts w:ascii="Arial Narrow" w:hAnsi="Arial Narrow" w:eastAsiaTheme="minorEastAsia"/>
                <w:color w:val="000000"/>
                <w:szCs w:val="21"/>
              </w:rPr>
              <w:t>31,454,004.43</w:t>
            </w:r>
          </w:p>
        </w:tc>
        <w:tc>
          <w:tcPr>
            <w:tcW w:w="1686" w:type="pct"/>
            <w:tcBorders>
              <w:top w:val="single" w:color="auto" w:sz="4" w:space="0"/>
              <w:left w:val="single" w:color="auto" w:sz="4" w:space="0"/>
              <w:bottom w:val="single" w:color="auto" w:sz="4" w:space="0"/>
              <w:right w:val="single" w:color="auto" w:sz="4" w:space="0"/>
            </w:tcBorders>
            <w:vAlign w:val="center"/>
          </w:tcPr>
          <w:p w14:paraId="70A6C979">
            <w:pPr>
              <w:jc w:val="right"/>
              <w:rPr>
                <w:rFonts w:ascii="Arial Narrow" w:hAnsi="Arial Narrow" w:eastAsiaTheme="minorEastAsia"/>
                <w:szCs w:val="21"/>
              </w:rPr>
            </w:pPr>
            <w:r>
              <w:rPr>
                <w:rFonts w:ascii="Arial Narrow" w:hAnsi="Arial Narrow" w:eastAsiaTheme="minorEastAsia"/>
                <w:color w:val="000000"/>
                <w:szCs w:val="21"/>
              </w:rPr>
              <w:t>31,454,004.43</w:t>
            </w:r>
          </w:p>
        </w:tc>
      </w:tr>
      <w:tr w14:paraId="4EFA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vAlign w:val="center"/>
          </w:tcPr>
          <w:p w14:paraId="5D37B4C0">
            <w:pPr>
              <w:jc w:val="center"/>
              <w:rPr>
                <w:rFonts w:ascii="Arial Narrow" w:hAnsi="Arial Narrow" w:eastAsiaTheme="minorEastAsia"/>
                <w:szCs w:val="21"/>
              </w:rPr>
            </w:pPr>
            <w:r>
              <w:rPr>
                <w:rFonts w:ascii="Arial Narrow" w:hAnsi="Arial Narrow" w:eastAsiaTheme="minorEastAsia"/>
                <w:szCs w:val="21"/>
              </w:rPr>
              <w:t>合计</w:t>
            </w:r>
          </w:p>
        </w:tc>
        <w:tc>
          <w:tcPr>
            <w:tcW w:w="1686" w:type="pct"/>
            <w:tcBorders>
              <w:top w:val="single" w:color="auto" w:sz="4" w:space="0"/>
              <w:left w:val="single" w:color="auto" w:sz="4" w:space="0"/>
              <w:bottom w:val="single" w:color="auto" w:sz="4" w:space="0"/>
              <w:right w:val="single" w:color="auto" w:sz="4" w:space="0"/>
            </w:tcBorders>
            <w:vAlign w:val="center"/>
          </w:tcPr>
          <w:p w14:paraId="3D1E00AB">
            <w:pPr>
              <w:jc w:val="right"/>
              <w:rPr>
                <w:rFonts w:ascii="Arial Narrow" w:hAnsi="Arial Narrow" w:eastAsiaTheme="minorEastAsia"/>
                <w:szCs w:val="21"/>
              </w:rPr>
            </w:pPr>
            <w:r>
              <w:rPr>
                <w:rFonts w:ascii="Arial Narrow" w:hAnsi="Arial Narrow" w:eastAsiaTheme="minorEastAsia"/>
                <w:color w:val="000000"/>
                <w:szCs w:val="21"/>
              </w:rPr>
              <w:t>35,988,258.60</w:t>
            </w:r>
          </w:p>
        </w:tc>
        <w:tc>
          <w:tcPr>
            <w:tcW w:w="1686" w:type="pct"/>
            <w:tcBorders>
              <w:top w:val="single" w:color="auto" w:sz="4" w:space="0"/>
              <w:left w:val="single" w:color="auto" w:sz="4" w:space="0"/>
              <w:bottom w:val="single" w:color="auto" w:sz="4" w:space="0"/>
              <w:right w:val="single" w:color="auto" w:sz="4" w:space="0"/>
            </w:tcBorders>
            <w:vAlign w:val="center"/>
          </w:tcPr>
          <w:p w14:paraId="430C6E92">
            <w:pPr>
              <w:jc w:val="right"/>
              <w:rPr>
                <w:rFonts w:ascii="Arial Narrow" w:hAnsi="Arial Narrow" w:eastAsiaTheme="minorEastAsia"/>
                <w:szCs w:val="21"/>
              </w:rPr>
            </w:pPr>
            <w:r>
              <w:rPr>
                <w:rFonts w:ascii="Arial Narrow" w:hAnsi="Arial Narrow" w:eastAsiaTheme="minorEastAsia"/>
                <w:color w:val="000000"/>
                <w:szCs w:val="21"/>
              </w:rPr>
              <w:t>36,006,668.07</w:t>
            </w:r>
          </w:p>
        </w:tc>
      </w:tr>
    </w:tbl>
    <w:p w14:paraId="7214CEE5">
      <w:pPr>
        <w:rPr>
          <w:rFonts w:hint="eastAsia"/>
        </w:rPr>
        <w:sectPr>
          <w:pgSz w:w="11906" w:h="16838"/>
          <w:pgMar w:top="1525" w:right="1276" w:bottom="1440" w:left="1797" w:header="856" w:footer="992" w:gutter="0"/>
          <w:cols w:space="425" w:num="1"/>
          <w:docGrid w:linePitch="312" w:charSpace="0"/>
        </w:sectPr>
      </w:pPr>
    </w:p>
    <w:p w14:paraId="03660DA5">
      <w:pPr>
        <w:rPr>
          <w:rFonts w:hint="eastAsia"/>
        </w:rPr>
      </w:pPr>
    </w:p>
    <w:bookmarkEnd w:id="403"/>
    <w:p w14:paraId="7D262E95">
      <w:pPr>
        <w:pStyle w:val="71"/>
        <w:numPr>
          <w:ilvl w:val="3"/>
          <w:numId w:val="175"/>
        </w:numPr>
        <w:ind w:left="426" w:hanging="426" w:hangingChars="202"/>
        <w:rPr>
          <w:rFonts w:hint="eastAsia"/>
        </w:rPr>
      </w:pPr>
      <w:bookmarkStart w:id="404" w:name="_Hlk533796703"/>
      <w:r>
        <w:rPr>
          <w:rFonts w:hint="eastAsia"/>
        </w:rPr>
        <w:t>按坏账计提方法分类披露</w:t>
      </w:r>
    </w:p>
    <w:sdt>
      <w:sdtPr>
        <w:alias w:val="是否适用：母公司应收账款按坏账计提方法分类披露[双击切换]"/>
        <w:tag w:val="_GBC_7881b37ba62844928bb3a0f84fa1312c"/>
        <w:id w:val="2144377837"/>
        <w:placeholder>
          <w:docPart w:val="GBC22222222222222222222222222222"/>
        </w:placeholder>
      </w:sdtPr>
      <w:sdtContent>
        <w:p w14:paraId="3CD5FA72">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F5CC0A">
      <w:pPr>
        <w:pStyle w:val="109"/>
        <w:autoSpaceDE w:val="0"/>
        <w:autoSpaceDN w:val="0"/>
        <w:adjustRightInd w:val="0"/>
        <w:ind w:left="425" w:right="105" w:firstLine="0" w:firstLineChars="0"/>
        <w:jc w:val="right"/>
        <w:rPr>
          <w:szCs w:val="21"/>
        </w:rPr>
      </w:pPr>
      <w:r>
        <w:rPr>
          <w:rFonts w:hint="eastAsia"/>
          <w:szCs w:val="21"/>
        </w:rPr>
        <w:t>单位：</w:t>
      </w:r>
      <w:sdt>
        <w:sdtPr>
          <w:rPr>
            <w:rFonts w:hint="eastAsia"/>
            <w:szCs w:val="21"/>
          </w:rPr>
          <w:alias w:val="单位：母公司应收账款按坏账计提方法分类披露"/>
          <w:tag w:val="_GBC_57cfa95657c1492d995c84aaa01cd7a5"/>
          <w:id w:val="6016108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账款按坏账计提方法分类披露"/>
          <w:tag w:val="_GBC_b8d2fec8e15e43c8b9a141c04cb5fea0"/>
          <w:id w:val="21274921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9"/>
        <w:gridCol w:w="1318"/>
        <w:gridCol w:w="1008"/>
        <w:gridCol w:w="1222"/>
        <w:gridCol w:w="1033"/>
        <w:gridCol w:w="1318"/>
        <w:gridCol w:w="1318"/>
        <w:gridCol w:w="1037"/>
        <w:gridCol w:w="1223"/>
        <w:gridCol w:w="1059"/>
        <w:gridCol w:w="1318"/>
      </w:tblGrid>
      <w:tr w14:paraId="685E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rPr>
              <w:rFonts w:ascii="Arial Narrow" w:hAnsi="Arial Narrow" w:eastAsiaTheme="minorEastAsia"/>
              <w:szCs w:val="21"/>
            </w:rPr>
            <w:tag w:val="_PLD_0b6f94bf734a49f28ff9eb2211eccc4e"/>
            <w:id w:val="542185857"/>
          </w:sdtPr>
          <w:sdtEndPr>
            <w:rPr>
              <w:rFonts w:ascii="Arial Narrow" w:hAnsi="Arial Narrow" w:eastAsiaTheme="minorEastAsia"/>
              <w:szCs w:val="21"/>
            </w:rPr>
          </w:sdtEndPr>
          <w:sdtContent>
            <w:tc>
              <w:tcPr>
                <w:tcW w:w="725" w:type="pct"/>
                <w:vMerge w:val="restart"/>
                <w:tcBorders>
                  <w:top w:val="single" w:color="auto" w:sz="4" w:space="0"/>
                  <w:left w:val="single" w:color="auto" w:sz="4" w:space="0"/>
                  <w:right w:val="single" w:color="auto" w:sz="4" w:space="0"/>
                </w:tcBorders>
                <w:vAlign w:val="center"/>
              </w:tcPr>
              <w:p w14:paraId="2BA199AA">
                <w:pPr>
                  <w:jc w:val="center"/>
                  <w:rPr>
                    <w:rFonts w:ascii="Arial Narrow" w:hAnsi="Arial Narrow" w:eastAsiaTheme="minorEastAsia"/>
                    <w:szCs w:val="21"/>
                  </w:rPr>
                </w:pPr>
                <w:r>
                  <w:rPr>
                    <w:rFonts w:ascii="Arial Narrow" w:hAnsi="Arial Narrow" w:eastAsiaTheme="minorEastAsia"/>
                    <w:szCs w:val="21"/>
                  </w:rPr>
                  <w:t>类别</w:t>
                </w:r>
              </w:p>
            </w:tc>
          </w:sdtContent>
        </w:sdt>
        <w:sdt>
          <w:sdtPr>
            <w:rPr>
              <w:rFonts w:ascii="Arial Narrow" w:hAnsi="Arial Narrow" w:eastAsiaTheme="minorEastAsia"/>
              <w:szCs w:val="21"/>
            </w:rPr>
            <w:tag w:val="_PLD_cadda055920649559b4578dc73b6f05e"/>
            <w:id w:val="-1182668454"/>
          </w:sdtPr>
          <w:sdtEndPr>
            <w:rPr>
              <w:rFonts w:ascii="Arial Narrow" w:hAnsi="Arial Narrow" w:eastAsiaTheme="minorEastAsia"/>
              <w:szCs w:val="21"/>
            </w:rPr>
          </w:sdtEndPr>
          <w:sdtContent>
            <w:tc>
              <w:tcPr>
                <w:tcW w:w="2128" w:type="pct"/>
                <w:gridSpan w:val="5"/>
                <w:tcBorders>
                  <w:top w:val="single" w:color="auto" w:sz="4" w:space="0"/>
                  <w:left w:val="single" w:color="auto" w:sz="4" w:space="0"/>
                  <w:right w:val="single" w:color="auto" w:sz="4" w:space="0"/>
                </w:tcBorders>
                <w:vAlign w:val="center"/>
              </w:tcPr>
              <w:p w14:paraId="7190D650">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28a8aaa48276458aa987282704951cc5"/>
            <w:id w:val="-2142185255"/>
          </w:sdtPr>
          <w:sdtEndPr>
            <w:rPr>
              <w:rFonts w:ascii="Arial Narrow" w:hAnsi="Arial Narrow" w:eastAsiaTheme="minorEastAsia"/>
              <w:szCs w:val="21"/>
            </w:rPr>
          </w:sdtEndPr>
          <w:sdtContent>
            <w:tc>
              <w:tcPr>
                <w:tcW w:w="2148" w:type="pct"/>
                <w:gridSpan w:val="5"/>
                <w:tcBorders>
                  <w:top w:val="single" w:color="auto" w:sz="4" w:space="0"/>
                  <w:left w:val="single" w:color="auto" w:sz="4" w:space="0"/>
                  <w:right w:val="single" w:color="auto" w:sz="4" w:space="0"/>
                </w:tcBorders>
                <w:vAlign w:val="center"/>
              </w:tcPr>
              <w:p w14:paraId="5C7AA6CF">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期初余额</w:t>
                </w:r>
              </w:p>
            </w:tc>
          </w:sdtContent>
        </w:sdt>
      </w:tr>
      <w:tr w14:paraId="68D3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725" w:type="pct"/>
            <w:vMerge w:val="continue"/>
            <w:tcBorders>
              <w:left w:val="single" w:color="auto" w:sz="4" w:space="0"/>
              <w:right w:val="single" w:color="auto" w:sz="4" w:space="0"/>
            </w:tcBorders>
            <w:vAlign w:val="center"/>
          </w:tcPr>
          <w:p w14:paraId="011D9CDC">
            <w:pPr>
              <w:rPr>
                <w:rFonts w:ascii="Arial Narrow" w:hAnsi="Arial Narrow" w:eastAsiaTheme="minorEastAsia"/>
                <w:szCs w:val="21"/>
              </w:rPr>
            </w:pPr>
          </w:p>
        </w:tc>
        <w:sdt>
          <w:sdtPr>
            <w:rPr>
              <w:rFonts w:ascii="Arial Narrow" w:hAnsi="Arial Narrow" w:eastAsiaTheme="minorEastAsia"/>
              <w:szCs w:val="21"/>
            </w:rPr>
            <w:tag w:val="_PLD_b6e4cad360f948d68bd5af2c3f52e83a"/>
            <w:id w:val="1663354652"/>
          </w:sdtPr>
          <w:sdtEndPr>
            <w:rPr>
              <w:rFonts w:ascii="Arial Narrow" w:hAnsi="Arial Narrow" w:eastAsiaTheme="minorEastAsia"/>
              <w:szCs w:val="21"/>
            </w:rPr>
          </w:sdtEndPr>
          <w:sdtContent>
            <w:tc>
              <w:tcPr>
                <w:tcW w:w="839" w:type="pct"/>
                <w:gridSpan w:val="2"/>
                <w:tcBorders>
                  <w:top w:val="single" w:color="auto" w:sz="4" w:space="0"/>
                  <w:left w:val="single" w:color="auto" w:sz="4" w:space="0"/>
                  <w:bottom w:val="single" w:color="auto" w:sz="4" w:space="0"/>
                  <w:right w:val="single" w:color="auto" w:sz="4" w:space="0"/>
                </w:tcBorders>
                <w:vAlign w:val="center"/>
              </w:tcPr>
              <w:p w14:paraId="6817505A">
                <w:pPr>
                  <w:jc w:val="center"/>
                  <w:rPr>
                    <w:rFonts w:ascii="Arial Narrow" w:hAnsi="Arial Narrow" w:eastAsiaTheme="minorEastAsia"/>
                    <w:szCs w:val="21"/>
                  </w:rPr>
                </w:pPr>
                <w:r>
                  <w:rPr>
                    <w:rFonts w:ascii="Arial Narrow" w:hAnsi="Arial Narrow" w:eastAsiaTheme="minorEastAsia"/>
                    <w:szCs w:val="21"/>
                  </w:rPr>
                  <w:t>账面余额</w:t>
                </w:r>
              </w:p>
            </w:tc>
          </w:sdtContent>
        </w:sdt>
        <w:sdt>
          <w:sdtPr>
            <w:rPr>
              <w:rFonts w:ascii="Arial Narrow" w:hAnsi="Arial Narrow" w:eastAsiaTheme="minorEastAsia"/>
              <w:szCs w:val="21"/>
            </w:rPr>
            <w:tag w:val="_PLD_1812a70770914fa4b8145f493ad4c468"/>
            <w:id w:val="-265775980"/>
          </w:sdtPr>
          <w:sdtEndPr>
            <w:rPr>
              <w:rFonts w:ascii="Arial Narrow" w:hAnsi="Arial Narrow" w:eastAsiaTheme="minorEastAsia"/>
              <w:szCs w:val="21"/>
            </w:rPr>
          </w:sdtEndPr>
          <w:sdtContent>
            <w:tc>
              <w:tcPr>
                <w:tcW w:w="813" w:type="pct"/>
                <w:gridSpan w:val="2"/>
                <w:tcBorders>
                  <w:top w:val="single" w:color="auto" w:sz="4" w:space="0"/>
                  <w:left w:val="single" w:color="auto" w:sz="4" w:space="0"/>
                  <w:bottom w:val="single" w:color="auto" w:sz="4" w:space="0"/>
                  <w:right w:val="single" w:color="auto" w:sz="4" w:space="0"/>
                </w:tcBorders>
                <w:vAlign w:val="center"/>
              </w:tcPr>
              <w:p w14:paraId="617281E2">
                <w:pPr>
                  <w:jc w:val="center"/>
                  <w:rPr>
                    <w:rFonts w:ascii="Arial Narrow" w:hAnsi="Arial Narrow" w:eastAsiaTheme="minorEastAsia"/>
                    <w:szCs w:val="21"/>
                  </w:rPr>
                </w:pPr>
                <w:r>
                  <w:rPr>
                    <w:rFonts w:ascii="Arial Narrow" w:hAnsi="Arial Narrow" w:eastAsiaTheme="minorEastAsia"/>
                    <w:szCs w:val="21"/>
                  </w:rPr>
                  <w:t>坏账准备</w:t>
                </w:r>
              </w:p>
            </w:tc>
          </w:sdtContent>
        </w:sdt>
        <w:sdt>
          <w:sdtPr>
            <w:rPr>
              <w:rFonts w:ascii="Arial Narrow" w:hAnsi="Arial Narrow" w:eastAsiaTheme="minorEastAsia"/>
              <w:szCs w:val="21"/>
            </w:rPr>
            <w:tag w:val="_PLD_970be2ae3a84456bb0feb4eb360d2b2f"/>
            <w:id w:val="1283845851"/>
          </w:sdtPr>
          <w:sdtEndPr>
            <w:rPr>
              <w:rFonts w:ascii="Arial Narrow" w:hAnsi="Arial Narrow" w:eastAsiaTheme="minorEastAsia"/>
              <w:szCs w:val="21"/>
            </w:rPr>
          </w:sdtEndPr>
          <w:sdtContent>
            <w:tc>
              <w:tcPr>
                <w:tcW w:w="475" w:type="pct"/>
                <w:vMerge w:val="restart"/>
                <w:tcBorders>
                  <w:top w:val="single" w:color="auto" w:sz="4" w:space="0"/>
                  <w:left w:val="single" w:color="auto" w:sz="4" w:space="0"/>
                  <w:right w:val="single" w:color="auto" w:sz="4" w:space="0"/>
                </w:tcBorders>
                <w:vAlign w:val="center"/>
              </w:tcPr>
              <w:p w14:paraId="00EDA3B5">
                <w:pPr>
                  <w:jc w:val="center"/>
                  <w:rPr>
                    <w:rFonts w:ascii="Arial Narrow" w:hAnsi="Arial Narrow" w:eastAsiaTheme="minorEastAsia"/>
                    <w:szCs w:val="21"/>
                  </w:rPr>
                </w:pPr>
                <w:r>
                  <w:rPr>
                    <w:rFonts w:ascii="Arial Narrow" w:hAnsi="Arial Narrow" w:eastAsiaTheme="minorEastAsia"/>
                    <w:szCs w:val="21"/>
                  </w:rPr>
                  <w:t>账面</w:t>
                </w:r>
              </w:p>
              <w:p w14:paraId="37ADF9BF">
                <w:pPr>
                  <w:jc w:val="center"/>
                  <w:rPr>
                    <w:rFonts w:ascii="Arial Narrow" w:hAnsi="Arial Narrow" w:eastAsiaTheme="minorEastAsia"/>
                    <w:szCs w:val="21"/>
                  </w:rPr>
                </w:pPr>
                <w:r>
                  <w:rPr>
                    <w:rFonts w:ascii="Arial Narrow" w:hAnsi="Arial Narrow" w:eastAsiaTheme="minorEastAsia"/>
                    <w:szCs w:val="21"/>
                  </w:rPr>
                  <w:t>价值</w:t>
                </w:r>
              </w:p>
            </w:tc>
          </w:sdtContent>
        </w:sdt>
        <w:sdt>
          <w:sdtPr>
            <w:rPr>
              <w:rFonts w:ascii="Arial Narrow" w:hAnsi="Arial Narrow" w:eastAsiaTheme="minorEastAsia"/>
              <w:szCs w:val="21"/>
            </w:rPr>
            <w:tag w:val="_PLD_be04f05fbfa341e1a7546ee304164c92"/>
            <w:id w:val="-1142725432"/>
          </w:sdtPr>
          <w:sdtEndPr>
            <w:rPr>
              <w:rFonts w:ascii="Arial Narrow" w:hAnsi="Arial Narrow" w:eastAsiaTheme="minorEastAsia"/>
              <w:szCs w:val="21"/>
            </w:rPr>
          </w:sdtEndPr>
          <w:sdtContent>
            <w:tc>
              <w:tcPr>
                <w:tcW w:w="849" w:type="pct"/>
                <w:gridSpan w:val="2"/>
                <w:tcBorders>
                  <w:top w:val="single" w:color="auto" w:sz="4" w:space="0"/>
                  <w:left w:val="single" w:color="auto" w:sz="4" w:space="0"/>
                  <w:right w:val="single" w:color="auto" w:sz="4" w:space="0"/>
                </w:tcBorders>
                <w:vAlign w:val="center"/>
              </w:tcPr>
              <w:p w14:paraId="2852E78F">
                <w:pPr>
                  <w:jc w:val="center"/>
                  <w:rPr>
                    <w:rFonts w:ascii="Arial Narrow" w:hAnsi="Arial Narrow" w:eastAsiaTheme="minorEastAsia"/>
                    <w:szCs w:val="21"/>
                  </w:rPr>
                </w:pPr>
                <w:r>
                  <w:rPr>
                    <w:rFonts w:ascii="Arial Narrow" w:hAnsi="Arial Narrow" w:eastAsiaTheme="minorEastAsia"/>
                    <w:szCs w:val="21"/>
                  </w:rPr>
                  <w:t>账面余额</w:t>
                </w:r>
              </w:p>
            </w:tc>
          </w:sdtContent>
        </w:sdt>
        <w:sdt>
          <w:sdtPr>
            <w:rPr>
              <w:rFonts w:ascii="Arial Narrow" w:hAnsi="Arial Narrow" w:eastAsiaTheme="minorEastAsia"/>
              <w:szCs w:val="21"/>
            </w:rPr>
            <w:tag w:val="_PLD_708baf88b6ab4f6ca208582ef2033d3e"/>
            <w:id w:val="-1807235301"/>
          </w:sdtPr>
          <w:sdtEndPr>
            <w:rPr>
              <w:rFonts w:ascii="Arial Narrow" w:hAnsi="Arial Narrow" w:eastAsiaTheme="minorEastAsia"/>
              <w:szCs w:val="21"/>
            </w:rPr>
          </w:sdtEndPr>
          <w:sdtContent>
            <w:tc>
              <w:tcPr>
                <w:tcW w:w="823" w:type="pct"/>
                <w:gridSpan w:val="2"/>
                <w:tcBorders>
                  <w:top w:val="single" w:color="auto" w:sz="4" w:space="0"/>
                  <w:left w:val="single" w:color="auto" w:sz="4" w:space="0"/>
                  <w:right w:val="single" w:color="auto" w:sz="4" w:space="0"/>
                </w:tcBorders>
                <w:vAlign w:val="center"/>
              </w:tcPr>
              <w:p w14:paraId="0F8A2FB8">
                <w:pPr>
                  <w:jc w:val="center"/>
                  <w:rPr>
                    <w:rFonts w:ascii="Arial Narrow" w:hAnsi="Arial Narrow" w:eastAsiaTheme="minorEastAsia"/>
                    <w:szCs w:val="21"/>
                  </w:rPr>
                </w:pPr>
                <w:r>
                  <w:rPr>
                    <w:rFonts w:ascii="Arial Narrow" w:hAnsi="Arial Narrow" w:eastAsiaTheme="minorEastAsia"/>
                    <w:szCs w:val="21"/>
                  </w:rPr>
                  <w:t>坏账准备</w:t>
                </w:r>
              </w:p>
            </w:tc>
          </w:sdtContent>
        </w:sdt>
        <w:sdt>
          <w:sdtPr>
            <w:rPr>
              <w:rFonts w:ascii="Arial Narrow" w:hAnsi="Arial Narrow" w:eastAsiaTheme="minorEastAsia"/>
              <w:szCs w:val="21"/>
            </w:rPr>
            <w:tag w:val="_PLD_7c2453d3d43547428eaaafae8df8b7d0"/>
            <w:id w:val="-944616035"/>
          </w:sdtPr>
          <w:sdtEndPr>
            <w:rPr>
              <w:rFonts w:ascii="Arial Narrow" w:hAnsi="Arial Narrow" w:eastAsiaTheme="minorEastAsia"/>
              <w:szCs w:val="21"/>
            </w:rPr>
          </w:sdtEndPr>
          <w:sdtContent>
            <w:tc>
              <w:tcPr>
                <w:tcW w:w="475" w:type="pct"/>
                <w:vMerge w:val="restart"/>
                <w:tcBorders>
                  <w:top w:val="single" w:color="auto" w:sz="4" w:space="0"/>
                  <w:left w:val="single" w:color="auto" w:sz="4" w:space="0"/>
                  <w:right w:val="single" w:color="auto" w:sz="4" w:space="0"/>
                </w:tcBorders>
                <w:vAlign w:val="center"/>
              </w:tcPr>
              <w:p w14:paraId="4355665B">
                <w:pPr>
                  <w:jc w:val="center"/>
                  <w:rPr>
                    <w:rFonts w:ascii="Arial Narrow" w:hAnsi="Arial Narrow" w:eastAsiaTheme="minorEastAsia"/>
                    <w:szCs w:val="21"/>
                  </w:rPr>
                </w:pPr>
                <w:r>
                  <w:rPr>
                    <w:rFonts w:ascii="Arial Narrow" w:hAnsi="Arial Narrow" w:eastAsiaTheme="minorEastAsia"/>
                    <w:szCs w:val="21"/>
                  </w:rPr>
                  <w:t>账面</w:t>
                </w:r>
              </w:p>
              <w:p w14:paraId="3E4499F5">
                <w:pPr>
                  <w:jc w:val="center"/>
                  <w:rPr>
                    <w:rFonts w:ascii="Arial Narrow" w:hAnsi="Arial Narrow" w:eastAsiaTheme="minorEastAsia"/>
                    <w:szCs w:val="21"/>
                  </w:rPr>
                </w:pPr>
                <w:r>
                  <w:rPr>
                    <w:rFonts w:ascii="Arial Narrow" w:hAnsi="Arial Narrow" w:eastAsiaTheme="minorEastAsia"/>
                    <w:szCs w:val="21"/>
                  </w:rPr>
                  <w:t>价值</w:t>
                </w:r>
              </w:p>
            </w:tc>
          </w:sdtContent>
        </w:sdt>
      </w:tr>
      <w:tr w14:paraId="5773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5" w:type="pct"/>
            <w:vMerge w:val="continue"/>
            <w:tcBorders>
              <w:left w:val="single" w:color="auto" w:sz="4" w:space="0"/>
              <w:bottom w:val="single" w:color="auto" w:sz="4" w:space="0"/>
              <w:right w:val="single" w:color="auto" w:sz="4" w:space="0"/>
            </w:tcBorders>
            <w:vAlign w:val="center"/>
          </w:tcPr>
          <w:p w14:paraId="09148D7D">
            <w:pPr>
              <w:rPr>
                <w:rFonts w:ascii="Arial Narrow" w:hAnsi="Arial Narrow" w:eastAsiaTheme="minorEastAsia"/>
                <w:szCs w:val="21"/>
              </w:rPr>
            </w:pPr>
          </w:p>
        </w:tc>
        <w:sdt>
          <w:sdtPr>
            <w:rPr>
              <w:rFonts w:ascii="Arial Narrow" w:hAnsi="Arial Narrow" w:eastAsiaTheme="minorEastAsia"/>
              <w:szCs w:val="21"/>
            </w:rPr>
            <w:tag w:val="_PLD_c5c981ae53b144af90139d228c5285af"/>
            <w:id w:val="-570420861"/>
          </w:sdtPr>
          <w:sdtEndPr>
            <w:rPr>
              <w:rFonts w:ascii="Arial Narrow" w:hAnsi="Arial Narrow" w:eastAsiaTheme="minorEastAsia"/>
              <w:szCs w:val="21"/>
            </w:rPr>
          </w:sdtEndPr>
          <w:sdtContent>
            <w:tc>
              <w:tcPr>
                <w:tcW w:w="475" w:type="pct"/>
                <w:tcBorders>
                  <w:left w:val="single" w:color="auto" w:sz="4" w:space="0"/>
                  <w:bottom w:val="single" w:color="auto" w:sz="4" w:space="0"/>
                  <w:right w:val="single" w:color="auto" w:sz="4" w:space="0"/>
                </w:tcBorders>
                <w:vAlign w:val="center"/>
              </w:tcPr>
              <w:p w14:paraId="74849AD8">
                <w:pPr>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c62cdb22fba648808acfebda9f29289b"/>
            <w:id w:val="265737560"/>
          </w:sdtPr>
          <w:sdtEndPr>
            <w:rPr>
              <w:rFonts w:ascii="Arial Narrow" w:hAnsi="Arial Narrow" w:eastAsiaTheme="minorEastAsia"/>
              <w:szCs w:val="21"/>
            </w:rPr>
          </w:sdtEndPr>
          <w:sdtContent>
            <w:tc>
              <w:tcPr>
                <w:tcW w:w="364" w:type="pct"/>
                <w:tcBorders>
                  <w:left w:val="single" w:color="auto" w:sz="4" w:space="0"/>
                  <w:bottom w:val="single" w:color="auto" w:sz="4" w:space="0"/>
                  <w:right w:val="single" w:color="auto" w:sz="4" w:space="0"/>
                </w:tcBorders>
                <w:vAlign w:val="center"/>
              </w:tcPr>
              <w:p w14:paraId="1E3557A4">
                <w:pPr>
                  <w:jc w:val="center"/>
                  <w:rPr>
                    <w:rFonts w:ascii="Arial Narrow" w:hAnsi="Arial Narrow" w:eastAsiaTheme="minorEastAsia"/>
                    <w:szCs w:val="21"/>
                  </w:rPr>
                </w:pPr>
                <w:r>
                  <w:rPr>
                    <w:rFonts w:ascii="Arial Narrow" w:hAnsi="Arial Narrow" w:eastAsiaTheme="minorEastAsia"/>
                    <w:szCs w:val="21"/>
                  </w:rPr>
                  <w:t>比例(%)</w:t>
                </w:r>
              </w:p>
            </w:tc>
          </w:sdtContent>
        </w:sdt>
        <w:sdt>
          <w:sdtPr>
            <w:rPr>
              <w:rFonts w:ascii="Arial Narrow" w:hAnsi="Arial Narrow" w:eastAsiaTheme="minorEastAsia"/>
              <w:szCs w:val="21"/>
            </w:rPr>
            <w:tag w:val="_PLD_d259a31756a946a6a441328cc78413fc"/>
            <w:id w:val="-138650605"/>
          </w:sdtPr>
          <w:sdtEndPr>
            <w:rPr>
              <w:rFonts w:ascii="Arial Narrow" w:hAnsi="Arial Narrow" w:eastAsiaTheme="minorEastAsia"/>
              <w:szCs w:val="21"/>
            </w:rPr>
          </w:sdtEndPr>
          <w:sdtContent>
            <w:tc>
              <w:tcPr>
                <w:tcW w:w="441" w:type="pct"/>
                <w:tcBorders>
                  <w:left w:val="single" w:color="auto" w:sz="4" w:space="0"/>
                  <w:bottom w:val="single" w:color="auto" w:sz="4" w:space="0"/>
                  <w:right w:val="single" w:color="auto" w:sz="4" w:space="0"/>
                </w:tcBorders>
                <w:vAlign w:val="center"/>
              </w:tcPr>
              <w:p w14:paraId="7F6FFC20">
                <w:pPr>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f74078100e7348efb6fa93b2ac934809"/>
            <w:id w:val="-1615971439"/>
          </w:sdtPr>
          <w:sdtEndPr>
            <w:rPr>
              <w:rFonts w:ascii="Arial Narrow" w:hAnsi="Arial Narrow" w:eastAsiaTheme="minorEastAsia"/>
              <w:szCs w:val="21"/>
            </w:rPr>
          </w:sdtEndPr>
          <w:sdtContent>
            <w:tc>
              <w:tcPr>
                <w:tcW w:w="373" w:type="pct"/>
                <w:tcBorders>
                  <w:left w:val="single" w:color="auto" w:sz="4" w:space="0"/>
                  <w:bottom w:val="single" w:color="auto" w:sz="4" w:space="0"/>
                  <w:right w:val="single" w:color="auto" w:sz="4" w:space="0"/>
                </w:tcBorders>
                <w:vAlign w:val="center"/>
              </w:tcPr>
              <w:p w14:paraId="062857C2">
                <w:pPr>
                  <w:jc w:val="center"/>
                  <w:rPr>
                    <w:rFonts w:ascii="Arial Narrow" w:hAnsi="Arial Narrow" w:eastAsiaTheme="minorEastAsia"/>
                    <w:szCs w:val="21"/>
                  </w:rPr>
                </w:pPr>
                <w:r>
                  <w:rPr>
                    <w:rFonts w:ascii="Arial Narrow" w:hAnsi="Arial Narrow" w:eastAsiaTheme="minorEastAsia"/>
                    <w:szCs w:val="21"/>
                  </w:rPr>
                  <w:t>计提比例(%)</w:t>
                </w:r>
              </w:p>
            </w:tc>
          </w:sdtContent>
        </w:sdt>
        <w:tc>
          <w:tcPr>
            <w:tcW w:w="475" w:type="pct"/>
            <w:vMerge w:val="continue"/>
            <w:tcBorders>
              <w:left w:val="single" w:color="auto" w:sz="4" w:space="0"/>
              <w:bottom w:val="single" w:color="auto" w:sz="4" w:space="0"/>
              <w:right w:val="single" w:color="auto" w:sz="4" w:space="0"/>
            </w:tcBorders>
            <w:vAlign w:val="center"/>
          </w:tcPr>
          <w:p w14:paraId="54BB51F7">
            <w:pPr>
              <w:jc w:val="center"/>
              <w:rPr>
                <w:rFonts w:ascii="Arial Narrow" w:hAnsi="Arial Narrow" w:eastAsiaTheme="minorEastAsia"/>
                <w:szCs w:val="21"/>
              </w:rPr>
            </w:pPr>
          </w:p>
        </w:tc>
        <w:sdt>
          <w:sdtPr>
            <w:rPr>
              <w:rFonts w:ascii="Arial Narrow" w:hAnsi="Arial Narrow" w:eastAsiaTheme="minorEastAsia"/>
              <w:szCs w:val="21"/>
            </w:rPr>
            <w:tag w:val="_PLD_4b188b463cd04b5f935c04bb97091ad7"/>
            <w:id w:val="-1214199595"/>
          </w:sdtPr>
          <w:sdtEndPr>
            <w:rPr>
              <w:rFonts w:ascii="Arial Narrow" w:hAnsi="Arial Narrow" w:eastAsiaTheme="minorEastAsia"/>
              <w:szCs w:val="21"/>
            </w:rPr>
          </w:sdtEndPr>
          <w:sdtContent>
            <w:tc>
              <w:tcPr>
                <w:tcW w:w="475" w:type="pct"/>
                <w:tcBorders>
                  <w:left w:val="single" w:color="auto" w:sz="4" w:space="0"/>
                  <w:bottom w:val="single" w:color="auto" w:sz="4" w:space="0"/>
                  <w:right w:val="single" w:color="auto" w:sz="4" w:space="0"/>
                </w:tcBorders>
                <w:vAlign w:val="center"/>
              </w:tcPr>
              <w:p w14:paraId="31445C2E">
                <w:pPr>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0eb49b8077f24050b883fe1c83156c6a"/>
            <w:id w:val="-376857840"/>
          </w:sdtPr>
          <w:sdtEndPr>
            <w:rPr>
              <w:rFonts w:ascii="Arial Narrow" w:hAnsi="Arial Narrow" w:eastAsiaTheme="minorEastAsia"/>
              <w:szCs w:val="21"/>
            </w:rPr>
          </w:sdtEndPr>
          <w:sdtContent>
            <w:tc>
              <w:tcPr>
                <w:tcW w:w="374" w:type="pct"/>
                <w:tcBorders>
                  <w:left w:val="single" w:color="auto" w:sz="4" w:space="0"/>
                  <w:bottom w:val="single" w:color="auto" w:sz="4" w:space="0"/>
                  <w:right w:val="single" w:color="auto" w:sz="4" w:space="0"/>
                </w:tcBorders>
                <w:vAlign w:val="center"/>
              </w:tcPr>
              <w:p w14:paraId="26911652">
                <w:pPr>
                  <w:jc w:val="center"/>
                  <w:rPr>
                    <w:rFonts w:ascii="Arial Narrow" w:hAnsi="Arial Narrow" w:eastAsiaTheme="minorEastAsia"/>
                    <w:szCs w:val="21"/>
                  </w:rPr>
                </w:pPr>
                <w:r>
                  <w:rPr>
                    <w:rFonts w:ascii="Arial Narrow" w:hAnsi="Arial Narrow" w:eastAsiaTheme="minorEastAsia"/>
                    <w:szCs w:val="21"/>
                  </w:rPr>
                  <w:t>比例(%)</w:t>
                </w:r>
              </w:p>
            </w:tc>
          </w:sdtContent>
        </w:sdt>
        <w:sdt>
          <w:sdtPr>
            <w:rPr>
              <w:rFonts w:ascii="Arial Narrow" w:hAnsi="Arial Narrow" w:eastAsiaTheme="minorEastAsia"/>
              <w:szCs w:val="21"/>
            </w:rPr>
            <w:tag w:val="_PLD_97b959dafb2649fe9097ba91d4d77a2f"/>
            <w:id w:val="566538649"/>
          </w:sdtPr>
          <w:sdtEndPr>
            <w:rPr>
              <w:rFonts w:ascii="Arial Narrow" w:hAnsi="Arial Narrow" w:eastAsiaTheme="minorEastAsia"/>
              <w:szCs w:val="21"/>
            </w:rPr>
          </w:sdtEndPr>
          <w:sdtContent>
            <w:tc>
              <w:tcPr>
                <w:tcW w:w="441" w:type="pct"/>
                <w:tcBorders>
                  <w:left w:val="single" w:color="auto" w:sz="4" w:space="0"/>
                  <w:bottom w:val="single" w:color="auto" w:sz="4" w:space="0"/>
                  <w:right w:val="single" w:color="auto" w:sz="4" w:space="0"/>
                </w:tcBorders>
                <w:vAlign w:val="center"/>
              </w:tcPr>
              <w:p w14:paraId="271217D0">
                <w:pPr>
                  <w:jc w:val="center"/>
                  <w:rPr>
                    <w:rFonts w:ascii="Arial Narrow" w:hAnsi="Arial Narrow" w:eastAsiaTheme="minorEastAsia"/>
                    <w:szCs w:val="21"/>
                  </w:rPr>
                </w:pPr>
                <w:r>
                  <w:rPr>
                    <w:rFonts w:ascii="Arial Narrow" w:hAnsi="Arial Narrow" w:eastAsiaTheme="minorEastAsia"/>
                    <w:szCs w:val="21"/>
                  </w:rPr>
                  <w:t>金额</w:t>
                </w:r>
              </w:p>
            </w:tc>
          </w:sdtContent>
        </w:sdt>
        <w:sdt>
          <w:sdtPr>
            <w:rPr>
              <w:rFonts w:ascii="Arial Narrow" w:hAnsi="Arial Narrow" w:eastAsiaTheme="minorEastAsia"/>
              <w:szCs w:val="21"/>
            </w:rPr>
            <w:tag w:val="_PLD_99dda048c2a04725a5d8bfac8b356378"/>
            <w:id w:val="-1830735630"/>
          </w:sdtPr>
          <w:sdtEndPr>
            <w:rPr>
              <w:rFonts w:ascii="Arial Narrow" w:hAnsi="Arial Narrow" w:eastAsiaTheme="minorEastAsia"/>
              <w:szCs w:val="21"/>
            </w:rPr>
          </w:sdtEndPr>
          <w:sdtContent>
            <w:tc>
              <w:tcPr>
                <w:tcW w:w="382" w:type="pct"/>
                <w:tcBorders>
                  <w:left w:val="single" w:color="auto" w:sz="4" w:space="0"/>
                  <w:bottom w:val="single" w:color="auto" w:sz="4" w:space="0"/>
                  <w:right w:val="single" w:color="auto" w:sz="4" w:space="0"/>
                </w:tcBorders>
                <w:vAlign w:val="center"/>
              </w:tcPr>
              <w:p w14:paraId="7C286019">
                <w:pPr>
                  <w:jc w:val="center"/>
                  <w:rPr>
                    <w:rFonts w:ascii="Arial Narrow" w:hAnsi="Arial Narrow" w:eastAsiaTheme="minorEastAsia"/>
                    <w:szCs w:val="21"/>
                  </w:rPr>
                </w:pPr>
                <w:r>
                  <w:rPr>
                    <w:rFonts w:ascii="Arial Narrow" w:hAnsi="Arial Narrow" w:eastAsiaTheme="minorEastAsia"/>
                    <w:szCs w:val="21"/>
                  </w:rPr>
                  <w:t>计提比例(%)</w:t>
                </w:r>
              </w:p>
            </w:tc>
          </w:sdtContent>
        </w:sdt>
        <w:tc>
          <w:tcPr>
            <w:tcW w:w="475" w:type="pct"/>
            <w:vMerge w:val="continue"/>
            <w:tcBorders>
              <w:left w:val="single" w:color="auto" w:sz="4" w:space="0"/>
              <w:bottom w:val="single" w:color="auto" w:sz="4" w:space="0"/>
              <w:right w:val="single" w:color="auto" w:sz="4" w:space="0"/>
            </w:tcBorders>
            <w:vAlign w:val="center"/>
          </w:tcPr>
          <w:p w14:paraId="33FBA19C">
            <w:pPr>
              <w:jc w:val="center"/>
              <w:rPr>
                <w:rFonts w:ascii="Arial Narrow" w:hAnsi="Arial Narrow" w:eastAsiaTheme="minorEastAsia"/>
                <w:szCs w:val="21"/>
              </w:rPr>
            </w:pPr>
          </w:p>
        </w:tc>
      </w:tr>
      <w:tr w14:paraId="0FD3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14:paraId="3D5D7145">
            <w:pPr>
              <w:rPr>
                <w:rFonts w:ascii="Arial Narrow" w:hAnsi="Arial Narrow" w:eastAsiaTheme="minorEastAsia"/>
                <w:szCs w:val="21"/>
              </w:rPr>
            </w:pPr>
            <w:r>
              <w:rPr>
                <w:rFonts w:ascii="Arial Narrow" w:hAnsi="Arial Narrow" w:eastAsiaTheme="minorEastAsia"/>
                <w:szCs w:val="21"/>
              </w:rPr>
              <w:t>按组合计提坏账准备</w:t>
            </w:r>
          </w:p>
        </w:tc>
        <w:tc>
          <w:tcPr>
            <w:tcW w:w="475" w:type="pct"/>
            <w:tcBorders>
              <w:top w:val="single" w:color="auto" w:sz="4" w:space="0"/>
              <w:left w:val="single" w:color="auto" w:sz="4" w:space="0"/>
              <w:bottom w:val="single" w:color="auto" w:sz="4" w:space="0"/>
              <w:right w:val="single" w:color="auto" w:sz="4" w:space="0"/>
            </w:tcBorders>
            <w:vAlign w:val="center"/>
          </w:tcPr>
          <w:p w14:paraId="44CF2D59">
            <w:pPr>
              <w:jc w:val="right"/>
              <w:rPr>
                <w:rFonts w:ascii="Arial Narrow" w:hAnsi="Arial Narrow" w:eastAsiaTheme="minorEastAsia"/>
                <w:szCs w:val="21"/>
              </w:rPr>
            </w:pPr>
            <w:r>
              <w:rPr>
                <w:rFonts w:ascii="Arial Narrow" w:hAnsi="Arial Narrow" w:eastAsiaTheme="minorEastAsia"/>
                <w:color w:val="000000"/>
                <w:szCs w:val="21"/>
              </w:rPr>
              <w:t>35,988,258.60</w:t>
            </w:r>
          </w:p>
        </w:tc>
        <w:tc>
          <w:tcPr>
            <w:tcW w:w="364" w:type="pct"/>
            <w:tcBorders>
              <w:top w:val="single" w:color="auto" w:sz="4" w:space="0"/>
              <w:left w:val="single" w:color="auto" w:sz="4" w:space="0"/>
              <w:bottom w:val="single" w:color="auto" w:sz="4" w:space="0"/>
              <w:right w:val="single" w:color="auto" w:sz="4" w:space="0"/>
            </w:tcBorders>
            <w:vAlign w:val="center"/>
          </w:tcPr>
          <w:p w14:paraId="5B0B7B88">
            <w:pPr>
              <w:jc w:val="right"/>
              <w:rPr>
                <w:rFonts w:ascii="Arial Narrow" w:hAnsi="Arial Narrow" w:eastAsiaTheme="minorEastAsia"/>
                <w:szCs w:val="21"/>
              </w:rPr>
            </w:pPr>
            <w:r>
              <w:rPr>
                <w:rFonts w:ascii="Arial Narrow" w:hAnsi="Arial Narrow" w:eastAsiaTheme="minorEastAsia"/>
                <w:color w:val="000000"/>
                <w:szCs w:val="21"/>
              </w:rPr>
              <w:t>100.00</w:t>
            </w:r>
          </w:p>
        </w:tc>
        <w:tc>
          <w:tcPr>
            <w:tcW w:w="441" w:type="pct"/>
            <w:tcBorders>
              <w:top w:val="single" w:color="auto" w:sz="4" w:space="0"/>
              <w:left w:val="single" w:color="auto" w:sz="4" w:space="0"/>
              <w:bottom w:val="single" w:color="auto" w:sz="4" w:space="0"/>
              <w:right w:val="single" w:color="auto" w:sz="4" w:space="0"/>
            </w:tcBorders>
            <w:vAlign w:val="center"/>
          </w:tcPr>
          <w:p w14:paraId="628F0631">
            <w:pPr>
              <w:jc w:val="right"/>
              <w:rPr>
                <w:rFonts w:ascii="Arial Narrow" w:hAnsi="Arial Narrow" w:eastAsiaTheme="minorEastAsia"/>
                <w:szCs w:val="21"/>
              </w:rPr>
            </w:pPr>
            <w:r>
              <w:rPr>
                <w:rFonts w:ascii="Arial Narrow" w:hAnsi="Arial Narrow" w:eastAsiaTheme="minorEastAsia"/>
                <w:color w:val="000000"/>
                <w:szCs w:val="21"/>
              </w:rPr>
              <w:t>1,309,843.27</w:t>
            </w:r>
          </w:p>
        </w:tc>
        <w:tc>
          <w:tcPr>
            <w:tcW w:w="373" w:type="pct"/>
            <w:tcBorders>
              <w:top w:val="single" w:color="auto" w:sz="4" w:space="0"/>
              <w:left w:val="single" w:color="auto" w:sz="4" w:space="0"/>
              <w:bottom w:val="single" w:color="auto" w:sz="4" w:space="0"/>
              <w:right w:val="single" w:color="auto" w:sz="4" w:space="0"/>
            </w:tcBorders>
            <w:vAlign w:val="center"/>
          </w:tcPr>
          <w:p w14:paraId="23ED7452">
            <w:pPr>
              <w:jc w:val="right"/>
              <w:rPr>
                <w:rFonts w:ascii="Arial Narrow" w:hAnsi="Arial Narrow" w:eastAsiaTheme="minorEastAsia"/>
                <w:szCs w:val="21"/>
              </w:rPr>
            </w:pPr>
            <w:r>
              <w:rPr>
                <w:rFonts w:ascii="Arial Narrow" w:hAnsi="Arial Narrow" w:eastAsiaTheme="minorEastAsia"/>
                <w:color w:val="000000"/>
                <w:szCs w:val="21"/>
              </w:rPr>
              <w:t>3.64</w:t>
            </w:r>
          </w:p>
        </w:tc>
        <w:tc>
          <w:tcPr>
            <w:tcW w:w="475" w:type="pct"/>
            <w:tcBorders>
              <w:top w:val="single" w:color="auto" w:sz="4" w:space="0"/>
              <w:left w:val="single" w:color="auto" w:sz="4" w:space="0"/>
              <w:bottom w:val="single" w:color="auto" w:sz="4" w:space="0"/>
              <w:right w:val="single" w:color="auto" w:sz="4" w:space="0"/>
            </w:tcBorders>
            <w:vAlign w:val="center"/>
          </w:tcPr>
          <w:p w14:paraId="6794448E">
            <w:pPr>
              <w:jc w:val="right"/>
              <w:rPr>
                <w:rFonts w:ascii="Arial Narrow" w:hAnsi="Arial Narrow" w:eastAsiaTheme="minorEastAsia"/>
                <w:szCs w:val="21"/>
              </w:rPr>
            </w:pPr>
            <w:r>
              <w:rPr>
                <w:rFonts w:ascii="Arial Narrow" w:hAnsi="Arial Narrow" w:eastAsiaTheme="minorEastAsia"/>
                <w:color w:val="000000"/>
                <w:szCs w:val="21"/>
              </w:rPr>
              <w:t>34,678,415.33</w:t>
            </w:r>
          </w:p>
        </w:tc>
        <w:tc>
          <w:tcPr>
            <w:tcW w:w="475" w:type="pct"/>
            <w:tcBorders>
              <w:top w:val="single" w:color="auto" w:sz="4" w:space="0"/>
              <w:left w:val="single" w:color="auto" w:sz="4" w:space="0"/>
              <w:bottom w:val="single" w:color="auto" w:sz="4" w:space="0"/>
              <w:right w:val="single" w:color="auto" w:sz="4" w:space="0"/>
            </w:tcBorders>
            <w:vAlign w:val="center"/>
          </w:tcPr>
          <w:p w14:paraId="3E16E277">
            <w:pPr>
              <w:jc w:val="right"/>
              <w:rPr>
                <w:rFonts w:ascii="Arial Narrow" w:hAnsi="Arial Narrow" w:eastAsiaTheme="minorEastAsia"/>
                <w:szCs w:val="21"/>
              </w:rPr>
            </w:pPr>
            <w:r>
              <w:rPr>
                <w:rFonts w:ascii="Arial Narrow" w:hAnsi="Arial Narrow" w:eastAsiaTheme="minorEastAsia"/>
                <w:color w:val="000000"/>
                <w:szCs w:val="21"/>
              </w:rPr>
              <w:t>36,006,668.07</w:t>
            </w:r>
          </w:p>
        </w:tc>
        <w:tc>
          <w:tcPr>
            <w:tcW w:w="374" w:type="pct"/>
            <w:tcBorders>
              <w:top w:val="single" w:color="auto" w:sz="4" w:space="0"/>
              <w:left w:val="single" w:color="auto" w:sz="4" w:space="0"/>
              <w:bottom w:val="single" w:color="auto" w:sz="4" w:space="0"/>
              <w:right w:val="single" w:color="auto" w:sz="4" w:space="0"/>
            </w:tcBorders>
            <w:vAlign w:val="center"/>
          </w:tcPr>
          <w:p w14:paraId="0EFAB1C5">
            <w:pPr>
              <w:jc w:val="right"/>
              <w:rPr>
                <w:rFonts w:ascii="Arial Narrow" w:hAnsi="Arial Narrow" w:eastAsiaTheme="minorEastAsia"/>
                <w:szCs w:val="21"/>
              </w:rPr>
            </w:pPr>
            <w:r>
              <w:rPr>
                <w:rFonts w:ascii="Arial Narrow" w:hAnsi="Arial Narrow" w:eastAsiaTheme="minorEastAsia"/>
                <w:color w:val="000000"/>
                <w:szCs w:val="21"/>
              </w:rPr>
              <w:t>100.00</w:t>
            </w:r>
          </w:p>
        </w:tc>
        <w:tc>
          <w:tcPr>
            <w:tcW w:w="441" w:type="pct"/>
            <w:tcBorders>
              <w:top w:val="single" w:color="auto" w:sz="4" w:space="0"/>
              <w:left w:val="single" w:color="auto" w:sz="4" w:space="0"/>
              <w:bottom w:val="single" w:color="auto" w:sz="4" w:space="0"/>
              <w:right w:val="single" w:color="auto" w:sz="4" w:space="0"/>
            </w:tcBorders>
            <w:vAlign w:val="center"/>
          </w:tcPr>
          <w:p w14:paraId="4282916E">
            <w:pPr>
              <w:jc w:val="right"/>
              <w:rPr>
                <w:rFonts w:ascii="Arial Narrow" w:hAnsi="Arial Narrow" w:eastAsiaTheme="minorEastAsia"/>
                <w:szCs w:val="21"/>
              </w:rPr>
            </w:pPr>
            <w:r>
              <w:rPr>
                <w:rFonts w:ascii="Arial Narrow" w:hAnsi="Arial Narrow" w:eastAsiaTheme="minorEastAsia"/>
                <w:color w:val="000000"/>
                <w:szCs w:val="21"/>
              </w:rPr>
              <w:t>1,261,338.33</w:t>
            </w:r>
          </w:p>
        </w:tc>
        <w:tc>
          <w:tcPr>
            <w:tcW w:w="382" w:type="pct"/>
            <w:tcBorders>
              <w:top w:val="single" w:color="auto" w:sz="4" w:space="0"/>
              <w:left w:val="single" w:color="auto" w:sz="4" w:space="0"/>
              <w:bottom w:val="single" w:color="auto" w:sz="4" w:space="0"/>
              <w:right w:val="single" w:color="auto" w:sz="4" w:space="0"/>
            </w:tcBorders>
            <w:vAlign w:val="center"/>
          </w:tcPr>
          <w:p w14:paraId="26121203">
            <w:pPr>
              <w:jc w:val="right"/>
              <w:rPr>
                <w:rFonts w:ascii="Arial Narrow" w:hAnsi="Arial Narrow" w:eastAsiaTheme="minorEastAsia"/>
                <w:szCs w:val="21"/>
              </w:rPr>
            </w:pPr>
            <w:r>
              <w:rPr>
                <w:rFonts w:ascii="Arial Narrow" w:hAnsi="Arial Narrow" w:eastAsiaTheme="minorEastAsia"/>
                <w:color w:val="000000"/>
                <w:szCs w:val="21"/>
              </w:rPr>
              <w:t>3.50</w:t>
            </w:r>
          </w:p>
        </w:tc>
        <w:tc>
          <w:tcPr>
            <w:tcW w:w="475" w:type="pct"/>
            <w:tcBorders>
              <w:top w:val="single" w:color="auto" w:sz="4" w:space="0"/>
              <w:left w:val="single" w:color="auto" w:sz="4" w:space="0"/>
              <w:bottom w:val="single" w:color="auto" w:sz="4" w:space="0"/>
              <w:right w:val="single" w:color="auto" w:sz="4" w:space="0"/>
            </w:tcBorders>
            <w:vAlign w:val="center"/>
          </w:tcPr>
          <w:p w14:paraId="1E49C9E5">
            <w:pPr>
              <w:jc w:val="right"/>
              <w:rPr>
                <w:rFonts w:ascii="Arial Narrow" w:hAnsi="Arial Narrow" w:eastAsiaTheme="minorEastAsia"/>
                <w:szCs w:val="21"/>
              </w:rPr>
            </w:pPr>
            <w:r>
              <w:rPr>
                <w:rFonts w:ascii="Arial Narrow" w:hAnsi="Arial Narrow" w:eastAsiaTheme="minorEastAsia"/>
                <w:color w:val="000000"/>
                <w:szCs w:val="21"/>
              </w:rPr>
              <w:t>34,745,329.74</w:t>
            </w:r>
          </w:p>
        </w:tc>
      </w:tr>
      <w:tr w14:paraId="2DD3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szCs w:val="21"/>
            </w:rPr>
            <w:tag w:val="_PLD_3e90aa50b20c494dafda2d9726e46570"/>
            <w:id w:val="1160582817"/>
          </w:sdtPr>
          <w:sdtEndPr>
            <w:rPr>
              <w:rFonts w:ascii="Arial Narrow" w:hAnsi="Arial Narrow" w:eastAsiaTheme="minorEastAsia"/>
              <w:szCs w:val="21"/>
            </w:rPr>
          </w:sdtEndPr>
          <w:sdtContent>
            <w:tc>
              <w:tcPr>
                <w:tcW w:w="5000" w:type="pct"/>
                <w:gridSpan w:val="11"/>
                <w:tcBorders>
                  <w:top w:val="single" w:color="auto" w:sz="4" w:space="0"/>
                  <w:left w:val="single" w:color="auto" w:sz="4" w:space="0"/>
                  <w:bottom w:val="single" w:color="auto" w:sz="4" w:space="0"/>
                  <w:right w:val="single" w:color="auto" w:sz="4" w:space="0"/>
                </w:tcBorders>
                <w:vAlign w:val="center"/>
              </w:tcPr>
              <w:p w14:paraId="2F320AC4">
                <w:pPr>
                  <w:rPr>
                    <w:rFonts w:ascii="Arial Narrow" w:hAnsi="Arial Narrow" w:eastAsiaTheme="minorEastAsia"/>
                    <w:szCs w:val="21"/>
                  </w:rPr>
                </w:pPr>
                <w:r>
                  <w:rPr>
                    <w:rFonts w:ascii="Arial Narrow" w:hAnsi="Arial Narrow" w:eastAsiaTheme="minorEastAsia"/>
                    <w:szCs w:val="21"/>
                  </w:rPr>
                  <w:t>其中：</w:t>
                </w:r>
              </w:p>
            </w:tc>
          </w:sdtContent>
        </w:sdt>
      </w:tr>
      <w:tr w14:paraId="7B81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14:paraId="338426CC">
            <w:pPr>
              <w:jc w:val="both"/>
              <w:rPr>
                <w:rFonts w:ascii="Arial Narrow" w:hAnsi="Arial Narrow" w:eastAsiaTheme="minorEastAsia"/>
                <w:color w:val="808080"/>
                <w:szCs w:val="21"/>
              </w:rPr>
            </w:pPr>
            <w:sdt>
              <w:sdtPr>
                <w:rPr>
                  <w:rFonts w:ascii="Arial Narrow" w:hAnsi="Arial Narrow" w:eastAsiaTheme="minorEastAsia"/>
                  <w:szCs w:val="21"/>
                </w:rPr>
                <w:alias w:val="按组合计提坏账准备的应收账款明细-组合名称"/>
                <w:tag w:val="_GBC_bb95ca191c6548418732405aecc5c303"/>
                <w:id w:val="1938102218"/>
              </w:sdtPr>
              <w:sdtEndPr>
                <w:rPr>
                  <w:rFonts w:ascii="Arial Narrow" w:hAnsi="Arial Narrow" w:eastAsiaTheme="minorEastAsia"/>
                  <w:szCs w:val="21"/>
                </w:rPr>
              </w:sdtEndPr>
              <w:sdtContent>
                <w:r>
                  <w:rPr>
                    <w:rFonts w:ascii="Arial Narrow" w:hAnsi="Arial Narrow" w:eastAsiaTheme="minorEastAsia"/>
                    <w:szCs w:val="21"/>
                  </w:rPr>
                  <w:t>组合1军方、警方、政府职能部门等高信用水平单位应收账款组合</w:t>
                </w:r>
              </w:sdtContent>
            </w:sdt>
            <w:r>
              <w:rPr>
                <w:rFonts w:ascii="Arial Narrow" w:hAnsi="Arial Narrow" w:eastAsiaTheme="minorEastAsia"/>
                <w:szCs w:val="21"/>
              </w:rPr>
              <w:t>　</w:t>
            </w:r>
          </w:p>
        </w:tc>
        <w:tc>
          <w:tcPr>
            <w:tcW w:w="475" w:type="pct"/>
            <w:tcBorders>
              <w:top w:val="single" w:color="auto" w:sz="4" w:space="0"/>
              <w:left w:val="single" w:color="auto" w:sz="4" w:space="0"/>
              <w:bottom w:val="single" w:color="auto" w:sz="4" w:space="0"/>
              <w:right w:val="single" w:color="auto" w:sz="4" w:space="0"/>
            </w:tcBorders>
            <w:vAlign w:val="center"/>
          </w:tcPr>
          <w:p w14:paraId="6FD13D9E">
            <w:pPr>
              <w:jc w:val="right"/>
              <w:rPr>
                <w:rFonts w:ascii="Arial Narrow" w:hAnsi="Arial Narrow" w:eastAsiaTheme="minorEastAsia"/>
                <w:szCs w:val="21"/>
              </w:rPr>
            </w:pPr>
          </w:p>
        </w:tc>
        <w:tc>
          <w:tcPr>
            <w:tcW w:w="364" w:type="pct"/>
            <w:tcBorders>
              <w:top w:val="single" w:color="auto" w:sz="4" w:space="0"/>
              <w:left w:val="single" w:color="auto" w:sz="4" w:space="0"/>
              <w:bottom w:val="single" w:color="auto" w:sz="4" w:space="0"/>
              <w:right w:val="single" w:color="auto" w:sz="4" w:space="0"/>
            </w:tcBorders>
            <w:vAlign w:val="center"/>
          </w:tcPr>
          <w:p w14:paraId="4935CA9D">
            <w:pPr>
              <w:jc w:val="right"/>
              <w:rPr>
                <w:rFonts w:ascii="Arial Narrow" w:hAnsi="Arial Narrow" w:eastAsiaTheme="minorEastAsia"/>
                <w:szCs w:val="21"/>
              </w:rPr>
            </w:pPr>
          </w:p>
        </w:tc>
        <w:tc>
          <w:tcPr>
            <w:tcW w:w="441" w:type="pct"/>
            <w:tcBorders>
              <w:top w:val="single" w:color="auto" w:sz="4" w:space="0"/>
              <w:left w:val="single" w:color="auto" w:sz="4" w:space="0"/>
              <w:bottom w:val="single" w:color="auto" w:sz="4" w:space="0"/>
              <w:right w:val="single" w:color="auto" w:sz="4" w:space="0"/>
            </w:tcBorders>
            <w:vAlign w:val="center"/>
          </w:tcPr>
          <w:p w14:paraId="2FAAB863">
            <w:pPr>
              <w:jc w:val="right"/>
              <w:rPr>
                <w:rFonts w:ascii="Arial Narrow" w:hAnsi="Arial Narrow" w:eastAsiaTheme="minorEastAsia"/>
                <w:szCs w:val="21"/>
              </w:rPr>
            </w:pPr>
          </w:p>
        </w:tc>
        <w:tc>
          <w:tcPr>
            <w:tcW w:w="373" w:type="pct"/>
            <w:tcBorders>
              <w:top w:val="single" w:color="auto" w:sz="4" w:space="0"/>
              <w:left w:val="single" w:color="auto" w:sz="4" w:space="0"/>
              <w:bottom w:val="single" w:color="auto" w:sz="4" w:space="0"/>
              <w:right w:val="single" w:color="auto" w:sz="4" w:space="0"/>
            </w:tcBorders>
            <w:vAlign w:val="center"/>
          </w:tcPr>
          <w:p w14:paraId="43706F27">
            <w:pPr>
              <w:jc w:val="right"/>
              <w:rPr>
                <w:rFonts w:ascii="Arial Narrow" w:hAnsi="Arial Narrow" w:eastAsiaTheme="minorEastAsia"/>
                <w:szCs w:val="21"/>
              </w:rPr>
            </w:pPr>
          </w:p>
        </w:tc>
        <w:tc>
          <w:tcPr>
            <w:tcW w:w="475" w:type="pct"/>
            <w:tcBorders>
              <w:top w:val="single" w:color="auto" w:sz="4" w:space="0"/>
              <w:left w:val="single" w:color="auto" w:sz="4" w:space="0"/>
              <w:bottom w:val="single" w:color="auto" w:sz="4" w:space="0"/>
              <w:right w:val="single" w:color="auto" w:sz="4" w:space="0"/>
            </w:tcBorders>
            <w:vAlign w:val="center"/>
          </w:tcPr>
          <w:p w14:paraId="4B65060E">
            <w:pPr>
              <w:jc w:val="right"/>
              <w:rPr>
                <w:rFonts w:ascii="Arial Narrow" w:hAnsi="Arial Narrow" w:eastAsiaTheme="minorEastAsia"/>
                <w:szCs w:val="21"/>
              </w:rPr>
            </w:pPr>
          </w:p>
        </w:tc>
        <w:tc>
          <w:tcPr>
            <w:tcW w:w="475" w:type="pct"/>
            <w:tcBorders>
              <w:top w:val="single" w:color="auto" w:sz="4" w:space="0"/>
              <w:left w:val="single" w:color="auto" w:sz="4" w:space="0"/>
              <w:bottom w:val="single" w:color="auto" w:sz="4" w:space="0"/>
              <w:right w:val="single" w:color="auto" w:sz="4" w:space="0"/>
            </w:tcBorders>
            <w:vAlign w:val="center"/>
          </w:tcPr>
          <w:p w14:paraId="7DA62D96">
            <w:pPr>
              <w:jc w:val="right"/>
              <w:rPr>
                <w:rFonts w:ascii="Arial Narrow" w:hAnsi="Arial Narrow" w:eastAsiaTheme="minorEastAsia"/>
                <w:szCs w:val="21"/>
              </w:rPr>
            </w:pPr>
            <w:r>
              <w:rPr>
                <w:rFonts w:ascii="Arial Narrow" w:hAnsi="Arial Narrow" w:eastAsiaTheme="minorEastAsia"/>
                <w:color w:val="000000"/>
                <w:szCs w:val="21"/>
              </w:rPr>
              <w:t>18,409.47</w:t>
            </w:r>
          </w:p>
        </w:tc>
        <w:tc>
          <w:tcPr>
            <w:tcW w:w="374" w:type="pct"/>
            <w:tcBorders>
              <w:top w:val="single" w:color="auto" w:sz="4" w:space="0"/>
              <w:left w:val="single" w:color="auto" w:sz="4" w:space="0"/>
              <w:bottom w:val="single" w:color="auto" w:sz="4" w:space="0"/>
              <w:right w:val="single" w:color="auto" w:sz="4" w:space="0"/>
            </w:tcBorders>
            <w:vAlign w:val="center"/>
          </w:tcPr>
          <w:p w14:paraId="6B2FBFE9">
            <w:pPr>
              <w:jc w:val="right"/>
              <w:rPr>
                <w:rFonts w:ascii="Arial Narrow" w:hAnsi="Arial Narrow" w:eastAsiaTheme="minorEastAsia"/>
                <w:szCs w:val="21"/>
              </w:rPr>
            </w:pPr>
            <w:r>
              <w:rPr>
                <w:rFonts w:ascii="Arial Narrow" w:hAnsi="Arial Narrow" w:eastAsiaTheme="minorEastAsia"/>
                <w:color w:val="000000"/>
                <w:szCs w:val="21"/>
              </w:rPr>
              <w:t>0.05</w:t>
            </w:r>
          </w:p>
        </w:tc>
        <w:tc>
          <w:tcPr>
            <w:tcW w:w="441" w:type="pct"/>
            <w:tcBorders>
              <w:top w:val="single" w:color="auto" w:sz="4" w:space="0"/>
              <w:left w:val="single" w:color="auto" w:sz="4" w:space="0"/>
              <w:bottom w:val="single" w:color="auto" w:sz="4" w:space="0"/>
              <w:right w:val="single" w:color="auto" w:sz="4" w:space="0"/>
            </w:tcBorders>
            <w:vAlign w:val="center"/>
          </w:tcPr>
          <w:p w14:paraId="21E2478E">
            <w:pPr>
              <w:jc w:val="right"/>
              <w:rPr>
                <w:rFonts w:ascii="Arial Narrow" w:hAnsi="Arial Narrow" w:eastAsiaTheme="minorEastAsia"/>
                <w:szCs w:val="21"/>
              </w:rPr>
            </w:pPr>
          </w:p>
        </w:tc>
        <w:tc>
          <w:tcPr>
            <w:tcW w:w="382" w:type="pct"/>
            <w:tcBorders>
              <w:top w:val="single" w:color="auto" w:sz="4" w:space="0"/>
              <w:left w:val="single" w:color="auto" w:sz="4" w:space="0"/>
              <w:bottom w:val="single" w:color="auto" w:sz="4" w:space="0"/>
              <w:right w:val="single" w:color="auto" w:sz="4" w:space="0"/>
            </w:tcBorders>
            <w:vAlign w:val="center"/>
          </w:tcPr>
          <w:p w14:paraId="00DFDA72">
            <w:pPr>
              <w:jc w:val="right"/>
              <w:rPr>
                <w:rFonts w:ascii="Arial Narrow" w:hAnsi="Arial Narrow" w:eastAsiaTheme="minorEastAsia"/>
                <w:szCs w:val="21"/>
              </w:rPr>
            </w:pPr>
          </w:p>
        </w:tc>
        <w:tc>
          <w:tcPr>
            <w:tcW w:w="475" w:type="pct"/>
            <w:tcBorders>
              <w:top w:val="single" w:color="auto" w:sz="4" w:space="0"/>
              <w:left w:val="single" w:color="auto" w:sz="4" w:space="0"/>
              <w:bottom w:val="single" w:color="auto" w:sz="4" w:space="0"/>
              <w:right w:val="single" w:color="auto" w:sz="4" w:space="0"/>
            </w:tcBorders>
            <w:vAlign w:val="center"/>
          </w:tcPr>
          <w:p w14:paraId="26CC024F">
            <w:pPr>
              <w:jc w:val="right"/>
              <w:rPr>
                <w:rFonts w:ascii="Arial Narrow" w:hAnsi="Arial Narrow" w:eastAsiaTheme="minorEastAsia"/>
                <w:szCs w:val="21"/>
              </w:rPr>
            </w:pPr>
            <w:r>
              <w:rPr>
                <w:rFonts w:ascii="Arial Narrow" w:hAnsi="Arial Narrow" w:eastAsiaTheme="minorEastAsia"/>
                <w:color w:val="000000"/>
                <w:szCs w:val="21"/>
              </w:rPr>
              <w:t>18,409.47</w:t>
            </w:r>
          </w:p>
        </w:tc>
      </w:tr>
      <w:tr w14:paraId="2B1F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14:paraId="5B3BBDA4">
            <w:pPr>
              <w:jc w:val="both"/>
              <w:rPr>
                <w:rFonts w:ascii="Arial Narrow" w:hAnsi="Arial Narrow" w:eastAsiaTheme="minorEastAsia"/>
                <w:szCs w:val="21"/>
              </w:rPr>
            </w:pPr>
            <w:sdt>
              <w:sdtPr>
                <w:rPr>
                  <w:rFonts w:ascii="Arial Narrow" w:hAnsi="Arial Narrow" w:eastAsiaTheme="minorEastAsia"/>
                  <w:szCs w:val="21"/>
                </w:rPr>
                <w:alias w:val="按组合计提坏账准备的应收账款明细-组合名称"/>
                <w:tag w:val="_GBC_bb95ca191c6548418732405aecc5c303"/>
                <w:id w:val="-504437333"/>
                <w:placeholder>
                  <w:docPart w:val="09143891E2BE408F8EA7F597FEC3CC54"/>
                </w:placeholder>
              </w:sdtPr>
              <w:sdtEndPr>
                <w:rPr>
                  <w:rStyle w:val="138"/>
                  <w:rFonts w:ascii="Arial Narrow" w:hAnsi="Arial Narrow" w:eastAsiaTheme="minorEastAsia"/>
                  <w:color w:val="666666"/>
                  <w:szCs w:val="21"/>
                </w:rPr>
              </w:sdtEndPr>
              <w:sdtContent>
                <w:r>
                  <w:rPr>
                    <w:rFonts w:ascii="Arial Narrow" w:hAnsi="Arial Narrow" w:eastAsiaTheme="minorEastAsia"/>
                    <w:szCs w:val="21"/>
                  </w:rPr>
                  <w:t>组合2关联方组合</w:t>
                </w:r>
              </w:sdtContent>
            </w:sdt>
            <w:r>
              <w:rPr>
                <w:rStyle w:val="138"/>
                <w:rFonts w:ascii="Arial Narrow" w:hAnsi="Arial Narrow" w:eastAsiaTheme="minorEastAsia"/>
                <w:szCs w:val="21"/>
              </w:rPr>
              <w:t>　</w:t>
            </w:r>
          </w:p>
        </w:tc>
        <w:tc>
          <w:tcPr>
            <w:tcW w:w="475" w:type="pct"/>
            <w:tcBorders>
              <w:top w:val="single" w:color="auto" w:sz="4" w:space="0"/>
              <w:left w:val="single" w:color="auto" w:sz="4" w:space="0"/>
              <w:bottom w:val="single" w:color="auto" w:sz="4" w:space="0"/>
              <w:right w:val="single" w:color="auto" w:sz="4" w:space="0"/>
            </w:tcBorders>
            <w:vAlign w:val="center"/>
          </w:tcPr>
          <w:p w14:paraId="1DE717D8">
            <w:pPr>
              <w:jc w:val="right"/>
              <w:rPr>
                <w:rFonts w:ascii="Arial Narrow" w:hAnsi="Arial Narrow" w:eastAsiaTheme="minorEastAsia"/>
                <w:szCs w:val="21"/>
              </w:rPr>
            </w:pPr>
            <w:r>
              <w:rPr>
                <w:rFonts w:ascii="Arial Narrow" w:hAnsi="Arial Narrow" w:eastAsiaTheme="minorEastAsia"/>
                <w:color w:val="000000"/>
                <w:szCs w:val="21"/>
              </w:rPr>
              <w:t>34,600,625.67</w:t>
            </w:r>
          </w:p>
        </w:tc>
        <w:tc>
          <w:tcPr>
            <w:tcW w:w="364" w:type="pct"/>
            <w:tcBorders>
              <w:top w:val="single" w:color="auto" w:sz="4" w:space="0"/>
              <w:left w:val="single" w:color="auto" w:sz="4" w:space="0"/>
              <w:bottom w:val="single" w:color="auto" w:sz="4" w:space="0"/>
              <w:right w:val="single" w:color="auto" w:sz="4" w:space="0"/>
            </w:tcBorders>
            <w:vAlign w:val="center"/>
          </w:tcPr>
          <w:p w14:paraId="458A7616">
            <w:pPr>
              <w:jc w:val="right"/>
              <w:rPr>
                <w:rFonts w:ascii="Arial Narrow" w:hAnsi="Arial Narrow" w:eastAsiaTheme="minorEastAsia"/>
                <w:szCs w:val="21"/>
              </w:rPr>
            </w:pPr>
            <w:r>
              <w:rPr>
                <w:rFonts w:ascii="Arial Narrow" w:hAnsi="Arial Narrow" w:eastAsiaTheme="minorEastAsia"/>
                <w:color w:val="000000"/>
                <w:szCs w:val="21"/>
              </w:rPr>
              <w:t>96.14</w:t>
            </w:r>
          </w:p>
        </w:tc>
        <w:tc>
          <w:tcPr>
            <w:tcW w:w="441" w:type="pct"/>
            <w:tcBorders>
              <w:top w:val="single" w:color="auto" w:sz="4" w:space="0"/>
              <w:left w:val="single" w:color="auto" w:sz="4" w:space="0"/>
              <w:bottom w:val="single" w:color="auto" w:sz="4" w:space="0"/>
              <w:right w:val="single" w:color="auto" w:sz="4" w:space="0"/>
            </w:tcBorders>
            <w:vAlign w:val="center"/>
          </w:tcPr>
          <w:p w14:paraId="6BE101CE">
            <w:pPr>
              <w:jc w:val="right"/>
              <w:rPr>
                <w:rFonts w:ascii="Arial Narrow" w:hAnsi="Arial Narrow" w:eastAsiaTheme="minorEastAsia"/>
                <w:szCs w:val="21"/>
              </w:rPr>
            </w:pPr>
          </w:p>
        </w:tc>
        <w:tc>
          <w:tcPr>
            <w:tcW w:w="373" w:type="pct"/>
            <w:tcBorders>
              <w:top w:val="single" w:color="auto" w:sz="4" w:space="0"/>
              <w:left w:val="single" w:color="auto" w:sz="4" w:space="0"/>
              <w:bottom w:val="single" w:color="auto" w:sz="4" w:space="0"/>
              <w:right w:val="single" w:color="auto" w:sz="4" w:space="0"/>
            </w:tcBorders>
            <w:vAlign w:val="center"/>
          </w:tcPr>
          <w:p w14:paraId="320F378B">
            <w:pPr>
              <w:jc w:val="right"/>
              <w:rPr>
                <w:rFonts w:ascii="Arial Narrow" w:hAnsi="Arial Narrow" w:eastAsiaTheme="minorEastAsia"/>
                <w:szCs w:val="21"/>
              </w:rPr>
            </w:pPr>
          </w:p>
        </w:tc>
        <w:tc>
          <w:tcPr>
            <w:tcW w:w="475" w:type="pct"/>
            <w:tcBorders>
              <w:top w:val="single" w:color="auto" w:sz="4" w:space="0"/>
              <w:left w:val="single" w:color="auto" w:sz="4" w:space="0"/>
              <w:bottom w:val="single" w:color="auto" w:sz="4" w:space="0"/>
              <w:right w:val="single" w:color="auto" w:sz="4" w:space="0"/>
            </w:tcBorders>
            <w:vAlign w:val="center"/>
          </w:tcPr>
          <w:p w14:paraId="0CD2A525">
            <w:pPr>
              <w:jc w:val="right"/>
              <w:rPr>
                <w:rFonts w:ascii="Arial Narrow" w:hAnsi="Arial Narrow" w:eastAsiaTheme="minorEastAsia"/>
                <w:szCs w:val="21"/>
              </w:rPr>
            </w:pPr>
            <w:r>
              <w:rPr>
                <w:rFonts w:ascii="Arial Narrow" w:hAnsi="Arial Narrow" w:eastAsiaTheme="minorEastAsia"/>
                <w:color w:val="000000"/>
                <w:szCs w:val="21"/>
              </w:rPr>
              <w:t>34,600,625.67</w:t>
            </w:r>
          </w:p>
        </w:tc>
        <w:tc>
          <w:tcPr>
            <w:tcW w:w="475" w:type="pct"/>
            <w:tcBorders>
              <w:top w:val="single" w:color="auto" w:sz="4" w:space="0"/>
              <w:left w:val="single" w:color="auto" w:sz="4" w:space="0"/>
              <w:bottom w:val="single" w:color="auto" w:sz="4" w:space="0"/>
              <w:right w:val="single" w:color="auto" w:sz="4" w:space="0"/>
            </w:tcBorders>
            <w:vAlign w:val="center"/>
          </w:tcPr>
          <w:p w14:paraId="08162129">
            <w:pPr>
              <w:jc w:val="right"/>
              <w:rPr>
                <w:rFonts w:ascii="Arial Narrow" w:hAnsi="Arial Narrow" w:eastAsiaTheme="minorEastAsia"/>
                <w:szCs w:val="21"/>
              </w:rPr>
            </w:pPr>
            <w:r>
              <w:rPr>
                <w:rFonts w:ascii="Arial Narrow" w:hAnsi="Arial Narrow" w:eastAsiaTheme="minorEastAsia"/>
                <w:color w:val="000000"/>
                <w:szCs w:val="21"/>
              </w:rPr>
              <w:t>34,600,625.67</w:t>
            </w:r>
          </w:p>
        </w:tc>
        <w:tc>
          <w:tcPr>
            <w:tcW w:w="374" w:type="pct"/>
            <w:tcBorders>
              <w:top w:val="single" w:color="auto" w:sz="4" w:space="0"/>
              <w:left w:val="single" w:color="auto" w:sz="4" w:space="0"/>
              <w:bottom w:val="single" w:color="auto" w:sz="4" w:space="0"/>
              <w:right w:val="single" w:color="auto" w:sz="4" w:space="0"/>
            </w:tcBorders>
            <w:vAlign w:val="center"/>
          </w:tcPr>
          <w:p w14:paraId="5402D585">
            <w:pPr>
              <w:jc w:val="right"/>
              <w:rPr>
                <w:rFonts w:ascii="Arial Narrow" w:hAnsi="Arial Narrow" w:eastAsiaTheme="minorEastAsia"/>
                <w:szCs w:val="21"/>
              </w:rPr>
            </w:pPr>
            <w:r>
              <w:rPr>
                <w:rFonts w:ascii="Arial Narrow" w:hAnsi="Arial Narrow" w:eastAsiaTheme="minorEastAsia"/>
                <w:color w:val="000000"/>
                <w:szCs w:val="21"/>
              </w:rPr>
              <w:t>96.10</w:t>
            </w:r>
          </w:p>
        </w:tc>
        <w:tc>
          <w:tcPr>
            <w:tcW w:w="441" w:type="pct"/>
            <w:tcBorders>
              <w:top w:val="single" w:color="auto" w:sz="4" w:space="0"/>
              <w:left w:val="single" w:color="auto" w:sz="4" w:space="0"/>
              <w:bottom w:val="single" w:color="auto" w:sz="4" w:space="0"/>
              <w:right w:val="single" w:color="auto" w:sz="4" w:space="0"/>
            </w:tcBorders>
            <w:vAlign w:val="center"/>
          </w:tcPr>
          <w:p w14:paraId="0BC62EEE">
            <w:pPr>
              <w:jc w:val="right"/>
              <w:rPr>
                <w:rFonts w:ascii="Arial Narrow" w:hAnsi="Arial Narrow" w:eastAsiaTheme="minorEastAsia"/>
                <w:szCs w:val="21"/>
              </w:rPr>
            </w:pPr>
          </w:p>
        </w:tc>
        <w:tc>
          <w:tcPr>
            <w:tcW w:w="382" w:type="pct"/>
            <w:tcBorders>
              <w:top w:val="single" w:color="auto" w:sz="4" w:space="0"/>
              <w:left w:val="single" w:color="auto" w:sz="4" w:space="0"/>
              <w:bottom w:val="single" w:color="auto" w:sz="4" w:space="0"/>
              <w:right w:val="single" w:color="auto" w:sz="4" w:space="0"/>
            </w:tcBorders>
            <w:vAlign w:val="center"/>
          </w:tcPr>
          <w:p w14:paraId="4D030B3F">
            <w:pPr>
              <w:jc w:val="right"/>
              <w:rPr>
                <w:rFonts w:ascii="Arial Narrow" w:hAnsi="Arial Narrow" w:eastAsiaTheme="minorEastAsia"/>
                <w:szCs w:val="21"/>
              </w:rPr>
            </w:pPr>
          </w:p>
        </w:tc>
        <w:tc>
          <w:tcPr>
            <w:tcW w:w="475" w:type="pct"/>
            <w:tcBorders>
              <w:top w:val="single" w:color="auto" w:sz="4" w:space="0"/>
              <w:left w:val="single" w:color="auto" w:sz="4" w:space="0"/>
              <w:bottom w:val="single" w:color="auto" w:sz="4" w:space="0"/>
              <w:right w:val="single" w:color="auto" w:sz="4" w:space="0"/>
            </w:tcBorders>
            <w:vAlign w:val="center"/>
          </w:tcPr>
          <w:p w14:paraId="08D33EDD">
            <w:pPr>
              <w:jc w:val="right"/>
              <w:rPr>
                <w:rFonts w:ascii="Arial Narrow" w:hAnsi="Arial Narrow" w:eastAsiaTheme="minorEastAsia"/>
                <w:szCs w:val="21"/>
              </w:rPr>
            </w:pPr>
            <w:r>
              <w:rPr>
                <w:rFonts w:ascii="Arial Narrow" w:hAnsi="Arial Narrow" w:eastAsiaTheme="minorEastAsia"/>
                <w:color w:val="000000"/>
                <w:szCs w:val="21"/>
              </w:rPr>
              <w:t>34,600,625.67</w:t>
            </w:r>
          </w:p>
        </w:tc>
      </w:tr>
      <w:tr w14:paraId="3F10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14:paraId="2D8DDC91">
            <w:pPr>
              <w:jc w:val="both"/>
              <w:rPr>
                <w:rFonts w:ascii="Arial Narrow" w:hAnsi="Arial Narrow" w:eastAsiaTheme="minorEastAsia"/>
                <w:color w:val="808080"/>
                <w:szCs w:val="21"/>
              </w:rPr>
            </w:pPr>
            <w:sdt>
              <w:sdtPr>
                <w:rPr>
                  <w:rFonts w:ascii="Arial Narrow" w:hAnsi="Arial Narrow" w:eastAsiaTheme="minorEastAsia"/>
                  <w:szCs w:val="21"/>
                </w:rPr>
                <w:alias w:val="按组合计提坏账准备的应收账款明细-组合名称"/>
                <w:tag w:val="_GBC_bb95ca191c6548418732405aecc5c303"/>
                <w:id w:val="1289399090"/>
              </w:sdtPr>
              <w:sdtEndPr>
                <w:rPr>
                  <w:rFonts w:ascii="Arial Narrow" w:hAnsi="Arial Narrow" w:eastAsiaTheme="minorEastAsia"/>
                  <w:szCs w:val="21"/>
                </w:rPr>
              </w:sdtEndPr>
              <w:sdtContent>
                <w:r>
                  <w:rPr>
                    <w:rFonts w:ascii="Arial Narrow" w:hAnsi="Arial Narrow" w:eastAsiaTheme="minorEastAsia"/>
                    <w:szCs w:val="21"/>
                  </w:rPr>
                  <w:t>组合3账龄组合</w:t>
                </w:r>
              </w:sdtContent>
            </w:sdt>
          </w:p>
        </w:tc>
        <w:tc>
          <w:tcPr>
            <w:tcW w:w="475" w:type="pct"/>
            <w:tcBorders>
              <w:top w:val="single" w:color="auto" w:sz="4" w:space="0"/>
              <w:left w:val="single" w:color="auto" w:sz="4" w:space="0"/>
              <w:bottom w:val="single" w:color="auto" w:sz="4" w:space="0"/>
              <w:right w:val="single" w:color="auto" w:sz="4" w:space="0"/>
            </w:tcBorders>
            <w:vAlign w:val="center"/>
          </w:tcPr>
          <w:p w14:paraId="36538250">
            <w:pPr>
              <w:jc w:val="right"/>
              <w:rPr>
                <w:rFonts w:ascii="Arial Narrow" w:hAnsi="Arial Narrow" w:eastAsiaTheme="minorEastAsia"/>
                <w:szCs w:val="21"/>
              </w:rPr>
            </w:pPr>
            <w:r>
              <w:rPr>
                <w:rFonts w:ascii="Arial Narrow" w:hAnsi="Arial Narrow" w:eastAsiaTheme="minorEastAsia"/>
                <w:color w:val="000000"/>
                <w:szCs w:val="21"/>
              </w:rPr>
              <w:t>1,387,632.93</w:t>
            </w:r>
          </w:p>
        </w:tc>
        <w:tc>
          <w:tcPr>
            <w:tcW w:w="364" w:type="pct"/>
            <w:tcBorders>
              <w:top w:val="single" w:color="auto" w:sz="4" w:space="0"/>
              <w:left w:val="single" w:color="auto" w:sz="4" w:space="0"/>
              <w:bottom w:val="single" w:color="auto" w:sz="4" w:space="0"/>
              <w:right w:val="single" w:color="auto" w:sz="4" w:space="0"/>
            </w:tcBorders>
            <w:vAlign w:val="center"/>
          </w:tcPr>
          <w:p w14:paraId="3CBB1686">
            <w:pPr>
              <w:jc w:val="right"/>
              <w:rPr>
                <w:rFonts w:ascii="Arial Narrow" w:hAnsi="Arial Narrow" w:eastAsiaTheme="minorEastAsia"/>
                <w:szCs w:val="21"/>
              </w:rPr>
            </w:pPr>
            <w:r>
              <w:rPr>
                <w:rFonts w:ascii="Arial Narrow" w:hAnsi="Arial Narrow" w:eastAsiaTheme="minorEastAsia"/>
                <w:color w:val="000000"/>
                <w:szCs w:val="21"/>
              </w:rPr>
              <w:t>3.86</w:t>
            </w:r>
          </w:p>
        </w:tc>
        <w:tc>
          <w:tcPr>
            <w:tcW w:w="441" w:type="pct"/>
            <w:tcBorders>
              <w:top w:val="single" w:color="auto" w:sz="4" w:space="0"/>
              <w:left w:val="single" w:color="auto" w:sz="4" w:space="0"/>
              <w:bottom w:val="single" w:color="auto" w:sz="4" w:space="0"/>
              <w:right w:val="single" w:color="auto" w:sz="4" w:space="0"/>
            </w:tcBorders>
            <w:vAlign w:val="center"/>
          </w:tcPr>
          <w:p w14:paraId="705BD5E3">
            <w:pPr>
              <w:jc w:val="right"/>
              <w:rPr>
                <w:rFonts w:ascii="Arial Narrow" w:hAnsi="Arial Narrow" w:eastAsiaTheme="minorEastAsia"/>
                <w:szCs w:val="21"/>
              </w:rPr>
            </w:pPr>
            <w:r>
              <w:rPr>
                <w:rFonts w:ascii="Arial Narrow" w:hAnsi="Arial Narrow" w:eastAsiaTheme="minorEastAsia"/>
                <w:color w:val="000000"/>
                <w:szCs w:val="21"/>
              </w:rPr>
              <w:t>1,309,843.27</w:t>
            </w:r>
          </w:p>
        </w:tc>
        <w:tc>
          <w:tcPr>
            <w:tcW w:w="373" w:type="pct"/>
            <w:tcBorders>
              <w:top w:val="single" w:color="auto" w:sz="4" w:space="0"/>
              <w:left w:val="single" w:color="auto" w:sz="4" w:space="0"/>
              <w:bottom w:val="single" w:color="auto" w:sz="4" w:space="0"/>
              <w:right w:val="single" w:color="auto" w:sz="4" w:space="0"/>
            </w:tcBorders>
            <w:vAlign w:val="center"/>
          </w:tcPr>
          <w:p w14:paraId="0E29630C">
            <w:pPr>
              <w:jc w:val="right"/>
              <w:rPr>
                <w:rFonts w:ascii="Arial Narrow" w:hAnsi="Arial Narrow" w:eastAsiaTheme="minorEastAsia"/>
                <w:szCs w:val="21"/>
              </w:rPr>
            </w:pPr>
            <w:r>
              <w:rPr>
                <w:rFonts w:ascii="Arial Narrow" w:hAnsi="Arial Narrow" w:eastAsiaTheme="minorEastAsia"/>
                <w:color w:val="000000"/>
                <w:szCs w:val="21"/>
              </w:rPr>
              <w:t>94.39</w:t>
            </w:r>
          </w:p>
        </w:tc>
        <w:tc>
          <w:tcPr>
            <w:tcW w:w="475" w:type="pct"/>
            <w:tcBorders>
              <w:top w:val="single" w:color="auto" w:sz="4" w:space="0"/>
              <w:left w:val="single" w:color="auto" w:sz="4" w:space="0"/>
              <w:bottom w:val="single" w:color="auto" w:sz="4" w:space="0"/>
              <w:right w:val="single" w:color="auto" w:sz="4" w:space="0"/>
            </w:tcBorders>
            <w:vAlign w:val="center"/>
          </w:tcPr>
          <w:p w14:paraId="64C98751">
            <w:pPr>
              <w:jc w:val="right"/>
              <w:rPr>
                <w:rFonts w:ascii="Arial Narrow" w:hAnsi="Arial Narrow" w:eastAsiaTheme="minorEastAsia"/>
                <w:szCs w:val="21"/>
              </w:rPr>
            </w:pPr>
            <w:r>
              <w:rPr>
                <w:rFonts w:ascii="Arial Narrow" w:hAnsi="Arial Narrow" w:eastAsiaTheme="minorEastAsia"/>
                <w:color w:val="000000"/>
                <w:szCs w:val="21"/>
              </w:rPr>
              <w:t>77,789.66</w:t>
            </w:r>
          </w:p>
        </w:tc>
        <w:tc>
          <w:tcPr>
            <w:tcW w:w="475" w:type="pct"/>
            <w:tcBorders>
              <w:top w:val="single" w:color="auto" w:sz="4" w:space="0"/>
              <w:left w:val="single" w:color="auto" w:sz="4" w:space="0"/>
              <w:bottom w:val="single" w:color="auto" w:sz="4" w:space="0"/>
              <w:right w:val="single" w:color="auto" w:sz="4" w:space="0"/>
            </w:tcBorders>
            <w:vAlign w:val="center"/>
          </w:tcPr>
          <w:p w14:paraId="225924F7">
            <w:pPr>
              <w:jc w:val="right"/>
              <w:rPr>
                <w:rFonts w:ascii="Arial Narrow" w:hAnsi="Arial Narrow" w:eastAsiaTheme="minorEastAsia"/>
                <w:szCs w:val="21"/>
              </w:rPr>
            </w:pPr>
            <w:r>
              <w:rPr>
                <w:rFonts w:ascii="Arial Narrow" w:hAnsi="Arial Narrow" w:eastAsiaTheme="minorEastAsia"/>
                <w:color w:val="000000"/>
                <w:szCs w:val="21"/>
              </w:rPr>
              <w:t>1,387,632.93</w:t>
            </w:r>
          </w:p>
        </w:tc>
        <w:tc>
          <w:tcPr>
            <w:tcW w:w="374" w:type="pct"/>
            <w:tcBorders>
              <w:top w:val="single" w:color="auto" w:sz="4" w:space="0"/>
              <w:left w:val="single" w:color="auto" w:sz="4" w:space="0"/>
              <w:bottom w:val="single" w:color="auto" w:sz="4" w:space="0"/>
              <w:right w:val="single" w:color="auto" w:sz="4" w:space="0"/>
            </w:tcBorders>
            <w:vAlign w:val="center"/>
          </w:tcPr>
          <w:p w14:paraId="50EBD8D8">
            <w:pPr>
              <w:jc w:val="right"/>
              <w:rPr>
                <w:rFonts w:ascii="Arial Narrow" w:hAnsi="Arial Narrow" w:eastAsiaTheme="minorEastAsia"/>
                <w:szCs w:val="21"/>
              </w:rPr>
            </w:pPr>
            <w:r>
              <w:rPr>
                <w:rFonts w:ascii="Arial Narrow" w:hAnsi="Arial Narrow" w:eastAsiaTheme="minorEastAsia"/>
                <w:color w:val="000000"/>
                <w:szCs w:val="21"/>
              </w:rPr>
              <w:t>3.85</w:t>
            </w:r>
          </w:p>
        </w:tc>
        <w:tc>
          <w:tcPr>
            <w:tcW w:w="441" w:type="pct"/>
            <w:tcBorders>
              <w:top w:val="single" w:color="auto" w:sz="4" w:space="0"/>
              <w:left w:val="single" w:color="auto" w:sz="4" w:space="0"/>
              <w:bottom w:val="single" w:color="auto" w:sz="4" w:space="0"/>
              <w:right w:val="single" w:color="auto" w:sz="4" w:space="0"/>
            </w:tcBorders>
            <w:vAlign w:val="center"/>
          </w:tcPr>
          <w:p w14:paraId="02EAAA64">
            <w:pPr>
              <w:jc w:val="right"/>
              <w:rPr>
                <w:rFonts w:ascii="Arial Narrow" w:hAnsi="Arial Narrow" w:eastAsiaTheme="minorEastAsia"/>
                <w:szCs w:val="21"/>
              </w:rPr>
            </w:pPr>
            <w:r>
              <w:rPr>
                <w:rFonts w:ascii="Arial Narrow" w:hAnsi="Arial Narrow" w:eastAsiaTheme="minorEastAsia"/>
                <w:color w:val="000000"/>
                <w:szCs w:val="21"/>
              </w:rPr>
              <w:t>1,261,338.33</w:t>
            </w:r>
          </w:p>
        </w:tc>
        <w:tc>
          <w:tcPr>
            <w:tcW w:w="382" w:type="pct"/>
            <w:tcBorders>
              <w:top w:val="single" w:color="auto" w:sz="4" w:space="0"/>
              <w:left w:val="single" w:color="auto" w:sz="4" w:space="0"/>
              <w:bottom w:val="single" w:color="auto" w:sz="4" w:space="0"/>
              <w:right w:val="single" w:color="auto" w:sz="4" w:space="0"/>
            </w:tcBorders>
            <w:vAlign w:val="center"/>
          </w:tcPr>
          <w:p w14:paraId="7F978296">
            <w:pPr>
              <w:jc w:val="right"/>
              <w:rPr>
                <w:rFonts w:ascii="Arial Narrow" w:hAnsi="Arial Narrow" w:eastAsiaTheme="minorEastAsia"/>
                <w:szCs w:val="21"/>
              </w:rPr>
            </w:pPr>
            <w:r>
              <w:rPr>
                <w:rFonts w:ascii="Arial Narrow" w:hAnsi="Arial Narrow" w:eastAsiaTheme="minorEastAsia"/>
                <w:color w:val="000000"/>
                <w:szCs w:val="21"/>
              </w:rPr>
              <w:t>90.90</w:t>
            </w:r>
          </w:p>
        </w:tc>
        <w:tc>
          <w:tcPr>
            <w:tcW w:w="475" w:type="pct"/>
            <w:tcBorders>
              <w:top w:val="single" w:color="auto" w:sz="4" w:space="0"/>
              <w:left w:val="single" w:color="auto" w:sz="4" w:space="0"/>
              <w:bottom w:val="single" w:color="auto" w:sz="4" w:space="0"/>
              <w:right w:val="single" w:color="auto" w:sz="4" w:space="0"/>
            </w:tcBorders>
            <w:vAlign w:val="center"/>
          </w:tcPr>
          <w:p w14:paraId="296EC00A">
            <w:pPr>
              <w:jc w:val="right"/>
              <w:rPr>
                <w:rFonts w:ascii="Arial Narrow" w:hAnsi="Arial Narrow" w:eastAsiaTheme="minorEastAsia"/>
                <w:szCs w:val="21"/>
              </w:rPr>
            </w:pPr>
            <w:r>
              <w:rPr>
                <w:rFonts w:ascii="Arial Narrow" w:hAnsi="Arial Narrow" w:eastAsiaTheme="minorEastAsia"/>
                <w:color w:val="000000"/>
                <w:szCs w:val="21"/>
              </w:rPr>
              <w:t>126,294.60</w:t>
            </w:r>
          </w:p>
        </w:tc>
      </w:tr>
      <w:tr w14:paraId="3862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14:paraId="0010EA4A">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475" w:type="pct"/>
            <w:tcBorders>
              <w:top w:val="single" w:color="auto" w:sz="4" w:space="0"/>
              <w:left w:val="single" w:color="auto" w:sz="4" w:space="0"/>
              <w:bottom w:val="single" w:color="auto" w:sz="4" w:space="0"/>
              <w:right w:val="single" w:color="auto" w:sz="4" w:space="0"/>
            </w:tcBorders>
            <w:vAlign w:val="center"/>
          </w:tcPr>
          <w:p w14:paraId="23F8D2BB">
            <w:pPr>
              <w:jc w:val="right"/>
              <w:rPr>
                <w:rFonts w:ascii="Arial Narrow" w:hAnsi="Arial Narrow" w:eastAsiaTheme="minorEastAsia"/>
                <w:szCs w:val="21"/>
              </w:rPr>
            </w:pPr>
            <w:r>
              <w:rPr>
                <w:rFonts w:ascii="Arial Narrow" w:hAnsi="Arial Narrow" w:eastAsiaTheme="minorEastAsia"/>
                <w:color w:val="000000"/>
                <w:szCs w:val="21"/>
              </w:rPr>
              <w:t>35,988,258.60</w:t>
            </w:r>
          </w:p>
        </w:tc>
        <w:tc>
          <w:tcPr>
            <w:tcW w:w="364" w:type="pct"/>
            <w:tcBorders>
              <w:top w:val="single" w:color="auto" w:sz="4" w:space="0"/>
              <w:left w:val="single" w:color="auto" w:sz="4" w:space="0"/>
              <w:bottom w:val="single" w:color="auto" w:sz="4" w:space="0"/>
              <w:right w:val="single" w:color="auto" w:sz="4" w:space="0"/>
            </w:tcBorders>
            <w:vAlign w:val="center"/>
          </w:tcPr>
          <w:p w14:paraId="1BB90C1B">
            <w:pPr>
              <w:jc w:val="center"/>
              <w:rPr>
                <w:rFonts w:ascii="Arial Narrow" w:hAnsi="Arial Narrow" w:eastAsiaTheme="minorEastAsia"/>
                <w:szCs w:val="21"/>
              </w:rPr>
            </w:pPr>
            <w:r>
              <w:rPr>
                <w:rFonts w:ascii="Arial Narrow" w:hAnsi="Arial Narrow" w:eastAsiaTheme="minorEastAsia"/>
                <w:color w:val="000000"/>
                <w:szCs w:val="21"/>
              </w:rPr>
              <w:t>/</w:t>
            </w:r>
          </w:p>
        </w:tc>
        <w:tc>
          <w:tcPr>
            <w:tcW w:w="441" w:type="pct"/>
            <w:tcBorders>
              <w:top w:val="single" w:color="auto" w:sz="4" w:space="0"/>
              <w:left w:val="single" w:color="auto" w:sz="4" w:space="0"/>
              <w:bottom w:val="single" w:color="auto" w:sz="4" w:space="0"/>
              <w:right w:val="single" w:color="auto" w:sz="4" w:space="0"/>
            </w:tcBorders>
            <w:vAlign w:val="center"/>
          </w:tcPr>
          <w:p w14:paraId="25122374">
            <w:pPr>
              <w:jc w:val="right"/>
              <w:rPr>
                <w:rFonts w:ascii="Arial Narrow" w:hAnsi="Arial Narrow" w:eastAsiaTheme="minorEastAsia"/>
                <w:szCs w:val="21"/>
              </w:rPr>
            </w:pPr>
            <w:r>
              <w:rPr>
                <w:rFonts w:ascii="Arial Narrow" w:hAnsi="Arial Narrow" w:eastAsiaTheme="minorEastAsia"/>
                <w:color w:val="000000"/>
                <w:szCs w:val="21"/>
              </w:rPr>
              <w:t>1,309,843.27</w:t>
            </w:r>
          </w:p>
        </w:tc>
        <w:tc>
          <w:tcPr>
            <w:tcW w:w="373" w:type="pct"/>
            <w:tcBorders>
              <w:top w:val="single" w:color="auto" w:sz="4" w:space="0"/>
              <w:left w:val="single" w:color="auto" w:sz="4" w:space="0"/>
              <w:bottom w:val="single" w:color="auto" w:sz="4" w:space="0"/>
              <w:right w:val="single" w:color="auto" w:sz="4" w:space="0"/>
            </w:tcBorders>
            <w:vAlign w:val="center"/>
          </w:tcPr>
          <w:p w14:paraId="43E6E318">
            <w:pPr>
              <w:jc w:val="center"/>
              <w:rPr>
                <w:rFonts w:ascii="Arial Narrow" w:hAnsi="Arial Narrow" w:eastAsiaTheme="minorEastAsia"/>
                <w:szCs w:val="21"/>
              </w:rPr>
            </w:pPr>
            <w:r>
              <w:rPr>
                <w:rFonts w:ascii="Arial Narrow" w:hAnsi="Arial Narrow" w:eastAsiaTheme="minorEastAsia"/>
                <w:color w:val="000000"/>
                <w:szCs w:val="21"/>
              </w:rPr>
              <w:t>/</w:t>
            </w:r>
          </w:p>
        </w:tc>
        <w:tc>
          <w:tcPr>
            <w:tcW w:w="475" w:type="pct"/>
            <w:tcBorders>
              <w:top w:val="single" w:color="auto" w:sz="4" w:space="0"/>
              <w:left w:val="single" w:color="auto" w:sz="4" w:space="0"/>
              <w:bottom w:val="single" w:color="auto" w:sz="4" w:space="0"/>
              <w:right w:val="single" w:color="auto" w:sz="4" w:space="0"/>
            </w:tcBorders>
            <w:vAlign w:val="center"/>
          </w:tcPr>
          <w:p w14:paraId="0BA2F447">
            <w:pPr>
              <w:jc w:val="right"/>
              <w:rPr>
                <w:rFonts w:ascii="Arial Narrow" w:hAnsi="Arial Narrow" w:eastAsiaTheme="minorEastAsia"/>
                <w:szCs w:val="21"/>
              </w:rPr>
            </w:pPr>
            <w:r>
              <w:rPr>
                <w:rFonts w:ascii="Arial Narrow" w:hAnsi="Arial Narrow" w:eastAsiaTheme="minorEastAsia"/>
                <w:color w:val="000000"/>
                <w:szCs w:val="21"/>
              </w:rPr>
              <w:t>34,678,415.33</w:t>
            </w:r>
          </w:p>
        </w:tc>
        <w:tc>
          <w:tcPr>
            <w:tcW w:w="475" w:type="pct"/>
            <w:tcBorders>
              <w:top w:val="single" w:color="auto" w:sz="4" w:space="0"/>
              <w:left w:val="single" w:color="auto" w:sz="4" w:space="0"/>
              <w:bottom w:val="single" w:color="auto" w:sz="4" w:space="0"/>
              <w:right w:val="single" w:color="auto" w:sz="4" w:space="0"/>
            </w:tcBorders>
            <w:vAlign w:val="center"/>
          </w:tcPr>
          <w:p w14:paraId="0581F222">
            <w:pPr>
              <w:jc w:val="right"/>
              <w:rPr>
                <w:rFonts w:ascii="Arial Narrow" w:hAnsi="Arial Narrow" w:eastAsiaTheme="minorEastAsia"/>
                <w:szCs w:val="21"/>
              </w:rPr>
            </w:pPr>
            <w:r>
              <w:rPr>
                <w:rFonts w:ascii="Arial Narrow" w:hAnsi="Arial Narrow" w:eastAsiaTheme="minorEastAsia"/>
                <w:color w:val="000000"/>
                <w:szCs w:val="21"/>
              </w:rPr>
              <w:t>36,006,668.07</w:t>
            </w:r>
          </w:p>
        </w:tc>
        <w:tc>
          <w:tcPr>
            <w:tcW w:w="374" w:type="pct"/>
            <w:tcBorders>
              <w:top w:val="single" w:color="auto" w:sz="4" w:space="0"/>
              <w:left w:val="single" w:color="auto" w:sz="4" w:space="0"/>
              <w:bottom w:val="single" w:color="auto" w:sz="4" w:space="0"/>
              <w:right w:val="single" w:color="auto" w:sz="4" w:space="0"/>
            </w:tcBorders>
            <w:vAlign w:val="center"/>
          </w:tcPr>
          <w:p w14:paraId="6532A784">
            <w:pPr>
              <w:jc w:val="center"/>
              <w:rPr>
                <w:rFonts w:ascii="Arial Narrow" w:hAnsi="Arial Narrow" w:eastAsiaTheme="minorEastAsia"/>
                <w:szCs w:val="21"/>
              </w:rPr>
            </w:pPr>
            <w:r>
              <w:rPr>
                <w:rFonts w:ascii="Arial Narrow" w:hAnsi="Arial Narrow" w:eastAsiaTheme="minorEastAsia"/>
                <w:color w:val="000000"/>
                <w:szCs w:val="21"/>
              </w:rPr>
              <w:t>/</w:t>
            </w:r>
          </w:p>
        </w:tc>
        <w:tc>
          <w:tcPr>
            <w:tcW w:w="441" w:type="pct"/>
            <w:tcBorders>
              <w:top w:val="single" w:color="auto" w:sz="4" w:space="0"/>
              <w:left w:val="single" w:color="auto" w:sz="4" w:space="0"/>
              <w:bottom w:val="single" w:color="auto" w:sz="4" w:space="0"/>
              <w:right w:val="single" w:color="auto" w:sz="4" w:space="0"/>
            </w:tcBorders>
            <w:vAlign w:val="center"/>
          </w:tcPr>
          <w:p w14:paraId="63515063">
            <w:pPr>
              <w:jc w:val="right"/>
              <w:rPr>
                <w:rFonts w:ascii="Arial Narrow" w:hAnsi="Arial Narrow" w:eastAsiaTheme="minorEastAsia"/>
                <w:szCs w:val="21"/>
              </w:rPr>
            </w:pPr>
            <w:r>
              <w:rPr>
                <w:rFonts w:ascii="Arial Narrow" w:hAnsi="Arial Narrow" w:eastAsiaTheme="minorEastAsia"/>
                <w:color w:val="000000"/>
                <w:szCs w:val="21"/>
              </w:rPr>
              <w:t>1,261,338.33</w:t>
            </w:r>
          </w:p>
        </w:tc>
        <w:tc>
          <w:tcPr>
            <w:tcW w:w="382" w:type="pct"/>
            <w:tcBorders>
              <w:top w:val="single" w:color="auto" w:sz="4" w:space="0"/>
              <w:left w:val="single" w:color="auto" w:sz="4" w:space="0"/>
              <w:bottom w:val="single" w:color="auto" w:sz="4" w:space="0"/>
              <w:right w:val="single" w:color="auto" w:sz="4" w:space="0"/>
            </w:tcBorders>
            <w:vAlign w:val="center"/>
          </w:tcPr>
          <w:p w14:paraId="4185D336">
            <w:pPr>
              <w:jc w:val="center"/>
              <w:rPr>
                <w:rFonts w:ascii="Arial Narrow" w:hAnsi="Arial Narrow" w:eastAsiaTheme="minorEastAsia"/>
                <w:szCs w:val="21"/>
              </w:rPr>
            </w:pPr>
            <w:r>
              <w:rPr>
                <w:rFonts w:ascii="Arial Narrow" w:hAnsi="Arial Narrow" w:eastAsiaTheme="minorEastAsia"/>
                <w:color w:val="000000"/>
                <w:szCs w:val="21"/>
              </w:rPr>
              <w:t>/</w:t>
            </w:r>
          </w:p>
        </w:tc>
        <w:tc>
          <w:tcPr>
            <w:tcW w:w="475" w:type="pct"/>
            <w:tcBorders>
              <w:top w:val="single" w:color="auto" w:sz="4" w:space="0"/>
              <w:left w:val="single" w:color="auto" w:sz="4" w:space="0"/>
              <w:bottom w:val="single" w:color="auto" w:sz="4" w:space="0"/>
              <w:right w:val="single" w:color="auto" w:sz="4" w:space="0"/>
            </w:tcBorders>
            <w:vAlign w:val="center"/>
          </w:tcPr>
          <w:p w14:paraId="46049203">
            <w:pPr>
              <w:jc w:val="right"/>
              <w:rPr>
                <w:rFonts w:ascii="Arial Narrow" w:hAnsi="Arial Narrow" w:eastAsiaTheme="minorEastAsia"/>
                <w:szCs w:val="21"/>
              </w:rPr>
            </w:pPr>
            <w:r>
              <w:rPr>
                <w:rFonts w:ascii="Arial Narrow" w:hAnsi="Arial Narrow" w:eastAsiaTheme="minorEastAsia"/>
                <w:color w:val="000000"/>
                <w:szCs w:val="21"/>
              </w:rPr>
              <w:t>34,745,329.74</w:t>
            </w:r>
          </w:p>
        </w:tc>
      </w:tr>
    </w:tbl>
    <w:p w14:paraId="36926D15">
      <w:pPr>
        <w:rPr>
          <w:rFonts w:hint="eastAsia"/>
        </w:rPr>
        <w:sectPr>
          <w:pgSz w:w="16838" w:h="11906" w:orient="landscape"/>
          <w:pgMar w:top="1797" w:right="1525" w:bottom="1276" w:left="1440" w:header="856" w:footer="992" w:gutter="0"/>
          <w:cols w:space="425" w:num="1"/>
          <w:docGrid w:linePitch="312" w:charSpace="0"/>
        </w:sectPr>
      </w:pPr>
    </w:p>
    <w:p w14:paraId="30A20F24">
      <w:pPr>
        <w:rPr>
          <w:rFonts w:hint="eastAsia"/>
        </w:rPr>
      </w:pPr>
    </w:p>
    <w:bookmarkEnd w:id="404"/>
    <w:p w14:paraId="542BAC72">
      <w:pPr>
        <w:rPr>
          <w:rFonts w:hint="eastAsia"/>
          <w:szCs w:val="21"/>
        </w:rPr>
      </w:pPr>
      <w:r>
        <w:rPr>
          <w:rFonts w:hint="eastAsia"/>
          <w:szCs w:val="21"/>
        </w:rPr>
        <w:t>按单项计提坏账准备：</w:t>
      </w:r>
    </w:p>
    <w:sdt>
      <w:sdtPr>
        <w:alias w:val="是否适用：母公司应收账款按单项计提坏账准备[双击切换]"/>
        <w:tag w:val="_GBC_1cd34dae0bf14ebba3d99534844e7d95"/>
        <w:id w:val="82733444"/>
        <w:placeholder>
          <w:docPart w:val="GBC22222222222222222222222222222"/>
        </w:placeholder>
      </w:sdtPr>
      <w:sdtContent>
        <w:p w14:paraId="2A837F7C">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2200A83">
      <w:pPr>
        <w:rPr>
          <w:rFonts w:hint="eastAsia"/>
          <w:szCs w:val="21"/>
        </w:rPr>
      </w:pPr>
      <w:bookmarkStart w:id="405" w:name="_Hlk533796752"/>
    </w:p>
    <w:p w14:paraId="32402838">
      <w:pPr>
        <w:rPr>
          <w:rFonts w:hint="eastAsia"/>
        </w:rPr>
      </w:pPr>
    </w:p>
    <w:bookmarkEnd w:id="405"/>
    <w:sdt>
      <w:sdtPr>
        <w:tag w:val="_PLD_23aec57fe4b34ac2aa7d42cb52467101"/>
        <w:id w:val="1378808544"/>
      </w:sdtPr>
      <w:sdtContent>
        <w:p w14:paraId="6253C402">
          <w:pPr>
            <w:rPr>
              <w:rFonts w:hint="eastAsia"/>
              <w:szCs w:val="21"/>
            </w:rPr>
          </w:pPr>
          <w:r>
            <w:rPr>
              <w:rFonts w:hint="eastAsia"/>
              <w:szCs w:val="21"/>
            </w:rPr>
            <w:t>按组合计提坏账准备：</w:t>
          </w:r>
        </w:p>
      </w:sdtContent>
    </w:sdt>
    <w:sdt>
      <w:sdtPr>
        <w:alias w:val="是否适用：母公司应收账款按组合计提坏账准备[双击切换]"/>
        <w:tag w:val="_GBC_70ac43d24876403083fb1d281c12cd7e"/>
        <w:id w:val="-599718696"/>
        <w:lock w:val="contentLocked"/>
        <w:placeholder>
          <w:docPart w:val="GBC22222222222222222222222222222"/>
        </w:placeholder>
      </w:sdtPr>
      <w:sdtContent>
        <w:p w14:paraId="42936E7F">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02DBF3">
      <w:pPr>
        <w:rPr>
          <w:rFonts w:hint="eastAsia"/>
          <w:szCs w:val="21"/>
        </w:rPr>
      </w:pPr>
      <w:bookmarkStart w:id="406" w:name="_Hlk533796778"/>
      <w:r>
        <w:rPr>
          <w:rFonts w:hint="eastAsia"/>
          <w:szCs w:val="21"/>
        </w:rPr>
        <w:t>组合计提项目：</w:t>
      </w:r>
      <w:sdt>
        <w:sdtPr>
          <w:rPr>
            <w:rFonts w:hint="eastAsia"/>
            <w:szCs w:val="21"/>
          </w:rPr>
          <w:alias w:val="按组合计提坏账准备的应收账款明细-组合名称"/>
          <w:tag w:val="_GBC_f2cd2e7d8a6f493ebfd1838be7b87223"/>
          <w:id w:val="582115788"/>
          <w:placeholder>
            <w:docPart w:val="GBC22222222222222222222222222222"/>
          </w:placeholder>
          <w:comboBox>
            <w:listItem w:displayText="组合1军方、警方、政府职能部门等高信用水平单位应收账款组合" w:value="组合1军方、警方、政府职能部门等高信用水平单位应收账款组合"/>
            <w:listItem w:displayText="组合2关联方组合" w:value="组合2关联方组合"/>
            <w:listItem w:displayText="组合3账龄组合" w:value="组合3账龄组合"/>
          </w:comboBox>
        </w:sdtPr>
        <w:sdtEndPr>
          <w:rPr>
            <w:rFonts w:hint="eastAsia"/>
            <w:szCs w:val="21"/>
          </w:rPr>
        </w:sdtEndPr>
        <w:sdtContent>
          <w:r>
            <w:rPr>
              <w:rFonts w:hint="eastAsia"/>
              <w:szCs w:val="21"/>
            </w:rPr>
            <w:t>组合2关联方组合</w:t>
          </w:r>
        </w:sdtContent>
      </w:sdt>
    </w:p>
    <w:p w14:paraId="61BCBCA3">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母公司应收账款按组合计提坏账准备"/>
          <w:tag w:val="_GBC_2da079c1515b4a8f95770937142fdccb"/>
          <w:id w:val="4754979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6337906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5018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685d7e84e47740668b70cce04f42de5b"/>
            <w:id w:val="612256177"/>
          </w:sdtPr>
          <w:sdtEndPr>
            <w:rPr>
              <w:rFonts w:ascii="Arial Narrow" w:hAnsi="Arial Narrow" w:eastAsiaTheme="minorEastAsia"/>
            </w:rPr>
          </w:sdtEndPr>
          <w:sdtContent>
            <w:tc>
              <w:tcPr>
                <w:tcW w:w="1158" w:type="pct"/>
                <w:vMerge w:val="restart"/>
                <w:vAlign w:val="center"/>
              </w:tcPr>
              <w:p w14:paraId="209D9E5F">
                <w:pPr>
                  <w:jc w:val="center"/>
                  <w:rPr>
                    <w:rFonts w:ascii="Arial Narrow" w:hAnsi="Arial Narrow" w:eastAsiaTheme="minorEastAsia"/>
                    <w:szCs w:val="21"/>
                  </w:rPr>
                </w:pPr>
                <w:r>
                  <w:rPr>
                    <w:rFonts w:ascii="Arial Narrow" w:hAnsi="Arial Narrow" w:eastAsiaTheme="minorEastAsia"/>
                    <w:szCs w:val="21"/>
                  </w:rPr>
                  <w:t>名称</w:t>
                </w:r>
              </w:p>
            </w:tc>
          </w:sdtContent>
        </w:sdt>
        <w:sdt>
          <w:sdtPr>
            <w:rPr>
              <w:rFonts w:ascii="Arial Narrow" w:hAnsi="Arial Narrow" w:eastAsiaTheme="minorEastAsia"/>
            </w:rPr>
            <w:tag w:val="_PLD_80bd7906b1fa41658076794e93d74585"/>
            <w:id w:val="1500542269"/>
          </w:sdtPr>
          <w:sdtEndPr>
            <w:rPr>
              <w:rFonts w:ascii="Arial Narrow" w:hAnsi="Arial Narrow" w:eastAsiaTheme="minorEastAsia"/>
            </w:rPr>
          </w:sdtEndPr>
          <w:sdtContent>
            <w:tc>
              <w:tcPr>
                <w:tcW w:w="3842" w:type="pct"/>
                <w:gridSpan w:val="3"/>
                <w:vAlign w:val="center"/>
              </w:tcPr>
              <w:p w14:paraId="59D15E3A">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327D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62B1597D">
            <w:pPr>
              <w:jc w:val="center"/>
              <w:rPr>
                <w:rFonts w:ascii="Arial Narrow" w:hAnsi="Arial Narrow" w:eastAsiaTheme="minorEastAsia"/>
                <w:szCs w:val="21"/>
              </w:rPr>
            </w:pPr>
          </w:p>
        </w:tc>
        <w:sdt>
          <w:sdtPr>
            <w:rPr>
              <w:rFonts w:ascii="Arial Narrow" w:hAnsi="Arial Narrow" w:eastAsiaTheme="minorEastAsia"/>
            </w:rPr>
            <w:tag w:val="_PLD_696cb3bb4809472f88c41396728262f5"/>
            <w:id w:val="137687758"/>
          </w:sdtPr>
          <w:sdtEndPr>
            <w:rPr>
              <w:rFonts w:ascii="Arial Narrow" w:hAnsi="Arial Narrow" w:eastAsiaTheme="minorEastAsia"/>
            </w:rPr>
          </w:sdtEndPr>
          <w:sdtContent>
            <w:tc>
              <w:tcPr>
                <w:tcW w:w="1276" w:type="pct"/>
                <w:vAlign w:val="center"/>
              </w:tcPr>
              <w:p w14:paraId="48C307D8">
                <w:pPr>
                  <w:jc w:val="center"/>
                  <w:rPr>
                    <w:rFonts w:ascii="Arial Narrow" w:hAnsi="Arial Narrow" w:eastAsiaTheme="minorEastAsia"/>
                    <w:szCs w:val="21"/>
                  </w:rPr>
                </w:pPr>
                <w:r>
                  <w:rPr>
                    <w:rFonts w:ascii="Arial Narrow" w:hAnsi="Arial Narrow" w:eastAsiaTheme="minorEastAsia"/>
                    <w:szCs w:val="21"/>
                  </w:rPr>
                  <w:t>应收账款</w:t>
                </w:r>
              </w:p>
            </w:tc>
          </w:sdtContent>
        </w:sdt>
        <w:sdt>
          <w:sdtPr>
            <w:rPr>
              <w:rFonts w:ascii="Arial Narrow" w:hAnsi="Arial Narrow" w:eastAsiaTheme="minorEastAsia"/>
            </w:rPr>
            <w:tag w:val="_PLD_70e2c6a60e9b4f08bbbb1a23cd403ade"/>
            <w:id w:val="759647586"/>
          </w:sdtPr>
          <w:sdtEndPr>
            <w:rPr>
              <w:rFonts w:ascii="Arial Narrow" w:hAnsi="Arial Narrow" w:eastAsiaTheme="minorEastAsia"/>
            </w:rPr>
          </w:sdtEndPr>
          <w:sdtContent>
            <w:tc>
              <w:tcPr>
                <w:tcW w:w="1299" w:type="pct"/>
                <w:vAlign w:val="center"/>
              </w:tcPr>
              <w:p w14:paraId="7D10D7D6">
                <w:pPr>
                  <w:jc w:val="center"/>
                  <w:rPr>
                    <w:rFonts w:ascii="Arial Narrow" w:hAnsi="Arial Narrow" w:eastAsiaTheme="minorEastAsia"/>
                    <w:szCs w:val="21"/>
                  </w:rPr>
                </w:pPr>
                <w:r>
                  <w:rPr>
                    <w:rFonts w:ascii="Arial Narrow" w:hAnsi="Arial Narrow" w:eastAsiaTheme="minorEastAsia"/>
                    <w:szCs w:val="21"/>
                  </w:rPr>
                  <w:t>坏账准备</w:t>
                </w:r>
              </w:p>
            </w:tc>
          </w:sdtContent>
        </w:sdt>
        <w:sdt>
          <w:sdtPr>
            <w:rPr>
              <w:rFonts w:ascii="Arial Narrow" w:hAnsi="Arial Narrow" w:eastAsiaTheme="minorEastAsia"/>
            </w:rPr>
            <w:tag w:val="_PLD_1fd76d95bed54fc5b0c669cf7b1d5e18"/>
            <w:id w:val="118432882"/>
          </w:sdtPr>
          <w:sdtEndPr>
            <w:rPr>
              <w:rFonts w:ascii="Arial Narrow" w:hAnsi="Arial Narrow" w:eastAsiaTheme="minorEastAsia"/>
            </w:rPr>
          </w:sdtEndPr>
          <w:sdtContent>
            <w:tc>
              <w:tcPr>
                <w:tcW w:w="1267" w:type="pct"/>
                <w:vAlign w:val="center"/>
              </w:tcPr>
              <w:p w14:paraId="0A351BF0">
                <w:pPr>
                  <w:jc w:val="center"/>
                  <w:rPr>
                    <w:rFonts w:ascii="Arial Narrow" w:hAnsi="Arial Narrow" w:eastAsiaTheme="minorEastAsia"/>
                    <w:szCs w:val="21"/>
                  </w:rPr>
                </w:pPr>
                <w:r>
                  <w:rPr>
                    <w:rFonts w:ascii="Arial Narrow" w:hAnsi="Arial Narrow" w:eastAsiaTheme="minorEastAsia"/>
                    <w:szCs w:val="21"/>
                  </w:rPr>
                  <w:t>计提比例（%）</w:t>
                </w:r>
              </w:p>
            </w:tc>
          </w:sdtContent>
        </w:sdt>
      </w:tr>
      <w:tr w14:paraId="6DDC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5E19BB4">
            <w:pPr>
              <w:rPr>
                <w:rFonts w:ascii="Arial Narrow" w:hAnsi="Arial Narrow" w:eastAsiaTheme="minorEastAsia"/>
                <w:szCs w:val="21"/>
              </w:rPr>
            </w:pPr>
            <w:r>
              <w:rPr>
                <w:rFonts w:ascii="Arial Narrow" w:hAnsi="Arial Narrow" w:eastAsiaTheme="minorEastAsia"/>
                <w:color w:val="000000"/>
                <w:szCs w:val="21"/>
              </w:rPr>
              <w:t>1年以内</w:t>
            </w:r>
          </w:p>
        </w:tc>
        <w:tc>
          <w:tcPr>
            <w:tcW w:w="1276" w:type="pct"/>
            <w:vAlign w:val="center"/>
          </w:tcPr>
          <w:p w14:paraId="0B1F0E4D">
            <w:pPr>
              <w:jc w:val="right"/>
              <w:rPr>
                <w:rFonts w:ascii="Arial Narrow" w:hAnsi="Arial Narrow" w:eastAsiaTheme="minorEastAsia"/>
                <w:szCs w:val="21"/>
              </w:rPr>
            </w:pPr>
          </w:p>
        </w:tc>
        <w:tc>
          <w:tcPr>
            <w:tcW w:w="1299" w:type="pct"/>
            <w:vAlign w:val="center"/>
          </w:tcPr>
          <w:p w14:paraId="41746582">
            <w:pPr>
              <w:jc w:val="right"/>
              <w:rPr>
                <w:rFonts w:ascii="Arial Narrow" w:hAnsi="Arial Narrow" w:eastAsiaTheme="minorEastAsia"/>
                <w:szCs w:val="21"/>
              </w:rPr>
            </w:pPr>
          </w:p>
        </w:tc>
        <w:tc>
          <w:tcPr>
            <w:tcW w:w="1267" w:type="pct"/>
            <w:vAlign w:val="center"/>
          </w:tcPr>
          <w:p w14:paraId="2966F549">
            <w:pPr>
              <w:jc w:val="right"/>
              <w:rPr>
                <w:rFonts w:ascii="Arial Narrow" w:hAnsi="Arial Narrow" w:eastAsiaTheme="minorEastAsia"/>
                <w:szCs w:val="21"/>
              </w:rPr>
            </w:pPr>
          </w:p>
        </w:tc>
      </w:tr>
      <w:tr w14:paraId="72BC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FC3F85A">
            <w:pPr>
              <w:rPr>
                <w:rFonts w:ascii="Arial Narrow" w:hAnsi="Arial Narrow" w:eastAsiaTheme="minorEastAsia"/>
                <w:szCs w:val="21"/>
              </w:rPr>
            </w:pPr>
            <w:r>
              <w:rPr>
                <w:rFonts w:ascii="Arial Narrow" w:hAnsi="Arial Narrow" w:eastAsiaTheme="minorEastAsia"/>
                <w:color w:val="000000"/>
                <w:szCs w:val="21"/>
              </w:rPr>
              <w:t>1－2年</w:t>
            </w:r>
          </w:p>
        </w:tc>
        <w:tc>
          <w:tcPr>
            <w:tcW w:w="1276" w:type="pct"/>
            <w:vAlign w:val="center"/>
          </w:tcPr>
          <w:p w14:paraId="7C1B6CF5">
            <w:pPr>
              <w:jc w:val="right"/>
              <w:rPr>
                <w:rFonts w:ascii="Arial Narrow" w:hAnsi="Arial Narrow" w:eastAsiaTheme="minorEastAsia"/>
                <w:szCs w:val="21"/>
              </w:rPr>
            </w:pPr>
          </w:p>
        </w:tc>
        <w:tc>
          <w:tcPr>
            <w:tcW w:w="1299" w:type="pct"/>
            <w:vAlign w:val="center"/>
          </w:tcPr>
          <w:p w14:paraId="432FF228">
            <w:pPr>
              <w:jc w:val="right"/>
              <w:rPr>
                <w:rFonts w:ascii="Arial Narrow" w:hAnsi="Arial Narrow" w:eastAsiaTheme="minorEastAsia"/>
                <w:szCs w:val="21"/>
              </w:rPr>
            </w:pPr>
          </w:p>
        </w:tc>
        <w:tc>
          <w:tcPr>
            <w:tcW w:w="1267" w:type="pct"/>
            <w:vAlign w:val="center"/>
          </w:tcPr>
          <w:p w14:paraId="2169CBD0">
            <w:pPr>
              <w:jc w:val="right"/>
              <w:rPr>
                <w:rFonts w:ascii="Arial Narrow" w:hAnsi="Arial Narrow" w:eastAsiaTheme="minorEastAsia"/>
                <w:szCs w:val="21"/>
              </w:rPr>
            </w:pPr>
          </w:p>
        </w:tc>
      </w:tr>
      <w:tr w14:paraId="75F9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3721E05">
            <w:pPr>
              <w:rPr>
                <w:rFonts w:ascii="Arial Narrow" w:hAnsi="Arial Narrow" w:eastAsiaTheme="minorEastAsia"/>
                <w:szCs w:val="21"/>
              </w:rPr>
            </w:pPr>
            <w:r>
              <w:rPr>
                <w:rFonts w:ascii="Arial Narrow" w:hAnsi="Arial Narrow" w:eastAsiaTheme="minorEastAsia"/>
                <w:color w:val="000000"/>
                <w:szCs w:val="21"/>
              </w:rPr>
              <w:t>2－3年</w:t>
            </w:r>
          </w:p>
        </w:tc>
        <w:tc>
          <w:tcPr>
            <w:tcW w:w="1276" w:type="pct"/>
            <w:vAlign w:val="center"/>
          </w:tcPr>
          <w:p w14:paraId="6BF661AF">
            <w:pPr>
              <w:jc w:val="right"/>
              <w:rPr>
                <w:rFonts w:ascii="Arial Narrow" w:hAnsi="Arial Narrow" w:eastAsiaTheme="minorEastAsia"/>
                <w:szCs w:val="21"/>
              </w:rPr>
            </w:pPr>
            <w:r>
              <w:rPr>
                <w:rFonts w:ascii="Arial Narrow" w:hAnsi="Arial Narrow" w:eastAsiaTheme="minorEastAsia"/>
                <w:color w:val="000000"/>
                <w:szCs w:val="21"/>
              </w:rPr>
              <w:t>2,385,087.60</w:t>
            </w:r>
          </w:p>
        </w:tc>
        <w:tc>
          <w:tcPr>
            <w:tcW w:w="1299" w:type="pct"/>
            <w:vAlign w:val="center"/>
          </w:tcPr>
          <w:p w14:paraId="660E556E">
            <w:pPr>
              <w:jc w:val="right"/>
              <w:rPr>
                <w:rFonts w:ascii="Arial Narrow" w:hAnsi="Arial Narrow" w:eastAsiaTheme="minorEastAsia"/>
                <w:szCs w:val="21"/>
              </w:rPr>
            </w:pPr>
          </w:p>
        </w:tc>
        <w:tc>
          <w:tcPr>
            <w:tcW w:w="1267" w:type="pct"/>
            <w:vAlign w:val="center"/>
          </w:tcPr>
          <w:p w14:paraId="4EF05BAA">
            <w:pPr>
              <w:jc w:val="right"/>
              <w:rPr>
                <w:rFonts w:ascii="Arial Narrow" w:hAnsi="Arial Narrow" w:eastAsiaTheme="minorEastAsia"/>
                <w:szCs w:val="21"/>
              </w:rPr>
            </w:pPr>
          </w:p>
        </w:tc>
      </w:tr>
      <w:tr w14:paraId="7F34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B02760D">
            <w:pPr>
              <w:rPr>
                <w:rFonts w:ascii="Arial Narrow" w:hAnsi="Arial Narrow" w:eastAsiaTheme="minorEastAsia"/>
                <w:szCs w:val="21"/>
              </w:rPr>
            </w:pPr>
            <w:r>
              <w:rPr>
                <w:rFonts w:ascii="Arial Narrow" w:hAnsi="Arial Narrow" w:eastAsiaTheme="minorEastAsia"/>
                <w:color w:val="000000"/>
                <w:szCs w:val="21"/>
              </w:rPr>
              <w:t>3－4年</w:t>
            </w:r>
          </w:p>
        </w:tc>
        <w:tc>
          <w:tcPr>
            <w:tcW w:w="1276" w:type="pct"/>
            <w:vAlign w:val="center"/>
          </w:tcPr>
          <w:p w14:paraId="0877B44E">
            <w:pPr>
              <w:jc w:val="right"/>
              <w:rPr>
                <w:rFonts w:ascii="Arial Narrow" w:hAnsi="Arial Narrow" w:eastAsiaTheme="minorEastAsia"/>
                <w:szCs w:val="21"/>
              </w:rPr>
            </w:pPr>
            <w:r>
              <w:rPr>
                <w:rFonts w:ascii="Arial Narrow" w:hAnsi="Arial Narrow" w:eastAsiaTheme="minorEastAsia"/>
                <w:color w:val="000000"/>
                <w:szCs w:val="21"/>
              </w:rPr>
              <w:t>53,287.32</w:t>
            </w:r>
          </w:p>
        </w:tc>
        <w:tc>
          <w:tcPr>
            <w:tcW w:w="1299" w:type="pct"/>
            <w:vAlign w:val="center"/>
          </w:tcPr>
          <w:p w14:paraId="734CD72B">
            <w:pPr>
              <w:jc w:val="right"/>
              <w:rPr>
                <w:rFonts w:ascii="Arial Narrow" w:hAnsi="Arial Narrow" w:eastAsiaTheme="minorEastAsia"/>
                <w:szCs w:val="21"/>
              </w:rPr>
            </w:pPr>
          </w:p>
        </w:tc>
        <w:tc>
          <w:tcPr>
            <w:tcW w:w="1267" w:type="pct"/>
            <w:vAlign w:val="center"/>
          </w:tcPr>
          <w:p w14:paraId="65E78DB8">
            <w:pPr>
              <w:jc w:val="right"/>
              <w:rPr>
                <w:rFonts w:ascii="Arial Narrow" w:hAnsi="Arial Narrow" w:eastAsiaTheme="minorEastAsia"/>
                <w:szCs w:val="21"/>
              </w:rPr>
            </w:pPr>
          </w:p>
        </w:tc>
      </w:tr>
      <w:tr w14:paraId="7F31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963442F">
            <w:pPr>
              <w:rPr>
                <w:rFonts w:ascii="Arial Narrow" w:hAnsi="Arial Narrow" w:eastAsiaTheme="minorEastAsia"/>
                <w:szCs w:val="21"/>
              </w:rPr>
            </w:pPr>
            <w:r>
              <w:rPr>
                <w:rFonts w:ascii="Arial Narrow" w:hAnsi="Arial Narrow" w:eastAsiaTheme="minorEastAsia"/>
                <w:color w:val="000000"/>
                <w:szCs w:val="21"/>
              </w:rPr>
              <w:t>4－5年</w:t>
            </w:r>
          </w:p>
        </w:tc>
        <w:tc>
          <w:tcPr>
            <w:tcW w:w="1276" w:type="pct"/>
            <w:vAlign w:val="center"/>
          </w:tcPr>
          <w:p w14:paraId="703BA74C">
            <w:pPr>
              <w:jc w:val="right"/>
              <w:rPr>
                <w:rFonts w:ascii="Arial Narrow" w:hAnsi="Arial Narrow" w:eastAsiaTheme="minorEastAsia"/>
                <w:szCs w:val="21"/>
              </w:rPr>
            </w:pPr>
            <w:r>
              <w:rPr>
                <w:rFonts w:ascii="Arial Narrow" w:hAnsi="Arial Narrow" w:eastAsiaTheme="minorEastAsia"/>
                <w:color w:val="000000"/>
                <w:szCs w:val="21"/>
              </w:rPr>
              <w:t>1,903,677.13</w:t>
            </w:r>
          </w:p>
        </w:tc>
        <w:tc>
          <w:tcPr>
            <w:tcW w:w="1299" w:type="pct"/>
            <w:vAlign w:val="center"/>
          </w:tcPr>
          <w:p w14:paraId="3B8E01ED">
            <w:pPr>
              <w:jc w:val="right"/>
              <w:rPr>
                <w:rFonts w:ascii="Arial Narrow" w:hAnsi="Arial Narrow" w:eastAsiaTheme="minorEastAsia"/>
                <w:szCs w:val="21"/>
              </w:rPr>
            </w:pPr>
          </w:p>
        </w:tc>
        <w:tc>
          <w:tcPr>
            <w:tcW w:w="1267" w:type="pct"/>
            <w:vAlign w:val="center"/>
          </w:tcPr>
          <w:p w14:paraId="51ECA98D">
            <w:pPr>
              <w:jc w:val="right"/>
              <w:rPr>
                <w:rFonts w:ascii="Arial Narrow" w:hAnsi="Arial Narrow" w:eastAsiaTheme="minorEastAsia"/>
                <w:szCs w:val="21"/>
              </w:rPr>
            </w:pPr>
          </w:p>
        </w:tc>
      </w:tr>
      <w:tr w14:paraId="6FC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54535B7">
            <w:pPr>
              <w:rPr>
                <w:rFonts w:ascii="Arial Narrow" w:hAnsi="Arial Narrow" w:eastAsiaTheme="minorEastAsia"/>
                <w:szCs w:val="21"/>
              </w:rPr>
            </w:pPr>
            <w:r>
              <w:rPr>
                <w:rFonts w:ascii="Arial Narrow" w:hAnsi="Arial Narrow" w:eastAsiaTheme="minorEastAsia"/>
                <w:color w:val="000000"/>
                <w:szCs w:val="21"/>
              </w:rPr>
              <w:t>5年以上</w:t>
            </w:r>
          </w:p>
        </w:tc>
        <w:tc>
          <w:tcPr>
            <w:tcW w:w="1276" w:type="pct"/>
            <w:vAlign w:val="center"/>
          </w:tcPr>
          <w:p w14:paraId="0B2A7497">
            <w:pPr>
              <w:jc w:val="right"/>
              <w:rPr>
                <w:rFonts w:ascii="Arial Narrow" w:hAnsi="Arial Narrow" w:eastAsiaTheme="minorEastAsia"/>
                <w:szCs w:val="21"/>
              </w:rPr>
            </w:pPr>
            <w:r>
              <w:rPr>
                <w:rFonts w:ascii="Arial Narrow" w:hAnsi="Arial Narrow" w:eastAsiaTheme="minorEastAsia"/>
                <w:color w:val="000000"/>
                <w:szCs w:val="21"/>
              </w:rPr>
              <w:t>30,258,573.62</w:t>
            </w:r>
          </w:p>
        </w:tc>
        <w:tc>
          <w:tcPr>
            <w:tcW w:w="1299" w:type="pct"/>
            <w:vAlign w:val="center"/>
          </w:tcPr>
          <w:p w14:paraId="76C786CA">
            <w:pPr>
              <w:jc w:val="right"/>
              <w:rPr>
                <w:rFonts w:ascii="Arial Narrow" w:hAnsi="Arial Narrow" w:eastAsiaTheme="minorEastAsia"/>
                <w:szCs w:val="21"/>
              </w:rPr>
            </w:pPr>
          </w:p>
        </w:tc>
        <w:tc>
          <w:tcPr>
            <w:tcW w:w="1267" w:type="pct"/>
            <w:vAlign w:val="center"/>
          </w:tcPr>
          <w:p w14:paraId="5F8AED97">
            <w:pPr>
              <w:jc w:val="right"/>
              <w:rPr>
                <w:rFonts w:ascii="Arial Narrow" w:hAnsi="Arial Narrow" w:eastAsiaTheme="minorEastAsia"/>
                <w:szCs w:val="21"/>
              </w:rPr>
            </w:pPr>
          </w:p>
        </w:tc>
      </w:tr>
      <w:tr w14:paraId="53C5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24AF5444">
            <w:pPr>
              <w:jc w:val="center"/>
              <w:rPr>
                <w:rFonts w:ascii="Arial Narrow" w:hAnsi="Arial Narrow" w:eastAsiaTheme="minorEastAsia"/>
                <w:szCs w:val="21"/>
              </w:rPr>
            </w:pPr>
            <w:r>
              <w:rPr>
                <w:rFonts w:ascii="Arial Narrow" w:hAnsi="Arial Narrow" w:eastAsiaTheme="minorEastAsia"/>
                <w:szCs w:val="21"/>
              </w:rPr>
              <w:t>合计</w:t>
            </w:r>
          </w:p>
        </w:tc>
        <w:tc>
          <w:tcPr>
            <w:tcW w:w="1276" w:type="pct"/>
            <w:vAlign w:val="center"/>
          </w:tcPr>
          <w:p w14:paraId="75408759">
            <w:pPr>
              <w:jc w:val="right"/>
              <w:rPr>
                <w:rFonts w:ascii="Arial Narrow" w:hAnsi="Arial Narrow" w:eastAsiaTheme="minorEastAsia"/>
                <w:szCs w:val="21"/>
              </w:rPr>
            </w:pPr>
            <w:r>
              <w:rPr>
                <w:rFonts w:ascii="Arial Narrow" w:hAnsi="Arial Narrow" w:eastAsiaTheme="minorEastAsia"/>
                <w:color w:val="000000"/>
                <w:szCs w:val="21"/>
              </w:rPr>
              <w:t>34,600,625.67</w:t>
            </w:r>
          </w:p>
        </w:tc>
        <w:tc>
          <w:tcPr>
            <w:tcW w:w="1299" w:type="pct"/>
            <w:vAlign w:val="center"/>
          </w:tcPr>
          <w:p w14:paraId="47954895">
            <w:pPr>
              <w:jc w:val="right"/>
              <w:rPr>
                <w:rFonts w:ascii="Arial Narrow" w:hAnsi="Arial Narrow" w:eastAsiaTheme="minorEastAsia"/>
                <w:szCs w:val="21"/>
              </w:rPr>
            </w:pPr>
          </w:p>
        </w:tc>
        <w:tc>
          <w:tcPr>
            <w:tcW w:w="1267" w:type="pct"/>
            <w:vAlign w:val="center"/>
          </w:tcPr>
          <w:p w14:paraId="450E61A8">
            <w:pPr>
              <w:jc w:val="right"/>
              <w:rPr>
                <w:rFonts w:ascii="Arial Narrow" w:hAnsi="Arial Narrow" w:eastAsiaTheme="minorEastAsia"/>
                <w:szCs w:val="21"/>
              </w:rPr>
            </w:pPr>
          </w:p>
        </w:tc>
      </w:tr>
    </w:tbl>
    <w:p w14:paraId="527EAB89">
      <w:pPr>
        <w:rPr>
          <w:rFonts w:hint="eastAsia"/>
          <w:szCs w:val="21"/>
        </w:rPr>
      </w:pPr>
      <w:r>
        <w:rPr>
          <w:rFonts w:hint="eastAsia"/>
          <w:szCs w:val="21"/>
        </w:rPr>
        <w:t>按组合计提坏账准备的说明：</w:t>
      </w:r>
    </w:p>
    <w:sdt>
      <w:sdtPr>
        <w:rPr>
          <w:szCs w:val="21"/>
        </w:rPr>
        <w:alias w:val="是否适用：母公司应收账款按组合计提坏账的确认标准及说明[双击切换]"/>
        <w:tag w:val="_GBC_63044b38e77844689beec86348cdea93"/>
        <w:id w:val="-1982534588"/>
        <w:placeholder>
          <w:docPart w:val="GBC22222222222222222222222222222"/>
        </w:placeholder>
      </w:sdtPr>
      <w:sdtEndPr>
        <w:rPr>
          <w:szCs w:val="21"/>
        </w:rPr>
      </w:sdtEndPr>
      <w:sdtContent>
        <w:p w14:paraId="4AA283BB">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57A47101">
      <w:pPr>
        <w:rPr>
          <w:rFonts w:hint="eastAsia"/>
        </w:rPr>
      </w:pPr>
    </w:p>
    <w:p w14:paraId="2737BE80">
      <w:pPr>
        <w:rPr>
          <w:rFonts w:hint="eastAsia"/>
        </w:rPr>
      </w:pPr>
    </w:p>
    <w:sdt>
      <w:sdtPr>
        <w:tag w:val="_PLD_23aec57fe4b34ac2aa7d42cb52467101"/>
        <w:id w:val="1554500662"/>
      </w:sdtPr>
      <w:sdtContent>
        <w:p w14:paraId="2093FCA8">
          <w:pPr>
            <w:rPr>
              <w:rFonts w:hint="eastAsia"/>
              <w:szCs w:val="21"/>
            </w:rPr>
          </w:pPr>
          <w:r>
            <w:rPr>
              <w:rFonts w:hint="eastAsia"/>
              <w:szCs w:val="21"/>
            </w:rPr>
            <w:t>按组合计提坏账准备：</w:t>
          </w:r>
        </w:p>
      </w:sdtContent>
    </w:sdt>
    <w:sdt>
      <w:sdtPr>
        <w:alias w:val="是否适用：母公司应收账款按组合计提坏账准备[双击切换]"/>
        <w:tag w:val="_GBC_70ac43d24876403083fb1d281c12cd7e"/>
        <w:id w:val="-1802829278"/>
        <w:placeholder>
          <w:docPart w:val="6FAD5F36EA304B9CA35061AC310EA480"/>
        </w:placeholder>
      </w:sdtPr>
      <w:sdtContent>
        <w:p w14:paraId="68508FCC">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A96BFC">
      <w:pPr>
        <w:rPr>
          <w:rFonts w:hint="eastAsia"/>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187189414"/>
          <w:placeholder>
            <w:docPart w:val="6FAD5F36EA304B9CA35061AC310EA480"/>
          </w:placeholder>
          <w:comboBox>
            <w:listItem w:displayText="组合1军方、警方、政府职能部门等高信用水平单位应收账款组合" w:value="组合1军方、警方、政府职能部门等高信用水平单位应收账款组合"/>
            <w:listItem w:displayText="组合2关联方组合" w:value="组合2关联方组合"/>
            <w:listItem w:displayText="组合3账龄组合" w:value="组合3账龄组合"/>
          </w:comboBox>
        </w:sdtPr>
        <w:sdtEndPr>
          <w:rPr>
            <w:rFonts w:hint="eastAsia"/>
            <w:szCs w:val="21"/>
          </w:rPr>
        </w:sdtEndPr>
        <w:sdtContent>
          <w:r>
            <w:rPr>
              <w:rFonts w:hint="eastAsia"/>
              <w:szCs w:val="21"/>
            </w:rPr>
            <w:t>组合3账龄组合</w:t>
          </w:r>
        </w:sdtContent>
      </w:sdt>
    </w:p>
    <w:p w14:paraId="7FA08B71">
      <w:pPr>
        <w:autoSpaceDE w:val="0"/>
        <w:autoSpaceDN w:val="0"/>
        <w:adjustRightInd w:val="0"/>
        <w:ind w:left="5880" w:right="105"/>
        <w:jc w:val="right"/>
        <w:rPr>
          <w:rFonts w:hint="eastAsia"/>
          <w:szCs w:val="21"/>
        </w:rPr>
      </w:pPr>
      <w:r>
        <w:rPr>
          <w:rFonts w:hint="eastAsia"/>
          <w:szCs w:val="21"/>
        </w:rPr>
        <w:t>单位：</w:t>
      </w:r>
      <w:sdt>
        <w:sdtPr>
          <w:rPr>
            <w:rFonts w:hint="eastAsia"/>
            <w:szCs w:val="21"/>
          </w:rPr>
          <w:alias w:val="单位：母公司应收账款按组合计提坏账准备"/>
          <w:tag w:val="_GBC_2da079c1515b4a8f95770937142fdccb"/>
          <w:id w:val="1459835330"/>
          <w:placeholder>
            <w:docPart w:val="6FAD5F36EA304B9CA35061AC310EA48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549465098"/>
          <w:placeholder>
            <w:docPart w:val="6FAD5F36EA304B9CA35061AC310EA48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252"/>
        <w:gridCol w:w="2292"/>
        <w:gridCol w:w="2236"/>
      </w:tblGrid>
      <w:tr w14:paraId="7603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685d7e84e47740668b70cce04f42de5b"/>
            <w:id w:val="-509986865"/>
          </w:sdtPr>
          <w:sdtEndPr>
            <w:rPr>
              <w:rFonts w:ascii="Arial Narrow" w:hAnsi="Arial Narrow" w:eastAsiaTheme="minorEastAsia"/>
              <w:szCs w:val="21"/>
            </w:rPr>
          </w:sdtEndPr>
          <w:sdtContent>
            <w:tc>
              <w:tcPr>
                <w:tcW w:w="1158" w:type="pct"/>
                <w:vMerge w:val="restart"/>
                <w:vAlign w:val="center"/>
              </w:tcPr>
              <w:p w14:paraId="4D1279A4">
                <w:pPr>
                  <w:jc w:val="center"/>
                  <w:rPr>
                    <w:rFonts w:ascii="Arial Narrow" w:hAnsi="Arial Narrow" w:eastAsiaTheme="minorEastAsia"/>
                    <w:szCs w:val="21"/>
                  </w:rPr>
                </w:pPr>
                <w:r>
                  <w:rPr>
                    <w:rFonts w:ascii="Arial Narrow" w:hAnsi="Arial Narrow" w:eastAsiaTheme="minorEastAsia"/>
                    <w:szCs w:val="21"/>
                  </w:rPr>
                  <w:t>名称</w:t>
                </w:r>
              </w:p>
            </w:tc>
          </w:sdtContent>
        </w:sdt>
        <w:sdt>
          <w:sdtPr>
            <w:rPr>
              <w:rFonts w:ascii="Arial Narrow" w:hAnsi="Arial Narrow" w:eastAsiaTheme="minorEastAsia"/>
              <w:szCs w:val="21"/>
            </w:rPr>
            <w:tag w:val="_PLD_80bd7906b1fa41658076794e93d74585"/>
            <w:id w:val="1561517337"/>
          </w:sdtPr>
          <w:sdtEndPr>
            <w:rPr>
              <w:rFonts w:ascii="Arial Narrow" w:hAnsi="Arial Narrow" w:eastAsiaTheme="minorEastAsia"/>
              <w:szCs w:val="21"/>
            </w:rPr>
          </w:sdtEndPr>
          <w:sdtContent>
            <w:tc>
              <w:tcPr>
                <w:tcW w:w="3842" w:type="pct"/>
                <w:gridSpan w:val="3"/>
                <w:vAlign w:val="center"/>
              </w:tcPr>
              <w:p w14:paraId="58D171B4">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75A9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0CD53396">
            <w:pPr>
              <w:jc w:val="center"/>
              <w:rPr>
                <w:rFonts w:ascii="Arial Narrow" w:hAnsi="Arial Narrow" w:eastAsiaTheme="minorEastAsia"/>
                <w:szCs w:val="21"/>
              </w:rPr>
            </w:pPr>
          </w:p>
        </w:tc>
        <w:sdt>
          <w:sdtPr>
            <w:rPr>
              <w:rFonts w:ascii="Arial Narrow" w:hAnsi="Arial Narrow" w:eastAsiaTheme="minorEastAsia"/>
              <w:szCs w:val="21"/>
            </w:rPr>
            <w:tag w:val="_PLD_696cb3bb4809472f88c41396728262f5"/>
            <w:id w:val="-2114581399"/>
          </w:sdtPr>
          <w:sdtEndPr>
            <w:rPr>
              <w:rFonts w:ascii="Arial Narrow" w:hAnsi="Arial Narrow" w:eastAsiaTheme="minorEastAsia"/>
              <w:szCs w:val="21"/>
            </w:rPr>
          </w:sdtEndPr>
          <w:sdtContent>
            <w:tc>
              <w:tcPr>
                <w:tcW w:w="1276" w:type="pct"/>
                <w:vAlign w:val="center"/>
              </w:tcPr>
              <w:p w14:paraId="6A28A921">
                <w:pPr>
                  <w:jc w:val="center"/>
                  <w:rPr>
                    <w:rFonts w:ascii="Arial Narrow" w:hAnsi="Arial Narrow" w:eastAsiaTheme="minorEastAsia"/>
                    <w:szCs w:val="21"/>
                  </w:rPr>
                </w:pPr>
                <w:r>
                  <w:rPr>
                    <w:rFonts w:ascii="Arial Narrow" w:hAnsi="Arial Narrow" w:eastAsiaTheme="minorEastAsia"/>
                    <w:szCs w:val="21"/>
                  </w:rPr>
                  <w:t>应收账款</w:t>
                </w:r>
              </w:p>
            </w:tc>
          </w:sdtContent>
        </w:sdt>
        <w:sdt>
          <w:sdtPr>
            <w:rPr>
              <w:rFonts w:ascii="Arial Narrow" w:hAnsi="Arial Narrow" w:eastAsiaTheme="minorEastAsia"/>
              <w:szCs w:val="21"/>
            </w:rPr>
            <w:tag w:val="_PLD_70e2c6a60e9b4f08bbbb1a23cd403ade"/>
            <w:id w:val="1778983399"/>
          </w:sdtPr>
          <w:sdtEndPr>
            <w:rPr>
              <w:rFonts w:ascii="Arial Narrow" w:hAnsi="Arial Narrow" w:eastAsiaTheme="minorEastAsia"/>
              <w:szCs w:val="21"/>
            </w:rPr>
          </w:sdtEndPr>
          <w:sdtContent>
            <w:tc>
              <w:tcPr>
                <w:tcW w:w="1299" w:type="pct"/>
                <w:vAlign w:val="center"/>
              </w:tcPr>
              <w:p w14:paraId="34ED3433">
                <w:pPr>
                  <w:jc w:val="center"/>
                  <w:rPr>
                    <w:rFonts w:ascii="Arial Narrow" w:hAnsi="Arial Narrow" w:eastAsiaTheme="minorEastAsia"/>
                    <w:szCs w:val="21"/>
                  </w:rPr>
                </w:pPr>
                <w:r>
                  <w:rPr>
                    <w:rFonts w:ascii="Arial Narrow" w:hAnsi="Arial Narrow" w:eastAsiaTheme="minorEastAsia"/>
                    <w:szCs w:val="21"/>
                  </w:rPr>
                  <w:t>坏账准备</w:t>
                </w:r>
              </w:p>
            </w:tc>
          </w:sdtContent>
        </w:sdt>
        <w:sdt>
          <w:sdtPr>
            <w:rPr>
              <w:rFonts w:ascii="Arial Narrow" w:hAnsi="Arial Narrow" w:eastAsiaTheme="minorEastAsia"/>
              <w:szCs w:val="21"/>
            </w:rPr>
            <w:tag w:val="_PLD_1fd76d95bed54fc5b0c669cf7b1d5e18"/>
            <w:id w:val="-465592482"/>
          </w:sdtPr>
          <w:sdtEndPr>
            <w:rPr>
              <w:rFonts w:ascii="Arial Narrow" w:hAnsi="Arial Narrow" w:eastAsiaTheme="minorEastAsia"/>
              <w:szCs w:val="21"/>
            </w:rPr>
          </w:sdtEndPr>
          <w:sdtContent>
            <w:tc>
              <w:tcPr>
                <w:tcW w:w="1267" w:type="pct"/>
                <w:vAlign w:val="center"/>
              </w:tcPr>
              <w:p w14:paraId="0AF860DF">
                <w:pPr>
                  <w:jc w:val="center"/>
                  <w:rPr>
                    <w:rFonts w:ascii="Arial Narrow" w:hAnsi="Arial Narrow" w:eastAsiaTheme="minorEastAsia"/>
                    <w:szCs w:val="21"/>
                  </w:rPr>
                </w:pPr>
                <w:r>
                  <w:rPr>
                    <w:rFonts w:ascii="Arial Narrow" w:hAnsi="Arial Narrow" w:eastAsiaTheme="minorEastAsia"/>
                    <w:szCs w:val="21"/>
                  </w:rPr>
                  <w:t>计提比例（%）</w:t>
                </w:r>
              </w:p>
            </w:tc>
          </w:sdtContent>
        </w:sdt>
      </w:tr>
      <w:tr w14:paraId="64CA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01AE8DD">
            <w:pPr>
              <w:rPr>
                <w:rFonts w:ascii="Arial Narrow" w:hAnsi="Arial Narrow" w:eastAsiaTheme="minorEastAsia"/>
                <w:szCs w:val="21"/>
              </w:rPr>
            </w:pPr>
            <w:r>
              <w:rPr>
                <w:rFonts w:ascii="Arial Narrow" w:hAnsi="Arial Narrow" w:eastAsiaTheme="minorEastAsia"/>
                <w:color w:val="000000"/>
                <w:szCs w:val="21"/>
              </w:rPr>
              <w:t>1年以内</w:t>
            </w:r>
          </w:p>
        </w:tc>
        <w:tc>
          <w:tcPr>
            <w:tcW w:w="1276" w:type="pct"/>
            <w:vAlign w:val="center"/>
          </w:tcPr>
          <w:p w14:paraId="53645374">
            <w:pPr>
              <w:jc w:val="right"/>
              <w:rPr>
                <w:rFonts w:ascii="Arial Narrow" w:hAnsi="Arial Narrow" w:eastAsiaTheme="minorEastAsia"/>
                <w:szCs w:val="21"/>
              </w:rPr>
            </w:pPr>
          </w:p>
        </w:tc>
        <w:tc>
          <w:tcPr>
            <w:tcW w:w="1299" w:type="pct"/>
            <w:vAlign w:val="center"/>
          </w:tcPr>
          <w:p w14:paraId="4AE27C01">
            <w:pPr>
              <w:jc w:val="right"/>
              <w:rPr>
                <w:rFonts w:ascii="Arial Narrow" w:hAnsi="Arial Narrow" w:eastAsiaTheme="minorEastAsia"/>
                <w:szCs w:val="21"/>
              </w:rPr>
            </w:pPr>
          </w:p>
        </w:tc>
        <w:tc>
          <w:tcPr>
            <w:tcW w:w="1267" w:type="pct"/>
            <w:vAlign w:val="center"/>
          </w:tcPr>
          <w:p w14:paraId="6DBC1DA8">
            <w:pPr>
              <w:jc w:val="right"/>
              <w:rPr>
                <w:rFonts w:ascii="Arial Narrow" w:hAnsi="Arial Narrow" w:eastAsiaTheme="minorEastAsia"/>
                <w:szCs w:val="21"/>
              </w:rPr>
            </w:pPr>
          </w:p>
        </w:tc>
      </w:tr>
      <w:tr w14:paraId="757E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7A87B93">
            <w:pPr>
              <w:rPr>
                <w:rFonts w:ascii="Arial Narrow" w:hAnsi="Arial Narrow" w:eastAsiaTheme="minorEastAsia"/>
                <w:szCs w:val="21"/>
              </w:rPr>
            </w:pPr>
            <w:r>
              <w:rPr>
                <w:rFonts w:ascii="Arial Narrow" w:hAnsi="Arial Narrow" w:eastAsiaTheme="minorEastAsia"/>
                <w:color w:val="000000"/>
                <w:szCs w:val="21"/>
              </w:rPr>
              <w:t>1－2年</w:t>
            </w:r>
          </w:p>
        </w:tc>
        <w:tc>
          <w:tcPr>
            <w:tcW w:w="1276" w:type="pct"/>
            <w:vAlign w:val="center"/>
          </w:tcPr>
          <w:p w14:paraId="7599AAC3">
            <w:pPr>
              <w:jc w:val="right"/>
              <w:rPr>
                <w:rFonts w:ascii="Arial Narrow" w:hAnsi="Arial Narrow" w:eastAsiaTheme="minorEastAsia"/>
                <w:szCs w:val="21"/>
              </w:rPr>
            </w:pPr>
          </w:p>
        </w:tc>
        <w:tc>
          <w:tcPr>
            <w:tcW w:w="1299" w:type="pct"/>
            <w:vAlign w:val="center"/>
          </w:tcPr>
          <w:p w14:paraId="2338FE6A">
            <w:pPr>
              <w:jc w:val="right"/>
              <w:rPr>
                <w:rFonts w:ascii="Arial Narrow" w:hAnsi="Arial Narrow" w:eastAsiaTheme="minorEastAsia"/>
                <w:szCs w:val="21"/>
              </w:rPr>
            </w:pPr>
          </w:p>
        </w:tc>
        <w:tc>
          <w:tcPr>
            <w:tcW w:w="1267" w:type="pct"/>
            <w:vAlign w:val="center"/>
          </w:tcPr>
          <w:p w14:paraId="5C8500D9">
            <w:pPr>
              <w:jc w:val="right"/>
              <w:rPr>
                <w:rFonts w:ascii="Arial Narrow" w:hAnsi="Arial Narrow" w:eastAsiaTheme="minorEastAsia"/>
                <w:szCs w:val="21"/>
              </w:rPr>
            </w:pPr>
          </w:p>
        </w:tc>
      </w:tr>
      <w:tr w14:paraId="50B7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DAB2DA1">
            <w:pPr>
              <w:rPr>
                <w:rFonts w:ascii="Arial Narrow" w:hAnsi="Arial Narrow" w:eastAsiaTheme="minorEastAsia"/>
                <w:szCs w:val="21"/>
              </w:rPr>
            </w:pPr>
            <w:r>
              <w:rPr>
                <w:rFonts w:ascii="Arial Narrow" w:hAnsi="Arial Narrow" w:eastAsiaTheme="minorEastAsia"/>
                <w:color w:val="000000"/>
                <w:szCs w:val="21"/>
              </w:rPr>
              <w:t>2－3年</w:t>
            </w:r>
          </w:p>
        </w:tc>
        <w:tc>
          <w:tcPr>
            <w:tcW w:w="1276" w:type="pct"/>
            <w:vAlign w:val="center"/>
          </w:tcPr>
          <w:p w14:paraId="7B02259E">
            <w:pPr>
              <w:jc w:val="right"/>
              <w:rPr>
                <w:rFonts w:ascii="Arial Narrow" w:hAnsi="Arial Narrow" w:eastAsiaTheme="minorEastAsia"/>
                <w:szCs w:val="21"/>
              </w:rPr>
            </w:pPr>
            <w:r>
              <w:rPr>
                <w:rFonts w:ascii="Arial Narrow" w:hAnsi="Arial Narrow" w:eastAsiaTheme="minorEastAsia"/>
                <w:color w:val="000000"/>
                <w:szCs w:val="21"/>
              </w:rPr>
              <w:t>100,645.12</w:t>
            </w:r>
          </w:p>
        </w:tc>
        <w:tc>
          <w:tcPr>
            <w:tcW w:w="1299" w:type="pct"/>
            <w:vAlign w:val="center"/>
          </w:tcPr>
          <w:p w14:paraId="1C6A1E14">
            <w:pPr>
              <w:jc w:val="right"/>
              <w:rPr>
                <w:rFonts w:ascii="Arial Narrow" w:hAnsi="Arial Narrow" w:eastAsiaTheme="minorEastAsia"/>
                <w:szCs w:val="21"/>
              </w:rPr>
            </w:pPr>
            <w:r>
              <w:rPr>
                <w:rFonts w:ascii="Arial Narrow" w:hAnsi="Arial Narrow" w:eastAsiaTheme="minorEastAsia"/>
                <w:color w:val="000000"/>
                <w:szCs w:val="21"/>
              </w:rPr>
              <w:t>50,322.56</w:t>
            </w:r>
          </w:p>
        </w:tc>
        <w:tc>
          <w:tcPr>
            <w:tcW w:w="1267" w:type="pct"/>
            <w:vAlign w:val="center"/>
          </w:tcPr>
          <w:p w14:paraId="2E10AC86">
            <w:pPr>
              <w:jc w:val="right"/>
              <w:rPr>
                <w:rFonts w:ascii="Arial Narrow" w:hAnsi="Arial Narrow" w:eastAsiaTheme="minorEastAsia"/>
                <w:szCs w:val="21"/>
              </w:rPr>
            </w:pPr>
            <w:r>
              <w:rPr>
                <w:rFonts w:ascii="Arial Narrow" w:hAnsi="Arial Narrow" w:eastAsiaTheme="minorEastAsia"/>
                <w:color w:val="000000"/>
                <w:szCs w:val="21"/>
              </w:rPr>
              <w:t>50.00</w:t>
            </w:r>
          </w:p>
        </w:tc>
      </w:tr>
      <w:tr w14:paraId="0C2C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C0B483D">
            <w:pPr>
              <w:rPr>
                <w:rFonts w:ascii="Arial Narrow" w:hAnsi="Arial Narrow" w:eastAsiaTheme="minorEastAsia"/>
                <w:szCs w:val="21"/>
              </w:rPr>
            </w:pPr>
            <w:r>
              <w:rPr>
                <w:rFonts w:ascii="Arial Narrow" w:hAnsi="Arial Narrow" w:eastAsiaTheme="minorEastAsia"/>
                <w:color w:val="000000"/>
                <w:szCs w:val="21"/>
              </w:rPr>
              <w:t>3－4年</w:t>
            </w:r>
          </w:p>
        </w:tc>
        <w:tc>
          <w:tcPr>
            <w:tcW w:w="1276" w:type="pct"/>
            <w:vAlign w:val="center"/>
          </w:tcPr>
          <w:p w14:paraId="47DF23FA">
            <w:pPr>
              <w:jc w:val="right"/>
              <w:rPr>
                <w:rFonts w:ascii="Arial Narrow" w:hAnsi="Arial Narrow" w:eastAsiaTheme="minorEastAsia"/>
                <w:szCs w:val="21"/>
              </w:rPr>
            </w:pPr>
            <w:r>
              <w:rPr>
                <w:rFonts w:ascii="Arial Narrow" w:hAnsi="Arial Narrow" w:eastAsiaTheme="minorEastAsia"/>
                <w:color w:val="000000"/>
                <w:szCs w:val="21"/>
              </w:rPr>
              <w:t>91,557.00</w:t>
            </w:r>
          </w:p>
        </w:tc>
        <w:tc>
          <w:tcPr>
            <w:tcW w:w="1299" w:type="pct"/>
            <w:vAlign w:val="center"/>
          </w:tcPr>
          <w:p w14:paraId="5674032A">
            <w:pPr>
              <w:jc w:val="right"/>
              <w:rPr>
                <w:rFonts w:ascii="Arial Narrow" w:hAnsi="Arial Narrow" w:eastAsiaTheme="minorEastAsia"/>
                <w:szCs w:val="21"/>
              </w:rPr>
            </w:pPr>
            <w:r>
              <w:rPr>
                <w:rFonts w:ascii="Arial Narrow" w:hAnsi="Arial Narrow" w:eastAsiaTheme="minorEastAsia"/>
                <w:color w:val="000000"/>
                <w:szCs w:val="21"/>
              </w:rPr>
              <w:t>64,089.90</w:t>
            </w:r>
          </w:p>
        </w:tc>
        <w:tc>
          <w:tcPr>
            <w:tcW w:w="1267" w:type="pct"/>
            <w:vAlign w:val="center"/>
          </w:tcPr>
          <w:p w14:paraId="3BAA37D4">
            <w:pPr>
              <w:jc w:val="right"/>
              <w:rPr>
                <w:rFonts w:ascii="Arial Narrow" w:hAnsi="Arial Narrow" w:eastAsiaTheme="minorEastAsia"/>
                <w:szCs w:val="21"/>
              </w:rPr>
            </w:pPr>
            <w:r>
              <w:rPr>
                <w:rFonts w:ascii="Arial Narrow" w:hAnsi="Arial Narrow" w:eastAsiaTheme="minorEastAsia"/>
                <w:color w:val="000000"/>
                <w:szCs w:val="21"/>
              </w:rPr>
              <w:t>70.00</w:t>
            </w:r>
          </w:p>
        </w:tc>
      </w:tr>
      <w:tr w14:paraId="1C73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6216B7B3">
            <w:pPr>
              <w:rPr>
                <w:rFonts w:ascii="Arial Narrow" w:hAnsi="Arial Narrow" w:eastAsiaTheme="minorEastAsia"/>
                <w:szCs w:val="21"/>
              </w:rPr>
            </w:pPr>
            <w:r>
              <w:rPr>
                <w:rFonts w:ascii="Arial Narrow" w:hAnsi="Arial Narrow" w:eastAsiaTheme="minorEastAsia"/>
                <w:color w:val="000000"/>
                <w:szCs w:val="21"/>
              </w:rPr>
              <w:t>4－5年</w:t>
            </w:r>
          </w:p>
        </w:tc>
        <w:tc>
          <w:tcPr>
            <w:tcW w:w="1276" w:type="pct"/>
            <w:vAlign w:val="center"/>
          </w:tcPr>
          <w:p w14:paraId="1C924398">
            <w:pPr>
              <w:jc w:val="right"/>
              <w:rPr>
                <w:rFonts w:ascii="Arial Narrow" w:hAnsi="Arial Narrow" w:eastAsiaTheme="minorEastAsia"/>
                <w:szCs w:val="21"/>
              </w:rPr>
            </w:pPr>
          </w:p>
        </w:tc>
        <w:tc>
          <w:tcPr>
            <w:tcW w:w="1299" w:type="pct"/>
            <w:vAlign w:val="center"/>
          </w:tcPr>
          <w:p w14:paraId="3237D179">
            <w:pPr>
              <w:jc w:val="right"/>
              <w:rPr>
                <w:rFonts w:ascii="Arial Narrow" w:hAnsi="Arial Narrow" w:eastAsiaTheme="minorEastAsia"/>
                <w:szCs w:val="21"/>
              </w:rPr>
            </w:pPr>
          </w:p>
        </w:tc>
        <w:tc>
          <w:tcPr>
            <w:tcW w:w="1267" w:type="pct"/>
            <w:vAlign w:val="center"/>
          </w:tcPr>
          <w:p w14:paraId="226BCBBA">
            <w:pPr>
              <w:jc w:val="right"/>
              <w:rPr>
                <w:rFonts w:ascii="Arial Narrow" w:hAnsi="Arial Narrow" w:eastAsiaTheme="minorEastAsia"/>
                <w:szCs w:val="21"/>
              </w:rPr>
            </w:pPr>
          </w:p>
        </w:tc>
      </w:tr>
      <w:tr w14:paraId="00A2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05EE64D">
            <w:pPr>
              <w:rPr>
                <w:rFonts w:ascii="Arial Narrow" w:hAnsi="Arial Narrow" w:eastAsiaTheme="minorEastAsia"/>
                <w:szCs w:val="21"/>
              </w:rPr>
            </w:pPr>
            <w:r>
              <w:rPr>
                <w:rFonts w:ascii="Arial Narrow" w:hAnsi="Arial Narrow" w:eastAsiaTheme="minorEastAsia"/>
                <w:color w:val="000000"/>
                <w:szCs w:val="21"/>
              </w:rPr>
              <w:t>5年以上</w:t>
            </w:r>
          </w:p>
        </w:tc>
        <w:tc>
          <w:tcPr>
            <w:tcW w:w="1276" w:type="pct"/>
            <w:vAlign w:val="center"/>
          </w:tcPr>
          <w:p w14:paraId="63B5F7BB">
            <w:pPr>
              <w:jc w:val="right"/>
              <w:rPr>
                <w:rFonts w:ascii="Arial Narrow" w:hAnsi="Arial Narrow" w:eastAsiaTheme="minorEastAsia"/>
                <w:szCs w:val="21"/>
              </w:rPr>
            </w:pPr>
            <w:r>
              <w:rPr>
                <w:rFonts w:ascii="Arial Narrow" w:hAnsi="Arial Narrow" w:eastAsiaTheme="minorEastAsia"/>
                <w:color w:val="000000"/>
                <w:szCs w:val="21"/>
              </w:rPr>
              <w:t>1,195,430.81</w:t>
            </w:r>
          </w:p>
        </w:tc>
        <w:tc>
          <w:tcPr>
            <w:tcW w:w="1299" w:type="pct"/>
            <w:vAlign w:val="center"/>
          </w:tcPr>
          <w:p w14:paraId="56EDA004">
            <w:pPr>
              <w:jc w:val="right"/>
              <w:rPr>
                <w:rFonts w:ascii="Arial Narrow" w:hAnsi="Arial Narrow" w:eastAsiaTheme="minorEastAsia"/>
                <w:szCs w:val="21"/>
              </w:rPr>
            </w:pPr>
            <w:r>
              <w:rPr>
                <w:rFonts w:ascii="Arial Narrow" w:hAnsi="Arial Narrow" w:eastAsiaTheme="minorEastAsia"/>
                <w:color w:val="000000"/>
                <w:szCs w:val="21"/>
              </w:rPr>
              <w:t>1,195,430.81</w:t>
            </w:r>
          </w:p>
        </w:tc>
        <w:tc>
          <w:tcPr>
            <w:tcW w:w="1267" w:type="pct"/>
            <w:vAlign w:val="center"/>
          </w:tcPr>
          <w:p w14:paraId="7520A68C">
            <w:pPr>
              <w:jc w:val="right"/>
              <w:rPr>
                <w:rFonts w:ascii="Arial Narrow" w:hAnsi="Arial Narrow" w:eastAsiaTheme="minorEastAsia"/>
                <w:szCs w:val="21"/>
              </w:rPr>
            </w:pPr>
            <w:r>
              <w:rPr>
                <w:rFonts w:ascii="Arial Narrow" w:hAnsi="Arial Narrow" w:eastAsiaTheme="minorEastAsia"/>
                <w:color w:val="000000"/>
                <w:szCs w:val="21"/>
              </w:rPr>
              <w:t>100.00</w:t>
            </w:r>
          </w:p>
        </w:tc>
      </w:tr>
      <w:tr w14:paraId="5C30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69CBDFBC">
            <w:pPr>
              <w:jc w:val="center"/>
              <w:rPr>
                <w:rFonts w:ascii="Arial Narrow" w:hAnsi="Arial Narrow" w:eastAsiaTheme="minorEastAsia"/>
                <w:szCs w:val="21"/>
              </w:rPr>
            </w:pPr>
            <w:r>
              <w:rPr>
                <w:rFonts w:ascii="Arial Narrow" w:hAnsi="Arial Narrow" w:eastAsiaTheme="minorEastAsia"/>
                <w:szCs w:val="21"/>
              </w:rPr>
              <w:t>合计</w:t>
            </w:r>
          </w:p>
        </w:tc>
        <w:tc>
          <w:tcPr>
            <w:tcW w:w="1276" w:type="pct"/>
            <w:vAlign w:val="center"/>
          </w:tcPr>
          <w:p w14:paraId="4D53180C">
            <w:pPr>
              <w:jc w:val="right"/>
              <w:rPr>
                <w:rFonts w:ascii="Arial Narrow" w:hAnsi="Arial Narrow" w:eastAsiaTheme="minorEastAsia"/>
                <w:szCs w:val="21"/>
              </w:rPr>
            </w:pPr>
            <w:r>
              <w:rPr>
                <w:rFonts w:ascii="Arial Narrow" w:hAnsi="Arial Narrow" w:eastAsiaTheme="minorEastAsia"/>
                <w:color w:val="000000"/>
                <w:szCs w:val="21"/>
              </w:rPr>
              <w:t>1,387,632.93</w:t>
            </w:r>
          </w:p>
        </w:tc>
        <w:tc>
          <w:tcPr>
            <w:tcW w:w="1299" w:type="pct"/>
            <w:vAlign w:val="center"/>
          </w:tcPr>
          <w:p w14:paraId="07CE671E">
            <w:pPr>
              <w:jc w:val="right"/>
              <w:rPr>
                <w:rFonts w:ascii="Arial Narrow" w:hAnsi="Arial Narrow" w:eastAsiaTheme="minorEastAsia"/>
                <w:szCs w:val="21"/>
              </w:rPr>
            </w:pPr>
            <w:r>
              <w:rPr>
                <w:rFonts w:ascii="Arial Narrow" w:hAnsi="Arial Narrow" w:eastAsiaTheme="minorEastAsia"/>
                <w:color w:val="000000"/>
                <w:szCs w:val="21"/>
              </w:rPr>
              <w:t>1,309,843.27</w:t>
            </w:r>
          </w:p>
        </w:tc>
        <w:tc>
          <w:tcPr>
            <w:tcW w:w="1267" w:type="pct"/>
            <w:vAlign w:val="center"/>
          </w:tcPr>
          <w:p w14:paraId="1456ACD0">
            <w:pPr>
              <w:jc w:val="right"/>
              <w:rPr>
                <w:rFonts w:ascii="Arial Narrow" w:hAnsi="Arial Narrow" w:eastAsiaTheme="minorEastAsia"/>
                <w:szCs w:val="21"/>
              </w:rPr>
            </w:pPr>
            <w:r>
              <w:rPr>
                <w:rFonts w:ascii="Arial Narrow" w:hAnsi="Arial Narrow" w:eastAsiaTheme="minorEastAsia"/>
                <w:color w:val="000000"/>
                <w:szCs w:val="21"/>
              </w:rPr>
              <w:t>94.39</w:t>
            </w:r>
          </w:p>
        </w:tc>
      </w:tr>
    </w:tbl>
    <w:p w14:paraId="474F32BA">
      <w:pPr>
        <w:rPr>
          <w:rFonts w:hint="eastAsia"/>
          <w:szCs w:val="21"/>
        </w:rPr>
      </w:pPr>
      <w:r>
        <w:rPr>
          <w:rFonts w:hint="eastAsia"/>
          <w:szCs w:val="21"/>
        </w:rPr>
        <w:t>按组合计提坏账准备的说明：</w:t>
      </w:r>
    </w:p>
    <w:sdt>
      <w:sdtPr>
        <w:rPr>
          <w:szCs w:val="21"/>
        </w:rPr>
        <w:alias w:val="是否适用：母公司应收账款按组合计提坏账的确认标准及说明[双击切换]"/>
        <w:tag w:val="_GBC_63044b38e77844689beec86348cdea93"/>
        <w:id w:val="1214771805"/>
        <w:placeholder>
          <w:docPart w:val="6FAD5F36EA304B9CA35061AC310EA480"/>
        </w:placeholder>
      </w:sdtPr>
      <w:sdtEndPr>
        <w:rPr>
          <w:szCs w:val="21"/>
        </w:rPr>
      </w:sdtEndPr>
      <w:sdtContent>
        <w:p w14:paraId="45C9B81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8D049D3">
      <w:pPr>
        <w:rPr>
          <w:rFonts w:hint="eastAsia"/>
        </w:rPr>
      </w:pPr>
    </w:p>
    <w:bookmarkEnd w:id="406"/>
    <w:p w14:paraId="5A90058F">
      <w:pPr>
        <w:rPr>
          <w:rFonts w:hint="eastAsia"/>
        </w:rPr>
      </w:pPr>
      <w:bookmarkStart w:id="407" w:name="_Hlk534616017"/>
      <w:r>
        <w:rPr>
          <w:rFonts w:hint="eastAsia"/>
        </w:rPr>
        <w:t>按预期信用损失一般模型计提坏账准备</w:t>
      </w:r>
    </w:p>
    <w:sdt>
      <w:sdtPr>
        <w:alias w:val="是否适用：母公司应收账款按一般预计信用损失模型计提坏账[双击切换]"/>
        <w:tag w:val="_GBC_681a6428f5004327ac9c72b5eb632f13"/>
        <w:id w:val="929780056"/>
        <w:placeholder>
          <w:docPart w:val="GBC22222222222222222222222222222"/>
        </w:placeholder>
      </w:sdtPr>
      <w:sdtContent>
        <w:p w14:paraId="623222C0">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6C1DDB">
      <w:pPr>
        <w:jc w:val="right"/>
        <w:rPr>
          <w:rFonts w:hint="eastAsia"/>
        </w:rPr>
      </w:pPr>
      <w:r>
        <w:rPr>
          <w:rFonts w:hint="eastAsia"/>
        </w:rPr>
        <w:t>单位：</w:t>
      </w:r>
      <w:sdt>
        <w:sdtPr>
          <w:rPr>
            <w:rFonts w:hint="eastAsia"/>
          </w:rPr>
          <w:alias w:val="单位：母公司按预期信用损失一般模型计提坏账准备"/>
          <w:tag w:val="_GBC_f9e1283f0b994841ac7f9abd88cbc215"/>
          <w:id w:val="-4452760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母公司按预期信用损失一般模型计提坏账准备"/>
          <w:tag w:val="_GBC_c1b89e6108e944f2983bb5b877793d7f"/>
          <w:id w:val="6312893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7"/>
        <w:gridCol w:w="2430"/>
        <w:gridCol w:w="2246"/>
      </w:tblGrid>
      <w:tr w14:paraId="1D8F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 w:val="21"/>
              <w:szCs w:val="21"/>
            </w:rPr>
            <w:tag w:val="_PLD_e5877147d5024cf286313df9fc13340e"/>
            <w:id w:val="1289166819"/>
          </w:sdtPr>
          <w:sdtEndPr>
            <w:rPr>
              <w:rFonts w:ascii="Arial Narrow" w:hAnsi="Arial Narrow" w:eastAsiaTheme="minorEastAsia"/>
              <w:sz w:val="21"/>
              <w:szCs w:val="21"/>
            </w:rPr>
          </w:sdtEndPr>
          <w:sdtContent>
            <w:tc>
              <w:tcPr>
                <w:tcW w:w="2350" w:type="pct"/>
                <w:vMerge w:val="restart"/>
                <w:vAlign w:val="center"/>
              </w:tcPr>
              <w:p w14:paraId="26C228EF">
                <w:pPr>
                  <w:pStyle w:val="50"/>
                  <w:spacing w:after="0" w:line="240" w:lineRule="auto"/>
                  <w:ind w:left="181" w:leftChars="86"/>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坏账准备</w:t>
                </w:r>
              </w:p>
            </w:tc>
          </w:sdtContent>
        </w:sdt>
        <w:sdt>
          <w:sdtPr>
            <w:rPr>
              <w:rFonts w:ascii="Arial Narrow" w:hAnsi="Arial Narrow" w:eastAsiaTheme="minorEastAsia"/>
              <w:sz w:val="21"/>
              <w:szCs w:val="21"/>
            </w:rPr>
            <w:tag w:val="_PLD_2b61d924aaae4e63a90b7e1c31dbccf6"/>
            <w:id w:val="-1641413745"/>
          </w:sdtPr>
          <w:sdtEndPr>
            <w:rPr>
              <w:rFonts w:ascii="Arial Narrow" w:hAnsi="Arial Narrow" w:eastAsiaTheme="minorEastAsia"/>
              <w:sz w:val="21"/>
              <w:szCs w:val="21"/>
            </w:rPr>
          </w:sdtEndPr>
          <w:sdtContent>
            <w:tc>
              <w:tcPr>
                <w:tcW w:w="1377" w:type="pct"/>
                <w:vAlign w:val="center"/>
              </w:tcPr>
              <w:p w14:paraId="01A93284">
                <w:pPr>
                  <w:pStyle w:val="50"/>
                  <w:spacing w:after="0" w:line="240" w:lineRule="auto"/>
                  <w:ind w:left="181" w:leftChars="86"/>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第一阶段</w:t>
                </w:r>
              </w:p>
            </w:tc>
          </w:sdtContent>
        </w:sdt>
        <w:sdt>
          <w:sdtPr>
            <w:rPr>
              <w:rFonts w:ascii="Arial Narrow" w:hAnsi="Arial Narrow" w:eastAsiaTheme="minorEastAsia"/>
              <w:sz w:val="21"/>
              <w:szCs w:val="21"/>
            </w:rPr>
            <w:tag w:val="_PLD_e8335174f80e4ef3aab98c291d798ab4"/>
            <w:id w:val="-1719189945"/>
          </w:sdtPr>
          <w:sdtEndPr>
            <w:rPr>
              <w:rFonts w:ascii="Arial Narrow" w:hAnsi="Arial Narrow" w:eastAsiaTheme="minorEastAsia"/>
              <w:sz w:val="21"/>
              <w:szCs w:val="21"/>
            </w:rPr>
          </w:sdtEndPr>
          <w:sdtContent>
            <w:tc>
              <w:tcPr>
                <w:tcW w:w="1273" w:type="pct"/>
                <w:vMerge w:val="restart"/>
                <w:vAlign w:val="center"/>
              </w:tcPr>
              <w:p w14:paraId="419573FB">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合计</w:t>
                </w:r>
              </w:p>
            </w:tc>
          </w:sdtContent>
        </w:sdt>
      </w:tr>
      <w:tr w14:paraId="4F08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pct"/>
            <w:vMerge w:val="continue"/>
            <w:vAlign w:val="center"/>
          </w:tcPr>
          <w:p w14:paraId="190977D9">
            <w:pPr>
              <w:ind w:left="181" w:leftChars="86"/>
              <w:jc w:val="center"/>
              <w:rPr>
                <w:rFonts w:ascii="Arial Narrow" w:hAnsi="Arial Narrow" w:eastAsiaTheme="minorEastAsia"/>
                <w:color w:val="008000"/>
                <w:szCs w:val="21"/>
              </w:rPr>
            </w:pPr>
          </w:p>
        </w:tc>
        <w:sdt>
          <w:sdtPr>
            <w:rPr>
              <w:rFonts w:ascii="Arial Narrow" w:hAnsi="Arial Narrow" w:eastAsiaTheme="minorEastAsia"/>
              <w:sz w:val="21"/>
              <w:szCs w:val="21"/>
            </w:rPr>
            <w:tag w:val="_PLD_53d78a483f274d5ea43675abe0549be8"/>
            <w:id w:val="2095278050"/>
          </w:sdtPr>
          <w:sdtEndPr>
            <w:rPr>
              <w:rFonts w:ascii="Arial Narrow" w:hAnsi="Arial Narrow" w:eastAsiaTheme="minorEastAsia"/>
              <w:sz w:val="21"/>
              <w:szCs w:val="21"/>
            </w:rPr>
          </w:sdtEndPr>
          <w:sdtContent>
            <w:tc>
              <w:tcPr>
                <w:tcW w:w="1377" w:type="pct"/>
                <w:vAlign w:val="center"/>
              </w:tcPr>
              <w:p w14:paraId="1B478990">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未来12个月预期信用损失</w:t>
                </w:r>
              </w:p>
            </w:tc>
          </w:sdtContent>
        </w:sdt>
        <w:tc>
          <w:tcPr>
            <w:tcW w:w="1273" w:type="pct"/>
            <w:vMerge w:val="continue"/>
            <w:vAlign w:val="center"/>
          </w:tcPr>
          <w:p w14:paraId="424E405D">
            <w:pPr>
              <w:ind w:left="181" w:leftChars="86"/>
              <w:jc w:val="center"/>
              <w:rPr>
                <w:rFonts w:ascii="Arial Narrow" w:hAnsi="Arial Narrow" w:eastAsiaTheme="minorEastAsia"/>
                <w:color w:val="008000"/>
                <w:szCs w:val="21"/>
              </w:rPr>
            </w:pPr>
          </w:p>
        </w:tc>
      </w:tr>
      <w:tr w14:paraId="49DF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pct"/>
            <w:vAlign w:val="center"/>
          </w:tcPr>
          <w:p w14:paraId="0485585C">
            <w:pPr>
              <w:pStyle w:val="50"/>
              <w:spacing w:after="0" w:line="240" w:lineRule="auto"/>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2024年1月1日余额</w:t>
            </w:r>
          </w:p>
        </w:tc>
        <w:tc>
          <w:tcPr>
            <w:tcW w:w="1377" w:type="pct"/>
            <w:vAlign w:val="center"/>
          </w:tcPr>
          <w:p w14:paraId="0A9B68D6">
            <w:pPr>
              <w:ind w:left="181" w:leftChars="86"/>
              <w:jc w:val="right"/>
              <w:rPr>
                <w:rFonts w:ascii="Arial Narrow" w:hAnsi="Arial Narrow" w:eastAsiaTheme="minorEastAsia"/>
                <w:szCs w:val="21"/>
              </w:rPr>
            </w:pPr>
            <w:r>
              <w:rPr>
                <w:rFonts w:ascii="Arial Narrow" w:hAnsi="Arial Narrow" w:eastAsiaTheme="minorEastAsia"/>
                <w:color w:val="000000"/>
                <w:szCs w:val="21"/>
              </w:rPr>
              <w:t>1,261,338.33</w:t>
            </w:r>
          </w:p>
        </w:tc>
        <w:tc>
          <w:tcPr>
            <w:tcW w:w="1273" w:type="pct"/>
            <w:vAlign w:val="center"/>
          </w:tcPr>
          <w:p w14:paraId="0D1DC373">
            <w:pPr>
              <w:ind w:left="181" w:leftChars="86"/>
              <w:jc w:val="right"/>
              <w:rPr>
                <w:rFonts w:ascii="Arial Narrow" w:hAnsi="Arial Narrow" w:eastAsiaTheme="minorEastAsia"/>
                <w:szCs w:val="21"/>
              </w:rPr>
            </w:pPr>
            <w:r>
              <w:rPr>
                <w:rFonts w:ascii="Arial Narrow" w:hAnsi="Arial Narrow" w:eastAsiaTheme="minorEastAsia"/>
                <w:color w:val="000000"/>
                <w:szCs w:val="21"/>
              </w:rPr>
              <w:t>1,261,338.33</w:t>
            </w:r>
          </w:p>
        </w:tc>
      </w:tr>
      <w:tr w14:paraId="71A1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pct"/>
            <w:vAlign w:val="center"/>
          </w:tcPr>
          <w:p w14:paraId="2B240200">
            <w:pPr>
              <w:pStyle w:val="50"/>
              <w:spacing w:after="0" w:line="240" w:lineRule="auto"/>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2024年1月1日余额在本期</w:t>
            </w:r>
          </w:p>
        </w:tc>
        <w:tc>
          <w:tcPr>
            <w:tcW w:w="1377" w:type="pct"/>
            <w:vAlign w:val="center"/>
          </w:tcPr>
          <w:p w14:paraId="1F6D79D7">
            <w:pPr>
              <w:ind w:left="181" w:leftChars="86"/>
              <w:jc w:val="right"/>
              <w:rPr>
                <w:rFonts w:ascii="Arial Narrow" w:hAnsi="Arial Narrow" w:eastAsiaTheme="minorEastAsia"/>
                <w:szCs w:val="21"/>
              </w:rPr>
            </w:pPr>
          </w:p>
        </w:tc>
        <w:tc>
          <w:tcPr>
            <w:tcW w:w="1273" w:type="pct"/>
            <w:vAlign w:val="center"/>
          </w:tcPr>
          <w:p w14:paraId="04956072">
            <w:pPr>
              <w:ind w:left="181" w:leftChars="86"/>
              <w:jc w:val="right"/>
              <w:rPr>
                <w:rFonts w:ascii="Arial Narrow" w:hAnsi="Arial Narrow" w:eastAsiaTheme="minorEastAsia"/>
                <w:szCs w:val="21"/>
              </w:rPr>
            </w:pPr>
          </w:p>
        </w:tc>
      </w:tr>
      <w:tr w14:paraId="2E98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pct"/>
            <w:vAlign w:val="center"/>
          </w:tcPr>
          <w:p w14:paraId="46F09FC0">
            <w:pPr>
              <w:pStyle w:val="50"/>
              <w:spacing w:after="0" w:line="240" w:lineRule="auto"/>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本期计提</w:t>
            </w:r>
          </w:p>
        </w:tc>
        <w:tc>
          <w:tcPr>
            <w:tcW w:w="1377" w:type="pct"/>
            <w:vAlign w:val="center"/>
          </w:tcPr>
          <w:p w14:paraId="182D71E1">
            <w:pPr>
              <w:ind w:left="181" w:leftChars="86"/>
              <w:jc w:val="right"/>
              <w:rPr>
                <w:rFonts w:ascii="Arial Narrow" w:hAnsi="Arial Narrow" w:eastAsiaTheme="minorEastAsia"/>
                <w:szCs w:val="21"/>
              </w:rPr>
            </w:pPr>
            <w:r>
              <w:rPr>
                <w:rFonts w:ascii="Arial Narrow" w:hAnsi="Arial Narrow" w:eastAsiaTheme="minorEastAsia"/>
                <w:color w:val="000000"/>
                <w:szCs w:val="21"/>
              </w:rPr>
              <w:t>48,504.94</w:t>
            </w:r>
          </w:p>
        </w:tc>
        <w:tc>
          <w:tcPr>
            <w:tcW w:w="1273" w:type="pct"/>
            <w:vAlign w:val="center"/>
          </w:tcPr>
          <w:p w14:paraId="3B5B09EA">
            <w:pPr>
              <w:ind w:left="181" w:leftChars="86"/>
              <w:jc w:val="right"/>
              <w:rPr>
                <w:rFonts w:ascii="Arial Narrow" w:hAnsi="Arial Narrow" w:eastAsiaTheme="minorEastAsia"/>
                <w:szCs w:val="21"/>
              </w:rPr>
            </w:pPr>
            <w:r>
              <w:rPr>
                <w:rFonts w:ascii="Arial Narrow" w:hAnsi="Arial Narrow" w:eastAsiaTheme="minorEastAsia"/>
                <w:color w:val="000000"/>
                <w:szCs w:val="21"/>
              </w:rPr>
              <w:t>48,504.94</w:t>
            </w:r>
          </w:p>
        </w:tc>
      </w:tr>
      <w:tr w14:paraId="0448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pct"/>
            <w:vAlign w:val="center"/>
          </w:tcPr>
          <w:p w14:paraId="326159C9">
            <w:pPr>
              <w:pStyle w:val="50"/>
              <w:spacing w:after="0" w:line="240" w:lineRule="auto"/>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2024年12月31日余额</w:t>
            </w:r>
          </w:p>
        </w:tc>
        <w:tc>
          <w:tcPr>
            <w:tcW w:w="1377" w:type="pct"/>
            <w:vAlign w:val="center"/>
          </w:tcPr>
          <w:p w14:paraId="5BBE4876">
            <w:pPr>
              <w:ind w:left="181" w:leftChars="86"/>
              <w:jc w:val="right"/>
              <w:rPr>
                <w:rFonts w:ascii="Arial Narrow" w:hAnsi="Arial Narrow" w:eastAsiaTheme="minorEastAsia"/>
                <w:szCs w:val="21"/>
              </w:rPr>
            </w:pPr>
            <w:r>
              <w:rPr>
                <w:rFonts w:ascii="Arial Narrow" w:hAnsi="Arial Narrow" w:eastAsiaTheme="minorEastAsia"/>
                <w:color w:val="000000"/>
                <w:szCs w:val="21"/>
              </w:rPr>
              <w:t>1,309,843.27</w:t>
            </w:r>
          </w:p>
        </w:tc>
        <w:tc>
          <w:tcPr>
            <w:tcW w:w="1273" w:type="pct"/>
            <w:vAlign w:val="center"/>
          </w:tcPr>
          <w:p w14:paraId="5C96124C">
            <w:pPr>
              <w:ind w:left="181" w:leftChars="86"/>
              <w:jc w:val="right"/>
              <w:rPr>
                <w:rFonts w:ascii="Arial Narrow" w:hAnsi="Arial Narrow" w:eastAsiaTheme="minorEastAsia"/>
                <w:szCs w:val="21"/>
              </w:rPr>
            </w:pPr>
            <w:r>
              <w:rPr>
                <w:rFonts w:ascii="Arial Narrow" w:hAnsi="Arial Narrow" w:eastAsiaTheme="minorEastAsia"/>
                <w:color w:val="000000"/>
                <w:szCs w:val="21"/>
              </w:rPr>
              <w:t>1,309,843.27</w:t>
            </w:r>
          </w:p>
        </w:tc>
      </w:tr>
    </w:tbl>
    <w:p w14:paraId="787CC869">
      <w:pPr>
        <w:autoSpaceDE w:val="0"/>
        <w:autoSpaceDN w:val="0"/>
        <w:adjustRightInd w:val="0"/>
        <w:ind w:right="105" w:rightChars="50"/>
        <w:rPr>
          <w:rFonts w:hint="eastAsia"/>
          <w:szCs w:val="21"/>
        </w:rPr>
      </w:pPr>
    </w:p>
    <w:p w14:paraId="6621579B">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各阶段划分依据和坏账准备计提比例"/>
        <w:tag w:val="_GBC_715f45f6066e4ba295d3973a2eed903b"/>
        <w:id w:val="1856296576"/>
        <w:placeholder>
          <w:docPart w:val="GBC22222222222222222222222222222"/>
        </w:placeholder>
      </w:sdtPr>
      <w:sdtEndPr>
        <w:rPr>
          <w:rFonts w:cs="Times New Roman"/>
          <w:bCs/>
          <w:szCs w:val="22"/>
        </w:rPr>
      </w:sdtEndPr>
      <w:sdtContent>
        <w:p w14:paraId="282AD211">
          <w:pPr>
            <w:rPr>
              <w:rFonts w:hint="eastAsia" w:cs="Times New Roman"/>
              <w:bCs/>
              <w:szCs w:val="22"/>
            </w:rPr>
          </w:pPr>
          <w:r>
            <w:rPr>
              <w:rFonts w:hint="eastAsia" w:cs="Times New Roman"/>
              <w:bCs/>
              <w:szCs w:val="22"/>
            </w:rPr>
            <w:t>无</w:t>
          </w:r>
        </w:p>
      </w:sdtContent>
    </w:sdt>
    <w:p w14:paraId="0DC99A37">
      <w:pPr>
        <w:rPr>
          <w:rFonts w:hint="eastAsia"/>
        </w:rPr>
      </w:pPr>
    </w:p>
    <w:p w14:paraId="0A2DE0C3">
      <w:pPr>
        <w:pStyle w:val="123"/>
      </w:pPr>
      <w:r>
        <w:rPr>
          <w:rFonts w:hint="eastAsia"/>
        </w:rPr>
        <w:t>对本期发生损失准备变动的应收账款账面余额显著变动的情况说明：</w:t>
      </w:r>
    </w:p>
    <w:sdt>
      <w:sdtPr>
        <w:rPr>
          <w:szCs w:val="21"/>
        </w:rPr>
        <w:alias w:val="是否适用：母公司对本期发生损失准备变动的账面余额显著变动的情况说明[双击切换]"/>
        <w:tag w:val="_GBC_2624b4d5ae5d4288ad7c6f9bcbcff810"/>
        <w:id w:val="1624568956"/>
        <w:placeholder>
          <w:docPart w:val="GBC22222222222222222222222222222"/>
        </w:placeholder>
      </w:sdtPr>
      <w:sdtEndPr>
        <w:rPr>
          <w:szCs w:val="21"/>
        </w:rPr>
      </w:sdtEndPr>
      <w:sdtContent>
        <w:p w14:paraId="302DA0AD">
          <w:pPr>
            <w:autoSpaceDE w:val="0"/>
            <w:autoSpaceDN w:val="0"/>
            <w:adjustRightInd w:val="0"/>
            <w:ind w:right="105" w:rightChars="50"/>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179CD96">
      <w:pPr>
        <w:rPr>
          <w:rFonts w:hint="eastAsia"/>
        </w:rPr>
      </w:pPr>
    </w:p>
    <w:bookmarkEnd w:id="407"/>
    <w:p w14:paraId="18D0CAF0">
      <w:pPr>
        <w:pStyle w:val="71"/>
        <w:numPr>
          <w:ilvl w:val="3"/>
          <w:numId w:val="175"/>
        </w:numPr>
        <w:ind w:left="426" w:hanging="426" w:hangingChars="202"/>
        <w:rPr>
          <w:rFonts w:hint="eastAsia"/>
        </w:rPr>
      </w:pPr>
      <w:bookmarkStart w:id="408" w:name="_Hlk534890665"/>
      <w:r>
        <w:rPr>
          <w:rFonts w:hint="eastAsia"/>
        </w:rPr>
        <w:t>坏账准备的情况</w:t>
      </w:r>
    </w:p>
    <w:sdt>
      <w:sdtPr>
        <w:alias w:val="是否适用：母公司应收账款坏账准备情况[双击切换]"/>
        <w:tag w:val="_GBC_c4b273c4d86b423ea0abe5794b3a9a07"/>
        <w:id w:val="-1317562677"/>
        <w:placeholder>
          <w:docPart w:val="GBC22222222222222222222222222222"/>
        </w:placeholder>
      </w:sdtPr>
      <w:sdtContent>
        <w:p w14:paraId="1D060BB1">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FB491D">
      <w:pPr>
        <w:pStyle w:val="109"/>
        <w:snapToGrid w:val="0"/>
        <w:spacing w:line="240" w:lineRule="atLeast"/>
        <w:ind w:left="425" w:firstLine="0" w:firstLineChars="0"/>
        <w:jc w:val="right"/>
        <w:rPr>
          <w:szCs w:val="21"/>
        </w:rPr>
      </w:pPr>
      <w:r>
        <w:rPr>
          <w:rFonts w:hint="eastAsia"/>
          <w:szCs w:val="21"/>
        </w:rPr>
        <w:t>单位：</w:t>
      </w:r>
      <w:sdt>
        <w:sdtPr>
          <w:rPr>
            <w:rFonts w:hint="eastAsia"/>
            <w:szCs w:val="21"/>
          </w:rPr>
          <w:alias w:val="单位：母公司应收账款坏账准备情况"/>
          <w:tag w:val="_GBC_297876b5a195460cabc3796e317c400c"/>
          <w:id w:val="14636985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账款坏账准备情况"/>
          <w:tag w:val="_GBC_e88786d88c2b4853820fef447c6f542a"/>
          <w:id w:val="7990400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bookmarkEnd w:id="408"/>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810"/>
        <w:gridCol w:w="2082"/>
        <w:gridCol w:w="1849"/>
        <w:gridCol w:w="2082"/>
      </w:tblGrid>
      <w:tr w14:paraId="440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rPr>
              <w:rFonts w:ascii="Arial Narrow" w:hAnsi="Arial Narrow" w:eastAsiaTheme="minorEastAsia"/>
            </w:rPr>
            <w:tag w:val="_PLD_98300d230c0347eb87a2635ad51c1d00"/>
            <w:id w:val="-651754288"/>
          </w:sdtPr>
          <w:sdtEndPr>
            <w:rPr>
              <w:rFonts w:ascii="Arial Narrow" w:hAnsi="Arial Narrow" w:eastAsiaTheme="minorEastAsia"/>
            </w:rPr>
          </w:sdtEndPr>
          <w:sdtContent>
            <w:tc>
              <w:tcPr>
                <w:tcW w:w="1592" w:type="pct"/>
                <w:vMerge w:val="restart"/>
                <w:shd w:val="clear" w:color="auto" w:fill="FFFFFF"/>
                <w:vAlign w:val="center"/>
              </w:tcPr>
              <w:p w14:paraId="01D5B684">
                <w:pPr>
                  <w:jc w:val="center"/>
                  <w:rPr>
                    <w:rFonts w:ascii="Arial Narrow" w:hAnsi="Arial Narrow" w:eastAsiaTheme="minorEastAsia"/>
                  </w:rPr>
                </w:pPr>
                <w:bookmarkStart w:id="409" w:name="_Hlk153789356"/>
                <w:r>
                  <w:rPr>
                    <w:rFonts w:ascii="Arial Narrow" w:hAnsi="Arial Narrow" w:eastAsiaTheme="minorEastAsia"/>
                  </w:rPr>
                  <w:t>类别</w:t>
                </w:r>
              </w:p>
            </w:tc>
          </w:sdtContent>
        </w:sdt>
        <w:sdt>
          <w:sdtPr>
            <w:rPr>
              <w:rFonts w:ascii="Arial Narrow" w:hAnsi="Arial Narrow" w:eastAsiaTheme="minorEastAsia"/>
            </w:rPr>
            <w:tag w:val="_PLD_7769f2b383ef45cea01b90026bb353c2"/>
            <w:id w:val="-486098491"/>
          </w:sdtPr>
          <w:sdtEndPr>
            <w:rPr>
              <w:rFonts w:ascii="Arial Narrow" w:hAnsi="Arial Narrow" w:eastAsiaTheme="minorEastAsia"/>
            </w:rPr>
          </w:sdtEndPr>
          <w:sdtContent>
            <w:tc>
              <w:tcPr>
                <w:tcW w:w="1179" w:type="pct"/>
                <w:vMerge w:val="restart"/>
                <w:shd w:val="clear" w:color="auto" w:fill="FFFFFF"/>
                <w:vAlign w:val="center"/>
              </w:tcPr>
              <w:p w14:paraId="7EC79BAC">
                <w:pPr>
                  <w:jc w:val="center"/>
                  <w:rPr>
                    <w:rFonts w:ascii="Arial Narrow" w:hAnsi="Arial Narrow" w:eastAsiaTheme="minorEastAsia"/>
                  </w:rPr>
                </w:pPr>
                <w:r>
                  <w:rPr>
                    <w:rFonts w:ascii="Arial Narrow" w:hAnsi="Arial Narrow" w:eastAsiaTheme="minorEastAsia"/>
                  </w:rPr>
                  <w:t>期初余额</w:t>
                </w:r>
              </w:p>
            </w:tc>
          </w:sdtContent>
        </w:sdt>
        <w:sdt>
          <w:sdtPr>
            <w:rPr>
              <w:rFonts w:ascii="Arial Narrow" w:hAnsi="Arial Narrow" w:eastAsiaTheme="minorEastAsia"/>
            </w:rPr>
            <w:tag w:val="_PLD_cd024d723ca84c77aded9d7b7313563b"/>
            <w:id w:val="444284619"/>
          </w:sdtPr>
          <w:sdtEndPr>
            <w:rPr>
              <w:rFonts w:ascii="Arial Narrow" w:hAnsi="Arial Narrow" w:eastAsiaTheme="minorEastAsia"/>
            </w:rPr>
          </w:sdtEndPr>
          <w:sdtContent>
            <w:tc>
              <w:tcPr>
                <w:tcW w:w="1046" w:type="pct"/>
                <w:shd w:val="clear" w:color="auto" w:fill="FFFFFF"/>
                <w:vAlign w:val="center"/>
              </w:tcPr>
              <w:p w14:paraId="4AAC1EC1">
                <w:pPr>
                  <w:jc w:val="center"/>
                  <w:rPr>
                    <w:rFonts w:ascii="Arial Narrow" w:hAnsi="Arial Narrow" w:eastAsiaTheme="minorEastAsia"/>
                  </w:rPr>
                </w:pPr>
                <w:r>
                  <w:rPr>
                    <w:rFonts w:ascii="Arial Narrow" w:hAnsi="Arial Narrow" w:eastAsiaTheme="minorEastAsia"/>
                  </w:rPr>
                  <w:t>本期变动金额</w:t>
                </w:r>
              </w:p>
            </w:tc>
          </w:sdtContent>
        </w:sdt>
        <w:sdt>
          <w:sdtPr>
            <w:rPr>
              <w:rFonts w:ascii="Arial Narrow" w:hAnsi="Arial Narrow" w:eastAsiaTheme="minorEastAsia"/>
            </w:rPr>
            <w:tag w:val="_PLD_1225558b3fd34599bc2c3f9eb23fba1e"/>
            <w:id w:val="907817963"/>
          </w:sdtPr>
          <w:sdtEndPr>
            <w:rPr>
              <w:rFonts w:ascii="Arial Narrow" w:hAnsi="Arial Narrow" w:eastAsiaTheme="minorEastAsia"/>
            </w:rPr>
          </w:sdtEndPr>
          <w:sdtContent>
            <w:tc>
              <w:tcPr>
                <w:tcW w:w="1179" w:type="pct"/>
                <w:vMerge w:val="restart"/>
                <w:shd w:val="clear" w:color="auto" w:fill="FFFFFF"/>
                <w:vAlign w:val="center"/>
              </w:tcPr>
              <w:p w14:paraId="4824BA0A">
                <w:pPr>
                  <w:jc w:val="center"/>
                  <w:rPr>
                    <w:rFonts w:ascii="Arial Narrow" w:hAnsi="Arial Narrow" w:eastAsiaTheme="minorEastAsia"/>
                  </w:rPr>
                </w:pPr>
                <w:r>
                  <w:rPr>
                    <w:rFonts w:ascii="Arial Narrow" w:hAnsi="Arial Narrow" w:eastAsiaTheme="minorEastAsia"/>
                  </w:rPr>
                  <w:t>期末余额</w:t>
                </w:r>
              </w:p>
            </w:tc>
          </w:sdtContent>
        </w:sdt>
      </w:tr>
      <w:tr w14:paraId="2C22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92" w:type="pct"/>
            <w:vMerge w:val="continue"/>
            <w:shd w:val="clear" w:color="auto" w:fill="FFFFFF"/>
          </w:tcPr>
          <w:p w14:paraId="185476E6">
            <w:pPr>
              <w:jc w:val="center"/>
              <w:rPr>
                <w:rFonts w:ascii="Arial Narrow" w:hAnsi="Arial Narrow" w:eastAsiaTheme="minorEastAsia"/>
              </w:rPr>
            </w:pPr>
          </w:p>
        </w:tc>
        <w:tc>
          <w:tcPr>
            <w:tcW w:w="1179" w:type="pct"/>
            <w:vMerge w:val="continue"/>
            <w:shd w:val="clear" w:color="auto" w:fill="FFFFFF"/>
          </w:tcPr>
          <w:p w14:paraId="7B621D7C">
            <w:pPr>
              <w:jc w:val="center"/>
              <w:rPr>
                <w:rFonts w:ascii="Arial Narrow" w:hAnsi="Arial Narrow" w:eastAsiaTheme="minorEastAsia"/>
              </w:rPr>
            </w:pPr>
          </w:p>
        </w:tc>
        <w:sdt>
          <w:sdtPr>
            <w:rPr>
              <w:rFonts w:ascii="Arial Narrow" w:hAnsi="Arial Narrow" w:eastAsiaTheme="minorEastAsia"/>
            </w:rPr>
            <w:tag w:val="_PLD_3e1ba6e4785f430c89e70b3081ee1f0a"/>
            <w:id w:val="490839727"/>
          </w:sdtPr>
          <w:sdtEndPr>
            <w:rPr>
              <w:rFonts w:ascii="Arial Narrow" w:hAnsi="Arial Narrow" w:eastAsiaTheme="minorEastAsia"/>
            </w:rPr>
          </w:sdtEndPr>
          <w:sdtContent>
            <w:tc>
              <w:tcPr>
                <w:tcW w:w="1047" w:type="pct"/>
                <w:shd w:val="clear" w:color="auto" w:fill="FFFFFF"/>
                <w:vAlign w:val="center"/>
              </w:tcPr>
              <w:p w14:paraId="7E120645">
                <w:pPr>
                  <w:jc w:val="center"/>
                  <w:rPr>
                    <w:rFonts w:ascii="Arial Narrow" w:hAnsi="Arial Narrow" w:eastAsiaTheme="minorEastAsia"/>
                  </w:rPr>
                </w:pPr>
                <w:r>
                  <w:rPr>
                    <w:rFonts w:ascii="Arial Narrow" w:hAnsi="Arial Narrow" w:eastAsiaTheme="minorEastAsia"/>
                  </w:rPr>
                  <w:t>计提</w:t>
                </w:r>
              </w:p>
            </w:tc>
          </w:sdtContent>
        </w:sdt>
        <w:tc>
          <w:tcPr>
            <w:tcW w:w="1179" w:type="pct"/>
            <w:vMerge w:val="continue"/>
            <w:shd w:val="clear" w:color="auto" w:fill="FFFFFF"/>
          </w:tcPr>
          <w:p w14:paraId="14877862">
            <w:pPr>
              <w:jc w:val="right"/>
              <w:rPr>
                <w:rFonts w:ascii="Arial Narrow" w:hAnsi="Arial Narrow" w:eastAsiaTheme="minorEastAsia"/>
              </w:rPr>
            </w:pPr>
          </w:p>
        </w:tc>
      </w:tr>
      <w:tr w14:paraId="18A5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92" w:type="pct"/>
            <w:shd w:val="clear" w:color="auto" w:fill="auto"/>
          </w:tcPr>
          <w:p w14:paraId="31CEDBBA">
            <w:pPr>
              <w:rPr>
                <w:rFonts w:ascii="Arial Narrow" w:hAnsi="Arial Narrow" w:eastAsiaTheme="minorEastAsia"/>
              </w:rPr>
            </w:pPr>
            <w:r>
              <w:rPr>
                <w:rFonts w:ascii="Arial Narrow" w:hAnsi="Arial Narrow" w:eastAsiaTheme="minorEastAsia"/>
                <w:color w:val="000000"/>
                <w:szCs w:val="21"/>
              </w:rPr>
              <w:t>按组合计提预期信用损失的应收账款</w:t>
            </w:r>
          </w:p>
        </w:tc>
        <w:tc>
          <w:tcPr>
            <w:tcW w:w="1179" w:type="pct"/>
            <w:shd w:val="clear" w:color="auto" w:fill="auto"/>
            <w:vAlign w:val="center"/>
          </w:tcPr>
          <w:p w14:paraId="67D044F6">
            <w:pPr>
              <w:jc w:val="right"/>
              <w:rPr>
                <w:rFonts w:ascii="Arial Narrow" w:hAnsi="Arial Narrow" w:eastAsiaTheme="minorEastAsia"/>
              </w:rPr>
            </w:pPr>
            <w:r>
              <w:rPr>
                <w:rFonts w:ascii="Arial Narrow" w:hAnsi="Arial Narrow" w:eastAsiaTheme="minorEastAsia"/>
                <w:color w:val="000000"/>
                <w:szCs w:val="21"/>
              </w:rPr>
              <w:t>1,261,338.33</w:t>
            </w:r>
          </w:p>
        </w:tc>
        <w:tc>
          <w:tcPr>
            <w:tcW w:w="1047" w:type="pct"/>
            <w:shd w:val="clear" w:color="auto" w:fill="auto"/>
            <w:vAlign w:val="center"/>
          </w:tcPr>
          <w:p w14:paraId="3BF27BC4">
            <w:pPr>
              <w:jc w:val="right"/>
              <w:rPr>
                <w:rFonts w:ascii="Arial Narrow" w:hAnsi="Arial Narrow" w:eastAsiaTheme="minorEastAsia"/>
              </w:rPr>
            </w:pPr>
            <w:r>
              <w:rPr>
                <w:rFonts w:ascii="Arial Narrow" w:hAnsi="Arial Narrow" w:eastAsiaTheme="minorEastAsia"/>
                <w:color w:val="000000"/>
                <w:szCs w:val="21"/>
              </w:rPr>
              <w:t>48,504.94</w:t>
            </w:r>
          </w:p>
        </w:tc>
        <w:tc>
          <w:tcPr>
            <w:tcW w:w="1179" w:type="pct"/>
            <w:shd w:val="clear" w:color="auto" w:fill="auto"/>
            <w:vAlign w:val="center"/>
          </w:tcPr>
          <w:p w14:paraId="6082E558">
            <w:pPr>
              <w:jc w:val="right"/>
              <w:rPr>
                <w:rFonts w:ascii="Arial Narrow" w:hAnsi="Arial Narrow" w:eastAsiaTheme="minorEastAsia"/>
              </w:rPr>
            </w:pPr>
            <w:r>
              <w:rPr>
                <w:rFonts w:ascii="Arial Narrow" w:hAnsi="Arial Narrow" w:eastAsiaTheme="minorEastAsia"/>
                <w:color w:val="000000"/>
                <w:szCs w:val="21"/>
              </w:rPr>
              <w:t>1,309,843.27</w:t>
            </w:r>
          </w:p>
        </w:tc>
      </w:tr>
      <w:tr w14:paraId="77F0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92" w:type="pct"/>
            <w:shd w:val="clear" w:color="auto" w:fill="auto"/>
          </w:tcPr>
          <w:p w14:paraId="173AF873">
            <w:pPr>
              <w:jc w:val="center"/>
              <w:rPr>
                <w:rFonts w:ascii="Arial Narrow" w:hAnsi="Arial Narrow" w:eastAsiaTheme="minorEastAsia"/>
              </w:rPr>
            </w:pPr>
            <w:r>
              <w:rPr>
                <w:rFonts w:ascii="Arial Narrow" w:hAnsi="Arial Narrow" w:eastAsiaTheme="minorEastAsia"/>
              </w:rPr>
              <w:t>合计</w:t>
            </w:r>
          </w:p>
        </w:tc>
        <w:tc>
          <w:tcPr>
            <w:tcW w:w="1179" w:type="pct"/>
            <w:shd w:val="clear" w:color="auto" w:fill="auto"/>
            <w:vAlign w:val="center"/>
          </w:tcPr>
          <w:p w14:paraId="4C5A1484">
            <w:pPr>
              <w:jc w:val="right"/>
              <w:rPr>
                <w:rFonts w:ascii="Arial Narrow" w:hAnsi="Arial Narrow" w:eastAsiaTheme="minorEastAsia"/>
              </w:rPr>
            </w:pPr>
            <w:r>
              <w:rPr>
                <w:rFonts w:ascii="Arial Narrow" w:hAnsi="Arial Narrow" w:eastAsiaTheme="minorEastAsia"/>
                <w:color w:val="000000"/>
                <w:szCs w:val="21"/>
              </w:rPr>
              <w:t>1,261,338.33</w:t>
            </w:r>
          </w:p>
        </w:tc>
        <w:tc>
          <w:tcPr>
            <w:tcW w:w="1047" w:type="pct"/>
            <w:shd w:val="clear" w:color="auto" w:fill="auto"/>
            <w:vAlign w:val="center"/>
          </w:tcPr>
          <w:p w14:paraId="36D1E365">
            <w:pPr>
              <w:jc w:val="right"/>
              <w:rPr>
                <w:rFonts w:ascii="Arial Narrow" w:hAnsi="Arial Narrow" w:eastAsiaTheme="minorEastAsia"/>
              </w:rPr>
            </w:pPr>
            <w:r>
              <w:rPr>
                <w:rFonts w:ascii="Arial Narrow" w:hAnsi="Arial Narrow" w:eastAsiaTheme="minorEastAsia"/>
                <w:color w:val="000000"/>
                <w:szCs w:val="21"/>
              </w:rPr>
              <w:t>48,504.94</w:t>
            </w:r>
          </w:p>
        </w:tc>
        <w:tc>
          <w:tcPr>
            <w:tcW w:w="1179" w:type="pct"/>
            <w:shd w:val="clear" w:color="auto" w:fill="auto"/>
            <w:vAlign w:val="center"/>
          </w:tcPr>
          <w:p w14:paraId="2D0D728F">
            <w:pPr>
              <w:jc w:val="right"/>
              <w:rPr>
                <w:rFonts w:ascii="Arial Narrow" w:hAnsi="Arial Narrow" w:eastAsiaTheme="minorEastAsia"/>
              </w:rPr>
            </w:pPr>
            <w:r>
              <w:rPr>
                <w:rFonts w:ascii="Arial Narrow" w:hAnsi="Arial Narrow" w:eastAsiaTheme="minorEastAsia"/>
                <w:color w:val="000000"/>
                <w:szCs w:val="21"/>
              </w:rPr>
              <w:t>1,309,843.27</w:t>
            </w:r>
          </w:p>
        </w:tc>
      </w:tr>
    </w:tbl>
    <w:p w14:paraId="64944A13">
      <w:pPr>
        <w:rPr>
          <w:rFonts w:hint="eastAsia"/>
        </w:rPr>
      </w:pPr>
    </w:p>
    <w:p w14:paraId="4A3AED52">
      <w:pPr>
        <w:rPr>
          <w:rFonts w:hint="eastAsia"/>
        </w:rPr>
      </w:pPr>
      <w:r>
        <w:rPr>
          <w:rFonts w:hint="eastAsia"/>
        </w:rPr>
        <w:t>其中本期坏账准备收回或转回金额重要的：</w:t>
      </w:r>
    </w:p>
    <w:sdt>
      <w:sdtPr>
        <w:alias w:val="是否适用：母公司其中本期坏账准备收回或转回金额重要的[双击切换]"/>
        <w:tag w:val="_GBC_5f9ff028d97f4757bc779516f257bedd"/>
        <w:id w:val="-253278087"/>
        <w:placeholder>
          <w:docPart w:val="GBC22222222222222222222222222222"/>
        </w:placeholder>
      </w:sdtPr>
      <w:sdtContent>
        <w:p w14:paraId="2E86167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0D36679">
      <w:pPr>
        <w:rPr>
          <w:rFonts w:hint="eastAsia"/>
        </w:rPr>
      </w:pPr>
    </w:p>
    <w:p w14:paraId="7CFEEA9A">
      <w:pPr>
        <w:rPr>
          <w:rFonts w:hint="eastAsia"/>
        </w:rPr>
      </w:pPr>
      <w:r>
        <w:rPr>
          <w:rFonts w:hint="eastAsia"/>
        </w:rPr>
        <w:t>其他说明：</w:t>
      </w:r>
    </w:p>
    <w:sdt>
      <w:sdtPr>
        <w:rPr>
          <w:szCs w:val="21"/>
        </w:rPr>
        <w:alias w:val="应收账款坏账准备情况的说明"/>
        <w:tag w:val="_GBC_cff8cbc4c64e413fadcc7d21dcb34fc7"/>
        <w:id w:val="-1661911950"/>
        <w:placeholder>
          <w:docPart w:val="GBC22222222222222222222222222222"/>
        </w:placeholder>
      </w:sdtPr>
      <w:sdtEndPr>
        <w:rPr>
          <w:szCs w:val="21"/>
        </w:rPr>
      </w:sdtEndPr>
      <w:sdtContent>
        <w:p w14:paraId="5A7AFFF8">
          <w:pPr>
            <w:ind w:right="-1594" w:rightChars="-759"/>
            <w:rPr>
              <w:rFonts w:hint="eastAsia"/>
              <w:szCs w:val="21"/>
            </w:rPr>
          </w:pPr>
          <w:r>
            <w:rPr>
              <w:rFonts w:hint="eastAsia"/>
              <w:szCs w:val="21"/>
            </w:rPr>
            <w:t>无</w:t>
          </w:r>
        </w:p>
      </w:sdtContent>
    </w:sdt>
    <w:p w14:paraId="3BBAA7D5">
      <w:pPr>
        <w:ind w:right="-1594" w:rightChars="-759"/>
        <w:rPr>
          <w:rFonts w:hint="eastAsia"/>
        </w:rPr>
      </w:pPr>
    </w:p>
    <w:bookmarkEnd w:id="409"/>
    <w:p w14:paraId="02C56EF3">
      <w:pPr>
        <w:pStyle w:val="71"/>
        <w:numPr>
          <w:ilvl w:val="3"/>
          <w:numId w:val="175"/>
        </w:numPr>
        <w:ind w:left="426" w:hanging="426" w:hangingChars="202"/>
        <w:rPr>
          <w:rFonts w:hint="eastAsia"/>
        </w:rPr>
      </w:pPr>
      <w:r>
        <w:rPr>
          <w:rFonts w:hint="eastAsia"/>
        </w:rPr>
        <w:t>本期实际核销的应收账款情况</w:t>
      </w:r>
    </w:p>
    <w:sdt>
      <w:sdtPr>
        <w:alias w:val="是否适用：母公司本期实际核销的应收账款情况[双击切换]"/>
        <w:tag w:val="_GBC_a30d476ac6184bc98f9b334fa55067ac"/>
        <w:id w:val="704221480"/>
        <w:placeholder>
          <w:docPart w:val="GBC22222222222222222222222222222"/>
        </w:placeholder>
      </w:sdtPr>
      <w:sdtContent>
        <w:p w14:paraId="6AEDFB82">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BE6C0E3">
      <w:pPr>
        <w:rPr>
          <w:rFonts w:hint="eastAsia"/>
          <w:szCs w:val="21"/>
        </w:rPr>
      </w:pPr>
    </w:p>
    <w:p w14:paraId="46D69D04">
      <w:pPr>
        <w:rPr>
          <w:rFonts w:hint="eastAsia"/>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54942808"/>
        <w:placeholder>
          <w:docPart w:val="GBC22222222222222222222222222222"/>
        </w:placeholder>
      </w:sdtPr>
      <w:sdtEndPr>
        <w:rPr>
          <w:szCs w:val="21"/>
        </w:rPr>
      </w:sdtEndPr>
      <w:sdtContent>
        <w:p w14:paraId="4C59C763">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2A7C6F6">
      <w:pPr>
        <w:rPr>
          <w:rFonts w:hint="eastAsia"/>
          <w:szCs w:val="21"/>
        </w:rPr>
      </w:pPr>
    </w:p>
    <w:p w14:paraId="2B430B71">
      <w:pPr>
        <w:snapToGrid w:val="0"/>
        <w:spacing w:line="240" w:lineRule="atLeast"/>
        <w:rPr>
          <w:rFonts w:hint="eastAsia"/>
          <w:szCs w:val="21"/>
        </w:rPr>
      </w:pPr>
      <w:r>
        <w:rPr>
          <w:rFonts w:hint="eastAsia"/>
          <w:szCs w:val="21"/>
        </w:rPr>
        <w:t>应收账款核销说明：</w:t>
      </w:r>
    </w:p>
    <w:sdt>
      <w:sdtPr>
        <w:rPr>
          <w:rFonts w:hint="eastAsia"/>
          <w:szCs w:val="21"/>
        </w:rPr>
        <w:alias w:val="是否适用：母公司应收账款核销说明[双击切换]"/>
        <w:tag w:val="_GBC_2ba809c9e31c411795d7353d4b11a774"/>
        <w:id w:val="-658231799"/>
        <w:placeholder>
          <w:docPart w:val="GBC22222222222222222222222222222"/>
        </w:placeholder>
      </w:sdtPr>
      <w:sdtEndPr>
        <w:rPr>
          <w:rFonts w:hint="eastAsia"/>
          <w:szCs w:val="21"/>
        </w:rPr>
      </w:sdtEndPr>
      <w:sdtContent>
        <w:p w14:paraId="07576259">
          <w:pPr>
            <w:snapToGrid w:val="0"/>
            <w:spacing w:line="240" w:lineRule="atLeast"/>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E649EA3">
      <w:pPr>
        <w:rPr>
          <w:rFonts w:hint="eastAsia"/>
        </w:rPr>
      </w:pPr>
    </w:p>
    <w:p w14:paraId="3526B6CC">
      <w:pPr>
        <w:pStyle w:val="71"/>
        <w:numPr>
          <w:ilvl w:val="3"/>
          <w:numId w:val="175"/>
        </w:numPr>
        <w:ind w:left="426" w:hanging="426" w:hangingChars="202"/>
        <w:rPr>
          <w:rFonts w:hint="eastAsia"/>
        </w:rPr>
      </w:pPr>
      <w:bookmarkStart w:id="410" w:name="_Hlk90023019"/>
      <w:bookmarkStart w:id="411" w:name="_Hlk153789714"/>
      <w:r>
        <w:rPr>
          <w:rFonts w:hint="eastAsia"/>
        </w:rPr>
        <w:t>按欠款方归集的期末余额前五名的应收账款和合同资产情况</w:t>
      </w:r>
    </w:p>
    <w:sdt>
      <w:sdtPr>
        <w:rPr>
          <w:rFonts w:hint="eastAsia"/>
          <w:szCs w:val="21"/>
        </w:rPr>
        <w:alias w:val="是否适用：按欠款方归集的期末余额前五名的应收账款情况[双击切换]"/>
        <w:tag w:val="_GBC_7fffc10e897f45d19e0dc3f8ffc2224f"/>
        <w:id w:val="1900174413"/>
        <w:placeholder>
          <w:docPart w:val="GBC22222222222222222222222222222"/>
        </w:placeholder>
      </w:sdtPr>
      <w:sdtEndPr>
        <w:rPr>
          <w:rFonts w:hint="eastAsia"/>
          <w:szCs w:val="21"/>
        </w:rPr>
      </w:sdtEndPr>
      <w:sdtContent>
        <w:p w14:paraId="293F72F2">
          <w:pPr>
            <w:snapToGrid w:val="0"/>
            <w:spacing w:line="240" w:lineRule="atLeast"/>
            <w:rPr>
              <w:rFonts w:hint="eastAsia"/>
              <w:szCs w:val="21"/>
            </w:rPr>
          </w:pPr>
          <w:r>
            <w:rPr>
              <w:szCs w:val="21"/>
            </w:rPr>
            <w:fldChar w:fldCharType="begin"/>
          </w:r>
          <w:r>
            <w:rPr>
              <w:szCs w:val="21"/>
            </w:rPr>
            <w:instrText xml:space="preserve"> </w:instrText>
          </w:r>
          <w:r>
            <w:rPr>
              <w:rFonts w:hint="eastAsia"/>
              <w:szCs w:val="21"/>
            </w:rPr>
            <w:instrText xml:space="preserve">MACROBUTTON  SnrToggleCheckbox √适用 </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22988A8">
      <w:pPr>
        <w:snapToGrid w:val="0"/>
        <w:spacing w:line="240" w:lineRule="atLeast"/>
        <w:jc w:val="right"/>
        <w:rPr>
          <w:rFonts w:hint="eastAsia"/>
          <w:szCs w:val="21"/>
        </w:rPr>
      </w:pPr>
      <w:r>
        <w:rPr>
          <w:rFonts w:hint="eastAsia"/>
          <w:szCs w:val="21"/>
        </w:rPr>
        <w:t>单位：</w:t>
      </w:r>
      <w:sdt>
        <w:sdtPr>
          <w:rPr>
            <w:szCs w:val="21"/>
          </w:rPr>
          <w:alias w:val="单位：财务附注：应收账款前五名欠款情况"/>
          <w:tag w:val="_GBC_e41caaf031c645a09f9ff82e1bde3008"/>
          <w:id w:val="155920220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szCs w:val="21"/>
          </w:rPr>
        </w:sdtEndPr>
        <w:sdtContent>
          <w:r>
            <w:rPr>
              <w:szCs w:val="21"/>
            </w:rPr>
            <w:t>元</w:t>
          </w:r>
        </w:sdtContent>
      </w:sdt>
      <w:r>
        <w:rPr>
          <w:rFonts w:hint="eastAsia"/>
          <w:szCs w:val="21"/>
        </w:rPr>
        <w:t xml:space="preserve">  币种：</w:t>
      </w:r>
      <w:sdt>
        <w:sdtPr>
          <w:rPr>
            <w:rFonts w:hint="eastAsia"/>
            <w:szCs w:val="21"/>
          </w:rPr>
          <w:alias w:val="币种：财务附注：应收账款前五名欠款情况"/>
          <w:tag w:val="_GBC_03b6faf9055245869ad37558d10f0525"/>
          <w:id w:val="15112557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701"/>
        <w:gridCol w:w="1560"/>
        <w:gridCol w:w="1703"/>
        <w:gridCol w:w="1454"/>
      </w:tblGrid>
      <w:tr w14:paraId="2BB8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rPr>
            <w:tag w:val="_PLD_68ef52d85e9b4f23a72393cc4b01b204"/>
            <w:id w:val="2074850891"/>
          </w:sdtPr>
          <w:sdtEndPr>
            <w:rPr>
              <w:rFonts w:ascii="Arial Narrow" w:hAnsi="Arial Narrow"/>
            </w:rPr>
          </w:sdtEndPr>
          <w:sdtContent>
            <w:tc>
              <w:tcPr>
                <w:tcW w:w="1363" w:type="pct"/>
                <w:vAlign w:val="center"/>
              </w:tcPr>
              <w:p w14:paraId="2F3ED4F1">
                <w:pPr>
                  <w:ind w:right="105"/>
                  <w:jc w:val="center"/>
                  <w:rPr>
                    <w:rFonts w:ascii="Arial Narrow" w:hAnsi="Arial Narrow"/>
                    <w:szCs w:val="21"/>
                  </w:rPr>
                </w:pPr>
                <w:r>
                  <w:rPr>
                    <w:rFonts w:ascii="Arial Narrow" w:hAnsi="Arial Narrow"/>
                    <w:szCs w:val="21"/>
                  </w:rPr>
                  <w:t>单位名称</w:t>
                </w:r>
              </w:p>
            </w:tc>
          </w:sdtContent>
        </w:sdt>
        <w:sdt>
          <w:sdtPr>
            <w:rPr>
              <w:rFonts w:ascii="Arial Narrow" w:hAnsi="Arial Narrow"/>
            </w:rPr>
            <w:tag w:val="_PLD_a62fd4b0ddfb407795d57ea0471df65a"/>
            <w:id w:val="-1026936610"/>
          </w:sdtPr>
          <w:sdtEndPr>
            <w:rPr>
              <w:rFonts w:ascii="Arial Narrow" w:hAnsi="Arial Narrow"/>
            </w:rPr>
          </w:sdtEndPr>
          <w:sdtContent>
            <w:tc>
              <w:tcPr>
                <w:tcW w:w="964" w:type="pct"/>
                <w:vAlign w:val="center"/>
              </w:tcPr>
              <w:p w14:paraId="187BE1FF">
                <w:pPr>
                  <w:ind w:right="73"/>
                  <w:jc w:val="center"/>
                  <w:rPr>
                    <w:rFonts w:ascii="Arial Narrow" w:hAnsi="Arial Narrow"/>
                    <w:szCs w:val="21"/>
                  </w:rPr>
                </w:pPr>
                <w:r>
                  <w:rPr>
                    <w:rFonts w:ascii="Arial Narrow" w:hAnsi="Arial Narrow"/>
                    <w:szCs w:val="21"/>
                  </w:rPr>
                  <w:t>应收账款期末余额</w:t>
                </w:r>
              </w:p>
            </w:tc>
          </w:sdtContent>
        </w:sdt>
        <w:sdt>
          <w:sdtPr>
            <w:rPr>
              <w:rFonts w:ascii="Arial Narrow" w:hAnsi="Arial Narrow"/>
            </w:rPr>
            <w:tag w:val="_PLD_1589be2aa7134b3f9de4e223e83a7a61"/>
            <w:id w:val="-1052540047"/>
          </w:sdtPr>
          <w:sdtEndPr>
            <w:rPr>
              <w:rFonts w:ascii="Arial Narrow" w:hAnsi="Arial Narrow"/>
            </w:rPr>
          </w:sdtEndPr>
          <w:sdtContent>
            <w:tc>
              <w:tcPr>
                <w:tcW w:w="884" w:type="pct"/>
                <w:vAlign w:val="center"/>
              </w:tcPr>
              <w:p w14:paraId="63999FD8">
                <w:pPr>
                  <w:jc w:val="center"/>
                  <w:rPr>
                    <w:rFonts w:ascii="Arial Narrow" w:hAnsi="Arial Narrow"/>
                    <w:szCs w:val="21"/>
                  </w:rPr>
                </w:pPr>
                <w:r>
                  <w:rPr>
                    <w:rFonts w:ascii="Arial Narrow" w:hAnsi="Arial Narrow"/>
                    <w:szCs w:val="21"/>
                  </w:rPr>
                  <w:t>应收账款和合同资产期末余额</w:t>
                </w:r>
              </w:p>
            </w:tc>
          </w:sdtContent>
        </w:sdt>
        <w:sdt>
          <w:sdtPr>
            <w:rPr>
              <w:rFonts w:ascii="Arial Narrow" w:hAnsi="Arial Narrow"/>
            </w:rPr>
            <w:tag w:val="_PLD_e84ecb8c9e5146e8b4ede4a709c5ef5f"/>
            <w:id w:val="-300613233"/>
          </w:sdtPr>
          <w:sdtEndPr>
            <w:rPr>
              <w:rFonts w:ascii="Arial Narrow" w:hAnsi="Arial Narrow"/>
            </w:rPr>
          </w:sdtEndPr>
          <w:sdtContent>
            <w:tc>
              <w:tcPr>
                <w:tcW w:w="965" w:type="pct"/>
                <w:vAlign w:val="center"/>
              </w:tcPr>
              <w:p w14:paraId="179601C1">
                <w:pPr>
                  <w:jc w:val="center"/>
                  <w:rPr>
                    <w:rFonts w:ascii="Arial Narrow" w:hAnsi="Arial Narrow"/>
                    <w:szCs w:val="21"/>
                  </w:rPr>
                </w:pPr>
                <w:r>
                  <w:rPr>
                    <w:rFonts w:ascii="Arial Narrow" w:hAnsi="Arial Narrow"/>
                    <w:szCs w:val="21"/>
                  </w:rPr>
                  <w:t>占应收账款和合同资产期末余额合计数的比例（%）</w:t>
                </w:r>
              </w:p>
            </w:tc>
          </w:sdtContent>
        </w:sdt>
        <w:sdt>
          <w:sdtPr>
            <w:rPr>
              <w:rFonts w:ascii="Arial Narrow" w:hAnsi="Arial Narrow"/>
            </w:rPr>
            <w:tag w:val="_PLD_da58e99405a342aa95b8ffb814c33752"/>
            <w:id w:val="276221875"/>
          </w:sdtPr>
          <w:sdtEndPr>
            <w:rPr>
              <w:rFonts w:ascii="Arial Narrow" w:hAnsi="Arial Narrow"/>
            </w:rPr>
          </w:sdtEndPr>
          <w:sdtContent>
            <w:tc>
              <w:tcPr>
                <w:tcW w:w="824" w:type="pct"/>
                <w:vAlign w:val="center"/>
              </w:tcPr>
              <w:p w14:paraId="70CE0C3F">
                <w:pPr>
                  <w:jc w:val="center"/>
                  <w:rPr>
                    <w:rFonts w:ascii="Arial Narrow" w:hAnsi="Arial Narrow"/>
                    <w:szCs w:val="21"/>
                  </w:rPr>
                </w:pPr>
                <w:r>
                  <w:rPr>
                    <w:rFonts w:ascii="Arial Narrow" w:hAnsi="Arial Narrow"/>
                    <w:szCs w:val="21"/>
                  </w:rPr>
                  <w:t>坏账准备期末余额</w:t>
                </w:r>
              </w:p>
            </w:tc>
          </w:sdtContent>
        </w:sdt>
      </w:tr>
      <w:tr w14:paraId="24C4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6A30CDA7">
            <w:pPr>
              <w:ind w:right="105"/>
              <w:rPr>
                <w:rFonts w:ascii="Arial Narrow" w:hAnsi="Arial Narrow"/>
                <w:szCs w:val="21"/>
              </w:rPr>
            </w:pPr>
            <w:r>
              <w:rPr>
                <w:rFonts w:ascii="Arial Narrow" w:hAnsi="Arial Narrow"/>
                <w:color w:val="000000"/>
                <w:szCs w:val="21"/>
              </w:rPr>
              <w:t>际华（邢台）投资有限公司</w:t>
            </w:r>
          </w:p>
        </w:tc>
        <w:tc>
          <w:tcPr>
            <w:tcW w:w="964" w:type="pct"/>
            <w:vAlign w:val="center"/>
          </w:tcPr>
          <w:p w14:paraId="6D4E7CCC">
            <w:pPr>
              <w:ind w:right="73"/>
              <w:jc w:val="right"/>
              <w:rPr>
                <w:rFonts w:ascii="Arial Narrow" w:hAnsi="Arial Narrow"/>
                <w:szCs w:val="21"/>
              </w:rPr>
            </w:pPr>
            <w:r>
              <w:rPr>
                <w:rFonts w:ascii="Arial Narrow" w:hAnsi="Arial Narrow"/>
                <w:color w:val="000000"/>
                <w:szCs w:val="21"/>
              </w:rPr>
              <w:t>23,809,931.50</w:t>
            </w:r>
          </w:p>
        </w:tc>
        <w:tc>
          <w:tcPr>
            <w:tcW w:w="884" w:type="pct"/>
            <w:vAlign w:val="center"/>
          </w:tcPr>
          <w:p w14:paraId="771684FC">
            <w:pPr>
              <w:jc w:val="right"/>
              <w:rPr>
                <w:rFonts w:ascii="Arial Narrow" w:hAnsi="Arial Narrow"/>
                <w:szCs w:val="21"/>
              </w:rPr>
            </w:pPr>
            <w:r>
              <w:rPr>
                <w:rFonts w:ascii="Arial Narrow" w:hAnsi="Arial Narrow"/>
                <w:color w:val="000000"/>
                <w:szCs w:val="21"/>
              </w:rPr>
              <w:t>23,809,931.50</w:t>
            </w:r>
          </w:p>
        </w:tc>
        <w:tc>
          <w:tcPr>
            <w:tcW w:w="965" w:type="pct"/>
            <w:vAlign w:val="center"/>
          </w:tcPr>
          <w:p w14:paraId="35F8A086">
            <w:pPr>
              <w:jc w:val="right"/>
              <w:rPr>
                <w:rFonts w:ascii="Arial Narrow" w:hAnsi="Arial Narrow"/>
                <w:szCs w:val="21"/>
              </w:rPr>
            </w:pPr>
            <w:r>
              <w:rPr>
                <w:rFonts w:ascii="Arial Narrow" w:hAnsi="Arial Narrow"/>
                <w:color w:val="000000"/>
                <w:szCs w:val="21"/>
              </w:rPr>
              <w:t>66.16</w:t>
            </w:r>
          </w:p>
        </w:tc>
        <w:tc>
          <w:tcPr>
            <w:tcW w:w="824" w:type="pct"/>
            <w:vAlign w:val="center"/>
          </w:tcPr>
          <w:p w14:paraId="1E32FA97">
            <w:pPr>
              <w:jc w:val="right"/>
              <w:rPr>
                <w:rFonts w:ascii="Arial Narrow" w:hAnsi="Arial Narrow"/>
                <w:szCs w:val="21"/>
              </w:rPr>
            </w:pPr>
          </w:p>
        </w:tc>
      </w:tr>
      <w:tr w14:paraId="26D1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16B41D63">
            <w:pPr>
              <w:ind w:right="105"/>
              <w:rPr>
                <w:rFonts w:ascii="Arial Narrow" w:hAnsi="Arial Narrow"/>
                <w:szCs w:val="21"/>
              </w:rPr>
            </w:pPr>
            <w:r>
              <w:rPr>
                <w:rFonts w:ascii="Arial Narrow" w:hAnsi="Arial Narrow"/>
                <w:color w:val="000000"/>
                <w:szCs w:val="21"/>
              </w:rPr>
              <w:t>际华三五一五皮革皮鞋有限公司</w:t>
            </w:r>
          </w:p>
        </w:tc>
        <w:tc>
          <w:tcPr>
            <w:tcW w:w="964" w:type="pct"/>
            <w:vAlign w:val="center"/>
          </w:tcPr>
          <w:p w14:paraId="16D81644">
            <w:pPr>
              <w:ind w:right="73"/>
              <w:jc w:val="right"/>
              <w:rPr>
                <w:rFonts w:ascii="Arial Narrow" w:hAnsi="Arial Narrow"/>
                <w:szCs w:val="21"/>
              </w:rPr>
            </w:pPr>
            <w:r>
              <w:rPr>
                <w:rFonts w:ascii="Arial Narrow" w:hAnsi="Arial Narrow"/>
                <w:color w:val="000000"/>
                <w:szCs w:val="21"/>
              </w:rPr>
              <w:t>1,300,000.00</w:t>
            </w:r>
          </w:p>
        </w:tc>
        <w:tc>
          <w:tcPr>
            <w:tcW w:w="884" w:type="pct"/>
            <w:vAlign w:val="center"/>
          </w:tcPr>
          <w:p w14:paraId="7ADAE420">
            <w:pPr>
              <w:jc w:val="right"/>
              <w:rPr>
                <w:rFonts w:ascii="Arial Narrow" w:hAnsi="Arial Narrow"/>
                <w:szCs w:val="21"/>
              </w:rPr>
            </w:pPr>
            <w:r>
              <w:rPr>
                <w:rFonts w:ascii="Arial Narrow" w:hAnsi="Arial Narrow"/>
                <w:color w:val="000000"/>
                <w:szCs w:val="21"/>
              </w:rPr>
              <w:t>1,300,000.00</w:t>
            </w:r>
          </w:p>
        </w:tc>
        <w:tc>
          <w:tcPr>
            <w:tcW w:w="965" w:type="pct"/>
            <w:vAlign w:val="center"/>
          </w:tcPr>
          <w:p w14:paraId="3A6E8D05">
            <w:pPr>
              <w:jc w:val="right"/>
              <w:rPr>
                <w:rFonts w:ascii="Arial Narrow" w:hAnsi="Arial Narrow"/>
                <w:szCs w:val="21"/>
              </w:rPr>
            </w:pPr>
            <w:r>
              <w:rPr>
                <w:rFonts w:ascii="Arial Narrow" w:hAnsi="Arial Narrow"/>
                <w:color w:val="000000"/>
                <w:szCs w:val="21"/>
              </w:rPr>
              <w:t>3.61</w:t>
            </w:r>
          </w:p>
        </w:tc>
        <w:tc>
          <w:tcPr>
            <w:tcW w:w="824" w:type="pct"/>
            <w:vAlign w:val="center"/>
          </w:tcPr>
          <w:p w14:paraId="3E24DA26">
            <w:pPr>
              <w:jc w:val="right"/>
              <w:rPr>
                <w:rFonts w:ascii="Arial Narrow" w:hAnsi="Arial Narrow"/>
                <w:szCs w:val="21"/>
              </w:rPr>
            </w:pPr>
          </w:p>
        </w:tc>
      </w:tr>
      <w:tr w14:paraId="5E16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571D57D8">
            <w:pPr>
              <w:ind w:right="105"/>
              <w:rPr>
                <w:rFonts w:ascii="Arial Narrow" w:hAnsi="Arial Narrow"/>
                <w:szCs w:val="21"/>
              </w:rPr>
            </w:pPr>
            <w:r>
              <w:rPr>
                <w:rFonts w:ascii="Arial Narrow" w:hAnsi="Arial Narrow"/>
                <w:color w:val="000000"/>
                <w:szCs w:val="21"/>
              </w:rPr>
              <w:t>际华制鞋工业有限公司</w:t>
            </w:r>
          </w:p>
        </w:tc>
        <w:tc>
          <w:tcPr>
            <w:tcW w:w="964" w:type="pct"/>
            <w:vAlign w:val="center"/>
          </w:tcPr>
          <w:p w14:paraId="1BBFED29">
            <w:pPr>
              <w:ind w:right="73"/>
              <w:jc w:val="right"/>
              <w:rPr>
                <w:rFonts w:ascii="Arial Narrow" w:hAnsi="Arial Narrow"/>
                <w:szCs w:val="21"/>
              </w:rPr>
            </w:pPr>
            <w:r>
              <w:rPr>
                <w:rFonts w:ascii="Arial Narrow" w:hAnsi="Arial Narrow"/>
                <w:color w:val="000000"/>
                <w:szCs w:val="21"/>
              </w:rPr>
              <w:t>1,105,371.51</w:t>
            </w:r>
          </w:p>
        </w:tc>
        <w:tc>
          <w:tcPr>
            <w:tcW w:w="884" w:type="pct"/>
            <w:vAlign w:val="center"/>
          </w:tcPr>
          <w:p w14:paraId="2CFA02C1">
            <w:pPr>
              <w:jc w:val="right"/>
              <w:rPr>
                <w:rFonts w:ascii="Arial Narrow" w:hAnsi="Arial Narrow"/>
                <w:szCs w:val="21"/>
              </w:rPr>
            </w:pPr>
            <w:r>
              <w:rPr>
                <w:rFonts w:ascii="Arial Narrow" w:hAnsi="Arial Narrow"/>
                <w:color w:val="000000"/>
                <w:szCs w:val="21"/>
              </w:rPr>
              <w:t>1,105,371.51</w:t>
            </w:r>
          </w:p>
        </w:tc>
        <w:tc>
          <w:tcPr>
            <w:tcW w:w="965" w:type="pct"/>
            <w:vAlign w:val="center"/>
          </w:tcPr>
          <w:p w14:paraId="0E487D2F">
            <w:pPr>
              <w:jc w:val="right"/>
              <w:rPr>
                <w:rFonts w:ascii="Arial Narrow" w:hAnsi="Arial Narrow"/>
                <w:szCs w:val="21"/>
              </w:rPr>
            </w:pPr>
            <w:r>
              <w:rPr>
                <w:rFonts w:ascii="Arial Narrow" w:hAnsi="Arial Narrow"/>
                <w:color w:val="000000"/>
                <w:szCs w:val="21"/>
              </w:rPr>
              <w:t>3.07</w:t>
            </w:r>
          </w:p>
        </w:tc>
        <w:tc>
          <w:tcPr>
            <w:tcW w:w="824" w:type="pct"/>
            <w:vAlign w:val="center"/>
          </w:tcPr>
          <w:p w14:paraId="0DF72A1A">
            <w:pPr>
              <w:jc w:val="right"/>
              <w:rPr>
                <w:rFonts w:ascii="Arial Narrow" w:hAnsi="Arial Narrow"/>
                <w:szCs w:val="21"/>
              </w:rPr>
            </w:pPr>
          </w:p>
        </w:tc>
      </w:tr>
      <w:tr w14:paraId="17FF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2DA2C3DD">
            <w:pPr>
              <w:ind w:right="105"/>
              <w:rPr>
                <w:rFonts w:ascii="Arial Narrow" w:hAnsi="Arial Narrow"/>
                <w:szCs w:val="21"/>
              </w:rPr>
            </w:pPr>
            <w:r>
              <w:rPr>
                <w:rFonts w:ascii="Arial Narrow" w:hAnsi="Arial Narrow"/>
                <w:color w:val="000000"/>
                <w:szCs w:val="21"/>
              </w:rPr>
              <w:t>沈阳际华三五四七特种装具有限公司</w:t>
            </w:r>
          </w:p>
        </w:tc>
        <w:tc>
          <w:tcPr>
            <w:tcW w:w="964" w:type="pct"/>
            <w:vAlign w:val="center"/>
          </w:tcPr>
          <w:p w14:paraId="5840D03F">
            <w:pPr>
              <w:ind w:right="73"/>
              <w:jc w:val="right"/>
              <w:rPr>
                <w:rFonts w:ascii="Arial Narrow" w:hAnsi="Arial Narrow"/>
                <w:szCs w:val="21"/>
              </w:rPr>
            </w:pPr>
            <w:r>
              <w:rPr>
                <w:rFonts w:ascii="Arial Narrow" w:hAnsi="Arial Narrow"/>
                <w:color w:val="000000"/>
                <w:szCs w:val="21"/>
              </w:rPr>
              <w:t>1,085,087.60</w:t>
            </w:r>
          </w:p>
        </w:tc>
        <w:tc>
          <w:tcPr>
            <w:tcW w:w="884" w:type="pct"/>
            <w:vAlign w:val="center"/>
          </w:tcPr>
          <w:p w14:paraId="4981EE5B">
            <w:pPr>
              <w:jc w:val="right"/>
              <w:rPr>
                <w:rFonts w:ascii="Arial Narrow" w:hAnsi="Arial Narrow"/>
                <w:szCs w:val="21"/>
              </w:rPr>
            </w:pPr>
            <w:r>
              <w:rPr>
                <w:rFonts w:ascii="Arial Narrow" w:hAnsi="Arial Narrow"/>
                <w:color w:val="000000"/>
                <w:szCs w:val="21"/>
              </w:rPr>
              <w:t>1,085,087.60</w:t>
            </w:r>
          </w:p>
        </w:tc>
        <w:tc>
          <w:tcPr>
            <w:tcW w:w="965" w:type="pct"/>
            <w:vAlign w:val="center"/>
          </w:tcPr>
          <w:p w14:paraId="18A2015D">
            <w:pPr>
              <w:jc w:val="right"/>
              <w:rPr>
                <w:rFonts w:ascii="Arial Narrow" w:hAnsi="Arial Narrow"/>
                <w:szCs w:val="21"/>
              </w:rPr>
            </w:pPr>
            <w:r>
              <w:rPr>
                <w:rFonts w:ascii="Arial Narrow" w:hAnsi="Arial Narrow"/>
                <w:color w:val="000000"/>
                <w:szCs w:val="21"/>
              </w:rPr>
              <w:t>3.02</w:t>
            </w:r>
          </w:p>
        </w:tc>
        <w:tc>
          <w:tcPr>
            <w:tcW w:w="824" w:type="pct"/>
            <w:vAlign w:val="center"/>
          </w:tcPr>
          <w:p w14:paraId="1A1AFA45">
            <w:pPr>
              <w:jc w:val="right"/>
              <w:rPr>
                <w:rFonts w:ascii="Arial Narrow" w:hAnsi="Arial Narrow"/>
                <w:szCs w:val="21"/>
              </w:rPr>
            </w:pPr>
          </w:p>
        </w:tc>
      </w:tr>
      <w:tr w14:paraId="3AD5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4F35213A">
            <w:pPr>
              <w:ind w:right="105"/>
              <w:rPr>
                <w:rFonts w:ascii="Arial Narrow" w:hAnsi="Arial Narrow"/>
                <w:szCs w:val="21"/>
              </w:rPr>
            </w:pPr>
            <w:r>
              <w:rPr>
                <w:rFonts w:ascii="Arial Narrow" w:hAnsi="Arial Narrow"/>
                <w:color w:val="000000"/>
                <w:szCs w:val="21"/>
              </w:rPr>
              <w:t>南京际华三五二一特种装备有限公司</w:t>
            </w:r>
          </w:p>
        </w:tc>
        <w:tc>
          <w:tcPr>
            <w:tcW w:w="964" w:type="pct"/>
            <w:vAlign w:val="center"/>
          </w:tcPr>
          <w:p w14:paraId="444884B0">
            <w:pPr>
              <w:ind w:right="73"/>
              <w:jc w:val="right"/>
              <w:rPr>
                <w:rFonts w:ascii="Arial Narrow" w:hAnsi="Arial Narrow"/>
                <w:szCs w:val="21"/>
              </w:rPr>
            </w:pPr>
            <w:r>
              <w:rPr>
                <w:rFonts w:ascii="Arial Narrow" w:hAnsi="Arial Narrow"/>
                <w:color w:val="000000"/>
                <w:szCs w:val="21"/>
              </w:rPr>
              <w:t>878,035.89</w:t>
            </w:r>
          </w:p>
        </w:tc>
        <w:tc>
          <w:tcPr>
            <w:tcW w:w="884" w:type="pct"/>
            <w:vAlign w:val="center"/>
          </w:tcPr>
          <w:p w14:paraId="2D172CE1">
            <w:pPr>
              <w:jc w:val="right"/>
              <w:rPr>
                <w:rFonts w:ascii="Arial Narrow" w:hAnsi="Arial Narrow"/>
                <w:szCs w:val="21"/>
              </w:rPr>
            </w:pPr>
            <w:r>
              <w:rPr>
                <w:rFonts w:ascii="Arial Narrow" w:hAnsi="Arial Narrow"/>
                <w:color w:val="000000"/>
                <w:szCs w:val="21"/>
              </w:rPr>
              <w:t>878,035.89</w:t>
            </w:r>
          </w:p>
        </w:tc>
        <w:tc>
          <w:tcPr>
            <w:tcW w:w="965" w:type="pct"/>
            <w:vAlign w:val="center"/>
          </w:tcPr>
          <w:p w14:paraId="6D217E84">
            <w:pPr>
              <w:jc w:val="right"/>
              <w:rPr>
                <w:rFonts w:ascii="Arial Narrow" w:hAnsi="Arial Narrow"/>
                <w:szCs w:val="21"/>
              </w:rPr>
            </w:pPr>
            <w:r>
              <w:rPr>
                <w:rFonts w:ascii="Arial Narrow" w:hAnsi="Arial Narrow"/>
                <w:color w:val="000000"/>
                <w:szCs w:val="21"/>
              </w:rPr>
              <w:t>2.44</w:t>
            </w:r>
          </w:p>
        </w:tc>
        <w:tc>
          <w:tcPr>
            <w:tcW w:w="824" w:type="pct"/>
            <w:vAlign w:val="center"/>
          </w:tcPr>
          <w:p w14:paraId="38FF726F">
            <w:pPr>
              <w:jc w:val="right"/>
              <w:rPr>
                <w:rFonts w:ascii="Arial Narrow" w:hAnsi="Arial Narrow"/>
                <w:szCs w:val="21"/>
              </w:rPr>
            </w:pPr>
          </w:p>
        </w:tc>
      </w:tr>
      <w:tr w14:paraId="5E32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3" w:type="pct"/>
          </w:tcPr>
          <w:p w14:paraId="3884869B">
            <w:pPr>
              <w:ind w:right="105"/>
              <w:jc w:val="center"/>
              <w:rPr>
                <w:rFonts w:ascii="Arial Narrow" w:hAnsi="Arial Narrow"/>
                <w:szCs w:val="21"/>
              </w:rPr>
            </w:pPr>
            <w:r>
              <w:rPr>
                <w:rFonts w:ascii="Arial Narrow" w:hAnsi="Arial Narrow"/>
                <w:szCs w:val="21"/>
              </w:rPr>
              <w:t>合计</w:t>
            </w:r>
          </w:p>
        </w:tc>
        <w:tc>
          <w:tcPr>
            <w:tcW w:w="964" w:type="pct"/>
            <w:vAlign w:val="center"/>
          </w:tcPr>
          <w:p w14:paraId="4F2CC13F">
            <w:pPr>
              <w:ind w:right="73"/>
              <w:jc w:val="right"/>
              <w:rPr>
                <w:rFonts w:ascii="Arial Narrow" w:hAnsi="Arial Narrow"/>
                <w:szCs w:val="21"/>
              </w:rPr>
            </w:pPr>
            <w:r>
              <w:rPr>
                <w:rFonts w:ascii="Arial Narrow" w:hAnsi="Arial Narrow"/>
                <w:color w:val="000000"/>
                <w:szCs w:val="21"/>
              </w:rPr>
              <w:t>28,178,426.50</w:t>
            </w:r>
          </w:p>
        </w:tc>
        <w:tc>
          <w:tcPr>
            <w:tcW w:w="884" w:type="pct"/>
            <w:vAlign w:val="center"/>
          </w:tcPr>
          <w:p w14:paraId="02FE7F08">
            <w:pPr>
              <w:jc w:val="right"/>
              <w:rPr>
                <w:rFonts w:ascii="Arial Narrow" w:hAnsi="Arial Narrow"/>
                <w:szCs w:val="21"/>
              </w:rPr>
            </w:pPr>
            <w:r>
              <w:rPr>
                <w:rFonts w:ascii="Arial Narrow" w:hAnsi="Arial Narrow"/>
                <w:color w:val="000000"/>
                <w:szCs w:val="21"/>
              </w:rPr>
              <w:t>28,178,426.50</w:t>
            </w:r>
          </w:p>
        </w:tc>
        <w:tc>
          <w:tcPr>
            <w:tcW w:w="965" w:type="pct"/>
            <w:vAlign w:val="center"/>
          </w:tcPr>
          <w:p w14:paraId="785C1405">
            <w:pPr>
              <w:jc w:val="right"/>
              <w:rPr>
                <w:rFonts w:ascii="Arial Narrow" w:hAnsi="Arial Narrow"/>
                <w:szCs w:val="21"/>
              </w:rPr>
            </w:pPr>
            <w:r>
              <w:rPr>
                <w:rFonts w:ascii="Arial Narrow" w:hAnsi="Arial Narrow"/>
                <w:color w:val="000000"/>
                <w:szCs w:val="21"/>
              </w:rPr>
              <w:t>78.30</w:t>
            </w:r>
          </w:p>
        </w:tc>
        <w:tc>
          <w:tcPr>
            <w:tcW w:w="824" w:type="pct"/>
            <w:vAlign w:val="center"/>
          </w:tcPr>
          <w:p w14:paraId="7F78F3E8">
            <w:pPr>
              <w:jc w:val="right"/>
              <w:rPr>
                <w:rFonts w:ascii="Arial Narrow" w:hAnsi="Arial Narrow"/>
                <w:szCs w:val="21"/>
              </w:rPr>
            </w:pPr>
          </w:p>
        </w:tc>
      </w:tr>
    </w:tbl>
    <w:p w14:paraId="42DDCF8D">
      <w:pPr>
        <w:rPr>
          <w:rFonts w:hint="eastAsia"/>
        </w:rPr>
      </w:pPr>
    </w:p>
    <w:p w14:paraId="091CCC65">
      <w:pPr>
        <w:snapToGrid w:val="0"/>
        <w:spacing w:line="240" w:lineRule="atLeast"/>
        <w:rPr>
          <w:rFonts w:hint="eastAsia"/>
          <w:szCs w:val="21"/>
        </w:rPr>
      </w:pPr>
      <w:r>
        <w:rPr>
          <w:rFonts w:hint="eastAsia"/>
          <w:szCs w:val="21"/>
        </w:rPr>
        <w:t>其他说明：</w:t>
      </w:r>
    </w:p>
    <w:sdt>
      <w:sdtPr>
        <w:rPr>
          <w:szCs w:val="21"/>
        </w:rPr>
        <w:alias w:val="按欠款方归集的期末余额前五名的应收账款情况的说明"/>
        <w:tag w:val="_GBC_4233d26567cb46b2a0053fbc4949e5ad"/>
        <w:id w:val="1634056302"/>
        <w:placeholder>
          <w:docPart w:val="GBC22222222222222222222222222222"/>
        </w:placeholder>
      </w:sdtPr>
      <w:sdtEndPr>
        <w:rPr>
          <w:szCs w:val="21"/>
        </w:rPr>
      </w:sdtEndPr>
      <w:sdtContent>
        <w:p w14:paraId="30D9E462">
          <w:pPr>
            <w:snapToGrid w:val="0"/>
            <w:spacing w:line="240" w:lineRule="atLeast"/>
            <w:rPr>
              <w:rFonts w:hint="eastAsia"/>
              <w:szCs w:val="21"/>
            </w:rPr>
          </w:pPr>
          <w:r>
            <w:rPr>
              <w:rFonts w:hint="eastAsia"/>
              <w:szCs w:val="21"/>
            </w:rPr>
            <w:t>无</w:t>
          </w:r>
        </w:p>
      </w:sdtContent>
    </w:sdt>
    <w:p w14:paraId="321B4517">
      <w:pPr>
        <w:snapToGrid w:val="0"/>
        <w:spacing w:line="240" w:lineRule="atLeast"/>
        <w:rPr>
          <w:rFonts w:ascii="Times New Roman" w:hAnsi="Times New Roman"/>
        </w:rPr>
      </w:pPr>
    </w:p>
    <w:bookmarkEnd w:id="410"/>
    <w:bookmarkEnd w:id="411"/>
    <w:p w14:paraId="5B3653C1">
      <w:pPr>
        <w:rPr>
          <w:rFonts w:hint="eastAsia"/>
        </w:rPr>
      </w:pPr>
      <w:r>
        <w:rPr>
          <w:rFonts w:hint="eastAsia"/>
        </w:rPr>
        <w:t>其他</w:t>
      </w:r>
      <w:r>
        <w:t>说明：</w:t>
      </w:r>
    </w:p>
    <w:sdt>
      <w:sdtPr>
        <w:alias w:val="是否适用：母公司应收账款其他说明[双击切换]"/>
        <w:tag w:val="_GBC_4765684a53b9474f898fa6c2bd313427"/>
        <w:id w:val="-1465571828"/>
        <w:placeholder>
          <w:docPart w:val="GBC22222222222222222222222222222"/>
        </w:placeholder>
      </w:sdtPr>
      <w:sdtContent>
        <w:p w14:paraId="51F784E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FB2A408">
      <w:pPr>
        <w:snapToGrid w:val="0"/>
        <w:spacing w:line="240" w:lineRule="atLeast"/>
        <w:rPr>
          <w:rFonts w:hint="eastAsia"/>
        </w:rPr>
      </w:pPr>
    </w:p>
    <w:p w14:paraId="234B8207">
      <w:pPr>
        <w:pStyle w:val="70"/>
        <w:numPr>
          <w:ilvl w:val="0"/>
          <w:numId w:val="174"/>
        </w:numPr>
      </w:pPr>
      <w:r>
        <w:rPr>
          <w:rFonts w:hint="eastAsia" w:ascii="宋体" w:hAnsi="宋体"/>
          <w:szCs w:val="21"/>
        </w:rPr>
        <w:t>其他应收款</w:t>
      </w:r>
    </w:p>
    <w:p w14:paraId="22C80616">
      <w:pPr>
        <w:pStyle w:val="71"/>
        <w:rPr>
          <w:rFonts w:hint="eastAsia"/>
        </w:rPr>
      </w:pPr>
      <w:bookmarkStart w:id="412" w:name="_Hlk153789873"/>
      <w:bookmarkStart w:id="413" w:name="_Hlk533796954"/>
      <w:r>
        <w:rPr>
          <w:rFonts w:hint="eastAsia"/>
        </w:rPr>
        <w:t>项目列示</w:t>
      </w:r>
    </w:p>
    <w:sdt>
      <w:sdtPr>
        <w:alias w:val="是否适用：母公司其他应收款分类列示[双击切换]"/>
        <w:tag w:val="_GBC_eca97260629e4985b01404cfe0f9630b"/>
        <w:id w:val="-579675323"/>
        <w:placeholder>
          <w:docPart w:val="GBC22222222222222222222222222222"/>
        </w:placeholder>
      </w:sdtPr>
      <w:sdtContent>
        <w:p w14:paraId="6E9E2EAA">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712432">
      <w:pPr>
        <w:jc w:val="right"/>
        <w:rPr>
          <w:rFonts w:hint="eastAsia"/>
          <w:szCs w:val="21"/>
        </w:rPr>
      </w:pPr>
      <w:r>
        <w:rPr>
          <w:rFonts w:hint="eastAsia"/>
          <w:szCs w:val="21"/>
        </w:rPr>
        <w:t>单位：</w:t>
      </w:r>
      <w:sdt>
        <w:sdtPr>
          <w:rPr>
            <w:rFonts w:hint="eastAsia"/>
            <w:szCs w:val="21"/>
          </w:rPr>
          <w:alias w:val="单位：母公司其他应收款分类列示"/>
          <w:tag w:val="_GBC_3e648241a63447daac5dd00971efb146"/>
          <w:id w:val="13310955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7b8206dd7dd44fcb02f4cced206c1b8"/>
          <w:id w:val="-9929482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13"/>
        <w:gridCol w:w="2862"/>
        <w:gridCol w:w="2848"/>
      </w:tblGrid>
      <w:tr w14:paraId="5BBC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ascii="Arial Narrow" w:hAnsi="Arial Narrow" w:eastAsiaTheme="minorEastAsia"/>
            </w:rPr>
            <w:tag w:val="_PLD_3fbe550dc0704e7ebed42463d474129d"/>
            <w:id w:val="2106061273"/>
          </w:sdtPr>
          <w:sdtEndPr>
            <w:rPr>
              <w:rFonts w:ascii="Arial Narrow" w:hAnsi="Arial Narrow" w:eastAsiaTheme="minorEastAsia"/>
            </w:rPr>
          </w:sdtEndPr>
          <w:sdtContent>
            <w:tc>
              <w:tcPr>
                <w:tcW w:w="1764" w:type="pct"/>
                <w:vAlign w:val="center"/>
              </w:tcPr>
              <w:p w14:paraId="2086767F">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5161bba6c7a3460784316b0695f47487"/>
            <w:id w:val="2048950014"/>
          </w:sdtPr>
          <w:sdtEndPr>
            <w:rPr>
              <w:rFonts w:ascii="Arial Narrow" w:hAnsi="Arial Narrow" w:eastAsiaTheme="minorEastAsia"/>
            </w:rPr>
          </w:sdtEndPr>
          <w:sdtContent>
            <w:tc>
              <w:tcPr>
                <w:tcW w:w="1622" w:type="pct"/>
                <w:vAlign w:val="center"/>
              </w:tcPr>
              <w:p w14:paraId="617CA1EE">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54007dfc9bc24ec0b86bc4694efe4938"/>
            <w:id w:val="667987436"/>
          </w:sdtPr>
          <w:sdtEndPr>
            <w:rPr>
              <w:rFonts w:ascii="Arial Narrow" w:hAnsi="Arial Narrow" w:eastAsiaTheme="minorEastAsia"/>
            </w:rPr>
          </w:sdtEndPr>
          <w:sdtContent>
            <w:tc>
              <w:tcPr>
                <w:tcW w:w="1614" w:type="pct"/>
                <w:vAlign w:val="center"/>
              </w:tcPr>
              <w:p w14:paraId="055CFF5B">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3663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7C1CAA2C">
            <w:pPr>
              <w:ind w:right="5"/>
              <w:rPr>
                <w:rFonts w:ascii="Arial Narrow" w:hAnsi="Arial Narrow" w:eastAsiaTheme="minorEastAsia"/>
                <w:szCs w:val="21"/>
              </w:rPr>
            </w:pPr>
            <w:r>
              <w:rPr>
                <w:rFonts w:ascii="Arial Narrow" w:hAnsi="Arial Narrow" w:eastAsiaTheme="minorEastAsia"/>
                <w:szCs w:val="21"/>
              </w:rPr>
              <w:t>应收利息</w:t>
            </w:r>
          </w:p>
        </w:tc>
        <w:tc>
          <w:tcPr>
            <w:tcW w:w="1622" w:type="pct"/>
            <w:vAlign w:val="center"/>
          </w:tcPr>
          <w:p w14:paraId="72B944D4">
            <w:pPr>
              <w:ind w:right="5"/>
              <w:jc w:val="right"/>
              <w:rPr>
                <w:rFonts w:ascii="Arial Narrow" w:hAnsi="Arial Narrow" w:eastAsiaTheme="minorEastAsia"/>
                <w:szCs w:val="21"/>
              </w:rPr>
            </w:pPr>
          </w:p>
        </w:tc>
        <w:tc>
          <w:tcPr>
            <w:tcW w:w="1614" w:type="pct"/>
            <w:vAlign w:val="center"/>
          </w:tcPr>
          <w:p w14:paraId="48927A1E">
            <w:pPr>
              <w:ind w:right="5"/>
              <w:jc w:val="right"/>
              <w:rPr>
                <w:rFonts w:ascii="Arial Narrow" w:hAnsi="Arial Narrow" w:eastAsiaTheme="minorEastAsia"/>
                <w:szCs w:val="21"/>
              </w:rPr>
            </w:pPr>
          </w:p>
        </w:tc>
      </w:tr>
      <w:tr w14:paraId="2577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286BE867">
            <w:pPr>
              <w:ind w:right="5"/>
              <w:rPr>
                <w:rFonts w:ascii="Arial Narrow" w:hAnsi="Arial Narrow" w:eastAsiaTheme="minorEastAsia"/>
                <w:szCs w:val="21"/>
              </w:rPr>
            </w:pPr>
            <w:r>
              <w:rPr>
                <w:rFonts w:ascii="Arial Narrow" w:hAnsi="Arial Narrow" w:eastAsiaTheme="minorEastAsia"/>
                <w:szCs w:val="21"/>
              </w:rPr>
              <w:t>应收股利</w:t>
            </w:r>
          </w:p>
        </w:tc>
        <w:tc>
          <w:tcPr>
            <w:tcW w:w="1622" w:type="pct"/>
            <w:vAlign w:val="center"/>
          </w:tcPr>
          <w:p w14:paraId="4EBF8604">
            <w:pPr>
              <w:ind w:right="5"/>
              <w:jc w:val="right"/>
              <w:rPr>
                <w:rFonts w:ascii="Arial Narrow" w:hAnsi="Arial Narrow" w:eastAsiaTheme="minorEastAsia"/>
                <w:szCs w:val="21"/>
              </w:rPr>
            </w:pPr>
            <w:r>
              <w:rPr>
                <w:rFonts w:ascii="Arial Narrow" w:hAnsi="Arial Narrow" w:eastAsiaTheme="minorEastAsia"/>
                <w:color w:val="000000"/>
                <w:szCs w:val="21"/>
              </w:rPr>
              <w:t>371,931,182.43</w:t>
            </w:r>
          </w:p>
        </w:tc>
        <w:tc>
          <w:tcPr>
            <w:tcW w:w="1614" w:type="pct"/>
            <w:vAlign w:val="center"/>
          </w:tcPr>
          <w:p w14:paraId="2485360D">
            <w:pPr>
              <w:ind w:right="5"/>
              <w:jc w:val="right"/>
              <w:rPr>
                <w:rFonts w:ascii="Arial Narrow" w:hAnsi="Arial Narrow" w:eastAsiaTheme="minorEastAsia"/>
                <w:szCs w:val="21"/>
              </w:rPr>
            </w:pPr>
            <w:r>
              <w:rPr>
                <w:rFonts w:ascii="Arial Narrow" w:hAnsi="Arial Narrow" w:eastAsiaTheme="minorEastAsia"/>
                <w:color w:val="000000"/>
                <w:szCs w:val="21"/>
              </w:rPr>
              <w:t>377,586,843.17</w:t>
            </w:r>
          </w:p>
        </w:tc>
      </w:tr>
      <w:tr w14:paraId="73B2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6C15A379">
            <w:pPr>
              <w:ind w:right="5"/>
              <w:rPr>
                <w:rFonts w:ascii="Arial Narrow" w:hAnsi="Arial Narrow" w:eastAsiaTheme="minorEastAsia"/>
                <w:szCs w:val="21"/>
              </w:rPr>
            </w:pPr>
            <w:r>
              <w:rPr>
                <w:rFonts w:ascii="Arial Narrow" w:hAnsi="Arial Narrow" w:eastAsiaTheme="minorEastAsia"/>
                <w:szCs w:val="21"/>
              </w:rPr>
              <w:t>其他应收款</w:t>
            </w:r>
          </w:p>
        </w:tc>
        <w:tc>
          <w:tcPr>
            <w:tcW w:w="1622" w:type="pct"/>
            <w:vAlign w:val="center"/>
          </w:tcPr>
          <w:p w14:paraId="152D423C">
            <w:pPr>
              <w:ind w:right="5"/>
              <w:jc w:val="right"/>
              <w:rPr>
                <w:rFonts w:ascii="Arial Narrow" w:hAnsi="Arial Narrow" w:eastAsiaTheme="minorEastAsia"/>
                <w:szCs w:val="21"/>
              </w:rPr>
            </w:pPr>
            <w:r>
              <w:rPr>
                <w:rFonts w:ascii="Arial Narrow" w:hAnsi="Arial Narrow" w:eastAsiaTheme="minorEastAsia"/>
                <w:color w:val="000000"/>
                <w:szCs w:val="21"/>
              </w:rPr>
              <w:t>6,363,916,633.74</w:t>
            </w:r>
          </w:p>
        </w:tc>
        <w:tc>
          <w:tcPr>
            <w:tcW w:w="1614" w:type="pct"/>
            <w:vAlign w:val="center"/>
          </w:tcPr>
          <w:p w14:paraId="0452B338">
            <w:pPr>
              <w:ind w:right="5"/>
              <w:jc w:val="right"/>
              <w:rPr>
                <w:rFonts w:ascii="Arial Narrow" w:hAnsi="Arial Narrow" w:eastAsiaTheme="minorEastAsia"/>
                <w:szCs w:val="21"/>
              </w:rPr>
            </w:pPr>
            <w:r>
              <w:rPr>
                <w:rFonts w:ascii="Arial Narrow" w:hAnsi="Arial Narrow" w:eastAsiaTheme="minorEastAsia"/>
                <w:color w:val="000000"/>
                <w:szCs w:val="21"/>
              </w:rPr>
              <w:t>6,830,632,944.40</w:t>
            </w:r>
          </w:p>
        </w:tc>
      </w:tr>
      <w:tr w14:paraId="2BDE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13918D40">
            <w:pPr>
              <w:autoSpaceDE w:val="0"/>
              <w:autoSpaceDN w:val="0"/>
              <w:adjustRightInd w:val="0"/>
              <w:jc w:val="center"/>
              <w:rPr>
                <w:rFonts w:ascii="Arial Narrow" w:hAnsi="Arial Narrow" w:eastAsiaTheme="minorEastAsia"/>
                <w:szCs w:val="21"/>
              </w:rPr>
            </w:pPr>
            <w:r>
              <w:rPr>
                <w:rFonts w:ascii="Arial Narrow" w:hAnsi="Arial Narrow" w:eastAsiaTheme="minorEastAsia"/>
                <w:szCs w:val="21"/>
              </w:rPr>
              <w:t>合计</w:t>
            </w:r>
          </w:p>
        </w:tc>
        <w:tc>
          <w:tcPr>
            <w:tcW w:w="1622" w:type="pct"/>
            <w:vAlign w:val="center"/>
          </w:tcPr>
          <w:p w14:paraId="51E47989">
            <w:pPr>
              <w:jc w:val="right"/>
              <w:rPr>
                <w:rFonts w:ascii="Arial Narrow" w:hAnsi="Arial Narrow" w:eastAsiaTheme="minorEastAsia"/>
                <w:szCs w:val="21"/>
              </w:rPr>
            </w:pPr>
            <w:r>
              <w:rPr>
                <w:rFonts w:ascii="Arial Narrow" w:hAnsi="Arial Narrow" w:eastAsiaTheme="minorEastAsia"/>
                <w:color w:val="000000"/>
                <w:szCs w:val="21"/>
              </w:rPr>
              <w:t>6,735,847,816.17</w:t>
            </w:r>
          </w:p>
        </w:tc>
        <w:tc>
          <w:tcPr>
            <w:tcW w:w="1614" w:type="pct"/>
            <w:vAlign w:val="center"/>
          </w:tcPr>
          <w:p w14:paraId="451759D5">
            <w:pPr>
              <w:jc w:val="right"/>
              <w:rPr>
                <w:rFonts w:ascii="Arial Narrow" w:hAnsi="Arial Narrow" w:eastAsiaTheme="minorEastAsia"/>
                <w:szCs w:val="21"/>
              </w:rPr>
            </w:pPr>
            <w:r>
              <w:rPr>
                <w:rFonts w:ascii="Arial Narrow" w:hAnsi="Arial Narrow" w:eastAsiaTheme="minorEastAsia"/>
                <w:color w:val="000000"/>
                <w:szCs w:val="21"/>
              </w:rPr>
              <w:t>7,208,219,787.57</w:t>
            </w:r>
          </w:p>
        </w:tc>
      </w:tr>
    </w:tbl>
    <w:p w14:paraId="005082A9">
      <w:pPr>
        <w:rPr>
          <w:rFonts w:hint="eastAsia"/>
        </w:rPr>
      </w:pPr>
    </w:p>
    <w:bookmarkEnd w:id="412"/>
    <w:bookmarkEnd w:id="413"/>
    <w:p w14:paraId="2BB1455E">
      <w:pPr>
        <w:rPr>
          <w:rFonts w:hint="eastAsia"/>
          <w:szCs w:val="21"/>
        </w:rPr>
      </w:pPr>
      <w:bookmarkStart w:id="414" w:name="_Hlk533797002"/>
      <w:r>
        <w:rPr>
          <w:rFonts w:hint="eastAsia"/>
          <w:szCs w:val="21"/>
        </w:rPr>
        <w:t>其他说明：</w:t>
      </w:r>
    </w:p>
    <w:sdt>
      <w:sdtPr>
        <w:rPr>
          <w:szCs w:val="21"/>
        </w:rPr>
        <w:alias w:val="是否适用：母公司其他应收款分类列示其他说明[双击切换]"/>
        <w:tag w:val="_GBC_17d0b67d20cb486dbc08e07c11e1224a"/>
        <w:id w:val="-1446850921"/>
        <w:placeholder>
          <w:docPart w:val="GBC22222222222222222222222222222"/>
        </w:placeholder>
      </w:sdtPr>
      <w:sdtEndPr>
        <w:rPr>
          <w:szCs w:val="21"/>
        </w:rPr>
      </w:sdtEndPr>
      <w:sdtContent>
        <w:p w14:paraId="1AC6FECB">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414"/>
    <w:p w14:paraId="5F296B4A">
      <w:pPr>
        <w:rPr>
          <w:rFonts w:hint="eastAsia"/>
        </w:rPr>
      </w:pPr>
    </w:p>
    <w:p w14:paraId="5305E2E7">
      <w:pPr>
        <w:pStyle w:val="71"/>
        <w:ind w:left="360" w:hanging="360"/>
        <w:rPr>
          <w:rFonts w:hint="eastAsia"/>
        </w:rPr>
      </w:pPr>
      <w:r>
        <w:rPr>
          <w:rFonts w:hint="eastAsia"/>
        </w:rPr>
        <w:t>应收利息</w:t>
      </w:r>
    </w:p>
    <w:p w14:paraId="23DE9CC6">
      <w:pPr>
        <w:pStyle w:val="72"/>
        <w:numPr>
          <w:ilvl w:val="0"/>
          <w:numId w:val="176"/>
        </w:numPr>
        <w:ind w:leftChars="0"/>
      </w:pPr>
      <w:bookmarkStart w:id="415" w:name="_Hlk533797042"/>
      <w:r>
        <w:rPr>
          <w:rFonts w:hint="eastAsia"/>
        </w:rPr>
        <w:t>应收利息分类</w:t>
      </w:r>
    </w:p>
    <w:sdt>
      <w:sdtPr>
        <w:alias w:val="是否适用：母公司应收利息分类[双击切换]"/>
        <w:tag w:val="_GBC_5e0cba78d09b4764ada25ce89de1c4fd"/>
        <w:id w:val="-834988282"/>
        <w:placeholder>
          <w:docPart w:val="GBC22222222222222222222222222222"/>
        </w:placeholder>
      </w:sdtPr>
      <w:sdtContent>
        <w:p w14:paraId="06F66A9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241F109">
      <w:pPr>
        <w:rPr>
          <w:rFonts w:hint="eastAsia"/>
          <w:szCs w:val="21"/>
        </w:rPr>
      </w:pPr>
    </w:p>
    <w:bookmarkEnd w:id="415"/>
    <w:p w14:paraId="3662BD34">
      <w:pPr>
        <w:pStyle w:val="72"/>
        <w:numPr>
          <w:ilvl w:val="0"/>
          <w:numId w:val="176"/>
        </w:numPr>
        <w:ind w:leftChars="0"/>
      </w:pPr>
      <w:bookmarkStart w:id="416" w:name="_Hlk533797114"/>
      <w:r>
        <w:rPr>
          <w:rFonts w:hint="eastAsia"/>
        </w:rPr>
        <w:t>重要逾期利息</w:t>
      </w:r>
    </w:p>
    <w:sdt>
      <w:sdtPr>
        <w:alias w:val="是否适用：母公司重要逾期利息[双击切换]"/>
        <w:tag w:val="_GBC_2d954f5af6a64a34941652eeb166dce8"/>
        <w:id w:val="2085569821"/>
        <w:placeholder>
          <w:docPart w:val="GBC22222222222222222222222222222"/>
        </w:placeholder>
      </w:sdtPr>
      <w:sdtContent>
        <w:p w14:paraId="32E627D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41BDDDA">
      <w:pPr>
        <w:rPr>
          <w:rFonts w:hint="eastAsia"/>
        </w:rPr>
      </w:pPr>
    </w:p>
    <w:p w14:paraId="42941291">
      <w:pPr>
        <w:pStyle w:val="72"/>
        <w:numPr>
          <w:ilvl w:val="0"/>
          <w:numId w:val="176"/>
        </w:numPr>
        <w:ind w:leftChars="0"/>
      </w:pPr>
      <w:bookmarkStart w:id="417" w:name="_Hlk154149455"/>
      <w:bookmarkStart w:id="418" w:name="_Hlk153789950"/>
      <w:r>
        <w:rPr>
          <w:rFonts w:hint="eastAsia"/>
        </w:rPr>
        <w:t>按坏账计提方法分类披露</w:t>
      </w:r>
    </w:p>
    <w:sdt>
      <w:sdtPr>
        <w:alias w:val="是否适用：按坏账计提方法分类披露[双击切换]"/>
        <w:tag w:val="_GBC_fe4d472a766545fe91e93448a26e5403"/>
        <w:id w:val="-1213806286"/>
        <w:placeholder>
          <w:docPart w:val="GBC22222222222222222222222222222"/>
        </w:placeholder>
      </w:sdtPr>
      <w:sdtContent>
        <w:p w14:paraId="6E061549">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B083BB6">
      <w:pPr>
        <w:rPr>
          <w:rFonts w:hint="eastAsia"/>
        </w:rPr>
      </w:pPr>
    </w:p>
    <w:p w14:paraId="7A6B83EF">
      <w:pPr>
        <w:rPr>
          <w:rFonts w:hint="eastAsia"/>
        </w:rPr>
      </w:pPr>
      <w:r>
        <w:rPr>
          <w:rFonts w:hint="eastAsia"/>
        </w:rPr>
        <w:t>按单项计提坏账准备：</w:t>
      </w:r>
    </w:p>
    <w:sdt>
      <w:sdtPr>
        <w:alias w:val="是否适用：母公司按单项计提坏账准备的详细情况[双击切换]"/>
        <w:tag w:val="_GBC_d06b9654dbc04fa7af49f1a5ad28f657"/>
        <w:id w:val="-367906261"/>
        <w:placeholder>
          <w:docPart w:val="GBC22222222222222222222222222222"/>
        </w:placeholder>
      </w:sdtPr>
      <w:sdtContent>
        <w:p w14:paraId="54EA286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F15D753">
      <w:pPr>
        <w:rPr>
          <w:rFonts w:hint="eastAsia"/>
          <w:szCs w:val="21"/>
        </w:rPr>
      </w:pPr>
    </w:p>
    <w:p w14:paraId="1CB671EB">
      <w:pPr>
        <w:rPr>
          <w:rFonts w:hint="eastAsia"/>
          <w:szCs w:val="21"/>
        </w:rPr>
      </w:pPr>
      <w:r>
        <w:rPr>
          <w:rFonts w:hint="eastAsia"/>
          <w:szCs w:val="21"/>
        </w:rPr>
        <w:t>按单项计提坏账准备的说明：</w:t>
      </w:r>
    </w:p>
    <w:sdt>
      <w:sdtPr>
        <w:rPr>
          <w:szCs w:val="21"/>
        </w:rPr>
        <w:alias w:val="是否适用：母公司按单项计提坏账准备的说明[双击切换]"/>
        <w:tag w:val="_GBC_7a6fa6b7c7de4c12942ac6477ec9ffb8"/>
        <w:id w:val="-22099718"/>
        <w:placeholder>
          <w:docPart w:val="GBC22222222222222222222222222222"/>
        </w:placeholder>
      </w:sdtPr>
      <w:sdtEndPr>
        <w:rPr>
          <w:szCs w:val="21"/>
        </w:rPr>
      </w:sdtEndPr>
      <w:sdtContent>
        <w:p w14:paraId="26027A3A">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817CF92">
      <w:pPr>
        <w:rPr>
          <w:rFonts w:hint="eastAsia"/>
          <w:szCs w:val="21"/>
        </w:rPr>
      </w:pPr>
    </w:p>
    <w:p w14:paraId="5482FF56">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母公司按组合计提坏账准备的详细情况[双击切换]"/>
        <w:tag w:val="_GBC_ce999ec0925c4191a03a5c3b162652e0"/>
        <w:id w:val="-2129377780"/>
        <w:placeholder>
          <w:docPart w:val="GBC22222222222222222222222222222"/>
        </w:placeholder>
      </w:sdtPr>
      <w:sdtEndPr>
        <w:rPr>
          <w:rFonts w:ascii="Calibri" w:hAnsi="Calibri" w:cs="Times New Roman"/>
          <w:bCs/>
          <w:szCs w:val="22"/>
        </w:rPr>
      </w:sdtEndPr>
      <w:sdtContent>
        <w:p w14:paraId="408A6447">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4799DE9D">
      <w:pPr>
        <w:rPr>
          <w:rFonts w:hint="eastAsia"/>
          <w:szCs w:val="21"/>
        </w:rPr>
      </w:pPr>
    </w:p>
    <w:p w14:paraId="74FE02FA">
      <w:pPr>
        <w:rPr>
          <w:rFonts w:ascii="Calibri" w:hAnsi="Calibri" w:cs="Times New Roman"/>
          <w:b/>
          <w:bCs/>
          <w:szCs w:val="22"/>
        </w:rPr>
      </w:pPr>
    </w:p>
    <w:bookmarkEnd w:id="416"/>
    <w:bookmarkEnd w:id="417"/>
    <w:bookmarkEnd w:id="418"/>
    <w:p w14:paraId="4FC517C5">
      <w:pPr>
        <w:pStyle w:val="72"/>
        <w:numPr>
          <w:ilvl w:val="0"/>
          <w:numId w:val="176"/>
        </w:numPr>
        <w:ind w:leftChars="0"/>
      </w:pPr>
      <w:bookmarkStart w:id="419" w:name="_Hlk533868784"/>
      <w:r>
        <w:rPr>
          <w:rFonts w:hint="eastAsia"/>
        </w:rPr>
        <w:t>按预期信用损失一般模型计提坏账准备</w:t>
      </w:r>
    </w:p>
    <w:sdt>
      <w:sdtPr>
        <w:rPr>
          <w:szCs w:val="21"/>
        </w:rPr>
        <w:alias w:val="是否适用：母公司应收利息坏账准备调节表[双击切换]"/>
        <w:tag w:val="_GBC_f31c9323c5434941917fd7e42ea1fd1b"/>
        <w:id w:val="-1604099630"/>
        <w:placeholder>
          <w:docPart w:val="GBC22222222222222222222222222222"/>
        </w:placeholder>
      </w:sdtPr>
      <w:sdtEndPr>
        <w:rPr>
          <w:szCs w:val="21"/>
        </w:rPr>
      </w:sdtEndPr>
      <w:sdtContent>
        <w:p w14:paraId="0584F4FB">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CE676B4">
      <w:pPr>
        <w:rPr>
          <w:rFonts w:hint="eastAsia"/>
          <w:szCs w:val="21"/>
        </w:rPr>
      </w:pPr>
    </w:p>
    <w:p w14:paraId="58B6FFBF">
      <w:pPr>
        <w:autoSpaceDE w:val="0"/>
        <w:autoSpaceDN w:val="0"/>
        <w:adjustRightInd w:val="0"/>
        <w:ind w:right="105" w:rightChars="50"/>
        <w:rPr>
          <w:rFonts w:hint="eastAsia"/>
          <w:szCs w:val="21"/>
        </w:rPr>
      </w:pPr>
      <w:bookmarkStart w:id="420" w:name="OLE_LINK5"/>
      <w:r>
        <w:rPr>
          <w:rFonts w:hint="eastAsia"/>
          <w:szCs w:val="21"/>
        </w:rPr>
        <w:t>各阶段划分依据和坏账准备计提比例</w:t>
      </w:r>
    </w:p>
    <w:bookmarkEnd w:id="420"/>
    <w:sdt>
      <w:sdtPr>
        <w:rPr>
          <w:rFonts w:cs="Times New Roman"/>
          <w:bCs/>
          <w:szCs w:val="22"/>
        </w:rPr>
        <w:alias w:val="应收利息各阶段划分依据和坏账准备计提比例"/>
        <w:tag w:val="_GBC_b77aa29618704a4d96dead6a87509661"/>
        <w:id w:val="343294992"/>
        <w:placeholder>
          <w:docPart w:val="GBC22222222222222222222222222222"/>
        </w:placeholder>
      </w:sdtPr>
      <w:sdtEndPr>
        <w:rPr>
          <w:rFonts w:cs="Times New Roman"/>
          <w:bCs/>
          <w:szCs w:val="22"/>
        </w:rPr>
      </w:sdtEndPr>
      <w:sdtContent>
        <w:p w14:paraId="7F7E35EC">
          <w:pPr>
            <w:rPr>
              <w:rFonts w:hint="eastAsia" w:cs="Times New Roman"/>
              <w:bCs/>
              <w:szCs w:val="22"/>
            </w:rPr>
          </w:pPr>
          <w:r>
            <w:rPr>
              <w:rFonts w:hint="eastAsia" w:cs="Times New Roman"/>
              <w:bCs/>
              <w:szCs w:val="22"/>
            </w:rPr>
            <w:t>无</w:t>
          </w:r>
        </w:p>
      </w:sdtContent>
    </w:sdt>
    <w:p w14:paraId="27E7A263">
      <w:pPr>
        <w:rPr>
          <w:rFonts w:hint="eastAsia" w:cs="Times New Roman"/>
          <w:bCs/>
          <w:szCs w:val="22"/>
        </w:rPr>
      </w:pPr>
    </w:p>
    <w:p w14:paraId="7C4D68FB">
      <w:pPr>
        <w:pStyle w:val="123"/>
      </w:pPr>
      <w:r>
        <w:rPr>
          <w:rFonts w:hint="eastAsia"/>
        </w:rPr>
        <w:t>对本期发生损失准备变动的应收利息账面余额显著变动的情况说明：</w:t>
      </w:r>
    </w:p>
    <w:sdt>
      <w:sdtPr>
        <w:alias w:val="是否适用：母公司应收利息本期发生损失准备变动且账面余额显著变动的情况说明[双击切换]"/>
        <w:tag w:val="_GBC_2798f4ad45d644a484ca2567cd62ed60"/>
        <w:id w:val="1914741425"/>
        <w:placeholder>
          <w:docPart w:val="GBC22222222222222222222222222222"/>
        </w:placeholder>
      </w:sdtPr>
      <w:sdtContent>
        <w:p w14:paraId="57ABA98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F92A3CF">
      <w:pPr>
        <w:rPr>
          <w:rFonts w:hint="eastAsia"/>
        </w:rPr>
      </w:pPr>
    </w:p>
    <w:bookmarkEnd w:id="419"/>
    <w:p w14:paraId="67A33641">
      <w:pPr>
        <w:pStyle w:val="72"/>
        <w:numPr>
          <w:ilvl w:val="0"/>
          <w:numId w:val="176"/>
        </w:numPr>
        <w:ind w:leftChars="0"/>
      </w:pPr>
      <w:bookmarkStart w:id="421" w:name="_Hlk533797211"/>
      <w:bookmarkEnd w:id="421"/>
      <w:bookmarkStart w:id="422" w:name="_Hlk154149866"/>
      <w:bookmarkStart w:id="423" w:name="_Hlk153790581"/>
      <w:r>
        <w:rPr>
          <w:rFonts w:hint="eastAsia"/>
        </w:rPr>
        <w:t>坏账准备的情况</w:t>
      </w:r>
    </w:p>
    <w:sdt>
      <w:sdtPr>
        <w:alias w:val="是否适用：母公司坏账准备情况[双击切换]"/>
        <w:tag w:val="_GBC_44a257b47fa748eca2cab9dd0877e841"/>
        <w:id w:val="-1137189235"/>
        <w:placeholder>
          <w:docPart w:val="GBC22222222222222222222222222222"/>
        </w:placeholder>
      </w:sdtPr>
      <w:sdtContent>
        <w:p w14:paraId="61926A55">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DB643CD">
      <w:pPr>
        <w:rPr>
          <w:rFonts w:hint="eastAsia"/>
        </w:rPr>
      </w:pPr>
    </w:p>
    <w:p w14:paraId="49063C9C">
      <w:pPr>
        <w:rPr>
          <w:rFonts w:hint="eastAsia"/>
        </w:rPr>
      </w:pPr>
      <w:r>
        <w:rPr>
          <w:rFonts w:hint="eastAsia"/>
        </w:rPr>
        <w:t>其中本期坏账准备收回或转回金额重要的：</w:t>
      </w:r>
    </w:p>
    <w:sdt>
      <w:sdtPr>
        <w:alias w:val="是否适用：本期坏账准备收回或转回金额重要的[双击切换]"/>
        <w:tag w:val="_GBC_dda1c249e9da4520abee515b8b42f5f4"/>
        <w:id w:val="740375386"/>
        <w:placeholder>
          <w:docPart w:val="GBC22222222222222222222222222222"/>
        </w:placeholder>
      </w:sdtPr>
      <w:sdtContent>
        <w:p w14:paraId="412B0ADF">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DFF5AA4">
      <w:pPr>
        <w:rPr>
          <w:rFonts w:hint="eastAsia"/>
        </w:rPr>
      </w:pPr>
    </w:p>
    <w:p w14:paraId="246A2361">
      <w:pPr>
        <w:rPr>
          <w:rFonts w:hint="eastAsia"/>
        </w:rPr>
      </w:pPr>
      <w:r>
        <w:rPr>
          <w:rFonts w:hint="eastAsia"/>
        </w:rPr>
        <w:t>其他说明：</w:t>
      </w:r>
    </w:p>
    <w:sdt>
      <w:sdtPr>
        <w:alias w:val="母公司坏账准备情况的说明"/>
        <w:tag w:val="_GBC_31b65196a31b451f9f81b4cd487599d5"/>
        <w:id w:val="1084341848"/>
        <w:placeholder>
          <w:docPart w:val="GBC22222222222222222222222222222"/>
        </w:placeholder>
      </w:sdtPr>
      <w:sdtContent>
        <w:p w14:paraId="16DC01F4">
          <w:pPr>
            <w:ind w:right="42" w:rightChars="20"/>
            <w:rPr>
              <w:rFonts w:hint="eastAsia"/>
            </w:rPr>
          </w:pPr>
          <w:r>
            <w:rPr>
              <w:rFonts w:hint="eastAsia"/>
            </w:rPr>
            <w:t>无</w:t>
          </w:r>
        </w:p>
      </w:sdtContent>
    </w:sdt>
    <w:p w14:paraId="1143AC95">
      <w:pPr>
        <w:ind w:right="-1594" w:rightChars="-759"/>
        <w:rPr>
          <w:rFonts w:hint="eastAsia"/>
        </w:rPr>
      </w:pPr>
    </w:p>
    <w:p w14:paraId="6C4099C8">
      <w:pPr>
        <w:pStyle w:val="72"/>
        <w:numPr>
          <w:ilvl w:val="0"/>
          <w:numId w:val="176"/>
        </w:numPr>
        <w:ind w:leftChars="0"/>
      </w:pPr>
      <w:r>
        <w:rPr>
          <w:rFonts w:hint="eastAsia"/>
        </w:rPr>
        <w:t>本期实际核销的应收利息情况</w:t>
      </w:r>
    </w:p>
    <w:sdt>
      <w:sdtPr>
        <w:alias w:val="是否适用：实际核销的情况[双击切换]"/>
        <w:tag w:val="_GBC_078b310c81244c1d880a4059768019f1"/>
        <w:id w:val="-1898735340"/>
        <w:placeholder>
          <w:docPart w:val="GBC22222222222222222222222222222"/>
        </w:placeholder>
      </w:sdtPr>
      <w:sdtContent>
        <w:p w14:paraId="44A73224">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6787D53">
      <w:pPr>
        <w:rPr>
          <w:rFonts w:hint="eastAsia"/>
          <w:szCs w:val="21"/>
        </w:rPr>
      </w:pPr>
    </w:p>
    <w:p w14:paraId="5D3B6518">
      <w:pPr>
        <w:rPr>
          <w:rFonts w:hint="eastAsia"/>
          <w:szCs w:val="21"/>
        </w:rPr>
      </w:pPr>
      <w:r>
        <w:rPr>
          <w:rFonts w:hint="eastAsia"/>
          <w:szCs w:val="21"/>
        </w:rPr>
        <w:t>其中重要的应收利息核销情况</w:t>
      </w:r>
    </w:p>
    <w:sdt>
      <w:sdtPr>
        <w:rPr>
          <w:rFonts w:hint="eastAsia"/>
          <w:szCs w:val="21"/>
        </w:rPr>
        <w:alias w:val="是否适用：母公司重要的核销情况[双击切换]"/>
        <w:tag w:val="_GBC_d68df6b80a1a45bcb388baf56df1b958"/>
        <w:id w:val="-120384179"/>
        <w:placeholder>
          <w:docPart w:val="GBC22222222222222222222222222222"/>
        </w:placeholder>
      </w:sdtPr>
      <w:sdtEndPr>
        <w:rPr>
          <w:rFonts w:hint="eastAsia"/>
          <w:szCs w:val="21"/>
        </w:rPr>
      </w:sdtEndPr>
      <w:sdtContent>
        <w:p w14:paraId="3037D1A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0619169">
      <w:pPr>
        <w:rPr>
          <w:rFonts w:hint="eastAsia"/>
          <w:szCs w:val="21"/>
        </w:rPr>
      </w:pPr>
    </w:p>
    <w:p w14:paraId="6871E228">
      <w:pPr>
        <w:snapToGrid w:val="0"/>
        <w:spacing w:line="240" w:lineRule="atLeast"/>
        <w:rPr>
          <w:rFonts w:hint="eastAsia"/>
          <w:szCs w:val="21"/>
        </w:rPr>
      </w:pPr>
      <w:r>
        <w:rPr>
          <w:rFonts w:hint="eastAsia"/>
          <w:szCs w:val="21"/>
        </w:rPr>
        <w:t>核销说明：</w:t>
      </w:r>
    </w:p>
    <w:sdt>
      <w:sdtPr>
        <w:rPr>
          <w:szCs w:val="21"/>
        </w:rPr>
        <w:alias w:val="是否适用：母公司核销说明[双击切换]"/>
        <w:tag w:val="_GBC_dd0453ff96014cb191f4b96cd3787f15"/>
        <w:id w:val="-2094083375"/>
        <w:placeholder>
          <w:docPart w:val="GBC22222222222222222222222222222"/>
        </w:placeholder>
      </w:sdtPr>
      <w:sdtEndPr>
        <w:rPr>
          <w:szCs w:val="21"/>
        </w:rPr>
      </w:sdtEndPr>
      <w:sdtContent>
        <w:p w14:paraId="71BDA75E">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3CAC241">
      <w:pPr>
        <w:rPr>
          <w:rFonts w:hint="eastAsia"/>
        </w:rPr>
      </w:pPr>
    </w:p>
    <w:bookmarkEnd w:id="422"/>
    <w:p w14:paraId="648AE9E3">
      <w:pPr>
        <w:rPr>
          <w:rFonts w:hint="eastAsia"/>
        </w:rPr>
      </w:pPr>
      <w:r>
        <w:rPr>
          <w:rFonts w:hint="eastAsia"/>
        </w:rPr>
        <w:t>其他说明：</w:t>
      </w:r>
    </w:p>
    <w:sdt>
      <w:sdtPr>
        <w:rPr>
          <w:rFonts w:hint="eastAsia"/>
          <w:szCs w:val="21"/>
        </w:rPr>
        <w:alias w:val="是否适用：应收利息的说明[双击切换]"/>
        <w:tag w:val="_GBC_9a3e6e5b075544d3b90be42ae9d883ef"/>
        <w:id w:val="-79063487"/>
        <w:placeholder>
          <w:docPart w:val="GBC22222222222222222222222222222"/>
        </w:placeholder>
      </w:sdtPr>
      <w:sdtEndPr>
        <w:rPr>
          <w:rFonts w:hint="eastAsia"/>
          <w:szCs w:val="21"/>
        </w:rPr>
      </w:sdtEndPr>
      <w:sdtContent>
        <w:p w14:paraId="4B397EAE">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7BDC7CD">
      <w:pPr>
        <w:rPr>
          <w:rFonts w:hint="eastAsia"/>
          <w:szCs w:val="21"/>
        </w:rPr>
      </w:pPr>
    </w:p>
    <w:bookmarkEnd w:id="423"/>
    <w:p w14:paraId="46A70792">
      <w:pPr>
        <w:pStyle w:val="71"/>
        <w:ind w:left="360" w:hanging="360"/>
        <w:rPr>
          <w:rFonts w:hint="eastAsia"/>
        </w:rPr>
      </w:pPr>
      <w:r>
        <w:rPr>
          <w:rFonts w:hint="eastAsia"/>
        </w:rPr>
        <w:t>应收股利</w:t>
      </w:r>
    </w:p>
    <w:p w14:paraId="10DA4EDF">
      <w:pPr>
        <w:pStyle w:val="72"/>
        <w:numPr>
          <w:ilvl w:val="0"/>
          <w:numId w:val="177"/>
        </w:numPr>
        <w:ind w:leftChars="0"/>
      </w:pPr>
      <w:bookmarkStart w:id="424" w:name="_Hlk533797257"/>
      <w:r>
        <w:rPr>
          <w:rFonts w:hint="eastAsia"/>
        </w:rPr>
        <w:t>应收股利</w:t>
      </w:r>
    </w:p>
    <w:sdt>
      <w:sdtPr>
        <w:alias w:val="是否适用：母公司应收股利[双击切换]"/>
        <w:tag w:val="_GBC_a52dcf5153694fbe9527781c61a5006e"/>
        <w:id w:val="-1836753990"/>
        <w:placeholder>
          <w:docPart w:val="GBC22222222222222222222222222222"/>
        </w:placeholder>
      </w:sdtPr>
      <w:sdtContent>
        <w:p w14:paraId="22108AE5">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AD2A69">
      <w:pPr>
        <w:jc w:val="right"/>
        <w:rPr>
          <w:rFonts w:hint="eastAsia"/>
          <w:szCs w:val="21"/>
        </w:rPr>
      </w:pPr>
      <w:r>
        <w:rPr>
          <w:rFonts w:hint="eastAsia"/>
          <w:szCs w:val="21"/>
        </w:rPr>
        <w:t>单位：</w:t>
      </w:r>
      <w:sdt>
        <w:sdtPr>
          <w:rPr>
            <w:rFonts w:hint="eastAsia"/>
            <w:szCs w:val="21"/>
          </w:rPr>
          <w:alias w:val="单位：母公司应收股利"/>
          <w:tag w:val="_GBC_6ca836a3bcad480a9c85951f0ab366a6"/>
          <w:id w:val="14380945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f127bcdbe1e14dfb9de9ff2ea28f8849"/>
          <w:id w:val="-10379677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gridCol w:w="2104"/>
        <w:gridCol w:w="2755"/>
      </w:tblGrid>
      <w:tr w14:paraId="7589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2f33eddb4e264906aec2f02b43b353c9"/>
            <w:id w:val="699598754"/>
          </w:sdtPr>
          <w:sdtEndPr>
            <w:rPr>
              <w:rFonts w:ascii="Arial Narrow" w:hAnsi="Arial Narrow" w:eastAsiaTheme="minorEastAsia"/>
              <w:szCs w:val="21"/>
            </w:rPr>
          </w:sdtEndPr>
          <w:sdtContent>
            <w:tc>
              <w:tcPr>
                <w:tcW w:w="2246" w:type="pct"/>
                <w:vAlign w:val="center"/>
              </w:tcPr>
              <w:p w14:paraId="6140F953">
                <w:pPr>
                  <w:jc w:val="center"/>
                  <w:rPr>
                    <w:rFonts w:ascii="Arial Narrow" w:hAnsi="Arial Narrow" w:eastAsiaTheme="minorEastAsia"/>
                    <w:szCs w:val="21"/>
                  </w:rPr>
                </w:pPr>
                <w:r>
                  <w:rPr>
                    <w:rFonts w:ascii="Arial Narrow" w:hAnsi="Arial Narrow" w:eastAsiaTheme="minorEastAsia"/>
                    <w:szCs w:val="21"/>
                  </w:rPr>
                  <w:t>项目(或被投资单位)</w:t>
                </w:r>
              </w:p>
            </w:tc>
          </w:sdtContent>
        </w:sdt>
        <w:sdt>
          <w:sdtPr>
            <w:rPr>
              <w:rFonts w:ascii="Arial Narrow" w:hAnsi="Arial Narrow" w:eastAsiaTheme="minorEastAsia"/>
              <w:szCs w:val="21"/>
            </w:rPr>
            <w:tag w:val="_PLD_d5c6465a5d04498caa02c0445ea9f2a6"/>
            <w:id w:val="715405176"/>
          </w:sdtPr>
          <w:sdtEndPr>
            <w:rPr>
              <w:rFonts w:ascii="Arial Narrow" w:hAnsi="Arial Narrow" w:eastAsiaTheme="minorEastAsia"/>
              <w:szCs w:val="21"/>
            </w:rPr>
          </w:sdtEndPr>
          <w:sdtContent>
            <w:tc>
              <w:tcPr>
                <w:tcW w:w="1192" w:type="pct"/>
                <w:vAlign w:val="center"/>
              </w:tcPr>
              <w:p w14:paraId="14A9D6AC">
                <w:pPr>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c14a5a3826574e7ebd8083db63a7a818"/>
            <w:id w:val="789167216"/>
          </w:sdtPr>
          <w:sdtEndPr>
            <w:rPr>
              <w:rFonts w:ascii="Arial Narrow" w:hAnsi="Arial Narrow" w:eastAsiaTheme="minorEastAsia"/>
              <w:szCs w:val="21"/>
            </w:rPr>
          </w:sdtEndPr>
          <w:sdtContent>
            <w:tc>
              <w:tcPr>
                <w:tcW w:w="1561" w:type="pct"/>
                <w:vAlign w:val="center"/>
              </w:tcPr>
              <w:p w14:paraId="529D3F14">
                <w:pPr>
                  <w:jc w:val="center"/>
                  <w:rPr>
                    <w:rFonts w:ascii="Arial Narrow" w:hAnsi="Arial Narrow" w:eastAsiaTheme="minorEastAsia"/>
                    <w:szCs w:val="21"/>
                  </w:rPr>
                </w:pPr>
                <w:r>
                  <w:rPr>
                    <w:rFonts w:ascii="Arial Narrow" w:hAnsi="Arial Narrow" w:eastAsiaTheme="minorEastAsia"/>
                    <w:szCs w:val="21"/>
                  </w:rPr>
                  <w:t>期初余额</w:t>
                </w:r>
              </w:p>
            </w:tc>
          </w:sdtContent>
        </w:sdt>
      </w:tr>
      <w:tr w14:paraId="2B28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404166A3">
            <w:pPr>
              <w:rPr>
                <w:rFonts w:ascii="Arial Narrow" w:hAnsi="Arial Narrow" w:eastAsiaTheme="minorEastAsia"/>
                <w:szCs w:val="21"/>
              </w:rPr>
            </w:pPr>
            <w:r>
              <w:rPr>
                <w:rFonts w:ascii="Arial Narrow" w:hAnsi="Arial Narrow" w:eastAsiaTheme="minorEastAsia"/>
                <w:color w:val="000000"/>
                <w:szCs w:val="21"/>
              </w:rPr>
              <w:t>际华三五零二职业装有限公司</w:t>
            </w:r>
          </w:p>
        </w:tc>
        <w:tc>
          <w:tcPr>
            <w:tcW w:w="1192" w:type="pct"/>
            <w:vAlign w:val="center"/>
          </w:tcPr>
          <w:p w14:paraId="280B46AB">
            <w:pPr>
              <w:jc w:val="right"/>
              <w:rPr>
                <w:rFonts w:ascii="Arial Narrow" w:hAnsi="Arial Narrow" w:eastAsiaTheme="minorEastAsia"/>
                <w:szCs w:val="21"/>
              </w:rPr>
            </w:pPr>
            <w:r>
              <w:rPr>
                <w:rFonts w:ascii="Arial Narrow" w:hAnsi="Arial Narrow" w:eastAsiaTheme="minorEastAsia"/>
                <w:color w:val="000000"/>
                <w:szCs w:val="21"/>
              </w:rPr>
              <w:t>2,185,526.79</w:t>
            </w:r>
          </w:p>
        </w:tc>
        <w:tc>
          <w:tcPr>
            <w:tcW w:w="1561" w:type="pct"/>
            <w:vAlign w:val="center"/>
          </w:tcPr>
          <w:p w14:paraId="53A2E496">
            <w:pPr>
              <w:jc w:val="right"/>
              <w:rPr>
                <w:rFonts w:ascii="Arial Narrow" w:hAnsi="Arial Narrow" w:eastAsiaTheme="minorEastAsia"/>
                <w:szCs w:val="21"/>
              </w:rPr>
            </w:pPr>
            <w:r>
              <w:rPr>
                <w:rFonts w:ascii="Arial Narrow" w:hAnsi="Arial Narrow" w:eastAsiaTheme="minorEastAsia"/>
                <w:color w:val="000000"/>
                <w:szCs w:val="21"/>
              </w:rPr>
              <w:t>2,185,526.79</w:t>
            </w:r>
          </w:p>
        </w:tc>
      </w:tr>
      <w:tr w14:paraId="19C1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19266808">
            <w:pPr>
              <w:rPr>
                <w:rFonts w:ascii="Arial Narrow" w:hAnsi="Arial Narrow" w:eastAsiaTheme="minorEastAsia"/>
                <w:szCs w:val="21"/>
              </w:rPr>
            </w:pPr>
            <w:r>
              <w:rPr>
                <w:rFonts w:ascii="Arial Narrow" w:hAnsi="Arial Narrow" w:eastAsiaTheme="minorEastAsia"/>
                <w:color w:val="000000"/>
                <w:szCs w:val="21"/>
              </w:rPr>
              <w:t>际华三五零九纺织有限公司</w:t>
            </w:r>
          </w:p>
        </w:tc>
        <w:tc>
          <w:tcPr>
            <w:tcW w:w="1192" w:type="pct"/>
            <w:vAlign w:val="center"/>
          </w:tcPr>
          <w:p w14:paraId="7171B6C5">
            <w:pPr>
              <w:jc w:val="right"/>
              <w:rPr>
                <w:rFonts w:ascii="Arial Narrow" w:hAnsi="Arial Narrow" w:eastAsiaTheme="minorEastAsia"/>
                <w:szCs w:val="21"/>
              </w:rPr>
            </w:pPr>
            <w:r>
              <w:rPr>
                <w:rFonts w:ascii="Arial Narrow" w:hAnsi="Arial Narrow" w:eastAsiaTheme="minorEastAsia"/>
                <w:color w:val="000000"/>
                <w:szCs w:val="21"/>
              </w:rPr>
              <w:t>17,497,432.37</w:t>
            </w:r>
          </w:p>
        </w:tc>
        <w:tc>
          <w:tcPr>
            <w:tcW w:w="1561" w:type="pct"/>
            <w:vAlign w:val="center"/>
          </w:tcPr>
          <w:p w14:paraId="327DA8CA">
            <w:pPr>
              <w:jc w:val="right"/>
              <w:rPr>
                <w:rFonts w:ascii="Arial Narrow" w:hAnsi="Arial Narrow" w:eastAsiaTheme="minorEastAsia"/>
                <w:szCs w:val="21"/>
              </w:rPr>
            </w:pPr>
            <w:r>
              <w:rPr>
                <w:rFonts w:ascii="Arial Narrow" w:hAnsi="Arial Narrow" w:eastAsiaTheme="minorEastAsia"/>
                <w:color w:val="000000"/>
                <w:szCs w:val="21"/>
              </w:rPr>
              <w:t>17,497,432.37</w:t>
            </w:r>
          </w:p>
        </w:tc>
      </w:tr>
      <w:tr w14:paraId="6C9C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1BF63B76">
            <w:pPr>
              <w:rPr>
                <w:rFonts w:ascii="Arial Narrow" w:hAnsi="Arial Narrow" w:eastAsiaTheme="minorEastAsia"/>
                <w:szCs w:val="21"/>
              </w:rPr>
            </w:pPr>
            <w:r>
              <w:rPr>
                <w:rFonts w:ascii="Arial Narrow" w:hAnsi="Arial Narrow" w:eastAsiaTheme="minorEastAsia"/>
                <w:color w:val="000000"/>
                <w:szCs w:val="21"/>
              </w:rPr>
              <w:t>际华三五四二纺织有限公司</w:t>
            </w:r>
          </w:p>
        </w:tc>
        <w:tc>
          <w:tcPr>
            <w:tcW w:w="1192" w:type="pct"/>
            <w:vAlign w:val="center"/>
          </w:tcPr>
          <w:p w14:paraId="5053DE14">
            <w:pPr>
              <w:jc w:val="right"/>
              <w:rPr>
                <w:rFonts w:ascii="Arial Narrow" w:hAnsi="Arial Narrow" w:eastAsiaTheme="minorEastAsia"/>
                <w:szCs w:val="21"/>
              </w:rPr>
            </w:pPr>
            <w:r>
              <w:rPr>
                <w:rFonts w:ascii="Arial Narrow" w:hAnsi="Arial Narrow" w:eastAsiaTheme="minorEastAsia"/>
                <w:color w:val="000000"/>
                <w:szCs w:val="21"/>
              </w:rPr>
              <w:t>162,627,445.24</w:t>
            </w:r>
          </w:p>
        </w:tc>
        <w:tc>
          <w:tcPr>
            <w:tcW w:w="1561" w:type="pct"/>
            <w:vAlign w:val="center"/>
          </w:tcPr>
          <w:p w14:paraId="3C7B98A8">
            <w:pPr>
              <w:jc w:val="right"/>
              <w:rPr>
                <w:rFonts w:ascii="Arial Narrow" w:hAnsi="Arial Narrow" w:eastAsiaTheme="minorEastAsia"/>
                <w:szCs w:val="21"/>
              </w:rPr>
            </w:pPr>
            <w:r>
              <w:rPr>
                <w:rFonts w:ascii="Arial Narrow" w:hAnsi="Arial Narrow" w:eastAsiaTheme="minorEastAsia"/>
                <w:color w:val="000000"/>
                <w:szCs w:val="21"/>
              </w:rPr>
              <w:t>162,627,445.24</w:t>
            </w:r>
          </w:p>
        </w:tc>
      </w:tr>
      <w:tr w14:paraId="6461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76C29F3B">
            <w:pPr>
              <w:rPr>
                <w:rFonts w:ascii="Arial Narrow" w:hAnsi="Arial Narrow" w:eastAsiaTheme="minorEastAsia"/>
                <w:szCs w:val="21"/>
              </w:rPr>
            </w:pPr>
            <w:r>
              <w:rPr>
                <w:rFonts w:ascii="Arial Narrow" w:hAnsi="Arial Narrow" w:eastAsiaTheme="minorEastAsia"/>
                <w:color w:val="000000"/>
                <w:szCs w:val="21"/>
              </w:rPr>
              <w:t>际华三五一三实业有限公司</w:t>
            </w:r>
          </w:p>
        </w:tc>
        <w:tc>
          <w:tcPr>
            <w:tcW w:w="1192" w:type="pct"/>
            <w:vAlign w:val="center"/>
          </w:tcPr>
          <w:p w14:paraId="23638FA0">
            <w:pPr>
              <w:jc w:val="right"/>
              <w:rPr>
                <w:rFonts w:ascii="Arial Narrow" w:hAnsi="Arial Narrow" w:eastAsiaTheme="minorEastAsia"/>
                <w:szCs w:val="21"/>
              </w:rPr>
            </w:pPr>
            <w:r>
              <w:rPr>
                <w:rFonts w:ascii="Arial Narrow" w:hAnsi="Arial Narrow" w:eastAsiaTheme="minorEastAsia"/>
                <w:color w:val="000000"/>
                <w:szCs w:val="21"/>
              </w:rPr>
              <w:t>8,080,806.74</w:t>
            </w:r>
          </w:p>
        </w:tc>
        <w:tc>
          <w:tcPr>
            <w:tcW w:w="1561" w:type="pct"/>
            <w:vAlign w:val="center"/>
          </w:tcPr>
          <w:p w14:paraId="3D89A3E6">
            <w:pPr>
              <w:jc w:val="right"/>
              <w:rPr>
                <w:rFonts w:ascii="Arial Narrow" w:hAnsi="Arial Narrow" w:eastAsiaTheme="minorEastAsia"/>
                <w:szCs w:val="21"/>
              </w:rPr>
            </w:pPr>
            <w:r>
              <w:rPr>
                <w:rFonts w:ascii="Arial Narrow" w:hAnsi="Arial Narrow" w:eastAsiaTheme="minorEastAsia"/>
                <w:color w:val="000000"/>
                <w:szCs w:val="21"/>
              </w:rPr>
              <w:t>8,080,806.74</w:t>
            </w:r>
          </w:p>
        </w:tc>
      </w:tr>
      <w:tr w14:paraId="0847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0596C4D">
            <w:pPr>
              <w:rPr>
                <w:rFonts w:ascii="Arial Narrow" w:hAnsi="Arial Narrow" w:eastAsiaTheme="minorEastAsia"/>
                <w:szCs w:val="21"/>
              </w:rPr>
            </w:pPr>
            <w:r>
              <w:rPr>
                <w:rFonts w:ascii="Arial Narrow" w:hAnsi="Arial Narrow" w:eastAsiaTheme="minorEastAsia"/>
                <w:color w:val="000000"/>
                <w:szCs w:val="21"/>
              </w:rPr>
              <w:t>际华三五一四制革制鞋有限公司</w:t>
            </w:r>
          </w:p>
        </w:tc>
        <w:tc>
          <w:tcPr>
            <w:tcW w:w="1192" w:type="pct"/>
            <w:vAlign w:val="center"/>
          </w:tcPr>
          <w:p w14:paraId="119C9DB8">
            <w:pPr>
              <w:jc w:val="right"/>
              <w:rPr>
                <w:rFonts w:ascii="Arial Narrow" w:hAnsi="Arial Narrow" w:eastAsiaTheme="minorEastAsia"/>
                <w:szCs w:val="21"/>
              </w:rPr>
            </w:pPr>
            <w:r>
              <w:rPr>
                <w:rFonts w:ascii="Arial Narrow" w:hAnsi="Arial Narrow" w:eastAsiaTheme="minorEastAsia"/>
                <w:color w:val="000000"/>
                <w:szCs w:val="21"/>
              </w:rPr>
              <w:t>6,618,750.00</w:t>
            </w:r>
          </w:p>
        </w:tc>
        <w:tc>
          <w:tcPr>
            <w:tcW w:w="1561" w:type="pct"/>
            <w:vAlign w:val="center"/>
          </w:tcPr>
          <w:p w14:paraId="405B43DB">
            <w:pPr>
              <w:jc w:val="right"/>
              <w:rPr>
                <w:rFonts w:ascii="Arial Narrow" w:hAnsi="Arial Narrow" w:eastAsiaTheme="minorEastAsia"/>
                <w:szCs w:val="21"/>
              </w:rPr>
            </w:pPr>
            <w:r>
              <w:rPr>
                <w:rFonts w:ascii="Arial Narrow" w:hAnsi="Arial Narrow" w:eastAsiaTheme="minorEastAsia"/>
                <w:color w:val="000000"/>
                <w:szCs w:val="21"/>
              </w:rPr>
              <w:t>6,618,750.00</w:t>
            </w:r>
          </w:p>
        </w:tc>
      </w:tr>
      <w:tr w14:paraId="30A3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0407999">
            <w:pPr>
              <w:rPr>
                <w:rFonts w:ascii="Arial Narrow" w:hAnsi="Arial Narrow" w:eastAsiaTheme="minorEastAsia"/>
                <w:szCs w:val="21"/>
              </w:rPr>
            </w:pPr>
            <w:r>
              <w:rPr>
                <w:rFonts w:ascii="Arial Narrow" w:hAnsi="Arial Narrow" w:eastAsiaTheme="minorEastAsia"/>
                <w:color w:val="000000"/>
                <w:szCs w:val="21"/>
              </w:rPr>
              <w:t>际华三五二二装具饰品有限公司</w:t>
            </w:r>
          </w:p>
        </w:tc>
        <w:tc>
          <w:tcPr>
            <w:tcW w:w="1192" w:type="pct"/>
            <w:vAlign w:val="center"/>
          </w:tcPr>
          <w:p w14:paraId="5485D4B2">
            <w:pPr>
              <w:jc w:val="right"/>
              <w:rPr>
                <w:rFonts w:ascii="Arial Narrow" w:hAnsi="Arial Narrow" w:eastAsiaTheme="minorEastAsia"/>
                <w:szCs w:val="21"/>
              </w:rPr>
            </w:pPr>
            <w:r>
              <w:rPr>
                <w:rFonts w:ascii="Arial Narrow" w:hAnsi="Arial Narrow" w:eastAsiaTheme="minorEastAsia"/>
                <w:color w:val="000000"/>
                <w:szCs w:val="21"/>
              </w:rPr>
              <w:t>82,634,022.41</w:t>
            </w:r>
          </w:p>
        </w:tc>
        <w:tc>
          <w:tcPr>
            <w:tcW w:w="1561" w:type="pct"/>
            <w:vAlign w:val="center"/>
          </w:tcPr>
          <w:p w14:paraId="2D3DA302">
            <w:pPr>
              <w:jc w:val="right"/>
              <w:rPr>
                <w:rFonts w:ascii="Arial Narrow" w:hAnsi="Arial Narrow" w:eastAsiaTheme="minorEastAsia"/>
                <w:szCs w:val="21"/>
              </w:rPr>
            </w:pPr>
            <w:r>
              <w:rPr>
                <w:rFonts w:ascii="Arial Narrow" w:hAnsi="Arial Narrow" w:eastAsiaTheme="minorEastAsia"/>
                <w:color w:val="000000"/>
                <w:szCs w:val="21"/>
              </w:rPr>
              <w:t>82,634,022.41</w:t>
            </w:r>
          </w:p>
        </w:tc>
      </w:tr>
      <w:tr w14:paraId="07FA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058990CB">
            <w:pPr>
              <w:rPr>
                <w:rFonts w:ascii="Arial Narrow" w:hAnsi="Arial Narrow" w:eastAsiaTheme="minorEastAsia"/>
                <w:szCs w:val="21"/>
              </w:rPr>
            </w:pPr>
            <w:r>
              <w:rPr>
                <w:rFonts w:ascii="Arial Narrow" w:hAnsi="Arial Narrow" w:eastAsiaTheme="minorEastAsia"/>
                <w:color w:val="000000"/>
                <w:szCs w:val="21"/>
              </w:rPr>
              <w:t>沈阳际华三五四七特种装具有限公司</w:t>
            </w:r>
          </w:p>
        </w:tc>
        <w:tc>
          <w:tcPr>
            <w:tcW w:w="1192" w:type="pct"/>
            <w:vAlign w:val="center"/>
          </w:tcPr>
          <w:p w14:paraId="0984718C">
            <w:pPr>
              <w:jc w:val="right"/>
              <w:rPr>
                <w:rFonts w:ascii="Arial Narrow" w:hAnsi="Arial Narrow" w:eastAsiaTheme="minorEastAsia"/>
                <w:szCs w:val="21"/>
              </w:rPr>
            </w:pPr>
            <w:r>
              <w:rPr>
                <w:rFonts w:ascii="Arial Narrow" w:hAnsi="Arial Narrow" w:eastAsiaTheme="minorEastAsia"/>
                <w:color w:val="000000"/>
                <w:szCs w:val="21"/>
              </w:rPr>
              <w:t>3,404,192.02</w:t>
            </w:r>
          </w:p>
        </w:tc>
        <w:tc>
          <w:tcPr>
            <w:tcW w:w="1561" w:type="pct"/>
            <w:vAlign w:val="center"/>
          </w:tcPr>
          <w:p w14:paraId="3904CB5F">
            <w:pPr>
              <w:jc w:val="right"/>
              <w:rPr>
                <w:rFonts w:ascii="Arial Narrow" w:hAnsi="Arial Narrow" w:eastAsiaTheme="minorEastAsia"/>
                <w:szCs w:val="21"/>
              </w:rPr>
            </w:pPr>
            <w:r>
              <w:rPr>
                <w:rFonts w:ascii="Arial Narrow" w:hAnsi="Arial Narrow" w:eastAsiaTheme="minorEastAsia"/>
                <w:color w:val="000000"/>
                <w:szCs w:val="21"/>
              </w:rPr>
              <w:t>3,404,192.02</w:t>
            </w:r>
          </w:p>
        </w:tc>
      </w:tr>
      <w:tr w14:paraId="22CD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45D11CFF">
            <w:pPr>
              <w:rPr>
                <w:rFonts w:ascii="Arial Narrow" w:hAnsi="Arial Narrow" w:eastAsiaTheme="minorEastAsia"/>
                <w:szCs w:val="21"/>
              </w:rPr>
            </w:pPr>
            <w:r>
              <w:rPr>
                <w:rFonts w:ascii="Arial Narrow" w:hAnsi="Arial Narrow" w:eastAsiaTheme="minorEastAsia"/>
                <w:color w:val="000000"/>
                <w:szCs w:val="21"/>
              </w:rPr>
              <w:t>岳阳际华置业有限公司</w:t>
            </w:r>
          </w:p>
        </w:tc>
        <w:tc>
          <w:tcPr>
            <w:tcW w:w="1192" w:type="pct"/>
            <w:vAlign w:val="center"/>
          </w:tcPr>
          <w:p w14:paraId="02524565">
            <w:pPr>
              <w:jc w:val="right"/>
              <w:rPr>
                <w:rFonts w:ascii="Arial Narrow" w:hAnsi="Arial Narrow" w:eastAsiaTheme="minorEastAsia"/>
                <w:szCs w:val="21"/>
              </w:rPr>
            </w:pPr>
            <w:r>
              <w:rPr>
                <w:rFonts w:ascii="Arial Narrow" w:hAnsi="Arial Narrow" w:eastAsiaTheme="minorEastAsia"/>
                <w:color w:val="000000"/>
                <w:szCs w:val="21"/>
              </w:rPr>
              <w:t>36,775,459.11</w:t>
            </w:r>
          </w:p>
        </w:tc>
        <w:tc>
          <w:tcPr>
            <w:tcW w:w="1561" w:type="pct"/>
            <w:vAlign w:val="center"/>
          </w:tcPr>
          <w:p w14:paraId="293CF69B">
            <w:pPr>
              <w:jc w:val="right"/>
              <w:rPr>
                <w:rFonts w:ascii="Arial Narrow" w:hAnsi="Arial Narrow" w:eastAsiaTheme="minorEastAsia"/>
                <w:szCs w:val="21"/>
              </w:rPr>
            </w:pPr>
            <w:r>
              <w:rPr>
                <w:rFonts w:ascii="Arial Narrow" w:hAnsi="Arial Narrow" w:eastAsiaTheme="minorEastAsia"/>
                <w:color w:val="000000"/>
                <w:szCs w:val="21"/>
              </w:rPr>
              <w:t>36,775,459.11</w:t>
            </w:r>
          </w:p>
        </w:tc>
      </w:tr>
      <w:tr w14:paraId="3BB9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79A0F867">
            <w:pPr>
              <w:rPr>
                <w:rFonts w:ascii="Arial Narrow" w:hAnsi="Arial Narrow" w:eastAsiaTheme="minorEastAsia"/>
                <w:szCs w:val="21"/>
              </w:rPr>
            </w:pPr>
            <w:r>
              <w:rPr>
                <w:rFonts w:ascii="Arial Narrow" w:hAnsi="Arial Narrow" w:eastAsiaTheme="minorEastAsia"/>
                <w:color w:val="000000"/>
                <w:szCs w:val="21"/>
              </w:rPr>
              <w:t>内蒙古际华森普利服装皮业有限公司</w:t>
            </w:r>
          </w:p>
        </w:tc>
        <w:tc>
          <w:tcPr>
            <w:tcW w:w="1192" w:type="pct"/>
            <w:vAlign w:val="center"/>
          </w:tcPr>
          <w:p w14:paraId="2F667843">
            <w:pPr>
              <w:jc w:val="right"/>
              <w:rPr>
                <w:rFonts w:ascii="Arial Narrow" w:hAnsi="Arial Narrow" w:eastAsiaTheme="minorEastAsia"/>
                <w:szCs w:val="21"/>
              </w:rPr>
            </w:pPr>
          </w:p>
        </w:tc>
        <w:tc>
          <w:tcPr>
            <w:tcW w:w="1561" w:type="pct"/>
            <w:vAlign w:val="center"/>
          </w:tcPr>
          <w:p w14:paraId="09206B19">
            <w:pPr>
              <w:jc w:val="right"/>
              <w:rPr>
                <w:rFonts w:ascii="Arial Narrow" w:hAnsi="Arial Narrow" w:eastAsiaTheme="minorEastAsia"/>
                <w:szCs w:val="21"/>
              </w:rPr>
            </w:pPr>
            <w:r>
              <w:rPr>
                <w:rFonts w:ascii="Arial Narrow" w:hAnsi="Arial Narrow" w:eastAsiaTheme="minorEastAsia"/>
                <w:color w:val="000000"/>
                <w:szCs w:val="21"/>
              </w:rPr>
              <w:t>5,000,000.00</w:t>
            </w:r>
          </w:p>
        </w:tc>
      </w:tr>
      <w:tr w14:paraId="1173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5CDD825A">
            <w:pPr>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1192" w:type="pct"/>
            <w:vAlign w:val="center"/>
          </w:tcPr>
          <w:p w14:paraId="38DE91E2">
            <w:pPr>
              <w:jc w:val="right"/>
              <w:rPr>
                <w:rFonts w:ascii="Arial Narrow" w:hAnsi="Arial Narrow" w:eastAsiaTheme="minorEastAsia"/>
                <w:szCs w:val="21"/>
              </w:rPr>
            </w:pPr>
            <w:r>
              <w:rPr>
                <w:rFonts w:ascii="Arial Narrow" w:hAnsi="Arial Narrow" w:eastAsiaTheme="minorEastAsia"/>
                <w:color w:val="000000"/>
                <w:szCs w:val="21"/>
              </w:rPr>
              <w:t>52,107,547.75</w:t>
            </w:r>
          </w:p>
        </w:tc>
        <w:tc>
          <w:tcPr>
            <w:tcW w:w="1561" w:type="pct"/>
            <w:vAlign w:val="center"/>
          </w:tcPr>
          <w:p w14:paraId="4D8F671D">
            <w:pPr>
              <w:jc w:val="right"/>
              <w:rPr>
                <w:rFonts w:ascii="Arial Narrow" w:hAnsi="Arial Narrow" w:eastAsiaTheme="minorEastAsia"/>
                <w:szCs w:val="21"/>
              </w:rPr>
            </w:pPr>
            <w:r>
              <w:rPr>
                <w:rFonts w:ascii="Arial Narrow" w:hAnsi="Arial Narrow" w:eastAsiaTheme="minorEastAsia"/>
                <w:color w:val="000000"/>
                <w:szCs w:val="21"/>
              </w:rPr>
              <w:t>52,590,000.00</w:t>
            </w:r>
          </w:p>
        </w:tc>
      </w:tr>
      <w:tr w14:paraId="4B76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tcPr>
          <w:p w14:paraId="4FDA6B5A">
            <w:pPr>
              <w:rPr>
                <w:rFonts w:ascii="Arial Narrow" w:hAnsi="Arial Narrow" w:eastAsiaTheme="minorEastAsia"/>
                <w:szCs w:val="21"/>
              </w:rPr>
            </w:pPr>
            <w:r>
              <w:rPr>
                <w:rFonts w:ascii="Arial Narrow" w:hAnsi="Arial Narrow" w:eastAsiaTheme="minorEastAsia"/>
                <w:color w:val="000000"/>
                <w:szCs w:val="21"/>
              </w:rPr>
              <w:t>际华三五三四制衣有限公司</w:t>
            </w:r>
          </w:p>
        </w:tc>
        <w:tc>
          <w:tcPr>
            <w:tcW w:w="1192" w:type="pct"/>
            <w:vAlign w:val="center"/>
          </w:tcPr>
          <w:p w14:paraId="09554CB1">
            <w:pPr>
              <w:jc w:val="right"/>
              <w:rPr>
                <w:rFonts w:ascii="Arial Narrow" w:hAnsi="Arial Narrow" w:eastAsiaTheme="minorEastAsia"/>
                <w:szCs w:val="21"/>
              </w:rPr>
            </w:pPr>
          </w:p>
        </w:tc>
        <w:tc>
          <w:tcPr>
            <w:tcW w:w="1561" w:type="pct"/>
            <w:vAlign w:val="center"/>
          </w:tcPr>
          <w:p w14:paraId="286BD27B">
            <w:pPr>
              <w:jc w:val="right"/>
              <w:rPr>
                <w:rFonts w:ascii="Arial Narrow" w:hAnsi="Arial Narrow" w:eastAsiaTheme="minorEastAsia"/>
                <w:szCs w:val="21"/>
              </w:rPr>
            </w:pPr>
            <w:r>
              <w:rPr>
                <w:rFonts w:ascii="Arial Narrow" w:hAnsi="Arial Narrow" w:eastAsiaTheme="minorEastAsia"/>
                <w:color w:val="000000"/>
                <w:szCs w:val="21"/>
              </w:rPr>
              <w:t>173,208.49</w:t>
            </w:r>
          </w:p>
        </w:tc>
      </w:tr>
      <w:tr w14:paraId="26D2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6" w:type="pct"/>
            <w:vAlign w:val="center"/>
          </w:tcPr>
          <w:p w14:paraId="1B5BC852">
            <w:pPr>
              <w:jc w:val="center"/>
              <w:rPr>
                <w:rFonts w:ascii="Arial Narrow" w:hAnsi="Arial Narrow" w:eastAsiaTheme="minorEastAsia"/>
                <w:szCs w:val="21"/>
              </w:rPr>
            </w:pPr>
            <w:r>
              <w:rPr>
                <w:rFonts w:ascii="Arial Narrow" w:hAnsi="Arial Narrow" w:eastAsiaTheme="minorEastAsia"/>
                <w:szCs w:val="21"/>
              </w:rPr>
              <w:t>合计</w:t>
            </w:r>
          </w:p>
        </w:tc>
        <w:tc>
          <w:tcPr>
            <w:tcW w:w="1192" w:type="pct"/>
            <w:vAlign w:val="center"/>
          </w:tcPr>
          <w:p w14:paraId="2B20B90C">
            <w:pPr>
              <w:jc w:val="right"/>
              <w:rPr>
                <w:rFonts w:ascii="Arial Narrow" w:hAnsi="Arial Narrow" w:eastAsiaTheme="minorEastAsia"/>
                <w:szCs w:val="21"/>
              </w:rPr>
            </w:pPr>
            <w:r>
              <w:rPr>
                <w:rFonts w:ascii="Arial Narrow" w:hAnsi="Arial Narrow" w:eastAsiaTheme="minorEastAsia"/>
                <w:color w:val="000000"/>
                <w:szCs w:val="21"/>
              </w:rPr>
              <w:t>371,931,182.43</w:t>
            </w:r>
          </w:p>
        </w:tc>
        <w:tc>
          <w:tcPr>
            <w:tcW w:w="1561" w:type="pct"/>
            <w:vAlign w:val="center"/>
          </w:tcPr>
          <w:p w14:paraId="2167D13C">
            <w:pPr>
              <w:jc w:val="right"/>
              <w:rPr>
                <w:rFonts w:ascii="Arial Narrow" w:hAnsi="Arial Narrow" w:eastAsiaTheme="minorEastAsia"/>
                <w:szCs w:val="21"/>
              </w:rPr>
            </w:pPr>
            <w:r>
              <w:rPr>
                <w:rFonts w:ascii="Arial Narrow" w:hAnsi="Arial Narrow" w:eastAsiaTheme="minorEastAsia"/>
                <w:color w:val="000000"/>
                <w:szCs w:val="21"/>
              </w:rPr>
              <w:t>377,586,843.17</w:t>
            </w:r>
          </w:p>
        </w:tc>
      </w:tr>
    </w:tbl>
    <w:p w14:paraId="7CAC4B75">
      <w:pPr>
        <w:rPr>
          <w:rFonts w:hint="eastAsia"/>
          <w:szCs w:val="21"/>
        </w:rPr>
      </w:pPr>
    </w:p>
    <w:p w14:paraId="16540EFA">
      <w:pPr>
        <w:rPr>
          <w:rFonts w:hint="eastAsia"/>
          <w:szCs w:val="21"/>
        </w:rPr>
      </w:pPr>
    </w:p>
    <w:bookmarkEnd w:id="424"/>
    <w:p w14:paraId="78D7B0A0">
      <w:pPr>
        <w:pStyle w:val="72"/>
        <w:numPr>
          <w:ilvl w:val="0"/>
          <w:numId w:val="177"/>
        </w:numPr>
        <w:ind w:leftChars="0"/>
      </w:pPr>
      <w:bookmarkStart w:id="425" w:name="_Hlk533797316"/>
      <w:r>
        <w:rPr>
          <w:rFonts w:hint="eastAsia"/>
        </w:rPr>
        <w:t>重要的账龄超过1年的应收股利</w:t>
      </w:r>
    </w:p>
    <w:sdt>
      <w:sdtPr>
        <w:rPr>
          <w:szCs w:val="21"/>
        </w:rPr>
        <w:alias w:val="是否适用：母公司重要的账龄超过1年的应收股利[双击切换]"/>
        <w:tag w:val="_GBC_70eb463d08894908bb104ae0b258e76e"/>
        <w:id w:val="-2041583099"/>
        <w:placeholder>
          <w:docPart w:val="GBC22222222222222222222222222222"/>
        </w:placeholder>
      </w:sdtPr>
      <w:sdtEndPr>
        <w:rPr>
          <w:szCs w:val="21"/>
        </w:rPr>
      </w:sdtEndPr>
      <w:sdtContent>
        <w:p w14:paraId="059FE456">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07749B">
      <w:pPr>
        <w:jc w:val="right"/>
        <w:rPr>
          <w:rFonts w:hint="eastAsia"/>
          <w:szCs w:val="21"/>
        </w:rPr>
      </w:pPr>
      <w:r>
        <w:rPr>
          <w:rFonts w:hint="eastAsia"/>
          <w:szCs w:val="21"/>
        </w:rPr>
        <w:t>单位：</w:t>
      </w:r>
      <w:sdt>
        <w:sdtPr>
          <w:rPr>
            <w:rFonts w:hint="eastAsia"/>
            <w:szCs w:val="21"/>
          </w:rPr>
          <w:alias w:val="单位：母公司重要的账龄超过1年的应收股利"/>
          <w:tag w:val="_GBC_ccc4a2afec8d4488ab43babfe7e83619"/>
          <w:id w:val="9009459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重要的账龄超过1年的应收股利"/>
          <w:tag w:val="_GBC_bd16cf0b9b1a44b6856a497f931a1f6d"/>
          <w:id w:val="-5848477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30" w:type="dxa"/>
          <w:bottom w:w="0" w:type="dxa"/>
          <w:right w:w="30" w:type="dxa"/>
        </w:tblCellMar>
      </w:tblPr>
      <w:tblGrid>
        <w:gridCol w:w="2826"/>
        <w:gridCol w:w="1561"/>
        <w:gridCol w:w="1275"/>
        <w:gridCol w:w="1561"/>
        <w:gridCol w:w="1594"/>
      </w:tblGrid>
      <w:tr w14:paraId="59D0D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sdt>
          <w:sdtPr>
            <w:rPr>
              <w:rFonts w:ascii="Arial Narrow" w:hAnsi="Arial Narrow" w:eastAsiaTheme="minorEastAsia"/>
              <w:szCs w:val="21"/>
            </w:rPr>
            <w:tag w:val="_PLD_82c13b35472942129850199145046d38"/>
            <w:id w:val="884135460"/>
          </w:sdtPr>
          <w:sdtEndPr>
            <w:rPr>
              <w:rFonts w:ascii="Arial Narrow" w:hAnsi="Arial Narrow" w:eastAsiaTheme="minorEastAsia"/>
              <w:szCs w:val="21"/>
            </w:rPr>
          </w:sdtEndPr>
          <w:sdtContent>
            <w:tc>
              <w:tcPr>
                <w:tcW w:w="1603" w:type="pct"/>
                <w:vAlign w:val="center"/>
              </w:tcPr>
              <w:p w14:paraId="788988FA">
                <w:pPr>
                  <w:autoSpaceDE w:val="0"/>
                  <w:autoSpaceDN w:val="0"/>
                  <w:adjustRightInd w:val="0"/>
                  <w:snapToGrid w:val="0"/>
                  <w:spacing w:line="240" w:lineRule="atLeast"/>
                  <w:jc w:val="center"/>
                  <w:rPr>
                    <w:rFonts w:ascii="Arial Narrow" w:hAnsi="Arial Narrow" w:eastAsiaTheme="minorEastAsia"/>
                    <w:szCs w:val="21"/>
                  </w:rPr>
                </w:pPr>
                <w:bookmarkStart w:id="426" w:name="_Hlk153790907"/>
                <w:bookmarkStart w:id="427" w:name="_Hlk154150045"/>
                <w:r>
                  <w:rPr>
                    <w:rFonts w:ascii="Arial Narrow" w:hAnsi="Arial Narrow" w:eastAsiaTheme="minorEastAsia"/>
                    <w:szCs w:val="21"/>
                  </w:rPr>
                  <w:t>项目(或被投资单位)</w:t>
                </w:r>
              </w:p>
            </w:tc>
          </w:sdtContent>
        </w:sdt>
        <w:sdt>
          <w:sdtPr>
            <w:rPr>
              <w:rFonts w:ascii="Arial Narrow" w:hAnsi="Arial Narrow" w:eastAsiaTheme="minorEastAsia"/>
              <w:szCs w:val="21"/>
            </w:rPr>
            <w:tag w:val="_PLD_79cf13728bc94cd5884047052a61d32d"/>
            <w:id w:val="-1759982283"/>
          </w:sdtPr>
          <w:sdtEndPr>
            <w:rPr>
              <w:rFonts w:ascii="Arial Narrow" w:hAnsi="Arial Narrow" w:eastAsiaTheme="minorEastAsia"/>
              <w:szCs w:val="21"/>
            </w:rPr>
          </w:sdtEndPr>
          <w:sdtContent>
            <w:tc>
              <w:tcPr>
                <w:tcW w:w="885" w:type="pct"/>
                <w:tcBorders>
                  <w:right w:val="single" w:color="auto" w:sz="4" w:space="0"/>
                </w:tcBorders>
                <w:vAlign w:val="center"/>
              </w:tcPr>
              <w:p w14:paraId="4F58DCC6">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szCs w:val="21"/>
            </w:rPr>
            <w:tag w:val="_PLD_41fc8f50a28f42b78d1d3d42751a1f29"/>
            <w:id w:val="-1051842575"/>
          </w:sdtPr>
          <w:sdtEndPr>
            <w:rPr>
              <w:rFonts w:ascii="Arial Narrow" w:hAnsi="Arial Narrow" w:eastAsiaTheme="minorEastAsia"/>
              <w:szCs w:val="21"/>
            </w:rPr>
          </w:sdtEndPr>
          <w:sdtContent>
            <w:tc>
              <w:tcPr>
                <w:tcW w:w="723" w:type="pct"/>
                <w:tcBorders>
                  <w:left w:val="single" w:color="auto" w:sz="4" w:space="0"/>
                </w:tcBorders>
                <w:vAlign w:val="center"/>
              </w:tcPr>
              <w:p w14:paraId="1F1A7ECF">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账龄</w:t>
                </w:r>
              </w:p>
            </w:tc>
          </w:sdtContent>
        </w:sdt>
        <w:sdt>
          <w:sdtPr>
            <w:rPr>
              <w:rFonts w:ascii="Arial Narrow" w:hAnsi="Arial Narrow" w:eastAsiaTheme="minorEastAsia"/>
              <w:szCs w:val="21"/>
            </w:rPr>
            <w:tag w:val="_PLD_945188cd24444b8594a060ccb8860236"/>
            <w:id w:val="-1486151122"/>
          </w:sdtPr>
          <w:sdtEndPr>
            <w:rPr>
              <w:rFonts w:ascii="Arial Narrow" w:hAnsi="Arial Narrow" w:eastAsiaTheme="minorEastAsia"/>
              <w:szCs w:val="21"/>
            </w:rPr>
          </w:sdtEndPr>
          <w:sdtContent>
            <w:tc>
              <w:tcPr>
                <w:tcW w:w="885" w:type="pct"/>
                <w:vAlign w:val="center"/>
              </w:tcPr>
              <w:p w14:paraId="567F8DBC">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未收回的原因</w:t>
                </w:r>
              </w:p>
            </w:tc>
          </w:sdtContent>
        </w:sdt>
        <w:sdt>
          <w:sdtPr>
            <w:rPr>
              <w:rFonts w:ascii="Arial Narrow" w:hAnsi="Arial Narrow" w:eastAsiaTheme="minorEastAsia"/>
              <w:szCs w:val="21"/>
            </w:rPr>
            <w:tag w:val="_PLD_c42a64998ea641eda9978bc541038083"/>
            <w:id w:val="-1717504991"/>
          </w:sdtPr>
          <w:sdtEndPr>
            <w:rPr>
              <w:rFonts w:ascii="Arial Narrow" w:hAnsi="Arial Narrow" w:eastAsiaTheme="minorEastAsia"/>
              <w:szCs w:val="21"/>
            </w:rPr>
          </w:sdtEndPr>
          <w:sdtContent>
            <w:tc>
              <w:tcPr>
                <w:tcW w:w="904" w:type="pct"/>
                <w:vAlign w:val="center"/>
              </w:tcPr>
              <w:p w14:paraId="766D4A86">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是否发生减值及其判断依据</w:t>
                </w:r>
              </w:p>
            </w:tc>
          </w:sdtContent>
        </w:sdt>
      </w:tr>
      <w:tr w14:paraId="15FD5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3D23D5E3">
            <w:pPr>
              <w:rPr>
                <w:rFonts w:ascii="Arial Narrow" w:hAnsi="Arial Narrow" w:eastAsiaTheme="minorEastAsia"/>
                <w:szCs w:val="21"/>
              </w:rPr>
            </w:pPr>
            <w:r>
              <w:rPr>
                <w:rFonts w:ascii="Arial Narrow" w:hAnsi="Arial Narrow" w:eastAsiaTheme="minorEastAsia"/>
                <w:color w:val="000000"/>
                <w:szCs w:val="21"/>
              </w:rPr>
              <w:t>新兴际华投资有限公司</w:t>
            </w:r>
          </w:p>
        </w:tc>
        <w:tc>
          <w:tcPr>
            <w:tcW w:w="885" w:type="pct"/>
            <w:tcBorders>
              <w:right w:val="single" w:color="auto" w:sz="4" w:space="0"/>
            </w:tcBorders>
            <w:vAlign w:val="center"/>
          </w:tcPr>
          <w:p w14:paraId="22D12DD9">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44,854,927.40</w:t>
            </w:r>
          </w:p>
        </w:tc>
        <w:tc>
          <w:tcPr>
            <w:tcW w:w="723" w:type="pct"/>
            <w:tcBorders>
              <w:left w:val="single" w:color="auto" w:sz="4" w:space="0"/>
            </w:tcBorders>
            <w:vAlign w:val="center"/>
          </w:tcPr>
          <w:p w14:paraId="4DD8A324">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2-3年</w:t>
            </w:r>
          </w:p>
        </w:tc>
        <w:tc>
          <w:tcPr>
            <w:tcW w:w="885" w:type="pct"/>
            <w:vAlign w:val="center"/>
          </w:tcPr>
          <w:p w14:paraId="0AF77698">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color w:val="000000"/>
                <w:szCs w:val="21"/>
              </w:rPr>
              <w:t>尚未发放</w:t>
            </w:r>
          </w:p>
        </w:tc>
        <w:tc>
          <w:tcPr>
            <w:tcW w:w="904" w:type="pct"/>
            <w:vAlign w:val="center"/>
          </w:tcPr>
          <w:p w14:paraId="528D68E1">
            <w:pPr>
              <w:autoSpaceDE w:val="0"/>
              <w:autoSpaceDN w:val="0"/>
              <w:adjustRightInd w:val="0"/>
              <w:snapToGrid w:val="0"/>
              <w:spacing w:line="240" w:lineRule="atLeast"/>
              <w:jc w:val="center"/>
              <w:rPr>
                <w:rFonts w:ascii="Arial Narrow" w:hAnsi="Arial Narrow" w:eastAsiaTheme="minorEastAsia"/>
                <w:color w:val="008000"/>
                <w:szCs w:val="21"/>
              </w:rPr>
            </w:pPr>
            <w:r>
              <w:rPr>
                <w:rFonts w:ascii="Arial Narrow" w:hAnsi="Arial Narrow" w:eastAsiaTheme="minorEastAsia"/>
                <w:color w:val="000000"/>
                <w:szCs w:val="21"/>
              </w:rPr>
              <w:t>否</w:t>
            </w:r>
          </w:p>
        </w:tc>
      </w:tr>
      <w:tr w14:paraId="6E214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3381F304">
            <w:pPr>
              <w:rPr>
                <w:rFonts w:ascii="Arial Narrow" w:hAnsi="Arial Narrow" w:eastAsiaTheme="minorEastAsia"/>
                <w:szCs w:val="21"/>
              </w:rPr>
            </w:pPr>
            <w:r>
              <w:rPr>
                <w:rFonts w:ascii="Arial Narrow" w:hAnsi="Arial Narrow" w:eastAsiaTheme="minorEastAsia"/>
                <w:szCs w:val="21"/>
              </w:rPr>
              <w:t>际华三五四二纺织有限公司</w:t>
            </w:r>
          </w:p>
        </w:tc>
        <w:tc>
          <w:tcPr>
            <w:tcW w:w="885" w:type="pct"/>
            <w:tcBorders>
              <w:right w:val="single" w:color="auto" w:sz="4" w:space="0"/>
            </w:tcBorders>
            <w:vAlign w:val="center"/>
          </w:tcPr>
          <w:p w14:paraId="1B54B2E0">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162,627,445.24</w:t>
            </w:r>
          </w:p>
        </w:tc>
        <w:tc>
          <w:tcPr>
            <w:tcW w:w="723" w:type="pct"/>
            <w:tcBorders>
              <w:left w:val="single" w:color="auto" w:sz="4" w:space="0"/>
            </w:tcBorders>
            <w:vAlign w:val="center"/>
          </w:tcPr>
          <w:p w14:paraId="1B5F0DB9">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2-3年，5年以上</w:t>
            </w:r>
          </w:p>
        </w:tc>
        <w:tc>
          <w:tcPr>
            <w:tcW w:w="885" w:type="pct"/>
            <w:vAlign w:val="center"/>
          </w:tcPr>
          <w:p w14:paraId="289E3D96">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59AD72FD">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16865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0E09A0B4">
            <w:pPr>
              <w:rPr>
                <w:rFonts w:ascii="Arial Narrow" w:hAnsi="Arial Narrow" w:eastAsiaTheme="minorEastAsia"/>
                <w:szCs w:val="21"/>
              </w:rPr>
            </w:pPr>
            <w:r>
              <w:rPr>
                <w:rFonts w:ascii="Arial Narrow" w:hAnsi="Arial Narrow" w:eastAsiaTheme="minorEastAsia"/>
                <w:szCs w:val="21"/>
              </w:rPr>
              <w:t>际华三五二二装具饰品有限公司</w:t>
            </w:r>
          </w:p>
        </w:tc>
        <w:tc>
          <w:tcPr>
            <w:tcW w:w="885" w:type="pct"/>
            <w:tcBorders>
              <w:right w:val="single" w:color="auto" w:sz="4" w:space="0"/>
            </w:tcBorders>
            <w:vAlign w:val="center"/>
          </w:tcPr>
          <w:p w14:paraId="2266DA5B">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82,634,022.41</w:t>
            </w:r>
          </w:p>
        </w:tc>
        <w:tc>
          <w:tcPr>
            <w:tcW w:w="723" w:type="pct"/>
            <w:tcBorders>
              <w:left w:val="single" w:color="auto" w:sz="4" w:space="0"/>
            </w:tcBorders>
            <w:vAlign w:val="center"/>
          </w:tcPr>
          <w:p w14:paraId="5ED39B0A">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3-4年，5年以上</w:t>
            </w:r>
          </w:p>
        </w:tc>
        <w:tc>
          <w:tcPr>
            <w:tcW w:w="885" w:type="pct"/>
            <w:vAlign w:val="center"/>
          </w:tcPr>
          <w:p w14:paraId="76EFC17F">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66DF106F">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732EA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39C5B1B0">
            <w:pPr>
              <w:rPr>
                <w:rFonts w:ascii="Arial Narrow" w:hAnsi="Arial Narrow" w:eastAsiaTheme="minorEastAsia"/>
                <w:szCs w:val="21"/>
              </w:rPr>
            </w:pPr>
            <w:r>
              <w:rPr>
                <w:rFonts w:ascii="Arial Narrow" w:hAnsi="Arial Narrow" w:eastAsiaTheme="minorEastAsia"/>
                <w:szCs w:val="21"/>
              </w:rPr>
              <w:t>岳阳际华置业有限公司</w:t>
            </w:r>
          </w:p>
        </w:tc>
        <w:tc>
          <w:tcPr>
            <w:tcW w:w="885" w:type="pct"/>
            <w:tcBorders>
              <w:right w:val="single" w:color="auto" w:sz="4" w:space="0"/>
            </w:tcBorders>
            <w:vAlign w:val="center"/>
          </w:tcPr>
          <w:p w14:paraId="703E85BA">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36,775,459.11</w:t>
            </w:r>
          </w:p>
        </w:tc>
        <w:tc>
          <w:tcPr>
            <w:tcW w:w="723" w:type="pct"/>
            <w:tcBorders>
              <w:left w:val="single" w:color="auto" w:sz="4" w:space="0"/>
            </w:tcBorders>
            <w:vAlign w:val="center"/>
          </w:tcPr>
          <w:p w14:paraId="299D13C7">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3-5年</w:t>
            </w:r>
          </w:p>
        </w:tc>
        <w:tc>
          <w:tcPr>
            <w:tcW w:w="885" w:type="pct"/>
            <w:vAlign w:val="center"/>
          </w:tcPr>
          <w:p w14:paraId="0A0C7FA7">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1C89F2A7">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6290B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5EE3368B">
            <w:pPr>
              <w:rPr>
                <w:rFonts w:ascii="Arial Narrow" w:hAnsi="Arial Narrow" w:eastAsiaTheme="minorEastAsia"/>
                <w:szCs w:val="21"/>
              </w:rPr>
            </w:pPr>
            <w:r>
              <w:rPr>
                <w:rFonts w:ascii="Arial Narrow" w:hAnsi="Arial Narrow" w:eastAsiaTheme="minorEastAsia"/>
                <w:szCs w:val="21"/>
              </w:rPr>
              <w:t>际华三五零九纺织有限公司</w:t>
            </w:r>
          </w:p>
        </w:tc>
        <w:tc>
          <w:tcPr>
            <w:tcW w:w="885" w:type="pct"/>
            <w:tcBorders>
              <w:right w:val="single" w:color="auto" w:sz="4" w:space="0"/>
            </w:tcBorders>
            <w:vAlign w:val="center"/>
          </w:tcPr>
          <w:p w14:paraId="4DB05F84">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17,497,432.37</w:t>
            </w:r>
          </w:p>
        </w:tc>
        <w:tc>
          <w:tcPr>
            <w:tcW w:w="723" w:type="pct"/>
            <w:tcBorders>
              <w:left w:val="single" w:color="auto" w:sz="4" w:space="0"/>
            </w:tcBorders>
            <w:vAlign w:val="center"/>
          </w:tcPr>
          <w:p w14:paraId="024D2FD0">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5年以上</w:t>
            </w:r>
          </w:p>
        </w:tc>
        <w:tc>
          <w:tcPr>
            <w:tcW w:w="885" w:type="pct"/>
            <w:vAlign w:val="center"/>
          </w:tcPr>
          <w:p w14:paraId="662FDE68">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55741D30">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2CB3A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63CB28F7">
            <w:pPr>
              <w:rPr>
                <w:rFonts w:ascii="Arial Narrow" w:hAnsi="Arial Narrow" w:eastAsiaTheme="minorEastAsia"/>
                <w:szCs w:val="21"/>
              </w:rPr>
            </w:pPr>
            <w:r>
              <w:rPr>
                <w:rFonts w:ascii="Arial Narrow" w:hAnsi="Arial Narrow" w:eastAsiaTheme="minorEastAsia"/>
                <w:szCs w:val="21"/>
              </w:rPr>
              <w:t>际华三五零二职业装有限公司</w:t>
            </w:r>
          </w:p>
        </w:tc>
        <w:tc>
          <w:tcPr>
            <w:tcW w:w="885" w:type="pct"/>
            <w:tcBorders>
              <w:right w:val="single" w:color="auto" w:sz="4" w:space="0"/>
            </w:tcBorders>
            <w:vAlign w:val="center"/>
          </w:tcPr>
          <w:p w14:paraId="03EF809F">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2,185,526.79</w:t>
            </w:r>
          </w:p>
        </w:tc>
        <w:tc>
          <w:tcPr>
            <w:tcW w:w="723" w:type="pct"/>
            <w:tcBorders>
              <w:left w:val="single" w:color="auto" w:sz="4" w:space="0"/>
            </w:tcBorders>
            <w:vAlign w:val="center"/>
          </w:tcPr>
          <w:p w14:paraId="16261507">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3-4年，5年以上</w:t>
            </w:r>
          </w:p>
        </w:tc>
        <w:tc>
          <w:tcPr>
            <w:tcW w:w="885" w:type="pct"/>
            <w:vAlign w:val="center"/>
          </w:tcPr>
          <w:p w14:paraId="4E016909">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272760A7">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2B560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04048E66">
            <w:pPr>
              <w:rPr>
                <w:rFonts w:ascii="Arial Narrow" w:hAnsi="Arial Narrow" w:eastAsiaTheme="minorEastAsia"/>
                <w:szCs w:val="21"/>
              </w:rPr>
            </w:pPr>
            <w:r>
              <w:rPr>
                <w:rFonts w:ascii="Arial Narrow" w:hAnsi="Arial Narrow" w:eastAsiaTheme="minorEastAsia"/>
                <w:szCs w:val="21"/>
              </w:rPr>
              <w:t>际华三五一三实业有限公司</w:t>
            </w:r>
          </w:p>
        </w:tc>
        <w:tc>
          <w:tcPr>
            <w:tcW w:w="885" w:type="pct"/>
            <w:tcBorders>
              <w:right w:val="single" w:color="auto" w:sz="4" w:space="0"/>
            </w:tcBorders>
            <w:vAlign w:val="center"/>
          </w:tcPr>
          <w:p w14:paraId="3DD78B43">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8,080,806.74</w:t>
            </w:r>
          </w:p>
        </w:tc>
        <w:tc>
          <w:tcPr>
            <w:tcW w:w="723" w:type="pct"/>
            <w:tcBorders>
              <w:left w:val="single" w:color="auto" w:sz="4" w:space="0"/>
            </w:tcBorders>
            <w:vAlign w:val="center"/>
          </w:tcPr>
          <w:p w14:paraId="110669A0">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4-5年</w:t>
            </w:r>
          </w:p>
        </w:tc>
        <w:tc>
          <w:tcPr>
            <w:tcW w:w="885" w:type="pct"/>
            <w:vAlign w:val="center"/>
          </w:tcPr>
          <w:p w14:paraId="3E0EE243">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5C0AF496">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3870C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1F3B22FD">
            <w:pPr>
              <w:rPr>
                <w:rFonts w:ascii="Arial Narrow" w:hAnsi="Arial Narrow" w:eastAsiaTheme="minorEastAsia"/>
                <w:szCs w:val="21"/>
              </w:rPr>
            </w:pPr>
            <w:r>
              <w:rPr>
                <w:rFonts w:ascii="Arial Narrow" w:hAnsi="Arial Narrow" w:eastAsiaTheme="minorEastAsia"/>
                <w:szCs w:val="21"/>
              </w:rPr>
              <w:t>际华三五一四制革制鞋有限公司</w:t>
            </w:r>
          </w:p>
        </w:tc>
        <w:tc>
          <w:tcPr>
            <w:tcW w:w="885" w:type="pct"/>
            <w:tcBorders>
              <w:right w:val="single" w:color="auto" w:sz="4" w:space="0"/>
            </w:tcBorders>
            <w:vAlign w:val="center"/>
          </w:tcPr>
          <w:p w14:paraId="3ABA088C">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szCs w:val="21"/>
              </w:rPr>
              <w:t>6,618,750.00</w:t>
            </w:r>
          </w:p>
        </w:tc>
        <w:tc>
          <w:tcPr>
            <w:tcW w:w="723" w:type="pct"/>
            <w:tcBorders>
              <w:left w:val="single" w:color="auto" w:sz="4" w:space="0"/>
            </w:tcBorders>
            <w:vAlign w:val="center"/>
          </w:tcPr>
          <w:p w14:paraId="0DE6A506">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5年以上</w:t>
            </w:r>
          </w:p>
        </w:tc>
        <w:tc>
          <w:tcPr>
            <w:tcW w:w="885" w:type="pct"/>
            <w:vAlign w:val="center"/>
          </w:tcPr>
          <w:p w14:paraId="64559990">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42F126F8">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31735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58F6893B">
            <w:pPr>
              <w:rPr>
                <w:rFonts w:ascii="Arial Narrow" w:hAnsi="Arial Narrow" w:eastAsiaTheme="minorEastAsia"/>
                <w:szCs w:val="21"/>
              </w:rPr>
            </w:pPr>
            <w:r>
              <w:rPr>
                <w:rFonts w:ascii="Arial Narrow" w:hAnsi="Arial Narrow" w:eastAsiaTheme="minorEastAsia"/>
                <w:szCs w:val="21"/>
              </w:rPr>
              <w:t>沈阳际华三五四七特种装具有限公司</w:t>
            </w:r>
          </w:p>
        </w:tc>
        <w:tc>
          <w:tcPr>
            <w:tcW w:w="885" w:type="pct"/>
            <w:tcBorders>
              <w:right w:val="single" w:color="auto" w:sz="4" w:space="0"/>
            </w:tcBorders>
            <w:vAlign w:val="center"/>
          </w:tcPr>
          <w:p w14:paraId="04FB844A">
            <w:pPr>
              <w:autoSpaceDE w:val="0"/>
              <w:autoSpaceDN w:val="0"/>
              <w:adjustRightInd w:val="0"/>
              <w:snapToGrid w:val="0"/>
              <w:spacing w:line="240" w:lineRule="atLeast"/>
              <w:jc w:val="right"/>
              <w:rPr>
                <w:rFonts w:ascii="Arial Narrow" w:hAnsi="Arial Narrow" w:eastAsiaTheme="minorEastAsia"/>
                <w:szCs w:val="21"/>
              </w:rPr>
            </w:pPr>
            <w:r>
              <w:rPr>
                <w:rFonts w:ascii="Arial Narrow" w:hAnsi="Arial Narrow" w:eastAsiaTheme="minorEastAsia"/>
                <w:color w:val="000000"/>
                <w:szCs w:val="21"/>
              </w:rPr>
              <w:t>3,404,192.02</w:t>
            </w:r>
          </w:p>
        </w:tc>
        <w:tc>
          <w:tcPr>
            <w:tcW w:w="723" w:type="pct"/>
            <w:tcBorders>
              <w:left w:val="single" w:color="auto" w:sz="4" w:space="0"/>
            </w:tcBorders>
            <w:vAlign w:val="center"/>
          </w:tcPr>
          <w:p w14:paraId="400EB4EB">
            <w:pPr>
              <w:autoSpaceDE w:val="0"/>
              <w:autoSpaceDN w:val="0"/>
              <w:adjustRightInd w:val="0"/>
              <w:snapToGrid w:val="0"/>
              <w:spacing w:line="240" w:lineRule="atLeast"/>
              <w:ind w:right="105" w:rightChars="50"/>
              <w:jc w:val="center"/>
              <w:rPr>
                <w:rFonts w:ascii="Arial Narrow" w:hAnsi="Arial Narrow" w:eastAsiaTheme="minorEastAsia"/>
                <w:szCs w:val="21"/>
              </w:rPr>
            </w:pPr>
            <w:r>
              <w:rPr>
                <w:rFonts w:ascii="Arial Narrow" w:hAnsi="Arial Narrow" w:eastAsiaTheme="minorEastAsia"/>
                <w:color w:val="000000"/>
                <w:szCs w:val="21"/>
              </w:rPr>
              <w:t>5年以上</w:t>
            </w:r>
          </w:p>
        </w:tc>
        <w:tc>
          <w:tcPr>
            <w:tcW w:w="885" w:type="pct"/>
            <w:vAlign w:val="center"/>
          </w:tcPr>
          <w:p w14:paraId="0F3F7164">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尚未发放</w:t>
            </w:r>
          </w:p>
        </w:tc>
        <w:tc>
          <w:tcPr>
            <w:tcW w:w="904" w:type="pct"/>
            <w:vAlign w:val="center"/>
          </w:tcPr>
          <w:p w14:paraId="0FEDD0E3">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否</w:t>
            </w:r>
          </w:p>
        </w:tc>
      </w:tr>
      <w:tr w14:paraId="5B156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603" w:type="pct"/>
            <w:vAlign w:val="center"/>
          </w:tcPr>
          <w:p w14:paraId="41A841CA">
            <w:pPr>
              <w:autoSpaceDE w:val="0"/>
              <w:autoSpaceDN w:val="0"/>
              <w:adjustRightInd w:val="0"/>
              <w:snapToGrid w:val="0"/>
              <w:spacing w:line="240" w:lineRule="atLeast"/>
              <w:jc w:val="center"/>
              <w:rPr>
                <w:rFonts w:ascii="Arial Narrow" w:hAnsi="Arial Narrow" w:eastAsiaTheme="minorEastAsia"/>
                <w:szCs w:val="21"/>
              </w:rPr>
            </w:pPr>
            <w:r>
              <w:rPr>
                <w:rFonts w:ascii="Arial Narrow" w:hAnsi="Arial Narrow" w:eastAsiaTheme="minorEastAsia"/>
                <w:szCs w:val="21"/>
              </w:rPr>
              <w:t>合计</w:t>
            </w:r>
          </w:p>
        </w:tc>
        <w:tc>
          <w:tcPr>
            <w:tcW w:w="885" w:type="pct"/>
            <w:tcBorders>
              <w:right w:val="single" w:color="auto" w:sz="4" w:space="0"/>
            </w:tcBorders>
            <w:vAlign w:val="center"/>
          </w:tcPr>
          <w:p w14:paraId="6EF0CA28">
            <w:pPr>
              <w:jc w:val="right"/>
              <w:rPr>
                <w:rFonts w:ascii="Arial Narrow" w:hAnsi="Arial Narrow" w:eastAsiaTheme="minorEastAsia"/>
                <w:szCs w:val="21"/>
              </w:rPr>
            </w:pPr>
            <w:r>
              <w:rPr>
                <w:rFonts w:ascii="Arial Narrow" w:hAnsi="Arial Narrow" w:eastAsiaTheme="minorEastAsia"/>
                <w:color w:val="000000"/>
                <w:szCs w:val="21"/>
              </w:rPr>
              <w:t>364,678,562.08</w:t>
            </w:r>
          </w:p>
        </w:tc>
        <w:tc>
          <w:tcPr>
            <w:tcW w:w="723" w:type="pct"/>
            <w:tcBorders>
              <w:left w:val="single" w:color="auto" w:sz="4" w:space="0"/>
            </w:tcBorders>
            <w:vAlign w:val="center"/>
          </w:tcPr>
          <w:p w14:paraId="26885053">
            <w:pPr>
              <w:jc w:val="center"/>
              <w:rPr>
                <w:rFonts w:ascii="Arial Narrow" w:hAnsi="Arial Narrow" w:eastAsiaTheme="minorEastAsia"/>
                <w:color w:val="008000"/>
                <w:szCs w:val="21"/>
              </w:rPr>
            </w:pPr>
            <w:r>
              <w:rPr>
                <w:rFonts w:ascii="Arial Narrow" w:hAnsi="Arial Narrow" w:eastAsiaTheme="minorEastAsia"/>
                <w:szCs w:val="21"/>
              </w:rPr>
              <w:t>/</w:t>
            </w:r>
          </w:p>
        </w:tc>
        <w:tc>
          <w:tcPr>
            <w:tcW w:w="885" w:type="pct"/>
            <w:vAlign w:val="center"/>
          </w:tcPr>
          <w:p w14:paraId="567E5A4A">
            <w:pPr>
              <w:jc w:val="center"/>
              <w:rPr>
                <w:rFonts w:ascii="Arial Narrow" w:hAnsi="Arial Narrow" w:eastAsiaTheme="minorEastAsia"/>
                <w:szCs w:val="21"/>
              </w:rPr>
            </w:pPr>
            <w:r>
              <w:rPr>
                <w:rFonts w:ascii="Arial Narrow" w:hAnsi="Arial Narrow" w:eastAsiaTheme="minorEastAsia"/>
                <w:szCs w:val="21"/>
              </w:rPr>
              <w:t>/</w:t>
            </w:r>
          </w:p>
        </w:tc>
        <w:tc>
          <w:tcPr>
            <w:tcW w:w="904" w:type="pct"/>
            <w:vAlign w:val="center"/>
          </w:tcPr>
          <w:p w14:paraId="485AB66E">
            <w:pPr>
              <w:jc w:val="center"/>
              <w:rPr>
                <w:rFonts w:ascii="Arial Narrow" w:hAnsi="Arial Narrow" w:eastAsiaTheme="minorEastAsia"/>
                <w:szCs w:val="21"/>
              </w:rPr>
            </w:pPr>
            <w:r>
              <w:rPr>
                <w:rFonts w:ascii="Arial Narrow" w:hAnsi="Arial Narrow" w:eastAsiaTheme="minorEastAsia"/>
                <w:szCs w:val="21"/>
              </w:rPr>
              <w:t>/</w:t>
            </w:r>
          </w:p>
        </w:tc>
      </w:tr>
    </w:tbl>
    <w:p w14:paraId="5E7EAE5F">
      <w:pPr>
        <w:rPr>
          <w:rFonts w:hint="eastAsia"/>
        </w:rPr>
      </w:pPr>
    </w:p>
    <w:p w14:paraId="1519F76B">
      <w:pPr>
        <w:pStyle w:val="72"/>
        <w:numPr>
          <w:ilvl w:val="0"/>
          <w:numId w:val="177"/>
        </w:numPr>
        <w:ind w:leftChars="0"/>
      </w:pPr>
      <w:r>
        <w:rPr>
          <w:rFonts w:hint="eastAsia"/>
        </w:rPr>
        <w:t>按坏账计提方法分类披露</w:t>
      </w:r>
    </w:p>
    <w:sdt>
      <w:sdtPr>
        <w:alias w:val="是否适用：母公司按坏账计提方法分类披露[双击切换]"/>
        <w:tag w:val="_GBC_3e6131bf64764260959e58957d1a923e"/>
        <w:id w:val="-326205291"/>
        <w:placeholder>
          <w:docPart w:val="GBC22222222222222222222222222222"/>
        </w:placeholder>
      </w:sdtPr>
      <w:sdtContent>
        <w:p w14:paraId="63A009CD">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092C58D">
      <w:pPr>
        <w:rPr>
          <w:rFonts w:hint="eastAsia"/>
        </w:rPr>
      </w:pPr>
    </w:p>
    <w:p w14:paraId="0DA4D751">
      <w:pPr>
        <w:rPr>
          <w:rFonts w:hint="eastAsia"/>
        </w:rPr>
      </w:pPr>
      <w:r>
        <w:rPr>
          <w:rFonts w:hint="eastAsia"/>
        </w:rPr>
        <w:t>按单项计提坏账准备：</w:t>
      </w:r>
    </w:p>
    <w:sdt>
      <w:sdtPr>
        <w:alias w:val="是否适用：母公司按单项计提坏账准备的详细情况[双击切换]"/>
        <w:tag w:val="_GBC_0bffd65beafa48e6aca929c5c2140787"/>
        <w:id w:val="1122885087"/>
        <w:placeholder>
          <w:docPart w:val="GBC22222222222222222222222222222"/>
        </w:placeholder>
      </w:sdtPr>
      <w:sdtContent>
        <w:p w14:paraId="2176F37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F62A60C">
      <w:pPr>
        <w:rPr>
          <w:rFonts w:hint="eastAsia"/>
          <w:szCs w:val="21"/>
        </w:rPr>
      </w:pPr>
    </w:p>
    <w:p w14:paraId="6765BE83">
      <w:pPr>
        <w:rPr>
          <w:rFonts w:hint="eastAsia"/>
          <w:szCs w:val="21"/>
        </w:rPr>
      </w:pPr>
      <w:r>
        <w:rPr>
          <w:rFonts w:hint="eastAsia"/>
          <w:szCs w:val="21"/>
        </w:rPr>
        <w:t>按单项计提坏账准备的说明：</w:t>
      </w:r>
    </w:p>
    <w:sdt>
      <w:sdtPr>
        <w:rPr>
          <w:szCs w:val="21"/>
        </w:rPr>
        <w:alias w:val="是否适用：母公司按单项计提坏账准备的说明[双击切换]"/>
        <w:tag w:val="_GBC_3ff3367dda784192860c78e5be49cae0"/>
        <w:id w:val="762111441"/>
        <w:placeholder>
          <w:docPart w:val="GBC22222222222222222222222222222"/>
        </w:placeholder>
      </w:sdtPr>
      <w:sdtEndPr>
        <w:rPr>
          <w:szCs w:val="21"/>
        </w:rPr>
      </w:sdtEndPr>
      <w:sdtContent>
        <w:p w14:paraId="56DE246D">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3283CFF">
      <w:pPr>
        <w:rPr>
          <w:rFonts w:hint="eastAsia"/>
          <w:szCs w:val="21"/>
        </w:rPr>
      </w:pPr>
    </w:p>
    <w:p w14:paraId="59B8BC7B">
      <w:pPr>
        <w:rPr>
          <w:rFonts w:ascii="Calibri" w:hAnsi="Calibri" w:cs="Times New Roman"/>
          <w:bCs/>
          <w:szCs w:val="22"/>
        </w:rPr>
      </w:pPr>
      <w:r>
        <w:rPr>
          <w:rFonts w:hint="eastAsia" w:ascii="Calibri" w:hAnsi="Calibri" w:cs="Times New Roman"/>
          <w:bCs/>
          <w:szCs w:val="22"/>
        </w:rPr>
        <w:t>按组合计提坏账准备：</w:t>
      </w:r>
    </w:p>
    <w:sdt>
      <w:sdtPr>
        <w:rPr>
          <w:rFonts w:ascii="Calibri" w:hAnsi="Calibri" w:cs="Times New Roman"/>
          <w:bCs/>
          <w:szCs w:val="22"/>
        </w:rPr>
        <w:alias w:val="是否适用：母公司按组合计提坏账准备的详细情况[双击切换]"/>
        <w:tag w:val="_GBC_5b769fae73d0491bae227d3968699870"/>
        <w:id w:val="-16471585"/>
        <w:placeholder>
          <w:docPart w:val="GBC22222222222222222222222222222"/>
        </w:placeholder>
      </w:sdtPr>
      <w:sdtEndPr>
        <w:rPr>
          <w:rFonts w:ascii="Calibri" w:hAnsi="Calibri" w:cs="Times New Roman"/>
          <w:bCs/>
          <w:szCs w:val="22"/>
        </w:rPr>
      </w:sdtEndPr>
      <w:sdtContent>
        <w:p w14:paraId="1F239D37">
          <w:pPr>
            <w:rPr>
              <w:rFonts w:hint="eastAsia"/>
              <w:szCs w:val="21"/>
            </w:rPr>
          </w:pPr>
          <w:r>
            <w:rPr>
              <w:rFonts w:cs="Times New Roman"/>
              <w:bCs/>
              <w:szCs w:val="22"/>
            </w:rPr>
            <w:fldChar w:fldCharType="begin"/>
          </w:r>
          <w:r>
            <w:rPr>
              <w:rFonts w:hint="eastAsia" w:cs="Times New Roman"/>
              <w:bCs/>
              <w:szCs w:val="22"/>
            </w:rPr>
            <w:instrText xml:space="preserve"> MACROBUTTON  SnrToggleCheckbox □适用 </w:instrText>
          </w:r>
          <w:r>
            <w:rPr>
              <w:rFonts w:cs="Times New Roman"/>
              <w:bCs/>
              <w:szCs w:val="22"/>
            </w:rPr>
            <w:fldChar w:fldCharType="end"/>
          </w:r>
          <w:r>
            <w:rPr>
              <w:rFonts w:cs="Times New Roman"/>
              <w:bCs/>
              <w:szCs w:val="22"/>
            </w:rPr>
            <w:fldChar w:fldCharType="begin"/>
          </w:r>
          <w:r>
            <w:rPr>
              <w:rFonts w:hint="eastAsia" w:cs="Times New Roman"/>
              <w:bCs/>
              <w:szCs w:val="22"/>
            </w:rPr>
            <w:instrText xml:space="preserve"> MACROBUTTON  SnrToggleCheckbox √不适用 </w:instrText>
          </w:r>
          <w:r>
            <w:rPr>
              <w:rFonts w:cs="Times New Roman"/>
              <w:bCs/>
              <w:szCs w:val="22"/>
            </w:rPr>
            <w:fldChar w:fldCharType="end"/>
          </w:r>
        </w:p>
      </w:sdtContent>
    </w:sdt>
    <w:p w14:paraId="25B4192E">
      <w:pPr>
        <w:rPr>
          <w:rFonts w:hint="eastAsia"/>
          <w:szCs w:val="21"/>
        </w:rPr>
      </w:pPr>
    </w:p>
    <w:p w14:paraId="0936C877">
      <w:pPr>
        <w:rPr>
          <w:rFonts w:ascii="Calibri" w:hAnsi="Calibri" w:cs="Times New Roman"/>
          <w:b/>
          <w:bCs/>
          <w:szCs w:val="22"/>
        </w:rPr>
      </w:pPr>
    </w:p>
    <w:bookmarkEnd w:id="425"/>
    <w:bookmarkEnd w:id="426"/>
    <w:bookmarkEnd w:id="427"/>
    <w:p w14:paraId="15B52D0A">
      <w:pPr>
        <w:pStyle w:val="72"/>
        <w:numPr>
          <w:ilvl w:val="0"/>
          <w:numId w:val="177"/>
        </w:numPr>
        <w:ind w:leftChars="0"/>
      </w:pPr>
      <w:bookmarkStart w:id="428" w:name="_Hlk533868874"/>
      <w:r>
        <w:rPr>
          <w:rFonts w:hint="eastAsia"/>
        </w:rPr>
        <w:t>按预期信用损失一般模型计提坏账准备</w:t>
      </w:r>
    </w:p>
    <w:sdt>
      <w:sdtPr>
        <w:alias w:val="是否适用：母公司应收股利坏账准备调节表[双击切换]"/>
        <w:tag w:val="_GBC_5cbd8c1c52fa42d19db26aadad6a74b8"/>
        <w:id w:val="958465976"/>
        <w:placeholder>
          <w:docPart w:val="GBC22222222222222222222222222222"/>
        </w:placeholder>
      </w:sdtPr>
      <w:sdtContent>
        <w:p w14:paraId="275603C3">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2F0C4821">
      <w:pPr>
        <w:rPr>
          <w:rFonts w:hint="eastAsia"/>
          <w:szCs w:val="21"/>
        </w:rPr>
      </w:pPr>
    </w:p>
    <w:p w14:paraId="29DB1C45">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应收股利各阶段划分依据和坏账准备计提比例"/>
        <w:tag w:val="_GBC_add0117a614f4e33bfb451894481c309"/>
        <w:id w:val="1928929830"/>
        <w:placeholder>
          <w:docPart w:val="GBC22222222222222222222222222222"/>
        </w:placeholder>
      </w:sdtPr>
      <w:sdtEndPr>
        <w:rPr>
          <w:rFonts w:cs="Times New Roman"/>
          <w:bCs/>
          <w:szCs w:val="22"/>
        </w:rPr>
      </w:sdtEndPr>
      <w:sdtContent>
        <w:p w14:paraId="55D84108">
          <w:pPr>
            <w:rPr>
              <w:rFonts w:hint="eastAsia" w:cs="Times New Roman"/>
              <w:bCs/>
              <w:szCs w:val="22"/>
            </w:rPr>
          </w:pPr>
          <w:r>
            <w:rPr>
              <w:rFonts w:hint="eastAsia" w:cs="Times New Roman"/>
              <w:bCs/>
              <w:szCs w:val="22"/>
            </w:rPr>
            <w:t>无</w:t>
          </w:r>
        </w:p>
      </w:sdtContent>
    </w:sdt>
    <w:p w14:paraId="6443B20F">
      <w:pPr>
        <w:autoSpaceDE w:val="0"/>
        <w:autoSpaceDN w:val="0"/>
        <w:adjustRightInd w:val="0"/>
        <w:ind w:right="105" w:rightChars="50"/>
        <w:rPr>
          <w:rFonts w:hint="eastAsia"/>
          <w:szCs w:val="21"/>
        </w:rPr>
      </w:pPr>
    </w:p>
    <w:p w14:paraId="1412E7B5">
      <w:pPr>
        <w:pStyle w:val="123"/>
      </w:pPr>
      <w:r>
        <w:rPr>
          <w:rFonts w:hint="eastAsia"/>
        </w:rPr>
        <w:t>对本期发生损失准备变动的应收股利账面余额显著变动的情况说明：</w:t>
      </w:r>
    </w:p>
    <w:sdt>
      <w:sdtPr>
        <w:rPr>
          <w:rFonts w:hint="eastAsia"/>
          <w:szCs w:val="21"/>
        </w:rPr>
        <w:alias w:val="是否适用：母公司应收股利本期发生损失准备变动且账面余额显著变动的情况说明[双击切换]"/>
        <w:tag w:val="_GBC_97e9fe7a49b947f79ce9d174eeaf0f5f"/>
        <w:id w:val="1693803308"/>
        <w:placeholder>
          <w:docPart w:val="GBC22222222222222222222222222222"/>
        </w:placeholder>
      </w:sdtPr>
      <w:sdtEndPr>
        <w:rPr>
          <w:rFonts w:hint="eastAsia"/>
          <w:szCs w:val="21"/>
        </w:rPr>
      </w:sdtEndPr>
      <w:sdtContent>
        <w:p w14:paraId="72A08AD6">
          <w:pPr>
            <w:autoSpaceDE w:val="0"/>
            <w:autoSpaceDN w:val="0"/>
            <w:adjustRightInd w:val="0"/>
            <w:ind w:right="105" w:rightChars="50"/>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3FB1E98">
      <w:pPr>
        <w:rPr>
          <w:rFonts w:hint="eastAsia"/>
        </w:rPr>
      </w:pPr>
    </w:p>
    <w:bookmarkEnd w:id="428"/>
    <w:p w14:paraId="23D16198">
      <w:pPr>
        <w:pStyle w:val="72"/>
        <w:numPr>
          <w:ilvl w:val="0"/>
          <w:numId w:val="177"/>
        </w:numPr>
        <w:ind w:leftChars="0"/>
      </w:pPr>
      <w:bookmarkStart w:id="429" w:name="_Hlk153792018"/>
      <w:bookmarkStart w:id="430" w:name="_Hlk154150256"/>
      <w:r>
        <w:rPr>
          <w:rFonts w:hint="eastAsia"/>
        </w:rPr>
        <w:t>坏账准备的情况</w:t>
      </w:r>
    </w:p>
    <w:sdt>
      <w:sdtPr>
        <w:alias w:val="是否适用：母公司坏账准备情况[双击切换]"/>
        <w:tag w:val="_GBC_821565a30d3745e0bc44de118b7dee6f"/>
        <w:id w:val="-128014365"/>
        <w:placeholder>
          <w:docPart w:val="GBC22222222222222222222222222222"/>
        </w:placeholder>
      </w:sdtPr>
      <w:sdtContent>
        <w:p w14:paraId="4E6D8F5B">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9D7ABB2">
      <w:pPr>
        <w:rPr>
          <w:rFonts w:hint="eastAsia"/>
        </w:rPr>
      </w:pPr>
    </w:p>
    <w:p w14:paraId="5C216EB3">
      <w:pPr>
        <w:rPr>
          <w:rFonts w:hint="eastAsia"/>
        </w:rPr>
      </w:pPr>
      <w:r>
        <w:rPr>
          <w:rFonts w:hint="eastAsia"/>
        </w:rPr>
        <w:t>其中本期坏账准备收回或转回金额重要的：</w:t>
      </w:r>
    </w:p>
    <w:sdt>
      <w:sdtPr>
        <w:alias w:val="是否适用：母公司本期坏账准备收回或转回金额重要的[双击切换]"/>
        <w:tag w:val="_GBC_0d1ed1559d1344db8b219f59e8d21024"/>
        <w:id w:val="81738208"/>
        <w:placeholder>
          <w:docPart w:val="GBC22222222222222222222222222222"/>
        </w:placeholder>
      </w:sdtPr>
      <w:sdtContent>
        <w:p w14:paraId="61A3AFB2">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5A4E21D2">
      <w:pPr>
        <w:rPr>
          <w:rFonts w:hint="eastAsia"/>
        </w:rPr>
      </w:pPr>
    </w:p>
    <w:p w14:paraId="7903F45C">
      <w:pPr>
        <w:rPr>
          <w:rFonts w:hint="eastAsia"/>
        </w:rPr>
      </w:pPr>
      <w:r>
        <w:rPr>
          <w:rFonts w:hint="eastAsia"/>
        </w:rPr>
        <w:t>其他说明：</w:t>
      </w:r>
    </w:p>
    <w:sdt>
      <w:sdtPr>
        <w:alias w:val="母公司坏账准备情况的说明"/>
        <w:tag w:val="_GBC_1ed1f4303f9641fba538e08ef13fe5e7"/>
        <w:id w:val="-1920013553"/>
        <w:placeholder>
          <w:docPart w:val="GBC22222222222222222222222222222"/>
        </w:placeholder>
      </w:sdtPr>
      <w:sdtContent>
        <w:p w14:paraId="27C26E86">
          <w:pPr>
            <w:ind w:right="42" w:rightChars="20"/>
            <w:rPr>
              <w:rFonts w:hint="eastAsia"/>
            </w:rPr>
          </w:pPr>
          <w:r>
            <w:rPr>
              <w:rFonts w:hint="eastAsia"/>
            </w:rPr>
            <w:t>无</w:t>
          </w:r>
        </w:p>
      </w:sdtContent>
    </w:sdt>
    <w:p w14:paraId="6916E351">
      <w:pPr>
        <w:ind w:right="-1594" w:rightChars="-759"/>
        <w:rPr>
          <w:rFonts w:hint="eastAsia"/>
        </w:rPr>
      </w:pPr>
    </w:p>
    <w:p w14:paraId="65C72CD9">
      <w:pPr>
        <w:ind w:right="-1594" w:rightChars="-759"/>
        <w:rPr>
          <w:rFonts w:hint="eastAsia"/>
        </w:rPr>
      </w:pPr>
    </w:p>
    <w:p w14:paraId="2E1B960F">
      <w:pPr>
        <w:pStyle w:val="72"/>
        <w:numPr>
          <w:ilvl w:val="0"/>
          <w:numId w:val="177"/>
        </w:numPr>
        <w:ind w:leftChars="0"/>
      </w:pPr>
      <w:bookmarkStart w:id="431" w:name="_Hlk155883151"/>
      <w:r>
        <w:rPr>
          <w:rFonts w:hint="eastAsia"/>
        </w:rPr>
        <w:t>本期实际核销的应收股利情况</w:t>
      </w:r>
    </w:p>
    <w:sdt>
      <w:sdtPr>
        <w:alias w:val="是否适用：母公司实际核销的情况[双击切换]"/>
        <w:tag w:val="_GBC_1b5ee2d7fd5a4b549b2a2bd673f1698a"/>
        <w:id w:val="234902684"/>
        <w:placeholder>
          <w:docPart w:val="GBC22222222222222222222222222222"/>
        </w:placeholder>
      </w:sdtPr>
      <w:sdtContent>
        <w:p w14:paraId="24CEB480">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0F3EFD4D">
      <w:pPr>
        <w:rPr>
          <w:rFonts w:hint="eastAsia"/>
          <w:szCs w:val="21"/>
        </w:rPr>
      </w:pPr>
    </w:p>
    <w:bookmarkEnd w:id="431"/>
    <w:p w14:paraId="28EF4D18">
      <w:pPr>
        <w:rPr>
          <w:rFonts w:hint="eastAsia"/>
          <w:szCs w:val="21"/>
        </w:rPr>
      </w:pPr>
      <w:r>
        <w:rPr>
          <w:rFonts w:hint="eastAsia"/>
          <w:szCs w:val="21"/>
        </w:rPr>
        <w:t>其中重要的应收股利核销情况</w:t>
      </w:r>
    </w:p>
    <w:sdt>
      <w:sdtPr>
        <w:rPr>
          <w:rFonts w:hint="eastAsia"/>
          <w:szCs w:val="21"/>
        </w:rPr>
        <w:alias w:val="是否适用：母公司重要的核销情况[双击切换]"/>
        <w:tag w:val="_GBC_2151c3ad65384379897352f370874db1"/>
        <w:id w:val="1016188794"/>
        <w:placeholder>
          <w:docPart w:val="GBC22222222222222222222222222222"/>
        </w:placeholder>
      </w:sdtPr>
      <w:sdtEndPr>
        <w:rPr>
          <w:rFonts w:hint="eastAsia"/>
          <w:szCs w:val="21"/>
        </w:rPr>
      </w:sdtEndPr>
      <w:sdtContent>
        <w:p w14:paraId="3B2017C7">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1E1F43A">
      <w:pPr>
        <w:rPr>
          <w:rFonts w:hint="eastAsia"/>
          <w:szCs w:val="21"/>
        </w:rPr>
      </w:pPr>
    </w:p>
    <w:p w14:paraId="593CF8AB">
      <w:pPr>
        <w:snapToGrid w:val="0"/>
        <w:spacing w:line="240" w:lineRule="atLeast"/>
        <w:rPr>
          <w:rFonts w:hint="eastAsia"/>
          <w:szCs w:val="21"/>
        </w:rPr>
      </w:pPr>
      <w:r>
        <w:rPr>
          <w:rFonts w:hint="eastAsia"/>
          <w:szCs w:val="21"/>
        </w:rPr>
        <w:t>核销说明：</w:t>
      </w:r>
    </w:p>
    <w:sdt>
      <w:sdtPr>
        <w:rPr>
          <w:szCs w:val="21"/>
        </w:rPr>
        <w:alias w:val="是否适用：母公司核销说明[双击切换]"/>
        <w:tag w:val="_GBC_f8d1d851a8a641b3b3733ca0037885d1"/>
        <w:id w:val="-643346887"/>
        <w:placeholder>
          <w:docPart w:val="GBC22222222222222222222222222222"/>
        </w:placeholder>
      </w:sdtPr>
      <w:sdtEndPr>
        <w:rPr>
          <w:szCs w:val="21"/>
        </w:rPr>
      </w:sdtEndPr>
      <w:sdtContent>
        <w:p w14:paraId="4E4B6BAC">
          <w:pPr>
            <w:snapToGrid w:val="0"/>
            <w:spacing w:line="240" w:lineRule="atLeast"/>
            <w:rPr>
              <w:rFonts w:hint="eastAsia"/>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3E6E7821">
      <w:pPr>
        <w:rPr>
          <w:rFonts w:hint="eastAsia"/>
        </w:rPr>
      </w:pPr>
    </w:p>
    <w:bookmarkEnd w:id="429"/>
    <w:bookmarkEnd w:id="430"/>
    <w:p w14:paraId="2F03713E">
      <w:pPr>
        <w:rPr>
          <w:rFonts w:hint="eastAsia"/>
          <w:szCs w:val="21"/>
        </w:rPr>
      </w:pPr>
      <w:bookmarkStart w:id="432" w:name="_Hlk533797406"/>
      <w:r>
        <w:rPr>
          <w:rFonts w:hint="eastAsia"/>
          <w:szCs w:val="21"/>
        </w:rPr>
        <w:t>其他说明：</w:t>
      </w:r>
    </w:p>
    <w:sdt>
      <w:sdtPr>
        <w:rPr>
          <w:szCs w:val="21"/>
        </w:rPr>
        <w:alias w:val="是否适用：母公司应收股利其他说明[双击切换]"/>
        <w:tag w:val="_GBC_75450c3c0332439986937f5dec59f65c"/>
        <w:id w:val="1174302307"/>
        <w:placeholder>
          <w:docPart w:val="GBC22222222222222222222222222222"/>
        </w:placeholder>
      </w:sdtPr>
      <w:sdtEndPr>
        <w:rPr>
          <w:szCs w:val="21"/>
        </w:rPr>
      </w:sdtEndPr>
      <w:sdtContent>
        <w:p w14:paraId="7A997CC1">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bookmarkEnd w:id="432"/>
    <w:p w14:paraId="6D53E309">
      <w:pPr>
        <w:rPr>
          <w:rFonts w:hint="eastAsia"/>
        </w:rPr>
      </w:pPr>
    </w:p>
    <w:p w14:paraId="6A3BD2C7">
      <w:pPr>
        <w:rPr>
          <w:rFonts w:hint="eastAsia"/>
        </w:rPr>
      </w:pPr>
    </w:p>
    <w:p w14:paraId="4639B1E7">
      <w:pPr>
        <w:pStyle w:val="71"/>
        <w:ind w:left="360" w:hanging="360"/>
        <w:rPr>
          <w:rFonts w:hint="eastAsia"/>
        </w:rPr>
      </w:pPr>
      <w:r>
        <w:rPr>
          <w:rFonts w:hint="eastAsia"/>
        </w:rPr>
        <w:t>其他应收款</w:t>
      </w:r>
    </w:p>
    <w:p w14:paraId="2E6AB878">
      <w:pPr>
        <w:pStyle w:val="72"/>
        <w:numPr>
          <w:ilvl w:val="0"/>
          <w:numId w:val="178"/>
        </w:numPr>
        <w:ind w:leftChars="0"/>
      </w:pPr>
      <w:bookmarkStart w:id="433" w:name="_Hlk153797719"/>
      <w:bookmarkStart w:id="434" w:name="_Hlk533797447"/>
      <w:r>
        <w:rPr>
          <w:rFonts w:hint="eastAsia"/>
        </w:rPr>
        <w:t>按账龄披露</w:t>
      </w:r>
    </w:p>
    <w:sdt>
      <w:sdtPr>
        <w:rPr>
          <w:szCs w:val="21"/>
        </w:rPr>
        <w:alias w:val="是否适用：母公司其他应收款按账龄披露[双击切换]"/>
        <w:tag w:val="_GBC_5c11b96990fa439da812b87b47ed4c80"/>
        <w:id w:val="609326996"/>
        <w:placeholder>
          <w:docPart w:val="GBC22222222222222222222222222222"/>
        </w:placeholder>
      </w:sdtPr>
      <w:sdtEndPr>
        <w:rPr>
          <w:szCs w:val="21"/>
        </w:rPr>
      </w:sdtEndPr>
      <w:sdtContent>
        <w:p w14:paraId="4F33AD5B">
          <w:pPr>
            <w:rPr>
              <w:rFonts w:hint="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8E6D21">
      <w:pPr>
        <w:jc w:val="right"/>
        <w:rPr>
          <w:rFonts w:hint="eastAsia"/>
          <w:szCs w:val="21"/>
        </w:rPr>
      </w:pPr>
      <w:r>
        <w:rPr>
          <w:rFonts w:hint="eastAsia"/>
          <w:szCs w:val="21"/>
        </w:rPr>
        <w:t>单位：</w:t>
      </w:r>
      <w:sdt>
        <w:sdtPr>
          <w:rPr>
            <w:rFonts w:hint="eastAsia"/>
            <w:szCs w:val="21"/>
          </w:rPr>
          <w:alias w:val="单位：母公司其他应收款按账龄披露"/>
          <w:tag w:val="_GBC_41616ef98f834aa2b100f687773d3969"/>
          <w:id w:val="18957054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其他应收款按账龄披露"/>
          <w:tag w:val="_GBC_5e3917487f6647c3bad62a8fb87ea91e"/>
          <w:id w:val="6454031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93"/>
        <w:gridCol w:w="2915"/>
        <w:gridCol w:w="2915"/>
      </w:tblGrid>
      <w:tr w14:paraId="6B9C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ascii="Arial Narrow" w:hAnsi="Arial Narrow" w:eastAsiaTheme="minorEastAsia"/>
              <w:szCs w:val="21"/>
            </w:rPr>
            <w:tag w:val="_PLD_e6b4d3ce2efb49849027845f309f652a"/>
            <w:id w:val="-224914012"/>
          </w:sdtPr>
          <w:sdtEndPr>
            <w:rPr>
              <w:rFonts w:ascii="Arial Narrow" w:hAnsi="Arial Narrow" w:eastAsiaTheme="minorEastAsia"/>
              <w:szCs w:val="21"/>
            </w:rPr>
          </w:sdtEndPr>
          <w:sdtContent>
            <w:tc>
              <w:tcPr>
                <w:tcW w:w="1696" w:type="pct"/>
                <w:tcBorders>
                  <w:top w:val="single" w:color="auto" w:sz="4" w:space="0"/>
                  <w:left w:val="single" w:color="auto" w:sz="4" w:space="0"/>
                  <w:bottom w:val="single" w:color="auto" w:sz="4" w:space="0"/>
                  <w:right w:val="single" w:color="auto" w:sz="4" w:space="0"/>
                </w:tcBorders>
                <w:vAlign w:val="center"/>
              </w:tcPr>
              <w:p w14:paraId="4EFD4223">
                <w:pPr>
                  <w:jc w:val="center"/>
                  <w:rPr>
                    <w:rFonts w:ascii="Arial Narrow" w:hAnsi="Arial Narrow" w:eastAsiaTheme="minorEastAsia"/>
                    <w:szCs w:val="21"/>
                  </w:rPr>
                </w:pPr>
                <w:r>
                  <w:rPr>
                    <w:rFonts w:ascii="Arial Narrow" w:hAnsi="Arial Narrow" w:eastAsiaTheme="minorEastAsia"/>
                    <w:szCs w:val="21"/>
                  </w:rPr>
                  <w:t>账龄</w:t>
                </w:r>
              </w:p>
            </w:tc>
          </w:sdtContent>
        </w:sdt>
        <w:sdt>
          <w:sdtPr>
            <w:rPr>
              <w:rFonts w:ascii="Arial Narrow" w:hAnsi="Arial Narrow" w:eastAsiaTheme="minorEastAsia"/>
              <w:szCs w:val="21"/>
            </w:rPr>
            <w:tag w:val="_PLD_2a2524c4aa88497fa0bf73f43366d799"/>
            <w:id w:val="-2019142636"/>
          </w:sdtPr>
          <w:sdtEndPr>
            <w:rPr>
              <w:rFonts w:ascii="Arial Narrow" w:hAnsi="Arial Narrow" w:eastAsiaTheme="minorEastAsia"/>
              <w:szCs w:val="21"/>
            </w:rPr>
          </w:sdtEndPr>
          <w:sdtContent>
            <w:tc>
              <w:tcPr>
                <w:tcW w:w="1652" w:type="pct"/>
                <w:tcBorders>
                  <w:top w:val="single" w:color="auto" w:sz="4" w:space="0"/>
                  <w:left w:val="single" w:color="auto" w:sz="4" w:space="0"/>
                  <w:bottom w:val="single" w:color="auto" w:sz="4" w:space="0"/>
                  <w:right w:val="single" w:color="auto" w:sz="4" w:space="0"/>
                </w:tcBorders>
                <w:vAlign w:val="center"/>
              </w:tcPr>
              <w:p w14:paraId="64DF0690">
                <w:pPr>
                  <w:jc w:val="center"/>
                  <w:rPr>
                    <w:rFonts w:ascii="Arial Narrow" w:hAnsi="Arial Narrow" w:eastAsiaTheme="minorEastAsia"/>
                    <w:szCs w:val="21"/>
                  </w:rPr>
                </w:pPr>
                <w:r>
                  <w:rPr>
                    <w:rFonts w:ascii="Arial Narrow" w:hAnsi="Arial Narrow" w:eastAsiaTheme="minorEastAsia"/>
                    <w:szCs w:val="21"/>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rPr>
                <w:rFonts w:ascii="Arial Narrow" w:hAnsi="Arial Narrow" w:eastAsiaTheme="minorEastAsia"/>
                <w:szCs w:val="21"/>
              </w:rPr>
              <w:tag w:val="_PLD_63769de747ae44d5b345aed18107390b"/>
              <w:id w:val="-564256699"/>
            </w:sdtPr>
            <w:sdtEndPr>
              <w:rPr>
                <w:rFonts w:ascii="Arial Narrow" w:hAnsi="Arial Narrow" w:eastAsiaTheme="minorEastAsia"/>
                <w:szCs w:val="21"/>
              </w:rPr>
            </w:sdtEndPr>
            <w:sdtContent>
              <w:p w14:paraId="5B0BB7F3">
                <w:pPr>
                  <w:jc w:val="center"/>
                  <w:rPr>
                    <w:rFonts w:ascii="Arial Narrow" w:hAnsi="Arial Narrow" w:eastAsiaTheme="minorEastAsia"/>
                    <w:szCs w:val="21"/>
                  </w:rPr>
                </w:pPr>
                <w:r>
                  <w:rPr>
                    <w:rFonts w:ascii="Arial Narrow" w:hAnsi="Arial Narrow" w:eastAsiaTheme="minorEastAsia"/>
                    <w:szCs w:val="21"/>
                  </w:rPr>
                  <w:t>期初账面余额</w:t>
                </w:r>
              </w:p>
            </w:sdtContent>
          </w:sdt>
        </w:tc>
      </w:tr>
      <w:tr w14:paraId="7368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6D0ABF7E">
            <w:pPr>
              <w:rPr>
                <w:rFonts w:ascii="Arial Narrow" w:hAnsi="Arial Narrow" w:eastAsiaTheme="minorEastAsia"/>
                <w:szCs w:val="21"/>
              </w:rPr>
            </w:pPr>
            <w:r>
              <w:rPr>
                <w:rFonts w:ascii="Arial Narrow" w:hAnsi="Arial Narrow" w:eastAsiaTheme="minorEastAsia"/>
                <w:szCs w:val="21"/>
              </w:rPr>
              <w:t>1年以内</w:t>
            </w:r>
          </w:p>
        </w:tc>
        <w:tc>
          <w:tcPr>
            <w:tcW w:w="1652" w:type="pct"/>
            <w:tcBorders>
              <w:top w:val="single" w:color="auto" w:sz="4" w:space="0"/>
              <w:left w:val="single" w:color="auto" w:sz="4" w:space="0"/>
              <w:bottom w:val="single" w:color="auto" w:sz="4" w:space="0"/>
              <w:right w:val="single" w:color="auto" w:sz="4" w:space="0"/>
            </w:tcBorders>
            <w:vAlign w:val="center"/>
          </w:tcPr>
          <w:p w14:paraId="50613FBB">
            <w:pPr>
              <w:jc w:val="right"/>
              <w:rPr>
                <w:rFonts w:ascii="Arial Narrow" w:hAnsi="Arial Narrow" w:eastAsiaTheme="minorEastAsia"/>
                <w:szCs w:val="21"/>
              </w:rPr>
            </w:pPr>
            <w:r>
              <w:rPr>
                <w:rFonts w:ascii="Arial Narrow" w:hAnsi="Arial Narrow" w:eastAsiaTheme="minorEastAsia"/>
                <w:color w:val="000000"/>
                <w:szCs w:val="21"/>
              </w:rPr>
              <w:t>636,103,922.59</w:t>
            </w:r>
          </w:p>
        </w:tc>
        <w:tc>
          <w:tcPr>
            <w:tcW w:w="1652" w:type="pct"/>
            <w:tcBorders>
              <w:top w:val="single" w:color="auto" w:sz="4" w:space="0"/>
              <w:left w:val="single" w:color="auto" w:sz="4" w:space="0"/>
              <w:bottom w:val="single" w:color="auto" w:sz="4" w:space="0"/>
              <w:right w:val="single" w:color="auto" w:sz="4" w:space="0"/>
            </w:tcBorders>
            <w:vAlign w:val="center"/>
          </w:tcPr>
          <w:p w14:paraId="3DD6C59F">
            <w:pPr>
              <w:jc w:val="right"/>
              <w:rPr>
                <w:rFonts w:ascii="Arial Narrow" w:hAnsi="Arial Narrow" w:eastAsiaTheme="minorEastAsia"/>
                <w:szCs w:val="21"/>
              </w:rPr>
            </w:pPr>
            <w:r>
              <w:rPr>
                <w:rFonts w:ascii="Arial Narrow" w:hAnsi="Arial Narrow" w:eastAsiaTheme="minorEastAsia"/>
                <w:color w:val="000000"/>
                <w:szCs w:val="21"/>
              </w:rPr>
              <w:t>933,481,839.06</w:t>
            </w:r>
          </w:p>
        </w:tc>
      </w:tr>
      <w:tr w14:paraId="2A42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7F6D602D">
            <w:pPr>
              <w:rPr>
                <w:rFonts w:ascii="Arial Narrow" w:hAnsi="Arial Narrow" w:eastAsiaTheme="minorEastAsia"/>
                <w:szCs w:val="21"/>
              </w:rPr>
            </w:pPr>
            <w:r>
              <w:rPr>
                <w:rFonts w:ascii="Arial Narrow" w:hAnsi="Arial Narrow" w:eastAsiaTheme="minorEastAsia"/>
                <w:szCs w:val="21"/>
              </w:rPr>
              <w:t>1年以内小计</w:t>
            </w:r>
          </w:p>
        </w:tc>
        <w:tc>
          <w:tcPr>
            <w:tcW w:w="1652" w:type="pct"/>
            <w:tcBorders>
              <w:top w:val="single" w:color="auto" w:sz="4" w:space="0"/>
              <w:left w:val="single" w:color="auto" w:sz="4" w:space="0"/>
              <w:bottom w:val="single" w:color="auto" w:sz="4" w:space="0"/>
              <w:right w:val="single" w:color="auto" w:sz="4" w:space="0"/>
            </w:tcBorders>
            <w:vAlign w:val="center"/>
          </w:tcPr>
          <w:p w14:paraId="220FA140">
            <w:pPr>
              <w:jc w:val="right"/>
              <w:rPr>
                <w:rFonts w:ascii="Arial Narrow" w:hAnsi="Arial Narrow" w:eastAsiaTheme="minorEastAsia"/>
                <w:szCs w:val="21"/>
              </w:rPr>
            </w:pPr>
            <w:r>
              <w:rPr>
                <w:rFonts w:ascii="Arial Narrow" w:hAnsi="Arial Narrow" w:eastAsiaTheme="minorEastAsia"/>
                <w:color w:val="000000"/>
                <w:szCs w:val="21"/>
              </w:rPr>
              <w:t>636,103,922.59</w:t>
            </w:r>
          </w:p>
        </w:tc>
        <w:tc>
          <w:tcPr>
            <w:tcW w:w="1652" w:type="pct"/>
            <w:tcBorders>
              <w:top w:val="single" w:color="auto" w:sz="4" w:space="0"/>
              <w:left w:val="single" w:color="auto" w:sz="4" w:space="0"/>
              <w:bottom w:val="single" w:color="auto" w:sz="4" w:space="0"/>
              <w:right w:val="single" w:color="auto" w:sz="4" w:space="0"/>
            </w:tcBorders>
            <w:vAlign w:val="center"/>
          </w:tcPr>
          <w:p w14:paraId="4CA9D450">
            <w:pPr>
              <w:jc w:val="right"/>
              <w:rPr>
                <w:rFonts w:ascii="Arial Narrow" w:hAnsi="Arial Narrow" w:eastAsiaTheme="minorEastAsia"/>
                <w:szCs w:val="21"/>
              </w:rPr>
            </w:pPr>
            <w:r>
              <w:rPr>
                <w:rFonts w:ascii="Arial Narrow" w:hAnsi="Arial Narrow" w:eastAsiaTheme="minorEastAsia"/>
                <w:color w:val="000000"/>
                <w:szCs w:val="21"/>
              </w:rPr>
              <w:t>933,481,839.06</w:t>
            </w:r>
          </w:p>
        </w:tc>
      </w:tr>
      <w:tr w14:paraId="02BE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63922D8B">
            <w:pPr>
              <w:rPr>
                <w:rFonts w:ascii="Arial Narrow" w:hAnsi="Arial Narrow" w:eastAsiaTheme="minorEastAsia"/>
                <w:szCs w:val="21"/>
              </w:rPr>
            </w:pPr>
            <w:r>
              <w:rPr>
                <w:rFonts w:ascii="Arial Narrow" w:hAnsi="Arial Narrow" w:eastAsiaTheme="minorEastAsia"/>
                <w:szCs w:val="21"/>
              </w:rPr>
              <w:t>1至2年</w:t>
            </w:r>
          </w:p>
        </w:tc>
        <w:tc>
          <w:tcPr>
            <w:tcW w:w="1652" w:type="pct"/>
            <w:tcBorders>
              <w:top w:val="single" w:color="auto" w:sz="4" w:space="0"/>
              <w:left w:val="single" w:color="auto" w:sz="4" w:space="0"/>
              <w:bottom w:val="single" w:color="auto" w:sz="4" w:space="0"/>
              <w:right w:val="single" w:color="auto" w:sz="4" w:space="0"/>
            </w:tcBorders>
            <w:vAlign w:val="center"/>
          </w:tcPr>
          <w:p w14:paraId="79EA144B">
            <w:pPr>
              <w:jc w:val="right"/>
              <w:rPr>
                <w:rFonts w:ascii="Arial Narrow" w:hAnsi="Arial Narrow" w:eastAsiaTheme="minorEastAsia"/>
                <w:szCs w:val="21"/>
              </w:rPr>
            </w:pPr>
            <w:r>
              <w:rPr>
                <w:rFonts w:ascii="Arial Narrow" w:hAnsi="Arial Narrow" w:eastAsiaTheme="minorEastAsia"/>
                <w:color w:val="000000"/>
                <w:szCs w:val="21"/>
              </w:rPr>
              <w:t>530,303,721.70</w:t>
            </w:r>
          </w:p>
        </w:tc>
        <w:tc>
          <w:tcPr>
            <w:tcW w:w="1652" w:type="pct"/>
            <w:tcBorders>
              <w:top w:val="single" w:color="auto" w:sz="4" w:space="0"/>
              <w:left w:val="single" w:color="auto" w:sz="4" w:space="0"/>
              <w:bottom w:val="single" w:color="auto" w:sz="4" w:space="0"/>
              <w:right w:val="single" w:color="auto" w:sz="4" w:space="0"/>
            </w:tcBorders>
            <w:vAlign w:val="center"/>
          </w:tcPr>
          <w:p w14:paraId="2419898B">
            <w:pPr>
              <w:jc w:val="right"/>
              <w:rPr>
                <w:rFonts w:ascii="Arial Narrow" w:hAnsi="Arial Narrow" w:eastAsiaTheme="minorEastAsia"/>
                <w:szCs w:val="21"/>
              </w:rPr>
            </w:pPr>
            <w:r>
              <w:rPr>
                <w:rFonts w:ascii="Arial Narrow" w:hAnsi="Arial Narrow" w:eastAsiaTheme="minorEastAsia"/>
                <w:color w:val="000000"/>
                <w:szCs w:val="21"/>
              </w:rPr>
              <w:t>1,304,508,431.15</w:t>
            </w:r>
          </w:p>
        </w:tc>
      </w:tr>
      <w:tr w14:paraId="486A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BF1A33A">
            <w:pPr>
              <w:rPr>
                <w:rFonts w:ascii="Arial Narrow" w:hAnsi="Arial Narrow" w:eastAsiaTheme="minorEastAsia"/>
                <w:szCs w:val="21"/>
              </w:rPr>
            </w:pPr>
            <w:r>
              <w:rPr>
                <w:rFonts w:ascii="Arial Narrow" w:hAnsi="Arial Narrow" w:eastAsiaTheme="minorEastAsia"/>
                <w:szCs w:val="21"/>
              </w:rPr>
              <w:t>2至3年</w:t>
            </w:r>
          </w:p>
        </w:tc>
        <w:tc>
          <w:tcPr>
            <w:tcW w:w="1652" w:type="pct"/>
            <w:tcBorders>
              <w:top w:val="single" w:color="auto" w:sz="4" w:space="0"/>
              <w:left w:val="single" w:color="auto" w:sz="4" w:space="0"/>
              <w:bottom w:val="single" w:color="auto" w:sz="4" w:space="0"/>
              <w:right w:val="single" w:color="auto" w:sz="4" w:space="0"/>
            </w:tcBorders>
            <w:vAlign w:val="center"/>
          </w:tcPr>
          <w:p w14:paraId="600FDAA3">
            <w:pPr>
              <w:jc w:val="right"/>
              <w:rPr>
                <w:rFonts w:ascii="Arial Narrow" w:hAnsi="Arial Narrow" w:eastAsiaTheme="minorEastAsia"/>
                <w:szCs w:val="21"/>
              </w:rPr>
            </w:pPr>
            <w:r>
              <w:rPr>
                <w:rFonts w:ascii="Arial Narrow" w:hAnsi="Arial Narrow" w:eastAsiaTheme="minorEastAsia"/>
                <w:color w:val="000000"/>
                <w:szCs w:val="21"/>
              </w:rPr>
              <w:t>1,128,928,352.84</w:t>
            </w:r>
          </w:p>
        </w:tc>
        <w:tc>
          <w:tcPr>
            <w:tcW w:w="1652" w:type="pct"/>
            <w:tcBorders>
              <w:top w:val="single" w:color="auto" w:sz="4" w:space="0"/>
              <w:left w:val="single" w:color="auto" w:sz="4" w:space="0"/>
              <w:bottom w:val="single" w:color="auto" w:sz="4" w:space="0"/>
              <w:right w:val="single" w:color="auto" w:sz="4" w:space="0"/>
            </w:tcBorders>
            <w:vAlign w:val="center"/>
          </w:tcPr>
          <w:p w14:paraId="5B4385A4">
            <w:pPr>
              <w:jc w:val="right"/>
              <w:rPr>
                <w:rFonts w:ascii="Arial Narrow" w:hAnsi="Arial Narrow" w:eastAsiaTheme="minorEastAsia"/>
                <w:szCs w:val="21"/>
              </w:rPr>
            </w:pPr>
            <w:r>
              <w:rPr>
                <w:rFonts w:ascii="Arial Narrow" w:hAnsi="Arial Narrow" w:eastAsiaTheme="minorEastAsia"/>
                <w:color w:val="000000"/>
                <w:szCs w:val="21"/>
              </w:rPr>
              <w:t>523,849,916.59</w:t>
            </w:r>
          </w:p>
        </w:tc>
      </w:tr>
      <w:tr w14:paraId="78E9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39AC346F">
            <w:pPr>
              <w:rPr>
                <w:rFonts w:ascii="Arial Narrow" w:hAnsi="Arial Narrow" w:eastAsiaTheme="minorEastAsia"/>
                <w:szCs w:val="21"/>
              </w:rPr>
            </w:pPr>
            <w:r>
              <w:rPr>
                <w:rFonts w:ascii="Arial Narrow" w:hAnsi="Arial Narrow" w:eastAsiaTheme="minorEastAsia"/>
                <w:szCs w:val="21"/>
              </w:rPr>
              <w:t>3至4年</w:t>
            </w:r>
          </w:p>
        </w:tc>
        <w:tc>
          <w:tcPr>
            <w:tcW w:w="1652" w:type="pct"/>
            <w:tcBorders>
              <w:top w:val="single" w:color="auto" w:sz="4" w:space="0"/>
              <w:left w:val="single" w:color="auto" w:sz="4" w:space="0"/>
              <w:bottom w:val="single" w:color="auto" w:sz="4" w:space="0"/>
              <w:right w:val="single" w:color="auto" w:sz="4" w:space="0"/>
            </w:tcBorders>
            <w:vAlign w:val="center"/>
          </w:tcPr>
          <w:p w14:paraId="1E645287">
            <w:pPr>
              <w:jc w:val="right"/>
              <w:rPr>
                <w:rFonts w:ascii="Arial Narrow" w:hAnsi="Arial Narrow" w:eastAsiaTheme="minorEastAsia"/>
                <w:szCs w:val="21"/>
              </w:rPr>
            </w:pPr>
            <w:r>
              <w:rPr>
                <w:rFonts w:ascii="Arial Narrow" w:hAnsi="Arial Narrow" w:eastAsiaTheme="minorEastAsia"/>
                <w:color w:val="000000"/>
                <w:szCs w:val="21"/>
              </w:rPr>
              <w:t>523,831,816.59</w:t>
            </w:r>
          </w:p>
        </w:tc>
        <w:tc>
          <w:tcPr>
            <w:tcW w:w="1652" w:type="pct"/>
            <w:tcBorders>
              <w:top w:val="single" w:color="auto" w:sz="4" w:space="0"/>
              <w:left w:val="single" w:color="auto" w:sz="4" w:space="0"/>
              <w:bottom w:val="single" w:color="auto" w:sz="4" w:space="0"/>
              <w:right w:val="single" w:color="auto" w:sz="4" w:space="0"/>
            </w:tcBorders>
            <w:vAlign w:val="center"/>
          </w:tcPr>
          <w:p w14:paraId="09BED478">
            <w:pPr>
              <w:jc w:val="right"/>
              <w:rPr>
                <w:rFonts w:ascii="Arial Narrow" w:hAnsi="Arial Narrow" w:eastAsiaTheme="minorEastAsia"/>
                <w:szCs w:val="21"/>
              </w:rPr>
            </w:pPr>
            <w:r>
              <w:rPr>
                <w:rFonts w:ascii="Arial Narrow" w:hAnsi="Arial Narrow" w:eastAsiaTheme="minorEastAsia"/>
                <w:color w:val="000000"/>
                <w:szCs w:val="21"/>
              </w:rPr>
              <w:t>353,304,149.86</w:t>
            </w:r>
          </w:p>
        </w:tc>
      </w:tr>
      <w:tr w14:paraId="7B60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3BA0E784">
            <w:pPr>
              <w:rPr>
                <w:rFonts w:ascii="Arial Narrow" w:hAnsi="Arial Narrow" w:eastAsiaTheme="minorEastAsia"/>
                <w:szCs w:val="21"/>
              </w:rPr>
            </w:pPr>
            <w:r>
              <w:rPr>
                <w:rFonts w:ascii="Arial Narrow" w:hAnsi="Arial Narrow" w:eastAsiaTheme="minorEastAsia"/>
                <w:szCs w:val="21"/>
              </w:rPr>
              <w:t>4至5年</w:t>
            </w:r>
          </w:p>
        </w:tc>
        <w:tc>
          <w:tcPr>
            <w:tcW w:w="1652" w:type="pct"/>
            <w:tcBorders>
              <w:top w:val="single" w:color="auto" w:sz="4" w:space="0"/>
              <w:left w:val="single" w:color="auto" w:sz="4" w:space="0"/>
              <w:bottom w:val="single" w:color="auto" w:sz="4" w:space="0"/>
              <w:right w:val="single" w:color="auto" w:sz="4" w:space="0"/>
            </w:tcBorders>
            <w:vAlign w:val="center"/>
          </w:tcPr>
          <w:p w14:paraId="26DE99FB">
            <w:pPr>
              <w:jc w:val="right"/>
              <w:rPr>
                <w:rFonts w:ascii="Arial Narrow" w:hAnsi="Arial Narrow" w:eastAsiaTheme="minorEastAsia"/>
                <w:szCs w:val="21"/>
              </w:rPr>
            </w:pPr>
            <w:r>
              <w:rPr>
                <w:rFonts w:ascii="Arial Narrow" w:hAnsi="Arial Narrow" w:eastAsiaTheme="minorEastAsia"/>
                <w:color w:val="000000"/>
                <w:szCs w:val="21"/>
              </w:rPr>
              <w:t>327,274,659.19</w:t>
            </w:r>
          </w:p>
        </w:tc>
        <w:tc>
          <w:tcPr>
            <w:tcW w:w="1652" w:type="pct"/>
            <w:tcBorders>
              <w:top w:val="single" w:color="auto" w:sz="4" w:space="0"/>
              <w:left w:val="single" w:color="auto" w:sz="4" w:space="0"/>
              <w:bottom w:val="single" w:color="auto" w:sz="4" w:space="0"/>
              <w:right w:val="single" w:color="auto" w:sz="4" w:space="0"/>
            </w:tcBorders>
            <w:vAlign w:val="center"/>
          </w:tcPr>
          <w:p w14:paraId="44C602A8">
            <w:pPr>
              <w:jc w:val="right"/>
              <w:rPr>
                <w:rFonts w:ascii="Arial Narrow" w:hAnsi="Arial Narrow" w:eastAsiaTheme="minorEastAsia"/>
                <w:szCs w:val="21"/>
              </w:rPr>
            </w:pPr>
            <w:r>
              <w:rPr>
                <w:rFonts w:ascii="Arial Narrow" w:hAnsi="Arial Narrow" w:eastAsiaTheme="minorEastAsia"/>
                <w:color w:val="000000"/>
                <w:szCs w:val="21"/>
              </w:rPr>
              <w:t>418,317,822.30</w:t>
            </w:r>
          </w:p>
        </w:tc>
      </w:tr>
      <w:tr w14:paraId="51AE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4A4CB740">
            <w:pPr>
              <w:rPr>
                <w:rFonts w:ascii="Arial Narrow" w:hAnsi="Arial Narrow" w:eastAsiaTheme="minorEastAsia"/>
                <w:szCs w:val="21"/>
              </w:rPr>
            </w:pPr>
            <w:r>
              <w:rPr>
                <w:rFonts w:ascii="Arial Narrow" w:hAnsi="Arial Narrow" w:eastAsiaTheme="minorEastAsia"/>
                <w:szCs w:val="21"/>
              </w:rPr>
              <w:t>5年以上</w:t>
            </w:r>
          </w:p>
        </w:tc>
        <w:tc>
          <w:tcPr>
            <w:tcW w:w="1652" w:type="pct"/>
            <w:tcBorders>
              <w:top w:val="single" w:color="auto" w:sz="4" w:space="0"/>
              <w:left w:val="single" w:color="auto" w:sz="4" w:space="0"/>
              <w:bottom w:val="single" w:color="auto" w:sz="4" w:space="0"/>
              <w:right w:val="single" w:color="auto" w:sz="4" w:space="0"/>
            </w:tcBorders>
            <w:vAlign w:val="center"/>
          </w:tcPr>
          <w:p w14:paraId="7C1EFE5E">
            <w:pPr>
              <w:jc w:val="right"/>
              <w:rPr>
                <w:rFonts w:ascii="Arial Narrow" w:hAnsi="Arial Narrow" w:eastAsiaTheme="minorEastAsia"/>
                <w:szCs w:val="21"/>
              </w:rPr>
            </w:pPr>
            <w:r>
              <w:rPr>
                <w:rFonts w:ascii="Arial Narrow" w:hAnsi="Arial Narrow" w:eastAsiaTheme="minorEastAsia"/>
                <w:color w:val="000000"/>
                <w:szCs w:val="21"/>
              </w:rPr>
              <w:t>4,186,047,981.07</w:t>
            </w:r>
          </w:p>
        </w:tc>
        <w:tc>
          <w:tcPr>
            <w:tcW w:w="1652" w:type="pct"/>
            <w:tcBorders>
              <w:top w:val="single" w:color="auto" w:sz="4" w:space="0"/>
              <w:left w:val="single" w:color="auto" w:sz="4" w:space="0"/>
              <w:bottom w:val="single" w:color="auto" w:sz="4" w:space="0"/>
              <w:right w:val="single" w:color="auto" w:sz="4" w:space="0"/>
            </w:tcBorders>
            <w:vAlign w:val="center"/>
          </w:tcPr>
          <w:p w14:paraId="4C116079">
            <w:pPr>
              <w:jc w:val="right"/>
              <w:rPr>
                <w:rFonts w:ascii="Arial Narrow" w:hAnsi="Arial Narrow" w:eastAsiaTheme="minorEastAsia"/>
                <w:szCs w:val="21"/>
              </w:rPr>
            </w:pPr>
            <w:r>
              <w:rPr>
                <w:rFonts w:ascii="Arial Narrow" w:hAnsi="Arial Narrow" w:eastAsiaTheme="minorEastAsia"/>
                <w:color w:val="000000"/>
                <w:szCs w:val="21"/>
              </w:rPr>
              <w:t>4,258,196,507.27</w:t>
            </w:r>
          </w:p>
        </w:tc>
      </w:tr>
      <w:tr w14:paraId="097A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14:paraId="699B5209">
            <w:pPr>
              <w:jc w:val="center"/>
              <w:rPr>
                <w:rFonts w:ascii="Arial Narrow" w:hAnsi="Arial Narrow" w:eastAsiaTheme="minorEastAsia"/>
                <w:szCs w:val="21"/>
              </w:rPr>
            </w:pPr>
            <w:r>
              <w:rPr>
                <w:rFonts w:ascii="Arial Narrow" w:hAnsi="Arial Narrow" w:eastAsiaTheme="minorEastAsia"/>
                <w:szCs w:val="21"/>
              </w:rPr>
              <w:t>合计</w:t>
            </w:r>
          </w:p>
        </w:tc>
        <w:tc>
          <w:tcPr>
            <w:tcW w:w="1652" w:type="pct"/>
            <w:tcBorders>
              <w:top w:val="single" w:color="auto" w:sz="4" w:space="0"/>
              <w:left w:val="single" w:color="auto" w:sz="4" w:space="0"/>
              <w:bottom w:val="single" w:color="auto" w:sz="4" w:space="0"/>
              <w:right w:val="single" w:color="auto" w:sz="4" w:space="0"/>
            </w:tcBorders>
            <w:vAlign w:val="center"/>
          </w:tcPr>
          <w:p w14:paraId="06A724D3">
            <w:pPr>
              <w:jc w:val="right"/>
              <w:rPr>
                <w:rFonts w:ascii="Arial Narrow" w:hAnsi="Arial Narrow" w:eastAsiaTheme="minorEastAsia"/>
                <w:szCs w:val="21"/>
              </w:rPr>
            </w:pPr>
            <w:r>
              <w:rPr>
                <w:rFonts w:ascii="Arial Narrow" w:hAnsi="Arial Narrow" w:eastAsiaTheme="minorEastAsia"/>
                <w:color w:val="000000"/>
                <w:szCs w:val="21"/>
              </w:rPr>
              <w:t>7,332,490,453.98</w:t>
            </w:r>
          </w:p>
        </w:tc>
        <w:tc>
          <w:tcPr>
            <w:tcW w:w="1652" w:type="pct"/>
            <w:tcBorders>
              <w:top w:val="single" w:color="auto" w:sz="4" w:space="0"/>
              <w:left w:val="single" w:color="auto" w:sz="4" w:space="0"/>
              <w:bottom w:val="single" w:color="auto" w:sz="4" w:space="0"/>
              <w:right w:val="single" w:color="auto" w:sz="4" w:space="0"/>
            </w:tcBorders>
            <w:vAlign w:val="center"/>
          </w:tcPr>
          <w:p w14:paraId="553C684D">
            <w:pPr>
              <w:jc w:val="right"/>
              <w:rPr>
                <w:rFonts w:ascii="Arial Narrow" w:hAnsi="Arial Narrow" w:eastAsiaTheme="minorEastAsia"/>
                <w:szCs w:val="21"/>
              </w:rPr>
            </w:pPr>
            <w:r>
              <w:rPr>
                <w:rFonts w:ascii="Arial Narrow" w:hAnsi="Arial Narrow" w:eastAsiaTheme="minorEastAsia"/>
                <w:color w:val="000000"/>
                <w:szCs w:val="21"/>
              </w:rPr>
              <w:t>7,791,658,666.23</w:t>
            </w:r>
          </w:p>
        </w:tc>
      </w:tr>
    </w:tbl>
    <w:p w14:paraId="2F40189D">
      <w:pPr>
        <w:rPr>
          <w:rFonts w:hint="eastAsia"/>
        </w:rPr>
      </w:pPr>
    </w:p>
    <w:p w14:paraId="157EFA0A">
      <w:pPr>
        <w:rPr>
          <w:rFonts w:hint="eastAsia"/>
        </w:rPr>
      </w:pPr>
    </w:p>
    <w:bookmarkEnd w:id="433"/>
    <w:p w14:paraId="48FD1820">
      <w:pPr>
        <w:pStyle w:val="72"/>
        <w:numPr>
          <w:ilvl w:val="0"/>
          <w:numId w:val="178"/>
        </w:numPr>
        <w:ind w:leftChars="0"/>
      </w:pPr>
      <w:r>
        <w:rPr>
          <w:rFonts w:hint="eastAsia"/>
        </w:rPr>
        <w:t>按款项性质分类情况</w:t>
      </w:r>
    </w:p>
    <w:p w14:paraId="30935C57">
      <w:pPr>
        <w:rPr>
          <w:rFonts w:hint="eastAsia"/>
        </w:rPr>
      </w:pPr>
      <w:sdt>
        <w:sdtPr>
          <w:alias w:val="是否适用：母公司其他应收款按款项性质分类情况[双击切换]"/>
          <w:tag w:val="_GBC_a5e5418d19394a1c8f8093184d9b360a"/>
          <w:id w:val="-215047952"/>
          <w:placeholder>
            <w:docPart w:val="GBC22222222222222222222222222222"/>
          </w:placeholder>
        </w:sdtPr>
        <w:sdtContent>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204A51D8">
      <w:pPr>
        <w:jc w:val="right"/>
        <w:rPr>
          <w:rFonts w:hint="eastAsia"/>
        </w:rPr>
      </w:pPr>
      <w:r>
        <w:rPr>
          <w:rFonts w:hint="eastAsia"/>
        </w:rPr>
        <w:t>单位：</w:t>
      </w:r>
      <w:sdt>
        <w:sdtPr>
          <w:rPr>
            <w:rFonts w:hint="eastAsia"/>
          </w:rPr>
          <w:alias w:val="单位：财务附注：母公司其他应收款按款项性质分类情况"/>
          <w:tag w:val="_GBC_451485fc33dc4b2c9be5a44730242ca7"/>
          <w:id w:val="-19934852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8004248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906"/>
        <w:gridCol w:w="2917"/>
      </w:tblGrid>
      <w:tr w14:paraId="0E50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szCs w:val="21"/>
            </w:rPr>
            <w:tag w:val="_PLD_fa2a2127303b4deebb2bcaea193eb6d9"/>
            <w:id w:val="-1400042097"/>
          </w:sdtPr>
          <w:sdtEndPr>
            <w:rPr>
              <w:rFonts w:ascii="Arial Narrow" w:hAnsi="Arial Narrow" w:eastAsiaTheme="minorEastAsia"/>
              <w:szCs w:val="21"/>
            </w:rPr>
          </w:sdtEndPr>
          <w:sdtContent>
            <w:tc>
              <w:tcPr>
                <w:tcW w:w="1700" w:type="pct"/>
              </w:tcPr>
              <w:p w14:paraId="5E3295F2">
                <w:pPr>
                  <w:widowControl w:val="0"/>
                  <w:jc w:val="center"/>
                  <w:rPr>
                    <w:rFonts w:ascii="Arial Narrow" w:hAnsi="Arial Narrow" w:eastAsiaTheme="minorEastAsia"/>
                    <w:szCs w:val="21"/>
                  </w:rPr>
                </w:pPr>
                <w:r>
                  <w:rPr>
                    <w:rFonts w:ascii="Arial Narrow" w:hAnsi="Arial Narrow" w:eastAsiaTheme="minorEastAsia"/>
                    <w:szCs w:val="21"/>
                  </w:rPr>
                  <w:t>款项性质</w:t>
                </w:r>
              </w:p>
            </w:tc>
          </w:sdtContent>
        </w:sdt>
        <w:sdt>
          <w:sdtPr>
            <w:rPr>
              <w:rFonts w:ascii="Arial Narrow" w:hAnsi="Arial Narrow" w:eastAsiaTheme="minorEastAsia"/>
              <w:szCs w:val="21"/>
            </w:rPr>
            <w:tag w:val="_PLD_aa55d719329144e5a0eafd36222d0851"/>
            <w:id w:val="1929778950"/>
          </w:sdtPr>
          <w:sdtEndPr>
            <w:rPr>
              <w:rFonts w:ascii="Arial Narrow" w:hAnsi="Arial Narrow" w:eastAsiaTheme="minorEastAsia"/>
              <w:szCs w:val="21"/>
            </w:rPr>
          </w:sdtEndPr>
          <w:sdtContent>
            <w:tc>
              <w:tcPr>
                <w:tcW w:w="1647" w:type="pct"/>
              </w:tcPr>
              <w:p w14:paraId="55AF53E2">
                <w:pPr>
                  <w:widowControl w:val="0"/>
                  <w:jc w:val="center"/>
                  <w:rPr>
                    <w:rFonts w:ascii="Arial Narrow" w:hAnsi="Arial Narrow" w:eastAsiaTheme="minorEastAsia"/>
                    <w:szCs w:val="21"/>
                  </w:rPr>
                </w:pPr>
                <w:r>
                  <w:rPr>
                    <w:rFonts w:ascii="Arial Narrow" w:hAnsi="Arial Narrow" w:eastAsiaTheme="minorEastAsia"/>
                    <w:szCs w:val="21"/>
                  </w:rPr>
                  <w:t>期末账面余额</w:t>
                </w:r>
              </w:p>
            </w:tc>
          </w:sdtContent>
        </w:sdt>
        <w:sdt>
          <w:sdtPr>
            <w:rPr>
              <w:rFonts w:ascii="Arial Narrow" w:hAnsi="Arial Narrow" w:eastAsiaTheme="minorEastAsia"/>
              <w:szCs w:val="21"/>
            </w:rPr>
            <w:tag w:val="_PLD_146282129b6a4b52a6963dad9647679a"/>
            <w:id w:val="-1859956005"/>
          </w:sdtPr>
          <w:sdtEndPr>
            <w:rPr>
              <w:rFonts w:ascii="Arial Narrow" w:hAnsi="Arial Narrow" w:eastAsiaTheme="minorEastAsia"/>
              <w:szCs w:val="21"/>
            </w:rPr>
          </w:sdtEndPr>
          <w:sdtContent>
            <w:tc>
              <w:tcPr>
                <w:tcW w:w="1653" w:type="pct"/>
              </w:tcPr>
              <w:p w14:paraId="4231DF51">
                <w:pPr>
                  <w:widowControl w:val="0"/>
                  <w:jc w:val="center"/>
                  <w:rPr>
                    <w:rFonts w:ascii="Arial Narrow" w:hAnsi="Arial Narrow" w:eastAsiaTheme="minorEastAsia"/>
                    <w:szCs w:val="21"/>
                  </w:rPr>
                </w:pPr>
                <w:r>
                  <w:rPr>
                    <w:rFonts w:ascii="Arial Narrow" w:hAnsi="Arial Narrow" w:eastAsiaTheme="minorEastAsia"/>
                    <w:szCs w:val="21"/>
                  </w:rPr>
                  <w:t>期初账面余额</w:t>
                </w:r>
              </w:p>
            </w:tc>
          </w:sdtContent>
        </w:sdt>
      </w:tr>
      <w:tr w14:paraId="680D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2C3968D">
            <w:pPr>
              <w:widowControl w:val="0"/>
              <w:jc w:val="both"/>
              <w:rPr>
                <w:rFonts w:ascii="Arial Narrow" w:hAnsi="Arial Narrow" w:eastAsiaTheme="minorEastAsia"/>
                <w:szCs w:val="21"/>
              </w:rPr>
            </w:pPr>
            <w:r>
              <w:rPr>
                <w:rFonts w:ascii="Arial Narrow" w:hAnsi="Arial Narrow" w:eastAsiaTheme="minorEastAsia"/>
                <w:color w:val="000000"/>
                <w:szCs w:val="21"/>
              </w:rPr>
              <w:t>备用金</w:t>
            </w:r>
          </w:p>
        </w:tc>
        <w:tc>
          <w:tcPr>
            <w:tcW w:w="1647" w:type="pct"/>
            <w:vAlign w:val="center"/>
          </w:tcPr>
          <w:p w14:paraId="34736F52">
            <w:pPr>
              <w:widowControl w:val="0"/>
              <w:jc w:val="right"/>
              <w:rPr>
                <w:rFonts w:ascii="Arial Narrow" w:hAnsi="Arial Narrow" w:eastAsiaTheme="minorEastAsia"/>
                <w:szCs w:val="21"/>
              </w:rPr>
            </w:pPr>
            <w:r>
              <w:rPr>
                <w:rFonts w:ascii="Arial Narrow" w:hAnsi="Arial Narrow" w:eastAsiaTheme="minorEastAsia"/>
                <w:color w:val="000000"/>
                <w:szCs w:val="21"/>
              </w:rPr>
              <w:t>1,443,792.73</w:t>
            </w:r>
          </w:p>
        </w:tc>
        <w:tc>
          <w:tcPr>
            <w:tcW w:w="1653" w:type="pct"/>
            <w:vAlign w:val="center"/>
          </w:tcPr>
          <w:p w14:paraId="4B827D4C">
            <w:pPr>
              <w:widowControl w:val="0"/>
              <w:jc w:val="right"/>
              <w:rPr>
                <w:rFonts w:ascii="Arial Narrow" w:hAnsi="Arial Narrow" w:eastAsiaTheme="minorEastAsia"/>
                <w:szCs w:val="21"/>
              </w:rPr>
            </w:pPr>
            <w:r>
              <w:rPr>
                <w:rFonts w:ascii="Arial Narrow" w:hAnsi="Arial Narrow" w:eastAsiaTheme="minorEastAsia"/>
                <w:color w:val="000000"/>
                <w:szCs w:val="21"/>
              </w:rPr>
              <w:t>1,123,792.73</w:t>
            </w:r>
          </w:p>
        </w:tc>
      </w:tr>
      <w:tr w14:paraId="1968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4C0E7A8C">
            <w:pPr>
              <w:widowControl w:val="0"/>
              <w:jc w:val="both"/>
              <w:rPr>
                <w:rFonts w:ascii="Arial Narrow" w:hAnsi="Arial Narrow" w:eastAsiaTheme="minorEastAsia"/>
                <w:color w:val="000000"/>
                <w:szCs w:val="21"/>
              </w:rPr>
            </w:pPr>
            <w:r>
              <w:rPr>
                <w:rFonts w:ascii="Arial Narrow" w:hAnsi="Arial Narrow" w:eastAsiaTheme="minorEastAsia"/>
                <w:color w:val="000000"/>
                <w:szCs w:val="21"/>
              </w:rPr>
              <w:t>往来款</w:t>
            </w:r>
          </w:p>
        </w:tc>
        <w:tc>
          <w:tcPr>
            <w:tcW w:w="1647" w:type="pct"/>
            <w:vAlign w:val="center"/>
          </w:tcPr>
          <w:p w14:paraId="628035E8">
            <w:pPr>
              <w:widowControl w:val="0"/>
              <w:jc w:val="right"/>
              <w:rPr>
                <w:rFonts w:ascii="Arial Narrow" w:hAnsi="Arial Narrow" w:eastAsiaTheme="minorEastAsia"/>
                <w:color w:val="000000"/>
                <w:szCs w:val="21"/>
              </w:rPr>
            </w:pPr>
            <w:r>
              <w:rPr>
                <w:rFonts w:ascii="Arial Narrow" w:hAnsi="Arial Narrow" w:eastAsiaTheme="minorEastAsia"/>
                <w:color w:val="000000"/>
                <w:szCs w:val="21"/>
              </w:rPr>
              <w:t>2,054,137,632.52</w:t>
            </w:r>
          </w:p>
        </w:tc>
        <w:tc>
          <w:tcPr>
            <w:tcW w:w="1653" w:type="pct"/>
            <w:vAlign w:val="center"/>
          </w:tcPr>
          <w:p w14:paraId="6BA0F872">
            <w:pPr>
              <w:widowControl w:val="0"/>
              <w:jc w:val="right"/>
              <w:rPr>
                <w:rFonts w:ascii="Arial Narrow" w:hAnsi="Arial Narrow" w:eastAsiaTheme="minorEastAsia"/>
                <w:color w:val="000000"/>
                <w:szCs w:val="21"/>
              </w:rPr>
            </w:pPr>
            <w:r>
              <w:rPr>
                <w:rFonts w:ascii="Arial Narrow" w:hAnsi="Arial Narrow" w:eastAsiaTheme="minorEastAsia"/>
                <w:color w:val="000000"/>
                <w:szCs w:val="21"/>
              </w:rPr>
              <w:t>1,175,203,111.68</w:t>
            </w:r>
          </w:p>
        </w:tc>
      </w:tr>
      <w:tr w14:paraId="4723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DE0F780">
            <w:pPr>
              <w:widowControl w:val="0"/>
              <w:jc w:val="both"/>
              <w:rPr>
                <w:rFonts w:ascii="Arial Narrow" w:hAnsi="Arial Narrow" w:eastAsiaTheme="minorEastAsia"/>
                <w:szCs w:val="21"/>
              </w:rPr>
            </w:pPr>
            <w:r>
              <w:rPr>
                <w:rFonts w:ascii="Arial Narrow" w:hAnsi="Arial Narrow" w:eastAsiaTheme="minorEastAsia"/>
                <w:color w:val="000000"/>
                <w:szCs w:val="21"/>
              </w:rPr>
              <w:t>所属企业借款</w:t>
            </w:r>
          </w:p>
        </w:tc>
        <w:tc>
          <w:tcPr>
            <w:tcW w:w="1647" w:type="pct"/>
            <w:vAlign w:val="center"/>
          </w:tcPr>
          <w:p w14:paraId="7A83C941">
            <w:pPr>
              <w:widowControl w:val="0"/>
              <w:jc w:val="right"/>
              <w:rPr>
                <w:rFonts w:ascii="Arial Narrow" w:hAnsi="Arial Narrow" w:eastAsiaTheme="minorEastAsia"/>
                <w:szCs w:val="21"/>
              </w:rPr>
            </w:pPr>
            <w:r>
              <w:rPr>
                <w:rFonts w:ascii="Arial Narrow" w:hAnsi="Arial Narrow" w:eastAsiaTheme="minorEastAsia"/>
                <w:color w:val="000000"/>
                <w:szCs w:val="21"/>
              </w:rPr>
              <w:t>2,110,463,309.30</w:t>
            </w:r>
          </w:p>
        </w:tc>
        <w:tc>
          <w:tcPr>
            <w:tcW w:w="1653" w:type="pct"/>
            <w:vAlign w:val="center"/>
          </w:tcPr>
          <w:p w14:paraId="2CCCC810">
            <w:pPr>
              <w:widowControl w:val="0"/>
              <w:jc w:val="right"/>
              <w:rPr>
                <w:rFonts w:ascii="Arial Narrow" w:hAnsi="Arial Narrow" w:eastAsiaTheme="minorEastAsia"/>
                <w:szCs w:val="21"/>
              </w:rPr>
            </w:pPr>
            <w:r>
              <w:rPr>
                <w:rFonts w:ascii="Arial Narrow" w:hAnsi="Arial Narrow" w:eastAsiaTheme="minorEastAsia"/>
                <w:color w:val="000000"/>
                <w:szCs w:val="21"/>
              </w:rPr>
              <w:t>3,052,466,141.79</w:t>
            </w:r>
          </w:p>
        </w:tc>
      </w:tr>
      <w:tr w14:paraId="5541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41D652F">
            <w:pPr>
              <w:widowControl w:val="0"/>
              <w:jc w:val="both"/>
              <w:rPr>
                <w:rFonts w:ascii="Arial Narrow" w:hAnsi="Arial Narrow" w:eastAsiaTheme="minorEastAsia"/>
                <w:szCs w:val="21"/>
              </w:rPr>
            </w:pPr>
            <w:r>
              <w:rPr>
                <w:rFonts w:ascii="Arial Narrow" w:hAnsi="Arial Narrow" w:eastAsiaTheme="minorEastAsia"/>
                <w:color w:val="000000"/>
                <w:szCs w:val="21"/>
              </w:rPr>
              <w:t>企业借款利息</w:t>
            </w:r>
          </w:p>
        </w:tc>
        <w:tc>
          <w:tcPr>
            <w:tcW w:w="1647" w:type="pct"/>
            <w:vAlign w:val="center"/>
          </w:tcPr>
          <w:p w14:paraId="76BF6189">
            <w:pPr>
              <w:widowControl w:val="0"/>
              <w:jc w:val="right"/>
              <w:rPr>
                <w:rFonts w:ascii="Arial Narrow" w:hAnsi="Arial Narrow" w:eastAsiaTheme="minorEastAsia"/>
                <w:szCs w:val="21"/>
              </w:rPr>
            </w:pPr>
            <w:r>
              <w:rPr>
                <w:rFonts w:ascii="Arial Narrow" w:hAnsi="Arial Narrow" w:eastAsiaTheme="minorEastAsia"/>
                <w:color w:val="000000"/>
                <w:szCs w:val="21"/>
              </w:rPr>
              <w:t>513,979,156.89</w:t>
            </w:r>
          </w:p>
        </w:tc>
        <w:tc>
          <w:tcPr>
            <w:tcW w:w="1653" w:type="pct"/>
            <w:vAlign w:val="center"/>
          </w:tcPr>
          <w:p w14:paraId="270DBE15">
            <w:pPr>
              <w:widowControl w:val="0"/>
              <w:jc w:val="right"/>
              <w:rPr>
                <w:rFonts w:ascii="Arial Narrow" w:hAnsi="Arial Narrow" w:eastAsiaTheme="minorEastAsia"/>
                <w:szCs w:val="21"/>
              </w:rPr>
            </w:pPr>
            <w:r>
              <w:rPr>
                <w:rFonts w:ascii="Arial Narrow" w:hAnsi="Arial Narrow" w:eastAsiaTheme="minorEastAsia"/>
                <w:color w:val="000000"/>
                <w:szCs w:val="21"/>
              </w:rPr>
              <w:t>456,984,112.96</w:t>
            </w:r>
          </w:p>
        </w:tc>
      </w:tr>
      <w:tr w14:paraId="7BE0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248572AA">
            <w:pPr>
              <w:widowControl w:val="0"/>
              <w:jc w:val="both"/>
              <w:rPr>
                <w:rFonts w:ascii="Arial Narrow" w:hAnsi="Arial Narrow" w:eastAsiaTheme="minorEastAsia"/>
                <w:szCs w:val="21"/>
              </w:rPr>
            </w:pPr>
            <w:r>
              <w:rPr>
                <w:rFonts w:ascii="Arial Narrow" w:hAnsi="Arial Narrow" w:eastAsiaTheme="minorEastAsia"/>
                <w:color w:val="000000"/>
                <w:szCs w:val="21"/>
              </w:rPr>
              <w:t>项目资金</w:t>
            </w:r>
          </w:p>
        </w:tc>
        <w:tc>
          <w:tcPr>
            <w:tcW w:w="1647" w:type="pct"/>
            <w:vAlign w:val="center"/>
          </w:tcPr>
          <w:p w14:paraId="2E8CADA3">
            <w:pPr>
              <w:widowControl w:val="0"/>
              <w:jc w:val="right"/>
              <w:rPr>
                <w:rFonts w:ascii="Arial Narrow" w:hAnsi="Arial Narrow" w:eastAsiaTheme="minorEastAsia"/>
                <w:szCs w:val="21"/>
              </w:rPr>
            </w:pPr>
            <w:r>
              <w:rPr>
                <w:rFonts w:ascii="Arial Narrow" w:hAnsi="Arial Narrow" w:eastAsiaTheme="minorEastAsia"/>
                <w:color w:val="000000"/>
                <w:szCs w:val="21"/>
              </w:rPr>
              <w:t>2,648,610,314.42</w:t>
            </w:r>
          </w:p>
        </w:tc>
        <w:tc>
          <w:tcPr>
            <w:tcW w:w="1653" w:type="pct"/>
            <w:vAlign w:val="center"/>
          </w:tcPr>
          <w:p w14:paraId="65EE23CC">
            <w:pPr>
              <w:widowControl w:val="0"/>
              <w:jc w:val="right"/>
              <w:rPr>
                <w:rFonts w:ascii="Arial Narrow" w:hAnsi="Arial Narrow" w:eastAsiaTheme="minorEastAsia"/>
                <w:szCs w:val="21"/>
              </w:rPr>
            </w:pPr>
            <w:r>
              <w:rPr>
                <w:rFonts w:ascii="Arial Narrow" w:hAnsi="Arial Narrow" w:eastAsiaTheme="minorEastAsia"/>
                <w:color w:val="000000"/>
                <w:szCs w:val="21"/>
              </w:rPr>
              <w:t>3,102,025,258.95</w:t>
            </w:r>
          </w:p>
        </w:tc>
      </w:tr>
      <w:tr w14:paraId="5E9F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CF8A9F4">
            <w:pPr>
              <w:widowControl w:val="0"/>
              <w:jc w:val="both"/>
              <w:rPr>
                <w:rFonts w:ascii="Arial Narrow" w:hAnsi="Arial Narrow" w:eastAsiaTheme="minorEastAsia"/>
                <w:szCs w:val="21"/>
              </w:rPr>
            </w:pPr>
            <w:r>
              <w:rPr>
                <w:rFonts w:ascii="Arial Narrow" w:hAnsi="Arial Narrow" w:eastAsiaTheme="minorEastAsia"/>
                <w:color w:val="000000"/>
                <w:szCs w:val="21"/>
              </w:rPr>
              <w:t>其他</w:t>
            </w:r>
          </w:p>
        </w:tc>
        <w:tc>
          <w:tcPr>
            <w:tcW w:w="1647" w:type="pct"/>
            <w:vAlign w:val="center"/>
          </w:tcPr>
          <w:p w14:paraId="3A9CAC44">
            <w:pPr>
              <w:widowControl w:val="0"/>
              <w:jc w:val="right"/>
              <w:rPr>
                <w:rFonts w:ascii="Arial Narrow" w:hAnsi="Arial Narrow" w:eastAsiaTheme="minorEastAsia"/>
                <w:szCs w:val="21"/>
              </w:rPr>
            </w:pPr>
            <w:r>
              <w:rPr>
                <w:rFonts w:ascii="Arial Narrow" w:hAnsi="Arial Narrow" w:eastAsiaTheme="minorEastAsia"/>
                <w:color w:val="000000"/>
                <w:szCs w:val="21"/>
              </w:rPr>
              <w:t>3,856,248.12</w:t>
            </w:r>
          </w:p>
        </w:tc>
        <w:tc>
          <w:tcPr>
            <w:tcW w:w="1653" w:type="pct"/>
            <w:vAlign w:val="center"/>
          </w:tcPr>
          <w:p w14:paraId="27897024">
            <w:pPr>
              <w:widowControl w:val="0"/>
              <w:jc w:val="right"/>
              <w:rPr>
                <w:rFonts w:ascii="Arial Narrow" w:hAnsi="Arial Narrow" w:eastAsiaTheme="minorEastAsia"/>
                <w:szCs w:val="21"/>
              </w:rPr>
            </w:pPr>
            <w:r>
              <w:rPr>
                <w:rFonts w:ascii="Arial Narrow" w:hAnsi="Arial Narrow" w:eastAsiaTheme="minorEastAsia"/>
                <w:color w:val="000000"/>
                <w:szCs w:val="21"/>
              </w:rPr>
              <w:t>3,856,248.12</w:t>
            </w:r>
          </w:p>
        </w:tc>
      </w:tr>
      <w:tr w14:paraId="2DBD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3215A59B">
            <w:pPr>
              <w:widowControl w:val="0"/>
              <w:jc w:val="center"/>
              <w:rPr>
                <w:rFonts w:ascii="Arial Narrow" w:hAnsi="Arial Narrow" w:eastAsiaTheme="minorEastAsia"/>
                <w:szCs w:val="21"/>
              </w:rPr>
            </w:pPr>
            <w:r>
              <w:rPr>
                <w:rFonts w:ascii="Arial Narrow" w:hAnsi="Arial Narrow" w:eastAsiaTheme="minorEastAsia"/>
                <w:szCs w:val="21"/>
              </w:rPr>
              <w:t>合计</w:t>
            </w:r>
          </w:p>
        </w:tc>
        <w:tc>
          <w:tcPr>
            <w:tcW w:w="1647" w:type="pct"/>
            <w:vAlign w:val="center"/>
          </w:tcPr>
          <w:p w14:paraId="037F05FA">
            <w:pPr>
              <w:widowControl w:val="0"/>
              <w:jc w:val="right"/>
              <w:rPr>
                <w:rFonts w:ascii="Arial Narrow" w:hAnsi="Arial Narrow" w:eastAsiaTheme="minorEastAsia"/>
                <w:szCs w:val="21"/>
              </w:rPr>
            </w:pPr>
            <w:r>
              <w:rPr>
                <w:rFonts w:ascii="Arial Narrow" w:hAnsi="Arial Narrow" w:eastAsiaTheme="minorEastAsia"/>
                <w:color w:val="000000"/>
                <w:szCs w:val="21"/>
              </w:rPr>
              <w:t>7,332,490,453.98</w:t>
            </w:r>
          </w:p>
        </w:tc>
        <w:tc>
          <w:tcPr>
            <w:tcW w:w="1653" w:type="pct"/>
            <w:vAlign w:val="center"/>
          </w:tcPr>
          <w:p w14:paraId="3B14F30E">
            <w:pPr>
              <w:widowControl w:val="0"/>
              <w:jc w:val="right"/>
              <w:rPr>
                <w:rFonts w:ascii="Arial Narrow" w:hAnsi="Arial Narrow" w:eastAsiaTheme="minorEastAsia"/>
                <w:szCs w:val="21"/>
              </w:rPr>
            </w:pPr>
            <w:r>
              <w:rPr>
                <w:rFonts w:ascii="Arial Narrow" w:hAnsi="Arial Narrow" w:eastAsiaTheme="minorEastAsia"/>
                <w:color w:val="000000"/>
                <w:szCs w:val="21"/>
              </w:rPr>
              <w:t>7,791,658,666.23</w:t>
            </w:r>
          </w:p>
        </w:tc>
      </w:tr>
    </w:tbl>
    <w:p w14:paraId="4E477792">
      <w:pPr>
        <w:rPr>
          <w:rFonts w:hint="eastAsia"/>
        </w:rPr>
      </w:pPr>
    </w:p>
    <w:p w14:paraId="2CC760DE">
      <w:pPr>
        <w:rPr>
          <w:rFonts w:hint="eastAsia"/>
        </w:rPr>
      </w:pPr>
    </w:p>
    <w:bookmarkEnd w:id="434"/>
    <w:p w14:paraId="26C30DC8">
      <w:pPr>
        <w:pStyle w:val="72"/>
        <w:numPr>
          <w:ilvl w:val="0"/>
          <w:numId w:val="178"/>
        </w:numPr>
        <w:ind w:leftChars="0"/>
      </w:pPr>
      <w:bookmarkStart w:id="435" w:name="_Hlk533870927"/>
      <w:r>
        <w:rPr>
          <w:rFonts w:hint="eastAsia"/>
        </w:rPr>
        <w:t>坏账准备计提情况</w:t>
      </w:r>
    </w:p>
    <w:sdt>
      <w:sdtPr>
        <w:alias w:val="是否适用：母公司其他应收款坏账准备调节表[双击切换]"/>
        <w:tag w:val="_GBC_34d55fda2adc4508bb77a03583cd3d2d"/>
        <w:id w:val="-355043382"/>
        <w:placeholder>
          <w:docPart w:val="GBC22222222222222222222222222222"/>
        </w:placeholder>
      </w:sdtPr>
      <w:sdtContent>
        <w:p w14:paraId="23F48128">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0BAAA7">
      <w:pPr>
        <w:autoSpaceDE w:val="0"/>
        <w:autoSpaceDN w:val="0"/>
        <w:adjustRightInd w:val="0"/>
        <w:ind w:right="105" w:rightChars="50"/>
        <w:jc w:val="right"/>
        <w:rPr>
          <w:rFonts w:hint="eastAsia"/>
          <w:szCs w:val="21"/>
        </w:rPr>
      </w:pPr>
      <w:r>
        <w:rPr>
          <w:rFonts w:hint="eastAsia"/>
          <w:szCs w:val="21"/>
        </w:rPr>
        <w:t>单位：</w:t>
      </w:r>
      <w:sdt>
        <w:sdtPr>
          <w:rPr>
            <w:rFonts w:hint="eastAsia"/>
            <w:szCs w:val="21"/>
          </w:rPr>
          <w:alias w:val="单位：母公司其他应收款坏账准备调节表"/>
          <w:tag w:val="_GBC_b494dbb0c2794f39b9fb29a12fc478f8"/>
          <w:id w:val="-8352201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a5fe64b13e1448e3b1446e3cf0428cfc"/>
          <w:id w:val="6099449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1843"/>
        <w:gridCol w:w="2301"/>
        <w:gridCol w:w="2132"/>
      </w:tblGrid>
      <w:tr w14:paraId="6AB9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21b2d66f9e3e44f9a3867e2f9fa483ea"/>
            <w:id w:val="-234629190"/>
          </w:sdtPr>
          <w:sdtEndPr>
            <w:rPr>
              <w:rFonts w:ascii="Arial Narrow" w:hAnsi="Arial Narrow" w:eastAsiaTheme="minorEastAsia"/>
            </w:rPr>
          </w:sdtEndPr>
          <w:sdtContent>
            <w:tc>
              <w:tcPr>
                <w:tcW w:w="1443" w:type="pct"/>
                <w:vMerge w:val="restart"/>
                <w:vAlign w:val="center"/>
              </w:tcPr>
              <w:p w14:paraId="389EC1AE">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坏账准备</w:t>
                </w:r>
              </w:p>
            </w:tc>
          </w:sdtContent>
        </w:sdt>
        <w:sdt>
          <w:sdtPr>
            <w:rPr>
              <w:rFonts w:ascii="Arial Narrow" w:hAnsi="Arial Narrow" w:eastAsiaTheme="minorEastAsia"/>
            </w:rPr>
            <w:tag w:val="_PLD_34b0b4bcbee6472f945ee1ca26e45970"/>
            <w:id w:val="1815376461"/>
          </w:sdtPr>
          <w:sdtEndPr>
            <w:rPr>
              <w:rFonts w:ascii="Arial Narrow" w:hAnsi="Arial Narrow" w:eastAsiaTheme="minorEastAsia"/>
            </w:rPr>
          </w:sdtEndPr>
          <w:sdtContent>
            <w:tc>
              <w:tcPr>
                <w:tcW w:w="1044" w:type="pct"/>
                <w:vAlign w:val="center"/>
              </w:tcPr>
              <w:p w14:paraId="3D78F12D">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第一阶段</w:t>
                </w:r>
              </w:p>
            </w:tc>
          </w:sdtContent>
        </w:sdt>
        <w:sdt>
          <w:sdtPr>
            <w:rPr>
              <w:rFonts w:ascii="Arial Narrow" w:hAnsi="Arial Narrow" w:eastAsiaTheme="minorEastAsia"/>
            </w:rPr>
            <w:tag w:val="_PLD_12639a93161546c79f54a930c0ece668"/>
            <w:id w:val="-340852621"/>
          </w:sdtPr>
          <w:sdtEndPr>
            <w:rPr>
              <w:rFonts w:ascii="Arial Narrow" w:hAnsi="Arial Narrow" w:eastAsiaTheme="minorEastAsia"/>
            </w:rPr>
          </w:sdtEndPr>
          <w:sdtContent>
            <w:tc>
              <w:tcPr>
                <w:tcW w:w="1304" w:type="pct"/>
                <w:vAlign w:val="center"/>
              </w:tcPr>
              <w:p w14:paraId="33AAB662">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第三阶段</w:t>
                </w:r>
              </w:p>
            </w:tc>
          </w:sdtContent>
        </w:sdt>
        <w:sdt>
          <w:sdtPr>
            <w:rPr>
              <w:rFonts w:ascii="Arial Narrow" w:hAnsi="Arial Narrow" w:eastAsiaTheme="minorEastAsia"/>
            </w:rPr>
            <w:tag w:val="_PLD_5a93d463a9c749a7a3988972a030308e"/>
            <w:id w:val="2053650721"/>
          </w:sdtPr>
          <w:sdtEndPr>
            <w:rPr>
              <w:rFonts w:ascii="Arial Narrow" w:hAnsi="Arial Narrow" w:eastAsiaTheme="minorEastAsia"/>
            </w:rPr>
          </w:sdtEndPr>
          <w:sdtContent>
            <w:tc>
              <w:tcPr>
                <w:tcW w:w="1208" w:type="pct"/>
                <w:vMerge w:val="restart"/>
                <w:vAlign w:val="center"/>
              </w:tcPr>
              <w:p w14:paraId="37239289">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合计</w:t>
                </w:r>
              </w:p>
            </w:tc>
          </w:sdtContent>
        </w:sdt>
      </w:tr>
      <w:tr w14:paraId="63F3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Merge w:val="continue"/>
            <w:vAlign w:val="center"/>
          </w:tcPr>
          <w:p w14:paraId="67030A19">
            <w:pPr>
              <w:jc w:val="center"/>
              <w:rPr>
                <w:rFonts w:ascii="Arial Narrow" w:hAnsi="Arial Narrow" w:eastAsiaTheme="minorEastAsia"/>
                <w:color w:val="008000"/>
                <w:szCs w:val="21"/>
              </w:rPr>
            </w:pPr>
          </w:p>
        </w:tc>
        <w:sdt>
          <w:sdtPr>
            <w:rPr>
              <w:rFonts w:ascii="Arial Narrow" w:hAnsi="Arial Narrow" w:eastAsiaTheme="minorEastAsia"/>
            </w:rPr>
            <w:tag w:val="_PLD_6c31319b241149a587899b0690e3641d"/>
            <w:id w:val="-166025860"/>
          </w:sdtPr>
          <w:sdtEndPr>
            <w:rPr>
              <w:rFonts w:ascii="Arial Narrow" w:hAnsi="Arial Narrow" w:eastAsiaTheme="minorEastAsia"/>
            </w:rPr>
          </w:sdtEndPr>
          <w:sdtContent>
            <w:tc>
              <w:tcPr>
                <w:tcW w:w="1044" w:type="pct"/>
                <w:vAlign w:val="center"/>
              </w:tcPr>
              <w:p w14:paraId="7AA7603B">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未来12个月预期信用损失</w:t>
                </w:r>
              </w:p>
            </w:tc>
          </w:sdtContent>
        </w:sdt>
        <w:sdt>
          <w:sdtPr>
            <w:rPr>
              <w:rFonts w:ascii="Arial Narrow" w:hAnsi="Arial Narrow" w:eastAsiaTheme="minorEastAsia"/>
            </w:rPr>
            <w:tag w:val="_PLD_96f4d1ff5d1541a5bcedcc9d7d297735"/>
            <w:id w:val="1855610638"/>
          </w:sdtPr>
          <w:sdtEndPr>
            <w:rPr>
              <w:rFonts w:ascii="Arial Narrow" w:hAnsi="Arial Narrow" w:eastAsiaTheme="minorEastAsia"/>
            </w:rPr>
          </w:sdtEndPr>
          <w:sdtContent>
            <w:tc>
              <w:tcPr>
                <w:tcW w:w="1304" w:type="pct"/>
                <w:vAlign w:val="center"/>
              </w:tcPr>
              <w:p w14:paraId="30B009B9">
                <w:pPr>
                  <w:pStyle w:val="50"/>
                  <w:spacing w:after="0" w:line="240" w:lineRule="auto"/>
                  <w:jc w:val="center"/>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整个存续期预期信用损失(已发生信用减值)</w:t>
                </w:r>
              </w:p>
            </w:tc>
          </w:sdtContent>
        </w:sdt>
        <w:tc>
          <w:tcPr>
            <w:tcW w:w="1208" w:type="pct"/>
            <w:vMerge w:val="continue"/>
            <w:vAlign w:val="center"/>
          </w:tcPr>
          <w:p w14:paraId="6C71C730">
            <w:pPr>
              <w:jc w:val="center"/>
              <w:rPr>
                <w:rFonts w:ascii="Arial Narrow" w:hAnsi="Arial Narrow" w:eastAsiaTheme="minorEastAsia"/>
                <w:color w:val="008000"/>
                <w:szCs w:val="21"/>
              </w:rPr>
            </w:pPr>
          </w:p>
        </w:tc>
      </w:tr>
      <w:tr w14:paraId="740E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Align w:val="center"/>
          </w:tcPr>
          <w:p w14:paraId="0C3B7132">
            <w:pPr>
              <w:pStyle w:val="50"/>
              <w:spacing w:after="0" w:line="240" w:lineRule="auto"/>
              <w:jc w:val="both"/>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2024年1月1日余额</w:t>
            </w:r>
          </w:p>
        </w:tc>
        <w:tc>
          <w:tcPr>
            <w:tcW w:w="1044" w:type="pct"/>
            <w:vAlign w:val="center"/>
          </w:tcPr>
          <w:p w14:paraId="5F7252A5">
            <w:pPr>
              <w:jc w:val="right"/>
              <w:rPr>
                <w:rFonts w:ascii="Arial Narrow" w:hAnsi="Arial Narrow" w:eastAsiaTheme="minorEastAsia"/>
                <w:szCs w:val="21"/>
              </w:rPr>
            </w:pPr>
            <w:r>
              <w:rPr>
                <w:rFonts w:ascii="Arial Narrow" w:hAnsi="Arial Narrow" w:eastAsiaTheme="minorEastAsia"/>
                <w:color w:val="000000"/>
                <w:szCs w:val="21"/>
              </w:rPr>
              <w:t>16,116,182.59</w:t>
            </w:r>
          </w:p>
        </w:tc>
        <w:tc>
          <w:tcPr>
            <w:tcW w:w="1304" w:type="pct"/>
            <w:vAlign w:val="center"/>
          </w:tcPr>
          <w:p w14:paraId="12934073">
            <w:pPr>
              <w:jc w:val="right"/>
              <w:rPr>
                <w:rFonts w:ascii="Arial Narrow" w:hAnsi="Arial Narrow" w:eastAsiaTheme="minorEastAsia"/>
                <w:szCs w:val="21"/>
              </w:rPr>
            </w:pPr>
            <w:r>
              <w:rPr>
                <w:rFonts w:ascii="Arial Narrow" w:hAnsi="Arial Narrow" w:eastAsiaTheme="minorEastAsia"/>
                <w:color w:val="000000"/>
                <w:szCs w:val="21"/>
              </w:rPr>
              <w:t>944,909,539.24</w:t>
            </w:r>
          </w:p>
        </w:tc>
        <w:tc>
          <w:tcPr>
            <w:tcW w:w="1208" w:type="pct"/>
            <w:vAlign w:val="center"/>
          </w:tcPr>
          <w:p w14:paraId="361C3AF1">
            <w:pPr>
              <w:jc w:val="right"/>
              <w:rPr>
                <w:rFonts w:ascii="Arial Narrow" w:hAnsi="Arial Narrow" w:eastAsiaTheme="minorEastAsia"/>
                <w:szCs w:val="21"/>
              </w:rPr>
            </w:pPr>
            <w:r>
              <w:rPr>
                <w:rFonts w:ascii="Arial Narrow" w:hAnsi="Arial Narrow" w:eastAsiaTheme="minorEastAsia"/>
                <w:color w:val="000000"/>
                <w:szCs w:val="21"/>
              </w:rPr>
              <w:t>961,025,721.83</w:t>
            </w:r>
          </w:p>
        </w:tc>
      </w:tr>
      <w:tr w14:paraId="4A83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Align w:val="center"/>
          </w:tcPr>
          <w:p w14:paraId="5A402ADA">
            <w:pPr>
              <w:pStyle w:val="50"/>
              <w:spacing w:after="0" w:line="240" w:lineRule="auto"/>
              <w:jc w:val="both"/>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2024年1月1日余额在本期</w:t>
            </w:r>
          </w:p>
        </w:tc>
        <w:tc>
          <w:tcPr>
            <w:tcW w:w="1044" w:type="pct"/>
            <w:vAlign w:val="center"/>
          </w:tcPr>
          <w:p w14:paraId="6AB8CF93">
            <w:pPr>
              <w:jc w:val="right"/>
              <w:rPr>
                <w:rFonts w:ascii="Arial Narrow" w:hAnsi="Arial Narrow" w:eastAsiaTheme="minorEastAsia"/>
                <w:szCs w:val="21"/>
              </w:rPr>
            </w:pPr>
          </w:p>
        </w:tc>
        <w:tc>
          <w:tcPr>
            <w:tcW w:w="1304" w:type="pct"/>
            <w:vAlign w:val="center"/>
          </w:tcPr>
          <w:p w14:paraId="53EC9F7A">
            <w:pPr>
              <w:jc w:val="right"/>
              <w:rPr>
                <w:rFonts w:ascii="Arial Narrow" w:hAnsi="Arial Narrow" w:eastAsiaTheme="minorEastAsia"/>
                <w:szCs w:val="21"/>
              </w:rPr>
            </w:pPr>
          </w:p>
        </w:tc>
        <w:tc>
          <w:tcPr>
            <w:tcW w:w="1208" w:type="pct"/>
            <w:vAlign w:val="center"/>
          </w:tcPr>
          <w:p w14:paraId="37AEDDE4">
            <w:pPr>
              <w:jc w:val="right"/>
              <w:rPr>
                <w:rFonts w:ascii="Arial Narrow" w:hAnsi="Arial Narrow" w:eastAsiaTheme="minorEastAsia"/>
                <w:szCs w:val="21"/>
              </w:rPr>
            </w:pPr>
          </w:p>
        </w:tc>
      </w:tr>
      <w:tr w14:paraId="7A78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Align w:val="center"/>
          </w:tcPr>
          <w:p w14:paraId="0FF9FFF0">
            <w:pPr>
              <w:pStyle w:val="50"/>
              <w:spacing w:after="0" w:line="240" w:lineRule="auto"/>
              <w:jc w:val="both"/>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本期计提</w:t>
            </w:r>
          </w:p>
        </w:tc>
        <w:tc>
          <w:tcPr>
            <w:tcW w:w="1044" w:type="pct"/>
            <w:vAlign w:val="center"/>
          </w:tcPr>
          <w:p w14:paraId="04DC5157">
            <w:pPr>
              <w:jc w:val="right"/>
              <w:rPr>
                <w:rFonts w:ascii="Arial Narrow" w:hAnsi="Arial Narrow" w:eastAsiaTheme="minorEastAsia"/>
                <w:szCs w:val="21"/>
              </w:rPr>
            </w:pPr>
            <w:r>
              <w:rPr>
                <w:rFonts w:ascii="Arial Narrow" w:hAnsi="Arial Narrow" w:eastAsiaTheme="minorEastAsia"/>
                <w:color w:val="000000"/>
                <w:szCs w:val="21"/>
              </w:rPr>
              <w:t>893,165.75</w:t>
            </w:r>
          </w:p>
        </w:tc>
        <w:tc>
          <w:tcPr>
            <w:tcW w:w="1304" w:type="pct"/>
            <w:vAlign w:val="center"/>
          </w:tcPr>
          <w:p w14:paraId="2B744DFF">
            <w:pPr>
              <w:jc w:val="right"/>
              <w:rPr>
                <w:rFonts w:ascii="Arial Narrow" w:hAnsi="Arial Narrow" w:eastAsiaTheme="minorEastAsia"/>
                <w:szCs w:val="21"/>
              </w:rPr>
            </w:pPr>
            <w:r>
              <w:rPr>
                <w:rFonts w:ascii="Arial Narrow" w:hAnsi="Arial Narrow" w:eastAsiaTheme="minorEastAsia"/>
                <w:color w:val="000000"/>
                <w:szCs w:val="21"/>
              </w:rPr>
              <w:t>6,654,932.66</w:t>
            </w:r>
          </w:p>
        </w:tc>
        <w:tc>
          <w:tcPr>
            <w:tcW w:w="1208" w:type="pct"/>
            <w:vAlign w:val="center"/>
          </w:tcPr>
          <w:p w14:paraId="27E0E9DC">
            <w:pPr>
              <w:jc w:val="right"/>
              <w:rPr>
                <w:rFonts w:ascii="Arial Narrow" w:hAnsi="Arial Narrow" w:eastAsiaTheme="minorEastAsia"/>
                <w:szCs w:val="21"/>
              </w:rPr>
            </w:pPr>
            <w:r>
              <w:rPr>
                <w:rFonts w:ascii="Arial Narrow" w:hAnsi="Arial Narrow" w:eastAsiaTheme="minorEastAsia"/>
                <w:color w:val="000000"/>
                <w:szCs w:val="21"/>
              </w:rPr>
              <w:t>7,548,098.41</w:t>
            </w:r>
          </w:p>
        </w:tc>
      </w:tr>
      <w:tr w14:paraId="2B85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Align w:val="center"/>
          </w:tcPr>
          <w:p w14:paraId="114D29A3">
            <w:pPr>
              <w:pStyle w:val="50"/>
              <w:spacing w:after="0" w:line="240" w:lineRule="auto"/>
              <w:rPr>
                <w:rFonts w:ascii="Arial Narrow" w:hAnsi="Arial Narrow" w:cs="宋体" w:eastAsiaTheme="minorEastAsia"/>
                <w:sz w:val="21"/>
                <w:szCs w:val="21"/>
                <w:lang w:eastAsia="zh-CN"/>
              </w:rPr>
            </w:pPr>
            <w:r>
              <w:rPr>
                <w:rFonts w:ascii="Arial Narrow" w:hAnsi="Arial Narrow" w:cs="宋体" w:eastAsiaTheme="minorEastAsia"/>
                <w:sz w:val="21"/>
                <w:szCs w:val="21"/>
                <w:lang w:eastAsia="zh-CN"/>
              </w:rPr>
              <w:t>2024年12月31日余额</w:t>
            </w:r>
          </w:p>
        </w:tc>
        <w:tc>
          <w:tcPr>
            <w:tcW w:w="1044" w:type="pct"/>
            <w:vAlign w:val="center"/>
          </w:tcPr>
          <w:p w14:paraId="5843181F">
            <w:pPr>
              <w:jc w:val="right"/>
              <w:rPr>
                <w:rFonts w:ascii="Arial Narrow" w:hAnsi="Arial Narrow" w:eastAsiaTheme="minorEastAsia"/>
                <w:szCs w:val="21"/>
              </w:rPr>
            </w:pPr>
            <w:r>
              <w:rPr>
                <w:rFonts w:ascii="Arial Narrow" w:hAnsi="Arial Narrow" w:eastAsiaTheme="minorEastAsia"/>
                <w:color w:val="000000"/>
                <w:szCs w:val="21"/>
              </w:rPr>
              <w:t>17,009,348.34</w:t>
            </w:r>
          </w:p>
        </w:tc>
        <w:tc>
          <w:tcPr>
            <w:tcW w:w="1304" w:type="pct"/>
            <w:vAlign w:val="center"/>
          </w:tcPr>
          <w:p w14:paraId="496072F3">
            <w:pPr>
              <w:jc w:val="right"/>
              <w:rPr>
                <w:rFonts w:ascii="Arial Narrow" w:hAnsi="Arial Narrow" w:eastAsiaTheme="minorEastAsia"/>
                <w:szCs w:val="21"/>
              </w:rPr>
            </w:pPr>
            <w:r>
              <w:rPr>
                <w:rFonts w:ascii="Arial Narrow" w:hAnsi="Arial Narrow" w:eastAsiaTheme="minorEastAsia"/>
                <w:color w:val="000000"/>
                <w:szCs w:val="21"/>
              </w:rPr>
              <w:t>951,564,471.90</w:t>
            </w:r>
          </w:p>
        </w:tc>
        <w:tc>
          <w:tcPr>
            <w:tcW w:w="1208" w:type="pct"/>
            <w:vAlign w:val="center"/>
          </w:tcPr>
          <w:p w14:paraId="1426B1F1">
            <w:pPr>
              <w:jc w:val="right"/>
              <w:rPr>
                <w:rFonts w:ascii="Arial Narrow" w:hAnsi="Arial Narrow" w:eastAsiaTheme="minorEastAsia"/>
                <w:szCs w:val="21"/>
              </w:rPr>
            </w:pPr>
            <w:r>
              <w:rPr>
                <w:rFonts w:ascii="Arial Narrow" w:hAnsi="Arial Narrow" w:eastAsiaTheme="minorEastAsia"/>
                <w:color w:val="000000"/>
                <w:szCs w:val="21"/>
              </w:rPr>
              <w:t>968,573,820.24</w:t>
            </w:r>
          </w:p>
        </w:tc>
      </w:tr>
    </w:tbl>
    <w:p w14:paraId="2D2880DB">
      <w:pPr>
        <w:rPr>
          <w:rFonts w:hint="eastAsia"/>
        </w:rPr>
      </w:pPr>
    </w:p>
    <w:p w14:paraId="05E40C88">
      <w:pPr>
        <w:autoSpaceDE w:val="0"/>
        <w:autoSpaceDN w:val="0"/>
        <w:adjustRightInd w:val="0"/>
        <w:ind w:right="105" w:rightChars="50"/>
        <w:rPr>
          <w:rFonts w:hint="eastAsia"/>
          <w:szCs w:val="21"/>
        </w:rPr>
      </w:pPr>
      <w:r>
        <w:rPr>
          <w:rFonts w:hint="eastAsia"/>
          <w:szCs w:val="21"/>
        </w:rPr>
        <w:t>各阶段划分依据和坏账准备计提比例</w:t>
      </w:r>
    </w:p>
    <w:sdt>
      <w:sdtPr>
        <w:rPr>
          <w:rFonts w:cs="Times New Roman"/>
          <w:bCs/>
          <w:szCs w:val="22"/>
        </w:rPr>
        <w:alias w:val="其他应收款各阶段划分依据和坏账准备计提比例"/>
        <w:tag w:val="_GBC_3c3eb8d29e064b68909ad636fcd177ff"/>
        <w:id w:val="-244582676"/>
        <w:placeholder>
          <w:docPart w:val="GBC22222222222222222222222222222"/>
        </w:placeholder>
      </w:sdtPr>
      <w:sdtEndPr>
        <w:rPr>
          <w:rFonts w:cs="Times New Roman"/>
          <w:bCs/>
          <w:szCs w:val="22"/>
        </w:rPr>
      </w:sdtEndPr>
      <w:sdtContent>
        <w:p w14:paraId="18C16F03">
          <w:pPr>
            <w:rPr>
              <w:rFonts w:hint="eastAsia" w:cs="Times New Roman"/>
              <w:bCs/>
              <w:szCs w:val="22"/>
            </w:rPr>
          </w:pPr>
          <w:r>
            <w:rPr>
              <w:rFonts w:hint="eastAsia" w:cs="Times New Roman"/>
              <w:bCs/>
              <w:szCs w:val="22"/>
            </w:rPr>
            <w:t>无</w:t>
          </w:r>
        </w:p>
      </w:sdtContent>
    </w:sdt>
    <w:p w14:paraId="4FCC8302">
      <w:pPr>
        <w:rPr>
          <w:rFonts w:hint="eastAsia" w:cs="Times New Roman"/>
          <w:bCs/>
          <w:szCs w:val="22"/>
        </w:rPr>
      </w:pPr>
    </w:p>
    <w:p w14:paraId="73CAB10D">
      <w:pPr>
        <w:pStyle w:val="12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702450518"/>
        <w:placeholder>
          <w:docPart w:val="GBC22222222222222222222222222222"/>
        </w:placeholder>
      </w:sdtPr>
      <w:sdtContent>
        <w:p w14:paraId="42375D0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0F9C570">
      <w:pPr>
        <w:rPr>
          <w:rFonts w:hint="eastAsia"/>
        </w:rPr>
      </w:pPr>
    </w:p>
    <w:bookmarkEnd w:id="435"/>
    <w:p w14:paraId="69185458">
      <w:pPr>
        <w:rPr>
          <w:rFonts w:hint="eastAsia"/>
        </w:rPr>
      </w:pPr>
      <w:bookmarkStart w:id="436" w:name="_Hlk534806894"/>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4dddf1fe216a4414afb56ff70de3d722"/>
        <w:id w:val="-1360348996"/>
        <w:placeholder>
          <w:docPart w:val="GBC22222222222222222222222222222"/>
        </w:placeholder>
      </w:sdtPr>
      <w:sdtContent>
        <w:p w14:paraId="7911D8FA">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CBDEE0D">
      <w:pPr>
        <w:rPr>
          <w:rFonts w:hint="eastAsia"/>
        </w:rPr>
      </w:pPr>
    </w:p>
    <w:bookmarkEnd w:id="436"/>
    <w:p w14:paraId="5D622CAE">
      <w:pPr>
        <w:pStyle w:val="72"/>
        <w:numPr>
          <w:ilvl w:val="0"/>
          <w:numId w:val="178"/>
        </w:numPr>
        <w:ind w:leftChars="0"/>
      </w:pPr>
      <w:bookmarkStart w:id="437" w:name="_Hlk533797618"/>
      <w:bookmarkStart w:id="438" w:name="_Hlk153797908"/>
      <w:r>
        <w:rPr>
          <w:rFonts w:hint="eastAsia"/>
        </w:rPr>
        <w:t>坏账准备的情况</w:t>
      </w:r>
    </w:p>
    <w:sdt>
      <w:sdtPr>
        <w:alias w:val="是否适用：母公司其他应收款坏账准备情况[双击切换]"/>
        <w:tag w:val="_GBC_fe964b2b8e824335995eaad4df852022"/>
        <w:id w:val="1618325184"/>
        <w:placeholder>
          <w:docPart w:val="GBC22222222222222222222222222222"/>
        </w:placeholder>
      </w:sdtPr>
      <w:sdtContent>
        <w:p w14:paraId="1A5905C0">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3E57DC">
      <w:pPr>
        <w:pStyle w:val="109"/>
        <w:snapToGrid w:val="0"/>
        <w:spacing w:line="240" w:lineRule="atLeast"/>
        <w:ind w:left="425" w:firstLine="0" w:firstLineChars="0"/>
        <w:jc w:val="right"/>
        <w:rPr>
          <w:szCs w:val="21"/>
        </w:rPr>
      </w:pPr>
      <w:r>
        <w:rPr>
          <w:rFonts w:hint="eastAsia"/>
          <w:szCs w:val="21"/>
        </w:rPr>
        <w:t>单位：</w:t>
      </w:r>
      <w:sdt>
        <w:sdtPr>
          <w:rPr>
            <w:rFonts w:hint="eastAsia"/>
            <w:szCs w:val="21"/>
          </w:rPr>
          <w:alias w:val="单位：母公司其他应收款坏账准备情况"/>
          <w:tag w:val="_GBC_80ca06374aba4f0bbde29d70a0ac7a15"/>
          <w:id w:val="14007187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情况"/>
          <w:tag w:val="_GBC_e2ca206ffc72482a9cbe8c86c5688b1f"/>
          <w:id w:val="-8857249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175"/>
        <w:gridCol w:w="2280"/>
        <w:gridCol w:w="2088"/>
        <w:gridCol w:w="2280"/>
      </w:tblGrid>
      <w:tr w14:paraId="4F65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ascii="Arial Narrow" w:hAnsi="Arial Narrow" w:eastAsiaTheme="minorEastAsia"/>
            </w:rPr>
            <w:tag w:val="_PLD_599b4552113b431d9950cc345fc3c771"/>
            <w:id w:val="1642620064"/>
          </w:sdtPr>
          <w:sdtEndPr>
            <w:rPr>
              <w:rFonts w:ascii="Arial Narrow" w:hAnsi="Arial Narrow" w:eastAsiaTheme="minorEastAsia"/>
            </w:rPr>
          </w:sdtEndPr>
          <w:sdtContent>
            <w:tc>
              <w:tcPr>
                <w:tcW w:w="1230" w:type="pct"/>
                <w:vMerge w:val="restart"/>
                <w:shd w:val="clear" w:color="auto" w:fill="FFFFFF"/>
                <w:vAlign w:val="center"/>
              </w:tcPr>
              <w:p w14:paraId="3643F6D6">
                <w:pPr>
                  <w:jc w:val="center"/>
                  <w:rPr>
                    <w:rFonts w:ascii="Arial Narrow" w:hAnsi="Arial Narrow" w:eastAsiaTheme="minorEastAsia"/>
                  </w:rPr>
                </w:pPr>
                <w:r>
                  <w:rPr>
                    <w:rFonts w:ascii="Arial Narrow" w:hAnsi="Arial Narrow" w:eastAsiaTheme="minorEastAsia"/>
                  </w:rPr>
                  <w:t>类别</w:t>
                </w:r>
              </w:p>
            </w:tc>
          </w:sdtContent>
        </w:sdt>
        <w:sdt>
          <w:sdtPr>
            <w:rPr>
              <w:rFonts w:ascii="Arial Narrow" w:hAnsi="Arial Narrow" w:eastAsiaTheme="minorEastAsia"/>
            </w:rPr>
            <w:tag w:val="_PLD_b04fb91e27324be18dbb1170501ea7c2"/>
            <w:id w:val="-1322276353"/>
          </w:sdtPr>
          <w:sdtEndPr>
            <w:rPr>
              <w:rFonts w:ascii="Arial Narrow" w:hAnsi="Arial Narrow" w:eastAsiaTheme="minorEastAsia"/>
            </w:rPr>
          </w:sdtEndPr>
          <w:sdtContent>
            <w:tc>
              <w:tcPr>
                <w:tcW w:w="1289" w:type="pct"/>
                <w:vMerge w:val="restart"/>
                <w:shd w:val="clear" w:color="auto" w:fill="FFFFFF"/>
                <w:vAlign w:val="center"/>
              </w:tcPr>
              <w:p w14:paraId="68613CC4">
                <w:pPr>
                  <w:jc w:val="center"/>
                  <w:rPr>
                    <w:rFonts w:ascii="Arial Narrow" w:hAnsi="Arial Narrow" w:eastAsiaTheme="minorEastAsia"/>
                  </w:rPr>
                </w:pPr>
                <w:r>
                  <w:rPr>
                    <w:rFonts w:ascii="Arial Narrow" w:hAnsi="Arial Narrow" w:eastAsiaTheme="minorEastAsia"/>
                  </w:rPr>
                  <w:t>期初余额</w:t>
                </w:r>
              </w:p>
            </w:tc>
          </w:sdtContent>
        </w:sdt>
        <w:sdt>
          <w:sdtPr>
            <w:rPr>
              <w:rFonts w:ascii="Arial Narrow" w:hAnsi="Arial Narrow" w:eastAsiaTheme="minorEastAsia"/>
            </w:rPr>
            <w:tag w:val="_PLD_3162774660ba4bd791229ed0557bee42"/>
            <w:id w:val="-297448403"/>
          </w:sdtPr>
          <w:sdtEndPr>
            <w:rPr>
              <w:rFonts w:ascii="Arial Narrow" w:hAnsi="Arial Narrow" w:eastAsiaTheme="minorEastAsia"/>
            </w:rPr>
          </w:sdtEndPr>
          <w:sdtContent>
            <w:tc>
              <w:tcPr>
                <w:tcW w:w="1180" w:type="pct"/>
                <w:shd w:val="clear" w:color="auto" w:fill="FFFFFF"/>
                <w:vAlign w:val="center"/>
              </w:tcPr>
              <w:p w14:paraId="756520EA">
                <w:pPr>
                  <w:jc w:val="center"/>
                  <w:rPr>
                    <w:rFonts w:ascii="Arial Narrow" w:hAnsi="Arial Narrow" w:eastAsiaTheme="minorEastAsia"/>
                  </w:rPr>
                </w:pPr>
                <w:r>
                  <w:rPr>
                    <w:rFonts w:ascii="Arial Narrow" w:hAnsi="Arial Narrow" w:eastAsiaTheme="minorEastAsia"/>
                  </w:rPr>
                  <w:t>本期变动金额</w:t>
                </w:r>
              </w:p>
            </w:tc>
          </w:sdtContent>
        </w:sdt>
        <w:sdt>
          <w:sdtPr>
            <w:rPr>
              <w:rFonts w:ascii="Arial Narrow" w:hAnsi="Arial Narrow" w:eastAsiaTheme="minorEastAsia"/>
            </w:rPr>
            <w:tag w:val="_PLD_d14d39f809c34e24be6fc317d43acf45"/>
            <w:id w:val="-1214342063"/>
          </w:sdtPr>
          <w:sdtEndPr>
            <w:rPr>
              <w:rFonts w:ascii="Arial Narrow" w:hAnsi="Arial Narrow" w:eastAsiaTheme="minorEastAsia"/>
            </w:rPr>
          </w:sdtEndPr>
          <w:sdtContent>
            <w:tc>
              <w:tcPr>
                <w:tcW w:w="1289" w:type="pct"/>
                <w:vMerge w:val="restart"/>
                <w:shd w:val="clear" w:color="auto" w:fill="FFFFFF"/>
                <w:vAlign w:val="center"/>
              </w:tcPr>
              <w:p w14:paraId="43AC988F">
                <w:pPr>
                  <w:jc w:val="center"/>
                  <w:rPr>
                    <w:rFonts w:ascii="Arial Narrow" w:hAnsi="Arial Narrow" w:eastAsiaTheme="minorEastAsia"/>
                  </w:rPr>
                </w:pPr>
                <w:r>
                  <w:rPr>
                    <w:rFonts w:ascii="Arial Narrow" w:hAnsi="Arial Narrow" w:eastAsiaTheme="minorEastAsia"/>
                  </w:rPr>
                  <w:t>期末余额</w:t>
                </w:r>
              </w:p>
            </w:tc>
          </w:sdtContent>
        </w:sdt>
      </w:tr>
      <w:tr w14:paraId="13DB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230" w:type="pct"/>
            <w:vMerge w:val="continue"/>
            <w:shd w:val="clear" w:color="auto" w:fill="FFFFFF"/>
          </w:tcPr>
          <w:p w14:paraId="041237FD">
            <w:pPr>
              <w:jc w:val="center"/>
              <w:rPr>
                <w:rFonts w:ascii="Arial Narrow" w:hAnsi="Arial Narrow" w:eastAsiaTheme="minorEastAsia"/>
              </w:rPr>
            </w:pPr>
          </w:p>
        </w:tc>
        <w:tc>
          <w:tcPr>
            <w:tcW w:w="1289" w:type="pct"/>
            <w:vMerge w:val="continue"/>
            <w:shd w:val="clear" w:color="auto" w:fill="FFFFFF"/>
          </w:tcPr>
          <w:p w14:paraId="49FAA2BA">
            <w:pPr>
              <w:jc w:val="center"/>
              <w:rPr>
                <w:rFonts w:ascii="Arial Narrow" w:hAnsi="Arial Narrow" w:eastAsiaTheme="minorEastAsia"/>
              </w:rPr>
            </w:pPr>
          </w:p>
        </w:tc>
        <w:sdt>
          <w:sdtPr>
            <w:rPr>
              <w:rFonts w:ascii="Arial Narrow" w:hAnsi="Arial Narrow" w:eastAsiaTheme="minorEastAsia"/>
            </w:rPr>
            <w:tag w:val="_PLD_f408f7d036804cc28ba43a0439189aa1"/>
            <w:id w:val="665142243"/>
          </w:sdtPr>
          <w:sdtEndPr>
            <w:rPr>
              <w:rFonts w:ascii="Arial Narrow" w:hAnsi="Arial Narrow" w:eastAsiaTheme="minorEastAsia"/>
            </w:rPr>
          </w:sdtEndPr>
          <w:sdtContent>
            <w:tc>
              <w:tcPr>
                <w:tcW w:w="1180" w:type="pct"/>
                <w:shd w:val="clear" w:color="auto" w:fill="FFFFFF"/>
                <w:vAlign w:val="center"/>
              </w:tcPr>
              <w:p w14:paraId="2F418DCB">
                <w:pPr>
                  <w:jc w:val="center"/>
                  <w:rPr>
                    <w:rFonts w:ascii="Arial Narrow" w:hAnsi="Arial Narrow" w:eastAsiaTheme="minorEastAsia"/>
                  </w:rPr>
                </w:pPr>
                <w:r>
                  <w:rPr>
                    <w:rFonts w:ascii="Arial Narrow" w:hAnsi="Arial Narrow" w:eastAsiaTheme="minorEastAsia"/>
                  </w:rPr>
                  <w:t>计提</w:t>
                </w:r>
              </w:p>
            </w:tc>
          </w:sdtContent>
        </w:sdt>
        <w:tc>
          <w:tcPr>
            <w:tcW w:w="1289" w:type="pct"/>
            <w:vMerge w:val="continue"/>
            <w:shd w:val="clear" w:color="auto" w:fill="FFFFFF"/>
          </w:tcPr>
          <w:p w14:paraId="00E95E85">
            <w:pPr>
              <w:jc w:val="right"/>
              <w:rPr>
                <w:rFonts w:ascii="Arial Narrow" w:hAnsi="Arial Narrow" w:eastAsiaTheme="minorEastAsia"/>
              </w:rPr>
            </w:pPr>
          </w:p>
        </w:tc>
      </w:tr>
      <w:tr w14:paraId="701C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230" w:type="pct"/>
            <w:shd w:val="clear" w:color="auto" w:fill="auto"/>
          </w:tcPr>
          <w:p w14:paraId="71CEA571">
            <w:pPr>
              <w:rPr>
                <w:rFonts w:ascii="Arial Narrow" w:hAnsi="Arial Narrow" w:eastAsiaTheme="minorEastAsia"/>
              </w:rPr>
            </w:pPr>
            <w:r>
              <w:rPr>
                <w:rFonts w:ascii="Arial Narrow" w:hAnsi="Arial Narrow" w:eastAsiaTheme="minorEastAsia"/>
                <w:color w:val="000000"/>
                <w:szCs w:val="21"/>
              </w:rPr>
              <w:t>坏账准备</w:t>
            </w:r>
          </w:p>
        </w:tc>
        <w:tc>
          <w:tcPr>
            <w:tcW w:w="1289" w:type="pct"/>
            <w:shd w:val="clear" w:color="auto" w:fill="auto"/>
            <w:vAlign w:val="center"/>
          </w:tcPr>
          <w:p w14:paraId="1FADD940">
            <w:pPr>
              <w:jc w:val="right"/>
              <w:rPr>
                <w:rFonts w:ascii="Arial Narrow" w:hAnsi="Arial Narrow" w:eastAsiaTheme="minorEastAsia"/>
              </w:rPr>
            </w:pPr>
            <w:r>
              <w:rPr>
                <w:rFonts w:ascii="Arial Narrow" w:hAnsi="Arial Narrow" w:eastAsiaTheme="minorEastAsia"/>
                <w:color w:val="000000"/>
                <w:szCs w:val="21"/>
              </w:rPr>
              <w:t>961,025,721.83</w:t>
            </w:r>
          </w:p>
        </w:tc>
        <w:tc>
          <w:tcPr>
            <w:tcW w:w="1180" w:type="pct"/>
            <w:shd w:val="clear" w:color="auto" w:fill="auto"/>
            <w:vAlign w:val="center"/>
          </w:tcPr>
          <w:p w14:paraId="6B742B6A">
            <w:pPr>
              <w:jc w:val="right"/>
              <w:rPr>
                <w:rFonts w:ascii="Arial Narrow" w:hAnsi="Arial Narrow" w:eastAsiaTheme="minorEastAsia"/>
              </w:rPr>
            </w:pPr>
            <w:r>
              <w:rPr>
                <w:rFonts w:ascii="Arial Narrow" w:hAnsi="Arial Narrow" w:eastAsiaTheme="minorEastAsia"/>
                <w:color w:val="000000"/>
                <w:szCs w:val="21"/>
              </w:rPr>
              <w:t>7,548,098.41</w:t>
            </w:r>
          </w:p>
        </w:tc>
        <w:tc>
          <w:tcPr>
            <w:tcW w:w="1289" w:type="pct"/>
            <w:shd w:val="clear" w:color="auto" w:fill="auto"/>
            <w:vAlign w:val="center"/>
          </w:tcPr>
          <w:p w14:paraId="62B26011">
            <w:pPr>
              <w:jc w:val="right"/>
              <w:rPr>
                <w:rFonts w:ascii="Arial Narrow" w:hAnsi="Arial Narrow" w:eastAsiaTheme="minorEastAsia"/>
              </w:rPr>
            </w:pPr>
            <w:r>
              <w:rPr>
                <w:rFonts w:ascii="Arial Narrow" w:hAnsi="Arial Narrow" w:eastAsiaTheme="minorEastAsia"/>
                <w:color w:val="000000"/>
                <w:szCs w:val="21"/>
              </w:rPr>
              <w:t>968,573,820.24</w:t>
            </w:r>
          </w:p>
        </w:tc>
      </w:tr>
      <w:tr w14:paraId="7C33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230" w:type="pct"/>
            <w:shd w:val="clear" w:color="auto" w:fill="auto"/>
          </w:tcPr>
          <w:p w14:paraId="090FC99C">
            <w:pPr>
              <w:jc w:val="center"/>
              <w:rPr>
                <w:rFonts w:ascii="Arial Narrow" w:hAnsi="Arial Narrow" w:eastAsiaTheme="minorEastAsia"/>
              </w:rPr>
            </w:pPr>
            <w:r>
              <w:rPr>
                <w:rFonts w:ascii="Arial Narrow" w:hAnsi="Arial Narrow" w:eastAsiaTheme="minorEastAsia"/>
              </w:rPr>
              <w:t>合计</w:t>
            </w:r>
          </w:p>
        </w:tc>
        <w:tc>
          <w:tcPr>
            <w:tcW w:w="1289" w:type="pct"/>
            <w:shd w:val="clear" w:color="auto" w:fill="auto"/>
            <w:vAlign w:val="center"/>
          </w:tcPr>
          <w:p w14:paraId="3DB61D0B">
            <w:pPr>
              <w:jc w:val="right"/>
              <w:rPr>
                <w:rFonts w:ascii="Arial Narrow" w:hAnsi="Arial Narrow" w:eastAsiaTheme="minorEastAsia"/>
              </w:rPr>
            </w:pPr>
            <w:r>
              <w:rPr>
                <w:rFonts w:ascii="Arial Narrow" w:hAnsi="Arial Narrow" w:eastAsiaTheme="minorEastAsia"/>
                <w:color w:val="000000"/>
                <w:szCs w:val="21"/>
              </w:rPr>
              <w:t>961,025,721.83</w:t>
            </w:r>
          </w:p>
        </w:tc>
        <w:tc>
          <w:tcPr>
            <w:tcW w:w="1180" w:type="pct"/>
            <w:shd w:val="clear" w:color="auto" w:fill="auto"/>
            <w:vAlign w:val="center"/>
          </w:tcPr>
          <w:p w14:paraId="0E8511C1">
            <w:pPr>
              <w:jc w:val="right"/>
              <w:rPr>
                <w:rFonts w:ascii="Arial Narrow" w:hAnsi="Arial Narrow" w:eastAsiaTheme="minorEastAsia"/>
              </w:rPr>
            </w:pPr>
            <w:r>
              <w:rPr>
                <w:rFonts w:ascii="Arial Narrow" w:hAnsi="Arial Narrow" w:eastAsiaTheme="minorEastAsia"/>
                <w:color w:val="000000"/>
                <w:szCs w:val="21"/>
              </w:rPr>
              <w:t>7,548,098.41</w:t>
            </w:r>
          </w:p>
        </w:tc>
        <w:tc>
          <w:tcPr>
            <w:tcW w:w="1289" w:type="pct"/>
            <w:shd w:val="clear" w:color="auto" w:fill="auto"/>
            <w:vAlign w:val="center"/>
          </w:tcPr>
          <w:p w14:paraId="2206DC07">
            <w:pPr>
              <w:jc w:val="right"/>
              <w:rPr>
                <w:rFonts w:ascii="Arial Narrow" w:hAnsi="Arial Narrow" w:eastAsiaTheme="minorEastAsia"/>
              </w:rPr>
            </w:pPr>
            <w:r>
              <w:rPr>
                <w:rFonts w:ascii="Arial Narrow" w:hAnsi="Arial Narrow" w:eastAsiaTheme="minorEastAsia"/>
                <w:color w:val="000000"/>
                <w:szCs w:val="21"/>
              </w:rPr>
              <w:t>968,573,820.24</w:t>
            </w:r>
          </w:p>
        </w:tc>
      </w:tr>
    </w:tbl>
    <w:p w14:paraId="6688DFE8">
      <w:pPr>
        <w:rPr>
          <w:rFonts w:hint="eastAsia"/>
        </w:rPr>
      </w:pPr>
    </w:p>
    <w:p w14:paraId="4C205F3B">
      <w:pPr>
        <w:rPr>
          <w:rFonts w:hint="eastAsia"/>
        </w:rPr>
      </w:pPr>
      <w:r>
        <w:rPr>
          <w:rFonts w:hint="eastAsia"/>
        </w:rPr>
        <w:t>其中本期坏账准备转回或收回金额重要的：</w:t>
      </w:r>
    </w:p>
    <w:sdt>
      <w:sdtPr>
        <w:alias w:val="是否适用：母公司其他应收款坏账准备转回或收回金额重要的[双击切换]"/>
        <w:tag w:val="_GBC_f8ce6c07169e42188641fc1bc1ab86d4"/>
        <w:id w:val="-202796256"/>
        <w:placeholder>
          <w:docPart w:val="GBC22222222222222222222222222222"/>
        </w:placeholder>
      </w:sdtPr>
      <w:sdtContent>
        <w:p w14:paraId="5689CE91">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437"/>
    <w:p w14:paraId="4EC5A55B">
      <w:pPr>
        <w:rPr>
          <w:rFonts w:hint="eastAsia"/>
          <w:szCs w:val="21"/>
        </w:rPr>
      </w:pPr>
    </w:p>
    <w:p w14:paraId="7FC66591">
      <w:pPr>
        <w:ind w:right="-1594" w:rightChars="-759"/>
        <w:rPr>
          <w:rFonts w:hint="eastAsia"/>
          <w:szCs w:val="21"/>
        </w:rPr>
      </w:pPr>
      <w:r>
        <w:rPr>
          <w:rFonts w:hint="eastAsia"/>
          <w:szCs w:val="21"/>
        </w:rPr>
        <w:t>其他说明：</w:t>
      </w:r>
    </w:p>
    <w:sdt>
      <w:sdtPr>
        <w:rPr>
          <w:szCs w:val="21"/>
        </w:rPr>
        <w:alias w:val="其他应收款坏账准备情况的说明"/>
        <w:tag w:val="_GBC_66f33e1d4ef94cf78a5265ef0130e24d"/>
        <w:id w:val="-1831441685"/>
        <w:placeholder>
          <w:docPart w:val="GBC22222222222222222222222222222"/>
        </w:placeholder>
      </w:sdtPr>
      <w:sdtEndPr>
        <w:rPr>
          <w:szCs w:val="21"/>
        </w:rPr>
      </w:sdtEndPr>
      <w:sdtContent>
        <w:p w14:paraId="79336428">
          <w:pPr>
            <w:ind w:right="-1594" w:rightChars="-759"/>
            <w:rPr>
              <w:rFonts w:hint="eastAsia"/>
              <w:szCs w:val="21"/>
            </w:rPr>
          </w:pPr>
          <w:r>
            <w:rPr>
              <w:rFonts w:hint="eastAsia"/>
              <w:szCs w:val="21"/>
            </w:rPr>
            <w:t>无</w:t>
          </w:r>
        </w:p>
      </w:sdtContent>
    </w:sdt>
    <w:p w14:paraId="439655BB">
      <w:pPr>
        <w:ind w:right="-1594" w:rightChars="-759"/>
        <w:rPr>
          <w:rFonts w:hint="eastAsia"/>
          <w:szCs w:val="21"/>
        </w:rPr>
      </w:pPr>
    </w:p>
    <w:p w14:paraId="09E3EE36">
      <w:pPr>
        <w:ind w:right="-1594" w:rightChars="-759"/>
        <w:rPr>
          <w:rFonts w:hint="eastAsia"/>
          <w:szCs w:val="21"/>
        </w:rPr>
      </w:pPr>
    </w:p>
    <w:bookmarkEnd w:id="438"/>
    <w:p w14:paraId="7963C2DE">
      <w:pPr>
        <w:pStyle w:val="72"/>
        <w:numPr>
          <w:ilvl w:val="0"/>
          <w:numId w:val="178"/>
        </w:numPr>
        <w:ind w:leftChars="0"/>
      </w:pPr>
      <w:r>
        <w:rPr>
          <w:rFonts w:hint="eastAsia"/>
        </w:rPr>
        <w:t>本期实际核销的其他应收款情况</w:t>
      </w:r>
    </w:p>
    <w:sdt>
      <w:sdtPr>
        <w:alias w:val="是否适用：母公司本期实际核销的其他应收款情况[双击切换]"/>
        <w:tag w:val="_GBC_1513ed448adb4dda8e855e090428591f"/>
        <w:id w:val="603154604"/>
        <w:placeholder>
          <w:docPart w:val="GBC22222222222222222222222222222"/>
        </w:placeholder>
      </w:sdtPr>
      <w:sdtContent>
        <w:p w14:paraId="6F847372">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84C0DBE">
      <w:pPr>
        <w:rPr>
          <w:rFonts w:hint="eastAsia"/>
          <w:szCs w:val="21"/>
        </w:rPr>
      </w:pPr>
    </w:p>
    <w:p w14:paraId="0D9A0132">
      <w:pPr>
        <w:rPr>
          <w:rFonts w:hint="eastAsia"/>
          <w:szCs w:val="21"/>
        </w:rPr>
      </w:pPr>
    </w:p>
    <w:p w14:paraId="474DE143">
      <w:pPr>
        <w:rPr>
          <w:rFonts w:hint="eastAsia"/>
          <w:szCs w:val="21"/>
        </w:rPr>
      </w:pPr>
      <w:r>
        <w:rPr>
          <w:rFonts w:hint="eastAsia"/>
          <w:szCs w:val="21"/>
        </w:rPr>
        <w:t>其中重要的其他应收款核销情况：</w:t>
      </w:r>
    </w:p>
    <w:sdt>
      <w:sdtPr>
        <w:rPr>
          <w:szCs w:val="21"/>
        </w:rPr>
        <w:alias w:val="是否适用：母公司其中重要的其他应收款核销情况[双击切换]"/>
        <w:tag w:val="_GBC_9c869030965c44c2962f562c051ed47e"/>
        <w:id w:val="-722288266"/>
        <w:placeholder>
          <w:docPart w:val="GBC22222222222222222222222222222"/>
        </w:placeholder>
      </w:sdtPr>
      <w:sdtEndPr>
        <w:rPr>
          <w:szCs w:val="21"/>
        </w:rPr>
      </w:sdtEndPr>
      <w:sdtContent>
        <w:p w14:paraId="4C843386">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7EC52D25">
      <w:pPr>
        <w:rPr>
          <w:rFonts w:hint="eastAsia"/>
          <w:szCs w:val="21"/>
        </w:rPr>
      </w:pPr>
    </w:p>
    <w:p w14:paraId="16C95587">
      <w:pPr>
        <w:rPr>
          <w:rFonts w:hint="eastAsia"/>
          <w:szCs w:val="21"/>
        </w:rPr>
      </w:pPr>
    </w:p>
    <w:p w14:paraId="06B9748C">
      <w:pPr>
        <w:snapToGrid w:val="0"/>
        <w:spacing w:line="240" w:lineRule="atLeast"/>
        <w:rPr>
          <w:rFonts w:hint="eastAsia"/>
          <w:szCs w:val="21"/>
        </w:rPr>
      </w:pPr>
      <w:r>
        <w:rPr>
          <w:rFonts w:hint="eastAsia"/>
          <w:szCs w:val="21"/>
        </w:rPr>
        <w:t>其他应收款核销说明：</w:t>
      </w:r>
    </w:p>
    <w:sdt>
      <w:sdtPr>
        <w:rPr>
          <w:rFonts w:hint="eastAsia"/>
          <w:szCs w:val="21"/>
        </w:rPr>
        <w:alias w:val="是否适用：母公司其他应收款核销说明[双击切换]"/>
        <w:tag w:val="_GBC_a3327d4637ec4274aa83caff4b6e71fd"/>
        <w:id w:val="820008786"/>
        <w:placeholder>
          <w:docPart w:val="GBC22222222222222222222222222222"/>
        </w:placeholder>
      </w:sdtPr>
      <w:sdtEndPr>
        <w:rPr>
          <w:rFonts w:hint="eastAsia"/>
          <w:szCs w:val="21"/>
        </w:rPr>
      </w:sdtEndPr>
      <w:sdtContent>
        <w:p w14:paraId="36DCA2B9">
          <w:pPr>
            <w:snapToGrid w:val="0"/>
            <w:spacing w:line="240" w:lineRule="atLeast"/>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95B5C90">
      <w:pPr>
        <w:rPr>
          <w:rFonts w:hint="eastAsia"/>
        </w:rPr>
      </w:pPr>
    </w:p>
    <w:p w14:paraId="5A24011B">
      <w:pPr>
        <w:rPr>
          <w:rFonts w:hint="eastAsia"/>
        </w:rPr>
      </w:pPr>
    </w:p>
    <w:p w14:paraId="2D149516">
      <w:pPr>
        <w:rPr>
          <w:rFonts w:hint="eastAsia"/>
        </w:rPr>
      </w:pPr>
    </w:p>
    <w:p w14:paraId="50FAD37B">
      <w:pPr>
        <w:pStyle w:val="72"/>
        <w:numPr>
          <w:ilvl w:val="0"/>
          <w:numId w:val="178"/>
        </w:numPr>
        <w:ind w:leftChars="0"/>
      </w:pPr>
      <w:bookmarkStart w:id="439" w:name="_Hlk153798048"/>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121266042"/>
        <w:placeholder>
          <w:docPart w:val="GBC22222222222222222222222222222"/>
        </w:placeholder>
      </w:sdtPr>
      <w:sdtContent>
        <w:p w14:paraId="4190075A">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D76D03A">
      <w:pPr>
        <w:jc w:val="right"/>
        <w:rPr>
          <w:rFonts w:hint="eastAsia"/>
        </w:rPr>
      </w:pPr>
      <w:r>
        <w:rPr>
          <w:rFonts w:hint="eastAsia"/>
        </w:rPr>
        <w:t>单位：</w:t>
      </w:r>
      <w:sdt>
        <w:sdtPr>
          <w:rPr>
            <w:rFonts w:hint="eastAsia"/>
          </w:rPr>
          <w:alias w:val="单位：母公司财务附注：其他应收账款前五名欠款情况"/>
          <w:tag w:val="_GBC_a5049697dafb47839070e9dec68636fd"/>
          <w:id w:val="-21160462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158595016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1699"/>
        <w:gridCol w:w="852"/>
        <w:gridCol w:w="1615"/>
        <w:gridCol w:w="1362"/>
        <w:gridCol w:w="1456"/>
      </w:tblGrid>
      <w:tr w14:paraId="77E7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ascii="Arial Narrow" w:hAnsi="Arial Narrow" w:eastAsiaTheme="minorEastAsia"/>
            </w:rPr>
            <w:tag w:val="_PLD_97ae589741524eeaa277e2e3a81b13c6"/>
            <w:id w:val="-1316106047"/>
          </w:sdtPr>
          <w:sdtEndPr>
            <w:rPr>
              <w:rFonts w:ascii="Arial Narrow" w:hAnsi="Arial Narrow" w:eastAsiaTheme="minorEastAsia"/>
            </w:rPr>
          </w:sdtEndPr>
          <w:sdtContent>
            <w:tc>
              <w:tcPr>
                <w:tcW w:w="1042" w:type="pct"/>
                <w:vAlign w:val="center"/>
              </w:tcPr>
              <w:p w14:paraId="621F1450">
                <w:pPr>
                  <w:ind w:right="105"/>
                  <w:jc w:val="center"/>
                  <w:rPr>
                    <w:rFonts w:ascii="Arial Narrow" w:hAnsi="Arial Narrow" w:eastAsiaTheme="minorEastAsia"/>
                    <w:szCs w:val="21"/>
                  </w:rPr>
                </w:pPr>
                <w:r>
                  <w:rPr>
                    <w:rFonts w:ascii="Arial Narrow" w:hAnsi="Arial Narrow" w:eastAsiaTheme="minorEastAsia"/>
                    <w:szCs w:val="21"/>
                  </w:rPr>
                  <w:t>单位名称</w:t>
                </w:r>
              </w:p>
            </w:tc>
          </w:sdtContent>
        </w:sdt>
        <w:sdt>
          <w:sdtPr>
            <w:rPr>
              <w:rFonts w:ascii="Arial Narrow" w:hAnsi="Arial Narrow" w:eastAsiaTheme="minorEastAsia"/>
            </w:rPr>
            <w:tag w:val="_PLD_c22b4ec5955348c988f93a834a184c51"/>
            <w:id w:val="-191539887"/>
          </w:sdtPr>
          <w:sdtEndPr>
            <w:rPr>
              <w:rFonts w:ascii="Arial Narrow" w:hAnsi="Arial Narrow" w:eastAsiaTheme="minorEastAsia"/>
            </w:rPr>
          </w:sdtEndPr>
          <w:sdtContent>
            <w:tc>
              <w:tcPr>
                <w:tcW w:w="963" w:type="pct"/>
                <w:vAlign w:val="center"/>
              </w:tcPr>
              <w:p w14:paraId="5D5B39B2">
                <w:pPr>
                  <w:ind w:right="73"/>
                  <w:jc w:val="center"/>
                  <w:rPr>
                    <w:rFonts w:ascii="Arial Narrow" w:hAnsi="Arial Narrow" w:eastAsiaTheme="minorEastAsia"/>
                    <w:szCs w:val="21"/>
                  </w:rPr>
                </w:pPr>
                <w:r>
                  <w:rPr>
                    <w:rFonts w:ascii="Arial Narrow" w:hAnsi="Arial Narrow" w:eastAsiaTheme="minorEastAsia"/>
                    <w:szCs w:val="21"/>
                  </w:rPr>
                  <w:t>期末余额</w:t>
                </w:r>
              </w:p>
            </w:tc>
          </w:sdtContent>
        </w:sdt>
        <w:sdt>
          <w:sdtPr>
            <w:rPr>
              <w:rFonts w:ascii="Arial Narrow" w:hAnsi="Arial Narrow" w:eastAsiaTheme="minorEastAsia"/>
            </w:rPr>
            <w:tag w:val="_PLD_a49ad92f72864a62b0f46c5d7fa4a110"/>
            <w:id w:val="1822853261"/>
          </w:sdtPr>
          <w:sdtEndPr>
            <w:rPr>
              <w:rFonts w:ascii="Arial Narrow" w:hAnsi="Arial Narrow" w:eastAsiaTheme="minorEastAsia"/>
            </w:rPr>
          </w:sdtEndPr>
          <w:sdtContent>
            <w:tc>
              <w:tcPr>
                <w:tcW w:w="483" w:type="pct"/>
                <w:vAlign w:val="center"/>
              </w:tcPr>
              <w:p w14:paraId="0FC14C71">
                <w:pPr>
                  <w:jc w:val="center"/>
                  <w:rPr>
                    <w:rFonts w:ascii="Arial Narrow" w:hAnsi="Arial Narrow" w:eastAsiaTheme="minorEastAsia"/>
                    <w:szCs w:val="21"/>
                  </w:rPr>
                </w:pPr>
                <w:r>
                  <w:rPr>
                    <w:rFonts w:ascii="Arial Narrow" w:hAnsi="Arial Narrow" w:eastAsiaTheme="minorEastAsia"/>
                    <w:szCs w:val="21"/>
                  </w:rPr>
                  <w:t>占其他应收款期末余额合计数的比例(%)</w:t>
                </w:r>
              </w:p>
            </w:tc>
          </w:sdtContent>
        </w:sdt>
        <w:sdt>
          <w:sdtPr>
            <w:rPr>
              <w:rFonts w:ascii="Arial Narrow" w:hAnsi="Arial Narrow" w:eastAsiaTheme="minorEastAsia"/>
            </w:rPr>
            <w:tag w:val="_PLD_c8433b11194a41288fcd24feb3e7d527"/>
            <w:id w:val="-735160071"/>
          </w:sdtPr>
          <w:sdtEndPr>
            <w:rPr>
              <w:rFonts w:ascii="Arial Narrow" w:hAnsi="Arial Narrow" w:eastAsiaTheme="minorEastAsia"/>
            </w:rPr>
          </w:sdtEndPr>
          <w:sdtContent>
            <w:tc>
              <w:tcPr>
                <w:tcW w:w="915" w:type="pct"/>
                <w:vAlign w:val="center"/>
              </w:tcPr>
              <w:p w14:paraId="059E3850">
                <w:pPr>
                  <w:ind w:right="73"/>
                  <w:jc w:val="center"/>
                  <w:rPr>
                    <w:rFonts w:ascii="Arial Narrow" w:hAnsi="Arial Narrow" w:eastAsiaTheme="minorEastAsia"/>
                    <w:szCs w:val="21"/>
                  </w:rPr>
                </w:pPr>
                <w:r>
                  <w:rPr>
                    <w:rFonts w:ascii="Arial Narrow" w:hAnsi="Arial Narrow" w:eastAsiaTheme="minorEastAsia"/>
                    <w:szCs w:val="21"/>
                  </w:rPr>
                  <w:t>款项的性质</w:t>
                </w:r>
              </w:p>
            </w:tc>
          </w:sdtContent>
        </w:sdt>
        <w:sdt>
          <w:sdtPr>
            <w:rPr>
              <w:rFonts w:ascii="Arial Narrow" w:hAnsi="Arial Narrow" w:eastAsiaTheme="minorEastAsia"/>
            </w:rPr>
            <w:tag w:val="_PLD_003c0f3b03b34c10880da6ddba3d0f8c"/>
            <w:id w:val="-1515224553"/>
          </w:sdtPr>
          <w:sdtEndPr>
            <w:rPr>
              <w:rFonts w:ascii="Arial Narrow" w:hAnsi="Arial Narrow" w:eastAsiaTheme="minorEastAsia"/>
            </w:rPr>
          </w:sdtEndPr>
          <w:sdtContent>
            <w:tc>
              <w:tcPr>
                <w:tcW w:w="772" w:type="pct"/>
                <w:vAlign w:val="center"/>
              </w:tcPr>
              <w:p w14:paraId="21E2FD73">
                <w:pPr>
                  <w:ind w:right="73"/>
                  <w:jc w:val="center"/>
                  <w:rPr>
                    <w:rFonts w:ascii="Arial Narrow" w:hAnsi="Arial Narrow" w:eastAsiaTheme="minorEastAsia"/>
                    <w:szCs w:val="21"/>
                  </w:rPr>
                </w:pPr>
                <w:r>
                  <w:rPr>
                    <w:rFonts w:ascii="Arial Narrow" w:hAnsi="Arial Narrow" w:eastAsiaTheme="minorEastAsia"/>
                    <w:szCs w:val="21"/>
                  </w:rPr>
                  <w:t>账龄</w:t>
                </w:r>
              </w:p>
            </w:tc>
          </w:sdtContent>
        </w:sdt>
        <w:sdt>
          <w:sdtPr>
            <w:rPr>
              <w:rFonts w:ascii="Arial Narrow" w:hAnsi="Arial Narrow" w:eastAsiaTheme="minorEastAsia"/>
            </w:rPr>
            <w:tag w:val="_PLD_de96d0c3523e4231935073b8b7dd47be"/>
            <w:id w:val="246547737"/>
          </w:sdtPr>
          <w:sdtEndPr>
            <w:rPr>
              <w:rFonts w:ascii="Arial Narrow" w:hAnsi="Arial Narrow" w:eastAsiaTheme="minorEastAsia"/>
            </w:rPr>
          </w:sdtEndPr>
          <w:sdtContent>
            <w:tc>
              <w:tcPr>
                <w:tcW w:w="825" w:type="pct"/>
                <w:vAlign w:val="center"/>
              </w:tcPr>
              <w:p w14:paraId="1C21FAF3">
                <w:pPr>
                  <w:jc w:val="center"/>
                  <w:rPr>
                    <w:rFonts w:ascii="Arial Narrow" w:hAnsi="Arial Narrow" w:eastAsiaTheme="minorEastAsia"/>
                    <w:szCs w:val="21"/>
                  </w:rPr>
                </w:pPr>
                <w:r>
                  <w:rPr>
                    <w:rFonts w:ascii="Arial Narrow" w:hAnsi="Arial Narrow" w:eastAsiaTheme="minorEastAsia"/>
                    <w:szCs w:val="21"/>
                  </w:rPr>
                  <w:t>坏账准备</w:t>
                </w:r>
              </w:p>
              <w:p w14:paraId="5EA4EB68">
                <w:pPr>
                  <w:jc w:val="center"/>
                  <w:rPr>
                    <w:rFonts w:ascii="Arial Narrow" w:hAnsi="Arial Narrow" w:eastAsiaTheme="minorEastAsia"/>
                    <w:szCs w:val="21"/>
                  </w:rPr>
                </w:pPr>
                <w:r>
                  <w:rPr>
                    <w:rFonts w:ascii="Arial Narrow" w:hAnsi="Arial Narrow" w:eastAsiaTheme="minorEastAsia"/>
                    <w:szCs w:val="21"/>
                  </w:rPr>
                  <w:t>期末余额</w:t>
                </w:r>
              </w:p>
            </w:tc>
          </w:sdtContent>
        </w:sdt>
      </w:tr>
      <w:tr w14:paraId="211C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42" w:type="pct"/>
            <w:vAlign w:val="center"/>
          </w:tcPr>
          <w:p w14:paraId="14614AC1">
            <w:pPr>
              <w:ind w:right="105"/>
              <w:jc w:val="both"/>
              <w:rPr>
                <w:rFonts w:ascii="Arial Narrow" w:hAnsi="Arial Narrow" w:eastAsiaTheme="minorEastAsia"/>
                <w:szCs w:val="21"/>
              </w:rPr>
            </w:pPr>
            <w:r>
              <w:rPr>
                <w:rFonts w:ascii="Arial Narrow" w:hAnsi="Arial Narrow" w:eastAsiaTheme="minorEastAsia"/>
                <w:color w:val="000000"/>
                <w:szCs w:val="21"/>
              </w:rPr>
              <w:t>际华置业（兰州）有限公司</w:t>
            </w:r>
          </w:p>
        </w:tc>
        <w:tc>
          <w:tcPr>
            <w:tcW w:w="963" w:type="pct"/>
            <w:vAlign w:val="center"/>
          </w:tcPr>
          <w:p w14:paraId="737D86AE">
            <w:pPr>
              <w:ind w:right="73"/>
              <w:jc w:val="right"/>
              <w:rPr>
                <w:rFonts w:ascii="Arial Narrow" w:hAnsi="Arial Narrow" w:eastAsiaTheme="minorEastAsia"/>
                <w:szCs w:val="21"/>
              </w:rPr>
            </w:pPr>
            <w:r>
              <w:rPr>
                <w:rFonts w:ascii="Arial Narrow" w:hAnsi="Arial Narrow" w:eastAsiaTheme="minorEastAsia"/>
                <w:color w:val="000000"/>
                <w:szCs w:val="21"/>
              </w:rPr>
              <w:t>1,056,716,157.94</w:t>
            </w:r>
          </w:p>
        </w:tc>
        <w:tc>
          <w:tcPr>
            <w:tcW w:w="483" w:type="pct"/>
            <w:vAlign w:val="center"/>
          </w:tcPr>
          <w:p w14:paraId="31A4C6BC">
            <w:pPr>
              <w:jc w:val="right"/>
              <w:rPr>
                <w:rFonts w:ascii="Arial Narrow" w:hAnsi="Arial Narrow" w:eastAsiaTheme="minorEastAsia"/>
                <w:szCs w:val="21"/>
              </w:rPr>
            </w:pPr>
            <w:r>
              <w:rPr>
                <w:rFonts w:ascii="Arial Narrow" w:hAnsi="Arial Narrow" w:eastAsiaTheme="minorEastAsia"/>
                <w:color w:val="000000"/>
                <w:szCs w:val="21"/>
              </w:rPr>
              <w:t>14.41</w:t>
            </w:r>
          </w:p>
        </w:tc>
        <w:tc>
          <w:tcPr>
            <w:tcW w:w="915" w:type="pct"/>
            <w:vAlign w:val="center"/>
          </w:tcPr>
          <w:p w14:paraId="1968E826">
            <w:pPr>
              <w:ind w:right="73"/>
              <w:jc w:val="center"/>
              <w:rPr>
                <w:rFonts w:ascii="Arial Narrow" w:hAnsi="Arial Narrow" w:eastAsiaTheme="minorEastAsia"/>
                <w:szCs w:val="21"/>
              </w:rPr>
            </w:pPr>
            <w:r>
              <w:rPr>
                <w:rFonts w:ascii="Arial Narrow" w:hAnsi="Arial Narrow" w:eastAsiaTheme="minorEastAsia"/>
                <w:color w:val="000000"/>
                <w:szCs w:val="21"/>
              </w:rPr>
              <w:t>项目资金</w:t>
            </w:r>
          </w:p>
        </w:tc>
        <w:tc>
          <w:tcPr>
            <w:tcW w:w="772" w:type="pct"/>
            <w:vAlign w:val="center"/>
          </w:tcPr>
          <w:p w14:paraId="689EC914">
            <w:pPr>
              <w:ind w:right="73"/>
              <w:jc w:val="center"/>
              <w:rPr>
                <w:rFonts w:ascii="Arial Narrow" w:hAnsi="Arial Narrow" w:eastAsiaTheme="minorEastAsia"/>
                <w:szCs w:val="21"/>
              </w:rPr>
            </w:pPr>
            <w:r>
              <w:rPr>
                <w:rFonts w:ascii="Arial Narrow" w:hAnsi="Arial Narrow" w:eastAsiaTheme="minorEastAsia"/>
                <w:color w:val="000000"/>
                <w:szCs w:val="21"/>
              </w:rPr>
              <w:t>5年以上</w:t>
            </w:r>
          </w:p>
        </w:tc>
        <w:tc>
          <w:tcPr>
            <w:tcW w:w="825" w:type="pct"/>
            <w:vAlign w:val="center"/>
          </w:tcPr>
          <w:p w14:paraId="2E94E4D9">
            <w:pPr>
              <w:jc w:val="right"/>
              <w:rPr>
                <w:rFonts w:ascii="Arial Narrow" w:hAnsi="Arial Narrow" w:eastAsiaTheme="minorEastAsia"/>
                <w:szCs w:val="21"/>
              </w:rPr>
            </w:pPr>
          </w:p>
        </w:tc>
      </w:tr>
      <w:tr w14:paraId="525C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42" w:type="pct"/>
            <w:vAlign w:val="center"/>
          </w:tcPr>
          <w:p w14:paraId="42C74ED4">
            <w:pPr>
              <w:ind w:right="105"/>
              <w:jc w:val="both"/>
              <w:rPr>
                <w:rFonts w:ascii="Arial Narrow" w:hAnsi="Arial Narrow" w:eastAsiaTheme="minorEastAsia"/>
                <w:szCs w:val="21"/>
              </w:rPr>
            </w:pPr>
            <w:r>
              <w:rPr>
                <w:rFonts w:ascii="Arial Narrow" w:hAnsi="Arial Narrow" w:eastAsiaTheme="minorEastAsia"/>
                <w:color w:val="000000"/>
                <w:szCs w:val="21"/>
              </w:rPr>
              <w:t>长春际华投资建设有限公司</w:t>
            </w:r>
          </w:p>
        </w:tc>
        <w:tc>
          <w:tcPr>
            <w:tcW w:w="963" w:type="pct"/>
            <w:vAlign w:val="center"/>
          </w:tcPr>
          <w:p w14:paraId="7327EE7C">
            <w:pPr>
              <w:ind w:right="73"/>
              <w:jc w:val="right"/>
              <w:rPr>
                <w:rFonts w:ascii="Arial Narrow" w:hAnsi="Arial Narrow" w:eastAsiaTheme="minorEastAsia"/>
                <w:szCs w:val="21"/>
              </w:rPr>
            </w:pPr>
            <w:r>
              <w:rPr>
                <w:rFonts w:ascii="Arial Narrow" w:hAnsi="Arial Narrow" w:eastAsiaTheme="minorEastAsia"/>
                <w:color w:val="000000"/>
                <w:szCs w:val="21"/>
              </w:rPr>
              <w:t>889,941,136.98</w:t>
            </w:r>
          </w:p>
        </w:tc>
        <w:tc>
          <w:tcPr>
            <w:tcW w:w="483" w:type="pct"/>
            <w:vAlign w:val="center"/>
          </w:tcPr>
          <w:p w14:paraId="5DF4F239">
            <w:pPr>
              <w:jc w:val="right"/>
              <w:rPr>
                <w:rFonts w:ascii="Arial Narrow" w:hAnsi="Arial Narrow" w:eastAsiaTheme="minorEastAsia"/>
                <w:szCs w:val="21"/>
              </w:rPr>
            </w:pPr>
            <w:r>
              <w:rPr>
                <w:rFonts w:ascii="Arial Narrow" w:hAnsi="Arial Narrow" w:eastAsiaTheme="minorEastAsia"/>
                <w:color w:val="000000"/>
                <w:szCs w:val="21"/>
              </w:rPr>
              <w:t>12.14</w:t>
            </w:r>
          </w:p>
        </w:tc>
        <w:tc>
          <w:tcPr>
            <w:tcW w:w="915" w:type="pct"/>
            <w:vAlign w:val="center"/>
          </w:tcPr>
          <w:p w14:paraId="18FD5332">
            <w:pPr>
              <w:ind w:right="73"/>
              <w:jc w:val="center"/>
              <w:rPr>
                <w:rFonts w:ascii="Arial Narrow" w:hAnsi="Arial Narrow" w:eastAsiaTheme="minorEastAsia"/>
                <w:szCs w:val="21"/>
              </w:rPr>
            </w:pPr>
            <w:r>
              <w:rPr>
                <w:rFonts w:ascii="Arial Narrow" w:hAnsi="Arial Narrow" w:eastAsiaTheme="minorEastAsia"/>
                <w:color w:val="000000"/>
                <w:szCs w:val="21"/>
              </w:rPr>
              <w:t>项目资金、所属企业借款</w:t>
            </w:r>
          </w:p>
        </w:tc>
        <w:tc>
          <w:tcPr>
            <w:tcW w:w="772" w:type="pct"/>
            <w:vAlign w:val="center"/>
          </w:tcPr>
          <w:p w14:paraId="496D5A83">
            <w:pPr>
              <w:ind w:right="73"/>
              <w:jc w:val="center"/>
              <w:rPr>
                <w:rFonts w:ascii="Arial Narrow" w:hAnsi="Arial Narrow" w:eastAsiaTheme="minorEastAsia"/>
                <w:szCs w:val="21"/>
              </w:rPr>
            </w:pPr>
            <w:r>
              <w:rPr>
                <w:rFonts w:ascii="Arial Narrow" w:hAnsi="Arial Narrow" w:eastAsiaTheme="minorEastAsia"/>
                <w:color w:val="000000"/>
                <w:szCs w:val="21"/>
              </w:rPr>
              <w:t>1年以内、1-5年、5年以上</w:t>
            </w:r>
          </w:p>
        </w:tc>
        <w:tc>
          <w:tcPr>
            <w:tcW w:w="825" w:type="pct"/>
            <w:vAlign w:val="center"/>
          </w:tcPr>
          <w:p w14:paraId="03363A05">
            <w:pPr>
              <w:jc w:val="right"/>
              <w:rPr>
                <w:rFonts w:ascii="Arial Narrow" w:hAnsi="Arial Narrow" w:eastAsiaTheme="minorEastAsia"/>
                <w:szCs w:val="21"/>
              </w:rPr>
            </w:pPr>
          </w:p>
        </w:tc>
      </w:tr>
      <w:tr w14:paraId="49F2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42" w:type="pct"/>
            <w:vAlign w:val="center"/>
          </w:tcPr>
          <w:p w14:paraId="2D49FD3E">
            <w:pPr>
              <w:ind w:right="105"/>
              <w:jc w:val="both"/>
              <w:rPr>
                <w:rFonts w:ascii="Arial Narrow" w:hAnsi="Arial Narrow" w:eastAsiaTheme="minorEastAsia"/>
                <w:szCs w:val="21"/>
              </w:rPr>
            </w:pPr>
            <w:r>
              <w:rPr>
                <w:rFonts w:ascii="Arial Narrow" w:hAnsi="Arial Narrow" w:eastAsiaTheme="minorEastAsia"/>
                <w:color w:val="000000"/>
                <w:szCs w:val="21"/>
              </w:rPr>
              <w:t>重庆际华目的地中心实业有限公司</w:t>
            </w:r>
          </w:p>
        </w:tc>
        <w:tc>
          <w:tcPr>
            <w:tcW w:w="963" w:type="pct"/>
            <w:vAlign w:val="center"/>
          </w:tcPr>
          <w:p w14:paraId="0A84F3BE">
            <w:pPr>
              <w:ind w:right="73"/>
              <w:jc w:val="right"/>
              <w:rPr>
                <w:rFonts w:ascii="Arial Narrow" w:hAnsi="Arial Narrow" w:eastAsiaTheme="minorEastAsia"/>
                <w:szCs w:val="21"/>
              </w:rPr>
            </w:pPr>
            <w:r>
              <w:rPr>
                <w:rFonts w:ascii="Arial Narrow" w:hAnsi="Arial Narrow" w:eastAsiaTheme="minorEastAsia"/>
                <w:color w:val="000000"/>
                <w:szCs w:val="21"/>
              </w:rPr>
              <w:t>812,058,483.73</w:t>
            </w:r>
          </w:p>
        </w:tc>
        <w:tc>
          <w:tcPr>
            <w:tcW w:w="483" w:type="pct"/>
            <w:vAlign w:val="center"/>
          </w:tcPr>
          <w:p w14:paraId="298766B0">
            <w:pPr>
              <w:jc w:val="right"/>
              <w:rPr>
                <w:rFonts w:ascii="Arial Narrow" w:hAnsi="Arial Narrow" w:eastAsiaTheme="minorEastAsia"/>
                <w:szCs w:val="21"/>
              </w:rPr>
            </w:pPr>
            <w:r>
              <w:rPr>
                <w:rFonts w:ascii="Arial Narrow" w:hAnsi="Arial Narrow" w:eastAsiaTheme="minorEastAsia"/>
                <w:color w:val="000000"/>
                <w:szCs w:val="21"/>
              </w:rPr>
              <w:t>11.07</w:t>
            </w:r>
          </w:p>
        </w:tc>
        <w:tc>
          <w:tcPr>
            <w:tcW w:w="915" w:type="pct"/>
            <w:vAlign w:val="center"/>
          </w:tcPr>
          <w:p w14:paraId="4A7B3D49">
            <w:pPr>
              <w:ind w:right="73"/>
              <w:jc w:val="center"/>
              <w:rPr>
                <w:rFonts w:ascii="Arial Narrow" w:hAnsi="Arial Narrow" w:eastAsiaTheme="minorEastAsia"/>
                <w:szCs w:val="21"/>
              </w:rPr>
            </w:pPr>
            <w:r>
              <w:rPr>
                <w:rFonts w:ascii="Arial Narrow" w:hAnsi="Arial Narrow" w:eastAsiaTheme="minorEastAsia"/>
                <w:color w:val="000000"/>
                <w:szCs w:val="21"/>
              </w:rPr>
              <w:t>项目资金、所属企业借款</w:t>
            </w:r>
          </w:p>
        </w:tc>
        <w:tc>
          <w:tcPr>
            <w:tcW w:w="772" w:type="pct"/>
            <w:vAlign w:val="center"/>
          </w:tcPr>
          <w:p w14:paraId="74EB0111">
            <w:pPr>
              <w:ind w:right="73"/>
              <w:jc w:val="center"/>
              <w:rPr>
                <w:rFonts w:ascii="Arial Narrow" w:hAnsi="Arial Narrow" w:eastAsiaTheme="minorEastAsia"/>
                <w:szCs w:val="21"/>
              </w:rPr>
            </w:pPr>
            <w:r>
              <w:rPr>
                <w:rFonts w:ascii="Arial Narrow" w:hAnsi="Arial Narrow" w:eastAsiaTheme="minorEastAsia"/>
                <w:color w:val="000000"/>
                <w:szCs w:val="21"/>
              </w:rPr>
              <w:t>1年以内、1-5年、5年以上</w:t>
            </w:r>
          </w:p>
        </w:tc>
        <w:tc>
          <w:tcPr>
            <w:tcW w:w="825" w:type="pct"/>
            <w:vAlign w:val="center"/>
          </w:tcPr>
          <w:p w14:paraId="7694EA6D">
            <w:pPr>
              <w:jc w:val="right"/>
              <w:rPr>
                <w:rFonts w:ascii="Arial Narrow" w:hAnsi="Arial Narrow" w:eastAsiaTheme="minorEastAsia"/>
                <w:szCs w:val="21"/>
              </w:rPr>
            </w:pPr>
          </w:p>
        </w:tc>
      </w:tr>
      <w:tr w14:paraId="643A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42" w:type="pct"/>
            <w:vAlign w:val="center"/>
          </w:tcPr>
          <w:p w14:paraId="7098C0FB">
            <w:pPr>
              <w:ind w:right="105"/>
              <w:jc w:val="both"/>
              <w:rPr>
                <w:rFonts w:ascii="Arial Narrow" w:hAnsi="Arial Narrow" w:eastAsiaTheme="minorEastAsia"/>
                <w:szCs w:val="21"/>
              </w:rPr>
            </w:pPr>
            <w:r>
              <w:rPr>
                <w:rFonts w:ascii="Arial Narrow" w:hAnsi="Arial Narrow" w:eastAsiaTheme="minorEastAsia"/>
                <w:color w:val="000000"/>
                <w:szCs w:val="21"/>
              </w:rPr>
              <w:t>青海际华江源实业有限公司</w:t>
            </w:r>
          </w:p>
        </w:tc>
        <w:tc>
          <w:tcPr>
            <w:tcW w:w="963" w:type="pct"/>
            <w:vAlign w:val="center"/>
          </w:tcPr>
          <w:p w14:paraId="2F305B37">
            <w:pPr>
              <w:ind w:right="73"/>
              <w:jc w:val="right"/>
              <w:rPr>
                <w:rFonts w:ascii="Arial Narrow" w:hAnsi="Arial Narrow" w:eastAsiaTheme="minorEastAsia"/>
                <w:szCs w:val="21"/>
              </w:rPr>
            </w:pPr>
            <w:r>
              <w:rPr>
                <w:rFonts w:ascii="Arial Narrow" w:hAnsi="Arial Narrow" w:eastAsiaTheme="minorEastAsia"/>
                <w:color w:val="000000"/>
                <w:szCs w:val="21"/>
              </w:rPr>
              <w:t>710,907,572.84</w:t>
            </w:r>
          </w:p>
        </w:tc>
        <w:tc>
          <w:tcPr>
            <w:tcW w:w="483" w:type="pct"/>
            <w:vAlign w:val="center"/>
          </w:tcPr>
          <w:p w14:paraId="6D281489">
            <w:pPr>
              <w:jc w:val="right"/>
              <w:rPr>
                <w:rFonts w:ascii="Arial Narrow" w:hAnsi="Arial Narrow" w:eastAsiaTheme="minorEastAsia"/>
                <w:szCs w:val="21"/>
              </w:rPr>
            </w:pPr>
            <w:r>
              <w:rPr>
                <w:rFonts w:ascii="Arial Narrow" w:hAnsi="Arial Narrow" w:eastAsiaTheme="minorEastAsia"/>
                <w:color w:val="000000"/>
                <w:szCs w:val="21"/>
              </w:rPr>
              <w:t>9.70</w:t>
            </w:r>
          </w:p>
        </w:tc>
        <w:tc>
          <w:tcPr>
            <w:tcW w:w="915" w:type="pct"/>
            <w:vAlign w:val="center"/>
          </w:tcPr>
          <w:p w14:paraId="35A8B784">
            <w:pPr>
              <w:ind w:right="73"/>
              <w:jc w:val="center"/>
              <w:rPr>
                <w:rFonts w:ascii="Arial Narrow" w:hAnsi="Arial Narrow" w:eastAsiaTheme="minorEastAsia"/>
                <w:szCs w:val="21"/>
              </w:rPr>
            </w:pPr>
            <w:r>
              <w:rPr>
                <w:rFonts w:ascii="Arial Narrow" w:hAnsi="Arial Narrow" w:eastAsiaTheme="minorEastAsia"/>
                <w:color w:val="000000"/>
                <w:szCs w:val="21"/>
              </w:rPr>
              <w:t>往来款</w:t>
            </w:r>
          </w:p>
        </w:tc>
        <w:tc>
          <w:tcPr>
            <w:tcW w:w="772" w:type="pct"/>
            <w:vAlign w:val="center"/>
          </w:tcPr>
          <w:p w14:paraId="24952496">
            <w:pPr>
              <w:ind w:right="73"/>
              <w:jc w:val="center"/>
              <w:rPr>
                <w:rFonts w:ascii="Arial Narrow" w:hAnsi="Arial Narrow" w:eastAsiaTheme="minorEastAsia"/>
                <w:szCs w:val="21"/>
              </w:rPr>
            </w:pPr>
            <w:r>
              <w:rPr>
                <w:rFonts w:ascii="Arial Narrow" w:hAnsi="Arial Narrow" w:eastAsiaTheme="minorEastAsia"/>
                <w:color w:val="000000"/>
                <w:szCs w:val="21"/>
              </w:rPr>
              <w:t>1-5年、5年以上</w:t>
            </w:r>
          </w:p>
        </w:tc>
        <w:tc>
          <w:tcPr>
            <w:tcW w:w="825" w:type="pct"/>
            <w:vAlign w:val="center"/>
          </w:tcPr>
          <w:p w14:paraId="08A95BF9">
            <w:pPr>
              <w:jc w:val="right"/>
              <w:rPr>
                <w:rFonts w:ascii="Arial Narrow" w:hAnsi="Arial Narrow" w:eastAsiaTheme="minorEastAsia"/>
                <w:szCs w:val="21"/>
              </w:rPr>
            </w:pPr>
            <w:r>
              <w:rPr>
                <w:rFonts w:ascii="Arial Narrow" w:hAnsi="Arial Narrow" w:eastAsiaTheme="minorEastAsia"/>
                <w:color w:val="000000"/>
                <w:szCs w:val="21"/>
              </w:rPr>
              <w:t>679,954,212.84</w:t>
            </w:r>
          </w:p>
        </w:tc>
      </w:tr>
      <w:tr w14:paraId="621D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42" w:type="pct"/>
            <w:vAlign w:val="center"/>
          </w:tcPr>
          <w:p w14:paraId="5297193B">
            <w:pPr>
              <w:ind w:right="105"/>
              <w:jc w:val="both"/>
              <w:rPr>
                <w:rFonts w:ascii="Arial Narrow" w:hAnsi="Arial Narrow" w:eastAsiaTheme="minorEastAsia"/>
                <w:szCs w:val="21"/>
              </w:rPr>
            </w:pPr>
            <w:r>
              <w:rPr>
                <w:rFonts w:ascii="Arial Narrow" w:hAnsi="Arial Narrow" w:eastAsiaTheme="minorEastAsia"/>
                <w:color w:val="000000"/>
                <w:szCs w:val="21"/>
              </w:rPr>
              <w:t>际华连锁商务有限公司</w:t>
            </w:r>
          </w:p>
        </w:tc>
        <w:tc>
          <w:tcPr>
            <w:tcW w:w="963" w:type="pct"/>
            <w:vAlign w:val="center"/>
          </w:tcPr>
          <w:p w14:paraId="09AFDC61">
            <w:pPr>
              <w:ind w:right="73"/>
              <w:jc w:val="right"/>
              <w:rPr>
                <w:rFonts w:ascii="Arial Narrow" w:hAnsi="Arial Narrow" w:eastAsiaTheme="minorEastAsia"/>
                <w:szCs w:val="21"/>
              </w:rPr>
            </w:pPr>
            <w:r>
              <w:rPr>
                <w:rFonts w:ascii="Arial Narrow" w:hAnsi="Arial Narrow" w:eastAsiaTheme="minorEastAsia"/>
                <w:color w:val="000000"/>
                <w:szCs w:val="21"/>
              </w:rPr>
              <w:t>519,990,317.38</w:t>
            </w:r>
          </w:p>
        </w:tc>
        <w:tc>
          <w:tcPr>
            <w:tcW w:w="483" w:type="pct"/>
            <w:vAlign w:val="center"/>
          </w:tcPr>
          <w:p w14:paraId="3AA636F3">
            <w:pPr>
              <w:jc w:val="right"/>
              <w:rPr>
                <w:rFonts w:ascii="Arial Narrow" w:hAnsi="Arial Narrow" w:eastAsiaTheme="minorEastAsia"/>
                <w:szCs w:val="21"/>
              </w:rPr>
            </w:pPr>
            <w:r>
              <w:rPr>
                <w:rFonts w:ascii="Arial Narrow" w:hAnsi="Arial Narrow" w:eastAsiaTheme="minorEastAsia"/>
                <w:color w:val="000000"/>
                <w:szCs w:val="21"/>
              </w:rPr>
              <w:t>7.09</w:t>
            </w:r>
          </w:p>
        </w:tc>
        <w:tc>
          <w:tcPr>
            <w:tcW w:w="915" w:type="pct"/>
            <w:vAlign w:val="center"/>
          </w:tcPr>
          <w:p w14:paraId="1596ED95">
            <w:pPr>
              <w:ind w:right="73"/>
              <w:jc w:val="center"/>
              <w:rPr>
                <w:rFonts w:ascii="Arial Narrow" w:hAnsi="Arial Narrow" w:eastAsiaTheme="minorEastAsia"/>
                <w:szCs w:val="21"/>
              </w:rPr>
            </w:pPr>
            <w:r>
              <w:rPr>
                <w:rFonts w:ascii="Arial Narrow" w:hAnsi="Arial Narrow" w:eastAsiaTheme="minorEastAsia"/>
                <w:color w:val="000000"/>
                <w:szCs w:val="21"/>
              </w:rPr>
              <w:t>所属企业借款、往来款</w:t>
            </w:r>
          </w:p>
        </w:tc>
        <w:tc>
          <w:tcPr>
            <w:tcW w:w="772" w:type="pct"/>
            <w:vAlign w:val="center"/>
          </w:tcPr>
          <w:p w14:paraId="5A2536C8">
            <w:pPr>
              <w:ind w:right="73"/>
              <w:jc w:val="center"/>
              <w:rPr>
                <w:rFonts w:ascii="Arial Narrow" w:hAnsi="Arial Narrow" w:eastAsiaTheme="minorEastAsia"/>
                <w:szCs w:val="21"/>
              </w:rPr>
            </w:pPr>
            <w:r>
              <w:rPr>
                <w:rFonts w:ascii="Arial Narrow" w:hAnsi="Arial Narrow" w:eastAsiaTheme="minorEastAsia"/>
                <w:color w:val="000000"/>
                <w:szCs w:val="21"/>
              </w:rPr>
              <w:t>1年以内、1-5年、5年以上</w:t>
            </w:r>
          </w:p>
        </w:tc>
        <w:tc>
          <w:tcPr>
            <w:tcW w:w="825" w:type="pct"/>
            <w:vAlign w:val="center"/>
          </w:tcPr>
          <w:p w14:paraId="60B385B3">
            <w:pPr>
              <w:jc w:val="right"/>
              <w:rPr>
                <w:rFonts w:ascii="Arial Narrow" w:hAnsi="Arial Narrow" w:eastAsiaTheme="minorEastAsia"/>
                <w:szCs w:val="21"/>
              </w:rPr>
            </w:pPr>
          </w:p>
        </w:tc>
      </w:tr>
      <w:tr w14:paraId="11A8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1042" w:type="pct"/>
            <w:vAlign w:val="center"/>
          </w:tcPr>
          <w:p w14:paraId="0E5DB2A6">
            <w:pPr>
              <w:ind w:right="105"/>
              <w:jc w:val="center"/>
              <w:rPr>
                <w:rFonts w:ascii="Arial Narrow" w:hAnsi="Arial Narrow" w:eastAsiaTheme="minorEastAsia"/>
                <w:szCs w:val="21"/>
              </w:rPr>
            </w:pPr>
            <w:r>
              <w:rPr>
                <w:rFonts w:ascii="Arial Narrow" w:hAnsi="Arial Narrow" w:eastAsiaTheme="minorEastAsia"/>
                <w:szCs w:val="21"/>
              </w:rPr>
              <w:t>合计</w:t>
            </w:r>
          </w:p>
        </w:tc>
        <w:tc>
          <w:tcPr>
            <w:tcW w:w="963" w:type="pct"/>
            <w:vAlign w:val="center"/>
          </w:tcPr>
          <w:p w14:paraId="3B9B4F77">
            <w:pPr>
              <w:ind w:right="73"/>
              <w:jc w:val="right"/>
              <w:rPr>
                <w:rFonts w:ascii="Arial Narrow" w:hAnsi="Arial Narrow" w:eastAsiaTheme="minorEastAsia"/>
                <w:szCs w:val="21"/>
              </w:rPr>
            </w:pPr>
            <w:r>
              <w:rPr>
                <w:rFonts w:ascii="Arial Narrow" w:hAnsi="Arial Narrow" w:eastAsiaTheme="minorEastAsia"/>
                <w:color w:val="000000"/>
                <w:szCs w:val="21"/>
              </w:rPr>
              <w:t>3,989,613,668.87</w:t>
            </w:r>
          </w:p>
        </w:tc>
        <w:tc>
          <w:tcPr>
            <w:tcW w:w="483" w:type="pct"/>
            <w:vAlign w:val="center"/>
          </w:tcPr>
          <w:p w14:paraId="504454CE">
            <w:pPr>
              <w:jc w:val="right"/>
              <w:rPr>
                <w:rFonts w:ascii="Arial Narrow" w:hAnsi="Arial Narrow" w:eastAsiaTheme="minorEastAsia"/>
                <w:szCs w:val="21"/>
              </w:rPr>
            </w:pPr>
            <w:r>
              <w:rPr>
                <w:rFonts w:ascii="Arial Narrow" w:hAnsi="Arial Narrow" w:eastAsiaTheme="minorEastAsia"/>
                <w:color w:val="000000"/>
                <w:szCs w:val="21"/>
              </w:rPr>
              <w:t>54.41</w:t>
            </w:r>
          </w:p>
        </w:tc>
        <w:tc>
          <w:tcPr>
            <w:tcW w:w="915" w:type="pct"/>
            <w:vAlign w:val="center"/>
          </w:tcPr>
          <w:p w14:paraId="68765519">
            <w:pPr>
              <w:ind w:right="73"/>
              <w:jc w:val="center"/>
              <w:rPr>
                <w:rFonts w:ascii="Arial Narrow" w:hAnsi="Arial Narrow" w:eastAsiaTheme="minorEastAsia"/>
                <w:szCs w:val="21"/>
              </w:rPr>
            </w:pPr>
            <w:r>
              <w:rPr>
                <w:rFonts w:ascii="Arial Narrow" w:hAnsi="Arial Narrow" w:eastAsiaTheme="minorEastAsia"/>
                <w:szCs w:val="21"/>
              </w:rPr>
              <w:t>/</w:t>
            </w:r>
          </w:p>
        </w:tc>
        <w:tc>
          <w:tcPr>
            <w:tcW w:w="772" w:type="pct"/>
            <w:vAlign w:val="center"/>
          </w:tcPr>
          <w:p w14:paraId="1EABA05D">
            <w:pPr>
              <w:ind w:right="73"/>
              <w:jc w:val="center"/>
              <w:rPr>
                <w:rFonts w:ascii="Arial Narrow" w:hAnsi="Arial Narrow" w:eastAsiaTheme="minorEastAsia"/>
                <w:szCs w:val="21"/>
              </w:rPr>
            </w:pPr>
            <w:r>
              <w:rPr>
                <w:rFonts w:ascii="Arial Narrow" w:hAnsi="Arial Narrow" w:eastAsiaTheme="minorEastAsia"/>
                <w:szCs w:val="21"/>
              </w:rPr>
              <w:t>/</w:t>
            </w:r>
          </w:p>
        </w:tc>
        <w:tc>
          <w:tcPr>
            <w:tcW w:w="825" w:type="pct"/>
            <w:vAlign w:val="center"/>
          </w:tcPr>
          <w:p w14:paraId="3933C210">
            <w:pPr>
              <w:jc w:val="right"/>
              <w:rPr>
                <w:rFonts w:ascii="Arial Narrow" w:hAnsi="Arial Narrow" w:eastAsiaTheme="minorEastAsia"/>
                <w:szCs w:val="21"/>
              </w:rPr>
            </w:pPr>
            <w:r>
              <w:rPr>
                <w:rFonts w:ascii="Arial Narrow" w:hAnsi="Arial Narrow" w:eastAsiaTheme="minorEastAsia"/>
                <w:color w:val="000000"/>
                <w:szCs w:val="21"/>
              </w:rPr>
              <w:t>679,954,212.84</w:t>
            </w:r>
          </w:p>
        </w:tc>
      </w:tr>
    </w:tbl>
    <w:p w14:paraId="1037B53B">
      <w:pPr>
        <w:rPr>
          <w:rFonts w:hint="eastAsia"/>
        </w:rPr>
      </w:pPr>
    </w:p>
    <w:bookmarkEnd w:id="439"/>
    <w:p w14:paraId="443060AA">
      <w:pPr>
        <w:pStyle w:val="72"/>
        <w:numPr>
          <w:ilvl w:val="0"/>
          <w:numId w:val="178"/>
        </w:numPr>
        <w:ind w:leftChars="0"/>
      </w:pPr>
      <w:bookmarkStart w:id="440" w:name="_Hlk153798113"/>
      <w:r>
        <w:rPr>
          <w:rFonts w:hint="eastAsia"/>
        </w:rPr>
        <w:t>因资金集中管理而列报于其他应收款</w:t>
      </w:r>
    </w:p>
    <w:sdt>
      <w:sdtPr>
        <w:alias w:val="是否适用：母公司因资金集中管理而列报于其他应收款[双击切换]"/>
        <w:tag w:val="_GBC_618dc514c72c4f30836fe51ef5fc4589"/>
        <w:id w:val="-793747213"/>
        <w:placeholder>
          <w:docPart w:val="GBC22222222222222222222222222222"/>
        </w:placeholder>
      </w:sdtPr>
      <w:sdtContent>
        <w:p w14:paraId="065CFD23">
          <w:pPr>
            <w:snapToGrid w:val="0"/>
            <w:spacing w:line="240" w:lineRule="atLeast"/>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1A64A04A">
      <w:pPr>
        <w:snapToGrid w:val="0"/>
        <w:spacing w:line="240" w:lineRule="atLeast"/>
        <w:rPr>
          <w:rFonts w:hint="eastAsia"/>
        </w:rPr>
      </w:pPr>
    </w:p>
    <w:bookmarkEnd w:id="440"/>
    <w:p w14:paraId="3867E71B">
      <w:pPr>
        <w:rPr>
          <w:rFonts w:hint="eastAsia"/>
        </w:rPr>
      </w:pPr>
      <w:r>
        <w:rPr>
          <w:rFonts w:hint="eastAsia"/>
        </w:rPr>
        <w:t>其他</w:t>
      </w:r>
      <w:r>
        <w:t>说明：</w:t>
      </w:r>
    </w:p>
    <w:sdt>
      <w:sdtPr>
        <w:rPr>
          <w:rFonts w:hint="eastAsia"/>
          <w:szCs w:val="21"/>
        </w:rPr>
        <w:alias w:val="是否适用：母公司其他应收款的其他说明[双击切换]"/>
        <w:tag w:val="_GBC_479bc9ed241548c695a3905f38eb23fd"/>
        <w:id w:val="-1257043090"/>
        <w:placeholder>
          <w:docPart w:val="GBC22222222222222222222222222222"/>
        </w:placeholder>
      </w:sdtPr>
      <w:sdtEndPr>
        <w:rPr>
          <w:rFonts w:hint="eastAsia"/>
          <w:szCs w:val="21"/>
        </w:rPr>
      </w:sdtEndPr>
      <w:sdtContent>
        <w:p w14:paraId="487D97F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153B9BCD">
      <w:pPr>
        <w:rPr>
          <w:rFonts w:hint="eastAsia"/>
          <w:szCs w:val="21"/>
        </w:rPr>
      </w:pPr>
    </w:p>
    <w:p w14:paraId="51421529">
      <w:pPr>
        <w:rPr>
          <w:rFonts w:hint="eastAsia"/>
          <w:szCs w:val="21"/>
        </w:rPr>
      </w:pPr>
    </w:p>
    <w:p w14:paraId="2AD4BC60">
      <w:pPr>
        <w:pStyle w:val="70"/>
        <w:numPr>
          <w:ilvl w:val="0"/>
          <w:numId w:val="174"/>
        </w:numPr>
      </w:pPr>
      <w:r>
        <w:rPr>
          <w:rFonts w:hint="eastAsia" w:ascii="宋体" w:hAnsi="宋体"/>
          <w:szCs w:val="21"/>
        </w:rPr>
        <w:t>长期股权投资</w:t>
      </w:r>
    </w:p>
    <w:sdt>
      <w:sdtPr>
        <w:alias w:val="是否适用：母公司长期股权投资[双击切换]"/>
        <w:tag w:val="_GBC_57a2f87498c64eab83308bdf3afc6268"/>
        <w:id w:val="-922018380"/>
        <w:lock w:val="contentLocked"/>
        <w:placeholder>
          <w:docPart w:val="GBC22222222222222222222222222222"/>
        </w:placeholder>
      </w:sdtPr>
      <w:sdtContent>
        <w:p w14:paraId="3E4B6B7E">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E679896">
      <w:pPr>
        <w:jc w:val="right"/>
        <w:rPr>
          <w:rFonts w:hint="eastAsia"/>
          <w:szCs w:val="21"/>
        </w:rPr>
      </w:pPr>
      <w:r>
        <w:rPr>
          <w:rFonts w:hint="eastAsia"/>
          <w:szCs w:val="21"/>
        </w:rPr>
        <w:t>单位：</w:t>
      </w:r>
      <w:sdt>
        <w:sdtPr>
          <w:rPr>
            <w:rFonts w:hint="eastAsia"/>
            <w:szCs w:val="21"/>
          </w:rPr>
          <w:alias w:val="单位：母公司财务附注：长期股权投资"/>
          <w:tag w:val="_GBC_9d11e81055cb4017a0055a75ae95ae64"/>
          <w:id w:val="-6438857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20847154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37"/>
        <w:gridCol w:w="1219"/>
        <w:gridCol w:w="1437"/>
        <w:gridCol w:w="1437"/>
        <w:gridCol w:w="1220"/>
        <w:gridCol w:w="1437"/>
      </w:tblGrid>
      <w:tr w14:paraId="078E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0747ffd7336145fcb6d5e622fab54966"/>
            <w:id w:val="-1208492148"/>
          </w:sdtPr>
          <w:sdtContent>
            <w:tc>
              <w:tcPr>
                <w:tcW w:w="341" w:type="pct"/>
                <w:vMerge w:val="restart"/>
                <w:shd w:val="clear" w:color="auto" w:fill="auto"/>
                <w:vAlign w:val="center"/>
              </w:tcPr>
              <w:p w14:paraId="1755AE34">
                <w:pPr>
                  <w:jc w:val="center"/>
                  <w:rPr>
                    <w:rFonts w:hint="eastAsia"/>
                  </w:rPr>
                </w:pPr>
                <w:r>
                  <w:rPr>
                    <w:rFonts w:hint="eastAsia"/>
                  </w:rPr>
                  <w:t>项目</w:t>
                </w:r>
              </w:p>
            </w:tc>
          </w:sdtContent>
        </w:sdt>
        <w:sdt>
          <w:sdtPr>
            <w:tag w:val="_PLD_0b9f6f6d89c44029bf1de3ed5f6a4aa0"/>
            <w:id w:val="1910508385"/>
          </w:sdtPr>
          <w:sdtContent>
            <w:tc>
              <w:tcPr>
                <w:tcW w:w="2330" w:type="pct"/>
                <w:gridSpan w:val="3"/>
                <w:shd w:val="clear" w:color="auto" w:fill="auto"/>
                <w:vAlign w:val="center"/>
              </w:tcPr>
              <w:p w14:paraId="4D08B02B">
                <w:pPr>
                  <w:jc w:val="center"/>
                  <w:rPr>
                    <w:rFonts w:hint="eastAsia"/>
                  </w:rPr>
                </w:pPr>
                <w:r>
                  <w:rPr>
                    <w:rFonts w:hint="eastAsia"/>
                  </w:rPr>
                  <w:t>期末余额</w:t>
                </w:r>
              </w:p>
            </w:tc>
          </w:sdtContent>
        </w:sdt>
        <w:sdt>
          <w:sdtPr>
            <w:tag w:val="_PLD_d1ebeae29ff34029a10a8e0c447a171b"/>
            <w:id w:val="-631556763"/>
          </w:sdtPr>
          <w:sdtContent>
            <w:tc>
              <w:tcPr>
                <w:tcW w:w="2330" w:type="pct"/>
                <w:gridSpan w:val="3"/>
                <w:shd w:val="clear" w:color="auto" w:fill="auto"/>
                <w:vAlign w:val="center"/>
              </w:tcPr>
              <w:p w14:paraId="615B5310">
                <w:pPr>
                  <w:jc w:val="center"/>
                  <w:rPr>
                    <w:rFonts w:hint="eastAsia"/>
                  </w:rPr>
                </w:pPr>
                <w:r>
                  <w:rPr>
                    <w:rFonts w:hint="eastAsia"/>
                  </w:rPr>
                  <w:t>期初余额</w:t>
                </w:r>
              </w:p>
            </w:tc>
          </w:sdtContent>
        </w:sdt>
      </w:tr>
      <w:tr w14:paraId="25AB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1" w:type="pct"/>
            <w:vMerge w:val="continue"/>
            <w:shd w:val="clear" w:color="auto" w:fill="auto"/>
            <w:vAlign w:val="center"/>
          </w:tcPr>
          <w:p w14:paraId="7D0AA614">
            <w:pPr>
              <w:jc w:val="center"/>
              <w:rPr>
                <w:rFonts w:hint="eastAsia"/>
              </w:rPr>
            </w:pPr>
          </w:p>
        </w:tc>
        <w:sdt>
          <w:sdtPr>
            <w:tag w:val="_PLD_dd00c7deeb1e4ede9c3e40d64760a230"/>
            <w:id w:val="-1240398243"/>
          </w:sdtPr>
          <w:sdtContent>
            <w:tc>
              <w:tcPr>
                <w:tcW w:w="818" w:type="pct"/>
                <w:shd w:val="clear" w:color="auto" w:fill="auto"/>
                <w:vAlign w:val="center"/>
              </w:tcPr>
              <w:p w14:paraId="1C9244C7">
                <w:pPr>
                  <w:jc w:val="center"/>
                  <w:rPr>
                    <w:rFonts w:hint="eastAsia"/>
                  </w:rPr>
                </w:pPr>
                <w:r>
                  <w:rPr>
                    <w:rFonts w:hint="eastAsia"/>
                  </w:rPr>
                  <w:t>账面余额</w:t>
                </w:r>
              </w:p>
            </w:tc>
          </w:sdtContent>
        </w:sdt>
        <w:sdt>
          <w:sdtPr>
            <w:tag w:val="_PLD_dc4e6ed6511949b7a546924cafae2546"/>
            <w:id w:val="1573472101"/>
          </w:sdtPr>
          <w:sdtContent>
            <w:tc>
              <w:tcPr>
                <w:tcW w:w="694" w:type="pct"/>
                <w:shd w:val="clear" w:color="auto" w:fill="auto"/>
                <w:vAlign w:val="center"/>
              </w:tcPr>
              <w:p w14:paraId="32655558">
                <w:pPr>
                  <w:jc w:val="center"/>
                  <w:rPr>
                    <w:rFonts w:hint="eastAsia"/>
                  </w:rPr>
                </w:pPr>
                <w:r>
                  <w:rPr>
                    <w:rFonts w:hint="eastAsia"/>
                  </w:rPr>
                  <w:t>减值准备</w:t>
                </w:r>
              </w:p>
            </w:tc>
          </w:sdtContent>
        </w:sdt>
        <w:sdt>
          <w:sdtPr>
            <w:tag w:val="_PLD_1d7bbdc4e6144c95a3fcb7369904bea6"/>
            <w:id w:val="1048877710"/>
          </w:sdtPr>
          <w:sdtContent>
            <w:tc>
              <w:tcPr>
                <w:tcW w:w="818" w:type="pct"/>
                <w:shd w:val="clear" w:color="auto" w:fill="auto"/>
                <w:vAlign w:val="center"/>
              </w:tcPr>
              <w:p w14:paraId="7487DCA5">
                <w:pPr>
                  <w:jc w:val="center"/>
                  <w:rPr>
                    <w:rFonts w:hint="eastAsia"/>
                  </w:rPr>
                </w:pPr>
                <w:r>
                  <w:rPr>
                    <w:rFonts w:hint="eastAsia"/>
                  </w:rPr>
                  <w:t>账面价值</w:t>
                </w:r>
              </w:p>
            </w:tc>
          </w:sdtContent>
        </w:sdt>
        <w:sdt>
          <w:sdtPr>
            <w:tag w:val="_PLD_bd8a9c944702423e9ff20ddba1c4b3aa"/>
            <w:id w:val="-1501269144"/>
          </w:sdtPr>
          <w:sdtContent>
            <w:tc>
              <w:tcPr>
                <w:tcW w:w="818" w:type="pct"/>
                <w:shd w:val="clear" w:color="auto" w:fill="auto"/>
                <w:vAlign w:val="center"/>
              </w:tcPr>
              <w:p w14:paraId="1B289151">
                <w:pPr>
                  <w:jc w:val="center"/>
                  <w:rPr>
                    <w:rFonts w:hint="eastAsia"/>
                  </w:rPr>
                </w:pPr>
                <w:r>
                  <w:rPr>
                    <w:rFonts w:hint="eastAsia"/>
                  </w:rPr>
                  <w:t>账面余额</w:t>
                </w:r>
              </w:p>
            </w:tc>
          </w:sdtContent>
        </w:sdt>
        <w:sdt>
          <w:sdtPr>
            <w:tag w:val="_PLD_708c7153bc9a48c792e109da0ba5f2f8"/>
            <w:id w:val="-1422025262"/>
          </w:sdtPr>
          <w:sdtContent>
            <w:tc>
              <w:tcPr>
                <w:tcW w:w="694" w:type="pct"/>
                <w:shd w:val="clear" w:color="auto" w:fill="auto"/>
                <w:vAlign w:val="center"/>
              </w:tcPr>
              <w:p w14:paraId="7E5B8F23">
                <w:pPr>
                  <w:jc w:val="center"/>
                  <w:rPr>
                    <w:rFonts w:hint="eastAsia"/>
                  </w:rPr>
                </w:pPr>
                <w:r>
                  <w:rPr>
                    <w:rFonts w:hint="eastAsia"/>
                  </w:rPr>
                  <w:t>减值准备</w:t>
                </w:r>
              </w:p>
            </w:tc>
          </w:sdtContent>
        </w:sdt>
        <w:sdt>
          <w:sdtPr>
            <w:tag w:val="_PLD_1516e7000a9747a28074e3f321fa96a7"/>
            <w:id w:val="-735473040"/>
          </w:sdtPr>
          <w:sdtContent>
            <w:tc>
              <w:tcPr>
                <w:tcW w:w="818" w:type="pct"/>
                <w:shd w:val="clear" w:color="auto" w:fill="auto"/>
                <w:vAlign w:val="center"/>
              </w:tcPr>
              <w:p w14:paraId="198F3332">
                <w:pPr>
                  <w:jc w:val="center"/>
                  <w:rPr>
                    <w:rFonts w:hint="eastAsia"/>
                  </w:rPr>
                </w:pPr>
                <w:r>
                  <w:rPr>
                    <w:rFonts w:hint="eastAsia"/>
                  </w:rPr>
                  <w:t>账面价值</w:t>
                </w:r>
              </w:p>
            </w:tc>
          </w:sdtContent>
        </w:sdt>
      </w:tr>
      <w:tr w14:paraId="789E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1" w:type="pct"/>
            <w:shd w:val="clear" w:color="auto" w:fill="auto"/>
            <w:vAlign w:val="center"/>
          </w:tcPr>
          <w:p w14:paraId="471F4587">
            <w:pPr>
              <w:rPr>
                <w:rFonts w:hint="eastAsia"/>
              </w:rPr>
            </w:pPr>
            <w:r>
              <w:rPr>
                <w:rFonts w:hint="eastAsia"/>
              </w:rPr>
              <w:t>对子公司投资</w:t>
            </w:r>
          </w:p>
        </w:tc>
        <w:tc>
          <w:tcPr>
            <w:tcW w:w="818" w:type="pct"/>
            <w:shd w:val="clear" w:color="auto" w:fill="auto"/>
            <w:vAlign w:val="center"/>
          </w:tcPr>
          <w:p w14:paraId="15BB20A4">
            <w:pPr>
              <w:jc w:val="right"/>
              <w:rPr>
                <w:rFonts w:hint="eastAsia"/>
                <w:sz w:val="18"/>
                <w:szCs w:val="18"/>
              </w:rPr>
            </w:pPr>
            <w:r>
              <w:rPr>
                <w:rFonts w:ascii="Arial Narrow" w:hAnsi="Arial Narrow" w:eastAsia="等线"/>
                <w:color w:val="000000"/>
                <w:sz w:val="18"/>
                <w:szCs w:val="18"/>
              </w:rPr>
              <w:t>6,648,208,908.67</w:t>
            </w:r>
          </w:p>
        </w:tc>
        <w:tc>
          <w:tcPr>
            <w:tcW w:w="694" w:type="pct"/>
            <w:shd w:val="clear" w:color="auto" w:fill="auto"/>
            <w:vAlign w:val="center"/>
          </w:tcPr>
          <w:p w14:paraId="46DFE9D3">
            <w:pPr>
              <w:jc w:val="right"/>
              <w:rPr>
                <w:rFonts w:hint="eastAsia"/>
                <w:sz w:val="18"/>
                <w:szCs w:val="18"/>
              </w:rPr>
            </w:pPr>
            <w:r>
              <w:rPr>
                <w:rFonts w:ascii="Arial Narrow" w:hAnsi="Arial Narrow" w:eastAsia="等线"/>
                <w:color w:val="000000"/>
                <w:sz w:val="18"/>
                <w:szCs w:val="18"/>
              </w:rPr>
              <w:t>36,907,975.79</w:t>
            </w:r>
          </w:p>
        </w:tc>
        <w:tc>
          <w:tcPr>
            <w:tcW w:w="818" w:type="pct"/>
            <w:shd w:val="clear" w:color="auto" w:fill="auto"/>
            <w:vAlign w:val="center"/>
          </w:tcPr>
          <w:p w14:paraId="171A30FA">
            <w:pPr>
              <w:jc w:val="right"/>
              <w:rPr>
                <w:rFonts w:hint="eastAsia"/>
                <w:sz w:val="18"/>
                <w:szCs w:val="18"/>
              </w:rPr>
            </w:pPr>
            <w:r>
              <w:rPr>
                <w:rFonts w:ascii="Arial Narrow" w:hAnsi="Arial Narrow" w:eastAsia="等线"/>
                <w:color w:val="000000"/>
                <w:sz w:val="18"/>
                <w:szCs w:val="18"/>
              </w:rPr>
              <w:t>6,611,300,932.88</w:t>
            </w:r>
          </w:p>
        </w:tc>
        <w:tc>
          <w:tcPr>
            <w:tcW w:w="818" w:type="pct"/>
            <w:shd w:val="clear" w:color="auto" w:fill="auto"/>
            <w:vAlign w:val="center"/>
          </w:tcPr>
          <w:p w14:paraId="62D59AD2">
            <w:pPr>
              <w:jc w:val="right"/>
              <w:rPr>
                <w:rFonts w:hint="eastAsia"/>
                <w:sz w:val="18"/>
                <w:szCs w:val="18"/>
              </w:rPr>
            </w:pPr>
            <w:r>
              <w:rPr>
                <w:rFonts w:ascii="Arial Narrow" w:hAnsi="Arial Narrow" w:eastAsia="等线"/>
                <w:color w:val="000000"/>
                <w:sz w:val="18"/>
                <w:szCs w:val="18"/>
              </w:rPr>
              <w:t>6,109,181,929.60</w:t>
            </w:r>
          </w:p>
        </w:tc>
        <w:tc>
          <w:tcPr>
            <w:tcW w:w="694" w:type="pct"/>
            <w:shd w:val="clear" w:color="auto" w:fill="auto"/>
            <w:vAlign w:val="center"/>
          </w:tcPr>
          <w:p w14:paraId="37A14660">
            <w:pPr>
              <w:jc w:val="right"/>
              <w:rPr>
                <w:rFonts w:hint="eastAsia"/>
                <w:sz w:val="18"/>
                <w:szCs w:val="18"/>
              </w:rPr>
            </w:pPr>
            <w:r>
              <w:rPr>
                <w:rFonts w:ascii="Arial Narrow" w:hAnsi="Arial Narrow" w:eastAsia="等线"/>
                <w:color w:val="000000"/>
                <w:sz w:val="18"/>
                <w:szCs w:val="18"/>
              </w:rPr>
              <w:t>36,907,975.79</w:t>
            </w:r>
          </w:p>
        </w:tc>
        <w:tc>
          <w:tcPr>
            <w:tcW w:w="818" w:type="pct"/>
            <w:shd w:val="clear" w:color="auto" w:fill="auto"/>
            <w:vAlign w:val="center"/>
          </w:tcPr>
          <w:p w14:paraId="4115B3C8">
            <w:pPr>
              <w:jc w:val="right"/>
              <w:rPr>
                <w:rFonts w:hint="eastAsia"/>
                <w:sz w:val="18"/>
                <w:szCs w:val="18"/>
              </w:rPr>
            </w:pPr>
            <w:r>
              <w:rPr>
                <w:rFonts w:ascii="Arial Narrow" w:hAnsi="Arial Narrow" w:eastAsia="等线"/>
                <w:color w:val="000000"/>
                <w:sz w:val="18"/>
                <w:szCs w:val="18"/>
              </w:rPr>
              <w:t>6,072,273,953.81</w:t>
            </w:r>
          </w:p>
        </w:tc>
      </w:tr>
      <w:tr w14:paraId="2938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1" w:type="pct"/>
            <w:shd w:val="clear" w:color="auto" w:fill="auto"/>
            <w:vAlign w:val="center"/>
          </w:tcPr>
          <w:p w14:paraId="7FB1BE53">
            <w:pPr>
              <w:rPr>
                <w:rFonts w:hint="eastAsia"/>
              </w:rPr>
            </w:pPr>
            <w:r>
              <w:rPr>
                <w:rFonts w:hint="eastAsia"/>
              </w:rPr>
              <w:t>对联营、合营企业投资</w:t>
            </w:r>
          </w:p>
        </w:tc>
        <w:tc>
          <w:tcPr>
            <w:tcW w:w="818" w:type="pct"/>
            <w:shd w:val="clear" w:color="auto" w:fill="auto"/>
            <w:vAlign w:val="center"/>
          </w:tcPr>
          <w:p w14:paraId="60DF71DB">
            <w:pPr>
              <w:jc w:val="right"/>
              <w:rPr>
                <w:rFonts w:hint="eastAsia"/>
                <w:sz w:val="18"/>
                <w:szCs w:val="18"/>
              </w:rPr>
            </w:pPr>
            <w:r>
              <w:rPr>
                <w:rFonts w:ascii="Arial Narrow" w:hAnsi="Arial Narrow" w:eastAsia="等线"/>
                <w:color w:val="000000"/>
                <w:sz w:val="18"/>
                <w:szCs w:val="18"/>
              </w:rPr>
              <w:t>1,068,839.26</w:t>
            </w:r>
          </w:p>
        </w:tc>
        <w:tc>
          <w:tcPr>
            <w:tcW w:w="694" w:type="pct"/>
            <w:shd w:val="clear" w:color="auto" w:fill="auto"/>
            <w:vAlign w:val="center"/>
          </w:tcPr>
          <w:p w14:paraId="771FDA90">
            <w:pPr>
              <w:jc w:val="right"/>
              <w:rPr>
                <w:rFonts w:hint="eastAsia"/>
                <w:sz w:val="18"/>
                <w:szCs w:val="18"/>
              </w:rPr>
            </w:pPr>
          </w:p>
        </w:tc>
        <w:tc>
          <w:tcPr>
            <w:tcW w:w="818" w:type="pct"/>
            <w:shd w:val="clear" w:color="auto" w:fill="auto"/>
            <w:vAlign w:val="center"/>
          </w:tcPr>
          <w:p w14:paraId="1C10B7C2">
            <w:pPr>
              <w:jc w:val="right"/>
              <w:rPr>
                <w:rFonts w:hint="eastAsia"/>
                <w:sz w:val="18"/>
                <w:szCs w:val="18"/>
              </w:rPr>
            </w:pPr>
            <w:r>
              <w:rPr>
                <w:rFonts w:ascii="Arial Narrow" w:hAnsi="Arial Narrow" w:eastAsia="等线"/>
                <w:color w:val="000000"/>
                <w:sz w:val="18"/>
                <w:szCs w:val="18"/>
              </w:rPr>
              <w:t>1,068,839.26</w:t>
            </w:r>
          </w:p>
        </w:tc>
        <w:tc>
          <w:tcPr>
            <w:tcW w:w="818" w:type="pct"/>
            <w:shd w:val="clear" w:color="auto" w:fill="auto"/>
            <w:vAlign w:val="center"/>
          </w:tcPr>
          <w:p w14:paraId="48664140">
            <w:pPr>
              <w:jc w:val="right"/>
              <w:rPr>
                <w:rFonts w:hint="eastAsia"/>
                <w:sz w:val="18"/>
                <w:szCs w:val="18"/>
              </w:rPr>
            </w:pPr>
            <w:r>
              <w:rPr>
                <w:rFonts w:ascii="Arial Narrow" w:hAnsi="Arial Narrow" w:eastAsia="等线"/>
                <w:color w:val="000000"/>
                <w:sz w:val="18"/>
                <w:szCs w:val="18"/>
              </w:rPr>
              <w:t>2,000,000.00</w:t>
            </w:r>
          </w:p>
        </w:tc>
        <w:tc>
          <w:tcPr>
            <w:tcW w:w="694" w:type="pct"/>
            <w:shd w:val="clear" w:color="auto" w:fill="auto"/>
            <w:vAlign w:val="center"/>
          </w:tcPr>
          <w:p w14:paraId="15E221CC">
            <w:pPr>
              <w:jc w:val="right"/>
              <w:rPr>
                <w:rFonts w:hint="eastAsia"/>
                <w:sz w:val="18"/>
                <w:szCs w:val="18"/>
              </w:rPr>
            </w:pPr>
          </w:p>
        </w:tc>
        <w:tc>
          <w:tcPr>
            <w:tcW w:w="818" w:type="pct"/>
            <w:shd w:val="clear" w:color="auto" w:fill="auto"/>
            <w:vAlign w:val="center"/>
          </w:tcPr>
          <w:p w14:paraId="1F375804">
            <w:pPr>
              <w:jc w:val="right"/>
              <w:rPr>
                <w:rFonts w:hint="eastAsia"/>
                <w:sz w:val="18"/>
                <w:szCs w:val="18"/>
              </w:rPr>
            </w:pPr>
            <w:r>
              <w:rPr>
                <w:rFonts w:ascii="Arial Narrow" w:hAnsi="Arial Narrow" w:eastAsia="等线"/>
                <w:color w:val="000000"/>
                <w:sz w:val="18"/>
                <w:szCs w:val="18"/>
              </w:rPr>
              <w:t>2,000,000.00</w:t>
            </w:r>
          </w:p>
        </w:tc>
      </w:tr>
      <w:tr w14:paraId="1588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41" w:type="pct"/>
            <w:shd w:val="clear" w:color="auto" w:fill="auto"/>
            <w:vAlign w:val="center"/>
          </w:tcPr>
          <w:p w14:paraId="72F4DF60">
            <w:pPr>
              <w:jc w:val="center"/>
              <w:rPr>
                <w:rFonts w:hint="eastAsia"/>
              </w:rPr>
            </w:pPr>
            <w:r>
              <w:rPr>
                <w:rFonts w:hint="eastAsia"/>
              </w:rPr>
              <w:t>合计</w:t>
            </w:r>
          </w:p>
        </w:tc>
        <w:tc>
          <w:tcPr>
            <w:tcW w:w="818" w:type="pct"/>
            <w:shd w:val="clear" w:color="auto" w:fill="auto"/>
            <w:vAlign w:val="center"/>
          </w:tcPr>
          <w:p w14:paraId="372A5286">
            <w:pPr>
              <w:jc w:val="right"/>
              <w:rPr>
                <w:rFonts w:hint="eastAsia"/>
                <w:sz w:val="18"/>
                <w:szCs w:val="18"/>
              </w:rPr>
            </w:pPr>
            <w:r>
              <w:rPr>
                <w:rFonts w:ascii="Arial Narrow" w:hAnsi="Arial Narrow" w:eastAsia="等线"/>
                <w:color w:val="000000"/>
                <w:sz w:val="18"/>
                <w:szCs w:val="18"/>
              </w:rPr>
              <w:t>6,649,277,747.93</w:t>
            </w:r>
          </w:p>
        </w:tc>
        <w:tc>
          <w:tcPr>
            <w:tcW w:w="694" w:type="pct"/>
            <w:shd w:val="clear" w:color="auto" w:fill="auto"/>
            <w:vAlign w:val="center"/>
          </w:tcPr>
          <w:p w14:paraId="6DACA0D7">
            <w:pPr>
              <w:jc w:val="right"/>
              <w:rPr>
                <w:rFonts w:hint="eastAsia"/>
                <w:sz w:val="18"/>
                <w:szCs w:val="18"/>
              </w:rPr>
            </w:pPr>
            <w:r>
              <w:rPr>
                <w:rFonts w:ascii="Arial Narrow" w:hAnsi="Arial Narrow" w:eastAsia="等线"/>
                <w:color w:val="000000"/>
                <w:sz w:val="18"/>
                <w:szCs w:val="18"/>
              </w:rPr>
              <w:t>36,907,975.79</w:t>
            </w:r>
          </w:p>
        </w:tc>
        <w:tc>
          <w:tcPr>
            <w:tcW w:w="818" w:type="pct"/>
            <w:shd w:val="clear" w:color="auto" w:fill="auto"/>
            <w:vAlign w:val="center"/>
          </w:tcPr>
          <w:p w14:paraId="12A340DC">
            <w:pPr>
              <w:jc w:val="right"/>
              <w:rPr>
                <w:rFonts w:hint="eastAsia"/>
                <w:sz w:val="18"/>
                <w:szCs w:val="18"/>
              </w:rPr>
            </w:pPr>
            <w:r>
              <w:rPr>
                <w:rFonts w:ascii="Arial Narrow" w:hAnsi="Arial Narrow" w:eastAsia="等线"/>
                <w:color w:val="000000"/>
                <w:sz w:val="18"/>
                <w:szCs w:val="18"/>
              </w:rPr>
              <w:t>6,612,369,772.14</w:t>
            </w:r>
          </w:p>
        </w:tc>
        <w:tc>
          <w:tcPr>
            <w:tcW w:w="818" w:type="pct"/>
            <w:shd w:val="clear" w:color="auto" w:fill="auto"/>
            <w:vAlign w:val="center"/>
          </w:tcPr>
          <w:p w14:paraId="1BFBE901">
            <w:pPr>
              <w:jc w:val="right"/>
              <w:rPr>
                <w:rFonts w:hint="eastAsia"/>
                <w:sz w:val="18"/>
                <w:szCs w:val="18"/>
              </w:rPr>
            </w:pPr>
            <w:r>
              <w:rPr>
                <w:rFonts w:ascii="Arial Narrow" w:hAnsi="Arial Narrow" w:eastAsia="等线"/>
                <w:color w:val="000000"/>
                <w:sz w:val="18"/>
                <w:szCs w:val="18"/>
              </w:rPr>
              <w:t>6,111,181,929.60</w:t>
            </w:r>
          </w:p>
        </w:tc>
        <w:tc>
          <w:tcPr>
            <w:tcW w:w="694" w:type="pct"/>
            <w:shd w:val="clear" w:color="auto" w:fill="auto"/>
            <w:vAlign w:val="center"/>
          </w:tcPr>
          <w:p w14:paraId="2A267DDE">
            <w:pPr>
              <w:jc w:val="right"/>
              <w:rPr>
                <w:rFonts w:hint="eastAsia"/>
                <w:sz w:val="18"/>
                <w:szCs w:val="18"/>
              </w:rPr>
            </w:pPr>
            <w:r>
              <w:rPr>
                <w:rFonts w:ascii="Arial Narrow" w:hAnsi="Arial Narrow" w:eastAsia="等线"/>
                <w:color w:val="000000"/>
                <w:sz w:val="18"/>
                <w:szCs w:val="18"/>
              </w:rPr>
              <w:t>36,907,975.79</w:t>
            </w:r>
          </w:p>
        </w:tc>
        <w:tc>
          <w:tcPr>
            <w:tcW w:w="818" w:type="pct"/>
            <w:shd w:val="clear" w:color="auto" w:fill="auto"/>
            <w:vAlign w:val="center"/>
          </w:tcPr>
          <w:p w14:paraId="21B77176">
            <w:pPr>
              <w:jc w:val="right"/>
              <w:rPr>
                <w:rFonts w:hint="eastAsia"/>
                <w:sz w:val="18"/>
                <w:szCs w:val="18"/>
              </w:rPr>
            </w:pPr>
            <w:r>
              <w:rPr>
                <w:rFonts w:ascii="Arial Narrow" w:hAnsi="Arial Narrow" w:eastAsia="等线"/>
                <w:color w:val="000000"/>
                <w:sz w:val="18"/>
                <w:szCs w:val="18"/>
              </w:rPr>
              <w:t>6,074,273,953.81</w:t>
            </w:r>
          </w:p>
        </w:tc>
      </w:tr>
    </w:tbl>
    <w:p w14:paraId="305A9B2A">
      <w:pPr>
        <w:rPr>
          <w:rFonts w:hint="eastAsia"/>
          <w:szCs w:val="21"/>
        </w:rPr>
      </w:pPr>
    </w:p>
    <w:p w14:paraId="12F92976">
      <w:pPr>
        <w:rPr>
          <w:rFonts w:hint="eastAsia"/>
          <w:szCs w:val="21"/>
        </w:rPr>
        <w:sectPr>
          <w:pgSz w:w="11906" w:h="16838"/>
          <w:pgMar w:top="1525" w:right="1276" w:bottom="1440" w:left="1797" w:header="856" w:footer="992" w:gutter="0"/>
          <w:cols w:space="425" w:num="1"/>
          <w:docGrid w:linePitch="312" w:charSpace="0"/>
        </w:sectPr>
      </w:pPr>
    </w:p>
    <w:p w14:paraId="1EFF6D6E">
      <w:pPr>
        <w:pStyle w:val="71"/>
        <w:numPr>
          <w:ilvl w:val="0"/>
          <w:numId w:val="179"/>
        </w:numPr>
        <w:rPr>
          <w:rFonts w:hint="eastAsia"/>
        </w:rPr>
      </w:pPr>
      <w:bookmarkStart w:id="441" w:name="_Hlk183097113"/>
      <w:r>
        <w:rPr>
          <w:rFonts w:hint="eastAsia"/>
        </w:rPr>
        <w:t>对子公司投资</w:t>
      </w:r>
    </w:p>
    <w:sdt>
      <w:sdtPr>
        <w:alias w:val="是否适用：母公司对子公司投资[双击切换]"/>
        <w:tag w:val="_GBC_db6ca6099b0a42bca0cbba7ead69557f"/>
        <w:id w:val="923457426"/>
        <w:placeholder>
          <w:docPart w:val="GBC22222222222222222222222222222"/>
        </w:placeholder>
      </w:sdtPr>
      <w:sdtContent>
        <w:p w14:paraId="4815E044">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49593D">
      <w:pPr>
        <w:jc w:val="right"/>
        <w:rPr>
          <w:rFonts w:hint="eastAsia"/>
          <w:szCs w:val="21"/>
        </w:rPr>
      </w:pPr>
      <w:r>
        <w:rPr>
          <w:rFonts w:hint="eastAsia"/>
          <w:szCs w:val="21"/>
        </w:rPr>
        <w:t>单位：</w:t>
      </w:r>
      <w:sdt>
        <w:sdtPr>
          <w:rPr>
            <w:rFonts w:hint="eastAsia"/>
            <w:szCs w:val="21"/>
          </w:rPr>
          <w:alias w:val="单位：母公司财务附注：对子公司投资"/>
          <w:tag w:val="_GBC_744810ff600d4176af7d45c0bf0b7978"/>
          <w:id w:val="17704268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5264568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bookmarkEnd w:id="441"/>
    <w:tbl>
      <w:tblPr>
        <w:tblStyle w:val="37"/>
        <w:tblW w:w="5141"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1913"/>
        <w:gridCol w:w="1913"/>
        <w:gridCol w:w="1639"/>
        <w:gridCol w:w="2007"/>
        <w:gridCol w:w="2226"/>
        <w:gridCol w:w="2004"/>
      </w:tblGrid>
      <w:tr w14:paraId="3B51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blHeader/>
        </w:trPr>
        <w:sdt>
          <w:sdtPr>
            <w:rPr>
              <w:rFonts w:ascii="Arial Narrow" w:hAnsi="Arial Narrow" w:eastAsiaTheme="minorEastAsia"/>
              <w:sz w:val="18"/>
              <w:szCs w:val="18"/>
            </w:rPr>
            <w:tag w:val="_PLD_d6bd1b977853473e95bd45b9709f33ad"/>
            <w:id w:val="-1193300214"/>
          </w:sdtPr>
          <w:sdtEndPr>
            <w:rPr>
              <w:rFonts w:ascii="Arial Narrow" w:hAnsi="Arial Narrow" w:eastAsiaTheme="minorEastAsia"/>
              <w:sz w:val="18"/>
              <w:szCs w:val="18"/>
            </w:rPr>
          </w:sdtEndPr>
          <w:sdtContent>
            <w:tc>
              <w:tcPr>
                <w:tcW w:w="895" w:type="pct"/>
                <w:vMerge w:val="restart"/>
                <w:tcBorders>
                  <w:top w:val="single" w:color="auto" w:sz="4" w:space="0"/>
                  <w:left w:val="single" w:color="auto" w:sz="4" w:space="0"/>
                  <w:right w:val="single" w:color="auto" w:sz="4" w:space="0"/>
                </w:tcBorders>
                <w:shd w:val="clear" w:color="auto" w:fill="auto"/>
                <w:vAlign w:val="center"/>
              </w:tcPr>
              <w:p w14:paraId="40E56C08">
                <w:pPr>
                  <w:jc w:val="center"/>
                  <w:rPr>
                    <w:rFonts w:ascii="Arial Narrow" w:hAnsi="Arial Narrow" w:eastAsiaTheme="minorEastAsia"/>
                    <w:sz w:val="18"/>
                    <w:szCs w:val="18"/>
                  </w:rPr>
                </w:pPr>
                <w:r>
                  <w:rPr>
                    <w:rFonts w:ascii="Arial Narrow" w:hAnsi="Arial Narrow" w:eastAsiaTheme="minorEastAsia"/>
                    <w:sz w:val="18"/>
                    <w:szCs w:val="18"/>
                  </w:rPr>
                  <w:t>被投资单位</w:t>
                </w:r>
              </w:p>
            </w:tc>
          </w:sdtContent>
        </w:sdt>
        <w:sdt>
          <w:sdtPr>
            <w:rPr>
              <w:rFonts w:ascii="Arial Narrow" w:hAnsi="Arial Narrow" w:eastAsiaTheme="minorEastAsia"/>
              <w:sz w:val="18"/>
              <w:szCs w:val="18"/>
            </w:rPr>
            <w:tag w:val="_PLD_dfca273db8c94621ae808db0b8393c3e"/>
            <w:id w:val="2102977023"/>
          </w:sdtPr>
          <w:sdtEndPr>
            <w:rPr>
              <w:rFonts w:ascii="Arial Narrow" w:hAnsi="Arial Narrow" w:eastAsiaTheme="minorEastAsia"/>
              <w:sz w:val="18"/>
              <w:szCs w:val="18"/>
            </w:rPr>
          </w:sdtEndPr>
          <w:sdtContent>
            <w:tc>
              <w:tcPr>
                <w:tcW w:w="671" w:type="pct"/>
                <w:vMerge w:val="restart"/>
                <w:tcBorders>
                  <w:top w:val="single" w:color="auto" w:sz="4" w:space="0"/>
                  <w:left w:val="single" w:color="auto" w:sz="4" w:space="0"/>
                  <w:right w:val="single" w:color="auto" w:sz="4" w:space="0"/>
                </w:tcBorders>
                <w:shd w:val="clear" w:color="auto" w:fill="auto"/>
                <w:vAlign w:val="center"/>
              </w:tcPr>
              <w:p w14:paraId="3C6E369D">
                <w:pPr>
                  <w:jc w:val="center"/>
                  <w:rPr>
                    <w:rFonts w:ascii="Arial Narrow" w:hAnsi="Arial Narrow" w:eastAsiaTheme="minorEastAsia"/>
                    <w:sz w:val="18"/>
                    <w:szCs w:val="18"/>
                  </w:rPr>
                </w:pPr>
                <w:r>
                  <w:rPr>
                    <w:rFonts w:ascii="Arial Narrow" w:hAnsi="Arial Narrow" w:eastAsiaTheme="minorEastAsia"/>
                    <w:sz w:val="18"/>
                    <w:szCs w:val="18"/>
                  </w:rPr>
                  <w:t>期初余额（账面价值）</w:t>
                </w:r>
              </w:p>
            </w:tc>
          </w:sdtContent>
        </w:sdt>
        <w:sdt>
          <w:sdtPr>
            <w:rPr>
              <w:rFonts w:ascii="Arial Narrow" w:hAnsi="Arial Narrow" w:eastAsiaTheme="minorEastAsia"/>
              <w:sz w:val="18"/>
              <w:szCs w:val="18"/>
            </w:rPr>
            <w:tag w:val="_PLD_207fa0db16cd408da51641aebf065076"/>
            <w:id w:val="1291864484"/>
          </w:sdtPr>
          <w:sdtEndPr>
            <w:rPr>
              <w:rFonts w:ascii="Arial Narrow" w:hAnsi="Arial Narrow" w:eastAsiaTheme="minorEastAsia"/>
              <w:sz w:val="18"/>
              <w:szCs w:val="18"/>
            </w:rPr>
          </w:sdtEndPr>
          <w:sdtContent>
            <w:tc>
              <w:tcPr>
                <w:tcW w:w="671" w:type="pct"/>
                <w:vMerge w:val="restart"/>
                <w:tcBorders>
                  <w:top w:val="single" w:color="auto" w:sz="4" w:space="0"/>
                  <w:left w:val="single" w:color="auto" w:sz="4" w:space="0"/>
                  <w:right w:val="single" w:color="auto" w:sz="4" w:space="0"/>
                </w:tcBorders>
                <w:shd w:val="clear" w:color="auto" w:fill="auto"/>
                <w:vAlign w:val="center"/>
              </w:tcPr>
              <w:p w14:paraId="6B31F85A">
                <w:pPr>
                  <w:jc w:val="center"/>
                  <w:rPr>
                    <w:rFonts w:ascii="Arial Narrow" w:hAnsi="Arial Narrow" w:eastAsiaTheme="minorEastAsia"/>
                    <w:sz w:val="18"/>
                    <w:szCs w:val="18"/>
                  </w:rPr>
                </w:pPr>
                <w:r>
                  <w:rPr>
                    <w:rFonts w:ascii="Arial Narrow" w:hAnsi="Arial Narrow" w:eastAsiaTheme="minorEastAsia"/>
                    <w:sz w:val="18"/>
                    <w:szCs w:val="18"/>
                  </w:rPr>
                  <w:t>减值准备期初余额</w:t>
                </w:r>
              </w:p>
            </w:tc>
          </w:sdtContent>
        </w:sdt>
        <w:sdt>
          <w:sdtPr>
            <w:rPr>
              <w:rFonts w:ascii="Arial Narrow" w:hAnsi="Arial Narrow" w:eastAsiaTheme="minorEastAsia"/>
              <w:sz w:val="18"/>
              <w:szCs w:val="18"/>
            </w:rPr>
            <w:tag w:val="_PLD_102d3532a197425b9668f17eda325ed9"/>
            <w:id w:val="2106448731"/>
          </w:sdtPr>
          <w:sdtEndPr>
            <w:rPr>
              <w:rFonts w:ascii="Arial Narrow" w:hAnsi="Arial Narrow" w:eastAsiaTheme="minorEastAsia"/>
              <w:sz w:val="18"/>
              <w:szCs w:val="18"/>
            </w:rPr>
          </w:sdtEndPr>
          <w:sdtContent>
            <w:tc>
              <w:tcPr>
                <w:tcW w:w="127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11944C">
                <w:pPr>
                  <w:jc w:val="center"/>
                  <w:rPr>
                    <w:rFonts w:ascii="Arial Narrow" w:hAnsi="Arial Narrow" w:eastAsiaTheme="minorEastAsia"/>
                    <w:sz w:val="18"/>
                    <w:szCs w:val="18"/>
                  </w:rPr>
                </w:pPr>
                <w:r>
                  <w:rPr>
                    <w:rFonts w:ascii="Arial Narrow" w:hAnsi="Arial Narrow" w:eastAsiaTheme="minorEastAsia"/>
                    <w:sz w:val="18"/>
                    <w:szCs w:val="18"/>
                  </w:rPr>
                  <w:t>本期增减变动</w:t>
                </w:r>
              </w:p>
            </w:tc>
          </w:sdtContent>
        </w:sdt>
        <w:sdt>
          <w:sdtPr>
            <w:rPr>
              <w:rFonts w:ascii="Arial Narrow" w:hAnsi="Arial Narrow" w:eastAsiaTheme="minorEastAsia"/>
              <w:sz w:val="18"/>
              <w:szCs w:val="18"/>
            </w:rPr>
            <w:tag w:val="_PLD_2554c67582634570800484fc9e2a0422"/>
            <w:id w:val="-1877070616"/>
          </w:sdtPr>
          <w:sdtEndPr>
            <w:rPr>
              <w:rFonts w:ascii="Arial Narrow" w:hAnsi="Arial Narrow" w:eastAsiaTheme="minorEastAsia"/>
              <w:sz w:val="18"/>
              <w:szCs w:val="18"/>
            </w:rPr>
          </w:sdtEndPr>
          <w:sdtContent>
            <w:tc>
              <w:tcPr>
                <w:tcW w:w="781" w:type="pct"/>
                <w:vMerge w:val="restart"/>
                <w:tcBorders>
                  <w:top w:val="single" w:color="auto" w:sz="4" w:space="0"/>
                  <w:left w:val="single" w:color="auto" w:sz="4" w:space="0"/>
                  <w:right w:val="single" w:color="auto" w:sz="4" w:space="0"/>
                </w:tcBorders>
                <w:shd w:val="clear" w:color="auto" w:fill="auto"/>
                <w:vAlign w:val="center"/>
              </w:tcPr>
              <w:p w14:paraId="78730E55">
                <w:pPr>
                  <w:jc w:val="center"/>
                  <w:rPr>
                    <w:rFonts w:ascii="Arial Narrow" w:hAnsi="Arial Narrow" w:eastAsiaTheme="minorEastAsia"/>
                    <w:sz w:val="18"/>
                    <w:szCs w:val="18"/>
                  </w:rPr>
                </w:pPr>
                <w:r>
                  <w:rPr>
                    <w:rFonts w:ascii="Arial Narrow" w:hAnsi="Arial Narrow" w:eastAsiaTheme="minorEastAsia"/>
                    <w:sz w:val="18"/>
                    <w:szCs w:val="18"/>
                  </w:rPr>
                  <w:t>期末余额（账面价值）</w:t>
                </w:r>
              </w:p>
            </w:tc>
          </w:sdtContent>
        </w:sdt>
        <w:sdt>
          <w:sdtPr>
            <w:rPr>
              <w:rFonts w:ascii="Arial Narrow" w:hAnsi="Arial Narrow" w:eastAsiaTheme="minorEastAsia"/>
              <w:sz w:val="18"/>
              <w:szCs w:val="18"/>
            </w:rPr>
            <w:tag w:val="_PLD_506ae787a0d747fd8b850b3b13cc1e28"/>
            <w:id w:val="465627297"/>
          </w:sdtPr>
          <w:sdtEndPr>
            <w:rPr>
              <w:rFonts w:ascii="Arial Narrow" w:hAnsi="Arial Narrow" w:eastAsiaTheme="minorEastAsia"/>
              <w:sz w:val="18"/>
              <w:szCs w:val="18"/>
            </w:rPr>
          </w:sdtEndPr>
          <w:sdtContent>
            <w:tc>
              <w:tcPr>
                <w:tcW w:w="703" w:type="pct"/>
                <w:vMerge w:val="restart"/>
                <w:tcBorders>
                  <w:top w:val="single" w:color="auto" w:sz="4" w:space="0"/>
                  <w:left w:val="single" w:color="auto" w:sz="4" w:space="0"/>
                  <w:right w:val="single" w:color="auto" w:sz="4" w:space="0"/>
                </w:tcBorders>
                <w:shd w:val="clear" w:color="auto" w:fill="auto"/>
                <w:vAlign w:val="center"/>
              </w:tcPr>
              <w:p w14:paraId="70F9D447">
                <w:pPr>
                  <w:jc w:val="center"/>
                  <w:rPr>
                    <w:rFonts w:ascii="Arial Narrow" w:hAnsi="Arial Narrow" w:eastAsiaTheme="minorEastAsia"/>
                    <w:sz w:val="18"/>
                    <w:szCs w:val="18"/>
                  </w:rPr>
                </w:pPr>
                <w:r>
                  <w:rPr>
                    <w:rFonts w:ascii="Arial Narrow" w:hAnsi="Arial Narrow" w:eastAsiaTheme="minorEastAsia"/>
                    <w:sz w:val="18"/>
                    <w:szCs w:val="18"/>
                  </w:rPr>
                  <w:t>减值准备期末余额</w:t>
                </w:r>
              </w:p>
            </w:tc>
          </w:sdtContent>
        </w:sdt>
      </w:tr>
      <w:tr w14:paraId="5D3F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blHeader/>
        </w:trPr>
        <w:tc>
          <w:tcPr>
            <w:tcW w:w="895" w:type="pct"/>
            <w:vMerge w:val="continue"/>
            <w:tcBorders>
              <w:left w:val="single" w:color="auto" w:sz="4" w:space="0"/>
              <w:bottom w:val="single" w:color="auto" w:sz="4" w:space="0"/>
              <w:right w:val="single" w:color="auto" w:sz="4" w:space="0"/>
            </w:tcBorders>
            <w:shd w:val="clear" w:color="auto" w:fill="auto"/>
            <w:vAlign w:val="center"/>
          </w:tcPr>
          <w:p w14:paraId="44E6478F">
            <w:pPr>
              <w:jc w:val="center"/>
              <w:rPr>
                <w:rFonts w:ascii="Arial Narrow" w:hAnsi="Arial Narrow" w:eastAsiaTheme="minorEastAsia"/>
                <w:sz w:val="18"/>
                <w:szCs w:val="18"/>
              </w:rPr>
            </w:pPr>
          </w:p>
        </w:tc>
        <w:tc>
          <w:tcPr>
            <w:tcW w:w="671" w:type="pct"/>
            <w:vMerge w:val="continue"/>
            <w:tcBorders>
              <w:left w:val="single" w:color="auto" w:sz="4" w:space="0"/>
              <w:bottom w:val="single" w:color="auto" w:sz="4" w:space="0"/>
              <w:right w:val="single" w:color="auto" w:sz="4" w:space="0"/>
            </w:tcBorders>
            <w:shd w:val="clear" w:color="auto" w:fill="auto"/>
            <w:vAlign w:val="center"/>
          </w:tcPr>
          <w:p w14:paraId="51541004">
            <w:pPr>
              <w:jc w:val="center"/>
              <w:rPr>
                <w:rFonts w:ascii="Arial Narrow" w:hAnsi="Arial Narrow" w:eastAsiaTheme="minorEastAsia"/>
                <w:sz w:val="18"/>
                <w:szCs w:val="18"/>
              </w:rPr>
            </w:pPr>
          </w:p>
        </w:tc>
        <w:tc>
          <w:tcPr>
            <w:tcW w:w="671" w:type="pct"/>
            <w:vMerge w:val="continue"/>
            <w:tcBorders>
              <w:left w:val="single" w:color="auto" w:sz="4" w:space="0"/>
              <w:bottom w:val="single" w:color="auto" w:sz="4" w:space="0"/>
              <w:right w:val="single" w:color="auto" w:sz="4" w:space="0"/>
            </w:tcBorders>
            <w:shd w:val="clear" w:color="auto" w:fill="auto"/>
            <w:vAlign w:val="center"/>
          </w:tcPr>
          <w:p w14:paraId="20F745D8">
            <w:pPr>
              <w:jc w:val="center"/>
              <w:rPr>
                <w:rFonts w:ascii="Arial Narrow" w:hAnsi="Arial Narrow" w:eastAsiaTheme="minorEastAsia"/>
                <w:sz w:val="18"/>
                <w:szCs w:val="18"/>
              </w:rPr>
            </w:pPr>
          </w:p>
        </w:tc>
        <w:sdt>
          <w:sdtPr>
            <w:rPr>
              <w:rFonts w:ascii="Arial Narrow" w:hAnsi="Arial Narrow" w:eastAsiaTheme="minorEastAsia"/>
              <w:sz w:val="18"/>
              <w:szCs w:val="18"/>
            </w:rPr>
            <w:tag w:val="_PLD_82e1276ea16049878dd86dc7f97ce1b8"/>
            <w:id w:val="-820346963"/>
          </w:sdtPr>
          <w:sdtEndPr>
            <w:rPr>
              <w:rFonts w:ascii="Arial Narrow" w:hAnsi="Arial Narrow" w:eastAsiaTheme="minorEastAsia"/>
              <w:sz w:val="18"/>
              <w:szCs w:val="18"/>
            </w:rPr>
          </w:sdtEndPr>
          <w:sdtContent>
            <w:tc>
              <w:tcPr>
                <w:tcW w:w="575" w:type="pct"/>
                <w:tcBorders>
                  <w:top w:val="single" w:color="auto" w:sz="4" w:space="0"/>
                  <w:left w:val="single" w:color="auto" w:sz="4" w:space="0"/>
                  <w:bottom w:val="single" w:color="auto" w:sz="4" w:space="0"/>
                  <w:right w:val="single" w:color="auto" w:sz="4" w:space="0"/>
                </w:tcBorders>
                <w:shd w:val="clear" w:color="auto" w:fill="auto"/>
                <w:vAlign w:val="center"/>
              </w:tcPr>
              <w:p w14:paraId="493F2185">
                <w:pPr>
                  <w:jc w:val="center"/>
                  <w:rPr>
                    <w:rFonts w:ascii="Arial Narrow" w:hAnsi="Arial Narrow" w:eastAsiaTheme="minorEastAsia"/>
                    <w:sz w:val="18"/>
                    <w:szCs w:val="18"/>
                  </w:rPr>
                </w:pPr>
                <w:r>
                  <w:rPr>
                    <w:rFonts w:ascii="Arial Narrow" w:hAnsi="Arial Narrow" w:eastAsiaTheme="minorEastAsia"/>
                    <w:sz w:val="18"/>
                    <w:szCs w:val="18"/>
                  </w:rPr>
                  <w:t>追加投资</w:t>
                </w:r>
              </w:p>
            </w:tc>
          </w:sdtContent>
        </w:sdt>
        <w:sdt>
          <w:sdtPr>
            <w:rPr>
              <w:rFonts w:ascii="Arial Narrow" w:hAnsi="Arial Narrow" w:eastAsiaTheme="minorEastAsia"/>
              <w:sz w:val="18"/>
              <w:szCs w:val="18"/>
            </w:rPr>
            <w:tag w:val="_PLD_1fc11db026f7483585537cdf471d9062"/>
            <w:id w:val="706062641"/>
          </w:sdtPr>
          <w:sdtEndPr>
            <w:rPr>
              <w:rFonts w:ascii="Arial Narrow" w:hAnsi="Arial Narrow" w:eastAsiaTheme="minorEastAsia"/>
              <w:sz w:val="18"/>
              <w:szCs w:val="18"/>
            </w:rPr>
          </w:sdtEndPr>
          <w:sdtContent>
            <w:tc>
              <w:tcPr>
                <w:tcW w:w="704" w:type="pct"/>
                <w:tcBorders>
                  <w:left w:val="single" w:color="auto" w:sz="4" w:space="0"/>
                  <w:bottom w:val="single" w:color="auto" w:sz="4" w:space="0"/>
                  <w:right w:val="single" w:color="auto" w:sz="4" w:space="0"/>
                </w:tcBorders>
                <w:shd w:val="clear" w:color="auto" w:fill="auto"/>
                <w:vAlign w:val="center"/>
              </w:tcPr>
              <w:p w14:paraId="15F5D20C">
                <w:pPr>
                  <w:jc w:val="center"/>
                  <w:rPr>
                    <w:rFonts w:ascii="Arial Narrow" w:hAnsi="Arial Narrow" w:eastAsiaTheme="minorEastAsia"/>
                    <w:sz w:val="18"/>
                    <w:szCs w:val="18"/>
                  </w:rPr>
                </w:pPr>
                <w:r>
                  <w:rPr>
                    <w:rFonts w:ascii="Arial Narrow" w:hAnsi="Arial Narrow" w:eastAsiaTheme="minorEastAsia"/>
                    <w:sz w:val="18"/>
                    <w:szCs w:val="18"/>
                  </w:rPr>
                  <w:t>其他</w:t>
                </w:r>
              </w:p>
            </w:tc>
          </w:sdtContent>
        </w:sdt>
        <w:tc>
          <w:tcPr>
            <w:tcW w:w="781" w:type="pct"/>
            <w:vMerge w:val="continue"/>
            <w:tcBorders>
              <w:left w:val="single" w:color="auto" w:sz="4" w:space="0"/>
              <w:bottom w:val="single" w:color="auto" w:sz="4" w:space="0"/>
              <w:right w:val="single" w:color="auto" w:sz="4" w:space="0"/>
            </w:tcBorders>
            <w:shd w:val="clear" w:color="auto" w:fill="auto"/>
            <w:vAlign w:val="center"/>
          </w:tcPr>
          <w:p w14:paraId="1287CAF6">
            <w:pPr>
              <w:jc w:val="center"/>
              <w:rPr>
                <w:rFonts w:ascii="Arial Narrow" w:hAnsi="Arial Narrow" w:eastAsiaTheme="minorEastAsia"/>
                <w:sz w:val="18"/>
                <w:szCs w:val="18"/>
              </w:rPr>
            </w:pPr>
          </w:p>
        </w:tc>
        <w:tc>
          <w:tcPr>
            <w:tcW w:w="703" w:type="pct"/>
            <w:vMerge w:val="continue"/>
            <w:tcBorders>
              <w:left w:val="single" w:color="auto" w:sz="4" w:space="0"/>
              <w:bottom w:val="single" w:color="auto" w:sz="4" w:space="0"/>
              <w:right w:val="single" w:color="auto" w:sz="4" w:space="0"/>
            </w:tcBorders>
            <w:shd w:val="clear" w:color="auto" w:fill="auto"/>
            <w:vAlign w:val="center"/>
          </w:tcPr>
          <w:p w14:paraId="7E820678">
            <w:pPr>
              <w:jc w:val="center"/>
              <w:rPr>
                <w:rFonts w:ascii="Arial Narrow" w:hAnsi="Arial Narrow" w:eastAsiaTheme="minorEastAsia"/>
                <w:sz w:val="18"/>
                <w:szCs w:val="18"/>
              </w:rPr>
            </w:pPr>
          </w:p>
        </w:tc>
      </w:tr>
      <w:tr w14:paraId="66B3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5D5E0FD2">
            <w:pPr>
              <w:rPr>
                <w:rFonts w:ascii="Arial Narrow" w:hAnsi="Arial Narrow" w:eastAsiaTheme="minorEastAsia"/>
                <w:sz w:val="18"/>
                <w:szCs w:val="18"/>
              </w:rPr>
            </w:pPr>
            <w:r>
              <w:rPr>
                <w:rFonts w:ascii="Arial Narrow" w:hAnsi="Arial Narrow" w:eastAsiaTheme="minorEastAsia"/>
                <w:sz w:val="18"/>
                <w:szCs w:val="18"/>
              </w:rPr>
              <w:t>咸阳际华新三零印染有限公司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7C91CEF1">
            <w:pPr>
              <w:jc w:val="right"/>
              <w:rPr>
                <w:rFonts w:ascii="Arial Narrow" w:hAnsi="Arial Narrow" w:eastAsiaTheme="minorEastAsia"/>
                <w:sz w:val="18"/>
                <w:szCs w:val="18"/>
              </w:rPr>
            </w:pPr>
          </w:p>
        </w:tc>
        <w:tc>
          <w:tcPr>
            <w:tcW w:w="671" w:type="pct"/>
            <w:tcBorders>
              <w:top w:val="single" w:color="auto" w:sz="4" w:space="0"/>
              <w:left w:val="single" w:color="auto" w:sz="4" w:space="0"/>
              <w:bottom w:val="single" w:color="auto" w:sz="4" w:space="0"/>
              <w:right w:val="single" w:color="auto" w:sz="4" w:space="0"/>
            </w:tcBorders>
            <w:vAlign w:val="center"/>
          </w:tcPr>
          <w:p w14:paraId="00BCE3B9">
            <w:pPr>
              <w:jc w:val="right"/>
              <w:rPr>
                <w:rFonts w:ascii="Arial Narrow" w:hAnsi="Arial Narrow" w:eastAsiaTheme="minorEastAsia"/>
                <w:sz w:val="18"/>
                <w:szCs w:val="18"/>
              </w:rPr>
            </w:pPr>
            <w:r>
              <w:rPr>
                <w:rFonts w:ascii="Arial Narrow" w:hAnsi="Arial Narrow" w:eastAsiaTheme="minorEastAsia"/>
                <w:color w:val="000000"/>
                <w:sz w:val="18"/>
                <w:szCs w:val="18"/>
              </w:rPr>
              <w:t>36,907,975.79</w:t>
            </w:r>
          </w:p>
        </w:tc>
        <w:tc>
          <w:tcPr>
            <w:tcW w:w="575" w:type="pct"/>
            <w:tcBorders>
              <w:top w:val="single" w:color="auto" w:sz="4" w:space="0"/>
              <w:left w:val="single" w:color="auto" w:sz="4" w:space="0"/>
              <w:bottom w:val="single" w:color="auto" w:sz="4" w:space="0"/>
              <w:right w:val="single" w:color="auto" w:sz="4" w:space="0"/>
            </w:tcBorders>
            <w:vAlign w:val="center"/>
          </w:tcPr>
          <w:p w14:paraId="6978E089">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5D4AC7AD">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8DB3056">
            <w:pPr>
              <w:jc w:val="right"/>
              <w:rPr>
                <w:rFonts w:ascii="Arial Narrow" w:hAnsi="Arial Narrow" w:eastAsiaTheme="minorEastAsia"/>
                <w:sz w:val="18"/>
                <w:szCs w:val="18"/>
              </w:rPr>
            </w:pPr>
          </w:p>
        </w:tc>
        <w:tc>
          <w:tcPr>
            <w:tcW w:w="703" w:type="pct"/>
            <w:tcBorders>
              <w:top w:val="single" w:color="auto" w:sz="4" w:space="0"/>
              <w:left w:val="single" w:color="auto" w:sz="4" w:space="0"/>
              <w:bottom w:val="single" w:color="auto" w:sz="4" w:space="0"/>
              <w:right w:val="single" w:color="auto" w:sz="4" w:space="0"/>
            </w:tcBorders>
            <w:vAlign w:val="center"/>
          </w:tcPr>
          <w:p w14:paraId="2BDA09B7">
            <w:pPr>
              <w:jc w:val="right"/>
              <w:rPr>
                <w:rFonts w:ascii="Arial Narrow" w:hAnsi="Arial Narrow" w:eastAsiaTheme="minorEastAsia"/>
                <w:sz w:val="18"/>
                <w:szCs w:val="18"/>
              </w:rPr>
            </w:pPr>
            <w:r>
              <w:rPr>
                <w:rFonts w:ascii="Arial Narrow" w:hAnsi="Arial Narrow" w:eastAsiaTheme="minorEastAsia"/>
                <w:color w:val="000000"/>
                <w:sz w:val="18"/>
                <w:szCs w:val="18"/>
              </w:rPr>
              <w:t>36,907,975.79</w:t>
            </w:r>
          </w:p>
        </w:tc>
      </w:tr>
      <w:tr w14:paraId="71D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114236F9">
            <w:pPr>
              <w:rPr>
                <w:rFonts w:ascii="Arial Narrow" w:hAnsi="Arial Narrow" w:eastAsiaTheme="minorEastAsia"/>
                <w:sz w:val="18"/>
                <w:szCs w:val="18"/>
              </w:rPr>
            </w:pPr>
            <w:r>
              <w:rPr>
                <w:rFonts w:ascii="Arial Narrow" w:hAnsi="Arial Narrow" w:eastAsiaTheme="minorEastAsia"/>
                <w:sz w:val="18"/>
                <w:szCs w:val="18"/>
              </w:rPr>
              <w:t>际华连锁商务有限公司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3443A54E">
            <w:pPr>
              <w:jc w:val="right"/>
              <w:rPr>
                <w:rFonts w:ascii="Arial Narrow" w:hAnsi="Arial Narrow" w:eastAsiaTheme="minorEastAsia"/>
                <w:sz w:val="18"/>
                <w:szCs w:val="18"/>
              </w:rPr>
            </w:pPr>
            <w:r>
              <w:rPr>
                <w:rFonts w:ascii="Arial Narrow" w:hAnsi="Arial Narrow" w:eastAsiaTheme="minorEastAsia"/>
                <w:color w:val="000000"/>
                <w:sz w:val="18"/>
                <w:szCs w:val="18"/>
              </w:rPr>
              <w:t>51,204,495.33</w:t>
            </w:r>
          </w:p>
        </w:tc>
        <w:tc>
          <w:tcPr>
            <w:tcW w:w="671" w:type="pct"/>
            <w:tcBorders>
              <w:top w:val="single" w:color="auto" w:sz="4" w:space="0"/>
              <w:left w:val="single" w:color="auto" w:sz="4" w:space="0"/>
              <w:bottom w:val="single" w:color="auto" w:sz="4" w:space="0"/>
              <w:right w:val="single" w:color="auto" w:sz="4" w:space="0"/>
            </w:tcBorders>
            <w:vAlign w:val="center"/>
          </w:tcPr>
          <w:p w14:paraId="222979AE">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2C2DC19C">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72693664">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958876C">
            <w:pPr>
              <w:jc w:val="right"/>
              <w:rPr>
                <w:rFonts w:ascii="Arial Narrow" w:hAnsi="Arial Narrow" w:eastAsiaTheme="minorEastAsia"/>
                <w:sz w:val="18"/>
                <w:szCs w:val="18"/>
              </w:rPr>
            </w:pPr>
            <w:r>
              <w:rPr>
                <w:rFonts w:ascii="Arial Narrow" w:hAnsi="Arial Narrow" w:eastAsiaTheme="minorEastAsia"/>
                <w:color w:val="000000"/>
                <w:sz w:val="18"/>
                <w:szCs w:val="18"/>
              </w:rPr>
              <w:t>51,204,495.33</w:t>
            </w:r>
          </w:p>
        </w:tc>
        <w:tc>
          <w:tcPr>
            <w:tcW w:w="703" w:type="pct"/>
            <w:tcBorders>
              <w:top w:val="single" w:color="auto" w:sz="4" w:space="0"/>
              <w:left w:val="single" w:color="auto" w:sz="4" w:space="0"/>
              <w:bottom w:val="single" w:color="auto" w:sz="4" w:space="0"/>
              <w:right w:val="single" w:color="auto" w:sz="4" w:space="0"/>
            </w:tcBorders>
            <w:vAlign w:val="center"/>
          </w:tcPr>
          <w:p w14:paraId="6450260E">
            <w:pPr>
              <w:jc w:val="right"/>
              <w:rPr>
                <w:rFonts w:ascii="Arial Narrow" w:hAnsi="Arial Narrow" w:eastAsiaTheme="minorEastAsia"/>
                <w:sz w:val="18"/>
                <w:szCs w:val="18"/>
              </w:rPr>
            </w:pPr>
          </w:p>
        </w:tc>
      </w:tr>
      <w:tr w14:paraId="3CC4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72B69C8C">
            <w:pPr>
              <w:rPr>
                <w:rFonts w:ascii="Arial Narrow" w:hAnsi="Arial Narrow" w:eastAsiaTheme="minorEastAsia"/>
                <w:sz w:val="18"/>
                <w:szCs w:val="18"/>
              </w:rPr>
            </w:pPr>
            <w:r>
              <w:rPr>
                <w:rFonts w:ascii="Arial Narrow" w:hAnsi="Arial Narrow" w:eastAsiaTheme="minorEastAsia"/>
                <w:sz w:val="18"/>
                <w:szCs w:val="18"/>
              </w:rPr>
              <w:t>长春际华投资建设有限公司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62A0A8B5">
            <w:pPr>
              <w:jc w:val="right"/>
              <w:rPr>
                <w:rFonts w:ascii="Arial Narrow" w:hAnsi="Arial Narrow" w:eastAsiaTheme="minorEastAsia"/>
                <w:sz w:val="18"/>
                <w:szCs w:val="18"/>
              </w:rPr>
            </w:pPr>
            <w:r>
              <w:rPr>
                <w:rFonts w:ascii="Arial Narrow" w:hAnsi="Arial Narrow" w:eastAsiaTheme="minorEastAsia"/>
                <w:color w:val="000000"/>
                <w:sz w:val="18"/>
                <w:szCs w:val="18"/>
              </w:rPr>
              <w:t>808,168,944.79</w:t>
            </w:r>
          </w:p>
        </w:tc>
        <w:tc>
          <w:tcPr>
            <w:tcW w:w="671" w:type="pct"/>
            <w:tcBorders>
              <w:top w:val="single" w:color="auto" w:sz="4" w:space="0"/>
              <w:left w:val="single" w:color="auto" w:sz="4" w:space="0"/>
              <w:bottom w:val="single" w:color="auto" w:sz="4" w:space="0"/>
              <w:right w:val="single" w:color="auto" w:sz="4" w:space="0"/>
            </w:tcBorders>
            <w:vAlign w:val="center"/>
          </w:tcPr>
          <w:p w14:paraId="48751FB7">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504E81E7">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6EDA4D43">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7D2F515">
            <w:pPr>
              <w:jc w:val="right"/>
              <w:rPr>
                <w:rFonts w:ascii="Arial Narrow" w:hAnsi="Arial Narrow" w:eastAsiaTheme="minorEastAsia"/>
                <w:sz w:val="18"/>
                <w:szCs w:val="18"/>
              </w:rPr>
            </w:pPr>
            <w:r>
              <w:rPr>
                <w:rFonts w:ascii="Arial Narrow" w:hAnsi="Arial Narrow" w:eastAsiaTheme="minorEastAsia"/>
                <w:color w:val="000000"/>
                <w:sz w:val="18"/>
                <w:szCs w:val="18"/>
              </w:rPr>
              <w:t>808,168,944.79</w:t>
            </w:r>
          </w:p>
        </w:tc>
        <w:tc>
          <w:tcPr>
            <w:tcW w:w="703" w:type="pct"/>
            <w:tcBorders>
              <w:top w:val="single" w:color="auto" w:sz="4" w:space="0"/>
              <w:left w:val="single" w:color="auto" w:sz="4" w:space="0"/>
              <w:bottom w:val="single" w:color="auto" w:sz="4" w:space="0"/>
              <w:right w:val="single" w:color="auto" w:sz="4" w:space="0"/>
            </w:tcBorders>
            <w:vAlign w:val="center"/>
          </w:tcPr>
          <w:p w14:paraId="0310F648">
            <w:pPr>
              <w:jc w:val="right"/>
              <w:rPr>
                <w:rFonts w:ascii="Arial Narrow" w:hAnsi="Arial Narrow" w:eastAsiaTheme="minorEastAsia"/>
                <w:sz w:val="18"/>
                <w:szCs w:val="18"/>
              </w:rPr>
            </w:pPr>
          </w:p>
        </w:tc>
      </w:tr>
      <w:tr w14:paraId="5F4F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67A641F6">
            <w:pPr>
              <w:rPr>
                <w:rFonts w:ascii="Arial Narrow" w:hAnsi="Arial Narrow" w:eastAsiaTheme="minorEastAsia"/>
                <w:sz w:val="18"/>
                <w:szCs w:val="18"/>
              </w:rPr>
            </w:pPr>
            <w:r>
              <w:rPr>
                <w:rFonts w:ascii="Arial Narrow" w:hAnsi="Arial Narrow" w:eastAsiaTheme="minorEastAsia"/>
                <w:sz w:val="18"/>
                <w:szCs w:val="18"/>
              </w:rPr>
              <w:t>际华（邢台）投资有限公司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703D795E">
            <w:pPr>
              <w:jc w:val="right"/>
              <w:rPr>
                <w:rFonts w:ascii="Arial Narrow" w:hAnsi="Arial Narrow" w:eastAsiaTheme="minorEastAsia"/>
                <w:sz w:val="18"/>
                <w:szCs w:val="18"/>
              </w:rPr>
            </w:pPr>
            <w:r>
              <w:rPr>
                <w:rFonts w:ascii="Arial Narrow" w:hAnsi="Arial Narrow" w:eastAsiaTheme="minorEastAsia"/>
                <w:color w:val="000000"/>
                <w:sz w:val="18"/>
                <w:szCs w:val="18"/>
              </w:rPr>
              <w:t>66,829,000.00</w:t>
            </w:r>
          </w:p>
        </w:tc>
        <w:tc>
          <w:tcPr>
            <w:tcW w:w="671" w:type="pct"/>
            <w:tcBorders>
              <w:top w:val="single" w:color="auto" w:sz="4" w:space="0"/>
              <w:left w:val="single" w:color="auto" w:sz="4" w:space="0"/>
              <w:bottom w:val="single" w:color="auto" w:sz="4" w:space="0"/>
              <w:right w:val="single" w:color="auto" w:sz="4" w:space="0"/>
            </w:tcBorders>
            <w:vAlign w:val="center"/>
          </w:tcPr>
          <w:p w14:paraId="016606C9">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421EF568">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38B96CF3">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3C95873C">
            <w:pPr>
              <w:jc w:val="right"/>
              <w:rPr>
                <w:rFonts w:ascii="Arial Narrow" w:hAnsi="Arial Narrow" w:eastAsiaTheme="minorEastAsia"/>
                <w:sz w:val="18"/>
                <w:szCs w:val="18"/>
              </w:rPr>
            </w:pPr>
            <w:r>
              <w:rPr>
                <w:rFonts w:ascii="Arial Narrow" w:hAnsi="Arial Narrow" w:eastAsiaTheme="minorEastAsia"/>
                <w:color w:val="000000"/>
                <w:sz w:val="18"/>
                <w:szCs w:val="18"/>
              </w:rPr>
              <w:t>66,829,000.00</w:t>
            </w:r>
          </w:p>
        </w:tc>
        <w:tc>
          <w:tcPr>
            <w:tcW w:w="703" w:type="pct"/>
            <w:tcBorders>
              <w:top w:val="single" w:color="auto" w:sz="4" w:space="0"/>
              <w:left w:val="single" w:color="auto" w:sz="4" w:space="0"/>
              <w:bottom w:val="single" w:color="auto" w:sz="4" w:space="0"/>
              <w:right w:val="single" w:color="auto" w:sz="4" w:space="0"/>
            </w:tcBorders>
            <w:vAlign w:val="center"/>
          </w:tcPr>
          <w:p w14:paraId="4F71E449">
            <w:pPr>
              <w:jc w:val="right"/>
              <w:rPr>
                <w:rFonts w:ascii="Arial Narrow" w:hAnsi="Arial Narrow" w:eastAsiaTheme="minorEastAsia"/>
                <w:sz w:val="18"/>
                <w:szCs w:val="18"/>
              </w:rPr>
            </w:pPr>
          </w:p>
        </w:tc>
      </w:tr>
      <w:tr w14:paraId="2E6F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B3BEF74">
            <w:pPr>
              <w:rPr>
                <w:rFonts w:ascii="Arial Narrow" w:hAnsi="Arial Narrow" w:eastAsiaTheme="minorEastAsia"/>
                <w:sz w:val="18"/>
                <w:szCs w:val="18"/>
              </w:rPr>
            </w:pPr>
            <w:r>
              <w:rPr>
                <w:rFonts w:ascii="Arial Narrow" w:hAnsi="Arial Narrow" w:eastAsiaTheme="minorEastAsia"/>
                <w:sz w:val="18"/>
                <w:szCs w:val="18"/>
              </w:rPr>
              <w:t>新兴际华国际贸易有限公司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155DE53F">
            <w:pPr>
              <w:jc w:val="right"/>
              <w:rPr>
                <w:rFonts w:ascii="Arial Narrow" w:hAnsi="Arial Narrow" w:eastAsiaTheme="minorEastAsia"/>
                <w:sz w:val="18"/>
                <w:szCs w:val="18"/>
              </w:rPr>
            </w:pPr>
            <w:r>
              <w:rPr>
                <w:rFonts w:ascii="Arial Narrow" w:hAnsi="Arial Narrow" w:eastAsiaTheme="minorEastAsia"/>
                <w:color w:val="000000"/>
                <w:sz w:val="18"/>
                <w:szCs w:val="18"/>
              </w:rPr>
              <w:t>27,661,232.19</w:t>
            </w:r>
          </w:p>
        </w:tc>
        <w:tc>
          <w:tcPr>
            <w:tcW w:w="671" w:type="pct"/>
            <w:tcBorders>
              <w:top w:val="single" w:color="auto" w:sz="4" w:space="0"/>
              <w:left w:val="single" w:color="auto" w:sz="4" w:space="0"/>
              <w:bottom w:val="single" w:color="auto" w:sz="4" w:space="0"/>
              <w:right w:val="single" w:color="auto" w:sz="4" w:space="0"/>
            </w:tcBorders>
            <w:vAlign w:val="center"/>
          </w:tcPr>
          <w:p w14:paraId="4E306CE4">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32CE39DA">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2C8E1D90">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6310EE15">
            <w:pPr>
              <w:jc w:val="right"/>
              <w:rPr>
                <w:rFonts w:ascii="Arial Narrow" w:hAnsi="Arial Narrow" w:eastAsiaTheme="minorEastAsia"/>
                <w:sz w:val="18"/>
                <w:szCs w:val="18"/>
              </w:rPr>
            </w:pPr>
            <w:r>
              <w:rPr>
                <w:rFonts w:ascii="Arial Narrow" w:hAnsi="Arial Narrow" w:eastAsiaTheme="minorEastAsia"/>
                <w:color w:val="000000"/>
                <w:sz w:val="18"/>
                <w:szCs w:val="18"/>
              </w:rPr>
              <w:t>27,661,232.19</w:t>
            </w:r>
          </w:p>
        </w:tc>
        <w:tc>
          <w:tcPr>
            <w:tcW w:w="703" w:type="pct"/>
            <w:tcBorders>
              <w:top w:val="single" w:color="auto" w:sz="4" w:space="0"/>
              <w:left w:val="single" w:color="auto" w:sz="4" w:space="0"/>
              <w:bottom w:val="single" w:color="auto" w:sz="4" w:space="0"/>
              <w:right w:val="single" w:color="auto" w:sz="4" w:space="0"/>
            </w:tcBorders>
            <w:vAlign w:val="center"/>
          </w:tcPr>
          <w:p w14:paraId="1B8A947E">
            <w:pPr>
              <w:jc w:val="right"/>
              <w:rPr>
                <w:rFonts w:ascii="Arial Narrow" w:hAnsi="Arial Narrow" w:eastAsiaTheme="minorEastAsia"/>
                <w:sz w:val="18"/>
                <w:szCs w:val="18"/>
              </w:rPr>
            </w:pPr>
          </w:p>
        </w:tc>
      </w:tr>
      <w:tr w14:paraId="2836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0AB9ED5">
            <w:pPr>
              <w:rPr>
                <w:rFonts w:ascii="Arial Narrow" w:hAnsi="Arial Narrow" w:eastAsiaTheme="minorEastAsia"/>
                <w:sz w:val="18"/>
                <w:szCs w:val="18"/>
              </w:rPr>
            </w:pPr>
            <w:r>
              <w:rPr>
                <w:rFonts w:ascii="Arial Narrow" w:hAnsi="Arial Narrow" w:eastAsiaTheme="minorEastAsia"/>
                <w:sz w:val="18"/>
                <w:szCs w:val="18"/>
              </w:rPr>
              <w:t>际华三五四三针织服饰有限公司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2F8FAE3">
            <w:pPr>
              <w:jc w:val="right"/>
              <w:rPr>
                <w:rFonts w:ascii="Arial Narrow" w:hAnsi="Arial Narrow" w:eastAsiaTheme="minorEastAsia"/>
                <w:sz w:val="18"/>
                <w:szCs w:val="18"/>
              </w:rPr>
            </w:pPr>
            <w:r>
              <w:rPr>
                <w:rFonts w:ascii="Arial Narrow" w:hAnsi="Arial Narrow" w:eastAsiaTheme="minorEastAsia"/>
                <w:color w:val="000000"/>
                <w:sz w:val="18"/>
                <w:szCs w:val="18"/>
              </w:rPr>
              <w:t>233,579,122.54</w:t>
            </w:r>
          </w:p>
        </w:tc>
        <w:tc>
          <w:tcPr>
            <w:tcW w:w="671" w:type="pct"/>
            <w:tcBorders>
              <w:top w:val="single" w:color="auto" w:sz="4" w:space="0"/>
              <w:left w:val="single" w:color="auto" w:sz="4" w:space="0"/>
              <w:bottom w:val="single" w:color="auto" w:sz="4" w:space="0"/>
              <w:right w:val="single" w:color="auto" w:sz="4" w:space="0"/>
            </w:tcBorders>
            <w:vAlign w:val="center"/>
          </w:tcPr>
          <w:p w14:paraId="34BDC86F">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FBF13D4">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10688D20">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5FAC7B0">
            <w:pPr>
              <w:jc w:val="right"/>
              <w:rPr>
                <w:rFonts w:ascii="Arial Narrow" w:hAnsi="Arial Narrow" w:eastAsiaTheme="minorEastAsia"/>
                <w:sz w:val="18"/>
                <w:szCs w:val="18"/>
              </w:rPr>
            </w:pPr>
            <w:r>
              <w:rPr>
                <w:rFonts w:ascii="Arial Narrow" w:hAnsi="Arial Narrow" w:eastAsiaTheme="minorEastAsia"/>
                <w:color w:val="000000"/>
                <w:sz w:val="18"/>
                <w:szCs w:val="18"/>
              </w:rPr>
              <w:t>233,579,122.54</w:t>
            </w:r>
          </w:p>
        </w:tc>
        <w:tc>
          <w:tcPr>
            <w:tcW w:w="703" w:type="pct"/>
            <w:tcBorders>
              <w:top w:val="single" w:color="auto" w:sz="4" w:space="0"/>
              <w:left w:val="single" w:color="auto" w:sz="4" w:space="0"/>
              <w:bottom w:val="single" w:color="auto" w:sz="4" w:space="0"/>
              <w:right w:val="single" w:color="auto" w:sz="4" w:space="0"/>
            </w:tcBorders>
            <w:vAlign w:val="center"/>
          </w:tcPr>
          <w:p w14:paraId="50CB7437">
            <w:pPr>
              <w:jc w:val="right"/>
              <w:rPr>
                <w:rFonts w:ascii="Arial Narrow" w:hAnsi="Arial Narrow" w:eastAsiaTheme="minorEastAsia"/>
                <w:sz w:val="18"/>
                <w:szCs w:val="18"/>
              </w:rPr>
            </w:pPr>
          </w:p>
        </w:tc>
      </w:tr>
      <w:tr w14:paraId="1C61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47564E49">
            <w:pPr>
              <w:rPr>
                <w:rFonts w:ascii="Arial Narrow" w:hAnsi="Arial Narrow" w:eastAsiaTheme="minorEastAsia"/>
                <w:sz w:val="18"/>
                <w:szCs w:val="18"/>
              </w:rPr>
            </w:pPr>
            <w:r>
              <w:rPr>
                <w:rFonts w:ascii="Arial Narrow" w:hAnsi="Arial Narrow" w:eastAsiaTheme="minorEastAsia"/>
                <w:sz w:val="18"/>
                <w:szCs w:val="18"/>
              </w:rPr>
              <w:t>际华三五零二职业装有限公司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5060EAD">
            <w:pPr>
              <w:jc w:val="right"/>
              <w:rPr>
                <w:rFonts w:ascii="Arial Narrow" w:hAnsi="Arial Narrow" w:eastAsiaTheme="minorEastAsia"/>
                <w:sz w:val="18"/>
                <w:szCs w:val="18"/>
              </w:rPr>
            </w:pPr>
            <w:r>
              <w:rPr>
                <w:rFonts w:ascii="Arial Narrow" w:hAnsi="Arial Narrow" w:eastAsiaTheme="minorEastAsia"/>
                <w:color w:val="000000"/>
                <w:sz w:val="18"/>
                <w:szCs w:val="18"/>
              </w:rPr>
              <w:t>233,414,779.77</w:t>
            </w:r>
          </w:p>
        </w:tc>
        <w:tc>
          <w:tcPr>
            <w:tcW w:w="671" w:type="pct"/>
            <w:tcBorders>
              <w:top w:val="single" w:color="auto" w:sz="4" w:space="0"/>
              <w:left w:val="single" w:color="auto" w:sz="4" w:space="0"/>
              <w:bottom w:val="single" w:color="auto" w:sz="4" w:space="0"/>
              <w:right w:val="single" w:color="auto" w:sz="4" w:space="0"/>
            </w:tcBorders>
            <w:vAlign w:val="center"/>
          </w:tcPr>
          <w:p w14:paraId="646DD99D">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54242E9">
            <w:pPr>
              <w:jc w:val="right"/>
              <w:rPr>
                <w:rFonts w:ascii="Arial Narrow" w:hAnsi="Arial Narrow" w:eastAsiaTheme="minorEastAsia"/>
                <w:sz w:val="18"/>
                <w:szCs w:val="18"/>
              </w:rPr>
            </w:pPr>
            <w:r>
              <w:rPr>
                <w:rFonts w:ascii="Arial Narrow" w:hAnsi="Arial Narrow" w:eastAsiaTheme="minorEastAsia"/>
                <w:color w:val="000000"/>
                <w:sz w:val="18"/>
                <w:szCs w:val="18"/>
              </w:rPr>
              <w:t>2,141,887.74</w:t>
            </w:r>
          </w:p>
        </w:tc>
        <w:tc>
          <w:tcPr>
            <w:tcW w:w="704" w:type="pct"/>
            <w:tcBorders>
              <w:top w:val="single" w:color="auto" w:sz="4" w:space="0"/>
              <w:left w:val="single" w:color="auto" w:sz="4" w:space="0"/>
              <w:bottom w:val="single" w:color="auto" w:sz="4" w:space="0"/>
              <w:right w:val="single" w:color="auto" w:sz="4" w:space="0"/>
            </w:tcBorders>
            <w:vAlign w:val="center"/>
          </w:tcPr>
          <w:p w14:paraId="3A0DCD8B">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3E9332BA">
            <w:pPr>
              <w:jc w:val="right"/>
              <w:rPr>
                <w:rFonts w:ascii="Arial Narrow" w:hAnsi="Arial Narrow" w:eastAsiaTheme="minorEastAsia"/>
                <w:sz w:val="18"/>
                <w:szCs w:val="18"/>
              </w:rPr>
            </w:pPr>
            <w:r>
              <w:rPr>
                <w:rFonts w:ascii="Arial Narrow" w:hAnsi="Arial Narrow" w:eastAsiaTheme="minorEastAsia"/>
                <w:color w:val="000000"/>
                <w:sz w:val="18"/>
                <w:szCs w:val="18"/>
              </w:rPr>
              <w:t>235,556,667.51</w:t>
            </w:r>
          </w:p>
        </w:tc>
        <w:tc>
          <w:tcPr>
            <w:tcW w:w="703" w:type="pct"/>
            <w:tcBorders>
              <w:top w:val="single" w:color="auto" w:sz="4" w:space="0"/>
              <w:left w:val="single" w:color="auto" w:sz="4" w:space="0"/>
              <w:bottom w:val="single" w:color="auto" w:sz="4" w:space="0"/>
              <w:right w:val="single" w:color="auto" w:sz="4" w:space="0"/>
            </w:tcBorders>
            <w:vAlign w:val="center"/>
          </w:tcPr>
          <w:p w14:paraId="300DCC42">
            <w:pPr>
              <w:jc w:val="right"/>
              <w:rPr>
                <w:rFonts w:ascii="Arial Narrow" w:hAnsi="Arial Narrow" w:eastAsiaTheme="minorEastAsia"/>
                <w:sz w:val="18"/>
                <w:szCs w:val="18"/>
              </w:rPr>
            </w:pPr>
          </w:p>
        </w:tc>
      </w:tr>
      <w:tr w14:paraId="1530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6EF9CF19">
            <w:pPr>
              <w:rPr>
                <w:rFonts w:ascii="Arial Narrow" w:hAnsi="Arial Narrow" w:eastAsiaTheme="minorEastAsia"/>
                <w:sz w:val="18"/>
                <w:szCs w:val="18"/>
              </w:rPr>
            </w:pPr>
            <w:r>
              <w:rPr>
                <w:rFonts w:ascii="Arial Narrow" w:hAnsi="Arial Narrow" w:eastAsiaTheme="minorEastAsia"/>
                <w:sz w:val="18"/>
                <w:szCs w:val="18"/>
              </w:rPr>
              <w:t>南京际华三五〇三服装有限公司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008AE600">
            <w:pPr>
              <w:jc w:val="right"/>
              <w:rPr>
                <w:rFonts w:ascii="Arial Narrow" w:hAnsi="Arial Narrow" w:eastAsiaTheme="minorEastAsia"/>
                <w:sz w:val="18"/>
                <w:szCs w:val="18"/>
              </w:rPr>
            </w:pPr>
            <w:r>
              <w:rPr>
                <w:rFonts w:ascii="Arial Narrow" w:hAnsi="Arial Narrow" w:eastAsiaTheme="minorEastAsia"/>
                <w:color w:val="000000"/>
                <w:sz w:val="18"/>
                <w:szCs w:val="18"/>
              </w:rPr>
              <w:t>56,096,213.14</w:t>
            </w:r>
          </w:p>
        </w:tc>
        <w:tc>
          <w:tcPr>
            <w:tcW w:w="671" w:type="pct"/>
            <w:tcBorders>
              <w:top w:val="single" w:color="auto" w:sz="4" w:space="0"/>
              <w:left w:val="single" w:color="auto" w:sz="4" w:space="0"/>
              <w:bottom w:val="single" w:color="auto" w:sz="4" w:space="0"/>
              <w:right w:val="single" w:color="auto" w:sz="4" w:space="0"/>
            </w:tcBorders>
            <w:vAlign w:val="center"/>
          </w:tcPr>
          <w:p w14:paraId="6BA64179">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42AB6FE">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55BB1333">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04DC7F12">
            <w:pPr>
              <w:jc w:val="right"/>
              <w:rPr>
                <w:rFonts w:ascii="Arial Narrow" w:hAnsi="Arial Narrow" w:eastAsiaTheme="minorEastAsia"/>
                <w:sz w:val="18"/>
                <w:szCs w:val="18"/>
              </w:rPr>
            </w:pPr>
            <w:r>
              <w:rPr>
                <w:rFonts w:ascii="Arial Narrow" w:hAnsi="Arial Narrow" w:eastAsiaTheme="minorEastAsia"/>
                <w:color w:val="000000"/>
                <w:sz w:val="18"/>
                <w:szCs w:val="18"/>
              </w:rPr>
              <w:t>56,096,213.14</w:t>
            </w:r>
          </w:p>
        </w:tc>
        <w:tc>
          <w:tcPr>
            <w:tcW w:w="703" w:type="pct"/>
            <w:tcBorders>
              <w:top w:val="single" w:color="auto" w:sz="4" w:space="0"/>
              <w:left w:val="single" w:color="auto" w:sz="4" w:space="0"/>
              <w:bottom w:val="single" w:color="auto" w:sz="4" w:space="0"/>
              <w:right w:val="single" w:color="auto" w:sz="4" w:space="0"/>
            </w:tcBorders>
            <w:vAlign w:val="center"/>
          </w:tcPr>
          <w:p w14:paraId="1A038C77">
            <w:pPr>
              <w:jc w:val="right"/>
              <w:rPr>
                <w:rFonts w:ascii="Arial Narrow" w:hAnsi="Arial Narrow" w:eastAsiaTheme="minorEastAsia"/>
                <w:sz w:val="18"/>
                <w:szCs w:val="18"/>
              </w:rPr>
            </w:pPr>
          </w:p>
        </w:tc>
      </w:tr>
      <w:tr w14:paraId="0E48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7D661BFB">
            <w:pPr>
              <w:rPr>
                <w:rFonts w:ascii="Arial Narrow" w:hAnsi="Arial Narrow" w:eastAsiaTheme="minorEastAsia"/>
                <w:sz w:val="18"/>
                <w:szCs w:val="18"/>
              </w:rPr>
            </w:pPr>
            <w:r>
              <w:rPr>
                <w:rFonts w:ascii="Arial Narrow" w:hAnsi="Arial Narrow" w:eastAsiaTheme="minorEastAsia"/>
                <w:sz w:val="18"/>
                <w:szCs w:val="18"/>
              </w:rPr>
              <w:t>际华三五零六纺织服装有限公司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14C7201">
            <w:pPr>
              <w:jc w:val="right"/>
              <w:rPr>
                <w:rFonts w:ascii="Arial Narrow" w:hAnsi="Arial Narrow" w:eastAsiaTheme="minorEastAsia"/>
                <w:sz w:val="18"/>
                <w:szCs w:val="18"/>
              </w:rPr>
            </w:pPr>
            <w:r>
              <w:rPr>
                <w:rFonts w:ascii="Arial Narrow" w:hAnsi="Arial Narrow" w:eastAsiaTheme="minorEastAsia"/>
                <w:color w:val="000000"/>
                <w:sz w:val="18"/>
                <w:szCs w:val="18"/>
              </w:rPr>
              <w:t>160,308,197.52</w:t>
            </w:r>
          </w:p>
        </w:tc>
        <w:tc>
          <w:tcPr>
            <w:tcW w:w="671" w:type="pct"/>
            <w:tcBorders>
              <w:top w:val="single" w:color="auto" w:sz="4" w:space="0"/>
              <w:left w:val="single" w:color="auto" w:sz="4" w:space="0"/>
              <w:bottom w:val="single" w:color="auto" w:sz="4" w:space="0"/>
              <w:right w:val="single" w:color="auto" w:sz="4" w:space="0"/>
            </w:tcBorders>
            <w:vAlign w:val="center"/>
          </w:tcPr>
          <w:p w14:paraId="7CBE7A15">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325E8326">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6EDA04AB">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3CF21958">
            <w:pPr>
              <w:jc w:val="right"/>
              <w:rPr>
                <w:rFonts w:ascii="Arial Narrow" w:hAnsi="Arial Narrow" w:eastAsiaTheme="minorEastAsia"/>
                <w:sz w:val="18"/>
                <w:szCs w:val="18"/>
              </w:rPr>
            </w:pPr>
            <w:r>
              <w:rPr>
                <w:rFonts w:ascii="Arial Narrow" w:hAnsi="Arial Narrow" w:eastAsiaTheme="minorEastAsia"/>
                <w:color w:val="000000"/>
                <w:sz w:val="18"/>
                <w:szCs w:val="18"/>
              </w:rPr>
              <w:t>160,308,197.52</w:t>
            </w:r>
          </w:p>
        </w:tc>
        <w:tc>
          <w:tcPr>
            <w:tcW w:w="703" w:type="pct"/>
            <w:tcBorders>
              <w:top w:val="single" w:color="auto" w:sz="4" w:space="0"/>
              <w:left w:val="single" w:color="auto" w:sz="4" w:space="0"/>
              <w:bottom w:val="single" w:color="auto" w:sz="4" w:space="0"/>
              <w:right w:val="single" w:color="auto" w:sz="4" w:space="0"/>
            </w:tcBorders>
            <w:vAlign w:val="center"/>
          </w:tcPr>
          <w:p w14:paraId="2EC31D50">
            <w:pPr>
              <w:jc w:val="right"/>
              <w:rPr>
                <w:rFonts w:ascii="Arial Narrow" w:hAnsi="Arial Narrow" w:eastAsiaTheme="minorEastAsia"/>
                <w:sz w:val="18"/>
                <w:szCs w:val="18"/>
              </w:rPr>
            </w:pPr>
          </w:p>
        </w:tc>
      </w:tr>
      <w:tr w14:paraId="1C40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4B74A98">
            <w:pPr>
              <w:rPr>
                <w:rFonts w:ascii="Arial Narrow" w:hAnsi="Arial Narrow" w:eastAsiaTheme="minorEastAsia"/>
                <w:sz w:val="18"/>
                <w:szCs w:val="18"/>
              </w:rPr>
            </w:pPr>
            <w:r>
              <w:rPr>
                <w:rFonts w:ascii="Arial Narrow" w:hAnsi="Arial Narrow" w:eastAsiaTheme="minorEastAsia"/>
                <w:sz w:val="18"/>
                <w:szCs w:val="18"/>
              </w:rPr>
              <w:t>际华三五三四制衣有限公司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06B54997">
            <w:pPr>
              <w:jc w:val="right"/>
              <w:rPr>
                <w:rFonts w:ascii="Arial Narrow" w:hAnsi="Arial Narrow" w:eastAsiaTheme="minorEastAsia"/>
                <w:sz w:val="18"/>
                <w:szCs w:val="18"/>
              </w:rPr>
            </w:pPr>
            <w:r>
              <w:rPr>
                <w:rFonts w:ascii="Arial Narrow" w:hAnsi="Arial Narrow" w:eastAsiaTheme="minorEastAsia"/>
                <w:color w:val="000000"/>
                <w:sz w:val="18"/>
                <w:szCs w:val="18"/>
              </w:rPr>
              <w:t>487,663,549.50</w:t>
            </w:r>
          </w:p>
        </w:tc>
        <w:tc>
          <w:tcPr>
            <w:tcW w:w="671" w:type="pct"/>
            <w:tcBorders>
              <w:top w:val="single" w:color="auto" w:sz="4" w:space="0"/>
              <w:left w:val="single" w:color="auto" w:sz="4" w:space="0"/>
              <w:bottom w:val="single" w:color="auto" w:sz="4" w:space="0"/>
              <w:right w:val="single" w:color="auto" w:sz="4" w:space="0"/>
            </w:tcBorders>
            <w:vAlign w:val="center"/>
          </w:tcPr>
          <w:p w14:paraId="73D4EB50">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4A544483">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1DD53786">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7BFD2AB">
            <w:pPr>
              <w:jc w:val="right"/>
              <w:rPr>
                <w:rFonts w:ascii="Arial Narrow" w:hAnsi="Arial Narrow" w:eastAsiaTheme="minorEastAsia"/>
                <w:sz w:val="18"/>
                <w:szCs w:val="18"/>
              </w:rPr>
            </w:pPr>
            <w:r>
              <w:rPr>
                <w:rFonts w:ascii="Arial Narrow" w:hAnsi="Arial Narrow" w:eastAsiaTheme="minorEastAsia"/>
                <w:color w:val="000000"/>
                <w:sz w:val="18"/>
                <w:szCs w:val="18"/>
              </w:rPr>
              <w:t>487,663,549.50</w:t>
            </w:r>
          </w:p>
        </w:tc>
        <w:tc>
          <w:tcPr>
            <w:tcW w:w="703" w:type="pct"/>
            <w:tcBorders>
              <w:top w:val="single" w:color="auto" w:sz="4" w:space="0"/>
              <w:left w:val="single" w:color="auto" w:sz="4" w:space="0"/>
              <w:bottom w:val="single" w:color="auto" w:sz="4" w:space="0"/>
              <w:right w:val="single" w:color="auto" w:sz="4" w:space="0"/>
            </w:tcBorders>
            <w:vAlign w:val="center"/>
          </w:tcPr>
          <w:p w14:paraId="3501AC6F">
            <w:pPr>
              <w:jc w:val="right"/>
              <w:rPr>
                <w:rFonts w:ascii="Arial Narrow" w:hAnsi="Arial Narrow" w:eastAsiaTheme="minorEastAsia"/>
                <w:sz w:val="18"/>
                <w:szCs w:val="18"/>
              </w:rPr>
            </w:pPr>
          </w:p>
        </w:tc>
      </w:tr>
      <w:tr w14:paraId="3DB0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210255C">
            <w:pPr>
              <w:rPr>
                <w:rFonts w:ascii="Arial Narrow" w:hAnsi="Arial Narrow" w:eastAsiaTheme="minorEastAsia"/>
                <w:sz w:val="18"/>
                <w:szCs w:val="18"/>
              </w:rPr>
            </w:pPr>
            <w:r>
              <w:rPr>
                <w:rFonts w:ascii="Arial Narrow" w:hAnsi="Arial Narrow" w:eastAsiaTheme="minorEastAsia"/>
                <w:sz w:val="18"/>
                <w:szCs w:val="18"/>
              </w:rPr>
              <w:t>际华三五三六实业有限公司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4075DFBD">
            <w:pPr>
              <w:jc w:val="right"/>
              <w:rPr>
                <w:rFonts w:ascii="Arial Narrow" w:hAnsi="Arial Narrow" w:eastAsiaTheme="minorEastAsia"/>
                <w:sz w:val="18"/>
                <w:szCs w:val="18"/>
              </w:rPr>
            </w:pPr>
            <w:r>
              <w:rPr>
                <w:rFonts w:ascii="Arial Narrow" w:hAnsi="Arial Narrow" w:eastAsiaTheme="minorEastAsia"/>
                <w:color w:val="000000"/>
                <w:sz w:val="18"/>
                <w:szCs w:val="18"/>
              </w:rPr>
              <w:t>176,429,937.87</w:t>
            </w:r>
          </w:p>
        </w:tc>
        <w:tc>
          <w:tcPr>
            <w:tcW w:w="671" w:type="pct"/>
            <w:tcBorders>
              <w:top w:val="single" w:color="auto" w:sz="4" w:space="0"/>
              <w:left w:val="single" w:color="auto" w:sz="4" w:space="0"/>
              <w:bottom w:val="single" w:color="auto" w:sz="4" w:space="0"/>
              <w:right w:val="single" w:color="auto" w:sz="4" w:space="0"/>
            </w:tcBorders>
            <w:vAlign w:val="center"/>
          </w:tcPr>
          <w:p w14:paraId="05151AAD">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5AD0E21">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2B03D311">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CC50D2A">
            <w:pPr>
              <w:jc w:val="right"/>
              <w:rPr>
                <w:rFonts w:ascii="Arial Narrow" w:hAnsi="Arial Narrow" w:eastAsiaTheme="minorEastAsia"/>
                <w:sz w:val="18"/>
                <w:szCs w:val="18"/>
              </w:rPr>
            </w:pPr>
            <w:r>
              <w:rPr>
                <w:rFonts w:ascii="Arial Narrow" w:hAnsi="Arial Narrow" w:eastAsiaTheme="minorEastAsia"/>
                <w:color w:val="000000"/>
                <w:sz w:val="18"/>
                <w:szCs w:val="18"/>
              </w:rPr>
              <w:t>176,429,937.87</w:t>
            </w:r>
          </w:p>
        </w:tc>
        <w:tc>
          <w:tcPr>
            <w:tcW w:w="703" w:type="pct"/>
            <w:tcBorders>
              <w:top w:val="single" w:color="auto" w:sz="4" w:space="0"/>
              <w:left w:val="single" w:color="auto" w:sz="4" w:space="0"/>
              <w:bottom w:val="single" w:color="auto" w:sz="4" w:space="0"/>
              <w:right w:val="single" w:color="auto" w:sz="4" w:space="0"/>
            </w:tcBorders>
            <w:vAlign w:val="center"/>
          </w:tcPr>
          <w:p w14:paraId="3E96E3DE">
            <w:pPr>
              <w:jc w:val="right"/>
              <w:rPr>
                <w:rFonts w:ascii="Arial Narrow" w:hAnsi="Arial Narrow" w:eastAsiaTheme="minorEastAsia"/>
                <w:sz w:val="18"/>
                <w:szCs w:val="18"/>
              </w:rPr>
            </w:pPr>
          </w:p>
        </w:tc>
      </w:tr>
      <w:tr w14:paraId="4997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39163D16">
            <w:pPr>
              <w:rPr>
                <w:rFonts w:ascii="Arial Narrow" w:hAnsi="Arial Narrow" w:eastAsiaTheme="minorEastAsia"/>
                <w:sz w:val="18"/>
                <w:szCs w:val="18"/>
              </w:rPr>
            </w:pPr>
            <w:r>
              <w:rPr>
                <w:rFonts w:ascii="Arial Narrow" w:hAnsi="Arial Narrow" w:eastAsiaTheme="minorEastAsia"/>
                <w:sz w:val="18"/>
                <w:szCs w:val="18"/>
              </w:rPr>
              <w:t>新疆际华七五五五职业装有限公司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253239B4">
            <w:pPr>
              <w:jc w:val="right"/>
              <w:rPr>
                <w:rFonts w:ascii="Arial Narrow" w:hAnsi="Arial Narrow" w:eastAsiaTheme="minorEastAsia"/>
                <w:sz w:val="18"/>
                <w:szCs w:val="18"/>
              </w:rPr>
            </w:pPr>
            <w:r>
              <w:rPr>
                <w:rFonts w:ascii="Arial Narrow" w:hAnsi="Arial Narrow" w:eastAsiaTheme="minorEastAsia"/>
                <w:color w:val="000000"/>
                <w:sz w:val="18"/>
                <w:szCs w:val="18"/>
              </w:rPr>
              <w:t>62,179,295.70</w:t>
            </w:r>
          </w:p>
        </w:tc>
        <w:tc>
          <w:tcPr>
            <w:tcW w:w="671" w:type="pct"/>
            <w:tcBorders>
              <w:top w:val="single" w:color="auto" w:sz="4" w:space="0"/>
              <w:left w:val="single" w:color="auto" w:sz="4" w:space="0"/>
              <w:bottom w:val="single" w:color="auto" w:sz="4" w:space="0"/>
              <w:right w:val="single" w:color="auto" w:sz="4" w:space="0"/>
            </w:tcBorders>
            <w:vAlign w:val="center"/>
          </w:tcPr>
          <w:p w14:paraId="12DC7786">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2EE20DF2">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313DD495">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2C111F8A">
            <w:pPr>
              <w:jc w:val="right"/>
              <w:rPr>
                <w:rFonts w:ascii="Arial Narrow" w:hAnsi="Arial Narrow" w:eastAsiaTheme="minorEastAsia"/>
                <w:sz w:val="18"/>
                <w:szCs w:val="18"/>
              </w:rPr>
            </w:pPr>
            <w:r>
              <w:rPr>
                <w:rFonts w:ascii="Arial Narrow" w:hAnsi="Arial Narrow" w:eastAsiaTheme="minorEastAsia"/>
                <w:color w:val="000000"/>
                <w:sz w:val="18"/>
                <w:szCs w:val="18"/>
              </w:rPr>
              <w:t>62,179,295.70</w:t>
            </w:r>
          </w:p>
        </w:tc>
        <w:tc>
          <w:tcPr>
            <w:tcW w:w="703" w:type="pct"/>
            <w:tcBorders>
              <w:top w:val="single" w:color="auto" w:sz="4" w:space="0"/>
              <w:left w:val="single" w:color="auto" w:sz="4" w:space="0"/>
              <w:bottom w:val="single" w:color="auto" w:sz="4" w:space="0"/>
              <w:right w:val="single" w:color="auto" w:sz="4" w:space="0"/>
            </w:tcBorders>
            <w:vAlign w:val="center"/>
          </w:tcPr>
          <w:p w14:paraId="27F3A895">
            <w:pPr>
              <w:jc w:val="right"/>
              <w:rPr>
                <w:rFonts w:ascii="Arial Narrow" w:hAnsi="Arial Narrow" w:eastAsiaTheme="minorEastAsia"/>
                <w:sz w:val="18"/>
                <w:szCs w:val="18"/>
              </w:rPr>
            </w:pPr>
          </w:p>
        </w:tc>
      </w:tr>
      <w:tr w14:paraId="0A07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459FE390">
            <w:pPr>
              <w:rPr>
                <w:rFonts w:ascii="Arial Narrow" w:hAnsi="Arial Narrow" w:eastAsiaTheme="minorEastAsia"/>
                <w:sz w:val="18"/>
                <w:szCs w:val="18"/>
              </w:rPr>
            </w:pPr>
            <w:r>
              <w:rPr>
                <w:rFonts w:ascii="Arial Narrow" w:hAnsi="Arial Narrow" w:eastAsiaTheme="minorEastAsia"/>
                <w:sz w:val="18"/>
                <w:szCs w:val="18"/>
              </w:rPr>
              <w:t>际华三五零九纺织有限公司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21E9ED65">
            <w:pPr>
              <w:jc w:val="right"/>
              <w:rPr>
                <w:rFonts w:ascii="Arial Narrow" w:hAnsi="Arial Narrow" w:eastAsiaTheme="minorEastAsia"/>
                <w:sz w:val="18"/>
                <w:szCs w:val="18"/>
              </w:rPr>
            </w:pPr>
            <w:r>
              <w:rPr>
                <w:rFonts w:ascii="Arial Narrow" w:hAnsi="Arial Narrow" w:eastAsiaTheme="minorEastAsia"/>
                <w:color w:val="000000"/>
                <w:sz w:val="18"/>
                <w:szCs w:val="18"/>
              </w:rPr>
              <w:t>211,645,686.15</w:t>
            </w:r>
          </w:p>
        </w:tc>
        <w:tc>
          <w:tcPr>
            <w:tcW w:w="671" w:type="pct"/>
            <w:tcBorders>
              <w:top w:val="single" w:color="auto" w:sz="4" w:space="0"/>
              <w:left w:val="single" w:color="auto" w:sz="4" w:space="0"/>
              <w:bottom w:val="single" w:color="auto" w:sz="4" w:space="0"/>
              <w:right w:val="single" w:color="auto" w:sz="4" w:space="0"/>
            </w:tcBorders>
            <w:vAlign w:val="center"/>
          </w:tcPr>
          <w:p w14:paraId="26450C9E">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4201C378">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58B4A3AA">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24F79F21">
            <w:pPr>
              <w:jc w:val="right"/>
              <w:rPr>
                <w:rFonts w:ascii="Arial Narrow" w:hAnsi="Arial Narrow" w:eastAsiaTheme="minorEastAsia"/>
                <w:sz w:val="18"/>
                <w:szCs w:val="18"/>
              </w:rPr>
            </w:pPr>
            <w:r>
              <w:rPr>
                <w:rFonts w:ascii="Arial Narrow" w:hAnsi="Arial Narrow" w:eastAsiaTheme="minorEastAsia"/>
                <w:color w:val="000000"/>
                <w:sz w:val="18"/>
                <w:szCs w:val="18"/>
              </w:rPr>
              <w:t>211,645,686.15</w:t>
            </w:r>
          </w:p>
        </w:tc>
        <w:tc>
          <w:tcPr>
            <w:tcW w:w="703" w:type="pct"/>
            <w:tcBorders>
              <w:top w:val="single" w:color="auto" w:sz="4" w:space="0"/>
              <w:left w:val="single" w:color="auto" w:sz="4" w:space="0"/>
              <w:bottom w:val="single" w:color="auto" w:sz="4" w:space="0"/>
              <w:right w:val="single" w:color="auto" w:sz="4" w:space="0"/>
            </w:tcBorders>
            <w:vAlign w:val="center"/>
          </w:tcPr>
          <w:p w14:paraId="4AA07DD1">
            <w:pPr>
              <w:jc w:val="right"/>
              <w:rPr>
                <w:rFonts w:ascii="Arial Narrow" w:hAnsi="Arial Narrow" w:eastAsiaTheme="minorEastAsia"/>
                <w:sz w:val="18"/>
                <w:szCs w:val="18"/>
              </w:rPr>
            </w:pPr>
          </w:p>
        </w:tc>
      </w:tr>
      <w:tr w14:paraId="1D87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63135025">
            <w:pPr>
              <w:rPr>
                <w:rFonts w:ascii="Arial Narrow" w:hAnsi="Arial Narrow" w:eastAsiaTheme="minorEastAsia"/>
                <w:sz w:val="18"/>
                <w:szCs w:val="18"/>
              </w:rPr>
            </w:pPr>
            <w:r>
              <w:rPr>
                <w:rFonts w:ascii="Arial Narrow" w:hAnsi="Arial Narrow" w:eastAsiaTheme="minorEastAsia"/>
                <w:sz w:val="18"/>
                <w:szCs w:val="18"/>
              </w:rPr>
              <w:t>际华三五一一实业有限公司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76F687B6">
            <w:pPr>
              <w:jc w:val="right"/>
              <w:rPr>
                <w:rFonts w:ascii="Arial Narrow" w:hAnsi="Arial Narrow" w:eastAsiaTheme="minorEastAsia"/>
                <w:sz w:val="18"/>
                <w:szCs w:val="18"/>
              </w:rPr>
            </w:pPr>
            <w:r>
              <w:rPr>
                <w:rFonts w:ascii="Arial Narrow" w:hAnsi="Arial Narrow" w:eastAsiaTheme="minorEastAsia"/>
                <w:color w:val="000000"/>
                <w:sz w:val="18"/>
                <w:szCs w:val="18"/>
              </w:rPr>
              <w:t>58,913,424.40</w:t>
            </w:r>
          </w:p>
        </w:tc>
        <w:tc>
          <w:tcPr>
            <w:tcW w:w="671" w:type="pct"/>
            <w:tcBorders>
              <w:top w:val="single" w:color="auto" w:sz="4" w:space="0"/>
              <w:left w:val="single" w:color="auto" w:sz="4" w:space="0"/>
              <w:bottom w:val="single" w:color="auto" w:sz="4" w:space="0"/>
              <w:right w:val="single" w:color="auto" w:sz="4" w:space="0"/>
            </w:tcBorders>
            <w:vAlign w:val="center"/>
          </w:tcPr>
          <w:p w14:paraId="6AC13D03">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24E8B83">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6A4AD7E2">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5448FB40">
            <w:pPr>
              <w:jc w:val="right"/>
              <w:rPr>
                <w:rFonts w:ascii="Arial Narrow" w:hAnsi="Arial Narrow" w:eastAsiaTheme="minorEastAsia"/>
                <w:sz w:val="18"/>
                <w:szCs w:val="18"/>
              </w:rPr>
            </w:pPr>
            <w:r>
              <w:rPr>
                <w:rFonts w:ascii="Arial Narrow" w:hAnsi="Arial Narrow" w:eastAsiaTheme="minorEastAsia"/>
                <w:color w:val="000000"/>
                <w:sz w:val="18"/>
                <w:szCs w:val="18"/>
              </w:rPr>
              <w:t>58,913,424.40</w:t>
            </w:r>
          </w:p>
        </w:tc>
        <w:tc>
          <w:tcPr>
            <w:tcW w:w="703" w:type="pct"/>
            <w:tcBorders>
              <w:top w:val="single" w:color="auto" w:sz="4" w:space="0"/>
              <w:left w:val="single" w:color="auto" w:sz="4" w:space="0"/>
              <w:bottom w:val="single" w:color="auto" w:sz="4" w:space="0"/>
              <w:right w:val="single" w:color="auto" w:sz="4" w:space="0"/>
            </w:tcBorders>
            <w:vAlign w:val="center"/>
          </w:tcPr>
          <w:p w14:paraId="0EDBB3A6">
            <w:pPr>
              <w:jc w:val="right"/>
              <w:rPr>
                <w:rFonts w:ascii="Arial Narrow" w:hAnsi="Arial Narrow" w:eastAsiaTheme="minorEastAsia"/>
                <w:sz w:val="18"/>
                <w:szCs w:val="18"/>
              </w:rPr>
            </w:pPr>
          </w:p>
        </w:tc>
      </w:tr>
      <w:tr w14:paraId="3F29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77692F64">
            <w:pPr>
              <w:rPr>
                <w:rFonts w:ascii="Arial Narrow" w:hAnsi="Arial Narrow" w:eastAsiaTheme="minorEastAsia"/>
                <w:sz w:val="18"/>
                <w:szCs w:val="18"/>
              </w:rPr>
            </w:pPr>
            <w:r>
              <w:rPr>
                <w:rFonts w:ascii="Arial Narrow" w:hAnsi="Arial Narrow" w:eastAsiaTheme="minorEastAsia"/>
                <w:sz w:val="18"/>
                <w:szCs w:val="18"/>
              </w:rPr>
              <w:t>际华三五四二纺织有限公司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194C18F9">
            <w:pPr>
              <w:jc w:val="right"/>
              <w:rPr>
                <w:rFonts w:ascii="Arial Narrow" w:hAnsi="Arial Narrow" w:eastAsiaTheme="minorEastAsia"/>
                <w:sz w:val="18"/>
                <w:szCs w:val="18"/>
              </w:rPr>
            </w:pPr>
            <w:r>
              <w:rPr>
                <w:rFonts w:ascii="Arial Narrow" w:hAnsi="Arial Narrow" w:eastAsiaTheme="minorEastAsia"/>
                <w:color w:val="000000"/>
                <w:sz w:val="18"/>
                <w:szCs w:val="18"/>
              </w:rPr>
              <w:t>226,184,300.00</w:t>
            </w:r>
          </w:p>
        </w:tc>
        <w:tc>
          <w:tcPr>
            <w:tcW w:w="671" w:type="pct"/>
            <w:tcBorders>
              <w:top w:val="single" w:color="auto" w:sz="4" w:space="0"/>
              <w:left w:val="single" w:color="auto" w:sz="4" w:space="0"/>
              <w:bottom w:val="single" w:color="auto" w:sz="4" w:space="0"/>
              <w:right w:val="single" w:color="auto" w:sz="4" w:space="0"/>
            </w:tcBorders>
            <w:vAlign w:val="center"/>
          </w:tcPr>
          <w:p w14:paraId="1766D5DC">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5F2724BF">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7BB9ACB1">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D23056E">
            <w:pPr>
              <w:jc w:val="right"/>
              <w:rPr>
                <w:rFonts w:ascii="Arial Narrow" w:hAnsi="Arial Narrow" w:eastAsiaTheme="minorEastAsia"/>
                <w:sz w:val="18"/>
                <w:szCs w:val="18"/>
              </w:rPr>
            </w:pPr>
            <w:r>
              <w:rPr>
                <w:rFonts w:ascii="Arial Narrow" w:hAnsi="Arial Narrow" w:eastAsiaTheme="minorEastAsia"/>
                <w:color w:val="000000"/>
                <w:sz w:val="18"/>
                <w:szCs w:val="18"/>
              </w:rPr>
              <w:t>226,184,300.00</w:t>
            </w:r>
          </w:p>
        </w:tc>
        <w:tc>
          <w:tcPr>
            <w:tcW w:w="703" w:type="pct"/>
            <w:tcBorders>
              <w:top w:val="single" w:color="auto" w:sz="4" w:space="0"/>
              <w:left w:val="single" w:color="auto" w:sz="4" w:space="0"/>
              <w:bottom w:val="single" w:color="auto" w:sz="4" w:space="0"/>
              <w:right w:val="single" w:color="auto" w:sz="4" w:space="0"/>
            </w:tcBorders>
            <w:vAlign w:val="center"/>
          </w:tcPr>
          <w:p w14:paraId="6393FBA4">
            <w:pPr>
              <w:jc w:val="right"/>
              <w:rPr>
                <w:rFonts w:ascii="Arial Narrow" w:hAnsi="Arial Narrow" w:eastAsiaTheme="minorEastAsia"/>
                <w:sz w:val="18"/>
                <w:szCs w:val="18"/>
              </w:rPr>
            </w:pPr>
          </w:p>
        </w:tc>
      </w:tr>
      <w:tr w14:paraId="7F81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3B511BCF">
            <w:pPr>
              <w:rPr>
                <w:rFonts w:ascii="Arial Narrow" w:hAnsi="Arial Narrow" w:eastAsiaTheme="minorEastAsia"/>
                <w:sz w:val="18"/>
                <w:szCs w:val="18"/>
              </w:rPr>
            </w:pPr>
            <w:r>
              <w:rPr>
                <w:rFonts w:ascii="Arial Narrow" w:hAnsi="Arial Narrow" w:eastAsiaTheme="minorEastAsia"/>
                <w:sz w:val="18"/>
                <w:szCs w:val="18"/>
              </w:rPr>
              <w:t>际华三五一二皮革服装有限公司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31A4B0D0">
            <w:pPr>
              <w:jc w:val="right"/>
              <w:rPr>
                <w:rFonts w:ascii="Arial Narrow" w:hAnsi="Arial Narrow" w:eastAsiaTheme="minorEastAsia"/>
                <w:sz w:val="18"/>
                <w:szCs w:val="18"/>
              </w:rPr>
            </w:pPr>
            <w:r>
              <w:rPr>
                <w:rFonts w:ascii="Arial Narrow" w:hAnsi="Arial Narrow" w:eastAsiaTheme="minorEastAsia"/>
                <w:color w:val="000000"/>
                <w:sz w:val="18"/>
                <w:szCs w:val="18"/>
              </w:rPr>
              <w:t>129,862,876.03</w:t>
            </w:r>
          </w:p>
        </w:tc>
        <w:tc>
          <w:tcPr>
            <w:tcW w:w="671" w:type="pct"/>
            <w:tcBorders>
              <w:top w:val="single" w:color="auto" w:sz="4" w:space="0"/>
              <w:left w:val="single" w:color="auto" w:sz="4" w:space="0"/>
              <w:bottom w:val="single" w:color="auto" w:sz="4" w:space="0"/>
              <w:right w:val="single" w:color="auto" w:sz="4" w:space="0"/>
            </w:tcBorders>
            <w:vAlign w:val="center"/>
          </w:tcPr>
          <w:p w14:paraId="161FE286">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041E2AE">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5AA2094C">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54B8B85">
            <w:pPr>
              <w:jc w:val="right"/>
              <w:rPr>
                <w:rFonts w:ascii="Arial Narrow" w:hAnsi="Arial Narrow" w:eastAsiaTheme="minorEastAsia"/>
                <w:sz w:val="18"/>
                <w:szCs w:val="18"/>
              </w:rPr>
            </w:pPr>
            <w:r>
              <w:rPr>
                <w:rFonts w:ascii="Arial Narrow" w:hAnsi="Arial Narrow" w:eastAsiaTheme="minorEastAsia"/>
                <w:color w:val="000000"/>
                <w:sz w:val="18"/>
                <w:szCs w:val="18"/>
              </w:rPr>
              <w:t>129,862,876.03</w:t>
            </w:r>
          </w:p>
        </w:tc>
        <w:tc>
          <w:tcPr>
            <w:tcW w:w="703" w:type="pct"/>
            <w:tcBorders>
              <w:top w:val="single" w:color="auto" w:sz="4" w:space="0"/>
              <w:left w:val="single" w:color="auto" w:sz="4" w:space="0"/>
              <w:bottom w:val="single" w:color="auto" w:sz="4" w:space="0"/>
              <w:right w:val="single" w:color="auto" w:sz="4" w:space="0"/>
            </w:tcBorders>
            <w:vAlign w:val="center"/>
          </w:tcPr>
          <w:p w14:paraId="0E3417CE">
            <w:pPr>
              <w:jc w:val="right"/>
              <w:rPr>
                <w:rFonts w:ascii="Arial Narrow" w:hAnsi="Arial Narrow" w:eastAsiaTheme="minorEastAsia"/>
                <w:sz w:val="18"/>
                <w:szCs w:val="18"/>
              </w:rPr>
            </w:pPr>
          </w:p>
        </w:tc>
      </w:tr>
      <w:tr w14:paraId="7110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366B8862">
            <w:pPr>
              <w:rPr>
                <w:rFonts w:ascii="Arial Narrow" w:hAnsi="Arial Narrow" w:eastAsiaTheme="minorEastAsia"/>
                <w:sz w:val="18"/>
                <w:szCs w:val="18"/>
              </w:rPr>
            </w:pPr>
            <w:r>
              <w:rPr>
                <w:rFonts w:ascii="Arial Narrow" w:hAnsi="Arial Narrow" w:eastAsiaTheme="minorEastAsia"/>
                <w:sz w:val="18"/>
                <w:szCs w:val="18"/>
              </w:rPr>
              <w:t>际华三五一三实业有限公司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65BDF4F">
            <w:pPr>
              <w:jc w:val="right"/>
              <w:rPr>
                <w:rFonts w:ascii="Arial Narrow" w:hAnsi="Arial Narrow" w:eastAsiaTheme="minorEastAsia"/>
                <w:sz w:val="18"/>
                <w:szCs w:val="18"/>
              </w:rPr>
            </w:pPr>
            <w:r>
              <w:rPr>
                <w:rFonts w:ascii="Arial Narrow" w:hAnsi="Arial Narrow" w:eastAsiaTheme="minorEastAsia"/>
                <w:color w:val="000000"/>
                <w:sz w:val="18"/>
                <w:szCs w:val="18"/>
              </w:rPr>
              <w:t>167,299,634.29</w:t>
            </w:r>
          </w:p>
        </w:tc>
        <w:tc>
          <w:tcPr>
            <w:tcW w:w="671" w:type="pct"/>
            <w:tcBorders>
              <w:top w:val="single" w:color="auto" w:sz="4" w:space="0"/>
              <w:left w:val="single" w:color="auto" w:sz="4" w:space="0"/>
              <w:bottom w:val="single" w:color="auto" w:sz="4" w:space="0"/>
              <w:right w:val="single" w:color="auto" w:sz="4" w:space="0"/>
            </w:tcBorders>
            <w:vAlign w:val="center"/>
          </w:tcPr>
          <w:p w14:paraId="1D92AD06">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F04720F">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089869BE">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5A1D4BA7">
            <w:pPr>
              <w:jc w:val="right"/>
              <w:rPr>
                <w:rFonts w:ascii="Arial Narrow" w:hAnsi="Arial Narrow" w:eastAsiaTheme="minorEastAsia"/>
                <w:sz w:val="18"/>
                <w:szCs w:val="18"/>
              </w:rPr>
            </w:pPr>
            <w:r>
              <w:rPr>
                <w:rFonts w:ascii="Arial Narrow" w:hAnsi="Arial Narrow" w:eastAsiaTheme="minorEastAsia"/>
                <w:color w:val="000000"/>
                <w:sz w:val="18"/>
                <w:szCs w:val="18"/>
              </w:rPr>
              <w:t>167,299,634.29</w:t>
            </w:r>
          </w:p>
        </w:tc>
        <w:tc>
          <w:tcPr>
            <w:tcW w:w="703" w:type="pct"/>
            <w:tcBorders>
              <w:top w:val="single" w:color="auto" w:sz="4" w:space="0"/>
              <w:left w:val="single" w:color="auto" w:sz="4" w:space="0"/>
              <w:bottom w:val="single" w:color="auto" w:sz="4" w:space="0"/>
              <w:right w:val="single" w:color="auto" w:sz="4" w:space="0"/>
            </w:tcBorders>
            <w:vAlign w:val="center"/>
          </w:tcPr>
          <w:p w14:paraId="30EC3743">
            <w:pPr>
              <w:jc w:val="right"/>
              <w:rPr>
                <w:rFonts w:ascii="Arial Narrow" w:hAnsi="Arial Narrow" w:eastAsiaTheme="minorEastAsia"/>
                <w:sz w:val="18"/>
                <w:szCs w:val="18"/>
              </w:rPr>
            </w:pPr>
          </w:p>
        </w:tc>
      </w:tr>
      <w:tr w14:paraId="0F8A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2BAB6349">
            <w:pPr>
              <w:rPr>
                <w:rFonts w:ascii="Arial Narrow" w:hAnsi="Arial Narrow" w:eastAsiaTheme="minorEastAsia"/>
                <w:sz w:val="18"/>
                <w:szCs w:val="18"/>
              </w:rPr>
            </w:pPr>
            <w:r>
              <w:rPr>
                <w:rFonts w:ascii="Arial Narrow" w:hAnsi="Arial Narrow" w:eastAsiaTheme="minorEastAsia"/>
                <w:sz w:val="18"/>
                <w:szCs w:val="18"/>
              </w:rPr>
              <w:t>际华三五一四制革制鞋有限公司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690CB990">
            <w:pPr>
              <w:jc w:val="right"/>
              <w:rPr>
                <w:rFonts w:ascii="Arial Narrow" w:hAnsi="Arial Narrow" w:eastAsiaTheme="minorEastAsia"/>
                <w:sz w:val="18"/>
                <w:szCs w:val="18"/>
              </w:rPr>
            </w:pPr>
            <w:r>
              <w:rPr>
                <w:rFonts w:ascii="Arial Narrow" w:hAnsi="Arial Narrow" w:eastAsiaTheme="minorEastAsia"/>
                <w:color w:val="000000"/>
                <w:sz w:val="18"/>
                <w:szCs w:val="18"/>
              </w:rPr>
              <w:t>245,394,500.89</w:t>
            </w:r>
          </w:p>
        </w:tc>
        <w:tc>
          <w:tcPr>
            <w:tcW w:w="671" w:type="pct"/>
            <w:tcBorders>
              <w:top w:val="single" w:color="auto" w:sz="4" w:space="0"/>
              <w:left w:val="single" w:color="auto" w:sz="4" w:space="0"/>
              <w:bottom w:val="single" w:color="auto" w:sz="4" w:space="0"/>
              <w:right w:val="single" w:color="auto" w:sz="4" w:space="0"/>
            </w:tcBorders>
            <w:vAlign w:val="center"/>
          </w:tcPr>
          <w:p w14:paraId="2837C58C">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7EA2457A">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32504D4F">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DB2B06E">
            <w:pPr>
              <w:jc w:val="right"/>
              <w:rPr>
                <w:rFonts w:ascii="Arial Narrow" w:hAnsi="Arial Narrow" w:eastAsiaTheme="minorEastAsia"/>
                <w:sz w:val="18"/>
                <w:szCs w:val="18"/>
              </w:rPr>
            </w:pPr>
            <w:r>
              <w:rPr>
                <w:rFonts w:ascii="Arial Narrow" w:hAnsi="Arial Narrow" w:eastAsiaTheme="minorEastAsia"/>
                <w:color w:val="000000"/>
                <w:sz w:val="18"/>
                <w:szCs w:val="18"/>
              </w:rPr>
              <w:t>245,394,500.89</w:t>
            </w:r>
          </w:p>
        </w:tc>
        <w:tc>
          <w:tcPr>
            <w:tcW w:w="703" w:type="pct"/>
            <w:tcBorders>
              <w:top w:val="single" w:color="auto" w:sz="4" w:space="0"/>
              <w:left w:val="single" w:color="auto" w:sz="4" w:space="0"/>
              <w:bottom w:val="single" w:color="auto" w:sz="4" w:space="0"/>
              <w:right w:val="single" w:color="auto" w:sz="4" w:space="0"/>
            </w:tcBorders>
            <w:vAlign w:val="center"/>
          </w:tcPr>
          <w:p w14:paraId="5B2758E8">
            <w:pPr>
              <w:jc w:val="right"/>
              <w:rPr>
                <w:rFonts w:ascii="Arial Narrow" w:hAnsi="Arial Narrow" w:eastAsiaTheme="minorEastAsia"/>
                <w:sz w:val="18"/>
                <w:szCs w:val="18"/>
              </w:rPr>
            </w:pPr>
          </w:p>
        </w:tc>
      </w:tr>
      <w:tr w14:paraId="383C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53492DF3">
            <w:pPr>
              <w:rPr>
                <w:rFonts w:ascii="Arial Narrow" w:hAnsi="Arial Narrow" w:eastAsiaTheme="minorEastAsia"/>
                <w:sz w:val="18"/>
                <w:szCs w:val="18"/>
              </w:rPr>
            </w:pPr>
            <w:r>
              <w:rPr>
                <w:rFonts w:ascii="Arial Narrow" w:hAnsi="Arial Narrow" w:eastAsiaTheme="minorEastAsia"/>
                <w:sz w:val="18"/>
                <w:szCs w:val="18"/>
              </w:rPr>
              <w:t>际华三五一五皮革皮鞋有限公司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3974A44F">
            <w:pPr>
              <w:jc w:val="right"/>
              <w:rPr>
                <w:rFonts w:ascii="Arial Narrow" w:hAnsi="Arial Narrow" w:eastAsiaTheme="minorEastAsia"/>
                <w:sz w:val="18"/>
                <w:szCs w:val="18"/>
              </w:rPr>
            </w:pPr>
            <w:r>
              <w:rPr>
                <w:rFonts w:ascii="Arial Narrow" w:hAnsi="Arial Narrow" w:eastAsiaTheme="minorEastAsia"/>
                <w:color w:val="000000"/>
                <w:sz w:val="18"/>
                <w:szCs w:val="18"/>
              </w:rPr>
              <w:t>143,421,800.00</w:t>
            </w:r>
          </w:p>
        </w:tc>
        <w:tc>
          <w:tcPr>
            <w:tcW w:w="671" w:type="pct"/>
            <w:tcBorders>
              <w:top w:val="single" w:color="auto" w:sz="4" w:space="0"/>
              <w:left w:val="single" w:color="auto" w:sz="4" w:space="0"/>
              <w:bottom w:val="single" w:color="auto" w:sz="4" w:space="0"/>
              <w:right w:val="single" w:color="auto" w:sz="4" w:space="0"/>
            </w:tcBorders>
            <w:vAlign w:val="center"/>
          </w:tcPr>
          <w:p w14:paraId="4AD04D28">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342CC4EF">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348BD0A7">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72D0699C">
            <w:pPr>
              <w:jc w:val="right"/>
              <w:rPr>
                <w:rFonts w:ascii="Arial Narrow" w:hAnsi="Arial Narrow" w:eastAsiaTheme="minorEastAsia"/>
                <w:sz w:val="18"/>
                <w:szCs w:val="18"/>
              </w:rPr>
            </w:pPr>
            <w:r>
              <w:rPr>
                <w:rFonts w:ascii="Arial Narrow" w:hAnsi="Arial Narrow" w:eastAsiaTheme="minorEastAsia"/>
                <w:color w:val="000000"/>
                <w:sz w:val="18"/>
                <w:szCs w:val="18"/>
              </w:rPr>
              <w:t>143,421,800.00</w:t>
            </w:r>
          </w:p>
        </w:tc>
        <w:tc>
          <w:tcPr>
            <w:tcW w:w="703" w:type="pct"/>
            <w:tcBorders>
              <w:top w:val="single" w:color="auto" w:sz="4" w:space="0"/>
              <w:left w:val="single" w:color="auto" w:sz="4" w:space="0"/>
              <w:bottom w:val="single" w:color="auto" w:sz="4" w:space="0"/>
              <w:right w:val="single" w:color="auto" w:sz="4" w:space="0"/>
            </w:tcBorders>
            <w:vAlign w:val="center"/>
          </w:tcPr>
          <w:p w14:paraId="407088CC">
            <w:pPr>
              <w:jc w:val="right"/>
              <w:rPr>
                <w:rFonts w:ascii="Arial Narrow" w:hAnsi="Arial Narrow" w:eastAsiaTheme="minorEastAsia"/>
                <w:sz w:val="18"/>
                <w:szCs w:val="18"/>
              </w:rPr>
            </w:pPr>
          </w:p>
        </w:tc>
      </w:tr>
      <w:tr w14:paraId="2462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FE3EB3B">
            <w:pPr>
              <w:rPr>
                <w:rFonts w:ascii="Arial Narrow" w:hAnsi="Arial Narrow" w:eastAsiaTheme="minorEastAsia"/>
                <w:sz w:val="18"/>
                <w:szCs w:val="18"/>
              </w:rPr>
            </w:pPr>
            <w:r>
              <w:rPr>
                <w:rFonts w:ascii="Arial Narrow" w:hAnsi="Arial Narrow" w:eastAsiaTheme="minorEastAsia"/>
                <w:sz w:val="18"/>
                <w:szCs w:val="18"/>
              </w:rPr>
              <w:t>内蒙古际华森普利服装皮业有限公司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35C3E4AA">
            <w:pPr>
              <w:jc w:val="right"/>
              <w:rPr>
                <w:rFonts w:ascii="Arial Narrow" w:hAnsi="Arial Narrow" w:eastAsiaTheme="minorEastAsia"/>
                <w:sz w:val="18"/>
                <w:szCs w:val="18"/>
              </w:rPr>
            </w:pPr>
            <w:r>
              <w:rPr>
                <w:rFonts w:ascii="Arial Narrow" w:hAnsi="Arial Narrow" w:eastAsiaTheme="minorEastAsia"/>
                <w:color w:val="000000"/>
                <w:sz w:val="18"/>
                <w:szCs w:val="18"/>
              </w:rPr>
              <w:t>52,059,300.81</w:t>
            </w:r>
          </w:p>
        </w:tc>
        <w:tc>
          <w:tcPr>
            <w:tcW w:w="671" w:type="pct"/>
            <w:tcBorders>
              <w:top w:val="single" w:color="auto" w:sz="4" w:space="0"/>
              <w:left w:val="single" w:color="auto" w:sz="4" w:space="0"/>
              <w:bottom w:val="single" w:color="auto" w:sz="4" w:space="0"/>
              <w:right w:val="single" w:color="auto" w:sz="4" w:space="0"/>
            </w:tcBorders>
            <w:vAlign w:val="center"/>
          </w:tcPr>
          <w:p w14:paraId="37282A5F">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AEE4579">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41EBE6F5">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2082118">
            <w:pPr>
              <w:jc w:val="right"/>
              <w:rPr>
                <w:rFonts w:ascii="Arial Narrow" w:hAnsi="Arial Narrow" w:eastAsiaTheme="minorEastAsia"/>
                <w:sz w:val="18"/>
                <w:szCs w:val="18"/>
              </w:rPr>
            </w:pPr>
            <w:r>
              <w:rPr>
                <w:rFonts w:ascii="Arial Narrow" w:hAnsi="Arial Narrow" w:eastAsiaTheme="minorEastAsia"/>
                <w:color w:val="000000"/>
                <w:sz w:val="18"/>
                <w:szCs w:val="18"/>
              </w:rPr>
              <w:t>52,059,300.81</w:t>
            </w:r>
          </w:p>
        </w:tc>
        <w:tc>
          <w:tcPr>
            <w:tcW w:w="703" w:type="pct"/>
            <w:tcBorders>
              <w:top w:val="single" w:color="auto" w:sz="4" w:space="0"/>
              <w:left w:val="single" w:color="auto" w:sz="4" w:space="0"/>
              <w:bottom w:val="single" w:color="auto" w:sz="4" w:space="0"/>
              <w:right w:val="single" w:color="auto" w:sz="4" w:space="0"/>
            </w:tcBorders>
            <w:vAlign w:val="center"/>
          </w:tcPr>
          <w:p w14:paraId="5CEA5242">
            <w:pPr>
              <w:jc w:val="right"/>
              <w:rPr>
                <w:rFonts w:ascii="Arial Narrow" w:hAnsi="Arial Narrow" w:eastAsiaTheme="minorEastAsia"/>
                <w:sz w:val="18"/>
                <w:szCs w:val="18"/>
              </w:rPr>
            </w:pPr>
          </w:p>
        </w:tc>
      </w:tr>
      <w:tr w14:paraId="168A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7767FBE6">
            <w:pPr>
              <w:rPr>
                <w:rFonts w:ascii="Arial Narrow" w:hAnsi="Arial Narrow" w:eastAsiaTheme="minorEastAsia"/>
                <w:sz w:val="18"/>
                <w:szCs w:val="18"/>
              </w:rPr>
            </w:pPr>
            <w:r>
              <w:rPr>
                <w:rFonts w:ascii="Arial Narrow" w:hAnsi="Arial Narrow" w:eastAsiaTheme="minorEastAsia"/>
                <w:sz w:val="18"/>
                <w:szCs w:val="18"/>
              </w:rPr>
              <w:t>际华橡胶工业有限公司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6B37A21C">
            <w:pPr>
              <w:jc w:val="right"/>
              <w:rPr>
                <w:rFonts w:ascii="Arial Narrow" w:hAnsi="Arial Narrow" w:eastAsiaTheme="minorEastAsia"/>
                <w:sz w:val="18"/>
                <w:szCs w:val="18"/>
              </w:rPr>
            </w:pPr>
            <w:r>
              <w:rPr>
                <w:rFonts w:ascii="Arial Narrow" w:hAnsi="Arial Narrow" w:eastAsiaTheme="minorEastAsia"/>
                <w:color w:val="000000"/>
                <w:sz w:val="18"/>
                <w:szCs w:val="18"/>
              </w:rPr>
              <w:t>706,438,319.49</w:t>
            </w:r>
          </w:p>
        </w:tc>
        <w:tc>
          <w:tcPr>
            <w:tcW w:w="671" w:type="pct"/>
            <w:tcBorders>
              <w:top w:val="single" w:color="auto" w:sz="4" w:space="0"/>
              <w:left w:val="single" w:color="auto" w:sz="4" w:space="0"/>
              <w:bottom w:val="single" w:color="auto" w:sz="4" w:space="0"/>
              <w:right w:val="single" w:color="auto" w:sz="4" w:space="0"/>
            </w:tcBorders>
            <w:vAlign w:val="center"/>
          </w:tcPr>
          <w:p w14:paraId="5052FA3E">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A56EFEC">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143EEA95">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CBA124C">
            <w:pPr>
              <w:jc w:val="right"/>
              <w:rPr>
                <w:rFonts w:ascii="Arial Narrow" w:hAnsi="Arial Narrow" w:eastAsiaTheme="minorEastAsia"/>
                <w:sz w:val="18"/>
                <w:szCs w:val="18"/>
              </w:rPr>
            </w:pPr>
            <w:r>
              <w:rPr>
                <w:rFonts w:ascii="Arial Narrow" w:hAnsi="Arial Narrow" w:eastAsiaTheme="minorEastAsia"/>
                <w:color w:val="000000"/>
                <w:sz w:val="18"/>
                <w:szCs w:val="18"/>
              </w:rPr>
              <w:t>706,438,319.49</w:t>
            </w:r>
          </w:p>
        </w:tc>
        <w:tc>
          <w:tcPr>
            <w:tcW w:w="703" w:type="pct"/>
            <w:tcBorders>
              <w:top w:val="single" w:color="auto" w:sz="4" w:space="0"/>
              <w:left w:val="single" w:color="auto" w:sz="4" w:space="0"/>
              <w:bottom w:val="single" w:color="auto" w:sz="4" w:space="0"/>
              <w:right w:val="single" w:color="auto" w:sz="4" w:space="0"/>
            </w:tcBorders>
            <w:vAlign w:val="center"/>
          </w:tcPr>
          <w:p w14:paraId="195CC1FB">
            <w:pPr>
              <w:jc w:val="right"/>
              <w:rPr>
                <w:rFonts w:ascii="Arial Narrow" w:hAnsi="Arial Narrow" w:eastAsiaTheme="minorEastAsia"/>
                <w:sz w:val="18"/>
                <w:szCs w:val="18"/>
              </w:rPr>
            </w:pPr>
          </w:p>
        </w:tc>
      </w:tr>
      <w:tr w14:paraId="305B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5AA5DB26">
            <w:pPr>
              <w:rPr>
                <w:rFonts w:ascii="Arial Narrow" w:hAnsi="Arial Narrow" w:eastAsiaTheme="minorEastAsia"/>
                <w:sz w:val="18"/>
                <w:szCs w:val="18"/>
              </w:rPr>
            </w:pPr>
            <w:r>
              <w:rPr>
                <w:rFonts w:ascii="Arial Narrow" w:hAnsi="Arial Narrow" w:eastAsiaTheme="minorEastAsia"/>
                <w:sz w:val="18"/>
                <w:szCs w:val="18"/>
              </w:rPr>
              <w:t>南京际华三五二一特种装备有限公司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27D51A0C">
            <w:pPr>
              <w:jc w:val="right"/>
              <w:rPr>
                <w:rFonts w:ascii="Arial Narrow" w:hAnsi="Arial Narrow" w:eastAsiaTheme="minorEastAsia"/>
                <w:sz w:val="18"/>
                <w:szCs w:val="18"/>
              </w:rPr>
            </w:pPr>
            <w:r>
              <w:rPr>
                <w:rFonts w:ascii="Arial Narrow" w:hAnsi="Arial Narrow" w:eastAsiaTheme="minorEastAsia"/>
                <w:color w:val="000000"/>
                <w:sz w:val="18"/>
                <w:szCs w:val="18"/>
              </w:rPr>
              <w:t>777,247,845.87</w:t>
            </w:r>
          </w:p>
        </w:tc>
        <w:tc>
          <w:tcPr>
            <w:tcW w:w="671" w:type="pct"/>
            <w:tcBorders>
              <w:top w:val="single" w:color="auto" w:sz="4" w:space="0"/>
              <w:left w:val="single" w:color="auto" w:sz="4" w:space="0"/>
              <w:bottom w:val="single" w:color="auto" w:sz="4" w:space="0"/>
              <w:right w:val="single" w:color="auto" w:sz="4" w:space="0"/>
            </w:tcBorders>
            <w:vAlign w:val="center"/>
          </w:tcPr>
          <w:p w14:paraId="3554FEA6">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8B9FA4D">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31C42734">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4D20B774">
            <w:pPr>
              <w:jc w:val="right"/>
              <w:rPr>
                <w:rFonts w:ascii="Arial Narrow" w:hAnsi="Arial Narrow" w:eastAsiaTheme="minorEastAsia"/>
                <w:sz w:val="18"/>
                <w:szCs w:val="18"/>
              </w:rPr>
            </w:pPr>
            <w:r>
              <w:rPr>
                <w:rFonts w:ascii="Arial Narrow" w:hAnsi="Arial Narrow" w:eastAsiaTheme="minorEastAsia"/>
                <w:color w:val="000000"/>
                <w:sz w:val="18"/>
                <w:szCs w:val="18"/>
              </w:rPr>
              <w:t>777,247,845.87</w:t>
            </w:r>
          </w:p>
        </w:tc>
        <w:tc>
          <w:tcPr>
            <w:tcW w:w="703" w:type="pct"/>
            <w:tcBorders>
              <w:top w:val="single" w:color="auto" w:sz="4" w:space="0"/>
              <w:left w:val="single" w:color="auto" w:sz="4" w:space="0"/>
              <w:bottom w:val="single" w:color="auto" w:sz="4" w:space="0"/>
              <w:right w:val="single" w:color="auto" w:sz="4" w:space="0"/>
            </w:tcBorders>
            <w:vAlign w:val="center"/>
          </w:tcPr>
          <w:p w14:paraId="7B2AB481">
            <w:pPr>
              <w:jc w:val="right"/>
              <w:rPr>
                <w:rFonts w:ascii="Arial Narrow" w:hAnsi="Arial Narrow" w:eastAsiaTheme="minorEastAsia"/>
                <w:sz w:val="18"/>
                <w:szCs w:val="18"/>
              </w:rPr>
            </w:pPr>
          </w:p>
        </w:tc>
      </w:tr>
      <w:tr w14:paraId="5662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48A6E0A2">
            <w:pPr>
              <w:rPr>
                <w:rFonts w:ascii="Arial Narrow" w:hAnsi="Arial Narrow" w:eastAsiaTheme="minorEastAsia"/>
                <w:sz w:val="18"/>
                <w:szCs w:val="18"/>
              </w:rPr>
            </w:pPr>
            <w:r>
              <w:rPr>
                <w:rFonts w:ascii="Arial Narrow" w:hAnsi="Arial Narrow" w:eastAsiaTheme="minorEastAsia"/>
                <w:sz w:val="18"/>
                <w:szCs w:val="18"/>
              </w:rPr>
              <w:t>际华三五二二装具饰品有限公司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45046FAF">
            <w:pPr>
              <w:jc w:val="right"/>
              <w:rPr>
                <w:rFonts w:ascii="Arial Narrow" w:hAnsi="Arial Narrow" w:eastAsiaTheme="minorEastAsia"/>
                <w:sz w:val="18"/>
                <w:szCs w:val="18"/>
              </w:rPr>
            </w:pPr>
            <w:r>
              <w:rPr>
                <w:rFonts w:ascii="Arial Narrow" w:hAnsi="Arial Narrow" w:eastAsiaTheme="minorEastAsia"/>
                <w:color w:val="000000"/>
                <w:sz w:val="18"/>
                <w:szCs w:val="18"/>
              </w:rPr>
              <w:t>199,738,164.19</w:t>
            </w:r>
          </w:p>
        </w:tc>
        <w:tc>
          <w:tcPr>
            <w:tcW w:w="671" w:type="pct"/>
            <w:tcBorders>
              <w:top w:val="single" w:color="auto" w:sz="4" w:space="0"/>
              <w:left w:val="single" w:color="auto" w:sz="4" w:space="0"/>
              <w:bottom w:val="single" w:color="auto" w:sz="4" w:space="0"/>
              <w:right w:val="single" w:color="auto" w:sz="4" w:space="0"/>
            </w:tcBorders>
            <w:vAlign w:val="center"/>
          </w:tcPr>
          <w:p w14:paraId="563D5554">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09FF5FAB">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2505E908">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6EC99D70">
            <w:pPr>
              <w:jc w:val="right"/>
              <w:rPr>
                <w:rFonts w:ascii="Arial Narrow" w:hAnsi="Arial Narrow" w:eastAsiaTheme="minorEastAsia"/>
                <w:sz w:val="18"/>
                <w:szCs w:val="18"/>
              </w:rPr>
            </w:pPr>
            <w:r>
              <w:rPr>
                <w:rFonts w:ascii="Arial Narrow" w:hAnsi="Arial Narrow" w:eastAsiaTheme="minorEastAsia"/>
                <w:color w:val="000000"/>
                <w:sz w:val="18"/>
                <w:szCs w:val="18"/>
              </w:rPr>
              <w:t>199,738,164.19</w:t>
            </w:r>
          </w:p>
        </w:tc>
        <w:tc>
          <w:tcPr>
            <w:tcW w:w="703" w:type="pct"/>
            <w:tcBorders>
              <w:top w:val="single" w:color="auto" w:sz="4" w:space="0"/>
              <w:left w:val="single" w:color="auto" w:sz="4" w:space="0"/>
              <w:bottom w:val="single" w:color="auto" w:sz="4" w:space="0"/>
              <w:right w:val="single" w:color="auto" w:sz="4" w:space="0"/>
            </w:tcBorders>
            <w:vAlign w:val="center"/>
          </w:tcPr>
          <w:p w14:paraId="47A9C11B">
            <w:pPr>
              <w:jc w:val="right"/>
              <w:rPr>
                <w:rFonts w:ascii="Arial Narrow" w:hAnsi="Arial Narrow" w:eastAsiaTheme="minorEastAsia"/>
                <w:sz w:val="18"/>
                <w:szCs w:val="18"/>
              </w:rPr>
            </w:pPr>
          </w:p>
        </w:tc>
      </w:tr>
      <w:tr w14:paraId="5445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1785FFE0">
            <w:pPr>
              <w:rPr>
                <w:rFonts w:ascii="Arial Narrow" w:hAnsi="Arial Narrow" w:eastAsiaTheme="minorEastAsia"/>
                <w:sz w:val="18"/>
                <w:szCs w:val="18"/>
              </w:rPr>
            </w:pPr>
            <w:r>
              <w:rPr>
                <w:rFonts w:ascii="Arial Narrow" w:hAnsi="Arial Narrow" w:eastAsiaTheme="minorEastAsia"/>
                <w:sz w:val="18"/>
                <w:szCs w:val="18"/>
              </w:rPr>
              <w:t>际华（天津）新能源投资有限公司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0AB6048D">
            <w:pPr>
              <w:jc w:val="right"/>
              <w:rPr>
                <w:rFonts w:ascii="Arial Narrow" w:hAnsi="Arial Narrow" w:eastAsiaTheme="minorEastAsia"/>
                <w:color w:val="000000"/>
                <w:sz w:val="18"/>
                <w:szCs w:val="18"/>
              </w:rPr>
            </w:pPr>
            <w:r>
              <w:rPr>
                <w:rFonts w:ascii="Arial Narrow" w:hAnsi="Arial Narrow" w:eastAsiaTheme="minorEastAsia"/>
                <w:sz w:val="18"/>
                <w:szCs w:val="18"/>
              </w:rPr>
              <w:t>50,390,894.00</w:t>
            </w:r>
          </w:p>
        </w:tc>
        <w:tc>
          <w:tcPr>
            <w:tcW w:w="671" w:type="pct"/>
            <w:tcBorders>
              <w:top w:val="single" w:color="auto" w:sz="4" w:space="0"/>
              <w:left w:val="single" w:color="auto" w:sz="4" w:space="0"/>
              <w:bottom w:val="single" w:color="auto" w:sz="4" w:space="0"/>
              <w:right w:val="single" w:color="auto" w:sz="4" w:space="0"/>
            </w:tcBorders>
            <w:vAlign w:val="center"/>
          </w:tcPr>
          <w:p w14:paraId="03D95657">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43D1F529">
            <w:pPr>
              <w:jc w:val="right"/>
              <w:rPr>
                <w:rFonts w:ascii="Arial Narrow" w:hAnsi="Arial Narrow" w:eastAsiaTheme="minorEastAsia"/>
                <w:sz w:val="18"/>
                <w:szCs w:val="18"/>
              </w:rPr>
            </w:pPr>
            <w:r>
              <w:rPr>
                <w:rFonts w:ascii="Arial Narrow" w:hAnsi="Arial Narrow" w:eastAsiaTheme="minorEastAsia"/>
                <w:color w:val="000000"/>
                <w:sz w:val="18"/>
                <w:szCs w:val="18"/>
              </w:rPr>
              <w:t>50,000,000.00</w:t>
            </w:r>
          </w:p>
        </w:tc>
        <w:tc>
          <w:tcPr>
            <w:tcW w:w="704" w:type="pct"/>
            <w:tcBorders>
              <w:top w:val="single" w:color="auto" w:sz="4" w:space="0"/>
              <w:left w:val="single" w:color="auto" w:sz="4" w:space="0"/>
              <w:bottom w:val="single" w:color="auto" w:sz="4" w:space="0"/>
              <w:right w:val="single" w:color="auto" w:sz="4" w:space="0"/>
            </w:tcBorders>
            <w:vAlign w:val="center"/>
          </w:tcPr>
          <w:p w14:paraId="68B71084">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52018400">
            <w:pPr>
              <w:jc w:val="right"/>
              <w:rPr>
                <w:rFonts w:ascii="Arial Narrow" w:hAnsi="Arial Narrow" w:eastAsiaTheme="minorEastAsia"/>
                <w:color w:val="000000"/>
                <w:sz w:val="18"/>
                <w:szCs w:val="18"/>
              </w:rPr>
            </w:pPr>
            <w:r>
              <w:rPr>
                <w:rFonts w:ascii="Arial Narrow" w:hAnsi="Arial Narrow" w:eastAsiaTheme="minorEastAsia"/>
                <w:color w:val="000000"/>
                <w:sz w:val="18"/>
                <w:szCs w:val="18"/>
              </w:rPr>
              <w:t>100,390,894.00</w:t>
            </w:r>
          </w:p>
        </w:tc>
        <w:tc>
          <w:tcPr>
            <w:tcW w:w="703" w:type="pct"/>
            <w:tcBorders>
              <w:top w:val="single" w:color="auto" w:sz="4" w:space="0"/>
              <w:left w:val="single" w:color="auto" w:sz="4" w:space="0"/>
              <w:bottom w:val="single" w:color="auto" w:sz="4" w:space="0"/>
              <w:right w:val="single" w:color="auto" w:sz="4" w:space="0"/>
            </w:tcBorders>
            <w:vAlign w:val="center"/>
          </w:tcPr>
          <w:p w14:paraId="1F31CAFE">
            <w:pPr>
              <w:jc w:val="right"/>
              <w:rPr>
                <w:rFonts w:ascii="Arial Narrow" w:hAnsi="Arial Narrow" w:eastAsiaTheme="minorEastAsia"/>
                <w:sz w:val="18"/>
                <w:szCs w:val="18"/>
              </w:rPr>
            </w:pPr>
          </w:p>
        </w:tc>
      </w:tr>
      <w:tr w14:paraId="6C82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9A1E541">
            <w:pPr>
              <w:rPr>
                <w:rFonts w:ascii="Arial Narrow" w:hAnsi="Arial Narrow" w:eastAsiaTheme="minorEastAsia"/>
                <w:sz w:val="18"/>
                <w:szCs w:val="18"/>
              </w:rPr>
            </w:pPr>
            <w:r>
              <w:rPr>
                <w:rFonts w:ascii="Arial Narrow" w:hAnsi="Arial Narrow" w:eastAsiaTheme="minorEastAsia"/>
                <w:sz w:val="18"/>
                <w:szCs w:val="18"/>
              </w:rPr>
              <w:t>沈阳际华三五四七特种装具有限公司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22E4B187">
            <w:pPr>
              <w:jc w:val="right"/>
              <w:rPr>
                <w:rFonts w:ascii="Arial Narrow" w:hAnsi="Arial Narrow" w:eastAsiaTheme="minorEastAsia"/>
                <w:sz w:val="18"/>
                <w:szCs w:val="18"/>
              </w:rPr>
            </w:pPr>
            <w:r>
              <w:rPr>
                <w:rFonts w:ascii="Arial Narrow" w:hAnsi="Arial Narrow" w:eastAsiaTheme="minorEastAsia"/>
                <w:color w:val="000000"/>
                <w:sz w:val="18"/>
                <w:szCs w:val="18"/>
              </w:rPr>
              <w:t>111,262,801.45</w:t>
            </w:r>
          </w:p>
        </w:tc>
        <w:tc>
          <w:tcPr>
            <w:tcW w:w="671" w:type="pct"/>
            <w:tcBorders>
              <w:top w:val="single" w:color="auto" w:sz="4" w:space="0"/>
              <w:left w:val="single" w:color="auto" w:sz="4" w:space="0"/>
              <w:bottom w:val="single" w:color="auto" w:sz="4" w:space="0"/>
              <w:right w:val="single" w:color="auto" w:sz="4" w:space="0"/>
            </w:tcBorders>
            <w:vAlign w:val="center"/>
          </w:tcPr>
          <w:p w14:paraId="3A7B4363">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25D50169">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77A3E7D1">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6601327C">
            <w:pPr>
              <w:jc w:val="right"/>
              <w:rPr>
                <w:rFonts w:ascii="Arial Narrow" w:hAnsi="Arial Narrow" w:eastAsiaTheme="minorEastAsia"/>
                <w:sz w:val="18"/>
                <w:szCs w:val="18"/>
              </w:rPr>
            </w:pPr>
            <w:r>
              <w:rPr>
                <w:rFonts w:ascii="Arial Narrow" w:hAnsi="Arial Narrow" w:eastAsiaTheme="minorEastAsia"/>
                <w:color w:val="000000"/>
                <w:sz w:val="18"/>
                <w:szCs w:val="18"/>
              </w:rPr>
              <w:t>111,262,801.45</w:t>
            </w:r>
          </w:p>
        </w:tc>
        <w:tc>
          <w:tcPr>
            <w:tcW w:w="703" w:type="pct"/>
            <w:tcBorders>
              <w:top w:val="single" w:color="auto" w:sz="4" w:space="0"/>
              <w:left w:val="single" w:color="auto" w:sz="4" w:space="0"/>
              <w:bottom w:val="single" w:color="auto" w:sz="4" w:space="0"/>
              <w:right w:val="single" w:color="auto" w:sz="4" w:space="0"/>
            </w:tcBorders>
            <w:vAlign w:val="center"/>
          </w:tcPr>
          <w:p w14:paraId="56FABF19">
            <w:pPr>
              <w:jc w:val="right"/>
              <w:rPr>
                <w:rFonts w:ascii="Arial Narrow" w:hAnsi="Arial Narrow" w:eastAsiaTheme="minorEastAsia"/>
                <w:sz w:val="18"/>
                <w:szCs w:val="18"/>
              </w:rPr>
            </w:pPr>
          </w:p>
        </w:tc>
      </w:tr>
      <w:tr w14:paraId="4272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541A2257">
            <w:pPr>
              <w:rPr>
                <w:rFonts w:ascii="Arial Narrow" w:hAnsi="Arial Narrow" w:eastAsiaTheme="minorEastAsia"/>
                <w:sz w:val="18"/>
                <w:szCs w:val="18"/>
              </w:rPr>
            </w:pPr>
            <w:r>
              <w:rPr>
                <w:rFonts w:ascii="Arial Narrow" w:hAnsi="Arial Narrow" w:eastAsiaTheme="minorEastAsia"/>
                <w:sz w:val="18"/>
                <w:szCs w:val="18"/>
              </w:rPr>
              <w:t>际华海外投资有限公司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09A45786">
            <w:pPr>
              <w:jc w:val="right"/>
              <w:rPr>
                <w:rFonts w:ascii="Arial Narrow" w:hAnsi="Arial Narrow" w:eastAsiaTheme="minorEastAsia"/>
                <w:sz w:val="18"/>
                <w:szCs w:val="18"/>
              </w:rPr>
            </w:pPr>
            <w:r>
              <w:rPr>
                <w:rFonts w:ascii="Arial Narrow" w:hAnsi="Arial Narrow" w:eastAsiaTheme="minorEastAsia"/>
                <w:color w:val="000000"/>
                <w:sz w:val="18"/>
                <w:szCs w:val="18"/>
              </w:rPr>
              <w:t>145,142,012.89</w:t>
            </w:r>
          </w:p>
        </w:tc>
        <w:tc>
          <w:tcPr>
            <w:tcW w:w="671" w:type="pct"/>
            <w:tcBorders>
              <w:top w:val="single" w:color="auto" w:sz="4" w:space="0"/>
              <w:left w:val="single" w:color="auto" w:sz="4" w:space="0"/>
              <w:bottom w:val="single" w:color="auto" w:sz="4" w:space="0"/>
              <w:right w:val="single" w:color="auto" w:sz="4" w:space="0"/>
            </w:tcBorders>
            <w:vAlign w:val="center"/>
          </w:tcPr>
          <w:p w14:paraId="00BE6316">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22EBE756">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4F168564">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2E0826AE">
            <w:pPr>
              <w:jc w:val="right"/>
              <w:rPr>
                <w:rFonts w:ascii="Arial Narrow" w:hAnsi="Arial Narrow" w:eastAsiaTheme="minorEastAsia"/>
                <w:sz w:val="18"/>
                <w:szCs w:val="18"/>
              </w:rPr>
            </w:pPr>
            <w:r>
              <w:rPr>
                <w:rFonts w:ascii="Arial Narrow" w:hAnsi="Arial Narrow" w:eastAsiaTheme="minorEastAsia"/>
                <w:color w:val="000000"/>
                <w:sz w:val="18"/>
                <w:szCs w:val="18"/>
              </w:rPr>
              <w:t>145,142,012.89</w:t>
            </w:r>
          </w:p>
        </w:tc>
        <w:tc>
          <w:tcPr>
            <w:tcW w:w="703" w:type="pct"/>
            <w:tcBorders>
              <w:top w:val="single" w:color="auto" w:sz="4" w:space="0"/>
              <w:left w:val="single" w:color="auto" w:sz="4" w:space="0"/>
              <w:bottom w:val="single" w:color="auto" w:sz="4" w:space="0"/>
              <w:right w:val="single" w:color="auto" w:sz="4" w:space="0"/>
            </w:tcBorders>
            <w:vAlign w:val="center"/>
          </w:tcPr>
          <w:p w14:paraId="09C0BF2D">
            <w:pPr>
              <w:jc w:val="right"/>
              <w:rPr>
                <w:rFonts w:ascii="Arial Narrow" w:hAnsi="Arial Narrow" w:eastAsiaTheme="minorEastAsia"/>
                <w:sz w:val="18"/>
                <w:szCs w:val="18"/>
              </w:rPr>
            </w:pPr>
          </w:p>
        </w:tc>
      </w:tr>
      <w:tr w14:paraId="4CD1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4913C311">
            <w:pPr>
              <w:rPr>
                <w:rFonts w:ascii="Arial Narrow" w:hAnsi="Arial Narrow" w:eastAsiaTheme="minorEastAsia"/>
                <w:sz w:val="18"/>
                <w:szCs w:val="18"/>
              </w:rPr>
            </w:pPr>
            <w:r>
              <w:rPr>
                <w:rFonts w:ascii="Arial Narrow" w:hAnsi="Arial Narrow" w:eastAsiaTheme="minorEastAsia"/>
                <w:sz w:val="18"/>
                <w:szCs w:val="18"/>
              </w:rPr>
              <w:t>重庆际华目的地中心实业有限公司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162F4602">
            <w:pPr>
              <w:jc w:val="right"/>
              <w:rPr>
                <w:rFonts w:ascii="Arial Narrow" w:hAnsi="Arial Narrow" w:eastAsiaTheme="minorEastAsia"/>
                <w:sz w:val="18"/>
                <w:szCs w:val="18"/>
              </w:rPr>
            </w:pPr>
            <w:r>
              <w:rPr>
                <w:rFonts w:ascii="Arial Narrow" w:hAnsi="Arial Narrow" w:eastAsiaTheme="minorEastAsia"/>
                <w:color w:val="000000"/>
                <w:sz w:val="18"/>
                <w:szCs w:val="18"/>
              </w:rPr>
              <w:t>412,000,000.00</w:t>
            </w:r>
          </w:p>
        </w:tc>
        <w:tc>
          <w:tcPr>
            <w:tcW w:w="671" w:type="pct"/>
            <w:tcBorders>
              <w:top w:val="single" w:color="auto" w:sz="4" w:space="0"/>
              <w:left w:val="single" w:color="auto" w:sz="4" w:space="0"/>
              <w:bottom w:val="single" w:color="auto" w:sz="4" w:space="0"/>
              <w:right w:val="single" w:color="auto" w:sz="4" w:space="0"/>
            </w:tcBorders>
            <w:vAlign w:val="center"/>
          </w:tcPr>
          <w:p w14:paraId="2E9D849B">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BF50BE4">
            <w:pPr>
              <w:jc w:val="right"/>
              <w:rPr>
                <w:rFonts w:ascii="Arial Narrow" w:hAnsi="Arial Narrow" w:eastAsiaTheme="minorEastAsia"/>
                <w:color w:val="000000"/>
                <w:sz w:val="18"/>
                <w:szCs w:val="18"/>
              </w:rPr>
            </w:pPr>
            <w:r>
              <w:rPr>
                <w:rFonts w:ascii="Arial Narrow" w:hAnsi="Arial Narrow" w:eastAsiaTheme="minorEastAsia"/>
                <w:color w:val="000000"/>
                <w:sz w:val="18"/>
                <w:szCs w:val="18"/>
              </w:rPr>
              <w:t>315,000,000.00</w:t>
            </w:r>
          </w:p>
        </w:tc>
        <w:tc>
          <w:tcPr>
            <w:tcW w:w="704" w:type="pct"/>
            <w:tcBorders>
              <w:top w:val="single" w:color="auto" w:sz="4" w:space="0"/>
              <w:left w:val="single" w:color="auto" w:sz="4" w:space="0"/>
              <w:bottom w:val="single" w:color="auto" w:sz="4" w:space="0"/>
              <w:right w:val="single" w:color="auto" w:sz="4" w:space="0"/>
            </w:tcBorders>
            <w:vAlign w:val="center"/>
          </w:tcPr>
          <w:p w14:paraId="32D62503">
            <w:pPr>
              <w:jc w:val="right"/>
              <w:rPr>
                <w:rFonts w:ascii="Arial Narrow" w:hAnsi="Arial Narrow" w:eastAsiaTheme="minorEastAsia"/>
                <w:color w:val="000000"/>
                <w:sz w:val="18"/>
                <w:szCs w:val="18"/>
              </w:rPr>
            </w:pPr>
            <w:r>
              <w:rPr>
                <w:rFonts w:ascii="Arial Narrow" w:hAnsi="Arial Narrow" w:eastAsiaTheme="minorEastAsia"/>
                <w:color w:val="000000"/>
                <w:sz w:val="18"/>
                <w:szCs w:val="18"/>
              </w:rPr>
              <w:t>1,885,091.33</w:t>
            </w:r>
          </w:p>
        </w:tc>
        <w:tc>
          <w:tcPr>
            <w:tcW w:w="781" w:type="pct"/>
            <w:tcBorders>
              <w:top w:val="single" w:color="auto" w:sz="4" w:space="0"/>
              <w:left w:val="single" w:color="auto" w:sz="4" w:space="0"/>
              <w:bottom w:val="single" w:color="auto" w:sz="4" w:space="0"/>
              <w:right w:val="single" w:color="auto" w:sz="4" w:space="0"/>
            </w:tcBorders>
            <w:vAlign w:val="center"/>
          </w:tcPr>
          <w:p w14:paraId="5C56AF3E">
            <w:pPr>
              <w:jc w:val="right"/>
              <w:rPr>
                <w:rFonts w:ascii="Arial Narrow" w:hAnsi="Arial Narrow" w:eastAsiaTheme="minorEastAsia"/>
                <w:sz w:val="18"/>
                <w:szCs w:val="18"/>
              </w:rPr>
            </w:pPr>
            <w:r>
              <w:rPr>
                <w:rFonts w:ascii="Arial Narrow" w:hAnsi="Arial Narrow" w:eastAsiaTheme="minorEastAsia"/>
                <w:color w:val="000000"/>
                <w:sz w:val="18"/>
                <w:szCs w:val="18"/>
              </w:rPr>
              <w:t>728,885,091.33</w:t>
            </w:r>
          </w:p>
        </w:tc>
        <w:tc>
          <w:tcPr>
            <w:tcW w:w="703" w:type="pct"/>
            <w:tcBorders>
              <w:top w:val="single" w:color="auto" w:sz="4" w:space="0"/>
              <w:left w:val="single" w:color="auto" w:sz="4" w:space="0"/>
              <w:bottom w:val="single" w:color="auto" w:sz="4" w:space="0"/>
              <w:right w:val="single" w:color="auto" w:sz="4" w:space="0"/>
            </w:tcBorders>
            <w:vAlign w:val="center"/>
          </w:tcPr>
          <w:p w14:paraId="048DBE7C">
            <w:pPr>
              <w:jc w:val="right"/>
              <w:rPr>
                <w:rFonts w:ascii="Arial Narrow" w:hAnsi="Arial Narrow" w:eastAsiaTheme="minorEastAsia"/>
                <w:sz w:val="18"/>
                <w:szCs w:val="18"/>
              </w:rPr>
            </w:pPr>
          </w:p>
        </w:tc>
      </w:tr>
      <w:tr w14:paraId="767F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14FD7982">
            <w:pPr>
              <w:rPr>
                <w:rFonts w:ascii="Arial Narrow" w:hAnsi="Arial Narrow" w:eastAsiaTheme="minorEastAsia"/>
                <w:sz w:val="18"/>
                <w:szCs w:val="18"/>
              </w:rPr>
            </w:pPr>
            <w:r>
              <w:rPr>
                <w:rFonts w:ascii="Arial Narrow" w:hAnsi="Arial Narrow" w:eastAsiaTheme="minorEastAsia"/>
                <w:sz w:val="18"/>
                <w:szCs w:val="18"/>
              </w:rPr>
              <w:t>际华防护科技有限公司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B2B3BAE">
            <w:pPr>
              <w:jc w:val="right"/>
              <w:rPr>
                <w:rFonts w:ascii="Arial Narrow" w:hAnsi="Arial Narrow" w:eastAsiaTheme="minorEastAsia"/>
                <w:sz w:val="18"/>
                <w:szCs w:val="18"/>
              </w:rPr>
            </w:pPr>
            <w:r>
              <w:rPr>
                <w:rFonts w:ascii="Arial Narrow" w:hAnsi="Arial Narrow" w:eastAsiaTheme="minorEastAsia"/>
                <w:color w:val="000000"/>
                <w:sz w:val="18"/>
                <w:szCs w:val="18"/>
              </w:rPr>
              <w:t>18,000,000.00</w:t>
            </w:r>
          </w:p>
        </w:tc>
        <w:tc>
          <w:tcPr>
            <w:tcW w:w="671" w:type="pct"/>
            <w:tcBorders>
              <w:top w:val="single" w:color="auto" w:sz="4" w:space="0"/>
              <w:left w:val="single" w:color="auto" w:sz="4" w:space="0"/>
              <w:bottom w:val="single" w:color="auto" w:sz="4" w:space="0"/>
              <w:right w:val="single" w:color="auto" w:sz="4" w:space="0"/>
            </w:tcBorders>
            <w:vAlign w:val="center"/>
          </w:tcPr>
          <w:p w14:paraId="249D58AE">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435FD637">
            <w:pPr>
              <w:jc w:val="right"/>
              <w:rPr>
                <w:rFonts w:ascii="Arial Narrow" w:hAnsi="Arial Narrow" w:eastAsiaTheme="minorEastAsia"/>
                <w:color w:val="000000"/>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4EA9CF00">
            <w:pPr>
              <w:jc w:val="right"/>
              <w:rPr>
                <w:rFonts w:ascii="Arial Narrow" w:hAnsi="Arial Narrow" w:eastAsiaTheme="minorEastAsia"/>
                <w:color w:val="000000"/>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637716BA">
            <w:pPr>
              <w:jc w:val="right"/>
              <w:rPr>
                <w:rFonts w:ascii="Arial Narrow" w:hAnsi="Arial Narrow" w:eastAsiaTheme="minorEastAsia"/>
                <w:sz w:val="18"/>
                <w:szCs w:val="18"/>
              </w:rPr>
            </w:pPr>
            <w:r>
              <w:rPr>
                <w:rFonts w:ascii="Arial Narrow" w:hAnsi="Arial Narrow" w:eastAsiaTheme="minorEastAsia"/>
                <w:color w:val="000000"/>
                <w:sz w:val="18"/>
                <w:szCs w:val="18"/>
              </w:rPr>
              <w:t>18,000,000.00</w:t>
            </w:r>
          </w:p>
        </w:tc>
        <w:tc>
          <w:tcPr>
            <w:tcW w:w="703" w:type="pct"/>
            <w:tcBorders>
              <w:top w:val="single" w:color="auto" w:sz="4" w:space="0"/>
              <w:left w:val="single" w:color="auto" w:sz="4" w:space="0"/>
              <w:bottom w:val="single" w:color="auto" w:sz="4" w:space="0"/>
              <w:right w:val="single" w:color="auto" w:sz="4" w:space="0"/>
            </w:tcBorders>
            <w:vAlign w:val="center"/>
          </w:tcPr>
          <w:p w14:paraId="6AAFD4B4">
            <w:pPr>
              <w:jc w:val="right"/>
              <w:rPr>
                <w:rFonts w:ascii="Arial Narrow" w:hAnsi="Arial Narrow" w:eastAsiaTheme="minorEastAsia"/>
                <w:sz w:val="18"/>
                <w:szCs w:val="18"/>
              </w:rPr>
            </w:pPr>
          </w:p>
        </w:tc>
      </w:tr>
      <w:tr w14:paraId="30C9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2616CE91">
            <w:pPr>
              <w:rPr>
                <w:rFonts w:ascii="Arial Narrow" w:hAnsi="Arial Narrow" w:eastAsiaTheme="minorEastAsia"/>
                <w:sz w:val="18"/>
                <w:szCs w:val="18"/>
              </w:rPr>
            </w:pPr>
            <w:r>
              <w:rPr>
                <w:rFonts w:ascii="Arial Narrow" w:hAnsi="Arial Narrow" w:eastAsiaTheme="minorEastAsia"/>
                <w:sz w:val="18"/>
                <w:szCs w:val="18"/>
              </w:rPr>
              <w:t>新疆际华科技产业发展有限公司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53FF57EF">
            <w:pPr>
              <w:jc w:val="right"/>
              <w:rPr>
                <w:rFonts w:ascii="Arial Narrow" w:hAnsi="Arial Narrow" w:eastAsiaTheme="minorEastAsia"/>
                <w:sz w:val="18"/>
                <w:szCs w:val="18"/>
              </w:rPr>
            </w:pPr>
            <w:r>
              <w:rPr>
                <w:rFonts w:ascii="Arial Narrow" w:hAnsi="Arial Narrow" w:eastAsiaTheme="minorEastAsia"/>
                <w:color w:val="000000"/>
                <w:sz w:val="18"/>
                <w:szCs w:val="18"/>
              </w:rPr>
              <w:t>5,100,000.00</w:t>
            </w:r>
          </w:p>
        </w:tc>
        <w:tc>
          <w:tcPr>
            <w:tcW w:w="671" w:type="pct"/>
            <w:tcBorders>
              <w:top w:val="single" w:color="auto" w:sz="4" w:space="0"/>
              <w:left w:val="single" w:color="auto" w:sz="4" w:space="0"/>
              <w:bottom w:val="single" w:color="auto" w:sz="4" w:space="0"/>
              <w:right w:val="single" w:color="auto" w:sz="4" w:space="0"/>
            </w:tcBorders>
            <w:vAlign w:val="center"/>
          </w:tcPr>
          <w:p w14:paraId="05DD3BB4">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13480DA2">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4E3FBDE4">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7E64BCF3">
            <w:pPr>
              <w:jc w:val="right"/>
              <w:rPr>
                <w:rFonts w:ascii="Arial Narrow" w:hAnsi="Arial Narrow" w:eastAsiaTheme="minorEastAsia"/>
                <w:sz w:val="18"/>
                <w:szCs w:val="18"/>
              </w:rPr>
            </w:pPr>
            <w:r>
              <w:rPr>
                <w:rFonts w:ascii="Arial Narrow" w:hAnsi="Arial Narrow" w:eastAsiaTheme="minorEastAsia"/>
                <w:color w:val="000000"/>
                <w:sz w:val="18"/>
                <w:szCs w:val="18"/>
              </w:rPr>
              <w:t>5,100,000.00</w:t>
            </w:r>
          </w:p>
        </w:tc>
        <w:tc>
          <w:tcPr>
            <w:tcW w:w="703" w:type="pct"/>
            <w:tcBorders>
              <w:top w:val="single" w:color="auto" w:sz="4" w:space="0"/>
              <w:left w:val="single" w:color="auto" w:sz="4" w:space="0"/>
              <w:bottom w:val="single" w:color="auto" w:sz="4" w:space="0"/>
              <w:right w:val="single" w:color="auto" w:sz="4" w:space="0"/>
            </w:tcBorders>
            <w:vAlign w:val="center"/>
          </w:tcPr>
          <w:p w14:paraId="79B1B068">
            <w:pPr>
              <w:jc w:val="right"/>
              <w:rPr>
                <w:rFonts w:ascii="Arial Narrow" w:hAnsi="Arial Narrow" w:eastAsiaTheme="minorEastAsia"/>
                <w:sz w:val="18"/>
                <w:szCs w:val="18"/>
              </w:rPr>
            </w:pPr>
          </w:p>
        </w:tc>
      </w:tr>
      <w:tr w14:paraId="464A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3E98E11F">
            <w:pPr>
              <w:rPr>
                <w:rFonts w:ascii="Arial Narrow" w:hAnsi="Arial Narrow" w:eastAsiaTheme="minorEastAsia"/>
                <w:sz w:val="18"/>
                <w:szCs w:val="18"/>
              </w:rPr>
            </w:pPr>
            <w:r>
              <w:rPr>
                <w:rFonts w:ascii="Arial Narrow" w:hAnsi="Arial Narrow" w:eastAsiaTheme="minorEastAsia"/>
                <w:sz w:val="18"/>
                <w:szCs w:val="18"/>
              </w:rPr>
              <w:t>际华置业（兰州）有限公司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0A01373C">
            <w:pPr>
              <w:jc w:val="right"/>
              <w:rPr>
                <w:rFonts w:ascii="Arial Narrow" w:hAnsi="Arial Narrow" w:eastAsiaTheme="minorEastAsia"/>
                <w:sz w:val="18"/>
                <w:szCs w:val="18"/>
              </w:rPr>
            </w:pPr>
            <w:r>
              <w:rPr>
                <w:rFonts w:ascii="Arial Narrow" w:hAnsi="Arial Narrow" w:eastAsiaTheme="minorEastAsia"/>
                <w:color w:val="000000"/>
                <w:sz w:val="18"/>
                <w:szCs w:val="18"/>
              </w:rPr>
              <w:t>48,637,625.00</w:t>
            </w:r>
          </w:p>
        </w:tc>
        <w:tc>
          <w:tcPr>
            <w:tcW w:w="671" w:type="pct"/>
            <w:tcBorders>
              <w:top w:val="single" w:color="auto" w:sz="4" w:space="0"/>
              <w:left w:val="single" w:color="auto" w:sz="4" w:space="0"/>
              <w:bottom w:val="single" w:color="auto" w:sz="4" w:space="0"/>
              <w:right w:val="single" w:color="auto" w:sz="4" w:space="0"/>
            </w:tcBorders>
            <w:vAlign w:val="center"/>
          </w:tcPr>
          <w:p w14:paraId="6BB0AB85">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73B10C64">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6A355AED">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1BEE2704">
            <w:pPr>
              <w:jc w:val="right"/>
              <w:rPr>
                <w:rFonts w:ascii="Arial Narrow" w:hAnsi="Arial Narrow" w:eastAsiaTheme="minorEastAsia"/>
                <w:sz w:val="18"/>
                <w:szCs w:val="18"/>
              </w:rPr>
            </w:pPr>
            <w:r>
              <w:rPr>
                <w:rFonts w:ascii="Arial Narrow" w:hAnsi="Arial Narrow" w:eastAsiaTheme="minorEastAsia"/>
                <w:color w:val="000000"/>
                <w:sz w:val="18"/>
                <w:szCs w:val="18"/>
              </w:rPr>
              <w:t>48,637,625.00</w:t>
            </w:r>
          </w:p>
        </w:tc>
        <w:tc>
          <w:tcPr>
            <w:tcW w:w="703" w:type="pct"/>
            <w:tcBorders>
              <w:top w:val="single" w:color="auto" w:sz="4" w:space="0"/>
              <w:left w:val="single" w:color="auto" w:sz="4" w:space="0"/>
              <w:bottom w:val="single" w:color="auto" w:sz="4" w:space="0"/>
              <w:right w:val="single" w:color="auto" w:sz="4" w:space="0"/>
            </w:tcBorders>
            <w:vAlign w:val="center"/>
          </w:tcPr>
          <w:p w14:paraId="1A5B9408">
            <w:pPr>
              <w:jc w:val="right"/>
              <w:rPr>
                <w:rFonts w:ascii="Arial Narrow" w:hAnsi="Arial Narrow" w:eastAsiaTheme="minorEastAsia"/>
                <w:sz w:val="18"/>
                <w:szCs w:val="18"/>
              </w:rPr>
            </w:pPr>
          </w:p>
        </w:tc>
      </w:tr>
      <w:tr w14:paraId="6C42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38E789BE">
            <w:pPr>
              <w:rPr>
                <w:rFonts w:ascii="Arial Narrow" w:hAnsi="Arial Narrow" w:eastAsiaTheme="minorEastAsia"/>
                <w:sz w:val="18"/>
                <w:szCs w:val="18"/>
              </w:rPr>
            </w:pPr>
            <w:r>
              <w:rPr>
                <w:rFonts w:ascii="Arial Narrow" w:hAnsi="Arial Narrow" w:eastAsiaTheme="minorEastAsia"/>
                <w:sz w:val="18"/>
                <w:szCs w:val="18"/>
              </w:rPr>
              <w:t>新疆际华服装科技有限公司</w:t>
            </w:r>
          </w:p>
        </w:tc>
        <w:tc>
          <w:tcPr>
            <w:tcW w:w="671" w:type="pct"/>
            <w:tcBorders>
              <w:top w:val="single" w:color="auto" w:sz="4" w:space="0"/>
              <w:left w:val="single" w:color="auto" w:sz="4" w:space="0"/>
              <w:bottom w:val="single" w:color="auto" w:sz="4" w:space="0"/>
              <w:right w:val="single" w:color="auto" w:sz="4" w:space="0"/>
            </w:tcBorders>
            <w:vAlign w:val="center"/>
          </w:tcPr>
          <w:p w14:paraId="259BFF4A">
            <w:pPr>
              <w:jc w:val="right"/>
              <w:rPr>
                <w:rFonts w:ascii="Arial Narrow" w:hAnsi="Arial Narrow" w:eastAsiaTheme="minorEastAsia"/>
                <w:sz w:val="18"/>
                <w:szCs w:val="18"/>
              </w:rPr>
            </w:pPr>
          </w:p>
        </w:tc>
        <w:tc>
          <w:tcPr>
            <w:tcW w:w="671" w:type="pct"/>
            <w:tcBorders>
              <w:top w:val="single" w:color="auto" w:sz="4" w:space="0"/>
              <w:left w:val="single" w:color="auto" w:sz="4" w:space="0"/>
              <w:bottom w:val="single" w:color="auto" w:sz="4" w:space="0"/>
              <w:right w:val="single" w:color="auto" w:sz="4" w:space="0"/>
            </w:tcBorders>
            <w:vAlign w:val="center"/>
          </w:tcPr>
          <w:p w14:paraId="6C9D7560">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6FACC641">
            <w:pPr>
              <w:jc w:val="right"/>
              <w:rPr>
                <w:rFonts w:ascii="Arial Narrow" w:hAnsi="Arial Narrow" w:eastAsiaTheme="minorEastAsia"/>
                <w:sz w:val="18"/>
                <w:szCs w:val="18"/>
              </w:rPr>
            </w:pPr>
          </w:p>
        </w:tc>
        <w:tc>
          <w:tcPr>
            <w:tcW w:w="704" w:type="pct"/>
            <w:tcBorders>
              <w:top w:val="single" w:color="auto" w:sz="4" w:space="0"/>
              <w:left w:val="single" w:color="auto" w:sz="4" w:space="0"/>
              <w:bottom w:val="single" w:color="auto" w:sz="4" w:space="0"/>
              <w:right w:val="single" w:color="auto" w:sz="4" w:space="0"/>
            </w:tcBorders>
            <w:vAlign w:val="center"/>
          </w:tcPr>
          <w:p w14:paraId="523E987C">
            <w:pPr>
              <w:jc w:val="right"/>
              <w:rPr>
                <w:rFonts w:ascii="Arial Narrow" w:hAnsi="Arial Narrow" w:eastAsiaTheme="minorEastAsia"/>
                <w:sz w:val="18"/>
                <w:szCs w:val="18"/>
              </w:rPr>
            </w:pPr>
            <w:r>
              <w:rPr>
                <w:rFonts w:ascii="Arial Narrow" w:hAnsi="Arial Narrow" w:eastAsiaTheme="minorEastAsia"/>
                <w:color w:val="000000"/>
                <w:sz w:val="18"/>
                <w:szCs w:val="18"/>
              </w:rPr>
              <w:t>5,000,000.00</w:t>
            </w:r>
          </w:p>
        </w:tc>
        <w:tc>
          <w:tcPr>
            <w:tcW w:w="781" w:type="pct"/>
            <w:tcBorders>
              <w:top w:val="single" w:color="auto" w:sz="4" w:space="0"/>
              <w:left w:val="single" w:color="auto" w:sz="4" w:space="0"/>
              <w:bottom w:val="single" w:color="auto" w:sz="4" w:space="0"/>
              <w:right w:val="single" w:color="auto" w:sz="4" w:space="0"/>
            </w:tcBorders>
            <w:vAlign w:val="center"/>
          </w:tcPr>
          <w:p w14:paraId="466CA40A">
            <w:pPr>
              <w:jc w:val="right"/>
              <w:rPr>
                <w:rFonts w:ascii="Arial Narrow" w:hAnsi="Arial Narrow" w:eastAsiaTheme="minorEastAsia"/>
                <w:sz w:val="18"/>
                <w:szCs w:val="18"/>
              </w:rPr>
            </w:pPr>
            <w:r>
              <w:rPr>
                <w:rFonts w:ascii="Arial Narrow" w:hAnsi="Arial Narrow" w:eastAsiaTheme="minorEastAsia"/>
                <w:color w:val="000000"/>
                <w:sz w:val="18"/>
                <w:szCs w:val="18"/>
              </w:rPr>
              <w:t>5,000,000.00</w:t>
            </w:r>
          </w:p>
        </w:tc>
        <w:tc>
          <w:tcPr>
            <w:tcW w:w="703" w:type="pct"/>
            <w:tcBorders>
              <w:top w:val="single" w:color="auto" w:sz="4" w:space="0"/>
              <w:left w:val="single" w:color="auto" w:sz="4" w:space="0"/>
              <w:bottom w:val="single" w:color="auto" w:sz="4" w:space="0"/>
              <w:right w:val="single" w:color="auto" w:sz="4" w:space="0"/>
            </w:tcBorders>
            <w:vAlign w:val="center"/>
          </w:tcPr>
          <w:p w14:paraId="50DDE90D">
            <w:pPr>
              <w:jc w:val="right"/>
              <w:rPr>
                <w:rFonts w:ascii="Arial Narrow" w:hAnsi="Arial Narrow" w:eastAsiaTheme="minorEastAsia"/>
                <w:sz w:val="18"/>
                <w:szCs w:val="18"/>
              </w:rPr>
            </w:pPr>
          </w:p>
        </w:tc>
      </w:tr>
      <w:tr w14:paraId="6F31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4C72EE54">
            <w:pPr>
              <w:rPr>
                <w:rFonts w:ascii="Arial Narrow" w:hAnsi="Arial Narrow" w:eastAsiaTheme="minorEastAsia"/>
                <w:sz w:val="18"/>
                <w:szCs w:val="18"/>
              </w:rPr>
            </w:pPr>
            <w:r>
              <w:rPr>
                <w:rFonts w:ascii="Arial Narrow" w:hAnsi="Arial Narrow" w:eastAsiaTheme="minorEastAsia"/>
                <w:sz w:val="18"/>
                <w:szCs w:val="18"/>
              </w:rPr>
              <w:t>新疆华锦生态纺织印染有限责任公司</w:t>
            </w:r>
          </w:p>
        </w:tc>
        <w:tc>
          <w:tcPr>
            <w:tcW w:w="671" w:type="pct"/>
            <w:tcBorders>
              <w:top w:val="single" w:color="auto" w:sz="4" w:space="0"/>
              <w:left w:val="single" w:color="auto" w:sz="4" w:space="0"/>
              <w:bottom w:val="single" w:color="auto" w:sz="4" w:space="0"/>
              <w:right w:val="single" w:color="auto" w:sz="4" w:space="0"/>
            </w:tcBorders>
            <w:vAlign w:val="center"/>
          </w:tcPr>
          <w:p w14:paraId="702DEB26">
            <w:pPr>
              <w:jc w:val="right"/>
              <w:rPr>
                <w:rFonts w:ascii="Arial Narrow" w:hAnsi="Arial Narrow" w:eastAsiaTheme="minorEastAsia"/>
                <w:sz w:val="18"/>
                <w:szCs w:val="18"/>
              </w:rPr>
            </w:pPr>
          </w:p>
        </w:tc>
        <w:tc>
          <w:tcPr>
            <w:tcW w:w="671" w:type="pct"/>
            <w:tcBorders>
              <w:top w:val="single" w:color="auto" w:sz="4" w:space="0"/>
              <w:left w:val="single" w:color="auto" w:sz="4" w:space="0"/>
              <w:bottom w:val="single" w:color="auto" w:sz="4" w:space="0"/>
              <w:right w:val="single" w:color="auto" w:sz="4" w:space="0"/>
            </w:tcBorders>
            <w:vAlign w:val="center"/>
          </w:tcPr>
          <w:p w14:paraId="2CA2FA75">
            <w:pPr>
              <w:jc w:val="right"/>
              <w:rPr>
                <w:rFonts w:ascii="Arial Narrow" w:hAnsi="Arial Narrow" w:eastAsiaTheme="minorEastAsia"/>
                <w:sz w:val="18"/>
                <w:szCs w:val="18"/>
              </w:rPr>
            </w:pPr>
          </w:p>
        </w:tc>
        <w:tc>
          <w:tcPr>
            <w:tcW w:w="575" w:type="pct"/>
            <w:tcBorders>
              <w:top w:val="single" w:color="auto" w:sz="4" w:space="0"/>
              <w:left w:val="single" w:color="auto" w:sz="4" w:space="0"/>
              <w:bottom w:val="single" w:color="auto" w:sz="4" w:space="0"/>
              <w:right w:val="single" w:color="auto" w:sz="4" w:space="0"/>
            </w:tcBorders>
            <w:vAlign w:val="center"/>
          </w:tcPr>
          <w:p w14:paraId="036F127B">
            <w:pPr>
              <w:jc w:val="right"/>
              <w:rPr>
                <w:rFonts w:ascii="Arial Narrow" w:hAnsi="Arial Narrow" w:eastAsiaTheme="minorEastAsia"/>
                <w:sz w:val="18"/>
                <w:szCs w:val="18"/>
              </w:rPr>
            </w:pPr>
            <w:r>
              <w:rPr>
                <w:rFonts w:ascii="Arial Narrow" w:hAnsi="Arial Narrow" w:eastAsiaTheme="minorEastAsia"/>
                <w:color w:val="000000"/>
                <w:sz w:val="18"/>
                <w:szCs w:val="18"/>
              </w:rPr>
              <w:t>165,000,000.00</w:t>
            </w:r>
          </w:p>
        </w:tc>
        <w:tc>
          <w:tcPr>
            <w:tcW w:w="704" w:type="pct"/>
            <w:tcBorders>
              <w:top w:val="single" w:color="auto" w:sz="4" w:space="0"/>
              <w:left w:val="single" w:color="auto" w:sz="4" w:space="0"/>
              <w:bottom w:val="single" w:color="auto" w:sz="4" w:space="0"/>
              <w:right w:val="single" w:color="auto" w:sz="4" w:space="0"/>
            </w:tcBorders>
            <w:vAlign w:val="center"/>
          </w:tcPr>
          <w:p w14:paraId="5724A018">
            <w:pPr>
              <w:jc w:val="right"/>
              <w:rPr>
                <w:rFonts w:ascii="Arial Narrow" w:hAnsi="Arial Narrow" w:eastAsiaTheme="minorEastAsia"/>
                <w:sz w:val="18"/>
                <w:szCs w:val="18"/>
              </w:rPr>
            </w:pPr>
          </w:p>
        </w:tc>
        <w:tc>
          <w:tcPr>
            <w:tcW w:w="781" w:type="pct"/>
            <w:tcBorders>
              <w:top w:val="single" w:color="auto" w:sz="4" w:space="0"/>
              <w:left w:val="single" w:color="auto" w:sz="4" w:space="0"/>
              <w:bottom w:val="single" w:color="auto" w:sz="4" w:space="0"/>
              <w:right w:val="single" w:color="auto" w:sz="4" w:space="0"/>
            </w:tcBorders>
            <w:vAlign w:val="center"/>
          </w:tcPr>
          <w:p w14:paraId="331EA764">
            <w:pPr>
              <w:jc w:val="right"/>
              <w:rPr>
                <w:rFonts w:ascii="Arial Narrow" w:hAnsi="Arial Narrow" w:eastAsiaTheme="minorEastAsia"/>
                <w:sz w:val="18"/>
                <w:szCs w:val="18"/>
              </w:rPr>
            </w:pPr>
            <w:r>
              <w:rPr>
                <w:rFonts w:ascii="Arial Narrow" w:hAnsi="Arial Narrow" w:eastAsiaTheme="minorEastAsia"/>
                <w:color w:val="000000"/>
                <w:sz w:val="18"/>
                <w:szCs w:val="18"/>
              </w:rPr>
              <w:t>165,000,000.00</w:t>
            </w:r>
          </w:p>
        </w:tc>
        <w:tc>
          <w:tcPr>
            <w:tcW w:w="703" w:type="pct"/>
            <w:tcBorders>
              <w:top w:val="single" w:color="auto" w:sz="4" w:space="0"/>
              <w:left w:val="single" w:color="auto" w:sz="4" w:space="0"/>
              <w:bottom w:val="single" w:color="auto" w:sz="4" w:space="0"/>
              <w:right w:val="single" w:color="auto" w:sz="4" w:space="0"/>
            </w:tcBorders>
            <w:vAlign w:val="center"/>
          </w:tcPr>
          <w:p w14:paraId="3A0865AB">
            <w:pPr>
              <w:jc w:val="right"/>
              <w:rPr>
                <w:rFonts w:ascii="Arial Narrow" w:hAnsi="Arial Narrow" w:eastAsiaTheme="minorEastAsia"/>
                <w:sz w:val="18"/>
                <w:szCs w:val="18"/>
              </w:rPr>
            </w:pPr>
          </w:p>
        </w:tc>
      </w:tr>
      <w:tr w14:paraId="0528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tcBorders>
              <w:top w:val="single" w:color="auto" w:sz="4" w:space="0"/>
              <w:left w:val="single" w:color="auto" w:sz="4" w:space="0"/>
              <w:bottom w:val="single" w:color="auto" w:sz="4" w:space="0"/>
              <w:right w:val="single" w:color="auto" w:sz="4" w:space="0"/>
            </w:tcBorders>
            <w:vAlign w:val="center"/>
          </w:tcPr>
          <w:p w14:paraId="0EC6D712">
            <w:pPr>
              <w:jc w:val="center"/>
              <w:rPr>
                <w:rFonts w:ascii="Arial Narrow" w:hAnsi="Arial Narrow" w:eastAsiaTheme="minorEastAsia"/>
                <w:sz w:val="18"/>
                <w:szCs w:val="18"/>
              </w:rPr>
            </w:pPr>
            <w:r>
              <w:rPr>
                <w:rFonts w:ascii="Arial Narrow" w:hAnsi="Arial Narrow" w:eastAsiaTheme="minorEastAsia"/>
                <w:sz w:val="18"/>
                <w:szCs w:val="18"/>
              </w:rPr>
              <w:t>合计</w:t>
            </w:r>
          </w:p>
        </w:tc>
        <w:tc>
          <w:tcPr>
            <w:tcW w:w="671" w:type="pct"/>
            <w:tcBorders>
              <w:top w:val="single" w:color="auto" w:sz="4" w:space="0"/>
              <w:left w:val="single" w:color="auto" w:sz="4" w:space="0"/>
              <w:bottom w:val="single" w:color="auto" w:sz="4" w:space="0"/>
              <w:right w:val="single" w:color="auto" w:sz="4" w:space="0"/>
            </w:tcBorders>
            <w:vAlign w:val="center"/>
          </w:tcPr>
          <w:p w14:paraId="7D3577B8">
            <w:pPr>
              <w:jc w:val="right"/>
              <w:rPr>
                <w:rFonts w:ascii="Arial Narrow" w:hAnsi="Arial Narrow" w:eastAsiaTheme="minorEastAsia"/>
                <w:sz w:val="18"/>
                <w:szCs w:val="18"/>
              </w:rPr>
            </w:pPr>
            <w:r>
              <w:rPr>
                <w:rFonts w:ascii="Arial Narrow" w:hAnsi="Arial Narrow" w:eastAsiaTheme="minorEastAsia"/>
                <w:color w:val="000000"/>
                <w:sz w:val="18"/>
                <w:szCs w:val="18"/>
              </w:rPr>
              <w:t>6,072,273,953.81</w:t>
            </w:r>
          </w:p>
        </w:tc>
        <w:tc>
          <w:tcPr>
            <w:tcW w:w="671" w:type="pct"/>
            <w:tcBorders>
              <w:top w:val="single" w:color="auto" w:sz="4" w:space="0"/>
              <w:left w:val="single" w:color="auto" w:sz="4" w:space="0"/>
              <w:bottom w:val="single" w:color="auto" w:sz="4" w:space="0"/>
              <w:right w:val="single" w:color="auto" w:sz="4" w:space="0"/>
            </w:tcBorders>
            <w:vAlign w:val="center"/>
          </w:tcPr>
          <w:p w14:paraId="073ED82A">
            <w:pPr>
              <w:jc w:val="right"/>
              <w:rPr>
                <w:rFonts w:ascii="Arial Narrow" w:hAnsi="Arial Narrow" w:eastAsiaTheme="minorEastAsia"/>
                <w:sz w:val="18"/>
                <w:szCs w:val="18"/>
              </w:rPr>
            </w:pPr>
            <w:r>
              <w:rPr>
                <w:rFonts w:ascii="Arial Narrow" w:hAnsi="Arial Narrow" w:eastAsiaTheme="minorEastAsia"/>
                <w:color w:val="000000"/>
                <w:sz w:val="18"/>
                <w:szCs w:val="18"/>
              </w:rPr>
              <w:t>36,907,975.79</w:t>
            </w:r>
          </w:p>
        </w:tc>
        <w:tc>
          <w:tcPr>
            <w:tcW w:w="575" w:type="pct"/>
            <w:tcBorders>
              <w:top w:val="single" w:color="auto" w:sz="4" w:space="0"/>
              <w:left w:val="single" w:color="auto" w:sz="4" w:space="0"/>
              <w:bottom w:val="single" w:color="auto" w:sz="4" w:space="0"/>
              <w:right w:val="single" w:color="auto" w:sz="4" w:space="0"/>
            </w:tcBorders>
            <w:vAlign w:val="center"/>
          </w:tcPr>
          <w:p w14:paraId="10F782BA">
            <w:pPr>
              <w:jc w:val="right"/>
              <w:rPr>
                <w:rFonts w:ascii="Arial Narrow" w:hAnsi="Arial Narrow" w:eastAsiaTheme="minorEastAsia"/>
                <w:color w:val="000000"/>
                <w:sz w:val="18"/>
                <w:szCs w:val="18"/>
              </w:rPr>
            </w:pPr>
            <w:r>
              <w:rPr>
                <w:rFonts w:ascii="Arial Narrow" w:hAnsi="Arial Narrow" w:eastAsiaTheme="minorEastAsia"/>
                <w:color w:val="000000"/>
                <w:sz w:val="18"/>
                <w:szCs w:val="18"/>
              </w:rPr>
              <w:t>532,141,887.74</w:t>
            </w:r>
          </w:p>
        </w:tc>
        <w:tc>
          <w:tcPr>
            <w:tcW w:w="704" w:type="pct"/>
            <w:tcBorders>
              <w:top w:val="single" w:color="auto" w:sz="4" w:space="0"/>
              <w:left w:val="single" w:color="auto" w:sz="4" w:space="0"/>
              <w:bottom w:val="single" w:color="auto" w:sz="4" w:space="0"/>
              <w:right w:val="single" w:color="auto" w:sz="4" w:space="0"/>
            </w:tcBorders>
            <w:vAlign w:val="center"/>
          </w:tcPr>
          <w:p w14:paraId="025EC748">
            <w:pPr>
              <w:jc w:val="right"/>
              <w:rPr>
                <w:rFonts w:ascii="Arial Narrow" w:hAnsi="Arial Narrow" w:eastAsiaTheme="minorEastAsia"/>
                <w:color w:val="000000"/>
                <w:sz w:val="18"/>
                <w:szCs w:val="18"/>
              </w:rPr>
            </w:pPr>
            <w:r>
              <w:rPr>
                <w:rFonts w:ascii="Arial Narrow" w:hAnsi="Arial Narrow" w:eastAsiaTheme="minorEastAsia"/>
                <w:color w:val="000000"/>
                <w:sz w:val="18"/>
                <w:szCs w:val="18"/>
              </w:rPr>
              <w:t>6,885,091.33</w:t>
            </w:r>
          </w:p>
        </w:tc>
        <w:tc>
          <w:tcPr>
            <w:tcW w:w="781" w:type="pct"/>
            <w:tcBorders>
              <w:top w:val="single" w:color="auto" w:sz="4" w:space="0"/>
              <w:left w:val="single" w:color="auto" w:sz="4" w:space="0"/>
              <w:bottom w:val="single" w:color="auto" w:sz="4" w:space="0"/>
              <w:right w:val="single" w:color="auto" w:sz="4" w:space="0"/>
            </w:tcBorders>
            <w:vAlign w:val="center"/>
          </w:tcPr>
          <w:p w14:paraId="090FC0FE">
            <w:pPr>
              <w:jc w:val="right"/>
              <w:rPr>
                <w:rFonts w:ascii="Arial Narrow" w:hAnsi="Arial Narrow" w:eastAsiaTheme="minorEastAsia"/>
                <w:sz w:val="18"/>
                <w:szCs w:val="18"/>
              </w:rPr>
            </w:pPr>
            <w:r>
              <w:rPr>
                <w:rFonts w:ascii="Arial Narrow" w:hAnsi="Arial Narrow" w:eastAsiaTheme="minorEastAsia"/>
                <w:color w:val="000000"/>
                <w:sz w:val="18"/>
                <w:szCs w:val="18"/>
              </w:rPr>
              <w:t>6,611,300,932.88</w:t>
            </w:r>
          </w:p>
        </w:tc>
        <w:tc>
          <w:tcPr>
            <w:tcW w:w="703" w:type="pct"/>
            <w:tcBorders>
              <w:top w:val="single" w:color="auto" w:sz="4" w:space="0"/>
              <w:left w:val="single" w:color="auto" w:sz="4" w:space="0"/>
              <w:bottom w:val="single" w:color="auto" w:sz="4" w:space="0"/>
              <w:right w:val="single" w:color="auto" w:sz="4" w:space="0"/>
            </w:tcBorders>
            <w:vAlign w:val="center"/>
          </w:tcPr>
          <w:p w14:paraId="3C6B8DB8">
            <w:pPr>
              <w:jc w:val="right"/>
              <w:rPr>
                <w:rFonts w:ascii="Arial Narrow" w:hAnsi="Arial Narrow" w:eastAsiaTheme="minorEastAsia"/>
                <w:sz w:val="18"/>
                <w:szCs w:val="18"/>
              </w:rPr>
            </w:pPr>
            <w:r>
              <w:rPr>
                <w:rFonts w:ascii="Arial Narrow" w:hAnsi="Arial Narrow" w:eastAsiaTheme="minorEastAsia"/>
                <w:color w:val="000000"/>
                <w:sz w:val="18"/>
                <w:szCs w:val="18"/>
              </w:rPr>
              <w:t>36,907,975.79</w:t>
            </w:r>
          </w:p>
        </w:tc>
      </w:tr>
    </w:tbl>
    <w:p w14:paraId="319C79CC">
      <w:pPr>
        <w:rPr>
          <w:rFonts w:hint="eastAsia"/>
        </w:rPr>
        <w:sectPr>
          <w:pgSz w:w="16838" w:h="11906" w:orient="landscape"/>
          <w:pgMar w:top="1797" w:right="1525" w:bottom="1276" w:left="1440" w:header="856" w:footer="992" w:gutter="0"/>
          <w:cols w:space="425" w:num="1"/>
          <w:docGrid w:linePitch="312" w:charSpace="0"/>
        </w:sectPr>
      </w:pPr>
    </w:p>
    <w:p w14:paraId="7C321EDE">
      <w:pPr>
        <w:pStyle w:val="71"/>
        <w:numPr>
          <w:ilvl w:val="0"/>
          <w:numId w:val="179"/>
        </w:numPr>
        <w:rPr>
          <w:rFonts w:hint="eastAsia"/>
        </w:rPr>
      </w:pPr>
      <w:r>
        <w:rPr>
          <w:rFonts w:hint="eastAsia"/>
        </w:rPr>
        <w:t>对联营、合营企业投资</w:t>
      </w:r>
    </w:p>
    <w:sdt>
      <w:sdtPr>
        <w:alias w:val="是否适用：母公司对联营、合营企业投资[双击切换]"/>
        <w:tag w:val="_GBC_2e4760cb979247e69579530b3868e897"/>
        <w:id w:val="540491499"/>
        <w:placeholder>
          <w:docPart w:val="GBC22222222222222222222222222222"/>
        </w:placeholder>
      </w:sdtPr>
      <w:sdtContent>
        <w:p w14:paraId="29D728E7">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49024E">
      <w:pPr>
        <w:jc w:val="right"/>
        <w:rPr>
          <w:rFonts w:hint="eastAsia"/>
          <w:szCs w:val="21"/>
        </w:rPr>
      </w:pPr>
      <w:r>
        <w:rPr>
          <w:rFonts w:hint="eastAsia"/>
          <w:szCs w:val="21"/>
        </w:rPr>
        <w:t>单位：</w:t>
      </w:r>
      <w:sdt>
        <w:sdtPr>
          <w:rPr>
            <w:rFonts w:hint="eastAsia"/>
            <w:szCs w:val="21"/>
          </w:rPr>
          <w:alias w:val="单位：母公司财务附注：对联营、合营企业投资"/>
          <w:tag w:val="_GBC_ccad125c53784121bdbf82967e585280"/>
          <w:id w:val="43518318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13923186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1843"/>
        <w:gridCol w:w="1738"/>
        <w:gridCol w:w="2117"/>
      </w:tblGrid>
      <w:tr w14:paraId="4CF0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cddf860d624b41069bef0850b92b7db2"/>
            <w:id w:val="-270316503"/>
          </w:sdtPr>
          <w:sdtEndPr>
            <w:rPr>
              <w:rFonts w:ascii="Arial Narrow" w:hAnsi="Arial Narrow" w:eastAsiaTheme="minorEastAsia"/>
            </w:rPr>
          </w:sdtEndPr>
          <w:sdtContent>
            <w:tc>
              <w:tcPr>
                <w:tcW w:w="1767" w:type="pct"/>
                <w:vMerge w:val="restart"/>
                <w:tcBorders>
                  <w:top w:val="single" w:color="auto" w:sz="4" w:space="0"/>
                  <w:left w:val="single" w:color="auto" w:sz="4" w:space="0"/>
                  <w:right w:val="single" w:color="auto" w:sz="4" w:space="0"/>
                </w:tcBorders>
                <w:shd w:val="clear" w:color="auto" w:fill="auto"/>
                <w:vAlign w:val="center"/>
              </w:tcPr>
              <w:p w14:paraId="7852B192">
                <w:pPr>
                  <w:jc w:val="center"/>
                  <w:rPr>
                    <w:rFonts w:ascii="Arial Narrow" w:hAnsi="Arial Narrow" w:eastAsiaTheme="minorEastAsia"/>
                    <w:szCs w:val="21"/>
                  </w:rPr>
                </w:pPr>
                <w:bookmarkStart w:id="442" w:name="_Hlk155165896"/>
                <w:r>
                  <w:rPr>
                    <w:rFonts w:ascii="Arial Narrow" w:hAnsi="Arial Narrow" w:eastAsiaTheme="minorEastAsia"/>
                    <w:szCs w:val="21"/>
                  </w:rPr>
                  <w:t>投资</w:t>
                </w:r>
              </w:p>
              <w:p w14:paraId="1773233B">
                <w:pPr>
                  <w:jc w:val="center"/>
                  <w:rPr>
                    <w:rFonts w:ascii="Arial Narrow" w:hAnsi="Arial Narrow" w:eastAsiaTheme="minorEastAsia"/>
                    <w:szCs w:val="21"/>
                  </w:rPr>
                </w:pPr>
                <w:r>
                  <w:rPr>
                    <w:rFonts w:ascii="Arial Narrow" w:hAnsi="Arial Narrow" w:eastAsiaTheme="minorEastAsia"/>
                    <w:szCs w:val="21"/>
                  </w:rPr>
                  <w:t>单位</w:t>
                </w:r>
              </w:p>
            </w:tc>
          </w:sdtContent>
        </w:sdt>
        <w:sdt>
          <w:sdtPr>
            <w:rPr>
              <w:rFonts w:ascii="Arial Narrow" w:hAnsi="Arial Narrow" w:eastAsiaTheme="minorEastAsia"/>
            </w:rPr>
            <w:tag w:val="_PLD_1e9893e3e3854470a87271f1c7db6cdb"/>
            <w:id w:val="473108080"/>
          </w:sdtPr>
          <w:sdtEndPr>
            <w:rPr>
              <w:rFonts w:ascii="Arial Narrow" w:hAnsi="Arial Narrow" w:eastAsiaTheme="minorEastAsia"/>
            </w:rPr>
          </w:sdtEndPr>
          <w:sdtContent>
            <w:tc>
              <w:tcPr>
                <w:tcW w:w="1046" w:type="pct"/>
                <w:vMerge w:val="restart"/>
                <w:tcBorders>
                  <w:top w:val="single" w:color="auto" w:sz="4" w:space="0"/>
                  <w:left w:val="single" w:color="auto" w:sz="4" w:space="0"/>
                  <w:right w:val="single" w:color="auto" w:sz="4" w:space="0"/>
                </w:tcBorders>
                <w:shd w:val="clear" w:color="auto" w:fill="auto"/>
                <w:vAlign w:val="center"/>
              </w:tcPr>
              <w:p w14:paraId="371B4535">
                <w:pPr>
                  <w:jc w:val="center"/>
                  <w:rPr>
                    <w:rFonts w:ascii="Arial Narrow" w:hAnsi="Arial Narrow" w:eastAsiaTheme="minorEastAsia"/>
                    <w:szCs w:val="21"/>
                  </w:rPr>
                </w:pPr>
                <w:r>
                  <w:rPr>
                    <w:rFonts w:ascii="Arial Narrow" w:hAnsi="Arial Narrow" w:eastAsiaTheme="minorEastAsia"/>
                    <w:szCs w:val="21"/>
                  </w:rPr>
                  <w:t>期初</w:t>
                </w:r>
              </w:p>
              <w:p w14:paraId="2C3AD3A1">
                <w:pPr>
                  <w:jc w:val="center"/>
                  <w:rPr>
                    <w:rFonts w:ascii="Arial Narrow" w:hAnsi="Arial Narrow" w:eastAsiaTheme="minorEastAsia"/>
                    <w:szCs w:val="21"/>
                  </w:rPr>
                </w:pPr>
                <w:r>
                  <w:rPr>
                    <w:rFonts w:ascii="Arial Narrow" w:hAnsi="Arial Narrow" w:eastAsiaTheme="minorEastAsia"/>
                    <w:szCs w:val="21"/>
                  </w:rPr>
                  <w:t>余额</w:t>
                </w:r>
              </w:p>
            </w:tc>
          </w:sdtContent>
        </w:sdt>
        <w:sdt>
          <w:sdtPr>
            <w:rPr>
              <w:rFonts w:ascii="Arial Narrow" w:hAnsi="Arial Narrow" w:eastAsiaTheme="minorEastAsia"/>
            </w:rPr>
            <w:tag w:val="_PLD_51e202fa7d4541e8b1073ad1aab00e23"/>
            <w:id w:val="667369748"/>
          </w:sdtPr>
          <w:sdtEndPr>
            <w:rPr>
              <w:rFonts w:ascii="Arial Narrow" w:hAnsi="Arial Narrow" w:eastAsiaTheme="minorEastAsia"/>
            </w:rPr>
          </w:sdtEndPr>
          <w:sdtContent>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7D58501">
                <w:pPr>
                  <w:jc w:val="center"/>
                  <w:rPr>
                    <w:rFonts w:ascii="Arial Narrow" w:hAnsi="Arial Narrow" w:eastAsiaTheme="minorEastAsia"/>
                    <w:szCs w:val="21"/>
                  </w:rPr>
                </w:pPr>
                <w:r>
                  <w:rPr>
                    <w:rFonts w:ascii="Arial Narrow" w:hAnsi="Arial Narrow" w:eastAsiaTheme="minorEastAsia"/>
                    <w:szCs w:val="21"/>
                  </w:rPr>
                  <w:t>本期增减变动</w:t>
                </w:r>
              </w:p>
            </w:tc>
          </w:sdtContent>
        </w:sdt>
        <w:sdt>
          <w:sdtPr>
            <w:rPr>
              <w:rFonts w:ascii="Arial Narrow" w:hAnsi="Arial Narrow" w:eastAsiaTheme="minorEastAsia"/>
            </w:rPr>
            <w:tag w:val="_PLD_fb68ab3bfe254cb4ac4728b9c324a1ea"/>
            <w:id w:val="-91939567"/>
          </w:sdtPr>
          <w:sdtEndPr>
            <w:rPr>
              <w:rFonts w:ascii="Arial Narrow" w:hAnsi="Arial Narrow" w:eastAsiaTheme="minorEastAsia"/>
            </w:rPr>
          </w:sdtEndPr>
          <w:sdtContent>
            <w:tc>
              <w:tcPr>
                <w:tcW w:w="1201" w:type="pct"/>
                <w:vMerge w:val="restart"/>
                <w:tcBorders>
                  <w:top w:val="single" w:color="auto" w:sz="4" w:space="0"/>
                  <w:left w:val="single" w:color="auto" w:sz="4" w:space="0"/>
                  <w:right w:val="single" w:color="auto" w:sz="4" w:space="0"/>
                </w:tcBorders>
                <w:shd w:val="clear" w:color="auto" w:fill="auto"/>
                <w:vAlign w:val="center"/>
              </w:tcPr>
              <w:p w14:paraId="055C5614">
                <w:pPr>
                  <w:jc w:val="center"/>
                  <w:rPr>
                    <w:rFonts w:ascii="Arial Narrow" w:hAnsi="Arial Narrow" w:eastAsiaTheme="minorEastAsia"/>
                    <w:szCs w:val="21"/>
                  </w:rPr>
                </w:pPr>
                <w:r>
                  <w:rPr>
                    <w:rFonts w:ascii="Arial Narrow" w:hAnsi="Arial Narrow" w:eastAsiaTheme="minorEastAsia"/>
                    <w:szCs w:val="21"/>
                  </w:rPr>
                  <w:t>期末</w:t>
                </w:r>
              </w:p>
              <w:p w14:paraId="425EE128">
                <w:pPr>
                  <w:jc w:val="center"/>
                  <w:rPr>
                    <w:rFonts w:ascii="Arial Narrow" w:hAnsi="Arial Narrow" w:eastAsiaTheme="minorEastAsia"/>
                    <w:szCs w:val="21"/>
                  </w:rPr>
                </w:pPr>
                <w:r>
                  <w:rPr>
                    <w:rFonts w:ascii="Arial Narrow" w:hAnsi="Arial Narrow" w:eastAsiaTheme="minorEastAsia"/>
                    <w:szCs w:val="21"/>
                  </w:rPr>
                  <w:t>余额</w:t>
                </w:r>
              </w:p>
            </w:tc>
          </w:sdtContent>
        </w:sdt>
      </w:tr>
      <w:tr w14:paraId="448F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pct"/>
            <w:vMerge w:val="continue"/>
            <w:tcBorders>
              <w:left w:val="single" w:color="auto" w:sz="4" w:space="0"/>
              <w:bottom w:val="single" w:color="auto" w:sz="4" w:space="0"/>
              <w:right w:val="single" w:color="auto" w:sz="4" w:space="0"/>
            </w:tcBorders>
            <w:shd w:val="clear" w:color="auto" w:fill="auto"/>
            <w:vAlign w:val="center"/>
          </w:tcPr>
          <w:p w14:paraId="44A7CECC">
            <w:pPr>
              <w:jc w:val="center"/>
              <w:rPr>
                <w:rFonts w:ascii="Arial Narrow" w:hAnsi="Arial Narrow" w:eastAsiaTheme="minorEastAsia"/>
                <w:szCs w:val="21"/>
              </w:rPr>
            </w:pPr>
          </w:p>
        </w:tc>
        <w:tc>
          <w:tcPr>
            <w:tcW w:w="1046" w:type="pct"/>
            <w:vMerge w:val="continue"/>
            <w:tcBorders>
              <w:left w:val="single" w:color="auto" w:sz="4" w:space="0"/>
              <w:bottom w:val="single" w:color="auto" w:sz="4" w:space="0"/>
              <w:right w:val="single" w:color="auto" w:sz="4" w:space="0"/>
            </w:tcBorders>
            <w:shd w:val="clear" w:color="auto" w:fill="auto"/>
            <w:vAlign w:val="center"/>
          </w:tcPr>
          <w:p w14:paraId="74B53522">
            <w:pPr>
              <w:jc w:val="center"/>
              <w:rPr>
                <w:rFonts w:ascii="Arial Narrow" w:hAnsi="Arial Narrow" w:eastAsiaTheme="minorEastAsia"/>
                <w:szCs w:val="21"/>
              </w:rPr>
            </w:pPr>
          </w:p>
        </w:tc>
        <w:sdt>
          <w:sdtPr>
            <w:rPr>
              <w:rFonts w:ascii="Arial Narrow" w:hAnsi="Arial Narrow" w:eastAsiaTheme="minorEastAsia"/>
            </w:rPr>
            <w:tag w:val="_PLD_67e4baac3d05451d940d328c18f19014"/>
            <w:id w:val="-1615972108"/>
          </w:sdtPr>
          <w:sdtEndPr>
            <w:rPr>
              <w:rFonts w:ascii="Arial Narrow" w:hAnsi="Arial Narrow" w:eastAsiaTheme="minorEastAsia"/>
            </w:rPr>
          </w:sdtEndPr>
          <w:sdtContent>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6C44F10">
                <w:pPr>
                  <w:jc w:val="center"/>
                  <w:rPr>
                    <w:rFonts w:ascii="Arial Narrow" w:hAnsi="Arial Narrow" w:eastAsiaTheme="minorEastAsia"/>
                    <w:szCs w:val="21"/>
                  </w:rPr>
                </w:pPr>
                <w:r>
                  <w:rPr>
                    <w:rFonts w:ascii="Arial Narrow" w:hAnsi="Arial Narrow" w:eastAsiaTheme="minorEastAsia"/>
                    <w:szCs w:val="21"/>
                  </w:rPr>
                  <w:t>权益法下确认的投资损益</w:t>
                </w:r>
              </w:p>
            </w:tc>
          </w:sdtContent>
        </w:sdt>
        <w:tc>
          <w:tcPr>
            <w:tcW w:w="1201" w:type="pct"/>
            <w:vMerge w:val="continue"/>
            <w:tcBorders>
              <w:left w:val="single" w:color="auto" w:sz="4" w:space="0"/>
              <w:bottom w:val="single" w:color="auto" w:sz="4" w:space="0"/>
              <w:right w:val="single" w:color="auto" w:sz="4" w:space="0"/>
            </w:tcBorders>
            <w:shd w:val="clear" w:color="auto" w:fill="auto"/>
            <w:vAlign w:val="center"/>
          </w:tcPr>
          <w:p w14:paraId="141A0071">
            <w:pPr>
              <w:jc w:val="center"/>
              <w:rPr>
                <w:rFonts w:ascii="Arial Narrow" w:hAnsi="Arial Narrow" w:eastAsiaTheme="minorEastAsia"/>
                <w:szCs w:val="21"/>
              </w:rPr>
            </w:pPr>
          </w:p>
        </w:tc>
      </w:tr>
      <w:tr w14:paraId="32C0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b5de7a3b12554dad8d8701df843651f7"/>
            <w:id w:val="934475722"/>
          </w:sdtPr>
          <w:sdtEndPr>
            <w:rPr>
              <w:rFonts w:ascii="Arial Narrow" w:hAnsi="Arial Narrow" w:eastAsiaTheme="minorEastAsia"/>
            </w:rPr>
          </w:sdtEnd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68E78E0">
                <w:pPr>
                  <w:jc w:val="both"/>
                  <w:rPr>
                    <w:rFonts w:ascii="Arial Narrow" w:hAnsi="Arial Narrow" w:eastAsiaTheme="minorEastAsia"/>
                    <w:szCs w:val="21"/>
                  </w:rPr>
                </w:pPr>
                <w:r>
                  <w:rPr>
                    <w:rFonts w:ascii="Arial Narrow" w:hAnsi="Arial Narrow" w:eastAsiaTheme="minorEastAsia"/>
                    <w:szCs w:val="21"/>
                  </w:rPr>
                  <w:t>一、合营企业</w:t>
                </w:r>
              </w:p>
            </w:tc>
          </w:sdtContent>
        </w:sdt>
      </w:tr>
      <w:tr w14:paraId="6596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473021cffa734643a0c35649ee4b5043"/>
            <w:id w:val="2134747208"/>
          </w:sdtPr>
          <w:sdtEndPr>
            <w:rPr>
              <w:rFonts w:ascii="Arial Narrow" w:hAnsi="Arial Narrow" w:eastAsiaTheme="minorEastAsia"/>
            </w:rPr>
          </w:sdtEndPr>
          <w:sdtContent>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E1F65F0">
                <w:pPr>
                  <w:jc w:val="both"/>
                  <w:rPr>
                    <w:rFonts w:ascii="Arial Narrow" w:hAnsi="Arial Narrow" w:eastAsiaTheme="minorEastAsia"/>
                    <w:szCs w:val="21"/>
                  </w:rPr>
                </w:pPr>
                <w:r>
                  <w:rPr>
                    <w:rFonts w:ascii="Arial Narrow" w:hAnsi="Arial Narrow" w:eastAsiaTheme="minorEastAsia"/>
                    <w:szCs w:val="21"/>
                  </w:rPr>
                  <w:t>二、联营企业</w:t>
                </w:r>
              </w:p>
            </w:tc>
          </w:sdtContent>
        </w:sdt>
      </w:tr>
      <w:tr w14:paraId="5DAC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pct"/>
            <w:tcBorders>
              <w:top w:val="single" w:color="auto" w:sz="4" w:space="0"/>
              <w:left w:val="single" w:color="auto" w:sz="4" w:space="0"/>
              <w:bottom w:val="single" w:color="auto" w:sz="4" w:space="0"/>
              <w:right w:val="single" w:color="auto" w:sz="4" w:space="0"/>
            </w:tcBorders>
            <w:shd w:val="clear" w:color="auto" w:fill="auto"/>
            <w:vAlign w:val="bottom"/>
          </w:tcPr>
          <w:p w14:paraId="533086F9">
            <w:pPr>
              <w:jc w:val="both"/>
              <w:rPr>
                <w:rFonts w:ascii="Arial Narrow" w:hAnsi="Arial Narrow" w:eastAsiaTheme="minorEastAsia"/>
                <w:szCs w:val="21"/>
              </w:rPr>
            </w:pPr>
            <w:r>
              <w:rPr>
                <w:rFonts w:ascii="Arial Narrow" w:hAnsi="Arial Narrow" w:eastAsiaTheme="minorEastAsia"/>
                <w:color w:val="000000"/>
                <w:szCs w:val="21"/>
              </w:rPr>
              <w:t>新兴际华科技（天津）有限公司</w:t>
            </w:r>
          </w:p>
        </w:tc>
        <w:tc>
          <w:tcPr>
            <w:tcW w:w="1046" w:type="pct"/>
            <w:tcBorders>
              <w:top w:val="single" w:color="auto" w:sz="4" w:space="0"/>
              <w:left w:val="single" w:color="auto" w:sz="4" w:space="0"/>
              <w:bottom w:val="single" w:color="auto" w:sz="4" w:space="0"/>
              <w:right w:val="single" w:color="auto" w:sz="4" w:space="0"/>
            </w:tcBorders>
            <w:shd w:val="clear" w:color="auto" w:fill="auto"/>
            <w:vAlign w:val="center"/>
          </w:tcPr>
          <w:p w14:paraId="07B6E7F6">
            <w:pPr>
              <w:jc w:val="right"/>
              <w:rPr>
                <w:rFonts w:ascii="Arial Narrow" w:hAnsi="Arial Narrow" w:eastAsiaTheme="minorEastAsia"/>
                <w:szCs w:val="21"/>
              </w:rPr>
            </w:pPr>
            <w:r>
              <w:rPr>
                <w:rFonts w:ascii="Arial Narrow" w:hAnsi="Arial Narrow" w:eastAsiaTheme="minorEastAsia"/>
                <w:color w:val="000000"/>
                <w:szCs w:val="21"/>
              </w:rPr>
              <w:t>2,000,000.00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0EED7241">
            <w:pPr>
              <w:jc w:val="right"/>
              <w:rPr>
                <w:rFonts w:ascii="Arial Narrow" w:hAnsi="Arial Narrow" w:eastAsiaTheme="minorEastAsia"/>
                <w:szCs w:val="21"/>
              </w:rPr>
            </w:pPr>
            <w:r>
              <w:rPr>
                <w:rFonts w:ascii="Arial Narrow" w:hAnsi="Arial Narrow" w:eastAsiaTheme="minorEastAsia"/>
                <w:color w:val="000000"/>
                <w:szCs w:val="21"/>
              </w:rPr>
              <w:t>-931,160.74</w:t>
            </w:r>
          </w:p>
        </w:tc>
        <w:tc>
          <w:tcPr>
            <w:tcW w:w="1201" w:type="pct"/>
            <w:tcBorders>
              <w:top w:val="single" w:color="auto" w:sz="4" w:space="0"/>
              <w:left w:val="single" w:color="auto" w:sz="4" w:space="0"/>
              <w:bottom w:val="single" w:color="auto" w:sz="4" w:space="0"/>
              <w:right w:val="single" w:color="auto" w:sz="4" w:space="0"/>
            </w:tcBorders>
            <w:shd w:val="clear" w:color="auto" w:fill="auto"/>
            <w:vAlign w:val="center"/>
          </w:tcPr>
          <w:p w14:paraId="4644EFB2">
            <w:pPr>
              <w:jc w:val="right"/>
              <w:rPr>
                <w:rFonts w:ascii="Arial Narrow" w:hAnsi="Arial Narrow" w:eastAsiaTheme="minorEastAsia"/>
                <w:szCs w:val="21"/>
              </w:rPr>
            </w:pPr>
            <w:r>
              <w:rPr>
                <w:rFonts w:ascii="Arial Narrow" w:hAnsi="Arial Narrow" w:eastAsiaTheme="minorEastAsia"/>
                <w:color w:val="000000"/>
                <w:szCs w:val="21"/>
              </w:rPr>
              <w:t>1,068,839.26</w:t>
            </w:r>
          </w:p>
        </w:tc>
      </w:tr>
      <w:tr w14:paraId="58CC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pct"/>
            <w:tcBorders>
              <w:top w:val="single" w:color="auto" w:sz="4" w:space="0"/>
              <w:left w:val="single" w:color="auto" w:sz="4" w:space="0"/>
              <w:bottom w:val="single" w:color="auto" w:sz="4" w:space="0"/>
              <w:right w:val="single" w:color="auto" w:sz="4" w:space="0"/>
            </w:tcBorders>
            <w:shd w:val="clear" w:color="auto" w:fill="auto"/>
            <w:vAlign w:val="center"/>
          </w:tcPr>
          <w:p w14:paraId="36714CDE">
            <w:pPr>
              <w:jc w:val="both"/>
              <w:rPr>
                <w:rFonts w:ascii="Arial Narrow" w:hAnsi="Arial Narrow" w:eastAsiaTheme="minorEastAsia"/>
                <w:szCs w:val="21"/>
              </w:rPr>
            </w:pPr>
            <w:r>
              <w:rPr>
                <w:rFonts w:ascii="Arial Narrow" w:hAnsi="Arial Narrow" w:eastAsiaTheme="minorEastAsia"/>
                <w:szCs w:val="21"/>
              </w:rPr>
              <w:t>小计</w:t>
            </w:r>
          </w:p>
        </w:tc>
        <w:tc>
          <w:tcPr>
            <w:tcW w:w="1046" w:type="pct"/>
            <w:tcBorders>
              <w:top w:val="single" w:color="auto" w:sz="4" w:space="0"/>
              <w:left w:val="single" w:color="auto" w:sz="4" w:space="0"/>
              <w:bottom w:val="single" w:color="auto" w:sz="4" w:space="0"/>
              <w:right w:val="single" w:color="auto" w:sz="4" w:space="0"/>
            </w:tcBorders>
            <w:shd w:val="clear" w:color="auto" w:fill="auto"/>
            <w:vAlign w:val="center"/>
          </w:tcPr>
          <w:p w14:paraId="339EA2D0">
            <w:pPr>
              <w:jc w:val="right"/>
              <w:rPr>
                <w:rFonts w:ascii="Arial Narrow" w:hAnsi="Arial Narrow" w:eastAsiaTheme="minorEastAsia"/>
                <w:szCs w:val="21"/>
              </w:rPr>
            </w:pPr>
            <w:r>
              <w:rPr>
                <w:rFonts w:ascii="Arial Narrow" w:hAnsi="Arial Narrow" w:eastAsiaTheme="minorEastAsia"/>
                <w:color w:val="000000"/>
                <w:szCs w:val="21"/>
              </w:rPr>
              <w:t>2,000,000.00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67D8C7F2">
            <w:pPr>
              <w:jc w:val="right"/>
              <w:rPr>
                <w:rFonts w:ascii="Arial Narrow" w:hAnsi="Arial Narrow" w:eastAsiaTheme="minorEastAsia"/>
                <w:szCs w:val="21"/>
              </w:rPr>
            </w:pPr>
            <w:r>
              <w:rPr>
                <w:rFonts w:ascii="Arial Narrow" w:hAnsi="Arial Narrow" w:eastAsiaTheme="minorEastAsia"/>
                <w:color w:val="000000"/>
                <w:szCs w:val="21"/>
              </w:rPr>
              <w:t>-931,160.74</w:t>
            </w:r>
          </w:p>
        </w:tc>
        <w:tc>
          <w:tcPr>
            <w:tcW w:w="1201" w:type="pct"/>
            <w:tcBorders>
              <w:top w:val="single" w:color="auto" w:sz="4" w:space="0"/>
              <w:left w:val="single" w:color="auto" w:sz="4" w:space="0"/>
              <w:bottom w:val="single" w:color="auto" w:sz="4" w:space="0"/>
              <w:right w:val="single" w:color="auto" w:sz="4" w:space="0"/>
            </w:tcBorders>
            <w:shd w:val="clear" w:color="auto" w:fill="auto"/>
            <w:vAlign w:val="center"/>
          </w:tcPr>
          <w:p w14:paraId="027B8C93">
            <w:pPr>
              <w:jc w:val="right"/>
              <w:rPr>
                <w:rFonts w:ascii="Arial Narrow" w:hAnsi="Arial Narrow" w:eastAsiaTheme="minorEastAsia"/>
                <w:szCs w:val="21"/>
              </w:rPr>
            </w:pPr>
            <w:r>
              <w:rPr>
                <w:rFonts w:ascii="Arial Narrow" w:hAnsi="Arial Narrow" w:eastAsiaTheme="minorEastAsia"/>
                <w:color w:val="000000"/>
                <w:szCs w:val="21"/>
              </w:rPr>
              <w:t>1,068,839.26</w:t>
            </w:r>
          </w:p>
        </w:tc>
      </w:tr>
      <w:tr w14:paraId="2C85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pct"/>
            <w:tcBorders>
              <w:top w:val="single" w:color="auto" w:sz="4" w:space="0"/>
              <w:left w:val="single" w:color="auto" w:sz="4" w:space="0"/>
              <w:bottom w:val="single" w:color="auto" w:sz="4" w:space="0"/>
              <w:right w:val="single" w:color="auto" w:sz="4" w:space="0"/>
            </w:tcBorders>
            <w:shd w:val="clear" w:color="auto" w:fill="auto"/>
            <w:vAlign w:val="center"/>
          </w:tcPr>
          <w:p w14:paraId="39890126">
            <w:pPr>
              <w:jc w:val="center"/>
              <w:rPr>
                <w:rFonts w:ascii="Arial Narrow" w:hAnsi="Arial Narrow" w:eastAsiaTheme="minorEastAsia"/>
                <w:szCs w:val="21"/>
              </w:rPr>
            </w:pPr>
            <w:r>
              <w:rPr>
                <w:rFonts w:ascii="Arial Narrow" w:hAnsi="Arial Narrow" w:eastAsiaTheme="minorEastAsia"/>
                <w:szCs w:val="21"/>
              </w:rPr>
              <w:t>合计</w:t>
            </w:r>
          </w:p>
        </w:tc>
        <w:tc>
          <w:tcPr>
            <w:tcW w:w="1046" w:type="pct"/>
            <w:tcBorders>
              <w:top w:val="single" w:color="auto" w:sz="4" w:space="0"/>
              <w:left w:val="single" w:color="auto" w:sz="4" w:space="0"/>
              <w:bottom w:val="single" w:color="auto" w:sz="4" w:space="0"/>
              <w:right w:val="single" w:color="auto" w:sz="4" w:space="0"/>
            </w:tcBorders>
            <w:shd w:val="clear" w:color="auto" w:fill="auto"/>
            <w:vAlign w:val="center"/>
          </w:tcPr>
          <w:p w14:paraId="57FDE74B">
            <w:pPr>
              <w:jc w:val="right"/>
              <w:rPr>
                <w:rFonts w:ascii="Arial Narrow" w:hAnsi="Arial Narrow" w:eastAsiaTheme="minorEastAsia"/>
                <w:szCs w:val="21"/>
              </w:rPr>
            </w:pPr>
            <w:r>
              <w:rPr>
                <w:rFonts w:ascii="Arial Narrow" w:hAnsi="Arial Narrow" w:eastAsiaTheme="minorEastAsia"/>
                <w:color w:val="000000"/>
                <w:szCs w:val="21"/>
              </w:rPr>
              <w:t>2,000,000.00</w:t>
            </w:r>
          </w:p>
        </w:tc>
        <w:tc>
          <w:tcPr>
            <w:tcW w:w="986" w:type="pct"/>
            <w:tcBorders>
              <w:top w:val="single" w:color="auto" w:sz="4" w:space="0"/>
              <w:left w:val="single" w:color="auto" w:sz="4" w:space="0"/>
              <w:bottom w:val="single" w:color="auto" w:sz="4" w:space="0"/>
              <w:right w:val="single" w:color="auto" w:sz="4" w:space="0"/>
            </w:tcBorders>
            <w:shd w:val="clear" w:color="auto" w:fill="auto"/>
            <w:vAlign w:val="center"/>
          </w:tcPr>
          <w:p w14:paraId="429F15F1">
            <w:pPr>
              <w:jc w:val="right"/>
              <w:rPr>
                <w:rFonts w:ascii="Arial Narrow" w:hAnsi="Arial Narrow" w:eastAsiaTheme="minorEastAsia"/>
                <w:szCs w:val="21"/>
              </w:rPr>
            </w:pPr>
            <w:r>
              <w:rPr>
                <w:rFonts w:ascii="Arial Narrow" w:hAnsi="Arial Narrow" w:eastAsiaTheme="minorEastAsia"/>
                <w:color w:val="000000"/>
                <w:szCs w:val="21"/>
              </w:rPr>
              <w:t>-931,160.74</w:t>
            </w:r>
          </w:p>
        </w:tc>
        <w:tc>
          <w:tcPr>
            <w:tcW w:w="1201" w:type="pct"/>
            <w:tcBorders>
              <w:top w:val="single" w:color="auto" w:sz="4" w:space="0"/>
              <w:left w:val="single" w:color="auto" w:sz="4" w:space="0"/>
              <w:bottom w:val="single" w:color="auto" w:sz="4" w:space="0"/>
              <w:right w:val="single" w:color="auto" w:sz="4" w:space="0"/>
            </w:tcBorders>
            <w:shd w:val="clear" w:color="auto" w:fill="auto"/>
            <w:vAlign w:val="center"/>
          </w:tcPr>
          <w:p w14:paraId="6C199564">
            <w:pPr>
              <w:jc w:val="right"/>
              <w:rPr>
                <w:rFonts w:ascii="Arial Narrow" w:hAnsi="Arial Narrow" w:eastAsiaTheme="minorEastAsia"/>
                <w:szCs w:val="21"/>
              </w:rPr>
            </w:pPr>
            <w:r>
              <w:rPr>
                <w:rFonts w:ascii="Arial Narrow" w:hAnsi="Arial Narrow" w:eastAsiaTheme="minorEastAsia"/>
                <w:color w:val="000000"/>
                <w:szCs w:val="21"/>
              </w:rPr>
              <w:t>1,068,839.26</w:t>
            </w:r>
          </w:p>
        </w:tc>
      </w:tr>
    </w:tbl>
    <w:p w14:paraId="070A7BEB">
      <w:pPr>
        <w:rPr>
          <w:rFonts w:hint="eastAsia"/>
        </w:rPr>
      </w:pPr>
    </w:p>
    <w:p w14:paraId="4EC1013C">
      <w:pPr>
        <w:pStyle w:val="71"/>
        <w:numPr>
          <w:ilvl w:val="0"/>
          <w:numId w:val="122"/>
        </w:numPr>
        <w:rPr>
          <w:rFonts w:hint="eastAsia"/>
        </w:rPr>
      </w:pPr>
      <w:r>
        <w:rPr>
          <w:rFonts w:hint="eastAsia"/>
        </w:rPr>
        <w:t>长期股权投资的减值测试情况</w:t>
      </w:r>
    </w:p>
    <w:sdt>
      <w:sdtPr>
        <w:alias w:val="是否适用：减值测试情况[双击切换]"/>
        <w:tag w:val="_GBC_99f575f7d43c4e27846e49ee35c9e10f"/>
        <w:id w:val="1186252030"/>
        <w:placeholder>
          <w:docPart w:val="GBC22222222222222222222222222222"/>
        </w:placeholder>
      </w:sdtPr>
      <w:sdtContent>
        <w:p w14:paraId="5D59457E">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442"/>
    <w:p w14:paraId="5076D2A2">
      <w:pPr>
        <w:rPr>
          <w:rFonts w:hint="eastAsia"/>
          <w:szCs w:val="21"/>
        </w:rPr>
      </w:pPr>
    </w:p>
    <w:p w14:paraId="797B82BD">
      <w:pPr>
        <w:rPr>
          <w:rFonts w:hint="eastAsia"/>
          <w:szCs w:val="21"/>
        </w:rPr>
      </w:pPr>
      <w:r>
        <w:rPr>
          <w:rFonts w:hint="eastAsia"/>
          <w:szCs w:val="21"/>
        </w:rPr>
        <w:t>其他说明：</w:t>
      </w:r>
    </w:p>
    <w:sdt>
      <w:sdtPr>
        <w:rPr>
          <w:rFonts w:hint="eastAsia"/>
          <w:szCs w:val="21"/>
        </w:rPr>
        <w:alias w:val="长期股权投资的说明"/>
        <w:tag w:val="_GBC_938f2ac679ca480c83553ff73f8b80b6"/>
        <w:id w:val="-1638565548"/>
        <w:placeholder>
          <w:docPart w:val="GBC22222222222222222222222222222"/>
        </w:placeholder>
      </w:sdtPr>
      <w:sdtEndPr>
        <w:rPr>
          <w:rFonts w:hint="eastAsia"/>
          <w:szCs w:val="21"/>
        </w:rPr>
      </w:sdtEndPr>
      <w:sdtContent>
        <w:p w14:paraId="12539076">
          <w:pPr>
            <w:rPr>
              <w:rFonts w:hint="eastAsia"/>
              <w:szCs w:val="21"/>
            </w:rPr>
          </w:pPr>
          <w:r>
            <w:rPr>
              <w:rFonts w:hint="eastAsia"/>
              <w:szCs w:val="21"/>
            </w:rPr>
            <w:t>无</w:t>
          </w:r>
        </w:p>
      </w:sdtContent>
    </w:sdt>
    <w:p w14:paraId="2AD9C5D3">
      <w:pPr>
        <w:rPr>
          <w:rFonts w:hint="eastAsia"/>
          <w:szCs w:val="21"/>
        </w:rPr>
      </w:pPr>
    </w:p>
    <w:p w14:paraId="7F870A03">
      <w:pPr>
        <w:pStyle w:val="70"/>
        <w:numPr>
          <w:ilvl w:val="0"/>
          <w:numId w:val="174"/>
        </w:numPr>
      </w:pPr>
      <w:r>
        <w:rPr>
          <w:rFonts w:hint="eastAsia" w:ascii="宋体" w:hAnsi="宋体"/>
          <w:szCs w:val="21"/>
        </w:rPr>
        <w:t>营业收入和营业成本</w:t>
      </w:r>
    </w:p>
    <w:p w14:paraId="7A981789">
      <w:pPr>
        <w:pStyle w:val="71"/>
        <w:numPr>
          <w:ilvl w:val="0"/>
          <w:numId w:val="180"/>
        </w:numPr>
        <w:rPr>
          <w:rFonts w:hint="eastAsia"/>
        </w:rPr>
      </w:pPr>
      <w:r>
        <w:rPr>
          <w:rFonts w:hint="eastAsia"/>
        </w:rPr>
        <w:t>营业收入和营业成本情况</w:t>
      </w:r>
    </w:p>
    <w:sdt>
      <w:sdtPr>
        <w:rPr>
          <w:rFonts w:hint="eastAsia" w:ascii="宋体" w:hAnsi="宋体"/>
          <w:bCs/>
          <w:szCs w:val="21"/>
        </w:rPr>
        <w:alias w:val="是否适用：母公司营业收入和营业成本[双击切换]"/>
        <w:tag w:val="_GBC_3cf10265cb614c79a538bd06daf8da74"/>
        <w:id w:val="-574592274"/>
        <w:placeholder>
          <w:docPart w:val="GBC22222222222222222222222222222"/>
        </w:placeholder>
      </w:sdtPr>
      <w:sdtEndPr>
        <w:rPr>
          <w:rFonts w:hint="eastAsia" w:ascii="宋体" w:hAnsi="宋体"/>
          <w:bCs/>
          <w:szCs w:val="21"/>
        </w:rPr>
      </w:sdtEndPr>
      <w:sdtContent>
        <w:p w14:paraId="37CBEC1D">
          <w:pPr>
            <w:pStyle w:val="109"/>
            <w:ind w:firstLine="0" w:firstLineChars="0"/>
            <w:jc w:val="left"/>
            <w:rPr>
              <w:rFonts w:hint="eastAsia" w:ascii="宋体" w:hAnsi="宋体"/>
              <w:bCs/>
              <w:szCs w:val="21"/>
            </w:rPr>
          </w:pPr>
          <w:r>
            <w:rPr>
              <w:rFonts w:ascii="宋体" w:hAnsi="宋体"/>
              <w:bCs/>
              <w:szCs w:val="21"/>
            </w:rPr>
            <w:fldChar w:fldCharType="begin"/>
          </w:r>
          <w:r>
            <w:rPr>
              <w:rFonts w:ascii="宋体" w:hAnsi="宋体"/>
              <w:bCs/>
              <w:szCs w:val="21"/>
            </w:rPr>
            <w:instrText xml:space="preserve"> </w:instrText>
          </w:r>
          <w:r>
            <w:rPr>
              <w:rFonts w:hint="eastAsia" w:ascii="宋体" w:hAnsi="宋体"/>
              <w:bCs/>
              <w:szCs w:val="21"/>
            </w:rPr>
            <w:instrText xml:space="preserve">MACROBUTTON  SnrToggleCheckbox √适用 </w:instrText>
          </w:r>
          <w:r>
            <w:rPr>
              <w:rFonts w:ascii="宋体" w:hAnsi="宋体"/>
              <w:bCs/>
              <w:szCs w:val="21"/>
            </w:rPr>
            <w:instrText xml:space="preserve"> </w:instrText>
          </w:r>
          <w:r>
            <w:rPr>
              <w:rFonts w:ascii="宋体" w:hAnsi="宋体"/>
              <w:bCs/>
              <w:szCs w:val="21"/>
            </w:rPr>
            <w:fldChar w:fldCharType="end"/>
          </w:r>
          <w:r>
            <w:rPr>
              <w:rFonts w:ascii="宋体" w:hAnsi="宋体"/>
              <w:bCs/>
              <w:szCs w:val="21"/>
            </w:rPr>
            <w:fldChar w:fldCharType="begin"/>
          </w:r>
          <w:r>
            <w:rPr>
              <w:rFonts w:ascii="宋体" w:hAnsi="宋体"/>
              <w:bCs/>
              <w:szCs w:val="21"/>
            </w:rPr>
            <w:instrText xml:space="preserve"> MACROBUTTON  SnrToggleCheckbox □不适用 </w:instrText>
          </w:r>
          <w:r>
            <w:rPr>
              <w:rFonts w:ascii="宋体" w:hAnsi="宋体"/>
              <w:bCs/>
              <w:szCs w:val="21"/>
            </w:rPr>
            <w:fldChar w:fldCharType="end"/>
          </w:r>
        </w:p>
      </w:sdtContent>
    </w:sdt>
    <w:p w14:paraId="252DEC6E">
      <w:pPr>
        <w:pStyle w:val="109"/>
        <w:ind w:firstLine="0" w:firstLineChars="0"/>
        <w:jc w:val="right"/>
        <w:rPr>
          <w:rFonts w:hint="eastAsia" w:ascii="宋体" w:hAnsi="宋体"/>
          <w:kern w:val="0"/>
          <w:szCs w:val="21"/>
        </w:rPr>
      </w:pPr>
      <w:r>
        <w:rPr>
          <w:rFonts w:hint="eastAsia" w:ascii="宋体" w:hAnsi="宋体"/>
          <w:bCs/>
          <w:szCs w:val="21"/>
        </w:rPr>
        <w:t>单位：</w:t>
      </w:r>
      <w:sdt>
        <w:sdtPr>
          <w:rPr>
            <w:rFonts w:hint="eastAsia" w:ascii="宋体" w:hAnsi="宋体"/>
            <w:bCs/>
            <w:szCs w:val="21"/>
          </w:rPr>
          <w:alias w:val="单位：母公司财务附注：营业收入"/>
          <w:tag w:val="_GBC_5e6e6011a00b4111b618be40fba11dc1"/>
          <w:id w:val="-19049812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bCs/>
            <w:szCs w:val="21"/>
          </w:rPr>
        </w:sdtEndPr>
        <w:sdtContent>
          <w:r>
            <w:rPr>
              <w:rFonts w:hint="eastAsia" w:ascii="宋体" w:hAnsi="宋体"/>
              <w:bCs/>
              <w:szCs w:val="21"/>
            </w:rPr>
            <w:t>元</w:t>
          </w:r>
        </w:sdtContent>
      </w:sdt>
      <w:r>
        <w:rPr>
          <w:rFonts w:hint="eastAsia" w:ascii="宋体" w:hAnsi="宋体"/>
          <w:bCs/>
          <w:szCs w:val="21"/>
        </w:rPr>
        <w:t xml:space="preserve">  币种：</w:t>
      </w:r>
      <w:sdt>
        <w:sdtPr>
          <w:rPr>
            <w:rFonts w:hint="eastAsia" w:ascii="宋体" w:hAnsi="宋体"/>
            <w:bCs/>
            <w:szCs w:val="21"/>
          </w:rPr>
          <w:alias w:val="币种：母公司财务附注：营业收入"/>
          <w:tag w:val="_GBC_5940d445dfb6426f97376a89f3df08e7"/>
          <w:id w:val="-5139128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bCs/>
            <w:szCs w:val="21"/>
          </w:rPr>
        </w:sdtEndPr>
        <w:sdtContent>
          <w:r>
            <w:rPr>
              <w:rFonts w:hint="eastAsia" w:ascii="宋体" w:hAnsi="宋体"/>
              <w:bCs/>
              <w:szCs w:val="21"/>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1"/>
        <w:gridCol w:w="1623"/>
        <w:gridCol w:w="1623"/>
        <w:gridCol w:w="1477"/>
        <w:gridCol w:w="1329"/>
      </w:tblGrid>
      <w:tr w14:paraId="4569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03d52d676cf8435a8f7a530f92cd7617"/>
            <w:id w:val="-425427182"/>
          </w:sdtPr>
          <w:sdtEndPr>
            <w:rPr>
              <w:rFonts w:ascii="Arial Narrow" w:hAnsi="Arial Narrow" w:eastAsiaTheme="minorEastAsia"/>
            </w:rPr>
          </w:sdtEndPr>
          <w:sdtContent>
            <w:tc>
              <w:tcPr>
                <w:tcW w:w="1570" w:type="pct"/>
                <w:vMerge w:val="restart"/>
                <w:tcBorders>
                  <w:top w:val="single" w:color="auto" w:sz="4" w:space="0"/>
                  <w:left w:val="single" w:color="auto" w:sz="4" w:space="0"/>
                  <w:right w:val="single" w:color="auto" w:sz="4" w:space="0"/>
                </w:tcBorders>
                <w:shd w:val="clear" w:color="auto" w:fill="auto"/>
                <w:vAlign w:val="center"/>
              </w:tcPr>
              <w:p w14:paraId="6DD3EDE8">
                <w:pPr>
                  <w:jc w:val="center"/>
                  <w:rPr>
                    <w:rFonts w:ascii="Arial Narrow" w:hAnsi="Arial Narrow" w:eastAsiaTheme="minorEastAsia"/>
                    <w:szCs w:val="21"/>
                  </w:rPr>
                </w:pPr>
                <w:r>
                  <w:rPr>
                    <w:rFonts w:ascii="Arial Narrow" w:hAnsi="Arial Narrow" w:eastAsiaTheme="minorEastAsia"/>
                    <w:szCs w:val="21"/>
                  </w:rPr>
                  <w:t>项目</w:t>
                </w:r>
              </w:p>
            </w:tc>
          </w:sdtContent>
        </w:sdt>
        <w:sdt>
          <w:sdtPr>
            <w:rPr>
              <w:rFonts w:ascii="Arial Narrow" w:hAnsi="Arial Narrow" w:eastAsiaTheme="minorEastAsia"/>
            </w:rPr>
            <w:tag w:val="_PLD_32b5faadfe0b45d19044be5526af3c2d"/>
            <w:id w:val="515813180"/>
          </w:sdtPr>
          <w:sdtEndPr>
            <w:rPr>
              <w:rFonts w:ascii="Arial Narrow" w:hAnsi="Arial Narrow" w:eastAsiaTheme="minorEastAsia"/>
            </w:rPr>
          </w:sdtEndPr>
          <w:sdtContent>
            <w:tc>
              <w:tcPr>
                <w:tcW w:w="184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5AD517">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rPr>
            <w:tag w:val="_PLD_5e3b95dc7e564cbabd77bf88c8a43781"/>
            <w:id w:val="-356975297"/>
          </w:sdtPr>
          <w:sdtEndPr>
            <w:rPr>
              <w:rFonts w:ascii="Arial Narrow" w:hAnsi="Arial Narrow" w:eastAsiaTheme="minorEastAsia"/>
            </w:rPr>
          </w:sdtEndPr>
          <w:sdtContent>
            <w:tc>
              <w:tcPr>
                <w:tcW w:w="159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ADBE48">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2CF8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Merge w:val="continue"/>
            <w:tcBorders>
              <w:left w:val="single" w:color="auto" w:sz="4" w:space="0"/>
              <w:bottom w:val="single" w:color="auto" w:sz="4" w:space="0"/>
              <w:right w:val="single" w:color="auto" w:sz="4" w:space="0"/>
            </w:tcBorders>
            <w:shd w:val="clear" w:color="auto" w:fill="auto"/>
            <w:vAlign w:val="center"/>
          </w:tcPr>
          <w:p w14:paraId="7D16A212">
            <w:pPr>
              <w:jc w:val="center"/>
              <w:rPr>
                <w:rFonts w:ascii="Arial Narrow" w:hAnsi="Arial Narrow" w:eastAsiaTheme="minorEastAsia"/>
                <w:szCs w:val="21"/>
              </w:rPr>
            </w:pPr>
          </w:p>
        </w:tc>
        <w:sdt>
          <w:sdtPr>
            <w:rPr>
              <w:rFonts w:ascii="Arial Narrow" w:hAnsi="Arial Narrow" w:eastAsiaTheme="minorEastAsia"/>
            </w:rPr>
            <w:tag w:val="_PLD_35d68e9def174e9fb111f9c26dc6e586"/>
            <w:id w:val="-1180656319"/>
          </w:sdtPr>
          <w:sdtEndPr>
            <w:rPr>
              <w:rFonts w:ascii="Arial Narrow" w:hAnsi="Arial Narrow" w:eastAsiaTheme="minorEastAsia"/>
            </w:rPr>
          </w:sdtEndPr>
          <w:sdtContent>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685485B2">
                <w:pPr>
                  <w:jc w:val="center"/>
                  <w:rPr>
                    <w:rFonts w:ascii="Arial Narrow" w:hAnsi="Arial Narrow" w:eastAsiaTheme="minorEastAsia"/>
                    <w:szCs w:val="21"/>
                  </w:rPr>
                </w:pPr>
                <w:r>
                  <w:rPr>
                    <w:rFonts w:ascii="Arial Narrow" w:hAnsi="Arial Narrow" w:eastAsiaTheme="minorEastAsia"/>
                    <w:szCs w:val="21"/>
                  </w:rPr>
                  <w:t>收入</w:t>
                </w:r>
              </w:p>
            </w:tc>
          </w:sdtContent>
        </w:sdt>
        <w:sdt>
          <w:sdtPr>
            <w:rPr>
              <w:rFonts w:ascii="Arial Narrow" w:hAnsi="Arial Narrow" w:eastAsiaTheme="minorEastAsia"/>
            </w:rPr>
            <w:tag w:val="_PLD_bca4c40811a6455bb6f684093a6c0c7d"/>
            <w:id w:val="795336361"/>
          </w:sdtPr>
          <w:sdtEndPr>
            <w:rPr>
              <w:rFonts w:ascii="Arial Narrow" w:hAnsi="Arial Narrow" w:eastAsiaTheme="minorEastAsia"/>
            </w:rPr>
          </w:sdtEndPr>
          <w:sdtContent>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0D99F2EE">
                <w:pPr>
                  <w:jc w:val="center"/>
                  <w:rPr>
                    <w:rFonts w:ascii="Arial Narrow" w:hAnsi="Arial Narrow" w:eastAsiaTheme="minorEastAsia"/>
                    <w:szCs w:val="21"/>
                  </w:rPr>
                </w:pPr>
                <w:r>
                  <w:rPr>
                    <w:rFonts w:ascii="Arial Narrow" w:hAnsi="Arial Narrow" w:eastAsiaTheme="minorEastAsia"/>
                    <w:szCs w:val="21"/>
                  </w:rPr>
                  <w:t>成本</w:t>
                </w:r>
              </w:p>
            </w:tc>
          </w:sdtContent>
        </w:sdt>
        <w:sdt>
          <w:sdtPr>
            <w:rPr>
              <w:rFonts w:ascii="Arial Narrow" w:hAnsi="Arial Narrow" w:eastAsiaTheme="minorEastAsia"/>
            </w:rPr>
            <w:tag w:val="_PLD_913bf231029842ff9aedaf2297b238c1"/>
            <w:id w:val="1597748569"/>
          </w:sdtPr>
          <w:sdtEndPr>
            <w:rPr>
              <w:rFonts w:ascii="Arial Narrow" w:hAnsi="Arial Narrow" w:eastAsiaTheme="minorEastAsia"/>
            </w:rPr>
          </w:sdtEndPr>
          <w:sdtContent>
            <w:tc>
              <w:tcPr>
                <w:tcW w:w="837" w:type="pct"/>
                <w:tcBorders>
                  <w:top w:val="single" w:color="auto" w:sz="4" w:space="0"/>
                  <w:left w:val="single" w:color="auto" w:sz="4" w:space="0"/>
                  <w:bottom w:val="single" w:color="auto" w:sz="4" w:space="0"/>
                  <w:right w:val="single" w:color="auto" w:sz="4" w:space="0"/>
                </w:tcBorders>
                <w:shd w:val="clear" w:color="auto" w:fill="auto"/>
                <w:vAlign w:val="center"/>
              </w:tcPr>
              <w:p w14:paraId="66095233">
                <w:pPr>
                  <w:jc w:val="center"/>
                  <w:rPr>
                    <w:rFonts w:ascii="Arial Narrow" w:hAnsi="Arial Narrow" w:eastAsiaTheme="minorEastAsia"/>
                    <w:szCs w:val="21"/>
                  </w:rPr>
                </w:pPr>
                <w:r>
                  <w:rPr>
                    <w:rFonts w:ascii="Arial Narrow" w:hAnsi="Arial Narrow" w:eastAsiaTheme="minorEastAsia"/>
                    <w:szCs w:val="21"/>
                  </w:rPr>
                  <w:t>收入</w:t>
                </w:r>
              </w:p>
            </w:tc>
          </w:sdtContent>
        </w:sdt>
        <w:sdt>
          <w:sdtPr>
            <w:rPr>
              <w:rFonts w:ascii="Arial Narrow" w:hAnsi="Arial Narrow" w:eastAsiaTheme="minorEastAsia"/>
            </w:rPr>
            <w:tag w:val="_PLD_f626f406150145439510a3b7f1a71e39"/>
            <w:id w:val="-1929656885"/>
          </w:sdtPr>
          <w:sdtEndPr>
            <w:rPr>
              <w:rFonts w:ascii="Arial Narrow" w:hAnsi="Arial Narrow" w:eastAsiaTheme="minorEastAsia"/>
            </w:rPr>
          </w:sdtEndPr>
          <w:sdtContent>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0EA36225">
                <w:pPr>
                  <w:jc w:val="center"/>
                  <w:rPr>
                    <w:rFonts w:ascii="Arial Narrow" w:hAnsi="Arial Narrow" w:eastAsiaTheme="minorEastAsia"/>
                    <w:szCs w:val="21"/>
                  </w:rPr>
                </w:pPr>
                <w:r>
                  <w:rPr>
                    <w:rFonts w:ascii="Arial Narrow" w:hAnsi="Arial Narrow" w:eastAsiaTheme="minorEastAsia"/>
                    <w:szCs w:val="21"/>
                  </w:rPr>
                  <w:t>成本</w:t>
                </w:r>
              </w:p>
            </w:tc>
          </w:sdtContent>
        </w:sdt>
      </w:tr>
      <w:tr w14:paraId="0ABA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shd w:val="clear" w:color="auto" w:fill="auto"/>
          </w:tcPr>
          <w:p w14:paraId="63360F11">
            <w:pPr>
              <w:rPr>
                <w:rFonts w:ascii="Arial Narrow" w:hAnsi="Arial Narrow" w:eastAsiaTheme="minorEastAsia"/>
                <w:szCs w:val="21"/>
              </w:rPr>
            </w:pPr>
            <w:r>
              <w:rPr>
                <w:rFonts w:ascii="Arial Narrow" w:hAnsi="Arial Narrow" w:eastAsiaTheme="minorEastAsia"/>
                <w:szCs w:val="21"/>
              </w:rPr>
              <w:t>主营业务</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2BECDB30">
            <w:pPr>
              <w:jc w:val="right"/>
              <w:rPr>
                <w:rFonts w:ascii="Arial Narrow" w:hAnsi="Arial Narrow" w:eastAsiaTheme="minorEastAsia"/>
                <w:szCs w:val="21"/>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8A19C60">
            <w:pPr>
              <w:jc w:val="right"/>
              <w:rPr>
                <w:rFonts w:ascii="Arial Narrow" w:hAnsi="Arial Narrow" w:eastAsiaTheme="minorEastAsia"/>
                <w:szCs w:val="21"/>
              </w:rPr>
            </w:pPr>
          </w:p>
        </w:tc>
        <w:tc>
          <w:tcPr>
            <w:tcW w:w="837" w:type="pct"/>
            <w:tcBorders>
              <w:top w:val="single" w:color="auto" w:sz="4" w:space="0"/>
              <w:left w:val="single" w:color="auto" w:sz="4" w:space="0"/>
              <w:bottom w:val="single" w:color="auto" w:sz="4" w:space="0"/>
              <w:right w:val="single" w:color="auto" w:sz="4" w:space="0"/>
            </w:tcBorders>
            <w:shd w:val="clear" w:color="auto" w:fill="auto"/>
            <w:vAlign w:val="center"/>
          </w:tcPr>
          <w:p w14:paraId="2AF8E3D8">
            <w:pPr>
              <w:jc w:val="right"/>
              <w:rPr>
                <w:rFonts w:ascii="Arial Narrow" w:hAnsi="Arial Narrow" w:eastAsiaTheme="minorEastAsia"/>
                <w:szCs w:val="21"/>
              </w:rPr>
            </w:pPr>
            <w:r>
              <w:rPr>
                <w:rFonts w:ascii="Arial Narrow" w:hAnsi="Arial Narrow" w:eastAsiaTheme="minorEastAsia"/>
                <w:color w:val="000000"/>
                <w:szCs w:val="21"/>
              </w:rPr>
              <w:t>6,734,686.78</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2949AE8F">
            <w:pPr>
              <w:jc w:val="right"/>
              <w:rPr>
                <w:rFonts w:ascii="Arial Narrow" w:hAnsi="Arial Narrow" w:eastAsiaTheme="minorEastAsia"/>
                <w:szCs w:val="21"/>
              </w:rPr>
            </w:pPr>
            <w:r>
              <w:rPr>
                <w:rFonts w:ascii="Arial Narrow" w:hAnsi="Arial Narrow" w:eastAsiaTheme="minorEastAsia"/>
                <w:color w:val="000000"/>
                <w:szCs w:val="21"/>
              </w:rPr>
              <w:t>6,945,764.07</w:t>
            </w:r>
          </w:p>
        </w:tc>
      </w:tr>
      <w:tr w14:paraId="59F8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shd w:val="clear" w:color="auto" w:fill="auto"/>
          </w:tcPr>
          <w:p w14:paraId="2F4D61FF">
            <w:pPr>
              <w:rPr>
                <w:rFonts w:ascii="Arial Narrow" w:hAnsi="Arial Narrow" w:eastAsiaTheme="minorEastAsia"/>
                <w:szCs w:val="21"/>
              </w:rPr>
            </w:pPr>
            <w:r>
              <w:rPr>
                <w:rFonts w:ascii="Arial Narrow" w:hAnsi="Arial Narrow" w:eastAsiaTheme="minorEastAsia"/>
                <w:szCs w:val="21"/>
              </w:rPr>
              <w:t>其他业务</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46B53E1E">
            <w:pPr>
              <w:jc w:val="right"/>
              <w:rPr>
                <w:rFonts w:ascii="Arial Narrow" w:hAnsi="Arial Narrow" w:eastAsiaTheme="minorEastAsia"/>
                <w:szCs w:val="21"/>
              </w:rPr>
            </w:pPr>
            <w:r>
              <w:rPr>
                <w:rFonts w:ascii="Arial Narrow" w:hAnsi="Arial Narrow" w:eastAsiaTheme="minorEastAsia"/>
                <w:color w:val="000000"/>
                <w:szCs w:val="21"/>
              </w:rPr>
              <w:t>31,936,923.29</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21CCD81">
            <w:pPr>
              <w:jc w:val="right"/>
              <w:rPr>
                <w:rFonts w:ascii="Arial Narrow" w:hAnsi="Arial Narrow" w:eastAsiaTheme="minorEastAsia"/>
                <w:szCs w:val="21"/>
              </w:rPr>
            </w:pPr>
            <w:r>
              <w:rPr>
                <w:rFonts w:ascii="Arial Narrow" w:hAnsi="Arial Narrow" w:eastAsiaTheme="minorEastAsia"/>
                <w:color w:val="000000"/>
                <w:szCs w:val="21"/>
              </w:rPr>
              <w:t>251,023.07</w:t>
            </w:r>
          </w:p>
        </w:tc>
        <w:tc>
          <w:tcPr>
            <w:tcW w:w="837" w:type="pct"/>
            <w:tcBorders>
              <w:top w:val="single" w:color="auto" w:sz="4" w:space="0"/>
              <w:left w:val="single" w:color="auto" w:sz="4" w:space="0"/>
              <w:bottom w:val="single" w:color="auto" w:sz="4" w:space="0"/>
              <w:right w:val="single" w:color="auto" w:sz="4" w:space="0"/>
            </w:tcBorders>
            <w:shd w:val="clear" w:color="auto" w:fill="auto"/>
            <w:vAlign w:val="center"/>
          </w:tcPr>
          <w:p w14:paraId="1604A814">
            <w:pPr>
              <w:jc w:val="right"/>
              <w:rPr>
                <w:rFonts w:ascii="Arial Narrow" w:hAnsi="Arial Narrow" w:eastAsiaTheme="minorEastAsia"/>
                <w:szCs w:val="21"/>
              </w:rPr>
            </w:pPr>
            <w:r>
              <w:rPr>
                <w:rFonts w:ascii="Arial Narrow" w:hAnsi="Arial Narrow" w:eastAsiaTheme="minorEastAsia"/>
                <w:color w:val="000000"/>
                <w:szCs w:val="21"/>
              </w:rPr>
              <w:t>6,390,568.24</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4BB0D56A">
            <w:pPr>
              <w:jc w:val="right"/>
              <w:rPr>
                <w:rFonts w:ascii="Arial Narrow" w:hAnsi="Arial Narrow" w:eastAsiaTheme="minorEastAsia"/>
                <w:szCs w:val="21"/>
              </w:rPr>
            </w:pPr>
            <w:r>
              <w:rPr>
                <w:rFonts w:ascii="Arial Narrow" w:hAnsi="Arial Narrow" w:eastAsiaTheme="minorEastAsia"/>
                <w:color w:val="000000"/>
                <w:szCs w:val="21"/>
              </w:rPr>
              <w:t>625,994.11</w:t>
            </w:r>
          </w:p>
        </w:tc>
      </w:tr>
      <w:tr w14:paraId="47DC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shd w:val="clear" w:color="auto" w:fill="auto"/>
            <w:vAlign w:val="center"/>
          </w:tcPr>
          <w:p w14:paraId="2122B322">
            <w:pPr>
              <w:jc w:val="center"/>
              <w:rPr>
                <w:rFonts w:ascii="Arial Narrow" w:hAnsi="Arial Narrow" w:eastAsiaTheme="minorEastAsia"/>
                <w:szCs w:val="21"/>
              </w:rPr>
            </w:pPr>
            <w:r>
              <w:rPr>
                <w:rFonts w:ascii="Arial Narrow" w:hAnsi="Arial Narrow" w:eastAsiaTheme="minorEastAsia"/>
                <w:szCs w:val="21"/>
              </w:rPr>
              <w:t>合计</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4B3ED97F">
            <w:pPr>
              <w:jc w:val="right"/>
              <w:rPr>
                <w:rFonts w:ascii="Arial Narrow" w:hAnsi="Arial Narrow" w:eastAsiaTheme="minorEastAsia"/>
                <w:szCs w:val="21"/>
              </w:rPr>
            </w:pPr>
            <w:r>
              <w:rPr>
                <w:rFonts w:ascii="Arial Narrow" w:hAnsi="Arial Narrow" w:eastAsiaTheme="minorEastAsia"/>
                <w:color w:val="000000"/>
                <w:szCs w:val="21"/>
              </w:rPr>
              <w:t>31,936,923.29</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452AB52D">
            <w:pPr>
              <w:jc w:val="right"/>
              <w:rPr>
                <w:rFonts w:ascii="Arial Narrow" w:hAnsi="Arial Narrow" w:eastAsiaTheme="minorEastAsia"/>
                <w:szCs w:val="21"/>
              </w:rPr>
            </w:pPr>
            <w:r>
              <w:rPr>
                <w:rFonts w:ascii="Arial Narrow" w:hAnsi="Arial Narrow" w:eastAsiaTheme="minorEastAsia"/>
                <w:color w:val="000000"/>
                <w:szCs w:val="21"/>
              </w:rPr>
              <w:t>251,023.07</w:t>
            </w:r>
          </w:p>
        </w:tc>
        <w:tc>
          <w:tcPr>
            <w:tcW w:w="837" w:type="pct"/>
            <w:tcBorders>
              <w:top w:val="single" w:color="auto" w:sz="4" w:space="0"/>
              <w:left w:val="single" w:color="auto" w:sz="4" w:space="0"/>
              <w:bottom w:val="single" w:color="auto" w:sz="4" w:space="0"/>
              <w:right w:val="single" w:color="auto" w:sz="4" w:space="0"/>
            </w:tcBorders>
            <w:shd w:val="clear" w:color="auto" w:fill="auto"/>
            <w:vAlign w:val="center"/>
          </w:tcPr>
          <w:p w14:paraId="12756999">
            <w:pPr>
              <w:jc w:val="right"/>
              <w:rPr>
                <w:rFonts w:ascii="Arial Narrow" w:hAnsi="Arial Narrow" w:eastAsiaTheme="minorEastAsia"/>
                <w:szCs w:val="21"/>
              </w:rPr>
            </w:pPr>
            <w:r>
              <w:rPr>
                <w:rFonts w:ascii="Arial Narrow" w:hAnsi="Arial Narrow" w:eastAsiaTheme="minorEastAsia"/>
                <w:color w:val="000000"/>
                <w:szCs w:val="21"/>
              </w:rPr>
              <w:t>13,125,255.02</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3D60DBCA">
            <w:pPr>
              <w:jc w:val="right"/>
              <w:rPr>
                <w:rFonts w:ascii="Arial Narrow" w:hAnsi="Arial Narrow" w:eastAsiaTheme="minorEastAsia"/>
                <w:szCs w:val="21"/>
              </w:rPr>
            </w:pPr>
            <w:r>
              <w:rPr>
                <w:rFonts w:ascii="Arial Narrow" w:hAnsi="Arial Narrow" w:eastAsiaTheme="minorEastAsia"/>
                <w:color w:val="000000"/>
                <w:szCs w:val="21"/>
              </w:rPr>
              <w:t>7,571,758.18</w:t>
            </w:r>
          </w:p>
        </w:tc>
      </w:tr>
    </w:tbl>
    <w:p w14:paraId="74FE15F1">
      <w:pPr>
        <w:rPr>
          <w:rFonts w:hint="eastAsia"/>
        </w:rPr>
      </w:pPr>
    </w:p>
    <w:sdt>
      <w:sdtPr>
        <w:rPr>
          <w:rFonts w:hint="eastAsia" w:ascii="宋体" w:hAnsi="宋体" w:eastAsia="宋体" w:cs="宋体"/>
          <w:b w:val="0"/>
          <w:bCs w:val="0"/>
          <w:kern w:val="0"/>
          <w:szCs w:val="24"/>
        </w:rPr>
        <w:alias w:val="模块:母公司营业收入、营业成本的分解信息"/>
        <w:tag w:val="_SEC_37411609543c494ea4ff0d898d351419"/>
        <w:id w:val="102924853"/>
        <w:placeholder>
          <w:docPart w:val="GBC22222222222222222222222222222"/>
        </w:placeholder>
      </w:sdtPr>
      <w:sdtEndPr>
        <w:rPr>
          <w:rFonts w:hint="default" w:ascii="宋体" w:hAnsi="宋体" w:eastAsia="宋体" w:cs="宋体"/>
          <w:b w:val="0"/>
          <w:bCs w:val="0"/>
          <w:color w:val="000000" w:themeColor="text1"/>
          <w:kern w:val="0"/>
          <w:szCs w:val="24"/>
          <w14:textFill>
            <w14:solidFill>
              <w14:schemeClr w14:val="tx1"/>
            </w14:solidFill>
          </w14:textFill>
        </w:rPr>
      </w:sdtEndPr>
      <w:sdtContent>
        <w:p w14:paraId="529CACB2">
          <w:pPr>
            <w:pStyle w:val="71"/>
            <w:numPr>
              <w:ilvl w:val="0"/>
              <w:numId w:val="180"/>
            </w:numPr>
            <w:rPr>
              <w:rFonts w:hint="eastAsia"/>
            </w:rPr>
          </w:pPr>
          <w:bookmarkStart w:id="443" w:name="_Hlk153798384"/>
          <w:bookmarkStart w:id="444" w:name="_Hlk533798810"/>
          <w:r>
            <w:rPr>
              <w:rFonts w:hint="eastAsia"/>
            </w:rPr>
            <w:t xml:space="preserve">营业收入、营业成本的分解信息 </w:t>
          </w:r>
        </w:p>
        <w:sdt>
          <w:sdtPr>
            <w:rPr>
              <w:rFonts w:ascii="宋体" w:hAnsi="宋体"/>
              <w:szCs w:val="21"/>
            </w:rPr>
            <w:alias w:val="是否适用：母公司营业收入、营业成本的分解信息 [双击切换]"/>
            <w:tag w:val="_GBC_ebb0bd28b90c4b2b9a1a99758f2ade01"/>
            <w:id w:val="1478112438"/>
            <w:placeholder>
              <w:docPart w:val="GBC22222222222222222222222222222"/>
            </w:placeholder>
          </w:sdtPr>
          <w:sdtEndPr>
            <w:rPr>
              <w:rFonts w:ascii="宋体" w:hAnsi="宋体"/>
              <w:szCs w:val="21"/>
            </w:rPr>
          </w:sdtEndPr>
          <w:sdtContent>
            <w:p w14:paraId="75D87ACA">
              <w:pPr>
                <w:pStyle w:val="109"/>
                <w:ind w:firstLine="0" w:firstLineChars="0"/>
                <w:jc w:val="left"/>
                <w:rPr>
                  <w:rFonts w:hint="eastAsia" w:ascii="宋体" w:hAnsi="宋体"/>
                  <w:szCs w:val="21"/>
                </w:rPr>
              </w:pPr>
              <w:r>
                <w:rPr>
                  <w:rFonts w:ascii="宋体" w:hAnsi="宋体"/>
                  <w:szCs w:val="21"/>
                </w:rPr>
                <w:fldChar w:fldCharType="begin"/>
              </w:r>
              <w:r>
                <w:rPr>
                  <w:rFonts w:hint="eastAsia"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hint="eastAsia" w:ascii="宋体" w:hAnsi="宋体"/>
                  <w:szCs w:val="21"/>
                </w:rPr>
                <w:instrText xml:space="preserve"> MACROBUTTON  SnrToggleCheckbox √不适用 </w:instrText>
              </w:r>
              <w:r>
                <w:rPr>
                  <w:rFonts w:ascii="宋体" w:hAnsi="宋体"/>
                  <w:szCs w:val="21"/>
                </w:rPr>
                <w:fldChar w:fldCharType="end"/>
              </w:r>
            </w:p>
          </w:sdtContent>
        </w:sdt>
        <w:p w14:paraId="2CC7FDE4">
          <w:pPr>
            <w:pStyle w:val="109"/>
            <w:ind w:firstLine="0" w:firstLineChars="0"/>
            <w:jc w:val="left"/>
          </w:pPr>
        </w:p>
        <w:p w14:paraId="0CEB9125">
          <w:pPr>
            <w:rPr>
              <w:rFonts w:hint="eastAsia"/>
            </w:rPr>
          </w:pPr>
          <w:r>
            <w:rPr>
              <w:rFonts w:hint="eastAsia"/>
            </w:rPr>
            <w:t>其他说明：</w:t>
          </w:r>
        </w:p>
        <w:sdt>
          <w:sdtPr>
            <w:alias w:val="是否适用：母公司营业收入、营业成本的分解信息说明 [双击切换]"/>
            <w:tag w:val="_GBC_579e9b003cbd4b94a5da57be65a206f7"/>
            <w:id w:val="2043022285"/>
            <w:placeholder>
              <w:docPart w:val="GBC22222222222222222222222222222"/>
            </w:placeholder>
          </w:sdtPr>
          <w:sdtContent>
            <w:p w14:paraId="64FD9CEB">
              <w:pPr>
                <w:rPr>
                  <w:rFonts w:hint="eastAsia"/>
                  <w:color w:val="000000" w:themeColor="text1"/>
                  <w14:textFill>
                    <w14:solidFill>
                      <w14:schemeClr w14:val="tx1"/>
                    </w14:solidFill>
                  </w14:textFill>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079D9FB">
          <w:pPr>
            <w:rPr>
              <w:rFonts w:hint="eastAsia"/>
              <w:color w:val="000000" w:themeColor="text1"/>
              <w14:textFill>
                <w14:solidFill>
                  <w14:schemeClr w14:val="tx1"/>
                </w14:solidFill>
              </w14:textFill>
            </w:rPr>
          </w:pPr>
        </w:p>
      </w:sdtContent>
    </w:sdt>
    <w:bookmarkEnd w:id="443"/>
    <w:p w14:paraId="0DAC60A2">
      <w:pPr>
        <w:pStyle w:val="71"/>
        <w:numPr>
          <w:ilvl w:val="0"/>
          <w:numId w:val="180"/>
        </w:numPr>
        <w:rPr>
          <w:rFonts w:hint="eastAsia"/>
        </w:rPr>
      </w:pPr>
      <w:bookmarkStart w:id="445" w:name="_Hlk155961563"/>
      <w:r>
        <w:rPr>
          <w:rFonts w:hint="eastAsia"/>
        </w:rPr>
        <w:t>履约义务的说明</w:t>
      </w:r>
    </w:p>
    <w:sdt>
      <w:sdtPr>
        <w:alias w:val="是否适用：履约义务的说明[双击切换]"/>
        <w:tag w:val="_GBC_0b818a1fe50c41248e0bae7b16db682e"/>
        <w:id w:val="-1770838185"/>
        <w:placeholder>
          <w:docPart w:val="GBC22222222222222222222222222222"/>
        </w:placeholder>
      </w:sdtPr>
      <w:sdtContent>
        <w:p w14:paraId="762D472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3BA4056B">
      <w:pPr>
        <w:rPr>
          <w:rFonts w:hint="eastAsia"/>
        </w:rPr>
      </w:pPr>
    </w:p>
    <w:bookmarkEnd w:id="444"/>
    <w:bookmarkEnd w:id="445"/>
    <w:p w14:paraId="420F7C2F">
      <w:pPr>
        <w:pStyle w:val="71"/>
        <w:numPr>
          <w:ilvl w:val="0"/>
          <w:numId w:val="180"/>
        </w:numPr>
        <w:rPr>
          <w:rFonts w:hint="eastAsia"/>
        </w:rPr>
      </w:pPr>
      <w:bookmarkStart w:id="446" w:name="_Hlk533798958"/>
      <w:r>
        <w:rPr>
          <w:rFonts w:hint="eastAsia"/>
        </w:rPr>
        <w:t>分摊至剩余履约义务的说明</w:t>
      </w:r>
    </w:p>
    <w:sdt>
      <w:sdtPr>
        <w:alias w:val="是否适用：母公司分摊至剩余履约义务的说明[双击切换]"/>
        <w:tag w:val="_GBC_7f0a9adae5ea4624a849a396f1ce90b1"/>
        <w:id w:val="2068215701"/>
        <w:placeholder>
          <w:docPart w:val="GBC22222222222222222222222222222"/>
        </w:placeholder>
      </w:sdtPr>
      <w:sdtContent>
        <w:p w14:paraId="671BE8D2">
          <w:pPr>
            <w:rPr>
              <w:rFonts w:hint="eastAsia"/>
              <w:szCs w:val="21"/>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427747E3">
      <w:pPr>
        <w:rPr>
          <w:rFonts w:hint="eastAsia"/>
          <w:szCs w:val="21"/>
        </w:rPr>
      </w:pPr>
    </w:p>
    <w:p w14:paraId="750D9BBD">
      <w:pPr>
        <w:rPr>
          <w:rFonts w:ascii="Arial" w:hAnsi="Arial"/>
          <w:szCs w:val="21"/>
        </w:rPr>
      </w:pPr>
    </w:p>
    <w:bookmarkEnd w:id="446"/>
    <w:p w14:paraId="261C9E6B">
      <w:pPr>
        <w:pStyle w:val="71"/>
        <w:numPr>
          <w:ilvl w:val="0"/>
          <w:numId w:val="180"/>
        </w:numPr>
        <w:rPr>
          <w:rFonts w:hint="eastAsia"/>
        </w:rPr>
      </w:pPr>
      <w:bookmarkStart w:id="447" w:name="_Hlk153798573"/>
      <w:r>
        <w:rPr>
          <w:rFonts w:hint="eastAsia"/>
        </w:rPr>
        <w:t>重大合同变更或重大交易价格调整</w:t>
      </w:r>
    </w:p>
    <w:sdt>
      <w:sdtPr>
        <w:alias w:val="是否适用：母公司重大合同变更或重大交易价格调整[双击切换]"/>
        <w:tag w:val="_GBC_df0026b6a6ff4f0a99c85462586d2446"/>
        <w:id w:val="-128551447"/>
        <w:placeholder>
          <w:docPart w:val="GBC22222222222222222222222222222"/>
        </w:placeholder>
      </w:sdtPr>
      <w:sdtContent>
        <w:p w14:paraId="23653A76">
          <w:pPr>
            <w:rPr>
              <w:rFonts w:hint="eastAsia"/>
            </w:rPr>
          </w:pPr>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76335706">
      <w:pPr>
        <w:rPr>
          <w:rFonts w:ascii="Arial" w:hAnsi="Arial"/>
          <w:szCs w:val="21"/>
        </w:rPr>
      </w:pPr>
    </w:p>
    <w:bookmarkEnd w:id="447"/>
    <w:p w14:paraId="7D807FF4">
      <w:pPr>
        <w:spacing w:before="60" w:after="60"/>
        <w:rPr>
          <w:rFonts w:hint="eastAsia"/>
          <w:szCs w:val="21"/>
        </w:rPr>
      </w:pPr>
      <w:bookmarkStart w:id="448" w:name="_Hlk533798751"/>
      <w:r>
        <w:rPr>
          <w:rFonts w:hint="eastAsia"/>
          <w:szCs w:val="21"/>
        </w:rPr>
        <w:t>其他说明：</w:t>
      </w:r>
    </w:p>
    <w:p w14:paraId="45B9B198">
      <w:pPr>
        <w:rPr>
          <w:rFonts w:hint="eastAsia"/>
          <w:szCs w:val="21"/>
        </w:rPr>
      </w:pPr>
      <w:sdt>
        <w:sdtPr>
          <w:rPr>
            <w:szCs w:val="21"/>
          </w:rPr>
          <w:alias w:val="主营业务说明"/>
          <w:tag w:val="_GBC_fd583c7468404a3e83de872adae134a2"/>
          <w:id w:val="-651988085"/>
          <w:placeholder>
            <w:docPart w:val="GBC22222222222222222222222222222"/>
          </w:placeholder>
        </w:sdtPr>
        <w:sdtEndPr>
          <w:rPr>
            <w:szCs w:val="21"/>
          </w:rPr>
        </w:sdtEndPr>
        <w:sdtContent>
          <w:r>
            <w:rPr>
              <w:rFonts w:hint="eastAsia"/>
              <w:szCs w:val="21"/>
            </w:rPr>
            <w:t>无</w:t>
          </w:r>
        </w:sdtContent>
      </w:sdt>
    </w:p>
    <w:p w14:paraId="7FDEFB17">
      <w:pPr>
        <w:rPr>
          <w:rFonts w:hint="eastAsia"/>
          <w:szCs w:val="21"/>
        </w:rPr>
      </w:pPr>
    </w:p>
    <w:bookmarkEnd w:id="448"/>
    <w:p w14:paraId="2853B09F">
      <w:pPr>
        <w:pStyle w:val="70"/>
        <w:numPr>
          <w:ilvl w:val="0"/>
          <w:numId w:val="174"/>
        </w:numPr>
      </w:pPr>
      <w:bookmarkStart w:id="449" w:name="OLE_LINK6"/>
      <w:bookmarkStart w:id="450" w:name="_Hlk10548739"/>
      <w:bookmarkStart w:id="451" w:name="_Hlk24031063"/>
      <w:r>
        <w:rPr>
          <w:rFonts w:hint="eastAsia" w:ascii="宋体" w:hAnsi="宋体"/>
          <w:szCs w:val="21"/>
        </w:rPr>
        <w:t>投资收益</w:t>
      </w:r>
      <w:bookmarkEnd w:id="449"/>
    </w:p>
    <w:sdt>
      <w:sdtPr>
        <w:alias w:val="是否适用：母公司投资收益[双击切换]"/>
        <w:tag w:val="_GBC_c2bb46ec06e343088b38ac6340f45fb2"/>
        <w:id w:val="-305630469"/>
        <w:placeholder>
          <w:docPart w:val="GBC22222222222222222222222222222"/>
        </w:placeholder>
      </w:sdtPr>
      <w:sdtContent>
        <w:p w14:paraId="2DAB82A1">
          <w:pPr>
            <w:rPr>
              <w:rFonts w:hint="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BF1D2D">
      <w:pPr>
        <w:jc w:val="right"/>
        <w:rPr>
          <w:rFonts w:hint="eastAsia"/>
          <w:color w:val="FF0000"/>
        </w:rPr>
      </w:pPr>
      <w:r>
        <w:t>单位</w:t>
      </w:r>
      <w:r>
        <w:rPr>
          <w:rFonts w:hint="eastAsia"/>
        </w:rPr>
        <w:t>：</w:t>
      </w:r>
      <w:sdt>
        <w:sdtPr>
          <w:rPr>
            <w:rFonts w:hint="eastAsia"/>
          </w:rPr>
          <w:alias w:val="单位：财务附注：会计报表中的投资收益项目增加"/>
          <w:tag w:val="_GBC_12c9db09bbc645b69cfb011197b5e700"/>
          <w:id w:val="181644948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4090bf40cd1647838a8c5908dbc544c5"/>
          <w:id w:val="-15341784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1842"/>
        <w:gridCol w:w="1883"/>
      </w:tblGrid>
      <w:tr w14:paraId="15D7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Arial Narrow" w:hAnsi="Arial Narrow" w:eastAsiaTheme="minorEastAsia"/>
            </w:rPr>
            <w:tag w:val="_PLD_507ed5c985ab48c59a18c2d57dd68c9c"/>
            <w:id w:val="918830631"/>
          </w:sdtPr>
          <w:sdtEndPr>
            <w:rPr>
              <w:rFonts w:ascii="Arial Narrow" w:hAnsi="Arial Narrow" w:eastAsiaTheme="minorEastAsia"/>
            </w:rPr>
          </w:sdtEndPr>
          <w:sdtContent>
            <w:tc>
              <w:tcPr>
                <w:tcW w:w="2889" w:type="pct"/>
                <w:vAlign w:val="center"/>
              </w:tcPr>
              <w:p w14:paraId="69CF1426">
                <w:pPr>
                  <w:ind w:left="420" w:hanging="420"/>
                  <w:jc w:val="center"/>
                  <w:rPr>
                    <w:rFonts w:ascii="Arial Narrow" w:hAnsi="Arial Narrow" w:eastAsiaTheme="minorEastAsia"/>
                    <w:szCs w:val="21"/>
                  </w:rPr>
                </w:pPr>
                <w:bookmarkStart w:id="452" w:name="_Hlk24031106"/>
                <w:r>
                  <w:rPr>
                    <w:rFonts w:ascii="Arial Narrow" w:hAnsi="Arial Narrow" w:eastAsiaTheme="minorEastAsia"/>
                    <w:szCs w:val="21"/>
                  </w:rPr>
                  <w:t>项目</w:t>
                </w:r>
              </w:p>
            </w:tc>
          </w:sdtContent>
        </w:sdt>
        <w:sdt>
          <w:sdtPr>
            <w:rPr>
              <w:rFonts w:ascii="Arial Narrow" w:hAnsi="Arial Narrow" w:eastAsiaTheme="minorEastAsia"/>
            </w:rPr>
            <w:tag w:val="_PLD_47187d04b5814de2ac4d8e7ab7f3dcf5"/>
            <w:id w:val="-1130779650"/>
          </w:sdtPr>
          <w:sdtEndPr>
            <w:rPr>
              <w:rFonts w:ascii="Arial Narrow" w:hAnsi="Arial Narrow" w:eastAsiaTheme="minorEastAsia"/>
            </w:rPr>
          </w:sdtEndPr>
          <w:sdtContent>
            <w:tc>
              <w:tcPr>
                <w:tcW w:w="1044" w:type="pct"/>
                <w:vAlign w:val="center"/>
              </w:tcPr>
              <w:p w14:paraId="4844D69D">
                <w:pPr>
                  <w:jc w:val="center"/>
                  <w:rPr>
                    <w:rFonts w:ascii="Arial Narrow" w:hAnsi="Arial Narrow" w:eastAsiaTheme="minorEastAsia"/>
                    <w:szCs w:val="21"/>
                  </w:rPr>
                </w:pPr>
                <w:r>
                  <w:rPr>
                    <w:rFonts w:ascii="Arial Narrow" w:hAnsi="Arial Narrow" w:eastAsiaTheme="minorEastAsia"/>
                    <w:szCs w:val="21"/>
                  </w:rPr>
                  <w:t>本期发生额</w:t>
                </w:r>
              </w:p>
            </w:tc>
          </w:sdtContent>
        </w:sdt>
        <w:sdt>
          <w:sdtPr>
            <w:rPr>
              <w:rFonts w:ascii="Arial Narrow" w:hAnsi="Arial Narrow" w:eastAsiaTheme="minorEastAsia"/>
            </w:rPr>
            <w:tag w:val="_PLD_9b38c11702ff453c93beb78507ab4be2"/>
            <w:id w:val="-2055691050"/>
          </w:sdtPr>
          <w:sdtEndPr>
            <w:rPr>
              <w:rFonts w:ascii="Arial Narrow" w:hAnsi="Arial Narrow" w:eastAsiaTheme="minorEastAsia"/>
            </w:rPr>
          </w:sdtEndPr>
          <w:sdtContent>
            <w:tc>
              <w:tcPr>
                <w:tcW w:w="1067" w:type="pct"/>
                <w:vAlign w:val="center"/>
              </w:tcPr>
              <w:p w14:paraId="13EA1297">
                <w:pPr>
                  <w:jc w:val="center"/>
                  <w:rPr>
                    <w:rFonts w:ascii="Arial Narrow" w:hAnsi="Arial Narrow" w:eastAsiaTheme="minorEastAsia"/>
                    <w:szCs w:val="21"/>
                  </w:rPr>
                </w:pPr>
                <w:r>
                  <w:rPr>
                    <w:rFonts w:ascii="Arial Narrow" w:hAnsi="Arial Narrow" w:eastAsiaTheme="minorEastAsia"/>
                    <w:szCs w:val="21"/>
                  </w:rPr>
                  <w:t>上期发生额</w:t>
                </w:r>
              </w:p>
            </w:tc>
          </w:sdtContent>
        </w:sdt>
      </w:tr>
      <w:tr w14:paraId="3684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157654AF">
            <w:pPr>
              <w:rPr>
                <w:rFonts w:ascii="Arial Narrow" w:hAnsi="Arial Narrow" w:eastAsiaTheme="minorEastAsia"/>
              </w:rPr>
            </w:pPr>
            <w:r>
              <w:rPr>
                <w:rFonts w:ascii="Arial Narrow" w:hAnsi="Arial Narrow" w:eastAsiaTheme="minorEastAsia"/>
              </w:rPr>
              <w:t>成本法核算的长期股权投资收益</w:t>
            </w:r>
          </w:p>
        </w:tc>
        <w:tc>
          <w:tcPr>
            <w:tcW w:w="1044" w:type="pct"/>
            <w:vAlign w:val="center"/>
          </w:tcPr>
          <w:p w14:paraId="779B74B8">
            <w:pPr>
              <w:jc w:val="right"/>
              <w:rPr>
                <w:rFonts w:ascii="Arial Narrow" w:hAnsi="Arial Narrow" w:eastAsiaTheme="minorEastAsia"/>
                <w:szCs w:val="21"/>
              </w:rPr>
            </w:pPr>
            <w:r>
              <w:rPr>
                <w:rFonts w:ascii="Arial Narrow" w:hAnsi="Arial Narrow" w:eastAsiaTheme="minorEastAsia"/>
                <w:color w:val="000000"/>
                <w:szCs w:val="21"/>
              </w:rPr>
              <w:t>89,743,120.02</w:t>
            </w:r>
          </w:p>
        </w:tc>
        <w:tc>
          <w:tcPr>
            <w:tcW w:w="1067" w:type="pct"/>
            <w:vAlign w:val="center"/>
          </w:tcPr>
          <w:p w14:paraId="21D9AB0F">
            <w:pPr>
              <w:jc w:val="right"/>
              <w:rPr>
                <w:rFonts w:ascii="Arial Narrow" w:hAnsi="Arial Narrow" w:eastAsiaTheme="minorEastAsia"/>
                <w:szCs w:val="21"/>
              </w:rPr>
            </w:pPr>
            <w:r>
              <w:rPr>
                <w:rFonts w:ascii="Arial Narrow" w:hAnsi="Arial Narrow" w:eastAsiaTheme="minorEastAsia"/>
                <w:color w:val="000000"/>
                <w:szCs w:val="21"/>
              </w:rPr>
              <w:t>82,481,832.30</w:t>
            </w:r>
          </w:p>
        </w:tc>
      </w:tr>
      <w:tr w14:paraId="5336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07DDD2AA">
            <w:pPr>
              <w:rPr>
                <w:rFonts w:ascii="Arial Narrow" w:hAnsi="Arial Narrow" w:eastAsiaTheme="minorEastAsia"/>
                <w:szCs w:val="21"/>
              </w:rPr>
            </w:pPr>
            <w:r>
              <w:rPr>
                <w:rFonts w:ascii="Arial Narrow" w:hAnsi="Arial Narrow" w:eastAsiaTheme="minorEastAsia"/>
                <w:szCs w:val="21"/>
              </w:rPr>
              <w:t>权益法核算的长期股权投资收益</w:t>
            </w:r>
          </w:p>
        </w:tc>
        <w:tc>
          <w:tcPr>
            <w:tcW w:w="1044" w:type="pct"/>
            <w:vAlign w:val="center"/>
          </w:tcPr>
          <w:p w14:paraId="63E77848">
            <w:pPr>
              <w:jc w:val="right"/>
              <w:rPr>
                <w:rFonts w:ascii="Arial Narrow" w:hAnsi="Arial Narrow" w:eastAsiaTheme="minorEastAsia"/>
                <w:szCs w:val="21"/>
              </w:rPr>
            </w:pPr>
            <w:r>
              <w:rPr>
                <w:rFonts w:ascii="Arial Narrow" w:hAnsi="Arial Narrow" w:eastAsiaTheme="minorEastAsia"/>
                <w:color w:val="000000"/>
                <w:szCs w:val="21"/>
              </w:rPr>
              <w:t>-931,160.74</w:t>
            </w:r>
          </w:p>
        </w:tc>
        <w:tc>
          <w:tcPr>
            <w:tcW w:w="1067" w:type="pct"/>
            <w:vAlign w:val="center"/>
          </w:tcPr>
          <w:p w14:paraId="41FE48A9">
            <w:pPr>
              <w:jc w:val="right"/>
              <w:rPr>
                <w:rFonts w:ascii="Arial Narrow" w:hAnsi="Arial Narrow" w:eastAsiaTheme="minorEastAsia"/>
                <w:szCs w:val="21"/>
              </w:rPr>
            </w:pPr>
          </w:p>
        </w:tc>
      </w:tr>
      <w:tr w14:paraId="7B9C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6379D29C">
            <w:pPr>
              <w:rPr>
                <w:rFonts w:ascii="Arial Narrow" w:hAnsi="Arial Narrow" w:eastAsiaTheme="minorEastAsia"/>
                <w:szCs w:val="21"/>
              </w:rPr>
            </w:pPr>
            <w:r>
              <w:rPr>
                <w:rFonts w:ascii="Arial Narrow" w:hAnsi="Arial Narrow" w:eastAsiaTheme="minorEastAsia"/>
                <w:szCs w:val="21"/>
              </w:rPr>
              <w:t>处置长期股权投资产生的投资收益</w:t>
            </w:r>
          </w:p>
        </w:tc>
        <w:tc>
          <w:tcPr>
            <w:tcW w:w="1044" w:type="pct"/>
            <w:vAlign w:val="center"/>
          </w:tcPr>
          <w:p w14:paraId="539191D9">
            <w:pPr>
              <w:jc w:val="right"/>
              <w:rPr>
                <w:rFonts w:ascii="Arial Narrow" w:hAnsi="Arial Narrow" w:eastAsiaTheme="minorEastAsia"/>
                <w:szCs w:val="21"/>
              </w:rPr>
            </w:pPr>
          </w:p>
        </w:tc>
        <w:tc>
          <w:tcPr>
            <w:tcW w:w="1067" w:type="pct"/>
            <w:vAlign w:val="center"/>
          </w:tcPr>
          <w:p w14:paraId="1295103F">
            <w:pPr>
              <w:jc w:val="right"/>
              <w:rPr>
                <w:rFonts w:ascii="Arial Narrow" w:hAnsi="Arial Narrow" w:eastAsiaTheme="minorEastAsia"/>
                <w:szCs w:val="21"/>
              </w:rPr>
            </w:pPr>
            <w:r>
              <w:rPr>
                <w:rFonts w:ascii="Arial Narrow" w:hAnsi="Arial Narrow" w:eastAsiaTheme="minorEastAsia"/>
                <w:color w:val="000000"/>
                <w:szCs w:val="21"/>
              </w:rPr>
              <w:t>-10,407,870.00</w:t>
            </w:r>
          </w:p>
        </w:tc>
      </w:tr>
      <w:tr w14:paraId="4EC0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10C355E0">
            <w:pPr>
              <w:rPr>
                <w:rFonts w:ascii="Arial Narrow" w:hAnsi="Arial Narrow" w:eastAsiaTheme="minorEastAsia"/>
              </w:rPr>
            </w:pPr>
            <w:r>
              <w:rPr>
                <w:rFonts w:ascii="Arial Narrow" w:hAnsi="Arial Narrow" w:eastAsiaTheme="minorEastAsia"/>
              </w:rPr>
              <w:t>其他权益工具投资在持有期间取得的股利收入</w:t>
            </w:r>
          </w:p>
        </w:tc>
        <w:tc>
          <w:tcPr>
            <w:tcW w:w="1044" w:type="pct"/>
            <w:vAlign w:val="center"/>
          </w:tcPr>
          <w:p w14:paraId="30C21990">
            <w:pPr>
              <w:jc w:val="right"/>
              <w:rPr>
                <w:rFonts w:ascii="Arial Narrow" w:hAnsi="Arial Narrow" w:eastAsiaTheme="minorEastAsia"/>
                <w:szCs w:val="21"/>
              </w:rPr>
            </w:pPr>
            <w:r>
              <w:rPr>
                <w:rFonts w:ascii="Arial Narrow" w:hAnsi="Arial Narrow" w:eastAsiaTheme="minorEastAsia"/>
                <w:color w:val="000000"/>
                <w:szCs w:val="21"/>
              </w:rPr>
              <w:t>7,252,620.35</w:t>
            </w:r>
          </w:p>
        </w:tc>
        <w:tc>
          <w:tcPr>
            <w:tcW w:w="1067" w:type="pct"/>
            <w:vAlign w:val="center"/>
          </w:tcPr>
          <w:p w14:paraId="215B8314">
            <w:pPr>
              <w:jc w:val="right"/>
              <w:rPr>
                <w:rFonts w:ascii="Arial Narrow" w:hAnsi="Arial Narrow" w:eastAsiaTheme="minorEastAsia"/>
                <w:szCs w:val="21"/>
              </w:rPr>
            </w:pPr>
          </w:p>
        </w:tc>
      </w:tr>
      <w:tr w14:paraId="3680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4554E79B">
            <w:pPr>
              <w:rPr>
                <w:rFonts w:ascii="Arial Narrow" w:hAnsi="Arial Narrow" w:eastAsiaTheme="minorEastAsia"/>
              </w:rPr>
            </w:pPr>
            <w:r>
              <w:rPr>
                <w:rFonts w:ascii="Arial Narrow" w:hAnsi="Arial Narrow" w:eastAsiaTheme="minorEastAsia"/>
              </w:rPr>
              <w:t>其他</w:t>
            </w:r>
          </w:p>
        </w:tc>
        <w:tc>
          <w:tcPr>
            <w:tcW w:w="1044" w:type="pct"/>
            <w:vAlign w:val="center"/>
          </w:tcPr>
          <w:p w14:paraId="6545F328">
            <w:pPr>
              <w:jc w:val="right"/>
              <w:rPr>
                <w:rFonts w:ascii="Arial Narrow" w:hAnsi="Arial Narrow" w:eastAsiaTheme="minorEastAsia"/>
                <w:szCs w:val="21"/>
              </w:rPr>
            </w:pPr>
            <w:r>
              <w:rPr>
                <w:rFonts w:ascii="Arial Narrow" w:hAnsi="Arial Narrow" w:eastAsiaTheme="minorEastAsia"/>
                <w:color w:val="000000"/>
                <w:szCs w:val="21"/>
              </w:rPr>
              <w:t>6,571,462.84</w:t>
            </w:r>
          </w:p>
        </w:tc>
        <w:tc>
          <w:tcPr>
            <w:tcW w:w="1067" w:type="pct"/>
            <w:vAlign w:val="center"/>
          </w:tcPr>
          <w:p w14:paraId="478E3B2B">
            <w:pPr>
              <w:jc w:val="right"/>
              <w:rPr>
                <w:rFonts w:ascii="Arial Narrow" w:hAnsi="Arial Narrow" w:eastAsiaTheme="minorEastAsia"/>
                <w:szCs w:val="21"/>
              </w:rPr>
            </w:pPr>
            <w:r>
              <w:rPr>
                <w:rFonts w:ascii="Arial Narrow" w:hAnsi="Arial Narrow" w:eastAsiaTheme="minorEastAsia"/>
                <w:color w:val="000000"/>
                <w:szCs w:val="21"/>
              </w:rPr>
              <w:t>15,930,738.14</w:t>
            </w:r>
          </w:p>
        </w:tc>
      </w:tr>
      <w:tr w14:paraId="7F7C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pct"/>
            <w:vAlign w:val="center"/>
          </w:tcPr>
          <w:p w14:paraId="706898C6">
            <w:pPr>
              <w:jc w:val="center"/>
              <w:rPr>
                <w:rFonts w:ascii="Arial Narrow" w:hAnsi="Arial Narrow" w:eastAsiaTheme="minorEastAsia"/>
                <w:szCs w:val="21"/>
              </w:rPr>
            </w:pPr>
            <w:r>
              <w:rPr>
                <w:rFonts w:ascii="Arial Narrow" w:hAnsi="Arial Narrow" w:eastAsiaTheme="minorEastAsia"/>
                <w:szCs w:val="21"/>
              </w:rPr>
              <w:t>合计</w:t>
            </w:r>
          </w:p>
        </w:tc>
        <w:tc>
          <w:tcPr>
            <w:tcW w:w="1044" w:type="pct"/>
            <w:vAlign w:val="center"/>
          </w:tcPr>
          <w:p w14:paraId="77B9E0D5">
            <w:pPr>
              <w:jc w:val="right"/>
              <w:rPr>
                <w:rFonts w:ascii="Arial Narrow" w:hAnsi="Arial Narrow" w:eastAsiaTheme="minorEastAsia"/>
                <w:szCs w:val="21"/>
              </w:rPr>
            </w:pPr>
            <w:r>
              <w:rPr>
                <w:rFonts w:ascii="Arial Narrow" w:hAnsi="Arial Narrow" w:eastAsiaTheme="minorEastAsia"/>
                <w:color w:val="000000"/>
                <w:szCs w:val="21"/>
              </w:rPr>
              <w:t>102,636,042.47</w:t>
            </w:r>
          </w:p>
        </w:tc>
        <w:tc>
          <w:tcPr>
            <w:tcW w:w="1067" w:type="pct"/>
            <w:vAlign w:val="center"/>
          </w:tcPr>
          <w:p w14:paraId="30F343CA">
            <w:pPr>
              <w:jc w:val="right"/>
              <w:rPr>
                <w:rFonts w:ascii="Arial Narrow" w:hAnsi="Arial Narrow" w:eastAsiaTheme="minorEastAsia"/>
                <w:szCs w:val="21"/>
              </w:rPr>
            </w:pPr>
            <w:r>
              <w:rPr>
                <w:rFonts w:ascii="Arial Narrow" w:hAnsi="Arial Narrow" w:eastAsiaTheme="minorEastAsia"/>
                <w:color w:val="000000"/>
                <w:szCs w:val="21"/>
              </w:rPr>
              <w:t>88,004,700.44</w:t>
            </w:r>
          </w:p>
        </w:tc>
      </w:tr>
      <w:bookmarkEnd w:id="450"/>
      <w:bookmarkEnd w:id="452"/>
    </w:tbl>
    <w:p w14:paraId="643AC11A">
      <w:pPr>
        <w:spacing w:line="360" w:lineRule="exact"/>
        <w:rPr>
          <w:rFonts w:hint="eastAsia"/>
          <w:szCs w:val="21"/>
        </w:rPr>
      </w:pPr>
      <w:bookmarkStart w:id="453" w:name="_Hlk10720480"/>
      <w:r>
        <w:rPr>
          <w:rFonts w:hint="eastAsia"/>
          <w:szCs w:val="21"/>
        </w:rPr>
        <w:t>其他说明：</w:t>
      </w:r>
      <w:bookmarkEnd w:id="453"/>
    </w:p>
    <w:sdt>
      <w:sdtPr>
        <w:rPr>
          <w:szCs w:val="21"/>
        </w:rPr>
        <w:alias w:val="投资收益说明"/>
        <w:tag w:val="_GBC_003661b91b5144cfbf329a4aeb060fe6"/>
        <w:id w:val="-19627411"/>
        <w:placeholder>
          <w:docPart w:val="GBC22222222222222222222222222222"/>
        </w:placeholder>
      </w:sdtPr>
      <w:sdtEndPr>
        <w:rPr>
          <w:szCs w:val="21"/>
        </w:rPr>
      </w:sdtEndPr>
      <w:sdtContent>
        <w:p w14:paraId="3D0EF277">
          <w:pPr>
            <w:rPr>
              <w:rFonts w:hint="eastAsia"/>
              <w:szCs w:val="21"/>
            </w:rPr>
          </w:pPr>
          <w:r>
            <w:rPr>
              <w:rFonts w:hint="eastAsia"/>
              <w:szCs w:val="21"/>
            </w:rPr>
            <w:t>无</w:t>
          </w:r>
        </w:p>
      </w:sdtContent>
    </w:sdt>
    <w:p w14:paraId="017887EA">
      <w:pPr>
        <w:rPr>
          <w:rFonts w:hint="eastAsia"/>
          <w:szCs w:val="21"/>
        </w:rPr>
      </w:pPr>
    </w:p>
    <w:bookmarkEnd w:id="451"/>
    <w:p w14:paraId="0802D6D5">
      <w:pPr>
        <w:pStyle w:val="70"/>
        <w:numPr>
          <w:ilvl w:val="0"/>
          <w:numId w:val="174"/>
        </w:numPr>
      </w:pPr>
      <w:r>
        <w:rPr>
          <w:rFonts w:hint="eastAsia" w:ascii="宋体" w:hAnsi="宋体"/>
          <w:szCs w:val="21"/>
        </w:rPr>
        <w:t>其他</w:t>
      </w:r>
    </w:p>
    <w:sdt>
      <w:sdtPr>
        <w:rPr>
          <w:rFonts w:hint="eastAsia"/>
          <w:szCs w:val="21"/>
        </w:rPr>
        <w:alias w:val="是否适用：母公司会计报表附注的其他说明事项[双击切换]"/>
        <w:tag w:val="_GBC_da1bbbf487cd4e98b945920735517f12"/>
        <w:id w:val="-480462666"/>
        <w:placeholder>
          <w:docPart w:val="GBC22222222222222222222222222222"/>
        </w:placeholder>
      </w:sdtPr>
      <w:sdtEndPr>
        <w:rPr>
          <w:rFonts w:hint="eastAsia"/>
          <w:szCs w:val="21"/>
        </w:rPr>
      </w:sdtEndPr>
      <w:sdtContent>
        <w:p w14:paraId="23B09606">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48781927">
      <w:pPr>
        <w:ind w:right="-1594" w:rightChars="-759"/>
        <w:rPr>
          <w:rFonts w:hint="eastAsia"/>
          <w:szCs w:val="21"/>
        </w:rPr>
      </w:pPr>
      <w:bookmarkStart w:id="454" w:name="OLE_LINK20"/>
    </w:p>
    <w:p w14:paraId="4269D71E">
      <w:pPr>
        <w:pStyle w:val="69"/>
        <w:numPr>
          <w:ilvl w:val="0"/>
          <w:numId w:val="87"/>
        </w:numPr>
        <w:rPr>
          <w:rFonts w:hint="eastAsia" w:ascii="宋体" w:hAnsi="宋体"/>
        </w:rPr>
      </w:pPr>
      <w:r>
        <w:rPr>
          <w:rFonts w:hint="eastAsia"/>
        </w:rPr>
        <w:t>补充资料</w:t>
      </w:r>
    </w:p>
    <w:p w14:paraId="716E6D97">
      <w:pPr>
        <w:pStyle w:val="70"/>
        <w:numPr>
          <w:ilvl w:val="0"/>
          <w:numId w:val="181"/>
        </w:numPr>
        <w:rPr>
          <w:rFonts w:hint="eastAsia" w:ascii="宋体" w:hAnsi="宋体"/>
          <w:szCs w:val="21"/>
        </w:rPr>
      </w:pPr>
      <w:bookmarkStart w:id="455" w:name="_Hlk535584690"/>
      <w:bookmarkStart w:id="456" w:name="_Hlk152579827"/>
      <w:r>
        <w:rPr>
          <w:rFonts w:hint="eastAsia" w:ascii="宋体" w:hAnsi="宋体"/>
          <w:szCs w:val="21"/>
        </w:rPr>
        <w:t>当期非经常性损益明细表</w:t>
      </w:r>
    </w:p>
    <w:sdt>
      <w:sdtPr>
        <w:alias w:val="是否适用：当期非经常性损益明细表[双击切换]"/>
        <w:tag w:val="_GBC_b3c7aec730db408a9d46da725d5662b4"/>
        <w:id w:val="1905562382"/>
        <w:placeholder>
          <w:docPart w:val="GBC22222222222222222222222222222"/>
        </w:placeholder>
      </w:sdtPr>
      <w:sdtContent>
        <w:p w14:paraId="346F35F0">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9750A3C">
      <w:pPr>
        <w:jc w:val="right"/>
        <w:rPr>
          <w:rFonts w:hint="eastAsia"/>
          <w:szCs w:val="21"/>
        </w:rPr>
      </w:pPr>
      <w:r>
        <w:rPr>
          <w:rFonts w:hint="eastAsia"/>
          <w:szCs w:val="21"/>
        </w:rPr>
        <w:t>单位：</w:t>
      </w:r>
      <w:sdt>
        <w:sdtPr>
          <w:rPr>
            <w:rFonts w:hint="eastAsia"/>
            <w:szCs w:val="21"/>
          </w:rPr>
          <w:alias w:val="单位：扣除非经常性损益项目和金额"/>
          <w:tag w:val="_GBC_63d386bc1f1d45a9803caa6346ef271f"/>
          <w:id w:val="-526171445"/>
          <w:placeholder>
            <w:docPart w:val="GBC22222222222222222222222222222"/>
          </w:placeholder>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lang w:eastAsia="zh-CN"/>
            </w:rPr>
            <w:t>元</w:t>
          </w:r>
        </w:sdtContent>
      </w:sdt>
      <w:r>
        <w:rPr>
          <w:rFonts w:hint="eastAsia"/>
          <w:szCs w:val="21"/>
        </w:rPr>
        <w:t xml:space="preserve">  币种：</w:t>
      </w:r>
      <w:sdt>
        <w:sdtPr>
          <w:rPr>
            <w:rFonts w:hint="eastAsia"/>
            <w:szCs w:val="21"/>
          </w:rPr>
          <w:alias w:val="币种：扣除非经常性损益项目和金额"/>
          <w:tag w:val="_GBC_fb530451edb743d2bcc0dacb892d672d"/>
          <w:id w:val="-1372151923"/>
          <w:placeholder>
            <w:docPart w:val="GBC22222222222222222222222222222"/>
          </w:placeholder>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lang w:eastAsia="zh-CN"/>
            </w:rPr>
            <w:t>人民币</w:t>
          </w:r>
        </w:sdtContent>
      </w:sdt>
    </w:p>
    <w:bookmarkEnd w:id="455"/>
    <w:bookmarkEnd w:id="456"/>
    <w:tbl>
      <w:tblPr>
        <w:tblStyle w:val="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4"/>
        <w:gridCol w:w="2449"/>
      </w:tblGrid>
      <w:tr w14:paraId="394D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2882777d10a4346880b6d11ab006214"/>
            <w:id w:val="1129907832"/>
          </w:sdtPr>
          <w:sdtContent>
            <w:tc>
              <w:tcPr>
                <w:tcW w:w="3612" w:type="pct"/>
                <w:vAlign w:val="center"/>
              </w:tcPr>
              <w:p w14:paraId="2EA893E4">
                <w:pPr>
                  <w:widowControl w:val="0"/>
                  <w:jc w:val="center"/>
                  <w:rPr>
                    <w:rFonts w:hint="eastAsia"/>
                    <w:szCs w:val="21"/>
                  </w:rPr>
                </w:pPr>
                <w:bookmarkStart w:id="457" w:name="_Hlk154752626"/>
                <w:r>
                  <w:rPr>
                    <w:rFonts w:hint="eastAsia"/>
                    <w:szCs w:val="21"/>
                  </w:rPr>
                  <w:t>项目</w:t>
                </w:r>
              </w:p>
            </w:tc>
          </w:sdtContent>
        </w:sdt>
        <w:sdt>
          <w:sdtPr>
            <w:tag w:val="_PLD_1f5c769dc7ea434a90d739329712e1ed"/>
            <w:id w:val="2085957213"/>
          </w:sdtPr>
          <w:sdtContent>
            <w:tc>
              <w:tcPr>
                <w:tcW w:w="1388" w:type="pct"/>
                <w:vAlign w:val="center"/>
              </w:tcPr>
              <w:p w14:paraId="143E68F9">
                <w:pPr>
                  <w:widowControl w:val="0"/>
                  <w:jc w:val="center"/>
                  <w:rPr>
                    <w:rFonts w:hint="eastAsia"/>
                    <w:szCs w:val="21"/>
                  </w:rPr>
                </w:pPr>
                <w:r>
                  <w:rPr>
                    <w:rFonts w:hint="eastAsia"/>
                    <w:szCs w:val="21"/>
                  </w:rPr>
                  <w:t>金额</w:t>
                </w:r>
              </w:p>
            </w:tc>
          </w:sdtContent>
        </w:sdt>
      </w:tr>
      <w:tr w14:paraId="28DD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7A027112">
            <w:pPr>
              <w:widowControl w:val="0"/>
              <w:jc w:val="left"/>
              <w:rPr>
                <w:rFonts w:hint="eastAsia"/>
                <w:szCs w:val="21"/>
              </w:rPr>
            </w:pPr>
            <w:r>
              <w:rPr>
                <w:szCs w:val="21"/>
              </w:rPr>
              <w:t>非流动</w:t>
            </w:r>
            <w:r>
              <w:rPr>
                <w:rFonts w:hint="eastAsia"/>
                <w:szCs w:val="21"/>
              </w:rPr>
              <w:t>性</w:t>
            </w:r>
            <w:r>
              <w:rPr>
                <w:szCs w:val="21"/>
              </w:rPr>
              <w:t>资产处置损益</w:t>
            </w:r>
            <w:r>
              <w:rPr>
                <w:rFonts w:hint="eastAsia"/>
                <w:szCs w:val="21"/>
              </w:rPr>
              <w:t>，包括已计提资产减值准备的冲销部分</w:t>
            </w:r>
          </w:p>
        </w:tc>
        <w:tc>
          <w:tcPr>
            <w:tcW w:w="1388" w:type="pct"/>
            <w:vAlign w:val="center"/>
          </w:tcPr>
          <w:p w14:paraId="4AB8A6A4">
            <w:pPr>
              <w:widowControl w:val="0"/>
              <w:jc w:val="right"/>
              <w:rPr>
                <w:rFonts w:hint="eastAsia"/>
                <w:szCs w:val="21"/>
              </w:rPr>
            </w:pPr>
            <w:r>
              <w:rPr>
                <w:rFonts w:ascii="Arial Narrow" w:hAnsi="Arial Narrow" w:eastAsia="等线"/>
                <w:color w:val="000000"/>
                <w:szCs w:val="21"/>
              </w:rPr>
              <w:t xml:space="preserve">347,104.71 </w:t>
            </w:r>
          </w:p>
        </w:tc>
      </w:tr>
      <w:tr w14:paraId="7094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5D0FCDAE">
            <w:pPr>
              <w:widowControl w:val="0"/>
              <w:jc w:val="left"/>
              <w:rPr>
                <w:rFonts w:hint="eastAsia"/>
                <w:szCs w:val="21"/>
              </w:rPr>
            </w:pPr>
            <w:r>
              <w:rPr>
                <w:szCs w:val="21"/>
              </w:rPr>
              <w:t>计入当期损益的政府补助</w:t>
            </w:r>
            <w:r>
              <w:rPr>
                <w:rFonts w:hint="eastAsia"/>
                <w:szCs w:val="21"/>
              </w:rPr>
              <w:t>，但与公司正常经营业务密切相关、符合国家政策规定、按照确定的标准享有、对公司损益产生持续影响的政府补助除外</w:t>
            </w:r>
          </w:p>
        </w:tc>
        <w:tc>
          <w:tcPr>
            <w:tcW w:w="1388" w:type="pct"/>
            <w:vAlign w:val="center"/>
          </w:tcPr>
          <w:p w14:paraId="42527662">
            <w:pPr>
              <w:widowControl w:val="0"/>
              <w:jc w:val="right"/>
              <w:rPr>
                <w:rFonts w:hint="eastAsia"/>
                <w:szCs w:val="21"/>
              </w:rPr>
            </w:pPr>
            <w:r>
              <w:rPr>
                <w:rFonts w:ascii="Arial Narrow" w:hAnsi="Arial Narrow" w:eastAsia="等线"/>
                <w:color w:val="000000"/>
                <w:szCs w:val="21"/>
              </w:rPr>
              <w:t xml:space="preserve">15,241,686.54 </w:t>
            </w:r>
          </w:p>
        </w:tc>
      </w:tr>
      <w:tr w14:paraId="11C3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0A877240">
            <w:pPr>
              <w:widowControl w:val="0"/>
              <w:jc w:val="left"/>
              <w:rPr>
                <w:rFonts w:hint="eastAsia"/>
              </w:rPr>
            </w:pPr>
            <w:r>
              <w:rPr>
                <w:rFonts w:hint="eastAsia"/>
              </w:rPr>
              <w:t>单独进行减值测试的应收款项减值准备转回</w:t>
            </w:r>
          </w:p>
        </w:tc>
        <w:tc>
          <w:tcPr>
            <w:tcW w:w="1388" w:type="pct"/>
            <w:vAlign w:val="center"/>
          </w:tcPr>
          <w:p w14:paraId="0936AE23">
            <w:pPr>
              <w:widowControl w:val="0"/>
              <w:jc w:val="right"/>
              <w:rPr>
                <w:rFonts w:hint="eastAsia"/>
                <w:szCs w:val="21"/>
              </w:rPr>
            </w:pPr>
            <w:r>
              <w:rPr>
                <w:rFonts w:ascii="Arial Narrow" w:hAnsi="Arial Narrow" w:eastAsia="等线"/>
                <w:color w:val="000000"/>
                <w:szCs w:val="21"/>
              </w:rPr>
              <w:t xml:space="preserve">2,607,444.66 </w:t>
            </w:r>
          </w:p>
        </w:tc>
      </w:tr>
      <w:tr w14:paraId="45AA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05C75E8A">
            <w:pPr>
              <w:widowControl w:val="0"/>
              <w:jc w:val="left"/>
              <w:rPr>
                <w:rFonts w:hint="eastAsia"/>
                <w:szCs w:val="21"/>
              </w:rPr>
            </w:pPr>
            <w:r>
              <w:rPr>
                <w:szCs w:val="21"/>
              </w:rPr>
              <w:t>与公司正常经营业务无关的或有事项产生的损益</w:t>
            </w:r>
          </w:p>
        </w:tc>
        <w:tc>
          <w:tcPr>
            <w:tcW w:w="1388" w:type="pct"/>
            <w:vAlign w:val="center"/>
          </w:tcPr>
          <w:p w14:paraId="4C828164">
            <w:pPr>
              <w:widowControl w:val="0"/>
              <w:jc w:val="right"/>
              <w:rPr>
                <w:rFonts w:hint="eastAsia"/>
                <w:szCs w:val="21"/>
              </w:rPr>
            </w:pPr>
            <w:r>
              <w:rPr>
                <w:rFonts w:ascii="Arial Narrow" w:hAnsi="Arial Narrow" w:eastAsia="等线"/>
                <w:color w:val="000000"/>
                <w:szCs w:val="21"/>
              </w:rPr>
              <w:t xml:space="preserve">-200,000,000.00 </w:t>
            </w:r>
          </w:p>
        </w:tc>
      </w:tr>
      <w:tr w14:paraId="56CE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3EFEDD6F">
            <w:pPr>
              <w:widowControl w:val="0"/>
              <w:jc w:val="left"/>
              <w:rPr>
                <w:rFonts w:hint="eastAsia"/>
                <w:szCs w:val="21"/>
              </w:rPr>
            </w:pPr>
            <w:r>
              <w:rPr>
                <w:szCs w:val="21"/>
              </w:rPr>
              <w:t>除上述各项之外的其他营业外收入和支出</w:t>
            </w:r>
          </w:p>
        </w:tc>
        <w:tc>
          <w:tcPr>
            <w:tcW w:w="1388" w:type="pct"/>
            <w:vAlign w:val="center"/>
          </w:tcPr>
          <w:p w14:paraId="5281C0D1">
            <w:pPr>
              <w:widowControl w:val="0"/>
              <w:jc w:val="right"/>
              <w:rPr>
                <w:rFonts w:hint="eastAsia"/>
                <w:szCs w:val="21"/>
              </w:rPr>
            </w:pPr>
            <w:r>
              <w:rPr>
                <w:rFonts w:ascii="Arial Narrow" w:hAnsi="Arial Narrow" w:eastAsia="等线"/>
                <w:color w:val="000000"/>
                <w:szCs w:val="21"/>
              </w:rPr>
              <w:t xml:space="preserve">-104,713,120.30 </w:t>
            </w:r>
          </w:p>
        </w:tc>
      </w:tr>
      <w:tr w14:paraId="5C69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5CAA5F31">
            <w:pPr>
              <w:widowControl w:val="0"/>
              <w:jc w:val="left"/>
              <w:rPr>
                <w:rFonts w:hint="eastAsia"/>
                <w:szCs w:val="21"/>
              </w:rPr>
            </w:pPr>
            <w:r>
              <w:rPr>
                <w:szCs w:val="21"/>
              </w:rPr>
              <w:t>其他符合非经常性损益定义的损益项目</w:t>
            </w:r>
          </w:p>
        </w:tc>
        <w:tc>
          <w:tcPr>
            <w:tcW w:w="1388" w:type="pct"/>
            <w:vAlign w:val="center"/>
          </w:tcPr>
          <w:p w14:paraId="0F12B9AA">
            <w:pPr>
              <w:widowControl w:val="0"/>
              <w:jc w:val="right"/>
              <w:rPr>
                <w:rFonts w:hint="eastAsia"/>
                <w:szCs w:val="21"/>
              </w:rPr>
            </w:pPr>
            <w:r>
              <w:rPr>
                <w:rFonts w:ascii="Arial Narrow" w:hAnsi="Arial Narrow" w:eastAsia="等线"/>
                <w:color w:val="000000"/>
                <w:szCs w:val="21"/>
              </w:rPr>
              <w:t xml:space="preserve">408,466.94 </w:t>
            </w:r>
          </w:p>
        </w:tc>
      </w:tr>
      <w:tr w14:paraId="77E0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51AB2C50">
            <w:pPr>
              <w:widowControl w:val="0"/>
              <w:jc w:val="left"/>
              <w:rPr>
                <w:rFonts w:hint="eastAsia"/>
                <w:szCs w:val="21"/>
              </w:rPr>
            </w:pPr>
            <w:r>
              <w:rPr>
                <w:rFonts w:hint="eastAsia"/>
              </w:rPr>
              <w:t>减：</w:t>
            </w:r>
            <w:r>
              <w:rPr>
                <w:szCs w:val="21"/>
              </w:rPr>
              <w:t>所得税影响额</w:t>
            </w:r>
          </w:p>
        </w:tc>
        <w:tc>
          <w:tcPr>
            <w:tcW w:w="1388" w:type="pct"/>
            <w:vAlign w:val="center"/>
          </w:tcPr>
          <w:p w14:paraId="2ECFE064">
            <w:pPr>
              <w:widowControl w:val="0"/>
              <w:jc w:val="right"/>
              <w:rPr>
                <w:rFonts w:hint="eastAsia"/>
                <w:szCs w:val="21"/>
              </w:rPr>
            </w:pPr>
            <w:r>
              <w:rPr>
                <w:rFonts w:ascii="Arial Narrow" w:hAnsi="Arial Narrow" w:eastAsia="等线"/>
                <w:color w:val="000000"/>
                <w:szCs w:val="21"/>
              </w:rPr>
              <w:t xml:space="preserve">1,755,764.43 </w:t>
            </w:r>
          </w:p>
        </w:tc>
      </w:tr>
      <w:tr w14:paraId="1754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tcPr>
          <w:p w14:paraId="6C912390">
            <w:pPr>
              <w:widowControl w:val="0"/>
              <w:jc w:val="left"/>
              <w:rPr>
                <w:rFonts w:hint="eastAsia"/>
                <w:szCs w:val="21"/>
              </w:rPr>
            </w:pPr>
            <w:r>
              <w:rPr>
                <w:szCs w:val="21"/>
              </w:rPr>
              <w:t>少数股东权益影响额</w:t>
            </w:r>
            <w:r>
              <w:rPr>
                <w:rFonts w:hint="eastAsia"/>
                <w:szCs w:val="21"/>
              </w:rPr>
              <w:t>（税后）</w:t>
            </w:r>
          </w:p>
        </w:tc>
        <w:tc>
          <w:tcPr>
            <w:tcW w:w="1388" w:type="pct"/>
            <w:vAlign w:val="center"/>
          </w:tcPr>
          <w:p w14:paraId="170E36B0">
            <w:pPr>
              <w:widowControl w:val="0"/>
              <w:jc w:val="right"/>
              <w:rPr>
                <w:rFonts w:hint="eastAsia"/>
                <w:szCs w:val="21"/>
              </w:rPr>
            </w:pPr>
            <w:r>
              <w:rPr>
                <w:rFonts w:ascii="Arial Narrow" w:hAnsi="Arial Narrow" w:eastAsia="等线"/>
                <w:color w:val="000000"/>
                <w:szCs w:val="21"/>
              </w:rPr>
              <w:t xml:space="preserve">-32,094,714.85 </w:t>
            </w:r>
          </w:p>
        </w:tc>
      </w:tr>
      <w:tr w14:paraId="1684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pct"/>
            <w:vAlign w:val="center"/>
          </w:tcPr>
          <w:p w14:paraId="28D62DC8">
            <w:pPr>
              <w:widowControl w:val="0"/>
              <w:jc w:val="center"/>
              <w:rPr>
                <w:rFonts w:hint="eastAsia"/>
                <w:szCs w:val="21"/>
              </w:rPr>
            </w:pPr>
            <w:r>
              <w:rPr>
                <w:szCs w:val="21"/>
              </w:rPr>
              <w:t>合计</w:t>
            </w:r>
          </w:p>
        </w:tc>
        <w:tc>
          <w:tcPr>
            <w:tcW w:w="1388" w:type="pct"/>
            <w:vAlign w:val="center"/>
          </w:tcPr>
          <w:p w14:paraId="3BA726B3">
            <w:pPr>
              <w:widowControl w:val="0"/>
              <w:jc w:val="right"/>
              <w:rPr>
                <w:rFonts w:hint="eastAsia"/>
                <w:szCs w:val="21"/>
              </w:rPr>
            </w:pPr>
            <w:r>
              <w:rPr>
                <w:rFonts w:ascii="Arial Narrow" w:hAnsi="Arial Narrow" w:eastAsia="等线"/>
                <w:color w:val="000000"/>
                <w:szCs w:val="21"/>
              </w:rPr>
              <w:t xml:space="preserve">-255,769,467.03 </w:t>
            </w:r>
          </w:p>
        </w:tc>
      </w:tr>
    </w:tbl>
    <w:p w14:paraId="7458FD95">
      <w:pPr>
        <w:rPr>
          <w:rFonts w:hint="eastAsia"/>
        </w:rPr>
      </w:pPr>
    </w:p>
    <w:p w14:paraId="06D03F66">
      <w:pPr>
        <w:rPr>
          <w:rFonts w:hint="eastAsia"/>
          <w:szCs w:val="21"/>
        </w:rPr>
      </w:pPr>
      <w:r>
        <w:rPr>
          <w:rFonts w:hint="eastAsia"/>
          <w:szCs w:val="21"/>
        </w:rPr>
        <w:t>对公司将《公开发行证券的公司信息披露解释性公告第</w:t>
      </w:r>
      <w:r>
        <w:rPr>
          <w:szCs w:val="21"/>
        </w:rPr>
        <w:t>1号——非经常性损益》未列举的项目认定为非经常性损益项目且金额重大的，以及将《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a967cba183d54f83a4f652d6d31302c3"/>
        <w:id w:val="-1603874858"/>
        <w:placeholder>
          <w:docPart w:val="GBC22222222222222222222222222222"/>
        </w:placeholder>
      </w:sdtPr>
      <w:sdtEndPr>
        <w:rPr>
          <w:szCs w:val="21"/>
        </w:rPr>
      </w:sdtEndPr>
      <w:sdtContent>
        <w:p w14:paraId="6506480A">
          <w:pPr>
            <w:rPr>
              <w:rFonts w:hint="eastAsia"/>
              <w:szCs w:val="21"/>
            </w:rPr>
          </w:pPr>
          <w:r>
            <w:rPr>
              <w:szCs w:val="21"/>
            </w:rPr>
            <w:fldChar w:fldCharType="begin"/>
          </w:r>
          <w:r>
            <w:rPr>
              <w:rFonts w:hint="eastAsia"/>
              <w:szCs w:val="21"/>
            </w:rPr>
            <w:instrText xml:space="preserve">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012649FE">
      <w:pPr>
        <w:rPr>
          <w:rFonts w:hint="eastAsia"/>
        </w:rPr>
      </w:pPr>
    </w:p>
    <w:p w14:paraId="3D069E05">
      <w:pPr>
        <w:spacing w:line="360" w:lineRule="exact"/>
        <w:rPr>
          <w:rFonts w:hint="eastAsia"/>
          <w:szCs w:val="21"/>
        </w:rPr>
      </w:pPr>
      <w:r>
        <w:rPr>
          <w:rFonts w:hint="eastAsia"/>
          <w:szCs w:val="21"/>
        </w:rPr>
        <w:t>其他说明：</w:t>
      </w:r>
    </w:p>
    <w:sdt>
      <w:sdtPr>
        <w:rPr>
          <w:szCs w:val="21"/>
        </w:rPr>
        <w:alias w:val="是否适用：非经常性损益的其他说明[双击切换]"/>
        <w:tag w:val="_GBC_02aa469151f448ef8b478dba20a7d811"/>
        <w:id w:val="-1308004698"/>
        <w:placeholder>
          <w:docPart w:val="GBC22222222222222222222222222222"/>
        </w:placeholder>
      </w:sdtPr>
      <w:sdtEndPr>
        <w:rPr>
          <w:szCs w:val="21"/>
        </w:rPr>
      </w:sdtEndPr>
      <w:sdtContent>
        <w:p w14:paraId="22992239">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67C2A837">
      <w:pPr>
        <w:rPr>
          <w:rFonts w:hint="eastAsia"/>
        </w:rPr>
      </w:pPr>
    </w:p>
    <w:bookmarkEnd w:id="457"/>
    <w:p w14:paraId="31BC3912">
      <w:pPr>
        <w:pStyle w:val="70"/>
        <w:numPr>
          <w:ilvl w:val="0"/>
          <w:numId w:val="181"/>
        </w:numPr>
        <w:rPr>
          <w:rFonts w:hint="eastAsia" w:ascii="宋体" w:hAnsi="宋体"/>
          <w:szCs w:val="21"/>
        </w:rPr>
      </w:pPr>
      <w:r>
        <w:rPr>
          <w:rFonts w:hint="eastAsia" w:ascii="宋体" w:hAnsi="宋体"/>
          <w:szCs w:val="21"/>
        </w:rPr>
        <w:t>净资产收益率及每股收益</w:t>
      </w:r>
    </w:p>
    <w:sdt>
      <w:sdtPr>
        <w:alias w:val="是否适用：净资产收益率及每股收益[双击切换]"/>
        <w:tag w:val="_GBC_c0f530bdf9ee48239f470eda08b303d7"/>
        <w:id w:val="524066393"/>
        <w:placeholder>
          <w:docPart w:val="GBC22222222222222222222222222222"/>
        </w:placeholder>
      </w:sdtPr>
      <w:sdtContent>
        <w:p w14:paraId="1CE64161">
          <w:pPr>
            <w:rPr>
              <w:rFonts w:hint="eastAsia"/>
            </w:rPr>
          </w:pPr>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40"/>
        <w:gridCol w:w="1795"/>
        <w:gridCol w:w="2093"/>
        <w:gridCol w:w="2095"/>
      </w:tblGrid>
      <w:tr w14:paraId="513DB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sdt>
          <w:sdtPr>
            <w:tag w:val="_PLD_85d9a7abc9cd45768b2b5f99afa4a4ef"/>
            <w:id w:val="353780560"/>
          </w:sdtPr>
          <w:sdtContent>
            <w:tc>
              <w:tcPr>
                <w:tcW w:w="1609" w:type="pct"/>
                <w:vMerge w:val="restart"/>
                <w:tcBorders>
                  <w:top w:val="single" w:color="auto" w:sz="4" w:space="0"/>
                  <w:left w:val="single" w:color="auto" w:sz="4" w:space="0"/>
                  <w:bottom w:val="single" w:color="auto" w:sz="4" w:space="0"/>
                  <w:right w:val="single" w:color="auto" w:sz="4" w:space="0"/>
                </w:tcBorders>
                <w:vAlign w:val="center"/>
              </w:tcPr>
              <w:p w14:paraId="4866F7E9">
                <w:pPr>
                  <w:jc w:val="center"/>
                  <w:rPr>
                    <w:rFonts w:hint="eastAsia"/>
                    <w:szCs w:val="21"/>
                  </w:rPr>
                </w:pPr>
                <w:r>
                  <w:rPr>
                    <w:szCs w:val="21"/>
                  </w:rPr>
                  <w:t>报告期利润</w:t>
                </w:r>
              </w:p>
            </w:tc>
          </w:sdtContent>
        </w:sdt>
        <w:sdt>
          <w:sdtPr>
            <w:tag w:val="_PLD_7f5ad103cbb04f7d904001b07266bf41"/>
            <w:id w:val="-1512522242"/>
          </w:sdtPr>
          <w:sdtContent>
            <w:tc>
              <w:tcPr>
                <w:tcW w:w="1017" w:type="pct"/>
                <w:vMerge w:val="restart"/>
                <w:tcBorders>
                  <w:top w:val="single" w:color="auto" w:sz="4" w:space="0"/>
                  <w:left w:val="single" w:color="auto" w:sz="4" w:space="0"/>
                  <w:right w:val="single" w:color="auto" w:sz="4" w:space="0"/>
                </w:tcBorders>
                <w:vAlign w:val="center"/>
              </w:tcPr>
              <w:p w14:paraId="31417F09">
                <w:pPr>
                  <w:jc w:val="center"/>
                  <w:rPr>
                    <w:rFonts w:hint="eastAsia"/>
                    <w:szCs w:val="21"/>
                  </w:rPr>
                </w:pPr>
                <w:r>
                  <w:rPr>
                    <w:szCs w:val="21"/>
                  </w:rPr>
                  <w:t>加权平均净资产收益率（%）</w:t>
                </w:r>
              </w:p>
            </w:tc>
          </w:sdtContent>
        </w:sdt>
        <w:sdt>
          <w:sdtPr>
            <w:tag w:val="_PLD_adaa515ff68f455d8bcd75e516da3040"/>
            <w:id w:val="386838651"/>
          </w:sdtPr>
          <w:sdtContent>
            <w:tc>
              <w:tcPr>
                <w:tcW w:w="2373" w:type="pct"/>
                <w:gridSpan w:val="2"/>
                <w:tcBorders>
                  <w:top w:val="single" w:color="auto" w:sz="4" w:space="0"/>
                  <w:left w:val="single" w:color="auto" w:sz="4" w:space="0"/>
                  <w:bottom w:val="single" w:color="auto" w:sz="4" w:space="0"/>
                  <w:right w:val="single" w:color="auto" w:sz="4" w:space="0"/>
                </w:tcBorders>
                <w:vAlign w:val="center"/>
              </w:tcPr>
              <w:p w14:paraId="38B34A7F">
                <w:pPr>
                  <w:jc w:val="center"/>
                  <w:rPr>
                    <w:rFonts w:hint="eastAsia"/>
                    <w:szCs w:val="21"/>
                  </w:rPr>
                </w:pPr>
                <w:r>
                  <w:rPr>
                    <w:szCs w:val="21"/>
                  </w:rPr>
                  <w:t>每股收益</w:t>
                </w:r>
              </w:p>
            </w:tc>
          </w:sdtContent>
        </w:sdt>
      </w:tr>
      <w:tr w14:paraId="7248D9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vMerge w:val="continue"/>
            <w:tcBorders>
              <w:top w:val="single" w:color="auto" w:sz="4" w:space="0"/>
              <w:left w:val="single" w:color="auto" w:sz="4" w:space="0"/>
              <w:bottom w:val="single" w:color="auto" w:sz="4" w:space="0"/>
              <w:right w:val="single" w:color="auto" w:sz="4" w:space="0"/>
            </w:tcBorders>
            <w:vAlign w:val="center"/>
          </w:tcPr>
          <w:p w14:paraId="4777B7CE">
            <w:pPr>
              <w:jc w:val="center"/>
              <w:rPr>
                <w:rFonts w:hint="eastAsia"/>
                <w:szCs w:val="21"/>
              </w:rPr>
            </w:pPr>
          </w:p>
        </w:tc>
        <w:tc>
          <w:tcPr>
            <w:tcW w:w="1017" w:type="pct"/>
            <w:vMerge w:val="continue"/>
            <w:tcBorders>
              <w:left w:val="single" w:color="auto" w:sz="4" w:space="0"/>
              <w:bottom w:val="single" w:color="auto" w:sz="4" w:space="0"/>
              <w:right w:val="single" w:color="auto" w:sz="4" w:space="0"/>
            </w:tcBorders>
            <w:vAlign w:val="center"/>
          </w:tcPr>
          <w:p w14:paraId="56D33AB8">
            <w:pPr>
              <w:jc w:val="center"/>
              <w:rPr>
                <w:rFonts w:hint="eastAsia"/>
                <w:szCs w:val="21"/>
              </w:rPr>
            </w:pPr>
          </w:p>
        </w:tc>
        <w:sdt>
          <w:sdtPr>
            <w:tag w:val="_PLD_503a9e353572491fb64751c75881b5ac"/>
            <w:id w:val="-812792836"/>
          </w:sdtPr>
          <w:sdtContent>
            <w:tc>
              <w:tcPr>
                <w:tcW w:w="1186" w:type="pct"/>
                <w:tcBorders>
                  <w:top w:val="single" w:color="auto" w:sz="4" w:space="0"/>
                  <w:left w:val="single" w:color="auto" w:sz="4" w:space="0"/>
                  <w:bottom w:val="single" w:color="auto" w:sz="4" w:space="0"/>
                  <w:right w:val="single" w:color="auto" w:sz="4" w:space="0"/>
                </w:tcBorders>
                <w:vAlign w:val="center"/>
              </w:tcPr>
              <w:p w14:paraId="0080795E">
                <w:pPr>
                  <w:jc w:val="center"/>
                  <w:rPr>
                    <w:rFonts w:hint="eastAsia"/>
                    <w:szCs w:val="21"/>
                  </w:rPr>
                </w:pPr>
                <w:r>
                  <w:rPr>
                    <w:szCs w:val="21"/>
                  </w:rPr>
                  <w:t>基本每股收益</w:t>
                </w:r>
              </w:p>
            </w:tc>
          </w:sdtContent>
        </w:sdt>
        <w:sdt>
          <w:sdtPr>
            <w:tag w:val="_PLD_b57959d0e3714f2590eb4529892e5c18"/>
            <w:id w:val="176079306"/>
          </w:sdtPr>
          <w:sdtContent>
            <w:tc>
              <w:tcPr>
                <w:tcW w:w="1187" w:type="pct"/>
                <w:tcBorders>
                  <w:top w:val="single" w:color="auto" w:sz="4" w:space="0"/>
                  <w:left w:val="single" w:color="auto" w:sz="4" w:space="0"/>
                  <w:bottom w:val="single" w:color="auto" w:sz="4" w:space="0"/>
                  <w:right w:val="single" w:color="auto" w:sz="4" w:space="0"/>
                </w:tcBorders>
                <w:vAlign w:val="center"/>
              </w:tcPr>
              <w:p w14:paraId="5BBCBA6D">
                <w:pPr>
                  <w:jc w:val="center"/>
                  <w:rPr>
                    <w:rFonts w:hint="eastAsia"/>
                    <w:szCs w:val="21"/>
                  </w:rPr>
                </w:pPr>
                <w:r>
                  <w:rPr>
                    <w:szCs w:val="21"/>
                  </w:rPr>
                  <w:t>稀释每股收益</w:t>
                </w:r>
              </w:p>
            </w:tc>
          </w:sdtContent>
        </w:sdt>
      </w:tr>
      <w:tr w14:paraId="03BC3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vAlign w:val="center"/>
          </w:tcPr>
          <w:p w14:paraId="6FBB3A15">
            <w:pPr>
              <w:rPr>
                <w:rFonts w:hint="eastAsia"/>
                <w:szCs w:val="21"/>
              </w:rPr>
            </w:pPr>
            <w:r>
              <w:rPr>
                <w:szCs w:val="21"/>
              </w:rPr>
              <w:t>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14:paraId="7CB035BB">
            <w:pPr>
              <w:jc w:val="right"/>
              <w:rPr>
                <w:rFonts w:hint="eastAsia"/>
                <w:szCs w:val="21"/>
              </w:rPr>
            </w:pPr>
            <w:r>
              <w:rPr>
                <w:rFonts w:ascii="Arial Narrow" w:hAnsi="Arial Narrow" w:eastAsia="等线"/>
                <w:color w:val="000000"/>
                <w:szCs w:val="21"/>
              </w:rPr>
              <w:t xml:space="preserve">-28.46 </w:t>
            </w:r>
          </w:p>
        </w:tc>
        <w:tc>
          <w:tcPr>
            <w:tcW w:w="1186" w:type="pct"/>
            <w:tcBorders>
              <w:top w:val="single" w:color="auto" w:sz="4" w:space="0"/>
              <w:left w:val="single" w:color="auto" w:sz="4" w:space="0"/>
              <w:bottom w:val="single" w:color="auto" w:sz="4" w:space="0"/>
              <w:right w:val="single" w:color="auto" w:sz="4" w:space="0"/>
            </w:tcBorders>
            <w:vAlign w:val="center"/>
          </w:tcPr>
          <w:p w14:paraId="0F0A3BC0">
            <w:pPr>
              <w:jc w:val="right"/>
              <w:rPr>
                <w:rFonts w:hint="eastAsia"/>
                <w:szCs w:val="21"/>
              </w:rPr>
            </w:pPr>
            <w:r>
              <w:rPr>
                <w:rFonts w:ascii="Arial Narrow" w:hAnsi="Arial Narrow" w:eastAsia="等线"/>
                <w:color w:val="000000"/>
                <w:szCs w:val="21"/>
              </w:rPr>
              <w:t xml:space="preserve">-0.96 </w:t>
            </w:r>
          </w:p>
        </w:tc>
        <w:tc>
          <w:tcPr>
            <w:tcW w:w="1187" w:type="pct"/>
            <w:tcBorders>
              <w:top w:val="single" w:color="auto" w:sz="4" w:space="0"/>
              <w:left w:val="single" w:color="auto" w:sz="4" w:space="0"/>
              <w:bottom w:val="single" w:color="auto" w:sz="4" w:space="0"/>
              <w:right w:val="single" w:color="auto" w:sz="4" w:space="0"/>
            </w:tcBorders>
            <w:vAlign w:val="center"/>
          </w:tcPr>
          <w:p w14:paraId="16A2EF1F">
            <w:pPr>
              <w:jc w:val="right"/>
              <w:rPr>
                <w:rFonts w:hint="eastAsia"/>
                <w:szCs w:val="21"/>
              </w:rPr>
            </w:pPr>
            <w:r>
              <w:rPr>
                <w:rFonts w:ascii="Arial Narrow" w:hAnsi="Arial Narrow" w:eastAsia="等线"/>
                <w:color w:val="000000"/>
                <w:szCs w:val="21"/>
              </w:rPr>
              <w:t xml:space="preserve">-0.96 </w:t>
            </w:r>
          </w:p>
        </w:tc>
      </w:tr>
      <w:tr w14:paraId="5801E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vAlign w:val="center"/>
          </w:tcPr>
          <w:p w14:paraId="67C3C25A">
            <w:pPr>
              <w:rPr>
                <w:rFonts w:hint="eastAsia"/>
                <w:szCs w:val="21"/>
              </w:rPr>
            </w:pPr>
            <w:r>
              <w:rPr>
                <w:szCs w:val="21"/>
              </w:rPr>
              <w:t>扣除非经常性损益后归属于公司普通股股东的净利润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14:paraId="5C03E763">
            <w:pPr>
              <w:jc w:val="right"/>
              <w:rPr>
                <w:rFonts w:hint="eastAsia"/>
                <w:szCs w:val="21"/>
              </w:rPr>
            </w:pPr>
            <w:r>
              <w:rPr>
                <w:rFonts w:ascii="Arial Narrow" w:hAnsi="Arial Narrow" w:eastAsia="等线"/>
                <w:color w:val="000000"/>
                <w:szCs w:val="21"/>
              </w:rPr>
              <w:t xml:space="preserve">-26.73 </w:t>
            </w:r>
          </w:p>
        </w:tc>
        <w:tc>
          <w:tcPr>
            <w:tcW w:w="1186" w:type="pct"/>
            <w:tcBorders>
              <w:top w:val="single" w:color="auto" w:sz="4" w:space="0"/>
              <w:left w:val="single" w:color="auto" w:sz="4" w:space="0"/>
              <w:bottom w:val="single" w:color="auto" w:sz="4" w:space="0"/>
              <w:right w:val="single" w:color="auto" w:sz="4" w:space="0"/>
            </w:tcBorders>
            <w:vAlign w:val="center"/>
          </w:tcPr>
          <w:p w14:paraId="1CD0A200">
            <w:pPr>
              <w:jc w:val="right"/>
              <w:rPr>
                <w:rFonts w:hint="eastAsia"/>
                <w:szCs w:val="21"/>
              </w:rPr>
            </w:pPr>
            <w:r>
              <w:rPr>
                <w:rFonts w:ascii="Arial Narrow" w:hAnsi="Arial Narrow" w:eastAsia="等线"/>
                <w:color w:val="000000"/>
                <w:szCs w:val="21"/>
              </w:rPr>
              <w:t xml:space="preserve">-0.90 </w:t>
            </w:r>
          </w:p>
        </w:tc>
        <w:tc>
          <w:tcPr>
            <w:tcW w:w="1187" w:type="pct"/>
            <w:tcBorders>
              <w:top w:val="single" w:color="auto" w:sz="4" w:space="0"/>
              <w:left w:val="single" w:color="auto" w:sz="4" w:space="0"/>
              <w:bottom w:val="single" w:color="auto" w:sz="4" w:space="0"/>
              <w:right w:val="single" w:color="auto" w:sz="4" w:space="0"/>
            </w:tcBorders>
            <w:vAlign w:val="center"/>
          </w:tcPr>
          <w:p w14:paraId="0AE39619">
            <w:pPr>
              <w:jc w:val="right"/>
              <w:rPr>
                <w:rFonts w:hint="eastAsia"/>
                <w:szCs w:val="21"/>
              </w:rPr>
            </w:pPr>
            <w:r>
              <w:rPr>
                <w:rFonts w:ascii="Arial Narrow" w:hAnsi="Arial Narrow" w:eastAsia="等线"/>
                <w:color w:val="000000"/>
                <w:szCs w:val="21"/>
              </w:rPr>
              <w:t xml:space="preserve">-0.90 </w:t>
            </w:r>
          </w:p>
        </w:tc>
      </w:tr>
    </w:tbl>
    <w:p w14:paraId="5B994516">
      <w:pPr>
        <w:rPr>
          <w:rFonts w:hint="eastAsia"/>
          <w:szCs w:val="21"/>
        </w:rPr>
      </w:pPr>
    </w:p>
    <w:p w14:paraId="21FC564E">
      <w:pPr>
        <w:pStyle w:val="70"/>
        <w:numPr>
          <w:ilvl w:val="0"/>
          <w:numId w:val="181"/>
        </w:numPr>
        <w:rPr>
          <w:rFonts w:hint="eastAsia" w:ascii="宋体" w:hAnsi="宋体"/>
          <w:szCs w:val="21"/>
        </w:rPr>
      </w:pPr>
      <w:r>
        <w:rPr>
          <w:rFonts w:hint="eastAsia" w:ascii="宋体" w:hAnsi="宋体"/>
          <w:szCs w:val="21"/>
        </w:rPr>
        <w:t>境内外会计准则下会计数据差异</w:t>
      </w:r>
    </w:p>
    <w:sdt>
      <w:sdtPr>
        <w:alias w:val="是否适用：境内外会计准则下会计数据差异[双击切换]"/>
        <w:tag w:val="_GBC_256af937a96e4869ba07cb19341957bb"/>
        <w:id w:val="-719286757"/>
        <w:placeholder>
          <w:docPart w:val="GBC22222222222222222222222222222"/>
        </w:placeholder>
      </w:sdtPr>
      <w:sdtContent>
        <w:p w14:paraId="6887A4BB">
          <w:pPr>
            <w:rPr>
              <w:rFonts w:hint="eastAsia" w:cstheme="minorBidi"/>
              <w:kern w:val="2"/>
              <w:szCs w:val="21"/>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p w14:paraId="68661334">
      <w:pPr>
        <w:rPr>
          <w:rFonts w:hint="eastAsia" w:cstheme="minorBidi"/>
          <w:kern w:val="2"/>
          <w:szCs w:val="21"/>
        </w:rPr>
      </w:pPr>
    </w:p>
    <w:p w14:paraId="2EFB9625">
      <w:pPr>
        <w:rPr>
          <w:rFonts w:hint="eastAsia"/>
          <w:szCs w:val="21"/>
        </w:rPr>
      </w:pPr>
    </w:p>
    <w:p w14:paraId="04BBE4A2">
      <w:pPr>
        <w:pStyle w:val="70"/>
        <w:numPr>
          <w:ilvl w:val="0"/>
          <w:numId w:val="181"/>
        </w:numPr>
        <w:rPr>
          <w:rFonts w:hint="eastAsia" w:ascii="宋体" w:hAnsi="宋体"/>
          <w:szCs w:val="21"/>
        </w:rPr>
      </w:pPr>
      <w:r>
        <w:rPr>
          <w:rFonts w:hint="eastAsia" w:ascii="宋体" w:hAnsi="宋体"/>
          <w:szCs w:val="21"/>
        </w:rPr>
        <w:t>其他</w:t>
      </w:r>
    </w:p>
    <w:sdt>
      <w:sdtPr>
        <w:rPr>
          <w:rFonts w:hint="eastAsia"/>
          <w:szCs w:val="21"/>
        </w:rPr>
        <w:alias w:val="是否适用：补充资料其他说明事项[双击切换]"/>
        <w:tag w:val="_GBC_96c49cb17ab64891ac1d396be649be3c"/>
        <w:id w:val="-239709800"/>
        <w:placeholder>
          <w:docPart w:val="GBC22222222222222222222222222222"/>
        </w:placeholder>
      </w:sdtPr>
      <w:sdtEndPr>
        <w:rPr>
          <w:rFonts w:hint="eastAsia"/>
          <w:szCs w:val="21"/>
        </w:rPr>
      </w:sdtEndPr>
      <w:sdtContent>
        <w:p w14:paraId="7FD19A6F">
          <w:pPr>
            <w:rPr>
              <w:rFonts w:hint="eastAsia"/>
              <w:szCs w:val="21"/>
            </w:rPr>
          </w:pPr>
          <w:r>
            <w:rPr>
              <w:szCs w:val="21"/>
            </w:rPr>
            <w:fldChar w:fldCharType="begin"/>
          </w:r>
          <w:r>
            <w:rPr>
              <w:rFonts w:hint="eastAsia"/>
              <w:szCs w:val="21"/>
            </w:rPr>
            <w:instrText xml:space="preserve"> MACROBUTTON  SnrToggleCheckbox □适用  </w:instrText>
          </w:r>
          <w:r>
            <w:rPr>
              <w:szCs w:val="21"/>
            </w:rPr>
            <w:fldChar w:fldCharType="end"/>
          </w:r>
          <w:r>
            <w:rPr>
              <w:szCs w:val="21"/>
            </w:rPr>
            <w:fldChar w:fldCharType="begin"/>
          </w:r>
          <w:r>
            <w:rPr>
              <w:rFonts w:hint="eastAsia"/>
              <w:szCs w:val="21"/>
            </w:rPr>
            <w:instrText xml:space="preserve"> MACROBUTTON  SnrToggleCheckbox √不适用 </w:instrText>
          </w:r>
          <w:r>
            <w:rPr>
              <w:szCs w:val="21"/>
            </w:rPr>
            <w:fldChar w:fldCharType="end"/>
          </w:r>
        </w:p>
      </w:sdtContent>
    </w:sdt>
    <w:p w14:paraId="271E8FA8">
      <w:pPr>
        <w:rPr>
          <w:rFonts w:hint="eastAsia"/>
          <w:szCs w:val="21"/>
        </w:rPr>
      </w:pPr>
    </w:p>
    <w:p w14:paraId="5A79F945">
      <w:pPr>
        <w:spacing w:line="360" w:lineRule="exact"/>
        <w:ind w:right="5"/>
        <w:rPr>
          <w:rFonts w:hint="eastAsia"/>
          <w:b/>
          <w:bCs/>
          <w:sz w:val="24"/>
        </w:rPr>
      </w:pPr>
      <w:bookmarkStart w:id="458" w:name="_Hlk90043452"/>
      <w:bookmarkStart w:id="459" w:name="_Hlk89951888"/>
    </w:p>
    <w:bookmarkEnd w:id="454"/>
    <w:p w14:paraId="145CB2B9">
      <w:pPr>
        <w:wordWrap w:val="0"/>
        <w:spacing w:line="360" w:lineRule="exact"/>
        <w:jc w:val="right"/>
        <w:rPr>
          <w:rFonts w:hint="eastAsia"/>
          <w:u w:val="single"/>
        </w:rPr>
      </w:pPr>
      <w:r>
        <w:t>董事长：</w:t>
      </w:r>
      <w:sdt>
        <w:sdtPr>
          <w:alias w:val="报告发布人"/>
          <w:tag w:val="_GBC_728ad6dff57942a69e22fcccc1f10a3c"/>
          <w:id w:val="-1854493250"/>
          <w:placeholder>
            <w:docPart w:val="GBC22222222222222222222222222222"/>
          </w:placeholder>
        </w:sdtPr>
        <w:sdtContent>
          <w:r>
            <w:rPr>
              <w:rFonts w:hint="eastAsia"/>
            </w:rPr>
            <w:t>夏前军</w:t>
          </w:r>
        </w:sdtContent>
      </w:sdt>
      <w:r>
        <w:rPr>
          <w:rFonts w:hint="eastAsia"/>
        </w:rPr>
        <w:t xml:space="preserve"> </w:t>
      </w:r>
    </w:p>
    <w:p w14:paraId="434110D7">
      <w:pPr>
        <w:spacing w:line="360" w:lineRule="exact"/>
        <w:jc w:val="right"/>
        <w:rPr>
          <w:rFonts w:hint="eastAsia"/>
        </w:rPr>
      </w:pPr>
      <w:r>
        <w:t>董事会批准报送日期：</w:t>
      </w:r>
      <w:sdt>
        <w:sdtPr>
          <w:alias w:val="报告董事会批准报送日期"/>
          <w:tag w:val="_GBC_7b8c4a7926dc47299591537f5943936d"/>
          <w:id w:val="-1365667821"/>
          <w:placeholder>
            <w:docPart w:val="GBC22222222222222222222222222222"/>
          </w:placeholder>
          <w:date w:fullDate="2025-04-25T00:00:00Z">
            <w:dateFormat w:val="yyyy'年'M'月'd'日'"/>
            <w:lid w:val="zh-CN"/>
            <w:storeMappedDataAs w:val="datetime"/>
            <w:calendar w:val="gregorian"/>
          </w:date>
        </w:sdtPr>
        <w:sdtContent>
          <w:r>
            <w:rPr>
              <w:rFonts w:hint="eastAsia"/>
            </w:rPr>
            <w:t>2025年4月25日</w:t>
          </w:r>
        </w:sdtContent>
      </w:sdt>
      <w:r>
        <w:rPr>
          <w:rFonts w:hint="eastAsia"/>
        </w:rPr>
        <w:t xml:space="preserve"> </w:t>
      </w:r>
    </w:p>
    <w:bookmarkEnd w:id="458"/>
    <w:bookmarkEnd w:id="459"/>
    <w:p w14:paraId="322FD356">
      <w:pPr>
        <w:spacing w:line="360" w:lineRule="exact"/>
        <w:ind w:right="5"/>
        <w:rPr>
          <w:rFonts w:hint="eastAsia"/>
        </w:rPr>
      </w:pPr>
    </w:p>
    <w:p w14:paraId="6FCB4BCD">
      <w:pPr>
        <w:spacing w:line="360" w:lineRule="exact"/>
        <w:ind w:right="5"/>
        <w:rPr>
          <w:rFonts w:hint="eastAsia"/>
          <w:b/>
          <w:sz w:val="24"/>
        </w:rPr>
      </w:pPr>
      <w:r>
        <w:rPr>
          <w:b/>
          <w:sz w:val="24"/>
        </w:rPr>
        <w:t>修订信息</w:t>
      </w:r>
    </w:p>
    <w:sdt>
      <w:sdtPr>
        <w:alias w:val="是否适用：修订信息表[双击切换]"/>
        <w:tag w:val="_GBC_888e757d42a24d3a87b71f50b0589b0a"/>
        <w:id w:val="-1767456013"/>
        <w:placeholder>
          <w:docPart w:val="GBC22222222222222222222222222222"/>
        </w:placeholder>
      </w:sdtPr>
      <w:sdtContent>
        <w:p w14:paraId="50400278">
          <w:pPr>
            <w:rPr>
              <w:rFonts w:hint="eastAsia"/>
            </w:rPr>
          </w:pPr>
          <w:r>
            <w:fldChar w:fldCharType="begin"/>
          </w:r>
          <w:r>
            <w:rPr>
              <w:rFonts w:hint="eastAsia"/>
            </w:rPr>
            <w:instrText xml:space="preserve">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sectPr>
      <w:pgSz w:w="11906" w:h="16838"/>
      <w:pgMar w:top="1525" w:right="1276" w:bottom="1440" w:left="1797" w:header="856"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Noto Sans CJK JP Regular">
    <w:altName w:val="宋体"/>
    <w:panose1 w:val="00000000000000000000"/>
    <w:charset w:val="86"/>
    <w:family w:val="swiss"/>
    <w:pitch w:val="default"/>
    <w:sig w:usb0="00000000" w:usb1="00000000" w:usb2="00000016" w:usb3="00000000" w:csb0="002E0107" w:csb1="00000000"/>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Helvetica-Narrow">
    <w:altName w:val="Arial Narrow"/>
    <w:panose1 w:val="00000000000000000000"/>
    <w:charset w:val="00"/>
    <w:family w:val="swiss"/>
    <w:pitch w:val="default"/>
    <w:sig w:usb0="00000000" w:usb1="00000000" w:usb2="00000000" w:usb3="00000000" w:csb0="00000001" w:csb1="00000000"/>
  </w:font>
  <w:font w:name="FZLTSK--GBK1-0">
    <w:altName w:val="等线"/>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C801D">
    <w:pPr>
      <w:pStyle w:val="25"/>
      <w:jc w:val="center"/>
    </w:pPr>
    <w:r>
      <w:rPr>
        <w:b/>
        <w:bCs/>
        <w:sz w:val="24"/>
        <w:szCs w:val="24"/>
      </w:rPr>
      <w:fldChar w:fldCharType="begin"/>
    </w:r>
    <w:r>
      <w:rPr>
        <w:b/>
        <w:bCs/>
      </w:rPr>
      <w:instrText xml:space="preserve">PAGE</w:instrText>
    </w:r>
    <w:r>
      <w:rPr>
        <w:b/>
        <w:bCs/>
        <w:sz w:val="24"/>
        <w:szCs w:val="24"/>
      </w:rPr>
      <w:fldChar w:fldCharType="separate"/>
    </w:r>
    <w:r>
      <w:rPr>
        <w:b/>
        <w:bCs/>
      </w:rPr>
      <w:t>69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252</w:t>
    </w:r>
    <w:r>
      <w:rPr>
        <w:b/>
        <w:bCs/>
        <w:sz w:val="24"/>
        <w:szCs w:val="24"/>
      </w:rPr>
      <w:fldChar w:fldCharType="end"/>
    </w:r>
  </w:p>
  <w:p w14:paraId="040BB2C1">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9DBB">
    <w:pPr>
      <w:pStyle w:val="26"/>
      <w:tabs>
        <w:tab w:val="left" w:pos="8364"/>
        <w:tab w:val="left" w:pos="8505"/>
        <w:tab w:val="clear" w:pos="8306"/>
      </w:tabs>
      <w:ind w:right="21" w:rightChars="10"/>
      <w:rPr>
        <w:b/>
      </w:rPr>
    </w:pPr>
    <w:sdt>
      <w:sdtPr>
        <w:rPr>
          <w:rFonts w:hint="eastAsia"/>
        </w:rPr>
        <w:alias w:val="公司法定中文名称"/>
        <w:tag w:val="_GBC_e3e0c995ecc548d39789fc25ee290bfb"/>
        <w:id w:val="1836415349"/>
        <w:dataBinding w:prefixMappings="xmlns:clcid-cgi='clcid-cgi'" w:xpath="/*/clcid-cgi:GongSiFaDingZhongWenMingCheng[not(@periodRef)]" w:storeItemID="{89EBAB94-44A0-46A2-B712-30D997D04A6D}"/>
        <w:text/>
      </w:sdtPr>
      <w:sdtEndPr>
        <w:rPr>
          <w:rFonts w:hint="eastAsia"/>
        </w:rPr>
      </w:sdtEndPr>
      <w:sdtContent>
        <w:r>
          <w:rPr>
            <w:rFonts w:hint="eastAsia"/>
          </w:rPr>
          <w:t>际华集团股份有限公司</w:t>
        </w:r>
      </w:sdtContent>
    </w:sdt>
    <w:r>
      <w:rPr>
        <w:rFonts w:hint="eastAsia"/>
      </w:rPr>
      <w:t>2024年年度报告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7438FB"/>
    <w:multiLevelType w:val="singleLevel"/>
    <w:tmpl w:val="027438FB"/>
    <w:lvl w:ilvl="0" w:tentative="0">
      <w:start w:val="1"/>
      <w:numFmt w:val="chineseCounting"/>
      <w:suff w:val="nothing"/>
      <w:lvlText w:val="%1、"/>
      <w:lvlJc w:val="left"/>
      <w:rPr>
        <w:rFonts w:hint="eastAsia"/>
      </w:rPr>
    </w:lvl>
  </w:abstractNum>
  <w:abstractNum w:abstractNumId="1">
    <w:nsid w:val="02D54D2D"/>
    <w:multiLevelType w:val="multilevel"/>
    <w:tmpl w:val="02D54D2D"/>
    <w:lvl w:ilvl="0" w:tentative="0">
      <w:start w:val="1"/>
      <w:numFmt w:val="chineseCountingThousand"/>
      <w:suff w:val="nothing"/>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2D67871"/>
    <w:multiLevelType w:val="multilevel"/>
    <w:tmpl w:val="02D67871"/>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C8219D"/>
    <w:multiLevelType w:val="multilevel"/>
    <w:tmpl w:val="04C821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b/>
        <w:color w:val="auto"/>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04F84B53"/>
    <w:multiLevelType w:val="multilevel"/>
    <w:tmpl w:val="04F84B53"/>
    <w:lvl w:ilvl="0" w:tentative="0">
      <w:start w:val="1"/>
      <w:numFmt w:val="chineseCountingThousand"/>
      <w:suff w:val="space"/>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5EC5780"/>
    <w:multiLevelType w:val="multilevel"/>
    <w:tmpl w:val="05EC5780"/>
    <w:lvl w:ilvl="0" w:tentative="0">
      <w:start w:val="1"/>
      <w:numFmt w:val="chineseCountingThousand"/>
      <w:lvlText w:val="%1、"/>
      <w:lvlJc w:val="left"/>
      <w:pPr>
        <w:ind w:left="0" w:firstLine="0"/>
      </w:pPr>
      <w:rPr>
        <w:rFonts w:hint="default"/>
        <w:b/>
        <w:i w:val="0"/>
        <w:color w:val="auto"/>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6633376"/>
    <w:multiLevelType w:val="multilevel"/>
    <w:tmpl w:val="06633376"/>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07613C16"/>
    <w:multiLevelType w:val="multilevel"/>
    <w:tmpl w:val="07613C16"/>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84C07F1"/>
    <w:multiLevelType w:val="multilevel"/>
    <w:tmpl w:val="084C07F1"/>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
    <w:nsid w:val="086368A8"/>
    <w:multiLevelType w:val="multilevel"/>
    <w:tmpl w:val="086368A8"/>
    <w:lvl w:ilvl="0" w:tentative="0">
      <w:start w:val="1"/>
      <w:numFmt w:val="japaneseCount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09605B91"/>
    <w:multiLevelType w:val="multilevel"/>
    <w:tmpl w:val="09605B91"/>
    <w:lvl w:ilvl="0" w:tentative="0">
      <w:start w:val="1"/>
      <w:numFmt w:val="chineseCountingThousand"/>
      <w:suff w:val="space"/>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9984544"/>
    <w:multiLevelType w:val="multilevel"/>
    <w:tmpl w:val="09984544"/>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
    <w:nsid w:val="0A910909"/>
    <w:multiLevelType w:val="multilevel"/>
    <w:tmpl w:val="0A910909"/>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0ABC7177"/>
    <w:multiLevelType w:val="multilevel"/>
    <w:tmpl w:val="0ABC7177"/>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ABF6185"/>
    <w:multiLevelType w:val="multilevel"/>
    <w:tmpl w:val="0ABF6185"/>
    <w:lvl w:ilvl="0" w:tentative="0">
      <w:start w:val="1"/>
      <w:numFmt w:val="decimal"/>
      <w:suff w:val="nothing"/>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0C804A43"/>
    <w:multiLevelType w:val="multilevel"/>
    <w:tmpl w:val="0C804A43"/>
    <w:lvl w:ilvl="0" w:tentative="0">
      <w:start w:val="1"/>
      <w:numFmt w:val="chineseCountingThousand"/>
      <w:lvlText w:val="(%1)"/>
      <w:lvlJc w:val="right"/>
      <w:pPr>
        <w:ind w:left="1260" w:hanging="420"/>
      </w:pPr>
      <w:rPr>
        <w:rFonts w:hint="eastAsia"/>
      </w:rPr>
    </w:lvl>
    <w:lvl w:ilvl="1" w:tentative="0">
      <w:start w:val="1"/>
      <w:numFmt w:val="lowerLetter"/>
      <w:lvlText w:val="%2)"/>
      <w:lvlJc w:val="left"/>
      <w:pPr>
        <w:ind w:left="840" w:hanging="420"/>
      </w:pPr>
    </w:lvl>
    <w:lvl w:ilvl="2" w:tentative="0">
      <w:start w:val="1"/>
      <w:numFmt w:val="chineseCountingThousand"/>
      <w:lvlText w:val="(%3)"/>
      <w:lvlJc w:val="right"/>
      <w:pPr>
        <w:ind w:left="420" w:hanging="420"/>
      </w:pPr>
      <w:rPr>
        <w:rFonts w:hint="eastAsia"/>
      </w:rPr>
    </w:lvl>
    <w:lvl w:ilvl="3" w:tentative="0">
      <w:start w:val="1"/>
      <w:numFmt w:val="chineseCountingThousand"/>
      <w:suff w:val="nothing"/>
      <w:lvlText w:val="(%4)"/>
      <w:lvlJc w:val="left"/>
      <w:pPr>
        <w:ind w:left="0" w:firstLine="0"/>
      </w:pPr>
      <w:rPr>
        <w:rFonts w:hint="eastAsia" w:ascii="宋体" w:hAnsi="宋体" w:eastAsia="宋体"/>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C8F0EC7"/>
    <w:multiLevelType w:val="multilevel"/>
    <w:tmpl w:val="0C8F0EC7"/>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
    <w:nsid w:val="0CDB70A4"/>
    <w:multiLevelType w:val="multilevel"/>
    <w:tmpl w:val="0CDB70A4"/>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suff w:val="space"/>
      <w:lvlText w:val="(%4)."/>
      <w:lvlJc w:val="left"/>
      <w:pPr>
        <w:ind w:left="0" w:firstLine="0"/>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8">
    <w:nsid w:val="0CF00AD3"/>
    <w:multiLevelType w:val="multilevel"/>
    <w:tmpl w:val="0CF00AD3"/>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0E5459D9"/>
    <w:multiLevelType w:val="multilevel"/>
    <w:tmpl w:val="0E5459D9"/>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0">
    <w:nsid w:val="0E737CBA"/>
    <w:multiLevelType w:val="multilevel"/>
    <w:tmpl w:val="0E737CBA"/>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4."/>
      <w:lvlJc w:val="left"/>
      <w:pPr>
        <w:ind w:left="1984" w:hanging="708"/>
      </w:pPr>
      <w:rPr>
        <w:rFonts w:hint="eastAsia" w:ascii="宋体" w:hAnsi="宋体" w:eastAsia="宋体"/>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0F6D7AF9"/>
    <w:multiLevelType w:val="multilevel"/>
    <w:tmpl w:val="0F6D7AF9"/>
    <w:lvl w:ilvl="0" w:tentative="0">
      <w:start w:val="1"/>
      <w:numFmt w:val="decimal"/>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0F6E3259"/>
    <w:multiLevelType w:val="multilevel"/>
    <w:tmpl w:val="0F6E3259"/>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39A24C9"/>
    <w:multiLevelType w:val="singleLevel"/>
    <w:tmpl w:val="139A24C9"/>
    <w:lvl w:ilvl="0" w:tentative="0">
      <w:start w:val="1"/>
      <w:numFmt w:val="decimal"/>
      <w:lvlText w:val="%1."/>
      <w:lvlJc w:val="left"/>
      <w:pPr>
        <w:tabs>
          <w:tab w:val="left" w:pos="312"/>
        </w:tabs>
      </w:pPr>
    </w:lvl>
  </w:abstractNum>
  <w:abstractNum w:abstractNumId="24">
    <w:nsid w:val="14F82C46"/>
    <w:multiLevelType w:val="multilevel"/>
    <w:tmpl w:val="14F82C46"/>
    <w:lvl w:ilvl="0" w:tentative="0">
      <w:start w:val="1"/>
      <w:numFmt w:val="decimal"/>
      <w:lvlText w:val="%1、"/>
      <w:lvlJc w:val="left"/>
      <w:pPr>
        <w:ind w:left="420" w:hanging="420"/>
      </w:pPr>
      <w:rPr>
        <w:rFonts w:ascii="宋体" w:hAnsi="宋体" w:eastAsia="宋体"/>
        <w:b/>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164163D7"/>
    <w:multiLevelType w:val="multilevel"/>
    <w:tmpl w:val="164163D7"/>
    <w:lvl w:ilvl="0" w:tentative="0">
      <w:start w:val="1"/>
      <w:numFmt w:val="chineseCountingThousand"/>
      <w:lvlText w:val="(%1)"/>
      <w:lvlJc w:val="left"/>
      <w:pPr>
        <w:ind w:left="420" w:hanging="420"/>
      </w:pPr>
    </w:lvl>
    <w:lvl w:ilvl="1" w:tentative="0">
      <w:start w:val="1"/>
      <w:numFmt w:val="chineseCountingThousand"/>
      <w:lvlText w:val="(%2)"/>
      <w:lvlJc w:val="left"/>
      <w:pPr>
        <w:ind w:left="840" w:hanging="420"/>
      </w:p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16AC68D3"/>
    <w:multiLevelType w:val="singleLevel"/>
    <w:tmpl w:val="16AC68D3"/>
    <w:lvl w:ilvl="0" w:tentative="0">
      <w:start w:val="1"/>
      <w:numFmt w:val="decimal"/>
      <w:lvlText w:val="%1."/>
      <w:lvlJc w:val="left"/>
      <w:pPr>
        <w:tabs>
          <w:tab w:val="left" w:pos="312"/>
        </w:tabs>
      </w:pPr>
    </w:lvl>
  </w:abstractNum>
  <w:abstractNum w:abstractNumId="27">
    <w:nsid w:val="17071F46"/>
    <w:multiLevelType w:val="multilevel"/>
    <w:tmpl w:val="17071F46"/>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17B94FEB"/>
    <w:multiLevelType w:val="multilevel"/>
    <w:tmpl w:val="17B94FEB"/>
    <w:lvl w:ilvl="0" w:tentative="0">
      <w:start w:val="1"/>
      <w:numFmt w:val="decimal"/>
      <w:lvlText w:val="(%1)."/>
      <w:lvlJc w:val="left"/>
      <w:pPr>
        <w:ind w:left="440" w:hanging="440"/>
      </w:pPr>
      <w:rPr>
        <w:rFonts w:hint="eastAsia" w:asciiTheme="majorEastAsia" w:hAnsiTheme="majorEastAsia" w:eastAsia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9">
    <w:nsid w:val="19767BC7"/>
    <w:multiLevelType w:val="multilevel"/>
    <w:tmpl w:val="19767BC7"/>
    <w:lvl w:ilvl="0" w:tentative="0">
      <w:start w:val="1"/>
      <w:numFmt w:val="decimal"/>
      <w:lvlText w:val="%1、"/>
      <w:lvlJc w:val="left"/>
      <w:pPr>
        <w:ind w:left="425" w:hanging="425"/>
      </w:pPr>
      <w:rPr>
        <w:rFonts w:hint="eastAsia" w:eastAsia="宋体" w:asciiTheme="majorEastAsia" w:hAnsiTheme="major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198F38F5"/>
    <w:multiLevelType w:val="multilevel"/>
    <w:tmpl w:val="198F38F5"/>
    <w:lvl w:ilvl="0" w:tentative="0">
      <w:start w:val="1"/>
      <w:numFmt w:val="decimal"/>
      <w:lvlText w:val="(%1)"/>
      <w:lvlJc w:val="left"/>
      <w:pPr>
        <w:ind w:left="0" w:firstLine="0"/>
      </w:pPr>
      <w:rPr>
        <w:rFonts w:hint="default" w:ascii="宋体" w:hAnsi="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19980DDD"/>
    <w:multiLevelType w:val="multilevel"/>
    <w:tmpl w:val="19980DD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1A0450EB"/>
    <w:multiLevelType w:val="multilevel"/>
    <w:tmpl w:val="1A0450EB"/>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1A07301E"/>
    <w:multiLevelType w:val="multilevel"/>
    <w:tmpl w:val="1A07301E"/>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1A556A3C"/>
    <w:multiLevelType w:val="singleLevel"/>
    <w:tmpl w:val="1A556A3C"/>
    <w:lvl w:ilvl="0" w:tentative="0">
      <w:start w:val="1"/>
      <w:numFmt w:val="decimal"/>
      <w:lvlText w:val="%1."/>
      <w:lvlJc w:val="left"/>
      <w:pPr>
        <w:tabs>
          <w:tab w:val="left" w:pos="312"/>
        </w:tabs>
      </w:pPr>
    </w:lvl>
  </w:abstractNum>
  <w:abstractNum w:abstractNumId="35">
    <w:nsid w:val="1B705519"/>
    <w:multiLevelType w:val="multilevel"/>
    <w:tmpl w:val="1B705519"/>
    <w:lvl w:ilvl="0" w:tentative="0">
      <w:start w:val="1"/>
      <w:numFmt w:val="decimal"/>
      <w:suff w:val="nothing"/>
      <w:lvlText w:val="(%1). "/>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BDF029E"/>
    <w:multiLevelType w:val="multilevel"/>
    <w:tmpl w:val="1BDF029E"/>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7">
    <w:nsid w:val="1C953552"/>
    <w:multiLevelType w:val="multilevel"/>
    <w:tmpl w:val="1C953552"/>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8">
    <w:nsid w:val="1D64447D"/>
    <w:multiLevelType w:val="multilevel"/>
    <w:tmpl w:val="1D64447D"/>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9">
    <w:nsid w:val="1F2D3A8E"/>
    <w:multiLevelType w:val="singleLevel"/>
    <w:tmpl w:val="1F2D3A8E"/>
    <w:lvl w:ilvl="0" w:tentative="0">
      <w:start w:val="1"/>
      <w:numFmt w:val="decimal"/>
      <w:lvlText w:val="%1."/>
      <w:lvlJc w:val="left"/>
      <w:pPr>
        <w:tabs>
          <w:tab w:val="left" w:pos="312"/>
        </w:tabs>
      </w:pPr>
    </w:lvl>
  </w:abstractNum>
  <w:abstractNum w:abstractNumId="40">
    <w:nsid w:val="1F761C37"/>
    <w:multiLevelType w:val="multilevel"/>
    <w:tmpl w:val="1F761C3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1">
    <w:nsid w:val="1F8153BB"/>
    <w:multiLevelType w:val="multilevel"/>
    <w:tmpl w:val="1F8153BB"/>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206A48CF"/>
    <w:multiLevelType w:val="multilevel"/>
    <w:tmpl w:val="206A48C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20AF1D28"/>
    <w:multiLevelType w:val="multilevel"/>
    <w:tmpl w:val="20AF1D28"/>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44">
    <w:nsid w:val="2126725F"/>
    <w:multiLevelType w:val="multilevel"/>
    <w:tmpl w:val="2126725F"/>
    <w:lvl w:ilvl="0" w:tentative="0">
      <w:start w:val="1"/>
      <w:numFmt w:val="decimal"/>
      <w:suff w:val="space"/>
      <w:lvlText w:val="1.%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5">
    <w:nsid w:val="224C79F5"/>
    <w:multiLevelType w:val="multilevel"/>
    <w:tmpl w:val="224C79F5"/>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238F5E34"/>
    <w:multiLevelType w:val="multilevel"/>
    <w:tmpl w:val="238F5E34"/>
    <w:lvl w:ilvl="0" w:tentative="0">
      <w:start w:val="1"/>
      <w:numFmt w:val="decimal"/>
      <w:lvlText w:val="(%1)"/>
      <w:lvlJc w:val="left"/>
      <w:pPr>
        <w:ind w:left="0" w:firstLine="0"/>
      </w:pPr>
      <w:rPr>
        <w:rFonts w:hint="default" w:ascii="宋体" w:hAnsi="宋体"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7">
    <w:nsid w:val="23E664E7"/>
    <w:multiLevelType w:val="multilevel"/>
    <w:tmpl w:val="23E664E7"/>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24592C29"/>
    <w:multiLevelType w:val="multilevel"/>
    <w:tmpl w:val="24592C2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25DA508B"/>
    <w:multiLevelType w:val="singleLevel"/>
    <w:tmpl w:val="25DA508B"/>
    <w:lvl w:ilvl="0" w:tentative="0">
      <w:start w:val="1"/>
      <w:numFmt w:val="decimal"/>
      <w:lvlText w:val="%1."/>
      <w:lvlJc w:val="left"/>
      <w:pPr>
        <w:tabs>
          <w:tab w:val="left" w:pos="312"/>
        </w:tabs>
      </w:pPr>
    </w:lvl>
  </w:abstractNum>
  <w:abstractNum w:abstractNumId="50">
    <w:nsid w:val="27243BB8"/>
    <w:multiLevelType w:val="multilevel"/>
    <w:tmpl w:val="27243BB8"/>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1">
    <w:nsid w:val="275A4F9F"/>
    <w:multiLevelType w:val="multilevel"/>
    <w:tmpl w:val="275A4F9F"/>
    <w:lvl w:ilvl="0" w:tentative="0">
      <w:start w:val="1"/>
      <w:numFmt w:val="decimal"/>
      <w:suff w:val="nothing"/>
      <w:lvlText w:val="(%1). "/>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289D56AE"/>
    <w:multiLevelType w:val="singleLevel"/>
    <w:tmpl w:val="289D56AE"/>
    <w:lvl w:ilvl="0" w:tentative="0">
      <w:start w:val="1"/>
      <w:numFmt w:val="decimal"/>
      <w:lvlText w:val="%1."/>
      <w:lvlJc w:val="left"/>
      <w:pPr>
        <w:tabs>
          <w:tab w:val="left" w:pos="312"/>
        </w:tabs>
      </w:pPr>
    </w:lvl>
  </w:abstractNum>
  <w:abstractNum w:abstractNumId="53">
    <w:nsid w:val="2A6F17F1"/>
    <w:multiLevelType w:val="multilevel"/>
    <w:tmpl w:val="2A6F17F1"/>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4">
    <w:nsid w:val="2A8E3C1C"/>
    <w:multiLevelType w:val="multilevel"/>
    <w:tmpl w:val="2A8E3C1C"/>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5">
    <w:nsid w:val="2ABA5091"/>
    <w:multiLevelType w:val="multilevel"/>
    <w:tmpl w:val="2ABA5091"/>
    <w:lvl w:ilvl="0" w:tentative="0">
      <w:start w:val="1"/>
      <w:numFmt w:val="chineseCountingThousand"/>
      <w:suff w:val="nothing"/>
      <w:lvlText w:val="%1、"/>
      <w:lvlJc w:val="left"/>
      <w:pPr>
        <w:ind w:left="450" w:hanging="45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2ACA493D"/>
    <w:multiLevelType w:val="multilevel"/>
    <w:tmpl w:val="2ACA493D"/>
    <w:lvl w:ilvl="0" w:tentative="0">
      <w:start w:val="1"/>
      <w:numFmt w:val="chineseCountingThousand"/>
      <w:suff w:val="space"/>
      <w:lvlText w:val="(%1)"/>
      <w:lvlJc w:val="left"/>
      <w:pPr>
        <w:ind w:left="420" w:hanging="420"/>
      </w:pPr>
      <w:rPr>
        <w:rFonts w:hint="eastAsia" w:ascii="宋体" w:hAnsi="宋体" w:eastAsia="宋体"/>
      </w:rPr>
    </w:lvl>
    <w:lvl w:ilvl="1" w:tentative="0">
      <w:start w:val="1"/>
      <w:numFmt w:val="chineseCountingThousand"/>
      <w:lvlText w:val="(%2)"/>
      <w:lvlJc w:val="left"/>
      <w:pPr>
        <w:ind w:left="840" w:hanging="420"/>
      </w:p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2ADA3050"/>
    <w:multiLevelType w:val="multilevel"/>
    <w:tmpl w:val="2ADA3050"/>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2AF9536B"/>
    <w:multiLevelType w:val="singleLevel"/>
    <w:tmpl w:val="2AF9536B"/>
    <w:lvl w:ilvl="0" w:tentative="0">
      <w:start w:val="1"/>
      <w:numFmt w:val="decimal"/>
      <w:lvlText w:val="%1."/>
      <w:lvlJc w:val="left"/>
      <w:pPr>
        <w:tabs>
          <w:tab w:val="left" w:pos="312"/>
        </w:tabs>
      </w:pPr>
    </w:lvl>
  </w:abstractNum>
  <w:abstractNum w:abstractNumId="59">
    <w:nsid w:val="2B2732CF"/>
    <w:multiLevelType w:val="singleLevel"/>
    <w:tmpl w:val="2B2732CF"/>
    <w:lvl w:ilvl="0" w:tentative="0">
      <w:start w:val="1"/>
      <w:numFmt w:val="decimal"/>
      <w:lvlText w:val="%1."/>
      <w:lvlJc w:val="left"/>
      <w:pPr>
        <w:tabs>
          <w:tab w:val="left" w:pos="312"/>
        </w:tabs>
      </w:pPr>
    </w:lvl>
  </w:abstractNum>
  <w:abstractNum w:abstractNumId="60">
    <w:nsid w:val="2B453FF3"/>
    <w:multiLevelType w:val="singleLevel"/>
    <w:tmpl w:val="2B453FF3"/>
    <w:lvl w:ilvl="0" w:tentative="0">
      <w:start w:val="1"/>
      <w:numFmt w:val="decimal"/>
      <w:lvlText w:val="%1."/>
      <w:lvlJc w:val="left"/>
      <w:pPr>
        <w:tabs>
          <w:tab w:val="left" w:pos="312"/>
        </w:tabs>
      </w:pPr>
    </w:lvl>
  </w:abstractNum>
  <w:abstractNum w:abstractNumId="61">
    <w:nsid w:val="2C5C7B96"/>
    <w:multiLevelType w:val="multilevel"/>
    <w:tmpl w:val="2C5C7B96"/>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2">
    <w:nsid w:val="2CFE3D06"/>
    <w:multiLevelType w:val="multilevel"/>
    <w:tmpl w:val="2CFE3D06"/>
    <w:lvl w:ilvl="0" w:tentative="0">
      <w:start w:val="1"/>
      <w:numFmt w:val="chineseCountingThousand"/>
      <w:lvlText w:val="(%1)"/>
      <w:lvlJc w:val="left"/>
      <w:pPr>
        <w:ind w:left="420" w:hanging="420"/>
      </w:pPr>
    </w:lvl>
    <w:lvl w:ilvl="1" w:tentative="0">
      <w:start w:val="1"/>
      <w:numFmt w:val="decimal"/>
      <w:lvlText w:val="(%2). "/>
      <w:lvlJc w:val="left"/>
      <w:pPr>
        <w:ind w:left="840" w:hanging="420"/>
      </w:pPr>
      <w:rPr>
        <w:rFonts w:hint="eastAsia" w:ascii="宋体" w:hAnsi="宋体" w:eastAsia="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2E49711E"/>
    <w:multiLevelType w:val="multilevel"/>
    <w:tmpl w:val="2E49711E"/>
    <w:lvl w:ilvl="0" w:tentative="0">
      <w:start w:val="1"/>
      <w:numFmt w:val="decimal"/>
      <w:suff w:val="nothing"/>
      <w:lvlText w:val="(%1)."/>
      <w:lvlJc w:val="left"/>
      <w:pPr>
        <w:ind w:left="420" w:hanging="420"/>
      </w:pPr>
      <w:rPr>
        <w:rFonts w:hint="eastAsia" w:eastAsia="宋体" w:asciiTheme="minorEastAsia" w:hAnsi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4">
    <w:nsid w:val="2F4D4727"/>
    <w:multiLevelType w:val="singleLevel"/>
    <w:tmpl w:val="2F4D4727"/>
    <w:lvl w:ilvl="0" w:tentative="0">
      <w:start w:val="1"/>
      <w:numFmt w:val="decimal"/>
      <w:lvlText w:val="%1."/>
      <w:lvlJc w:val="left"/>
      <w:pPr>
        <w:tabs>
          <w:tab w:val="left" w:pos="312"/>
        </w:tabs>
      </w:pPr>
    </w:lvl>
  </w:abstractNum>
  <w:abstractNum w:abstractNumId="65">
    <w:nsid w:val="2F5F7A77"/>
    <w:multiLevelType w:val="multilevel"/>
    <w:tmpl w:val="2F5F7A7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suff w:val="nothing"/>
      <w:lvlText w:val="(%4). "/>
      <w:lvlJc w:val="left"/>
      <w:pPr>
        <w:ind w:left="0" w:firstLine="0"/>
      </w:pPr>
      <w:rPr>
        <w:rFonts w:hint="default" w:ascii="宋体" w:hAnsi="宋体" w:eastAsia="宋体"/>
        <w:b/>
        <w:color w:val="auto"/>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6">
    <w:nsid w:val="2FB15C96"/>
    <w:multiLevelType w:val="multilevel"/>
    <w:tmpl w:val="2FB15C96"/>
    <w:lvl w:ilvl="0" w:tentative="0">
      <w:start w:val="1"/>
      <w:numFmt w:val="japaneseCounting"/>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7">
    <w:nsid w:val="30DB0EE5"/>
    <w:multiLevelType w:val="multilevel"/>
    <w:tmpl w:val="30DB0EE5"/>
    <w:lvl w:ilvl="0" w:tentative="0">
      <w:start w:val="1"/>
      <w:numFmt w:val="decimal"/>
      <w:lvlText w:val="(%1)."/>
      <w:lvlJc w:val="left"/>
      <w:pPr>
        <w:ind w:left="0" w:firstLine="0"/>
      </w:pPr>
      <w:rPr>
        <w:rFonts w:hint="default" w:ascii="宋体" w:hAnsi="宋体" w:eastAsia="宋体"/>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8">
    <w:nsid w:val="327D1743"/>
    <w:multiLevelType w:val="singleLevel"/>
    <w:tmpl w:val="327D1743"/>
    <w:lvl w:ilvl="0" w:tentative="0">
      <w:start w:val="1"/>
      <w:numFmt w:val="decimal"/>
      <w:lvlText w:val="%1."/>
      <w:lvlJc w:val="left"/>
      <w:pPr>
        <w:tabs>
          <w:tab w:val="left" w:pos="312"/>
        </w:tabs>
      </w:pPr>
    </w:lvl>
  </w:abstractNum>
  <w:abstractNum w:abstractNumId="69">
    <w:nsid w:val="32C4589B"/>
    <w:multiLevelType w:val="singleLevel"/>
    <w:tmpl w:val="32C4589B"/>
    <w:lvl w:ilvl="0" w:tentative="0">
      <w:start w:val="1"/>
      <w:numFmt w:val="decimal"/>
      <w:lvlText w:val="%1."/>
      <w:lvlJc w:val="left"/>
      <w:pPr>
        <w:tabs>
          <w:tab w:val="left" w:pos="312"/>
        </w:tabs>
      </w:pPr>
    </w:lvl>
  </w:abstractNum>
  <w:abstractNum w:abstractNumId="70">
    <w:nsid w:val="342B25AA"/>
    <w:multiLevelType w:val="multilevel"/>
    <w:tmpl w:val="342B25AA"/>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1">
    <w:nsid w:val="343F0B6B"/>
    <w:multiLevelType w:val="multilevel"/>
    <w:tmpl w:val="343F0B6B"/>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72">
    <w:nsid w:val="349507AB"/>
    <w:multiLevelType w:val="multilevel"/>
    <w:tmpl w:val="349507A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34B11C9A"/>
    <w:multiLevelType w:val="multilevel"/>
    <w:tmpl w:val="34B11C9A"/>
    <w:lvl w:ilvl="0" w:tentative="0">
      <w:start w:val="1"/>
      <w:numFmt w:val="chineseCountingThousand"/>
      <w:suff w:val="nothing"/>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4">
    <w:nsid w:val="34D16957"/>
    <w:multiLevelType w:val="multilevel"/>
    <w:tmpl w:val="34D1695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5">
    <w:nsid w:val="35204B22"/>
    <w:multiLevelType w:val="multilevel"/>
    <w:tmpl w:val="35204B22"/>
    <w:lvl w:ilvl="0" w:tentative="0">
      <w:start w:val="1"/>
      <w:numFmt w:val="decimal"/>
      <w:suff w:val="nothing"/>
      <w:lvlText w:val="(%1). "/>
      <w:lvlJc w:val="left"/>
      <w:pPr>
        <w:ind w:left="420" w:hanging="420"/>
      </w:pPr>
      <w:rPr>
        <w:rFonts w:hint="eastAsia"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6">
    <w:nsid w:val="353E565E"/>
    <w:multiLevelType w:val="multilevel"/>
    <w:tmpl w:val="353E565E"/>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36B619FB"/>
    <w:multiLevelType w:val="multilevel"/>
    <w:tmpl w:val="36B619FB"/>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8">
    <w:nsid w:val="378F385B"/>
    <w:multiLevelType w:val="singleLevel"/>
    <w:tmpl w:val="378F385B"/>
    <w:lvl w:ilvl="0" w:tentative="0">
      <w:start w:val="1"/>
      <w:numFmt w:val="decimal"/>
      <w:lvlText w:val="%1."/>
      <w:lvlJc w:val="left"/>
      <w:pPr>
        <w:tabs>
          <w:tab w:val="left" w:pos="312"/>
        </w:tabs>
      </w:pPr>
    </w:lvl>
  </w:abstractNum>
  <w:abstractNum w:abstractNumId="79">
    <w:nsid w:val="39BB01EF"/>
    <w:multiLevelType w:val="multilevel"/>
    <w:tmpl w:val="39BB01E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0">
    <w:nsid w:val="3B3A53A7"/>
    <w:multiLevelType w:val="multilevel"/>
    <w:tmpl w:val="3B3A53A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1">
    <w:nsid w:val="3BF01D86"/>
    <w:multiLevelType w:val="multilevel"/>
    <w:tmpl w:val="3BF01D86"/>
    <w:lvl w:ilvl="0" w:tentative="0">
      <w:start w:val="1"/>
      <w:numFmt w:val="decimal"/>
      <w:lvlText w:val="%1、 "/>
      <w:lvlJc w:val="left"/>
      <w:pPr>
        <w:ind w:left="440" w:hanging="440"/>
      </w:pPr>
      <w:rPr>
        <w:rFonts w:hint="eastAsia" w:ascii="宋体" w:hAnsi="宋体" w:eastAsia="宋体"/>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2">
    <w:nsid w:val="3C1E05BE"/>
    <w:multiLevelType w:val="multilevel"/>
    <w:tmpl w:val="3C1E05BE"/>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3">
    <w:nsid w:val="3C97373D"/>
    <w:multiLevelType w:val="multilevel"/>
    <w:tmpl w:val="3C97373D"/>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84">
    <w:nsid w:val="3CFA0DD8"/>
    <w:multiLevelType w:val="multilevel"/>
    <w:tmpl w:val="3CFA0DD8"/>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5">
    <w:nsid w:val="3DD13B65"/>
    <w:multiLevelType w:val="multilevel"/>
    <w:tmpl w:val="3DD13B65"/>
    <w:lvl w:ilvl="0" w:tentative="0">
      <w:start w:val="1"/>
      <w:numFmt w:val="decimal"/>
      <w:lvlText w:val="(%1)."/>
      <w:lvlJc w:val="left"/>
      <w:pPr>
        <w:ind w:left="368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6">
    <w:nsid w:val="3E4F1508"/>
    <w:multiLevelType w:val="multilevel"/>
    <w:tmpl w:val="3E4F1508"/>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7">
    <w:nsid w:val="3F254107"/>
    <w:multiLevelType w:val="multilevel"/>
    <w:tmpl w:val="3F254107"/>
    <w:lvl w:ilvl="0" w:tentative="0">
      <w:start w:val="1"/>
      <w:numFmt w:val="decimal"/>
      <w:suff w:val="nothing"/>
      <w:lvlText w:val="(%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8">
    <w:nsid w:val="3FF66F82"/>
    <w:multiLevelType w:val="multilevel"/>
    <w:tmpl w:val="3FF66F82"/>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nothing"/>
      <w:lvlText w:val="(%4). "/>
      <w:lvlJc w:val="left"/>
      <w:pPr>
        <w:ind w:left="0" w:firstLine="0"/>
      </w:pPr>
      <w:rPr>
        <w:rFonts w:hint="eastAsia" w:ascii="宋体" w:hAnsi="宋体" w:eastAsia="宋体"/>
        <w:b/>
        <w:color w:val="auto"/>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89">
    <w:nsid w:val="3FFE3B47"/>
    <w:multiLevelType w:val="singleLevel"/>
    <w:tmpl w:val="3FFE3B47"/>
    <w:lvl w:ilvl="0" w:tentative="0">
      <w:start w:val="1"/>
      <w:numFmt w:val="decimal"/>
      <w:lvlText w:val="%1."/>
      <w:lvlJc w:val="left"/>
      <w:pPr>
        <w:tabs>
          <w:tab w:val="left" w:pos="312"/>
        </w:tabs>
      </w:pPr>
    </w:lvl>
  </w:abstractNum>
  <w:abstractNum w:abstractNumId="90">
    <w:nsid w:val="40357E46"/>
    <w:multiLevelType w:val="multilevel"/>
    <w:tmpl w:val="40357E46"/>
    <w:lvl w:ilvl="0" w:tentative="0">
      <w:start w:val="1"/>
      <w:numFmt w:val="chineseCountingThousand"/>
      <w:suff w:val="nothing"/>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1">
    <w:nsid w:val="409F5BB2"/>
    <w:multiLevelType w:val="multilevel"/>
    <w:tmpl w:val="409F5BB2"/>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2">
    <w:nsid w:val="40CE55FC"/>
    <w:multiLevelType w:val="multilevel"/>
    <w:tmpl w:val="40CE55FC"/>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suff w:val="space"/>
      <w:lvlText w:val="(%4)."/>
      <w:lvlJc w:val="left"/>
      <w:pPr>
        <w:ind w:left="0" w:firstLine="0"/>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3">
    <w:nsid w:val="40EC70E6"/>
    <w:multiLevelType w:val="multilevel"/>
    <w:tmpl w:val="40EC70E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4">
    <w:nsid w:val="41A3465D"/>
    <w:multiLevelType w:val="multilevel"/>
    <w:tmpl w:val="41A3465D"/>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5">
    <w:nsid w:val="427661B5"/>
    <w:multiLevelType w:val="multilevel"/>
    <w:tmpl w:val="427661B5"/>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96">
    <w:nsid w:val="43B7735A"/>
    <w:multiLevelType w:val="singleLevel"/>
    <w:tmpl w:val="43B7735A"/>
    <w:lvl w:ilvl="0" w:tentative="0">
      <w:start w:val="1"/>
      <w:numFmt w:val="decimal"/>
      <w:lvlText w:val="%1."/>
      <w:lvlJc w:val="left"/>
      <w:pPr>
        <w:tabs>
          <w:tab w:val="left" w:pos="312"/>
        </w:tabs>
      </w:pPr>
    </w:lvl>
  </w:abstractNum>
  <w:abstractNum w:abstractNumId="97">
    <w:nsid w:val="43BE0BC8"/>
    <w:multiLevelType w:val="multilevel"/>
    <w:tmpl w:val="43BE0BC8"/>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8">
    <w:nsid w:val="44094C8D"/>
    <w:multiLevelType w:val="multilevel"/>
    <w:tmpl w:val="44094C8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9">
    <w:nsid w:val="442C15DE"/>
    <w:multiLevelType w:val="multilevel"/>
    <w:tmpl w:val="442C15DE"/>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0">
    <w:nsid w:val="442D45EA"/>
    <w:multiLevelType w:val="multilevel"/>
    <w:tmpl w:val="442D45EA"/>
    <w:lvl w:ilvl="0" w:tentative="0">
      <w:start w:val="1"/>
      <w:numFmt w:val="chineseCountingThousand"/>
      <w:suff w:val="nothing"/>
      <w:lvlText w:val="%1、"/>
      <w:lvlJc w:val="left"/>
      <w:pPr>
        <w:ind w:left="450" w:hanging="45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1">
    <w:nsid w:val="44CD2A73"/>
    <w:multiLevelType w:val="multilevel"/>
    <w:tmpl w:val="44CD2A73"/>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02">
    <w:nsid w:val="45E23F67"/>
    <w:multiLevelType w:val="multilevel"/>
    <w:tmpl w:val="45E23F67"/>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4."/>
      <w:lvlJc w:val="left"/>
      <w:pPr>
        <w:ind w:left="1984" w:hanging="708"/>
      </w:pPr>
      <w:rPr>
        <w:rFonts w:hint="eastAsia" w:ascii="宋体" w:hAnsi="宋体" w:eastAsia="宋体"/>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3">
    <w:nsid w:val="465E513F"/>
    <w:multiLevelType w:val="multilevel"/>
    <w:tmpl w:val="465E513F"/>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4">
    <w:nsid w:val="46CB162B"/>
    <w:multiLevelType w:val="multilevel"/>
    <w:tmpl w:val="46CB162B"/>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05">
    <w:nsid w:val="4730399A"/>
    <w:multiLevelType w:val="multilevel"/>
    <w:tmpl w:val="4730399A"/>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06">
    <w:nsid w:val="473624C2"/>
    <w:multiLevelType w:val="multilevel"/>
    <w:tmpl w:val="473624C2"/>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7">
    <w:nsid w:val="476A7317"/>
    <w:multiLevelType w:val="multilevel"/>
    <w:tmpl w:val="476A7317"/>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8">
    <w:nsid w:val="4874403D"/>
    <w:multiLevelType w:val="multilevel"/>
    <w:tmpl w:val="4874403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9">
    <w:nsid w:val="495C16C6"/>
    <w:multiLevelType w:val="multilevel"/>
    <w:tmpl w:val="495C16C6"/>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10">
    <w:nsid w:val="4A125FEF"/>
    <w:multiLevelType w:val="multilevel"/>
    <w:tmpl w:val="4A125FEF"/>
    <w:lvl w:ilvl="0" w:tentative="0">
      <w:start w:val="1"/>
      <w:numFmt w:val="decimal"/>
      <w:lvlText w:val="%1、"/>
      <w:lvlJc w:val="left"/>
      <w:pPr>
        <w:ind w:left="420" w:hanging="420"/>
      </w:pPr>
      <w:rPr>
        <w:rFonts w:hint="eastAsia" w:eastAsia="宋体" w:asciiTheme="majorEastAsia" w:hAnsiTheme="majorEastAsia"/>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1">
    <w:nsid w:val="4D050342"/>
    <w:multiLevelType w:val="multilevel"/>
    <w:tmpl w:val="4D050342"/>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b/>
        <w:color w:val="auto"/>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12">
    <w:nsid w:val="4D987701"/>
    <w:multiLevelType w:val="multilevel"/>
    <w:tmpl w:val="4D9877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3">
    <w:nsid w:val="4E846A1A"/>
    <w:multiLevelType w:val="multilevel"/>
    <w:tmpl w:val="4E846A1A"/>
    <w:lvl w:ilvl="0" w:tentative="0">
      <w:start w:val="1"/>
      <w:numFmt w:val="chineseCountingThousand"/>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4">
    <w:nsid w:val="4ED802E4"/>
    <w:multiLevelType w:val="multilevel"/>
    <w:tmpl w:val="4ED802E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5">
    <w:nsid w:val="4FEB2B62"/>
    <w:multiLevelType w:val="multilevel"/>
    <w:tmpl w:val="4FEB2B62"/>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6">
    <w:nsid w:val="505B7556"/>
    <w:multiLevelType w:val="multilevel"/>
    <w:tmpl w:val="505B7556"/>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17">
    <w:nsid w:val="509701E5"/>
    <w:multiLevelType w:val="singleLevel"/>
    <w:tmpl w:val="509701E5"/>
    <w:lvl w:ilvl="0" w:tentative="0">
      <w:start w:val="1"/>
      <w:numFmt w:val="decimal"/>
      <w:lvlText w:val="%1."/>
      <w:lvlJc w:val="left"/>
      <w:pPr>
        <w:tabs>
          <w:tab w:val="left" w:pos="312"/>
        </w:tabs>
      </w:pPr>
    </w:lvl>
  </w:abstractNum>
  <w:abstractNum w:abstractNumId="118">
    <w:nsid w:val="50D7106F"/>
    <w:multiLevelType w:val="multilevel"/>
    <w:tmpl w:val="50D7106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9">
    <w:nsid w:val="510B4A0D"/>
    <w:multiLevelType w:val="multilevel"/>
    <w:tmpl w:val="510B4A0D"/>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hint="eastAsia" w:ascii="宋体" w:hAnsi="宋体" w:eastAsia="宋体"/>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0">
    <w:nsid w:val="51130FC6"/>
    <w:multiLevelType w:val="multilevel"/>
    <w:tmpl w:val="51130FC6"/>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1">
    <w:nsid w:val="5283328D"/>
    <w:multiLevelType w:val="multilevel"/>
    <w:tmpl w:val="5283328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2">
    <w:nsid w:val="53565D18"/>
    <w:multiLevelType w:val="multilevel"/>
    <w:tmpl w:val="53565D18"/>
    <w:lvl w:ilvl="0" w:tentative="0">
      <w:start w:val="1"/>
      <w:numFmt w:val="chineseCountingThousand"/>
      <w:lvlText w:val="(%1)"/>
      <w:lvlJc w:val="left"/>
      <w:pPr>
        <w:ind w:left="0" w:firstLine="0"/>
      </w:pPr>
      <w:rPr>
        <w:rFonts w:hint="default"/>
      </w:rPr>
    </w:lvl>
    <w:lvl w:ilvl="1" w:tentative="0">
      <w:start w:val="1"/>
      <w:numFmt w:val="chineseCountingThousand"/>
      <w:suff w:val="space"/>
      <w:lvlText w:val="(%2)"/>
      <w:lvlJc w:val="left"/>
      <w:pPr>
        <w:ind w:left="0" w:firstLine="0"/>
      </w:pPr>
      <w:rPr>
        <w:rFonts w:hint="eastAsia" w:ascii="宋体" w:hAnsi="宋体" w:eastAsia="宋体"/>
      </w:rPr>
    </w:lvl>
    <w:lvl w:ilvl="2" w:tentative="0">
      <w:start w:val="1"/>
      <w:numFmt w:val="chineseCountingThousand"/>
      <w:suff w:val="nothing"/>
      <w:lvlText w:val="(%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3">
    <w:nsid w:val="558774B7"/>
    <w:multiLevelType w:val="multilevel"/>
    <w:tmpl w:val="558774B7"/>
    <w:lvl w:ilvl="0" w:tentative="0">
      <w:start w:val="1"/>
      <w:numFmt w:val="decimal"/>
      <w:suff w:val="nothing"/>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4">
    <w:nsid w:val="55C230E8"/>
    <w:multiLevelType w:val="multilevel"/>
    <w:tmpl w:val="55C230E8"/>
    <w:lvl w:ilvl="0" w:tentative="0">
      <w:start w:val="1"/>
      <w:numFmt w:val="japaneseCounting"/>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5">
    <w:nsid w:val="561531AA"/>
    <w:multiLevelType w:val="multilevel"/>
    <w:tmpl w:val="561531AA"/>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6">
    <w:nsid w:val="56F53960"/>
    <w:multiLevelType w:val="multilevel"/>
    <w:tmpl w:val="56F53960"/>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7">
    <w:nsid w:val="57440F1F"/>
    <w:multiLevelType w:val="multilevel"/>
    <w:tmpl w:val="57440F1F"/>
    <w:lvl w:ilvl="0" w:tentative="0">
      <w:start w:val="1"/>
      <w:numFmt w:val="chineseCountingThousand"/>
      <w:suff w:val="nothing"/>
      <w:lvlText w:val="%1、"/>
      <w:lvlJc w:val="left"/>
      <w:pPr>
        <w:ind w:left="420" w:hanging="420"/>
      </w:pPr>
      <w:rPr>
        <w:color w:val="auto"/>
      </w:rPr>
    </w:lvl>
    <w:lvl w:ilvl="1" w:tentative="0">
      <w:start w:val="1"/>
      <w:numFmt w:val="japaneseCounting"/>
      <w:lvlText w:val="%2、"/>
      <w:lvlJc w:val="left"/>
      <w:pPr>
        <w:ind w:left="840" w:hanging="4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8">
    <w:nsid w:val="586A2174"/>
    <w:multiLevelType w:val="multilevel"/>
    <w:tmpl w:val="586A217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9">
    <w:nsid w:val="58C25FCB"/>
    <w:multiLevelType w:val="multilevel"/>
    <w:tmpl w:val="58C25FCB"/>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0">
    <w:nsid w:val="593B62A8"/>
    <w:multiLevelType w:val="multilevel"/>
    <w:tmpl w:val="593B62A8"/>
    <w:lvl w:ilvl="0" w:tentative="0">
      <w:start w:val="1"/>
      <w:numFmt w:val="chineseCounting"/>
      <w:suff w:val="space"/>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1">
    <w:nsid w:val="5A495EAC"/>
    <w:multiLevelType w:val="multilevel"/>
    <w:tmpl w:val="5A495EAC"/>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2">
    <w:nsid w:val="5C5A2599"/>
    <w:multiLevelType w:val="multilevel"/>
    <w:tmpl w:val="5C5A2599"/>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33">
    <w:nsid w:val="5CB149AF"/>
    <w:multiLevelType w:val="multilevel"/>
    <w:tmpl w:val="5CB149A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34">
    <w:nsid w:val="5D4D1993"/>
    <w:multiLevelType w:val="multilevel"/>
    <w:tmpl w:val="5D4D1993"/>
    <w:lvl w:ilvl="0" w:tentative="0">
      <w:start w:val="1"/>
      <w:numFmt w:val="decimal"/>
      <w:lvlText w:val="(%1)"/>
      <w:lvlJc w:val="left"/>
      <w:pPr>
        <w:ind w:left="435" w:hanging="43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5">
    <w:nsid w:val="5D530A66"/>
    <w:multiLevelType w:val="multilevel"/>
    <w:tmpl w:val="5D530A66"/>
    <w:lvl w:ilvl="0" w:tentative="0">
      <w:start w:val="1"/>
      <w:numFmt w:val="decimal"/>
      <w:suff w:val="nothing"/>
      <w:lvlText w:val="(%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6">
    <w:nsid w:val="5E390AE3"/>
    <w:multiLevelType w:val="multilevel"/>
    <w:tmpl w:val="5E390AE3"/>
    <w:lvl w:ilvl="0" w:tentative="0">
      <w:start w:val="1"/>
      <w:numFmt w:val="decimal"/>
      <w:suff w:val="nothing"/>
      <w:lvlText w:val="(%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7">
    <w:nsid w:val="5EBD3B86"/>
    <w:multiLevelType w:val="multilevel"/>
    <w:tmpl w:val="5EBD3B86"/>
    <w:lvl w:ilvl="0" w:tentative="0">
      <w:start w:val="1"/>
      <w:numFmt w:val="chineseCounting"/>
      <w:suff w:val="nothing"/>
      <w:lvlText w:val="%1、"/>
      <w:lvlJc w:val="left"/>
      <w:pPr>
        <w:ind w:left="0" w:firstLine="42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8">
    <w:nsid w:val="60892A35"/>
    <w:multiLevelType w:val="multilevel"/>
    <w:tmpl w:val="60892A35"/>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9">
    <w:nsid w:val="60DC18CA"/>
    <w:multiLevelType w:val="multilevel"/>
    <w:tmpl w:val="60DC18CA"/>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suff w:val="space"/>
      <w:lvlText w:val="(%4)."/>
      <w:lvlJc w:val="left"/>
      <w:pPr>
        <w:ind w:left="0" w:firstLine="0"/>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0">
    <w:nsid w:val="638F3BC8"/>
    <w:multiLevelType w:val="multilevel"/>
    <w:tmpl w:val="638F3BC8"/>
    <w:lvl w:ilvl="0" w:tentative="0">
      <w:start w:val="1"/>
      <w:numFmt w:val="decimal"/>
      <w:lvlText w:val="%1."/>
      <w:lvlJc w:val="left"/>
      <w:pPr>
        <w:ind w:left="425" w:hanging="425"/>
      </w:pPr>
      <w:rPr>
        <w:rFonts w:hint="eastAsia"/>
      </w:rPr>
    </w:lvl>
    <w:lvl w:ilvl="1" w:tentative="0">
      <w:start w:val="1"/>
      <w:numFmt w:val="chineseCountingThousand"/>
      <w:suff w:val="space"/>
      <w:lvlText w:val="(%2)"/>
      <w:lvlJc w:val="left"/>
      <w:pPr>
        <w:ind w:left="425" w:hanging="425"/>
      </w:pPr>
      <w:rPr>
        <w:rFonts w:hint="eastAsia" w:ascii="宋体" w:hAnsi="宋体" w:eastAsia="宋体"/>
      </w:rPr>
    </w:lvl>
    <w:lvl w:ilvl="2" w:tentative="0">
      <w:start w:val="1"/>
      <w:numFmt w:val="decimal"/>
      <w:lvlText w:val="%1.%2.%3."/>
      <w:lvlJc w:val="left"/>
      <w:pPr>
        <w:ind w:left="425" w:hanging="425"/>
      </w:pPr>
      <w:rPr>
        <w:rFonts w:hint="eastAsia"/>
      </w:rPr>
    </w:lvl>
    <w:lvl w:ilvl="3" w:tentative="0">
      <w:start w:val="1"/>
      <w:numFmt w:val="decimal"/>
      <w:lvlText w:val="%1.%2.%3.%4."/>
      <w:lvlJc w:val="left"/>
      <w:pPr>
        <w:ind w:left="425" w:hanging="425"/>
      </w:pPr>
      <w:rPr>
        <w:rFonts w:hint="eastAsia"/>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41">
    <w:nsid w:val="644F6D01"/>
    <w:multiLevelType w:val="multilevel"/>
    <w:tmpl w:val="644F6D01"/>
    <w:lvl w:ilvl="0" w:tentative="0">
      <w:start w:val="1"/>
      <w:numFmt w:val="chineseCountingThousand"/>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2">
    <w:nsid w:val="653B5F7F"/>
    <w:multiLevelType w:val="multilevel"/>
    <w:tmpl w:val="653B5F7F"/>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3">
    <w:nsid w:val="65890258"/>
    <w:multiLevelType w:val="multilevel"/>
    <w:tmpl w:val="65890258"/>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4">
    <w:nsid w:val="65AD7C87"/>
    <w:multiLevelType w:val="multilevel"/>
    <w:tmpl w:val="65AD7C87"/>
    <w:lvl w:ilvl="0" w:tentative="0">
      <w:start w:val="1"/>
      <w:numFmt w:val="chineseCountingThousand"/>
      <w:lvlText w:val="第%1节"/>
      <w:lvlJc w:val="left"/>
      <w:pPr>
        <w:ind w:left="0" w:firstLine="0"/>
      </w:pPr>
      <w:rPr>
        <w:rFonts w:hint="eastAsia"/>
        <w:color w:val="auto"/>
        <w:sz w:val="28"/>
        <w:szCs w:val="28"/>
        <w:u w:val="none"/>
        <w:lang w:val="en-US"/>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5">
    <w:nsid w:val="66E2496C"/>
    <w:multiLevelType w:val="multilevel"/>
    <w:tmpl w:val="66E2496C"/>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6">
    <w:nsid w:val="676D1C62"/>
    <w:multiLevelType w:val="singleLevel"/>
    <w:tmpl w:val="676D1C62"/>
    <w:lvl w:ilvl="0" w:tentative="0">
      <w:start w:val="1"/>
      <w:numFmt w:val="decimal"/>
      <w:lvlText w:val="%1."/>
      <w:lvlJc w:val="left"/>
      <w:pPr>
        <w:tabs>
          <w:tab w:val="left" w:pos="312"/>
        </w:tabs>
      </w:pPr>
    </w:lvl>
  </w:abstractNum>
  <w:abstractNum w:abstractNumId="147">
    <w:nsid w:val="67A33259"/>
    <w:multiLevelType w:val="multilevel"/>
    <w:tmpl w:val="67A33259"/>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8">
    <w:nsid w:val="67CA0C2F"/>
    <w:multiLevelType w:val="multilevel"/>
    <w:tmpl w:val="67CA0C2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9">
    <w:nsid w:val="67F036B4"/>
    <w:multiLevelType w:val="multilevel"/>
    <w:tmpl w:val="67F036B4"/>
    <w:lvl w:ilvl="0" w:tentative="0">
      <w:start w:val="1"/>
      <w:numFmt w:val="chineseCountingThousand"/>
      <w:suff w:val="nothing"/>
      <w:lvlText w:val="%1、"/>
      <w:lvlJc w:val="left"/>
      <w:pPr>
        <w:ind w:left="420" w:hanging="420"/>
      </w:pPr>
      <w:rPr>
        <w:rFonts w:hint="eastAsia"/>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0">
    <w:nsid w:val="67F6221E"/>
    <w:multiLevelType w:val="multilevel"/>
    <w:tmpl w:val="67F6221E"/>
    <w:lvl w:ilvl="0" w:tentative="0">
      <w:start w:val="1"/>
      <w:numFmt w:val="chineseCountingThousand"/>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1">
    <w:nsid w:val="686D623C"/>
    <w:multiLevelType w:val="singleLevel"/>
    <w:tmpl w:val="686D623C"/>
    <w:lvl w:ilvl="0" w:tentative="0">
      <w:start w:val="1"/>
      <w:numFmt w:val="decimal"/>
      <w:lvlText w:val="%1."/>
      <w:lvlJc w:val="left"/>
      <w:pPr>
        <w:tabs>
          <w:tab w:val="left" w:pos="312"/>
        </w:tabs>
      </w:pPr>
    </w:lvl>
  </w:abstractNum>
  <w:abstractNum w:abstractNumId="152">
    <w:nsid w:val="686F40C0"/>
    <w:multiLevelType w:val="multilevel"/>
    <w:tmpl w:val="686F40C0"/>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53">
    <w:nsid w:val="6AA57EB5"/>
    <w:multiLevelType w:val="multilevel"/>
    <w:tmpl w:val="6AA57EB5"/>
    <w:lvl w:ilvl="0" w:tentative="0">
      <w:start w:val="1"/>
      <w:numFmt w:val="chineseCountingThousand"/>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4">
    <w:nsid w:val="6C321958"/>
    <w:multiLevelType w:val="multilevel"/>
    <w:tmpl w:val="6C321958"/>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5">
    <w:nsid w:val="6CF82812"/>
    <w:multiLevelType w:val="multilevel"/>
    <w:tmpl w:val="6CF82812"/>
    <w:lvl w:ilvl="0" w:tentative="0">
      <w:start w:val="1"/>
      <w:numFmt w:val="decimal"/>
      <w:lvlText w:val="%1、"/>
      <w:lvlJc w:val="left"/>
      <w:pPr>
        <w:ind w:left="420" w:hanging="420"/>
      </w:pPr>
      <w:rPr>
        <w:rFonts w:hint="eastAsia" w:eastAsia="宋体" w:asciiTheme="majorEastAsia" w:hAnsiTheme="majorEastAsia"/>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6">
    <w:nsid w:val="6D5E03F3"/>
    <w:multiLevelType w:val="multilevel"/>
    <w:tmpl w:val="6D5E03F3"/>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7">
    <w:nsid w:val="6E767C05"/>
    <w:multiLevelType w:val="multilevel"/>
    <w:tmpl w:val="6E767C05"/>
    <w:lvl w:ilvl="0" w:tentative="0">
      <w:start w:val="1"/>
      <w:numFmt w:val="chineseCountingThousand"/>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8">
    <w:nsid w:val="6EB156B8"/>
    <w:multiLevelType w:val="singleLevel"/>
    <w:tmpl w:val="6EB156B8"/>
    <w:lvl w:ilvl="0" w:tentative="0">
      <w:start w:val="1"/>
      <w:numFmt w:val="decimal"/>
      <w:lvlText w:val="%1."/>
      <w:lvlJc w:val="left"/>
      <w:pPr>
        <w:tabs>
          <w:tab w:val="left" w:pos="312"/>
        </w:tabs>
      </w:pPr>
    </w:lvl>
  </w:abstractNum>
  <w:abstractNum w:abstractNumId="159">
    <w:nsid w:val="6F864320"/>
    <w:multiLevelType w:val="multilevel"/>
    <w:tmpl w:val="6F864320"/>
    <w:lvl w:ilvl="0" w:tentative="0">
      <w:start w:val="1"/>
      <w:numFmt w:val="decimal"/>
      <w:suff w:val="nothing"/>
      <w:lvlText w:val="(%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0">
    <w:nsid w:val="6FA14F47"/>
    <w:multiLevelType w:val="multilevel"/>
    <w:tmpl w:val="6FA14F47"/>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1">
    <w:nsid w:val="6FF15308"/>
    <w:multiLevelType w:val="multilevel"/>
    <w:tmpl w:val="6FF15308"/>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62">
    <w:nsid w:val="71B925F1"/>
    <w:multiLevelType w:val="multilevel"/>
    <w:tmpl w:val="71B925F1"/>
    <w:lvl w:ilvl="0" w:tentative="0">
      <w:start w:val="1"/>
      <w:numFmt w:val="decimal"/>
      <w:lvlText w:val="%1."/>
      <w:lvlJc w:val="left"/>
      <w:pPr>
        <w:ind w:left="425" w:hanging="425"/>
      </w:pPr>
    </w:lvl>
    <w:lvl w:ilvl="1" w:tentative="0">
      <w:start w:val="1"/>
      <w:numFmt w:val="chineseCountingThousand"/>
      <w:lvlText w:val="(%2)"/>
      <w:lvlJc w:val="left"/>
      <w:pPr>
        <w:ind w:left="567" w:hanging="567"/>
      </w:pPr>
      <w:rPr>
        <w:rFonts w:ascii="宋体" w:hAnsi="宋体" w:eastAsia="宋体"/>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63">
    <w:nsid w:val="71F0605D"/>
    <w:multiLevelType w:val="singleLevel"/>
    <w:tmpl w:val="71F0605D"/>
    <w:lvl w:ilvl="0" w:tentative="0">
      <w:start w:val="1"/>
      <w:numFmt w:val="decimal"/>
      <w:lvlText w:val="%1."/>
      <w:lvlJc w:val="left"/>
      <w:pPr>
        <w:tabs>
          <w:tab w:val="left" w:pos="312"/>
        </w:tabs>
      </w:pPr>
    </w:lvl>
  </w:abstractNum>
  <w:abstractNum w:abstractNumId="164">
    <w:nsid w:val="7318434A"/>
    <w:multiLevelType w:val="multilevel"/>
    <w:tmpl w:val="7318434A"/>
    <w:lvl w:ilvl="0" w:tentative="0">
      <w:start w:val="1"/>
      <w:numFmt w:val="decimal"/>
      <w:lvlText w:val="(%1)"/>
      <w:lvlJc w:val="left"/>
      <w:pPr>
        <w:ind w:left="0" w:firstLine="0"/>
      </w:pPr>
      <w:rPr>
        <w:rFonts w:hint="default" w:ascii="宋体" w:hAnsi="宋体" w:eastAsia="宋体"/>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5">
    <w:nsid w:val="7394355C"/>
    <w:multiLevelType w:val="multilevel"/>
    <w:tmpl w:val="7394355C"/>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6">
    <w:nsid w:val="7455228F"/>
    <w:multiLevelType w:val="multilevel"/>
    <w:tmpl w:val="7455228F"/>
    <w:lvl w:ilvl="0" w:tentative="0">
      <w:start w:val="1"/>
      <w:numFmt w:val="decimal"/>
      <w:suff w:val="nothing"/>
      <w:lvlText w:val="(%1)."/>
      <w:lvlJc w:val="left"/>
      <w:pPr>
        <w:ind w:left="0" w:firstLine="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7">
    <w:nsid w:val="776A692A"/>
    <w:multiLevelType w:val="multilevel"/>
    <w:tmpl w:val="776A692A"/>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8">
    <w:nsid w:val="779449D7"/>
    <w:multiLevelType w:val="multilevel"/>
    <w:tmpl w:val="779449D7"/>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9">
    <w:nsid w:val="783B3032"/>
    <w:multiLevelType w:val="multilevel"/>
    <w:tmpl w:val="783B3032"/>
    <w:lvl w:ilvl="0" w:tentative="0">
      <w:start w:val="1"/>
      <w:numFmt w:val="decimal"/>
      <w:lvlText w:val="(%1)."/>
      <w:lvlJc w:val="left"/>
      <w:pPr>
        <w:ind w:left="440" w:hanging="440"/>
      </w:pPr>
      <w:rPr>
        <w:rFonts w:hint="eastAsia" w:asciiTheme="majorEastAsia" w:hAnsiTheme="majorEastAsia" w:eastAsia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0">
    <w:nsid w:val="79017BC0"/>
    <w:multiLevelType w:val="multilevel"/>
    <w:tmpl w:val="79017BC0"/>
    <w:lvl w:ilvl="0" w:tentative="0">
      <w:start w:val="1"/>
      <w:numFmt w:val="decimal"/>
      <w:lvlText w:val="%1、"/>
      <w:lvlJc w:val="left"/>
      <w:pPr>
        <w:ind w:left="425" w:hanging="425"/>
      </w:pPr>
      <w:rPr>
        <w:rFonts w:hint="eastAsia" w:ascii="宋体" w:hAnsi="宋体" w:eastAsia="宋体"/>
        <w:color w:val="auto"/>
        <w:sz w:val="21"/>
        <w:szCs w:val="21"/>
        <w:u w:val="none"/>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1">
    <w:nsid w:val="79823C63"/>
    <w:multiLevelType w:val="multilevel"/>
    <w:tmpl w:val="79823C63"/>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72">
    <w:nsid w:val="79917665"/>
    <w:multiLevelType w:val="multilevel"/>
    <w:tmpl w:val="79917665"/>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3">
    <w:nsid w:val="7A4445AE"/>
    <w:multiLevelType w:val="multilevel"/>
    <w:tmpl w:val="7A4445AE"/>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74">
    <w:nsid w:val="7AA71C21"/>
    <w:multiLevelType w:val="multilevel"/>
    <w:tmpl w:val="7AA71C21"/>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5">
    <w:nsid w:val="7C396AB4"/>
    <w:multiLevelType w:val="multilevel"/>
    <w:tmpl w:val="7C396AB4"/>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4."/>
      <w:lvlJc w:val="left"/>
      <w:pPr>
        <w:ind w:left="1984" w:hanging="708"/>
      </w:pPr>
      <w:rPr>
        <w:rFonts w:hint="eastAsia" w:ascii="宋体" w:hAnsi="宋体" w:eastAsia="宋体"/>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6">
    <w:nsid w:val="7C63256C"/>
    <w:multiLevelType w:val="multilevel"/>
    <w:tmpl w:val="7C63256C"/>
    <w:lvl w:ilvl="0" w:tentative="0">
      <w:start w:val="1"/>
      <w:numFmt w:val="decimal"/>
      <w:suff w:val="nothing"/>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177">
    <w:nsid w:val="7CD71650"/>
    <w:multiLevelType w:val="multilevel"/>
    <w:tmpl w:val="7CD71650"/>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8">
    <w:nsid w:val="7E600BA1"/>
    <w:multiLevelType w:val="multilevel"/>
    <w:tmpl w:val="7E600BA1"/>
    <w:lvl w:ilvl="0" w:tentative="0">
      <w:start w:val="1"/>
      <w:numFmt w:val="decimal"/>
      <w:lvlText w:val="(%1). "/>
      <w:lvlJc w:val="left"/>
      <w:pPr>
        <w:ind w:left="425" w:hanging="425"/>
      </w:pPr>
      <w:rPr>
        <w:rFonts w:hint="eastAsia"/>
        <w:color w:val="auto"/>
        <w:u w:val="none"/>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9">
    <w:nsid w:val="7FAB151E"/>
    <w:multiLevelType w:val="multilevel"/>
    <w:tmpl w:val="7FAB151E"/>
    <w:lvl w:ilvl="0" w:tentative="0">
      <w:start w:val="1"/>
      <w:numFmt w:val="chineseCounting"/>
      <w:suff w:val="nothing"/>
      <w:lvlText w:val="（%1）"/>
      <w:lvlJc w:val="left"/>
      <w:pPr>
        <w:ind w:left="0" w:firstLine="42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0">
    <w:nsid w:val="7FD615E3"/>
    <w:multiLevelType w:val="multilevel"/>
    <w:tmpl w:val="7FD615E3"/>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5"/>
  </w:num>
  <w:num w:numId="2">
    <w:abstractNumId w:val="144"/>
  </w:num>
  <w:num w:numId="3">
    <w:abstractNumId w:val="113"/>
  </w:num>
  <w:num w:numId="4">
    <w:abstractNumId w:val="178"/>
  </w:num>
  <w:num w:numId="5">
    <w:abstractNumId w:val="122"/>
  </w:num>
  <w:num w:numId="6">
    <w:abstractNumId w:val="62"/>
  </w:num>
  <w:num w:numId="7">
    <w:abstractNumId w:val="149"/>
  </w:num>
  <w:num w:numId="8">
    <w:abstractNumId w:val="56"/>
  </w:num>
  <w:num w:numId="9">
    <w:abstractNumId w:val="27"/>
  </w:num>
  <w:num w:numId="10">
    <w:abstractNumId w:val="67"/>
  </w:num>
  <w:num w:numId="11">
    <w:abstractNumId w:val="63"/>
  </w:num>
  <w:num w:numId="12">
    <w:abstractNumId w:val="29"/>
  </w:num>
  <w:num w:numId="13">
    <w:abstractNumId w:val="164"/>
  </w:num>
  <w:num w:numId="14">
    <w:abstractNumId w:val="103"/>
  </w:num>
  <w:num w:numId="15">
    <w:abstractNumId w:val="18"/>
  </w:num>
  <w:num w:numId="16">
    <w:abstractNumId w:val="15"/>
  </w:num>
  <w:num w:numId="17">
    <w:abstractNumId w:val="90"/>
  </w:num>
  <w:num w:numId="18">
    <w:abstractNumId w:val="59"/>
  </w:num>
  <w:num w:numId="19">
    <w:abstractNumId w:val="47"/>
  </w:num>
  <w:num w:numId="20">
    <w:abstractNumId w:val="165"/>
  </w:num>
  <w:num w:numId="21">
    <w:abstractNumId w:val="89"/>
  </w:num>
  <w:num w:numId="22">
    <w:abstractNumId w:val="52"/>
  </w:num>
  <w:num w:numId="23">
    <w:abstractNumId w:val="26"/>
  </w:num>
  <w:num w:numId="24">
    <w:abstractNumId w:val="64"/>
  </w:num>
  <w:num w:numId="25">
    <w:abstractNumId w:val="158"/>
  </w:num>
  <w:num w:numId="26">
    <w:abstractNumId w:val="49"/>
  </w:num>
  <w:num w:numId="27">
    <w:abstractNumId w:val="58"/>
  </w:num>
  <w:num w:numId="28">
    <w:abstractNumId w:val="163"/>
  </w:num>
  <w:num w:numId="29">
    <w:abstractNumId w:val="157"/>
  </w:num>
  <w:num w:numId="30">
    <w:abstractNumId w:val="9"/>
  </w:num>
  <w:num w:numId="31">
    <w:abstractNumId w:val="69"/>
  </w:num>
  <w:num w:numId="32">
    <w:abstractNumId w:val="146"/>
  </w:num>
  <w:num w:numId="33">
    <w:abstractNumId w:val="34"/>
  </w:num>
  <w:num w:numId="34">
    <w:abstractNumId w:val="96"/>
  </w:num>
  <w:num w:numId="35">
    <w:abstractNumId w:val="68"/>
  </w:num>
  <w:num w:numId="36">
    <w:abstractNumId w:val="151"/>
  </w:num>
  <w:num w:numId="37">
    <w:abstractNumId w:val="39"/>
  </w:num>
  <w:num w:numId="38">
    <w:abstractNumId w:val="60"/>
  </w:num>
  <w:num w:numId="39">
    <w:abstractNumId w:val="23"/>
  </w:num>
  <w:num w:numId="40">
    <w:abstractNumId w:val="117"/>
  </w:num>
  <w:num w:numId="41">
    <w:abstractNumId w:val="150"/>
  </w:num>
  <w:num w:numId="42">
    <w:abstractNumId w:val="25"/>
  </w:num>
  <w:num w:numId="43">
    <w:abstractNumId w:val="162"/>
  </w:num>
  <w:num w:numId="44">
    <w:abstractNumId w:val="48"/>
  </w:num>
  <w:num w:numId="45">
    <w:abstractNumId w:val="91"/>
  </w:num>
  <w:num w:numId="46">
    <w:abstractNumId w:val="102"/>
  </w:num>
  <w:num w:numId="47">
    <w:abstractNumId w:val="0"/>
  </w:num>
  <w:num w:numId="48">
    <w:abstractNumId w:val="175"/>
  </w:num>
  <w:num w:numId="49">
    <w:abstractNumId w:val="78"/>
  </w:num>
  <w:num w:numId="50">
    <w:abstractNumId w:val="124"/>
  </w:num>
  <w:num w:numId="51">
    <w:abstractNumId w:val="127"/>
  </w:num>
  <w:num w:numId="52">
    <w:abstractNumId w:val="152"/>
  </w:num>
  <w:num w:numId="53">
    <w:abstractNumId w:val="73"/>
  </w:num>
  <w:num w:numId="54">
    <w:abstractNumId w:val="1"/>
  </w:num>
  <w:num w:numId="55">
    <w:abstractNumId w:val="72"/>
  </w:num>
  <w:num w:numId="56">
    <w:abstractNumId w:val="109"/>
  </w:num>
  <w:num w:numId="57">
    <w:abstractNumId w:val="45"/>
  </w:num>
  <w:num w:numId="58">
    <w:abstractNumId w:val="22"/>
  </w:num>
  <w:num w:numId="59">
    <w:abstractNumId w:val="13"/>
  </w:num>
  <w:num w:numId="60">
    <w:abstractNumId w:val="2"/>
  </w:num>
  <w:num w:numId="61">
    <w:abstractNumId w:val="10"/>
  </w:num>
  <w:num w:numId="62">
    <w:abstractNumId w:val="110"/>
  </w:num>
  <w:num w:numId="63">
    <w:abstractNumId w:val="155"/>
  </w:num>
  <w:num w:numId="64">
    <w:abstractNumId w:val="20"/>
  </w:num>
  <w:num w:numId="65">
    <w:abstractNumId w:val="46"/>
  </w:num>
  <w:num w:numId="66">
    <w:abstractNumId w:val="30"/>
  </w:num>
  <w:num w:numId="67">
    <w:abstractNumId w:val="66"/>
  </w:num>
  <w:num w:numId="68">
    <w:abstractNumId w:val="129"/>
  </w:num>
  <w:num w:numId="69">
    <w:abstractNumId w:val="112"/>
  </w:num>
  <w:num w:numId="70">
    <w:abstractNumId w:val="100"/>
  </w:num>
  <w:num w:numId="71">
    <w:abstractNumId w:val="36"/>
  </w:num>
  <w:num w:numId="72">
    <w:abstractNumId w:val="80"/>
  </w:num>
  <w:num w:numId="73">
    <w:abstractNumId w:val="153"/>
  </w:num>
  <w:num w:numId="74">
    <w:abstractNumId w:val="140"/>
  </w:num>
  <w:num w:numId="75">
    <w:abstractNumId w:val="4"/>
  </w:num>
  <w:num w:numId="76">
    <w:abstractNumId w:val="125"/>
  </w:num>
  <w:num w:numId="77">
    <w:abstractNumId w:val="168"/>
  </w:num>
  <w:num w:numId="78">
    <w:abstractNumId w:val="55"/>
  </w:num>
  <w:num w:numId="79">
    <w:abstractNumId w:val="31"/>
  </w:num>
  <w:num w:numId="80">
    <w:abstractNumId w:val="77"/>
  </w:num>
  <w:num w:numId="81">
    <w:abstractNumId w:val="21"/>
  </w:num>
  <w:num w:numId="82">
    <w:abstractNumId w:val="107"/>
  </w:num>
  <w:num w:numId="83">
    <w:abstractNumId w:val="136"/>
  </w:num>
  <w:num w:numId="84">
    <w:abstractNumId w:val="87"/>
  </w:num>
  <w:num w:numId="85">
    <w:abstractNumId w:val="44"/>
  </w:num>
  <w:num w:numId="86">
    <w:abstractNumId w:val="167"/>
  </w:num>
  <w:num w:numId="87">
    <w:abstractNumId w:val="141"/>
  </w:num>
  <w:num w:numId="8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7"/>
  </w:num>
  <w:num w:numId="100">
    <w:abstractNumId w:val="94"/>
  </w:num>
  <w:num w:numId="101">
    <w:abstractNumId w:val="14"/>
  </w:num>
  <w:num w:numId="102">
    <w:abstractNumId w:val="160"/>
  </w:num>
  <w:num w:numId="103">
    <w:abstractNumId w:val="143"/>
  </w:num>
  <w:num w:numId="104">
    <w:abstractNumId w:val="101"/>
  </w:num>
  <w:num w:numId="105">
    <w:abstractNumId w:val="37"/>
  </w:num>
  <w:num w:numId="106">
    <w:abstractNumId w:val="139"/>
  </w:num>
  <w:num w:numId="107">
    <w:abstractNumId w:val="16"/>
  </w:num>
  <w:num w:numId="108">
    <w:abstractNumId w:val="61"/>
  </w:num>
  <w:num w:numId="109">
    <w:abstractNumId w:val="24"/>
  </w:num>
  <w:num w:numId="110">
    <w:abstractNumId w:val="65"/>
  </w:num>
  <w:num w:numId="111">
    <w:abstractNumId w:val="148"/>
  </w:num>
  <w:num w:numId="112">
    <w:abstractNumId w:val="172"/>
  </w:num>
  <w:num w:numId="113">
    <w:abstractNumId w:val="28"/>
  </w:num>
  <w:num w:numId="114">
    <w:abstractNumId w:val="8"/>
  </w:num>
  <w:num w:numId="115">
    <w:abstractNumId w:val="166"/>
  </w:num>
  <w:num w:numId="116">
    <w:abstractNumId w:val="135"/>
  </w:num>
  <w:num w:numId="117">
    <w:abstractNumId w:val="159"/>
  </w:num>
  <w:num w:numId="118">
    <w:abstractNumId w:val="111"/>
  </w:num>
  <w:num w:numId="119">
    <w:abstractNumId w:val="74"/>
  </w:num>
  <w:num w:numId="120">
    <w:abstractNumId w:val="133"/>
  </w:num>
  <w:num w:numId="121">
    <w:abstractNumId w:val="50"/>
  </w:num>
  <w:num w:numId="122">
    <w:abstractNumId w:val="177"/>
  </w:num>
  <w:num w:numId="123">
    <w:abstractNumId w:val="98"/>
  </w:num>
  <w:num w:numId="124">
    <w:abstractNumId w:val="132"/>
  </w:num>
  <w:num w:numId="125">
    <w:abstractNumId w:val="84"/>
  </w:num>
  <w:num w:numId="126">
    <w:abstractNumId w:val="17"/>
  </w:num>
  <w:num w:numId="127">
    <w:abstractNumId w:val="92"/>
  </w:num>
  <w:num w:numId="128">
    <w:abstractNumId w:val="145"/>
  </w:num>
  <w:num w:numId="129">
    <w:abstractNumId w:val="108"/>
  </w:num>
  <w:num w:numId="130">
    <w:abstractNumId w:val="93"/>
  </w:num>
  <w:num w:numId="131">
    <w:abstractNumId w:val="121"/>
  </w:num>
  <w:num w:numId="132">
    <w:abstractNumId w:val="19"/>
  </w:num>
  <w:num w:numId="133">
    <w:abstractNumId w:val="169"/>
  </w:num>
  <w:num w:numId="134">
    <w:abstractNumId w:val="53"/>
  </w:num>
  <w:num w:numId="135">
    <w:abstractNumId w:val="43"/>
  </w:num>
  <w:num w:numId="136">
    <w:abstractNumId w:val="105"/>
  </w:num>
  <w:num w:numId="137">
    <w:abstractNumId w:val="75"/>
  </w:num>
  <w:num w:numId="138">
    <w:abstractNumId w:val="3"/>
  </w:num>
  <w:num w:numId="139">
    <w:abstractNumId w:val="176"/>
  </w:num>
  <w:num w:numId="140">
    <w:abstractNumId w:val="71"/>
  </w:num>
  <w:num w:numId="141">
    <w:abstractNumId w:val="88"/>
  </w:num>
  <w:num w:numId="142">
    <w:abstractNumId w:val="40"/>
  </w:num>
  <w:num w:numId="143">
    <w:abstractNumId w:val="128"/>
  </w:num>
  <w:num w:numId="144">
    <w:abstractNumId w:val="120"/>
  </w:num>
  <w:num w:numId="145">
    <w:abstractNumId w:val="85"/>
  </w:num>
  <w:num w:numId="146">
    <w:abstractNumId w:val="79"/>
  </w:num>
  <w:num w:numId="147">
    <w:abstractNumId w:val="173"/>
  </w:num>
  <w:num w:numId="148">
    <w:abstractNumId w:val="104"/>
  </w:num>
  <w:num w:numId="149">
    <w:abstractNumId w:val="86"/>
  </w:num>
  <w:num w:numId="150">
    <w:abstractNumId w:val="41"/>
  </w:num>
  <w:num w:numId="151">
    <w:abstractNumId w:val="123"/>
  </w:num>
  <w:num w:numId="152">
    <w:abstractNumId w:val="134"/>
  </w:num>
  <w:num w:numId="153">
    <w:abstractNumId w:val="81"/>
  </w:num>
  <w:num w:numId="154">
    <w:abstractNumId w:val="57"/>
  </w:num>
  <w:num w:numId="155">
    <w:abstractNumId w:val="70"/>
  </w:num>
  <w:num w:numId="156">
    <w:abstractNumId w:val="119"/>
  </w:num>
  <w:num w:numId="157">
    <w:abstractNumId w:val="106"/>
  </w:num>
  <w:num w:numId="158">
    <w:abstractNumId w:val="7"/>
  </w:num>
  <w:num w:numId="159">
    <w:abstractNumId w:val="142"/>
  </w:num>
  <w:num w:numId="160">
    <w:abstractNumId w:val="118"/>
  </w:num>
  <w:num w:numId="161">
    <w:abstractNumId w:val="42"/>
  </w:num>
  <w:num w:numId="162">
    <w:abstractNumId w:val="97"/>
  </w:num>
  <w:num w:numId="163">
    <w:abstractNumId w:val="12"/>
  </w:num>
  <w:num w:numId="164">
    <w:abstractNumId w:val="38"/>
  </w:num>
  <w:num w:numId="165">
    <w:abstractNumId w:val="6"/>
  </w:num>
  <w:num w:numId="166">
    <w:abstractNumId w:val="154"/>
  </w:num>
  <w:num w:numId="167">
    <w:abstractNumId w:val="82"/>
  </w:num>
  <w:num w:numId="168">
    <w:abstractNumId w:val="126"/>
  </w:num>
  <w:num w:numId="169">
    <w:abstractNumId w:val="114"/>
  </w:num>
  <w:num w:numId="170">
    <w:abstractNumId w:val="180"/>
  </w:num>
  <w:num w:numId="171">
    <w:abstractNumId w:val="161"/>
  </w:num>
  <w:num w:numId="172">
    <w:abstractNumId w:val="171"/>
  </w:num>
  <w:num w:numId="173">
    <w:abstractNumId w:val="11"/>
  </w:num>
  <w:num w:numId="174">
    <w:abstractNumId w:val="170"/>
  </w:num>
  <w:num w:numId="175">
    <w:abstractNumId w:val="54"/>
  </w:num>
  <w:num w:numId="176">
    <w:abstractNumId w:val="95"/>
  </w:num>
  <w:num w:numId="177">
    <w:abstractNumId w:val="83"/>
  </w:num>
  <w:num w:numId="178">
    <w:abstractNumId w:val="116"/>
  </w:num>
  <w:num w:numId="179">
    <w:abstractNumId w:val="51"/>
  </w:num>
  <w:num w:numId="180">
    <w:abstractNumId w:val="35"/>
  </w:num>
  <w:num w:numId="181">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172A27"/>
    <w:rsid w:val="00001ADB"/>
    <w:rsid w:val="00002C5F"/>
    <w:rsid w:val="00002CC3"/>
    <w:rsid w:val="00004605"/>
    <w:rsid w:val="00004E20"/>
    <w:rsid w:val="00005983"/>
    <w:rsid w:val="000065EB"/>
    <w:rsid w:val="00010837"/>
    <w:rsid w:val="00010EAB"/>
    <w:rsid w:val="00015CB9"/>
    <w:rsid w:val="000173B0"/>
    <w:rsid w:val="00020D32"/>
    <w:rsid w:val="000212FE"/>
    <w:rsid w:val="00022AB5"/>
    <w:rsid w:val="0002413E"/>
    <w:rsid w:val="000248D4"/>
    <w:rsid w:val="00026BB7"/>
    <w:rsid w:val="00030B79"/>
    <w:rsid w:val="000311AD"/>
    <w:rsid w:val="00031DCF"/>
    <w:rsid w:val="0003366D"/>
    <w:rsid w:val="000342DD"/>
    <w:rsid w:val="00034BF0"/>
    <w:rsid w:val="00034C2F"/>
    <w:rsid w:val="00034EC3"/>
    <w:rsid w:val="000361A9"/>
    <w:rsid w:val="000370FD"/>
    <w:rsid w:val="00037388"/>
    <w:rsid w:val="00037603"/>
    <w:rsid w:val="00042CB7"/>
    <w:rsid w:val="00043569"/>
    <w:rsid w:val="00044865"/>
    <w:rsid w:val="0004724B"/>
    <w:rsid w:val="0005192D"/>
    <w:rsid w:val="00052379"/>
    <w:rsid w:val="00052C3D"/>
    <w:rsid w:val="00057111"/>
    <w:rsid w:val="000741A5"/>
    <w:rsid w:val="00080FAA"/>
    <w:rsid w:val="00081165"/>
    <w:rsid w:val="00085803"/>
    <w:rsid w:val="00087005"/>
    <w:rsid w:val="00087F86"/>
    <w:rsid w:val="000901A4"/>
    <w:rsid w:val="0009094F"/>
    <w:rsid w:val="00095F5F"/>
    <w:rsid w:val="000A2EAF"/>
    <w:rsid w:val="000A3E14"/>
    <w:rsid w:val="000A5188"/>
    <w:rsid w:val="000B2BF7"/>
    <w:rsid w:val="000C0A4E"/>
    <w:rsid w:val="000C0DC0"/>
    <w:rsid w:val="000D2AD4"/>
    <w:rsid w:val="000D47AB"/>
    <w:rsid w:val="000D56F9"/>
    <w:rsid w:val="000D593B"/>
    <w:rsid w:val="000E0AFF"/>
    <w:rsid w:val="000E0C25"/>
    <w:rsid w:val="000E320F"/>
    <w:rsid w:val="000E3280"/>
    <w:rsid w:val="000E446C"/>
    <w:rsid w:val="000E4B24"/>
    <w:rsid w:val="000E5011"/>
    <w:rsid w:val="000E6F05"/>
    <w:rsid w:val="000F11B8"/>
    <w:rsid w:val="000F1DC0"/>
    <w:rsid w:val="000F32F8"/>
    <w:rsid w:val="000F4CA0"/>
    <w:rsid w:val="000F5C1E"/>
    <w:rsid w:val="000F6CDC"/>
    <w:rsid w:val="0010045F"/>
    <w:rsid w:val="0010129E"/>
    <w:rsid w:val="00106DD3"/>
    <w:rsid w:val="00107C0E"/>
    <w:rsid w:val="001107DF"/>
    <w:rsid w:val="00110C07"/>
    <w:rsid w:val="001115B5"/>
    <w:rsid w:val="001134FF"/>
    <w:rsid w:val="00114BD5"/>
    <w:rsid w:val="0011610D"/>
    <w:rsid w:val="001201DF"/>
    <w:rsid w:val="00120CBA"/>
    <w:rsid w:val="00121890"/>
    <w:rsid w:val="001225AD"/>
    <w:rsid w:val="00124EC5"/>
    <w:rsid w:val="00125D03"/>
    <w:rsid w:val="00126077"/>
    <w:rsid w:val="00127197"/>
    <w:rsid w:val="001275AE"/>
    <w:rsid w:val="00130582"/>
    <w:rsid w:val="001307FA"/>
    <w:rsid w:val="001314D2"/>
    <w:rsid w:val="00137FE4"/>
    <w:rsid w:val="001427B8"/>
    <w:rsid w:val="00144A91"/>
    <w:rsid w:val="00145A56"/>
    <w:rsid w:val="00153094"/>
    <w:rsid w:val="0015354D"/>
    <w:rsid w:val="001538DC"/>
    <w:rsid w:val="0015396D"/>
    <w:rsid w:val="00153CD7"/>
    <w:rsid w:val="001575DF"/>
    <w:rsid w:val="00160BB0"/>
    <w:rsid w:val="00161A1A"/>
    <w:rsid w:val="00161CB0"/>
    <w:rsid w:val="001635C0"/>
    <w:rsid w:val="0016539B"/>
    <w:rsid w:val="00166D07"/>
    <w:rsid w:val="00171E29"/>
    <w:rsid w:val="00172A27"/>
    <w:rsid w:val="00174017"/>
    <w:rsid w:val="00175F0F"/>
    <w:rsid w:val="001763A0"/>
    <w:rsid w:val="001773FC"/>
    <w:rsid w:val="00182636"/>
    <w:rsid w:val="0018276B"/>
    <w:rsid w:val="00187567"/>
    <w:rsid w:val="001878E9"/>
    <w:rsid w:val="001903DA"/>
    <w:rsid w:val="0019185D"/>
    <w:rsid w:val="00192C36"/>
    <w:rsid w:val="0019469B"/>
    <w:rsid w:val="00196BC6"/>
    <w:rsid w:val="001A17D4"/>
    <w:rsid w:val="001A3637"/>
    <w:rsid w:val="001A797C"/>
    <w:rsid w:val="001B14E1"/>
    <w:rsid w:val="001B229E"/>
    <w:rsid w:val="001B459F"/>
    <w:rsid w:val="001B4FC7"/>
    <w:rsid w:val="001B67D3"/>
    <w:rsid w:val="001B7FBF"/>
    <w:rsid w:val="001C2651"/>
    <w:rsid w:val="001C42AE"/>
    <w:rsid w:val="001C5682"/>
    <w:rsid w:val="001C7E7D"/>
    <w:rsid w:val="001D3A78"/>
    <w:rsid w:val="001D55AE"/>
    <w:rsid w:val="001D7601"/>
    <w:rsid w:val="001E08EB"/>
    <w:rsid w:val="001E2E15"/>
    <w:rsid w:val="001E480A"/>
    <w:rsid w:val="001E4A7E"/>
    <w:rsid w:val="001F11C7"/>
    <w:rsid w:val="001F12BE"/>
    <w:rsid w:val="001F60E8"/>
    <w:rsid w:val="001F7993"/>
    <w:rsid w:val="00200CB5"/>
    <w:rsid w:val="0020198A"/>
    <w:rsid w:val="00202B92"/>
    <w:rsid w:val="00202F4F"/>
    <w:rsid w:val="002103E1"/>
    <w:rsid w:val="0021089C"/>
    <w:rsid w:val="002112FF"/>
    <w:rsid w:val="0021182C"/>
    <w:rsid w:val="00211C07"/>
    <w:rsid w:val="002128B8"/>
    <w:rsid w:val="002131EE"/>
    <w:rsid w:val="00213CB9"/>
    <w:rsid w:val="002170D8"/>
    <w:rsid w:val="002273ED"/>
    <w:rsid w:val="00232473"/>
    <w:rsid w:val="002419B9"/>
    <w:rsid w:val="00241DD7"/>
    <w:rsid w:val="002425F6"/>
    <w:rsid w:val="0024592A"/>
    <w:rsid w:val="00245DF8"/>
    <w:rsid w:val="0024621F"/>
    <w:rsid w:val="00247563"/>
    <w:rsid w:val="00250AE4"/>
    <w:rsid w:val="00256BBA"/>
    <w:rsid w:val="0025700D"/>
    <w:rsid w:val="00262345"/>
    <w:rsid w:val="002643D4"/>
    <w:rsid w:val="002648A7"/>
    <w:rsid w:val="00265F06"/>
    <w:rsid w:val="00267B46"/>
    <w:rsid w:val="0027052E"/>
    <w:rsid w:val="00270A2F"/>
    <w:rsid w:val="00273547"/>
    <w:rsid w:val="0027408D"/>
    <w:rsid w:val="0027428A"/>
    <w:rsid w:val="0027435E"/>
    <w:rsid w:val="00274EE7"/>
    <w:rsid w:val="00274EEF"/>
    <w:rsid w:val="0027688B"/>
    <w:rsid w:val="00281F34"/>
    <w:rsid w:val="00282501"/>
    <w:rsid w:val="0028297E"/>
    <w:rsid w:val="00286080"/>
    <w:rsid w:val="00286160"/>
    <w:rsid w:val="00287D30"/>
    <w:rsid w:val="00290D07"/>
    <w:rsid w:val="00293A21"/>
    <w:rsid w:val="0029442D"/>
    <w:rsid w:val="00296311"/>
    <w:rsid w:val="002A155D"/>
    <w:rsid w:val="002A2E5F"/>
    <w:rsid w:val="002A2E86"/>
    <w:rsid w:val="002A59F9"/>
    <w:rsid w:val="002A60C9"/>
    <w:rsid w:val="002B0536"/>
    <w:rsid w:val="002B0D94"/>
    <w:rsid w:val="002B235F"/>
    <w:rsid w:val="002B368F"/>
    <w:rsid w:val="002B3CC1"/>
    <w:rsid w:val="002B5409"/>
    <w:rsid w:val="002D2BF6"/>
    <w:rsid w:val="002D4BD4"/>
    <w:rsid w:val="002E06DA"/>
    <w:rsid w:val="002E45F3"/>
    <w:rsid w:val="002E500D"/>
    <w:rsid w:val="002E5B96"/>
    <w:rsid w:val="002E76E4"/>
    <w:rsid w:val="002F07A7"/>
    <w:rsid w:val="002F175D"/>
    <w:rsid w:val="002F63C3"/>
    <w:rsid w:val="002F7560"/>
    <w:rsid w:val="002F7A6A"/>
    <w:rsid w:val="00301C2B"/>
    <w:rsid w:val="00307954"/>
    <w:rsid w:val="00307E4E"/>
    <w:rsid w:val="003154F8"/>
    <w:rsid w:val="00323903"/>
    <w:rsid w:val="0032397D"/>
    <w:rsid w:val="00325591"/>
    <w:rsid w:val="003324E8"/>
    <w:rsid w:val="00333A3A"/>
    <w:rsid w:val="00333A3D"/>
    <w:rsid w:val="003344DC"/>
    <w:rsid w:val="00345538"/>
    <w:rsid w:val="00346F8A"/>
    <w:rsid w:val="00347314"/>
    <w:rsid w:val="0035093E"/>
    <w:rsid w:val="00350BF7"/>
    <w:rsid w:val="003514C3"/>
    <w:rsid w:val="0035323C"/>
    <w:rsid w:val="003554D4"/>
    <w:rsid w:val="00355A54"/>
    <w:rsid w:val="00357823"/>
    <w:rsid w:val="00360631"/>
    <w:rsid w:val="00360D6F"/>
    <w:rsid w:val="003672AC"/>
    <w:rsid w:val="00370092"/>
    <w:rsid w:val="003712BD"/>
    <w:rsid w:val="00374CDD"/>
    <w:rsid w:val="00381A84"/>
    <w:rsid w:val="00382873"/>
    <w:rsid w:val="00382AF8"/>
    <w:rsid w:val="00382C19"/>
    <w:rsid w:val="00385586"/>
    <w:rsid w:val="00386660"/>
    <w:rsid w:val="00391B7F"/>
    <w:rsid w:val="00392C81"/>
    <w:rsid w:val="003955C0"/>
    <w:rsid w:val="003963BB"/>
    <w:rsid w:val="00397EED"/>
    <w:rsid w:val="003A2916"/>
    <w:rsid w:val="003A6F59"/>
    <w:rsid w:val="003B0298"/>
    <w:rsid w:val="003B1920"/>
    <w:rsid w:val="003B23DB"/>
    <w:rsid w:val="003B4F17"/>
    <w:rsid w:val="003C2EA4"/>
    <w:rsid w:val="003C4CD2"/>
    <w:rsid w:val="003C4F86"/>
    <w:rsid w:val="003C6EE5"/>
    <w:rsid w:val="003D00ED"/>
    <w:rsid w:val="003D1637"/>
    <w:rsid w:val="003D2A16"/>
    <w:rsid w:val="003D40A5"/>
    <w:rsid w:val="003D436D"/>
    <w:rsid w:val="003D4905"/>
    <w:rsid w:val="003E0C29"/>
    <w:rsid w:val="003E48C3"/>
    <w:rsid w:val="003E52F0"/>
    <w:rsid w:val="003E53EE"/>
    <w:rsid w:val="003F0C3F"/>
    <w:rsid w:val="003F21C1"/>
    <w:rsid w:val="003F479B"/>
    <w:rsid w:val="003F537A"/>
    <w:rsid w:val="003F7776"/>
    <w:rsid w:val="00400249"/>
    <w:rsid w:val="00401756"/>
    <w:rsid w:val="0040223D"/>
    <w:rsid w:val="00405739"/>
    <w:rsid w:val="00405AD2"/>
    <w:rsid w:val="00410A49"/>
    <w:rsid w:val="004138E5"/>
    <w:rsid w:val="004179C5"/>
    <w:rsid w:val="0042135A"/>
    <w:rsid w:val="00422951"/>
    <w:rsid w:val="004300FA"/>
    <w:rsid w:val="004308AE"/>
    <w:rsid w:val="004322BA"/>
    <w:rsid w:val="004342F9"/>
    <w:rsid w:val="00434D7C"/>
    <w:rsid w:val="004406FA"/>
    <w:rsid w:val="00440A71"/>
    <w:rsid w:val="00442ADD"/>
    <w:rsid w:val="00443E92"/>
    <w:rsid w:val="00444870"/>
    <w:rsid w:val="00446159"/>
    <w:rsid w:val="004479FC"/>
    <w:rsid w:val="00451134"/>
    <w:rsid w:val="0045542A"/>
    <w:rsid w:val="0045558C"/>
    <w:rsid w:val="00456BDB"/>
    <w:rsid w:val="0046262E"/>
    <w:rsid w:val="004637EC"/>
    <w:rsid w:val="00465380"/>
    <w:rsid w:val="0046774D"/>
    <w:rsid w:val="00467C2F"/>
    <w:rsid w:val="00470A64"/>
    <w:rsid w:val="004716C7"/>
    <w:rsid w:val="00473354"/>
    <w:rsid w:val="004767A6"/>
    <w:rsid w:val="004767AE"/>
    <w:rsid w:val="0047682A"/>
    <w:rsid w:val="00480E58"/>
    <w:rsid w:val="0048136D"/>
    <w:rsid w:val="0048240B"/>
    <w:rsid w:val="00483D16"/>
    <w:rsid w:val="00491100"/>
    <w:rsid w:val="00493A78"/>
    <w:rsid w:val="004A0F19"/>
    <w:rsid w:val="004A6712"/>
    <w:rsid w:val="004A734F"/>
    <w:rsid w:val="004A7DC8"/>
    <w:rsid w:val="004B0945"/>
    <w:rsid w:val="004B191E"/>
    <w:rsid w:val="004B3675"/>
    <w:rsid w:val="004B408B"/>
    <w:rsid w:val="004B6052"/>
    <w:rsid w:val="004C0185"/>
    <w:rsid w:val="004C0B0A"/>
    <w:rsid w:val="004C15D3"/>
    <w:rsid w:val="004C47B6"/>
    <w:rsid w:val="004C5E7D"/>
    <w:rsid w:val="004C5F29"/>
    <w:rsid w:val="004C69E3"/>
    <w:rsid w:val="004C6F58"/>
    <w:rsid w:val="004D0654"/>
    <w:rsid w:val="004D5137"/>
    <w:rsid w:val="004D6D84"/>
    <w:rsid w:val="004E1F13"/>
    <w:rsid w:val="004E3D26"/>
    <w:rsid w:val="004F3C74"/>
    <w:rsid w:val="004F5EA6"/>
    <w:rsid w:val="004F5F1A"/>
    <w:rsid w:val="004F61F7"/>
    <w:rsid w:val="00501316"/>
    <w:rsid w:val="00501923"/>
    <w:rsid w:val="005031A6"/>
    <w:rsid w:val="00503AF3"/>
    <w:rsid w:val="0050430C"/>
    <w:rsid w:val="00504543"/>
    <w:rsid w:val="00505143"/>
    <w:rsid w:val="00506261"/>
    <w:rsid w:val="00506E8A"/>
    <w:rsid w:val="00506FA1"/>
    <w:rsid w:val="005079CD"/>
    <w:rsid w:val="005104C2"/>
    <w:rsid w:val="00510EA4"/>
    <w:rsid w:val="00511043"/>
    <w:rsid w:val="00513FE4"/>
    <w:rsid w:val="0052198F"/>
    <w:rsid w:val="005257D1"/>
    <w:rsid w:val="00525812"/>
    <w:rsid w:val="005261DF"/>
    <w:rsid w:val="005264DE"/>
    <w:rsid w:val="005269FC"/>
    <w:rsid w:val="00527E74"/>
    <w:rsid w:val="00530820"/>
    <w:rsid w:val="00532BC8"/>
    <w:rsid w:val="00537B6D"/>
    <w:rsid w:val="00541E94"/>
    <w:rsid w:val="00543D12"/>
    <w:rsid w:val="005444C9"/>
    <w:rsid w:val="005458DF"/>
    <w:rsid w:val="0055298B"/>
    <w:rsid w:val="005548F1"/>
    <w:rsid w:val="005626E0"/>
    <w:rsid w:val="00564878"/>
    <w:rsid w:val="00564F7B"/>
    <w:rsid w:val="00565B33"/>
    <w:rsid w:val="00567300"/>
    <w:rsid w:val="005705A4"/>
    <w:rsid w:val="00570A17"/>
    <w:rsid w:val="00570E33"/>
    <w:rsid w:val="00571D00"/>
    <w:rsid w:val="0057363E"/>
    <w:rsid w:val="00574C26"/>
    <w:rsid w:val="00575F17"/>
    <w:rsid w:val="00577ED2"/>
    <w:rsid w:val="0058119A"/>
    <w:rsid w:val="0058262E"/>
    <w:rsid w:val="005831B2"/>
    <w:rsid w:val="00585CC5"/>
    <w:rsid w:val="005874BC"/>
    <w:rsid w:val="00587C70"/>
    <w:rsid w:val="00590AA9"/>
    <w:rsid w:val="00591526"/>
    <w:rsid w:val="005930DB"/>
    <w:rsid w:val="005947A9"/>
    <w:rsid w:val="00594E72"/>
    <w:rsid w:val="005A06AB"/>
    <w:rsid w:val="005A1CBB"/>
    <w:rsid w:val="005A4729"/>
    <w:rsid w:val="005A685B"/>
    <w:rsid w:val="005A77C0"/>
    <w:rsid w:val="005A77E5"/>
    <w:rsid w:val="005A7A77"/>
    <w:rsid w:val="005B33B3"/>
    <w:rsid w:val="005B3A66"/>
    <w:rsid w:val="005B7C14"/>
    <w:rsid w:val="005B7ED6"/>
    <w:rsid w:val="005C63C7"/>
    <w:rsid w:val="005C6756"/>
    <w:rsid w:val="005C680C"/>
    <w:rsid w:val="005C6F71"/>
    <w:rsid w:val="005D0FAB"/>
    <w:rsid w:val="005D1B5D"/>
    <w:rsid w:val="005D223E"/>
    <w:rsid w:val="005D3EEF"/>
    <w:rsid w:val="005D70B7"/>
    <w:rsid w:val="005D7288"/>
    <w:rsid w:val="005E2D1A"/>
    <w:rsid w:val="005E4D72"/>
    <w:rsid w:val="005E5EAA"/>
    <w:rsid w:val="005F0800"/>
    <w:rsid w:val="005F49FF"/>
    <w:rsid w:val="006010B4"/>
    <w:rsid w:val="006051FB"/>
    <w:rsid w:val="006056C6"/>
    <w:rsid w:val="006076C2"/>
    <w:rsid w:val="00611929"/>
    <w:rsid w:val="006153A7"/>
    <w:rsid w:val="00617C5F"/>
    <w:rsid w:val="0062091C"/>
    <w:rsid w:val="00622C18"/>
    <w:rsid w:val="0062661D"/>
    <w:rsid w:val="00626841"/>
    <w:rsid w:val="00632BAE"/>
    <w:rsid w:val="0063425B"/>
    <w:rsid w:val="0063622A"/>
    <w:rsid w:val="00636B5E"/>
    <w:rsid w:val="00637D43"/>
    <w:rsid w:val="00641B68"/>
    <w:rsid w:val="0064349A"/>
    <w:rsid w:val="006437E9"/>
    <w:rsid w:val="0064453A"/>
    <w:rsid w:val="00647D6E"/>
    <w:rsid w:val="0065029B"/>
    <w:rsid w:val="006522FB"/>
    <w:rsid w:val="0065299C"/>
    <w:rsid w:val="00657614"/>
    <w:rsid w:val="00657761"/>
    <w:rsid w:val="00661B02"/>
    <w:rsid w:val="00662B0A"/>
    <w:rsid w:val="00663DDC"/>
    <w:rsid w:val="006642DF"/>
    <w:rsid w:val="0066458B"/>
    <w:rsid w:val="006649CA"/>
    <w:rsid w:val="0066702E"/>
    <w:rsid w:val="00670296"/>
    <w:rsid w:val="00671571"/>
    <w:rsid w:val="00671673"/>
    <w:rsid w:val="00671EAA"/>
    <w:rsid w:val="0067449A"/>
    <w:rsid w:val="00674EF1"/>
    <w:rsid w:val="00675A54"/>
    <w:rsid w:val="006761AA"/>
    <w:rsid w:val="0067639E"/>
    <w:rsid w:val="00684039"/>
    <w:rsid w:val="00684CBB"/>
    <w:rsid w:val="00687833"/>
    <w:rsid w:val="006900E6"/>
    <w:rsid w:val="00693AB1"/>
    <w:rsid w:val="00695F40"/>
    <w:rsid w:val="006A3741"/>
    <w:rsid w:val="006A4074"/>
    <w:rsid w:val="006A4E1F"/>
    <w:rsid w:val="006A50D8"/>
    <w:rsid w:val="006A5267"/>
    <w:rsid w:val="006A55C6"/>
    <w:rsid w:val="006A5970"/>
    <w:rsid w:val="006B13CB"/>
    <w:rsid w:val="006B3A5D"/>
    <w:rsid w:val="006B46C0"/>
    <w:rsid w:val="006B58DD"/>
    <w:rsid w:val="006B7E90"/>
    <w:rsid w:val="006C275B"/>
    <w:rsid w:val="006C3235"/>
    <w:rsid w:val="006C553E"/>
    <w:rsid w:val="006C65D6"/>
    <w:rsid w:val="006D63A8"/>
    <w:rsid w:val="006D6F10"/>
    <w:rsid w:val="006E0337"/>
    <w:rsid w:val="006E29D0"/>
    <w:rsid w:val="006E38F4"/>
    <w:rsid w:val="006E5D84"/>
    <w:rsid w:val="006E7078"/>
    <w:rsid w:val="006E7F3F"/>
    <w:rsid w:val="006F3700"/>
    <w:rsid w:val="006F57C5"/>
    <w:rsid w:val="006F7D9D"/>
    <w:rsid w:val="007038A7"/>
    <w:rsid w:val="00703BFD"/>
    <w:rsid w:val="00704077"/>
    <w:rsid w:val="00704A71"/>
    <w:rsid w:val="00705CA6"/>
    <w:rsid w:val="00707888"/>
    <w:rsid w:val="00712658"/>
    <w:rsid w:val="00713F7E"/>
    <w:rsid w:val="0071465C"/>
    <w:rsid w:val="007153E7"/>
    <w:rsid w:val="00715954"/>
    <w:rsid w:val="00716BB9"/>
    <w:rsid w:val="0071770A"/>
    <w:rsid w:val="00721061"/>
    <w:rsid w:val="00723397"/>
    <w:rsid w:val="00723CB9"/>
    <w:rsid w:val="0072431E"/>
    <w:rsid w:val="007303F2"/>
    <w:rsid w:val="0073043E"/>
    <w:rsid w:val="007306B3"/>
    <w:rsid w:val="00731FB2"/>
    <w:rsid w:val="0073441A"/>
    <w:rsid w:val="00735B37"/>
    <w:rsid w:val="00736E9E"/>
    <w:rsid w:val="00741771"/>
    <w:rsid w:val="007444E9"/>
    <w:rsid w:val="00746142"/>
    <w:rsid w:val="00746E41"/>
    <w:rsid w:val="00747206"/>
    <w:rsid w:val="00750DFD"/>
    <w:rsid w:val="00750E59"/>
    <w:rsid w:val="007524CE"/>
    <w:rsid w:val="00755F20"/>
    <w:rsid w:val="00757076"/>
    <w:rsid w:val="0075715D"/>
    <w:rsid w:val="007575A5"/>
    <w:rsid w:val="00757E2F"/>
    <w:rsid w:val="00761F4B"/>
    <w:rsid w:val="007628F9"/>
    <w:rsid w:val="007651D5"/>
    <w:rsid w:val="0076574C"/>
    <w:rsid w:val="00772A7B"/>
    <w:rsid w:val="00772F45"/>
    <w:rsid w:val="00776301"/>
    <w:rsid w:val="00776B7F"/>
    <w:rsid w:val="0078346E"/>
    <w:rsid w:val="00783B37"/>
    <w:rsid w:val="0078498F"/>
    <w:rsid w:val="0078656E"/>
    <w:rsid w:val="00786FB1"/>
    <w:rsid w:val="007872EF"/>
    <w:rsid w:val="00793258"/>
    <w:rsid w:val="0079480D"/>
    <w:rsid w:val="00796D46"/>
    <w:rsid w:val="00796E86"/>
    <w:rsid w:val="007979F7"/>
    <w:rsid w:val="007A1A0B"/>
    <w:rsid w:val="007A542D"/>
    <w:rsid w:val="007A668E"/>
    <w:rsid w:val="007A7CFF"/>
    <w:rsid w:val="007B0019"/>
    <w:rsid w:val="007B2C17"/>
    <w:rsid w:val="007B704C"/>
    <w:rsid w:val="007C15F5"/>
    <w:rsid w:val="007C1C99"/>
    <w:rsid w:val="007C3838"/>
    <w:rsid w:val="007C42AD"/>
    <w:rsid w:val="007C5F2C"/>
    <w:rsid w:val="007C6B5C"/>
    <w:rsid w:val="007C7DC2"/>
    <w:rsid w:val="007D116A"/>
    <w:rsid w:val="007D3472"/>
    <w:rsid w:val="007D3E83"/>
    <w:rsid w:val="007E5560"/>
    <w:rsid w:val="007F2D3E"/>
    <w:rsid w:val="007F42A5"/>
    <w:rsid w:val="007F586D"/>
    <w:rsid w:val="007F59FB"/>
    <w:rsid w:val="007F71EE"/>
    <w:rsid w:val="007F7E61"/>
    <w:rsid w:val="00801949"/>
    <w:rsid w:val="008021C6"/>
    <w:rsid w:val="0080741E"/>
    <w:rsid w:val="00810592"/>
    <w:rsid w:val="008110B7"/>
    <w:rsid w:val="00812E04"/>
    <w:rsid w:val="0082176D"/>
    <w:rsid w:val="008231D1"/>
    <w:rsid w:val="00835DE7"/>
    <w:rsid w:val="008364EB"/>
    <w:rsid w:val="00836952"/>
    <w:rsid w:val="00836A69"/>
    <w:rsid w:val="0084141F"/>
    <w:rsid w:val="008523A3"/>
    <w:rsid w:val="00856751"/>
    <w:rsid w:val="00860501"/>
    <w:rsid w:val="00861DBC"/>
    <w:rsid w:val="00861FF0"/>
    <w:rsid w:val="00863F69"/>
    <w:rsid w:val="00864B0C"/>
    <w:rsid w:val="00865702"/>
    <w:rsid w:val="00865B57"/>
    <w:rsid w:val="00866203"/>
    <w:rsid w:val="00866299"/>
    <w:rsid w:val="0087008A"/>
    <w:rsid w:val="00872050"/>
    <w:rsid w:val="00874125"/>
    <w:rsid w:val="008755DA"/>
    <w:rsid w:val="00876839"/>
    <w:rsid w:val="00877AA1"/>
    <w:rsid w:val="00881160"/>
    <w:rsid w:val="0088226E"/>
    <w:rsid w:val="0088253E"/>
    <w:rsid w:val="00885619"/>
    <w:rsid w:val="00890218"/>
    <w:rsid w:val="0089022A"/>
    <w:rsid w:val="00891250"/>
    <w:rsid w:val="00892968"/>
    <w:rsid w:val="008967AB"/>
    <w:rsid w:val="008A054F"/>
    <w:rsid w:val="008A05DB"/>
    <w:rsid w:val="008A2B64"/>
    <w:rsid w:val="008A3785"/>
    <w:rsid w:val="008A4239"/>
    <w:rsid w:val="008A5609"/>
    <w:rsid w:val="008A5897"/>
    <w:rsid w:val="008A5CB4"/>
    <w:rsid w:val="008A5D26"/>
    <w:rsid w:val="008A761C"/>
    <w:rsid w:val="008A7A43"/>
    <w:rsid w:val="008B0B86"/>
    <w:rsid w:val="008B0DE0"/>
    <w:rsid w:val="008B18E8"/>
    <w:rsid w:val="008B2A0B"/>
    <w:rsid w:val="008B4DD6"/>
    <w:rsid w:val="008B73B8"/>
    <w:rsid w:val="008C025F"/>
    <w:rsid w:val="008C299A"/>
    <w:rsid w:val="008C30BE"/>
    <w:rsid w:val="008C5975"/>
    <w:rsid w:val="008D13FE"/>
    <w:rsid w:val="008D4B7C"/>
    <w:rsid w:val="008D697E"/>
    <w:rsid w:val="008D6B21"/>
    <w:rsid w:val="008D6EE4"/>
    <w:rsid w:val="008E042E"/>
    <w:rsid w:val="008E077D"/>
    <w:rsid w:val="008E1B9E"/>
    <w:rsid w:val="008E43D4"/>
    <w:rsid w:val="008E507D"/>
    <w:rsid w:val="008E6011"/>
    <w:rsid w:val="008E6043"/>
    <w:rsid w:val="008E7938"/>
    <w:rsid w:val="008F074C"/>
    <w:rsid w:val="008F23E7"/>
    <w:rsid w:val="008F4715"/>
    <w:rsid w:val="008F62D5"/>
    <w:rsid w:val="008F6623"/>
    <w:rsid w:val="008F6638"/>
    <w:rsid w:val="00902C58"/>
    <w:rsid w:val="009039B9"/>
    <w:rsid w:val="00906B05"/>
    <w:rsid w:val="00911A3C"/>
    <w:rsid w:val="009141D5"/>
    <w:rsid w:val="00915466"/>
    <w:rsid w:val="009171A3"/>
    <w:rsid w:val="009204CC"/>
    <w:rsid w:val="0092323D"/>
    <w:rsid w:val="00927344"/>
    <w:rsid w:val="0092775A"/>
    <w:rsid w:val="009356E4"/>
    <w:rsid w:val="00936051"/>
    <w:rsid w:val="00937E4D"/>
    <w:rsid w:val="009405BE"/>
    <w:rsid w:val="009408D3"/>
    <w:rsid w:val="00941F64"/>
    <w:rsid w:val="009448F0"/>
    <w:rsid w:val="00945024"/>
    <w:rsid w:val="0094661F"/>
    <w:rsid w:val="009505F5"/>
    <w:rsid w:val="009530E2"/>
    <w:rsid w:val="00955849"/>
    <w:rsid w:val="00955F3E"/>
    <w:rsid w:val="00961281"/>
    <w:rsid w:val="00961979"/>
    <w:rsid w:val="00961B05"/>
    <w:rsid w:val="00961B8D"/>
    <w:rsid w:val="00961BB1"/>
    <w:rsid w:val="00963247"/>
    <w:rsid w:val="00963EF2"/>
    <w:rsid w:val="00970FF8"/>
    <w:rsid w:val="00971B9E"/>
    <w:rsid w:val="00971FFC"/>
    <w:rsid w:val="0097259E"/>
    <w:rsid w:val="009734F2"/>
    <w:rsid w:val="009744A4"/>
    <w:rsid w:val="00974BC5"/>
    <w:rsid w:val="009826BB"/>
    <w:rsid w:val="009835F5"/>
    <w:rsid w:val="00985AD8"/>
    <w:rsid w:val="00985BFF"/>
    <w:rsid w:val="00992CFF"/>
    <w:rsid w:val="0099520B"/>
    <w:rsid w:val="00995FC3"/>
    <w:rsid w:val="009A124F"/>
    <w:rsid w:val="009A5AC2"/>
    <w:rsid w:val="009B3D89"/>
    <w:rsid w:val="009B47ED"/>
    <w:rsid w:val="009B58AA"/>
    <w:rsid w:val="009C3C54"/>
    <w:rsid w:val="009D05A4"/>
    <w:rsid w:val="009D0842"/>
    <w:rsid w:val="009D17ED"/>
    <w:rsid w:val="009D796E"/>
    <w:rsid w:val="009E01B4"/>
    <w:rsid w:val="009E2945"/>
    <w:rsid w:val="009E3C16"/>
    <w:rsid w:val="009E4BF7"/>
    <w:rsid w:val="009F016F"/>
    <w:rsid w:val="009F2DAB"/>
    <w:rsid w:val="009F431D"/>
    <w:rsid w:val="009F4907"/>
    <w:rsid w:val="00A00797"/>
    <w:rsid w:val="00A016E5"/>
    <w:rsid w:val="00A03C33"/>
    <w:rsid w:val="00A04FCD"/>
    <w:rsid w:val="00A052D6"/>
    <w:rsid w:val="00A06607"/>
    <w:rsid w:val="00A06657"/>
    <w:rsid w:val="00A06AAB"/>
    <w:rsid w:val="00A070C7"/>
    <w:rsid w:val="00A106B6"/>
    <w:rsid w:val="00A130E3"/>
    <w:rsid w:val="00A13745"/>
    <w:rsid w:val="00A15751"/>
    <w:rsid w:val="00A17C22"/>
    <w:rsid w:val="00A20849"/>
    <w:rsid w:val="00A215D1"/>
    <w:rsid w:val="00A246B7"/>
    <w:rsid w:val="00A24FB5"/>
    <w:rsid w:val="00A2523D"/>
    <w:rsid w:val="00A27332"/>
    <w:rsid w:val="00A275E4"/>
    <w:rsid w:val="00A2795F"/>
    <w:rsid w:val="00A326FE"/>
    <w:rsid w:val="00A32BF0"/>
    <w:rsid w:val="00A41DCE"/>
    <w:rsid w:val="00A4267A"/>
    <w:rsid w:val="00A44637"/>
    <w:rsid w:val="00A46636"/>
    <w:rsid w:val="00A53443"/>
    <w:rsid w:val="00A5477B"/>
    <w:rsid w:val="00A579DA"/>
    <w:rsid w:val="00A62480"/>
    <w:rsid w:val="00A65FBD"/>
    <w:rsid w:val="00A666A5"/>
    <w:rsid w:val="00A70EB7"/>
    <w:rsid w:val="00A73F3D"/>
    <w:rsid w:val="00A80B24"/>
    <w:rsid w:val="00A83E61"/>
    <w:rsid w:val="00A84CA8"/>
    <w:rsid w:val="00A85985"/>
    <w:rsid w:val="00A85CE1"/>
    <w:rsid w:val="00A87049"/>
    <w:rsid w:val="00A872EC"/>
    <w:rsid w:val="00A87AB3"/>
    <w:rsid w:val="00A87C63"/>
    <w:rsid w:val="00A903BF"/>
    <w:rsid w:val="00A90D31"/>
    <w:rsid w:val="00A9560B"/>
    <w:rsid w:val="00A95C18"/>
    <w:rsid w:val="00AA4DC0"/>
    <w:rsid w:val="00AA5B09"/>
    <w:rsid w:val="00AA6977"/>
    <w:rsid w:val="00AB0F5E"/>
    <w:rsid w:val="00AB2102"/>
    <w:rsid w:val="00AB552C"/>
    <w:rsid w:val="00AB57DB"/>
    <w:rsid w:val="00AB5AC1"/>
    <w:rsid w:val="00AB63BE"/>
    <w:rsid w:val="00AB73B5"/>
    <w:rsid w:val="00AC0034"/>
    <w:rsid w:val="00AC15D1"/>
    <w:rsid w:val="00AC197E"/>
    <w:rsid w:val="00AC1B57"/>
    <w:rsid w:val="00AC2287"/>
    <w:rsid w:val="00AC3529"/>
    <w:rsid w:val="00AC35AA"/>
    <w:rsid w:val="00AD120C"/>
    <w:rsid w:val="00AE3356"/>
    <w:rsid w:val="00AF145E"/>
    <w:rsid w:val="00AF33E4"/>
    <w:rsid w:val="00AF47EC"/>
    <w:rsid w:val="00B00A1C"/>
    <w:rsid w:val="00B00C02"/>
    <w:rsid w:val="00B00D17"/>
    <w:rsid w:val="00B02502"/>
    <w:rsid w:val="00B040B9"/>
    <w:rsid w:val="00B04D9E"/>
    <w:rsid w:val="00B05DCE"/>
    <w:rsid w:val="00B06C66"/>
    <w:rsid w:val="00B118FB"/>
    <w:rsid w:val="00B13081"/>
    <w:rsid w:val="00B13154"/>
    <w:rsid w:val="00B137ED"/>
    <w:rsid w:val="00B1402C"/>
    <w:rsid w:val="00B142E6"/>
    <w:rsid w:val="00B156C7"/>
    <w:rsid w:val="00B15974"/>
    <w:rsid w:val="00B16FEE"/>
    <w:rsid w:val="00B210A9"/>
    <w:rsid w:val="00B22689"/>
    <w:rsid w:val="00B24C7E"/>
    <w:rsid w:val="00B27175"/>
    <w:rsid w:val="00B31E4C"/>
    <w:rsid w:val="00B31FD6"/>
    <w:rsid w:val="00B34A65"/>
    <w:rsid w:val="00B35386"/>
    <w:rsid w:val="00B35D26"/>
    <w:rsid w:val="00B36525"/>
    <w:rsid w:val="00B36FB3"/>
    <w:rsid w:val="00B372CD"/>
    <w:rsid w:val="00B4084D"/>
    <w:rsid w:val="00B424C1"/>
    <w:rsid w:val="00B44582"/>
    <w:rsid w:val="00B44A03"/>
    <w:rsid w:val="00B5092C"/>
    <w:rsid w:val="00B543A5"/>
    <w:rsid w:val="00B55124"/>
    <w:rsid w:val="00B55287"/>
    <w:rsid w:val="00B55C6F"/>
    <w:rsid w:val="00B5685B"/>
    <w:rsid w:val="00B61E10"/>
    <w:rsid w:val="00B62EEB"/>
    <w:rsid w:val="00B63162"/>
    <w:rsid w:val="00B64D74"/>
    <w:rsid w:val="00B70538"/>
    <w:rsid w:val="00B765CB"/>
    <w:rsid w:val="00B76A90"/>
    <w:rsid w:val="00B8085A"/>
    <w:rsid w:val="00B84FE1"/>
    <w:rsid w:val="00B85B9F"/>
    <w:rsid w:val="00B85BAE"/>
    <w:rsid w:val="00B916F3"/>
    <w:rsid w:val="00B950DF"/>
    <w:rsid w:val="00B95316"/>
    <w:rsid w:val="00BA121E"/>
    <w:rsid w:val="00BA2309"/>
    <w:rsid w:val="00BA2883"/>
    <w:rsid w:val="00BA345C"/>
    <w:rsid w:val="00BA6295"/>
    <w:rsid w:val="00BB0BEE"/>
    <w:rsid w:val="00BB3198"/>
    <w:rsid w:val="00BB3B3D"/>
    <w:rsid w:val="00BB6775"/>
    <w:rsid w:val="00BC1C80"/>
    <w:rsid w:val="00BC62BA"/>
    <w:rsid w:val="00BD0EF9"/>
    <w:rsid w:val="00BD412D"/>
    <w:rsid w:val="00BE556C"/>
    <w:rsid w:val="00BE61EC"/>
    <w:rsid w:val="00BE6B90"/>
    <w:rsid w:val="00BF05A1"/>
    <w:rsid w:val="00BF2026"/>
    <w:rsid w:val="00C005D6"/>
    <w:rsid w:val="00C020BC"/>
    <w:rsid w:val="00C03FCD"/>
    <w:rsid w:val="00C03FE2"/>
    <w:rsid w:val="00C101AF"/>
    <w:rsid w:val="00C11865"/>
    <w:rsid w:val="00C11A97"/>
    <w:rsid w:val="00C1674E"/>
    <w:rsid w:val="00C270E4"/>
    <w:rsid w:val="00C30BE8"/>
    <w:rsid w:val="00C32660"/>
    <w:rsid w:val="00C40F8A"/>
    <w:rsid w:val="00C41B3A"/>
    <w:rsid w:val="00C44A75"/>
    <w:rsid w:val="00C4588A"/>
    <w:rsid w:val="00C50D6A"/>
    <w:rsid w:val="00C520E6"/>
    <w:rsid w:val="00C5257D"/>
    <w:rsid w:val="00C53CDC"/>
    <w:rsid w:val="00C55001"/>
    <w:rsid w:val="00C567B0"/>
    <w:rsid w:val="00C57122"/>
    <w:rsid w:val="00C647C3"/>
    <w:rsid w:val="00C649CC"/>
    <w:rsid w:val="00C67D86"/>
    <w:rsid w:val="00C703D1"/>
    <w:rsid w:val="00C724DA"/>
    <w:rsid w:val="00C74770"/>
    <w:rsid w:val="00C747B6"/>
    <w:rsid w:val="00C758B0"/>
    <w:rsid w:val="00C765E1"/>
    <w:rsid w:val="00C800DB"/>
    <w:rsid w:val="00C80773"/>
    <w:rsid w:val="00C80825"/>
    <w:rsid w:val="00C82B10"/>
    <w:rsid w:val="00C84AF5"/>
    <w:rsid w:val="00C86E7A"/>
    <w:rsid w:val="00C9014F"/>
    <w:rsid w:val="00C92511"/>
    <w:rsid w:val="00C94BCF"/>
    <w:rsid w:val="00C94E59"/>
    <w:rsid w:val="00C955CC"/>
    <w:rsid w:val="00C959B5"/>
    <w:rsid w:val="00C95A81"/>
    <w:rsid w:val="00C9666E"/>
    <w:rsid w:val="00CA00DC"/>
    <w:rsid w:val="00CA0A49"/>
    <w:rsid w:val="00CA35F1"/>
    <w:rsid w:val="00CA52B9"/>
    <w:rsid w:val="00CA5DEB"/>
    <w:rsid w:val="00CB05B9"/>
    <w:rsid w:val="00CB152D"/>
    <w:rsid w:val="00CB51DB"/>
    <w:rsid w:val="00CB716C"/>
    <w:rsid w:val="00CB7962"/>
    <w:rsid w:val="00CB79E5"/>
    <w:rsid w:val="00CC0715"/>
    <w:rsid w:val="00CC4F67"/>
    <w:rsid w:val="00CC6AB7"/>
    <w:rsid w:val="00CD0A7B"/>
    <w:rsid w:val="00CD15BC"/>
    <w:rsid w:val="00CD5AEC"/>
    <w:rsid w:val="00CE7205"/>
    <w:rsid w:val="00CE7D83"/>
    <w:rsid w:val="00CF24B5"/>
    <w:rsid w:val="00CF4D97"/>
    <w:rsid w:val="00CF4F77"/>
    <w:rsid w:val="00CF6BEF"/>
    <w:rsid w:val="00CF6CBD"/>
    <w:rsid w:val="00D01C95"/>
    <w:rsid w:val="00D0208E"/>
    <w:rsid w:val="00D0316B"/>
    <w:rsid w:val="00D04DB5"/>
    <w:rsid w:val="00D0673F"/>
    <w:rsid w:val="00D10298"/>
    <w:rsid w:val="00D10719"/>
    <w:rsid w:val="00D122D1"/>
    <w:rsid w:val="00D147BC"/>
    <w:rsid w:val="00D14C11"/>
    <w:rsid w:val="00D1538B"/>
    <w:rsid w:val="00D1560A"/>
    <w:rsid w:val="00D178AA"/>
    <w:rsid w:val="00D21490"/>
    <w:rsid w:val="00D2230E"/>
    <w:rsid w:val="00D22DD6"/>
    <w:rsid w:val="00D23C8E"/>
    <w:rsid w:val="00D2442E"/>
    <w:rsid w:val="00D24CB5"/>
    <w:rsid w:val="00D26625"/>
    <w:rsid w:val="00D31BBF"/>
    <w:rsid w:val="00D33487"/>
    <w:rsid w:val="00D368D6"/>
    <w:rsid w:val="00D3778C"/>
    <w:rsid w:val="00D37F02"/>
    <w:rsid w:val="00D425E3"/>
    <w:rsid w:val="00D4339E"/>
    <w:rsid w:val="00D44777"/>
    <w:rsid w:val="00D52BFE"/>
    <w:rsid w:val="00D5399F"/>
    <w:rsid w:val="00D53B07"/>
    <w:rsid w:val="00D544EC"/>
    <w:rsid w:val="00D5498B"/>
    <w:rsid w:val="00D5561D"/>
    <w:rsid w:val="00D55CE1"/>
    <w:rsid w:val="00D6032F"/>
    <w:rsid w:val="00D61341"/>
    <w:rsid w:val="00D63577"/>
    <w:rsid w:val="00D64977"/>
    <w:rsid w:val="00D64B2F"/>
    <w:rsid w:val="00D65F09"/>
    <w:rsid w:val="00D65F8E"/>
    <w:rsid w:val="00D73F20"/>
    <w:rsid w:val="00D743F4"/>
    <w:rsid w:val="00D77396"/>
    <w:rsid w:val="00D77584"/>
    <w:rsid w:val="00D83871"/>
    <w:rsid w:val="00D84EE6"/>
    <w:rsid w:val="00D9021C"/>
    <w:rsid w:val="00D905DD"/>
    <w:rsid w:val="00D90C90"/>
    <w:rsid w:val="00D93444"/>
    <w:rsid w:val="00DA044C"/>
    <w:rsid w:val="00DA0555"/>
    <w:rsid w:val="00DA1111"/>
    <w:rsid w:val="00DA26F6"/>
    <w:rsid w:val="00DA39E0"/>
    <w:rsid w:val="00DA5AA4"/>
    <w:rsid w:val="00DA6366"/>
    <w:rsid w:val="00DA7C8F"/>
    <w:rsid w:val="00DB204A"/>
    <w:rsid w:val="00DB5DB3"/>
    <w:rsid w:val="00DB6C49"/>
    <w:rsid w:val="00DC0E91"/>
    <w:rsid w:val="00DC5714"/>
    <w:rsid w:val="00DC5E09"/>
    <w:rsid w:val="00DD2848"/>
    <w:rsid w:val="00DD2936"/>
    <w:rsid w:val="00DD2FC0"/>
    <w:rsid w:val="00DD3A19"/>
    <w:rsid w:val="00DD3FA2"/>
    <w:rsid w:val="00DD64C3"/>
    <w:rsid w:val="00DD6850"/>
    <w:rsid w:val="00DD7FB6"/>
    <w:rsid w:val="00DE1DFB"/>
    <w:rsid w:val="00DE3513"/>
    <w:rsid w:val="00DF011E"/>
    <w:rsid w:val="00DF16F7"/>
    <w:rsid w:val="00DF19D0"/>
    <w:rsid w:val="00DF1C05"/>
    <w:rsid w:val="00DF2142"/>
    <w:rsid w:val="00DF21F8"/>
    <w:rsid w:val="00DF3849"/>
    <w:rsid w:val="00DF3B83"/>
    <w:rsid w:val="00DF64EE"/>
    <w:rsid w:val="00E0007B"/>
    <w:rsid w:val="00E05BED"/>
    <w:rsid w:val="00E127B2"/>
    <w:rsid w:val="00E133A6"/>
    <w:rsid w:val="00E14D21"/>
    <w:rsid w:val="00E15409"/>
    <w:rsid w:val="00E21241"/>
    <w:rsid w:val="00E23FAE"/>
    <w:rsid w:val="00E26094"/>
    <w:rsid w:val="00E344C4"/>
    <w:rsid w:val="00E35257"/>
    <w:rsid w:val="00E35CD2"/>
    <w:rsid w:val="00E3650A"/>
    <w:rsid w:val="00E41333"/>
    <w:rsid w:val="00E42732"/>
    <w:rsid w:val="00E43763"/>
    <w:rsid w:val="00E44955"/>
    <w:rsid w:val="00E455F8"/>
    <w:rsid w:val="00E47587"/>
    <w:rsid w:val="00E51C84"/>
    <w:rsid w:val="00E51FA8"/>
    <w:rsid w:val="00E542DC"/>
    <w:rsid w:val="00E557D4"/>
    <w:rsid w:val="00E60D86"/>
    <w:rsid w:val="00E61851"/>
    <w:rsid w:val="00E62E06"/>
    <w:rsid w:val="00E63639"/>
    <w:rsid w:val="00E67E41"/>
    <w:rsid w:val="00E72107"/>
    <w:rsid w:val="00E72123"/>
    <w:rsid w:val="00E725EE"/>
    <w:rsid w:val="00E7287E"/>
    <w:rsid w:val="00E730EE"/>
    <w:rsid w:val="00E736DD"/>
    <w:rsid w:val="00E74EE6"/>
    <w:rsid w:val="00E75473"/>
    <w:rsid w:val="00E80E30"/>
    <w:rsid w:val="00E8317E"/>
    <w:rsid w:val="00E83C00"/>
    <w:rsid w:val="00E84AD8"/>
    <w:rsid w:val="00E85112"/>
    <w:rsid w:val="00E90742"/>
    <w:rsid w:val="00E90CF1"/>
    <w:rsid w:val="00E911AC"/>
    <w:rsid w:val="00E91F8C"/>
    <w:rsid w:val="00E93209"/>
    <w:rsid w:val="00E93A0D"/>
    <w:rsid w:val="00E94275"/>
    <w:rsid w:val="00E9521A"/>
    <w:rsid w:val="00E97540"/>
    <w:rsid w:val="00EA0855"/>
    <w:rsid w:val="00EA305C"/>
    <w:rsid w:val="00EB04DE"/>
    <w:rsid w:val="00EB0BB7"/>
    <w:rsid w:val="00EB2285"/>
    <w:rsid w:val="00EB31E5"/>
    <w:rsid w:val="00EB4FDE"/>
    <w:rsid w:val="00EB51A7"/>
    <w:rsid w:val="00EC3789"/>
    <w:rsid w:val="00EC65B8"/>
    <w:rsid w:val="00ED1FFA"/>
    <w:rsid w:val="00ED21E2"/>
    <w:rsid w:val="00ED6923"/>
    <w:rsid w:val="00EE0052"/>
    <w:rsid w:val="00EE09AE"/>
    <w:rsid w:val="00EE2654"/>
    <w:rsid w:val="00EE3EFC"/>
    <w:rsid w:val="00EE5A31"/>
    <w:rsid w:val="00EF1392"/>
    <w:rsid w:val="00EF66BC"/>
    <w:rsid w:val="00EF69ED"/>
    <w:rsid w:val="00EF6A84"/>
    <w:rsid w:val="00F00F5A"/>
    <w:rsid w:val="00F03235"/>
    <w:rsid w:val="00F118C5"/>
    <w:rsid w:val="00F11C9A"/>
    <w:rsid w:val="00F17355"/>
    <w:rsid w:val="00F174DE"/>
    <w:rsid w:val="00F21574"/>
    <w:rsid w:val="00F226D5"/>
    <w:rsid w:val="00F22963"/>
    <w:rsid w:val="00F24D1A"/>
    <w:rsid w:val="00F254FE"/>
    <w:rsid w:val="00F267D0"/>
    <w:rsid w:val="00F26FDF"/>
    <w:rsid w:val="00F27AC8"/>
    <w:rsid w:val="00F346B6"/>
    <w:rsid w:val="00F34C1C"/>
    <w:rsid w:val="00F411FF"/>
    <w:rsid w:val="00F41249"/>
    <w:rsid w:val="00F41730"/>
    <w:rsid w:val="00F43B40"/>
    <w:rsid w:val="00F44498"/>
    <w:rsid w:val="00F44609"/>
    <w:rsid w:val="00F44751"/>
    <w:rsid w:val="00F44F7B"/>
    <w:rsid w:val="00F46DCF"/>
    <w:rsid w:val="00F51991"/>
    <w:rsid w:val="00F52E2F"/>
    <w:rsid w:val="00F53CBF"/>
    <w:rsid w:val="00F57009"/>
    <w:rsid w:val="00F6047F"/>
    <w:rsid w:val="00F63425"/>
    <w:rsid w:val="00F707A2"/>
    <w:rsid w:val="00F7106A"/>
    <w:rsid w:val="00F72D47"/>
    <w:rsid w:val="00F734B5"/>
    <w:rsid w:val="00F745FF"/>
    <w:rsid w:val="00F74FA4"/>
    <w:rsid w:val="00F76F10"/>
    <w:rsid w:val="00F81F7A"/>
    <w:rsid w:val="00F83AE2"/>
    <w:rsid w:val="00F86960"/>
    <w:rsid w:val="00F87DF1"/>
    <w:rsid w:val="00F90259"/>
    <w:rsid w:val="00F942C6"/>
    <w:rsid w:val="00F9669F"/>
    <w:rsid w:val="00F96CC6"/>
    <w:rsid w:val="00F972FC"/>
    <w:rsid w:val="00FA06FC"/>
    <w:rsid w:val="00FA2557"/>
    <w:rsid w:val="00FA30FE"/>
    <w:rsid w:val="00FA40F5"/>
    <w:rsid w:val="00FA4FDF"/>
    <w:rsid w:val="00FA5634"/>
    <w:rsid w:val="00FA59F3"/>
    <w:rsid w:val="00FA5C79"/>
    <w:rsid w:val="00FB1308"/>
    <w:rsid w:val="00FB2C6E"/>
    <w:rsid w:val="00FB2EF1"/>
    <w:rsid w:val="00FB3E74"/>
    <w:rsid w:val="00FB5D2E"/>
    <w:rsid w:val="00FB67FA"/>
    <w:rsid w:val="00FB728A"/>
    <w:rsid w:val="00FB7E1B"/>
    <w:rsid w:val="00FC0934"/>
    <w:rsid w:val="00FC209F"/>
    <w:rsid w:val="00FC47BB"/>
    <w:rsid w:val="00FC63A5"/>
    <w:rsid w:val="00FC6C0C"/>
    <w:rsid w:val="00FC6D43"/>
    <w:rsid w:val="00FC6FD2"/>
    <w:rsid w:val="00FD51F9"/>
    <w:rsid w:val="00FD5DAE"/>
    <w:rsid w:val="00FD7180"/>
    <w:rsid w:val="00FD77FE"/>
    <w:rsid w:val="00FE0A3E"/>
    <w:rsid w:val="00FE0AAE"/>
    <w:rsid w:val="00FE5C1C"/>
    <w:rsid w:val="00FF3BC0"/>
    <w:rsid w:val="00FF5C7E"/>
    <w:rsid w:val="04612D27"/>
    <w:rsid w:val="0AD41746"/>
    <w:rsid w:val="12C2254C"/>
    <w:rsid w:val="169101A8"/>
    <w:rsid w:val="1A192B3F"/>
    <w:rsid w:val="28247630"/>
    <w:rsid w:val="2CCF5656"/>
    <w:rsid w:val="2F2868E3"/>
    <w:rsid w:val="304B64C7"/>
    <w:rsid w:val="3BA7084C"/>
    <w:rsid w:val="45AD53D4"/>
    <w:rsid w:val="469F0A9E"/>
    <w:rsid w:val="521A18ED"/>
    <w:rsid w:val="5CD32CD2"/>
    <w:rsid w:val="5DEC23C3"/>
    <w:rsid w:val="5EA7453C"/>
    <w:rsid w:val="5ED954BB"/>
    <w:rsid w:val="639332E1"/>
    <w:rsid w:val="65F4039B"/>
    <w:rsid w:val="693072A8"/>
    <w:rsid w:val="69FB7F43"/>
    <w:rsid w:val="760F67F7"/>
    <w:rsid w:val="7E112C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nhideWhenUsed="0" w:uiPriority="0" w:semiHidden="0" w:name="Normal Indent"/>
    <w:lsdException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qFormat="1" w:unhideWhenUsed="0"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1"/>
      <w:szCs w:val="24"/>
      <w:lang w:val="en-US" w:eastAsia="zh-CN" w:bidi="ar-SA"/>
    </w:rPr>
  </w:style>
  <w:style w:type="paragraph" w:styleId="2">
    <w:name w:val="heading 1"/>
    <w:basedOn w:val="1"/>
    <w:next w:val="1"/>
    <w:link w:val="51"/>
    <w:qFormat/>
    <w:uiPriority w:val="99"/>
    <w:pPr>
      <w:keepNext/>
      <w:keepLines/>
      <w:widowControl w:val="0"/>
      <w:spacing w:before="60" w:after="60" w:line="360" w:lineRule="auto"/>
      <w:jc w:val="center"/>
      <w:outlineLvl w:val="0"/>
    </w:pPr>
    <w:rPr>
      <w:rFonts w:ascii="Calibri" w:hAnsi="Calibri" w:eastAsia="黑体" w:cs="Times New Roman"/>
      <w:b/>
      <w:bCs/>
      <w:kern w:val="44"/>
      <w:sz w:val="28"/>
      <w:szCs w:val="44"/>
    </w:rPr>
  </w:style>
  <w:style w:type="paragraph" w:styleId="3">
    <w:name w:val="heading 2"/>
    <w:basedOn w:val="1"/>
    <w:next w:val="1"/>
    <w:link w:val="52"/>
    <w:unhideWhenUsed/>
    <w:qFormat/>
    <w:uiPriority w:val="0"/>
    <w:pPr>
      <w:keepNext/>
      <w:keepLines/>
      <w:widowControl w:val="0"/>
      <w:spacing w:before="60" w:line="360" w:lineRule="auto"/>
      <w:jc w:val="both"/>
      <w:outlineLvl w:val="1"/>
    </w:pPr>
    <w:rPr>
      <w:rFonts w:ascii="Arial" w:hAnsi="Arial" w:cs="Times New Roman"/>
      <w:b/>
      <w:bCs/>
      <w:kern w:val="2"/>
      <w:szCs w:val="21"/>
    </w:rPr>
  </w:style>
  <w:style w:type="paragraph" w:styleId="4">
    <w:name w:val="heading 3"/>
    <w:basedOn w:val="1"/>
    <w:next w:val="1"/>
    <w:link w:val="53"/>
    <w:unhideWhenUsed/>
    <w:qFormat/>
    <w:uiPriority w:val="9"/>
    <w:pPr>
      <w:keepNext/>
      <w:keepLines/>
      <w:widowControl w:val="0"/>
      <w:spacing w:before="60" w:line="360" w:lineRule="auto"/>
      <w:jc w:val="both"/>
      <w:outlineLvl w:val="2"/>
    </w:pPr>
    <w:rPr>
      <w:rFonts w:ascii="Calibri" w:hAnsi="Calibri" w:cs="Times New Roman"/>
      <w:b/>
      <w:bCs/>
      <w:kern w:val="2"/>
      <w:szCs w:val="32"/>
    </w:rPr>
  </w:style>
  <w:style w:type="paragraph" w:styleId="5">
    <w:name w:val="heading 4"/>
    <w:basedOn w:val="1"/>
    <w:next w:val="1"/>
    <w:link w:val="54"/>
    <w:unhideWhenUsed/>
    <w:qFormat/>
    <w:uiPriority w:val="9"/>
    <w:pPr>
      <w:keepNext/>
      <w:keepLines/>
      <w:widowControl w:val="0"/>
      <w:spacing w:before="60" w:line="360" w:lineRule="auto"/>
      <w:jc w:val="both"/>
      <w:outlineLvl w:val="3"/>
    </w:pPr>
    <w:rPr>
      <w:rFonts w:cs="Times New Roman" w:asciiTheme="minorEastAsia" w:hAnsiTheme="minorEastAsia" w:eastAsiaTheme="minorEastAsia"/>
      <w:b/>
      <w:bCs/>
      <w:kern w:val="2"/>
      <w:szCs w:val="28"/>
    </w:rPr>
  </w:style>
  <w:style w:type="paragraph" w:styleId="6">
    <w:name w:val="heading 5"/>
    <w:basedOn w:val="1"/>
    <w:next w:val="1"/>
    <w:link w:val="55"/>
    <w:unhideWhenUsed/>
    <w:qFormat/>
    <w:uiPriority w:val="9"/>
    <w:pPr>
      <w:keepNext/>
      <w:keepLines/>
      <w:widowControl w:val="0"/>
      <w:spacing w:before="60" w:line="360" w:lineRule="auto"/>
      <w:ind w:left="50" w:leftChars="50"/>
      <w:jc w:val="both"/>
      <w:outlineLvl w:val="4"/>
    </w:pPr>
    <w:rPr>
      <w:rFonts w:ascii="Calibri" w:hAnsi="Calibri" w:cs="Times New Roman"/>
      <w:b/>
      <w:bCs/>
      <w:kern w:val="2"/>
      <w:szCs w:val="28"/>
    </w:rPr>
  </w:style>
  <w:style w:type="paragraph" w:styleId="7">
    <w:name w:val="heading 6"/>
    <w:basedOn w:val="1"/>
    <w:next w:val="1"/>
    <w:link w:val="64"/>
    <w:unhideWhenUsed/>
    <w:qFormat/>
    <w:uiPriority w:val="9"/>
    <w:pPr>
      <w:keepNext/>
      <w:keepLines/>
      <w:spacing w:before="60" w:after="60"/>
      <w:outlineLvl w:val="5"/>
    </w:pPr>
    <w:rPr>
      <w:rFonts w:asciiTheme="majorHAnsi" w:hAnsiTheme="majorHAnsi" w:cstheme="majorBidi"/>
      <w:b/>
      <w:bCs/>
    </w:rPr>
  </w:style>
  <w:style w:type="paragraph" w:styleId="8">
    <w:name w:val="heading 7"/>
    <w:basedOn w:val="1"/>
    <w:next w:val="1"/>
    <w:link w:val="142"/>
    <w:unhideWhenUsed/>
    <w:qFormat/>
    <w:uiPriority w:val="9"/>
    <w:pPr>
      <w:keepNext/>
      <w:keepLines/>
      <w:spacing w:before="240" w:after="64" w:line="320" w:lineRule="auto"/>
      <w:outlineLvl w:val="6"/>
    </w:pPr>
    <w:rPr>
      <w:b/>
      <w:bCs/>
      <w:sz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autoRedefine/>
    <w:unhideWhenUsed/>
    <w:uiPriority w:val="39"/>
    <w:pPr>
      <w:widowControl w:val="0"/>
      <w:ind w:left="2520" w:leftChars="1200"/>
      <w:jc w:val="both"/>
    </w:pPr>
    <w:rPr>
      <w:rFonts w:asciiTheme="minorHAnsi" w:hAnsiTheme="minorHAnsi" w:eastAsiaTheme="minorEastAsia" w:cstheme="minorBidi"/>
      <w:kern w:val="2"/>
      <w:szCs w:val="22"/>
    </w:rPr>
  </w:style>
  <w:style w:type="paragraph" w:styleId="10">
    <w:name w:val="Note Heading"/>
    <w:basedOn w:val="1"/>
    <w:next w:val="1"/>
    <w:link w:val="63"/>
    <w:qFormat/>
    <w:uiPriority w:val="99"/>
    <w:pPr>
      <w:widowControl w:val="0"/>
      <w:jc w:val="center"/>
    </w:pPr>
    <w:rPr>
      <w:rFonts w:ascii="Times New Roman" w:hAnsi="Times New Roman" w:cs="Times New Roman"/>
      <w:kern w:val="2"/>
      <w:szCs w:val="21"/>
    </w:rPr>
  </w:style>
  <w:style w:type="paragraph" w:styleId="11">
    <w:name w:val="Normal Indent"/>
    <w:basedOn w:val="1"/>
    <w:qFormat/>
    <w:uiPriority w:val="0"/>
    <w:pPr>
      <w:widowControl w:val="0"/>
      <w:ind w:firstLine="420" w:firstLineChars="200"/>
      <w:jc w:val="both"/>
    </w:pPr>
    <w:rPr>
      <w:rFonts w:ascii="Times New Roman" w:hAnsi="Times New Roman" w:cs="Times New Roman"/>
      <w:kern w:val="2"/>
      <w:szCs w:val="21"/>
    </w:rPr>
  </w:style>
  <w:style w:type="paragraph" w:styleId="12">
    <w:name w:val="Document Map"/>
    <w:basedOn w:val="1"/>
    <w:link w:val="150"/>
    <w:unhideWhenUsed/>
    <w:uiPriority w:val="99"/>
    <w:pPr>
      <w:widowControl w:val="0"/>
      <w:jc w:val="both"/>
    </w:pPr>
    <w:rPr>
      <w:rFonts w:hAnsi="Calibri" w:cs="Times New Roman"/>
      <w:kern w:val="2"/>
      <w:sz w:val="18"/>
      <w:szCs w:val="18"/>
    </w:rPr>
  </w:style>
  <w:style w:type="paragraph" w:styleId="13">
    <w:name w:val="toa heading"/>
    <w:basedOn w:val="1"/>
    <w:next w:val="1"/>
    <w:qFormat/>
    <w:uiPriority w:val="0"/>
    <w:pPr>
      <w:widowControl w:val="0"/>
      <w:spacing w:before="120"/>
      <w:jc w:val="both"/>
    </w:pPr>
    <w:rPr>
      <w:rFonts w:ascii="Arial" w:hAnsi="Arial" w:cs="Times New Roman"/>
      <w:b/>
      <w:bCs/>
      <w:kern w:val="2"/>
      <w:szCs w:val="21"/>
    </w:rPr>
  </w:style>
  <w:style w:type="paragraph" w:styleId="14">
    <w:name w:val="annotation text"/>
    <w:basedOn w:val="1"/>
    <w:link w:val="56"/>
    <w:qFormat/>
    <w:uiPriority w:val="0"/>
    <w:pPr>
      <w:widowControl w:val="0"/>
    </w:pPr>
    <w:rPr>
      <w:rFonts w:ascii="Times New Roman" w:hAnsi="Times New Roman" w:cs="Times New Roman"/>
      <w:kern w:val="2"/>
      <w:szCs w:val="21"/>
    </w:rPr>
  </w:style>
  <w:style w:type="paragraph" w:styleId="15">
    <w:name w:val="Salutation"/>
    <w:basedOn w:val="1"/>
    <w:next w:val="1"/>
    <w:link w:val="57"/>
    <w:qFormat/>
    <w:uiPriority w:val="99"/>
    <w:pPr>
      <w:widowControl w:val="0"/>
      <w:jc w:val="both"/>
    </w:pPr>
    <w:rPr>
      <w:rFonts w:ascii="Times New Roman" w:hAnsi="Times New Roman" w:cs="Times New Roman"/>
      <w:kern w:val="2"/>
      <w:szCs w:val="21"/>
    </w:rPr>
  </w:style>
  <w:style w:type="paragraph" w:styleId="16">
    <w:name w:val="List Bullet 3"/>
    <w:basedOn w:val="1"/>
    <w:uiPriority w:val="0"/>
    <w:pPr>
      <w:widowControl w:val="0"/>
      <w:tabs>
        <w:tab w:val="left" w:pos="1200"/>
      </w:tabs>
      <w:jc w:val="both"/>
    </w:pPr>
    <w:rPr>
      <w:rFonts w:ascii="Times New Roman" w:hAnsi="Times New Roman" w:cs="Times New Roman"/>
      <w:kern w:val="2"/>
      <w:szCs w:val="21"/>
    </w:rPr>
  </w:style>
  <w:style w:type="paragraph" w:styleId="17">
    <w:name w:val="Body Text"/>
    <w:basedOn w:val="1"/>
    <w:link w:val="62"/>
    <w:qFormat/>
    <w:uiPriority w:val="99"/>
    <w:pPr>
      <w:widowControl w:val="0"/>
      <w:spacing w:after="120"/>
      <w:jc w:val="both"/>
    </w:pPr>
    <w:rPr>
      <w:rFonts w:ascii="Times New Roman" w:hAnsi="Times New Roman" w:cs="Times New Roman"/>
      <w:kern w:val="2"/>
      <w:szCs w:val="21"/>
    </w:rPr>
  </w:style>
  <w:style w:type="paragraph" w:styleId="18">
    <w:name w:val="toc 5"/>
    <w:basedOn w:val="1"/>
    <w:next w:val="1"/>
    <w:autoRedefine/>
    <w:unhideWhenUsed/>
    <w:uiPriority w:val="39"/>
    <w:pPr>
      <w:widowControl w:val="0"/>
      <w:ind w:left="1680" w:leftChars="800"/>
      <w:jc w:val="both"/>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spacing w:after="100" w:line="276" w:lineRule="auto"/>
      <w:ind w:left="440"/>
    </w:pPr>
    <w:rPr>
      <w:rFonts w:ascii="Calibri" w:hAnsi="Calibri" w:cs="Times New Roman"/>
      <w:sz w:val="22"/>
      <w:szCs w:val="22"/>
    </w:rPr>
  </w:style>
  <w:style w:type="paragraph" w:styleId="20">
    <w:name w:val="Plain Text"/>
    <w:basedOn w:val="1"/>
    <w:link w:val="61"/>
    <w:qFormat/>
    <w:uiPriority w:val="0"/>
    <w:pPr>
      <w:widowControl w:val="0"/>
      <w:jc w:val="both"/>
    </w:pPr>
    <w:rPr>
      <w:rFonts w:hAnsi="Courier New" w:cs="Times New Roman"/>
      <w:kern w:val="2"/>
      <w:szCs w:val="20"/>
    </w:rPr>
  </w:style>
  <w:style w:type="paragraph" w:styleId="21">
    <w:name w:val="toc 8"/>
    <w:basedOn w:val="1"/>
    <w:next w:val="1"/>
    <w:autoRedefine/>
    <w:unhideWhenUsed/>
    <w:uiPriority w:val="39"/>
    <w:pPr>
      <w:widowControl w:val="0"/>
      <w:ind w:left="2940" w:leftChars="1400"/>
      <w:jc w:val="both"/>
    </w:pPr>
    <w:rPr>
      <w:rFonts w:asciiTheme="minorHAnsi" w:hAnsiTheme="minorHAnsi" w:eastAsiaTheme="minorEastAsia" w:cstheme="minorBidi"/>
      <w:kern w:val="2"/>
      <w:szCs w:val="22"/>
    </w:rPr>
  </w:style>
  <w:style w:type="paragraph" w:styleId="22">
    <w:name w:val="Date"/>
    <w:basedOn w:val="1"/>
    <w:next w:val="1"/>
    <w:link w:val="148"/>
    <w:qFormat/>
    <w:uiPriority w:val="99"/>
    <w:pPr>
      <w:widowControl w:val="0"/>
      <w:ind w:left="100" w:leftChars="2500"/>
      <w:jc w:val="both"/>
    </w:pPr>
    <w:rPr>
      <w:rFonts w:ascii="Times New Roman" w:hAnsi="Times New Roman" w:cs="Times New Roman"/>
      <w:kern w:val="2"/>
      <w:szCs w:val="21"/>
    </w:rPr>
  </w:style>
  <w:style w:type="paragraph" w:styleId="23">
    <w:name w:val="endnote text"/>
    <w:basedOn w:val="1"/>
    <w:link w:val="152"/>
    <w:unhideWhenUsed/>
    <w:qFormat/>
    <w:uiPriority w:val="99"/>
    <w:pPr>
      <w:snapToGrid w:val="0"/>
    </w:pPr>
  </w:style>
  <w:style w:type="paragraph" w:styleId="24">
    <w:name w:val="Balloon Text"/>
    <w:basedOn w:val="1"/>
    <w:link w:val="135"/>
    <w:qFormat/>
    <w:uiPriority w:val="99"/>
    <w:rPr>
      <w:sz w:val="18"/>
      <w:szCs w:val="18"/>
    </w:rPr>
  </w:style>
  <w:style w:type="paragraph" w:styleId="25">
    <w:name w:val="footer"/>
    <w:basedOn w:val="1"/>
    <w:link w:val="60"/>
    <w:qFormat/>
    <w:uiPriority w:val="99"/>
    <w:pPr>
      <w:widowControl w:val="0"/>
      <w:tabs>
        <w:tab w:val="center" w:pos="4153"/>
        <w:tab w:val="right" w:pos="8306"/>
      </w:tabs>
      <w:snapToGrid w:val="0"/>
    </w:pPr>
    <w:rPr>
      <w:rFonts w:ascii="Calibri" w:hAnsi="Calibri" w:cs="Times New Roman"/>
      <w:kern w:val="2"/>
      <w:sz w:val="18"/>
      <w:szCs w:val="18"/>
    </w:rPr>
  </w:style>
  <w:style w:type="paragraph" w:styleId="26">
    <w:name w:val="header"/>
    <w:basedOn w:val="1"/>
    <w:link w:val="59"/>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27">
    <w:name w:val="toc 1"/>
    <w:basedOn w:val="1"/>
    <w:next w:val="1"/>
    <w:autoRedefine/>
    <w:qFormat/>
    <w:uiPriority w:val="39"/>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8">
    <w:name w:val="toc 4"/>
    <w:basedOn w:val="1"/>
    <w:next w:val="1"/>
    <w:autoRedefine/>
    <w:unhideWhenUsed/>
    <w:uiPriority w:val="39"/>
    <w:pPr>
      <w:widowControl w:val="0"/>
      <w:ind w:left="1260" w:leftChars="600"/>
      <w:jc w:val="both"/>
    </w:pPr>
    <w:rPr>
      <w:rFonts w:asciiTheme="minorHAnsi" w:hAnsiTheme="minorHAnsi" w:eastAsiaTheme="minorEastAsia" w:cstheme="minorBidi"/>
      <w:kern w:val="2"/>
      <w:szCs w:val="22"/>
    </w:rPr>
  </w:style>
  <w:style w:type="paragraph" w:styleId="29">
    <w:name w:val="footnote text"/>
    <w:basedOn w:val="1"/>
    <w:link w:val="182"/>
    <w:unhideWhenUsed/>
    <w:uiPriority w:val="99"/>
    <w:pPr>
      <w:widowControl w:val="0"/>
      <w:snapToGrid w:val="0"/>
    </w:pPr>
    <w:rPr>
      <w:rFonts w:ascii="Calibri" w:hAnsi="Calibri" w:cs="Times New Roman"/>
      <w:kern w:val="2"/>
      <w:sz w:val="18"/>
      <w:szCs w:val="18"/>
    </w:rPr>
  </w:style>
  <w:style w:type="paragraph" w:styleId="30">
    <w:name w:val="toc 6"/>
    <w:basedOn w:val="1"/>
    <w:next w:val="1"/>
    <w:autoRedefine/>
    <w:unhideWhenUsed/>
    <w:uiPriority w:val="39"/>
    <w:pPr>
      <w:widowControl w:val="0"/>
      <w:ind w:left="2100" w:leftChars="1000"/>
      <w:jc w:val="both"/>
    </w:pPr>
    <w:rPr>
      <w:rFonts w:asciiTheme="minorHAnsi" w:hAnsiTheme="minorHAnsi" w:eastAsiaTheme="minorEastAsia" w:cstheme="minorBidi"/>
      <w:kern w:val="2"/>
      <w:szCs w:val="22"/>
    </w:rPr>
  </w:style>
  <w:style w:type="paragraph" w:styleId="31">
    <w:name w:val="toc 2"/>
    <w:basedOn w:val="1"/>
    <w:next w:val="1"/>
    <w:autoRedefine/>
    <w:qFormat/>
    <w:uiPriority w:val="39"/>
    <w:pPr>
      <w:widowControl w:val="0"/>
      <w:ind w:left="420" w:leftChars="200"/>
      <w:jc w:val="both"/>
    </w:pPr>
    <w:rPr>
      <w:rFonts w:ascii="Times New Roman" w:hAnsi="Times New Roman" w:cs="Times New Roman"/>
      <w:kern w:val="2"/>
      <w:szCs w:val="21"/>
    </w:rPr>
  </w:style>
  <w:style w:type="paragraph" w:styleId="32">
    <w:name w:val="toc 9"/>
    <w:basedOn w:val="1"/>
    <w:next w:val="1"/>
    <w:autoRedefine/>
    <w:unhideWhenUsed/>
    <w:uiPriority w:val="39"/>
    <w:pPr>
      <w:widowControl w:val="0"/>
      <w:ind w:left="3360" w:leftChars="1600"/>
      <w:jc w:val="both"/>
    </w:pPr>
    <w:rPr>
      <w:rFonts w:asciiTheme="minorHAnsi" w:hAnsiTheme="minorHAnsi" w:eastAsiaTheme="minorEastAsia" w:cstheme="minorBidi"/>
      <w:kern w:val="2"/>
      <w:szCs w:val="22"/>
    </w:rPr>
  </w:style>
  <w:style w:type="paragraph" w:styleId="33">
    <w:name w:val="Normal (Web)"/>
    <w:basedOn w:val="1"/>
    <w:qFormat/>
    <w:uiPriority w:val="99"/>
    <w:pPr>
      <w:spacing w:before="100" w:beforeAutospacing="1" w:after="100" w:afterAutospacing="1"/>
    </w:pPr>
    <w:rPr>
      <w:sz w:val="24"/>
    </w:rPr>
  </w:style>
  <w:style w:type="paragraph" w:styleId="34">
    <w:name w:val="index 1"/>
    <w:basedOn w:val="1"/>
    <w:next w:val="1"/>
    <w:autoRedefine/>
    <w:qFormat/>
    <w:uiPriority w:val="0"/>
    <w:pPr>
      <w:ind w:firstLine="420" w:firstLineChars="200"/>
    </w:pPr>
    <w:rPr>
      <w:rFonts w:cs="Times New Roman"/>
      <w:color w:val="000000"/>
      <w:szCs w:val="21"/>
    </w:rPr>
  </w:style>
  <w:style w:type="paragraph" w:styleId="35">
    <w:name w:val="Title"/>
    <w:basedOn w:val="1"/>
    <w:next w:val="1"/>
    <w:link w:val="151"/>
    <w:qFormat/>
    <w:uiPriority w:val="10"/>
    <w:pPr>
      <w:widowControl w:val="0"/>
      <w:spacing w:before="240" w:after="60"/>
      <w:jc w:val="center"/>
      <w:outlineLvl w:val="0"/>
    </w:pPr>
    <w:rPr>
      <w:rFonts w:asciiTheme="majorHAnsi" w:hAnsiTheme="majorHAnsi" w:cstheme="majorBidi"/>
      <w:b/>
      <w:bCs/>
      <w:kern w:val="2"/>
      <w:sz w:val="32"/>
      <w:szCs w:val="32"/>
    </w:rPr>
  </w:style>
  <w:style w:type="paragraph" w:styleId="36">
    <w:name w:val="annotation subject"/>
    <w:basedOn w:val="14"/>
    <w:next w:val="14"/>
    <w:link w:val="58"/>
    <w:qFormat/>
    <w:uiPriority w:val="99"/>
    <w:rPr>
      <w:rFonts w:ascii="Calibri" w:hAnsi="Calibri"/>
      <w:b/>
      <w:bCs/>
      <w:szCs w:val="22"/>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endnote reference"/>
    <w:basedOn w:val="39"/>
    <w:unhideWhenUsed/>
    <w:uiPriority w:val="99"/>
    <w:rPr>
      <w:vertAlign w:val="superscript"/>
    </w:rPr>
  </w:style>
  <w:style w:type="character" w:styleId="41">
    <w:name w:val="Hyperlink"/>
    <w:basedOn w:val="39"/>
    <w:uiPriority w:val="99"/>
    <w:rPr>
      <w:rFonts w:cs="Times New Roman"/>
      <w:color w:val="0000FF"/>
      <w:u w:val="single"/>
    </w:rPr>
  </w:style>
  <w:style w:type="character" w:styleId="42">
    <w:name w:val="annotation reference"/>
    <w:basedOn w:val="39"/>
    <w:qFormat/>
    <w:uiPriority w:val="99"/>
    <w:rPr>
      <w:sz w:val="21"/>
      <w:szCs w:val="21"/>
    </w:rPr>
  </w:style>
  <w:style w:type="character" w:styleId="43">
    <w:name w:val="footnote reference"/>
    <w:unhideWhenUsed/>
    <w:uiPriority w:val="99"/>
    <w:rPr>
      <w:vertAlign w:val="superscript"/>
    </w:rPr>
  </w:style>
  <w:style w:type="paragraph" w:styleId="44">
    <w:name w:val="List Paragraph"/>
    <w:basedOn w:val="1"/>
    <w:qFormat/>
    <w:uiPriority w:val="34"/>
    <w:pPr>
      <w:widowControl w:val="0"/>
      <w:ind w:firstLine="420" w:firstLineChars="200"/>
      <w:jc w:val="both"/>
    </w:pPr>
    <w:rPr>
      <w:rFonts w:ascii="Calibri" w:hAnsi="Calibri" w:cs="Times New Roman"/>
      <w:kern w:val="2"/>
      <w:szCs w:val="22"/>
    </w:rPr>
  </w:style>
  <w:style w:type="character" w:customStyle="1" w:styleId="45">
    <w:name w:val="正文的样式 Char"/>
    <w:basedOn w:val="39"/>
    <w:link w:val="46"/>
    <w:qFormat/>
    <w:uiPriority w:val="0"/>
    <w:rPr>
      <w:kern w:val="2"/>
      <w:sz w:val="21"/>
      <w:szCs w:val="24"/>
    </w:rPr>
  </w:style>
  <w:style w:type="paragraph" w:customStyle="1" w:styleId="46">
    <w:name w:val="正文的样式"/>
    <w:basedOn w:val="1"/>
    <w:link w:val="45"/>
    <w:qFormat/>
    <w:uiPriority w:val="0"/>
    <w:pPr>
      <w:widowControl w:val="0"/>
      <w:spacing w:before="100" w:after="100"/>
      <w:jc w:val="both"/>
    </w:pPr>
    <w:rPr>
      <w:rFonts w:ascii="Calibri" w:hAnsi="Calibri" w:cs="Times New Roman"/>
      <w:kern w:val="2"/>
    </w:rPr>
  </w:style>
  <w:style w:type="paragraph" w:styleId="4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8">
    <w:name w:val="4"/>
    <w:basedOn w:val="1"/>
    <w:next w:val="44"/>
    <w:qFormat/>
    <w:uiPriority w:val="34"/>
    <w:pPr>
      <w:widowControl w:val="0"/>
      <w:ind w:firstLine="420" w:firstLineChars="200"/>
      <w:jc w:val="both"/>
    </w:pPr>
    <w:rPr>
      <w:rFonts w:ascii="Calibri" w:hAnsi="Calibri" w:cs="Times New Roman"/>
      <w:kern w:val="2"/>
      <w:szCs w:val="22"/>
    </w:rPr>
  </w:style>
  <w:style w:type="paragraph" w:customStyle="1" w:styleId="49">
    <w:name w:val="1"/>
    <w:basedOn w:val="1"/>
    <w:next w:val="44"/>
    <w:qFormat/>
    <w:uiPriority w:val="34"/>
    <w:pPr>
      <w:widowControl w:val="0"/>
      <w:ind w:firstLine="420" w:firstLineChars="200"/>
      <w:jc w:val="both"/>
    </w:pPr>
    <w:rPr>
      <w:rFonts w:ascii="Calibri" w:hAnsi="Calibri" w:cs="Times New Roman"/>
      <w:kern w:val="2"/>
      <w:szCs w:val="22"/>
    </w:rPr>
  </w:style>
  <w:style w:type="paragraph" w:customStyle="1" w:styleId="50">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51">
    <w:name w:val="标题 1 字符"/>
    <w:basedOn w:val="39"/>
    <w:link w:val="2"/>
    <w:qFormat/>
    <w:uiPriority w:val="99"/>
    <w:rPr>
      <w:rFonts w:ascii="Calibri" w:hAnsi="Calibri" w:eastAsia="黑体" w:cs="Times New Roman"/>
      <w:b/>
      <w:bCs/>
      <w:kern w:val="44"/>
      <w:sz w:val="28"/>
      <w:szCs w:val="44"/>
      <w:lang w:val="en-US" w:eastAsia="zh-CN" w:bidi="ar-SA"/>
    </w:rPr>
  </w:style>
  <w:style w:type="character" w:customStyle="1" w:styleId="52">
    <w:name w:val="标题 2 字符"/>
    <w:basedOn w:val="39"/>
    <w:link w:val="3"/>
    <w:qFormat/>
    <w:uiPriority w:val="0"/>
    <w:rPr>
      <w:rFonts w:ascii="Arial" w:hAnsi="Arial" w:eastAsia="宋体" w:cs="Times New Roman"/>
      <w:b/>
      <w:bCs/>
      <w:kern w:val="2"/>
      <w:sz w:val="21"/>
      <w:szCs w:val="21"/>
      <w:lang w:val="en-US" w:eastAsia="zh-CN" w:bidi="ar-SA"/>
    </w:rPr>
  </w:style>
  <w:style w:type="character" w:customStyle="1" w:styleId="53">
    <w:name w:val="标题 3 字符"/>
    <w:basedOn w:val="39"/>
    <w:link w:val="4"/>
    <w:qFormat/>
    <w:uiPriority w:val="9"/>
    <w:rPr>
      <w:rFonts w:ascii="Calibri" w:hAnsi="Calibri" w:eastAsia="宋体" w:cs="Times New Roman"/>
      <w:b/>
      <w:bCs/>
      <w:kern w:val="2"/>
      <w:sz w:val="21"/>
      <w:szCs w:val="32"/>
      <w:lang w:val="en-US" w:eastAsia="zh-CN" w:bidi="ar-SA"/>
    </w:rPr>
  </w:style>
  <w:style w:type="character" w:customStyle="1" w:styleId="54">
    <w:name w:val="标题 4 字符"/>
    <w:basedOn w:val="39"/>
    <w:link w:val="5"/>
    <w:qFormat/>
    <w:uiPriority w:val="9"/>
    <w:rPr>
      <w:rFonts w:cs="Times New Roman" w:asciiTheme="minorEastAsia" w:hAnsiTheme="minorEastAsia" w:eastAsiaTheme="minorEastAsia"/>
      <w:b/>
      <w:bCs/>
      <w:kern w:val="2"/>
      <w:sz w:val="21"/>
      <w:szCs w:val="28"/>
      <w:lang w:val="en-US" w:eastAsia="zh-CN" w:bidi="ar-SA"/>
    </w:rPr>
  </w:style>
  <w:style w:type="character" w:customStyle="1" w:styleId="55">
    <w:name w:val="标题 5 字符"/>
    <w:basedOn w:val="39"/>
    <w:link w:val="6"/>
    <w:qFormat/>
    <w:uiPriority w:val="9"/>
    <w:rPr>
      <w:rFonts w:ascii="Calibri" w:hAnsi="Calibri" w:eastAsia="宋体" w:cs="Times New Roman"/>
      <w:b/>
      <w:bCs/>
      <w:kern w:val="2"/>
      <w:sz w:val="21"/>
      <w:szCs w:val="28"/>
      <w:lang w:val="en-US" w:eastAsia="zh-CN" w:bidi="ar-SA"/>
    </w:rPr>
  </w:style>
  <w:style w:type="character" w:customStyle="1" w:styleId="56">
    <w:name w:val="批注文字 字符"/>
    <w:basedOn w:val="39"/>
    <w:link w:val="14"/>
    <w:qFormat/>
    <w:uiPriority w:val="0"/>
    <w:rPr>
      <w:rFonts w:ascii="Times New Roman" w:hAnsi="Times New Roman" w:eastAsia="宋体" w:cs="Times New Roman"/>
      <w:szCs w:val="21"/>
      <w:lang w:val="en-US" w:eastAsia="zh-CN" w:bidi="ar-SA"/>
    </w:rPr>
  </w:style>
  <w:style w:type="character" w:customStyle="1" w:styleId="57">
    <w:name w:val="称呼 字符"/>
    <w:basedOn w:val="39"/>
    <w:link w:val="15"/>
    <w:qFormat/>
    <w:uiPriority w:val="99"/>
    <w:rPr>
      <w:rFonts w:ascii="Times New Roman" w:hAnsi="Times New Roman" w:eastAsia="宋体" w:cs="Times New Roman"/>
      <w:szCs w:val="21"/>
      <w:lang w:val="en-US" w:eastAsia="zh-CN" w:bidi="ar-SA"/>
    </w:rPr>
  </w:style>
  <w:style w:type="character" w:customStyle="1" w:styleId="58">
    <w:name w:val="批注主题 字符"/>
    <w:basedOn w:val="56"/>
    <w:link w:val="36"/>
    <w:qFormat/>
    <w:uiPriority w:val="99"/>
    <w:rPr>
      <w:rFonts w:ascii="Calibri" w:hAnsi="Calibri" w:eastAsia="宋体" w:cs="Times New Roman"/>
      <w:b/>
      <w:bCs/>
      <w:szCs w:val="21"/>
      <w:lang w:val="en-US" w:eastAsia="zh-CN" w:bidi="ar-SA"/>
    </w:rPr>
  </w:style>
  <w:style w:type="character" w:customStyle="1" w:styleId="59">
    <w:name w:val="页眉 字符"/>
    <w:basedOn w:val="39"/>
    <w:link w:val="26"/>
    <w:qFormat/>
    <w:uiPriority w:val="99"/>
    <w:rPr>
      <w:rFonts w:ascii="Calibri" w:hAnsi="Calibri" w:eastAsia="宋体" w:cs="Times New Roman"/>
      <w:sz w:val="18"/>
      <w:szCs w:val="18"/>
      <w:lang w:val="en-US" w:eastAsia="zh-CN" w:bidi="ar-SA"/>
    </w:rPr>
  </w:style>
  <w:style w:type="character" w:customStyle="1" w:styleId="60">
    <w:name w:val="页脚 字符"/>
    <w:basedOn w:val="39"/>
    <w:link w:val="25"/>
    <w:qFormat/>
    <w:uiPriority w:val="99"/>
    <w:rPr>
      <w:rFonts w:ascii="Calibri" w:hAnsi="Calibri" w:eastAsia="宋体" w:cs="Times New Roman"/>
      <w:sz w:val="18"/>
      <w:szCs w:val="18"/>
      <w:lang w:val="en-US" w:eastAsia="zh-CN" w:bidi="ar-SA"/>
    </w:rPr>
  </w:style>
  <w:style w:type="character" w:customStyle="1" w:styleId="61">
    <w:name w:val="纯文本 字符"/>
    <w:basedOn w:val="39"/>
    <w:link w:val="20"/>
    <w:qFormat/>
    <w:uiPriority w:val="0"/>
    <w:rPr>
      <w:rFonts w:ascii="宋体" w:hAnsi="Courier New" w:eastAsia="宋体" w:cs="Times New Roman"/>
      <w:szCs w:val="20"/>
      <w:lang w:val="en-US" w:eastAsia="zh-CN" w:bidi="ar-SA"/>
    </w:rPr>
  </w:style>
  <w:style w:type="character" w:customStyle="1" w:styleId="62">
    <w:name w:val="正文文本 字符"/>
    <w:basedOn w:val="39"/>
    <w:link w:val="17"/>
    <w:qFormat/>
    <w:uiPriority w:val="99"/>
    <w:rPr>
      <w:rFonts w:ascii="Times New Roman" w:hAnsi="Times New Roman" w:eastAsia="宋体" w:cs="Times New Roman"/>
      <w:szCs w:val="21"/>
      <w:lang w:val="en-US" w:eastAsia="zh-CN" w:bidi="ar-SA"/>
    </w:rPr>
  </w:style>
  <w:style w:type="character" w:customStyle="1" w:styleId="63">
    <w:name w:val="注释标题 字符"/>
    <w:basedOn w:val="39"/>
    <w:link w:val="10"/>
    <w:qFormat/>
    <w:uiPriority w:val="99"/>
    <w:rPr>
      <w:rFonts w:ascii="Times New Roman" w:hAnsi="Times New Roman" w:eastAsia="宋体" w:cs="Times New Roman"/>
      <w:szCs w:val="21"/>
      <w:lang w:val="en-US" w:eastAsia="zh-CN" w:bidi="ar-SA"/>
    </w:rPr>
  </w:style>
  <w:style w:type="character" w:customStyle="1" w:styleId="64">
    <w:name w:val="标题 6 字符"/>
    <w:basedOn w:val="39"/>
    <w:link w:val="7"/>
    <w:qFormat/>
    <w:uiPriority w:val="9"/>
    <w:rPr>
      <w:rFonts w:eastAsia="宋体" w:asciiTheme="majorHAnsi" w:hAnsiTheme="majorHAnsi" w:cstheme="majorBidi"/>
      <w:b/>
      <w:bCs/>
      <w:sz w:val="21"/>
      <w:szCs w:val="24"/>
      <w:lang w:val="en-US" w:eastAsia="zh-CN" w:bidi="ar-SA"/>
    </w:rPr>
  </w:style>
  <w:style w:type="character" w:customStyle="1" w:styleId="65">
    <w:name w:val="NormalCharacter"/>
    <w:semiHidden/>
    <w:qFormat/>
    <w:uiPriority w:val="0"/>
    <w:rPr>
      <w:rFonts w:ascii="Calibri" w:hAnsi="Calibri" w:eastAsia="宋体" w:cs="Times New Roman"/>
      <w:kern w:val="2"/>
      <w:sz w:val="21"/>
      <w:szCs w:val="24"/>
      <w:lang w:val="en-US" w:eastAsia="zh-CN" w:bidi="ar-SA"/>
    </w:rPr>
  </w:style>
  <w:style w:type="table" w:customStyle="1" w:styleId="66">
    <w:name w:val="g3"/>
    <w:semiHidden/>
    <w:unhideWhenUsed/>
    <w:qFormat/>
    <w:uiPriority w:val="99"/>
    <w:tblPr>
      <w:tblCellMar>
        <w:top w:w="0" w:type="dxa"/>
        <w:left w:w="108" w:type="dxa"/>
        <w:bottom w:w="0" w:type="dxa"/>
        <w:right w:w="108" w:type="dxa"/>
      </w:tblCellMar>
    </w:tblPr>
  </w:style>
  <w:style w:type="table" w:customStyle="1" w:styleId="67">
    <w:name w:val="g4"/>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8">
    <w:name w:val="_Style 46"/>
    <w:basedOn w:val="1"/>
    <w:next w:val="1"/>
    <w:qFormat/>
    <w:uiPriority w:val="99"/>
    <w:pPr>
      <w:keepNext/>
      <w:keepLines/>
      <w:widowControl w:val="0"/>
      <w:spacing w:before="60" w:after="60" w:line="360" w:lineRule="auto"/>
      <w:jc w:val="center"/>
      <w:outlineLvl w:val="0"/>
    </w:pPr>
    <w:rPr>
      <w:rFonts w:ascii="Calibri" w:hAnsi="Calibri" w:eastAsia="黑体" w:cs="Times New Roman"/>
      <w:b/>
      <w:bCs/>
      <w:kern w:val="44"/>
      <w:sz w:val="28"/>
      <w:szCs w:val="44"/>
    </w:rPr>
  </w:style>
  <w:style w:type="paragraph" w:customStyle="1" w:styleId="69">
    <w:name w:val="_Style 47"/>
    <w:basedOn w:val="1"/>
    <w:next w:val="1"/>
    <w:qFormat/>
    <w:uiPriority w:val="0"/>
    <w:pPr>
      <w:keepNext/>
      <w:keepLines/>
      <w:widowControl w:val="0"/>
      <w:spacing w:before="60" w:line="360" w:lineRule="auto"/>
      <w:jc w:val="both"/>
      <w:outlineLvl w:val="1"/>
    </w:pPr>
    <w:rPr>
      <w:rFonts w:ascii="Arial" w:hAnsi="Arial" w:cs="Times New Roman"/>
      <w:b/>
      <w:bCs/>
      <w:kern w:val="2"/>
      <w:szCs w:val="21"/>
    </w:rPr>
  </w:style>
  <w:style w:type="paragraph" w:customStyle="1" w:styleId="70">
    <w:name w:val="_Style 48"/>
    <w:basedOn w:val="1"/>
    <w:next w:val="1"/>
    <w:qFormat/>
    <w:uiPriority w:val="9"/>
    <w:pPr>
      <w:keepNext/>
      <w:keepLines/>
      <w:widowControl w:val="0"/>
      <w:spacing w:before="60" w:line="360" w:lineRule="auto"/>
      <w:jc w:val="both"/>
      <w:outlineLvl w:val="2"/>
    </w:pPr>
    <w:rPr>
      <w:rFonts w:ascii="Calibri" w:hAnsi="Calibri" w:cs="Times New Roman"/>
      <w:b/>
      <w:bCs/>
      <w:kern w:val="2"/>
      <w:szCs w:val="32"/>
    </w:rPr>
  </w:style>
  <w:style w:type="paragraph" w:customStyle="1" w:styleId="71">
    <w:name w:val="_Style 49"/>
    <w:basedOn w:val="1"/>
    <w:next w:val="1"/>
    <w:qFormat/>
    <w:uiPriority w:val="9"/>
    <w:pPr>
      <w:keepNext/>
      <w:keepLines/>
      <w:widowControl w:val="0"/>
      <w:spacing w:before="60" w:line="360" w:lineRule="auto"/>
      <w:jc w:val="both"/>
      <w:outlineLvl w:val="3"/>
    </w:pPr>
    <w:rPr>
      <w:rFonts w:cs="Times New Roman" w:asciiTheme="minorEastAsia" w:hAnsiTheme="minorEastAsia" w:eastAsiaTheme="minorEastAsia"/>
      <w:b/>
      <w:bCs/>
      <w:kern w:val="2"/>
      <w:szCs w:val="28"/>
    </w:rPr>
  </w:style>
  <w:style w:type="paragraph" w:customStyle="1" w:styleId="72">
    <w:name w:val="_Style 50"/>
    <w:basedOn w:val="1"/>
    <w:next w:val="1"/>
    <w:qFormat/>
    <w:uiPriority w:val="9"/>
    <w:pPr>
      <w:keepNext/>
      <w:keepLines/>
      <w:widowControl w:val="0"/>
      <w:spacing w:before="60" w:line="360" w:lineRule="auto"/>
      <w:ind w:left="50" w:leftChars="50"/>
      <w:jc w:val="both"/>
      <w:outlineLvl w:val="4"/>
    </w:pPr>
    <w:rPr>
      <w:rFonts w:ascii="Calibri" w:hAnsi="Calibri" w:cs="Times New Roman"/>
      <w:b/>
      <w:bCs/>
      <w:kern w:val="2"/>
      <w:szCs w:val="28"/>
    </w:rPr>
  </w:style>
  <w:style w:type="paragraph" w:customStyle="1" w:styleId="73">
    <w:name w:val="_Style 51"/>
    <w:basedOn w:val="1"/>
    <w:next w:val="1"/>
    <w:unhideWhenUsed/>
    <w:qFormat/>
    <w:uiPriority w:val="9"/>
    <w:pPr>
      <w:keepNext/>
      <w:keepLines/>
      <w:spacing w:before="60" w:after="60"/>
      <w:outlineLvl w:val="5"/>
    </w:pPr>
    <w:rPr>
      <w:rFonts w:asciiTheme="majorHAnsi" w:hAnsiTheme="majorHAnsi" w:cstheme="majorBidi"/>
      <w:b/>
      <w:bCs/>
    </w:rPr>
  </w:style>
  <w:style w:type="paragraph" w:customStyle="1" w:styleId="74">
    <w:name w:val="_Style 52"/>
    <w:basedOn w:val="1"/>
    <w:next w:val="1"/>
    <w:unhideWhenUsed/>
    <w:qFormat/>
    <w:uiPriority w:val="9"/>
    <w:pPr>
      <w:keepNext/>
      <w:keepLines/>
      <w:spacing w:before="240" w:after="64" w:line="320" w:lineRule="auto"/>
      <w:outlineLvl w:val="6"/>
    </w:pPr>
    <w:rPr>
      <w:b/>
      <w:bCs/>
      <w:sz w:val="24"/>
    </w:rPr>
  </w:style>
  <w:style w:type="paragraph" w:customStyle="1" w:styleId="75">
    <w:name w:val="_Style 53"/>
    <w:basedOn w:val="1"/>
    <w:next w:val="1"/>
    <w:autoRedefine/>
    <w:unhideWhenUsed/>
    <w:qFormat/>
    <w:uiPriority w:val="39"/>
    <w:pPr>
      <w:widowControl w:val="0"/>
      <w:ind w:left="2520" w:leftChars="1200"/>
      <w:jc w:val="both"/>
    </w:pPr>
    <w:rPr>
      <w:rFonts w:asciiTheme="minorHAnsi" w:hAnsiTheme="minorHAnsi" w:eastAsiaTheme="minorEastAsia" w:cstheme="minorBidi"/>
      <w:kern w:val="2"/>
      <w:szCs w:val="22"/>
    </w:rPr>
  </w:style>
  <w:style w:type="paragraph" w:customStyle="1" w:styleId="76">
    <w:name w:val="_Style 54"/>
    <w:basedOn w:val="1"/>
    <w:semiHidden/>
    <w:unhideWhenUsed/>
    <w:qFormat/>
    <w:uiPriority w:val="99"/>
    <w:pPr>
      <w:widowControl w:val="0"/>
      <w:jc w:val="both"/>
    </w:pPr>
    <w:rPr>
      <w:rFonts w:hAnsi="Calibri" w:cs="Times New Roman"/>
      <w:kern w:val="2"/>
      <w:sz w:val="18"/>
      <w:szCs w:val="18"/>
    </w:rPr>
  </w:style>
  <w:style w:type="paragraph" w:customStyle="1" w:styleId="77">
    <w:name w:val="_Style 55"/>
    <w:basedOn w:val="1"/>
    <w:next w:val="1"/>
    <w:semiHidden/>
    <w:uiPriority w:val="0"/>
    <w:pPr>
      <w:widowControl w:val="0"/>
      <w:spacing w:before="120"/>
      <w:jc w:val="both"/>
    </w:pPr>
    <w:rPr>
      <w:rFonts w:ascii="Arial" w:hAnsi="Arial" w:cs="Times New Roman"/>
      <w:b/>
      <w:bCs/>
      <w:kern w:val="2"/>
      <w:szCs w:val="21"/>
    </w:rPr>
  </w:style>
  <w:style w:type="paragraph" w:customStyle="1" w:styleId="78">
    <w:name w:val="_Style 56"/>
    <w:basedOn w:val="1"/>
    <w:next w:val="1"/>
    <w:autoRedefine/>
    <w:unhideWhenUsed/>
    <w:uiPriority w:val="39"/>
    <w:pPr>
      <w:widowControl w:val="0"/>
      <w:ind w:left="1680" w:leftChars="800"/>
      <w:jc w:val="both"/>
    </w:pPr>
    <w:rPr>
      <w:rFonts w:asciiTheme="minorHAnsi" w:hAnsiTheme="minorHAnsi" w:eastAsiaTheme="minorEastAsia" w:cstheme="minorBidi"/>
      <w:kern w:val="2"/>
      <w:szCs w:val="22"/>
    </w:rPr>
  </w:style>
  <w:style w:type="paragraph" w:customStyle="1" w:styleId="79">
    <w:name w:val="_Style 57"/>
    <w:basedOn w:val="1"/>
    <w:next w:val="1"/>
    <w:autoRedefine/>
    <w:unhideWhenUsed/>
    <w:qFormat/>
    <w:uiPriority w:val="39"/>
    <w:pPr>
      <w:spacing w:after="100" w:line="276" w:lineRule="auto"/>
      <w:ind w:left="440"/>
    </w:pPr>
    <w:rPr>
      <w:rFonts w:ascii="Calibri" w:hAnsi="Calibri" w:cs="Times New Roman"/>
      <w:sz w:val="22"/>
      <w:szCs w:val="22"/>
    </w:rPr>
  </w:style>
  <w:style w:type="paragraph" w:customStyle="1" w:styleId="80">
    <w:name w:val="_Style 58"/>
    <w:basedOn w:val="1"/>
    <w:next w:val="1"/>
    <w:autoRedefine/>
    <w:unhideWhenUsed/>
    <w:qFormat/>
    <w:uiPriority w:val="39"/>
    <w:pPr>
      <w:widowControl w:val="0"/>
      <w:ind w:left="2940" w:leftChars="1400"/>
      <w:jc w:val="both"/>
    </w:pPr>
    <w:rPr>
      <w:rFonts w:asciiTheme="minorHAnsi" w:hAnsiTheme="minorHAnsi" w:eastAsiaTheme="minorEastAsia" w:cstheme="minorBidi"/>
      <w:kern w:val="2"/>
      <w:szCs w:val="22"/>
    </w:rPr>
  </w:style>
  <w:style w:type="paragraph" w:customStyle="1" w:styleId="81">
    <w:name w:val="_Style 59"/>
    <w:basedOn w:val="1"/>
    <w:next w:val="1"/>
    <w:uiPriority w:val="99"/>
    <w:pPr>
      <w:widowControl w:val="0"/>
      <w:ind w:left="100" w:leftChars="2500"/>
      <w:jc w:val="both"/>
    </w:pPr>
    <w:rPr>
      <w:rFonts w:ascii="Times New Roman" w:hAnsi="Times New Roman" w:cs="Times New Roman"/>
      <w:kern w:val="2"/>
      <w:szCs w:val="21"/>
    </w:rPr>
  </w:style>
  <w:style w:type="paragraph" w:customStyle="1" w:styleId="82">
    <w:name w:val="_Style 60"/>
    <w:basedOn w:val="1"/>
    <w:semiHidden/>
    <w:unhideWhenUsed/>
    <w:qFormat/>
    <w:uiPriority w:val="99"/>
    <w:pPr>
      <w:snapToGrid w:val="0"/>
    </w:pPr>
  </w:style>
  <w:style w:type="paragraph" w:customStyle="1" w:styleId="83">
    <w:name w:val="_Style 61"/>
    <w:basedOn w:val="1"/>
    <w:unhideWhenUsed/>
    <w:uiPriority w:val="99"/>
    <w:pPr>
      <w:widowControl w:val="0"/>
      <w:jc w:val="both"/>
    </w:pPr>
    <w:rPr>
      <w:rFonts w:ascii="Calibri" w:hAnsi="Calibri" w:cs="Times New Roman"/>
      <w:kern w:val="2"/>
      <w:sz w:val="18"/>
      <w:szCs w:val="18"/>
    </w:rPr>
  </w:style>
  <w:style w:type="paragraph" w:customStyle="1" w:styleId="84">
    <w:name w:val="_Style 62"/>
    <w:basedOn w:val="1"/>
    <w:unhideWhenUsed/>
    <w:uiPriority w:val="99"/>
    <w:pPr>
      <w:widowControl w:val="0"/>
      <w:tabs>
        <w:tab w:val="center" w:pos="4153"/>
        <w:tab w:val="right" w:pos="8306"/>
      </w:tabs>
      <w:snapToGrid w:val="0"/>
    </w:pPr>
    <w:rPr>
      <w:rFonts w:ascii="Calibri" w:hAnsi="Calibri" w:cs="Times New Roman"/>
      <w:kern w:val="2"/>
      <w:sz w:val="18"/>
      <w:szCs w:val="18"/>
    </w:rPr>
  </w:style>
  <w:style w:type="paragraph" w:customStyle="1" w:styleId="85">
    <w:name w:val="_Style 63"/>
    <w:basedOn w:val="1"/>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customStyle="1" w:styleId="86">
    <w:name w:val="_Style 64"/>
    <w:basedOn w:val="1"/>
    <w:next w:val="1"/>
    <w:autoRedefine/>
    <w:qFormat/>
    <w:uiPriority w:val="39"/>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87">
    <w:name w:val="_Style 65"/>
    <w:basedOn w:val="1"/>
    <w:next w:val="1"/>
    <w:autoRedefine/>
    <w:unhideWhenUsed/>
    <w:uiPriority w:val="39"/>
    <w:pPr>
      <w:widowControl w:val="0"/>
      <w:ind w:left="1260" w:leftChars="600"/>
      <w:jc w:val="both"/>
    </w:pPr>
    <w:rPr>
      <w:rFonts w:asciiTheme="minorHAnsi" w:hAnsiTheme="minorHAnsi" w:eastAsiaTheme="minorEastAsia" w:cstheme="minorBidi"/>
      <w:kern w:val="2"/>
      <w:szCs w:val="22"/>
    </w:rPr>
  </w:style>
  <w:style w:type="paragraph" w:customStyle="1" w:styleId="88">
    <w:name w:val="_Style 66"/>
    <w:basedOn w:val="1"/>
    <w:semiHidden/>
    <w:unhideWhenUsed/>
    <w:qFormat/>
    <w:uiPriority w:val="99"/>
    <w:pPr>
      <w:widowControl w:val="0"/>
      <w:snapToGrid w:val="0"/>
    </w:pPr>
    <w:rPr>
      <w:rFonts w:ascii="Calibri" w:hAnsi="Calibri" w:cs="Times New Roman"/>
      <w:kern w:val="2"/>
      <w:sz w:val="18"/>
      <w:szCs w:val="18"/>
    </w:rPr>
  </w:style>
  <w:style w:type="paragraph" w:customStyle="1" w:styleId="89">
    <w:name w:val="_Style 67"/>
    <w:basedOn w:val="1"/>
    <w:next w:val="1"/>
    <w:autoRedefine/>
    <w:unhideWhenUsed/>
    <w:qFormat/>
    <w:uiPriority w:val="39"/>
    <w:pPr>
      <w:widowControl w:val="0"/>
      <w:ind w:left="2100" w:leftChars="1000"/>
      <w:jc w:val="both"/>
    </w:pPr>
    <w:rPr>
      <w:rFonts w:asciiTheme="minorHAnsi" w:hAnsiTheme="minorHAnsi" w:eastAsiaTheme="minorEastAsia" w:cstheme="minorBidi"/>
      <w:kern w:val="2"/>
      <w:szCs w:val="22"/>
    </w:rPr>
  </w:style>
  <w:style w:type="paragraph" w:customStyle="1" w:styleId="90">
    <w:name w:val="_Style 68"/>
    <w:basedOn w:val="1"/>
    <w:next w:val="1"/>
    <w:autoRedefine/>
    <w:qFormat/>
    <w:uiPriority w:val="39"/>
    <w:pPr>
      <w:widowControl w:val="0"/>
      <w:ind w:left="420" w:leftChars="200"/>
      <w:jc w:val="both"/>
    </w:pPr>
    <w:rPr>
      <w:rFonts w:ascii="Times New Roman" w:hAnsi="Times New Roman" w:cs="Times New Roman"/>
      <w:kern w:val="2"/>
      <w:szCs w:val="21"/>
    </w:rPr>
  </w:style>
  <w:style w:type="paragraph" w:customStyle="1" w:styleId="91">
    <w:name w:val="_Style 69"/>
    <w:basedOn w:val="1"/>
    <w:next w:val="1"/>
    <w:autoRedefine/>
    <w:unhideWhenUsed/>
    <w:qFormat/>
    <w:uiPriority w:val="39"/>
    <w:pPr>
      <w:widowControl w:val="0"/>
      <w:ind w:left="3360" w:leftChars="1600"/>
      <w:jc w:val="both"/>
    </w:pPr>
    <w:rPr>
      <w:rFonts w:asciiTheme="minorHAnsi" w:hAnsiTheme="minorHAnsi" w:eastAsiaTheme="minorEastAsia" w:cstheme="minorBidi"/>
      <w:kern w:val="2"/>
      <w:szCs w:val="22"/>
    </w:rPr>
  </w:style>
  <w:style w:type="paragraph" w:customStyle="1" w:styleId="92">
    <w:name w:val="_Style 70"/>
    <w:basedOn w:val="1"/>
    <w:uiPriority w:val="99"/>
    <w:pPr>
      <w:spacing w:before="100" w:beforeAutospacing="1" w:after="100" w:afterAutospacing="1"/>
    </w:pPr>
    <w:rPr>
      <w:sz w:val="24"/>
    </w:rPr>
  </w:style>
  <w:style w:type="paragraph" w:customStyle="1" w:styleId="93">
    <w:name w:val="_Style 71"/>
    <w:basedOn w:val="1"/>
    <w:next w:val="1"/>
    <w:autoRedefine/>
    <w:semiHidden/>
    <w:qFormat/>
    <w:uiPriority w:val="0"/>
    <w:pPr>
      <w:ind w:firstLine="420" w:firstLineChars="200"/>
    </w:pPr>
    <w:rPr>
      <w:rFonts w:cs="Times New Roman"/>
      <w:color w:val="000000"/>
      <w:szCs w:val="21"/>
    </w:rPr>
  </w:style>
  <w:style w:type="paragraph" w:customStyle="1" w:styleId="94">
    <w:name w:val="_Style 72"/>
    <w:basedOn w:val="1"/>
    <w:next w:val="1"/>
    <w:qFormat/>
    <w:uiPriority w:val="10"/>
    <w:pPr>
      <w:widowControl w:val="0"/>
      <w:spacing w:before="240" w:after="60"/>
      <w:jc w:val="center"/>
      <w:outlineLvl w:val="0"/>
    </w:pPr>
    <w:rPr>
      <w:rFonts w:asciiTheme="majorHAnsi" w:hAnsiTheme="majorHAnsi" w:cstheme="majorBidi"/>
      <w:b/>
      <w:bCs/>
      <w:kern w:val="2"/>
      <w:sz w:val="32"/>
      <w:szCs w:val="32"/>
    </w:rPr>
  </w:style>
  <w:style w:type="paragraph" w:customStyle="1" w:styleId="95">
    <w:name w:val="_Style 73"/>
    <w:basedOn w:val="14"/>
    <w:next w:val="14"/>
    <w:unhideWhenUsed/>
    <w:uiPriority w:val="99"/>
    <w:rPr>
      <w:rFonts w:ascii="Calibri" w:hAnsi="Calibri"/>
      <w:b/>
      <w:bCs/>
      <w:szCs w:val="22"/>
    </w:rPr>
  </w:style>
  <w:style w:type="character" w:customStyle="1" w:styleId="96">
    <w:name w:val="_Style 74"/>
    <w:basedOn w:val="39"/>
    <w:semiHidden/>
    <w:unhideWhenUsed/>
    <w:qFormat/>
    <w:uiPriority w:val="99"/>
    <w:rPr>
      <w:vertAlign w:val="superscript"/>
    </w:rPr>
  </w:style>
  <w:style w:type="character" w:customStyle="1" w:styleId="97">
    <w:name w:val="_Style 75"/>
    <w:basedOn w:val="39"/>
    <w:uiPriority w:val="99"/>
    <w:rPr>
      <w:rFonts w:cs="Times New Roman"/>
      <w:color w:val="0000FF"/>
      <w:u w:val="single"/>
    </w:rPr>
  </w:style>
  <w:style w:type="character" w:customStyle="1" w:styleId="98">
    <w:name w:val="_Style 76"/>
    <w:basedOn w:val="39"/>
    <w:qFormat/>
    <w:uiPriority w:val="99"/>
    <w:rPr>
      <w:rFonts w:eastAsia="宋体" w:cs="Times New Roman"/>
      <w:kern w:val="2"/>
      <w:sz w:val="21"/>
      <w:szCs w:val="21"/>
      <w:lang w:val="en-US" w:eastAsia="zh-CN" w:bidi="ar-SA"/>
    </w:rPr>
  </w:style>
  <w:style w:type="character" w:customStyle="1" w:styleId="99">
    <w:name w:val="_Style 77"/>
    <w:semiHidden/>
    <w:unhideWhenUsed/>
    <w:uiPriority w:val="99"/>
    <w:rPr>
      <w:vertAlign w:val="superscript"/>
    </w:rPr>
  </w:style>
  <w:style w:type="character" w:customStyle="1" w:styleId="100">
    <w:name w:val="_Style 78"/>
    <w:basedOn w:val="39"/>
    <w:uiPriority w:val="99"/>
    <w:rPr>
      <w:rFonts w:eastAsia="黑体"/>
      <w:b/>
      <w:bCs/>
      <w:kern w:val="44"/>
      <w:sz w:val="28"/>
      <w:szCs w:val="44"/>
    </w:rPr>
  </w:style>
  <w:style w:type="character" w:customStyle="1" w:styleId="101">
    <w:name w:val="_Style 79"/>
    <w:basedOn w:val="39"/>
    <w:qFormat/>
    <w:uiPriority w:val="0"/>
    <w:rPr>
      <w:rFonts w:ascii="Arial" w:hAnsi="Arial"/>
      <w:b/>
      <w:bCs/>
      <w:kern w:val="2"/>
      <w:sz w:val="21"/>
      <w:szCs w:val="21"/>
    </w:rPr>
  </w:style>
  <w:style w:type="character" w:customStyle="1" w:styleId="102">
    <w:name w:val="_Style 80"/>
    <w:basedOn w:val="39"/>
    <w:qFormat/>
    <w:uiPriority w:val="9"/>
    <w:rPr>
      <w:b/>
      <w:bCs/>
      <w:kern w:val="2"/>
      <w:sz w:val="21"/>
      <w:szCs w:val="32"/>
    </w:rPr>
  </w:style>
  <w:style w:type="character" w:customStyle="1" w:styleId="103">
    <w:name w:val="_Style 81"/>
    <w:basedOn w:val="39"/>
    <w:qFormat/>
    <w:uiPriority w:val="9"/>
    <w:rPr>
      <w:rFonts w:asciiTheme="minorEastAsia" w:hAnsiTheme="minorEastAsia" w:eastAsiaTheme="minorEastAsia"/>
      <w:b/>
      <w:bCs/>
      <w:kern w:val="2"/>
      <w:sz w:val="21"/>
      <w:szCs w:val="28"/>
    </w:rPr>
  </w:style>
  <w:style w:type="character" w:customStyle="1" w:styleId="104">
    <w:name w:val="_Style 82"/>
    <w:basedOn w:val="39"/>
    <w:uiPriority w:val="9"/>
    <w:rPr>
      <w:b/>
      <w:bCs/>
      <w:kern w:val="2"/>
      <w:sz w:val="21"/>
      <w:szCs w:val="28"/>
    </w:rPr>
  </w:style>
  <w:style w:type="paragraph" w:customStyle="1" w:styleId="105">
    <w:name w:val="_Style 83"/>
    <w:basedOn w:val="68"/>
    <w:next w:val="1"/>
    <w:qFormat/>
    <w:uiPriority w:val="39"/>
    <w:pPr>
      <w:widowControl/>
      <w:spacing w:before="480" w:after="0" w:line="276" w:lineRule="auto"/>
      <w:outlineLvl w:val="9"/>
    </w:pPr>
    <w:rPr>
      <w:rFonts w:ascii="Cambria" w:hAnsi="Cambria" w:eastAsia="宋体"/>
      <w:color w:val="365F91"/>
      <w:kern w:val="0"/>
      <w:szCs w:val="28"/>
    </w:rPr>
  </w:style>
  <w:style w:type="character" w:customStyle="1" w:styleId="106">
    <w:name w:val="_Style 84"/>
    <w:basedOn w:val="39"/>
    <w:qFormat/>
    <w:uiPriority w:val="0"/>
    <w:rPr>
      <w:rFonts w:ascii="Times New Roman" w:hAnsi="Times New Roman" w:eastAsia="宋体" w:cs="Times New Roman"/>
      <w:szCs w:val="21"/>
    </w:rPr>
  </w:style>
  <w:style w:type="character" w:customStyle="1" w:styleId="107">
    <w:name w:val="_Style 85"/>
    <w:basedOn w:val="39"/>
    <w:uiPriority w:val="99"/>
    <w:rPr>
      <w:rFonts w:ascii="Calibri" w:hAnsi="Calibri" w:eastAsia="宋体" w:cs="Times New Roman"/>
      <w:sz w:val="18"/>
      <w:szCs w:val="18"/>
    </w:rPr>
  </w:style>
  <w:style w:type="character" w:customStyle="1" w:styleId="108">
    <w:name w:val="_Style 86"/>
    <w:basedOn w:val="39"/>
    <w:uiPriority w:val="99"/>
    <w:rPr>
      <w:rFonts w:ascii="Times New Roman" w:hAnsi="Times New Roman" w:eastAsia="宋体" w:cs="Times New Roman"/>
      <w:szCs w:val="21"/>
    </w:rPr>
  </w:style>
  <w:style w:type="paragraph" w:customStyle="1" w:styleId="109">
    <w:name w:val="_Style 87"/>
    <w:basedOn w:val="1"/>
    <w:qFormat/>
    <w:uiPriority w:val="34"/>
    <w:pPr>
      <w:widowControl w:val="0"/>
      <w:ind w:firstLine="420" w:firstLineChars="200"/>
      <w:jc w:val="both"/>
    </w:pPr>
    <w:rPr>
      <w:rFonts w:ascii="Calibri" w:hAnsi="Calibri" w:cs="Times New Roman"/>
      <w:kern w:val="2"/>
      <w:szCs w:val="22"/>
    </w:rPr>
  </w:style>
  <w:style w:type="character" w:customStyle="1" w:styleId="110">
    <w:name w:val="_Style 88"/>
    <w:basedOn w:val="106"/>
    <w:qFormat/>
    <w:uiPriority w:val="99"/>
    <w:rPr>
      <w:rFonts w:ascii="Calibri" w:hAnsi="Calibri" w:eastAsia="宋体" w:cs="Times New Roman"/>
      <w:b/>
      <w:bCs/>
      <w:szCs w:val="21"/>
    </w:rPr>
  </w:style>
  <w:style w:type="character" w:customStyle="1" w:styleId="111">
    <w:name w:val="_Style 89"/>
    <w:basedOn w:val="39"/>
    <w:uiPriority w:val="99"/>
    <w:rPr>
      <w:rFonts w:ascii="Calibri" w:hAnsi="Calibri" w:eastAsia="宋体" w:cs="Times New Roman"/>
      <w:sz w:val="18"/>
      <w:szCs w:val="18"/>
    </w:rPr>
  </w:style>
  <w:style w:type="character" w:customStyle="1" w:styleId="112">
    <w:name w:val="_Style 90"/>
    <w:basedOn w:val="39"/>
    <w:uiPriority w:val="99"/>
    <w:rPr>
      <w:rFonts w:ascii="Calibri" w:hAnsi="Calibri" w:eastAsia="宋体" w:cs="Times New Roman"/>
      <w:sz w:val="18"/>
      <w:szCs w:val="18"/>
    </w:rPr>
  </w:style>
  <w:style w:type="character" w:customStyle="1" w:styleId="113">
    <w:name w:val="_Style 91"/>
    <w:basedOn w:val="39"/>
    <w:qFormat/>
    <w:uiPriority w:val="0"/>
    <w:rPr>
      <w:rFonts w:ascii="宋体" w:hAnsi="Courier New" w:eastAsia="宋体" w:cs="Times New Roman"/>
      <w:szCs w:val="20"/>
    </w:rPr>
  </w:style>
  <w:style w:type="character" w:customStyle="1" w:styleId="114">
    <w:name w:val="_Style 92"/>
    <w:basedOn w:val="39"/>
    <w:uiPriority w:val="99"/>
    <w:rPr>
      <w:rFonts w:ascii="Times New Roman" w:hAnsi="Times New Roman" w:eastAsia="宋体" w:cs="Times New Roman"/>
      <w:szCs w:val="21"/>
    </w:rPr>
  </w:style>
  <w:style w:type="character" w:customStyle="1" w:styleId="115">
    <w:name w:val="_Style 93"/>
    <w:basedOn w:val="39"/>
    <w:uiPriority w:val="99"/>
    <w:rPr>
      <w:rFonts w:ascii="Times New Roman" w:hAnsi="Times New Roman" w:eastAsia="宋体" w:cs="Times New Roman"/>
      <w:szCs w:val="21"/>
    </w:rPr>
  </w:style>
  <w:style w:type="character" w:customStyle="1" w:styleId="116">
    <w:name w:val="_Style 94"/>
    <w:basedOn w:val="39"/>
    <w:uiPriority w:val="99"/>
    <w:rPr>
      <w:rFonts w:ascii="Times New Roman" w:hAnsi="Times New Roman" w:eastAsia="宋体" w:cs="Times New Roman"/>
      <w:szCs w:val="21"/>
    </w:rPr>
  </w:style>
  <w:style w:type="paragraph" w:customStyle="1" w:styleId="117">
    <w:name w:val="_Style 95"/>
    <w:hidden/>
    <w:semiHidden/>
    <w:uiPriority w:val="99"/>
    <w:rPr>
      <w:rFonts w:ascii="Times New Roman" w:hAnsi="Times New Roman" w:eastAsia="宋体" w:cs="Times New Roman"/>
      <w:kern w:val="2"/>
      <w:sz w:val="21"/>
      <w:szCs w:val="22"/>
      <w:lang w:val="en-US" w:eastAsia="zh-CN" w:bidi="ar-SA"/>
    </w:rPr>
  </w:style>
  <w:style w:type="character" w:customStyle="1" w:styleId="118">
    <w:name w:val="_Style 96"/>
    <w:basedOn w:val="39"/>
    <w:qFormat/>
    <w:uiPriority w:val="0"/>
    <w:rPr>
      <w:kern w:val="2"/>
      <w:sz w:val="21"/>
      <w:szCs w:val="24"/>
    </w:rPr>
  </w:style>
  <w:style w:type="paragraph" w:customStyle="1" w:styleId="119">
    <w:name w:val="_Style 97"/>
    <w:basedOn w:val="1"/>
    <w:qFormat/>
    <w:uiPriority w:val="0"/>
    <w:pPr>
      <w:widowControl w:val="0"/>
      <w:spacing w:before="100" w:after="100"/>
      <w:jc w:val="both"/>
    </w:pPr>
    <w:rPr>
      <w:rFonts w:ascii="Calibri" w:hAnsi="Calibri" w:cs="Times New Roman"/>
      <w:kern w:val="2"/>
    </w:rPr>
  </w:style>
  <w:style w:type="character" w:customStyle="1" w:styleId="120">
    <w:name w:val="_Style 98"/>
    <w:basedOn w:val="39"/>
    <w:semiHidden/>
    <w:uiPriority w:val="99"/>
    <w:rPr>
      <w:rFonts w:ascii="宋体"/>
      <w:kern w:val="2"/>
      <w:sz w:val="18"/>
      <w:szCs w:val="18"/>
    </w:rPr>
  </w:style>
  <w:style w:type="character" w:customStyle="1" w:styleId="121">
    <w:name w:val="_Style 99"/>
    <w:basedOn w:val="39"/>
    <w:semiHidden/>
    <w:uiPriority w:val="99"/>
    <w:rPr>
      <w:color w:val="auto"/>
    </w:rPr>
  </w:style>
  <w:style w:type="character" w:customStyle="1" w:styleId="122">
    <w:name w:val="_Style 100"/>
    <w:basedOn w:val="39"/>
    <w:qFormat/>
    <w:uiPriority w:val="10"/>
    <w:rPr>
      <w:rFonts w:asciiTheme="majorHAnsi" w:hAnsiTheme="majorHAnsi" w:cstheme="majorBidi"/>
      <w:b/>
      <w:bCs/>
      <w:kern w:val="2"/>
      <w:sz w:val="32"/>
      <w:szCs w:val="32"/>
    </w:rPr>
  </w:style>
  <w:style w:type="paragraph" w:customStyle="1" w:styleId="123">
    <w:name w:val="_Style 101"/>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124">
    <w:name w:val="_Style 102"/>
    <w:basedOn w:val="39"/>
    <w:uiPriority w:val="9"/>
    <w:rPr>
      <w:rFonts w:asciiTheme="majorHAnsi" w:hAnsiTheme="majorHAnsi" w:cstheme="majorBidi"/>
      <w:b/>
      <w:bCs/>
      <w:sz w:val="21"/>
      <w:szCs w:val="24"/>
    </w:rPr>
  </w:style>
  <w:style w:type="character" w:customStyle="1" w:styleId="125">
    <w:name w:val="_Style 103"/>
    <w:basedOn w:val="39"/>
    <w:semiHidden/>
    <w:qFormat/>
    <w:uiPriority w:val="99"/>
    <w:rPr>
      <w:rFonts w:ascii="宋体" w:hAnsi="宋体" w:cs="宋体"/>
      <w:sz w:val="21"/>
      <w:szCs w:val="24"/>
    </w:rPr>
  </w:style>
  <w:style w:type="character" w:customStyle="1" w:styleId="126">
    <w:name w:val="_Style 104"/>
    <w:basedOn w:val="106"/>
    <w:semiHidden/>
    <w:qFormat/>
    <w:uiPriority w:val="99"/>
    <w:rPr>
      <w:rFonts w:ascii="Times New Roman" w:hAnsi="Times New Roman" w:eastAsia="宋体" w:cs="Times New Roman"/>
      <w:b/>
      <w:bCs/>
      <w:szCs w:val="21"/>
    </w:rPr>
  </w:style>
  <w:style w:type="character" w:customStyle="1" w:styleId="127">
    <w:name w:val="_Style 105"/>
    <w:basedOn w:val="39"/>
    <w:qFormat/>
    <w:uiPriority w:val="9"/>
    <w:rPr>
      <w:rFonts w:ascii="宋体" w:hAnsi="宋体" w:cs="宋体"/>
      <w:b/>
      <w:bCs/>
      <w:sz w:val="24"/>
      <w:szCs w:val="24"/>
    </w:rPr>
  </w:style>
  <w:style w:type="character" w:customStyle="1" w:styleId="128">
    <w:name w:val="_Style 106"/>
    <w:basedOn w:val="106"/>
    <w:semiHidden/>
    <w:qFormat/>
    <w:uiPriority w:val="99"/>
    <w:rPr>
      <w:rFonts w:ascii="Times New Roman" w:hAnsi="Times New Roman" w:eastAsia="宋体" w:cs="Times New Roman"/>
      <w:b/>
      <w:bCs/>
      <w:szCs w:val="21"/>
    </w:rPr>
  </w:style>
  <w:style w:type="character" w:customStyle="1" w:styleId="129">
    <w:name w:val="_Style 107"/>
    <w:qFormat/>
    <w:uiPriority w:val="0"/>
    <w:rPr>
      <w:rFonts w:ascii="Times New Roman" w:hAnsi="Times New Roman"/>
      <w:kern w:val="2"/>
      <w:sz w:val="21"/>
      <w:szCs w:val="21"/>
    </w:rPr>
  </w:style>
  <w:style w:type="character" w:customStyle="1" w:styleId="130">
    <w:name w:val="_Style 108"/>
    <w:uiPriority w:val="99"/>
    <w:rPr>
      <w:rFonts w:ascii="Times New Roman" w:hAnsi="Times New Roman"/>
      <w:kern w:val="2"/>
      <w:sz w:val="21"/>
      <w:szCs w:val="21"/>
    </w:rPr>
  </w:style>
  <w:style w:type="character" w:customStyle="1" w:styleId="131">
    <w:name w:val="_Style 109"/>
    <w:qFormat/>
    <w:uiPriority w:val="99"/>
    <w:rPr>
      <w:rFonts w:ascii="Times New Roman" w:hAnsi="Times New Roman"/>
      <w:kern w:val="2"/>
      <w:sz w:val="21"/>
      <w:szCs w:val="21"/>
    </w:rPr>
  </w:style>
  <w:style w:type="character" w:customStyle="1" w:styleId="132">
    <w:name w:val="_Style 110"/>
    <w:qFormat/>
    <w:uiPriority w:val="0"/>
    <w:rPr>
      <w:rFonts w:ascii="Times New Roman" w:hAnsi="Times New Roman"/>
      <w:kern w:val="2"/>
      <w:sz w:val="21"/>
      <w:szCs w:val="21"/>
    </w:rPr>
  </w:style>
  <w:style w:type="character" w:customStyle="1" w:styleId="133">
    <w:name w:val="_Style 111"/>
    <w:basedOn w:val="39"/>
    <w:semiHidden/>
    <w:uiPriority w:val="99"/>
    <w:rPr>
      <w:kern w:val="2"/>
      <w:sz w:val="18"/>
      <w:szCs w:val="18"/>
    </w:rPr>
  </w:style>
  <w:style w:type="character" w:customStyle="1" w:styleId="134">
    <w:name w:val="_Style 112"/>
    <w:basedOn w:val="39"/>
    <w:uiPriority w:val="0"/>
    <w:rPr>
      <w:rFonts w:hint="eastAsia" w:ascii="宋体" w:hAnsi="宋体" w:eastAsia="宋体"/>
      <w:color w:val="000000"/>
      <w:sz w:val="21"/>
      <w:szCs w:val="21"/>
      <w:u w:val="none"/>
    </w:rPr>
  </w:style>
  <w:style w:type="character" w:customStyle="1" w:styleId="135">
    <w:name w:val="批注框文本 字符"/>
    <w:basedOn w:val="39"/>
    <w:link w:val="24"/>
    <w:uiPriority w:val="99"/>
    <w:rPr>
      <w:rFonts w:ascii="宋体" w:hAnsi="宋体" w:cs="宋体"/>
      <w:sz w:val="18"/>
      <w:szCs w:val="18"/>
    </w:rPr>
  </w:style>
  <w:style w:type="character" w:customStyle="1" w:styleId="136">
    <w:name w:val="font21"/>
    <w:basedOn w:val="39"/>
    <w:uiPriority w:val="0"/>
    <w:rPr>
      <w:rFonts w:hint="default" w:ascii="Arial Narrow" w:hAnsi="Arial Narrow"/>
      <w:color w:val="000000"/>
      <w:sz w:val="21"/>
      <w:szCs w:val="21"/>
      <w:u w:val="none"/>
    </w:rPr>
  </w:style>
  <w:style w:type="character" w:customStyle="1" w:styleId="137">
    <w:name w:val="font11"/>
    <w:basedOn w:val="39"/>
    <w:uiPriority w:val="0"/>
    <w:rPr>
      <w:rFonts w:hint="eastAsia" w:ascii="宋体" w:hAnsi="宋体" w:eastAsia="宋体"/>
      <w:color w:val="000000"/>
      <w:sz w:val="21"/>
      <w:szCs w:val="21"/>
      <w:u w:val="none"/>
    </w:rPr>
  </w:style>
  <w:style w:type="character" w:styleId="138">
    <w:name w:val="Placeholder Text"/>
    <w:basedOn w:val="39"/>
    <w:link w:val="139"/>
    <w:qFormat/>
    <w:uiPriority w:val="99"/>
    <w:rPr>
      <w:color w:val="666666"/>
    </w:rPr>
  </w:style>
  <w:style w:type="paragraph" w:customStyle="1" w:styleId="139">
    <w:name w:val="_Style 113"/>
    <w:basedOn w:val="1"/>
    <w:link w:val="138"/>
    <w:unhideWhenUsed/>
    <w:qFormat/>
    <w:uiPriority w:val="99"/>
    <w:pPr>
      <w:keepNext/>
      <w:keepLines/>
      <w:spacing w:before="240" w:after="64" w:line="320" w:lineRule="auto"/>
      <w:outlineLvl w:val="6"/>
    </w:pPr>
    <w:rPr>
      <w:rFonts w:ascii="Times New Roman" w:hAnsi="Times New Roman" w:cs="Times New Roman"/>
      <w:color w:val="666666"/>
      <w:sz w:val="20"/>
      <w:szCs w:val="20"/>
    </w:rPr>
  </w:style>
  <w:style w:type="paragraph" w:customStyle="1" w:styleId="140">
    <w:name w:val="Revision"/>
    <w:hidden/>
    <w:semiHidden/>
    <w:uiPriority w:val="99"/>
    <w:rPr>
      <w:rFonts w:ascii="宋体" w:hAnsi="宋体" w:eastAsia="宋体" w:cs="宋体"/>
      <w:sz w:val="21"/>
      <w:szCs w:val="24"/>
      <w:lang w:val="en-US" w:eastAsia="zh-CN" w:bidi="ar-SA"/>
    </w:rPr>
  </w:style>
  <w:style w:type="character" w:customStyle="1" w:styleId="141">
    <w:name w:val="font31"/>
    <w:basedOn w:val="39"/>
    <w:uiPriority w:val="0"/>
    <w:rPr>
      <w:rFonts w:hint="eastAsia" w:ascii="宋体" w:hAnsi="宋体" w:eastAsia="宋体"/>
      <w:color w:val="000000"/>
      <w:sz w:val="21"/>
      <w:szCs w:val="21"/>
      <w:u w:val="none"/>
    </w:rPr>
  </w:style>
  <w:style w:type="character" w:customStyle="1" w:styleId="142">
    <w:name w:val="标题 7 字符"/>
    <w:basedOn w:val="39"/>
    <w:link w:val="8"/>
    <w:uiPriority w:val="9"/>
    <w:rPr>
      <w:rFonts w:ascii="宋体" w:hAnsi="宋体" w:cs="宋体"/>
      <w:b/>
      <w:bCs/>
      <w:sz w:val="24"/>
      <w:szCs w:val="24"/>
    </w:rPr>
  </w:style>
  <w:style w:type="paragraph" w:customStyle="1" w:styleId="143">
    <w:name w:val="TOC Heading"/>
    <w:basedOn w:val="2"/>
    <w:next w:val="1"/>
    <w:qFormat/>
    <w:uiPriority w:val="39"/>
    <w:pPr>
      <w:widowControl/>
      <w:spacing w:before="480" w:after="0" w:line="276" w:lineRule="auto"/>
      <w:outlineLvl w:val="9"/>
    </w:pPr>
    <w:rPr>
      <w:rFonts w:ascii="Cambria" w:hAnsi="Cambria" w:eastAsia="宋体"/>
      <w:color w:val="365F91"/>
      <w:kern w:val="0"/>
      <w:szCs w:val="28"/>
    </w:rPr>
  </w:style>
  <w:style w:type="character" w:customStyle="1" w:styleId="144">
    <w:name w:val="notnullcss1"/>
    <w:basedOn w:val="39"/>
    <w:uiPriority w:val="99"/>
    <w:rPr>
      <w:rFonts w:eastAsia="宋体" w:cs="Times New Roman"/>
      <w:color w:val="FF0000"/>
      <w:kern w:val="2"/>
      <w:sz w:val="24"/>
      <w:szCs w:val="24"/>
      <w:lang w:val="en-US" w:eastAsia="zh-CN" w:bidi="ar-SA"/>
    </w:rPr>
  </w:style>
  <w:style w:type="paragraph" w:customStyle="1" w:styleId="145">
    <w:name w:val="xl61"/>
    <w:basedOn w:val="1"/>
    <w:uiPriority w:val="99"/>
    <w:pPr>
      <w:spacing w:before="100" w:after="100"/>
      <w:jc w:val="right"/>
    </w:pPr>
    <w:rPr>
      <w:rFonts w:ascii="Arial Unicode MS" w:hAnsi="Times New Roman" w:eastAsia="Arial Unicode MS" w:cs="Times New Roman"/>
      <w:sz w:val="18"/>
      <w:szCs w:val="18"/>
    </w:rPr>
  </w:style>
  <w:style w:type="character" w:customStyle="1" w:styleId="146">
    <w:name w:val="headline-content2"/>
    <w:basedOn w:val="39"/>
    <w:uiPriority w:val="0"/>
    <w:rPr>
      <w:rFonts w:eastAsia="宋体" w:cs="Times New Roman"/>
      <w:kern w:val="2"/>
      <w:sz w:val="24"/>
      <w:szCs w:val="24"/>
      <w:lang w:val="en-US" w:eastAsia="zh-CN" w:bidi="ar-SA"/>
    </w:rPr>
  </w:style>
  <w:style w:type="paragraph" w:customStyle="1" w:styleId="147">
    <w:name w:val="write2"/>
    <w:basedOn w:val="1"/>
    <w:uiPriority w:val="99"/>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148">
    <w:name w:val="日期 字符"/>
    <w:basedOn w:val="39"/>
    <w:link w:val="22"/>
    <w:uiPriority w:val="99"/>
    <w:rPr>
      <w:kern w:val="2"/>
      <w:sz w:val="21"/>
      <w:szCs w:val="21"/>
    </w:rPr>
  </w:style>
  <w:style w:type="paragraph" w:customStyle="1" w:styleId="149">
    <w:name w:val="标题5"/>
    <w:basedOn w:val="1"/>
    <w:uiPriority w:val="0"/>
    <w:pPr>
      <w:keepNext/>
      <w:keepLines/>
      <w:widowControl w:val="0"/>
      <w:spacing w:before="60" w:after="60"/>
      <w:ind w:hanging="420" w:hangingChars="200"/>
      <w:jc w:val="both"/>
      <w:outlineLvl w:val="4"/>
    </w:pPr>
    <w:rPr>
      <w:rFonts w:cs="Times New Roman"/>
      <w:b/>
      <w:bCs/>
      <w:kern w:val="2"/>
      <w:szCs w:val="21"/>
    </w:rPr>
  </w:style>
  <w:style w:type="character" w:customStyle="1" w:styleId="150">
    <w:name w:val="文档结构图 字符"/>
    <w:basedOn w:val="39"/>
    <w:link w:val="12"/>
    <w:uiPriority w:val="99"/>
    <w:rPr>
      <w:rFonts w:ascii="宋体" w:hAnsi="Calibri"/>
      <w:kern w:val="2"/>
      <w:sz w:val="18"/>
      <w:szCs w:val="18"/>
    </w:rPr>
  </w:style>
  <w:style w:type="character" w:customStyle="1" w:styleId="151">
    <w:name w:val="标题 字符"/>
    <w:basedOn w:val="39"/>
    <w:link w:val="35"/>
    <w:uiPriority w:val="10"/>
    <w:rPr>
      <w:rFonts w:asciiTheme="majorHAnsi" w:hAnsiTheme="majorHAnsi" w:cstheme="majorBidi"/>
      <w:b/>
      <w:bCs/>
      <w:kern w:val="2"/>
      <w:sz w:val="32"/>
      <w:szCs w:val="32"/>
    </w:rPr>
  </w:style>
  <w:style w:type="character" w:customStyle="1" w:styleId="152">
    <w:name w:val="尾注文本 字符"/>
    <w:basedOn w:val="39"/>
    <w:link w:val="23"/>
    <w:uiPriority w:val="99"/>
    <w:rPr>
      <w:rFonts w:ascii="宋体" w:hAnsi="宋体" w:cs="宋体"/>
      <w:sz w:val="21"/>
      <w:szCs w:val="24"/>
    </w:rPr>
  </w:style>
  <w:style w:type="character" w:customStyle="1" w:styleId="153">
    <w:name w:val="批注主题 Char1"/>
    <w:basedOn w:val="56"/>
    <w:semiHidden/>
    <w:uiPriority w:val="99"/>
    <w:rPr>
      <w:rFonts w:ascii="Times New Roman" w:hAnsi="Times New Roman" w:eastAsia="宋体" w:cs="Times New Roman"/>
      <w:b/>
      <w:bCs/>
      <w:szCs w:val="21"/>
      <w:lang w:val="en-US" w:eastAsia="zh-CN" w:bidi="ar-SA"/>
    </w:rPr>
  </w:style>
  <w:style w:type="character" w:customStyle="1" w:styleId="154">
    <w:name w:val="span_"/>
    <w:basedOn w:val="39"/>
    <w:uiPriority w:val="0"/>
  </w:style>
  <w:style w:type="paragraph" w:customStyle="1" w:styleId="155">
    <w:name w:val="标题  3"/>
    <w:basedOn w:val="1"/>
    <w:next w:val="1"/>
    <w:link w:val="156"/>
    <w:qFormat/>
    <w:uiPriority w:val="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156">
    <w:name w:val="标题  3 Char"/>
    <w:basedOn w:val="39"/>
    <w:link w:val="155"/>
    <w:qFormat/>
    <w:uiPriority w:val="0"/>
    <w:rPr>
      <w:b/>
      <w:kern w:val="2"/>
      <w:sz w:val="21"/>
      <w:szCs w:val="24"/>
    </w:rPr>
  </w:style>
  <w:style w:type="character" w:customStyle="1" w:styleId="157">
    <w:name w:val="批注主题 字符1"/>
    <w:basedOn w:val="56"/>
    <w:semiHidden/>
    <w:qFormat/>
    <w:uiPriority w:val="99"/>
    <w:rPr>
      <w:rFonts w:ascii="Times New Roman" w:hAnsi="Times New Roman" w:eastAsia="宋体" w:cs="Times New Roman"/>
      <w:b/>
      <w:bCs/>
      <w:szCs w:val="21"/>
      <w:lang w:val="en-US" w:eastAsia="zh-CN" w:bidi="ar-SA"/>
    </w:rPr>
  </w:style>
  <w:style w:type="character" w:customStyle="1" w:styleId="158">
    <w:name w:val="标题 4 Char"/>
    <w:qFormat/>
    <w:uiPriority w:val="9"/>
    <w:rPr>
      <w:rFonts w:ascii="Cambria" w:hAnsi="Cambria"/>
      <w:b/>
      <w:bCs/>
      <w:kern w:val="2"/>
      <w:sz w:val="21"/>
      <w:szCs w:val="28"/>
    </w:rPr>
  </w:style>
  <w:style w:type="table" w:customStyle="1" w:styleId="159">
    <w:name w:val="无格式表格 21"/>
    <w:basedOn w:val="37"/>
    <w:qFormat/>
    <w:uiPriority w:val="42"/>
    <w:rPr>
      <w:rFonts w:ascii="Calibri" w:hAnsi="Calibri"/>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60">
    <w:name w:val="3"/>
    <w:basedOn w:val="1"/>
    <w:next w:val="44"/>
    <w:qFormat/>
    <w:uiPriority w:val="34"/>
    <w:pPr>
      <w:widowControl w:val="0"/>
      <w:ind w:firstLine="420" w:firstLineChars="200"/>
      <w:jc w:val="both"/>
    </w:pPr>
    <w:rPr>
      <w:rFonts w:ascii="Calibri" w:hAnsi="Calibri" w:cs="Times New Roman"/>
      <w:kern w:val="2"/>
      <w:szCs w:val="22"/>
    </w:rPr>
  </w:style>
  <w:style w:type="character" w:customStyle="1" w:styleId="161">
    <w:name w:val="标题 3 Char"/>
    <w:uiPriority w:val="9"/>
    <w:rPr>
      <w:b/>
      <w:bCs/>
      <w:kern w:val="2"/>
      <w:sz w:val="21"/>
      <w:szCs w:val="32"/>
    </w:rPr>
  </w:style>
  <w:style w:type="paragraph" w:customStyle="1" w:styleId="162">
    <w:name w:val="2"/>
    <w:basedOn w:val="1"/>
    <w:next w:val="44"/>
    <w:qFormat/>
    <w:uiPriority w:val="34"/>
    <w:pPr>
      <w:widowControl w:val="0"/>
      <w:ind w:firstLine="420" w:firstLineChars="200"/>
      <w:jc w:val="both"/>
    </w:pPr>
    <w:rPr>
      <w:rFonts w:ascii="Calibri" w:hAnsi="Calibri" w:cs="Times New Roman"/>
      <w:kern w:val="2"/>
      <w:szCs w:val="22"/>
    </w:rPr>
  </w:style>
  <w:style w:type="character" w:customStyle="1" w:styleId="163">
    <w:name w:val="批注文字 Char"/>
    <w:qFormat/>
    <w:uiPriority w:val="0"/>
    <w:rPr>
      <w:rFonts w:ascii="Times New Roman" w:hAnsi="Times New Roman"/>
      <w:kern w:val="2"/>
      <w:sz w:val="21"/>
      <w:szCs w:val="21"/>
    </w:rPr>
  </w:style>
  <w:style w:type="character" w:customStyle="1" w:styleId="164">
    <w:name w:val="标题 3 Char1"/>
    <w:uiPriority w:val="9"/>
    <w:rPr>
      <w:b/>
      <w:bCs/>
      <w:kern w:val="2"/>
      <w:sz w:val="21"/>
      <w:szCs w:val="32"/>
    </w:rPr>
  </w:style>
  <w:style w:type="character" w:customStyle="1" w:styleId="165">
    <w:name w:val="标题 2 Char"/>
    <w:uiPriority w:val="0"/>
    <w:rPr>
      <w:rFonts w:ascii="Arial" w:hAnsi="Arial"/>
      <w:b/>
      <w:bCs/>
      <w:kern w:val="2"/>
      <w:sz w:val="21"/>
      <w:szCs w:val="21"/>
    </w:rPr>
  </w:style>
  <w:style w:type="character" w:customStyle="1" w:styleId="166">
    <w:name w:val="标题 5 Char"/>
    <w:uiPriority w:val="9"/>
    <w:rPr>
      <w:b/>
      <w:bCs/>
      <w:kern w:val="2"/>
      <w:sz w:val="21"/>
      <w:szCs w:val="28"/>
    </w:rPr>
  </w:style>
  <w:style w:type="paragraph" w:customStyle="1" w:styleId="167">
    <w:name w:val="7"/>
    <w:basedOn w:val="1"/>
    <w:next w:val="44"/>
    <w:qFormat/>
    <w:uiPriority w:val="34"/>
    <w:pPr>
      <w:widowControl w:val="0"/>
      <w:ind w:firstLine="420" w:firstLineChars="200"/>
      <w:jc w:val="both"/>
    </w:pPr>
    <w:rPr>
      <w:rFonts w:ascii="Calibri" w:hAnsi="Calibri" w:cs="Times New Roman"/>
      <w:kern w:val="2"/>
      <w:szCs w:val="22"/>
    </w:rPr>
  </w:style>
  <w:style w:type="character" w:customStyle="1" w:styleId="168">
    <w:name w:val="称呼 Char"/>
    <w:uiPriority w:val="99"/>
    <w:rPr>
      <w:rFonts w:ascii="Times New Roman" w:hAnsi="Times New Roman"/>
      <w:kern w:val="2"/>
      <w:sz w:val="21"/>
      <w:szCs w:val="21"/>
    </w:rPr>
  </w:style>
  <w:style w:type="character" w:customStyle="1" w:styleId="169">
    <w:name w:val="fontstyle01"/>
    <w:uiPriority w:val="0"/>
    <w:rPr>
      <w:rFonts w:hint="default" w:ascii="FZLTSK--GBK1-0" w:hAnsi="FZLTSK--GBK1-0"/>
      <w:color w:val="000000"/>
      <w:sz w:val="20"/>
      <w:szCs w:val="20"/>
    </w:rPr>
  </w:style>
  <w:style w:type="paragraph" w:customStyle="1" w:styleId="170">
    <w:name w:val="6"/>
    <w:basedOn w:val="1"/>
    <w:next w:val="44"/>
    <w:qFormat/>
    <w:uiPriority w:val="34"/>
    <w:pPr>
      <w:widowControl w:val="0"/>
      <w:ind w:firstLine="420" w:firstLineChars="200"/>
      <w:jc w:val="both"/>
    </w:pPr>
    <w:rPr>
      <w:rFonts w:ascii="Calibri" w:hAnsi="Calibri" w:cs="Times New Roman"/>
      <w:kern w:val="2"/>
      <w:szCs w:val="22"/>
    </w:rPr>
  </w:style>
  <w:style w:type="character" w:customStyle="1" w:styleId="171">
    <w:name w:val="批注文字 Char1"/>
    <w:uiPriority w:val="99"/>
    <w:rPr>
      <w:rFonts w:ascii="Times New Roman" w:hAnsi="Times New Roman"/>
      <w:kern w:val="2"/>
      <w:sz w:val="21"/>
      <w:szCs w:val="21"/>
    </w:rPr>
  </w:style>
  <w:style w:type="character" w:customStyle="1" w:styleId="172">
    <w:name w:val="标题 5 Char1"/>
    <w:uiPriority w:val="9"/>
    <w:rPr>
      <w:b/>
      <w:bCs/>
      <w:kern w:val="2"/>
      <w:sz w:val="21"/>
      <w:szCs w:val="28"/>
    </w:rPr>
  </w:style>
  <w:style w:type="character" w:customStyle="1" w:styleId="173">
    <w:name w:val="批注文字 字符1"/>
    <w:semiHidden/>
    <w:locked/>
    <w:uiPriority w:val="99"/>
    <w:rPr>
      <w:rFonts w:ascii="Times New Roman" w:hAnsi="Times New Roman"/>
      <w:kern w:val="2"/>
      <w:sz w:val="21"/>
      <w:szCs w:val="21"/>
    </w:rPr>
  </w:style>
  <w:style w:type="character" w:customStyle="1" w:styleId="174">
    <w:name w:val="标题 2 Char1"/>
    <w:uiPriority w:val="0"/>
    <w:rPr>
      <w:rFonts w:ascii="Arial" w:hAnsi="Arial"/>
      <w:b/>
      <w:bCs/>
      <w:kern w:val="2"/>
      <w:sz w:val="21"/>
      <w:szCs w:val="21"/>
    </w:rPr>
  </w:style>
  <w:style w:type="character" w:customStyle="1" w:styleId="175">
    <w:name w:val="批注文字 Char2"/>
    <w:uiPriority w:val="99"/>
    <w:rPr>
      <w:rFonts w:ascii="Times New Roman" w:hAnsi="Times New Roman"/>
      <w:kern w:val="2"/>
      <w:sz w:val="21"/>
      <w:szCs w:val="21"/>
    </w:rPr>
  </w:style>
  <w:style w:type="character" w:customStyle="1" w:styleId="176">
    <w:name w:val="标题 5 Char2"/>
    <w:uiPriority w:val="9"/>
    <w:rPr>
      <w:b/>
      <w:bCs/>
      <w:kern w:val="2"/>
      <w:sz w:val="21"/>
      <w:szCs w:val="28"/>
    </w:rPr>
  </w:style>
  <w:style w:type="paragraph" w:customStyle="1" w:styleId="177">
    <w:name w:val="5"/>
    <w:basedOn w:val="1"/>
    <w:next w:val="44"/>
    <w:qFormat/>
    <w:uiPriority w:val="34"/>
    <w:pPr>
      <w:widowControl w:val="0"/>
      <w:ind w:firstLine="420" w:firstLineChars="200"/>
      <w:jc w:val="both"/>
    </w:pPr>
    <w:rPr>
      <w:rFonts w:ascii="Calibri" w:hAnsi="Calibri" w:cs="Times New Roman"/>
      <w:kern w:val="2"/>
      <w:szCs w:val="22"/>
    </w:rPr>
  </w:style>
  <w:style w:type="character" w:customStyle="1" w:styleId="178">
    <w:name w:val="标题 3 Char2"/>
    <w:uiPriority w:val="9"/>
    <w:rPr>
      <w:b/>
      <w:bCs/>
      <w:kern w:val="2"/>
      <w:sz w:val="21"/>
      <w:szCs w:val="32"/>
    </w:rPr>
  </w:style>
  <w:style w:type="character" w:customStyle="1" w:styleId="179">
    <w:name w:val="标题 3 Char3"/>
    <w:uiPriority w:val="9"/>
    <w:rPr>
      <w:b/>
      <w:bCs/>
      <w:kern w:val="2"/>
      <w:sz w:val="21"/>
      <w:szCs w:val="32"/>
    </w:rPr>
  </w:style>
  <w:style w:type="character" w:customStyle="1" w:styleId="180">
    <w:name w:val="批注文字 Char3"/>
    <w:uiPriority w:val="0"/>
    <w:rPr>
      <w:rFonts w:ascii="Times New Roman" w:hAnsi="Times New Roman"/>
      <w:kern w:val="2"/>
      <w:sz w:val="21"/>
      <w:szCs w:val="21"/>
    </w:rPr>
  </w:style>
  <w:style w:type="character" w:customStyle="1" w:styleId="181">
    <w:name w:val="标题 4 Char1"/>
    <w:uiPriority w:val="9"/>
    <w:rPr>
      <w:rFonts w:ascii="Cambria" w:hAnsi="Cambria"/>
      <w:b/>
      <w:bCs/>
      <w:kern w:val="2"/>
      <w:sz w:val="21"/>
      <w:szCs w:val="28"/>
    </w:rPr>
  </w:style>
  <w:style w:type="character" w:customStyle="1" w:styleId="182">
    <w:name w:val="脚注文本 字符"/>
    <w:basedOn w:val="39"/>
    <w:link w:val="29"/>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8705\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B960C2E6-8E28-4930-AAD5-AA36AFD6E523}"/>
      </w:docPartPr>
      <w:docPartBody>
        <w:p w14:paraId="72F7ECA3">
          <w:pPr>
            <w:rPr>
              <w:rFonts w:hint="eastAsia"/>
            </w:rPr>
          </w:pPr>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1F823479-1B2C-4501-A4CD-13FF47B8C52B}"/>
      </w:docPartPr>
      <w:docPartBody>
        <w:p w14:paraId="2CBFCBC6">
          <w:pPr>
            <w:rPr>
              <w:rFonts w:hint="eastAsia"/>
            </w:rPr>
          </w:pPr>
          <w:r>
            <w:rPr>
              <w:rStyle w:val="4"/>
              <w:rFonts w:hint="eastAsia"/>
              <w:color w:val="333399"/>
              <w:u w:val="single"/>
            </w:rPr>
            <w:t>　　　</w:t>
          </w:r>
        </w:p>
      </w:docPartBody>
    </w:docPart>
    <w:docPart>
      <w:docPartPr>
        <w:name w:val="{11f33f1f-3ef2-4ca7-9ca5-6fbcd034efa7}"/>
        <w:style w:val=""/>
        <w:category>
          <w:name w:val="常规"/>
          <w:gallery w:val="placeholder"/>
        </w:category>
        <w:types>
          <w:type w:val="bbPlcHdr"/>
        </w:types>
        <w:behaviors>
          <w:behavior w:val="content"/>
        </w:behaviors>
        <w:description w:val=""/>
        <w:guid w:val="{11F33F1F-3EF2-4CA7-9CA5-6FBCD034EFA7}"/>
      </w:docPartPr>
      <w:docPartBody>
        <w:p w14:paraId="5AEB7478">
          <w:pPr>
            <w:rPr>
              <w:rFonts w:hint="eastAsia"/>
            </w:rPr>
          </w:pPr>
          <w:r>
            <w:rPr>
              <w:rStyle w:val="4"/>
              <w:rFonts w:hint="eastAsia"/>
              <w:color w:val="333399"/>
              <w:u w:val="single"/>
            </w:rPr>
            <w:t>　　　</w:t>
          </w:r>
        </w:p>
      </w:docPartBody>
    </w:docPart>
    <w:docPart>
      <w:docPartPr>
        <w:name w:val="{b5296302-6c1e-4e92-8cf7-a18a61c86b0c}"/>
        <w:style w:val=""/>
        <w:category>
          <w:name w:val="常规"/>
          <w:gallery w:val="placeholder"/>
        </w:category>
        <w:types>
          <w:type w:val="bbPlcHdr"/>
        </w:types>
        <w:behaviors>
          <w:behavior w:val="content"/>
        </w:behaviors>
        <w:description w:val=""/>
        <w:guid w:val="{B5296302-6C1E-4E92-8CF7-A18A61C86B0C}"/>
      </w:docPartPr>
      <w:docPartBody>
        <w:p w14:paraId="2608EEF9">
          <w:pPr>
            <w:rPr>
              <w:rFonts w:hint="eastAsia"/>
            </w:rPr>
          </w:pPr>
          <w:r>
            <w:rPr>
              <w:rStyle w:val="4"/>
              <w:rFonts w:hint="eastAsia"/>
              <w:color w:val="333399"/>
              <w:u w:val="single"/>
            </w:rPr>
            <w:t>　　　</w:t>
          </w:r>
        </w:p>
      </w:docPartBody>
    </w:docPart>
    <w:docPart>
      <w:docPartPr>
        <w:name w:val="{cb0ca3d3-a87b-4ed0-ba40-dd0a1405d535}"/>
        <w:style w:val=""/>
        <w:category>
          <w:name w:val="常规"/>
          <w:gallery w:val="placeholder"/>
        </w:category>
        <w:types>
          <w:type w:val="bbPlcHdr"/>
        </w:types>
        <w:behaviors>
          <w:behavior w:val="content"/>
        </w:behaviors>
        <w:description w:val=""/>
        <w:guid w:val="{CB0CA3D3-A87B-4ED0-BA40-DD0A1405D535}"/>
      </w:docPartPr>
      <w:docPartBody>
        <w:p w14:paraId="4FBEF5CF">
          <w:pPr>
            <w:rPr>
              <w:rFonts w:hint="eastAsia"/>
            </w:rPr>
          </w:pPr>
          <w:r>
            <w:rPr>
              <w:rStyle w:val="4"/>
              <w:rFonts w:hint="eastAsia"/>
              <w:color w:val="333399"/>
              <w:u w:val="single"/>
            </w:rPr>
            <w:t>　　　</w:t>
          </w:r>
        </w:p>
      </w:docPartBody>
    </w:docPart>
    <w:docPart>
      <w:docPartPr>
        <w:name w:val="{a92b7554-a85d-48b7-ab8d-be078e3b9a55}"/>
        <w:style w:val=""/>
        <w:category>
          <w:name w:val="常规"/>
          <w:gallery w:val="placeholder"/>
        </w:category>
        <w:types>
          <w:type w:val="bbPlcHdr"/>
        </w:types>
        <w:behaviors>
          <w:behavior w:val="content"/>
        </w:behaviors>
        <w:description w:val=""/>
        <w:guid w:val="{A92B7554-A85D-48B7-AB8D-BE078E3B9A55}"/>
      </w:docPartPr>
      <w:docPartBody>
        <w:p w14:paraId="3B68C165">
          <w:pPr>
            <w:rPr>
              <w:rFonts w:hint="eastAsia"/>
            </w:rPr>
          </w:pPr>
          <w:r>
            <w:rPr>
              <w:rStyle w:val="4"/>
              <w:rFonts w:hint="eastAsia"/>
              <w:color w:val="333399"/>
              <w:u w:val="single"/>
            </w:rPr>
            <w:t>　　　</w:t>
          </w:r>
        </w:p>
      </w:docPartBody>
    </w:docPart>
    <w:docPart>
      <w:docPartPr>
        <w:name w:val="{6baccebe-69ab-4d25-97bc-a6cda6ffa032}"/>
        <w:style w:val=""/>
        <w:category>
          <w:name w:val="常规"/>
          <w:gallery w:val="placeholder"/>
        </w:category>
        <w:types>
          <w:type w:val="bbPlcHdr"/>
        </w:types>
        <w:behaviors>
          <w:behavior w:val="content"/>
        </w:behaviors>
        <w:description w:val=""/>
        <w:guid w:val="{6BACCEBE-69AB-4D25-97BC-A6CDA6FFA032}"/>
      </w:docPartPr>
      <w:docPartBody>
        <w:p w14:paraId="42EFAF92">
          <w:pPr>
            <w:rPr>
              <w:rFonts w:hint="eastAsia"/>
            </w:rPr>
          </w:pPr>
          <w:r>
            <w:rPr>
              <w:rStyle w:val="4"/>
              <w:rFonts w:hint="eastAsia"/>
              <w:color w:val="333399"/>
              <w:u w:val="single"/>
            </w:rPr>
            <w:t>　　　</w:t>
          </w:r>
        </w:p>
      </w:docPartBody>
    </w:docPart>
    <w:docPart>
      <w:docPartPr>
        <w:name w:val="D90ECA6ACB224669A71F5E8AF38DCD7E"/>
        <w:style w:val=""/>
        <w:category>
          <w:name w:val="常规"/>
          <w:gallery w:val="placeholder"/>
        </w:category>
        <w:types>
          <w:type w:val="bbPlcHdr"/>
        </w:types>
        <w:behaviors>
          <w:behavior w:val="content"/>
        </w:behaviors>
        <w:description w:val=""/>
        <w:guid w:val="{8A60E073-77C0-4F5B-9426-016988028130}"/>
      </w:docPartPr>
      <w:docPartBody>
        <w:p w14:paraId="6C2B51AE">
          <w:pPr>
            <w:pStyle w:val="7"/>
            <w:rPr>
              <w:rFonts w:hint="eastAsia"/>
            </w:rPr>
          </w:pPr>
          <w:r>
            <w:rPr>
              <w:rStyle w:val="4"/>
              <w:rFonts w:hint="eastAsia"/>
              <w:color w:val="333399"/>
              <w:u w:val="single"/>
            </w:rPr>
            <w:t>　　　</w:t>
          </w:r>
        </w:p>
      </w:docPartBody>
    </w:docPart>
    <w:docPart>
      <w:docPartPr>
        <w:name w:val="C27A876D87F4475DB8D8E718D504B35C"/>
        <w:style w:val=""/>
        <w:category>
          <w:name w:val="常规"/>
          <w:gallery w:val="placeholder"/>
        </w:category>
        <w:types>
          <w:type w:val="bbPlcHdr"/>
        </w:types>
        <w:behaviors>
          <w:behavior w:val="content"/>
        </w:behaviors>
        <w:description w:val=""/>
        <w:guid w:val="{5475DFB9-0F6E-4EFD-8A52-3720179A6856}"/>
      </w:docPartPr>
      <w:docPartBody>
        <w:p w14:paraId="72233AC8">
          <w:pPr>
            <w:pStyle w:val="8"/>
            <w:rPr>
              <w:rFonts w:hint="eastAsia"/>
            </w:rPr>
          </w:pPr>
          <w:r>
            <w:rPr>
              <w:rStyle w:val="4"/>
              <w:rFonts w:hint="eastAsia"/>
              <w:color w:val="333399"/>
              <w:u w:val="single"/>
            </w:rPr>
            <w:t>　　　</w:t>
          </w:r>
        </w:p>
      </w:docPartBody>
    </w:docPart>
    <w:docPart>
      <w:docPartPr>
        <w:name w:val="09CEC04E88D142C080FD0DF214173857"/>
        <w:style w:val=""/>
        <w:category>
          <w:name w:val="常规"/>
          <w:gallery w:val="placeholder"/>
        </w:category>
        <w:types>
          <w:type w:val="bbPlcHdr"/>
        </w:types>
        <w:behaviors>
          <w:behavior w:val="content"/>
        </w:behaviors>
        <w:description w:val=""/>
        <w:guid w:val="{82885FF1-EBE8-4F6C-BCA2-2BE1B8C53F31}"/>
      </w:docPartPr>
      <w:docPartBody>
        <w:p w14:paraId="0246D031">
          <w:pPr>
            <w:pStyle w:val="9"/>
            <w:rPr>
              <w:rFonts w:hint="eastAsia"/>
            </w:rPr>
          </w:pPr>
          <w:r>
            <w:rPr>
              <w:rStyle w:val="4"/>
              <w:rFonts w:hint="eastAsia"/>
            </w:rPr>
            <w:t>　</w:t>
          </w:r>
        </w:p>
      </w:docPartBody>
    </w:docPart>
    <w:docPart>
      <w:docPartPr>
        <w:name w:val="4B7AAD01F2EE4E8BA0AE36C8CD50A7C8"/>
        <w:style w:val=""/>
        <w:category>
          <w:name w:val="常规"/>
          <w:gallery w:val="placeholder"/>
        </w:category>
        <w:types>
          <w:type w:val="bbPlcHdr"/>
        </w:types>
        <w:behaviors>
          <w:behavior w:val="content"/>
        </w:behaviors>
        <w:description w:val=""/>
        <w:guid w:val="{9CD421B4-B8D3-46BE-9E71-CCA0A1C80C15}"/>
      </w:docPartPr>
      <w:docPartBody>
        <w:p w14:paraId="0BE3579D">
          <w:pPr>
            <w:pStyle w:val="10"/>
            <w:rPr>
              <w:rFonts w:hint="eastAsia"/>
            </w:rPr>
          </w:pPr>
          <w:r>
            <w:rPr>
              <w:rStyle w:val="4"/>
              <w:rFonts w:hint="eastAsia"/>
            </w:rPr>
            <w:t>　</w:t>
          </w:r>
        </w:p>
      </w:docPartBody>
    </w:docPart>
    <w:docPart>
      <w:docPartPr>
        <w:name w:val="1F89E5A0F97D4DC3802BD059C5604955"/>
        <w:style w:val=""/>
        <w:category>
          <w:name w:val="常规"/>
          <w:gallery w:val="placeholder"/>
        </w:category>
        <w:types>
          <w:type w:val="bbPlcHdr"/>
        </w:types>
        <w:behaviors>
          <w:behavior w:val="content"/>
        </w:behaviors>
        <w:description w:val=""/>
        <w:guid w:val="{72918DE9-224D-40A5-8FA7-BF9A9FFA33B2}"/>
      </w:docPartPr>
      <w:docPartBody>
        <w:p w14:paraId="24F3EF19">
          <w:pPr>
            <w:pStyle w:val="12"/>
            <w:rPr>
              <w:rFonts w:hint="eastAsia"/>
            </w:rPr>
          </w:pPr>
          <w:r>
            <w:rPr>
              <w:rStyle w:val="4"/>
              <w:rFonts w:hint="eastAsia"/>
            </w:rPr>
            <w:t>　</w:t>
          </w:r>
        </w:p>
      </w:docPartBody>
    </w:docPart>
    <w:docPart>
      <w:docPartPr>
        <w:name w:val="6FAD5F36EA304B9CA35061AC310EA480"/>
        <w:style w:val=""/>
        <w:category>
          <w:name w:val="常规"/>
          <w:gallery w:val="placeholder"/>
        </w:category>
        <w:types>
          <w:type w:val="bbPlcHdr"/>
        </w:types>
        <w:behaviors>
          <w:behavior w:val="content"/>
        </w:behaviors>
        <w:description w:val=""/>
        <w:guid w:val="{D3ECF6B6-8AE3-4FA4-97D9-3C06901FD4C9}"/>
      </w:docPartPr>
      <w:docPartBody>
        <w:p w14:paraId="23DDB9BD">
          <w:pPr>
            <w:pStyle w:val="16"/>
            <w:rPr>
              <w:rFonts w:hint="eastAsia"/>
            </w:rPr>
          </w:pPr>
          <w:r>
            <w:rPr>
              <w:rStyle w:val="4"/>
              <w:rFonts w:hint="eastAsia"/>
              <w:color w:val="333399"/>
              <w:u w:val="single"/>
            </w:rPr>
            <w:t>　　　</w:t>
          </w:r>
        </w:p>
      </w:docPartBody>
    </w:docPart>
    <w:docPart>
      <w:docPartPr>
        <w:name w:val="F927A263154F4254987FDCDABBD41E6C"/>
        <w:style w:val=""/>
        <w:category>
          <w:name w:val="常规"/>
          <w:gallery w:val="placeholder"/>
        </w:category>
        <w:types>
          <w:type w:val="bbPlcHdr"/>
        </w:types>
        <w:behaviors>
          <w:behavior w:val="content"/>
        </w:behaviors>
        <w:description w:val=""/>
        <w:guid w:val="{8F08EE42-A854-4882-B929-C405111F1B80}"/>
      </w:docPartPr>
      <w:docPartBody>
        <w:p w14:paraId="696A2A14">
          <w:pPr>
            <w:pStyle w:val="13"/>
            <w:rPr>
              <w:rFonts w:hint="eastAsia"/>
            </w:rPr>
          </w:pPr>
          <w:r>
            <w:rPr>
              <w:rStyle w:val="4"/>
              <w:rFonts w:hint="eastAsia"/>
              <w:color w:val="333399"/>
              <w:u w:val="single"/>
            </w:rPr>
            <w:t>　　　</w:t>
          </w:r>
        </w:p>
      </w:docPartBody>
    </w:docPart>
    <w:docPart>
      <w:docPartPr>
        <w:name w:val="975213E0C4AD457DAC730034EB07B110"/>
        <w:style w:val=""/>
        <w:category>
          <w:name w:val="常规"/>
          <w:gallery w:val="placeholder"/>
        </w:category>
        <w:types>
          <w:type w:val="bbPlcHdr"/>
        </w:types>
        <w:behaviors>
          <w:behavior w:val="content"/>
        </w:behaviors>
        <w:description w:val=""/>
        <w:guid w:val="{0DE3D104-E8EF-4D14-A910-0BCC10233436}"/>
      </w:docPartPr>
      <w:docPartBody>
        <w:p w14:paraId="6E5C32DE">
          <w:pPr>
            <w:pStyle w:val="14"/>
            <w:rPr>
              <w:rFonts w:hint="eastAsia"/>
            </w:rPr>
          </w:pPr>
          <w:r>
            <w:rPr>
              <w:rStyle w:val="4"/>
              <w:rFonts w:hint="eastAsia"/>
              <w:color w:val="333399"/>
              <w:u w:val="single"/>
            </w:rPr>
            <w:t>　　　</w:t>
          </w:r>
        </w:p>
      </w:docPartBody>
    </w:docPart>
    <w:docPart>
      <w:docPartPr>
        <w:name w:val="50FD4D273E9742A39E360C3E87EE7763"/>
        <w:style w:val=""/>
        <w:category>
          <w:name w:val="常规"/>
          <w:gallery w:val="placeholder"/>
        </w:category>
        <w:types>
          <w:type w:val="bbPlcHdr"/>
        </w:types>
        <w:behaviors>
          <w:behavior w:val="content"/>
        </w:behaviors>
        <w:description w:val=""/>
        <w:guid w:val="{4B65A238-AE04-4CBF-90E1-A6C2BB78E430}"/>
      </w:docPartPr>
      <w:docPartBody>
        <w:p w14:paraId="7509D7D8">
          <w:pPr>
            <w:pStyle w:val="15"/>
            <w:rPr>
              <w:rFonts w:hint="eastAsia"/>
            </w:rPr>
          </w:pPr>
          <w:r>
            <w:rPr>
              <w:rStyle w:val="4"/>
              <w:rFonts w:hint="eastAsia"/>
              <w:color w:val="333399"/>
              <w:u w:val="single"/>
            </w:rPr>
            <w:t>　　　</w:t>
          </w:r>
        </w:p>
      </w:docPartBody>
    </w:docPart>
    <w:docPart>
      <w:docPartPr>
        <w:name w:val="EB2D8C1E657A403EBB1629AE3A09C481"/>
        <w:style w:val=""/>
        <w:category>
          <w:name w:val="常规"/>
          <w:gallery w:val="placeholder"/>
        </w:category>
        <w:types>
          <w:type w:val="bbPlcHdr"/>
        </w:types>
        <w:behaviors>
          <w:behavior w:val="content"/>
        </w:behaviors>
        <w:description w:val=""/>
        <w:guid w:val="{FE9466B9-9964-4876-91B4-F3FDF3477043}"/>
      </w:docPartPr>
      <w:docPartBody>
        <w:p w14:paraId="623AA288">
          <w:pPr>
            <w:pStyle w:val="17"/>
            <w:rPr>
              <w:rFonts w:hint="eastAsia"/>
            </w:rPr>
          </w:pPr>
          <w:r>
            <w:rPr>
              <w:rStyle w:val="4"/>
              <w:rFonts w:hint="eastAsia"/>
              <w:color w:val="333399"/>
              <w:u w:val="single"/>
            </w:rPr>
            <w:t>　　　</w:t>
          </w:r>
        </w:p>
      </w:docPartBody>
    </w:docPart>
    <w:docPart>
      <w:docPartPr>
        <w:name w:val="CE5EB41D84F548AC9469F484434E6B87"/>
        <w:style w:val=""/>
        <w:category>
          <w:name w:val="常规"/>
          <w:gallery w:val="placeholder"/>
        </w:category>
        <w:types>
          <w:type w:val="bbPlcHdr"/>
        </w:types>
        <w:behaviors>
          <w:behavior w:val="content"/>
        </w:behaviors>
        <w:description w:val=""/>
        <w:guid w:val="{A2732DC1-D223-43B5-A589-D81BC430D78C}"/>
      </w:docPartPr>
      <w:docPartBody>
        <w:p w14:paraId="1894C895">
          <w:pPr>
            <w:pStyle w:val="18"/>
            <w:rPr>
              <w:rFonts w:hint="eastAsia"/>
            </w:rPr>
          </w:pPr>
          <w:r>
            <w:rPr>
              <w:rStyle w:val="4"/>
              <w:rFonts w:hint="eastAsia"/>
              <w:color w:val="333399"/>
              <w:u w:val="single"/>
            </w:rPr>
            <w:t>　　　</w:t>
          </w:r>
        </w:p>
      </w:docPartBody>
    </w:docPart>
    <w:docPart>
      <w:docPartPr>
        <w:name w:val="A44F1F400D154154B95CE5AAC3E9C855"/>
        <w:style w:val=""/>
        <w:category>
          <w:name w:val="常规"/>
          <w:gallery w:val="placeholder"/>
        </w:category>
        <w:types>
          <w:type w:val="bbPlcHdr"/>
        </w:types>
        <w:behaviors>
          <w:behavior w:val="content"/>
        </w:behaviors>
        <w:description w:val=""/>
        <w:guid w:val="{91680D4B-1852-47A0-8631-81D9F3022F5E}"/>
      </w:docPartPr>
      <w:docPartBody>
        <w:p w14:paraId="658C6E99">
          <w:pPr>
            <w:pStyle w:val="6"/>
            <w:rPr>
              <w:rFonts w:hint="eastAsia"/>
            </w:rPr>
          </w:pPr>
          <w:r>
            <w:rPr>
              <w:rStyle w:val="4"/>
              <w:rFonts w:hint="eastAsia"/>
              <w:color w:val="333399"/>
              <w:u w:val="single"/>
            </w:rPr>
            <w:t>　　　</w:t>
          </w:r>
        </w:p>
      </w:docPartBody>
    </w:docPart>
    <w:docPart>
      <w:docPartPr>
        <w:name w:val="800A941C143C4EBD80E079FFE8E99627"/>
        <w:style w:val=""/>
        <w:category>
          <w:name w:val="常规"/>
          <w:gallery w:val="placeholder"/>
        </w:category>
        <w:types>
          <w:type w:val="bbPlcHdr"/>
        </w:types>
        <w:behaviors>
          <w:behavior w:val="content"/>
        </w:behaviors>
        <w:description w:val=""/>
        <w:guid w:val="{539EDB81-F3A3-494D-9864-3FB76D11E5E7}"/>
      </w:docPartPr>
      <w:docPartBody>
        <w:p w14:paraId="000D04E7">
          <w:pPr>
            <w:pStyle w:val="19"/>
            <w:rPr>
              <w:rFonts w:hint="eastAsia"/>
            </w:rPr>
          </w:pPr>
          <w:r>
            <w:rPr>
              <w:rStyle w:val="4"/>
              <w:rFonts w:hint="eastAsia"/>
              <w:color w:val="333399"/>
              <w:u w:val="single"/>
            </w:rPr>
            <w:t>　　　</w:t>
          </w:r>
        </w:p>
      </w:docPartBody>
    </w:docPart>
    <w:docPart>
      <w:docPartPr>
        <w:name w:val="2F54D5535795434CBDF40144FF32E477"/>
        <w:style w:val=""/>
        <w:category>
          <w:name w:val="常规"/>
          <w:gallery w:val="placeholder"/>
        </w:category>
        <w:types>
          <w:type w:val="bbPlcHdr"/>
        </w:types>
        <w:behaviors>
          <w:behavior w:val="content"/>
        </w:behaviors>
        <w:description w:val=""/>
        <w:guid w:val="{E71164BF-3B00-423C-932E-9A1A7F3E93BA}"/>
      </w:docPartPr>
      <w:docPartBody>
        <w:p w14:paraId="4CCB06A0">
          <w:pPr>
            <w:pStyle w:val="20"/>
            <w:rPr>
              <w:rFonts w:hint="eastAsia"/>
            </w:rPr>
          </w:pPr>
          <w:r>
            <w:rPr>
              <w:rStyle w:val="4"/>
              <w:rFonts w:hint="eastAsia"/>
              <w:color w:val="333399"/>
              <w:u w:val="single"/>
            </w:rPr>
            <w:t>　　　</w:t>
          </w:r>
        </w:p>
      </w:docPartBody>
    </w:docPart>
    <w:docPart>
      <w:docPartPr>
        <w:name w:val="09143891E2BE408F8EA7F597FEC3CC54"/>
        <w:style w:val=""/>
        <w:category>
          <w:name w:val="常规"/>
          <w:gallery w:val="placeholder"/>
        </w:category>
        <w:types>
          <w:type w:val="bbPlcHdr"/>
        </w:types>
        <w:behaviors>
          <w:behavior w:val="content"/>
        </w:behaviors>
        <w:description w:val=""/>
        <w:guid w:val="{855EE649-6EFB-4550-8541-32A01C37AA99}"/>
      </w:docPartPr>
      <w:docPartBody>
        <w:p w14:paraId="104603E7">
          <w:pPr>
            <w:pStyle w:val="21"/>
            <w:rPr>
              <w:rFonts w:hint="eastAsia"/>
            </w:rPr>
          </w:pPr>
          <w:r>
            <w:rPr>
              <w:rStyle w:val="4"/>
              <w:rFonts w:hint="eastAsia"/>
            </w:rPr>
            <w:t>　</w:t>
          </w:r>
        </w:p>
      </w:docPartBody>
    </w:docPart>
    <w:docPart>
      <w:docPartPr>
        <w:name w:val="99E0C20BE92747AF954F7D9DBBB114A3"/>
        <w:style w:val=""/>
        <w:category>
          <w:name w:val="常规"/>
          <w:gallery w:val="placeholder"/>
        </w:category>
        <w:types>
          <w:type w:val="bbPlcHdr"/>
        </w:types>
        <w:behaviors>
          <w:behavior w:val="content"/>
        </w:behaviors>
        <w:description w:val=""/>
        <w:guid w:val="{AB2DCBAE-430B-4356-9682-C45696E951A4}"/>
      </w:docPartPr>
      <w:docPartBody>
        <w:p w14:paraId="50AE24A4">
          <w:pPr>
            <w:pStyle w:val="22"/>
            <w:rPr>
              <w:rFonts w:hint="eastAsia"/>
            </w:rPr>
          </w:pPr>
          <w:r>
            <w:rPr>
              <w:rStyle w:val="4"/>
              <w:rFonts w:hint="eastAsia"/>
              <w:color w:val="333399"/>
              <w:u w:val="single"/>
            </w:rPr>
            <w:t>　　　</w:t>
          </w:r>
        </w:p>
      </w:docPartBody>
    </w:docPart>
    <w:docPart>
      <w:docPartPr>
        <w:name w:val="0D88037EBF314D59B9CF9DFA47DA0E0A"/>
        <w:style w:val=""/>
        <w:category>
          <w:name w:val="常规"/>
          <w:gallery w:val="placeholder"/>
        </w:category>
        <w:types>
          <w:type w:val="bbPlcHdr"/>
        </w:types>
        <w:behaviors>
          <w:behavior w:val="content"/>
        </w:behaviors>
        <w:description w:val=""/>
        <w:guid w:val="{F30981C4-0A88-4B54-B8F0-B692F614BDC4}"/>
      </w:docPartPr>
      <w:docPartBody>
        <w:p w14:paraId="4A48AD99">
          <w:pPr>
            <w:pStyle w:val="23"/>
            <w:rPr>
              <w:rFonts w:hint="eastAsia"/>
            </w:rPr>
          </w:pPr>
          <w:r>
            <w:rPr>
              <w:rStyle w:val="4"/>
              <w:rFonts w:hint="eastAsia"/>
              <w:color w:val="333399"/>
              <w:u w:val="single"/>
            </w:rPr>
            <w:t>　　　</w:t>
          </w:r>
        </w:p>
      </w:docPartBody>
    </w:docPart>
    <w:docPart>
      <w:docPartPr>
        <w:name w:val="B2673E0ED77A430F9B8C95FD00D95C16"/>
        <w:style w:val=""/>
        <w:category>
          <w:name w:val="常规"/>
          <w:gallery w:val="placeholder"/>
        </w:category>
        <w:types>
          <w:type w:val="bbPlcHdr"/>
        </w:types>
        <w:behaviors>
          <w:behavior w:val="content"/>
        </w:behaviors>
        <w:description w:val=""/>
        <w:guid w:val="{301E527E-38CD-4B13-924E-C1814512DA71}"/>
      </w:docPartPr>
      <w:docPartBody>
        <w:p w14:paraId="08E4C750">
          <w:pPr>
            <w:pStyle w:val="24"/>
            <w:rPr>
              <w:rFonts w:hint="eastAsia"/>
            </w:rPr>
          </w:pPr>
          <w:r>
            <w:rPr>
              <w:rStyle w:val="4"/>
              <w:rFonts w:hint="eastAsia"/>
              <w:color w:val="333399"/>
              <w:u w:val="single"/>
            </w:rPr>
            <w:t>　　　</w:t>
          </w:r>
        </w:p>
      </w:docPartBody>
    </w:docPart>
    <w:docPart>
      <w:docPartPr>
        <w:name w:val="EE18C971995A4A3A82F9B8FBF85A38C8"/>
        <w:style w:val=""/>
        <w:category>
          <w:name w:val="常规"/>
          <w:gallery w:val="placeholder"/>
        </w:category>
        <w:types>
          <w:type w:val="bbPlcHdr"/>
        </w:types>
        <w:behaviors>
          <w:behavior w:val="content"/>
        </w:behaviors>
        <w:description w:val=""/>
        <w:guid w:val="{85EF5492-E2FF-4A97-8641-2F2D786E5DF6}"/>
      </w:docPartPr>
      <w:docPartBody>
        <w:p w14:paraId="16CFBDEF">
          <w:pPr>
            <w:pStyle w:val="11"/>
            <w:rPr>
              <w:rFonts w:hint="eastAsia"/>
            </w:rPr>
          </w:pPr>
          <w:r>
            <w:rPr>
              <w:rStyle w:val="4"/>
              <w:rFonts w:hint="eastAsia"/>
              <w:color w:val="333399"/>
              <w:u w:val="single"/>
            </w:rPr>
            <w:t>　　　</w:t>
          </w:r>
        </w:p>
      </w:docPartBody>
    </w:docPart>
    <w:docPart>
      <w:docPartPr>
        <w:name w:val="D54B4F1F8E754B1FA4DBA2900AD39AAB"/>
        <w:style w:val=""/>
        <w:category>
          <w:name w:val="常规"/>
          <w:gallery w:val="placeholder"/>
        </w:category>
        <w:types>
          <w:type w:val="bbPlcHdr"/>
        </w:types>
        <w:behaviors>
          <w:behavior w:val="content"/>
        </w:behaviors>
        <w:description w:val=""/>
        <w:guid w:val="{FB9F5962-15CF-4889-8C58-8B78AF7828BA}"/>
      </w:docPartPr>
      <w:docPartBody>
        <w:p w14:paraId="755C5C41">
          <w:pPr>
            <w:pStyle w:val="25"/>
            <w:rPr>
              <w:rFonts w:hint="eastAsia"/>
            </w:rPr>
          </w:pPr>
          <w:r>
            <w:rPr>
              <w:rStyle w:val="4"/>
              <w:rFonts w:hint="eastAsia"/>
              <w:color w:val="333399"/>
              <w:u w:val="single"/>
            </w:rPr>
            <w:t>　　　</w:t>
          </w:r>
        </w:p>
      </w:docPartBody>
    </w:docPart>
    <w:docPart>
      <w:docPartPr>
        <w:name w:val="17B36559071A41B3A85372836F1A5813"/>
        <w:style w:val=""/>
        <w:category>
          <w:name w:val="常规"/>
          <w:gallery w:val="placeholder"/>
        </w:category>
        <w:types>
          <w:type w:val="bbPlcHdr"/>
        </w:types>
        <w:behaviors>
          <w:behavior w:val="content"/>
        </w:behaviors>
        <w:description w:val=""/>
        <w:guid w:val="{35F909EF-2CC6-4996-A947-C11D7C690D4D}"/>
      </w:docPartPr>
      <w:docPartBody>
        <w:p w14:paraId="5A22921C">
          <w:pPr>
            <w:pStyle w:val="26"/>
            <w:rPr>
              <w:rFonts w:hint="eastAsia"/>
            </w:rPr>
          </w:pPr>
          <w:r>
            <w:rPr>
              <w:rStyle w:val="4"/>
              <w:rFonts w:hint="eastAsia"/>
              <w:color w:val="333399"/>
              <w:u w:val="single"/>
            </w:rPr>
            <w:t>　　　</w:t>
          </w:r>
        </w:p>
      </w:docPartBody>
    </w:docPart>
    <w:docPart>
      <w:docPartPr>
        <w:name w:val="038C13919FCE498E8AD3036FD0F6A352"/>
        <w:style w:val=""/>
        <w:category>
          <w:name w:val="常规"/>
          <w:gallery w:val="placeholder"/>
        </w:category>
        <w:types>
          <w:type w:val="bbPlcHdr"/>
        </w:types>
        <w:behaviors>
          <w:behavior w:val="content"/>
        </w:behaviors>
        <w:description w:val=""/>
        <w:guid w:val="{CB7CCC3E-F038-4B04-9CAE-CF84283C9201}"/>
      </w:docPartPr>
      <w:docPartBody>
        <w:p w14:paraId="1DC5A95B">
          <w:pPr>
            <w:pStyle w:val="27"/>
            <w:rPr>
              <w:rFonts w:hint="eastAsia"/>
            </w:rPr>
          </w:pPr>
          <w:r>
            <w:rPr>
              <w:rStyle w:val="4"/>
              <w:rFonts w:hint="eastAsia"/>
            </w:rPr>
            <w:t>　</w:t>
          </w:r>
        </w:p>
      </w:docPartBody>
    </w:docPart>
    <w:docPart>
      <w:docPartPr>
        <w:name w:val="1FF75262F8BC4476ADA784BA190CC899"/>
        <w:style w:val=""/>
        <w:category>
          <w:name w:val="常规"/>
          <w:gallery w:val="placeholder"/>
        </w:category>
        <w:types>
          <w:type w:val="bbPlcHdr"/>
        </w:types>
        <w:behaviors>
          <w:behavior w:val="content"/>
        </w:behaviors>
        <w:description w:val=""/>
        <w:guid w:val="{3320D7D5-83A7-4D4E-8481-884E947A3BBB}"/>
      </w:docPartPr>
      <w:docPartBody>
        <w:p w14:paraId="01930729">
          <w:pPr>
            <w:pStyle w:val="28"/>
            <w:rPr>
              <w:rFonts w:hint="eastAsia"/>
            </w:rPr>
          </w:pPr>
          <w:r>
            <w:rPr>
              <w:rStyle w:val="4"/>
              <w:rFonts w:hint="eastAsia"/>
            </w:rPr>
            <w:t>　</w:t>
          </w:r>
        </w:p>
      </w:docPartBody>
    </w:docPart>
    <w:docPart>
      <w:docPartPr>
        <w:name w:val="81BF30C7453646408418514C553B6FEB"/>
        <w:style w:val=""/>
        <w:category>
          <w:name w:val="常规"/>
          <w:gallery w:val="placeholder"/>
        </w:category>
        <w:types>
          <w:type w:val="bbPlcHdr"/>
        </w:types>
        <w:behaviors>
          <w:behavior w:val="content"/>
        </w:behaviors>
        <w:description w:val=""/>
        <w:guid w:val="{D67721F4-54A4-4992-A5A1-31B3C4E6174B}"/>
      </w:docPartPr>
      <w:docPartBody>
        <w:p w14:paraId="4AA699A3">
          <w:pPr>
            <w:pStyle w:val="29"/>
            <w:rPr>
              <w:rFonts w:hint="eastAsia"/>
            </w:rPr>
          </w:pPr>
          <w:r>
            <w:rPr>
              <w:rStyle w:val="4"/>
              <w:rFonts w:hint="eastAsia"/>
              <w:color w:val="333399"/>
              <w:u w:val="single"/>
            </w:rPr>
            <w:t>　　　</w:t>
          </w:r>
        </w:p>
      </w:docPartBody>
    </w:docPart>
    <w:docPart>
      <w:docPartPr>
        <w:name w:val="FE5A1CDAD92E40F38C13C18CCD7942B0"/>
        <w:style w:val=""/>
        <w:category>
          <w:name w:val="常规"/>
          <w:gallery w:val="placeholder"/>
        </w:category>
        <w:types>
          <w:type w:val="bbPlcHdr"/>
        </w:types>
        <w:behaviors>
          <w:behavior w:val="content"/>
        </w:behaviors>
        <w:description w:val=""/>
        <w:guid w:val="{0E0C0BF7-8950-4FE4-A22A-80A24AE2EB0E}"/>
      </w:docPartPr>
      <w:docPartBody>
        <w:p w14:paraId="3DA19633">
          <w:pPr>
            <w:pStyle w:val="30"/>
            <w:rPr>
              <w:rFonts w:hint="eastAsia"/>
            </w:rPr>
          </w:pPr>
          <w:r>
            <w:rPr>
              <w:rStyle w:val="4"/>
              <w:rFonts w:hint="eastAsia"/>
            </w:rPr>
            <w:t>　</w:t>
          </w:r>
        </w:p>
      </w:docPartBody>
    </w:docPart>
    <w:docPart>
      <w:docPartPr>
        <w:name w:val="DF3C463E39684AE0860A02C8F71BDF50"/>
        <w:style w:val=""/>
        <w:category>
          <w:name w:val="常规"/>
          <w:gallery w:val="placeholder"/>
        </w:category>
        <w:types>
          <w:type w:val="bbPlcHdr"/>
        </w:types>
        <w:behaviors>
          <w:behavior w:val="content"/>
        </w:behaviors>
        <w:description w:val=""/>
        <w:guid w:val="{FCC106F4-5EAE-4737-B855-35BAA97B1A56}"/>
      </w:docPartPr>
      <w:docPartBody>
        <w:p w14:paraId="02B1ED35">
          <w:pPr>
            <w:pStyle w:val="31"/>
            <w:rPr>
              <w:rFonts w:hint="eastAsia"/>
            </w:rPr>
          </w:pPr>
          <w:r>
            <w:rPr>
              <w:rStyle w:val="4"/>
              <w:rFonts w:hint="eastAsia"/>
              <w:color w:val="333399"/>
              <w:u w:val="single"/>
            </w:rPr>
            <w:t>　　　</w:t>
          </w:r>
        </w:p>
      </w:docPartBody>
    </w:docPart>
    <w:docPart>
      <w:docPartPr>
        <w:name w:val="28E584A71ACD45209FE1731CCE5A82AF"/>
        <w:style w:val=""/>
        <w:category>
          <w:name w:val="常规"/>
          <w:gallery w:val="placeholder"/>
        </w:category>
        <w:types>
          <w:type w:val="bbPlcHdr"/>
        </w:types>
        <w:behaviors>
          <w:behavior w:val="content"/>
        </w:behaviors>
        <w:description w:val=""/>
        <w:guid w:val="{4667479D-12C3-4F52-B305-FA8185108CFC}"/>
      </w:docPartPr>
      <w:docPartBody>
        <w:p w14:paraId="678F211B">
          <w:pPr>
            <w:pStyle w:val="32"/>
            <w:rPr>
              <w:rFonts w:hint="eastAsia"/>
            </w:rPr>
          </w:pPr>
          <w:r>
            <w:rPr>
              <w:rStyle w:val="4"/>
              <w:rFonts w:hint="eastAsia"/>
              <w:color w:val="333399"/>
              <w:u w:val="single"/>
            </w:rPr>
            <w:t>　　　</w:t>
          </w:r>
        </w:p>
      </w:docPartBody>
    </w:docPart>
    <w:docPart>
      <w:docPartPr>
        <w:name w:val="622D94878E3B4679AB658FA0598BD4F0"/>
        <w:style w:val=""/>
        <w:category>
          <w:name w:val="常规"/>
          <w:gallery w:val="placeholder"/>
        </w:category>
        <w:types>
          <w:type w:val="bbPlcHdr"/>
        </w:types>
        <w:behaviors>
          <w:behavior w:val="content"/>
        </w:behaviors>
        <w:description w:val=""/>
        <w:guid w:val="{366AEDE7-23F5-48D8-A1F4-1FA8D64E27B9}"/>
      </w:docPartPr>
      <w:docPartBody>
        <w:p w14:paraId="7D0390BC">
          <w:pPr>
            <w:pStyle w:val="33"/>
            <w:rPr>
              <w:rFonts w:hint="eastAsia"/>
            </w:rPr>
          </w:pPr>
          <w:r>
            <w:rPr>
              <w:rStyle w:val="4"/>
              <w:rFonts w:hint="eastAsia"/>
              <w:color w:val="333399"/>
              <w:u w:val="single"/>
            </w:rPr>
            <w:t>　　　</w:t>
          </w:r>
        </w:p>
      </w:docPartBody>
    </w:docPart>
    <w:docPart>
      <w:docPartPr>
        <w:name w:val="198A7340AE7E4C0D9B1D11C7E62EB5A9"/>
        <w:style w:val=""/>
        <w:category>
          <w:name w:val="常规"/>
          <w:gallery w:val="placeholder"/>
        </w:category>
        <w:types>
          <w:type w:val="bbPlcHdr"/>
        </w:types>
        <w:behaviors>
          <w:behavior w:val="content"/>
        </w:behaviors>
        <w:description w:val=""/>
        <w:guid w:val="{CE8BA4C1-53F1-475E-B4C1-43B27B66DDED}"/>
      </w:docPartPr>
      <w:docPartBody>
        <w:p w14:paraId="5F32492E">
          <w:pPr>
            <w:pStyle w:val="34"/>
            <w:rPr>
              <w:rFonts w:hint="eastAsia"/>
            </w:rPr>
          </w:pPr>
          <w:r>
            <w:rPr>
              <w:rStyle w:val="4"/>
              <w:rFonts w:hint="eastAsia"/>
            </w:rPr>
            <w:t>　</w:t>
          </w:r>
        </w:p>
      </w:docPartBody>
    </w:docPart>
    <w:docPart>
      <w:docPartPr>
        <w:name w:val="3895F3F8C3AA429CA12CD4245FADFC18"/>
        <w:style w:val=""/>
        <w:category>
          <w:name w:val="常规"/>
          <w:gallery w:val="placeholder"/>
        </w:category>
        <w:types>
          <w:type w:val="bbPlcHdr"/>
        </w:types>
        <w:behaviors>
          <w:behavior w:val="content"/>
        </w:behaviors>
        <w:description w:val=""/>
        <w:guid w:val="{461EDDDB-FC18-47A8-9E84-41025810BC03}"/>
      </w:docPartPr>
      <w:docPartBody>
        <w:p w14:paraId="5E002A17">
          <w:pPr>
            <w:pStyle w:val="35"/>
            <w:rPr>
              <w:rFonts w:hint="eastAsia"/>
            </w:rPr>
          </w:pPr>
          <w:r>
            <w:rPr>
              <w:rStyle w:val="4"/>
              <w:rFonts w:hint="eastAsia"/>
            </w:rPr>
            <w:t>单击或点击此处输入文字。</w:t>
          </w:r>
        </w:p>
      </w:docPartBody>
    </w:docPart>
    <w:docPart>
      <w:docPartPr>
        <w:name w:val="B7855E0CEA8D46BE91546A31CD5AE4A5"/>
        <w:style w:val=""/>
        <w:category>
          <w:name w:val="常规"/>
          <w:gallery w:val="placeholder"/>
        </w:category>
        <w:types>
          <w:type w:val="bbPlcHdr"/>
        </w:types>
        <w:behaviors>
          <w:behavior w:val="content"/>
        </w:behaviors>
        <w:description w:val=""/>
        <w:guid w:val="{6344AC14-8AF8-46AF-A17E-6FDADEDB5362}"/>
      </w:docPartPr>
      <w:docPartBody>
        <w:p w14:paraId="0C2A06BB">
          <w:pPr>
            <w:pStyle w:val="36"/>
            <w:rPr>
              <w:rFonts w:hint="eastAsia"/>
            </w:rPr>
          </w:pPr>
          <w:r>
            <w:rPr>
              <w:rStyle w:val="4"/>
              <w:rFonts w:hint="eastAsia"/>
            </w:rPr>
            <w:t>　</w:t>
          </w:r>
        </w:p>
      </w:docPartBody>
    </w:docPart>
    <w:docPart>
      <w:docPartPr>
        <w:name w:val="683AC76003DF4D9F89E40EC27634BA56"/>
        <w:style w:val=""/>
        <w:category>
          <w:name w:val="常规"/>
          <w:gallery w:val="placeholder"/>
        </w:category>
        <w:types>
          <w:type w:val="bbPlcHdr"/>
        </w:types>
        <w:behaviors>
          <w:behavior w:val="content"/>
        </w:behaviors>
        <w:description w:val=""/>
        <w:guid w:val="{A7E47B34-2428-458A-A68B-EFB97B4C6128}"/>
      </w:docPartPr>
      <w:docPartBody>
        <w:p w14:paraId="0A61A520">
          <w:pPr>
            <w:pStyle w:val="37"/>
            <w:rPr>
              <w:rFonts w:hint="eastAsia"/>
            </w:rPr>
          </w:pPr>
          <w:r>
            <w:rPr>
              <w:rStyle w:val="4"/>
              <w:rFonts w:hint="eastAsia"/>
            </w:rPr>
            <w:t>　</w:t>
          </w:r>
        </w:p>
      </w:docPartBody>
    </w:docPart>
    <w:docPart>
      <w:docPartPr>
        <w:name w:val="6F49AB039B644092B81367CAB677510F"/>
        <w:style w:val=""/>
        <w:category>
          <w:name w:val="常规"/>
          <w:gallery w:val="placeholder"/>
        </w:category>
        <w:types>
          <w:type w:val="bbPlcHdr"/>
        </w:types>
        <w:behaviors>
          <w:behavior w:val="content"/>
        </w:behaviors>
        <w:description w:val=""/>
        <w:guid w:val="{2EDBC558-42A2-439E-AA0B-3ED4377FBF7A}"/>
      </w:docPartPr>
      <w:docPartBody>
        <w:p w14:paraId="4D8C6447">
          <w:pPr>
            <w:pStyle w:val="38"/>
            <w:rPr>
              <w:rFonts w:hint="eastAsia"/>
            </w:rPr>
          </w:pPr>
          <w:r>
            <w:rPr>
              <w:rStyle w:val="4"/>
              <w:rFonts w:hint="eastAsia"/>
              <w:color w:val="333399"/>
              <w:u w:val="single"/>
            </w:rPr>
            <w:t>　　　</w:t>
          </w:r>
        </w:p>
      </w:docPartBody>
    </w:docPart>
    <w:docPart>
      <w:docPartPr>
        <w:name w:val="1936DB4E3FF344D09964060C78AF357C"/>
        <w:style w:val=""/>
        <w:category>
          <w:name w:val="常规"/>
          <w:gallery w:val="placeholder"/>
        </w:category>
        <w:types>
          <w:type w:val="bbPlcHdr"/>
        </w:types>
        <w:behaviors>
          <w:behavior w:val="content"/>
        </w:behaviors>
        <w:description w:val=""/>
        <w:guid w:val="{15D10AD4-CADB-4786-B8D5-21D37BDF71D1}"/>
      </w:docPartPr>
      <w:docPartBody>
        <w:p w14:paraId="6C0E27D4">
          <w:pPr>
            <w:pStyle w:val="39"/>
            <w:rPr>
              <w:rFonts w:hint="eastAsia"/>
            </w:rPr>
          </w:pPr>
          <w:r>
            <w:rPr>
              <w:rStyle w:val="4"/>
              <w:rFonts w:hint="eastAsia"/>
            </w:rPr>
            <w:t>　</w:t>
          </w:r>
        </w:p>
      </w:docPartBody>
    </w:docPart>
    <w:docPart>
      <w:docPartPr>
        <w:name w:val="DA610EB632BB40088A8A53CE733F3235"/>
        <w:style w:val=""/>
        <w:category>
          <w:name w:val="常规"/>
          <w:gallery w:val="placeholder"/>
        </w:category>
        <w:types>
          <w:type w:val="bbPlcHdr"/>
        </w:types>
        <w:behaviors>
          <w:behavior w:val="content"/>
        </w:behaviors>
        <w:description w:val=""/>
        <w:guid w:val="{90CD05C7-BFA9-4FD8-BDC1-684AEE9D2D3B}"/>
      </w:docPartPr>
      <w:docPartBody>
        <w:p w14:paraId="552AF016">
          <w:pPr>
            <w:pStyle w:val="40"/>
            <w:rPr>
              <w:rFonts w:hint="eastAsia"/>
            </w:rPr>
          </w:pPr>
          <w:r>
            <w:rPr>
              <w:rStyle w:val="4"/>
              <w:rFonts w:hint="eastAsia"/>
              <w:color w:val="333399"/>
              <w:u w:val="single"/>
            </w:rPr>
            <w:t>　　　</w:t>
          </w:r>
        </w:p>
      </w:docPartBody>
    </w:docPart>
    <w:docPart>
      <w:docPartPr>
        <w:name w:val="0CC132D03074442B8EF34A5D9011BE90"/>
        <w:style w:val=""/>
        <w:category>
          <w:name w:val="常规"/>
          <w:gallery w:val="placeholder"/>
        </w:category>
        <w:types>
          <w:type w:val="bbPlcHdr"/>
        </w:types>
        <w:behaviors>
          <w:behavior w:val="content"/>
        </w:behaviors>
        <w:description w:val=""/>
        <w:guid w:val="{15AFBC93-11FB-4E7A-BEE0-E366578671BF}"/>
      </w:docPartPr>
      <w:docPartBody>
        <w:p w14:paraId="3C1AA91A">
          <w:pPr>
            <w:pStyle w:val="41"/>
            <w:rPr>
              <w:rFonts w:hint="eastAsia"/>
            </w:rPr>
          </w:pPr>
          <w:r>
            <w:rPr>
              <w:rStyle w:val="4"/>
              <w:rFonts w:hint="eastAsia"/>
              <w:color w:val="333399"/>
              <w:u w:val="single"/>
            </w:rPr>
            <w:t>　　　</w:t>
          </w:r>
        </w:p>
      </w:docPartBody>
    </w:docPart>
    <w:docPart>
      <w:docPartPr>
        <w:name w:val="83CFCC8A92C747AEA0BB6B4AEE97DB98"/>
        <w:style w:val=""/>
        <w:category>
          <w:name w:val="常规"/>
          <w:gallery w:val="placeholder"/>
        </w:category>
        <w:types>
          <w:type w:val="bbPlcHdr"/>
        </w:types>
        <w:behaviors>
          <w:behavior w:val="content"/>
        </w:behaviors>
        <w:description w:val=""/>
        <w:guid w:val="{4CBE12F0-A722-42D2-A454-F6930E57F809}"/>
      </w:docPartPr>
      <w:docPartBody>
        <w:p w14:paraId="32BE69BE">
          <w:pPr>
            <w:pStyle w:val="42"/>
            <w:rPr>
              <w:rFonts w:hint="eastAsia"/>
            </w:rPr>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EFB"/>
    <w:rsid w:val="00005983"/>
    <w:rsid w:val="00007801"/>
    <w:rsid w:val="000226EB"/>
    <w:rsid w:val="00034C4F"/>
    <w:rsid w:val="00037136"/>
    <w:rsid w:val="000556A5"/>
    <w:rsid w:val="000F2374"/>
    <w:rsid w:val="001029D2"/>
    <w:rsid w:val="0010324E"/>
    <w:rsid w:val="001201DF"/>
    <w:rsid w:val="00136DA6"/>
    <w:rsid w:val="0013744C"/>
    <w:rsid w:val="00137A25"/>
    <w:rsid w:val="0015354D"/>
    <w:rsid w:val="001642E9"/>
    <w:rsid w:val="001A15C5"/>
    <w:rsid w:val="001A4760"/>
    <w:rsid w:val="001D0BFA"/>
    <w:rsid w:val="001D58A3"/>
    <w:rsid w:val="001F7993"/>
    <w:rsid w:val="00204DA7"/>
    <w:rsid w:val="0021459B"/>
    <w:rsid w:val="00240B41"/>
    <w:rsid w:val="002725A0"/>
    <w:rsid w:val="00286160"/>
    <w:rsid w:val="002B3CC1"/>
    <w:rsid w:val="002C6505"/>
    <w:rsid w:val="00307E4E"/>
    <w:rsid w:val="0032752D"/>
    <w:rsid w:val="003301A0"/>
    <w:rsid w:val="003421EB"/>
    <w:rsid w:val="00345FD0"/>
    <w:rsid w:val="003514C3"/>
    <w:rsid w:val="00365E95"/>
    <w:rsid w:val="00372446"/>
    <w:rsid w:val="003735D3"/>
    <w:rsid w:val="003D0A57"/>
    <w:rsid w:val="003D2A16"/>
    <w:rsid w:val="003E70D8"/>
    <w:rsid w:val="003F366D"/>
    <w:rsid w:val="00424BA2"/>
    <w:rsid w:val="00456954"/>
    <w:rsid w:val="004A416C"/>
    <w:rsid w:val="004D5ADB"/>
    <w:rsid w:val="004E3BB7"/>
    <w:rsid w:val="004E517C"/>
    <w:rsid w:val="004F3121"/>
    <w:rsid w:val="004F3C74"/>
    <w:rsid w:val="00501316"/>
    <w:rsid w:val="005262ED"/>
    <w:rsid w:val="0055136A"/>
    <w:rsid w:val="00553A6D"/>
    <w:rsid w:val="00565B33"/>
    <w:rsid w:val="005F6C82"/>
    <w:rsid w:val="00605D21"/>
    <w:rsid w:val="0063425B"/>
    <w:rsid w:val="00634FF9"/>
    <w:rsid w:val="00677843"/>
    <w:rsid w:val="006B13CB"/>
    <w:rsid w:val="006E7078"/>
    <w:rsid w:val="0075340F"/>
    <w:rsid w:val="00755F20"/>
    <w:rsid w:val="0077406A"/>
    <w:rsid w:val="00781786"/>
    <w:rsid w:val="007C7DC2"/>
    <w:rsid w:val="007C7F5D"/>
    <w:rsid w:val="007E22AB"/>
    <w:rsid w:val="008110B7"/>
    <w:rsid w:val="00863F69"/>
    <w:rsid w:val="008708EF"/>
    <w:rsid w:val="0088253E"/>
    <w:rsid w:val="008870A2"/>
    <w:rsid w:val="009053B3"/>
    <w:rsid w:val="00955849"/>
    <w:rsid w:val="00961B05"/>
    <w:rsid w:val="009826BB"/>
    <w:rsid w:val="009871E2"/>
    <w:rsid w:val="00992E78"/>
    <w:rsid w:val="009D3E2A"/>
    <w:rsid w:val="009E690C"/>
    <w:rsid w:val="009E79CA"/>
    <w:rsid w:val="009F2730"/>
    <w:rsid w:val="00A2523D"/>
    <w:rsid w:val="00A649F4"/>
    <w:rsid w:val="00A72643"/>
    <w:rsid w:val="00A84CA8"/>
    <w:rsid w:val="00A87049"/>
    <w:rsid w:val="00A95487"/>
    <w:rsid w:val="00A96C60"/>
    <w:rsid w:val="00AA2FE6"/>
    <w:rsid w:val="00AC66E5"/>
    <w:rsid w:val="00AC6F18"/>
    <w:rsid w:val="00B05DCE"/>
    <w:rsid w:val="00B32A1B"/>
    <w:rsid w:val="00B42EFB"/>
    <w:rsid w:val="00B639C6"/>
    <w:rsid w:val="00BA28B2"/>
    <w:rsid w:val="00C038C8"/>
    <w:rsid w:val="00C062E5"/>
    <w:rsid w:val="00C30BE8"/>
    <w:rsid w:val="00CA5603"/>
    <w:rsid w:val="00CA5D30"/>
    <w:rsid w:val="00CC4F67"/>
    <w:rsid w:val="00CD5AEC"/>
    <w:rsid w:val="00CE6FD5"/>
    <w:rsid w:val="00D10B1C"/>
    <w:rsid w:val="00D26625"/>
    <w:rsid w:val="00D310C5"/>
    <w:rsid w:val="00D425E3"/>
    <w:rsid w:val="00D522C2"/>
    <w:rsid w:val="00D61FC0"/>
    <w:rsid w:val="00D9017A"/>
    <w:rsid w:val="00D90524"/>
    <w:rsid w:val="00D91976"/>
    <w:rsid w:val="00D92EED"/>
    <w:rsid w:val="00DA2EB7"/>
    <w:rsid w:val="00DA6791"/>
    <w:rsid w:val="00DE3513"/>
    <w:rsid w:val="00E0007B"/>
    <w:rsid w:val="00E21241"/>
    <w:rsid w:val="00E2344E"/>
    <w:rsid w:val="00E369B4"/>
    <w:rsid w:val="00E65809"/>
    <w:rsid w:val="00E86B30"/>
    <w:rsid w:val="00E97540"/>
    <w:rsid w:val="00EB4316"/>
    <w:rsid w:val="00EB5039"/>
    <w:rsid w:val="00EC3833"/>
    <w:rsid w:val="00ED0522"/>
    <w:rsid w:val="00ED08F6"/>
    <w:rsid w:val="00F314E5"/>
    <w:rsid w:val="00F46DCF"/>
    <w:rsid w:val="00F576AA"/>
    <w:rsid w:val="00F6047F"/>
    <w:rsid w:val="00F74FA4"/>
    <w:rsid w:val="00FA6A96"/>
    <w:rsid w:val="00FB1308"/>
    <w:rsid w:val="00FB5367"/>
    <w:rsid w:val="00FB728A"/>
    <w:rsid w:val="00FC105E"/>
    <w:rsid w:val="00FC3CA8"/>
    <w:rsid w:val="00FC3F10"/>
    <w:rsid w:val="00FC7AEB"/>
    <w:rsid w:val="00FD01D1"/>
    <w:rsid w:val="00FE0885"/>
    <w:rsid w:val="00FE5E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unhideWhenUsed="0" w:uiPriority="99" w:semiHidden="0"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link w:val="5"/>
    <w:uiPriority w:val="99"/>
    <w:rPr>
      <w:color w:val="808080"/>
    </w:rPr>
  </w:style>
  <w:style w:type="paragraph" w:customStyle="1" w:styleId="5">
    <w:name w:val="_Style 113"/>
    <w:basedOn w:val="1"/>
    <w:link w:val="4"/>
    <w:unhideWhenUsed/>
    <w:qFormat/>
    <w:uiPriority w:val="99"/>
    <w:pPr>
      <w:keepNext/>
      <w:keepLines/>
      <w:widowControl/>
      <w:spacing w:before="240" w:after="64" w:line="320" w:lineRule="auto"/>
      <w:jc w:val="left"/>
      <w:outlineLvl w:val="6"/>
    </w:pPr>
    <w:rPr>
      <w:color w:val="808080"/>
      <w:kern w:val="0"/>
      <w:sz w:val="20"/>
      <w:szCs w:val="20"/>
    </w:rPr>
  </w:style>
  <w:style w:type="paragraph" w:customStyle="1" w:styleId="6">
    <w:name w:val="A44F1F400D154154B95CE5AAC3E9C85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90ECA6ACB224669A71F5E8AF38DCD7E"/>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C27A876D87F4475DB8D8E718D504B35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09CEC04E88D142C080FD0DF21417385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4B7AAD01F2EE4E8BA0AE36C8CD50A7C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1">
    <w:name w:val="EE18C971995A4A3A82F9B8FBF85A38C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2">
    <w:name w:val="1F89E5A0F97D4DC3802BD059C560495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F927A263154F4254987FDCDABBD41E6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975213E0C4AD457DAC730034EB07B11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50FD4D273E9742A39E360C3E87EE7763"/>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6FAD5F36EA304B9CA35061AC310EA48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EB2D8C1E657A403EBB1629AE3A09C48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8">
    <w:name w:val="CE5EB41D84F548AC9469F484434E6B87"/>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9">
    <w:name w:val="800A941C143C4EBD80E079FFE8E9962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0">
    <w:name w:val="2F54D5535795434CBDF40144FF32E47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1">
    <w:name w:val="09143891E2BE408F8EA7F597FEC3CC54"/>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2">
    <w:name w:val="99E0C20BE92747AF954F7D9DBBB114A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3">
    <w:name w:val="0D88037EBF314D59B9CF9DFA47DA0E0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4">
    <w:name w:val="B2673E0ED77A430F9B8C95FD00D95C1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5">
    <w:name w:val="D54B4F1F8E754B1FA4DBA2900AD39AAB"/>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6">
    <w:name w:val="17B36559071A41B3A85372836F1A5813"/>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7">
    <w:name w:val="038C13919FCE498E8AD3036FD0F6A35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8">
    <w:name w:val="1FF75262F8BC4476ADA784BA190CC89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9">
    <w:name w:val="81BF30C7453646408418514C553B6FEB"/>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0">
    <w:name w:val="FE5A1CDAD92E40F38C13C18CCD7942B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1">
    <w:name w:val="DF3C463E39684AE0860A02C8F71BDF5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2">
    <w:name w:val="28E584A71ACD45209FE1731CCE5A82AF"/>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3">
    <w:name w:val="622D94878E3B4679AB658FA0598BD4F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4">
    <w:name w:val="198A7340AE7E4C0D9B1D11C7E62EB5A9"/>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5">
    <w:name w:val="3895F3F8C3AA429CA12CD4245FADFC18"/>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6">
    <w:name w:val="B7855E0CEA8D46BE91546A31CD5AE4A5"/>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7">
    <w:name w:val="683AC76003DF4D9F89E40EC27634BA56"/>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8">
    <w:name w:val="6F49AB039B644092B81367CAB677510F"/>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39">
    <w:name w:val="1936DB4E3FF344D09964060C78AF357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40">
    <w:name w:val="DA610EB632BB40088A8A53CE733F323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41">
    <w:name w:val="0CC132D03074442B8EF34A5D9011BE9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42">
    <w:name w:val="83CFCC8A92C747AEA0BB6B4AEE97DB9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m4><![CDATA[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]]></m:sm4>
</m:mapping>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xmlns:bond="bond">
  <clcid-cgi:GongSiFaDingZhongWenMingCheng xmlns:clcid-cgi="clcid-cgi">际华集团股份有限公司</clcid-cgi:GongSiFaDingZhongWenMingCheng>
  <clcid-mr:GongSiFuZeRenXingMing xmlns:clcid-mr="clcid-mr">夏前军</clcid-mr:GongSiFuZeRenXingMing>
  <clcid-mr:ZhuGuanKuaiJiGongZuoFuZeRenXingMing xmlns:clcid-mr="clcid-mr">刘改平</clcid-mr:ZhuGuanKuaiJiGongZuoFuZeRenXingMing>
  <clcid-mr:KuaiJiJiGouFuZeRenXingMing xmlns:clcid-mr="clcid-mr">冯晓</clcid-mr:KuaiJiJiGouFuZeRenXingMing>
  <clcid-cgi:GongSiFaDingDaiBiaoRen xmlns:clcid-cgi="clcid-cgi"/>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
  <clcid-pte:FeiJingChangXingSunYiDeKouChuXiangMuDuiSuoDeShuiDeYingXiangShuoMing xmlns:clcid-pte="clcid-pte"/>
  <clcid-pte:KouChuDeFeiJingChangXingSunYiHeJi xmlns:clcid-pte="clcid-pte"/>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clcid-ci-ar:DanWeiCaiWuFuZhuYingFuPiaoJu>元</clcid-ci-ar:DanWeiCaiWuFuZhuYingFuPiaoJu>
  <bond:GongSiFaDingZhongWenMingCheng/>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template xmlns:t="http://mapping.word.org/2012/template">
  <t:sse><![CDATA[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]]></t:sse>
</t:template>
</file>

<file path=customXml/itemProps1.xml><?xml version="1.0" encoding="utf-8"?>
<ds:datastoreItem xmlns:ds="http://schemas.openxmlformats.org/officeDocument/2006/customXml" ds:itemID="{9FC2B106-6C6D-4B04-A8A8-DCB7A0080F2F}">
  <ds:schemaRefs/>
</ds:datastoreItem>
</file>

<file path=customXml/itemProps2.xml><?xml version="1.0" encoding="utf-8"?>
<ds:datastoreItem xmlns:ds="http://schemas.openxmlformats.org/officeDocument/2006/customXml" ds:itemID="{89EBAB94-44A0-46A2-B712-30D997D04A6D}">
  <ds:schemaRefs/>
</ds:datastoreItem>
</file>

<file path=customXml/itemProps3.xml><?xml version="1.0" encoding="utf-8"?>
<ds:datastoreItem xmlns:ds="http://schemas.openxmlformats.org/officeDocument/2006/customXml" ds:itemID="{1F37729E-89F6-4D70-BC0B-8EF77515B409}">
  <ds:schemaRefs/>
</ds:datastoreItem>
</file>

<file path=customXml/itemProps4.xml><?xml version="1.0" encoding="utf-8"?>
<ds:datastoreItem xmlns:ds="http://schemas.openxmlformats.org/officeDocument/2006/customXml" ds:itemID="{04B3EC35-0C84-4968-816E-4EFC9993891A}">
  <ds:schemaRefs/>
</ds:datastoreItem>
</file>

<file path=customXml/itemProps5.xml><?xml version="1.0" encoding="utf-8"?>
<ds:datastoreItem xmlns:ds="http://schemas.openxmlformats.org/officeDocument/2006/customXml" ds:itemID="{b4e65193-20b6-472c-916e-9386323335cf}">
  <ds:schemaRefs/>
</ds:datastoreItem>
</file>

<file path=docProps/app.xml><?xml version="1.0" encoding="utf-8"?>
<Properties xmlns="http://schemas.openxmlformats.org/officeDocument/2006/extended-properties" xmlns:vt="http://schemas.openxmlformats.org/officeDocument/2006/docPropsVTypes">
  <Template>SSEReport</Template>
  <Pages>26</Pages>
  <Words>1697</Words>
  <Characters>2019</Characters>
  <Lines>19229</Lines>
  <Paragraphs>19898</Paragraphs>
  <TotalTime>4040</TotalTime>
  <ScaleCrop>false</ScaleCrop>
  <LinksUpToDate>false</LinksUpToDate>
  <CharactersWithSpaces>2087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2025-04-20T10:18:00Z</dcterms:created>
  <dc:creator>Administrator</dc:creator>
  <cp:lastModifiedBy>袁静</cp:lastModifiedBy>
  <dcterms:modified xsi:type="dcterms:W3CDTF">2025-08-27T09:48:43Z</dcterms:modified>
  <dc:title>际华集团股份有限公司2024年年度报告</dc:title>
  <cp:revision>480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eyJoZGlkIjoiMWFmMTkxOGEwMThiYzAwZjFkY2E1ODFkZTc2MzNhM2MiLCJ1c2VySWQiOiI5MjI0MjgwMDUifQ==</vt:lpwstr>
  </property>
  <property fmtid="{D5CDD505-2E9C-101B-9397-08002B2CF9AE}" pid="3" name="KSOProductBuildVer">
    <vt:lpwstr>2052-12.1.0.22529</vt:lpwstr>
  </property>
  <property fmtid="{D5CDD505-2E9C-101B-9397-08002B2CF9AE}" pid="4" name="ICV">
    <vt:lpwstr>C988161F0627464383CF8100D9D02E1B_13</vt:lpwstr>
  </property>
</Properties>
</file>